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4776D" w14:textId="77777777" w:rsidR="005F619B" w:rsidRPr="00883399" w:rsidRDefault="009D0AA9" w:rsidP="005F619B">
      <w:pPr>
        <w:pStyle w:val="ReportTitle"/>
        <w:rPr>
          <w:noProof/>
          <w:lang w:eastAsia="en-AU"/>
        </w:rPr>
      </w:pPr>
      <w:r w:rsidRPr="00883399">
        <w:rPr>
          <w:rFonts w:cs="Arial"/>
          <w:noProof/>
          <w:sz w:val="22"/>
          <w:lang w:eastAsia="en-AU"/>
        </w:rPr>
        <w:drawing>
          <wp:inline distT="0" distB="0" distL="0" distR="0" wp14:anchorId="7EF719DD" wp14:editId="68A81FB4">
            <wp:extent cx="5690870" cy="982345"/>
            <wp:effectExtent l="19050" t="0" r="5080" b="0"/>
            <wp:docPr id="30" name="Picture 101" descr="C:\Users\a18045\AppData\Local\Microsoft\Windows\Temporary Internet Files\Content.Word\DoE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18045\AppData\Local\Microsoft\Windows\Temporary Internet Files\Content.Word\DoEE_inline.jpg"/>
                    <pic:cNvPicPr>
                      <a:picLocks noChangeAspect="1" noChangeArrowheads="1"/>
                    </pic:cNvPicPr>
                  </pic:nvPicPr>
                  <pic:blipFill>
                    <a:blip r:embed="rId11"/>
                    <a:srcRect/>
                    <a:stretch>
                      <a:fillRect/>
                    </a:stretch>
                  </pic:blipFill>
                  <pic:spPr bwMode="auto">
                    <a:xfrm>
                      <a:off x="0" y="0"/>
                      <a:ext cx="5690870" cy="982345"/>
                    </a:xfrm>
                    <a:prstGeom prst="rect">
                      <a:avLst/>
                    </a:prstGeom>
                    <a:noFill/>
                    <a:ln w="9525">
                      <a:noFill/>
                      <a:miter lim="800000"/>
                      <a:headEnd/>
                      <a:tailEnd/>
                    </a:ln>
                  </pic:spPr>
                </pic:pic>
              </a:graphicData>
            </a:graphic>
          </wp:inline>
        </w:drawing>
      </w:r>
    </w:p>
    <w:p w14:paraId="26F66F89" w14:textId="77777777" w:rsidR="005F619B" w:rsidRPr="00883399" w:rsidRDefault="005F619B" w:rsidP="005F619B">
      <w:pPr>
        <w:pStyle w:val="ReportTitle"/>
        <w:ind w:left="1361"/>
        <w:rPr>
          <w:noProof/>
          <w:lang w:eastAsia="en-AU"/>
        </w:rPr>
      </w:pPr>
    </w:p>
    <w:p w14:paraId="57219390" w14:textId="77777777" w:rsidR="00763F49" w:rsidRPr="00883399" w:rsidRDefault="00763F49" w:rsidP="005F619B">
      <w:pPr>
        <w:pStyle w:val="ReportTitle"/>
        <w:ind w:left="1361"/>
        <w:rPr>
          <w:sz w:val="48"/>
        </w:rPr>
      </w:pPr>
      <w:r w:rsidRPr="00883399">
        <w:rPr>
          <w:noProof/>
          <w:sz w:val="48"/>
          <w:lang w:eastAsia="en-AU"/>
        </w:rPr>
        <w:t>National Greenhouse and Energy Reporting Scheme Measurement</w:t>
      </w:r>
    </w:p>
    <w:p w14:paraId="3E26EF60" w14:textId="77777777" w:rsidR="00763F49" w:rsidRPr="00883399" w:rsidRDefault="00763F49" w:rsidP="00763F49">
      <w:pPr>
        <w:pStyle w:val="ReportTitle"/>
        <w:ind w:left="1361"/>
        <w:rPr>
          <w:sz w:val="48"/>
        </w:rPr>
      </w:pPr>
      <w:r w:rsidRPr="00883399">
        <w:rPr>
          <w:sz w:val="48"/>
        </w:rPr>
        <w:t>Technical Guidelines for the estimation of emissions by facilities in Australia</w:t>
      </w:r>
    </w:p>
    <w:p w14:paraId="76BA1D93" w14:textId="77777777" w:rsidR="00763F49" w:rsidRPr="00883399" w:rsidRDefault="00D0013A" w:rsidP="004C13D6">
      <w:pPr>
        <w:pStyle w:val="Reportsubtitle"/>
        <w:ind w:left="1361"/>
      </w:pPr>
      <w:r w:rsidRPr="00883399">
        <w:t>Applies to the estimation of emissions in the</w:t>
      </w:r>
      <w:r w:rsidR="004C13D6" w:rsidRPr="00883399">
        <w:t xml:space="preserve"> 2017-18</w:t>
      </w:r>
      <w:r w:rsidR="003E0526" w:rsidRPr="00883399">
        <w:t xml:space="preserve"> reporting year</w:t>
      </w:r>
      <w:r w:rsidRPr="00883399">
        <w:t xml:space="preserve"> </w:t>
      </w:r>
    </w:p>
    <w:p w14:paraId="5D0D793A" w14:textId="77777777" w:rsidR="005F619B" w:rsidRPr="00883399" w:rsidRDefault="005F619B" w:rsidP="00763F49">
      <w:pPr>
        <w:pStyle w:val="Reportsubtitle"/>
        <w:ind w:left="1361"/>
      </w:pPr>
    </w:p>
    <w:p w14:paraId="68F08467" w14:textId="14B4B388" w:rsidR="00763F49" w:rsidRPr="00883399" w:rsidRDefault="008A31D6" w:rsidP="00763F49">
      <w:pPr>
        <w:pStyle w:val="Reportsubtitle"/>
        <w:ind w:left="1361"/>
      </w:pPr>
      <w:r>
        <w:t>October</w:t>
      </w:r>
      <w:r w:rsidR="004C13D6" w:rsidRPr="00883399">
        <w:t xml:space="preserve"> 2017</w:t>
      </w:r>
    </w:p>
    <w:p w14:paraId="6E14578E" w14:textId="4C6D8E77" w:rsidR="00763F49" w:rsidRPr="00883399" w:rsidRDefault="00763F49">
      <w:r w:rsidRPr="00883399">
        <w:rPr>
          <w:noProof/>
        </w:rPr>
        <w:drawing>
          <wp:anchor distT="0" distB="0" distL="114300" distR="114300" simplePos="0" relativeHeight="251658241" behindDoc="1" locked="0" layoutInCell="1" allowOverlap="1" wp14:anchorId="14D5364D" wp14:editId="5290EFC1">
            <wp:simplePos x="0" y="0"/>
            <wp:positionH relativeFrom="page">
              <wp:posOffset>-8246</wp:posOffset>
            </wp:positionH>
            <wp:positionV relativeFrom="page">
              <wp:posOffset>5936776</wp:posOffset>
            </wp:positionV>
            <wp:extent cx="7591956" cy="3916908"/>
            <wp:effectExtent l="19050" t="0" r="4950" b="0"/>
            <wp:wrapNone/>
            <wp:docPr id="5" name="Picture 1" descr="\\pvac01file02\user$\A11944\Profile\Downloads\eadig1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A11944\Profile\Downloads\eadig11773.jpg"/>
                    <pic:cNvPicPr>
                      <a:picLocks noChangeAspect="1" noChangeArrowheads="1"/>
                    </pic:cNvPicPr>
                  </pic:nvPicPr>
                  <pic:blipFill>
                    <a:blip r:embed="rId12"/>
                    <a:stretch>
                      <a:fillRect/>
                    </a:stretch>
                  </pic:blipFill>
                  <pic:spPr bwMode="auto">
                    <a:xfrm>
                      <a:off x="0" y="0"/>
                      <a:ext cx="7596000" cy="3918788"/>
                    </a:xfrm>
                    <a:prstGeom prst="rect">
                      <a:avLst/>
                    </a:prstGeom>
                    <a:noFill/>
                    <a:ln w="9525">
                      <a:noFill/>
                      <a:miter lim="800000"/>
                      <a:headEnd/>
                      <a:tailEnd/>
                    </a:ln>
                  </pic:spPr>
                </pic:pic>
              </a:graphicData>
            </a:graphic>
          </wp:anchor>
        </w:drawing>
      </w:r>
    </w:p>
    <w:p w14:paraId="1D6FD142" w14:textId="77777777" w:rsidR="00763F49" w:rsidRPr="00883399" w:rsidRDefault="00763F49" w:rsidP="00466A53">
      <w:pPr>
        <w:outlineLvl w:val="0"/>
      </w:pPr>
    </w:p>
    <w:p w14:paraId="65BB8F64" w14:textId="77777777" w:rsidR="00763F49" w:rsidRPr="00883399" w:rsidRDefault="00763F49">
      <w:r w:rsidRPr="00883399">
        <w:br w:type="page"/>
      </w:r>
    </w:p>
    <w:p w14:paraId="6778D4EE" w14:textId="77777777" w:rsidR="00E71070" w:rsidRPr="00883399" w:rsidRDefault="00E71070" w:rsidP="00466A53">
      <w:pPr>
        <w:outlineLvl w:val="0"/>
      </w:pPr>
    </w:p>
    <w:p w14:paraId="218D93FE" w14:textId="77777777" w:rsidR="00142972" w:rsidRPr="00883399" w:rsidRDefault="00142972" w:rsidP="00142972">
      <w:pPr>
        <w:spacing w:before="100" w:beforeAutospacing="1" w:after="100" w:afterAutospacing="1"/>
        <w:rPr>
          <w:rFonts w:ascii="Arial" w:hAnsi="Arial" w:cs="Arial"/>
          <w:sz w:val="22"/>
          <w:szCs w:val="22"/>
        </w:rPr>
      </w:pPr>
      <w:r w:rsidRPr="00883399">
        <w:rPr>
          <w:rFonts w:ascii="Arial" w:hAnsi="Arial" w:cs="Arial"/>
          <w:sz w:val="22"/>
          <w:szCs w:val="22"/>
        </w:rPr>
        <w:t xml:space="preserve">Published by the </w:t>
      </w:r>
    </w:p>
    <w:p w14:paraId="4F732F78" w14:textId="77777777" w:rsidR="008B71C9" w:rsidRPr="00883399" w:rsidRDefault="0007263C" w:rsidP="00142972">
      <w:pPr>
        <w:spacing w:before="100" w:beforeAutospacing="1" w:after="100" w:afterAutospacing="1"/>
        <w:rPr>
          <w:rFonts w:ascii="Arial" w:hAnsi="Arial" w:cs="Arial"/>
          <w:sz w:val="22"/>
          <w:szCs w:val="22"/>
        </w:rPr>
      </w:pPr>
      <w:hyperlink r:id="rId13" w:history="1">
        <w:r w:rsidR="005F619B" w:rsidRPr="00883399">
          <w:rPr>
            <w:rStyle w:val="Hyperlink"/>
            <w:rFonts w:ascii="Arial" w:hAnsi="Arial" w:cs="Arial"/>
            <w:sz w:val="22"/>
            <w:szCs w:val="22"/>
          </w:rPr>
          <w:t>http://www.environment.gov.au</w:t>
        </w:r>
      </w:hyperlink>
    </w:p>
    <w:p w14:paraId="10F0F147" w14:textId="77777777" w:rsidR="009E3B2F" w:rsidRPr="00883399" w:rsidRDefault="009E3B2F" w:rsidP="009E3B2F">
      <w:pPr>
        <w:rPr>
          <w:rFonts w:ascii="Arial" w:hAnsi="Arial" w:cs="Arial"/>
          <w:sz w:val="22"/>
          <w:szCs w:val="22"/>
          <w:lang w:eastAsia="en-US"/>
        </w:rPr>
      </w:pPr>
      <w:r w:rsidRPr="00883399">
        <w:rPr>
          <w:rFonts w:ascii="Arial" w:hAnsi="Arial" w:cs="Arial"/>
          <w:sz w:val="22"/>
          <w:szCs w:val="22"/>
          <w:lang w:eastAsia="en-US"/>
        </w:rPr>
        <w:t>ISSN  2202-3348</w:t>
      </w:r>
    </w:p>
    <w:p w14:paraId="0664ECBD" w14:textId="77777777" w:rsidR="00142972" w:rsidRPr="00883399" w:rsidRDefault="00142972" w:rsidP="008B71C9">
      <w:pPr>
        <w:spacing w:before="100" w:beforeAutospacing="1" w:after="100" w:afterAutospacing="1"/>
        <w:rPr>
          <w:rFonts w:ascii="Arial" w:hAnsi="Arial" w:cs="Arial"/>
          <w:sz w:val="22"/>
          <w:szCs w:val="22"/>
          <w:lang w:eastAsia="en-US"/>
        </w:rPr>
      </w:pPr>
      <w:r w:rsidRPr="00883399">
        <w:rPr>
          <w:rFonts w:ascii="Arial" w:hAnsi="Arial" w:cs="Arial"/>
          <w:sz w:val="22"/>
          <w:szCs w:val="22"/>
          <w:lang w:eastAsia="en-US"/>
        </w:rPr>
        <w:t xml:space="preserve">© Commonwealth of Australia </w:t>
      </w:r>
      <w:r w:rsidR="0000292E" w:rsidRPr="00883399">
        <w:rPr>
          <w:rFonts w:ascii="Arial" w:hAnsi="Arial" w:cs="Arial"/>
          <w:sz w:val="22"/>
          <w:szCs w:val="22"/>
          <w:lang w:eastAsia="en-US"/>
        </w:rPr>
        <w:t>2017</w:t>
      </w:r>
    </w:p>
    <w:p w14:paraId="68DACE1F" w14:textId="77777777" w:rsidR="00142972" w:rsidRPr="00883399" w:rsidRDefault="00142972" w:rsidP="00142972">
      <w:pPr>
        <w:spacing w:after="240"/>
        <w:rPr>
          <w:rFonts w:ascii="Arial" w:hAnsi="Arial" w:cs="Arial"/>
          <w:sz w:val="22"/>
          <w:szCs w:val="22"/>
          <w:lang w:eastAsia="en-US"/>
        </w:rPr>
      </w:pPr>
      <w:r w:rsidRPr="00883399">
        <w:rPr>
          <w:rFonts w:ascii="Arial" w:hAnsi="Arial" w:cs="Arial"/>
          <w:sz w:val="22"/>
          <w:szCs w:val="22"/>
          <w:lang w:eastAsia="en-US"/>
        </w:rPr>
        <w:t xml:space="preserve">This work is licensed under the Creative Commons Attribution 3.0 Australia Licence. To view a copy of this license, visit </w:t>
      </w:r>
      <w:hyperlink r:id="rId14" w:history="1">
        <w:r w:rsidRPr="00883399">
          <w:rPr>
            <w:rFonts w:ascii="Arial" w:hAnsi="Arial" w:cs="Arial"/>
            <w:color w:val="0000FF"/>
            <w:sz w:val="22"/>
            <w:szCs w:val="22"/>
            <w:u w:val="single"/>
            <w:lang w:eastAsia="en-US"/>
          </w:rPr>
          <w:t>http://creativecommons.org/licenses/by/3.0/au</w:t>
        </w:r>
      </w:hyperlink>
      <w:r w:rsidR="008B71C9" w:rsidRPr="00883399">
        <w:rPr>
          <w:rFonts w:ascii="Arial" w:hAnsi="Arial" w:cs="Arial"/>
          <w:sz w:val="22"/>
          <w:szCs w:val="22"/>
        </w:rPr>
        <w:t>.</w:t>
      </w:r>
    </w:p>
    <w:p w14:paraId="2D2275B2" w14:textId="77777777" w:rsidR="00142972" w:rsidRPr="00883399" w:rsidRDefault="00142972" w:rsidP="00142972">
      <w:pPr>
        <w:spacing w:after="240"/>
        <w:rPr>
          <w:rFonts w:ascii="Arial" w:hAnsi="Arial" w:cs="Arial"/>
          <w:sz w:val="22"/>
          <w:szCs w:val="22"/>
          <w:lang w:eastAsia="en-US"/>
        </w:rPr>
      </w:pPr>
      <w:r w:rsidRPr="00883399">
        <w:rPr>
          <w:rFonts w:ascii="Arial" w:hAnsi="Arial" w:cs="Arial"/>
          <w:sz w:val="22"/>
          <w:szCs w:val="22"/>
          <w:lang w:eastAsia="en-US"/>
        </w:rPr>
        <w:t xml:space="preserve">The </w:t>
      </w:r>
      <w:r w:rsidR="009D0AA9" w:rsidRPr="00883399">
        <w:rPr>
          <w:rFonts w:ascii="Arial" w:hAnsi="Arial" w:cs="Arial"/>
          <w:sz w:val="22"/>
          <w:szCs w:val="22"/>
        </w:rPr>
        <w:t>Department of the Environment and Energy</w:t>
      </w:r>
      <w:r w:rsidRPr="00883399">
        <w:rPr>
          <w:rFonts w:ascii="Arial" w:hAnsi="Arial" w:cs="Arial"/>
          <w:sz w:val="22"/>
          <w:szCs w:val="22"/>
          <w:lang w:eastAsia="en-US"/>
        </w:rPr>
        <w:t xml:space="preserve"> asserts the right to be recognised as author of the original material in the following manner: </w:t>
      </w:r>
    </w:p>
    <w:p w14:paraId="1E09FFDD" w14:textId="6BF5D439" w:rsidR="00142972" w:rsidRPr="00883399" w:rsidRDefault="00D126C9" w:rsidP="00142972">
      <w:pPr>
        <w:spacing w:after="240"/>
        <w:rPr>
          <w:rFonts w:ascii="Arial" w:hAnsi="Arial" w:cs="Arial"/>
          <w:sz w:val="22"/>
          <w:szCs w:val="22"/>
          <w:lang w:eastAsia="en-US"/>
        </w:rPr>
      </w:pPr>
      <w:r w:rsidRPr="00883399">
        <w:rPr>
          <w:rFonts w:ascii="Arial" w:hAnsi="Arial" w:cs="Arial"/>
          <w:noProof/>
          <w:sz w:val="22"/>
          <w:szCs w:val="22"/>
        </w:rPr>
        <w:drawing>
          <wp:inline distT="0" distB="0" distL="0" distR="0" wp14:anchorId="1D4A9968" wp14:editId="51EBD989">
            <wp:extent cx="838200" cy="295275"/>
            <wp:effectExtent l="19050" t="0" r="0" b="0"/>
            <wp:docPr id="3" name="Picture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5"/>
                    </pic:cNvPr>
                    <pic:cNvPicPr>
                      <a:picLocks noChangeAspect="1" noChangeArrowheads="1"/>
                    </pic:cNvPicPr>
                  </pic:nvPicPr>
                  <pic:blipFill>
                    <a:blip r:embed="rId16"/>
                    <a:srcRect/>
                    <a:stretch>
                      <a:fillRect/>
                    </a:stretch>
                  </pic:blipFill>
                  <pic:spPr bwMode="auto">
                    <a:xfrm>
                      <a:off x="0" y="0"/>
                      <a:ext cx="838200" cy="295275"/>
                    </a:xfrm>
                    <a:prstGeom prst="rect">
                      <a:avLst/>
                    </a:prstGeom>
                    <a:noFill/>
                    <a:ln w="9525">
                      <a:noFill/>
                      <a:miter lim="800000"/>
                      <a:headEnd/>
                      <a:tailEnd/>
                    </a:ln>
                  </pic:spPr>
                </pic:pic>
              </a:graphicData>
            </a:graphic>
          </wp:inline>
        </w:drawing>
      </w:r>
      <w:r w:rsidR="00142972" w:rsidRPr="00883399">
        <w:rPr>
          <w:rFonts w:ascii="Arial" w:hAnsi="Arial" w:cs="Arial"/>
          <w:sz w:val="22"/>
          <w:szCs w:val="22"/>
          <w:lang w:eastAsia="en-US"/>
        </w:rPr>
        <w:t xml:space="preserve"> or </w:t>
      </w:r>
      <w:r w:rsidRPr="00883399">
        <w:rPr>
          <w:rFonts w:ascii="Arial" w:hAnsi="Arial" w:cs="Arial"/>
          <w:noProof/>
          <w:sz w:val="22"/>
          <w:szCs w:val="22"/>
        </w:rPr>
        <w:drawing>
          <wp:inline distT="0" distB="0" distL="0" distR="0" wp14:anchorId="600543CB" wp14:editId="4506B995">
            <wp:extent cx="809625" cy="152400"/>
            <wp:effectExtent l="19050" t="0" r="9525" b="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5"/>
                    </pic:cNvPr>
                    <pic:cNvPicPr>
                      <a:picLocks noChangeAspect="1" noChangeArrowheads="1"/>
                    </pic:cNvPicPr>
                  </pic:nvPicPr>
                  <pic:blipFill>
                    <a:blip r:embed="rId17"/>
                    <a:srcRect/>
                    <a:stretch>
                      <a:fillRect/>
                    </a:stretch>
                  </pic:blipFill>
                  <pic:spPr bwMode="auto">
                    <a:xfrm>
                      <a:off x="0" y="0"/>
                      <a:ext cx="809625" cy="152400"/>
                    </a:xfrm>
                    <a:prstGeom prst="rect">
                      <a:avLst/>
                    </a:prstGeom>
                    <a:noFill/>
                    <a:ln w="9525">
                      <a:noFill/>
                      <a:miter lim="800000"/>
                      <a:headEnd/>
                      <a:tailEnd/>
                    </a:ln>
                  </pic:spPr>
                </pic:pic>
              </a:graphicData>
            </a:graphic>
          </wp:inline>
        </w:drawing>
      </w:r>
    </w:p>
    <w:p w14:paraId="00A97EBB" w14:textId="77777777" w:rsidR="00142972" w:rsidRPr="00883399" w:rsidRDefault="00142972" w:rsidP="00BE1EB4">
      <w:pPr>
        <w:spacing w:before="100" w:beforeAutospacing="1" w:after="100" w:afterAutospacing="1"/>
        <w:rPr>
          <w:rFonts w:ascii="Arial" w:hAnsi="Arial" w:cs="Arial"/>
          <w:sz w:val="22"/>
          <w:szCs w:val="22"/>
        </w:rPr>
      </w:pPr>
      <w:r w:rsidRPr="00883399">
        <w:rPr>
          <w:rFonts w:ascii="Arial" w:hAnsi="Arial" w:cs="Arial"/>
          <w:sz w:val="22"/>
          <w:szCs w:val="22"/>
          <w:lang w:eastAsia="en-US"/>
        </w:rPr>
        <w:t>© Commonwealth of Australia (</w:t>
      </w:r>
      <w:r w:rsidR="009D0AA9" w:rsidRPr="00883399">
        <w:rPr>
          <w:rFonts w:ascii="Arial" w:hAnsi="Arial" w:cs="Arial"/>
          <w:sz w:val="22"/>
          <w:szCs w:val="22"/>
        </w:rPr>
        <w:t>Department of the Environment and Energy</w:t>
      </w:r>
      <w:r w:rsidRPr="00883399">
        <w:rPr>
          <w:rFonts w:ascii="Arial" w:hAnsi="Arial" w:cs="Arial"/>
          <w:sz w:val="22"/>
          <w:szCs w:val="22"/>
          <w:lang w:eastAsia="en-US"/>
        </w:rPr>
        <w:t xml:space="preserve">) </w:t>
      </w:r>
      <w:r w:rsidR="00BE1EB4" w:rsidRPr="00883399">
        <w:rPr>
          <w:rFonts w:ascii="Arial" w:hAnsi="Arial" w:cs="Arial"/>
          <w:sz w:val="22"/>
          <w:szCs w:val="22"/>
          <w:lang w:eastAsia="en-US"/>
        </w:rPr>
        <w:t>201</w:t>
      </w:r>
      <w:r w:rsidR="001F4B80" w:rsidRPr="00883399">
        <w:rPr>
          <w:rFonts w:ascii="Arial" w:hAnsi="Arial" w:cs="Arial"/>
          <w:sz w:val="22"/>
          <w:szCs w:val="22"/>
          <w:lang w:eastAsia="en-US"/>
        </w:rPr>
        <w:t>7</w:t>
      </w:r>
      <w:r w:rsidRPr="00883399">
        <w:rPr>
          <w:rFonts w:ascii="Arial" w:hAnsi="Arial" w:cs="Arial"/>
          <w:sz w:val="22"/>
          <w:szCs w:val="22"/>
          <w:lang w:eastAsia="en-US"/>
        </w:rPr>
        <w:t>.</w:t>
      </w:r>
    </w:p>
    <w:p w14:paraId="016F7D51" w14:textId="77777777" w:rsidR="00142972" w:rsidRPr="00883399" w:rsidRDefault="00142972" w:rsidP="00142972">
      <w:pPr>
        <w:spacing w:after="240"/>
        <w:rPr>
          <w:rFonts w:ascii="Arial" w:hAnsi="Arial" w:cs="Arial"/>
          <w:sz w:val="22"/>
          <w:szCs w:val="22"/>
          <w:lang w:eastAsia="en-US"/>
        </w:rPr>
      </w:pPr>
      <w:r w:rsidRPr="00883399">
        <w:rPr>
          <w:rFonts w:ascii="Arial" w:hAnsi="Arial" w:cs="Arial"/>
          <w:sz w:val="22"/>
          <w:szCs w:val="22"/>
          <w:lang w:eastAsia="en-US"/>
        </w:rPr>
        <w:t>IMPORTANT NOTICE – PLEASE READ</w:t>
      </w:r>
    </w:p>
    <w:p w14:paraId="2D273471" w14:textId="77777777" w:rsidR="00142972" w:rsidRPr="00883399" w:rsidRDefault="00142972" w:rsidP="00142972">
      <w:pPr>
        <w:spacing w:after="240"/>
        <w:rPr>
          <w:rFonts w:ascii="Arial" w:hAnsi="Arial" w:cs="Arial"/>
          <w:sz w:val="22"/>
          <w:szCs w:val="22"/>
          <w:lang w:eastAsia="en-US"/>
        </w:rPr>
      </w:pPr>
      <w:r w:rsidRPr="00883399">
        <w:rPr>
          <w:rFonts w:ascii="Arial" w:hAnsi="Arial" w:cs="Arial"/>
          <w:sz w:val="22"/>
          <w:szCs w:val="22"/>
          <w:lang w:eastAsia="en-US"/>
        </w:rPr>
        <w:t>This document is produced for general information only and does not represent a statement of the policy of the Commonwealth of Australia. The Commonwealth of Australia and all persons acting for the Commonwealth preparing this report accept no liability for the accuracy of or inferences from the material contained in this publication, or for any action as a result of any person’s or group’s interpretations, deductions, conclusions or actions in relying on this material.</w:t>
      </w:r>
    </w:p>
    <w:p w14:paraId="541391E0" w14:textId="0D58C065" w:rsidR="00763F49" w:rsidRPr="00883399" w:rsidRDefault="009D3717">
      <w:pPr>
        <w:rPr>
          <w:sz w:val="22"/>
          <w:szCs w:val="22"/>
        </w:rPr>
      </w:pPr>
      <w:r w:rsidRPr="00883399">
        <w:rPr>
          <w:rFonts w:ascii="Arial" w:hAnsi="Arial" w:cs="Arial"/>
          <w:sz w:val="22"/>
          <w:szCs w:val="22"/>
        </w:rPr>
        <w:t xml:space="preserve">October </w:t>
      </w:r>
      <w:r w:rsidR="00F170B0" w:rsidRPr="00883399">
        <w:rPr>
          <w:rFonts w:ascii="Arial" w:hAnsi="Arial" w:cs="Arial"/>
          <w:sz w:val="22"/>
          <w:szCs w:val="22"/>
        </w:rPr>
        <w:t>201</w:t>
      </w:r>
      <w:r w:rsidR="0000292E" w:rsidRPr="00883399">
        <w:rPr>
          <w:rFonts w:ascii="Arial" w:hAnsi="Arial" w:cs="Arial"/>
          <w:sz w:val="22"/>
          <w:szCs w:val="22"/>
        </w:rPr>
        <w:t>7</w:t>
      </w:r>
    </w:p>
    <w:p w14:paraId="0DD0201F" w14:textId="77777777" w:rsidR="00763F49" w:rsidRPr="00883399" w:rsidRDefault="00763F49" w:rsidP="007261F7">
      <w:pPr>
        <w:rPr>
          <w:sz w:val="22"/>
          <w:szCs w:val="22"/>
        </w:rPr>
      </w:pPr>
    </w:p>
    <w:p w14:paraId="046D0A0D" w14:textId="77777777" w:rsidR="007261F7" w:rsidRPr="00883399" w:rsidRDefault="00763F49" w:rsidP="007261F7">
      <w:pPr>
        <w:rPr>
          <w:sz w:val="22"/>
          <w:szCs w:val="22"/>
        </w:rPr>
        <w:sectPr w:rsidR="007261F7" w:rsidRPr="00883399" w:rsidSect="001809E7">
          <w:headerReference w:type="even" r:id="rId18"/>
          <w:headerReference w:type="default" r:id="rId19"/>
          <w:footerReference w:type="even" r:id="rId20"/>
          <w:footerReference w:type="default" r:id="rId21"/>
          <w:headerReference w:type="first" r:id="rId22"/>
          <w:footerReference w:type="first" r:id="rId23"/>
          <w:pgSz w:w="11907" w:h="16839" w:code="9"/>
          <w:pgMar w:top="993" w:right="1797" w:bottom="1440" w:left="1134" w:header="709" w:footer="709" w:gutter="0"/>
          <w:cols w:space="708"/>
          <w:titlePg/>
          <w:docGrid w:linePitch="360"/>
        </w:sectPr>
      </w:pPr>
      <w:r w:rsidRPr="00883399">
        <w:rPr>
          <w:sz w:val="22"/>
          <w:szCs w:val="22"/>
        </w:rPr>
        <w:br w:type="page"/>
      </w:r>
    </w:p>
    <w:p w14:paraId="66273E75" w14:textId="77777777" w:rsidR="007261F7" w:rsidRPr="00883399" w:rsidRDefault="007261F7" w:rsidP="00466A53">
      <w:pPr>
        <w:pStyle w:val="ContentsHead"/>
        <w:outlineLvl w:val="0"/>
      </w:pPr>
      <w:r w:rsidRPr="00883399">
        <w:lastRenderedPageBreak/>
        <w:t>Contents</w:t>
      </w:r>
    </w:p>
    <w:p w14:paraId="401310B3" w14:textId="77777777" w:rsidR="00E25764" w:rsidRDefault="008024F0">
      <w:pPr>
        <w:pStyle w:val="TOC1"/>
        <w:rPr>
          <w:rFonts w:asciiTheme="minorHAnsi" w:eastAsiaTheme="minorEastAsia" w:hAnsiTheme="minorHAnsi" w:cstheme="minorBidi"/>
          <w:b w:val="0"/>
          <w:noProof/>
          <w:sz w:val="22"/>
          <w:szCs w:val="22"/>
          <w:lang w:eastAsia="en-AU"/>
        </w:rPr>
      </w:pPr>
      <w:r w:rsidRPr="00883399">
        <w:fldChar w:fldCharType="begin"/>
      </w:r>
      <w:r w:rsidR="007261F7" w:rsidRPr="00883399">
        <w:instrText xml:space="preserve"> TOC \o "1-9" \t "HC,1, HP,2, HD,3, HS,4, HR,5, RGHead,7, Schedule title,6, Schedule part,8,Schedule Division,8, RX.SC,8, Dictionary Heading,9, Note Heading,9" </w:instrText>
      </w:r>
      <w:r w:rsidRPr="00883399">
        <w:fldChar w:fldCharType="separate"/>
      </w:r>
      <w:r w:rsidR="00E25764">
        <w:rPr>
          <w:noProof/>
        </w:rPr>
        <w:t>Chapter 1—General</w:t>
      </w:r>
      <w:r w:rsidR="00E25764">
        <w:rPr>
          <w:noProof/>
        </w:rPr>
        <w:tab/>
      </w:r>
      <w:r w:rsidR="00E25764">
        <w:rPr>
          <w:noProof/>
        </w:rPr>
        <w:fldChar w:fldCharType="begin"/>
      </w:r>
      <w:r w:rsidR="00E25764">
        <w:rPr>
          <w:noProof/>
        </w:rPr>
        <w:instrText xml:space="preserve"> PAGEREF _Toc495652578 \h </w:instrText>
      </w:r>
      <w:r w:rsidR="00E25764">
        <w:rPr>
          <w:noProof/>
        </w:rPr>
      </w:r>
      <w:r w:rsidR="00E25764">
        <w:rPr>
          <w:noProof/>
        </w:rPr>
        <w:fldChar w:fldCharType="separate"/>
      </w:r>
      <w:r w:rsidR="00766D30">
        <w:rPr>
          <w:noProof/>
        </w:rPr>
        <w:t>31</w:t>
      </w:r>
      <w:r w:rsidR="00E25764">
        <w:rPr>
          <w:noProof/>
        </w:rPr>
        <w:fldChar w:fldCharType="end"/>
      </w:r>
    </w:p>
    <w:p w14:paraId="36746C75" w14:textId="77777777" w:rsidR="00E25764" w:rsidRDefault="00E25764">
      <w:pPr>
        <w:pStyle w:val="TOC2"/>
        <w:rPr>
          <w:rFonts w:asciiTheme="minorHAnsi" w:eastAsiaTheme="minorEastAsia" w:hAnsiTheme="minorHAnsi" w:cstheme="minorBidi"/>
          <w:b w:val="0"/>
          <w:sz w:val="22"/>
          <w:szCs w:val="22"/>
          <w:lang w:eastAsia="en-AU"/>
        </w:rPr>
      </w:pPr>
      <w:r>
        <w:t>Part 1.1—Preliminary</w:t>
      </w:r>
      <w:r>
        <w:tab/>
      </w:r>
      <w:r>
        <w:fldChar w:fldCharType="begin"/>
      </w:r>
      <w:r>
        <w:instrText xml:space="preserve"> PAGEREF _Toc495652579 \h </w:instrText>
      </w:r>
      <w:r>
        <w:fldChar w:fldCharType="separate"/>
      </w:r>
      <w:r w:rsidR="00766D30">
        <w:t>31</w:t>
      </w:r>
      <w:r>
        <w:fldChar w:fldCharType="end"/>
      </w:r>
    </w:p>
    <w:p w14:paraId="2B719EA5"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1.1.1—Overview</w:t>
      </w:r>
      <w:r>
        <w:rPr>
          <w:noProof/>
        </w:rPr>
        <w:tab/>
      </w:r>
      <w:r>
        <w:rPr>
          <w:noProof/>
        </w:rPr>
        <w:fldChar w:fldCharType="begin"/>
      </w:r>
      <w:r>
        <w:rPr>
          <w:noProof/>
        </w:rPr>
        <w:instrText xml:space="preserve"> PAGEREF _Toc495652580 \h </w:instrText>
      </w:r>
      <w:r>
        <w:rPr>
          <w:noProof/>
        </w:rPr>
      </w:r>
      <w:r>
        <w:rPr>
          <w:noProof/>
        </w:rPr>
        <w:fldChar w:fldCharType="separate"/>
      </w:r>
      <w:r w:rsidR="00766D30">
        <w:rPr>
          <w:noProof/>
        </w:rPr>
        <w:t>31</w:t>
      </w:r>
      <w:r>
        <w:rPr>
          <w:noProof/>
        </w:rPr>
        <w:fldChar w:fldCharType="end"/>
      </w:r>
    </w:p>
    <w:p w14:paraId="40DFE720" w14:textId="77777777" w:rsidR="00E25764" w:rsidRDefault="00E25764">
      <w:pPr>
        <w:pStyle w:val="TOC5"/>
        <w:rPr>
          <w:rFonts w:asciiTheme="minorHAnsi" w:eastAsiaTheme="minorEastAsia" w:hAnsiTheme="minorHAnsi" w:cstheme="minorBidi"/>
          <w:noProof/>
          <w:sz w:val="22"/>
          <w:szCs w:val="22"/>
          <w:lang w:eastAsia="en-AU"/>
        </w:rPr>
      </w:pPr>
      <w:r>
        <w:rPr>
          <w:noProof/>
        </w:rPr>
        <w:t>1.4  Overview—methods for measurement</w:t>
      </w:r>
      <w:r>
        <w:rPr>
          <w:noProof/>
        </w:rPr>
        <w:tab/>
      </w:r>
      <w:r>
        <w:rPr>
          <w:noProof/>
        </w:rPr>
        <w:fldChar w:fldCharType="begin"/>
      </w:r>
      <w:r>
        <w:rPr>
          <w:noProof/>
        </w:rPr>
        <w:instrText xml:space="preserve"> PAGEREF _Toc495652581 \h </w:instrText>
      </w:r>
      <w:r>
        <w:rPr>
          <w:noProof/>
        </w:rPr>
      </w:r>
      <w:r>
        <w:rPr>
          <w:noProof/>
        </w:rPr>
        <w:fldChar w:fldCharType="separate"/>
      </w:r>
      <w:r w:rsidR="00766D30">
        <w:rPr>
          <w:noProof/>
        </w:rPr>
        <w:t>35</w:t>
      </w:r>
      <w:r>
        <w:rPr>
          <w:noProof/>
        </w:rPr>
        <w:fldChar w:fldCharType="end"/>
      </w:r>
    </w:p>
    <w:p w14:paraId="68B27F87" w14:textId="77777777" w:rsidR="00E25764" w:rsidRDefault="00E25764">
      <w:pPr>
        <w:pStyle w:val="TOC5"/>
        <w:rPr>
          <w:rFonts w:asciiTheme="minorHAnsi" w:eastAsiaTheme="minorEastAsia" w:hAnsiTheme="minorHAnsi" w:cstheme="minorBidi"/>
          <w:noProof/>
          <w:sz w:val="22"/>
          <w:szCs w:val="22"/>
          <w:lang w:eastAsia="en-AU"/>
        </w:rPr>
      </w:pPr>
      <w:r>
        <w:rPr>
          <w:noProof/>
        </w:rPr>
        <w:t>1.5  Overview—energy</w:t>
      </w:r>
      <w:r>
        <w:rPr>
          <w:noProof/>
        </w:rPr>
        <w:tab/>
      </w:r>
      <w:r>
        <w:rPr>
          <w:noProof/>
        </w:rPr>
        <w:fldChar w:fldCharType="begin"/>
      </w:r>
      <w:r>
        <w:rPr>
          <w:noProof/>
        </w:rPr>
        <w:instrText xml:space="preserve"> PAGEREF _Toc495652582 \h </w:instrText>
      </w:r>
      <w:r>
        <w:rPr>
          <w:noProof/>
        </w:rPr>
      </w:r>
      <w:r>
        <w:rPr>
          <w:noProof/>
        </w:rPr>
        <w:fldChar w:fldCharType="separate"/>
      </w:r>
      <w:r w:rsidR="00766D30">
        <w:rPr>
          <w:noProof/>
        </w:rPr>
        <w:t>38</w:t>
      </w:r>
      <w:r>
        <w:rPr>
          <w:noProof/>
        </w:rPr>
        <w:fldChar w:fldCharType="end"/>
      </w:r>
    </w:p>
    <w:p w14:paraId="22D35422" w14:textId="77777777" w:rsidR="00E25764" w:rsidRDefault="00E25764">
      <w:pPr>
        <w:pStyle w:val="TOC5"/>
        <w:rPr>
          <w:rFonts w:asciiTheme="minorHAnsi" w:eastAsiaTheme="minorEastAsia" w:hAnsiTheme="minorHAnsi" w:cstheme="minorBidi"/>
          <w:noProof/>
          <w:sz w:val="22"/>
          <w:szCs w:val="22"/>
          <w:lang w:eastAsia="en-AU"/>
        </w:rPr>
      </w:pPr>
      <w:r>
        <w:rPr>
          <w:noProof/>
        </w:rPr>
        <w:t>1.6  Overview—scope 2 emissions</w:t>
      </w:r>
      <w:r>
        <w:rPr>
          <w:noProof/>
        </w:rPr>
        <w:tab/>
      </w:r>
      <w:r>
        <w:rPr>
          <w:noProof/>
        </w:rPr>
        <w:fldChar w:fldCharType="begin"/>
      </w:r>
      <w:r>
        <w:rPr>
          <w:noProof/>
        </w:rPr>
        <w:instrText xml:space="preserve"> PAGEREF _Toc495652583 \h </w:instrText>
      </w:r>
      <w:r>
        <w:rPr>
          <w:noProof/>
        </w:rPr>
      </w:r>
      <w:r>
        <w:rPr>
          <w:noProof/>
        </w:rPr>
        <w:fldChar w:fldCharType="separate"/>
      </w:r>
      <w:r w:rsidR="00766D30">
        <w:rPr>
          <w:noProof/>
        </w:rPr>
        <w:t>38</w:t>
      </w:r>
      <w:r>
        <w:rPr>
          <w:noProof/>
        </w:rPr>
        <w:fldChar w:fldCharType="end"/>
      </w:r>
    </w:p>
    <w:p w14:paraId="204F5A05" w14:textId="77777777" w:rsidR="00E25764" w:rsidRDefault="00E25764">
      <w:pPr>
        <w:pStyle w:val="TOC5"/>
        <w:rPr>
          <w:rFonts w:asciiTheme="minorHAnsi" w:eastAsiaTheme="minorEastAsia" w:hAnsiTheme="minorHAnsi" w:cstheme="minorBidi"/>
          <w:noProof/>
          <w:sz w:val="22"/>
          <w:szCs w:val="22"/>
          <w:lang w:eastAsia="en-AU"/>
        </w:rPr>
      </w:pPr>
      <w:r>
        <w:rPr>
          <w:noProof/>
        </w:rPr>
        <w:t>1.7  Overview—assessment of uncertainty</w:t>
      </w:r>
      <w:r>
        <w:rPr>
          <w:noProof/>
        </w:rPr>
        <w:tab/>
      </w:r>
      <w:r>
        <w:rPr>
          <w:noProof/>
        </w:rPr>
        <w:fldChar w:fldCharType="begin"/>
      </w:r>
      <w:r>
        <w:rPr>
          <w:noProof/>
        </w:rPr>
        <w:instrText xml:space="preserve"> PAGEREF _Toc495652584 \h </w:instrText>
      </w:r>
      <w:r>
        <w:rPr>
          <w:noProof/>
        </w:rPr>
      </w:r>
      <w:r>
        <w:rPr>
          <w:noProof/>
        </w:rPr>
        <w:fldChar w:fldCharType="separate"/>
      </w:r>
      <w:r w:rsidR="00766D30">
        <w:rPr>
          <w:noProof/>
        </w:rPr>
        <w:t>39</w:t>
      </w:r>
      <w:r>
        <w:rPr>
          <w:noProof/>
        </w:rPr>
        <w:fldChar w:fldCharType="end"/>
      </w:r>
    </w:p>
    <w:p w14:paraId="1F3D381A"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1.1.2—Definitions and interpretation</w:t>
      </w:r>
      <w:r>
        <w:rPr>
          <w:noProof/>
        </w:rPr>
        <w:tab/>
      </w:r>
      <w:r>
        <w:rPr>
          <w:noProof/>
        </w:rPr>
        <w:fldChar w:fldCharType="begin"/>
      </w:r>
      <w:r>
        <w:rPr>
          <w:noProof/>
        </w:rPr>
        <w:instrText xml:space="preserve"> PAGEREF _Toc495652585 \h </w:instrText>
      </w:r>
      <w:r>
        <w:rPr>
          <w:noProof/>
        </w:rPr>
      </w:r>
      <w:r>
        <w:rPr>
          <w:noProof/>
        </w:rPr>
        <w:fldChar w:fldCharType="separate"/>
      </w:r>
      <w:r w:rsidR="00766D30">
        <w:rPr>
          <w:noProof/>
        </w:rPr>
        <w:t>40</w:t>
      </w:r>
      <w:r>
        <w:rPr>
          <w:noProof/>
        </w:rPr>
        <w:fldChar w:fldCharType="end"/>
      </w:r>
    </w:p>
    <w:p w14:paraId="0A9DFF76" w14:textId="77777777" w:rsidR="00E25764" w:rsidRDefault="00E25764">
      <w:pPr>
        <w:pStyle w:val="TOC5"/>
        <w:rPr>
          <w:rFonts w:asciiTheme="minorHAnsi" w:eastAsiaTheme="minorEastAsia" w:hAnsiTheme="minorHAnsi" w:cstheme="minorBidi"/>
          <w:noProof/>
          <w:sz w:val="22"/>
          <w:szCs w:val="22"/>
          <w:lang w:eastAsia="en-AU"/>
        </w:rPr>
      </w:pPr>
      <w:r>
        <w:rPr>
          <w:noProof/>
        </w:rPr>
        <w:t>1.9  Interpretation</w:t>
      </w:r>
      <w:r>
        <w:rPr>
          <w:noProof/>
        </w:rPr>
        <w:tab/>
      </w:r>
      <w:r>
        <w:rPr>
          <w:noProof/>
        </w:rPr>
        <w:fldChar w:fldCharType="begin"/>
      </w:r>
      <w:r>
        <w:rPr>
          <w:noProof/>
        </w:rPr>
        <w:instrText xml:space="preserve"> PAGEREF _Toc495652586 \h </w:instrText>
      </w:r>
      <w:r>
        <w:rPr>
          <w:noProof/>
        </w:rPr>
      </w:r>
      <w:r>
        <w:rPr>
          <w:noProof/>
        </w:rPr>
        <w:fldChar w:fldCharType="separate"/>
      </w:r>
      <w:r w:rsidR="00766D30">
        <w:rPr>
          <w:noProof/>
        </w:rPr>
        <w:t>40</w:t>
      </w:r>
      <w:r>
        <w:rPr>
          <w:noProof/>
        </w:rPr>
        <w:fldChar w:fldCharType="end"/>
      </w:r>
    </w:p>
    <w:p w14:paraId="6A5E0651" w14:textId="77777777" w:rsidR="00E25764" w:rsidRDefault="00E25764">
      <w:pPr>
        <w:pStyle w:val="TOC5"/>
        <w:rPr>
          <w:rFonts w:asciiTheme="minorHAnsi" w:eastAsiaTheme="minorEastAsia" w:hAnsiTheme="minorHAnsi" w:cstheme="minorBidi"/>
          <w:noProof/>
          <w:sz w:val="22"/>
          <w:szCs w:val="22"/>
          <w:lang w:eastAsia="en-AU"/>
        </w:rPr>
      </w:pPr>
      <w:r>
        <w:rPr>
          <w:noProof/>
        </w:rPr>
        <w:t xml:space="preserve">1.9A  Meaning of </w:t>
      </w:r>
      <w:r w:rsidRPr="00EF3CB8">
        <w:rPr>
          <w:i/>
          <w:noProof/>
        </w:rPr>
        <w:t>separate instance of a source</w:t>
      </w:r>
      <w:r>
        <w:rPr>
          <w:noProof/>
        </w:rPr>
        <w:tab/>
      </w:r>
      <w:r>
        <w:rPr>
          <w:noProof/>
        </w:rPr>
        <w:fldChar w:fldCharType="begin"/>
      </w:r>
      <w:r>
        <w:rPr>
          <w:noProof/>
        </w:rPr>
        <w:instrText xml:space="preserve"> PAGEREF _Toc495652587 \h </w:instrText>
      </w:r>
      <w:r>
        <w:rPr>
          <w:noProof/>
        </w:rPr>
      </w:r>
      <w:r>
        <w:rPr>
          <w:noProof/>
        </w:rPr>
        <w:fldChar w:fldCharType="separate"/>
      </w:r>
      <w:r w:rsidR="00766D30">
        <w:rPr>
          <w:noProof/>
        </w:rPr>
        <w:t>40</w:t>
      </w:r>
      <w:r>
        <w:rPr>
          <w:noProof/>
        </w:rPr>
        <w:fldChar w:fldCharType="end"/>
      </w:r>
    </w:p>
    <w:p w14:paraId="342530F6" w14:textId="77777777" w:rsidR="00E25764" w:rsidRDefault="00E25764">
      <w:pPr>
        <w:pStyle w:val="TOC5"/>
        <w:rPr>
          <w:rFonts w:asciiTheme="minorHAnsi" w:eastAsiaTheme="minorEastAsia" w:hAnsiTheme="minorHAnsi" w:cstheme="minorBidi"/>
          <w:noProof/>
          <w:sz w:val="22"/>
          <w:szCs w:val="22"/>
          <w:lang w:eastAsia="en-AU"/>
        </w:rPr>
      </w:pPr>
      <w:r>
        <w:rPr>
          <w:noProof/>
        </w:rPr>
        <w:t xml:space="preserve">1.9B  Meaning of </w:t>
      </w:r>
      <w:r w:rsidRPr="00EF3CB8">
        <w:rPr>
          <w:i/>
          <w:noProof/>
        </w:rPr>
        <w:t>separate occurrence of a source</w:t>
      </w:r>
      <w:r>
        <w:rPr>
          <w:noProof/>
        </w:rPr>
        <w:tab/>
      </w:r>
      <w:r>
        <w:rPr>
          <w:noProof/>
        </w:rPr>
        <w:fldChar w:fldCharType="begin"/>
      </w:r>
      <w:r>
        <w:rPr>
          <w:noProof/>
        </w:rPr>
        <w:instrText xml:space="preserve"> PAGEREF _Toc495652588 \h </w:instrText>
      </w:r>
      <w:r>
        <w:rPr>
          <w:noProof/>
        </w:rPr>
      </w:r>
      <w:r>
        <w:rPr>
          <w:noProof/>
        </w:rPr>
        <w:fldChar w:fldCharType="separate"/>
      </w:r>
      <w:r w:rsidR="00766D30">
        <w:rPr>
          <w:noProof/>
        </w:rPr>
        <w:t>41</w:t>
      </w:r>
      <w:r>
        <w:rPr>
          <w:noProof/>
        </w:rPr>
        <w:fldChar w:fldCharType="end"/>
      </w:r>
    </w:p>
    <w:p w14:paraId="11D4178D" w14:textId="77777777" w:rsidR="00E25764" w:rsidRDefault="00E25764">
      <w:pPr>
        <w:pStyle w:val="TOC5"/>
        <w:rPr>
          <w:rFonts w:asciiTheme="minorHAnsi" w:eastAsiaTheme="minorEastAsia" w:hAnsiTheme="minorHAnsi" w:cstheme="minorBidi"/>
          <w:noProof/>
          <w:sz w:val="22"/>
          <w:szCs w:val="22"/>
          <w:lang w:eastAsia="en-AU"/>
        </w:rPr>
      </w:pPr>
      <w:r>
        <w:rPr>
          <w:noProof/>
        </w:rPr>
        <w:t xml:space="preserve">1.10  Meaning of </w:t>
      </w:r>
      <w:r w:rsidRPr="00EF3CB8">
        <w:rPr>
          <w:i/>
          <w:noProof/>
        </w:rPr>
        <w:t>source</w:t>
      </w:r>
      <w:r>
        <w:rPr>
          <w:noProof/>
        </w:rPr>
        <w:tab/>
      </w:r>
      <w:r>
        <w:rPr>
          <w:noProof/>
        </w:rPr>
        <w:fldChar w:fldCharType="begin"/>
      </w:r>
      <w:r>
        <w:rPr>
          <w:noProof/>
        </w:rPr>
        <w:instrText xml:space="preserve"> PAGEREF _Toc495652589 \h </w:instrText>
      </w:r>
      <w:r>
        <w:rPr>
          <w:noProof/>
        </w:rPr>
      </w:r>
      <w:r>
        <w:rPr>
          <w:noProof/>
        </w:rPr>
        <w:fldChar w:fldCharType="separate"/>
      </w:r>
      <w:r w:rsidR="00766D30">
        <w:rPr>
          <w:noProof/>
        </w:rPr>
        <w:t>41</w:t>
      </w:r>
      <w:r>
        <w:rPr>
          <w:noProof/>
        </w:rPr>
        <w:fldChar w:fldCharType="end"/>
      </w:r>
    </w:p>
    <w:p w14:paraId="109828F5" w14:textId="77777777" w:rsidR="00E25764" w:rsidRDefault="00E25764">
      <w:pPr>
        <w:pStyle w:val="TOC2"/>
        <w:rPr>
          <w:rFonts w:asciiTheme="minorHAnsi" w:eastAsiaTheme="minorEastAsia" w:hAnsiTheme="minorHAnsi" w:cstheme="minorBidi"/>
          <w:b w:val="0"/>
          <w:sz w:val="22"/>
          <w:szCs w:val="22"/>
          <w:lang w:eastAsia="en-AU"/>
        </w:rPr>
      </w:pPr>
      <w:r>
        <w:t>Part 1.2—General</w:t>
      </w:r>
      <w:r>
        <w:tab/>
      </w:r>
      <w:r>
        <w:fldChar w:fldCharType="begin"/>
      </w:r>
      <w:r>
        <w:instrText xml:space="preserve"> PAGEREF _Toc495652590 \h </w:instrText>
      </w:r>
      <w:r>
        <w:fldChar w:fldCharType="separate"/>
      </w:r>
      <w:r w:rsidR="00766D30">
        <w:t>43</w:t>
      </w:r>
      <w:r>
        <w:fldChar w:fldCharType="end"/>
      </w:r>
    </w:p>
    <w:p w14:paraId="38680357" w14:textId="77777777" w:rsidR="00E25764" w:rsidRDefault="00E25764">
      <w:pPr>
        <w:pStyle w:val="TOC5"/>
        <w:rPr>
          <w:rFonts w:asciiTheme="minorHAnsi" w:eastAsiaTheme="minorEastAsia" w:hAnsiTheme="minorHAnsi" w:cstheme="minorBidi"/>
          <w:noProof/>
          <w:sz w:val="22"/>
          <w:szCs w:val="22"/>
          <w:lang w:eastAsia="en-AU"/>
        </w:rPr>
      </w:pPr>
      <w:r>
        <w:rPr>
          <w:noProof/>
        </w:rPr>
        <w:t>1.11  Purpose of Part</w:t>
      </w:r>
      <w:r>
        <w:rPr>
          <w:noProof/>
        </w:rPr>
        <w:tab/>
      </w:r>
      <w:r>
        <w:rPr>
          <w:noProof/>
        </w:rPr>
        <w:fldChar w:fldCharType="begin"/>
      </w:r>
      <w:r>
        <w:rPr>
          <w:noProof/>
        </w:rPr>
        <w:instrText xml:space="preserve"> PAGEREF _Toc495652591 \h </w:instrText>
      </w:r>
      <w:r>
        <w:rPr>
          <w:noProof/>
        </w:rPr>
      </w:r>
      <w:r>
        <w:rPr>
          <w:noProof/>
        </w:rPr>
        <w:fldChar w:fldCharType="separate"/>
      </w:r>
      <w:r w:rsidR="00766D30">
        <w:rPr>
          <w:noProof/>
        </w:rPr>
        <w:t>43</w:t>
      </w:r>
      <w:r>
        <w:rPr>
          <w:noProof/>
        </w:rPr>
        <w:fldChar w:fldCharType="end"/>
      </w:r>
    </w:p>
    <w:p w14:paraId="0954ED43"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1.2.1—Measurement and standards</w:t>
      </w:r>
      <w:r>
        <w:rPr>
          <w:noProof/>
        </w:rPr>
        <w:tab/>
      </w:r>
      <w:r>
        <w:rPr>
          <w:noProof/>
        </w:rPr>
        <w:fldChar w:fldCharType="begin"/>
      </w:r>
      <w:r>
        <w:rPr>
          <w:noProof/>
        </w:rPr>
        <w:instrText xml:space="preserve"> PAGEREF _Toc495652592 \h </w:instrText>
      </w:r>
      <w:r>
        <w:rPr>
          <w:noProof/>
        </w:rPr>
      </w:r>
      <w:r>
        <w:rPr>
          <w:noProof/>
        </w:rPr>
        <w:fldChar w:fldCharType="separate"/>
      </w:r>
      <w:r w:rsidR="00766D30">
        <w:rPr>
          <w:noProof/>
        </w:rPr>
        <w:t>43</w:t>
      </w:r>
      <w:r>
        <w:rPr>
          <w:noProof/>
        </w:rPr>
        <w:fldChar w:fldCharType="end"/>
      </w:r>
    </w:p>
    <w:p w14:paraId="1A1ECFDA" w14:textId="77777777" w:rsidR="00E25764" w:rsidRDefault="00E25764">
      <w:pPr>
        <w:pStyle w:val="TOC5"/>
        <w:rPr>
          <w:rFonts w:asciiTheme="minorHAnsi" w:eastAsiaTheme="minorEastAsia" w:hAnsiTheme="minorHAnsi" w:cstheme="minorBidi"/>
          <w:noProof/>
          <w:sz w:val="22"/>
          <w:szCs w:val="22"/>
          <w:lang w:eastAsia="en-AU"/>
        </w:rPr>
      </w:pPr>
      <w:r>
        <w:rPr>
          <w:noProof/>
        </w:rPr>
        <w:t>1.12  Measurement of emissions</w:t>
      </w:r>
      <w:r>
        <w:rPr>
          <w:noProof/>
        </w:rPr>
        <w:tab/>
      </w:r>
      <w:r>
        <w:rPr>
          <w:noProof/>
        </w:rPr>
        <w:fldChar w:fldCharType="begin"/>
      </w:r>
      <w:r>
        <w:rPr>
          <w:noProof/>
        </w:rPr>
        <w:instrText xml:space="preserve"> PAGEREF _Toc495652593 \h </w:instrText>
      </w:r>
      <w:r>
        <w:rPr>
          <w:noProof/>
        </w:rPr>
      </w:r>
      <w:r>
        <w:rPr>
          <w:noProof/>
        </w:rPr>
        <w:fldChar w:fldCharType="separate"/>
      </w:r>
      <w:r w:rsidR="00766D30">
        <w:rPr>
          <w:noProof/>
        </w:rPr>
        <w:t>43</w:t>
      </w:r>
      <w:r>
        <w:rPr>
          <w:noProof/>
        </w:rPr>
        <w:fldChar w:fldCharType="end"/>
      </w:r>
    </w:p>
    <w:p w14:paraId="2B188DA0" w14:textId="77777777" w:rsidR="00E25764" w:rsidRDefault="00E25764">
      <w:pPr>
        <w:pStyle w:val="TOC5"/>
        <w:rPr>
          <w:rFonts w:asciiTheme="minorHAnsi" w:eastAsiaTheme="minorEastAsia" w:hAnsiTheme="minorHAnsi" w:cstheme="minorBidi"/>
          <w:noProof/>
          <w:sz w:val="22"/>
          <w:szCs w:val="22"/>
          <w:lang w:eastAsia="en-AU"/>
        </w:rPr>
      </w:pPr>
      <w:r w:rsidRPr="00EF3CB8">
        <w:rPr>
          <w:rFonts w:ascii="Times New Roman" w:hAnsi="Times New Roman"/>
          <w:noProof/>
          <w:kern w:val="28"/>
        </w:rPr>
        <w:t>1.13</w:t>
      </w:r>
      <w:r>
        <w:rPr>
          <w:rFonts w:asciiTheme="minorHAnsi" w:eastAsiaTheme="minorEastAsia" w:hAnsiTheme="minorHAnsi" w:cstheme="minorBidi"/>
          <w:noProof/>
          <w:sz w:val="22"/>
          <w:szCs w:val="22"/>
          <w:lang w:eastAsia="en-AU"/>
        </w:rPr>
        <w:tab/>
      </w:r>
      <w:r w:rsidRPr="00EF3CB8">
        <w:rPr>
          <w:rFonts w:ascii="Times New Roman" w:hAnsi="Times New Roman"/>
          <w:noProof/>
          <w:kern w:val="28"/>
        </w:rPr>
        <w:t>General principles for measuring emissions</w:t>
      </w:r>
      <w:r>
        <w:rPr>
          <w:noProof/>
        </w:rPr>
        <w:tab/>
      </w:r>
      <w:r>
        <w:rPr>
          <w:noProof/>
        </w:rPr>
        <w:fldChar w:fldCharType="begin"/>
      </w:r>
      <w:r>
        <w:rPr>
          <w:noProof/>
        </w:rPr>
        <w:instrText xml:space="preserve"> PAGEREF _Toc495652594 \h </w:instrText>
      </w:r>
      <w:r>
        <w:rPr>
          <w:noProof/>
        </w:rPr>
      </w:r>
      <w:r>
        <w:rPr>
          <w:noProof/>
        </w:rPr>
        <w:fldChar w:fldCharType="separate"/>
      </w:r>
      <w:r w:rsidR="00766D30">
        <w:rPr>
          <w:noProof/>
        </w:rPr>
        <w:t>43</w:t>
      </w:r>
      <w:r>
        <w:rPr>
          <w:noProof/>
        </w:rPr>
        <w:fldChar w:fldCharType="end"/>
      </w:r>
    </w:p>
    <w:p w14:paraId="67FE0C23" w14:textId="77777777" w:rsidR="00E25764" w:rsidRDefault="00E25764">
      <w:pPr>
        <w:pStyle w:val="TOC5"/>
        <w:rPr>
          <w:rFonts w:asciiTheme="minorHAnsi" w:eastAsiaTheme="minorEastAsia" w:hAnsiTheme="minorHAnsi" w:cstheme="minorBidi"/>
          <w:noProof/>
          <w:sz w:val="22"/>
          <w:szCs w:val="22"/>
          <w:lang w:eastAsia="en-AU"/>
        </w:rPr>
      </w:pPr>
      <w:r w:rsidRPr="00EF3CB8">
        <w:rPr>
          <w:rFonts w:ascii="Times New Roman" w:hAnsi="Times New Roman"/>
          <w:noProof/>
          <w:kern w:val="28"/>
        </w:rPr>
        <w:t>1.14</w:t>
      </w:r>
      <w:r>
        <w:rPr>
          <w:rFonts w:asciiTheme="minorHAnsi" w:eastAsiaTheme="minorEastAsia" w:hAnsiTheme="minorHAnsi" w:cstheme="minorBidi"/>
          <w:noProof/>
          <w:sz w:val="22"/>
          <w:szCs w:val="22"/>
          <w:lang w:eastAsia="en-AU"/>
        </w:rPr>
        <w:tab/>
      </w:r>
      <w:r w:rsidRPr="00EF3CB8">
        <w:rPr>
          <w:rFonts w:ascii="Times New Roman" w:hAnsi="Times New Roman"/>
          <w:noProof/>
          <w:kern w:val="28"/>
        </w:rPr>
        <w:t>Assessment of uncertainty</w:t>
      </w:r>
      <w:r>
        <w:rPr>
          <w:noProof/>
        </w:rPr>
        <w:tab/>
      </w:r>
      <w:r>
        <w:rPr>
          <w:noProof/>
        </w:rPr>
        <w:fldChar w:fldCharType="begin"/>
      </w:r>
      <w:r>
        <w:rPr>
          <w:noProof/>
        </w:rPr>
        <w:instrText xml:space="preserve"> PAGEREF _Toc495652595 \h </w:instrText>
      </w:r>
      <w:r>
        <w:rPr>
          <w:noProof/>
        </w:rPr>
      </w:r>
      <w:r>
        <w:rPr>
          <w:noProof/>
        </w:rPr>
        <w:fldChar w:fldCharType="separate"/>
      </w:r>
      <w:r w:rsidR="00766D30">
        <w:rPr>
          <w:noProof/>
        </w:rPr>
        <w:t>44</w:t>
      </w:r>
      <w:r>
        <w:rPr>
          <w:noProof/>
        </w:rPr>
        <w:fldChar w:fldCharType="end"/>
      </w:r>
    </w:p>
    <w:p w14:paraId="182492D4" w14:textId="77777777" w:rsidR="00E25764" w:rsidRDefault="00E25764">
      <w:pPr>
        <w:pStyle w:val="TOC5"/>
        <w:rPr>
          <w:rFonts w:asciiTheme="minorHAnsi" w:eastAsiaTheme="minorEastAsia" w:hAnsiTheme="minorHAnsi" w:cstheme="minorBidi"/>
          <w:noProof/>
          <w:sz w:val="22"/>
          <w:szCs w:val="22"/>
          <w:lang w:eastAsia="en-AU"/>
        </w:rPr>
      </w:pPr>
      <w:r w:rsidRPr="00EF3CB8">
        <w:rPr>
          <w:rFonts w:ascii="Times New Roman" w:hAnsi="Times New Roman"/>
          <w:noProof/>
          <w:kern w:val="28"/>
        </w:rPr>
        <w:t>1.15</w:t>
      </w:r>
      <w:r>
        <w:rPr>
          <w:rFonts w:asciiTheme="minorHAnsi" w:eastAsiaTheme="minorEastAsia" w:hAnsiTheme="minorHAnsi" w:cstheme="minorBidi"/>
          <w:noProof/>
          <w:sz w:val="22"/>
          <w:szCs w:val="22"/>
          <w:lang w:eastAsia="en-AU"/>
        </w:rPr>
        <w:tab/>
      </w:r>
      <w:r w:rsidRPr="00EF3CB8">
        <w:rPr>
          <w:rFonts w:ascii="Times New Roman" w:hAnsi="Times New Roman"/>
          <w:noProof/>
          <w:kern w:val="28"/>
        </w:rPr>
        <w:t>Units of measurement</w:t>
      </w:r>
      <w:r>
        <w:rPr>
          <w:noProof/>
        </w:rPr>
        <w:tab/>
      </w:r>
      <w:r>
        <w:rPr>
          <w:noProof/>
        </w:rPr>
        <w:fldChar w:fldCharType="begin"/>
      </w:r>
      <w:r>
        <w:rPr>
          <w:noProof/>
        </w:rPr>
        <w:instrText xml:space="preserve"> PAGEREF _Toc495652596 \h </w:instrText>
      </w:r>
      <w:r>
        <w:rPr>
          <w:noProof/>
        </w:rPr>
      </w:r>
      <w:r>
        <w:rPr>
          <w:noProof/>
        </w:rPr>
        <w:fldChar w:fldCharType="separate"/>
      </w:r>
      <w:r w:rsidR="00766D30">
        <w:rPr>
          <w:noProof/>
        </w:rPr>
        <w:t>44</w:t>
      </w:r>
      <w:r>
        <w:rPr>
          <w:noProof/>
        </w:rPr>
        <w:fldChar w:fldCharType="end"/>
      </w:r>
    </w:p>
    <w:p w14:paraId="4E218902" w14:textId="77777777" w:rsidR="00E25764" w:rsidRDefault="00E25764">
      <w:pPr>
        <w:pStyle w:val="TOC5"/>
        <w:rPr>
          <w:rFonts w:asciiTheme="minorHAnsi" w:eastAsiaTheme="minorEastAsia" w:hAnsiTheme="minorHAnsi" w:cstheme="minorBidi"/>
          <w:noProof/>
          <w:sz w:val="22"/>
          <w:szCs w:val="22"/>
          <w:lang w:eastAsia="en-AU"/>
        </w:rPr>
      </w:pPr>
      <w:r w:rsidRPr="00EF3CB8">
        <w:rPr>
          <w:rFonts w:ascii="Times New Roman" w:hAnsi="Times New Roman"/>
          <w:noProof/>
          <w:kern w:val="28"/>
        </w:rPr>
        <w:t>1.16</w:t>
      </w:r>
      <w:r>
        <w:rPr>
          <w:rFonts w:asciiTheme="minorHAnsi" w:eastAsiaTheme="minorEastAsia" w:hAnsiTheme="minorHAnsi" w:cstheme="minorBidi"/>
          <w:noProof/>
          <w:sz w:val="22"/>
          <w:szCs w:val="22"/>
          <w:lang w:eastAsia="en-AU"/>
        </w:rPr>
        <w:tab/>
      </w:r>
      <w:r w:rsidRPr="00EF3CB8">
        <w:rPr>
          <w:rFonts w:ascii="Times New Roman" w:hAnsi="Times New Roman"/>
          <w:noProof/>
          <w:kern w:val="28"/>
        </w:rPr>
        <w:t>Rounding of amounts</w:t>
      </w:r>
      <w:r>
        <w:rPr>
          <w:noProof/>
        </w:rPr>
        <w:tab/>
      </w:r>
      <w:r>
        <w:rPr>
          <w:noProof/>
        </w:rPr>
        <w:fldChar w:fldCharType="begin"/>
      </w:r>
      <w:r>
        <w:rPr>
          <w:noProof/>
        </w:rPr>
        <w:instrText xml:space="preserve"> PAGEREF _Toc495652597 \h </w:instrText>
      </w:r>
      <w:r>
        <w:rPr>
          <w:noProof/>
        </w:rPr>
      </w:r>
      <w:r>
        <w:rPr>
          <w:noProof/>
        </w:rPr>
        <w:fldChar w:fldCharType="separate"/>
      </w:r>
      <w:r w:rsidR="00766D30">
        <w:rPr>
          <w:noProof/>
        </w:rPr>
        <w:t>45</w:t>
      </w:r>
      <w:r>
        <w:rPr>
          <w:noProof/>
        </w:rPr>
        <w:fldChar w:fldCharType="end"/>
      </w:r>
    </w:p>
    <w:p w14:paraId="77920231" w14:textId="77777777" w:rsidR="00E25764" w:rsidRDefault="00E25764">
      <w:pPr>
        <w:pStyle w:val="TOC5"/>
        <w:rPr>
          <w:rFonts w:asciiTheme="minorHAnsi" w:eastAsiaTheme="minorEastAsia" w:hAnsiTheme="minorHAnsi" w:cstheme="minorBidi"/>
          <w:noProof/>
          <w:sz w:val="22"/>
          <w:szCs w:val="22"/>
          <w:lang w:eastAsia="en-AU"/>
        </w:rPr>
      </w:pPr>
      <w:r w:rsidRPr="00EF3CB8">
        <w:rPr>
          <w:rFonts w:ascii="Times New Roman" w:hAnsi="Times New Roman"/>
          <w:noProof/>
          <w:kern w:val="28"/>
        </w:rPr>
        <w:t>1.17</w:t>
      </w:r>
      <w:r>
        <w:rPr>
          <w:rFonts w:asciiTheme="minorHAnsi" w:eastAsiaTheme="minorEastAsia" w:hAnsiTheme="minorHAnsi" w:cstheme="minorBidi"/>
          <w:noProof/>
          <w:sz w:val="22"/>
          <w:szCs w:val="22"/>
          <w:lang w:eastAsia="en-AU"/>
        </w:rPr>
        <w:tab/>
      </w:r>
      <w:r w:rsidRPr="00EF3CB8">
        <w:rPr>
          <w:rFonts w:ascii="Times New Roman" w:hAnsi="Times New Roman"/>
          <w:noProof/>
          <w:kern w:val="28"/>
        </w:rPr>
        <w:t>Status of standards</w:t>
      </w:r>
      <w:r>
        <w:rPr>
          <w:noProof/>
        </w:rPr>
        <w:tab/>
      </w:r>
      <w:r>
        <w:rPr>
          <w:noProof/>
        </w:rPr>
        <w:fldChar w:fldCharType="begin"/>
      </w:r>
      <w:r>
        <w:rPr>
          <w:noProof/>
        </w:rPr>
        <w:instrText xml:space="preserve"> PAGEREF _Toc495652598 \h </w:instrText>
      </w:r>
      <w:r>
        <w:rPr>
          <w:noProof/>
        </w:rPr>
      </w:r>
      <w:r>
        <w:rPr>
          <w:noProof/>
        </w:rPr>
        <w:fldChar w:fldCharType="separate"/>
      </w:r>
      <w:r w:rsidR="00766D30">
        <w:rPr>
          <w:noProof/>
        </w:rPr>
        <w:t>45</w:t>
      </w:r>
      <w:r>
        <w:rPr>
          <w:noProof/>
        </w:rPr>
        <w:fldChar w:fldCharType="end"/>
      </w:r>
    </w:p>
    <w:p w14:paraId="376B044B"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1.2.2—Methods</w:t>
      </w:r>
      <w:r>
        <w:rPr>
          <w:noProof/>
        </w:rPr>
        <w:tab/>
      </w:r>
      <w:r>
        <w:rPr>
          <w:noProof/>
        </w:rPr>
        <w:fldChar w:fldCharType="begin"/>
      </w:r>
      <w:r>
        <w:rPr>
          <w:noProof/>
        </w:rPr>
        <w:instrText xml:space="preserve"> PAGEREF _Toc495652599 \h </w:instrText>
      </w:r>
      <w:r>
        <w:rPr>
          <w:noProof/>
        </w:rPr>
      </w:r>
      <w:r>
        <w:rPr>
          <w:noProof/>
        </w:rPr>
        <w:fldChar w:fldCharType="separate"/>
      </w:r>
      <w:r w:rsidR="00766D30">
        <w:rPr>
          <w:noProof/>
        </w:rPr>
        <w:t>46</w:t>
      </w:r>
      <w:r>
        <w:rPr>
          <w:noProof/>
        </w:rPr>
        <w:fldChar w:fldCharType="end"/>
      </w:r>
    </w:p>
    <w:p w14:paraId="1F9079B4" w14:textId="77777777" w:rsidR="00E25764" w:rsidRDefault="00E25764">
      <w:pPr>
        <w:pStyle w:val="TOC5"/>
        <w:rPr>
          <w:rFonts w:asciiTheme="minorHAnsi" w:eastAsiaTheme="minorEastAsia" w:hAnsiTheme="minorHAnsi" w:cstheme="minorBidi"/>
          <w:noProof/>
          <w:sz w:val="22"/>
          <w:szCs w:val="22"/>
          <w:lang w:eastAsia="en-AU"/>
        </w:rPr>
      </w:pPr>
      <w:r>
        <w:rPr>
          <w:noProof/>
        </w:rPr>
        <w:t>1.18  Method to be used for a separate occurrence of a source</w:t>
      </w:r>
      <w:r>
        <w:rPr>
          <w:noProof/>
        </w:rPr>
        <w:tab/>
      </w:r>
      <w:r>
        <w:rPr>
          <w:noProof/>
        </w:rPr>
        <w:fldChar w:fldCharType="begin"/>
      </w:r>
      <w:r>
        <w:rPr>
          <w:noProof/>
        </w:rPr>
        <w:instrText xml:space="preserve"> PAGEREF _Toc495652600 \h </w:instrText>
      </w:r>
      <w:r>
        <w:rPr>
          <w:noProof/>
        </w:rPr>
      </w:r>
      <w:r>
        <w:rPr>
          <w:noProof/>
        </w:rPr>
        <w:fldChar w:fldCharType="separate"/>
      </w:r>
      <w:r w:rsidR="00766D30">
        <w:rPr>
          <w:noProof/>
        </w:rPr>
        <w:t>46</w:t>
      </w:r>
      <w:r>
        <w:rPr>
          <w:noProof/>
        </w:rPr>
        <w:fldChar w:fldCharType="end"/>
      </w:r>
    </w:p>
    <w:p w14:paraId="0499BAAC" w14:textId="77777777" w:rsidR="00E25764" w:rsidRDefault="00E25764">
      <w:pPr>
        <w:pStyle w:val="TOC5"/>
        <w:rPr>
          <w:rFonts w:asciiTheme="minorHAnsi" w:eastAsiaTheme="minorEastAsia" w:hAnsiTheme="minorHAnsi" w:cstheme="minorBidi"/>
          <w:noProof/>
          <w:sz w:val="22"/>
          <w:szCs w:val="22"/>
          <w:lang w:eastAsia="en-AU"/>
        </w:rPr>
      </w:pPr>
      <w:r>
        <w:rPr>
          <w:noProof/>
        </w:rPr>
        <w:t>1.18A  Conditions—persons preparing report must use same method</w:t>
      </w:r>
      <w:r>
        <w:rPr>
          <w:noProof/>
        </w:rPr>
        <w:tab/>
      </w:r>
      <w:r>
        <w:rPr>
          <w:noProof/>
        </w:rPr>
        <w:fldChar w:fldCharType="begin"/>
      </w:r>
      <w:r>
        <w:rPr>
          <w:noProof/>
        </w:rPr>
        <w:instrText xml:space="preserve"> PAGEREF _Toc495652601 \h </w:instrText>
      </w:r>
      <w:r>
        <w:rPr>
          <w:noProof/>
        </w:rPr>
      </w:r>
      <w:r>
        <w:rPr>
          <w:noProof/>
        </w:rPr>
        <w:fldChar w:fldCharType="separate"/>
      </w:r>
      <w:r w:rsidR="00766D30">
        <w:rPr>
          <w:noProof/>
        </w:rPr>
        <w:t>47</w:t>
      </w:r>
      <w:r>
        <w:rPr>
          <w:noProof/>
        </w:rPr>
        <w:fldChar w:fldCharType="end"/>
      </w:r>
    </w:p>
    <w:p w14:paraId="189B0884" w14:textId="77777777" w:rsidR="00E25764" w:rsidRDefault="00E25764">
      <w:pPr>
        <w:pStyle w:val="TOC5"/>
        <w:rPr>
          <w:rFonts w:asciiTheme="minorHAnsi" w:eastAsiaTheme="minorEastAsia" w:hAnsiTheme="minorHAnsi" w:cstheme="minorBidi"/>
          <w:noProof/>
          <w:sz w:val="22"/>
          <w:szCs w:val="22"/>
          <w:lang w:eastAsia="en-AU"/>
        </w:rPr>
      </w:pPr>
      <w:r>
        <w:rPr>
          <w:noProof/>
        </w:rPr>
        <w:lastRenderedPageBreak/>
        <w:t>1.19  Temporary unavailability of method</w:t>
      </w:r>
      <w:r>
        <w:rPr>
          <w:noProof/>
        </w:rPr>
        <w:tab/>
      </w:r>
      <w:r>
        <w:rPr>
          <w:noProof/>
        </w:rPr>
        <w:fldChar w:fldCharType="begin"/>
      </w:r>
      <w:r>
        <w:rPr>
          <w:noProof/>
        </w:rPr>
        <w:instrText xml:space="preserve"> PAGEREF _Toc495652602 \h </w:instrText>
      </w:r>
      <w:r>
        <w:rPr>
          <w:noProof/>
        </w:rPr>
      </w:r>
      <w:r>
        <w:rPr>
          <w:noProof/>
        </w:rPr>
        <w:fldChar w:fldCharType="separate"/>
      </w:r>
      <w:r w:rsidR="00766D30">
        <w:rPr>
          <w:noProof/>
        </w:rPr>
        <w:t>48</w:t>
      </w:r>
      <w:r>
        <w:rPr>
          <w:noProof/>
        </w:rPr>
        <w:fldChar w:fldCharType="end"/>
      </w:r>
    </w:p>
    <w:p w14:paraId="0EA273FE"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1.2.3—Requirements in relation to carbon capture and storage</w:t>
      </w:r>
      <w:r>
        <w:rPr>
          <w:noProof/>
        </w:rPr>
        <w:tab/>
      </w:r>
      <w:r>
        <w:rPr>
          <w:noProof/>
        </w:rPr>
        <w:fldChar w:fldCharType="begin"/>
      </w:r>
      <w:r>
        <w:rPr>
          <w:noProof/>
        </w:rPr>
        <w:instrText xml:space="preserve"> PAGEREF _Toc495652603 \h </w:instrText>
      </w:r>
      <w:r>
        <w:rPr>
          <w:noProof/>
        </w:rPr>
      </w:r>
      <w:r>
        <w:rPr>
          <w:noProof/>
        </w:rPr>
        <w:fldChar w:fldCharType="separate"/>
      </w:r>
      <w:r w:rsidR="00766D30">
        <w:rPr>
          <w:noProof/>
        </w:rPr>
        <w:t>50</w:t>
      </w:r>
      <w:r>
        <w:rPr>
          <w:noProof/>
        </w:rPr>
        <w:fldChar w:fldCharType="end"/>
      </w:r>
    </w:p>
    <w:p w14:paraId="0948880E" w14:textId="77777777" w:rsidR="00E25764" w:rsidRDefault="00E25764">
      <w:pPr>
        <w:pStyle w:val="TOC5"/>
        <w:rPr>
          <w:rFonts w:asciiTheme="minorHAnsi" w:eastAsiaTheme="minorEastAsia" w:hAnsiTheme="minorHAnsi" w:cstheme="minorBidi"/>
          <w:noProof/>
          <w:sz w:val="22"/>
          <w:szCs w:val="22"/>
          <w:lang w:eastAsia="en-AU"/>
        </w:rPr>
      </w:pPr>
      <w:r>
        <w:rPr>
          <w:noProof/>
        </w:rPr>
        <w:t xml:space="preserve">1.19A  Meaning of </w:t>
      </w:r>
      <w:r w:rsidRPr="00EF3CB8">
        <w:rPr>
          <w:i/>
          <w:noProof/>
        </w:rPr>
        <w:t>captured for permanent storage</w:t>
      </w:r>
      <w:r>
        <w:rPr>
          <w:noProof/>
        </w:rPr>
        <w:tab/>
      </w:r>
      <w:r>
        <w:rPr>
          <w:noProof/>
        </w:rPr>
        <w:fldChar w:fldCharType="begin"/>
      </w:r>
      <w:r>
        <w:rPr>
          <w:noProof/>
        </w:rPr>
        <w:instrText xml:space="preserve"> PAGEREF _Toc495652604 \h </w:instrText>
      </w:r>
      <w:r>
        <w:rPr>
          <w:noProof/>
        </w:rPr>
      </w:r>
      <w:r>
        <w:rPr>
          <w:noProof/>
        </w:rPr>
        <w:fldChar w:fldCharType="separate"/>
      </w:r>
      <w:r w:rsidR="00766D30">
        <w:rPr>
          <w:noProof/>
        </w:rPr>
        <w:t>50</w:t>
      </w:r>
      <w:r>
        <w:rPr>
          <w:noProof/>
        </w:rPr>
        <w:fldChar w:fldCharType="end"/>
      </w:r>
    </w:p>
    <w:p w14:paraId="3E983E14" w14:textId="77777777" w:rsidR="00E25764" w:rsidRDefault="00E25764">
      <w:pPr>
        <w:pStyle w:val="TOC5"/>
        <w:rPr>
          <w:rFonts w:asciiTheme="minorHAnsi" w:eastAsiaTheme="minorEastAsia" w:hAnsiTheme="minorHAnsi" w:cstheme="minorBidi"/>
          <w:noProof/>
          <w:sz w:val="22"/>
          <w:szCs w:val="22"/>
          <w:lang w:eastAsia="en-AU"/>
        </w:rPr>
      </w:pPr>
      <w:r>
        <w:rPr>
          <w:noProof/>
        </w:rPr>
        <w:t>1.19B  Deducting greenhouse gas that is captured for permanent storage</w:t>
      </w:r>
      <w:r>
        <w:rPr>
          <w:noProof/>
        </w:rPr>
        <w:tab/>
      </w:r>
      <w:r>
        <w:rPr>
          <w:noProof/>
        </w:rPr>
        <w:fldChar w:fldCharType="begin"/>
      </w:r>
      <w:r>
        <w:rPr>
          <w:noProof/>
        </w:rPr>
        <w:instrText xml:space="preserve"> PAGEREF _Toc495652605 \h </w:instrText>
      </w:r>
      <w:r>
        <w:rPr>
          <w:noProof/>
        </w:rPr>
      </w:r>
      <w:r>
        <w:rPr>
          <w:noProof/>
        </w:rPr>
        <w:fldChar w:fldCharType="separate"/>
      </w:r>
      <w:r w:rsidR="00766D30">
        <w:rPr>
          <w:noProof/>
        </w:rPr>
        <w:t>50</w:t>
      </w:r>
      <w:r>
        <w:rPr>
          <w:noProof/>
        </w:rPr>
        <w:fldChar w:fldCharType="end"/>
      </w:r>
    </w:p>
    <w:p w14:paraId="7192598F" w14:textId="77777777" w:rsidR="00E25764" w:rsidRDefault="00E25764">
      <w:pPr>
        <w:pStyle w:val="TOC5"/>
        <w:rPr>
          <w:rFonts w:asciiTheme="minorHAnsi" w:eastAsiaTheme="minorEastAsia" w:hAnsiTheme="minorHAnsi" w:cstheme="minorBidi"/>
          <w:noProof/>
          <w:sz w:val="22"/>
          <w:szCs w:val="22"/>
          <w:lang w:eastAsia="en-AU"/>
        </w:rPr>
      </w:pPr>
      <w:r>
        <w:rPr>
          <w:noProof/>
        </w:rPr>
        <w:t>1.19C  Capture from facility with multiple sources jointly generated</w:t>
      </w:r>
      <w:r>
        <w:rPr>
          <w:noProof/>
        </w:rPr>
        <w:tab/>
      </w:r>
      <w:r>
        <w:rPr>
          <w:noProof/>
        </w:rPr>
        <w:fldChar w:fldCharType="begin"/>
      </w:r>
      <w:r>
        <w:rPr>
          <w:noProof/>
        </w:rPr>
        <w:instrText xml:space="preserve"> PAGEREF _Toc495652606 \h </w:instrText>
      </w:r>
      <w:r>
        <w:rPr>
          <w:noProof/>
        </w:rPr>
      </w:r>
      <w:r>
        <w:rPr>
          <w:noProof/>
        </w:rPr>
        <w:fldChar w:fldCharType="separate"/>
      </w:r>
      <w:r w:rsidR="00766D30">
        <w:rPr>
          <w:noProof/>
        </w:rPr>
        <w:t>51</w:t>
      </w:r>
      <w:r>
        <w:rPr>
          <w:noProof/>
        </w:rPr>
        <w:fldChar w:fldCharType="end"/>
      </w:r>
    </w:p>
    <w:p w14:paraId="1682AA0E" w14:textId="77777777" w:rsidR="00E25764" w:rsidRDefault="00E25764">
      <w:pPr>
        <w:pStyle w:val="TOC5"/>
        <w:rPr>
          <w:rFonts w:asciiTheme="minorHAnsi" w:eastAsiaTheme="minorEastAsia" w:hAnsiTheme="minorHAnsi" w:cstheme="minorBidi"/>
          <w:noProof/>
          <w:sz w:val="22"/>
          <w:szCs w:val="22"/>
          <w:lang w:eastAsia="en-AU"/>
        </w:rPr>
      </w:pPr>
      <w:r>
        <w:rPr>
          <w:noProof/>
        </w:rPr>
        <w:t>1.19D  Capture from a source where multiple fuels consumed</w:t>
      </w:r>
      <w:r>
        <w:rPr>
          <w:noProof/>
        </w:rPr>
        <w:tab/>
      </w:r>
      <w:r>
        <w:rPr>
          <w:noProof/>
        </w:rPr>
        <w:fldChar w:fldCharType="begin"/>
      </w:r>
      <w:r>
        <w:rPr>
          <w:noProof/>
        </w:rPr>
        <w:instrText xml:space="preserve"> PAGEREF _Toc495652607 \h </w:instrText>
      </w:r>
      <w:r>
        <w:rPr>
          <w:noProof/>
        </w:rPr>
      </w:r>
      <w:r>
        <w:rPr>
          <w:noProof/>
        </w:rPr>
        <w:fldChar w:fldCharType="separate"/>
      </w:r>
      <w:r w:rsidR="00766D30">
        <w:rPr>
          <w:noProof/>
        </w:rPr>
        <w:t>52</w:t>
      </w:r>
      <w:r>
        <w:rPr>
          <w:noProof/>
        </w:rPr>
        <w:fldChar w:fldCharType="end"/>
      </w:r>
    </w:p>
    <w:p w14:paraId="2DC28C2A" w14:textId="77777777" w:rsidR="00E25764" w:rsidRDefault="00E25764">
      <w:pPr>
        <w:pStyle w:val="TOC5"/>
        <w:rPr>
          <w:rFonts w:asciiTheme="minorHAnsi" w:eastAsiaTheme="minorEastAsia" w:hAnsiTheme="minorHAnsi" w:cstheme="minorBidi"/>
          <w:noProof/>
          <w:sz w:val="22"/>
          <w:szCs w:val="22"/>
          <w:lang w:eastAsia="en-AU"/>
        </w:rPr>
      </w:pPr>
      <w:r>
        <w:rPr>
          <w:noProof/>
        </w:rPr>
        <w:t>1.19E  Measure of quantity of captured greenhouse gas</w:t>
      </w:r>
      <w:r>
        <w:rPr>
          <w:noProof/>
        </w:rPr>
        <w:tab/>
      </w:r>
      <w:r>
        <w:rPr>
          <w:noProof/>
        </w:rPr>
        <w:fldChar w:fldCharType="begin"/>
      </w:r>
      <w:r>
        <w:rPr>
          <w:noProof/>
        </w:rPr>
        <w:instrText xml:space="preserve"> PAGEREF _Toc495652608 \h </w:instrText>
      </w:r>
      <w:r>
        <w:rPr>
          <w:noProof/>
        </w:rPr>
      </w:r>
      <w:r>
        <w:rPr>
          <w:noProof/>
        </w:rPr>
        <w:fldChar w:fldCharType="separate"/>
      </w:r>
      <w:r w:rsidR="00766D30">
        <w:rPr>
          <w:noProof/>
        </w:rPr>
        <w:t>52</w:t>
      </w:r>
      <w:r>
        <w:rPr>
          <w:noProof/>
        </w:rPr>
        <w:fldChar w:fldCharType="end"/>
      </w:r>
    </w:p>
    <w:p w14:paraId="1B880020" w14:textId="77777777" w:rsidR="00E25764" w:rsidRDefault="00E25764">
      <w:pPr>
        <w:pStyle w:val="TOC5"/>
        <w:rPr>
          <w:rFonts w:asciiTheme="minorHAnsi" w:eastAsiaTheme="minorEastAsia" w:hAnsiTheme="minorHAnsi" w:cstheme="minorBidi"/>
          <w:noProof/>
          <w:sz w:val="22"/>
          <w:szCs w:val="22"/>
          <w:lang w:eastAsia="en-AU"/>
        </w:rPr>
      </w:pPr>
      <w:r>
        <w:rPr>
          <w:noProof/>
        </w:rPr>
        <w:t>1.19F  Volume of greenhouse gas stream—criterion A</w:t>
      </w:r>
      <w:r>
        <w:rPr>
          <w:noProof/>
        </w:rPr>
        <w:tab/>
      </w:r>
      <w:r>
        <w:rPr>
          <w:noProof/>
        </w:rPr>
        <w:fldChar w:fldCharType="begin"/>
      </w:r>
      <w:r>
        <w:rPr>
          <w:noProof/>
        </w:rPr>
        <w:instrText xml:space="preserve"> PAGEREF _Toc495652609 \h </w:instrText>
      </w:r>
      <w:r>
        <w:rPr>
          <w:noProof/>
        </w:rPr>
      </w:r>
      <w:r>
        <w:rPr>
          <w:noProof/>
        </w:rPr>
        <w:fldChar w:fldCharType="separate"/>
      </w:r>
      <w:r w:rsidR="00766D30">
        <w:rPr>
          <w:noProof/>
        </w:rPr>
        <w:t>53</w:t>
      </w:r>
      <w:r>
        <w:rPr>
          <w:noProof/>
        </w:rPr>
        <w:fldChar w:fldCharType="end"/>
      </w:r>
    </w:p>
    <w:p w14:paraId="4B798F6F" w14:textId="77777777" w:rsidR="00E25764" w:rsidRDefault="00E25764">
      <w:pPr>
        <w:pStyle w:val="TOC5"/>
        <w:rPr>
          <w:rFonts w:asciiTheme="minorHAnsi" w:eastAsiaTheme="minorEastAsia" w:hAnsiTheme="minorHAnsi" w:cstheme="minorBidi"/>
          <w:noProof/>
          <w:sz w:val="22"/>
          <w:szCs w:val="22"/>
          <w:lang w:eastAsia="en-AU"/>
        </w:rPr>
      </w:pPr>
      <w:r>
        <w:rPr>
          <w:noProof/>
        </w:rPr>
        <w:t>1.19G  Volume of greenhouse gas stream—criterion AAA</w:t>
      </w:r>
      <w:r>
        <w:rPr>
          <w:noProof/>
        </w:rPr>
        <w:tab/>
      </w:r>
      <w:r>
        <w:rPr>
          <w:noProof/>
        </w:rPr>
        <w:fldChar w:fldCharType="begin"/>
      </w:r>
      <w:r>
        <w:rPr>
          <w:noProof/>
        </w:rPr>
        <w:instrText xml:space="preserve"> PAGEREF _Toc495652610 \h </w:instrText>
      </w:r>
      <w:r>
        <w:rPr>
          <w:noProof/>
        </w:rPr>
      </w:r>
      <w:r>
        <w:rPr>
          <w:noProof/>
        </w:rPr>
        <w:fldChar w:fldCharType="separate"/>
      </w:r>
      <w:r w:rsidR="00766D30">
        <w:rPr>
          <w:noProof/>
        </w:rPr>
        <w:t>53</w:t>
      </w:r>
      <w:r>
        <w:rPr>
          <w:noProof/>
        </w:rPr>
        <w:fldChar w:fldCharType="end"/>
      </w:r>
    </w:p>
    <w:p w14:paraId="11807DED" w14:textId="77777777" w:rsidR="00E25764" w:rsidRDefault="00E25764">
      <w:pPr>
        <w:pStyle w:val="TOC5"/>
        <w:rPr>
          <w:rFonts w:asciiTheme="minorHAnsi" w:eastAsiaTheme="minorEastAsia" w:hAnsiTheme="minorHAnsi" w:cstheme="minorBidi"/>
          <w:noProof/>
          <w:sz w:val="22"/>
          <w:szCs w:val="22"/>
          <w:lang w:eastAsia="en-AU"/>
        </w:rPr>
      </w:pPr>
      <w:r>
        <w:rPr>
          <w:noProof/>
        </w:rPr>
        <w:t>1.19GA  Volume of greenhouse gas stream—criterion BBB</w:t>
      </w:r>
      <w:r>
        <w:rPr>
          <w:noProof/>
        </w:rPr>
        <w:tab/>
      </w:r>
      <w:r>
        <w:rPr>
          <w:noProof/>
        </w:rPr>
        <w:fldChar w:fldCharType="begin"/>
      </w:r>
      <w:r>
        <w:rPr>
          <w:noProof/>
        </w:rPr>
        <w:instrText xml:space="preserve"> PAGEREF _Toc495652611 \h </w:instrText>
      </w:r>
      <w:r>
        <w:rPr>
          <w:noProof/>
        </w:rPr>
      </w:r>
      <w:r>
        <w:rPr>
          <w:noProof/>
        </w:rPr>
        <w:fldChar w:fldCharType="separate"/>
      </w:r>
      <w:r w:rsidR="00766D30">
        <w:rPr>
          <w:noProof/>
        </w:rPr>
        <w:t>54</w:t>
      </w:r>
      <w:r>
        <w:rPr>
          <w:noProof/>
        </w:rPr>
        <w:fldChar w:fldCharType="end"/>
      </w:r>
    </w:p>
    <w:p w14:paraId="096BB675" w14:textId="77777777" w:rsidR="00E25764" w:rsidRDefault="00E25764">
      <w:pPr>
        <w:pStyle w:val="TOC5"/>
        <w:rPr>
          <w:rFonts w:asciiTheme="minorHAnsi" w:eastAsiaTheme="minorEastAsia" w:hAnsiTheme="minorHAnsi" w:cstheme="minorBidi"/>
          <w:noProof/>
          <w:sz w:val="22"/>
          <w:szCs w:val="22"/>
          <w:lang w:eastAsia="en-AU"/>
        </w:rPr>
      </w:pPr>
      <w:r>
        <w:rPr>
          <w:noProof/>
        </w:rPr>
        <w:t>1.19H  Volumetric measurement—compressed greenhouse gas stream</w:t>
      </w:r>
      <w:r>
        <w:rPr>
          <w:noProof/>
        </w:rPr>
        <w:tab/>
      </w:r>
      <w:r>
        <w:rPr>
          <w:noProof/>
        </w:rPr>
        <w:fldChar w:fldCharType="begin"/>
      </w:r>
      <w:r>
        <w:rPr>
          <w:noProof/>
        </w:rPr>
        <w:instrText xml:space="preserve"> PAGEREF _Toc495652612 \h </w:instrText>
      </w:r>
      <w:r>
        <w:rPr>
          <w:noProof/>
        </w:rPr>
      </w:r>
      <w:r>
        <w:rPr>
          <w:noProof/>
        </w:rPr>
        <w:fldChar w:fldCharType="separate"/>
      </w:r>
      <w:r w:rsidR="00766D30">
        <w:rPr>
          <w:noProof/>
        </w:rPr>
        <w:t>54</w:t>
      </w:r>
      <w:r>
        <w:rPr>
          <w:noProof/>
        </w:rPr>
        <w:fldChar w:fldCharType="end"/>
      </w:r>
    </w:p>
    <w:p w14:paraId="04435351" w14:textId="77777777" w:rsidR="00E25764" w:rsidRDefault="00E25764">
      <w:pPr>
        <w:pStyle w:val="TOC5"/>
        <w:rPr>
          <w:rFonts w:asciiTheme="minorHAnsi" w:eastAsiaTheme="minorEastAsia" w:hAnsiTheme="minorHAnsi" w:cstheme="minorBidi"/>
          <w:noProof/>
          <w:sz w:val="22"/>
          <w:szCs w:val="22"/>
          <w:lang w:eastAsia="en-AU"/>
        </w:rPr>
      </w:pPr>
      <w:r>
        <w:rPr>
          <w:noProof/>
        </w:rPr>
        <w:t>1.19I  Volumetric measurement—super</w:t>
      </w:r>
      <w:r>
        <w:rPr>
          <w:noProof/>
        </w:rPr>
        <w:noBreakHyphen/>
        <w:t>compressed greenhouse gas stream</w:t>
      </w:r>
      <w:r>
        <w:rPr>
          <w:noProof/>
        </w:rPr>
        <w:tab/>
      </w:r>
      <w:r>
        <w:rPr>
          <w:noProof/>
        </w:rPr>
        <w:fldChar w:fldCharType="begin"/>
      </w:r>
      <w:r>
        <w:rPr>
          <w:noProof/>
        </w:rPr>
        <w:instrText xml:space="preserve"> PAGEREF _Toc495652613 \h </w:instrText>
      </w:r>
      <w:r>
        <w:rPr>
          <w:noProof/>
        </w:rPr>
      </w:r>
      <w:r>
        <w:rPr>
          <w:noProof/>
        </w:rPr>
        <w:fldChar w:fldCharType="separate"/>
      </w:r>
      <w:r w:rsidR="00766D30">
        <w:rPr>
          <w:noProof/>
        </w:rPr>
        <w:t>56</w:t>
      </w:r>
      <w:r>
        <w:rPr>
          <w:noProof/>
        </w:rPr>
        <w:fldChar w:fldCharType="end"/>
      </w:r>
    </w:p>
    <w:p w14:paraId="25DFEF5E" w14:textId="77777777" w:rsidR="00E25764" w:rsidRDefault="00E25764">
      <w:pPr>
        <w:pStyle w:val="TOC5"/>
        <w:rPr>
          <w:rFonts w:asciiTheme="minorHAnsi" w:eastAsiaTheme="minorEastAsia" w:hAnsiTheme="minorHAnsi" w:cstheme="minorBidi"/>
          <w:noProof/>
          <w:sz w:val="22"/>
          <w:szCs w:val="22"/>
          <w:lang w:eastAsia="en-AU"/>
        </w:rPr>
      </w:pPr>
      <w:r>
        <w:rPr>
          <w:noProof/>
        </w:rPr>
        <w:t>1.19J  Gas measuring equipment—requirements</w:t>
      </w:r>
      <w:r>
        <w:rPr>
          <w:noProof/>
        </w:rPr>
        <w:tab/>
      </w:r>
      <w:r>
        <w:rPr>
          <w:noProof/>
        </w:rPr>
        <w:fldChar w:fldCharType="begin"/>
      </w:r>
      <w:r>
        <w:rPr>
          <w:noProof/>
        </w:rPr>
        <w:instrText xml:space="preserve"> PAGEREF _Toc495652614 \h </w:instrText>
      </w:r>
      <w:r>
        <w:rPr>
          <w:noProof/>
        </w:rPr>
      </w:r>
      <w:r>
        <w:rPr>
          <w:noProof/>
        </w:rPr>
        <w:fldChar w:fldCharType="separate"/>
      </w:r>
      <w:r w:rsidR="00766D30">
        <w:rPr>
          <w:noProof/>
        </w:rPr>
        <w:t>56</w:t>
      </w:r>
      <w:r>
        <w:rPr>
          <w:noProof/>
        </w:rPr>
        <w:fldChar w:fldCharType="end"/>
      </w:r>
    </w:p>
    <w:p w14:paraId="1AEEB1AE" w14:textId="77777777" w:rsidR="00E25764" w:rsidRDefault="00E25764">
      <w:pPr>
        <w:pStyle w:val="TOC5"/>
        <w:rPr>
          <w:rFonts w:asciiTheme="minorHAnsi" w:eastAsiaTheme="minorEastAsia" w:hAnsiTheme="minorHAnsi" w:cstheme="minorBidi"/>
          <w:noProof/>
          <w:sz w:val="22"/>
          <w:szCs w:val="22"/>
          <w:lang w:eastAsia="en-AU"/>
        </w:rPr>
      </w:pPr>
      <w:r>
        <w:rPr>
          <w:noProof/>
        </w:rPr>
        <w:t>1.19K  Flow devices—requirements</w:t>
      </w:r>
      <w:r>
        <w:rPr>
          <w:noProof/>
        </w:rPr>
        <w:tab/>
      </w:r>
      <w:r>
        <w:rPr>
          <w:noProof/>
        </w:rPr>
        <w:fldChar w:fldCharType="begin"/>
      </w:r>
      <w:r>
        <w:rPr>
          <w:noProof/>
        </w:rPr>
        <w:instrText xml:space="preserve"> PAGEREF _Toc495652615 \h </w:instrText>
      </w:r>
      <w:r>
        <w:rPr>
          <w:noProof/>
        </w:rPr>
      </w:r>
      <w:r>
        <w:rPr>
          <w:noProof/>
        </w:rPr>
        <w:fldChar w:fldCharType="separate"/>
      </w:r>
      <w:r w:rsidR="00766D30">
        <w:rPr>
          <w:noProof/>
        </w:rPr>
        <w:t>56</w:t>
      </w:r>
      <w:r>
        <w:rPr>
          <w:noProof/>
        </w:rPr>
        <w:fldChar w:fldCharType="end"/>
      </w:r>
    </w:p>
    <w:p w14:paraId="52233375" w14:textId="77777777" w:rsidR="00E25764" w:rsidRDefault="00E25764">
      <w:pPr>
        <w:pStyle w:val="TOC5"/>
        <w:rPr>
          <w:rFonts w:asciiTheme="minorHAnsi" w:eastAsiaTheme="minorEastAsia" w:hAnsiTheme="minorHAnsi" w:cstheme="minorBidi"/>
          <w:noProof/>
          <w:sz w:val="22"/>
          <w:szCs w:val="22"/>
          <w:lang w:eastAsia="en-AU"/>
        </w:rPr>
      </w:pPr>
      <w:r>
        <w:rPr>
          <w:noProof/>
        </w:rPr>
        <w:t>1.19L  Flow computers—requirements</w:t>
      </w:r>
      <w:r>
        <w:rPr>
          <w:noProof/>
        </w:rPr>
        <w:tab/>
      </w:r>
      <w:r>
        <w:rPr>
          <w:noProof/>
        </w:rPr>
        <w:fldChar w:fldCharType="begin"/>
      </w:r>
      <w:r>
        <w:rPr>
          <w:noProof/>
        </w:rPr>
        <w:instrText xml:space="preserve"> PAGEREF _Toc495652616 \h </w:instrText>
      </w:r>
      <w:r>
        <w:rPr>
          <w:noProof/>
        </w:rPr>
      </w:r>
      <w:r>
        <w:rPr>
          <w:noProof/>
        </w:rPr>
        <w:fldChar w:fldCharType="separate"/>
      </w:r>
      <w:r w:rsidR="00766D30">
        <w:rPr>
          <w:noProof/>
        </w:rPr>
        <w:t>57</w:t>
      </w:r>
      <w:r>
        <w:rPr>
          <w:noProof/>
        </w:rPr>
        <w:fldChar w:fldCharType="end"/>
      </w:r>
    </w:p>
    <w:p w14:paraId="2B79E1C7" w14:textId="77777777" w:rsidR="00E25764" w:rsidRDefault="00E25764">
      <w:pPr>
        <w:pStyle w:val="TOC5"/>
        <w:rPr>
          <w:rFonts w:asciiTheme="minorHAnsi" w:eastAsiaTheme="minorEastAsia" w:hAnsiTheme="minorHAnsi" w:cstheme="minorBidi"/>
          <w:noProof/>
          <w:sz w:val="22"/>
          <w:szCs w:val="22"/>
          <w:lang w:eastAsia="en-AU"/>
        </w:rPr>
      </w:pPr>
      <w:r>
        <w:rPr>
          <w:noProof/>
        </w:rPr>
        <w:t>1.19M  Gas chromatographs</w:t>
      </w:r>
      <w:r>
        <w:rPr>
          <w:noProof/>
        </w:rPr>
        <w:tab/>
      </w:r>
      <w:r>
        <w:rPr>
          <w:noProof/>
        </w:rPr>
        <w:fldChar w:fldCharType="begin"/>
      </w:r>
      <w:r>
        <w:rPr>
          <w:noProof/>
        </w:rPr>
        <w:instrText xml:space="preserve"> PAGEREF _Toc495652617 \h </w:instrText>
      </w:r>
      <w:r>
        <w:rPr>
          <w:noProof/>
        </w:rPr>
      </w:r>
      <w:r>
        <w:rPr>
          <w:noProof/>
        </w:rPr>
        <w:fldChar w:fldCharType="separate"/>
      </w:r>
      <w:r w:rsidR="00766D30">
        <w:rPr>
          <w:noProof/>
        </w:rPr>
        <w:t>58</w:t>
      </w:r>
      <w:r>
        <w:rPr>
          <w:noProof/>
        </w:rPr>
        <w:fldChar w:fldCharType="end"/>
      </w:r>
    </w:p>
    <w:p w14:paraId="7DD753B3" w14:textId="77777777" w:rsidR="00E25764" w:rsidRDefault="00E25764">
      <w:pPr>
        <w:pStyle w:val="TOC2"/>
        <w:rPr>
          <w:rFonts w:asciiTheme="minorHAnsi" w:eastAsiaTheme="minorEastAsia" w:hAnsiTheme="minorHAnsi" w:cstheme="minorBidi"/>
          <w:b w:val="0"/>
          <w:sz w:val="22"/>
          <w:szCs w:val="22"/>
          <w:lang w:eastAsia="en-AU"/>
        </w:rPr>
      </w:pPr>
      <w:r>
        <w:t>Part 1.3—Method 4—Direct measurement of emissions</w:t>
      </w:r>
      <w:r>
        <w:tab/>
      </w:r>
      <w:r>
        <w:fldChar w:fldCharType="begin"/>
      </w:r>
      <w:r>
        <w:instrText xml:space="preserve"> PAGEREF _Toc495652618 \h </w:instrText>
      </w:r>
      <w:r>
        <w:fldChar w:fldCharType="separate"/>
      </w:r>
      <w:r w:rsidR="00766D30">
        <w:t>59</w:t>
      </w:r>
      <w:r>
        <w:fldChar w:fldCharType="end"/>
      </w:r>
    </w:p>
    <w:p w14:paraId="48B2F403"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1.3.1—Preliminary</w:t>
      </w:r>
      <w:r>
        <w:rPr>
          <w:noProof/>
        </w:rPr>
        <w:tab/>
      </w:r>
      <w:r>
        <w:rPr>
          <w:noProof/>
        </w:rPr>
        <w:fldChar w:fldCharType="begin"/>
      </w:r>
      <w:r>
        <w:rPr>
          <w:noProof/>
        </w:rPr>
        <w:instrText xml:space="preserve"> PAGEREF _Toc495652619 \h </w:instrText>
      </w:r>
      <w:r>
        <w:rPr>
          <w:noProof/>
        </w:rPr>
      </w:r>
      <w:r>
        <w:rPr>
          <w:noProof/>
        </w:rPr>
        <w:fldChar w:fldCharType="separate"/>
      </w:r>
      <w:r w:rsidR="00766D30">
        <w:rPr>
          <w:noProof/>
        </w:rPr>
        <w:t>59</w:t>
      </w:r>
      <w:r>
        <w:rPr>
          <w:noProof/>
        </w:rPr>
        <w:fldChar w:fldCharType="end"/>
      </w:r>
    </w:p>
    <w:p w14:paraId="1447E5D8" w14:textId="77777777" w:rsidR="00E25764" w:rsidRDefault="00E25764">
      <w:pPr>
        <w:pStyle w:val="TOC5"/>
        <w:rPr>
          <w:rFonts w:asciiTheme="minorHAnsi" w:eastAsiaTheme="minorEastAsia" w:hAnsiTheme="minorHAnsi" w:cstheme="minorBidi"/>
          <w:noProof/>
          <w:sz w:val="22"/>
          <w:szCs w:val="22"/>
          <w:lang w:eastAsia="en-AU"/>
        </w:rPr>
      </w:pPr>
      <w:r>
        <w:rPr>
          <w:noProof/>
        </w:rPr>
        <w:t>1.20  Overview</w:t>
      </w:r>
      <w:r>
        <w:rPr>
          <w:noProof/>
        </w:rPr>
        <w:tab/>
      </w:r>
      <w:r>
        <w:rPr>
          <w:noProof/>
        </w:rPr>
        <w:fldChar w:fldCharType="begin"/>
      </w:r>
      <w:r>
        <w:rPr>
          <w:noProof/>
        </w:rPr>
        <w:instrText xml:space="preserve"> PAGEREF _Toc495652620 \h </w:instrText>
      </w:r>
      <w:r>
        <w:rPr>
          <w:noProof/>
        </w:rPr>
      </w:r>
      <w:r>
        <w:rPr>
          <w:noProof/>
        </w:rPr>
        <w:fldChar w:fldCharType="separate"/>
      </w:r>
      <w:r w:rsidR="00766D30">
        <w:rPr>
          <w:noProof/>
        </w:rPr>
        <w:t>59</w:t>
      </w:r>
      <w:r>
        <w:rPr>
          <w:noProof/>
        </w:rPr>
        <w:fldChar w:fldCharType="end"/>
      </w:r>
    </w:p>
    <w:p w14:paraId="25493F46"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1.3.2—Operation of method 4 (CEM)</w:t>
      </w:r>
      <w:r>
        <w:rPr>
          <w:noProof/>
        </w:rPr>
        <w:tab/>
      </w:r>
      <w:r>
        <w:rPr>
          <w:noProof/>
        </w:rPr>
        <w:fldChar w:fldCharType="begin"/>
      </w:r>
      <w:r>
        <w:rPr>
          <w:noProof/>
        </w:rPr>
        <w:instrText xml:space="preserve"> PAGEREF _Toc495652621 \h </w:instrText>
      </w:r>
      <w:r>
        <w:rPr>
          <w:noProof/>
        </w:rPr>
      </w:r>
      <w:r>
        <w:rPr>
          <w:noProof/>
        </w:rPr>
        <w:fldChar w:fldCharType="separate"/>
      </w:r>
      <w:r w:rsidR="00766D30">
        <w:rPr>
          <w:noProof/>
        </w:rPr>
        <w:t>61</w:t>
      </w:r>
      <w:r>
        <w:rPr>
          <w:noProof/>
        </w:rPr>
        <w:fldChar w:fldCharType="end"/>
      </w:r>
    </w:p>
    <w:p w14:paraId="060D35ED"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1.3.2.1—Method 4 (CEM)</w:t>
      </w:r>
      <w:r>
        <w:rPr>
          <w:noProof/>
        </w:rPr>
        <w:tab/>
      </w:r>
      <w:r>
        <w:rPr>
          <w:noProof/>
        </w:rPr>
        <w:fldChar w:fldCharType="begin"/>
      </w:r>
      <w:r>
        <w:rPr>
          <w:noProof/>
        </w:rPr>
        <w:instrText xml:space="preserve"> PAGEREF _Toc495652622 \h </w:instrText>
      </w:r>
      <w:r>
        <w:rPr>
          <w:noProof/>
        </w:rPr>
      </w:r>
      <w:r>
        <w:rPr>
          <w:noProof/>
        </w:rPr>
        <w:fldChar w:fldCharType="separate"/>
      </w:r>
      <w:r w:rsidR="00766D30">
        <w:rPr>
          <w:noProof/>
        </w:rPr>
        <w:t>61</w:t>
      </w:r>
      <w:r>
        <w:rPr>
          <w:noProof/>
        </w:rPr>
        <w:fldChar w:fldCharType="end"/>
      </w:r>
    </w:p>
    <w:p w14:paraId="43DA823D" w14:textId="77777777" w:rsidR="00E25764" w:rsidRDefault="00E25764">
      <w:pPr>
        <w:pStyle w:val="TOC5"/>
        <w:rPr>
          <w:rFonts w:asciiTheme="minorHAnsi" w:eastAsiaTheme="minorEastAsia" w:hAnsiTheme="minorHAnsi" w:cstheme="minorBidi"/>
          <w:noProof/>
          <w:sz w:val="22"/>
          <w:szCs w:val="22"/>
          <w:lang w:eastAsia="en-AU"/>
        </w:rPr>
      </w:pPr>
      <w:r>
        <w:rPr>
          <w:noProof/>
        </w:rPr>
        <w:t>1.21  Method 4 (CEM)—estimation of emissions</w:t>
      </w:r>
      <w:r>
        <w:rPr>
          <w:noProof/>
        </w:rPr>
        <w:tab/>
      </w:r>
      <w:r>
        <w:rPr>
          <w:noProof/>
        </w:rPr>
        <w:fldChar w:fldCharType="begin"/>
      </w:r>
      <w:r>
        <w:rPr>
          <w:noProof/>
        </w:rPr>
        <w:instrText xml:space="preserve"> PAGEREF _Toc495652623 \h </w:instrText>
      </w:r>
      <w:r>
        <w:rPr>
          <w:noProof/>
        </w:rPr>
      </w:r>
      <w:r>
        <w:rPr>
          <w:noProof/>
        </w:rPr>
        <w:fldChar w:fldCharType="separate"/>
      </w:r>
      <w:r w:rsidR="00766D30">
        <w:rPr>
          <w:noProof/>
        </w:rPr>
        <w:t>61</w:t>
      </w:r>
      <w:r>
        <w:rPr>
          <w:noProof/>
        </w:rPr>
        <w:fldChar w:fldCharType="end"/>
      </w:r>
    </w:p>
    <w:p w14:paraId="30C34064" w14:textId="77777777" w:rsidR="00E25764" w:rsidRDefault="00E25764">
      <w:pPr>
        <w:pStyle w:val="TOC5"/>
        <w:rPr>
          <w:rFonts w:asciiTheme="minorHAnsi" w:eastAsiaTheme="minorEastAsia" w:hAnsiTheme="minorHAnsi" w:cstheme="minorBidi"/>
          <w:noProof/>
          <w:sz w:val="22"/>
          <w:szCs w:val="22"/>
          <w:lang w:eastAsia="en-AU"/>
        </w:rPr>
      </w:pPr>
      <w:r>
        <w:rPr>
          <w:noProof/>
        </w:rPr>
        <w:t>1.21A  Emissions from a source where multiple fuels consumed</w:t>
      </w:r>
      <w:r>
        <w:rPr>
          <w:noProof/>
        </w:rPr>
        <w:tab/>
      </w:r>
      <w:r>
        <w:rPr>
          <w:noProof/>
        </w:rPr>
        <w:fldChar w:fldCharType="begin"/>
      </w:r>
      <w:r>
        <w:rPr>
          <w:noProof/>
        </w:rPr>
        <w:instrText xml:space="preserve"> PAGEREF _Toc495652624 \h </w:instrText>
      </w:r>
      <w:r>
        <w:rPr>
          <w:noProof/>
        </w:rPr>
      </w:r>
      <w:r>
        <w:rPr>
          <w:noProof/>
        </w:rPr>
        <w:fldChar w:fldCharType="separate"/>
      </w:r>
      <w:r w:rsidR="00766D30">
        <w:rPr>
          <w:noProof/>
        </w:rPr>
        <w:t>64</w:t>
      </w:r>
      <w:r>
        <w:rPr>
          <w:noProof/>
        </w:rPr>
        <w:fldChar w:fldCharType="end"/>
      </w:r>
    </w:p>
    <w:p w14:paraId="4D8A1B30"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1.3.2.2—Method 4 (CEM)—use of equipment</w:t>
      </w:r>
      <w:r>
        <w:rPr>
          <w:noProof/>
        </w:rPr>
        <w:tab/>
      </w:r>
      <w:r>
        <w:rPr>
          <w:noProof/>
        </w:rPr>
        <w:fldChar w:fldCharType="begin"/>
      </w:r>
      <w:r>
        <w:rPr>
          <w:noProof/>
        </w:rPr>
        <w:instrText xml:space="preserve"> PAGEREF _Toc495652625 \h </w:instrText>
      </w:r>
      <w:r>
        <w:rPr>
          <w:noProof/>
        </w:rPr>
      </w:r>
      <w:r>
        <w:rPr>
          <w:noProof/>
        </w:rPr>
        <w:fldChar w:fldCharType="separate"/>
      </w:r>
      <w:r w:rsidR="00766D30">
        <w:rPr>
          <w:noProof/>
        </w:rPr>
        <w:t>65</w:t>
      </w:r>
      <w:r>
        <w:rPr>
          <w:noProof/>
        </w:rPr>
        <w:fldChar w:fldCharType="end"/>
      </w:r>
    </w:p>
    <w:p w14:paraId="4641D8A1" w14:textId="77777777" w:rsidR="00E25764" w:rsidRDefault="00E25764">
      <w:pPr>
        <w:pStyle w:val="TOC5"/>
        <w:rPr>
          <w:rFonts w:asciiTheme="minorHAnsi" w:eastAsiaTheme="minorEastAsia" w:hAnsiTheme="minorHAnsi" w:cstheme="minorBidi"/>
          <w:noProof/>
          <w:sz w:val="22"/>
          <w:szCs w:val="22"/>
          <w:lang w:eastAsia="en-AU"/>
        </w:rPr>
      </w:pPr>
      <w:r>
        <w:rPr>
          <w:noProof/>
        </w:rPr>
        <w:t>1.22  Overview</w:t>
      </w:r>
      <w:r>
        <w:rPr>
          <w:noProof/>
        </w:rPr>
        <w:tab/>
      </w:r>
      <w:r>
        <w:rPr>
          <w:noProof/>
        </w:rPr>
        <w:fldChar w:fldCharType="begin"/>
      </w:r>
      <w:r>
        <w:rPr>
          <w:noProof/>
        </w:rPr>
        <w:instrText xml:space="preserve"> PAGEREF _Toc495652626 \h </w:instrText>
      </w:r>
      <w:r>
        <w:rPr>
          <w:noProof/>
        </w:rPr>
      </w:r>
      <w:r>
        <w:rPr>
          <w:noProof/>
        </w:rPr>
        <w:fldChar w:fldCharType="separate"/>
      </w:r>
      <w:r w:rsidR="00766D30">
        <w:rPr>
          <w:noProof/>
        </w:rPr>
        <w:t>65</w:t>
      </w:r>
      <w:r>
        <w:rPr>
          <w:noProof/>
        </w:rPr>
        <w:fldChar w:fldCharType="end"/>
      </w:r>
    </w:p>
    <w:p w14:paraId="67206A4F" w14:textId="77777777" w:rsidR="00E25764" w:rsidRDefault="00E25764">
      <w:pPr>
        <w:pStyle w:val="TOC5"/>
        <w:rPr>
          <w:rFonts w:asciiTheme="minorHAnsi" w:eastAsiaTheme="minorEastAsia" w:hAnsiTheme="minorHAnsi" w:cstheme="minorBidi"/>
          <w:noProof/>
          <w:sz w:val="22"/>
          <w:szCs w:val="22"/>
          <w:lang w:eastAsia="en-AU"/>
        </w:rPr>
      </w:pPr>
      <w:r>
        <w:rPr>
          <w:noProof/>
        </w:rPr>
        <w:t>1.23  Selection of sampling positions for CEM equipment</w:t>
      </w:r>
      <w:r>
        <w:rPr>
          <w:noProof/>
        </w:rPr>
        <w:tab/>
      </w:r>
      <w:r>
        <w:rPr>
          <w:noProof/>
        </w:rPr>
        <w:fldChar w:fldCharType="begin"/>
      </w:r>
      <w:r>
        <w:rPr>
          <w:noProof/>
        </w:rPr>
        <w:instrText xml:space="preserve"> PAGEREF _Toc495652627 \h </w:instrText>
      </w:r>
      <w:r>
        <w:rPr>
          <w:noProof/>
        </w:rPr>
      </w:r>
      <w:r>
        <w:rPr>
          <w:noProof/>
        </w:rPr>
        <w:fldChar w:fldCharType="separate"/>
      </w:r>
      <w:r w:rsidR="00766D30">
        <w:rPr>
          <w:noProof/>
        </w:rPr>
        <w:t>65</w:t>
      </w:r>
      <w:r>
        <w:rPr>
          <w:noProof/>
        </w:rPr>
        <w:fldChar w:fldCharType="end"/>
      </w:r>
    </w:p>
    <w:p w14:paraId="619B4006" w14:textId="77777777" w:rsidR="00E25764" w:rsidRDefault="00E25764">
      <w:pPr>
        <w:pStyle w:val="TOC5"/>
        <w:rPr>
          <w:rFonts w:asciiTheme="minorHAnsi" w:eastAsiaTheme="minorEastAsia" w:hAnsiTheme="minorHAnsi" w:cstheme="minorBidi"/>
          <w:noProof/>
          <w:sz w:val="22"/>
          <w:szCs w:val="22"/>
          <w:lang w:eastAsia="en-AU"/>
        </w:rPr>
      </w:pPr>
      <w:r>
        <w:rPr>
          <w:noProof/>
        </w:rPr>
        <w:lastRenderedPageBreak/>
        <w:t>1.24  Measurement of flow rates by CEM</w:t>
      </w:r>
      <w:r>
        <w:rPr>
          <w:noProof/>
        </w:rPr>
        <w:tab/>
      </w:r>
      <w:r>
        <w:rPr>
          <w:noProof/>
        </w:rPr>
        <w:fldChar w:fldCharType="begin"/>
      </w:r>
      <w:r>
        <w:rPr>
          <w:noProof/>
        </w:rPr>
        <w:instrText xml:space="preserve"> PAGEREF _Toc495652628 \h </w:instrText>
      </w:r>
      <w:r>
        <w:rPr>
          <w:noProof/>
        </w:rPr>
      </w:r>
      <w:r>
        <w:rPr>
          <w:noProof/>
        </w:rPr>
        <w:fldChar w:fldCharType="separate"/>
      </w:r>
      <w:r w:rsidR="00766D30">
        <w:rPr>
          <w:noProof/>
        </w:rPr>
        <w:t>66</w:t>
      </w:r>
      <w:r>
        <w:rPr>
          <w:noProof/>
        </w:rPr>
        <w:fldChar w:fldCharType="end"/>
      </w:r>
    </w:p>
    <w:p w14:paraId="1BF41287" w14:textId="77777777" w:rsidR="00E25764" w:rsidRDefault="00E25764">
      <w:pPr>
        <w:pStyle w:val="TOC5"/>
        <w:rPr>
          <w:rFonts w:asciiTheme="minorHAnsi" w:eastAsiaTheme="minorEastAsia" w:hAnsiTheme="minorHAnsi" w:cstheme="minorBidi"/>
          <w:noProof/>
          <w:sz w:val="22"/>
          <w:szCs w:val="22"/>
          <w:lang w:eastAsia="en-AU"/>
        </w:rPr>
      </w:pPr>
      <w:r>
        <w:rPr>
          <w:noProof/>
        </w:rPr>
        <w:t>1.25  Measurement of gas concentrations by CEM</w:t>
      </w:r>
      <w:r>
        <w:rPr>
          <w:noProof/>
        </w:rPr>
        <w:tab/>
      </w:r>
      <w:r>
        <w:rPr>
          <w:noProof/>
        </w:rPr>
        <w:fldChar w:fldCharType="begin"/>
      </w:r>
      <w:r>
        <w:rPr>
          <w:noProof/>
        </w:rPr>
        <w:instrText xml:space="preserve"> PAGEREF _Toc495652629 \h </w:instrText>
      </w:r>
      <w:r>
        <w:rPr>
          <w:noProof/>
        </w:rPr>
      </w:r>
      <w:r>
        <w:rPr>
          <w:noProof/>
        </w:rPr>
        <w:fldChar w:fldCharType="separate"/>
      </w:r>
      <w:r w:rsidR="00766D30">
        <w:rPr>
          <w:noProof/>
        </w:rPr>
        <w:t>66</w:t>
      </w:r>
      <w:r>
        <w:rPr>
          <w:noProof/>
        </w:rPr>
        <w:fldChar w:fldCharType="end"/>
      </w:r>
    </w:p>
    <w:p w14:paraId="7D77918B" w14:textId="77777777" w:rsidR="00E25764" w:rsidRDefault="00E25764">
      <w:pPr>
        <w:pStyle w:val="TOC5"/>
        <w:rPr>
          <w:rFonts w:asciiTheme="minorHAnsi" w:eastAsiaTheme="minorEastAsia" w:hAnsiTheme="minorHAnsi" w:cstheme="minorBidi"/>
          <w:noProof/>
          <w:sz w:val="22"/>
          <w:szCs w:val="22"/>
          <w:lang w:eastAsia="en-AU"/>
        </w:rPr>
      </w:pPr>
      <w:r>
        <w:rPr>
          <w:noProof/>
        </w:rPr>
        <w:t>1.26  Frequency of measurement by CEM</w:t>
      </w:r>
      <w:r>
        <w:rPr>
          <w:noProof/>
        </w:rPr>
        <w:tab/>
      </w:r>
      <w:r>
        <w:rPr>
          <w:noProof/>
        </w:rPr>
        <w:fldChar w:fldCharType="begin"/>
      </w:r>
      <w:r>
        <w:rPr>
          <w:noProof/>
        </w:rPr>
        <w:instrText xml:space="preserve"> PAGEREF _Toc495652630 \h </w:instrText>
      </w:r>
      <w:r>
        <w:rPr>
          <w:noProof/>
        </w:rPr>
      </w:r>
      <w:r>
        <w:rPr>
          <w:noProof/>
        </w:rPr>
        <w:fldChar w:fldCharType="separate"/>
      </w:r>
      <w:r w:rsidR="00766D30">
        <w:rPr>
          <w:noProof/>
        </w:rPr>
        <w:t>67</w:t>
      </w:r>
      <w:r>
        <w:rPr>
          <w:noProof/>
        </w:rPr>
        <w:fldChar w:fldCharType="end"/>
      </w:r>
    </w:p>
    <w:p w14:paraId="6F176CCA"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1.3.3—Operation of method 4 (PEM)</w:t>
      </w:r>
      <w:r>
        <w:rPr>
          <w:noProof/>
        </w:rPr>
        <w:tab/>
      </w:r>
      <w:r>
        <w:rPr>
          <w:noProof/>
        </w:rPr>
        <w:fldChar w:fldCharType="begin"/>
      </w:r>
      <w:r>
        <w:rPr>
          <w:noProof/>
        </w:rPr>
        <w:instrText xml:space="preserve"> PAGEREF _Toc495652631 \h </w:instrText>
      </w:r>
      <w:r>
        <w:rPr>
          <w:noProof/>
        </w:rPr>
      </w:r>
      <w:r>
        <w:rPr>
          <w:noProof/>
        </w:rPr>
        <w:fldChar w:fldCharType="separate"/>
      </w:r>
      <w:r w:rsidR="00766D30">
        <w:rPr>
          <w:noProof/>
        </w:rPr>
        <w:t>68</w:t>
      </w:r>
      <w:r>
        <w:rPr>
          <w:noProof/>
        </w:rPr>
        <w:fldChar w:fldCharType="end"/>
      </w:r>
    </w:p>
    <w:p w14:paraId="70B585C7"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1.3.3.1—Method 4 (PEM)</w:t>
      </w:r>
      <w:r>
        <w:rPr>
          <w:noProof/>
        </w:rPr>
        <w:tab/>
      </w:r>
      <w:r>
        <w:rPr>
          <w:noProof/>
        </w:rPr>
        <w:fldChar w:fldCharType="begin"/>
      </w:r>
      <w:r>
        <w:rPr>
          <w:noProof/>
        </w:rPr>
        <w:instrText xml:space="preserve"> PAGEREF _Toc495652632 \h </w:instrText>
      </w:r>
      <w:r>
        <w:rPr>
          <w:noProof/>
        </w:rPr>
      </w:r>
      <w:r>
        <w:rPr>
          <w:noProof/>
        </w:rPr>
        <w:fldChar w:fldCharType="separate"/>
      </w:r>
      <w:r w:rsidR="00766D30">
        <w:rPr>
          <w:noProof/>
        </w:rPr>
        <w:t>68</w:t>
      </w:r>
      <w:r>
        <w:rPr>
          <w:noProof/>
        </w:rPr>
        <w:fldChar w:fldCharType="end"/>
      </w:r>
    </w:p>
    <w:p w14:paraId="7EDA21FE" w14:textId="77777777" w:rsidR="00E25764" w:rsidRDefault="00E25764">
      <w:pPr>
        <w:pStyle w:val="TOC5"/>
        <w:rPr>
          <w:rFonts w:asciiTheme="minorHAnsi" w:eastAsiaTheme="minorEastAsia" w:hAnsiTheme="minorHAnsi" w:cstheme="minorBidi"/>
          <w:noProof/>
          <w:sz w:val="22"/>
          <w:szCs w:val="22"/>
          <w:lang w:eastAsia="en-AU"/>
        </w:rPr>
      </w:pPr>
      <w:r>
        <w:rPr>
          <w:noProof/>
        </w:rPr>
        <w:t>1.27  Method 4 (PEM)—estimation of emissions</w:t>
      </w:r>
      <w:r>
        <w:rPr>
          <w:noProof/>
        </w:rPr>
        <w:tab/>
      </w:r>
      <w:r>
        <w:rPr>
          <w:noProof/>
        </w:rPr>
        <w:fldChar w:fldCharType="begin"/>
      </w:r>
      <w:r>
        <w:rPr>
          <w:noProof/>
        </w:rPr>
        <w:instrText xml:space="preserve"> PAGEREF _Toc495652633 \h </w:instrText>
      </w:r>
      <w:r>
        <w:rPr>
          <w:noProof/>
        </w:rPr>
      </w:r>
      <w:r>
        <w:rPr>
          <w:noProof/>
        </w:rPr>
        <w:fldChar w:fldCharType="separate"/>
      </w:r>
      <w:r w:rsidR="00766D30">
        <w:rPr>
          <w:noProof/>
        </w:rPr>
        <w:t>68</w:t>
      </w:r>
      <w:r>
        <w:rPr>
          <w:noProof/>
        </w:rPr>
        <w:fldChar w:fldCharType="end"/>
      </w:r>
    </w:p>
    <w:p w14:paraId="11571379" w14:textId="77777777" w:rsidR="00E25764" w:rsidRDefault="00E25764">
      <w:pPr>
        <w:pStyle w:val="TOC5"/>
        <w:rPr>
          <w:rFonts w:asciiTheme="minorHAnsi" w:eastAsiaTheme="minorEastAsia" w:hAnsiTheme="minorHAnsi" w:cstheme="minorBidi"/>
          <w:noProof/>
          <w:sz w:val="22"/>
          <w:szCs w:val="22"/>
          <w:lang w:eastAsia="en-AU"/>
        </w:rPr>
      </w:pPr>
      <w:r>
        <w:rPr>
          <w:noProof/>
        </w:rPr>
        <w:t>1.27A  Emissions from a source where multiple fuels consumed</w:t>
      </w:r>
      <w:r>
        <w:rPr>
          <w:noProof/>
        </w:rPr>
        <w:tab/>
      </w:r>
      <w:r>
        <w:rPr>
          <w:noProof/>
        </w:rPr>
        <w:fldChar w:fldCharType="begin"/>
      </w:r>
      <w:r>
        <w:rPr>
          <w:noProof/>
        </w:rPr>
        <w:instrText xml:space="preserve"> PAGEREF _Toc495652634 \h </w:instrText>
      </w:r>
      <w:r>
        <w:rPr>
          <w:noProof/>
        </w:rPr>
      </w:r>
      <w:r>
        <w:rPr>
          <w:noProof/>
        </w:rPr>
        <w:fldChar w:fldCharType="separate"/>
      </w:r>
      <w:r w:rsidR="00766D30">
        <w:rPr>
          <w:noProof/>
        </w:rPr>
        <w:t>70</w:t>
      </w:r>
      <w:r>
        <w:rPr>
          <w:noProof/>
        </w:rPr>
        <w:fldChar w:fldCharType="end"/>
      </w:r>
    </w:p>
    <w:p w14:paraId="5492C8B8" w14:textId="77777777" w:rsidR="00E25764" w:rsidRDefault="00E25764">
      <w:pPr>
        <w:pStyle w:val="TOC5"/>
        <w:rPr>
          <w:rFonts w:asciiTheme="minorHAnsi" w:eastAsiaTheme="minorEastAsia" w:hAnsiTheme="minorHAnsi" w:cstheme="minorBidi"/>
          <w:noProof/>
          <w:sz w:val="22"/>
          <w:szCs w:val="22"/>
          <w:lang w:eastAsia="en-AU"/>
        </w:rPr>
      </w:pPr>
      <w:r>
        <w:rPr>
          <w:noProof/>
        </w:rPr>
        <w:t>1.28  Calculation of emission factors</w:t>
      </w:r>
      <w:r>
        <w:rPr>
          <w:noProof/>
        </w:rPr>
        <w:tab/>
      </w:r>
      <w:r>
        <w:rPr>
          <w:noProof/>
        </w:rPr>
        <w:fldChar w:fldCharType="begin"/>
      </w:r>
      <w:r>
        <w:rPr>
          <w:noProof/>
        </w:rPr>
        <w:instrText xml:space="preserve"> PAGEREF _Toc495652635 \h </w:instrText>
      </w:r>
      <w:r>
        <w:rPr>
          <w:noProof/>
        </w:rPr>
      </w:r>
      <w:r>
        <w:rPr>
          <w:noProof/>
        </w:rPr>
        <w:fldChar w:fldCharType="separate"/>
      </w:r>
      <w:r w:rsidR="00766D30">
        <w:rPr>
          <w:noProof/>
        </w:rPr>
        <w:t>71</w:t>
      </w:r>
      <w:r>
        <w:rPr>
          <w:noProof/>
        </w:rPr>
        <w:fldChar w:fldCharType="end"/>
      </w:r>
    </w:p>
    <w:p w14:paraId="1E2B2ACA"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1.3.3.2—Method 4 (PEM)—use of equipment</w:t>
      </w:r>
      <w:r>
        <w:rPr>
          <w:noProof/>
        </w:rPr>
        <w:tab/>
      </w:r>
      <w:r>
        <w:rPr>
          <w:noProof/>
        </w:rPr>
        <w:fldChar w:fldCharType="begin"/>
      </w:r>
      <w:r>
        <w:rPr>
          <w:noProof/>
        </w:rPr>
        <w:instrText xml:space="preserve"> PAGEREF _Toc495652636 \h </w:instrText>
      </w:r>
      <w:r>
        <w:rPr>
          <w:noProof/>
        </w:rPr>
      </w:r>
      <w:r>
        <w:rPr>
          <w:noProof/>
        </w:rPr>
        <w:fldChar w:fldCharType="separate"/>
      </w:r>
      <w:r w:rsidR="00766D30">
        <w:rPr>
          <w:noProof/>
        </w:rPr>
        <w:t>72</w:t>
      </w:r>
      <w:r>
        <w:rPr>
          <w:noProof/>
        </w:rPr>
        <w:fldChar w:fldCharType="end"/>
      </w:r>
    </w:p>
    <w:p w14:paraId="79154917" w14:textId="77777777" w:rsidR="00E25764" w:rsidRDefault="00E25764">
      <w:pPr>
        <w:pStyle w:val="TOC5"/>
        <w:rPr>
          <w:rFonts w:asciiTheme="minorHAnsi" w:eastAsiaTheme="minorEastAsia" w:hAnsiTheme="minorHAnsi" w:cstheme="minorBidi"/>
          <w:noProof/>
          <w:sz w:val="22"/>
          <w:szCs w:val="22"/>
          <w:lang w:eastAsia="en-AU"/>
        </w:rPr>
      </w:pPr>
      <w:r>
        <w:rPr>
          <w:noProof/>
        </w:rPr>
        <w:t>1.29  Overview</w:t>
      </w:r>
      <w:r>
        <w:rPr>
          <w:noProof/>
        </w:rPr>
        <w:tab/>
      </w:r>
      <w:r>
        <w:rPr>
          <w:noProof/>
        </w:rPr>
        <w:fldChar w:fldCharType="begin"/>
      </w:r>
      <w:r>
        <w:rPr>
          <w:noProof/>
        </w:rPr>
        <w:instrText xml:space="preserve"> PAGEREF _Toc495652637 \h </w:instrText>
      </w:r>
      <w:r>
        <w:rPr>
          <w:noProof/>
        </w:rPr>
      </w:r>
      <w:r>
        <w:rPr>
          <w:noProof/>
        </w:rPr>
        <w:fldChar w:fldCharType="separate"/>
      </w:r>
      <w:r w:rsidR="00766D30">
        <w:rPr>
          <w:noProof/>
        </w:rPr>
        <w:t>72</w:t>
      </w:r>
      <w:r>
        <w:rPr>
          <w:noProof/>
        </w:rPr>
        <w:fldChar w:fldCharType="end"/>
      </w:r>
    </w:p>
    <w:p w14:paraId="40A20306" w14:textId="77777777" w:rsidR="00E25764" w:rsidRDefault="00E25764">
      <w:pPr>
        <w:pStyle w:val="TOC5"/>
        <w:rPr>
          <w:rFonts w:asciiTheme="minorHAnsi" w:eastAsiaTheme="minorEastAsia" w:hAnsiTheme="minorHAnsi" w:cstheme="minorBidi"/>
          <w:noProof/>
          <w:sz w:val="22"/>
          <w:szCs w:val="22"/>
          <w:lang w:eastAsia="en-AU"/>
        </w:rPr>
      </w:pPr>
      <w:r>
        <w:rPr>
          <w:noProof/>
        </w:rPr>
        <w:t>1.30  Selection of sampling positions for PEM equipment</w:t>
      </w:r>
      <w:r>
        <w:rPr>
          <w:noProof/>
        </w:rPr>
        <w:tab/>
      </w:r>
      <w:r>
        <w:rPr>
          <w:noProof/>
        </w:rPr>
        <w:fldChar w:fldCharType="begin"/>
      </w:r>
      <w:r>
        <w:rPr>
          <w:noProof/>
        </w:rPr>
        <w:instrText xml:space="preserve"> PAGEREF _Toc495652638 \h </w:instrText>
      </w:r>
      <w:r>
        <w:rPr>
          <w:noProof/>
        </w:rPr>
      </w:r>
      <w:r>
        <w:rPr>
          <w:noProof/>
        </w:rPr>
        <w:fldChar w:fldCharType="separate"/>
      </w:r>
      <w:r w:rsidR="00766D30">
        <w:rPr>
          <w:noProof/>
        </w:rPr>
        <w:t>72</w:t>
      </w:r>
      <w:r>
        <w:rPr>
          <w:noProof/>
        </w:rPr>
        <w:fldChar w:fldCharType="end"/>
      </w:r>
    </w:p>
    <w:p w14:paraId="225AC6D6" w14:textId="77777777" w:rsidR="00E25764" w:rsidRDefault="00E25764">
      <w:pPr>
        <w:pStyle w:val="TOC5"/>
        <w:rPr>
          <w:rFonts w:asciiTheme="minorHAnsi" w:eastAsiaTheme="minorEastAsia" w:hAnsiTheme="minorHAnsi" w:cstheme="minorBidi"/>
          <w:noProof/>
          <w:sz w:val="22"/>
          <w:szCs w:val="22"/>
          <w:lang w:eastAsia="en-AU"/>
        </w:rPr>
      </w:pPr>
      <w:r>
        <w:rPr>
          <w:noProof/>
        </w:rPr>
        <w:t>1.31  Measurement of flow rates by PEM equipment</w:t>
      </w:r>
      <w:r>
        <w:rPr>
          <w:noProof/>
        </w:rPr>
        <w:tab/>
      </w:r>
      <w:r>
        <w:rPr>
          <w:noProof/>
        </w:rPr>
        <w:fldChar w:fldCharType="begin"/>
      </w:r>
      <w:r>
        <w:rPr>
          <w:noProof/>
        </w:rPr>
        <w:instrText xml:space="preserve"> PAGEREF _Toc495652639 \h </w:instrText>
      </w:r>
      <w:r>
        <w:rPr>
          <w:noProof/>
        </w:rPr>
      </w:r>
      <w:r>
        <w:rPr>
          <w:noProof/>
        </w:rPr>
        <w:fldChar w:fldCharType="separate"/>
      </w:r>
      <w:r w:rsidR="00766D30">
        <w:rPr>
          <w:noProof/>
        </w:rPr>
        <w:t>73</w:t>
      </w:r>
      <w:r>
        <w:rPr>
          <w:noProof/>
        </w:rPr>
        <w:fldChar w:fldCharType="end"/>
      </w:r>
    </w:p>
    <w:p w14:paraId="0F8AC86D" w14:textId="77777777" w:rsidR="00E25764" w:rsidRDefault="00E25764">
      <w:pPr>
        <w:pStyle w:val="TOC5"/>
        <w:rPr>
          <w:rFonts w:asciiTheme="minorHAnsi" w:eastAsiaTheme="minorEastAsia" w:hAnsiTheme="minorHAnsi" w:cstheme="minorBidi"/>
          <w:noProof/>
          <w:sz w:val="22"/>
          <w:szCs w:val="22"/>
          <w:lang w:eastAsia="en-AU"/>
        </w:rPr>
      </w:pPr>
      <w:r>
        <w:rPr>
          <w:noProof/>
        </w:rPr>
        <w:t>1.32  Measurement of gas concentrations by PEM</w:t>
      </w:r>
      <w:r>
        <w:rPr>
          <w:noProof/>
        </w:rPr>
        <w:tab/>
      </w:r>
      <w:r>
        <w:rPr>
          <w:noProof/>
        </w:rPr>
        <w:fldChar w:fldCharType="begin"/>
      </w:r>
      <w:r>
        <w:rPr>
          <w:noProof/>
        </w:rPr>
        <w:instrText xml:space="preserve"> PAGEREF _Toc495652640 \h </w:instrText>
      </w:r>
      <w:r>
        <w:rPr>
          <w:noProof/>
        </w:rPr>
      </w:r>
      <w:r>
        <w:rPr>
          <w:noProof/>
        </w:rPr>
        <w:fldChar w:fldCharType="separate"/>
      </w:r>
      <w:r w:rsidR="00766D30">
        <w:rPr>
          <w:noProof/>
        </w:rPr>
        <w:t>73</w:t>
      </w:r>
      <w:r>
        <w:rPr>
          <w:noProof/>
        </w:rPr>
        <w:fldChar w:fldCharType="end"/>
      </w:r>
    </w:p>
    <w:p w14:paraId="5A37B86A" w14:textId="77777777" w:rsidR="00E25764" w:rsidRDefault="00E25764">
      <w:pPr>
        <w:pStyle w:val="TOC5"/>
        <w:rPr>
          <w:rFonts w:asciiTheme="minorHAnsi" w:eastAsiaTheme="minorEastAsia" w:hAnsiTheme="minorHAnsi" w:cstheme="minorBidi"/>
          <w:noProof/>
          <w:sz w:val="22"/>
          <w:szCs w:val="22"/>
          <w:lang w:eastAsia="en-AU"/>
        </w:rPr>
      </w:pPr>
      <w:r>
        <w:rPr>
          <w:noProof/>
        </w:rPr>
        <w:t>1.33  Representative data for PEM</w:t>
      </w:r>
      <w:r>
        <w:rPr>
          <w:noProof/>
        </w:rPr>
        <w:tab/>
      </w:r>
      <w:r>
        <w:rPr>
          <w:noProof/>
        </w:rPr>
        <w:fldChar w:fldCharType="begin"/>
      </w:r>
      <w:r>
        <w:rPr>
          <w:noProof/>
        </w:rPr>
        <w:instrText xml:space="preserve"> PAGEREF _Toc495652641 \h </w:instrText>
      </w:r>
      <w:r>
        <w:rPr>
          <w:noProof/>
        </w:rPr>
      </w:r>
      <w:r>
        <w:rPr>
          <w:noProof/>
        </w:rPr>
        <w:fldChar w:fldCharType="separate"/>
      </w:r>
      <w:r w:rsidR="00766D30">
        <w:rPr>
          <w:noProof/>
        </w:rPr>
        <w:t>73</w:t>
      </w:r>
      <w:r>
        <w:rPr>
          <w:noProof/>
        </w:rPr>
        <w:fldChar w:fldCharType="end"/>
      </w:r>
    </w:p>
    <w:p w14:paraId="26AAAAE7"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1.3.4—Performance characteristics of equipment</w:t>
      </w:r>
      <w:r>
        <w:rPr>
          <w:noProof/>
        </w:rPr>
        <w:tab/>
      </w:r>
      <w:r>
        <w:rPr>
          <w:noProof/>
        </w:rPr>
        <w:fldChar w:fldCharType="begin"/>
      </w:r>
      <w:r>
        <w:rPr>
          <w:noProof/>
        </w:rPr>
        <w:instrText xml:space="preserve"> PAGEREF _Toc495652642 \h </w:instrText>
      </w:r>
      <w:r>
        <w:rPr>
          <w:noProof/>
        </w:rPr>
      </w:r>
      <w:r>
        <w:rPr>
          <w:noProof/>
        </w:rPr>
        <w:fldChar w:fldCharType="separate"/>
      </w:r>
      <w:r w:rsidR="00766D30">
        <w:rPr>
          <w:noProof/>
        </w:rPr>
        <w:t>74</w:t>
      </w:r>
      <w:r>
        <w:rPr>
          <w:noProof/>
        </w:rPr>
        <w:fldChar w:fldCharType="end"/>
      </w:r>
    </w:p>
    <w:p w14:paraId="7C6B2513" w14:textId="77777777" w:rsidR="00E25764" w:rsidRDefault="00E25764">
      <w:pPr>
        <w:pStyle w:val="TOC5"/>
        <w:rPr>
          <w:rFonts w:asciiTheme="minorHAnsi" w:eastAsiaTheme="minorEastAsia" w:hAnsiTheme="minorHAnsi" w:cstheme="minorBidi"/>
          <w:noProof/>
          <w:sz w:val="22"/>
          <w:szCs w:val="22"/>
          <w:lang w:eastAsia="en-AU"/>
        </w:rPr>
      </w:pPr>
      <w:r>
        <w:rPr>
          <w:noProof/>
        </w:rPr>
        <w:t>1.34  Performance characteristics of CEM or PEM equipment</w:t>
      </w:r>
      <w:r>
        <w:rPr>
          <w:noProof/>
        </w:rPr>
        <w:tab/>
      </w:r>
      <w:r>
        <w:rPr>
          <w:noProof/>
        </w:rPr>
        <w:fldChar w:fldCharType="begin"/>
      </w:r>
      <w:r>
        <w:rPr>
          <w:noProof/>
        </w:rPr>
        <w:instrText xml:space="preserve"> PAGEREF _Toc495652643 \h </w:instrText>
      </w:r>
      <w:r>
        <w:rPr>
          <w:noProof/>
        </w:rPr>
      </w:r>
      <w:r>
        <w:rPr>
          <w:noProof/>
        </w:rPr>
        <w:fldChar w:fldCharType="separate"/>
      </w:r>
      <w:r w:rsidR="00766D30">
        <w:rPr>
          <w:noProof/>
        </w:rPr>
        <w:t>74</w:t>
      </w:r>
      <w:r>
        <w:rPr>
          <w:noProof/>
        </w:rPr>
        <w:fldChar w:fldCharType="end"/>
      </w:r>
    </w:p>
    <w:p w14:paraId="357A3CD8" w14:textId="77777777" w:rsidR="00E25764" w:rsidRDefault="00E25764">
      <w:pPr>
        <w:pStyle w:val="TOC1"/>
        <w:rPr>
          <w:rFonts w:asciiTheme="minorHAnsi" w:eastAsiaTheme="minorEastAsia" w:hAnsiTheme="minorHAnsi" w:cstheme="minorBidi"/>
          <w:b w:val="0"/>
          <w:noProof/>
          <w:sz w:val="22"/>
          <w:szCs w:val="22"/>
          <w:lang w:eastAsia="en-AU"/>
        </w:rPr>
      </w:pPr>
      <w:r>
        <w:rPr>
          <w:noProof/>
        </w:rPr>
        <w:t>Chapter 2—Fuel combustion</w:t>
      </w:r>
      <w:r>
        <w:rPr>
          <w:noProof/>
        </w:rPr>
        <w:tab/>
      </w:r>
      <w:r>
        <w:rPr>
          <w:noProof/>
        </w:rPr>
        <w:fldChar w:fldCharType="begin"/>
      </w:r>
      <w:r>
        <w:rPr>
          <w:noProof/>
        </w:rPr>
        <w:instrText xml:space="preserve"> PAGEREF _Toc495652644 \h </w:instrText>
      </w:r>
      <w:r>
        <w:rPr>
          <w:noProof/>
        </w:rPr>
      </w:r>
      <w:r>
        <w:rPr>
          <w:noProof/>
        </w:rPr>
        <w:fldChar w:fldCharType="separate"/>
      </w:r>
      <w:r w:rsidR="00766D30">
        <w:rPr>
          <w:noProof/>
        </w:rPr>
        <w:t>75</w:t>
      </w:r>
      <w:r>
        <w:rPr>
          <w:noProof/>
        </w:rPr>
        <w:fldChar w:fldCharType="end"/>
      </w:r>
    </w:p>
    <w:p w14:paraId="2D7CF686" w14:textId="77777777" w:rsidR="00E25764" w:rsidRDefault="00E25764">
      <w:pPr>
        <w:pStyle w:val="TOC2"/>
        <w:rPr>
          <w:rFonts w:asciiTheme="minorHAnsi" w:eastAsiaTheme="minorEastAsia" w:hAnsiTheme="minorHAnsi" w:cstheme="minorBidi"/>
          <w:b w:val="0"/>
          <w:sz w:val="22"/>
          <w:szCs w:val="22"/>
          <w:lang w:eastAsia="en-AU"/>
        </w:rPr>
      </w:pPr>
      <w:r>
        <w:t>Part 2.1—Preliminary</w:t>
      </w:r>
      <w:r>
        <w:tab/>
      </w:r>
      <w:r>
        <w:fldChar w:fldCharType="begin"/>
      </w:r>
      <w:r>
        <w:instrText xml:space="preserve"> PAGEREF _Toc495652645 \h </w:instrText>
      </w:r>
      <w:r>
        <w:fldChar w:fldCharType="separate"/>
      </w:r>
      <w:r w:rsidR="00766D30">
        <w:t>75</w:t>
      </w:r>
      <w:r>
        <w:fldChar w:fldCharType="end"/>
      </w:r>
    </w:p>
    <w:p w14:paraId="2E0A342B" w14:textId="77777777" w:rsidR="00E25764" w:rsidRDefault="00E25764">
      <w:pPr>
        <w:pStyle w:val="TOC5"/>
        <w:rPr>
          <w:rFonts w:asciiTheme="minorHAnsi" w:eastAsiaTheme="minorEastAsia" w:hAnsiTheme="minorHAnsi" w:cstheme="minorBidi"/>
          <w:noProof/>
          <w:sz w:val="22"/>
          <w:szCs w:val="22"/>
          <w:lang w:eastAsia="en-AU"/>
        </w:rPr>
      </w:pPr>
      <w:r>
        <w:rPr>
          <w:noProof/>
        </w:rPr>
        <w:t>2.1  Outline of Chapter</w:t>
      </w:r>
      <w:r>
        <w:rPr>
          <w:noProof/>
        </w:rPr>
        <w:tab/>
      </w:r>
      <w:r>
        <w:rPr>
          <w:noProof/>
        </w:rPr>
        <w:fldChar w:fldCharType="begin"/>
      </w:r>
      <w:r>
        <w:rPr>
          <w:noProof/>
        </w:rPr>
        <w:instrText xml:space="preserve"> PAGEREF _Toc495652646 \h </w:instrText>
      </w:r>
      <w:r>
        <w:rPr>
          <w:noProof/>
        </w:rPr>
      </w:r>
      <w:r>
        <w:rPr>
          <w:noProof/>
        </w:rPr>
        <w:fldChar w:fldCharType="separate"/>
      </w:r>
      <w:r w:rsidR="00766D30">
        <w:rPr>
          <w:noProof/>
        </w:rPr>
        <w:t>75</w:t>
      </w:r>
      <w:r>
        <w:rPr>
          <w:noProof/>
        </w:rPr>
        <w:fldChar w:fldCharType="end"/>
      </w:r>
    </w:p>
    <w:p w14:paraId="58802605" w14:textId="77777777" w:rsidR="00E25764" w:rsidRDefault="00E25764">
      <w:pPr>
        <w:pStyle w:val="TOC2"/>
        <w:rPr>
          <w:rFonts w:asciiTheme="minorHAnsi" w:eastAsiaTheme="minorEastAsia" w:hAnsiTheme="minorHAnsi" w:cstheme="minorBidi"/>
          <w:b w:val="0"/>
          <w:sz w:val="22"/>
          <w:szCs w:val="22"/>
          <w:lang w:eastAsia="en-AU"/>
        </w:rPr>
      </w:pPr>
      <w:r>
        <w:t>Part 2.2—Emissions released from the combustion of solid fuels</w:t>
      </w:r>
      <w:r>
        <w:tab/>
      </w:r>
      <w:r>
        <w:fldChar w:fldCharType="begin"/>
      </w:r>
      <w:r>
        <w:instrText xml:space="preserve"> PAGEREF _Toc495652647 \h </w:instrText>
      </w:r>
      <w:r>
        <w:fldChar w:fldCharType="separate"/>
      </w:r>
      <w:r w:rsidR="00766D30">
        <w:t>77</w:t>
      </w:r>
      <w:r>
        <w:fldChar w:fldCharType="end"/>
      </w:r>
    </w:p>
    <w:p w14:paraId="473F63D5"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2.2.1—Preliminary</w:t>
      </w:r>
      <w:r>
        <w:rPr>
          <w:noProof/>
        </w:rPr>
        <w:tab/>
      </w:r>
      <w:r>
        <w:rPr>
          <w:noProof/>
        </w:rPr>
        <w:fldChar w:fldCharType="begin"/>
      </w:r>
      <w:r>
        <w:rPr>
          <w:noProof/>
        </w:rPr>
        <w:instrText xml:space="preserve"> PAGEREF _Toc495652648 \h </w:instrText>
      </w:r>
      <w:r>
        <w:rPr>
          <w:noProof/>
        </w:rPr>
      </w:r>
      <w:r>
        <w:rPr>
          <w:noProof/>
        </w:rPr>
        <w:fldChar w:fldCharType="separate"/>
      </w:r>
      <w:r w:rsidR="00766D30">
        <w:rPr>
          <w:noProof/>
        </w:rPr>
        <w:t>77</w:t>
      </w:r>
      <w:r>
        <w:rPr>
          <w:noProof/>
        </w:rPr>
        <w:fldChar w:fldCharType="end"/>
      </w:r>
    </w:p>
    <w:p w14:paraId="65E5D04C" w14:textId="77777777" w:rsidR="00E25764" w:rsidRDefault="00E25764">
      <w:pPr>
        <w:pStyle w:val="TOC5"/>
        <w:rPr>
          <w:rFonts w:asciiTheme="minorHAnsi" w:eastAsiaTheme="minorEastAsia" w:hAnsiTheme="minorHAnsi" w:cstheme="minorBidi"/>
          <w:noProof/>
          <w:sz w:val="22"/>
          <w:szCs w:val="22"/>
          <w:lang w:eastAsia="en-AU"/>
        </w:rPr>
      </w:pPr>
      <w:r>
        <w:rPr>
          <w:noProof/>
        </w:rPr>
        <w:t>2.2  Application</w:t>
      </w:r>
      <w:r>
        <w:rPr>
          <w:noProof/>
        </w:rPr>
        <w:tab/>
      </w:r>
      <w:r>
        <w:rPr>
          <w:noProof/>
        </w:rPr>
        <w:fldChar w:fldCharType="begin"/>
      </w:r>
      <w:r>
        <w:rPr>
          <w:noProof/>
        </w:rPr>
        <w:instrText xml:space="preserve"> PAGEREF _Toc495652649 \h </w:instrText>
      </w:r>
      <w:r>
        <w:rPr>
          <w:noProof/>
        </w:rPr>
      </w:r>
      <w:r>
        <w:rPr>
          <w:noProof/>
        </w:rPr>
        <w:fldChar w:fldCharType="separate"/>
      </w:r>
      <w:r w:rsidR="00766D30">
        <w:rPr>
          <w:noProof/>
        </w:rPr>
        <w:t>77</w:t>
      </w:r>
      <w:r>
        <w:rPr>
          <w:noProof/>
        </w:rPr>
        <w:fldChar w:fldCharType="end"/>
      </w:r>
    </w:p>
    <w:p w14:paraId="3C74DF5B" w14:textId="77777777" w:rsidR="00E25764" w:rsidRDefault="00E25764">
      <w:pPr>
        <w:pStyle w:val="TOC5"/>
        <w:rPr>
          <w:rFonts w:asciiTheme="minorHAnsi" w:eastAsiaTheme="minorEastAsia" w:hAnsiTheme="minorHAnsi" w:cstheme="minorBidi"/>
          <w:noProof/>
          <w:sz w:val="22"/>
          <w:szCs w:val="22"/>
          <w:lang w:eastAsia="en-AU"/>
        </w:rPr>
      </w:pPr>
      <w:r>
        <w:rPr>
          <w:noProof/>
        </w:rPr>
        <w:t>2.3  Available methods for estimating emissions of carbon dioxide, methane and nitrous oxide</w:t>
      </w:r>
      <w:r>
        <w:rPr>
          <w:noProof/>
        </w:rPr>
        <w:tab/>
      </w:r>
      <w:r>
        <w:rPr>
          <w:noProof/>
        </w:rPr>
        <w:fldChar w:fldCharType="begin"/>
      </w:r>
      <w:r>
        <w:rPr>
          <w:noProof/>
        </w:rPr>
        <w:instrText xml:space="preserve"> PAGEREF _Toc495652650 \h </w:instrText>
      </w:r>
      <w:r>
        <w:rPr>
          <w:noProof/>
        </w:rPr>
      </w:r>
      <w:r>
        <w:rPr>
          <w:noProof/>
        </w:rPr>
        <w:fldChar w:fldCharType="separate"/>
      </w:r>
      <w:r w:rsidR="00766D30">
        <w:rPr>
          <w:noProof/>
        </w:rPr>
        <w:t>77</w:t>
      </w:r>
      <w:r>
        <w:rPr>
          <w:noProof/>
        </w:rPr>
        <w:fldChar w:fldCharType="end"/>
      </w:r>
    </w:p>
    <w:p w14:paraId="6AA9878A" w14:textId="77777777" w:rsidR="00E25764" w:rsidRDefault="00E25764">
      <w:pPr>
        <w:pStyle w:val="TOC3"/>
        <w:rPr>
          <w:rFonts w:asciiTheme="minorHAnsi" w:eastAsiaTheme="minorEastAsia" w:hAnsiTheme="minorHAnsi" w:cstheme="minorBidi"/>
          <w:b w:val="0"/>
          <w:noProof/>
          <w:sz w:val="22"/>
          <w:szCs w:val="22"/>
          <w:lang w:eastAsia="en-AU"/>
        </w:rPr>
      </w:pPr>
      <w:r>
        <w:rPr>
          <w:noProof/>
        </w:rPr>
        <w:lastRenderedPageBreak/>
        <w:t>Division 2.2.2—Method 1—emissions of carbon dioxide, methane and nitrous oxide from solid fuels</w:t>
      </w:r>
      <w:r>
        <w:rPr>
          <w:noProof/>
        </w:rPr>
        <w:tab/>
      </w:r>
      <w:r>
        <w:rPr>
          <w:noProof/>
        </w:rPr>
        <w:fldChar w:fldCharType="begin"/>
      </w:r>
      <w:r>
        <w:rPr>
          <w:noProof/>
        </w:rPr>
        <w:instrText xml:space="preserve"> PAGEREF _Toc495652651 \h </w:instrText>
      </w:r>
      <w:r>
        <w:rPr>
          <w:noProof/>
        </w:rPr>
      </w:r>
      <w:r>
        <w:rPr>
          <w:noProof/>
        </w:rPr>
        <w:fldChar w:fldCharType="separate"/>
      </w:r>
      <w:r w:rsidR="00766D30">
        <w:rPr>
          <w:noProof/>
        </w:rPr>
        <w:t>79</w:t>
      </w:r>
      <w:r>
        <w:rPr>
          <w:noProof/>
        </w:rPr>
        <w:fldChar w:fldCharType="end"/>
      </w:r>
    </w:p>
    <w:p w14:paraId="04C19F0A" w14:textId="77777777" w:rsidR="00E25764" w:rsidRDefault="00E25764">
      <w:pPr>
        <w:pStyle w:val="TOC5"/>
        <w:rPr>
          <w:rFonts w:asciiTheme="minorHAnsi" w:eastAsiaTheme="minorEastAsia" w:hAnsiTheme="minorHAnsi" w:cstheme="minorBidi"/>
          <w:noProof/>
          <w:sz w:val="22"/>
          <w:szCs w:val="22"/>
          <w:lang w:eastAsia="en-AU"/>
        </w:rPr>
      </w:pPr>
      <w:r>
        <w:rPr>
          <w:noProof/>
        </w:rPr>
        <w:t>2.4  Method 1—solid fuels</w:t>
      </w:r>
      <w:r>
        <w:rPr>
          <w:noProof/>
        </w:rPr>
        <w:tab/>
      </w:r>
      <w:r>
        <w:rPr>
          <w:noProof/>
        </w:rPr>
        <w:fldChar w:fldCharType="begin"/>
      </w:r>
      <w:r>
        <w:rPr>
          <w:noProof/>
        </w:rPr>
        <w:instrText xml:space="preserve"> PAGEREF _Toc495652652 \h </w:instrText>
      </w:r>
      <w:r>
        <w:rPr>
          <w:noProof/>
        </w:rPr>
      </w:r>
      <w:r>
        <w:rPr>
          <w:noProof/>
        </w:rPr>
        <w:fldChar w:fldCharType="separate"/>
      </w:r>
      <w:r w:rsidR="00766D30">
        <w:rPr>
          <w:noProof/>
        </w:rPr>
        <w:t>79</w:t>
      </w:r>
      <w:r>
        <w:rPr>
          <w:noProof/>
        </w:rPr>
        <w:fldChar w:fldCharType="end"/>
      </w:r>
    </w:p>
    <w:p w14:paraId="12FEF74F" w14:textId="77777777" w:rsidR="00E25764" w:rsidRDefault="00E25764">
      <w:pPr>
        <w:pStyle w:val="TOC2"/>
        <w:rPr>
          <w:rFonts w:asciiTheme="minorHAnsi" w:eastAsiaTheme="minorEastAsia" w:hAnsiTheme="minorHAnsi" w:cstheme="minorBidi"/>
          <w:b w:val="0"/>
          <w:sz w:val="22"/>
          <w:szCs w:val="22"/>
          <w:lang w:eastAsia="en-AU"/>
        </w:rPr>
      </w:pPr>
      <w:r w:rsidRPr="00EF3CB8">
        <w:t>Table 2.2.2:</w:t>
      </w:r>
      <w:r>
        <w:rPr>
          <w:rFonts w:asciiTheme="minorHAnsi" w:eastAsiaTheme="minorEastAsia" w:hAnsiTheme="minorHAnsi" w:cstheme="minorBidi"/>
          <w:b w:val="0"/>
          <w:sz w:val="22"/>
          <w:szCs w:val="22"/>
          <w:lang w:eastAsia="en-AU"/>
        </w:rPr>
        <w:tab/>
      </w:r>
      <w:r w:rsidRPr="00EF3CB8">
        <w:t>Emission and energy content factors — solid fuels and certain coal</w:t>
      </w:r>
      <w:r w:rsidRPr="00EF3CB8">
        <w:noBreakHyphen/>
        <w:t>based products</w:t>
      </w:r>
      <w:r>
        <w:tab/>
      </w:r>
      <w:r>
        <w:fldChar w:fldCharType="begin"/>
      </w:r>
      <w:r>
        <w:instrText xml:space="preserve"> PAGEREF _Toc495652653 \h </w:instrText>
      </w:r>
      <w:r>
        <w:fldChar w:fldCharType="separate"/>
      </w:r>
      <w:r w:rsidR="00766D30">
        <w:t>80</w:t>
      </w:r>
      <w:r>
        <w:fldChar w:fldCharType="end"/>
      </w:r>
    </w:p>
    <w:p w14:paraId="5A625FC6"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2.2.3—Method 2—emissions from solid fuels</w:t>
      </w:r>
      <w:r>
        <w:rPr>
          <w:noProof/>
        </w:rPr>
        <w:tab/>
      </w:r>
      <w:r>
        <w:rPr>
          <w:noProof/>
        </w:rPr>
        <w:fldChar w:fldCharType="begin"/>
      </w:r>
      <w:r>
        <w:rPr>
          <w:noProof/>
        </w:rPr>
        <w:instrText xml:space="preserve"> PAGEREF _Toc495652654 \h </w:instrText>
      </w:r>
      <w:r>
        <w:rPr>
          <w:noProof/>
        </w:rPr>
      </w:r>
      <w:r>
        <w:rPr>
          <w:noProof/>
        </w:rPr>
        <w:fldChar w:fldCharType="separate"/>
      </w:r>
      <w:r w:rsidR="00766D30">
        <w:rPr>
          <w:noProof/>
        </w:rPr>
        <w:t>84</w:t>
      </w:r>
      <w:r>
        <w:rPr>
          <w:noProof/>
        </w:rPr>
        <w:fldChar w:fldCharType="end"/>
      </w:r>
    </w:p>
    <w:p w14:paraId="0B01131D"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2.2.3.1—Method 2—estimating carbon dioxide using default oxidation factor</w:t>
      </w:r>
      <w:r>
        <w:rPr>
          <w:noProof/>
        </w:rPr>
        <w:tab/>
      </w:r>
      <w:r>
        <w:rPr>
          <w:noProof/>
        </w:rPr>
        <w:fldChar w:fldCharType="begin"/>
      </w:r>
      <w:r>
        <w:rPr>
          <w:noProof/>
        </w:rPr>
        <w:instrText xml:space="preserve"> PAGEREF _Toc495652655 \h </w:instrText>
      </w:r>
      <w:r>
        <w:rPr>
          <w:noProof/>
        </w:rPr>
      </w:r>
      <w:r>
        <w:rPr>
          <w:noProof/>
        </w:rPr>
        <w:fldChar w:fldCharType="separate"/>
      </w:r>
      <w:r w:rsidR="00766D30">
        <w:rPr>
          <w:noProof/>
        </w:rPr>
        <w:t>84</w:t>
      </w:r>
      <w:r>
        <w:rPr>
          <w:noProof/>
        </w:rPr>
        <w:fldChar w:fldCharType="end"/>
      </w:r>
    </w:p>
    <w:p w14:paraId="4346ED64" w14:textId="77777777" w:rsidR="00E25764" w:rsidRDefault="00E25764">
      <w:pPr>
        <w:pStyle w:val="TOC5"/>
        <w:rPr>
          <w:rFonts w:asciiTheme="minorHAnsi" w:eastAsiaTheme="minorEastAsia" w:hAnsiTheme="minorHAnsi" w:cstheme="minorBidi"/>
          <w:noProof/>
          <w:sz w:val="22"/>
          <w:szCs w:val="22"/>
          <w:lang w:eastAsia="en-AU"/>
        </w:rPr>
      </w:pPr>
      <w:r>
        <w:rPr>
          <w:noProof/>
        </w:rPr>
        <w:t>2.5  Method 2—estimating carbon dioxide using oxidation factor</w:t>
      </w:r>
      <w:r>
        <w:rPr>
          <w:noProof/>
        </w:rPr>
        <w:tab/>
      </w:r>
      <w:r>
        <w:rPr>
          <w:noProof/>
        </w:rPr>
        <w:fldChar w:fldCharType="begin"/>
      </w:r>
      <w:r>
        <w:rPr>
          <w:noProof/>
        </w:rPr>
        <w:instrText xml:space="preserve"> PAGEREF _Toc495652656 \h </w:instrText>
      </w:r>
      <w:r>
        <w:rPr>
          <w:noProof/>
        </w:rPr>
      </w:r>
      <w:r>
        <w:rPr>
          <w:noProof/>
        </w:rPr>
        <w:fldChar w:fldCharType="separate"/>
      </w:r>
      <w:r w:rsidR="00766D30">
        <w:rPr>
          <w:noProof/>
        </w:rPr>
        <w:t>84</w:t>
      </w:r>
      <w:r>
        <w:rPr>
          <w:noProof/>
        </w:rPr>
        <w:fldChar w:fldCharType="end"/>
      </w:r>
    </w:p>
    <w:p w14:paraId="130DF577" w14:textId="77777777" w:rsidR="00E25764" w:rsidRDefault="00E25764">
      <w:pPr>
        <w:pStyle w:val="TOC6"/>
        <w:rPr>
          <w:rFonts w:asciiTheme="minorHAnsi" w:eastAsiaTheme="minorEastAsia" w:hAnsiTheme="minorHAnsi" w:cstheme="minorBidi"/>
          <w:sz w:val="22"/>
          <w:szCs w:val="22"/>
          <w:lang w:eastAsia="en-AU"/>
        </w:rPr>
      </w:pPr>
      <w:r>
        <w:t>Table 2.2.3</w:t>
      </w:r>
      <w:r>
        <w:rPr>
          <w:rFonts w:asciiTheme="minorHAnsi" w:eastAsiaTheme="minorEastAsia" w:hAnsiTheme="minorHAnsi" w:cstheme="minorBidi"/>
          <w:sz w:val="22"/>
          <w:szCs w:val="22"/>
          <w:lang w:eastAsia="en-AU"/>
        </w:rPr>
        <w:tab/>
      </w:r>
      <w:r>
        <w:t xml:space="preserve"> Analysis of solid fuels: standards and frequency of analysis for energy, carbon, moisture and ash</w:t>
      </w:r>
      <w:r>
        <w:tab/>
      </w:r>
      <w:r>
        <w:fldChar w:fldCharType="begin"/>
      </w:r>
      <w:r>
        <w:instrText xml:space="preserve"> PAGEREF _Toc495652657 \h </w:instrText>
      </w:r>
      <w:r>
        <w:fldChar w:fldCharType="separate"/>
      </w:r>
      <w:r w:rsidR="00766D30">
        <w:t>87</w:t>
      </w:r>
      <w:r>
        <w:fldChar w:fldCharType="end"/>
      </w:r>
    </w:p>
    <w:p w14:paraId="198E8B6F"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2.2.3.2—Method 2—estimating carbon dioxide using an estimated oxidation factor</w:t>
      </w:r>
      <w:r>
        <w:rPr>
          <w:noProof/>
        </w:rPr>
        <w:tab/>
      </w:r>
      <w:r>
        <w:rPr>
          <w:noProof/>
        </w:rPr>
        <w:fldChar w:fldCharType="begin"/>
      </w:r>
      <w:r>
        <w:rPr>
          <w:noProof/>
        </w:rPr>
        <w:instrText xml:space="preserve"> PAGEREF _Toc495652658 \h </w:instrText>
      </w:r>
      <w:r>
        <w:rPr>
          <w:noProof/>
        </w:rPr>
      </w:r>
      <w:r>
        <w:rPr>
          <w:noProof/>
        </w:rPr>
        <w:fldChar w:fldCharType="separate"/>
      </w:r>
      <w:r w:rsidR="00766D30">
        <w:rPr>
          <w:noProof/>
        </w:rPr>
        <w:t>93</w:t>
      </w:r>
      <w:r>
        <w:rPr>
          <w:noProof/>
        </w:rPr>
        <w:fldChar w:fldCharType="end"/>
      </w:r>
    </w:p>
    <w:p w14:paraId="0C87D374" w14:textId="77777777" w:rsidR="00E25764" w:rsidRDefault="00E25764">
      <w:pPr>
        <w:pStyle w:val="TOC5"/>
        <w:rPr>
          <w:rFonts w:asciiTheme="minorHAnsi" w:eastAsiaTheme="minorEastAsia" w:hAnsiTheme="minorHAnsi" w:cstheme="minorBidi"/>
          <w:noProof/>
          <w:sz w:val="22"/>
          <w:szCs w:val="22"/>
          <w:lang w:eastAsia="en-AU"/>
        </w:rPr>
      </w:pPr>
      <w:r>
        <w:rPr>
          <w:noProof/>
        </w:rPr>
        <w:t>2.6  Method 2—estimating carbon dioxide using an estimated oxidation factor</w:t>
      </w:r>
      <w:r>
        <w:rPr>
          <w:noProof/>
        </w:rPr>
        <w:tab/>
      </w:r>
      <w:r>
        <w:rPr>
          <w:noProof/>
        </w:rPr>
        <w:fldChar w:fldCharType="begin"/>
      </w:r>
      <w:r>
        <w:rPr>
          <w:noProof/>
        </w:rPr>
        <w:instrText xml:space="preserve"> PAGEREF _Toc495652659 \h </w:instrText>
      </w:r>
      <w:r>
        <w:rPr>
          <w:noProof/>
        </w:rPr>
      </w:r>
      <w:r>
        <w:rPr>
          <w:noProof/>
        </w:rPr>
        <w:fldChar w:fldCharType="separate"/>
      </w:r>
      <w:r w:rsidR="00766D30">
        <w:rPr>
          <w:noProof/>
        </w:rPr>
        <w:t>93</w:t>
      </w:r>
      <w:r>
        <w:rPr>
          <w:noProof/>
        </w:rPr>
        <w:fldChar w:fldCharType="end"/>
      </w:r>
    </w:p>
    <w:p w14:paraId="51C7D079"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2.2.3.3—Sampling and analysis for method 2 under sections 2.5 and 2.6</w:t>
      </w:r>
      <w:r>
        <w:rPr>
          <w:noProof/>
        </w:rPr>
        <w:tab/>
      </w:r>
      <w:r>
        <w:rPr>
          <w:noProof/>
        </w:rPr>
        <w:fldChar w:fldCharType="begin"/>
      </w:r>
      <w:r>
        <w:rPr>
          <w:noProof/>
        </w:rPr>
        <w:instrText xml:space="preserve"> PAGEREF _Toc495652660 \h </w:instrText>
      </w:r>
      <w:r>
        <w:rPr>
          <w:noProof/>
        </w:rPr>
      </w:r>
      <w:r>
        <w:rPr>
          <w:noProof/>
        </w:rPr>
        <w:fldChar w:fldCharType="separate"/>
      </w:r>
      <w:r w:rsidR="00766D30">
        <w:rPr>
          <w:noProof/>
        </w:rPr>
        <w:t>95</w:t>
      </w:r>
      <w:r>
        <w:rPr>
          <w:noProof/>
        </w:rPr>
        <w:fldChar w:fldCharType="end"/>
      </w:r>
    </w:p>
    <w:p w14:paraId="799588CC" w14:textId="77777777" w:rsidR="00E25764" w:rsidRDefault="00E25764">
      <w:pPr>
        <w:pStyle w:val="TOC5"/>
        <w:rPr>
          <w:rFonts w:asciiTheme="minorHAnsi" w:eastAsiaTheme="minorEastAsia" w:hAnsiTheme="minorHAnsi" w:cstheme="minorBidi"/>
          <w:noProof/>
          <w:sz w:val="22"/>
          <w:szCs w:val="22"/>
          <w:lang w:eastAsia="en-AU"/>
        </w:rPr>
      </w:pPr>
      <w:r>
        <w:rPr>
          <w:noProof/>
        </w:rPr>
        <w:t>2.7  General requirements for sampling solid fuels</w:t>
      </w:r>
      <w:r>
        <w:rPr>
          <w:noProof/>
        </w:rPr>
        <w:tab/>
      </w:r>
      <w:r>
        <w:rPr>
          <w:noProof/>
        </w:rPr>
        <w:fldChar w:fldCharType="begin"/>
      </w:r>
      <w:r>
        <w:rPr>
          <w:noProof/>
        </w:rPr>
        <w:instrText xml:space="preserve"> PAGEREF _Toc495652661 \h </w:instrText>
      </w:r>
      <w:r>
        <w:rPr>
          <w:noProof/>
        </w:rPr>
      </w:r>
      <w:r>
        <w:rPr>
          <w:noProof/>
        </w:rPr>
        <w:fldChar w:fldCharType="separate"/>
      </w:r>
      <w:r w:rsidR="00766D30">
        <w:rPr>
          <w:noProof/>
        </w:rPr>
        <w:t>97</w:t>
      </w:r>
      <w:r>
        <w:rPr>
          <w:noProof/>
        </w:rPr>
        <w:fldChar w:fldCharType="end"/>
      </w:r>
    </w:p>
    <w:p w14:paraId="78ADE7F3" w14:textId="77777777" w:rsidR="00E25764" w:rsidRDefault="00E25764">
      <w:pPr>
        <w:pStyle w:val="TOC5"/>
        <w:rPr>
          <w:rFonts w:asciiTheme="minorHAnsi" w:eastAsiaTheme="minorEastAsia" w:hAnsiTheme="minorHAnsi" w:cstheme="minorBidi"/>
          <w:noProof/>
          <w:sz w:val="22"/>
          <w:szCs w:val="22"/>
          <w:lang w:eastAsia="en-AU"/>
        </w:rPr>
      </w:pPr>
      <w:r>
        <w:rPr>
          <w:noProof/>
        </w:rPr>
        <w:t>2.8  General requirements for analysis of solid fuels</w:t>
      </w:r>
      <w:r>
        <w:rPr>
          <w:noProof/>
        </w:rPr>
        <w:tab/>
      </w:r>
      <w:r>
        <w:rPr>
          <w:noProof/>
        </w:rPr>
        <w:fldChar w:fldCharType="begin"/>
      </w:r>
      <w:r>
        <w:rPr>
          <w:noProof/>
        </w:rPr>
        <w:instrText xml:space="preserve"> PAGEREF _Toc495652662 \h </w:instrText>
      </w:r>
      <w:r>
        <w:rPr>
          <w:noProof/>
        </w:rPr>
      </w:r>
      <w:r>
        <w:rPr>
          <w:noProof/>
        </w:rPr>
        <w:fldChar w:fldCharType="separate"/>
      </w:r>
      <w:r w:rsidR="00766D30">
        <w:rPr>
          <w:noProof/>
        </w:rPr>
        <w:t>97</w:t>
      </w:r>
      <w:r>
        <w:rPr>
          <w:noProof/>
        </w:rPr>
        <w:fldChar w:fldCharType="end"/>
      </w:r>
    </w:p>
    <w:p w14:paraId="42A86092" w14:textId="77777777" w:rsidR="00E25764" w:rsidRDefault="00E25764">
      <w:pPr>
        <w:pStyle w:val="TOC5"/>
        <w:rPr>
          <w:rFonts w:asciiTheme="minorHAnsi" w:eastAsiaTheme="minorEastAsia" w:hAnsiTheme="minorHAnsi" w:cstheme="minorBidi"/>
          <w:noProof/>
          <w:sz w:val="22"/>
          <w:szCs w:val="22"/>
          <w:lang w:eastAsia="en-AU"/>
        </w:rPr>
      </w:pPr>
      <w:r>
        <w:rPr>
          <w:noProof/>
        </w:rPr>
        <w:t>2.9  Requirements for analysis of furnace ash and fly ash</w:t>
      </w:r>
      <w:r>
        <w:rPr>
          <w:noProof/>
        </w:rPr>
        <w:tab/>
      </w:r>
      <w:r>
        <w:rPr>
          <w:noProof/>
        </w:rPr>
        <w:fldChar w:fldCharType="begin"/>
      </w:r>
      <w:r>
        <w:rPr>
          <w:noProof/>
        </w:rPr>
        <w:instrText xml:space="preserve"> PAGEREF _Toc495652663 \h </w:instrText>
      </w:r>
      <w:r>
        <w:rPr>
          <w:noProof/>
        </w:rPr>
      </w:r>
      <w:r>
        <w:rPr>
          <w:noProof/>
        </w:rPr>
        <w:fldChar w:fldCharType="separate"/>
      </w:r>
      <w:r w:rsidR="00766D30">
        <w:rPr>
          <w:noProof/>
        </w:rPr>
        <w:t>98</w:t>
      </w:r>
      <w:r>
        <w:rPr>
          <w:noProof/>
        </w:rPr>
        <w:fldChar w:fldCharType="end"/>
      </w:r>
    </w:p>
    <w:p w14:paraId="508D8E4A" w14:textId="77777777" w:rsidR="00E25764" w:rsidRDefault="00E25764">
      <w:pPr>
        <w:pStyle w:val="TOC5"/>
        <w:rPr>
          <w:rFonts w:asciiTheme="minorHAnsi" w:eastAsiaTheme="minorEastAsia" w:hAnsiTheme="minorHAnsi" w:cstheme="minorBidi"/>
          <w:noProof/>
          <w:sz w:val="22"/>
          <w:szCs w:val="22"/>
          <w:lang w:eastAsia="en-AU"/>
        </w:rPr>
      </w:pPr>
      <w:r>
        <w:rPr>
          <w:noProof/>
        </w:rPr>
        <w:t>2.10  Requirements for sampling for carbon in furnace ash</w:t>
      </w:r>
      <w:r>
        <w:rPr>
          <w:noProof/>
        </w:rPr>
        <w:tab/>
      </w:r>
      <w:r>
        <w:rPr>
          <w:noProof/>
        </w:rPr>
        <w:fldChar w:fldCharType="begin"/>
      </w:r>
      <w:r>
        <w:rPr>
          <w:noProof/>
        </w:rPr>
        <w:instrText xml:space="preserve"> PAGEREF _Toc495652664 \h </w:instrText>
      </w:r>
      <w:r>
        <w:rPr>
          <w:noProof/>
        </w:rPr>
      </w:r>
      <w:r>
        <w:rPr>
          <w:noProof/>
        </w:rPr>
        <w:fldChar w:fldCharType="separate"/>
      </w:r>
      <w:r w:rsidR="00766D30">
        <w:rPr>
          <w:noProof/>
        </w:rPr>
        <w:t>99</w:t>
      </w:r>
      <w:r>
        <w:rPr>
          <w:noProof/>
        </w:rPr>
        <w:fldChar w:fldCharType="end"/>
      </w:r>
    </w:p>
    <w:p w14:paraId="61989123" w14:textId="77777777" w:rsidR="00E25764" w:rsidRDefault="00E25764">
      <w:pPr>
        <w:pStyle w:val="TOC5"/>
        <w:rPr>
          <w:rFonts w:asciiTheme="minorHAnsi" w:eastAsiaTheme="minorEastAsia" w:hAnsiTheme="minorHAnsi" w:cstheme="minorBidi"/>
          <w:noProof/>
          <w:sz w:val="22"/>
          <w:szCs w:val="22"/>
          <w:lang w:eastAsia="en-AU"/>
        </w:rPr>
      </w:pPr>
      <w:r>
        <w:rPr>
          <w:noProof/>
        </w:rPr>
        <w:t>2.11  Sampling for carbon in fly ash</w:t>
      </w:r>
      <w:r>
        <w:rPr>
          <w:noProof/>
        </w:rPr>
        <w:tab/>
      </w:r>
      <w:r>
        <w:rPr>
          <w:noProof/>
        </w:rPr>
        <w:fldChar w:fldCharType="begin"/>
      </w:r>
      <w:r>
        <w:rPr>
          <w:noProof/>
        </w:rPr>
        <w:instrText xml:space="preserve"> PAGEREF _Toc495652665 \h </w:instrText>
      </w:r>
      <w:r>
        <w:rPr>
          <w:noProof/>
        </w:rPr>
      </w:r>
      <w:r>
        <w:rPr>
          <w:noProof/>
        </w:rPr>
        <w:fldChar w:fldCharType="separate"/>
      </w:r>
      <w:r w:rsidR="00766D30">
        <w:rPr>
          <w:noProof/>
        </w:rPr>
        <w:t>99</w:t>
      </w:r>
      <w:r>
        <w:rPr>
          <w:noProof/>
        </w:rPr>
        <w:fldChar w:fldCharType="end"/>
      </w:r>
    </w:p>
    <w:p w14:paraId="3504C6E7"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2.2.4—Method 3—Solid fuels</w:t>
      </w:r>
      <w:r>
        <w:rPr>
          <w:noProof/>
        </w:rPr>
        <w:tab/>
      </w:r>
      <w:r>
        <w:rPr>
          <w:noProof/>
        </w:rPr>
        <w:fldChar w:fldCharType="begin"/>
      </w:r>
      <w:r>
        <w:rPr>
          <w:noProof/>
        </w:rPr>
        <w:instrText xml:space="preserve"> PAGEREF _Toc495652666 \h </w:instrText>
      </w:r>
      <w:r>
        <w:rPr>
          <w:noProof/>
        </w:rPr>
      </w:r>
      <w:r>
        <w:rPr>
          <w:noProof/>
        </w:rPr>
        <w:fldChar w:fldCharType="separate"/>
      </w:r>
      <w:r w:rsidR="00766D30">
        <w:rPr>
          <w:noProof/>
        </w:rPr>
        <w:t>101</w:t>
      </w:r>
      <w:r>
        <w:rPr>
          <w:noProof/>
        </w:rPr>
        <w:fldChar w:fldCharType="end"/>
      </w:r>
    </w:p>
    <w:p w14:paraId="134F67EF" w14:textId="77777777" w:rsidR="00E25764" w:rsidRDefault="00E25764">
      <w:pPr>
        <w:pStyle w:val="TOC5"/>
        <w:rPr>
          <w:rFonts w:asciiTheme="minorHAnsi" w:eastAsiaTheme="minorEastAsia" w:hAnsiTheme="minorHAnsi" w:cstheme="minorBidi"/>
          <w:noProof/>
          <w:sz w:val="22"/>
          <w:szCs w:val="22"/>
          <w:lang w:eastAsia="en-AU"/>
        </w:rPr>
      </w:pPr>
      <w:r>
        <w:rPr>
          <w:noProof/>
        </w:rPr>
        <w:t>2.12  Method 3—solid fuels using oxidation factor or an estimated oxidation factor</w:t>
      </w:r>
      <w:r>
        <w:rPr>
          <w:noProof/>
        </w:rPr>
        <w:tab/>
      </w:r>
      <w:r>
        <w:rPr>
          <w:noProof/>
        </w:rPr>
        <w:fldChar w:fldCharType="begin"/>
      </w:r>
      <w:r>
        <w:rPr>
          <w:noProof/>
        </w:rPr>
        <w:instrText xml:space="preserve"> PAGEREF _Toc495652667 \h </w:instrText>
      </w:r>
      <w:r>
        <w:rPr>
          <w:noProof/>
        </w:rPr>
      </w:r>
      <w:r>
        <w:rPr>
          <w:noProof/>
        </w:rPr>
        <w:fldChar w:fldCharType="separate"/>
      </w:r>
      <w:r w:rsidR="00766D30">
        <w:rPr>
          <w:noProof/>
        </w:rPr>
        <w:t>101</w:t>
      </w:r>
      <w:r>
        <w:rPr>
          <w:noProof/>
        </w:rPr>
        <w:fldChar w:fldCharType="end"/>
      </w:r>
    </w:p>
    <w:p w14:paraId="6852F165"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2.2.5—Measurement of consumption of solid fuels</w:t>
      </w:r>
      <w:r>
        <w:rPr>
          <w:noProof/>
        </w:rPr>
        <w:tab/>
      </w:r>
      <w:r>
        <w:rPr>
          <w:noProof/>
        </w:rPr>
        <w:fldChar w:fldCharType="begin"/>
      </w:r>
      <w:r>
        <w:rPr>
          <w:noProof/>
        </w:rPr>
        <w:instrText xml:space="preserve"> PAGEREF _Toc495652668 \h </w:instrText>
      </w:r>
      <w:r>
        <w:rPr>
          <w:noProof/>
        </w:rPr>
      </w:r>
      <w:r>
        <w:rPr>
          <w:noProof/>
        </w:rPr>
        <w:fldChar w:fldCharType="separate"/>
      </w:r>
      <w:r w:rsidR="00766D30">
        <w:rPr>
          <w:noProof/>
        </w:rPr>
        <w:t>103</w:t>
      </w:r>
      <w:r>
        <w:rPr>
          <w:noProof/>
        </w:rPr>
        <w:fldChar w:fldCharType="end"/>
      </w:r>
    </w:p>
    <w:p w14:paraId="5103AB06" w14:textId="77777777" w:rsidR="00E25764" w:rsidRDefault="00E25764">
      <w:pPr>
        <w:pStyle w:val="TOC5"/>
        <w:rPr>
          <w:rFonts w:asciiTheme="minorHAnsi" w:eastAsiaTheme="minorEastAsia" w:hAnsiTheme="minorHAnsi" w:cstheme="minorBidi"/>
          <w:noProof/>
          <w:sz w:val="22"/>
          <w:szCs w:val="22"/>
          <w:lang w:eastAsia="en-AU"/>
        </w:rPr>
      </w:pPr>
      <w:r>
        <w:rPr>
          <w:noProof/>
        </w:rPr>
        <w:t>2.13  Purpose of Division</w:t>
      </w:r>
      <w:r>
        <w:rPr>
          <w:noProof/>
        </w:rPr>
        <w:tab/>
      </w:r>
      <w:r>
        <w:rPr>
          <w:noProof/>
        </w:rPr>
        <w:fldChar w:fldCharType="begin"/>
      </w:r>
      <w:r>
        <w:rPr>
          <w:noProof/>
        </w:rPr>
        <w:instrText xml:space="preserve"> PAGEREF _Toc495652669 \h </w:instrText>
      </w:r>
      <w:r>
        <w:rPr>
          <w:noProof/>
        </w:rPr>
      </w:r>
      <w:r>
        <w:rPr>
          <w:noProof/>
        </w:rPr>
        <w:fldChar w:fldCharType="separate"/>
      </w:r>
      <w:r w:rsidR="00766D30">
        <w:rPr>
          <w:noProof/>
        </w:rPr>
        <w:t>103</w:t>
      </w:r>
      <w:r>
        <w:rPr>
          <w:noProof/>
        </w:rPr>
        <w:fldChar w:fldCharType="end"/>
      </w:r>
    </w:p>
    <w:p w14:paraId="14C4DE46" w14:textId="77777777" w:rsidR="00E25764" w:rsidRDefault="00E25764">
      <w:pPr>
        <w:pStyle w:val="TOC5"/>
        <w:rPr>
          <w:rFonts w:asciiTheme="minorHAnsi" w:eastAsiaTheme="minorEastAsia" w:hAnsiTheme="minorHAnsi" w:cstheme="minorBidi"/>
          <w:noProof/>
          <w:sz w:val="22"/>
          <w:szCs w:val="22"/>
          <w:lang w:eastAsia="en-AU"/>
        </w:rPr>
      </w:pPr>
      <w:r>
        <w:rPr>
          <w:noProof/>
        </w:rPr>
        <w:t>2.14  Criteria for measurement</w:t>
      </w:r>
      <w:r>
        <w:rPr>
          <w:noProof/>
        </w:rPr>
        <w:tab/>
      </w:r>
      <w:r>
        <w:rPr>
          <w:noProof/>
        </w:rPr>
        <w:fldChar w:fldCharType="begin"/>
      </w:r>
      <w:r>
        <w:rPr>
          <w:noProof/>
        </w:rPr>
        <w:instrText xml:space="preserve"> PAGEREF _Toc495652670 \h </w:instrText>
      </w:r>
      <w:r>
        <w:rPr>
          <w:noProof/>
        </w:rPr>
      </w:r>
      <w:r>
        <w:rPr>
          <w:noProof/>
        </w:rPr>
        <w:fldChar w:fldCharType="separate"/>
      </w:r>
      <w:r w:rsidR="00766D30">
        <w:rPr>
          <w:noProof/>
        </w:rPr>
        <w:t>104</w:t>
      </w:r>
      <w:r>
        <w:rPr>
          <w:noProof/>
        </w:rPr>
        <w:fldChar w:fldCharType="end"/>
      </w:r>
    </w:p>
    <w:p w14:paraId="5F8FD5C8" w14:textId="77777777" w:rsidR="00E25764" w:rsidRDefault="00E25764">
      <w:pPr>
        <w:pStyle w:val="TOC5"/>
        <w:rPr>
          <w:rFonts w:asciiTheme="minorHAnsi" w:eastAsiaTheme="minorEastAsia" w:hAnsiTheme="minorHAnsi" w:cstheme="minorBidi"/>
          <w:noProof/>
          <w:sz w:val="22"/>
          <w:szCs w:val="22"/>
          <w:lang w:eastAsia="en-AU"/>
        </w:rPr>
      </w:pPr>
      <w:r>
        <w:rPr>
          <w:noProof/>
        </w:rPr>
        <w:t>2.15  Indirect measurement at point of consumption—criterion AA</w:t>
      </w:r>
      <w:r>
        <w:rPr>
          <w:noProof/>
        </w:rPr>
        <w:tab/>
      </w:r>
      <w:r>
        <w:rPr>
          <w:noProof/>
        </w:rPr>
        <w:fldChar w:fldCharType="begin"/>
      </w:r>
      <w:r>
        <w:rPr>
          <w:noProof/>
        </w:rPr>
        <w:instrText xml:space="preserve"> PAGEREF _Toc495652671 \h </w:instrText>
      </w:r>
      <w:r>
        <w:rPr>
          <w:noProof/>
        </w:rPr>
      </w:r>
      <w:r>
        <w:rPr>
          <w:noProof/>
        </w:rPr>
        <w:fldChar w:fldCharType="separate"/>
      </w:r>
      <w:r w:rsidR="00766D30">
        <w:rPr>
          <w:noProof/>
        </w:rPr>
        <w:t>105</w:t>
      </w:r>
      <w:r>
        <w:rPr>
          <w:noProof/>
        </w:rPr>
        <w:fldChar w:fldCharType="end"/>
      </w:r>
    </w:p>
    <w:p w14:paraId="2C0935E5" w14:textId="77777777" w:rsidR="00E25764" w:rsidRDefault="00E25764">
      <w:pPr>
        <w:pStyle w:val="TOC5"/>
        <w:rPr>
          <w:rFonts w:asciiTheme="minorHAnsi" w:eastAsiaTheme="minorEastAsia" w:hAnsiTheme="minorHAnsi" w:cstheme="minorBidi"/>
          <w:noProof/>
          <w:sz w:val="22"/>
          <w:szCs w:val="22"/>
          <w:lang w:eastAsia="en-AU"/>
        </w:rPr>
      </w:pPr>
      <w:r>
        <w:rPr>
          <w:noProof/>
        </w:rPr>
        <w:t>2.16  Direct measurement at point of consumption—criterion AAA</w:t>
      </w:r>
      <w:r>
        <w:rPr>
          <w:noProof/>
        </w:rPr>
        <w:tab/>
      </w:r>
      <w:r>
        <w:rPr>
          <w:noProof/>
        </w:rPr>
        <w:fldChar w:fldCharType="begin"/>
      </w:r>
      <w:r>
        <w:rPr>
          <w:noProof/>
        </w:rPr>
        <w:instrText xml:space="preserve"> PAGEREF _Toc495652672 \h </w:instrText>
      </w:r>
      <w:r>
        <w:rPr>
          <w:noProof/>
        </w:rPr>
      </w:r>
      <w:r>
        <w:rPr>
          <w:noProof/>
        </w:rPr>
        <w:fldChar w:fldCharType="separate"/>
      </w:r>
      <w:r w:rsidR="00766D30">
        <w:rPr>
          <w:noProof/>
        </w:rPr>
        <w:t>112</w:t>
      </w:r>
      <w:r>
        <w:rPr>
          <w:noProof/>
        </w:rPr>
        <w:fldChar w:fldCharType="end"/>
      </w:r>
    </w:p>
    <w:p w14:paraId="78655CAB" w14:textId="77777777" w:rsidR="00E25764" w:rsidRDefault="00E25764">
      <w:pPr>
        <w:pStyle w:val="TOC5"/>
        <w:rPr>
          <w:rFonts w:asciiTheme="minorHAnsi" w:eastAsiaTheme="minorEastAsia" w:hAnsiTheme="minorHAnsi" w:cstheme="minorBidi"/>
          <w:noProof/>
          <w:sz w:val="22"/>
          <w:szCs w:val="22"/>
          <w:lang w:eastAsia="en-AU"/>
        </w:rPr>
      </w:pPr>
      <w:r>
        <w:rPr>
          <w:noProof/>
        </w:rPr>
        <w:t>2.17  Simplified consumption measurements—criterion BBB</w:t>
      </w:r>
      <w:r>
        <w:rPr>
          <w:noProof/>
        </w:rPr>
        <w:tab/>
      </w:r>
      <w:r>
        <w:rPr>
          <w:noProof/>
        </w:rPr>
        <w:fldChar w:fldCharType="begin"/>
      </w:r>
      <w:r>
        <w:rPr>
          <w:noProof/>
        </w:rPr>
        <w:instrText xml:space="preserve"> PAGEREF _Toc495652673 \h </w:instrText>
      </w:r>
      <w:r>
        <w:rPr>
          <w:noProof/>
        </w:rPr>
      </w:r>
      <w:r>
        <w:rPr>
          <w:noProof/>
        </w:rPr>
        <w:fldChar w:fldCharType="separate"/>
      </w:r>
      <w:r w:rsidR="00766D30">
        <w:rPr>
          <w:noProof/>
        </w:rPr>
        <w:t>114</w:t>
      </w:r>
      <w:r>
        <w:rPr>
          <w:noProof/>
        </w:rPr>
        <w:fldChar w:fldCharType="end"/>
      </w:r>
    </w:p>
    <w:p w14:paraId="63A0FB17" w14:textId="77777777" w:rsidR="00E25764" w:rsidRDefault="00E25764">
      <w:pPr>
        <w:pStyle w:val="TOC2"/>
        <w:rPr>
          <w:rFonts w:asciiTheme="minorHAnsi" w:eastAsiaTheme="minorEastAsia" w:hAnsiTheme="minorHAnsi" w:cstheme="minorBidi"/>
          <w:b w:val="0"/>
          <w:sz w:val="22"/>
          <w:szCs w:val="22"/>
          <w:lang w:eastAsia="en-AU"/>
        </w:rPr>
      </w:pPr>
      <w:r>
        <w:lastRenderedPageBreak/>
        <w:t>Part 2.3—Emissions released from the combustion of gaseous fuels</w:t>
      </w:r>
      <w:r>
        <w:tab/>
      </w:r>
      <w:r>
        <w:fldChar w:fldCharType="begin"/>
      </w:r>
      <w:r>
        <w:instrText xml:space="preserve"> PAGEREF _Toc495652674 \h </w:instrText>
      </w:r>
      <w:r>
        <w:fldChar w:fldCharType="separate"/>
      </w:r>
      <w:r w:rsidR="00766D30">
        <w:t>115</w:t>
      </w:r>
      <w:r>
        <w:fldChar w:fldCharType="end"/>
      </w:r>
    </w:p>
    <w:p w14:paraId="31CD7BA5"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2.3.1—Preliminary</w:t>
      </w:r>
      <w:r>
        <w:rPr>
          <w:noProof/>
        </w:rPr>
        <w:tab/>
      </w:r>
      <w:r>
        <w:rPr>
          <w:noProof/>
        </w:rPr>
        <w:fldChar w:fldCharType="begin"/>
      </w:r>
      <w:r>
        <w:rPr>
          <w:noProof/>
        </w:rPr>
        <w:instrText xml:space="preserve"> PAGEREF _Toc495652675 \h </w:instrText>
      </w:r>
      <w:r>
        <w:rPr>
          <w:noProof/>
        </w:rPr>
      </w:r>
      <w:r>
        <w:rPr>
          <w:noProof/>
        </w:rPr>
        <w:fldChar w:fldCharType="separate"/>
      </w:r>
      <w:r w:rsidR="00766D30">
        <w:rPr>
          <w:noProof/>
        </w:rPr>
        <w:t>115</w:t>
      </w:r>
      <w:r>
        <w:rPr>
          <w:noProof/>
        </w:rPr>
        <w:fldChar w:fldCharType="end"/>
      </w:r>
    </w:p>
    <w:p w14:paraId="330D3E10" w14:textId="77777777" w:rsidR="00E25764" w:rsidRDefault="00E25764">
      <w:pPr>
        <w:pStyle w:val="TOC5"/>
        <w:rPr>
          <w:rFonts w:asciiTheme="minorHAnsi" w:eastAsiaTheme="minorEastAsia" w:hAnsiTheme="minorHAnsi" w:cstheme="minorBidi"/>
          <w:noProof/>
          <w:sz w:val="22"/>
          <w:szCs w:val="22"/>
          <w:lang w:eastAsia="en-AU"/>
        </w:rPr>
      </w:pPr>
      <w:r>
        <w:rPr>
          <w:noProof/>
        </w:rPr>
        <w:t>2.18  Application</w:t>
      </w:r>
      <w:r>
        <w:rPr>
          <w:noProof/>
        </w:rPr>
        <w:tab/>
      </w:r>
      <w:r>
        <w:rPr>
          <w:noProof/>
        </w:rPr>
        <w:fldChar w:fldCharType="begin"/>
      </w:r>
      <w:r>
        <w:rPr>
          <w:noProof/>
        </w:rPr>
        <w:instrText xml:space="preserve"> PAGEREF _Toc495652676 \h </w:instrText>
      </w:r>
      <w:r>
        <w:rPr>
          <w:noProof/>
        </w:rPr>
      </w:r>
      <w:r>
        <w:rPr>
          <w:noProof/>
        </w:rPr>
        <w:fldChar w:fldCharType="separate"/>
      </w:r>
      <w:r w:rsidR="00766D30">
        <w:rPr>
          <w:noProof/>
        </w:rPr>
        <w:t>115</w:t>
      </w:r>
      <w:r>
        <w:rPr>
          <w:noProof/>
        </w:rPr>
        <w:fldChar w:fldCharType="end"/>
      </w:r>
    </w:p>
    <w:p w14:paraId="1E12AC7A" w14:textId="77777777" w:rsidR="00E25764" w:rsidRDefault="00E25764">
      <w:pPr>
        <w:pStyle w:val="TOC5"/>
        <w:rPr>
          <w:rFonts w:asciiTheme="minorHAnsi" w:eastAsiaTheme="minorEastAsia" w:hAnsiTheme="minorHAnsi" w:cstheme="minorBidi"/>
          <w:noProof/>
          <w:sz w:val="22"/>
          <w:szCs w:val="22"/>
          <w:lang w:eastAsia="en-AU"/>
        </w:rPr>
      </w:pPr>
      <w:r>
        <w:rPr>
          <w:noProof/>
        </w:rPr>
        <w:t>2.19  Available methods</w:t>
      </w:r>
      <w:r>
        <w:rPr>
          <w:noProof/>
        </w:rPr>
        <w:tab/>
      </w:r>
      <w:r>
        <w:rPr>
          <w:noProof/>
        </w:rPr>
        <w:fldChar w:fldCharType="begin"/>
      </w:r>
      <w:r>
        <w:rPr>
          <w:noProof/>
        </w:rPr>
        <w:instrText xml:space="preserve"> PAGEREF _Toc495652677 \h </w:instrText>
      </w:r>
      <w:r>
        <w:rPr>
          <w:noProof/>
        </w:rPr>
      </w:r>
      <w:r>
        <w:rPr>
          <w:noProof/>
        </w:rPr>
        <w:fldChar w:fldCharType="separate"/>
      </w:r>
      <w:r w:rsidR="00766D30">
        <w:rPr>
          <w:noProof/>
        </w:rPr>
        <w:t>115</w:t>
      </w:r>
      <w:r>
        <w:rPr>
          <w:noProof/>
        </w:rPr>
        <w:fldChar w:fldCharType="end"/>
      </w:r>
    </w:p>
    <w:p w14:paraId="4D6F94CB"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2.3.2—Method 1—emissions of carbon dioxide, methane and nitrous oxide</w:t>
      </w:r>
      <w:r>
        <w:rPr>
          <w:noProof/>
        </w:rPr>
        <w:tab/>
      </w:r>
      <w:r>
        <w:rPr>
          <w:noProof/>
        </w:rPr>
        <w:fldChar w:fldCharType="begin"/>
      </w:r>
      <w:r>
        <w:rPr>
          <w:noProof/>
        </w:rPr>
        <w:instrText xml:space="preserve"> PAGEREF _Toc495652678 \h </w:instrText>
      </w:r>
      <w:r>
        <w:rPr>
          <w:noProof/>
        </w:rPr>
      </w:r>
      <w:r>
        <w:rPr>
          <w:noProof/>
        </w:rPr>
        <w:fldChar w:fldCharType="separate"/>
      </w:r>
      <w:r w:rsidR="00766D30">
        <w:rPr>
          <w:noProof/>
        </w:rPr>
        <w:t>117</w:t>
      </w:r>
      <w:r>
        <w:rPr>
          <w:noProof/>
        </w:rPr>
        <w:fldChar w:fldCharType="end"/>
      </w:r>
    </w:p>
    <w:p w14:paraId="4CAC0CBB" w14:textId="77777777" w:rsidR="00E25764" w:rsidRDefault="00E25764">
      <w:pPr>
        <w:pStyle w:val="TOC5"/>
        <w:rPr>
          <w:rFonts w:asciiTheme="minorHAnsi" w:eastAsiaTheme="minorEastAsia" w:hAnsiTheme="minorHAnsi" w:cstheme="minorBidi"/>
          <w:noProof/>
          <w:sz w:val="22"/>
          <w:szCs w:val="22"/>
          <w:lang w:eastAsia="en-AU"/>
        </w:rPr>
      </w:pPr>
      <w:r>
        <w:rPr>
          <w:noProof/>
        </w:rPr>
        <w:t>2.20  Method 1—emissions of carbon dioxide, methane and nitrous oxide</w:t>
      </w:r>
      <w:r>
        <w:rPr>
          <w:noProof/>
        </w:rPr>
        <w:tab/>
      </w:r>
      <w:r>
        <w:rPr>
          <w:noProof/>
        </w:rPr>
        <w:fldChar w:fldCharType="begin"/>
      </w:r>
      <w:r>
        <w:rPr>
          <w:noProof/>
        </w:rPr>
        <w:instrText xml:space="preserve"> PAGEREF _Toc495652679 \h </w:instrText>
      </w:r>
      <w:r>
        <w:rPr>
          <w:noProof/>
        </w:rPr>
      </w:r>
      <w:r>
        <w:rPr>
          <w:noProof/>
        </w:rPr>
        <w:fldChar w:fldCharType="separate"/>
      </w:r>
      <w:r w:rsidR="00766D30">
        <w:rPr>
          <w:noProof/>
        </w:rPr>
        <w:t>117</w:t>
      </w:r>
      <w:r>
        <w:rPr>
          <w:noProof/>
        </w:rPr>
        <w:fldChar w:fldCharType="end"/>
      </w:r>
    </w:p>
    <w:p w14:paraId="7F714BBB" w14:textId="77777777" w:rsidR="00E25764" w:rsidRDefault="00E25764">
      <w:pPr>
        <w:pStyle w:val="TOC8"/>
        <w:rPr>
          <w:rFonts w:asciiTheme="minorHAnsi" w:eastAsiaTheme="minorEastAsia" w:hAnsiTheme="minorHAnsi" w:cstheme="minorBidi"/>
          <w:sz w:val="22"/>
          <w:szCs w:val="22"/>
          <w:lang w:eastAsia="en-AU"/>
        </w:rPr>
      </w:pPr>
      <w:r>
        <w:t>Table 2.3.2A</w:t>
      </w:r>
      <w:r>
        <w:rPr>
          <w:rFonts w:asciiTheme="minorHAnsi" w:eastAsiaTheme="minorEastAsia" w:hAnsiTheme="minorHAnsi" w:cstheme="minorBidi"/>
          <w:sz w:val="22"/>
          <w:szCs w:val="22"/>
          <w:lang w:eastAsia="en-AU"/>
        </w:rPr>
        <w:tab/>
      </w:r>
      <w:r>
        <w:t>Emission and energy content factors — gaseous fuels</w:t>
      </w:r>
      <w:r>
        <w:tab/>
      </w:r>
      <w:r>
        <w:fldChar w:fldCharType="begin"/>
      </w:r>
      <w:r>
        <w:instrText xml:space="preserve"> PAGEREF _Toc495652680 \h </w:instrText>
      </w:r>
      <w:r>
        <w:fldChar w:fldCharType="separate"/>
      </w:r>
      <w:r w:rsidR="00766D30">
        <w:t>118</w:t>
      </w:r>
      <w:r>
        <w:fldChar w:fldCharType="end"/>
      </w:r>
    </w:p>
    <w:p w14:paraId="3873310E" w14:textId="77777777" w:rsidR="00E25764" w:rsidRDefault="00E25764">
      <w:pPr>
        <w:pStyle w:val="TOC3"/>
        <w:rPr>
          <w:rFonts w:asciiTheme="minorHAnsi" w:eastAsiaTheme="minorEastAsia" w:hAnsiTheme="minorHAnsi" w:cstheme="minorBidi"/>
          <w:b w:val="0"/>
          <w:noProof/>
          <w:sz w:val="22"/>
          <w:szCs w:val="22"/>
          <w:lang w:eastAsia="en-AU"/>
        </w:rPr>
      </w:pPr>
      <w:r>
        <w:rPr>
          <w:noProof/>
        </w:rPr>
        <w:t xml:space="preserve">Table 2.3.2B </w:t>
      </w:r>
      <w:r>
        <w:rPr>
          <w:rFonts w:asciiTheme="minorHAnsi" w:eastAsiaTheme="minorEastAsia" w:hAnsiTheme="minorHAnsi" w:cstheme="minorBidi"/>
          <w:b w:val="0"/>
          <w:noProof/>
          <w:sz w:val="22"/>
          <w:szCs w:val="22"/>
          <w:lang w:eastAsia="en-AU"/>
        </w:rPr>
        <w:tab/>
      </w:r>
      <w:r>
        <w:rPr>
          <w:noProof/>
        </w:rPr>
        <w:t>Emissions and energy content factors — gaseous fuels for transport energy purposes</w:t>
      </w:r>
      <w:r>
        <w:rPr>
          <w:noProof/>
        </w:rPr>
        <w:tab/>
      </w:r>
      <w:r>
        <w:rPr>
          <w:noProof/>
        </w:rPr>
        <w:fldChar w:fldCharType="begin"/>
      </w:r>
      <w:r>
        <w:rPr>
          <w:noProof/>
        </w:rPr>
        <w:instrText xml:space="preserve"> PAGEREF _Toc495652681 \h </w:instrText>
      </w:r>
      <w:r>
        <w:rPr>
          <w:noProof/>
        </w:rPr>
      </w:r>
      <w:r>
        <w:rPr>
          <w:noProof/>
        </w:rPr>
        <w:fldChar w:fldCharType="separate"/>
      </w:r>
      <w:r w:rsidR="00766D30">
        <w:rPr>
          <w:noProof/>
        </w:rPr>
        <w:t>120</w:t>
      </w:r>
      <w:r>
        <w:rPr>
          <w:noProof/>
        </w:rPr>
        <w:fldChar w:fldCharType="end"/>
      </w:r>
    </w:p>
    <w:p w14:paraId="362DC41F"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2.3.3—Method 2—emissions of carbon dioxide from the combustion of gaseous fuels</w:t>
      </w:r>
      <w:r>
        <w:rPr>
          <w:noProof/>
        </w:rPr>
        <w:tab/>
      </w:r>
      <w:r>
        <w:rPr>
          <w:noProof/>
        </w:rPr>
        <w:fldChar w:fldCharType="begin"/>
      </w:r>
      <w:r>
        <w:rPr>
          <w:noProof/>
        </w:rPr>
        <w:instrText xml:space="preserve"> PAGEREF _Toc495652682 \h </w:instrText>
      </w:r>
      <w:r>
        <w:rPr>
          <w:noProof/>
        </w:rPr>
      </w:r>
      <w:r>
        <w:rPr>
          <w:noProof/>
        </w:rPr>
        <w:fldChar w:fldCharType="separate"/>
      </w:r>
      <w:r w:rsidR="00766D30">
        <w:rPr>
          <w:noProof/>
        </w:rPr>
        <w:t>121</w:t>
      </w:r>
      <w:r>
        <w:rPr>
          <w:noProof/>
        </w:rPr>
        <w:fldChar w:fldCharType="end"/>
      </w:r>
    </w:p>
    <w:p w14:paraId="14C9B188"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2.3.3.1—Method 2—emissions of carbon dioxide from the combustion of gaseous fuels</w:t>
      </w:r>
      <w:r>
        <w:rPr>
          <w:noProof/>
        </w:rPr>
        <w:tab/>
      </w:r>
      <w:r>
        <w:rPr>
          <w:noProof/>
        </w:rPr>
        <w:fldChar w:fldCharType="begin"/>
      </w:r>
      <w:r>
        <w:rPr>
          <w:noProof/>
        </w:rPr>
        <w:instrText xml:space="preserve"> PAGEREF _Toc495652683 \h </w:instrText>
      </w:r>
      <w:r>
        <w:rPr>
          <w:noProof/>
        </w:rPr>
      </w:r>
      <w:r>
        <w:rPr>
          <w:noProof/>
        </w:rPr>
        <w:fldChar w:fldCharType="separate"/>
      </w:r>
      <w:r w:rsidR="00766D30">
        <w:rPr>
          <w:noProof/>
        </w:rPr>
        <w:t>121</w:t>
      </w:r>
      <w:r>
        <w:rPr>
          <w:noProof/>
        </w:rPr>
        <w:fldChar w:fldCharType="end"/>
      </w:r>
    </w:p>
    <w:p w14:paraId="18AC60D6" w14:textId="77777777" w:rsidR="00E25764" w:rsidRDefault="00E25764">
      <w:pPr>
        <w:pStyle w:val="TOC5"/>
        <w:rPr>
          <w:rFonts w:asciiTheme="minorHAnsi" w:eastAsiaTheme="minorEastAsia" w:hAnsiTheme="minorHAnsi" w:cstheme="minorBidi"/>
          <w:noProof/>
          <w:sz w:val="22"/>
          <w:szCs w:val="22"/>
          <w:lang w:eastAsia="en-AU"/>
        </w:rPr>
      </w:pPr>
      <w:r>
        <w:rPr>
          <w:noProof/>
        </w:rPr>
        <w:t>2.21  Method 2—emissions of carbon dioxide from the combustion of gaseous fuels</w:t>
      </w:r>
      <w:r>
        <w:rPr>
          <w:noProof/>
        </w:rPr>
        <w:tab/>
      </w:r>
      <w:r>
        <w:rPr>
          <w:noProof/>
        </w:rPr>
        <w:fldChar w:fldCharType="begin"/>
      </w:r>
      <w:r>
        <w:rPr>
          <w:noProof/>
        </w:rPr>
        <w:instrText xml:space="preserve"> PAGEREF _Toc495652684 \h </w:instrText>
      </w:r>
      <w:r>
        <w:rPr>
          <w:noProof/>
        </w:rPr>
      </w:r>
      <w:r>
        <w:rPr>
          <w:noProof/>
        </w:rPr>
        <w:fldChar w:fldCharType="separate"/>
      </w:r>
      <w:r w:rsidR="00766D30">
        <w:rPr>
          <w:noProof/>
        </w:rPr>
        <w:t>121</w:t>
      </w:r>
      <w:r>
        <w:rPr>
          <w:noProof/>
        </w:rPr>
        <w:fldChar w:fldCharType="end"/>
      </w:r>
    </w:p>
    <w:p w14:paraId="280BAE96" w14:textId="77777777" w:rsidR="00E25764" w:rsidRDefault="00E25764">
      <w:pPr>
        <w:pStyle w:val="TOC5"/>
        <w:rPr>
          <w:rFonts w:asciiTheme="minorHAnsi" w:eastAsiaTheme="minorEastAsia" w:hAnsiTheme="minorHAnsi" w:cstheme="minorBidi"/>
          <w:noProof/>
          <w:sz w:val="22"/>
          <w:szCs w:val="22"/>
          <w:lang w:eastAsia="en-AU"/>
        </w:rPr>
      </w:pPr>
      <w:r>
        <w:rPr>
          <w:noProof/>
        </w:rPr>
        <w:t>2.22  Calculation of emission factors from combustion of gaseous fuel</w:t>
      </w:r>
      <w:r>
        <w:rPr>
          <w:noProof/>
        </w:rPr>
        <w:tab/>
      </w:r>
      <w:r>
        <w:rPr>
          <w:noProof/>
        </w:rPr>
        <w:fldChar w:fldCharType="begin"/>
      </w:r>
      <w:r>
        <w:rPr>
          <w:noProof/>
        </w:rPr>
        <w:instrText xml:space="preserve"> PAGEREF _Toc495652685 \h </w:instrText>
      </w:r>
      <w:r>
        <w:rPr>
          <w:noProof/>
        </w:rPr>
      </w:r>
      <w:r>
        <w:rPr>
          <w:noProof/>
        </w:rPr>
        <w:fldChar w:fldCharType="separate"/>
      </w:r>
      <w:r w:rsidR="00766D30">
        <w:rPr>
          <w:noProof/>
        </w:rPr>
        <w:t>122</w:t>
      </w:r>
      <w:r>
        <w:rPr>
          <w:noProof/>
        </w:rPr>
        <w:fldChar w:fldCharType="end"/>
      </w:r>
    </w:p>
    <w:p w14:paraId="633576D9"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2.3.3.2—Sampling and analysis</w:t>
      </w:r>
      <w:r>
        <w:rPr>
          <w:noProof/>
        </w:rPr>
        <w:tab/>
      </w:r>
      <w:r>
        <w:rPr>
          <w:noProof/>
        </w:rPr>
        <w:fldChar w:fldCharType="begin"/>
      </w:r>
      <w:r>
        <w:rPr>
          <w:noProof/>
        </w:rPr>
        <w:instrText xml:space="preserve"> PAGEREF _Toc495652686 \h </w:instrText>
      </w:r>
      <w:r>
        <w:rPr>
          <w:noProof/>
        </w:rPr>
      </w:r>
      <w:r>
        <w:rPr>
          <w:noProof/>
        </w:rPr>
        <w:fldChar w:fldCharType="separate"/>
      </w:r>
      <w:r w:rsidR="00766D30">
        <w:rPr>
          <w:noProof/>
        </w:rPr>
        <w:t>124</w:t>
      </w:r>
      <w:r>
        <w:rPr>
          <w:noProof/>
        </w:rPr>
        <w:fldChar w:fldCharType="end"/>
      </w:r>
    </w:p>
    <w:p w14:paraId="151D522E" w14:textId="77777777" w:rsidR="00E25764" w:rsidRDefault="00E25764">
      <w:pPr>
        <w:pStyle w:val="TOC5"/>
        <w:rPr>
          <w:rFonts w:asciiTheme="minorHAnsi" w:eastAsiaTheme="minorEastAsia" w:hAnsiTheme="minorHAnsi" w:cstheme="minorBidi"/>
          <w:noProof/>
          <w:sz w:val="22"/>
          <w:szCs w:val="22"/>
          <w:lang w:eastAsia="en-AU"/>
        </w:rPr>
      </w:pPr>
      <w:r>
        <w:rPr>
          <w:noProof/>
        </w:rPr>
        <w:t>2.23  General requirements for sampling under method 2</w:t>
      </w:r>
      <w:r>
        <w:rPr>
          <w:noProof/>
        </w:rPr>
        <w:tab/>
      </w:r>
      <w:r>
        <w:rPr>
          <w:noProof/>
        </w:rPr>
        <w:fldChar w:fldCharType="begin"/>
      </w:r>
      <w:r>
        <w:rPr>
          <w:noProof/>
        </w:rPr>
        <w:instrText xml:space="preserve"> PAGEREF _Toc495652687 \h </w:instrText>
      </w:r>
      <w:r>
        <w:rPr>
          <w:noProof/>
        </w:rPr>
      </w:r>
      <w:r>
        <w:rPr>
          <w:noProof/>
        </w:rPr>
        <w:fldChar w:fldCharType="separate"/>
      </w:r>
      <w:r w:rsidR="00766D30">
        <w:rPr>
          <w:noProof/>
        </w:rPr>
        <w:t>124</w:t>
      </w:r>
      <w:r>
        <w:rPr>
          <w:noProof/>
        </w:rPr>
        <w:fldChar w:fldCharType="end"/>
      </w:r>
    </w:p>
    <w:p w14:paraId="20E65F0B" w14:textId="77777777" w:rsidR="00E25764" w:rsidRDefault="00E25764">
      <w:pPr>
        <w:pStyle w:val="TOC5"/>
        <w:rPr>
          <w:rFonts w:asciiTheme="minorHAnsi" w:eastAsiaTheme="minorEastAsia" w:hAnsiTheme="minorHAnsi" w:cstheme="minorBidi"/>
          <w:noProof/>
          <w:sz w:val="22"/>
          <w:szCs w:val="22"/>
          <w:lang w:eastAsia="en-AU"/>
        </w:rPr>
      </w:pPr>
      <w:r>
        <w:rPr>
          <w:noProof/>
        </w:rPr>
        <w:t>2.24  Standards for analysing samples of gaseous fuels</w:t>
      </w:r>
      <w:r>
        <w:rPr>
          <w:noProof/>
        </w:rPr>
        <w:tab/>
      </w:r>
      <w:r>
        <w:rPr>
          <w:noProof/>
        </w:rPr>
        <w:fldChar w:fldCharType="begin"/>
      </w:r>
      <w:r>
        <w:rPr>
          <w:noProof/>
        </w:rPr>
        <w:instrText xml:space="preserve"> PAGEREF _Toc495652688 \h </w:instrText>
      </w:r>
      <w:r>
        <w:rPr>
          <w:noProof/>
        </w:rPr>
      </w:r>
      <w:r>
        <w:rPr>
          <w:noProof/>
        </w:rPr>
        <w:fldChar w:fldCharType="separate"/>
      </w:r>
      <w:r w:rsidR="00766D30">
        <w:rPr>
          <w:noProof/>
        </w:rPr>
        <w:t>124</w:t>
      </w:r>
      <w:r>
        <w:rPr>
          <w:noProof/>
        </w:rPr>
        <w:fldChar w:fldCharType="end"/>
      </w:r>
    </w:p>
    <w:p w14:paraId="40D8E28B" w14:textId="77777777" w:rsidR="00E25764" w:rsidRDefault="00E25764">
      <w:pPr>
        <w:pStyle w:val="TOC5"/>
        <w:rPr>
          <w:rFonts w:asciiTheme="minorHAnsi" w:eastAsiaTheme="minorEastAsia" w:hAnsiTheme="minorHAnsi" w:cstheme="minorBidi"/>
          <w:noProof/>
          <w:sz w:val="22"/>
          <w:szCs w:val="22"/>
          <w:lang w:eastAsia="en-AU"/>
        </w:rPr>
      </w:pPr>
      <w:r>
        <w:rPr>
          <w:noProof/>
        </w:rPr>
        <w:t>2.25  Frequency of analysis</w:t>
      </w:r>
      <w:r>
        <w:rPr>
          <w:noProof/>
        </w:rPr>
        <w:tab/>
      </w:r>
      <w:r>
        <w:rPr>
          <w:noProof/>
        </w:rPr>
        <w:fldChar w:fldCharType="begin"/>
      </w:r>
      <w:r>
        <w:rPr>
          <w:noProof/>
        </w:rPr>
        <w:instrText xml:space="preserve"> PAGEREF _Toc495652689 \h </w:instrText>
      </w:r>
      <w:r>
        <w:rPr>
          <w:noProof/>
        </w:rPr>
      </w:r>
      <w:r>
        <w:rPr>
          <w:noProof/>
        </w:rPr>
        <w:fldChar w:fldCharType="separate"/>
      </w:r>
      <w:r w:rsidR="00766D30">
        <w:rPr>
          <w:noProof/>
        </w:rPr>
        <w:t>128</w:t>
      </w:r>
      <w:r>
        <w:rPr>
          <w:noProof/>
        </w:rPr>
        <w:fldChar w:fldCharType="end"/>
      </w:r>
    </w:p>
    <w:p w14:paraId="5B77B527"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2.3.4—Method 3—emissions of carbon dioxide released from the combustion of gaseous fuels</w:t>
      </w:r>
      <w:r>
        <w:rPr>
          <w:noProof/>
        </w:rPr>
        <w:tab/>
      </w:r>
      <w:r>
        <w:rPr>
          <w:noProof/>
        </w:rPr>
        <w:fldChar w:fldCharType="begin"/>
      </w:r>
      <w:r>
        <w:rPr>
          <w:noProof/>
        </w:rPr>
        <w:instrText xml:space="preserve"> PAGEREF _Toc495652690 \h </w:instrText>
      </w:r>
      <w:r>
        <w:rPr>
          <w:noProof/>
        </w:rPr>
      </w:r>
      <w:r>
        <w:rPr>
          <w:noProof/>
        </w:rPr>
        <w:fldChar w:fldCharType="separate"/>
      </w:r>
      <w:r w:rsidR="00766D30">
        <w:rPr>
          <w:noProof/>
        </w:rPr>
        <w:t>130</w:t>
      </w:r>
      <w:r>
        <w:rPr>
          <w:noProof/>
        </w:rPr>
        <w:fldChar w:fldCharType="end"/>
      </w:r>
    </w:p>
    <w:p w14:paraId="1A6D7E06" w14:textId="77777777" w:rsidR="00E25764" w:rsidRDefault="00E25764">
      <w:pPr>
        <w:pStyle w:val="TOC5"/>
        <w:rPr>
          <w:rFonts w:asciiTheme="minorHAnsi" w:eastAsiaTheme="minorEastAsia" w:hAnsiTheme="minorHAnsi" w:cstheme="minorBidi"/>
          <w:noProof/>
          <w:sz w:val="22"/>
          <w:szCs w:val="22"/>
          <w:lang w:eastAsia="en-AU"/>
        </w:rPr>
      </w:pPr>
      <w:r>
        <w:rPr>
          <w:noProof/>
        </w:rPr>
        <w:t>2.26  Method 3—emissions of carbon dioxide from the combustion of gaseous fuels</w:t>
      </w:r>
      <w:r>
        <w:rPr>
          <w:noProof/>
        </w:rPr>
        <w:tab/>
      </w:r>
      <w:r>
        <w:rPr>
          <w:noProof/>
        </w:rPr>
        <w:fldChar w:fldCharType="begin"/>
      </w:r>
      <w:r>
        <w:rPr>
          <w:noProof/>
        </w:rPr>
        <w:instrText xml:space="preserve"> PAGEREF _Toc495652691 \h </w:instrText>
      </w:r>
      <w:r>
        <w:rPr>
          <w:noProof/>
        </w:rPr>
      </w:r>
      <w:r>
        <w:rPr>
          <w:noProof/>
        </w:rPr>
        <w:fldChar w:fldCharType="separate"/>
      </w:r>
      <w:r w:rsidR="00766D30">
        <w:rPr>
          <w:noProof/>
        </w:rPr>
        <w:t>130</w:t>
      </w:r>
      <w:r>
        <w:rPr>
          <w:noProof/>
        </w:rPr>
        <w:fldChar w:fldCharType="end"/>
      </w:r>
    </w:p>
    <w:p w14:paraId="75887262"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2.3.5—Method 2—emissions of methane from the combustion of gaseous fuels</w:t>
      </w:r>
      <w:r>
        <w:rPr>
          <w:noProof/>
        </w:rPr>
        <w:tab/>
      </w:r>
      <w:r>
        <w:rPr>
          <w:noProof/>
        </w:rPr>
        <w:fldChar w:fldCharType="begin"/>
      </w:r>
      <w:r>
        <w:rPr>
          <w:noProof/>
        </w:rPr>
        <w:instrText xml:space="preserve"> PAGEREF _Toc495652692 \h </w:instrText>
      </w:r>
      <w:r>
        <w:rPr>
          <w:noProof/>
        </w:rPr>
      </w:r>
      <w:r>
        <w:rPr>
          <w:noProof/>
        </w:rPr>
        <w:fldChar w:fldCharType="separate"/>
      </w:r>
      <w:r w:rsidR="00766D30">
        <w:rPr>
          <w:noProof/>
        </w:rPr>
        <w:t>132</w:t>
      </w:r>
      <w:r>
        <w:rPr>
          <w:noProof/>
        </w:rPr>
        <w:fldChar w:fldCharType="end"/>
      </w:r>
    </w:p>
    <w:p w14:paraId="0E992160" w14:textId="77777777" w:rsidR="00E25764" w:rsidRDefault="00E25764">
      <w:pPr>
        <w:pStyle w:val="TOC5"/>
        <w:rPr>
          <w:rFonts w:asciiTheme="minorHAnsi" w:eastAsiaTheme="minorEastAsia" w:hAnsiTheme="minorHAnsi" w:cstheme="minorBidi"/>
          <w:noProof/>
          <w:sz w:val="22"/>
          <w:szCs w:val="22"/>
          <w:lang w:eastAsia="en-AU"/>
        </w:rPr>
      </w:pPr>
      <w:r>
        <w:rPr>
          <w:noProof/>
        </w:rPr>
        <w:t>2.27  Method 2—emissions of methane from the combustion of gaseous fuels</w:t>
      </w:r>
      <w:r>
        <w:rPr>
          <w:noProof/>
        </w:rPr>
        <w:tab/>
      </w:r>
      <w:r>
        <w:rPr>
          <w:noProof/>
        </w:rPr>
        <w:fldChar w:fldCharType="begin"/>
      </w:r>
      <w:r>
        <w:rPr>
          <w:noProof/>
        </w:rPr>
        <w:instrText xml:space="preserve"> PAGEREF _Toc495652693 \h </w:instrText>
      </w:r>
      <w:r>
        <w:rPr>
          <w:noProof/>
        </w:rPr>
      </w:r>
      <w:r>
        <w:rPr>
          <w:noProof/>
        </w:rPr>
        <w:fldChar w:fldCharType="separate"/>
      </w:r>
      <w:r w:rsidR="00766D30">
        <w:rPr>
          <w:noProof/>
        </w:rPr>
        <w:t>132</w:t>
      </w:r>
      <w:r>
        <w:rPr>
          <w:noProof/>
        </w:rPr>
        <w:fldChar w:fldCharType="end"/>
      </w:r>
    </w:p>
    <w:p w14:paraId="23A21873" w14:textId="77777777" w:rsidR="00E25764" w:rsidRDefault="00E25764">
      <w:pPr>
        <w:pStyle w:val="TOC3"/>
        <w:rPr>
          <w:rFonts w:asciiTheme="minorHAnsi" w:eastAsiaTheme="minorEastAsia" w:hAnsiTheme="minorHAnsi" w:cstheme="minorBidi"/>
          <w:b w:val="0"/>
          <w:noProof/>
          <w:sz w:val="22"/>
          <w:szCs w:val="22"/>
          <w:lang w:eastAsia="en-AU"/>
        </w:rPr>
      </w:pPr>
      <w:r>
        <w:rPr>
          <w:noProof/>
        </w:rPr>
        <w:lastRenderedPageBreak/>
        <w:t>Division 2.3.6—Measurement of quantity of gaseous fuels</w:t>
      </w:r>
      <w:r>
        <w:rPr>
          <w:noProof/>
        </w:rPr>
        <w:tab/>
      </w:r>
      <w:r>
        <w:rPr>
          <w:noProof/>
        </w:rPr>
        <w:fldChar w:fldCharType="begin"/>
      </w:r>
      <w:r>
        <w:rPr>
          <w:noProof/>
        </w:rPr>
        <w:instrText xml:space="preserve"> PAGEREF _Toc495652694 \h </w:instrText>
      </w:r>
      <w:r>
        <w:rPr>
          <w:noProof/>
        </w:rPr>
      </w:r>
      <w:r>
        <w:rPr>
          <w:noProof/>
        </w:rPr>
        <w:fldChar w:fldCharType="separate"/>
      </w:r>
      <w:r w:rsidR="00766D30">
        <w:rPr>
          <w:noProof/>
        </w:rPr>
        <w:t>133</w:t>
      </w:r>
      <w:r>
        <w:rPr>
          <w:noProof/>
        </w:rPr>
        <w:fldChar w:fldCharType="end"/>
      </w:r>
    </w:p>
    <w:p w14:paraId="1C90AC93" w14:textId="77777777" w:rsidR="00E25764" w:rsidRDefault="00E25764">
      <w:pPr>
        <w:pStyle w:val="TOC5"/>
        <w:rPr>
          <w:rFonts w:asciiTheme="minorHAnsi" w:eastAsiaTheme="minorEastAsia" w:hAnsiTheme="minorHAnsi" w:cstheme="minorBidi"/>
          <w:noProof/>
          <w:sz w:val="22"/>
          <w:szCs w:val="22"/>
          <w:lang w:eastAsia="en-AU"/>
        </w:rPr>
      </w:pPr>
      <w:r>
        <w:rPr>
          <w:noProof/>
        </w:rPr>
        <w:t>2.28  Purpose of Division</w:t>
      </w:r>
      <w:r>
        <w:rPr>
          <w:noProof/>
        </w:rPr>
        <w:tab/>
      </w:r>
      <w:r>
        <w:rPr>
          <w:noProof/>
        </w:rPr>
        <w:fldChar w:fldCharType="begin"/>
      </w:r>
      <w:r>
        <w:rPr>
          <w:noProof/>
        </w:rPr>
        <w:instrText xml:space="preserve"> PAGEREF _Toc495652695 \h </w:instrText>
      </w:r>
      <w:r>
        <w:rPr>
          <w:noProof/>
        </w:rPr>
      </w:r>
      <w:r>
        <w:rPr>
          <w:noProof/>
        </w:rPr>
        <w:fldChar w:fldCharType="separate"/>
      </w:r>
      <w:r w:rsidR="00766D30">
        <w:rPr>
          <w:noProof/>
        </w:rPr>
        <w:t>133</w:t>
      </w:r>
      <w:r>
        <w:rPr>
          <w:noProof/>
        </w:rPr>
        <w:fldChar w:fldCharType="end"/>
      </w:r>
    </w:p>
    <w:p w14:paraId="7539511A" w14:textId="77777777" w:rsidR="00E25764" w:rsidRDefault="00E25764">
      <w:pPr>
        <w:pStyle w:val="TOC5"/>
        <w:rPr>
          <w:rFonts w:asciiTheme="minorHAnsi" w:eastAsiaTheme="minorEastAsia" w:hAnsiTheme="minorHAnsi" w:cstheme="minorBidi"/>
          <w:noProof/>
          <w:sz w:val="22"/>
          <w:szCs w:val="22"/>
          <w:lang w:eastAsia="en-AU"/>
        </w:rPr>
      </w:pPr>
      <w:r>
        <w:rPr>
          <w:noProof/>
        </w:rPr>
        <w:t>2.29  Criteria for measurement</w:t>
      </w:r>
      <w:r>
        <w:rPr>
          <w:noProof/>
        </w:rPr>
        <w:tab/>
      </w:r>
      <w:r>
        <w:rPr>
          <w:noProof/>
        </w:rPr>
        <w:fldChar w:fldCharType="begin"/>
      </w:r>
      <w:r>
        <w:rPr>
          <w:noProof/>
        </w:rPr>
        <w:instrText xml:space="preserve"> PAGEREF _Toc495652696 \h </w:instrText>
      </w:r>
      <w:r>
        <w:rPr>
          <w:noProof/>
        </w:rPr>
      </w:r>
      <w:r>
        <w:rPr>
          <w:noProof/>
        </w:rPr>
        <w:fldChar w:fldCharType="separate"/>
      </w:r>
      <w:r w:rsidR="00766D30">
        <w:rPr>
          <w:noProof/>
        </w:rPr>
        <w:t>134</w:t>
      </w:r>
      <w:r>
        <w:rPr>
          <w:noProof/>
        </w:rPr>
        <w:fldChar w:fldCharType="end"/>
      </w:r>
    </w:p>
    <w:p w14:paraId="32E93A26" w14:textId="77777777" w:rsidR="00E25764" w:rsidRDefault="00E25764">
      <w:pPr>
        <w:pStyle w:val="TOC5"/>
        <w:rPr>
          <w:rFonts w:asciiTheme="minorHAnsi" w:eastAsiaTheme="minorEastAsia" w:hAnsiTheme="minorHAnsi" w:cstheme="minorBidi"/>
          <w:noProof/>
          <w:sz w:val="22"/>
          <w:szCs w:val="22"/>
          <w:lang w:eastAsia="en-AU"/>
        </w:rPr>
      </w:pPr>
      <w:r>
        <w:rPr>
          <w:noProof/>
        </w:rPr>
        <w:t>2.30  Indirect measurement—criterion AA</w:t>
      </w:r>
      <w:r>
        <w:rPr>
          <w:noProof/>
        </w:rPr>
        <w:tab/>
      </w:r>
      <w:r>
        <w:rPr>
          <w:noProof/>
        </w:rPr>
        <w:fldChar w:fldCharType="begin"/>
      </w:r>
      <w:r>
        <w:rPr>
          <w:noProof/>
        </w:rPr>
        <w:instrText xml:space="preserve"> PAGEREF _Toc495652697 \h </w:instrText>
      </w:r>
      <w:r>
        <w:rPr>
          <w:noProof/>
        </w:rPr>
      </w:r>
      <w:r>
        <w:rPr>
          <w:noProof/>
        </w:rPr>
        <w:fldChar w:fldCharType="separate"/>
      </w:r>
      <w:r w:rsidR="00766D30">
        <w:rPr>
          <w:noProof/>
        </w:rPr>
        <w:t>135</w:t>
      </w:r>
      <w:r>
        <w:rPr>
          <w:noProof/>
        </w:rPr>
        <w:fldChar w:fldCharType="end"/>
      </w:r>
    </w:p>
    <w:p w14:paraId="38688644" w14:textId="77777777" w:rsidR="00E25764" w:rsidRDefault="00E25764">
      <w:pPr>
        <w:pStyle w:val="TOC5"/>
        <w:rPr>
          <w:rFonts w:asciiTheme="minorHAnsi" w:eastAsiaTheme="minorEastAsia" w:hAnsiTheme="minorHAnsi" w:cstheme="minorBidi"/>
          <w:noProof/>
          <w:sz w:val="22"/>
          <w:szCs w:val="22"/>
          <w:lang w:eastAsia="en-AU"/>
        </w:rPr>
      </w:pPr>
      <w:r>
        <w:rPr>
          <w:noProof/>
        </w:rPr>
        <w:t>2.31  Direct measurement—criterion AAA</w:t>
      </w:r>
      <w:r>
        <w:rPr>
          <w:noProof/>
        </w:rPr>
        <w:tab/>
      </w:r>
      <w:r>
        <w:rPr>
          <w:noProof/>
        </w:rPr>
        <w:fldChar w:fldCharType="begin"/>
      </w:r>
      <w:r>
        <w:rPr>
          <w:noProof/>
        </w:rPr>
        <w:instrText xml:space="preserve"> PAGEREF _Toc495652698 \h </w:instrText>
      </w:r>
      <w:r>
        <w:rPr>
          <w:noProof/>
        </w:rPr>
      </w:r>
      <w:r>
        <w:rPr>
          <w:noProof/>
        </w:rPr>
        <w:fldChar w:fldCharType="separate"/>
      </w:r>
      <w:r w:rsidR="00766D30">
        <w:rPr>
          <w:noProof/>
        </w:rPr>
        <w:t>135</w:t>
      </w:r>
      <w:r>
        <w:rPr>
          <w:noProof/>
        </w:rPr>
        <w:fldChar w:fldCharType="end"/>
      </w:r>
    </w:p>
    <w:p w14:paraId="1CF3BCF7" w14:textId="77777777" w:rsidR="00E25764" w:rsidRDefault="00E25764">
      <w:pPr>
        <w:pStyle w:val="TOC5"/>
        <w:rPr>
          <w:rFonts w:asciiTheme="minorHAnsi" w:eastAsiaTheme="minorEastAsia" w:hAnsiTheme="minorHAnsi" w:cstheme="minorBidi"/>
          <w:noProof/>
          <w:sz w:val="22"/>
          <w:szCs w:val="22"/>
          <w:lang w:eastAsia="en-AU"/>
        </w:rPr>
      </w:pPr>
      <w:r>
        <w:rPr>
          <w:noProof/>
        </w:rPr>
        <w:t>2.32  Volumetric measurement—all natural gases</w:t>
      </w:r>
      <w:r>
        <w:rPr>
          <w:noProof/>
        </w:rPr>
        <w:tab/>
      </w:r>
      <w:r>
        <w:rPr>
          <w:noProof/>
        </w:rPr>
        <w:fldChar w:fldCharType="begin"/>
      </w:r>
      <w:r>
        <w:rPr>
          <w:noProof/>
        </w:rPr>
        <w:instrText xml:space="preserve"> PAGEREF _Toc495652699 \h </w:instrText>
      </w:r>
      <w:r>
        <w:rPr>
          <w:noProof/>
        </w:rPr>
      </w:r>
      <w:r>
        <w:rPr>
          <w:noProof/>
        </w:rPr>
        <w:fldChar w:fldCharType="separate"/>
      </w:r>
      <w:r w:rsidR="00766D30">
        <w:rPr>
          <w:noProof/>
        </w:rPr>
        <w:t>137</w:t>
      </w:r>
      <w:r>
        <w:rPr>
          <w:noProof/>
        </w:rPr>
        <w:fldChar w:fldCharType="end"/>
      </w:r>
    </w:p>
    <w:p w14:paraId="4DA5168A" w14:textId="77777777" w:rsidR="00E25764" w:rsidRDefault="00E25764">
      <w:pPr>
        <w:pStyle w:val="TOC5"/>
        <w:rPr>
          <w:rFonts w:asciiTheme="minorHAnsi" w:eastAsiaTheme="minorEastAsia" w:hAnsiTheme="minorHAnsi" w:cstheme="minorBidi"/>
          <w:noProof/>
          <w:sz w:val="22"/>
          <w:szCs w:val="22"/>
          <w:lang w:eastAsia="en-AU"/>
        </w:rPr>
      </w:pPr>
      <w:r>
        <w:rPr>
          <w:noProof/>
        </w:rPr>
        <w:t>2.33  Volumetric measurement—super</w:t>
      </w:r>
      <w:r>
        <w:rPr>
          <w:noProof/>
        </w:rPr>
        <w:noBreakHyphen/>
        <w:t>compressed gases</w:t>
      </w:r>
      <w:r>
        <w:rPr>
          <w:noProof/>
        </w:rPr>
        <w:tab/>
      </w:r>
      <w:r>
        <w:rPr>
          <w:noProof/>
        </w:rPr>
        <w:fldChar w:fldCharType="begin"/>
      </w:r>
      <w:r>
        <w:rPr>
          <w:noProof/>
        </w:rPr>
        <w:instrText xml:space="preserve"> PAGEREF _Toc495652700 \h </w:instrText>
      </w:r>
      <w:r>
        <w:rPr>
          <w:noProof/>
        </w:rPr>
      </w:r>
      <w:r>
        <w:rPr>
          <w:noProof/>
        </w:rPr>
        <w:fldChar w:fldCharType="separate"/>
      </w:r>
      <w:r w:rsidR="00766D30">
        <w:rPr>
          <w:noProof/>
        </w:rPr>
        <w:t>138</w:t>
      </w:r>
      <w:r>
        <w:rPr>
          <w:noProof/>
        </w:rPr>
        <w:fldChar w:fldCharType="end"/>
      </w:r>
    </w:p>
    <w:p w14:paraId="515E788F" w14:textId="77777777" w:rsidR="00E25764" w:rsidRDefault="00E25764">
      <w:pPr>
        <w:pStyle w:val="TOC5"/>
        <w:rPr>
          <w:rFonts w:asciiTheme="minorHAnsi" w:eastAsiaTheme="minorEastAsia" w:hAnsiTheme="minorHAnsi" w:cstheme="minorBidi"/>
          <w:noProof/>
          <w:sz w:val="22"/>
          <w:szCs w:val="22"/>
          <w:lang w:eastAsia="en-AU"/>
        </w:rPr>
      </w:pPr>
      <w:r>
        <w:rPr>
          <w:noProof/>
        </w:rPr>
        <w:t>2.34  Gas measuring equipment—requirements</w:t>
      </w:r>
      <w:r>
        <w:rPr>
          <w:noProof/>
        </w:rPr>
        <w:tab/>
      </w:r>
      <w:r>
        <w:rPr>
          <w:noProof/>
        </w:rPr>
        <w:fldChar w:fldCharType="begin"/>
      </w:r>
      <w:r>
        <w:rPr>
          <w:noProof/>
        </w:rPr>
        <w:instrText xml:space="preserve"> PAGEREF _Toc495652701 \h </w:instrText>
      </w:r>
      <w:r>
        <w:rPr>
          <w:noProof/>
        </w:rPr>
      </w:r>
      <w:r>
        <w:rPr>
          <w:noProof/>
        </w:rPr>
        <w:fldChar w:fldCharType="separate"/>
      </w:r>
      <w:r w:rsidR="00766D30">
        <w:rPr>
          <w:noProof/>
        </w:rPr>
        <w:t>138</w:t>
      </w:r>
      <w:r>
        <w:rPr>
          <w:noProof/>
        </w:rPr>
        <w:fldChar w:fldCharType="end"/>
      </w:r>
    </w:p>
    <w:p w14:paraId="3043EA48" w14:textId="77777777" w:rsidR="00E25764" w:rsidRDefault="00E25764">
      <w:pPr>
        <w:pStyle w:val="TOC5"/>
        <w:rPr>
          <w:rFonts w:asciiTheme="minorHAnsi" w:eastAsiaTheme="minorEastAsia" w:hAnsiTheme="minorHAnsi" w:cstheme="minorBidi"/>
          <w:noProof/>
          <w:sz w:val="22"/>
          <w:szCs w:val="22"/>
          <w:lang w:eastAsia="en-AU"/>
        </w:rPr>
      </w:pPr>
      <w:r>
        <w:rPr>
          <w:noProof/>
        </w:rPr>
        <w:t>2.35  Flow devices—requirements</w:t>
      </w:r>
      <w:r>
        <w:rPr>
          <w:noProof/>
        </w:rPr>
        <w:tab/>
      </w:r>
      <w:r>
        <w:rPr>
          <w:noProof/>
        </w:rPr>
        <w:fldChar w:fldCharType="begin"/>
      </w:r>
      <w:r>
        <w:rPr>
          <w:noProof/>
        </w:rPr>
        <w:instrText xml:space="preserve"> PAGEREF _Toc495652702 \h </w:instrText>
      </w:r>
      <w:r>
        <w:rPr>
          <w:noProof/>
        </w:rPr>
      </w:r>
      <w:r>
        <w:rPr>
          <w:noProof/>
        </w:rPr>
        <w:fldChar w:fldCharType="separate"/>
      </w:r>
      <w:r w:rsidR="00766D30">
        <w:rPr>
          <w:noProof/>
        </w:rPr>
        <w:t>139</w:t>
      </w:r>
      <w:r>
        <w:rPr>
          <w:noProof/>
        </w:rPr>
        <w:fldChar w:fldCharType="end"/>
      </w:r>
    </w:p>
    <w:p w14:paraId="387F87F3" w14:textId="77777777" w:rsidR="00E25764" w:rsidRDefault="00E25764">
      <w:pPr>
        <w:pStyle w:val="TOC5"/>
        <w:rPr>
          <w:rFonts w:asciiTheme="minorHAnsi" w:eastAsiaTheme="minorEastAsia" w:hAnsiTheme="minorHAnsi" w:cstheme="minorBidi"/>
          <w:noProof/>
          <w:sz w:val="22"/>
          <w:szCs w:val="22"/>
          <w:lang w:eastAsia="en-AU"/>
        </w:rPr>
      </w:pPr>
      <w:r>
        <w:rPr>
          <w:noProof/>
        </w:rPr>
        <w:t>2.36  Flow computers—requirements</w:t>
      </w:r>
      <w:r>
        <w:rPr>
          <w:noProof/>
        </w:rPr>
        <w:tab/>
      </w:r>
      <w:r>
        <w:rPr>
          <w:noProof/>
        </w:rPr>
        <w:fldChar w:fldCharType="begin"/>
      </w:r>
      <w:r>
        <w:rPr>
          <w:noProof/>
        </w:rPr>
        <w:instrText xml:space="preserve"> PAGEREF _Toc495652703 \h </w:instrText>
      </w:r>
      <w:r>
        <w:rPr>
          <w:noProof/>
        </w:rPr>
      </w:r>
      <w:r>
        <w:rPr>
          <w:noProof/>
        </w:rPr>
        <w:fldChar w:fldCharType="separate"/>
      </w:r>
      <w:r w:rsidR="00766D30">
        <w:rPr>
          <w:noProof/>
        </w:rPr>
        <w:t>140</w:t>
      </w:r>
      <w:r>
        <w:rPr>
          <w:noProof/>
        </w:rPr>
        <w:fldChar w:fldCharType="end"/>
      </w:r>
    </w:p>
    <w:p w14:paraId="0F8F4D2C" w14:textId="77777777" w:rsidR="00E25764" w:rsidRDefault="00E25764">
      <w:pPr>
        <w:pStyle w:val="TOC5"/>
        <w:rPr>
          <w:rFonts w:asciiTheme="minorHAnsi" w:eastAsiaTheme="minorEastAsia" w:hAnsiTheme="minorHAnsi" w:cstheme="minorBidi"/>
          <w:noProof/>
          <w:sz w:val="22"/>
          <w:szCs w:val="22"/>
          <w:lang w:eastAsia="en-AU"/>
        </w:rPr>
      </w:pPr>
      <w:r>
        <w:rPr>
          <w:noProof/>
        </w:rPr>
        <w:t>2.37  Gas chromatographs—requirements</w:t>
      </w:r>
      <w:r>
        <w:rPr>
          <w:noProof/>
        </w:rPr>
        <w:tab/>
      </w:r>
      <w:r>
        <w:rPr>
          <w:noProof/>
        </w:rPr>
        <w:fldChar w:fldCharType="begin"/>
      </w:r>
      <w:r>
        <w:rPr>
          <w:noProof/>
        </w:rPr>
        <w:instrText xml:space="preserve"> PAGEREF _Toc495652704 \h </w:instrText>
      </w:r>
      <w:r>
        <w:rPr>
          <w:noProof/>
        </w:rPr>
      </w:r>
      <w:r>
        <w:rPr>
          <w:noProof/>
        </w:rPr>
        <w:fldChar w:fldCharType="separate"/>
      </w:r>
      <w:r w:rsidR="00766D30">
        <w:rPr>
          <w:noProof/>
        </w:rPr>
        <w:t>140</w:t>
      </w:r>
      <w:r>
        <w:rPr>
          <w:noProof/>
        </w:rPr>
        <w:fldChar w:fldCharType="end"/>
      </w:r>
    </w:p>
    <w:p w14:paraId="079046F0" w14:textId="77777777" w:rsidR="00E25764" w:rsidRDefault="00E25764">
      <w:pPr>
        <w:pStyle w:val="TOC5"/>
        <w:rPr>
          <w:rFonts w:asciiTheme="minorHAnsi" w:eastAsiaTheme="minorEastAsia" w:hAnsiTheme="minorHAnsi" w:cstheme="minorBidi"/>
          <w:noProof/>
          <w:sz w:val="22"/>
          <w:szCs w:val="22"/>
          <w:lang w:eastAsia="en-AU"/>
        </w:rPr>
      </w:pPr>
      <w:r>
        <w:rPr>
          <w:noProof/>
        </w:rPr>
        <w:t>2.38  Simplified consumption measurements—criterion BBB</w:t>
      </w:r>
      <w:r>
        <w:rPr>
          <w:noProof/>
        </w:rPr>
        <w:tab/>
      </w:r>
      <w:r>
        <w:rPr>
          <w:noProof/>
        </w:rPr>
        <w:fldChar w:fldCharType="begin"/>
      </w:r>
      <w:r>
        <w:rPr>
          <w:noProof/>
        </w:rPr>
        <w:instrText xml:space="preserve"> PAGEREF _Toc495652705 \h </w:instrText>
      </w:r>
      <w:r>
        <w:rPr>
          <w:noProof/>
        </w:rPr>
      </w:r>
      <w:r>
        <w:rPr>
          <w:noProof/>
        </w:rPr>
        <w:fldChar w:fldCharType="separate"/>
      </w:r>
      <w:r w:rsidR="00766D30">
        <w:rPr>
          <w:noProof/>
        </w:rPr>
        <w:t>140</w:t>
      </w:r>
      <w:r>
        <w:rPr>
          <w:noProof/>
        </w:rPr>
        <w:fldChar w:fldCharType="end"/>
      </w:r>
    </w:p>
    <w:p w14:paraId="44FE1045" w14:textId="77777777" w:rsidR="00E25764" w:rsidRDefault="00E25764">
      <w:pPr>
        <w:pStyle w:val="TOC2"/>
        <w:rPr>
          <w:rFonts w:asciiTheme="minorHAnsi" w:eastAsiaTheme="minorEastAsia" w:hAnsiTheme="minorHAnsi" w:cstheme="minorBidi"/>
          <w:b w:val="0"/>
          <w:sz w:val="22"/>
          <w:szCs w:val="22"/>
          <w:lang w:eastAsia="en-AU"/>
        </w:rPr>
      </w:pPr>
      <w:r>
        <w:t>Part 2.4—Emissions released from the combustion of liquid fuels</w:t>
      </w:r>
      <w:r>
        <w:tab/>
      </w:r>
      <w:r>
        <w:fldChar w:fldCharType="begin"/>
      </w:r>
      <w:r>
        <w:instrText xml:space="preserve"> PAGEREF _Toc495652706 \h </w:instrText>
      </w:r>
      <w:r>
        <w:fldChar w:fldCharType="separate"/>
      </w:r>
      <w:r w:rsidR="00766D30">
        <w:t>142</w:t>
      </w:r>
      <w:r>
        <w:fldChar w:fldCharType="end"/>
      </w:r>
    </w:p>
    <w:p w14:paraId="61C311EA"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2.4.1—Preliminary</w:t>
      </w:r>
      <w:r>
        <w:rPr>
          <w:noProof/>
        </w:rPr>
        <w:tab/>
      </w:r>
      <w:r>
        <w:rPr>
          <w:noProof/>
        </w:rPr>
        <w:fldChar w:fldCharType="begin"/>
      </w:r>
      <w:r>
        <w:rPr>
          <w:noProof/>
        </w:rPr>
        <w:instrText xml:space="preserve"> PAGEREF _Toc495652707 \h </w:instrText>
      </w:r>
      <w:r>
        <w:rPr>
          <w:noProof/>
        </w:rPr>
      </w:r>
      <w:r>
        <w:rPr>
          <w:noProof/>
        </w:rPr>
        <w:fldChar w:fldCharType="separate"/>
      </w:r>
      <w:r w:rsidR="00766D30">
        <w:rPr>
          <w:noProof/>
        </w:rPr>
        <w:t>142</w:t>
      </w:r>
      <w:r>
        <w:rPr>
          <w:noProof/>
        </w:rPr>
        <w:fldChar w:fldCharType="end"/>
      </w:r>
    </w:p>
    <w:p w14:paraId="13931899" w14:textId="77777777" w:rsidR="00E25764" w:rsidRDefault="00E25764">
      <w:pPr>
        <w:pStyle w:val="TOC5"/>
        <w:rPr>
          <w:rFonts w:asciiTheme="minorHAnsi" w:eastAsiaTheme="minorEastAsia" w:hAnsiTheme="minorHAnsi" w:cstheme="minorBidi"/>
          <w:noProof/>
          <w:sz w:val="22"/>
          <w:szCs w:val="22"/>
          <w:lang w:eastAsia="en-AU"/>
        </w:rPr>
      </w:pPr>
      <w:r>
        <w:rPr>
          <w:noProof/>
        </w:rPr>
        <w:t>2.39  Application</w:t>
      </w:r>
      <w:r>
        <w:rPr>
          <w:noProof/>
        </w:rPr>
        <w:tab/>
      </w:r>
      <w:r>
        <w:rPr>
          <w:noProof/>
        </w:rPr>
        <w:fldChar w:fldCharType="begin"/>
      </w:r>
      <w:r>
        <w:rPr>
          <w:noProof/>
        </w:rPr>
        <w:instrText xml:space="preserve"> PAGEREF _Toc495652708 \h </w:instrText>
      </w:r>
      <w:r>
        <w:rPr>
          <w:noProof/>
        </w:rPr>
      </w:r>
      <w:r>
        <w:rPr>
          <w:noProof/>
        </w:rPr>
        <w:fldChar w:fldCharType="separate"/>
      </w:r>
      <w:r w:rsidR="00766D30">
        <w:rPr>
          <w:noProof/>
        </w:rPr>
        <w:t>142</w:t>
      </w:r>
      <w:r>
        <w:rPr>
          <w:noProof/>
        </w:rPr>
        <w:fldChar w:fldCharType="end"/>
      </w:r>
    </w:p>
    <w:p w14:paraId="0D237037" w14:textId="77777777" w:rsidR="00E25764" w:rsidRDefault="00E25764">
      <w:pPr>
        <w:pStyle w:val="TOC5"/>
        <w:rPr>
          <w:rFonts w:asciiTheme="minorHAnsi" w:eastAsiaTheme="minorEastAsia" w:hAnsiTheme="minorHAnsi" w:cstheme="minorBidi"/>
          <w:noProof/>
          <w:sz w:val="22"/>
          <w:szCs w:val="22"/>
          <w:lang w:eastAsia="en-AU"/>
        </w:rPr>
      </w:pPr>
      <w:r>
        <w:rPr>
          <w:noProof/>
        </w:rPr>
        <w:t xml:space="preserve">2.39A  Definition of </w:t>
      </w:r>
      <w:r w:rsidRPr="00EF3CB8">
        <w:rPr>
          <w:i/>
          <w:noProof/>
        </w:rPr>
        <w:t xml:space="preserve">petroleum based oils </w:t>
      </w:r>
      <w:r>
        <w:rPr>
          <w:noProof/>
        </w:rPr>
        <w:t>for Part 2.4</w:t>
      </w:r>
      <w:r>
        <w:rPr>
          <w:noProof/>
        </w:rPr>
        <w:tab/>
      </w:r>
      <w:r>
        <w:rPr>
          <w:noProof/>
        </w:rPr>
        <w:fldChar w:fldCharType="begin"/>
      </w:r>
      <w:r>
        <w:rPr>
          <w:noProof/>
        </w:rPr>
        <w:instrText xml:space="preserve"> PAGEREF _Toc495652709 \h </w:instrText>
      </w:r>
      <w:r>
        <w:rPr>
          <w:noProof/>
        </w:rPr>
      </w:r>
      <w:r>
        <w:rPr>
          <w:noProof/>
        </w:rPr>
        <w:fldChar w:fldCharType="separate"/>
      </w:r>
      <w:r w:rsidR="00766D30">
        <w:rPr>
          <w:noProof/>
        </w:rPr>
        <w:t>142</w:t>
      </w:r>
      <w:r>
        <w:rPr>
          <w:noProof/>
        </w:rPr>
        <w:fldChar w:fldCharType="end"/>
      </w:r>
    </w:p>
    <w:p w14:paraId="23949E29"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2.4.1.1—Liquid fuels—other than petroleum based oils and greases</w:t>
      </w:r>
      <w:r>
        <w:rPr>
          <w:noProof/>
        </w:rPr>
        <w:tab/>
      </w:r>
      <w:r>
        <w:rPr>
          <w:noProof/>
        </w:rPr>
        <w:fldChar w:fldCharType="begin"/>
      </w:r>
      <w:r>
        <w:rPr>
          <w:noProof/>
        </w:rPr>
        <w:instrText xml:space="preserve"> PAGEREF _Toc495652710 \h </w:instrText>
      </w:r>
      <w:r>
        <w:rPr>
          <w:noProof/>
        </w:rPr>
      </w:r>
      <w:r>
        <w:rPr>
          <w:noProof/>
        </w:rPr>
        <w:fldChar w:fldCharType="separate"/>
      </w:r>
      <w:r w:rsidR="00766D30">
        <w:rPr>
          <w:noProof/>
        </w:rPr>
        <w:t>142</w:t>
      </w:r>
      <w:r>
        <w:rPr>
          <w:noProof/>
        </w:rPr>
        <w:fldChar w:fldCharType="end"/>
      </w:r>
    </w:p>
    <w:p w14:paraId="17845CDE" w14:textId="77777777" w:rsidR="00E25764" w:rsidRDefault="00E25764">
      <w:pPr>
        <w:pStyle w:val="TOC5"/>
        <w:rPr>
          <w:rFonts w:asciiTheme="minorHAnsi" w:eastAsiaTheme="minorEastAsia" w:hAnsiTheme="minorHAnsi" w:cstheme="minorBidi"/>
          <w:noProof/>
          <w:sz w:val="22"/>
          <w:szCs w:val="22"/>
          <w:lang w:eastAsia="en-AU"/>
        </w:rPr>
      </w:pPr>
      <w:r>
        <w:rPr>
          <w:noProof/>
        </w:rPr>
        <w:t>2.40  Available methods</w:t>
      </w:r>
      <w:r>
        <w:rPr>
          <w:noProof/>
        </w:rPr>
        <w:tab/>
      </w:r>
      <w:r>
        <w:rPr>
          <w:noProof/>
        </w:rPr>
        <w:fldChar w:fldCharType="begin"/>
      </w:r>
      <w:r>
        <w:rPr>
          <w:noProof/>
        </w:rPr>
        <w:instrText xml:space="preserve"> PAGEREF _Toc495652711 \h </w:instrText>
      </w:r>
      <w:r>
        <w:rPr>
          <w:noProof/>
        </w:rPr>
      </w:r>
      <w:r>
        <w:rPr>
          <w:noProof/>
        </w:rPr>
        <w:fldChar w:fldCharType="separate"/>
      </w:r>
      <w:r w:rsidR="00766D30">
        <w:rPr>
          <w:noProof/>
        </w:rPr>
        <w:t>142</w:t>
      </w:r>
      <w:r>
        <w:rPr>
          <w:noProof/>
        </w:rPr>
        <w:fldChar w:fldCharType="end"/>
      </w:r>
    </w:p>
    <w:p w14:paraId="4BEB7F8C"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2.4.1.2—Liquid fuels—petroleum based oils and greases</w:t>
      </w:r>
      <w:r>
        <w:rPr>
          <w:noProof/>
        </w:rPr>
        <w:tab/>
      </w:r>
      <w:r>
        <w:rPr>
          <w:noProof/>
        </w:rPr>
        <w:fldChar w:fldCharType="begin"/>
      </w:r>
      <w:r>
        <w:rPr>
          <w:noProof/>
        </w:rPr>
        <w:instrText xml:space="preserve"> PAGEREF _Toc495652712 \h </w:instrText>
      </w:r>
      <w:r>
        <w:rPr>
          <w:noProof/>
        </w:rPr>
      </w:r>
      <w:r>
        <w:rPr>
          <w:noProof/>
        </w:rPr>
        <w:fldChar w:fldCharType="separate"/>
      </w:r>
      <w:r w:rsidR="00766D30">
        <w:rPr>
          <w:noProof/>
        </w:rPr>
        <w:t>143</w:t>
      </w:r>
      <w:r>
        <w:rPr>
          <w:noProof/>
        </w:rPr>
        <w:fldChar w:fldCharType="end"/>
      </w:r>
    </w:p>
    <w:p w14:paraId="248901F7" w14:textId="77777777" w:rsidR="00E25764" w:rsidRDefault="00E25764">
      <w:pPr>
        <w:pStyle w:val="TOC5"/>
        <w:rPr>
          <w:rFonts w:asciiTheme="minorHAnsi" w:eastAsiaTheme="minorEastAsia" w:hAnsiTheme="minorHAnsi" w:cstheme="minorBidi"/>
          <w:noProof/>
          <w:sz w:val="22"/>
          <w:szCs w:val="22"/>
          <w:lang w:eastAsia="en-AU"/>
        </w:rPr>
      </w:pPr>
      <w:r>
        <w:rPr>
          <w:noProof/>
        </w:rPr>
        <w:t>2.40A  Available methods</w:t>
      </w:r>
      <w:r>
        <w:rPr>
          <w:noProof/>
        </w:rPr>
        <w:tab/>
      </w:r>
      <w:r>
        <w:rPr>
          <w:noProof/>
        </w:rPr>
        <w:fldChar w:fldCharType="begin"/>
      </w:r>
      <w:r>
        <w:rPr>
          <w:noProof/>
        </w:rPr>
        <w:instrText xml:space="preserve"> PAGEREF _Toc495652713 \h </w:instrText>
      </w:r>
      <w:r>
        <w:rPr>
          <w:noProof/>
        </w:rPr>
      </w:r>
      <w:r>
        <w:rPr>
          <w:noProof/>
        </w:rPr>
        <w:fldChar w:fldCharType="separate"/>
      </w:r>
      <w:r w:rsidR="00766D30">
        <w:rPr>
          <w:noProof/>
        </w:rPr>
        <w:t>143</w:t>
      </w:r>
      <w:r>
        <w:rPr>
          <w:noProof/>
        </w:rPr>
        <w:fldChar w:fldCharType="end"/>
      </w:r>
    </w:p>
    <w:p w14:paraId="371D2DFB"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2.4.2—Method 1—emissions of carbon dioxide, methane and nitrous oxide from liquid fuels other than petroleum based oils or greases</w:t>
      </w:r>
      <w:r>
        <w:rPr>
          <w:noProof/>
        </w:rPr>
        <w:tab/>
      </w:r>
      <w:r>
        <w:rPr>
          <w:noProof/>
        </w:rPr>
        <w:fldChar w:fldCharType="begin"/>
      </w:r>
      <w:r>
        <w:rPr>
          <w:noProof/>
        </w:rPr>
        <w:instrText xml:space="preserve"> PAGEREF _Toc495652714 \h </w:instrText>
      </w:r>
      <w:r>
        <w:rPr>
          <w:noProof/>
        </w:rPr>
      </w:r>
      <w:r>
        <w:rPr>
          <w:noProof/>
        </w:rPr>
        <w:fldChar w:fldCharType="separate"/>
      </w:r>
      <w:r w:rsidR="00766D30">
        <w:rPr>
          <w:noProof/>
        </w:rPr>
        <w:t>144</w:t>
      </w:r>
      <w:r>
        <w:rPr>
          <w:noProof/>
        </w:rPr>
        <w:fldChar w:fldCharType="end"/>
      </w:r>
    </w:p>
    <w:p w14:paraId="7579DA6F" w14:textId="77777777" w:rsidR="00E25764" w:rsidRDefault="00E25764">
      <w:pPr>
        <w:pStyle w:val="TOC5"/>
        <w:rPr>
          <w:rFonts w:asciiTheme="minorHAnsi" w:eastAsiaTheme="minorEastAsia" w:hAnsiTheme="minorHAnsi" w:cstheme="minorBidi"/>
          <w:noProof/>
          <w:sz w:val="22"/>
          <w:szCs w:val="22"/>
          <w:lang w:eastAsia="en-AU"/>
        </w:rPr>
      </w:pPr>
      <w:r>
        <w:rPr>
          <w:noProof/>
        </w:rPr>
        <w:t>2.41  Method 1—emissions of carbon dioxide, methane and nitrous oxide</w:t>
      </w:r>
      <w:r>
        <w:rPr>
          <w:noProof/>
        </w:rPr>
        <w:tab/>
      </w:r>
      <w:r>
        <w:rPr>
          <w:noProof/>
        </w:rPr>
        <w:fldChar w:fldCharType="begin"/>
      </w:r>
      <w:r>
        <w:rPr>
          <w:noProof/>
        </w:rPr>
        <w:instrText xml:space="preserve"> PAGEREF _Toc495652715 \h </w:instrText>
      </w:r>
      <w:r>
        <w:rPr>
          <w:noProof/>
        </w:rPr>
      </w:r>
      <w:r>
        <w:rPr>
          <w:noProof/>
        </w:rPr>
        <w:fldChar w:fldCharType="separate"/>
      </w:r>
      <w:r w:rsidR="00766D30">
        <w:rPr>
          <w:noProof/>
        </w:rPr>
        <w:t>145</w:t>
      </w:r>
      <w:r>
        <w:rPr>
          <w:noProof/>
        </w:rPr>
        <w:fldChar w:fldCharType="end"/>
      </w:r>
    </w:p>
    <w:p w14:paraId="5EBDD5E0" w14:textId="77777777" w:rsidR="00E25764" w:rsidRDefault="00E25764">
      <w:pPr>
        <w:pStyle w:val="TOC8"/>
        <w:rPr>
          <w:rFonts w:asciiTheme="minorHAnsi" w:eastAsiaTheme="minorEastAsia" w:hAnsiTheme="minorHAnsi" w:cstheme="minorBidi"/>
          <w:sz w:val="22"/>
          <w:szCs w:val="22"/>
          <w:lang w:eastAsia="en-AU"/>
        </w:rPr>
      </w:pPr>
      <w:r>
        <w:t xml:space="preserve">Table 2.4.2A </w:t>
      </w:r>
      <w:r>
        <w:rPr>
          <w:rFonts w:asciiTheme="minorHAnsi" w:eastAsiaTheme="minorEastAsia" w:hAnsiTheme="minorHAnsi" w:cstheme="minorBidi"/>
          <w:sz w:val="22"/>
          <w:szCs w:val="22"/>
          <w:lang w:eastAsia="en-AU"/>
        </w:rPr>
        <w:tab/>
      </w:r>
      <w:r>
        <w:t>Emission and energy content factors — liquid fuels and certain petroleum</w:t>
      </w:r>
      <w:r>
        <w:noBreakHyphen/>
        <w:t>based products for stationary energy purposes</w:t>
      </w:r>
      <w:r>
        <w:tab/>
      </w:r>
      <w:r>
        <w:fldChar w:fldCharType="begin"/>
      </w:r>
      <w:r>
        <w:instrText xml:space="preserve"> PAGEREF _Toc495652716 \h </w:instrText>
      </w:r>
      <w:r>
        <w:fldChar w:fldCharType="separate"/>
      </w:r>
      <w:r w:rsidR="00766D30">
        <w:t>146</w:t>
      </w:r>
      <w:r>
        <w:fldChar w:fldCharType="end"/>
      </w:r>
    </w:p>
    <w:p w14:paraId="33C2CE77" w14:textId="77777777" w:rsidR="00E25764" w:rsidRDefault="00E25764">
      <w:pPr>
        <w:pStyle w:val="TOC3"/>
        <w:rPr>
          <w:rFonts w:asciiTheme="minorHAnsi" w:eastAsiaTheme="minorEastAsia" w:hAnsiTheme="minorHAnsi" w:cstheme="minorBidi"/>
          <w:b w:val="0"/>
          <w:noProof/>
          <w:sz w:val="22"/>
          <w:szCs w:val="22"/>
          <w:lang w:eastAsia="en-AU"/>
        </w:rPr>
      </w:pPr>
      <w:r>
        <w:rPr>
          <w:noProof/>
        </w:rPr>
        <w:lastRenderedPageBreak/>
        <w:t xml:space="preserve">Table 2.4.2B </w:t>
      </w:r>
      <w:r>
        <w:rPr>
          <w:rFonts w:asciiTheme="minorHAnsi" w:eastAsiaTheme="minorEastAsia" w:hAnsiTheme="minorHAnsi" w:cstheme="minorBidi"/>
          <w:b w:val="0"/>
          <w:noProof/>
          <w:sz w:val="22"/>
          <w:szCs w:val="22"/>
          <w:lang w:eastAsia="en-AU"/>
        </w:rPr>
        <w:tab/>
      </w:r>
      <w:r>
        <w:rPr>
          <w:noProof/>
        </w:rPr>
        <w:t>Emissions and energy content factors — fuels for transport energy purposes</w:t>
      </w:r>
      <w:r>
        <w:rPr>
          <w:noProof/>
        </w:rPr>
        <w:tab/>
      </w:r>
      <w:r>
        <w:rPr>
          <w:noProof/>
        </w:rPr>
        <w:fldChar w:fldCharType="begin"/>
      </w:r>
      <w:r>
        <w:rPr>
          <w:noProof/>
        </w:rPr>
        <w:instrText xml:space="preserve"> PAGEREF _Toc495652717 \h </w:instrText>
      </w:r>
      <w:r>
        <w:rPr>
          <w:noProof/>
        </w:rPr>
      </w:r>
      <w:r>
        <w:rPr>
          <w:noProof/>
        </w:rPr>
        <w:fldChar w:fldCharType="separate"/>
      </w:r>
      <w:r w:rsidR="00766D30">
        <w:rPr>
          <w:noProof/>
        </w:rPr>
        <w:t>147</w:t>
      </w:r>
      <w:r>
        <w:rPr>
          <w:noProof/>
        </w:rPr>
        <w:fldChar w:fldCharType="end"/>
      </w:r>
    </w:p>
    <w:p w14:paraId="537767C6"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2.4.3—Method 2—emissions of carbon dioxide from liquid fuels other than petroleum based oils or greases</w:t>
      </w:r>
      <w:r>
        <w:rPr>
          <w:noProof/>
        </w:rPr>
        <w:tab/>
      </w:r>
      <w:r>
        <w:rPr>
          <w:noProof/>
        </w:rPr>
        <w:fldChar w:fldCharType="begin"/>
      </w:r>
      <w:r>
        <w:rPr>
          <w:noProof/>
        </w:rPr>
        <w:instrText xml:space="preserve"> PAGEREF _Toc495652718 \h </w:instrText>
      </w:r>
      <w:r>
        <w:rPr>
          <w:noProof/>
        </w:rPr>
      </w:r>
      <w:r>
        <w:rPr>
          <w:noProof/>
        </w:rPr>
        <w:fldChar w:fldCharType="separate"/>
      </w:r>
      <w:r w:rsidR="00766D30">
        <w:rPr>
          <w:noProof/>
        </w:rPr>
        <w:t>149</w:t>
      </w:r>
      <w:r>
        <w:rPr>
          <w:noProof/>
        </w:rPr>
        <w:fldChar w:fldCharType="end"/>
      </w:r>
    </w:p>
    <w:p w14:paraId="26D4E7C7"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2.4.3.1—Method 2—emissions of carbon dioxide from liquid fuels other than petroleum based oils or greases</w:t>
      </w:r>
      <w:r>
        <w:rPr>
          <w:noProof/>
        </w:rPr>
        <w:tab/>
      </w:r>
      <w:r>
        <w:rPr>
          <w:noProof/>
        </w:rPr>
        <w:fldChar w:fldCharType="begin"/>
      </w:r>
      <w:r>
        <w:rPr>
          <w:noProof/>
        </w:rPr>
        <w:instrText xml:space="preserve"> PAGEREF _Toc495652719 \h </w:instrText>
      </w:r>
      <w:r>
        <w:rPr>
          <w:noProof/>
        </w:rPr>
      </w:r>
      <w:r>
        <w:rPr>
          <w:noProof/>
        </w:rPr>
        <w:fldChar w:fldCharType="separate"/>
      </w:r>
      <w:r w:rsidR="00766D30">
        <w:rPr>
          <w:noProof/>
        </w:rPr>
        <w:t>149</w:t>
      </w:r>
      <w:r>
        <w:rPr>
          <w:noProof/>
        </w:rPr>
        <w:fldChar w:fldCharType="end"/>
      </w:r>
    </w:p>
    <w:p w14:paraId="50CC96C2" w14:textId="77777777" w:rsidR="00E25764" w:rsidRDefault="00E25764">
      <w:pPr>
        <w:pStyle w:val="TOC5"/>
        <w:rPr>
          <w:rFonts w:asciiTheme="minorHAnsi" w:eastAsiaTheme="minorEastAsia" w:hAnsiTheme="minorHAnsi" w:cstheme="minorBidi"/>
          <w:noProof/>
          <w:sz w:val="22"/>
          <w:szCs w:val="22"/>
          <w:lang w:eastAsia="en-AU"/>
        </w:rPr>
      </w:pPr>
      <w:r>
        <w:rPr>
          <w:noProof/>
        </w:rPr>
        <w:t>2.42  Method 2—emissions of carbon dioxide from the combustion of liquid fuels</w:t>
      </w:r>
      <w:r>
        <w:rPr>
          <w:noProof/>
        </w:rPr>
        <w:tab/>
      </w:r>
      <w:r>
        <w:rPr>
          <w:noProof/>
        </w:rPr>
        <w:fldChar w:fldCharType="begin"/>
      </w:r>
      <w:r>
        <w:rPr>
          <w:noProof/>
        </w:rPr>
        <w:instrText xml:space="preserve"> PAGEREF _Toc495652720 \h </w:instrText>
      </w:r>
      <w:r>
        <w:rPr>
          <w:noProof/>
        </w:rPr>
      </w:r>
      <w:r>
        <w:rPr>
          <w:noProof/>
        </w:rPr>
        <w:fldChar w:fldCharType="separate"/>
      </w:r>
      <w:r w:rsidR="00766D30">
        <w:rPr>
          <w:noProof/>
        </w:rPr>
        <w:t>149</w:t>
      </w:r>
      <w:r>
        <w:rPr>
          <w:noProof/>
        </w:rPr>
        <w:fldChar w:fldCharType="end"/>
      </w:r>
    </w:p>
    <w:p w14:paraId="53C065AB" w14:textId="77777777" w:rsidR="00E25764" w:rsidRDefault="00E25764">
      <w:pPr>
        <w:pStyle w:val="TOC5"/>
        <w:rPr>
          <w:rFonts w:asciiTheme="minorHAnsi" w:eastAsiaTheme="minorEastAsia" w:hAnsiTheme="minorHAnsi" w:cstheme="minorBidi"/>
          <w:noProof/>
          <w:sz w:val="22"/>
          <w:szCs w:val="22"/>
          <w:lang w:eastAsia="en-AU"/>
        </w:rPr>
      </w:pPr>
      <w:r>
        <w:rPr>
          <w:noProof/>
        </w:rPr>
        <w:t>2.43  Calculation of emission factors from combustion of liquid fuel</w:t>
      </w:r>
      <w:r>
        <w:rPr>
          <w:noProof/>
        </w:rPr>
        <w:tab/>
      </w:r>
      <w:r>
        <w:rPr>
          <w:noProof/>
        </w:rPr>
        <w:fldChar w:fldCharType="begin"/>
      </w:r>
      <w:r>
        <w:rPr>
          <w:noProof/>
        </w:rPr>
        <w:instrText xml:space="preserve"> PAGEREF _Toc495652721 \h </w:instrText>
      </w:r>
      <w:r>
        <w:rPr>
          <w:noProof/>
        </w:rPr>
      </w:r>
      <w:r>
        <w:rPr>
          <w:noProof/>
        </w:rPr>
        <w:fldChar w:fldCharType="separate"/>
      </w:r>
      <w:r w:rsidR="00766D30">
        <w:rPr>
          <w:noProof/>
        </w:rPr>
        <w:t>150</w:t>
      </w:r>
      <w:r>
        <w:rPr>
          <w:noProof/>
        </w:rPr>
        <w:fldChar w:fldCharType="end"/>
      </w:r>
    </w:p>
    <w:p w14:paraId="17093F1E"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2.4.3.2—Sampling and analysis</w:t>
      </w:r>
      <w:r>
        <w:rPr>
          <w:noProof/>
        </w:rPr>
        <w:tab/>
      </w:r>
      <w:r>
        <w:rPr>
          <w:noProof/>
        </w:rPr>
        <w:fldChar w:fldCharType="begin"/>
      </w:r>
      <w:r>
        <w:rPr>
          <w:noProof/>
        </w:rPr>
        <w:instrText xml:space="preserve"> PAGEREF _Toc495652722 \h </w:instrText>
      </w:r>
      <w:r>
        <w:rPr>
          <w:noProof/>
        </w:rPr>
      </w:r>
      <w:r>
        <w:rPr>
          <w:noProof/>
        </w:rPr>
        <w:fldChar w:fldCharType="separate"/>
      </w:r>
      <w:r w:rsidR="00766D30">
        <w:rPr>
          <w:noProof/>
        </w:rPr>
        <w:t>150</w:t>
      </w:r>
      <w:r>
        <w:rPr>
          <w:noProof/>
        </w:rPr>
        <w:fldChar w:fldCharType="end"/>
      </w:r>
    </w:p>
    <w:p w14:paraId="58C72E40" w14:textId="77777777" w:rsidR="00E25764" w:rsidRDefault="00E25764">
      <w:pPr>
        <w:pStyle w:val="TOC5"/>
        <w:rPr>
          <w:rFonts w:asciiTheme="minorHAnsi" w:eastAsiaTheme="minorEastAsia" w:hAnsiTheme="minorHAnsi" w:cstheme="minorBidi"/>
          <w:noProof/>
          <w:sz w:val="22"/>
          <w:szCs w:val="22"/>
          <w:lang w:eastAsia="en-AU"/>
        </w:rPr>
      </w:pPr>
      <w:r>
        <w:rPr>
          <w:noProof/>
        </w:rPr>
        <w:t>2.44  General requirements for sampling under method 2</w:t>
      </w:r>
      <w:r>
        <w:rPr>
          <w:noProof/>
        </w:rPr>
        <w:tab/>
      </w:r>
      <w:r>
        <w:rPr>
          <w:noProof/>
        </w:rPr>
        <w:fldChar w:fldCharType="begin"/>
      </w:r>
      <w:r>
        <w:rPr>
          <w:noProof/>
        </w:rPr>
        <w:instrText xml:space="preserve"> PAGEREF _Toc495652723 \h </w:instrText>
      </w:r>
      <w:r>
        <w:rPr>
          <w:noProof/>
        </w:rPr>
      </w:r>
      <w:r>
        <w:rPr>
          <w:noProof/>
        </w:rPr>
        <w:fldChar w:fldCharType="separate"/>
      </w:r>
      <w:r w:rsidR="00766D30">
        <w:rPr>
          <w:noProof/>
        </w:rPr>
        <w:t>151</w:t>
      </w:r>
      <w:r>
        <w:rPr>
          <w:noProof/>
        </w:rPr>
        <w:fldChar w:fldCharType="end"/>
      </w:r>
    </w:p>
    <w:p w14:paraId="6C462A9C" w14:textId="77777777" w:rsidR="00E25764" w:rsidRDefault="00E25764">
      <w:pPr>
        <w:pStyle w:val="TOC5"/>
        <w:rPr>
          <w:rFonts w:asciiTheme="minorHAnsi" w:eastAsiaTheme="minorEastAsia" w:hAnsiTheme="minorHAnsi" w:cstheme="minorBidi"/>
          <w:noProof/>
          <w:sz w:val="22"/>
          <w:szCs w:val="22"/>
          <w:lang w:eastAsia="en-AU"/>
        </w:rPr>
      </w:pPr>
      <w:r>
        <w:rPr>
          <w:noProof/>
        </w:rPr>
        <w:t>2.45  Standards for analysing samples of liquid fuels</w:t>
      </w:r>
      <w:r>
        <w:rPr>
          <w:noProof/>
        </w:rPr>
        <w:tab/>
      </w:r>
      <w:r>
        <w:rPr>
          <w:noProof/>
        </w:rPr>
        <w:fldChar w:fldCharType="begin"/>
      </w:r>
      <w:r>
        <w:rPr>
          <w:noProof/>
        </w:rPr>
        <w:instrText xml:space="preserve"> PAGEREF _Toc495652724 \h </w:instrText>
      </w:r>
      <w:r>
        <w:rPr>
          <w:noProof/>
        </w:rPr>
      </w:r>
      <w:r>
        <w:rPr>
          <w:noProof/>
        </w:rPr>
        <w:fldChar w:fldCharType="separate"/>
      </w:r>
      <w:r w:rsidR="00766D30">
        <w:rPr>
          <w:noProof/>
        </w:rPr>
        <w:t>151</w:t>
      </w:r>
      <w:r>
        <w:rPr>
          <w:noProof/>
        </w:rPr>
        <w:fldChar w:fldCharType="end"/>
      </w:r>
    </w:p>
    <w:p w14:paraId="5ADD88F3" w14:textId="77777777" w:rsidR="00E25764" w:rsidRDefault="00E25764">
      <w:pPr>
        <w:pStyle w:val="TOC5"/>
        <w:rPr>
          <w:rFonts w:asciiTheme="minorHAnsi" w:eastAsiaTheme="minorEastAsia" w:hAnsiTheme="minorHAnsi" w:cstheme="minorBidi"/>
          <w:noProof/>
          <w:sz w:val="22"/>
          <w:szCs w:val="22"/>
          <w:lang w:eastAsia="en-AU"/>
        </w:rPr>
      </w:pPr>
      <w:r>
        <w:rPr>
          <w:noProof/>
        </w:rPr>
        <w:t>2.46  Frequency of analysis</w:t>
      </w:r>
      <w:r>
        <w:rPr>
          <w:noProof/>
        </w:rPr>
        <w:tab/>
      </w:r>
      <w:r>
        <w:rPr>
          <w:noProof/>
        </w:rPr>
        <w:fldChar w:fldCharType="begin"/>
      </w:r>
      <w:r>
        <w:rPr>
          <w:noProof/>
        </w:rPr>
        <w:instrText xml:space="preserve"> PAGEREF _Toc495652725 \h </w:instrText>
      </w:r>
      <w:r>
        <w:rPr>
          <w:noProof/>
        </w:rPr>
      </w:r>
      <w:r>
        <w:rPr>
          <w:noProof/>
        </w:rPr>
        <w:fldChar w:fldCharType="separate"/>
      </w:r>
      <w:r w:rsidR="00766D30">
        <w:rPr>
          <w:noProof/>
        </w:rPr>
        <w:t>154</w:t>
      </w:r>
      <w:r>
        <w:rPr>
          <w:noProof/>
        </w:rPr>
        <w:fldChar w:fldCharType="end"/>
      </w:r>
    </w:p>
    <w:p w14:paraId="7FDBA9DD"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2.4.4—Method 3—emissions of carbon dioxide from liquid fuels other than petroleum based oils or greases</w:t>
      </w:r>
      <w:r>
        <w:rPr>
          <w:noProof/>
        </w:rPr>
        <w:tab/>
      </w:r>
      <w:r>
        <w:rPr>
          <w:noProof/>
        </w:rPr>
        <w:fldChar w:fldCharType="begin"/>
      </w:r>
      <w:r>
        <w:rPr>
          <w:noProof/>
        </w:rPr>
        <w:instrText xml:space="preserve"> PAGEREF _Toc495652726 \h </w:instrText>
      </w:r>
      <w:r>
        <w:rPr>
          <w:noProof/>
        </w:rPr>
      </w:r>
      <w:r>
        <w:rPr>
          <w:noProof/>
        </w:rPr>
        <w:fldChar w:fldCharType="separate"/>
      </w:r>
      <w:r w:rsidR="00766D30">
        <w:rPr>
          <w:noProof/>
        </w:rPr>
        <w:t>155</w:t>
      </w:r>
      <w:r>
        <w:rPr>
          <w:noProof/>
        </w:rPr>
        <w:fldChar w:fldCharType="end"/>
      </w:r>
    </w:p>
    <w:p w14:paraId="29109074" w14:textId="77777777" w:rsidR="00E25764" w:rsidRDefault="00E25764">
      <w:pPr>
        <w:pStyle w:val="TOC5"/>
        <w:rPr>
          <w:rFonts w:asciiTheme="minorHAnsi" w:eastAsiaTheme="minorEastAsia" w:hAnsiTheme="minorHAnsi" w:cstheme="minorBidi"/>
          <w:noProof/>
          <w:sz w:val="22"/>
          <w:szCs w:val="22"/>
          <w:lang w:eastAsia="en-AU"/>
        </w:rPr>
      </w:pPr>
      <w:r>
        <w:rPr>
          <w:noProof/>
        </w:rPr>
        <w:t>2.47  Method 3—emissions of carbon dioxide from the combustion of liquid fuels</w:t>
      </w:r>
      <w:r>
        <w:rPr>
          <w:noProof/>
        </w:rPr>
        <w:tab/>
      </w:r>
      <w:r>
        <w:rPr>
          <w:noProof/>
        </w:rPr>
        <w:fldChar w:fldCharType="begin"/>
      </w:r>
      <w:r>
        <w:rPr>
          <w:noProof/>
        </w:rPr>
        <w:instrText xml:space="preserve"> PAGEREF _Toc495652727 \h </w:instrText>
      </w:r>
      <w:r>
        <w:rPr>
          <w:noProof/>
        </w:rPr>
      </w:r>
      <w:r>
        <w:rPr>
          <w:noProof/>
        </w:rPr>
        <w:fldChar w:fldCharType="separate"/>
      </w:r>
      <w:r w:rsidR="00766D30">
        <w:rPr>
          <w:noProof/>
        </w:rPr>
        <w:t>155</w:t>
      </w:r>
      <w:r>
        <w:rPr>
          <w:noProof/>
        </w:rPr>
        <w:fldChar w:fldCharType="end"/>
      </w:r>
    </w:p>
    <w:p w14:paraId="7B826DB5"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2.4.5—Method 2—emissions of methane and nitrous oxide from liquid fuels other than petroleum based oils or greases</w:t>
      </w:r>
      <w:r>
        <w:rPr>
          <w:noProof/>
        </w:rPr>
        <w:tab/>
      </w:r>
      <w:r>
        <w:rPr>
          <w:noProof/>
        </w:rPr>
        <w:fldChar w:fldCharType="begin"/>
      </w:r>
      <w:r>
        <w:rPr>
          <w:noProof/>
        </w:rPr>
        <w:instrText xml:space="preserve"> PAGEREF _Toc495652728 \h </w:instrText>
      </w:r>
      <w:r>
        <w:rPr>
          <w:noProof/>
        </w:rPr>
      </w:r>
      <w:r>
        <w:rPr>
          <w:noProof/>
        </w:rPr>
        <w:fldChar w:fldCharType="separate"/>
      </w:r>
      <w:r w:rsidR="00766D30">
        <w:rPr>
          <w:noProof/>
        </w:rPr>
        <w:t>158</w:t>
      </w:r>
      <w:r>
        <w:rPr>
          <w:noProof/>
        </w:rPr>
        <w:fldChar w:fldCharType="end"/>
      </w:r>
    </w:p>
    <w:p w14:paraId="55B7A21A" w14:textId="77777777" w:rsidR="00E25764" w:rsidRDefault="00E25764">
      <w:pPr>
        <w:pStyle w:val="TOC5"/>
        <w:rPr>
          <w:rFonts w:asciiTheme="minorHAnsi" w:eastAsiaTheme="minorEastAsia" w:hAnsiTheme="minorHAnsi" w:cstheme="minorBidi"/>
          <w:noProof/>
          <w:sz w:val="22"/>
          <w:szCs w:val="22"/>
          <w:lang w:eastAsia="en-AU"/>
        </w:rPr>
      </w:pPr>
      <w:r>
        <w:rPr>
          <w:noProof/>
        </w:rPr>
        <w:t>2.48  Method 2—emissions of methane and nitrous oxide from the combustion of liquid fuels</w:t>
      </w:r>
      <w:r>
        <w:rPr>
          <w:noProof/>
        </w:rPr>
        <w:tab/>
      </w:r>
      <w:r>
        <w:rPr>
          <w:noProof/>
        </w:rPr>
        <w:fldChar w:fldCharType="begin"/>
      </w:r>
      <w:r>
        <w:rPr>
          <w:noProof/>
        </w:rPr>
        <w:instrText xml:space="preserve"> PAGEREF _Toc495652729 \h </w:instrText>
      </w:r>
      <w:r>
        <w:rPr>
          <w:noProof/>
        </w:rPr>
      </w:r>
      <w:r>
        <w:rPr>
          <w:noProof/>
        </w:rPr>
        <w:fldChar w:fldCharType="separate"/>
      </w:r>
      <w:r w:rsidR="00766D30">
        <w:rPr>
          <w:noProof/>
        </w:rPr>
        <w:t>158</w:t>
      </w:r>
      <w:r>
        <w:rPr>
          <w:noProof/>
        </w:rPr>
        <w:fldChar w:fldCharType="end"/>
      </w:r>
    </w:p>
    <w:p w14:paraId="00D2A846" w14:textId="77777777" w:rsidR="00E25764" w:rsidRDefault="00E25764">
      <w:pPr>
        <w:pStyle w:val="TOC3"/>
        <w:rPr>
          <w:rFonts w:asciiTheme="minorHAnsi" w:eastAsiaTheme="minorEastAsia" w:hAnsiTheme="minorHAnsi" w:cstheme="minorBidi"/>
          <w:b w:val="0"/>
          <w:noProof/>
          <w:sz w:val="22"/>
          <w:szCs w:val="22"/>
          <w:lang w:eastAsia="en-AU"/>
        </w:rPr>
      </w:pPr>
      <w:r>
        <w:rPr>
          <w:noProof/>
        </w:rPr>
        <w:t>Table 2.4.5A</w:t>
      </w:r>
      <w:r>
        <w:rPr>
          <w:rFonts w:asciiTheme="minorHAnsi" w:eastAsiaTheme="minorEastAsia" w:hAnsiTheme="minorHAnsi" w:cstheme="minorBidi"/>
          <w:b w:val="0"/>
          <w:noProof/>
          <w:sz w:val="22"/>
          <w:szCs w:val="22"/>
          <w:lang w:eastAsia="en-AU"/>
        </w:rPr>
        <w:tab/>
      </w:r>
      <w:r>
        <w:rPr>
          <w:noProof/>
        </w:rPr>
        <w:t>Fuel combustion — liquid fuels for transport energy purposes for post</w:t>
      </w:r>
      <w:r>
        <w:rPr>
          <w:noProof/>
        </w:rPr>
        <w:noBreakHyphen/>
        <w:t>2004 vehicles</w:t>
      </w:r>
      <w:r>
        <w:rPr>
          <w:noProof/>
        </w:rPr>
        <w:tab/>
      </w:r>
      <w:r>
        <w:rPr>
          <w:noProof/>
        </w:rPr>
        <w:fldChar w:fldCharType="begin"/>
      </w:r>
      <w:r>
        <w:rPr>
          <w:noProof/>
        </w:rPr>
        <w:instrText xml:space="preserve"> PAGEREF _Toc495652730 \h </w:instrText>
      </w:r>
      <w:r>
        <w:rPr>
          <w:noProof/>
        </w:rPr>
      </w:r>
      <w:r>
        <w:rPr>
          <w:noProof/>
        </w:rPr>
        <w:fldChar w:fldCharType="separate"/>
      </w:r>
      <w:r w:rsidR="00766D30">
        <w:rPr>
          <w:noProof/>
        </w:rPr>
        <w:t>159</w:t>
      </w:r>
      <w:r>
        <w:rPr>
          <w:noProof/>
        </w:rPr>
        <w:fldChar w:fldCharType="end"/>
      </w:r>
    </w:p>
    <w:p w14:paraId="2C8E3D54" w14:textId="77777777" w:rsidR="00E25764" w:rsidRDefault="00E25764">
      <w:pPr>
        <w:pStyle w:val="TOC3"/>
        <w:rPr>
          <w:rFonts w:asciiTheme="minorHAnsi" w:eastAsiaTheme="minorEastAsia" w:hAnsiTheme="minorHAnsi" w:cstheme="minorBidi"/>
          <w:b w:val="0"/>
          <w:noProof/>
          <w:sz w:val="22"/>
          <w:szCs w:val="22"/>
          <w:lang w:eastAsia="en-AU"/>
        </w:rPr>
      </w:pPr>
      <w:r>
        <w:rPr>
          <w:noProof/>
        </w:rPr>
        <w:t>Table 2.4.5B</w:t>
      </w:r>
      <w:r>
        <w:rPr>
          <w:rFonts w:asciiTheme="minorHAnsi" w:eastAsiaTheme="minorEastAsia" w:hAnsiTheme="minorHAnsi" w:cstheme="minorBidi"/>
          <w:b w:val="0"/>
          <w:noProof/>
          <w:sz w:val="22"/>
          <w:szCs w:val="22"/>
          <w:lang w:eastAsia="en-AU"/>
        </w:rPr>
        <w:tab/>
      </w:r>
      <w:r>
        <w:rPr>
          <w:noProof/>
        </w:rPr>
        <w:t>Fuel combustion — liquid fuels for transport energy purposes for certain trucks</w:t>
      </w:r>
      <w:r>
        <w:rPr>
          <w:noProof/>
        </w:rPr>
        <w:tab/>
      </w:r>
      <w:r>
        <w:rPr>
          <w:noProof/>
        </w:rPr>
        <w:fldChar w:fldCharType="begin"/>
      </w:r>
      <w:r>
        <w:rPr>
          <w:noProof/>
        </w:rPr>
        <w:instrText xml:space="preserve"> PAGEREF _Toc495652731 \h </w:instrText>
      </w:r>
      <w:r>
        <w:rPr>
          <w:noProof/>
        </w:rPr>
      </w:r>
      <w:r>
        <w:rPr>
          <w:noProof/>
        </w:rPr>
        <w:fldChar w:fldCharType="separate"/>
      </w:r>
      <w:r w:rsidR="00766D30">
        <w:rPr>
          <w:noProof/>
        </w:rPr>
        <w:t>159</w:t>
      </w:r>
      <w:r>
        <w:rPr>
          <w:noProof/>
        </w:rPr>
        <w:fldChar w:fldCharType="end"/>
      </w:r>
    </w:p>
    <w:p w14:paraId="67D38652"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2.4.5A—Methods for estimating emissions of carbon dioxide from petroleum based oils or greases</w:t>
      </w:r>
      <w:r>
        <w:rPr>
          <w:noProof/>
        </w:rPr>
        <w:tab/>
      </w:r>
      <w:r>
        <w:rPr>
          <w:noProof/>
        </w:rPr>
        <w:fldChar w:fldCharType="begin"/>
      </w:r>
      <w:r>
        <w:rPr>
          <w:noProof/>
        </w:rPr>
        <w:instrText xml:space="preserve"> PAGEREF _Toc495652732 \h </w:instrText>
      </w:r>
      <w:r>
        <w:rPr>
          <w:noProof/>
        </w:rPr>
      </w:r>
      <w:r>
        <w:rPr>
          <w:noProof/>
        </w:rPr>
        <w:fldChar w:fldCharType="separate"/>
      </w:r>
      <w:r w:rsidR="00766D30">
        <w:rPr>
          <w:noProof/>
        </w:rPr>
        <w:t>162</w:t>
      </w:r>
      <w:r>
        <w:rPr>
          <w:noProof/>
        </w:rPr>
        <w:fldChar w:fldCharType="end"/>
      </w:r>
    </w:p>
    <w:p w14:paraId="38D4F615" w14:textId="77777777" w:rsidR="00E25764" w:rsidRDefault="00E25764">
      <w:pPr>
        <w:pStyle w:val="TOC5"/>
        <w:rPr>
          <w:rFonts w:asciiTheme="minorHAnsi" w:eastAsiaTheme="minorEastAsia" w:hAnsiTheme="minorHAnsi" w:cstheme="minorBidi"/>
          <w:noProof/>
          <w:sz w:val="22"/>
          <w:szCs w:val="22"/>
          <w:lang w:eastAsia="en-AU"/>
        </w:rPr>
      </w:pPr>
      <w:r>
        <w:rPr>
          <w:noProof/>
        </w:rPr>
        <w:t>2.48A  Method 1—estimating emissions of carbon dioxide using an estimated oxidation factor</w:t>
      </w:r>
      <w:r>
        <w:rPr>
          <w:noProof/>
        </w:rPr>
        <w:tab/>
      </w:r>
      <w:r>
        <w:rPr>
          <w:noProof/>
        </w:rPr>
        <w:fldChar w:fldCharType="begin"/>
      </w:r>
      <w:r>
        <w:rPr>
          <w:noProof/>
        </w:rPr>
        <w:instrText xml:space="preserve"> PAGEREF _Toc495652733 \h </w:instrText>
      </w:r>
      <w:r>
        <w:rPr>
          <w:noProof/>
        </w:rPr>
      </w:r>
      <w:r>
        <w:rPr>
          <w:noProof/>
        </w:rPr>
        <w:fldChar w:fldCharType="separate"/>
      </w:r>
      <w:r w:rsidR="00766D30">
        <w:rPr>
          <w:noProof/>
        </w:rPr>
        <w:t>163</w:t>
      </w:r>
      <w:r>
        <w:rPr>
          <w:noProof/>
        </w:rPr>
        <w:fldChar w:fldCharType="end"/>
      </w:r>
    </w:p>
    <w:p w14:paraId="5CF15034" w14:textId="77777777" w:rsidR="00E25764" w:rsidRDefault="00E25764">
      <w:pPr>
        <w:pStyle w:val="TOC5"/>
        <w:rPr>
          <w:rFonts w:asciiTheme="minorHAnsi" w:eastAsiaTheme="minorEastAsia" w:hAnsiTheme="minorHAnsi" w:cstheme="minorBidi"/>
          <w:noProof/>
          <w:sz w:val="22"/>
          <w:szCs w:val="22"/>
          <w:lang w:eastAsia="en-AU"/>
        </w:rPr>
      </w:pPr>
      <w:r>
        <w:rPr>
          <w:noProof/>
        </w:rPr>
        <w:t>2.48B  Method 2—estimating emissions of carbon dioxide using an estimated oxidation factor</w:t>
      </w:r>
      <w:r>
        <w:rPr>
          <w:noProof/>
        </w:rPr>
        <w:tab/>
      </w:r>
      <w:r>
        <w:rPr>
          <w:noProof/>
        </w:rPr>
        <w:fldChar w:fldCharType="begin"/>
      </w:r>
      <w:r>
        <w:rPr>
          <w:noProof/>
        </w:rPr>
        <w:instrText xml:space="preserve"> PAGEREF _Toc495652734 \h </w:instrText>
      </w:r>
      <w:r>
        <w:rPr>
          <w:noProof/>
        </w:rPr>
      </w:r>
      <w:r>
        <w:rPr>
          <w:noProof/>
        </w:rPr>
        <w:fldChar w:fldCharType="separate"/>
      </w:r>
      <w:r w:rsidR="00766D30">
        <w:rPr>
          <w:noProof/>
        </w:rPr>
        <w:t>164</w:t>
      </w:r>
      <w:r>
        <w:rPr>
          <w:noProof/>
        </w:rPr>
        <w:fldChar w:fldCharType="end"/>
      </w:r>
    </w:p>
    <w:p w14:paraId="309ECD28" w14:textId="77777777" w:rsidR="00E25764" w:rsidRDefault="00E25764">
      <w:pPr>
        <w:pStyle w:val="TOC5"/>
        <w:rPr>
          <w:rFonts w:asciiTheme="minorHAnsi" w:eastAsiaTheme="minorEastAsia" w:hAnsiTheme="minorHAnsi" w:cstheme="minorBidi"/>
          <w:noProof/>
          <w:sz w:val="22"/>
          <w:szCs w:val="22"/>
          <w:lang w:eastAsia="en-AU"/>
        </w:rPr>
      </w:pPr>
      <w:r>
        <w:rPr>
          <w:noProof/>
        </w:rPr>
        <w:lastRenderedPageBreak/>
        <w:t>2.48C  Method 3—estimating emissions of carbon dioxide using an estimated oxidation factor</w:t>
      </w:r>
      <w:r>
        <w:rPr>
          <w:noProof/>
        </w:rPr>
        <w:tab/>
      </w:r>
      <w:r>
        <w:rPr>
          <w:noProof/>
        </w:rPr>
        <w:fldChar w:fldCharType="begin"/>
      </w:r>
      <w:r>
        <w:rPr>
          <w:noProof/>
        </w:rPr>
        <w:instrText xml:space="preserve"> PAGEREF _Toc495652735 \h </w:instrText>
      </w:r>
      <w:r>
        <w:rPr>
          <w:noProof/>
        </w:rPr>
      </w:r>
      <w:r>
        <w:rPr>
          <w:noProof/>
        </w:rPr>
        <w:fldChar w:fldCharType="separate"/>
      </w:r>
      <w:r w:rsidR="00766D30">
        <w:rPr>
          <w:noProof/>
        </w:rPr>
        <w:t>164</w:t>
      </w:r>
      <w:r>
        <w:rPr>
          <w:noProof/>
        </w:rPr>
        <w:fldChar w:fldCharType="end"/>
      </w:r>
    </w:p>
    <w:p w14:paraId="57315172"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2.4.6—Measurement of quantity of liquid fuels</w:t>
      </w:r>
      <w:r>
        <w:rPr>
          <w:noProof/>
        </w:rPr>
        <w:tab/>
      </w:r>
      <w:r>
        <w:rPr>
          <w:noProof/>
        </w:rPr>
        <w:fldChar w:fldCharType="begin"/>
      </w:r>
      <w:r>
        <w:rPr>
          <w:noProof/>
        </w:rPr>
        <w:instrText xml:space="preserve"> PAGEREF _Toc495652736 \h </w:instrText>
      </w:r>
      <w:r>
        <w:rPr>
          <w:noProof/>
        </w:rPr>
      </w:r>
      <w:r>
        <w:rPr>
          <w:noProof/>
        </w:rPr>
        <w:fldChar w:fldCharType="separate"/>
      </w:r>
      <w:r w:rsidR="00766D30">
        <w:rPr>
          <w:noProof/>
        </w:rPr>
        <w:t>165</w:t>
      </w:r>
      <w:r>
        <w:rPr>
          <w:noProof/>
        </w:rPr>
        <w:fldChar w:fldCharType="end"/>
      </w:r>
    </w:p>
    <w:p w14:paraId="1A0E5B0F" w14:textId="77777777" w:rsidR="00E25764" w:rsidRDefault="00E25764">
      <w:pPr>
        <w:pStyle w:val="TOC5"/>
        <w:rPr>
          <w:rFonts w:asciiTheme="minorHAnsi" w:eastAsiaTheme="minorEastAsia" w:hAnsiTheme="minorHAnsi" w:cstheme="minorBidi"/>
          <w:noProof/>
          <w:sz w:val="22"/>
          <w:szCs w:val="22"/>
          <w:lang w:eastAsia="en-AU"/>
        </w:rPr>
      </w:pPr>
      <w:r>
        <w:rPr>
          <w:noProof/>
        </w:rPr>
        <w:t>2.49  Purpose of Division</w:t>
      </w:r>
      <w:r>
        <w:rPr>
          <w:noProof/>
        </w:rPr>
        <w:tab/>
      </w:r>
      <w:r>
        <w:rPr>
          <w:noProof/>
        </w:rPr>
        <w:fldChar w:fldCharType="begin"/>
      </w:r>
      <w:r>
        <w:rPr>
          <w:noProof/>
        </w:rPr>
        <w:instrText xml:space="preserve"> PAGEREF _Toc495652737 \h </w:instrText>
      </w:r>
      <w:r>
        <w:rPr>
          <w:noProof/>
        </w:rPr>
      </w:r>
      <w:r>
        <w:rPr>
          <w:noProof/>
        </w:rPr>
        <w:fldChar w:fldCharType="separate"/>
      </w:r>
      <w:r w:rsidR="00766D30">
        <w:rPr>
          <w:noProof/>
        </w:rPr>
        <w:t>165</w:t>
      </w:r>
      <w:r>
        <w:rPr>
          <w:noProof/>
        </w:rPr>
        <w:fldChar w:fldCharType="end"/>
      </w:r>
    </w:p>
    <w:p w14:paraId="33C7FD5B" w14:textId="77777777" w:rsidR="00E25764" w:rsidRDefault="00E25764">
      <w:pPr>
        <w:pStyle w:val="TOC5"/>
        <w:rPr>
          <w:rFonts w:asciiTheme="minorHAnsi" w:eastAsiaTheme="minorEastAsia" w:hAnsiTheme="minorHAnsi" w:cstheme="minorBidi"/>
          <w:noProof/>
          <w:sz w:val="22"/>
          <w:szCs w:val="22"/>
          <w:lang w:eastAsia="en-AU"/>
        </w:rPr>
      </w:pPr>
      <w:r>
        <w:rPr>
          <w:noProof/>
        </w:rPr>
        <w:t>2.50  Criteria for measurement</w:t>
      </w:r>
      <w:r>
        <w:rPr>
          <w:noProof/>
        </w:rPr>
        <w:tab/>
      </w:r>
      <w:r>
        <w:rPr>
          <w:noProof/>
        </w:rPr>
        <w:fldChar w:fldCharType="begin"/>
      </w:r>
      <w:r>
        <w:rPr>
          <w:noProof/>
        </w:rPr>
        <w:instrText xml:space="preserve"> PAGEREF _Toc495652738 \h </w:instrText>
      </w:r>
      <w:r>
        <w:rPr>
          <w:noProof/>
        </w:rPr>
      </w:r>
      <w:r>
        <w:rPr>
          <w:noProof/>
        </w:rPr>
        <w:fldChar w:fldCharType="separate"/>
      </w:r>
      <w:r w:rsidR="00766D30">
        <w:rPr>
          <w:noProof/>
        </w:rPr>
        <w:t>166</w:t>
      </w:r>
      <w:r>
        <w:rPr>
          <w:noProof/>
        </w:rPr>
        <w:fldChar w:fldCharType="end"/>
      </w:r>
    </w:p>
    <w:p w14:paraId="1A4F5AA9" w14:textId="77777777" w:rsidR="00E25764" w:rsidRDefault="00E25764">
      <w:pPr>
        <w:pStyle w:val="TOC5"/>
        <w:rPr>
          <w:rFonts w:asciiTheme="minorHAnsi" w:eastAsiaTheme="minorEastAsia" w:hAnsiTheme="minorHAnsi" w:cstheme="minorBidi"/>
          <w:noProof/>
          <w:sz w:val="22"/>
          <w:szCs w:val="22"/>
          <w:lang w:eastAsia="en-AU"/>
        </w:rPr>
      </w:pPr>
      <w:r>
        <w:rPr>
          <w:noProof/>
        </w:rPr>
        <w:t>2.51  Indirect measurement—criterion AA</w:t>
      </w:r>
      <w:r>
        <w:rPr>
          <w:noProof/>
        </w:rPr>
        <w:tab/>
      </w:r>
      <w:r>
        <w:rPr>
          <w:noProof/>
        </w:rPr>
        <w:fldChar w:fldCharType="begin"/>
      </w:r>
      <w:r>
        <w:rPr>
          <w:noProof/>
        </w:rPr>
        <w:instrText xml:space="preserve"> PAGEREF _Toc495652739 \h </w:instrText>
      </w:r>
      <w:r>
        <w:rPr>
          <w:noProof/>
        </w:rPr>
      </w:r>
      <w:r>
        <w:rPr>
          <w:noProof/>
        </w:rPr>
        <w:fldChar w:fldCharType="separate"/>
      </w:r>
      <w:r w:rsidR="00766D30">
        <w:rPr>
          <w:noProof/>
        </w:rPr>
        <w:t>167</w:t>
      </w:r>
      <w:r>
        <w:rPr>
          <w:noProof/>
        </w:rPr>
        <w:fldChar w:fldCharType="end"/>
      </w:r>
    </w:p>
    <w:p w14:paraId="7155CD9F" w14:textId="77777777" w:rsidR="00E25764" w:rsidRDefault="00E25764">
      <w:pPr>
        <w:pStyle w:val="TOC5"/>
        <w:rPr>
          <w:rFonts w:asciiTheme="minorHAnsi" w:eastAsiaTheme="minorEastAsia" w:hAnsiTheme="minorHAnsi" w:cstheme="minorBidi"/>
          <w:noProof/>
          <w:sz w:val="22"/>
          <w:szCs w:val="22"/>
          <w:lang w:eastAsia="en-AU"/>
        </w:rPr>
      </w:pPr>
      <w:r>
        <w:rPr>
          <w:noProof/>
        </w:rPr>
        <w:t>2.52  Direct measurement—criterion AAA</w:t>
      </w:r>
      <w:r>
        <w:rPr>
          <w:noProof/>
        </w:rPr>
        <w:tab/>
      </w:r>
      <w:r>
        <w:rPr>
          <w:noProof/>
        </w:rPr>
        <w:fldChar w:fldCharType="begin"/>
      </w:r>
      <w:r>
        <w:rPr>
          <w:noProof/>
        </w:rPr>
        <w:instrText xml:space="preserve"> PAGEREF _Toc495652740 \h </w:instrText>
      </w:r>
      <w:r>
        <w:rPr>
          <w:noProof/>
        </w:rPr>
      </w:r>
      <w:r>
        <w:rPr>
          <w:noProof/>
        </w:rPr>
        <w:fldChar w:fldCharType="separate"/>
      </w:r>
      <w:r w:rsidR="00766D30">
        <w:rPr>
          <w:noProof/>
        </w:rPr>
        <w:t>167</w:t>
      </w:r>
      <w:r>
        <w:rPr>
          <w:noProof/>
        </w:rPr>
        <w:fldChar w:fldCharType="end"/>
      </w:r>
    </w:p>
    <w:p w14:paraId="03BE50DD" w14:textId="77777777" w:rsidR="00E25764" w:rsidRDefault="00E25764">
      <w:pPr>
        <w:pStyle w:val="TOC5"/>
        <w:rPr>
          <w:rFonts w:asciiTheme="minorHAnsi" w:eastAsiaTheme="minorEastAsia" w:hAnsiTheme="minorHAnsi" w:cstheme="minorBidi"/>
          <w:noProof/>
          <w:sz w:val="22"/>
          <w:szCs w:val="22"/>
          <w:lang w:eastAsia="en-AU"/>
        </w:rPr>
      </w:pPr>
      <w:r>
        <w:rPr>
          <w:noProof/>
        </w:rPr>
        <w:t>2.53  Simplified consumption measurements—criterion BBB</w:t>
      </w:r>
      <w:r>
        <w:rPr>
          <w:noProof/>
        </w:rPr>
        <w:tab/>
      </w:r>
      <w:r>
        <w:rPr>
          <w:noProof/>
        </w:rPr>
        <w:fldChar w:fldCharType="begin"/>
      </w:r>
      <w:r>
        <w:rPr>
          <w:noProof/>
        </w:rPr>
        <w:instrText xml:space="preserve"> PAGEREF _Toc495652741 \h </w:instrText>
      </w:r>
      <w:r>
        <w:rPr>
          <w:noProof/>
        </w:rPr>
      </w:r>
      <w:r>
        <w:rPr>
          <w:noProof/>
        </w:rPr>
        <w:fldChar w:fldCharType="separate"/>
      </w:r>
      <w:r w:rsidR="00766D30">
        <w:rPr>
          <w:noProof/>
        </w:rPr>
        <w:t>168</w:t>
      </w:r>
      <w:r>
        <w:rPr>
          <w:noProof/>
        </w:rPr>
        <w:fldChar w:fldCharType="end"/>
      </w:r>
    </w:p>
    <w:p w14:paraId="3730EAC1" w14:textId="77777777" w:rsidR="00E25764" w:rsidRDefault="00E25764">
      <w:pPr>
        <w:pStyle w:val="TOC2"/>
        <w:rPr>
          <w:rFonts w:asciiTheme="minorHAnsi" w:eastAsiaTheme="minorEastAsia" w:hAnsiTheme="minorHAnsi" w:cstheme="minorBidi"/>
          <w:b w:val="0"/>
          <w:sz w:val="22"/>
          <w:szCs w:val="22"/>
          <w:lang w:eastAsia="en-AU"/>
        </w:rPr>
      </w:pPr>
      <w:r>
        <w:t>Part 2.5—Emissions released from fuel use by certain industries</w:t>
      </w:r>
      <w:r>
        <w:tab/>
      </w:r>
      <w:r>
        <w:fldChar w:fldCharType="begin"/>
      </w:r>
      <w:r>
        <w:instrText xml:space="preserve"> PAGEREF _Toc495652742 \h </w:instrText>
      </w:r>
      <w:r>
        <w:fldChar w:fldCharType="separate"/>
      </w:r>
      <w:r w:rsidR="00766D30">
        <w:t>169</w:t>
      </w:r>
      <w:r>
        <w:fldChar w:fldCharType="end"/>
      </w:r>
    </w:p>
    <w:p w14:paraId="6AAAB7FE" w14:textId="77777777" w:rsidR="00E25764" w:rsidRDefault="00E25764">
      <w:pPr>
        <w:pStyle w:val="TOC5"/>
        <w:rPr>
          <w:rFonts w:asciiTheme="minorHAnsi" w:eastAsiaTheme="minorEastAsia" w:hAnsiTheme="minorHAnsi" w:cstheme="minorBidi"/>
          <w:noProof/>
          <w:sz w:val="22"/>
          <w:szCs w:val="22"/>
          <w:lang w:eastAsia="en-AU"/>
        </w:rPr>
      </w:pPr>
      <w:r>
        <w:rPr>
          <w:noProof/>
        </w:rPr>
        <w:t>2.54  Application</w:t>
      </w:r>
      <w:r>
        <w:rPr>
          <w:noProof/>
        </w:rPr>
        <w:tab/>
      </w:r>
      <w:r>
        <w:rPr>
          <w:noProof/>
        </w:rPr>
        <w:fldChar w:fldCharType="begin"/>
      </w:r>
      <w:r>
        <w:rPr>
          <w:noProof/>
        </w:rPr>
        <w:instrText xml:space="preserve"> PAGEREF _Toc495652743 \h </w:instrText>
      </w:r>
      <w:r>
        <w:rPr>
          <w:noProof/>
        </w:rPr>
      </w:r>
      <w:r>
        <w:rPr>
          <w:noProof/>
        </w:rPr>
        <w:fldChar w:fldCharType="separate"/>
      </w:r>
      <w:r w:rsidR="00766D30">
        <w:rPr>
          <w:noProof/>
        </w:rPr>
        <w:t>169</w:t>
      </w:r>
      <w:r>
        <w:rPr>
          <w:noProof/>
        </w:rPr>
        <w:fldChar w:fldCharType="end"/>
      </w:r>
    </w:p>
    <w:p w14:paraId="326168DC" w14:textId="77777777" w:rsidR="00E25764" w:rsidRDefault="00E25764">
      <w:pPr>
        <w:pStyle w:val="TOC5"/>
        <w:rPr>
          <w:rFonts w:asciiTheme="minorHAnsi" w:eastAsiaTheme="minorEastAsia" w:hAnsiTheme="minorHAnsi" w:cstheme="minorBidi"/>
          <w:noProof/>
          <w:sz w:val="22"/>
          <w:szCs w:val="22"/>
          <w:lang w:eastAsia="en-AU"/>
        </w:rPr>
      </w:pPr>
      <w:r>
        <w:rPr>
          <w:noProof/>
        </w:rPr>
        <w:t>2.55  Application</w:t>
      </w:r>
      <w:r>
        <w:rPr>
          <w:noProof/>
        </w:rPr>
        <w:tab/>
      </w:r>
      <w:r>
        <w:rPr>
          <w:noProof/>
        </w:rPr>
        <w:fldChar w:fldCharType="begin"/>
      </w:r>
      <w:r>
        <w:rPr>
          <w:noProof/>
        </w:rPr>
        <w:instrText xml:space="preserve"> PAGEREF _Toc495652744 \h </w:instrText>
      </w:r>
      <w:r>
        <w:rPr>
          <w:noProof/>
        </w:rPr>
      </w:r>
      <w:r>
        <w:rPr>
          <w:noProof/>
        </w:rPr>
        <w:fldChar w:fldCharType="separate"/>
      </w:r>
      <w:r w:rsidR="00766D30">
        <w:rPr>
          <w:noProof/>
        </w:rPr>
        <w:t>169</w:t>
      </w:r>
      <w:r>
        <w:rPr>
          <w:noProof/>
        </w:rPr>
        <w:fldChar w:fldCharType="end"/>
      </w:r>
    </w:p>
    <w:p w14:paraId="5E0094BD" w14:textId="77777777" w:rsidR="00E25764" w:rsidRDefault="00E25764">
      <w:pPr>
        <w:pStyle w:val="TOC5"/>
        <w:rPr>
          <w:rFonts w:asciiTheme="minorHAnsi" w:eastAsiaTheme="minorEastAsia" w:hAnsiTheme="minorHAnsi" w:cstheme="minorBidi"/>
          <w:noProof/>
          <w:sz w:val="22"/>
          <w:szCs w:val="22"/>
          <w:lang w:eastAsia="en-AU"/>
        </w:rPr>
      </w:pPr>
      <w:r>
        <w:rPr>
          <w:noProof/>
        </w:rPr>
        <w:t>2.56  Methods</w:t>
      </w:r>
      <w:r>
        <w:rPr>
          <w:noProof/>
        </w:rPr>
        <w:tab/>
      </w:r>
      <w:r>
        <w:rPr>
          <w:noProof/>
        </w:rPr>
        <w:fldChar w:fldCharType="begin"/>
      </w:r>
      <w:r>
        <w:rPr>
          <w:noProof/>
        </w:rPr>
        <w:instrText xml:space="preserve"> PAGEREF _Toc495652745 \h </w:instrText>
      </w:r>
      <w:r>
        <w:rPr>
          <w:noProof/>
        </w:rPr>
      </w:r>
      <w:r>
        <w:rPr>
          <w:noProof/>
        </w:rPr>
        <w:fldChar w:fldCharType="separate"/>
      </w:r>
      <w:r w:rsidR="00766D30">
        <w:rPr>
          <w:noProof/>
        </w:rPr>
        <w:t>169</w:t>
      </w:r>
      <w:r>
        <w:rPr>
          <w:noProof/>
        </w:rPr>
        <w:fldChar w:fldCharType="end"/>
      </w:r>
    </w:p>
    <w:p w14:paraId="5757082D" w14:textId="77777777" w:rsidR="00E25764" w:rsidRDefault="00E25764">
      <w:pPr>
        <w:pStyle w:val="TOC5"/>
        <w:rPr>
          <w:rFonts w:asciiTheme="minorHAnsi" w:eastAsiaTheme="minorEastAsia" w:hAnsiTheme="minorHAnsi" w:cstheme="minorBidi"/>
          <w:noProof/>
          <w:sz w:val="22"/>
          <w:szCs w:val="22"/>
          <w:lang w:eastAsia="en-AU"/>
        </w:rPr>
      </w:pPr>
      <w:r>
        <w:rPr>
          <w:noProof/>
        </w:rPr>
        <w:t>2.57  Application</w:t>
      </w:r>
      <w:r>
        <w:rPr>
          <w:noProof/>
        </w:rPr>
        <w:tab/>
      </w:r>
      <w:r>
        <w:rPr>
          <w:noProof/>
        </w:rPr>
        <w:fldChar w:fldCharType="begin"/>
      </w:r>
      <w:r>
        <w:rPr>
          <w:noProof/>
        </w:rPr>
        <w:instrText xml:space="preserve"> PAGEREF _Toc495652746 \h </w:instrText>
      </w:r>
      <w:r>
        <w:rPr>
          <w:noProof/>
        </w:rPr>
      </w:r>
      <w:r>
        <w:rPr>
          <w:noProof/>
        </w:rPr>
        <w:fldChar w:fldCharType="separate"/>
      </w:r>
      <w:r w:rsidR="00766D30">
        <w:rPr>
          <w:noProof/>
        </w:rPr>
        <w:t>169</w:t>
      </w:r>
      <w:r>
        <w:rPr>
          <w:noProof/>
        </w:rPr>
        <w:fldChar w:fldCharType="end"/>
      </w:r>
    </w:p>
    <w:p w14:paraId="40E1874E" w14:textId="77777777" w:rsidR="00E25764" w:rsidRDefault="00E25764">
      <w:pPr>
        <w:pStyle w:val="TOC5"/>
        <w:rPr>
          <w:rFonts w:asciiTheme="minorHAnsi" w:eastAsiaTheme="minorEastAsia" w:hAnsiTheme="minorHAnsi" w:cstheme="minorBidi"/>
          <w:noProof/>
          <w:sz w:val="22"/>
          <w:szCs w:val="22"/>
          <w:lang w:eastAsia="en-AU"/>
        </w:rPr>
      </w:pPr>
      <w:r>
        <w:rPr>
          <w:noProof/>
        </w:rPr>
        <w:t>2.58  Methods</w:t>
      </w:r>
      <w:r>
        <w:rPr>
          <w:noProof/>
        </w:rPr>
        <w:tab/>
      </w:r>
      <w:r>
        <w:rPr>
          <w:noProof/>
        </w:rPr>
        <w:fldChar w:fldCharType="begin"/>
      </w:r>
      <w:r>
        <w:rPr>
          <w:noProof/>
        </w:rPr>
        <w:instrText xml:space="preserve"> PAGEREF _Toc495652747 \h </w:instrText>
      </w:r>
      <w:r>
        <w:rPr>
          <w:noProof/>
        </w:rPr>
      </w:r>
      <w:r>
        <w:rPr>
          <w:noProof/>
        </w:rPr>
        <w:fldChar w:fldCharType="separate"/>
      </w:r>
      <w:r w:rsidR="00766D30">
        <w:rPr>
          <w:noProof/>
        </w:rPr>
        <w:t>169</w:t>
      </w:r>
      <w:r>
        <w:rPr>
          <w:noProof/>
        </w:rPr>
        <w:fldChar w:fldCharType="end"/>
      </w:r>
    </w:p>
    <w:p w14:paraId="271096D3"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2.5.3—Energy—petrochemical production</w:t>
      </w:r>
      <w:r>
        <w:rPr>
          <w:noProof/>
        </w:rPr>
        <w:tab/>
      </w:r>
      <w:r>
        <w:rPr>
          <w:noProof/>
        </w:rPr>
        <w:fldChar w:fldCharType="begin"/>
      </w:r>
      <w:r>
        <w:rPr>
          <w:noProof/>
        </w:rPr>
        <w:instrText xml:space="preserve"> PAGEREF _Toc495652748 \h </w:instrText>
      </w:r>
      <w:r>
        <w:rPr>
          <w:noProof/>
        </w:rPr>
      </w:r>
      <w:r>
        <w:rPr>
          <w:noProof/>
        </w:rPr>
        <w:fldChar w:fldCharType="separate"/>
      </w:r>
      <w:r w:rsidR="00766D30">
        <w:rPr>
          <w:noProof/>
        </w:rPr>
        <w:t>180</w:t>
      </w:r>
      <w:r>
        <w:rPr>
          <w:noProof/>
        </w:rPr>
        <w:fldChar w:fldCharType="end"/>
      </w:r>
    </w:p>
    <w:p w14:paraId="4276EE2D" w14:textId="77777777" w:rsidR="00E25764" w:rsidRDefault="00E25764">
      <w:pPr>
        <w:pStyle w:val="TOC5"/>
        <w:rPr>
          <w:rFonts w:asciiTheme="minorHAnsi" w:eastAsiaTheme="minorEastAsia" w:hAnsiTheme="minorHAnsi" w:cstheme="minorBidi"/>
          <w:noProof/>
          <w:sz w:val="22"/>
          <w:szCs w:val="22"/>
          <w:lang w:eastAsia="en-AU"/>
        </w:rPr>
      </w:pPr>
      <w:r>
        <w:rPr>
          <w:noProof/>
        </w:rPr>
        <w:t>2.59  Application</w:t>
      </w:r>
      <w:r>
        <w:rPr>
          <w:noProof/>
        </w:rPr>
        <w:tab/>
      </w:r>
      <w:r>
        <w:rPr>
          <w:noProof/>
        </w:rPr>
        <w:fldChar w:fldCharType="begin"/>
      </w:r>
      <w:r>
        <w:rPr>
          <w:noProof/>
        </w:rPr>
        <w:instrText xml:space="preserve"> PAGEREF _Toc495652749 \h </w:instrText>
      </w:r>
      <w:r>
        <w:rPr>
          <w:noProof/>
        </w:rPr>
      </w:r>
      <w:r>
        <w:rPr>
          <w:noProof/>
        </w:rPr>
        <w:fldChar w:fldCharType="separate"/>
      </w:r>
      <w:r w:rsidR="00766D30">
        <w:rPr>
          <w:noProof/>
        </w:rPr>
        <w:t>180</w:t>
      </w:r>
      <w:r>
        <w:rPr>
          <w:noProof/>
        </w:rPr>
        <w:fldChar w:fldCharType="end"/>
      </w:r>
    </w:p>
    <w:p w14:paraId="679BFFCC" w14:textId="77777777" w:rsidR="00E25764" w:rsidRDefault="00E25764">
      <w:pPr>
        <w:pStyle w:val="TOC5"/>
        <w:rPr>
          <w:rFonts w:asciiTheme="minorHAnsi" w:eastAsiaTheme="minorEastAsia" w:hAnsiTheme="minorHAnsi" w:cstheme="minorBidi"/>
          <w:noProof/>
          <w:sz w:val="22"/>
          <w:szCs w:val="22"/>
          <w:lang w:eastAsia="en-AU"/>
        </w:rPr>
      </w:pPr>
      <w:r>
        <w:rPr>
          <w:noProof/>
        </w:rPr>
        <w:t>2.60  Available methods</w:t>
      </w:r>
      <w:r>
        <w:rPr>
          <w:noProof/>
        </w:rPr>
        <w:tab/>
      </w:r>
      <w:r>
        <w:rPr>
          <w:noProof/>
        </w:rPr>
        <w:fldChar w:fldCharType="begin"/>
      </w:r>
      <w:r>
        <w:rPr>
          <w:noProof/>
        </w:rPr>
        <w:instrText xml:space="preserve"> PAGEREF _Toc495652750 \h </w:instrText>
      </w:r>
      <w:r>
        <w:rPr>
          <w:noProof/>
        </w:rPr>
      </w:r>
      <w:r>
        <w:rPr>
          <w:noProof/>
        </w:rPr>
        <w:fldChar w:fldCharType="separate"/>
      </w:r>
      <w:r w:rsidR="00766D30">
        <w:rPr>
          <w:noProof/>
        </w:rPr>
        <w:t>180</w:t>
      </w:r>
      <w:r>
        <w:rPr>
          <w:noProof/>
        </w:rPr>
        <w:fldChar w:fldCharType="end"/>
      </w:r>
    </w:p>
    <w:p w14:paraId="66B131F0" w14:textId="77777777" w:rsidR="00E25764" w:rsidRDefault="00E25764">
      <w:pPr>
        <w:pStyle w:val="TOC5"/>
        <w:rPr>
          <w:rFonts w:asciiTheme="minorHAnsi" w:eastAsiaTheme="minorEastAsia" w:hAnsiTheme="minorHAnsi" w:cstheme="minorBidi"/>
          <w:noProof/>
          <w:sz w:val="22"/>
          <w:szCs w:val="22"/>
          <w:lang w:eastAsia="en-AU"/>
        </w:rPr>
      </w:pPr>
      <w:r>
        <w:rPr>
          <w:noProof/>
        </w:rPr>
        <w:t>2.61  Method 1—petrochemical production</w:t>
      </w:r>
      <w:r>
        <w:rPr>
          <w:noProof/>
        </w:rPr>
        <w:tab/>
      </w:r>
      <w:r>
        <w:rPr>
          <w:noProof/>
        </w:rPr>
        <w:fldChar w:fldCharType="begin"/>
      </w:r>
      <w:r>
        <w:rPr>
          <w:noProof/>
        </w:rPr>
        <w:instrText xml:space="preserve"> PAGEREF _Toc495652751 \h </w:instrText>
      </w:r>
      <w:r>
        <w:rPr>
          <w:noProof/>
        </w:rPr>
      </w:r>
      <w:r>
        <w:rPr>
          <w:noProof/>
        </w:rPr>
        <w:fldChar w:fldCharType="separate"/>
      </w:r>
      <w:r w:rsidR="00766D30">
        <w:rPr>
          <w:noProof/>
        </w:rPr>
        <w:t>180</w:t>
      </w:r>
      <w:r>
        <w:rPr>
          <w:noProof/>
        </w:rPr>
        <w:fldChar w:fldCharType="end"/>
      </w:r>
    </w:p>
    <w:p w14:paraId="36D5B58E" w14:textId="77777777" w:rsidR="00E25764" w:rsidRDefault="00E25764">
      <w:pPr>
        <w:pStyle w:val="TOC5"/>
        <w:rPr>
          <w:rFonts w:asciiTheme="minorHAnsi" w:eastAsiaTheme="minorEastAsia" w:hAnsiTheme="minorHAnsi" w:cstheme="minorBidi"/>
          <w:noProof/>
          <w:sz w:val="22"/>
          <w:szCs w:val="22"/>
          <w:lang w:eastAsia="en-AU"/>
        </w:rPr>
      </w:pPr>
      <w:r>
        <w:rPr>
          <w:noProof/>
        </w:rPr>
        <w:t>2.62  Method 2—petrochemical production</w:t>
      </w:r>
      <w:r>
        <w:rPr>
          <w:noProof/>
        </w:rPr>
        <w:tab/>
      </w:r>
      <w:r>
        <w:rPr>
          <w:noProof/>
        </w:rPr>
        <w:fldChar w:fldCharType="begin"/>
      </w:r>
      <w:r>
        <w:rPr>
          <w:noProof/>
        </w:rPr>
        <w:instrText xml:space="preserve"> PAGEREF _Toc495652752 \h </w:instrText>
      </w:r>
      <w:r>
        <w:rPr>
          <w:noProof/>
        </w:rPr>
      </w:r>
      <w:r>
        <w:rPr>
          <w:noProof/>
        </w:rPr>
        <w:fldChar w:fldCharType="separate"/>
      </w:r>
      <w:r w:rsidR="00766D30">
        <w:rPr>
          <w:noProof/>
        </w:rPr>
        <w:t>182</w:t>
      </w:r>
      <w:r>
        <w:rPr>
          <w:noProof/>
        </w:rPr>
        <w:fldChar w:fldCharType="end"/>
      </w:r>
    </w:p>
    <w:p w14:paraId="3FA2DB9B" w14:textId="77777777" w:rsidR="00E25764" w:rsidRDefault="00E25764">
      <w:pPr>
        <w:pStyle w:val="TOC5"/>
        <w:rPr>
          <w:rFonts w:asciiTheme="minorHAnsi" w:eastAsiaTheme="minorEastAsia" w:hAnsiTheme="minorHAnsi" w:cstheme="minorBidi"/>
          <w:noProof/>
          <w:sz w:val="22"/>
          <w:szCs w:val="22"/>
          <w:lang w:eastAsia="en-AU"/>
        </w:rPr>
      </w:pPr>
      <w:r>
        <w:rPr>
          <w:noProof/>
        </w:rPr>
        <w:t>2.63  Method 3—petrochemical production</w:t>
      </w:r>
      <w:r>
        <w:rPr>
          <w:noProof/>
        </w:rPr>
        <w:tab/>
      </w:r>
      <w:r>
        <w:rPr>
          <w:noProof/>
        </w:rPr>
        <w:fldChar w:fldCharType="begin"/>
      </w:r>
      <w:r>
        <w:rPr>
          <w:noProof/>
        </w:rPr>
        <w:instrText xml:space="preserve"> PAGEREF _Toc495652753 \h </w:instrText>
      </w:r>
      <w:r>
        <w:rPr>
          <w:noProof/>
        </w:rPr>
      </w:r>
      <w:r>
        <w:rPr>
          <w:noProof/>
        </w:rPr>
        <w:fldChar w:fldCharType="separate"/>
      </w:r>
      <w:r w:rsidR="00766D30">
        <w:rPr>
          <w:noProof/>
        </w:rPr>
        <w:t>183</w:t>
      </w:r>
      <w:r>
        <w:rPr>
          <w:noProof/>
        </w:rPr>
        <w:fldChar w:fldCharType="end"/>
      </w:r>
    </w:p>
    <w:p w14:paraId="65CFAD09" w14:textId="77777777" w:rsidR="00E25764" w:rsidRDefault="00E25764">
      <w:pPr>
        <w:pStyle w:val="TOC2"/>
        <w:rPr>
          <w:rFonts w:asciiTheme="minorHAnsi" w:eastAsiaTheme="minorEastAsia" w:hAnsiTheme="minorHAnsi" w:cstheme="minorBidi"/>
          <w:b w:val="0"/>
          <w:sz w:val="22"/>
          <w:szCs w:val="22"/>
          <w:lang w:eastAsia="en-AU"/>
        </w:rPr>
      </w:pPr>
      <w:r>
        <w:t>Part 2.6—Blended fuels</w:t>
      </w:r>
      <w:r>
        <w:tab/>
      </w:r>
      <w:r>
        <w:fldChar w:fldCharType="begin"/>
      </w:r>
      <w:r>
        <w:instrText xml:space="preserve"> PAGEREF _Toc495652754 \h </w:instrText>
      </w:r>
      <w:r>
        <w:fldChar w:fldCharType="separate"/>
      </w:r>
      <w:r w:rsidR="00766D30">
        <w:t>185</w:t>
      </w:r>
      <w:r>
        <w:fldChar w:fldCharType="end"/>
      </w:r>
    </w:p>
    <w:p w14:paraId="6B2E2967" w14:textId="77777777" w:rsidR="00E25764" w:rsidRDefault="00E25764">
      <w:pPr>
        <w:pStyle w:val="TOC5"/>
        <w:rPr>
          <w:rFonts w:asciiTheme="minorHAnsi" w:eastAsiaTheme="minorEastAsia" w:hAnsiTheme="minorHAnsi" w:cstheme="minorBidi"/>
          <w:noProof/>
          <w:sz w:val="22"/>
          <w:szCs w:val="22"/>
          <w:lang w:eastAsia="en-AU"/>
        </w:rPr>
      </w:pPr>
      <w:r>
        <w:rPr>
          <w:noProof/>
        </w:rPr>
        <w:t>2.64  Purpose</w:t>
      </w:r>
      <w:r>
        <w:rPr>
          <w:noProof/>
        </w:rPr>
        <w:tab/>
      </w:r>
      <w:r>
        <w:rPr>
          <w:noProof/>
        </w:rPr>
        <w:fldChar w:fldCharType="begin"/>
      </w:r>
      <w:r>
        <w:rPr>
          <w:noProof/>
        </w:rPr>
        <w:instrText xml:space="preserve"> PAGEREF _Toc495652755 \h </w:instrText>
      </w:r>
      <w:r>
        <w:rPr>
          <w:noProof/>
        </w:rPr>
      </w:r>
      <w:r>
        <w:rPr>
          <w:noProof/>
        </w:rPr>
        <w:fldChar w:fldCharType="separate"/>
      </w:r>
      <w:r w:rsidR="00766D30">
        <w:rPr>
          <w:noProof/>
        </w:rPr>
        <w:t>185</w:t>
      </w:r>
      <w:r>
        <w:rPr>
          <w:noProof/>
        </w:rPr>
        <w:fldChar w:fldCharType="end"/>
      </w:r>
    </w:p>
    <w:p w14:paraId="64F74D46" w14:textId="77777777" w:rsidR="00E25764" w:rsidRDefault="00E25764">
      <w:pPr>
        <w:pStyle w:val="TOC5"/>
        <w:rPr>
          <w:rFonts w:asciiTheme="minorHAnsi" w:eastAsiaTheme="minorEastAsia" w:hAnsiTheme="minorHAnsi" w:cstheme="minorBidi"/>
          <w:noProof/>
          <w:sz w:val="22"/>
          <w:szCs w:val="22"/>
          <w:lang w:eastAsia="en-AU"/>
        </w:rPr>
      </w:pPr>
      <w:r>
        <w:rPr>
          <w:noProof/>
        </w:rPr>
        <w:t>2.65  Application</w:t>
      </w:r>
      <w:r>
        <w:rPr>
          <w:noProof/>
        </w:rPr>
        <w:tab/>
      </w:r>
      <w:r>
        <w:rPr>
          <w:noProof/>
        </w:rPr>
        <w:fldChar w:fldCharType="begin"/>
      </w:r>
      <w:r>
        <w:rPr>
          <w:noProof/>
        </w:rPr>
        <w:instrText xml:space="preserve"> PAGEREF _Toc495652756 \h </w:instrText>
      </w:r>
      <w:r>
        <w:rPr>
          <w:noProof/>
        </w:rPr>
      </w:r>
      <w:r>
        <w:rPr>
          <w:noProof/>
        </w:rPr>
        <w:fldChar w:fldCharType="separate"/>
      </w:r>
      <w:r w:rsidR="00766D30">
        <w:rPr>
          <w:noProof/>
        </w:rPr>
        <w:t>185</w:t>
      </w:r>
      <w:r>
        <w:rPr>
          <w:noProof/>
        </w:rPr>
        <w:fldChar w:fldCharType="end"/>
      </w:r>
    </w:p>
    <w:p w14:paraId="7E5C762E" w14:textId="77777777" w:rsidR="00E25764" w:rsidRDefault="00E25764">
      <w:pPr>
        <w:pStyle w:val="TOC5"/>
        <w:rPr>
          <w:rFonts w:asciiTheme="minorHAnsi" w:eastAsiaTheme="minorEastAsia" w:hAnsiTheme="minorHAnsi" w:cstheme="minorBidi"/>
          <w:noProof/>
          <w:sz w:val="22"/>
          <w:szCs w:val="22"/>
          <w:lang w:eastAsia="en-AU"/>
        </w:rPr>
      </w:pPr>
      <w:r>
        <w:rPr>
          <w:noProof/>
        </w:rPr>
        <w:t>2.66  Blended solid fuels</w:t>
      </w:r>
      <w:r>
        <w:rPr>
          <w:noProof/>
        </w:rPr>
        <w:tab/>
      </w:r>
      <w:r>
        <w:rPr>
          <w:noProof/>
        </w:rPr>
        <w:fldChar w:fldCharType="begin"/>
      </w:r>
      <w:r>
        <w:rPr>
          <w:noProof/>
        </w:rPr>
        <w:instrText xml:space="preserve"> PAGEREF _Toc495652757 \h </w:instrText>
      </w:r>
      <w:r>
        <w:rPr>
          <w:noProof/>
        </w:rPr>
      </w:r>
      <w:r>
        <w:rPr>
          <w:noProof/>
        </w:rPr>
        <w:fldChar w:fldCharType="separate"/>
      </w:r>
      <w:r w:rsidR="00766D30">
        <w:rPr>
          <w:noProof/>
        </w:rPr>
        <w:t>185</w:t>
      </w:r>
      <w:r>
        <w:rPr>
          <w:noProof/>
        </w:rPr>
        <w:fldChar w:fldCharType="end"/>
      </w:r>
    </w:p>
    <w:p w14:paraId="3C2EB74D" w14:textId="77777777" w:rsidR="00E25764" w:rsidRDefault="00E25764">
      <w:pPr>
        <w:pStyle w:val="TOC5"/>
        <w:rPr>
          <w:rFonts w:asciiTheme="minorHAnsi" w:eastAsiaTheme="minorEastAsia" w:hAnsiTheme="minorHAnsi" w:cstheme="minorBidi"/>
          <w:noProof/>
          <w:sz w:val="22"/>
          <w:szCs w:val="22"/>
          <w:lang w:eastAsia="en-AU"/>
        </w:rPr>
      </w:pPr>
      <w:r>
        <w:rPr>
          <w:noProof/>
        </w:rPr>
        <w:t>2.67  Blended liquid fuels</w:t>
      </w:r>
      <w:r>
        <w:rPr>
          <w:noProof/>
        </w:rPr>
        <w:tab/>
      </w:r>
      <w:r>
        <w:rPr>
          <w:noProof/>
        </w:rPr>
        <w:fldChar w:fldCharType="begin"/>
      </w:r>
      <w:r>
        <w:rPr>
          <w:noProof/>
        </w:rPr>
        <w:instrText xml:space="preserve"> PAGEREF _Toc495652758 \h </w:instrText>
      </w:r>
      <w:r>
        <w:rPr>
          <w:noProof/>
        </w:rPr>
      </w:r>
      <w:r>
        <w:rPr>
          <w:noProof/>
        </w:rPr>
        <w:fldChar w:fldCharType="separate"/>
      </w:r>
      <w:r w:rsidR="00766D30">
        <w:rPr>
          <w:noProof/>
        </w:rPr>
        <w:t>185</w:t>
      </w:r>
      <w:r>
        <w:rPr>
          <w:noProof/>
        </w:rPr>
        <w:fldChar w:fldCharType="end"/>
      </w:r>
    </w:p>
    <w:p w14:paraId="673AD0B9" w14:textId="77777777" w:rsidR="00E25764" w:rsidRDefault="00E25764">
      <w:pPr>
        <w:pStyle w:val="TOC2"/>
        <w:rPr>
          <w:rFonts w:asciiTheme="minorHAnsi" w:eastAsiaTheme="minorEastAsia" w:hAnsiTheme="minorHAnsi" w:cstheme="minorBidi"/>
          <w:b w:val="0"/>
          <w:sz w:val="22"/>
          <w:szCs w:val="22"/>
          <w:lang w:eastAsia="en-AU"/>
        </w:rPr>
      </w:pPr>
      <w:r>
        <w:lastRenderedPageBreak/>
        <w:t>Part 2.7—Estimation of energy for certain purposes</w:t>
      </w:r>
      <w:r>
        <w:tab/>
      </w:r>
      <w:r>
        <w:fldChar w:fldCharType="begin"/>
      </w:r>
      <w:r>
        <w:instrText xml:space="preserve"> PAGEREF _Toc495652759 \h </w:instrText>
      </w:r>
      <w:r>
        <w:fldChar w:fldCharType="separate"/>
      </w:r>
      <w:r w:rsidR="00766D30">
        <w:t>188</w:t>
      </w:r>
      <w:r>
        <w:fldChar w:fldCharType="end"/>
      </w:r>
    </w:p>
    <w:p w14:paraId="56663B8C" w14:textId="77777777" w:rsidR="00E25764" w:rsidRDefault="00E25764">
      <w:pPr>
        <w:pStyle w:val="TOC5"/>
        <w:rPr>
          <w:rFonts w:asciiTheme="minorHAnsi" w:eastAsiaTheme="minorEastAsia" w:hAnsiTheme="minorHAnsi" w:cstheme="minorBidi"/>
          <w:noProof/>
          <w:sz w:val="22"/>
          <w:szCs w:val="22"/>
          <w:lang w:eastAsia="en-AU"/>
        </w:rPr>
      </w:pPr>
      <w:r>
        <w:rPr>
          <w:noProof/>
        </w:rPr>
        <w:t>2.68  Amount of energy consumed without combustion</w:t>
      </w:r>
      <w:r>
        <w:rPr>
          <w:noProof/>
        </w:rPr>
        <w:tab/>
      </w:r>
      <w:r>
        <w:rPr>
          <w:noProof/>
        </w:rPr>
        <w:fldChar w:fldCharType="begin"/>
      </w:r>
      <w:r>
        <w:rPr>
          <w:noProof/>
        </w:rPr>
        <w:instrText xml:space="preserve"> PAGEREF _Toc495652760 \h </w:instrText>
      </w:r>
      <w:r>
        <w:rPr>
          <w:noProof/>
        </w:rPr>
      </w:r>
      <w:r>
        <w:rPr>
          <w:noProof/>
        </w:rPr>
        <w:fldChar w:fldCharType="separate"/>
      </w:r>
      <w:r w:rsidR="00766D30">
        <w:rPr>
          <w:noProof/>
        </w:rPr>
        <w:t>188</w:t>
      </w:r>
      <w:r>
        <w:rPr>
          <w:noProof/>
        </w:rPr>
        <w:fldChar w:fldCharType="end"/>
      </w:r>
    </w:p>
    <w:p w14:paraId="2B074ABE" w14:textId="77777777" w:rsidR="00E25764" w:rsidRDefault="00E25764">
      <w:pPr>
        <w:pStyle w:val="TOC5"/>
        <w:rPr>
          <w:rFonts w:asciiTheme="minorHAnsi" w:eastAsiaTheme="minorEastAsia" w:hAnsiTheme="minorHAnsi" w:cstheme="minorBidi"/>
          <w:noProof/>
          <w:sz w:val="22"/>
          <w:szCs w:val="22"/>
          <w:lang w:eastAsia="en-AU"/>
        </w:rPr>
      </w:pPr>
      <w:r>
        <w:rPr>
          <w:noProof/>
        </w:rPr>
        <w:t>2.69  Apportionment of fuel consumed as carbon reductant or feedstock and energy</w:t>
      </w:r>
      <w:r>
        <w:rPr>
          <w:noProof/>
        </w:rPr>
        <w:tab/>
      </w:r>
      <w:r>
        <w:rPr>
          <w:noProof/>
        </w:rPr>
        <w:fldChar w:fldCharType="begin"/>
      </w:r>
      <w:r>
        <w:rPr>
          <w:noProof/>
        </w:rPr>
        <w:instrText xml:space="preserve"> PAGEREF _Toc495652761 \h </w:instrText>
      </w:r>
      <w:r>
        <w:rPr>
          <w:noProof/>
        </w:rPr>
      </w:r>
      <w:r>
        <w:rPr>
          <w:noProof/>
        </w:rPr>
        <w:fldChar w:fldCharType="separate"/>
      </w:r>
      <w:r w:rsidR="00766D30">
        <w:rPr>
          <w:noProof/>
        </w:rPr>
        <w:t>189</w:t>
      </w:r>
      <w:r>
        <w:rPr>
          <w:noProof/>
        </w:rPr>
        <w:fldChar w:fldCharType="end"/>
      </w:r>
    </w:p>
    <w:p w14:paraId="51CB2F8B" w14:textId="77777777" w:rsidR="00E25764" w:rsidRDefault="00E25764">
      <w:pPr>
        <w:pStyle w:val="TOC5"/>
        <w:rPr>
          <w:rFonts w:asciiTheme="minorHAnsi" w:eastAsiaTheme="minorEastAsia" w:hAnsiTheme="minorHAnsi" w:cstheme="minorBidi"/>
          <w:noProof/>
          <w:sz w:val="22"/>
          <w:szCs w:val="22"/>
          <w:lang w:eastAsia="en-AU"/>
        </w:rPr>
      </w:pPr>
      <w:r>
        <w:rPr>
          <w:noProof/>
        </w:rPr>
        <w:t>2.70  Amount of energy consumed in a cogeneration process</w:t>
      </w:r>
      <w:r>
        <w:rPr>
          <w:noProof/>
        </w:rPr>
        <w:tab/>
      </w:r>
      <w:r>
        <w:rPr>
          <w:noProof/>
        </w:rPr>
        <w:fldChar w:fldCharType="begin"/>
      </w:r>
      <w:r>
        <w:rPr>
          <w:noProof/>
        </w:rPr>
        <w:instrText xml:space="preserve"> PAGEREF _Toc495652762 \h </w:instrText>
      </w:r>
      <w:r>
        <w:rPr>
          <w:noProof/>
        </w:rPr>
      </w:r>
      <w:r>
        <w:rPr>
          <w:noProof/>
        </w:rPr>
        <w:fldChar w:fldCharType="separate"/>
      </w:r>
      <w:r w:rsidR="00766D30">
        <w:rPr>
          <w:noProof/>
        </w:rPr>
        <w:t>190</w:t>
      </w:r>
      <w:r>
        <w:rPr>
          <w:noProof/>
        </w:rPr>
        <w:fldChar w:fldCharType="end"/>
      </w:r>
    </w:p>
    <w:p w14:paraId="7AEBBD23" w14:textId="77777777" w:rsidR="00E25764" w:rsidRDefault="00E25764">
      <w:pPr>
        <w:pStyle w:val="TOC5"/>
        <w:rPr>
          <w:rFonts w:asciiTheme="minorHAnsi" w:eastAsiaTheme="minorEastAsia" w:hAnsiTheme="minorHAnsi" w:cstheme="minorBidi"/>
          <w:noProof/>
          <w:sz w:val="22"/>
          <w:szCs w:val="22"/>
          <w:lang w:eastAsia="en-AU"/>
        </w:rPr>
      </w:pPr>
      <w:r>
        <w:rPr>
          <w:noProof/>
        </w:rPr>
        <w:t>2.71  Apportionment of energy consumed for electricity, transport and for stationary energy</w:t>
      </w:r>
      <w:r>
        <w:rPr>
          <w:noProof/>
        </w:rPr>
        <w:tab/>
      </w:r>
      <w:r>
        <w:rPr>
          <w:noProof/>
        </w:rPr>
        <w:fldChar w:fldCharType="begin"/>
      </w:r>
      <w:r>
        <w:rPr>
          <w:noProof/>
        </w:rPr>
        <w:instrText xml:space="preserve"> PAGEREF _Toc495652763 \h </w:instrText>
      </w:r>
      <w:r>
        <w:rPr>
          <w:noProof/>
        </w:rPr>
      </w:r>
      <w:r>
        <w:rPr>
          <w:noProof/>
        </w:rPr>
        <w:fldChar w:fldCharType="separate"/>
      </w:r>
      <w:r w:rsidR="00766D30">
        <w:rPr>
          <w:noProof/>
        </w:rPr>
        <w:t>191</w:t>
      </w:r>
      <w:r>
        <w:rPr>
          <w:noProof/>
        </w:rPr>
        <w:fldChar w:fldCharType="end"/>
      </w:r>
    </w:p>
    <w:p w14:paraId="40C3D928" w14:textId="77777777" w:rsidR="00E25764" w:rsidRDefault="00E25764">
      <w:pPr>
        <w:pStyle w:val="TOC2"/>
        <w:rPr>
          <w:rFonts w:asciiTheme="minorHAnsi" w:eastAsiaTheme="minorEastAsia" w:hAnsiTheme="minorHAnsi" w:cstheme="minorBidi"/>
          <w:b w:val="0"/>
          <w:sz w:val="22"/>
          <w:szCs w:val="22"/>
          <w:lang w:eastAsia="en-AU"/>
        </w:rPr>
      </w:pPr>
      <w:r>
        <w:t>Appendix 2A</w:t>
      </w:r>
      <w:r>
        <w:rPr>
          <w:rFonts w:asciiTheme="minorHAnsi" w:eastAsiaTheme="minorEastAsia" w:hAnsiTheme="minorHAnsi" w:cstheme="minorBidi"/>
          <w:b w:val="0"/>
          <w:sz w:val="22"/>
          <w:szCs w:val="22"/>
          <w:lang w:eastAsia="en-AU"/>
        </w:rPr>
        <w:tab/>
      </w:r>
      <w:r>
        <w:t>Notes on Energy and Emission Factors</w:t>
      </w:r>
      <w:r>
        <w:tab/>
      </w:r>
      <w:r>
        <w:fldChar w:fldCharType="begin"/>
      </w:r>
      <w:r>
        <w:instrText xml:space="preserve"> PAGEREF _Toc495652764 \h </w:instrText>
      </w:r>
      <w:r>
        <w:fldChar w:fldCharType="separate"/>
      </w:r>
      <w:r w:rsidR="00766D30">
        <w:t>192</w:t>
      </w:r>
      <w:r>
        <w:fldChar w:fldCharType="end"/>
      </w:r>
    </w:p>
    <w:p w14:paraId="346EADAC" w14:textId="77777777" w:rsidR="00E25764" w:rsidRDefault="00E25764">
      <w:pPr>
        <w:pStyle w:val="TOC1"/>
        <w:rPr>
          <w:rFonts w:asciiTheme="minorHAnsi" w:eastAsiaTheme="minorEastAsia" w:hAnsiTheme="minorHAnsi" w:cstheme="minorBidi"/>
          <w:b w:val="0"/>
          <w:noProof/>
          <w:sz w:val="22"/>
          <w:szCs w:val="22"/>
          <w:lang w:eastAsia="en-AU"/>
        </w:rPr>
      </w:pPr>
      <w:r>
        <w:rPr>
          <w:noProof/>
        </w:rPr>
        <w:t>Chapter 3—Fugitive emissions</w:t>
      </w:r>
      <w:r>
        <w:rPr>
          <w:noProof/>
        </w:rPr>
        <w:tab/>
      </w:r>
      <w:r>
        <w:rPr>
          <w:noProof/>
        </w:rPr>
        <w:fldChar w:fldCharType="begin"/>
      </w:r>
      <w:r>
        <w:rPr>
          <w:noProof/>
        </w:rPr>
        <w:instrText xml:space="preserve"> PAGEREF _Toc495652765 \h </w:instrText>
      </w:r>
      <w:r>
        <w:rPr>
          <w:noProof/>
        </w:rPr>
      </w:r>
      <w:r>
        <w:rPr>
          <w:noProof/>
        </w:rPr>
        <w:fldChar w:fldCharType="separate"/>
      </w:r>
      <w:r w:rsidR="00766D30">
        <w:rPr>
          <w:noProof/>
        </w:rPr>
        <w:t>200</w:t>
      </w:r>
      <w:r>
        <w:rPr>
          <w:noProof/>
        </w:rPr>
        <w:fldChar w:fldCharType="end"/>
      </w:r>
    </w:p>
    <w:p w14:paraId="150966AB" w14:textId="77777777" w:rsidR="00E25764" w:rsidRDefault="00E25764">
      <w:pPr>
        <w:pStyle w:val="TOC2"/>
        <w:rPr>
          <w:rFonts w:asciiTheme="minorHAnsi" w:eastAsiaTheme="minorEastAsia" w:hAnsiTheme="minorHAnsi" w:cstheme="minorBidi"/>
          <w:b w:val="0"/>
          <w:sz w:val="22"/>
          <w:szCs w:val="22"/>
          <w:lang w:eastAsia="en-AU"/>
        </w:rPr>
      </w:pPr>
      <w:r>
        <w:t>Part 3.1—Preliminary</w:t>
      </w:r>
      <w:r>
        <w:tab/>
      </w:r>
      <w:r>
        <w:fldChar w:fldCharType="begin"/>
      </w:r>
      <w:r>
        <w:instrText xml:space="preserve"> PAGEREF _Toc495652766 \h </w:instrText>
      </w:r>
      <w:r>
        <w:fldChar w:fldCharType="separate"/>
      </w:r>
      <w:r w:rsidR="00766D30">
        <w:t>200</w:t>
      </w:r>
      <w:r>
        <w:fldChar w:fldCharType="end"/>
      </w:r>
    </w:p>
    <w:p w14:paraId="24B47707" w14:textId="77777777" w:rsidR="00E25764" w:rsidRDefault="00E25764">
      <w:pPr>
        <w:pStyle w:val="TOC5"/>
        <w:rPr>
          <w:rFonts w:asciiTheme="minorHAnsi" w:eastAsiaTheme="minorEastAsia" w:hAnsiTheme="minorHAnsi" w:cstheme="minorBidi"/>
          <w:noProof/>
          <w:sz w:val="22"/>
          <w:szCs w:val="22"/>
          <w:lang w:eastAsia="en-AU"/>
        </w:rPr>
      </w:pPr>
      <w:r>
        <w:rPr>
          <w:noProof/>
        </w:rPr>
        <w:t>3.1  Outline of Chapter</w:t>
      </w:r>
      <w:r>
        <w:rPr>
          <w:noProof/>
        </w:rPr>
        <w:tab/>
      </w:r>
      <w:r>
        <w:rPr>
          <w:noProof/>
        </w:rPr>
        <w:fldChar w:fldCharType="begin"/>
      </w:r>
      <w:r>
        <w:rPr>
          <w:noProof/>
        </w:rPr>
        <w:instrText xml:space="preserve"> PAGEREF _Toc495652767 \h </w:instrText>
      </w:r>
      <w:r>
        <w:rPr>
          <w:noProof/>
        </w:rPr>
      </w:r>
      <w:r>
        <w:rPr>
          <w:noProof/>
        </w:rPr>
        <w:fldChar w:fldCharType="separate"/>
      </w:r>
      <w:r w:rsidR="00766D30">
        <w:rPr>
          <w:noProof/>
        </w:rPr>
        <w:t>200</w:t>
      </w:r>
      <w:r>
        <w:rPr>
          <w:noProof/>
        </w:rPr>
        <w:fldChar w:fldCharType="end"/>
      </w:r>
    </w:p>
    <w:p w14:paraId="3A471744" w14:textId="77777777" w:rsidR="00E25764" w:rsidRDefault="00E25764">
      <w:pPr>
        <w:pStyle w:val="TOC2"/>
        <w:rPr>
          <w:rFonts w:asciiTheme="minorHAnsi" w:eastAsiaTheme="minorEastAsia" w:hAnsiTheme="minorHAnsi" w:cstheme="minorBidi"/>
          <w:b w:val="0"/>
          <w:sz w:val="22"/>
          <w:szCs w:val="22"/>
          <w:lang w:eastAsia="en-AU"/>
        </w:rPr>
      </w:pPr>
      <w:r>
        <w:t>Part 3.2—Coal mining—fugitive emissions</w:t>
      </w:r>
      <w:r>
        <w:tab/>
      </w:r>
      <w:r>
        <w:fldChar w:fldCharType="begin"/>
      </w:r>
      <w:r>
        <w:instrText xml:space="preserve"> PAGEREF _Toc495652768 \h </w:instrText>
      </w:r>
      <w:r>
        <w:fldChar w:fldCharType="separate"/>
      </w:r>
      <w:r w:rsidR="00766D30">
        <w:t>200</w:t>
      </w:r>
      <w:r>
        <w:fldChar w:fldCharType="end"/>
      </w:r>
    </w:p>
    <w:p w14:paraId="54546FBB"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3.2.1—Preliminary</w:t>
      </w:r>
      <w:r>
        <w:rPr>
          <w:noProof/>
        </w:rPr>
        <w:tab/>
      </w:r>
      <w:r>
        <w:rPr>
          <w:noProof/>
        </w:rPr>
        <w:fldChar w:fldCharType="begin"/>
      </w:r>
      <w:r>
        <w:rPr>
          <w:noProof/>
        </w:rPr>
        <w:instrText xml:space="preserve"> PAGEREF _Toc495652769 \h </w:instrText>
      </w:r>
      <w:r>
        <w:rPr>
          <w:noProof/>
        </w:rPr>
      </w:r>
      <w:r>
        <w:rPr>
          <w:noProof/>
        </w:rPr>
        <w:fldChar w:fldCharType="separate"/>
      </w:r>
      <w:r w:rsidR="00766D30">
        <w:rPr>
          <w:noProof/>
        </w:rPr>
        <w:t>200</w:t>
      </w:r>
      <w:r>
        <w:rPr>
          <w:noProof/>
        </w:rPr>
        <w:fldChar w:fldCharType="end"/>
      </w:r>
    </w:p>
    <w:p w14:paraId="464F4594" w14:textId="77777777" w:rsidR="00E25764" w:rsidRDefault="00E25764">
      <w:pPr>
        <w:pStyle w:val="TOC5"/>
        <w:rPr>
          <w:rFonts w:asciiTheme="minorHAnsi" w:eastAsiaTheme="minorEastAsia" w:hAnsiTheme="minorHAnsi" w:cstheme="minorBidi"/>
          <w:noProof/>
          <w:sz w:val="22"/>
          <w:szCs w:val="22"/>
          <w:lang w:eastAsia="en-AU"/>
        </w:rPr>
      </w:pPr>
      <w:r>
        <w:rPr>
          <w:noProof/>
        </w:rPr>
        <w:t>3.2  Outline of Part</w:t>
      </w:r>
      <w:r>
        <w:rPr>
          <w:noProof/>
        </w:rPr>
        <w:tab/>
      </w:r>
      <w:r>
        <w:rPr>
          <w:noProof/>
        </w:rPr>
        <w:fldChar w:fldCharType="begin"/>
      </w:r>
      <w:r>
        <w:rPr>
          <w:noProof/>
        </w:rPr>
        <w:instrText xml:space="preserve"> PAGEREF _Toc495652770 \h </w:instrText>
      </w:r>
      <w:r>
        <w:rPr>
          <w:noProof/>
        </w:rPr>
      </w:r>
      <w:r>
        <w:rPr>
          <w:noProof/>
        </w:rPr>
        <w:fldChar w:fldCharType="separate"/>
      </w:r>
      <w:r w:rsidR="00766D30">
        <w:rPr>
          <w:noProof/>
        </w:rPr>
        <w:t>200</w:t>
      </w:r>
      <w:r>
        <w:rPr>
          <w:noProof/>
        </w:rPr>
        <w:fldChar w:fldCharType="end"/>
      </w:r>
    </w:p>
    <w:p w14:paraId="6A2D2723"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3.2.2—Underground mines</w:t>
      </w:r>
      <w:r>
        <w:rPr>
          <w:noProof/>
        </w:rPr>
        <w:tab/>
      </w:r>
      <w:r>
        <w:rPr>
          <w:noProof/>
        </w:rPr>
        <w:fldChar w:fldCharType="begin"/>
      </w:r>
      <w:r>
        <w:rPr>
          <w:noProof/>
        </w:rPr>
        <w:instrText xml:space="preserve"> PAGEREF _Toc495652771 \h </w:instrText>
      </w:r>
      <w:r>
        <w:rPr>
          <w:noProof/>
        </w:rPr>
      </w:r>
      <w:r>
        <w:rPr>
          <w:noProof/>
        </w:rPr>
        <w:fldChar w:fldCharType="separate"/>
      </w:r>
      <w:r w:rsidR="00766D30">
        <w:rPr>
          <w:noProof/>
        </w:rPr>
        <w:t>201</w:t>
      </w:r>
      <w:r>
        <w:rPr>
          <w:noProof/>
        </w:rPr>
        <w:fldChar w:fldCharType="end"/>
      </w:r>
    </w:p>
    <w:p w14:paraId="61436AE4"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3.2.2.1—Preliminary</w:t>
      </w:r>
      <w:r>
        <w:rPr>
          <w:noProof/>
        </w:rPr>
        <w:tab/>
      </w:r>
      <w:r>
        <w:rPr>
          <w:noProof/>
        </w:rPr>
        <w:fldChar w:fldCharType="begin"/>
      </w:r>
      <w:r>
        <w:rPr>
          <w:noProof/>
        </w:rPr>
        <w:instrText xml:space="preserve"> PAGEREF _Toc495652772 \h </w:instrText>
      </w:r>
      <w:r>
        <w:rPr>
          <w:noProof/>
        </w:rPr>
      </w:r>
      <w:r>
        <w:rPr>
          <w:noProof/>
        </w:rPr>
        <w:fldChar w:fldCharType="separate"/>
      </w:r>
      <w:r w:rsidR="00766D30">
        <w:rPr>
          <w:noProof/>
        </w:rPr>
        <w:t>201</w:t>
      </w:r>
      <w:r>
        <w:rPr>
          <w:noProof/>
        </w:rPr>
        <w:fldChar w:fldCharType="end"/>
      </w:r>
    </w:p>
    <w:p w14:paraId="72688C5C" w14:textId="77777777" w:rsidR="00E25764" w:rsidRDefault="00E25764">
      <w:pPr>
        <w:pStyle w:val="TOC5"/>
        <w:rPr>
          <w:rFonts w:asciiTheme="minorHAnsi" w:eastAsiaTheme="minorEastAsia" w:hAnsiTheme="minorHAnsi" w:cstheme="minorBidi"/>
          <w:noProof/>
          <w:sz w:val="22"/>
          <w:szCs w:val="22"/>
          <w:lang w:eastAsia="en-AU"/>
        </w:rPr>
      </w:pPr>
      <w:r>
        <w:rPr>
          <w:noProof/>
        </w:rPr>
        <w:t>3.3  Application</w:t>
      </w:r>
      <w:r>
        <w:rPr>
          <w:noProof/>
        </w:rPr>
        <w:tab/>
      </w:r>
      <w:r>
        <w:rPr>
          <w:noProof/>
        </w:rPr>
        <w:fldChar w:fldCharType="begin"/>
      </w:r>
      <w:r>
        <w:rPr>
          <w:noProof/>
        </w:rPr>
        <w:instrText xml:space="preserve"> PAGEREF _Toc495652773 \h </w:instrText>
      </w:r>
      <w:r>
        <w:rPr>
          <w:noProof/>
        </w:rPr>
      </w:r>
      <w:r>
        <w:rPr>
          <w:noProof/>
        </w:rPr>
        <w:fldChar w:fldCharType="separate"/>
      </w:r>
      <w:r w:rsidR="00766D30">
        <w:rPr>
          <w:noProof/>
        </w:rPr>
        <w:t>201</w:t>
      </w:r>
      <w:r>
        <w:rPr>
          <w:noProof/>
        </w:rPr>
        <w:fldChar w:fldCharType="end"/>
      </w:r>
    </w:p>
    <w:p w14:paraId="2FDD95F7" w14:textId="77777777" w:rsidR="00E25764" w:rsidRDefault="00E25764">
      <w:pPr>
        <w:pStyle w:val="TOC5"/>
        <w:rPr>
          <w:rFonts w:asciiTheme="minorHAnsi" w:eastAsiaTheme="minorEastAsia" w:hAnsiTheme="minorHAnsi" w:cstheme="minorBidi"/>
          <w:noProof/>
          <w:sz w:val="22"/>
          <w:szCs w:val="22"/>
          <w:lang w:eastAsia="en-AU"/>
        </w:rPr>
      </w:pPr>
      <w:r>
        <w:rPr>
          <w:noProof/>
        </w:rPr>
        <w:t>3.4  Available methods</w:t>
      </w:r>
      <w:r>
        <w:rPr>
          <w:noProof/>
        </w:rPr>
        <w:tab/>
      </w:r>
      <w:r>
        <w:rPr>
          <w:noProof/>
        </w:rPr>
        <w:fldChar w:fldCharType="begin"/>
      </w:r>
      <w:r>
        <w:rPr>
          <w:noProof/>
        </w:rPr>
        <w:instrText xml:space="preserve"> PAGEREF _Toc495652774 \h </w:instrText>
      </w:r>
      <w:r>
        <w:rPr>
          <w:noProof/>
        </w:rPr>
      </w:r>
      <w:r>
        <w:rPr>
          <w:noProof/>
        </w:rPr>
        <w:fldChar w:fldCharType="separate"/>
      </w:r>
      <w:r w:rsidR="00766D30">
        <w:rPr>
          <w:noProof/>
        </w:rPr>
        <w:t>201</w:t>
      </w:r>
      <w:r>
        <w:rPr>
          <w:noProof/>
        </w:rPr>
        <w:fldChar w:fldCharType="end"/>
      </w:r>
    </w:p>
    <w:p w14:paraId="62CEF7F9"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3.2.2.2—Fugitive emissions from extraction of coal</w:t>
      </w:r>
      <w:r>
        <w:rPr>
          <w:noProof/>
        </w:rPr>
        <w:tab/>
      </w:r>
      <w:r>
        <w:rPr>
          <w:noProof/>
        </w:rPr>
        <w:fldChar w:fldCharType="begin"/>
      </w:r>
      <w:r>
        <w:rPr>
          <w:noProof/>
        </w:rPr>
        <w:instrText xml:space="preserve"> PAGEREF _Toc495652775 \h </w:instrText>
      </w:r>
      <w:r>
        <w:rPr>
          <w:noProof/>
        </w:rPr>
      </w:r>
      <w:r>
        <w:rPr>
          <w:noProof/>
        </w:rPr>
        <w:fldChar w:fldCharType="separate"/>
      </w:r>
      <w:r w:rsidR="00766D30">
        <w:rPr>
          <w:noProof/>
        </w:rPr>
        <w:t>203</w:t>
      </w:r>
      <w:r>
        <w:rPr>
          <w:noProof/>
        </w:rPr>
        <w:fldChar w:fldCharType="end"/>
      </w:r>
    </w:p>
    <w:p w14:paraId="390C0418" w14:textId="77777777" w:rsidR="00E25764" w:rsidRDefault="00E25764">
      <w:pPr>
        <w:pStyle w:val="TOC5"/>
        <w:rPr>
          <w:rFonts w:asciiTheme="minorHAnsi" w:eastAsiaTheme="minorEastAsia" w:hAnsiTheme="minorHAnsi" w:cstheme="minorBidi"/>
          <w:noProof/>
          <w:sz w:val="22"/>
          <w:szCs w:val="22"/>
          <w:lang w:eastAsia="en-AU"/>
        </w:rPr>
      </w:pPr>
      <w:r>
        <w:rPr>
          <w:noProof/>
        </w:rPr>
        <w:t>3.5  Method 1—extraction of coal</w:t>
      </w:r>
      <w:r>
        <w:rPr>
          <w:noProof/>
        </w:rPr>
        <w:tab/>
      </w:r>
      <w:r>
        <w:rPr>
          <w:noProof/>
        </w:rPr>
        <w:fldChar w:fldCharType="begin"/>
      </w:r>
      <w:r>
        <w:rPr>
          <w:noProof/>
        </w:rPr>
        <w:instrText xml:space="preserve"> PAGEREF _Toc495652776 \h </w:instrText>
      </w:r>
      <w:r>
        <w:rPr>
          <w:noProof/>
        </w:rPr>
      </w:r>
      <w:r>
        <w:rPr>
          <w:noProof/>
        </w:rPr>
        <w:fldChar w:fldCharType="separate"/>
      </w:r>
      <w:r w:rsidR="00766D30">
        <w:rPr>
          <w:noProof/>
        </w:rPr>
        <w:t>203</w:t>
      </w:r>
      <w:r>
        <w:rPr>
          <w:noProof/>
        </w:rPr>
        <w:fldChar w:fldCharType="end"/>
      </w:r>
    </w:p>
    <w:p w14:paraId="1D05D121" w14:textId="77777777" w:rsidR="00E25764" w:rsidRDefault="00E25764">
      <w:pPr>
        <w:pStyle w:val="TOC5"/>
        <w:rPr>
          <w:rFonts w:asciiTheme="minorHAnsi" w:eastAsiaTheme="minorEastAsia" w:hAnsiTheme="minorHAnsi" w:cstheme="minorBidi"/>
          <w:noProof/>
          <w:sz w:val="22"/>
          <w:szCs w:val="22"/>
          <w:lang w:eastAsia="en-AU"/>
        </w:rPr>
      </w:pPr>
      <w:r>
        <w:rPr>
          <w:noProof/>
        </w:rPr>
        <w:t>3.6  Method 4—extraction of coal</w:t>
      </w:r>
      <w:r>
        <w:rPr>
          <w:noProof/>
        </w:rPr>
        <w:tab/>
      </w:r>
      <w:r>
        <w:rPr>
          <w:noProof/>
        </w:rPr>
        <w:fldChar w:fldCharType="begin"/>
      </w:r>
      <w:r>
        <w:rPr>
          <w:noProof/>
        </w:rPr>
        <w:instrText xml:space="preserve"> PAGEREF _Toc495652777 \h </w:instrText>
      </w:r>
      <w:r>
        <w:rPr>
          <w:noProof/>
        </w:rPr>
      </w:r>
      <w:r>
        <w:rPr>
          <w:noProof/>
        </w:rPr>
        <w:fldChar w:fldCharType="separate"/>
      </w:r>
      <w:r w:rsidR="00766D30">
        <w:rPr>
          <w:noProof/>
        </w:rPr>
        <w:t>204</w:t>
      </w:r>
      <w:r>
        <w:rPr>
          <w:noProof/>
        </w:rPr>
        <w:fldChar w:fldCharType="end"/>
      </w:r>
    </w:p>
    <w:p w14:paraId="0334B29D" w14:textId="77777777" w:rsidR="00E25764" w:rsidRDefault="00E25764">
      <w:pPr>
        <w:pStyle w:val="TOC5"/>
        <w:rPr>
          <w:rFonts w:asciiTheme="minorHAnsi" w:eastAsiaTheme="minorEastAsia" w:hAnsiTheme="minorHAnsi" w:cstheme="minorBidi"/>
          <w:noProof/>
          <w:sz w:val="22"/>
          <w:szCs w:val="22"/>
          <w:lang w:eastAsia="en-AU"/>
        </w:rPr>
      </w:pPr>
      <w:r>
        <w:rPr>
          <w:noProof/>
        </w:rPr>
        <w:t>3.7  Estimation of emissions</w:t>
      </w:r>
      <w:r>
        <w:rPr>
          <w:noProof/>
        </w:rPr>
        <w:tab/>
      </w:r>
      <w:r>
        <w:rPr>
          <w:noProof/>
        </w:rPr>
        <w:fldChar w:fldCharType="begin"/>
      </w:r>
      <w:r>
        <w:rPr>
          <w:noProof/>
        </w:rPr>
        <w:instrText xml:space="preserve"> PAGEREF _Toc495652778 \h </w:instrText>
      </w:r>
      <w:r>
        <w:rPr>
          <w:noProof/>
        </w:rPr>
      </w:r>
      <w:r>
        <w:rPr>
          <w:noProof/>
        </w:rPr>
        <w:fldChar w:fldCharType="separate"/>
      </w:r>
      <w:r w:rsidR="00766D30">
        <w:rPr>
          <w:noProof/>
        </w:rPr>
        <w:t>206</w:t>
      </w:r>
      <w:r>
        <w:rPr>
          <w:noProof/>
        </w:rPr>
        <w:fldChar w:fldCharType="end"/>
      </w:r>
    </w:p>
    <w:p w14:paraId="17B4D96D" w14:textId="77777777" w:rsidR="00E25764" w:rsidRDefault="00E25764">
      <w:pPr>
        <w:pStyle w:val="TOC5"/>
        <w:rPr>
          <w:rFonts w:asciiTheme="minorHAnsi" w:eastAsiaTheme="minorEastAsia" w:hAnsiTheme="minorHAnsi" w:cstheme="minorBidi"/>
          <w:noProof/>
          <w:sz w:val="22"/>
          <w:szCs w:val="22"/>
          <w:lang w:eastAsia="en-AU"/>
        </w:rPr>
      </w:pPr>
      <w:r>
        <w:rPr>
          <w:noProof/>
        </w:rPr>
        <w:t>3.8  Overview—use of equipment</w:t>
      </w:r>
      <w:r>
        <w:rPr>
          <w:noProof/>
        </w:rPr>
        <w:tab/>
      </w:r>
      <w:r>
        <w:rPr>
          <w:noProof/>
        </w:rPr>
        <w:fldChar w:fldCharType="begin"/>
      </w:r>
      <w:r>
        <w:rPr>
          <w:noProof/>
        </w:rPr>
        <w:instrText xml:space="preserve"> PAGEREF _Toc495652779 \h </w:instrText>
      </w:r>
      <w:r>
        <w:rPr>
          <w:noProof/>
        </w:rPr>
      </w:r>
      <w:r>
        <w:rPr>
          <w:noProof/>
        </w:rPr>
        <w:fldChar w:fldCharType="separate"/>
      </w:r>
      <w:r w:rsidR="00766D30">
        <w:rPr>
          <w:noProof/>
        </w:rPr>
        <w:t>207</w:t>
      </w:r>
      <w:r>
        <w:rPr>
          <w:noProof/>
        </w:rPr>
        <w:fldChar w:fldCharType="end"/>
      </w:r>
    </w:p>
    <w:p w14:paraId="1005DA68" w14:textId="77777777" w:rsidR="00E25764" w:rsidRDefault="00E25764">
      <w:pPr>
        <w:pStyle w:val="TOC5"/>
        <w:rPr>
          <w:rFonts w:asciiTheme="minorHAnsi" w:eastAsiaTheme="minorEastAsia" w:hAnsiTheme="minorHAnsi" w:cstheme="minorBidi"/>
          <w:noProof/>
          <w:sz w:val="22"/>
          <w:szCs w:val="22"/>
          <w:lang w:eastAsia="en-AU"/>
        </w:rPr>
      </w:pPr>
      <w:r>
        <w:rPr>
          <w:noProof/>
        </w:rPr>
        <w:t>3.9  Selection of sampling positions for PEM</w:t>
      </w:r>
      <w:r>
        <w:rPr>
          <w:noProof/>
        </w:rPr>
        <w:tab/>
      </w:r>
      <w:r>
        <w:rPr>
          <w:noProof/>
        </w:rPr>
        <w:fldChar w:fldCharType="begin"/>
      </w:r>
      <w:r>
        <w:rPr>
          <w:noProof/>
        </w:rPr>
        <w:instrText xml:space="preserve"> PAGEREF _Toc495652780 \h </w:instrText>
      </w:r>
      <w:r>
        <w:rPr>
          <w:noProof/>
        </w:rPr>
      </w:r>
      <w:r>
        <w:rPr>
          <w:noProof/>
        </w:rPr>
        <w:fldChar w:fldCharType="separate"/>
      </w:r>
      <w:r w:rsidR="00766D30">
        <w:rPr>
          <w:noProof/>
        </w:rPr>
        <w:t>207</w:t>
      </w:r>
      <w:r>
        <w:rPr>
          <w:noProof/>
        </w:rPr>
        <w:fldChar w:fldCharType="end"/>
      </w:r>
    </w:p>
    <w:p w14:paraId="4B988DEA" w14:textId="77777777" w:rsidR="00E25764" w:rsidRDefault="00E25764">
      <w:pPr>
        <w:pStyle w:val="TOC5"/>
        <w:rPr>
          <w:rFonts w:asciiTheme="minorHAnsi" w:eastAsiaTheme="minorEastAsia" w:hAnsiTheme="minorHAnsi" w:cstheme="minorBidi"/>
          <w:noProof/>
          <w:sz w:val="22"/>
          <w:szCs w:val="22"/>
          <w:lang w:eastAsia="en-AU"/>
        </w:rPr>
      </w:pPr>
      <w:r>
        <w:rPr>
          <w:noProof/>
        </w:rPr>
        <w:t>3.10  Measurement of volumetric flow rates by PEM</w:t>
      </w:r>
      <w:r>
        <w:rPr>
          <w:noProof/>
        </w:rPr>
        <w:tab/>
      </w:r>
      <w:r>
        <w:rPr>
          <w:noProof/>
        </w:rPr>
        <w:fldChar w:fldCharType="begin"/>
      </w:r>
      <w:r>
        <w:rPr>
          <w:noProof/>
        </w:rPr>
        <w:instrText xml:space="preserve"> PAGEREF _Toc495652781 \h </w:instrText>
      </w:r>
      <w:r>
        <w:rPr>
          <w:noProof/>
        </w:rPr>
      </w:r>
      <w:r>
        <w:rPr>
          <w:noProof/>
        </w:rPr>
        <w:fldChar w:fldCharType="separate"/>
      </w:r>
      <w:r w:rsidR="00766D30">
        <w:rPr>
          <w:noProof/>
        </w:rPr>
        <w:t>207</w:t>
      </w:r>
      <w:r>
        <w:rPr>
          <w:noProof/>
        </w:rPr>
        <w:fldChar w:fldCharType="end"/>
      </w:r>
    </w:p>
    <w:p w14:paraId="36892472" w14:textId="77777777" w:rsidR="00E25764" w:rsidRDefault="00E25764">
      <w:pPr>
        <w:pStyle w:val="TOC5"/>
        <w:rPr>
          <w:rFonts w:asciiTheme="minorHAnsi" w:eastAsiaTheme="minorEastAsia" w:hAnsiTheme="minorHAnsi" w:cstheme="minorBidi"/>
          <w:noProof/>
          <w:sz w:val="22"/>
          <w:szCs w:val="22"/>
          <w:lang w:eastAsia="en-AU"/>
        </w:rPr>
      </w:pPr>
      <w:r>
        <w:rPr>
          <w:noProof/>
        </w:rPr>
        <w:t>3.11  Measurement of concentrations by PEM</w:t>
      </w:r>
      <w:r>
        <w:rPr>
          <w:noProof/>
        </w:rPr>
        <w:tab/>
      </w:r>
      <w:r>
        <w:rPr>
          <w:noProof/>
        </w:rPr>
        <w:fldChar w:fldCharType="begin"/>
      </w:r>
      <w:r>
        <w:rPr>
          <w:noProof/>
        </w:rPr>
        <w:instrText xml:space="preserve"> PAGEREF _Toc495652782 \h </w:instrText>
      </w:r>
      <w:r>
        <w:rPr>
          <w:noProof/>
        </w:rPr>
      </w:r>
      <w:r>
        <w:rPr>
          <w:noProof/>
        </w:rPr>
        <w:fldChar w:fldCharType="separate"/>
      </w:r>
      <w:r w:rsidR="00766D30">
        <w:rPr>
          <w:noProof/>
        </w:rPr>
        <w:t>208</w:t>
      </w:r>
      <w:r>
        <w:rPr>
          <w:noProof/>
        </w:rPr>
        <w:fldChar w:fldCharType="end"/>
      </w:r>
    </w:p>
    <w:p w14:paraId="46480C78" w14:textId="77777777" w:rsidR="00E25764" w:rsidRDefault="00E25764">
      <w:pPr>
        <w:pStyle w:val="TOC5"/>
        <w:rPr>
          <w:rFonts w:asciiTheme="minorHAnsi" w:eastAsiaTheme="minorEastAsia" w:hAnsiTheme="minorHAnsi" w:cstheme="minorBidi"/>
          <w:noProof/>
          <w:sz w:val="22"/>
          <w:szCs w:val="22"/>
          <w:lang w:eastAsia="en-AU"/>
        </w:rPr>
      </w:pPr>
      <w:r>
        <w:rPr>
          <w:noProof/>
        </w:rPr>
        <w:t>3.12  Representative data for PEM</w:t>
      </w:r>
      <w:r>
        <w:rPr>
          <w:noProof/>
        </w:rPr>
        <w:tab/>
      </w:r>
      <w:r>
        <w:rPr>
          <w:noProof/>
        </w:rPr>
        <w:fldChar w:fldCharType="begin"/>
      </w:r>
      <w:r>
        <w:rPr>
          <w:noProof/>
        </w:rPr>
        <w:instrText xml:space="preserve"> PAGEREF _Toc495652783 \h </w:instrText>
      </w:r>
      <w:r>
        <w:rPr>
          <w:noProof/>
        </w:rPr>
      </w:r>
      <w:r>
        <w:rPr>
          <w:noProof/>
        </w:rPr>
        <w:fldChar w:fldCharType="separate"/>
      </w:r>
      <w:r w:rsidR="00766D30">
        <w:rPr>
          <w:noProof/>
        </w:rPr>
        <w:t>208</w:t>
      </w:r>
      <w:r>
        <w:rPr>
          <w:noProof/>
        </w:rPr>
        <w:fldChar w:fldCharType="end"/>
      </w:r>
    </w:p>
    <w:p w14:paraId="55133661" w14:textId="77777777" w:rsidR="00E25764" w:rsidRDefault="00E25764">
      <w:pPr>
        <w:pStyle w:val="TOC5"/>
        <w:rPr>
          <w:rFonts w:asciiTheme="minorHAnsi" w:eastAsiaTheme="minorEastAsia" w:hAnsiTheme="minorHAnsi" w:cstheme="minorBidi"/>
          <w:noProof/>
          <w:sz w:val="22"/>
          <w:szCs w:val="22"/>
          <w:lang w:eastAsia="en-AU"/>
        </w:rPr>
      </w:pPr>
      <w:r>
        <w:rPr>
          <w:noProof/>
        </w:rPr>
        <w:lastRenderedPageBreak/>
        <w:t>3.13  Performance characteristics of equipment</w:t>
      </w:r>
      <w:r>
        <w:rPr>
          <w:noProof/>
        </w:rPr>
        <w:tab/>
      </w:r>
      <w:r>
        <w:rPr>
          <w:noProof/>
        </w:rPr>
        <w:fldChar w:fldCharType="begin"/>
      </w:r>
      <w:r>
        <w:rPr>
          <w:noProof/>
        </w:rPr>
        <w:instrText xml:space="preserve"> PAGEREF _Toc495652784 \h </w:instrText>
      </w:r>
      <w:r>
        <w:rPr>
          <w:noProof/>
        </w:rPr>
      </w:r>
      <w:r>
        <w:rPr>
          <w:noProof/>
        </w:rPr>
        <w:fldChar w:fldCharType="separate"/>
      </w:r>
      <w:r w:rsidR="00766D30">
        <w:rPr>
          <w:noProof/>
        </w:rPr>
        <w:t>208</w:t>
      </w:r>
      <w:r>
        <w:rPr>
          <w:noProof/>
        </w:rPr>
        <w:fldChar w:fldCharType="end"/>
      </w:r>
    </w:p>
    <w:p w14:paraId="5D19F876"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3.2.2.3—Emissions released from coal mine waste gas flared</w:t>
      </w:r>
      <w:r>
        <w:rPr>
          <w:noProof/>
        </w:rPr>
        <w:tab/>
      </w:r>
      <w:r>
        <w:rPr>
          <w:noProof/>
        </w:rPr>
        <w:fldChar w:fldCharType="begin"/>
      </w:r>
      <w:r>
        <w:rPr>
          <w:noProof/>
        </w:rPr>
        <w:instrText xml:space="preserve"> PAGEREF _Toc495652785 \h </w:instrText>
      </w:r>
      <w:r>
        <w:rPr>
          <w:noProof/>
        </w:rPr>
      </w:r>
      <w:r>
        <w:rPr>
          <w:noProof/>
        </w:rPr>
        <w:fldChar w:fldCharType="separate"/>
      </w:r>
      <w:r w:rsidR="00766D30">
        <w:rPr>
          <w:noProof/>
        </w:rPr>
        <w:t>208</w:t>
      </w:r>
      <w:r>
        <w:rPr>
          <w:noProof/>
        </w:rPr>
        <w:fldChar w:fldCharType="end"/>
      </w:r>
    </w:p>
    <w:p w14:paraId="485D9CCF" w14:textId="77777777" w:rsidR="00E25764" w:rsidRDefault="00E25764">
      <w:pPr>
        <w:pStyle w:val="TOC5"/>
        <w:rPr>
          <w:rFonts w:asciiTheme="minorHAnsi" w:eastAsiaTheme="minorEastAsia" w:hAnsiTheme="minorHAnsi" w:cstheme="minorBidi"/>
          <w:noProof/>
          <w:sz w:val="22"/>
          <w:szCs w:val="22"/>
          <w:lang w:eastAsia="en-AU"/>
        </w:rPr>
      </w:pPr>
      <w:r>
        <w:rPr>
          <w:noProof/>
        </w:rPr>
        <w:t>3.14  Method 1—coal mine waste gas flared</w:t>
      </w:r>
      <w:r>
        <w:rPr>
          <w:noProof/>
        </w:rPr>
        <w:tab/>
      </w:r>
      <w:r>
        <w:rPr>
          <w:noProof/>
        </w:rPr>
        <w:fldChar w:fldCharType="begin"/>
      </w:r>
      <w:r>
        <w:rPr>
          <w:noProof/>
        </w:rPr>
        <w:instrText xml:space="preserve"> PAGEREF _Toc495652786 \h </w:instrText>
      </w:r>
      <w:r>
        <w:rPr>
          <w:noProof/>
        </w:rPr>
      </w:r>
      <w:r>
        <w:rPr>
          <w:noProof/>
        </w:rPr>
        <w:fldChar w:fldCharType="separate"/>
      </w:r>
      <w:r w:rsidR="00766D30">
        <w:rPr>
          <w:noProof/>
        </w:rPr>
        <w:t>208</w:t>
      </w:r>
      <w:r>
        <w:rPr>
          <w:noProof/>
        </w:rPr>
        <w:fldChar w:fldCharType="end"/>
      </w:r>
    </w:p>
    <w:p w14:paraId="4A559826" w14:textId="77777777" w:rsidR="00E25764" w:rsidRDefault="00E25764">
      <w:pPr>
        <w:pStyle w:val="TOC5"/>
        <w:rPr>
          <w:rFonts w:asciiTheme="minorHAnsi" w:eastAsiaTheme="minorEastAsia" w:hAnsiTheme="minorHAnsi" w:cstheme="minorBidi"/>
          <w:noProof/>
          <w:sz w:val="22"/>
          <w:szCs w:val="22"/>
          <w:lang w:eastAsia="en-AU"/>
        </w:rPr>
      </w:pPr>
      <w:r>
        <w:rPr>
          <w:noProof/>
        </w:rPr>
        <w:t>3.15  Method 2—emissions of carbon dioxide from coal mine waste gas flared</w:t>
      </w:r>
      <w:r>
        <w:rPr>
          <w:noProof/>
        </w:rPr>
        <w:tab/>
      </w:r>
      <w:r>
        <w:rPr>
          <w:noProof/>
        </w:rPr>
        <w:fldChar w:fldCharType="begin"/>
      </w:r>
      <w:r>
        <w:rPr>
          <w:noProof/>
        </w:rPr>
        <w:instrText xml:space="preserve"> PAGEREF _Toc495652787 \h </w:instrText>
      </w:r>
      <w:r>
        <w:rPr>
          <w:noProof/>
        </w:rPr>
      </w:r>
      <w:r>
        <w:rPr>
          <w:noProof/>
        </w:rPr>
        <w:fldChar w:fldCharType="separate"/>
      </w:r>
      <w:r w:rsidR="00766D30">
        <w:rPr>
          <w:noProof/>
        </w:rPr>
        <w:t>209</w:t>
      </w:r>
      <w:r>
        <w:rPr>
          <w:noProof/>
        </w:rPr>
        <w:fldChar w:fldCharType="end"/>
      </w:r>
    </w:p>
    <w:p w14:paraId="50BAD9AC" w14:textId="77777777" w:rsidR="00E25764" w:rsidRDefault="00E25764">
      <w:pPr>
        <w:pStyle w:val="TOC5"/>
        <w:rPr>
          <w:rFonts w:asciiTheme="minorHAnsi" w:eastAsiaTheme="minorEastAsia" w:hAnsiTheme="minorHAnsi" w:cstheme="minorBidi"/>
          <w:noProof/>
          <w:sz w:val="22"/>
          <w:szCs w:val="22"/>
          <w:lang w:eastAsia="en-AU"/>
        </w:rPr>
      </w:pPr>
      <w:r>
        <w:rPr>
          <w:noProof/>
        </w:rPr>
        <w:t>3.15A  Method 2—emissions of methane and nitrous oxide from coal mine waste gas flared</w:t>
      </w:r>
      <w:r>
        <w:rPr>
          <w:noProof/>
        </w:rPr>
        <w:tab/>
      </w:r>
      <w:r>
        <w:rPr>
          <w:noProof/>
        </w:rPr>
        <w:fldChar w:fldCharType="begin"/>
      </w:r>
      <w:r>
        <w:rPr>
          <w:noProof/>
        </w:rPr>
        <w:instrText xml:space="preserve"> PAGEREF _Toc495652788 \h </w:instrText>
      </w:r>
      <w:r>
        <w:rPr>
          <w:noProof/>
        </w:rPr>
      </w:r>
      <w:r>
        <w:rPr>
          <w:noProof/>
        </w:rPr>
        <w:fldChar w:fldCharType="separate"/>
      </w:r>
      <w:r w:rsidR="00766D30">
        <w:rPr>
          <w:noProof/>
        </w:rPr>
        <w:t>210</w:t>
      </w:r>
      <w:r>
        <w:rPr>
          <w:noProof/>
        </w:rPr>
        <w:fldChar w:fldCharType="end"/>
      </w:r>
    </w:p>
    <w:p w14:paraId="2B3D7C98" w14:textId="77777777" w:rsidR="00E25764" w:rsidRDefault="00E25764">
      <w:pPr>
        <w:pStyle w:val="TOC5"/>
        <w:rPr>
          <w:rFonts w:asciiTheme="minorHAnsi" w:eastAsiaTheme="minorEastAsia" w:hAnsiTheme="minorHAnsi" w:cstheme="minorBidi"/>
          <w:noProof/>
          <w:sz w:val="22"/>
          <w:szCs w:val="22"/>
          <w:lang w:eastAsia="en-AU"/>
        </w:rPr>
      </w:pPr>
      <w:r>
        <w:rPr>
          <w:noProof/>
        </w:rPr>
        <w:t>3.16  Method 3—coal mine waste gas flared</w:t>
      </w:r>
      <w:r>
        <w:rPr>
          <w:noProof/>
        </w:rPr>
        <w:tab/>
      </w:r>
      <w:r>
        <w:rPr>
          <w:noProof/>
        </w:rPr>
        <w:fldChar w:fldCharType="begin"/>
      </w:r>
      <w:r>
        <w:rPr>
          <w:noProof/>
        </w:rPr>
        <w:instrText xml:space="preserve"> PAGEREF _Toc495652789 \h </w:instrText>
      </w:r>
      <w:r>
        <w:rPr>
          <w:noProof/>
        </w:rPr>
      </w:r>
      <w:r>
        <w:rPr>
          <w:noProof/>
        </w:rPr>
        <w:fldChar w:fldCharType="separate"/>
      </w:r>
      <w:r w:rsidR="00766D30">
        <w:rPr>
          <w:noProof/>
        </w:rPr>
        <w:t>211</w:t>
      </w:r>
      <w:r>
        <w:rPr>
          <w:noProof/>
        </w:rPr>
        <w:fldChar w:fldCharType="end"/>
      </w:r>
    </w:p>
    <w:p w14:paraId="70E19647"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3.2.2.4—Fugitive emissions from post</w:t>
      </w:r>
      <w:r>
        <w:rPr>
          <w:noProof/>
        </w:rPr>
        <w:noBreakHyphen/>
        <w:t>mining activities</w:t>
      </w:r>
      <w:r>
        <w:rPr>
          <w:noProof/>
        </w:rPr>
        <w:tab/>
      </w:r>
      <w:r>
        <w:rPr>
          <w:noProof/>
        </w:rPr>
        <w:fldChar w:fldCharType="begin"/>
      </w:r>
      <w:r>
        <w:rPr>
          <w:noProof/>
        </w:rPr>
        <w:instrText xml:space="preserve"> PAGEREF _Toc495652790 \h </w:instrText>
      </w:r>
      <w:r>
        <w:rPr>
          <w:noProof/>
        </w:rPr>
      </w:r>
      <w:r>
        <w:rPr>
          <w:noProof/>
        </w:rPr>
        <w:fldChar w:fldCharType="separate"/>
      </w:r>
      <w:r w:rsidR="00766D30">
        <w:rPr>
          <w:noProof/>
        </w:rPr>
        <w:t>215</w:t>
      </w:r>
      <w:r>
        <w:rPr>
          <w:noProof/>
        </w:rPr>
        <w:fldChar w:fldCharType="end"/>
      </w:r>
    </w:p>
    <w:p w14:paraId="194F1170" w14:textId="77777777" w:rsidR="00E25764" w:rsidRDefault="00E25764">
      <w:pPr>
        <w:pStyle w:val="TOC5"/>
        <w:rPr>
          <w:rFonts w:asciiTheme="minorHAnsi" w:eastAsiaTheme="minorEastAsia" w:hAnsiTheme="minorHAnsi" w:cstheme="minorBidi"/>
          <w:noProof/>
          <w:sz w:val="22"/>
          <w:szCs w:val="22"/>
          <w:lang w:eastAsia="en-AU"/>
        </w:rPr>
      </w:pPr>
      <w:r>
        <w:rPr>
          <w:noProof/>
        </w:rPr>
        <w:t>3.17  Method 1—post</w:t>
      </w:r>
      <w:r>
        <w:rPr>
          <w:noProof/>
        </w:rPr>
        <w:noBreakHyphen/>
        <w:t>mining activities related to gassy mines</w:t>
      </w:r>
      <w:r>
        <w:rPr>
          <w:noProof/>
        </w:rPr>
        <w:tab/>
      </w:r>
      <w:r>
        <w:rPr>
          <w:noProof/>
        </w:rPr>
        <w:fldChar w:fldCharType="begin"/>
      </w:r>
      <w:r>
        <w:rPr>
          <w:noProof/>
        </w:rPr>
        <w:instrText xml:space="preserve"> PAGEREF _Toc495652791 \h </w:instrText>
      </w:r>
      <w:r>
        <w:rPr>
          <w:noProof/>
        </w:rPr>
      </w:r>
      <w:r>
        <w:rPr>
          <w:noProof/>
        </w:rPr>
        <w:fldChar w:fldCharType="separate"/>
      </w:r>
      <w:r w:rsidR="00766D30">
        <w:rPr>
          <w:noProof/>
        </w:rPr>
        <w:t>215</w:t>
      </w:r>
      <w:r>
        <w:rPr>
          <w:noProof/>
        </w:rPr>
        <w:fldChar w:fldCharType="end"/>
      </w:r>
    </w:p>
    <w:p w14:paraId="095CC20B"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3.2.3—Open cut mines</w:t>
      </w:r>
      <w:r>
        <w:rPr>
          <w:noProof/>
        </w:rPr>
        <w:tab/>
      </w:r>
      <w:r>
        <w:rPr>
          <w:noProof/>
        </w:rPr>
        <w:fldChar w:fldCharType="begin"/>
      </w:r>
      <w:r>
        <w:rPr>
          <w:noProof/>
        </w:rPr>
        <w:instrText xml:space="preserve"> PAGEREF _Toc495652792 \h </w:instrText>
      </w:r>
      <w:r>
        <w:rPr>
          <w:noProof/>
        </w:rPr>
      </w:r>
      <w:r>
        <w:rPr>
          <w:noProof/>
        </w:rPr>
        <w:fldChar w:fldCharType="separate"/>
      </w:r>
      <w:r w:rsidR="00766D30">
        <w:rPr>
          <w:noProof/>
        </w:rPr>
        <w:t>216</w:t>
      </w:r>
      <w:r>
        <w:rPr>
          <w:noProof/>
        </w:rPr>
        <w:fldChar w:fldCharType="end"/>
      </w:r>
    </w:p>
    <w:p w14:paraId="468CD6FE"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3.2.3.1—Preliminary</w:t>
      </w:r>
      <w:r>
        <w:rPr>
          <w:noProof/>
        </w:rPr>
        <w:tab/>
      </w:r>
      <w:r>
        <w:rPr>
          <w:noProof/>
        </w:rPr>
        <w:fldChar w:fldCharType="begin"/>
      </w:r>
      <w:r>
        <w:rPr>
          <w:noProof/>
        </w:rPr>
        <w:instrText xml:space="preserve"> PAGEREF _Toc495652793 \h </w:instrText>
      </w:r>
      <w:r>
        <w:rPr>
          <w:noProof/>
        </w:rPr>
      </w:r>
      <w:r>
        <w:rPr>
          <w:noProof/>
        </w:rPr>
        <w:fldChar w:fldCharType="separate"/>
      </w:r>
      <w:r w:rsidR="00766D30">
        <w:rPr>
          <w:noProof/>
        </w:rPr>
        <w:t>216</w:t>
      </w:r>
      <w:r>
        <w:rPr>
          <w:noProof/>
        </w:rPr>
        <w:fldChar w:fldCharType="end"/>
      </w:r>
    </w:p>
    <w:p w14:paraId="2420B48D" w14:textId="77777777" w:rsidR="00E25764" w:rsidRDefault="00E25764">
      <w:pPr>
        <w:pStyle w:val="TOC5"/>
        <w:rPr>
          <w:rFonts w:asciiTheme="minorHAnsi" w:eastAsiaTheme="minorEastAsia" w:hAnsiTheme="minorHAnsi" w:cstheme="minorBidi"/>
          <w:noProof/>
          <w:sz w:val="22"/>
          <w:szCs w:val="22"/>
          <w:lang w:eastAsia="en-AU"/>
        </w:rPr>
      </w:pPr>
      <w:r>
        <w:rPr>
          <w:noProof/>
        </w:rPr>
        <w:t>3.18  Application</w:t>
      </w:r>
      <w:r>
        <w:rPr>
          <w:noProof/>
        </w:rPr>
        <w:tab/>
      </w:r>
      <w:r>
        <w:rPr>
          <w:noProof/>
        </w:rPr>
        <w:fldChar w:fldCharType="begin"/>
      </w:r>
      <w:r>
        <w:rPr>
          <w:noProof/>
        </w:rPr>
        <w:instrText xml:space="preserve"> PAGEREF _Toc495652794 \h </w:instrText>
      </w:r>
      <w:r>
        <w:rPr>
          <w:noProof/>
        </w:rPr>
      </w:r>
      <w:r>
        <w:rPr>
          <w:noProof/>
        </w:rPr>
        <w:fldChar w:fldCharType="separate"/>
      </w:r>
      <w:r w:rsidR="00766D30">
        <w:rPr>
          <w:noProof/>
        </w:rPr>
        <w:t>216</w:t>
      </w:r>
      <w:r>
        <w:rPr>
          <w:noProof/>
        </w:rPr>
        <w:fldChar w:fldCharType="end"/>
      </w:r>
    </w:p>
    <w:p w14:paraId="15BB5CBE" w14:textId="77777777" w:rsidR="00E25764" w:rsidRDefault="00E25764">
      <w:pPr>
        <w:pStyle w:val="TOC5"/>
        <w:rPr>
          <w:rFonts w:asciiTheme="minorHAnsi" w:eastAsiaTheme="minorEastAsia" w:hAnsiTheme="minorHAnsi" w:cstheme="minorBidi"/>
          <w:noProof/>
          <w:sz w:val="22"/>
          <w:szCs w:val="22"/>
          <w:lang w:eastAsia="en-AU"/>
        </w:rPr>
      </w:pPr>
      <w:r>
        <w:rPr>
          <w:noProof/>
        </w:rPr>
        <w:t>3.19  Available methods</w:t>
      </w:r>
      <w:r>
        <w:rPr>
          <w:noProof/>
        </w:rPr>
        <w:tab/>
      </w:r>
      <w:r>
        <w:rPr>
          <w:noProof/>
        </w:rPr>
        <w:fldChar w:fldCharType="begin"/>
      </w:r>
      <w:r>
        <w:rPr>
          <w:noProof/>
        </w:rPr>
        <w:instrText xml:space="preserve"> PAGEREF _Toc495652795 \h </w:instrText>
      </w:r>
      <w:r>
        <w:rPr>
          <w:noProof/>
        </w:rPr>
      </w:r>
      <w:r>
        <w:rPr>
          <w:noProof/>
        </w:rPr>
        <w:fldChar w:fldCharType="separate"/>
      </w:r>
      <w:r w:rsidR="00766D30">
        <w:rPr>
          <w:noProof/>
        </w:rPr>
        <w:t>216</w:t>
      </w:r>
      <w:r>
        <w:rPr>
          <w:noProof/>
        </w:rPr>
        <w:fldChar w:fldCharType="end"/>
      </w:r>
    </w:p>
    <w:p w14:paraId="4FE19E7E"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3.2.3.2—Fugitive emissions from extraction of coal</w:t>
      </w:r>
      <w:r>
        <w:rPr>
          <w:noProof/>
        </w:rPr>
        <w:tab/>
      </w:r>
      <w:r>
        <w:rPr>
          <w:noProof/>
        </w:rPr>
        <w:fldChar w:fldCharType="begin"/>
      </w:r>
      <w:r>
        <w:rPr>
          <w:noProof/>
        </w:rPr>
        <w:instrText xml:space="preserve"> PAGEREF _Toc495652796 \h </w:instrText>
      </w:r>
      <w:r>
        <w:rPr>
          <w:noProof/>
        </w:rPr>
      </w:r>
      <w:r>
        <w:rPr>
          <w:noProof/>
        </w:rPr>
        <w:fldChar w:fldCharType="separate"/>
      </w:r>
      <w:r w:rsidR="00766D30">
        <w:rPr>
          <w:noProof/>
        </w:rPr>
        <w:t>218</w:t>
      </w:r>
      <w:r>
        <w:rPr>
          <w:noProof/>
        </w:rPr>
        <w:fldChar w:fldCharType="end"/>
      </w:r>
    </w:p>
    <w:p w14:paraId="1D8A2DD4" w14:textId="77777777" w:rsidR="00E25764" w:rsidRDefault="00E25764">
      <w:pPr>
        <w:pStyle w:val="TOC5"/>
        <w:rPr>
          <w:rFonts w:asciiTheme="minorHAnsi" w:eastAsiaTheme="minorEastAsia" w:hAnsiTheme="minorHAnsi" w:cstheme="minorBidi"/>
          <w:noProof/>
          <w:sz w:val="22"/>
          <w:szCs w:val="22"/>
          <w:lang w:eastAsia="en-AU"/>
        </w:rPr>
      </w:pPr>
      <w:r>
        <w:rPr>
          <w:noProof/>
        </w:rPr>
        <w:t>3.20  Method 1—extraction of coal</w:t>
      </w:r>
      <w:r>
        <w:rPr>
          <w:noProof/>
        </w:rPr>
        <w:tab/>
      </w:r>
      <w:r>
        <w:rPr>
          <w:noProof/>
        </w:rPr>
        <w:fldChar w:fldCharType="begin"/>
      </w:r>
      <w:r>
        <w:rPr>
          <w:noProof/>
        </w:rPr>
        <w:instrText xml:space="preserve"> PAGEREF _Toc495652797 \h </w:instrText>
      </w:r>
      <w:r>
        <w:rPr>
          <w:noProof/>
        </w:rPr>
      </w:r>
      <w:r>
        <w:rPr>
          <w:noProof/>
        </w:rPr>
        <w:fldChar w:fldCharType="separate"/>
      </w:r>
      <w:r w:rsidR="00766D30">
        <w:rPr>
          <w:noProof/>
        </w:rPr>
        <w:t>219</w:t>
      </w:r>
      <w:r>
        <w:rPr>
          <w:noProof/>
        </w:rPr>
        <w:fldChar w:fldCharType="end"/>
      </w:r>
    </w:p>
    <w:p w14:paraId="590CE0A0" w14:textId="77777777" w:rsidR="00E25764" w:rsidRDefault="00E25764">
      <w:pPr>
        <w:pStyle w:val="TOC5"/>
        <w:rPr>
          <w:rFonts w:asciiTheme="minorHAnsi" w:eastAsiaTheme="minorEastAsia" w:hAnsiTheme="minorHAnsi" w:cstheme="minorBidi"/>
          <w:noProof/>
          <w:sz w:val="22"/>
          <w:szCs w:val="22"/>
          <w:lang w:eastAsia="en-AU"/>
        </w:rPr>
      </w:pPr>
      <w:r>
        <w:rPr>
          <w:noProof/>
        </w:rPr>
        <w:t>3.21  Method 2—extraction of coal</w:t>
      </w:r>
      <w:r>
        <w:rPr>
          <w:noProof/>
        </w:rPr>
        <w:tab/>
      </w:r>
      <w:r>
        <w:rPr>
          <w:noProof/>
        </w:rPr>
        <w:fldChar w:fldCharType="begin"/>
      </w:r>
      <w:r>
        <w:rPr>
          <w:noProof/>
        </w:rPr>
        <w:instrText xml:space="preserve"> PAGEREF _Toc495652798 \h </w:instrText>
      </w:r>
      <w:r>
        <w:rPr>
          <w:noProof/>
        </w:rPr>
      </w:r>
      <w:r>
        <w:rPr>
          <w:noProof/>
        </w:rPr>
        <w:fldChar w:fldCharType="separate"/>
      </w:r>
      <w:r w:rsidR="00766D30">
        <w:rPr>
          <w:noProof/>
        </w:rPr>
        <w:t>220</w:t>
      </w:r>
      <w:r>
        <w:rPr>
          <w:noProof/>
        </w:rPr>
        <w:fldChar w:fldCharType="end"/>
      </w:r>
    </w:p>
    <w:p w14:paraId="5E124652" w14:textId="77777777" w:rsidR="00E25764" w:rsidRDefault="00E25764">
      <w:pPr>
        <w:pStyle w:val="TOC5"/>
        <w:rPr>
          <w:rFonts w:asciiTheme="minorHAnsi" w:eastAsiaTheme="minorEastAsia" w:hAnsiTheme="minorHAnsi" w:cstheme="minorBidi"/>
          <w:noProof/>
          <w:sz w:val="22"/>
          <w:szCs w:val="22"/>
          <w:lang w:eastAsia="en-AU"/>
        </w:rPr>
      </w:pPr>
      <w:r>
        <w:rPr>
          <w:noProof/>
        </w:rPr>
        <w:t>3.22  Total gas contained by gas bearing strata</w:t>
      </w:r>
      <w:r>
        <w:rPr>
          <w:noProof/>
        </w:rPr>
        <w:tab/>
      </w:r>
      <w:r>
        <w:rPr>
          <w:noProof/>
        </w:rPr>
        <w:fldChar w:fldCharType="begin"/>
      </w:r>
      <w:r>
        <w:rPr>
          <w:noProof/>
        </w:rPr>
        <w:instrText xml:space="preserve"> PAGEREF _Toc495652799 \h </w:instrText>
      </w:r>
      <w:r>
        <w:rPr>
          <w:noProof/>
        </w:rPr>
      </w:r>
      <w:r>
        <w:rPr>
          <w:noProof/>
        </w:rPr>
        <w:fldChar w:fldCharType="separate"/>
      </w:r>
      <w:r w:rsidR="00766D30">
        <w:rPr>
          <w:noProof/>
        </w:rPr>
        <w:t>223</w:t>
      </w:r>
      <w:r>
        <w:rPr>
          <w:noProof/>
        </w:rPr>
        <w:fldChar w:fldCharType="end"/>
      </w:r>
    </w:p>
    <w:p w14:paraId="7E209CB7" w14:textId="77777777" w:rsidR="00E25764" w:rsidRDefault="00E25764">
      <w:pPr>
        <w:pStyle w:val="TOC5"/>
        <w:rPr>
          <w:rFonts w:asciiTheme="minorHAnsi" w:eastAsiaTheme="minorEastAsia" w:hAnsiTheme="minorHAnsi" w:cstheme="minorBidi"/>
          <w:noProof/>
          <w:sz w:val="22"/>
          <w:szCs w:val="22"/>
          <w:lang w:eastAsia="en-AU"/>
        </w:rPr>
      </w:pPr>
      <w:r>
        <w:rPr>
          <w:noProof/>
        </w:rPr>
        <w:t>3.23  Estimate of proportion of gas content released below pit floor</w:t>
      </w:r>
      <w:r>
        <w:rPr>
          <w:noProof/>
        </w:rPr>
        <w:tab/>
      </w:r>
      <w:r>
        <w:rPr>
          <w:noProof/>
        </w:rPr>
        <w:fldChar w:fldCharType="begin"/>
      </w:r>
      <w:r>
        <w:rPr>
          <w:noProof/>
        </w:rPr>
        <w:instrText xml:space="preserve"> PAGEREF _Toc495652800 \h </w:instrText>
      </w:r>
      <w:r>
        <w:rPr>
          <w:noProof/>
        </w:rPr>
      </w:r>
      <w:r>
        <w:rPr>
          <w:noProof/>
        </w:rPr>
        <w:fldChar w:fldCharType="separate"/>
      </w:r>
      <w:r w:rsidR="00766D30">
        <w:rPr>
          <w:noProof/>
        </w:rPr>
        <w:t>224</w:t>
      </w:r>
      <w:r>
        <w:rPr>
          <w:noProof/>
        </w:rPr>
        <w:fldChar w:fldCharType="end"/>
      </w:r>
    </w:p>
    <w:p w14:paraId="44290C05" w14:textId="77777777" w:rsidR="00E25764" w:rsidRDefault="00E25764">
      <w:pPr>
        <w:pStyle w:val="TOC5"/>
        <w:rPr>
          <w:rFonts w:asciiTheme="minorHAnsi" w:eastAsiaTheme="minorEastAsia" w:hAnsiTheme="minorHAnsi" w:cstheme="minorBidi"/>
          <w:noProof/>
          <w:sz w:val="22"/>
          <w:szCs w:val="22"/>
          <w:lang w:eastAsia="en-AU"/>
        </w:rPr>
      </w:pPr>
      <w:r>
        <w:rPr>
          <w:noProof/>
        </w:rPr>
        <w:t>3.24  General requirements for sampling</w:t>
      </w:r>
      <w:r>
        <w:rPr>
          <w:noProof/>
        </w:rPr>
        <w:tab/>
      </w:r>
      <w:r>
        <w:rPr>
          <w:noProof/>
        </w:rPr>
        <w:fldChar w:fldCharType="begin"/>
      </w:r>
      <w:r>
        <w:rPr>
          <w:noProof/>
        </w:rPr>
        <w:instrText xml:space="preserve"> PAGEREF _Toc495652801 \h </w:instrText>
      </w:r>
      <w:r>
        <w:rPr>
          <w:noProof/>
        </w:rPr>
      </w:r>
      <w:r>
        <w:rPr>
          <w:noProof/>
        </w:rPr>
        <w:fldChar w:fldCharType="separate"/>
      </w:r>
      <w:r w:rsidR="00766D30">
        <w:rPr>
          <w:noProof/>
        </w:rPr>
        <w:t>225</w:t>
      </w:r>
      <w:r>
        <w:rPr>
          <w:noProof/>
        </w:rPr>
        <w:fldChar w:fldCharType="end"/>
      </w:r>
    </w:p>
    <w:p w14:paraId="75BEF940" w14:textId="77777777" w:rsidR="00E25764" w:rsidRDefault="00E25764">
      <w:pPr>
        <w:pStyle w:val="TOC5"/>
        <w:rPr>
          <w:rFonts w:asciiTheme="minorHAnsi" w:eastAsiaTheme="minorEastAsia" w:hAnsiTheme="minorHAnsi" w:cstheme="minorBidi"/>
          <w:noProof/>
          <w:sz w:val="22"/>
          <w:szCs w:val="22"/>
          <w:lang w:eastAsia="en-AU"/>
        </w:rPr>
      </w:pPr>
      <w:r>
        <w:rPr>
          <w:noProof/>
        </w:rPr>
        <w:t>3.25  General requirements for analysis of gas and gas bearing strata</w:t>
      </w:r>
      <w:r>
        <w:rPr>
          <w:noProof/>
        </w:rPr>
        <w:tab/>
      </w:r>
      <w:r>
        <w:rPr>
          <w:noProof/>
        </w:rPr>
        <w:fldChar w:fldCharType="begin"/>
      </w:r>
      <w:r>
        <w:rPr>
          <w:noProof/>
        </w:rPr>
        <w:instrText xml:space="preserve"> PAGEREF _Toc495652802 \h </w:instrText>
      </w:r>
      <w:r>
        <w:rPr>
          <w:noProof/>
        </w:rPr>
      </w:r>
      <w:r>
        <w:rPr>
          <w:noProof/>
        </w:rPr>
        <w:fldChar w:fldCharType="separate"/>
      </w:r>
      <w:r w:rsidR="00766D30">
        <w:rPr>
          <w:noProof/>
        </w:rPr>
        <w:t>225</w:t>
      </w:r>
      <w:r>
        <w:rPr>
          <w:noProof/>
        </w:rPr>
        <w:fldChar w:fldCharType="end"/>
      </w:r>
    </w:p>
    <w:p w14:paraId="3A6CF97F" w14:textId="77777777" w:rsidR="00E25764" w:rsidRDefault="00E25764">
      <w:pPr>
        <w:pStyle w:val="TOC5"/>
        <w:rPr>
          <w:rFonts w:asciiTheme="minorHAnsi" w:eastAsiaTheme="minorEastAsia" w:hAnsiTheme="minorHAnsi" w:cstheme="minorBidi"/>
          <w:noProof/>
          <w:sz w:val="22"/>
          <w:szCs w:val="22"/>
          <w:lang w:eastAsia="en-AU"/>
        </w:rPr>
      </w:pPr>
      <w:r>
        <w:rPr>
          <w:noProof/>
        </w:rPr>
        <w:t>3.25A  Method of working out base of the low gas zone</w:t>
      </w:r>
      <w:r>
        <w:rPr>
          <w:noProof/>
        </w:rPr>
        <w:tab/>
      </w:r>
      <w:r>
        <w:rPr>
          <w:noProof/>
        </w:rPr>
        <w:fldChar w:fldCharType="begin"/>
      </w:r>
      <w:r>
        <w:rPr>
          <w:noProof/>
        </w:rPr>
        <w:instrText xml:space="preserve"> PAGEREF _Toc495652803 \h </w:instrText>
      </w:r>
      <w:r>
        <w:rPr>
          <w:noProof/>
        </w:rPr>
      </w:r>
      <w:r>
        <w:rPr>
          <w:noProof/>
        </w:rPr>
        <w:fldChar w:fldCharType="separate"/>
      </w:r>
      <w:r w:rsidR="00766D30">
        <w:rPr>
          <w:noProof/>
        </w:rPr>
        <w:t>226</w:t>
      </w:r>
      <w:r>
        <w:rPr>
          <w:noProof/>
        </w:rPr>
        <w:fldChar w:fldCharType="end"/>
      </w:r>
    </w:p>
    <w:p w14:paraId="01AC50B0" w14:textId="77777777" w:rsidR="00E25764" w:rsidRDefault="00E25764">
      <w:pPr>
        <w:pStyle w:val="TOC5"/>
        <w:rPr>
          <w:rFonts w:asciiTheme="minorHAnsi" w:eastAsiaTheme="minorEastAsia" w:hAnsiTheme="minorHAnsi" w:cstheme="minorBidi"/>
          <w:noProof/>
          <w:sz w:val="22"/>
          <w:szCs w:val="22"/>
          <w:lang w:eastAsia="en-AU"/>
        </w:rPr>
      </w:pPr>
      <w:r>
        <w:rPr>
          <w:noProof/>
        </w:rPr>
        <w:t>3.25B  Further requirements for estimator</w:t>
      </w:r>
      <w:r>
        <w:rPr>
          <w:noProof/>
        </w:rPr>
        <w:tab/>
      </w:r>
      <w:r>
        <w:rPr>
          <w:noProof/>
        </w:rPr>
        <w:fldChar w:fldCharType="begin"/>
      </w:r>
      <w:r>
        <w:rPr>
          <w:noProof/>
        </w:rPr>
        <w:instrText xml:space="preserve"> PAGEREF _Toc495652804 \h </w:instrText>
      </w:r>
      <w:r>
        <w:rPr>
          <w:noProof/>
        </w:rPr>
      </w:r>
      <w:r>
        <w:rPr>
          <w:noProof/>
        </w:rPr>
        <w:fldChar w:fldCharType="separate"/>
      </w:r>
      <w:r w:rsidR="00766D30">
        <w:rPr>
          <w:noProof/>
        </w:rPr>
        <w:t>227</w:t>
      </w:r>
      <w:r>
        <w:rPr>
          <w:noProof/>
        </w:rPr>
        <w:fldChar w:fldCharType="end"/>
      </w:r>
    </w:p>
    <w:p w14:paraId="4AA0115B" w14:textId="77777777" w:rsidR="00E25764" w:rsidRDefault="00E25764">
      <w:pPr>
        <w:pStyle w:val="TOC5"/>
        <w:rPr>
          <w:rFonts w:asciiTheme="minorHAnsi" w:eastAsiaTheme="minorEastAsia" w:hAnsiTheme="minorHAnsi" w:cstheme="minorBidi"/>
          <w:noProof/>
          <w:sz w:val="22"/>
          <w:szCs w:val="22"/>
          <w:lang w:eastAsia="en-AU"/>
        </w:rPr>
      </w:pPr>
      <w:r>
        <w:rPr>
          <w:noProof/>
        </w:rPr>
        <w:t>3.25C  Default gas content for gas bearing strata in low gas zone</w:t>
      </w:r>
      <w:r>
        <w:rPr>
          <w:noProof/>
        </w:rPr>
        <w:tab/>
      </w:r>
      <w:r>
        <w:rPr>
          <w:noProof/>
        </w:rPr>
        <w:fldChar w:fldCharType="begin"/>
      </w:r>
      <w:r>
        <w:rPr>
          <w:noProof/>
        </w:rPr>
        <w:instrText xml:space="preserve"> PAGEREF _Toc495652805 \h </w:instrText>
      </w:r>
      <w:r>
        <w:rPr>
          <w:noProof/>
        </w:rPr>
      </w:r>
      <w:r>
        <w:rPr>
          <w:noProof/>
        </w:rPr>
        <w:fldChar w:fldCharType="separate"/>
      </w:r>
      <w:r w:rsidR="00766D30">
        <w:rPr>
          <w:noProof/>
        </w:rPr>
        <w:t>228</w:t>
      </w:r>
      <w:r>
        <w:rPr>
          <w:noProof/>
        </w:rPr>
        <w:fldChar w:fldCharType="end"/>
      </w:r>
    </w:p>
    <w:p w14:paraId="79C6AA59" w14:textId="77777777" w:rsidR="00E25764" w:rsidRDefault="00E25764">
      <w:pPr>
        <w:pStyle w:val="TOC5"/>
        <w:rPr>
          <w:rFonts w:asciiTheme="minorHAnsi" w:eastAsiaTheme="minorEastAsia" w:hAnsiTheme="minorHAnsi" w:cstheme="minorBidi"/>
          <w:noProof/>
          <w:sz w:val="22"/>
          <w:szCs w:val="22"/>
          <w:lang w:eastAsia="en-AU"/>
        </w:rPr>
      </w:pPr>
      <w:r>
        <w:rPr>
          <w:noProof/>
        </w:rPr>
        <w:t>3.25D  Requirements for estimating total gas contained in gas bearing strata</w:t>
      </w:r>
      <w:r>
        <w:rPr>
          <w:noProof/>
        </w:rPr>
        <w:tab/>
      </w:r>
      <w:r>
        <w:rPr>
          <w:noProof/>
        </w:rPr>
        <w:fldChar w:fldCharType="begin"/>
      </w:r>
      <w:r>
        <w:rPr>
          <w:noProof/>
        </w:rPr>
        <w:instrText xml:space="preserve"> PAGEREF _Toc495652806 \h </w:instrText>
      </w:r>
      <w:r>
        <w:rPr>
          <w:noProof/>
        </w:rPr>
      </w:r>
      <w:r>
        <w:rPr>
          <w:noProof/>
        </w:rPr>
        <w:fldChar w:fldCharType="separate"/>
      </w:r>
      <w:r w:rsidR="00766D30">
        <w:rPr>
          <w:noProof/>
        </w:rPr>
        <w:t>228</w:t>
      </w:r>
      <w:r>
        <w:rPr>
          <w:noProof/>
        </w:rPr>
        <w:fldChar w:fldCharType="end"/>
      </w:r>
    </w:p>
    <w:p w14:paraId="55820474" w14:textId="77777777" w:rsidR="00E25764" w:rsidRDefault="00E25764">
      <w:pPr>
        <w:pStyle w:val="TOC5"/>
        <w:rPr>
          <w:rFonts w:asciiTheme="minorHAnsi" w:eastAsiaTheme="minorEastAsia" w:hAnsiTheme="minorHAnsi" w:cstheme="minorBidi"/>
          <w:noProof/>
          <w:sz w:val="22"/>
          <w:szCs w:val="22"/>
          <w:lang w:eastAsia="en-AU"/>
        </w:rPr>
      </w:pPr>
      <w:r>
        <w:rPr>
          <w:noProof/>
        </w:rPr>
        <w:t>3.26  Method 3—extraction of coal</w:t>
      </w:r>
      <w:r>
        <w:rPr>
          <w:noProof/>
        </w:rPr>
        <w:tab/>
      </w:r>
      <w:r>
        <w:rPr>
          <w:noProof/>
        </w:rPr>
        <w:fldChar w:fldCharType="begin"/>
      </w:r>
      <w:r>
        <w:rPr>
          <w:noProof/>
        </w:rPr>
        <w:instrText xml:space="preserve"> PAGEREF _Toc495652807 \h </w:instrText>
      </w:r>
      <w:r>
        <w:rPr>
          <w:noProof/>
        </w:rPr>
      </w:r>
      <w:r>
        <w:rPr>
          <w:noProof/>
        </w:rPr>
        <w:fldChar w:fldCharType="separate"/>
      </w:r>
      <w:r w:rsidR="00766D30">
        <w:rPr>
          <w:noProof/>
        </w:rPr>
        <w:t>228</w:t>
      </w:r>
      <w:r>
        <w:rPr>
          <w:noProof/>
        </w:rPr>
        <w:fldChar w:fldCharType="end"/>
      </w:r>
    </w:p>
    <w:p w14:paraId="77F1B42C"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3.2.3.3—Emissions released from coal mine waste gas flared</w:t>
      </w:r>
      <w:r>
        <w:rPr>
          <w:noProof/>
        </w:rPr>
        <w:tab/>
      </w:r>
      <w:r>
        <w:rPr>
          <w:noProof/>
        </w:rPr>
        <w:fldChar w:fldCharType="begin"/>
      </w:r>
      <w:r>
        <w:rPr>
          <w:noProof/>
        </w:rPr>
        <w:instrText xml:space="preserve"> PAGEREF _Toc495652808 \h </w:instrText>
      </w:r>
      <w:r>
        <w:rPr>
          <w:noProof/>
        </w:rPr>
      </w:r>
      <w:r>
        <w:rPr>
          <w:noProof/>
        </w:rPr>
        <w:fldChar w:fldCharType="separate"/>
      </w:r>
      <w:r w:rsidR="00766D30">
        <w:rPr>
          <w:noProof/>
        </w:rPr>
        <w:t>229</w:t>
      </w:r>
      <w:r>
        <w:rPr>
          <w:noProof/>
        </w:rPr>
        <w:fldChar w:fldCharType="end"/>
      </w:r>
    </w:p>
    <w:p w14:paraId="0E99FA9E" w14:textId="77777777" w:rsidR="00E25764" w:rsidRDefault="00E25764">
      <w:pPr>
        <w:pStyle w:val="TOC5"/>
        <w:rPr>
          <w:rFonts w:asciiTheme="minorHAnsi" w:eastAsiaTheme="minorEastAsia" w:hAnsiTheme="minorHAnsi" w:cstheme="minorBidi"/>
          <w:noProof/>
          <w:sz w:val="22"/>
          <w:szCs w:val="22"/>
          <w:lang w:eastAsia="en-AU"/>
        </w:rPr>
      </w:pPr>
      <w:r>
        <w:rPr>
          <w:noProof/>
        </w:rPr>
        <w:t>3.27  Method 1—coal mine waste gas flared</w:t>
      </w:r>
      <w:r>
        <w:rPr>
          <w:noProof/>
        </w:rPr>
        <w:tab/>
      </w:r>
      <w:r>
        <w:rPr>
          <w:noProof/>
        </w:rPr>
        <w:fldChar w:fldCharType="begin"/>
      </w:r>
      <w:r>
        <w:rPr>
          <w:noProof/>
        </w:rPr>
        <w:instrText xml:space="preserve"> PAGEREF _Toc495652809 \h </w:instrText>
      </w:r>
      <w:r>
        <w:rPr>
          <w:noProof/>
        </w:rPr>
      </w:r>
      <w:r>
        <w:rPr>
          <w:noProof/>
        </w:rPr>
        <w:fldChar w:fldCharType="separate"/>
      </w:r>
      <w:r w:rsidR="00766D30">
        <w:rPr>
          <w:noProof/>
        </w:rPr>
        <w:t>229</w:t>
      </w:r>
      <w:r>
        <w:rPr>
          <w:noProof/>
        </w:rPr>
        <w:fldChar w:fldCharType="end"/>
      </w:r>
    </w:p>
    <w:p w14:paraId="443031FA" w14:textId="77777777" w:rsidR="00E25764" w:rsidRDefault="00E25764">
      <w:pPr>
        <w:pStyle w:val="TOC5"/>
        <w:rPr>
          <w:rFonts w:asciiTheme="minorHAnsi" w:eastAsiaTheme="minorEastAsia" w:hAnsiTheme="minorHAnsi" w:cstheme="minorBidi"/>
          <w:noProof/>
          <w:sz w:val="22"/>
          <w:szCs w:val="22"/>
          <w:lang w:eastAsia="en-AU"/>
        </w:rPr>
      </w:pPr>
      <w:r>
        <w:rPr>
          <w:noProof/>
        </w:rPr>
        <w:lastRenderedPageBreak/>
        <w:t>3.28  Method 2—coal mine waste gas flared</w:t>
      </w:r>
      <w:r>
        <w:rPr>
          <w:noProof/>
        </w:rPr>
        <w:tab/>
      </w:r>
      <w:r>
        <w:rPr>
          <w:noProof/>
        </w:rPr>
        <w:fldChar w:fldCharType="begin"/>
      </w:r>
      <w:r>
        <w:rPr>
          <w:noProof/>
        </w:rPr>
        <w:instrText xml:space="preserve"> PAGEREF _Toc495652810 \h </w:instrText>
      </w:r>
      <w:r>
        <w:rPr>
          <w:noProof/>
        </w:rPr>
      </w:r>
      <w:r>
        <w:rPr>
          <w:noProof/>
        </w:rPr>
        <w:fldChar w:fldCharType="separate"/>
      </w:r>
      <w:r w:rsidR="00766D30">
        <w:rPr>
          <w:noProof/>
        </w:rPr>
        <w:t>229</w:t>
      </w:r>
      <w:r>
        <w:rPr>
          <w:noProof/>
        </w:rPr>
        <w:fldChar w:fldCharType="end"/>
      </w:r>
    </w:p>
    <w:p w14:paraId="07FA0E9A" w14:textId="77777777" w:rsidR="00E25764" w:rsidRDefault="00E25764">
      <w:pPr>
        <w:pStyle w:val="TOC5"/>
        <w:rPr>
          <w:rFonts w:asciiTheme="minorHAnsi" w:eastAsiaTheme="minorEastAsia" w:hAnsiTheme="minorHAnsi" w:cstheme="minorBidi"/>
          <w:noProof/>
          <w:sz w:val="22"/>
          <w:szCs w:val="22"/>
          <w:lang w:eastAsia="en-AU"/>
        </w:rPr>
      </w:pPr>
      <w:r>
        <w:rPr>
          <w:noProof/>
        </w:rPr>
        <w:t>3.29  Method 3—coal mine waste gas flared</w:t>
      </w:r>
      <w:r>
        <w:rPr>
          <w:noProof/>
        </w:rPr>
        <w:tab/>
      </w:r>
      <w:r>
        <w:rPr>
          <w:noProof/>
        </w:rPr>
        <w:fldChar w:fldCharType="begin"/>
      </w:r>
      <w:r>
        <w:rPr>
          <w:noProof/>
        </w:rPr>
        <w:instrText xml:space="preserve"> PAGEREF _Toc495652811 \h </w:instrText>
      </w:r>
      <w:r>
        <w:rPr>
          <w:noProof/>
        </w:rPr>
      </w:r>
      <w:r>
        <w:rPr>
          <w:noProof/>
        </w:rPr>
        <w:fldChar w:fldCharType="separate"/>
      </w:r>
      <w:r w:rsidR="00766D30">
        <w:rPr>
          <w:noProof/>
        </w:rPr>
        <w:t>229</w:t>
      </w:r>
      <w:r>
        <w:rPr>
          <w:noProof/>
        </w:rPr>
        <w:fldChar w:fldCharType="end"/>
      </w:r>
    </w:p>
    <w:p w14:paraId="1F0EE810"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3.2.4—Decommissioned underground mines</w:t>
      </w:r>
      <w:r>
        <w:rPr>
          <w:noProof/>
        </w:rPr>
        <w:tab/>
      </w:r>
      <w:r>
        <w:rPr>
          <w:noProof/>
        </w:rPr>
        <w:fldChar w:fldCharType="begin"/>
      </w:r>
      <w:r>
        <w:rPr>
          <w:noProof/>
        </w:rPr>
        <w:instrText xml:space="preserve"> PAGEREF _Toc495652812 \h </w:instrText>
      </w:r>
      <w:r>
        <w:rPr>
          <w:noProof/>
        </w:rPr>
      </w:r>
      <w:r>
        <w:rPr>
          <w:noProof/>
        </w:rPr>
        <w:fldChar w:fldCharType="separate"/>
      </w:r>
      <w:r w:rsidR="00766D30">
        <w:rPr>
          <w:noProof/>
        </w:rPr>
        <w:t>230</w:t>
      </w:r>
      <w:r>
        <w:rPr>
          <w:noProof/>
        </w:rPr>
        <w:fldChar w:fldCharType="end"/>
      </w:r>
    </w:p>
    <w:p w14:paraId="19E9778B"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3.2.4.1—Preliminary</w:t>
      </w:r>
      <w:r>
        <w:rPr>
          <w:noProof/>
        </w:rPr>
        <w:tab/>
      </w:r>
      <w:r>
        <w:rPr>
          <w:noProof/>
        </w:rPr>
        <w:fldChar w:fldCharType="begin"/>
      </w:r>
      <w:r>
        <w:rPr>
          <w:noProof/>
        </w:rPr>
        <w:instrText xml:space="preserve"> PAGEREF _Toc495652813 \h </w:instrText>
      </w:r>
      <w:r>
        <w:rPr>
          <w:noProof/>
        </w:rPr>
      </w:r>
      <w:r>
        <w:rPr>
          <w:noProof/>
        </w:rPr>
        <w:fldChar w:fldCharType="separate"/>
      </w:r>
      <w:r w:rsidR="00766D30">
        <w:rPr>
          <w:noProof/>
        </w:rPr>
        <w:t>230</w:t>
      </w:r>
      <w:r>
        <w:rPr>
          <w:noProof/>
        </w:rPr>
        <w:fldChar w:fldCharType="end"/>
      </w:r>
    </w:p>
    <w:p w14:paraId="2C9BDF25" w14:textId="77777777" w:rsidR="00E25764" w:rsidRDefault="00E25764">
      <w:pPr>
        <w:pStyle w:val="TOC5"/>
        <w:rPr>
          <w:rFonts w:asciiTheme="minorHAnsi" w:eastAsiaTheme="minorEastAsia" w:hAnsiTheme="minorHAnsi" w:cstheme="minorBidi"/>
          <w:noProof/>
          <w:sz w:val="22"/>
          <w:szCs w:val="22"/>
          <w:lang w:eastAsia="en-AU"/>
        </w:rPr>
      </w:pPr>
      <w:r>
        <w:rPr>
          <w:noProof/>
        </w:rPr>
        <w:t>3.30  Application</w:t>
      </w:r>
      <w:r>
        <w:rPr>
          <w:noProof/>
        </w:rPr>
        <w:tab/>
      </w:r>
      <w:r>
        <w:rPr>
          <w:noProof/>
        </w:rPr>
        <w:fldChar w:fldCharType="begin"/>
      </w:r>
      <w:r>
        <w:rPr>
          <w:noProof/>
        </w:rPr>
        <w:instrText xml:space="preserve"> PAGEREF _Toc495652814 \h </w:instrText>
      </w:r>
      <w:r>
        <w:rPr>
          <w:noProof/>
        </w:rPr>
      </w:r>
      <w:r>
        <w:rPr>
          <w:noProof/>
        </w:rPr>
        <w:fldChar w:fldCharType="separate"/>
      </w:r>
      <w:r w:rsidR="00766D30">
        <w:rPr>
          <w:noProof/>
        </w:rPr>
        <w:t>230</w:t>
      </w:r>
      <w:r>
        <w:rPr>
          <w:noProof/>
        </w:rPr>
        <w:fldChar w:fldCharType="end"/>
      </w:r>
    </w:p>
    <w:p w14:paraId="72CC6B80" w14:textId="77777777" w:rsidR="00E25764" w:rsidRDefault="00E25764">
      <w:pPr>
        <w:pStyle w:val="TOC5"/>
        <w:rPr>
          <w:rFonts w:asciiTheme="minorHAnsi" w:eastAsiaTheme="minorEastAsia" w:hAnsiTheme="minorHAnsi" w:cstheme="minorBidi"/>
          <w:noProof/>
          <w:sz w:val="22"/>
          <w:szCs w:val="22"/>
          <w:lang w:eastAsia="en-AU"/>
        </w:rPr>
      </w:pPr>
      <w:r>
        <w:rPr>
          <w:noProof/>
        </w:rPr>
        <w:t>3.31  Available methods</w:t>
      </w:r>
      <w:r>
        <w:rPr>
          <w:noProof/>
        </w:rPr>
        <w:tab/>
      </w:r>
      <w:r>
        <w:rPr>
          <w:noProof/>
        </w:rPr>
        <w:fldChar w:fldCharType="begin"/>
      </w:r>
      <w:r>
        <w:rPr>
          <w:noProof/>
        </w:rPr>
        <w:instrText xml:space="preserve"> PAGEREF _Toc495652815 \h </w:instrText>
      </w:r>
      <w:r>
        <w:rPr>
          <w:noProof/>
        </w:rPr>
      </w:r>
      <w:r>
        <w:rPr>
          <w:noProof/>
        </w:rPr>
        <w:fldChar w:fldCharType="separate"/>
      </w:r>
      <w:r w:rsidR="00766D30">
        <w:rPr>
          <w:noProof/>
        </w:rPr>
        <w:t>230</w:t>
      </w:r>
      <w:r>
        <w:rPr>
          <w:noProof/>
        </w:rPr>
        <w:fldChar w:fldCharType="end"/>
      </w:r>
    </w:p>
    <w:p w14:paraId="2744FE45"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3.2.4.2—Fugitive emissions from decommissioned underground mines</w:t>
      </w:r>
      <w:r>
        <w:rPr>
          <w:noProof/>
        </w:rPr>
        <w:tab/>
      </w:r>
      <w:r>
        <w:rPr>
          <w:noProof/>
        </w:rPr>
        <w:fldChar w:fldCharType="begin"/>
      </w:r>
      <w:r>
        <w:rPr>
          <w:noProof/>
        </w:rPr>
        <w:instrText xml:space="preserve"> PAGEREF _Toc495652816 \h </w:instrText>
      </w:r>
      <w:r>
        <w:rPr>
          <w:noProof/>
        </w:rPr>
      </w:r>
      <w:r>
        <w:rPr>
          <w:noProof/>
        </w:rPr>
        <w:fldChar w:fldCharType="separate"/>
      </w:r>
      <w:r w:rsidR="00766D30">
        <w:rPr>
          <w:noProof/>
        </w:rPr>
        <w:t>232</w:t>
      </w:r>
      <w:r>
        <w:rPr>
          <w:noProof/>
        </w:rPr>
        <w:fldChar w:fldCharType="end"/>
      </w:r>
    </w:p>
    <w:p w14:paraId="1CDB5EC8" w14:textId="77777777" w:rsidR="00E25764" w:rsidRDefault="00E25764">
      <w:pPr>
        <w:pStyle w:val="TOC5"/>
        <w:rPr>
          <w:rFonts w:asciiTheme="minorHAnsi" w:eastAsiaTheme="minorEastAsia" w:hAnsiTheme="minorHAnsi" w:cstheme="minorBidi"/>
          <w:noProof/>
          <w:sz w:val="22"/>
          <w:szCs w:val="22"/>
          <w:lang w:eastAsia="en-AU"/>
        </w:rPr>
      </w:pPr>
      <w:r>
        <w:rPr>
          <w:noProof/>
        </w:rPr>
        <w:t>3.32  Method 1—decommissioned underground mines</w:t>
      </w:r>
      <w:r>
        <w:rPr>
          <w:noProof/>
        </w:rPr>
        <w:tab/>
      </w:r>
      <w:r>
        <w:rPr>
          <w:noProof/>
        </w:rPr>
        <w:fldChar w:fldCharType="begin"/>
      </w:r>
      <w:r>
        <w:rPr>
          <w:noProof/>
        </w:rPr>
        <w:instrText xml:space="preserve"> PAGEREF _Toc495652817 \h </w:instrText>
      </w:r>
      <w:r>
        <w:rPr>
          <w:noProof/>
        </w:rPr>
      </w:r>
      <w:r>
        <w:rPr>
          <w:noProof/>
        </w:rPr>
        <w:fldChar w:fldCharType="separate"/>
      </w:r>
      <w:r w:rsidR="00766D30">
        <w:rPr>
          <w:noProof/>
        </w:rPr>
        <w:t>232</w:t>
      </w:r>
      <w:r>
        <w:rPr>
          <w:noProof/>
        </w:rPr>
        <w:fldChar w:fldCharType="end"/>
      </w:r>
    </w:p>
    <w:p w14:paraId="26CFDD99" w14:textId="77777777" w:rsidR="00E25764" w:rsidRDefault="00E25764">
      <w:pPr>
        <w:pStyle w:val="TOC5"/>
        <w:rPr>
          <w:rFonts w:asciiTheme="minorHAnsi" w:eastAsiaTheme="minorEastAsia" w:hAnsiTheme="minorHAnsi" w:cstheme="minorBidi"/>
          <w:noProof/>
          <w:sz w:val="22"/>
          <w:szCs w:val="22"/>
          <w:lang w:eastAsia="en-AU"/>
        </w:rPr>
      </w:pPr>
      <w:r>
        <w:rPr>
          <w:noProof/>
        </w:rPr>
        <w:t>3.33  Emission factor for decommissioned underground mines</w:t>
      </w:r>
      <w:r>
        <w:rPr>
          <w:noProof/>
        </w:rPr>
        <w:tab/>
      </w:r>
      <w:r>
        <w:rPr>
          <w:noProof/>
        </w:rPr>
        <w:fldChar w:fldCharType="begin"/>
      </w:r>
      <w:r>
        <w:rPr>
          <w:noProof/>
        </w:rPr>
        <w:instrText xml:space="preserve"> PAGEREF _Toc495652818 \h </w:instrText>
      </w:r>
      <w:r>
        <w:rPr>
          <w:noProof/>
        </w:rPr>
      </w:r>
      <w:r>
        <w:rPr>
          <w:noProof/>
        </w:rPr>
        <w:fldChar w:fldCharType="separate"/>
      </w:r>
      <w:r w:rsidR="00766D30">
        <w:rPr>
          <w:noProof/>
        </w:rPr>
        <w:t>233</w:t>
      </w:r>
      <w:r>
        <w:rPr>
          <w:noProof/>
        </w:rPr>
        <w:fldChar w:fldCharType="end"/>
      </w:r>
    </w:p>
    <w:p w14:paraId="0F75003D" w14:textId="77777777" w:rsidR="00E25764" w:rsidRDefault="00E25764">
      <w:pPr>
        <w:pStyle w:val="TOC5"/>
        <w:rPr>
          <w:rFonts w:asciiTheme="minorHAnsi" w:eastAsiaTheme="minorEastAsia" w:hAnsiTheme="minorHAnsi" w:cstheme="minorBidi"/>
          <w:noProof/>
          <w:sz w:val="22"/>
          <w:szCs w:val="22"/>
          <w:lang w:eastAsia="en-AU"/>
        </w:rPr>
      </w:pPr>
      <w:r>
        <w:rPr>
          <w:noProof/>
        </w:rPr>
        <w:t>3.34  Measurement of proportion of mine that is flooded</w:t>
      </w:r>
      <w:r>
        <w:rPr>
          <w:noProof/>
        </w:rPr>
        <w:tab/>
      </w:r>
      <w:r>
        <w:rPr>
          <w:noProof/>
        </w:rPr>
        <w:fldChar w:fldCharType="begin"/>
      </w:r>
      <w:r>
        <w:rPr>
          <w:noProof/>
        </w:rPr>
        <w:instrText xml:space="preserve"> PAGEREF _Toc495652819 \h </w:instrText>
      </w:r>
      <w:r>
        <w:rPr>
          <w:noProof/>
        </w:rPr>
      </w:r>
      <w:r>
        <w:rPr>
          <w:noProof/>
        </w:rPr>
        <w:fldChar w:fldCharType="separate"/>
      </w:r>
      <w:r w:rsidR="00766D30">
        <w:rPr>
          <w:noProof/>
        </w:rPr>
        <w:t>234</w:t>
      </w:r>
      <w:r>
        <w:rPr>
          <w:noProof/>
        </w:rPr>
        <w:fldChar w:fldCharType="end"/>
      </w:r>
    </w:p>
    <w:p w14:paraId="1696ECD8" w14:textId="77777777" w:rsidR="00E25764" w:rsidRDefault="00E25764">
      <w:pPr>
        <w:pStyle w:val="TOC5"/>
        <w:rPr>
          <w:rFonts w:asciiTheme="minorHAnsi" w:eastAsiaTheme="minorEastAsia" w:hAnsiTheme="minorHAnsi" w:cstheme="minorBidi"/>
          <w:noProof/>
          <w:sz w:val="22"/>
          <w:szCs w:val="22"/>
          <w:lang w:eastAsia="en-AU"/>
        </w:rPr>
      </w:pPr>
      <w:r>
        <w:rPr>
          <w:noProof/>
        </w:rPr>
        <w:t>3.35  Water flow into mine</w:t>
      </w:r>
      <w:r>
        <w:rPr>
          <w:noProof/>
        </w:rPr>
        <w:tab/>
      </w:r>
      <w:r>
        <w:rPr>
          <w:noProof/>
        </w:rPr>
        <w:fldChar w:fldCharType="begin"/>
      </w:r>
      <w:r>
        <w:rPr>
          <w:noProof/>
        </w:rPr>
        <w:instrText xml:space="preserve"> PAGEREF _Toc495652820 \h </w:instrText>
      </w:r>
      <w:r>
        <w:rPr>
          <w:noProof/>
        </w:rPr>
      </w:r>
      <w:r>
        <w:rPr>
          <w:noProof/>
        </w:rPr>
        <w:fldChar w:fldCharType="separate"/>
      </w:r>
      <w:r w:rsidR="00766D30">
        <w:rPr>
          <w:noProof/>
        </w:rPr>
        <w:t>234</w:t>
      </w:r>
      <w:r>
        <w:rPr>
          <w:noProof/>
        </w:rPr>
        <w:fldChar w:fldCharType="end"/>
      </w:r>
    </w:p>
    <w:p w14:paraId="3708D54A" w14:textId="77777777" w:rsidR="00E25764" w:rsidRDefault="00E25764">
      <w:pPr>
        <w:pStyle w:val="TOC5"/>
        <w:rPr>
          <w:rFonts w:asciiTheme="minorHAnsi" w:eastAsiaTheme="minorEastAsia" w:hAnsiTheme="minorHAnsi" w:cstheme="minorBidi"/>
          <w:noProof/>
          <w:sz w:val="22"/>
          <w:szCs w:val="22"/>
          <w:lang w:eastAsia="en-AU"/>
        </w:rPr>
      </w:pPr>
      <w:r>
        <w:rPr>
          <w:noProof/>
        </w:rPr>
        <w:t>3.36  Size of mine void volume</w:t>
      </w:r>
      <w:r>
        <w:rPr>
          <w:noProof/>
        </w:rPr>
        <w:tab/>
      </w:r>
      <w:r>
        <w:rPr>
          <w:noProof/>
        </w:rPr>
        <w:fldChar w:fldCharType="begin"/>
      </w:r>
      <w:r>
        <w:rPr>
          <w:noProof/>
        </w:rPr>
        <w:instrText xml:space="preserve"> PAGEREF _Toc495652821 \h </w:instrText>
      </w:r>
      <w:r>
        <w:rPr>
          <w:noProof/>
        </w:rPr>
      </w:r>
      <w:r>
        <w:rPr>
          <w:noProof/>
        </w:rPr>
        <w:fldChar w:fldCharType="separate"/>
      </w:r>
      <w:r w:rsidR="00766D30">
        <w:rPr>
          <w:noProof/>
        </w:rPr>
        <w:t>234</w:t>
      </w:r>
      <w:r>
        <w:rPr>
          <w:noProof/>
        </w:rPr>
        <w:fldChar w:fldCharType="end"/>
      </w:r>
    </w:p>
    <w:p w14:paraId="68EB41E9" w14:textId="77777777" w:rsidR="00E25764" w:rsidRDefault="00E25764">
      <w:pPr>
        <w:pStyle w:val="TOC5"/>
        <w:rPr>
          <w:rFonts w:asciiTheme="minorHAnsi" w:eastAsiaTheme="minorEastAsia" w:hAnsiTheme="minorHAnsi" w:cstheme="minorBidi"/>
          <w:noProof/>
          <w:sz w:val="22"/>
          <w:szCs w:val="22"/>
          <w:lang w:eastAsia="en-AU"/>
        </w:rPr>
      </w:pPr>
      <w:r>
        <w:rPr>
          <w:noProof/>
        </w:rPr>
        <w:t>3.37  Method 4—decommissioned underground mines</w:t>
      </w:r>
      <w:r>
        <w:rPr>
          <w:noProof/>
        </w:rPr>
        <w:tab/>
      </w:r>
      <w:r>
        <w:rPr>
          <w:noProof/>
        </w:rPr>
        <w:fldChar w:fldCharType="begin"/>
      </w:r>
      <w:r>
        <w:rPr>
          <w:noProof/>
        </w:rPr>
        <w:instrText xml:space="preserve"> PAGEREF _Toc495652822 \h </w:instrText>
      </w:r>
      <w:r>
        <w:rPr>
          <w:noProof/>
        </w:rPr>
      </w:r>
      <w:r>
        <w:rPr>
          <w:noProof/>
        </w:rPr>
        <w:fldChar w:fldCharType="separate"/>
      </w:r>
      <w:r w:rsidR="00766D30">
        <w:rPr>
          <w:noProof/>
        </w:rPr>
        <w:t>235</w:t>
      </w:r>
      <w:r>
        <w:rPr>
          <w:noProof/>
        </w:rPr>
        <w:fldChar w:fldCharType="end"/>
      </w:r>
    </w:p>
    <w:p w14:paraId="244C732B"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3.2.4.3—Fugitive emissions from coal mine waste gas flared</w:t>
      </w:r>
      <w:r>
        <w:rPr>
          <w:noProof/>
        </w:rPr>
        <w:tab/>
      </w:r>
      <w:r>
        <w:rPr>
          <w:noProof/>
        </w:rPr>
        <w:fldChar w:fldCharType="begin"/>
      </w:r>
      <w:r>
        <w:rPr>
          <w:noProof/>
        </w:rPr>
        <w:instrText xml:space="preserve"> PAGEREF _Toc495652823 \h </w:instrText>
      </w:r>
      <w:r>
        <w:rPr>
          <w:noProof/>
        </w:rPr>
      </w:r>
      <w:r>
        <w:rPr>
          <w:noProof/>
        </w:rPr>
        <w:fldChar w:fldCharType="separate"/>
      </w:r>
      <w:r w:rsidR="00766D30">
        <w:rPr>
          <w:noProof/>
        </w:rPr>
        <w:t>235</w:t>
      </w:r>
      <w:r>
        <w:rPr>
          <w:noProof/>
        </w:rPr>
        <w:fldChar w:fldCharType="end"/>
      </w:r>
    </w:p>
    <w:p w14:paraId="23EB0533" w14:textId="77777777" w:rsidR="00E25764" w:rsidRDefault="00E25764">
      <w:pPr>
        <w:pStyle w:val="TOC5"/>
        <w:rPr>
          <w:rFonts w:asciiTheme="minorHAnsi" w:eastAsiaTheme="minorEastAsia" w:hAnsiTheme="minorHAnsi" w:cstheme="minorBidi"/>
          <w:noProof/>
          <w:sz w:val="22"/>
          <w:szCs w:val="22"/>
          <w:lang w:eastAsia="en-AU"/>
        </w:rPr>
      </w:pPr>
      <w:r>
        <w:rPr>
          <w:noProof/>
        </w:rPr>
        <w:t>3.38  Method 1—coal mine waste gas flared</w:t>
      </w:r>
      <w:r>
        <w:rPr>
          <w:noProof/>
        </w:rPr>
        <w:tab/>
      </w:r>
      <w:r>
        <w:rPr>
          <w:noProof/>
        </w:rPr>
        <w:fldChar w:fldCharType="begin"/>
      </w:r>
      <w:r>
        <w:rPr>
          <w:noProof/>
        </w:rPr>
        <w:instrText xml:space="preserve"> PAGEREF _Toc495652824 \h </w:instrText>
      </w:r>
      <w:r>
        <w:rPr>
          <w:noProof/>
        </w:rPr>
      </w:r>
      <w:r>
        <w:rPr>
          <w:noProof/>
        </w:rPr>
        <w:fldChar w:fldCharType="separate"/>
      </w:r>
      <w:r w:rsidR="00766D30">
        <w:rPr>
          <w:noProof/>
        </w:rPr>
        <w:t>235</w:t>
      </w:r>
      <w:r>
        <w:rPr>
          <w:noProof/>
        </w:rPr>
        <w:fldChar w:fldCharType="end"/>
      </w:r>
    </w:p>
    <w:p w14:paraId="0A33416F" w14:textId="77777777" w:rsidR="00E25764" w:rsidRDefault="00E25764">
      <w:pPr>
        <w:pStyle w:val="TOC5"/>
        <w:rPr>
          <w:rFonts w:asciiTheme="minorHAnsi" w:eastAsiaTheme="minorEastAsia" w:hAnsiTheme="minorHAnsi" w:cstheme="minorBidi"/>
          <w:noProof/>
          <w:sz w:val="22"/>
          <w:szCs w:val="22"/>
          <w:lang w:eastAsia="en-AU"/>
        </w:rPr>
      </w:pPr>
      <w:r>
        <w:rPr>
          <w:noProof/>
        </w:rPr>
        <w:t>3.39  Method 2—coal mine waste gas flared</w:t>
      </w:r>
      <w:r>
        <w:rPr>
          <w:noProof/>
        </w:rPr>
        <w:tab/>
      </w:r>
      <w:r>
        <w:rPr>
          <w:noProof/>
        </w:rPr>
        <w:fldChar w:fldCharType="begin"/>
      </w:r>
      <w:r>
        <w:rPr>
          <w:noProof/>
        </w:rPr>
        <w:instrText xml:space="preserve"> PAGEREF _Toc495652825 \h </w:instrText>
      </w:r>
      <w:r>
        <w:rPr>
          <w:noProof/>
        </w:rPr>
      </w:r>
      <w:r>
        <w:rPr>
          <w:noProof/>
        </w:rPr>
        <w:fldChar w:fldCharType="separate"/>
      </w:r>
      <w:r w:rsidR="00766D30">
        <w:rPr>
          <w:noProof/>
        </w:rPr>
        <w:t>235</w:t>
      </w:r>
      <w:r>
        <w:rPr>
          <w:noProof/>
        </w:rPr>
        <w:fldChar w:fldCharType="end"/>
      </w:r>
    </w:p>
    <w:p w14:paraId="6B61F2DF" w14:textId="77777777" w:rsidR="00E25764" w:rsidRDefault="00E25764">
      <w:pPr>
        <w:pStyle w:val="TOC5"/>
        <w:rPr>
          <w:rFonts w:asciiTheme="minorHAnsi" w:eastAsiaTheme="minorEastAsia" w:hAnsiTheme="minorHAnsi" w:cstheme="minorBidi"/>
          <w:noProof/>
          <w:sz w:val="22"/>
          <w:szCs w:val="22"/>
          <w:lang w:eastAsia="en-AU"/>
        </w:rPr>
      </w:pPr>
      <w:r>
        <w:rPr>
          <w:noProof/>
        </w:rPr>
        <w:t>3.40  Method 3—coal mine waste gas flared</w:t>
      </w:r>
      <w:r>
        <w:rPr>
          <w:noProof/>
        </w:rPr>
        <w:tab/>
      </w:r>
      <w:r>
        <w:rPr>
          <w:noProof/>
        </w:rPr>
        <w:fldChar w:fldCharType="begin"/>
      </w:r>
      <w:r>
        <w:rPr>
          <w:noProof/>
        </w:rPr>
        <w:instrText xml:space="preserve"> PAGEREF _Toc495652826 \h </w:instrText>
      </w:r>
      <w:r>
        <w:rPr>
          <w:noProof/>
        </w:rPr>
      </w:r>
      <w:r>
        <w:rPr>
          <w:noProof/>
        </w:rPr>
        <w:fldChar w:fldCharType="separate"/>
      </w:r>
      <w:r w:rsidR="00766D30">
        <w:rPr>
          <w:noProof/>
        </w:rPr>
        <w:t>235</w:t>
      </w:r>
      <w:r>
        <w:rPr>
          <w:noProof/>
        </w:rPr>
        <w:fldChar w:fldCharType="end"/>
      </w:r>
    </w:p>
    <w:p w14:paraId="27AF5404" w14:textId="77777777" w:rsidR="00E25764" w:rsidRDefault="00E25764">
      <w:pPr>
        <w:pStyle w:val="TOC2"/>
        <w:rPr>
          <w:rFonts w:asciiTheme="minorHAnsi" w:eastAsiaTheme="minorEastAsia" w:hAnsiTheme="minorHAnsi" w:cstheme="minorBidi"/>
          <w:b w:val="0"/>
          <w:sz w:val="22"/>
          <w:szCs w:val="22"/>
          <w:lang w:eastAsia="en-AU"/>
        </w:rPr>
      </w:pPr>
      <w:r>
        <w:t>Part 3.3—Oil and natural gas—fugitive emissions</w:t>
      </w:r>
      <w:r>
        <w:tab/>
      </w:r>
      <w:r>
        <w:fldChar w:fldCharType="begin"/>
      </w:r>
      <w:r>
        <w:instrText xml:space="preserve"> PAGEREF _Toc495652827 \h </w:instrText>
      </w:r>
      <w:r>
        <w:fldChar w:fldCharType="separate"/>
      </w:r>
      <w:r w:rsidR="00766D30">
        <w:t>236</w:t>
      </w:r>
      <w:r>
        <w:fldChar w:fldCharType="end"/>
      </w:r>
    </w:p>
    <w:p w14:paraId="0C36F2CD"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3.3.1—Preliminary</w:t>
      </w:r>
      <w:r>
        <w:rPr>
          <w:noProof/>
        </w:rPr>
        <w:tab/>
      </w:r>
      <w:r>
        <w:rPr>
          <w:noProof/>
        </w:rPr>
        <w:fldChar w:fldCharType="begin"/>
      </w:r>
      <w:r>
        <w:rPr>
          <w:noProof/>
        </w:rPr>
        <w:instrText xml:space="preserve"> PAGEREF _Toc495652828 \h </w:instrText>
      </w:r>
      <w:r>
        <w:rPr>
          <w:noProof/>
        </w:rPr>
      </w:r>
      <w:r>
        <w:rPr>
          <w:noProof/>
        </w:rPr>
        <w:fldChar w:fldCharType="separate"/>
      </w:r>
      <w:r w:rsidR="00766D30">
        <w:rPr>
          <w:noProof/>
        </w:rPr>
        <w:t>236</w:t>
      </w:r>
      <w:r>
        <w:rPr>
          <w:noProof/>
        </w:rPr>
        <w:fldChar w:fldCharType="end"/>
      </w:r>
    </w:p>
    <w:p w14:paraId="330D51AE" w14:textId="77777777" w:rsidR="00E25764" w:rsidRDefault="00E25764">
      <w:pPr>
        <w:pStyle w:val="TOC5"/>
        <w:rPr>
          <w:rFonts w:asciiTheme="minorHAnsi" w:eastAsiaTheme="minorEastAsia" w:hAnsiTheme="minorHAnsi" w:cstheme="minorBidi"/>
          <w:noProof/>
          <w:sz w:val="22"/>
          <w:szCs w:val="22"/>
          <w:lang w:eastAsia="en-AU"/>
        </w:rPr>
      </w:pPr>
      <w:r>
        <w:rPr>
          <w:noProof/>
        </w:rPr>
        <w:t xml:space="preserve">3.40A  Definition of </w:t>
      </w:r>
      <w:r w:rsidRPr="00EF3CB8">
        <w:rPr>
          <w:i/>
          <w:noProof/>
        </w:rPr>
        <w:t xml:space="preserve">natural gas </w:t>
      </w:r>
      <w:r>
        <w:rPr>
          <w:noProof/>
        </w:rPr>
        <w:t>for Part 3.3</w:t>
      </w:r>
      <w:r>
        <w:rPr>
          <w:noProof/>
        </w:rPr>
        <w:tab/>
      </w:r>
      <w:r>
        <w:rPr>
          <w:noProof/>
        </w:rPr>
        <w:fldChar w:fldCharType="begin"/>
      </w:r>
      <w:r>
        <w:rPr>
          <w:noProof/>
        </w:rPr>
        <w:instrText xml:space="preserve"> PAGEREF _Toc495652829 \h </w:instrText>
      </w:r>
      <w:r>
        <w:rPr>
          <w:noProof/>
        </w:rPr>
      </w:r>
      <w:r>
        <w:rPr>
          <w:noProof/>
        </w:rPr>
        <w:fldChar w:fldCharType="separate"/>
      </w:r>
      <w:r w:rsidR="00766D30">
        <w:rPr>
          <w:noProof/>
        </w:rPr>
        <w:t>237</w:t>
      </w:r>
      <w:r>
        <w:rPr>
          <w:noProof/>
        </w:rPr>
        <w:fldChar w:fldCharType="end"/>
      </w:r>
    </w:p>
    <w:p w14:paraId="21034453"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3.3.2—Oil or gas exploration</w:t>
      </w:r>
      <w:r>
        <w:rPr>
          <w:noProof/>
        </w:rPr>
        <w:tab/>
      </w:r>
      <w:r>
        <w:rPr>
          <w:noProof/>
        </w:rPr>
        <w:fldChar w:fldCharType="begin"/>
      </w:r>
      <w:r>
        <w:rPr>
          <w:noProof/>
        </w:rPr>
        <w:instrText xml:space="preserve"> PAGEREF _Toc495652830 \h </w:instrText>
      </w:r>
      <w:r>
        <w:rPr>
          <w:noProof/>
        </w:rPr>
      </w:r>
      <w:r>
        <w:rPr>
          <w:noProof/>
        </w:rPr>
        <w:fldChar w:fldCharType="separate"/>
      </w:r>
      <w:r w:rsidR="00766D30">
        <w:rPr>
          <w:noProof/>
        </w:rPr>
        <w:t>238</w:t>
      </w:r>
      <w:r>
        <w:rPr>
          <w:noProof/>
        </w:rPr>
        <w:fldChar w:fldCharType="end"/>
      </w:r>
    </w:p>
    <w:p w14:paraId="1560DBE7"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3.3.2.1—Preliminary</w:t>
      </w:r>
      <w:r>
        <w:rPr>
          <w:noProof/>
        </w:rPr>
        <w:tab/>
      </w:r>
      <w:r>
        <w:rPr>
          <w:noProof/>
        </w:rPr>
        <w:fldChar w:fldCharType="begin"/>
      </w:r>
      <w:r>
        <w:rPr>
          <w:noProof/>
        </w:rPr>
        <w:instrText xml:space="preserve"> PAGEREF _Toc495652831 \h </w:instrText>
      </w:r>
      <w:r>
        <w:rPr>
          <w:noProof/>
        </w:rPr>
      </w:r>
      <w:r>
        <w:rPr>
          <w:noProof/>
        </w:rPr>
        <w:fldChar w:fldCharType="separate"/>
      </w:r>
      <w:r w:rsidR="00766D30">
        <w:rPr>
          <w:noProof/>
        </w:rPr>
        <w:t>238</w:t>
      </w:r>
      <w:r>
        <w:rPr>
          <w:noProof/>
        </w:rPr>
        <w:fldChar w:fldCharType="end"/>
      </w:r>
    </w:p>
    <w:p w14:paraId="3FE0E5CA" w14:textId="77777777" w:rsidR="00E25764" w:rsidRDefault="00E25764">
      <w:pPr>
        <w:pStyle w:val="TOC5"/>
        <w:rPr>
          <w:rFonts w:asciiTheme="minorHAnsi" w:eastAsiaTheme="minorEastAsia" w:hAnsiTheme="minorHAnsi" w:cstheme="minorBidi"/>
          <w:noProof/>
          <w:sz w:val="22"/>
          <w:szCs w:val="22"/>
          <w:lang w:eastAsia="en-AU"/>
        </w:rPr>
      </w:pPr>
      <w:r>
        <w:rPr>
          <w:noProof/>
        </w:rPr>
        <w:t>3.42  Application</w:t>
      </w:r>
      <w:r>
        <w:rPr>
          <w:noProof/>
        </w:rPr>
        <w:tab/>
      </w:r>
      <w:r>
        <w:rPr>
          <w:noProof/>
        </w:rPr>
        <w:fldChar w:fldCharType="begin"/>
      </w:r>
      <w:r>
        <w:rPr>
          <w:noProof/>
        </w:rPr>
        <w:instrText xml:space="preserve"> PAGEREF _Toc495652832 \h </w:instrText>
      </w:r>
      <w:r>
        <w:rPr>
          <w:noProof/>
        </w:rPr>
      </w:r>
      <w:r>
        <w:rPr>
          <w:noProof/>
        </w:rPr>
        <w:fldChar w:fldCharType="separate"/>
      </w:r>
      <w:r w:rsidR="00766D30">
        <w:rPr>
          <w:noProof/>
        </w:rPr>
        <w:t>238</w:t>
      </w:r>
      <w:r>
        <w:rPr>
          <w:noProof/>
        </w:rPr>
        <w:fldChar w:fldCharType="end"/>
      </w:r>
    </w:p>
    <w:p w14:paraId="31DC4B0E" w14:textId="77777777" w:rsidR="00E25764" w:rsidRDefault="00E25764">
      <w:pPr>
        <w:pStyle w:val="TOC5"/>
        <w:rPr>
          <w:rFonts w:asciiTheme="minorHAnsi" w:eastAsiaTheme="minorEastAsia" w:hAnsiTheme="minorHAnsi" w:cstheme="minorBidi"/>
          <w:noProof/>
          <w:sz w:val="22"/>
          <w:szCs w:val="22"/>
          <w:lang w:eastAsia="en-AU"/>
        </w:rPr>
      </w:pPr>
      <w:r>
        <w:rPr>
          <w:noProof/>
        </w:rPr>
        <w:t>3.43  Available methods</w:t>
      </w:r>
      <w:r>
        <w:rPr>
          <w:noProof/>
        </w:rPr>
        <w:tab/>
      </w:r>
      <w:r>
        <w:rPr>
          <w:noProof/>
        </w:rPr>
        <w:fldChar w:fldCharType="begin"/>
      </w:r>
      <w:r>
        <w:rPr>
          <w:noProof/>
        </w:rPr>
        <w:instrText xml:space="preserve"> PAGEREF _Toc495652833 \h </w:instrText>
      </w:r>
      <w:r>
        <w:rPr>
          <w:noProof/>
        </w:rPr>
      </w:r>
      <w:r>
        <w:rPr>
          <w:noProof/>
        </w:rPr>
        <w:fldChar w:fldCharType="separate"/>
      </w:r>
      <w:r w:rsidR="00766D30">
        <w:rPr>
          <w:noProof/>
        </w:rPr>
        <w:t>238</w:t>
      </w:r>
      <w:r>
        <w:rPr>
          <w:noProof/>
        </w:rPr>
        <w:fldChar w:fldCharType="end"/>
      </w:r>
    </w:p>
    <w:p w14:paraId="6B38154D" w14:textId="77777777" w:rsidR="00E25764" w:rsidRDefault="00E25764">
      <w:pPr>
        <w:pStyle w:val="TOC5"/>
        <w:rPr>
          <w:rFonts w:asciiTheme="minorHAnsi" w:eastAsiaTheme="minorEastAsia" w:hAnsiTheme="minorHAnsi" w:cstheme="minorBidi"/>
          <w:noProof/>
          <w:sz w:val="22"/>
          <w:szCs w:val="22"/>
          <w:lang w:eastAsia="en-AU"/>
        </w:rPr>
      </w:pPr>
      <w:r>
        <w:rPr>
          <w:noProof/>
        </w:rPr>
        <w:t>3.44  Method 1—oil or gas exploration</w:t>
      </w:r>
      <w:r>
        <w:rPr>
          <w:noProof/>
        </w:rPr>
        <w:tab/>
      </w:r>
      <w:r>
        <w:rPr>
          <w:noProof/>
        </w:rPr>
        <w:fldChar w:fldCharType="begin"/>
      </w:r>
      <w:r>
        <w:rPr>
          <w:noProof/>
        </w:rPr>
        <w:instrText xml:space="preserve"> PAGEREF _Toc495652834 \h </w:instrText>
      </w:r>
      <w:r>
        <w:rPr>
          <w:noProof/>
        </w:rPr>
      </w:r>
      <w:r>
        <w:rPr>
          <w:noProof/>
        </w:rPr>
        <w:fldChar w:fldCharType="separate"/>
      </w:r>
      <w:r w:rsidR="00766D30">
        <w:rPr>
          <w:noProof/>
        </w:rPr>
        <w:t>239</w:t>
      </w:r>
      <w:r>
        <w:rPr>
          <w:noProof/>
        </w:rPr>
        <w:fldChar w:fldCharType="end"/>
      </w:r>
    </w:p>
    <w:p w14:paraId="6196142C" w14:textId="77777777" w:rsidR="00E25764" w:rsidRDefault="00E25764">
      <w:pPr>
        <w:pStyle w:val="TOC5"/>
        <w:rPr>
          <w:rFonts w:asciiTheme="minorHAnsi" w:eastAsiaTheme="minorEastAsia" w:hAnsiTheme="minorHAnsi" w:cstheme="minorBidi"/>
          <w:noProof/>
          <w:sz w:val="22"/>
          <w:szCs w:val="22"/>
          <w:lang w:eastAsia="en-AU"/>
        </w:rPr>
      </w:pPr>
      <w:r>
        <w:rPr>
          <w:noProof/>
        </w:rPr>
        <w:t>3.45  Method 2—oil or gas exploration (flared carbon dioxide emissions)</w:t>
      </w:r>
      <w:r>
        <w:rPr>
          <w:noProof/>
        </w:rPr>
        <w:tab/>
      </w:r>
      <w:r>
        <w:rPr>
          <w:noProof/>
        </w:rPr>
        <w:fldChar w:fldCharType="begin"/>
      </w:r>
      <w:r>
        <w:rPr>
          <w:noProof/>
        </w:rPr>
        <w:instrText xml:space="preserve"> PAGEREF _Toc495652835 \h </w:instrText>
      </w:r>
      <w:r>
        <w:rPr>
          <w:noProof/>
        </w:rPr>
      </w:r>
      <w:r>
        <w:rPr>
          <w:noProof/>
        </w:rPr>
        <w:fldChar w:fldCharType="separate"/>
      </w:r>
      <w:r w:rsidR="00766D30">
        <w:rPr>
          <w:noProof/>
        </w:rPr>
        <w:t>240</w:t>
      </w:r>
      <w:r>
        <w:rPr>
          <w:noProof/>
        </w:rPr>
        <w:fldChar w:fldCharType="end"/>
      </w:r>
    </w:p>
    <w:p w14:paraId="5590B6B9" w14:textId="77777777" w:rsidR="00E25764" w:rsidRDefault="00E25764">
      <w:pPr>
        <w:pStyle w:val="TOC5"/>
        <w:rPr>
          <w:rFonts w:asciiTheme="minorHAnsi" w:eastAsiaTheme="minorEastAsia" w:hAnsiTheme="minorHAnsi" w:cstheme="minorBidi"/>
          <w:noProof/>
          <w:sz w:val="22"/>
          <w:szCs w:val="22"/>
          <w:lang w:eastAsia="en-AU"/>
        </w:rPr>
      </w:pPr>
      <w:r>
        <w:rPr>
          <w:noProof/>
        </w:rPr>
        <w:t>3.45A  Method 2A—oil or gas exploration (flared methane or nitrous oxide emissions)</w:t>
      </w:r>
      <w:r>
        <w:rPr>
          <w:noProof/>
        </w:rPr>
        <w:tab/>
      </w:r>
      <w:r>
        <w:rPr>
          <w:noProof/>
        </w:rPr>
        <w:fldChar w:fldCharType="begin"/>
      </w:r>
      <w:r>
        <w:rPr>
          <w:noProof/>
        </w:rPr>
        <w:instrText xml:space="preserve"> PAGEREF _Toc495652836 \h </w:instrText>
      </w:r>
      <w:r>
        <w:rPr>
          <w:noProof/>
        </w:rPr>
      </w:r>
      <w:r>
        <w:rPr>
          <w:noProof/>
        </w:rPr>
        <w:fldChar w:fldCharType="separate"/>
      </w:r>
      <w:r w:rsidR="00766D30">
        <w:rPr>
          <w:noProof/>
        </w:rPr>
        <w:t>241</w:t>
      </w:r>
      <w:r>
        <w:rPr>
          <w:noProof/>
        </w:rPr>
        <w:fldChar w:fldCharType="end"/>
      </w:r>
    </w:p>
    <w:p w14:paraId="2BBEAFC6" w14:textId="77777777" w:rsidR="00E25764" w:rsidRDefault="00E25764">
      <w:pPr>
        <w:pStyle w:val="TOC5"/>
        <w:rPr>
          <w:rFonts w:asciiTheme="minorHAnsi" w:eastAsiaTheme="minorEastAsia" w:hAnsiTheme="minorHAnsi" w:cstheme="minorBidi"/>
          <w:noProof/>
          <w:sz w:val="22"/>
          <w:szCs w:val="22"/>
          <w:lang w:eastAsia="en-AU"/>
        </w:rPr>
      </w:pPr>
      <w:r>
        <w:rPr>
          <w:noProof/>
        </w:rPr>
        <w:lastRenderedPageBreak/>
        <w:t>3.46  Method 3—oil or gas exploration</w:t>
      </w:r>
      <w:r>
        <w:rPr>
          <w:noProof/>
        </w:rPr>
        <w:tab/>
      </w:r>
      <w:r>
        <w:rPr>
          <w:noProof/>
        </w:rPr>
        <w:fldChar w:fldCharType="begin"/>
      </w:r>
      <w:r>
        <w:rPr>
          <w:noProof/>
        </w:rPr>
        <w:instrText xml:space="preserve"> PAGEREF _Toc495652837 \h </w:instrText>
      </w:r>
      <w:r>
        <w:rPr>
          <w:noProof/>
        </w:rPr>
      </w:r>
      <w:r>
        <w:rPr>
          <w:noProof/>
        </w:rPr>
        <w:fldChar w:fldCharType="separate"/>
      </w:r>
      <w:r w:rsidR="00766D30">
        <w:rPr>
          <w:noProof/>
        </w:rPr>
        <w:t>241</w:t>
      </w:r>
      <w:r>
        <w:rPr>
          <w:noProof/>
        </w:rPr>
        <w:fldChar w:fldCharType="end"/>
      </w:r>
    </w:p>
    <w:p w14:paraId="4D6A0D3B"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3.3.2.3—Oil or gas exploration—fugitive emissions from system upsets, accidents and deliberate releases from process vents</w:t>
      </w:r>
      <w:r>
        <w:rPr>
          <w:noProof/>
        </w:rPr>
        <w:tab/>
      </w:r>
      <w:r>
        <w:rPr>
          <w:noProof/>
        </w:rPr>
        <w:fldChar w:fldCharType="begin"/>
      </w:r>
      <w:r>
        <w:rPr>
          <w:noProof/>
        </w:rPr>
        <w:instrText xml:space="preserve"> PAGEREF _Toc495652838 \h </w:instrText>
      </w:r>
      <w:r>
        <w:rPr>
          <w:noProof/>
        </w:rPr>
      </w:r>
      <w:r>
        <w:rPr>
          <w:noProof/>
        </w:rPr>
        <w:fldChar w:fldCharType="separate"/>
      </w:r>
      <w:r w:rsidR="00766D30">
        <w:rPr>
          <w:noProof/>
        </w:rPr>
        <w:t>241</w:t>
      </w:r>
      <w:r>
        <w:rPr>
          <w:noProof/>
        </w:rPr>
        <w:fldChar w:fldCharType="end"/>
      </w:r>
    </w:p>
    <w:p w14:paraId="788A6327" w14:textId="77777777" w:rsidR="00E25764" w:rsidRDefault="00E25764">
      <w:pPr>
        <w:pStyle w:val="TOC5"/>
        <w:rPr>
          <w:rFonts w:asciiTheme="minorHAnsi" w:eastAsiaTheme="minorEastAsia" w:hAnsiTheme="minorHAnsi" w:cstheme="minorBidi"/>
          <w:noProof/>
          <w:sz w:val="22"/>
          <w:szCs w:val="22"/>
          <w:lang w:eastAsia="en-AU"/>
        </w:rPr>
      </w:pPr>
      <w:r>
        <w:rPr>
          <w:noProof/>
        </w:rPr>
        <w:t>3.46A  Available methods</w:t>
      </w:r>
      <w:r>
        <w:rPr>
          <w:noProof/>
        </w:rPr>
        <w:tab/>
      </w:r>
      <w:r>
        <w:rPr>
          <w:noProof/>
        </w:rPr>
        <w:fldChar w:fldCharType="begin"/>
      </w:r>
      <w:r>
        <w:rPr>
          <w:noProof/>
        </w:rPr>
        <w:instrText xml:space="preserve"> PAGEREF _Toc495652839 \h </w:instrText>
      </w:r>
      <w:r>
        <w:rPr>
          <w:noProof/>
        </w:rPr>
      </w:r>
      <w:r>
        <w:rPr>
          <w:noProof/>
        </w:rPr>
        <w:fldChar w:fldCharType="separate"/>
      </w:r>
      <w:r w:rsidR="00766D30">
        <w:rPr>
          <w:noProof/>
        </w:rPr>
        <w:t>241</w:t>
      </w:r>
      <w:r>
        <w:rPr>
          <w:noProof/>
        </w:rPr>
        <w:fldChar w:fldCharType="end"/>
      </w:r>
    </w:p>
    <w:p w14:paraId="700ABD63" w14:textId="77777777" w:rsidR="00E25764" w:rsidRDefault="00E25764">
      <w:pPr>
        <w:pStyle w:val="TOC5"/>
        <w:rPr>
          <w:rFonts w:asciiTheme="minorHAnsi" w:eastAsiaTheme="minorEastAsia" w:hAnsiTheme="minorHAnsi" w:cstheme="minorBidi"/>
          <w:noProof/>
          <w:sz w:val="22"/>
          <w:szCs w:val="22"/>
          <w:lang w:eastAsia="en-AU"/>
        </w:rPr>
      </w:pPr>
      <w:r>
        <w:rPr>
          <w:noProof/>
        </w:rPr>
        <w:t>3.46B  Method 4—vented emissions from well completions and well workovers</w:t>
      </w:r>
      <w:r>
        <w:rPr>
          <w:noProof/>
        </w:rPr>
        <w:tab/>
      </w:r>
      <w:r>
        <w:rPr>
          <w:noProof/>
        </w:rPr>
        <w:fldChar w:fldCharType="begin"/>
      </w:r>
      <w:r>
        <w:rPr>
          <w:noProof/>
        </w:rPr>
        <w:instrText xml:space="preserve"> PAGEREF _Toc495652840 \h </w:instrText>
      </w:r>
      <w:r>
        <w:rPr>
          <w:noProof/>
        </w:rPr>
      </w:r>
      <w:r>
        <w:rPr>
          <w:noProof/>
        </w:rPr>
        <w:fldChar w:fldCharType="separate"/>
      </w:r>
      <w:r w:rsidR="00766D30">
        <w:rPr>
          <w:noProof/>
        </w:rPr>
        <w:t>242</w:t>
      </w:r>
      <w:r>
        <w:rPr>
          <w:noProof/>
        </w:rPr>
        <w:fldChar w:fldCharType="end"/>
      </w:r>
    </w:p>
    <w:p w14:paraId="6710604B"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3.3.3—Crude oil production</w:t>
      </w:r>
      <w:r>
        <w:rPr>
          <w:noProof/>
        </w:rPr>
        <w:tab/>
      </w:r>
      <w:r>
        <w:rPr>
          <w:noProof/>
        </w:rPr>
        <w:fldChar w:fldCharType="begin"/>
      </w:r>
      <w:r>
        <w:rPr>
          <w:noProof/>
        </w:rPr>
        <w:instrText xml:space="preserve"> PAGEREF _Toc495652841 \h </w:instrText>
      </w:r>
      <w:r>
        <w:rPr>
          <w:noProof/>
        </w:rPr>
      </w:r>
      <w:r>
        <w:rPr>
          <w:noProof/>
        </w:rPr>
        <w:fldChar w:fldCharType="separate"/>
      </w:r>
      <w:r w:rsidR="00766D30">
        <w:rPr>
          <w:noProof/>
        </w:rPr>
        <w:t>258</w:t>
      </w:r>
      <w:r>
        <w:rPr>
          <w:noProof/>
        </w:rPr>
        <w:fldChar w:fldCharType="end"/>
      </w:r>
    </w:p>
    <w:p w14:paraId="7A4B1BA6"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3.3.3.1—Preliminary</w:t>
      </w:r>
      <w:r>
        <w:rPr>
          <w:noProof/>
        </w:rPr>
        <w:tab/>
      </w:r>
      <w:r>
        <w:rPr>
          <w:noProof/>
        </w:rPr>
        <w:fldChar w:fldCharType="begin"/>
      </w:r>
      <w:r>
        <w:rPr>
          <w:noProof/>
        </w:rPr>
        <w:instrText xml:space="preserve"> PAGEREF _Toc495652842 \h </w:instrText>
      </w:r>
      <w:r>
        <w:rPr>
          <w:noProof/>
        </w:rPr>
      </w:r>
      <w:r>
        <w:rPr>
          <w:noProof/>
        </w:rPr>
        <w:fldChar w:fldCharType="separate"/>
      </w:r>
      <w:r w:rsidR="00766D30">
        <w:rPr>
          <w:noProof/>
        </w:rPr>
        <w:t>258</w:t>
      </w:r>
      <w:r>
        <w:rPr>
          <w:noProof/>
        </w:rPr>
        <w:fldChar w:fldCharType="end"/>
      </w:r>
    </w:p>
    <w:p w14:paraId="2E70998E" w14:textId="77777777" w:rsidR="00E25764" w:rsidRDefault="00E25764">
      <w:pPr>
        <w:pStyle w:val="TOC5"/>
        <w:rPr>
          <w:rFonts w:asciiTheme="minorHAnsi" w:eastAsiaTheme="minorEastAsia" w:hAnsiTheme="minorHAnsi" w:cstheme="minorBidi"/>
          <w:noProof/>
          <w:sz w:val="22"/>
          <w:szCs w:val="22"/>
          <w:lang w:eastAsia="en-AU"/>
        </w:rPr>
      </w:pPr>
      <w:r>
        <w:rPr>
          <w:noProof/>
        </w:rPr>
        <w:t>3.47  Application</w:t>
      </w:r>
      <w:r>
        <w:rPr>
          <w:noProof/>
        </w:rPr>
        <w:tab/>
      </w:r>
      <w:r>
        <w:rPr>
          <w:noProof/>
        </w:rPr>
        <w:fldChar w:fldCharType="begin"/>
      </w:r>
      <w:r>
        <w:rPr>
          <w:noProof/>
        </w:rPr>
        <w:instrText xml:space="preserve"> PAGEREF _Toc495652843 \h </w:instrText>
      </w:r>
      <w:r>
        <w:rPr>
          <w:noProof/>
        </w:rPr>
      </w:r>
      <w:r>
        <w:rPr>
          <w:noProof/>
        </w:rPr>
        <w:fldChar w:fldCharType="separate"/>
      </w:r>
      <w:r w:rsidR="00766D30">
        <w:rPr>
          <w:noProof/>
        </w:rPr>
        <w:t>258</w:t>
      </w:r>
      <w:r>
        <w:rPr>
          <w:noProof/>
        </w:rPr>
        <w:fldChar w:fldCharType="end"/>
      </w:r>
    </w:p>
    <w:p w14:paraId="30BFA5F1"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3.3.3.2—Crude oil production (non</w:t>
      </w:r>
      <w:r>
        <w:rPr>
          <w:noProof/>
        </w:rPr>
        <w:noBreakHyphen/>
        <w:t>flared)—fugitive leak emissions of methane</w:t>
      </w:r>
      <w:r>
        <w:rPr>
          <w:noProof/>
        </w:rPr>
        <w:tab/>
      </w:r>
      <w:r>
        <w:rPr>
          <w:noProof/>
        </w:rPr>
        <w:fldChar w:fldCharType="begin"/>
      </w:r>
      <w:r>
        <w:rPr>
          <w:noProof/>
        </w:rPr>
        <w:instrText xml:space="preserve"> PAGEREF _Toc495652844 \h </w:instrText>
      </w:r>
      <w:r>
        <w:rPr>
          <w:noProof/>
        </w:rPr>
      </w:r>
      <w:r>
        <w:rPr>
          <w:noProof/>
        </w:rPr>
        <w:fldChar w:fldCharType="separate"/>
      </w:r>
      <w:r w:rsidR="00766D30">
        <w:rPr>
          <w:noProof/>
        </w:rPr>
        <w:t>258</w:t>
      </w:r>
      <w:r>
        <w:rPr>
          <w:noProof/>
        </w:rPr>
        <w:fldChar w:fldCharType="end"/>
      </w:r>
    </w:p>
    <w:p w14:paraId="434DE1B9" w14:textId="77777777" w:rsidR="00E25764" w:rsidRDefault="00E25764">
      <w:pPr>
        <w:pStyle w:val="TOC5"/>
        <w:rPr>
          <w:rFonts w:asciiTheme="minorHAnsi" w:eastAsiaTheme="minorEastAsia" w:hAnsiTheme="minorHAnsi" w:cstheme="minorBidi"/>
          <w:noProof/>
          <w:sz w:val="22"/>
          <w:szCs w:val="22"/>
          <w:lang w:eastAsia="en-AU"/>
        </w:rPr>
      </w:pPr>
      <w:r>
        <w:rPr>
          <w:noProof/>
        </w:rPr>
        <w:t>3.48  Available methods</w:t>
      </w:r>
      <w:r>
        <w:rPr>
          <w:noProof/>
        </w:rPr>
        <w:tab/>
      </w:r>
      <w:r>
        <w:rPr>
          <w:noProof/>
        </w:rPr>
        <w:fldChar w:fldCharType="begin"/>
      </w:r>
      <w:r>
        <w:rPr>
          <w:noProof/>
        </w:rPr>
        <w:instrText xml:space="preserve"> PAGEREF _Toc495652845 \h </w:instrText>
      </w:r>
      <w:r>
        <w:rPr>
          <w:noProof/>
        </w:rPr>
      </w:r>
      <w:r>
        <w:rPr>
          <w:noProof/>
        </w:rPr>
        <w:fldChar w:fldCharType="separate"/>
      </w:r>
      <w:r w:rsidR="00766D30">
        <w:rPr>
          <w:noProof/>
        </w:rPr>
        <w:t>259</w:t>
      </w:r>
      <w:r>
        <w:rPr>
          <w:noProof/>
        </w:rPr>
        <w:fldChar w:fldCharType="end"/>
      </w:r>
    </w:p>
    <w:p w14:paraId="1DD94183" w14:textId="77777777" w:rsidR="00E25764" w:rsidRDefault="00E25764">
      <w:pPr>
        <w:pStyle w:val="TOC5"/>
        <w:rPr>
          <w:rFonts w:asciiTheme="minorHAnsi" w:eastAsiaTheme="minorEastAsia" w:hAnsiTheme="minorHAnsi" w:cstheme="minorBidi"/>
          <w:noProof/>
          <w:sz w:val="22"/>
          <w:szCs w:val="22"/>
          <w:lang w:eastAsia="en-AU"/>
        </w:rPr>
      </w:pPr>
      <w:r>
        <w:rPr>
          <w:noProof/>
        </w:rPr>
        <w:t>3.49  Method 1—crude oil production (non</w:t>
      </w:r>
      <w:r>
        <w:rPr>
          <w:noProof/>
        </w:rPr>
        <w:noBreakHyphen/>
        <w:t>flared) emissions of methane</w:t>
      </w:r>
      <w:r>
        <w:rPr>
          <w:noProof/>
        </w:rPr>
        <w:tab/>
      </w:r>
      <w:r>
        <w:rPr>
          <w:noProof/>
        </w:rPr>
        <w:fldChar w:fldCharType="begin"/>
      </w:r>
      <w:r>
        <w:rPr>
          <w:noProof/>
        </w:rPr>
        <w:instrText xml:space="preserve"> PAGEREF _Toc495652846 \h </w:instrText>
      </w:r>
      <w:r>
        <w:rPr>
          <w:noProof/>
        </w:rPr>
      </w:r>
      <w:r>
        <w:rPr>
          <w:noProof/>
        </w:rPr>
        <w:fldChar w:fldCharType="separate"/>
      </w:r>
      <w:r w:rsidR="00766D30">
        <w:rPr>
          <w:noProof/>
        </w:rPr>
        <w:t>259</w:t>
      </w:r>
      <w:r>
        <w:rPr>
          <w:noProof/>
        </w:rPr>
        <w:fldChar w:fldCharType="end"/>
      </w:r>
    </w:p>
    <w:p w14:paraId="32B3071F" w14:textId="77777777" w:rsidR="00E25764" w:rsidRDefault="00E25764">
      <w:pPr>
        <w:pStyle w:val="TOC5"/>
        <w:rPr>
          <w:rFonts w:asciiTheme="minorHAnsi" w:eastAsiaTheme="minorEastAsia" w:hAnsiTheme="minorHAnsi" w:cstheme="minorBidi"/>
          <w:noProof/>
          <w:sz w:val="22"/>
          <w:szCs w:val="22"/>
          <w:lang w:eastAsia="en-AU"/>
        </w:rPr>
      </w:pPr>
      <w:r>
        <w:rPr>
          <w:noProof/>
        </w:rPr>
        <w:t>3.50  Method 2—crude oil production (non</w:t>
      </w:r>
      <w:r>
        <w:rPr>
          <w:noProof/>
        </w:rPr>
        <w:noBreakHyphen/>
        <w:t>flared) emissions of methane</w:t>
      </w:r>
      <w:r>
        <w:rPr>
          <w:noProof/>
        </w:rPr>
        <w:tab/>
      </w:r>
      <w:r>
        <w:rPr>
          <w:noProof/>
        </w:rPr>
        <w:fldChar w:fldCharType="begin"/>
      </w:r>
      <w:r>
        <w:rPr>
          <w:noProof/>
        </w:rPr>
        <w:instrText xml:space="preserve"> PAGEREF _Toc495652847 \h </w:instrText>
      </w:r>
      <w:r>
        <w:rPr>
          <w:noProof/>
        </w:rPr>
      </w:r>
      <w:r>
        <w:rPr>
          <w:noProof/>
        </w:rPr>
        <w:fldChar w:fldCharType="separate"/>
      </w:r>
      <w:r w:rsidR="00766D30">
        <w:rPr>
          <w:noProof/>
        </w:rPr>
        <w:t>261</w:t>
      </w:r>
      <w:r>
        <w:rPr>
          <w:noProof/>
        </w:rPr>
        <w:fldChar w:fldCharType="end"/>
      </w:r>
    </w:p>
    <w:p w14:paraId="19250382"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3.3.3.3—Crude oil production (flared)—fugitive emissions of carbon dioxide, methane and nitrous oxide</w:t>
      </w:r>
      <w:r>
        <w:rPr>
          <w:noProof/>
        </w:rPr>
        <w:tab/>
      </w:r>
      <w:r>
        <w:rPr>
          <w:noProof/>
        </w:rPr>
        <w:fldChar w:fldCharType="begin"/>
      </w:r>
      <w:r>
        <w:rPr>
          <w:noProof/>
        </w:rPr>
        <w:instrText xml:space="preserve"> PAGEREF _Toc495652848 \h </w:instrText>
      </w:r>
      <w:r>
        <w:rPr>
          <w:noProof/>
        </w:rPr>
      </w:r>
      <w:r>
        <w:rPr>
          <w:noProof/>
        </w:rPr>
        <w:fldChar w:fldCharType="separate"/>
      </w:r>
      <w:r w:rsidR="00766D30">
        <w:rPr>
          <w:noProof/>
        </w:rPr>
        <w:t>262</w:t>
      </w:r>
      <w:r>
        <w:rPr>
          <w:noProof/>
        </w:rPr>
        <w:fldChar w:fldCharType="end"/>
      </w:r>
    </w:p>
    <w:p w14:paraId="3C046480" w14:textId="77777777" w:rsidR="00E25764" w:rsidRDefault="00E25764">
      <w:pPr>
        <w:pStyle w:val="TOC5"/>
        <w:rPr>
          <w:rFonts w:asciiTheme="minorHAnsi" w:eastAsiaTheme="minorEastAsia" w:hAnsiTheme="minorHAnsi" w:cstheme="minorBidi"/>
          <w:noProof/>
          <w:sz w:val="22"/>
          <w:szCs w:val="22"/>
          <w:lang w:eastAsia="en-AU"/>
        </w:rPr>
      </w:pPr>
      <w:r>
        <w:rPr>
          <w:noProof/>
        </w:rPr>
        <w:t>3.51  Available methods</w:t>
      </w:r>
      <w:r>
        <w:rPr>
          <w:noProof/>
        </w:rPr>
        <w:tab/>
      </w:r>
      <w:r>
        <w:rPr>
          <w:noProof/>
        </w:rPr>
        <w:fldChar w:fldCharType="begin"/>
      </w:r>
      <w:r>
        <w:rPr>
          <w:noProof/>
        </w:rPr>
        <w:instrText xml:space="preserve"> PAGEREF _Toc495652849 \h </w:instrText>
      </w:r>
      <w:r>
        <w:rPr>
          <w:noProof/>
        </w:rPr>
      </w:r>
      <w:r>
        <w:rPr>
          <w:noProof/>
        </w:rPr>
        <w:fldChar w:fldCharType="separate"/>
      </w:r>
      <w:r w:rsidR="00766D30">
        <w:rPr>
          <w:noProof/>
        </w:rPr>
        <w:t>262</w:t>
      </w:r>
      <w:r>
        <w:rPr>
          <w:noProof/>
        </w:rPr>
        <w:fldChar w:fldCharType="end"/>
      </w:r>
    </w:p>
    <w:p w14:paraId="0F9046EA" w14:textId="77777777" w:rsidR="00E25764" w:rsidRDefault="00E25764">
      <w:pPr>
        <w:pStyle w:val="TOC5"/>
        <w:rPr>
          <w:rFonts w:asciiTheme="minorHAnsi" w:eastAsiaTheme="minorEastAsia" w:hAnsiTheme="minorHAnsi" w:cstheme="minorBidi"/>
          <w:noProof/>
          <w:sz w:val="22"/>
          <w:szCs w:val="22"/>
          <w:lang w:eastAsia="en-AU"/>
        </w:rPr>
      </w:pPr>
      <w:r>
        <w:rPr>
          <w:noProof/>
        </w:rPr>
        <w:t>3.52  Method 1—crude oil production (flared) emissions</w:t>
      </w:r>
      <w:r>
        <w:rPr>
          <w:noProof/>
        </w:rPr>
        <w:tab/>
      </w:r>
      <w:r>
        <w:rPr>
          <w:noProof/>
        </w:rPr>
        <w:fldChar w:fldCharType="begin"/>
      </w:r>
      <w:r>
        <w:rPr>
          <w:noProof/>
        </w:rPr>
        <w:instrText xml:space="preserve"> PAGEREF _Toc495652850 \h </w:instrText>
      </w:r>
      <w:r>
        <w:rPr>
          <w:noProof/>
        </w:rPr>
      </w:r>
      <w:r>
        <w:rPr>
          <w:noProof/>
        </w:rPr>
        <w:fldChar w:fldCharType="separate"/>
      </w:r>
      <w:r w:rsidR="00766D30">
        <w:rPr>
          <w:noProof/>
        </w:rPr>
        <w:t>263</w:t>
      </w:r>
      <w:r>
        <w:rPr>
          <w:noProof/>
        </w:rPr>
        <w:fldChar w:fldCharType="end"/>
      </w:r>
    </w:p>
    <w:p w14:paraId="2CFD2C44" w14:textId="77777777" w:rsidR="00E25764" w:rsidRDefault="00E25764">
      <w:pPr>
        <w:pStyle w:val="TOC5"/>
        <w:rPr>
          <w:rFonts w:asciiTheme="minorHAnsi" w:eastAsiaTheme="minorEastAsia" w:hAnsiTheme="minorHAnsi" w:cstheme="minorBidi"/>
          <w:noProof/>
          <w:sz w:val="22"/>
          <w:szCs w:val="22"/>
          <w:lang w:eastAsia="en-AU"/>
        </w:rPr>
      </w:pPr>
      <w:r>
        <w:rPr>
          <w:noProof/>
        </w:rPr>
        <w:t>3.53  Method 2—crude oil production</w:t>
      </w:r>
      <w:r>
        <w:rPr>
          <w:noProof/>
        </w:rPr>
        <w:tab/>
      </w:r>
      <w:r>
        <w:rPr>
          <w:noProof/>
        </w:rPr>
        <w:fldChar w:fldCharType="begin"/>
      </w:r>
      <w:r>
        <w:rPr>
          <w:noProof/>
        </w:rPr>
        <w:instrText xml:space="preserve"> PAGEREF _Toc495652851 \h </w:instrText>
      </w:r>
      <w:r>
        <w:rPr>
          <w:noProof/>
        </w:rPr>
      </w:r>
      <w:r>
        <w:rPr>
          <w:noProof/>
        </w:rPr>
        <w:fldChar w:fldCharType="separate"/>
      </w:r>
      <w:r w:rsidR="00766D30">
        <w:rPr>
          <w:noProof/>
        </w:rPr>
        <w:t>264</w:t>
      </w:r>
      <w:r>
        <w:rPr>
          <w:noProof/>
        </w:rPr>
        <w:fldChar w:fldCharType="end"/>
      </w:r>
    </w:p>
    <w:p w14:paraId="0797FB75" w14:textId="77777777" w:rsidR="00E25764" w:rsidRDefault="00E25764">
      <w:pPr>
        <w:pStyle w:val="TOC5"/>
        <w:rPr>
          <w:rFonts w:asciiTheme="minorHAnsi" w:eastAsiaTheme="minorEastAsia" w:hAnsiTheme="minorHAnsi" w:cstheme="minorBidi"/>
          <w:noProof/>
          <w:sz w:val="22"/>
          <w:szCs w:val="22"/>
          <w:lang w:eastAsia="en-AU"/>
        </w:rPr>
      </w:pPr>
      <w:r>
        <w:rPr>
          <w:noProof/>
        </w:rPr>
        <w:t>3.53A  Method 2A—crude oil production (flared methane or nitrous oxide emissions)</w:t>
      </w:r>
      <w:r>
        <w:rPr>
          <w:noProof/>
        </w:rPr>
        <w:tab/>
      </w:r>
      <w:r>
        <w:rPr>
          <w:noProof/>
        </w:rPr>
        <w:fldChar w:fldCharType="begin"/>
      </w:r>
      <w:r>
        <w:rPr>
          <w:noProof/>
        </w:rPr>
        <w:instrText xml:space="preserve"> PAGEREF _Toc495652852 \h </w:instrText>
      </w:r>
      <w:r>
        <w:rPr>
          <w:noProof/>
        </w:rPr>
      </w:r>
      <w:r>
        <w:rPr>
          <w:noProof/>
        </w:rPr>
        <w:fldChar w:fldCharType="separate"/>
      </w:r>
      <w:r w:rsidR="00766D30">
        <w:rPr>
          <w:noProof/>
        </w:rPr>
        <w:t>264</w:t>
      </w:r>
      <w:r>
        <w:rPr>
          <w:noProof/>
        </w:rPr>
        <w:fldChar w:fldCharType="end"/>
      </w:r>
    </w:p>
    <w:p w14:paraId="6C96674E" w14:textId="77777777" w:rsidR="00E25764" w:rsidRDefault="00E25764">
      <w:pPr>
        <w:pStyle w:val="TOC5"/>
        <w:rPr>
          <w:rFonts w:asciiTheme="minorHAnsi" w:eastAsiaTheme="minorEastAsia" w:hAnsiTheme="minorHAnsi" w:cstheme="minorBidi"/>
          <w:noProof/>
          <w:sz w:val="22"/>
          <w:szCs w:val="22"/>
          <w:lang w:eastAsia="en-AU"/>
        </w:rPr>
      </w:pPr>
      <w:r>
        <w:rPr>
          <w:noProof/>
        </w:rPr>
        <w:t>3.54  Method 3—crude oil production</w:t>
      </w:r>
      <w:r>
        <w:rPr>
          <w:noProof/>
        </w:rPr>
        <w:tab/>
      </w:r>
      <w:r>
        <w:rPr>
          <w:noProof/>
        </w:rPr>
        <w:fldChar w:fldCharType="begin"/>
      </w:r>
      <w:r>
        <w:rPr>
          <w:noProof/>
        </w:rPr>
        <w:instrText xml:space="preserve"> PAGEREF _Toc495652853 \h </w:instrText>
      </w:r>
      <w:r>
        <w:rPr>
          <w:noProof/>
        </w:rPr>
      </w:r>
      <w:r>
        <w:rPr>
          <w:noProof/>
        </w:rPr>
        <w:fldChar w:fldCharType="separate"/>
      </w:r>
      <w:r w:rsidR="00766D30">
        <w:rPr>
          <w:noProof/>
        </w:rPr>
        <w:t>265</w:t>
      </w:r>
      <w:r>
        <w:rPr>
          <w:noProof/>
        </w:rPr>
        <w:fldChar w:fldCharType="end"/>
      </w:r>
    </w:p>
    <w:p w14:paraId="61061731"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3.3.3.4—Crude oil production (non</w:t>
      </w:r>
      <w:r>
        <w:rPr>
          <w:noProof/>
        </w:rPr>
        <w:noBreakHyphen/>
        <w:t>flared)—fugitive vent emissions of methane and carbon dioxide</w:t>
      </w:r>
      <w:r>
        <w:rPr>
          <w:noProof/>
        </w:rPr>
        <w:tab/>
      </w:r>
      <w:r>
        <w:rPr>
          <w:noProof/>
        </w:rPr>
        <w:fldChar w:fldCharType="begin"/>
      </w:r>
      <w:r>
        <w:rPr>
          <w:noProof/>
        </w:rPr>
        <w:instrText xml:space="preserve"> PAGEREF _Toc495652854 \h </w:instrText>
      </w:r>
      <w:r>
        <w:rPr>
          <w:noProof/>
        </w:rPr>
      </w:r>
      <w:r>
        <w:rPr>
          <w:noProof/>
        </w:rPr>
        <w:fldChar w:fldCharType="separate"/>
      </w:r>
      <w:r w:rsidR="00766D30">
        <w:rPr>
          <w:noProof/>
        </w:rPr>
        <w:t>265</w:t>
      </w:r>
      <w:r>
        <w:rPr>
          <w:noProof/>
        </w:rPr>
        <w:fldChar w:fldCharType="end"/>
      </w:r>
    </w:p>
    <w:p w14:paraId="41B49661" w14:textId="77777777" w:rsidR="00E25764" w:rsidRDefault="00E25764">
      <w:pPr>
        <w:pStyle w:val="TOC5"/>
        <w:rPr>
          <w:rFonts w:asciiTheme="minorHAnsi" w:eastAsiaTheme="minorEastAsia" w:hAnsiTheme="minorHAnsi" w:cstheme="minorBidi"/>
          <w:noProof/>
          <w:sz w:val="22"/>
          <w:szCs w:val="22"/>
          <w:lang w:eastAsia="en-AU"/>
        </w:rPr>
      </w:pPr>
      <w:r>
        <w:rPr>
          <w:noProof/>
        </w:rPr>
        <w:t>3.56A  Available methods</w:t>
      </w:r>
      <w:r>
        <w:rPr>
          <w:noProof/>
        </w:rPr>
        <w:tab/>
      </w:r>
      <w:r>
        <w:rPr>
          <w:noProof/>
        </w:rPr>
        <w:fldChar w:fldCharType="begin"/>
      </w:r>
      <w:r>
        <w:rPr>
          <w:noProof/>
        </w:rPr>
        <w:instrText xml:space="preserve"> PAGEREF _Toc495652855 \h </w:instrText>
      </w:r>
      <w:r>
        <w:rPr>
          <w:noProof/>
        </w:rPr>
      </w:r>
      <w:r>
        <w:rPr>
          <w:noProof/>
        </w:rPr>
        <w:fldChar w:fldCharType="separate"/>
      </w:r>
      <w:r w:rsidR="00766D30">
        <w:rPr>
          <w:noProof/>
        </w:rPr>
        <w:t>265</w:t>
      </w:r>
      <w:r>
        <w:rPr>
          <w:noProof/>
        </w:rPr>
        <w:fldChar w:fldCharType="end"/>
      </w:r>
    </w:p>
    <w:p w14:paraId="47F9F070"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3.3.4—Crude oil transport</w:t>
      </w:r>
      <w:r>
        <w:rPr>
          <w:noProof/>
        </w:rPr>
        <w:tab/>
      </w:r>
      <w:r>
        <w:rPr>
          <w:noProof/>
        </w:rPr>
        <w:fldChar w:fldCharType="begin"/>
      </w:r>
      <w:r>
        <w:rPr>
          <w:noProof/>
        </w:rPr>
        <w:instrText xml:space="preserve"> PAGEREF _Toc495652856 \h </w:instrText>
      </w:r>
      <w:r>
        <w:rPr>
          <w:noProof/>
        </w:rPr>
      </w:r>
      <w:r>
        <w:rPr>
          <w:noProof/>
        </w:rPr>
        <w:fldChar w:fldCharType="separate"/>
      </w:r>
      <w:r w:rsidR="00766D30">
        <w:rPr>
          <w:noProof/>
        </w:rPr>
        <w:t>268</w:t>
      </w:r>
      <w:r>
        <w:rPr>
          <w:noProof/>
        </w:rPr>
        <w:fldChar w:fldCharType="end"/>
      </w:r>
    </w:p>
    <w:p w14:paraId="5A89D36D" w14:textId="77777777" w:rsidR="00E25764" w:rsidRDefault="00E25764">
      <w:pPr>
        <w:pStyle w:val="TOC5"/>
        <w:rPr>
          <w:rFonts w:asciiTheme="minorHAnsi" w:eastAsiaTheme="minorEastAsia" w:hAnsiTheme="minorHAnsi" w:cstheme="minorBidi"/>
          <w:noProof/>
          <w:sz w:val="22"/>
          <w:szCs w:val="22"/>
          <w:lang w:eastAsia="en-AU"/>
        </w:rPr>
      </w:pPr>
      <w:r>
        <w:rPr>
          <w:noProof/>
        </w:rPr>
        <w:t>3.57  Application</w:t>
      </w:r>
      <w:r>
        <w:rPr>
          <w:noProof/>
        </w:rPr>
        <w:tab/>
      </w:r>
      <w:r>
        <w:rPr>
          <w:noProof/>
        </w:rPr>
        <w:fldChar w:fldCharType="begin"/>
      </w:r>
      <w:r>
        <w:rPr>
          <w:noProof/>
        </w:rPr>
        <w:instrText xml:space="preserve"> PAGEREF _Toc495652857 \h </w:instrText>
      </w:r>
      <w:r>
        <w:rPr>
          <w:noProof/>
        </w:rPr>
      </w:r>
      <w:r>
        <w:rPr>
          <w:noProof/>
        </w:rPr>
        <w:fldChar w:fldCharType="separate"/>
      </w:r>
      <w:r w:rsidR="00766D30">
        <w:rPr>
          <w:noProof/>
        </w:rPr>
        <w:t>268</w:t>
      </w:r>
      <w:r>
        <w:rPr>
          <w:noProof/>
        </w:rPr>
        <w:fldChar w:fldCharType="end"/>
      </w:r>
    </w:p>
    <w:p w14:paraId="7480D529" w14:textId="77777777" w:rsidR="00E25764" w:rsidRDefault="00E25764">
      <w:pPr>
        <w:pStyle w:val="TOC5"/>
        <w:rPr>
          <w:rFonts w:asciiTheme="minorHAnsi" w:eastAsiaTheme="minorEastAsia" w:hAnsiTheme="minorHAnsi" w:cstheme="minorBidi"/>
          <w:noProof/>
          <w:sz w:val="22"/>
          <w:szCs w:val="22"/>
          <w:lang w:eastAsia="en-AU"/>
        </w:rPr>
      </w:pPr>
      <w:r>
        <w:rPr>
          <w:noProof/>
        </w:rPr>
        <w:t>3.58  Available methods</w:t>
      </w:r>
      <w:r>
        <w:rPr>
          <w:noProof/>
        </w:rPr>
        <w:tab/>
      </w:r>
      <w:r>
        <w:rPr>
          <w:noProof/>
        </w:rPr>
        <w:fldChar w:fldCharType="begin"/>
      </w:r>
      <w:r>
        <w:rPr>
          <w:noProof/>
        </w:rPr>
        <w:instrText xml:space="preserve"> PAGEREF _Toc495652858 \h </w:instrText>
      </w:r>
      <w:r>
        <w:rPr>
          <w:noProof/>
        </w:rPr>
      </w:r>
      <w:r>
        <w:rPr>
          <w:noProof/>
        </w:rPr>
        <w:fldChar w:fldCharType="separate"/>
      </w:r>
      <w:r w:rsidR="00766D30">
        <w:rPr>
          <w:noProof/>
        </w:rPr>
        <w:t>268</w:t>
      </w:r>
      <w:r>
        <w:rPr>
          <w:noProof/>
        </w:rPr>
        <w:fldChar w:fldCharType="end"/>
      </w:r>
    </w:p>
    <w:p w14:paraId="0D7E7A90" w14:textId="77777777" w:rsidR="00E25764" w:rsidRDefault="00E25764">
      <w:pPr>
        <w:pStyle w:val="TOC5"/>
        <w:rPr>
          <w:rFonts w:asciiTheme="minorHAnsi" w:eastAsiaTheme="minorEastAsia" w:hAnsiTheme="minorHAnsi" w:cstheme="minorBidi"/>
          <w:noProof/>
          <w:sz w:val="22"/>
          <w:szCs w:val="22"/>
          <w:lang w:eastAsia="en-AU"/>
        </w:rPr>
      </w:pPr>
      <w:r>
        <w:rPr>
          <w:noProof/>
        </w:rPr>
        <w:t>3.59  Method 1—crude oil transport</w:t>
      </w:r>
      <w:r>
        <w:rPr>
          <w:noProof/>
        </w:rPr>
        <w:tab/>
      </w:r>
      <w:r>
        <w:rPr>
          <w:noProof/>
        </w:rPr>
        <w:fldChar w:fldCharType="begin"/>
      </w:r>
      <w:r>
        <w:rPr>
          <w:noProof/>
        </w:rPr>
        <w:instrText xml:space="preserve"> PAGEREF _Toc495652859 \h </w:instrText>
      </w:r>
      <w:r>
        <w:rPr>
          <w:noProof/>
        </w:rPr>
      </w:r>
      <w:r>
        <w:rPr>
          <w:noProof/>
        </w:rPr>
        <w:fldChar w:fldCharType="separate"/>
      </w:r>
      <w:r w:rsidR="00766D30">
        <w:rPr>
          <w:noProof/>
        </w:rPr>
        <w:t>269</w:t>
      </w:r>
      <w:r>
        <w:rPr>
          <w:noProof/>
        </w:rPr>
        <w:fldChar w:fldCharType="end"/>
      </w:r>
    </w:p>
    <w:p w14:paraId="483092BF" w14:textId="77777777" w:rsidR="00E25764" w:rsidRDefault="00E25764">
      <w:pPr>
        <w:pStyle w:val="TOC5"/>
        <w:rPr>
          <w:rFonts w:asciiTheme="minorHAnsi" w:eastAsiaTheme="minorEastAsia" w:hAnsiTheme="minorHAnsi" w:cstheme="minorBidi"/>
          <w:noProof/>
          <w:sz w:val="22"/>
          <w:szCs w:val="22"/>
          <w:lang w:eastAsia="en-AU"/>
        </w:rPr>
      </w:pPr>
      <w:r>
        <w:rPr>
          <w:noProof/>
        </w:rPr>
        <w:t>3.60  Method 2—fugitive emissions from crude oil transport</w:t>
      </w:r>
      <w:r>
        <w:rPr>
          <w:noProof/>
        </w:rPr>
        <w:tab/>
      </w:r>
      <w:r>
        <w:rPr>
          <w:noProof/>
        </w:rPr>
        <w:fldChar w:fldCharType="begin"/>
      </w:r>
      <w:r>
        <w:rPr>
          <w:noProof/>
        </w:rPr>
        <w:instrText xml:space="preserve"> PAGEREF _Toc495652860 \h </w:instrText>
      </w:r>
      <w:r>
        <w:rPr>
          <w:noProof/>
        </w:rPr>
      </w:r>
      <w:r>
        <w:rPr>
          <w:noProof/>
        </w:rPr>
        <w:fldChar w:fldCharType="separate"/>
      </w:r>
      <w:r w:rsidR="00766D30">
        <w:rPr>
          <w:noProof/>
        </w:rPr>
        <w:t>269</w:t>
      </w:r>
      <w:r>
        <w:rPr>
          <w:noProof/>
        </w:rPr>
        <w:fldChar w:fldCharType="end"/>
      </w:r>
    </w:p>
    <w:p w14:paraId="0A7A7837" w14:textId="77777777" w:rsidR="00E25764" w:rsidRDefault="00E25764">
      <w:pPr>
        <w:pStyle w:val="TOC3"/>
        <w:rPr>
          <w:rFonts w:asciiTheme="minorHAnsi" w:eastAsiaTheme="minorEastAsia" w:hAnsiTheme="minorHAnsi" w:cstheme="minorBidi"/>
          <w:b w:val="0"/>
          <w:noProof/>
          <w:sz w:val="22"/>
          <w:szCs w:val="22"/>
          <w:lang w:eastAsia="en-AU"/>
        </w:rPr>
      </w:pPr>
      <w:r>
        <w:rPr>
          <w:noProof/>
        </w:rPr>
        <w:lastRenderedPageBreak/>
        <w:t>Division 3.3.5—Crude oil refining</w:t>
      </w:r>
      <w:r>
        <w:rPr>
          <w:noProof/>
        </w:rPr>
        <w:tab/>
      </w:r>
      <w:r>
        <w:rPr>
          <w:noProof/>
        </w:rPr>
        <w:fldChar w:fldCharType="begin"/>
      </w:r>
      <w:r>
        <w:rPr>
          <w:noProof/>
        </w:rPr>
        <w:instrText xml:space="preserve"> PAGEREF _Toc495652861 \h </w:instrText>
      </w:r>
      <w:r>
        <w:rPr>
          <w:noProof/>
        </w:rPr>
      </w:r>
      <w:r>
        <w:rPr>
          <w:noProof/>
        </w:rPr>
        <w:fldChar w:fldCharType="separate"/>
      </w:r>
      <w:r w:rsidR="00766D30">
        <w:rPr>
          <w:noProof/>
        </w:rPr>
        <w:t>271</w:t>
      </w:r>
      <w:r>
        <w:rPr>
          <w:noProof/>
        </w:rPr>
        <w:fldChar w:fldCharType="end"/>
      </w:r>
    </w:p>
    <w:p w14:paraId="17628CC1" w14:textId="77777777" w:rsidR="00E25764" w:rsidRDefault="00E25764">
      <w:pPr>
        <w:pStyle w:val="TOC5"/>
        <w:rPr>
          <w:rFonts w:asciiTheme="minorHAnsi" w:eastAsiaTheme="minorEastAsia" w:hAnsiTheme="minorHAnsi" w:cstheme="minorBidi"/>
          <w:noProof/>
          <w:sz w:val="22"/>
          <w:szCs w:val="22"/>
          <w:lang w:eastAsia="en-AU"/>
        </w:rPr>
      </w:pPr>
      <w:r>
        <w:rPr>
          <w:noProof/>
        </w:rPr>
        <w:t>3.61  Application</w:t>
      </w:r>
      <w:r>
        <w:rPr>
          <w:noProof/>
        </w:rPr>
        <w:tab/>
      </w:r>
      <w:r>
        <w:rPr>
          <w:noProof/>
        </w:rPr>
        <w:fldChar w:fldCharType="begin"/>
      </w:r>
      <w:r>
        <w:rPr>
          <w:noProof/>
        </w:rPr>
        <w:instrText xml:space="preserve"> PAGEREF _Toc495652862 \h </w:instrText>
      </w:r>
      <w:r>
        <w:rPr>
          <w:noProof/>
        </w:rPr>
      </w:r>
      <w:r>
        <w:rPr>
          <w:noProof/>
        </w:rPr>
        <w:fldChar w:fldCharType="separate"/>
      </w:r>
      <w:r w:rsidR="00766D30">
        <w:rPr>
          <w:noProof/>
        </w:rPr>
        <w:t>271</w:t>
      </w:r>
      <w:r>
        <w:rPr>
          <w:noProof/>
        </w:rPr>
        <w:fldChar w:fldCharType="end"/>
      </w:r>
    </w:p>
    <w:p w14:paraId="3ABE997C" w14:textId="77777777" w:rsidR="00E25764" w:rsidRDefault="00E25764">
      <w:pPr>
        <w:pStyle w:val="TOC5"/>
        <w:rPr>
          <w:rFonts w:asciiTheme="minorHAnsi" w:eastAsiaTheme="minorEastAsia" w:hAnsiTheme="minorHAnsi" w:cstheme="minorBidi"/>
          <w:noProof/>
          <w:sz w:val="22"/>
          <w:szCs w:val="22"/>
          <w:lang w:eastAsia="en-AU"/>
        </w:rPr>
      </w:pPr>
      <w:r>
        <w:rPr>
          <w:noProof/>
        </w:rPr>
        <w:t>3.62  Available methods</w:t>
      </w:r>
      <w:r>
        <w:rPr>
          <w:noProof/>
        </w:rPr>
        <w:tab/>
      </w:r>
      <w:r>
        <w:rPr>
          <w:noProof/>
        </w:rPr>
        <w:fldChar w:fldCharType="begin"/>
      </w:r>
      <w:r>
        <w:rPr>
          <w:noProof/>
        </w:rPr>
        <w:instrText xml:space="preserve"> PAGEREF _Toc495652863 \h </w:instrText>
      </w:r>
      <w:r>
        <w:rPr>
          <w:noProof/>
        </w:rPr>
      </w:r>
      <w:r>
        <w:rPr>
          <w:noProof/>
        </w:rPr>
        <w:fldChar w:fldCharType="separate"/>
      </w:r>
      <w:r w:rsidR="00766D30">
        <w:rPr>
          <w:noProof/>
        </w:rPr>
        <w:t>271</w:t>
      </w:r>
      <w:r>
        <w:rPr>
          <w:noProof/>
        </w:rPr>
        <w:fldChar w:fldCharType="end"/>
      </w:r>
    </w:p>
    <w:p w14:paraId="3D130DED"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3.3.5.1—Fugitive emissions from crude oil refining and from storage tanks for crude oil</w:t>
      </w:r>
      <w:r>
        <w:rPr>
          <w:noProof/>
        </w:rPr>
        <w:tab/>
      </w:r>
      <w:r>
        <w:rPr>
          <w:noProof/>
        </w:rPr>
        <w:fldChar w:fldCharType="begin"/>
      </w:r>
      <w:r>
        <w:rPr>
          <w:noProof/>
        </w:rPr>
        <w:instrText xml:space="preserve"> PAGEREF _Toc495652864 \h </w:instrText>
      </w:r>
      <w:r>
        <w:rPr>
          <w:noProof/>
        </w:rPr>
      </w:r>
      <w:r>
        <w:rPr>
          <w:noProof/>
        </w:rPr>
        <w:fldChar w:fldCharType="separate"/>
      </w:r>
      <w:r w:rsidR="00766D30">
        <w:rPr>
          <w:noProof/>
        </w:rPr>
        <w:t>273</w:t>
      </w:r>
      <w:r>
        <w:rPr>
          <w:noProof/>
        </w:rPr>
        <w:fldChar w:fldCharType="end"/>
      </w:r>
    </w:p>
    <w:p w14:paraId="1F0A1BCF" w14:textId="77777777" w:rsidR="00E25764" w:rsidRDefault="00E25764">
      <w:pPr>
        <w:pStyle w:val="TOC5"/>
        <w:rPr>
          <w:rFonts w:asciiTheme="minorHAnsi" w:eastAsiaTheme="minorEastAsia" w:hAnsiTheme="minorHAnsi" w:cstheme="minorBidi"/>
          <w:noProof/>
          <w:sz w:val="22"/>
          <w:szCs w:val="22"/>
          <w:lang w:eastAsia="en-AU"/>
        </w:rPr>
      </w:pPr>
      <w:r>
        <w:rPr>
          <w:noProof/>
        </w:rPr>
        <w:t>3.63  Method 1—crude oil refining and storage tanks for crude oil</w:t>
      </w:r>
      <w:r>
        <w:rPr>
          <w:noProof/>
        </w:rPr>
        <w:tab/>
      </w:r>
      <w:r>
        <w:rPr>
          <w:noProof/>
        </w:rPr>
        <w:fldChar w:fldCharType="begin"/>
      </w:r>
      <w:r>
        <w:rPr>
          <w:noProof/>
        </w:rPr>
        <w:instrText xml:space="preserve"> PAGEREF _Toc495652865 \h </w:instrText>
      </w:r>
      <w:r>
        <w:rPr>
          <w:noProof/>
        </w:rPr>
      </w:r>
      <w:r>
        <w:rPr>
          <w:noProof/>
        </w:rPr>
        <w:fldChar w:fldCharType="separate"/>
      </w:r>
      <w:r w:rsidR="00766D30">
        <w:rPr>
          <w:noProof/>
        </w:rPr>
        <w:t>273</w:t>
      </w:r>
      <w:r>
        <w:rPr>
          <w:noProof/>
        </w:rPr>
        <w:fldChar w:fldCharType="end"/>
      </w:r>
    </w:p>
    <w:p w14:paraId="61D99E74" w14:textId="77777777" w:rsidR="00E25764" w:rsidRDefault="00E25764">
      <w:pPr>
        <w:pStyle w:val="TOC5"/>
        <w:rPr>
          <w:rFonts w:asciiTheme="minorHAnsi" w:eastAsiaTheme="minorEastAsia" w:hAnsiTheme="minorHAnsi" w:cstheme="minorBidi"/>
          <w:noProof/>
          <w:sz w:val="22"/>
          <w:szCs w:val="22"/>
          <w:lang w:eastAsia="en-AU"/>
        </w:rPr>
      </w:pPr>
      <w:r>
        <w:rPr>
          <w:noProof/>
        </w:rPr>
        <w:t>3.64  Method 2—crude oil refining and storage tanks for crude oil</w:t>
      </w:r>
      <w:r>
        <w:rPr>
          <w:noProof/>
        </w:rPr>
        <w:tab/>
      </w:r>
      <w:r>
        <w:rPr>
          <w:noProof/>
        </w:rPr>
        <w:fldChar w:fldCharType="begin"/>
      </w:r>
      <w:r>
        <w:rPr>
          <w:noProof/>
        </w:rPr>
        <w:instrText xml:space="preserve"> PAGEREF _Toc495652866 \h </w:instrText>
      </w:r>
      <w:r>
        <w:rPr>
          <w:noProof/>
        </w:rPr>
      </w:r>
      <w:r>
        <w:rPr>
          <w:noProof/>
        </w:rPr>
        <w:fldChar w:fldCharType="separate"/>
      </w:r>
      <w:r w:rsidR="00766D30">
        <w:rPr>
          <w:noProof/>
        </w:rPr>
        <w:t>274</w:t>
      </w:r>
      <w:r>
        <w:rPr>
          <w:noProof/>
        </w:rPr>
        <w:fldChar w:fldCharType="end"/>
      </w:r>
    </w:p>
    <w:p w14:paraId="74A0A234"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3.3.5.2—Fugitive emissions from deliberate releases from process vents, system upsets and accidents</w:t>
      </w:r>
      <w:r>
        <w:rPr>
          <w:noProof/>
        </w:rPr>
        <w:tab/>
      </w:r>
      <w:r>
        <w:rPr>
          <w:noProof/>
        </w:rPr>
        <w:fldChar w:fldCharType="begin"/>
      </w:r>
      <w:r>
        <w:rPr>
          <w:noProof/>
        </w:rPr>
        <w:instrText xml:space="preserve"> PAGEREF _Toc495652867 \h </w:instrText>
      </w:r>
      <w:r>
        <w:rPr>
          <w:noProof/>
        </w:rPr>
      </w:r>
      <w:r>
        <w:rPr>
          <w:noProof/>
        </w:rPr>
        <w:fldChar w:fldCharType="separate"/>
      </w:r>
      <w:r w:rsidR="00766D30">
        <w:rPr>
          <w:noProof/>
        </w:rPr>
        <w:t>275</w:t>
      </w:r>
      <w:r>
        <w:rPr>
          <w:noProof/>
        </w:rPr>
        <w:fldChar w:fldCharType="end"/>
      </w:r>
    </w:p>
    <w:p w14:paraId="517B8B77" w14:textId="77777777" w:rsidR="00E25764" w:rsidRDefault="00E25764">
      <w:pPr>
        <w:pStyle w:val="TOC5"/>
        <w:rPr>
          <w:rFonts w:asciiTheme="minorHAnsi" w:eastAsiaTheme="minorEastAsia" w:hAnsiTheme="minorHAnsi" w:cstheme="minorBidi"/>
          <w:noProof/>
          <w:sz w:val="22"/>
          <w:szCs w:val="22"/>
          <w:lang w:eastAsia="en-AU"/>
        </w:rPr>
      </w:pPr>
      <w:r>
        <w:rPr>
          <w:noProof/>
        </w:rPr>
        <w:t>3.65  Method 1—fugitive emissions from deliberate releases from process vents, system upsets and accidents</w:t>
      </w:r>
      <w:r>
        <w:rPr>
          <w:noProof/>
        </w:rPr>
        <w:tab/>
      </w:r>
      <w:r>
        <w:rPr>
          <w:noProof/>
        </w:rPr>
        <w:fldChar w:fldCharType="begin"/>
      </w:r>
      <w:r>
        <w:rPr>
          <w:noProof/>
        </w:rPr>
        <w:instrText xml:space="preserve"> PAGEREF _Toc495652868 \h </w:instrText>
      </w:r>
      <w:r>
        <w:rPr>
          <w:noProof/>
        </w:rPr>
      </w:r>
      <w:r>
        <w:rPr>
          <w:noProof/>
        </w:rPr>
        <w:fldChar w:fldCharType="separate"/>
      </w:r>
      <w:r w:rsidR="00766D30">
        <w:rPr>
          <w:noProof/>
        </w:rPr>
        <w:t>275</w:t>
      </w:r>
      <w:r>
        <w:rPr>
          <w:noProof/>
        </w:rPr>
        <w:fldChar w:fldCharType="end"/>
      </w:r>
    </w:p>
    <w:p w14:paraId="0BA247B3" w14:textId="77777777" w:rsidR="00E25764" w:rsidRDefault="00E25764">
      <w:pPr>
        <w:pStyle w:val="TOC5"/>
        <w:rPr>
          <w:rFonts w:asciiTheme="minorHAnsi" w:eastAsiaTheme="minorEastAsia" w:hAnsiTheme="minorHAnsi" w:cstheme="minorBidi"/>
          <w:noProof/>
          <w:sz w:val="22"/>
          <w:szCs w:val="22"/>
          <w:lang w:eastAsia="en-AU"/>
        </w:rPr>
      </w:pPr>
      <w:r>
        <w:rPr>
          <w:noProof/>
        </w:rPr>
        <w:t>3.66  Method 4—deliberate releases from process vents, system upsets and accidents</w:t>
      </w:r>
      <w:r>
        <w:rPr>
          <w:noProof/>
        </w:rPr>
        <w:tab/>
      </w:r>
      <w:r>
        <w:rPr>
          <w:noProof/>
        </w:rPr>
        <w:fldChar w:fldCharType="begin"/>
      </w:r>
      <w:r>
        <w:rPr>
          <w:noProof/>
        </w:rPr>
        <w:instrText xml:space="preserve"> PAGEREF _Toc495652869 \h </w:instrText>
      </w:r>
      <w:r>
        <w:rPr>
          <w:noProof/>
        </w:rPr>
      </w:r>
      <w:r>
        <w:rPr>
          <w:noProof/>
        </w:rPr>
        <w:fldChar w:fldCharType="separate"/>
      </w:r>
      <w:r w:rsidR="00766D30">
        <w:rPr>
          <w:noProof/>
        </w:rPr>
        <w:t>275</w:t>
      </w:r>
      <w:r>
        <w:rPr>
          <w:noProof/>
        </w:rPr>
        <w:fldChar w:fldCharType="end"/>
      </w:r>
    </w:p>
    <w:p w14:paraId="6BA54DFB"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3.3.5.3—Fugitive emissions released from gas flared from the oil refinery</w:t>
      </w:r>
      <w:r>
        <w:rPr>
          <w:noProof/>
        </w:rPr>
        <w:tab/>
      </w:r>
      <w:r>
        <w:rPr>
          <w:noProof/>
        </w:rPr>
        <w:fldChar w:fldCharType="begin"/>
      </w:r>
      <w:r>
        <w:rPr>
          <w:noProof/>
        </w:rPr>
        <w:instrText xml:space="preserve"> PAGEREF _Toc495652870 \h </w:instrText>
      </w:r>
      <w:r>
        <w:rPr>
          <w:noProof/>
        </w:rPr>
      </w:r>
      <w:r>
        <w:rPr>
          <w:noProof/>
        </w:rPr>
        <w:fldChar w:fldCharType="separate"/>
      </w:r>
      <w:r w:rsidR="00766D30">
        <w:rPr>
          <w:noProof/>
        </w:rPr>
        <w:t>276</w:t>
      </w:r>
      <w:r>
        <w:rPr>
          <w:noProof/>
        </w:rPr>
        <w:fldChar w:fldCharType="end"/>
      </w:r>
    </w:p>
    <w:p w14:paraId="3FAD799D" w14:textId="77777777" w:rsidR="00E25764" w:rsidRDefault="00E25764">
      <w:pPr>
        <w:pStyle w:val="TOC5"/>
        <w:rPr>
          <w:rFonts w:asciiTheme="minorHAnsi" w:eastAsiaTheme="minorEastAsia" w:hAnsiTheme="minorHAnsi" w:cstheme="minorBidi"/>
          <w:noProof/>
          <w:sz w:val="22"/>
          <w:szCs w:val="22"/>
          <w:lang w:eastAsia="en-AU"/>
        </w:rPr>
      </w:pPr>
      <w:r>
        <w:rPr>
          <w:noProof/>
        </w:rPr>
        <w:t>3.67  Method 1—gas flared from crude oil refining</w:t>
      </w:r>
      <w:r>
        <w:rPr>
          <w:noProof/>
        </w:rPr>
        <w:tab/>
      </w:r>
      <w:r>
        <w:rPr>
          <w:noProof/>
        </w:rPr>
        <w:fldChar w:fldCharType="begin"/>
      </w:r>
      <w:r>
        <w:rPr>
          <w:noProof/>
        </w:rPr>
        <w:instrText xml:space="preserve"> PAGEREF _Toc495652871 \h </w:instrText>
      </w:r>
      <w:r>
        <w:rPr>
          <w:noProof/>
        </w:rPr>
      </w:r>
      <w:r>
        <w:rPr>
          <w:noProof/>
        </w:rPr>
        <w:fldChar w:fldCharType="separate"/>
      </w:r>
      <w:r w:rsidR="00766D30">
        <w:rPr>
          <w:noProof/>
        </w:rPr>
        <w:t>276</w:t>
      </w:r>
      <w:r>
        <w:rPr>
          <w:noProof/>
        </w:rPr>
        <w:fldChar w:fldCharType="end"/>
      </w:r>
    </w:p>
    <w:p w14:paraId="7D1F575F" w14:textId="77777777" w:rsidR="00E25764" w:rsidRDefault="00E25764">
      <w:pPr>
        <w:pStyle w:val="TOC5"/>
        <w:rPr>
          <w:rFonts w:asciiTheme="minorHAnsi" w:eastAsiaTheme="minorEastAsia" w:hAnsiTheme="minorHAnsi" w:cstheme="minorBidi"/>
          <w:noProof/>
          <w:sz w:val="22"/>
          <w:szCs w:val="22"/>
          <w:lang w:eastAsia="en-AU"/>
        </w:rPr>
      </w:pPr>
      <w:r>
        <w:rPr>
          <w:noProof/>
        </w:rPr>
        <w:t>3.68  Method 2—gas flared from crude oil refining</w:t>
      </w:r>
      <w:r>
        <w:rPr>
          <w:noProof/>
        </w:rPr>
        <w:tab/>
      </w:r>
      <w:r>
        <w:rPr>
          <w:noProof/>
        </w:rPr>
        <w:fldChar w:fldCharType="begin"/>
      </w:r>
      <w:r>
        <w:rPr>
          <w:noProof/>
        </w:rPr>
        <w:instrText xml:space="preserve"> PAGEREF _Toc495652872 \h </w:instrText>
      </w:r>
      <w:r>
        <w:rPr>
          <w:noProof/>
        </w:rPr>
      </w:r>
      <w:r>
        <w:rPr>
          <w:noProof/>
        </w:rPr>
        <w:fldChar w:fldCharType="separate"/>
      </w:r>
      <w:r w:rsidR="00766D30">
        <w:rPr>
          <w:noProof/>
        </w:rPr>
        <w:t>277</w:t>
      </w:r>
      <w:r>
        <w:rPr>
          <w:noProof/>
        </w:rPr>
        <w:fldChar w:fldCharType="end"/>
      </w:r>
    </w:p>
    <w:p w14:paraId="3667C176" w14:textId="77777777" w:rsidR="00E25764" w:rsidRDefault="00E25764">
      <w:pPr>
        <w:pStyle w:val="TOC5"/>
        <w:rPr>
          <w:rFonts w:asciiTheme="minorHAnsi" w:eastAsiaTheme="minorEastAsia" w:hAnsiTheme="minorHAnsi" w:cstheme="minorBidi"/>
          <w:noProof/>
          <w:sz w:val="22"/>
          <w:szCs w:val="22"/>
          <w:lang w:eastAsia="en-AU"/>
        </w:rPr>
      </w:pPr>
      <w:r>
        <w:rPr>
          <w:noProof/>
        </w:rPr>
        <w:t>3.68A   Method 2A—crude oil refining (flared methane or nitrous oxide emissions)</w:t>
      </w:r>
      <w:r>
        <w:rPr>
          <w:noProof/>
        </w:rPr>
        <w:tab/>
      </w:r>
      <w:r>
        <w:rPr>
          <w:noProof/>
        </w:rPr>
        <w:fldChar w:fldCharType="begin"/>
      </w:r>
      <w:r>
        <w:rPr>
          <w:noProof/>
        </w:rPr>
        <w:instrText xml:space="preserve"> PAGEREF _Toc495652873 \h </w:instrText>
      </w:r>
      <w:r>
        <w:rPr>
          <w:noProof/>
        </w:rPr>
      </w:r>
      <w:r>
        <w:rPr>
          <w:noProof/>
        </w:rPr>
        <w:fldChar w:fldCharType="separate"/>
      </w:r>
      <w:r w:rsidR="00766D30">
        <w:rPr>
          <w:noProof/>
        </w:rPr>
        <w:t>277</w:t>
      </w:r>
      <w:r>
        <w:rPr>
          <w:noProof/>
        </w:rPr>
        <w:fldChar w:fldCharType="end"/>
      </w:r>
    </w:p>
    <w:p w14:paraId="45759FB6" w14:textId="77777777" w:rsidR="00E25764" w:rsidRDefault="00E25764">
      <w:pPr>
        <w:pStyle w:val="TOC5"/>
        <w:rPr>
          <w:rFonts w:asciiTheme="minorHAnsi" w:eastAsiaTheme="minorEastAsia" w:hAnsiTheme="minorHAnsi" w:cstheme="minorBidi"/>
          <w:noProof/>
          <w:sz w:val="22"/>
          <w:szCs w:val="22"/>
          <w:lang w:eastAsia="en-AU"/>
        </w:rPr>
      </w:pPr>
      <w:r>
        <w:rPr>
          <w:noProof/>
        </w:rPr>
        <w:t>3.69  Method 3—gas flared from crude oil refining</w:t>
      </w:r>
      <w:r>
        <w:rPr>
          <w:noProof/>
        </w:rPr>
        <w:tab/>
      </w:r>
      <w:r>
        <w:rPr>
          <w:noProof/>
        </w:rPr>
        <w:fldChar w:fldCharType="begin"/>
      </w:r>
      <w:r>
        <w:rPr>
          <w:noProof/>
        </w:rPr>
        <w:instrText xml:space="preserve"> PAGEREF _Toc495652874 \h </w:instrText>
      </w:r>
      <w:r>
        <w:rPr>
          <w:noProof/>
        </w:rPr>
      </w:r>
      <w:r>
        <w:rPr>
          <w:noProof/>
        </w:rPr>
        <w:fldChar w:fldCharType="separate"/>
      </w:r>
      <w:r w:rsidR="00766D30">
        <w:rPr>
          <w:noProof/>
        </w:rPr>
        <w:t>278</w:t>
      </w:r>
      <w:r>
        <w:rPr>
          <w:noProof/>
        </w:rPr>
        <w:fldChar w:fldCharType="end"/>
      </w:r>
    </w:p>
    <w:p w14:paraId="4C7CECC5"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3.3.6—Natural gas production or processing, other than emissions that are vented or flared</w:t>
      </w:r>
      <w:r>
        <w:rPr>
          <w:noProof/>
        </w:rPr>
        <w:tab/>
      </w:r>
      <w:r>
        <w:rPr>
          <w:noProof/>
        </w:rPr>
        <w:fldChar w:fldCharType="begin"/>
      </w:r>
      <w:r>
        <w:rPr>
          <w:noProof/>
        </w:rPr>
        <w:instrText xml:space="preserve"> PAGEREF _Toc495652875 \h </w:instrText>
      </w:r>
      <w:r>
        <w:rPr>
          <w:noProof/>
        </w:rPr>
      </w:r>
      <w:r>
        <w:rPr>
          <w:noProof/>
        </w:rPr>
        <w:fldChar w:fldCharType="separate"/>
      </w:r>
      <w:r w:rsidR="00766D30">
        <w:rPr>
          <w:noProof/>
        </w:rPr>
        <w:t>281</w:t>
      </w:r>
      <w:r>
        <w:rPr>
          <w:noProof/>
        </w:rPr>
        <w:fldChar w:fldCharType="end"/>
      </w:r>
    </w:p>
    <w:p w14:paraId="6F9431BB" w14:textId="77777777" w:rsidR="00E25764" w:rsidRDefault="00E25764">
      <w:pPr>
        <w:pStyle w:val="TOC5"/>
        <w:rPr>
          <w:rFonts w:asciiTheme="minorHAnsi" w:eastAsiaTheme="minorEastAsia" w:hAnsiTheme="minorHAnsi" w:cstheme="minorBidi"/>
          <w:noProof/>
          <w:sz w:val="22"/>
          <w:szCs w:val="22"/>
          <w:lang w:eastAsia="en-AU"/>
        </w:rPr>
      </w:pPr>
      <w:r>
        <w:rPr>
          <w:noProof/>
        </w:rPr>
        <w:t>3.70  Application</w:t>
      </w:r>
      <w:r>
        <w:rPr>
          <w:noProof/>
        </w:rPr>
        <w:tab/>
      </w:r>
      <w:r>
        <w:rPr>
          <w:noProof/>
        </w:rPr>
        <w:fldChar w:fldCharType="begin"/>
      </w:r>
      <w:r>
        <w:rPr>
          <w:noProof/>
        </w:rPr>
        <w:instrText xml:space="preserve"> PAGEREF _Toc495652876 \h </w:instrText>
      </w:r>
      <w:r>
        <w:rPr>
          <w:noProof/>
        </w:rPr>
      </w:r>
      <w:r>
        <w:rPr>
          <w:noProof/>
        </w:rPr>
        <w:fldChar w:fldCharType="separate"/>
      </w:r>
      <w:r w:rsidR="00766D30">
        <w:rPr>
          <w:noProof/>
        </w:rPr>
        <w:t>281</w:t>
      </w:r>
      <w:r>
        <w:rPr>
          <w:noProof/>
        </w:rPr>
        <w:fldChar w:fldCharType="end"/>
      </w:r>
    </w:p>
    <w:p w14:paraId="2344CFEB" w14:textId="77777777" w:rsidR="00E25764" w:rsidRDefault="00E25764">
      <w:pPr>
        <w:pStyle w:val="TOC5"/>
        <w:rPr>
          <w:rFonts w:asciiTheme="minorHAnsi" w:eastAsiaTheme="minorEastAsia" w:hAnsiTheme="minorHAnsi" w:cstheme="minorBidi"/>
          <w:noProof/>
          <w:sz w:val="22"/>
          <w:szCs w:val="22"/>
          <w:lang w:eastAsia="en-AU"/>
        </w:rPr>
      </w:pPr>
      <w:r>
        <w:rPr>
          <w:noProof/>
        </w:rPr>
        <w:t>3.71  Available methods</w:t>
      </w:r>
      <w:r>
        <w:rPr>
          <w:noProof/>
        </w:rPr>
        <w:tab/>
      </w:r>
      <w:r>
        <w:rPr>
          <w:noProof/>
        </w:rPr>
        <w:fldChar w:fldCharType="begin"/>
      </w:r>
      <w:r>
        <w:rPr>
          <w:noProof/>
        </w:rPr>
        <w:instrText xml:space="preserve"> PAGEREF _Toc495652877 \h </w:instrText>
      </w:r>
      <w:r>
        <w:rPr>
          <w:noProof/>
        </w:rPr>
      </w:r>
      <w:r>
        <w:rPr>
          <w:noProof/>
        </w:rPr>
        <w:fldChar w:fldCharType="separate"/>
      </w:r>
      <w:r w:rsidR="00766D30">
        <w:rPr>
          <w:noProof/>
        </w:rPr>
        <w:t>281</w:t>
      </w:r>
      <w:r>
        <w:rPr>
          <w:noProof/>
        </w:rPr>
        <w:fldChar w:fldCharType="end"/>
      </w:r>
    </w:p>
    <w:p w14:paraId="21E91CF3" w14:textId="77777777" w:rsidR="00E25764" w:rsidRDefault="00E25764">
      <w:pPr>
        <w:pStyle w:val="TOC5"/>
        <w:rPr>
          <w:rFonts w:asciiTheme="minorHAnsi" w:eastAsiaTheme="minorEastAsia" w:hAnsiTheme="minorHAnsi" w:cstheme="minorBidi"/>
          <w:noProof/>
          <w:sz w:val="22"/>
          <w:szCs w:val="22"/>
          <w:lang w:eastAsia="en-AU"/>
        </w:rPr>
      </w:pPr>
      <w:r>
        <w:rPr>
          <w:noProof/>
        </w:rPr>
        <w:t>3.72  Method 1—natural gas production and processing (other than emissions that are vented or flared)</w:t>
      </w:r>
      <w:r>
        <w:rPr>
          <w:noProof/>
        </w:rPr>
        <w:tab/>
      </w:r>
      <w:r>
        <w:rPr>
          <w:noProof/>
        </w:rPr>
        <w:fldChar w:fldCharType="begin"/>
      </w:r>
      <w:r>
        <w:rPr>
          <w:noProof/>
        </w:rPr>
        <w:instrText xml:space="preserve"> PAGEREF _Toc495652878 \h </w:instrText>
      </w:r>
      <w:r>
        <w:rPr>
          <w:noProof/>
        </w:rPr>
      </w:r>
      <w:r>
        <w:rPr>
          <w:noProof/>
        </w:rPr>
        <w:fldChar w:fldCharType="separate"/>
      </w:r>
      <w:r w:rsidR="00766D30">
        <w:rPr>
          <w:noProof/>
        </w:rPr>
        <w:t>282</w:t>
      </w:r>
      <w:r>
        <w:rPr>
          <w:noProof/>
        </w:rPr>
        <w:fldChar w:fldCharType="end"/>
      </w:r>
    </w:p>
    <w:p w14:paraId="0708610F" w14:textId="77777777" w:rsidR="00E25764" w:rsidRDefault="00E25764">
      <w:pPr>
        <w:pStyle w:val="TOC5"/>
        <w:rPr>
          <w:rFonts w:asciiTheme="minorHAnsi" w:eastAsiaTheme="minorEastAsia" w:hAnsiTheme="minorHAnsi" w:cstheme="minorBidi"/>
          <w:noProof/>
          <w:sz w:val="22"/>
          <w:szCs w:val="22"/>
          <w:lang w:eastAsia="en-AU"/>
        </w:rPr>
      </w:pPr>
      <w:r>
        <w:rPr>
          <w:noProof/>
        </w:rPr>
        <w:t>3.73  Method 2—natural gas production and processing (other than venting and flaring)</w:t>
      </w:r>
      <w:r>
        <w:rPr>
          <w:noProof/>
        </w:rPr>
        <w:tab/>
      </w:r>
      <w:r>
        <w:rPr>
          <w:noProof/>
        </w:rPr>
        <w:fldChar w:fldCharType="begin"/>
      </w:r>
      <w:r>
        <w:rPr>
          <w:noProof/>
        </w:rPr>
        <w:instrText xml:space="preserve"> PAGEREF _Toc495652879 \h </w:instrText>
      </w:r>
      <w:r>
        <w:rPr>
          <w:noProof/>
        </w:rPr>
      </w:r>
      <w:r>
        <w:rPr>
          <w:noProof/>
        </w:rPr>
        <w:fldChar w:fldCharType="separate"/>
      </w:r>
      <w:r w:rsidR="00766D30">
        <w:rPr>
          <w:noProof/>
        </w:rPr>
        <w:t>283</w:t>
      </w:r>
      <w:r>
        <w:rPr>
          <w:noProof/>
        </w:rPr>
        <w:fldChar w:fldCharType="end"/>
      </w:r>
    </w:p>
    <w:p w14:paraId="67803A90"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3.3.7—Natural gas transmission</w:t>
      </w:r>
      <w:r>
        <w:rPr>
          <w:noProof/>
        </w:rPr>
        <w:tab/>
      </w:r>
      <w:r>
        <w:rPr>
          <w:noProof/>
        </w:rPr>
        <w:fldChar w:fldCharType="begin"/>
      </w:r>
      <w:r>
        <w:rPr>
          <w:noProof/>
        </w:rPr>
        <w:instrText xml:space="preserve"> PAGEREF _Toc495652880 \h </w:instrText>
      </w:r>
      <w:r>
        <w:rPr>
          <w:noProof/>
        </w:rPr>
      </w:r>
      <w:r>
        <w:rPr>
          <w:noProof/>
        </w:rPr>
        <w:fldChar w:fldCharType="separate"/>
      </w:r>
      <w:r w:rsidR="00766D30">
        <w:rPr>
          <w:noProof/>
        </w:rPr>
        <w:t>285</w:t>
      </w:r>
      <w:r>
        <w:rPr>
          <w:noProof/>
        </w:rPr>
        <w:fldChar w:fldCharType="end"/>
      </w:r>
    </w:p>
    <w:p w14:paraId="3D539668" w14:textId="77777777" w:rsidR="00E25764" w:rsidRDefault="00E25764">
      <w:pPr>
        <w:pStyle w:val="TOC5"/>
        <w:rPr>
          <w:rFonts w:asciiTheme="minorHAnsi" w:eastAsiaTheme="minorEastAsia" w:hAnsiTheme="minorHAnsi" w:cstheme="minorBidi"/>
          <w:noProof/>
          <w:sz w:val="22"/>
          <w:szCs w:val="22"/>
          <w:lang w:eastAsia="en-AU"/>
        </w:rPr>
      </w:pPr>
      <w:r>
        <w:rPr>
          <w:noProof/>
        </w:rPr>
        <w:t>3.74  Application</w:t>
      </w:r>
      <w:r>
        <w:rPr>
          <w:noProof/>
        </w:rPr>
        <w:tab/>
      </w:r>
      <w:r>
        <w:rPr>
          <w:noProof/>
        </w:rPr>
        <w:fldChar w:fldCharType="begin"/>
      </w:r>
      <w:r>
        <w:rPr>
          <w:noProof/>
        </w:rPr>
        <w:instrText xml:space="preserve"> PAGEREF _Toc495652881 \h </w:instrText>
      </w:r>
      <w:r>
        <w:rPr>
          <w:noProof/>
        </w:rPr>
      </w:r>
      <w:r>
        <w:rPr>
          <w:noProof/>
        </w:rPr>
        <w:fldChar w:fldCharType="separate"/>
      </w:r>
      <w:r w:rsidR="00766D30">
        <w:rPr>
          <w:noProof/>
        </w:rPr>
        <w:t>285</w:t>
      </w:r>
      <w:r>
        <w:rPr>
          <w:noProof/>
        </w:rPr>
        <w:fldChar w:fldCharType="end"/>
      </w:r>
    </w:p>
    <w:p w14:paraId="4ABDE36E" w14:textId="77777777" w:rsidR="00E25764" w:rsidRDefault="00E25764">
      <w:pPr>
        <w:pStyle w:val="TOC5"/>
        <w:rPr>
          <w:rFonts w:asciiTheme="minorHAnsi" w:eastAsiaTheme="minorEastAsia" w:hAnsiTheme="minorHAnsi" w:cstheme="minorBidi"/>
          <w:noProof/>
          <w:sz w:val="22"/>
          <w:szCs w:val="22"/>
          <w:lang w:eastAsia="en-AU"/>
        </w:rPr>
      </w:pPr>
      <w:r>
        <w:rPr>
          <w:noProof/>
        </w:rPr>
        <w:t>3.75  Available methods</w:t>
      </w:r>
      <w:r>
        <w:rPr>
          <w:noProof/>
        </w:rPr>
        <w:tab/>
      </w:r>
      <w:r>
        <w:rPr>
          <w:noProof/>
        </w:rPr>
        <w:fldChar w:fldCharType="begin"/>
      </w:r>
      <w:r>
        <w:rPr>
          <w:noProof/>
        </w:rPr>
        <w:instrText xml:space="preserve"> PAGEREF _Toc495652882 \h </w:instrText>
      </w:r>
      <w:r>
        <w:rPr>
          <w:noProof/>
        </w:rPr>
      </w:r>
      <w:r>
        <w:rPr>
          <w:noProof/>
        </w:rPr>
        <w:fldChar w:fldCharType="separate"/>
      </w:r>
      <w:r w:rsidR="00766D30">
        <w:rPr>
          <w:noProof/>
        </w:rPr>
        <w:t>285</w:t>
      </w:r>
      <w:r>
        <w:rPr>
          <w:noProof/>
        </w:rPr>
        <w:fldChar w:fldCharType="end"/>
      </w:r>
    </w:p>
    <w:p w14:paraId="71CAD005" w14:textId="77777777" w:rsidR="00E25764" w:rsidRDefault="00E25764">
      <w:pPr>
        <w:pStyle w:val="TOC5"/>
        <w:rPr>
          <w:rFonts w:asciiTheme="minorHAnsi" w:eastAsiaTheme="minorEastAsia" w:hAnsiTheme="minorHAnsi" w:cstheme="minorBidi"/>
          <w:noProof/>
          <w:sz w:val="22"/>
          <w:szCs w:val="22"/>
          <w:lang w:eastAsia="en-AU"/>
        </w:rPr>
      </w:pPr>
      <w:r>
        <w:rPr>
          <w:noProof/>
        </w:rPr>
        <w:lastRenderedPageBreak/>
        <w:t>3.76  Method 1—natural gas transmission</w:t>
      </w:r>
      <w:r>
        <w:rPr>
          <w:noProof/>
        </w:rPr>
        <w:tab/>
      </w:r>
      <w:r>
        <w:rPr>
          <w:noProof/>
        </w:rPr>
        <w:fldChar w:fldCharType="begin"/>
      </w:r>
      <w:r>
        <w:rPr>
          <w:noProof/>
        </w:rPr>
        <w:instrText xml:space="preserve"> PAGEREF _Toc495652883 \h </w:instrText>
      </w:r>
      <w:r>
        <w:rPr>
          <w:noProof/>
        </w:rPr>
      </w:r>
      <w:r>
        <w:rPr>
          <w:noProof/>
        </w:rPr>
        <w:fldChar w:fldCharType="separate"/>
      </w:r>
      <w:r w:rsidR="00766D30">
        <w:rPr>
          <w:noProof/>
        </w:rPr>
        <w:t>286</w:t>
      </w:r>
      <w:r>
        <w:rPr>
          <w:noProof/>
        </w:rPr>
        <w:fldChar w:fldCharType="end"/>
      </w:r>
    </w:p>
    <w:p w14:paraId="0C9B4096" w14:textId="77777777" w:rsidR="00E25764" w:rsidRDefault="00E25764">
      <w:pPr>
        <w:pStyle w:val="TOC5"/>
        <w:rPr>
          <w:rFonts w:asciiTheme="minorHAnsi" w:eastAsiaTheme="minorEastAsia" w:hAnsiTheme="minorHAnsi" w:cstheme="minorBidi"/>
          <w:noProof/>
          <w:sz w:val="22"/>
          <w:szCs w:val="22"/>
          <w:lang w:eastAsia="en-AU"/>
        </w:rPr>
      </w:pPr>
      <w:r>
        <w:rPr>
          <w:noProof/>
        </w:rPr>
        <w:t>3.77  Method 2—natural gas transmission</w:t>
      </w:r>
      <w:r>
        <w:rPr>
          <w:noProof/>
        </w:rPr>
        <w:tab/>
      </w:r>
      <w:r>
        <w:rPr>
          <w:noProof/>
        </w:rPr>
        <w:fldChar w:fldCharType="begin"/>
      </w:r>
      <w:r>
        <w:rPr>
          <w:noProof/>
        </w:rPr>
        <w:instrText xml:space="preserve"> PAGEREF _Toc495652884 \h </w:instrText>
      </w:r>
      <w:r>
        <w:rPr>
          <w:noProof/>
        </w:rPr>
      </w:r>
      <w:r>
        <w:rPr>
          <w:noProof/>
        </w:rPr>
        <w:fldChar w:fldCharType="separate"/>
      </w:r>
      <w:r w:rsidR="00766D30">
        <w:rPr>
          <w:noProof/>
        </w:rPr>
        <w:t>287</w:t>
      </w:r>
      <w:r>
        <w:rPr>
          <w:noProof/>
        </w:rPr>
        <w:fldChar w:fldCharType="end"/>
      </w:r>
    </w:p>
    <w:p w14:paraId="3B097C34"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3.3.8—Natural gas distribution</w:t>
      </w:r>
      <w:r>
        <w:rPr>
          <w:noProof/>
        </w:rPr>
        <w:tab/>
      </w:r>
      <w:r>
        <w:rPr>
          <w:noProof/>
        </w:rPr>
        <w:fldChar w:fldCharType="begin"/>
      </w:r>
      <w:r>
        <w:rPr>
          <w:noProof/>
        </w:rPr>
        <w:instrText xml:space="preserve"> PAGEREF _Toc495652885 \h </w:instrText>
      </w:r>
      <w:r>
        <w:rPr>
          <w:noProof/>
        </w:rPr>
      </w:r>
      <w:r>
        <w:rPr>
          <w:noProof/>
        </w:rPr>
        <w:fldChar w:fldCharType="separate"/>
      </w:r>
      <w:r w:rsidR="00766D30">
        <w:rPr>
          <w:noProof/>
        </w:rPr>
        <w:t>289</w:t>
      </w:r>
      <w:r>
        <w:rPr>
          <w:noProof/>
        </w:rPr>
        <w:fldChar w:fldCharType="end"/>
      </w:r>
    </w:p>
    <w:p w14:paraId="75EEBC31" w14:textId="77777777" w:rsidR="00E25764" w:rsidRDefault="00E25764">
      <w:pPr>
        <w:pStyle w:val="TOC5"/>
        <w:rPr>
          <w:rFonts w:asciiTheme="minorHAnsi" w:eastAsiaTheme="minorEastAsia" w:hAnsiTheme="minorHAnsi" w:cstheme="minorBidi"/>
          <w:noProof/>
          <w:sz w:val="22"/>
          <w:szCs w:val="22"/>
          <w:lang w:eastAsia="en-AU"/>
        </w:rPr>
      </w:pPr>
      <w:r>
        <w:rPr>
          <w:noProof/>
        </w:rPr>
        <w:t>3.78  Application</w:t>
      </w:r>
      <w:r>
        <w:rPr>
          <w:noProof/>
        </w:rPr>
        <w:tab/>
      </w:r>
      <w:r>
        <w:rPr>
          <w:noProof/>
        </w:rPr>
        <w:fldChar w:fldCharType="begin"/>
      </w:r>
      <w:r>
        <w:rPr>
          <w:noProof/>
        </w:rPr>
        <w:instrText xml:space="preserve"> PAGEREF _Toc495652886 \h </w:instrText>
      </w:r>
      <w:r>
        <w:rPr>
          <w:noProof/>
        </w:rPr>
      </w:r>
      <w:r>
        <w:rPr>
          <w:noProof/>
        </w:rPr>
        <w:fldChar w:fldCharType="separate"/>
      </w:r>
      <w:r w:rsidR="00766D30">
        <w:rPr>
          <w:noProof/>
        </w:rPr>
        <w:t>289</w:t>
      </w:r>
      <w:r>
        <w:rPr>
          <w:noProof/>
        </w:rPr>
        <w:fldChar w:fldCharType="end"/>
      </w:r>
    </w:p>
    <w:p w14:paraId="62B693D1" w14:textId="77777777" w:rsidR="00E25764" w:rsidRDefault="00E25764">
      <w:pPr>
        <w:pStyle w:val="TOC5"/>
        <w:rPr>
          <w:rFonts w:asciiTheme="minorHAnsi" w:eastAsiaTheme="minorEastAsia" w:hAnsiTheme="minorHAnsi" w:cstheme="minorBidi"/>
          <w:noProof/>
          <w:sz w:val="22"/>
          <w:szCs w:val="22"/>
          <w:lang w:eastAsia="en-AU"/>
        </w:rPr>
      </w:pPr>
      <w:r>
        <w:rPr>
          <w:noProof/>
        </w:rPr>
        <w:t>3.79  Available methods</w:t>
      </w:r>
      <w:r>
        <w:rPr>
          <w:noProof/>
        </w:rPr>
        <w:tab/>
      </w:r>
      <w:r>
        <w:rPr>
          <w:noProof/>
        </w:rPr>
        <w:fldChar w:fldCharType="begin"/>
      </w:r>
      <w:r>
        <w:rPr>
          <w:noProof/>
        </w:rPr>
        <w:instrText xml:space="preserve"> PAGEREF _Toc495652887 \h </w:instrText>
      </w:r>
      <w:r>
        <w:rPr>
          <w:noProof/>
        </w:rPr>
      </w:r>
      <w:r>
        <w:rPr>
          <w:noProof/>
        </w:rPr>
        <w:fldChar w:fldCharType="separate"/>
      </w:r>
      <w:r w:rsidR="00766D30">
        <w:rPr>
          <w:noProof/>
        </w:rPr>
        <w:t>289</w:t>
      </w:r>
      <w:r>
        <w:rPr>
          <w:noProof/>
        </w:rPr>
        <w:fldChar w:fldCharType="end"/>
      </w:r>
    </w:p>
    <w:p w14:paraId="1151A80C" w14:textId="77777777" w:rsidR="00E25764" w:rsidRDefault="00E25764">
      <w:pPr>
        <w:pStyle w:val="TOC5"/>
        <w:rPr>
          <w:rFonts w:asciiTheme="minorHAnsi" w:eastAsiaTheme="minorEastAsia" w:hAnsiTheme="minorHAnsi" w:cstheme="minorBidi"/>
          <w:noProof/>
          <w:sz w:val="22"/>
          <w:szCs w:val="22"/>
          <w:lang w:eastAsia="en-AU"/>
        </w:rPr>
      </w:pPr>
      <w:r>
        <w:rPr>
          <w:noProof/>
        </w:rPr>
        <w:t>3.80  Method 1—natural gas distribution</w:t>
      </w:r>
      <w:r>
        <w:rPr>
          <w:noProof/>
        </w:rPr>
        <w:tab/>
      </w:r>
      <w:r>
        <w:rPr>
          <w:noProof/>
        </w:rPr>
        <w:fldChar w:fldCharType="begin"/>
      </w:r>
      <w:r>
        <w:rPr>
          <w:noProof/>
        </w:rPr>
        <w:instrText xml:space="preserve"> PAGEREF _Toc495652888 \h </w:instrText>
      </w:r>
      <w:r>
        <w:rPr>
          <w:noProof/>
        </w:rPr>
      </w:r>
      <w:r>
        <w:rPr>
          <w:noProof/>
        </w:rPr>
        <w:fldChar w:fldCharType="separate"/>
      </w:r>
      <w:r w:rsidR="00766D30">
        <w:rPr>
          <w:noProof/>
        </w:rPr>
        <w:t>290</w:t>
      </w:r>
      <w:r>
        <w:rPr>
          <w:noProof/>
        </w:rPr>
        <w:fldChar w:fldCharType="end"/>
      </w:r>
    </w:p>
    <w:p w14:paraId="04A89626" w14:textId="77777777" w:rsidR="00E25764" w:rsidRDefault="00E25764">
      <w:pPr>
        <w:pStyle w:val="TOC5"/>
        <w:rPr>
          <w:rFonts w:asciiTheme="minorHAnsi" w:eastAsiaTheme="minorEastAsia" w:hAnsiTheme="minorHAnsi" w:cstheme="minorBidi"/>
          <w:noProof/>
          <w:sz w:val="22"/>
          <w:szCs w:val="22"/>
          <w:lang w:eastAsia="en-AU"/>
        </w:rPr>
      </w:pPr>
      <w:r>
        <w:rPr>
          <w:noProof/>
        </w:rPr>
        <w:t>3.81  Method 2—natural gas distribution</w:t>
      </w:r>
      <w:r>
        <w:rPr>
          <w:noProof/>
        </w:rPr>
        <w:tab/>
      </w:r>
      <w:r>
        <w:rPr>
          <w:noProof/>
        </w:rPr>
        <w:fldChar w:fldCharType="begin"/>
      </w:r>
      <w:r>
        <w:rPr>
          <w:noProof/>
        </w:rPr>
        <w:instrText xml:space="preserve"> PAGEREF _Toc495652889 \h </w:instrText>
      </w:r>
      <w:r>
        <w:rPr>
          <w:noProof/>
        </w:rPr>
      </w:r>
      <w:r>
        <w:rPr>
          <w:noProof/>
        </w:rPr>
        <w:fldChar w:fldCharType="separate"/>
      </w:r>
      <w:r w:rsidR="00766D30">
        <w:rPr>
          <w:noProof/>
        </w:rPr>
        <w:t>291</w:t>
      </w:r>
      <w:r>
        <w:rPr>
          <w:noProof/>
        </w:rPr>
        <w:fldChar w:fldCharType="end"/>
      </w:r>
    </w:p>
    <w:p w14:paraId="5294F5B6"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3.3.9—Natural gas production or processing (emissions that are vented or flared)</w:t>
      </w:r>
      <w:r>
        <w:rPr>
          <w:noProof/>
        </w:rPr>
        <w:tab/>
      </w:r>
      <w:r>
        <w:rPr>
          <w:noProof/>
        </w:rPr>
        <w:fldChar w:fldCharType="begin"/>
      </w:r>
      <w:r>
        <w:rPr>
          <w:noProof/>
        </w:rPr>
        <w:instrText xml:space="preserve"> PAGEREF _Toc495652890 \h </w:instrText>
      </w:r>
      <w:r>
        <w:rPr>
          <w:noProof/>
        </w:rPr>
      </w:r>
      <w:r>
        <w:rPr>
          <w:noProof/>
        </w:rPr>
        <w:fldChar w:fldCharType="separate"/>
      </w:r>
      <w:r w:rsidR="00766D30">
        <w:rPr>
          <w:noProof/>
        </w:rPr>
        <w:t>294</w:t>
      </w:r>
      <w:r>
        <w:rPr>
          <w:noProof/>
        </w:rPr>
        <w:fldChar w:fldCharType="end"/>
      </w:r>
    </w:p>
    <w:p w14:paraId="37A33304" w14:textId="77777777" w:rsidR="00E25764" w:rsidRDefault="00E25764">
      <w:pPr>
        <w:pStyle w:val="TOC5"/>
        <w:rPr>
          <w:rFonts w:asciiTheme="minorHAnsi" w:eastAsiaTheme="minorEastAsia" w:hAnsiTheme="minorHAnsi" w:cstheme="minorBidi"/>
          <w:noProof/>
          <w:sz w:val="22"/>
          <w:szCs w:val="22"/>
          <w:lang w:eastAsia="en-AU"/>
        </w:rPr>
      </w:pPr>
      <w:r>
        <w:rPr>
          <w:noProof/>
        </w:rPr>
        <w:t>3.82  Application</w:t>
      </w:r>
      <w:r>
        <w:rPr>
          <w:noProof/>
        </w:rPr>
        <w:tab/>
      </w:r>
      <w:r>
        <w:rPr>
          <w:noProof/>
        </w:rPr>
        <w:fldChar w:fldCharType="begin"/>
      </w:r>
      <w:r>
        <w:rPr>
          <w:noProof/>
        </w:rPr>
        <w:instrText xml:space="preserve"> PAGEREF _Toc495652891 \h </w:instrText>
      </w:r>
      <w:r>
        <w:rPr>
          <w:noProof/>
        </w:rPr>
      </w:r>
      <w:r>
        <w:rPr>
          <w:noProof/>
        </w:rPr>
        <w:fldChar w:fldCharType="separate"/>
      </w:r>
      <w:r w:rsidR="00766D30">
        <w:rPr>
          <w:noProof/>
        </w:rPr>
        <w:t>294</w:t>
      </w:r>
      <w:r>
        <w:rPr>
          <w:noProof/>
        </w:rPr>
        <w:fldChar w:fldCharType="end"/>
      </w:r>
    </w:p>
    <w:p w14:paraId="0AE8E983" w14:textId="77777777" w:rsidR="00E25764" w:rsidRDefault="00E25764">
      <w:pPr>
        <w:pStyle w:val="TOC5"/>
        <w:rPr>
          <w:rFonts w:asciiTheme="minorHAnsi" w:eastAsiaTheme="minorEastAsia" w:hAnsiTheme="minorHAnsi" w:cstheme="minorBidi"/>
          <w:noProof/>
          <w:sz w:val="22"/>
          <w:szCs w:val="22"/>
          <w:lang w:eastAsia="en-AU"/>
        </w:rPr>
      </w:pPr>
      <w:r>
        <w:rPr>
          <w:noProof/>
        </w:rPr>
        <w:t>3.83  Available methods</w:t>
      </w:r>
      <w:r>
        <w:rPr>
          <w:noProof/>
        </w:rPr>
        <w:tab/>
      </w:r>
      <w:r>
        <w:rPr>
          <w:noProof/>
        </w:rPr>
        <w:fldChar w:fldCharType="begin"/>
      </w:r>
      <w:r>
        <w:rPr>
          <w:noProof/>
        </w:rPr>
        <w:instrText xml:space="preserve"> PAGEREF _Toc495652892 \h </w:instrText>
      </w:r>
      <w:r>
        <w:rPr>
          <w:noProof/>
        </w:rPr>
      </w:r>
      <w:r>
        <w:rPr>
          <w:noProof/>
        </w:rPr>
        <w:fldChar w:fldCharType="separate"/>
      </w:r>
      <w:r w:rsidR="00766D30">
        <w:rPr>
          <w:noProof/>
        </w:rPr>
        <w:t>294</w:t>
      </w:r>
      <w:r>
        <w:rPr>
          <w:noProof/>
        </w:rPr>
        <w:fldChar w:fldCharType="end"/>
      </w:r>
    </w:p>
    <w:p w14:paraId="2452FDE4"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3.3.9.1—Fugitive emissions that result from deliberate releases from process vents, system upsets and accidents</w:t>
      </w:r>
      <w:r>
        <w:rPr>
          <w:noProof/>
        </w:rPr>
        <w:tab/>
      </w:r>
      <w:r>
        <w:rPr>
          <w:noProof/>
        </w:rPr>
        <w:fldChar w:fldCharType="begin"/>
      </w:r>
      <w:r>
        <w:rPr>
          <w:noProof/>
        </w:rPr>
        <w:instrText xml:space="preserve"> PAGEREF _Toc495652893 \h </w:instrText>
      </w:r>
      <w:r>
        <w:rPr>
          <w:noProof/>
        </w:rPr>
      </w:r>
      <w:r>
        <w:rPr>
          <w:noProof/>
        </w:rPr>
        <w:fldChar w:fldCharType="separate"/>
      </w:r>
      <w:r w:rsidR="00766D30">
        <w:rPr>
          <w:noProof/>
        </w:rPr>
        <w:t>295</w:t>
      </w:r>
      <w:r>
        <w:rPr>
          <w:noProof/>
        </w:rPr>
        <w:fldChar w:fldCharType="end"/>
      </w:r>
    </w:p>
    <w:p w14:paraId="1EE2C941" w14:textId="77777777" w:rsidR="00E25764" w:rsidRDefault="00E25764">
      <w:pPr>
        <w:pStyle w:val="TOC5"/>
        <w:rPr>
          <w:rFonts w:asciiTheme="minorHAnsi" w:eastAsiaTheme="minorEastAsia" w:hAnsiTheme="minorHAnsi" w:cstheme="minorBidi"/>
          <w:noProof/>
          <w:sz w:val="22"/>
          <w:szCs w:val="22"/>
          <w:lang w:eastAsia="en-AU"/>
        </w:rPr>
      </w:pPr>
      <w:r>
        <w:rPr>
          <w:noProof/>
        </w:rPr>
        <w:t>3.84  Method 1—emissions from system upsets, accidents and deliberate releases from process vents</w:t>
      </w:r>
      <w:r>
        <w:rPr>
          <w:noProof/>
        </w:rPr>
        <w:tab/>
      </w:r>
      <w:r>
        <w:rPr>
          <w:noProof/>
        </w:rPr>
        <w:fldChar w:fldCharType="begin"/>
      </w:r>
      <w:r>
        <w:rPr>
          <w:noProof/>
        </w:rPr>
        <w:instrText xml:space="preserve"> PAGEREF _Toc495652894 \h </w:instrText>
      </w:r>
      <w:r>
        <w:rPr>
          <w:noProof/>
        </w:rPr>
      </w:r>
      <w:r>
        <w:rPr>
          <w:noProof/>
        </w:rPr>
        <w:fldChar w:fldCharType="separate"/>
      </w:r>
      <w:r w:rsidR="00766D30">
        <w:rPr>
          <w:noProof/>
        </w:rPr>
        <w:t>296</w:t>
      </w:r>
      <w:r>
        <w:rPr>
          <w:noProof/>
        </w:rPr>
        <w:fldChar w:fldCharType="end"/>
      </w:r>
    </w:p>
    <w:p w14:paraId="7D4F89A4"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3.3.9.2—Emissions released from gas flared from natural gas production and processing</w:t>
      </w:r>
      <w:r>
        <w:rPr>
          <w:noProof/>
        </w:rPr>
        <w:tab/>
      </w:r>
      <w:r>
        <w:rPr>
          <w:noProof/>
        </w:rPr>
        <w:fldChar w:fldCharType="begin"/>
      </w:r>
      <w:r>
        <w:rPr>
          <w:noProof/>
        </w:rPr>
        <w:instrText xml:space="preserve"> PAGEREF _Toc495652895 \h </w:instrText>
      </w:r>
      <w:r>
        <w:rPr>
          <w:noProof/>
        </w:rPr>
      </w:r>
      <w:r>
        <w:rPr>
          <w:noProof/>
        </w:rPr>
        <w:fldChar w:fldCharType="separate"/>
      </w:r>
      <w:r w:rsidR="00766D30">
        <w:rPr>
          <w:noProof/>
        </w:rPr>
        <w:t>296</w:t>
      </w:r>
      <w:r>
        <w:rPr>
          <w:noProof/>
        </w:rPr>
        <w:fldChar w:fldCharType="end"/>
      </w:r>
    </w:p>
    <w:p w14:paraId="6F606045" w14:textId="77777777" w:rsidR="00E25764" w:rsidRDefault="00E25764">
      <w:pPr>
        <w:pStyle w:val="TOC5"/>
        <w:rPr>
          <w:rFonts w:asciiTheme="minorHAnsi" w:eastAsiaTheme="minorEastAsia" w:hAnsiTheme="minorHAnsi" w:cstheme="minorBidi"/>
          <w:noProof/>
          <w:sz w:val="22"/>
          <w:szCs w:val="22"/>
          <w:lang w:eastAsia="en-AU"/>
        </w:rPr>
      </w:pPr>
      <w:r>
        <w:rPr>
          <w:noProof/>
        </w:rPr>
        <w:t>3.85  Method 1—gas flared from natural gas production and processing</w:t>
      </w:r>
      <w:r>
        <w:rPr>
          <w:noProof/>
        </w:rPr>
        <w:tab/>
      </w:r>
      <w:r>
        <w:rPr>
          <w:noProof/>
        </w:rPr>
        <w:fldChar w:fldCharType="begin"/>
      </w:r>
      <w:r>
        <w:rPr>
          <w:noProof/>
        </w:rPr>
        <w:instrText xml:space="preserve"> PAGEREF _Toc495652896 \h </w:instrText>
      </w:r>
      <w:r>
        <w:rPr>
          <w:noProof/>
        </w:rPr>
      </w:r>
      <w:r>
        <w:rPr>
          <w:noProof/>
        </w:rPr>
        <w:fldChar w:fldCharType="separate"/>
      </w:r>
      <w:r w:rsidR="00766D30">
        <w:rPr>
          <w:noProof/>
        </w:rPr>
        <w:t>297</w:t>
      </w:r>
      <w:r>
        <w:rPr>
          <w:noProof/>
        </w:rPr>
        <w:fldChar w:fldCharType="end"/>
      </w:r>
    </w:p>
    <w:p w14:paraId="5F5A3578" w14:textId="77777777" w:rsidR="00E25764" w:rsidRDefault="00E25764">
      <w:pPr>
        <w:pStyle w:val="TOC5"/>
        <w:rPr>
          <w:rFonts w:asciiTheme="minorHAnsi" w:eastAsiaTheme="minorEastAsia" w:hAnsiTheme="minorHAnsi" w:cstheme="minorBidi"/>
          <w:noProof/>
          <w:sz w:val="22"/>
          <w:szCs w:val="22"/>
          <w:lang w:eastAsia="en-AU"/>
        </w:rPr>
      </w:pPr>
      <w:r>
        <w:rPr>
          <w:noProof/>
        </w:rPr>
        <w:t>3.86  Method 2—gas flared from natural gas production and processing</w:t>
      </w:r>
      <w:r>
        <w:rPr>
          <w:noProof/>
        </w:rPr>
        <w:tab/>
      </w:r>
      <w:r>
        <w:rPr>
          <w:noProof/>
        </w:rPr>
        <w:fldChar w:fldCharType="begin"/>
      </w:r>
      <w:r>
        <w:rPr>
          <w:noProof/>
        </w:rPr>
        <w:instrText xml:space="preserve"> PAGEREF _Toc495652897 \h </w:instrText>
      </w:r>
      <w:r>
        <w:rPr>
          <w:noProof/>
        </w:rPr>
      </w:r>
      <w:r>
        <w:rPr>
          <w:noProof/>
        </w:rPr>
        <w:fldChar w:fldCharType="separate"/>
      </w:r>
      <w:r w:rsidR="00766D30">
        <w:rPr>
          <w:noProof/>
        </w:rPr>
        <w:t>297</w:t>
      </w:r>
      <w:r>
        <w:rPr>
          <w:noProof/>
        </w:rPr>
        <w:fldChar w:fldCharType="end"/>
      </w:r>
    </w:p>
    <w:p w14:paraId="22C226EB" w14:textId="77777777" w:rsidR="00E25764" w:rsidRDefault="00E25764">
      <w:pPr>
        <w:pStyle w:val="TOC5"/>
        <w:rPr>
          <w:rFonts w:asciiTheme="minorHAnsi" w:eastAsiaTheme="minorEastAsia" w:hAnsiTheme="minorHAnsi" w:cstheme="minorBidi"/>
          <w:noProof/>
          <w:sz w:val="22"/>
          <w:szCs w:val="22"/>
          <w:lang w:eastAsia="en-AU"/>
        </w:rPr>
      </w:pPr>
      <w:r>
        <w:rPr>
          <w:noProof/>
        </w:rPr>
        <w:t>3.86A  Method 2A—natural gas production and processing (flared methane or nitrous oxide emissions)</w:t>
      </w:r>
      <w:r>
        <w:rPr>
          <w:noProof/>
        </w:rPr>
        <w:tab/>
      </w:r>
      <w:r>
        <w:rPr>
          <w:noProof/>
        </w:rPr>
        <w:fldChar w:fldCharType="begin"/>
      </w:r>
      <w:r>
        <w:rPr>
          <w:noProof/>
        </w:rPr>
        <w:instrText xml:space="preserve"> PAGEREF _Toc495652898 \h </w:instrText>
      </w:r>
      <w:r>
        <w:rPr>
          <w:noProof/>
        </w:rPr>
      </w:r>
      <w:r>
        <w:rPr>
          <w:noProof/>
        </w:rPr>
        <w:fldChar w:fldCharType="separate"/>
      </w:r>
      <w:r w:rsidR="00766D30">
        <w:rPr>
          <w:noProof/>
        </w:rPr>
        <w:t>298</w:t>
      </w:r>
      <w:r>
        <w:rPr>
          <w:noProof/>
        </w:rPr>
        <w:fldChar w:fldCharType="end"/>
      </w:r>
    </w:p>
    <w:p w14:paraId="0D5BD58C" w14:textId="77777777" w:rsidR="00E25764" w:rsidRDefault="00E25764">
      <w:pPr>
        <w:pStyle w:val="TOC5"/>
        <w:rPr>
          <w:rFonts w:asciiTheme="minorHAnsi" w:eastAsiaTheme="minorEastAsia" w:hAnsiTheme="minorHAnsi" w:cstheme="minorBidi"/>
          <w:noProof/>
          <w:sz w:val="22"/>
          <w:szCs w:val="22"/>
          <w:lang w:eastAsia="en-AU"/>
        </w:rPr>
      </w:pPr>
      <w:r>
        <w:rPr>
          <w:noProof/>
        </w:rPr>
        <w:t>3.87  Method 3—gas flared from natural gas production and processing</w:t>
      </w:r>
      <w:r>
        <w:rPr>
          <w:noProof/>
        </w:rPr>
        <w:tab/>
      </w:r>
      <w:r>
        <w:rPr>
          <w:noProof/>
        </w:rPr>
        <w:fldChar w:fldCharType="begin"/>
      </w:r>
      <w:r>
        <w:rPr>
          <w:noProof/>
        </w:rPr>
        <w:instrText xml:space="preserve"> PAGEREF _Toc495652899 \h </w:instrText>
      </w:r>
      <w:r>
        <w:rPr>
          <w:noProof/>
        </w:rPr>
      </w:r>
      <w:r>
        <w:rPr>
          <w:noProof/>
        </w:rPr>
        <w:fldChar w:fldCharType="separate"/>
      </w:r>
      <w:r w:rsidR="00766D30">
        <w:rPr>
          <w:noProof/>
        </w:rPr>
        <w:t>298</w:t>
      </w:r>
      <w:r>
        <w:rPr>
          <w:noProof/>
        </w:rPr>
        <w:fldChar w:fldCharType="end"/>
      </w:r>
    </w:p>
    <w:p w14:paraId="171C1CFA" w14:textId="77777777" w:rsidR="00E25764" w:rsidRDefault="00E25764">
      <w:pPr>
        <w:pStyle w:val="TOC2"/>
        <w:rPr>
          <w:rFonts w:asciiTheme="minorHAnsi" w:eastAsiaTheme="minorEastAsia" w:hAnsiTheme="minorHAnsi" w:cstheme="minorBidi"/>
          <w:b w:val="0"/>
          <w:sz w:val="22"/>
          <w:szCs w:val="22"/>
          <w:lang w:eastAsia="en-AU"/>
        </w:rPr>
      </w:pPr>
      <w:r>
        <w:t>Part 3.4—Carbon capture and storage—fugitive emissions</w:t>
      </w:r>
      <w:r>
        <w:tab/>
      </w:r>
      <w:r>
        <w:fldChar w:fldCharType="begin"/>
      </w:r>
      <w:r>
        <w:instrText xml:space="preserve"> PAGEREF _Toc495652900 \h </w:instrText>
      </w:r>
      <w:r>
        <w:fldChar w:fldCharType="separate"/>
      </w:r>
      <w:r w:rsidR="00766D30">
        <w:t>301</w:t>
      </w:r>
      <w:r>
        <w:fldChar w:fldCharType="end"/>
      </w:r>
    </w:p>
    <w:p w14:paraId="2C905061"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3.4.1—Preliminary</w:t>
      </w:r>
      <w:r>
        <w:rPr>
          <w:noProof/>
        </w:rPr>
        <w:tab/>
      </w:r>
      <w:r>
        <w:rPr>
          <w:noProof/>
        </w:rPr>
        <w:fldChar w:fldCharType="begin"/>
      </w:r>
      <w:r>
        <w:rPr>
          <w:noProof/>
        </w:rPr>
        <w:instrText xml:space="preserve"> PAGEREF _Toc495652901 \h </w:instrText>
      </w:r>
      <w:r>
        <w:rPr>
          <w:noProof/>
        </w:rPr>
      </w:r>
      <w:r>
        <w:rPr>
          <w:noProof/>
        </w:rPr>
        <w:fldChar w:fldCharType="separate"/>
      </w:r>
      <w:r w:rsidR="00766D30">
        <w:rPr>
          <w:noProof/>
        </w:rPr>
        <w:t>302</w:t>
      </w:r>
      <w:r>
        <w:rPr>
          <w:noProof/>
        </w:rPr>
        <w:fldChar w:fldCharType="end"/>
      </w:r>
    </w:p>
    <w:p w14:paraId="37685D80" w14:textId="77777777" w:rsidR="00E25764" w:rsidRDefault="00E25764">
      <w:pPr>
        <w:pStyle w:val="TOC5"/>
        <w:rPr>
          <w:rFonts w:asciiTheme="minorHAnsi" w:eastAsiaTheme="minorEastAsia" w:hAnsiTheme="minorHAnsi" w:cstheme="minorBidi"/>
          <w:noProof/>
          <w:sz w:val="22"/>
          <w:szCs w:val="22"/>
          <w:lang w:eastAsia="en-AU"/>
        </w:rPr>
      </w:pPr>
      <w:r>
        <w:rPr>
          <w:noProof/>
        </w:rPr>
        <w:t>3.88  Outline of Part</w:t>
      </w:r>
      <w:r>
        <w:rPr>
          <w:noProof/>
        </w:rPr>
        <w:tab/>
      </w:r>
      <w:r>
        <w:rPr>
          <w:noProof/>
        </w:rPr>
        <w:fldChar w:fldCharType="begin"/>
      </w:r>
      <w:r>
        <w:rPr>
          <w:noProof/>
        </w:rPr>
        <w:instrText xml:space="preserve"> PAGEREF _Toc495652902 \h </w:instrText>
      </w:r>
      <w:r>
        <w:rPr>
          <w:noProof/>
        </w:rPr>
      </w:r>
      <w:r>
        <w:rPr>
          <w:noProof/>
        </w:rPr>
        <w:fldChar w:fldCharType="separate"/>
      </w:r>
      <w:r w:rsidR="00766D30">
        <w:rPr>
          <w:noProof/>
        </w:rPr>
        <w:t>302</w:t>
      </w:r>
      <w:r>
        <w:rPr>
          <w:noProof/>
        </w:rPr>
        <w:fldChar w:fldCharType="end"/>
      </w:r>
    </w:p>
    <w:p w14:paraId="39D7BD2F"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3.4.2—Transport of greenhouse gases</w:t>
      </w:r>
      <w:r>
        <w:rPr>
          <w:noProof/>
        </w:rPr>
        <w:tab/>
      </w:r>
      <w:r>
        <w:rPr>
          <w:noProof/>
        </w:rPr>
        <w:fldChar w:fldCharType="begin"/>
      </w:r>
      <w:r>
        <w:rPr>
          <w:noProof/>
        </w:rPr>
        <w:instrText xml:space="preserve"> PAGEREF _Toc495652903 \h </w:instrText>
      </w:r>
      <w:r>
        <w:rPr>
          <w:noProof/>
        </w:rPr>
      </w:r>
      <w:r>
        <w:rPr>
          <w:noProof/>
        </w:rPr>
        <w:fldChar w:fldCharType="separate"/>
      </w:r>
      <w:r w:rsidR="00766D30">
        <w:rPr>
          <w:noProof/>
        </w:rPr>
        <w:t>302</w:t>
      </w:r>
      <w:r>
        <w:rPr>
          <w:noProof/>
        </w:rPr>
        <w:fldChar w:fldCharType="end"/>
      </w:r>
    </w:p>
    <w:p w14:paraId="24818B11"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3.4.2.1—Preliminary</w:t>
      </w:r>
      <w:r>
        <w:rPr>
          <w:noProof/>
        </w:rPr>
        <w:tab/>
      </w:r>
      <w:r>
        <w:rPr>
          <w:noProof/>
        </w:rPr>
        <w:fldChar w:fldCharType="begin"/>
      </w:r>
      <w:r>
        <w:rPr>
          <w:noProof/>
        </w:rPr>
        <w:instrText xml:space="preserve"> PAGEREF _Toc495652904 \h </w:instrText>
      </w:r>
      <w:r>
        <w:rPr>
          <w:noProof/>
        </w:rPr>
      </w:r>
      <w:r>
        <w:rPr>
          <w:noProof/>
        </w:rPr>
        <w:fldChar w:fldCharType="separate"/>
      </w:r>
      <w:r w:rsidR="00766D30">
        <w:rPr>
          <w:noProof/>
        </w:rPr>
        <w:t>302</w:t>
      </w:r>
      <w:r>
        <w:rPr>
          <w:noProof/>
        </w:rPr>
        <w:fldChar w:fldCharType="end"/>
      </w:r>
    </w:p>
    <w:p w14:paraId="18C0E099" w14:textId="77777777" w:rsidR="00E25764" w:rsidRDefault="00E25764">
      <w:pPr>
        <w:pStyle w:val="TOC5"/>
        <w:rPr>
          <w:rFonts w:asciiTheme="minorHAnsi" w:eastAsiaTheme="minorEastAsia" w:hAnsiTheme="minorHAnsi" w:cstheme="minorBidi"/>
          <w:noProof/>
          <w:sz w:val="22"/>
          <w:szCs w:val="22"/>
          <w:lang w:eastAsia="en-AU"/>
        </w:rPr>
      </w:pPr>
      <w:r>
        <w:rPr>
          <w:noProof/>
        </w:rPr>
        <w:t>3.89  Application</w:t>
      </w:r>
      <w:r>
        <w:rPr>
          <w:noProof/>
        </w:rPr>
        <w:tab/>
      </w:r>
      <w:r>
        <w:rPr>
          <w:noProof/>
        </w:rPr>
        <w:fldChar w:fldCharType="begin"/>
      </w:r>
      <w:r>
        <w:rPr>
          <w:noProof/>
        </w:rPr>
        <w:instrText xml:space="preserve"> PAGEREF _Toc495652905 \h </w:instrText>
      </w:r>
      <w:r>
        <w:rPr>
          <w:noProof/>
        </w:rPr>
      </w:r>
      <w:r>
        <w:rPr>
          <w:noProof/>
        </w:rPr>
        <w:fldChar w:fldCharType="separate"/>
      </w:r>
      <w:r w:rsidR="00766D30">
        <w:rPr>
          <w:noProof/>
        </w:rPr>
        <w:t>302</w:t>
      </w:r>
      <w:r>
        <w:rPr>
          <w:noProof/>
        </w:rPr>
        <w:fldChar w:fldCharType="end"/>
      </w:r>
    </w:p>
    <w:p w14:paraId="3A7503C1" w14:textId="77777777" w:rsidR="00E25764" w:rsidRDefault="00E25764">
      <w:pPr>
        <w:pStyle w:val="TOC5"/>
        <w:rPr>
          <w:rFonts w:asciiTheme="minorHAnsi" w:eastAsiaTheme="minorEastAsia" w:hAnsiTheme="minorHAnsi" w:cstheme="minorBidi"/>
          <w:noProof/>
          <w:sz w:val="22"/>
          <w:szCs w:val="22"/>
          <w:lang w:eastAsia="en-AU"/>
        </w:rPr>
      </w:pPr>
      <w:r>
        <w:rPr>
          <w:noProof/>
        </w:rPr>
        <w:lastRenderedPageBreak/>
        <w:t>3.90  Available methods</w:t>
      </w:r>
      <w:r>
        <w:rPr>
          <w:noProof/>
        </w:rPr>
        <w:tab/>
      </w:r>
      <w:r>
        <w:rPr>
          <w:noProof/>
        </w:rPr>
        <w:fldChar w:fldCharType="begin"/>
      </w:r>
      <w:r>
        <w:rPr>
          <w:noProof/>
        </w:rPr>
        <w:instrText xml:space="preserve"> PAGEREF _Toc495652906 \h </w:instrText>
      </w:r>
      <w:r>
        <w:rPr>
          <w:noProof/>
        </w:rPr>
      </w:r>
      <w:r>
        <w:rPr>
          <w:noProof/>
        </w:rPr>
        <w:fldChar w:fldCharType="separate"/>
      </w:r>
      <w:r w:rsidR="00766D30">
        <w:rPr>
          <w:noProof/>
        </w:rPr>
        <w:t>302</w:t>
      </w:r>
      <w:r>
        <w:rPr>
          <w:noProof/>
        </w:rPr>
        <w:fldChar w:fldCharType="end"/>
      </w:r>
    </w:p>
    <w:p w14:paraId="361DE977"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3.4.2.2—Emissions from transport of greenhouse gases involving transfer</w:t>
      </w:r>
      <w:r>
        <w:rPr>
          <w:noProof/>
        </w:rPr>
        <w:tab/>
      </w:r>
      <w:r>
        <w:rPr>
          <w:noProof/>
        </w:rPr>
        <w:fldChar w:fldCharType="begin"/>
      </w:r>
      <w:r>
        <w:rPr>
          <w:noProof/>
        </w:rPr>
        <w:instrText xml:space="preserve"> PAGEREF _Toc495652907 \h </w:instrText>
      </w:r>
      <w:r>
        <w:rPr>
          <w:noProof/>
        </w:rPr>
      </w:r>
      <w:r>
        <w:rPr>
          <w:noProof/>
        </w:rPr>
        <w:fldChar w:fldCharType="separate"/>
      </w:r>
      <w:r w:rsidR="00766D30">
        <w:rPr>
          <w:noProof/>
        </w:rPr>
        <w:t>304</w:t>
      </w:r>
      <w:r>
        <w:rPr>
          <w:noProof/>
        </w:rPr>
        <w:fldChar w:fldCharType="end"/>
      </w:r>
    </w:p>
    <w:p w14:paraId="349258B7" w14:textId="77777777" w:rsidR="00E25764" w:rsidRDefault="00E25764">
      <w:pPr>
        <w:pStyle w:val="TOC5"/>
        <w:rPr>
          <w:rFonts w:asciiTheme="minorHAnsi" w:eastAsiaTheme="minorEastAsia" w:hAnsiTheme="minorHAnsi" w:cstheme="minorBidi"/>
          <w:noProof/>
          <w:sz w:val="22"/>
          <w:szCs w:val="22"/>
          <w:lang w:eastAsia="en-AU"/>
        </w:rPr>
      </w:pPr>
      <w:r>
        <w:rPr>
          <w:noProof/>
        </w:rPr>
        <w:t>3.91  Method 1—emissions from transport of greenhouse gases involving transfer</w:t>
      </w:r>
      <w:r>
        <w:rPr>
          <w:noProof/>
        </w:rPr>
        <w:tab/>
      </w:r>
      <w:r>
        <w:rPr>
          <w:noProof/>
        </w:rPr>
        <w:fldChar w:fldCharType="begin"/>
      </w:r>
      <w:r>
        <w:rPr>
          <w:noProof/>
        </w:rPr>
        <w:instrText xml:space="preserve"> PAGEREF _Toc495652908 \h </w:instrText>
      </w:r>
      <w:r>
        <w:rPr>
          <w:noProof/>
        </w:rPr>
      </w:r>
      <w:r>
        <w:rPr>
          <w:noProof/>
        </w:rPr>
        <w:fldChar w:fldCharType="separate"/>
      </w:r>
      <w:r w:rsidR="00766D30">
        <w:rPr>
          <w:noProof/>
        </w:rPr>
        <w:t>304</w:t>
      </w:r>
      <w:r>
        <w:rPr>
          <w:noProof/>
        </w:rPr>
        <w:fldChar w:fldCharType="end"/>
      </w:r>
    </w:p>
    <w:p w14:paraId="6D624031"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3.4.2.3—Emissions from transport of greenhouse gases not involving transfer</w:t>
      </w:r>
      <w:r>
        <w:rPr>
          <w:noProof/>
        </w:rPr>
        <w:tab/>
      </w:r>
      <w:r>
        <w:rPr>
          <w:noProof/>
        </w:rPr>
        <w:fldChar w:fldCharType="begin"/>
      </w:r>
      <w:r>
        <w:rPr>
          <w:noProof/>
        </w:rPr>
        <w:instrText xml:space="preserve"> PAGEREF _Toc495652909 \h </w:instrText>
      </w:r>
      <w:r>
        <w:rPr>
          <w:noProof/>
        </w:rPr>
      </w:r>
      <w:r>
        <w:rPr>
          <w:noProof/>
        </w:rPr>
        <w:fldChar w:fldCharType="separate"/>
      </w:r>
      <w:r w:rsidR="00766D30">
        <w:rPr>
          <w:noProof/>
        </w:rPr>
        <w:t>304</w:t>
      </w:r>
      <w:r>
        <w:rPr>
          <w:noProof/>
        </w:rPr>
        <w:fldChar w:fldCharType="end"/>
      </w:r>
    </w:p>
    <w:p w14:paraId="6D457E3A" w14:textId="77777777" w:rsidR="00E25764" w:rsidRDefault="00E25764">
      <w:pPr>
        <w:pStyle w:val="TOC5"/>
        <w:rPr>
          <w:rFonts w:asciiTheme="minorHAnsi" w:eastAsiaTheme="minorEastAsia" w:hAnsiTheme="minorHAnsi" w:cstheme="minorBidi"/>
          <w:noProof/>
          <w:sz w:val="22"/>
          <w:szCs w:val="22"/>
          <w:lang w:eastAsia="en-AU"/>
        </w:rPr>
      </w:pPr>
      <w:r>
        <w:rPr>
          <w:noProof/>
        </w:rPr>
        <w:t>3.92  Method 1—emissions from transport of greenhouse gases not involving transfer</w:t>
      </w:r>
      <w:r>
        <w:rPr>
          <w:noProof/>
        </w:rPr>
        <w:tab/>
      </w:r>
      <w:r>
        <w:rPr>
          <w:noProof/>
        </w:rPr>
        <w:fldChar w:fldCharType="begin"/>
      </w:r>
      <w:r>
        <w:rPr>
          <w:noProof/>
        </w:rPr>
        <w:instrText xml:space="preserve"> PAGEREF _Toc495652910 \h </w:instrText>
      </w:r>
      <w:r>
        <w:rPr>
          <w:noProof/>
        </w:rPr>
      </w:r>
      <w:r>
        <w:rPr>
          <w:noProof/>
        </w:rPr>
        <w:fldChar w:fldCharType="separate"/>
      </w:r>
      <w:r w:rsidR="00766D30">
        <w:rPr>
          <w:noProof/>
        </w:rPr>
        <w:t>304</w:t>
      </w:r>
      <w:r>
        <w:rPr>
          <w:noProof/>
        </w:rPr>
        <w:fldChar w:fldCharType="end"/>
      </w:r>
    </w:p>
    <w:p w14:paraId="1E085C9A"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3.4.3—Injection of greenhouse gases</w:t>
      </w:r>
      <w:r>
        <w:rPr>
          <w:noProof/>
        </w:rPr>
        <w:tab/>
      </w:r>
      <w:r>
        <w:rPr>
          <w:noProof/>
        </w:rPr>
        <w:fldChar w:fldCharType="begin"/>
      </w:r>
      <w:r>
        <w:rPr>
          <w:noProof/>
        </w:rPr>
        <w:instrText xml:space="preserve"> PAGEREF _Toc495652911 \h </w:instrText>
      </w:r>
      <w:r>
        <w:rPr>
          <w:noProof/>
        </w:rPr>
      </w:r>
      <w:r>
        <w:rPr>
          <w:noProof/>
        </w:rPr>
        <w:fldChar w:fldCharType="separate"/>
      </w:r>
      <w:r w:rsidR="00766D30">
        <w:rPr>
          <w:noProof/>
        </w:rPr>
        <w:t>306</w:t>
      </w:r>
      <w:r>
        <w:rPr>
          <w:noProof/>
        </w:rPr>
        <w:fldChar w:fldCharType="end"/>
      </w:r>
    </w:p>
    <w:p w14:paraId="41D53837"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3.4.3.1—Preliminary</w:t>
      </w:r>
      <w:r>
        <w:rPr>
          <w:noProof/>
        </w:rPr>
        <w:tab/>
      </w:r>
      <w:r>
        <w:rPr>
          <w:noProof/>
        </w:rPr>
        <w:fldChar w:fldCharType="begin"/>
      </w:r>
      <w:r>
        <w:rPr>
          <w:noProof/>
        </w:rPr>
        <w:instrText xml:space="preserve"> PAGEREF _Toc495652912 \h </w:instrText>
      </w:r>
      <w:r>
        <w:rPr>
          <w:noProof/>
        </w:rPr>
      </w:r>
      <w:r>
        <w:rPr>
          <w:noProof/>
        </w:rPr>
        <w:fldChar w:fldCharType="separate"/>
      </w:r>
      <w:r w:rsidR="00766D30">
        <w:rPr>
          <w:noProof/>
        </w:rPr>
        <w:t>306</w:t>
      </w:r>
      <w:r>
        <w:rPr>
          <w:noProof/>
        </w:rPr>
        <w:fldChar w:fldCharType="end"/>
      </w:r>
    </w:p>
    <w:p w14:paraId="2BDA7FA2" w14:textId="77777777" w:rsidR="00E25764" w:rsidRDefault="00E25764">
      <w:pPr>
        <w:pStyle w:val="TOC5"/>
        <w:rPr>
          <w:rFonts w:asciiTheme="minorHAnsi" w:eastAsiaTheme="minorEastAsia" w:hAnsiTheme="minorHAnsi" w:cstheme="minorBidi"/>
          <w:noProof/>
          <w:sz w:val="22"/>
          <w:szCs w:val="22"/>
          <w:lang w:eastAsia="en-AU"/>
        </w:rPr>
      </w:pPr>
      <w:r>
        <w:rPr>
          <w:noProof/>
        </w:rPr>
        <w:t>3.93  Application</w:t>
      </w:r>
      <w:r>
        <w:rPr>
          <w:noProof/>
        </w:rPr>
        <w:tab/>
      </w:r>
      <w:r>
        <w:rPr>
          <w:noProof/>
        </w:rPr>
        <w:fldChar w:fldCharType="begin"/>
      </w:r>
      <w:r>
        <w:rPr>
          <w:noProof/>
        </w:rPr>
        <w:instrText xml:space="preserve"> PAGEREF _Toc495652913 \h </w:instrText>
      </w:r>
      <w:r>
        <w:rPr>
          <w:noProof/>
        </w:rPr>
      </w:r>
      <w:r>
        <w:rPr>
          <w:noProof/>
        </w:rPr>
        <w:fldChar w:fldCharType="separate"/>
      </w:r>
      <w:r w:rsidR="00766D30">
        <w:rPr>
          <w:noProof/>
        </w:rPr>
        <w:t>306</w:t>
      </w:r>
      <w:r>
        <w:rPr>
          <w:noProof/>
        </w:rPr>
        <w:fldChar w:fldCharType="end"/>
      </w:r>
    </w:p>
    <w:p w14:paraId="785F21AC" w14:textId="77777777" w:rsidR="00E25764" w:rsidRDefault="00E25764">
      <w:pPr>
        <w:pStyle w:val="TOC5"/>
        <w:rPr>
          <w:rFonts w:asciiTheme="minorHAnsi" w:eastAsiaTheme="minorEastAsia" w:hAnsiTheme="minorHAnsi" w:cstheme="minorBidi"/>
          <w:noProof/>
          <w:sz w:val="22"/>
          <w:szCs w:val="22"/>
          <w:lang w:eastAsia="en-AU"/>
        </w:rPr>
      </w:pPr>
      <w:r>
        <w:rPr>
          <w:noProof/>
        </w:rPr>
        <w:t>3.94  Available methods</w:t>
      </w:r>
      <w:r>
        <w:rPr>
          <w:noProof/>
        </w:rPr>
        <w:tab/>
      </w:r>
      <w:r>
        <w:rPr>
          <w:noProof/>
        </w:rPr>
        <w:fldChar w:fldCharType="begin"/>
      </w:r>
      <w:r>
        <w:rPr>
          <w:noProof/>
        </w:rPr>
        <w:instrText xml:space="preserve"> PAGEREF _Toc495652914 \h </w:instrText>
      </w:r>
      <w:r>
        <w:rPr>
          <w:noProof/>
        </w:rPr>
      </w:r>
      <w:r>
        <w:rPr>
          <w:noProof/>
        </w:rPr>
        <w:fldChar w:fldCharType="separate"/>
      </w:r>
      <w:r w:rsidR="00766D30">
        <w:rPr>
          <w:noProof/>
        </w:rPr>
        <w:t>306</w:t>
      </w:r>
      <w:r>
        <w:rPr>
          <w:noProof/>
        </w:rPr>
        <w:fldChar w:fldCharType="end"/>
      </w:r>
    </w:p>
    <w:p w14:paraId="749BA9AF"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3.4.3.2—Fugitive emissions from deliberate releases from process vents, system upsets and accidents</w:t>
      </w:r>
      <w:r>
        <w:rPr>
          <w:noProof/>
        </w:rPr>
        <w:tab/>
      </w:r>
      <w:r>
        <w:rPr>
          <w:noProof/>
        </w:rPr>
        <w:fldChar w:fldCharType="begin"/>
      </w:r>
      <w:r>
        <w:rPr>
          <w:noProof/>
        </w:rPr>
        <w:instrText xml:space="preserve"> PAGEREF _Toc495652915 \h </w:instrText>
      </w:r>
      <w:r>
        <w:rPr>
          <w:noProof/>
        </w:rPr>
      </w:r>
      <w:r>
        <w:rPr>
          <w:noProof/>
        </w:rPr>
        <w:fldChar w:fldCharType="separate"/>
      </w:r>
      <w:r w:rsidR="00766D30">
        <w:rPr>
          <w:noProof/>
        </w:rPr>
        <w:t>307</w:t>
      </w:r>
      <w:r>
        <w:rPr>
          <w:noProof/>
        </w:rPr>
        <w:fldChar w:fldCharType="end"/>
      </w:r>
    </w:p>
    <w:p w14:paraId="12C9957D" w14:textId="77777777" w:rsidR="00E25764" w:rsidRDefault="00E25764">
      <w:pPr>
        <w:pStyle w:val="TOC5"/>
        <w:rPr>
          <w:rFonts w:asciiTheme="minorHAnsi" w:eastAsiaTheme="minorEastAsia" w:hAnsiTheme="minorHAnsi" w:cstheme="minorBidi"/>
          <w:noProof/>
          <w:sz w:val="22"/>
          <w:szCs w:val="22"/>
          <w:lang w:eastAsia="en-AU"/>
        </w:rPr>
      </w:pPr>
      <w:r>
        <w:rPr>
          <w:noProof/>
        </w:rPr>
        <w:t>3.95  Method 2—fugitive emissions from deliberate releases from process vents, system upsets and accidents</w:t>
      </w:r>
      <w:r>
        <w:rPr>
          <w:noProof/>
        </w:rPr>
        <w:tab/>
      </w:r>
      <w:r>
        <w:rPr>
          <w:noProof/>
        </w:rPr>
        <w:fldChar w:fldCharType="begin"/>
      </w:r>
      <w:r>
        <w:rPr>
          <w:noProof/>
        </w:rPr>
        <w:instrText xml:space="preserve"> PAGEREF _Toc495652916 \h </w:instrText>
      </w:r>
      <w:r>
        <w:rPr>
          <w:noProof/>
        </w:rPr>
      </w:r>
      <w:r>
        <w:rPr>
          <w:noProof/>
        </w:rPr>
        <w:fldChar w:fldCharType="separate"/>
      </w:r>
      <w:r w:rsidR="00766D30">
        <w:rPr>
          <w:noProof/>
        </w:rPr>
        <w:t>307</w:t>
      </w:r>
      <w:r>
        <w:rPr>
          <w:noProof/>
        </w:rPr>
        <w:fldChar w:fldCharType="end"/>
      </w:r>
    </w:p>
    <w:p w14:paraId="5A789A13"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3.4.3.3—Fugitive emissions from injection of greenhouse gases (other than emissions from deliberate releases from process vents, system upsets and accidents)</w:t>
      </w:r>
      <w:r>
        <w:rPr>
          <w:noProof/>
        </w:rPr>
        <w:tab/>
      </w:r>
      <w:r>
        <w:rPr>
          <w:noProof/>
        </w:rPr>
        <w:fldChar w:fldCharType="begin"/>
      </w:r>
      <w:r>
        <w:rPr>
          <w:noProof/>
        </w:rPr>
        <w:instrText xml:space="preserve"> PAGEREF _Toc495652917 \h </w:instrText>
      </w:r>
      <w:r>
        <w:rPr>
          <w:noProof/>
        </w:rPr>
      </w:r>
      <w:r>
        <w:rPr>
          <w:noProof/>
        </w:rPr>
        <w:fldChar w:fldCharType="separate"/>
      </w:r>
      <w:r w:rsidR="00766D30">
        <w:rPr>
          <w:noProof/>
        </w:rPr>
        <w:t>307</w:t>
      </w:r>
      <w:r>
        <w:rPr>
          <w:noProof/>
        </w:rPr>
        <w:fldChar w:fldCharType="end"/>
      </w:r>
    </w:p>
    <w:p w14:paraId="5FBBB78C" w14:textId="77777777" w:rsidR="00E25764" w:rsidRDefault="00E25764">
      <w:pPr>
        <w:pStyle w:val="TOC5"/>
        <w:rPr>
          <w:rFonts w:asciiTheme="minorHAnsi" w:eastAsiaTheme="minorEastAsia" w:hAnsiTheme="minorHAnsi" w:cstheme="minorBidi"/>
          <w:noProof/>
          <w:sz w:val="22"/>
          <w:szCs w:val="22"/>
          <w:lang w:eastAsia="en-AU"/>
        </w:rPr>
      </w:pPr>
      <w:r>
        <w:rPr>
          <w:noProof/>
        </w:rPr>
        <w:t>3.96  Method 2—fugitive emissions from injection of a greenhouse gas into a geological formation (other than deliberate releases from process vents, system upsets and accidents)</w:t>
      </w:r>
      <w:r>
        <w:rPr>
          <w:noProof/>
        </w:rPr>
        <w:tab/>
      </w:r>
      <w:r>
        <w:rPr>
          <w:noProof/>
        </w:rPr>
        <w:fldChar w:fldCharType="begin"/>
      </w:r>
      <w:r>
        <w:rPr>
          <w:noProof/>
        </w:rPr>
        <w:instrText xml:space="preserve"> PAGEREF _Toc495652918 \h </w:instrText>
      </w:r>
      <w:r>
        <w:rPr>
          <w:noProof/>
        </w:rPr>
      </w:r>
      <w:r>
        <w:rPr>
          <w:noProof/>
        </w:rPr>
        <w:fldChar w:fldCharType="separate"/>
      </w:r>
      <w:r w:rsidR="00766D30">
        <w:rPr>
          <w:noProof/>
        </w:rPr>
        <w:t>307</w:t>
      </w:r>
      <w:r>
        <w:rPr>
          <w:noProof/>
        </w:rPr>
        <w:fldChar w:fldCharType="end"/>
      </w:r>
    </w:p>
    <w:p w14:paraId="3F7D5E3C" w14:textId="77777777" w:rsidR="00E25764" w:rsidRDefault="00E25764">
      <w:pPr>
        <w:pStyle w:val="TOC5"/>
        <w:rPr>
          <w:rFonts w:asciiTheme="minorHAnsi" w:eastAsiaTheme="minorEastAsia" w:hAnsiTheme="minorHAnsi" w:cstheme="minorBidi"/>
          <w:noProof/>
          <w:sz w:val="22"/>
          <w:szCs w:val="22"/>
          <w:lang w:eastAsia="en-AU"/>
        </w:rPr>
      </w:pPr>
      <w:r>
        <w:rPr>
          <w:noProof/>
        </w:rPr>
        <w:t>3.97  Method 3—fugitive emissions from injection of greenhouse gases (other than deliberate releases from process vents, system upsets and accidents)</w:t>
      </w:r>
      <w:r>
        <w:rPr>
          <w:noProof/>
        </w:rPr>
        <w:tab/>
      </w:r>
      <w:r>
        <w:rPr>
          <w:noProof/>
        </w:rPr>
        <w:fldChar w:fldCharType="begin"/>
      </w:r>
      <w:r>
        <w:rPr>
          <w:noProof/>
        </w:rPr>
        <w:instrText xml:space="preserve"> PAGEREF _Toc495652919 \h </w:instrText>
      </w:r>
      <w:r>
        <w:rPr>
          <w:noProof/>
        </w:rPr>
      </w:r>
      <w:r>
        <w:rPr>
          <w:noProof/>
        </w:rPr>
        <w:fldChar w:fldCharType="separate"/>
      </w:r>
      <w:r w:rsidR="00766D30">
        <w:rPr>
          <w:noProof/>
        </w:rPr>
        <w:t>308</w:t>
      </w:r>
      <w:r>
        <w:rPr>
          <w:noProof/>
        </w:rPr>
        <w:fldChar w:fldCharType="end"/>
      </w:r>
    </w:p>
    <w:p w14:paraId="4794FE9C"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3.4.4—Storage of greenhouse gases</w:t>
      </w:r>
      <w:r>
        <w:rPr>
          <w:noProof/>
        </w:rPr>
        <w:tab/>
      </w:r>
      <w:r>
        <w:rPr>
          <w:noProof/>
        </w:rPr>
        <w:fldChar w:fldCharType="begin"/>
      </w:r>
      <w:r>
        <w:rPr>
          <w:noProof/>
        </w:rPr>
        <w:instrText xml:space="preserve"> PAGEREF _Toc495652920 \h </w:instrText>
      </w:r>
      <w:r>
        <w:rPr>
          <w:noProof/>
        </w:rPr>
      </w:r>
      <w:r>
        <w:rPr>
          <w:noProof/>
        </w:rPr>
        <w:fldChar w:fldCharType="separate"/>
      </w:r>
      <w:r w:rsidR="00766D30">
        <w:rPr>
          <w:noProof/>
        </w:rPr>
        <w:t>309</w:t>
      </w:r>
      <w:r>
        <w:rPr>
          <w:noProof/>
        </w:rPr>
        <w:fldChar w:fldCharType="end"/>
      </w:r>
    </w:p>
    <w:p w14:paraId="39F88635"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3.4.4.1—Preliminary</w:t>
      </w:r>
      <w:r>
        <w:rPr>
          <w:noProof/>
        </w:rPr>
        <w:tab/>
      </w:r>
      <w:r>
        <w:rPr>
          <w:noProof/>
        </w:rPr>
        <w:fldChar w:fldCharType="begin"/>
      </w:r>
      <w:r>
        <w:rPr>
          <w:noProof/>
        </w:rPr>
        <w:instrText xml:space="preserve"> PAGEREF _Toc495652921 \h </w:instrText>
      </w:r>
      <w:r>
        <w:rPr>
          <w:noProof/>
        </w:rPr>
      </w:r>
      <w:r>
        <w:rPr>
          <w:noProof/>
        </w:rPr>
        <w:fldChar w:fldCharType="separate"/>
      </w:r>
      <w:r w:rsidR="00766D30">
        <w:rPr>
          <w:noProof/>
        </w:rPr>
        <w:t>309</w:t>
      </w:r>
      <w:r>
        <w:rPr>
          <w:noProof/>
        </w:rPr>
        <w:fldChar w:fldCharType="end"/>
      </w:r>
    </w:p>
    <w:p w14:paraId="0E416970" w14:textId="77777777" w:rsidR="00E25764" w:rsidRDefault="00E25764">
      <w:pPr>
        <w:pStyle w:val="TOC5"/>
        <w:rPr>
          <w:rFonts w:asciiTheme="minorHAnsi" w:eastAsiaTheme="minorEastAsia" w:hAnsiTheme="minorHAnsi" w:cstheme="minorBidi"/>
          <w:noProof/>
          <w:sz w:val="22"/>
          <w:szCs w:val="22"/>
          <w:lang w:eastAsia="en-AU"/>
        </w:rPr>
      </w:pPr>
      <w:r>
        <w:rPr>
          <w:noProof/>
        </w:rPr>
        <w:t>3.98  Application</w:t>
      </w:r>
      <w:r>
        <w:rPr>
          <w:noProof/>
        </w:rPr>
        <w:tab/>
      </w:r>
      <w:r>
        <w:rPr>
          <w:noProof/>
        </w:rPr>
        <w:fldChar w:fldCharType="begin"/>
      </w:r>
      <w:r>
        <w:rPr>
          <w:noProof/>
        </w:rPr>
        <w:instrText xml:space="preserve"> PAGEREF _Toc495652922 \h </w:instrText>
      </w:r>
      <w:r>
        <w:rPr>
          <w:noProof/>
        </w:rPr>
      </w:r>
      <w:r>
        <w:rPr>
          <w:noProof/>
        </w:rPr>
        <w:fldChar w:fldCharType="separate"/>
      </w:r>
      <w:r w:rsidR="00766D30">
        <w:rPr>
          <w:noProof/>
        </w:rPr>
        <w:t>309</w:t>
      </w:r>
      <w:r>
        <w:rPr>
          <w:noProof/>
        </w:rPr>
        <w:fldChar w:fldCharType="end"/>
      </w:r>
    </w:p>
    <w:p w14:paraId="7E769A6B" w14:textId="77777777" w:rsidR="00E25764" w:rsidRDefault="00E25764">
      <w:pPr>
        <w:pStyle w:val="TOC5"/>
        <w:rPr>
          <w:rFonts w:asciiTheme="minorHAnsi" w:eastAsiaTheme="minorEastAsia" w:hAnsiTheme="minorHAnsi" w:cstheme="minorBidi"/>
          <w:noProof/>
          <w:sz w:val="22"/>
          <w:szCs w:val="22"/>
          <w:lang w:eastAsia="en-AU"/>
        </w:rPr>
      </w:pPr>
      <w:r>
        <w:rPr>
          <w:noProof/>
        </w:rPr>
        <w:t>3.99  Available method</w:t>
      </w:r>
      <w:r>
        <w:rPr>
          <w:noProof/>
        </w:rPr>
        <w:tab/>
      </w:r>
      <w:r>
        <w:rPr>
          <w:noProof/>
        </w:rPr>
        <w:fldChar w:fldCharType="begin"/>
      </w:r>
      <w:r>
        <w:rPr>
          <w:noProof/>
        </w:rPr>
        <w:instrText xml:space="preserve"> PAGEREF _Toc495652923 \h </w:instrText>
      </w:r>
      <w:r>
        <w:rPr>
          <w:noProof/>
        </w:rPr>
      </w:r>
      <w:r>
        <w:rPr>
          <w:noProof/>
        </w:rPr>
        <w:fldChar w:fldCharType="separate"/>
      </w:r>
      <w:r w:rsidR="00766D30">
        <w:rPr>
          <w:noProof/>
        </w:rPr>
        <w:t>310</w:t>
      </w:r>
      <w:r>
        <w:rPr>
          <w:noProof/>
        </w:rPr>
        <w:fldChar w:fldCharType="end"/>
      </w:r>
    </w:p>
    <w:p w14:paraId="270EE592"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3.4.4.2—Fugitive emissions from the storage of greenhouse gases</w:t>
      </w:r>
      <w:r>
        <w:rPr>
          <w:noProof/>
        </w:rPr>
        <w:tab/>
      </w:r>
      <w:r>
        <w:rPr>
          <w:noProof/>
        </w:rPr>
        <w:fldChar w:fldCharType="begin"/>
      </w:r>
      <w:r>
        <w:rPr>
          <w:noProof/>
        </w:rPr>
        <w:instrText xml:space="preserve"> PAGEREF _Toc495652924 \h </w:instrText>
      </w:r>
      <w:r>
        <w:rPr>
          <w:noProof/>
        </w:rPr>
      </w:r>
      <w:r>
        <w:rPr>
          <w:noProof/>
        </w:rPr>
        <w:fldChar w:fldCharType="separate"/>
      </w:r>
      <w:r w:rsidR="00766D30">
        <w:rPr>
          <w:noProof/>
        </w:rPr>
        <w:t>310</w:t>
      </w:r>
      <w:r>
        <w:rPr>
          <w:noProof/>
        </w:rPr>
        <w:fldChar w:fldCharType="end"/>
      </w:r>
    </w:p>
    <w:p w14:paraId="0189DEB2" w14:textId="77777777" w:rsidR="00E25764" w:rsidRDefault="00E25764">
      <w:pPr>
        <w:pStyle w:val="TOC5"/>
        <w:rPr>
          <w:rFonts w:asciiTheme="minorHAnsi" w:eastAsiaTheme="minorEastAsia" w:hAnsiTheme="minorHAnsi" w:cstheme="minorBidi"/>
          <w:noProof/>
          <w:sz w:val="22"/>
          <w:szCs w:val="22"/>
          <w:lang w:eastAsia="en-AU"/>
        </w:rPr>
      </w:pPr>
      <w:r>
        <w:rPr>
          <w:noProof/>
        </w:rPr>
        <w:t>3.100  Method 2—fugitive emissions from geological formations used for the storage of greenhouse gases</w:t>
      </w:r>
      <w:r>
        <w:rPr>
          <w:noProof/>
        </w:rPr>
        <w:tab/>
      </w:r>
      <w:r>
        <w:rPr>
          <w:noProof/>
        </w:rPr>
        <w:fldChar w:fldCharType="begin"/>
      </w:r>
      <w:r>
        <w:rPr>
          <w:noProof/>
        </w:rPr>
        <w:instrText xml:space="preserve"> PAGEREF _Toc495652925 \h </w:instrText>
      </w:r>
      <w:r>
        <w:rPr>
          <w:noProof/>
        </w:rPr>
      </w:r>
      <w:r>
        <w:rPr>
          <w:noProof/>
        </w:rPr>
        <w:fldChar w:fldCharType="separate"/>
      </w:r>
      <w:r w:rsidR="00766D30">
        <w:rPr>
          <w:noProof/>
        </w:rPr>
        <w:t>310</w:t>
      </w:r>
      <w:r>
        <w:rPr>
          <w:noProof/>
        </w:rPr>
        <w:fldChar w:fldCharType="end"/>
      </w:r>
    </w:p>
    <w:p w14:paraId="2130FF2C" w14:textId="77777777" w:rsidR="00E25764" w:rsidRDefault="00E25764">
      <w:pPr>
        <w:pStyle w:val="TOC1"/>
        <w:rPr>
          <w:rFonts w:asciiTheme="minorHAnsi" w:eastAsiaTheme="minorEastAsia" w:hAnsiTheme="minorHAnsi" w:cstheme="minorBidi"/>
          <w:b w:val="0"/>
          <w:noProof/>
          <w:sz w:val="22"/>
          <w:szCs w:val="22"/>
          <w:lang w:eastAsia="en-AU"/>
        </w:rPr>
      </w:pPr>
      <w:r>
        <w:rPr>
          <w:noProof/>
        </w:rPr>
        <w:lastRenderedPageBreak/>
        <w:t>Chapter 4—Industrial processes emissions</w:t>
      </w:r>
      <w:r>
        <w:rPr>
          <w:noProof/>
        </w:rPr>
        <w:tab/>
      </w:r>
      <w:r>
        <w:rPr>
          <w:noProof/>
        </w:rPr>
        <w:fldChar w:fldCharType="begin"/>
      </w:r>
      <w:r>
        <w:rPr>
          <w:noProof/>
        </w:rPr>
        <w:instrText xml:space="preserve"> PAGEREF _Toc495652926 \h </w:instrText>
      </w:r>
      <w:r>
        <w:rPr>
          <w:noProof/>
        </w:rPr>
      </w:r>
      <w:r>
        <w:rPr>
          <w:noProof/>
        </w:rPr>
        <w:fldChar w:fldCharType="separate"/>
      </w:r>
      <w:r w:rsidR="00766D30">
        <w:rPr>
          <w:noProof/>
        </w:rPr>
        <w:t>312</w:t>
      </w:r>
      <w:r>
        <w:rPr>
          <w:noProof/>
        </w:rPr>
        <w:fldChar w:fldCharType="end"/>
      </w:r>
    </w:p>
    <w:p w14:paraId="6FBA10C7" w14:textId="77777777" w:rsidR="00E25764" w:rsidRDefault="00E25764">
      <w:pPr>
        <w:pStyle w:val="TOC2"/>
        <w:rPr>
          <w:rFonts w:asciiTheme="minorHAnsi" w:eastAsiaTheme="minorEastAsia" w:hAnsiTheme="minorHAnsi" w:cstheme="minorBidi"/>
          <w:b w:val="0"/>
          <w:sz w:val="22"/>
          <w:szCs w:val="22"/>
          <w:lang w:eastAsia="en-AU"/>
        </w:rPr>
      </w:pPr>
      <w:r>
        <w:t>Part 4.1—Preliminary</w:t>
      </w:r>
      <w:r>
        <w:tab/>
      </w:r>
      <w:r>
        <w:fldChar w:fldCharType="begin"/>
      </w:r>
      <w:r>
        <w:instrText xml:space="preserve"> PAGEREF _Toc495652927 \h </w:instrText>
      </w:r>
      <w:r>
        <w:fldChar w:fldCharType="separate"/>
      </w:r>
      <w:r w:rsidR="00766D30">
        <w:t>312</w:t>
      </w:r>
      <w:r>
        <w:fldChar w:fldCharType="end"/>
      </w:r>
    </w:p>
    <w:p w14:paraId="502286CF" w14:textId="77777777" w:rsidR="00E25764" w:rsidRDefault="00E25764">
      <w:pPr>
        <w:pStyle w:val="TOC5"/>
        <w:rPr>
          <w:rFonts w:asciiTheme="minorHAnsi" w:eastAsiaTheme="minorEastAsia" w:hAnsiTheme="minorHAnsi" w:cstheme="minorBidi"/>
          <w:noProof/>
          <w:sz w:val="22"/>
          <w:szCs w:val="22"/>
          <w:lang w:eastAsia="en-AU"/>
        </w:rPr>
      </w:pPr>
      <w:r>
        <w:rPr>
          <w:noProof/>
        </w:rPr>
        <w:t>4.1  Outline of Chapter</w:t>
      </w:r>
      <w:r>
        <w:rPr>
          <w:noProof/>
        </w:rPr>
        <w:tab/>
      </w:r>
      <w:r>
        <w:rPr>
          <w:noProof/>
        </w:rPr>
        <w:fldChar w:fldCharType="begin"/>
      </w:r>
      <w:r>
        <w:rPr>
          <w:noProof/>
        </w:rPr>
        <w:instrText xml:space="preserve"> PAGEREF _Toc495652928 \h </w:instrText>
      </w:r>
      <w:r>
        <w:rPr>
          <w:noProof/>
        </w:rPr>
      </w:r>
      <w:r>
        <w:rPr>
          <w:noProof/>
        </w:rPr>
        <w:fldChar w:fldCharType="separate"/>
      </w:r>
      <w:r w:rsidR="00766D30">
        <w:rPr>
          <w:noProof/>
        </w:rPr>
        <w:t>312</w:t>
      </w:r>
      <w:r>
        <w:rPr>
          <w:noProof/>
        </w:rPr>
        <w:fldChar w:fldCharType="end"/>
      </w:r>
    </w:p>
    <w:p w14:paraId="579A93A1" w14:textId="77777777" w:rsidR="00E25764" w:rsidRDefault="00E25764">
      <w:pPr>
        <w:pStyle w:val="TOC2"/>
        <w:rPr>
          <w:rFonts w:asciiTheme="minorHAnsi" w:eastAsiaTheme="minorEastAsia" w:hAnsiTheme="minorHAnsi" w:cstheme="minorBidi"/>
          <w:b w:val="0"/>
          <w:sz w:val="22"/>
          <w:szCs w:val="22"/>
          <w:lang w:eastAsia="en-AU"/>
        </w:rPr>
      </w:pPr>
      <w:r>
        <w:t>Part 4.2—Industrial processes—mineral products</w:t>
      </w:r>
      <w:r>
        <w:tab/>
      </w:r>
      <w:r>
        <w:fldChar w:fldCharType="begin"/>
      </w:r>
      <w:r>
        <w:instrText xml:space="preserve"> PAGEREF _Toc495652929 \h </w:instrText>
      </w:r>
      <w:r>
        <w:fldChar w:fldCharType="separate"/>
      </w:r>
      <w:r w:rsidR="00766D30">
        <w:t>314</w:t>
      </w:r>
      <w:r>
        <w:fldChar w:fldCharType="end"/>
      </w:r>
    </w:p>
    <w:p w14:paraId="601E7EEC"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4.2.1—Cement clinker production</w:t>
      </w:r>
      <w:r>
        <w:rPr>
          <w:noProof/>
        </w:rPr>
        <w:tab/>
      </w:r>
      <w:r>
        <w:rPr>
          <w:noProof/>
        </w:rPr>
        <w:fldChar w:fldCharType="begin"/>
      </w:r>
      <w:r>
        <w:rPr>
          <w:noProof/>
        </w:rPr>
        <w:instrText xml:space="preserve"> PAGEREF _Toc495652930 \h </w:instrText>
      </w:r>
      <w:r>
        <w:rPr>
          <w:noProof/>
        </w:rPr>
      </w:r>
      <w:r>
        <w:rPr>
          <w:noProof/>
        </w:rPr>
        <w:fldChar w:fldCharType="separate"/>
      </w:r>
      <w:r w:rsidR="00766D30">
        <w:rPr>
          <w:noProof/>
        </w:rPr>
        <w:t>314</w:t>
      </w:r>
      <w:r>
        <w:rPr>
          <w:noProof/>
        </w:rPr>
        <w:fldChar w:fldCharType="end"/>
      </w:r>
    </w:p>
    <w:p w14:paraId="0CF8121B" w14:textId="77777777" w:rsidR="00E25764" w:rsidRDefault="00E25764">
      <w:pPr>
        <w:pStyle w:val="TOC5"/>
        <w:rPr>
          <w:rFonts w:asciiTheme="minorHAnsi" w:eastAsiaTheme="minorEastAsia" w:hAnsiTheme="minorHAnsi" w:cstheme="minorBidi"/>
          <w:noProof/>
          <w:sz w:val="22"/>
          <w:szCs w:val="22"/>
          <w:lang w:eastAsia="en-AU"/>
        </w:rPr>
      </w:pPr>
      <w:r>
        <w:rPr>
          <w:noProof/>
        </w:rPr>
        <w:t>4.2  Application</w:t>
      </w:r>
      <w:r>
        <w:rPr>
          <w:noProof/>
        </w:rPr>
        <w:tab/>
      </w:r>
      <w:r>
        <w:rPr>
          <w:noProof/>
        </w:rPr>
        <w:fldChar w:fldCharType="begin"/>
      </w:r>
      <w:r>
        <w:rPr>
          <w:noProof/>
        </w:rPr>
        <w:instrText xml:space="preserve"> PAGEREF _Toc495652931 \h </w:instrText>
      </w:r>
      <w:r>
        <w:rPr>
          <w:noProof/>
        </w:rPr>
      </w:r>
      <w:r>
        <w:rPr>
          <w:noProof/>
        </w:rPr>
        <w:fldChar w:fldCharType="separate"/>
      </w:r>
      <w:r w:rsidR="00766D30">
        <w:rPr>
          <w:noProof/>
        </w:rPr>
        <w:t>314</w:t>
      </w:r>
      <w:r>
        <w:rPr>
          <w:noProof/>
        </w:rPr>
        <w:fldChar w:fldCharType="end"/>
      </w:r>
    </w:p>
    <w:p w14:paraId="23DB5EA4" w14:textId="77777777" w:rsidR="00E25764" w:rsidRDefault="00E25764">
      <w:pPr>
        <w:pStyle w:val="TOC5"/>
        <w:rPr>
          <w:rFonts w:asciiTheme="minorHAnsi" w:eastAsiaTheme="minorEastAsia" w:hAnsiTheme="minorHAnsi" w:cstheme="minorBidi"/>
          <w:noProof/>
          <w:sz w:val="22"/>
          <w:szCs w:val="22"/>
          <w:lang w:eastAsia="en-AU"/>
        </w:rPr>
      </w:pPr>
      <w:r>
        <w:rPr>
          <w:noProof/>
        </w:rPr>
        <w:t>4.3  Available methods</w:t>
      </w:r>
      <w:r>
        <w:rPr>
          <w:noProof/>
        </w:rPr>
        <w:tab/>
      </w:r>
      <w:r>
        <w:rPr>
          <w:noProof/>
        </w:rPr>
        <w:fldChar w:fldCharType="begin"/>
      </w:r>
      <w:r>
        <w:rPr>
          <w:noProof/>
        </w:rPr>
        <w:instrText xml:space="preserve"> PAGEREF _Toc495652932 \h </w:instrText>
      </w:r>
      <w:r>
        <w:rPr>
          <w:noProof/>
        </w:rPr>
      </w:r>
      <w:r>
        <w:rPr>
          <w:noProof/>
        </w:rPr>
        <w:fldChar w:fldCharType="separate"/>
      </w:r>
      <w:r w:rsidR="00766D30">
        <w:rPr>
          <w:noProof/>
        </w:rPr>
        <w:t>315</w:t>
      </w:r>
      <w:r>
        <w:rPr>
          <w:noProof/>
        </w:rPr>
        <w:fldChar w:fldCharType="end"/>
      </w:r>
    </w:p>
    <w:p w14:paraId="31CA8256" w14:textId="77777777" w:rsidR="00E25764" w:rsidRDefault="00E25764">
      <w:pPr>
        <w:pStyle w:val="TOC5"/>
        <w:rPr>
          <w:rFonts w:asciiTheme="minorHAnsi" w:eastAsiaTheme="minorEastAsia" w:hAnsiTheme="minorHAnsi" w:cstheme="minorBidi"/>
          <w:noProof/>
          <w:sz w:val="22"/>
          <w:szCs w:val="22"/>
          <w:lang w:eastAsia="en-AU"/>
        </w:rPr>
      </w:pPr>
      <w:r>
        <w:rPr>
          <w:noProof/>
        </w:rPr>
        <w:t>4.4  Method 1—cement clinker production</w:t>
      </w:r>
      <w:r>
        <w:rPr>
          <w:noProof/>
        </w:rPr>
        <w:tab/>
      </w:r>
      <w:r>
        <w:rPr>
          <w:noProof/>
        </w:rPr>
        <w:fldChar w:fldCharType="begin"/>
      </w:r>
      <w:r>
        <w:rPr>
          <w:noProof/>
        </w:rPr>
        <w:instrText xml:space="preserve"> PAGEREF _Toc495652933 \h </w:instrText>
      </w:r>
      <w:r>
        <w:rPr>
          <w:noProof/>
        </w:rPr>
      </w:r>
      <w:r>
        <w:rPr>
          <w:noProof/>
        </w:rPr>
        <w:fldChar w:fldCharType="separate"/>
      </w:r>
      <w:r w:rsidR="00766D30">
        <w:rPr>
          <w:noProof/>
        </w:rPr>
        <w:t>315</w:t>
      </w:r>
      <w:r>
        <w:rPr>
          <w:noProof/>
        </w:rPr>
        <w:fldChar w:fldCharType="end"/>
      </w:r>
    </w:p>
    <w:p w14:paraId="40F6DF08" w14:textId="77777777" w:rsidR="00E25764" w:rsidRDefault="00E25764">
      <w:pPr>
        <w:pStyle w:val="TOC5"/>
        <w:rPr>
          <w:rFonts w:asciiTheme="minorHAnsi" w:eastAsiaTheme="minorEastAsia" w:hAnsiTheme="minorHAnsi" w:cstheme="minorBidi"/>
          <w:noProof/>
          <w:sz w:val="22"/>
          <w:szCs w:val="22"/>
          <w:lang w:eastAsia="en-AU"/>
        </w:rPr>
      </w:pPr>
      <w:r>
        <w:rPr>
          <w:noProof/>
        </w:rPr>
        <w:t>4.5  Method 2—cement clinker production</w:t>
      </w:r>
      <w:r>
        <w:rPr>
          <w:noProof/>
        </w:rPr>
        <w:tab/>
      </w:r>
      <w:r>
        <w:rPr>
          <w:noProof/>
        </w:rPr>
        <w:fldChar w:fldCharType="begin"/>
      </w:r>
      <w:r>
        <w:rPr>
          <w:noProof/>
        </w:rPr>
        <w:instrText xml:space="preserve"> PAGEREF _Toc495652934 \h </w:instrText>
      </w:r>
      <w:r>
        <w:rPr>
          <w:noProof/>
        </w:rPr>
      </w:r>
      <w:r>
        <w:rPr>
          <w:noProof/>
        </w:rPr>
        <w:fldChar w:fldCharType="separate"/>
      </w:r>
      <w:r w:rsidR="00766D30">
        <w:rPr>
          <w:noProof/>
        </w:rPr>
        <w:t>316</w:t>
      </w:r>
      <w:r>
        <w:rPr>
          <w:noProof/>
        </w:rPr>
        <w:fldChar w:fldCharType="end"/>
      </w:r>
    </w:p>
    <w:p w14:paraId="59D6FBD0" w14:textId="77777777" w:rsidR="00E25764" w:rsidRDefault="00E25764">
      <w:pPr>
        <w:pStyle w:val="TOC5"/>
        <w:rPr>
          <w:rFonts w:asciiTheme="minorHAnsi" w:eastAsiaTheme="minorEastAsia" w:hAnsiTheme="minorHAnsi" w:cstheme="minorBidi"/>
          <w:noProof/>
          <w:sz w:val="22"/>
          <w:szCs w:val="22"/>
          <w:lang w:eastAsia="en-AU"/>
        </w:rPr>
      </w:pPr>
      <w:r>
        <w:rPr>
          <w:noProof/>
        </w:rPr>
        <w:t>4.6  General requirements for sampling cement clinker</w:t>
      </w:r>
      <w:r>
        <w:rPr>
          <w:noProof/>
        </w:rPr>
        <w:tab/>
      </w:r>
      <w:r>
        <w:rPr>
          <w:noProof/>
        </w:rPr>
        <w:fldChar w:fldCharType="begin"/>
      </w:r>
      <w:r>
        <w:rPr>
          <w:noProof/>
        </w:rPr>
        <w:instrText xml:space="preserve"> PAGEREF _Toc495652935 \h </w:instrText>
      </w:r>
      <w:r>
        <w:rPr>
          <w:noProof/>
        </w:rPr>
      </w:r>
      <w:r>
        <w:rPr>
          <w:noProof/>
        </w:rPr>
        <w:fldChar w:fldCharType="separate"/>
      </w:r>
      <w:r w:rsidR="00766D30">
        <w:rPr>
          <w:noProof/>
        </w:rPr>
        <w:t>317</w:t>
      </w:r>
      <w:r>
        <w:rPr>
          <w:noProof/>
        </w:rPr>
        <w:fldChar w:fldCharType="end"/>
      </w:r>
    </w:p>
    <w:p w14:paraId="27874676" w14:textId="77777777" w:rsidR="00E25764" w:rsidRDefault="00E25764">
      <w:pPr>
        <w:pStyle w:val="TOC5"/>
        <w:rPr>
          <w:rFonts w:asciiTheme="minorHAnsi" w:eastAsiaTheme="minorEastAsia" w:hAnsiTheme="minorHAnsi" w:cstheme="minorBidi"/>
          <w:noProof/>
          <w:sz w:val="22"/>
          <w:szCs w:val="22"/>
          <w:lang w:eastAsia="en-AU"/>
        </w:rPr>
      </w:pPr>
      <w:r>
        <w:rPr>
          <w:noProof/>
        </w:rPr>
        <w:t>4.7  General requirements for analysing cement clinker</w:t>
      </w:r>
      <w:r>
        <w:rPr>
          <w:noProof/>
        </w:rPr>
        <w:tab/>
      </w:r>
      <w:r>
        <w:rPr>
          <w:noProof/>
        </w:rPr>
        <w:fldChar w:fldCharType="begin"/>
      </w:r>
      <w:r>
        <w:rPr>
          <w:noProof/>
        </w:rPr>
        <w:instrText xml:space="preserve"> PAGEREF _Toc495652936 \h </w:instrText>
      </w:r>
      <w:r>
        <w:rPr>
          <w:noProof/>
        </w:rPr>
      </w:r>
      <w:r>
        <w:rPr>
          <w:noProof/>
        </w:rPr>
        <w:fldChar w:fldCharType="separate"/>
      </w:r>
      <w:r w:rsidR="00766D30">
        <w:rPr>
          <w:noProof/>
        </w:rPr>
        <w:t>318</w:t>
      </w:r>
      <w:r>
        <w:rPr>
          <w:noProof/>
        </w:rPr>
        <w:fldChar w:fldCharType="end"/>
      </w:r>
    </w:p>
    <w:p w14:paraId="0BA6E5ED" w14:textId="77777777" w:rsidR="00E25764" w:rsidRDefault="00E25764">
      <w:pPr>
        <w:pStyle w:val="TOC5"/>
        <w:rPr>
          <w:rFonts w:asciiTheme="minorHAnsi" w:eastAsiaTheme="minorEastAsia" w:hAnsiTheme="minorHAnsi" w:cstheme="minorBidi"/>
          <w:noProof/>
          <w:sz w:val="22"/>
          <w:szCs w:val="22"/>
          <w:lang w:eastAsia="en-AU"/>
        </w:rPr>
      </w:pPr>
      <w:r>
        <w:rPr>
          <w:noProof/>
        </w:rPr>
        <w:t>4.8  Method 3—cement clinker production</w:t>
      </w:r>
      <w:r>
        <w:rPr>
          <w:noProof/>
        </w:rPr>
        <w:tab/>
      </w:r>
      <w:r>
        <w:rPr>
          <w:noProof/>
        </w:rPr>
        <w:fldChar w:fldCharType="begin"/>
      </w:r>
      <w:r>
        <w:rPr>
          <w:noProof/>
        </w:rPr>
        <w:instrText xml:space="preserve"> PAGEREF _Toc495652937 \h </w:instrText>
      </w:r>
      <w:r>
        <w:rPr>
          <w:noProof/>
        </w:rPr>
      </w:r>
      <w:r>
        <w:rPr>
          <w:noProof/>
        </w:rPr>
        <w:fldChar w:fldCharType="separate"/>
      </w:r>
      <w:r w:rsidR="00766D30">
        <w:rPr>
          <w:noProof/>
        </w:rPr>
        <w:t>318</w:t>
      </w:r>
      <w:r>
        <w:rPr>
          <w:noProof/>
        </w:rPr>
        <w:fldChar w:fldCharType="end"/>
      </w:r>
    </w:p>
    <w:p w14:paraId="1CCF6C66" w14:textId="77777777" w:rsidR="00E25764" w:rsidRDefault="00E25764">
      <w:pPr>
        <w:pStyle w:val="TOC5"/>
        <w:rPr>
          <w:rFonts w:asciiTheme="minorHAnsi" w:eastAsiaTheme="minorEastAsia" w:hAnsiTheme="minorHAnsi" w:cstheme="minorBidi"/>
          <w:noProof/>
          <w:sz w:val="22"/>
          <w:szCs w:val="22"/>
          <w:lang w:eastAsia="en-AU"/>
        </w:rPr>
      </w:pPr>
      <w:r>
        <w:rPr>
          <w:noProof/>
        </w:rPr>
        <w:t>4.9  General requirements for sampling carbonates</w:t>
      </w:r>
      <w:r>
        <w:rPr>
          <w:noProof/>
        </w:rPr>
        <w:tab/>
      </w:r>
      <w:r>
        <w:rPr>
          <w:noProof/>
        </w:rPr>
        <w:fldChar w:fldCharType="begin"/>
      </w:r>
      <w:r>
        <w:rPr>
          <w:noProof/>
        </w:rPr>
        <w:instrText xml:space="preserve"> PAGEREF _Toc495652938 \h </w:instrText>
      </w:r>
      <w:r>
        <w:rPr>
          <w:noProof/>
        </w:rPr>
      </w:r>
      <w:r>
        <w:rPr>
          <w:noProof/>
        </w:rPr>
        <w:fldChar w:fldCharType="separate"/>
      </w:r>
      <w:r w:rsidR="00766D30">
        <w:rPr>
          <w:noProof/>
        </w:rPr>
        <w:t>320</w:t>
      </w:r>
      <w:r>
        <w:rPr>
          <w:noProof/>
        </w:rPr>
        <w:fldChar w:fldCharType="end"/>
      </w:r>
    </w:p>
    <w:p w14:paraId="5C7E3A7A" w14:textId="77777777" w:rsidR="00E25764" w:rsidRDefault="00E25764">
      <w:pPr>
        <w:pStyle w:val="TOC5"/>
        <w:rPr>
          <w:rFonts w:asciiTheme="minorHAnsi" w:eastAsiaTheme="minorEastAsia" w:hAnsiTheme="minorHAnsi" w:cstheme="minorBidi"/>
          <w:noProof/>
          <w:sz w:val="22"/>
          <w:szCs w:val="22"/>
          <w:lang w:eastAsia="en-AU"/>
        </w:rPr>
      </w:pPr>
      <w:r>
        <w:rPr>
          <w:noProof/>
        </w:rPr>
        <w:t>4.10  General requirements for analysing carbonates</w:t>
      </w:r>
      <w:r>
        <w:rPr>
          <w:noProof/>
        </w:rPr>
        <w:tab/>
      </w:r>
      <w:r>
        <w:rPr>
          <w:noProof/>
        </w:rPr>
        <w:fldChar w:fldCharType="begin"/>
      </w:r>
      <w:r>
        <w:rPr>
          <w:noProof/>
        </w:rPr>
        <w:instrText xml:space="preserve"> PAGEREF _Toc495652939 \h </w:instrText>
      </w:r>
      <w:r>
        <w:rPr>
          <w:noProof/>
        </w:rPr>
      </w:r>
      <w:r>
        <w:rPr>
          <w:noProof/>
        </w:rPr>
        <w:fldChar w:fldCharType="separate"/>
      </w:r>
      <w:r w:rsidR="00766D30">
        <w:rPr>
          <w:noProof/>
        </w:rPr>
        <w:t>320</w:t>
      </w:r>
      <w:r>
        <w:rPr>
          <w:noProof/>
        </w:rPr>
        <w:fldChar w:fldCharType="end"/>
      </w:r>
    </w:p>
    <w:p w14:paraId="719647B7"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4.2.2—Lime production</w:t>
      </w:r>
      <w:r>
        <w:rPr>
          <w:noProof/>
        </w:rPr>
        <w:tab/>
      </w:r>
      <w:r>
        <w:rPr>
          <w:noProof/>
        </w:rPr>
        <w:fldChar w:fldCharType="begin"/>
      </w:r>
      <w:r>
        <w:rPr>
          <w:noProof/>
        </w:rPr>
        <w:instrText xml:space="preserve"> PAGEREF _Toc495652940 \h </w:instrText>
      </w:r>
      <w:r>
        <w:rPr>
          <w:noProof/>
        </w:rPr>
      </w:r>
      <w:r>
        <w:rPr>
          <w:noProof/>
        </w:rPr>
        <w:fldChar w:fldCharType="separate"/>
      </w:r>
      <w:r w:rsidR="00766D30">
        <w:rPr>
          <w:noProof/>
        </w:rPr>
        <w:t>321</w:t>
      </w:r>
      <w:r>
        <w:rPr>
          <w:noProof/>
        </w:rPr>
        <w:fldChar w:fldCharType="end"/>
      </w:r>
    </w:p>
    <w:p w14:paraId="2D4A18D0" w14:textId="77777777" w:rsidR="00E25764" w:rsidRDefault="00E25764">
      <w:pPr>
        <w:pStyle w:val="TOC5"/>
        <w:rPr>
          <w:rFonts w:asciiTheme="minorHAnsi" w:eastAsiaTheme="minorEastAsia" w:hAnsiTheme="minorHAnsi" w:cstheme="minorBidi"/>
          <w:noProof/>
          <w:sz w:val="22"/>
          <w:szCs w:val="22"/>
          <w:lang w:eastAsia="en-AU"/>
        </w:rPr>
      </w:pPr>
      <w:r>
        <w:rPr>
          <w:noProof/>
        </w:rPr>
        <w:t>4.11  Application</w:t>
      </w:r>
      <w:r>
        <w:rPr>
          <w:noProof/>
        </w:rPr>
        <w:tab/>
      </w:r>
      <w:r>
        <w:rPr>
          <w:noProof/>
        </w:rPr>
        <w:fldChar w:fldCharType="begin"/>
      </w:r>
      <w:r>
        <w:rPr>
          <w:noProof/>
        </w:rPr>
        <w:instrText xml:space="preserve"> PAGEREF _Toc495652941 \h </w:instrText>
      </w:r>
      <w:r>
        <w:rPr>
          <w:noProof/>
        </w:rPr>
      </w:r>
      <w:r>
        <w:rPr>
          <w:noProof/>
        </w:rPr>
        <w:fldChar w:fldCharType="separate"/>
      </w:r>
      <w:r w:rsidR="00766D30">
        <w:rPr>
          <w:noProof/>
        </w:rPr>
        <w:t>321</w:t>
      </w:r>
      <w:r>
        <w:rPr>
          <w:noProof/>
        </w:rPr>
        <w:fldChar w:fldCharType="end"/>
      </w:r>
    </w:p>
    <w:p w14:paraId="0EA6BB9B" w14:textId="77777777" w:rsidR="00E25764" w:rsidRDefault="00E25764">
      <w:pPr>
        <w:pStyle w:val="TOC5"/>
        <w:rPr>
          <w:rFonts w:asciiTheme="minorHAnsi" w:eastAsiaTheme="minorEastAsia" w:hAnsiTheme="minorHAnsi" w:cstheme="minorBidi"/>
          <w:noProof/>
          <w:sz w:val="22"/>
          <w:szCs w:val="22"/>
          <w:lang w:eastAsia="en-AU"/>
        </w:rPr>
      </w:pPr>
      <w:r>
        <w:rPr>
          <w:noProof/>
        </w:rPr>
        <w:t>4.12  Available methods</w:t>
      </w:r>
      <w:r>
        <w:rPr>
          <w:noProof/>
        </w:rPr>
        <w:tab/>
      </w:r>
      <w:r>
        <w:rPr>
          <w:noProof/>
        </w:rPr>
        <w:fldChar w:fldCharType="begin"/>
      </w:r>
      <w:r>
        <w:rPr>
          <w:noProof/>
        </w:rPr>
        <w:instrText xml:space="preserve"> PAGEREF _Toc495652942 \h </w:instrText>
      </w:r>
      <w:r>
        <w:rPr>
          <w:noProof/>
        </w:rPr>
      </w:r>
      <w:r>
        <w:rPr>
          <w:noProof/>
        </w:rPr>
        <w:fldChar w:fldCharType="separate"/>
      </w:r>
      <w:r w:rsidR="00766D30">
        <w:rPr>
          <w:noProof/>
        </w:rPr>
        <w:t>321</w:t>
      </w:r>
      <w:r>
        <w:rPr>
          <w:noProof/>
        </w:rPr>
        <w:fldChar w:fldCharType="end"/>
      </w:r>
    </w:p>
    <w:p w14:paraId="2D77ED32" w14:textId="77777777" w:rsidR="00E25764" w:rsidRDefault="00E25764">
      <w:pPr>
        <w:pStyle w:val="TOC5"/>
        <w:rPr>
          <w:rFonts w:asciiTheme="minorHAnsi" w:eastAsiaTheme="minorEastAsia" w:hAnsiTheme="minorHAnsi" w:cstheme="minorBidi"/>
          <w:noProof/>
          <w:sz w:val="22"/>
          <w:szCs w:val="22"/>
          <w:lang w:eastAsia="en-AU"/>
        </w:rPr>
      </w:pPr>
      <w:r>
        <w:rPr>
          <w:noProof/>
        </w:rPr>
        <w:t>4.13  Method 1—lime production</w:t>
      </w:r>
      <w:r>
        <w:rPr>
          <w:noProof/>
        </w:rPr>
        <w:tab/>
      </w:r>
      <w:r>
        <w:rPr>
          <w:noProof/>
        </w:rPr>
        <w:fldChar w:fldCharType="begin"/>
      </w:r>
      <w:r>
        <w:rPr>
          <w:noProof/>
        </w:rPr>
        <w:instrText xml:space="preserve"> PAGEREF _Toc495652943 \h </w:instrText>
      </w:r>
      <w:r>
        <w:rPr>
          <w:noProof/>
        </w:rPr>
      </w:r>
      <w:r>
        <w:rPr>
          <w:noProof/>
        </w:rPr>
        <w:fldChar w:fldCharType="separate"/>
      </w:r>
      <w:r w:rsidR="00766D30">
        <w:rPr>
          <w:noProof/>
        </w:rPr>
        <w:t>322</w:t>
      </w:r>
      <w:r>
        <w:rPr>
          <w:noProof/>
        </w:rPr>
        <w:fldChar w:fldCharType="end"/>
      </w:r>
    </w:p>
    <w:p w14:paraId="6CD3605E" w14:textId="77777777" w:rsidR="00E25764" w:rsidRDefault="00E25764">
      <w:pPr>
        <w:pStyle w:val="TOC5"/>
        <w:rPr>
          <w:rFonts w:asciiTheme="minorHAnsi" w:eastAsiaTheme="minorEastAsia" w:hAnsiTheme="minorHAnsi" w:cstheme="minorBidi"/>
          <w:noProof/>
          <w:sz w:val="22"/>
          <w:szCs w:val="22"/>
          <w:lang w:eastAsia="en-AU"/>
        </w:rPr>
      </w:pPr>
      <w:r>
        <w:rPr>
          <w:noProof/>
        </w:rPr>
        <w:t>4.14  Method 2—lime production</w:t>
      </w:r>
      <w:r>
        <w:rPr>
          <w:noProof/>
        </w:rPr>
        <w:tab/>
      </w:r>
      <w:r>
        <w:rPr>
          <w:noProof/>
        </w:rPr>
        <w:fldChar w:fldCharType="begin"/>
      </w:r>
      <w:r>
        <w:rPr>
          <w:noProof/>
        </w:rPr>
        <w:instrText xml:space="preserve"> PAGEREF _Toc495652944 \h </w:instrText>
      </w:r>
      <w:r>
        <w:rPr>
          <w:noProof/>
        </w:rPr>
      </w:r>
      <w:r>
        <w:rPr>
          <w:noProof/>
        </w:rPr>
        <w:fldChar w:fldCharType="separate"/>
      </w:r>
      <w:r w:rsidR="00766D30">
        <w:rPr>
          <w:noProof/>
        </w:rPr>
        <w:t>323</w:t>
      </w:r>
      <w:r>
        <w:rPr>
          <w:noProof/>
        </w:rPr>
        <w:fldChar w:fldCharType="end"/>
      </w:r>
    </w:p>
    <w:p w14:paraId="0424E1C0" w14:textId="77777777" w:rsidR="00E25764" w:rsidRDefault="00E25764">
      <w:pPr>
        <w:pStyle w:val="TOC5"/>
        <w:rPr>
          <w:rFonts w:asciiTheme="minorHAnsi" w:eastAsiaTheme="minorEastAsia" w:hAnsiTheme="minorHAnsi" w:cstheme="minorBidi"/>
          <w:noProof/>
          <w:sz w:val="22"/>
          <w:szCs w:val="22"/>
          <w:lang w:eastAsia="en-AU"/>
        </w:rPr>
      </w:pPr>
      <w:r>
        <w:rPr>
          <w:noProof/>
        </w:rPr>
        <w:t>4.15  General requirements for sampling</w:t>
      </w:r>
      <w:r>
        <w:rPr>
          <w:noProof/>
        </w:rPr>
        <w:tab/>
      </w:r>
      <w:r>
        <w:rPr>
          <w:noProof/>
        </w:rPr>
        <w:fldChar w:fldCharType="begin"/>
      </w:r>
      <w:r>
        <w:rPr>
          <w:noProof/>
        </w:rPr>
        <w:instrText xml:space="preserve"> PAGEREF _Toc495652945 \h </w:instrText>
      </w:r>
      <w:r>
        <w:rPr>
          <w:noProof/>
        </w:rPr>
      </w:r>
      <w:r>
        <w:rPr>
          <w:noProof/>
        </w:rPr>
        <w:fldChar w:fldCharType="separate"/>
      </w:r>
      <w:r w:rsidR="00766D30">
        <w:rPr>
          <w:noProof/>
        </w:rPr>
        <w:t>324</w:t>
      </w:r>
      <w:r>
        <w:rPr>
          <w:noProof/>
        </w:rPr>
        <w:fldChar w:fldCharType="end"/>
      </w:r>
    </w:p>
    <w:p w14:paraId="15F52FEF" w14:textId="77777777" w:rsidR="00E25764" w:rsidRDefault="00E25764">
      <w:pPr>
        <w:pStyle w:val="TOC5"/>
        <w:rPr>
          <w:rFonts w:asciiTheme="minorHAnsi" w:eastAsiaTheme="minorEastAsia" w:hAnsiTheme="minorHAnsi" w:cstheme="minorBidi"/>
          <w:noProof/>
          <w:sz w:val="22"/>
          <w:szCs w:val="22"/>
          <w:lang w:eastAsia="en-AU"/>
        </w:rPr>
      </w:pPr>
      <w:r>
        <w:rPr>
          <w:noProof/>
        </w:rPr>
        <w:t>4.16  General requirements for analysis of lime</w:t>
      </w:r>
      <w:r>
        <w:rPr>
          <w:noProof/>
        </w:rPr>
        <w:tab/>
      </w:r>
      <w:r>
        <w:rPr>
          <w:noProof/>
        </w:rPr>
        <w:fldChar w:fldCharType="begin"/>
      </w:r>
      <w:r>
        <w:rPr>
          <w:noProof/>
        </w:rPr>
        <w:instrText xml:space="preserve"> PAGEREF _Toc495652946 \h </w:instrText>
      </w:r>
      <w:r>
        <w:rPr>
          <w:noProof/>
        </w:rPr>
      </w:r>
      <w:r>
        <w:rPr>
          <w:noProof/>
        </w:rPr>
        <w:fldChar w:fldCharType="separate"/>
      </w:r>
      <w:r w:rsidR="00766D30">
        <w:rPr>
          <w:noProof/>
        </w:rPr>
        <w:t>325</w:t>
      </w:r>
      <w:r>
        <w:rPr>
          <w:noProof/>
        </w:rPr>
        <w:fldChar w:fldCharType="end"/>
      </w:r>
    </w:p>
    <w:p w14:paraId="7A3CAB9A" w14:textId="77777777" w:rsidR="00E25764" w:rsidRDefault="00E25764">
      <w:pPr>
        <w:pStyle w:val="TOC5"/>
        <w:rPr>
          <w:rFonts w:asciiTheme="minorHAnsi" w:eastAsiaTheme="minorEastAsia" w:hAnsiTheme="minorHAnsi" w:cstheme="minorBidi"/>
          <w:noProof/>
          <w:sz w:val="22"/>
          <w:szCs w:val="22"/>
          <w:lang w:eastAsia="en-AU"/>
        </w:rPr>
      </w:pPr>
      <w:r>
        <w:rPr>
          <w:noProof/>
        </w:rPr>
        <w:t>4.17  Method 3—lime production</w:t>
      </w:r>
      <w:r>
        <w:rPr>
          <w:noProof/>
        </w:rPr>
        <w:tab/>
      </w:r>
      <w:r>
        <w:rPr>
          <w:noProof/>
        </w:rPr>
        <w:fldChar w:fldCharType="begin"/>
      </w:r>
      <w:r>
        <w:rPr>
          <w:noProof/>
        </w:rPr>
        <w:instrText xml:space="preserve"> PAGEREF _Toc495652947 \h </w:instrText>
      </w:r>
      <w:r>
        <w:rPr>
          <w:noProof/>
        </w:rPr>
      </w:r>
      <w:r>
        <w:rPr>
          <w:noProof/>
        </w:rPr>
        <w:fldChar w:fldCharType="separate"/>
      </w:r>
      <w:r w:rsidR="00766D30">
        <w:rPr>
          <w:noProof/>
        </w:rPr>
        <w:t>325</w:t>
      </w:r>
      <w:r>
        <w:rPr>
          <w:noProof/>
        </w:rPr>
        <w:fldChar w:fldCharType="end"/>
      </w:r>
    </w:p>
    <w:p w14:paraId="0490339A" w14:textId="77777777" w:rsidR="00E25764" w:rsidRDefault="00E25764">
      <w:pPr>
        <w:pStyle w:val="TOC5"/>
        <w:rPr>
          <w:rFonts w:asciiTheme="minorHAnsi" w:eastAsiaTheme="minorEastAsia" w:hAnsiTheme="minorHAnsi" w:cstheme="minorBidi"/>
          <w:noProof/>
          <w:sz w:val="22"/>
          <w:szCs w:val="22"/>
          <w:lang w:eastAsia="en-AU"/>
        </w:rPr>
      </w:pPr>
      <w:r>
        <w:rPr>
          <w:noProof/>
        </w:rPr>
        <w:t>4.18  General requirements for sampling</w:t>
      </w:r>
      <w:r>
        <w:rPr>
          <w:noProof/>
        </w:rPr>
        <w:tab/>
      </w:r>
      <w:r>
        <w:rPr>
          <w:noProof/>
        </w:rPr>
        <w:fldChar w:fldCharType="begin"/>
      </w:r>
      <w:r>
        <w:rPr>
          <w:noProof/>
        </w:rPr>
        <w:instrText xml:space="preserve"> PAGEREF _Toc495652948 \h </w:instrText>
      </w:r>
      <w:r>
        <w:rPr>
          <w:noProof/>
        </w:rPr>
      </w:r>
      <w:r>
        <w:rPr>
          <w:noProof/>
        </w:rPr>
        <w:fldChar w:fldCharType="separate"/>
      </w:r>
      <w:r w:rsidR="00766D30">
        <w:rPr>
          <w:noProof/>
        </w:rPr>
        <w:t>326</w:t>
      </w:r>
      <w:r>
        <w:rPr>
          <w:noProof/>
        </w:rPr>
        <w:fldChar w:fldCharType="end"/>
      </w:r>
    </w:p>
    <w:p w14:paraId="2B1849C7" w14:textId="77777777" w:rsidR="00E25764" w:rsidRDefault="00E25764">
      <w:pPr>
        <w:pStyle w:val="TOC5"/>
        <w:rPr>
          <w:rFonts w:asciiTheme="minorHAnsi" w:eastAsiaTheme="minorEastAsia" w:hAnsiTheme="minorHAnsi" w:cstheme="minorBidi"/>
          <w:noProof/>
          <w:sz w:val="22"/>
          <w:szCs w:val="22"/>
          <w:lang w:eastAsia="en-AU"/>
        </w:rPr>
      </w:pPr>
      <w:r>
        <w:rPr>
          <w:noProof/>
        </w:rPr>
        <w:t>4.19  General requirements for analysis of carbonates</w:t>
      </w:r>
      <w:r>
        <w:rPr>
          <w:noProof/>
        </w:rPr>
        <w:tab/>
      </w:r>
      <w:r>
        <w:rPr>
          <w:noProof/>
        </w:rPr>
        <w:fldChar w:fldCharType="begin"/>
      </w:r>
      <w:r>
        <w:rPr>
          <w:noProof/>
        </w:rPr>
        <w:instrText xml:space="preserve"> PAGEREF _Toc495652949 \h </w:instrText>
      </w:r>
      <w:r>
        <w:rPr>
          <w:noProof/>
        </w:rPr>
      </w:r>
      <w:r>
        <w:rPr>
          <w:noProof/>
        </w:rPr>
        <w:fldChar w:fldCharType="separate"/>
      </w:r>
      <w:r w:rsidR="00766D30">
        <w:rPr>
          <w:noProof/>
        </w:rPr>
        <w:t>327</w:t>
      </w:r>
      <w:r>
        <w:rPr>
          <w:noProof/>
        </w:rPr>
        <w:fldChar w:fldCharType="end"/>
      </w:r>
    </w:p>
    <w:p w14:paraId="5DD31EEC" w14:textId="77777777" w:rsidR="00E25764" w:rsidRDefault="00E25764">
      <w:pPr>
        <w:pStyle w:val="TOC3"/>
        <w:rPr>
          <w:rFonts w:asciiTheme="minorHAnsi" w:eastAsiaTheme="minorEastAsia" w:hAnsiTheme="minorHAnsi" w:cstheme="minorBidi"/>
          <w:b w:val="0"/>
          <w:noProof/>
          <w:sz w:val="22"/>
          <w:szCs w:val="22"/>
          <w:lang w:eastAsia="en-AU"/>
        </w:rPr>
      </w:pPr>
      <w:r>
        <w:rPr>
          <w:noProof/>
        </w:rPr>
        <w:lastRenderedPageBreak/>
        <w:t>Division 4.2.3—Use of carbonates for production of a product other than cement clinker, lime or soda ash</w:t>
      </w:r>
      <w:r>
        <w:rPr>
          <w:noProof/>
        </w:rPr>
        <w:tab/>
      </w:r>
      <w:r>
        <w:rPr>
          <w:noProof/>
        </w:rPr>
        <w:fldChar w:fldCharType="begin"/>
      </w:r>
      <w:r>
        <w:rPr>
          <w:noProof/>
        </w:rPr>
        <w:instrText xml:space="preserve"> PAGEREF _Toc495652950 \h </w:instrText>
      </w:r>
      <w:r>
        <w:rPr>
          <w:noProof/>
        </w:rPr>
      </w:r>
      <w:r>
        <w:rPr>
          <w:noProof/>
        </w:rPr>
        <w:fldChar w:fldCharType="separate"/>
      </w:r>
      <w:r w:rsidR="00766D30">
        <w:rPr>
          <w:noProof/>
        </w:rPr>
        <w:t>328</w:t>
      </w:r>
      <w:r>
        <w:rPr>
          <w:noProof/>
        </w:rPr>
        <w:fldChar w:fldCharType="end"/>
      </w:r>
    </w:p>
    <w:p w14:paraId="07563674" w14:textId="77777777" w:rsidR="00E25764" w:rsidRDefault="00E25764">
      <w:pPr>
        <w:pStyle w:val="TOC5"/>
        <w:rPr>
          <w:rFonts w:asciiTheme="minorHAnsi" w:eastAsiaTheme="minorEastAsia" w:hAnsiTheme="minorHAnsi" w:cstheme="minorBidi"/>
          <w:noProof/>
          <w:sz w:val="22"/>
          <w:szCs w:val="22"/>
          <w:lang w:eastAsia="en-AU"/>
        </w:rPr>
      </w:pPr>
      <w:r>
        <w:rPr>
          <w:noProof/>
        </w:rPr>
        <w:t>4.20  Application</w:t>
      </w:r>
      <w:r>
        <w:rPr>
          <w:noProof/>
        </w:rPr>
        <w:tab/>
      </w:r>
      <w:r>
        <w:rPr>
          <w:noProof/>
        </w:rPr>
        <w:fldChar w:fldCharType="begin"/>
      </w:r>
      <w:r>
        <w:rPr>
          <w:noProof/>
        </w:rPr>
        <w:instrText xml:space="preserve"> PAGEREF _Toc495652951 \h </w:instrText>
      </w:r>
      <w:r>
        <w:rPr>
          <w:noProof/>
        </w:rPr>
      </w:r>
      <w:r>
        <w:rPr>
          <w:noProof/>
        </w:rPr>
        <w:fldChar w:fldCharType="separate"/>
      </w:r>
      <w:r w:rsidR="00766D30">
        <w:rPr>
          <w:noProof/>
        </w:rPr>
        <w:t>328</w:t>
      </w:r>
      <w:r>
        <w:rPr>
          <w:noProof/>
        </w:rPr>
        <w:fldChar w:fldCharType="end"/>
      </w:r>
    </w:p>
    <w:p w14:paraId="1173B724" w14:textId="77777777" w:rsidR="00E25764" w:rsidRDefault="00E25764">
      <w:pPr>
        <w:pStyle w:val="TOC5"/>
        <w:rPr>
          <w:rFonts w:asciiTheme="minorHAnsi" w:eastAsiaTheme="minorEastAsia" w:hAnsiTheme="minorHAnsi" w:cstheme="minorBidi"/>
          <w:noProof/>
          <w:sz w:val="22"/>
          <w:szCs w:val="22"/>
          <w:lang w:eastAsia="en-AU"/>
        </w:rPr>
      </w:pPr>
      <w:r>
        <w:rPr>
          <w:noProof/>
        </w:rPr>
        <w:t>4.21  Available methods</w:t>
      </w:r>
      <w:r>
        <w:rPr>
          <w:noProof/>
        </w:rPr>
        <w:tab/>
      </w:r>
      <w:r>
        <w:rPr>
          <w:noProof/>
        </w:rPr>
        <w:fldChar w:fldCharType="begin"/>
      </w:r>
      <w:r>
        <w:rPr>
          <w:noProof/>
        </w:rPr>
        <w:instrText xml:space="preserve"> PAGEREF _Toc495652952 \h </w:instrText>
      </w:r>
      <w:r>
        <w:rPr>
          <w:noProof/>
        </w:rPr>
      </w:r>
      <w:r>
        <w:rPr>
          <w:noProof/>
        </w:rPr>
        <w:fldChar w:fldCharType="separate"/>
      </w:r>
      <w:r w:rsidR="00766D30">
        <w:rPr>
          <w:noProof/>
        </w:rPr>
        <w:t>329</w:t>
      </w:r>
      <w:r>
        <w:rPr>
          <w:noProof/>
        </w:rPr>
        <w:fldChar w:fldCharType="end"/>
      </w:r>
    </w:p>
    <w:p w14:paraId="1F459FFF" w14:textId="77777777" w:rsidR="00E25764" w:rsidRDefault="00E25764">
      <w:pPr>
        <w:pStyle w:val="TOC5"/>
        <w:rPr>
          <w:rFonts w:asciiTheme="minorHAnsi" w:eastAsiaTheme="minorEastAsia" w:hAnsiTheme="minorHAnsi" w:cstheme="minorBidi"/>
          <w:noProof/>
          <w:sz w:val="22"/>
          <w:szCs w:val="22"/>
          <w:lang w:eastAsia="en-AU"/>
        </w:rPr>
      </w:pPr>
      <w:r>
        <w:rPr>
          <w:noProof/>
        </w:rPr>
        <w:t>4.22  Method 1—product other than cement clinker, lime or soda ash</w:t>
      </w:r>
      <w:r>
        <w:rPr>
          <w:noProof/>
        </w:rPr>
        <w:tab/>
      </w:r>
      <w:r>
        <w:rPr>
          <w:noProof/>
        </w:rPr>
        <w:fldChar w:fldCharType="begin"/>
      </w:r>
      <w:r>
        <w:rPr>
          <w:noProof/>
        </w:rPr>
        <w:instrText xml:space="preserve"> PAGEREF _Toc495652953 \h </w:instrText>
      </w:r>
      <w:r>
        <w:rPr>
          <w:noProof/>
        </w:rPr>
      </w:r>
      <w:r>
        <w:rPr>
          <w:noProof/>
        </w:rPr>
        <w:fldChar w:fldCharType="separate"/>
      </w:r>
      <w:r w:rsidR="00766D30">
        <w:rPr>
          <w:noProof/>
        </w:rPr>
        <w:t>330</w:t>
      </w:r>
      <w:r>
        <w:rPr>
          <w:noProof/>
        </w:rPr>
        <w:fldChar w:fldCharType="end"/>
      </w:r>
    </w:p>
    <w:p w14:paraId="4D17AACA" w14:textId="77777777" w:rsidR="00E25764" w:rsidRDefault="00E25764">
      <w:pPr>
        <w:pStyle w:val="TOC5"/>
        <w:rPr>
          <w:rFonts w:asciiTheme="minorHAnsi" w:eastAsiaTheme="minorEastAsia" w:hAnsiTheme="minorHAnsi" w:cstheme="minorBidi"/>
          <w:noProof/>
          <w:sz w:val="22"/>
          <w:szCs w:val="22"/>
          <w:lang w:eastAsia="en-AU"/>
        </w:rPr>
      </w:pPr>
      <w:r>
        <w:rPr>
          <w:noProof/>
        </w:rPr>
        <w:t>4.22A  Method 1A—product other than cement clinker, lime or soda ash for use of carbonates in clay materials</w:t>
      </w:r>
      <w:r>
        <w:rPr>
          <w:noProof/>
        </w:rPr>
        <w:tab/>
      </w:r>
      <w:r>
        <w:rPr>
          <w:noProof/>
        </w:rPr>
        <w:fldChar w:fldCharType="begin"/>
      </w:r>
      <w:r>
        <w:rPr>
          <w:noProof/>
        </w:rPr>
        <w:instrText xml:space="preserve"> PAGEREF _Toc495652954 \h </w:instrText>
      </w:r>
      <w:r>
        <w:rPr>
          <w:noProof/>
        </w:rPr>
      </w:r>
      <w:r>
        <w:rPr>
          <w:noProof/>
        </w:rPr>
        <w:fldChar w:fldCharType="separate"/>
      </w:r>
      <w:r w:rsidR="00766D30">
        <w:rPr>
          <w:noProof/>
        </w:rPr>
        <w:t>331</w:t>
      </w:r>
      <w:r>
        <w:rPr>
          <w:noProof/>
        </w:rPr>
        <w:fldChar w:fldCharType="end"/>
      </w:r>
    </w:p>
    <w:p w14:paraId="1FFFE738" w14:textId="77777777" w:rsidR="00E25764" w:rsidRDefault="00E25764">
      <w:pPr>
        <w:pStyle w:val="TOC5"/>
        <w:rPr>
          <w:rFonts w:asciiTheme="minorHAnsi" w:eastAsiaTheme="minorEastAsia" w:hAnsiTheme="minorHAnsi" w:cstheme="minorBidi"/>
          <w:noProof/>
          <w:sz w:val="22"/>
          <w:szCs w:val="22"/>
          <w:lang w:eastAsia="en-AU"/>
        </w:rPr>
      </w:pPr>
      <w:r>
        <w:rPr>
          <w:noProof/>
        </w:rPr>
        <w:t>4.23  Method 3—product other than cement clinker, lime or soda ash</w:t>
      </w:r>
      <w:r>
        <w:rPr>
          <w:noProof/>
        </w:rPr>
        <w:tab/>
      </w:r>
      <w:r>
        <w:rPr>
          <w:noProof/>
        </w:rPr>
        <w:fldChar w:fldCharType="begin"/>
      </w:r>
      <w:r>
        <w:rPr>
          <w:noProof/>
        </w:rPr>
        <w:instrText xml:space="preserve"> PAGEREF _Toc495652955 \h </w:instrText>
      </w:r>
      <w:r>
        <w:rPr>
          <w:noProof/>
        </w:rPr>
      </w:r>
      <w:r>
        <w:rPr>
          <w:noProof/>
        </w:rPr>
        <w:fldChar w:fldCharType="separate"/>
      </w:r>
      <w:r w:rsidR="00766D30">
        <w:rPr>
          <w:noProof/>
        </w:rPr>
        <w:t>332</w:t>
      </w:r>
      <w:r>
        <w:rPr>
          <w:noProof/>
        </w:rPr>
        <w:fldChar w:fldCharType="end"/>
      </w:r>
    </w:p>
    <w:p w14:paraId="37560F09" w14:textId="77777777" w:rsidR="00E25764" w:rsidRDefault="00E25764">
      <w:pPr>
        <w:pStyle w:val="TOC5"/>
        <w:rPr>
          <w:rFonts w:asciiTheme="minorHAnsi" w:eastAsiaTheme="minorEastAsia" w:hAnsiTheme="minorHAnsi" w:cstheme="minorBidi"/>
          <w:noProof/>
          <w:sz w:val="22"/>
          <w:szCs w:val="22"/>
          <w:lang w:eastAsia="en-AU"/>
        </w:rPr>
      </w:pPr>
      <w:r>
        <w:rPr>
          <w:noProof/>
        </w:rPr>
        <w:t>4.23A  Method 3A—product other than cement clinker, lime or soda ash for use of carbonates in clay materials</w:t>
      </w:r>
      <w:r>
        <w:rPr>
          <w:noProof/>
        </w:rPr>
        <w:tab/>
      </w:r>
      <w:r>
        <w:rPr>
          <w:noProof/>
        </w:rPr>
        <w:fldChar w:fldCharType="begin"/>
      </w:r>
      <w:r>
        <w:rPr>
          <w:noProof/>
        </w:rPr>
        <w:instrText xml:space="preserve"> PAGEREF _Toc495652956 \h </w:instrText>
      </w:r>
      <w:r>
        <w:rPr>
          <w:noProof/>
        </w:rPr>
      </w:r>
      <w:r>
        <w:rPr>
          <w:noProof/>
        </w:rPr>
        <w:fldChar w:fldCharType="separate"/>
      </w:r>
      <w:r w:rsidR="00766D30">
        <w:rPr>
          <w:noProof/>
        </w:rPr>
        <w:t>333</w:t>
      </w:r>
      <w:r>
        <w:rPr>
          <w:noProof/>
        </w:rPr>
        <w:fldChar w:fldCharType="end"/>
      </w:r>
    </w:p>
    <w:p w14:paraId="7B8B8EE1" w14:textId="77777777" w:rsidR="00E25764" w:rsidRDefault="00E25764">
      <w:pPr>
        <w:pStyle w:val="TOC5"/>
        <w:rPr>
          <w:rFonts w:asciiTheme="minorHAnsi" w:eastAsiaTheme="minorEastAsia" w:hAnsiTheme="minorHAnsi" w:cstheme="minorBidi"/>
          <w:noProof/>
          <w:sz w:val="22"/>
          <w:szCs w:val="22"/>
          <w:lang w:eastAsia="en-AU"/>
        </w:rPr>
      </w:pPr>
      <w:r>
        <w:rPr>
          <w:noProof/>
        </w:rPr>
        <w:t>4.23B  General requirements for sampling clay material</w:t>
      </w:r>
      <w:r>
        <w:rPr>
          <w:noProof/>
        </w:rPr>
        <w:tab/>
      </w:r>
      <w:r>
        <w:rPr>
          <w:noProof/>
        </w:rPr>
        <w:fldChar w:fldCharType="begin"/>
      </w:r>
      <w:r>
        <w:rPr>
          <w:noProof/>
        </w:rPr>
        <w:instrText xml:space="preserve"> PAGEREF _Toc495652957 \h </w:instrText>
      </w:r>
      <w:r>
        <w:rPr>
          <w:noProof/>
        </w:rPr>
      </w:r>
      <w:r>
        <w:rPr>
          <w:noProof/>
        </w:rPr>
        <w:fldChar w:fldCharType="separate"/>
      </w:r>
      <w:r w:rsidR="00766D30">
        <w:rPr>
          <w:noProof/>
        </w:rPr>
        <w:t>334</w:t>
      </w:r>
      <w:r>
        <w:rPr>
          <w:noProof/>
        </w:rPr>
        <w:fldChar w:fldCharType="end"/>
      </w:r>
    </w:p>
    <w:p w14:paraId="33F539F0" w14:textId="77777777" w:rsidR="00E25764" w:rsidRDefault="00E25764">
      <w:pPr>
        <w:pStyle w:val="TOC5"/>
        <w:rPr>
          <w:rFonts w:asciiTheme="minorHAnsi" w:eastAsiaTheme="minorEastAsia" w:hAnsiTheme="minorHAnsi" w:cstheme="minorBidi"/>
          <w:noProof/>
          <w:sz w:val="22"/>
          <w:szCs w:val="22"/>
          <w:lang w:eastAsia="en-AU"/>
        </w:rPr>
      </w:pPr>
      <w:r>
        <w:rPr>
          <w:noProof/>
        </w:rPr>
        <w:t>4.23C  General requirements for analysing clay material</w:t>
      </w:r>
      <w:r>
        <w:rPr>
          <w:noProof/>
        </w:rPr>
        <w:tab/>
      </w:r>
      <w:r>
        <w:rPr>
          <w:noProof/>
        </w:rPr>
        <w:fldChar w:fldCharType="begin"/>
      </w:r>
      <w:r>
        <w:rPr>
          <w:noProof/>
        </w:rPr>
        <w:instrText xml:space="preserve"> PAGEREF _Toc495652958 \h </w:instrText>
      </w:r>
      <w:r>
        <w:rPr>
          <w:noProof/>
        </w:rPr>
      </w:r>
      <w:r>
        <w:rPr>
          <w:noProof/>
        </w:rPr>
        <w:fldChar w:fldCharType="separate"/>
      </w:r>
      <w:r w:rsidR="00766D30">
        <w:rPr>
          <w:noProof/>
        </w:rPr>
        <w:t>334</w:t>
      </w:r>
      <w:r>
        <w:rPr>
          <w:noProof/>
        </w:rPr>
        <w:fldChar w:fldCharType="end"/>
      </w:r>
    </w:p>
    <w:p w14:paraId="61BC6AC0" w14:textId="77777777" w:rsidR="00E25764" w:rsidRDefault="00E25764">
      <w:pPr>
        <w:pStyle w:val="TOC5"/>
        <w:rPr>
          <w:rFonts w:asciiTheme="minorHAnsi" w:eastAsiaTheme="minorEastAsia" w:hAnsiTheme="minorHAnsi" w:cstheme="minorBidi"/>
          <w:noProof/>
          <w:sz w:val="22"/>
          <w:szCs w:val="22"/>
          <w:lang w:eastAsia="en-AU"/>
        </w:rPr>
      </w:pPr>
      <w:r>
        <w:rPr>
          <w:noProof/>
        </w:rPr>
        <w:t>4.24  General requirements for sampling carbonates</w:t>
      </w:r>
      <w:r>
        <w:rPr>
          <w:noProof/>
        </w:rPr>
        <w:tab/>
      </w:r>
      <w:r>
        <w:rPr>
          <w:noProof/>
        </w:rPr>
        <w:fldChar w:fldCharType="begin"/>
      </w:r>
      <w:r>
        <w:rPr>
          <w:noProof/>
        </w:rPr>
        <w:instrText xml:space="preserve"> PAGEREF _Toc495652959 \h </w:instrText>
      </w:r>
      <w:r>
        <w:rPr>
          <w:noProof/>
        </w:rPr>
      </w:r>
      <w:r>
        <w:rPr>
          <w:noProof/>
        </w:rPr>
        <w:fldChar w:fldCharType="separate"/>
      </w:r>
      <w:r w:rsidR="00766D30">
        <w:rPr>
          <w:noProof/>
        </w:rPr>
        <w:t>334</w:t>
      </w:r>
      <w:r>
        <w:rPr>
          <w:noProof/>
        </w:rPr>
        <w:fldChar w:fldCharType="end"/>
      </w:r>
    </w:p>
    <w:p w14:paraId="14583B4B" w14:textId="77777777" w:rsidR="00E25764" w:rsidRDefault="00E25764">
      <w:pPr>
        <w:pStyle w:val="TOC5"/>
        <w:rPr>
          <w:rFonts w:asciiTheme="minorHAnsi" w:eastAsiaTheme="minorEastAsia" w:hAnsiTheme="minorHAnsi" w:cstheme="minorBidi"/>
          <w:noProof/>
          <w:sz w:val="22"/>
          <w:szCs w:val="22"/>
          <w:lang w:eastAsia="en-AU"/>
        </w:rPr>
      </w:pPr>
      <w:r>
        <w:rPr>
          <w:noProof/>
        </w:rPr>
        <w:t>4.25  General requirements for analysis of carbonates</w:t>
      </w:r>
      <w:r>
        <w:rPr>
          <w:noProof/>
        </w:rPr>
        <w:tab/>
      </w:r>
      <w:r>
        <w:rPr>
          <w:noProof/>
        </w:rPr>
        <w:fldChar w:fldCharType="begin"/>
      </w:r>
      <w:r>
        <w:rPr>
          <w:noProof/>
        </w:rPr>
        <w:instrText xml:space="preserve"> PAGEREF _Toc495652960 \h </w:instrText>
      </w:r>
      <w:r>
        <w:rPr>
          <w:noProof/>
        </w:rPr>
      </w:r>
      <w:r>
        <w:rPr>
          <w:noProof/>
        </w:rPr>
        <w:fldChar w:fldCharType="separate"/>
      </w:r>
      <w:r w:rsidR="00766D30">
        <w:rPr>
          <w:noProof/>
        </w:rPr>
        <w:t>335</w:t>
      </w:r>
      <w:r>
        <w:rPr>
          <w:noProof/>
        </w:rPr>
        <w:fldChar w:fldCharType="end"/>
      </w:r>
    </w:p>
    <w:p w14:paraId="17E7632C"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4.2.4—Soda ash use and production</w:t>
      </w:r>
      <w:r>
        <w:rPr>
          <w:noProof/>
        </w:rPr>
        <w:tab/>
      </w:r>
      <w:r>
        <w:rPr>
          <w:noProof/>
        </w:rPr>
        <w:fldChar w:fldCharType="begin"/>
      </w:r>
      <w:r>
        <w:rPr>
          <w:noProof/>
        </w:rPr>
        <w:instrText xml:space="preserve"> PAGEREF _Toc495652961 \h </w:instrText>
      </w:r>
      <w:r>
        <w:rPr>
          <w:noProof/>
        </w:rPr>
      </w:r>
      <w:r>
        <w:rPr>
          <w:noProof/>
        </w:rPr>
        <w:fldChar w:fldCharType="separate"/>
      </w:r>
      <w:r w:rsidR="00766D30">
        <w:rPr>
          <w:noProof/>
        </w:rPr>
        <w:t>336</w:t>
      </w:r>
      <w:r>
        <w:rPr>
          <w:noProof/>
        </w:rPr>
        <w:fldChar w:fldCharType="end"/>
      </w:r>
    </w:p>
    <w:p w14:paraId="22D447EF" w14:textId="77777777" w:rsidR="00E25764" w:rsidRDefault="00E25764">
      <w:pPr>
        <w:pStyle w:val="TOC5"/>
        <w:rPr>
          <w:rFonts w:asciiTheme="minorHAnsi" w:eastAsiaTheme="minorEastAsia" w:hAnsiTheme="minorHAnsi" w:cstheme="minorBidi"/>
          <w:noProof/>
          <w:sz w:val="22"/>
          <w:szCs w:val="22"/>
          <w:lang w:eastAsia="en-AU"/>
        </w:rPr>
      </w:pPr>
      <w:r>
        <w:rPr>
          <w:noProof/>
        </w:rPr>
        <w:t>4.26  Application</w:t>
      </w:r>
      <w:r>
        <w:rPr>
          <w:noProof/>
        </w:rPr>
        <w:tab/>
      </w:r>
      <w:r>
        <w:rPr>
          <w:noProof/>
        </w:rPr>
        <w:fldChar w:fldCharType="begin"/>
      </w:r>
      <w:r>
        <w:rPr>
          <w:noProof/>
        </w:rPr>
        <w:instrText xml:space="preserve"> PAGEREF _Toc495652962 \h </w:instrText>
      </w:r>
      <w:r>
        <w:rPr>
          <w:noProof/>
        </w:rPr>
      </w:r>
      <w:r>
        <w:rPr>
          <w:noProof/>
        </w:rPr>
        <w:fldChar w:fldCharType="separate"/>
      </w:r>
      <w:r w:rsidR="00766D30">
        <w:rPr>
          <w:noProof/>
        </w:rPr>
        <w:t>336</w:t>
      </w:r>
      <w:r>
        <w:rPr>
          <w:noProof/>
        </w:rPr>
        <w:fldChar w:fldCharType="end"/>
      </w:r>
    </w:p>
    <w:p w14:paraId="44D85119" w14:textId="77777777" w:rsidR="00E25764" w:rsidRDefault="00E25764">
      <w:pPr>
        <w:pStyle w:val="TOC5"/>
        <w:rPr>
          <w:rFonts w:asciiTheme="minorHAnsi" w:eastAsiaTheme="minorEastAsia" w:hAnsiTheme="minorHAnsi" w:cstheme="minorBidi"/>
          <w:noProof/>
          <w:sz w:val="22"/>
          <w:szCs w:val="22"/>
          <w:lang w:eastAsia="en-AU"/>
        </w:rPr>
      </w:pPr>
      <w:r>
        <w:rPr>
          <w:noProof/>
        </w:rPr>
        <w:t>4.27  Outline of Division</w:t>
      </w:r>
      <w:r>
        <w:rPr>
          <w:noProof/>
        </w:rPr>
        <w:tab/>
      </w:r>
      <w:r>
        <w:rPr>
          <w:noProof/>
        </w:rPr>
        <w:fldChar w:fldCharType="begin"/>
      </w:r>
      <w:r>
        <w:rPr>
          <w:noProof/>
        </w:rPr>
        <w:instrText xml:space="preserve"> PAGEREF _Toc495652963 \h </w:instrText>
      </w:r>
      <w:r>
        <w:rPr>
          <w:noProof/>
        </w:rPr>
      </w:r>
      <w:r>
        <w:rPr>
          <w:noProof/>
        </w:rPr>
        <w:fldChar w:fldCharType="separate"/>
      </w:r>
      <w:r w:rsidR="00766D30">
        <w:rPr>
          <w:noProof/>
        </w:rPr>
        <w:t>336</w:t>
      </w:r>
      <w:r>
        <w:rPr>
          <w:noProof/>
        </w:rPr>
        <w:fldChar w:fldCharType="end"/>
      </w:r>
    </w:p>
    <w:p w14:paraId="39AC0B8B"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4.2.4.1—Soda ash use</w:t>
      </w:r>
      <w:r>
        <w:rPr>
          <w:noProof/>
        </w:rPr>
        <w:tab/>
      </w:r>
      <w:r>
        <w:rPr>
          <w:noProof/>
        </w:rPr>
        <w:fldChar w:fldCharType="begin"/>
      </w:r>
      <w:r>
        <w:rPr>
          <w:noProof/>
        </w:rPr>
        <w:instrText xml:space="preserve"> PAGEREF _Toc495652964 \h </w:instrText>
      </w:r>
      <w:r>
        <w:rPr>
          <w:noProof/>
        </w:rPr>
      </w:r>
      <w:r>
        <w:rPr>
          <w:noProof/>
        </w:rPr>
        <w:fldChar w:fldCharType="separate"/>
      </w:r>
      <w:r w:rsidR="00766D30">
        <w:rPr>
          <w:noProof/>
        </w:rPr>
        <w:t>336</w:t>
      </w:r>
      <w:r>
        <w:rPr>
          <w:noProof/>
        </w:rPr>
        <w:fldChar w:fldCharType="end"/>
      </w:r>
    </w:p>
    <w:p w14:paraId="184396B6" w14:textId="77777777" w:rsidR="00E25764" w:rsidRDefault="00E25764">
      <w:pPr>
        <w:pStyle w:val="TOC5"/>
        <w:rPr>
          <w:rFonts w:asciiTheme="minorHAnsi" w:eastAsiaTheme="minorEastAsia" w:hAnsiTheme="minorHAnsi" w:cstheme="minorBidi"/>
          <w:noProof/>
          <w:sz w:val="22"/>
          <w:szCs w:val="22"/>
          <w:lang w:eastAsia="en-AU"/>
        </w:rPr>
      </w:pPr>
      <w:r>
        <w:rPr>
          <w:noProof/>
        </w:rPr>
        <w:t>4.28  Available methods</w:t>
      </w:r>
      <w:r>
        <w:rPr>
          <w:noProof/>
        </w:rPr>
        <w:tab/>
      </w:r>
      <w:r>
        <w:rPr>
          <w:noProof/>
        </w:rPr>
        <w:fldChar w:fldCharType="begin"/>
      </w:r>
      <w:r>
        <w:rPr>
          <w:noProof/>
        </w:rPr>
        <w:instrText xml:space="preserve"> PAGEREF _Toc495652965 \h </w:instrText>
      </w:r>
      <w:r>
        <w:rPr>
          <w:noProof/>
        </w:rPr>
      </w:r>
      <w:r>
        <w:rPr>
          <w:noProof/>
        </w:rPr>
        <w:fldChar w:fldCharType="separate"/>
      </w:r>
      <w:r w:rsidR="00766D30">
        <w:rPr>
          <w:noProof/>
        </w:rPr>
        <w:t>336</w:t>
      </w:r>
      <w:r>
        <w:rPr>
          <w:noProof/>
        </w:rPr>
        <w:fldChar w:fldCharType="end"/>
      </w:r>
    </w:p>
    <w:p w14:paraId="73F974F8" w14:textId="77777777" w:rsidR="00E25764" w:rsidRDefault="00E25764">
      <w:pPr>
        <w:pStyle w:val="TOC5"/>
        <w:rPr>
          <w:rFonts w:asciiTheme="minorHAnsi" w:eastAsiaTheme="minorEastAsia" w:hAnsiTheme="minorHAnsi" w:cstheme="minorBidi"/>
          <w:noProof/>
          <w:sz w:val="22"/>
          <w:szCs w:val="22"/>
          <w:lang w:eastAsia="en-AU"/>
        </w:rPr>
      </w:pPr>
      <w:r>
        <w:rPr>
          <w:noProof/>
        </w:rPr>
        <w:t>4.29  Method 1—use of soda ash</w:t>
      </w:r>
      <w:r>
        <w:rPr>
          <w:noProof/>
        </w:rPr>
        <w:tab/>
      </w:r>
      <w:r>
        <w:rPr>
          <w:noProof/>
        </w:rPr>
        <w:fldChar w:fldCharType="begin"/>
      </w:r>
      <w:r>
        <w:rPr>
          <w:noProof/>
        </w:rPr>
        <w:instrText xml:space="preserve"> PAGEREF _Toc495652966 \h </w:instrText>
      </w:r>
      <w:r>
        <w:rPr>
          <w:noProof/>
        </w:rPr>
      </w:r>
      <w:r>
        <w:rPr>
          <w:noProof/>
        </w:rPr>
        <w:fldChar w:fldCharType="separate"/>
      </w:r>
      <w:r w:rsidR="00766D30">
        <w:rPr>
          <w:noProof/>
        </w:rPr>
        <w:t>337</w:t>
      </w:r>
      <w:r>
        <w:rPr>
          <w:noProof/>
        </w:rPr>
        <w:fldChar w:fldCharType="end"/>
      </w:r>
    </w:p>
    <w:p w14:paraId="4409386B"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4.2.4.2—Soda ash production</w:t>
      </w:r>
      <w:r>
        <w:rPr>
          <w:noProof/>
        </w:rPr>
        <w:tab/>
      </w:r>
      <w:r>
        <w:rPr>
          <w:noProof/>
        </w:rPr>
        <w:fldChar w:fldCharType="begin"/>
      </w:r>
      <w:r>
        <w:rPr>
          <w:noProof/>
        </w:rPr>
        <w:instrText xml:space="preserve"> PAGEREF _Toc495652967 \h </w:instrText>
      </w:r>
      <w:r>
        <w:rPr>
          <w:noProof/>
        </w:rPr>
      </w:r>
      <w:r>
        <w:rPr>
          <w:noProof/>
        </w:rPr>
        <w:fldChar w:fldCharType="separate"/>
      </w:r>
      <w:r w:rsidR="00766D30">
        <w:rPr>
          <w:noProof/>
        </w:rPr>
        <w:t>337</w:t>
      </w:r>
      <w:r>
        <w:rPr>
          <w:noProof/>
        </w:rPr>
        <w:fldChar w:fldCharType="end"/>
      </w:r>
    </w:p>
    <w:p w14:paraId="30C6311F" w14:textId="77777777" w:rsidR="00E25764" w:rsidRDefault="00E25764">
      <w:pPr>
        <w:pStyle w:val="TOC5"/>
        <w:rPr>
          <w:rFonts w:asciiTheme="minorHAnsi" w:eastAsiaTheme="minorEastAsia" w:hAnsiTheme="minorHAnsi" w:cstheme="minorBidi"/>
          <w:noProof/>
          <w:sz w:val="22"/>
          <w:szCs w:val="22"/>
          <w:lang w:eastAsia="en-AU"/>
        </w:rPr>
      </w:pPr>
      <w:r>
        <w:rPr>
          <w:noProof/>
        </w:rPr>
        <w:t>4.30  Available methods</w:t>
      </w:r>
      <w:r>
        <w:rPr>
          <w:noProof/>
        </w:rPr>
        <w:tab/>
      </w:r>
      <w:r>
        <w:rPr>
          <w:noProof/>
        </w:rPr>
        <w:fldChar w:fldCharType="begin"/>
      </w:r>
      <w:r>
        <w:rPr>
          <w:noProof/>
        </w:rPr>
        <w:instrText xml:space="preserve"> PAGEREF _Toc495652968 \h </w:instrText>
      </w:r>
      <w:r>
        <w:rPr>
          <w:noProof/>
        </w:rPr>
      </w:r>
      <w:r>
        <w:rPr>
          <w:noProof/>
        </w:rPr>
        <w:fldChar w:fldCharType="separate"/>
      </w:r>
      <w:r w:rsidR="00766D30">
        <w:rPr>
          <w:noProof/>
        </w:rPr>
        <w:t>337</w:t>
      </w:r>
      <w:r>
        <w:rPr>
          <w:noProof/>
        </w:rPr>
        <w:fldChar w:fldCharType="end"/>
      </w:r>
    </w:p>
    <w:p w14:paraId="3E573A58" w14:textId="77777777" w:rsidR="00E25764" w:rsidRDefault="00E25764">
      <w:pPr>
        <w:pStyle w:val="TOC5"/>
        <w:rPr>
          <w:rFonts w:asciiTheme="minorHAnsi" w:eastAsiaTheme="minorEastAsia" w:hAnsiTheme="minorHAnsi" w:cstheme="minorBidi"/>
          <w:noProof/>
          <w:sz w:val="22"/>
          <w:szCs w:val="22"/>
          <w:lang w:eastAsia="en-AU"/>
        </w:rPr>
      </w:pPr>
      <w:r>
        <w:rPr>
          <w:noProof/>
        </w:rPr>
        <w:t>4.31  Method 1—production of soda ash</w:t>
      </w:r>
      <w:r>
        <w:rPr>
          <w:noProof/>
        </w:rPr>
        <w:tab/>
      </w:r>
      <w:r>
        <w:rPr>
          <w:noProof/>
        </w:rPr>
        <w:fldChar w:fldCharType="begin"/>
      </w:r>
      <w:r>
        <w:rPr>
          <w:noProof/>
        </w:rPr>
        <w:instrText xml:space="preserve"> PAGEREF _Toc495652969 \h </w:instrText>
      </w:r>
      <w:r>
        <w:rPr>
          <w:noProof/>
        </w:rPr>
      </w:r>
      <w:r>
        <w:rPr>
          <w:noProof/>
        </w:rPr>
        <w:fldChar w:fldCharType="separate"/>
      </w:r>
      <w:r w:rsidR="00766D30">
        <w:rPr>
          <w:noProof/>
        </w:rPr>
        <w:t>338</w:t>
      </w:r>
      <w:r>
        <w:rPr>
          <w:noProof/>
        </w:rPr>
        <w:fldChar w:fldCharType="end"/>
      </w:r>
    </w:p>
    <w:p w14:paraId="336611C5" w14:textId="77777777" w:rsidR="00E25764" w:rsidRDefault="00E25764">
      <w:pPr>
        <w:pStyle w:val="TOC5"/>
        <w:rPr>
          <w:rFonts w:asciiTheme="minorHAnsi" w:eastAsiaTheme="minorEastAsia" w:hAnsiTheme="minorHAnsi" w:cstheme="minorBidi"/>
          <w:noProof/>
          <w:sz w:val="22"/>
          <w:szCs w:val="22"/>
          <w:lang w:eastAsia="en-AU"/>
        </w:rPr>
      </w:pPr>
      <w:r>
        <w:rPr>
          <w:noProof/>
        </w:rPr>
        <w:t>4.32  Method 2—production of soda ash</w:t>
      </w:r>
      <w:r>
        <w:rPr>
          <w:noProof/>
        </w:rPr>
        <w:tab/>
      </w:r>
      <w:r>
        <w:rPr>
          <w:noProof/>
        </w:rPr>
        <w:fldChar w:fldCharType="begin"/>
      </w:r>
      <w:r>
        <w:rPr>
          <w:noProof/>
        </w:rPr>
        <w:instrText xml:space="preserve"> PAGEREF _Toc495652970 \h </w:instrText>
      </w:r>
      <w:r>
        <w:rPr>
          <w:noProof/>
        </w:rPr>
      </w:r>
      <w:r>
        <w:rPr>
          <w:noProof/>
        </w:rPr>
        <w:fldChar w:fldCharType="separate"/>
      </w:r>
      <w:r w:rsidR="00766D30">
        <w:rPr>
          <w:noProof/>
        </w:rPr>
        <w:t>341</w:t>
      </w:r>
      <w:r>
        <w:rPr>
          <w:noProof/>
        </w:rPr>
        <w:fldChar w:fldCharType="end"/>
      </w:r>
    </w:p>
    <w:p w14:paraId="6DC47733" w14:textId="77777777" w:rsidR="00E25764" w:rsidRDefault="00E25764">
      <w:pPr>
        <w:pStyle w:val="TOC5"/>
        <w:rPr>
          <w:rFonts w:asciiTheme="minorHAnsi" w:eastAsiaTheme="minorEastAsia" w:hAnsiTheme="minorHAnsi" w:cstheme="minorBidi"/>
          <w:noProof/>
          <w:sz w:val="22"/>
          <w:szCs w:val="22"/>
          <w:lang w:eastAsia="en-AU"/>
        </w:rPr>
      </w:pPr>
      <w:r>
        <w:rPr>
          <w:noProof/>
        </w:rPr>
        <w:t>4.33  Method 3—production of soda ash</w:t>
      </w:r>
      <w:r>
        <w:rPr>
          <w:noProof/>
        </w:rPr>
        <w:tab/>
      </w:r>
      <w:r>
        <w:rPr>
          <w:noProof/>
        </w:rPr>
        <w:fldChar w:fldCharType="begin"/>
      </w:r>
      <w:r>
        <w:rPr>
          <w:noProof/>
        </w:rPr>
        <w:instrText xml:space="preserve"> PAGEREF _Toc495652971 \h </w:instrText>
      </w:r>
      <w:r>
        <w:rPr>
          <w:noProof/>
        </w:rPr>
      </w:r>
      <w:r>
        <w:rPr>
          <w:noProof/>
        </w:rPr>
        <w:fldChar w:fldCharType="separate"/>
      </w:r>
      <w:r w:rsidR="00766D30">
        <w:rPr>
          <w:noProof/>
        </w:rPr>
        <w:t>344</w:t>
      </w:r>
      <w:r>
        <w:rPr>
          <w:noProof/>
        </w:rPr>
        <w:fldChar w:fldCharType="end"/>
      </w:r>
    </w:p>
    <w:p w14:paraId="251DC80E"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4.2.5—Measurement of quantity of carbonates consumed and products derived from carbonates</w:t>
      </w:r>
      <w:r>
        <w:rPr>
          <w:noProof/>
        </w:rPr>
        <w:tab/>
      </w:r>
      <w:r>
        <w:rPr>
          <w:noProof/>
        </w:rPr>
        <w:fldChar w:fldCharType="begin"/>
      </w:r>
      <w:r>
        <w:rPr>
          <w:noProof/>
        </w:rPr>
        <w:instrText xml:space="preserve"> PAGEREF _Toc495652972 \h </w:instrText>
      </w:r>
      <w:r>
        <w:rPr>
          <w:noProof/>
        </w:rPr>
      </w:r>
      <w:r>
        <w:rPr>
          <w:noProof/>
        </w:rPr>
        <w:fldChar w:fldCharType="separate"/>
      </w:r>
      <w:r w:rsidR="00766D30">
        <w:rPr>
          <w:noProof/>
        </w:rPr>
        <w:t>345</w:t>
      </w:r>
      <w:r>
        <w:rPr>
          <w:noProof/>
        </w:rPr>
        <w:fldChar w:fldCharType="end"/>
      </w:r>
    </w:p>
    <w:p w14:paraId="0290838D" w14:textId="77777777" w:rsidR="00E25764" w:rsidRDefault="00E25764">
      <w:pPr>
        <w:pStyle w:val="TOC5"/>
        <w:rPr>
          <w:rFonts w:asciiTheme="minorHAnsi" w:eastAsiaTheme="minorEastAsia" w:hAnsiTheme="minorHAnsi" w:cstheme="minorBidi"/>
          <w:noProof/>
          <w:sz w:val="22"/>
          <w:szCs w:val="22"/>
          <w:lang w:eastAsia="en-AU"/>
        </w:rPr>
      </w:pPr>
      <w:r>
        <w:rPr>
          <w:noProof/>
        </w:rPr>
        <w:t>4.34  Purpose of Division</w:t>
      </w:r>
      <w:r>
        <w:rPr>
          <w:noProof/>
        </w:rPr>
        <w:tab/>
      </w:r>
      <w:r>
        <w:rPr>
          <w:noProof/>
        </w:rPr>
        <w:fldChar w:fldCharType="begin"/>
      </w:r>
      <w:r>
        <w:rPr>
          <w:noProof/>
        </w:rPr>
        <w:instrText xml:space="preserve"> PAGEREF _Toc495652973 \h </w:instrText>
      </w:r>
      <w:r>
        <w:rPr>
          <w:noProof/>
        </w:rPr>
      </w:r>
      <w:r>
        <w:rPr>
          <w:noProof/>
        </w:rPr>
        <w:fldChar w:fldCharType="separate"/>
      </w:r>
      <w:r w:rsidR="00766D30">
        <w:rPr>
          <w:noProof/>
        </w:rPr>
        <w:t>345</w:t>
      </w:r>
      <w:r>
        <w:rPr>
          <w:noProof/>
        </w:rPr>
        <w:fldChar w:fldCharType="end"/>
      </w:r>
    </w:p>
    <w:p w14:paraId="7D13701E" w14:textId="77777777" w:rsidR="00E25764" w:rsidRDefault="00E25764">
      <w:pPr>
        <w:pStyle w:val="TOC5"/>
        <w:rPr>
          <w:rFonts w:asciiTheme="minorHAnsi" w:eastAsiaTheme="minorEastAsia" w:hAnsiTheme="minorHAnsi" w:cstheme="minorBidi"/>
          <w:noProof/>
          <w:sz w:val="22"/>
          <w:szCs w:val="22"/>
          <w:lang w:eastAsia="en-AU"/>
        </w:rPr>
      </w:pPr>
      <w:r>
        <w:rPr>
          <w:noProof/>
        </w:rPr>
        <w:lastRenderedPageBreak/>
        <w:t>4.35  Criteria for measurement</w:t>
      </w:r>
      <w:r>
        <w:rPr>
          <w:noProof/>
        </w:rPr>
        <w:tab/>
      </w:r>
      <w:r>
        <w:rPr>
          <w:noProof/>
        </w:rPr>
        <w:fldChar w:fldCharType="begin"/>
      </w:r>
      <w:r>
        <w:rPr>
          <w:noProof/>
        </w:rPr>
        <w:instrText xml:space="preserve"> PAGEREF _Toc495652974 \h </w:instrText>
      </w:r>
      <w:r>
        <w:rPr>
          <w:noProof/>
        </w:rPr>
      </w:r>
      <w:r>
        <w:rPr>
          <w:noProof/>
        </w:rPr>
        <w:fldChar w:fldCharType="separate"/>
      </w:r>
      <w:r w:rsidR="00766D30">
        <w:rPr>
          <w:noProof/>
        </w:rPr>
        <w:t>346</w:t>
      </w:r>
      <w:r>
        <w:rPr>
          <w:noProof/>
        </w:rPr>
        <w:fldChar w:fldCharType="end"/>
      </w:r>
    </w:p>
    <w:p w14:paraId="6DC11C12" w14:textId="77777777" w:rsidR="00E25764" w:rsidRDefault="00E25764">
      <w:pPr>
        <w:pStyle w:val="TOC5"/>
        <w:rPr>
          <w:rFonts w:asciiTheme="minorHAnsi" w:eastAsiaTheme="minorEastAsia" w:hAnsiTheme="minorHAnsi" w:cstheme="minorBidi"/>
          <w:noProof/>
          <w:sz w:val="22"/>
          <w:szCs w:val="22"/>
          <w:lang w:eastAsia="en-AU"/>
        </w:rPr>
      </w:pPr>
      <w:r>
        <w:rPr>
          <w:noProof/>
        </w:rPr>
        <w:t>4.36  Indirect measurement at point of consumption or production—criterion AA</w:t>
      </w:r>
      <w:r>
        <w:rPr>
          <w:noProof/>
        </w:rPr>
        <w:tab/>
      </w:r>
      <w:r>
        <w:rPr>
          <w:noProof/>
        </w:rPr>
        <w:fldChar w:fldCharType="begin"/>
      </w:r>
      <w:r>
        <w:rPr>
          <w:noProof/>
        </w:rPr>
        <w:instrText xml:space="preserve"> PAGEREF _Toc495652975 \h </w:instrText>
      </w:r>
      <w:r>
        <w:rPr>
          <w:noProof/>
        </w:rPr>
      </w:r>
      <w:r>
        <w:rPr>
          <w:noProof/>
        </w:rPr>
        <w:fldChar w:fldCharType="separate"/>
      </w:r>
      <w:r w:rsidR="00766D30">
        <w:rPr>
          <w:noProof/>
        </w:rPr>
        <w:t>347</w:t>
      </w:r>
      <w:r>
        <w:rPr>
          <w:noProof/>
        </w:rPr>
        <w:fldChar w:fldCharType="end"/>
      </w:r>
    </w:p>
    <w:p w14:paraId="245EC1F9" w14:textId="77777777" w:rsidR="00E25764" w:rsidRDefault="00E25764">
      <w:pPr>
        <w:pStyle w:val="TOC5"/>
        <w:rPr>
          <w:rFonts w:asciiTheme="minorHAnsi" w:eastAsiaTheme="minorEastAsia" w:hAnsiTheme="minorHAnsi" w:cstheme="minorBidi"/>
          <w:noProof/>
          <w:sz w:val="22"/>
          <w:szCs w:val="22"/>
          <w:lang w:eastAsia="en-AU"/>
        </w:rPr>
      </w:pPr>
      <w:r>
        <w:rPr>
          <w:noProof/>
        </w:rPr>
        <w:t>4.37  Direct measurement at point of consumption or production—criterion AAA</w:t>
      </w:r>
      <w:r>
        <w:rPr>
          <w:noProof/>
        </w:rPr>
        <w:tab/>
      </w:r>
      <w:r>
        <w:rPr>
          <w:noProof/>
        </w:rPr>
        <w:fldChar w:fldCharType="begin"/>
      </w:r>
      <w:r>
        <w:rPr>
          <w:noProof/>
        </w:rPr>
        <w:instrText xml:space="preserve"> PAGEREF _Toc495652976 \h </w:instrText>
      </w:r>
      <w:r>
        <w:rPr>
          <w:noProof/>
        </w:rPr>
      </w:r>
      <w:r>
        <w:rPr>
          <w:noProof/>
        </w:rPr>
        <w:fldChar w:fldCharType="separate"/>
      </w:r>
      <w:r w:rsidR="00766D30">
        <w:rPr>
          <w:noProof/>
        </w:rPr>
        <w:t>347</w:t>
      </w:r>
      <w:r>
        <w:rPr>
          <w:noProof/>
        </w:rPr>
        <w:fldChar w:fldCharType="end"/>
      </w:r>
    </w:p>
    <w:p w14:paraId="6244226E" w14:textId="77777777" w:rsidR="00E25764" w:rsidRDefault="00E25764">
      <w:pPr>
        <w:pStyle w:val="TOC5"/>
        <w:rPr>
          <w:rFonts w:asciiTheme="minorHAnsi" w:eastAsiaTheme="minorEastAsia" w:hAnsiTheme="minorHAnsi" w:cstheme="minorBidi"/>
          <w:noProof/>
          <w:sz w:val="22"/>
          <w:szCs w:val="22"/>
          <w:lang w:eastAsia="en-AU"/>
        </w:rPr>
      </w:pPr>
      <w:r>
        <w:rPr>
          <w:noProof/>
        </w:rPr>
        <w:t>4.38  Acquisition or use or disposal without commercial transaction—criterion BBB</w:t>
      </w:r>
      <w:r>
        <w:rPr>
          <w:noProof/>
        </w:rPr>
        <w:tab/>
      </w:r>
      <w:r>
        <w:rPr>
          <w:noProof/>
        </w:rPr>
        <w:fldChar w:fldCharType="begin"/>
      </w:r>
      <w:r>
        <w:rPr>
          <w:noProof/>
        </w:rPr>
        <w:instrText xml:space="preserve"> PAGEREF _Toc495652977 \h </w:instrText>
      </w:r>
      <w:r>
        <w:rPr>
          <w:noProof/>
        </w:rPr>
      </w:r>
      <w:r>
        <w:rPr>
          <w:noProof/>
        </w:rPr>
        <w:fldChar w:fldCharType="separate"/>
      </w:r>
      <w:r w:rsidR="00766D30">
        <w:rPr>
          <w:noProof/>
        </w:rPr>
        <w:t>348</w:t>
      </w:r>
      <w:r>
        <w:rPr>
          <w:noProof/>
        </w:rPr>
        <w:fldChar w:fldCharType="end"/>
      </w:r>
    </w:p>
    <w:p w14:paraId="6AE9BFE8" w14:textId="77777777" w:rsidR="00E25764" w:rsidRDefault="00E25764">
      <w:pPr>
        <w:pStyle w:val="TOC5"/>
        <w:rPr>
          <w:rFonts w:asciiTheme="minorHAnsi" w:eastAsiaTheme="minorEastAsia" w:hAnsiTheme="minorHAnsi" w:cstheme="minorBidi"/>
          <w:noProof/>
          <w:sz w:val="22"/>
          <w:szCs w:val="22"/>
          <w:lang w:eastAsia="en-AU"/>
        </w:rPr>
      </w:pPr>
      <w:r>
        <w:rPr>
          <w:noProof/>
        </w:rPr>
        <w:t>4.39  Units of measurement</w:t>
      </w:r>
      <w:r>
        <w:rPr>
          <w:noProof/>
        </w:rPr>
        <w:tab/>
      </w:r>
      <w:r>
        <w:rPr>
          <w:noProof/>
        </w:rPr>
        <w:fldChar w:fldCharType="begin"/>
      </w:r>
      <w:r>
        <w:rPr>
          <w:noProof/>
        </w:rPr>
        <w:instrText xml:space="preserve"> PAGEREF _Toc495652978 \h </w:instrText>
      </w:r>
      <w:r>
        <w:rPr>
          <w:noProof/>
        </w:rPr>
      </w:r>
      <w:r>
        <w:rPr>
          <w:noProof/>
        </w:rPr>
        <w:fldChar w:fldCharType="separate"/>
      </w:r>
      <w:r w:rsidR="00766D30">
        <w:rPr>
          <w:noProof/>
        </w:rPr>
        <w:t>348</w:t>
      </w:r>
      <w:r>
        <w:rPr>
          <w:noProof/>
        </w:rPr>
        <w:fldChar w:fldCharType="end"/>
      </w:r>
    </w:p>
    <w:p w14:paraId="24742157" w14:textId="77777777" w:rsidR="00E25764" w:rsidRDefault="00E25764">
      <w:pPr>
        <w:pStyle w:val="TOC2"/>
        <w:rPr>
          <w:rFonts w:asciiTheme="minorHAnsi" w:eastAsiaTheme="minorEastAsia" w:hAnsiTheme="minorHAnsi" w:cstheme="minorBidi"/>
          <w:b w:val="0"/>
          <w:sz w:val="22"/>
          <w:szCs w:val="22"/>
          <w:lang w:eastAsia="en-AU"/>
        </w:rPr>
      </w:pPr>
      <w:r>
        <w:t>Part 4.3—Industrial processes—chemical industry</w:t>
      </w:r>
      <w:r>
        <w:tab/>
      </w:r>
      <w:r>
        <w:fldChar w:fldCharType="begin"/>
      </w:r>
      <w:r>
        <w:instrText xml:space="preserve"> PAGEREF _Toc495652979 \h </w:instrText>
      </w:r>
      <w:r>
        <w:fldChar w:fldCharType="separate"/>
      </w:r>
      <w:r w:rsidR="00766D30">
        <w:t>349</w:t>
      </w:r>
      <w:r>
        <w:fldChar w:fldCharType="end"/>
      </w:r>
    </w:p>
    <w:p w14:paraId="162FDC67"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4.3.1—Ammonia production</w:t>
      </w:r>
      <w:r>
        <w:rPr>
          <w:noProof/>
        </w:rPr>
        <w:tab/>
      </w:r>
      <w:r>
        <w:rPr>
          <w:noProof/>
        </w:rPr>
        <w:fldChar w:fldCharType="begin"/>
      </w:r>
      <w:r>
        <w:rPr>
          <w:noProof/>
        </w:rPr>
        <w:instrText xml:space="preserve"> PAGEREF _Toc495652980 \h </w:instrText>
      </w:r>
      <w:r>
        <w:rPr>
          <w:noProof/>
        </w:rPr>
      </w:r>
      <w:r>
        <w:rPr>
          <w:noProof/>
        </w:rPr>
        <w:fldChar w:fldCharType="separate"/>
      </w:r>
      <w:r w:rsidR="00766D30">
        <w:rPr>
          <w:noProof/>
        </w:rPr>
        <w:t>349</w:t>
      </w:r>
      <w:r>
        <w:rPr>
          <w:noProof/>
        </w:rPr>
        <w:fldChar w:fldCharType="end"/>
      </w:r>
    </w:p>
    <w:p w14:paraId="45270E12" w14:textId="77777777" w:rsidR="00E25764" w:rsidRDefault="00E25764">
      <w:pPr>
        <w:pStyle w:val="TOC5"/>
        <w:rPr>
          <w:rFonts w:asciiTheme="minorHAnsi" w:eastAsiaTheme="minorEastAsia" w:hAnsiTheme="minorHAnsi" w:cstheme="minorBidi"/>
          <w:noProof/>
          <w:sz w:val="22"/>
          <w:szCs w:val="22"/>
          <w:lang w:eastAsia="en-AU"/>
        </w:rPr>
      </w:pPr>
      <w:r>
        <w:rPr>
          <w:noProof/>
        </w:rPr>
        <w:t>4.40  Application</w:t>
      </w:r>
      <w:r>
        <w:rPr>
          <w:noProof/>
        </w:rPr>
        <w:tab/>
      </w:r>
      <w:r>
        <w:rPr>
          <w:noProof/>
        </w:rPr>
        <w:fldChar w:fldCharType="begin"/>
      </w:r>
      <w:r>
        <w:rPr>
          <w:noProof/>
        </w:rPr>
        <w:instrText xml:space="preserve"> PAGEREF _Toc495652981 \h </w:instrText>
      </w:r>
      <w:r>
        <w:rPr>
          <w:noProof/>
        </w:rPr>
      </w:r>
      <w:r>
        <w:rPr>
          <w:noProof/>
        </w:rPr>
        <w:fldChar w:fldCharType="separate"/>
      </w:r>
      <w:r w:rsidR="00766D30">
        <w:rPr>
          <w:noProof/>
        </w:rPr>
        <w:t>350</w:t>
      </w:r>
      <w:r>
        <w:rPr>
          <w:noProof/>
        </w:rPr>
        <w:fldChar w:fldCharType="end"/>
      </w:r>
    </w:p>
    <w:p w14:paraId="06539A4A" w14:textId="77777777" w:rsidR="00E25764" w:rsidRDefault="00E25764">
      <w:pPr>
        <w:pStyle w:val="TOC5"/>
        <w:rPr>
          <w:rFonts w:asciiTheme="minorHAnsi" w:eastAsiaTheme="minorEastAsia" w:hAnsiTheme="minorHAnsi" w:cstheme="minorBidi"/>
          <w:noProof/>
          <w:sz w:val="22"/>
          <w:szCs w:val="22"/>
          <w:lang w:eastAsia="en-AU"/>
        </w:rPr>
      </w:pPr>
      <w:r>
        <w:rPr>
          <w:noProof/>
        </w:rPr>
        <w:t>4.41  Available methods</w:t>
      </w:r>
      <w:r>
        <w:rPr>
          <w:noProof/>
        </w:rPr>
        <w:tab/>
      </w:r>
      <w:r>
        <w:rPr>
          <w:noProof/>
        </w:rPr>
        <w:fldChar w:fldCharType="begin"/>
      </w:r>
      <w:r>
        <w:rPr>
          <w:noProof/>
        </w:rPr>
        <w:instrText xml:space="preserve"> PAGEREF _Toc495652982 \h </w:instrText>
      </w:r>
      <w:r>
        <w:rPr>
          <w:noProof/>
        </w:rPr>
      </w:r>
      <w:r>
        <w:rPr>
          <w:noProof/>
        </w:rPr>
        <w:fldChar w:fldCharType="separate"/>
      </w:r>
      <w:r w:rsidR="00766D30">
        <w:rPr>
          <w:noProof/>
        </w:rPr>
        <w:t>350</w:t>
      </w:r>
      <w:r>
        <w:rPr>
          <w:noProof/>
        </w:rPr>
        <w:fldChar w:fldCharType="end"/>
      </w:r>
    </w:p>
    <w:p w14:paraId="5052C2E0" w14:textId="77777777" w:rsidR="00E25764" w:rsidRDefault="00E25764">
      <w:pPr>
        <w:pStyle w:val="TOC5"/>
        <w:rPr>
          <w:rFonts w:asciiTheme="minorHAnsi" w:eastAsiaTheme="minorEastAsia" w:hAnsiTheme="minorHAnsi" w:cstheme="minorBidi"/>
          <w:noProof/>
          <w:sz w:val="22"/>
          <w:szCs w:val="22"/>
          <w:lang w:eastAsia="en-AU"/>
        </w:rPr>
      </w:pPr>
      <w:r>
        <w:rPr>
          <w:noProof/>
        </w:rPr>
        <w:t>4.42  Method 1—ammonia production</w:t>
      </w:r>
      <w:r>
        <w:rPr>
          <w:noProof/>
        </w:rPr>
        <w:tab/>
      </w:r>
      <w:r>
        <w:rPr>
          <w:noProof/>
        </w:rPr>
        <w:fldChar w:fldCharType="begin"/>
      </w:r>
      <w:r>
        <w:rPr>
          <w:noProof/>
        </w:rPr>
        <w:instrText xml:space="preserve"> PAGEREF _Toc495652983 \h </w:instrText>
      </w:r>
      <w:r>
        <w:rPr>
          <w:noProof/>
        </w:rPr>
      </w:r>
      <w:r>
        <w:rPr>
          <w:noProof/>
        </w:rPr>
        <w:fldChar w:fldCharType="separate"/>
      </w:r>
      <w:r w:rsidR="00766D30">
        <w:rPr>
          <w:noProof/>
        </w:rPr>
        <w:t>350</w:t>
      </w:r>
      <w:r>
        <w:rPr>
          <w:noProof/>
        </w:rPr>
        <w:fldChar w:fldCharType="end"/>
      </w:r>
    </w:p>
    <w:p w14:paraId="120AFBD8" w14:textId="77777777" w:rsidR="00E25764" w:rsidRDefault="00E25764">
      <w:pPr>
        <w:pStyle w:val="TOC5"/>
        <w:rPr>
          <w:rFonts w:asciiTheme="minorHAnsi" w:eastAsiaTheme="minorEastAsia" w:hAnsiTheme="minorHAnsi" w:cstheme="minorBidi"/>
          <w:noProof/>
          <w:sz w:val="22"/>
          <w:szCs w:val="22"/>
          <w:lang w:eastAsia="en-AU"/>
        </w:rPr>
      </w:pPr>
      <w:r>
        <w:rPr>
          <w:noProof/>
        </w:rPr>
        <w:t>4.43  Method 2—ammonia production</w:t>
      </w:r>
      <w:r>
        <w:rPr>
          <w:noProof/>
        </w:rPr>
        <w:tab/>
      </w:r>
      <w:r>
        <w:rPr>
          <w:noProof/>
        </w:rPr>
        <w:fldChar w:fldCharType="begin"/>
      </w:r>
      <w:r>
        <w:rPr>
          <w:noProof/>
        </w:rPr>
        <w:instrText xml:space="preserve"> PAGEREF _Toc495652984 \h </w:instrText>
      </w:r>
      <w:r>
        <w:rPr>
          <w:noProof/>
        </w:rPr>
      </w:r>
      <w:r>
        <w:rPr>
          <w:noProof/>
        </w:rPr>
        <w:fldChar w:fldCharType="separate"/>
      </w:r>
      <w:r w:rsidR="00766D30">
        <w:rPr>
          <w:noProof/>
        </w:rPr>
        <w:t>351</w:t>
      </w:r>
      <w:r>
        <w:rPr>
          <w:noProof/>
        </w:rPr>
        <w:fldChar w:fldCharType="end"/>
      </w:r>
    </w:p>
    <w:p w14:paraId="4A6C5998" w14:textId="77777777" w:rsidR="00E25764" w:rsidRDefault="00E25764">
      <w:pPr>
        <w:pStyle w:val="TOC5"/>
        <w:rPr>
          <w:rFonts w:asciiTheme="minorHAnsi" w:eastAsiaTheme="minorEastAsia" w:hAnsiTheme="minorHAnsi" w:cstheme="minorBidi"/>
          <w:noProof/>
          <w:sz w:val="22"/>
          <w:szCs w:val="22"/>
          <w:lang w:eastAsia="en-AU"/>
        </w:rPr>
      </w:pPr>
      <w:r>
        <w:rPr>
          <w:noProof/>
        </w:rPr>
        <w:t>4.44  Method 3—ammonia production</w:t>
      </w:r>
      <w:r>
        <w:rPr>
          <w:noProof/>
        </w:rPr>
        <w:tab/>
      </w:r>
      <w:r>
        <w:rPr>
          <w:noProof/>
        </w:rPr>
        <w:fldChar w:fldCharType="begin"/>
      </w:r>
      <w:r>
        <w:rPr>
          <w:noProof/>
        </w:rPr>
        <w:instrText xml:space="preserve"> PAGEREF _Toc495652985 \h </w:instrText>
      </w:r>
      <w:r>
        <w:rPr>
          <w:noProof/>
        </w:rPr>
      </w:r>
      <w:r>
        <w:rPr>
          <w:noProof/>
        </w:rPr>
        <w:fldChar w:fldCharType="separate"/>
      </w:r>
      <w:r w:rsidR="00766D30">
        <w:rPr>
          <w:noProof/>
        </w:rPr>
        <w:t>352</w:t>
      </w:r>
      <w:r>
        <w:rPr>
          <w:noProof/>
        </w:rPr>
        <w:fldChar w:fldCharType="end"/>
      </w:r>
    </w:p>
    <w:p w14:paraId="39B60B0A"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4.3.2—Nitric acid production</w:t>
      </w:r>
      <w:r>
        <w:rPr>
          <w:noProof/>
        </w:rPr>
        <w:tab/>
      </w:r>
      <w:r>
        <w:rPr>
          <w:noProof/>
        </w:rPr>
        <w:fldChar w:fldCharType="begin"/>
      </w:r>
      <w:r>
        <w:rPr>
          <w:noProof/>
        </w:rPr>
        <w:instrText xml:space="preserve"> PAGEREF _Toc495652986 \h </w:instrText>
      </w:r>
      <w:r>
        <w:rPr>
          <w:noProof/>
        </w:rPr>
      </w:r>
      <w:r>
        <w:rPr>
          <w:noProof/>
        </w:rPr>
        <w:fldChar w:fldCharType="separate"/>
      </w:r>
      <w:r w:rsidR="00766D30">
        <w:rPr>
          <w:noProof/>
        </w:rPr>
        <w:t>353</w:t>
      </w:r>
      <w:r>
        <w:rPr>
          <w:noProof/>
        </w:rPr>
        <w:fldChar w:fldCharType="end"/>
      </w:r>
    </w:p>
    <w:p w14:paraId="17D24AEA" w14:textId="77777777" w:rsidR="00E25764" w:rsidRDefault="00E25764">
      <w:pPr>
        <w:pStyle w:val="TOC5"/>
        <w:rPr>
          <w:rFonts w:asciiTheme="minorHAnsi" w:eastAsiaTheme="minorEastAsia" w:hAnsiTheme="minorHAnsi" w:cstheme="minorBidi"/>
          <w:noProof/>
          <w:sz w:val="22"/>
          <w:szCs w:val="22"/>
          <w:lang w:eastAsia="en-AU"/>
        </w:rPr>
      </w:pPr>
      <w:r>
        <w:rPr>
          <w:noProof/>
        </w:rPr>
        <w:t>4.45  Application</w:t>
      </w:r>
      <w:r>
        <w:rPr>
          <w:noProof/>
        </w:rPr>
        <w:tab/>
      </w:r>
      <w:r>
        <w:rPr>
          <w:noProof/>
        </w:rPr>
        <w:fldChar w:fldCharType="begin"/>
      </w:r>
      <w:r>
        <w:rPr>
          <w:noProof/>
        </w:rPr>
        <w:instrText xml:space="preserve"> PAGEREF _Toc495652987 \h </w:instrText>
      </w:r>
      <w:r>
        <w:rPr>
          <w:noProof/>
        </w:rPr>
      </w:r>
      <w:r>
        <w:rPr>
          <w:noProof/>
        </w:rPr>
        <w:fldChar w:fldCharType="separate"/>
      </w:r>
      <w:r w:rsidR="00766D30">
        <w:rPr>
          <w:noProof/>
        </w:rPr>
        <w:t>353</w:t>
      </w:r>
      <w:r>
        <w:rPr>
          <w:noProof/>
        </w:rPr>
        <w:fldChar w:fldCharType="end"/>
      </w:r>
    </w:p>
    <w:p w14:paraId="7990A309" w14:textId="77777777" w:rsidR="00E25764" w:rsidRDefault="00E25764">
      <w:pPr>
        <w:pStyle w:val="TOC5"/>
        <w:rPr>
          <w:rFonts w:asciiTheme="minorHAnsi" w:eastAsiaTheme="minorEastAsia" w:hAnsiTheme="minorHAnsi" w:cstheme="minorBidi"/>
          <w:noProof/>
          <w:sz w:val="22"/>
          <w:szCs w:val="22"/>
          <w:lang w:eastAsia="en-AU"/>
        </w:rPr>
      </w:pPr>
      <w:r>
        <w:rPr>
          <w:noProof/>
        </w:rPr>
        <w:t>4.46  Available methods</w:t>
      </w:r>
      <w:r>
        <w:rPr>
          <w:noProof/>
        </w:rPr>
        <w:tab/>
      </w:r>
      <w:r>
        <w:rPr>
          <w:noProof/>
        </w:rPr>
        <w:fldChar w:fldCharType="begin"/>
      </w:r>
      <w:r>
        <w:rPr>
          <w:noProof/>
        </w:rPr>
        <w:instrText xml:space="preserve"> PAGEREF _Toc495652988 \h </w:instrText>
      </w:r>
      <w:r>
        <w:rPr>
          <w:noProof/>
        </w:rPr>
      </w:r>
      <w:r>
        <w:rPr>
          <w:noProof/>
        </w:rPr>
        <w:fldChar w:fldCharType="separate"/>
      </w:r>
      <w:r w:rsidR="00766D30">
        <w:rPr>
          <w:noProof/>
        </w:rPr>
        <w:t>353</w:t>
      </w:r>
      <w:r>
        <w:rPr>
          <w:noProof/>
        </w:rPr>
        <w:fldChar w:fldCharType="end"/>
      </w:r>
    </w:p>
    <w:p w14:paraId="3CCB7AAB" w14:textId="77777777" w:rsidR="00E25764" w:rsidRDefault="00E25764">
      <w:pPr>
        <w:pStyle w:val="TOC5"/>
        <w:rPr>
          <w:rFonts w:asciiTheme="minorHAnsi" w:eastAsiaTheme="minorEastAsia" w:hAnsiTheme="minorHAnsi" w:cstheme="minorBidi"/>
          <w:noProof/>
          <w:sz w:val="22"/>
          <w:szCs w:val="22"/>
          <w:lang w:eastAsia="en-AU"/>
        </w:rPr>
      </w:pPr>
      <w:r>
        <w:rPr>
          <w:noProof/>
        </w:rPr>
        <w:t>4.47  Method 1—nitric acid production</w:t>
      </w:r>
      <w:r>
        <w:rPr>
          <w:noProof/>
        </w:rPr>
        <w:tab/>
      </w:r>
      <w:r>
        <w:rPr>
          <w:noProof/>
        </w:rPr>
        <w:fldChar w:fldCharType="begin"/>
      </w:r>
      <w:r>
        <w:rPr>
          <w:noProof/>
        </w:rPr>
        <w:instrText xml:space="preserve"> PAGEREF _Toc495652989 \h </w:instrText>
      </w:r>
      <w:r>
        <w:rPr>
          <w:noProof/>
        </w:rPr>
      </w:r>
      <w:r>
        <w:rPr>
          <w:noProof/>
        </w:rPr>
        <w:fldChar w:fldCharType="separate"/>
      </w:r>
      <w:r w:rsidR="00766D30">
        <w:rPr>
          <w:noProof/>
        </w:rPr>
        <w:t>354</w:t>
      </w:r>
      <w:r>
        <w:rPr>
          <w:noProof/>
        </w:rPr>
        <w:fldChar w:fldCharType="end"/>
      </w:r>
    </w:p>
    <w:p w14:paraId="652DC943" w14:textId="77777777" w:rsidR="00E25764" w:rsidRDefault="00E25764">
      <w:pPr>
        <w:pStyle w:val="TOC5"/>
        <w:rPr>
          <w:rFonts w:asciiTheme="minorHAnsi" w:eastAsiaTheme="minorEastAsia" w:hAnsiTheme="minorHAnsi" w:cstheme="minorBidi"/>
          <w:noProof/>
          <w:sz w:val="22"/>
          <w:szCs w:val="22"/>
          <w:lang w:eastAsia="en-AU"/>
        </w:rPr>
      </w:pPr>
      <w:r>
        <w:rPr>
          <w:noProof/>
        </w:rPr>
        <w:t>4.48  Method 2—nitric acid production</w:t>
      </w:r>
      <w:r>
        <w:rPr>
          <w:noProof/>
        </w:rPr>
        <w:tab/>
      </w:r>
      <w:r>
        <w:rPr>
          <w:noProof/>
        </w:rPr>
        <w:fldChar w:fldCharType="begin"/>
      </w:r>
      <w:r>
        <w:rPr>
          <w:noProof/>
        </w:rPr>
        <w:instrText xml:space="preserve"> PAGEREF _Toc495652990 \h </w:instrText>
      </w:r>
      <w:r>
        <w:rPr>
          <w:noProof/>
        </w:rPr>
      </w:r>
      <w:r>
        <w:rPr>
          <w:noProof/>
        </w:rPr>
        <w:fldChar w:fldCharType="separate"/>
      </w:r>
      <w:r w:rsidR="00766D30">
        <w:rPr>
          <w:noProof/>
        </w:rPr>
        <w:t>355</w:t>
      </w:r>
      <w:r>
        <w:rPr>
          <w:noProof/>
        </w:rPr>
        <w:fldChar w:fldCharType="end"/>
      </w:r>
    </w:p>
    <w:p w14:paraId="288EF2B2"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4.3.3—Adipic acid production</w:t>
      </w:r>
      <w:r>
        <w:rPr>
          <w:noProof/>
        </w:rPr>
        <w:tab/>
      </w:r>
      <w:r>
        <w:rPr>
          <w:noProof/>
        </w:rPr>
        <w:fldChar w:fldCharType="begin"/>
      </w:r>
      <w:r>
        <w:rPr>
          <w:noProof/>
        </w:rPr>
        <w:instrText xml:space="preserve"> PAGEREF _Toc495652991 \h </w:instrText>
      </w:r>
      <w:r>
        <w:rPr>
          <w:noProof/>
        </w:rPr>
      </w:r>
      <w:r>
        <w:rPr>
          <w:noProof/>
        </w:rPr>
        <w:fldChar w:fldCharType="separate"/>
      </w:r>
      <w:r w:rsidR="00766D30">
        <w:rPr>
          <w:noProof/>
        </w:rPr>
        <w:t>356</w:t>
      </w:r>
      <w:r>
        <w:rPr>
          <w:noProof/>
        </w:rPr>
        <w:fldChar w:fldCharType="end"/>
      </w:r>
    </w:p>
    <w:p w14:paraId="0F016AF6" w14:textId="77777777" w:rsidR="00E25764" w:rsidRDefault="00E25764">
      <w:pPr>
        <w:pStyle w:val="TOC5"/>
        <w:rPr>
          <w:rFonts w:asciiTheme="minorHAnsi" w:eastAsiaTheme="minorEastAsia" w:hAnsiTheme="minorHAnsi" w:cstheme="minorBidi"/>
          <w:noProof/>
          <w:sz w:val="22"/>
          <w:szCs w:val="22"/>
          <w:lang w:eastAsia="en-AU"/>
        </w:rPr>
      </w:pPr>
      <w:r>
        <w:rPr>
          <w:noProof/>
        </w:rPr>
        <w:t>4.49  Application</w:t>
      </w:r>
      <w:r>
        <w:rPr>
          <w:noProof/>
        </w:rPr>
        <w:tab/>
      </w:r>
      <w:r>
        <w:rPr>
          <w:noProof/>
        </w:rPr>
        <w:fldChar w:fldCharType="begin"/>
      </w:r>
      <w:r>
        <w:rPr>
          <w:noProof/>
        </w:rPr>
        <w:instrText xml:space="preserve"> PAGEREF _Toc495652992 \h </w:instrText>
      </w:r>
      <w:r>
        <w:rPr>
          <w:noProof/>
        </w:rPr>
      </w:r>
      <w:r>
        <w:rPr>
          <w:noProof/>
        </w:rPr>
        <w:fldChar w:fldCharType="separate"/>
      </w:r>
      <w:r w:rsidR="00766D30">
        <w:rPr>
          <w:noProof/>
        </w:rPr>
        <w:t>356</w:t>
      </w:r>
      <w:r>
        <w:rPr>
          <w:noProof/>
        </w:rPr>
        <w:fldChar w:fldCharType="end"/>
      </w:r>
    </w:p>
    <w:p w14:paraId="4471201B" w14:textId="77777777" w:rsidR="00E25764" w:rsidRDefault="00E25764">
      <w:pPr>
        <w:pStyle w:val="TOC5"/>
        <w:rPr>
          <w:rFonts w:asciiTheme="minorHAnsi" w:eastAsiaTheme="minorEastAsia" w:hAnsiTheme="minorHAnsi" w:cstheme="minorBidi"/>
          <w:noProof/>
          <w:sz w:val="22"/>
          <w:szCs w:val="22"/>
          <w:lang w:eastAsia="en-AU"/>
        </w:rPr>
      </w:pPr>
      <w:r>
        <w:rPr>
          <w:noProof/>
        </w:rPr>
        <w:t>4.50  Available methods</w:t>
      </w:r>
      <w:r>
        <w:rPr>
          <w:noProof/>
        </w:rPr>
        <w:tab/>
      </w:r>
      <w:r>
        <w:rPr>
          <w:noProof/>
        </w:rPr>
        <w:fldChar w:fldCharType="begin"/>
      </w:r>
      <w:r>
        <w:rPr>
          <w:noProof/>
        </w:rPr>
        <w:instrText xml:space="preserve"> PAGEREF _Toc495652993 \h </w:instrText>
      </w:r>
      <w:r>
        <w:rPr>
          <w:noProof/>
        </w:rPr>
      </w:r>
      <w:r>
        <w:rPr>
          <w:noProof/>
        </w:rPr>
        <w:fldChar w:fldCharType="separate"/>
      </w:r>
      <w:r w:rsidR="00766D30">
        <w:rPr>
          <w:noProof/>
        </w:rPr>
        <w:t>356</w:t>
      </w:r>
      <w:r>
        <w:rPr>
          <w:noProof/>
        </w:rPr>
        <w:fldChar w:fldCharType="end"/>
      </w:r>
    </w:p>
    <w:p w14:paraId="42E98340"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4.3.4—Carbide production</w:t>
      </w:r>
      <w:r>
        <w:rPr>
          <w:noProof/>
        </w:rPr>
        <w:tab/>
      </w:r>
      <w:r>
        <w:rPr>
          <w:noProof/>
        </w:rPr>
        <w:fldChar w:fldCharType="begin"/>
      </w:r>
      <w:r>
        <w:rPr>
          <w:noProof/>
        </w:rPr>
        <w:instrText xml:space="preserve"> PAGEREF _Toc495652994 \h </w:instrText>
      </w:r>
      <w:r>
        <w:rPr>
          <w:noProof/>
        </w:rPr>
      </w:r>
      <w:r>
        <w:rPr>
          <w:noProof/>
        </w:rPr>
        <w:fldChar w:fldCharType="separate"/>
      </w:r>
      <w:r w:rsidR="00766D30">
        <w:rPr>
          <w:noProof/>
        </w:rPr>
        <w:t>357</w:t>
      </w:r>
      <w:r>
        <w:rPr>
          <w:noProof/>
        </w:rPr>
        <w:fldChar w:fldCharType="end"/>
      </w:r>
    </w:p>
    <w:p w14:paraId="135D071E" w14:textId="77777777" w:rsidR="00E25764" w:rsidRDefault="00E25764">
      <w:pPr>
        <w:pStyle w:val="TOC5"/>
        <w:rPr>
          <w:rFonts w:asciiTheme="minorHAnsi" w:eastAsiaTheme="minorEastAsia" w:hAnsiTheme="minorHAnsi" w:cstheme="minorBidi"/>
          <w:noProof/>
          <w:sz w:val="22"/>
          <w:szCs w:val="22"/>
          <w:lang w:eastAsia="en-AU"/>
        </w:rPr>
      </w:pPr>
      <w:r>
        <w:rPr>
          <w:noProof/>
        </w:rPr>
        <w:t>4.51  Application</w:t>
      </w:r>
      <w:r>
        <w:rPr>
          <w:noProof/>
        </w:rPr>
        <w:tab/>
      </w:r>
      <w:r>
        <w:rPr>
          <w:noProof/>
        </w:rPr>
        <w:fldChar w:fldCharType="begin"/>
      </w:r>
      <w:r>
        <w:rPr>
          <w:noProof/>
        </w:rPr>
        <w:instrText xml:space="preserve"> PAGEREF _Toc495652995 \h </w:instrText>
      </w:r>
      <w:r>
        <w:rPr>
          <w:noProof/>
        </w:rPr>
      </w:r>
      <w:r>
        <w:rPr>
          <w:noProof/>
        </w:rPr>
        <w:fldChar w:fldCharType="separate"/>
      </w:r>
      <w:r w:rsidR="00766D30">
        <w:rPr>
          <w:noProof/>
        </w:rPr>
        <w:t>357</w:t>
      </w:r>
      <w:r>
        <w:rPr>
          <w:noProof/>
        </w:rPr>
        <w:fldChar w:fldCharType="end"/>
      </w:r>
    </w:p>
    <w:p w14:paraId="72E6CDB5" w14:textId="77777777" w:rsidR="00E25764" w:rsidRDefault="00E25764">
      <w:pPr>
        <w:pStyle w:val="TOC5"/>
        <w:rPr>
          <w:rFonts w:asciiTheme="minorHAnsi" w:eastAsiaTheme="minorEastAsia" w:hAnsiTheme="minorHAnsi" w:cstheme="minorBidi"/>
          <w:noProof/>
          <w:sz w:val="22"/>
          <w:szCs w:val="22"/>
          <w:lang w:eastAsia="en-AU"/>
        </w:rPr>
      </w:pPr>
      <w:r>
        <w:rPr>
          <w:noProof/>
        </w:rPr>
        <w:t>4.52  Available methods</w:t>
      </w:r>
      <w:r>
        <w:rPr>
          <w:noProof/>
        </w:rPr>
        <w:tab/>
      </w:r>
      <w:r>
        <w:rPr>
          <w:noProof/>
        </w:rPr>
        <w:fldChar w:fldCharType="begin"/>
      </w:r>
      <w:r>
        <w:rPr>
          <w:noProof/>
        </w:rPr>
        <w:instrText xml:space="preserve"> PAGEREF _Toc495652996 \h </w:instrText>
      </w:r>
      <w:r>
        <w:rPr>
          <w:noProof/>
        </w:rPr>
      </w:r>
      <w:r>
        <w:rPr>
          <w:noProof/>
        </w:rPr>
        <w:fldChar w:fldCharType="separate"/>
      </w:r>
      <w:r w:rsidR="00766D30">
        <w:rPr>
          <w:noProof/>
        </w:rPr>
        <w:t>357</w:t>
      </w:r>
      <w:r>
        <w:rPr>
          <w:noProof/>
        </w:rPr>
        <w:fldChar w:fldCharType="end"/>
      </w:r>
    </w:p>
    <w:p w14:paraId="1B6E815B"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4.3.5—Chemical or mineral production, other than carbide production, using a carbon reductant or carbon anode</w:t>
      </w:r>
      <w:r>
        <w:rPr>
          <w:noProof/>
        </w:rPr>
        <w:tab/>
      </w:r>
      <w:r>
        <w:rPr>
          <w:noProof/>
        </w:rPr>
        <w:fldChar w:fldCharType="begin"/>
      </w:r>
      <w:r>
        <w:rPr>
          <w:noProof/>
        </w:rPr>
        <w:instrText xml:space="preserve"> PAGEREF _Toc495652997 \h </w:instrText>
      </w:r>
      <w:r>
        <w:rPr>
          <w:noProof/>
        </w:rPr>
      </w:r>
      <w:r>
        <w:rPr>
          <w:noProof/>
        </w:rPr>
        <w:fldChar w:fldCharType="separate"/>
      </w:r>
      <w:r w:rsidR="00766D30">
        <w:rPr>
          <w:noProof/>
        </w:rPr>
        <w:t>358</w:t>
      </w:r>
      <w:r>
        <w:rPr>
          <w:noProof/>
        </w:rPr>
        <w:fldChar w:fldCharType="end"/>
      </w:r>
    </w:p>
    <w:p w14:paraId="79654969" w14:textId="77777777" w:rsidR="00E25764" w:rsidRDefault="00E25764">
      <w:pPr>
        <w:pStyle w:val="TOC5"/>
        <w:rPr>
          <w:rFonts w:asciiTheme="minorHAnsi" w:eastAsiaTheme="minorEastAsia" w:hAnsiTheme="minorHAnsi" w:cstheme="minorBidi"/>
          <w:noProof/>
          <w:sz w:val="22"/>
          <w:szCs w:val="22"/>
          <w:lang w:eastAsia="en-AU"/>
        </w:rPr>
      </w:pPr>
      <w:r>
        <w:rPr>
          <w:noProof/>
        </w:rPr>
        <w:t>4.53  Application</w:t>
      </w:r>
      <w:r>
        <w:rPr>
          <w:noProof/>
        </w:rPr>
        <w:tab/>
      </w:r>
      <w:r>
        <w:rPr>
          <w:noProof/>
        </w:rPr>
        <w:fldChar w:fldCharType="begin"/>
      </w:r>
      <w:r>
        <w:rPr>
          <w:noProof/>
        </w:rPr>
        <w:instrText xml:space="preserve"> PAGEREF _Toc495652998 \h </w:instrText>
      </w:r>
      <w:r>
        <w:rPr>
          <w:noProof/>
        </w:rPr>
      </w:r>
      <w:r>
        <w:rPr>
          <w:noProof/>
        </w:rPr>
        <w:fldChar w:fldCharType="separate"/>
      </w:r>
      <w:r w:rsidR="00766D30">
        <w:rPr>
          <w:noProof/>
        </w:rPr>
        <w:t>358</w:t>
      </w:r>
      <w:r>
        <w:rPr>
          <w:noProof/>
        </w:rPr>
        <w:fldChar w:fldCharType="end"/>
      </w:r>
    </w:p>
    <w:p w14:paraId="3DBE3AAE" w14:textId="77777777" w:rsidR="00E25764" w:rsidRDefault="00E25764">
      <w:pPr>
        <w:pStyle w:val="TOC5"/>
        <w:rPr>
          <w:rFonts w:asciiTheme="minorHAnsi" w:eastAsiaTheme="minorEastAsia" w:hAnsiTheme="minorHAnsi" w:cstheme="minorBidi"/>
          <w:noProof/>
          <w:sz w:val="22"/>
          <w:szCs w:val="22"/>
          <w:lang w:eastAsia="en-AU"/>
        </w:rPr>
      </w:pPr>
      <w:r>
        <w:rPr>
          <w:noProof/>
        </w:rPr>
        <w:t>4.54  Available methods</w:t>
      </w:r>
      <w:r>
        <w:rPr>
          <w:noProof/>
        </w:rPr>
        <w:tab/>
      </w:r>
      <w:r>
        <w:rPr>
          <w:noProof/>
        </w:rPr>
        <w:fldChar w:fldCharType="begin"/>
      </w:r>
      <w:r>
        <w:rPr>
          <w:noProof/>
        </w:rPr>
        <w:instrText xml:space="preserve"> PAGEREF _Toc495652999 \h </w:instrText>
      </w:r>
      <w:r>
        <w:rPr>
          <w:noProof/>
        </w:rPr>
      </w:r>
      <w:r>
        <w:rPr>
          <w:noProof/>
        </w:rPr>
        <w:fldChar w:fldCharType="separate"/>
      </w:r>
      <w:r w:rsidR="00766D30">
        <w:rPr>
          <w:noProof/>
        </w:rPr>
        <w:t>358</w:t>
      </w:r>
      <w:r>
        <w:rPr>
          <w:noProof/>
        </w:rPr>
        <w:fldChar w:fldCharType="end"/>
      </w:r>
    </w:p>
    <w:p w14:paraId="45DDF0AA" w14:textId="77777777" w:rsidR="00E25764" w:rsidRDefault="00E25764">
      <w:pPr>
        <w:pStyle w:val="TOC5"/>
        <w:rPr>
          <w:rFonts w:asciiTheme="minorHAnsi" w:eastAsiaTheme="minorEastAsia" w:hAnsiTheme="minorHAnsi" w:cstheme="minorBidi"/>
          <w:noProof/>
          <w:sz w:val="22"/>
          <w:szCs w:val="22"/>
          <w:lang w:eastAsia="en-AU"/>
        </w:rPr>
      </w:pPr>
      <w:r>
        <w:rPr>
          <w:noProof/>
        </w:rPr>
        <w:lastRenderedPageBreak/>
        <w:t>4.55  Method 1—chemical or mineral production, other than carbide production, using a carbon reductant or carbon anode</w:t>
      </w:r>
      <w:r>
        <w:rPr>
          <w:noProof/>
        </w:rPr>
        <w:tab/>
      </w:r>
      <w:r>
        <w:rPr>
          <w:noProof/>
        </w:rPr>
        <w:fldChar w:fldCharType="begin"/>
      </w:r>
      <w:r>
        <w:rPr>
          <w:noProof/>
        </w:rPr>
        <w:instrText xml:space="preserve"> PAGEREF _Toc495653000 \h </w:instrText>
      </w:r>
      <w:r>
        <w:rPr>
          <w:noProof/>
        </w:rPr>
      </w:r>
      <w:r>
        <w:rPr>
          <w:noProof/>
        </w:rPr>
        <w:fldChar w:fldCharType="separate"/>
      </w:r>
      <w:r w:rsidR="00766D30">
        <w:rPr>
          <w:noProof/>
        </w:rPr>
        <w:t>359</w:t>
      </w:r>
      <w:r>
        <w:rPr>
          <w:noProof/>
        </w:rPr>
        <w:fldChar w:fldCharType="end"/>
      </w:r>
    </w:p>
    <w:p w14:paraId="6E668039" w14:textId="77777777" w:rsidR="00E25764" w:rsidRDefault="00E25764">
      <w:pPr>
        <w:pStyle w:val="TOC5"/>
        <w:rPr>
          <w:rFonts w:asciiTheme="minorHAnsi" w:eastAsiaTheme="minorEastAsia" w:hAnsiTheme="minorHAnsi" w:cstheme="minorBidi"/>
          <w:noProof/>
          <w:sz w:val="22"/>
          <w:szCs w:val="22"/>
          <w:lang w:eastAsia="en-AU"/>
        </w:rPr>
      </w:pPr>
      <w:r>
        <w:rPr>
          <w:noProof/>
        </w:rPr>
        <w:t>4.56  Method 2—chemical or mineral production, other than carbide production, using a carbon reductant or carbon anode</w:t>
      </w:r>
      <w:r>
        <w:rPr>
          <w:noProof/>
        </w:rPr>
        <w:tab/>
      </w:r>
      <w:r>
        <w:rPr>
          <w:noProof/>
        </w:rPr>
        <w:fldChar w:fldCharType="begin"/>
      </w:r>
      <w:r>
        <w:rPr>
          <w:noProof/>
        </w:rPr>
        <w:instrText xml:space="preserve"> PAGEREF _Toc495653001 \h </w:instrText>
      </w:r>
      <w:r>
        <w:rPr>
          <w:noProof/>
        </w:rPr>
      </w:r>
      <w:r>
        <w:rPr>
          <w:noProof/>
        </w:rPr>
        <w:fldChar w:fldCharType="separate"/>
      </w:r>
      <w:r w:rsidR="00766D30">
        <w:rPr>
          <w:noProof/>
        </w:rPr>
        <w:t>361</w:t>
      </w:r>
      <w:r>
        <w:rPr>
          <w:noProof/>
        </w:rPr>
        <w:fldChar w:fldCharType="end"/>
      </w:r>
    </w:p>
    <w:p w14:paraId="6D51FC12" w14:textId="77777777" w:rsidR="00E25764" w:rsidRDefault="00E25764">
      <w:pPr>
        <w:pStyle w:val="TOC5"/>
        <w:rPr>
          <w:rFonts w:asciiTheme="minorHAnsi" w:eastAsiaTheme="minorEastAsia" w:hAnsiTheme="minorHAnsi" w:cstheme="minorBidi"/>
          <w:noProof/>
          <w:sz w:val="22"/>
          <w:szCs w:val="22"/>
          <w:lang w:eastAsia="en-AU"/>
        </w:rPr>
      </w:pPr>
      <w:r>
        <w:rPr>
          <w:noProof/>
        </w:rPr>
        <w:t>4.57  Method 3—chemical or mineral production, other than carbide production, using a carbon reductant or carbon anode</w:t>
      </w:r>
      <w:r>
        <w:rPr>
          <w:noProof/>
        </w:rPr>
        <w:tab/>
      </w:r>
      <w:r>
        <w:rPr>
          <w:noProof/>
        </w:rPr>
        <w:fldChar w:fldCharType="begin"/>
      </w:r>
      <w:r>
        <w:rPr>
          <w:noProof/>
        </w:rPr>
        <w:instrText xml:space="preserve"> PAGEREF _Toc495653002 \h </w:instrText>
      </w:r>
      <w:r>
        <w:rPr>
          <w:noProof/>
        </w:rPr>
      </w:r>
      <w:r>
        <w:rPr>
          <w:noProof/>
        </w:rPr>
        <w:fldChar w:fldCharType="separate"/>
      </w:r>
      <w:r w:rsidR="00766D30">
        <w:rPr>
          <w:noProof/>
        </w:rPr>
        <w:t>362</w:t>
      </w:r>
      <w:r>
        <w:rPr>
          <w:noProof/>
        </w:rPr>
        <w:fldChar w:fldCharType="end"/>
      </w:r>
    </w:p>
    <w:p w14:paraId="7D4037FF"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4.3.6—Sodium cyanide production</w:t>
      </w:r>
      <w:r>
        <w:rPr>
          <w:noProof/>
        </w:rPr>
        <w:tab/>
      </w:r>
      <w:r>
        <w:rPr>
          <w:noProof/>
        </w:rPr>
        <w:fldChar w:fldCharType="begin"/>
      </w:r>
      <w:r>
        <w:rPr>
          <w:noProof/>
        </w:rPr>
        <w:instrText xml:space="preserve"> PAGEREF _Toc495653003 \h </w:instrText>
      </w:r>
      <w:r>
        <w:rPr>
          <w:noProof/>
        </w:rPr>
      </w:r>
      <w:r>
        <w:rPr>
          <w:noProof/>
        </w:rPr>
        <w:fldChar w:fldCharType="separate"/>
      </w:r>
      <w:r w:rsidR="00766D30">
        <w:rPr>
          <w:noProof/>
        </w:rPr>
        <w:t>364</w:t>
      </w:r>
      <w:r>
        <w:rPr>
          <w:noProof/>
        </w:rPr>
        <w:fldChar w:fldCharType="end"/>
      </w:r>
    </w:p>
    <w:p w14:paraId="23B11C69" w14:textId="77777777" w:rsidR="00E25764" w:rsidRDefault="00E25764">
      <w:pPr>
        <w:pStyle w:val="TOC5"/>
        <w:rPr>
          <w:rFonts w:asciiTheme="minorHAnsi" w:eastAsiaTheme="minorEastAsia" w:hAnsiTheme="minorHAnsi" w:cstheme="minorBidi"/>
          <w:noProof/>
          <w:sz w:val="22"/>
          <w:szCs w:val="22"/>
          <w:lang w:eastAsia="en-AU"/>
        </w:rPr>
      </w:pPr>
      <w:r>
        <w:rPr>
          <w:noProof/>
        </w:rPr>
        <w:t>4.58  Application</w:t>
      </w:r>
      <w:r>
        <w:rPr>
          <w:noProof/>
        </w:rPr>
        <w:tab/>
      </w:r>
      <w:r>
        <w:rPr>
          <w:noProof/>
        </w:rPr>
        <w:fldChar w:fldCharType="begin"/>
      </w:r>
      <w:r>
        <w:rPr>
          <w:noProof/>
        </w:rPr>
        <w:instrText xml:space="preserve"> PAGEREF _Toc495653004 \h </w:instrText>
      </w:r>
      <w:r>
        <w:rPr>
          <w:noProof/>
        </w:rPr>
      </w:r>
      <w:r>
        <w:rPr>
          <w:noProof/>
        </w:rPr>
        <w:fldChar w:fldCharType="separate"/>
      </w:r>
      <w:r w:rsidR="00766D30">
        <w:rPr>
          <w:noProof/>
        </w:rPr>
        <w:t>364</w:t>
      </w:r>
      <w:r>
        <w:rPr>
          <w:noProof/>
        </w:rPr>
        <w:fldChar w:fldCharType="end"/>
      </w:r>
    </w:p>
    <w:p w14:paraId="5C9BBBD7" w14:textId="77777777" w:rsidR="00E25764" w:rsidRDefault="00E25764">
      <w:pPr>
        <w:pStyle w:val="TOC5"/>
        <w:rPr>
          <w:rFonts w:asciiTheme="minorHAnsi" w:eastAsiaTheme="minorEastAsia" w:hAnsiTheme="minorHAnsi" w:cstheme="minorBidi"/>
          <w:noProof/>
          <w:sz w:val="22"/>
          <w:szCs w:val="22"/>
          <w:lang w:eastAsia="en-AU"/>
        </w:rPr>
      </w:pPr>
      <w:r>
        <w:rPr>
          <w:noProof/>
        </w:rPr>
        <w:t>4.59  Available methods</w:t>
      </w:r>
      <w:r>
        <w:rPr>
          <w:noProof/>
        </w:rPr>
        <w:tab/>
      </w:r>
      <w:r>
        <w:rPr>
          <w:noProof/>
        </w:rPr>
        <w:fldChar w:fldCharType="begin"/>
      </w:r>
      <w:r>
        <w:rPr>
          <w:noProof/>
        </w:rPr>
        <w:instrText xml:space="preserve"> PAGEREF _Toc495653005 \h </w:instrText>
      </w:r>
      <w:r>
        <w:rPr>
          <w:noProof/>
        </w:rPr>
      </w:r>
      <w:r>
        <w:rPr>
          <w:noProof/>
        </w:rPr>
        <w:fldChar w:fldCharType="separate"/>
      </w:r>
      <w:r w:rsidR="00766D30">
        <w:rPr>
          <w:noProof/>
        </w:rPr>
        <w:t>364</w:t>
      </w:r>
      <w:r>
        <w:rPr>
          <w:noProof/>
        </w:rPr>
        <w:fldChar w:fldCharType="end"/>
      </w:r>
    </w:p>
    <w:p w14:paraId="5D81FCD2" w14:textId="77777777" w:rsidR="00E25764" w:rsidRDefault="00E25764">
      <w:pPr>
        <w:pStyle w:val="TOC2"/>
        <w:rPr>
          <w:rFonts w:asciiTheme="minorHAnsi" w:eastAsiaTheme="minorEastAsia" w:hAnsiTheme="minorHAnsi" w:cstheme="minorBidi"/>
          <w:b w:val="0"/>
          <w:sz w:val="22"/>
          <w:szCs w:val="22"/>
          <w:lang w:eastAsia="en-AU"/>
        </w:rPr>
      </w:pPr>
      <w:r>
        <w:t>Part 4.4—Industrial processes—metal industry</w:t>
      </w:r>
      <w:r>
        <w:tab/>
      </w:r>
      <w:r>
        <w:fldChar w:fldCharType="begin"/>
      </w:r>
      <w:r>
        <w:instrText xml:space="preserve"> PAGEREF _Toc495653006 \h </w:instrText>
      </w:r>
      <w:r>
        <w:fldChar w:fldCharType="separate"/>
      </w:r>
      <w:r w:rsidR="00766D30">
        <w:t>365</w:t>
      </w:r>
      <w:r>
        <w:fldChar w:fldCharType="end"/>
      </w:r>
    </w:p>
    <w:p w14:paraId="5ECCFCB3"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4.4.1—Iron, steel or other metal production using an integrated metalworks</w:t>
      </w:r>
      <w:r>
        <w:rPr>
          <w:noProof/>
        </w:rPr>
        <w:tab/>
      </w:r>
      <w:r>
        <w:rPr>
          <w:noProof/>
        </w:rPr>
        <w:fldChar w:fldCharType="begin"/>
      </w:r>
      <w:r>
        <w:rPr>
          <w:noProof/>
        </w:rPr>
        <w:instrText xml:space="preserve"> PAGEREF _Toc495653007 \h </w:instrText>
      </w:r>
      <w:r>
        <w:rPr>
          <w:noProof/>
        </w:rPr>
      </w:r>
      <w:r>
        <w:rPr>
          <w:noProof/>
        </w:rPr>
        <w:fldChar w:fldCharType="separate"/>
      </w:r>
      <w:r w:rsidR="00766D30">
        <w:rPr>
          <w:noProof/>
        </w:rPr>
        <w:t>365</w:t>
      </w:r>
      <w:r>
        <w:rPr>
          <w:noProof/>
        </w:rPr>
        <w:fldChar w:fldCharType="end"/>
      </w:r>
    </w:p>
    <w:p w14:paraId="790734E4" w14:textId="77777777" w:rsidR="00E25764" w:rsidRDefault="00E25764">
      <w:pPr>
        <w:pStyle w:val="TOC5"/>
        <w:rPr>
          <w:rFonts w:asciiTheme="minorHAnsi" w:eastAsiaTheme="minorEastAsia" w:hAnsiTheme="minorHAnsi" w:cstheme="minorBidi"/>
          <w:noProof/>
          <w:sz w:val="22"/>
          <w:szCs w:val="22"/>
          <w:lang w:eastAsia="en-AU"/>
        </w:rPr>
      </w:pPr>
      <w:r>
        <w:rPr>
          <w:noProof/>
        </w:rPr>
        <w:t>4.63  Application</w:t>
      </w:r>
      <w:r>
        <w:rPr>
          <w:noProof/>
        </w:rPr>
        <w:tab/>
      </w:r>
      <w:r>
        <w:rPr>
          <w:noProof/>
        </w:rPr>
        <w:fldChar w:fldCharType="begin"/>
      </w:r>
      <w:r>
        <w:rPr>
          <w:noProof/>
        </w:rPr>
        <w:instrText xml:space="preserve"> PAGEREF _Toc495653008 \h </w:instrText>
      </w:r>
      <w:r>
        <w:rPr>
          <w:noProof/>
        </w:rPr>
      </w:r>
      <w:r>
        <w:rPr>
          <w:noProof/>
        </w:rPr>
        <w:fldChar w:fldCharType="separate"/>
      </w:r>
      <w:r w:rsidR="00766D30">
        <w:rPr>
          <w:noProof/>
        </w:rPr>
        <w:t>366</w:t>
      </w:r>
      <w:r>
        <w:rPr>
          <w:noProof/>
        </w:rPr>
        <w:fldChar w:fldCharType="end"/>
      </w:r>
    </w:p>
    <w:p w14:paraId="2485152D" w14:textId="77777777" w:rsidR="00E25764" w:rsidRDefault="00E25764">
      <w:pPr>
        <w:pStyle w:val="TOC5"/>
        <w:rPr>
          <w:rFonts w:asciiTheme="minorHAnsi" w:eastAsiaTheme="minorEastAsia" w:hAnsiTheme="minorHAnsi" w:cstheme="minorBidi"/>
          <w:noProof/>
          <w:sz w:val="22"/>
          <w:szCs w:val="22"/>
          <w:lang w:eastAsia="en-AU"/>
        </w:rPr>
      </w:pPr>
      <w:r>
        <w:rPr>
          <w:noProof/>
        </w:rPr>
        <w:t>4.64  Purpose of Division</w:t>
      </w:r>
      <w:r>
        <w:rPr>
          <w:noProof/>
        </w:rPr>
        <w:tab/>
      </w:r>
      <w:r>
        <w:rPr>
          <w:noProof/>
        </w:rPr>
        <w:fldChar w:fldCharType="begin"/>
      </w:r>
      <w:r>
        <w:rPr>
          <w:noProof/>
        </w:rPr>
        <w:instrText xml:space="preserve"> PAGEREF _Toc495653009 \h </w:instrText>
      </w:r>
      <w:r>
        <w:rPr>
          <w:noProof/>
        </w:rPr>
      </w:r>
      <w:r>
        <w:rPr>
          <w:noProof/>
        </w:rPr>
        <w:fldChar w:fldCharType="separate"/>
      </w:r>
      <w:r w:rsidR="00766D30">
        <w:rPr>
          <w:noProof/>
        </w:rPr>
        <w:t>366</w:t>
      </w:r>
      <w:r>
        <w:rPr>
          <w:noProof/>
        </w:rPr>
        <w:fldChar w:fldCharType="end"/>
      </w:r>
    </w:p>
    <w:p w14:paraId="208A2D0D" w14:textId="77777777" w:rsidR="00E25764" w:rsidRDefault="00E25764">
      <w:pPr>
        <w:pStyle w:val="TOC5"/>
        <w:rPr>
          <w:rFonts w:asciiTheme="minorHAnsi" w:eastAsiaTheme="minorEastAsia" w:hAnsiTheme="minorHAnsi" w:cstheme="minorBidi"/>
          <w:noProof/>
          <w:sz w:val="22"/>
          <w:szCs w:val="22"/>
          <w:lang w:eastAsia="en-AU"/>
        </w:rPr>
      </w:pPr>
      <w:r>
        <w:rPr>
          <w:noProof/>
        </w:rPr>
        <w:t>4.65  Available methods for production of a metal from an integrated metalworks</w:t>
      </w:r>
      <w:r>
        <w:rPr>
          <w:noProof/>
        </w:rPr>
        <w:tab/>
      </w:r>
      <w:r>
        <w:rPr>
          <w:noProof/>
        </w:rPr>
        <w:fldChar w:fldCharType="begin"/>
      </w:r>
      <w:r>
        <w:rPr>
          <w:noProof/>
        </w:rPr>
        <w:instrText xml:space="preserve"> PAGEREF _Toc495653010 \h </w:instrText>
      </w:r>
      <w:r>
        <w:rPr>
          <w:noProof/>
        </w:rPr>
      </w:r>
      <w:r>
        <w:rPr>
          <w:noProof/>
        </w:rPr>
        <w:fldChar w:fldCharType="separate"/>
      </w:r>
      <w:r w:rsidR="00766D30">
        <w:rPr>
          <w:noProof/>
        </w:rPr>
        <w:t>366</w:t>
      </w:r>
      <w:r>
        <w:rPr>
          <w:noProof/>
        </w:rPr>
        <w:fldChar w:fldCharType="end"/>
      </w:r>
    </w:p>
    <w:p w14:paraId="6FEF0D0F" w14:textId="77777777" w:rsidR="00E25764" w:rsidRDefault="00E25764">
      <w:pPr>
        <w:pStyle w:val="TOC5"/>
        <w:rPr>
          <w:rFonts w:asciiTheme="minorHAnsi" w:eastAsiaTheme="minorEastAsia" w:hAnsiTheme="minorHAnsi" w:cstheme="minorBidi"/>
          <w:noProof/>
          <w:sz w:val="22"/>
          <w:szCs w:val="22"/>
          <w:lang w:eastAsia="en-AU"/>
        </w:rPr>
      </w:pPr>
      <w:r>
        <w:rPr>
          <w:noProof/>
        </w:rPr>
        <w:t>4.66  Method 1—production of a metal from an integrated metalworks</w:t>
      </w:r>
      <w:r>
        <w:rPr>
          <w:noProof/>
        </w:rPr>
        <w:tab/>
      </w:r>
      <w:r>
        <w:rPr>
          <w:noProof/>
        </w:rPr>
        <w:fldChar w:fldCharType="begin"/>
      </w:r>
      <w:r>
        <w:rPr>
          <w:noProof/>
        </w:rPr>
        <w:instrText xml:space="preserve"> PAGEREF _Toc495653011 \h </w:instrText>
      </w:r>
      <w:r>
        <w:rPr>
          <w:noProof/>
        </w:rPr>
      </w:r>
      <w:r>
        <w:rPr>
          <w:noProof/>
        </w:rPr>
        <w:fldChar w:fldCharType="separate"/>
      </w:r>
      <w:r w:rsidR="00766D30">
        <w:rPr>
          <w:noProof/>
        </w:rPr>
        <w:t>367</w:t>
      </w:r>
      <w:r>
        <w:rPr>
          <w:noProof/>
        </w:rPr>
        <w:fldChar w:fldCharType="end"/>
      </w:r>
    </w:p>
    <w:p w14:paraId="40D4E146" w14:textId="77777777" w:rsidR="00E25764" w:rsidRDefault="00E25764">
      <w:pPr>
        <w:pStyle w:val="TOC5"/>
        <w:rPr>
          <w:rFonts w:asciiTheme="minorHAnsi" w:eastAsiaTheme="minorEastAsia" w:hAnsiTheme="minorHAnsi" w:cstheme="minorBidi"/>
          <w:noProof/>
          <w:sz w:val="22"/>
          <w:szCs w:val="22"/>
          <w:lang w:eastAsia="en-AU"/>
        </w:rPr>
      </w:pPr>
      <w:r>
        <w:rPr>
          <w:noProof/>
        </w:rPr>
        <w:t>4.67  Method 2—production of a metal from an integrated metalworks</w:t>
      </w:r>
      <w:r>
        <w:rPr>
          <w:noProof/>
        </w:rPr>
        <w:tab/>
      </w:r>
      <w:r>
        <w:rPr>
          <w:noProof/>
        </w:rPr>
        <w:fldChar w:fldCharType="begin"/>
      </w:r>
      <w:r>
        <w:rPr>
          <w:noProof/>
        </w:rPr>
        <w:instrText xml:space="preserve"> PAGEREF _Toc495653012 \h </w:instrText>
      </w:r>
      <w:r>
        <w:rPr>
          <w:noProof/>
        </w:rPr>
      </w:r>
      <w:r>
        <w:rPr>
          <w:noProof/>
        </w:rPr>
        <w:fldChar w:fldCharType="separate"/>
      </w:r>
      <w:r w:rsidR="00766D30">
        <w:rPr>
          <w:noProof/>
        </w:rPr>
        <w:t>369</w:t>
      </w:r>
      <w:r>
        <w:rPr>
          <w:noProof/>
        </w:rPr>
        <w:fldChar w:fldCharType="end"/>
      </w:r>
    </w:p>
    <w:p w14:paraId="41D318C4" w14:textId="77777777" w:rsidR="00E25764" w:rsidRDefault="00E25764">
      <w:pPr>
        <w:pStyle w:val="TOC5"/>
        <w:rPr>
          <w:rFonts w:asciiTheme="minorHAnsi" w:eastAsiaTheme="minorEastAsia" w:hAnsiTheme="minorHAnsi" w:cstheme="minorBidi"/>
          <w:noProof/>
          <w:sz w:val="22"/>
          <w:szCs w:val="22"/>
          <w:lang w:eastAsia="en-AU"/>
        </w:rPr>
      </w:pPr>
      <w:r>
        <w:rPr>
          <w:noProof/>
        </w:rPr>
        <w:t>4.68  Method 3—production of a metal from an integrated metalworks</w:t>
      </w:r>
      <w:r>
        <w:rPr>
          <w:noProof/>
        </w:rPr>
        <w:tab/>
      </w:r>
      <w:r>
        <w:rPr>
          <w:noProof/>
        </w:rPr>
        <w:fldChar w:fldCharType="begin"/>
      </w:r>
      <w:r>
        <w:rPr>
          <w:noProof/>
        </w:rPr>
        <w:instrText xml:space="preserve"> PAGEREF _Toc495653013 \h </w:instrText>
      </w:r>
      <w:r>
        <w:rPr>
          <w:noProof/>
        </w:rPr>
      </w:r>
      <w:r>
        <w:rPr>
          <w:noProof/>
        </w:rPr>
        <w:fldChar w:fldCharType="separate"/>
      </w:r>
      <w:r w:rsidR="00766D30">
        <w:rPr>
          <w:noProof/>
        </w:rPr>
        <w:t>370</w:t>
      </w:r>
      <w:r>
        <w:rPr>
          <w:noProof/>
        </w:rPr>
        <w:fldChar w:fldCharType="end"/>
      </w:r>
    </w:p>
    <w:p w14:paraId="5A69E4FA"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4.4.2—Ferroalloys production</w:t>
      </w:r>
      <w:r>
        <w:rPr>
          <w:noProof/>
        </w:rPr>
        <w:tab/>
      </w:r>
      <w:r>
        <w:rPr>
          <w:noProof/>
        </w:rPr>
        <w:fldChar w:fldCharType="begin"/>
      </w:r>
      <w:r>
        <w:rPr>
          <w:noProof/>
        </w:rPr>
        <w:instrText xml:space="preserve"> PAGEREF _Toc495653014 \h </w:instrText>
      </w:r>
      <w:r>
        <w:rPr>
          <w:noProof/>
        </w:rPr>
      </w:r>
      <w:r>
        <w:rPr>
          <w:noProof/>
        </w:rPr>
        <w:fldChar w:fldCharType="separate"/>
      </w:r>
      <w:r w:rsidR="00766D30">
        <w:rPr>
          <w:noProof/>
        </w:rPr>
        <w:t>378</w:t>
      </w:r>
      <w:r>
        <w:rPr>
          <w:noProof/>
        </w:rPr>
        <w:fldChar w:fldCharType="end"/>
      </w:r>
    </w:p>
    <w:p w14:paraId="2B82397E" w14:textId="77777777" w:rsidR="00E25764" w:rsidRDefault="00E25764">
      <w:pPr>
        <w:pStyle w:val="TOC5"/>
        <w:rPr>
          <w:rFonts w:asciiTheme="minorHAnsi" w:eastAsiaTheme="minorEastAsia" w:hAnsiTheme="minorHAnsi" w:cstheme="minorBidi"/>
          <w:noProof/>
          <w:sz w:val="22"/>
          <w:szCs w:val="22"/>
          <w:lang w:eastAsia="en-AU"/>
        </w:rPr>
      </w:pPr>
      <w:r>
        <w:rPr>
          <w:noProof/>
        </w:rPr>
        <w:t>4.69  Application</w:t>
      </w:r>
      <w:r>
        <w:rPr>
          <w:noProof/>
        </w:rPr>
        <w:tab/>
      </w:r>
      <w:r>
        <w:rPr>
          <w:noProof/>
        </w:rPr>
        <w:fldChar w:fldCharType="begin"/>
      </w:r>
      <w:r>
        <w:rPr>
          <w:noProof/>
        </w:rPr>
        <w:instrText xml:space="preserve"> PAGEREF _Toc495653015 \h </w:instrText>
      </w:r>
      <w:r>
        <w:rPr>
          <w:noProof/>
        </w:rPr>
      </w:r>
      <w:r>
        <w:rPr>
          <w:noProof/>
        </w:rPr>
        <w:fldChar w:fldCharType="separate"/>
      </w:r>
      <w:r w:rsidR="00766D30">
        <w:rPr>
          <w:noProof/>
        </w:rPr>
        <w:t>378</w:t>
      </w:r>
      <w:r>
        <w:rPr>
          <w:noProof/>
        </w:rPr>
        <w:fldChar w:fldCharType="end"/>
      </w:r>
    </w:p>
    <w:p w14:paraId="3DE4551D" w14:textId="77777777" w:rsidR="00E25764" w:rsidRDefault="00E25764">
      <w:pPr>
        <w:pStyle w:val="TOC5"/>
        <w:rPr>
          <w:rFonts w:asciiTheme="minorHAnsi" w:eastAsiaTheme="minorEastAsia" w:hAnsiTheme="minorHAnsi" w:cstheme="minorBidi"/>
          <w:noProof/>
          <w:sz w:val="22"/>
          <w:szCs w:val="22"/>
          <w:lang w:eastAsia="en-AU"/>
        </w:rPr>
      </w:pPr>
      <w:r>
        <w:rPr>
          <w:noProof/>
        </w:rPr>
        <w:t>4.70  Available methods</w:t>
      </w:r>
      <w:r>
        <w:rPr>
          <w:noProof/>
        </w:rPr>
        <w:tab/>
      </w:r>
      <w:r>
        <w:rPr>
          <w:noProof/>
        </w:rPr>
        <w:fldChar w:fldCharType="begin"/>
      </w:r>
      <w:r>
        <w:rPr>
          <w:noProof/>
        </w:rPr>
        <w:instrText xml:space="preserve"> PAGEREF _Toc495653016 \h </w:instrText>
      </w:r>
      <w:r>
        <w:rPr>
          <w:noProof/>
        </w:rPr>
      </w:r>
      <w:r>
        <w:rPr>
          <w:noProof/>
        </w:rPr>
        <w:fldChar w:fldCharType="separate"/>
      </w:r>
      <w:r w:rsidR="00766D30">
        <w:rPr>
          <w:noProof/>
        </w:rPr>
        <w:t>378</w:t>
      </w:r>
      <w:r>
        <w:rPr>
          <w:noProof/>
        </w:rPr>
        <w:fldChar w:fldCharType="end"/>
      </w:r>
    </w:p>
    <w:p w14:paraId="7BA2182B" w14:textId="77777777" w:rsidR="00E25764" w:rsidRDefault="00E25764">
      <w:pPr>
        <w:pStyle w:val="TOC5"/>
        <w:rPr>
          <w:rFonts w:asciiTheme="minorHAnsi" w:eastAsiaTheme="minorEastAsia" w:hAnsiTheme="minorHAnsi" w:cstheme="minorBidi"/>
          <w:noProof/>
          <w:sz w:val="22"/>
          <w:szCs w:val="22"/>
          <w:lang w:eastAsia="en-AU"/>
        </w:rPr>
      </w:pPr>
      <w:r>
        <w:rPr>
          <w:noProof/>
        </w:rPr>
        <w:t>4.71  Method 1—ferroalloy metal</w:t>
      </w:r>
      <w:r>
        <w:rPr>
          <w:noProof/>
        </w:rPr>
        <w:tab/>
      </w:r>
      <w:r>
        <w:rPr>
          <w:noProof/>
        </w:rPr>
        <w:fldChar w:fldCharType="begin"/>
      </w:r>
      <w:r>
        <w:rPr>
          <w:noProof/>
        </w:rPr>
        <w:instrText xml:space="preserve"> PAGEREF _Toc495653017 \h </w:instrText>
      </w:r>
      <w:r>
        <w:rPr>
          <w:noProof/>
        </w:rPr>
      </w:r>
      <w:r>
        <w:rPr>
          <w:noProof/>
        </w:rPr>
        <w:fldChar w:fldCharType="separate"/>
      </w:r>
      <w:r w:rsidR="00766D30">
        <w:rPr>
          <w:noProof/>
        </w:rPr>
        <w:t>379</w:t>
      </w:r>
      <w:r>
        <w:rPr>
          <w:noProof/>
        </w:rPr>
        <w:fldChar w:fldCharType="end"/>
      </w:r>
    </w:p>
    <w:p w14:paraId="14861346" w14:textId="77777777" w:rsidR="00E25764" w:rsidRDefault="00E25764">
      <w:pPr>
        <w:pStyle w:val="TOC5"/>
        <w:rPr>
          <w:rFonts w:asciiTheme="minorHAnsi" w:eastAsiaTheme="minorEastAsia" w:hAnsiTheme="minorHAnsi" w:cstheme="minorBidi"/>
          <w:noProof/>
          <w:sz w:val="22"/>
          <w:szCs w:val="22"/>
          <w:lang w:eastAsia="en-AU"/>
        </w:rPr>
      </w:pPr>
      <w:r>
        <w:rPr>
          <w:noProof/>
        </w:rPr>
        <w:t>4.72  Method 2—ferroalloy metal</w:t>
      </w:r>
      <w:r>
        <w:rPr>
          <w:noProof/>
        </w:rPr>
        <w:tab/>
      </w:r>
      <w:r>
        <w:rPr>
          <w:noProof/>
        </w:rPr>
        <w:fldChar w:fldCharType="begin"/>
      </w:r>
      <w:r>
        <w:rPr>
          <w:noProof/>
        </w:rPr>
        <w:instrText xml:space="preserve"> PAGEREF _Toc495653018 \h </w:instrText>
      </w:r>
      <w:r>
        <w:rPr>
          <w:noProof/>
        </w:rPr>
      </w:r>
      <w:r>
        <w:rPr>
          <w:noProof/>
        </w:rPr>
        <w:fldChar w:fldCharType="separate"/>
      </w:r>
      <w:r w:rsidR="00766D30">
        <w:rPr>
          <w:noProof/>
        </w:rPr>
        <w:t>381</w:t>
      </w:r>
      <w:r>
        <w:rPr>
          <w:noProof/>
        </w:rPr>
        <w:fldChar w:fldCharType="end"/>
      </w:r>
    </w:p>
    <w:p w14:paraId="769E1C66" w14:textId="77777777" w:rsidR="00E25764" w:rsidRDefault="00E25764">
      <w:pPr>
        <w:pStyle w:val="TOC5"/>
        <w:rPr>
          <w:rFonts w:asciiTheme="minorHAnsi" w:eastAsiaTheme="minorEastAsia" w:hAnsiTheme="minorHAnsi" w:cstheme="minorBidi"/>
          <w:noProof/>
          <w:sz w:val="22"/>
          <w:szCs w:val="22"/>
          <w:lang w:eastAsia="en-AU"/>
        </w:rPr>
      </w:pPr>
      <w:r>
        <w:rPr>
          <w:noProof/>
        </w:rPr>
        <w:t>4.73  Method 3—ferroalloy metal</w:t>
      </w:r>
      <w:r>
        <w:rPr>
          <w:noProof/>
        </w:rPr>
        <w:tab/>
      </w:r>
      <w:r>
        <w:rPr>
          <w:noProof/>
        </w:rPr>
        <w:fldChar w:fldCharType="begin"/>
      </w:r>
      <w:r>
        <w:rPr>
          <w:noProof/>
        </w:rPr>
        <w:instrText xml:space="preserve"> PAGEREF _Toc495653019 \h </w:instrText>
      </w:r>
      <w:r>
        <w:rPr>
          <w:noProof/>
        </w:rPr>
      </w:r>
      <w:r>
        <w:rPr>
          <w:noProof/>
        </w:rPr>
        <w:fldChar w:fldCharType="separate"/>
      </w:r>
      <w:r w:rsidR="00766D30">
        <w:rPr>
          <w:noProof/>
        </w:rPr>
        <w:t>382</w:t>
      </w:r>
      <w:r>
        <w:rPr>
          <w:noProof/>
        </w:rPr>
        <w:fldChar w:fldCharType="end"/>
      </w:r>
    </w:p>
    <w:p w14:paraId="2AB46932"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4.4.3—Aluminium production (carbon dioxide emissions)</w:t>
      </w:r>
      <w:r>
        <w:rPr>
          <w:noProof/>
        </w:rPr>
        <w:tab/>
      </w:r>
      <w:r>
        <w:rPr>
          <w:noProof/>
        </w:rPr>
        <w:fldChar w:fldCharType="begin"/>
      </w:r>
      <w:r>
        <w:rPr>
          <w:noProof/>
        </w:rPr>
        <w:instrText xml:space="preserve"> PAGEREF _Toc495653020 \h </w:instrText>
      </w:r>
      <w:r>
        <w:rPr>
          <w:noProof/>
        </w:rPr>
      </w:r>
      <w:r>
        <w:rPr>
          <w:noProof/>
        </w:rPr>
        <w:fldChar w:fldCharType="separate"/>
      </w:r>
      <w:r w:rsidR="00766D30">
        <w:rPr>
          <w:noProof/>
        </w:rPr>
        <w:t>384</w:t>
      </w:r>
      <w:r>
        <w:rPr>
          <w:noProof/>
        </w:rPr>
        <w:fldChar w:fldCharType="end"/>
      </w:r>
    </w:p>
    <w:p w14:paraId="66346B9E" w14:textId="77777777" w:rsidR="00E25764" w:rsidRDefault="00E25764">
      <w:pPr>
        <w:pStyle w:val="TOC5"/>
        <w:rPr>
          <w:rFonts w:asciiTheme="minorHAnsi" w:eastAsiaTheme="minorEastAsia" w:hAnsiTheme="minorHAnsi" w:cstheme="minorBidi"/>
          <w:noProof/>
          <w:sz w:val="22"/>
          <w:szCs w:val="22"/>
          <w:lang w:eastAsia="en-AU"/>
        </w:rPr>
      </w:pPr>
      <w:r>
        <w:rPr>
          <w:noProof/>
        </w:rPr>
        <w:t>4.74  Application</w:t>
      </w:r>
      <w:r>
        <w:rPr>
          <w:noProof/>
        </w:rPr>
        <w:tab/>
      </w:r>
      <w:r>
        <w:rPr>
          <w:noProof/>
        </w:rPr>
        <w:fldChar w:fldCharType="begin"/>
      </w:r>
      <w:r>
        <w:rPr>
          <w:noProof/>
        </w:rPr>
        <w:instrText xml:space="preserve"> PAGEREF _Toc495653021 \h </w:instrText>
      </w:r>
      <w:r>
        <w:rPr>
          <w:noProof/>
        </w:rPr>
      </w:r>
      <w:r>
        <w:rPr>
          <w:noProof/>
        </w:rPr>
        <w:fldChar w:fldCharType="separate"/>
      </w:r>
      <w:r w:rsidR="00766D30">
        <w:rPr>
          <w:noProof/>
        </w:rPr>
        <w:t>384</w:t>
      </w:r>
      <w:r>
        <w:rPr>
          <w:noProof/>
        </w:rPr>
        <w:fldChar w:fldCharType="end"/>
      </w:r>
    </w:p>
    <w:p w14:paraId="04117F0B" w14:textId="77777777" w:rsidR="00E25764" w:rsidRDefault="00E25764">
      <w:pPr>
        <w:pStyle w:val="TOC4"/>
        <w:rPr>
          <w:rFonts w:asciiTheme="minorHAnsi" w:eastAsiaTheme="minorEastAsia" w:hAnsiTheme="minorHAnsi" w:cstheme="minorBidi"/>
          <w:b w:val="0"/>
          <w:noProof/>
          <w:sz w:val="22"/>
          <w:szCs w:val="22"/>
          <w:lang w:eastAsia="en-AU"/>
        </w:rPr>
      </w:pPr>
      <w:r>
        <w:rPr>
          <w:noProof/>
        </w:rPr>
        <w:lastRenderedPageBreak/>
        <w:t>Sudivision 4.4.3.1—Aluminium—emissions from consumption of carbon anodes in aluminium production</w:t>
      </w:r>
      <w:r>
        <w:rPr>
          <w:noProof/>
        </w:rPr>
        <w:tab/>
      </w:r>
      <w:r>
        <w:rPr>
          <w:noProof/>
        </w:rPr>
        <w:fldChar w:fldCharType="begin"/>
      </w:r>
      <w:r>
        <w:rPr>
          <w:noProof/>
        </w:rPr>
        <w:instrText xml:space="preserve"> PAGEREF _Toc495653022 \h </w:instrText>
      </w:r>
      <w:r>
        <w:rPr>
          <w:noProof/>
        </w:rPr>
      </w:r>
      <w:r>
        <w:rPr>
          <w:noProof/>
        </w:rPr>
        <w:fldChar w:fldCharType="separate"/>
      </w:r>
      <w:r w:rsidR="00766D30">
        <w:rPr>
          <w:noProof/>
        </w:rPr>
        <w:t>384</w:t>
      </w:r>
      <w:r>
        <w:rPr>
          <w:noProof/>
        </w:rPr>
        <w:fldChar w:fldCharType="end"/>
      </w:r>
    </w:p>
    <w:p w14:paraId="2E437907" w14:textId="77777777" w:rsidR="00E25764" w:rsidRDefault="00E25764">
      <w:pPr>
        <w:pStyle w:val="TOC5"/>
        <w:rPr>
          <w:rFonts w:asciiTheme="minorHAnsi" w:eastAsiaTheme="minorEastAsia" w:hAnsiTheme="minorHAnsi" w:cstheme="minorBidi"/>
          <w:noProof/>
          <w:sz w:val="22"/>
          <w:szCs w:val="22"/>
          <w:lang w:eastAsia="en-AU"/>
        </w:rPr>
      </w:pPr>
      <w:r>
        <w:rPr>
          <w:noProof/>
        </w:rPr>
        <w:t>4.75  Available methods</w:t>
      </w:r>
      <w:r>
        <w:rPr>
          <w:noProof/>
        </w:rPr>
        <w:tab/>
      </w:r>
      <w:r>
        <w:rPr>
          <w:noProof/>
        </w:rPr>
        <w:fldChar w:fldCharType="begin"/>
      </w:r>
      <w:r>
        <w:rPr>
          <w:noProof/>
        </w:rPr>
        <w:instrText xml:space="preserve"> PAGEREF _Toc495653023 \h </w:instrText>
      </w:r>
      <w:r>
        <w:rPr>
          <w:noProof/>
        </w:rPr>
      </w:r>
      <w:r>
        <w:rPr>
          <w:noProof/>
        </w:rPr>
        <w:fldChar w:fldCharType="separate"/>
      </w:r>
      <w:r w:rsidR="00766D30">
        <w:rPr>
          <w:noProof/>
        </w:rPr>
        <w:t>384</w:t>
      </w:r>
      <w:r>
        <w:rPr>
          <w:noProof/>
        </w:rPr>
        <w:fldChar w:fldCharType="end"/>
      </w:r>
    </w:p>
    <w:p w14:paraId="6D86C593" w14:textId="77777777" w:rsidR="00E25764" w:rsidRDefault="00E25764">
      <w:pPr>
        <w:pStyle w:val="TOC5"/>
        <w:rPr>
          <w:rFonts w:asciiTheme="minorHAnsi" w:eastAsiaTheme="minorEastAsia" w:hAnsiTheme="minorHAnsi" w:cstheme="minorBidi"/>
          <w:noProof/>
          <w:sz w:val="22"/>
          <w:szCs w:val="22"/>
          <w:lang w:eastAsia="en-AU"/>
        </w:rPr>
      </w:pPr>
      <w:r>
        <w:rPr>
          <w:noProof/>
        </w:rPr>
        <w:t>4.76  Method 1—aluminium (carbon anode consumption)</w:t>
      </w:r>
      <w:r>
        <w:rPr>
          <w:noProof/>
        </w:rPr>
        <w:tab/>
      </w:r>
      <w:r>
        <w:rPr>
          <w:noProof/>
        </w:rPr>
        <w:fldChar w:fldCharType="begin"/>
      </w:r>
      <w:r>
        <w:rPr>
          <w:noProof/>
        </w:rPr>
        <w:instrText xml:space="preserve"> PAGEREF _Toc495653024 \h </w:instrText>
      </w:r>
      <w:r>
        <w:rPr>
          <w:noProof/>
        </w:rPr>
      </w:r>
      <w:r>
        <w:rPr>
          <w:noProof/>
        </w:rPr>
        <w:fldChar w:fldCharType="separate"/>
      </w:r>
      <w:r w:rsidR="00766D30">
        <w:rPr>
          <w:noProof/>
        </w:rPr>
        <w:t>385</w:t>
      </w:r>
      <w:r>
        <w:rPr>
          <w:noProof/>
        </w:rPr>
        <w:fldChar w:fldCharType="end"/>
      </w:r>
    </w:p>
    <w:p w14:paraId="665695E8" w14:textId="77777777" w:rsidR="00E25764" w:rsidRDefault="00E25764">
      <w:pPr>
        <w:pStyle w:val="TOC5"/>
        <w:rPr>
          <w:rFonts w:asciiTheme="minorHAnsi" w:eastAsiaTheme="minorEastAsia" w:hAnsiTheme="minorHAnsi" w:cstheme="minorBidi"/>
          <w:noProof/>
          <w:sz w:val="22"/>
          <w:szCs w:val="22"/>
          <w:lang w:eastAsia="en-AU"/>
        </w:rPr>
      </w:pPr>
      <w:r>
        <w:rPr>
          <w:noProof/>
        </w:rPr>
        <w:t>4.77  Method 2—aluminium (carbon anode consumption)</w:t>
      </w:r>
      <w:r>
        <w:rPr>
          <w:noProof/>
        </w:rPr>
        <w:tab/>
      </w:r>
      <w:r>
        <w:rPr>
          <w:noProof/>
        </w:rPr>
        <w:fldChar w:fldCharType="begin"/>
      </w:r>
      <w:r>
        <w:rPr>
          <w:noProof/>
        </w:rPr>
        <w:instrText xml:space="preserve"> PAGEREF _Toc495653025 \h </w:instrText>
      </w:r>
      <w:r>
        <w:rPr>
          <w:noProof/>
        </w:rPr>
      </w:r>
      <w:r>
        <w:rPr>
          <w:noProof/>
        </w:rPr>
        <w:fldChar w:fldCharType="separate"/>
      </w:r>
      <w:r w:rsidR="00766D30">
        <w:rPr>
          <w:noProof/>
        </w:rPr>
        <w:t>386</w:t>
      </w:r>
      <w:r>
        <w:rPr>
          <w:noProof/>
        </w:rPr>
        <w:fldChar w:fldCharType="end"/>
      </w:r>
    </w:p>
    <w:p w14:paraId="22C1C8B7" w14:textId="77777777" w:rsidR="00E25764" w:rsidRDefault="00E25764">
      <w:pPr>
        <w:pStyle w:val="TOC5"/>
        <w:rPr>
          <w:rFonts w:asciiTheme="minorHAnsi" w:eastAsiaTheme="minorEastAsia" w:hAnsiTheme="minorHAnsi" w:cstheme="minorBidi"/>
          <w:noProof/>
          <w:sz w:val="22"/>
          <w:szCs w:val="22"/>
          <w:lang w:eastAsia="en-AU"/>
        </w:rPr>
      </w:pPr>
      <w:r>
        <w:rPr>
          <w:noProof/>
        </w:rPr>
        <w:t>4.78  Method 3—aluminium (carbon anode consumption)</w:t>
      </w:r>
      <w:r>
        <w:rPr>
          <w:noProof/>
        </w:rPr>
        <w:tab/>
      </w:r>
      <w:r>
        <w:rPr>
          <w:noProof/>
        </w:rPr>
        <w:fldChar w:fldCharType="begin"/>
      </w:r>
      <w:r>
        <w:rPr>
          <w:noProof/>
        </w:rPr>
        <w:instrText xml:space="preserve"> PAGEREF _Toc495653026 \h </w:instrText>
      </w:r>
      <w:r>
        <w:rPr>
          <w:noProof/>
        </w:rPr>
      </w:r>
      <w:r>
        <w:rPr>
          <w:noProof/>
        </w:rPr>
        <w:fldChar w:fldCharType="separate"/>
      </w:r>
      <w:r w:rsidR="00766D30">
        <w:rPr>
          <w:noProof/>
        </w:rPr>
        <w:t>386</w:t>
      </w:r>
      <w:r>
        <w:rPr>
          <w:noProof/>
        </w:rPr>
        <w:fldChar w:fldCharType="end"/>
      </w:r>
    </w:p>
    <w:p w14:paraId="7F3DC960"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4.4.3.2—Aluminium—emissions from production of baked carbon anodes in aluminium production</w:t>
      </w:r>
      <w:r>
        <w:rPr>
          <w:noProof/>
        </w:rPr>
        <w:tab/>
      </w:r>
      <w:r>
        <w:rPr>
          <w:noProof/>
        </w:rPr>
        <w:fldChar w:fldCharType="begin"/>
      </w:r>
      <w:r>
        <w:rPr>
          <w:noProof/>
        </w:rPr>
        <w:instrText xml:space="preserve"> PAGEREF _Toc495653027 \h </w:instrText>
      </w:r>
      <w:r>
        <w:rPr>
          <w:noProof/>
        </w:rPr>
      </w:r>
      <w:r>
        <w:rPr>
          <w:noProof/>
        </w:rPr>
        <w:fldChar w:fldCharType="separate"/>
      </w:r>
      <w:r w:rsidR="00766D30">
        <w:rPr>
          <w:noProof/>
        </w:rPr>
        <w:t>386</w:t>
      </w:r>
      <w:r>
        <w:rPr>
          <w:noProof/>
        </w:rPr>
        <w:fldChar w:fldCharType="end"/>
      </w:r>
    </w:p>
    <w:p w14:paraId="00637139" w14:textId="77777777" w:rsidR="00E25764" w:rsidRDefault="00E25764">
      <w:pPr>
        <w:pStyle w:val="TOC5"/>
        <w:rPr>
          <w:rFonts w:asciiTheme="minorHAnsi" w:eastAsiaTheme="minorEastAsia" w:hAnsiTheme="minorHAnsi" w:cstheme="minorBidi"/>
          <w:noProof/>
          <w:sz w:val="22"/>
          <w:szCs w:val="22"/>
          <w:lang w:eastAsia="en-AU"/>
        </w:rPr>
      </w:pPr>
      <w:r>
        <w:rPr>
          <w:noProof/>
        </w:rPr>
        <w:t>4.79  Available methods</w:t>
      </w:r>
      <w:r>
        <w:rPr>
          <w:noProof/>
        </w:rPr>
        <w:tab/>
      </w:r>
      <w:r>
        <w:rPr>
          <w:noProof/>
        </w:rPr>
        <w:fldChar w:fldCharType="begin"/>
      </w:r>
      <w:r>
        <w:rPr>
          <w:noProof/>
        </w:rPr>
        <w:instrText xml:space="preserve"> PAGEREF _Toc495653028 \h </w:instrText>
      </w:r>
      <w:r>
        <w:rPr>
          <w:noProof/>
        </w:rPr>
      </w:r>
      <w:r>
        <w:rPr>
          <w:noProof/>
        </w:rPr>
        <w:fldChar w:fldCharType="separate"/>
      </w:r>
      <w:r w:rsidR="00766D30">
        <w:rPr>
          <w:noProof/>
        </w:rPr>
        <w:t>386</w:t>
      </w:r>
      <w:r>
        <w:rPr>
          <w:noProof/>
        </w:rPr>
        <w:fldChar w:fldCharType="end"/>
      </w:r>
    </w:p>
    <w:p w14:paraId="01FB493D" w14:textId="77777777" w:rsidR="00E25764" w:rsidRDefault="00E25764">
      <w:pPr>
        <w:pStyle w:val="TOC5"/>
        <w:rPr>
          <w:rFonts w:asciiTheme="minorHAnsi" w:eastAsiaTheme="minorEastAsia" w:hAnsiTheme="minorHAnsi" w:cstheme="minorBidi"/>
          <w:noProof/>
          <w:sz w:val="22"/>
          <w:szCs w:val="22"/>
          <w:lang w:eastAsia="en-AU"/>
        </w:rPr>
      </w:pPr>
      <w:r>
        <w:rPr>
          <w:noProof/>
        </w:rPr>
        <w:t>4.80  Method 1—aluminium (baked carbon anode production)</w:t>
      </w:r>
      <w:r>
        <w:rPr>
          <w:noProof/>
        </w:rPr>
        <w:tab/>
      </w:r>
      <w:r>
        <w:rPr>
          <w:noProof/>
        </w:rPr>
        <w:fldChar w:fldCharType="begin"/>
      </w:r>
      <w:r>
        <w:rPr>
          <w:noProof/>
        </w:rPr>
        <w:instrText xml:space="preserve"> PAGEREF _Toc495653029 \h </w:instrText>
      </w:r>
      <w:r>
        <w:rPr>
          <w:noProof/>
        </w:rPr>
      </w:r>
      <w:r>
        <w:rPr>
          <w:noProof/>
        </w:rPr>
        <w:fldChar w:fldCharType="separate"/>
      </w:r>
      <w:r w:rsidR="00766D30">
        <w:rPr>
          <w:noProof/>
        </w:rPr>
        <w:t>387</w:t>
      </w:r>
      <w:r>
        <w:rPr>
          <w:noProof/>
        </w:rPr>
        <w:fldChar w:fldCharType="end"/>
      </w:r>
    </w:p>
    <w:p w14:paraId="20355F1D" w14:textId="77777777" w:rsidR="00E25764" w:rsidRDefault="00E25764">
      <w:pPr>
        <w:pStyle w:val="TOC5"/>
        <w:rPr>
          <w:rFonts w:asciiTheme="minorHAnsi" w:eastAsiaTheme="minorEastAsia" w:hAnsiTheme="minorHAnsi" w:cstheme="minorBidi"/>
          <w:noProof/>
          <w:sz w:val="22"/>
          <w:szCs w:val="22"/>
          <w:lang w:eastAsia="en-AU"/>
        </w:rPr>
      </w:pPr>
      <w:r>
        <w:rPr>
          <w:noProof/>
        </w:rPr>
        <w:t>4.81  Method 2—aluminium (baked carbon anode production)</w:t>
      </w:r>
      <w:r>
        <w:rPr>
          <w:noProof/>
        </w:rPr>
        <w:tab/>
      </w:r>
      <w:r>
        <w:rPr>
          <w:noProof/>
        </w:rPr>
        <w:fldChar w:fldCharType="begin"/>
      </w:r>
      <w:r>
        <w:rPr>
          <w:noProof/>
        </w:rPr>
        <w:instrText xml:space="preserve"> PAGEREF _Toc495653030 \h </w:instrText>
      </w:r>
      <w:r>
        <w:rPr>
          <w:noProof/>
        </w:rPr>
      </w:r>
      <w:r>
        <w:rPr>
          <w:noProof/>
        </w:rPr>
        <w:fldChar w:fldCharType="separate"/>
      </w:r>
      <w:r w:rsidR="00766D30">
        <w:rPr>
          <w:noProof/>
        </w:rPr>
        <w:t>388</w:t>
      </w:r>
      <w:r>
        <w:rPr>
          <w:noProof/>
        </w:rPr>
        <w:fldChar w:fldCharType="end"/>
      </w:r>
    </w:p>
    <w:p w14:paraId="3A8E94FE" w14:textId="77777777" w:rsidR="00E25764" w:rsidRDefault="00E25764">
      <w:pPr>
        <w:pStyle w:val="TOC5"/>
        <w:rPr>
          <w:rFonts w:asciiTheme="minorHAnsi" w:eastAsiaTheme="minorEastAsia" w:hAnsiTheme="minorHAnsi" w:cstheme="minorBidi"/>
          <w:noProof/>
          <w:sz w:val="22"/>
          <w:szCs w:val="22"/>
          <w:lang w:eastAsia="en-AU"/>
        </w:rPr>
      </w:pPr>
      <w:r>
        <w:rPr>
          <w:noProof/>
        </w:rPr>
        <w:t>4.82  Method 3—aluminium (baked carbon anode production)</w:t>
      </w:r>
      <w:r>
        <w:rPr>
          <w:noProof/>
        </w:rPr>
        <w:tab/>
      </w:r>
      <w:r>
        <w:rPr>
          <w:noProof/>
        </w:rPr>
        <w:fldChar w:fldCharType="begin"/>
      </w:r>
      <w:r>
        <w:rPr>
          <w:noProof/>
        </w:rPr>
        <w:instrText xml:space="preserve"> PAGEREF _Toc495653031 \h </w:instrText>
      </w:r>
      <w:r>
        <w:rPr>
          <w:noProof/>
        </w:rPr>
      </w:r>
      <w:r>
        <w:rPr>
          <w:noProof/>
        </w:rPr>
        <w:fldChar w:fldCharType="separate"/>
      </w:r>
      <w:r w:rsidR="00766D30">
        <w:rPr>
          <w:noProof/>
        </w:rPr>
        <w:t>388</w:t>
      </w:r>
      <w:r>
        <w:rPr>
          <w:noProof/>
        </w:rPr>
        <w:fldChar w:fldCharType="end"/>
      </w:r>
    </w:p>
    <w:p w14:paraId="0AF6BA71"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4.4.4—Aluminium production (perfluoronated carbon compound emissions)</w:t>
      </w:r>
      <w:r>
        <w:rPr>
          <w:noProof/>
        </w:rPr>
        <w:tab/>
      </w:r>
      <w:r>
        <w:rPr>
          <w:noProof/>
        </w:rPr>
        <w:fldChar w:fldCharType="begin"/>
      </w:r>
      <w:r>
        <w:rPr>
          <w:noProof/>
        </w:rPr>
        <w:instrText xml:space="preserve"> PAGEREF _Toc495653032 \h </w:instrText>
      </w:r>
      <w:r>
        <w:rPr>
          <w:noProof/>
        </w:rPr>
      </w:r>
      <w:r>
        <w:rPr>
          <w:noProof/>
        </w:rPr>
        <w:fldChar w:fldCharType="separate"/>
      </w:r>
      <w:r w:rsidR="00766D30">
        <w:rPr>
          <w:noProof/>
        </w:rPr>
        <w:t>389</w:t>
      </w:r>
      <w:r>
        <w:rPr>
          <w:noProof/>
        </w:rPr>
        <w:fldChar w:fldCharType="end"/>
      </w:r>
    </w:p>
    <w:p w14:paraId="365B3AE5" w14:textId="77777777" w:rsidR="00E25764" w:rsidRDefault="00E25764">
      <w:pPr>
        <w:pStyle w:val="TOC5"/>
        <w:rPr>
          <w:rFonts w:asciiTheme="minorHAnsi" w:eastAsiaTheme="minorEastAsia" w:hAnsiTheme="minorHAnsi" w:cstheme="minorBidi"/>
          <w:noProof/>
          <w:sz w:val="22"/>
          <w:szCs w:val="22"/>
          <w:lang w:eastAsia="en-AU"/>
        </w:rPr>
      </w:pPr>
      <w:r>
        <w:rPr>
          <w:noProof/>
        </w:rPr>
        <w:t>4.83  Application</w:t>
      </w:r>
      <w:r>
        <w:rPr>
          <w:noProof/>
        </w:rPr>
        <w:tab/>
      </w:r>
      <w:r>
        <w:rPr>
          <w:noProof/>
        </w:rPr>
        <w:fldChar w:fldCharType="begin"/>
      </w:r>
      <w:r>
        <w:rPr>
          <w:noProof/>
        </w:rPr>
        <w:instrText xml:space="preserve"> PAGEREF _Toc495653033 \h </w:instrText>
      </w:r>
      <w:r>
        <w:rPr>
          <w:noProof/>
        </w:rPr>
      </w:r>
      <w:r>
        <w:rPr>
          <w:noProof/>
        </w:rPr>
        <w:fldChar w:fldCharType="separate"/>
      </w:r>
      <w:r w:rsidR="00766D30">
        <w:rPr>
          <w:noProof/>
        </w:rPr>
        <w:t>389</w:t>
      </w:r>
      <w:r>
        <w:rPr>
          <w:noProof/>
        </w:rPr>
        <w:fldChar w:fldCharType="end"/>
      </w:r>
    </w:p>
    <w:p w14:paraId="64EF45B8"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4.4.4.1—Aluminium—emissions of tetrafluoromethane in aluminium production</w:t>
      </w:r>
      <w:r>
        <w:rPr>
          <w:noProof/>
        </w:rPr>
        <w:tab/>
      </w:r>
      <w:r>
        <w:rPr>
          <w:noProof/>
        </w:rPr>
        <w:fldChar w:fldCharType="begin"/>
      </w:r>
      <w:r>
        <w:rPr>
          <w:noProof/>
        </w:rPr>
        <w:instrText xml:space="preserve"> PAGEREF _Toc495653034 \h </w:instrText>
      </w:r>
      <w:r>
        <w:rPr>
          <w:noProof/>
        </w:rPr>
      </w:r>
      <w:r>
        <w:rPr>
          <w:noProof/>
        </w:rPr>
        <w:fldChar w:fldCharType="separate"/>
      </w:r>
      <w:r w:rsidR="00766D30">
        <w:rPr>
          <w:noProof/>
        </w:rPr>
        <w:t>389</w:t>
      </w:r>
      <w:r>
        <w:rPr>
          <w:noProof/>
        </w:rPr>
        <w:fldChar w:fldCharType="end"/>
      </w:r>
    </w:p>
    <w:p w14:paraId="4A529E93" w14:textId="77777777" w:rsidR="00E25764" w:rsidRDefault="00E25764">
      <w:pPr>
        <w:pStyle w:val="TOC5"/>
        <w:rPr>
          <w:rFonts w:asciiTheme="minorHAnsi" w:eastAsiaTheme="minorEastAsia" w:hAnsiTheme="minorHAnsi" w:cstheme="minorBidi"/>
          <w:noProof/>
          <w:sz w:val="22"/>
          <w:szCs w:val="22"/>
          <w:lang w:eastAsia="en-AU"/>
        </w:rPr>
      </w:pPr>
      <w:r>
        <w:rPr>
          <w:noProof/>
        </w:rPr>
        <w:t>4.84  Available methods</w:t>
      </w:r>
      <w:r>
        <w:rPr>
          <w:noProof/>
        </w:rPr>
        <w:tab/>
      </w:r>
      <w:r>
        <w:rPr>
          <w:noProof/>
        </w:rPr>
        <w:fldChar w:fldCharType="begin"/>
      </w:r>
      <w:r>
        <w:rPr>
          <w:noProof/>
        </w:rPr>
        <w:instrText xml:space="preserve"> PAGEREF _Toc495653035 \h </w:instrText>
      </w:r>
      <w:r>
        <w:rPr>
          <w:noProof/>
        </w:rPr>
      </w:r>
      <w:r>
        <w:rPr>
          <w:noProof/>
        </w:rPr>
        <w:fldChar w:fldCharType="separate"/>
      </w:r>
      <w:r w:rsidR="00766D30">
        <w:rPr>
          <w:noProof/>
        </w:rPr>
        <w:t>389</w:t>
      </w:r>
      <w:r>
        <w:rPr>
          <w:noProof/>
        </w:rPr>
        <w:fldChar w:fldCharType="end"/>
      </w:r>
    </w:p>
    <w:p w14:paraId="5E9A5B78" w14:textId="77777777" w:rsidR="00E25764" w:rsidRDefault="00E25764">
      <w:pPr>
        <w:pStyle w:val="TOC5"/>
        <w:rPr>
          <w:rFonts w:asciiTheme="minorHAnsi" w:eastAsiaTheme="minorEastAsia" w:hAnsiTheme="minorHAnsi" w:cstheme="minorBidi"/>
          <w:noProof/>
          <w:sz w:val="22"/>
          <w:szCs w:val="22"/>
          <w:lang w:eastAsia="en-AU"/>
        </w:rPr>
      </w:pPr>
      <w:r>
        <w:rPr>
          <w:noProof/>
        </w:rPr>
        <w:t>4.85  Method 1—aluminium (tetrafluoromethane)</w:t>
      </w:r>
      <w:r>
        <w:rPr>
          <w:noProof/>
        </w:rPr>
        <w:tab/>
      </w:r>
      <w:r>
        <w:rPr>
          <w:noProof/>
        </w:rPr>
        <w:fldChar w:fldCharType="begin"/>
      </w:r>
      <w:r>
        <w:rPr>
          <w:noProof/>
        </w:rPr>
        <w:instrText xml:space="preserve"> PAGEREF _Toc495653036 \h </w:instrText>
      </w:r>
      <w:r>
        <w:rPr>
          <w:noProof/>
        </w:rPr>
      </w:r>
      <w:r>
        <w:rPr>
          <w:noProof/>
        </w:rPr>
        <w:fldChar w:fldCharType="separate"/>
      </w:r>
      <w:r w:rsidR="00766D30">
        <w:rPr>
          <w:noProof/>
        </w:rPr>
        <w:t>389</w:t>
      </w:r>
      <w:r>
        <w:rPr>
          <w:noProof/>
        </w:rPr>
        <w:fldChar w:fldCharType="end"/>
      </w:r>
    </w:p>
    <w:p w14:paraId="62B40447" w14:textId="77777777" w:rsidR="00E25764" w:rsidRDefault="00E25764">
      <w:pPr>
        <w:pStyle w:val="TOC5"/>
        <w:rPr>
          <w:rFonts w:asciiTheme="minorHAnsi" w:eastAsiaTheme="minorEastAsia" w:hAnsiTheme="minorHAnsi" w:cstheme="minorBidi"/>
          <w:noProof/>
          <w:sz w:val="22"/>
          <w:szCs w:val="22"/>
          <w:lang w:eastAsia="en-AU"/>
        </w:rPr>
      </w:pPr>
      <w:r>
        <w:rPr>
          <w:noProof/>
        </w:rPr>
        <w:t>4.86  Method 2—aluminium (tetrafluoromethane)</w:t>
      </w:r>
      <w:r>
        <w:rPr>
          <w:noProof/>
        </w:rPr>
        <w:tab/>
      </w:r>
      <w:r>
        <w:rPr>
          <w:noProof/>
        </w:rPr>
        <w:fldChar w:fldCharType="begin"/>
      </w:r>
      <w:r>
        <w:rPr>
          <w:noProof/>
        </w:rPr>
        <w:instrText xml:space="preserve"> PAGEREF _Toc495653037 \h </w:instrText>
      </w:r>
      <w:r>
        <w:rPr>
          <w:noProof/>
        </w:rPr>
      </w:r>
      <w:r>
        <w:rPr>
          <w:noProof/>
        </w:rPr>
        <w:fldChar w:fldCharType="separate"/>
      </w:r>
      <w:r w:rsidR="00766D30">
        <w:rPr>
          <w:noProof/>
        </w:rPr>
        <w:t>390</w:t>
      </w:r>
      <w:r>
        <w:rPr>
          <w:noProof/>
        </w:rPr>
        <w:fldChar w:fldCharType="end"/>
      </w:r>
    </w:p>
    <w:p w14:paraId="2F14F109" w14:textId="77777777" w:rsidR="00E25764" w:rsidRDefault="00E25764">
      <w:pPr>
        <w:pStyle w:val="TOC5"/>
        <w:rPr>
          <w:rFonts w:asciiTheme="minorHAnsi" w:eastAsiaTheme="minorEastAsia" w:hAnsiTheme="minorHAnsi" w:cstheme="minorBidi"/>
          <w:noProof/>
          <w:sz w:val="22"/>
          <w:szCs w:val="22"/>
          <w:lang w:eastAsia="en-AU"/>
        </w:rPr>
      </w:pPr>
      <w:r>
        <w:rPr>
          <w:noProof/>
        </w:rPr>
        <w:t>4.87  Method 3—aluminium (tetrafluoromethane)</w:t>
      </w:r>
      <w:r>
        <w:rPr>
          <w:noProof/>
        </w:rPr>
        <w:tab/>
      </w:r>
      <w:r>
        <w:rPr>
          <w:noProof/>
        </w:rPr>
        <w:fldChar w:fldCharType="begin"/>
      </w:r>
      <w:r>
        <w:rPr>
          <w:noProof/>
        </w:rPr>
        <w:instrText xml:space="preserve"> PAGEREF _Toc495653038 \h </w:instrText>
      </w:r>
      <w:r>
        <w:rPr>
          <w:noProof/>
        </w:rPr>
      </w:r>
      <w:r>
        <w:rPr>
          <w:noProof/>
        </w:rPr>
        <w:fldChar w:fldCharType="separate"/>
      </w:r>
      <w:r w:rsidR="00766D30">
        <w:rPr>
          <w:noProof/>
        </w:rPr>
        <w:t>390</w:t>
      </w:r>
      <w:r>
        <w:rPr>
          <w:noProof/>
        </w:rPr>
        <w:fldChar w:fldCharType="end"/>
      </w:r>
    </w:p>
    <w:p w14:paraId="516FA68F"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4.4.4.2—Aluminium—emissions of hexafluoroethane in aluminium production</w:t>
      </w:r>
      <w:r>
        <w:rPr>
          <w:noProof/>
        </w:rPr>
        <w:tab/>
      </w:r>
      <w:r>
        <w:rPr>
          <w:noProof/>
        </w:rPr>
        <w:fldChar w:fldCharType="begin"/>
      </w:r>
      <w:r>
        <w:rPr>
          <w:noProof/>
        </w:rPr>
        <w:instrText xml:space="preserve"> PAGEREF _Toc495653039 \h </w:instrText>
      </w:r>
      <w:r>
        <w:rPr>
          <w:noProof/>
        </w:rPr>
      </w:r>
      <w:r>
        <w:rPr>
          <w:noProof/>
        </w:rPr>
        <w:fldChar w:fldCharType="separate"/>
      </w:r>
      <w:r w:rsidR="00766D30">
        <w:rPr>
          <w:noProof/>
        </w:rPr>
        <w:t>390</w:t>
      </w:r>
      <w:r>
        <w:rPr>
          <w:noProof/>
        </w:rPr>
        <w:fldChar w:fldCharType="end"/>
      </w:r>
    </w:p>
    <w:p w14:paraId="43558FF2" w14:textId="77777777" w:rsidR="00E25764" w:rsidRDefault="00E25764">
      <w:pPr>
        <w:pStyle w:val="TOC5"/>
        <w:rPr>
          <w:rFonts w:asciiTheme="minorHAnsi" w:eastAsiaTheme="minorEastAsia" w:hAnsiTheme="minorHAnsi" w:cstheme="minorBidi"/>
          <w:noProof/>
          <w:sz w:val="22"/>
          <w:szCs w:val="22"/>
          <w:lang w:eastAsia="en-AU"/>
        </w:rPr>
      </w:pPr>
      <w:r>
        <w:rPr>
          <w:noProof/>
        </w:rPr>
        <w:t>4.88  Available methods</w:t>
      </w:r>
      <w:r>
        <w:rPr>
          <w:noProof/>
        </w:rPr>
        <w:tab/>
      </w:r>
      <w:r>
        <w:rPr>
          <w:noProof/>
        </w:rPr>
        <w:fldChar w:fldCharType="begin"/>
      </w:r>
      <w:r>
        <w:rPr>
          <w:noProof/>
        </w:rPr>
        <w:instrText xml:space="preserve"> PAGEREF _Toc495653040 \h </w:instrText>
      </w:r>
      <w:r>
        <w:rPr>
          <w:noProof/>
        </w:rPr>
      </w:r>
      <w:r>
        <w:rPr>
          <w:noProof/>
        </w:rPr>
        <w:fldChar w:fldCharType="separate"/>
      </w:r>
      <w:r w:rsidR="00766D30">
        <w:rPr>
          <w:noProof/>
        </w:rPr>
        <w:t>390</w:t>
      </w:r>
      <w:r>
        <w:rPr>
          <w:noProof/>
        </w:rPr>
        <w:fldChar w:fldCharType="end"/>
      </w:r>
    </w:p>
    <w:p w14:paraId="44800224" w14:textId="77777777" w:rsidR="00E25764" w:rsidRDefault="00E25764">
      <w:pPr>
        <w:pStyle w:val="TOC5"/>
        <w:rPr>
          <w:rFonts w:asciiTheme="minorHAnsi" w:eastAsiaTheme="minorEastAsia" w:hAnsiTheme="minorHAnsi" w:cstheme="minorBidi"/>
          <w:noProof/>
          <w:sz w:val="22"/>
          <w:szCs w:val="22"/>
          <w:lang w:eastAsia="en-AU"/>
        </w:rPr>
      </w:pPr>
      <w:r>
        <w:rPr>
          <w:noProof/>
        </w:rPr>
        <w:t>4.89  Method 1—aluminium production (hexafluoroethane)</w:t>
      </w:r>
      <w:r>
        <w:rPr>
          <w:noProof/>
        </w:rPr>
        <w:tab/>
      </w:r>
      <w:r>
        <w:rPr>
          <w:noProof/>
        </w:rPr>
        <w:fldChar w:fldCharType="begin"/>
      </w:r>
      <w:r>
        <w:rPr>
          <w:noProof/>
        </w:rPr>
        <w:instrText xml:space="preserve"> PAGEREF _Toc495653041 \h </w:instrText>
      </w:r>
      <w:r>
        <w:rPr>
          <w:noProof/>
        </w:rPr>
      </w:r>
      <w:r>
        <w:rPr>
          <w:noProof/>
        </w:rPr>
        <w:fldChar w:fldCharType="separate"/>
      </w:r>
      <w:r w:rsidR="00766D30">
        <w:rPr>
          <w:noProof/>
        </w:rPr>
        <w:t>391</w:t>
      </w:r>
      <w:r>
        <w:rPr>
          <w:noProof/>
        </w:rPr>
        <w:fldChar w:fldCharType="end"/>
      </w:r>
    </w:p>
    <w:p w14:paraId="7DDF0700" w14:textId="77777777" w:rsidR="00E25764" w:rsidRDefault="00E25764">
      <w:pPr>
        <w:pStyle w:val="TOC5"/>
        <w:rPr>
          <w:rFonts w:asciiTheme="minorHAnsi" w:eastAsiaTheme="minorEastAsia" w:hAnsiTheme="minorHAnsi" w:cstheme="minorBidi"/>
          <w:noProof/>
          <w:sz w:val="22"/>
          <w:szCs w:val="22"/>
          <w:lang w:eastAsia="en-AU"/>
        </w:rPr>
      </w:pPr>
      <w:r>
        <w:rPr>
          <w:noProof/>
        </w:rPr>
        <w:t>4.90  Method 2—aluminium production (hexafluoroethane)</w:t>
      </w:r>
      <w:r>
        <w:rPr>
          <w:noProof/>
        </w:rPr>
        <w:tab/>
      </w:r>
      <w:r>
        <w:rPr>
          <w:noProof/>
        </w:rPr>
        <w:fldChar w:fldCharType="begin"/>
      </w:r>
      <w:r>
        <w:rPr>
          <w:noProof/>
        </w:rPr>
        <w:instrText xml:space="preserve"> PAGEREF _Toc495653042 \h </w:instrText>
      </w:r>
      <w:r>
        <w:rPr>
          <w:noProof/>
        </w:rPr>
      </w:r>
      <w:r>
        <w:rPr>
          <w:noProof/>
        </w:rPr>
        <w:fldChar w:fldCharType="separate"/>
      </w:r>
      <w:r w:rsidR="00766D30">
        <w:rPr>
          <w:noProof/>
        </w:rPr>
        <w:t>391</w:t>
      </w:r>
      <w:r>
        <w:rPr>
          <w:noProof/>
        </w:rPr>
        <w:fldChar w:fldCharType="end"/>
      </w:r>
    </w:p>
    <w:p w14:paraId="701C88BA" w14:textId="77777777" w:rsidR="00E25764" w:rsidRDefault="00E25764">
      <w:pPr>
        <w:pStyle w:val="TOC5"/>
        <w:rPr>
          <w:rFonts w:asciiTheme="minorHAnsi" w:eastAsiaTheme="minorEastAsia" w:hAnsiTheme="minorHAnsi" w:cstheme="minorBidi"/>
          <w:noProof/>
          <w:sz w:val="22"/>
          <w:szCs w:val="22"/>
          <w:lang w:eastAsia="en-AU"/>
        </w:rPr>
      </w:pPr>
      <w:r>
        <w:rPr>
          <w:noProof/>
        </w:rPr>
        <w:t>4.91  Method 3—aluminium production (hexafluoroethane)</w:t>
      </w:r>
      <w:r>
        <w:rPr>
          <w:noProof/>
        </w:rPr>
        <w:tab/>
      </w:r>
      <w:r>
        <w:rPr>
          <w:noProof/>
        </w:rPr>
        <w:fldChar w:fldCharType="begin"/>
      </w:r>
      <w:r>
        <w:rPr>
          <w:noProof/>
        </w:rPr>
        <w:instrText xml:space="preserve"> PAGEREF _Toc495653043 \h </w:instrText>
      </w:r>
      <w:r>
        <w:rPr>
          <w:noProof/>
        </w:rPr>
      </w:r>
      <w:r>
        <w:rPr>
          <w:noProof/>
        </w:rPr>
        <w:fldChar w:fldCharType="separate"/>
      </w:r>
      <w:r w:rsidR="00766D30">
        <w:rPr>
          <w:noProof/>
        </w:rPr>
        <w:t>391</w:t>
      </w:r>
      <w:r>
        <w:rPr>
          <w:noProof/>
        </w:rPr>
        <w:fldChar w:fldCharType="end"/>
      </w:r>
    </w:p>
    <w:p w14:paraId="11B63FFC"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4.4.5—Other metals production</w:t>
      </w:r>
      <w:r>
        <w:rPr>
          <w:noProof/>
        </w:rPr>
        <w:tab/>
      </w:r>
      <w:r>
        <w:rPr>
          <w:noProof/>
        </w:rPr>
        <w:fldChar w:fldCharType="begin"/>
      </w:r>
      <w:r>
        <w:rPr>
          <w:noProof/>
        </w:rPr>
        <w:instrText xml:space="preserve"> PAGEREF _Toc495653044 \h </w:instrText>
      </w:r>
      <w:r>
        <w:rPr>
          <w:noProof/>
        </w:rPr>
      </w:r>
      <w:r>
        <w:rPr>
          <w:noProof/>
        </w:rPr>
        <w:fldChar w:fldCharType="separate"/>
      </w:r>
      <w:r w:rsidR="00766D30">
        <w:rPr>
          <w:noProof/>
        </w:rPr>
        <w:t>392</w:t>
      </w:r>
      <w:r>
        <w:rPr>
          <w:noProof/>
        </w:rPr>
        <w:fldChar w:fldCharType="end"/>
      </w:r>
    </w:p>
    <w:p w14:paraId="17C15621" w14:textId="77777777" w:rsidR="00E25764" w:rsidRDefault="00E25764">
      <w:pPr>
        <w:pStyle w:val="TOC5"/>
        <w:rPr>
          <w:rFonts w:asciiTheme="minorHAnsi" w:eastAsiaTheme="minorEastAsia" w:hAnsiTheme="minorHAnsi" w:cstheme="minorBidi"/>
          <w:noProof/>
          <w:sz w:val="22"/>
          <w:szCs w:val="22"/>
          <w:lang w:eastAsia="en-AU"/>
        </w:rPr>
      </w:pPr>
      <w:r>
        <w:rPr>
          <w:noProof/>
        </w:rPr>
        <w:t>4.92  Application</w:t>
      </w:r>
      <w:r>
        <w:rPr>
          <w:noProof/>
        </w:rPr>
        <w:tab/>
      </w:r>
      <w:r>
        <w:rPr>
          <w:noProof/>
        </w:rPr>
        <w:fldChar w:fldCharType="begin"/>
      </w:r>
      <w:r>
        <w:rPr>
          <w:noProof/>
        </w:rPr>
        <w:instrText xml:space="preserve"> PAGEREF _Toc495653045 \h </w:instrText>
      </w:r>
      <w:r>
        <w:rPr>
          <w:noProof/>
        </w:rPr>
      </w:r>
      <w:r>
        <w:rPr>
          <w:noProof/>
        </w:rPr>
        <w:fldChar w:fldCharType="separate"/>
      </w:r>
      <w:r w:rsidR="00766D30">
        <w:rPr>
          <w:noProof/>
        </w:rPr>
        <w:t>392</w:t>
      </w:r>
      <w:r>
        <w:rPr>
          <w:noProof/>
        </w:rPr>
        <w:fldChar w:fldCharType="end"/>
      </w:r>
    </w:p>
    <w:p w14:paraId="6F11F093" w14:textId="77777777" w:rsidR="00E25764" w:rsidRDefault="00E25764">
      <w:pPr>
        <w:pStyle w:val="TOC5"/>
        <w:rPr>
          <w:rFonts w:asciiTheme="minorHAnsi" w:eastAsiaTheme="minorEastAsia" w:hAnsiTheme="minorHAnsi" w:cstheme="minorBidi"/>
          <w:noProof/>
          <w:sz w:val="22"/>
          <w:szCs w:val="22"/>
          <w:lang w:eastAsia="en-AU"/>
        </w:rPr>
      </w:pPr>
      <w:r>
        <w:rPr>
          <w:noProof/>
        </w:rPr>
        <w:t>4.93  Available methods</w:t>
      </w:r>
      <w:r>
        <w:rPr>
          <w:noProof/>
        </w:rPr>
        <w:tab/>
      </w:r>
      <w:r>
        <w:rPr>
          <w:noProof/>
        </w:rPr>
        <w:fldChar w:fldCharType="begin"/>
      </w:r>
      <w:r>
        <w:rPr>
          <w:noProof/>
        </w:rPr>
        <w:instrText xml:space="preserve"> PAGEREF _Toc495653046 \h </w:instrText>
      </w:r>
      <w:r>
        <w:rPr>
          <w:noProof/>
        </w:rPr>
      </w:r>
      <w:r>
        <w:rPr>
          <w:noProof/>
        </w:rPr>
        <w:fldChar w:fldCharType="separate"/>
      </w:r>
      <w:r w:rsidR="00766D30">
        <w:rPr>
          <w:noProof/>
        </w:rPr>
        <w:t>392</w:t>
      </w:r>
      <w:r>
        <w:rPr>
          <w:noProof/>
        </w:rPr>
        <w:fldChar w:fldCharType="end"/>
      </w:r>
    </w:p>
    <w:p w14:paraId="1E472746" w14:textId="77777777" w:rsidR="00E25764" w:rsidRDefault="00E25764">
      <w:pPr>
        <w:pStyle w:val="TOC5"/>
        <w:rPr>
          <w:rFonts w:asciiTheme="minorHAnsi" w:eastAsiaTheme="minorEastAsia" w:hAnsiTheme="minorHAnsi" w:cstheme="minorBidi"/>
          <w:noProof/>
          <w:sz w:val="22"/>
          <w:szCs w:val="22"/>
          <w:lang w:eastAsia="en-AU"/>
        </w:rPr>
      </w:pPr>
      <w:r>
        <w:rPr>
          <w:noProof/>
        </w:rPr>
        <w:lastRenderedPageBreak/>
        <w:t>4.94  Method 1—other metals</w:t>
      </w:r>
      <w:r>
        <w:rPr>
          <w:noProof/>
        </w:rPr>
        <w:tab/>
      </w:r>
      <w:r>
        <w:rPr>
          <w:noProof/>
        </w:rPr>
        <w:fldChar w:fldCharType="begin"/>
      </w:r>
      <w:r>
        <w:rPr>
          <w:noProof/>
        </w:rPr>
        <w:instrText xml:space="preserve"> PAGEREF _Toc495653047 \h </w:instrText>
      </w:r>
      <w:r>
        <w:rPr>
          <w:noProof/>
        </w:rPr>
      </w:r>
      <w:r>
        <w:rPr>
          <w:noProof/>
        </w:rPr>
        <w:fldChar w:fldCharType="separate"/>
      </w:r>
      <w:r w:rsidR="00766D30">
        <w:rPr>
          <w:noProof/>
        </w:rPr>
        <w:t>393</w:t>
      </w:r>
      <w:r>
        <w:rPr>
          <w:noProof/>
        </w:rPr>
        <w:fldChar w:fldCharType="end"/>
      </w:r>
    </w:p>
    <w:p w14:paraId="2ABA6340" w14:textId="77777777" w:rsidR="00E25764" w:rsidRDefault="00E25764">
      <w:pPr>
        <w:pStyle w:val="TOC5"/>
        <w:rPr>
          <w:rFonts w:asciiTheme="minorHAnsi" w:eastAsiaTheme="minorEastAsia" w:hAnsiTheme="minorHAnsi" w:cstheme="minorBidi"/>
          <w:noProof/>
          <w:sz w:val="22"/>
          <w:szCs w:val="22"/>
          <w:lang w:eastAsia="en-AU"/>
        </w:rPr>
      </w:pPr>
      <w:r>
        <w:rPr>
          <w:noProof/>
        </w:rPr>
        <w:t>4.95  Method 2—other metals</w:t>
      </w:r>
      <w:r>
        <w:rPr>
          <w:noProof/>
        </w:rPr>
        <w:tab/>
      </w:r>
      <w:r>
        <w:rPr>
          <w:noProof/>
        </w:rPr>
        <w:fldChar w:fldCharType="begin"/>
      </w:r>
      <w:r>
        <w:rPr>
          <w:noProof/>
        </w:rPr>
        <w:instrText xml:space="preserve"> PAGEREF _Toc495653048 \h </w:instrText>
      </w:r>
      <w:r>
        <w:rPr>
          <w:noProof/>
        </w:rPr>
      </w:r>
      <w:r>
        <w:rPr>
          <w:noProof/>
        </w:rPr>
        <w:fldChar w:fldCharType="separate"/>
      </w:r>
      <w:r w:rsidR="00766D30">
        <w:rPr>
          <w:noProof/>
        </w:rPr>
        <w:t>395</w:t>
      </w:r>
      <w:r>
        <w:rPr>
          <w:noProof/>
        </w:rPr>
        <w:fldChar w:fldCharType="end"/>
      </w:r>
    </w:p>
    <w:p w14:paraId="4B7E5847" w14:textId="77777777" w:rsidR="00E25764" w:rsidRDefault="00E25764">
      <w:pPr>
        <w:pStyle w:val="TOC5"/>
        <w:rPr>
          <w:rFonts w:asciiTheme="minorHAnsi" w:eastAsiaTheme="minorEastAsia" w:hAnsiTheme="minorHAnsi" w:cstheme="minorBidi"/>
          <w:noProof/>
          <w:sz w:val="22"/>
          <w:szCs w:val="22"/>
          <w:lang w:eastAsia="en-AU"/>
        </w:rPr>
      </w:pPr>
      <w:r>
        <w:rPr>
          <w:noProof/>
        </w:rPr>
        <w:t>4.96  Method 3—other metals</w:t>
      </w:r>
      <w:r>
        <w:rPr>
          <w:noProof/>
        </w:rPr>
        <w:tab/>
      </w:r>
      <w:r>
        <w:rPr>
          <w:noProof/>
        </w:rPr>
        <w:fldChar w:fldCharType="begin"/>
      </w:r>
      <w:r>
        <w:rPr>
          <w:noProof/>
        </w:rPr>
        <w:instrText xml:space="preserve"> PAGEREF _Toc495653049 \h </w:instrText>
      </w:r>
      <w:r>
        <w:rPr>
          <w:noProof/>
        </w:rPr>
      </w:r>
      <w:r>
        <w:rPr>
          <w:noProof/>
        </w:rPr>
        <w:fldChar w:fldCharType="separate"/>
      </w:r>
      <w:r w:rsidR="00766D30">
        <w:rPr>
          <w:noProof/>
        </w:rPr>
        <w:t>396</w:t>
      </w:r>
      <w:r>
        <w:rPr>
          <w:noProof/>
        </w:rPr>
        <w:fldChar w:fldCharType="end"/>
      </w:r>
    </w:p>
    <w:p w14:paraId="490D8751" w14:textId="77777777" w:rsidR="00E25764" w:rsidRDefault="00E25764">
      <w:pPr>
        <w:pStyle w:val="TOC2"/>
        <w:rPr>
          <w:rFonts w:asciiTheme="minorHAnsi" w:eastAsiaTheme="minorEastAsia" w:hAnsiTheme="minorHAnsi" w:cstheme="minorBidi"/>
          <w:b w:val="0"/>
          <w:sz w:val="22"/>
          <w:szCs w:val="22"/>
          <w:lang w:eastAsia="en-AU"/>
        </w:rPr>
      </w:pPr>
      <w:r>
        <w:t>Part 4.5—Industrial processes—emissions of hydrofluorocarbons and sulphur hexafluoride gases</w:t>
      </w:r>
      <w:r>
        <w:tab/>
      </w:r>
      <w:r>
        <w:fldChar w:fldCharType="begin"/>
      </w:r>
      <w:r>
        <w:instrText xml:space="preserve"> PAGEREF _Toc495653050 \h </w:instrText>
      </w:r>
      <w:r>
        <w:fldChar w:fldCharType="separate"/>
      </w:r>
      <w:r w:rsidR="00766D30">
        <w:t>398</w:t>
      </w:r>
      <w:r>
        <w:fldChar w:fldCharType="end"/>
      </w:r>
    </w:p>
    <w:p w14:paraId="270CFB01" w14:textId="77777777" w:rsidR="00E25764" w:rsidRDefault="00E25764">
      <w:pPr>
        <w:pStyle w:val="TOC5"/>
        <w:rPr>
          <w:rFonts w:asciiTheme="minorHAnsi" w:eastAsiaTheme="minorEastAsia" w:hAnsiTheme="minorHAnsi" w:cstheme="minorBidi"/>
          <w:noProof/>
          <w:sz w:val="22"/>
          <w:szCs w:val="22"/>
          <w:lang w:eastAsia="en-AU"/>
        </w:rPr>
      </w:pPr>
      <w:r>
        <w:rPr>
          <w:noProof/>
        </w:rPr>
        <w:t>4.97  Application</w:t>
      </w:r>
      <w:r>
        <w:rPr>
          <w:noProof/>
        </w:rPr>
        <w:tab/>
      </w:r>
      <w:r>
        <w:rPr>
          <w:noProof/>
        </w:rPr>
        <w:fldChar w:fldCharType="begin"/>
      </w:r>
      <w:r>
        <w:rPr>
          <w:noProof/>
        </w:rPr>
        <w:instrText xml:space="preserve"> PAGEREF _Toc495653051 \h </w:instrText>
      </w:r>
      <w:r>
        <w:rPr>
          <w:noProof/>
        </w:rPr>
      </w:r>
      <w:r>
        <w:rPr>
          <w:noProof/>
        </w:rPr>
        <w:fldChar w:fldCharType="separate"/>
      </w:r>
      <w:r w:rsidR="00766D30">
        <w:rPr>
          <w:noProof/>
        </w:rPr>
        <w:t>398</w:t>
      </w:r>
      <w:r>
        <w:rPr>
          <w:noProof/>
        </w:rPr>
        <w:fldChar w:fldCharType="end"/>
      </w:r>
    </w:p>
    <w:p w14:paraId="38062144" w14:textId="77777777" w:rsidR="00E25764" w:rsidRDefault="00E25764">
      <w:pPr>
        <w:pStyle w:val="TOC5"/>
        <w:rPr>
          <w:rFonts w:asciiTheme="minorHAnsi" w:eastAsiaTheme="minorEastAsia" w:hAnsiTheme="minorHAnsi" w:cstheme="minorBidi"/>
          <w:noProof/>
          <w:sz w:val="22"/>
          <w:szCs w:val="22"/>
          <w:lang w:eastAsia="en-AU"/>
        </w:rPr>
      </w:pPr>
      <w:r>
        <w:rPr>
          <w:noProof/>
        </w:rPr>
        <w:t>4.98  Available method</w:t>
      </w:r>
      <w:r>
        <w:rPr>
          <w:noProof/>
        </w:rPr>
        <w:tab/>
      </w:r>
      <w:r>
        <w:rPr>
          <w:noProof/>
        </w:rPr>
        <w:fldChar w:fldCharType="begin"/>
      </w:r>
      <w:r>
        <w:rPr>
          <w:noProof/>
        </w:rPr>
        <w:instrText xml:space="preserve"> PAGEREF _Toc495653052 \h </w:instrText>
      </w:r>
      <w:r>
        <w:rPr>
          <w:noProof/>
        </w:rPr>
      </w:r>
      <w:r>
        <w:rPr>
          <w:noProof/>
        </w:rPr>
        <w:fldChar w:fldCharType="separate"/>
      </w:r>
      <w:r w:rsidR="00766D30">
        <w:rPr>
          <w:noProof/>
        </w:rPr>
        <w:t>398</w:t>
      </w:r>
      <w:r>
        <w:rPr>
          <w:noProof/>
        </w:rPr>
        <w:fldChar w:fldCharType="end"/>
      </w:r>
    </w:p>
    <w:p w14:paraId="5E37079E" w14:textId="77777777" w:rsidR="00E25764" w:rsidRDefault="00E25764">
      <w:pPr>
        <w:pStyle w:val="TOC5"/>
        <w:rPr>
          <w:rFonts w:asciiTheme="minorHAnsi" w:eastAsiaTheme="minorEastAsia" w:hAnsiTheme="minorHAnsi" w:cstheme="minorBidi"/>
          <w:noProof/>
          <w:sz w:val="22"/>
          <w:szCs w:val="22"/>
          <w:lang w:eastAsia="en-AU"/>
        </w:rPr>
      </w:pPr>
      <w:r>
        <w:rPr>
          <w:noProof/>
        </w:rPr>
        <w:t xml:space="preserve">4.99  Meaning of </w:t>
      </w:r>
      <w:r w:rsidRPr="00EF3CB8">
        <w:rPr>
          <w:i/>
          <w:noProof/>
        </w:rPr>
        <w:t>hydrofluorocarbons</w:t>
      </w:r>
      <w:r>
        <w:rPr>
          <w:noProof/>
        </w:rPr>
        <w:tab/>
      </w:r>
      <w:r>
        <w:rPr>
          <w:noProof/>
        </w:rPr>
        <w:fldChar w:fldCharType="begin"/>
      </w:r>
      <w:r>
        <w:rPr>
          <w:noProof/>
        </w:rPr>
        <w:instrText xml:space="preserve"> PAGEREF _Toc495653053 \h </w:instrText>
      </w:r>
      <w:r>
        <w:rPr>
          <w:noProof/>
        </w:rPr>
      </w:r>
      <w:r>
        <w:rPr>
          <w:noProof/>
        </w:rPr>
        <w:fldChar w:fldCharType="separate"/>
      </w:r>
      <w:r w:rsidR="00766D30">
        <w:rPr>
          <w:noProof/>
        </w:rPr>
        <w:t>398</w:t>
      </w:r>
      <w:r>
        <w:rPr>
          <w:noProof/>
        </w:rPr>
        <w:fldChar w:fldCharType="end"/>
      </w:r>
    </w:p>
    <w:p w14:paraId="002C110B" w14:textId="77777777" w:rsidR="00E25764" w:rsidRDefault="00E25764">
      <w:pPr>
        <w:pStyle w:val="TOC5"/>
        <w:rPr>
          <w:rFonts w:asciiTheme="minorHAnsi" w:eastAsiaTheme="minorEastAsia" w:hAnsiTheme="minorHAnsi" w:cstheme="minorBidi"/>
          <w:noProof/>
          <w:sz w:val="22"/>
          <w:szCs w:val="22"/>
          <w:lang w:eastAsia="en-AU"/>
        </w:rPr>
      </w:pPr>
      <w:r>
        <w:rPr>
          <w:noProof/>
        </w:rPr>
        <w:t xml:space="preserve">4.100  Meaning of </w:t>
      </w:r>
      <w:r w:rsidRPr="00EF3CB8">
        <w:rPr>
          <w:i/>
          <w:noProof/>
        </w:rPr>
        <w:t>synthetic gas generating activities</w:t>
      </w:r>
      <w:r>
        <w:rPr>
          <w:noProof/>
        </w:rPr>
        <w:tab/>
      </w:r>
      <w:r>
        <w:rPr>
          <w:noProof/>
        </w:rPr>
        <w:fldChar w:fldCharType="begin"/>
      </w:r>
      <w:r>
        <w:rPr>
          <w:noProof/>
        </w:rPr>
        <w:instrText xml:space="preserve"> PAGEREF _Toc495653054 \h </w:instrText>
      </w:r>
      <w:r>
        <w:rPr>
          <w:noProof/>
        </w:rPr>
      </w:r>
      <w:r>
        <w:rPr>
          <w:noProof/>
        </w:rPr>
        <w:fldChar w:fldCharType="separate"/>
      </w:r>
      <w:r w:rsidR="00766D30">
        <w:rPr>
          <w:noProof/>
        </w:rPr>
        <w:t>398</w:t>
      </w:r>
      <w:r>
        <w:rPr>
          <w:noProof/>
        </w:rPr>
        <w:fldChar w:fldCharType="end"/>
      </w:r>
    </w:p>
    <w:p w14:paraId="359681E7" w14:textId="77777777" w:rsidR="00E25764" w:rsidRDefault="00E25764">
      <w:pPr>
        <w:pStyle w:val="TOC5"/>
        <w:rPr>
          <w:rFonts w:asciiTheme="minorHAnsi" w:eastAsiaTheme="minorEastAsia" w:hAnsiTheme="minorHAnsi" w:cstheme="minorBidi"/>
          <w:noProof/>
          <w:sz w:val="22"/>
          <w:szCs w:val="22"/>
          <w:lang w:eastAsia="en-AU"/>
        </w:rPr>
      </w:pPr>
      <w:r>
        <w:rPr>
          <w:noProof/>
        </w:rPr>
        <w:t>4.101  Reporting threshold</w:t>
      </w:r>
      <w:r>
        <w:rPr>
          <w:noProof/>
        </w:rPr>
        <w:tab/>
      </w:r>
      <w:r>
        <w:rPr>
          <w:noProof/>
        </w:rPr>
        <w:fldChar w:fldCharType="begin"/>
      </w:r>
      <w:r>
        <w:rPr>
          <w:noProof/>
        </w:rPr>
        <w:instrText xml:space="preserve"> PAGEREF _Toc495653055 \h </w:instrText>
      </w:r>
      <w:r>
        <w:rPr>
          <w:noProof/>
        </w:rPr>
      </w:r>
      <w:r>
        <w:rPr>
          <w:noProof/>
        </w:rPr>
        <w:fldChar w:fldCharType="separate"/>
      </w:r>
      <w:r w:rsidR="00766D30">
        <w:rPr>
          <w:noProof/>
        </w:rPr>
        <w:t>401</w:t>
      </w:r>
      <w:r>
        <w:rPr>
          <w:noProof/>
        </w:rPr>
        <w:fldChar w:fldCharType="end"/>
      </w:r>
    </w:p>
    <w:p w14:paraId="6A024984" w14:textId="77777777" w:rsidR="00E25764" w:rsidRDefault="00E25764">
      <w:pPr>
        <w:pStyle w:val="TOC5"/>
        <w:rPr>
          <w:rFonts w:asciiTheme="minorHAnsi" w:eastAsiaTheme="minorEastAsia" w:hAnsiTheme="minorHAnsi" w:cstheme="minorBidi"/>
          <w:noProof/>
          <w:sz w:val="22"/>
          <w:szCs w:val="22"/>
          <w:lang w:eastAsia="en-AU"/>
        </w:rPr>
      </w:pPr>
      <w:r>
        <w:rPr>
          <w:noProof/>
        </w:rPr>
        <w:t>4.102  Method 1</w:t>
      </w:r>
      <w:r>
        <w:rPr>
          <w:noProof/>
        </w:rPr>
        <w:tab/>
      </w:r>
      <w:r>
        <w:rPr>
          <w:noProof/>
        </w:rPr>
        <w:fldChar w:fldCharType="begin"/>
      </w:r>
      <w:r>
        <w:rPr>
          <w:noProof/>
        </w:rPr>
        <w:instrText xml:space="preserve"> PAGEREF _Toc495653056 \h </w:instrText>
      </w:r>
      <w:r>
        <w:rPr>
          <w:noProof/>
        </w:rPr>
      </w:r>
      <w:r>
        <w:rPr>
          <w:noProof/>
        </w:rPr>
        <w:fldChar w:fldCharType="separate"/>
      </w:r>
      <w:r w:rsidR="00766D30">
        <w:rPr>
          <w:noProof/>
        </w:rPr>
        <w:t>401</w:t>
      </w:r>
      <w:r>
        <w:rPr>
          <w:noProof/>
        </w:rPr>
        <w:fldChar w:fldCharType="end"/>
      </w:r>
    </w:p>
    <w:p w14:paraId="74CB49EE" w14:textId="77777777" w:rsidR="00E25764" w:rsidRDefault="00E25764">
      <w:pPr>
        <w:pStyle w:val="TOC5"/>
        <w:rPr>
          <w:rFonts w:asciiTheme="minorHAnsi" w:eastAsiaTheme="minorEastAsia" w:hAnsiTheme="minorHAnsi" w:cstheme="minorBidi"/>
          <w:noProof/>
          <w:sz w:val="22"/>
          <w:szCs w:val="22"/>
          <w:lang w:eastAsia="en-AU"/>
        </w:rPr>
      </w:pPr>
      <w:r>
        <w:rPr>
          <w:noProof/>
        </w:rPr>
        <w:t>4.103  Method 2</w:t>
      </w:r>
      <w:r>
        <w:rPr>
          <w:noProof/>
        </w:rPr>
        <w:tab/>
      </w:r>
      <w:r>
        <w:rPr>
          <w:noProof/>
        </w:rPr>
        <w:fldChar w:fldCharType="begin"/>
      </w:r>
      <w:r>
        <w:rPr>
          <w:noProof/>
        </w:rPr>
        <w:instrText xml:space="preserve"> PAGEREF _Toc495653057 \h </w:instrText>
      </w:r>
      <w:r>
        <w:rPr>
          <w:noProof/>
        </w:rPr>
      </w:r>
      <w:r>
        <w:rPr>
          <w:noProof/>
        </w:rPr>
        <w:fldChar w:fldCharType="separate"/>
      </w:r>
      <w:r w:rsidR="00766D30">
        <w:rPr>
          <w:noProof/>
        </w:rPr>
        <w:t>403</w:t>
      </w:r>
      <w:r>
        <w:rPr>
          <w:noProof/>
        </w:rPr>
        <w:fldChar w:fldCharType="end"/>
      </w:r>
    </w:p>
    <w:p w14:paraId="35E02EC4" w14:textId="77777777" w:rsidR="00E25764" w:rsidRDefault="00E25764">
      <w:pPr>
        <w:pStyle w:val="TOC5"/>
        <w:rPr>
          <w:rFonts w:asciiTheme="minorHAnsi" w:eastAsiaTheme="minorEastAsia" w:hAnsiTheme="minorHAnsi" w:cstheme="minorBidi"/>
          <w:noProof/>
          <w:sz w:val="22"/>
          <w:szCs w:val="22"/>
          <w:lang w:eastAsia="en-AU"/>
        </w:rPr>
      </w:pPr>
      <w:r>
        <w:rPr>
          <w:noProof/>
        </w:rPr>
        <w:t>4.104  Method 3</w:t>
      </w:r>
      <w:r>
        <w:rPr>
          <w:noProof/>
        </w:rPr>
        <w:tab/>
      </w:r>
      <w:r>
        <w:rPr>
          <w:noProof/>
        </w:rPr>
        <w:fldChar w:fldCharType="begin"/>
      </w:r>
      <w:r>
        <w:rPr>
          <w:noProof/>
        </w:rPr>
        <w:instrText xml:space="preserve"> PAGEREF _Toc495653058 \h </w:instrText>
      </w:r>
      <w:r>
        <w:rPr>
          <w:noProof/>
        </w:rPr>
      </w:r>
      <w:r>
        <w:rPr>
          <w:noProof/>
        </w:rPr>
        <w:fldChar w:fldCharType="separate"/>
      </w:r>
      <w:r w:rsidR="00766D30">
        <w:rPr>
          <w:noProof/>
        </w:rPr>
        <w:t>404</w:t>
      </w:r>
      <w:r>
        <w:rPr>
          <w:noProof/>
        </w:rPr>
        <w:fldChar w:fldCharType="end"/>
      </w:r>
    </w:p>
    <w:p w14:paraId="746EE00E" w14:textId="77777777" w:rsidR="00E25764" w:rsidRDefault="00E25764">
      <w:pPr>
        <w:pStyle w:val="TOC1"/>
        <w:rPr>
          <w:rFonts w:asciiTheme="minorHAnsi" w:eastAsiaTheme="minorEastAsia" w:hAnsiTheme="minorHAnsi" w:cstheme="minorBidi"/>
          <w:b w:val="0"/>
          <w:noProof/>
          <w:sz w:val="22"/>
          <w:szCs w:val="22"/>
          <w:lang w:eastAsia="en-AU"/>
        </w:rPr>
      </w:pPr>
      <w:r>
        <w:rPr>
          <w:noProof/>
        </w:rPr>
        <w:t>Chapter 5—Waste</w:t>
      </w:r>
      <w:r>
        <w:rPr>
          <w:noProof/>
        </w:rPr>
        <w:tab/>
      </w:r>
      <w:r>
        <w:rPr>
          <w:noProof/>
        </w:rPr>
        <w:fldChar w:fldCharType="begin"/>
      </w:r>
      <w:r>
        <w:rPr>
          <w:noProof/>
        </w:rPr>
        <w:instrText xml:space="preserve"> PAGEREF _Toc495653059 \h </w:instrText>
      </w:r>
      <w:r>
        <w:rPr>
          <w:noProof/>
        </w:rPr>
      </w:r>
      <w:r>
        <w:rPr>
          <w:noProof/>
        </w:rPr>
        <w:fldChar w:fldCharType="separate"/>
      </w:r>
      <w:r w:rsidR="00766D30">
        <w:rPr>
          <w:noProof/>
        </w:rPr>
        <w:t>406</w:t>
      </w:r>
      <w:r>
        <w:rPr>
          <w:noProof/>
        </w:rPr>
        <w:fldChar w:fldCharType="end"/>
      </w:r>
    </w:p>
    <w:p w14:paraId="5C966488" w14:textId="77777777" w:rsidR="00E25764" w:rsidRDefault="00E25764">
      <w:pPr>
        <w:pStyle w:val="TOC2"/>
        <w:rPr>
          <w:rFonts w:asciiTheme="minorHAnsi" w:eastAsiaTheme="minorEastAsia" w:hAnsiTheme="minorHAnsi" w:cstheme="minorBidi"/>
          <w:b w:val="0"/>
          <w:sz w:val="22"/>
          <w:szCs w:val="22"/>
          <w:lang w:eastAsia="en-AU"/>
        </w:rPr>
      </w:pPr>
      <w:r>
        <w:t>Part 5.1—Preliminary</w:t>
      </w:r>
      <w:r>
        <w:tab/>
      </w:r>
      <w:r>
        <w:fldChar w:fldCharType="begin"/>
      </w:r>
      <w:r>
        <w:instrText xml:space="preserve"> PAGEREF _Toc495653060 \h </w:instrText>
      </w:r>
      <w:r>
        <w:fldChar w:fldCharType="separate"/>
      </w:r>
      <w:r w:rsidR="00766D30">
        <w:t>406</w:t>
      </w:r>
      <w:r>
        <w:fldChar w:fldCharType="end"/>
      </w:r>
    </w:p>
    <w:p w14:paraId="109BA188" w14:textId="77777777" w:rsidR="00E25764" w:rsidRDefault="00E25764">
      <w:pPr>
        <w:pStyle w:val="TOC5"/>
        <w:rPr>
          <w:rFonts w:asciiTheme="minorHAnsi" w:eastAsiaTheme="minorEastAsia" w:hAnsiTheme="minorHAnsi" w:cstheme="minorBidi"/>
          <w:noProof/>
          <w:sz w:val="22"/>
          <w:szCs w:val="22"/>
          <w:lang w:eastAsia="en-AU"/>
        </w:rPr>
      </w:pPr>
      <w:r>
        <w:rPr>
          <w:noProof/>
        </w:rPr>
        <w:t>5.1  Outline of Chapter</w:t>
      </w:r>
      <w:r>
        <w:rPr>
          <w:noProof/>
        </w:rPr>
        <w:tab/>
      </w:r>
      <w:r>
        <w:rPr>
          <w:noProof/>
        </w:rPr>
        <w:fldChar w:fldCharType="begin"/>
      </w:r>
      <w:r>
        <w:rPr>
          <w:noProof/>
        </w:rPr>
        <w:instrText xml:space="preserve"> PAGEREF _Toc495653061 \h </w:instrText>
      </w:r>
      <w:r>
        <w:rPr>
          <w:noProof/>
        </w:rPr>
      </w:r>
      <w:r>
        <w:rPr>
          <w:noProof/>
        </w:rPr>
        <w:fldChar w:fldCharType="separate"/>
      </w:r>
      <w:r w:rsidR="00766D30">
        <w:rPr>
          <w:noProof/>
        </w:rPr>
        <w:t>406</w:t>
      </w:r>
      <w:r>
        <w:rPr>
          <w:noProof/>
        </w:rPr>
        <w:fldChar w:fldCharType="end"/>
      </w:r>
    </w:p>
    <w:p w14:paraId="3D909601" w14:textId="77777777" w:rsidR="00E25764" w:rsidRDefault="00E25764">
      <w:pPr>
        <w:pStyle w:val="TOC2"/>
        <w:rPr>
          <w:rFonts w:asciiTheme="minorHAnsi" w:eastAsiaTheme="minorEastAsia" w:hAnsiTheme="minorHAnsi" w:cstheme="minorBidi"/>
          <w:b w:val="0"/>
          <w:sz w:val="22"/>
          <w:szCs w:val="22"/>
          <w:lang w:eastAsia="en-AU"/>
        </w:rPr>
      </w:pPr>
      <w:r>
        <w:t>Part 5.2—Solid waste disposal on land</w:t>
      </w:r>
      <w:r>
        <w:tab/>
      </w:r>
      <w:r>
        <w:fldChar w:fldCharType="begin"/>
      </w:r>
      <w:r>
        <w:instrText xml:space="preserve"> PAGEREF _Toc495653062 \h </w:instrText>
      </w:r>
      <w:r>
        <w:fldChar w:fldCharType="separate"/>
      </w:r>
      <w:r w:rsidR="00766D30">
        <w:t>407</w:t>
      </w:r>
      <w:r>
        <w:fldChar w:fldCharType="end"/>
      </w:r>
    </w:p>
    <w:p w14:paraId="6ED775A8"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5.2.1—Preliminary</w:t>
      </w:r>
      <w:r>
        <w:rPr>
          <w:noProof/>
        </w:rPr>
        <w:tab/>
      </w:r>
      <w:r>
        <w:rPr>
          <w:noProof/>
        </w:rPr>
        <w:fldChar w:fldCharType="begin"/>
      </w:r>
      <w:r>
        <w:rPr>
          <w:noProof/>
        </w:rPr>
        <w:instrText xml:space="preserve"> PAGEREF _Toc495653063 \h </w:instrText>
      </w:r>
      <w:r>
        <w:rPr>
          <w:noProof/>
        </w:rPr>
      </w:r>
      <w:r>
        <w:rPr>
          <w:noProof/>
        </w:rPr>
        <w:fldChar w:fldCharType="separate"/>
      </w:r>
      <w:r w:rsidR="00766D30">
        <w:rPr>
          <w:noProof/>
        </w:rPr>
        <w:t>407</w:t>
      </w:r>
      <w:r>
        <w:rPr>
          <w:noProof/>
        </w:rPr>
        <w:fldChar w:fldCharType="end"/>
      </w:r>
    </w:p>
    <w:p w14:paraId="5AC9B14E" w14:textId="77777777" w:rsidR="00E25764" w:rsidRDefault="00E25764">
      <w:pPr>
        <w:pStyle w:val="TOC5"/>
        <w:rPr>
          <w:rFonts w:asciiTheme="minorHAnsi" w:eastAsiaTheme="minorEastAsia" w:hAnsiTheme="minorHAnsi" w:cstheme="minorBidi"/>
          <w:noProof/>
          <w:sz w:val="22"/>
          <w:szCs w:val="22"/>
          <w:lang w:eastAsia="en-AU"/>
        </w:rPr>
      </w:pPr>
      <w:r>
        <w:rPr>
          <w:noProof/>
        </w:rPr>
        <w:t>5.2  Application</w:t>
      </w:r>
      <w:r>
        <w:rPr>
          <w:noProof/>
        </w:rPr>
        <w:tab/>
      </w:r>
      <w:r>
        <w:rPr>
          <w:noProof/>
        </w:rPr>
        <w:fldChar w:fldCharType="begin"/>
      </w:r>
      <w:r>
        <w:rPr>
          <w:noProof/>
        </w:rPr>
        <w:instrText xml:space="preserve"> PAGEREF _Toc495653064 \h </w:instrText>
      </w:r>
      <w:r>
        <w:rPr>
          <w:noProof/>
        </w:rPr>
      </w:r>
      <w:r>
        <w:rPr>
          <w:noProof/>
        </w:rPr>
        <w:fldChar w:fldCharType="separate"/>
      </w:r>
      <w:r w:rsidR="00766D30">
        <w:rPr>
          <w:noProof/>
        </w:rPr>
        <w:t>407</w:t>
      </w:r>
      <w:r>
        <w:rPr>
          <w:noProof/>
        </w:rPr>
        <w:fldChar w:fldCharType="end"/>
      </w:r>
    </w:p>
    <w:p w14:paraId="06A3E02C" w14:textId="77777777" w:rsidR="00E25764" w:rsidRDefault="00E25764">
      <w:pPr>
        <w:pStyle w:val="TOC5"/>
        <w:rPr>
          <w:rFonts w:asciiTheme="minorHAnsi" w:eastAsiaTheme="minorEastAsia" w:hAnsiTheme="minorHAnsi" w:cstheme="minorBidi"/>
          <w:noProof/>
          <w:sz w:val="22"/>
          <w:szCs w:val="22"/>
          <w:lang w:eastAsia="en-AU"/>
        </w:rPr>
      </w:pPr>
      <w:r>
        <w:rPr>
          <w:noProof/>
        </w:rPr>
        <w:t>5.3  Available methods</w:t>
      </w:r>
      <w:r>
        <w:rPr>
          <w:noProof/>
        </w:rPr>
        <w:tab/>
      </w:r>
      <w:r>
        <w:rPr>
          <w:noProof/>
        </w:rPr>
        <w:fldChar w:fldCharType="begin"/>
      </w:r>
      <w:r>
        <w:rPr>
          <w:noProof/>
        </w:rPr>
        <w:instrText xml:space="preserve"> PAGEREF _Toc495653065 \h </w:instrText>
      </w:r>
      <w:r>
        <w:rPr>
          <w:noProof/>
        </w:rPr>
      </w:r>
      <w:r>
        <w:rPr>
          <w:noProof/>
        </w:rPr>
        <w:fldChar w:fldCharType="separate"/>
      </w:r>
      <w:r w:rsidR="00766D30">
        <w:rPr>
          <w:noProof/>
        </w:rPr>
        <w:t>407</w:t>
      </w:r>
      <w:r>
        <w:rPr>
          <w:noProof/>
        </w:rPr>
        <w:fldChar w:fldCharType="end"/>
      </w:r>
    </w:p>
    <w:p w14:paraId="57DB9B80" w14:textId="77777777" w:rsidR="00E25764" w:rsidRDefault="00E25764">
      <w:pPr>
        <w:pStyle w:val="TOC5"/>
        <w:rPr>
          <w:rFonts w:asciiTheme="minorHAnsi" w:eastAsiaTheme="minorEastAsia" w:hAnsiTheme="minorHAnsi" w:cstheme="minorBidi"/>
          <w:noProof/>
          <w:sz w:val="22"/>
          <w:szCs w:val="22"/>
          <w:lang w:eastAsia="en-AU"/>
        </w:rPr>
      </w:pPr>
      <w:r>
        <w:rPr>
          <w:noProof/>
        </w:rPr>
        <w:t>5.4  Method 1—methane released from landfills (other than from flaring of methane)</w:t>
      </w:r>
      <w:r>
        <w:rPr>
          <w:noProof/>
        </w:rPr>
        <w:tab/>
      </w:r>
      <w:r>
        <w:rPr>
          <w:noProof/>
        </w:rPr>
        <w:fldChar w:fldCharType="begin"/>
      </w:r>
      <w:r>
        <w:rPr>
          <w:noProof/>
        </w:rPr>
        <w:instrText xml:space="preserve"> PAGEREF _Toc495653066 \h </w:instrText>
      </w:r>
      <w:r>
        <w:rPr>
          <w:noProof/>
        </w:rPr>
      </w:r>
      <w:r>
        <w:rPr>
          <w:noProof/>
        </w:rPr>
        <w:fldChar w:fldCharType="separate"/>
      </w:r>
      <w:r w:rsidR="00766D30">
        <w:rPr>
          <w:noProof/>
        </w:rPr>
        <w:t>414</w:t>
      </w:r>
      <w:r>
        <w:rPr>
          <w:noProof/>
        </w:rPr>
        <w:fldChar w:fldCharType="end"/>
      </w:r>
    </w:p>
    <w:p w14:paraId="1EE95B16" w14:textId="77777777" w:rsidR="00E25764" w:rsidRDefault="00E25764">
      <w:pPr>
        <w:pStyle w:val="TOC5"/>
        <w:rPr>
          <w:rFonts w:asciiTheme="minorHAnsi" w:eastAsiaTheme="minorEastAsia" w:hAnsiTheme="minorHAnsi" w:cstheme="minorBidi"/>
          <w:noProof/>
          <w:sz w:val="22"/>
          <w:szCs w:val="22"/>
          <w:lang w:eastAsia="en-AU"/>
        </w:rPr>
      </w:pPr>
      <w:r>
        <w:rPr>
          <w:noProof/>
        </w:rPr>
        <w:t>5.4A  Estimates for calculating CH</w:t>
      </w:r>
      <w:r w:rsidRPr="00EF3CB8">
        <w:rPr>
          <w:noProof/>
          <w:vertAlign w:val="subscript"/>
        </w:rPr>
        <w:t>4gen</w:t>
      </w:r>
      <w:r>
        <w:rPr>
          <w:noProof/>
        </w:rPr>
        <w:tab/>
      </w:r>
      <w:r>
        <w:rPr>
          <w:noProof/>
        </w:rPr>
        <w:fldChar w:fldCharType="begin"/>
      </w:r>
      <w:r>
        <w:rPr>
          <w:noProof/>
        </w:rPr>
        <w:instrText xml:space="preserve"> PAGEREF _Toc495653067 \h </w:instrText>
      </w:r>
      <w:r>
        <w:rPr>
          <w:noProof/>
        </w:rPr>
      </w:r>
      <w:r>
        <w:rPr>
          <w:noProof/>
        </w:rPr>
        <w:fldChar w:fldCharType="separate"/>
      </w:r>
      <w:r w:rsidR="00766D30">
        <w:rPr>
          <w:noProof/>
        </w:rPr>
        <w:t>415</w:t>
      </w:r>
      <w:r>
        <w:rPr>
          <w:noProof/>
        </w:rPr>
        <w:fldChar w:fldCharType="end"/>
      </w:r>
    </w:p>
    <w:p w14:paraId="79582FCF" w14:textId="77777777" w:rsidR="00E25764" w:rsidRDefault="00E25764">
      <w:pPr>
        <w:pStyle w:val="TOC5"/>
        <w:rPr>
          <w:rFonts w:asciiTheme="minorHAnsi" w:eastAsiaTheme="minorEastAsia" w:hAnsiTheme="minorHAnsi" w:cstheme="minorBidi"/>
          <w:noProof/>
          <w:sz w:val="22"/>
          <w:szCs w:val="22"/>
          <w:lang w:eastAsia="en-AU"/>
        </w:rPr>
      </w:pPr>
      <w:r>
        <w:rPr>
          <w:noProof/>
        </w:rPr>
        <w:t>5.4B  Equation—change in quantity of particular opening stock at landfill for calculating CH</w:t>
      </w:r>
      <w:r w:rsidRPr="00EF3CB8">
        <w:rPr>
          <w:noProof/>
          <w:vertAlign w:val="subscript"/>
        </w:rPr>
        <w:t>4gen</w:t>
      </w:r>
      <w:r>
        <w:rPr>
          <w:noProof/>
        </w:rPr>
        <w:tab/>
      </w:r>
      <w:r>
        <w:rPr>
          <w:noProof/>
        </w:rPr>
        <w:fldChar w:fldCharType="begin"/>
      </w:r>
      <w:r>
        <w:rPr>
          <w:noProof/>
        </w:rPr>
        <w:instrText xml:space="preserve"> PAGEREF _Toc495653068 \h </w:instrText>
      </w:r>
      <w:r>
        <w:rPr>
          <w:noProof/>
        </w:rPr>
      </w:r>
      <w:r>
        <w:rPr>
          <w:noProof/>
        </w:rPr>
        <w:fldChar w:fldCharType="separate"/>
      </w:r>
      <w:r w:rsidR="00766D30">
        <w:rPr>
          <w:noProof/>
        </w:rPr>
        <w:t>416</w:t>
      </w:r>
      <w:r>
        <w:rPr>
          <w:noProof/>
        </w:rPr>
        <w:fldChar w:fldCharType="end"/>
      </w:r>
    </w:p>
    <w:p w14:paraId="472F09B7" w14:textId="77777777" w:rsidR="00E25764" w:rsidRDefault="00E25764">
      <w:pPr>
        <w:pStyle w:val="TOC5"/>
        <w:rPr>
          <w:rFonts w:asciiTheme="minorHAnsi" w:eastAsiaTheme="minorEastAsia" w:hAnsiTheme="minorHAnsi" w:cstheme="minorBidi"/>
          <w:noProof/>
          <w:sz w:val="22"/>
          <w:szCs w:val="22"/>
          <w:lang w:eastAsia="en-AU"/>
        </w:rPr>
      </w:pPr>
      <w:r>
        <w:rPr>
          <w:noProof/>
        </w:rPr>
        <w:t>5.4C  Equation—quantity of closing stock at landfill in particular reporting year</w:t>
      </w:r>
      <w:r>
        <w:rPr>
          <w:noProof/>
        </w:rPr>
        <w:tab/>
      </w:r>
      <w:r>
        <w:rPr>
          <w:noProof/>
        </w:rPr>
        <w:fldChar w:fldCharType="begin"/>
      </w:r>
      <w:r>
        <w:rPr>
          <w:noProof/>
        </w:rPr>
        <w:instrText xml:space="preserve"> PAGEREF _Toc495653069 \h </w:instrText>
      </w:r>
      <w:r>
        <w:rPr>
          <w:noProof/>
        </w:rPr>
      </w:r>
      <w:r>
        <w:rPr>
          <w:noProof/>
        </w:rPr>
        <w:fldChar w:fldCharType="separate"/>
      </w:r>
      <w:r w:rsidR="00766D30">
        <w:rPr>
          <w:noProof/>
        </w:rPr>
        <w:t>417</w:t>
      </w:r>
      <w:r>
        <w:rPr>
          <w:noProof/>
        </w:rPr>
        <w:fldChar w:fldCharType="end"/>
      </w:r>
    </w:p>
    <w:p w14:paraId="72949283" w14:textId="77777777" w:rsidR="00E25764" w:rsidRDefault="00E25764">
      <w:pPr>
        <w:pStyle w:val="TOC5"/>
        <w:rPr>
          <w:rFonts w:asciiTheme="minorHAnsi" w:eastAsiaTheme="minorEastAsia" w:hAnsiTheme="minorHAnsi" w:cstheme="minorBidi"/>
          <w:noProof/>
          <w:sz w:val="22"/>
          <w:szCs w:val="22"/>
          <w:lang w:eastAsia="en-AU"/>
        </w:rPr>
      </w:pPr>
      <w:r>
        <w:rPr>
          <w:noProof/>
        </w:rPr>
        <w:t>5.4D  Equation—quantity of methane generated by landfill for calculating CH</w:t>
      </w:r>
      <w:r w:rsidRPr="00EF3CB8">
        <w:rPr>
          <w:noProof/>
          <w:vertAlign w:val="subscript"/>
        </w:rPr>
        <w:t>4gen</w:t>
      </w:r>
      <w:r>
        <w:rPr>
          <w:noProof/>
        </w:rPr>
        <w:tab/>
      </w:r>
      <w:r>
        <w:rPr>
          <w:noProof/>
        </w:rPr>
        <w:fldChar w:fldCharType="begin"/>
      </w:r>
      <w:r>
        <w:rPr>
          <w:noProof/>
        </w:rPr>
        <w:instrText xml:space="preserve"> PAGEREF _Toc495653070 \h </w:instrText>
      </w:r>
      <w:r>
        <w:rPr>
          <w:noProof/>
        </w:rPr>
      </w:r>
      <w:r>
        <w:rPr>
          <w:noProof/>
        </w:rPr>
        <w:fldChar w:fldCharType="separate"/>
      </w:r>
      <w:r w:rsidR="00766D30">
        <w:rPr>
          <w:noProof/>
        </w:rPr>
        <w:t>418</w:t>
      </w:r>
      <w:r>
        <w:rPr>
          <w:noProof/>
        </w:rPr>
        <w:fldChar w:fldCharType="end"/>
      </w:r>
    </w:p>
    <w:p w14:paraId="48C58E0C" w14:textId="77777777" w:rsidR="00E25764" w:rsidRDefault="00E25764">
      <w:pPr>
        <w:pStyle w:val="TOC5"/>
        <w:rPr>
          <w:rFonts w:asciiTheme="minorHAnsi" w:eastAsiaTheme="minorEastAsia" w:hAnsiTheme="minorHAnsi" w:cstheme="minorBidi"/>
          <w:noProof/>
          <w:sz w:val="22"/>
          <w:szCs w:val="22"/>
          <w:lang w:eastAsia="en-AU"/>
        </w:rPr>
      </w:pPr>
      <w:r>
        <w:rPr>
          <w:noProof/>
        </w:rPr>
        <w:lastRenderedPageBreak/>
        <w:t>5.5  Criteria for estimating tonnage of total solid waste</w:t>
      </w:r>
      <w:r>
        <w:rPr>
          <w:noProof/>
        </w:rPr>
        <w:tab/>
      </w:r>
      <w:r>
        <w:rPr>
          <w:noProof/>
        </w:rPr>
        <w:fldChar w:fldCharType="begin"/>
      </w:r>
      <w:r>
        <w:rPr>
          <w:noProof/>
        </w:rPr>
        <w:instrText xml:space="preserve"> PAGEREF _Toc495653071 \h </w:instrText>
      </w:r>
      <w:r>
        <w:rPr>
          <w:noProof/>
        </w:rPr>
      </w:r>
      <w:r>
        <w:rPr>
          <w:noProof/>
        </w:rPr>
        <w:fldChar w:fldCharType="separate"/>
      </w:r>
      <w:r w:rsidR="00766D30">
        <w:rPr>
          <w:noProof/>
        </w:rPr>
        <w:t>420</w:t>
      </w:r>
      <w:r>
        <w:rPr>
          <w:noProof/>
        </w:rPr>
        <w:fldChar w:fldCharType="end"/>
      </w:r>
    </w:p>
    <w:p w14:paraId="5DE72FE9" w14:textId="77777777" w:rsidR="00E25764" w:rsidRDefault="00E25764">
      <w:pPr>
        <w:pStyle w:val="TOC5"/>
        <w:rPr>
          <w:rFonts w:asciiTheme="minorHAnsi" w:eastAsiaTheme="minorEastAsia" w:hAnsiTheme="minorHAnsi" w:cstheme="minorBidi"/>
          <w:noProof/>
          <w:sz w:val="22"/>
          <w:szCs w:val="22"/>
          <w:lang w:eastAsia="en-AU"/>
        </w:rPr>
      </w:pPr>
      <w:r>
        <w:rPr>
          <w:noProof/>
        </w:rPr>
        <w:t>5.6  Criterion A</w:t>
      </w:r>
      <w:r>
        <w:rPr>
          <w:noProof/>
        </w:rPr>
        <w:tab/>
      </w:r>
      <w:r>
        <w:rPr>
          <w:noProof/>
        </w:rPr>
        <w:fldChar w:fldCharType="begin"/>
      </w:r>
      <w:r>
        <w:rPr>
          <w:noProof/>
        </w:rPr>
        <w:instrText xml:space="preserve"> PAGEREF _Toc495653072 \h </w:instrText>
      </w:r>
      <w:r>
        <w:rPr>
          <w:noProof/>
        </w:rPr>
      </w:r>
      <w:r>
        <w:rPr>
          <w:noProof/>
        </w:rPr>
        <w:fldChar w:fldCharType="separate"/>
      </w:r>
      <w:r w:rsidR="00766D30">
        <w:rPr>
          <w:noProof/>
        </w:rPr>
        <w:t>421</w:t>
      </w:r>
      <w:r>
        <w:rPr>
          <w:noProof/>
        </w:rPr>
        <w:fldChar w:fldCharType="end"/>
      </w:r>
    </w:p>
    <w:p w14:paraId="0925D76A" w14:textId="77777777" w:rsidR="00E25764" w:rsidRDefault="00E25764">
      <w:pPr>
        <w:pStyle w:val="TOC5"/>
        <w:rPr>
          <w:rFonts w:asciiTheme="minorHAnsi" w:eastAsiaTheme="minorEastAsia" w:hAnsiTheme="minorHAnsi" w:cstheme="minorBidi"/>
          <w:noProof/>
          <w:sz w:val="22"/>
          <w:szCs w:val="22"/>
          <w:lang w:eastAsia="en-AU"/>
        </w:rPr>
      </w:pPr>
      <w:r>
        <w:rPr>
          <w:noProof/>
        </w:rPr>
        <w:t>5.7  Criterion AAA</w:t>
      </w:r>
      <w:r>
        <w:rPr>
          <w:noProof/>
        </w:rPr>
        <w:tab/>
      </w:r>
      <w:r>
        <w:rPr>
          <w:noProof/>
        </w:rPr>
        <w:fldChar w:fldCharType="begin"/>
      </w:r>
      <w:r>
        <w:rPr>
          <w:noProof/>
        </w:rPr>
        <w:instrText xml:space="preserve"> PAGEREF _Toc495653073 \h </w:instrText>
      </w:r>
      <w:r>
        <w:rPr>
          <w:noProof/>
        </w:rPr>
      </w:r>
      <w:r>
        <w:rPr>
          <w:noProof/>
        </w:rPr>
        <w:fldChar w:fldCharType="separate"/>
      </w:r>
      <w:r w:rsidR="00766D30">
        <w:rPr>
          <w:noProof/>
        </w:rPr>
        <w:t>421</w:t>
      </w:r>
      <w:r>
        <w:rPr>
          <w:noProof/>
        </w:rPr>
        <w:fldChar w:fldCharType="end"/>
      </w:r>
    </w:p>
    <w:p w14:paraId="0BC5A1DA" w14:textId="77777777" w:rsidR="00E25764" w:rsidRDefault="00E25764">
      <w:pPr>
        <w:pStyle w:val="TOC5"/>
        <w:rPr>
          <w:rFonts w:asciiTheme="minorHAnsi" w:eastAsiaTheme="minorEastAsia" w:hAnsiTheme="minorHAnsi" w:cstheme="minorBidi"/>
          <w:noProof/>
          <w:sz w:val="22"/>
          <w:szCs w:val="22"/>
          <w:lang w:eastAsia="en-AU"/>
        </w:rPr>
      </w:pPr>
      <w:r>
        <w:rPr>
          <w:noProof/>
        </w:rPr>
        <w:t>5.8  Criterion BBB</w:t>
      </w:r>
      <w:r>
        <w:rPr>
          <w:noProof/>
        </w:rPr>
        <w:tab/>
      </w:r>
      <w:r>
        <w:rPr>
          <w:noProof/>
        </w:rPr>
        <w:fldChar w:fldCharType="begin"/>
      </w:r>
      <w:r>
        <w:rPr>
          <w:noProof/>
        </w:rPr>
        <w:instrText xml:space="preserve"> PAGEREF _Toc495653074 \h </w:instrText>
      </w:r>
      <w:r>
        <w:rPr>
          <w:noProof/>
        </w:rPr>
      </w:r>
      <w:r>
        <w:rPr>
          <w:noProof/>
        </w:rPr>
        <w:fldChar w:fldCharType="separate"/>
      </w:r>
      <w:r w:rsidR="00766D30">
        <w:rPr>
          <w:noProof/>
        </w:rPr>
        <w:t>421</w:t>
      </w:r>
      <w:r>
        <w:rPr>
          <w:noProof/>
        </w:rPr>
        <w:fldChar w:fldCharType="end"/>
      </w:r>
    </w:p>
    <w:p w14:paraId="37DEDF58" w14:textId="77777777" w:rsidR="00E25764" w:rsidRDefault="00E25764">
      <w:pPr>
        <w:pStyle w:val="TOC5"/>
        <w:rPr>
          <w:rFonts w:asciiTheme="minorHAnsi" w:eastAsiaTheme="minorEastAsia" w:hAnsiTheme="minorHAnsi" w:cstheme="minorBidi"/>
          <w:noProof/>
          <w:sz w:val="22"/>
          <w:szCs w:val="22"/>
          <w:lang w:eastAsia="en-AU"/>
        </w:rPr>
      </w:pPr>
      <w:r>
        <w:rPr>
          <w:noProof/>
        </w:rPr>
        <w:t>5.9  Composition of solid waste</w:t>
      </w:r>
      <w:r>
        <w:rPr>
          <w:noProof/>
        </w:rPr>
        <w:tab/>
      </w:r>
      <w:r>
        <w:rPr>
          <w:noProof/>
        </w:rPr>
        <w:fldChar w:fldCharType="begin"/>
      </w:r>
      <w:r>
        <w:rPr>
          <w:noProof/>
        </w:rPr>
        <w:instrText xml:space="preserve"> PAGEREF _Toc495653075 \h </w:instrText>
      </w:r>
      <w:r>
        <w:rPr>
          <w:noProof/>
        </w:rPr>
      </w:r>
      <w:r>
        <w:rPr>
          <w:noProof/>
        </w:rPr>
        <w:fldChar w:fldCharType="separate"/>
      </w:r>
      <w:r w:rsidR="00766D30">
        <w:rPr>
          <w:noProof/>
        </w:rPr>
        <w:t>421</w:t>
      </w:r>
      <w:r>
        <w:rPr>
          <w:noProof/>
        </w:rPr>
        <w:fldChar w:fldCharType="end"/>
      </w:r>
    </w:p>
    <w:p w14:paraId="7C2B00D1" w14:textId="77777777" w:rsidR="00E25764" w:rsidRDefault="00E25764">
      <w:pPr>
        <w:pStyle w:val="TOC5"/>
        <w:rPr>
          <w:rFonts w:asciiTheme="minorHAnsi" w:eastAsiaTheme="minorEastAsia" w:hAnsiTheme="minorHAnsi" w:cstheme="minorBidi"/>
          <w:noProof/>
          <w:sz w:val="22"/>
          <w:szCs w:val="22"/>
          <w:lang w:eastAsia="en-AU"/>
        </w:rPr>
      </w:pPr>
      <w:r>
        <w:rPr>
          <w:noProof/>
        </w:rPr>
        <w:t>5.10  General waste streams</w:t>
      </w:r>
      <w:r>
        <w:rPr>
          <w:noProof/>
        </w:rPr>
        <w:tab/>
      </w:r>
      <w:r>
        <w:rPr>
          <w:noProof/>
        </w:rPr>
        <w:fldChar w:fldCharType="begin"/>
      </w:r>
      <w:r>
        <w:rPr>
          <w:noProof/>
        </w:rPr>
        <w:instrText xml:space="preserve"> PAGEREF _Toc495653076 \h </w:instrText>
      </w:r>
      <w:r>
        <w:rPr>
          <w:noProof/>
        </w:rPr>
      </w:r>
      <w:r>
        <w:rPr>
          <w:noProof/>
        </w:rPr>
        <w:fldChar w:fldCharType="separate"/>
      </w:r>
      <w:r w:rsidR="00766D30">
        <w:rPr>
          <w:noProof/>
        </w:rPr>
        <w:t>422</w:t>
      </w:r>
      <w:r>
        <w:rPr>
          <w:noProof/>
        </w:rPr>
        <w:fldChar w:fldCharType="end"/>
      </w:r>
    </w:p>
    <w:p w14:paraId="18CB4791" w14:textId="77777777" w:rsidR="00E25764" w:rsidRDefault="00E25764">
      <w:pPr>
        <w:pStyle w:val="TOC5"/>
        <w:rPr>
          <w:rFonts w:asciiTheme="minorHAnsi" w:eastAsiaTheme="minorEastAsia" w:hAnsiTheme="minorHAnsi" w:cstheme="minorBidi"/>
          <w:noProof/>
          <w:sz w:val="22"/>
          <w:szCs w:val="22"/>
          <w:lang w:eastAsia="en-AU"/>
        </w:rPr>
      </w:pPr>
      <w:r>
        <w:rPr>
          <w:noProof/>
        </w:rPr>
        <w:t>5.10A  Homogenous waste streams</w:t>
      </w:r>
      <w:r>
        <w:rPr>
          <w:noProof/>
        </w:rPr>
        <w:tab/>
      </w:r>
      <w:r>
        <w:rPr>
          <w:noProof/>
        </w:rPr>
        <w:fldChar w:fldCharType="begin"/>
      </w:r>
      <w:r>
        <w:rPr>
          <w:noProof/>
        </w:rPr>
        <w:instrText xml:space="preserve"> PAGEREF _Toc495653077 \h </w:instrText>
      </w:r>
      <w:r>
        <w:rPr>
          <w:noProof/>
        </w:rPr>
      </w:r>
      <w:r>
        <w:rPr>
          <w:noProof/>
        </w:rPr>
        <w:fldChar w:fldCharType="separate"/>
      </w:r>
      <w:r w:rsidR="00766D30">
        <w:rPr>
          <w:noProof/>
        </w:rPr>
        <w:t>425</w:t>
      </w:r>
      <w:r>
        <w:rPr>
          <w:noProof/>
        </w:rPr>
        <w:fldChar w:fldCharType="end"/>
      </w:r>
    </w:p>
    <w:p w14:paraId="4985400B" w14:textId="77777777" w:rsidR="00E25764" w:rsidRDefault="00E25764">
      <w:pPr>
        <w:pStyle w:val="TOC5"/>
        <w:rPr>
          <w:rFonts w:asciiTheme="minorHAnsi" w:eastAsiaTheme="minorEastAsia" w:hAnsiTheme="minorHAnsi" w:cstheme="minorBidi"/>
          <w:noProof/>
          <w:sz w:val="22"/>
          <w:szCs w:val="22"/>
          <w:lang w:eastAsia="en-AU"/>
        </w:rPr>
      </w:pPr>
      <w:r>
        <w:rPr>
          <w:noProof/>
        </w:rPr>
        <w:t>5.11  Waste mix types</w:t>
      </w:r>
      <w:r>
        <w:rPr>
          <w:noProof/>
        </w:rPr>
        <w:tab/>
      </w:r>
      <w:r>
        <w:rPr>
          <w:noProof/>
        </w:rPr>
        <w:fldChar w:fldCharType="begin"/>
      </w:r>
      <w:r>
        <w:rPr>
          <w:noProof/>
        </w:rPr>
        <w:instrText xml:space="preserve"> PAGEREF _Toc495653078 \h </w:instrText>
      </w:r>
      <w:r>
        <w:rPr>
          <w:noProof/>
        </w:rPr>
      </w:r>
      <w:r>
        <w:rPr>
          <w:noProof/>
        </w:rPr>
        <w:fldChar w:fldCharType="separate"/>
      </w:r>
      <w:r w:rsidR="00766D30">
        <w:rPr>
          <w:noProof/>
        </w:rPr>
        <w:t>427</w:t>
      </w:r>
      <w:r>
        <w:rPr>
          <w:noProof/>
        </w:rPr>
        <w:fldChar w:fldCharType="end"/>
      </w:r>
    </w:p>
    <w:p w14:paraId="17F6D2F2" w14:textId="77777777" w:rsidR="00E25764" w:rsidRDefault="00E25764">
      <w:pPr>
        <w:pStyle w:val="TOC5"/>
        <w:rPr>
          <w:rFonts w:asciiTheme="minorHAnsi" w:eastAsiaTheme="minorEastAsia" w:hAnsiTheme="minorHAnsi" w:cstheme="minorBidi"/>
          <w:noProof/>
          <w:sz w:val="22"/>
          <w:szCs w:val="22"/>
          <w:lang w:eastAsia="en-AU"/>
        </w:rPr>
      </w:pPr>
      <w:r>
        <w:rPr>
          <w:noProof/>
        </w:rPr>
        <w:t>5.11A  Certain waste to be deducted from waste received at landfill when estimating waste disposed in landfill</w:t>
      </w:r>
      <w:r>
        <w:rPr>
          <w:noProof/>
        </w:rPr>
        <w:tab/>
      </w:r>
      <w:r>
        <w:rPr>
          <w:noProof/>
        </w:rPr>
        <w:fldChar w:fldCharType="begin"/>
      </w:r>
      <w:r>
        <w:rPr>
          <w:noProof/>
        </w:rPr>
        <w:instrText xml:space="preserve"> PAGEREF _Toc495653079 \h </w:instrText>
      </w:r>
      <w:r>
        <w:rPr>
          <w:noProof/>
        </w:rPr>
      </w:r>
      <w:r>
        <w:rPr>
          <w:noProof/>
        </w:rPr>
        <w:fldChar w:fldCharType="separate"/>
      </w:r>
      <w:r w:rsidR="00766D30">
        <w:rPr>
          <w:noProof/>
        </w:rPr>
        <w:t>430</w:t>
      </w:r>
      <w:r>
        <w:rPr>
          <w:noProof/>
        </w:rPr>
        <w:fldChar w:fldCharType="end"/>
      </w:r>
    </w:p>
    <w:p w14:paraId="7307456F" w14:textId="77777777" w:rsidR="00E25764" w:rsidRDefault="00E25764">
      <w:pPr>
        <w:pStyle w:val="TOC5"/>
        <w:rPr>
          <w:rFonts w:asciiTheme="minorHAnsi" w:eastAsiaTheme="minorEastAsia" w:hAnsiTheme="minorHAnsi" w:cstheme="minorBidi"/>
          <w:noProof/>
          <w:sz w:val="22"/>
          <w:szCs w:val="22"/>
          <w:lang w:eastAsia="en-AU"/>
        </w:rPr>
      </w:pPr>
      <w:r>
        <w:rPr>
          <w:noProof/>
        </w:rPr>
        <w:t>5.12  Degradable organic carbon content</w:t>
      </w:r>
      <w:r>
        <w:rPr>
          <w:noProof/>
        </w:rPr>
        <w:tab/>
      </w:r>
      <w:r>
        <w:rPr>
          <w:noProof/>
        </w:rPr>
        <w:fldChar w:fldCharType="begin"/>
      </w:r>
      <w:r>
        <w:rPr>
          <w:noProof/>
        </w:rPr>
        <w:instrText xml:space="preserve"> PAGEREF _Toc495653080 \h </w:instrText>
      </w:r>
      <w:r>
        <w:rPr>
          <w:noProof/>
        </w:rPr>
      </w:r>
      <w:r>
        <w:rPr>
          <w:noProof/>
        </w:rPr>
        <w:fldChar w:fldCharType="separate"/>
      </w:r>
      <w:r w:rsidR="00766D30">
        <w:rPr>
          <w:noProof/>
        </w:rPr>
        <w:t>430</w:t>
      </w:r>
      <w:r>
        <w:rPr>
          <w:noProof/>
        </w:rPr>
        <w:fldChar w:fldCharType="end"/>
      </w:r>
    </w:p>
    <w:p w14:paraId="78FFA403" w14:textId="77777777" w:rsidR="00E25764" w:rsidRDefault="00E25764">
      <w:pPr>
        <w:pStyle w:val="TOC5"/>
        <w:rPr>
          <w:rFonts w:asciiTheme="minorHAnsi" w:eastAsiaTheme="minorEastAsia" w:hAnsiTheme="minorHAnsi" w:cstheme="minorBidi"/>
          <w:noProof/>
          <w:sz w:val="22"/>
          <w:szCs w:val="22"/>
          <w:lang w:eastAsia="en-AU"/>
        </w:rPr>
      </w:pPr>
      <w:r>
        <w:rPr>
          <w:noProof/>
        </w:rPr>
        <w:t>5.13  Opening stock of degradable organic carbon for the first reporting period</w:t>
      </w:r>
      <w:r>
        <w:rPr>
          <w:noProof/>
        </w:rPr>
        <w:tab/>
      </w:r>
      <w:r>
        <w:rPr>
          <w:noProof/>
        </w:rPr>
        <w:fldChar w:fldCharType="begin"/>
      </w:r>
      <w:r>
        <w:rPr>
          <w:noProof/>
        </w:rPr>
        <w:instrText xml:space="preserve"> PAGEREF _Toc495653081 \h </w:instrText>
      </w:r>
      <w:r>
        <w:rPr>
          <w:noProof/>
        </w:rPr>
      </w:r>
      <w:r>
        <w:rPr>
          <w:noProof/>
        </w:rPr>
        <w:fldChar w:fldCharType="separate"/>
      </w:r>
      <w:r w:rsidR="00766D30">
        <w:rPr>
          <w:noProof/>
        </w:rPr>
        <w:t>431</w:t>
      </w:r>
      <w:r>
        <w:rPr>
          <w:noProof/>
        </w:rPr>
        <w:fldChar w:fldCharType="end"/>
      </w:r>
    </w:p>
    <w:p w14:paraId="02440E7D" w14:textId="77777777" w:rsidR="00E25764" w:rsidRDefault="00E25764">
      <w:pPr>
        <w:pStyle w:val="TOC5"/>
        <w:rPr>
          <w:rFonts w:asciiTheme="minorHAnsi" w:eastAsiaTheme="minorEastAsia" w:hAnsiTheme="minorHAnsi" w:cstheme="minorBidi"/>
          <w:noProof/>
          <w:sz w:val="22"/>
          <w:szCs w:val="22"/>
          <w:lang w:eastAsia="en-AU"/>
        </w:rPr>
      </w:pPr>
      <w:r>
        <w:rPr>
          <w:noProof/>
        </w:rPr>
        <w:t>5.14  Methane generation constants—(k values)</w:t>
      </w:r>
      <w:r>
        <w:rPr>
          <w:noProof/>
        </w:rPr>
        <w:tab/>
      </w:r>
      <w:r>
        <w:rPr>
          <w:noProof/>
        </w:rPr>
        <w:fldChar w:fldCharType="begin"/>
      </w:r>
      <w:r>
        <w:rPr>
          <w:noProof/>
        </w:rPr>
        <w:instrText xml:space="preserve"> PAGEREF _Toc495653082 \h </w:instrText>
      </w:r>
      <w:r>
        <w:rPr>
          <w:noProof/>
        </w:rPr>
      </w:r>
      <w:r>
        <w:rPr>
          <w:noProof/>
        </w:rPr>
        <w:fldChar w:fldCharType="separate"/>
      </w:r>
      <w:r w:rsidR="00766D30">
        <w:rPr>
          <w:noProof/>
        </w:rPr>
        <w:t>432</w:t>
      </w:r>
      <w:r>
        <w:rPr>
          <w:noProof/>
        </w:rPr>
        <w:fldChar w:fldCharType="end"/>
      </w:r>
    </w:p>
    <w:p w14:paraId="07EC8D95" w14:textId="77777777" w:rsidR="00E25764" w:rsidRDefault="00E25764">
      <w:pPr>
        <w:pStyle w:val="TOC5"/>
        <w:rPr>
          <w:rFonts w:asciiTheme="minorHAnsi" w:eastAsiaTheme="minorEastAsia" w:hAnsiTheme="minorHAnsi" w:cstheme="minorBidi"/>
          <w:noProof/>
          <w:sz w:val="22"/>
          <w:szCs w:val="22"/>
          <w:lang w:eastAsia="en-AU"/>
        </w:rPr>
      </w:pPr>
      <w:r>
        <w:rPr>
          <w:noProof/>
        </w:rPr>
        <w:t>5.14A  Fraction of degradable organic carbon dissimilated (DOC</w:t>
      </w:r>
      <w:r w:rsidRPr="00EF3CB8">
        <w:rPr>
          <w:noProof/>
          <w:vertAlign w:val="subscript"/>
        </w:rPr>
        <w:t>F</w:t>
      </w:r>
      <w:r>
        <w:rPr>
          <w:noProof/>
        </w:rPr>
        <w:t>)</w:t>
      </w:r>
      <w:r>
        <w:rPr>
          <w:noProof/>
        </w:rPr>
        <w:tab/>
      </w:r>
      <w:r>
        <w:rPr>
          <w:noProof/>
        </w:rPr>
        <w:fldChar w:fldCharType="begin"/>
      </w:r>
      <w:r>
        <w:rPr>
          <w:noProof/>
        </w:rPr>
        <w:instrText xml:space="preserve"> PAGEREF _Toc495653083 \h </w:instrText>
      </w:r>
      <w:r>
        <w:rPr>
          <w:noProof/>
        </w:rPr>
      </w:r>
      <w:r>
        <w:rPr>
          <w:noProof/>
        </w:rPr>
        <w:fldChar w:fldCharType="separate"/>
      </w:r>
      <w:r w:rsidR="00766D30">
        <w:rPr>
          <w:noProof/>
        </w:rPr>
        <w:t>437</w:t>
      </w:r>
      <w:r>
        <w:rPr>
          <w:noProof/>
        </w:rPr>
        <w:fldChar w:fldCharType="end"/>
      </w:r>
    </w:p>
    <w:p w14:paraId="19003B24" w14:textId="77777777" w:rsidR="00E25764" w:rsidRDefault="00E25764">
      <w:pPr>
        <w:pStyle w:val="TOC5"/>
        <w:rPr>
          <w:rFonts w:asciiTheme="minorHAnsi" w:eastAsiaTheme="minorEastAsia" w:hAnsiTheme="minorHAnsi" w:cstheme="minorBidi"/>
          <w:noProof/>
          <w:sz w:val="22"/>
          <w:szCs w:val="22"/>
          <w:lang w:eastAsia="en-AU"/>
        </w:rPr>
      </w:pPr>
      <w:r>
        <w:rPr>
          <w:noProof/>
        </w:rPr>
        <w:t>5.14B  Methane correction factor (MCF) for aerobic decomposition</w:t>
      </w:r>
      <w:r>
        <w:rPr>
          <w:noProof/>
        </w:rPr>
        <w:tab/>
      </w:r>
      <w:r>
        <w:rPr>
          <w:noProof/>
        </w:rPr>
        <w:fldChar w:fldCharType="begin"/>
      </w:r>
      <w:r>
        <w:rPr>
          <w:noProof/>
        </w:rPr>
        <w:instrText xml:space="preserve"> PAGEREF _Toc495653084 \h </w:instrText>
      </w:r>
      <w:r>
        <w:rPr>
          <w:noProof/>
        </w:rPr>
      </w:r>
      <w:r>
        <w:rPr>
          <w:noProof/>
        </w:rPr>
        <w:fldChar w:fldCharType="separate"/>
      </w:r>
      <w:r w:rsidR="00766D30">
        <w:rPr>
          <w:noProof/>
        </w:rPr>
        <w:t>438</w:t>
      </w:r>
      <w:r>
        <w:rPr>
          <w:noProof/>
        </w:rPr>
        <w:fldChar w:fldCharType="end"/>
      </w:r>
    </w:p>
    <w:p w14:paraId="38E98C6A" w14:textId="77777777" w:rsidR="00E25764" w:rsidRDefault="00E25764">
      <w:pPr>
        <w:pStyle w:val="TOC5"/>
        <w:rPr>
          <w:rFonts w:asciiTheme="minorHAnsi" w:eastAsiaTheme="minorEastAsia" w:hAnsiTheme="minorHAnsi" w:cstheme="minorBidi"/>
          <w:noProof/>
          <w:sz w:val="22"/>
          <w:szCs w:val="22"/>
          <w:lang w:eastAsia="en-AU"/>
        </w:rPr>
      </w:pPr>
      <w:r>
        <w:rPr>
          <w:noProof/>
        </w:rPr>
        <w:t>5.14C  Fraction by volume generated in landfill gas that is methane (F)</w:t>
      </w:r>
      <w:r>
        <w:rPr>
          <w:noProof/>
        </w:rPr>
        <w:tab/>
      </w:r>
      <w:r>
        <w:rPr>
          <w:noProof/>
        </w:rPr>
        <w:fldChar w:fldCharType="begin"/>
      </w:r>
      <w:r>
        <w:rPr>
          <w:noProof/>
        </w:rPr>
        <w:instrText xml:space="preserve"> PAGEREF _Toc495653085 \h </w:instrText>
      </w:r>
      <w:r>
        <w:rPr>
          <w:noProof/>
        </w:rPr>
      </w:r>
      <w:r>
        <w:rPr>
          <w:noProof/>
        </w:rPr>
        <w:fldChar w:fldCharType="separate"/>
      </w:r>
      <w:r w:rsidR="00766D30">
        <w:rPr>
          <w:noProof/>
        </w:rPr>
        <w:t>439</w:t>
      </w:r>
      <w:r>
        <w:rPr>
          <w:noProof/>
        </w:rPr>
        <w:fldChar w:fldCharType="end"/>
      </w:r>
    </w:p>
    <w:p w14:paraId="72BC9FE0" w14:textId="77777777" w:rsidR="00E25764" w:rsidRDefault="00E25764">
      <w:pPr>
        <w:pStyle w:val="TOC5"/>
        <w:rPr>
          <w:rFonts w:asciiTheme="minorHAnsi" w:eastAsiaTheme="minorEastAsia" w:hAnsiTheme="minorHAnsi" w:cstheme="minorBidi"/>
          <w:noProof/>
          <w:sz w:val="22"/>
          <w:szCs w:val="22"/>
          <w:lang w:eastAsia="en-AU"/>
        </w:rPr>
      </w:pPr>
      <w:r>
        <w:rPr>
          <w:noProof/>
        </w:rPr>
        <w:t>5.14D  Number of months before methane generation at landfill commences</w:t>
      </w:r>
      <w:r>
        <w:rPr>
          <w:noProof/>
        </w:rPr>
        <w:tab/>
      </w:r>
      <w:r>
        <w:rPr>
          <w:noProof/>
        </w:rPr>
        <w:fldChar w:fldCharType="begin"/>
      </w:r>
      <w:r>
        <w:rPr>
          <w:noProof/>
        </w:rPr>
        <w:instrText xml:space="preserve"> PAGEREF _Toc495653086 \h </w:instrText>
      </w:r>
      <w:r>
        <w:rPr>
          <w:noProof/>
        </w:rPr>
      </w:r>
      <w:r>
        <w:rPr>
          <w:noProof/>
        </w:rPr>
        <w:fldChar w:fldCharType="separate"/>
      </w:r>
      <w:r w:rsidR="00766D30">
        <w:rPr>
          <w:noProof/>
        </w:rPr>
        <w:t>439</w:t>
      </w:r>
      <w:r>
        <w:rPr>
          <w:noProof/>
        </w:rPr>
        <w:fldChar w:fldCharType="end"/>
      </w:r>
    </w:p>
    <w:p w14:paraId="494E42F8"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5.2.3—Method 2—emissions of methane released from landfills</w:t>
      </w:r>
      <w:r>
        <w:rPr>
          <w:noProof/>
        </w:rPr>
        <w:tab/>
      </w:r>
      <w:r>
        <w:rPr>
          <w:noProof/>
        </w:rPr>
        <w:fldChar w:fldCharType="begin"/>
      </w:r>
      <w:r>
        <w:rPr>
          <w:noProof/>
        </w:rPr>
        <w:instrText xml:space="preserve"> PAGEREF _Toc495653087 \h </w:instrText>
      </w:r>
      <w:r>
        <w:rPr>
          <w:noProof/>
        </w:rPr>
      </w:r>
      <w:r>
        <w:rPr>
          <w:noProof/>
        </w:rPr>
        <w:fldChar w:fldCharType="separate"/>
      </w:r>
      <w:r w:rsidR="00766D30">
        <w:rPr>
          <w:noProof/>
        </w:rPr>
        <w:t>440</w:t>
      </w:r>
      <w:r>
        <w:rPr>
          <w:noProof/>
        </w:rPr>
        <w:fldChar w:fldCharType="end"/>
      </w:r>
    </w:p>
    <w:p w14:paraId="5A6C01D4"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5.2.3.1—methane released from landfills</w:t>
      </w:r>
      <w:r>
        <w:rPr>
          <w:noProof/>
        </w:rPr>
        <w:tab/>
      </w:r>
      <w:r>
        <w:rPr>
          <w:noProof/>
        </w:rPr>
        <w:fldChar w:fldCharType="begin"/>
      </w:r>
      <w:r>
        <w:rPr>
          <w:noProof/>
        </w:rPr>
        <w:instrText xml:space="preserve"> PAGEREF _Toc495653088 \h </w:instrText>
      </w:r>
      <w:r>
        <w:rPr>
          <w:noProof/>
        </w:rPr>
      </w:r>
      <w:r>
        <w:rPr>
          <w:noProof/>
        </w:rPr>
        <w:fldChar w:fldCharType="separate"/>
      </w:r>
      <w:r w:rsidR="00766D30">
        <w:rPr>
          <w:noProof/>
        </w:rPr>
        <w:t>440</w:t>
      </w:r>
      <w:r>
        <w:rPr>
          <w:noProof/>
        </w:rPr>
        <w:fldChar w:fldCharType="end"/>
      </w:r>
    </w:p>
    <w:p w14:paraId="7C8F04C5" w14:textId="77777777" w:rsidR="00E25764" w:rsidRDefault="00E25764">
      <w:pPr>
        <w:pStyle w:val="TOC5"/>
        <w:rPr>
          <w:rFonts w:asciiTheme="minorHAnsi" w:eastAsiaTheme="minorEastAsia" w:hAnsiTheme="minorHAnsi" w:cstheme="minorBidi"/>
          <w:noProof/>
          <w:sz w:val="22"/>
          <w:szCs w:val="22"/>
          <w:lang w:eastAsia="en-AU"/>
        </w:rPr>
      </w:pPr>
      <w:r>
        <w:rPr>
          <w:noProof/>
        </w:rPr>
        <w:t>5.15  Method 2—methane released by landfill (other than from flaring of methane)</w:t>
      </w:r>
      <w:r>
        <w:rPr>
          <w:noProof/>
        </w:rPr>
        <w:tab/>
      </w:r>
      <w:r>
        <w:rPr>
          <w:noProof/>
        </w:rPr>
        <w:fldChar w:fldCharType="begin"/>
      </w:r>
      <w:r>
        <w:rPr>
          <w:noProof/>
        </w:rPr>
        <w:instrText xml:space="preserve"> PAGEREF _Toc495653089 \h </w:instrText>
      </w:r>
      <w:r>
        <w:rPr>
          <w:noProof/>
        </w:rPr>
      </w:r>
      <w:r>
        <w:rPr>
          <w:noProof/>
        </w:rPr>
        <w:fldChar w:fldCharType="separate"/>
      </w:r>
      <w:r w:rsidR="00766D30">
        <w:rPr>
          <w:noProof/>
        </w:rPr>
        <w:t>440</w:t>
      </w:r>
      <w:r>
        <w:rPr>
          <w:noProof/>
        </w:rPr>
        <w:fldChar w:fldCharType="end"/>
      </w:r>
    </w:p>
    <w:p w14:paraId="15B6E2D8" w14:textId="77777777" w:rsidR="00E25764" w:rsidRDefault="00E25764">
      <w:pPr>
        <w:pStyle w:val="TOC5"/>
        <w:rPr>
          <w:rFonts w:asciiTheme="minorHAnsi" w:eastAsiaTheme="minorEastAsia" w:hAnsiTheme="minorHAnsi" w:cstheme="minorBidi"/>
          <w:noProof/>
          <w:sz w:val="22"/>
          <w:szCs w:val="22"/>
          <w:lang w:eastAsia="en-AU"/>
        </w:rPr>
      </w:pPr>
      <w:r>
        <w:rPr>
          <w:noProof/>
        </w:rPr>
        <w:t>5.15A  Equation—change in quantity of particular opening stock at landfill for calculating CH</w:t>
      </w:r>
      <w:r w:rsidRPr="00EF3CB8">
        <w:rPr>
          <w:noProof/>
          <w:vertAlign w:val="subscript"/>
        </w:rPr>
        <w:t>4gen</w:t>
      </w:r>
      <w:r>
        <w:rPr>
          <w:noProof/>
        </w:rPr>
        <w:tab/>
      </w:r>
      <w:r>
        <w:rPr>
          <w:noProof/>
        </w:rPr>
        <w:fldChar w:fldCharType="begin"/>
      </w:r>
      <w:r>
        <w:rPr>
          <w:noProof/>
        </w:rPr>
        <w:instrText xml:space="preserve"> PAGEREF _Toc495653090 \h </w:instrText>
      </w:r>
      <w:r>
        <w:rPr>
          <w:noProof/>
        </w:rPr>
      </w:r>
      <w:r>
        <w:rPr>
          <w:noProof/>
        </w:rPr>
        <w:fldChar w:fldCharType="separate"/>
      </w:r>
      <w:r w:rsidR="00766D30">
        <w:rPr>
          <w:noProof/>
        </w:rPr>
        <w:t>443</w:t>
      </w:r>
      <w:r>
        <w:rPr>
          <w:noProof/>
        </w:rPr>
        <w:fldChar w:fldCharType="end"/>
      </w:r>
    </w:p>
    <w:p w14:paraId="242933E4" w14:textId="77777777" w:rsidR="00E25764" w:rsidRDefault="00E25764">
      <w:pPr>
        <w:pStyle w:val="TOC5"/>
        <w:rPr>
          <w:rFonts w:asciiTheme="minorHAnsi" w:eastAsiaTheme="minorEastAsia" w:hAnsiTheme="minorHAnsi" w:cstheme="minorBidi"/>
          <w:noProof/>
          <w:sz w:val="22"/>
          <w:szCs w:val="22"/>
          <w:lang w:eastAsia="en-AU"/>
        </w:rPr>
      </w:pPr>
      <w:r>
        <w:rPr>
          <w:noProof/>
        </w:rPr>
        <w:t>5.15B  Equation—quantity of closing stock at landfill in particular reporting year</w:t>
      </w:r>
      <w:r>
        <w:rPr>
          <w:noProof/>
        </w:rPr>
        <w:tab/>
      </w:r>
      <w:r>
        <w:rPr>
          <w:noProof/>
        </w:rPr>
        <w:fldChar w:fldCharType="begin"/>
      </w:r>
      <w:r>
        <w:rPr>
          <w:noProof/>
        </w:rPr>
        <w:instrText xml:space="preserve"> PAGEREF _Toc495653091 \h </w:instrText>
      </w:r>
      <w:r>
        <w:rPr>
          <w:noProof/>
        </w:rPr>
      </w:r>
      <w:r>
        <w:rPr>
          <w:noProof/>
        </w:rPr>
        <w:fldChar w:fldCharType="separate"/>
      </w:r>
      <w:r w:rsidR="00766D30">
        <w:rPr>
          <w:noProof/>
        </w:rPr>
        <w:t>444</w:t>
      </w:r>
      <w:r>
        <w:rPr>
          <w:noProof/>
        </w:rPr>
        <w:fldChar w:fldCharType="end"/>
      </w:r>
    </w:p>
    <w:p w14:paraId="5BB866E0" w14:textId="77777777" w:rsidR="00E25764" w:rsidRDefault="00E25764">
      <w:pPr>
        <w:pStyle w:val="TOC5"/>
        <w:rPr>
          <w:rFonts w:asciiTheme="minorHAnsi" w:eastAsiaTheme="minorEastAsia" w:hAnsiTheme="minorHAnsi" w:cstheme="minorBidi"/>
          <w:noProof/>
          <w:sz w:val="22"/>
          <w:szCs w:val="22"/>
          <w:lang w:eastAsia="en-AU"/>
        </w:rPr>
      </w:pPr>
      <w:r>
        <w:rPr>
          <w:noProof/>
        </w:rPr>
        <w:t>5.15C  Equation—collection efficiency limit at landfill in particular reporting year</w:t>
      </w:r>
      <w:r>
        <w:rPr>
          <w:noProof/>
        </w:rPr>
        <w:tab/>
      </w:r>
      <w:r>
        <w:rPr>
          <w:noProof/>
        </w:rPr>
        <w:fldChar w:fldCharType="begin"/>
      </w:r>
      <w:r>
        <w:rPr>
          <w:noProof/>
        </w:rPr>
        <w:instrText xml:space="preserve"> PAGEREF _Toc495653092 \h </w:instrText>
      </w:r>
      <w:r>
        <w:rPr>
          <w:noProof/>
        </w:rPr>
      </w:r>
      <w:r>
        <w:rPr>
          <w:noProof/>
        </w:rPr>
        <w:fldChar w:fldCharType="separate"/>
      </w:r>
      <w:r w:rsidR="00766D30">
        <w:rPr>
          <w:noProof/>
        </w:rPr>
        <w:t>445</w:t>
      </w:r>
      <w:r>
        <w:rPr>
          <w:noProof/>
        </w:rPr>
        <w:fldChar w:fldCharType="end"/>
      </w:r>
    </w:p>
    <w:p w14:paraId="4C4F904B" w14:textId="77777777" w:rsidR="00E25764" w:rsidRDefault="00E25764">
      <w:pPr>
        <w:pStyle w:val="TOC4"/>
        <w:rPr>
          <w:rFonts w:asciiTheme="minorHAnsi" w:eastAsiaTheme="minorEastAsia" w:hAnsiTheme="minorHAnsi" w:cstheme="minorBidi"/>
          <w:b w:val="0"/>
          <w:noProof/>
          <w:sz w:val="22"/>
          <w:szCs w:val="22"/>
          <w:lang w:eastAsia="en-AU"/>
        </w:rPr>
      </w:pPr>
      <w:r>
        <w:rPr>
          <w:noProof/>
        </w:rPr>
        <w:t>Subdivision 5.2.3.2—Requirements for calculating the methane generation constant (k)</w:t>
      </w:r>
      <w:r>
        <w:rPr>
          <w:noProof/>
        </w:rPr>
        <w:tab/>
      </w:r>
      <w:r>
        <w:rPr>
          <w:noProof/>
        </w:rPr>
        <w:fldChar w:fldCharType="begin"/>
      </w:r>
      <w:r>
        <w:rPr>
          <w:noProof/>
        </w:rPr>
        <w:instrText xml:space="preserve"> PAGEREF _Toc495653093 \h </w:instrText>
      </w:r>
      <w:r>
        <w:rPr>
          <w:noProof/>
        </w:rPr>
      </w:r>
      <w:r>
        <w:rPr>
          <w:noProof/>
        </w:rPr>
        <w:fldChar w:fldCharType="separate"/>
      </w:r>
      <w:r w:rsidR="00766D30">
        <w:rPr>
          <w:noProof/>
        </w:rPr>
        <w:t>446</w:t>
      </w:r>
      <w:r>
        <w:rPr>
          <w:noProof/>
        </w:rPr>
        <w:fldChar w:fldCharType="end"/>
      </w:r>
    </w:p>
    <w:p w14:paraId="235F5CD2" w14:textId="77777777" w:rsidR="00E25764" w:rsidRDefault="00E25764">
      <w:pPr>
        <w:pStyle w:val="TOC5"/>
        <w:rPr>
          <w:rFonts w:asciiTheme="minorHAnsi" w:eastAsiaTheme="minorEastAsia" w:hAnsiTheme="minorHAnsi" w:cstheme="minorBidi"/>
          <w:noProof/>
          <w:sz w:val="22"/>
          <w:szCs w:val="22"/>
          <w:lang w:eastAsia="en-AU"/>
        </w:rPr>
      </w:pPr>
      <w:r>
        <w:rPr>
          <w:noProof/>
        </w:rPr>
        <w:t>5.16  Procedures for selecting representative zone</w:t>
      </w:r>
      <w:r>
        <w:rPr>
          <w:noProof/>
        </w:rPr>
        <w:tab/>
      </w:r>
      <w:r>
        <w:rPr>
          <w:noProof/>
        </w:rPr>
        <w:fldChar w:fldCharType="begin"/>
      </w:r>
      <w:r>
        <w:rPr>
          <w:noProof/>
        </w:rPr>
        <w:instrText xml:space="preserve"> PAGEREF _Toc495653094 \h </w:instrText>
      </w:r>
      <w:r>
        <w:rPr>
          <w:noProof/>
        </w:rPr>
      </w:r>
      <w:r>
        <w:rPr>
          <w:noProof/>
        </w:rPr>
        <w:fldChar w:fldCharType="separate"/>
      </w:r>
      <w:r w:rsidR="00766D30">
        <w:rPr>
          <w:noProof/>
        </w:rPr>
        <w:t>446</w:t>
      </w:r>
      <w:r>
        <w:rPr>
          <w:noProof/>
        </w:rPr>
        <w:fldChar w:fldCharType="end"/>
      </w:r>
    </w:p>
    <w:p w14:paraId="1C78BA62" w14:textId="77777777" w:rsidR="00E25764" w:rsidRDefault="00E25764">
      <w:pPr>
        <w:pStyle w:val="TOC5"/>
        <w:rPr>
          <w:rFonts w:asciiTheme="minorHAnsi" w:eastAsiaTheme="minorEastAsia" w:hAnsiTheme="minorHAnsi" w:cstheme="minorBidi"/>
          <w:noProof/>
          <w:sz w:val="22"/>
          <w:szCs w:val="22"/>
          <w:lang w:eastAsia="en-AU"/>
        </w:rPr>
      </w:pPr>
      <w:r>
        <w:rPr>
          <w:noProof/>
        </w:rPr>
        <w:t>5.17  Site plan—preparation and requirements</w:t>
      </w:r>
      <w:r>
        <w:rPr>
          <w:noProof/>
        </w:rPr>
        <w:tab/>
      </w:r>
      <w:r>
        <w:rPr>
          <w:noProof/>
        </w:rPr>
        <w:fldChar w:fldCharType="begin"/>
      </w:r>
      <w:r>
        <w:rPr>
          <w:noProof/>
        </w:rPr>
        <w:instrText xml:space="preserve"> PAGEREF _Toc495653095 \h </w:instrText>
      </w:r>
      <w:r>
        <w:rPr>
          <w:noProof/>
        </w:rPr>
      </w:r>
      <w:r>
        <w:rPr>
          <w:noProof/>
        </w:rPr>
        <w:fldChar w:fldCharType="separate"/>
      </w:r>
      <w:r w:rsidR="00766D30">
        <w:rPr>
          <w:noProof/>
        </w:rPr>
        <w:t>446</w:t>
      </w:r>
      <w:r>
        <w:rPr>
          <w:noProof/>
        </w:rPr>
        <w:fldChar w:fldCharType="end"/>
      </w:r>
    </w:p>
    <w:p w14:paraId="5E931020" w14:textId="77777777" w:rsidR="00E25764" w:rsidRDefault="00E25764">
      <w:pPr>
        <w:pStyle w:val="TOC5"/>
        <w:rPr>
          <w:rFonts w:asciiTheme="minorHAnsi" w:eastAsiaTheme="minorEastAsia" w:hAnsiTheme="minorHAnsi" w:cstheme="minorBidi"/>
          <w:noProof/>
          <w:sz w:val="22"/>
          <w:szCs w:val="22"/>
          <w:lang w:eastAsia="en-AU"/>
        </w:rPr>
      </w:pPr>
      <w:r>
        <w:rPr>
          <w:noProof/>
        </w:rPr>
        <w:lastRenderedPageBreak/>
        <w:t>5.17AA  Sub</w:t>
      </w:r>
      <w:r>
        <w:rPr>
          <w:noProof/>
        </w:rPr>
        <w:noBreakHyphen/>
        <w:t>facility zones—maximum number and requirements</w:t>
      </w:r>
      <w:r>
        <w:rPr>
          <w:noProof/>
        </w:rPr>
        <w:tab/>
      </w:r>
      <w:r>
        <w:rPr>
          <w:noProof/>
        </w:rPr>
        <w:fldChar w:fldCharType="begin"/>
      </w:r>
      <w:r>
        <w:rPr>
          <w:noProof/>
        </w:rPr>
        <w:instrText xml:space="preserve"> PAGEREF _Toc495653096 \h </w:instrText>
      </w:r>
      <w:r>
        <w:rPr>
          <w:noProof/>
        </w:rPr>
      </w:r>
      <w:r>
        <w:rPr>
          <w:noProof/>
        </w:rPr>
        <w:fldChar w:fldCharType="separate"/>
      </w:r>
      <w:r w:rsidR="00766D30">
        <w:rPr>
          <w:noProof/>
        </w:rPr>
        <w:t>447</w:t>
      </w:r>
      <w:r>
        <w:rPr>
          <w:noProof/>
        </w:rPr>
        <w:fldChar w:fldCharType="end"/>
      </w:r>
    </w:p>
    <w:p w14:paraId="4ADE8340" w14:textId="77777777" w:rsidR="00E25764" w:rsidRDefault="00E25764">
      <w:pPr>
        <w:pStyle w:val="TOC5"/>
        <w:rPr>
          <w:rFonts w:asciiTheme="minorHAnsi" w:eastAsiaTheme="minorEastAsia" w:hAnsiTheme="minorHAnsi" w:cstheme="minorBidi"/>
          <w:noProof/>
          <w:sz w:val="22"/>
          <w:szCs w:val="22"/>
          <w:lang w:eastAsia="en-AU"/>
        </w:rPr>
      </w:pPr>
      <w:r>
        <w:rPr>
          <w:noProof/>
        </w:rPr>
        <w:t>5.17A  Representative zones—selection and requirements</w:t>
      </w:r>
      <w:r>
        <w:rPr>
          <w:noProof/>
        </w:rPr>
        <w:tab/>
      </w:r>
      <w:r>
        <w:rPr>
          <w:noProof/>
        </w:rPr>
        <w:fldChar w:fldCharType="begin"/>
      </w:r>
      <w:r>
        <w:rPr>
          <w:noProof/>
        </w:rPr>
        <w:instrText xml:space="preserve"> PAGEREF _Toc495653097 \h </w:instrText>
      </w:r>
      <w:r>
        <w:rPr>
          <w:noProof/>
        </w:rPr>
      </w:r>
      <w:r>
        <w:rPr>
          <w:noProof/>
        </w:rPr>
        <w:fldChar w:fldCharType="separate"/>
      </w:r>
      <w:r w:rsidR="00766D30">
        <w:rPr>
          <w:noProof/>
        </w:rPr>
        <w:t>448</w:t>
      </w:r>
      <w:r>
        <w:rPr>
          <w:noProof/>
        </w:rPr>
        <w:fldChar w:fldCharType="end"/>
      </w:r>
    </w:p>
    <w:p w14:paraId="555E101B" w14:textId="77777777" w:rsidR="00E25764" w:rsidRDefault="00E25764">
      <w:pPr>
        <w:pStyle w:val="TOC5"/>
        <w:rPr>
          <w:rFonts w:asciiTheme="minorHAnsi" w:eastAsiaTheme="minorEastAsia" w:hAnsiTheme="minorHAnsi" w:cstheme="minorBidi"/>
          <w:noProof/>
          <w:sz w:val="22"/>
          <w:szCs w:val="22"/>
          <w:lang w:eastAsia="en-AU"/>
        </w:rPr>
      </w:pPr>
      <w:r>
        <w:rPr>
          <w:noProof/>
        </w:rPr>
        <w:t>5.17B  Independent verification</w:t>
      </w:r>
      <w:r>
        <w:rPr>
          <w:noProof/>
        </w:rPr>
        <w:tab/>
      </w:r>
      <w:r>
        <w:rPr>
          <w:noProof/>
        </w:rPr>
        <w:fldChar w:fldCharType="begin"/>
      </w:r>
      <w:r>
        <w:rPr>
          <w:noProof/>
        </w:rPr>
        <w:instrText xml:space="preserve"> PAGEREF _Toc495653098 \h </w:instrText>
      </w:r>
      <w:r>
        <w:rPr>
          <w:noProof/>
        </w:rPr>
      </w:r>
      <w:r>
        <w:rPr>
          <w:noProof/>
        </w:rPr>
        <w:fldChar w:fldCharType="separate"/>
      </w:r>
      <w:r w:rsidR="00766D30">
        <w:rPr>
          <w:noProof/>
        </w:rPr>
        <w:t>451</w:t>
      </w:r>
      <w:r>
        <w:rPr>
          <w:noProof/>
        </w:rPr>
        <w:fldChar w:fldCharType="end"/>
      </w:r>
    </w:p>
    <w:p w14:paraId="149CBE31" w14:textId="77777777" w:rsidR="00E25764" w:rsidRDefault="00E25764">
      <w:pPr>
        <w:pStyle w:val="TOC5"/>
        <w:rPr>
          <w:rFonts w:asciiTheme="minorHAnsi" w:eastAsiaTheme="minorEastAsia" w:hAnsiTheme="minorHAnsi" w:cstheme="minorBidi"/>
          <w:noProof/>
          <w:sz w:val="22"/>
          <w:szCs w:val="22"/>
          <w:lang w:eastAsia="en-AU"/>
        </w:rPr>
      </w:pPr>
      <w:r>
        <w:rPr>
          <w:noProof/>
        </w:rPr>
        <w:t>5.17C  Estimation of waste and degradable organic content in representative zone</w:t>
      </w:r>
      <w:r>
        <w:rPr>
          <w:noProof/>
        </w:rPr>
        <w:tab/>
      </w:r>
      <w:r>
        <w:rPr>
          <w:noProof/>
        </w:rPr>
        <w:fldChar w:fldCharType="begin"/>
      </w:r>
      <w:r>
        <w:rPr>
          <w:noProof/>
        </w:rPr>
        <w:instrText xml:space="preserve"> PAGEREF _Toc495653099 \h </w:instrText>
      </w:r>
      <w:r>
        <w:rPr>
          <w:noProof/>
        </w:rPr>
      </w:r>
      <w:r>
        <w:rPr>
          <w:noProof/>
        </w:rPr>
        <w:fldChar w:fldCharType="separate"/>
      </w:r>
      <w:r w:rsidR="00766D30">
        <w:rPr>
          <w:noProof/>
        </w:rPr>
        <w:t>453</w:t>
      </w:r>
      <w:r>
        <w:rPr>
          <w:noProof/>
        </w:rPr>
        <w:fldChar w:fldCharType="end"/>
      </w:r>
    </w:p>
    <w:p w14:paraId="5C39243B" w14:textId="77777777" w:rsidR="00E25764" w:rsidRDefault="00E25764">
      <w:pPr>
        <w:pStyle w:val="TOC5"/>
        <w:rPr>
          <w:rFonts w:asciiTheme="minorHAnsi" w:eastAsiaTheme="minorEastAsia" w:hAnsiTheme="minorHAnsi" w:cstheme="minorBidi"/>
          <w:noProof/>
          <w:sz w:val="22"/>
          <w:szCs w:val="22"/>
          <w:lang w:eastAsia="en-AU"/>
        </w:rPr>
      </w:pPr>
      <w:r>
        <w:rPr>
          <w:noProof/>
        </w:rPr>
        <w:t>5.17D  Estimation of gas collected at the representative zone</w:t>
      </w:r>
      <w:r>
        <w:rPr>
          <w:noProof/>
        </w:rPr>
        <w:tab/>
      </w:r>
      <w:r>
        <w:rPr>
          <w:noProof/>
        </w:rPr>
        <w:fldChar w:fldCharType="begin"/>
      </w:r>
      <w:r>
        <w:rPr>
          <w:noProof/>
        </w:rPr>
        <w:instrText xml:space="preserve"> PAGEREF _Toc495653100 \h </w:instrText>
      </w:r>
      <w:r>
        <w:rPr>
          <w:noProof/>
        </w:rPr>
      </w:r>
      <w:r>
        <w:rPr>
          <w:noProof/>
        </w:rPr>
        <w:fldChar w:fldCharType="separate"/>
      </w:r>
      <w:r w:rsidR="00766D30">
        <w:rPr>
          <w:noProof/>
        </w:rPr>
        <w:t>453</w:t>
      </w:r>
      <w:r>
        <w:rPr>
          <w:noProof/>
        </w:rPr>
        <w:fldChar w:fldCharType="end"/>
      </w:r>
    </w:p>
    <w:p w14:paraId="172FE1C0" w14:textId="77777777" w:rsidR="00E25764" w:rsidRDefault="00E25764">
      <w:pPr>
        <w:pStyle w:val="TOC5"/>
        <w:rPr>
          <w:rFonts w:asciiTheme="minorHAnsi" w:eastAsiaTheme="minorEastAsia" w:hAnsiTheme="minorHAnsi" w:cstheme="minorBidi"/>
          <w:noProof/>
          <w:sz w:val="22"/>
          <w:szCs w:val="22"/>
          <w:lang w:eastAsia="en-AU"/>
        </w:rPr>
      </w:pPr>
      <w:r>
        <w:rPr>
          <w:noProof/>
        </w:rPr>
        <w:t>5.17E  Estimating methane generated but not collected in the representative zone</w:t>
      </w:r>
      <w:r>
        <w:rPr>
          <w:noProof/>
        </w:rPr>
        <w:tab/>
      </w:r>
      <w:r>
        <w:rPr>
          <w:noProof/>
        </w:rPr>
        <w:fldChar w:fldCharType="begin"/>
      </w:r>
      <w:r>
        <w:rPr>
          <w:noProof/>
        </w:rPr>
        <w:instrText xml:space="preserve"> PAGEREF _Toc495653101 \h </w:instrText>
      </w:r>
      <w:r>
        <w:rPr>
          <w:noProof/>
        </w:rPr>
      </w:r>
      <w:r>
        <w:rPr>
          <w:noProof/>
        </w:rPr>
        <w:fldChar w:fldCharType="separate"/>
      </w:r>
      <w:r w:rsidR="00766D30">
        <w:rPr>
          <w:noProof/>
        </w:rPr>
        <w:t>454</w:t>
      </w:r>
      <w:r>
        <w:rPr>
          <w:noProof/>
        </w:rPr>
        <w:fldChar w:fldCharType="end"/>
      </w:r>
    </w:p>
    <w:p w14:paraId="22F42EF6" w14:textId="77777777" w:rsidR="00E25764" w:rsidRDefault="00E25764">
      <w:pPr>
        <w:pStyle w:val="TOC5"/>
        <w:rPr>
          <w:rFonts w:asciiTheme="minorHAnsi" w:eastAsiaTheme="minorEastAsia" w:hAnsiTheme="minorHAnsi" w:cstheme="minorBidi"/>
          <w:noProof/>
          <w:sz w:val="22"/>
          <w:szCs w:val="22"/>
          <w:lang w:eastAsia="en-AU"/>
        </w:rPr>
      </w:pPr>
      <w:r>
        <w:rPr>
          <w:noProof/>
        </w:rPr>
        <w:t>5.17F  Walkover survey</w:t>
      </w:r>
      <w:r>
        <w:rPr>
          <w:noProof/>
        </w:rPr>
        <w:tab/>
      </w:r>
      <w:r>
        <w:rPr>
          <w:noProof/>
        </w:rPr>
        <w:fldChar w:fldCharType="begin"/>
      </w:r>
      <w:r>
        <w:rPr>
          <w:noProof/>
        </w:rPr>
        <w:instrText xml:space="preserve"> PAGEREF _Toc495653102 \h </w:instrText>
      </w:r>
      <w:r>
        <w:rPr>
          <w:noProof/>
        </w:rPr>
      </w:r>
      <w:r>
        <w:rPr>
          <w:noProof/>
        </w:rPr>
        <w:fldChar w:fldCharType="separate"/>
      </w:r>
      <w:r w:rsidR="00766D30">
        <w:rPr>
          <w:noProof/>
        </w:rPr>
        <w:t>454</w:t>
      </w:r>
      <w:r>
        <w:rPr>
          <w:noProof/>
        </w:rPr>
        <w:fldChar w:fldCharType="end"/>
      </w:r>
    </w:p>
    <w:p w14:paraId="0CBA4D4A" w14:textId="77777777" w:rsidR="00E25764" w:rsidRDefault="00E25764">
      <w:pPr>
        <w:pStyle w:val="TOC5"/>
        <w:rPr>
          <w:rFonts w:asciiTheme="minorHAnsi" w:eastAsiaTheme="minorEastAsia" w:hAnsiTheme="minorHAnsi" w:cstheme="minorBidi"/>
          <w:noProof/>
          <w:sz w:val="22"/>
          <w:szCs w:val="22"/>
          <w:lang w:eastAsia="en-AU"/>
        </w:rPr>
      </w:pPr>
      <w:r>
        <w:rPr>
          <w:noProof/>
        </w:rPr>
        <w:t>5.17G  Installation of flux boxes in representative zone</w:t>
      </w:r>
      <w:r>
        <w:rPr>
          <w:noProof/>
        </w:rPr>
        <w:tab/>
      </w:r>
      <w:r>
        <w:rPr>
          <w:noProof/>
        </w:rPr>
        <w:fldChar w:fldCharType="begin"/>
      </w:r>
      <w:r>
        <w:rPr>
          <w:noProof/>
        </w:rPr>
        <w:instrText xml:space="preserve"> PAGEREF _Toc495653103 \h </w:instrText>
      </w:r>
      <w:r>
        <w:rPr>
          <w:noProof/>
        </w:rPr>
      </w:r>
      <w:r>
        <w:rPr>
          <w:noProof/>
        </w:rPr>
        <w:fldChar w:fldCharType="separate"/>
      </w:r>
      <w:r w:rsidR="00766D30">
        <w:rPr>
          <w:noProof/>
        </w:rPr>
        <w:t>455</w:t>
      </w:r>
      <w:r>
        <w:rPr>
          <w:noProof/>
        </w:rPr>
        <w:fldChar w:fldCharType="end"/>
      </w:r>
    </w:p>
    <w:p w14:paraId="6233D304" w14:textId="77777777" w:rsidR="00E25764" w:rsidRDefault="00E25764">
      <w:pPr>
        <w:pStyle w:val="TOC5"/>
        <w:rPr>
          <w:rFonts w:asciiTheme="minorHAnsi" w:eastAsiaTheme="minorEastAsia" w:hAnsiTheme="minorHAnsi" w:cstheme="minorBidi"/>
          <w:noProof/>
          <w:sz w:val="22"/>
          <w:szCs w:val="22"/>
          <w:lang w:eastAsia="en-AU"/>
        </w:rPr>
      </w:pPr>
      <w:r>
        <w:rPr>
          <w:noProof/>
        </w:rPr>
        <w:t>5.17H  Flux box measurements</w:t>
      </w:r>
      <w:r>
        <w:rPr>
          <w:noProof/>
        </w:rPr>
        <w:tab/>
      </w:r>
      <w:r>
        <w:rPr>
          <w:noProof/>
        </w:rPr>
        <w:fldChar w:fldCharType="begin"/>
      </w:r>
      <w:r>
        <w:rPr>
          <w:noProof/>
        </w:rPr>
        <w:instrText xml:space="preserve"> PAGEREF _Toc495653104 \h </w:instrText>
      </w:r>
      <w:r>
        <w:rPr>
          <w:noProof/>
        </w:rPr>
      </w:r>
      <w:r>
        <w:rPr>
          <w:noProof/>
        </w:rPr>
        <w:fldChar w:fldCharType="separate"/>
      </w:r>
      <w:r w:rsidR="00766D30">
        <w:rPr>
          <w:noProof/>
        </w:rPr>
        <w:t>457</w:t>
      </w:r>
      <w:r>
        <w:rPr>
          <w:noProof/>
        </w:rPr>
        <w:fldChar w:fldCharType="end"/>
      </w:r>
    </w:p>
    <w:p w14:paraId="79333710" w14:textId="77777777" w:rsidR="00E25764" w:rsidRDefault="00E25764">
      <w:pPr>
        <w:pStyle w:val="TOC5"/>
        <w:rPr>
          <w:rFonts w:asciiTheme="minorHAnsi" w:eastAsiaTheme="minorEastAsia" w:hAnsiTheme="minorHAnsi" w:cstheme="minorBidi"/>
          <w:noProof/>
          <w:sz w:val="22"/>
          <w:szCs w:val="22"/>
          <w:lang w:eastAsia="en-AU"/>
        </w:rPr>
      </w:pPr>
      <w:r>
        <w:rPr>
          <w:noProof/>
        </w:rPr>
        <w:t>5.17I  When flux box measurements must be taken</w:t>
      </w:r>
      <w:r>
        <w:rPr>
          <w:noProof/>
        </w:rPr>
        <w:tab/>
      </w:r>
      <w:r>
        <w:rPr>
          <w:noProof/>
        </w:rPr>
        <w:fldChar w:fldCharType="begin"/>
      </w:r>
      <w:r>
        <w:rPr>
          <w:noProof/>
        </w:rPr>
        <w:instrText xml:space="preserve"> PAGEREF _Toc495653105 \h </w:instrText>
      </w:r>
      <w:r>
        <w:rPr>
          <w:noProof/>
        </w:rPr>
      </w:r>
      <w:r>
        <w:rPr>
          <w:noProof/>
        </w:rPr>
        <w:fldChar w:fldCharType="separate"/>
      </w:r>
      <w:r w:rsidR="00766D30">
        <w:rPr>
          <w:noProof/>
        </w:rPr>
        <w:t>460</w:t>
      </w:r>
      <w:r>
        <w:rPr>
          <w:noProof/>
        </w:rPr>
        <w:fldChar w:fldCharType="end"/>
      </w:r>
    </w:p>
    <w:p w14:paraId="3CD44F42" w14:textId="77777777" w:rsidR="00E25764" w:rsidRDefault="00E25764">
      <w:pPr>
        <w:pStyle w:val="TOC5"/>
        <w:rPr>
          <w:rFonts w:asciiTheme="minorHAnsi" w:eastAsiaTheme="minorEastAsia" w:hAnsiTheme="minorHAnsi" w:cstheme="minorBidi"/>
          <w:noProof/>
          <w:sz w:val="22"/>
          <w:szCs w:val="22"/>
          <w:lang w:eastAsia="en-AU"/>
        </w:rPr>
      </w:pPr>
      <w:r>
        <w:rPr>
          <w:noProof/>
        </w:rPr>
        <w:t>5.17J  Restrictions on taking flux box measurements</w:t>
      </w:r>
      <w:r>
        <w:rPr>
          <w:noProof/>
        </w:rPr>
        <w:tab/>
      </w:r>
      <w:r>
        <w:rPr>
          <w:noProof/>
        </w:rPr>
        <w:fldChar w:fldCharType="begin"/>
      </w:r>
      <w:r>
        <w:rPr>
          <w:noProof/>
        </w:rPr>
        <w:instrText xml:space="preserve"> PAGEREF _Toc495653106 \h </w:instrText>
      </w:r>
      <w:r>
        <w:rPr>
          <w:noProof/>
        </w:rPr>
      </w:r>
      <w:r>
        <w:rPr>
          <w:noProof/>
        </w:rPr>
        <w:fldChar w:fldCharType="separate"/>
      </w:r>
      <w:r w:rsidR="00766D30">
        <w:rPr>
          <w:noProof/>
        </w:rPr>
        <w:t>460</w:t>
      </w:r>
      <w:r>
        <w:rPr>
          <w:noProof/>
        </w:rPr>
        <w:fldChar w:fldCharType="end"/>
      </w:r>
    </w:p>
    <w:p w14:paraId="37F166ED" w14:textId="77777777" w:rsidR="00E25764" w:rsidRDefault="00E25764">
      <w:pPr>
        <w:pStyle w:val="TOC5"/>
        <w:rPr>
          <w:rFonts w:asciiTheme="minorHAnsi" w:eastAsiaTheme="minorEastAsia" w:hAnsiTheme="minorHAnsi" w:cstheme="minorBidi"/>
          <w:noProof/>
          <w:sz w:val="22"/>
          <w:szCs w:val="22"/>
          <w:lang w:eastAsia="en-AU"/>
        </w:rPr>
      </w:pPr>
      <w:r>
        <w:rPr>
          <w:noProof/>
        </w:rPr>
        <w:t>5.17K  Frequency of measurement</w:t>
      </w:r>
      <w:r>
        <w:rPr>
          <w:noProof/>
        </w:rPr>
        <w:tab/>
      </w:r>
      <w:r>
        <w:rPr>
          <w:noProof/>
        </w:rPr>
        <w:fldChar w:fldCharType="begin"/>
      </w:r>
      <w:r>
        <w:rPr>
          <w:noProof/>
        </w:rPr>
        <w:instrText xml:space="preserve"> PAGEREF _Toc495653107 \h </w:instrText>
      </w:r>
      <w:r>
        <w:rPr>
          <w:noProof/>
        </w:rPr>
      </w:r>
      <w:r>
        <w:rPr>
          <w:noProof/>
        </w:rPr>
        <w:fldChar w:fldCharType="separate"/>
      </w:r>
      <w:r w:rsidR="00766D30">
        <w:rPr>
          <w:noProof/>
        </w:rPr>
        <w:t>461</w:t>
      </w:r>
      <w:r>
        <w:rPr>
          <w:noProof/>
        </w:rPr>
        <w:fldChar w:fldCharType="end"/>
      </w:r>
    </w:p>
    <w:p w14:paraId="430664AB" w14:textId="77777777" w:rsidR="00E25764" w:rsidRDefault="00E25764">
      <w:pPr>
        <w:pStyle w:val="TOC5"/>
        <w:rPr>
          <w:rFonts w:asciiTheme="minorHAnsi" w:eastAsiaTheme="minorEastAsia" w:hAnsiTheme="minorHAnsi" w:cstheme="minorBidi"/>
          <w:noProof/>
          <w:sz w:val="22"/>
          <w:szCs w:val="22"/>
          <w:lang w:eastAsia="en-AU"/>
        </w:rPr>
      </w:pPr>
      <w:r>
        <w:rPr>
          <w:noProof/>
        </w:rPr>
        <w:t>5.17L  Calculating the methane generation constant (</w:t>
      </w:r>
      <w:r w:rsidRPr="00EF3CB8">
        <w:rPr>
          <w:i/>
          <w:noProof/>
        </w:rPr>
        <w:t>k</w:t>
      </w:r>
      <w:r w:rsidRPr="00EF3CB8">
        <w:rPr>
          <w:i/>
          <w:noProof/>
          <w:vertAlign w:val="subscript"/>
        </w:rPr>
        <w:t>i</w:t>
      </w:r>
      <w:r>
        <w:rPr>
          <w:noProof/>
        </w:rPr>
        <w:t>) for certain waste mix types</w:t>
      </w:r>
      <w:r>
        <w:rPr>
          <w:noProof/>
        </w:rPr>
        <w:tab/>
      </w:r>
      <w:r>
        <w:rPr>
          <w:noProof/>
        </w:rPr>
        <w:fldChar w:fldCharType="begin"/>
      </w:r>
      <w:r>
        <w:rPr>
          <w:noProof/>
        </w:rPr>
        <w:instrText xml:space="preserve"> PAGEREF _Toc495653108 \h </w:instrText>
      </w:r>
      <w:r>
        <w:rPr>
          <w:noProof/>
        </w:rPr>
      </w:r>
      <w:r>
        <w:rPr>
          <w:noProof/>
        </w:rPr>
        <w:fldChar w:fldCharType="separate"/>
      </w:r>
      <w:r w:rsidR="00766D30">
        <w:rPr>
          <w:noProof/>
        </w:rPr>
        <w:t>461</w:t>
      </w:r>
      <w:r>
        <w:rPr>
          <w:noProof/>
        </w:rPr>
        <w:fldChar w:fldCharType="end"/>
      </w:r>
    </w:p>
    <w:p w14:paraId="6750D467"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5.2.4—Method 3—emissions of methane released from solid waste at landfills</w:t>
      </w:r>
      <w:r>
        <w:rPr>
          <w:noProof/>
        </w:rPr>
        <w:tab/>
      </w:r>
      <w:r>
        <w:rPr>
          <w:noProof/>
        </w:rPr>
        <w:fldChar w:fldCharType="begin"/>
      </w:r>
      <w:r>
        <w:rPr>
          <w:noProof/>
        </w:rPr>
        <w:instrText xml:space="preserve"> PAGEREF _Toc495653109 \h </w:instrText>
      </w:r>
      <w:r>
        <w:rPr>
          <w:noProof/>
        </w:rPr>
      </w:r>
      <w:r>
        <w:rPr>
          <w:noProof/>
        </w:rPr>
        <w:fldChar w:fldCharType="separate"/>
      </w:r>
      <w:r w:rsidR="00766D30">
        <w:rPr>
          <w:noProof/>
        </w:rPr>
        <w:t>465</w:t>
      </w:r>
      <w:r>
        <w:rPr>
          <w:noProof/>
        </w:rPr>
        <w:fldChar w:fldCharType="end"/>
      </w:r>
    </w:p>
    <w:p w14:paraId="22F15CEB" w14:textId="77777777" w:rsidR="00E25764" w:rsidRDefault="00E25764">
      <w:pPr>
        <w:pStyle w:val="TOC5"/>
        <w:rPr>
          <w:rFonts w:asciiTheme="minorHAnsi" w:eastAsiaTheme="minorEastAsia" w:hAnsiTheme="minorHAnsi" w:cstheme="minorBidi"/>
          <w:noProof/>
          <w:sz w:val="22"/>
          <w:szCs w:val="22"/>
          <w:lang w:eastAsia="en-AU"/>
        </w:rPr>
      </w:pPr>
      <w:r>
        <w:rPr>
          <w:noProof/>
        </w:rPr>
        <w:t>5.18  Method 3—methane released from solid waste at landfills (other than from flaring of methane)</w:t>
      </w:r>
      <w:r>
        <w:rPr>
          <w:noProof/>
        </w:rPr>
        <w:tab/>
      </w:r>
      <w:r>
        <w:rPr>
          <w:noProof/>
        </w:rPr>
        <w:fldChar w:fldCharType="begin"/>
      </w:r>
      <w:r>
        <w:rPr>
          <w:noProof/>
        </w:rPr>
        <w:instrText xml:space="preserve"> PAGEREF _Toc495653110 \h </w:instrText>
      </w:r>
      <w:r>
        <w:rPr>
          <w:noProof/>
        </w:rPr>
      </w:r>
      <w:r>
        <w:rPr>
          <w:noProof/>
        </w:rPr>
        <w:fldChar w:fldCharType="separate"/>
      </w:r>
      <w:r w:rsidR="00766D30">
        <w:rPr>
          <w:noProof/>
        </w:rPr>
        <w:t>465</w:t>
      </w:r>
      <w:r>
        <w:rPr>
          <w:noProof/>
        </w:rPr>
        <w:fldChar w:fldCharType="end"/>
      </w:r>
    </w:p>
    <w:p w14:paraId="2086739F"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5.2.5—Solid waste at landfills—Flaring</w:t>
      </w:r>
      <w:r>
        <w:rPr>
          <w:noProof/>
        </w:rPr>
        <w:tab/>
      </w:r>
      <w:r>
        <w:rPr>
          <w:noProof/>
        </w:rPr>
        <w:fldChar w:fldCharType="begin"/>
      </w:r>
      <w:r>
        <w:rPr>
          <w:noProof/>
        </w:rPr>
        <w:instrText xml:space="preserve"> PAGEREF _Toc495653111 \h </w:instrText>
      </w:r>
      <w:r>
        <w:rPr>
          <w:noProof/>
        </w:rPr>
      </w:r>
      <w:r>
        <w:rPr>
          <w:noProof/>
        </w:rPr>
        <w:fldChar w:fldCharType="separate"/>
      </w:r>
      <w:r w:rsidR="00766D30">
        <w:rPr>
          <w:noProof/>
        </w:rPr>
        <w:t>466</w:t>
      </w:r>
      <w:r>
        <w:rPr>
          <w:noProof/>
        </w:rPr>
        <w:fldChar w:fldCharType="end"/>
      </w:r>
    </w:p>
    <w:p w14:paraId="610E62D7" w14:textId="77777777" w:rsidR="00E25764" w:rsidRDefault="00E25764">
      <w:pPr>
        <w:pStyle w:val="TOC5"/>
        <w:rPr>
          <w:rFonts w:asciiTheme="minorHAnsi" w:eastAsiaTheme="minorEastAsia" w:hAnsiTheme="minorHAnsi" w:cstheme="minorBidi"/>
          <w:noProof/>
          <w:sz w:val="22"/>
          <w:szCs w:val="22"/>
          <w:lang w:eastAsia="en-AU"/>
        </w:rPr>
      </w:pPr>
      <w:r>
        <w:rPr>
          <w:noProof/>
        </w:rPr>
        <w:t>5.19  Method 1—landfill gas flared</w:t>
      </w:r>
      <w:r>
        <w:rPr>
          <w:noProof/>
        </w:rPr>
        <w:tab/>
      </w:r>
      <w:r>
        <w:rPr>
          <w:noProof/>
        </w:rPr>
        <w:fldChar w:fldCharType="begin"/>
      </w:r>
      <w:r>
        <w:rPr>
          <w:noProof/>
        </w:rPr>
        <w:instrText xml:space="preserve"> PAGEREF _Toc495653112 \h </w:instrText>
      </w:r>
      <w:r>
        <w:rPr>
          <w:noProof/>
        </w:rPr>
      </w:r>
      <w:r>
        <w:rPr>
          <w:noProof/>
        </w:rPr>
        <w:fldChar w:fldCharType="separate"/>
      </w:r>
      <w:r w:rsidR="00766D30">
        <w:rPr>
          <w:noProof/>
        </w:rPr>
        <w:t>466</w:t>
      </w:r>
      <w:r>
        <w:rPr>
          <w:noProof/>
        </w:rPr>
        <w:fldChar w:fldCharType="end"/>
      </w:r>
    </w:p>
    <w:p w14:paraId="7FF2C844" w14:textId="77777777" w:rsidR="00E25764" w:rsidRDefault="00E25764">
      <w:pPr>
        <w:pStyle w:val="TOC5"/>
        <w:rPr>
          <w:rFonts w:asciiTheme="minorHAnsi" w:eastAsiaTheme="minorEastAsia" w:hAnsiTheme="minorHAnsi" w:cstheme="minorBidi"/>
          <w:noProof/>
          <w:sz w:val="22"/>
          <w:szCs w:val="22"/>
          <w:lang w:eastAsia="en-AU"/>
        </w:rPr>
      </w:pPr>
      <w:r>
        <w:rPr>
          <w:noProof/>
        </w:rPr>
        <w:t>5.20  Method 2—landfill gas flared</w:t>
      </w:r>
      <w:r>
        <w:rPr>
          <w:noProof/>
        </w:rPr>
        <w:tab/>
      </w:r>
      <w:r>
        <w:rPr>
          <w:noProof/>
        </w:rPr>
        <w:fldChar w:fldCharType="begin"/>
      </w:r>
      <w:r>
        <w:rPr>
          <w:noProof/>
        </w:rPr>
        <w:instrText xml:space="preserve"> PAGEREF _Toc495653113 \h </w:instrText>
      </w:r>
      <w:r>
        <w:rPr>
          <w:noProof/>
        </w:rPr>
      </w:r>
      <w:r>
        <w:rPr>
          <w:noProof/>
        </w:rPr>
        <w:fldChar w:fldCharType="separate"/>
      </w:r>
      <w:r w:rsidR="00766D30">
        <w:rPr>
          <w:noProof/>
        </w:rPr>
        <w:t>466</w:t>
      </w:r>
      <w:r>
        <w:rPr>
          <w:noProof/>
        </w:rPr>
        <w:fldChar w:fldCharType="end"/>
      </w:r>
    </w:p>
    <w:p w14:paraId="1FF9C3B4" w14:textId="77777777" w:rsidR="00E25764" w:rsidRDefault="00E25764">
      <w:pPr>
        <w:pStyle w:val="TOC5"/>
        <w:rPr>
          <w:rFonts w:asciiTheme="minorHAnsi" w:eastAsiaTheme="minorEastAsia" w:hAnsiTheme="minorHAnsi" w:cstheme="minorBidi"/>
          <w:noProof/>
          <w:sz w:val="22"/>
          <w:szCs w:val="22"/>
          <w:lang w:eastAsia="en-AU"/>
        </w:rPr>
      </w:pPr>
      <w:r>
        <w:rPr>
          <w:noProof/>
        </w:rPr>
        <w:t>5.21  Method 3—landfill gas flared</w:t>
      </w:r>
      <w:r>
        <w:rPr>
          <w:noProof/>
        </w:rPr>
        <w:tab/>
      </w:r>
      <w:r>
        <w:rPr>
          <w:noProof/>
        </w:rPr>
        <w:fldChar w:fldCharType="begin"/>
      </w:r>
      <w:r>
        <w:rPr>
          <w:noProof/>
        </w:rPr>
        <w:instrText xml:space="preserve"> PAGEREF _Toc495653114 \h </w:instrText>
      </w:r>
      <w:r>
        <w:rPr>
          <w:noProof/>
        </w:rPr>
      </w:r>
      <w:r>
        <w:rPr>
          <w:noProof/>
        </w:rPr>
        <w:fldChar w:fldCharType="separate"/>
      </w:r>
      <w:r w:rsidR="00766D30">
        <w:rPr>
          <w:noProof/>
        </w:rPr>
        <w:t>467</w:t>
      </w:r>
      <w:r>
        <w:rPr>
          <w:noProof/>
        </w:rPr>
        <w:fldChar w:fldCharType="end"/>
      </w:r>
    </w:p>
    <w:p w14:paraId="4BD5928D"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5.2.6—Biological treatment of solid waste</w:t>
      </w:r>
      <w:r>
        <w:rPr>
          <w:noProof/>
        </w:rPr>
        <w:tab/>
      </w:r>
      <w:r>
        <w:rPr>
          <w:noProof/>
        </w:rPr>
        <w:fldChar w:fldCharType="begin"/>
      </w:r>
      <w:r>
        <w:rPr>
          <w:noProof/>
        </w:rPr>
        <w:instrText xml:space="preserve"> PAGEREF _Toc495653115 \h </w:instrText>
      </w:r>
      <w:r>
        <w:rPr>
          <w:noProof/>
        </w:rPr>
      </w:r>
      <w:r>
        <w:rPr>
          <w:noProof/>
        </w:rPr>
        <w:fldChar w:fldCharType="separate"/>
      </w:r>
      <w:r w:rsidR="00766D30">
        <w:rPr>
          <w:noProof/>
        </w:rPr>
        <w:t>467</w:t>
      </w:r>
      <w:r>
        <w:rPr>
          <w:noProof/>
        </w:rPr>
        <w:fldChar w:fldCharType="end"/>
      </w:r>
    </w:p>
    <w:p w14:paraId="5B6413F9" w14:textId="77777777" w:rsidR="00E25764" w:rsidRDefault="00E25764">
      <w:pPr>
        <w:pStyle w:val="TOC5"/>
        <w:rPr>
          <w:rFonts w:asciiTheme="minorHAnsi" w:eastAsiaTheme="minorEastAsia" w:hAnsiTheme="minorHAnsi" w:cstheme="minorBidi"/>
          <w:noProof/>
          <w:sz w:val="22"/>
          <w:szCs w:val="22"/>
          <w:lang w:eastAsia="en-AU"/>
        </w:rPr>
      </w:pPr>
      <w:r>
        <w:rPr>
          <w:noProof/>
        </w:rPr>
        <w:t>5.22  Method 1—emissions of methane and nitrous oxide from biological treatment of solid waste at a landfill</w:t>
      </w:r>
      <w:r>
        <w:rPr>
          <w:noProof/>
        </w:rPr>
        <w:tab/>
      </w:r>
      <w:r>
        <w:rPr>
          <w:noProof/>
        </w:rPr>
        <w:fldChar w:fldCharType="begin"/>
      </w:r>
      <w:r>
        <w:rPr>
          <w:noProof/>
        </w:rPr>
        <w:instrText xml:space="preserve"> PAGEREF _Toc495653116 \h </w:instrText>
      </w:r>
      <w:r>
        <w:rPr>
          <w:noProof/>
        </w:rPr>
      </w:r>
      <w:r>
        <w:rPr>
          <w:noProof/>
        </w:rPr>
        <w:fldChar w:fldCharType="separate"/>
      </w:r>
      <w:r w:rsidR="00766D30">
        <w:rPr>
          <w:noProof/>
        </w:rPr>
        <w:t>467</w:t>
      </w:r>
      <w:r>
        <w:rPr>
          <w:noProof/>
        </w:rPr>
        <w:fldChar w:fldCharType="end"/>
      </w:r>
    </w:p>
    <w:p w14:paraId="295F0EC0" w14:textId="77777777" w:rsidR="00E25764" w:rsidRDefault="00E25764">
      <w:pPr>
        <w:pStyle w:val="TOC5"/>
        <w:rPr>
          <w:rFonts w:asciiTheme="minorHAnsi" w:eastAsiaTheme="minorEastAsia" w:hAnsiTheme="minorHAnsi" w:cstheme="minorBidi"/>
          <w:noProof/>
          <w:sz w:val="22"/>
          <w:szCs w:val="22"/>
          <w:lang w:eastAsia="en-AU"/>
        </w:rPr>
      </w:pPr>
      <w:r>
        <w:rPr>
          <w:noProof/>
        </w:rPr>
        <w:t>5.22AA  Method 4—biological treatment of solid waste at the landfill</w:t>
      </w:r>
      <w:r>
        <w:rPr>
          <w:noProof/>
        </w:rPr>
        <w:tab/>
      </w:r>
      <w:r>
        <w:rPr>
          <w:noProof/>
        </w:rPr>
        <w:fldChar w:fldCharType="begin"/>
      </w:r>
      <w:r>
        <w:rPr>
          <w:noProof/>
        </w:rPr>
        <w:instrText xml:space="preserve"> PAGEREF _Toc495653117 \h </w:instrText>
      </w:r>
      <w:r>
        <w:rPr>
          <w:noProof/>
        </w:rPr>
      </w:r>
      <w:r>
        <w:rPr>
          <w:noProof/>
        </w:rPr>
        <w:fldChar w:fldCharType="separate"/>
      </w:r>
      <w:r w:rsidR="00766D30">
        <w:rPr>
          <w:noProof/>
        </w:rPr>
        <w:t>468</w:t>
      </w:r>
      <w:r>
        <w:rPr>
          <w:noProof/>
        </w:rPr>
        <w:fldChar w:fldCharType="end"/>
      </w:r>
    </w:p>
    <w:p w14:paraId="3EC5A6AE"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5.2.7—Legacy emissions and non</w:t>
      </w:r>
      <w:r>
        <w:rPr>
          <w:noProof/>
        </w:rPr>
        <w:noBreakHyphen/>
        <w:t>legacy emissions</w:t>
      </w:r>
      <w:r>
        <w:rPr>
          <w:noProof/>
        </w:rPr>
        <w:tab/>
      </w:r>
      <w:r>
        <w:rPr>
          <w:noProof/>
        </w:rPr>
        <w:fldChar w:fldCharType="begin"/>
      </w:r>
      <w:r>
        <w:rPr>
          <w:noProof/>
        </w:rPr>
        <w:instrText xml:space="preserve"> PAGEREF _Toc495653118 \h </w:instrText>
      </w:r>
      <w:r>
        <w:rPr>
          <w:noProof/>
        </w:rPr>
      </w:r>
      <w:r>
        <w:rPr>
          <w:noProof/>
        </w:rPr>
        <w:fldChar w:fldCharType="separate"/>
      </w:r>
      <w:r w:rsidR="00766D30">
        <w:rPr>
          <w:noProof/>
        </w:rPr>
        <w:t>469</w:t>
      </w:r>
      <w:r>
        <w:rPr>
          <w:noProof/>
        </w:rPr>
        <w:fldChar w:fldCharType="end"/>
      </w:r>
    </w:p>
    <w:p w14:paraId="3F982D43" w14:textId="77777777" w:rsidR="00E25764" w:rsidRDefault="00E25764">
      <w:pPr>
        <w:pStyle w:val="TOC5"/>
        <w:rPr>
          <w:rFonts w:asciiTheme="minorHAnsi" w:eastAsiaTheme="minorEastAsia" w:hAnsiTheme="minorHAnsi" w:cstheme="minorBidi"/>
          <w:noProof/>
          <w:sz w:val="22"/>
          <w:szCs w:val="22"/>
          <w:lang w:eastAsia="en-AU"/>
        </w:rPr>
      </w:pPr>
      <w:r>
        <w:rPr>
          <w:noProof/>
        </w:rPr>
        <w:t>5.22A  Legacy emissions estimated using method 1—sub</w:t>
      </w:r>
      <w:r>
        <w:rPr>
          <w:noProof/>
        </w:rPr>
        <w:noBreakHyphen/>
        <w:t>facility zone options</w:t>
      </w:r>
      <w:r>
        <w:rPr>
          <w:noProof/>
        </w:rPr>
        <w:tab/>
      </w:r>
      <w:r>
        <w:rPr>
          <w:noProof/>
        </w:rPr>
        <w:fldChar w:fldCharType="begin"/>
      </w:r>
      <w:r>
        <w:rPr>
          <w:noProof/>
        </w:rPr>
        <w:instrText xml:space="preserve"> PAGEREF _Toc495653119 \h </w:instrText>
      </w:r>
      <w:r>
        <w:rPr>
          <w:noProof/>
        </w:rPr>
      </w:r>
      <w:r>
        <w:rPr>
          <w:noProof/>
        </w:rPr>
        <w:fldChar w:fldCharType="separate"/>
      </w:r>
      <w:r w:rsidR="00766D30">
        <w:rPr>
          <w:noProof/>
        </w:rPr>
        <w:t>469</w:t>
      </w:r>
      <w:r>
        <w:rPr>
          <w:noProof/>
        </w:rPr>
        <w:fldChar w:fldCharType="end"/>
      </w:r>
    </w:p>
    <w:p w14:paraId="4C0D4B31" w14:textId="77777777" w:rsidR="00E25764" w:rsidRDefault="00E25764">
      <w:pPr>
        <w:pStyle w:val="TOC5"/>
        <w:rPr>
          <w:rFonts w:asciiTheme="minorHAnsi" w:eastAsiaTheme="minorEastAsia" w:hAnsiTheme="minorHAnsi" w:cstheme="minorBidi"/>
          <w:noProof/>
          <w:sz w:val="22"/>
          <w:szCs w:val="22"/>
          <w:lang w:eastAsia="en-AU"/>
        </w:rPr>
      </w:pPr>
      <w:r>
        <w:rPr>
          <w:noProof/>
        </w:rPr>
        <w:t>5.22B  Legacy emissions—formula and unit of measurement</w:t>
      </w:r>
      <w:r>
        <w:rPr>
          <w:noProof/>
        </w:rPr>
        <w:tab/>
      </w:r>
      <w:r>
        <w:rPr>
          <w:noProof/>
        </w:rPr>
        <w:fldChar w:fldCharType="begin"/>
      </w:r>
      <w:r>
        <w:rPr>
          <w:noProof/>
        </w:rPr>
        <w:instrText xml:space="preserve"> PAGEREF _Toc495653120 \h </w:instrText>
      </w:r>
      <w:r>
        <w:rPr>
          <w:noProof/>
        </w:rPr>
      </w:r>
      <w:r>
        <w:rPr>
          <w:noProof/>
        </w:rPr>
        <w:fldChar w:fldCharType="separate"/>
      </w:r>
      <w:r w:rsidR="00766D30">
        <w:rPr>
          <w:noProof/>
        </w:rPr>
        <w:t>469</w:t>
      </w:r>
      <w:r>
        <w:rPr>
          <w:noProof/>
        </w:rPr>
        <w:fldChar w:fldCharType="end"/>
      </w:r>
    </w:p>
    <w:p w14:paraId="350A6733" w14:textId="77777777" w:rsidR="00E25764" w:rsidRDefault="00E25764">
      <w:pPr>
        <w:pStyle w:val="TOC5"/>
        <w:rPr>
          <w:rFonts w:asciiTheme="minorHAnsi" w:eastAsiaTheme="minorEastAsia" w:hAnsiTheme="minorHAnsi" w:cstheme="minorBidi"/>
          <w:noProof/>
          <w:sz w:val="22"/>
          <w:szCs w:val="22"/>
          <w:lang w:eastAsia="en-AU"/>
        </w:rPr>
      </w:pPr>
      <w:r>
        <w:rPr>
          <w:noProof/>
        </w:rPr>
        <w:lastRenderedPageBreak/>
        <w:t>5.22C  How to estimate quantity of methane captured for combustion from legacy waste for each sub</w:t>
      </w:r>
      <w:r>
        <w:rPr>
          <w:noProof/>
        </w:rPr>
        <w:noBreakHyphen/>
        <w:t>facility zone</w:t>
      </w:r>
      <w:r>
        <w:rPr>
          <w:noProof/>
        </w:rPr>
        <w:tab/>
      </w:r>
      <w:r>
        <w:rPr>
          <w:noProof/>
        </w:rPr>
        <w:fldChar w:fldCharType="begin"/>
      </w:r>
      <w:r>
        <w:rPr>
          <w:noProof/>
        </w:rPr>
        <w:instrText xml:space="preserve"> PAGEREF _Toc495653121 \h </w:instrText>
      </w:r>
      <w:r>
        <w:rPr>
          <w:noProof/>
        </w:rPr>
      </w:r>
      <w:r>
        <w:rPr>
          <w:noProof/>
        </w:rPr>
        <w:fldChar w:fldCharType="separate"/>
      </w:r>
      <w:r w:rsidR="00766D30">
        <w:rPr>
          <w:noProof/>
        </w:rPr>
        <w:t>471</w:t>
      </w:r>
      <w:r>
        <w:rPr>
          <w:noProof/>
        </w:rPr>
        <w:fldChar w:fldCharType="end"/>
      </w:r>
    </w:p>
    <w:p w14:paraId="6B25E58B" w14:textId="77777777" w:rsidR="00E25764" w:rsidRDefault="00E25764">
      <w:pPr>
        <w:pStyle w:val="TOC5"/>
        <w:rPr>
          <w:rFonts w:asciiTheme="minorHAnsi" w:eastAsiaTheme="minorEastAsia" w:hAnsiTheme="minorHAnsi" w:cstheme="minorBidi"/>
          <w:noProof/>
          <w:sz w:val="22"/>
          <w:szCs w:val="22"/>
          <w:lang w:eastAsia="en-AU"/>
        </w:rPr>
      </w:pPr>
      <w:r>
        <w:rPr>
          <w:noProof/>
        </w:rPr>
        <w:t>5.22D  How to estimate quantity of methane in landfill gas flared from legacy waste in a sub</w:t>
      </w:r>
      <w:r>
        <w:rPr>
          <w:noProof/>
        </w:rPr>
        <w:noBreakHyphen/>
        <w:t>facility zone</w:t>
      </w:r>
      <w:r>
        <w:rPr>
          <w:noProof/>
        </w:rPr>
        <w:tab/>
      </w:r>
      <w:r>
        <w:rPr>
          <w:noProof/>
        </w:rPr>
        <w:fldChar w:fldCharType="begin"/>
      </w:r>
      <w:r>
        <w:rPr>
          <w:noProof/>
        </w:rPr>
        <w:instrText xml:space="preserve"> PAGEREF _Toc495653122 \h </w:instrText>
      </w:r>
      <w:r>
        <w:rPr>
          <w:noProof/>
        </w:rPr>
      </w:r>
      <w:r>
        <w:rPr>
          <w:noProof/>
        </w:rPr>
        <w:fldChar w:fldCharType="separate"/>
      </w:r>
      <w:r w:rsidR="00766D30">
        <w:rPr>
          <w:noProof/>
        </w:rPr>
        <w:t>471</w:t>
      </w:r>
      <w:r>
        <w:rPr>
          <w:noProof/>
        </w:rPr>
        <w:fldChar w:fldCharType="end"/>
      </w:r>
    </w:p>
    <w:p w14:paraId="27E3F36B" w14:textId="77777777" w:rsidR="00E25764" w:rsidRDefault="00E25764">
      <w:pPr>
        <w:pStyle w:val="TOC5"/>
        <w:rPr>
          <w:rFonts w:asciiTheme="minorHAnsi" w:eastAsiaTheme="minorEastAsia" w:hAnsiTheme="minorHAnsi" w:cstheme="minorBidi"/>
          <w:noProof/>
          <w:sz w:val="22"/>
          <w:szCs w:val="22"/>
          <w:lang w:eastAsia="en-AU"/>
        </w:rPr>
      </w:pPr>
      <w:r>
        <w:rPr>
          <w:noProof/>
        </w:rPr>
        <w:t>5.22E  How to estimate quantity of methane captured for transfer out of landfill from legacy waste for each sub</w:t>
      </w:r>
      <w:r>
        <w:rPr>
          <w:noProof/>
        </w:rPr>
        <w:noBreakHyphen/>
        <w:t>facility zone</w:t>
      </w:r>
      <w:r>
        <w:rPr>
          <w:noProof/>
        </w:rPr>
        <w:tab/>
      </w:r>
      <w:r>
        <w:rPr>
          <w:noProof/>
        </w:rPr>
        <w:fldChar w:fldCharType="begin"/>
      </w:r>
      <w:r>
        <w:rPr>
          <w:noProof/>
        </w:rPr>
        <w:instrText xml:space="preserve"> PAGEREF _Toc495653123 \h </w:instrText>
      </w:r>
      <w:r>
        <w:rPr>
          <w:noProof/>
        </w:rPr>
      </w:r>
      <w:r>
        <w:rPr>
          <w:noProof/>
        </w:rPr>
        <w:fldChar w:fldCharType="separate"/>
      </w:r>
      <w:r w:rsidR="00766D30">
        <w:rPr>
          <w:noProof/>
        </w:rPr>
        <w:t>472</w:t>
      </w:r>
      <w:r>
        <w:rPr>
          <w:noProof/>
        </w:rPr>
        <w:fldChar w:fldCharType="end"/>
      </w:r>
    </w:p>
    <w:p w14:paraId="6EFE1554" w14:textId="77777777" w:rsidR="00E25764" w:rsidRDefault="00E25764">
      <w:pPr>
        <w:pStyle w:val="TOC5"/>
        <w:rPr>
          <w:rFonts w:asciiTheme="minorHAnsi" w:eastAsiaTheme="minorEastAsia" w:hAnsiTheme="minorHAnsi" w:cstheme="minorBidi"/>
          <w:noProof/>
          <w:sz w:val="22"/>
          <w:szCs w:val="22"/>
          <w:lang w:eastAsia="en-AU"/>
        </w:rPr>
      </w:pPr>
      <w:r>
        <w:rPr>
          <w:noProof/>
        </w:rPr>
        <w:t>5.22F  How to calculate the quantity of methane generated from legacy waste for a sub</w:t>
      </w:r>
      <w:r>
        <w:rPr>
          <w:noProof/>
        </w:rPr>
        <w:noBreakHyphen/>
        <w:t xml:space="preserve">facility zone </w:t>
      </w:r>
      <w:r w:rsidRPr="00EF3CB8">
        <w:rPr>
          <w:rFonts w:cs="Arial"/>
          <w:noProof/>
        </w:rPr>
        <w:t>(CH</w:t>
      </w:r>
      <w:r w:rsidRPr="00EF3CB8">
        <w:rPr>
          <w:rFonts w:cs="Arial"/>
          <w:noProof/>
          <w:vertAlign w:val="subscript"/>
        </w:rPr>
        <w:t>4genlw</w:t>
      </w:r>
      <w:r w:rsidRPr="00EF3CB8">
        <w:rPr>
          <w:rFonts w:cs="Arial"/>
          <w:noProof/>
        </w:rPr>
        <w:t xml:space="preserve"> </w:t>
      </w:r>
      <w:r w:rsidRPr="00EF3CB8">
        <w:rPr>
          <w:rFonts w:cs="Arial"/>
          <w:noProof/>
          <w:vertAlign w:val="subscript"/>
        </w:rPr>
        <w:t>z</w:t>
      </w:r>
      <w:r w:rsidRPr="00EF3CB8">
        <w:rPr>
          <w:rFonts w:cs="Arial"/>
          <w:noProof/>
        </w:rPr>
        <w:t>)</w:t>
      </w:r>
      <w:r>
        <w:rPr>
          <w:noProof/>
        </w:rPr>
        <w:tab/>
      </w:r>
      <w:r>
        <w:rPr>
          <w:noProof/>
        </w:rPr>
        <w:fldChar w:fldCharType="begin"/>
      </w:r>
      <w:r>
        <w:rPr>
          <w:noProof/>
        </w:rPr>
        <w:instrText xml:space="preserve"> PAGEREF _Toc495653124 \h </w:instrText>
      </w:r>
      <w:r>
        <w:rPr>
          <w:noProof/>
        </w:rPr>
      </w:r>
      <w:r>
        <w:rPr>
          <w:noProof/>
        </w:rPr>
        <w:fldChar w:fldCharType="separate"/>
      </w:r>
      <w:r w:rsidR="00766D30">
        <w:rPr>
          <w:noProof/>
        </w:rPr>
        <w:t>472</w:t>
      </w:r>
      <w:r>
        <w:rPr>
          <w:noProof/>
        </w:rPr>
        <w:fldChar w:fldCharType="end"/>
      </w:r>
    </w:p>
    <w:p w14:paraId="24851FF8" w14:textId="77777777" w:rsidR="00E25764" w:rsidRDefault="00E25764">
      <w:pPr>
        <w:pStyle w:val="TOC5"/>
        <w:rPr>
          <w:rFonts w:asciiTheme="minorHAnsi" w:eastAsiaTheme="minorEastAsia" w:hAnsiTheme="minorHAnsi" w:cstheme="minorBidi"/>
          <w:noProof/>
          <w:sz w:val="22"/>
          <w:szCs w:val="22"/>
          <w:lang w:eastAsia="en-AU"/>
        </w:rPr>
      </w:pPr>
      <w:r>
        <w:rPr>
          <w:noProof/>
        </w:rPr>
        <w:t>5.22G  How to calculate total methane generated from legacy waste</w:t>
      </w:r>
      <w:r>
        <w:rPr>
          <w:noProof/>
        </w:rPr>
        <w:tab/>
      </w:r>
      <w:r>
        <w:rPr>
          <w:noProof/>
        </w:rPr>
        <w:fldChar w:fldCharType="begin"/>
      </w:r>
      <w:r>
        <w:rPr>
          <w:noProof/>
        </w:rPr>
        <w:instrText xml:space="preserve"> PAGEREF _Toc495653125 \h </w:instrText>
      </w:r>
      <w:r>
        <w:rPr>
          <w:noProof/>
        </w:rPr>
      </w:r>
      <w:r>
        <w:rPr>
          <w:noProof/>
        </w:rPr>
        <w:fldChar w:fldCharType="separate"/>
      </w:r>
      <w:r w:rsidR="00766D30">
        <w:rPr>
          <w:noProof/>
        </w:rPr>
        <w:t>473</w:t>
      </w:r>
      <w:r>
        <w:rPr>
          <w:noProof/>
        </w:rPr>
        <w:fldChar w:fldCharType="end"/>
      </w:r>
    </w:p>
    <w:p w14:paraId="222828AA" w14:textId="77777777" w:rsidR="00E25764" w:rsidRDefault="00E25764">
      <w:pPr>
        <w:pStyle w:val="TOC5"/>
        <w:rPr>
          <w:rFonts w:asciiTheme="minorHAnsi" w:eastAsiaTheme="minorEastAsia" w:hAnsiTheme="minorHAnsi" w:cstheme="minorBidi"/>
          <w:noProof/>
          <w:sz w:val="22"/>
          <w:szCs w:val="22"/>
          <w:lang w:eastAsia="en-AU"/>
        </w:rPr>
      </w:pPr>
      <w:r>
        <w:rPr>
          <w:noProof/>
        </w:rPr>
        <w:t>5.22H  How to calculate total methane captured and combusted from methane generated from legacy waste</w:t>
      </w:r>
      <w:r>
        <w:rPr>
          <w:noProof/>
        </w:rPr>
        <w:tab/>
      </w:r>
      <w:r>
        <w:rPr>
          <w:noProof/>
        </w:rPr>
        <w:fldChar w:fldCharType="begin"/>
      </w:r>
      <w:r>
        <w:rPr>
          <w:noProof/>
        </w:rPr>
        <w:instrText xml:space="preserve"> PAGEREF _Toc495653126 \h </w:instrText>
      </w:r>
      <w:r>
        <w:rPr>
          <w:noProof/>
        </w:rPr>
      </w:r>
      <w:r>
        <w:rPr>
          <w:noProof/>
        </w:rPr>
        <w:fldChar w:fldCharType="separate"/>
      </w:r>
      <w:r w:rsidR="00766D30">
        <w:rPr>
          <w:noProof/>
        </w:rPr>
        <w:t>473</w:t>
      </w:r>
      <w:r>
        <w:rPr>
          <w:noProof/>
        </w:rPr>
        <w:fldChar w:fldCharType="end"/>
      </w:r>
    </w:p>
    <w:p w14:paraId="79ACC4BE" w14:textId="77777777" w:rsidR="00E25764" w:rsidRDefault="00E25764">
      <w:pPr>
        <w:pStyle w:val="TOC5"/>
        <w:rPr>
          <w:rFonts w:asciiTheme="minorHAnsi" w:eastAsiaTheme="minorEastAsia" w:hAnsiTheme="minorHAnsi" w:cstheme="minorBidi"/>
          <w:noProof/>
          <w:sz w:val="22"/>
          <w:szCs w:val="22"/>
          <w:lang w:eastAsia="en-AU"/>
        </w:rPr>
      </w:pPr>
      <w:r>
        <w:rPr>
          <w:noProof/>
        </w:rPr>
        <w:t>5.22J  How to calculate total methane captured and transferred offsite from methane generated from legacy waste</w:t>
      </w:r>
      <w:r>
        <w:rPr>
          <w:noProof/>
        </w:rPr>
        <w:tab/>
      </w:r>
      <w:r>
        <w:rPr>
          <w:noProof/>
        </w:rPr>
        <w:fldChar w:fldCharType="begin"/>
      </w:r>
      <w:r>
        <w:rPr>
          <w:noProof/>
        </w:rPr>
        <w:instrText xml:space="preserve"> PAGEREF _Toc495653127 \h </w:instrText>
      </w:r>
      <w:r>
        <w:rPr>
          <w:noProof/>
        </w:rPr>
      </w:r>
      <w:r>
        <w:rPr>
          <w:noProof/>
        </w:rPr>
        <w:fldChar w:fldCharType="separate"/>
      </w:r>
      <w:r w:rsidR="00766D30">
        <w:rPr>
          <w:noProof/>
        </w:rPr>
        <w:t>473</w:t>
      </w:r>
      <w:r>
        <w:rPr>
          <w:noProof/>
        </w:rPr>
        <w:fldChar w:fldCharType="end"/>
      </w:r>
    </w:p>
    <w:p w14:paraId="740495B2" w14:textId="77777777" w:rsidR="00E25764" w:rsidRDefault="00E25764">
      <w:pPr>
        <w:pStyle w:val="TOC5"/>
        <w:rPr>
          <w:rFonts w:asciiTheme="minorHAnsi" w:eastAsiaTheme="minorEastAsia" w:hAnsiTheme="minorHAnsi" w:cstheme="minorBidi"/>
          <w:noProof/>
          <w:sz w:val="22"/>
          <w:szCs w:val="22"/>
          <w:lang w:eastAsia="en-AU"/>
        </w:rPr>
      </w:pPr>
      <w:r>
        <w:rPr>
          <w:noProof/>
        </w:rPr>
        <w:t>5.22K  How to calculate total methane flared from methane generated from legacy waste</w:t>
      </w:r>
      <w:r>
        <w:rPr>
          <w:noProof/>
        </w:rPr>
        <w:tab/>
      </w:r>
      <w:r>
        <w:rPr>
          <w:noProof/>
        </w:rPr>
        <w:fldChar w:fldCharType="begin"/>
      </w:r>
      <w:r>
        <w:rPr>
          <w:noProof/>
        </w:rPr>
        <w:instrText xml:space="preserve"> PAGEREF _Toc495653128 \h </w:instrText>
      </w:r>
      <w:r>
        <w:rPr>
          <w:noProof/>
        </w:rPr>
      </w:r>
      <w:r>
        <w:rPr>
          <w:noProof/>
        </w:rPr>
        <w:fldChar w:fldCharType="separate"/>
      </w:r>
      <w:r w:rsidR="00766D30">
        <w:rPr>
          <w:noProof/>
        </w:rPr>
        <w:t>474</w:t>
      </w:r>
      <w:r>
        <w:rPr>
          <w:noProof/>
        </w:rPr>
        <w:fldChar w:fldCharType="end"/>
      </w:r>
    </w:p>
    <w:p w14:paraId="6EEFC46C" w14:textId="77777777" w:rsidR="00E25764" w:rsidRDefault="00E25764">
      <w:pPr>
        <w:pStyle w:val="TOC5"/>
        <w:rPr>
          <w:rFonts w:asciiTheme="minorHAnsi" w:eastAsiaTheme="minorEastAsia" w:hAnsiTheme="minorHAnsi" w:cstheme="minorBidi"/>
          <w:noProof/>
          <w:sz w:val="22"/>
          <w:szCs w:val="22"/>
          <w:lang w:eastAsia="en-AU"/>
        </w:rPr>
      </w:pPr>
      <w:r>
        <w:rPr>
          <w:noProof/>
        </w:rPr>
        <w:t>5.22L  How to calculate methane generated in landfill gas from non</w:t>
      </w:r>
      <w:r w:rsidRPr="00EF3CB8">
        <w:rPr>
          <w:i/>
          <w:noProof/>
        </w:rPr>
        <w:noBreakHyphen/>
      </w:r>
      <w:r>
        <w:rPr>
          <w:noProof/>
        </w:rPr>
        <w:t>legacy waste</w:t>
      </w:r>
      <w:r>
        <w:rPr>
          <w:noProof/>
        </w:rPr>
        <w:tab/>
      </w:r>
      <w:r>
        <w:rPr>
          <w:noProof/>
        </w:rPr>
        <w:fldChar w:fldCharType="begin"/>
      </w:r>
      <w:r>
        <w:rPr>
          <w:noProof/>
        </w:rPr>
        <w:instrText xml:space="preserve"> PAGEREF _Toc495653129 \h </w:instrText>
      </w:r>
      <w:r>
        <w:rPr>
          <w:noProof/>
        </w:rPr>
      </w:r>
      <w:r>
        <w:rPr>
          <w:noProof/>
        </w:rPr>
        <w:fldChar w:fldCharType="separate"/>
      </w:r>
      <w:r w:rsidR="00766D30">
        <w:rPr>
          <w:noProof/>
        </w:rPr>
        <w:t>474</w:t>
      </w:r>
      <w:r>
        <w:rPr>
          <w:noProof/>
        </w:rPr>
        <w:fldChar w:fldCharType="end"/>
      </w:r>
    </w:p>
    <w:p w14:paraId="7F4F5FB0" w14:textId="77777777" w:rsidR="00E25764" w:rsidRDefault="00E25764">
      <w:pPr>
        <w:pStyle w:val="TOC5"/>
        <w:rPr>
          <w:rFonts w:asciiTheme="minorHAnsi" w:eastAsiaTheme="minorEastAsia" w:hAnsiTheme="minorHAnsi" w:cstheme="minorBidi"/>
          <w:noProof/>
          <w:sz w:val="22"/>
          <w:szCs w:val="22"/>
          <w:lang w:eastAsia="en-AU"/>
        </w:rPr>
      </w:pPr>
      <w:r w:rsidRPr="00EF3CB8">
        <w:rPr>
          <w:rFonts w:eastAsia="Arial"/>
          <w:noProof/>
        </w:rPr>
        <w:t>5.22M  Calculating amount of total waste deposited at landfill</w:t>
      </w:r>
      <w:r>
        <w:rPr>
          <w:noProof/>
        </w:rPr>
        <w:tab/>
      </w:r>
      <w:r>
        <w:rPr>
          <w:noProof/>
        </w:rPr>
        <w:fldChar w:fldCharType="begin"/>
      </w:r>
      <w:r>
        <w:rPr>
          <w:noProof/>
        </w:rPr>
        <w:instrText xml:space="preserve"> PAGEREF _Toc495653130 \h </w:instrText>
      </w:r>
      <w:r>
        <w:rPr>
          <w:noProof/>
        </w:rPr>
      </w:r>
      <w:r>
        <w:rPr>
          <w:noProof/>
        </w:rPr>
        <w:fldChar w:fldCharType="separate"/>
      </w:r>
      <w:r w:rsidR="00766D30">
        <w:rPr>
          <w:noProof/>
        </w:rPr>
        <w:t>475</w:t>
      </w:r>
      <w:r>
        <w:rPr>
          <w:noProof/>
        </w:rPr>
        <w:fldChar w:fldCharType="end"/>
      </w:r>
    </w:p>
    <w:p w14:paraId="2316D7E7" w14:textId="77777777" w:rsidR="00E25764" w:rsidRDefault="00E25764">
      <w:pPr>
        <w:pStyle w:val="TOC2"/>
        <w:rPr>
          <w:rFonts w:asciiTheme="minorHAnsi" w:eastAsiaTheme="minorEastAsia" w:hAnsiTheme="minorHAnsi" w:cstheme="minorBidi"/>
          <w:b w:val="0"/>
          <w:sz w:val="22"/>
          <w:szCs w:val="22"/>
          <w:lang w:eastAsia="en-AU"/>
        </w:rPr>
      </w:pPr>
      <w:r>
        <w:t>Part 5.3—</w:t>
      </w:r>
      <w:bookmarkStart w:id="0" w:name="_GoBack"/>
      <w:r>
        <w:t>Wastewater</w:t>
      </w:r>
      <w:bookmarkEnd w:id="0"/>
      <w:r>
        <w:t xml:space="preserve"> handling (domestic and commercial)</w:t>
      </w:r>
      <w:r>
        <w:tab/>
      </w:r>
      <w:r>
        <w:fldChar w:fldCharType="begin"/>
      </w:r>
      <w:r>
        <w:instrText xml:space="preserve"> PAGEREF _Toc495653131 \h </w:instrText>
      </w:r>
      <w:r>
        <w:fldChar w:fldCharType="separate"/>
      </w:r>
      <w:r w:rsidR="00766D30">
        <w:t>476</w:t>
      </w:r>
      <w:r>
        <w:fldChar w:fldCharType="end"/>
      </w:r>
    </w:p>
    <w:p w14:paraId="3E658139"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5.3.1—Preliminary</w:t>
      </w:r>
      <w:r>
        <w:rPr>
          <w:noProof/>
        </w:rPr>
        <w:tab/>
      </w:r>
      <w:r>
        <w:rPr>
          <w:noProof/>
        </w:rPr>
        <w:fldChar w:fldCharType="begin"/>
      </w:r>
      <w:r>
        <w:rPr>
          <w:noProof/>
        </w:rPr>
        <w:instrText xml:space="preserve"> PAGEREF _Toc495653132 \h </w:instrText>
      </w:r>
      <w:r>
        <w:rPr>
          <w:noProof/>
        </w:rPr>
      </w:r>
      <w:r>
        <w:rPr>
          <w:noProof/>
        </w:rPr>
        <w:fldChar w:fldCharType="separate"/>
      </w:r>
      <w:r w:rsidR="00766D30">
        <w:rPr>
          <w:noProof/>
        </w:rPr>
        <w:t>476</w:t>
      </w:r>
      <w:r>
        <w:rPr>
          <w:noProof/>
        </w:rPr>
        <w:fldChar w:fldCharType="end"/>
      </w:r>
    </w:p>
    <w:p w14:paraId="571B4C69" w14:textId="77777777" w:rsidR="00E25764" w:rsidRDefault="00E25764">
      <w:pPr>
        <w:pStyle w:val="TOC5"/>
        <w:rPr>
          <w:rFonts w:asciiTheme="minorHAnsi" w:eastAsiaTheme="minorEastAsia" w:hAnsiTheme="minorHAnsi" w:cstheme="minorBidi"/>
          <w:noProof/>
          <w:sz w:val="22"/>
          <w:szCs w:val="22"/>
          <w:lang w:eastAsia="en-AU"/>
        </w:rPr>
      </w:pPr>
      <w:r>
        <w:rPr>
          <w:noProof/>
        </w:rPr>
        <w:t>5.23  Application</w:t>
      </w:r>
      <w:r>
        <w:rPr>
          <w:noProof/>
        </w:rPr>
        <w:tab/>
      </w:r>
      <w:r>
        <w:rPr>
          <w:noProof/>
        </w:rPr>
        <w:fldChar w:fldCharType="begin"/>
      </w:r>
      <w:r>
        <w:rPr>
          <w:noProof/>
        </w:rPr>
        <w:instrText xml:space="preserve"> PAGEREF _Toc495653133 \h </w:instrText>
      </w:r>
      <w:r>
        <w:rPr>
          <w:noProof/>
        </w:rPr>
      </w:r>
      <w:r>
        <w:rPr>
          <w:noProof/>
        </w:rPr>
        <w:fldChar w:fldCharType="separate"/>
      </w:r>
      <w:r w:rsidR="00766D30">
        <w:rPr>
          <w:noProof/>
        </w:rPr>
        <w:t>476</w:t>
      </w:r>
      <w:r>
        <w:rPr>
          <w:noProof/>
        </w:rPr>
        <w:fldChar w:fldCharType="end"/>
      </w:r>
    </w:p>
    <w:p w14:paraId="4D4F36C7" w14:textId="77777777" w:rsidR="00E25764" w:rsidRDefault="00E25764">
      <w:pPr>
        <w:pStyle w:val="TOC5"/>
        <w:rPr>
          <w:rFonts w:asciiTheme="minorHAnsi" w:eastAsiaTheme="minorEastAsia" w:hAnsiTheme="minorHAnsi" w:cstheme="minorBidi"/>
          <w:noProof/>
          <w:sz w:val="22"/>
          <w:szCs w:val="22"/>
          <w:lang w:eastAsia="en-AU"/>
        </w:rPr>
      </w:pPr>
      <w:r>
        <w:rPr>
          <w:noProof/>
        </w:rPr>
        <w:t>5.24  Available methods</w:t>
      </w:r>
      <w:r>
        <w:rPr>
          <w:noProof/>
        </w:rPr>
        <w:tab/>
      </w:r>
      <w:r>
        <w:rPr>
          <w:noProof/>
        </w:rPr>
        <w:fldChar w:fldCharType="begin"/>
      </w:r>
      <w:r>
        <w:rPr>
          <w:noProof/>
        </w:rPr>
        <w:instrText xml:space="preserve"> PAGEREF _Toc495653134 \h </w:instrText>
      </w:r>
      <w:r>
        <w:rPr>
          <w:noProof/>
        </w:rPr>
      </w:r>
      <w:r>
        <w:rPr>
          <w:noProof/>
        </w:rPr>
        <w:fldChar w:fldCharType="separate"/>
      </w:r>
      <w:r w:rsidR="00766D30">
        <w:rPr>
          <w:noProof/>
        </w:rPr>
        <w:t>476</w:t>
      </w:r>
      <w:r>
        <w:rPr>
          <w:noProof/>
        </w:rPr>
        <w:fldChar w:fldCharType="end"/>
      </w:r>
    </w:p>
    <w:p w14:paraId="72F559F0"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5.3.2—Method 1—methane released from wastewater handling (domestic and commercial)</w:t>
      </w:r>
      <w:r>
        <w:rPr>
          <w:noProof/>
        </w:rPr>
        <w:tab/>
      </w:r>
      <w:r>
        <w:rPr>
          <w:noProof/>
        </w:rPr>
        <w:fldChar w:fldCharType="begin"/>
      </w:r>
      <w:r>
        <w:rPr>
          <w:noProof/>
        </w:rPr>
        <w:instrText xml:space="preserve"> PAGEREF _Toc495653135 \h </w:instrText>
      </w:r>
      <w:r>
        <w:rPr>
          <w:noProof/>
        </w:rPr>
      </w:r>
      <w:r>
        <w:rPr>
          <w:noProof/>
        </w:rPr>
        <w:fldChar w:fldCharType="separate"/>
      </w:r>
      <w:r w:rsidR="00766D30">
        <w:rPr>
          <w:noProof/>
        </w:rPr>
        <w:t>478</w:t>
      </w:r>
      <w:r>
        <w:rPr>
          <w:noProof/>
        </w:rPr>
        <w:fldChar w:fldCharType="end"/>
      </w:r>
    </w:p>
    <w:p w14:paraId="498850BC" w14:textId="77777777" w:rsidR="00E25764" w:rsidRDefault="00E25764">
      <w:pPr>
        <w:pStyle w:val="TOC5"/>
        <w:rPr>
          <w:rFonts w:asciiTheme="minorHAnsi" w:eastAsiaTheme="minorEastAsia" w:hAnsiTheme="minorHAnsi" w:cstheme="minorBidi"/>
          <w:noProof/>
          <w:sz w:val="22"/>
          <w:szCs w:val="22"/>
          <w:lang w:eastAsia="en-AU"/>
        </w:rPr>
      </w:pPr>
      <w:r>
        <w:rPr>
          <w:noProof/>
        </w:rPr>
        <w:t>5.25  Method 1—methane released from wastewater handling (domestic and commercial)</w:t>
      </w:r>
      <w:r>
        <w:rPr>
          <w:noProof/>
        </w:rPr>
        <w:tab/>
      </w:r>
      <w:r>
        <w:rPr>
          <w:noProof/>
        </w:rPr>
        <w:fldChar w:fldCharType="begin"/>
      </w:r>
      <w:r>
        <w:rPr>
          <w:noProof/>
        </w:rPr>
        <w:instrText xml:space="preserve"> PAGEREF _Toc495653136 \h </w:instrText>
      </w:r>
      <w:r>
        <w:rPr>
          <w:noProof/>
        </w:rPr>
      </w:r>
      <w:r>
        <w:rPr>
          <w:noProof/>
        </w:rPr>
        <w:fldChar w:fldCharType="separate"/>
      </w:r>
      <w:r w:rsidR="00766D30">
        <w:rPr>
          <w:noProof/>
        </w:rPr>
        <w:t>478</w:t>
      </w:r>
      <w:r>
        <w:rPr>
          <w:noProof/>
        </w:rPr>
        <w:fldChar w:fldCharType="end"/>
      </w:r>
    </w:p>
    <w:p w14:paraId="0D8E2294"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5.3.3—Method 2—methane released from wastewater handling (domestic and commercial)</w:t>
      </w:r>
      <w:r>
        <w:rPr>
          <w:noProof/>
        </w:rPr>
        <w:tab/>
      </w:r>
      <w:r>
        <w:rPr>
          <w:noProof/>
        </w:rPr>
        <w:fldChar w:fldCharType="begin"/>
      </w:r>
      <w:r>
        <w:rPr>
          <w:noProof/>
        </w:rPr>
        <w:instrText xml:space="preserve"> PAGEREF _Toc495653137 \h </w:instrText>
      </w:r>
      <w:r>
        <w:rPr>
          <w:noProof/>
        </w:rPr>
      </w:r>
      <w:r>
        <w:rPr>
          <w:noProof/>
        </w:rPr>
        <w:fldChar w:fldCharType="separate"/>
      </w:r>
      <w:r w:rsidR="00766D30">
        <w:rPr>
          <w:noProof/>
        </w:rPr>
        <w:t>484</w:t>
      </w:r>
      <w:r>
        <w:rPr>
          <w:noProof/>
        </w:rPr>
        <w:fldChar w:fldCharType="end"/>
      </w:r>
    </w:p>
    <w:p w14:paraId="20D138EC" w14:textId="77777777" w:rsidR="00E25764" w:rsidRDefault="00E25764">
      <w:pPr>
        <w:pStyle w:val="TOC5"/>
        <w:rPr>
          <w:rFonts w:asciiTheme="minorHAnsi" w:eastAsiaTheme="minorEastAsia" w:hAnsiTheme="minorHAnsi" w:cstheme="minorBidi"/>
          <w:noProof/>
          <w:sz w:val="22"/>
          <w:szCs w:val="22"/>
          <w:lang w:eastAsia="en-AU"/>
        </w:rPr>
      </w:pPr>
      <w:r>
        <w:rPr>
          <w:noProof/>
        </w:rPr>
        <w:t>5.26  Method 2—methane released from wastewater handling (domestic and commercial)</w:t>
      </w:r>
      <w:r>
        <w:rPr>
          <w:noProof/>
        </w:rPr>
        <w:tab/>
      </w:r>
      <w:r>
        <w:rPr>
          <w:noProof/>
        </w:rPr>
        <w:fldChar w:fldCharType="begin"/>
      </w:r>
      <w:r>
        <w:rPr>
          <w:noProof/>
        </w:rPr>
        <w:instrText xml:space="preserve"> PAGEREF _Toc495653138 \h </w:instrText>
      </w:r>
      <w:r>
        <w:rPr>
          <w:noProof/>
        </w:rPr>
      </w:r>
      <w:r>
        <w:rPr>
          <w:noProof/>
        </w:rPr>
        <w:fldChar w:fldCharType="separate"/>
      </w:r>
      <w:r w:rsidR="00766D30">
        <w:rPr>
          <w:noProof/>
        </w:rPr>
        <w:t>484</w:t>
      </w:r>
      <w:r>
        <w:rPr>
          <w:noProof/>
        </w:rPr>
        <w:fldChar w:fldCharType="end"/>
      </w:r>
    </w:p>
    <w:p w14:paraId="15816F35" w14:textId="77777777" w:rsidR="00E25764" w:rsidRDefault="00E25764">
      <w:pPr>
        <w:pStyle w:val="TOC5"/>
        <w:rPr>
          <w:rFonts w:asciiTheme="minorHAnsi" w:eastAsiaTheme="minorEastAsia" w:hAnsiTheme="minorHAnsi" w:cstheme="minorBidi"/>
          <w:noProof/>
          <w:sz w:val="22"/>
          <w:szCs w:val="22"/>
          <w:lang w:eastAsia="en-AU"/>
        </w:rPr>
      </w:pPr>
      <w:r>
        <w:rPr>
          <w:noProof/>
        </w:rPr>
        <w:lastRenderedPageBreak/>
        <w:t>5.26A  Requirements relating to sub</w:t>
      </w:r>
      <w:r>
        <w:rPr>
          <w:noProof/>
        </w:rPr>
        <w:noBreakHyphen/>
        <w:t>facilities</w:t>
      </w:r>
      <w:r>
        <w:rPr>
          <w:noProof/>
        </w:rPr>
        <w:tab/>
      </w:r>
      <w:r>
        <w:rPr>
          <w:noProof/>
        </w:rPr>
        <w:fldChar w:fldCharType="begin"/>
      </w:r>
      <w:r>
        <w:rPr>
          <w:noProof/>
        </w:rPr>
        <w:instrText xml:space="preserve"> PAGEREF _Toc495653139 \h </w:instrText>
      </w:r>
      <w:r>
        <w:rPr>
          <w:noProof/>
        </w:rPr>
      </w:r>
      <w:r>
        <w:rPr>
          <w:noProof/>
        </w:rPr>
        <w:fldChar w:fldCharType="separate"/>
      </w:r>
      <w:r w:rsidR="00766D30">
        <w:rPr>
          <w:noProof/>
        </w:rPr>
        <w:t>489</w:t>
      </w:r>
      <w:r>
        <w:rPr>
          <w:noProof/>
        </w:rPr>
        <w:fldChar w:fldCharType="end"/>
      </w:r>
    </w:p>
    <w:p w14:paraId="219403F2" w14:textId="77777777" w:rsidR="00E25764" w:rsidRDefault="00E25764">
      <w:pPr>
        <w:pStyle w:val="TOC5"/>
        <w:rPr>
          <w:rFonts w:asciiTheme="minorHAnsi" w:eastAsiaTheme="minorEastAsia" w:hAnsiTheme="minorHAnsi" w:cstheme="minorBidi"/>
          <w:noProof/>
          <w:sz w:val="22"/>
          <w:szCs w:val="22"/>
          <w:lang w:eastAsia="en-AU"/>
        </w:rPr>
      </w:pPr>
      <w:r>
        <w:rPr>
          <w:noProof/>
        </w:rPr>
        <w:t>5.27  General requirements for sampling under method 2</w:t>
      </w:r>
      <w:r>
        <w:rPr>
          <w:noProof/>
        </w:rPr>
        <w:tab/>
      </w:r>
      <w:r>
        <w:rPr>
          <w:noProof/>
        </w:rPr>
        <w:fldChar w:fldCharType="begin"/>
      </w:r>
      <w:r>
        <w:rPr>
          <w:noProof/>
        </w:rPr>
        <w:instrText xml:space="preserve"> PAGEREF _Toc495653140 \h </w:instrText>
      </w:r>
      <w:r>
        <w:rPr>
          <w:noProof/>
        </w:rPr>
      </w:r>
      <w:r>
        <w:rPr>
          <w:noProof/>
        </w:rPr>
        <w:fldChar w:fldCharType="separate"/>
      </w:r>
      <w:r w:rsidR="00766D30">
        <w:rPr>
          <w:noProof/>
        </w:rPr>
        <w:t>489</w:t>
      </w:r>
      <w:r>
        <w:rPr>
          <w:noProof/>
        </w:rPr>
        <w:fldChar w:fldCharType="end"/>
      </w:r>
    </w:p>
    <w:p w14:paraId="46681D86" w14:textId="77777777" w:rsidR="00E25764" w:rsidRDefault="00E25764">
      <w:pPr>
        <w:pStyle w:val="TOC5"/>
        <w:rPr>
          <w:rFonts w:asciiTheme="minorHAnsi" w:eastAsiaTheme="minorEastAsia" w:hAnsiTheme="minorHAnsi" w:cstheme="minorBidi"/>
          <w:noProof/>
          <w:sz w:val="22"/>
          <w:szCs w:val="22"/>
          <w:lang w:eastAsia="en-AU"/>
        </w:rPr>
      </w:pPr>
      <w:r>
        <w:rPr>
          <w:noProof/>
        </w:rPr>
        <w:t>5.28  Standards for analysis</w:t>
      </w:r>
      <w:r>
        <w:rPr>
          <w:noProof/>
        </w:rPr>
        <w:tab/>
      </w:r>
      <w:r>
        <w:rPr>
          <w:noProof/>
        </w:rPr>
        <w:fldChar w:fldCharType="begin"/>
      </w:r>
      <w:r>
        <w:rPr>
          <w:noProof/>
        </w:rPr>
        <w:instrText xml:space="preserve"> PAGEREF _Toc495653141 \h </w:instrText>
      </w:r>
      <w:r>
        <w:rPr>
          <w:noProof/>
        </w:rPr>
      </w:r>
      <w:r>
        <w:rPr>
          <w:noProof/>
        </w:rPr>
        <w:fldChar w:fldCharType="separate"/>
      </w:r>
      <w:r w:rsidR="00766D30">
        <w:rPr>
          <w:noProof/>
        </w:rPr>
        <w:t>489</w:t>
      </w:r>
      <w:r>
        <w:rPr>
          <w:noProof/>
        </w:rPr>
        <w:fldChar w:fldCharType="end"/>
      </w:r>
    </w:p>
    <w:p w14:paraId="234189E1" w14:textId="77777777" w:rsidR="00E25764" w:rsidRDefault="00E25764">
      <w:pPr>
        <w:pStyle w:val="TOC5"/>
        <w:rPr>
          <w:rFonts w:asciiTheme="minorHAnsi" w:eastAsiaTheme="minorEastAsia" w:hAnsiTheme="minorHAnsi" w:cstheme="minorBidi"/>
          <w:noProof/>
          <w:sz w:val="22"/>
          <w:szCs w:val="22"/>
          <w:lang w:eastAsia="en-AU"/>
        </w:rPr>
      </w:pPr>
      <w:r>
        <w:rPr>
          <w:noProof/>
        </w:rPr>
        <w:t>5.29  Frequency of sampling and analysis</w:t>
      </w:r>
      <w:r>
        <w:rPr>
          <w:noProof/>
        </w:rPr>
        <w:tab/>
      </w:r>
      <w:r>
        <w:rPr>
          <w:noProof/>
        </w:rPr>
        <w:fldChar w:fldCharType="begin"/>
      </w:r>
      <w:r>
        <w:rPr>
          <w:noProof/>
        </w:rPr>
        <w:instrText xml:space="preserve"> PAGEREF _Toc495653142 \h </w:instrText>
      </w:r>
      <w:r>
        <w:rPr>
          <w:noProof/>
        </w:rPr>
      </w:r>
      <w:r>
        <w:rPr>
          <w:noProof/>
        </w:rPr>
        <w:fldChar w:fldCharType="separate"/>
      </w:r>
      <w:r w:rsidR="00766D30">
        <w:rPr>
          <w:noProof/>
        </w:rPr>
        <w:t>490</w:t>
      </w:r>
      <w:r>
        <w:rPr>
          <w:noProof/>
        </w:rPr>
        <w:fldChar w:fldCharType="end"/>
      </w:r>
    </w:p>
    <w:p w14:paraId="24533B4E"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5.3.4—Method 3—methane released from wastewater handling (domestic and commercial)</w:t>
      </w:r>
      <w:r>
        <w:rPr>
          <w:noProof/>
        </w:rPr>
        <w:tab/>
      </w:r>
      <w:r>
        <w:rPr>
          <w:noProof/>
        </w:rPr>
        <w:fldChar w:fldCharType="begin"/>
      </w:r>
      <w:r>
        <w:rPr>
          <w:noProof/>
        </w:rPr>
        <w:instrText xml:space="preserve"> PAGEREF _Toc495653143 \h </w:instrText>
      </w:r>
      <w:r>
        <w:rPr>
          <w:noProof/>
        </w:rPr>
      </w:r>
      <w:r>
        <w:rPr>
          <w:noProof/>
        </w:rPr>
        <w:fldChar w:fldCharType="separate"/>
      </w:r>
      <w:r w:rsidR="00766D30">
        <w:rPr>
          <w:noProof/>
        </w:rPr>
        <w:t>491</w:t>
      </w:r>
      <w:r>
        <w:rPr>
          <w:noProof/>
        </w:rPr>
        <w:fldChar w:fldCharType="end"/>
      </w:r>
    </w:p>
    <w:p w14:paraId="2816EC84" w14:textId="77777777" w:rsidR="00E25764" w:rsidRDefault="00E25764">
      <w:pPr>
        <w:pStyle w:val="TOC5"/>
        <w:rPr>
          <w:rFonts w:asciiTheme="minorHAnsi" w:eastAsiaTheme="minorEastAsia" w:hAnsiTheme="minorHAnsi" w:cstheme="minorBidi"/>
          <w:noProof/>
          <w:sz w:val="22"/>
          <w:szCs w:val="22"/>
          <w:lang w:eastAsia="en-AU"/>
        </w:rPr>
      </w:pPr>
      <w:r>
        <w:rPr>
          <w:noProof/>
        </w:rPr>
        <w:t>5.30  Method 3—methane released from wastewater handling (domestic and commercial)</w:t>
      </w:r>
      <w:r>
        <w:rPr>
          <w:noProof/>
        </w:rPr>
        <w:tab/>
      </w:r>
      <w:r>
        <w:rPr>
          <w:noProof/>
        </w:rPr>
        <w:fldChar w:fldCharType="begin"/>
      </w:r>
      <w:r>
        <w:rPr>
          <w:noProof/>
        </w:rPr>
        <w:instrText xml:space="preserve"> PAGEREF _Toc495653144 \h </w:instrText>
      </w:r>
      <w:r>
        <w:rPr>
          <w:noProof/>
        </w:rPr>
      </w:r>
      <w:r>
        <w:rPr>
          <w:noProof/>
        </w:rPr>
        <w:fldChar w:fldCharType="separate"/>
      </w:r>
      <w:r w:rsidR="00766D30">
        <w:rPr>
          <w:noProof/>
        </w:rPr>
        <w:t>491</w:t>
      </w:r>
      <w:r>
        <w:rPr>
          <w:noProof/>
        </w:rPr>
        <w:fldChar w:fldCharType="end"/>
      </w:r>
    </w:p>
    <w:p w14:paraId="127C3AE1"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5.3.5—Method 1—emissions of nitrous oxide released from wastewater handling (domestic and commercial)</w:t>
      </w:r>
      <w:r>
        <w:rPr>
          <w:noProof/>
        </w:rPr>
        <w:tab/>
      </w:r>
      <w:r>
        <w:rPr>
          <w:noProof/>
        </w:rPr>
        <w:fldChar w:fldCharType="begin"/>
      </w:r>
      <w:r>
        <w:rPr>
          <w:noProof/>
        </w:rPr>
        <w:instrText xml:space="preserve"> PAGEREF _Toc495653145 \h </w:instrText>
      </w:r>
      <w:r>
        <w:rPr>
          <w:noProof/>
        </w:rPr>
      </w:r>
      <w:r>
        <w:rPr>
          <w:noProof/>
        </w:rPr>
        <w:fldChar w:fldCharType="separate"/>
      </w:r>
      <w:r w:rsidR="00766D30">
        <w:rPr>
          <w:noProof/>
        </w:rPr>
        <w:t>492</w:t>
      </w:r>
      <w:r>
        <w:rPr>
          <w:noProof/>
        </w:rPr>
        <w:fldChar w:fldCharType="end"/>
      </w:r>
    </w:p>
    <w:p w14:paraId="42EB82AF" w14:textId="77777777" w:rsidR="00E25764" w:rsidRDefault="00E25764">
      <w:pPr>
        <w:pStyle w:val="TOC5"/>
        <w:rPr>
          <w:rFonts w:asciiTheme="minorHAnsi" w:eastAsiaTheme="minorEastAsia" w:hAnsiTheme="minorHAnsi" w:cstheme="minorBidi"/>
          <w:noProof/>
          <w:sz w:val="22"/>
          <w:szCs w:val="22"/>
          <w:lang w:eastAsia="en-AU"/>
        </w:rPr>
      </w:pPr>
      <w:r>
        <w:rPr>
          <w:noProof/>
        </w:rPr>
        <w:t>5.31  Method 1—nitrous oxide released from wastewater handling (domestic and commercial)</w:t>
      </w:r>
      <w:r>
        <w:rPr>
          <w:noProof/>
        </w:rPr>
        <w:tab/>
      </w:r>
      <w:r>
        <w:rPr>
          <w:noProof/>
        </w:rPr>
        <w:fldChar w:fldCharType="begin"/>
      </w:r>
      <w:r>
        <w:rPr>
          <w:noProof/>
        </w:rPr>
        <w:instrText xml:space="preserve"> PAGEREF _Toc495653146 \h </w:instrText>
      </w:r>
      <w:r>
        <w:rPr>
          <w:noProof/>
        </w:rPr>
      </w:r>
      <w:r>
        <w:rPr>
          <w:noProof/>
        </w:rPr>
        <w:fldChar w:fldCharType="separate"/>
      </w:r>
      <w:r w:rsidR="00766D30">
        <w:rPr>
          <w:noProof/>
        </w:rPr>
        <w:t>492</w:t>
      </w:r>
      <w:r>
        <w:rPr>
          <w:noProof/>
        </w:rPr>
        <w:fldChar w:fldCharType="end"/>
      </w:r>
    </w:p>
    <w:p w14:paraId="60014F36"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5.3.6—Method 2—emissions of nitrous oxide released from wastewater handling (domestic and commercial)</w:t>
      </w:r>
      <w:r>
        <w:rPr>
          <w:noProof/>
        </w:rPr>
        <w:tab/>
      </w:r>
      <w:r>
        <w:rPr>
          <w:noProof/>
        </w:rPr>
        <w:fldChar w:fldCharType="begin"/>
      </w:r>
      <w:r>
        <w:rPr>
          <w:noProof/>
        </w:rPr>
        <w:instrText xml:space="preserve"> PAGEREF _Toc495653147 \h </w:instrText>
      </w:r>
      <w:r>
        <w:rPr>
          <w:noProof/>
        </w:rPr>
      </w:r>
      <w:r>
        <w:rPr>
          <w:noProof/>
        </w:rPr>
        <w:fldChar w:fldCharType="separate"/>
      </w:r>
      <w:r w:rsidR="00766D30">
        <w:rPr>
          <w:noProof/>
        </w:rPr>
        <w:t>495</w:t>
      </w:r>
      <w:r>
        <w:rPr>
          <w:noProof/>
        </w:rPr>
        <w:fldChar w:fldCharType="end"/>
      </w:r>
    </w:p>
    <w:p w14:paraId="2D48AA14" w14:textId="77777777" w:rsidR="00E25764" w:rsidRDefault="00E25764">
      <w:pPr>
        <w:pStyle w:val="TOC5"/>
        <w:rPr>
          <w:rFonts w:asciiTheme="minorHAnsi" w:eastAsiaTheme="minorEastAsia" w:hAnsiTheme="minorHAnsi" w:cstheme="minorBidi"/>
          <w:noProof/>
          <w:sz w:val="22"/>
          <w:szCs w:val="22"/>
          <w:lang w:eastAsia="en-AU"/>
        </w:rPr>
      </w:pPr>
      <w:r>
        <w:rPr>
          <w:noProof/>
        </w:rPr>
        <w:t>5.32  Method 2—nitrous oxide released from wastewater handling (domestic and commercial)</w:t>
      </w:r>
      <w:r>
        <w:rPr>
          <w:noProof/>
        </w:rPr>
        <w:tab/>
      </w:r>
      <w:r>
        <w:rPr>
          <w:noProof/>
        </w:rPr>
        <w:fldChar w:fldCharType="begin"/>
      </w:r>
      <w:r>
        <w:rPr>
          <w:noProof/>
        </w:rPr>
        <w:instrText xml:space="preserve"> PAGEREF _Toc495653148 \h </w:instrText>
      </w:r>
      <w:r>
        <w:rPr>
          <w:noProof/>
        </w:rPr>
      </w:r>
      <w:r>
        <w:rPr>
          <w:noProof/>
        </w:rPr>
        <w:fldChar w:fldCharType="separate"/>
      </w:r>
      <w:r w:rsidR="00766D30">
        <w:rPr>
          <w:noProof/>
        </w:rPr>
        <w:t>495</w:t>
      </w:r>
      <w:r>
        <w:rPr>
          <w:noProof/>
        </w:rPr>
        <w:fldChar w:fldCharType="end"/>
      </w:r>
    </w:p>
    <w:p w14:paraId="57B1847A" w14:textId="77777777" w:rsidR="00E25764" w:rsidRDefault="00E25764">
      <w:pPr>
        <w:pStyle w:val="TOC5"/>
        <w:rPr>
          <w:rFonts w:asciiTheme="minorHAnsi" w:eastAsiaTheme="minorEastAsia" w:hAnsiTheme="minorHAnsi" w:cstheme="minorBidi"/>
          <w:noProof/>
          <w:sz w:val="22"/>
          <w:szCs w:val="22"/>
          <w:lang w:eastAsia="en-AU"/>
        </w:rPr>
      </w:pPr>
      <w:r>
        <w:rPr>
          <w:noProof/>
        </w:rPr>
        <w:t>5.33  General requirements for sampling under method 2</w:t>
      </w:r>
      <w:r>
        <w:rPr>
          <w:noProof/>
        </w:rPr>
        <w:tab/>
      </w:r>
      <w:r>
        <w:rPr>
          <w:noProof/>
        </w:rPr>
        <w:fldChar w:fldCharType="begin"/>
      </w:r>
      <w:r>
        <w:rPr>
          <w:noProof/>
        </w:rPr>
        <w:instrText xml:space="preserve"> PAGEREF _Toc495653149 \h </w:instrText>
      </w:r>
      <w:r>
        <w:rPr>
          <w:noProof/>
        </w:rPr>
      </w:r>
      <w:r>
        <w:rPr>
          <w:noProof/>
        </w:rPr>
        <w:fldChar w:fldCharType="separate"/>
      </w:r>
      <w:r w:rsidR="00766D30">
        <w:rPr>
          <w:noProof/>
        </w:rPr>
        <w:t>496</w:t>
      </w:r>
      <w:r>
        <w:rPr>
          <w:noProof/>
        </w:rPr>
        <w:fldChar w:fldCharType="end"/>
      </w:r>
    </w:p>
    <w:p w14:paraId="50341389" w14:textId="77777777" w:rsidR="00E25764" w:rsidRDefault="00E25764">
      <w:pPr>
        <w:pStyle w:val="TOC5"/>
        <w:rPr>
          <w:rFonts w:asciiTheme="minorHAnsi" w:eastAsiaTheme="minorEastAsia" w:hAnsiTheme="minorHAnsi" w:cstheme="minorBidi"/>
          <w:noProof/>
          <w:sz w:val="22"/>
          <w:szCs w:val="22"/>
          <w:lang w:eastAsia="en-AU"/>
        </w:rPr>
      </w:pPr>
      <w:r>
        <w:rPr>
          <w:noProof/>
        </w:rPr>
        <w:t>5.34  Standards for analysis</w:t>
      </w:r>
      <w:r>
        <w:rPr>
          <w:noProof/>
        </w:rPr>
        <w:tab/>
      </w:r>
      <w:r>
        <w:rPr>
          <w:noProof/>
        </w:rPr>
        <w:fldChar w:fldCharType="begin"/>
      </w:r>
      <w:r>
        <w:rPr>
          <w:noProof/>
        </w:rPr>
        <w:instrText xml:space="preserve"> PAGEREF _Toc495653150 \h </w:instrText>
      </w:r>
      <w:r>
        <w:rPr>
          <w:noProof/>
        </w:rPr>
      </w:r>
      <w:r>
        <w:rPr>
          <w:noProof/>
        </w:rPr>
        <w:fldChar w:fldCharType="separate"/>
      </w:r>
      <w:r w:rsidR="00766D30">
        <w:rPr>
          <w:noProof/>
        </w:rPr>
        <w:t>496</w:t>
      </w:r>
      <w:r>
        <w:rPr>
          <w:noProof/>
        </w:rPr>
        <w:fldChar w:fldCharType="end"/>
      </w:r>
    </w:p>
    <w:p w14:paraId="78DE5917" w14:textId="77777777" w:rsidR="00E25764" w:rsidRDefault="00E25764">
      <w:pPr>
        <w:pStyle w:val="TOC5"/>
        <w:rPr>
          <w:rFonts w:asciiTheme="minorHAnsi" w:eastAsiaTheme="minorEastAsia" w:hAnsiTheme="minorHAnsi" w:cstheme="minorBidi"/>
          <w:noProof/>
          <w:sz w:val="22"/>
          <w:szCs w:val="22"/>
          <w:lang w:eastAsia="en-AU"/>
        </w:rPr>
      </w:pPr>
      <w:r>
        <w:rPr>
          <w:noProof/>
        </w:rPr>
        <w:t>5.35  Frequency of sampling and analysis</w:t>
      </w:r>
      <w:r>
        <w:rPr>
          <w:noProof/>
        </w:rPr>
        <w:tab/>
      </w:r>
      <w:r>
        <w:rPr>
          <w:noProof/>
        </w:rPr>
        <w:fldChar w:fldCharType="begin"/>
      </w:r>
      <w:r>
        <w:rPr>
          <w:noProof/>
        </w:rPr>
        <w:instrText xml:space="preserve"> PAGEREF _Toc495653151 \h </w:instrText>
      </w:r>
      <w:r>
        <w:rPr>
          <w:noProof/>
        </w:rPr>
      </w:r>
      <w:r>
        <w:rPr>
          <w:noProof/>
        </w:rPr>
        <w:fldChar w:fldCharType="separate"/>
      </w:r>
      <w:r w:rsidR="00766D30">
        <w:rPr>
          <w:noProof/>
        </w:rPr>
        <w:t>496</w:t>
      </w:r>
      <w:r>
        <w:rPr>
          <w:noProof/>
        </w:rPr>
        <w:fldChar w:fldCharType="end"/>
      </w:r>
    </w:p>
    <w:p w14:paraId="050CBDE5"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5.3.7—Method 3—emissions of nitrous oxide released from wastewater handling (domestic and commercial)</w:t>
      </w:r>
      <w:r>
        <w:rPr>
          <w:noProof/>
        </w:rPr>
        <w:tab/>
      </w:r>
      <w:r>
        <w:rPr>
          <w:noProof/>
        </w:rPr>
        <w:fldChar w:fldCharType="begin"/>
      </w:r>
      <w:r>
        <w:rPr>
          <w:noProof/>
        </w:rPr>
        <w:instrText xml:space="preserve"> PAGEREF _Toc495653152 \h </w:instrText>
      </w:r>
      <w:r>
        <w:rPr>
          <w:noProof/>
        </w:rPr>
      </w:r>
      <w:r>
        <w:rPr>
          <w:noProof/>
        </w:rPr>
        <w:fldChar w:fldCharType="separate"/>
      </w:r>
      <w:r w:rsidR="00766D30">
        <w:rPr>
          <w:noProof/>
        </w:rPr>
        <w:t>497</w:t>
      </w:r>
      <w:r>
        <w:rPr>
          <w:noProof/>
        </w:rPr>
        <w:fldChar w:fldCharType="end"/>
      </w:r>
    </w:p>
    <w:p w14:paraId="54DDBB74" w14:textId="77777777" w:rsidR="00E25764" w:rsidRDefault="00E25764">
      <w:pPr>
        <w:pStyle w:val="TOC5"/>
        <w:rPr>
          <w:rFonts w:asciiTheme="minorHAnsi" w:eastAsiaTheme="minorEastAsia" w:hAnsiTheme="minorHAnsi" w:cstheme="minorBidi"/>
          <w:noProof/>
          <w:sz w:val="22"/>
          <w:szCs w:val="22"/>
          <w:lang w:eastAsia="en-AU"/>
        </w:rPr>
      </w:pPr>
      <w:r>
        <w:rPr>
          <w:noProof/>
        </w:rPr>
        <w:t>5.36  Method 3—nitrous oxide released from wastewater handling (domestic and commercial)</w:t>
      </w:r>
      <w:r>
        <w:rPr>
          <w:noProof/>
        </w:rPr>
        <w:tab/>
      </w:r>
      <w:r>
        <w:rPr>
          <w:noProof/>
        </w:rPr>
        <w:fldChar w:fldCharType="begin"/>
      </w:r>
      <w:r>
        <w:rPr>
          <w:noProof/>
        </w:rPr>
        <w:instrText xml:space="preserve"> PAGEREF _Toc495653153 \h </w:instrText>
      </w:r>
      <w:r>
        <w:rPr>
          <w:noProof/>
        </w:rPr>
      </w:r>
      <w:r>
        <w:rPr>
          <w:noProof/>
        </w:rPr>
        <w:fldChar w:fldCharType="separate"/>
      </w:r>
      <w:r w:rsidR="00766D30">
        <w:rPr>
          <w:noProof/>
        </w:rPr>
        <w:t>497</w:t>
      </w:r>
      <w:r>
        <w:rPr>
          <w:noProof/>
        </w:rPr>
        <w:fldChar w:fldCharType="end"/>
      </w:r>
    </w:p>
    <w:p w14:paraId="596D32FF"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5.3.8—Wastewater handling (domestic and commercial)—Flaring</w:t>
      </w:r>
      <w:r>
        <w:rPr>
          <w:noProof/>
        </w:rPr>
        <w:tab/>
      </w:r>
      <w:r>
        <w:rPr>
          <w:noProof/>
        </w:rPr>
        <w:fldChar w:fldCharType="begin"/>
      </w:r>
      <w:r>
        <w:rPr>
          <w:noProof/>
        </w:rPr>
        <w:instrText xml:space="preserve"> PAGEREF _Toc495653154 \h </w:instrText>
      </w:r>
      <w:r>
        <w:rPr>
          <w:noProof/>
        </w:rPr>
      </w:r>
      <w:r>
        <w:rPr>
          <w:noProof/>
        </w:rPr>
        <w:fldChar w:fldCharType="separate"/>
      </w:r>
      <w:r w:rsidR="00766D30">
        <w:rPr>
          <w:noProof/>
        </w:rPr>
        <w:t>498</w:t>
      </w:r>
      <w:r>
        <w:rPr>
          <w:noProof/>
        </w:rPr>
        <w:fldChar w:fldCharType="end"/>
      </w:r>
    </w:p>
    <w:p w14:paraId="4D4A4304" w14:textId="77777777" w:rsidR="00E25764" w:rsidRDefault="00E25764">
      <w:pPr>
        <w:pStyle w:val="TOC5"/>
        <w:rPr>
          <w:rFonts w:asciiTheme="minorHAnsi" w:eastAsiaTheme="minorEastAsia" w:hAnsiTheme="minorHAnsi" w:cstheme="minorBidi"/>
          <w:noProof/>
          <w:sz w:val="22"/>
          <w:szCs w:val="22"/>
          <w:lang w:eastAsia="en-AU"/>
        </w:rPr>
      </w:pPr>
      <w:r>
        <w:rPr>
          <w:noProof/>
        </w:rPr>
        <w:t>5.37  Method 1—Flaring of methane in sludge biogas from wastewater handling (domestic and commercial)</w:t>
      </w:r>
      <w:r>
        <w:rPr>
          <w:noProof/>
        </w:rPr>
        <w:tab/>
      </w:r>
      <w:r>
        <w:rPr>
          <w:noProof/>
        </w:rPr>
        <w:fldChar w:fldCharType="begin"/>
      </w:r>
      <w:r>
        <w:rPr>
          <w:noProof/>
        </w:rPr>
        <w:instrText xml:space="preserve"> PAGEREF _Toc495653155 \h </w:instrText>
      </w:r>
      <w:r>
        <w:rPr>
          <w:noProof/>
        </w:rPr>
      </w:r>
      <w:r>
        <w:rPr>
          <w:noProof/>
        </w:rPr>
        <w:fldChar w:fldCharType="separate"/>
      </w:r>
      <w:r w:rsidR="00766D30">
        <w:rPr>
          <w:noProof/>
        </w:rPr>
        <w:t>498</w:t>
      </w:r>
      <w:r>
        <w:rPr>
          <w:noProof/>
        </w:rPr>
        <w:fldChar w:fldCharType="end"/>
      </w:r>
    </w:p>
    <w:p w14:paraId="34F9DD40" w14:textId="77777777" w:rsidR="00E25764" w:rsidRDefault="00E25764">
      <w:pPr>
        <w:pStyle w:val="TOC5"/>
        <w:rPr>
          <w:rFonts w:asciiTheme="minorHAnsi" w:eastAsiaTheme="minorEastAsia" w:hAnsiTheme="minorHAnsi" w:cstheme="minorBidi"/>
          <w:noProof/>
          <w:sz w:val="22"/>
          <w:szCs w:val="22"/>
          <w:lang w:eastAsia="en-AU"/>
        </w:rPr>
      </w:pPr>
      <w:r>
        <w:rPr>
          <w:noProof/>
        </w:rPr>
        <w:t>5.38  Method 2—flaring of methane in sludge biogas</w:t>
      </w:r>
      <w:r>
        <w:rPr>
          <w:noProof/>
        </w:rPr>
        <w:tab/>
      </w:r>
      <w:r>
        <w:rPr>
          <w:noProof/>
        </w:rPr>
        <w:fldChar w:fldCharType="begin"/>
      </w:r>
      <w:r>
        <w:rPr>
          <w:noProof/>
        </w:rPr>
        <w:instrText xml:space="preserve"> PAGEREF _Toc495653156 \h </w:instrText>
      </w:r>
      <w:r>
        <w:rPr>
          <w:noProof/>
        </w:rPr>
      </w:r>
      <w:r>
        <w:rPr>
          <w:noProof/>
        </w:rPr>
        <w:fldChar w:fldCharType="separate"/>
      </w:r>
      <w:r w:rsidR="00766D30">
        <w:rPr>
          <w:noProof/>
        </w:rPr>
        <w:t>498</w:t>
      </w:r>
      <w:r>
        <w:rPr>
          <w:noProof/>
        </w:rPr>
        <w:fldChar w:fldCharType="end"/>
      </w:r>
    </w:p>
    <w:p w14:paraId="70A9B032" w14:textId="77777777" w:rsidR="00E25764" w:rsidRDefault="00E25764">
      <w:pPr>
        <w:pStyle w:val="TOC5"/>
        <w:rPr>
          <w:rFonts w:asciiTheme="minorHAnsi" w:eastAsiaTheme="minorEastAsia" w:hAnsiTheme="minorHAnsi" w:cstheme="minorBidi"/>
          <w:noProof/>
          <w:sz w:val="22"/>
          <w:szCs w:val="22"/>
          <w:lang w:eastAsia="en-AU"/>
        </w:rPr>
      </w:pPr>
      <w:r>
        <w:rPr>
          <w:noProof/>
        </w:rPr>
        <w:t>5.39  Method 3—flaring of methane in sludge biogas</w:t>
      </w:r>
      <w:r>
        <w:rPr>
          <w:noProof/>
        </w:rPr>
        <w:tab/>
      </w:r>
      <w:r>
        <w:rPr>
          <w:noProof/>
        </w:rPr>
        <w:fldChar w:fldCharType="begin"/>
      </w:r>
      <w:r>
        <w:rPr>
          <w:noProof/>
        </w:rPr>
        <w:instrText xml:space="preserve"> PAGEREF _Toc495653157 \h </w:instrText>
      </w:r>
      <w:r>
        <w:rPr>
          <w:noProof/>
        </w:rPr>
      </w:r>
      <w:r>
        <w:rPr>
          <w:noProof/>
        </w:rPr>
        <w:fldChar w:fldCharType="separate"/>
      </w:r>
      <w:r w:rsidR="00766D30">
        <w:rPr>
          <w:noProof/>
        </w:rPr>
        <w:t>499</w:t>
      </w:r>
      <w:r>
        <w:rPr>
          <w:noProof/>
        </w:rPr>
        <w:fldChar w:fldCharType="end"/>
      </w:r>
    </w:p>
    <w:p w14:paraId="38D96719" w14:textId="77777777" w:rsidR="00E25764" w:rsidRDefault="00E25764">
      <w:pPr>
        <w:pStyle w:val="TOC2"/>
        <w:rPr>
          <w:rFonts w:asciiTheme="minorHAnsi" w:eastAsiaTheme="minorEastAsia" w:hAnsiTheme="minorHAnsi" w:cstheme="minorBidi"/>
          <w:b w:val="0"/>
          <w:sz w:val="22"/>
          <w:szCs w:val="22"/>
          <w:lang w:eastAsia="en-AU"/>
        </w:rPr>
      </w:pPr>
      <w:r>
        <w:lastRenderedPageBreak/>
        <w:t>Part 5.4—Wastewater handling (industrial)</w:t>
      </w:r>
      <w:r>
        <w:tab/>
      </w:r>
      <w:r>
        <w:fldChar w:fldCharType="begin"/>
      </w:r>
      <w:r>
        <w:instrText xml:space="preserve"> PAGEREF _Toc495653158 \h </w:instrText>
      </w:r>
      <w:r>
        <w:fldChar w:fldCharType="separate"/>
      </w:r>
      <w:r w:rsidR="00766D30">
        <w:t>500</w:t>
      </w:r>
      <w:r>
        <w:fldChar w:fldCharType="end"/>
      </w:r>
    </w:p>
    <w:p w14:paraId="07550A85"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5.4.1—Preliminary</w:t>
      </w:r>
      <w:r>
        <w:rPr>
          <w:noProof/>
        </w:rPr>
        <w:tab/>
      </w:r>
      <w:r>
        <w:rPr>
          <w:noProof/>
        </w:rPr>
        <w:fldChar w:fldCharType="begin"/>
      </w:r>
      <w:r>
        <w:rPr>
          <w:noProof/>
        </w:rPr>
        <w:instrText xml:space="preserve"> PAGEREF _Toc495653159 \h </w:instrText>
      </w:r>
      <w:r>
        <w:rPr>
          <w:noProof/>
        </w:rPr>
      </w:r>
      <w:r>
        <w:rPr>
          <w:noProof/>
        </w:rPr>
        <w:fldChar w:fldCharType="separate"/>
      </w:r>
      <w:r w:rsidR="00766D30">
        <w:rPr>
          <w:noProof/>
        </w:rPr>
        <w:t>500</w:t>
      </w:r>
      <w:r>
        <w:rPr>
          <w:noProof/>
        </w:rPr>
        <w:fldChar w:fldCharType="end"/>
      </w:r>
    </w:p>
    <w:p w14:paraId="64813B06" w14:textId="77777777" w:rsidR="00E25764" w:rsidRDefault="00E25764">
      <w:pPr>
        <w:pStyle w:val="TOC5"/>
        <w:rPr>
          <w:rFonts w:asciiTheme="minorHAnsi" w:eastAsiaTheme="minorEastAsia" w:hAnsiTheme="minorHAnsi" w:cstheme="minorBidi"/>
          <w:noProof/>
          <w:sz w:val="22"/>
          <w:szCs w:val="22"/>
          <w:lang w:eastAsia="en-AU"/>
        </w:rPr>
      </w:pPr>
      <w:r>
        <w:rPr>
          <w:noProof/>
        </w:rPr>
        <w:t>5.40  Application</w:t>
      </w:r>
      <w:r>
        <w:rPr>
          <w:noProof/>
        </w:rPr>
        <w:tab/>
      </w:r>
      <w:r>
        <w:rPr>
          <w:noProof/>
        </w:rPr>
        <w:fldChar w:fldCharType="begin"/>
      </w:r>
      <w:r>
        <w:rPr>
          <w:noProof/>
        </w:rPr>
        <w:instrText xml:space="preserve"> PAGEREF _Toc495653160 \h </w:instrText>
      </w:r>
      <w:r>
        <w:rPr>
          <w:noProof/>
        </w:rPr>
      </w:r>
      <w:r>
        <w:rPr>
          <w:noProof/>
        </w:rPr>
        <w:fldChar w:fldCharType="separate"/>
      </w:r>
      <w:r w:rsidR="00766D30">
        <w:rPr>
          <w:noProof/>
        </w:rPr>
        <w:t>500</w:t>
      </w:r>
      <w:r>
        <w:rPr>
          <w:noProof/>
        </w:rPr>
        <w:fldChar w:fldCharType="end"/>
      </w:r>
    </w:p>
    <w:p w14:paraId="4CC2438C" w14:textId="77777777" w:rsidR="00E25764" w:rsidRDefault="00E25764">
      <w:pPr>
        <w:pStyle w:val="TOC5"/>
        <w:rPr>
          <w:rFonts w:asciiTheme="minorHAnsi" w:eastAsiaTheme="minorEastAsia" w:hAnsiTheme="minorHAnsi" w:cstheme="minorBidi"/>
          <w:noProof/>
          <w:sz w:val="22"/>
          <w:szCs w:val="22"/>
          <w:lang w:eastAsia="en-AU"/>
        </w:rPr>
      </w:pPr>
      <w:r>
        <w:rPr>
          <w:noProof/>
        </w:rPr>
        <w:t>5.41  Available methods</w:t>
      </w:r>
      <w:r>
        <w:rPr>
          <w:noProof/>
        </w:rPr>
        <w:tab/>
      </w:r>
      <w:r>
        <w:rPr>
          <w:noProof/>
        </w:rPr>
        <w:fldChar w:fldCharType="begin"/>
      </w:r>
      <w:r>
        <w:rPr>
          <w:noProof/>
        </w:rPr>
        <w:instrText xml:space="preserve"> PAGEREF _Toc495653161 \h </w:instrText>
      </w:r>
      <w:r>
        <w:rPr>
          <w:noProof/>
        </w:rPr>
      </w:r>
      <w:r>
        <w:rPr>
          <w:noProof/>
        </w:rPr>
        <w:fldChar w:fldCharType="separate"/>
      </w:r>
      <w:r w:rsidR="00766D30">
        <w:rPr>
          <w:noProof/>
        </w:rPr>
        <w:t>500</w:t>
      </w:r>
      <w:r>
        <w:rPr>
          <w:noProof/>
        </w:rPr>
        <w:fldChar w:fldCharType="end"/>
      </w:r>
    </w:p>
    <w:p w14:paraId="53A6410D"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5.4.2—Method 1—methane released from wastewater handling (industrial)</w:t>
      </w:r>
      <w:r>
        <w:rPr>
          <w:noProof/>
        </w:rPr>
        <w:tab/>
      </w:r>
      <w:r>
        <w:rPr>
          <w:noProof/>
        </w:rPr>
        <w:fldChar w:fldCharType="begin"/>
      </w:r>
      <w:r>
        <w:rPr>
          <w:noProof/>
        </w:rPr>
        <w:instrText xml:space="preserve"> PAGEREF _Toc495653162 \h </w:instrText>
      </w:r>
      <w:r>
        <w:rPr>
          <w:noProof/>
        </w:rPr>
      </w:r>
      <w:r>
        <w:rPr>
          <w:noProof/>
        </w:rPr>
        <w:fldChar w:fldCharType="separate"/>
      </w:r>
      <w:r w:rsidR="00766D30">
        <w:rPr>
          <w:noProof/>
        </w:rPr>
        <w:t>502</w:t>
      </w:r>
      <w:r>
        <w:rPr>
          <w:noProof/>
        </w:rPr>
        <w:fldChar w:fldCharType="end"/>
      </w:r>
    </w:p>
    <w:p w14:paraId="2C1A7ED8" w14:textId="77777777" w:rsidR="00E25764" w:rsidRDefault="00E25764">
      <w:pPr>
        <w:pStyle w:val="TOC5"/>
        <w:rPr>
          <w:rFonts w:asciiTheme="minorHAnsi" w:eastAsiaTheme="minorEastAsia" w:hAnsiTheme="minorHAnsi" w:cstheme="minorBidi"/>
          <w:noProof/>
          <w:sz w:val="22"/>
          <w:szCs w:val="22"/>
          <w:lang w:eastAsia="en-AU"/>
        </w:rPr>
      </w:pPr>
      <w:r>
        <w:rPr>
          <w:noProof/>
        </w:rPr>
        <w:t>5.42  Method 1—methane released from wastewater handling (industrial)</w:t>
      </w:r>
      <w:r>
        <w:rPr>
          <w:noProof/>
        </w:rPr>
        <w:tab/>
      </w:r>
      <w:r>
        <w:rPr>
          <w:noProof/>
        </w:rPr>
        <w:fldChar w:fldCharType="begin"/>
      </w:r>
      <w:r>
        <w:rPr>
          <w:noProof/>
        </w:rPr>
        <w:instrText xml:space="preserve"> PAGEREF _Toc495653163 \h </w:instrText>
      </w:r>
      <w:r>
        <w:rPr>
          <w:noProof/>
        </w:rPr>
      </w:r>
      <w:r>
        <w:rPr>
          <w:noProof/>
        </w:rPr>
        <w:fldChar w:fldCharType="separate"/>
      </w:r>
      <w:r w:rsidR="00766D30">
        <w:rPr>
          <w:noProof/>
        </w:rPr>
        <w:t>502</w:t>
      </w:r>
      <w:r>
        <w:rPr>
          <w:noProof/>
        </w:rPr>
        <w:fldChar w:fldCharType="end"/>
      </w:r>
    </w:p>
    <w:p w14:paraId="0F80E642"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5.4.3—Method 2—methane released from wastewater handling (industrial)</w:t>
      </w:r>
      <w:r>
        <w:rPr>
          <w:noProof/>
        </w:rPr>
        <w:tab/>
      </w:r>
      <w:r>
        <w:rPr>
          <w:noProof/>
        </w:rPr>
        <w:fldChar w:fldCharType="begin"/>
      </w:r>
      <w:r>
        <w:rPr>
          <w:noProof/>
        </w:rPr>
        <w:instrText xml:space="preserve"> PAGEREF _Toc495653164 \h </w:instrText>
      </w:r>
      <w:r>
        <w:rPr>
          <w:noProof/>
        </w:rPr>
      </w:r>
      <w:r>
        <w:rPr>
          <w:noProof/>
        </w:rPr>
        <w:fldChar w:fldCharType="separate"/>
      </w:r>
      <w:r w:rsidR="00766D30">
        <w:rPr>
          <w:noProof/>
        </w:rPr>
        <w:t>508</w:t>
      </w:r>
      <w:r>
        <w:rPr>
          <w:noProof/>
        </w:rPr>
        <w:fldChar w:fldCharType="end"/>
      </w:r>
    </w:p>
    <w:p w14:paraId="5F0E37E2" w14:textId="77777777" w:rsidR="00E25764" w:rsidRDefault="00E25764">
      <w:pPr>
        <w:pStyle w:val="TOC5"/>
        <w:rPr>
          <w:rFonts w:asciiTheme="minorHAnsi" w:eastAsiaTheme="minorEastAsia" w:hAnsiTheme="minorHAnsi" w:cstheme="minorBidi"/>
          <w:noProof/>
          <w:sz w:val="22"/>
          <w:szCs w:val="22"/>
          <w:lang w:eastAsia="en-AU"/>
        </w:rPr>
      </w:pPr>
      <w:r>
        <w:rPr>
          <w:noProof/>
        </w:rPr>
        <w:t>5.43  Method 2—methane released from wastewater handling (industrial)</w:t>
      </w:r>
      <w:r>
        <w:rPr>
          <w:noProof/>
        </w:rPr>
        <w:tab/>
      </w:r>
      <w:r>
        <w:rPr>
          <w:noProof/>
        </w:rPr>
        <w:fldChar w:fldCharType="begin"/>
      </w:r>
      <w:r>
        <w:rPr>
          <w:noProof/>
        </w:rPr>
        <w:instrText xml:space="preserve"> PAGEREF _Toc495653165 \h </w:instrText>
      </w:r>
      <w:r>
        <w:rPr>
          <w:noProof/>
        </w:rPr>
      </w:r>
      <w:r>
        <w:rPr>
          <w:noProof/>
        </w:rPr>
        <w:fldChar w:fldCharType="separate"/>
      </w:r>
      <w:r w:rsidR="00766D30">
        <w:rPr>
          <w:noProof/>
        </w:rPr>
        <w:t>508</w:t>
      </w:r>
      <w:r>
        <w:rPr>
          <w:noProof/>
        </w:rPr>
        <w:fldChar w:fldCharType="end"/>
      </w:r>
    </w:p>
    <w:p w14:paraId="3F82C500" w14:textId="77777777" w:rsidR="00E25764" w:rsidRDefault="00E25764">
      <w:pPr>
        <w:pStyle w:val="TOC5"/>
        <w:rPr>
          <w:rFonts w:asciiTheme="minorHAnsi" w:eastAsiaTheme="minorEastAsia" w:hAnsiTheme="minorHAnsi" w:cstheme="minorBidi"/>
          <w:noProof/>
          <w:sz w:val="22"/>
          <w:szCs w:val="22"/>
          <w:lang w:eastAsia="en-AU"/>
        </w:rPr>
      </w:pPr>
      <w:r>
        <w:rPr>
          <w:noProof/>
        </w:rPr>
        <w:t>5.44  General requirements for sampling under method 2</w:t>
      </w:r>
      <w:r>
        <w:rPr>
          <w:noProof/>
        </w:rPr>
        <w:tab/>
      </w:r>
      <w:r>
        <w:rPr>
          <w:noProof/>
        </w:rPr>
        <w:fldChar w:fldCharType="begin"/>
      </w:r>
      <w:r>
        <w:rPr>
          <w:noProof/>
        </w:rPr>
        <w:instrText xml:space="preserve"> PAGEREF _Toc495653166 \h </w:instrText>
      </w:r>
      <w:r>
        <w:rPr>
          <w:noProof/>
        </w:rPr>
      </w:r>
      <w:r>
        <w:rPr>
          <w:noProof/>
        </w:rPr>
        <w:fldChar w:fldCharType="separate"/>
      </w:r>
      <w:r w:rsidR="00766D30">
        <w:rPr>
          <w:noProof/>
        </w:rPr>
        <w:t>508</w:t>
      </w:r>
      <w:r>
        <w:rPr>
          <w:noProof/>
        </w:rPr>
        <w:fldChar w:fldCharType="end"/>
      </w:r>
    </w:p>
    <w:p w14:paraId="16CC5A0F" w14:textId="77777777" w:rsidR="00E25764" w:rsidRDefault="00E25764">
      <w:pPr>
        <w:pStyle w:val="TOC5"/>
        <w:rPr>
          <w:rFonts w:asciiTheme="minorHAnsi" w:eastAsiaTheme="minorEastAsia" w:hAnsiTheme="minorHAnsi" w:cstheme="minorBidi"/>
          <w:noProof/>
          <w:sz w:val="22"/>
          <w:szCs w:val="22"/>
          <w:lang w:eastAsia="en-AU"/>
        </w:rPr>
      </w:pPr>
      <w:r>
        <w:rPr>
          <w:noProof/>
        </w:rPr>
        <w:t>5.45  Standards for analysis</w:t>
      </w:r>
      <w:r>
        <w:rPr>
          <w:noProof/>
        </w:rPr>
        <w:tab/>
      </w:r>
      <w:r>
        <w:rPr>
          <w:noProof/>
        </w:rPr>
        <w:fldChar w:fldCharType="begin"/>
      </w:r>
      <w:r>
        <w:rPr>
          <w:noProof/>
        </w:rPr>
        <w:instrText xml:space="preserve"> PAGEREF _Toc495653167 \h </w:instrText>
      </w:r>
      <w:r>
        <w:rPr>
          <w:noProof/>
        </w:rPr>
      </w:r>
      <w:r>
        <w:rPr>
          <w:noProof/>
        </w:rPr>
        <w:fldChar w:fldCharType="separate"/>
      </w:r>
      <w:r w:rsidR="00766D30">
        <w:rPr>
          <w:noProof/>
        </w:rPr>
        <w:t>509</w:t>
      </w:r>
      <w:r>
        <w:rPr>
          <w:noProof/>
        </w:rPr>
        <w:fldChar w:fldCharType="end"/>
      </w:r>
    </w:p>
    <w:p w14:paraId="38A7A8BF" w14:textId="77777777" w:rsidR="00E25764" w:rsidRDefault="00E25764">
      <w:pPr>
        <w:pStyle w:val="TOC5"/>
        <w:rPr>
          <w:rFonts w:asciiTheme="minorHAnsi" w:eastAsiaTheme="minorEastAsia" w:hAnsiTheme="minorHAnsi" w:cstheme="minorBidi"/>
          <w:noProof/>
          <w:sz w:val="22"/>
          <w:szCs w:val="22"/>
          <w:lang w:eastAsia="en-AU"/>
        </w:rPr>
      </w:pPr>
      <w:r>
        <w:rPr>
          <w:noProof/>
        </w:rPr>
        <w:t>5.46  Frequency of sampling and analysis</w:t>
      </w:r>
      <w:r>
        <w:rPr>
          <w:noProof/>
        </w:rPr>
        <w:tab/>
      </w:r>
      <w:r>
        <w:rPr>
          <w:noProof/>
        </w:rPr>
        <w:fldChar w:fldCharType="begin"/>
      </w:r>
      <w:r>
        <w:rPr>
          <w:noProof/>
        </w:rPr>
        <w:instrText xml:space="preserve"> PAGEREF _Toc495653168 \h </w:instrText>
      </w:r>
      <w:r>
        <w:rPr>
          <w:noProof/>
        </w:rPr>
      </w:r>
      <w:r>
        <w:rPr>
          <w:noProof/>
        </w:rPr>
        <w:fldChar w:fldCharType="separate"/>
      </w:r>
      <w:r w:rsidR="00766D30">
        <w:rPr>
          <w:noProof/>
        </w:rPr>
        <w:t>509</w:t>
      </w:r>
      <w:r>
        <w:rPr>
          <w:noProof/>
        </w:rPr>
        <w:fldChar w:fldCharType="end"/>
      </w:r>
    </w:p>
    <w:p w14:paraId="1301832D"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5.4.4—Method 3—methane released from wastewater handling (industrial)</w:t>
      </w:r>
      <w:r>
        <w:rPr>
          <w:noProof/>
        </w:rPr>
        <w:tab/>
      </w:r>
      <w:r>
        <w:rPr>
          <w:noProof/>
        </w:rPr>
        <w:fldChar w:fldCharType="begin"/>
      </w:r>
      <w:r>
        <w:rPr>
          <w:noProof/>
        </w:rPr>
        <w:instrText xml:space="preserve"> PAGEREF _Toc495653169 \h </w:instrText>
      </w:r>
      <w:r>
        <w:rPr>
          <w:noProof/>
        </w:rPr>
      </w:r>
      <w:r>
        <w:rPr>
          <w:noProof/>
        </w:rPr>
        <w:fldChar w:fldCharType="separate"/>
      </w:r>
      <w:r w:rsidR="00766D30">
        <w:rPr>
          <w:noProof/>
        </w:rPr>
        <w:t>510</w:t>
      </w:r>
      <w:r>
        <w:rPr>
          <w:noProof/>
        </w:rPr>
        <w:fldChar w:fldCharType="end"/>
      </w:r>
    </w:p>
    <w:p w14:paraId="3C121C61" w14:textId="77777777" w:rsidR="00E25764" w:rsidRDefault="00E25764">
      <w:pPr>
        <w:pStyle w:val="TOC5"/>
        <w:rPr>
          <w:rFonts w:asciiTheme="minorHAnsi" w:eastAsiaTheme="minorEastAsia" w:hAnsiTheme="minorHAnsi" w:cstheme="minorBidi"/>
          <w:noProof/>
          <w:sz w:val="22"/>
          <w:szCs w:val="22"/>
          <w:lang w:eastAsia="en-AU"/>
        </w:rPr>
      </w:pPr>
      <w:r>
        <w:rPr>
          <w:noProof/>
        </w:rPr>
        <w:t>5.47  Method 3—methane released from wastewater handling (industrial)</w:t>
      </w:r>
      <w:r>
        <w:rPr>
          <w:noProof/>
        </w:rPr>
        <w:tab/>
      </w:r>
      <w:r>
        <w:rPr>
          <w:noProof/>
        </w:rPr>
        <w:fldChar w:fldCharType="begin"/>
      </w:r>
      <w:r>
        <w:rPr>
          <w:noProof/>
        </w:rPr>
        <w:instrText xml:space="preserve"> PAGEREF _Toc495653170 \h </w:instrText>
      </w:r>
      <w:r>
        <w:rPr>
          <w:noProof/>
        </w:rPr>
      </w:r>
      <w:r>
        <w:rPr>
          <w:noProof/>
        </w:rPr>
        <w:fldChar w:fldCharType="separate"/>
      </w:r>
      <w:r w:rsidR="00766D30">
        <w:rPr>
          <w:noProof/>
        </w:rPr>
        <w:t>510</w:t>
      </w:r>
      <w:r>
        <w:rPr>
          <w:noProof/>
        </w:rPr>
        <w:fldChar w:fldCharType="end"/>
      </w:r>
    </w:p>
    <w:p w14:paraId="1DD79693" w14:textId="77777777" w:rsidR="00E25764" w:rsidRDefault="00E25764">
      <w:pPr>
        <w:pStyle w:val="TOC3"/>
        <w:rPr>
          <w:rFonts w:asciiTheme="minorHAnsi" w:eastAsiaTheme="minorEastAsia" w:hAnsiTheme="minorHAnsi" w:cstheme="minorBidi"/>
          <w:b w:val="0"/>
          <w:noProof/>
          <w:sz w:val="22"/>
          <w:szCs w:val="22"/>
          <w:lang w:eastAsia="en-AU"/>
        </w:rPr>
      </w:pPr>
      <w:r>
        <w:rPr>
          <w:noProof/>
        </w:rPr>
        <w:t>Division 5.4.5—Wastewater handling (industrial)—Flaring of methane in sludge biogas</w:t>
      </w:r>
      <w:r>
        <w:rPr>
          <w:noProof/>
        </w:rPr>
        <w:tab/>
      </w:r>
      <w:r>
        <w:rPr>
          <w:noProof/>
        </w:rPr>
        <w:fldChar w:fldCharType="begin"/>
      </w:r>
      <w:r>
        <w:rPr>
          <w:noProof/>
        </w:rPr>
        <w:instrText xml:space="preserve"> PAGEREF _Toc495653171 \h </w:instrText>
      </w:r>
      <w:r>
        <w:rPr>
          <w:noProof/>
        </w:rPr>
      </w:r>
      <w:r>
        <w:rPr>
          <w:noProof/>
        </w:rPr>
        <w:fldChar w:fldCharType="separate"/>
      </w:r>
      <w:r w:rsidR="00766D30">
        <w:rPr>
          <w:noProof/>
        </w:rPr>
        <w:t>511</w:t>
      </w:r>
      <w:r>
        <w:rPr>
          <w:noProof/>
        </w:rPr>
        <w:fldChar w:fldCharType="end"/>
      </w:r>
    </w:p>
    <w:p w14:paraId="72B83701" w14:textId="77777777" w:rsidR="00E25764" w:rsidRDefault="00E25764">
      <w:pPr>
        <w:pStyle w:val="TOC5"/>
        <w:rPr>
          <w:rFonts w:asciiTheme="minorHAnsi" w:eastAsiaTheme="minorEastAsia" w:hAnsiTheme="minorHAnsi" w:cstheme="minorBidi"/>
          <w:noProof/>
          <w:sz w:val="22"/>
          <w:szCs w:val="22"/>
          <w:lang w:eastAsia="en-AU"/>
        </w:rPr>
      </w:pPr>
      <w:r>
        <w:rPr>
          <w:noProof/>
        </w:rPr>
        <w:t>5.48  Method 1—flaring of methane in sludge biogas</w:t>
      </w:r>
      <w:r>
        <w:rPr>
          <w:noProof/>
        </w:rPr>
        <w:tab/>
      </w:r>
      <w:r>
        <w:rPr>
          <w:noProof/>
        </w:rPr>
        <w:fldChar w:fldCharType="begin"/>
      </w:r>
      <w:r>
        <w:rPr>
          <w:noProof/>
        </w:rPr>
        <w:instrText xml:space="preserve"> PAGEREF _Toc495653172 \h </w:instrText>
      </w:r>
      <w:r>
        <w:rPr>
          <w:noProof/>
        </w:rPr>
      </w:r>
      <w:r>
        <w:rPr>
          <w:noProof/>
        </w:rPr>
        <w:fldChar w:fldCharType="separate"/>
      </w:r>
      <w:r w:rsidR="00766D30">
        <w:rPr>
          <w:noProof/>
        </w:rPr>
        <w:t>511</w:t>
      </w:r>
      <w:r>
        <w:rPr>
          <w:noProof/>
        </w:rPr>
        <w:fldChar w:fldCharType="end"/>
      </w:r>
    </w:p>
    <w:p w14:paraId="202304A5" w14:textId="77777777" w:rsidR="00E25764" w:rsidRDefault="00E25764">
      <w:pPr>
        <w:pStyle w:val="TOC5"/>
        <w:rPr>
          <w:rFonts w:asciiTheme="minorHAnsi" w:eastAsiaTheme="minorEastAsia" w:hAnsiTheme="minorHAnsi" w:cstheme="minorBidi"/>
          <w:noProof/>
          <w:sz w:val="22"/>
          <w:szCs w:val="22"/>
          <w:lang w:eastAsia="en-AU"/>
        </w:rPr>
      </w:pPr>
      <w:r>
        <w:rPr>
          <w:noProof/>
        </w:rPr>
        <w:t>5.49  Method 2—flaring of methane in sludge biogas</w:t>
      </w:r>
      <w:r>
        <w:rPr>
          <w:noProof/>
        </w:rPr>
        <w:tab/>
      </w:r>
      <w:r>
        <w:rPr>
          <w:noProof/>
        </w:rPr>
        <w:fldChar w:fldCharType="begin"/>
      </w:r>
      <w:r>
        <w:rPr>
          <w:noProof/>
        </w:rPr>
        <w:instrText xml:space="preserve"> PAGEREF _Toc495653173 \h </w:instrText>
      </w:r>
      <w:r>
        <w:rPr>
          <w:noProof/>
        </w:rPr>
      </w:r>
      <w:r>
        <w:rPr>
          <w:noProof/>
        </w:rPr>
        <w:fldChar w:fldCharType="separate"/>
      </w:r>
      <w:r w:rsidR="00766D30">
        <w:rPr>
          <w:noProof/>
        </w:rPr>
        <w:t>511</w:t>
      </w:r>
      <w:r>
        <w:rPr>
          <w:noProof/>
        </w:rPr>
        <w:fldChar w:fldCharType="end"/>
      </w:r>
    </w:p>
    <w:p w14:paraId="7A75FB57" w14:textId="77777777" w:rsidR="00E25764" w:rsidRDefault="00E25764">
      <w:pPr>
        <w:pStyle w:val="TOC5"/>
        <w:rPr>
          <w:rFonts w:asciiTheme="minorHAnsi" w:eastAsiaTheme="minorEastAsia" w:hAnsiTheme="minorHAnsi" w:cstheme="minorBidi"/>
          <w:noProof/>
          <w:sz w:val="22"/>
          <w:szCs w:val="22"/>
          <w:lang w:eastAsia="en-AU"/>
        </w:rPr>
      </w:pPr>
      <w:r>
        <w:rPr>
          <w:noProof/>
        </w:rPr>
        <w:t>5.50  Method 3—flaring of methane in sludge biogas</w:t>
      </w:r>
      <w:r>
        <w:rPr>
          <w:noProof/>
        </w:rPr>
        <w:tab/>
      </w:r>
      <w:r>
        <w:rPr>
          <w:noProof/>
        </w:rPr>
        <w:fldChar w:fldCharType="begin"/>
      </w:r>
      <w:r>
        <w:rPr>
          <w:noProof/>
        </w:rPr>
        <w:instrText xml:space="preserve"> PAGEREF _Toc495653174 \h </w:instrText>
      </w:r>
      <w:r>
        <w:rPr>
          <w:noProof/>
        </w:rPr>
      </w:r>
      <w:r>
        <w:rPr>
          <w:noProof/>
        </w:rPr>
        <w:fldChar w:fldCharType="separate"/>
      </w:r>
      <w:r w:rsidR="00766D30">
        <w:rPr>
          <w:noProof/>
        </w:rPr>
        <w:t>512</w:t>
      </w:r>
      <w:r>
        <w:rPr>
          <w:noProof/>
        </w:rPr>
        <w:fldChar w:fldCharType="end"/>
      </w:r>
    </w:p>
    <w:p w14:paraId="1B382ACC" w14:textId="77777777" w:rsidR="00E25764" w:rsidRDefault="00E25764">
      <w:pPr>
        <w:pStyle w:val="TOC2"/>
        <w:rPr>
          <w:rFonts w:asciiTheme="minorHAnsi" w:eastAsiaTheme="minorEastAsia" w:hAnsiTheme="minorHAnsi" w:cstheme="minorBidi"/>
          <w:b w:val="0"/>
          <w:sz w:val="22"/>
          <w:szCs w:val="22"/>
          <w:lang w:eastAsia="en-AU"/>
        </w:rPr>
      </w:pPr>
      <w:r>
        <w:t>Part 5.5—Waste incineration</w:t>
      </w:r>
      <w:r>
        <w:tab/>
      </w:r>
      <w:r>
        <w:fldChar w:fldCharType="begin"/>
      </w:r>
      <w:r>
        <w:instrText xml:space="preserve"> PAGEREF _Toc495653175 \h </w:instrText>
      </w:r>
      <w:r>
        <w:fldChar w:fldCharType="separate"/>
      </w:r>
      <w:r w:rsidR="00766D30">
        <w:t>513</w:t>
      </w:r>
      <w:r>
        <w:fldChar w:fldCharType="end"/>
      </w:r>
    </w:p>
    <w:p w14:paraId="54CEA70E" w14:textId="77777777" w:rsidR="00E25764" w:rsidRDefault="00E25764">
      <w:pPr>
        <w:pStyle w:val="TOC5"/>
        <w:rPr>
          <w:rFonts w:asciiTheme="minorHAnsi" w:eastAsiaTheme="minorEastAsia" w:hAnsiTheme="minorHAnsi" w:cstheme="minorBidi"/>
          <w:noProof/>
          <w:sz w:val="22"/>
          <w:szCs w:val="22"/>
          <w:lang w:eastAsia="en-AU"/>
        </w:rPr>
      </w:pPr>
      <w:r>
        <w:rPr>
          <w:noProof/>
        </w:rPr>
        <w:t>5.51  Application</w:t>
      </w:r>
      <w:r>
        <w:rPr>
          <w:noProof/>
        </w:rPr>
        <w:tab/>
      </w:r>
      <w:r>
        <w:rPr>
          <w:noProof/>
        </w:rPr>
        <w:fldChar w:fldCharType="begin"/>
      </w:r>
      <w:r>
        <w:rPr>
          <w:noProof/>
        </w:rPr>
        <w:instrText xml:space="preserve"> PAGEREF _Toc495653176 \h </w:instrText>
      </w:r>
      <w:r>
        <w:rPr>
          <w:noProof/>
        </w:rPr>
      </w:r>
      <w:r>
        <w:rPr>
          <w:noProof/>
        </w:rPr>
        <w:fldChar w:fldCharType="separate"/>
      </w:r>
      <w:r w:rsidR="00766D30">
        <w:rPr>
          <w:noProof/>
        </w:rPr>
        <w:t>513</w:t>
      </w:r>
      <w:r>
        <w:rPr>
          <w:noProof/>
        </w:rPr>
        <w:fldChar w:fldCharType="end"/>
      </w:r>
    </w:p>
    <w:p w14:paraId="16EBA0DA" w14:textId="77777777" w:rsidR="00E25764" w:rsidRDefault="00E25764">
      <w:pPr>
        <w:pStyle w:val="TOC5"/>
        <w:rPr>
          <w:rFonts w:asciiTheme="minorHAnsi" w:eastAsiaTheme="minorEastAsia" w:hAnsiTheme="minorHAnsi" w:cstheme="minorBidi"/>
          <w:noProof/>
          <w:sz w:val="22"/>
          <w:szCs w:val="22"/>
          <w:lang w:eastAsia="en-AU"/>
        </w:rPr>
      </w:pPr>
      <w:r>
        <w:rPr>
          <w:noProof/>
        </w:rPr>
        <w:t>5.52  Available methods—emissions of carbon dioxide from waste incineration</w:t>
      </w:r>
      <w:r>
        <w:rPr>
          <w:noProof/>
        </w:rPr>
        <w:tab/>
      </w:r>
      <w:r>
        <w:rPr>
          <w:noProof/>
        </w:rPr>
        <w:fldChar w:fldCharType="begin"/>
      </w:r>
      <w:r>
        <w:rPr>
          <w:noProof/>
        </w:rPr>
        <w:instrText xml:space="preserve"> PAGEREF _Toc495653177 \h </w:instrText>
      </w:r>
      <w:r>
        <w:rPr>
          <w:noProof/>
        </w:rPr>
      </w:r>
      <w:r>
        <w:rPr>
          <w:noProof/>
        </w:rPr>
        <w:fldChar w:fldCharType="separate"/>
      </w:r>
      <w:r w:rsidR="00766D30">
        <w:rPr>
          <w:noProof/>
        </w:rPr>
        <w:t>513</w:t>
      </w:r>
      <w:r>
        <w:rPr>
          <w:noProof/>
        </w:rPr>
        <w:fldChar w:fldCharType="end"/>
      </w:r>
    </w:p>
    <w:p w14:paraId="688679B9" w14:textId="77777777" w:rsidR="00E25764" w:rsidRDefault="00E25764">
      <w:pPr>
        <w:pStyle w:val="TOC5"/>
        <w:rPr>
          <w:rFonts w:asciiTheme="minorHAnsi" w:eastAsiaTheme="minorEastAsia" w:hAnsiTheme="minorHAnsi" w:cstheme="minorBidi"/>
          <w:noProof/>
          <w:sz w:val="22"/>
          <w:szCs w:val="22"/>
          <w:lang w:eastAsia="en-AU"/>
        </w:rPr>
      </w:pPr>
      <w:r>
        <w:rPr>
          <w:noProof/>
        </w:rPr>
        <w:t>5.53  Method 1—emissions of carbon dioxide released from waste incineration</w:t>
      </w:r>
      <w:r>
        <w:rPr>
          <w:noProof/>
        </w:rPr>
        <w:tab/>
      </w:r>
      <w:r>
        <w:rPr>
          <w:noProof/>
        </w:rPr>
        <w:fldChar w:fldCharType="begin"/>
      </w:r>
      <w:r>
        <w:rPr>
          <w:noProof/>
        </w:rPr>
        <w:instrText xml:space="preserve"> PAGEREF _Toc495653178 \h </w:instrText>
      </w:r>
      <w:r>
        <w:rPr>
          <w:noProof/>
        </w:rPr>
      </w:r>
      <w:r>
        <w:rPr>
          <w:noProof/>
        </w:rPr>
        <w:fldChar w:fldCharType="separate"/>
      </w:r>
      <w:r w:rsidR="00766D30">
        <w:rPr>
          <w:noProof/>
        </w:rPr>
        <w:t>513</w:t>
      </w:r>
      <w:r>
        <w:rPr>
          <w:noProof/>
        </w:rPr>
        <w:fldChar w:fldCharType="end"/>
      </w:r>
    </w:p>
    <w:p w14:paraId="09F8A6B2" w14:textId="77777777" w:rsidR="00E25764" w:rsidRDefault="00E25764">
      <w:pPr>
        <w:pStyle w:val="TOC1"/>
        <w:rPr>
          <w:rFonts w:asciiTheme="minorHAnsi" w:eastAsiaTheme="minorEastAsia" w:hAnsiTheme="minorHAnsi" w:cstheme="minorBidi"/>
          <w:b w:val="0"/>
          <w:noProof/>
          <w:sz w:val="22"/>
          <w:szCs w:val="22"/>
          <w:lang w:eastAsia="en-AU"/>
        </w:rPr>
      </w:pPr>
      <w:r>
        <w:rPr>
          <w:noProof/>
        </w:rPr>
        <w:lastRenderedPageBreak/>
        <w:t>Chapter 6—Energy</w:t>
      </w:r>
      <w:r>
        <w:rPr>
          <w:noProof/>
        </w:rPr>
        <w:tab/>
      </w:r>
      <w:r>
        <w:rPr>
          <w:noProof/>
        </w:rPr>
        <w:fldChar w:fldCharType="begin"/>
      </w:r>
      <w:r>
        <w:rPr>
          <w:noProof/>
        </w:rPr>
        <w:instrText xml:space="preserve"> PAGEREF _Toc495653179 \h </w:instrText>
      </w:r>
      <w:r>
        <w:rPr>
          <w:noProof/>
        </w:rPr>
      </w:r>
      <w:r>
        <w:rPr>
          <w:noProof/>
        </w:rPr>
        <w:fldChar w:fldCharType="separate"/>
      </w:r>
      <w:r w:rsidR="00766D30">
        <w:rPr>
          <w:noProof/>
        </w:rPr>
        <w:t>515</w:t>
      </w:r>
      <w:r>
        <w:rPr>
          <w:noProof/>
        </w:rPr>
        <w:fldChar w:fldCharType="end"/>
      </w:r>
    </w:p>
    <w:p w14:paraId="231FB124" w14:textId="77777777" w:rsidR="00E25764" w:rsidRDefault="00E25764">
      <w:pPr>
        <w:pStyle w:val="TOC2"/>
        <w:rPr>
          <w:rFonts w:asciiTheme="minorHAnsi" w:eastAsiaTheme="minorEastAsia" w:hAnsiTheme="minorHAnsi" w:cstheme="minorBidi"/>
          <w:b w:val="0"/>
          <w:sz w:val="22"/>
          <w:szCs w:val="22"/>
          <w:lang w:eastAsia="en-AU"/>
        </w:rPr>
      </w:pPr>
      <w:r>
        <w:t>Part 6.1—Production</w:t>
      </w:r>
      <w:r>
        <w:tab/>
      </w:r>
      <w:r>
        <w:fldChar w:fldCharType="begin"/>
      </w:r>
      <w:r>
        <w:instrText xml:space="preserve"> PAGEREF _Toc495653180 \h </w:instrText>
      </w:r>
      <w:r>
        <w:fldChar w:fldCharType="separate"/>
      </w:r>
      <w:r w:rsidR="00766D30">
        <w:t>515</w:t>
      </w:r>
      <w:r>
        <w:fldChar w:fldCharType="end"/>
      </w:r>
    </w:p>
    <w:p w14:paraId="11DB6794" w14:textId="77777777" w:rsidR="00E25764" w:rsidRDefault="00E25764">
      <w:pPr>
        <w:pStyle w:val="TOC5"/>
        <w:rPr>
          <w:rFonts w:asciiTheme="minorHAnsi" w:eastAsiaTheme="minorEastAsia" w:hAnsiTheme="minorHAnsi" w:cstheme="minorBidi"/>
          <w:noProof/>
          <w:sz w:val="22"/>
          <w:szCs w:val="22"/>
          <w:lang w:eastAsia="en-AU"/>
        </w:rPr>
      </w:pPr>
      <w:r>
        <w:rPr>
          <w:noProof/>
        </w:rPr>
        <w:t>6.1  Purpose</w:t>
      </w:r>
      <w:r>
        <w:rPr>
          <w:noProof/>
        </w:rPr>
        <w:tab/>
      </w:r>
      <w:r>
        <w:rPr>
          <w:noProof/>
        </w:rPr>
        <w:fldChar w:fldCharType="begin"/>
      </w:r>
      <w:r>
        <w:rPr>
          <w:noProof/>
        </w:rPr>
        <w:instrText xml:space="preserve"> PAGEREF _Toc495653181 \h </w:instrText>
      </w:r>
      <w:r>
        <w:rPr>
          <w:noProof/>
        </w:rPr>
      </w:r>
      <w:r>
        <w:rPr>
          <w:noProof/>
        </w:rPr>
        <w:fldChar w:fldCharType="separate"/>
      </w:r>
      <w:r w:rsidR="00766D30">
        <w:rPr>
          <w:noProof/>
        </w:rPr>
        <w:t>515</w:t>
      </w:r>
      <w:r>
        <w:rPr>
          <w:noProof/>
        </w:rPr>
        <w:fldChar w:fldCharType="end"/>
      </w:r>
    </w:p>
    <w:p w14:paraId="292166C5" w14:textId="77777777" w:rsidR="00E25764" w:rsidRDefault="00E25764">
      <w:pPr>
        <w:pStyle w:val="TOC5"/>
        <w:rPr>
          <w:rFonts w:asciiTheme="minorHAnsi" w:eastAsiaTheme="minorEastAsia" w:hAnsiTheme="minorHAnsi" w:cstheme="minorBidi"/>
          <w:noProof/>
          <w:sz w:val="22"/>
          <w:szCs w:val="22"/>
          <w:lang w:eastAsia="en-AU"/>
        </w:rPr>
      </w:pPr>
      <w:r>
        <w:rPr>
          <w:noProof/>
        </w:rPr>
        <w:t>6.2  Quantity of energy produced</w:t>
      </w:r>
      <w:r>
        <w:rPr>
          <w:noProof/>
        </w:rPr>
        <w:tab/>
      </w:r>
      <w:r>
        <w:rPr>
          <w:noProof/>
        </w:rPr>
        <w:fldChar w:fldCharType="begin"/>
      </w:r>
      <w:r>
        <w:rPr>
          <w:noProof/>
        </w:rPr>
        <w:instrText xml:space="preserve"> PAGEREF _Toc495653182 \h </w:instrText>
      </w:r>
      <w:r>
        <w:rPr>
          <w:noProof/>
        </w:rPr>
      </w:r>
      <w:r>
        <w:rPr>
          <w:noProof/>
        </w:rPr>
        <w:fldChar w:fldCharType="separate"/>
      </w:r>
      <w:r w:rsidR="00766D30">
        <w:rPr>
          <w:noProof/>
        </w:rPr>
        <w:t>515</w:t>
      </w:r>
      <w:r>
        <w:rPr>
          <w:noProof/>
        </w:rPr>
        <w:fldChar w:fldCharType="end"/>
      </w:r>
    </w:p>
    <w:p w14:paraId="01704A6B" w14:textId="77777777" w:rsidR="00E25764" w:rsidRDefault="00E25764">
      <w:pPr>
        <w:pStyle w:val="TOC2"/>
        <w:rPr>
          <w:rFonts w:asciiTheme="minorHAnsi" w:eastAsiaTheme="minorEastAsia" w:hAnsiTheme="minorHAnsi" w:cstheme="minorBidi"/>
          <w:b w:val="0"/>
          <w:sz w:val="22"/>
          <w:szCs w:val="22"/>
          <w:lang w:eastAsia="en-AU"/>
        </w:rPr>
      </w:pPr>
      <w:r>
        <w:t>Part 6.2—Consumption</w:t>
      </w:r>
      <w:r>
        <w:tab/>
      </w:r>
      <w:r>
        <w:fldChar w:fldCharType="begin"/>
      </w:r>
      <w:r>
        <w:instrText xml:space="preserve"> PAGEREF _Toc495653183 \h </w:instrText>
      </w:r>
      <w:r>
        <w:fldChar w:fldCharType="separate"/>
      </w:r>
      <w:r w:rsidR="00766D30">
        <w:t>519</w:t>
      </w:r>
      <w:r>
        <w:fldChar w:fldCharType="end"/>
      </w:r>
    </w:p>
    <w:p w14:paraId="4BE39CD9" w14:textId="77777777" w:rsidR="00E25764" w:rsidRDefault="00E25764">
      <w:pPr>
        <w:pStyle w:val="TOC5"/>
        <w:rPr>
          <w:rFonts w:asciiTheme="minorHAnsi" w:eastAsiaTheme="minorEastAsia" w:hAnsiTheme="minorHAnsi" w:cstheme="minorBidi"/>
          <w:noProof/>
          <w:sz w:val="22"/>
          <w:szCs w:val="22"/>
          <w:lang w:eastAsia="en-AU"/>
        </w:rPr>
      </w:pPr>
      <w:r>
        <w:rPr>
          <w:noProof/>
        </w:rPr>
        <w:t>6.4  Purpose</w:t>
      </w:r>
      <w:r>
        <w:rPr>
          <w:noProof/>
        </w:rPr>
        <w:tab/>
      </w:r>
      <w:r>
        <w:rPr>
          <w:noProof/>
        </w:rPr>
        <w:fldChar w:fldCharType="begin"/>
      </w:r>
      <w:r>
        <w:rPr>
          <w:noProof/>
        </w:rPr>
        <w:instrText xml:space="preserve"> PAGEREF _Toc495653184 \h </w:instrText>
      </w:r>
      <w:r>
        <w:rPr>
          <w:noProof/>
        </w:rPr>
      </w:r>
      <w:r>
        <w:rPr>
          <w:noProof/>
        </w:rPr>
        <w:fldChar w:fldCharType="separate"/>
      </w:r>
      <w:r w:rsidR="00766D30">
        <w:rPr>
          <w:noProof/>
        </w:rPr>
        <w:t>519</w:t>
      </w:r>
      <w:r>
        <w:rPr>
          <w:noProof/>
        </w:rPr>
        <w:fldChar w:fldCharType="end"/>
      </w:r>
    </w:p>
    <w:p w14:paraId="76051097" w14:textId="77777777" w:rsidR="00E25764" w:rsidRDefault="00E25764">
      <w:pPr>
        <w:pStyle w:val="TOC1"/>
        <w:rPr>
          <w:rFonts w:asciiTheme="minorHAnsi" w:eastAsiaTheme="minorEastAsia" w:hAnsiTheme="minorHAnsi" w:cstheme="minorBidi"/>
          <w:b w:val="0"/>
          <w:noProof/>
          <w:sz w:val="22"/>
          <w:szCs w:val="22"/>
          <w:lang w:eastAsia="en-AU"/>
        </w:rPr>
      </w:pPr>
      <w:r>
        <w:rPr>
          <w:noProof/>
        </w:rPr>
        <w:t>Chapter 7—Scope 2 emissions</w:t>
      </w:r>
      <w:r>
        <w:rPr>
          <w:noProof/>
        </w:rPr>
        <w:tab/>
      </w:r>
      <w:r>
        <w:rPr>
          <w:noProof/>
        </w:rPr>
        <w:fldChar w:fldCharType="begin"/>
      </w:r>
      <w:r>
        <w:rPr>
          <w:noProof/>
        </w:rPr>
        <w:instrText xml:space="preserve"> PAGEREF _Toc495653185 \h </w:instrText>
      </w:r>
      <w:r>
        <w:rPr>
          <w:noProof/>
        </w:rPr>
      </w:r>
      <w:r>
        <w:rPr>
          <w:noProof/>
        </w:rPr>
        <w:fldChar w:fldCharType="separate"/>
      </w:r>
      <w:r w:rsidR="00766D30">
        <w:rPr>
          <w:noProof/>
        </w:rPr>
        <w:t>522</w:t>
      </w:r>
      <w:r>
        <w:rPr>
          <w:noProof/>
        </w:rPr>
        <w:fldChar w:fldCharType="end"/>
      </w:r>
    </w:p>
    <w:p w14:paraId="3B5A5B67" w14:textId="77777777" w:rsidR="00E25764" w:rsidRDefault="00E25764">
      <w:pPr>
        <w:pStyle w:val="TOC5"/>
        <w:rPr>
          <w:rFonts w:asciiTheme="minorHAnsi" w:eastAsiaTheme="minorEastAsia" w:hAnsiTheme="minorHAnsi" w:cstheme="minorBidi"/>
          <w:noProof/>
          <w:sz w:val="22"/>
          <w:szCs w:val="22"/>
          <w:lang w:eastAsia="en-AU"/>
        </w:rPr>
      </w:pPr>
      <w:r>
        <w:rPr>
          <w:noProof/>
        </w:rPr>
        <w:t>7.1  Application</w:t>
      </w:r>
      <w:r>
        <w:rPr>
          <w:noProof/>
        </w:rPr>
        <w:tab/>
      </w:r>
      <w:r>
        <w:rPr>
          <w:noProof/>
        </w:rPr>
        <w:fldChar w:fldCharType="begin"/>
      </w:r>
      <w:r>
        <w:rPr>
          <w:noProof/>
        </w:rPr>
        <w:instrText xml:space="preserve"> PAGEREF _Toc495653186 \h </w:instrText>
      </w:r>
      <w:r>
        <w:rPr>
          <w:noProof/>
        </w:rPr>
      </w:r>
      <w:r>
        <w:rPr>
          <w:noProof/>
        </w:rPr>
        <w:fldChar w:fldCharType="separate"/>
      </w:r>
      <w:r w:rsidR="00766D30">
        <w:rPr>
          <w:noProof/>
        </w:rPr>
        <w:t>522</w:t>
      </w:r>
      <w:r>
        <w:rPr>
          <w:noProof/>
        </w:rPr>
        <w:fldChar w:fldCharType="end"/>
      </w:r>
    </w:p>
    <w:p w14:paraId="147163A6" w14:textId="77777777" w:rsidR="00E25764" w:rsidRDefault="00E25764">
      <w:pPr>
        <w:pStyle w:val="TOC8"/>
        <w:rPr>
          <w:rFonts w:asciiTheme="minorHAnsi" w:eastAsiaTheme="minorEastAsia" w:hAnsiTheme="minorHAnsi" w:cstheme="minorBidi"/>
          <w:sz w:val="22"/>
          <w:szCs w:val="22"/>
          <w:lang w:eastAsia="en-AU"/>
        </w:rPr>
      </w:pPr>
      <w:r>
        <w:t xml:space="preserve">Table 7.2 </w:t>
      </w:r>
      <w:r>
        <w:rPr>
          <w:rFonts w:asciiTheme="minorHAnsi" w:eastAsiaTheme="minorEastAsia" w:hAnsiTheme="minorHAnsi" w:cstheme="minorBidi"/>
          <w:sz w:val="22"/>
          <w:szCs w:val="22"/>
          <w:lang w:eastAsia="en-AU"/>
        </w:rPr>
        <w:tab/>
      </w:r>
      <w:r>
        <w:t>Indirect (scope 2) emission factors from consumption of purchased electricity from a grid</w:t>
      </w:r>
      <w:r>
        <w:tab/>
      </w:r>
      <w:r>
        <w:fldChar w:fldCharType="begin"/>
      </w:r>
      <w:r>
        <w:instrText xml:space="preserve"> PAGEREF _Toc495653187 \h </w:instrText>
      </w:r>
      <w:r>
        <w:fldChar w:fldCharType="separate"/>
      </w:r>
      <w:r w:rsidR="00766D30">
        <w:t>524</w:t>
      </w:r>
      <w:r>
        <w:fldChar w:fldCharType="end"/>
      </w:r>
    </w:p>
    <w:p w14:paraId="5D0899FD" w14:textId="77777777" w:rsidR="00E25764" w:rsidRDefault="00E25764">
      <w:pPr>
        <w:pStyle w:val="TOC1"/>
        <w:rPr>
          <w:rFonts w:asciiTheme="minorHAnsi" w:eastAsiaTheme="minorEastAsia" w:hAnsiTheme="minorHAnsi" w:cstheme="minorBidi"/>
          <w:b w:val="0"/>
          <w:noProof/>
          <w:sz w:val="22"/>
          <w:szCs w:val="22"/>
          <w:lang w:eastAsia="en-AU"/>
        </w:rPr>
      </w:pPr>
      <w:r>
        <w:rPr>
          <w:noProof/>
        </w:rPr>
        <w:t>Chapter 8—Assessment of uncertainty</w:t>
      </w:r>
      <w:r>
        <w:rPr>
          <w:noProof/>
        </w:rPr>
        <w:tab/>
      </w:r>
      <w:r>
        <w:rPr>
          <w:noProof/>
        </w:rPr>
        <w:fldChar w:fldCharType="begin"/>
      </w:r>
      <w:r>
        <w:rPr>
          <w:noProof/>
        </w:rPr>
        <w:instrText xml:space="preserve"> PAGEREF _Toc495653188 \h </w:instrText>
      </w:r>
      <w:r>
        <w:rPr>
          <w:noProof/>
        </w:rPr>
      </w:r>
      <w:r>
        <w:rPr>
          <w:noProof/>
        </w:rPr>
        <w:fldChar w:fldCharType="separate"/>
      </w:r>
      <w:r w:rsidR="00766D30">
        <w:rPr>
          <w:noProof/>
        </w:rPr>
        <w:t>531</w:t>
      </w:r>
      <w:r>
        <w:rPr>
          <w:noProof/>
        </w:rPr>
        <w:fldChar w:fldCharType="end"/>
      </w:r>
    </w:p>
    <w:p w14:paraId="2E087214" w14:textId="77777777" w:rsidR="00E25764" w:rsidRDefault="00E25764">
      <w:pPr>
        <w:pStyle w:val="TOC2"/>
        <w:rPr>
          <w:rFonts w:asciiTheme="minorHAnsi" w:eastAsiaTheme="minorEastAsia" w:hAnsiTheme="minorHAnsi" w:cstheme="minorBidi"/>
          <w:b w:val="0"/>
          <w:sz w:val="22"/>
          <w:szCs w:val="22"/>
          <w:lang w:eastAsia="en-AU"/>
        </w:rPr>
      </w:pPr>
      <w:r>
        <w:t>Part 8.1—Preliminary</w:t>
      </w:r>
      <w:r>
        <w:tab/>
      </w:r>
      <w:r>
        <w:fldChar w:fldCharType="begin"/>
      </w:r>
      <w:r>
        <w:instrText xml:space="preserve"> PAGEREF _Toc495653189 \h </w:instrText>
      </w:r>
      <w:r>
        <w:fldChar w:fldCharType="separate"/>
      </w:r>
      <w:r w:rsidR="00766D30">
        <w:t>531</w:t>
      </w:r>
      <w:r>
        <w:fldChar w:fldCharType="end"/>
      </w:r>
    </w:p>
    <w:p w14:paraId="150D23B6" w14:textId="77777777" w:rsidR="00E25764" w:rsidRDefault="00E25764">
      <w:pPr>
        <w:pStyle w:val="TOC5"/>
        <w:rPr>
          <w:rFonts w:asciiTheme="minorHAnsi" w:eastAsiaTheme="minorEastAsia" w:hAnsiTheme="minorHAnsi" w:cstheme="minorBidi"/>
          <w:noProof/>
          <w:sz w:val="22"/>
          <w:szCs w:val="22"/>
          <w:lang w:eastAsia="en-AU"/>
        </w:rPr>
      </w:pPr>
      <w:r>
        <w:rPr>
          <w:noProof/>
        </w:rPr>
        <w:t>8.1  Outline of Chapter</w:t>
      </w:r>
      <w:r>
        <w:rPr>
          <w:noProof/>
        </w:rPr>
        <w:tab/>
      </w:r>
      <w:r>
        <w:rPr>
          <w:noProof/>
        </w:rPr>
        <w:fldChar w:fldCharType="begin"/>
      </w:r>
      <w:r>
        <w:rPr>
          <w:noProof/>
        </w:rPr>
        <w:instrText xml:space="preserve"> PAGEREF _Toc495653190 \h </w:instrText>
      </w:r>
      <w:r>
        <w:rPr>
          <w:noProof/>
        </w:rPr>
      </w:r>
      <w:r>
        <w:rPr>
          <w:noProof/>
        </w:rPr>
        <w:fldChar w:fldCharType="separate"/>
      </w:r>
      <w:r w:rsidR="00766D30">
        <w:rPr>
          <w:noProof/>
        </w:rPr>
        <w:t>531</w:t>
      </w:r>
      <w:r>
        <w:rPr>
          <w:noProof/>
        </w:rPr>
        <w:fldChar w:fldCharType="end"/>
      </w:r>
    </w:p>
    <w:p w14:paraId="341FCAAB" w14:textId="77777777" w:rsidR="00E25764" w:rsidRDefault="00E25764">
      <w:pPr>
        <w:pStyle w:val="TOC2"/>
        <w:rPr>
          <w:rFonts w:asciiTheme="minorHAnsi" w:eastAsiaTheme="minorEastAsia" w:hAnsiTheme="minorHAnsi" w:cstheme="minorBidi"/>
          <w:b w:val="0"/>
          <w:sz w:val="22"/>
          <w:szCs w:val="22"/>
          <w:lang w:eastAsia="en-AU"/>
        </w:rPr>
      </w:pPr>
      <w:r>
        <w:t>Part 8.2—General rules for assessing uncertainty</w:t>
      </w:r>
      <w:r>
        <w:tab/>
      </w:r>
      <w:r>
        <w:fldChar w:fldCharType="begin"/>
      </w:r>
      <w:r>
        <w:instrText xml:space="preserve"> PAGEREF _Toc495653191 \h </w:instrText>
      </w:r>
      <w:r>
        <w:fldChar w:fldCharType="separate"/>
      </w:r>
      <w:r w:rsidR="00766D30">
        <w:t>533</w:t>
      </w:r>
      <w:r>
        <w:fldChar w:fldCharType="end"/>
      </w:r>
    </w:p>
    <w:p w14:paraId="42AEDBE3" w14:textId="77777777" w:rsidR="00E25764" w:rsidRDefault="00E25764">
      <w:pPr>
        <w:pStyle w:val="TOC5"/>
        <w:rPr>
          <w:rFonts w:asciiTheme="minorHAnsi" w:eastAsiaTheme="minorEastAsia" w:hAnsiTheme="minorHAnsi" w:cstheme="minorBidi"/>
          <w:noProof/>
          <w:sz w:val="22"/>
          <w:szCs w:val="22"/>
          <w:lang w:eastAsia="en-AU"/>
        </w:rPr>
      </w:pPr>
      <w:r>
        <w:rPr>
          <w:noProof/>
        </w:rPr>
        <w:t>8.2  Range for emission estimates</w:t>
      </w:r>
      <w:r>
        <w:rPr>
          <w:noProof/>
        </w:rPr>
        <w:tab/>
      </w:r>
      <w:r>
        <w:rPr>
          <w:noProof/>
        </w:rPr>
        <w:fldChar w:fldCharType="begin"/>
      </w:r>
      <w:r>
        <w:rPr>
          <w:noProof/>
        </w:rPr>
        <w:instrText xml:space="preserve"> PAGEREF _Toc495653192 \h </w:instrText>
      </w:r>
      <w:r>
        <w:rPr>
          <w:noProof/>
        </w:rPr>
      </w:r>
      <w:r>
        <w:rPr>
          <w:noProof/>
        </w:rPr>
        <w:fldChar w:fldCharType="separate"/>
      </w:r>
      <w:r w:rsidR="00766D30">
        <w:rPr>
          <w:noProof/>
        </w:rPr>
        <w:t>533</w:t>
      </w:r>
      <w:r>
        <w:rPr>
          <w:noProof/>
        </w:rPr>
        <w:fldChar w:fldCharType="end"/>
      </w:r>
    </w:p>
    <w:p w14:paraId="49365E2B" w14:textId="77777777" w:rsidR="00E25764" w:rsidRDefault="00E25764">
      <w:pPr>
        <w:pStyle w:val="TOC5"/>
        <w:rPr>
          <w:rFonts w:asciiTheme="minorHAnsi" w:eastAsiaTheme="minorEastAsia" w:hAnsiTheme="minorHAnsi" w:cstheme="minorBidi"/>
          <w:noProof/>
          <w:sz w:val="22"/>
          <w:szCs w:val="22"/>
          <w:lang w:eastAsia="en-AU"/>
        </w:rPr>
      </w:pPr>
      <w:r>
        <w:rPr>
          <w:noProof/>
        </w:rPr>
        <w:t>8.3  Required method</w:t>
      </w:r>
      <w:r>
        <w:rPr>
          <w:noProof/>
        </w:rPr>
        <w:tab/>
      </w:r>
      <w:r>
        <w:rPr>
          <w:noProof/>
        </w:rPr>
        <w:fldChar w:fldCharType="begin"/>
      </w:r>
      <w:r>
        <w:rPr>
          <w:noProof/>
        </w:rPr>
        <w:instrText xml:space="preserve"> PAGEREF _Toc495653193 \h </w:instrText>
      </w:r>
      <w:r>
        <w:rPr>
          <w:noProof/>
        </w:rPr>
      </w:r>
      <w:r>
        <w:rPr>
          <w:noProof/>
        </w:rPr>
        <w:fldChar w:fldCharType="separate"/>
      </w:r>
      <w:r w:rsidR="00766D30">
        <w:rPr>
          <w:noProof/>
        </w:rPr>
        <w:t>533</w:t>
      </w:r>
      <w:r>
        <w:rPr>
          <w:noProof/>
        </w:rPr>
        <w:fldChar w:fldCharType="end"/>
      </w:r>
    </w:p>
    <w:p w14:paraId="45C77522" w14:textId="77777777" w:rsidR="00E25764" w:rsidRDefault="00E25764">
      <w:pPr>
        <w:pStyle w:val="TOC2"/>
        <w:rPr>
          <w:rFonts w:asciiTheme="minorHAnsi" w:eastAsiaTheme="minorEastAsia" w:hAnsiTheme="minorHAnsi" w:cstheme="minorBidi"/>
          <w:b w:val="0"/>
          <w:sz w:val="22"/>
          <w:szCs w:val="22"/>
          <w:lang w:eastAsia="en-AU"/>
        </w:rPr>
      </w:pPr>
      <w:r>
        <w:t>Part 8.3—How to assess uncertainty when using method 1</w:t>
      </w:r>
      <w:r>
        <w:tab/>
      </w:r>
      <w:r>
        <w:fldChar w:fldCharType="begin"/>
      </w:r>
      <w:r>
        <w:instrText xml:space="preserve"> PAGEREF _Toc495653194 \h </w:instrText>
      </w:r>
      <w:r>
        <w:fldChar w:fldCharType="separate"/>
      </w:r>
      <w:r w:rsidR="00766D30">
        <w:t>535</w:t>
      </w:r>
      <w:r>
        <w:fldChar w:fldCharType="end"/>
      </w:r>
    </w:p>
    <w:p w14:paraId="0FE56735" w14:textId="77777777" w:rsidR="00E25764" w:rsidRDefault="00E25764">
      <w:pPr>
        <w:pStyle w:val="TOC5"/>
        <w:rPr>
          <w:rFonts w:asciiTheme="minorHAnsi" w:eastAsiaTheme="minorEastAsia" w:hAnsiTheme="minorHAnsi" w:cstheme="minorBidi"/>
          <w:noProof/>
          <w:sz w:val="22"/>
          <w:szCs w:val="22"/>
          <w:lang w:eastAsia="en-AU"/>
        </w:rPr>
      </w:pPr>
      <w:r>
        <w:rPr>
          <w:noProof/>
        </w:rPr>
        <w:t>8.4  Purpose of Part</w:t>
      </w:r>
      <w:r>
        <w:rPr>
          <w:noProof/>
        </w:rPr>
        <w:tab/>
      </w:r>
      <w:r>
        <w:rPr>
          <w:noProof/>
        </w:rPr>
        <w:fldChar w:fldCharType="begin"/>
      </w:r>
      <w:r>
        <w:rPr>
          <w:noProof/>
        </w:rPr>
        <w:instrText xml:space="preserve"> PAGEREF _Toc495653195 \h </w:instrText>
      </w:r>
      <w:r>
        <w:rPr>
          <w:noProof/>
        </w:rPr>
      </w:r>
      <w:r>
        <w:rPr>
          <w:noProof/>
        </w:rPr>
        <w:fldChar w:fldCharType="separate"/>
      </w:r>
      <w:r w:rsidR="00766D30">
        <w:rPr>
          <w:noProof/>
        </w:rPr>
        <w:t>535</w:t>
      </w:r>
      <w:r>
        <w:rPr>
          <w:noProof/>
        </w:rPr>
        <w:fldChar w:fldCharType="end"/>
      </w:r>
    </w:p>
    <w:p w14:paraId="6EB5052A" w14:textId="77777777" w:rsidR="00E25764" w:rsidRDefault="00E25764">
      <w:pPr>
        <w:pStyle w:val="TOC5"/>
        <w:rPr>
          <w:rFonts w:asciiTheme="minorHAnsi" w:eastAsiaTheme="minorEastAsia" w:hAnsiTheme="minorHAnsi" w:cstheme="minorBidi"/>
          <w:noProof/>
          <w:sz w:val="22"/>
          <w:szCs w:val="22"/>
          <w:lang w:eastAsia="en-AU"/>
        </w:rPr>
      </w:pPr>
      <w:r>
        <w:rPr>
          <w:noProof/>
        </w:rPr>
        <w:t>8.7  Assessment of uncertainty for estimates of methane and nitrous oxide emissions from combustion of fuels</w:t>
      </w:r>
      <w:r>
        <w:rPr>
          <w:noProof/>
        </w:rPr>
        <w:tab/>
      </w:r>
      <w:r>
        <w:rPr>
          <w:noProof/>
        </w:rPr>
        <w:fldChar w:fldCharType="begin"/>
      </w:r>
      <w:r>
        <w:rPr>
          <w:noProof/>
        </w:rPr>
        <w:instrText xml:space="preserve"> PAGEREF _Toc495653196 \h </w:instrText>
      </w:r>
      <w:r>
        <w:rPr>
          <w:noProof/>
        </w:rPr>
      </w:r>
      <w:r>
        <w:rPr>
          <w:noProof/>
        </w:rPr>
        <w:fldChar w:fldCharType="separate"/>
      </w:r>
      <w:r w:rsidR="00766D30">
        <w:rPr>
          <w:noProof/>
        </w:rPr>
        <w:t>538</w:t>
      </w:r>
      <w:r>
        <w:rPr>
          <w:noProof/>
        </w:rPr>
        <w:fldChar w:fldCharType="end"/>
      </w:r>
    </w:p>
    <w:p w14:paraId="3193FCD7" w14:textId="77777777" w:rsidR="00E25764" w:rsidRDefault="00E25764">
      <w:pPr>
        <w:pStyle w:val="TOC5"/>
        <w:rPr>
          <w:rFonts w:asciiTheme="minorHAnsi" w:eastAsiaTheme="minorEastAsia" w:hAnsiTheme="minorHAnsi" w:cstheme="minorBidi"/>
          <w:noProof/>
          <w:sz w:val="22"/>
          <w:szCs w:val="22"/>
          <w:lang w:eastAsia="en-AU"/>
        </w:rPr>
      </w:pPr>
      <w:r>
        <w:rPr>
          <w:noProof/>
        </w:rPr>
        <w:t>8.8  Assessment of uncertainty for estimates of fugitive emissions</w:t>
      </w:r>
      <w:r>
        <w:rPr>
          <w:noProof/>
        </w:rPr>
        <w:tab/>
      </w:r>
      <w:r>
        <w:rPr>
          <w:noProof/>
        </w:rPr>
        <w:fldChar w:fldCharType="begin"/>
      </w:r>
      <w:r>
        <w:rPr>
          <w:noProof/>
        </w:rPr>
        <w:instrText xml:space="preserve"> PAGEREF _Toc495653197 \h </w:instrText>
      </w:r>
      <w:r>
        <w:rPr>
          <w:noProof/>
        </w:rPr>
      </w:r>
      <w:r>
        <w:rPr>
          <w:noProof/>
        </w:rPr>
        <w:fldChar w:fldCharType="separate"/>
      </w:r>
      <w:r w:rsidR="00766D30">
        <w:rPr>
          <w:noProof/>
        </w:rPr>
        <w:t>539</w:t>
      </w:r>
      <w:r>
        <w:rPr>
          <w:noProof/>
        </w:rPr>
        <w:fldChar w:fldCharType="end"/>
      </w:r>
    </w:p>
    <w:p w14:paraId="1557A331" w14:textId="77777777" w:rsidR="00E25764" w:rsidRDefault="00E25764">
      <w:pPr>
        <w:pStyle w:val="TOC5"/>
        <w:rPr>
          <w:rFonts w:asciiTheme="minorHAnsi" w:eastAsiaTheme="minorEastAsia" w:hAnsiTheme="minorHAnsi" w:cstheme="minorBidi"/>
          <w:noProof/>
          <w:sz w:val="22"/>
          <w:szCs w:val="22"/>
          <w:lang w:eastAsia="en-AU"/>
        </w:rPr>
      </w:pPr>
      <w:r>
        <w:rPr>
          <w:noProof/>
        </w:rPr>
        <w:t>8.9  Assessment of uncertainty for estimates of emissions from industrial process sources</w:t>
      </w:r>
      <w:r>
        <w:rPr>
          <w:noProof/>
        </w:rPr>
        <w:tab/>
      </w:r>
      <w:r>
        <w:rPr>
          <w:noProof/>
        </w:rPr>
        <w:fldChar w:fldCharType="begin"/>
      </w:r>
      <w:r>
        <w:rPr>
          <w:noProof/>
        </w:rPr>
        <w:instrText xml:space="preserve"> PAGEREF _Toc495653198 \h </w:instrText>
      </w:r>
      <w:r>
        <w:rPr>
          <w:noProof/>
        </w:rPr>
      </w:r>
      <w:r>
        <w:rPr>
          <w:noProof/>
        </w:rPr>
        <w:fldChar w:fldCharType="separate"/>
      </w:r>
      <w:r w:rsidR="00766D30">
        <w:rPr>
          <w:noProof/>
        </w:rPr>
        <w:t>540</w:t>
      </w:r>
      <w:r>
        <w:rPr>
          <w:noProof/>
        </w:rPr>
        <w:fldChar w:fldCharType="end"/>
      </w:r>
    </w:p>
    <w:p w14:paraId="5E1C5588" w14:textId="77777777" w:rsidR="00E25764" w:rsidRDefault="00E25764">
      <w:pPr>
        <w:pStyle w:val="TOC5"/>
        <w:rPr>
          <w:rFonts w:asciiTheme="minorHAnsi" w:eastAsiaTheme="minorEastAsia" w:hAnsiTheme="minorHAnsi" w:cstheme="minorBidi"/>
          <w:noProof/>
          <w:sz w:val="22"/>
          <w:szCs w:val="22"/>
          <w:lang w:eastAsia="en-AU"/>
        </w:rPr>
      </w:pPr>
      <w:r>
        <w:rPr>
          <w:noProof/>
        </w:rPr>
        <w:t>8.10  Assessment of uncertainty for estimates of emissions from waste</w:t>
      </w:r>
      <w:r>
        <w:rPr>
          <w:noProof/>
        </w:rPr>
        <w:tab/>
      </w:r>
      <w:r>
        <w:rPr>
          <w:noProof/>
        </w:rPr>
        <w:fldChar w:fldCharType="begin"/>
      </w:r>
      <w:r>
        <w:rPr>
          <w:noProof/>
        </w:rPr>
        <w:instrText xml:space="preserve"> PAGEREF _Toc495653199 \h </w:instrText>
      </w:r>
      <w:r>
        <w:rPr>
          <w:noProof/>
        </w:rPr>
      </w:r>
      <w:r>
        <w:rPr>
          <w:noProof/>
        </w:rPr>
        <w:fldChar w:fldCharType="separate"/>
      </w:r>
      <w:r w:rsidR="00766D30">
        <w:rPr>
          <w:noProof/>
        </w:rPr>
        <w:t>542</w:t>
      </w:r>
      <w:r>
        <w:rPr>
          <w:noProof/>
        </w:rPr>
        <w:fldChar w:fldCharType="end"/>
      </w:r>
    </w:p>
    <w:p w14:paraId="000A2E3B" w14:textId="77777777" w:rsidR="00E25764" w:rsidRDefault="00E25764">
      <w:pPr>
        <w:pStyle w:val="TOC5"/>
        <w:rPr>
          <w:rFonts w:asciiTheme="minorHAnsi" w:eastAsiaTheme="minorEastAsia" w:hAnsiTheme="minorHAnsi" w:cstheme="minorBidi"/>
          <w:noProof/>
          <w:sz w:val="22"/>
          <w:szCs w:val="22"/>
          <w:lang w:eastAsia="en-AU"/>
        </w:rPr>
      </w:pPr>
      <w:r>
        <w:rPr>
          <w:noProof/>
        </w:rPr>
        <w:lastRenderedPageBreak/>
        <w:t>8.11  Assessing uncertainty of emissions estimates for a source by aggregating parameter uncertainties</w:t>
      </w:r>
      <w:r>
        <w:rPr>
          <w:noProof/>
        </w:rPr>
        <w:tab/>
      </w:r>
      <w:r>
        <w:rPr>
          <w:noProof/>
        </w:rPr>
        <w:fldChar w:fldCharType="begin"/>
      </w:r>
      <w:r>
        <w:rPr>
          <w:noProof/>
        </w:rPr>
        <w:instrText xml:space="preserve"> PAGEREF _Toc495653200 \h </w:instrText>
      </w:r>
      <w:r>
        <w:rPr>
          <w:noProof/>
        </w:rPr>
      </w:r>
      <w:r>
        <w:rPr>
          <w:noProof/>
        </w:rPr>
        <w:fldChar w:fldCharType="separate"/>
      </w:r>
      <w:r w:rsidR="00766D30">
        <w:rPr>
          <w:noProof/>
        </w:rPr>
        <w:t>542</w:t>
      </w:r>
      <w:r>
        <w:rPr>
          <w:noProof/>
        </w:rPr>
        <w:fldChar w:fldCharType="end"/>
      </w:r>
    </w:p>
    <w:p w14:paraId="219C4F86" w14:textId="77777777" w:rsidR="00E25764" w:rsidRDefault="00E25764">
      <w:pPr>
        <w:pStyle w:val="TOC2"/>
        <w:rPr>
          <w:rFonts w:asciiTheme="minorHAnsi" w:eastAsiaTheme="minorEastAsia" w:hAnsiTheme="minorHAnsi" w:cstheme="minorBidi"/>
          <w:b w:val="0"/>
          <w:sz w:val="22"/>
          <w:szCs w:val="22"/>
          <w:lang w:eastAsia="en-AU"/>
        </w:rPr>
      </w:pPr>
      <w:r>
        <w:t>Part 8.4—How to assess uncertainty levels when using method 2, 3 or 4</w:t>
      </w:r>
      <w:r>
        <w:tab/>
      </w:r>
      <w:r>
        <w:fldChar w:fldCharType="begin"/>
      </w:r>
      <w:r>
        <w:instrText xml:space="preserve"> PAGEREF _Toc495653201 \h </w:instrText>
      </w:r>
      <w:r>
        <w:fldChar w:fldCharType="separate"/>
      </w:r>
      <w:r w:rsidR="00766D30">
        <w:t>544</w:t>
      </w:r>
      <w:r>
        <w:fldChar w:fldCharType="end"/>
      </w:r>
    </w:p>
    <w:p w14:paraId="04A3831A" w14:textId="77777777" w:rsidR="00E25764" w:rsidRDefault="00E25764">
      <w:pPr>
        <w:pStyle w:val="TOC5"/>
        <w:rPr>
          <w:rFonts w:asciiTheme="minorHAnsi" w:eastAsiaTheme="minorEastAsia" w:hAnsiTheme="minorHAnsi" w:cstheme="minorBidi"/>
          <w:noProof/>
          <w:sz w:val="22"/>
          <w:szCs w:val="22"/>
          <w:lang w:eastAsia="en-AU"/>
        </w:rPr>
      </w:pPr>
      <w:r>
        <w:rPr>
          <w:noProof/>
        </w:rPr>
        <w:t>8.14  Purpose of Part</w:t>
      </w:r>
      <w:r>
        <w:rPr>
          <w:noProof/>
        </w:rPr>
        <w:tab/>
      </w:r>
      <w:r>
        <w:rPr>
          <w:noProof/>
        </w:rPr>
        <w:fldChar w:fldCharType="begin"/>
      </w:r>
      <w:r>
        <w:rPr>
          <w:noProof/>
        </w:rPr>
        <w:instrText xml:space="preserve"> PAGEREF _Toc495653202 \h </w:instrText>
      </w:r>
      <w:r>
        <w:rPr>
          <w:noProof/>
        </w:rPr>
      </w:r>
      <w:r>
        <w:rPr>
          <w:noProof/>
        </w:rPr>
        <w:fldChar w:fldCharType="separate"/>
      </w:r>
      <w:r w:rsidR="00766D30">
        <w:rPr>
          <w:noProof/>
        </w:rPr>
        <w:t>544</w:t>
      </w:r>
      <w:r>
        <w:rPr>
          <w:noProof/>
        </w:rPr>
        <w:fldChar w:fldCharType="end"/>
      </w:r>
    </w:p>
    <w:p w14:paraId="0FE93F22" w14:textId="77777777" w:rsidR="00E25764" w:rsidRDefault="00E25764">
      <w:pPr>
        <w:pStyle w:val="TOC5"/>
        <w:rPr>
          <w:rFonts w:asciiTheme="minorHAnsi" w:eastAsiaTheme="minorEastAsia" w:hAnsiTheme="minorHAnsi" w:cstheme="minorBidi"/>
          <w:noProof/>
          <w:sz w:val="22"/>
          <w:szCs w:val="22"/>
          <w:lang w:eastAsia="en-AU"/>
        </w:rPr>
      </w:pPr>
      <w:r>
        <w:rPr>
          <w:noProof/>
        </w:rPr>
        <w:t>8.15  Rules for assessment of uncertainty using method 2, 3 or 4</w:t>
      </w:r>
      <w:r>
        <w:rPr>
          <w:noProof/>
        </w:rPr>
        <w:tab/>
      </w:r>
      <w:r>
        <w:rPr>
          <w:noProof/>
        </w:rPr>
        <w:fldChar w:fldCharType="begin"/>
      </w:r>
      <w:r>
        <w:rPr>
          <w:noProof/>
        </w:rPr>
        <w:instrText xml:space="preserve"> PAGEREF _Toc495653203 \h </w:instrText>
      </w:r>
      <w:r>
        <w:rPr>
          <w:noProof/>
        </w:rPr>
      </w:r>
      <w:r>
        <w:rPr>
          <w:noProof/>
        </w:rPr>
        <w:fldChar w:fldCharType="separate"/>
      </w:r>
      <w:r w:rsidR="00766D30">
        <w:rPr>
          <w:noProof/>
        </w:rPr>
        <w:t>544</w:t>
      </w:r>
      <w:r>
        <w:rPr>
          <w:noProof/>
        </w:rPr>
        <w:fldChar w:fldCharType="end"/>
      </w:r>
    </w:p>
    <w:p w14:paraId="0227C828" w14:textId="77777777" w:rsidR="00E25764" w:rsidRDefault="00E25764">
      <w:pPr>
        <w:pStyle w:val="TOC6"/>
        <w:rPr>
          <w:rFonts w:asciiTheme="minorHAnsi" w:eastAsiaTheme="minorEastAsia" w:hAnsiTheme="minorHAnsi" w:cstheme="minorBidi"/>
          <w:sz w:val="22"/>
          <w:szCs w:val="22"/>
          <w:lang w:eastAsia="en-AU"/>
        </w:rPr>
      </w:pPr>
      <w:r>
        <w:t xml:space="preserve">Appendix A: </w:t>
      </w:r>
      <w:r>
        <w:rPr>
          <w:rFonts w:asciiTheme="minorHAnsi" w:eastAsiaTheme="minorEastAsia" w:hAnsiTheme="minorHAnsi" w:cstheme="minorBidi"/>
          <w:sz w:val="22"/>
          <w:szCs w:val="22"/>
          <w:lang w:eastAsia="en-AU"/>
        </w:rPr>
        <w:tab/>
      </w:r>
      <w:r w:rsidRPr="00EF3CB8">
        <w:rPr>
          <w:color w:val="000000"/>
        </w:rPr>
        <w:t>Schedule 3 Carbon content factors</w:t>
      </w:r>
      <w:r>
        <w:tab/>
      </w:r>
      <w:r>
        <w:fldChar w:fldCharType="begin"/>
      </w:r>
      <w:r>
        <w:instrText xml:space="preserve"> PAGEREF _Toc495653204 \h </w:instrText>
      </w:r>
      <w:r>
        <w:fldChar w:fldCharType="separate"/>
      </w:r>
      <w:r w:rsidR="00766D30">
        <w:t>549</w:t>
      </w:r>
      <w:r>
        <w:fldChar w:fldCharType="end"/>
      </w:r>
    </w:p>
    <w:p w14:paraId="4B3660FA" w14:textId="77777777" w:rsidR="00E25764" w:rsidRDefault="00E25764">
      <w:pPr>
        <w:pStyle w:val="TOC8"/>
        <w:rPr>
          <w:rFonts w:asciiTheme="minorHAnsi" w:eastAsiaTheme="minorEastAsia" w:hAnsiTheme="minorHAnsi" w:cstheme="minorBidi"/>
          <w:sz w:val="22"/>
          <w:szCs w:val="22"/>
          <w:lang w:eastAsia="en-AU"/>
        </w:rPr>
      </w:pPr>
      <w:r>
        <w:t>Part 1</w:t>
      </w:r>
      <w:r>
        <w:rPr>
          <w:rFonts w:asciiTheme="minorHAnsi" w:eastAsiaTheme="minorEastAsia" w:hAnsiTheme="minorHAnsi" w:cstheme="minorBidi"/>
          <w:sz w:val="22"/>
          <w:szCs w:val="22"/>
          <w:lang w:eastAsia="en-AU"/>
        </w:rPr>
        <w:tab/>
      </w:r>
      <w:r>
        <w:t>Solid fuels and certain coal</w:t>
      </w:r>
      <w:r>
        <w:noBreakHyphen/>
        <w:t>based products</w:t>
      </w:r>
      <w:r>
        <w:tab/>
      </w:r>
      <w:r>
        <w:fldChar w:fldCharType="begin"/>
      </w:r>
      <w:r>
        <w:instrText xml:space="preserve"> PAGEREF _Toc495653205 \h </w:instrText>
      </w:r>
      <w:r>
        <w:fldChar w:fldCharType="separate"/>
      </w:r>
      <w:r w:rsidR="00766D30">
        <w:t>549</w:t>
      </w:r>
      <w:r>
        <w:fldChar w:fldCharType="end"/>
      </w:r>
    </w:p>
    <w:p w14:paraId="00332461" w14:textId="77777777" w:rsidR="00E25764" w:rsidRDefault="00E25764">
      <w:pPr>
        <w:pStyle w:val="TOC8"/>
        <w:rPr>
          <w:rFonts w:asciiTheme="minorHAnsi" w:eastAsiaTheme="minorEastAsia" w:hAnsiTheme="minorHAnsi" w:cstheme="minorBidi"/>
          <w:sz w:val="22"/>
          <w:szCs w:val="22"/>
          <w:lang w:eastAsia="en-AU"/>
        </w:rPr>
      </w:pPr>
      <w:r>
        <w:t>Part 2</w:t>
      </w:r>
      <w:r>
        <w:rPr>
          <w:rFonts w:asciiTheme="minorHAnsi" w:eastAsiaTheme="minorEastAsia" w:hAnsiTheme="minorHAnsi" w:cstheme="minorBidi"/>
          <w:sz w:val="22"/>
          <w:szCs w:val="22"/>
          <w:lang w:eastAsia="en-AU"/>
        </w:rPr>
        <w:tab/>
      </w:r>
      <w:r>
        <w:t>Gaseous fuels</w:t>
      </w:r>
      <w:r>
        <w:tab/>
      </w:r>
      <w:r>
        <w:fldChar w:fldCharType="begin"/>
      </w:r>
      <w:r>
        <w:instrText xml:space="preserve"> PAGEREF _Toc495653206 \h </w:instrText>
      </w:r>
      <w:r>
        <w:fldChar w:fldCharType="separate"/>
      </w:r>
      <w:r w:rsidR="00766D30">
        <w:t>550</w:t>
      </w:r>
      <w:r>
        <w:fldChar w:fldCharType="end"/>
      </w:r>
    </w:p>
    <w:p w14:paraId="45074147" w14:textId="77777777" w:rsidR="00E25764" w:rsidRDefault="00E25764">
      <w:pPr>
        <w:pStyle w:val="TOC8"/>
        <w:rPr>
          <w:rFonts w:asciiTheme="minorHAnsi" w:eastAsiaTheme="minorEastAsia" w:hAnsiTheme="minorHAnsi" w:cstheme="minorBidi"/>
          <w:sz w:val="22"/>
          <w:szCs w:val="22"/>
          <w:lang w:eastAsia="en-AU"/>
        </w:rPr>
      </w:pPr>
      <w:r>
        <w:t>Part 3</w:t>
      </w:r>
      <w:r>
        <w:rPr>
          <w:rFonts w:asciiTheme="minorHAnsi" w:eastAsiaTheme="minorEastAsia" w:hAnsiTheme="minorHAnsi" w:cstheme="minorBidi"/>
          <w:sz w:val="22"/>
          <w:szCs w:val="22"/>
          <w:lang w:eastAsia="en-AU"/>
        </w:rPr>
        <w:tab/>
      </w:r>
      <w:r>
        <w:t>Liquid fuels and certain petroleum</w:t>
      </w:r>
      <w:r>
        <w:noBreakHyphen/>
        <w:t>based products</w:t>
      </w:r>
      <w:r>
        <w:tab/>
      </w:r>
      <w:r>
        <w:fldChar w:fldCharType="begin"/>
      </w:r>
      <w:r>
        <w:instrText xml:space="preserve"> PAGEREF _Toc495653207 \h </w:instrText>
      </w:r>
      <w:r>
        <w:fldChar w:fldCharType="separate"/>
      </w:r>
      <w:r w:rsidR="00766D30">
        <w:t>551</w:t>
      </w:r>
      <w:r>
        <w:fldChar w:fldCharType="end"/>
      </w:r>
    </w:p>
    <w:p w14:paraId="426028CC" w14:textId="77777777" w:rsidR="00E25764" w:rsidRDefault="00E25764">
      <w:pPr>
        <w:pStyle w:val="TOC8"/>
        <w:rPr>
          <w:rFonts w:asciiTheme="minorHAnsi" w:eastAsiaTheme="minorEastAsia" w:hAnsiTheme="minorHAnsi" w:cstheme="minorBidi"/>
          <w:sz w:val="22"/>
          <w:szCs w:val="22"/>
          <w:lang w:eastAsia="en-AU"/>
        </w:rPr>
      </w:pPr>
      <w:r>
        <w:t>Part 4</w:t>
      </w:r>
      <w:r>
        <w:rPr>
          <w:rFonts w:asciiTheme="minorHAnsi" w:eastAsiaTheme="minorEastAsia" w:hAnsiTheme="minorHAnsi" w:cstheme="minorBidi"/>
          <w:sz w:val="22"/>
          <w:szCs w:val="22"/>
          <w:lang w:eastAsia="en-AU"/>
        </w:rPr>
        <w:tab/>
      </w:r>
      <w:r>
        <w:t>Petrochemical feedstocks and products</w:t>
      </w:r>
      <w:r>
        <w:tab/>
      </w:r>
      <w:r>
        <w:fldChar w:fldCharType="begin"/>
      </w:r>
      <w:r>
        <w:instrText xml:space="preserve"> PAGEREF _Toc495653208 \h </w:instrText>
      </w:r>
      <w:r>
        <w:fldChar w:fldCharType="separate"/>
      </w:r>
      <w:r w:rsidR="00766D30">
        <w:t>552</w:t>
      </w:r>
      <w:r>
        <w:fldChar w:fldCharType="end"/>
      </w:r>
    </w:p>
    <w:p w14:paraId="7E09E077" w14:textId="77777777" w:rsidR="00E25764" w:rsidRDefault="00E25764">
      <w:pPr>
        <w:pStyle w:val="TOC8"/>
        <w:rPr>
          <w:rFonts w:asciiTheme="minorHAnsi" w:eastAsiaTheme="minorEastAsia" w:hAnsiTheme="minorHAnsi" w:cstheme="minorBidi"/>
          <w:sz w:val="22"/>
          <w:szCs w:val="22"/>
          <w:lang w:eastAsia="en-AU"/>
        </w:rPr>
      </w:pPr>
      <w:r w:rsidRPr="00EF3CB8">
        <w:rPr>
          <w:color w:val="000000"/>
        </w:rPr>
        <w:t>Part 5</w:t>
      </w:r>
      <w:r>
        <w:rPr>
          <w:rFonts w:asciiTheme="minorHAnsi" w:eastAsiaTheme="minorEastAsia" w:hAnsiTheme="minorHAnsi" w:cstheme="minorBidi"/>
          <w:sz w:val="22"/>
          <w:szCs w:val="22"/>
          <w:lang w:eastAsia="en-AU"/>
        </w:rPr>
        <w:tab/>
      </w:r>
      <w:r w:rsidRPr="00EF3CB8">
        <w:rPr>
          <w:color w:val="000000"/>
        </w:rPr>
        <w:t>Carbonates</w:t>
      </w:r>
      <w:r>
        <w:tab/>
      </w:r>
      <w:r>
        <w:fldChar w:fldCharType="begin"/>
      </w:r>
      <w:r>
        <w:instrText xml:space="preserve"> PAGEREF _Toc495653209 \h </w:instrText>
      </w:r>
      <w:r>
        <w:fldChar w:fldCharType="separate"/>
      </w:r>
      <w:r w:rsidR="00766D30">
        <w:t>553</w:t>
      </w:r>
      <w:r>
        <w:fldChar w:fldCharType="end"/>
      </w:r>
    </w:p>
    <w:p w14:paraId="5BF52493" w14:textId="77777777" w:rsidR="00E25764" w:rsidRDefault="00E25764">
      <w:pPr>
        <w:pStyle w:val="TOC6"/>
        <w:rPr>
          <w:rFonts w:asciiTheme="minorHAnsi" w:eastAsiaTheme="minorEastAsia" w:hAnsiTheme="minorHAnsi" w:cstheme="minorBidi"/>
          <w:sz w:val="22"/>
          <w:szCs w:val="22"/>
          <w:lang w:eastAsia="en-AU"/>
        </w:rPr>
      </w:pPr>
      <w:r>
        <w:t>Appendix B:</w:t>
      </w:r>
      <w:r>
        <w:rPr>
          <w:rFonts w:asciiTheme="minorHAnsi" w:eastAsiaTheme="minorEastAsia" w:hAnsiTheme="minorHAnsi" w:cstheme="minorBidi"/>
          <w:sz w:val="22"/>
          <w:szCs w:val="22"/>
          <w:lang w:eastAsia="en-AU"/>
        </w:rPr>
        <w:tab/>
      </w:r>
      <w:r>
        <w:t>Definitions and interpretation</w:t>
      </w:r>
      <w:r>
        <w:tab/>
      </w:r>
      <w:r>
        <w:fldChar w:fldCharType="begin"/>
      </w:r>
      <w:r>
        <w:instrText xml:space="preserve"> PAGEREF _Toc495653210 \h </w:instrText>
      </w:r>
      <w:r>
        <w:fldChar w:fldCharType="separate"/>
      </w:r>
      <w:r w:rsidR="00766D30">
        <w:t>561</w:t>
      </w:r>
      <w:r>
        <w:fldChar w:fldCharType="end"/>
      </w:r>
    </w:p>
    <w:p w14:paraId="6688F23E" w14:textId="77777777" w:rsidR="00E25764" w:rsidRDefault="00E25764">
      <w:pPr>
        <w:pStyle w:val="TOC6"/>
        <w:rPr>
          <w:rFonts w:asciiTheme="minorHAnsi" w:eastAsiaTheme="minorEastAsia" w:hAnsiTheme="minorHAnsi" w:cstheme="minorBidi"/>
          <w:sz w:val="22"/>
          <w:szCs w:val="22"/>
          <w:lang w:eastAsia="en-AU"/>
        </w:rPr>
      </w:pPr>
      <w:r>
        <w:t>Appendix C:</w:t>
      </w:r>
      <w:r>
        <w:rPr>
          <w:rFonts w:asciiTheme="minorHAnsi" w:eastAsiaTheme="minorEastAsia" w:hAnsiTheme="minorHAnsi" w:cstheme="minorBidi"/>
          <w:sz w:val="22"/>
          <w:szCs w:val="22"/>
          <w:lang w:eastAsia="en-AU"/>
        </w:rPr>
        <w:tab/>
      </w:r>
      <w:r>
        <w:t>Global Warming Potentials, Units and Conversions</w:t>
      </w:r>
      <w:r>
        <w:tab/>
      </w:r>
      <w:r>
        <w:fldChar w:fldCharType="begin"/>
      </w:r>
      <w:r>
        <w:instrText xml:space="preserve"> PAGEREF _Toc495653211 \h </w:instrText>
      </w:r>
      <w:r>
        <w:fldChar w:fldCharType="separate"/>
      </w:r>
      <w:r w:rsidR="00766D30">
        <w:t>575</w:t>
      </w:r>
      <w:r>
        <w:fldChar w:fldCharType="end"/>
      </w:r>
    </w:p>
    <w:p w14:paraId="2EC2225F" w14:textId="77777777" w:rsidR="00E25764" w:rsidRDefault="00E25764">
      <w:pPr>
        <w:pStyle w:val="TOC6"/>
        <w:rPr>
          <w:rFonts w:asciiTheme="minorHAnsi" w:eastAsiaTheme="minorEastAsia" w:hAnsiTheme="minorHAnsi" w:cstheme="minorBidi"/>
          <w:sz w:val="22"/>
          <w:szCs w:val="22"/>
          <w:lang w:eastAsia="en-AU"/>
        </w:rPr>
      </w:pPr>
      <w:r>
        <w:t>Appendix D:</w:t>
      </w:r>
      <w:r>
        <w:rPr>
          <w:rFonts w:asciiTheme="minorHAnsi" w:eastAsiaTheme="minorEastAsia" w:hAnsiTheme="minorHAnsi" w:cstheme="minorBidi"/>
          <w:sz w:val="22"/>
          <w:szCs w:val="22"/>
          <w:lang w:eastAsia="en-AU"/>
        </w:rPr>
        <w:tab/>
      </w:r>
      <w:r>
        <w:t>References</w:t>
      </w:r>
      <w:r>
        <w:tab/>
      </w:r>
      <w:r>
        <w:fldChar w:fldCharType="begin"/>
      </w:r>
      <w:r>
        <w:instrText xml:space="preserve"> PAGEREF _Toc495653212 \h </w:instrText>
      </w:r>
      <w:r>
        <w:fldChar w:fldCharType="separate"/>
      </w:r>
      <w:r w:rsidR="00766D30">
        <w:t>580</w:t>
      </w:r>
      <w:r>
        <w:fldChar w:fldCharType="end"/>
      </w:r>
    </w:p>
    <w:p w14:paraId="7A49D8FA" w14:textId="77777777" w:rsidR="007261F7" w:rsidRPr="00883399" w:rsidRDefault="008024F0" w:rsidP="00F15A3E">
      <w:pPr>
        <w:pStyle w:val="TOC"/>
      </w:pPr>
      <w:r w:rsidRPr="00883399">
        <w:fldChar w:fldCharType="end"/>
      </w:r>
    </w:p>
    <w:p w14:paraId="7E15F769" w14:textId="77777777" w:rsidR="007261F7" w:rsidRPr="00883399" w:rsidRDefault="007261F7">
      <w:pPr>
        <w:pStyle w:val="ContentsSectionBreak"/>
        <w:sectPr w:rsidR="007261F7" w:rsidRPr="00883399" w:rsidSect="00A60FAB">
          <w:headerReference w:type="even" r:id="rId24"/>
          <w:headerReference w:type="default" r:id="rId25"/>
          <w:footerReference w:type="even" r:id="rId26"/>
          <w:footerReference w:type="default" r:id="rId27"/>
          <w:pgSz w:w="11907" w:h="16839" w:code="9"/>
          <w:pgMar w:top="1440" w:right="1797" w:bottom="1440" w:left="1797" w:header="709" w:footer="709" w:gutter="0"/>
          <w:cols w:space="708"/>
          <w:docGrid w:linePitch="360"/>
        </w:sectPr>
      </w:pPr>
    </w:p>
    <w:p w14:paraId="2BC17C72" w14:textId="77777777" w:rsidR="007B71BF" w:rsidRPr="00883399" w:rsidRDefault="007B71BF" w:rsidP="007B71BF">
      <w:pPr>
        <w:pStyle w:val="ActHead1"/>
        <w:pageBreakBefore/>
        <w:rPr>
          <w:sz w:val="40"/>
        </w:rPr>
      </w:pPr>
      <w:bookmarkStart w:id="1" w:name="_Toc423516662"/>
      <w:bookmarkStart w:id="2" w:name="_Toc495652578"/>
      <w:bookmarkStart w:id="3" w:name="_Toc202001971"/>
      <w:bookmarkStart w:id="4" w:name="_Toc227733586"/>
      <w:bookmarkStart w:id="5" w:name="_Toc265135081"/>
      <w:r w:rsidRPr="00883399">
        <w:rPr>
          <w:rStyle w:val="CharChapNo"/>
          <w:sz w:val="40"/>
        </w:rPr>
        <w:lastRenderedPageBreak/>
        <w:t>Chapter 1</w:t>
      </w:r>
      <w:r w:rsidRPr="00883399">
        <w:rPr>
          <w:sz w:val="40"/>
        </w:rPr>
        <w:t>—</w:t>
      </w:r>
      <w:r w:rsidRPr="00883399">
        <w:rPr>
          <w:rStyle w:val="CharChapText"/>
          <w:sz w:val="40"/>
        </w:rPr>
        <w:t>General</w:t>
      </w:r>
      <w:bookmarkEnd w:id="1"/>
      <w:bookmarkEnd w:id="2"/>
    </w:p>
    <w:p w14:paraId="38CFDA49" w14:textId="77777777" w:rsidR="007B71BF" w:rsidRPr="00883399" w:rsidRDefault="007B71BF" w:rsidP="007B71BF">
      <w:pPr>
        <w:pStyle w:val="ActHead2"/>
        <w:rPr>
          <w:sz w:val="36"/>
        </w:rPr>
      </w:pPr>
      <w:bookmarkStart w:id="6" w:name="_Toc423516663"/>
      <w:bookmarkStart w:id="7" w:name="_Toc495652579"/>
      <w:r w:rsidRPr="00883399">
        <w:rPr>
          <w:rStyle w:val="CharPartNo"/>
          <w:sz w:val="36"/>
        </w:rPr>
        <w:t>Part 1.1</w:t>
      </w:r>
      <w:r w:rsidRPr="00883399">
        <w:rPr>
          <w:sz w:val="36"/>
        </w:rPr>
        <w:t>—</w:t>
      </w:r>
      <w:r w:rsidRPr="00883399">
        <w:rPr>
          <w:rStyle w:val="CharPartText"/>
          <w:sz w:val="36"/>
        </w:rPr>
        <w:t>Preliminary</w:t>
      </w:r>
      <w:bookmarkEnd w:id="6"/>
      <w:bookmarkEnd w:id="7"/>
    </w:p>
    <w:p w14:paraId="18F5F731" w14:textId="2AEFAD3F" w:rsidR="007B71BF" w:rsidRPr="00883399" w:rsidRDefault="007B71BF" w:rsidP="007B71BF">
      <w:pPr>
        <w:pStyle w:val="ActHead3"/>
        <w:rPr>
          <w:sz w:val="32"/>
        </w:rPr>
      </w:pPr>
      <w:bookmarkStart w:id="8" w:name="_Toc423516666"/>
      <w:bookmarkStart w:id="9" w:name="_Toc495652580"/>
      <w:bookmarkEnd w:id="3"/>
      <w:bookmarkEnd w:id="4"/>
      <w:bookmarkEnd w:id="5"/>
      <w:r w:rsidRPr="00883399">
        <w:rPr>
          <w:rStyle w:val="CharDivNo"/>
          <w:sz w:val="32"/>
        </w:rPr>
        <w:t>Division 1.1.1</w:t>
      </w:r>
      <w:r w:rsidRPr="00883399">
        <w:rPr>
          <w:sz w:val="32"/>
        </w:rPr>
        <w:t>—</w:t>
      </w:r>
      <w:r w:rsidRPr="00883399">
        <w:rPr>
          <w:rStyle w:val="CharDivText"/>
          <w:sz w:val="32"/>
        </w:rPr>
        <w:t>Overview</w:t>
      </w:r>
      <w:bookmarkEnd w:id="8"/>
      <w:bookmarkEnd w:id="9"/>
    </w:p>
    <w:p w14:paraId="2F18D005" w14:textId="77777777" w:rsidR="007261F7" w:rsidRPr="00883399" w:rsidRDefault="007261F7">
      <w:pPr>
        <w:pStyle w:val="Text"/>
        <w:rPr>
          <w:rFonts w:ascii="Arial" w:hAnsi="Arial" w:cs="Arial"/>
          <w:sz w:val="22"/>
          <w:szCs w:val="22"/>
        </w:rPr>
      </w:pPr>
      <w:r w:rsidRPr="00883399">
        <w:rPr>
          <w:rFonts w:ascii="Arial" w:hAnsi="Arial" w:cs="Arial"/>
          <w:sz w:val="22"/>
          <w:szCs w:val="22"/>
        </w:rPr>
        <w:t xml:space="preserve">The </w:t>
      </w:r>
      <w:r w:rsidRPr="00883399">
        <w:rPr>
          <w:rFonts w:ascii="Arial" w:hAnsi="Arial" w:cs="Arial"/>
          <w:i/>
          <w:sz w:val="22"/>
          <w:szCs w:val="22"/>
        </w:rPr>
        <w:t>National Greenhouse and Energy Reporting Act 2007</w:t>
      </w:r>
      <w:r w:rsidRPr="00883399">
        <w:rPr>
          <w:rFonts w:ascii="Arial" w:hAnsi="Arial" w:cs="Arial"/>
          <w:sz w:val="22"/>
          <w:szCs w:val="22"/>
        </w:rPr>
        <w:t xml:space="preserve">, the </w:t>
      </w:r>
      <w:r w:rsidRPr="00883399">
        <w:rPr>
          <w:rFonts w:ascii="Arial" w:hAnsi="Arial" w:cs="Arial"/>
          <w:i/>
          <w:sz w:val="22"/>
          <w:szCs w:val="22"/>
        </w:rPr>
        <w:t>Regulations</w:t>
      </w:r>
      <w:r w:rsidRPr="00883399">
        <w:rPr>
          <w:rFonts w:ascii="Arial" w:hAnsi="Arial" w:cs="Arial"/>
          <w:sz w:val="22"/>
          <w:szCs w:val="22"/>
        </w:rPr>
        <w:t xml:space="preserve"> under that Act and the </w:t>
      </w:r>
      <w:r w:rsidRPr="00883399">
        <w:rPr>
          <w:rFonts w:ascii="Arial" w:hAnsi="Arial" w:cs="Arial"/>
          <w:i/>
          <w:sz w:val="22"/>
          <w:szCs w:val="22"/>
        </w:rPr>
        <w:t>National Greenhouse and Energy Reporting (Measurement) Determination 2008</w:t>
      </w:r>
      <w:r w:rsidRPr="00883399">
        <w:rPr>
          <w:rFonts w:ascii="Arial" w:hAnsi="Arial" w:cs="Arial"/>
          <w:sz w:val="22"/>
          <w:szCs w:val="22"/>
        </w:rPr>
        <w:t xml:space="preserve"> establish the legislative framework for a national greenhouse and energy reporting system. </w:t>
      </w:r>
    </w:p>
    <w:p w14:paraId="65F112A7" w14:textId="0EF1DCC7" w:rsidR="004515E4" w:rsidRPr="00883399" w:rsidRDefault="007261F7" w:rsidP="0000292E">
      <w:pPr>
        <w:pStyle w:val="Text"/>
        <w:rPr>
          <w:rFonts w:ascii="Arial" w:hAnsi="Arial" w:cs="Arial"/>
          <w:sz w:val="22"/>
          <w:szCs w:val="22"/>
        </w:rPr>
      </w:pPr>
      <w:r w:rsidRPr="00883399">
        <w:rPr>
          <w:rFonts w:ascii="Arial" w:hAnsi="Arial" w:cs="Arial"/>
          <w:sz w:val="22"/>
          <w:szCs w:val="22"/>
        </w:rPr>
        <w:t xml:space="preserve">These Technical Guidelines </w:t>
      </w:r>
      <w:r w:rsidR="001F1675" w:rsidRPr="00883399">
        <w:rPr>
          <w:rFonts w:ascii="Arial" w:hAnsi="Arial" w:cs="Arial"/>
          <w:sz w:val="22"/>
          <w:szCs w:val="22"/>
        </w:rPr>
        <w:t xml:space="preserve">embody the latest methods for estimating emissions and are based on </w:t>
      </w:r>
      <w:r w:rsidRPr="00883399">
        <w:rPr>
          <w:rFonts w:ascii="Arial" w:hAnsi="Arial" w:cs="Arial"/>
          <w:sz w:val="22"/>
          <w:szCs w:val="22"/>
        </w:rPr>
        <w:t xml:space="preserve">the </w:t>
      </w:r>
      <w:r w:rsidRPr="00883399">
        <w:rPr>
          <w:rFonts w:ascii="Arial" w:hAnsi="Arial" w:cs="Arial"/>
          <w:i/>
          <w:sz w:val="22"/>
          <w:szCs w:val="22"/>
        </w:rPr>
        <w:t xml:space="preserve">National Greenhouse and Energy Reporting (Measurement) Determination 2008 </w:t>
      </w:r>
      <w:r w:rsidR="00785391" w:rsidRPr="00883399">
        <w:rPr>
          <w:rFonts w:ascii="Arial" w:hAnsi="Arial" w:cs="Arial"/>
          <w:sz w:val="22"/>
          <w:szCs w:val="22"/>
        </w:rPr>
        <w:t xml:space="preserve">as amended </w:t>
      </w:r>
      <w:r w:rsidRPr="00883399">
        <w:rPr>
          <w:rFonts w:ascii="Arial" w:hAnsi="Arial" w:cs="Arial"/>
          <w:sz w:val="22"/>
          <w:szCs w:val="22"/>
        </w:rPr>
        <w:t>(the Determination)</w:t>
      </w:r>
      <w:r w:rsidRPr="00883399">
        <w:rPr>
          <w:rStyle w:val="FootnoteReference"/>
          <w:rFonts w:cs="Arial"/>
          <w:szCs w:val="22"/>
        </w:rPr>
        <w:footnoteReference w:id="2"/>
      </w:r>
      <w:r w:rsidRPr="00883399">
        <w:rPr>
          <w:rFonts w:ascii="Arial" w:hAnsi="Arial" w:cs="Arial"/>
          <w:i/>
          <w:sz w:val="22"/>
          <w:szCs w:val="22"/>
        </w:rPr>
        <w:t xml:space="preserve"> </w:t>
      </w:r>
      <w:r w:rsidR="00000AEA" w:rsidRPr="00883399">
        <w:rPr>
          <w:rFonts w:ascii="Arial" w:hAnsi="Arial" w:cs="Arial"/>
          <w:sz w:val="22"/>
          <w:szCs w:val="22"/>
        </w:rPr>
        <w:t xml:space="preserve">and the </w:t>
      </w:r>
      <w:r w:rsidR="0000292E" w:rsidRPr="00883399">
        <w:rPr>
          <w:rFonts w:ascii="Arial" w:hAnsi="Arial" w:cs="Arial"/>
          <w:i/>
          <w:sz w:val="22"/>
          <w:szCs w:val="22"/>
        </w:rPr>
        <w:t>National Greenhouse and Energy Reporting (Measurement) Amendment (Energy) Determination 2017</w:t>
      </w:r>
      <w:r w:rsidR="004515E4" w:rsidRPr="00883399">
        <w:rPr>
          <w:rFonts w:ascii="Arial" w:hAnsi="Arial" w:cs="Arial"/>
          <w:i/>
          <w:sz w:val="22"/>
          <w:szCs w:val="22"/>
        </w:rPr>
        <w:t>)</w:t>
      </w:r>
      <w:r w:rsidR="004515E4" w:rsidRPr="00883399">
        <w:rPr>
          <w:rFonts w:ascii="Arial" w:hAnsi="Arial" w:cs="Arial"/>
          <w:sz w:val="22"/>
          <w:szCs w:val="22"/>
        </w:rPr>
        <w:t>.</w:t>
      </w:r>
      <w:r w:rsidR="00081BEE" w:rsidRPr="00883399">
        <w:rPr>
          <w:rFonts w:ascii="Arial" w:hAnsi="Arial" w:cs="Arial"/>
          <w:sz w:val="22"/>
          <w:szCs w:val="22"/>
        </w:rPr>
        <w:t xml:space="preserve"> </w:t>
      </w:r>
    </w:p>
    <w:p w14:paraId="6C656B67" w14:textId="77777777" w:rsidR="007261F7" w:rsidRPr="00883399" w:rsidRDefault="004515E4">
      <w:pPr>
        <w:pStyle w:val="Text"/>
        <w:rPr>
          <w:rFonts w:ascii="Arial" w:hAnsi="Arial" w:cs="Arial"/>
          <w:sz w:val="22"/>
          <w:szCs w:val="22"/>
        </w:rPr>
      </w:pPr>
      <w:r w:rsidRPr="00883399">
        <w:rPr>
          <w:rFonts w:ascii="Arial" w:hAnsi="Arial" w:cs="Arial"/>
          <w:sz w:val="22"/>
          <w:szCs w:val="22"/>
        </w:rPr>
        <w:t xml:space="preserve">The </w:t>
      </w:r>
      <w:r w:rsidR="00081BEE" w:rsidRPr="00883399">
        <w:rPr>
          <w:rFonts w:ascii="Arial" w:hAnsi="Arial" w:cs="Arial"/>
          <w:sz w:val="22"/>
          <w:szCs w:val="22"/>
        </w:rPr>
        <w:t>Technical Guidelines</w:t>
      </w:r>
      <w:r w:rsidR="001F1675" w:rsidRPr="00883399">
        <w:rPr>
          <w:rFonts w:ascii="Arial" w:hAnsi="Arial" w:cs="Arial"/>
          <w:i/>
          <w:sz w:val="22"/>
          <w:szCs w:val="22"/>
        </w:rPr>
        <w:t xml:space="preserve"> </w:t>
      </w:r>
      <w:r w:rsidR="007261F7" w:rsidRPr="00883399">
        <w:rPr>
          <w:rFonts w:ascii="Arial" w:hAnsi="Arial" w:cs="Arial"/>
          <w:sz w:val="22"/>
          <w:szCs w:val="22"/>
        </w:rPr>
        <w:t>provide additional guidance and commentary to assist Reporters in estimating greenhouse gas emissions for reporting under the NGER system</w:t>
      </w:r>
      <w:r w:rsidR="00BE3A60" w:rsidRPr="00883399">
        <w:rPr>
          <w:rFonts w:ascii="Arial" w:hAnsi="Arial" w:cs="Arial"/>
          <w:sz w:val="22"/>
          <w:szCs w:val="22"/>
        </w:rPr>
        <w:t xml:space="preserve"> and </w:t>
      </w:r>
      <w:r w:rsidR="00FD0FD4" w:rsidRPr="00883399">
        <w:rPr>
          <w:rFonts w:ascii="Arial" w:hAnsi="Arial" w:cs="Arial"/>
          <w:sz w:val="22"/>
          <w:szCs w:val="22"/>
        </w:rPr>
        <w:t xml:space="preserve">in general </w:t>
      </w:r>
      <w:r w:rsidR="00BE3A60" w:rsidRPr="00883399">
        <w:rPr>
          <w:rFonts w:ascii="Arial" w:hAnsi="Arial" w:cs="Arial"/>
          <w:sz w:val="22"/>
          <w:szCs w:val="22"/>
        </w:rPr>
        <w:t xml:space="preserve">are applicable to the </w:t>
      </w:r>
      <w:r w:rsidR="008F3FFF" w:rsidRPr="00883399">
        <w:rPr>
          <w:rFonts w:ascii="Arial" w:hAnsi="Arial" w:cs="Arial"/>
          <w:sz w:val="22"/>
          <w:szCs w:val="22"/>
        </w:rPr>
        <w:t>201</w:t>
      </w:r>
      <w:r w:rsidR="0000292E" w:rsidRPr="00883399">
        <w:rPr>
          <w:rFonts w:ascii="Arial" w:hAnsi="Arial" w:cs="Arial"/>
          <w:sz w:val="22"/>
          <w:szCs w:val="22"/>
        </w:rPr>
        <w:t>7</w:t>
      </w:r>
      <w:r w:rsidR="00F265F0" w:rsidRPr="00883399">
        <w:rPr>
          <w:rFonts w:ascii="Arial" w:hAnsi="Arial" w:cs="Arial"/>
          <w:sz w:val="22"/>
          <w:szCs w:val="22"/>
        </w:rPr>
        <w:t>-1</w:t>
      </w:r>
      <w:r w:rsidR="0000292E" w:rsidRPr="00883399">
        <w:rPr>
          <w:rFonts w:ascii="Arial" w:hAnsi="Arial" w:cs="Arial"/>
          <w:sz w:val="22"/>
          <w:szCs w:val="22"/>
        </w:rPr>
        <w:t>8</w:t>
      </w:r>
      <w:r w:rsidR="00074C6B" w:rsidRPr="00883399">
        <w:rPr>
          <w:rFonts w:ascii="Arial" w:hAnsi="Arial" w:cs="Arial"/>
          <w:sz w:val="22"/>
          <w:szCs w:val="22"/>
        </w:rPr>
        <w:t xml:space="preserve"> </w:t>
      </w:r>
      <w:r w:rsidR="00BE3A60" w:rsidRPr="00883399">
        <w:rPr>
          <w:rFonts w:ascii="Arial" w:hAnsi="Arial" w:cs="Arial"/>
          <w:sz w:val="22"/>
          <w:szCs w:val="22"/>
        </w:rPr>
        <w:t>reporting year.</w:t>
      </w:r>
    </w:p>
    <w:p w14:paraId="09D64D5A" w14:textId="77777777" w:rsidR="00997B42" w:rsidRPr="00883399" w:rsidRDefault="00997B42" w:rsidP="00997B42">
      <w:pPr>
        <w:pStyle w:val="Text"/>
        <w:rPr>
          <w:rFonts w:ascii="Arial" w:hAnsi="Arial" w:cs="Arial"/>
          <w:sz w:val="22"/>
          <w:szCs w:val="22"/>
        </w:rPr>
      </w:pPr>
      <w:r w:rsidRPr="00883399">
        <w:rPr>
          <w:rFonts w:ascii="Arial" w:hAnsi="Arial" w:cs="Arial"/>
          <w:sz w:val="22"/>
          <w:szCs w:val="22"/>
        </w:rPr>
        <w:t xml:space="preserve">The NGER System has two objectives which are set out in the National Greenhouse and Energy Reporting Act 2007 (the Act).  </w:t>
      </w:r>
    </w:p>
    <w:p w14:paraId="7D621DC7" w14:textId="77777777" w:rsidR="00997B42" w:rsidRPr="00883399" w:rsidRDefault="00997B42" w:rsidP="00997B42">
      <w:pPr>
        <w:pStyle w:val="Text"/>
        <w:rPr>
          <w:rFonts w:ascii="Arial" w:hAnsi="Arial" w:cs="Arial"/>
          <w:sz w:val="22"/>
          <w:szCs w:val="22"/>
        </w:rPr>
      </w:pPr>
      <w:r w:rsidRPr="00883399">
        <w:rPr>
          <w:rFonts w:ascii="Arial" w:hAnsi="Arial" w:cs="Arial"/>
          <w:sz w:val="22"/>
          <w:szCs w:val="22"/>
        </w:rPr>
        <w:t xml:space="preserve">The first </w:t>
      </w:r>
      <w:r w:rsidR="009E367A" w:rsidRPr="00883399">
        <w:rPr>
          <w:rFonts w:ascii="Arial" w:hAnsi="Arial" w:cs="Arial"/>
          <w:sz w:val="22"/>
          <w:szCs w:val="22"/>
        </w:rPr>
        <w:t xml:space="preserve">set of </w:t>
      </w:r>
      <w:r w:rsidRPr="00883399">
        <w:rPr>
          <w:rFonts w:ascii="Arial" w:hAnsi="Arial" w:cs="Arial"/>
          <w:sz w:val="22"/>
          <w:szCs w:val="22"/>
        </w:rPr>
        <w:t>objective</w:t>
      </w:r>
      <w:r w:rsidR="009E367A" w:rsidRPr="00883399">
        <w:rPr>
          <w:rFonts w:ascii="Arial" w:hAnsi="Arial" w:cs="Arial"/>
          <w:sz w:val="22"/>
          <w:szCs w:val="22"/>
        </w:rPr>
        <w:t>s</w:t>
      </w:r>
      <w:r w:rsidRPr="00883399">
        <w:rPr>
          <w:rFonts w:ascii="Arial" w:hAnsi="Arial" w:cs="Arial"/>
          <w:sz w:val="22"/>
          <w:szCs w:val="22"/>
        </w:rPr>
        <w:t xml:space="preserve"> comprise:</w:t>
      </w:r>
    </w:p>
    <w:p w14:paraId="381D6251" w14:textId="77777777" w:rsidR="00997B42" w:rsidRPr="00883399" w:rsidRDefault="00997B42" w:rsidP="00997B42">
      <w:pPr>
        <w:pStyle w:val="Text"/>
        <w:rPr>
          <w:rFonts w:ascii="Arial" w:hAnsi="Arial" w:cs="Arial"/>
          <w:sz w:val="22"/>
          <w:szCs w:val="22"/>
        </w:rPr>
      </w:pPr>
      <w:r w:rsidRPr="00883399">
        <w:rPr>
          <w:rFonts w:ascii="Arial" w:hAnsi="Arial" w:cs="Arial"/>
          <w:sz w:val="22"/>
          <w:szCs w:val="22"/>
        </w:rPr>
        <w:t>a</w:t>
      </w:r>
      <w:r w:rsidR="00BA3A8B" w:rsidRPr="00883399">
        <w:rPr>
          <w:rFonts w:ascii="Arial" w:hAnsi="Arial" w:cs="Arial"/>
          <w:sz w:val="22"/>
          <w:szCs w:val="22"/>
        </w:rPr>
        <w:t>)</w:t>
      </w:r>
      <w:r w:rsidRPr="00883399">
        <w:rPr>
          <w:rFonts w:ascii="Arial" w:hAnsi="Arial" w:cs="Arial"/>
          <w:sz w:val="22"/>
          <w:szCs w:val="22"/>
        </w:rPr>
        <w:tab/>
        <w:t xml:space="preserve">informing government policy formulation and the Australian public; </w:t>
      </w:r>
    </w:p>
    <w:p w14:paraId="5A517D30" w14:textId="77777777" w:rsidR="00997B42" w:rsidRPr="00883399" w:rsidRDefault="00997B42" w:rsidP="00997B42">
      <w:pPr>
        <w:pStyle w:val="Text"/>
        <w:rPr>
          <w:rFonts w:ascii="Arial" w:hAnsi="Arial" w:cs="Arial"/>
          <w:sz w:val="22"/>
          <w:szCs w:val="22"/>
        </w:rPr>
      </w:pPr>
      <w:r w:rsidRPr="00883399">
        <w:rPr>
          <w:rFonts w:ascii="Arial" w:hAnsi="Arial" w:cs="Arial"/>
          <w:sz w:val="22"/>
          <w:szCs w:val="22"/>
        </w:rPr>
        <w:t>b</w:t>
      </w:r>
      <w:r w:rsidR="00BA3A8B" w:rsidRPr="00883399">
        <w:rPr>
          <w:rFonts w:ascii="Arial" w:hAnsi="Arial" w:cs="Arial"/>
          <w:sz w:val="22"/>
          <w:szCs w:val="22"/>
        </w:rPr>
        <w:t>)</w:t>
      </w:r>
      <w:r w:rsidRPr="00883399">
        <w:rPr>
          <w:rFonts w:ascii="Arial" w:hAnsi="Arial" w:cs="Arial"/>
          <w:sz w:val="22"/>
          <w:szCs w:val="22"/>
        </w:rPr>
        <w:tab/>
        <w:t xml:space="preserve">meeting Australia’s international reporting obligations; </w:t>
      </w:r>
    </w:p>
    <w:p w14:paraId="033C8A62" w14:textId="77777777" w:rsidR="00997B42" w:rsidRPr="00883399" w:rsidRDefault="00997B42" w:rsidP="00757627">
      <w:pPr>
        <w:pStyle w:val="Text"/>
        <w:ind w:left="720" w:hanging="720"/>
        <w:rPr>
          <w:rFonts w:ascii="Arial" w:hAnsi="Arial" w:cs="Arial"/>
          <w:sz w:val="22"/>
          <w:szCs w:val="22"/>
        </w:rPr>
      </w:pPr>
      <w:r w:rsidRPr="00883399">
        <w:rPr>
          <w:rFonts w:ascii="Arial" w:hAnsi="Arial" w:cs="Arial"/>
          <w:sz w:val="22"/>
          <w:szCs w:val="22"/>
        </w:rPr>
        <w:t>c</w:t>
      </w:r>
      <w:r w:rsidR="00BA3A8B" w:rsidRPr="00883399">
        <w:rPr>
          <w:rFonts w:ascii="Arial" w:hAnsi="Arial" w:cs="Arial"/>
          <w:sz w:val="22"/>
          <w:szCs w:val="22"/>
        </w:rPr>
        <w:t>)</w:t>
      </w:r>
      <w:r w:rsidRPr="00883399">
        <w:rPr>
          <w:rFonts w:ascii="Arial" w:hAnsi="Arial" w:cs="Arial"/>
          <w:sz w:val="22"/>
          <w:szCs w:val="22"/>
        </w:rPr>
        <w:tab/>
        <w:t>assisting Commonwealth, State and Territory government programs and activities; and</w:t>
      </w:r>
    </w:p>
    <w:p w14:paraId="44959350" w14:textId="77777777" w:rsidR="00997B42" w:rsidRPr="00883399" w:rsidRDefault="00997B42" w:rsidP="00757627">
      <w:pPr>
        <w:pStyle w:val="Text"/>
        <w:ind w:left="720" w:hanging="720"/>
        <w:rPr>
          <w:rFonts w:ascii="Arial" w:hAnsi="Arial" w:cs="Arial"/>
          <w:sz w:val="22"/>
          <w:szCs w:val="22"/>
        </w:rPr>
      </w:pPr>
      <w:r w:rsidRPr="00883399">
        <w:rPr>
          <w:rFonts w:ascii="Arial" w:hAnsi="Arial" w:cs="Arial"/>
          <w:sz w:val="22"/>
          <w:szCs w:val="22"/>
        </w:rPr>
        <w:lastRenderedPageBreak/>
        <w:t>d</w:t>
      </w:r>
      <w:r w:rsidR="00BA3A8B" w:rsidRPr="00883399">
        <w:rPr>
          <w:rFonts w:ascii="Arial" w:hAnsi="Arial" w:cs="Arial"/>
          <w:sz w:val="22"/>
          <w:szCs w:val="22"/>
        </w:rPr>
        <w:t>)</w:t>
      </w:r>
      <w:r w:rsidRPr="00883399">
        <w:rPr>
          <w:rFonts w:ascii="Arial" w:hAnsi="Arial" w:cs="Arial"/>
          <w:sz w:val="22"/>
          <w:szCs w:val="22"/>
        </w:rPr>
        <w:tab/>
        <w:t>avoiding the duplication of similar reporting requirements in the States and Territories.</w:t>
      </w:r>
    </w:p>
    <w:p w14:paraId="3941495E" w14:textId="77777777" w:rsidR="007261F7" w:rsidRPr="00883399" w:rsidRDefault="007261F7" w:rsidP="00782D7F">
      <w:pPr>
        <w:pStyle w:val="Text"/>
        <w:keepNext/>
        <w:outlineLvl w:val="0"/>
        <w:rPr>
          <w:rFonts w:ascii="Arial" w:hAnsi="Arial" w:cs="Arial"/>
          <w:i/>
          <w:sz w:val="22"/>
          <w:szCs w:val="22"/>
        </w:rPr>
      </w:pPr>
      <w:r w:rsidRPr="00883399">
        <w:rPr>
          <w:rFonts w:ascii="Arial" w:hAnsi="Arial" w:cs="Arial"/>
          <w:i/>
          <w:sz w:val="22"/>
          <w:szCs w:val="22"/>
        </w:rPr>
        <w:t>Thresholds for reporting</w:t>
      </w:r>
    </w:p>
    <w:p w14:paraId="18A87BCF" w14:textId="1BFFD949" w:rsidR="007261F7" w:rsidRPr="00883399" w:rsidRDefault="007261F7">
      <w:pPr>
        <w:pStyle w:val="Text"/>
        <w:rPr>
          <w:rFonts w:ascii="Arial" w:hAnsi="Arial" w:cs="Arial"/>
          <w:sz w:val="22"/>
          <w:szCs w:val="22"/>
        </w:rPr>
      </w:pPr>
      <w:r w:rsidRPr="00883399">
        <w:rPr>
          <w:rFonts w:ascii="Arial" w:hAnsi="Arial" w:cs="Arial"/>
          <w:sz w:val="22"/>
          <w:szCs w:val="22"/>
        </w:rPr>
        <w:t xml:space="preserve">The Act makes reporting mandatory for corporations whose </w:t>
      </w:r>
      <w:r w:rsidR="003B17D7" w:rsidRPr="00883399">
        <w:rPr>
          <w:rFonts w:ascii="Arial" w:hAnsi="Arial" w:cs="Arial"/>
          <w:sz w:val="22"/>
          <w:szCs w:val="22"/>
        </w:rPr>
        <w:t xml:space="preserve">energy </w:t>
      </w:r>
      <w:r w:rsidRPr="00883399">
        <w:rPr>
          <w:rFonts w:ascii="Arial" w:hAnsi="Arial" w:cs="Arial"/>
          <w:sz w:val="22"/>
          <w:szCs w:val="22"/>
        </w:rPr>
        <w:t xml:space="preserve">production, energy </w:t>
      </w:r>
      <w:r w:rsidR="00F66CA7" w:rsidRPr="00883399">
        <w:rPr>
          <w:rFonts w:ascii="Arial" w:hAnsi="Arial" w:cs="Arial"/>
          <w:sz w:val="22"/>
          <w:szCs w:val="22"/>
        </w:rPr>
        <w:t>consumption</w:t>
      </w:r>
      <w:r w:rsidRPr="00883399">
        <w:rPr>
          <w:rFonts w:ascii="Arial" w:hAnsi="Arial" w:cs="Arial"/>
          <w:sz w:val="22"/>
          <w:szCs w:val="22"/>
        </w:rPr>
        <w:t xml:space="preserve">, or greenhouse gas emissions meet certain specified thresholds. These thresholds are detailed in </w:t>
      </w:r>
      <w:r w:rsidR="009C745E" w:rsidRPr="00883399">
        <w:rPr>
          <w:rFonts w:ascii="Arial" w:hAnsi="Arial" w:cs="Arial"/>
          <w:sz w:val="22"/>
          <w:szCs w:val="22"/>
        </w:rPr>
        <w:t xml:space="preserve">section 13 of the NGER Act </w:t>
      </w:r>
      <w:r w:rsidRPr="00883399">
        <w:rPr>
          <w:rFonts w:ascii="Arial" w:hAnsi="Arial" w:cs="Arial"/>
          <w:sz w:val="22"/>
          <w:szCs w:val="22"/>
        </w:rPr>
        <w:t>and</w:t>
      </w:r>
      <w:r w:rsidR="003B17D7" w:rsidRPr="00883399">
        <w:rPr>
          <w:rFonts w:ascii="Arial" w:hAnsi="Arial" w:cs="Arial"/>
          <w:sz w:val="22"/>
          <w:szCs w:val="22"/>
        </w:rPr>
        <w:t xml:space="preserve"> in supporting material available </w:t>
      </w:r>
      <w:r w:rsidR="008F3FFF" w:rsidRPr="00883399">
        <w:rPr>
          <w:rFonts w:ascii="Arial" w:hAnsi="Arial" w:cs="Arial"/>
          <w:sz w:val="22"/>
          <w:szCs w:val="22"/>
        </w:rPr>
        <w:t xml:space="preserve">on the Clean Energy Regulator website at: </w:t>
      </w:r>
      <w:r w:rsidR="008A31D6" w:rsidRPr="008A31D6">
        <w:rPr>
          <w:rFonts w:ascii="Arial" w:hAnsi="Arial" w:cs="Arial"/>
          <w:sz w:val="22"/>
          <w:szCs w:val="22"/>
        </w:rPr>
        <w:t>http://www.cleanenergyregulator.gov.au/NGER/Forms-and-resources</w:t>
      </w:r>
      <w:r w:rsidRPr="00883399">
        <w:rPr>
          <w:rFonts w:ascii="Arial" w:hAnsi="Arial" w:cs="Arial"/>
          <w:sz w:val="22"/>
          <w:szCs w:val="22"/>
        </w:rPr>
        <w:t>.</w:t>
      </w:r>
    </w:p>
    <w:p w14:paraId="12A273D1" w14:textId="77777777" w:rsidR="007261F7" w:rsidRPr="00883399" w:rsidRDefault="007261F7">
      <w:pPr>
        <w:pStyle w:val="Text"/>
        <w:rPr>
          <w:rFonts w:ascii="Arial" w:hAnsi="Arial" w:cs="Arial"/>
          <w:sz w:val="22"/>
          <w:szCs w:val="22"/>
        </w:rPr>
      </w:pPr>
      <w:r w:rsidRPr="00883399">
        <w:rPr>
          <w:rFonts w:ascii="Arial" w:hAnsi="Arial" w:cs="Arial"/>
          <w:sz w:val="22"/>
          <w:szCs w:val="22"/>
        </w:rPr>
        <w:t xml:space="preserve">The Determination </w:t>
      </w:r>
      <w:r w:rsidR="00A35BF0" w:rsidRPr="00883399">
        <w:rPr>
          <w:rFonts w:ascii="Arial" w:hAnsi="Arial" w:cs="Arial"/>
          <w:sz w:val="22"/>
          <w:szCs w:val="22"/>
        </w:rPr>
        <w:t xml:space="preserve">is made under section 7B and subsection 10 of the Act. It </w:t>
      </w:r>
      <w:r w:rsidRPr="00883399">
        <w:rPr>
          <w:rFonts w:ascii="Arial" w:hAnsi="Arial" w:cs="Arial"/>
          <w:sz w:val="22"/>
          <w:szCs w:val="22"/>
        </w:rPr>
        <w:t>provides methods, and criteria for methods, for the measurement of the following:</w:t>
      </w:r>
    </w:p>
    <w:p w14:paraId="7D41D491" w14:textId="77777777" w:rsidR="007261F7" w:rsidRPr="00883399" w:rsidRDefault="007261F7" w:rsidP="00662F64">
      <w:pPr>
        <w:pStyle w:val="Text"/>
        <w:ind w:left="993" w:hanging="567"/>
        <w:rPr>
          <w:rFonts w:ascii="Arial" w:hAnsi="Arial" w:cs="Arial"/>
          <w:sz w:val="22"/>
          <w:szCs w:val="22"/>
        </w:rPr>
      </w:pPr>
      <w:r w:rsidRPr="00883399">
        <w:rPr>
          <w:rFonts w:ascii="Arial" w:hAnsi="Arial" w:cs="Arial"/>
          <w:sz w:val="22"/>
          <w:szCs w:val="22"/>
        </w:rPr>
        <w:t>(a)</w:t>
      </w:r>
      <w:r w:rsidRPr="00883399">
        <w:rPr>
          <w:rFonts w:ascii="Arial" w:hAnsi="Arial" w:cs="Arial"/>
          <w:sz w:val="22"/>
          <w:szCs w:val="22"/>
        </w:rPr>
        <w:tab/>
      </w:r>
      <w:r w:rsidR="003B17D7" w:rsidRPr="00883399">
        <w:rPr>
          <w:rFonts w:ascii="Arial" w:hAnsi="Arial" w:cs="Arial"/>
          <w:sz w:val="22"/>
          <w:szCs w:val="22"/>
        </w:rPr>
        <w:t>greenhouse gas emissions arising from the operation of facilities;</w:t>
      </w:r>
      <w:r w:rsidRPr="00883399">
        <w:rPr>
          <w:rFonts w:ascii="Arial" w:hAnsi="Arial" w:cs="Arial"/>
          <w:sz w:val="22"/>
          <w:szCs w:val="22"/>
        </w:rPr>
        <w:t xml:space="preserve"> </w:t>
      </w:r>
    </w:p>
    <w:p w14:paraId="6184AEFE" w14:textId="77777777" w:rsidR="007261F7" w:rsidRPr="00883399" w:rsidRDefault="0090308B" w:rsidP="00662F64">
      <w:pPr>
        <w:pStyle w:val="Text"/>
        <w:spacing w:before="0"/>
        <w:ind w:left="992" w:hanging="567"/>
        <w:rPr>
          <w:rFonts w:ascii="Arial" w:hAnsi="Arial" w:cs="Arial"/>
          <w:sz w:val="22"/>
          <w:szCs w:val="22"/>
        </w:rPr>
      </w:pPr>
      <w:r w:rsidRPr="00883399">
        <w:rPr>
          <w:rFonts w:ascii="Arial" w:hAnsi="Arial" w:cs="Arial"/>
          <w:sz w:val="22"/>
          <w:szCs w:val="22"/>
        </w:rPr>
        <w:t>(b)</w:t>
      </w:r>
      <w:r w:rsidRPr="00883399">
        <w:rPr>
          <w:rFonts w:ascii="Arial" w:hAnsi="Arial" w:cs="Arial"/>
          <w:sz w:val="22"/>
          <w:szCs w:val="22"/>
        </w:rPr>
        <w:tab/>
      </w:r>
      <w:r w:rsidR="003B17D7" w:rsidRPr="00883399">
        <w:rPr>
          <w:rFonts w:ascii="Arial" w:hAnsi="Arial" w:cs="Arial"/>
          <w:sz w:val="22"/>
          <w:szCs w:val="22"/>
        </w:rPr>
        <w:t>the production of energy arising from the operation of facilities;</w:t>
      </w:r>
    </w:p>
    <w:p w14:paraId="3A3A2AE7" w14:textId="77777777" w:rsidR="007261F7" w:rsidRPr="00883399" w:rsidRDefault="007261F7" w:rsidP="00662F64">
      <w:pPr>
        <w:pStyle w:val="Text"/>
        <w:spacing w:before="0"/>
        <w:ind w:left="992" w:hanging="567"/>
        <w:rPr>
          <w:rFonts w:ascii="Arial" w:hAnsi="Arial" w:cs="Arial"/>
          <w:sz w:val="22"/>
          <w:szCs w:val="22"/>
        </w:rPr>
      </w:pPr>
      <w:r w:rsidRPr="00883399">
        <w:rPr>
          <w:rFonts w:ascii="Arial" w:hAnsi="Arial" w:cs="Arial"/>
          <w:sz w:val="22"/>
          <w:szCs w:val="22"/>
        </w:rPr>
        <w:t>(c)</w:t>
      </w:r>
      <w:r w:rsidRPr="00883399">
        <w:rPr>
          <w:rFonts w:ascii="Arial" w:hAnsi="Arial" w:cs="Arial"/>
          <w:sz w:val="22"/>
          <w:szCs w:val="22"/>
        </w:rPr>
        <w:tab/>
      </w:r>
      <w:r w:rsidR="003B17D7" w:rsidRPr="00883399">
        <w:rPr>
          <w:rFonts w:ascii="Arial" w:hAnsi="Arial" w:cs="Arial"/>
          <w:sz w:val="22"/>
          <w:szCs w:val="22"/>
        </w:rPr>
        <w:t>the consumption of energy arising from the operation of facilities;</w:t>
      </w:r>
      <w:r w:rsidR="00C1128E" w:rsidRPr="00883399">
        <w:rPr>
          <w:rFonts w:ascii="Arial" w:hAnsi="Arial" w:cs="Arial"/>
          <w:sz w:val="22"/>
          <w:szCs w:val="22"/>
        </w:rPr>
        <w:t xml:space="preserve"> and</w:t>
      </w:r>
    </w:p>
    <w:p w14:paraId="648CB795" w14:textId="77777777" w:rsidR="00C1128E" w:rsidRPr="00883399" w:rsidRDefault="00C1128E" w:rsidP="00662F64">
      <w:pPr>
        <w:pStyle w:val="Text"/>
        <w:spacing w:before="0"/>
        <w:ind w:left="992" w:hanging="567"/>
        <w:rPr>
          <w:rFonts w:ascii="Arial" w:hAnsi="Arial" w:cs="Arial"/>
          <w:sz w:val="22"/>
          <w:szCs w:val="22"/>
        </w:rPr>
      </w:pPr>
      <w:r w:rsidRPr="00883399">
        <w:rPr>
          <w:rFonts w:ascii="Arial" w:hAnsi="Arial" w:cs="Arial"/>
          <w:sz w:val="22"/>
          <w:szCs w:val="22"/>
        </w:rPr>
        <w:t>(d)</w:t>
      </w:r>
      <w:r w:rsidRPr="00883399">
        <w:rPr>
          <w:rFonts w:ascii="Arial" w:hAnsi="Arial" w:cs="Arial"/>
          <w:sz w:val="22"/>
          <w:szCs w:val="22"/>
        </w:rPr>
        <w:tab/>
      </w:r>
      <w:r w:rsidR="003B17D7" w:rsidRPr="00883399">
        <w:rPr>
          <w:rFonts w:ascii="Arial" w:hAnsi="Arial" w:cs="Arial"/>
          <w:sz w:val="22"/>
          <w:szCs w:val="22"/>
        </w:rPr>
        <w:t>potential greenhouse gas emissions embodied in an amount of natural gas.</w:t>
      </w:r>
    </w:p>
    <w:p w14:paraId="056BBCE7" w14:textId="77777777" w:rsidR="007261F7" w:rsidRPr="00883399" w:rsidRDefault="007261F7">
      <w:pPr>
        <w:pStyle w:val="Text"/>
        <w:rPr>
          <w:rFonts w:ascii="Arial" w:hAnsi="Arial" w:cs="Arial"/>
          <w:sz w:val="22"/>
          <w:szCs w:val="22"/>
        </w:rPr>
      </w:pPr>
      <w:r w:rsidRPr="00883399">
        <w:rPr>
          <w:rFonts w:ascii="Arial" w:hAnsi="Arial" w:cs="Arial"/>
          <w:sz w:val="22"/>
          <w:szCs w:val="22"/>
        </w:rPr>
        <w:t xml:space="preserve">The structure of the Determination is designed to facilitate the integration of corporate and facility level data provided under the Act with international data standards on greenhouse emissions estimates. </w:t>
      </w:r>
      <w:r w:rsidR="0090308B" w:rsidRPr="00883399">
        <w:rPr>
          <w:rFonts w:ascii="Arial" w:hAnsi="Arial" w:cs="Arial"/>
          <w:sz w:val="22"/>
          <w:szCs w:val="22"/>
        </w:rPr>
        <w:t xml:space="preserve">Descriptions of emissions sources are based on those provided in the </w:t>
      </w:r>
      <w:r w:rsidR="0090308B" w:rsidRPr="00883399">
        <w:rPr>
          <w:rFonts w:ascii="Arial" w:hAnsi="Arial" w:cs="Arial"/>
          <w:i/>
          <w:sz w:val="22"/>
          <w:szCs w:val="22"/>
        </w:rPr>
        <w:t>IPCC</w:t>
      </w:r>
      <w:r w:rsidR="0090308B" w:rsidRPr="00883399">
        <w:rPr>
          <w:rFonts w:ascii="Arial" w:hAnsi="Arial" w:cs="Arial"/>
          <w:sz w:val="22"/>
          <w:szCs w:val="22"/>
        </w:rPr>
        <w:t xml:space="preserve"> </w:t>
      </w:r>
      <w:r w:rsidR="0090308B" w:rsidRPr="00883399">
        <w:rPr>
          <w:rFonts w:ascii="Arial" w:hAnsi="Arial" w:cs="Arial"/>
          <w:i/>
          <w:sz w:val="22"/>
          <w:szCs w:val="22"/>
        </w:rPr>
        <w:t>Guidelines for National Greenhouse Gas Inventories</w:t>
      </w:r>
      <w:r w:rsidR="0090308B" w:rsidRPr="00883399">
        <w:rPr>
          <w:rFonts w:ascii="Arial" w:hAnsi="Arial" w:cs="Arial"/>
          <w:sz w:val="22"/>
          <w:szCs w:val="22"/>
        </w:rPr>
        <w:t xml:space="preserve">, while estimation methods are based on those used by the </w:t>
      </w:r>
      <w:r w:rsidR="00C91E15" w:rsidRPr="00883399">
        <w:rPr>
          <w:rFonts w:ascii="Arial" w:hAnsi="Arial" w:cs="Arial"/>
          <w:sz w:val="22"/>
          <w:szCs w:val="22"/>
        </w:rPr>
        <w:t>Department on the Environment</w:t>
      </w:r>
      <w:r w:rsidR="0090308B" w:rsidRPr="00883399">
        <w:rPr>
          <w:rFonts w:ascii="Arial" w:hAnsi="Arial" w:cs="Arial"/>
          <w:sz w:val="22"/>
          <w:szCs w:val="22"/>
        </w:rPr>
        <w:t xml:space="preserve"> in preparing the Government’s annual submission to the </w:t>
      </w:r>
      <w:r w:rsidR="0034071A" w:rsidRPr="00883399">
        <w:rPr>
          <w:rFonts w:ascii="Arial" w:hAnsi="Arial" w:cs="Arial"/>
          <w:sz w:val="22"/>
          <w:szCs w:val="22"/>
        </w:rPr>
        <w:t>United Nations Framework Convention on Climate Change (</w:t>
      </w:r>
      <w:r w:rsidR="0090308B" w:rsidRPr="00883399">
        <w:rPr>
          <w:rFonts w:ascii="Arial" w:hAnsi="Arial" w:cs="Arial"/>
          <w:sz w:val="22"/>
          <w:szCs w:val="22"/>
        </w:rPr>
        <w:t>UNFCCC</w:t>
      </w:r>
      <w:r w:rsidR="0034071A" w:rsidRPr="00883399">
        <w:rPr>
          <w:rFonts w:ascii="Arial" w:hAnsi="Arial" w:cs="Arial"/>
          <w:sz w:val="22"/>
          <w:szCs w:val="22"/>
        </w:rPr>
        <w:t>)</w:t>
      </w:r>
      <w:r w:rsidR="0090308B" w:rsidRPr="00883399">
        <w:rPr>
          <w:rFonts w:ascii="Arial" w:hAnsi="Arial" w:cs="Arial"/>
          <w:sz w:val="22"/>
          <w:szCs w:val="22"/>
        </w:rPr>
        <w:t xml:space="preserve"> in the </w:t>
      </w:r>
      <w:r w:rsidR="0090308B" w:rsidRPr="00883399">
        <w:rPr>
          <w:rFonts w:ascii="Arial" w:hAnsi="Arial" w:cs="Arial"/>
          <w:i/>
          <w:sz w:val="22"/>
          <w:szCs w:val="22"/>
        </w:rPr>
        <w:t>National Inventory Report</w:t>
      </w:r>
      <w:r w:rsidR="0090308B" w:rsidRPr="00883399">
        <w:rPr>
          <w:rFonts w:ascii="Arial" w:hAnsi="Arial" w:cs="Arial"/>
          <w:sz w:val="22"/>
          <w:szCs w:val="22"/>
        </w:rPr>
        <w:t>.</w:t>
      </w:r>
    </w:p>
    <w:p w14:paraId="113AA15E" w14:textId="176F02B7" w:rsidR="007261F7" w:rsidRPr="00883399" w:rsidRDefault="007261F7">
      <w:pPr>
        <w:pStyle w:val="Text"/>
        <w:rPr>
          <w:rFonts w:ascii="Arial" w:hAnsi="Arial" w:cs="Arial"/>
          <w:sz w:val="22"/>
          <w:szCs w:val="22"/>
        </w:rPr>
      </w:pPr>
      <w:r w:rsidRPr="00883399">
        <w:rPr>
          <w:rFonts w:ascii="Arial" w:hAnsi="Arial" w:cs="Arial"/>
          <w:sz w:val="22"/>
          <w:szCs w:val="22"/>
        </w:rPr>
        <w:t>These Technical Guidelines do not provide guidance on issues concerning the definition of a facility or who should report the emissions from a particular facility.  For guidance on these questions, consult the</w:t>
      </w:r>
      <w:r w:rsidR="0034071A" w:rsidRPr="00883399">
        <w:rPr>
          <w:rFonts w:ascii="Arial" w:hAnsi="Arial" w:cs="Arial"/>
          <w:sz w:val="22"/>
          <w:szCs w:val="22"/>
        </w:rPr>
        <w:t xml:space="preserve"> supporting material available on </w:t>
      </w:r>
      <w:r w:rsidR="00F20C6E" w:rsidRPr="00883399">
        <w:rPr>
          <w:rFonts w:ascii="Arial" w:hAnsi="Arial" w:cs="Arial"/>
          <w:sz w:val="22"/>
          <w:szCs w:val="22"/>
        </w:rPr>
        <w:t xml:space="preserve">the Clean Energy Regulator website at: </w:t>
      </w:r>
      <w:r w:rsidR="008A31D6" w:rsidRPr="008A31D6">
        <w:rPr>
          <w:rFonts w:ascii="Arial" w:hAnsi="Arial" w:cs="Arial"/>
          <w:sz w:val="22"/>
          <w:szCs w:val="22"/>
        </w:rPr>
        <w:t>http://www.cleanenergyregulator.gov.au/NGER/Forms-and-resources</w:t>
      </w:r>
    </w:p>
    <w:p w14:paraId="114D5683" w14:textId="77777777" w:rsidR="007261F7" w:rsidRPr="00883399" w:rsidRDefault="007261F7" w:rsidP="00782D7F">
      <w:pPr>
        <w:pStyle w:val="Text"/>
        <w:keepNext/>
        <w:outlineLvl w:val="0"/>
        <w:rPr>
          <w:rFonts w:ascii="Arial" w:hAnsi="Arial" w:cs="Arial"/>
          <w:i/>
          <w:sz w:val="22"/>
          <w:szCs w:val="22"/>
        </w:rPr>
      </w:pPr>
      <w:r w:rsidRPr="00883399">
        <w:rPr>
          <w:rFonts w:ascii="Arial" w:hAnsi="Arial" w:cs="Arial"/>
          <w:i/>
          <w:sz w:val="22"/>
          <w:szCs w:val="22"/>
        </w:rPr>
        <w:lastRenderedPageBreak/>
        <w:t>Emissions</w:t>
      </w:r>
    </w:p>
    <w:p w14:paraId="5EFC9E61" w14:textId="77777777" w:rsidR="00997B42" w:rsidRPr="00883399" w:rsidRDefault="00997B42">
      <w:pPr>
        <w:pStyle w:val="Text"/>
        <w:rPr>
          <w:rFonts w:ascii="Arial" w:hAnsi="Arial" w:cs="Arial"/>
          <w:sz w:val="22"/>
          <w:szCs w:val="22"/>
        </w:rPr>
      </w:pPr>
      <w:r w:rsidRPr="00883399">
        <w:rPr>
          <w:rFonts w:ascii="Arial" w:hAnsi="Arial" w:cs="Arial"/>
          <w:sz w:val="22"/>
          <w:szCs w:val="22"/>
        </w:rPr>
        <w:t xml:space="preserve">Scope 1 and scope 2 emissions are defined in the Regulations as the release of greenhouse gas emissions into the atmosphere either as a direct result of an activity that constitute the facility (scope 1) or as a result of activities that consume electricity, heat or steam at the facility (scope 2). </w:t>
      </w:r>
    </w:p>
    <w:p w14:paraId="1C54D152" w14:textId="546BF8DC" w:rsidR="007261F7" w:rsidRPr="00883399" w:rsidRDefault="00997B42">
      <w:pPr>
        <w:pStyle w:val="Text"/>
        <w:rPr>
          <w:rFonts w:ascii="Arial" w:hAnsi="Arial" w:cs="Arial"/>
          <w:sz w:val="22"/>
          <w:szCs w:val="22"/>
        </w:rPr>
      </w:pPr>
      <w:r w:rsidRPr="00883399">
        <w:rPr>
          <w:rFonts w:ascii="Arial" w:hAnsi="Arial" w:cs="Arial"/>
          <w:sz w:val="22"/>
          <w:szCs w:val="22"/>
        </w:rPr>
        <w:t xml:space="preserve">The Determination and Technical Guidelines deal with scope 1 emissions </w:t>
      </w:r>
      <w:r w:rsidR="00CC2B5B" w:rsidRPr="00883399">
        <w:rPr>
          <w:rFonts w:ascii="Arial" w:hAnsi="Arial" w:cs="Arial"/>
          <w:sz w:val="22"/>
          <w:szCs w:val="22"/>
        </w:rPr>
        <w:t>and</w:t>
      </w:r>
      <w:r w:rsidRPr="00883399">
        <w:rPr>
          <w:rFonts w:ascii="Arial" w:hAnsi="Arial" w:cs="Arial"/>
          <w:sz w:val="22"/>
          <w:szCs w:val="22"/>
        </w:rPr>
        <w:t xml:space="preserve"> scope 2 </w:t>
      </w:r>
      <w:r w:rsidR="00CC2B5B" w:rsidRPr="00883399">
        <w:rPr>
          <w:rFonts w:ascii="Arial" w:hAnsi="Arial" w:cs="Arial"/>
          <w:sz w:val="22"/>
          <w:szCs w:val="22"/>
        </w:rPr>
        <w:t>emissions</w:t>
      </w:r>
      <w:r w:rsidR="009C745E" w:rsidRPr="00883399">
        <w:rPr>
          <w:rFonts w:ascii="Arial" w:hAnsi="Arial" w:cs="Arial"/>
          <w:sz w:val="22"/>
          <w:szCs w:val="22"/>
        </w:rPr>
        <w:t xml:space="preserve">. Gaseous designated fuels are natural gas and liquefied natural gas. </w:t>
      </w:r>
      <w:r w:rsidR="007261F7" w:rsidRPr="00883399">
        <w:rPr>
          <w:rFonts w:ascii="Arial" w:hAnsi="Arial" w:cs="Arial"/>
          <w:sz w:val="22"/>
          <w:szCs w:val="22"/>
        </w:rPr>
        <w:t>The</w:t>
      </w:r>
      <w:r w:rsidR="00782D7F" w:rsidRPr="00883399">
        <w:rPr>
          <w:rFonts w:ascii="Arial" w:hAnsi="Arial" w:cs="Arial"/>
          <w:sz w:val="22"/>
          <w:szCs w:val="22"/>
        </w:rPr>
        <w:t xml:space="preserve"> Technical </w:t>
      </w:r>
      <w:r w:rsidR="007261F7" w:rsidRPr="00883399">
        <w:rPr>
          <w:rFonts w:ascii="Arial" w:hAnsi="Arial" w:cs="Arial"/>
          <w:sz w:val="22"/>
          <w:szCs w:val="22"/>
        </w:rPr>
        <w:t xml:space="preserve">Guidelines are largely concerned with scope 1 emissions.  Scope 1 emissions concern emissions released from a facility as a direct result of the activities of the facility.  </w:t>
      </w:r>
    </w:p>
    <w:p w14:paraId="7CEF07B5" w14:textId="77777777" w:rsidR="007261F7" w:rsidRPr="00883399" w:rsidRDefault="007261F7">
      <w:pPr>
        <w:pStyle w:val="Text"/>
        <w:rPr>
          <w:rFonts w:ascii="Arial" w:hAnsi="Arial" w:cs="Arial"/>
          <w:sz w:val="22"/>
          <w:szCs w:val="22"/>
        </w:rPr>
      </w:pPr>
      <w:r w:rsidRPr="00883399">
        <w:rPr>
          <w:rFonts w:ascii="Arial" w:hAnsi="Arial" w:cs="Arial"/>
          <w:sz w:val="22"/>
          <w:szCs w:val="22"/>
        </w:rPr>
        <w:t>The greenhouse gases covered by these Guidelines are defined in the Regulations and include:</w:t>
      </w:r>
    </w:p>
    <w:p w14:paraId="7907B18C" w14:textId="77777777" w:rsidR="007261F7" w:rsidRPr="00883399" w:rsidRDefault="007261F7" w:rsidP="002F5EC1">
      <w:pPr>
        <w:pStyle w:val="Text"/>
        <w:numPr>
          <w:ilvl w:val="0"/>
          <w:numId w:val="28"/>
        </w:numPr>
        <w:ind w:left="777" w:hanging="357"/>
        <w:rPr>
          <w:rFonts w:ascii="Arial" w:hAnsi="Arial" w:cs="Arial"/>
          <w:sz w:val="22"/>
          <w:szCs w:val="22"/>
        </w:rPr>
      </w:pPr>
      <w:r w:rsidRPr="00883399">
        <w:rPr>
          <w:rFonts w:ascii="Arial" w:hAnsi="Arial" w:cs="Arial"/>
          <w:sz w:val="22"/>
          <w:szCs w:val="22"/>
        </w:rPr>
        <w:t>carbon dioxide;</w:t>
      </w:r>
    </w:p>
    <w:p w14:paraId="37333F5F" w14:textId="77777777" w:rsidR="007261F7" w:rsidRPr="00883399" w:rsidRDefault="007261F7" w:rsidP="002F5EC1">
      <w:pPr>
        <w:pStyle w:val="Text"/>
        <w:numPr>
          <w:ilvl w:val="0"/>
          <w:numId w:val="28"/>
        </w:numPr>
        <w:spacing w:before="0"/>
        <w:ind w:left="777" w:hanging="357"/>
        <w:rPr>
          <w:rFonts w:ascii="Arial" w:hAnsi="Arial" w:cs="Arial"/>
          <w:sz w:val="22"/>
          <w:szCs w:val="22"/>
        </w:rPr>
      </w:pPr>
      <w:r w:rsidRPr="00883399">
        <w:rPr>
          <w:rFonts w:ascii="Arial" w:hAnsi="Arial" w:cs="Arial"/>
          <w:sz w:val="22"/>
          <w:szCs w:val="22"/>
        </w:rPr>
        <w:t>methane;</w:t>
      </w:r>
    </w:p>
    <w:p w14:paraId="4412EE90" w14:textId="77777777" w:rsidR="007261F7" w:rsidRPr="00883399" w:rsidRDefault="007261F7" w:rsidP="002F5EC1">
      <w:pPr>
        <w:pStyle w:val="Text"/>
        <w:numPr>
          <w:ilvl w:val="0"/>
          <w:numId w:val="28"/>
        </w:numPr>
        <w:spacing w:before="0"/>
        <w:ind w:left="777" w:hanging="357"/>
        <w:rPr>
          <w:rFonts w:ascii="Arial" w:hAnsi="Arial" w:cs="Arial"/>
          <w:sz w:val="22"/>
          <w:szCs w:val="22"/>
        </w:rPr>
      </w:pPr>
      <w:r w:rsidRPr="00883399">
        <w:rPr>
          <w:rFonts w:ascii="Arial" w:hAnsi="Arial" w:cs="Arial"/>
          <w:sz w:val="22"/>
          <w:szCs w:val="22"/>
        </w:rPr>
        <w:t>nitrous oxide;</w:t>
      </w:r>
    </w:p>
    <w:p w14:paraId="2556D5FE" w14:textId="77777777" w:rsidR="007261F7" w:rsidRPr="00883399" w:rsidRDefault="007261F7" w:rsidP="002F5EC1">
      <w:pPr>
        <w:pStyle w:val="Text"/>
        <w:numPr>
          <w:ilvl w:val="0"/>
          <w:numId w:val="28"/>
        </w:numPr>
        <w:spacing w:before="0"/>
        <w:ind w:left="777" w:hanging="357"/>
        <w:rPr>
          <w:rFonts w:ascii="Arial" w:hAnsi="Arial" w:cs="Arial"/>
          <w:sz w:val="22"/>
          <w:szCs w:val="22"/>
        </w:rPr>
      </w:pPr>
      <w:r w:rsidRPr="00883399">
        <w:rPr>
          <w:rFonts w:ascii="Arial" w:hAnsi="Arial" w:cs="Arial"/>
          <w:sz w:val="22"/>
          <w:szCs w:val="22"/>
        </w:rPr>
        <w:t>specified hydrofluorocarbons</w:t>
      </w:r>
    </w:p>
    <w:p w14:paraId="0F5C3649" w14:textId="77777777" w:rsidR="007261F7" w:rsidRPr="00883399" w:rsidRDefault="007261F7" w:rsidP="002F5EC1">
      <w:pPr>
        <w:pStyle w:val="Text"/>
        <w:numPr>
          <w:ilvl w:val="0"/>
          <w:numId w:val="28"/>
        </w:numPr>
        <w:spacing w:before="0"/>
        <w:ind w:left="777" w:hanging="357"/>
        <w:rPr>
          <w:rFonts w:ascii="Arial" w:hAnsi="Arial" w:cs="Arial"/>
          <w:sz w:val="22"/>
          <w:szCs w:val="22"/>
        </w:rPr>
      </w:pPr>
      <w:r w:rsidRPr="00883399">
        <w:rPr>
          <w:rFonts w:ascii="Arial" w:hAnsi="Arial" w:cs="Arial"/>
          <w:sz w:val="22"/>
          <w:szCs w:val="22"/>
        </w:rPr>
        <w:t>specified perfluorocarbons; and</w:t>
      </w:r>
    </w:p>
    <w:p w14:paraId="5F9B4D28" w14:textId="77777777" w:rsidR="007261F7" w:rsidRPr="00883399" w:rsidRDefault="007261F7" w:rsidP="002F5EC1">
      <w:pPr>
        <w:pStyle w:val="Text"/>
        <w:numPr>
          <w:ilvl w:val="0"/>
          <w:numId w:val="28"/>
        </w:numPr>
        <w:spacing w:before="0"/>
        <w:ind w:left="777" w:hanging="357"/>
        <w:rPr>
          <w:rFonts w:ascii="Arial" w:hAnsi="Arial" w:cs="Arial"/>
          <w:sz w:val="22"/>
          <w:szCs w:val="22"/>
        </w:rPr>
      </w:pPr>
      <w:r w:rsidRPr="00883399">
        <w:rPr>
          <w:rFonts w:ascii="Arial" w:hAnsi="Arial" w:cs="Arial"/>
          <w:sz w:val="22"/>
          <w:szCs w:val="22"/>
        </w:rPr>
        <w:t>sulphur hexafluoride.</w:t>
      </w:r>
    </w:p>
    <w:p w14:paraId="63EBF20A" w14:textId="77777777" w:rsidR="007261F7" w:rsidRPr="00883399" w:rsidRDefault="007261F7">
      <w:pPr>
        <w:pStyle w:val="Text"/>
        <w:rPr>
          <w:rFonts w:ascii="Arial" w:hAnsi="Arial" w:cs="Arial"/>
          <w:sz w:val="22"/>
          <w:szCs w:val="22"/>
        </w:rPr>
      </w:pPr>
      <w:r w:rsidRPr="00883399">
        <w:rPr>
          <w:rFonts w:ascii="Arial" w:hAnsi="Arial" w:cs="Arial"/>
          <w:sz w:val="22"/>
          <w:szCs w:val="22"/>
        </w:rPr>
        <w:t xml:space="preserve">Scope 2 emissions are a form of indirect emission and </w:t>
      </w:r>
      <w:r w:rsidR="00BB1E24" w:rsidRPr="00883399">
        <w:rPr>
          <w:rFonts w:ascii="Arial" w:hAnsi="Arial" w:cs="Arial"/>
          <w:sz w:val="22"/>
          <w:szCs w:val="22"/>
        </w:rPr>
        <w:t xml:space="preserve">are activities that generate electricity, heating, cooling or steam that is consumed by the facility but that do not form part of the facility. They </w:t>
      </w:r>
      <w:r w:rsidRPr="00883399">
        <w:rPr>
          <w:rFonts w:ascii="Arial" w:hAnsi="Arial" w:cs="Arial"/>
          <w:sz w:val="22"/>
          <w:szCs w:val="22"/>
        </w:rPr>
        <w:t xml:space="preserve">occur principally at electricity generators as a result of electricity consumption at another facility.  Scope 2 emissions are covered only in </w:t>
      </w:r>
      <w:r w:rsidR="00DA420A" w:rsidRPr="00883399">
        <w:rPr>
          <w:rFonts w:ascii="Arial" w:hAnsi="Arial" w:cs="Arial"/>
          <w:sz w:val="22"/>
          <w:szCs w:val="22"/>
        </w:rPr>
        <w:t xml:space="preserve">Chapter </w:t>
      </w:r>
      <w:r w:rsidRPr="00883399">
        <w:rPr>
          <w:rFonts w:ascii="Arial" w:hAnsi="Arial" w:cs="Arial"/>
          <w:sz w:val="22"/>
          <w:szCs w:val="22"/>
        </w:rPr>
        <w:t>7.</w:t>
      </w:r>
    </w:p>
    <w:p w14:paraId="6DB142CC" w14:textId="77777777" w:rsidR="0054210A" w:rsidRPr="00883399" w:rsidRDefault="00F20C6E">
      <w:pPr>
        <w:pStyle w:val="Text"/>
        <w:rPr>
          <w:rFonts w:ascii="Arial" w:hAnsi="Arial" w:cs="Arial"/>
          <w:sz w:val="22"/>
          <w:szCs w:val="22"/>
        </w:rPr>
      </w:pPr>
      <w:r w:rsidRPr="00883399">
        <w:rPr>
          <w:rFonts w:ascii="Arial" w:hAnsi="Arial" w:cs="Arial"/>
          <w:sz w:val="22"/>
          <w:szCs w:val="22"/>
        </w:rPr>
        <w:t xml:space="preserve">Natural gas is defined in the Regulations. </w:t>
      </w:r>
    </w:p>
    <w:p w14:paraId="445C6BCB" w14:textId="77777777" w:rsidR="007261F7" w:rsidRPr="00883399" w:rsidRDefault="007261F7">
      <w:pPr>
        <w:pStyle w:val="Text"/>
        <w:rPr>
          <w:rFonts w:ascii="Arial" w:hAnsi="Arial" w:cs="Arial"/>
          <w:sz w:val="22"/>
          <w:szCs w:val="22"/>
        </w:rPr>
      </w:pPr>
      <w:r w:rsidRPr="00883399">
        <w:rPr>
          <w:rFonts w:ascii="Arial" w:hAnsi="Arial" w:cs="Arial"/>
          <w:sz w:val="22"/>
          <w:szCs w:val="22"/>
        </w:rPr>
        <w:t xml:space="preserve">Coverage of </w:t>
      </w:r>
      <w:r w:rsidR="0097250D" w:rsidRPr="00883399">
        <w:rPr>
          <w:rFonts w:ascii="Arial" w:hAnsi="Arial" w:cs="Arial"/>
          <w:sz w:val="22"/>
          <w:szCs w:val="22"/>
        </w:rPr>
        <w:t xml:space="preserve">Scope 1 </w:t>
      </w:r>
      <w:r w:rsidRPr="00883399">
        <w:rPr>
          <w:rFonts w:ascii="Arial" w:hAnsi="Arial" w:cs="Arial"/>
          <w:sz w:val="22"/>
          <w:szCs w:val="22"/>
        </w:rPr>
        <w:t>emission sources</w:t>
      </w:r>
      <w:r w:rsidR="006F5C1B" w:rsidRPr="00883399">
        <w:rPr>
          <w:rFonts w:ascii="Arial" w:hAnsi="Arial" w:cs="Arial"/>
          <w:sz w:val="22"/>
          <w:szCs w:val="22"/>
        </w:rPr>
        <w:t xml:space="preserve"> in the Determination is given by the following categories:</w:t>
      </w:r>
    </w:p>
    <w:p w14:paraId="28A022F0" w14:textId="77777777" w:rsidR="007B2802" w:rsidRPr="00883399" w:rsidRDefault="007B2802" w:rsidP="00662F64">
      <w:pPr>
        <w:pStyle w:val="Text"/>
        <w:ind w:left="993" w:hanging="567"/>
        <w:rPr>
          <w:rFonts w:ascii="Arial" w:hAnsi="Arial" w:cs="Arial"/>
          <w:sz w:val="22"/>
          <w:szCs w:val="22"/>
        </w:rPr>
      </w:pPr>
      <w:r w:rsidRPr="00883399">
        <w:rPr>
          <w:rFonts w:ascii="Arial" w:hAnsi="Arial" w:cs="Arial"/>
          <w:sz w:val="22"/>
          <w:szCs w:val="22"/>
        </w:rPr>
        <w:t>(a)</w:t>
      </w:r>
      <w:r w:rsidRPr="00883399">
        <w:rPr>
          <w:rFonts w:ascii="Arial" w:hAnsi="Arial" w:cs="Arial"/>
          <w:sz w:val="22"/>
          <w:szCs w:val="22"/>
        </w:rPr>
        <w:tab/>
        <w:t>fuel combustion, which deals with emissions released from fuel combustion (see Chapter 2); and</w:t>
      </w:r>
    </w:p>
    <w:p w14:paraId="22692303" w14:textId="77777777" w:rsidR="0097250D" w:rsidRPr="00883399" w:rsidRDefault="0097250D" w:rsidP="00662F64">
      <w:pPr>
        <w:pStyle w:val="Text"/>
        <w:ind w:left="993" w:hanging="567"/>
        <w:rPr>
          <w:rFonts w:ascii="Arial" w:hAnsi="Arial" w:cs="Arial"/>
          <w:sz w:val="22"/>
          <w:szCs w:val="22"/>
        </w:rPr>
      </w:pPr>
      <w:r w:rsidRPr="00883399">
        <w:rPr>
          <w:rFonts w:ascii="Arial" w:hAnsi="Arial" w:cs="Arial"/>
          <w:sz w:val="22"/>
          <w:szCs w:val="22"/>
        </w:rPr>
        <w:lastRenderedPageBreak/>
        <w:t>(b)</w:t>
      </w:r>
      <w:r w:rsidRPr="00883399">
        <w:rPr>
          <w:rFonts w:ascii="Arial" w:hAnsi="Arial" w:cs="Arial"/>
          <w:sz w:val="22"/>
          <w:szCs w:val="22"/>
        </w:rPr>
        <w:tab/>
        <w:t>fugitive emissions from fuels, which deals with emissions mainly released from the extraction, production, processing and distribution of fossil fuels (Chapter 3); and</w:t>
      </w:r>
    </w:p>
    <w:p w14:paraId="3670EB0E" w14:textId="77777777" w:rsidR="0097250D" w:rsidRPr="00883399" w:rsidRDefault="0097250D" w:rsidP="00662F64">
      <w:pPr>
        <w:pStyle w:val="Text"/>
        <w:ind w:left="993" w:hanging="567"/>
        <w:rPr>
          <w:rFonts w:ascii="Arial" w:hAnsi="Arial" w:cs="Arial"/>
          <w:sz w:val="22"/>
          <w:szCs w:val="22"/>
        </w:rPr>
      </w:pPr>
      <w:r w:rsidRPr="00883399">
        <w:rPr>
          <w:rFonts w:ascii="Arial" w:hAnsi="Arial" w:cs="Arial"/>
          <w:sz w:val="22"/>
          <w:szCs w:val="22"/>
        </w:rPr>
        <w:t>(c)</w:t>
      </w:r>
      <w:r w:rsidRPr="00883399">
        <w:rPr>
          <w:rFonts w:ascii="Arial" w:hAnsi="Arial" w:cs="Arial"/>
          <w:sz w:val="22"/>
          <w:szCs w:val="22"/>
        </w:rPr>
        <w:tab/>
        <w:t>industrial processes emissions, which deals with emissions released from the consumption of carbonates and the use of fuels as feedstocks or as carbon reductants, and the emission of synthetic gases in particular cases (see Chapter 4); and</w:t>
      </w:r>
    </w:p>
    <w:p w14:paraId="24F63E12" w14:textId="77777777" w:rsidR="0097250D" w:rsidRPr="00883399" w:rsidRDefault="0097250D" w:rsidP="00662F64">
      <w:pPr>
        <w:pStyle w:val="Text"/>
        <w:ind w:left="993" w:hanging="567"/>
        <w:rPr>
          <w:rFonts w:ascii="Arial" w:hAnsi="Arial" w:cs="Arial"/>
          <w:sz w:val="22"/>
          <w:szCs w:val="22"/>
        </w:rPr>
      </w:pPr>
      <w:r w:rsidRPr="00883399">
        <w:rPr>
          <w:rFonts w:ascii="Arial" w:hAnsi="Arial" w:cs="Arial"/>
          <w:sz w:val="22"/>
          <w:szCs w:val="22"/>
        </w:rPr>
        <w:t>(d)</w:t>
      </w:r>
      <w:r w:rsidRPr="00883399">
        <w:rPr>
          <w:rFonts w:ascii="Arial" w:hAnsi="Arial" w:cs="Arial"/>
          <w:sz w:val="22"/>
          <w:szCs w:val="22"/>
        </w:rPr>
        <w:tab/>
        <w:t>waste emissions, which deals with emissions mainly released from the decomposition of organic material in landfill or wastewater handling facilities (see Chapter 5).</w:t>
      </w:r>
    </w:p>
    <w:p w14:paraId="15B8050B" w14:textId="77777777" w:rsidR="007261F7" w:rsidRPr="00883399" w:rsidRDefault="007261F7">
      <w:pPr>
        <w:pStyle w:val="Text"/>
        <w:rPr>
          <w:rFonts w:ascii="Arial" w:hAnsi="Arial" w:cs="Arial"/>
          <w:sz w:val="22"/>
          <w:szCs w:val="22"/>
        </w:rPr>
      </w:pPr>
      <w:r w:rsidRPr="00883399">
        <w:rPr>
          <w:rFonts w:ascii="Arial" w:hAnsi="Arial" w:cs="Arial"/>
          <w:sz w:val="22"/>
          <w:szCs w:val="22"/>
        </w:rPr>
        <w:t>The most important source is emissions from fuel combustion, which accounts for over 60 per cent of the emissions reported in the national greenhouse gas inventory.</w:t>
      </w:r>
    </w:p>
    <w:p w14:paraId="4FA63BEE" w14:textId="77777777" w:rsidR="007261F7" w:rsidRPr="00883399" w:rsidRDefault="007261F7">
      <w:pPr>
        <w:pStyle w:val="Text"/>
        <w:rPr>
          <w:rFonts w:ascii="Arial" w:hAnsi="Arial" w:cs="Arial"/>
          <w:sz w:val="22"/>
          <w:szCs w:val="22"/>
        </w:rPr>
      </w:pPr>
      <w:r w:rsidRPr="00883399">
        <w:rPr>
          <w:rFonts w:ascii="Arial" w:hAnsi="Arial" w:cs="Arial"/>
          <w:sz w:val="22"/>
          <w:szCs w:val="22"/>
        </w:rPr>
        <w:t>The scope of the Determination</w:t>
      </w:r>
      <w:r w:rsidRPr="00883399">
        <w:rPr>
          <w:rFonts w:ascii="Arial" w:hAnsi="Arial" w:cs="Arial"/>
          <w:i/>
          <w:sz w:val="22"/>
          <w:szCs w:val="22"/>
        </w:rPr>
        <w:t xml:space="preserve"> </w:t>
      </w:r>
      <w:r w:rsidRPr="00883399">
        <w:rPr>
          <w:rFonts w:ascii="Arial" w:hAnsi="Arial" w:cs="Arial"/>
          <w:sz w:val="22"/>
          <w:szCs w:val="22"/>
        </w:rPr>
        <w:t>does not include land based emissions covered by the UNFCCC categories ‘Agriculture’ and ‘Land Use, Land Use Change and Forestry’.  However, emissions from fuel combustion or any other emission source listed above and which occurs from a facility operating within a land-based industry are, nonetheless, covered by the Determination.</w:t>
      </w:r>
    </w:p>
    <w:p w14:paraId="3755F77F" w14:textId="77777777" w:rsidR="007261F7" w:rsidRPr="00883399" w:rsidRDefault="007261F7" w:rsidP="00782D7F">
      <w:pPr>
        <w:pStyle w:val="Text"/>
        <w:keepNext/>
        <w:outlineLvl w:val="0"/>
        <w:rPr>
          <w:rFonts w:ascii="Arial" w:hAnsi="Arial" w:cs="Arial"/>
          <w:i/>
          <w:sz w:val="22"/>
          <w:szCs w:val="22"/>
        </w:rPr>
      </w:pPr>
      <w:r w:rsidRPr="00883399">
        <w:rPr>
          <w:rFonts w:ascii="Arial" w:hAnsi="Arial" w:cs="Arial"/>
          <w:i/>
          <w:sz w:val="22"/>
          <w:szCs w:val="22"/>
        </w:rPr>
        <w:t>Updates of these Guidelines</w:t>
      </w:r>
    </w:p>
    <w:p w14:paraId="78049B66" w14:textId="77777777" w:rsidR="007261F7" w:rsidRPr="00883399" w:rsidRDefault="007261F7">
      <w:pPr>
        <w:pStyle w:val="Text"/>
        <w:tabs>
          <w:tab w:val="num" w:pos="720"/>
        </w:tabs>
        <w:rPr>
          <w:rFonts w:ascii="Arial" w:hAnsi="Arial" w:cs="Arial"/>
          <w:sz w:val="22"/>
          <w:szCs w:val="22"/>
        </w:rPr>
      </w:pPr>
      <w:r w:rsidRPr="00883399">
        <w:rPr>
          <w:rFonts w:ascii="Arial" w:hAnsi="Arial" w:cs="Arial"/>
          <w:sz w:val="22"/>
          <w:szCs w:val="22"/>
        </w:rPr>
        <w:t>It is recognised that these Technical Guidelines will need to be updated as new information on emissions estimation methods becomes available.  This will need to be balanced against the need to maintain time-series consistency of the emissions data as far as possible.  Reflecting the need for this balance, it is planned that these Guidelines will be updated each year only for updated Scope 2 emission factors (see Chapter 7), while other revisions will occur on a periodic basis. It is planned that the Technical Guidelines will be updated periodically to:</w:t>
      </w:r>
    </w:p>
    <w:p w14:paraId="63CA9735" w14:textId="77777777" w:rsidR="007261F7" w:rsidRPr="00883399" w:rsidRDefault="007261F7" w:rsidP="002F5EC1">
      <w:pPr>
        <w:pStyle w:val="Text"/>
        <w:numPr>
          <w:ilvl w:val="0"/>
          <w:numId w:val="28"/>
        </w:numPr>
        <w:ind w:left="777" w:hanging="357"/>
        <w:rPr>
          <w:rFonts w:ascii="Arial" w:hAnsi="Arial" w:cs="Arial"/>
          <w:sz w:val="22"/>
          <w:szCs w:val="22"/>
        </w:rPr>
      </w:pPr>
      <w:r w:rsidRPr="00883399">
        <w:rPr>
          <w:rFonts w:ascii="Arial" w:hAnsi="Arial" w:cs="Arial"/>
          <w:sz w:val="22"/>
          <w:szCs w:val="22"/>
        </w:rPr>
        <w:t xml:space="preserve">provide Methods for emission sources where currently there are gaps or omissions in the Methods currently available; </w:t>
      </w:r>
    </w:p>
    <w:p w14:paraId="6E17AF88" w14:textId="77777777" w:rsidR="007261F7" w:rsidRPr="00883399" w:rsidRDefault="007261F7" w:rsidP="002F5EC1">
      <w:pPr>
        <w:pStyle w:val="Text"/>
        <w:numPr>
          <w:ilvl w:val="0"/>
          <w:numId w:val="28"/>
        </w:numPr>
        <w:spacing w:before="0"/>
        <w:ind w:left="777" w:hanging="357"/>
        <w:rPr>
          <w:rFonts w:ascii="Arial" w:hAnsi="Arial" w:cs="Arial"/>
          <w:sz w:val="22"/>
          <w:szCs w:val="22"/>
        </w:rPr>
      </w:pPr>
      <w:r w:rsidRPr="00883399">
        <w:rPr>
          <w:rFonts w:ascii="Arial" w:hAnsi="Arial" w:cs="Arial"/>
          <w:sz w:val="22"/>
          <w:szCs w:val="22"/>
        </w:rPr>
        <w:t>take account of new documentary standards applicable to the estimation of emissions under Methods 2, 3 and 4;</w:t>
      </w:r>
    </w:p>
    <w:p w14:paraId="1DB5E819" w14:textId="77777777" w:rsidR="007261F7" w:rsidRPr="00883399" w:rsidRDefault="007261F7" w:rsidP="002F5EC1">
      <w:pPr>
        <w:pStyle w:val="Text"/>
        <w:numPr>
          <w:ilvl w:val="0"/>
          <w:numId w:val="28"/>
        </w:numPr>
        <w:spacing w:before="0"/>
        <w:ind w:left="777" w:hanging="357"/>
        <w:rPr>
          <w:rFonts w:ascii="Arial" w:hAnsi="Arial" w:cs="Arial"/>
          <w:sz w:val="22"/>
          <w:szCs w:val="22"/>
        </w:rPr>
      </w:pPr>
      <w:r w:rsidRPr="00883399">
        <w:rPr>
          <w:rFonts w:ascii="Arial" w:hAnsi="Arial" w:cs="Arial"/>
          <w:sz w:val="22"/>
          <w:szCs w:val="22"/>
        </w:rPr>
        <w:t>take account of new information in relation to Method 1 emission factors; and</w:t>
      </w:r>
    </w:p>
    <w:p w14:paraId="6695CBF0" w14:textId="77777777" w:rsidR="007261F7" w:rsidRPr="00883399" w:rsidRDefault="007261F7" w:rsidP="002F5EC1">
      <w:pPr>
        <w:pStyle w:val="Text"/>
        <w:numPr>
          <w:ilvl w:val="0"/>
          <w:numId w:val="28"/>
        </w:numPr>
        <w:spacing w:before="0"/>
        <w:ind w:left="777" w:hanging="357"/>
        <w:rPr>
          <w:rFonts w:ascii="Arial" w:hAnsi="Arial" w:cs="Arial"/>
          <w:sz w:val="22"/>
          <w:szCs w:val="22"/>
        </w:rPr>
      </w:pPr>
      <w:r w:rsidRPr="00883399">
        <w:rPr>
          <w:rFonts w:ascii="Arial" w:hAnsi="Arial" w:cs="Arial"/>
          <w:sz w:val="22"/>
          <w:szCs w:val="22"/>
        </w:rPr>
        <w:lastRenderedPageBreak/>
        <w:t>take account of new information in relation to the Methods detailed in the Determination.</w:t>
      </w:r>
    </w:p>
    <w:p w14:paraId="1BBDB39F" w14:textId="77777777" w:rsidR="00E25ABD" w:rsidRPr="00883399" w:rsidRDefault="001F54EB" w:rsidP="002A10D1">
      <w:pPr>
        <w:pStyle w:val="Text"/>
      </w:pPr>
      <w:r w:rsidRPr="00883399">
        <w:rPr>
          <w:rFonts w:ascii="Arial" w:hAnsi="Arial" w:cs="Arial"/>
          <w:sz w:val="22"/>
          <w:szCs w:val="22"/>
        </w:rPr>
        <w:t xml:space="preserve">The Department will continue to </w:t>
      </w:r>
      <w:r w:rsidR="00CD3656" w:rsidRPr="00883399">
        <w:rPr>
          <w:rFonts w:ascii="Arial" w:hAnsi="Arial" w:cs="Arial"/>
          <w:sz w:val="22"/>
          <w:szCs w:val="22"/>
        </w:rPr>
        <w:t>refine and elaborat</w:t>
      </w:r>
      <w:r w:rsidRPr="00883399">
        <w:rPr>
          <w:rFonts w:ascii="Arial" w:hAnsi="Arial" w:cs="Arial"/>
          <w:sz w:val="22"/>
          <w:szCs w:val="22"/>
        </w:rPr>
        <w:t>e</w:t>
      </w:r>
      <w:r w:rsidR="00CD3656" w:rsidRPr="00883399">
        <w:rPr>
          <w:rFonts w:ascii="Arial" w:hAnsi="Arial" w:cs="Arial"/>
          <w:sz w:val="22"/>
          <w:szCs w:val="22"/>
        </w:rPr>
        <w:t xml:space="preserve"> </w:t>
      </w:r>
      <w:r w:rsidR="008654BA" w:rsidRPr="00883399">
        <w:rPr>
          <w:rFonts w:ascii="Arial" w:hAnsi="Arial" w:cs="Arial"/>
          <w:sz w:val="22"/>
          <w:szCs w:val="22"/>
        </w:rPr>
        <w:t xml:space="preserve">the </w:t>
      </w:r>
      <w:r w:rsidR="00AF7516" w:rsidRPr="00883399">
        <w:rPr>
          <w:rFonts w:ascii="Arial" w:hAnsi="Arial" w:cs="Arial"/>
          <w:sz w:val="22"/>
          <w:szCs w:val="22"/>
        </w:rPr>
        <w:t>Determination</w:t>
      </w:r>
      <w:r w:rsidR="008654BA" w:rsidRPr="00883399">
        <w:rPr>
          <w:rFonts w:ascii="Arial" w:hAnsi="Arial" w:cs="Arial"/>
          <w:sz w:val="22"/>
          <w:szCs w:val="22"/>
        </w:rPr>
        <w:t xml:space="preserve"> </w:t>
      </w:r>
      <w:r w:rsidRPr="00883399">
        <w:rPr>
          <w:rFonts w:ascii="Arial" w:hAnsi="Arial" w:cs="Arial"/>
          <w:sz w:val="22"/>
          <w:szCs w:val="22"/>
        </w:rPr>
        <w:t xml:space="preserve">as </w:t>
      </w:r>
      <w:r w:rsidR="00CD3656" w:rsidRPr="00883399">
        <w:rPr>
          <w:rFonts w:ascii="Arial" w:hAnsi="Arial" w:cs="Arial"/>
          <w:sz w:val="22"/>
          <w:szCs w:val="22"/>
        </w:rPr>
        <w:t xml:space="preserve">other issues arise </w:t>
      </w:r>
      <w:r w:rsidRPr="00883399">
        <w:rPr>
          <w:rFonts w:ascii="Arial" w:hAnsi="Arial" w:cs="Arial"/>
          <w:sz w:val="22"/>
          <w:szCs w:val="22"/>
        </w:rPr>
        <w:t xml:space="preserve">from ongoing consultation, and domestic and </w:t>
      </w:r>
      <w:r w:rsidR="003761C7" w:rsidRPr="00883399">
        <w:rPr>
          <w:rFonts w:ascii="Arial" w:hAnsi="Arial" w:cs="Arial"/>
          <w:sz w:val="22"/>
          <w:szCs w:val="22"/>
        </w:rPr>
        <w:t>international developments</w:t>
      </w:r>
      <w:r w:rsidR="00CD3656" w:rsidRPr="00883399">
        <w:rPr>
          <w:rFonts w:ascii="Arial" w:hAnsi="Arial" w:cs="Arial"/>
          <w:sz w:val="22"/>
          <w:szCs w:val="22"/>
        </w:rPr>
        <w:t xml:space="preserve">. </w:t>
      </w:r>
    </w:p>
    <w:p w14:paraId="57A090C9" w14:textId="6B1FDAB1" w:rsidR="007B71BF" w:rsidRPr="00883399" w:rsidRDefault="007B71BF" w:rsidP="007B71BF">
      <w:pPr>
        <w:pStyle w:val="ActHead5"/>
        <w:rPr>
          <w:sz w:val="28"/>
        </w:rPr>
      </w:pPr>
      <w:bookmarkStart w:id="10" w:name="_Toc423516668"/>
      <w:bookmarkStart w:id="11" w:name="_Toc495652581"/>
      <w:r w:rsidRPr="00883399">
        <w:rPr>
          <w:rStyle w:val="CharSectno"/>
          <w:sz w:val="28"/>
        </w:rPr>
        <w:t>1.4</w:t>
      </w:r>
      <w:r w:rsidRPr="00883399">
        <w:rPr>
          <w:sz w:val="28"/>
        </w:rPr>
        <w:t xml:space="preserve">  Overview—methods for measurement</w:t>
      </w:r>
      <w:bookmarkEnd w:id="10"/>
      <w:bookmarkEnd w:id="11"/>
    </w:p>
    <w:p w14:paraId="45DF476F" w14:textId="77777777" w:rsidR="007261F7" w:rsidRPr="00883399" w:rsidRDefault="007261F7" w:rsidP="00132145">
      <w:pPr>
        <w:spacing w:before="240" w:line="312" w:lineRule="auto"/>
        <w:rPr>
          <w:rFonts w:ascii="Arial" w:hAnsi="Arial" w:cs="Arial"/>
          <w:sz w:val="22"/>
          <w:szCs w:val="22"/>
        </w:rPr>
      </w:pPr>
      <w:r w:rsidRPr="00883399">
        <w:rPr>
          <w:rFonts w:ascii="Arial" w:hAnsi="Arial" w:cs="Arial"/>
          <w:sz w:val="22"/>
          <w:szCs w:val="22"/>
        </w:rPr>
        <w:t>Emissions are rarely measured through direct observation and are most often estimated by reference to readily observable variables that are closely related to greenhouse gas emissions such as the quantity of fossil fuels consumed.</w:t>
      </w:r>
    </w:p>
    <w:p w14:paraId="21C4540E" w14:textId="77777777" w:rsidR="007261F7" w:rsidRPr="00883399" w:rsidRDefault="007261F7">
      <w:pPr>
        <w:spacing w:before="240" w:line="312" w:lineRule="auto"/>
        <w:rPr>
          <w:rFonts w:ascii="Arial" w:hAnsi="Arial" w:cs="Arial"/>
          <w:sz w:val="22"/>
          <w:szCs w:val="22"/>
        </w:rPr>
      </w:pPr>
      <w:r w:rsidRPr="00883399">
        <w:rPr>
          <w:rFonts w:ascii="Arial" w:hAnsi="Arial" w:cs="Arial"/>
          <w:sz w:val="22"/>
          <w:szCs w:val="22"/>
        </w:rPr>
        <w:t xml:space="preserve">These Guidelines provide Methods that allow for both direct emissions monitoring and the estimation of emissions through the tracking of observable, closely-related variables.  This framework reflects the approaches of the international guidelines governing the estimation of national greenhouse gas inventories and, similarly, national practice such as for the </w:t>
      </w:r>
      <w:r w:rsidRPr="00883399">
        <w:rPr>
          <w:rFonts w:ascii="Arial" w:hAnsi="Arial" w:cs="Arial"/>
          <w:i/>
          <w:sz w:val="22"/>
          <w:szCs w:val="22"/>
        </w:rPr>
        <w:t>EU Guidelines for the Monitoring and Reporting of Greenhouse Gas Emissions</w:t>
      </w:r>
      <w:r w:rsidR="00D92CF3" w:rsidRPr="00883399">
        <w:rPr>
          <w:rFonts w:ascii="Arial" w:hAnsi="Arial" w:cs="Arial"/>
          <w:sz w:val="22"/>
          <w:szCs w:val="22"/>
        </w:rPr>
        <w:t xml:space="preserve"> and the</w:t>
      </w:r>
      <w:r w:rsidR="00D92CF3" w:rsidRPr="00883399">
        <w:rPr>
          <w:rFonts w:ascii="Arial" w:hAnsi="Arial" w:cs="Arial"/>
          <w:i/>
          <w:sz w:val="22"/>
          <w:szCs w:val="22"/>
        </w:rPr>
        <w:t xml:space="preserve"> US</w:t>
      </w:r>
      <w:r w:rsidR="007E60C5" w:rsidRPr="00883399">
        <w:rPr>
          <w:rFonts w:ascii="Arial" w:hAnsi="Arial" w:cs="Arial"/>
          <w:i/>
          <w:sz w:val="22"/>
          <w:szCs w:val="22"/>
        </w:rPr>
        <w:t xml:space="preserve"> EPA</w:t>
      </w:r>
      <w:r w:rsidR="00D92CF3" w:rsidRPr="00883399">
        <w:rPr>
          <w:rFonts w:ascii="Arial" w:hAnsi="Arial" w:cs="Arial"/>
          <w:i/>
          <w:sz w:val="22"/>
          <w:szCs w:val="22"/>
        </w:rPr>
        <w:t xml:space="preserve"> Mandatory </w:t>
      </w:r>
      <w:r w:rsidR="007E60C5" w:rsidRPr="00883399">
        <w:rPr>
          <w:rFonts w:ascii="Arial" w:hAnsi="Arial" w:cs="Arial"/>
          <w:i/>
          <w:sz w:val="22"/>
          <w:szCs w:val="22"/>
        </w:rPr>
        <w:t>Greenhouse Gas Reporting Rule</w:t>
      </w:r>
      <w:r w:rsidRPr="00883399">
        <w:rPr>
          <w:rFonts w:ascii="Arial" w:hAnsi="Arial" w:cs="Arial"/>
          <w:i/>
          <w:sz w:val="22"/>
          <w:szCs w:val="22"/>
        </w:rPr>
        <w:t>.</w:t>
      </w:r>
    </w:p>
    <w:p w14:paraId="03D951B1" w14:textId="77777777" w:rsidR="007261F7" w:rsidRPr="00883399" w:rsidRDefault="007261F7">
      <w:pPr>
        <w:spacing w:before="240" w:line="312" w:lineRule="auto"/>
        <w:rPr>
          <w:rFonts w:ascii="Arial" w:hAnsi="Arial" w:cs="Arial"/>
          <w:sz w:val="22"/>
          <w:szCs w:val="22"/>
        </w:rPr>
      </w:pPr>
      <w:r w:rsidRPr="00883399">
        <w:rPr>
          <w:rFonts w:ascii="Arial" w:hAnsi="Arial" w:cs="Arial"/>
          <w:sz w:val="22"/>
          <w:szCs w:val="22"/>
        </w:rPr>
        <w:t>At its simplest, emissions may be estimated by reference to reportable data such as fossil fuel consumption, evidenced by invoices, and the use of specified emission factors provided in these Guidelines. For emissions from fuel combustion, for example, data on consumption of a particular fuel would be multiplied by a specific emission factor for that fuel to generate an emissions estimate.</w:t>
      </w:r>
    </w:p>
    <w:p w14:paraId="431F940B" w14:textId="77777777" w:rsidR="007261F7" w:rsidRPr="00883399" w:rsidRDefault="007261F7">
      <w:pPr>
        <w:spacing w:before="240" w:line="312" w:lineRule="auto"/>
        <w:rPr>
          <w:rFonts w:ascii="Arial" w:hAnsi="Arial" w:cs="Arial"/>
          <w:sz w:val="22"/>
          <w:szCs w:val="22"/>
        </w:rPr>
      </w:pPr>
      <w:r w:rsidRPr="00883399">
        <w:rPr>
          <w:rFonts w:ascii="Arial" w:hAnsi="Arial" w:cs="Arial"/>
          <w:sz w:val="22"/>
          <w:szCs w:val="22"/>
        </w:rPr>
        <w:t xml:space="preserve">Greater levels of complexity and measurement effort may in some circumstances produce better estimates of emissions at facility level.  This may result from, for example, sampling and analysis of a fuel consumed for its carbon content and other qualities that will affect actual emissions generated by its combustion at a facility.   In Australia, this kind of approach to emissions estimation </w:t>
      </w:r>
      <w:r w:rsidR="002A10D1" w:rsidRPr="00883399">
        <w:rPr>
          <w:rFonts w:ascii="Arial" w:hAnsi="Arial" w:cs="Arial"/>
          <w:sz w:val="22"/>
          <w:szCs w:val="22"/>
        </w:rPr>
        <w:t>has been used for a number of years in the electricity industry</w:t>
      </w:r>
      <w:r w:rsidR="00663D7A" w:rsidRPr="00883399">
        <w:rPr>
          <w:rFonts w:ascii="Arial" w:hAnsi="Arial" w:cs="Arial"/>
          <w:sz w:val="22"/>
          <w:szCs w:val="22"/>
        </w:rPr>
        <w:t>.</w:t>
      </w:r>
    </w:p>
    <w:p w14:paraId="2D7F524C" w14:textId="77777777" w:rsidR="007261F7" w:rsidRPr="00883399" w:rsidRDefault="007261F7">
      <w:pPr>
        <w:spacing w:before="240" w:line="312" w:lineRule="auto"/>
        <w:rPr>
          <w:rFonts w:ascii="Arial" w:hAnsi="Arial" w:cs="Arial"/>
          <w:sz w:val="22"/>
          <w:szCs w:val="22"/>
        </w:rPr>
      </w:pPr>
      <w:r w:rsidRPr="00883399">
        <w:rPr>
          <w:rFonts w:ascii="Arial" w:hAnsi="Arial" w:cs="Arial"/>
          <w:sz w:val="22"/>
          <w:szCs w:val="22"/>
        </w:rPr>
        <w:t>Direct monitoring of emissions is also potentially an important approach to emissions estimation.  While not common, such direct monitoring already occurs in some form in some instances such as in the coal industry, where state legislation requires the monitoring of methane levels for health and safety reasons.</w:t>
      </w:r>
    </w:p>
    <w:p w14:paraId="08850175" w14:textId="77777777" w:rsidR="007261F7" w:rsidRPr="00883399" w:rsidRDefault="007261F7">
      <w:pPr>
        <w:spacing w:before="240" w:line="312" w:lineRule="auto"/>
        <w:rPr>
          <w:rFonts w:ascii="Arial" w:hAnsi="Arial" w:cs="Arial"/>
          <w:sz w:val="22"/>
          <w:szCs w:val="22"/>
        </w:rPr>
      </w:pPr>
      <w:r w:rsidRPr="00883399">
        <w:rPr>
          <w:rFonts w:ascii="Arial" w:hAnsi="Arial" w:cs="Arial"/>
          <w:sz w:val="22"/>
          <w:szCs w:val="22"/>
        </w:rPr>
        <w:lastRenderedPageBreak/>
        <w:t>Each of these broad approaches has been incorporated into the Guidelines as Methods fo</w:t>
      </w:r>
      <w:r w:rsidR="00BC6F60" w:rsidRPr="00883399">
        <w:rPr>
          <w:rFonts w:ascii="Arial" w:hAnsi="Arial" w:cs="Arial"/>
          <w:sz w:val="22"/>
          <w:szCs w:val="22"/>
        </w:rPr>
        <w:t>r the estimation of emissions.</w:t>
      </w:r>
    </w:p>
    <w:p w14:paraId="7195A2CB" w14:textId="77777777" w:rsidR="007261F7" w:rsidRPr="00883399" w:rsidRDefault="007261F7">
      <w:pPr>
        <w:spacing w:before="240" w:line="312" w:lineRule="auto"/>
        <w:rPr>
          <w:rFonts w:ascii="Arial" w:hAnsi="Arial" w:cs="Arial"/>
          <w:sz w:val="22"/>
          <w:szCs w:val="22"/>
        </w:rPr>
      </w:pPr>
      <w:r w:rsidRPr="00883399">
        <w:rPr>
          <w:rFonts w:ascii="Arial" w:hAnsi="Arial" w:cs="Arial"/>
          <w:sz w:val="22"/>
          <w:szCs w:val="22"/>
        </w:rPr>
        <w:t>In particular four Methods have been described which provide a framework for emissions estimation for a range of purposes.</w:t>
      </w:r>
    </w:p>
    <w:p w14:paraId="149335EB" w14:textId="77777777" w:rsidR="007261F7" w:rsidRPr="00883399" w:rsidRDefault="007261F7">
      <w:pPr>
        <w:spacing w:before="240" w:line="312" w:lineRule="auto"/>
        <w:rPr>
          <w:rFonts w:ascii="Arial" w:hAnsi="Arial" w:cs="Arial"/>
          <w:sz w:val="22"/>
          <w:szCs w:val="22"/>
        </w:rPr>
      </w:pPr>
      <w:r w:rsidRPr="00883399">
        <w:rPr>
          <w:rFonts w:ascii="Arial" w:hAnsi="Arial" w:cs="Arial"/>
          <w:sz w:val="22"/>
          <w:szCs w:val="22"/>
        </w:rPr>
        <w:t>By drawing on existing emission estimation practices where possible</w:t>
      </w:r>
      <w:r w:rsidR="002F3BDD" w:rsidRPr="00883399">
        <w:rPr>
          <w:rFonts w:ascii="Arial" w:hAnsi="Arial" w:cs="Arial"/>
          <w:sz w:val="22"/>
          <w:szCs w:val="22"/>
        </w:rPr>
        <w:t>,</w:t>
      </w:r>
      <w:r w:rsidRPr="00883399">
        <w:rPr>
          <w:rFonts w:ascii="Arial" w:hAnsi="Arial" w:cs="Arial"/>
          <w:sz w:val="22"/>
          <w:szCs w:val="22"/>
        </w:rPr>
        <w:t xml:space="preserve"> the Guidelines aim to </w:t>
      </w:r>
      <w:r w:rsidR="009C745E" w:rsidRPr="00883399">
        <w:rPr>
          <w:rFonts w:ascii="Arial" w:hAnsi="Arial" w:cs="Arial"/>
          <w:sz w:val="22"/>
          <w:szCs w:val="22"/>
        </w:rPr>
        <w:t>allow reporters to meet their obligations efficiently</w:t>
      </w:r>
      <w:r w:rsidRPr="00883399">
        <w:rPr>
          <w:rFonts w:ascii="Arial" w:hAnsi="Arial" w:cs="Arial"/>
          <w:sz w:val="22"/>
          <w:szCs w:val="22"/>
        </w:rPr>
        <w:t>.  As indicated above, there are many instances where higher order methods (2, 3 and 4 set out below) already reflect current commercial or regulatory practice.</w:t>
      </w:r>
    </w:p>
    <w:p w14:paraId="6E8828B3" w14:textId="77777777" w:rsidR="007261F7" w:rsidRPr="00883399" w:rsidRDefault="007261F7" w:rsidP="00782D7F">
      <w:pPr>
        <w:spacing w:before="240" w:line="312" w:lineRule="auto"/>
        <w:rPr>
          <w:rFonts w:ascii="Arial" w:hAnsi="Arial" w:cs="Arial"/>
          <w:sz w:val="22"/>
          <w:szCs w:val="22"/>
        </w:rPr>
      </w:pPr>
      <w:r w:rsidRPr="00883399">
        <w:rPr>
          <w:rFonts w:ascii="Arial" w:hAnsi="Arial" w:cs="Arial"/>
          <w:sz w:val="22"/>
          <w:szCs w:val="22"/>
        </w:rPr>
        <w:t xml:space="preserve">The provision for Reporters to select Methods for the estimation of emissions also allows Reporters to make their own judgements to balance the costs of using the higher-order methods with the benefits of potentially improved emission estimates.  </w:t>
      </w:r>
    </w:p>
    <w:p w14:paraId="788E3AEF" w14:textId="77777777" w:rsidR="006C1CB7" w:rsidRPr="00883399" w:rsidRDefault="006C1CB7">
      <w:pPr>
        <w:spacing w:line="312" w:lineRule="auto"/>
        <w:rPr>
          <w:rFonts w:ascii="Arial" w:hAnsi="Arial" w:cs="Arial"/>
          <w:sz w:val="22"/>
          <w:szCs w:val="22"/>
        </w:rPr>
      </w:pPr>
    </w:p>
    <w:p w14:paraId="0377CFD9" w14:textId="77777777" w:rsidR="007261F7" w:rsidRPr="00883399" w:rsidRDefault="007261F7" w:rsidP="00782D7F">
      <w:pPr>
        <w:keepNext/>
        <w:spacing w:line="312" w:lineRule="auto"/>
        <w:outlineLvl w:val="0"/>
        <w:rPr>
          <w:rFonts w:ascii="Arial" w:hAnsi="Arial" w:cs="Arial"/>
          <w:i/>
          <w:sz w:val="22"/>
          <w:szCs w:val="22"/>
        </w:rPr>
      </w:pPr>
      <w:r w:rsidRPr="00883399">
        <w:rPr>
          <w:rFonts w:ascii="Arial" w:hAnsi="Arial" w:cs="Arial"/>
          <w:i/>
          <w:sz w:val="22"/>
          <w:szCs w:val="22"/>
        </w:rPr>
        <w:t xml:space="preserve">A </w:t>
      </w:r>
      <w:r w:rsidR="002A5232" w:rsidRPr="00883399">
        <w:rPr>
          <w:rFonts w:ascii="Arial" w:hAnsi="Arial" w:cs="Arial"/>
          <w:i/>
          <w:sz w:val="22"/>
          <w:szCs w:val="22"/>
        </w:rPr>
        <w:t>F</w:t>
      </w:r>
      <w:r w:rsidRPr="00883399">
        <w:rPr>
          <w:rFonts w:ascii="Arial" w:hAnsi="Arial" w:cs="Arial"/>
          <w:i/>
          <w:sz w:val="22"/>
          <w:szCs w:val="22"/>
        </w:rPr>
        <w:t>ramework for Method selection</w:t>
      </w:r>
    </w:p>
    <w:p w14:paraId="266D7666" w14:textId="77777777" w:rsidR="007261F7" w:rsidRPr="00883399" w:rsidRDefault="009E367A">
      <w:pPr>
        <w:spacing w:line="312" w:lineRule="auto"/>
        <w:rPr>
          <w:rFonts w:ascii="Arial" w:hAnsi="Arial" w:cs="Arial"/>
          <w:sz w:val="22"/>
          <w:szCs w:val="22"/>
        </w:rPr>
      </w:pPr>
      <w:r w:rsidRPr="00883399">
        <w:rPr>
          <w:rFonts w:ascii="Arial" w:hAnsi="Arial" w:cs="Arial"/>
          <w:sz w:val="22"/>
          <w:szCs w:val="22"/>
        </w:rPr>
        <w:t>For scope 1 emissions</w:t>
      </w:r>
      <w:r w:rsidR="002F3BDD" w:rsidRPr="00883399">
        <w:rPr>
          <w:rFonts w:ascii="Arial" w:hAnsi="Arial" w:cs="Arial"/>
          <w:sz w:val="22"/>
          <w:szCs w:val="22"/>
        </w:rPr>
        <w:t>, t</w:t>
      </w:r>
      <w:r w:rsidR="007261F7" w:rsidRPr="00883399">
        <w:rPr>
          <w:rFonts w:ascii="Arial" w:hAnsi="Arial" w:cs="Arial"/>
          <w:sz w:val="22"/>
          <w:szCs w:val="22"/>
        </w:rPr>
        <w:t>he four Methods can be broadly described by the following:</w:t>
      </w:r>
    </w:p>
    <w:p w14:paraId="5063F43B" w14:textId="77777777" w:rsidR="006C1CB7" w:rsidRPr="00883399" w:rsidRDefault="006C1CB7" w:rsidP="00466A53">
      <w:pPr>
        <w:spacing w:line="312" w:lineRule="auto"/>
        <w:outlineLvl w:val="0"/>
        <w:rPr>
          <w:rFonts w:ascii="Arial" w:hAnsi="Arial" w:cs="Arial"/>
          <w:b/>
          <w:sz w:val="22"/>
          <w:szCs w:val="22"/>
        </w:rPr>
      </w:pPr>
    </w:p>
    <w:p w14:paraId="259D58B9" w14:textId="77777777" w:rsidR="007261F7" w:rsidRPr="00883399" w:rsidRDefault="007261F7" w:rsidP="00466A53">
      <w:pPr>
        <w:spacing w:line="312" w:lineRule="auto"/>
        <w:outlineLvl w:val="0"/>
        <w:rPr>
          <w:rFonts w:ascii="Arial" w:hAnsi="Arial" w:cs="Arial"/>
          <w:b/>
          <w:sz w:val="22"/>
          <w:szCs w:val="22"/>
        </w:rPr>
      </w:pPr>
      <w:r w:rsidRPr="00883399">
        <w:rPr>
          <w:rFonts w:ascii="Arial" w:hAnsi="Arial" w:cs="Arial"/>
          <w:b/>
          <w:sz w:val="22"/>
          <w:szCs w:val="22"/>
        </w:rPr>
        <w:t xml:space="preserve">Method 1: the National Greenhouse Accounts default method  </w:t>
      </w:r>
    </w:p>
    <w:p w14:paraId="20616A28" w14:textId="77777777" w:rsidR="007261F7" w:rsidRPr="00883399" w:rsidRDefault="007261F7">
      <w:pPr>
        <w:spacing w:before="240" w:line="312" w:lineRule="auto"/>
        <w:rPr>
          <w:rFonts w:ascii="Arial" w:hAnsi="Arial" w:cs="Arial"/>
          <w:sz w:val="22"/>
          <w:szCs w:val="22"/>
        </w:rPr>
      </w:pPr>
      <w:r w:rsidRPr="00883399">
        <w:rPr>
          <w:rFonts w:ascii="Arial" w:hAnsi="Arial" w:cs="Arial"/>
          <w:sz w:val="22"/>
          <w:szCs w:val="22"/>
        </w:rPr>
        <w:t xml:space="preserve">Method 1 provides a class of estimation procedures derived directly from the methodologies used by the </w:t>
      </w:r>
      <w:r w:rsidR="009D0AA9" w:rsidRPr="00883399">
        <w:rPr>
          <w:rFonts w:ascii="Arial" w:hAnsi="Arial" w:cs="Arial"/>
          <w:sz w:val="22"/>
          <w:szCs w:val="22"/>
        </w:rPr>
        <w:t>Department of the Environment and Energy</w:t>
      </w:r>
      <w:r w:rsidR="00DD26FE" w:rsidRPr="00883399">
        <w:rPr>
          <w:rFonts w:ascii="Arial" w:hAnsi="Arial" w:cs="Arial"/>
          <w:sz w:val="22"/>
          <w:szCs w:val="22"/>
        </w:rPr>
        <w:t xml:space="preserve"> </w:t>
      </w:r>
      <w:r w:rsidRPr="00883399">
        <w:rPr>
          <w:rFonts w:ascii="Arial" w:hAnsi="Arial" w:cs="Arial"/>
          <w:sz w:val="22"/>
          <w:szCs w:val="22"/>
        </w:rPr>
        <w:t xml:space="preserve">for the preparation of the </w:t>
      </w:r>
      <w:r w:rsidRPr="00883399">
        <w:rPr>
          <w:rFonts w:ascii="Arial" w:hAnsi="Arial" w:cs="Arial"/>
          <w:i/>
          <w:sz w:val="22"/>
          <w:szCs w:val="22"/>
        </w:rPr>
        <w:t>National Greenhouse Accounts</w:t>
      </w:r>
      <w:r w:rsidRPr="00883399">
        <w:rPr>
          <w:rFonts w:ascii="Arial" w:hAnsi="Arial" w:cs="Arial"/>
          <w:sz w:val="22"/>
          <w:szCs w:val="22"/>
        </w:rPr>
        <w:t xml:space="preserve">.  The use of methodologies from the </w:t>
      </w:r>
      <w:r w:rsidRPr="00883399">
        <w:rPr>
          <w:rFonts w:ascii="Arial" w:hAnsi="Arial" w:cs="Arial"/>
          <w:i/>
          <w:sz w:val="22"/>
          <w:szCs w:val="22"/>
        </w:rPr>
        <w:t xml:space="preserve">National Greenhouse Accounts </w:t>
      </w:r>
      <w:r w:rsidRPr="00883399">
        <w:rPr>
          <w:rFonts w:ascii="Arial" w:hAnsi="Arial" w:cs="Arial"/>
          <w:sz w:val="22"/>
          <w:szCs w:val="22"/>
        </w:rPr>
        <w:t>also</w:t>
      </w:r>
      <w:r w:rsidRPr="00883399">
        <w:rPr>
          <w:rFonts w:ascii="Arial" w:hAnsi="Arial" w:cs="Arial"/>
          <w:i/>
          <w:sz w:val="22"/>
          <w:szCs w:val="22"/>
        </w:rPr>
        <w:t xml:space="preserve"> </w:t>
      </w:r>
      <w:r w:rsidRPr="00883399">
        <w:rPr>
          <w:rFonts w:ascii="Arial" w:hAnsi="Arial" w:cs="Arial"/>
          <w:sz w:val="22"/>
          <w:szCs w:val="22"/>
        </w:rPr>
        <w:t>anchors Method 1 within the international guidelines adopted by the UN</w:t>
      </w:r>
      <w:r w:rsidR="00782D7F" w:rsidRPr="00883399">
        <w:rPr>
          <w:rFonts w:ascii="Arial" w:hAnsi="Arial" w:cs="Arial"/>
          <w:sz w:val="22"/>
          <w:szCs w:val="22"/>
        </w:rPr>
        <w:t>FCCC</w:t>
      </w:r>
      <w:r w:rsidRPr="00883399">
        <w:rPr>
          <w:rFonts w:ascii="Arial" w:hAnsi="Arial" w:cs="Arial"/>
          <w:sz w:val="22"/>
          <w:szCs w:val="22"/>
        </w:rPr>
        <w:t xml:space="preserve"> for the estimation of greenhouse emissions.  </w:t>
      </w:r>
    </w:p>
    <w:p w14:paraId="543235CE" w14:textId="77777777" w:rsidR="007261F7" w:rsidRPr="00883399" w:rsidRDefault="007261F7">
      <w:pPr>
        <w:spacing w:before="240" w:line="312" w:lineRule="auto"/>
        <w:rPr>
          <w:rFonts w:ascii="Arial" w:hAnsi="Arial" w:cs="Arial"/>
          <w:sz w:val="22"/>
          <w:szCs w:val="22"/>
        </w:rPr>
      </w:pPr>
      <w:r w:rsidRPr="00883399">
        <w:rPr>
          <w:rFonts w:ascii="Arial" w:hAnsi="Arial" w:cs="Arial"/>
          <w:sz w:val="22"/>
          <w:szCs w:val="22"/>
        </w:rPr>
        <w:t xml:space="preserve">Method 1 specifies the use of designated emission factors in the estimation of emissions. These emission factors are national average factors determined by the </w:t>
      </w:r>
      <w:r w:rsidR="009D0AA9" w:rsidRPr="00883399">
        <w:rPr>
          <w:rFonts w:ascii="Arial" w:hAnsi="Arial" w:cs="Arial"/>
          <w:sz w:val="22"/>
          <w:szCs w:val="22"/>
        </w:rPr>
        <w:t>Department of the Environment and Energy</w:t>
      </w:r>
      <w:r w:rsidR="00DD26FE" w:rsidRPr="00883399">
        <w:rPr>
          <w:rFonts w:ascii="Arial" w:hAnsi="Arial" w:cs="Arial"/>
          <w:sz w:val="22"/>
          <w:szCs w:val="22"/>
        </w:rPr>
        <w:t xml:space="preserve"> </w:t>
      </w:r>
      <w:r w:rsidRPr="00883399">
        <w:rPr>
          <w:rFonts w:ascii="Arial" w:hAnsi="Arial" w:cs="Arial"/>
          <w:sz w:val="22"/>
          <w:szCs w:val="22"/>
        </w:rPr>
        <w:t xml:space="preserve">using the Australian Greenhouse Emissions Information System (AGEIS).  </w:t>
      </w:r>
    </w:p>
    <w:p w14:paraId="2546FF4C" w14:textId="77777777" w:rsidR="007261F7" w:rsidRPr="00883399" w:rsidRDefault="007261F7">
      <w:pPr>
        <w:spacing w:before="240" w:line="312" w:lineRule="auto"/>
        <w:rPr>
          <w:rFonts w:ascii="Arial" w:hAnsi="Arial" w:cs="Arial"/>
          <w:sz w:val="22"/>
          <w:szCs w:val="22"/>
        </w:rPr>
      </w:pPr>
      <w:r w:rsidRPr="00883399">
        <w:rPr>
          <w:rFonts w:ascii="Arial" w:hAnsi="Arial" w:cs="Arial"/>
          <w:sz w:val="22"/>
          <w:szCs w:val="22"/>
        </w:rPr>
        <w:t xml:space="preserve">Method 1 is likely to be most useful for emission sources where the source is relatively homogenous, such as from the combustion of standard liquid fossil fuels, where the emissions resulting from combustion will be very similar across most facilities.  </w:t>
      </w:r>
    </w:p>
    <w:p w14:paraId="2FBCC9D2" w14:textId="77777777" w:rsidR="00395B3F" w:rsidRPr="00883399" w:rsidRDefault="007261F7" w:rsidP="00F265F0">
      <w:pPr>
        <w:spacing w:before="240" w:line="312" w:lineRule="auto"/>
        <w:rPr>
          <w:rFonts w:ascii="Arial" w:hAnsi="Arial" w:cs="Arial"/>
          <w:sz w:val="22"/>
          <w:szCs w:val="22"/>
        </w:rPr>
      </w:pPr>
      <w:r w:rsidRPr="00883399">
        <w:rPr>
          <w:rFonts w:ascii="Arial" w:hAnsi="Arial" w:cs="Arial"/>
          <w:sz w:val="22"/>
          <w:szCs w:val="22"/>
        </w:rPr>
        <w:lastRenderedPageBreak/>
        <w:t xml:space="preserve">Estimates of emissions will be able to be calculated under Method 1 by Reporters using tools provided by the </w:t>
      </w:r>
      <w:r w:rsidR="009D0AA9" w:rsidRPr="00883399">
        <w:rPr>
          <w:rFonts w:ascii="Arial" w:hAnsi="Arial" w:cs="Arial"/>
          <w:sz w:val="22"/>
          <w:szCs w:val="22"/>
        </w:rPr>
        <w:t>Department of the Environment and Energy</w:t>
      </w:r>
      <w:r w:rsidRPr="00883399">
        <w:rPr>
          <w:rFonts w:ascii="Arial" w:hAnsi="Arial" w:cs="Arial"/>
          <w:sz w:val="22"/>
          <w:szCs w:val="22"/>
        </w:rPr>
        <w:t>.</w:t>
      </w:r>
    </w:p>
    <w:p w14:paraId="78975481" w14:textId="77777777" w:rsidR="007261F7" w:rsidRPr="00883399" w:rsidRDefault="007261F7">
      <w:pPr>
        <w:spacing w:before="240" w:line="312" w:lineRule="auto"/>
        <w:rPr>
          <w:rFonts w:ascii="Arial" w:hAnsi="Arial" w:cs="Arial"/>
          <w:sz w:val="22"/>
          <w:szCs w:val="22"/>
        </w:rPr>
      </w:pPr>
      <w:r w:rsidRPr="00883399">
        <w:rPr>
          <w:rFonts w:ascii="Arial" w:hAnsi="Arial" w:cs="Arial"/>
          <w:b/>
          <w:sz w:val="22"/>
          <w:szCs w:val="22"/>
        </w:rPr>
        <w:t xml:space="preserve">Method 2: </w:t>
      </w:r>
      <w:r w:rsidR="002F3BDD" w:rsidRPr="00883399">
        <w:rPr>
          <w:rFonts w:ascii="Arial" w:hAnsi="Arial" w:cs="Arial"/>
          <w:b/>
          <w:sz w:val="22"/>
          <w:szCs w:val="22"/>
        </w:rPr>
        <w:t xml:space="preserve">generally </w:t>
      </w:r>
      <w:r w:rsidRPr="00883399">
        <w:rPr>
          <w:rFonts w:ascii="Arial" w:hAnsi="Arial" w:cs="Arial"/>
          <w:b/>
          <w:sz w:val="22"/>
          <w:szCs w:val="22"/>
        </w:rPr>
        <w:t>a facility-specific method using industry sampling and Australian or international standards listed in the Determination or equivalent for analysis</w:t>
      </w:r>
      <w:r w:rsidR="00F0128C" w:rsidRPr="00883399">
        <w:rPr>
          <w:rFonts w:ascii="Arial" w:hAnsi="Arial" w:cs="Arial"/>
          <w:b/>
          <w:sz w:val="22"/>
          <w:szCs w:val="22"/>
        </w:rPr>
        <w:t xml:space="preserve"> of fuels and raw materials to provide more accurate estimates of emissions at facility level.   </w:t>
      </w:r>
    </w:p>
    <w:p w14:paraId="6091C32F" w14:textId="77777777" w:rsidR="007261F7" w:rsidRPr="00883399" w:rsidRDefault="007261F7">
      <w:pPr>
        <w:spacing w:before="240" w:line="312" w:lineRule="auto"/>
        <w:rPr>
          <w:rFonts w:ascii="Arial" w:hAnsi="Arial" w:cs="Arial"/>
          <w:sz w:val="22"/>
          <w:szCs w:val="22"/>
        </w:rPr>
      </w:pPr>
      <w:r w:rsidRPr="00883399">
        <w:rPr>
          <w:rFonts w:ascii="Arial" w:hAnsi="Arial" w:cs="Arial"/>
          <w:sz w:val="22"/>
          <w:szCs w:val="22"/>
        </w:rPr>
        <w:t xml:space="preserve">Method 2 enables corporations to undertake additional measurements - for example, the qualities of fuels consumed at a particular facility - in order to gain more accurate estimates for emissions for that particular facility.  </w:t>
      </w:r>
    </w:p>
    <w:p w14:paraId="52F9D8AF" w14:textId="77777777" w:rsidR="007261F7" w:rsidRPr="00883399" w:rsidRDefault="007261F7">
      <w:pPr>
        <w:spacing w:before="240" w:line="312" w:lineRule="auto"/>
        <w:rPr>
          <w:rFonts w:ascii="Arial" w:hAnsi="Arial" w:cs="Arial"/>
          <w:sz w:val="22"/>
          <w:szCs w:val="22"/>
        </w:rPr>
      </w:pPr>
      <w:r w:rsidRPr="00883399">
        <w:rPr>
          <w:rFonts w:ascii="Arial" w:hAnsi="Arial" w:cs="Arial"/>
          <w:sz w:val="22"/>
          <w:szCs w:val="22"/>
        </w:rPr>
        <w:t>Method 2 draws on the large body of Australian and international documentary standards prepared by standards organisations to provide the benchmarks for procedures for the analysis of, typically, the critical chemical properties of the fuels being combusted.</w:t>
      </w:r>
    </w:p>
    <w:p w14:paraId="55FAA004" w14:textId="77777777" w:rsidR="007261F7" w:rsidRPr="00883399" w:rsidRDefault="007261F7">
      <w:pPr>
        <w:spacing w:before="240" w:line="312" w:lineRule="auto"/>
        <w:rPr>
          <w:rFonts w:ascii="Arial" w:hAnsi="Arial" w:cs="Arial"/>
          <w:sz w:val="22"/>
          <w:szCs w:val="22"/>
        </w:rPr>
      </w:pPr>
      <w:r w:rsidRPr="00883399">
        <w:rPr>
          <w:rFonts w:ascii="Arial" w:hAnsi="Arial" w:cs="Arial"/>
          <w:sz w:val="22"/>
          <w:szCs w:val="22"/>
        </w:rPr>
        <w:t xml:space="preserve">Method 2 is likely to be most useful for fuels which exhibit some variability in key qualities, such as carbon content, from source to source.  This is the case for coal in Australia.    </w:t>
      </w:r>
    </w:p>
    <w:p w14:paraId="0AD9AF9E" w14:textId="77777777" w:rsidR="007261F7" w:rsidRPr="00883399" w:rsidRDefault="007261F7">
      <w:pPr>
        <w:spacing w:before="240" w:line="312" w:lineRule="auto"/>
        <w:rPr>
          <w:rFonts w:ascii="Arial" w:hAnsi="Arial" w:cs="Arial"/>
          <w:sz w:val="22"/>
          <w:szCs w:val="22"/>
        </w:rPr>
      </w:pPr>
      <w:r w:rsidRPr="00883399">
        <w:rPr>
          <w:rFonts w:ascii="Arial" w:hAnsi="Arial" w:cs="Arial"/>
          <w:sz w:val="22"/>
          <w:szCs w:val="22"/>
        </w:rPr>
        <w:t xml:space="preserve">Method 2 is based on technical guidelines </w:t>
      </w:r>
      <w:r w:rsidR="002A10D1" w:rsidRPr="00883399">
        <w:rPr>
          <w:rFonts w:ascii="Arial" w:hAnsi="Arial" w:cs="Arial"/>
          <w:sz w:val="22"/>
          <w:szCs w:val="22"/>
        </w:rPr>
        <w:t xml:space="preserve">that were </w:t>
      </w:r>
      <w:r w:rsidRPr="00883399">
        <w:rPr>
          <w:rFonts w:ascii="Arial" w:hAnsi="Arial" w:cs="Arial"/>
          <w:sz w:val="22"/>
          <w:szCs w:val="22"/>
        </w:rPr>
        <w:t>used by reporters under the Generator Efficiency Standards program.  The possibility to report using this, higher order, approach is extended by the Determination from the electricity industry to all major consumers of fossil fuels.</w:t>
      </w:r>
    </w:p>
    <w:p w14:paraId="5C330508" w14:textId="77777777" w:rsidR="007261F7" w:rsidRPr="00883399" w:rsidRDefault="007261F7">
      <w:pPr>
        <w:spacing w:line="312" w:lineRule="auto"/>
        <w:rPr>
          <w:rFonts w:ascii="Arial" w:hAnsi="Arial" w:cs="Arial"/>
          <w:sz w:val="22"/>
          <w:szCs w:val="22"/>
        </w:rPr>
      </w:pPr>
    </w:p>
    <w:p w14:paraId="2C54EC6F" w14:textId="77777777" w:rsidR="007261F7" w:rsidRPr="00883399" w:rsidRDefault="007261F7">
      <w:pPr>
        <w:spacing w:line="312" w:lineRule="auto"/>
        <w:rPr>
          <w:rFonts w:ascii="Arial" w:hAnsi="Arial" w:cs="Arial"/>
          <w:b/>
          <w:sz w:val="22"/>
          <w:szCs w:val="22"/>
        </w:rPr>
      </w:pPr>
      <w:r w:rsidRPr="00883399">
        <w:rPr>
          <w:rFonts w:ascii="Arial" w:hAnsi="Arial" w:cs="Arial"/>
          <w:b/>
          <w:sz w:val="22"/>
          <w:szCs w:val="22"/>
        </w:rPr>
        <w:t xml:space="preserve">Method 3: </w:t>
      </w:r>
      <w:r w:rsidR="002F3BDD" w:rsidRPr="00883399">
        <w:rPr>
          <w:rFonts w:ascii="Arial" w:hAnsi="Arial" w:cs="Arial"/>
          <w:b/>
          <w:sz w:val="22"/>
          <w:szCs w:val="22"/>
        </w:rPr>
        <w:t xml:space="preserve">generally </w:t>
      </w:r>
      <w:r w:rsidRPr="00883399">
        <w:rPr>
          <w:rFonts w:ascii="Arial" w:hAnsi="Arial" w:cs="Arial"/>
          <w:b/>
          <w:sz w:val="22"/>
          <w:szCs w:val="22"/>
        </w:rPr>
        <w:t xml:space="preserve">a facility-specific method using Australian or international standards listed in the Determination or equivalent standards for both sampling and analysis of fuels and raw materials </w:t>
      </w:r>
    </w:p>
    <w:p w14:paraId="50FF20B6" w14:textId="77777777" w:rsidR="007261F7" w:rsidRPr="00883399" w:rsidRDefault="007261F7">
      <w:pPr>
        <w:spacing w:before="240" w:line="312" w:lineRule="auto"/>
        <w:rPr>
          <w:rFonts w:ascii="Arial" w:hAnsi="Arial" w:cs="Arial"/>
          <w:sz w:val="22"/>
          <w:szCs w:val="22"/>
        </w:rPr>
      </w:pPr>
      <w:r w:rsidRPr="00883399">
        <w:rPr>
          <w:rFonts w:ascii="Arial" w:hAnsi="Arial" w:cs="Arial"/>
          <w:sz w:val="22"/>
          <w:szCs w:val="22"/>
        </w:rPr>
        <w:t>Method 3 is very similar to Method 2, except that it requires, additionally, Reporters to comply with Australian or international documentary standards for sampling (of fuels or raw materials) or equivalent as well as documentary standards for the analysis of fuels.</w:t>
      </w:r>
    </w:p>
    <w:p w14:paraId="6696BD68" w14:textId="77777777" w:rsidR="00F265F0" w:rsidRPr="00883399" w:rsidRDefault="00F265F0">
      <w:pPr>
        <w:spacing w:before="240" w:line="312" w:lineRule="auto"/>
        <w:rPr>
          <w:rFonts w:ascii="Arial" w:hAnsi="Arial" w:cs="Arial"/>
          <w:sz w:val="22"/>
          <w:szCs w:val="22"/>
        </w:rPr>
      </w:pPr>
    </w:p>
    <w:p w14:paraId="3FED3013" w14:textId="77777777" w:rsidR="007261F7" w:rsidRPr="00883399" w:rsidRDefault="007261F7">
      <w:pPr>
        <w:spacing w:line="312" w:lineRule="auto"/>
        <w:rPr>
          <w:rFonts w:ascii="Arial" w:hAnsi="Arial" w:cs="Arial"/>
          <w:sz w:val="22"/>
          <w:szCs w:val="22"/>
        </w:rPr>
      </w:pPr>
    </w:p>
    <w:p w14:paraId="095A14F5" w14:textId="77777777" w:rsidR="007261F7" w:rsidRPr="00883399" w:rsidRDefault="007261F7">
      <w:pPr>
        <w:spacing w:line="312" w:lineRule="auto"/>
        <w:rPr>
          <w:rFonts w:ascii="Arial" w:hAnsi="Arial" w:cs="Arial"/>
          <w:b/>
          <w:sz w:val="22"/>
          <w:szCs w:val="22"/>
        </w:rPr>
      </w:pPr>
      <w:r w:rsidRPr="00883399">
        <w:rPr>
          <w:rFonts w:ascii="Arial" w:hAnsi="Arial" w:cs="Arial"/>
          <w:b/>
          <w:sz w:val="22"/>
          <w:szCs w:val="22"/>
        </w:rPr>
        <w:lastRenderedPageBreak/>
        <w:t xml:space="preserve">Method 4: direct monitoring of emission systems, either on a continuous or periodic basis. </w:t>
      </w:r>
    </w:p>
    <w:p w14:paraId="5FE2BC7D" w14:textId="77777777" w:rsidR="007261F7" w:rsidRPr="00883399" w:rsidRDefault="007261F7">
      <w:pPr>
        <w:spacing w:before="240" w:line="312" w:lineRule="auto"/>
        <w:rPr>
          <w:rFonts w:ascii="Arial" w:hAnsi="Arial" w:cs="Arial"/>
          <w:sz w:val="22"/>
          <w:szCs w:val="22"/>
        </w:rPr>
      </w:pPr>
      <w:r w:rsidRPr="00883399">
        <w:rPr>
          <w:rFonts w:ascii="Arial" w:hAnsi="Arial" w:cs="Arial"/>
          <w:sz w:val="22"/>
          <w:szCs w:val="22"/>
        </w:rPr>
        <w:t xml:space="preserve">Method 4 provides for a different approach to the estimation of emissions.  Rather than analysing the chemical properties of inputs (or in some case, products), </w:t>
      </w:r>
      <w:r w:rsidR="00F64C7F" w:rsidRPr="00883399">
        <w:rPr>
          <w:rFonts w:ascii="Arial" w:hAnsi="Arial" w:cs="Arial"/>
          <w:sz w:val="22"/>
          <w:szCs w:val="22"/>
        </w:rPr>
        <w:t>Method </w:t>
      </w:r>
      <w:r w:rsidRPr="00883399">
        <w:rPr>
          <w:rFonts w:ascii="Arial" w:hAnsi="Arial" w:cs="Arial"/>
          <w:sz w:val="22"/>
          <w:szCs w:val="22"/>
        </w:rPr>
        <w:t xml:space="preserve">4 provides approaches to enable direct monitoring of greenhouse </w:t>
      </w:r>
      <w:r w:rsidR="00C462D7" w:rsidRPr="00883399">
        <w:rPr>
          <w:rFonts w:ascii="Arial" w:hAnsi="Arial" w:cs="Arial"/>
          <w:sz w:val="22"/>
          <w:szCs w:val="22"/>
        </w:rPr>
        <w:t xml:space="preserve">gas </w:t>
      </w:r>
      <w:r w:rsidRPr="00883399">
        <w:rPr>
          <w:rFonts w:ascii="Arial" w:hAnsi="Arial" w:cs="Arial"/>
          <w:sz w:val="22"/>
          <w:szCs w:val="22"/>
        </w:rPr>
        <w:t>emissions arising from an activity.  This can provide a higher level of accuracy in certain circumstances, depending on the type of emission process although it is more data intensive than other approaches.  Such direct monitoring already occurs, for example, in underground coal mines reflecting the nature of the emission process and the importance of relatively accurate data to support health and safety objectives.</w:t>
      </w:r>
    </w:p>
    <w:p w14:paraId="1865FE2D" w14:textId="77777777" w:rsidR="007261F7" w:rsidRPr="00883399" w:rsidRDefault="007261F7">
      <w:pPr>
        <w:spacing w:before="240" w:line="312" w:lineRule="auto"/>
        <w:rPr>
          <w:rFonts w:ascii="Arial" w:hAnsi="Arial" w:cs="Arial"/>
          <w:sz w:val="22"/>
          <w:szCs w:val="22"/>
        </w:rPr>
      </w:pPr>
      <w:r w:rsidRPr="00883399">
        <w:rPr>
          <w:rFonts w:ascii="Arial" w:hAnsi="Arial" w:cs="Arial"/>
          <w:sz w:val="22"/>
          <w:szCs w:val="22"/>
        </w:rPr>
        <w:t>As for Methods 2 and 3, there is a substantial body of documented procedures on monitoring practices and state and territory government regulatory experience that provide the principal sources of guidance for the establishment of such systems.</w:t>
      </w:r>
    </w:p>
    <w:p w14:paraId="1BD4B401" w14:textId="77777777" w:rsidR="007261F7" w:rsidRPr="00883399" w:rsidRDefault="007261F7">
      <w:pPr>
        <w:spacing w:before="240" w:line="312" w:lineRule="auto"/>
        <w:rPr>
          <w:rFonts w:ascii="Arial" w:hAnsi="Arial" w:cs="Arial"/>
          <w:sz w:val="22"/>
          <w:szCs w:val="22"/>
        </w:rPr>
      </w:pPr>
      <w:r w:rsidRPr="00883399">
        <w:rPr>
          <w:rFonts w:ascii="Arial" w:hAnsi="Arial" w:cs="Arial"/>
          <w:sz w:val="22"/>
          <w:szCs w:val="22"/>
        </w:rPr>
        <w:t xml:space="preserve">It is intended that the Reporter may select different methods for each source.  For example, the Reporter may select different methods for different fuels and different methods for individual gases, subject to certain restrictions.  In part, these differences reflect Method availability.  For example, for solid fuels, only Method 1 has been provided for methane and nitrous oxide, reflecting the minor nature of the emission sources, whereas four methods are available for carbon dioxide. </w:t>
      </w:r>
    </w:p>
    <w:p w14:paraId="4A0A51EB" w14:textId="3E48AE34" w:rsidR="007B71BF" w:rsidRPr="00883399" w:rsidRDefault="007B71BF" w:rsidP="007B71BF">
      <w:pPr>
        <w:pStyle w:val="ActHead5"/>
        <w:rPr>
          <w:sz w:val="28"/>
        </w:rPr>
      </w:pPr>
      <w:bookmarkStart w:id="12" w:name="_Toc423516669"/>
      <w:bookmarkStart w:id="13" w:name="_Toc495652582"/>
      <w:r w:rsidRPr="00883399">
        <w:rPr>
          <w:rStyle w:val="CharSectno"/>
          <w:sz w:val="28"/>
        </w:rPr>
        <w:t>1.5</w:t>
      </w:r>
      <w:r w:rsidRPr="00883399">
        <w:rPr>
          <w:sz w:val="28"/>
        </w:rPr>
        <w:t xml:space="preserve">  Overview—energy</w:t>
      </w:r>
      <w:bookmarkEnd w:id="12"/>
      <w:bookmarkEnd w:id="13"/>
    </w:p>
    <w:p w14:paraId="08F5901F" w14:textId="77777777" w:rsidR="007261F7" w:rsidRPr="00883399" w:rsidRDefault="007261F7">
      <w:pPr>
        <w:spacing w:before="240" w:line="312" w:lineRule="auto"/>
        <w:rPr>
          <w:rFonts w:ascii="Arial" w:hAnsi="Arial" w:cs="Arial"/>
          <w:sz w:val="22"/>
          <w:szCs w:val="22"/>
        </w:rPr>
      </w:pPr>
      <w:r w:rsidRPr="00883399">
        <w:rPr>
          <w:rFonts w:ascii="Arial" w:hAnsi="Arial" w:cs="Arial"/>
          <w:sz w:val="22"/>
          <w:szCs w:val="22"/>
        </w:rPr>
        <w:t xml:space="preserve">Methods for the estimation of the energy content of fuels produced and </w:t>
      </w:r>
      <w:r w:rsidR="00B837E4" w:rsidRPr="00883399">
        <w:rPr>
          <w:rFonts w:ascii="Arial" w:hAnsi="Arial" w:cs="Arial"/>
          <w:sz w:val="22"/>
          <w:szCs w:val="22"/>
        </w:rPr>
        <w:t>fuels consumed are</w:t>
      </w:r>
      <w:r w:rsidRPr="00883399">
        <w:rPr>
          <w:rFonts w:ascii="Arial" w:hAnsi="Arial" w:cs="Arial"/>
          <w:sz w:val="22"/>
          <w:szCs w:val="22"/>
        </w:rPr>
        <w:t xml:space="preserve"> addressed in Chapter 6.  Data collected for the estimation of emissions from fuel combustion as set out in Chapter 2 will serve a dual purpose as the data for the consumption of energy.  Separate collections are required, however, for the quantities of production of energy which, in general, do not enter directly into emission estimations.</w:t>
      </w:r>
    </w:p>
    <w:p w14:paraId="4FA6B061" w14:textId="768468A6" w:rsidR="007B71BF" w:rsidRPr="00883399" w:rsidRDefault="007B71BF" w:rsidP="007B71BF">
      <w:pPr>
        <w:pStyle w:val="ActHead5"/>
        <w:rPr>
          <w:sz w:val="28"/>
        </w:rPr>
      </w:pPr>
      <w:bookmarkStart w:id="14" w:name="_Toc423516670"/>
      <w:bookmarkStart w:id="15" w:name="_Toc495652583"/>
      <w:r w:rsidRPr="00883399">
        <w:rPr>
          <w:rStyle w:val="CharSectno"/>
          <w:sz w:val="28"/>
        </w:rPr>
        <w:t>1.6</w:t>
      </w:r>
      <w:r w:rsidRPr="00883399">
        <w:rPr>
          <w:sz w:val="28"/>
        </w:rPr>
        <w:t xml:space="preserve">  Overview—scope 2 emissions</w:t>
      </w:r>
      <w:bookmarkEnd w:id="14"/>
      <w:bookmarkEnd w:id="15"/>
    </w:p>
    <w:p w14:paraId="48C95F24" w14:textId="77777777" w:rsidR="007261F7" w:rsidRPr="00883399" w:rsidRDefault="007261F7">
      <w:pPr>
        <w:spacing w:before="240" w:line="312" w:lineRule="auto"/>
        <w:rPr>
          <w:rFonts w:ascii="Arial" w:hAnsi="Arial" w:cs="Arial"/>
          <w:sz w:val="22"/>
          <w:szCs w:val="22"/>
        </w:rPr>
      </w:pPr>
      <w:r w:rsidRPr="00883399">
        <w:rPr>
          <w:rFonts w:ascii="Arial" w:hAnsi="Arial" w:cs="Arial"/>
          <w:sz w:val="22"/>
          <w:szCs w:val="22"/>
        </w:rPr>
        <w:t xml:space="preserve">These Guidelines principally deal with Scope 1 emissions. These are direct emissions that arise on-site from the activities of a corporation.  There are a wide variety of emission sources that require a range of procedures to be described to cover the complexity of the emission pathways.   </w:t>
      </w:r>
    </w:p>
    <w:p w14:paraId="7053C31D" w14:textId="01D72C36" w:rsidR="007261F7" w:rsidRPr="00883399" w:rsidRDefault="007261F7">
      <w:pPr>
        <w:spacing w:before="240" w:line="312" w:lineRule="auto"/>
        <w:rPr>
          <w:rFonts w:ascii="Arial" w:hAnsi="Arial" w:cs="Arial"/>
          <w:sz w:val="22"/>
          <w:szCs w:val="22"/>
        </w:rPr>
      </w:pPr>
      <w:r w:rsidRPr="00883399">
        <w:rPr>
          <w:rFonts w:ascii="Arial" w:hAnsi="Arial" w:cs="Arial"/>
          <w:sz w:val="22"/>
          <w:szCs w:val="22"/>
        </w:rPr>
        <w:lastRenderedPageBreak/>
        <w:t>Scope 2 emissions arise principally at an electricity generator</w:t>
      </w:r>
      <w:r w:rsidR="00334B68" w:rsidRPr="00883399">
        <w:rPr>
          <w:rFonts w:ascii="Arial" w:hAnsi="Arial" w:cs="Arial"/>
          <w:sz w:val="22"/>
          <w:szCs w:val="22"/>
        </w:rPr>
        <w:t xml:space="preserve">, or through the loss of electricity from an electricity transmission network or distribution network, </w:t>
      </w:r>
      <w:r w:rsidRPr="00883399">
        <w:rPr>
          <w:rFonts w:ascii="Arial" w:hAnsi="Arial" w:cs="Arial"/>
          <w:sz w:val="22"/>
          <w:szCs w:val="22"/>
        </w:rPr>
        <w:t>as a result of the purchase of electricity by a corporation.  The method for the estimation of scope 2 emissions</w:t>
      </w:r>
      <w:r w:rsidR="008D17FA" w:rsidRPr="00883399">
        <w:rPr>
          <w:rFonts w:ascii="Arial" w:hAnsi="Arial" w:cs="Arial"/>
          <w:sz w:val="22"/>
          <w:szCs w:val="22"/>
        </w:rPr>
        <w:t xml:space="preserve"> </w:t>
      </w:r>
      <w:r w:rsidRPr="00883399">
        <w:rPr>
          <w:rFonts w:ascii="Arial" w:hAnsi="Arial" w:cs="Arial"/>
          <w:sz w:val="22"/>
          <w:szCs w:val="22"/>
        </w:rPr>
        <w:t xml:space="preserve">is given in </w:t>
      </w:r>
      <w:r w:rsidR="001C5B40" w:rsidRPr="00883399">
        <w:rPr>
          <w:rFonts w:ascii="Arial" w:hAnsi="Arial" w:cs="Arial"/>
          <w:sz w:val="22"/>
          <w:szCs w:val="22"/>
        </w:rPr>
        <w:t>C</w:t>
      </w:r>
      <w:r w:rsidRPr="00883399">
        <w:rPr>
          <w:rFonts w:ascii="Arial" w:hAnsi="Arial" w:cs="Arial"/>
          <w:sz w:val="22"/>
          <w:szCs w:val="22"/>
        </w:rPr>
        <w:t xml:space="preserve">hapter 7.  </w:t>
      </w:r>
      <w:r w:rsidR="00686376" w:rsidRPr="00883399">
        <w:rPr>
          <w:rFonts w:ascii="Arial" w:hAnsi="Arial" w:cs="Arial"/>
          <w:sz w:val="22"/>
          <w:szCs w:val="22"/>
        </w:rPr>
        <w:t xml:space="preserve">Scope 2 emission factors for the consumption of purchased electricity from Australia’s major electricity grids </w:t>
      </w:r>
      <w:r w:rsidR="00687F9D" w:rsidRPr="00883399">
        <w:rPr>
          <w:rFonts w:ascii="Arial" w:hAnsi="Arial" w:cs="Arial"/>
          <w:sz w:val="22"/>
          <w:szCs w:val="22"/>
        </w:rPr>
        <w:t xml:space="preserve">are </w:t>
      </w:r>
      <w:r w:rsidRPr="00883399">
        <w:rPr>
          <w:rFonts w:ascii="Arial" w:hAnsi="Arial" w:cs="Arial"/>
          <w:sz w:val="22"/>
          <w:szCs w:val="22"/>
        </w:rPr>
        <w:t>updated annually to reflect the latest data on the mix of electricity generation sources, which is a major determinant of the factors.</w:t>
      </w:r>
    </w:p>
    <w:p w14:paraId="587123F9" w14:textId="6F4721EE" w:rsidR="007B71BF" w:rsidRPr="00883399" w:rsidRDefault="007B71BF" w:rsidP="007B71BF">
      <w:pPr>
        <w:pStyle w:val="ActHead5"/>
        <w:rPr>
          <w:sz w:val="28"/>
        </w:rPr>
      </w:pPr>
      <w:bookmarkStart w:id="16" w:name="_Toc423516671"/>
      <w:bookmarkStart w:id="17" w:name="_Toc495652584"/>
      <w:r w:rsidRPr="00883399">
        <w:rPr>
          <w:rStyle w:val="CharSectno"/>
          <w:sz w:val="28"/>
        </w:rPr>
        <w:t>1.7</w:t>
      </w:r>
      <w:r w:rsidRPr="00883399">
        <w:rPr>
          <w:sz w:val="28"/>
        </w:rPr>
        <w:t xml:space="preserve">  Overview—assessment of uncertainty</w:t>
      </w:r>
      <w:bookmarkEnd w:id="16"/>
      <w:bookmarkEnd w:id="17"/>
    </w:p>
    <w:p w14:paraId="077DEBCA" w14:textId="77777777" w:rsidR="007261F7" w:rsidRPr="00883399" w:rsidRDefault="007261F7">
      <w:pPr>
        <w:pStyle w:val="R1"/>
        <w:tabs>
          <w:tab w:val="clear" w:pos="794"/>
          <w:tab w:val="right" w:pos="-12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Chapter 8 deals with the assessment of </w:t>
      </w:r>
      <w:r w:rsidR="00C462D7" w:rsidRPr="00883399">
        <w:rPr>
          <w:rFonts w:ascii="Arial" w:hAnsi="Arial" w:cs="Arial"/>
          <w:sz w:val="22"/>
          <w:szCs w:val="22"/>
        </w:rPr>
        <w:t xml:space="preserve">statistical </w:t>
      </w:r>
      <w:r w:rsidRPr="00883399">
        <w:rPr>
          <w:rFonts w:ascii="Arial" w:hAnsi="Arial" w:cs="Arial"/>
          <w:sz w:val="22"/>
          <w:szCs w:val="22"/>
        </w:rPr>
        <w:t xml:space="preserve">uncertainty </w:t>
      </w:r>
      <w:r w:rsidR="00C462D7" w:rsidRPr="00883399">
        <w:rPr>
          <w:rFonts w:ascii="Arial" w:hAnsi="Arial" w:cs="Arial"/>
          <w:sz w:val="22"/>
          <w:szCs w:val="22"/>
        </w:rPr>
        <w:t>for scope 1</w:t>
      </w:r>
      <w:r w:rsidRPr="00883399">
        <w:rPr>
          <w:rFonts w:ascii="Arial" w:hAnsi="Arial" w:cs="Arial"/>
          <w:sz w:val="22"/>
          <w:szCs w:val="22"/>
        </w:rPr>
        <w:t xml:space="preserve"> emissions estimates. It is recognised that these calculations </w:t>
      </w:r>
      <w:r w:rsidR="002A5232" w:rsidRPr="00883399">
        <w:rPr>
          <w:rFonts w:ascii="Arial" w:hAnsi="Arial" w:cs="Arial"/>
          <w:sz w:val="22"/>
          <w:szCs w:val="22"/>
        </w:rPr>
        <w:t xml:space="preserve">of uncertainty can be </w:t>
      </w:r>
      <w:r w:rsidRPr="00883399">
        <w:rPr>
          <w:rFonts w:ascii="Arial" w:hAnsi="Arial" w:cs="Arial"/>
          <w:sz w:val="22"/>
          <w:szCs w:val="22"/>
        </w:rPr>
        <w:t xml:space="preserve">complex and relatively imprecise.  </w:t>
      </w:r>
      <w:r w:rsidR="00045D2C" w:rsidRPr="00883399">
        <w:rPr>
          <w:rFonts w:ascii="Arial" w:hAnsi="Arial" w:cs="Arial"/>
          <w:sz w:val="22"/>
          <w:szCs w:val="22"/>
        </w:rPr>
        <w:t>A</w:t>
      </w:r>
      <w:r w:rsidRPr="00883399">
        <w:rPr>
          <w:rFonts w:ascii="Arial" w:hAnsi="Arial" w:cs="Arial"/>
          <w:sz w:val="22"/>
          <w:szCs w:val="22"/>
        </w:rPr>
        <w:t xml:space="preserve"> standardised approach to estimation of uncertainty </w:t>
      </w:r>
      <w:r w:rsidR="002A5232" w:rsidRPr="00883399">
        <w:rPr>
          <w:rFonts w:ascii="Arial" w:hAnsi="Arial" w:cs="Arial"/>
          <w:sz w:val="22"/>
          <w:szCs w:val="22"/>
        </w:rPr>
        <w:t xml:space="preserve">of emissions estimates </w:t>
      </w:r>
      <w:r w:rsidR="00045D2C" w:rsidRPr="00883399">
        <w:rPr>
          <w:rFonts w:ascii="Arial" w:hAnsi="Arial" w:cs="Arial"/>
          <w:sz w:val="22"/>
          <w:szCs w:val="22"/>
        </w:rPr>
        <w:t xml:space="preserve">has </w:t>
      </w:r>
      <w:r w:rsidRPr="00883399">
        <w:rPr>
          <w:rFonts w:ascii="Arial" w:hAnsi="Arial" w:cs="Arial"/>
          <w:sz w:val="22"/>
          <w:szCs w:val="22"/>
        </w:rPr>
        <w:t xml:space="preserve">been provided in Chapter 8.  </w:t>
      </w:r>
    </w:p>
    <w:p w14:paraId="04CB602E" w14:textId="77777777" w:rsidR="00B85875" w:rsidRPr="00883399" w:rsidRDefault="00B85875" w:rsidP="00B85875">
      <w:pPr>
        <w:pStyle w:val="R1"/>
        <w:tabs>
          <w:tab w:val="clear" w:pos="794"/>
          <w:tab w:val="right" w:pos="-120"/>
        </w:tabs>
        <w:spacing w:before="240" w:line="312" w:lineRule="auto"/>
        <w:ind w:left="0" w:firstLine="0"/>
        <w:jc w:val="left"/>
        <w:rPr>
          <w:rFonts w:ascii="Arial" w:hAnsi="Arial" w:cs="Arial"/>
          <w:sz w:val="22"/>
          <w:szCs w:val="22"/>
        </w:rPr>
      </w:pPr>
      <w:r w:rsidRPr="00883399">
        <w:rPr>
          <w:rFonts w:ascii="Arial" w:hAnsi="Arial" w:cs="Arial"/>
          <w:sz w:val="22"/>
          <w:szCs w:val="22"/>
        </w:rPr>
        <w:t>Proposed changes to the NGER Regulations will only</w:t>
      </w:r>
      <w:r w:rsidR="006F04EC" w:rsidRPr="00883399">
        <w:rPr>
          <w:rFonts w:ascii="Arial" w:hAnsi="Arial" w:cs="Arial"/>
          <w:sz w:val="22"/>
          <w:szCs w:val="22"/>
        </w:rPr>
        <w:t xml:space="preserve"> require</w:t>
      </w:r>
      <w:r w:rsidRPr="00883399">
        <w:rPr>
          <w:rFonts w:ascii="Arial" w:hAnsi="Arial" w:cs="Arial"/>
          <w:sz w:val="22"/>
          <w:szCs w:val="22"/>
        </w:rPr>
        <w:t xml:space="preserve"> reporters with </w:t>
      </w:r>
      <w:r w:rsidR="00A7703E" w:rsidRPr="00883399">
        <w:rPr>
          <w:rFonts w:ascii="Arial" w:hAnsi="Arial" w:cs="Arial"/>
          <w:sz w:val="22"/>
          <w:szCs w:val="22"/>
        </w:rPr>
        <w:t>emissions of more than 25 kilotonnes of CO</w:t>
      </w:r>
      <w:r w:rsidR="00A7703E" w:rsidRPr="00883399">
        <w:rPr>
          <w:rFonts w:ascii="Arial" w:hAnsi="Arial" w:cs="Arial"/>
          <w:sz w:val="22"/>
          <w:szCs w:val="22"/>
          <w:vertAlign w:val="subscript"/>
        </w:rPr>
        <w:t>2</w:t>
      </w:r>
      <w:r w:rsidR="00A7703E" w:rsidRPr="00883399">
        <w:rPr>
          <w:rFonts w:ascii="Arial" w:hAnsi="Arial" w:cs="Arial"/>
          <w:sz w:val="22"/>
          <w:szCs w:val="22"/>
        </w:rPr>
        <w:t xml:space="preserve">-e from the combustion of a fuel type, or a source other than fuel combustion </w:t>
      </w:r>
      <w:r w:rsidRPr="00883399">
        <w:rPr>
          <w:rFonts w:ascii="Arial" w:hAnsi="Arial" w:cs="Arial"/>
          <w:sz w:val="22"/>
          <w:szCs w:val="22"/>
        </w:rPr>
        <w:t xml:space="preserve">to calculate and report the statistical uncertainty associated </w:t>
      </w:r>
      <w:r w:rsidR="006F04EC" w:rsidRPr="00883399">
        <w:rPr>
          <w:rFonts w:ascii="Arial" w:hAnsi="Arial" w:cs="Arial"/>
          <w:sz w:val="22"/>
          <w:szCs w:val="22"/>
        </w:rPr>
        <w:t>with their</w:t>
      </w:r>
      <w:r w:rsidRPr="00883399">
        <w:rPr>
          <w:rFonts w:ascii="Arial" w:hAnsi="Arial" w:cs="Arial"/>
          <w:sz w:val="22"/>
          <w:szCs w:val="22"/>
        </w:rPr>
        <w:t xml:space="preserve"> scope 1 emissions.</w:t>
      </w:r>
      <w:r w:rsidR="00A7703E" w:rsidRPr="00883399">
        <w:rPr>
          <w:rFonts w:ascii="Arial" w:hAnsi="Arial" w:cs="Arial"/>
          <w:sz w:val="22"/>
          <w:szCs w:val="22"/>
        </w:rPr>
        <w:t xml:space="preserve"> Sources are defined in section 1.10 of the Measurement Determination and fuel types are set out in Schedule 1 of the NGER Regulations.</w:t>
      </w:r>
    </w:p>
    <w:p w14:paraId="0935763E" w14:textId="41F48270" w:rsidR="007B71BF" w:rsidRPr="00883399" w:rsidRDefault="007B71BF" w:rsidP="007B71BF">
      <w:pPr>
        <w:pStyle w:val="ActHead3"/>
        <w:pageBreakBefore/>
        <w:rPr>
          <w:sz w:val="32"/>
        </w:rPr>
      </w:pPr>
      <w:bookmarkStart w:id="18" w:name="_Toc423516672"/>
      <w:bookmarkStart w:id="19" w:name="_Toc495652585"/>
      <w:r w:rsidRPr="00883399">
        <w:rPr>
          <w:rStyle w:val="CharDivNo"/>
          <w:sz w:val="32"/>
        </w:rPr>
        <w:lastRenderedPageBreak/>
        <w:t>Division 1.1.2</w:t>
      </w:r>
      <w:r w:rsidRPr="00883399">
        <w:rPr>
          <w:sz w:val="32"/>
        </w:rPr>
        <w:t>—</w:t>
      </w:r>
      <w:r w:rsidRPr="00883399">
        <w:rPr>
          <w:rStyle w:val="CharDivText"/>
          <w:sz w:val="32"/>
        </w:rPr>
        <w:t>Definitions and interpretation</w:t>
      </w:r>
      <w:bookmarkEnd w:id="18"/>
      <w:bookmarkEnd w:id="19"/>
    </w:p>
    <w:p w14:paraId="6305DE78" w14:textId="77777777" w:rsidR="007261F7" w:rsidRPr="00883399" w:rsidRDefault="007261F7">
      <w:pPr>
        <w:pStyle w:val="Text"/>
        <w:rPr>
          <w:rFonts w:ascii="Arial" w:hAnsi="Arial" w:cs="Arial"/>
          <w:sz w:val="22"/>
          <w:szCs w:val="22"/>
        </w:rPr>
      </w:pPr>
      <w:r w:rsidRPr="00883399">
        <w:rPr>
          <w:rFonts w:ascii="Arial" w:hAnsi="Arial" w:cs="Arial"/>
          <w:sz w:val="22"/>
          <w:szCs w:val="22"/>
        </w:rPr>
        <w:t xml:space="preserve">Definitions of key terms used in these Guidelines are to be found at </w:t>
      </w:r>
      <w:r w:rsidR="006A5EA8" w:rsidRPr="00883399">
        <w:rPr>
          <w:rFonts w:ascii="Arial" w:hAnsi="Arial" w:cs="Arial"/>
          <w:sz w:val="22"/>
          <w:szCs w:val="22"/>
        </w:rPr>
        <w:t>Appendix B</w:t>
      </w:r>
      <w:r w:rsidRPr="00883399">
        <w:rPr>
          <w:rFonts w:ascii="Arial" w:hAnsi="Arial" w:cs="Arial"/>
          <w:sz w:val="22"/>
          <w:szCs w:val="22"/>
        </w:rPr>
        <w:t xml:space="preserve">.  These definitions are drawn from both the Regulations and the Determination. </w:t>
      </w:r>
    </w:p>
    <w:p w14:paraId="73349967" w14:textId="77777777" w:rsidR="007261F7" w:rsidRPr="00883399" w:rsidRDefault="007261F7" w:rsidP="00AF5E0A">
      <w:pPr>
        <w:pStyle w:val="Text"/>
        <w:rPr>
          <w:rFonts w:ascii="Arial" w:hAnsi="Arial" w:cs="Arial"/>
          <w:sz w:val="22"/>
          <w:szCs w:val="22"/>
        </w:rPr>
      </w:pPr>
      <w:r w:rsidRPr="00883399">
        <w:rPr>
          <w:rFonts w:ascii="Arial" w:hAnsi="Arial" w:cs="Arial"/>
          <w:sz w:val="22"/>
          <w:szCs w:val="22"/>
        </w:rPr>
        <w:t>Many of the estimation methods reference documentary standards developed by, inter alia, standards organisations.  Section 1.9 indicates that any standard, instrument or other writing must have been in force at 1 July</w:t>
      </w:r>
      <w:r w:rsidR="00045D2C" w:rsidRPr="00883399">
        <w:rPr>
          <w:rFonts w:ascii="Arial" w:hAnsi="Arial" w:cs="Arial"/>
          <w:sz w:val="22"/>
          <w:szCs w:val="22"/>
        </w:rPr>
        <w:t xml:space="preserve"> </w:t>
      </w:r>
      <w:r w:rsidR="00D6272A" w:rsidRPr="00883399">
        <w:rPr>
          <w:rFonts w:ascii="Arial" w:hAnsi="Arial" w:cs="Arial"/>
          <w:sz w:val="22"/>
          <w:szCs w:val="22"/>
        </w:rPr>
        <w:t xml:space="preserve">2012 </w:t>
      </w:r>
      <w:r w:rsidRPr="00883399">
        <w:rPr>
          <w:rFonts w:ascii="Arial" w:hAnsi="Arial" w:cs="Arial"/>
          <w:sz w:val="22"/>
          <w:szCs w:val="22"/>
        </w:rPr>
        <w:t xml:space="preserve">to be applicable to an emissions estimation method.  This means that any standard or similar instrument released after 1 July </w:t>
      </w:r>
      <w:r w:rsidR="00D6272A" w:rsidRPr="00883399">
        <w:rPr>
          <w:rFonts w:ascii="Arial" w:hAnsi="Arial" w:cs="Arial"/>
          <w:sz w:val="22"/>
          <w:szCs w:val="22"/>
        </w:rPr>
        <w:t xml:space="preserve">2012 </w:t>
      </w:r>
      <w:r w:rsidR="002A5232" w:rsidRPr="00883399">
        <w:rPr>
          <w:rFonts w:ascii="Arial" w:hAnsi="Arial" w:cs="Arial"/>
          <w:sz w:val="22"/>
          <w:szCs w:val="22"/>
        </w:rPr>
        <w:t xml:space="preserve">is </w:t>
      </w:r>
      <w:r w:rsidRPr="00883399">
        <w:rPr>
          <w:rFonts w:ascii="Arial" w:hAnsi="Arial" w:cs="Arial"/>
          <w:sz w:val="22"/>
          <w:szCs w:val="22"/>
        </w:rPr>
        <w:t xml:space="preserve">not able to be referenced in a higher-order method.  However, it is intended that the Determination will be reviewed at periodic intervals to consider recognition of such newly developed documentary standards. </w:t>
      </w:r>
    </w:p>
    <w:p w14:paraId="43EDEF44" w14:textId="540EC30C" w:rsidR="007B71BF" w:rsidRPr="00883399" w:rsidRDefault="007B71BF" w:rsidP="007B71BF">
      <w:pPr>
        <w:pStyle w:val="ActHead5"/>
        <w:rPr>
          <w:sz w:val="28"/>
        </w:rPr>
      </w:pPr>
      <w:bookmarkStart w:id="20" w:name="_Toc423516674"/>
      <w:bookmarkStart w:id="21" w:name="_Toc495652586"/>
      <w:r w:rsidRPr="00883399">
        <w:rPr>
          <w:rStyle w:val="CharSectno"/>
          <w:sz w:val="28"/>
        </w:rPr>
        <w:t>1.9</w:t>
      </w:r>
      <w:r w:rsidRPr="00883399">
        <w:rPr>
          <w:sz w:val="28"/>
        </w:rPr>
        <w:t xml:space="preserve">  Interpretation</w:t>
      </w:r>
      <w:bookmarkEnd w:id="20"/>
      <w:bookmarkEnd w:id="21"/>
    </w:p>
    <w:p w14:paraId="1A00DE72" w14:textId="77777777" w:rsidR="007261F7" w:rsidRPr="00883399" w:rsidRDefault="007261F7">
      <w:pPr>
        <w:pStyle w:val="R1"/>
      </w:pPr>
      <w:r w:rsidRPr="00883399">
        <w:tab/>
        <w:t>(1)</w:t>
      </w:r>
      <w:r w:rsidRPr="00883399">
        <w:tab/>
        <w:t xml:space="preserve">In this Determination, a reference to </w:t>
      </w:r>
      <w:r w:rsidRPr="00883399">
        <w:rPr>
          <w:b/>
          <w:i/>
        </w:rPr>
        <w:t>emissions</w:t>
      </w:r>
      <w:r w:rsidRPr="00883399">
        <w:t xml:space="preserve"> is a reference to emissions of greenhouse gases.</w:t>
      </w:r>
    </w:p>
    <w:p w14:paraId="2E626D9E" w14:textId="77777777" w:rsidR="007261F7" w:rsidRPr="00883399" w:rsidRDefault="007261F7">
      <w:pPr>
        <w:pStyle w:val="R2"/>
      </w:pPr>
      <w:r w:rsidRPr="00883399">
        <w:tab/>
        <w:t>(2)</w:t>
      </w:r>
      <w:r w:rsidRPr="00883399">
        <w:tab/>
        <w:t xml:space="preserve">In this Determination, a reference to a </w:t>
      </w:r>
      <w:r w:rsidRPr="00883399">
        <w:rPr>
          <w:b/>
          <w:i/>
        </w:rPr>
        <w:t>gas type (j)</w:t>
      </w:r>
      <w:r w:rsidRPr="00883399">
        <w:t xml:space="preserve"> is a reference to a greenhouse gas.</w:t>
      </w:r>
    </w:p>
    <w:p w14:paraId="111414B4" w14:textId="77777777" w:rsidR="007261F7" w:rsidRPr="00883399" w:rsidRDefault="007261F7">
      <w:pPr>
        <w:pStyle w:val="R2"/>
      </w:pPr>
      <w:r w:rsidRPr="00883399">
        <w:tab/>
        <w:t>(3)</w:t>
      </w:r>
      <w:r w:rsidRPr="00883399">
        <w:tab/>
        <w:t xml:space="preserve">In this Determination, a reference to a facility that is </w:t>
      </w:r>
      <w:r w:rsidRPr="00883399">
        <w:rPr>
          <w:b/>
          <w:i/>
        </w:rPr>
        <w:t xml:space="preserve">constituted </w:t>
      </w:r>
      <w:r w:rsidRPr="00883399">
        <w:t>by an activity is a reference to the facility being constituted in whole or in part by the activity.</w:t>
      </w:r>
    </w:p>
    <w:p w14:paraId="4A6AE9BF" w14:textId="77777777" w:rsidR="007261F7" w:rsidRPr="00883399" w:rsidRDefault="007261F7">
      <w:pPr>
        <w:pStyle w:val="Note"/>
      </w:pPr>
      <w:r w:rsidRPr="00883399">
        <w:rPr>
          <w:i/>
        </w:rPr>
        <w:t>Note   </w:t>
      </w:r>
      <w:r w:rsidRPr="00883399">
        <w:t>Section 9 of the Act defines a facility as an activity or series of activities.</w:t>
      </w:r>
    </w:p>
    <w:p w14:paraId="0296329C" w14:textId="77777777" w:rsidR="007261F7" w:rsidRPr="00883399" w:rsidRDefault="007261F7">
      <w:pPr>
        <w:pStyle w:val="R2"/>
      </w:pPr>
      <w:r w:rsidRPr="00883399">
        <w:tab/>
        <w:t>(4)</w:t>
      </w:r>
      <w:r w:rsidRPr="00883399">
        <w:tab/>
        <w:t xml:space="preserve">In this Determination, a reference to a standard, instrument or other writing (other than a Commonwealth Act or Regulations) however described, is a reference to that standard, instrument or other writing as in force on </w:t>
      </w:r>
      <w:r w:rsidR="00D6272A" w:rsidRPr="00883399">
        <w:t>1 July 201</w:t>
      </w:r>
      <w:r w:rsidR="0054210A" w:rsidRPr="00883399">
        <w:t>4</w:t>
      </w:r>
      <w:r w:rsidRPr="00883399">
        <w:t>.</w:t>
      </w:r>
    </w:p>
    <w:p w14:paraId="57204590" w14:textId="2CC212A4" w:rsidR="007B71BF" w:rsidRPr="00883399" w:rsidRDefault="007B71BF" w:rsidP="007B71BF">
      <w:pPr>
        <w:pStyle w:val="ActHead5"/>
        <w:rPr>
          <w:i/>
          <w:sz w:val="28"/>
        </w:rPr>
      </w:pPr>
      <w:bookmarkStart w:id="22" w:name="_Toc423516675"/>
      <w:bookmarkStart w:id="23" w:name="_Toc495652587"/>
      <w:r w:rsidRPr="00883399">
        <w:rPr>
          <w:rStyle w:val="CharSectno"/>
          <w:sz w:val="28"/>
        </w:rPr>
        <w:t>1.9A</w:t>
      </w:r>
      <w:r w:rsidRPr="00883399">
        <w:rPr>
          <w:sz w:val="28"/>
        </w:rPr>
        <w:t xml:space="preserve">  Meaning of </w:t>
      </w:r>
      <w:r w:rsidRPr="00883399">
        <w:rPr>
          <w:i/>
          <w:sz w:val="28"/>
        </w:rPr>
        <w:t>separate instance of a source</w:t>
      </w:r>
      <w:bookmarkEnd w:id="22"/>
      <w:bookmarkEnd w:id="23"/>
    </w:p>
    <w:p w14:paraId="0C199CAE" w14:textId="77777777" w:rsidR="00317550" w:rsidRPr="00883399" w:rsidRDefault="006E493F" w:rsidP="00317550">
      <w:pPr>
        <w:pStyle w:val="subsection"/>
        <w:rPr>
          <w:sz w:val="24"/>
        </w:rPr>
      </w:pPr>
      <w:r w:rsidRPr="00883399">
        <w:tab/>
      </w:r>
      <w:r w:rsidR="00317550" w:rsidRPr="00883399">
        <w:rPr>
          <w:sz w:val="24"/>
        </w:rPr>
        <w:tab/>
        <w:t>If 2 or more different activities of a facility have the same source of emissions, each activity is taken to be a separate instance of the source if the activity is performed by a class of equipment different from that used by another activity.</w:t>
      </w:r>
    </w:p>
    <w:p w14:paraId="4D9C70E3" w14:textId="77777777" w:rsidR="00317550" w:rsidRPr="00883399" w:rsidRDefault="00317550" w:rsidP="00317550">
      <w:pPr>
        <w:pStyle w:val="notetext"/>
        <w:rPr>
          <w:sz w:val="20"/>
        </w:rPr>
      </w:pPr>
      <w:r w:rsidRPr="00883399">
        <w:rPr>
          <w:sz w:val="20"/>
        </w:rPr>
        <w:t>Example:</w:t>
      </w:r>
      <w:r w:rsidRPr="00883399">
        <w:rPr>
          <w:sz w:val="20"/>
        </w:rPr>
        <w:tab/>
        <w:t>The combustion of liquefied petroleum gas in the engines of distribution vehicles of the facility operator and the combustion of liquid petroleum fuel in lawn mowers at the facility, although the activities have the same source of emissions, are taken to be a separate instance of the source as the activities are different and the class of equipment used to perform the activities are different.</w:t>
      </w:r>
    </w:p>
    <w:p w14:paraId="05A39EB8" w14:textId="77777777" w:rsidR="00A7703E" w:rsidRPr="00883399" w:rsidRDefault="00A7703E" w:rsidP="00317550">
      <w:pPr>
        <w:pStyle w:val="R2"/>
      </w:pPr>
      <w:r w:rsidRPr="00883399">
        <w:tab/>
      </w:r>
    </w:p>
    <w:p w14:paraId="710C9BAF" w14:textId="483ECE6B" w:rsidR="007B71BF" w:rsidRPr="00883399" w:rsidRDefault="007B71BF" w:rsidP="007B71BF">
      <w:pPr>
        <w:pStyle w:val="ActHead5"/>
        <w:rPr>
          <w:b w:val="0"/>
          <w:sz w:val="28"/>
        </w:rPr>
      </w:pPr>
      <w:bookmarkStart w:id="24" w:name="_Toc423516676"/>
      <w:bookmarkStart w:id="25" w:name="_Toc495652588"/>
      <w:r w:rsidRPr="00883399">
        <w:rPr>
          <w:rStyle w:val="CharSectno"/>
          <w:sz w:val="28"/>
        </w:rPr>
        <w:lastRenderedPageBreak/>
        <w:t>1.9B</w:t>
      </w:r>
      <w:r w:rsidRPr="00883399">
        <w:rPr>
          <w:sz w:val="28"/>
        </w:rPr>
        <w:t xml:space="preserve">  Meaning of </w:t>
      </w:r>
      <w:r w:rsidRPr="00883399">
        <w:rPr>
          <w:i/>
          <w:sz w:val="28"/>
        </w:rPr>
        <w:t>separate occurrence of a source</w:t>
      </w:r>
      <w:bookmarkEnd w:id="24"/>
      <w:bookmarkEnd w:id="25"/>
    </w:p>
    <w:p w14:paraId="0BBD742D" w14:textId="77777777" w:rsidR="00317550" w:rsidRPr="00883399" w:rsidRDefault="00317550" w:rsidP="00317550">
      <w:pPr>
        <w:pStyle w:val="subsection"/>
        <w:rPr>
          <w:sz w:val="24"/>
        </w:rPr>
      </w:pPr>
      <w:bookmarkStart w:id="26" w:name="_Toc423516677"/>
      <w:r w:rsidRPr="00883399">
        <w:rPr>
          <w:sz w:val="24"/>
        </w:rPr>
        <w:tab/>
        <w:t>(1)</w:t>
      </w:r>
      <w:r w:rsidRPr="00883399">
        <w:rPr>
          <w:sz w:val="24"/>
        </w:rPr>
        <w:tab/>
        <w:t>If 2 or more things at a facility have the same source of emissions, each thing may be treated as a separate occurrence of the source.</w:t>
      </w:r>
    </w:p>
    <w:p w14:paraId="7E1E8F87" w14:textId="77777777" w:rsidR="00317550" w:rsidRPr="00883399" w:rsidRDefault="00317550" w:rsidP="00317550">
      <w:pPr>
        <w:pStyle w:val="notetext"/>
        <w:rPr>
          <w:sz w:val="20"/>
        </w:rPr>
      </w:pPr>
      <w:r w:rsidRPr="00883399">
        <w:rPr>
          <w:sz w:val="20"/>
        </w:rPr>
        <w:t>Example:</w:t>
      </w:r>
      <w:r w:rsidRPr="00883399">
        <w:rPr>
          <w:sz w:val="20"/>
        </w:rPr>
        <w:tab/>
        <w:t>The combustion of unprocessed natural gas in 2 or more gas flares at a facility may be treated as a separate occurrence of the source (natural gas production or processing—flaring).</w:t>
      </w:r>
    </w:p>
    <w:p w14:paraId="75751C2F" w14:textId="77777777" w:rsidR="00317550" w:rsidRPr="00883399" w:rsidRDefault="00317550" w:rsidP="00317550">
      <w:pPr>
        <w:pStyle w:val="subsection"/>
        <w:rPr>
          <w:sz w:val="24"/>
        </w:rPr>
      </w:pPr>
      <w:r w:rsidRPr="00883399">
        <w:rPr>
          <w:sz w:val="24"/>
        </w:rPr>
        <w:tab/>
        <w:t>(2)</w:t>
      </w:r>
      <w:r w:rsidRPr="00883399">
        <w:rPr>
          <w:sz w:val="24"/>
        </w:rPr>
        <w:tab/>
        <w:t>If a thing at a facility uses 2 or more energy types, each energy type may be treated as a separate occurrence of the source.</w:t>
      </w:r>
    </w:p>
    <w:p w14:paraId="28C737E1" w14:textId="77777777" w:rsidR="00317550" w:rsidRPr="00883399" w:rsidRDefault="00317550" w:rsidP="00317550">
      <w:pPr>
        <w:pStyle w:val="notetext"/>
        <w:rPr>
          <w:sz w:val="20"/>
        </w:rPr>
      </w:pPr>
      <w:r w:rsidRPr="00883399">
        <w:rPr>
          <w:sz w:val="20"/>
        </w:rPr>
        <w:t>Example:</w:t>
      </w:r>
      <w:r w:rsidRPr="00883399">
        <w:rPr>
          <w:sz w:val="20"/>
        </w:rPr>
        <w:tab/>
        <w:t>The combustion of diesel and petrol in a vehicle at a facility may be treated as a separate occurrence of the source (fuel combustion).</w:t>
      </w:r>
    </w:p>
    <w:p w14:paraId="7DB76F80" w14:textId="19710E76" w:rsidR="007B71BF" w:rsidRPr="00883399" w:rsidRDefault="007B71BF" w:rsidP="007B71BF">
      <w:pPr>
        <w:pStyle w:val="ActHead5"/>
        <w:rPr>
          <w:sz w:val="28"/>
        </w:rPr>
      </w:pPr>
      <w:bookmarkStart w:id="27" w:name="_Toc495652589"/>
      <w:r w:rsidRPr="00883399">
        <w:rPr>
          <w:rStyle w:val="CharSectno"/>
          <w:sz w:val="28"/>
        </w:rPr>
        <w:t>1.10</w:t>
      </w:r>
      <w:r w:rsidRPr="00883399">
        <w:rPr>
          <w:sz w:val="28"/>
        </w:rPr>
        <w:t xml:space="preserve">  Meaning of </w:t>
      </w:r>
      <w:r w:rsidRPr="00883399">
        <w:rPr>
          <w:i/>
          <w:sz w:val="28"/>
        </w:rPr>
        <w:t>source</w:t>
      </w:r>
      <w:bookmarkEnd w:id="26"/>
      <w:bookmarkEnd w:id="27"/>
    </w:p>
    <w:p w14:paraId="013D8D9F" w14:textId="77777777" w:rsidR="00E25ABD" w:rsidRPr="00883399" w:rsidRDefault="00552D2E">
      <w:pPr>
        <w:pStyle w:val="R2"/>
        <w:keepLines w:val="0"/>
        <w:tabs>
          <w:tab w:val="clear" w:pos="794"/>
        </w:tabs>
        <w:spacing w:before="240" w:line="312" w:lineRule="auto"/>
        <w:ind w:left="0" w:firstLine="0"/>
        <w:jc w:val="left"/>
        <w:rPr>
          <w:rFonts w:ascii="Arial" w:hAnsi="Arial" w:cs="Arial"/>
          <w:sz w:val="22"/>
          <w:szCs w:val="22"/>
        </w:rPr>
      </w:pPr>
      <w:r w:rsidRPr="00883399">
        <w:rPr>
          <w:rFonts w:ascii="Arial" w:hAnsi="Arial" w:cs="Arial"/>
          <w:sz w:val="22"/>
          <w:szCs w:val="22"/>
        </w:rPr>
        <w:t>S</w:t>
      </w:r>
      <w:r w:rsidR="00AF5E0A" w:rsidRPr="00883399">
        <w:rPr>
          <w:rFonts w:ascii="Arial" w:hAnsi="Arial" w:cs="Arial"/>
          <w:sz w:val="22"/>
          <w:szCs w:val="22"/>
        </w:rPr>
        <w:t xml:space="preserve">ources </w:t>
      </w:r>
      <w:r w:rsidRPr="00883399">
        <w:rPr>
          <w:rFonts w:ascii="Arial" w:hAnsi="Arial" w:cs="Arial"/>
          <w:sz w:val="22"/>
          <w:szCs w:val="22"/>
        </w:rPr>
        <w:t xml:space="preserve">of emissions </w:t>
      </w:r>
      <w:r w:rsidR="00AF5E0A" w:rsidRPr="00883399">
        <w:rPr>
          <w:rFonts w:ascii="Arial" w:hAnsi="Arial" w:cs="Arial"/>
          <w:sz w:val="22"/>
          <w:szCs w:val="22"/>
        </w:rPr>
        <w:t xml:space="preserve">are </w:t>
      </w:r>
      <w:r w:rsidR="00555E83" w:rsidRPr="00883399">
        <w:rPr>
          <w:rFonts w:ascii="Arial" w:hAnsi="Arial" w:cs="Arial"/>
          <w:sz w:val="22"/>
          <w:szCs w:val="22"/>
        </w:rPr>
        <w:t xml:space="preserve">based </w:t>
      </w:r>
      <w:r w:rsidRPr="00883399">
        <w:rPr>
          <w:rFonts w:ascii="Arial" w:hAnsi="Arial" w:cs="Arial"/>
          <w:sz w:val="22"/>
          <w:szCs w:val="22"/>
        </w:rPr>
        <w:t>on</w:t>
      </w:r>
      <w:r w:rsidR="00AF5E0A" w:rsidRPr="00883399">
        <w:rPr>
          <w:rFonts w:ascii="Arial" w:hAnsi="Arial" w:cs="Arial"/>
          <w:sz w:val="22"/>
          <w:szCs w:val="22"/>
        </w:rPr>
        <w:t xml:space="preserve"> those provided in the </w:t>
      </w:r>
      <w:r w:rsidR="00AF5E0A" w:rsidRPr="00883399">
        <w:rPr>
          <w:rFonts w:ascii="Arial" w:hAnsi="Arial" w:cs="Arial"/>
          <w:i/>
          <w:sz w:val="22"/>
          <w:szCs w:val="22"/>
        </w:rPr>
        <w:t>IPCC</w:t>
      </w:r>
      <w:r w:rsidR="00AF5E0A" w:rsidRPr="00883399">
        <w:rPr>
          <w:rFonts w:ascii="Arial" w:hAnsi="Arial" w:cs="Arial"/>
          <w:sz w:val="22"/>
          <w:szCs w:val="22"/>
        </w:rPr>
        <w:t xml:space="preserve"> </w:t>
      </w:r>
      <w:r w:rsidR="00AF5E0A" w:rsidRPr="00883399">
        <w:rPr>
          <w:rFonts w:ascii="Arial" w:hAnsi="Arial" w:cs="Arial"/>
          <w:i/>
          <w:sz w:val="22"/>
          <w:szCs w:val="22"/>
        </w:rPr>
        <w:t>Guidelines for National Greenhouse Gas Inventories</w:t>
      </w:r>
      <w:r w:rsidR="00132145" w:rsidRPr="00883399">
        <w:rPr>
          <w:rFonts w:ascii="Arial" w:hAnsi="Arial" w:cs="Arial"/>
          <w:i/>
          <w:sz w:val="22"/>
          <w:szCs w:val="22"/>
        </w:rPr>
        <w:t xml:space="preserve"> </w:t>
      </w:r>
      <w:r w:rsidR="00AF7516" w:rsidRPr="00883399">
        <w:rPr>
          <w:rFonts w:ascii="Arial" w:hAnsi="Arial" w:cs="Arial"/>
          <w:sz w:val="22"/>
          <w:szCs w:val="22"/>
        </w:rPr>
        <w:t>and are defined in</w:t>
      </w:r>
      <w:r w:rsidR="00132145" w:rsidRPr="00883399">
        <w:rPr>
          <w:rFonts w:ascii="Arial" w:hAnsi="Arial" w:cs="Arial"/>
          <w:sz w:val="22"/>
          <w:szCs w:val="22"/>
        </w:rPr>
        <w:t xml:space="preserve"> the Determination</w:t>
      </w:r>
      <w:r w:rsidRPr="00883399">
        <w:rPr>
          <w:rFonts w:ascii="Arial" w:hAnsi="Arial" w:cs="Arial"/>
          <w:sz w:val="22"/>
          <w:szCs w:val="22"/>
        </w:rPr>
        <w:t>.</w:t>
      </w:r>
      <w:r w:rsidR="00EA31EF" w:rsidRPr="00883399">
        <w:rPr>
          <w:rFonts w:ascii="Arial" w:hAnsi="Arial" w:cs="Arial"/>
          <w:sz w:val="22"/>
          <w:szCs w:val="22"/>
        </w:rPr>
        <w:t xml:space="preserve"> </w:t>
      </w:r>
      <w:r w:rsidR="00AF7516" w:rsidRPr="00883399">
        <w:rPr>
          <w:rFonts w:ascii="Arial" w:hAnsi="Arial" w:cs="Arial"/>
          <w:sz w:val="22"/>
          <w:szCs w:val="22"/>
        </w:rPr>
        <w:t xml:space="preserve">The categories of source </w:t>
      </w:r>
      <w:r w:rsidR="00132145" w:rsidRPr="00883399">
        <w:rPr>
          <w:rFonts w:ascii="Arial" w:hAnsi="Arial" w:cs="Arial"/>
          <w:sz w:val="22"/>
          <w:szCs w:val="22"/>
        </w:rPr>
        <w:t xml:space="preserve">are listed </w:t>
      </w:r>
      <w:r w:rsidR="00AF7516" w:rsidRPr="00883399">
        <w:rPr>
          <w:rFonts w:ascii="Arial" w:hAnsi="Arial" w:cs="Arial"/>
          <w:sz w:val="22"/>
          <w:szCs w:val="22"/>
        </w:rPr>
        <w:t xml:space="preserve">in the table </w:t>
      </w:r>
      <w:r w:rsidR="00132145" w:rsidRPr="00883399">
        <w:rPr>
          <w:rFonts w:ascii="Arial" w:hAnsi="Arial" w:cs="Arial"/>
          <w:sz w:val="22"/>
          <w:szCs w:val="22"/>
        </w:rPr>
        <w:t xml:space="preserve">below and </w:t>
      </w:r>
      <w:r w:rsidR="00AF7516" w:rsidRPr="00883399">
        <w:rPr>
          <w:rFonts w:ascii="Arial" w:hAnsi="Arial" w:cs="Arial"/>
          <w:sz w:val="22"/>
          <w:szCs w:val="22"/>
        </w:rPr>
        <w:t>also correspond to a chapter heading in the Determination while the source of emissions in column 3 relate to the divisions within the chapters.</w:t>
      </w:r>
    </w:p>
    <w:p w14:paraId="316EB3A7" w14:textId="77777777" w:rsidR="004D0833" w:rsidRPr="00883399" w:rsidRDefault="004D0833" w:rsidP="00A20D18">
      <w:pPr>
        <w:pStyle w:val="R2"/>
      </w:pPr>
    </w:p>
    <w:tbl>
      <w:tblPr>
        <w:tblW w:w="0" w:type="auto"/>
        <w:tblInd w:w="1068" w:type="dxa"/>
        <w:tblLook w:val="0000" w:firstRow="0" w:lastRow="0" w:firstColumn="0" w:lastColumn="0" w:noHBand="0" w:noVBand="0"/>
      </w:tblPr>
      <w:tblGrid>
        <w:gridCol w:w="749"/>
        <w:gridCol w:w="2229"/>
        <w:gridCol w:w="4267"/>
      </w:tblGrid>
      <w:tr w:rsidR="00A20D18" w:rsidRPr="00883399" w14:paraId="2EE74388" w14:textId="77777777" w:rsidTr="00A34A43">
        <w:trPr>
          <w:cantSplit/>
          <w:tblHeader/>
        </w:trPr>
        <w:tc>
          <w:tcPr>
            <w:tcW w:w="749" w:type="dxa"/>
            <w:tcBorders>
              <w:bottom w:val="single" w:sz="4" w:space="0" w:color="auto"/>
            </w:tcBorders>
          </w:tcPr>
          <w:p w14:paraId="7EEECB8E" w14:textId="77777777" w:rsidR="00A20D18" w:rsidRPr="00883399" w:rsidRDefault="00A20D18" w:rsidP="00A34A43">
            <w:pPr>
              <w:pStyle w:val="TableColHead"/>
            </w:pPr>
            <w:r w:rsidRPr="00883399">
              <w:t>Item</w:t>
            </w:r>
          </w:p>
        </w:tc>
        <w:tc>
          <w:tcPr>
            <w:tcW w:w="2251" w:type="dxa"/>
            <w:tcBorders>
              <w:bottom w:val="single" w:sz="4" w:space="0" w:color="auto"/>
            </w:tcBorders>
          </w:tcPr>
          <w:p w14:paraId="2A0413A4" w14:textId="77777777" w:rsidR="00A20D18" w:rsidRPr="00883399" w:rsidRDefault="00A20D18" w:rsidP="00A34A43">
            <w:pPr>
              <w:pStyle w:val="TableColHead"/>
            </w:pPr>
            <w:r w:rsidRPr="00883399">
              <w:t>Category of source</w:t>
            </w:r>
          </w:p>
        </w:tc>
        <w:tc>
          <w:tcPr>
            <w:tcW w:w="4320" w:type="dxa"/>
            <w:tcBorders>
              <w:bottom w:val="single" w:sz="4" w:space="0" w:color="auto"/>
            </w:tcBorders>
          </w:tcPr>
          <w:p w14:paraId="79723EFC" w14:textId="77777777" w:rsidR="00A20D18" w:rsidRPr="00883399" w:rsidRDefault="00A20D18" w:rsidP="00A34A43">
            <w:pPr>
              <w:pStyle w:val="TableColHead"/>
            </w:pPr>
            <w:r w:rsidRPr="00883399">
              <w:t>Source of emissions</w:t>
            </w:r>
          </w:p>
        </w:tc>
      </w:tr>
      <w:tr w:rsidR="00A20D18" w:rsidRPr="00883399" w14:paraId="6BB3B0A3" w14:textId="77777777" w:rsidTr="00A34A43">
        <w:trPr>
          <w:cantSplit/>
        </w:trPr>
        <w:tc>
          <w:tcPr>
            <w:tcW w:w="749" w:type="dxa"/>
            <w:tcBorders>
              <w:top w:val="single" w:sz="4" w:space="0" w:color="auto"/>
            </w:tcBorders>
          </w:tcPr>
          <w:p w14:paraId="79168727" w14:textId="77777777" w:rsidR="00A20D18" w:rsidRPr="00883399" w:rsidRDefault="00A20D18" w:rsidP="00A34A43">
            <w:pPr>
              <w:pStyle w:val="TableText"/>
              <w:ind w:left="227"/>
            </w:pPr>
            <w:r w:rsidRPr="00883399">
              <w:t>1</w:t>
            </w:r>
          </w:p>
        </w:tc>
        <w:tc>
          <w:tcPr>
            <w:tcW w:w="2251" w:type="dxa"/>
            <w:tcBorders>
              <w:top w:val="single" w:sz="4" w:space="0" w:color="auto"/>
            </w:tcBorders>
          </w:tcPr>
          <w:p w14:paraId="704BDFB2" w14:textId="77777777" w:rsidR="00A20D18" w:rsidRPr="00883399" w:rsidRDefault="00A20D18" w:rsidP="00A34A43">
            <w:pPr>
              <w:pStyle w:val="TableText"/>
              <w:rPr>
                <w:szCs w:val="22"/>
              </w:rPr>
            </w:pPr>
            <w:r w:rsidRPr="00883399">
              <w:rPr>
                <w:szCs w:val="22"/>
              </w:rPr>
              <w:t>Fuel combustion</w:t>
            </w:r>
          </w:p>
        </w:tc>
        <w:tc>
          <w:tcPr>
            <w:tcW w:w="4320" w:type="dxa"/>
            <w:tcBorders>
              <w:top w:val="single" w:sz="4" w:space="0" w:color="auto"/>
            </w:tcBorders>
          </w:tcPr>
          <w:p w14:paraId="29D1ABAC" w14:textId="77777777" w:rsidR="00A20D18" w:rsidRPr="00883399" w:rsidRDefault="00A20D18" w:rsidP="00A34A43">
            <w:pPr>
              <w:pStyle w:val="TableText"/>
              <w:rPr>
                <w:szCs w:val="22"/>
              </w:rPr>
            </w:pPr>
          </w:p>
        </w:tc>
      </w:tr>
      <w:tr w:rsidR="00A20D18" w:rsidRPr="00883399" w14:paraId="0555D5EC" w14:textId="77777777" w:rsidTr="00A34A43">
        <w:trPr>
          <w:cantSplit/>
        </w:trPr>
        <w:tc>
          <w:tcPr>
            <w:tcW w:w="749" w:type="dxa"/>
          </w:tcPr>
          <w:p w14:paraId="678C3E2C" w14:textId="77777777" w:rsidR="00A20D18" w:rsidRPr="00883399" w:rsidRDefault="00A20D18" w:rsidP="00A34A43">
            <w:pPr>
              <w:pStyle w:val="TableText"/>
              <w:ind w:left="227"/>
            </w:pPr>
            <w:r w:rsidRPr="00883399">
              <w:t>1A</w:t>
            </w:r>
          </w:p>
        </w:tc>
        <w:tc>
          <w:tcPr>
            <w:tcW w:w="2251" w:type="dxa"/>
          </w:tcPr>
          <w:p w14:paraId="0A39F9A0" w14:textId="77777777" w:rsidR="00A20D18" w:rsidRPr="00883399" w:rsidRDefault="00A20D18" w:rsidP="00A34A43">
            <w:pPr>
              <w:pStyle w:val="TableText"/>
              <w:rPr>
                <w:szCs w:val="22"/>
              </w:rPr>
            </w:pPr>
          </w:p>
        </w:tc>
        <w:tc>
          <w:tcPr>
            <w:tcW w:w="4320" w:type="dxa"/>
          </w:tcPr>
          <w:p w14:paraId="6D2A2838" w14:textId="77777777" w:rsidR="00A20D18" w:rsidRPr="00883399" w:rsidRDefault="009823F5" w:rsidP="00A34A43">
            <w:pPr>
              <w:pStyle w:val="TableText"/>
              <w:rPr>
                <w:szCs w:val="22"/>
              </w:rPr>
            </w:pPr>
            <w:r w:rsidRPr="00883399">
              <w:rPr>
                <w:szCs w:val="22"/>
              </w:rPr>
              <w:t>Fuel combustion</w:t>
            </w:r>
          </w:p>
        </w:tc>
      </w:tr>
      <w:tr w:rsidR="00A20D18" w:rsidRPr="00883399" w14:paraId="36B4FFC3" w14:textId="77777777" w:rsidTr="00A34A43">
        <w:trPr>
          <w:cantSplit/>
        </w:trPr>
        <w:tc>
          <w:tcPr>
            <w:tcW w:w="749" w:type="dxa"/>
          </w:tcPr>
          <w:p w14:paraId="48FC6FAA" w14:textId="77777777" w:rsidR="00A20D18" w:rsidRPr="00883399" w:rsidRDefault="00A20D18" w:rsidP="00A34A43">
            <w:pPr>
              <w:pStyle w:val="TableText"/>
              <w:spacing w:before="160"/>
              <w:ind w:left="227"/>
            </w:pPr>
            <w:r w:rsidRPr="00883399">
              <w:t>2</w:t>
            </w:r>
          </w:p>
        </w:tc>
        <w:tc>
          <w:tcPr>
            <w:tcW w:w="2251" w:type="dxa"/>
          </w:tcPr>
          <w:p w14:paraId="175497B0" w14:textId="77777777" w:rsidR="00A20D18" w:rsidRPr="00883399" w:rsidRDefault="00A20D18" w:rsidP="00A34A43">
            <w:pPr>
              <w:pStyle w:val="TableText"/>
              <w:spacing w:before="160"/>
              <w:rPr>
                <w:szCs w:val="22"/>
              </w:rPr>
            </w:pPr>
            <w:r w:rsidRPr="00883399">
              <w:rPr>
                <w:szCs w:val="22"/>
              </w:rPr>
              <w:t>Fugitive emissions</w:t>
            </w:r>
          </w:p>
        </w:tc>
        <w:tc>
          <w:tcPr>
            <w:tcW w:w="4320" w:type="dxa"/>
          </w:tcPr>
          <w:p w14:paraId="234C06FE" w14:textId="77777777" w:rsidR="00A20D18" w:rsidRPr="00883399" w:rsidRDefault="00A20D18" w:rsidP="00A34A43">
            <w:pPr>
              <w:pStyle w:val="TableText"/>
              <w:spacing w:before="160"/>
              <w:rPr>
                <w:szCs w:val="22"/>
              </w:rPr>
            </w:pPr>
          </w:p>
        </w:tc>
      </w:tr>
      <w:tr w:rsidR="00A20D18" w:rsidRPr="00883399" w14:paraId="06CF3E74" w14:textId="77777777" w:rsidTr="00A34A43">
        <w:trPr>
          <w:cantSplit/>
        </w:trPr>
        <w:tc>
          <w:tcPr>
            <w:tcW w:w="749" w:type="dxa"/>
          </w:tcPr>
          <w:p w14:paraId="58C4AC3D" w14:textId="77777777" w:rsidR="00A20D18" w:rsidRPr="00883399" w:rsidRDefault="00A20D18" w:rsidP="00A34A43">
            <w:pPr>
              <w:pStyle w:val="TableText"/>
              <w:ind w:left="227"/>
            </w:pPr>
            <w:r w:rsidRPr="00883399">
              <w:t>2A</w:t>
            </w:r>
          </w:p>
        </w:tc>
        <w:tc>
          <w:tcPr>
            <w:tcW w:w="2251" w:type="dxa"/>
          </w:tcPr>
          <w:p w14:paraId="0C10762E" w14:textId="77777777" w:rsidR="00A20D18" w:rsidRPr="00883399" w:rsidRDefault="00A20D18" w:rsidP="00A34A43">
            <w:pPr>
              <w:pStyle w:val="TableText"/>
              <w:rPr>
                <w:szCs w:val="22"/>
              </w:rPr>
            </w:pPr>
          </w:p>
        </w:tc>
        <w:tc>
          <w:tcPr>
            <w:tcW w:w="4320" w:type="dxa"/>
          </w:tcPr>
          <w:p w14:paraId="6E928A44" w14:textId="77777777" w:rsidR="00A20D18" w:rsidRPr="00883399" w:rsidRDefault="00A20D18" w:rsidP="00A34A43">
            <w:pPr>
              <w:pStyle w:val="TableText"/>
              <w:rPr>
                <w:szCs w:val="22"/>
              </w:rPr>
            </w:pPr>
            <w:r w:rsidRPr="00883399">
              <w:rPr>
                <w:szCs w:val="22"/>
              </w:rPr>
              <w:t>Underground mines</w:t>
            </w:r>
          </w:p>
        </w:tc>
      </w:tr>
      <w:tr w:rsidR="00A20D18" w:rsidRPr="00883399" w14:paraId="20054AC7" w14:textId="77777777" w:rsidTr="00A34A43">
        <w:trPr>
          <w:cantSplit/>
        </w:trPr>
        <w:tc>
          <w:tcPr>
            <w:tcW w:w="749" w:type="dxa"/>
          </w:tcPr>
          <w:p w14:paraId="579BA368" w14:textId="77777777" w:rsidR="00A20D18" w:rsidRPr="00883399" w:rsidRDefault="00A20D18" w:rsidP="00A34A43">
            <w:pPr>
              <w:pStyle w:val="TableText"/>
              <w:ind w:left="227"/>
            </w:pPr>
            <w:r w:rsidRPr="00883399">
              <w:t>2B</w:t>
            </w:r>
          </w:p>
        </w:tc>
        <w:tc>
          <w:tcPr>
            <w:tcW w:w="2251" w:type="dxa"/>
          </w:tcPr>
          <w:p w14:paraId="08D8C0A0" w14:textId="77777777" w:rsidR="00A20D18" w:rsidRPr="00883399" w:rsidRDefault="00A20D18" w:rsidP="00A34A43">
            <w:pPr>
              <w:pStyle w:val="TableText"/>
              <w:rPr>
                <w:szCs w:val="22"/>
              </w:rPr>
            </w:pPr>
          </w:p>
        </w:tc>
        <w:tc>
          <w:tcPr>
            <w:tcW w:w="4320" w:type="dxa"/>
          </w:tcPr>
          <w:p w14:paraId="7E62668E" w14:textId="77777777" w:rsidR="00A20D18" w:rsidRPr="00883399" w:rsidRDefault="00A20D18" w:rsidP="00A34A43">
            <w:pPr>
              <w:pStyle w:val="TableText"/>
              <w:rPr>
                <w:szCs w:val="22"/>
              </w:rPr>
            </w:pPr>
            <w:r w:rsidRPr="00883399">
              <w:rPr>
                <w:szCs w:val="22"/>
              </w:rPr>
              <w:t xml:space="preserve">Open cut mines </w:t>
            </w:r>
          </w:p>
        </w:tc>
      </w:tr>
      <w:tr w:rsidR="00A20D18" w:rsidRPr="00883399" w14:paraId="2A17F35F" w14:textId="77777777" w:rsidTr="00A34A43">
        <w:trPr>
          <w:cantSplit/>
        </w:trPr>
        <w:tc>
          <w:tcPr>
            <w:tcW w:w="749" w:type="dxa"/>
          </w:tcPr>
          <w:p w14:paraId="06126B12" w14:textId="77777777" w:rsidR="00A20D18" w:rsidRPr="00883399" w:rsidRDefault="00A20D18" w:rsidP="00A34A43">
            <w:pPr>
              <w:pStyle w:val="TableText"/>
              <w:ind w:left="227"/>
            </w:pPr>
            <w:r w:rsidRPr="00883399">
              <w:t>2C</w:t>
            </w:r>
          </w:p>
        </w:tc>
        <w:tc>
          <w:tcPr>
            <w:tcW w:w="2251" w:type="dxa"/>
          </w:tcPr>
          <w:p w14:paraId="0BA23C8D" w14:textId="77777777" w:rsidR="00A20D18" w:rsidRPr="00883399" w:rsidRDefault="00A20D18" w:rsidP="00A34A43">
            <w:pPr>
              <w:pStyle w:val="TableText"/>
              <w:rPr>
                <w:szCs w:val="22"/>
              </w:rPr>
            </w:pPr>
          </w:p>
        </w:tc>
        <w:tc>
          <w:tcPr>
            <w:tcW w:w="4320" w:type="dxa"/>
          </w:tcPr>
          <w:p w14:paraId="69F9AABD" w14:textId="77777777" w:rsidR="00A20D18" w:rsidRPr="00883399" w:rsidRDefault="00A20D18" w:rsidP="00A34A43">
            <w:pPr>
              <w:pStyle w:val="TableText"/>
              <w:rPr>
                <w:szCs w:val="22"/>
              </w:rPr>
            </w:pPr>
            <w:r w:rsidRPr="00883399">
              <w:rPr>
                <w:szCs w:val="22"/>
              </w:rPr>
              <w:t>Decommissioned underground mines</w:t>
            </w:r>
          </w:p>
        </w:tc>
      </w:tr>
      <w:tr w:rsidR="00A20D18" w:rsidRPr="00883399" w14:paraId="5DAFF3FF" w14:textId="77777777" w:rsidTr="00A34A43">
        <w:trPr>
          <w:cantSplit/>
        </w:trPr>
        <w:tc>
          <w:tcPr>
            <w:tcW w:w="749" w:type="dxa"/>
          </w:tcPr>
          <w:p w14:paraId="73E04DC3" w14:textId="77777777" w:rsidR="00A20D18" w:rsidRPr="00883399" w:rsidRDefault="00A20D18" w:rsidP="00A34A43">
            <w:pPr>
              <w:pStyle w:val="TableText"/>
              <w:ind w:left="227"/>
            </w:pPr>
            <w:r w:rsidRPr="00883399">
              <w:t>2D</w:t>
            </w:r>
          </w:p>
        </w:tc>
        <w:tc>
          <w:tcPr>
            <w:tcW w:w="2251" w:type="dxa"/>
          </w:tcPr>
          <w:p w14:paraId="7F143243" w14:textId="77777777" w:rsidR="00A20D18" w:rsidRPr="00883399" w:rsidRDefault="00A20D18" w:rsidP="00A34A43">
            <w:pPr>
              <w:pStyle w:val="TableText"/>
              <w:rPr>
                <w:szCs w:val="22"/>
              </w:rPr>
            </w:pPr>
          </w:p>
        </w:tc>
        <w:tc>
          <w:tcPr>
            <w:tcW w:w="4320" w:type="dxa"/>
          </w:tcPr>
          <w:p w14:paraId="44D9416E" w14:textId="77777777" w:rsidR="00A20D18" w:rsidRPr="00883399" w:rsidRDefault="00A20D18" w:rsidP="00A34A43">
            <w:pPr>
              <w:pStyle w:val="TableText"/>
              <w:rPr>
                <w:szCs w:val="22"/>
              </w:rPr>
            </w:pPr>
            <w:r w:rsidRPr="00883399">
              <w:rPr>
                <w:szCs w:val="22"/>
              </w:rPr>
              <w:t>Oil or gas exploration</w:t>
            </w:r>
          </w:p>
        </w:tc>
      </w:tr>
      <w:tr w:rsidR="00A20D18" w:rsidRPr="00883399" w14:paraId="49D778F7" w14:textId="77777777" w:rsidTr="00A34A43">
        <w:trPr>
          <w:cantSplit/>
        </w:trPr>
        <w:tc>
          <w:tcPr>
            <w:tcW w:w="749" w:type="dxa"/>
          </w:tcPr>
          <w:p w14:paraId="42307213" w14:textId="77777777" w:rsidR="00A20D18" w:rsidRPr="00883399" w:rsidRDefault="00A20D18" w:rsidP="00A34A43">
            <w:pPr>
              <w:pStyle w:val="TableText"/>
              <w:ind w:left="227"/>
            </w:pPr>
            <w:r w:rsidRPr="00883399">
              <w:t>2E</w:t>
            </w:r>
          </w:p>
        </w:tc>
        <w:tc>
          <w:tcPr>
            <w:tcW w:w="2251" w:type="dxa"/>
          </w:tcPr>
          <w:p w14:paraId="57952715" w14:textId="77777777" w:rsidR="00A20D18" w:rsidRPr="00883399" w:rsidRDefault="00A20D18" w:rsidP="00A34A43">
            <w:pPr>
              <w:pStyle w:val="TableText"/>
              <w:rPr>
                <w:szCs w:val="22"/>
              </w:rPr>
            </w:pPr>
          </w:p>
        </w:tc>
        <w:tc>
          <w:tcPr>
            <w:tcW w:w="4320" w:type="dxa"/>
          </w:tcPr>
          <w:p w14:paraId="100924DA" w14:textId="77777777" w:rsidR="00A20D18" w:rsidRPr="00883399" w:rsidRDefault="00A20D18" w:rsidP="00A34A43">
            <w:pPr>
              <w:pStyle w:val="TableText"/>
              <w:rPr>
                <w:szCs w:val="22"/>
              </w:rPr>
            </w:pPr>
            <w:r w:rsidRPr="00883399">
              <w:rPr>
                <w:szCs w:val="22"/>
              </w:rPr>
              <w:t>Crude oil production</w:t>
            </w:r>
          </w:p>
        </w:tc>
      </w:tr>
      <w:tr w:rsidR="00A20D18" w:rsidRPr="00883399" w14:paraId="10A2CC1E" w14:textId="77777777" w:rsidTr="00A34A43">
        <w:trPr>
          <w:cantSplit/>
        </w:trPr>
        <w:tc>
          <w:tcPr>
            <w:tcW w:w="749" w:type="dxa"/>
          </w:tcPr>
          <w:p w14:paraId="6A48774A" w14:textId="77777777" w:rsidR="00A20D18" w:rsidRPr="00883399" w:rsidRDefault="00A20D18" w:rsidP="00A34A43">
            <w:pPr>
              <w:pStyle w:val="TableText"/>
              <w:ind w:left="227"/>
            </w:pPr>
            <w:r w:rsidRPr="00883399">
              <w:t>2F</w:t>
            </w:r>
          </w:p>
        </w:tc>
        <w:tc>
          <w:tcPr>
            <w:tcW w:w="2251" w:type="dxa"/>
          </w:tcPr>
          <w:p w14:paraId="791550BC" w14:textId="77777777" w:rsidR="00A20D18" w:rsidRPr="00883399" w:rsidRDefault="00A20D18" w:rsidP="00A34A43">
            <w:pPr>
              <w:pStyle w:val="TableText"/>
              <w:rPr>
                <w:szCs w:val="22"/>
              </w:rPr>
            </w:pPr>
          </w:p>
        </w:tc>
        <w:tc>
          <w:tcPr>
            <w:tcW w:w="4320" w:type="dxa"/>
          </w:tcPr>
          <w:p w14:paraId="41C729FE" w14:textId="77777777" w:rsidR="00A20D18" w:rsidRPr="00883399" w:rsidRDefault="00A20D18" w:rsidP="00A34A43">
            <w:pPr>
              <w:pStyle w:val="TableText"/>
              <w:rPr>
                <w:szCs w:val="22"/>
              </w:rPr>
            </w:pPr>
            <w:r w:rsidRPr="00883399">
              <w:rPr>
                <w:szCs w:val="22"/>
              </w:rPr>
              <w:t>Crude oil transport</w:t>
            </w:r>
          </w:p>
        </w:tc>
      </w:tr>
      <w:tr w:rsidR="00A20D18" w:rsidRPr="00883399" w14:paraId="5792699D" w14:textId="77777777" w:rsidTr="00A34A43">
        <w:trPr>
          <w:cantSplit/>
        </w:trPr>
        <w:tc>
          <w:tcPr>
            <w:tcW w:w="749" w:type="dxa"/>
          </w:tcPr>
          <w:p w14:paraId="507D6261" w14:textId="77777777" w:rsidR="00A20D18" w:rsidRPr="00883399" w:rsidRDefault="00A20D18" w:rsidP="00A34A43">
            <w:pPr>
              <w:pStyle w:val="TableText"/>
              <w:ind w:left="227"/>
            </w:pPr>
            <w:r w:rsidRPr="00883399">
              <w:t>2G</w:t>
            </w:r>
          </w:p>
        </w:tc>
        <w:tc>
          <w:tcPr>
            <w:tcW w:w="2251" w:type="dxa"/>
          </w:tcPr>
          <w:p w14:paraId="75340804" w14:textId="77777777" w:rsidR="00A20D18" w:rsidRPr="00883399" w:rsidRDefault="00A20D18" w:rsidP="00A34A43">
            <w:pPr>
              <w:pStyle w:val="TableText"/>
              <w:rPr>
                <w:szCs w:val="22"/>
              </w:rPr>
            </w:pPr>
          </w:p>
        </w:tc>
        <w:tc>
          <w:tcPr>
            <w:tcW w:w="4320" w:type="dxa"/>
          </w:tcPr>
          <w:p w14:paraId="6824670E" w14:textId="77777777" w:rsidR="00A20D18" w:rsidRPr="00883399" w:rsidRDefault="00A20D18" w:rsidP="00A34A43">
            <w:pPr>
              <w:pStyle w:val="TableText"/>
              <w:rPr>
                <w:szCs w:val="22"/>
              </w:rPr>
            </w:pPr>
            <w:r w:rsidRPr="00883399">
              <w:rPr>
                <w:szCs w:val="22"/>
              </w:rPr>
              <w:t>Crude oil refining</w:t>
            </w:r>
          </w:p>
        </w:tc>
      </w:tr>
      <w:tr w:rsidR="00A20D18" w:rsidRPr="00883399" w14:paraId="78C095BF" w14:textId="77777777" w:rsidTr="00A34A43">
        <w:trPr>
          <w:cantSplit/>
        </w:trPr>
        <w:tc>
          <w:tcPr>
            <w:tcW w:w="749" w:type="dxa"/>
          </w:tcPr>
          <w:p w14:paraId="26EA8A99" w14:textId="77777777" w:rsidR="00A20D18" w:rsidRPr="00883399" w:rsidRDefault="00A20D18" w:rsidP="00A34A43">
            <w:pPr>
              <w:pStyle w:val="TableText"/>
              <w:ind w:left="227"/>
            </w:pPr>
            <w:r w:rsidRPr="00883399">
              <w:t>2H</w:t>
            </w:r>
          </w:p>
        </w:tc>
        <w:tc>
          <w:tcPr>
            <w:tcW w:w="2251" w:type="dxa"/>
          </w:tcPr>
          <w:p w14:paraId="0ED3CBE7" w14:textId="77777777" w:rsidR="00A20D18" w:rsidRPr="00883399" w:rsidRDefault="00A20D18" w:rsidP="00A34A43">
            <w:pPr>
              <w:pStyle w:val="TableText"/>
              <w:rPr>
                <w:szCs w:val="22"/>
              </w:rPr>
            </w:pPr>
          </w:p>
        </w:tc>
        <w:tc>
          <w:tcPr>
            <w:tcW w:w="4320" w:type="dxa"/>
          </w:tcPr>
          <w:p w14:paraId="6E4218DC" w14:textId="77777777" w:rsidR="00A20D18" w:rsidRPr="00883399" w:rsidRDefault="00A20D18" w:rsidP="00A34A43">
            <w:pPr>
              <w:pStyle w:val="TableText"/>
              <w:rPr>
                <w:szCs w:val="22"/>
              </w:rPr>
            </w:pPr>
            <w:r w:rsidRPr="00883399">
              <w:rPr>
                <w:szCs w:val="22"/>
              </w:rPr>
              <w:t>Natural gas production or processing (other than emissions that are vented or flared)</w:t>
            </w:r>
          </w:p>
        </w:tc>
      </w:tr>
      <w:tr w:rsidR="00A20D18" w:rsidRPr="00883399" w14:paraId="24EB9108" w14:textId="77777777" w:rsidTr="00A34A43">
        <w:trPr>
          <w:cantSplit/>
        </w:trPr>
        <w:tc>
          <w:tcPr>
            <w:tcW w:w="749" w:type="dxa"/>
          </w:tcPr>
          <w:p w14:paraId="0F3DBAE6" w14:textId="77777777" w:rsidR="00A20D18" w:rsidRPr="00883399" w:rsidRDefault="00A20D18" w:rsidP="00A34A43">
            <w:pPr>
              <w:pStyle w:val="TableText"/>
              <w:ind w:left="227"/>
            </w:pPr>
            <w:r w:rsidRPr="00883399">
              <w:t>2I</w:t>
            </w:r>
          </w:p>
        </w:tc>
        <w:tc>
          <w:tcPr>
            <w:tcW w:w="2251" w:type="dxa"/>
          </w:tcPr>
          <w:p w14:paraId="4E37BC6E" w14:textId="77777777" w:rsidR="00A20D18" w:rsidRPr="00883399" w:rsidRDefault="00A20D18" w:rsidP="00A34A43">
            <w:pPr>
              <w:pStyle w:val="TableText"/>
              <w:rPr>
                <w:szCs w:val="22"/>
              </w:rPr>
            </w:pPr>
          </w:p>
        </w:tc>
        <w:tc>
          <w:tcPr>
            <w:tcW w:w="4320" w:type="dxa"/>
          </w:tcPr>
          <w:p w14:paraId="4B44AE9D" w14:textId="77777777" w:rsidR="00A20D18" w:rsidRPr="00883399" w:rsidRDefault="00A20D18" w:rsidP="00A34A43">
            <w:pPr>
              <w:pStyle w:val="TableText"/>
              <w:rPr>
                <w:szCs w:val="22"/>
              </w:rPr>
            </w:pPr>
            <w:r w:rsidRPr="00883399">
              <w:rPr>
                <w:szCs w:val="22"/>
              </w:rPr>
              <w:t>Natural gas transmission</w:t>
            </w:r>
          </w:p>
        </w:tc>
      </w:tr>
      <w:tr w:rsidR="00A20D18" w:rsidRPr="00883399" w14:paraId="555FDCA9" w14:textId="77777777" w:rsidTr="00A34A43">
        <w:trPr>
          <w:cantSplit/>
        </w:trPr>
        <w:tc>
          <w:tcPr>
            <w:tcW w:w="749" w:type="dxa"/>
          </w:tcPr>
          <w:p w14:paraId="7C27AB22" w14:textId="77777777" w:rsidR="00A20D18" w:rsidRPr="00883399" w:rsidRDefault="00A20D18" w:rsidP="00A34A43">
            <w:pPr>
              <w:pStyle w:val="TableText"/>
              <w:ind w:left="227"/>
            </w:pPr>
            <w:r w:rsidRPr="00883399">
              <w:t>2J</w:t>
            </w:r>
          </w:p>
        </w:tc>
        <w:tc>
          <w:tcPr>
            <w:tcW w:w="2251" w:type="dxa"/>
          </w:tcPr>
          <w:p w14:paraId="18DD1F48" w14:textId="77777777" w:rsidR="00A20D18" w:rsidRPr="00883399" w:rsidRDefault="00A20D18" w:rsidP="00A34A43">
            <w:pPr>
              <w:pStyle w:val="TableText"/>
              <w:rPr>
                <w:szCs w:val="22"/>
              </w:rPr>
            </w:pPr>
          </w:p>
        </w:tc>
        <w:tc>
          <w:tcPr>
            <w:tcW w:w="4320" w:type="dxa"/>
          </w:tcPr>
          <w:p w14:paraId="7605BE3B" w14:textId="77777777" w:rsidR="00A20D18" w:rsidRPr="00883399" w:rsidRDefault="00A20D18" w:rsidP="00A34A43">
            <w:pPr>
              <w:pStyle w:val="TableText"/>
              <w:rPr>
                <w:szCs w:val="22"/>
              </w:rPr>
            </w:pPr>
            <w:r w:rsidRPr="00883399">
              <w:rPr>
                <w:szCs w:val="22"/>
              </w:rPr>
              <w:t>Natural gas distribution</w:t>
            </w:r>
          </w:p>
        </w:tc>
      </w:tr>
      <w:tr w:rsidR="00A20D18" w:rsidRPr="00883399" w14:paraId="64128661" w14:textId="77777777" w:rsidTr="00A34A43">
        <w:trPr>
          <w:cantSplit/>
        </w:trPr>
        <w:tc>
          <w:tcPr>
            <w:tcW w:w="749" w:type="dxa"/>
          </w:tcPr>
          <w:p w14:paraId="59A129B7" w14:textId="77777777" w:rsidR="00A20D18" w:rsidRPr="00883399" w:rsidRDefault="00A20D18" w:rsidP="00A34A43">
            <w:pPr>
              <w:pStyle w:val="TableText"/>
              <w:ind w:left="227"/>
            </w:pPr>
            <w:r w:rsidRPr="00883399">
              <w:t>2K</w:t>
            </w:r>
          </w:p>
        </w:tc>
        <w:tc>
          <w:tcPr>
            <w:tcW w:w="2251" w:type="dxa"/>
          </w:tcPr>
          <w:p w14:paraId="16CA4805" w14:textId="77777777" w:rsidR="00A20D18" w:rsidRPr="00883399" w:rsidRDefault="00A20D18" w:rsidP="00A34A43">
            <w:pPr>
              <w:pStyle w:val="TableText"/>
              <w:rPr>
                <w:szCs w:val="22"/>
              </w:rPr>
            </w:pPr>
          </w:p>
        </w:tc>
        <w:tc>
          <w:tcPr>
            <w:tcW w:w="4320" w:type="dxa"/>
          </w:tcPr>
          <w:p w14:paraId="6939A8ED" w14:textId="77777777" w:rsidR="00A20D18" w:rsidRPr="00883399" w:rsidRDefault="00A20D18" w:rsidP="00A34A43">
            <w:pPr>
              <w:pStyle w:val="TableText"/>
              <w:rPr>
                <w:szCs w:val="22"/>
              </w:rPr>
            </w:pPr>
            <w:r w:rsidRPr="00883399">
              <w:rPr>
                <w:szCs w:val="22"/>
              </w:rPr>
              <w:t xml:space="preserve">Natural gas production or processing </w:t>
            </w:r>
            <w:r w:rsidR="00A97404" w:rsidRPr="00883399">
              <w:rPr>
                <w:szCs w:val="22"/>
              </w:rPr>
              <w:t>–</w:t>
            </w:r>
            <w:r w:rsidRPr="00883399">
              <w:rPr>
                <w:szCs w:val="22"/>
              </w:rPr>
              <w:t xml:space="preserve"> flaring</w:t>
            </w:r>
          </w:p>
        </w:tc>
      </w:tr>
      <w:tr w:rsidR="00A20D18" w:rsidRPr="00883399" w14:paraId="26695E6A" w14:textId="77777777" w:rsidTr="00A34A43">
        <w:trPr>
          <w:cantSplit/>
        </w:trPr>
        <w:tc>
          <w:tcPr>
            <w:tcW w:w="749" w:type="dxa"/>
          </w:tcPr>
          <w:p w14:paraId="35BA21DD" w14:textId="77777777" w:rsidR="00A20D18" w:rsidRPr="00883399" w:rsidRDefault="00A20D18" w:rsidP="00A34A43">
            <w:pPr>
              <w:pStyle w:val="TableText"/>
              <w:ind w:left="227"/>
            </w:pPr>
            <w:r w:rsidRPr="00883399">
              <w:lastRenderedPageBreak/>
              <w:t>2L</w:t>
            </w:r>
          </w:p>
        </w:tc>
        <w:tc>
          <w:tcPr>
            <w:tcW w:w="2251" w:type="dxa"/>
          </w:tcPr>
          <w:p w14:paraId="40B1E0F8" w14:textId="77777777" w:rsidR="00A20D18" w:rsidRPr="00883399" w:rsidRDefault="00A20D18" w:rsidP="00A34A43">
            <w:pPr>
              <w:pStyle w:val="TableText"/>
              <w:rPr>
                <w:szCs w:val="22"/>
              </w:rPr>
            </w:pPr>
          </w:p>
        </w:tc>
        <w:tc>
          <w:tcPr>
            <w:tcW w:w="4320" w:type="dxa"/>
          </w:tcPr>
          <w:p w14:paraId="03106117" w14:textId="77777777" w:rsidR="00A20D18" w:rsidRPr="00883399" w:rsidRDefault="00A20D18" w:rsidP="00A34A43">
            <w:pPr>
              <w:pStyle w:val="TableText"/>
              <w:rPr>
                <w:szCs w:val="22"/>
              </w:rPr>
            </w:pPr>
            <w:r w:rsidRPr="00883399">
              <w:rPr>
                <w:szCs w:val="22"/>
              </w:rPr>
              <w:t xml:space="preserve">Natural gas production or processing </w:t>
            </w:r>
            <w:r w:rsidR="00A97404" w:rsidRPr="00883399">
              <w:rPr>
                <w:szCs w:val="22"/>
              </w:rPr>
              <w:t>–</w:t>
            </w:r>
            <w:r w:rsidRPr="00883399">
              <w:rPr>
                <w:szCs w:val="22"/>
              </w:rPr>
              <w:t xml:space="preserve"> venting</w:t>
            </w:r>
          </w:p>
        </w:tc>
      </w:tr>
      <w:tr w:rsidR="00A20D18" w:rsidRPr="00883399" w14:paraId="57A10B41" w14:textId="77777777" w:rsidTr="00A34A43">
        <w:trPr>
          <w:cantSplit/>
        </w:trPr>
        <w:tc>
          <w:tcPr>
            <w:tcW w:w="749" w:type="dxa"/>
          </w:tcPr>
          <w:p w14:paraId="3357BEAF" w14:textId="77777777" w:rsidR="00A20D18" w:rsidRPr="00883399" w:rsidRDefault="00A20D18" w:rsidP="00A34A43">
            <w:pPr>
              <w:pStyle w:val="TableText"/>
              <w:ind w:left="227"/>
            </w:pPr>
            <w:r w:rsidRPr="00883399">
              <w:t>2M</w:t>
            </w:r>
          </w:p>
        </w:tc>
        <w:tc>
          <w:tcPr>
            <w:tcW w:w="2251" w:type="dxa"/>
          </w:tcPr>
          <w:p w14:paraId="483B1691" w14:textId="77777777" w:rsidR="00A20D18" w:rsidRPr="00883399" w:rsidRDefault="00A20D18" w:rsidP="00A34A43">
            <w:pPr>
              <w:pStyle w:val="TableText"/>
              <w:rPr>
                <w:szCs w:val="22"/>
              </w:rPr>
            </w:pPr>
          </w:p>
        </w:tc>
        <w:tc>
          <w:tcPr>
            <w:tcW w:w="4320" w:type="dxa"/>
          </w:tcPr>
          <w:p w14:paraId="1DDD8E19" w14:textId="77777777" w:rsidR="00A20D18" w:rsidRPr="00883399" w:rsidRDefault="00A20D18" w:rsidP="00A34A43">
            <w:pPr>
              <w:pStyle w:val="TableText"/>
              <w:rPr>
                <w:szCs w:val="22"/>
              </w:rPr>
            </w:pPr>
            <w:r w:rsidRPr="00883399">
              <w:rPr>
                <w:szCs w:val="22"/>
              </w:rPr>
              <w:t>Carbon capture and storage</w:t>
            </w:r>
          </w:p>
        </w:tc>
      </w:tr>
      <w:tr w:rsidR="00A20D18" w:rsidRPr="00883399" w14:paraId="253C1DBB" w14:textId="77777777" w:rsidTr="00A34A43">
        <w:trPr>
          <w:cantSplit/>
        </w:trPr>
        <w:tc>
          <w:tcPr>
            <w:tcW w:w="749" w:type="dxa"/>
          </w:tcPr>
          <w:p w14:paraId="5839A2F7" w14:textId="77777777" w:rsidR="00A20D18" w:rsidRPr="00883399" w:rsidRDefault="00A20D18" w:rsidP="00A34A43">
            <w:pPr>
              <w:pStyle w:val="TableText"/>
              <w:spacing w:before="160"/>
              <w:ind w:left="227"/>
            </w:pPr>
            <w:r w:rsidRPr="00883399">
              <w:t>3</w:t>
            </w:r>
          </w:p>
        </w:tc>
        <w:tc>
          <w:tcPr>
            <w:tcW w:w="2251" w:type="dxa"/>
          </w:tcPr>
          <w:p w14:paraId="362DBC37" w14:textId="77777777" w:rsidR="00A20D18" w:rsidRPr="00883399" w:rsidRDefault="00A20D18" w:rsidP="00A34A43">
            <w:pPr>
              <w:pStyle w:val="TableText"/>
              <w:spacing w:before="160"/>
              <w:rPr>
                <w:szCs w:val="22"/>
              </w:rPr>
            </w:pPr>
            <w:r w:rsidRPr="00883399">
              <w:rPr>
                <w:szCs w:val="22"/>
              </w:rPr>
              <w:t>Industrial processes</w:t>
            </w:r>
          </w:p>
        </w:tc>
        <w:tc>
          <w:tcPr>
            <w:tcW w:w="4320" w:type="dxa"/>
          </w:tcPr>
          <w:p w14:paraId="139A65B2" w14:textId="77777777" w:rsidR="00A20D18" w:rsidRPr="00883399" w:rsidRDefault="00A20D18" w:rsidP="00A34A43">
            <w:pPr>
              <w:pStyle w:val="TableText"/>
              <w:spacing w:before="160"/>
              <w:rPr>
                <w:szCs w:val="22"/>
              </w:rPr>
            </w:pPr>
          </w:p>
        </w:tc>
      </w:tr>
      <w:tr w:rsidR="00A20D18" w:rsidRPr="00883399" w14:paraId="21511F15" w14:textId="77777777" w:rsidTr="00A34A43">
        <w:trPr>
          <w:cantSplit/>
        </w:trPr>
        <w:tc>
          <w:tcPr>
            <w:tcW w:w="749" w:type="dxa"/>
          </w:tcPr>
          <w:p w14:paraId="0E4D4E07" w14:textId="77777777" w:rsidR="00A20D18" w:rsidRPr="00883399" w:rsidRDefault="00A20D18" w:rsidP="00A34A43">
            <w:pPr>
              <w:pStyle w:val="TableText"/>
              <w:ind w:left="227"/>
            </w:pPr>
            <w:r w:rsidRPr="00883399">
              <w:t>3A</w:t>
            </w:r>
          </w:p>
        </w:tc>
        <w:tc>
          <w:tcPr>
            <w:tcW w:w="2251" w:type="dxa"/>
          </w:tcPr>
          <w:p w14:paraId="46B713C5" w14:textId="77777777" w:rsidR="00A20D18" w:rsidRPr="00883399" w:rsidRDefault="00A20D18" w:rsidP="00A34A43">
            <w:pPr>
              <w:pStyle w:val="TableText"/>
              <w:rPr>
                <w:szCs w:val="22"/>
              </w:rPr>
            </w:pPr>
          </w:p>
        </w:tc>
        <w:tc>
          <w:tcPr>
            <w:tcW w:w="4320" w:type="dxa"/>
          </w:tcPr>
          <w:p w14:paraId="787E535D" w14:textId="77777777" w:rsidR="00A20D18" w:rsidRPr="00883399" w:rsidRDefault="00A20D18" w:rsidP="00A34A43">
            <w:pPr>
              <w:pStyle w:val="TableText"/>
              <w:rPr>
                <w:szCs w:val="22"/>
              </w:rPr>
            </w:pPr>
            <w:r w:rsidRPr="00883399">
              <w:rPr>
                <w:szCs w:val="22"/>
              </w:rPr>
              <w:t>Cement clinker production</w:t>
            </w:r>
          </w:p>
        </w:tc>
      </w:tr>
      <w:tr w:rsidR="00A20D18" w:rsidRPr="00883399" w14:paraId="590F0A60" w14:textId="77777777" w:rsidTr="00A34A43">
        <w:trPr>
          <w:cantSplit/>
        </w:trPr>
        <w:tc>
          <w:tcPr>
            <w:tcW w:w="749" w:type="dxa"/>
          </w:tcPr>
          <w:p w14:paraId="40222BB1" w14:textId="77777777" w:rsidR="00A20D18" w:rsidRPr="00883399" w:rsidRDefault="00A20D18" w:rsidP="00A34A43">
            <w:pPr>
              <w:pStyle w:val="TableText"/>
              <w:ind w:left="227"/>
            </w:pPr>
            <w:r w:rsidRPr="00883399">
              <w:t>3B</w:t>
            </w:r>
          </w:p>
        </w:tc>
        <w:tc>
          <w:tcPr>
            <w:tcW w:w="2251" w:type="dxa"/>
          </w:tcPr>
          <w:p w14:paraId="79F2EE94" w14:textId="77777777" w:rsidR="00A20D18" w:rsidRPr="00883399" w:rsidRDefault="00A20D18" w:rsidP="00A34A43">
            <w:pPr>
              <w:pStyle w:val="TableText"/>
              <w:rPr>
                <w:szCs w:val="22"/>
              </w:rPr>
            </w:pPr>
          </w:p>
        </w:tc>
        <w:tc>
          <w:tcPr>
            <w:tcW w:w="4320" w:type="dxa"/>
          </w:tcPr>
          <w:p w14:paraId="77B79654" w14:textId="77777777" w:rsidR="00A20D18" w:rsidRPr="00883399" w:rsidRDefault="00A20D18" w:rsidP="00A34A43">
            <w:pPr>
              <w:pStyle w:val="TableText"/>
              <w:rPr>
                <w:szCs w:val="22"/>
              </w:rPr>
            </w:pPr>
            <w:r w:rsidRPr="00883399">
              <w:rPr>
                <w:szCs w:val="22"/>
              </w:rPr>
              <w:t>Lime production</w:t>
            </w:r>
          </w:p>
        </w:tc>
      </w:tr>
      <w:tr w:rsidR="00A20D18" w:rsidRPr="00883399" w14:paraId="0A927834" w14:textId="77777777" w:rsidTr="00A34A43">
        <w:trPr>
          <w:cantSplit/>
        </w:trPr>
        <w:tc>
          <w:tcPr>
            <w:tcW w:w="749" w:type="dxa"/>
          </w:tcPr>
          <w:p w14:paraId="310DFA70" w14:textId="77777777" w:rsidR="00A20D18" w:rsidRPr="00883399" w:rsidRDefault="00A20D18" w:rsidP="00A34A43">
            <w:pPr>
              <w:pStyle w:val="TableText"/>
              <w:ind w:left="227"/>
            </w:pPr>
            <w:r w:rsidRPr="00883399">
              <w:t>3C</w:t>
            </w:r>
          </w:p>
        </w:tc>
        <w:tc>
          <w:tcPr>
            <w:tcW w:w="2251" w:type="dxa"/>
          </w:tcPr>
          <w:p w14:paraId="004D744E" w14:textId="77777777" w:rsidR="00A20D18" w:rsidRPr="00883399" w:rsidRDefault="00A20D18" w:rsidP="00A34A43">
            <w:pPr>
              <w:pStyle w:val="TableText"/>
              <w:rPr>
                <w:szCs w:val="22"/>
              </w:rPr>
            </w:pPr>
          </w:p>
        </w:tc>
        <w:tc>
          <w:tcPr>
            <w:tcW w:w="4320" w:type="dxa"/>
          </w:tcPr>
          <w:p w14:paraId="3673911B" w14:textId="77777777" w:rsidR="00A20D18" w:rsidRPr="00883399" w:rsidRDefault="00A20D18" w:rsidP="00A20D18">
            <w:pPr>
              <w:pStyle w:val="TableText"/>
              <w:rPr>
                <w:szCs w:val="22"/>
              </w:rPr>
            </w:pPr>
            <w:r w:rsidRPr="00883399">
              <w:rPr>
                <w:szCs w:val="22"/>
              </w:rPr>
              <w:t>Use of carbonates for the production of a product other than cement clinker, lime or soda ash</w:t>
            </w:r>
          </w:p>
        </w:tc>
      </w:tr>
      <w:tr w:rsidR="00A20D18" w:rsidRPr="00883399" w14:paraId="4831FFF9" w14:textId="77777777" w:rsidTr="00A34A43">
        <w:trPr>
          <w:cantSplit/>
        </w:trPr>
        <w:tc>
          <w:tcPr>
            <w:tcW w:w="749" w:type="dxa"/>
          </w:tcPr>
          <w:p w14:paraId="301A1804" w14:textId="77777777" w:rsidR="00A20D18" w:rsidRPr="00883399" w:rsidRDefault="00A20D18" w:rsidP="00A34A43">
            <w:pPr>
              <w:pStyle w:val="TableText"/>
              <w:ind w:left="227"/>
            </w:pPr>
            <w:r w:rsidRPr="00883399">
              <w:t>3D</w:t>
            </w:r>
          </w:p>
        </w:tc>
        <w:tc>
          <w:tcPr>
            <w:tcW w:w="2251" w:type="dxa"/>
          </w:tcPr>
          <w:p w14:paraId="741822F9" w14:textId="77777777" w:rsidR="00A20D18" w:rsidRPr="00883399" w:rsidRDefault="00A20D18" w:rsidP="00A34A43">
            <w:pPr>
              <w:pStyle w:val="TableText"/>
              <w:rPr>
                <w:szCs w:val="22"/>
              </w:rPr>
            </w:pPr>
          </w:p>
        </w:tc>
        <w:tc>
          <w:tcPr>
            <w:tcW w:w="4320" w:type="dxa"/>
          </w:tcPr>
          <w:p w14:paraId="5D029C46" w14:textId="77777777" w:rsidR="00A20D18" w:rsidRPr="00883399" w:rsidRDefault="00A20D18" w:rsidP="00A34A43">
            <w:pPr>
              <w:pStyle w:val="TableText"/>
              <w:rPr>
                <w:szCs w:val="22"/>
              </w:rPr>
            </w:pPr>
            <w:r w:rsidRPr="00883399">
              <w:rPr>
                <w:szCs w:val="22"/>
              </w:rPr>
              <w:t>Soda ash use</w:t>
            </w:r>
          </w:p>
        </w:tc>
      </w:tr>
      <w:tr w:rsidR="00A20D18" w:rsidRPr="00883399" w14:paraId="0FF4B8CC" w14:textId="77777777" w:rsidTr="00A34A43">
        <w:trPr>
          <w:cantSplit/>
        </w:trPr>
        <w:tc>
          <w:tcPr>
            <w:tcW w:w="749" w:type="dxa"/>
          </w:tcPr>
          <w:p w14:paraId="4135C56E" w14:textId="77777777" w:rsidR="00A20D18" w:rsidRPr="00883399" w:rsidRDefault="00A20D18" w:rsidP="00A34A43">
            <w:pPr>
              <w:pStyle w:val="TableText"/>
              <w:ind w:left="227"/>
            </w:pPr>
            <w:r w:rsidRPr="00883399">
              <w:t>3E</w:t>
            </w:r>
          </w:p>
        </w:tc>
        <w:tc>
          <w:tcPr>
            <w:tcW w:w="2251" w:type="dxa"/>
          </w:tcPr>
          <w:p w14:paraId="46E3DBDC" w14:textId="77777777" w:rsidR="00A20D18" w:rsidRPr="00883399" w:rsidRDefault="00A20D18" w:rsidP="00A34A43">
            <w:pPr>
              <w:pStyle w:val="TableText"/>
              <w:rPr>
                <w:szCs w:val="22"/>
              </w:rPr>
            </w:pPr>
          </w:p>
        </w:tc>
        <w:tc>
          <w:tcPr>
            <w:tcW w:w="4320" w:type="dxa"/>
          </w:tcPr>
          <w:p w14:paraId="2E766B07" w14:textId="77777777" w:rsidR="00A20D18" w:rsidRPr="00883399" w:rsidRDefault="00A20D18" w:rsidP="00A34A43">
            <w:pPr>
              <w:pStyle w:val="TableText"/>
              <w:rPr>
                <w:szCs w:val="22"/>
              </w:rPr>
            </w:pPr>
            <w:r w:rsidRPr="00883399">
              <w:rPr>
                <w:szCs w:val="22"/>
              </w:rPr>
              <w:t>Soda ash production</w:t>
            </w:r>
          </w:p>
        </w:tc>
      </w:tr>
      <w:tr w:rsidR="00A20D18" w:rsidRPr="00883399" w14:paraId="56468BB7" w14:textId="77777777" w:rsidTr="00A34A43">
        <w:trPr>
          <w:cantSplit/>
        </w:trPr>
        <w:tc>
          <w:tcPr>
            <w:tcW w:w="749" w:type="dxa"/>
          </w:tcPr>
          <w:p w14:paraId="3A622800" w14:textId="77777777" w:rsidR="00A20D18" w:rsidRPr="00883399" w:rsidRDefault="00A20D18" w:rsidP="00A34A43">
            <w:pPr>
              <w:pStyle w:val="TableText"/>
              <w:ind w:left="227"/>
            </w:pPr>
            <w:r w:rsidRPr="00883399">
              <w:t>3F</w:t>
            </w:r>
          </w:p>
        </w:tc>
        <w:tc>
          <w:tcPr>
            <w:tcW w:w="2251" w:type="dxa"/>
          </w:tcPr>
          <w:p w14:paraId="62A56330" w14:textId="77777777" w:rsidR="00A20D18" w:rsidRPr="00883399" w:rsidRDefault="00A20D18" w:rsidP="00A34A43">
            <w:pPr>
              <w:pStyle w:val="TableText"/>
              <w:rPr>
                <w:szCs w:val="22"/>
              </w:rPr>
            </w:pPr>
          </w:p>
        </w:tc>
        <w:tc>
          <w:tcPr>
            <w:tcW w:w="4320" w:type="dxa"/>
          </w:tcPr>
          <w:p w14:paraId="7DDB0472" w14:textId="77777777" w:rsidR="00A20D18" w:rsidRPr="00883399" w:rsidRDefault="00A20D18" w:rsidP="00A34A43">
            <w:pPr>
              <w:pStyle w:val="TableText"/>
              <w:rPr>
                <w:szCs w:val="22"/>
              </w:rPr>
            </w:pPr>
            <w:r w:rsidRPr="00883399">
              <w:rPr>
                <w:szCs w:val="22"/>
              </w:rPr>
              <w:t>Ammonia production</w:t>
            </w:r>
          </w:p>
        </w:tc>
      </w:tr>
      <w:tr w:rsidR="00A20D18" w:rsidRPr="00883399" w14:paraId="00F2D90C" w14:textId="77777777" w:rsidTr="00A34A43">
        <w:trPr>
          <w:cantSplit/>
        </w:trPr>
        <w:tc>
          <w:tcPr>
            <w:tcW w:w="749" w:type="dxa"/>
          </w:tcPr>
          <w:p w14:paraId="6B6AC086" w14:textId="77777777" w:rsidR="00A20D18" w:rsidRPr="00883399" w:rsidRDefault="00A20D18" w:rsidP="00A34A43">
            <w:pPr>
              <w:pStyle w:val="TableText"/>
              <w:ind w:left="227"/>
            </w:pPr>
            <w:r w:rsidRPr="00883399">
              <w:t>3G</w:t>
            </w:r>
          </w:p>
        </w:tc>
        <w:tc>
          <w:tcPr>
            <w:tcW w:w="2251" w:type="dxa"/>
          </w:tcPr>
          <w:p w14:paraId="7968B4BC" w14:textId="77777777" w:rsidR="00A20D18" w:rsidRPr="00883399" w:rsidRDefault="00A20D18" w:rsidP="00A34A43">
            <w:pPr>
              <w:pStyle w:val="TableText"/>
              <w:rPr>
                <w:szCs w:val="22"/>
              </w:rPr>
            </w:pPr>
          </w:p>
        </w:tc>
        <w:tc>
          <w:tcPr>
            <w:tcW w:w="4320" w:type="dxa"/>
          </w:tcPr>
          <w:p w14:paraId="40EA8B68" w14:textId="77777777" w:rsidR="00A20D18" w:rsidRPr="00883399" w:rsidRDefault="00A20D18" w:rsidP="00A34A43">
            <w:pPr>
              <w:pStyle w:val="TableText"/>
              <w:rPr>
                <w:szCs w:val="22"/>
              </w:rPr>
            </w:pPr>
            <w:r w:rsidRPr="00883399">
              <w:rPr>
                <w:szCs w:val="22"/>
              </w:rPr>
              <w:t>Nitric acid production</w:t>
            </w:r>
          </w:p>
        </w:tc>
      </w:tr>
      <w:tr w:rsidR="00A20D18" w:rsidRPr="00883399" w14:paraId="3CD65931" w14:textId="77777777" w:rsidTr="00A34A43">
        <w:trPr>
          <w:cantSplit/>
        </w:trPr>
        <w:tc>
          <w:tcPr>
            <w:tcW w:w="749" w:type="dxa"/>
          </w:tcPr>
          <w:p w14:paraId="7F7D40AD" w14:textId="77777777" w:rsidR="00A20D18" w:rsidRPr="00883399" w:rsidRDefault="00A20D18" w:rsidP="00A34A43">
            <w:pPr>
              <w:pStyle w:val="TableText"/>
              <w:ind w:left="227"/>
            </w:pPr>
            <w:r w:rsidRPr="00883399">
              <w:t>3H</w:t>
            </w:r>
          </w:p>
        </w:tc>
        <w:tc>
          <w:tcPr>
            <w:tcW w:w="2251" w:type="dxa"/>
          </w:tcPr>
          <w:p w14:paraId="03272A35" w14:textId="77777777" w:rsidR="00A20D18" w:rsidRPr="00883399" w:rsidRDefault="00A20D18" w:rsidP="00A34A43">
            <w:pPr>
              <w:pStyle w:val="TableText"/>
              <w:rPr>
                <w:szCs w:val="22"/>
              </w:rPr>
            </w:pPr>
          </w:p>
        </w:tc>
        <w:tc>
          <w:tcPr>
            <w:tcW w:w="4320" w:type="dxa"/>
          </w:tcPr>
          <w:p w14:paraId="108AEDED" w14:textId="77777777" w:rsidR="00A20D18" w:rsidRPr="00883399" w:rsidRDefault="00A20D18" w:rsidP="00A34A43">
            <w:pPr>
              <w:pStyle w:val="TableText"/>
              <w:rPr>
                <w:szCs w:val="22"/>
              </w:rPr>
            </w:pPr>
            <w:r w:rsidRPr="00883399">
              <w:rPr>
                <w:szCs w:val="22"/>
              </w:rPr>
              <w:t>Adipic acid production</w:t>
            </w:r>
          </w:p>
        </w:tc>
      </w:tr>
      <w:tr w:rsidR="00A20D18" w:rsidRPr="00883399" w14:paraId="185C2965" w14:textId="77777777" w:rsidTr="00A34A43">
        <w:trPr>
          <w:cantSplit/>
        </w:trPr>
        <w:tc>
          <w:tcPr>
            <w:tcW w:w="749" w:type="dxa"/>
          </w:tcPr>
          <w:p w14:paraId="06289135" w14:textId="77777777" w:rsidR="00A20D18" w:rsidRPr="00883399" w:rsidRDefault="00A20D18" w:rsidP="00A34A43">
            <w:pPr>
              <w:pStyle w:val="TableText"/>
              <w:ind w:left="227"/>
            </w:pPr>
            <w:r w:rsidRPr="00883399">
              <w:t>3I</w:t>
            </w:r>
          </w:p>
        </w:tc>
        <w:tc>
          <w:tcPr>
            <w:tcW w:w="2251" w:type="dxa"/>
          </w:tcPr>
          <w:p w14:paraId="5D576103" w14:textId="77777777" w:rsidR="00A20D18" w:rsidRPr="00883399" w:rsidRDefault="00A20D18" w:rsidP="00A34A43">
            <w:pPr>
              <w:pStyle w:val="TableText"/>
              <w:rPr>
                <w:szCs w:val="22"/>
              </w:rPr>
            </w:pPr>
          </w:p>
        </w:tc>
        <w:tc>
          <w:tcPr>
            <w:tcW w:w="4320" w:type="dxa"/>
          </w:tcPr>
          <w:p w14:paraId="7C31AA38" w14:textId="77777777" w:rsidR="00A20D18" w:rsidRPr="00883399" w:rsidRDefault="00A20D18" w:rsidP="00A34A43">
            <w:pPr>
              <w:pStyle w:val="TableText"/>
              <w:rPr>
                <w:szCs w:val="22"/>
              </w:rPr>
            </w:pPr>
            <w:r w:rsidRPr="00883399">
              <w:rPr>
                <w:szCs w:val="22"/>
              </w:rPr>
              <w:t>Carbide production</w:t>
            </w:r>
          </w:p>
        </w:tc>
      </w:tr>
      <w:tr w:rsidR="00A20D18" w:rsidRPr="00883399" w14:paraId="4DBE6338" w14:textId="77777777" w:rsidTr="00A34A43">
        <w:trPr>
          <w:cantSplit/>
        </w:trPr>
        <w:tc>
          <w:tcPr>
            <w:tcW w:w="749" w:type="dxa"/>
          </w:tcPr>
          <w:p w14:paraId="22ACD5B2" w14:textId="77777777" w:rsidR="00A20D18" w:rsidRPr="00883399" w:rsidRDefault="00A20D18" w:rsidP="00A34A43">
            <w:pPr>
              <w:pStyle w:val="TableText"/>
              <w:ind w:left="227"/>
            </w:pPr>
            <w:r w:rsidRPr="00883399">
              <w:t>3J</w:t>
            </w:r>
          </w:p>
        </w:tc>
        <w:tc>
          <w:tcPr>
            <w:tcW w:w="2251" w:type="dxa"/>
          </w:tcPr>
          <w:p w14:paraId="5B8EC483" w14:textId="77777777" w:rsidR="00A20D18" w:rsidRPr="00883399" w:rsidRDefault="00A20D18" w:rsidP="00A34A43">
            <w:pPr>
              <w:pStyle w:val="TableText"/>
              <w:rPr>
                <w:szCs w:val="22"/>
              </w:rPr>
            </w:pPr>
          </w:p>
        </w:tc>
        <w:tc>
          <w:tcPr>
            <w:tcW w:w="4320" w:type="dxa"/>
          </w:tcPr>
          <w:p w14:paraId="0F15ADEF" w14:textId="77777777" w:rsidR="00A20D18" w:rsidRPr="00883399" w:rsidRDefault="00A20D18" w:rsidP="00A34A43">
            <w:pPr>
              <w:pStyle w:val="TableText"/>
              <w:rPr>
                <w:szCs w:val="22"/>
              </w:rPr>
            </w:pPr>
            <w:r w:rsidRPr="00883399">
              <w:rPr>
                <w:szCs w:val="22"/>
              </w:rPr>
              <w:t>Chemical or mineral production, other than carbide production, using a carbon reductant</w:t>
            </w:r>
            <w:r w:rsidR="009A1449" w:rsidRPr="00883399">
              <w:rPr>
                <w:szCs w:val="22"/>
              </w:rPr>
              <w:t xml:space="preserve"> and carbon anode</w:t>
            </w:r>
          </w:p>
        </w:tc>
      </w:tr>
      <w:tr w:rsidR="00A20D18" w:rsidRPr="00883399" w14:paraId="440AEBB6" w14:textId="77777777" w:rsidTr="00A34A43">
        <w:trPr>
          <w:cantSplit/>
        </w:trPr>
        <w:tc>
          <w:tcPr>
            <w:tcW w:w="749" w:type="dxa"/>
          </w:tcPr>
          <w:p w14:paraId="1BF13A6E" w14:textId="77777777" w:rsidR="00A20D18" w:rsidRPr="00883399" w:rsidRDefault="00A20D18" w:rsidP="00A34A43">
            <w:pPr>
              <w:pStyle w:val="TableText"/>
              <w:ind w:left="227"/>
            </w:pPr>
            <w:r w:rsidRPr="00883399">
              <w:t>3K</w:t>
            </w:r>
          </w:p>
        </w:tc>
        <w:tc>
          <w:tcPr>
            <w:tcW w:w="2251" w:type="dxa"/>
          </w:tcPr>
          <w:p w14:paraId="105B54B2" w14:textId="77777777" w:rsidR="00A20D18" w:rsidRPr="00883399" w:rsidRDefault="00A20D18" w:rsidP="00A34A43">
            <w:pPr>
              <w:pStyle w:val="TableText"/>
              <w:rPr>
                <w:szCs w:val="22"/>
              </w:rPr>
            </w:pPr>
          </w:p>
        </w:tc>
        <w:tc>
          <w:tcPr>
            <w:tcW w:w="4320" w:type="dxa"/>
          </w:tcPr>
          <w:p w14:paraId="1ACCF620" w14:textId="77777777" w:rsidR="00A20D18" w:rsidRPr="00883399" w:rsidRDefault="00A20D18" w:rsidP="00A34A43">
            <w:pPr>
              <w:pStyle w:val="TableText"/>
              <w:rPr>
                <w:szCs w:val="22"/>
              </w:rPr>
            </w:pPr>
            <w:r w:rsidRPr="00883399">
              <w:rPr>
                <w:szCs w:val="22"/>
              </w:rPr>
              <w:t>Iron, steel or other metal production using an integrated metalworks</w:t>
            </w:r>
          </w:p>
        </w:tc>
      </w:tr>
      <w:tr w:rsidR="00A20D18" w:rsidRPr="00883399" w14:paraId="38EC53E1" w14:textId="77777777" w:rsidTr="00A34A43">
        <w:trPr>
          <w:cantSplit/>
        </w:trPr>
        <w:tc>
          <w:tcPr>
            <w:tcW w:w="749" w:type="dxa"/>
          </w:tcPr>
          <w:p w14:paraId="720186E5" w14:textId="77777777" w:rsidR="00A20D18" w:rsidRPr="00883399" w:rsidRDefault="00A20D18" w:rsidP="00A34A43">
            <w:pPr>
              <w:pStyle w:val="TableText"/>
              <w:ind w:left="227"/>
            </w:pPr>
            <w:r w:rsidRPr="00883399">
              <w:t>3L</w:t>
            </w:r>
          </w:p>
        </w:tc>
        <w:tc>
          <w:tcPr>
            <w:tcW w:w="2251" w:type="dxa"/>
          </w:tcPr>
          <w:p w14:paraId="3FA100F8" w14:textId="77777777" w:rsidR="00A20D18" w:rsidRPr="00883399" w:rsidRDefault="00A20D18" w:rsidP="00A34A43">
            <w:pPr>
              <w:pStyle w:val="TableText"/>
              <w:rPr>
                <w:szCs w:val="22"/>
              </w:rPr>
            </w:pPr>
          </w:p>
        </w:tc>
        <w:tc>
          <w:tcPr>
            <w:tcW w:w="4320" w:type="dxa"/>
          </w:tcPr>
          <w:p w14:paraId="1EAEF4A6" w14:textId="77777777" w:rsidR="00A20D18" w:rsidRPr="00883399" w:rsidRDefault="00A20D18" w:rsidP="00A34A43">
            <w:pPr>
              <w:pStyle w:val="TableText"/>
              <w:rPr>
                <w:szCs w:val="22"/>
              </w:rPr>
            </w:pPr>
            <w:r w:rsidRPr="00883399">
              <w:rPr>
                <w:szCs w:val="22"/>
              </w:rPr>
              <w:t>Ferroalloys production</w:t>
            </w:r>
          </w:p>
        </w:tc>
      </w:tr>
      <w:tr w:rsidR="00A20D18" w:rsidRPr="00883399" w14:paraId="763ACC6D" w14:textId="77777777" w:rsidTr="00A34A43">
        <w:trPr>
          <w:cantSplit/>
        </w:trPr>
        <w:tc>
          <w:tcPr>
            <w:tcW w:w="749" w:type="dxa"/>
          </w:tcPr>
          <w:p w14:paraId="5D5AB4D4" w14:textId="77777777" w:rsidR="00A20D18" w:rsidRPr="00883399" w:rsidRDefault="00A20D18" w:rsidP="00A34A43">
            <w:pPr>
              <w:pStyle w:val="TableText"/>
              <w:ind w:left="227"/>
            </w:pPr>
            <w:r w:rsidRPr="00883399">
              <w:t>3M</w:t>
            </w:r>
          </w:p>
        </w:tc>
        <w:tc>
          <w:tcPr>
            <w:tcW w:w="2251" w:type="dxa"/>
          </w:tcPr>
          <w:p w14:paraId="7BD81DE7" w14:textId="77777777" w:rsidR="00A20D18" w:rsidRPr="00883399" w:rsidRDefault="00A20D18" w:rsidP="00A34A43">
            <w:pPr>
              <w:pStyle w:val="TableText"/>
              <w:rPr>
                <w:szCs w:val="22"/>
              </w:rPr>
            </w:pPr>
          </w:p>
        </w:tc>
        <w:tc>
          <w:tcPr>
            <w:tcW w:w="4320" w:type="dxa"/>
          </w:tcPr>
          <w:p w14:paraId="2D000E8C" w14:textId="77777777" w:rsidR="00A20D18" w:rsidRPr="00883399" w:rsidRDefault="00A20D18" w:rsidP="00A34A43">
            <w:pPr>
              <w:pStyle w:val="TableText"/>
              <w:rPr>
                <w:szCs w:val="22"/>
              </w:rPr>
            </w:pPr>
            <w:r w:rsidRPr="00883399">
              <w:rPr>
                <w:szCs w:val="22"/>
              </w:rPr>
              <w:t xml:space="preserve">Aluminium production </w:t>
            </w:r>
          </w:p>
        </w:tc>
      </w:tr>
      <w:tr w:rsidR="00A20D18" w:rsidRPr="00883399" w14:paraId="3974E28B" w14:textId="77777777" w:rsidTr="00A34A43">
        <w:trPr>
          <w:cantSplit/>
        </w:trPr>
        <w:tc>
          <w:tcPr>
            <w:tcW w:w="749" w:type="dxa"/>
          </w:tcPr>
          <w:p w14:paraId="48C15AF2" w14:textId="77777777" w:rsidR="00A20D18" w:rsidRPr="00883399" w:rsidRDefault="00A20D18" w:rsidP="00A34A43">
            <w:pPr>
              <w:pStyle w:val="TableText"/>
              <w:ind w:left="227"/>
            </w:pPr>
            <w:r w:rsidRPr="00883399">
              <w:t>3N</w:t>
            </w:r>
          </w:p>
        </w:tc>
        <w:tc>
          <w:tcPr>
            <w:tcW w:w="2251" w:type="dxa"/>
          </w:tcPr>
          <w:p w14:paraId="3CCADEBD" w14:textId="77777777" w:rsidR="00A20D18" w:rsidRPr="00883399" w:rsidRDefault="00A20D18" w:rsidP="00A34A43">
            <w:pPr>
              <w:pStyle w:val="TableText"/>
              <w:rPr>
                <w:szCs w:val="22"/>
              </w:rPr>
            </w:pPr>
          </w:p>
        </w:tc>
        <w:tc>
          <w:tcPr>
            <w:tcW w:w="4320" w:type="dxa"/>
          </w:tcPr>
          <w:p w14:paraId="4DCFD6EB" w14:textId="77777777" w:rsidR="00A20D18" w:rsidRPr="00883399" w:rsidRDefault="00A20D18" w:rsidP="00A34A43">
            <w:pPr>
              <w:pStyle w:val="TableText"/>
              <w:rPr>
                <w:szCs w:val="22"/>
              </w:rPr>
            </w:pPr>
            <w:r w:rsidRPr="00883399">
              <w:rPr>
                <w:szCs w:val="22"/>
              </w:rPr>
              <w:t>Other metals production</w:t>
            </w:r>
          </w:p>
        </w:tc>
      </w:tr>
      <w:tr w:rsidR="00A20D18" w:rsidRPr="00883399" w14:paraId="47E94122" w14:textId="77777777" w:rsidTr="00A34A43">
        <w:trPr>
          <w:cantSplit/>
        </w:trPr>
        <w:tc>
          <w:tcPr>
            <w:tcW w:w="749" w:type="dxa"/>
          </w:tcPr>
          <w:p w14:paraId="5423BAEC" w14:textId="77777777" w:rsidR="00A20D18" w:rsidRPr="00883399" w:rsidRDefault="00A20D18" w:rsidP="00A34A43">
            <w:pPr>
              <w:pStyle w:val="TableText"/>
              <w:ind w:left="227"/>
            </w:pPr>
            <w:r w:rsidRPr="00883399">
              <w:t>3O</w:t>
            </w:r>
          </w:p>
        </w:tc>
        <w:tc>
          <w:tcPr>
            <w:tcW w:w="2251" w:type="dxa"/>
          </w:tcPr>
          <w:p w14:paraId="79C6D40F" w14:textId="77777777" w:rsidR="00A20D18" w:rsidRPr="00883399" w:rsidRDefault="00A20D18" w:rsidP="00A34A43">
            <w:pPr>
              <w:pStyle w:val="TableText"/>
              <w:rPr>
                <w:szCs w:val="22"/>
              </w:rPr>
            </w:pPr>
          </w:p>
        </w:tc>
        <w:tc>
          <w:tcPr>
            <w:tcW w:w="4320" w:type="dxa"/>
          </w:tcPr>
          <w:p w14:paraId="5BC24BF8" w14:textId="77777777" w:rsidR="00A20D18" w:rsidRPr="00883399" w:rsidRDefault="00A20D18" w:rsidP="00A34A43">
            <w:pPr>
              <w:pStyle w:val="TableText"/>
              <w:rPr>
                <w:szCs w:val="22"/>
              </w:rPr>
            </w:pPr>
            <w:r w:rsidRPr="00883399">
              <w:rPr>
                <w:szCs w:val="22"/>
              </w:rPr>
              <w:t>Emissions of hydrofluorocarbons and sulphur hexafluoride gases</w:t>
            </w:r>
          </w:p>
        </w:tc>
      </w:tr>
      <w:tr w:rsidR="00A12EE6" w:rsidRPr="00883399" w14:paraId="4DFDEBF6" w14:textId="77777777" w:rsidTr="00A34A43">
        <w:trPr>
          <w:cantSplit/>
        </w:trPr>
        <w:tc>
          <w:tcPr>
            <w:tcW w:w="749" w:type="dxa"/>
          </w:tcPr>
          <w:p w14:paraId="5A749F99" w14:textId="77777777" w:rsidR="00A12EE6" w:rsidRPr="00883399" w:rsidRDefault="00A12EE6" w:rsidP="00A34A43">
            <w:pPr>
              <w:pStyle w:val="TableText"/>
              <w:spacing w:before="160"/>
              <w:ind w:left="227"/>
            </w:pPr>
            <w:r w:rsidRPr="00883399">
              <w:t>3P</w:t>
            </w:r>
          </w:p>
        </w:tc>
        <w:tc>
          <w:tcPr>
            <w:tcW w:w="2251" w:type="dxa"/>
          </w:tcPr>
          <w:p w14:paraId="471BA026" w14:textId="77777777" w:rsidR="00A12EE6" w:rsidRPr="00883399" w:rsidRDefault="00A12EE6" w:rsidP="00A34A43">
            <w:pPr>
              <w:pStyle w:val="TableText"/>
              <w:spacing w:before="160"/>
              <w:rPr>
                <w:szCs w:val="22"/>
              </w:rPr>
            </w:pPr>
          </w:p>
        </w:tc>
        <w:tc>
          <w:tcPr>
            <w:tcW w:w="4320" w:type="dxa"/>
          </w:tcPr>
          <w:p w14:paraId="09DBBD68" w14:textId="77777777" w:rsidR="00A12EE6" w:rsidRPr="00883399" w:rsidRDefault="004C139B" w:rsidP="00A34A43">
            <w:pPr>
              <w:pStyle w:val="TableText"/>
              <w:spacing w:before="160"/>
              <w:rPr>
                <w:szCs w:val="22"/>
              </w:rPr>
            </w:pPr>
            <w:r w:rsidRPr="00883399">
              <w:rPr>
                <w:szCs w:val="22"/>
              </w:rPr>
              <w:t>Sodium cyanide production</w:t>
            </w:r>
          </w:p>
        </w:tc>
      </w:tr>
      <w:tr w:rsidR="00A20D18" w:rsidRPr="00883399" w14:paraId="6598F995" w14:textId="77777777" w:rsidTr="00A34A43">
        <w:trPr>
          <w:cantSplit/>
        </w:trPr>
        <w:tc>
          <w:tcPr>
            <w:tcW w:w="749" w:type="dxa"/>
          </w:tcPr>
          <w:p w14:paraId="21522A84" w14:textId="77777777" w:rsidR="00A20D18" w:rsidRPr="00883399" w:rsidRDefault="00A20D18" w:rsidP="00A34A43">
            <w:pPr>
              <w:pStyle w:val="TableText"/>
              <w:spacing w:before="160"/>
              <w:ind w:left="227"/>
            </w:pPr>
            <w:r w:rsidRPr="00883399">
              <w:t>4</w:t>
            </w:r>
          </w:p>
        </w:tc>
        <w:tc>
          <w:tcPr>
            <w:tcW w:w="2251" w:type="dxa"/>
          </w:tcPr>
          <w:p w14:paraId="6835BDE0" w14:textId="77777777" w:rsidR="00A20D18" w:rsidRPr="00883399" w:rsidRDefault="00A20D18" w:rsidP="00A34A43">
            <w:pPr>
              <w:pStyle w:val="TableText"/>
              <w:spacing w:before="160"/>
              <w:rPr>
                <w:szCs w:val="22"/>
              </w:rPr>
            </w:pPr>
            <w:r w:rsidRPr="00883399">
              <w:rPr>
                <w:szCs w:val="22"/>
              </w:rPr>
              <w:t>Waste</w:t>
            </w:r>
          </w:p>
        </w:tc>
        <w:tc>
          <w:tcPr>
            <w:tcW w:w="4320" w:type="dxa"/>
          </w:tcPr>
          <w:p w14:paraId="70C235DB" w14:textId="77777777" w:rsidR="00A20D18" w:rsidRPr="00883399" w:rsidRDefault="00A20D18" w:rsidP="00A34A43">
            <w:pPr>
              <w:pStyle w:val="TableText"/>
              <w:spacing w:before="160"/>
              <w:rPr>
                <w:szCs w:val="22"/>
              </w:rPr>
            </w:pPr>
          </w:p>
        </w:tc>
      </w:tr>
      <w:tr w:rsidR="00A20D18" w:rsidRPr="00883399" w14:paraId="7AEAB91D" w14:textId="77777777" w:rsidTr="00A34A43">
        <w:trPr>
          <w:cantSplit/>
        </w:trPr>
        <w:tc>
          <w:tcPr>
            <w:tcW w:w="749" w:type="dxa"/>
          </w:tcPr>
          <w:p w14:paraId="38ABC00A" w14:textId="77777777" w:rsidR="00A20D18" w:rsidRPr="00883399" w:rsidRDefault="00A20D18" w:rsidP="00A34A43">
            <w:pPr>
              <w:pStyle w:val="TableText"/>
              <w:ind w:left="227"/>
            </w:pPr>
            <w:r w:rsidRPr="00883399">
              <w:t>4A</w:t>
            </w:r>
          </w:p>
        </w:tc>
        <w:tc>
          <w:tcPr>
            <w:tcW w:w="2251" w:type="dxa"/>
          </w:tcPr>
          <w:p w14:paraId="2FF32397" w14:textId="77777777" w:rsidR="00A20D18" w:rsidRPr="00883399" w:rsidRDefault="00A20D18" w:rsidP="00A34A43">
            <w:pPr>
              <w:pStyle w:val="TableText"/>
              <w:rPr>
                <w:szCs w:val="22"/>
              </w:rPr>
            </w:pPr>
          </w:p>
        </w:tc>
        <w:tc>
          <w:tcPr>
            <w:tcW w:w="4320" w:type="dxa"/>
          </w:tcPr>
          <w:p w14:paraId="1DA9172C" w14:textId="77777777" w:rsidR="00A20D18" w:rsidRPr="00883399" w:rsidRDefault="00A20D18" w:rsidP="00A34A43">
            <w:pPr>
              <w:pStyle w:val="TableText"/>
              <w:rPr>
                <w:szCs w:val="22"/>
              </w:rPr>
            </w:pPr>
            <w:r w:rsidRPr="00883399">
              <w:rPr>
                <w:szCs w:val="22"/>
              </w:rPr>
              <w:t>Solid waste disposal on land</w:t>
            </w:r>
          </w:p>
        </w:tc>
      </w:tr>
      <w:tr w:rsidR="00A20D18" w:rsidRPr="00883399" w14:paraId="5D5793CE" w14:textId="77777777" w:rsidTr="00A34A43">
        <w:trPr>
          <w:cantSplit/>
        </w:trPr>
        <w:tc>
          <w:tcPr>
            <w:tcW w:w="749" w:type="dxa"/>
          </w:tcPr>
          <w:p w14:paraId="19CC8E57" w14:textId="77777777" w:rsidR="00A20D18" w:rsidRPr="00883399" w:rsidRDefault="00A20D18" w:rsidP="00A34A43">
            <w:pPr>
              <w:pStyle w:val="TableText"/>
              <w:ind w:left="227"/>
            </w:pPr>
            <w:r w:rsidRPr="00883399">
              <w:t>4B</w:t>
            </w:r>
          </w:p>
        </w:tc>
        <w:tc>
          <w:tcPr>
            <w:tcW w:w="2251" w:type="dxa"/>
          </w:tcPr>
          <w:p w14:paraId="577D5C5F" w14:textId="77777777" w:rsidR="00A20D18" w:rsidRPr="00883399" w:rsidRDefault="00A20D18" w:rsidP="00A34A43">
            <w:pPr>
              <w:pStyle w:val="TableText"/>
              <w:rPr>
                <w:szCs w:val="22"/>
              </w:rPr>
            </w:pPr>
          </w:p>
        </w:tc>
        <w:tc>
          <w:tcPr>
            <w:tcW w:w="4320" w:type="dxa"/>
          </w:tcPr>
          <w:p w14:paraId="7F4D8E43" w14:textId="77777777" w:rsidR="00A20D18" w:rsidRPr="00883399" w:rsidRDefault="00A20D18" w:rsidP="00A34A43">
            <w:pPr>
              <w:pStyle w:val="TableText"/>
              <w:rPr>
                <w:szCs w:val="22"/>
              </w:rPr>
            </w:pPr>
            <w:r w:rsidRPr="00883399">
              <w:rPr>
                <w:szCs w:val="22"/>
              </w:rPr>
              <w:t>Wastewater handling (industrial)</w:t>
            </w:r>
          </w:p>
        </w:tc>
      </w:tr>
      <w:tr w:rsidR="00A20D18" w:rsidRPr="00883399" w14:paraId="11D398A8" w14:textId="77777777" w:rsidTr="00A34A43">
        <w:trPr>
          <w:cantSplit/>
        </w:trPr>
        <w:tc>
          <w:tcPr>
            <w:tcW w:w="749" w:type="dxa"/>
          </w:tcPr>
          <w:p w14:paraId="03CE1C3B" w14:textId="77777777" w:rsidR="00A20D18" w:rsidRPr="00883399" w:rsidRDefault="00A20D18" w:rsidP="00A34A43">
            <w:pPr>
              <w:pStyle w:val="TableText"/>
              <w:ind w:left="227"/>
            </w:pPr>
            <w:r w:rsidRPr="00883399">
              <w:t>4C</w:t>
            </w:r>
          </w:p>
        </w:tc>
        <w:tc>
          <w:tcPr>
            <w:tcW w:w="2251" w:type="dxa"/>
          </w:tcPr>
          <w:p w14:paraId="151DC779" w14:textId="77777777" w:rsidR="00A20D18" w:rsidRPr="00883399" w:rsidRDefault="00A20D18" w:rsidP="00A34A43">
            <w:pPr>
              <w:pStyle w:val="TableText"/>
              <w:rPr>
                <w:szCs w:val="22"/>
              </w:rPr>
            </w:pPr>
          </w:p>
        </w:tc>
        <w:tc>
          <w:tcPr>
            <w:tcW w:w="4320" w:type="dxa"/>
          </w:tcPr>
          <w:p w14:paraId="327A1DBD" w14:textId="77777777" w:rsidR="00A20D18" w:rsidRPr="00883399" w:rsidRDefault="00A20D18" w:rsidP="00A34A43">
            <w:pPr>
              <w:pStyle w:val="TableText"/>
              <w:rPr>
                <w:szCs w:val="22"/>
              </w:rPr>
            </w:pPr>
            <w:r w:rsidRPr="00883399">
              <w:rPr>
                <w:szCs w:val="22"/>
              </w:rPr>
              <w:t>Wastewater handling (domestic or commercial)</w:t>
            </w:r>
          </w:p>
        </w:tc>
      </w:tr>
      <w:tr w:rsidR="00A20D18" w:rsidRPr="00883399" w14:paraId="544E1722" w14:textId="77777777" w:rsidTr="00A34A43">
        <w:trPr>
          <w:cantSplit/>
        </w:trPr>
        <w:tc>
          <w:tcPr>
            <w:tcW w:w="749" w:type="dxa"/>
          </w:tcPr>
          <w:p w14:paraId="7D9412F5" w14:textId="77777777" w:rsidR="00A20D18" w:rsidRPr="00883399" w:rsidRDefault="00A20D18" w:rsidP="00A34A43">
            <w:pPr>
              <w:pStyle w:val="TableText"/>
              <w:ind w:left="227"/>
            </w:pPr>
            <w:r w:rsidRPr="00883399">
              <w:t>4D</w:t>
            </w:r>
          </w:p>
        </w:tc>
        <w:tc>
          <w:tcPr>
            <w:tcW w:w="2251" w:type="dxa"/>
          </w:tcPr>
          <w:p w14:paraId="34A84E78" w14:textId="77777777" w:rsidR="00A20D18" w:rsidRPr="00883399" w:rsidRDefault="00A20D18" w:rsidP="00A34A43">
            <w:pPr>
              <w:pStyle w:val="TableText"/>
              <w:rPr>
                <w:szCs w:val="22"/>
              </w:rPr>
            </w:pPr>
          </w:p>
        </w:tc>
        <w:tc>
          <w:tcPr>
            <w:tcW w:w="4320" w:type="dxa"/>
          </w:tcPr>
          <w:p w14:paraId="37D72909" w14:textId="77777777" w:rsidR="00A20D18" w:rsidRPr="00883399" w:rsidRDefault="00A20D18" w:rsidP="00A34A43">
            <w:pPr>
              <w:pStyle w:val="TableText"/>
              <w:rPr>
                <w:szCs w:val="22"/>
              </w:rPr>
            </w:pPr>
            <w:r w:rsidRPr="00883399">
              <w:rPr>
                <w:szCs w:val="22"/>
              </w:rPr>
              <w:t>Waste incineration</w:t>
            </w:r>
          </w:p>
        </w:tc>
      </w:tr>
    </w:tbl>
    <w:p w14:paraId="52DA5D86" w14:textId="29166900" w:rsidR="007B71BF" w:rsidRPr="00883399" w:rsidRDefault="007B71BF" w:rsidP="004B1115">
      <w:pPr>
        <w:pStyle w:val="ActHead2"/>
        <w:pageBreakBefore/>
        <w:ind w:left="0" w:firstLine="0"/>
        <w:rPr>
          <w:sz w:val="36"/>
        </w:rPr>
      </w:pPr>
      <w:bookmarkStart w:id="28" w:name="_Toc423516678"/>
      <w:bookmarkStart w:id="29" w:name="_Toc495652590"/>
      <w:r w:rsidRPr="00883399">
        <w:rPr>
          <w:rStyle w:val="CharPartNo"/>
          <w:sz w:val="36"/>
        </w:rPr>
        <w:lastRenderedPageBreak/>
        <w:t>Part 1.2</w:t>
      </w:r>
      <w:r w:rsidRPr="00883399">
        <w:rPr>
          <w:sz w:val="36"/>
        </w:rPr>
        <w:t>—</w:t>
      </w:r>
      <w:r w:rsidRPr="00883399">
        <w:rPr>
          <w:rStyle w:val="CharPartText"/>
          <w:sz w:val="36"/>
        </w:rPr>
        <w:t>General</w:t>
      </w:r>
      <w:bookmarkEnd w:id="28"/>
      <w:bookmarkEnd w:id="29"/>
    </w:p>
    <w:p w14:paraId="1E42C648" w14:textId="77C0301F" w:rsidR="007B71BF" w:rsidRPr="00883399" w:rsidRDefault="007B71BF" w:rsidP="007B71BF">
      <w:pPr>
        <w:pStyle w:val="ActHead5"/>
        <w:rPr>
          <w:sz w:val="28"/>
        </w:rPr>
      </w:pPr>
      <w:bookmarkStart w:id="30" w:name="_Toc423516679"/>
      <w:bookmarkStart w:id="31" w:name="_Toc495652591"/>
      <w:r w:rsidRPr="00883399">
        <w:rPr>
          <w:rStyle w:val="CharSectno"/>
          <w:sz w:val="28"/>
        </w:rPr>
        <w:t>1.11</w:t>
      </w:r>
      <w:r w:rsidRPr="00883399">
        <w:rPr>
          <w:sz w:val="28"/>
        </w:rPr>
        <w:t xml:space="preserve">  Purpose of Part</w:t>
      </w:r>
      <w:bookmarkEnd w:id="30"/>
      <w:bookmarkEnd w:id="31"/>
    </w:p>
    <w:p w14:paraId="02BD8184" w14:textId="77777777" w:rsidR="007261F7" w:rsidRPr="00883399" w:rsidRDefault="007261F7" w:rsidP="00B97294">
      <w:pPr>
        <w:pStyle w:val="R1"/>
      </w:pPr>
      <w:r w:rsidRPr="00883399">
        <w:tab/>
      </w:r>
      <w:r w:rsidRPr="00883399">
        <w:tab/>
        <w:t>This Part provides for general matters as follows:</w:t>
      </w:r>
    </w:p>
    <w:p w14:paraId="3B1E51C3" w14:textId="77777777" w:rsidR="007261F7" w:rsidRPr="00883399" w:rsidRDefault="007261F7">
      <w:pPr>
        <w:pStyle w:val="P1"/>
      </w:pPr>
      <w:r w:rsidRPr="00883399">
        <w:tab/>
        <w:t>(a)</w:t>
      </w:r>
      <w:r w:rsidRPr="00883399">
        <w:tab/>
        <w:t>Division 1.2.1 provides for the measurement of emissions and also deals with standards;</w:t>
      </w:r>
    </w:p>
    <w:p w14:paraId="15337126" w14:textId="77777777" w:rsidR="007261F7" w:rsidRPr="00883399" w:rsidRDefault="007261F7">
      <w:pPr>
        <w:pStyle w:val="P1"/>
      </w:pPr>
      <w:r w:rsidRPr="00883399">
        <w:tab/>
        <w:t>(b)</w:t>
      </w:r>
      <w:r w:rsidRPr="00883399">
        <w:tab/>
        <w:t>Division 1.2.2 provides for methods for measuring emissions.</w:t>
      </w:r>
    </w:p>
    <w:p w14:paraId="718877F9" w14:textId="77777777" w:rsidR="007B71BF" w:rsidRPr="00883399" w:rsidRDefault="007B71BF" w:rsidP="007B71BF">
      <w:pPr>
        <w:pStyle w:val="ActHead3"/>
        <w:rPr>
          <w:sz w:val="32"/>
        </w:rPr>
      </w:pPr>
      <w:bookmarkStart w:id="32" w:name="_Toc423516680"/>
      <w:bookmarkStart w:id="33" w:name="_Toc495652592"/>
      <w:bookmarkStart w:id="34" w:name="_Toc227733597"/>
      <w:bookmarkStart w:id="35" w:name="_Toc265135092"/>
      <w:r w:rsidRPr="00883399">
        <w:rPr>
          <w:rStyle w:val="CharDivNo"/>
          <w:sz w:val="32"/>
        </w:rPr>
        <w:t>Division 1.2.1</w:t>
      </w:r>
      <w:r w:rsidRPr="00883399">
        <w:rPr>
          <w:sz w:val="32"/>
        </w:rPr>
        <w:t>—</w:t>
      </w:r>
      <w:r w:rsidRPr="00883399">
        <w:rPr>
          <w:rStyle w:val="CharDivText"/>
          <w:sz w:val="32"/>
        </w:rPr>
        <w:t>Measurement and standards</w:t>
      </w:r>
      <w:bookmarkEnd w:id="32"/>
      <w:bookmarkEnd w:id="33"/>
    </w:p>
    <w:p w14:paraId="1B6F7C00" w14:textId="395C2B0D" w:rsidR="007B71BF" w:rsidRPr="00883399" w:rsidRDefault="007B71BF" w:rsidP="007B71BF">
      <w:pPr>
        <w:pStyle w:val="ActHead5"/>
        <w:rPr>
          <w:sz w:val="28"/>
        </w:rPr>
      </w:pPr>
      <w:bookmarkStart w:id="36" w:name="_Toc423516681"/>
      <w:bookmarkStart w:id="37" w:name="_Toc495652593"/>
      <w:bookmarkEnd w:id="34"/>
      <w:bookmarkEnd w:id="35"/>
      <w:r w:rsidRPr="00883399">
        <w:rPr>
          <w:rStyle w:val="CharSectno"/>
          <w:sz w:val="28"/>
        </w:rPr>
        <w:t>1.12</w:t>
      </w:r>
      <w:r w:rsidRPr="00883399">
        <w:rPr>
          <w:sz w:val="28"/>
        </w:rPr>
        <w:t xml:space="preserve">  Measurement of emissions</w:t>
      </w:r>
      <w:bookmarkEnd w:id="36"/>
      <w:bookmarkEnd w:id="37"/>
    </w:p>
    <w:p w14:paraId="1EF4DF3F" w14:textId="77777777" w:rsidR="007261F7" w:rsidRPr="00883399" w:rsidRDefault="007261F7">
      <w:pPr>
        <w:pStyle w:val="R1"/>
      </w:pPr>
      <w:r w:rsidRPr="00883399">
        <w:tab/>
      </w:r>
      <w:r w:rsidRPr="00883399">
        <w:tab/>
        <w:t>The measurement of emissions released from the operation of a facility is to be done by estimating the emissions in accordance with this Determination.</w:t>
      </w:r>
    </w:p>
    <w:p w14:paraId="33254629" w14:textId="1BD57825" w:rsidR="007261F7" w:rsidRPr="00883399" w:rsidRDefault="007261F7">
      <w:pPr>
        <w:pStyle w:val="HR"/>
        <w:rPr>
          <w:rFonts w:ascii="Times New Roman" w:hAnsi="Times New Roman"/>
          <w:kern w:val="28"/>
          <w:sz w:val="28"/>
          <w:szCs w:val="20"/>
        </w:rPr>
      </w:pPr>
      <w:bookmarkStart w:id="38" w:name="_Toc227733598"/>
      <w:bookmarkStart w:id="39" w:name="_Toc265135093"/>
      <w:bookmarkStart w:id="40" w:name="_Toc495652594"/>
      <w:r w:rsidRPr="00883399">
        <w:rPr>
          <w:rFonts w:ascii="Times New Roman" w:hAnsi="Times New Roman"/>
          <w:kern w:val="28"/>
          <w:sz w:val="28"/>
          <w:szCs w:val="20"/>
        </w:rPr>
        <w:t>1.13</w:t>
      </w:r>
      <w:r w:rsidRPr="00883399">
        <w:rPr>
          <w:rFonts w:ascii="Times New Roman" w:hAnsi="Times New Roman"/>
          <w:kern w:val="28"/>
          <w:sz w:val="28"/>
          <w:szCs w:val="20"/>
        </w:rPr>
        <w:tab/>
        <w:t>General principles for measuring emissions</w:t>
      </w:r>
      <w:bookmarkEnd w:id="38"/>
      <w:bookmarkEnd w:id="39"/>
      <w:bookmarkEnd w:id="40"/>
    </w:p>
    <w:p w14:paraId="3801574E" w14:textId="77777777" w:rsidR="00317550" w:rsidRPr="00883399" w:rsidRDefault="007261F7" w:rsidP="00317550">
      <w:pPr>
        <w:pStyle w:val="subsection"/>
        <w:rPr>
          <w:sz w:val="24"/>
        </w:rPr>
      </w:pPr>
      <w:r w:rsidRPr="00883399">
        <w:tab/>
      </w:r>
      <w:r w:rsidR="00317550" w:rsidRPr="00883399">
        <w:rPr>
          <w:sz w:val="24"/>
        </w:rPr>
        <w:tab/>
        <w:t>Estimates for this Determination must be prepared in accordance with the following principles:</w:t>
      </w:r>
    </w:p>
    <w:p w14:paraId="267F1EF5" w14:textId="77777777" w:rsidR="00317550" w:rsidRPr="00883399" w:rsidRDefault="00317550" w:rsidP="00317550">
      <w:pPr>
        <w:pStyle w:val="paragraph"/>
        <w:rPr>
          <w:sz w:val="24"/>
        </w:rPr>
      </w:pPr>
      <w:r w:rsidRPr="00883399">
        <w:rPr>
          <w:sz w:val="24"/>
        </w:rPr>
        <w:tab/>
        <w:t>(a)</w:t>
      </w:r>
      <w:r w:rsidRPr="00883399">
        <w:rPr>
          <w:sz w:val="24"/>
        </w:rPr>
        <w:tab/>
        <w:t>transparency—emission estimates must be documented and verifiable;</w:t>
      </w:r>
    </w:p>
    <w:p w14:paraId="75D36BC0" w14:textId="77777777" w:rsidR="00317550" w:rsidRPr="00883399" w:rsidRDefault="00317550" w:rsidP="00317550">
      <w:pPr>
        <w:pStyle w:val="paragraph"/>
        <w:rPr>
          <w:sz w:val="24"/>
        </w:rPr>
      </w:pPr>
      <w:r w:rsidRPr="00883399">
        <w:rPr>
          <w:sz w:val="24"/>
        </w:rPr>
        <w:tab/>
        <w:t>(b)</w:t>
      </w:r>
      <w:r w:rsidRPr="00883399">
        <w:rPr>
          <w:sz w:val="24"/>
        </w:rPr>
        <w:tab/>
        <w:t>comparability—emission estimates using a particular method and produced by a registered corporation or liable entity in an industry sector must be comparable with emission estimates produced by similar corporations or entities in that industry sector using the same method and consistent with the emission estimates published by the Department in the National Greenhouse Accounts;</w:t>
      </w:r>
    </w:p>
    <w:p w14:paraId="4AD9A148" w14:textId="77777777" w:rsidR="00317550" w:rsidRPr="00883399" w:rsidRDefault="00317550" w:rsidP="00317550">
      <w:pPr>
        <w:pStyle w:val="paragraph"/>
        <w:rPr>
          <w:sz w:val="24"/>
        </w:rPr>
      </w:pPr>
      <w:r w:rsidRPr="00883399">
        <w:rPr>
          <w:sz w:val="24"/>
        </w:rPr>
        <w:tab/>
        <w:t>(c)</w:t>
      </w:r>
      <w:r w:rsidRPr="00883399">
        <w:rPr>
          <w:sz w:val="24"/>
        </w:rPr>
        <w:tab/>
      </w:r>
      <w:r w:rsidRPr="00883399">
        <w:rPr>
          <w:iCs/>
          <w:sz w:val="24"/>
        </w:rPr>
        <w:t>accuracy</w:t>
      </w:r>
      <w:r w:rsidRPr="00883399">
        <w:rPr>
          <w:sz w:val="24"/>
        </w:rPr>
        <w:t>—having regard to the availability of reasonable resources by a registered corporation or liable entity and the requirements of this Determination, uncertainties in emission estimates must be minimised and any estimates must neither be over nor under estimates of the true values at a 95% confidence level;</w:t>
      </w:r>
    </w:p>
    <w:p w14:paraId="1A0D1CCD" w14:textId="77777777" w:rsidR="00317550" w:rsidRPr="00883399" w:rsidRDefault="00317550" w:rsidP="00317550">
      <w:pPr>
        <w:pStyle w:val="paragraph"/>
        <w:rPr>
          <w:sz w:val="24"/>
        </w:rPr>
      </w:pPr>
      <w:r w:rsidRPr="00883399">
        <w:rPr>
          <w:sz w:val="24"/>
        </w:rPr>
        <w:tab/>
        <w:t>(d)</w:t>
      </w:r>
      <w:r w:rsidRPr="00883399">
        <w:rPr>
          <w:sz w:val="24"/>
        </w:rPr>
        <w:tab/>
      </w:r>
      <w:r w:rsidRPr="00883399">
        <w:rPr>
          <w:iCs/>
          <w:sz w:val="24"/>
        </w:rPr>
        <w:t>completeness</w:t>
      </w:r>
      <w:r w:rsidRPr="00883399">
        <w:rPr>
          <w:sz w:val="24"/>
        </w:rPr>
        <w:t>—all identifiable emission sources mentioned in section 1.10 must be accounted for.</w:t>
      </w:r>
    </w:p>
    <w:p w14:paraId="0416AF8E" w14:textId="77777777" w:rsidR="00132145" w:rsidRPr="00883399" w:rsidRDefault="00CA008E" w:rsidP="00317550">
      <w:pPr>
        <w:pStyle w:val="R1"/>
        <w:keepLines w:val="0"/>
        <w:spacing w:before="240" w:line="312" w:lineRule="auto"/>
        <w:ind w:left="0" w:firstLine="0"/>
        <w:jc w:val="left"/>
        <w:rPr>
          <w:rFonts w:ascii="Arial" w:hAnsi="Arial" w:cs="Arial"/>
          <w:sz w:val="22"/>
          <w:szCs w:val="22"/>
        </w:rPr>
      </w:pPr>
      <w:r w:rsidRPr="00883399">
        <w:rPr>
          <w:rFonts w:ascii="Arial" w:hAnsi="Arial" w:cs="Arial"/>
          <w:sz w:val="22"/>
          <w:szCs w:val="22"/>
        </w:rPr>
        <w:t xml:space="preserve">Time series consistency is also an important principle for measuring emissions. Chapter 5 of Volume 1 of the 2006 IPCC Guidelines for National Greenhouse Gas Inventories provides a detailed discussion of the issue. In short reporters should aim to estimate emissions in a time series consistently, which means that as far as possible, the time series should be calculated using </w:t>
      </w:r>
      <w:r w:rsidR="00132145" w:rsidRPr="00883399">
        <w:rPr>
          <w:rFonts w:ascii="Arial" w:hAnsi="Arial" w:cs="Arial"/>
          <w:sz w:val="22"/>
          <w:szCs w:val="22"/>
        </w:rPr>
        <w:t>a consistent</w:t>
      </w:r>
      <w:r w:rsidRPr="00883399">
        <w:rPr>
          <w:rFonts w:ascii="Arial" w:hAnsi="Arial" w:cs="Arial"/>
          <w:sz w:val="22"/>
          <w:szCs w:val="22"/>
        </w:rPr>
        <w:t xml:space="preserve"> method and data sources</w:t>
      </w:r>
      <w:r w:rsidR="00132145" w:rsidRPr="00883399">
        <w:rPr>
          <w:rFonts w:ascii="Arial" w:hAnsi="Arial" w:cs="Arial"/>
          <w:sz w:val="22"/>
          <w:szCs w:val="22"/>
        </w:rPr>
        <w:t xml:space="preserve"> over time</w:t>
      </w:r>
      <w:r w:rsidRPr="00883399">
        <w:rPr>
          <w:rFonts w:ascii="Arial" w:hAnsi="Arial" w:cs="Arial"/>
          <w:sz w:val="22"/>
          <w:szCs w:val="22"/>
        </w:rPr>
        <w:t xml:space="preserve">. </w:t>
      </w:r>
      <w:r w:rsidR="009120F8" w:rsidRPr="00883399">
        <w:rPr>
          <w:rFonts w:ascii="Arial" w:hAnsi="Arial" w:cs="Arial"/>
          <w:sz w:val="22"/>
          <w:szCs w:val="22"/>
        </w:rPr>
        <w:t>Restrictions on the method to be used for a source</w:t>
      </w:r>
      <w:r w:rsidR="00132145" w:rsidRPr="00883399">
        <w:rPr>
          <w:rFonts w:ascii="Arial" w:hAnsi="Arial" w:cs="Arial"/>
          <w:sz w:val="22"/>
          <w:szCs w:val="22"/>
        </w:rPr>
        <w:t xml:space="preserve">, provided in </w:t>
      </w:r>
      <w:r w:rsidR="00132145" w:rsidRPr="00883399">
        <w:rPr>
          <w:rFonts w:ascii="Arial" w:hAnsi="Arial" w:cs="Arial"/>
          <w:sz w:val="22"/>
          <w:szCs w:val="22"/>
        </w:rPr>
        <w:lastRenderedPageBreak/>
        <w:t>Division 1.2.2,</w:t>
      </w:r>
      <w:r w:rsidR="009120F8" w:rsidRPr="00883399">
        <w:rPr>
          <w:rFonts w:ascii="Arial" w:hAnsi="Arial" w:cs="Arial"/>
          <w:sz w:val="22"/>
          <w:szCs w:val="22"/>
        </w:rPr>
        <w:t xml:space="preserve"> </w:t>
      </w:r>
      <w:r w:rsidR="00132145" w:rsidRPr="00883399">
        <w:rPr>
          <w:rFonts w:ascii="Arial" w:hAnsi="Arial" w:cs="Arial"/>
          <w:sz w:val="22"/>
          <w:szCs w:val="22"/>
        </w:rPr>
        <w:t>and the criteria for measurement, provided in Part 1.3, and Divisions 2.2.5, 2.3.6, 2.4.6 and 4.2.5,</w:t>
      </w:r>
      <w:r w:rsidR="009120F8" w:rsidRPr="00883399">
        <w:rPr>
          <w:rFonts w:ascii="Arial" w:hAnsi="Arial" w:cs="Arial"/>
          <w:sz w:val="22"/>
          <w:szCs w:val="22"/>
        </w:rPr>
        <w:t xml:space="preserve"> have been put in place to </w:t>
      </w:r>
      <w:r w:rsidR="00132145" w:rsidRPr="00883399">
        <w:rPr>
          <w:rFonts w:ascii="Arial" w:hAnsi="Arial" w:cs="Arial"/>
          <w:sz w:val="22"/>
          <w:szCs w:val="22"/>
        </w:rPr>
        <w:t xml:space="preserve">promote </w:t>
      </w:r>
      <w:r w:rsidR="009120F8" w:rsidRPr="00883399">
        <w:rPr>
          <w:rFonts w:ascii="Arial" w:hAnsi="Arial" w:cs="Arial"/>
          <w:sz w:val="22"/>
          <w:szCs w:val="22"/>
        </w:rPr>
        <w:t xml:space="preserve">time series consistency. </w:t>
      </w:r>
      <w:r w:rsidR="007261F7" w:rsidRPr="00883399">
        <w:rPr>
          <w:rFonts w:ascii="Arial" w:hAnsi="Arial" w:cs="Arial"/>
          <w:sz w:val="22"/>
          <w:szCs w:val="22"/>
        </w:rPr>
        <w:t>These principles are derived from those that apply to the preparation of national inventories.</w:t>
      </w:r>
      <w:r w:rsidR="00F15A3E" w:rsidRPr="00883399">
        <w:rPr>
          <w:rFonts w:ascii="Arial" w:hAnsi="Arial" w:cs="Arial"/>
          <w:sz w:val="22"/>
          <w:szCs w:val="22"/>
        </w:rPr>
        <w:t xml:space="preserve"> </w:t>
      </w:r>
    </w:p>
    <w:p w14:paraId="75598E35" w14:textId="77777777" w:rsidR="00471003" w:rsidRPr="00883399" w:rsidRDefault="00471003" w:rsidP="00317550">
      <w:pPr>
        <w:pStyle w:val="R1"/>
        <w:keepLines w:val="0"/>
        <w:spacing w:before="240" w:line="312" w:lineRule="auto"/>
        <w:ind w:left="0" w:firstLine="0"/>
        <w:jc w:val="left"/>
        <w:rPr>
          <w:rFonts w:ascii="Arial" w:hAnsi="Arial" w:cs="Arial"/>
          <w:sz w:val="22"/>
          <w:szCs w:val="22"/>
        </w:rPr>
      </w:pPr>
      <w:r w:rsidRPr="00883399">
        <w:rPr>
          <w:rFonts w:ascii="Arial" w:hAnsi="Arial" w:cs="Arial"/>
          <w:sz w:val="22"/>
          <w:szCs w:val="22"/>
        </w:rPr>
        <w:t>Note that there is a difference in meaning between the common usage of the word "confidence" and its statistical usage in relation to ‘95% confidence level’.</w:t>
      </w:r>
      <w:r w:rsidR="00D67206" w:rsidRPr="00883399">
        <w:rPr>
          <w:rFonts w:ascii="Arial" w:hAnsi="Arial" w:cs="Arial"/>
          <w:sz w:val="22"/>
          <w:szCs w:val="22"/>
        </w:rPr>
        <w:t xml:space="preserve"> For an explanation of ‘95% confidence level’ please refer to Chapter 8.</w:t>
      </w:r>
    </w:p>
    <w:p w14:paraId="07B18D3B" w14:textId="0AF31399" w:rsidR="007261F7" w:rsidRPr="00883399" w:rsidRDefault="007261F7">
      <w:pPr>
        <w:pStyle w:val="HR"/>
        <w:rPr>
          <w:rFonts w:ascii="Times New Roman" w:hAnsi="Times New Roman"/>
          <w:kern w:val="28"/>
          <w:sz w:val="28"/>
          <w:szCs w:val="20"/>
        </w:rPr>
      </w:pPr>
      <w:bookmarkStart w:id="41" w:name="_Toc227733599"/>
      <w:bookmarkStart w:id="42" w:name="_Toc265135094"/>
      <w:bookmarkStart w:id="43" w:name="_Toc495652595"/>
      <w:r w:rsidRPr="00883399">
        <w:rPr>
          <w:rFonts w:ascii="Times New Roman" w:hAnsi="Times New Roman"/>
          <w:kern w:val="28"/>
          <w:sz w:val="28"/>
          <w:szCs w:val="20"/>
        </w:rPr>
        <w:t>1.14</w:t>
      </w:r>
      <w:r w:rsidRPr="00883399">
        <w:rPr>
          <w:rFonts w:ascii="Times New Roman" w:hAnsi="Times New Roman"/>
          <w:kern w:val="28"/>
          <w:sz w:val="28"/>
          <w:szCs w:val="20"/>
        </w:rPr>
        <w:tab/>
        <w:t>Assessment of uncertainty</w:t>
      </w:r>
      <w:bookmarkEnd w:id="41"/>
      <w:bookmarkEnd w:id="42"/>
      <w:bookmarkEnd w:id="43"/>
    </w:p>
    <w:p w14:paraId="4183BB38" w14:textId="77777777" w:rsidR="007261F7" w:rsidRPr="00883399" w:rsidRDefault="007261F7">
      <w:pPr>
        <w:pStyle w:val="R1"/>
      </w:pPr>
      <w:r w:rsidRPr="00883399">
        <w:tab/>
      </w:r>
      <w:r w:rsidRPr="00883399">
        <w:tab/>
        <w:t xml:space="preserve">The estimate of emissions released from the operation of a facility must include assessment of uncertainty in accordance with Chapter 8.    </w:t>
      </w:r>
    </w:p>
    <w:p w14:paraId="75B22251" w14:textId="77777777" w:rsidR="009579B9" w:rsidRPr="00883399" w:rsidRDefault="007261F7" w:rsidP="00CE046E">
      <w:pPr>
        <w:pStyle w:val="R1"/>
        <w:keepLines w:val="0"/>
        <w:spacing w:before="240" w:line="312" w:lineRule="auto"/>
        <w:ind w:left="0" w:firstLine="0"/>
        <w:jc w:val="left"/>
        <w:rPr>
          <w:rFonts w:ascii="Arial" w:hAnsi="Arial" w:cs="Arial"/>
          <w:sz w:val="22"/>
          <w:szCs w:val="22"/>
        </w:rPr>
      </w:pPr>
      <w:r w:rsidRPr="00883399">
        <w:tab/>
      </w:r>
      <w:r w:rsidR="003C0939" w:rsidRPr="00883399">
        <w:rPr>
          <w:rFonts w:ascii="Arial" w:hAnsi="Arial" w:cs="Arial"/>
          <w:sz w:val="22"/>
          <w:szCs w:val="22"/>
        </w:rPr>
        <w:t xml:space="preserve">A standardised approach to estimation of uncertainty of emissions estimates has been provided in Chapter 8.  </w:t>
      </w:r>
    </w:p>
    <w:p w14:paraId="4DDB687F" w14:textId="77777777" w:rsidR="00C627CE" w:rsidRPr="00883399" w:rsidRDefault="00C627CE" w:rsidP="00C627CE">
      <w:pPr>
        <w:pStyle w:val="R1"/>
        <w:tabs>
          <w:tab w:val="clear" w:pos="794"/>
          <w:tab w:val="right" w:pos="-120"/>
        </w:tabs>
        <w:spacing w:before="240" w:line="312" w:lineRule="auto"/>
        <w:ind w:left="0" w:firstLine="0"/>
        <w:jc w:val="left"/>
        <w:rPr>
          <w:rFonts w:ascii="Arial" w:hAnsi="Arial" w:cs="Arial"/>
          <w:sz w:val="22"/>
          <w:szCs w:val="22"/>
        </w:rPr>
      </w:pPr>
      <w:r w:rsidRPr="00883399">
        <w:rPr>
          <w:rFonts w:ascii="Arial" w:hAnsi="Arial" w:cs="Arial"/>
          <w:sz w:val="22"/>
          <w:szCs w:val="22"/>
        </w:rPr>
        <w:t>Proposed changes to the NGER Regulations will only require reporters with emissions of more than 25 kilotonnes of CO</w:t>
      </w:r>
      <w:r w:rsidRPr="00883399">
        <w:rPr>
          <w:rFonts w:ascii="Arial" w:hAnsi="Arial" w:cs="Arial"/>
          <w:sz w:val="22"/>
          <w:szCs w:val="22"/>
          <w:vertAlign w:val="subscript"/>
        </w:rPr>
        <w:t>2</w:t>
      </w:r>
      <w:r w:rsidRPr="00883399">
        <w:rPr>
          <w:rFonts w:ascii="Arial" w:hAnsi="Arial" w:cs="Arial"/>
          <w:sz w:val="22"/>
          <w:szCs w:val="22"/>
        </w:rPr>
        <w:t>-e from the combustion of a fuel type, or a source other than fuel combustion to calculate and report the statistical uncertainty associated with their scope 1 emissions. Sources are defined in section 1.10 of the Measurement Determination and fuel types are set out in Schedule 1 of the NGER Regulations.</w:t>
      </w:r>
    </w:p>
    <w:p w14:paraId="7544BFB4" w14:textId="39C5486C" w:rsidR="007261F7" w:rsidRPr="00883399" w:rsidRDefault="007261F7" w:rsidP="007B71BF">
      <w:pPr>
        <w:pStyle w:val="HR"/>
        <w:rPr>
          <w:rFonts w:ascii="Times New Roman" w:hAnsi="Times New Roman"/>
          <w:kern w:val="28"/>
          <w:sz w:val="28"/>
          <w:szCs w:val="20"/>
        </w:rPr>
      </w:pPr>
      <w:bookmarkStart w:id="44" w:name="_Toc227733600"/>
      <w:bookmarkStart w:id="45" w:name="_Toc265135095"/>
      <w:bookmarkStart w:id="46" w:name="_Toc495652596"/>
      <w:r w:rsidRPr="00883399">
        <w:rPr>
          <w:rFonts w:ascii="Times New Roman" w:hAnsi="Times New Roman"/>
          <w:kern w:val="28"/>
          <w:sz w:val="28"/>
          <w:szCs w:val="20"/>
        </w:rPr>
        <w:t>1.15</w:t>
      </w:r>
      <w:r w:rsidRPr="00883399">
        <w:rPr>
          <w:rFonts w:ascii="Times New Roman" w:hAnsi="Times New Roman"/>
          <w:kern w:val="28"/>
          <w:sz w:val="28"/>
          <w:szCs w:val="20"/>
        </w:rPr>
        <w:tab/>
        <w:t>Units of measurement</w:t>
      </w:r>
      <w:bookmarkEnd w:id="44"/>
      <w:bookmarkEnd w:id="45"/>
      <w:bookmarkEnd w:id="46"/>
    </w:p>
    <w:p w14:paraId="697B47FC" w14:textId="77777777" w:rsidR="007261F7" w:rsidRPr="00883399" w:rsidRDefault="007261F7" w:rsidP="00CE046E">
      <w:pPr>
        <w:pStyle w:val="R1"/>
        <w:keepLines w:val="0"/>
        <w:tabs>
          <w:tab w:val="right" w:pos="360"/>
        </w:tabs>
        <w:spacing w:before="240" w:line="312" w:lineRule="auto"/>
        <w:ind w:left="0" w:firstLine="0"/>
        <w:jc w:val="left"/>
        <w:rPr>
          <w:rFonts w:ascii="Arial" w:hAnsi="Arial" w:cs="Arial"/>
          <w:sz w:val="22"/>
          <w:szCs w:val="22"/>
        </w:rPr>
      </w:pPr>
      <w:r w:rsidRPr="00883399">
        <w:rPr>
          <w:rFonts w:ascii="Arial" w:hAnsi="Arial" w:cs="Arial"/>
          <w:sz w:val="22"/>
          <w:szCs w:val="22"/>
        </w:rPr>
        <w:t>Standard units of measurement are prescribed for the standard reportable items.</w:t>
      </w:r>
    </w:p>
    <w:p w14:paraId="39858875" w14:textId="77777777" w:rsidR="007261F7" w:rsidRPr="00883399" w:rsidRDefault="007261F7" w:rsidP="00CE046E">
      <w:pPr>
        <w:pStyle w:val="R1"/>
        <w:keepLines w:val="0"/>
        <w:tabs>
          <w:tab w:val="right" w:pos="360"/>
        </w:tabs>
        <w:spacing w:before="240" w:line="312" w:lineRule="auto"/>
        <w:ind w:left="0" w:firstLine="0"/>
        <w:jc w:val="left"/>
        <w:rPr>
          <w:rFonts w:ascii="Arial" w:hAnsi="Arial" w:cs="Arial"/>
          <w:sz w:val="22"/>
          <w:szCs w:val="22"/>
        </w:rPr>
      </w:pPr>
      <w:r w:rsidRPr="00883399">
        <w:rPr>
          <w:rFonts w:ascii="Arial" w:hAnsi="Arial" w:cs="Arial"/>
          <w:sz w:val="22"/>
          <w:szCs w:val="22"/>
        </w:rPr>
        <w:t>Emissions of each greenhouse gas should be estimated and reported in tonnes of CO</w:t>
      </w:r>
      <w:r w:rsidRPr="00883399">
        <w:rPr>
          <w:rFonts w:ascii="Arial" w:hAnsi="Arial" w:cs="Arial"/>
          <w:sz w:val="22"/>
          <w:szCs w:val="22"/>
          <w:vertAlign w:val="subscript"/>
        </w:rPr>
        <w:t>2</w:t>
      </w:r>
      <w:r w:rsidRPr="00883399">
        <w:rPr>
          <w:rFonts w:ascii="Arial" w:hAnsi="Arial" w:cs="Arial"/>
          <w:sz w:val="22"/>
          <w:szCs w:val="22"/>
        </w:rPr>
        <w:t xml:space="preserve">-equivalent.  Conversion factors from tonnes of emissions of each greenhouse gas to tonnes of emissions of carbon dioxide equivalent for that gas are called Global Warming Potentials and are listed in the Regulations and reproduced in </w:t>
      </w:r>
      <w:r w:rsidR="006A5EA8" w:rsidRPr="00883399">
        <w:rPr>
          <w:rFonts w:ascii="Arial" w:hAnsi="Arial" w:cs="Arial"/>
          <w:sz w:val="22"/>
          <w:szCs w:val="22"/>
        </w:rPr>
        <w:t>Appendix C</w:t>
      </w:r>
      <w:r w:rsidRPr="00883399">
        <w:rPr>
          <w:rFonts w:ascii="Arial" w:hAnsi="Arial" w:cs="Arial"/>
          <w:sz w:val="22"/>
          <w:szCs w:val="22"/>
        </w:rPr>
        <w:t>.</w:t>
      </w:r>
    </w:p>
    <w:p w14:paraId="52D0B849" w14:textId="77777777" w:rsidR="007261F7" w:rsidRPr="00883399" w:rsidRDefault="007261F7" w:rsidP="00CE046E">
      <w:pPr>
        <w:pStyle w:val="R1"/>
        <w:keepLines w:val="0"/>
        <w:tabs>
          <w:tab w:val="right" w:pos="360"/>
        </w:tabs>
        <w:spacing w:before="240" w:line="312" w:lineRule="auto"/>
        <w:ind w:left="0" w:firstLine="0"/>
        <w:jc w:val="left"/>
        <w:rPr>
          <w:rFonts w:ascii="Arial" w:hAnsi="Arial" w:cs="Arial"/>
          <w:sz w:val="22"/>
          <w:szCs w:val="22"/>
        </w:rPr>
      </w:pPr>
      <w:r w:rsidRPr="00883399">
        <w:rPr>
          <w:rFonts w:ascii="Arial" w:hAnsi="Arial" w:cs="Arial"/>
          <w:sz w:val="22"/>
          <w:szCs w:val="22"/>
        </w:rPr>
        <w:t>Emission estimation methods utilise standard units of measurement for solid, gaseous and liquid fuels, unless otherwise</w:t>
      </w:r>
      <w:r w:rsidR="00502828" w:rsidRPr="00883399">
        <w:rPr>
          <w:rFonts w:ascii="Arial" w:hAnsi="Arial" w:cs="Arial"/>
          <w:sz w:val="22"/>
          <w:szCs w:val="22"/>
        </w:rPr>
        <w:t xml:space="preserve"> </w:t>
      </w:r>
      <w:r w:rsidR="00EB5059" w:rsidRPr="00883399">
        <w:rPr>
          <w:rFonts w:ascii="Arial" w:hAnsi="Arial" w:cs="Arial"/>
          <w:sz w:val="22"/>
          <w:szCs w:val="22"/>
        </w:rPr>
        <w:t>specified</w:t>
      </w:r>
      <w:r w:rsidRPr="00883399">
        <w:rPr>
          <w:rFonts w:ascii="Arial" w:hAnsi="Arial" w:cs="Arial"/>
          <w:sz w:val="22"/>
          <w:szCs w:val="22"/>
        </w:rPr>
        <w:t xml:space="preserve">.  For gaseous fuels, the standard unit of measurement is cubic metres, although allowance is made for measurement in gigajoules if data is available in those units.  </w:t>
      </w:r>
    </w:p>
    <w:p w14:paraId="2C3AA2CF" w14:textId="77777777" w:rsidR="007261F7" w:rsidRPr="00883399" w:rsidRDefault="007261F7" w:rsidP="00CE046E">
      <w:pPr>
        <w:pStyle w:val="R2"/>
        <w:keepLines w:val="0"/>
        <w:spacing w:before="240" w:line="312" w:lineRule="auto"/>
        <w:ind w:left="0" w:firstLine="0"/>
        <w:jc w:val="left"/>
        <w:rPr>
          <w:rFonts w:ascii="Arial" w:hAnsi="Arial" w:cs="Arial"/>
          <w:sz w:val="22"/>
          <w:szCs w:val="22"/>
        </w:rPr>
      </w:pPr>
      <w:r w:rsidRPr="00883399">
        <w:rPr>
          <w:rFonts w:ascii="Arial" w:hAnsi="Arial" w:cs="Arial"/>
          <w:sz w:val="22"/>
          <w:szCs w:val="22"/>
        </w:rPr>
        <w:lastRenderedPageBreak/>
        <w:t>The standard units for fuels should also be used for reporting.  For example, solid fuels should be reported in tonnes.</w:t>
      </w:r>
    </w:p>
    <w:p w14:paraId="6084B451" w14:textId="77777777" w:rsidR="009560F0" w:rsidRPr="00883399" w:rsidRDefault="009560F0" w:rsidP="009560F0">
      <w:pPr>
        <w:pStyle w:val="ZR1"/>
        <w:spacing w:before="0" w:after="0"/>
      </w:pPr>
    </w:p>
    <w:p w14:paraId="5E066E73" w14:textId="77777777" w:rsidR="007261F7" w:rsidRPr="00883399" w:rsidRDefault="007261F7">
      <w:pPr>
        <w:pStyle w:val="ZR1"/>
      </w:pPr>
      <w:r w:rsidRPr="00883399">
        <w:t xml:space="preserve"> </w:t>
      </w:r>
      <w:r w:rsidRPr="00883399">
        <w:tab/>
        <w:t>(1)</w:t>
      </w:r>
      <w:r w:rsidRPr="00883399">
        <w:tab/>
        <w:t>For this Determination, measurements of fuel must be converted as follows:</w:t>
      </w:r>
    </w:p>
    <w:p w14:paraId="37C8289D" w14:textId="77777777" w:rsidR="007261F7" w:rsidRPr="00883399" w:rsidRDefault="007261F7">
      <w:pPr>
        <w:pStyle w:val="P1"/>
      </w:pPr>
      <w:r w:rsidRPr="00883399">
        <w:tab/>
        <w:t>(a)</w:t>
      </w:r>
      <w:r w:rsidRPr="00883399">
        <w:tab/>
        <w:t>for solid fuel, to tonnes; and</w:t>
      </w:r>
    </w:p>
    <w:p w14:paraId="14CAEC06" w14:textId="77777777" w:rsidR="007261F7" w:rsidRPr="00883399" w:rsidRDefault="007261F7">
      <w:pPr>
        <w:pStyle w:val="P1"/>
      </w:pPr>
      <w:r w:rsidRPr="00883399">
        <w:tab/>
        <w:t>(b)</w:t>
      </w:r>
      <w:r w:rsidRPr="00883399">
        <w:tab/>
        <w:t>for liquid fuels, to kilolitres unless otherwise specified; and</w:t>
      </w:r>
    </w:p>
    <w:p w14:paraId="47CD659D" w14:textId="77777777" w:rsidR="007261F7" w:rsidRPr="00883399" w:rsidRDefault="007261F7">
      <w:pPr>
        <w:pStyle w:val="P1"/>
      </w:pPr>
      <w:r w:rsidRPr="00883399">
        <w:tab/>
        <w:t>(c)</w:t>
      </w:r>
      <w:r w:rsidRPr="00883399">
        <w:tab/>
        <w:t>for gaseous fuels, to cubic metres, corrected to standard conditions, unless otherwise specified.</w:t>
      </w:r>
    </w:p>
    <w:p w14:paraId="2DC02428" w14:textId="77777777" w:rsidR="007261F7" w:rsidRPr="00883399" w:rsidRDefault="007261F7">
      <w:pPr>
        <w:pStyle w:val="R2"/>
      </w:pPr>
      <w:r w:rsidRPr="00883399">
        <w:tab/>
        <w:t>(2)</w:t>
      </w:r>
      <w:r w:rsidRPr="00883399">
        <w:tab/>
        <w:t>For this Determination, emissions of greenhouses gases must be estimated in CO</w:t>
      </w:r>
      <w:r w:rsidRPr="00883399">
        <w:rPr>
          <w:rStyle w:val="Subscript"/>
          <w:iCs/>
          <w:sz w:val="24"/>
        </w:rPr>
        <w:t>2</w:t>
      </w:r>
      <w:r w:rsidRPr="00883399">
        <w:noBreakHyphen/>
        <w:t>e tonnes.</w:t>
      </w:r>
    </w:p>
    <w:p w14:paraId="3F37F07E" w14:textId="77777777" w:rsidR="007261F7" w:rsidRPr="00883399" w:rsidRDefault="007261F7">
      <w:pPr>
        <w:pStyle w:val="R2"/>
      </w:pPr>
      <w:r w:rsidRPr="00883399">
        <w:tab/>
        <w:t>(3)</w:t>
      </w:r>
      <w:r w:rsidRPr="00883399">
        <w:tab/>
        <w:t>Measurements of energy content must be converted to gigajoules.</w:t>
      </w:r>
    </w:p>
    <w:p w14:paraId="6011E312" w14:textId="77777777" w:rsidR="007261F7" w:rsidRPr="00883399" w:rsidRDefault="007261F7">
      <w:pPr>
        <w:pStyle w:val="R2"/>
        <w:rPr>
          <w:i/>
        </w:rPr>
      </w:pPr>
      <w:r w:rsidRPr="00883399">
        <w:tab/>
        <w:t>(4)</w:t>
      </w:r>
      <w:r w:rsidRPr="00883399">
        <w:tab/>
        <w:t xml:space="preserve">The </w:t>
      </w:r>
      <w:r w:rsidRPr="00883399">
        <w:rPr>
          <w:i/>
        </w:rPr>
        <w:t>National Measurement Act 1960</w:t>
      </w:r>
      <w:r w:rsidRPr="00883399">
        <w:t>, and any instrument made under that Act, must be used for conversions required under this section.</w:t>
      </w:r>
    </w:p>
    <w:p w14:paraId="29410674" w14:textId="7848A6C8" w:rsidR="007261F7" w:rsidRPr="00883399" w:rsidRDefault="007261F7">
      <w:pPr>
        <w:pStyle w:val="HR"/>
        <w:rPr>
          <w:rFonts w:ascii="Times New Roman" w:hAnsi="Times New Roman"/>
          <w:kern w:val="28"/>
          <w:sz w:val="28"/>
          <w:szCs w:val="20"/>
        </w:rPr>
      </w:pPr>
      <w:bookmarkStart w:id="47" w:name="_Toc227733601"/>
      <w:bookmarkStart w:id="48" w:name="_Toc265135096"/>
      <w:bookmarkStart w:id="49" w:name="_Toc495652597"/>
      <w:r w:rsidRPr="00883399">
        <w:rPr>
          <w:rFonts w:ascii="Times New Roman" w:hAnsi="Times New Roman"/>
          <w:kern w:val="28"/>
          <w:sz w:val="28"/>
          <w:szCs w:val="20"/>
        </w:rPr>
        <w:t>1.16</w:t>
      </w:r>
      <w:r w:rsidRPr="00883399">
        <w:rPr>
          <w:rFonts w:ascii="Times New Roman" w:hAnsi="Times New Roman"/>
          <w:kern w:val="28"/>
          <w:sz w:val="28"/>
          <w:szCs w:val="20"/>
        </w:rPr>
        <w:tab/>
        <w:t>Rounding of amounts</w:t>
      </w:r>
      <w:bookmarkEnd w:id="47"/>
      <w:bookmarkEnd w:id="48"/>
      <w:bookmarkEnd w:id="49"/>
    </w:p>
    <w:p w14:paraId="3EA14C9C" w14:textId="77777777" w:rsidR="007261F7" w:rsidRPr="00883399" w:rsidRDefault="007261F7" w:rsidP="008B3C73">
      <w:pPr>
        <w:pStyle w:val="R1"/>
        <w:ind w:hanging="484"/>
      </w:pPr>
      <w:r w:rsidRPr="00883399">
        <w:t>(1)</w:t>
      </w:r>
      <w:r w:rsidRPr="00883399">
        <w:tab/>
        <w:t xml:space="preserve"> If:</w:t>
      </w:r>
    </w:p>
    <w:p w14:paraId="4D04C68D" w14:textId="77777777" w:rsidR="007261F7" w:rsidRPr="00883399" w:rsidRDefault="007261F7" w:rsidP="008B3C73">
      <w:pPr>
        <w:pStyle w:val="P1"/>
      </w:pPr>
      <w:r w:rsidRPr="00883399">
        <w:tab/>
        <w:t>(a)</w:t>
      </w:r>
      <w:r w:rsidRPr="00883399">
        <w:tab/>
        <w:t>an amount is worked out under this Determination; and</w:t>
      </w:r>
    </w:p>
    <w:p w14:paraId="4B41ECCF" w14:textId="77777777" w:rsidR="007261F7" w:rsidRPr="00883399" w:rsidRDefault="007261F7" w:rsidP="008B3C73">
      <w:pPr>
        <w:pStyle w:val="P1"/>
      </w:pPr>
      <w:r w:rsidRPr="00883399">
        <w:tab/>
        <w:t>(b)</w:t>
      </w:r>
      <w:r w:rsidRPr="00883399">
        <w:tab/>
        <w:t>the number is not a whole number;</w:t>
      </w:r>
    </w:p>
    <w:p w14:paraId="3B269605" w14:textId="77777777" w:rsidR="007261F7" w:rsidRPr="00883399" w:rsidRDefault="007261F7" w:rsidP="008B3C73">
      <w:pPr>
        <w:pStyle w:val="Rc"/>
      </w:pPr>
      <w:r w:rsidRPr="00883399">
        <w:t>then:</w:t>
      </w:r>
    </w:p>
    <w:p w14:paraId="525608F8" w14:textId="77777777" w:rsidR="007261F7" w:rsidRPr="00883399" w:rsidRDefault="007261F7" w:rsidP="008B3C73">
      <w:pPr>
        <w:pStyle w:val="P1"/>
      </w:pPr>
      <w:r w:rsidRPr="00883399">
        <w:tab/>
        <w:t>(c)</w:t>
      </w:r>
      <w:r w:rsidRPr="00883399">
        <w:tab/>
        <w:t>the number is to be rounded up to the next whole number if the number at the first decimal place equals or exceeds 5; and</w:t>
      </w:r>
    </w:p>
    <w:p w14:paraId="49A2F30D" w14:textId="77777777" w:rsidR="007261F7" w:rsidRPr="00883399" w:rsidRDefault="007261F7" w:rsidP="008B3C73">
      <w:pPr>
        <w:pStyle w:val="P1"/>
      </w:pPr>
      <w:r w:rsidRPr="00883399">
        <w:tab/>
        <w:t>(d)</w:t>
      </w:r>
      <w:r w:rsidRPr="00883399">
        <w:tab/>
        <w:t>rounded down to the next whole number if the number at the first decimal place is less than 5.</w:t>
      </w:r>
    </w:p>
    <w:p w14:paraId="0B531537" w14:textId="77777777" w:rsidR="007261F7" w:rsidRPr="00883399" w:rsidRDefault="007261F7" w:rsidP="008B3C73">
      <w:pPr>
        <w:pStyle w:val="R2"/>
      </w:pPr>
      <w:r w:rsidRPr="00883399">
        <w:tab/>
        <w:t>(2)</w:t>
      </w:r>
      <w:r w:rsidRPr="00883399">
        <w:tab/>
        <w:t>Subsection (1) applies to amounts that are measures of emissions or energy.</w:t>
      </w:r>
    </w:p>
    <w:p w14:paraId="0D618A25" w14:textId="07F07CC8" w:rsidR="007261F7" w:rsidRPr="00883399" w:rsidRDefault="007261F7">
      <w:pPr>
        <w:pStyle w:val="HR"/>
        <w:rPr>
          <w:rFonts w:ascii="Times New Roman" w:hAnsi="Times New Roman"/>
          <w:kern w:val="28"/>
          <w:sz w:val="28"/>
          <w:szCs w:val="20"/>
        </w:rPr>
      </w:pPr>
      <w:bookmarkStart w:id="50" w:name="_Toc227733602"/>
      <w:bookmarkStart w:id="51" w:name="_Toc265135097"/>
      <w:bookmarkStart w:id="52" w:name="_Toc495652598"/>
      <w:r w:rsidRPr="00883399">
        <w:rPr>
          <w:rFonts w:ascii="Times New Roman" w:hAnsi="Times New Roman"/>
          <w:kern w:val="28"/>
          <w:sz w:val="28"/>
          <w:szCs w:val="20"/>
        </w:rPr>
        <w:t>1.17</w:t>
      </w:r>
      <w:r w:rsidRPr="00883399">
        <w:rPr>
          <w:rFonts w:ascii="Times New Roman" w:hAnsi="Times New Roman"/>
          <w:kern w:val="28"/>
          <w:sz w:val="28"/>
          <w:szCs w:val="20"/>
        </w:rPr>
        <w:tab/>
        <w:t>Status of standards</w:t>
      </w:r>
      <w:bookmarkEnd w:id="50"/>
      <w:bookmarkEnd w:id="51"/>
      <w:bookmarkEnd w:id="52"/>
    </w:p>
    <w:p w14:paraId="71FD5287" w14:textId="77777777" w:rsidR="007261F7" w:rsidRPr="00883399" w:rsidRDefault="007261F7">
      <w:pPr>
        <w:pStyle w:val="R1"/>
      </w:pPr>
      <w:r w:rsidRPr="00883399">
        <w:tab/>
      </w:r>
      <w:r w:rsidRPr="00883399">
        <w:tab/>
        <w:t>If there is an inconsistency between this Determination and a documentary standard, this Determination prevails to the extent of the inconsistency.</w:t>
      </w:r>
    </w:p>
    <w:p w14:paraId="1E5401E0" w14:textId="484DE00B" w:rsidR="00872C03" w:rsidRPr="00883399" w:rsidRDefault="00872C03" w:rsidP="00872C03">
      <w:pPr>
        <w:pStyle w:val="ActHead3"/>
        <w:pageBreakBefore/>
        <w:rPr>
          <w:sz w:val="32"/>
        </w:rPr>
      </w:pPr>
      <w:bookmarkStart w:id="53" w:name="_Toc423516687"/>
      <w:bookmarkStart w:id="54" w:name="_Toc495652599"/>
      <w:r w:rsidRPr="00883399">
        <w:rPr>
          <w:rStyle w:val="CharDivNo"/>
          <w:sz w:val="32"/>
        </w:rPr>
        <w:lastRenderedPageBreak/>
        <w:t>Division 1.2.2</w:t>
      </w:r>
      <w:r w:rsidRPr="00883399">
        <w:rPr>
          <w:sz w:val="32"/>
        </w:rPr>
        <w:t>—</w:t>
      </w:r>
      <w:r w:rsidRPr="00883399">
        <w:rPr>
          <w:rStyle w:val="CharDivText"/>
          <w:sz w:val="32"/>
        </w:rPr>
        <w:t>Methods</w:t>
      </w:r>
      <w:bookmarkEnd w:id="53"/>
      <w:bookmarkEnd w:id="54"/>
    </w:p>
    <w:p w14:paraId="17D8B988" w14:textId="562E4081" w:rsidR="00872C03" w:rsidRPr="00883399" w:rsidRDefault="00872C03" w:rsidP="00872C03">
      <w:pPr>
        <w:pStyle w:val="ActHead5"/>
        <w:rPr>
          <w:sz w:val="28"/>
        </w:rPr>
      </w:pPr>
      <w:bookmarkStart w:id="55" w:name="_Toc423516688"/>
      <w:bookmarkStart w:id="56" w:name="_Toc495652600"/>
      <w:r w:rsidRPr="00883399">
        <w:rPr>
          <w:rStyle w:val="CharSectno"/>
          <w:sz w:val="28"/>
        </w:rPr>
        <w:t>1.18</w:t>
      </w:r>
      <w:r w:rsidRPr="00883399">
        <w:rPr>
          <w:sz w:val="28"/>
        </w:rPr>
        <w:t xml:space="preserve">  Method to be used for a separate occurrence of a source</w:t>
      </w:r>
      <w:bookmarkEnd w:id="55"/>
      <w:bookmarkEnd w:id="56"/>
    </w:p>
    <w:p w14:paraId="705250FF" w14:textId="77777777" w:rsidR="00872C03" w:rsidRPr="00883399" w:rsidRDefault="00872C03" w:rsidP="00872C03">
      <w:pPr>
        <w:pStyle w:val="subsection"/>
        <w:rPr>
          <w:sz w:val="24"/>
        </w:rPr>
      </w:pPr>
      <w:r w:rsidRPr="00883399">
        <w:rPr>
          <w:sz w:val="24"/>
        </w:rPr>
        <w:tab/>
        <w:t>(1)</w:t>
      </w:r>
      <w:r w:rsidRPr="00883399">
        <w:rPr>
          <w:sz w:val="24"/>
        </w:rPr>
        <w:tab/>
        <w:t>This section deals with the number of methods that may be used to estimate emissions of a particular greenhouse gas released, in relation to a separate occurrence of a source, from the operation of a facility.</w:t>
      </w:r>
    </w:p>
    <w:p w14:paraId="20FA487D" w14:textId="77777777" w:rsidR="00872C03" w:rsidRPr="00883399" w:rsidRDefault="00872C03" w:rsidP="00872C03">
      <w:pPr>
        <w:pStyle w:val="subsection"/>
        <w:rPr>
          <w:sz w:val="24"/>
        </w:rPr>
      </w:pPr>
      <w:r w:rsidRPr="00883399">
        <w:rPr>
          <w:sz w:val="24"/>
        </w:rPr>
        <w:tab/>
        <w:t>(1A)</w:t>
      </w:r>
      <w:r w:rsidRPr="00883399">
        <w:rPr>
          <w:sz w:val="24"/>
        </w:rPr>
        <w:tab/>
        <w:t>Subsections (2) and (3) do not apply to a facility if:</w:t>
      </w:r>
    </w:p>
    <w:p w14:paraId="3CBBB502" w14:textId="77777777" w:rsidR="00872C03" w:rsidRPr="00883399" w:rsidRDefault="00872C03" w:rsidP="00872C03">
      <w:pPr>
        <w:pStyle w:val="paragraph"/>
        <w:rPr>
          <w:sz w:val="24"/>
        </w:rPr>
      </w:pPr>
      <w:r w:rsidRPr="00883399">
        <w:rPr>
          <w:sz w:val="24"/>
        </w:rPr>
        <w:tab/>
        <w:t>(a)</w:t>
      </w:r>
      <w:r w:rsidRPr="00883399">
        <w:rPr>
          <w:sz w:val="24"/>
        </w:rPr>
        <w:tab/>
        <w:t>the principal activity of the facility is electricity generation (ANZSIC industry classification and code 2611) and the generating unit used to perform the principal activity:</w:t>
      </w:r>
    </w:p>
    <w:p w14:paraId="081BE027" w14:textId="77777777" w:rsidR="00872C03" w:rsidRPr="00883399" w:rsidRDefault="00872C03" w:rsidP="00872C03">
      <w:pPr>
        <w:pStyle w:val="paragraphsub"/>
        <w:rPr>
          <w:sz w:val="24"/>
        </w:rPr>
      </w:pPr>
      <w:r w:rsidRPr="00883399">
        <w:rPr>
          <w:sz w:val="24"/>
        </w:rPr>
        <w:tab/>
        <w:t>(i)</w:t>
      </w:r>
      <w:r w:rsidRPr="00883399">
        <w:rPr>
          <w:sz w:val="24"/>
        </w:rPr>
        <w:tab/>
        <w:t>does not have the capacity to generate, in a reporting year, the amount of electricity mentioned in subparagraph 2.3(3)(b)(i); and</w:t>
      </w:r>
    </w:p>
    <w:p w14:paraId="3072E427" w14:textId="77777777" w:rsidR="00872C03" w:rsidRPr="00883399" w:rsidRDefault="00872C03" w:rsidP="00872C03">
      <w:pPr>
        <w:pStyle w:val="paragraphsub"/>
        <w:rPr>
          <w:sz w:val="24"/>
        </w:rPr>
      </w:pPr>
      <w:r w:rsidRPr="00883399">
        <w:rPr>
          <w:sz w:val="24"/>
        </w:rPr>
        <w:tab/>
        <w:t>(ii)</w:t>
      </w:r>
      <w:r w:rsidRPr="00883399">
        <w:rPr>
          <w:sz w:val="24"/>
        </w:rPr>
        <w:tab/>
        <w:t>generates, in a reporting year, less than or equal to the amount of electricity mentioned in subparagraph 2.3(3)(b)(ii); or</w:t>
      </w:r>
    </w:p>
    <w:p w14:paraId="42A7778C" w14:textId="77777777" w:rsidR="00872C03" w:rsidRPr="00883399" w:rsidRDefault="00872C03" w:rsidP="00872C03">
      <w:pPr>
        <w:pStyle w:val="paragraph"/>
        <w:rPr>
          <w:sz w:val="24"/>
        </w:rPr>
      </w:pPr>
      <w:r w:rsidRPr="00883399">
        <w:rPr>
          <w:sz w:val="24"/>
        </w:rPr>
        <w:tab/>
        <w:t>(b)</w:t>
      </w:r>
      <w:r w:rsidRPr="00883399">
        <w:rPr>
          <w:sz w:val="24"/>
        </w:rPr>
        <w:tab/>
        <w:t>the principal activity of the facility is electricity generation (ANZSIC industry classification and code 2611) and the generating unit used to perform the principal activity:</w:t>
      </w:r>
    </w:p>
    <w:p w14:paraId="2DA2055C" w14:textId="77777777" w:rsidR="00872C03" w:rsidRPr="00883399" w:rsidRDefault="00872C03" w:rsidP="00872C03">
      <w:pPr>
        <w:pStyle w:val="paragraphsub"/>
        <w:rPr>
          <w:sz w:val="24"/>
        </w:rPr>
      </w:pPr>
      <w:r w:rsidRPr="00883399">
        <w:rPr>
          <w:sz w:val="24"/>
        </w:rPr>
        <w:tab/>
        <w:t>(i)</w:t>
      </w:r>
      <w:r w:rsidRPr="00883399">
        <w:rPr>
          <w:sz w:val="24"/>
        </w:rPr>
        <w:tab/>
        <w:t>does not have the capacity to generate, in a reporting year, the amount of electricity mentioned in subparagraph 2.19(3)(b)(i); and</w:t>
      </w:r>
    </w:p>
    <w:p w14:paraId="3BB4698C" w14:textId="77777777" w:rsidR="00872C03" w:rsidRPr="00883399" w:rsidRDefault="00872C03" w:rsidP="00872C03">
      <w:pPr>
        <w:pStyle w:val="paragraphsub"/>
        <w:rPr>
          <w:sz w:val="24"/>
        </w:rPr>
      </w:pPr>
      <w:r w:rsidRPr="00883399">
        <w:rPr>
          <w:sz w:val="24"/>
        </w:rPr>
        <w:tab/>
        <w:t>(ii)</w:t>
      </w:r>
      <w:r w:rsidRPr="00883399">
        <w:rPr>
          <w:sz w:val="24"/>
        </w:rPr>
        <w:tab/>
        <w:t>generates, in a reporting year, less than or equal to the amount of electricity mentioned in subparagraph 2.19(3)(b)(ii).</w:t>
      </w:r>
    </w:p>
    <w:p w14:paraId="1341F282" w14:textId="77777777" w:rsidR="00872C03" w:rsidRPr="00883399" w:rsidRDefault="00872C03" w:rsidP="00872C03">
      <w:pPr>
        <w:pStyle w:val="subsection"/>
        <w:rPr>
          <w:sz w:val="24"/>
        </w:rPr>
      </w:pPr>
      <w:r w:rsidRPr="00883399">
        <w:rPr>
          <w:sz w:val="24"/>
        </w:rPr>
        <w:tab/>
        <w:t>(2)</w:t>
      </w:r>
      <w:r w:rsidRPr="00883399">
        <w:rPr>
          <w:sz w:val="24"/>
        </w:rPr>
        <w:tab/>
        <w:t>Subject to subsection (3) and (3A), one method for the separate occurrence of a source must be used for 4 reporting years unless another higher method is used.</w:t>
      </w:r>
    </w:p>
    <w:p w14:paraId="6401261D" w14:textId="77777777" w:rsidR="00872C03" w:rsidRPr="00883399" w:rsidRDefault="00872C03" w:rsidP="00872C03">
      <w:pPr>
        <w:pStyle w:val="subsection"/>
        <w:rPr>
          <w:sz w:val="24"/>
        </w:rPr>
      </w:pPr>
      <w:r w:rsidRPr="00883399">
        <w:rPr>
          <w:sz w:val="24"/>
        </w:rPr>
        <w:tab/>
        <w:t>(3)</w:t>
      </w:r>
      <w:r w:rsidRPr="00883399">
        <w:rPr>
          <w:sz w:val="24"/>
        </w:rPr>
        <w:tab/>
        <w:t>If:</w:t>
      </w:r>
    </w:p>
    <w:p w14:paraId="1B200BEA" w14:textId="77777777" w:rsidR="00872C03" w:rsidRPr="00883399" w:rsidRDefault="00872C03" w:rsidP="00872C03">
      <w:pPr>
        <w:pStyle w:val="paragraph"/>
        <w:rPr>
          <w:sz w:val="24"/>
        </w:rPr>
      </w:pPr>
      <w:r w:rsidRPr="00883399">
        <w:rPr>
          <w:sz w:val="24"/>
        </w:rPr>
        <w:tab/>
        <w:t>(a)</w:t>
      </w:r>
      <w:r w:rsidRPr="00883399">
        <w:rPr>
          <w:sz w:val="24"/>
        </w:rPr>
        <w:tab/>
        <w:t>at a particular time, a method is being used to estimate emissions in relation to the separate occurrence of a source; and</w:t>
      </w:r>
    </w:p>
    <w:p w14:paraId="3775E0A2" w14:textId="77777777" w:rsidR="00872C03" w:rsidRPr="00883399" w:rsidRDefault="00872C03" w:rsidP="00872C03">
      <w:pPr>
        <w:pStyle w:val="paragraph"/>
        <w:rPr>
          <w:sz w:val="24"/>
        </w:rPr>
      </w:pPr>
      <w:r w:rsidRPr="00883399">
        <w:rPr>
          <w:sz w:val="24"/>
        </w:rPr>
        <w:tab/>
        <w:t>(b)</w:t>
      </w:r>
      <w:r w:rsidRPr="00883399">
        <w:rPr>
          <w:sz w:val="24"/>
        </w:rPr>
        <w:tab/>
        <w:t>either:</w:t>
      </w:r>
    </w:p>
    <w:p w14:paraId="40376B69" w14:textId="77777777" w:rsidR="00872C03" w:rsidRPr="00883399" w:rsidRDefault="00872C03" w:rsidP="00872C03">
      <w:pPr>
        <w:pStyle w:val="paragraphsub"/>
        <w:rPr>
          <w:sz w:val="24"/>
        </w:rPr>
      </w:pPr>
      <w:r w:rsidRPr="00883399">
        <w:rPr>
          <w:sz w:val="24"/>
        </w:rPr>
        <w:tab/>
        <w:t>(i)</w:t>
      </w:r>
      <w:r w:rsidRPr="00883399">
        <w:rPr>
          <w:sz w:val="24"/>
        </w:rPr>
        <w:tab/>
        <w:t>in the preceding 4 reporting years before that time, only that method has been used to estimate the emissions from the separate occurrence of the source; or</w:t>
      </w:r>
    </w:p>
    <w:p w14:paraId="29207CB4" w14:textId="77777777" w:rsidR="00872C03" w:rsidRPr="00883399" w:rsidRDefault="00872C03" w:rsidP="00872C03">
      <w:pPr>
        <w:pStyle w:val="paragraphsub"/>
        <w:rPr>
          <w:sz w:val="24"/>
        </w:rPr>
      </w:pPr>
      <w:r w:rsidRPr="00883399">
        <w:rPr>
          <w:sz w:val="24"/>
        </w:rPr>
        <w:tab/>
        <w:t>(ii)</w:t>
      </w:r>
      <w:r w:rsidRPr="00883399">
        <w:rPr>
          <w:sz w:val="24"/>
        </w:rPr>
        <w:tab/>
        <w:t>a registered corporation or liable entity certifies in writing that the method used was found to be non</w:t>
      </w:r>
      <w:r w:rsidRPr="00883399">
        <w:rPr>
          <w:sz w:val="24"/>
        </w:rPr>
        <w:noBreakHyphen/>
        <w:t>compliant during an external audit of the separate occurrence of the source;</w:t>
      </w:r>
    </w:p>
    <w:p w14:paraId="5E5CCBE6" w14:textId="77777777" w:rsidR="00872C03" w:rsidRPr="00883399" w:rsidRDefault="00872C03" w:rsidP="00872C03">
      <w:pPr>
        <w:pStyle w:val="subsection2"/>
        <w:rPr>
          <w:sz w:val="24"/>
        </w:rPr>
      </w:pPr>
      <w:r w:rsidRPr="00883399">
        <w:rPr>
          <w:sz w:val="24"/>
        </w:rPr>
        <w:t>then a lower method may be used to estimate emissions in relation to the separate occurrence of the source from that time.</w:t>
      </w:r>
    </w:p>
    <w:p w14:paraId="29070D79" w14:textId="77777777" w:rsidR="00872C03" w:rsidRPr="00883399" w:rsidRDefault="00872C03" w:rsidP="00872C03">
      <w:pPr>
        <w:pStyle w:val="subsection"/>
        <w:rPr>
          <w:sz w:val="24"/>
        </w:rPr>
      </w:pPr>
      <w:r w:rsidRPr="00883399">
        <w:rPr>
          <w:sz w:val="24"/>
        </w:rPr>
        <w:lastRenderedPageBreak/>
        <w:tab/>
        <w:t>(3A)</w:t>
      </w:r>
      <w:r w:rsidRPr="00883399">
        <w:rPr>
          <w:sz w:val="24"/>
        </w:rPr>
        <w:tab/>
        <w:t>If section 22AA of the Act applies to a person, a lower method may be used to estimate emissions in relation to the source for the purposes of reporting under section 22AA.</w:t>
      </w:r>
    </w:p>
    <w:p w14:paraId="0E9CA969" w14:textId="77777777" w:rsidR="00872C03" w:rsidRPr="00883399" w:rsidRDefault="00872C03" w:rsidP="00872C03">
      <w:pPr>
        <w:pStyle w:val="subsection"/>
        <w:rPr>
          <w:sz w:val="24"/>
        </w:rPr>
      </w:pPr>
      <w:r w:rsidRPr="00883399">
        <w:rPr>
          <w:sz w:val="24"/>
        </w:rPr>
        <w:tab/>
        <w:t>(4)</w:t>
      </w:r>
      <w:r w:rsidRPr="00883399">
        <w:rPr>
          <w:sz w:val="24"/>
        </w:rPr>
        <w:tab/>
        <w:t xml:space="preserve">In this section, </w:t>
      </w:r>
      <w:r w:rsidRPr="00883399">
        <w:rPr>
          <w:b/>
          <w:i/>
          <w:sz w:val="24"/>
        </w:rPr>
        <w:t>reporting year</w:t>
      </w:r>
      <w:r w:rsidRPr="00883399">
        <w:rPr>
          <w:sz w:val="24"/>
        </w:rPr>
        <w:t>, in relation to a source from the operation of a facility under the operational control of a registered corporation and entities that are members of the corporation’s group, means a year that the registered corporation is required to provide a report under section 19 of the Act in relation to the facility</w:t>
      </w:r>
    </w:p>
    <w:p w14:paraId="2B1BDB71" w14:textId="77777777" w:rsidR="00872C03" w:rsidRPr="00883399" w:rsidRDefault="00872C03" w:rsidP="00872C03">
      <w:pPr>
        <w:pStyle w:val="subsection"/>
        <w:rPr>
          <w:sz w:val="24"/>
        </w:rPr>
      </w:pPr>
      <w:r w:rsidRPr="00883399">
        <w:rPr>
          <w:sz w:val="24"/>
        </w:rPr>
        <w:tab/>
        <w:t>(5)</w:t>
      </w:r>
      <w:r w:rsidRPr="00883399">
        <w:rPr>
          <w:sz w:val="24"/>
        </w:rPr>
        <w:tab/>
      </w:r>
      <w:r w:rsidRPr="00883399">
        <w:rPr>
          <w:b/>
          <w:i/>
          <w:sz w:val="24"/>
        </w:rPr>
        <w:t>Higher method</w:t>
      </w:r>
      <w:r w:rsidRPr="00883399">
        <w:rPr>
          <w:sz w:val="24"/>
        </w:rPr>
        <w:t>, is:</w:t>
      </w:r>
    </w:p>
    <w:p w14:paraId="66BE3DAA" w14:textId="77777777" w:rsidR="00872C03" w:rsidRPr="00883399" w:rsidRDefault="00872C03" w:rsidP="00872C03">
      <w:pPr>
        <w:pStyle w:val="paragraph"/>
        <w:rPr>
          <w:sz w:val="24"/>
        </w:rPr>
      </w:pPr>
      <w:r w:rsidRPr="00883399">
        <w:rPr>
          <w:sz w:val="24"/>
        </w:rPr>
        <w:tab/>
        <w:t>(a)</w:t>
      </w:r>
      <w:r w:rsidRPr="00883399">
        <w:rPr>
          <w:sz w:val="24"/>
        </w:rPr>
        <w:tab/>
        <w:t>a prescribed alternative method; or</w:t>
      </w:r>
    </w:p>
    <w:p w14:paraId="2B5084C4" w14:textId="77777777" w:rsidR="00872C03" w:rsidRPr="00883399" w:rsidRDefault="00872C03" w:rsidP="00872C03">
      <w:pPr>
        <w:pStyle w:val="paragraph"/>
        <w:rPr>
          <w:sz w:val="24"/>
        </w:rPr>
      </w:pPr>
      <w:r w:rsidRPr="00883399">
        <w:rPr>
          <w:sz w:val="24"/>
        </w:rPr>
        <w:tab/>
        <w:t>(b)</w:t>
      </w:r>
      <w:r w:rsidRPr="00883399">
        <w:rPr>
          <w:sz w:val="24"/>
        </w:rPr>
        <w:tab/>
        <w:t xml:space="preserve">in relation to a method (the </w:t>
      </w:r>
      <w:r w:rsidRPr="00883399">
        <w:rPr>
          <w:b/>
          <w:i/>
          <w:sz w:val="24"/>
        </w:rPr>
        <w:t>original method</w:t>
      </w:r>
      <w:r w:rsidRPr="00883399">
        <w:rPr>
          <w:sz w:val="24"/>
        </w:rPr>
        <w:t>) being used to estimate emissions in relation to a separate occurrence of a source, a method for the source with a higher number than the number of the original method.</w:t>
      </w:r>
    </w:p>
    <w:p w14:paraId="4B021D28" w14:textId="77777777" w:rsidR="00872C03" w:rsidRPr="00883399" w:rsidRDefault="00872C03" w:rsidP="00872C03">
      <w:pPr>
        <w:pStyle w:val="subsection"/>
        <w:rPr>
          <w:sz w:val="24"/>
        </w:rPr>
      </w:pPr>
      <w:r w:rsidRPr="00883399">
        <w:rPr>
          <w:sz w:val="24"/>
        </w:rPr>
        <w:tab/>
        <w:t>(6)</w:t>
      </w:r>
      <w:r w:rsidRPr="00883399">
        <w:rPr>
          <w:sz w:val="24"/>
        </w:rPr>
        <w:tab/>
      </w:r>
      <w:r w:rsidRPr="00883399">
        <w:rPr>
          <w:b/>
          <w:i/>
          <w:sz w:val="24"/>
        </w:rPr>
        <w:t>Lower method</w:t>
      </w:r>
      <w:r w:rsidRPr="00883399">
        <w:rPr>
          <w:sz w:val="24"/>
        </w:rPr>
        <w:t>, is:</w:t>
      </w:r>
    </w:p>
    <w:p w14:paraId="2B256C16" w14:textId="77777777" w:rsidR="00872C03" w:rsidRPr="00883399" w:rsidRDefault="00872C03" w:rsidP="00872C03">
      <w:pPr>
        <w:pStyle w:val="paragraph"/>
        <w:rPr>
          <w:sz w:val="24"/>
        </w:rPr>
      </w:pPr>
      <w:r w:rsidRPr="00883399">
        <w:rPr>
          <w:sz w:val="24"/>
        </w:rPr>
        <w:tab/>
        <w:t>(a)</w:t>
      </w:r>
      <w:r w:rsidRPr="00883399">
        <w:rPr>
          <w:sz w:val="24"/>
        </w:rPr>
        <w:tab/>
        <w:t>a default method; or</w:t>
      </w:r>
    </w:p>
    <w:p w14:paraId="55B058B0" w14:textId="77777777" w:rsidR="00872C03" w:rsidRPr="00883399" w:rsidRDefault="00872C03" w:rsidP="00872C03">
      <w:pPr>
        <w:pStyle w:val="paragraph"/>
        <w:rPr>
          <w:sz w:val="24"/>
        </w:rPr>
      </w:pPr>
      <w:r w:rsidRPr="00883399">
        <w:rPr>
          <w:sz w:val="24"/>
        </w:rPr>
        <w:tab/>
        <w:t>(b)</w:t>
      </w:r>
      <w:r w:rsidRPr="00883399">
        <w:rPr>
          <w:sz w:val="24"/>
        </w:rPr>
        <w:tab/>
        <w:t xml:space="preserve">in relation to a method (the </w:t>
      </w:r>
      <w:r w:rsidRPr="00883399">
        <w:rPr>
          <w:b/>
          <w:i/>
          <w:sz w:val="24"/>
        </w:rPr>
        <w:t>original method</w:t>
      </w:r>
      <w:r w:rsidRPr="00883399">
        <w:rPr>
          <w:sz w:val="24"/>
        </w:rPr>
        <w:t>) being used to estimate emissions in relation to a separate occurrence of a source, a method for the source with a lower number than the number of the original method.</w:t>
      </w:r>
    </w:p>
    <w:p w14:paraId="694749D4" w14:textId="40BFF7DD" w:rsidR="00872C03" w:rsidRPr="00883399" w:rsidRDefault="00872C03" w:rsidP="00872C03">
      <w:pPr>
        <w:pStyle w:val="ActHead5"/>
        <w:rPr>
          <w:sz w:val="28"/>
        </w:rPr>
      </w:pPr>
      <w:bookmarkStart w:id="57" w:name="_Toc423516689"/>
      <w:bookmarkStart w:id="58" w:name="_Toc495652601"/>
      <w:r w:rsidRPr="00883399">
        <w:rPr>
          <w:rStyle w:val="CharSectno"/>
          <w:sz w:val="28"/>
        </w:rPr>
        <w:t>1.18A</w:t>
      </w:r>
      <w:r w:rsidRPr="00883399">
        <w:rPr>
          <w:sz w:val="28"/>
        </w:rPr>
        <w:t xml:space="preserve">  Conditions—persons preparing report must use same method</w:t>
      </w:r>
      <w:bookmarkEnd w:id="57"/>
      <w:bookmarkEnd w:id="58"/>
    </w:p>
    <w:p w14:paraId="6EE82773" w14:textId="77777777" w:rsidR="00872C03" w:rsidRPr="00883399" w:rsidRDefault="00872C03" w:rsidP="00872C03">
      <w:pPr>
        <w:pStyle w:val="subsection"/>
        <w:rPr>
          <w:sz w:val="24"/>
        </w:rPr>
      </w:pPr>
      <w:r w:rsidRPr="00883399">
        <w:rPr>
          <w:sz w:val="24"/>
        </w:rPr>
        <w:tab/>
        <w:t>(1)</w:t>
      </w:r>
      <w:r w:rsidRPr="00883399">
        <w:rPr>
          <w:sz w:val="24"/>
        </w:rPr>
        <w:tab/>
        <w:t xml:space="preserve">This section applies if a person is required, under section 19, 22A, 22AA, 22E, 22G or 22X of the Act (a </w:t>
      </w:r>
      <w:r w:rsidRPr="00883399">
        <w:rPr>
          <w:b/>
          <w:i/>
          <w:sz w:val="24"/>
        </w:rPr>
        <w:t>reporting provision</w:t>
      </w:r>
      <w:r w:rsidRPr="00883399">
        <w:rPr>
          <w:sz w:val="24"/>
        </w:rPr>
        <w:t xml:space="preserve">), to provide a report to the Regulator for a reporting year or part of a reporting year (the </w:t>
      </w:r>
      <w:r w:rsidRPr="00883399">
        <w:rPr>
          <w:b/>
          <w:i/>
          <w:sz w:val="24"/>
        </w:rPr>
        <w:t>reporting period</w:t>
      </w:r>
      <w:r w:rsidRPr="00883399">
        <w:rPr>
          <w:sz w:val="24"/>
        </w:rPr>
        <w:t>).</w:t>
      </w:r>
    </w:p>
    <w:p w14:paraId="5B3E5405" w14:textId="77777777" w:rsidR="00872C03" w:rsidRPr="00883399" w:rsidRDefault="00872C03" w:rsidP="00872C03">
      <w:pPr>
        <w:pStyle w:val="subsection"/>
        <w:rPr>
          <w:sz w:val="24"/>
        </w:rPr>
      </w:pPr>
      <w:r w:rsidRPr="00883399">
        <w:rPr>
          <w:sz w:val="24"/>
        </w:rPr>
        <w:tab/>
        <w:t>(2)</w:t>
      </w:r>
      <w:r w:rsidRPr="00883399">
        <w:rPr>
          <w:sz w:val="24"/>
        </w:rPr>
        <w:tab/>
        <w:t>For paragraph 10(3)(c) of the Act:</w:t>
      </w:r>
    </w:p>
    <w:p w14:paraId="012A3DBB" w14:textId="77777777" w:rsidR="00872C03" w:rsidRPr="00883399" w:rsidRDefault="00872C03" w:rsidP="00872C03">
      <w:pPr>
        <w:pStyle w:val="paragraph"/>
        <w:rPr>
          <w:sz w:val="24"/>
        </w:rPr>
      </w:pPr>
      <w:r w:rsidRPr="00883399">
        <w:rPr>
          <w:sz w:val="24"/>
        </w:rPr>
        <w:tab/>
        <w:t>(a)</w:t>
      </w:r>
      <w:r w:rsidRPr="00883399">
        <w:rPr>
          <w:sz w:val="24"/>
        </w:rPr>
        <w:tab/>
        <w:t>the person must, before 31 August in the year immediately following the reporting year, notify any other person required, under a reporting provision, to provide a report to the Regulator for the same facility of the method the person will use in the report; and</w:t>
      </w:r>
    </w:p>
    <w:p w14:paraId="4C8ED05A" w14:textId="77777777" w:rsidR="00872C03" w:rsidRPr="00883399" w:rsidRDefault="00872C03" w:rsidP="00872C03">
      <w:pPr>
        <w:pStyle w:val="paragraph"/>
        <w:rPr>
          <w:sz w:val="24"/>
        </w:rPr>
      </w:pPr>
      <w:r w:rsidRPr="00883399">
        <w:rPr>
          <w:sz w:val="24"/>
        </w:rPr>
        <w:tab/>
        <w:t>(b)</w:t>
      </w:r>
      <w:r w:rsidRPr="00883399">
        <w:rPr>
          <w:sz w:val="24"/>
        </w:rPr>
        <w:tab/>
        <w:t>each person required to provide a report to the Regulator for the same facility and for the same reporting period must, before 31 October in the year immediately following the reporting year, take all reasonable steps to agree on a method to be used for each report provided to the Regulator for the facility and for the reporting period.</w:t>
      </w:r>
    </w:p>
    <w:p w14:paraId="1DDBE6FD" w14:textId="77777777" w:rsidR="00872C03" w:rsidRPr="00883399" w:rsidRDefault="00872C03" w:rsidP="00872C03">
      <w:pPr>
        <w:pStyle w:val="subsection"/>
        <w:rPr>
          <w:sz w:val="24"/>
        </w:rPr>
      </w:pPr>
      <w:r w:rsidRPr="00883399">
        <w:rPr>
          <w:sz w:val="24"/>
        </w:rPr>
        <w:tab/>
        <w:t>(3)</w:t>
      </w:r>
      <w:r w:rsidRPr="00883399">
        <w:rPr>
          <w:sz w:val="24"/>
        </w:rPr>
        <w:tab/>
        <w:t xml:space="preserve">If the persons mentioned in paragraph (2)(b) do not agree on a method before 31 October in the year immediately following the reporting year, </w:t>
      </w:r>
      <w:r w:rsidRPr="00883399">
        <w:rPr>
          <w:sz w:val="24"/>
        </w:rPr>
        <w:lastRenderedPageBreak/>
        <w:t>each report provided to the Regulator for the facility and for the reporting period must use the method:</w:t>
      </w:r>
    </w:p>
    <w:p w14:paraId="18393222" w14:textId="77777777" w:rsidR="00872C03" w:rsidRPr="00883399" w:rsidRDefault="00872C03" w:rsidP="00872C03">
      <w:pPr>
        <w:pStyle w:val="paragraph"/>
        <w:rPr>
          <w:sz w:val="24"/>
        </w:rPr>
      </w:pPr>
      <w:r w:rsidRPr="00883399">
        <w:rPr>
          <w:sz w:val="24"/>
        </w:rPr>
        <w:tab/>
        <w:t>(a)</w:t>
      </w:r>
      <w:r w:rsidRPr="00883399">
        <w:rPr>
          <w:sz w:val="24"/>
        </w:rPr>
        <w:tab/>
        <w:t>that was used in a report provided to the Regulator for the facility for the previous reporting year (if any); and</w:t>
      </w:r>
    </w:p>
    <w:p w14:paraId="6544FAFF" w14:textId="77777777" w:rsidR="00872C03" w:rsidRPr="00883399" w:rsidRDefault="00872C03" w:rsidP="00872C03">
      <w:pPr>
        <w:pStyle w:val="paragraph"/>
        <w:rPr>
          <w:sz w:val="24"/>
        </w:rPr>
      </w:pPr>
      <w:r w:rsidRPr="00883399">
        <w:rPr>
          <w:sz w:val="24"/>
        </w:rPr>
        <w:tab/>
        <w:t>(b)</w:t>
      </w:r>
      <w:r w:rsidRPr="00883399">
        <w:rPr>
          <w:sz w:val="24"/>
        </w:rPr>
        <w:tab/>
        <w:t>that will, of all the methods used in a report provided to the Regulator for the facility for the previous reporting year, result in a measurement of the largest amount of emissions for the facility for the reporting year.</w:t>
      </w:r>
    </w:p>
    <w:p w14:paraId="225DEEC4" w14:textId="77777777" w:rsidR="00872C03" w:rsidRPr="00883399" w:rsidRDefault="00872C03" w:rsidP="00872C03">
      <w:pPr>
        <w:pStyle w:val="subsection"/>
        <w:rPr>
          <w:sz w:val="24"/>
        </w:rPr>
      </w:pPr>
      <w:r w:rsidRPr="00883399">
        <w:rPr>
          <w:sz w:val="24"/>
        </w:rPr>
        <w:tab/>
        <w:t>(4)</w:t>
      </w:r>
      <w:r w:rsidRPr="00883399">
        <w:rPr>
          <w:sz w:val="24"/>
        </w:rPr>
        <w:tab/>
        <w:t>In this section, a reference to a method is a reference to a method or available alternative method, including the options (if any) included in the method or available alternative method.</w:t>
      </w:r>
    </w:p>
    <w:p w14:paraId="089D9EC9" w14:textId="77777777" w:rsidR="00872C03" w:rsidRPr="00883399" w:rsidRDefault="00872C03" w:rsidP="00872C03">
      <w:pPr>
        <w:pStyle w:val="notetext"/>
        <w:rPr>
          <w:sz w:val="20"/>
        </w:rPr>
      </w:pPr>
      <w:r w:rsidRPr="00883399">
        <w:rPr>
          <w:sz w:val="20"/>
        </w:rPr>
        <w:t>Note 1:</w:t>
      </w:r>
      <w:r w:rsidRPr="00883399">
        <w:rPr>
          <w:sz w:val="20"/>
        </w:rPr>
        <w:tab/>
      </w:r>
      <w:r w:rsidRPr="00883399">
        <w:rPr>
          <w:b/>
          <w:i/>
          <w:sz w:val="20"/>
        </w:rPr>
        <w:t>Reporting year</w:t>
      </w:r>
      <w:r w:rsidRPr="00883399">
        <w:rPr>
          <w:sz w:val="20"/>
        </w:rPr>
        <w:t xml:space="preserve"> has the meaning given by the Regulations.</w:t>
      </w:r>
    </w:p>
    <w:p w14:paraId="21E146BC" w14:textId="77777777" w:rsidR="00872C03" w:rsidRPr="00883399" w:rsidRDefault="00872C03" w:rsidP="00872C03">
      <w:pPr>
        <w:pStyle w:val="notetext"/>
        <w:rPr>
          <w:sz w:val="20"/>
        </w:rPr>
      </w:pPr>
      <w:r w:rsidRPr="00883399">
        <w:rPr>
          <w:sz w:val="20"/>
        </w:rPr>
        <w:t>Note 2:</w:t>
      </w:r>
      <w:r w:rsidRPr="00883399">
        <w:rPr>
          <w:sz w:val="20"/>
        </w:rPr>
        <w:tab/>
        <w:t>An example of available alternative methods is method 2 in section 2.5 and method 2 in section 2.6.</w:t>
      </w:r>
    </w:p>
    <w:p w14:paraId="5A63593C" w14:textId="77777777" w:rsidR="00872C03" w:rsidRPr="00883399" w:rsidRDefault="00872C03" w:rsidP="00872C03">
      <w:pPr>
        <w:pStyle w:val="notetext"/>
        <w:rPr>
          <w:sz w:val="20"/>
        </w:rPr>
      </w:pPr>
      <w:r w:rsidRPr="00883399">
        <w:rPr>
          <w:sz w:val="20"/>
        </w:rPr>
        <w:t>Note 3:</w:t>
      </w:r>
      <w:r w:rsidRPr="00883399">
        <w:rPr>
          <w:sz w:val="20"/>
        </w:rPr>
        <w:tab/>
        <w:t>An example of options included within a method is paragraphs 3.36(a) and (b), which provide 2 options of ways to measure the size of mine void volume.</w:t>
      </w:r>
    </w:p>
    <w:p w14:paraId="306342D1" w14:textId="77777777" w:rsidR="00872C03" w:rsidRPr="00883399" w:rsidRDefault="00872C03" w:rsidP="00872C03">
      <w:pPr>
        <w:pStyle w:val="notetext"/>
        <w:rPr>
          <w:sz w:val="20"/>
        </w:rPr>
      </w:pPr>
      <w:r w:rsidRPr="00883399">
        <w:rPr>
          <w:sz w:val="20"/>
        </w:rPr>
        <w:t>Note 4:</w:t>
      </w:r>
      <w:r w:rsidRPr="00883399">
        <w:rPr>
          <w:sz w:val="20"/>
        </w:rPr>
        <w:tab/>
        <w:t>An example of options included within an available alternative method is the options for identifying the value of the oxidation factor (</w:t>
      </w:r>
      <w:r w:rsidRPr="00883399">
        <w:rPr>
          <w:b/>
          <w:bCs/>
          <w:i/>
          <w:iCs/>
          <w:sz w:val="20"/>
        </w:rPr>
        <w:t>OF</w:t>
      </w:r>
      <w:r w:rsidRPr="00883399">
        <w:rPr>
          <w:b/>
          <w:bCs/>
          <w:i/>
          <w:iCs/>
          <w:sz w:val="20"/>
          <w:szCs w:val="16"/>
        </w:rPr>
        <w:t>s</w:t>
      </w:r>
      <w:r w:rsidRPr="00883399">
        <w:rPr>
          <w:sz w:val="20"/>
        </w:rPr>
        <w:t>) in subsection 2.5(3).</w:t>
      </w:r>
    </w:p>
    <w:p w14:paraId="6B07149B" w14:textId="5AB06C99" w:rsidR="00872C03" w:rsidRPr="00883399" w:rsidRDefault="00872C03" w:rsidP="00872C03">
      <w:pPr>
        <w:pStyle w:val="ActHead5"/>
        <w:rPr>
          <w:sz w:val="28"/>
        </w:rPr>
      </w:pPr>
      <w:bookmarkStart w:id="59" w:name="_Toc423516690"/>
      <w:bookmarkStart w:id="60" w:name="_Toc495652602"/>
      <w:r w:rsidRPr="00883399">
        <w:rPr>
          <w:rStyle w:val="CharSectno"/>
          <w:sz w:val="28"/>
        </w:rPr>
        <w:t>1.19</w:t>
      </w:r>
      <w:r w:rsidRPr="00883399">
        <w:rPr>
          <w:sz w:val="28"/>
        </w:rPr>
        <w:t xml:space="preserve">  Temporary unavailability of method</w:t>
      </w:r>
      <w:bookmarkEnd w:id="59"/>
      <w:bookmarkEnd w:id="60"/>
    </w:p>
    <w:p w14:paraId="09AE5F7F" w14:textId="77777777" w:rsidR="0079015D" w:rsidRPr="00883399" w:rsidRDefault="00872C03" w:rsidP="0079015D">
      <w:pPr>
        <w:pStyle w:val="subsection"/>
        <w:rPr>
          <w:sz w:val="24"/>
        </w:rPr>
      </w:pPr>
      <w:r w:rsidRPr="00883399">
        <w:rPr>
          <w:sz w:val="24"/>
        </w:rPr>
        <w:tab/>
      </w:r>
      <w:bookmarkStart w:id="61" w:name="_Toc423516692"/>
      <w:r w:rsidR="0079015D" w:rsidRPr="00883399">
        <w:rPr>
          <w:sz w:val="24"/>
        </w:rPr>
        <w:t>(1)</w:t>
      </w:r>
      <w:r w:rsidR="0079015D" w:rsidRPr="00883399">
        <w:rPr>
          <w:sz w:val="24"/>
        </w:rPr>
        <w:tab/>
        <w:t xml:space="preserve">The procedure set out in this section applies if, during a reporting year, a method for a separate occurrence of a source cannot be used because of a mechanical or technical failure of equipment or a failure of measurement systems during a period (the </w:t>
      </w:r>
      <w:r w:rsidR="0079015D" w:rsidRPr="00883399">
        <w:rPr>
          <w:b/>
          <w:i/>
          <w:sz w:val="24"/>
        </w:rPr>
        <w:t>down time</w:t>
      </w:r>
      <w:r w:rsidR="0079015D" w:rsidRPr="00883399">
        <w:rPr>
          <w:sz w:val="24"/>
        </w:rPr>
        <w:t>).</w:t>
      </w:r>
    </w:p>
    <w:p w14:paraId="01922EE2" w14:textId="77777777" w:rsidR="0079015D" w:rsidRPr="00883399" w:rsidRDefault="0079015D" w:rsidP="0079015D">
      <w:pPr>
        <w:pStyle w:val="subsection"/>
        <w:rPr>
          <w:sz w:val="24"/>
        </w:rPr>
      </w:pPr>
      <w:r w:rsidRPr="00883399">
        <w:rPr>
          <w:sz w:val="24"/>
        </w:rPr>
        <w:tab/>
        <w:t>(2)</w:t>
      </w:r>
      <w:r w:rsidRPr="00883399">
        <w:rPr>
          <w:sz w:val="24"/>
        </w:rPr>
        <w:tab/>
        <w:t>For each day or part of a day during the down time, the estimation of emissions from the separate occurrence of a sourcemust be consistent with the principles in section 1.13.</w:t>
      </w:r>
    </w:p>
    <w:p w14:paraId="601D39DD" w14:textId="77777777" w:rsidR="0079015D" w:rsidRPr="00883399" w:rsidRDefault="0079015D" w:rsidP="0079015D">
      <w:pPr>
        <w:pStyle w:val="subsection"/>
        <w:rPr>
          <w:sz w:val="24"/>
        </w:rPr>
      </w:pPr>
      <w:r w:rsidRPr="00883399">
        <w:rPr>
          <w:sz w:val="24"/>
        </w:rPr>
        <w:tab/>
        <w:t>(3)</w:t>
      </w:r>
      <w:r w:rsidRPr="00883399">
        <w:rPr>
          <w:sz w:val="24"/>
        </w:rPr>
        <w:tab/>
        <w:t>Subsection (2) only applies for a maximum of 6 weeks in a year. This period does not include down time taken for the calibration of the equipment.</w:t>
      </w:r>
    </w:p>
    <w:p w14:paraId="5C41C21B" w14:textId="77777777" w:rsidR="0079015D" w:rsidRPr="00883399" w:rsidRDefault="0079015D" w:rsidP="0079015D">
      <w:pPr>
        <w:pStyle w:val="subsection"/>
        <w:rPr>
          <w:sz w:val="24"/>
        </w:rPr>
      </w:pPr>
      <w:r w:rsidRPr="00883399">
        <w:rPr>
          <w:sz w:val="24"/>
        </w:rPr>
        <w:tab/>
        <w:t>(4)</w:t>
      </w:r>
      <w:r w:rsidRPr="00883399">
        <w:rPr>
          <w:sz w:val="24"/>
        </w:rPr>
        <w:tab/>
        <w:t>If down time is more than 6 weeks in a year, the registered corporation or liable entity must inform the Regulator, in writing, of the following:</w:t>
      </w:r>
    </w:p>
    <w:p w14:paraId="61C05D8C" w14:textId="77777777" w:rsidR="0079015D" w:rsidRPr="00883399" w:rsidRDefault="0079015D" w:rsidP="0079015D">
      <w:pPr>
        <w:pStyle w:val="paragraph"/>
        <w:rPr>
          <w:sz w:val="24"/>
        </w:rPr>
      </w:pPr>
      <w:r w:rsidRPr="00883399">
        <w:rPr>
          <w:sz w:val="24"/>
        </w:rPr>
        <w:tab/>
        <w:t>(a)</w:t>
      </w:r>
      <w:r w:rsidRPr="00883399">
        <w:rPr>
          <w:sz w:val="24"/>
        </w:rPr>
        <w:tab/>
        <w:t>the reason why down time is more than 6 weeks;</w:t>
      </w:r>
    </w:p>
    <w:p w14:paraId="2BD1B899" w14:textId="77777777" w:rsidR="0079015D" w:rsidRPr="00883399" w:rsidRDefault="0079015D" w:rsidP="0079015D">
      <w:pPr>
        <w:pStyle w:val="paragraph"/>
        <w:rPr>
          <w:sz w:val="24"/>
        </w:rPr>
      </w:pPr>
      <w:r w:rsidRPr="00883399">
        <w:rPr>
          <w:sz w:val="24"/>
        </w:rPr>
        <w:tab/>
        <w:t>(b)</w:t>
      </w:r>
      <w:r w:rsidRPr="00883399">
        <w:rPr>
          <w:sz w:val="24"/>
        </w:rPr>
        <w:tab/>
        <w:t>how the corporation or entity plans to minimise down time;</w:t>
      </w:r>
    </w:p>
    <w:p w14:paraId="27A39F46" w14:textId="77777777" w:rsidR="0079015D" w:rsidRPr="00883399" w:rsidRDefault="0079015D" w:rsidP="0079015D">
      <w:pPr>
        <w:pStyle w:val="paragraph"/>
        <w:rPr>
          <w:sz w:val="24"/>
        </w:rPr>
      </w:pPr>
      <w:r w:rsidRPr="00883399">
        <w:rPr>
          <w:sz w:val="24"/>
        </w:rPr>
        <w:tab/>
        <w:t>(c)</w:t>
      </w:r>
      <w:r w:rsidRPr="00883399">
        <w:rPr>
          <w:sz w:val="24"/>
        </w:rPr>
        <w:tab/>
        <w:t>how emissions have been estimated during the down time.</w:t>
      </w:r>
    </w:p>
    <w:p w14:paraId="4B22042A" w14:textId="77777777" w:rsidR="0079015D" w:rsidRPr="00883399" w:rsidRDefault="0079015D" w:rsidP="0079015D">
      <w:pPr>
        <w:pStyle w:val="subsection"/>
        <w:rPr>
          <w:sz w:val="24"/>
        </w:rPr>
      </w:pPr>
      <w:r w:rsidRPr="00883399">
        <w:rPr>
          <w:sz w:val="24"/>
        </w:rPr>
        <w:tab/>
        <w:t>(5)</w:t>
      </w:r>
      <w:r w:rsidRPr="00883399">
        <w:rPr>
          <w:sz w:val="24"/>
        </w:rPr>
        <w:tab/>
        <w:t>The information mentioned in subsection (4) must be given to the Regulator within 6 weeks after the day when down time exceeds 6 weeks in a year.</w:t>
      </w:r>
    </w:p>
    <w:p w14:paraId="7306A0E3" w14:textId="77777777" w:rsidR="0079015D" w:rsidRPr="00883399" w:rsidRDefault="0079015D" w:rsidP="0079015D">
      <w:pPr>
        <w:pStyle w:val="subsection"/>
        <w:rPr>
          <w:sz w:val="24"/>
        </w:rPr>
      </w:pPr>
      <w:r w:rsidRPr="00883399">
        <w:rPr>
          <w:sz w:val="24"/>
        </w:rPr>
        <w:lastRenderedPageBreak/>
        <w:t xml:space="preserve"> </w:t>
      </w:r>
      <w:r w:rsidRPr="00883399">
        <w:rPr>
          <w:sz w:val="24"/>
        </w:rPr>
        <w:tab/>
        <w:t>(6)</w:t>
      </w:r>
      <w:r w:rsidRPr="00883399">
        <w:rPr>
          <w:sz w:val="24"/>
        </w:rPr>
        <w:tab/>
        <w:t>The Regulator may require a registered corporation or liable entity to use method 1 to estimate emissions during the down time if:</w:t>
      </w:r>
    </w:p>
    <w:p w14:paraId="6057184D" w14:textId="77777777" w:rsidR="0079015D" w:rsidRPr="00883399" w:rsidRDefault="0079015D" w:rsidP="0079015D">
      <w:pPr>
        <w:pStyle w:val="paragraph"/>
        <w:rPr>
          <w:sz w:val="24"/>
        </w:rPr>
      </w:pPr>
      <w:r w:rsidRPr="00883399">
        <w:rPr>
          <w:sz w:val="24"/>
        </w:rPr>
        <w:t xml:space="preserve"> </w:t>
      </w:r>
      <w:r w:rsidRPr="00883399">
        <w:rPr>
          <w:sz w:val="24"/>
        </w:rPr>
        <w:tab/>
        <w:t>(a)</w:t>
      </w:r>
      <w:r w:rsidRPr="00883399">
        <w:rPr>
          <w:sz w:val="24"/>
        </w:rPr>
        <w:tab/>
        <w:t>method 2, 3 or 4 has been used to estimate emissions for the separate occurrence of a source; and</w:t>
      </w:r>
    </w:p>
    <w:p w14:paraId="084C3B49" w14:textId="77777777" w:rsidR="0079015D" w:rsidRPr="00883399" w:rsidRDefault="0079015D" w:rsidP="0079015D">
      <w:pPr>
        <w:pStyle w:val="paragraph"/>
        <w:rPr>
          <w:sz w:val="24"/>
        </w:rPr>
      </w:pPr>
      <w:r w:rsidRPr="00883399">
        <w:rPr>
          <w:sz w:val="24"/>
        </w:rPr>
        <w:tab/>
        <w:t>(b)</w:t>
      </w:r>
      <w:r w:rsidRPr="00883399">
        <w:rPr>
          <w:sz w:val="24"/>
        </w:rPr>
        <w:tab/>
        <w:t>down time is more than 6 weeks in a year.</w:t>
      </w:r>
    </w:p>
    <w:p w14:paraId="6F8B15EA" w14:textId="77777777" w:rsidR="00872C03" w:rsidRPr="00883399" w:rsidRDefault="00872C03" w:rsidP="0079015D">
      <w:pPr>
        <w:pStyle w:val="subsection"/>
        <w:rPr>
          <w:color w:val="000000"/>
        </w:rPr>
      </w:pPr>
      <w:r w:rsidRPr="00883399">
        <w:rPr>
          <w:color w:val="000000"/>
        </w:rPr>
        <w:t>Division 1.2.3</w:t>
      </w:r>
      <w:r w:rsidRPr="00883399">
        <w:rPr>
          <w:color w:val="000000"/>
        </w:rPr>
        <w:tab/>
        <w:t>Requirements in relation to carbon capture and storage</w:t>
      </w:r>
    </w:p>
    <w:p w14:paraId="45D4AD44" w14:textId="77777777" w:rsidR="00872C03" w:rsidRPr="00883399" w:rsidRDefault="00872C03" w:rsidP="00872C03">
      <w:pPr>
        <w:pStyle w:val="Bullet"/>
        <w:numPr>
          <w:ilvl w:val="0"/>
          <w:numId w:val="0"/>
        </w:numPr>
        <w:spacing w:before="240" w:line="312" w:lineRule="auto"/>
      </w:pPr>
      <w:r w:rsidRPr="00883399">
        <w:t>The National Greenhouse and Energy Reporting Regulations currently require facilities involved in carbon capture and storage to report fugitive emissions from transport, injection and the storage site as well as the stock of carbon dioxide stored and the amount of carbon dioxide captured, imported and injected (see Regulation 4.12).</w:t>
      </w:r>
    </w:p>
    <w:p w14:paraId="0B07DBE7" w14:textId="77777777" w:rsidR="00872C03" w:rsidRPr="00883399" w:rsidRDefault="00872C03" w:rsidP="00872C03">
      <w:pPr>
        <w:pStyle w:val="Bullet"/>
        <w:numPr>
          <w:ilvl w:val="0"/>
          <w:numId w:val="0"/>
        </w:numPr>
        <w:spacing w:before="240" w:line="312" w:lineRule="auto"/>
      </w:pPr>
      <w:r w:rsidRPr="00883399">
        <w:t xml:space="preserve">This division sets out methods to support the requirements of the regulations for carbon capture and storage. </w:t>
      </w:r>
    </w:p>
    <w:p w14:paraId="478BEA5C" w14:textId="77777777" w:rsidR="00872C03" w:rsidRPr="00883399" w:rsidRDefault="00872C03" w:rsidP="00872C03">
      <w:pPr>
        <w:pStyle w:val="Bullet"/>
        <w:numPr>
          <w:ilvl w:val="0"/>
          <w:numId w:val="0"/>
        </w:numPr>
        <w:spacing w:before="240" w:line="312" w:lineRule="auto"/>
      </w:pPr>
      <w:r w:rsidRPr="00883399">
        <w:t xml:space="preserve">This division defines the meaning of ‘captured for permanent storage’ and the requirements allowing facilities that capture carbon dioxide for permanent storage in an underground geological formation to deduct that amount of carbon dioxide in the emissions estimation process for that facility.  The storage must be </w:t>
      </w:r>
      <w:r w:rsidRPr="00883399">
        <w:rPr>
          <w:i/>
        </w:rPr>
        <w:t>permanent</w:t>
      </w:r>
      <w:r w:rsidRPr="00883399">
        <w:t xml:space="preserve"> and is defined as such only if the carbon dioxide is transferred to an underground geological formation that is regulated under national or State legislation.</w:t>
      </w:r>
    </w:p>
    <w:p w14:paraId="5DAAA329" w14:textId="77777777" w:rsidR="00872C03" w:rsidRPr="00883399" w:rsidRDefault="00872C03" w:rsidP="00872C03">
      <w:pPr>
        <w:pStyle w:val="Bullet"/>
        <w:numPr>
          <w:ilvl w:val="0"/>
          <w:numId w:val="0"/>
        </w:numPr>
        <w:spacing w:before="240" w:line="312" w:lineRule="auto"/>
      </w:pPr>
      <w:r w:rsidRPr="00883399">
        <w:t xml:space="preserve">Other requirements for carbon capture and storage (CCS) define how the deductions are to be attributed where there are multiple sources or fuels consumed and the measurement criteria to be applied for the carbon dioxide captured. </w:t>
      </w:r>
    </w:p>
    <w:p w14:paraId="764250A1" w14:textId="77777777" w:rsidR="00872C03" w:rsidRPr="00883399" w:rsidRDefault="00872C03" w:rsidP="00872C03">
      <w:pPr>
        <w:pStyle w:val="Bullet"/>
        <w:numPr>
          <w:ilvl w:val="0"/>
          <w:numId w:val="0"/>
        </w:numPr>
        <w:spacing w:before="240" w:line="312" w:lineRule="auto"/>
      </w:pPr>
      <w:r w:rsidRPr="00883399">
        <w:t xml:space="preserve">Methods to estimate fugitive emissions from transport of the carbon dioxide for permanent storage can be found in Part 3.4. </w:t>
      </w:r>
    </w:p>
    <w:p w14:paraId="691C308A" w14:textId="77777777" w:rsidR="00872C03" w:rsidRPr="00883399" w:rsidRDefault="00872C03" w:rsidP="00872C03">
      <w:pPr>
        <w:pStyle w:val="Bullet"/>
        <w:numPr>
          <w:ilvl w:val="0"/>
          <w:numId w:val="0"/>
        </w:numPr>
        <w:spacing w:before="240" w:line="312" w:lineRule="auto"/>
      </w:pPr>
      <w:r w:rsidRPr="00883399">
        <w:t>The scope of the amendments for CCS reflects the status of the regulatory framework as well as the technology available for permanent storage of carbon dioxide. The CCS regulatory framework is under development and is not yet comprehensive.</w:t>
      </w:r>
    </w:p>
    <w:p w14:paraId="797F084E" w14:textId="77777777" w:rsidR="00872C03" w:rsidRPr="00883399" w:rsidRDefault="00872C03" w:rsidP="00872C03">
      <w:pPr>
        <w:pStyle w:val="Bullet"/>
        <w:numPr>
          <w:ilvl w:val="0"/>
          <w:numId w:val="0"/>
        </w:numPr>
        <w:spacing w:before="240" w:line="312" w:lineRule="auto"/>
      </w:pPr>
      <w:r w:rsidRPr="00883399">
        <w:t>The provisions for CCS should be considered to be a first step in the process of the development of a comprehensive provision for the treatment of carbon capture and storage in the NGER system.</w:t>
      </w:r>
    </w:p>
    <w:p w14:paraId="196E80F0" w14:textId="77777777" w:rsidR="003331C5" w:rsidRPr="00883399" w:rsidRDefault="003331C5" w:rsidP="003331C5">
      <w:pPr>
        <w:pStyle w:val="ActHead3"/>
        <w:pageBreakBefore/>
        <w:rPr>
          <w:sz w:val="32"/>
        </w:rPr>
      </w:pPr>
      <w:bookmarkStart w:id="62" w:name="_Toc455152135"/>
      <w:bookmarkStart w:id="63" w:name="_Toc495652603"/>
      <w:bookmarkStart w:id="64" w:name="_Toc423516706"/>
      <w:bookmarkEnd w:id="61"/>
      <w:r w:rsidRPr="00883399">
        <w:rPr>
          <w:rStyle w:val="CharDivNo"/>
          <w:sz w:val="32"/>
        </w:rPr>
        <w:lastRenderedPageBreak/>
        <w:t>Division 1.2.3</w:t>
      </w:r>
      <w:r w:rsidRPr="00883399">
        <w:rPr>
          <w:sz w:val="32"/>
        </w:rPr>
        <w:t>—</w:t>
      </w:r>
      <w:r w:rsidRPr="00883399">
        <w:rPr>
          <w:rStyle w:val="CharDivText"/>
          <w:sz w:val="32"/>
        </w:rPr>
        <w:t>Requirements in relation to carbon capture and storage</w:t>
      </w:r>
      <w:bookmarkEnd w:id="62"/>
      <w:bookmarkEnd w:id="63"/>
    </w:p>
    <w:p w14:paraId="3F55408B" w14:textId="77777777" w:rsidR="003331C5" w:rsidRPr="00883399" w:rsidRDefault="003331C5" w:rsidP="003331C5">
      <w:pPr>
        <w:pStyle w:val="ActHead5"/>
        <w:rPr>
          <w:sz w:val="28"/>
        </w:rPr>
      </w:pPr>
      <w:bookmarkStart w:id="65" w:name="_Toc455152136"/>
      <w:bookmarkStart w:id="66" w:name="_Toc495652604"/>
      <w:r w:rsidRPr="00883399">
        <w:rPr>
          <w:rStyle w:val="CharSectno"/>
          <w:sz w:val="28"/>
        </w:rPr>
        <w:t>1.19A</w:t>
      </w:r>
      <w:r w:rsidRPr="00883399">
        <w:rPr>
          <w:sz w:val="28"/>
        </w:rPr>
        <w:t xml:space="preserve">  Meaning of </w:t>
      </w:r>
      <w:r w:rsidRPr="00883399">
        <w:rPr>
          <w:i/>
          <w:sz w:val="28"/>
        </w:rPr>
        <w:t>captured for permanent storage</w:t>
      </w:r>
      <w:bookmarkEnd w:id="65"/>
      <w:bookmarkEnd w:id="66"/>
    </w:p>
    <w:p w14:paraId="4499E7AB" w14:textId="77777777" w:rsidR="003331C5" w:rsidRPr="00883399" w:rsidRDefault="003331C5" w:rsidP="003331C5">
      <w:pPr>
        <w:pStyle w:val="subsection"/>
        <w:rPr>
          <w:sz w:val="24"/>
        </w:rPr>
      </w:pPr>
      <w:r w:rsidRPr="00883399">
        <w:rPr>
          <w:sz w:val="24"/>
        </w:rPr>
        <w:tab/>
      </w:r>
      <w:r w:rsidRPr="00883399">
        <w:rPr>
          <w:sz w:val="24"/>
        </w:rPr>
        <w:tab/>
        <w:t xml:space="preserve">For this Determination, a greenhouse gas is </w:t>
      </w:r>
      <w:r w:rsidRPr="00883399">
        <w:rPr>
          <w:b/>
          <w:i/>
          <w:sz w:val="24"/>
        </w:rPr>
        <w:t>captured for permanent storage</w:t>
      </w:r>
      <w:r w:rsidRPr="00883399">
        <w:rPr>
          <w:sz w:val="24"/>
        </w:rPr>
        <w:t xml:space="preserve"> only if it is captured by, or transferred to:</w:t>
      </w:r>
    </w:p>
    <w:p w14:paraId="5F59566C" w14:textId="77777777" w:rsidR="003331C5" w:rsidRPr="00883399" w:rsidRDefault="003331C5" w:rsidP="003331C5">
      <w:pPr>
        <w:pStyle w:val="paragraph"/>
        <w:rPr>
          <w:sz w:val="24"/>
        </w:rPr>
      </w:pPr>
      <w:r w:rsidRPr="00883399">
        <w:rPr>
          <w:sz w:val="24"/>
        </w:rPr>
        <w:tab/>
        <w:t>(a)</w:t>
      </w:r>
      <w:r w:rsidRPr="00883399">
        <w:rPr>
          <w:sz w:val="24"/>
        </w:rPr>
        <w:tab/>
        <w:t xml:space="preserve">the registered holder of a greenhouse gas injection licence under the </w:t>
      </w:r>
      <w:r w:rsidRPr="00883399">
        <w:rPr>
          <w:i/>
          <w:sz w:val="24"/>
        </w:rPr>
        <w:t xml:space="preserve">Offshore Petroleum and Greenhouse Gas Storage Act 2006 </w:t>
      </w:r>
      <w:r w:rsidRPr="00883399">
        <w:rPr>
          <w:sz w:val="24"/>
        </w:rPr>
        <w:t>for the purpose of being injected into an identified greenhouse gas storage formation under the licence in accordance with that Act; or</w:t>
      </w:r>
    </w:p>
    <w:p w14:paraId="01555C22" w14:textId="77777777" w:rsidR="003331C5" w:rsidRPr="00883399" w:rsidRDefault="003331C5" w:rsidP="003331C5">
      <w:pPr>
        <w:pStyle w:val="paragraph"/>
        <w:rPr>
          <w:sz w:val="24"/>
        </w:rPr>
      </w:pPr>
      <w:r w:rsidRPr="00883399">
        <w:rPr>
          <w:sz w:val="24"/>
        </w:rPr>
        <w:tab/>
        <w:t>(b)</w:t>
      </w:r>
      <w:r w:rsidRPr="00883399">
        <w:rPr>
          <w:sz w:val="24"/>
        </w:rPr>
        <w:tab/>
        <w:t xml:space="preserve">the holder of an injection and monitoring licence under the </w:t>
      </w:r>
      <w:r w:rsidRPr="00883399">
        <w:rPr>
          <w:b/>
          <w:sz w:val="24"/>
        </w:rPr>
        <w:t xml:space="preserve">Greenhouse Gas Geological Sequestration Act 2008 </w:t>
      </w:r>
      <w:r w:rsidRPr="00883399">
        <w:rPr>
          <w:sz w:val="24"/>
        </w:rPr>
        <w:t>(Vic) for the purpose of being injected into an underground geological formation under the licence in accordance with that Act; or</w:t>
      </w:r>
    </w:p>
    <w:p w14:paraId="42BC313C" w14:textId="77777777" w:rsidR="003331C5" w:rsidRPr="00883399" w:rsidRDefault="003331C5" w:rsidP="003331C5">
      <w:pPr>
        <w:pStyle w:val="paragraph"/>
        <w:rPr>
          <w:sz w:val="24"/>
        </w:rPr>
      </w:pPr>
      <w:r w:rsidRPr="00883399">
        <w:rPr>
          <w:sz w:val="24"/>
        </w:rPr>
        <w:tab/>
        <w:t>(c)</w:t>
      </w:r>
      <w:r w:rsidRPr="00883399">
        <w:rPr>
          <w:sz w:val="24"/>
        </w:rPr>
        <w:tab/>
        <w:t xml:space="preserve">the registered holder of a greenhouse gas injection licence under the </w:t>
      </w:r>
      <w:r w:rsidRPr="00883399">
        <w:rPr>
          <w:b/>
          <w:sz w:val="24"/>
        </w:rPr>
        <w:t xml:space="preserve">Offshore Petroleum and Greenhouse Gas Storage Act 2010 </w:t>
      </w:r>
      <w:r w:rsidRPr="00883399">
        <w:rPr>
          <w:sz w:val="24"/>
        </w:rPr>
        <w:t>(Vic) for the purpose of being injected into an identified greenhouse gas storage formation under the licence in accordance with that Act; or</w:t>
      </w:r>
    </w:p>
    <w:p w14:paraId="48B99D12" w14:textId="77777777" w:rsidR="003331C5" w:rsidRPr="00883399" w:rsidRDefault="003331C5" w:rsidP="003331C5">
      <w:pPr>
        <w:pStyle w:val="paragraph"/>
        <w:rPr>
          <w:sz w:val="24"/>
        </w:rPr>
      </w:pPr>
      <w:r w:rsidRPr="00883399">
        <w:rPr>
          <w:sz w:val="24"/>
        </w:rPr>
        <w:tab/>
        <w:t>(d)</w:t>
      </w:r>
      <w:r w:rsidRPr="00883399">
        <w:rPr>
          <w:sz w:val="24"/>
        </w:rPr>
        <w:tab/>
        <w:t xml:space="preserve">the holder of a GHG injection and storage lease under the </w:t>
      </w:r>
      <w:r w:rsidRPr="00883399">
        <w:rPr>
          <w:i/>
          <w:sz w:val="24"/>
        </w:rPr>
        <w:t xml:space="preserve">Greenhouse Gas Storage Act 2009 </w:t>
      </w:r>
      <w:r w:rsidRPr="00883399">
        <w:rPr>
          <w:sz w:val="24"/>
        </w:rPr>
        <w:t>(Qld) for the purpose of being injected into a GHG stream storage site under the lease in accordance with that Act; or</w:t>
      </w:r>
    </w:p>
    <w:p w14:paraId="13CB8B6A" w14:textId="77777777" w:rsidR="003331C5" w:rsidRPr="00883399" w:rsidRDefault="003331C5" w:rsidP="003331C5">
      <w:pPr>
        <w:pStyle w:val="paragraph"/>
        <w:rPr>
          <w:sz w:val="24"/>
        </w:rPr>
      </w:pPr>
      <w:r w:rsidRPr="00883399">
        <w:rPr>
          <w:sz w:val="24"/>
        </w:rPr>
        <w:tab/>
        <w:t>(e)</w:t>
      </w:r>
      <w:r w:rsidRPr="00883399">
        <w:rPr>
          <w:sz w:val="24"/>
        </w:rPr>
        <w:tab/>
        <w:t xml:space="preserve">the holder of an approval under the </w:t>
      </w:r>
      <w:r w:rsidRPr="00883399">
        <w:rPr>
          <w:i/>
          <w:sz w:val="24"/>
        </w:rPr>
        <w:t xml:space="preserve">Barrow Island Act 2003 </w:t>
      </w:r>
      <w:r w:rsidRPr="00883399">
        <w:rPr>
          <w:sz w:val="24"/>
        </w:rPr>
        <w:t>(WA) for the purpose of being injected into an underground reservoir or other subsurface formation in accordance with that Act; or</w:t>
      </w:r>
    </w:p>
    <w:p w14:paraId="02B02D1D" w14:textId="77777777" w:rsidR="003331C5" w:rsidRPr="00883399" w:rsidRDefault="003331C5" w:rsidP="003331C5">
      <w:pPr>
        <w:pStyle w:val="paragraph"/>
        <w:rPr>
          <w:sz w:val="24"/>
        </w:rPr>
      </w:pPr>
      <w:r w:rsidRPr="00883399">
        <w:rPr>
          <w:sz w:val="24"/>
        </w:rPr>
        <w:tab/>
        <w:t>(f)</w:t>
      </w:r>
      <w:r w:rsidRPr="00883399">
        <w:rPr>
          <w:sz w:val="24"/>
        </w:rPr>
        <w:tab/>
        <w:t xml:space="preserve">the holder of a gas storage licence under the </w:t>
      </w:r>
      <w:r w:rsidRPr="00883399">
        <w:rPr>
          <w:i/>
          <w:sz w:val="24"/>
        </w:rPr>
        <w:t xml:space="preserve">Petroleum and Geothermal Energy Act 2000 </w:t>
      </w:r>
      <w:r w:rsidRPr="00883399">
        <w:rPr>
          <w:sz w:val="24"/>
        </w:rPr>
        <w:t>(SA) for the purpose of being injected into a natural reservoir under the licence in accordance with that Act.</w:t>
      </w:r>
    </w:p>
    <w:p w14:paraId="3BBF6F94" w14:textId="77777777" w:rsidR="003331C5" w:rsidRPr="00883399" w:rsidRDefault="003331C5" w:rsidP="003331C5">
      <w:pPr>
        <w:pStyle w:val="ActHead5"/>
        <w:rPr>
          <w:sz w:val="28"/>
        </w:rPr>
      </w:pPr>
      <w:bookmarkStart w:id="67" w:name="_Toc455152137"/>
      <w:bookmarkStart w:id="68" w:name="_Toc495652605"/>
      <w:r w:rsidRPr="00883399">
        <w:rPr>
          <w:rStyle w:val="CharSectno"/>
          <w:sz w:val="28"/>
        </w:rPr>
        <w:t>1.19B</w:t>
      </w:r>
      <w:r w:rsidRPr="00883399">
        <w:rPr>
          <w:sz w:val="28"/>
        </w:rPr>
        <w:t xml:space="preserve">  Deducting greenhouse gas that is captured for permanent storage</w:t>
      </w:r>
      <w:bookmarkEnd w:id="67"/>
      <w:bookmarkEnd w:id="68"/>
    </w:p>
    <w:p w14:paraId="3A284388" w14:textId="77777777" w:rsidR="003331C5" w:rsidRPr="00883399" w:rsidRDefault="003331C5" w:rsidP="003331C5">
      <w:pPr>
        <w:spacing w:before="240" w:line="312" w:lineRule="auto"/>
        <w:rPr>
          <w:rFonts w:cs="Arial"/>
          <w:sz w:val="22"/>
          <w:szCs w:val="22"/>
        </w:rPr>
      </w:pPr>
      <w:r w:rsidRPr="00883399">
        <w:rPr>
          <w:rFonts w:ascii="Arial" w:hAnsi="Arial" w:cs="Arial"/>
          <w:sz w:val="22"/>
          <w:szCs w:val="22"/>
        </w:rPr>
        <w:t xml:space="preserve">The amount of carbon dioxide captured for permanent storage may be deducted from the emissions estimate for the relevant source. Where method 4 is used to measure emissions from a facility a deduction for carbon dioxide captured for permanent storage is not required since emissions are measured directly under this method and do not include the carbon dioxide captured for permanent storage. </w:t>
      </w:r>
    </w:p>
    <w:p w14:paraId="35B37CD1" w14:textId="77777777" w:rsidR="003331C5" w:rsidRPr="00883399" w:rsidRDefault="003331C5" w:rsidP="003331C5">
      <w:pPr>
        <w:spacing w:before="240" w:line="312" w:lineRule="auto"/>
        <w:rPr>
          <w:rFonts w:cs="Arial"/>
          <w:sz w:val="22"/>
          <w:szCs w:val="22"/>
        </w:rPr>
      </w:pPr>
      <w:r w:rsidRPr="00883399">
        <w:rPr>
          <w:rFonts w:ascii="Arial" w:hAnsi="Arial" w:cs="Arial"/>
          <w:sz w:val="22"/>
          <w:szCs w:val="22"/>
        </w:rPr>
        <w:lastRenderedPageBreak/>
        <w:t xml:space="preserve">In determining the amount of carbon dioxide that is captured for permanent storage it is considered good practice to measure the volume of the carbon dioxide stream and the concentration of carbon dioxide in the stream at the point of capture. </w:t>
      </w:r>
    </w:p>
    <w:p w14:paraId="41C8318C" w14:textId="77777777" w:rsidR="003331C5" w:rsidRPr="00883399" w:rsidRDefault="003331C5" w:rsidP="003331C5">
      <w:pPr>
        <w:pStyle w:val="subsection"/>
        <w:rPr>
          <w:sz w:val="24"/>
        </w:rPr>
      </w:pPr>
      <w:r w:rsidRPr="00883399">
        <w:rPr>
          <w:sz w:val="24"/>
        </w:rPr>
        <w:t>(1)</w:t>
      </w:r>
      <w:r w:rsidRPr="00883399">
        <w:rPr>
          <w:sz w:val="24"/>
        </w:rPr>
        <w:tab/>
        <w:t>If a provision of this Determination provides that an amount of a greenhouse gas that is captured for permanent storage may be deducted in the estimation of emissions under the provision, then the amount of the greenhouse gas may be deducted only if:</w:t>
      </w:r>
    </w:p>
    <w:p w14:paraId="3821969C" w14:textId="77777777" w:rsidR="003331C5" w:rsidRPr="00883399" w:rsidRDefault="003331C5" w:rsidP="003331C5">
      <w:pPr>
        <w:pStyle w:val="paragraph"/>
        <w:rPr>
          <w:sz w:val="24"/>
        </w:rPr>
      </w:pPr>
      <w:r w:rsidRPr="00883399">
        <w:rPr>
          <w:sz w:val="24"/>
        </w:rPr>
        <w:tab/>
        <w:t>(a)</w:t>
      </w:r>
      <w:r w:rsidRPr="00883399">
        <w:rPr>
          <w:sz w:val="24"/>
        </w:rPr>
        <w:tab/>
        <w:t>the greenhouse gas that is captured for permanent storage is captured by, or transferred to, a relevant person; and</w:t>
      </w:r>
    </w:p>
    <w:p w14:paraId="7B9BB4D6" w14:textId="77777777" w:rsidR="003331C5" w:rsidRPr="00883399" w:rsidRDefault="003331C5" w:rsidP="003331C5">
      <w:pPr>
        <w:pStyle w:val="paragraph"/>
        <w:rPr>
          <w:sz w:val="24"/>
        </w:rPr>
      </w:pPr>
      <w:r w:rsidRPr="00883399">
        <w:rPr>
          <w:sz w:val="24"/>
        </w:rPr>
        <w:tab/>
        <w:t>(b)</w:t>
      </w:r>
      <w:r w:rsidRPr="00883399">
        <w:rPr>
          <w:sz w:val="24"/>
        </w:rPr>
        <w:tab/>
        <w:t>the amount of the greenhouse gas that is captured for permanent storage is estimated in accordance with section 1.19E; and</w:t>
      </w:r>
    </w:p>
    <w:p w14:paraId="1F75719A" w14:textId="77777777" w:rsidR="003331C5" w:rsidRPr="00883399" w:rsidRDefault="003331C5" w:rsidP="003331C5">
      <w:pPr>
        <w:pStyle w:val="paragraph"/>
        <w:rPr>
          <w:sz w:val="24"/>
        </w:rPr>
      </w:pPr>
      <w:r w:rsidRPr="00883399">
        <w:rPr>
          <w:sz w:val="24"/>
        </w:rPr>
        <w:tab/>
        <w:t>(c)</w:t>
      </w:r>
      <w:r w:rsidRPr="00883399">
        <w:rPr>
          <w:sz w:val="24"/>
        </w:rPr>
        <w:tab/>
        <w:t>the relevant person issues a written certificate that complies with subsection (2).</w:t>
      </w:r>
    </w:p>
    <w:p w14:paraId="7793DE29" w14:textId="77777777" w:rsidR="003331C5" w:rsidRPr="00883399" w:rsidRDefault="003331C5" w:rsidP="003331C5">
      <w:pPr>
        <w:pStyle w:val="subsection"/>
        <w:rPr>
          <w:sz w:val="24"/>
        </w:rPr>
      </w:pPr>
      <w:r w:rsidRPr="00883399">
        <w:rPr>
          <w:sz w:val="24"/>
        </w:rPr>
        <w:tab/>
        <w:t>(2)</w:t>
      </w:r>
      <w:r w:rsidRPr="00883399">
        <w:rPr>
          <w:sz w:val="24"/>
        </w:rPr>
        <w:tab/>
        <w:t>The certificate must specify:</w:t>
      </w:r>
    </w:p>
    <w:p w14:paraId="7EBEB417" w14:textId="77777777" w:rsidR="003331C5" w:rsidRPr="00883399" w:rsidRDefault="003331C5" w:rsidP="003331C5">
      <w:pPr>
        <w:pStyle w:val="paragraph"/>
        <w:rPr>
          <w:sz w:val="24"/>
        </w:rPr>
      </w:pPr>
      <w:r w:rsidRPr="00883399">
        <w:rPr>
          <w:sz w:val="24"/>
        </w:rPr>
        <w:tab/>
        <w:t>(a)</w:t>
      </w:r>
      <w:r w:rsidRPr="00883399">
        <w:rPr>
          <w:sz w:val="24"/>
        </w:rPr>
        <w:tab/>
        <w:t>if the greenhouse gas is captured by the relevant person and is neither transferred to the relevant person nor transferred by the relevant person to another person—the following information:</w:t>
      </w:r>
    </w:p>
    <w:p w14:paraId="750FD774" w14:textId="77777777" w:rsidR="003331C5" w:rsidRPr="00883399" w:rsidRDefault="003331C5" w:rsidP="003331C5">
      <w:pPr>
        <w:pStyle w:val="paragraphsub"/>
        <w:rPr>
          <w:sz w:val="24"/>
        </w:rPr>
      </w:pPr>
      <w:r w:rsidRPr="00883399">
        <w:rPr>
          <w:sz w:val="24"/>
        </w:rPr>
        <w:tab/>
        <w:t>(i)</w:t>
      </w:r>
      <w:r w:rsidRPr="00883399">
        <w:rPr>
          <w:sz w:val="24"/>
        </w:rPr>
        <w:tab/>
        <w:t>the amount of the greenhouse gas, measured in CO</w:t>
      </w:r>
      <w:r w:rsidRPr="00883399">
        <w:rPr>
          <w:sz w:val="24"/>
          <w:vertAlign w:val="subscript"/>
        </w:rPr>
        <w:t>2</w:t>
      </w:r>
      <w:r w:rsidRPr="00883399">
        <w:rPr>
          <w:sz w:val="24"/>
        </w:rPr>
        <w:noBreakHyphen/>
        <w:t>e</w:t>
      </w:r>
      <w:r w:rsidRPr="00883399">
        <w:rPr>
          <w:sz w:val="24"/>
          <w:szCs w:val="22"/>
        </w:rPr>
        <w:t xml:space="preserve"> tonnes</w:t>
      </w:r>
      <w:r w:rsidRPr="00883399">
        <w:rPr>
          <w:sz w:val="24"/>
        </w:rPr>
        <w:t>, captured by the relevant person;</w:t>
      </w:r>
    </w:p>
    <w:p w14:paraId="7BC97C24" w14:textId="77777777" w:rsidR="003331C5" w:rsidRPr="00883399" w:rsidRDefault="003331C5" w:rsidP="003331C5">
      <w:pPr>
        <w:pStyle w:val="paragraphsub"/>
        <w:rPr>
          <w:sz w:val="24"/>
        </w:rPr>
      </w:pPr>
      <w:r w:rsidRPr="00883399">
        <w:rPr>
          <w:sz w:val="24"/>
        </w:rPr>
        <w:tab/>
        <w:t>(ii)</w:t>
      </w:r>
      <w:r w:rsidRPr="00883399">
        <w:rPr>
          <w:sz w:val="24"/>
        </w:rPr>
        <w:tab/>
        <w:t>the volume of the greenhouse gas stream containing the captured greenhouse gas;</w:t>
      </w:r>
    </w:p>
    <w:p w14:paraId="7BAC6CC8" w14:textId="77777777" w:rsidR="003331C5" w:rsidRPr="00883399" w:rsidRDefault="003331C5" w:rsidP="003331C5">
      <w:pPr>
        <w:pStyle w:val="paragraphsub"/>
        <w:rPr>
          <w:sz w:val="24"/>
        </w:rPr>
      </w:pPr>
      <w:r w:rsidRPr="00883399">
        <w:rPr>
          <w:sz w:val="24"/>
        </w:rPr>
        <w:tab/>
        <w:t>(iii)</w:t>
      </w:r>
      <w:r w:rsidRPr="00883399">
        <w:rPr>
          <w:sz w:val="24"/>
        </w:rPr>
        <w:tab/>
        <w:t>the concentration of the greenhouse gas in the stream; or</w:t>
      </w:r>
    </w:p>
    <w:p w14:paraId="20D630AA" w14:textId="77777777" w:rsidR="003331C5" w:rsidRPr="00883399" w:rsidRDefault="003331C5" w:rsidP="003331C5">
      <w:pPr>
        <w:pStyle w:val="paragraph"/>
        <w:rPr>
          <w:sz w:val="24"/>
        </w:rPr>
      </w:pPr>
      <w:r w:rsidRPr="00883399">
        <w:rPr>
          <w:sz w:val="24"/>
        </w:rPr>
        <w:tab/>
        <w:t>(b)</w:t>
      </w:r>
      <w:r w:rsidRPr="00883399">
        <w:rPr>
          <w:sz w:val="24"/>
        </w:rPr>
        <w:tab/>
        <w:t>if the greenhouse gas is transferred to the relevant person—the following information:</w:t>
      </w:r>
    </w:p>
    <w:p w14:paraId="5415B4E9" w14:textId="77777777" w:rsidR="003331C5" w:rsidRPr="00883399" w:rsidRDefault="003331C5" w:rsidP="003331C5">
      <w:pPr>
        <w:pStyle w:val="paragraphsub"/>
        <w:rPr>
          <w:sz w:val="24"/>
        </w:rPr>
      </w:pPr>
      <w:r w:rsidRPr="00883399">
        <w:rPr>
          <w:sz w:val="24"/>
        </w:rPr>
        <w:tab/>
        <w:t>(i)</w:t>
      </w:r>
      <w:r w:rsidRPr="00883399">
        <w:rPr>
          <w:sz w:val="24"/>
        </w:rPr>
        <w:tab/>
        <w:t>the amount of the greenhouse gas, measured in CO</w:t>
      </w:r>
      <w:r w:rsidRPr="00883399">
        <w:rPr>
          <w:sz w:val="24"/>
          <w:vertAlign w:val="subscript"/>
        </w:rPr>
        <w:t>2</w:t>
      </w:r>
      <w:r w:rsidRPr="00883399">
        <w:rPr>
          <w:sz w:val="24"/>
        </w:rPr>
        <w:noBreakHyphen/>
        <w:t>e</w:t>
      </w:r>
      <w:r w:rsidRPr="00883399">
        <w:rPr>
          <w:sz w:val="24"/>
          <w:szCs w:val="22"/>
        </w:rPr>
        <w:t xml:space="preserve"> tonnes</w:t>
      </w:r>
      <w:r w:rsidRPr="00883399">
        <w:rPr>
          <w:sz w:val="24"/>
        </w:rPr>
        <w:t>, that was transferred to the relevant person;</w:t>
      </w:r>
    </w:p>
    <w:p w14:paraId="5FCA2F9A" w14:textId="77777777" w:rsidR="003331C5" w:rsidRPr="00883399" w:rsidRDefault="003331C5" w:rsidP="003331C5">
      <w:pPr>
        <w:pStyle w:val="paragraphsub"/>
        <w:rPr>
          <w:sz w:val="24"/>
        </w:rPr>
      </w:pPr>
      <w:r w:rsidRPr="00883399">
        <w:rPr>
          <w:sz w:val="24"/>
        </w:rPr>
        <w:tab/>
        <w:t>(ii)</w:t>
      </w:r>
      <w:r w:rsidRPr="00883399">
        <w:rPr>
          <w:sz w:val="24"/>
        </w:rPr>
        <w:tab/>
        <w:t>the volume of the greenhouse gas stream containing the transferred greenhouse gas;</w:t>
      </w:r>
    </w:p>
    <w:p w14:paraId="6A91026E" w14:textId="77777777" w:rsidR="003331C5" w:rsidRPr="00883399" w:rsidRDefault="003331C5" w:rsidP="003331C5">
      <w:pPr>
        <w:pStyle w:val="paragraphsub"/>
        <w:rPr>
          <w:sz w:val="24"/>
        </w:rPr>
      </w:pPr>
      <w:r w:rsidRPr="00883399">
        <w:rPr>
          <w:sz w:val="24"/>
        </w:rPr>
        <w:tab/>
        <w:t>(iii)</w:t>
      </w:r>
      <w:r w:rsidRPr="00883399">
        <w:rPr>
          <w:sz w:val="24"/>
        </w:rPr>
        <w:tab/>
        <w:t>the concentration of the greenhouse gas in the stream.</w:t>
      </w:r>
    </w:p>
    <w:p w14:paraId="58172DD8" w14:textId="77777777" w:rsidR="003331C5" w:rsidRPr="00883399" w:rsidRDefault="003331C5" w:rsidP="003331C5">
      <w:pPr>
        <w:pStyle w:val="subsection"/>
        <w:rPr>
          <w:sz w:val="24"/>
        </w:rPr>
      </w:pPr>
      <w:r w:rsidRPr="00883399">
        <w:rPr>
          <w:sz w:val="24"/>
        </w:rPr>
        <w:tab/>
        <w:t>(3)</w:t>
      </w:r>
      <w:r w:rsidRPr="00883399">
        <w:rPr>
          <w:sz w:val="24"/>
        </w:rPr>
        <w:tab/>
        <w:t>The amount of the greenhouse gas that may be deducted is the amount specified in the certificate under paragraph (1)(c).</w:t>
      </w:r>
    </w:p>
    <w:p w14:paraId="0C46A94A" w14:textId="77777777" w:rsidR="003331C5" w:rsidRPr="00883399" w:rsidRDefault="003331C5" w:rsidP="003331C5">
      <w:pPr>
        <w:pStyle w:val="ActHead5"/>
        <w:rPr>
          <w:sz w:val="28"/>
        </w:rPr>
      </w:pPr>
      <w:bookmarkStart w:id="69" w:name="_Toc455152138"/>
      <w:bookmarkStart w:id="70" w:name="_Toc495652606"/>
      <w:r w:rsidRPr="00883399">
        <w:rPr>
          <w:rStyle w:val="CharSectno"/>
          <w:sz w:val="28"/>
        </w:rPr>
        <w:t>1.19C</w:t>
      </w:r>
      <w:r w:rsidRPr="00883399">
        <w:rPr>
          <w:sz w:val="28"/>
        </w:rPr>
        <w:t xml:space="preserve">  Capture from facility with multiple sources jointly generated</w:t>
      </w:r>
      <w:bookmarkEnd w:id="69"/>
      <w:bookmarkEnd w:id="70"/>
    </w:p>
    <w:p w14:paraId="0DD92BFD" w14:textId="77777777" w:rsidR="003331C5" w:rsidRPr="00883399" w:rsidRDefault="003331C5" w:rsidP="003331C5">
      <w:pPr>
        <w:pStyle w:val="subsection"/>
        <w:rPr>
          <w:sz w:val="24"/>
        </w:rPr>
      </w:pPr>
      <w:r w:rsidRPr="00883399">
        <w:rPr>
          <w:sz w:val="24"/>
        </w:rPr>
        <w:tab/>
      </w:r>
      <w:r w:rsidRPr="00883399">
        <w:rPr>
          <w:sz w:val="24"/>
        </w:rPr>
        <w:tab/>
        <w:t>If, during the operation of a facility, more than 1 source generates a greenhouse gas, the total amount of the greenhouse gas that may be deducted in relation to the facility is to be attributed:</w:t>
      </w:r>
    </w:p>
    <w:p w14:paraId="5F7953E9" w14:textId="77777777" w:rsidR="003331C5" w:rsidRPr="00883399" w:rsidRDefault="003331C5" w:rsidP="003331C5">
      <w:pPr>
        <w:pStyle w:val="paragraph"/>
        <w:rPr>
          <w:sz w:val="24"/>
        </w:rPr>
      </w:pPr>
      <w:r w:rsidRPr="00883399">
        <w:rPr>
          <w:sz w:val="24"/>
        </w:rPr>
        <w:tab/>
        <w:t>(a)</w:t>
      </w:r>
      <w:r w:rsidRPr="00883399">
        <w:rPr>
          <w:sz w:val="24"/>
        </w:rPr>
        <w:tab/>
        <w:t xml:space="preserve">if it is possible to determine the amount of the greenhouse gas that is captured for permanent storage from each source—to each source </w:t>
      </w:r>
      <w:r w:rsidRPr="00883399">
        <w:rPr>
          <w:sz w:val="24"/>
        </w:rPr>
        <w:lastRenderedPageBreak/>
        <w:t>from which the greenhouse gas is captured according to the amount captured from the source; or</w:t>
      </w:r>
    </w:p>
    <w:p w14:paraId="4C950B07" w14:textId="77777777" w:rsidR="003331C5" w:rsidRPr="00883399" w:rsidRDefault="003331C5" w:rsidP="003331C5">
      <w:pPr>
        <w:pStyle w:val="paragraph"/>
        <w:rPr>
          <w:sz w:val="24"/>
        </w:rPr>
      </w:pPr>
      <w:r w:rsidRPr="00883399">
        <w:rPr>
          <w:sz w:val="24"/>
        </w:rPr>
        <w:tab/>
        <w:t>(b)</w:t>
      </w:r>
      <w:r w:rsidRPr="00883399">
        <w:rPr>
          <w:sz w:val="24"/>
        </w:rPr>
        <w:tab/>
        <w:t>if it is not possible to determine the amount of the greenhouse gas captured for permanent storage from each source—to the main source that generated the greenhouse gas that is captured during the operation of the facility.</w:t>
      </w:r>
    </w:p>
    <w:p w14:paraId="0CD4EF47" w14:textId="77777777" w:rsidR="003331C5" w:rsidRPr="00883399" w:rsidRDefault="003331C5" w:rsidP="003331C5">
      <w:pPr>
        <w:pStyle w:val="ActHead5"/>
        <w:rPr>
          <w:sz w:val="28"/>
        </w:rPr>
      </w:pPr>
      <w:bookmarkStart w:id="71" w:name="_Toc455152139"/>
      <w:bookmarkStart w:id="72" w:name="_Toc495652607"/>
      <w:r w:rsidRPr="00883399">
        <w:rPr>
          <w:rStyle w:val="CharSectno"/>
          <w:sz w:val="28"/>
        </w:rPr>
        <w:t>1.19D</w:t>
      </w:r>
      <w:r w:rsidRPr="00883399">
        <w:rPr>
          <w:sz w:val="28"/>
        </w:rPr>
        <w:t xml:space="preserve">  Capture from a source where multiple fuels consumed</w:t>
      </w:r>
      <w:bookmarkEnd w:id="71"/>
      <w:bookmarkEnd w:id="72"/>
    </w:p>
    <w:p w14:paraId="5FEC2133" w14:textId="77777777" w:rsidR="003331C5" w:rsidRPr="00883399" w:rsidRDefault="003331C5" w:rsidP="003331C5">
      <w:pPr>
        <w:pStyle w:val="subsection"/>
        <w:rPr>
          <w:sz w:val="24"/>
        </w:rPr>
      </w:pPr>
      <w:r w:rsidRPr="00883399">
        <w:rPr>
          <w:sz w:val="24"/>
        </w:rPr>
        <w:tab/>
      </w:r>
      <w:r w:rsidRPr="00883399">
        <w:rPr>
          <w:sz w:val="24"/>
        </w:rPr>
        <w:tab/>
        <w:t>If more than 1 fuel is consumed for a source that generates a greenhouse gas that is captured for permanent storage, the total amount of the greenhouse gas that may be deducted in relation to the source is to be attributed to each fuel consumed in proportion to the carbon content of the fuel relative to the total carbon content of all fuel consumed for that source.</w:t>
      </w:r>
    </w:p>
    <w:p w14:paraId="00C29A64" w14:textId="77777777" w:rsidR="003331C5" w:rsidRPr="00883399" w:rsidRDefault="003331C5" w:rsidP="003331C5">
      <w:pPr>
        <w:pStyle w:val="ActHead5"/>
        <w:rPr>
          <w:sz w:val="28"/>
        </w:rPr>
      </w:pPr>
      <w:bookmarkStart w:id="73" w:name="_Toc455152140"/>
      <w:bookmarkStart w:id="74" w:name="_Toc495652608"/>
      <w:r w:rsidRPr="00883399">
        <w:rPr>
          <w:rStyle w:val="CharSectno"/>
          <w:sz w:val="28"/>
        </w:rPr>
        <w:t>1.19E</w:t>
      </w:r>
      <w:r w:rsidRPr="00883399">
        <w:rPr>
          <w:sz w:val="28"/>
        </w:rPr>
        <w:t xml:space="preserve">  Measure of quantity of captured greenhouse gas</w:t>
      </w:r>
      <w:bookmarkEnd w:id="73"/>
      <w:bookmarkEnd w:id="74"/>
    </w:p>
    <w:p w14:paraId="44A9A148" w14:textId="77777777" w:rsidR="003331C5" w:rsidRPr="00883399" w:rsidRDefault="003331C5" w:rsidP="003331C5">
      <w:pPr>
        <w:pStyle w:val="subsection"/>
        <w:rPr>
          <w:sz w:val="24"/>
        </w:rPr>
      </w:pPr>
      <w:r w:rsidRPr="00883399">
        <w:rPr>
          <w:sz w:val="24"/>
        </w:rPr>
        <w:tab/>
        <w:t>(1)</w:t>
      </w:r>
      <w:r w:rsidRPr="00883399">
        <w:rPr>
          <w:sz w:val="24"/>
        </w:rPr>
        <w:tab/>
        <w:t>For paragraph 1.19B(1)(b), the amount of a greenhouse gas that is captured must be estimated in accordance with this section.</w:t>
      </w:r>
    </w:p>
    <w:p w14:paraId="3A9D0E6A" w14:textId="77777777" w:rsidR="003331C5" w:rsidRPr="00883399" w:rsidRDefault="003331C5" w:rsidP="003331C5">
      <w:pPr>
        <w:pStyle w:val="subsection"/>
        <w:rPr>
          <w:sz w:val="24"/>
        </w:rPr>
      </w:pPr>
      <w:r w:rsidRPr="00883399">
        <w:rPr>
          <w:sz w:val="24"/>
        </w:rPr>
        <w:tab/>
        <w:t>(2)</w:t>
      </w:r>
      <w:r w:rsidRPr="00883399">
        <w:rPr>
          <w:sz w:val="24"/>
        </w:rPr>
        <w:tab/>
        <w:t>The volume of the greenhouse gas stream containing the captured greenhouse gas must be estimated:</w:t>
      </w:r>
    </w:p>
    <w:p w14:paraId="363ED3D9" w14:textId="77777777" w:rsidR="003331C5" w:rsidRPr="00883399" w:rsidRDefault="003331C5" w:rsidP="003331C5">
      <w:pPr>
        <w:pStyle w:val="paragraph"/>
        <w:rPr>
          <w:sz w:val="24"/>
        </w:rPr>
      </w:pPr>
      <w:r w:rsidRPr="00883399">
        <w:rPr>
          <w:sz w:val="24"/>
        </w:rPr>
        <w:tab/>
        <w:t>(a)</w:t>
      </w:r>
      <w:r w:rsidRPr="00883399">
        <w:rPr>
          <w:sz w:val="24"/>
        </w:rPr>
        <w:tab/>
        <w:t>if the greenhouse gas stream is transferred to a relevant person—using:</w:t>
      </w:r>
    </w:p>
    <w:p w14:paraId="2351EF6B" w14:textId="77777777" w:rsidR="003331C5" w:rsidRPr="00883399" w:rsidRDefault="003331C5" w:rsidP="003331C5">
      <w:pPr>
        <w:pStyle w:val="paragraphsub"/>
        <w:rPr>
          <w:sz w:val="24"/>
        </w:rPr>
      </w:pPr>
      <w:r w:rsidRPr="00883399">
        <w:rPr>
          <w:sz w:val="24"/>
        </w:rPr>
        <w:tab/>
        <w:t>(i)</w:t>
      </w:r>
      <w:r w:rsidRPr="00883399">
        <w:rPr>
          <w:sz w:val="24"/>
        </w:rPr>
        <w:tab/>
        <w:t>criterion A in section 1.19F; or</w:t>
      </w:r>
    </w:p>
    <w:p w14:paraId="195AAF92" w14:textId="77777777" w:rsidR="003331C5" w:rsidRPr="00883399" w:rsidRDefault="003331C5" w:rsidP="003331C5">
      <w:pPr>
        <w:pStyle w:val="paragraphsub"/>
        <w:rPr>
          <w:sz w:val="24"/>
        </w:rPr>
      </w:pPr>
      <w:r w:rsidRPr="00883399">
        <w:rPr>
          <w:sz w:val="24"/>
        </w:rPr>
        <w:tab/>
        <w:t>(ii)</w:t>
      </w:r>
      <w:r w:rsidRPr="00883399">
        <w:rPr>
          <w:sz w:val="24"/>
        </w:rPr>
        <w:tab/>
        <w:t>criterion AAA in section 1.19G; or</w:t>
      </w:r>
    </w:p>
    <w:p w14:paraId="470E2365" w14:textId="77777777" w:rsidR="003331C5" w:rsidRPr="00883399" w:rsidRDefault="003331C5" w:rsidP="003331C5">
      <w:pPr>
        <w:pStyle w:val="paragraph"/>
        <w:rPr>
          <w:sz w:val="24"/>
        </w:rPr>
      </w:pPr>
      <w:r w:rsidRPr="00883399">
        <w:rPr>
          <w:sz w:val="24"/>
        </w:rPr>
        <w:tab/>
        <w:t>(b)</w:t>
      </w:r>
      <w:r w:rsidRPr="00883399">
        <w:rPr>
          <w:sz w:val="24"/>
        </w:rPr>
        <w:tab/>
        <w:t>if the greenhouse gas stream is captured by the relevant person and is neither transferred to the relevant person nor transferred by the relevant person to another person—using:</w:t>
      </w:r>
    </w:p>
    <w:p w14:paraId="0470ABBE" w14:textId="77777777" w:rsidR="003331C5" w:rsidRPr="00883399" w:rsidRDefault="003331C5" w:rsidP="003331C5">
      <w:pPr>
        <w:pStyle w:val="paragraphsub"/>
        <w:rPr>
          <w:sz w:val="24"/>
        </w:rPr>
      </w:pPr>
      <w:r w:rsidRPr="00883399">
        <w:rPr>
          <w:sz w:val="24"/>
        </w:rPr>
        <w:tab/>
        <w:t>(i)</w:t>
      </w:r>
      <w:r w:rsidRPr="00883399">
        <w:rPr>
          <w:sz w:val="24"/>
        </w:rPr>
        <w:tab/>
        <w:t>criterion AAA in section 1.19G; or</w:t>
      </w:r>
    </w:p>
    <w:p w14:paraId="71794786" w14:textId="77777777" w:rsidR="003331C5" w:rsidRPr="00883399" w:rsidRDefault="003331C5" w:rsidP="003331C5">
      <w:pPr>
        <w:pStyle w:val="paragraphsub"/>
        <w:rPr>
          <w:sz w:val="24"/>
        </w:rPr>
      </w:pPr>
      <w:r w:rsidRPr="00883399">
        <w:rPr>
          <w:sz w:val="24"/>
        </w:rPr>
        <w:tab/>
        <w:t>(ii)</w:t>
      </w:r>
      <w:r w:rsidRPr="00883399">
        <w:rPr>
          <w:sz w:val="24"/>
        </w:rPr>
        <w:tab/>
        <w:t>criterion BBB in section 1.19GA.</w:t>
      </w:r>
    </w:p>
    <w:p w14:paraId="54B9E606" w14:textId="77777777" w:rsidR="003331C5" w:rsidRPr="00883399" w:rsidRDefault="003331C5" w:rsidP="003331C5">
      <w:pPr>
        <w:pStyle w:val="subsection"/>
        <w:rPr>
          <w:sz w:val="24"/>
        </w:rPr>
      </w:pPr>
      <w:r w:rsidRPr="00883399">
        <w:rPr>
          <w:sz w:val="24"/>
        </w:rPr>
        <w:tab/>
        <w:t>(3)</w:t>
      </w:r>
      <w:r w:rsidRPr="00883399">
        <w:rPr>
          <w:sz w:val="24"/>
        </w:rPr>
        <w:tab/>
        <w:t>The greenhouse gas stream must be sampled in accordance with ISO 10715:1997, or an equivalent standard.</w:t>
      </w:r>
    </w:p>
    <w:p w14:paraId="7ABA683E" w14:textId="77777777" w:rsidR="003331C5" w:rsidRPr="00883399" w:rsidRDefault="003331C5" w:rsidP="003331C5">
      <w:pPr>
        <w:pStyle w:val="subsection"/>
        <w:rPr>
          <w:sz w:val="24"/>
        </w:rPr>
      </w:pPr>
      <w:r w:rsidRPr="00883399">
        <w:rPr>
          <w:sz w:val="24"/>
        </w:rPr>
        <w:tab/>
        <w:t>(4)</w:t>
      </w:r>
      <w:r w:rsidRPr="00883399">
        <w:rPr>
          <w:sz w:val="24"/>
        </w:rPr>
        <w:tab/>
        <w:t>The concentration of the greenhouse gas in the greenhouse gas stream must be analysed in accordance with the following parts of ISO 6974 or an equivalent standard:</w:t>
      </w:r>
    </w:p>
    <w:p w14:paraId="5C3DFA39" w14:textId="77777777" w:rsidR="003331C5" w:rsidRPr="00883399" w:rsidRDefault="003331C5" w:rsidP="003331C5">
      <w:pPr>
        <w:pStyle w:val="paragraph"/>
        <w:rPr>
          <w:sz w:val="24"/>
        </w:rPr>
      </w:pPr>
      <w:r w:rsidRPr="00883399">
        <w:rPr>
          <w:sz w:val="24"/>
        </w:rPr>
        <w:tab/>
        <w:t>(a)</w:t>
      </w:r>
      <w:r w:rsidRPr="00883399">
        <w:rPr>
          <w:sz w:val="24"/>
        </w:rPr>
        <w:tab/>
        <w:t>Part 1 (2000);</w:t>
      </w:r>
    </w:p>
    <w:p w14:paraId="50B54588" w14:textId="77777777" w:rsidR="003331C5" w:rsidRPr="00883399" w:rsidRDefault="003331C5" w:rsidP="003331C5">
      <w:pPr>
        <w:pStyle w:val="paragraph"/>
        <w:rPr>
          <w:sz w:val="24"/>
        </w:rPr>
      </w:pPr>
      <w:r w:rsidRPr="00883399">
        <w:rPr>
          <w:sz w:val="24"/>
        </w:rPr>
        <w:tab/>
        <w:t>(b)</w:t>
      </w:r>
      <w:r w:rsidRPr="00883399">
        <w:rPr>
          <w:sz w:val="24"/>
        </w:rPr>
        <w:tab/>
        <w:t>Part 2 (2001);</w:t>
      </w:r>
    </w:p>
    <w:p w14:paraId="553950AA" w14:textId="77777777" w:rsidR="003331C5" w:rsidRPr="00883399" w:rsidRDefault="003331C5" w:rsidP="003331C5">
      <w:pPr>
        <w:pStyle w:val="paragraph"/>
        <w:rPr>
          <w:sz w:val="24"/>
        </w:rPr>
      </w:pPr>
      <w:r w:rsidRPr="00883399">
        <w:rPr>
          <w:sz w:val="24"/>
        </w:rPr>
        <w:tab/>
        <w:t>(c)</w:t>
      </w:r>
      <w:r w:rsidRPr="00883399">
        <w:rPr>
          <w:sz w:val="24"/>
        </w:rPr>
        <w:tab/>
        <w:t>Part 3 (2000);</w:t>
      </w:r>
    </w:p>
    <w:p w14:paraId="12D876EE" w14:textId="77777777" w:rsidR="003331C5" w:rsidRPr="00883399" w:rsidRDefault="003331C5" w:rsidP="003331C5">
      <w:pPr>
        <w:pStyle w:val="paragraph"/>
        <w:rPr>
          <w:sz w:val="24"/>
        </w:rPr>
      </w:pPr>
      <w:r w:rsidRPr="00883399">
        <w:rPr>
          <w:sz w:val="24"/>
        </w:rPr>
        <w:tab/>
        <w:t>(d)</w:t>
      </w:r>
      <w:r w:rsidRPr="00883399">
        <w:rPr>
          <w:sz w:val="24"/>
        </w:rPr>
        <w:tab/>
        <w:t>Part 4 (2000);</w:t>
      </w:r>
    </w:p>
    <w:p w14:paraId="155754E4" w14:textId="77777777" w:rsidR="003331C5" w:rsidRPr="00883399" w:rsidRDefault="003331C5" w:rsidP="003331C5">
      <w:pPr>
        <w:pStyle w:val="paragraph"/>
        <w:rPr>
          <w:sz w:val="24"/>
        </w:rPr>
      </w:pPr>
      <w:r w:rsidRPr="00883399">
        <w:rPr>
          <w:sz w:val="24"/>
        </w:rPr>
        <w:tab/>
        <w:t>(e)</w:t>
      </w:r>
      <w:r w:rsidRPr="00883399">
        <w:rPr>
          <w:sz w:val="24"/>
        </w:rPr>
        <w:tab/>
        <w:t>Part 5 (2000);</w:t>
      </w:r>
    </w:p>
    <w:p w14:paraId="52606CCB" w14:textId="77777777" w:rsidR="003331C5" w:rsidRPr="00883399" w:rsidRDefault="003331C5" w:rsidP="003331C5">
      <w:pPr>
        <w:pStyle w:val="paragraph"/>
        <w:rPr>
          <w:sz w:val="24"/>
        </w:rPr>
      </w:pPr>
      <w:r w:rsidRPr="00883399">
        <w:rPr>
          <w:sz w:val="24"/>
        </w:rPr>
        <w:lastRenderedPageBreak/>
        <w:tab/>
        <w:t>(f)</w:t>
      </w:r>
      <w:r w:rsidRPr="00883399">
        <w:rPr>
          <w:sz w:val="24"/>
        </w:rPr>
        <w:tab/>
        <w:t>Part 6 (2002).</w:t>
      </w:r>
    </w:p>
    <w:p w14:paraId="583A89E7" w14:textId="77777777" w:rsidR="003331C5" w:rsidRPr="00883399" w:rsidRDefault="003331C5" w:rsidP="003331C5">
      <w:pPr>
        <w:pStyle w:val="subsection"/>
        <w:rPr>
          <w:sz w:val="24"/>
        </w:rPr>
      </w:pPr>
      <w:r w:rsidRPr="00883399">
        <w:rPr>
          <w:sz w:val="24"/>
        </w:rPr>
        <w:tab/>
        <w:t>(5)</w:t>
      </w:r>
      <w:r w:rsidRPr="00883399">
        <w:rPr>
          <w:sz w:val="24"/>
        </w:rPr>
        <w:tab/>
        <w:t>The volume of the greenhouse gas stream must be expressed in cubic metres.</w:t>
      </w:r>
    </w:p>
    <w:p w14:paraId="58C93ACF" w14:textId="77777777" w:rsidR="003331C5" w:rsidRPr="00883399" w:rsidRDefault="003331C5" w:rsidP="003331C5">
      <w:pPr>
        <w:pStyle w:val="subsection"/>
        <w:rPr>
          <w:sz w:val="24"/>
        </w:rPr>
      </w:pPr>
      <w:r w:rsidRPr="00883399">
        <w:rPr>
          <w:sz w:val="24"/>
        </w:rPr>
        <w:tab/>
        <w:t>(6)</w:t>
      </w:r>
      <w:r w:rsidRPr="00883399">
        <w:rPr>
          <w:sz w:val="24"/>
        </w:rPr>
        <w:tab/>
        <w:t>The greenhouse gas stream must be analysed for the concentration of the greenhouse gas on at least a monthly basis.</w:t>
      </w:r>
    </w:p>
    <w:p w14:paraId="3AE1F383" w14:textId="77777777" w:rsidR="003331C5" w:rsidRPr="00883399" w:rsidRDefault="003331C5" w:rsidP="003331C5">
      <w:pPr>
        <w:pStyle w:val="ActHead5"/>
        <w:rPr>
          <w:sz w:val="28"/>
        </w:rPr>
      </w:pPr>
      <w:bookmarkStart w:id="75" w:name="_Toc455152141"/>
      <w:bookmarkStart w:id="76" w:name="_Toc495652609"/>
      <w:r w:rsidRPr="00883399">
        <w:rPr>
          <w:rStyle w:val="CharSectno"/>
          <w:sz w:val="28"/>
        </w:rPr>
        <w:t>1.19F</w:t>
      </w:r>
      <w:r w:rsidRPr="00883399">
        <w:rPr>
          <w:sz w:val="28"/>
        </w:rPr>
        <w:t xml:space="preserve">  Volume of greenhouse gas stream—criterion A</w:t>
      </w:r>
      <w:bookmarkEnd w:id="75"/>
      <w:bookmarkEnd w:id="76"/>
    </w:p>
    <w:p w14:paraId="0947BA0A" w14:textId="77777777" w:rsidR="003331C5" w:rsidRPr="00883399" w:rsidRDefault="003331C5" w:rsidP="003331C5">
      <w:pPr>
        <w:pStyle w:val="subsection"/>
        <w:rPr>
          <w:sz w:val="24"/>
        </w:rPr>
      </w:pPr>
      <w:r w:rsidRPr="00883399">
        <w:rPr>
          <w:sz w:val="24"/>
        </w:rPr>
        <w:tab/>
        <w:t>(1)</w:t>
      </w:r>
      <w:r w:rsidRPr="00883399">
        <w:rPr>
          <w:sz w:val="24"/>
        </w:rPr>
        <w:tab/>
        <w:t>For subparagraph 1.19E(2)(a)(i), criterion A is the volume of the greenhouse gas stream that is:</w:t>
      </w:r>
    </w:p>
    <w:p w14:paraId="1FB8D61F" w14:textId="77777777" w:rsidR="003331C5" w:rsidRPr="00883399" w:rsidRDefault="003331C5" w:rsidP="003331C5">
      <w:pPr>
        <w:pStyle w:val="paragraph"/>
        <w:rPr>
          <w:sz w:val="24"/>
        </w:rPr>
      </w:pPr>
      <w:r w:rsidRPr="00883399">
        <w:rPr>
          <w:sz w:val="24"/>
        </w:rPr>
        <w:tab/>
        <w:t>(a)</w:t>
      </w:r>
      <w:r w:rsidRPr="00883399">
        <w:rPr>
          <w:sz w:val="24"/>
        </w:rPr>
        <w:tab/>
        <w:t>transferred to the relevant person during the year; and</w:t>
      </w:r>
    </w:p>
    <w:p w14:paraId="10FB177D" w14:textId="77777777" w:rsidR="003331C5" w:rsidRPr="00883399" w:rsidRDefault="003331C5" w:rsidP="003331C5">
      <w:pPr>
        <w:pStyle w:val="paragraph"/>
        <w:rPr>
          <w:sz w:val="24"/>
        </w:rPr>
      </w:pPr>
      <w:r w:rsidRPr="00883399">
        <w:rPr>
          <w:sz w:val="24"/>
        </w:rPr>
        <w:tab/>
        <w:t>(b)</w:t>
      </w:r>
      <w:r w:rsidRPr="00883399">
        <w:rPr>
          <w:sz w:val="24"/>
        </w:rPr>
        <w:tab/>
        <w:t>specified in a certificate issued by the relevant person under paragraph 1.19B(1)(c).</w:t>
      </w:r>
    </w:p>
    <w:p w14:paraId="0BC0E10B" w14:textId="77777777" w:rsidR="003331C5" w:rsidRPr="00883399" w:rsidRDefault="003331C5" w:rsidP="003331C5">
      <w:pPr>
        <w:pStyle w:val="subsection"/>
        <w:rPr>
          <w:sz w:val="24"/>
        </w:rPr>
      </w:pPr>
      <w:r w:rsidRPr="00883399">
        <w:rPr>
          <w:sz w:val="24"/>
        </w:rPr>
        <w:tab/>
        <w:t>(2)</w:t>
      </w:r>
      <w:r w:rsidRPr="00883399">
        <w:rPr>
          <w:sz w:val="24"/>
        </w:rPr>
        <w:tab/>
        <w:t>The volume specified in the certificate must be accurate and must be evidenced by invoices issued by the relevant person.</w:t>
      </w:r>
    </w:p>
    <w:p w14:paraId="0186132E" w14:textId="77777777" w:rsidR="003331C5" w:rsidRPr="00883399" w:rsidRDefault="003331C5" w:rsidP="003331C5">
      <w:pPr>
        <w:pStyle w:val="ActHead5"/>
        <w:rPr>
          <w:sz w:val="28"/>
        </w:rPr>
      </w:pPr>
      <w:bookmarkStart w:id="77" w:name="_Toc455152142"/>
      <w:bookmarkStart w:id="78" w:name="_Toc495652610"/>
      <w:r w:rsidRPr="00883399">
        <w:rPr>
          <w:rStyle w:val="CharSectno"/>
          <w:sz w:val="28"/>
        </w:rPr>
        <w:t>1.19G</w:t>
      </w:r>
      <w:r w:rsidRPr="00883399">
        <w:rPr>
          <w:sz w:val="28"/>
        </w:rPr>
        <w:t xml:space="preserve">  Volume of greenhouse gas stream—criterion AAA</w:t>
      </w:r>
      <w:bookmarkEnd w:id="77"/>
      <w:bookmarkEnd w:id="78"/>
    </w:p>
    <w:p w14:paraId="0F9A7753" w14:textId="77777777" w:rsidR="003331C5" w:rsidRPr="00883399" w:rsidRDefault="003331C5" w:rsidP="003331C5">
      <w:pPr>
        <w:pStyle w:val="subsection"/>
        <w:rPr>
          <w:sz w:val="24"/>
        </w:rPr>
      </w:pPr>
      <w:r w:rsidRPr="00883399">
        <w:rPr>
          <w:sz w:val="24"/>
        </w:rPr>
        <w:tab/>
        <w:t>(1)</w:t>
      </w:r>
      <w:r w:rsidRPr="00883399">
        <w:rPr>
          <w:sz w:val="24"/>
        </w:rPr>
        <w:tab/>
        <w:t>For subparagraphs 1.19E(2)(a)(ii) and (b)(i), criterion AAA is the measurement during the year of the captured greenhouse gas stream from the operation of a facility at the point of capture.</w:t>
      </w:r>
    </w:p>
    <w:p w14:paraId="33E053B1" w14:textId="77777777" w:rsidR="003331C5" w:rsidRPr="00883399" w:rsidRDefault="003331C5" w:rsidP="003331C5">
      <w:pPr>
        <w:pStyle w:val="subsection"/>
        <w:rPr>
          <w:sz w:val="24"/>
        </w:rPr>
      </w:pPr>
      <w:r w:rsidRPr="00883399">
        <w:rPr>
          <w:sz w:val="24"/>
        </w:rPr>
        <w:tab/>
        <w:t>(2)</w:t>
      </w:r>
      <w:r w:rsidRPr="00883399">
        <w:rPr>
          <w:sz w:val="24"/>
        </w:rPr>
        <w:tab/>
        <w:t>In measuring the quantity of the greenhouse gas stream at the point of capture, the quantity of the greenhouse gas stream must be measured:</w:t>
      </w:r>
    </w:p>
    <w:p w14:paraId="3FF7768B" w14:textId="77777777" w:rsidR="003331C5" w:rsidRPr="00883399" w:rsidRDefault="003331C5" w:rsidP="003331C5">
      <w:pPr>
        <w:pStyle w:val="paragraph"/>
        <w:rPr>
          <w:sz w:val="24"/>
        </w:rPr>
      </w:pPr>
      <w:r w:rsidRPr="00883399">
        <w:rPr>
          <w:sz w:val="24"/>
        </w:rPr>
        <w:tab/>
        <w:t>(a)</w:t>
      </w:r>
      <w:r w:rsidRPr="00883399">
        <w:rPr>
          <w:sz w:val="24"/>
        </w:rPr>
        <w:tab/>
        <w:t>using volumetric measurement in accordance with:</w:t>
      </w:r>
    </w:p>
    <w:p w14:paraId="138B8E66" w14:textId="77777777" w:rsidR="003331C5" w:rsidRPr="00883399" w:rsidRDefault="003331C5" w:rsidP="003331C5">
      <w:pPr>
        <w:pStyle w:val="paragraphsub"/>
        <w:rPr>
          <w:sz w:val="24"/>
        </w:rPr>
      </w:pPr>
      <w:r w:rsidRPr="00883399">
        <w:rPr>
          <w:sz w:val="24"/>
        </w:rPr>
        <w:tab/>
        <w:t>(i)</w:t>
      </w:r>
      <w:r w:rsidRPr="00883399">
        <w:rPr>
          <w:sz w:val="24"/>
        </w:rPr>
        <w:tab/>
        <w:t>for a compressed greenhouse gas stream—section 1.19H; and</w:t>
      </w:r>
    </w:p>
    <w:p w14:paraId="6BE29D65" w14:textId="77777777" w:rsidR="003331C5" w:rsidRPr="00883399" w:rsidRDefault="003331C5" w:rsidP="003331C5">
      <w:pPr>
        <w:pStyle w:val="paragraphsub"/>
        <w:rPr>
          <w:sz w:val="24"/>
        </w:rPr>
      </w:pPr>
      <w:r w:rsidRPr="00883399">
        <w:rPr>
          <w:sz w:val="24"/>
        </w:rPr>
        <w:tab/>
        <w:t>(ii)</w:t>
      </w:r>
      <w:r w:rsidRPr="00883399">
        <w:rPr>
          <w:sz w:val="24"/>
        </w:rPr>
        <w:tab/>
        <w:t>for a super</w:t>
      </w:r>
      <w:r w:rsidRPr="00883399">
        <w:rPr>
          <w:i/>
          <w:sz w:val="24"/>
        </w:rPr>
        <w:noBreakHyphen/>
      </w:r>
      <w:r w:rsidRPr="00883399">
        <w:rPr>
          <w:sz w:val="24"/>
        </w:rPr>
        <w:t>compressed greenhouse gas stream—section 1.19I; and</w:t>
      </w:r>
    </w:p>
    <w:p w14:paraId="6FBD0A53" w14:textId="77777777" w:rsidR="003331C5" w:rsidRPr="00883399" w:rsidRDefault="003331C5" w:rsidP="003331C5">
      <w:pPr>
        <w:pStyle w:val="paragraph"/>
        <w:rPr>
          <w:sz w:val="24"/>
        </w:rPr>
      </w:pPr>
      <w:r w:rsidRPr="00883399">
        <w:rPr>
          <w:sz w:val="24"/>
        </w:rPr>
        <w:tab/>
        <w:t>(b)</w:t>
      </w:r>
      <w:r w:rsidRPr="00883399">
        <w:rPr>
          <w:sz w:val="24"/>
        </w:rPr>
        <w:tab/>
        <w:t>using gas measuring equipment that complies with section 1.19J.</w:t>
      </w:r>
    </w:p>
    <w:p w14:paraId="4241FBE0" w14:textId="77777777" w:rsidR="003331C5" w:rsidRPr="00883399" w:rsidRDefault="003331C5" w:rsidP="003331C5">
      <w:pPr>
        <w:pStyle w:val="subsection"/>
        <w:rPr>
          <w:sz w:val="24"/>
        </w:rPr>
      </w:pPr>
      <w:r w:rsidRPr="00883399">
        <w:rPr>
          <w:sz w:val="24"/>
        </w:rPr>
        <w:tab/>
        <w:t>(3)</w:t>
      </w:r>
      <w:r w:rsidRPr="00883399">
        <w:rPr>
          <w:sz w:val="24"/>
        </w:rPr>
        <w:tab/>
        <w:t>The measurement must be carried out using measuring equipment that:</w:t>
      </w:r>
    </w:p>
    <w:p w14:paraId="7868A59A" w14:textId="77777777" w:rsidR="003331C5" w:rsidRPr="00883399" w:rsidRDefault="003331C5" w:rsidP="003331C5">
      <w:pPr>
        <w:pStyle w:val="paragraph"/>
        <w:rPr>
          <w:sz w:val="24"/>
        </w:rPr>
      </w:pPr>
      <w:r w:rsidRPr="00883399">
        <w:rPr>
          <w:sz w:val="24"/>
        </w:rPr>
        <w:tab/>
        <w:t>(a)</w:t>
      </w:r>
      <w:r w:rsidRPr="00883399">
        <w:rPr>
          <w:sz w:val="24"/>
        </w:rPr>
        <w:tab/>
        <w:t>is in a category specified in column 2 of an item in the table in subsection (4) according to the maximum daily quantity of the greenhouse gas stream captured specified in column 3 for that item from the operation of the facility; and</w:t>
      </w:r>
    </w:p>
    <w:p w14:paraId="61A5EDFE" w14:textId="77777777" w:rsidR="003331C5" w:rsidRPr="00883399" w:rsidRDefault="003331C5" w:rsidP="003331C5">
      <w:pPr>
        <w:pStyle w:val="paragraph"/>
        <w:rPr>
          <w:sz w:val="24"/>
        </w:rPr>
      </w:pPr>
      <w:r w:rsidRPr="00883399">
        <w:rPr>
          <w:sz w:val="24"/>
        </w:rPr>
        <w:tab/>
        <w:t>(b)</w:t>
      </w:r>
      <w:r w:rsidRPr="00883399">
        <w:rPr>
          <w:sz w:val="24"/>
        </w:rPr>
        <w:tab/>
        <w:t>complies with the transmitter and accuracy requirements for that equipment specified in column 4 for that item, if the requirements are applicable to the measuring equipment being used.</w:t>
      </w:r>
    </w:p>
    <w:p w14:paraId="35A81C97" w14:textId="77777777" w:rsidR="003331C5" w:rsidRPr="00883399" w:rsidRDefault="003331C5" w:rsidP="003331C5">
      <w:pPr>
        <w:pStyle w:val="subsection"/>
        <w:rPr>
          <w:sz w:val="24"/>
        </w:rPr>
      </w:pPr>
      <w:r w:rsidRPr="00883399">
        <w:rPr>
          <w:sz w:val="24"/>
        </w:rPr>
        <w:tab/>
        <w:t>(4)</w:t>
      </w:r>
      <w:r w:rsidRPr="00883399">
        <w:rPr>
          <w:sz w:val="24"/>
        </w:rPr>
        <w:tab/>
        <w:t>For subsection (3), the table is as follows.</w:t>
      </w:r>
    </w:p>
    <w:p w14:paraId="0D5D953D" w14:textId="77777777" w:rsidR="003331C5" w:rsidRPr="00883399" w:rsidRDefault="003331C5" w:rsidP="003331C5">
      <w:pPr>
        <w:pStyle w:val="Tabletext0"/>
        <w:rPr>
          <w:sz w:val="22"/>
        </w:rPr>
      </w:pPr>
    </w:p>
    <w:tbl>
      <w:tblPr>
        <w:tblW w:w="5000" w:type="pct"/>
        <w:tblBorders>
          <w:top w:val="single" w:sz="4" w:space="0" w:color="auto"/>
          <w:bottom w:val="single" w:sz="2" w:space="0" w:color="auto"/>
          <w:insideH w:val="single" w:sz="4" w:space="0" w:color="auto"/>
        </w:tblBorders>
        <w:tblLook w:val="01E0" w:firstRow="1" w:lastRow="1" w:firstColumn="1" w:lastColumn="1" w:noHBand="0" w:noVBand="0"/>
      </w:tblPr>
      <w:tblGrid>
        <w:gridCol w:w="709"/>
        <w:gridCol w:w="1872"/>
        <w:gridCol w:w="2713"/>
        <w:gridCol w:w="3019"/>
      </w:tblGrid>
      <w:tr w:rsidR="003331C5" w:rsidRPr="00883399" w14:paraId="1D65FA8B" w14:textId="77777777" w:rsidTr="003331C5">
        <w:trPr>
          <w:tblHeader/>
        </w:trPr>
        <w:tc>
          <w:tcPr>
            <w:tcW w:w="426" w:type="pct"/>
            <w:tcBorders>
              <w:top w:val="single" w:sz="12" w:space="0" w:color="auto"/>
              <w:bottom w:val="single" w:sz="12" w:space="0" w:color="auto"/>
            </w:tcBorders>
            <w:shd w:val="clear" w:color="auto" w:fill="auto"/>
          </w:tcPr>
          <w:p w14:paraId="5A330A78" w14:textId="77777777" w:rsidR="003331C5" w:rsidRPr="00883399" w:rsidRDefault="003331C5" w:rsidP="003331C5">
            <w:pPr>
              <w:pStyle w:val="TableHeading"/>
              <w:rPr>
                <w:sz w:val="22"/>
              </w:rPr>
            </w:pPr>
            <w:r w:rsidRPr="00883399">
              <w:rPr>
                <w:sz w:val="22"/>
              </w:rPr>
              <w:lastRenderedPageBreak/>
              <w:t>Item</w:t>
            </w:r>
          </w:p>
        </w:tc>
        <w:tc>
          <w:tcPr>
            <w:tcW w:w="1126" w:type="pct"/>
            <w:tcBorders>
              <w:top w:val="single" w:sz="12" w:space="0" w:color="auto"/>
              <w:bottom w:val="single" w:sz="12" w:space="0" w:color="auto"/>
            </w:tcBorders>
            <w:shd w:val="clear" w:color="auto" w:fill="auto"/>
          </w:tcPr>
          <w:p w14:paraId="7325781B" w14:textId="77777777" w:rsidR="003331C5" w:rsidRPr="00883399" w:rsidRDefault="003331C5" w:rsidP="003331C5">
            <w:pPr>
              <w:pStyle w:val="TableHeading"/>
              <w:rPr>
                <w:sz w:val="22"/>
              </w:rPr>
            </w:pPr>
            <w:r w:rsidRPr="00883399">
              <w:rPr>
                <w:sz w:val="22"/>
              </w:rPr>
              <w:t>Gas measuring equipment category</w:t>
            </w:r>
          </w:p>
        </w:tc>
        <w:tc>
          <w:tcPr>
            <w:tcW w:w="1632" w:type="pct"/>
            <w:tcBorders>
              <w:top w:val="single" w:sz="12" w:space="0" w:color="auto"/>
              <w:bottom w:val="single" w:sz="12" w:space="0" w:color="auto"/>
            </w:tcBorders>
            <w:shd w:val="clear" w:color="auto" w:fill="auto"/>
          </w:tcPr>
          <w:p w14:paraId="7F7D8DD4" w14:textId="77777777" w:rsidR="003331C5" w:rsidRPr="00883399" w:rsidRDefault="003331C5" w:rsidP="003331C5">
            <w:pPr>
              <w:pStyle w:val="TableHeading"/>
              <w:rPr>
                <w:sz w:val="22"/>
              </w:rPr>
            </w:pPr>
            <w:r w:rsidRPr="00883399">
              <w:rPr>
                <w:sz w:val="22"/>
              </w:rPr>
              <w:t xml:space="preserve">Maximum daily quantity of greenhouse gas stream </w:t>
            </w:r>
            <w:r w:rsidRPr="00883399">
              <w:rPr>
                <w:sz w:val="22"/>
              </w:rPr>
              <w:br/>
              <w:t>(cubic metres/day)</w:t>
            </w:r>
          </w:p>
        </w:tc>
        <w:tc>
          <w:tcPr>
            <w:tcW w:w="1816" w:type="pct"/>
            <w:tcBorders>
              <w:top w:val="single" w:sz="12" w:space="0" w:color="auto"/>
              <w:bottom w:val="single" w:sz="12" w:space="0" w:color="auto"/>
            </w:tcBorders>
            <w:shd w:val="clear" w:color="auto" w:fill="auto"/>
          </w:tcPr>
          <w:p w14:paraId="0EB6FF1F" w14:textId="77777777" w:rsidR="003331C5" w:rsidRPr="00883399" w:rsidRDefault="003331C5" w:rsidP="003331C5">
            <w:pPr>
              <w:pStyle w:val="TableHeading"/>
              <w:rPr>
                <w:sz w:val="22"/>
              </w:rPr>
            </w:pPr>
            <w:r w:rsidRPr="00883399">
              <w:rPr>
                <w:sz w:val="22"/>
              </w:rPr>
              <w:t>Transmitter and accuracy requirements (% of range)</w:t>
            </w:r>
          </w:p>
        </w:tc>
      </w:tr>
      <w:tr w:rsidR="003331C5" w:rsidRPr="00883399" w14:paraId="35232FA9" w14:textId="77777777" w:rsidTr="003331C5">
        <w:tc>
          <w:tcPr>
            <w:tcW w:w="426" w:type="pct"/>
            <w:tcBorders>
              <w:top w:val="single" w:sz="12" w:space="0" w:color="auto"/>
            </w:tcBorders>
            <w:shd w:val="clear" w:color="auto" w:fill="auto"/>
          </w:tcPr>
          <w:p w14:paraId="6C495566" w14:textId="77777777" w:rsidR="003331C5" w:rsidRPr="00883399" w:rsidRDefault="003331C5" w:rsidP="003331C5">
            <w:pPr>
              <w:pStyle w:val="Tabletext0"/>
              <w:rPr>
                <w:sz w:val="22"/>
              </w:rPr>
            </w:pPr>
            <w:r w:rsidRPr="00883399">
              <w:rPr>
                <w:sz w:val="22"/>
              </w:rPr>
              <w:t>1</w:t>
            </w:r>
          </w:p>
        </w:tc>
        <w:tc>
          <w:tcPr>
            <w:tcW w:w="1126" w:type="pct"/>
            <w:tcBorders>
              <w:top w:val="single" w:sz="12" w:space="0" w:color="auto"/>
            </w:tcBorders>
            <w:shd w:val="clear" w:color="auto" w:fill="auto"/>
          </w:tcPr>
          <w:p w14:paraId="545E1F04" w14:textId="77777777" w:rsidR="003331C5" w:rsidRPr="00883399" w:rsidRDefault="003331C5" w:rsidP="003331C5">
            <w:pPr>
              <w:pStyle w:val="Tabletext0"/>
              <w:rPr>
                <w:sz w:val="22"/>
              </w:rPr>
            </w:pPr>
            <w:r w:rsidRPr="00883399">
              <w:rPr>
                <w:sz w:val="22"/>
              </w:rPr>
              <w:t>1</w:t>
            </w:r>
          </w:p>
        </w:tc>
        <w:tc>
          <w:tcPr>
            <w:tcW w:w="1632" w:type="pct"/>
            <w:tcBorders>
              <w:top w:val="single" w:sz="12" w:space="0" w:color="auto"/>
            </w:tcBorders>
            <w:shd w:val="clear" w:color="auto" w:fill="auto"/>
          </w:tcPr>
          <w:p w14:paraId="39D8CB1F" w14:textId="77777777" w:rsidR="003331C5" w:rsidRPr="00883399" w:rsidRDefault="003331C5" w:rsidP="003331C5">
            <w:pPr>
              <w:pStyle w:val="Tabletext0"/>
              <w:rPr>
                <w:sz w:val="22"/>
              </w:rPr>
            </w:pPr>
            <w:r w:rsidRPr="00883399">
              <w:rPr>
                <w:sz w:val="22"/>
              </w:rPr>
              <w:t>0–50 000</w:t>
            </w:r>
          </w:p>
        </w:tc>
        <w:tc>
          <w:tcPr>
            <w:tcW w:w="1816" w:type="pct"/>
            <w:tcBorders>
              <w:top w:val="single" w:sz="12" w:space="0" w:color="auto"/>
            </w:tcBorders>
            <w:shd w:val="clear" w:color="auto" w:fill="auto"/>
          </w:tcPr>
          <w:p w14:paraId="4CF548F7" w14:textId="77777777" w:rsidR="003331C5" w:rsidRPr="00883399" w:rsidRDefault="003331C5" w:rsidP="003331C5">
            <w:pPr>
              <w:pStyle w:val="Tabletext0"/>
              <w:rPr>
                <w:sz w:val="22"/>
              </w:rPr>
            </w:pPr>
            <w:r w:rsidRPr="00883399">
              <w:rPr>
                <w:sz w:val="22"/>
              </w:rPr>
              <w:t>Pressure &lt;±0.25%</w:t>
            </w:r>
          </w:p>
          <w:p w14:paraId="78FD0A5D" w14:textId="77777777" w:rsidR="003331C5" w:rsidRPr="00883399" w:rsidRDefault="003331C5" w:rsidP="003331C5">
            <w:pPr>
              <w:pStyle w:val="Tabletext0"/>
              <w:rPr>
                <w:sz w:val="22"/>
              </w:rPr>
            </w:pPr>
            <w:r w:rsidRPr="00883399">
              <w:rPr>
                <w:sz w:val="22"/>
              </w:rPr>
              <w:t>Diff. pressure &lt;±0.25%</w:t>
            </w:r>
          </w:p>
          <w:p w14:paraId="1E837B70" w14:textId="77777777" w:rsidR="003331C5" w:rsidRPr="00883399" w:rsidRDefault="003331C5" w:rsidP="003331C5">
            <w:pPr>
              <w:pStyle w:val="Tabletext0"/>
              <w:rPr>
                <w:sz w:val="22"/>
              </w:rPr>
            </w:pPr>
            <w:r w:rsidRPr="00883399">
              <w:rPr>
                <w:sz w:val="22"/>
              </w:rPr>
              <w:t xml:space="preserve">Temperature &lt;±0.50% </w:t>
            </w:r>
          </w:p>
        </w:tc>
      </w:tr>
      <w:tr w:rsidR="003331C5" w:rsidRPr="00883399" w14:paraId="76D1353C" w14:textId="77777777" w:rsidTr="003331C5">
        <w:tc>
          <w:tcPr>
            <w:tcW w:w="426" w:type="pct"/>
            <w:shd w:val="clear" w:color="auto" w:fill="auto"/>
          </w:tcPr>
          <w:p w14:paraId="21E8342C" w14:textId="77777777" w:rsidR="003331C5" w:rsidRPr="00883399" w:rsidRDefault="003331C5" w:rsidP="003331C5">
            <w:pPr>
              <w:pStyle w:val="Tabletext0"/>
              <w:rPr>
                <w:sz w:val="22"/>
              </w:rPr>
            </w:pPr>
            <w:r w:rsidRPr="00883399">
              <w:rPr>
                <w:sz w:val="22"/>
              </w:rPr>
              <w:t>2</w:t>
            </w:r>
          </w:p>
        </w:tc>
        <w:tc>
          <w:tcPr>
            <w:tcW w:w="1126" w:type="pct"/>
            <w:shd w:val="clear" w:color="auto" w:fill="auto"/>
          </w:tcPr>
          <w:p w14:paraId="6426444A" w14:textId="77777777" w:rsidR="003331C5" w:rsidRPr="00883399" w:rsidRDefault="003331C5" w:rsidP="003331C5">
            <w:pPr>
              <w:pStyle w:val="Tabletext0"/>
              <w:rPr>
                <w:sz w:val="22"/>
              </w:rPr>
            </w:pPr>
            <w:r w:rsidRPr="00883399">
              <w:rPr>
                <w:sz w:val="22"/>
              </w:rPr>
              <w:t>2</w:t>
            </w:r>
          </w:p>
        </w:tc>
        <w:tc>
          <w:tcPr>
            <w:tcW w:w="1632" w:type="pct"/>
            <w:shd w:val="clear" w:color="auto" w:fill="auto"/>
          </w:tcPr>
          <w:p w14:paraId="2B16AF97" w14:textId="77777777" w:rsidR="003331C5" w:rsidRPr="00883399" w:rsidRDefault="003331C5" w:rsidP="003331C5">
            <w:pPr>
              <w:pStyle w:val="Tabletext0"/>
              <w:rPr>
                <w:sz w:val="22"/>
              </w:rPr>
            </w:pPr>
            <w:r w:rsidRPr="00883399">
              <w:rPr>
                <w:sz w:val="22"/>
              </w:rPr>
              <w:t>50 001–100 000</w:t>
            </w:r>
          </w:p>
        </w:tc>
        <w:tc>
          <w:tcPr>
            <w:tcW w:w="1816" w:type="pct"/>
            <w:shd w:val="clear" w:color="auto" w:fill="auto"/>
          </w:tcPr>
          <w:p w14:paraId="205AEC21" w14:textId="77777777" w:rsidR="003331C5" w:rsidRPr="00883399" w:rsidRDefault="003331C5" w:rsidP="003331C5">
            <w:pPr>
              <w:pStyle w:val="Tabletext0"/>
              <w:rPr>
                <w:sz w:val="22"/>
              </w:rPr>
            </w:pPr>
            <w:r w:rsidRPr="00883399">
              <w:rPr>
                <w:sz w:val="22"/>
              </w:rPr>
              <w:t>Pressure &lt;±0.25%</w:t>
            </w:r>
          </w:p>
          <w:p w14:paraId="5B217146" w14:textId="77777777" w:rsidR="003331C5" w:rsidRPr="00883399" w:rsidRDefault="003331C5" w:rsidP="003331C5">
            <w:pPr>
              <w:pStyle w:val="Tabletext0"/>
              <w:rPr>
                <w:sz w:val="22"/>
              </w:rPr>
            </w:pPr>
            <w:r w:rsidRPr="00883399">
              <w:rPr>
                <w:sz w:val="22"/>
              </w:rPr>
              <w:t>Diff. pressure &lt;±0.25%</w:t>
            </w:r>
          </w:p>
          <w:p w14:paraId="2D03689E" w14:textId="77777777" w:rsidR="003331C5" w:rsidRPr="00883399" w:rsidRDefault="003331C5" w:rsidP="003331C5">
            <w:pPr>
              <w:pStyle w:val="Tabletext0"/>
              <w:rPr>
                <w:sz w:val="22"/>
              </w:rPr>
            </w:pPr>
            <w:r w:rsidRPr="00883399">
              <w:rPr>
                <w:sz w:val="22"/>
              </w:rPr>
              <w:t>Temperature &lt;±0.50%</w:t>
            </w:r>
          </w:p>
        </w:tc>
      </w:tr>
      <w:tr w:rsidR="003331C5" w:rsidRPr="00883399" w14:paraId="342904D6" w14:textId="77777777" w:rsidTr="003331C5">
        <w:tc>
          <w:tcPr>
            <w:tcW w:w="426" w:type="pct"/>
            <w:tcBorders>
              <w:bottom w:val="single" w:sz="4" w:space="0" w:color="auto"/>
            </w:tcBorders>
            <w:shd w:val="clear" w:color="auto" w:fill="auto"/>
          </w:tcPr>
          <w:p w14:paraId="52F435B5" w14:textId="77777777" w:rsidR="003331C5" w:rsidRPr="00883399" w:rsidRDefault="003331C5" w:rsidP="003331C5">
            <w:pPr>
              <w:pStyle w:val="Tabletext0"/>
              <w:rPr>
                <w:sz w:val="22"/>
              </w:rPr>
            </w:pPr>
            <w:r w:rsidRPr="00883399">
              <w:rPr>
                <w:sz w:val="22"/>
              </w:rPr>
              <w:t>3</w:t>
            </w:r>
          </w:p>
        </w:tc>
        <w:tc>
          <w:tcPr>
            <w:tcW w:w="1126" w:type="pct"/>
            <w:tcBorders>
              <w:bottom w:val="single" w:sz="4" w:space="0" w:color="auto"/>
            </w:tcBorders>
            <w:shd w:val="clear" w:color="auto" w:fill="auto"/>
          </w:tcPr>
          <w:p w14:paraId="7DBD44C8" w14:textId="77777777" w:rsidR="003331C5" w:rsidRPr="00883399" w:rsidRDefault="003331C5" w:rsidP="003331C5">
            <w:pPr>
              <w:pStyle w:val="Tabletext0"/>
              <w:rPr>
                <w:sz w:val="22"/>
              </w:rPr>
            </w:pPr>
            <w:r w:rsidRPr="00883399">
              <w:rPr>
                <w:sz w:val="22"/>
              </w:rPr>
              <w:t>3</w:t>
            </w:r>
          </w:p>
        </w:tc>
        <w:tc>
          <w:tcPr>
            <w:tcW w:w="1632" w:type="pct"/>
            <w:tcBorders>
              <w:bottom w:val="single" w:sz="4" w:space="0" w:color="auto"/>
            </w:tcBorders>
            <w:shd w:val="clear" w:color="auto" w:fill="auto"/>
          </w:tcPr>
          <w:p w14:paraId="6104994D" w14:textId="77777777" w:rsidR="003331C5" w:rsidRPr="00883399" w:rsidRDefault="003331C5" w:rsidP="003331C5">
            <w:pPr>
              <w:pStyle w:val="Tabletext0"/>
              <w:rPr>
                <w:sz w:val="22"/>
              </w:rPr>
            </w:pPr>
            <w:r w:rsidRPr="00883399">
              <w:rPr>
                <w:sz w:val="22"/>
              </w:rPr>
              <w:t>100 001–500 000</w:t>
            </w:r>
          </w:p>
        </w:tc>
        <w:tc>
          <w:tcPr>
            <w:tcW w:w="1816" w:type="pct"/>
            <w:tcBorders>
              <w:bottom w:val="single" w:sz="4" w:space="0" w:color="auto"/>
            </w:tcBorders>
            <w:shd w:val="clear" w:color="auto" w:fill="auto"/>
          </w:tcPr>
          <w:p w14:paraId="087A0780" w14:textId="77777777" w:rsidR="003331C5" w:rsidRPr="00883399" w:rsidRDefault="003331C5" w:rsidP="003331C5">
            <w:pPr>
              <w:pStyle w:val="Tabletext0"/>
              <w:rPr>
                <w:sz w:val="22"/>
              </w:rPr>
            </w:pPr>
            <w:r w:rsidRPr="00883399">
              <w:rPr>
                <w:sz w:val="22"/>
              </w:rPr>
              <w:t>Smart transmitters:</w:t>
            </w:r>
          </w:p>
          <w:p w14:paraId="4C7E7BE3" w14:textId="77777777" w:rsidR="003331C5" w:rsidRPr="00883399" w:rsidRDefault="003331C5" w:rsidP="003331C5">
            <w:pPr>
              <w:pStyle w:val="Tabletext0"/>
              <w:rPr>
                <w:sz w:val="22"/>
              </w:rPr>
            </w:pPr>
            <w:r w:rsidRPr="00883399">
              <w:rPr>
                <w:sz w:val="22"/>
              </w:rPr>
              <w:t>Pressure &lt;±0.10%</w:t>
            </w:r>
          </w:p>
          <w:p w14:paraId="2B638AC2" w14:textId="77777777" w:rsidR="003331C5" w:rsidRPr="00883399" w:rsidRDefault="003331C5" w:rsidP="003331C5">
            <w:pPr>
              <w:pStyle w:val="Tabletext0"/>
              <w:rPr>
                <w:sz w:val="22"/>
              </w:rPr>
            </w:pPr>
            <w:r w:rsidRPr="00883399">
              <w:rPr>
                <w:sz w:val="22"/>
              </w:rPr>
              <w:t>Diff. pressure &lt;±0.10%</w:t>
            </w:r>
          </w:p>
          <w:p w14:paraId="24CEFF68" w14:textId="77777777" w:rsidR="003331C5" w:rsidRPr="00883399" w:rsidRDefault="003331C5" w:rsidP="003331C5">
            <w:pPr>
              <w:pStyle w:val="Tabletext0"/>
              <w:rPr>
                <w:sz w:val="22"/>
              </w:rPr>
            </w:pPr>
            <w:r w:rsidRPr="00883399">
              <w:rPr>
                <w:sz w:val="22"/>
              </w:rPr>
              <w:t>Temperature &lt;±0.25%</w:t>
            </w:r>
          </w:p>
        </w:tc>
      </w:tr>
      <w:tr w:rsidR="003331C5" w:rsidRPr="00883399" w14:paraId="1B17779F" w14:textId="77777777" w:rsidTr="003331C5">
        <w:tc>
          <w:tcPr>
            <w:tcW w:w="426" w:type="pct"/>
            <w:tcBorders>
              <w:bottom w:val="single" w:sz="12" w:space="0" w:color="auto"/>
            </w:tcBorders>
            <w:shd w:val="clear" w:color="auto" w:fill="auto"/>
          </w:tcPr>
          <w:p w14:paraId="24AB473B" w14:textId="77777777" w:rsidR="003331C5" w:rsidRPr="00883399" w:rsidRDefault="003331C5" w:rsidP="003331C5">
            <w:pPr>
              <w:pStyle w:val="Tabletext0"/>
              <w:rPr>
                <w:sz w:val="22"/>
              </w:rPr>
            </w:pPr>
            <w:r w:rsidRPr="00883399">
              <w:rPr>
                <w:sz w:val="22"/>
              </w:rPr>
              <w:t>4</w:t>
            </w:r>
          </w:p>
        </w:tc>
        <w:tc>
          <w:tcPr>
            <w:tcW w:w="1126" w:type="pct"/>
            <w:tcBorders>
              <w:bottom w:val="single" w:sz="12" w:space="0" w:color="auto"/>
            </w:tcBorders>
            <w:shd w:val="clear" w:color="auto" w:fill="auto"/>
          </w:tcPr>
          <w:p w14:paraId="59D872D5" w14:textId="77777777" w:rsidR="003331C5" w:rsidRPr="00883399" w:rsidRDefault="003331C5" w:rsidP="003331C5">
            <w:pPr>
              <w:pStyle w:val="Tabletext0"/>
              <w:rPr>
                <w:sz w:val="22"/>
              </w:rPr>
            </w:pPr>
            <w:r w:rsidRPr="00883399">
              <w:rPr>
                <w:sz w:val="22"/>
              </w:rPr>
              <w:t>4</w:t>
            </w:r>
          </w:p>
        </w:tc>
        <w:tc>
          <w:tcPr>
            <w:tcW w:w="1632" w:type="pct"/>
            <w:tcBorders>
              <w:bottom w:val="single" w:sz="12" w:space="0" w:color="auto"/>
            </w:tcBorders>
            <w:shd w:val="clear" w:color="auto" w:fill="auto"/>
          </w:tcPr>
          <w:p w14:paraId="5FBA2B65" w14:textId="77777777" w:rsidR="003331C5" w:rsidRPr="00883399" w:rsidRDefault="003331C5" w:rsidP="003331C5">
            <w:pPr>
              <w:pStyle w:val="Tabletext0"/>
              <w:rPr>
                <w:sz w:val="22"/>
              </w:rPr>
            </w:pPr>
            <w:r w:rsidRPr="00883399">
              <w:rPr>
                <w:sz w:val="22"/>
              </w:rPr>
              <w:t>500 001 or more</w:t>
            </w:r>
          </w:p>
        </w:tc>
        <w:tc>
          <w:tcPr>
            <w:tcW w:w="1816" w:type="pct"/>
            <w:tcBorders>
              <w:bottom w:val="single" w:sz="12" w:space="0" w:color="auto"/>
            </w:tcBorders>
            <w:shd w:val="clear" w:color="auto" w:fill="auto"/>
          </w:tcPr>
          <w:p w14:paraId="041FAF9D" w14:textId="77777777" w:rsidR="003331C5" w:rsidRPr="00883399" w:rsidRDefault="003331C5" w:rsidP="003331C5">
            <w:pPr>
              <w:pStyle w:val="Tabletext0"/>
              <w:rPr>
                <w:sz w:val="22"/>
              </w:rPr>
            </w:pPr>
            <w:r w:rsidRPr="00883399">
              <w:rPr>
                <w:sz w:val="22"/>
              </w:rPr>
              <w:t>Smart transmitters:</w:t>
            </w:r>
          </w:p>
          <w:p w14:paraId="4EA0DF6B" w14:textId="77777777" w:rsidR="003331C5" w:rsidRPr="00883399" w:rsidRDefault="003331C5" w:rsidP="003331C5">
            <w:pPr>
              <w:pStyle w:val="Tabletext0"/>
              <w:rPr>
                <w:sz w:val="22"/>
              </w:rPr>
            </w:pPr>
            <w:r w:rsidRPr="00883399">
              <w:rPr>
                <w:sz w:val="22"/>
              </w:rPr>
              <w:t>Pressure &lt;±0.10%</w:t>
            </w:r>
          </w:p>
          <w:p w14:paraId="0CA7ED5B" w14:textId="77777777" w:rsidR="003331C5" w:rsidRPr="00883399" w:rsidRDefault="003331C5" w:rsidP="003331C5">
            <w:pPr>
              <w:pStyle w:val="Tabletext0"/>
              <w:rPr>
                <w:sz w:val="22"/>
              </w:rPr>
            </w:pPr>
            <w:r w:rsidRPr="00883399">
              <w:rPr>
                <w:sz w:val="22"/>
              </w:rPr>
              <w:t>Diff. pressure &lt;±0.10%</w:t>
            </w:r>
          </w:p>
          <w:p w14:paraId="21497B9A" w14:textId="77777777" w:rsidR="003331C5" w:rsidRPr="00883399" w:rsidRDefault="003331C5" w:rsidP="003331C5">
            <w:pPr>
              <w:pStyle w:val="Tabletext0"/>
              <w:rPr>
                <w:sz w:val="22"/>
              </w:rPr>
            </w:pPr>
            <w:r w:rsidRPr="00883399">
              <w:rPr>
                <w:sz w:val="22"/>
              </w:rPr>
              <w:t>Temperature &lt;±0.25%</w:t>
            </w:r>
          </w:p>
        </w:tc>
      </w:tr>
    </w:tbl>
    <w:p w14:paraId="6E54DCD6" w14:textId="77777777" w:rsidR="003331C5" w:rsidRPr="00883399" w:rsidRDefault="003331C5" w:rsidP="003331C5">
      <w:pPr>
        <w:pStyle w:val="ActHead5"/>
        <w:rPr>
          <w:sz w:val="28"/>
        </w:rPr>
      </w:pPr>
      <w:bookmarkStart w:id="79" w:name="_Toc455152143"/>
      <w:bookmarkStart w:id="80" w:name="_Toc495652611"/>
      <w:r w:rsidRPr="00883399">
        <w:rPr>
          <w:rStyle w:val="CharSectno"/>
          <w:sz w:val="28"/>
        </w:rPr>
        <w:t>1.19GA</w:t>
      </w:r>
      <w:r w:rsidRPr="00883399">
        <w:rPr>
          <w:sz w:val="28"/>
        </w:rPr>
        <w:t xml:space="preserve">  Volume of greenhouse gas stream—criterion BBB</w:t>
      </w:r>
      <w:bookmarkEnd w:id="79"/>
      <w:bookmarkEnd w:id="80"/>
    </w:p>
    <w:p w14:paraId="48A8E1EC" w14:textId="77777777" w:rsidR="003331C5" w:rsidRPr="00883399" w:rsidRDefault="003331C5" w:rsidP="003331C5">
      <w:pPr>
        <w:pStyle w:val="subsection"/>
        <w:rPr>
          <w:sz w:val="24"/>
        </w:rPr>
      </w:pPr>
      <w:r w:rsidRPr="00883399">
        <w:rPr>
          <w:sz w:val="24"/>
        </w:rPr>
        <w:tab/>
      </w:r>
      <w:r w:rsidRPr="00883399">
        <w:rPr>
          <w:sz w:val="24"/>
        </w:rPr>
        <w:tab/>
        <w:t>For subparagraph 1.19E(2)(b)(ii), criterion BBB is the estimation of the volume of the captured greenhouse gas stream from the operation of the facility during a year measured in accordance with industry practice, if the equipment used to measure the volume of the captured greenhouse gas stream does not meet the requirements of criterion AAA.</w:t>
      </w:r>
    </w:p>
    <w:p w14:paraId="11EFEF08" w14:textId="77777777" w:rsidR="003331C5" w:rsidRPr="00883399" w:rsidRDefault="003331C5" w:rsidP="003331C5">
      <w:pPr>
        <w:pStyle w:val="notetext"/>
        <w:rPr>
          <w:sz w:val="20"/>
        </w:rPr>
      </w:pPr>
      <w:r w:rsidRPr="00883399">
        <w:rPr>
          <w:sz w:val="20"/>
        </w:rPr>
        <w:t>Note:</w:t>
      </w:r>
      <w:r w:rsidRPr="00883399">
        <w:rPr>
          <w:sz w:val="20"/>
        </w:rPr>
        <w:tab/>
        <w:t>An estimate obtained using industry practice must be considered with the principles in section 1.13.</w:t>
      </w:r>
    </w:p>
    <w:p w14:paraId="3CB1C6A5" w14:textId="77777777" w:rsidR="003331C5" w:rsidRPr="00883399" w:rsidRDefault="003331C5" w:rsidP="003331C5">
      <w:pPr>
        <w:pStyle w:val="ActHead5"/>
        <w:rPr>
          <w:sz w:val="28"/>
        </w:rPr>
      </w:pPr>
      <w:bookmarkStart w:id="81" w:name="_Toc455152144"/>
      <w:bookmarkStart w:id="82" w:name="_Toc495652612"/>
      <w:r w:rsidRPr="00883399">
        <w:rPr>
          <w:rStyle w:val="CharSectno"/>
          <w:sz w:val="28"/>
        </w:rPr>
        <w:t>1.19H</w:t>
      </w:r>
      <w:r w:rsidRPr="00883399">
        <w:rPr>
          <w:sz w:val="28"/>
        </w:rPr>
        <w:t xml:space="preserve">  Volumetric measurement—compressed greenhouse gas stream</w:t>
      </w:r>
      <w:bookmarkEnd w:id="81"/>
      <w:bookmarkEnd w:id="82"/>
    </w:p>
    <w:p w14:paraId="0B1E7F63" w14:textId="77777777" w:rsidR="003331C5" w:rsidRPr="00883399" w:rsidRDefault="003331C5" w:rsidP="003331C5">
      <w:pPr>
        <w:pStyle w:val="subsection"/>
        <w:rPr>
          <w:sz w:val="24"/>
        </w:rPr>
      </w:pPr>
      <w:r w:rsidRPr="00883399">
        <w:rPr>
          <w:sz w:val="24"/>
        </w:rPr>
        <w:tab/>
        <w:t>(1)</w:t>
      </w:r>
      <w:r w:rsidRPr="00883399">
        <w:rPr>
          <w:sz w:val="24"/>
        </w:rPr>
        <w:tab/>
        <w:t>For subparagraph 1.19G(2)(a)(i), volumetric measurement of a compressed greenhouse gas stream must be in cubic metres at standard conditions.</w:t>
      </w:r>
    </w:p>
    <w:p w14:paraId="2C09AB78" w14:textId="77777777" w:rsidR="003331C5" w:rsidRPr="00883399" w:rsidRDefault="003331C5" w:rsidP="003331C5">
      <w:pPr>
        <w:pStyle w:val="subsection"/>
        <w:rPr>
          <w:sz w:val="24"/>
        </w:rPr>
      </w:pPr>
      <w:r w:rsidRPr="00883399">
        <w:rPr>
          <w:sz w:val="24"/>
        </w:rPr>
        <w:tab/>
        <w:t>(1A)</w:t>
      </w:r>
      <w:r w:rsidRPr="00883399">
        <w:rPr>
          <w:sz w:val="24"/>
        </w:rPr>
        <w:tab/>
        <w:t>For this section and subparagraph 1.19G(2)(a)(i), a compressed greenhouse gas stream does not include either of the following:</w:t>
      </w:r>
    </w:p>
    <w:p w14:paraId="0A03DE68" w14:textId="77777777" w:rsidR="003331C5" w:rsidRPr="00883399" w:rsidRDefault="003331C5" w:rsidP="003331C5">
      <w:pPr>
        <w:pStyle w:val="paragraph"/>
        <w:rPr>
          <w:sz w:val="24"/>
        </w:rPr>
      </w:pPr>
      <w:r w:rsidRPr="00883399">
        <w:rPr>
          <w:sz w:val="24"/>
        </w:rPr>
        <w:tab/>
        <w:t>(a)</w:t>
      </w:r>
      <w:r w:rsidRPr="00883399">
        <w:rPr>
          <w:sz w:val="24"/>
        </w:rPr>
        <w:tab/>
        <w:t>a super</w:t>
      </w:r>
      <w:r w:rsidRPr="00883399">
        <w:rPr>
          <w:sz w:val="24"/>
        </w:rPr>
        <w:noBreakHyphen/>
        <w:t>compressed greenhouse gas stream;</w:t>
      </w:r>
    </w:p>
    <w:p w14:paraId="5177FE04" w14:textId="77777777" w:rsidR="003331C5" w:rsidRPr="00883399" w:rsidRDefault="003331C5" w:rsidP="003331C5">
      <w:pPr>
        <w:pStyle w:val="paragraph"/>
        <w:rPr>
          <w:sz w:val="24"/>
        </w:rPr>
      </w:pPr>
      <w:r w:rsidRPr="00883399">
        <w:rPr>
          <w:sz w:val="24"/>
        </w:rPr>
        <w:tab/>
        <w:t>(b)</w:t>
      </w:r>
      <w:r w:rsidRPr="00883399">
        <w:rPr>
          <w:sz w:val="24"/>
        </w:rPr>
        <w:tab/>
        <w:t>a greenhouse gas stream that is compressed to a super</w:t>
      </w:r>
      <w:r w:rsidRPr="00883399">
        <w:rPr>
          <w:sz w:val="24"/>
        </w:rPr>
        <w:noBreakHyphen/>
        <w:t>critical state.</w:t>
      </w:r>
    </w:p>
    <w:p w14:paraId="0358CF2D" w14:textId="77777777" w:rsidR="003331C5" w:rsidRPr="00883399" w:rsidRDefault="003331C5" w:rsidP="003331C5">
      <w:pPr>
        <w:pStyle w:val="subsection"/>
        <w:rPr>
          <w:sz w:val="24"/>
        </w:rPr>
      </w:pPr>
      <w:r w:rsidRPr="00883399">
        <w:rPr>
          <w:sz w:val="24"/>
        </w:rPr>
        <w:tab/>
        <w:t>(2)</w:t>
      </w:r>
      <w:r w:rsidRPr="00883399">
        <w:rPr>
          <w:sz w:val="24"/>
        </w:rPr>
        <w:tab/>
        <w:t>The volumetric measurement is to be calculated using a flow computer that measures and analyses flow signals and relative density:</w:t>
      </w:r>
    </w:p>
    <w:p w14:paraId="01109E29" w14:textId="77777777" w:rsidR="003331C5" w:rsidRPr="00883399" w:rsidRDefault="003331C5" w:rsidP="003331C5">
      <w:pPr>
        <w:pStyle w:val="paragraph"/>
        <w:rPr>
          <w:sz w:val="24"/>
        </w:rPr>
      </w:pPr>
      <w:r w:rsidRPr="00883399">
        <w:rPr>
          <w:sz w:val="24"/>
        </w:rPr>
        <w:lastRenderedPageBreak/>
        <w:tab/>
        <w:t>(a)</w:t>
      </w:r>
      <w:r w:rsidRPr="00883399">
        <w:rPr>
          <w:sz w:val="24"/>
        </w:rPr>
        <w:tab/>
        <w:t>if the greenhouse gas stream is captured by the relevant person and is neither transferred to the relevant person nor transferred by the relevant person to another person—at the point of capture of the greenhouse gas stream; or</w:t>
      </w:r>
    </w:p>
    <w:p w14:paraId="75902FD5" w14:textId="77777777" w:rsidR="003331C5" w:rsidRPr="00883399" w:rsidRDefault="003331C5" w:rsidP="003331C5">
      <w:pPr>
        <w:pStyle w:val="paragraph"/>
        <w:rPr>
          <w:sz w:val="24"/>
        </w:rPr>
      </w:pPr>
      <w:r w:rsidRPr="00883399">
        <w:rPr>
          <w:sz w:val="24"/>
        </w:rPr>
        <w:tab/>
        <w:t>(b)</w:t>
      </w:r>
      <w:r w:rsidRPr="00883399">
        <w:rPr>
          <w:sz w:val="24"/>
        </w:rPr>
        <w:tab/>
        <w:t>if the greenhouse gas stream is transferred to a relevant person—at the point of transfer of the greenhouse gas stream.</w:t>
      </w:r>
    </w:p>
    <w:p w14:paraId="3787ED46" w14:textId="77777777" w:rsidR="003331C5" w:rsidRPr="00883399" w:rsidRDefault="003331C5" w:rsidP="003331C5">
      <w:pPr>
        <w:pStyle w:val="subsection"/>
        <w:rPr>
          <w:sz w:val="24"/>
        </w:rPr>
      </w:pPr>
      <w:r w:rsidRPr="00883399">
        <w:rPr>
          <w:sz w:val="24"/>
        </w:rPr>
        <w:tab/>
        <w:t>(3)</w:t>
      </w:r>
      <w:r w:rsidRPr="00883399">
        <w:rPr>
          <w:sz w:val="24"/>
        </w:rPr>
        <w:tab/>
        <w:t>The volumetric flow rate must be continuously recorded and integrated using an integration device that is isolated from the flow computer in such a way that if the computer fails, the integration device will retain the last reading, or the previously stored information, that was on the computer immediately before the failure.</w:t>
      </w:r>
    </w:p>
    <w:p w14:paraId="74A67536" w14:textId="77777777" w:rsidR="003331C5" w:rsidRPr="00883399" w:rsidRDefault="003331C5" w:rsidP="003331C5">
      <w:pPr>
        <w:pStyle w:val="subsection"/>
        <w:rPr>
          <w:sz w:val="24"/>
        </w:rPr>
      </w:pPr>
      <w:r w:rsidRPr="00883399">
        <w:rPr>
          <w:sz w:val="24"/>
        </w:rPr>
        <w:tab/>
        <w:t>(4)</w:t>
      </w:r>
      <w:r w:rsidRPr="00883399">
        <w:rPr>
          <w:sz w:val="24"/>
        </w:rPr>
        <w:tab/>
        <w:t>Subject to subsection (5), all measurements, calculations and procedures used in determining volume (except for any correction for deviation from the ideal gas law) must be made in accordance with the instructions contained in the following:</w:t>
      </w:r>
    </w:p>
    <w:p w14:paraId="30EB9034" w14:textId="77777777" w:rsidR="003331C5" w:rsidRPr="00883399" w:rsidRDefault="003331C5" w:rsidP="003331C5">
      <w:pPr>
        <w:pStyle w:val="paragraph"/>
        <w:rPr>
          <w:sz w:val="24"/>
        </w:rPr>
      </w:pPr>
      <w:r w:rsidRPr="00883399">
        <w:rPr>
          <w:sz w:val="24"/>
        </w:rPr>
        <w:tab/>
        <w:t>(a)</w:t>
      </w:r>
      <w:r w:rsidRPr="00883399">
        <w:rPr>
          <w:sz w:val="24"/>
        </w:rPr>
        <w:tab/>
        <w:t>for orifice plate measuring systems:</w:t>
      </w:r>
    </w:p>
    <w:p w14:paraId="5807F0D5" w14:textId="77777777" w:rsidR="003331C5" w:rsidRPr="00883399" w:rsidRDefault="003331C5" w:rsidP="003331C5">
      <w:pPr>
        <w:pStyle w:val="paragraphsub"/>
        <w:rPr>
          <w:sz w:val="24"/>
        </w:rPr>
      </w:pPr>
      <w:r w:rsidRPr="00883399">
        <w:rPr>
          <w:sz w:val="24"/>
        </w:rPr>
        <w:tab/>
        <w:t>(i)</w:t>
      </w:r>
      <w:r w:rsidRPr="00883399">
        <w:rPr>
          <w:sz w:val="24"/>
        </w:rPr>
        <w:tab/>
        <w:t xml:space="preserve">the publication entitled </w:t>
      </w:r>
      <w:r w:rsidRPr="00883399">
        <w:rPr>
          <w:i/>
          <w:sz w:val="24"/>
        </w:rPr>
        <w:t>AGA Report No. 3</w:t>
      </w:r>
      <w:r w:rsidRPr="00883399">
        <w:rPr>
          <w:sz w:val="24"/>
        </w:rPr>
        <w:t xml:space="preserve">, </w:t>
      </w:r>
      <w:r w:rsidRPr="00883399">
        <w:rPr>
          <w:i/>
          <w:sz w:val="24"/>
        </w:rPr>
        <w:t xml:space="preserve">Orifice Metering of Natural Gas and Other Related Hydrocarbon Fluids Part 3: Natural Gas Applications, </w:t>
      </w:r>
      <w:r w:rsidRPr="00883399">
        <w:rPr>
          <w:sz w:val="24"/>
        </w:rPr>
        <w:t>published by the American Gas Association in August 1992; or</w:t>
      </w:r>
    </w:p>
    <w:p w14:paraId="43AF0255" w14:textId="77777777" w:rsidR="003331C5" w:rsidRPr="00883399" w:rsidRDefault="003331C5" w:rsidP="003331C5">
      <w:pPr>
        <w:pStyle w:val="paragraphsub"/>
        <w:rPr>
          <w:sz w:val="24"/>
        </w:rPr>
      </w:pPr>
      <w:r w:rsidRPr="00883399">
        <w:rPr>
          <w:sz w:val="24"/>
        </w:rPr>
        <w:tab/>
        <w:t>(ii)</w:t>
      </w:r>
      <w:r w:rsidRPr="00883399">
        <w:rPr>
          <w:sz w:val="24"/>
        </w:rPr>
        <w:tab/>
        <w:t xml:space="preserve">Parts 1 to 4 of the publication entitled </w:t>
      </w:r>
      <w:r w:rsidRPr="00883399">
        <w:rPr>
          <w:i/>
          <w:sz w:val="24"/>
        </w:rPr>
        <w:t>ANSI/API MPMS Chapter 14.3 Part 2 (R2011) Natural Gas Fluids Measurement: Concentric, Square</w:t>
      </w:r>
      <w:r w:rsidRPr="00883399">
        <w:rPr>
          <w:i/>
          <w:sz w:val="24"/>
        </w:rPr>
        <w:noBreakHyphen/>
        <w:t xml:space="preserve">Edged Orifice Meters </w:t>
      </w:r>
      <w:r w:rsidRPr="00883399">
        <w:rPr>
          <w:i/>
          <w:sz w:val="24"/>
        </w:rPr>
        <w:noBreakHyphen/>
        <w:t xml:space="preserve"> Part 2: Specification and Installation Requirements</w:t>
      </w:r>
      <w:r w:rsidRPr="00883399">
        <w:rPr>
          <w:sz w:val="24"/>
        </w:rPr>
        <w:t>, 4th edition, published by the American Petroleum Institute on 30 April 2000;</w:t>
      </w:r>
    </w:p>
    <w:p w14:paraId="2BF94063" w14:textId="77777777" w:rsidR="003331C5" w:rsidRPr="00883399" w:rsidRDefault="003331C5" w:rsidP="003331C5">
      <w:pPr>
        <w:pStyle w:val="paragraph"/>
        <w:rPr>
          <w:i/>
          <w:sz w:val="24"/>
        </w:rPr>
      </w:pPr>
      <w:r w:rsidRPr="00883399">
        <w:rPr>
          <w:sz w:val="24"/>
        </w:rPr>
        <w:tab/>
        <w:t>(b)</w:t>
      </w:r>
      <w:r w:rsidRPr="00883399">
        <w:rPr>
          <w:sz w:val="24"/>
        </w:rPr>
        <w:tab/>
        <w:t xml:space="preserve">for turbine measuring systems—the publication entitled </w:t>
      </w:r>
      <w:r w:rsidRPr="00883399">
        <w:rPr>
          <w:i/>
          <w:sz w:val="24"/>
        </w:rPr>
        <w:t xml:space="preserve">AGA Report No. 7, Measurement of Natural Gas by Turbine Meter (2006), </w:t>
      </w:r>
      <w:r w:rsidRPr="00883399">
        <w:rPr>
          <w:sz w:val="24"/>
        </w:rPr>
        <w:t>published by the American Gas Association on 1 January 2006;</w:t>
      </w:r>
    </w:p>
    <w:p w14:paraId="1427D0B6" w14:textId="77777777" w:rsidR="003331C5" w:rsidRPr="00883399" w:rsidRDefault="003331C5" w:rsidP="003331C5">
      <w:pPr>
        <w:pStyle w:val="paragraph"/>
        <w:rPr>
          <w:sz w:val="24"/>
        </w:rPr>
      </w:pPr>
      <w:r w:rsidRPr="00883399">
        <w:rPr>
          <w:sz w:val="24"/>
        </w:rPr>
        <w:tab/>
        <w:t>(c)</w:t>
      </w:r>
      <w:r w:rsidRPr="00883399">
        <w:rPr>
          <w:sz w:val="24"/>
        </w:rPr>
        <w:tab/>
        <w:t xml:space="preserve">for positive displacement measuring systems—the publication entitled </w:t>
      </w:r>
      <w:r w:rsidRPr="00883399">
        <w:rPr>
          <w:i/>
          <w:sz w:val="24"/>
        </w:rPr>
        <w:t>ANSI B109.3—2000, Rotary Type Gas Displacement Meters</w:t>
      </w:r>
      <w:r w:rsidRPr="00883399">
        <w:rPr>
          <w:sz w:val="24"/>
        </w:rPr>
        <w:t>, published by the American Gas Association on 13 April 2000.</w:t>
      </w:r>
    </w:p>
    <w:p w14:paraId="567E992D" w14:textId="77777777" w:rsidR="003331C5" w:rsidRPr="00883399" w:rsidRDefault="003331C5" w:rsidP="003331C5">
      <w:pPr>
        <w:pStyle w:val="subsection"/>
        <w:rPr>
          <w:sz w:val="24"/>
        </w:rPr>
      </w:pPr>
      <w:r w:rsidRPr="00883399">
        <w:rPr>
          <w:sz w:val="24"/>
        </w:rPr>
        <w:tab/>
        <w:t>(5)</w:t>
      </w:r>
      <w:r w:rsidRPr="00883399">
        <w:rPr>
          <w:sz w:val="24"/>
        </w:rPr>
        <w:tab/>
        <w:t>Measurements, calculations and procedures used in determining volume may also be made in accordance with an equivalent internationally recognised documentary standard or code.</w:t>
      </w:r>
    </w:p>
    <w:p w14:paraId="51C742FD" w14:textId="77777777" w:rsidR="003331C5" w:rsidRPr="00883399" w:rsidRDefault="003331C5" w:rsidP="003331C5">
      <w:pPr>
        <w:pStyle w:val="subsection"/>
        <w:rPr>
          <w:sz w:val="24"/>
        </w:rPr>
      </w:pPr>
      <w:r w:rsidRPr="00883399">
        <w:rPr>
          <w:sz w:val="24"/>
        </w:rPr>
        <w:tab/>
        <w:t>(6)</w:t>
      </w:r>
      <w:r w:rsidRPr="00883399">
        <w:rPr>
          <w:sz w:val="24"/>
        </w:rPr>
        <w:tab/>
        <w:t>Measurements must comply with Australian legal units of measurement.</w:t>
      </w:r>
    </w:p>
    <w:p w14:paraId="6461D679" w14:textId="77777777" w:rsidR="003331C5" w:rsidRPr="00883399" w:rsidRDefault="003331C5" w:rsidP="003331C5">
      <w:pPr>
        <w:pStyle w:val="ActHead5"/>
        <w:rPr>
          <w:sz w:val="28"/>
        </w:rPr>
      </w:pPr>
      <w:bookmarkStart w:id="83" w:name="_Toc455152145"/>
      <w:bookmarkStart w:id="84" w:name="_Toc495652613"/>
      <w:r w:rsidRPr="00883399">
        <w:rPr>
          <w:rStyle w:val="CharSectno"/>
          <w:sz w:val="28"/>
        </w:rPr>
        <w:lastRenderedPageBreak/>
        <w:t>1.19I</w:t>
      </w:r>
      <w:r w:rsidRPr="00883399">
        <w:rPr>
          <w:sz w:val="28"/>
        </w:rPr>
        <w:t xml:space="preserve">  Volumetric measurement—super</w:t>
      </w:r>
      <w:r w:rsidRPr="00883399">
        <w:rPr>
          <w:sz w:val="28"/>
        </w:rPr>
        <w:noBreakHyphen/>
        <w:t>compressed greenhouse gas stream</w:t>
      </w:r>
      <w:bookmarkEnd w:id="83"/>
      <w:bookmarkEnd w:id="84"/>
    </w:p>
    <w:p w14:paraId="186DD5BF" w14:textId="77777777" w:rsidR="003331C5" w:rsidRPr="00883399" w:rsidRDefault="003331C5" w:rsidP="003331C5">
      <w:pPr>
        <w:pStyle w:val="subsection"/>
        <w:rPr>
          <w:sz w:val="24"/>
        </w:rPr>
      </w:pPr>
      <w:r w:rsidRPr="00883399">
        <w:rPr>
          <w:sz w:val="24"/>
        </w:rPr>
        <w:tab/>
        <w:t>(1)</w:t>
      </w:r>
      <w:r w:rsidRPr="00883399">
        <w:rPr>
          <w:sz w:val="24"/>
        </w:rPr>
        <w:tab/>
        <w:t>For subparagraph 1.19G(2)(a)(ii), volumetric measurement of a super</w:t>
      </w:r>
      <w:r w:rsidRPr="00883399">
        <w:rPr>
          <w:sz w:val="24"/>
        </w:rPr>
        <w:noBreakHyphen/>
        <w:t>compressed greenhouse gas stream must be in accordance with this section.</w:t>
      </w:r>
    </w:p>
    <w:p w14:paraId="48ADC88B" w14:textId="77777777" w:rsidR="003331C5" w:rsidRPr="00883399" w:rsidRDefault="003331C5" w:rsidP="003331C5">
      <w:pPr>
        <w:pStyle w:val="subsection"/>
        <w:rPr>
          <w:sz w:val="24"/>
        </w:rPr>
      </w:pPr>
      <w:r w:rsidRPr="00883399">
        <w:rPr>
          <w:sz w:val="24"/>
        </w:rPr>
        <w:tab/>
        <w:t>(2)</w:t>
      </w:r>
      <w:r w:rsidRPr="00883399">
        <w:rPr>
          <w:sz w:val="24"/>
        </w:rPr>
        <w:tab/>
        <w:t>If, in determining volume in relation to the super</w:t>
      </w:r>
      <w:r w:rsidRPr="00883399">
        <w:rPr>
          <w:i/>
          <w:sz w:val="24"/>
        </w:rPr>
        <w:noBreakHyphen/>
      </w:r>
      <w:r w:rsidRPr="00883399">
        <w:rPr>
          <w:sz w:val="24"/>
        </w:rPr>
        <w:t xml:space="preserve">compressed greenhouse gas stream, it is necessary to correct for deviation from the ideal gas law, the correction must be determined using the relevant method contained in the publication entitled </w:t>
      </w:r>
      <w:r w:rsidRPr="00883399">
        <w:rPr>
          <w:i/>
          <w:sz w:val="24"/>
        </w:rPr>
        <w:t>AGA Report No. 8, Compressibility Factor of Natural Gas and Related Hydrocarbon Gases (1994)</w:t>
      </w:r>
      <w:r w:rsidRPr="00883399">
        <w:rPr>
          <w:sz w:val="24"/>
        </w:rPr>
        <w:t>, published by the American Gas Association on 1 January 1994.</w:t>
      </w:r>
    </w:p>
    <w:p w14:paraId="4DF35343" w14:textId="77777777" w:rsidR="003331C5" w:rsidRPr="00883399" w:rsidRDefault="003331C5" w:rsidP="003331C5">
      <w:pPr>
        <w:pStyle w:val="subsection"/>
        <w:rPr>
          <w:sz w:val="24"/>
        </w:rPr>
      </w:pPr>
      <w:r w:rsidRPr="00883399">
        <w:rPr>
          <w:sz w:val="24"/>
        </w:rPr>
        <w:tab/>
        <w:t>(3)</w:t>
      </w:r>
      <w:r w:rsidRPr="00883399">
        <w:rPr>
          <w:sz w:val="24"/>
        </w:rPr>
        <w:tab/>
        <w:t>The measuring equipment used must calculate super</w:t>
      </w:r>
      <w:r w:rsidRPr="00883399">
        <w:rPr>
          <w:sz w:val="24"/>
        </w:rPr>
        <w:noBreakHyphen/>
        <w:t>compressibility by:</w:t>
      </w:r>
    </w:p>
    <w:p w14:paraId="0ACE1838" w14:textId="77777777" w:rsidR="003331C5" w:rsidRPr="00883399" w:rsidRDefault="003331C5" w:rsidP="003331C5">
      <w:pPr>
        <w:pStyle w:val="paragraph"/>
        <w:rPr>
          <w:sz w:val="24"/>
        </w:rPr>
      </w:pPr>
      <w:r w:rsidRPr="00883399">
        <w:rPr>
          <w:sz w:val="24"/>
        </w:rPr>
        <w:tab/>
        <w:t>(a)</w:t>
      </w:r>
      <w:r w:rsidRPr="00883399">
        <w:rPr>
          <w:sz w:val="24"/>
        </w:rPr>
        <w:tab/>
        <w:t>if the measuring equipment is category 3 or 4 equipment in accordance with column 2 the table in subsection 1.19G(4)—using composition data; or</w:t>
      </w:r>
    </w:p>
    <w:p w14:paraId="1F83DEE2" w14:textId="77777777" w:rsidR="003331C5" w:rsidRPr="00883399" w:rsidRDefault="003331C5" w:rsidP="003331C5">
      <w:pPr>
        <w:pStyle w:val="paragraph"/>
        <w:rPr>
          <w:sz w:val="24"/>
        </w:rPr>
      </w:pPr>
      <w:r w:rsidRPr="00883399">
        <w:rPr>
          <w:sz w:val="24"/>
        </w:rPr>
        <w:tab/>
        <w:t>(b)</w:t>
      </w:r>
      <w:r w:rsidRPr="00883399">
        <w:rPr>
          <w:sz w:val="24"/>
        </w:rPr>
        <w:tab/>
        <w:t xml:space="preserve">if the measuring equipment is category 1 or 2 equipment in accordance with column 2 of the table in subsection 1.19G(4)—using an alternative method set out in the publication entitled </w:t>
      </w:r>
      <w:r w:rsidRPr="00883399">
        <w:rPr>
          <w:i/>
          <w:sz w:val="24"/>
        </w:rPr>
        <w:t>AGA Report No. 8, Compressibility Factor of Natural Gas and Related Hydrocarbon Gases (1994)</w:t>
      </w:r>
      <w:r w:rsidRPr="00883399">
        <w:rPr>
          <w:sz w:val="24"/>
        </w:rPr>
        <w:t>, published by the American Gas Association on 1 January 1994.</w:t>
      </w:r>
    </w:p>
    <w:p w14:paraId="210A42F8" w14:textId="77777777" w:rsidR="003331C5" w:rsidRPr="00883399" w:rsidRDefault="003331C5" w:rsidP="003331C5">
      <w:pPr>
        <w:pStyle w:val="ActHead5"/>
        <w:rPr>
          <w:sz w:val="28"/>
        </w:rPr>
      </w:pPr>
      <w:bookmarkStart w:id="85" w:name="_Toc455152146"/>
      <w:bookmarkStart w:id="86" w:name="_Toc495652614"/>
      <w:r w:rsidRPr="00883399">
        <w:rPr>
          <w:rStyle w:val="CharSectno"/>
          <w:sz w:val="28"/>
        </w:rPr>
        <w:t>1.19J</w:t>
      </w:r>
      <w:r w:rsidRPr="00883399">
        <w:rPr>
          <w:sz w:val="28"/>
        </w:rPr>
        <w:t xml:space="preserve">  Gas measuring equipment—requirements</w:t>
      </w:r>
      <w:bookmarkEnd w:id="85"/>
      <w:bookmarkEnd w:id="86"/>
    </w:p>
    <w:p w14:paraId="21B7E6C8" w14:textId="77777777" w:rsidR="003331C5" w:rsidRPr="00883399" w:rsidRDefault="003331C5" w:rsidP="003331C5">
      <w:pPr>
        <w:pStyle w:val="subsection"/>
        <w:rPr>
          <w:sz w:val="24"/>
        </w:rPr>
      </w:pPr>
      <w:r w:rsidRPr="00883399">
        <w:rPr>
          <w:sz w:val="24"/>
        </w:rPr>
        <w:tab/>
      </w:r>
      <w:r w:rsidRPr="00883399">
        <w:rPr>
          <w:sz w:val="24"/>
        </w:rPr>
        <w:tab/>
        <w:t>For paragraph 1.19G(2)(b), gas measuring equipment that is category 3 or 4 equipment in accordance with column 2 of the table in subsection 1.19G(4) must comply with the following requirements:</w:t>
      </w:r>
    </w:p>
    <w:p w14:paraId="271D5376" w14:textId="77777777" w:rsidR="003331C5" w:rsidRPr="00883399" w:rsidRDefault="003331C5" w:rsidP="003331C5">
      <w:pPr>
        <w:pStyle w:val="paragraph"/>
        <w:rPr>
          <w:sz w:val="24"/>
        </w:rPr>
      </w:pPr>
      <w:r w:rsidRPr="00883399">
        <w:rPr>
          <w:sz w:val="24"/>
        </w:rPr>
        <w:tab/>
        <w:t>(a)</w:t>
      </w:r>
      <w:r w:rsidRPr="00883399">
        <w:rPr>
          <w:sz w:val="24"/>
        </w:rPr>
        <w:tab/>
        <w:t>if the equipment uses flow devices—the requirements relating to flow devices set out in section 1.19K;</w:t>
      </w:r>
    </w:p>
    <w:p w14:paraId="2B179050" w14:textId="77777777" w:rsidR="003331C5" w:rsidRPr="00883399" w:rsidRDefault="003331C5" w:rsidP="003331C5">
      <w:pPr>
        <w:pStyle w:val="paragraph"/>
        <w:rPr>
          <w:sz w:val="24"/>
        </w:rPr>
      </w:pPr>
      <w:r w:rsidRPr="00883399">
        <w:rPr>
          <w:sz w:val="24"/>
        </w:rPr>
        <w:tab/>
        <w:t>(b)</w:t>
      </w:r>
      <w:r w:rsidRPr="00883399">
        <w:rPr>
          <w:sz w:val="24"/>
        </w:rPr>
        <w:tab/>
        <w:t>if the equipment uses flow computers—the requirement relating to flow computers set out in section 1.19L;</w:t>
      </w:r>
    </w:p>
    <w:p w14:paraId="42081A9D" w14:textId="77777777" w:rsidR="003331C5" w:rsidRPr="00883399" w:rsidRDefault="003331C5" w:rsidP="003331C5">
      <w:pPr>
        <w:pStyle w:val="paragraph"/>
        <w:rPr>
          <w:sz w:val="24"/>
        </w:rPr>
      </w:pPr>
      <w:r w:rsidRPr="00883399">
        <w:rPr>
          <w:sz w:val="24"/>
        </w:rPr>
        <w:tab/>
        <w:t>(c)</w:t>
      </w:r>
      <w:r w:rsidRPr="00883399">
        <w:rPr>
          <w:sz w:val="24"/>
        </w:rPr>
        <w:tab/>
        <w:t>if the equipment uses gas chromatographs—the requirements relating to gas chromatographs set out in section 1.19M.</w:t>
      </w:r>
    </w:p>
    <w:p w14:paraId="4BF1D2CD" w14:textId="77777777" w:rsidR="003331C5" w:rsidRPr="00883399" w:rsidRDefault="003331C5" w:rsidP="003331C5">
      <w:pPr>
        <w:pStyle w:val="ActHead5"/>
        <w:rPr>
          <w:sz w:val="28"/>
        </w:rPr>
      </w:pPr>
      <w:bookmarkStart w:id="87" w:name="_Toc455152147"/>
      <w:bookmarkStart w:id="88" w:name="_Toc495652615"/>
      <w:r w:rsidRPr="00883399">
        <w:rPr>
          <w:rStyle w:val="CharSectno"/>
          <w:sz w:val="28"/>
        </w:rPr>
        <w:t>1.19K</w:t>
      </w:r>
      <w:r w:rsidRPr="00883399">
        <w:rPr>
          <w:sz w:val="28"/>
        </w:rPr>
        <w:t xml:space="preserve">  Flow devices—requirements</w:t>
      </w:r>
      <w:bookmarkEnd w:id="87"/>
      <w:bookmarkEnd w:id="88"/>
      <w:r w:rsidRPr="00883399">
        <w:rPr>
          <w:sz w:val="20"/>
        </w:rPr>
        <w:t xml:space="preserve"> </w:t>
      </w:r>
    </w:p>
    <w:p w14:paraId="1730CD2E" w14:textId="77777777" w:rsidR="003331C5" w:rsidRPr="00883399" w:rsidRDefault="003331C5" w:rsidP="003331C5">
      <w:pPr>
        <w:pStyle w:val="subsection"/>
        <w:rPr>
          <w:sz w:val="24"/>
        </w:rPr>
      </w:pPr>
      <w:r w:rsidRPr="00883399">
        <w:rPr>
          <w:sz w:val="24"/>
        </w:rPr>
        <w:tab/>
        <w:t>(1)</w:t>
      </w:r>
      <w:r w:rsidRPr="00883399">
        <w:rPr>
          <w:sz w:val="24"/>
        </w:rPr>
        <w:tab/>
        <w:t>If the measuring equipment has flow devices that use orifice measuring systems, the flow devices must be constructed in a manner that ensures that the maximum uncertainty of the discharge coefficient is not greater than ±1.5%.</w:t>
      </w:r>
    </w:p>
    <w:p w14:paraId="463C14DC" w14:textId="77777777" w:rsidR="003331C5" w:rsidRPr="00883399" w:rsidRDefault="003331C5" w:rsidP="003331C5">
      <w:pPr>
        <w:pStyle w:val="notetext"/>
        <w:rPr>
          <w:sz w:val="20"/>
        </w:rPr>
      </w:pPr>
      <w:r w:rsidRPr="00883399">
        <w:rPr>
          <w:sz w:val="20"/>
        </w:rPr>
        <w:lastRenderedPageBreak/>
        <w:t>Note:</w:t>
      </w:r>
      <w:r w:rsidRPr="00883399">
        <w:rPr>
          <w:sz w:val="20"/>
        </w:rPr>
        <w:tab/>
        <w:t xml:space="preserve">The publication entitled </w:t>
      </w:r>
      <w:r w:rsidRPr="00883399">
        <w:rPr>
          <w:i/>
          <w:sz w:val="20"/>
        </w:rPr>
        <w:t>AGA Report No. 3</w:t>
      </w:r>
      <w:r w:rsidRPr="00883399">
        <w:rPr>
          <w:sz w:val="20"/>
        </w:rPr>
        <w:t xml:space="preserve">, </w:t>
      </w:r>
      <w:r w:rsidRPr="00883399">
        <w:rPr>
          <w:i/>
          <w:sz w:val="20"/>
        </w:rPr>
        <w:t xml:space="preserve">Orifice Metering of Natural Gas and Other Related Hydrocarbon Fluids Part 3: Natural Gas Applications, </w:t>
      </w:r>
      <w:r w:rsidRPr="00883399">
        <w:rPr>
          <w:sz w:val="20"/>
        </w:rPr>
        <w:t>published by the American Gas Association in August 1992, sets out a manner that ensures that the maximum uncertainty of the discharge coefficient is not greater than ±1.5%.</w:t>
      </w:r>
    </w:p>
    <w:p w14:paraId="09F909C7" w14:textId="77777777" w:rsidR="003331C5" w:rsidRPr="00883399" w:rsidRDefault="003331C5" w:rsidP="003331C5">
      <w:pPr>
        <w:pStyle w:val="subsection"/>
        <w:rPr>
          <w:sz w:val="24"/>
        </w:rPr>
      </w:pPr>
      <w:r w:rsidRPr="00883399">
        <w:rPr>
          <w:sz w:val="24"/>
        </w:rPr>
        <w:tab/>
        <w:t>(2)</w:t>
      </w:r>
      <w:r w:rsidRPr="00883399">
        <w:rPr>
          <w:sz w:val="24"/>
        </w:rPr>
        <w:tab/>
        <w:t>If the measuring equipment has flow devices that use turbine measuring systems, the flow devices must be installed in a manner that ensures that the maximum uncertainty of the flow measurement is not greater than ±1.5%.</w:t>
      </w:r>
    </w:p>
    <w:p w14:paraId="31F8C034" w14:textId="77777777" w:rsidR="003331C5" w:rsidRPr="00883399" w:rsidRDefault="003331C5" w:rsidP="003331C5">
      <w:pPr>
        <w:pStyle w:val="notetext"/>
        <w:rPr>
          <w:sz w:val="20"/>
        </w:rPr>
      </w:pPr>
      <w:r w:rsidRPr="00883399">
        <w:rPr>
          <w:sz w:val="20"/>
        </w:rPr>
        <w:t>Note:</w:t>
      </w:r>
      <w:r w:rsidRPr="00883399">
        <w:rPr>
          <w:sz w:val="20"/>
        </w:rPr>
        <w:tab/>
        <w:t xml:space="preserve">The publication entitled </w:t>
      </w:r>
      <w:r w:rsidRPr="00883399">
        <w:rPr>
          <w:i/>
          <w:sz w:val="20"/>
        </w:rPr>
        <w:t>AGA Report No. 8, Compressibility Factor of Natural Gas and Related Hydrocarbon Gases (1994),</w:t>
      </w:r>
      <w:r w:rsidRPr="00883399">
        <w:rPr>
          <w:sz w:val="20"/>
        </w:rPr>
        <w:t xml:space="preserve"> published by the American Gas Association on 1 January 1994, sets out a manner that ensures that the maximum uncertainty of the flow measurement is not greater than ±1.5%.</w:t>
      </w:r>
    </w:p>
    <w:p w14:paraId="2EF26B79" w14:textId="77777777" w:rsidR="003331C5" w:rsidRPr="00883399" w:rsidRDefault="003331C5" w:rsidP="003331C5">
      <w:pPr>
        <w:pStyle w:val="subsection"/>
        <w:rPr>
          <w:sz w:val="24"/>
        </w:rPr>
      </w:pPr>
      <w:r w:rsidRPr="00883399">
        <w:rPr>
          <w:sz w:val="24"/>
        </w:rPr>
        <w:tab/>
        <w:t>(3)</w:t>
      </w:r>
      <w:r w:rsidRPr="00883399">
        <w:rPr>
          <w:sz w:val="24"/>
        </w:rPr>
        <w:tab/>
        <w:t>If the measuring equipment has flow devices that use positive displacement measuring systems, the flow devices must be installed in a manner that ensures that the maximum uncertainty of flow is ±1.5%.</w:t>
      </w:r>
    </w:p>
    <w:p w14:paraId="2511DFF8" w14:textId="77777777" w:rsidR="003331C5" w:rsidRPr="00883399" w:rsidRDefault="003331C5" w:rsidP="003331C5">
      <w:pPr>
        <w:pStyle w:val="notetext"/>
        <w:rPr>
          <w:sz w:val="20"/>
        </w:rPr>
      </w:pPr>
      <w:r w:rsidRPr="00883399">
        <w:rPr>
          <w:sz w:val="20"/>
        </w:rPr>
        <w:t>Note:</w:t>
      </w:r>
      <w:r w:rsidRPr="00883399">
        <w:rPr>
          <w:sz w:val="20"/>
        </w:rPr>
        <w:tab/>
        <w:t xml:space="preserve">The publication entitled </w:t>
      </w:r>
      <w:r w:rsidRPr="00883399">
        <w:rPr>
          <w:i/>
          <w:sz w:val="20"/>
        </w:rPr>
        <w:t>ANSI B109.3—2000, Rotary Type Gas Displacement Meters</w:t>
      </w:r>
      <w:r w:rsidRPr="00883399">
        <w:rPr>
          <w:sz w:val="20"/>
        </w:rPr>
        <w:t>, published by the American Gas Association on 13 April 2000, sets out a manner for installation that ensures that the maximum uncertainty of flow is ±1.5%.</w:t>
      </w:r>
    </w:p>
    <w:p w14:paraId="39C9ECDC" w14:textId="77777777" w:rsidR="003331C5" w:rsidRPr="00883399" w:rsidRDefault="003331C5" w:rsidP="003331C5">
      <w:pPr>
        <w:pStyle w:val="subsection"/>
        <w:rPr>
          <w:sz w:val="24"/>
        </w:rPr>
      </w:pPr>
      <w:r w:rsidRPr="00883399">
        <w:rPr>
          <w:sz w:val="24"/>
        </w:rPr>
        <w:tab/>
        <w:t>(4)</w:t>
      </w:r>
      <w:r w:rsidRPr="00883399">
        <w:rPr>
          <w:sz w:val="24"/>
        </w:rPr>
        <w:tab/>
        <w:t>If the measuring equipment uses any other type of flow device, the maximum uncertainty of flow measurement must not be greater than ±1.5%.</w:t>
      </w:r>
    </w:p>
    <w:p w14:paraId="12907D81" w14:textId="77777777" w:rsidR="003331C5" w:rsidRPr="00883399" w:rsidRDefault="003331C5" w:rsidP="003331C5">
      <w:pPr>
        <w:pStyle w:val="subsection"/>
        <w:rPr>
          <w:sz w:val="24"/>
        </w:rPr>
      </w:pPr>
      <w:r w:rsidRPr="00883399">
        <w:rPr>
          <w:sz w:val="24"/>
        </w:rPr>
        <w:tab/>
        <w:t>(5)</w:t>
      </w:r>
      <w:r w:rsidRPr="00883399">
        <w:rPr>
          <w:sz w:val="24"/>
        </w:rPr>
        <w:tab/>
        <w:t>All flow devices that are used by measuring equipment of a category specified in column 2 of the table in subsection 1.19G(4) must, wherever possible, be calibrated for pressure, differential pressure and temperature in accordance with the requirements specified in column 4 for the category of equipment specified in column 2 for that item. The calibrations must take into account the effects of static pressure and ambient temperature.</w:t>
      </w:r>
    </w:p>
    <w:p w14:paraId="4C2B7F93" w14:textId="77777777" w:rsidR="003331C5" w:rsidRPr="00883399" w:rsidRDefault="003331C5" w:rsidP="003331C5">
      <w:pPr>
        <w:pStyle w:val="ActHead5"/>
        <w:rPr>
          <w:sz w:val="28"/>
        </w:rPr>
      </w:pPr>
      <w:bookmarkStart w:id="89" w:name="_Toc455152148"/>
      <w:bookmarkStart w:id="90" w:name="_Toc495652616"/>
      <w:r w:rsidRPr="00883399">
        <w:rPr>
          <w:rStyle w:val="CharSectno"/>
          <w:sz w:val="28"/>
        </w:rPr>
        <w:t>1.19L</w:t>
      </w:r>
      <w:r w:rsidRPr="00883399">
        <w:rPr>
          <w:sz w:val="28"/>
        </w:rPr>
        <w:t xml:space="preserve">  Flow computers—requirements</w:t>
      </w:r>
      <w:bookmarkEnd w:id="89"/>
      <w:bookmarkEnd w:id="90"/>
    </w:p>
    <w:p w14:paraId="3BCA0FB5" w14:textId="77777777" w:rsidR="003331C5" w:rsidRPr="00883399" w:rsidRDefault="003331C5" w:rsidP="003331C5">
      <w:pPr>
        <w:pStyle w:val="subsection"/>
        <w:rPr>
          <w:sz w:val="24"/>
        </w:rPr>
      </w:pPr>
      <w:r w:rsidRPr="00883399">
        <w:rPr>
          <w:sz w:val="24"/>
        </w:rPr>
        <w:tab/>
      </w:r>
      <w:r w:rsidRPr="00883399">
        <w:rPr>
          <w:sz w:val="24"/>
        </w:rPr>
        <w:tab/>
        <w:t>For paragraph 1.19J(b), the requirement is that the flow computer that is used by the equipment for measuring purposes must record the instantaneous values for all primary measurement inputs and must also record the following outputs:</w:t>
      </w:r>
    </w:p>
    <w:p w14:paraId="51C95C68" w14:textId="77777777" w:rsidR="003331C5" w:rsidRPr="00883399" w:rsidRDefault="003331C5" w:rsidP="003331C5">
      <w:pPr>
        <w:pStyle w:val="paragraph"/>
        <w:rPr>
          <w:sz w:val="24"/>
        </w:rPr>
      </w:pPr>
      <w:r w:rsidRPr="00883399">
        <w:rPr>
          <w:sz w:val="24"/>
        </w:rPr>
        <w:tab/>
        <w:t>(a)</w:t>
      </w:r>
      <w:r w:rsidRPr="00883399">
        <w:rPr>
          <w:sz w:val="24"/>
        </w:rPr>
        <w:tab/>
        <w:t>instantaneous corrected volumetric flow;</w:t>
      </w:r>
    </w:p>
    <w:p w14:paraId="34EAF0D3" w14:textId="77777777" w:rsidR="003331C5" w:rsidRPr="00883399" w:rsidRDefault="003331C5" w:rsidP="003331C5">
      <w:pPr>
        <w:pStyle w:val="paragraph"/>
        <w:rPr>
          <w:sz w:val="24"/>
        </w:rPr>
      </w:pPr>
      <w:r w:rsidRPr="00883399">
        <w:rPr>
          <w:sz w:val="24"/>
        </w:rPr>
        <w:tab/>
        <w:t>(b)</w:t>
      </w:r>
      <w:r w:rsidRPr="00883399">
        <w:rPr>
          <w:sz w:val="24"/>
        </w:rPr>
        <w:tab/>
        <w:t>cumulative corrected volumetric flow;</w:t>
      </w:r>
    </w:p>
    <w:p w14:paraId="3425AFD6" w14:textId="77777777" w:rsidR="003331C5" w:rsidRPr="00883399" w:rsidRDefault="003331C5" w:rsidP="003331C5">
      <w:pPr>
        <w:pStyle w:val="paragraph"/>
        <w:rPr>
          <w:sz w:val="24"/>
        </w:rPr>
      </w:pPr>
      <w:r w:rsidRPr="00883399">
        <w:rPr>
          <w:sz w:val="24"/>
        </w:rPr>
        <w:tab/>
        <w:t>(c)</w:t>
      </w:r>
      <w:r w:rsidRPr="00883399">
        <w:rPr>
          <w:sz w:val="24"/>
        </w:rPr>
        <w:tab/>
        <w:t>for turbine and positive displacement metering systems—instantaneous uncorrected volumetric flow;</w:t>
      </w:r>
    </w:p>
    <w:p w14:paraId="24D76EC6" w14:textId="77777777" w:rsidR="003331C5" w:rsidRPr="00883399" w:rsidRDefault="003331C5" w:rsidP="003331C5">
      <w:pPr>
        <w:pStyle w:val="paragraph"/>
        <w:rPr>
          <w:sz w:val="24"/>
        </w:rPr>
      </w:pPr>
      <w:r w:rsidRPr="00883399">
        <w:rPr>
          <w:sz w:val="24"/>
        </w:rPr>
        <w:lastRenderedPageBreak/>
        <w:tab/>
        <w:t>(d)</w:t>
      </w:r>
      <w:r w:rsidRPr="00883399">
        <w:rPr>
          <w:sz w:val="24"/>
        </w:rPr>
        <w:tab/>
        <w:t>for turbine and positive displacement metering systems—cumulative uncorrected volumetric flow;</w:t>
      </w:r>
    </w:p>
    <w:p w14:paraId="77C16716" w14:textId="77777777" w:rsidR="003331C5" w:rsidRPr="00883399" w:rsidRDefault="003331C5" w:rsidP="003331C5">
      <w:pPr>
        <w:pStyle w:val="paragraph"/>
        <w:rPr>
          <w:sz w:val="24"/>
        </w:rPr>
      </w:pPr>
      <w:r w:rsidRPr="00883399">
        <w:rPr>
          <w:sz w:val="24"/>
        </w:rPr>
        <w:tab/>
        <w:t>(e)</w:t>
      </w:r>
      <w:r w:rsidRPr="00883399">
        <w:rPr>
          <w:sz w:val="24"/>
        </w:rPr>
        <w:tab/>
        <w:t>super</w:t>
      </w:r>
      <w:r w:rsidRPr="00883399">
        <w:rPr>
          <w:sz w:val="24"/>
        </w:rPr>
        <w:noBreakHyphen/>
        <w:t>compressibility factor.</w:t>
      </w:r>
    </w:p>
    <w:p w14:paraId="519CA9EE" w14:textId="77777777" w:rsidR="003331C5" w:rsidRPr="00883399" w:rsidRDefault="003331C5" w:rsidP="003331C5">
      <w:pPr>
        <w:pStyle w:val="ActHead5"/>
        <w:rPr>
          <w:sz w:val="20"/>
        </w:rPr>
      </w:pPr>
      <w:bookmarkStart w:id="91" w:name="_Toc455152149"/>
      <w:bookmarkStart w:id="92" w:name="_Toc495652617"/>
      <w:r w:rsidRPr="00883399">
        <w:rPr>
          <w:rStyle w:val="CharSectno"/>
          <w:sz w:val="28"/>
        </w:rPr>
        <w:t>1.19M</w:t>
      </w:r>
      <w:r w:rsidRPr="00883399">
        <w:rPr>
          <w:sz w:val="28"/>
        </w:rPr>
        <w:t xml:space="preserve">  Gas chromatographs</w:t>
      </w:r>
      <w:bookmarkEnd w:id="91"/>
      <w:bookmarkEnd w:id="92"/>
    </w:p>
    <w:p w14:paraId="023001E1" w14:textId="77777777" w:rsidR="003331C5" w:rsidRPr="00883399" w:rsidRDefault="003331C5" w:rsidP="003331C5">
      <w:pPr>
        <w:pStyle w:val="subsection"/>
        <w:rPr>
          <w:sz w:val="24"/>
        </w:rPr>
      </w:pPr>
      <w:r w:rsidRPr="00883399">
        <w:rPr>
          <w:sz w:val="24"/>
        </w:rPr>
        <w:tab/>
      </w:r>
      <w:r w:rsidRPr="00883399">
        <w:rPr>
          <w:sz w:val="24"/>
        </w:rPr>
        <w:tab/>
        <w:t>For paragraph 1.19J(c), the requirements are that gas chromatographs used by the measuring equipment must:</w:t>
      </w:r>
    </w:p>
    <w:p w14:paraId="06C4D63B" w14:textId="77777777" w:rsidR="003331C5" w:rsidRPr="00883399" w:rsidRDefault="003331C5" w:rsidP="003331C5">
      <w:pPr>
        <w:pStyle w:val="paragraph"/>
        <w:rPr>
          <w:sz w:val="24"/>
        </w:rPr>
      </w:pPr>
      <w:r w:rsidRPr="00883399">
        <w:rPr>
          <w:sz w:val="24"/>
        </w:rPr>
        <w:tab/>
        <w:t>(a)</w:t>
      </w:r>
      <w:r w:rsidRPr="00883399">
        <w:rPr>
          <w:sz w:val="24"/>
        </w:rPr>
        <w:tab/>
        <w:t>be factory tested and calibrated using a measurement standard produced by gravimetric methods and traceable to Australian legal units of measurement; and</w:t>
      </w:r>
    </w:p>
    <w:p w14:paraId="485B3F78" w14:textId="77777777" w:rsidR="003331C5" w:rsidRPr="00883399" w:rsidRDefault="003331C5" w:rsidP="003331C5">
      <w:pPr>
        <w:pStyle w:val="paragraph"/>
        <w:rPr>
          <w:sz w:val="24"/>
        </w:rPr>
      </w:pPr>
      <w:r w:rsidRPr="00883399">
        <w:rPr>
          <w:sz w:val="24"/>
        </w:rPr>
        <w:tab/>
        <w:t>(b)</w:t>
      </w:r>
      <w:r w:rsidRPr="00883399">
        <w:rPr>
          <w:sz w:val="24"/>
        </w:rPr>
        <w:tab/>
        <w:t>perform gas composition analysis with an accuracy of ±0.25% for calculation of relative density; and</w:t>
      </w:r>
    </w:p>
    <w:p w14:paraId="6F9ECB9A" w14:textId="77777777" w:rsidR="003331C5" w:rsidRPr="00883399" w:rsidRDefault="003331C5" w:rsidP="003331C5">
      <w:pPr>
        <w:pStyle w:val="paragraph"/>
        <w:rPr>
          <w:sz w:val="24"/>
        </w:rPr>
      </w:pPr>
      <w:r w:rsidRPr="00883399">
        <w:rPr>
          <w:sz w:val="24"/>
        </w:rPr>
        <w:tab/>
        <w:t>(c)</w:t>
      </w:r>
      <w:r w:rsidRPr="00883399">
        <w:rPr>
          <w:sz w:val="24"/>
        </w:rPr>
        <w:tab/>
        <w:t>include a mechanism for re</w:t>
      </w:r>
      <w:r w:rsidRPr="00883399">
        <w:rPr>
          <w:sz w:val="24"/>
        </w:rPr>
        <w:noBreakHyphen/>
        <w:t>calibration against a certified reference gas.</w:t>
      </w:r>
    </w:p>
    <w:p w14:paraId="39F5CEE1" w14:textId="1A3BB40E" w:rsidR="00872C03" w:rsidRPr="00883399" w:rsidRDefault="00872C03" w:rsidP="00872C03">
      <w:pPr>
        <w:pStyle w:val="ActHead2"/>
        <w:pageBreakBefore/>
        <w:rPr>
          <w:sz w:val="36"/>
        </w:rPr>
      </w:pPr>
      <w:bookmarkStart w:id="93" w:name="_Toc495652618"/>
      <w:r w:rsidRPr="00883399">
        <w:rPr>
          <w:rStyle w:val="CharPartNo"/>
          <w:sz w:val="36"/>
        </w:rPr>
        <w:lastRenderedPageBreak/>
        <w:t>Part 1.3</w:t>
      </w:r>
      <w:r w:rsidRPr="00883399">
        <w:rPr>
          <w:sz w:val="36"/>
        </w:rPr>
        <w:t>—</w:t>
      </w:r>
      <w:r w:rsidRPr="00883399">
        <w:rPr>
          <w:rStyle w:val="CharPartText"/>
          <w:sz w:val="36"/>
        </w:rPr>
        <w:t>Method 4—Direct measurement of emissions</w:t>
      </w:r>
      <w:bookmarkEnd w:id="64"/>
      <w:bookmarkEnd w:id="93"/>
    </w:p>
    <w:p w14:paraId="260E5200" w14:textId="314561EA" w:rsidR="00872C03" w:rsidRPr="00883399" w:rsidRDefault="00872C03" w:rsidP="00872C03">
      <w:pPr>
        <w:pStyle w:val="ActHead3"/>
        <w:rPr>
          <w:sz w:val="32"/>
        </w:rPr>
      </w:pPr>
      <w:bookmarkStart w:id="94" w:name="_Toc423516707"/>
      <w:bookmarkStart w:id="95" w:name="_Toc495652619"/>
      <w:r w:rsidRPr="00883399">
        <w:rPr>
          <w:rStyle w:val="CharDivNo"/>
          <w:sz w:val="32"/>
        </w:rPr>
        <w:t>Division 1.3.1</w:t>
      </w:r>
      <w:r w:rsidRPr="00883399">
        <w:rPr>
          <w:sz w:val="32"/>
        </w:rPr>
        <w:t>—</w:t>
      </w:r>
      <w:r w:rsidRPr="00883399">
        <w:rPr>
          <w:rStyle w:val="CharDivText"/>
          <w:sz w:val="32"/>
        </w:rPr>
        <w:t>Preliminary</w:t>
      </w:r>
      <w:bookmarkEnd w:id="94"/>
      <w:bookmarkEnd w:id="95"/>
    </w:p>
    <w:p w14:paraId="0E6C8FB0" w14:textId="30CFE678" w:rsidR="00872C03" w:rsidRPr="00883399" w:rsidRDefault="00872C03" w:rsidP="00872C03">
      <w:pPr>
        <w:pStyle w:val="ActHead5"/>
        <w:rPr>
          <w:sz w:val="28"/>
        </w:rPr>
      </w:pPr>
      <w:bookmarkStart w:id="96" w:name="_Toc423516708"/>
      <w:bookmarkStart w:id="97" w:name="_Toc495652620"/>
      <w:r w:rsidRPr="00883399">
        <w:rPr>
          <w:rStyle w:val="CharSectno"/>
          <w:sz w:val="28"/>
        </w:rPr>
        <w:t>1.20</w:t>
      </w:r>
      <w:r w:rsidRPr="00883399">
        <w:rPr>
          <w:sz w:val="28"/>
        </w:rPr>
        <w:t xml:space="preserve">  Overview</w:t>
      </w:r>
      <w:bookmarkEnd w:id="96"/>
      <w:bookmarkEnd w:id="97"/>
    </w:p>
    <w:p w14:paraId="75D10390" w14:textId="77777777" w:rsidR="00872C03" w:rsidRPr="00883399" w:rsidRDefault="00872C03" w:rsidP="00872C03">
      <w:pPr>
        <w:pStyle w:val="subsection"/>
      </w:pPr>
    </w:p>
    <w:p w14:paraId="6E82A717" w14:textId="77777777" w:rsidR="00872C03" w:rsidRPr="00883399" w:rsidRDefault="00872C03" w:rsidP="00872C03">
      <w:pPr>
        <w:spacing w:before="240" w:line="312" w:lineRule="auto"/>
        <w:rPr>
          <w:rFonts w:ascii="Arial" w:hAnsi="Arial" w:cs="Arial"/>
          <w:color w:val="000000"/>
          <w:sz w:val="22"/>
          <w:szCs w:val="22"/>
        </w:rPr>
      </w:pPr>
      <w:r w:rsidRPr="00883399">
        <w:rPr>
          <w:rFonts w:ascii="Arial" w:hAnsi="Arial" w:cs="Arial"/>
          <w:color w:val="000000"/>
          <w:sz w:val="22"/>
          <w:szCs w:val="22"/>
        </w:rPr>
        <w:t>Method 4 provides for direct</w:t>
      </w:r>
      <w:r w:rsidRPr="00883399">
        <w:rPr>
          <w:rFonts w:ascii="Arial" w:hAnsi="Arial" w:cs="Arial"/>
          <w:sz w:val="22"/>
          <w:szCs w:val="22"/>
        </w:rPr>
        <w:t xml:space="preserve"> measurement </w:t>
      </w:r>
      <w:r w:rsidRPr="00883399">
        <w:rPr>
          <w:rFonts w:ascii="Arial" w:hAnsi="Arial" w:cs="Arial"/>
          <w:color w:val="000000"/>
          <w:sz w:val="22"/>
          <w:szCs w:val="22"/>
        </w:rPr>
        <w:t xml:space="preserve">of emissions of greenhouse gases.  Such </w:t>
      </w:r>
      <w:r w:rsidRPr="00883399">
        <w:rPr>
          <w:rFonts w:ascii="Arial" w:hAnsi="Arial" w:cs="Arial"/>
          <w:sz w:val="22"/>
          <w:szCs w:val="22"/>
        </w:rPr>
        <w:t>measurement systems</w:t>
      </w:r>
      <w:r w:rsidRPr="00883399">
        <w:rPr>
          <w:rFonts w:ascii="Arial" w:hAnsi="Arial" w:cs="Arial"/>
          <w:color w:val="000000"/>
          <w:sz w:val="22"/>
          <w:szCs w:val="22"/>
        </w:rPr>
        <w:t xml:space="preserve"> can be established, for example, in flues, stacks, pipes or ducts and may be applicable in a number of industries, although not all. </w:t>
      </w:r>
    </w:p>
    <w:p w14:paraId="25512042" w14:textId="77777777" w:rsidR="00872C03" w:rsidRPr="00883399" w:rsidRDefault="00872C03" w:rsidP="00872C03">
      <w:pPr>
        <w:spacing w:before="240" w:line="312" w:lineRule="auto"/>
        <w:rPr>
          <w:rFonts w:ascii="Arial" w:hAnsi="Arial" w:cs="Arial"/>
          <w:color w:val="000000"/>
          <w:sz w:val="22"/>
          <w:szCs w:val="22"/>
        </w:rPr>
      </w:pPr>
      <w:r w:rsidRPr="00883399">
        <w:rPr>
          <w:rFonts w:ascii="Arial" w:hAnsi="Arial" w:cs="Arial"/>
          <w:color w:val="000000"/>
          <w:sz w:val="22"/>
          <w:szCs w:val="22"/>
        </w:rPr>
        <w:t xml:space="preserve">Method 4 establishes a framework for the design, installation, performance and maintenance of direct emissions measurement systems for stationary emission sources and a guide to measurement, recording, and standardised reporting for estimating greenhouse gas emissions. </w:t>
      </w:r>
    </w:p>
    <w:p w14:paraId="344F440B" w14:textId="77777777" w:rsidR="00872C03" w:rsidRPr="00883399" w:rsidRDefault="00872C03" w:rsidP="00872C03">
      <w:pPr>
        <w:spacing w:before="240" w:line="312" w:lineRule="auto"/>
        <w:rPr>
          <w:rFonts w:ascii="Arial" w:hAnsi="Arial" w:cs="Arial"/>
          <w:sz w:val="22"/>
          <w:szCs w:val="22"/>
        </w:rPr>
      </w:pPr>
      <w:r w:rsidRPr="00883399">
        <w:rPr>
          <w:rFonts w:ascii="Arial" w:hAnsi="Arial" w:cs="Arial"/>
          <w:sz w:val="22"/>
          <w:szCs w:val="22"/>
        </w:rPr>
        <w:t xml:space="preserve">Two systems for direct emissions monitoring are available including: </w:t>
      </w:r>
    </w:p>
    <w:p w14:paraId="5FF21916" w14:textId="77777777" w:rsidR="00872C03" w:rsidRPr="00883399" w:rsidRDefault="00872C03" w:rsidP="00872C03">
      <w:pPr>
        <w:tabs>
          <w:tab w:val="right" w:pos="567"/>
        </w:tabs>
        <w:autoSpaceDE w:val="0"/>
        <w:autoSpaceDN w:val="0"/>
        <w:adjustRightInd w:val="0"/>
        <w:spacing w:before="240" w:line="312" w:lineRule="auto"/>
        <w:rPr>
          <w:rFonts w:ascii="Arial" w:hAnsi="Arial" w:cs="Arial"/>
          <w:sz w:val="22"/>
          <w:szCs w:val="22"/>
        </w:rPr>
      </w:pPr>
      <w:r w:rsidRPr="00883399">
        <w:rPr>
          <w:rFonts w:ascii="Arial" w:hAnsi="Arial" w:cs="Arial"/>
          <w:sz w:val="22"/>
          <w:szCs w:val="22"/>
        </w:rPr>
        <w:tab/>
        <w:t xml:space="preserve">(a) </w:t>
      </w:r>
      <w:r w:rsidRPr="00883399">
        <w:rPr>
          <w:rFonts w:ascii="Arial" w:hAnsi="Arial" w:cs="Arial"/>
          <w:sz w:val="22"/>
          <w:szCs w:val="22"/>
        </w:rPr>
        <w:tab/>
        <w:t>Continuous emissions monitoring (</w:t>
      </w:r>
      <w:r w:rsidRPr="00883399">
        <w:rPr>
          <w:rFonts w:ascii="Arial" w:hAnsi="Arial" w:cs="Arial"/>
          <w:b/>
          <w:bCs/>
          <w:i/>
          <w:iCs/>
          <w:sz w:val="22"/>
          <w:szCs w:val="22"/>
        </w:rPr>
        <w:t>CEM</w:t>
      </w:r>
      <w:r w:rsidRPr="00883399">
        <w:rPr>
          <w:rFonts w:ascii="Arial" w:hAnsi="Arial" w:cs="Arial"/>
          <w:sz w:val="22"/>
          <w:szCs w:val="22"/>
        </w:rPr>
        <w:t>);</w:t>
      </w:r>
    </w:p>
    <w:p w14:paraId="65B93895" w14:textId="77777777" w:rsidR="00872C03" w:rsidRPr="00883399" w:rsidRDefault="00872C03" w:rsidP="00872C03">
      <w:pPr>
        <w:tabs>
          <w:tab w:val="right" w:pos="567"/>
        </w:tabs>
        <w:autoSpaceDE w:val="0"/>
        <w:autoSpaceDN w:val="0"/>
        <w:adjustRightInd w:val="0"/>
        <w:spacing w:before="240" w:line="312" w:lineRule="auto"/>
        <w:rPr>
          <w:rFonts w:ascii="Arial" w:hAnsi="Arial" w:cs="Arial"/>
          <w:b/>
          <w:bCs/>
          <w:sz w:val="22"/>
          <w:szCs w:val="22"/>
        </w:rPr>
      </w:pPr>
      <w:r w:rsidRPr="00883399">
        <w:rPr>
          <w:rFonts w:ascii="Arial" w:hAnsi="Arial" w:cs="Arial"/>
          <w:sz w:val="22"/>
          <w:szCs w:val="22"/>
        </w:rPr>
        <w:tab/>
        <w:t>(b)</w:t>
      </w:r>
      <w:r w:rsidRPr="00883399">
        <w:rPr>
          <w:rFonts w:ascii="Arial" w:hAnsi="Arial" w:cs="Arial"/>
          <w:sz w:val="22"/>
          <w:szCs w:val="22"/>
        </w:rPr>
        <w:tab/>
        <w:t xml:space="preserve"> Periodic emissions monitoring (</w:t>
      </w:r>
      <w:r w:rsidRPr="00883399">
        <w:rPr>
          <w:rFonts w:ascii="Arial" w:hAnsi="Arial" w:cs="Arial"/>
          <w:b/>
          <w:bCs/>
          <w:i/>
          <w:iCs/>
          <w:sz w:val="22"/>
          <w:szCs w:val="22"/>
        </w:rPr>
        <w:t>PEM</w:t>
      </w:r>
      <w:r w:rsidRPr="00883399">
        <w:rPr>
          <w:rFonts w:ascii="Arial" w:hAnsi="Arial" w:cs="Arial"/>
          <w:sz w:val="22"/>
          <w:szCs w:val="22"/>
        </w:rPr>
        <w:t>).</w:t>
      </w:r>
    </w:p>
    <w:p w14:paraId="0DBC92EF" w14:textId="77777777" w:rsidR="00872C03" w:rsidRPr="00883399" w:rsidRDefault="00872C03" w:rsidP="00872C03">
      <w:pPr>
        <w:spacing w:before="240" w:line="312" w:lineRule="auto"/>
        <w:rPr>
          <w:rFonts w:ascii="Arial" w:hAnsi="Arial" w:cs="Arial"/>
          <w:color w:val="000000"/>
          <w:sz w:val="22"/>
          <w:szCs w:val="22"/>
        </w:rPr>
      </w:pPr>
      <w:r w:rsidRPr="00883399">
        <w:rPr>
          <w:rFonts w:ascii="Arial" w:hAnsi="Arial" w:cs="Arial"/>
          <w:color w:val="000000"/>
          <w:sz w:val="22"/>
          <w:szCs w:val="22"/>
        </w:rPr>
        <w:t>The use of Method 4 by corporations will likely depend on a number of factors including the type of emissions process, the structures of the facility and any current direct measurement systems that corporations may have in place for measuring pollutants for other purposes.</w:t>
      </w:r>
    </w:p>
    <w:p w14:paraId="165D9665" w14:textId="77777777" w:rsidR="00872C03" w:rsidRPr="00883399" w:rsidRDefault="00872C03" w:rsidP="00872C03">
      <w:pPr>
        <w:spacing w:before="240" w:line="312" w:lineRule="auto"/>
        <w:rPr>
          <w:rFonts w:ascii="Arial" w:hAnsi="Arial" w:cs="Arial"/>
          <w:color w:val="000000"/>
          <w:sz w:val="22"/>
          <w:szCs w:val="22"/>
        </w:rPr>
      </w:pPr>
      <w:r w:rsidRPr="00883399">
        <w:rPr>
          <w:rFonts w:ascii="Arial" w:hAnsi="Arial" w:cs="Arial"/>
          <w:color w:val="000000"/>
          <w:sz w:val="22"/>
          <w:szCs w:val="22"/>
        </w:rPr>
        <w:t>The general framework for Method 4 draws on the following publications:</w:t>
      </w:r>
    </w:p>
    <w:p w14:paraId="1F5F63AE" w14:textId="77777777" w:rsidR="00872C03" w:rsidRPr="00883399" w:rsidRDefault="00872C03" w:rsidP="00872C03">
      <w:pPr>
        <w:numPr>
          <w:ilvl w:val="0"/>
          <w:numId w:val="29"/>
        </w:numPr>
        <w:spacing w:before="240" w:line="312" w:lineRule="auto"/>
        <w:rPr>
          <w:rFonts w:ascii="Arial" w:hAnsi="Arial" w:cs="Arial"/>
          <w:color w:val="000000"/>
          <w:sz w:val="22"/>
          <w:szCs w:val="22"/>
        </w:rPr>
      </w:pPr>
      <w:r w:rsidRPr="00883399">
        <w:rPr>
          <w:rFonts w:ascii="Arial" w:hAnsi="Arial" w:cs="Arial"/>
          <w:color w:val="000000"/>
          <w:sz w:val="22"/>
          <w:szCs w:val="22"/>
        </w:rPr>
        <w:t xml:space="preserve">U.S. Environmental Protection Agency. 2003. Code of Federal Regulations: Standards of Performance for New Stationary Sources. Appendix A – </w:t>
      </w:r>
      <w:r w:rsidRPr="00883399">
        <w:rPr>
          <w:rFonts w:ascii="Arial" w:hAnsi="Arial" w:cs="Arial"/>
          <w:i/>
          <w:color w:val="000000"/>
          <w:sz w:val="22"/>
          <w:szCs w:val="22"/>
        </w:rPr>
        <w:t>Test Methods</w:t>
      </w:r>
      <w:r w:rsidRPr="00883399">
        <w:rPr>
          <w:rFonts w:ascii="Arial" w:hAnsi="Arial" w:cs="Arial"/>
          <w:color w:val="000000"/>
          <w:sz w:val="22"/>
          <w:szCs w:val="22"/>
        </w:rPr>
        <w:t>. 40 CFR 60 Appendix A. Washington, D.C. These methods can be obtained from: http://www.epa.gov/ttn/emc/promgate.html</w:t>
      </w:r>
    </w:p>
    <w:p w14:paraId="297FCC86" w14:textId="77777777" w:rsidR="00872C03" w:rsidRPr="00883399" w:rsidRDefault="00872C03" w:rsidP="00872C03">
      <w:pPr>
        <w:numPr>
          <w:ilvl w:val="0"/>
          <w:numId w:val="29"/>
        </w:numPr>
        <w:tabs>
          <w:tab w:val="num" w:pos="1307"/>
        </w:tabs>
        <w:spacing w:before="240" w:line="312" w:lineRule="auto"/>
        <w:rPr>
          <w:rFonts w:ascii="Arial" w:hAnsi="Arial" w:cs="Arial"/>
          <w:color w:val="000000"/>
          <w:sz w:val="22"/>
          <w:szCs w:val="22"/>
        </w:rPr>
      </w:pPr>
      <w:r w:rsidRPr="00883399">
        <w:rPr>
          <w:rFonts w:ascii="Arial" w:hAnsi="Arial" w:cs="Arial"/>
          <w:color w:val="000000"/>
          <w:sz w:val="22"/>
          <w:szCs w:val="22"/>
        </w:rPr>
        <w:t xml:space="preserve">The Commission of the European Communities, Commission Decision establishing guidelines for the monitoring and reporting of greenhouse gas emissions pursuant to Directive 2003/87/EC of the European Parliament and </w:t>
      </w:r>
      <w:r w:rsidRPr="00883399">
        <w:rPr>
          <w:rFonts w:ascii="Arial" w:hAnsi="Arial" w:cs="Arial"/>
          <w:color w:val="000000"/>
          <w:sz w:val="22"/>
          <w:szCs w:val="22"/>
        </w:rPr>
        <w:lastRenderedPageBreak/>
        <w:t>of the Council. Brussels, 2006. This document can be obtained from: http://ec.europa.eu/index_en.htm</w:t>
      </w:r>
    </w:p>
    <w:p w14:paraId="26D60101" w14:textId="77777777" w:rsidR="00872C03" w:rsidRPr="00883399" w:rsidRDefault="00872C03" w:rsidP="00872C03">
      <w:pPr>
        <w:numPr>
          <w:ilvl w:val="0"/>
          <w:numId w:val="29"/>
        </w:numPr>
        <w:tabs>
          <w:tab w:val="num" w:pos="1307"/>
        </w:tabs>
        <w:spacing w:before="240" w:line="312" w:lineRule="auto"/>
        <w:rPr>
          <w:rFonts w:ascii="Arial" w:hAnsi="Arial" w:cs="Arial"/>
          <w:color w:val="000000"/>
          <w:sz w:val="22"/>
          <w:szCs w:val="22"/>
        </w:rPr>
      </w:pPr>
      <w:r w:rsidRPr="00883399">
        <w:rPr>
          <w:rFonts w:ascii="Arial" w:hAnsi="Arial" w:cs="Arial"/>
          <w:color w:val="000000"/>
          <w:sz w:val="22"/>
          <w:szCs w:val="22"/>
        </w:rPr>
        <w:t>The Environmental Protection Agency, Load Calculation Protocol for use by holders of NSW environment protection licenses when calculating assessable pollutant loads. Department of Environment and Conservation (NSW), February 2005. This document can be obtained from: http://www.environment.nsw.gov.au/licensing/lblprotocol/</w:t>
      </w:r>
    </w:p>
    <w:p w14:paraId="7AF15269" w14:textId="77777777" w:rsidR="00872C03" w:rsidRPr="00883399" w:rsidRDefault="00872C03" w:rsidP="00872C03">
      <w:pPr>
        <w:numPr>
          <w:ilvl w:val="0"/>
          <w:numId w:val="29"/>
        </w:numPr>
        <w:tabs>
          <w:tab w:val="num" w:pos="1307"/>
        </w:tabs>
        <w:spacing w:before="240" w:line="312" w:lineRule="auto"/>
        <w:rPr>
          <w:rFonts w:ascii="Arial" w:hAnsi="Arial" w:cs="Arial"/>
          <w:color w:val="000000"/>
          <w:sz w:val="22"/>
          <w:szCs w:val="22"/>
        </w:rPr>
      </w:pPr>
      <w:r w:rsidRPr="00883399">
        <w:rPr>
          <w:rFonts w:ascii="Arial" w:hAnsi="Arial" w:cs="Arial"/>
          <w:color w:val="000000"/>
          <w:sz w:val="22"/>
          <w:szCs w:val="22"/>
        </w:rPr>
        <w:t>Department of Environment and Heritage, National Pollutant Inventory – Emission Estimation Manual for Fossil Fuel Electric Power Generation, Version 2.4, March 2005. This document can be obtained from: http://www.npi.gov.au/</w:t>
      </w:r>
    </w:p>
    <w:p w14:paraId="16F37830" w14:textId="77777777" w:rsidR="00872C03" w:rsidRPr="00883399" w:rsidRDefault="00872C03" w:rsidP="00872C03">
      <w:pPr>
        <w:numPr>
          <w:ilvl w:val="0"/>
          <w:numId w:val="29"/>
        </w:numPr>
        <w:spacing w:before="240" w:line="312" w:lineRule="auto"/>
        <w:rPr>
          <w:rFonts w:ascii="Arial" w:hAnsi="Arial" w:cs="Arial"/>
          <w:color w:val="000000"/>
          <w:sz w:val="22"/>
          <w:szCs w:val="22"/>
        </w:rPr>
      </w:pPr>
      <w:r w:rsidRPr="00883399">
        <w:rPr>
          <w:rFonts w:ascii="Arial" w:hAnsi="Arial" w:cs="Arial"/>
          <w:color w:val="000000"/>
          <w:sz w:val="22"/>
          <w:szCs w:val="22"/>
        </w:rPr>
        <w:t>West Australian Department of Environment and Conservation, Department of Environment and Conservation Continuous Emissions Monitoring System (CEMS) Code for Stationary Source Air Emissions, October 2006. This document can be obtained from http://www.dec.wa.gov.au/</w:t>
      </w:r>
    </w:p>
    <w:p w14:paraId="15568E99" w14:textId="77777777" w:rsidR="00872C03" w:rsidRPr="00883399" w:rsidRDefault="00872C03" w:rsidP="00872C03">
      <w:pPr>
        <w:pStyle w:val="subsection"/>
      </w:pPr>
    </w:p>
    <w:p w14:paraId="34A95029" w14:textId="77777777" w:rsidR="00872C03" w:rsidRPr="00883399" w:rsidRDefault="00872C03" w:rsidP="00872C03">
      <w:pPr>
        <w:pStyle w:val="subsection"/>
        <w:rPr>
          <w:sz w:val="24"/>
        </w:rPr>
      </w:pPr>
      <w:r w:rsidRPr="00883399">
        <w:rPr>
          <w:sz w:val="24"/>
        </w:rPr>
        <w:tab/>
        <w:t>(1)</w:t>
      </w:r>
      <w:r w:rsidRPr="00883399">
        <w:rPr>
          <w:sz w:val="24"/>
        </w:rPr>
        <w:tab/>
        <w:t>This Chapter provides for method 4 for a source.</w:t>
      </w:r>
    </w:p>
    <w:p w14:paraId="5E7500CC" w14:textId="77777777" w:rsidR="00872C03" w:rsidRPr="00883399" w:rsidRDefault="00872C03" w:rsidP="00872C03">
      <w:pPr>
        <w:pStyle w:val="notetext"/>
        <w:rPr>
          <w:sz w:val="20"/>
        </w:rPr>
      </w:pPr>
      <w:r w:rsidRPr="00883399">
        <w:rPr>
          <w:sz w:val="20"/>
        </w:rPr>
        <w:t>Note:</w:t>
      </w:r>
      <w:r w:rsidRPr="00883399">
        <w:rPr>
          <w:sz w:val="20"/>
        </w:rPr>
        <w:tab/>
        <w:t>Method 4 as provided for in this Part applies to a source as indicated in the Chapter, Part, Division or Subdivision dealing with the source.</w:t>
      </w:r>
    </w:p>
    <w:p w14:paraId="49AC6C06" w14:textId="77777777" w:rsidR="00872C03" w:rsidRPr="00883399" w:rsidRDefault="00872C03" w:rsidP="00872C03">
      <w:pPr>
        <w:pStyle w:val="subsection"/>
        <w:rPr>
          <w:sz w:val="24"/>
        </w:rPr>
      </w:pPr>
      <w:r w:rsidRPr="00883399">
        <w:rPr>
          <w:sz w:val="24"/>
        </w:rPr>
        <w:tab/>
        <w:t>(2)</w:t>
      </w:r>
      <w:r w:rsidRPr="00883399">
        <w:rPr>
          <w:sz w:val="24"/>
        </w:rPr>
        <w:tab/>
        <w:t>Method 4 requires the direct measurement of emissions released from the source from the operation of a facility during a year by monitoring the gas stream at a site within part of the area (for example, a duct or stack) occupied for the operation of the facility.</w:t>
      </w:r>
    </w:p>
    <w:p w14:paraId="76B8FAD1" w14:textId="77777777" w:rsidR="00872C03" w:rsidRPr="00883399" w:rsidRDefault="00872C03" w:rsidP="00872C03">
      <w:pPr>
        <w:pStyle w:val="subsection"/>
        <w:rPr>
          <w:sz w:val="24"/>
        </w:rPr>
      </w:pPr>
      <w:r w:rsidRPr="00883399">
        <w:rPr>
          <w:sz w:val="24"/>
        </w:rPr>
        <w:tab/>
        <w:t>(3)</w:t>
      </w:r>
      <w:r w:rsidRPr="00883399">
        <w:rPr>
          <w:sz w:val="24"/>
        </w:rPr>
        <w:tab/>
        <w:t>Method 4 consists of the following:</w:t>
      </w:r>
    </w:p>
    <w:p w14:paraId="317B1F8F" w14:textId="77777777" w:rsidR="00872C03" w:rsidRPr="00883399" w:rsidRDefault="00872C03" w:rsidP="00872C03">
      <w:pPr>
        <w:pStyle w:val="paragraph"/>
        <w:rPr>
          <w:sz w:val="24"/>
        </w:rPr>
      </w:pPr>
      <w:r w:rsidRPr="00883399">
        <w:rPr>
          <w:sz w:val="24"/>
        </w:rPr>
        <w:tab/>
        <w:t>(a)</w:t>
      </w:r>
      <w:r w:rsidRPr="00883399">
        <w:rPr>
          <w:sz w:val="24"/>
        </w:rPr>
        <w:tab/>
        <w:t>method 4 (CEM) as specified in section 1.21 that requires the measurement of emissions using continuous emissions monitoring (</w:t>
      </w:r>
      <w:r w:rsidRPr="00883399">
        <w:rPr>
          <w:b/>
          <w:i/>
          <w:sz w:val="24"/>
        </w:rPr>
        <w:t>CEM</w:t>
      </w:r>
      <w:r w:rsidRPr="00883399">
        <w:rPr>
          <w:sz w:val="24"/>
        </w:rPr>
        <w:t>);</w:t>
      </w:r>
    </w:p>
    <w:p w14:paraId="5B767FB3" w14:textId="77777777" w:rsidR="00872C03" w:rsidRPr="00883399" w:rsidRDefault="00872C03" w:rsidP="00872C03">
      <w:pPr>
        <w:pStyle w:val="paragraph"/>
        <w:rPr>
          <w:sz w:val="24"/>
        </w:rPr>
      </w:pPr>
      <w:r w:rsidRPr="00883399">
        <w:rPr>
          <w:sz w:val="24"/>
        </w:rPr>
        <w:tab/>
        <w:t>(b)</w:t>
      </w:r>
      <w:r w:rsidRPr="00883399">
        <w:rPr>
          <w:sz w:val="24"/>
        </w:rPr>
        <w:tab/>
        <w:t>method 4 (PEM) as specified in section 1.27 that requires the measurement of emissions using periodic emissions monitoring (</w:t>
      </w:r>
      <w:r w:rsidRPr="00883399">
        <w:rPr>
          <w:b/>
          <w:i/>
          <w:sz w:val="24"/>
        </w:rPr>
        <w:t>PEM</w:t>
      </w:r>
      <w:r w:rsidRPr="00883399">
        <w:rPr>
          <w:sz w:val="24"/>
        </w:rPr>
        <w:t>).</w:t>
      </w:r>
    </w:p>
    <w:p w14:paraId="6C0DCC31" w14:textId="318D7FD1" w:rsidR="00872C03" w:rsidRPr="00883399" w:rsidRDefault="00872C03" w:rsidP="00872C03">
      <w:pPr>
        <w:pStyle w:val="ActHead3"/>
        <w:pageBreakBefore/>
        <w:rPr>
          <w:sz w:val="32"/>
        </w:rPr>
      </w:pPr>
      <w:bookmarkStart w:id="98" w:name="_Toc423516709"/>
      <w:bookmarkStart w:id="99" w:name="_Toc495652621"/>
      <w:r w:rsidRPr="00883399">
        <w:rPr>
          <w:rStyle w:val="CharDivNo"/>
          <w:sz w:val="32"/>
        </w:rPr>
        <w:lastRenderedPageBreak/>
        <w:t>Division 1.3.2</w:t>
      </w:r>
      <w:r w:rsidRPr="00883399">
        <w:rPr>
          <w:sz w:val="32"/>
        </w:rPr>
        <w:t>—</w:t>
      </w:r>
      <w:r w:rsidRPr="00883399">
        <w:rPr>
          <w:rStyle w:val="CharDivText"/>
          <w:sz w:val="32"/>
        </w:rPr>
        <w:t>Operation of method 4 (CEM)</w:t>
      </w:r>
      <w:bookmarkEnd w:id="98"/>
      <w:bookmarkEnd w:id="99"/>
    </w:p>
    <w:p w14:paraId="685F6FA8" w14:textId="77777777" w:rsidR="00872C03" w:rsidRPr="00883399" w:rsidRDefault="00872C03" w:rsidP="00872C03">
      <w:pPr>
        <w:pStyle w:val="Text"/>
        <w:rPr>
          <w:rFonts w:ascii="Arial" w:hAnsi="Arial" w:cs="Arial"/>
          <w:color w:val="000000"/>
          <w:sz w:val="22"/>
          <w:szCs w:val="22"/>
        </w:rPr>
      </w:pPr>
      <w:bookmarkStart w:id="100" w:name="_Toc423516710"/>
      <w:r w:rsidRPr="00883399">
        <w:rPr>
          <w:rFonts w:ascii="Arial" w:hAnsi="Arial" w:cs="Arial"/>
          <w:sz w:val="22"/>
          <w:szCs w:val="22"/>
        </w:rPr>
        <w:t>Continuous Emissions Monitoring (CEM) systems are designed to monitor real-time occurrence of emissions. The aim of the CEM method is to provide the framework for calculating emissions and also to provide standards for the location of sampling positions, measurement of flow rates and gas concentrations and the frequency of measurements.</w:t>
      </w:r>
    </w:p>
    <w:p w14:paraId="304B639D" w14:textId="2BF3CE07" w:rsidR="00872C03" w:rsidRPr="00883399" w:rsidRDefault="00872C03" w:rsidP="00872C03">
      <w:pPr>
        <w:pStyle w:val="ActHead4"/>
        <w:rPr>
          <w:sz w:val="28"/>
        </w:rPr>
      </w:pPr>
      <w:bookmarkStart w:id="101" w:name="_Toc495652622"/>
      <w:r w:rsidRPr="00883399">
        <w:rPr>
          <w:rStyle w:val="CharSubdNo"/>
          <w:sz w:val="28"/>
        </w:rPr>
        <w:t>Subdivision 1.3.2.1</w:t>
      </w:r>
      <w:r w:rsidRPr="00883399">
        <w:rPr>
          <w:sz w:val="28"/>
        </w:rPr>
        <w:t>—</w:t>
      </w:r>
      <w:r w:rsidRPr="00883399">
        <w:rPr>
          <w:rStyle w:val="CharSubdText"/>
          <w:sz w:val="28"/>
        </w:rPr>
        <w:t>Method 4 (CEM)</w:t>
      </w:r>
      <w:bookmarkEnd w:id="100"/>
      <w:bookmarkEnd w:id="101"/>
    </w:p>
    <w:p w14:paraId="573940DF" w14:textId="3290EF5D" w:rsidR="00872C03" w:rsidRPr="00883399" w:rsidRDefault="00872C03" w:rsidP="00872C03">
      <w:pPr>
        <w:pStyle w:val="ActHead5"/>
        <w:rPr>
          <w:sz w:val="28"/>
        </w:rPr>
      </w:pPr>
      <w:bookmarkStart w:id="102" w:name="_Toc423516711"/>
      <w:bookmarkStart w:id="103" w:name="_Toc495652623"/>
      <w:r w:rsidRPr="00883399">
        <w:rPr>
          <w:rStyle w:val="CharSectno"/>
          <w:sz w:val="28"/>
        </w:rPr>
        <w:t>1.21</w:t>
      </w:r>
      <w:r w:rsidRPr="00883399">
        <w:rPr>
          <w:sz w:val="28"/>
        </w:rPr>
        <w:t xml:space="preserve">  Method 4 (CEM)—estimation of emissions</w:t>
      </w:r>
      <w:bookmarkEnd w:id="102"/>
      <w:bookmarkEnd w:id="103"/>
    </w:p>
    <w:p w14:paraId="4A7A85C0" w14:textId="77777777" w:rsidR="00872C03" w:rsidRPr="00883399" w:rsidRDefault="00872C03" w:rsidP="00872C03">
      <w:pPr>
        <w:spacing w:before="240" w:line="312" w:lineRule="auto"/>
        <w:rPr>
          <w:rFonts w:ascii="Arial" w:hAnsi="Arial" w:cs="Arial"/>
          <w:color w:val="000000"/>
          <w:sz w:val="22"/>
          <w:szCs w:val="22"/>
        </w:rPr>
      </w:pPr>
      <w:r w:rsidRPr="00883399">
        <w:rPr>
          <w:rFonts w:ascii="Arial" w:hAnsi="Arial" w:cs="Arial"/>
          <w:color w:val="000000"/>
          <w:sz w:val="22"/>
          <w:szCs w:val="22"/>
        </w:rPr>
        <w:t xml:space="preserve">CEM systems may record emissions automatically via a computer or it may be necessary for emissions to be calculated manually. The equation in 1.21 (1) provides a method to be used to calculate emissions manually from direct emissions monitoring under CEM systems. The equation uses the data gathered from flow rate and gas analyser equipment to calculate mass emissions. </w:t>
      </w:r>
    </w:p>
    <w:p w14:paraId="5969EF50" w14:textId="77777777" w:rsidR="00872C03" w:rsidRPr="00883399" w:rsidRDefault="00872C03" w:rsidP="00872C03">
      <w:pPr>
        <w:spacing w:before="240" w:line="312" w:lineRule="auto"/>
        <w:rPr>
          <w:rFonts w:ascii="Arial" w:hAnsi="Arial" w:cs="Arial"/>
          <w:color w:val="000000"/>
          <w:sz w:val="22"/>
          <w:szCs w:val="22"/>
        </w:rPr>
      </w:pPr>
      <w:r w:rsidRPr="00883399">
        <w:rPr>
          <w:rFonts w:ascii="Arial" w:hAnsi="Arial" w:cs="Arial"/>
          <w:color w:val="000000"/>
          <w:sz w:val="22"/>
          <w:szCs w:val="22"/>
        </w:rPr>
        <w:t xml:space="preserve">In order to convert volumetric flow rates to mass flow rates accurately, direct measurement also requires the measurement of temperature and pressure to reduce the amount of error that is associated with the variability of density factors used to convert from volume of a gas to the mass of a gas. The equation in 1.21 (1) is cited from the report: </w:t>
      </w:r>
    </w:p>
    <w:p w14:paraId="500EC4BA" w14:textId="77777777" w:rsidR="00872C03" w:rsidRPr="00883399" w:rsidRDefault="00872C03" w:rsidP="00872C03">
      <w:pPr>
        <w:numPr>
          <w:ilvl w:val="0"/>
          <w:numId w:val="30"/>
        </w:numPr>
        <w:spacing w:before="120" w:line="312" w:lineRule="auto"/>
        <w:rPr>
          <w:rFonts w:ascii="Arial" w:hAnsi="Arial" w:cs="Arial"/>
          <w:color w:val="000000"/>
          <w:sz w:val="22"/>
          <w:szCs w:val="22"/>
        </w:rPr>
      </w:pPr>
      <w:r w:rsidRPr="00883399">
        <w:rPr>
          <w:rFonts w:ascii="Arial" w:hAnsi="Arial" w:cs="Arial"/>
          <w:color w:val="000000"/>
          <w:sz w:val="22"/>
          <w:szCs w:val="22"/>
        </w:rPr>
        <w:t xml:space="preserve">Mark, M., Worrall, R., Mallett, C., and Xue, S. (2001). Measuring and Reporting Greenhouse Gas Emissions. ACARP Project C8061. CSIRO Exploration and Mining Report 805C. </w:t>
      </w:r>
    </w:p>
    <w:p w14:paraId="619DE64A" w14:textId="77777777" w:rsidR="00872C03" w:rsidRPr="00883399" w:rsidRDefault="00872C03" w:rsidP="00872C03">
      <w:pPr>
        <w:spacing w:before="120" w:line="312" w:lineRule="auto"/>
        <w:ind w:firstLine="244"/>
        <w:rPr>
          <w:rFonts w:ascii="Arial" w:hAnsi="Arial" w:cs="Arial"/>
          <w:color w:val="000000"/>
          <w:szCs w:val="22"/>
        </w:rPr>
      </w:pPr>
      <w:r w:rsidRPr="00883399">
        <w:rPr>
          <w:rFonts w:ascii="Arial" w:hAnsi="Arial" w:cs="Arial"/>
          <w:color w:val="000000"/>
          <w:sz w:val="22"/>
          <w:szCs w:val="22"/>
        </w:rPr>
        <w:t xml:space="preserve">This report can be obtained from: </w:t>
      </w:r>
      <w:hyperlink r:id="rId28" w:history="1">
        <w:r w:rsidRPr="00883399">
          <w:rPr>
            <w:rStyle w:val="Hyperlink"/>
            <w:rFonts w:ascii="Arial" w:hAnsi="Arial" w:cs="Arial"/>
            <w:szCs w:val="22"/>
          </w:rPr>
          <w:t>http://www.acarp.com.au/reports.aspx</w:t>
        </w:r>
      </w:hyperlink>
      <w:r w:rsidRPr="00883399">
        <w:rPr>
          <w:rFonts w:ascii="Arial" w:hAnsi="Arial" w:cs="Arial"/>
          <w:color w:val="000000"/>
          <w:sz w:val="22"/>
          <w:szCs w:val="22"/>
        </w:rPr>
        <w:t>.</w:t>
      </w:r>
    </w:p>
    <w:p w14:paraId="0198931B" w14:textId="77777777" w:rsidR="00872C03" w:rsidRPr="00883399" w:rsidRDefault="00872C03" w:rsidP="00872C03">
      <w:pPr>
        <w:spacing w:before="120" w:line="312" w:lineRule="auto"/>
        <w:ind w:firstLine="244"/>
      </w:pPr>
    </w:p>
    <w:p w14:paraId="55502DB4" w14:textId="77777777" w:rsidR="00872C03" w:rsidRPr="00883399" w:rsidRDefault="00872C03" w:rsidP="00872C03">
      <w:pPr>
        <w:pStyle w:val="subsection"/>
        <w:rPr>
          <w:sz w:val="24"/>
        </w:rPr>
      </w:pPr>
      <w:r w:rsidRPr="00883399">
        <w:rPr>
          <w:sz w:val="24"/>
        </w:rPr>
        <w:t>(1)</w:t>
      </w:r>
      <w:r w:rsidRPr="00883399">
        <w:rPr>
          <w:sz w:val="24"/>
        </w:rPr>
        <w:tab/>
        <w:t>To obtain an estimate of the mass of emissions of a gas type (</w:t>
      </w:r>
      <w:r w:rsidRPr="00883399">
        <w:rPr>
          <w:b/>
          <w:i/>
          <w:sz w:val="24"/>
        </w:rPr>
        <w:t>j</w:t>
      </w:r>
      <w:r w:rsidRPr="00883399">
        <w:rPr>
          <w:sz w:val="24"/>
        </w:rPr>
        <w:t>), being methane, carbon dioxide or nitrous oxide, released at the time of measurement at a monitoring site within the area occupied for the operation of a facility, the following formula must be applied:</w:t>
      </w:r>
    </w:p>
    <w:p w14:paraId="7FF62363" w14:textId="6384E111"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2E0A661E" wp14:editId="5FFC5055">
            <wp:extent cx="1628775" cy="457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8775" cy="457200"/>
                    </a:xfrm>
                    <a:prstGeom prst="rect">
                      <a:avLst/>
                    </a:prstGeom>
                    <a:noFill/>
                    <a:ln>
                      <a:noFill/>
                    </a:ln>
                  </pic:spPr>
                </pic:pic>
              </a:graphicData>
            </a:graphic>
          </wp:inline>
        </w:drawing>
      </w:r>
    </w:p>
    <w:p w14:paraId="20B87FD5" w14:textId="77777777" w:rsidR="00872C03" w:rsidRPr="00883399" w:rsidRDefault="00872C03" w:rsidP="00872C03">
      <w:pPr>
        <w:pStyle w:val="subsection2"/>
        <w:rPr>
          <w:sz w:val="24"/>
        </w:rPr>
      </w:pPr>
      <w:r w:rsidRPr="00883399">
        <w:rPr>
          <w:sz w:val="24"/>
        </w:rPr>
        <w:t>where:</w:t>
      </w:r>
    </w:p>
    <w:p w14:paraId="610CD363" w14:textId="77777777" w:rsidR="00872C03" w:rsidRPr="00883399" w:rsidRDefault="00872C03" w:rsidP="00872C03">
      <w:pPr>
        <w:pStyle w:val="Definition0"/>
        <w:rPr>
          <w:sz w:val="24"/>
        </w:rPr>
      </w:pPr>
      <w:r w:rsidRPr="00883399">
        <w:rPr>
          <w:b/>
          <w:i/>
          <w:sz w:val="24"/>
        </w:rPr>
        <w:t>M</w:t>
      </w:r>
      <w:r w:rsidRPr="00883399">
        <w:rPr>
          <w:b/>
          <w:i/>
          <w:sz w:val="24"/>
          <w:vertAlign w:val="subscript"/>
        </w:rPr>
        <w:t>jct</w:t>
      </w:r>
      <w:r w:rsidRPr="00883399">
        <w:rPr>
          <w:b/>
          <w:i/>
          <w:sz w:val="24"/>
        </w:rPr>
        <w:t xml:space="preserve"> </w:t>
      </w:r>
      <w:r w:rsidRPr="00883399">
        <w:rPr>
          <w:sz w:val="24"/>
        </w:rPr>
        <w:t>is the mass of emissions in tonnes of gas type (</w:t>
      </w:r>
      <w:r w:rsidRPr="00883399">
        <w:rPr>
          <w:b/>
          <w:i/>
          <w:sz w:val="24"/>
        </w:rPr>
        <w:t>j</w:t>
      </w:r>
      <w:r w:rsidRPr="00883399">
        <w:rPr>
          <w:sz w:val="24"/>
        </w:rPr>
        <w:t>) released per second.</w:t>
      </w:r>
    </w:p>
    <w:p w14:paraId="441661F8" w14:textId="77777777" w:rsidR="00872C03" w:rsidRPr="00883399" w:rsidRDefault="00872C03" w:rsidP="00872C03">
      <w:pPr>
        <w:pStyle w:val="Definition0"/>
        <w:rPr>
          <w:sz w:val="24"/>
        </w:rPr>
      </w:pPr>
      <w:r w:rsidRPr="00883399">
        <w:rPr>
          <w:b/>
          <w:i/>
          <w:sz w:val="24"/>
        </w:rPr>
        <w:lastRenderedPageBreak/>
        <w:t>MM</w:t>
      </w:r>
      <w:r w:rsidRPr="00883399">
        <w:rPr>
          <w:b/>
          <w:i/>
          <w:sz w:val="24"/>
          <w:vertAlign w:val="subscript"/>
        </w:rPr>
        <w:t>j</w:t>
      </w:r>
      <w:r w:rsidRPr="00883399">
        <w:rPr>
          <w:b/>
          <w:i/>
          <w:sz w:val="24"/>
        </w:rPr>
        <w:t xml:space="preserve"> </w:t>
      </w:r>
      <w:r w:rsidRPr="00883399">
        <w:rPr>
          <w:sz w:val="24"/>
        </w:rPr>
        <w:t>is the molecular mass of gas type (</w:t>
      </w:r>
      <w:r w:rsidRPr="00883399">
        <w:rPr>
          <w:b/>
          <w:i/>
          <w:sz w:val="24"/>
        </w:rPr>
        <w:t>j</w:t>
      </w:r>
      <w:r w:rsidRPr="00883399">
        <w:rPr>
          <w:sz w:val="24"/>
        </w:rPr>
        <w:t>) measured in tonnes per kilomole which:</w:t>
      </w:r>
    </w:p>
    <w:p w14:paraId="29B93B3D" w14:textId="77777777" w:rsidR="00872C03" w:rsidRPr="00883399" w:rsidRDefault="00872C03" w:rsidP="00872C03">
      <w:pPr>
        <w:pStyle w:val="paragraph"/>
        <w:rPr>
          <w:sz w:val="24"/>
        </w:rPr>
      </w:pPr>
      <w:r w:rsidRPr="00883399">
        <w:rPr>
          <w:sz w:val="24"/>
        </w:rPr>
        <w:tab/>
        <w:t>(a)</w:t>
      </w:r>
      <w:r w:rsidRPr="00883399">
        <w:rPr>
          <w:sz w:val="24"/>
        </w:rPr>
        <w:tab/>
        <w:t>for methane is 16.04</w:t>
      </w:r>
      <w:r w:rsidRPr="00883399">
        <w:rPr>
          <w:noProof/>
          <w:position w:val="-4"/>
          <w:sz w:val="24"/>
        </w:rPr>
        <w:drawing>
          <wp:inline distT="0" distB="0" distL="0" distR="0" wp14:anchorId="6DA2B8FF" wp14:editId="16A012F7">
            <wp:extent cx="118745" cy="118745"/>
            <wp:effectExtent l="1905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0"/>
                    <a:srcRect/>
                    <a:stretch>
                      <a:fillRect/>
                    </a:stretch>
                  </pic:blipFill>
                  <pic:spPr bwMode="auto">
                    <a:xfrm>
                      <a:off x="0" y="0"/>
                      <a:ext cx="118745" cy="118745"/>
                    </a:xfrm>
                    <a:prstGeom prst="rect">
                      <a:avLst/>
                    </a:prstGeom>
                    <a:noFill/>
                    <a:ln w="9525">
                      <a:noFill/>
                      <a:miter lim="800000"/>
                      <a:headEnd/>
                      <a:tailEnd/>
                    </a:ln>
                  </pic:spPr>
                </pic:pic>
              </a:graphicData>
            </a:graphic>
          </wp:inline>
        </w:drawing>
      </w:r>
      <w:r w:rsidRPr="00883399">
        <w:rPr>
          <w:sz w:val="24"/>
        </w:rPr>
        <w:t>10</w:t>
      </w:r>
      <w:r w:rsidRPr="00883399">
        <w:rPr>
          <w:sz w:val="24"/>
          <w:vertAlign w:val="superscript"/>
        </w:rPr>
        <w:noBreakHyphen/>
        <w:t>3</w:t>
      </w:r>
      <w:r w:rsidRPr="00883399">
        <w:rPr>
          <w:sz w:val="24"/>
        </w:rPr>
        <w:t>; or</w:t>
      </w:r>
    </w:p>
    <w:p w14:paraId="42226C53" w14:textId="77777777" w:rsidR="00872C03" w:rsidRPr="00883399" w:rsidRDefault="00872C03" w:rsidP="00872C03">
      <w:pPr>
        <w:pStyle w:val="paragraph"/>
        <w:rPr>
          <w:sz w:val="24"/>
        </w:rPr>
      </w:pPr>
      <w:r w:rsidRPr="00883399">
        <w:rPr>
          <w:sz w:val="24"/>
        </w:rPr>
        <w:tab/>
        <w:t>(b)</w:t>
      </w:r>
      <w:r w:rsidRPr="00883399">
        <w:rPr>
          <w:sz w:val="24"/>
        </w:rPr>
        <w:tab/>
        <w:t>for carbon dioxide is 44.01</w:t>
      </w:r>
      <w:r w:rsidRPr="00883399">
        <w:rPr>
          <w:noProof/>
          <w:position w:val="-4"/>
          <w:sz w:val="24"/>
        </w:rPr>
        <w:drawing>
          <wp:inline distT="0" distB="0" distL="0" distR="0" wp14:anchorId="160438D1" wp14:editId="3B046E69">
            <wp:extent cx="118745" cy="118745"/>
            <wp:effectExtent l="1905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0"/>
                    <a:srcRect/>
                    <a:stretch>
                      <a:fillRect/>
                    </a:stretch>
                  </pic:blipFill>
                  <pic:spPr bwMode="auto">
                    <a:xfrm>
                      <a:off x="0" y="0"/>
                      <a:ext cx="118745" cy="118745"/>
                    </a:xfrm>
                    <a:prstGeom prst="rect">
                      <a:avLst/>
                    </a:prstGeom>
                    <a:noFill/>
                    <a:ln w="9525">
                      <a:noFill/>
                      <a:miter lim="800000"/>
                      <a:headEnd/>
                      <a:tailEnd/>
                    </a:ln>
                  </pic:spPr>
                </pic:pic>
              </a:graphicData>
            </a:graphic>
          </wp:inline>
        </w:drawing>
      </w:r>
      <w:r w:rsidRPr="00883399">
        <w:rPr>
          <w:sz w:val="24"/>
        </w:rPr>
        <w:t>10</w:t>
      </w:r>
      <w:r w:rsidRPr="00883399">
        <w:rPr>
          <w:sz w:val="24"/>
          <w:vertAlign w:val="superscript"/>
        </w:rPr>
        <w:noBreakHyphen/>
        <w:t>3</w:t>
      </w:r>
      <w:r w:rsidRPr="00883399">
        <w:rPr>
          <w:sz w:val="24"/>
        </w:rPr>
        <w:t>; or</w:t>
      </w:r>
    </w:p>
    <w:p w14:paraId="3DA28BD6" w14:textId="77777777" w:rsidR="00872C03" w:rsidRPr="00883399" w:rsidRDefault="00872C03" w:rsidP="00872C03">
      <w:pPr>
        <w:pStyle w:val="paragraph"/>
        <w:rPr>
          <w:sz w:val="24"/>
        </w:rPr>
      </w:pPr>
      <w:r w:rsidRPr="00883399">
        <w:rPr>
          <w:sz w:val="24"/>
        </w:rPr>
        <w:tab/>
        <w:t>(c)</w:t>
      </w:r>
      <w:r w:rsidRPr="00883399">
        <w:rPr>
          <w:sz w:val="24"/>
        </w:rPr>
        <w:tab/>
        <w:t>for nitrous oxide is 44.01</w:t>
      </w:r>
      <w:r w:rsidRPr="00883399">
        <w:rPr>
          <w:noProof/>
          <w:position w:val="-4"/>
          <w:sz w:val="24"/>
        </w:rPr>
        <w:drawing>
          <wp:inline distT="0" distB="0" distL="0" distR="0" wp14:anchorId="340C8CBC" wp14:editId="607FD2EC">
            <wp:extent cx="118745" cy="118745"/>
            <wp:effectExtent l="1905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0"/>
                    <a:srcRect/>
                    <a:stretch>
                      <a:fillRect/>
                    </a:stretch>
                  </pic:blipFill>
                  <pic:spPr bwMode="auto">
                    <a:xfrm>
                      <a:off x="0" y="0"/>
                      <a:ext cx="118745" cy="118745"/>
                    </a:xfrm>
                    <a:prstGeom prst="rect">
                      <a:avLst/>
                    </a:prstGeom>
                    <a:noFill/>
                    <a:ln w="9525">
                      <a:noFill/>
                      <a:miter lim="800000"/>
                      <a:headEnd/>
                      <a:tailEnd/>
                    </a:ln>
                  </pic:spPr>
                </pic:pic>
              </a:graphicData>
            </a:graphic>
          </wp:inline>
        </w:drawing>
      </w:r>
      <w:r w:rsidRPr="00883399">
        <w:rPr>
          <w:sz w:val="24"/>
        </w:rPr>
        <w:t>10</w:t>
      </w:r>
      <w:r w:rsidRPr="00883399">
        <w:rPr>
          <w:sz w:val="24"/>
          <w:vertAlign w:val="superscript"/>
        </w:rPr>
        <w:noBreakHyphen/>
        <w:t>3</w:t>
      </w:r>
      <w:r w:rsidRPr="00883399">
        <w:rPr>
          <w:sz w:val="24"/>
        </w:rPr>
        <w:t>.</w:t>
      </w:r>
    </w:p>
    <w:p w14:paraId="1FDB68DC" w14:textId="77777777" w:rsidR="00872C03" w:rsidRPr="00883399" w:rsidRDefault="00872C03" w:rsidP="00872C03">
      <w:pPr>
        <w:pStyle w:val="Definition0"/>
        <w:rPr>
          <w:sz w:val="24"/>
        </w:rPr>
      </w:pPr>
      <w:r w:rsidRPr="00883399">
        <w:rPr>
          <w:b/>
          <w:i/>
          <w:sz w:val="24"/>
        </w:rPr>
        <w:t>P</w:t>
      </w:r>
      <w:r w:rsidRPr="00883399">
        <w:rPr>
          <w:b/>
          <w:i/>
          <w:sz w:val="24"/>
          <w:vertAlign w:val="subscript"/>
        </w:rPr>
        <w:t>ct</w:t>
      </w:r>
      <w:r w:rsidRPr="00883399">
        <w:rPr>
          <w:b/>
          <w:i/>
          <w:sz w:val="24"/>
        </w:rPr>
        <w:t xml:space="preserve"> </w:t>
      </w:r>
      <w:r w:rsidRPr="00883399">
        <w:rPr>
          <w:i/>
          <w:sz w:val="24"/>
        </w:rPr>
        <w:t xml:space="preserve">is </w:t>
      </w:r>
      <w:r w:rsidRPr="00883399">
        <w:rPr>
          <w:sz w:val="24"/>
        </w:rPr>
        <w:t>the pressure of the gas stream in kilopascals at the time of measurement.</w:t>
      </w:r>
    </w:p>
    <w:p w14:paraId="3F528AC7" w14:textId="77777777" w:rsidR="00872C03" w:rsidRPr="00883399" w:rsidRDefault="00872C03" w:rsidP="00872C03">
      <w:pPr>
        <w:pStyle w:val="Definition0"/>
        <w:rPr>
          <w:sz w:val="24"/>
        </w:rPr>
      </w:pPr>
      <w:r w:rsidRPr="00883399">
        <w:rPr>
          <w:b/>
          <w:i/>
          <w:sz w:val="24"/>
        </w:rPr>
        <w:t>FR</w:t>
      </w:r>
      <w:r w:rsidRPr="00883399">
        <w:rPr>
          <w:b/>
          <w:i/>
          <w:sz w:val="24"/>
          <w:vertAlign w:val="subscript"/>
        </w:rPr>
        <w:t>ct</w:t>
      </w:r>
      <w:r w:rsidRPr="00883399">
        <w:rPr>
          <w:b/>
          <w:i/>
          <w:sz w:val="24"/>
        </w:rPr>
        <w:t xml:space="preserve"> </w:t>
      </w:r>
      <w:r w:rsidRPr="00883399">
        <w:rPr>
          <w:sz w:val="24"/>
        </w:rPr>
        <w:t>is the flow rate of the gas stream in cubic metres per second at the time of measurement.</w:t>
      </w:r>
    </w:p>
    <w:p w14:paraId="5CA2B960" w14:textId="77777777" w:rsidR="00872C03" w:rsidRPr="00883399" w:rsidRDefault="00872C03" w:rsidP="00872C03">
      <w:pPr>
        <w:pStyle w:val="Definition0"/>
        <w:rPr>
          <w:sz w:val="24"/>
        </w:rPr>
      </w:pPr>
      <w:r w:rsidRPr="00883399">
        <w:rPr>
          <w:b/>
          <w:i/>
          <w:sz w:val="24"/>
        </w:rPr>
        <w:t>C</w:t>
      </w:r>
      <w:r w:rsidRPr="00883399">
        <w:rPr>
          <w:b/>
          <w:i/>
          <w:sz w:val="24"/>
          <w:vertAlign w:val="subscript"/>
        </w:rPr>
        <w:t>jct</w:t>
      </w:r>
      <w:r w:rsidRPr="00883399">
        <w:rPr>
          <w:b/>
          <w:i/>
          <w:sz w:val="24"/>
        </w:rPr>
        <w:t xml:space="preserve"> </w:t>
      </w:r>
      <w:r w:rsidRPr="00883399">
        <w:rPr>
          <w:sz w:val="24"/>
        </w:rPr>
        <w:t>is the proportion of gas type (</w:t>
      </w:r>
      <w:r w:rsidRPr="00883399">
        <w:rPr>
          <w:b/>
          <w:i/>
          <w:sz w:val="24"/>
        </w:rPr>
        <w:t>j</w:t>
      </w:r>
      <w:r w:rsidRPr="00883399">
        <w:rPr>
          <w:sz w:val="24"/>
        </w:rPr>
        <w:t>) in the volume of the gas stream at the time of measurement.</w:t>
      </w:r>
    </w:p>
    <w:p w14:paraId="69AE83D8" w14:textId="77777777" w:rsidR="00872C03" w:rsidRPr="00883399" w:rsidRDefault="00872C03" w:rsidP="00872C03">
      <w:pPr>
        <w:pStyle w:val="Definition0"/>
        <w:rPr>
          <w:sz w:val="24"/>
        </w:rPr>
      </w:pPr>
      <w:r w:rsidRPr="00883399">
        <w:rPr>
          <w:b/>
          <w:i/>
          <w:sz w:val="24"/>
        </w:rPr>
        <w:t>T</w:t>
      </w:r>
      <w:r w:rsidRPr="00883399">
        <w:rPr>
          <w:b/>
          <w:i/>
          <w:sz w:val="24"/>
          <w:vertAlign w:val="subscript"/>
        </w:rPr>
        <w:t>ct</w:t>
      </w:r>
      <w:r w:rsidRPr="00883399">
        <w:rPr>
          <w:b/>
          <w:i/>
          <w:sz w:val="24"/>
        </w:rPr>
        <w:t xml:space="preserve"> </w:t>
      </w:r>
      <w:r w:rsidRPr="00883399">
        <w:rPr>
          <w:sz w:val="24"/>
        </w:rPr>
        <w:t>is the temperature, in degrees kelvin, of the gas at the time of measurement.</w:t>
      </w:r>
    </w:p>
    <w:p w14:paraId="6704EBDA" w14:textId="77777777" w:rsidR="00872C03" w:rsidRPr="00883399" w:rsidRDefault="00872C03" w:rsidP="00872C03">
      <w:pPr>
        <w:pStyle w:val="subsection"/>
        <w:rPr>
          <w:sz w:val="24"/>
        </w:rPr>
      </w:pPr>
      <w:r w:rsidRPr="00883399">
        <w:rPr>
          <w:sz w:val="24"/>
        </w:rPr>
        <w:tab/>
        <w:t>(2)</w:t>
      </w:r>
      <w:r w:rsidRPr="00883399">
        <w:rPr>
          <w:sz w:val="24"/>
        </w:rPr>
        <w:tab/>
        <w:t>The mass of emissions estimated under subsection (1) must be converted into CO</w:t>
      </w:r>
      <w:r w:rsidRPr="00883399">
        <w:rPr>
          <w:sz w:val="24"/>
          <w:vertAlign w:val="subscript"/>
        </w:rPr>
        <w:t>2</w:t>
      </w:r>
      <w:r w:rsidRPr="00883399">
        <w:rPr>
          <w:sz w:val="24"/>
        </w:rPr>
        <w:noBreakHyphen/>
        <w:t>e tonnes.</w:t>
      </w:r>
    </w:p>
    <w:p w14:paraId="42D90A19" w14:textId="77777777" w:rsidR="00872C03" w:rsidRPr="00883399" w:rsidRDefault="00872C03" w:rsidP="00872C03">
      <w:pPr>
        <w:pStyle w:val="subsection"/>
        <w:rPr>
          <w:sz w:val="24"/>
        </w:rPr>
      </w:pPr>
      <w:r w:rsidRPr="00883399">
        <w:rPr>
          <w:sz w:val="24"/>
        </w:rPr>
        <w:tab/>
        <w:t>(3)</w:t>
      </w:r>
      <w:r w:rsidRPr="00883399">
        <w:rPr>
          <w:sz w:val="24"/>
        </w:rPr>
        <w:tab/>
        <w:t>Data on estimates of the mass emissions rates obtained under subsection (1) during an hour must be converted into a representative and unbiased estimate of mass emissions for that hour.</w:t>
      </w:r>
    </w:p>
    <w:p w14:paraId="1B653D3F" w14:textId="77777777" w:rsidR="00872C03" w:rsidRPr="00883399" w:rsidRDefault="00872C03" w:rsidP="00872C03">
      <w:pPr>
        <w:pStyle w:val="subsection"/>
        <w:rPr>
          <w:sz w:val="24"/>
        </w:rPr>
      </w:pPr>
      <w:r w:rsidRPr="00883399">
        <w:rPr>
          <w:sz w:val="24"/>
        </w:rPr>
        <w:tab/>
        <w:t>(4)</w:t>
      </w:r>
      <w:r w:rsidRPr="00883399">
        <w:rPr>
          <w:sz w:val="24"/>
        </w:rPr>
        <w:tab/>
        <w:t>The estimate of emissions of gas type (</w:t>
      </w:r>
      <w:r w:rsidRPr="00883399">
        <w:rPr>
          <w:b/>
          <w:i/>
          <w:sz w:val="24"/>
        </w:rPr>
        <w:t>j</w:t>
      </w:r>
      <w:r w:rsidRPr="00883399">
        <w:rPr>
          <w:sz w:val="24"/>
        </w:rPr>
        <w:t>) during a year is the sum of the estimates for each hour of the year worked out under subsection (3).</w:t>
      </w:r>
    </w:p>
    <w:p w14:paraId="15EB5D66" w14:textId="77777777" w:rsidR="00872C03" w:rsidRPr="00883399" w:rsidRDefault="00872C03" w:rsidP="00872C03">
      <w:pPr>
        <w:pStyle w:val="subsection"/>
        <w:rPr>
          <w:sz w:val="24"/>
        </w:rPr>
      </w:pPr>
      <w:r w:rsidRPr="00883399">
        <w:rPr>
          <w:sz w:val="24"/>
        </w:rPr>
        <w:tab/>
        <w:t>(5)</w:t>
      </w:r>
      <w:r w:rsidRPr="00883399">
        <w:rPr>
          <w:sz w:val="24"/>
        </w:rPr>
        <w:tab/>
        <w:t>If method 1 is available for the source, the total mass of emissions for a gas from the source for the year calculated under this section must be reconciled against an estimate for that gas from the facility for the same period calculated using method 1 for that source.</w:t>
      </w:r>
    </w:p>
    <w:p w14:paraId="016ADEC9" w14:textId="77777777" w:rsidR="00872C03" w:rsidRPr="00883399" w:rsidRDefault="00872C03" w:rsidP="00872C03">
      <w:pPr>
        <w:pStyle w:val="R2"/>
        <w:ind w:left="720" w:firstLine="0"/>
        <w:jc w:val="left"/>
        <w:rPr>
          <w:sz w:val="20"/>
          <w:szCs w:val="20"/>
        </w:rPr>
      </w:pPr>
      <w:r w:rsidRPr="00883399">
        <w:br w:type="page"/>
      </w:r>
      <w:r w:rsidRPr="00883399">
        <w:rPr>
          <w:b/>
          <w:sz w:val="20"/>
          <w:szCs w:val="20"/>
        </w:rPr>
        <w:lastRenderedPageBreak/>
        <w:t>Example: Continuous emissions monitoring of CH</w:t>
      </w:r>
      <w:r w:rsidRPr="00883399">
        <w:rPr>
          <w:b/>
          <w:sz w:val="20"/>
          <w:szCs w:val="20"/>
          <w:vertAlign w:val="subscript"/>
        </w:rPr>
        <w:t>4</w:t>
      </w:r>
      <w:r w:rsidRPr="00883399">
        <w:rPr>
          <w:b/>
          <w:sz w:val="20"/>
          <w:szCs w:val="20"/>
        </w:rPr>
        <w:t xml:space="preserve"> from fugitive emissions associated with underground coal mining</w:t>
      </w:r>
      <w:r w:rsidRPr="00883399">
        <w:rPr>
          <w:sz w:val="20"/>
          <w:szCs w:val="20"/>
        </w:rPr>
        <w:t>.</w:t>
      </w:r>
    </w:p>
    <w:p w14:paraId="7BF1787E" w14:textId="77777777" w:rsidR="00872C03" w:rsidRPr="00883399" w:rsidRDefault="00C66508" w:rsidP="00872C03">
      <w:pPr>
        <w:spacing w:before="120" w:line="260" w:lineRule="exact"/>
        <w:rPr>
          <w:color w:val="000000"/>
          <w:sz w:val="20"/>
          <w:szCs w:val="20"/>
        </w:rPr>
      </w:pPr>
      <w:r w:rsidRPr="00883399">
        <w:rPr>
          <w:noProof/>
        </w:rPr>
        <mc:AlternateContent>
          <mc:Choice Requires="wps">
            <w:drawing>
              <wp:anchor distT="0" distB="0" distL="114300" distR="114300" simplePos="0" relativeHeight="251658242" behindDoc="0" locked="0" layoutInCell="1" allowOverlap="1" wp14:anchorId="22CBA4A4" wp14:editId="7977F98C">
                <wp:simplePos x="0" y="0"/>
                <wp:positionH relativeFrom="column">
                  <wp:posOffset>-116205</wp:posOffset>
                </wp:positionH>
                <wp:positionV relativeFrom="paragraph">
                  <wp:posOffset>-414020</wp:posOffset>
                </wp:positionV>
                <wp:extent cx="5930900" cy="7660005"/>
                <wp:effectExtent l="0" t="0" r="12700" b="17145"/>
                <wp:wrapNone/>
                <wp:docPr id="2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76600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BD89B" id="Rectangle 3" o:spid="_x0000_s1026" style="position:absolute;margin-left:-9.15pt;margin-top:-32.6pt;width:467pt;height:603.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" filled="f"/>
            </w:pict>
          </mc:Fallback>
        </mc:AlternateContent>
      </w:r>
      <w:r w:rsidR="00872C03" w:rsidRPr="00883399">
        <w:rPr>
          <w:sz w:val="20"/>
          <w:szCs w:val="20"/>
        </w:rPr>
        <w:t xml:space="preserve">Step 1. Calculate the emission rate for each measurement period using the equation in section 1.21. </w:t>
      </w:r>
    </w:p>
    <w:tbl>
      <w:tblPr>
        <w:tblW w:w="84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966"/>
        <w:gridCol w:w="841"/>
        <w:gridCol w:w="867"/>
        <w:gridCol w:w="679"/>
        <w:gridCol w:w="945"/>
        <w:gridCol w:w="922"/>
        <w:gridCol w:w="1018"/>
        <w:gridCol w:w="1018"/>
      </w:tblGrid>
      <w:tr w:rsidR="00872C03" w:rsidRPr="00883399" w14:paraId="634F6929" w14:textId="77777777" w:rsidTr="00813B65">
        <w:trPr>
          <w:trHeight w:val="1870"/>
        </w:trPr>
        <w:tc>
          <w:tcPr>
            <w:tcW w:w="1231" w:type="dxa"/>
          </w:tcPr>
          <w:p w14:paraId="79A871CE" w14:textId="77777777" w:rsidR="00872C03" w:rsidRPr="00883399" w:rsidRDefault="00872C03" w:rsidP="0031057E">
            <w:pPr>
              <w:spacing w:before="120"/>
              <w:jc w:val="center"/>
              <w:rPr>
                <w:color w:val="000000"/>
                <w:sz w:val="18"/>
                <w:szCs w:val="18"/>
              </w:rPr>
            </w:pPr>
            <w:r w:rsidRPr="00883399">
              <w:rPr>
                <w:color w:val="000000"/>
                <w:sz w:val="18"/>
                <w:szCs w:val="18"/>
              </w:rPr>
              <w:t>Measurement (time)</w:t>
            </w:r>
          </w:p>
        </w:tc>
        <w:tc>
          <w:tcPr>
            <w:tcW w:w="966" w:type="dxa"/>
          </w:tcPr>
          <w:p w14:paraId="4E22F721" w14:textId="77777777" w:rsidR="00872C03" w:rsidRPr="00883399" w:rsidRDefault="00872C03" w:rsidP="0031057E">
            <w:pPr>
              <w:spacing w:before="120"/>
              <w:jc w:val="center"/>
              <w:rPr>
                <w:color w:val="000000"/>
                <w:sz w:val="18"/>
                <w:szCs w:val="18"/>
              </w:rPr>
            </w:pPr>
            <w:r w:rsidRPr="00883399">
              <w:rPr>
                <w:color w:val="000000"/>
                <w:sz w:val="18"/>
                <w:szCs w:val="18"/>
              </w:rPr>
              <w:t>MM</w:t>
            </w:r>
            <w:r w:rsidRPr="00883399">
              <w:rPr>
                <w:color w:val="000000"/>
                <w:sz w:val="18"/>
                <w:szCs w:val="18"/>
                <w:vertAlign w:val="subscript"/>
              </w:rPr>
              <w:t>ct</w:t>
            </w:r>
            <w:r w:rsidRPr="00883399">
              <w:rPr>
                <w:color w:val="000000"/>
                <w:sz w:val="18"/>
                <w:szCs w:val="18"/>
              </w:rPr>
              <w:t xml:space="preserve"> (CO</w:t>
            </w:r>
            <w:r w:rsidRPr="00883399">
              <w:rPr>
                <w:color w:val="000000"/>
                <w:sz w:val="18"/>
                <w:szCs w:val="18"/>
                <w:vertAlign w:val="subscript"/>
              </w:rPr>
              <w:t>2</w:t>
            </w:r>
            <w:r w:rsidRPr="00883399">
              <w:rPr>
                <w:color w:val="000000"/>
                <w:sz w:val="18"/>
                <w:szCs w:val="18"/>
              </w:rPr>
              <w:t xml:space="preserve"> tonnes per kilomole)</w:t>
            </w:r>
          </w:p>
          <w:p w14:paraId="2E6F7A3E" w14:textId="77777777" w:rsidR="00872C03" w:rsidRPr="00883399" w:rsidRDefault="00872C03" w:rsidP="0031057E">
            <w:pPr>
              <w:spacing w:before="120"/>
              <w:jc w:val="center"/>
              <w:rPr>
                <w:color w:val="000000"/>
                <w:sz w:val="18"/>
                <w:szCs w:val="18"/>
              </w:rPr>
            </w:pPr>
          </w:p>
        </w:tc>
        <w:tc>
          <w:tcPr>
            <w:tcW w:w="841" w:type="dxa"/>
          </w:tcPr>
          <w:p w14:paraId="05B15A6B" w14:textId="77777777" w:rsidR="00872C03" w:rsidRPr="00883399" w:rsidRDefault="00872C03" w:rsidP="0031057E">
            <w:pPr>
              <w:spacing w:before="120"/>
              <w:jc w:val="center"/>
              <w:rPr>
                <w:color w:val="000000"/>
                <w:sz w:val="18"/>
                <w:szCs w:val="18"/>
              </w:rPr>
            </w:pPr>
            <w:r w:rsidRPr="00883399">
              <w:rPr>
                <w:color w:val="000000"/>
                <w:sz w:val="18"/>
                <w:szCs w:val="18"/>
              </w:rPr>
              <w:t>P</w:t>
            </w:r>
            <w:r w:rsidRPr="00883399">
              <w:rPr>
                <w:color w:val="000000"/>
                <w:sz w:val="18"/>
                <w:szCs w:val="18"/>
                <w:vertAlign w:val="subscript"/>
              </w:rPr>
              <w:t xml:space="preserve">ct </w:t>
            </w:r>
            <w:r w:rsidRPr="00883399">
              <w:rPr>
                <w:color w:val="000000"/>
                <w:sz w:val="18"/>
                <w:szCs w:val="18"/>
              </w:rPr>
              <w:t>(kPa)</w:t>
            </w:r>
          </w:p>
          <w:p w14:paraId="7FE66FB1" w14:textId="77777777" w:rsidR="00872C03" w:rsidRPr="00883399" w:rsidRDefault="00872C03" w:rsidP="0031057E">
            <w:pPr>
              <w:spacing w:before="120"/>
              <w:jc w:val="center"/>
              <w:rPr>
                <w:color w:val="000000"/>
                <w:sz w:val="18"/>
                <w:szCs w:val="18"/>
              </w:rPr>
            </w:pPr>
          </w:p>
          <w:p w14:paraId="4657DBAD" w14:textId="77777777" w:rsidR="00872C03" w:rsidRPr="00883399" w:rsidRDefault="00872C03" w:rsidP="0031057E">
            <w:pPr>
              <w:spacing w:before="120"/>
              <w:jc w:val="center"/>
              <w:rPr>
                <w:color w:val="000000"/>
                <w:sz w:val="18"/>
                <w:szCs w:val="18"/>
              </w:rPr>
            </w:pPr>
          </w:p>
          <w:p w14:paraId="339357C9" w14:textId="77777777" w:rsidR="00872C03" w:rsidRPr="00883399" w:rsidRDefault="00872C03" w:rsidP="0031057E">
            <w:pPr>
              <w:spacing w:before="120"/>
              <w:jc w:val="center"/>
              <w:rPr>
                <w:color w:val="000000"/>
                <w:sz w:val="18"/>
                <w:szCs w:val="18"/>
              </w:rPr>
            </w:pPr>
          </w:p>
        </w:tc>
        <w:tc>
          <w:tcPr>
            <w:tcW w:w="867" w:type="dxa"/>
          </w:tcPr>
          <w:p w14:paraId="369B8EFD" w14:textId="77777777" w:rsidR="00872C03" w:rsidRPr="00883399" w:rsidRDefault="00872C03" w:rsidP="0031057E">
            <w:pPr>
              <w:spacing w:before="120"/>
              <w:jc w:val="center"/>
              <w:rPr>
                <w:color w:val="000000"/>
                <w:sz w:val="18"/>
                <w:szCs w:val="18"/>
              </w:rPr>
            </w:pPr>
            <w:r w:rsidRPr="00883399">
              <w:rPr>
                <w:color w:val="000000"/>
                <w:sz w:val="18"/>
                <w:szCs w:val="18"/>
              </w:rPr>
              <w:t>FR</w:t>
            </w:r>
            <w:r w:rsidRPr="00883399">
              <w:rPr>
                <w:color w:val="000000"/>
                <w:sz w:val="18"/>
                <w:szCs w:val="18"/>
                <w:vertAlign w:val="subscript"/>
              </w:rPr>
              <w:t>ct</w:t>
            </w:r>
          </w:p>
          <w:p w14:paraId="08C95901" w14:textId="77777777" w:rsidR="00872C03" w:rsidRPr="00883399" w:rsidRDefault="00872C03" w:rsidP="0031057E">
            <w:pPr>
              <w:spacing w:before="120"/>
              <w:jc w:val="center"/>
              <w:rPr>
                <w:color w:val="000000"/>
                <w:sz w:val="18"/>
                <w:szCs w:val="18"/>
              </w:rPr>
            </w:pPr>
            <w:r w:rsidRPr="00883399">
              <w:rPr>
                <w:color w:val="000000"/>
                <w:sz w:val="18"/>
                <w:szCs w:val="18"/>
              </w:rPr>
              <w:t>(M</w:t>
            </w:r>
            <w:r w:rsidRPr="00883399">
              <w:rPr>
                <w:color w:val="000000"/>
                <w:sz w:val="18"/>
                <w:szCs w:val="18"/>
                <w:vertAlign w:val="superscript"/>
              </w:rPr>
              <w:t>3</w:t>
            </w:r>
            <w:r w:rsidRPr="00883399">
              <w:rPr>
                <w:color w:val="000000"/>
                <w:sz w:val="18"/>
                <w:szCs w:val="18"/>
              </w:rPr>
              <w:t>/sec)</w:t>
            </w:r>
          </w:p>
          <w:p w14:paraId="2F682DB7" w14:textId="77777777" w:rsidR="00872C03" w:rsidRPr="00883399" w:rsidRDefault="00872C03" w:rsidP="0031057E">
            <w:pPr>
              <w:spacing w:before="120"/>
              <w:jc w:val="center"/>
              <w:rPr>
                <w:color w:val="000000"/>
                <w:sz w:val="18"/>
                <w:szCs w:val="18"/>
              </w:rPr>
            </w:pPr>
          </w:p>
          <w:p w14:paraId="4AAEA1B8" w14:textId="77777777" w:rsidR="00872C03" w:rsidRPr="00883399" w:rsidRDefault="00872C03" w:rsidP="0031057E">
            <w:pPr>
              <w:spacing w:before="120"/>
              <w:jc w:val="center"/>
              <w:rPr>
                <w:color w:val="000000"/>
                <w:sz w:val="18"/>
                <w:szCs w:val="18"/>
              </w:rPr>
            </w:pPr>
          </w:p>
        </w:tc>
        <w:tc>
          <w:tcPr>
            <w:tcW w:w="679" w:type="dxa"/>
          </w:tcPr>
          <w:p w14:paraId="287EDA53" w14:textId="77777777" w:rsidR="00872C03" w:rsidRPr="00883399" w:rsidRDefault="00872C03" w:rsidP="0031057E">
            <w:pPr>
              <w:spacing w:before="120"/>
              <w:jc w:val="center"/>
              <w:rPr>
                <w:color w:val="000000"/>
                <w:sz w:val="18"/>
                <w:szCs w:val="18"/>
              </w:rPr>
            </w:pPr>
            <w:r w:rsidRPr="00883399">
              <w:rPr>
                <w:color w:val="000000"/>
                <w:sz w:val="18"/>
                <w:szCs w:val="18"/>
              </w:rPr>
              <w:t>C</w:t>
            </w:r>
            <w:r w:rsidRPr="00883399">
              <w:rPr>
                <w:color w:val="000000"/>
                <w:sz w:val="18"/>
                <w:szCs w:val="18"/>
                <w:vertAlign w:val="subscript"/>
              </w:rPr>
              <w:t>jct</w:t>
            </w:r>
          </w:p>
          <w:p w14:paraId="258A6AC3" w14:textId="77777777" w:rsidR="00872C03" w:rsidRPr="00883399" w:rsidRDefault="00872C03" w:rsidP="0031057E">
            <w:pPr>
              <w:spacing w:before="120"/>
              <w:jc w:val="center"/>
              <w:rPr>
                <w:color w:val="000000"/>
                <w:sz w:val="18"/>
                <w:szCs w:val="18"/>
              </w:rPr>
            </w:pPr>
            <w:r w:rsidRPr="00883399">
              <w:rPr>
                <w:color w:val="000000"/>
                <w:sz w:val="18"/>
                <w:szCs w:val="18"/>
              </w:rPr>
              <w:t>(v/v)</w:t>
            </w:r>
          </w:p>
          <w:p w14:paraId="4A2E6EB1" w14:textId="77777777" w:rsidR="00872C03" w:rsidRPr="00883399" w:rsidRDefault="00872C03" w:rsidP="0031057E">
            <w:pPr>
              <w:spacing w:before="120"/>
              <w:jc w:val="center"/>
              <w:rPr>
                <w:color w:val="000000"/>
                <w:sz w:val="18"/>
                <w:szCs w:val="18"/>
              </w:rPr>
            </w:pPr>
          </w:p>
          <w:p w14:paraId="72594A73" w14:textId="77777777" w:rsidR="00872C03" w:rsidRPr="00883399" w:rsidRDefault="00872C03" w:rsidP="0031057E">
            <w:pPr>
              <w:spacing w:before="120"/>
              <w:jc w:val="center"/>
              <w:rPr>
                <w:color w:val="000000"/>
                <w:sz w:val="18"/>
                <w:szCs w:val="18"/>
              </w:rPr>
            </w:pPr>
          </w:p>
        </w:tc>
        <w:tc>
          <w:tcPr>
            <w:tcW w:w="945" w:type="dxa"/>
          </w:tcPr>
          <w:p w14:paraId="668A08EC" w14:textId="77777777" w:rsidR="00872C03" w:rsidRPr="00883399" w:rsidRDefault="00872C03" w:rsidP="0031057E">
            <w:pPr>
              <w:spacing w:before="120"/>
              <w:jc w:val="center"/>
              <w:rPr>
                <w:color w:val="000000"/>
                <w:sz w:val="18"/>
                <w:szCs w:val="18"/>
              </w:rPr>
            </w:pPr>
            <w:r w:rsidRPr="00883399">
              <w:rPr>
                <w:color w:val="000000"/>
                <w:sz w:val="18"/>
                <w:szCs w:val="18"/>
              </w:rPr>
              <w:t>Gas constant</w:t>
            </w:r>
          </w:p>
          <w:p w14:paraId="58853C58" w14:textId="77777777" w:rsidR="00872C03" w:rsidRPr="00883399" w:rsidRDefault="00872C03" w:rsidP="0031057E">
            <w:pPr>
              <w:spacing w:before="120"/>
              <w:jc w:val="center"/>
              <w:rPr>
                <w:color w:val="000000"/>
                <w:sz w:val="18"/>
                <w:szCs w:val="18"/>
              </w:rPr>
            </w:pPr>
          </w:p>
          <w:p w14:paraId="0A68EA6B" w14:textId="77777777" w:rsidR="00872C03" w:rsidRPr="00883399" w:rsidRDefault="00872C03" w:rsidP="0031057E">
            <w:pPr>
              <w:spacing w:before="120"/>
              <w:jc w:val="center"/>
              <w:rPr>
                <w:color w:val="000000"/>
                <w:sz w:val="18"/>
                <w:szCs w:val="18"/>
              </w:rPr>
            </w:pPr>
          </w:p>
        </w:tc>
        <w:tc>
          <w:tcPr>
            <w:tcW w:w="922" w:type="dxa"/>
          </w:tcPr>
          <w:p w14:paraId="75F5B44E" w14:textId="77777777" w:rsidR="00872C03" w:rsidRPr="00883399" w:rsidRDefault="00872C03" w:rsidP="0031057E">
            <w:pPr>
              <w:spacing w:before="120"/>
              <w:jc w:val="center"/>
              <w:rPr>
                <w:color w:val="000000"/>
                <w:sz w:val="18"/>
                <w:szCs w:val="18"/>
              </w:rPr>
            </w:pPr>
            <w:r w:rsidRPr="00883399">
              <w:rPr>
                <w:color w:val="000000"/>
                <w:sz w:val="18"/>
                <w:szCs w:val="18"/>
              </w:rPr>
              <w:t>T</w:t>
            </w:r>
            <w:r w:rsidRPr="00883399">
              <w:rPr>
                <w:color w:val="000000"/>
                <w:sz w:val="18"/>
                <w:szCs w:val="18"/>
                <w:vertAlign w:val="subscript"/>
              </w:rPr>
              <w:t>ct</w:t>
            </w:r>
          </w:p>
          <w:p w14:paraId="6E12FF55" w14:textId="77777777" w:rsidR="00872C03" w:rsidRPr="00883399" w:rsidRDefault="00872C03" w:rsidP="0031057E">
            <w:pPr>
              <w:spacing w:before="120"/>
              <w:jc w:val="center"/>
              <w:rPr>
                <w:color w:val="000000"/>
                <w:sz w:val="18"/>
                <w:szCs w:val="18"/>
              </w:rPr>
            </w:pPr>
            <w:r w:rsidRPr="00883399">
              <w:rPr>
                <w:color w:val="000000"/>
                <w:sz w:val="18"/>
                <w:szCs w:val="18"/>
              </w:rPr>
              <w:t>(degrees Kelvin)</w:t>
            </w:r>
          </w:p>
          <w:p w14:paraId="69DA4867" w14:textId="77777777" w:rsidR="00872C03" w:rsidRPr="00883399" w:rsidRDefault="00872C03" w:rsidP="0031057E">
            <w:pPr>
              <w:spacing w:before="120"/>
              <w:jc w:val="center"/>
              <w:rPr>
                <w:color w:val="000000"/>
                <w:sz w:val="18"/>
                <w:szCs w:val="18"/>
              </w:rPr>
            </w:pPr>
          </w:p>
        </w:tc>
        <w:tc>
          <w:tcPr>
            <w:tcW w:w="1018" w:type="dxa"/>
          </w:tcPr>
          <w:p w14:paraId="7618803D" w14:textId="77777777" w:rsidR="00872C03" w:rsidRPr="00883399" w:rsidRDefault="00872C03" w:rsidP="0031057E">
            <w:pPr>
              <w:spacing w:before="120"/>
              <w:jc w:val="center"/>
              <w:rPr>
                <w:color w:val="000000"/>
                <w:sz w:val="18"/>
                <w:szCs w:val="18"/>
              </w:rPr>
            </w:pPr>
            <w:r w:rsidRPr="00883399">
              <w:rPr>
                <w:color w:val="000000"/>
                <w:sz w:val="18"/>
                <w:szCs w:val="18"/>
              </w:rPr>
              <w:t>Emission rate</w:t>
            </w:r>
          </w:p>
          <w:p w14:paraId="24FCA8C9" w14:textId="77777777" w:rsidR="00872C03" w:rsidRPr="00883399" w:rsidRDefault="00872C03" w:rsidP="0031057E">
            <w:pPr>
              <w:spacing w:before="120"/>
              <w:jc w:val="center"/>
              <w:rPr>
                <w:color w:val="000000"/>
                <w:sz w:val="18"/>
                <w:szCs w:val="18"/>
              </w:rPr>
            </w:pPr>
            <w:r w:rsidRPr="00883399">
              <w:rPr>
                <w:color w:val="000000"/>
                <w:sz w:val="18"/>
                <w:szCs w:val="18"/>
              </w:rPr>
              <w:t>(CH</w:t>
            </w:r>
            <w:r w:rsidRPr="00883399">
              <w:rPr>
                <w:color w:val="000000"/>
                <w:sz w:val="18"/>
                <w:szCs w:val="18"/>
                <w:vertAlign w:val="subscript"/>
              </w:rPr>
              <w:t>4</w:t>
            </w:r>
            <w:r w:rsidRPr="00883399">
              <w:rPr>
                <w:color w:val="000000"/>
                <w:sz w:val="18"/>
                <w:szCs w:val="18"/>
              </w:rPr>
              <w:t xml:space="preserve"> tonnes per sec) </w:t>
            </w:r>
          </w:p>
        </w:tc>
        <w:tc>
          <w:tcPr>
            <w:tcW w:w="1018" w:type="dxa"/>
          </w:tcPr>
          <w:p w14:paraId="0BE3EDFB" w14:textId="77777777" w:rsidR="00872C03" w:rsidRPr="00883399" w:rsidRDefault="00872C03" w:rsidP="0031057E">
            <w:pPr>
              <w:spacing w:before="120"/>
              <w:jc w:val="center"/>
              <w:rPr>
                <w:color w:val="000000"/>
                <w:sz w:val="18"/>
                <w:szCs w:val="18"/>
              </w:rPr>
            </w:pPr>
            <w:r w:rsidRPr="00883399">
              <w:rPr>
                <w:color w:val="000000"/>
                <w:sz w:val="18"/>
                <w:szCs w:val="18"/>
              </w:rPr>
              <w:t>Emission rate</w:t>
            </w:r>
          </w:p>
          <w:p w14:paraId="422D6A2F" w14:textId="77777777" w:rsidR="00872C03" w:rsidRPr="00883399" w:rsidRDefault="00872C03" w:rsidP="0031057E">
            <w:pPr>
              <w:spacing w:before="120"/>
              <w:jc w:val="center"/>
              <w:rPr>
                <w:color w:val="000000"/>
                <w:sz w:val="18"/>
                <w:szCs w:val="18"/>
              </w:rPr>
            </w:pPr>
            <w:r w:rsidRPr="00883399">
              <w:rPr>
                <w:color w:val="000000"/>
                <w:sz w:val="18"/>
                <w:szCs w:val="18"/>
              </w:rPr>
              <w:t>(CO</w:t>
            </w:r>
            <w:r w:rsidRPr="00883399">
              <w:rPr>
                <w:color w:val="000000"/>
                <w:sz w:val="18"/>
                <w:szCs w:val="18"/>
                <w:vertAlign w:val="subscript"/>
              </w:rPr>
              <w:t>2</w:t>
            </w:r>
            <w:r w:rsidRPr="00883399">
              <w:rPr>
                <w:color w:val="000000"/>
                <w:sz w:val="18"/>
                <w:szCs w:val="18"/>
              </w:rPr>
              <w:t>-e tonnes per sec)</w:t>
            </w:r>
          </w:p>
        </w:tc>
      </w:tr>
      <w:tr w:rsidR="00872C03" w:rsidRPr="00883399" w14:paraId="4BB53FBC" w14:textId="77777777" w:rsidTr="00813B65">
        <w:trPr>
          <w:trHeight w:val="504"/>
        </w:trPr>
        <w:tc>
          <w:tcPr>
            <w:tcW w:w="1231" w:type="dxa"/>
          </w:tcPr>
          <w:p w14:paraId="78822CCC" w14:textId="77777777" w:rsidR="00872C03" w:rsidRPr="00883399" w:rsidRDefault="00872C03" w:rsidP="0031057E">
            <w:pPr>
              <w:spacing w:before="120" w:line="312" w:lineRule="auto"/>
              <w:jc w:val="center"/>
              <w:rPr>
                <w:rFonts w:ascii="Arial" w:hAnsi="Arial"/>
                <w:color w:val="000000"/>
                <w:sz w:val="18"/>
                <w:szCs w:val="18"/>
              </w:rPr>
            </w:pPr>
          </w:p>
        </w:tc>
        <w:tc>
          <w:tcPr>
            <w:tcW w:w="966" w:type="dxa"/>
          </w:tcPr>
          <w:p w14:paraId="34FD8552" w14:textId="77777777" w:rsidR="00872C03" w:rsidRPr="00883399" w:rsidRDefault="00872C03" w:rsidP="0031057E">
            <w:pPr>
              <w:spacing w:before="120" w:line="312" w:lineRule="auto"/>
              <w:jc w:val="center"/>
              <w:rPr>
                <w:rFonts w:ascii="Arial" w:hAnsi="Arial"/>
                <w:color w:val="000000"/>
                <w:sz w:val="18"/>
                <w:szCs w:val="18"/>
              </w:rPr>
            </w:pPr>
            <w:r w:rsidRPr="00883399">
              <w:rPr>
                <w:rFonts w:ascii="Arial" w:hAnsi="Arial"/>
                <w:color w:val="000000"/>
                <w:sz w:val="18"/>
                <w:szCs w:val="18"/>
              </w:rPr>
              <w:t>a</w:t>
            </w:r>
          </w:p>
        </w:tc>
        <w:tc>
          <w:tcPr>
            <w:tcW w:w="841" w:type="dxa"/>
          </w:tcPr>
          <w:p w14:paraId="7CF07453" w14:textId="77777777" w:rsidR="00872C03" w:rsidRPr="00883399" w:rsidRDefault="00872C03" w:rsidP="0031057E">
            <w:pPr>
              <w:spacing w:before="120" w:line="312" w:lineRule="auto"/>
              <w:jc w:val="center"/>
              <w:rPr>
                <w:rFonts w:ascii="Arial" w:hAnsi="Arial"/>
                <w:color w:val="000000"/>
                <w:sz w:val="18"/>
                <w:szCs w:val="18"/>
              </w:rPr>
            </w:pPr>
            <w:r w:rsidRPr="00883399">
              <w:rPr>
                <w:rFonts w:ascii="Arial" w:hAnsi="Arial"/>
                <w:color w:val="000000"/>
                <w:sz w:val="18"/>
                <w:szCs w:val="18"/>
              </w:rPr>
              <w:t>b</w:t>
            </w:r>
          </w:p>
        </w:tc>
        <w:tc>
          <w:tcPr>
            <w:tcW w:w="867" w:type="dxa"/>
          </w:tcPr>
          <w:p w14:paraId="2FAB96AE" w14:textId="77777777" w:rsidR="00872C03" w:rsidRPr="00883399" w:rsidRDefault="00872C03" w:rsidP="0031057E">
            <w:pPr>
              <w:spacing w:before="120" w:line="312" w:lineRule="auto"/>
              <w:jc w:val="center"/>
              <w:rPr>
                <w:rFonts w:ascii="Arial" w:hAnsi="Arial"/>
                <w:color w:val="000000"/>
                <w:sz w:val="18"/>
                <w:szCs w:val="18"/>
              </w:rPr>
            </w:pPr>
            <w:r w:rsidRPr="00883399">
              <w:rPr>
                <w:rFonts w:ascii="Arial" w:hAnsi="Arial"/>
                <w:color w:val="000000"/>
                <w:sz w:val="18"/>
                <w:szCs w:val="18"/>
              </w:rPr>
              <w:t>c</w:t>
            </w:r>
          </w:p>
        </w:tc>
        <w:tc>
          <w:tcPr>
            <w:tcW w:w="679" w:type="dxa"/>
          </w:tcPr>
          <w:p w14:paraId="64C054DF" w14:textId="77777777" w:rsidR="00872C03" w:rsidRPr="00883399" w:rsidRDefault="00872C03" w:rsidP="0031057E">
            <w:pPr>
              <w:spacing w:before="120" w:line="312" w:lineRule="auto"/>
              <w:jc w:val="center"/>
              <w:rPr>
                <w:rFonts w:ascii="Arial" w:hAnsi="Arial"/>
                <w:color w:val="000000"/>
                <w:sz w:val="18"/>
                <w:szCs w:val="18"/>
              </w:rPr>
            </w:pPr>
            <w:r w:rsidRPr="00883399">
              <w:rPr>
                <w:rFonts w:ascii="Arial" w:hAnsi="Arial"/>
                <w:color w:val="000000"/>
                <w:sz w:val="18"/>
                <w:szCs w:val="18"/>
              </w:rPr>
              <w:t>d</w:t>
            </w:r>
          </w:p>
        </w:tc>
        <w:tc>
          <w:tcPr>
            <w:tcW w:w="945" w:type="dxa"/>
          </w:tcPr>
          <w:p w14:paraId="4184C9AD" w14:textId="77777777" w:rsidR="00872C03" w:rsidRPr="00883399" w:rsidRDefault="00872C03" w:rsidP="0031057E">
            <w:pPr>
              <w:spacing w:before="120" w:line="312" w:lineRule="auto"/>
              <w:jc w:val="center"/>
              <w:rPr>
                <w:rFonts w:ascii="Arial" w:hAnsi="Arial"/>
                <w:color w:val="000000"/>
                <w:sz w:val="18"/>
                <w:szCs w:val="18"/>
              </w:rPr>
            </w:pPr>
            <w:r w:rsidRPr="00883399">
              <w:rPr>
                <w:rFonts w:ascii="Arial" w:hAnsi="Arial"/>
                <w:color w:val="000000"/>
                <w:sz w:val="18"/>
                <w:szCs w:val="18"/>
              </w:rPr>
              <w:t>e</w:t>
            </w:r>
          </w:p>
        </w:tc>
        <w:tc>
          <w:tcPr>
            <w:tcW w:w="922" w:type="dxa"/>
          </w:tcPr>
          <w:p w14:paraId="1E39C372" w14:textId="77777777" w:rsidR="00872C03" w:rsidRPr="00883399" w:rsidRDefault="00872C03" w:rsidP="0031057E">
            <w:pPr>
              <w:spacing w:before="120" w:line="312" w:lineRule="auto"/>
              <w:jc w:val="center"/>
              <w:rPr>
                <w:rFonts w:ascii="Arial" w:hAnsi="Arial"/>
                <w:color w:val="000000"/>
                <w:sz w:val="18"/>
                <w:szCs w:val="18"/>
              </w:rPr>
            </w:pPr>
            <w:r w:rsidRPr="00883399">
              <w:rPr>
                <w:rFonts w:ascii="Arial" w:hAnsi="Arial"/>
                <w:color w:val="000000"/>
                <w:sz w:val="18"/>
                <w:szCs w:val="18"/>
              </w:rPr>
              <w:t>f</w:t>
            </w:r>
          </w:p>
        </w:tc>
        <w:tc>
          <w:tcPr>
            <w:tcW w:w="1018" w:type="dxa"/>
          </w:tcPr>
          <w:p w14:paraId="290BBED6" w14:textId="77777777" w:rsidR="00872C03" w:rsidRPr="00883399" w:rsidRDefault="00872C03" w:rsidP="0031057E">
            <w:pPr>
              <w:spacing w:before="120" w:line="312" w:lineRule="auto"/>
              <w:jc w:val="center"/>
              <w:rPr>
                <w:rFonts w:ascii="Arial" w:hAnsi="Arial"/>
                <w:color w:val="000000"/>
                <w:sz w:val="18"/>
                <w:szCs w:val="18"/>
              </w:rPr>
            </w:pPr>
            <w:r w:rsidRPr="00883399">
              <w:rPr>
                <w:rFonts w:ascii="Arial" w:hAnsi="Arial"/>
                <w:color w:val="000000"/>
                <w:sz w:val="18"/>
                <w:szCs w:val="18"/>
              </w:rPr>
              <w:t>g</w:t>
            </w:r>
          </w:p>
        </w:tc>
        <w:tc>
          <w:tcPr>
            <w:tcW w:w="1018" w:type="dxa"/>
          </w:tcPr>
          <w:p w14:paraId="42A4EA17" w14:textId="77777777" w:rsidR="00872C03" w:rsidRPr="00883399" w:rsidRDefault="00872C03" w:rsidP="0031057E">
            <w:pPr>
              <w:spacing w:before="120" w:line="312" w:lineRule="auto"/>
              <w:jc w:val="center"/>
              <w:rPr>
                <w:rFonts w:ascii="Arial" w:hAnsi="Arial"/>
                <w:color w:val="000000"/>
                <w:sz w:val="18"/>
                <w:szCs w:val="18"/>
              </w:rPr>
            </w:pPr>
            <w:r w:rsidRPr="00883399">
              <w:rPr>
                <w:rFonts w:ascii="Arial" w:hAnsi="Arial"/>
                <w:color w:val="000000"/>
                <w:sz w:val="18"/>
                <w:szCs w:val="18"/>
              </w:rPr>
              <w:t>H</w:t>
            </w:r>
          </w:p>
        </w:tc>
      </w:tr>
      <w:tr w:rsidR="00872C03" w:rsidRPr="00883399" w14:paraId="27D49088" w14:textId="77777777" w:rsidTr="00813B65">
        <w:trPr>
          <w:trHeight w:val="492"/>
        </w:trPr>
        <w:tc>
          <w:tcPr>
            <w:tcW w:w="1231" w:type="dxa"/>
          </w:tcPr>
          <w:p w14:paraId="035ADECD"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1.00PM</w:t>
            </w:r>
          </w:p>
        </w:tc>
        <w:tc>
          <w:tcPr>
            <w:tcW w:w="966" w:type="dxa"/>
          </w:tcPr>
          <w:p w14:paraId="5022073C"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0.01604</w:t>
            </w:r>
          </w:p>
        </w:tc>
        <w:tc>
          <w:tcPr>
            <w:tcW w:w="841" w:type="dxa"/>
          </w:tcPr>
          <w:p w14:paraId="447C5B71"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101.300</w:t>
            </w:r>
          </w:p>
        </w:tc>
        <w:tc>
          <w:tcPr>
            <w:tcW w:w="867" w:type="dxa"/>
          </w:tcPr>
          <w:p w14:paraId="71CCE54D"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300</w:t>
            </w:r>
          </w:p>
        </w:tc>
        <w:tc>
          <w:tcPr>
            <w:tcW w:w="679" w:type="dxa"/>
          </w:tcPr>
          <w:p w14:paraId="5C85A059"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0.009</w:t>
            </w:r>
          </w:p>
        </w:tc>
        <w:tc>
          <w:tcPr>
            <w:tcW w:w="945" w:type="dxa"/>
          </w:tcPr>
          <w:p w14:paraId="0D656D66"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8.314</w:t>
            </w:r>
          </w:p>
        </w:tc>
        <w:tc>
          <w:tcPr>
            <w:tcW w:w="922" w:type="dxa"/>
          </w:tcPr>
          <w:p w14:paraId="07228739"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295.0</w:t>
            </w:r>
          </w:p>
        </w:tc>
        <w:tc>
          <w:tcPr>
            <w:tcW w:w="1018" w:type="dxa"/>
          </w:tcPr>
          <w:p w14:paraId="52AA4CC7"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1.79E-03</w:t>
            </w:r>
          </w:p>
        </w:tc>
        <w:tc>
          <w:tcPr>
            <w:tcW w:w="1018" w:type="dxa"/>
            <w:vAlign w:val="bottom"/>
          </w:tcPr>
          <w:p w14:paraId="6A505B89" w14:textId="77777777" w:rsidR="00872C03" w:rsidRPr="00883399" w:rsidRDefault="00813B65" w:rsidP="0031057E">
            <w:pPr>
              <w:spacing w:before="120" w:line="312" w:lineRule="auto"/>
              <w:jc w:val="center"/>
              <w:rPr>
                <w:color w:val="000000"/>
                <w:sz w:val="18"/>
                <w:szCs w:val="18"/>
              </w:rPr>
            </w:pPr>
            <w:r w:rsidRPr="00883399">
              <w:rPr>
                <w:color w:val="000000"/>
                <w:sz w:val="18"/>
                <w:szCs w:val="18"/>
              </w:rPr>
              <w:t>4.47</w:t>
            </w:r>
            <w:r w:rsidR="00872C03" w:rsidRPr="00883399">
              <w:rPr>
                <w:color w:val="000000"/>
                <w:sz w:val="18"/>
                <w:szCs w:val="18"/>
              </w:rPr>
              <w:t>E-02</w:t>
            </w:r>
          </w:p>
        </w:tc>
      </w:tr>
      <w:tr w:rsidR="00872C03" w:rsidRPr="00883399" w14:paraId="75BBAB6F" w14:textId="77777777" w:rsidTr="00813B65">
        <w:trPr>
          <w:trHeight w:val="492"/>
        </w:trPr>
        <w:tc>
          <w:tcPr>
            <w:tcW w:w="1231" w:type="dxa"/>
          </w:tcPr>
          <w:p w14:paraId="20B96B41"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1.15PM</w:t>
            </w:r>
          </w:p>
        </w:tc>
        <w:tc>
          <w:tcPr>
            <w:tcW w:w="966" w:type="dxa"/>
          </w:tcPr>
          <w:p w14:paraId="045458C9"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0.01604</w:t>
            </w:r>
          </w:p>
        </w:tc>
        <w:tc>
          <w:tcPr>
            <w:tcW w:w="841" w:type="dxa"/>
          </w:tcPr>
          <w:p w14:paraId="32DEC507"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101.320</w:t>
            </w:r>
          </w:p>
        </w:tc>
        <w:tc>
          <w:tcPr>
            <w:tcW w:w="867" w:type="dxa"/>
          </w:tcPr>
          <w:p w14:paraId="27396540"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310</w:t>
            </w:r>
          </w:p>
        </w:tc>
        <w:tc>
          <w:tcPr>
            <w:tcW w:w="679" w:type="dxa"/>
          </w:tcPr>
          <w:p w14:paraId="5FEE1B92"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0.012</w:t>
            </w:r>
          </w:p>
        </w:tc>
        <w:tc>
          <w:tcPr>
            <w:tcW w:w="945" w:type="dxa"/>
          </w:tcPr>
          <w:p w14:paraId="4CA48947"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8.314</w:t>
            </w:r>
          </w:p>
        </w:tc>
        <w:tc>
          <w:tcPr>
            <w:tcW w:w="922" w:type="dxa"/>
          </w:tcPr>
          <w:p w14:paraId="5F334F71"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295.5</w:t>
            </w:r>
          </w:p>
        </w:tc>
        <w:tc>
          <w:tcPr>
            <w:tcW w:w="1018" w:type="dxa"/>
          </w:tcPr>
          <w:p w14:paraId="4E7B9C68"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2.46E-03</w:t>
            </w:r>
          </w:p>
        </w:tc>
        <w:tc>
          <w:tcPr>
            <w:tcW w:w="1018" w:type="dxa"/>
            <w:vAlign w:val="bottom"/>
          </w:tcPr>
          <w:p w14:paraId="772C335F" w14:textId="77777777" w:rsidR="00872C03" w:rsidRPr="00883399" w:rsidRDefault="00813B65" w:rsidP="0031057E">
            <w:pPr>
              <w:spacing w:before="120" w:line="312" w:lineRule="auto"/>
              <w:jc w:val="center"/>
              <w:rPr>
                <w:color w:val="000000"/>
                <w:sz w:val="18"/>
                <w:szCs w:val="18"/>
              </w:rPr>
            </w:pPr>
            <w:r w:rsidRPr="00883399">
              <w:rPr>
                <w:color w:val="000000"/>
                <w:sz w:val="18"/>
                <w:szCs w:val="18"/>
              </w:rPr>
              <w:t>6.15</w:t>
            </w:r>
            <w:r w:rsidR="00872C03" w:rsidRPr="00883399">
              <w:rPr>
                <w:color w:val="000000"/>
                <w:sz w:val="18"/>
                <w:szCs w:val="18"/>
              </w:rPr>
              <w:t>E-02</w:t>
            </w:r>
          </w:p>
        </w:tc>
      </w:tr>
      <w:tr w:rsidR="00872C03" w:rsidRPr="00883399" w14:paraId="44E11565" w14:textId="77777777" w:rsidTr="00813B65">
        <w:trPr>
          <w:trHeight w:val="504"/>
        </w:trPr>
        <w:tc>
          <w:tcPr>
            <w:tcW w:w="1231" w:type="dxa"/>
          </w:tcPr>
          <w:p w14:paraId="3BACBF21"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1.30PM</w:t>
            </w:r>
          </w:p>
        </w:tc>
        <w:tc>
          <w:tcPr>
            <w:tcW w:w="966" w:type="dxa"/>
          </w:tcPr>
          <w:p w14:paraId="6D2D2DED"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0.01604</w:t>
            </w:r>
          </w:p>
        </w:tc>
        <w:tc>
          <w:tcPr>
            <w:tcW w:w="841" w:type="dxa"/>
          </w:tcPr>
          <w:p w14:paraId="7947CE3C"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101.315</w:t>
            </w:r>
          </w:p>
        </w:tc>
        <w:tc>
          <w:tcPr>
            <w:tcW w:w="867" w:type="dxa"/>
          </w:tcPr>
          <w:p w14:paraId="52BFDECA"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307</w:t>
            </w:r>
          </w:p>
        </w:tc>
        <w:tc>
          <w:tcPr>
            <w:tcW w:w="679" w:type="dxa"/>
          </w:tcPr>
          <w:p w14:paraId="25D2C320"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0.011</w:t>
            </w:r>
          </w:p>
        </w:tc>
        <w:tc>
          <w:tcPr>
            <w:tcW w:w="945" w:type="dxa"/>
          </w:tcPr>
          <w:p w14:paraId="21947101"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8.314</w:t>
            </w:r>
          </w:p>
        </w:tc>
        <w:tc>
          <w:tcPr>
            <w:tcW w:w="922" w:type="dxa"/>
          </w:tcPr>
          <w:p w14:paraId="56BFE6B0"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295.4</w:t>
            </w:r>
          </w:p>
        </w:tc>
        <w:tc>
          <w:tcPr>
            <w:tcW w:w="1018" w:type="dxa"/>
          </w:tcPr>
          <w:p w14:paraId="1B01D80A"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2.23E-03</w:t>
            </w:r>
          </w:p>
        </w:tc>
        <w:tc>
          <w:tcPr>
            <w:tcW w:w="1018" w:type="dxa"/>
            <w:vAlign w:val="bottom"/>
          </w:tcPr>
          <w:p w14:paraId="30C9B2E7" w14:textId="77777777" w:rsidR="00872C03" w:rsidRPr="00883399" w:rsidRDefault="00813B65" w:rsidP="0031057E">
            <w:pPr>
              <w:spacing w:before="120" w:line="312" w:lineRule="auto"/>
              <w:jc w:val="center"/>
              <w:rPr>
                <w:color w:val="000000"/>
                <w:sz w:val="18"/>
                <w:szCs w:val="18"/>
              </w:rPr>
            </w:pPr>
            <w:r w:rsidRPr="00883399">
              <w:rPr>
                <w:color w:val="000000"/>
                <w:sz w:val="18"/>
                <w:szCs w:val="18"/>
              </w:rPr>
              <w:t>5.59</w:t>
            </w:r>
            <w:r w:rsidR="00872C03" w:rsidRPr="00883399">
              <w:rPr>
                <w:color w:val="000000"/>
                <w:sz w:val="18"/>
                <w:szCs w:val="18"/>
              </w:rPr>
              <w:t>E-02</w:t>
            </w:r>
          </w:p>
        </w:tc>
      </w:tr>
      <w:tr w:rsidR="00872C03" w:rsidRPr="00883399" w14:paraId="6AF640FA" w14:textId="77777777" w:rsidTr="00813B65">
        <w:trPr>
          <w:trHeight w:val="492"/>
        </w:trPr>
        <w:tc>
          <w:tcPr>
            <w:tcW w:w="1231" w:type="dxa"/>
          </w:tcPr>
          <w:p w14:paraId="09FE967E"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1.45PM</w:t>
            </w:r>
          </w:p>
        </w:tc>
        <w:tc>
          <w:tcPr>
            <w:tcW w:w="966" w:type="dxa"/>
          </w:tcPr>
          <w:p w14:paraId="06E0083D"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0.01604</w:t>
            </w:r>
          </w:p>
        </w:tc>
        <w:tc>
          <w:tcPr>
            <w:tcW w:w="841" w:type="dxa"/>
          </w:tcPr>
          <w:p w14:paraId="5BA8C2EE"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101.315</w:t>
            </w:r>
          </w:p>
        </w:tc>
        <w:tc>
          <w:tcPr>
            <w:tcW w:w="867" w:type="dxa"/>
          </w:tcPr>
          <w:p w14:paraId="744B1C32"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305</w:t>
            </w:r>
          </w:p>
        </w:tc>
        <w:tc>
          <w:tcPr>
            <w:tcW w:w="679" w:type="dxa"/>
          </w:tcPr>
          <w:p w14:paraId="00858E0C"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0.010</w:t>
            </w:r>
          </w:p>
        </w:tc>
        <w:tc>
          <w:tcPr>
            <w:tcW w:w="945" w:type="dxa"/>
          </w:tcPr>
          <w:p w14:paraId="1EA71AC8"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8.314</w:t>
            </w:r>
          </w:p>
        </w:tc>
        <w:tc>
          <w:tcPr>
            <w:tcW w:w="922" w:type="dxa"/>
          </w:tcPr>
          <w:p w14:paraId="0BBB3BE2"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295.1</w:t>
            </w:r>
          </w:p>
        </w:tc>
        <w:tc>
          <w:tcPr>
            <w:tcW w:w="1018" w:type="dxa"/>
          </w:tcPr>
          <w:p w14:paraId="28F5082F"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2.02E-03</w:t>
            </w:r>
          </w:p>
        </w:tc>
        <w:tc>
          <w:tcPr>
            <w:tcW w:w="1018" w:type="dxa"/>
            <w:vAlign w:val="bottom"/>
          </w:tcPr>
          <w:p w14:paraId="5B47C24F" w14:textId="77777777" w:rsidR="00872C03" w:rsidRPr="00883399" w:rsidRDefault="00813B65" w:rsidP="0031057E">
            <w:pPr>
              <w:spacing w:before="120" w:line="312" w:lineRule="auto"/>
              <w:jc w:val="center"/>
              <w:rPr>
                <w:color w:val="000000"/>
                <w:sz w:val="18"/>
                <w:szCs w:val="18"/>
              </w:rPr>
            </w:pPr>
            <w:r w:rsidRPr="00883399">
              <w:rPr>
                <w:color w:val="000000"/>
                <w:sz w:val="18"/>
                <w:szCs w:val="18"/>
              </w:rPr>
              <w:t>5.05</w:t>
            </w:r>
            <w:r w:rsidR="00872C03" w:rsidRPr="00883399">
              <w:rPr>
                <w:color w:val="000000"/>
                <w:sz w:val="18"/>
                <w:szCs w:val="18"/>
              </w:rPr>
              <w:t>E-02</w:t>
            </w:r>
          </w:p>
        </w:tc>
      </w:tr>
      <w:tr w:rsidR="00872C03" w:rsidRPr="00883399" w14:paraId="27638942" w14:textId="77777777" w:rsidTr="00813B65">
        <w:trPr>
          <w:trHeight w:val="504"/>
        </w:trPr>
        <w:tc>
          <w:tcPr>
            <w:tcW w:w="1231" w:type="dxa"/>
          </w:tcPr>
          <w:p w14:paraId="0427AB1D"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2.00PM</w:t>
            </w:r>
          </w:p>
        </w:tc>
        <w:tc>
          <w:tcPr>
            <w:tcW w:w="966" w:type="dxa"/>
          </w:tcPr>
          <w:p w14:paraId="00DC276B"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0.01604</w:t>
            </w:r>
          </w:p>
        </w:tc>
        <w:tc>
          <w:tcPr>
            <w:tcW w:w="841" w:type="dxa"/>
          </w:tcPr>
          <w:p w14:paraId="18E0E9F9"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101.310</w:t>
            </w:r>
          </w:p>
        </w:tc>
        <w:tc>
          <w:tcPr>
            <w:tcW w:w="867" w:type="dxa"/>
          </w:tcPr>
          <w:p w14:paraId="077CAE7B"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303</w:t>
            </w:r>
          </w:p>
        </w:tc>
        <w:tc>
          <w:tcPr>
            <w:tcW w:w="679" w:type="dxa"/>
          </w:tcPr>
          <w:p w14:paraId="553E6C6D"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0.010</w:t>
            </w:r>
          </w:p>
        </w:tc>
        <w:tc>
          <w:tcPr>
            <w:tcW w:w="945" w:type="dxa"/>
          </w:tcPr>
          <w:p w14:paraId="56D27B95"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8.314</w:t>
            </w:r>
          </w:p>
        </w:tc>
        <w:tc>
          <w:tcPr>
            <w:tcW w:w="922" w:type="dxa"/>
          </w:tcPr>
          <w:p w14:paraId="63DBED86"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295.2</w:t>
            </w:r>
          </w:p>
        </w:tc>
        <w:tc>
          <w:tcPr>
            <w:tcW w:w="1018" w:type="dxa"/>
          </w:tcPr>
          <w:p w14:paraId="07342B30"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2.01E-03</w:t>
            </w:r>
          </w:p>
        </w:tc>
        <w:tc>
          <w:tcPr>
            <w:tcW w:w="1018" w:type="dxa"/>
            <w:vAlign w:val="bottom"/>
          </w:tcPr>
          <w:p w14:paraId="77698D6D" w14:textId="77777777" w:rsidR="00872C03" w:rsidRPr="00883399" w:rsidRDefault="00813B65" w:rsidP="0031057E">
            <w:pPr>
              <w:spacing w:before="120" w:line="312" w:lineRule="auto"/>
              <w:jc w:val="center"/>
              <w:rPr>
                <w:color w:val="000000"/>
                <w:sz w:val="18"/>
                <w:szCs w:val="18"/>
              </w:rPr>
            </w:pPr>
            <w:r w:rsidRPr="00883399">
              <w:rPr>
                <w:color w:val="000000"/>
                <w:sz w:val="18"/>
                <w:szCs w:val="18"/>
              </w:rPr>
              <w:t>5.02</w:t>
            </w:r>
            <w:r w:rsidR="00872C03" w:rsidRPr="00883399">
              <w:rPr>
                <w:color w:val="000000"/>
                <w:sz w:val="18"/>
                <w:szCs w:val="18"/>
              </w:rPr>
              <w:t>E-02</w:t>
            </w:r>
          </w:p>
        </w:tc>
      </w:tr>
      <w:tr w:rsidR="00872C03" w:rsidRPr="00883399" w14:paraId="23D6463F" w14:textId="77777777" w:rsidTr="00813B65">
        <w:trPr>
          <w:trHeight w:val="492"/>
        </w:trPr>
        <w:tc>
          <w:tcPr>
            <w:tcW w:w="1231" w:type="dxa"/>
          </w:tcPr>
          <w:p w14:paraId="309569CA"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2.15PM</w:t>
            </w:r>
          </w:p>
        </w:tc>
        <w:tc>
          <w:tcPr>
            <w:tcW w:w="966" w:type="dxa"/>
          </w:tcPr>
          <w:p w14:paraId="6F0848CA"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0.01604</w:t>
            </w:r>
          </w:p>
        </w:tc>
        <w:tc>
          <w:tcPr>
            <w:tcW w:w="841" w:type="dxa"/>
          </w:tcPr>
          <w:p w14:paraId="2BDD687E"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101.315</w:t>
            </w:r>
          </w:p>
        </w:tc>
        <w:tc>
          <w:tcPr>
            <w:tcW w:w="867" w:type="dxa"/>
          </w:tcPr>
          <w:p w14:paraId="67FE6E08"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304</w:t>
            </w:r>
          </w:p>
        </w:tc>
        <w:tc>
          <w:tcPr>
            <w:tcW w:w="679" w:type="dxa"/>
          </w:tcPr>
          <w:p w14:paraId="26D014F4"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0.011</w:t>
            </w:r>
          </w:p>
        </w:tc>
        <w:tc>
          <w:tcPr>
            <w:tcW w:w="945" w:type="dxa"/>
          </w:tcPr>
          <w:p w14:paraId="17C0ABA3"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8.314</w:t>
            </w:r>
          </w:p>
        </w:tc>
        <w:tc>
          <w:tcPr>
            <w:tcW w:w="922" w:type="dxa"/>
          </w:tcPr>
          <w:p w14:paraId="55853B45"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295.3</w:t>
            </w:r>
          </w:p>
        </w:tc>
        <w:tc>
          <w:tcPr>
            <w:tcW w:w="1018" w:type="dxa"/>
          </w:tcPr>
          <w:p w14:paraId="733FA29A"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2.21E-03</w:t>
            </w:r>
          </w:p>
        </w:tc>
        <w:tc>
          <w:tcPr>
            <w:tcW w:w="1018" w:type="dxa"/>
            <w:vAlign w:val="bottom"/>
          </w:tcPr>
          <w:p w14:paraId="6B4DD44C" w14:textId="77777777" w:rsidR="00872C03" w:rsidRPr="00883399" w:rsidRDefault="00813B65" w:rsidP="0031057E">
            <w:pPr>
              <w:spacing w:before="120" w:line="312" w:lineRule="auto"/>
              <w:jc w:val="center"/>
              <w:rPr>
                <w:color w:val="000000"/>
                <w:sz w:val="18"/>
                <w:szCs w:val="18"/>
              </w:rPr>
            </w:pPr>
            <w:r w:rsidRPr="00883399">
              <w:rPr>
                <w:color w:val="000000"/>
                <w:sz w:val="18"/>
                <w:szCs w:val="18"/>
              </w:rPr>
              <w:t>5.53</w:t>
            </w:r>
            <w:r w:rsidR="00872C03" w:rsidRPr="00883399">
              <w:rPr>
                <w:color w:val="000000"/>
                <w:sz w:val="18"/>
                <w:szCs w:val="18"/>
              </w:rPr>
              <w:t>E-02</w:t>
            </w:r>
          </w:p>
        </w:tc>
      </w:tr>
      <w:tr w:rsidR="00872C03" w:rsidRPr="00883399" w14:paraId="0E5E8A17" w14:textId="77777777" w:rsidTr="00813B65">
        <w:trPr>
          <w:trHeight w:val="504"/>
        </w:trPr>
        <w:tc>
          <w:tcPr>
            <w:tcW w:w="1231" w:type="dxa"/>
          </w:tcPr>
          <w:p w14:paraId="6E51A23F"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2.30PM</w:t>
            </w:r>
          </w:p>
        </w:tc>
        <w:tc>
          <w:tcPr>
            <w:tcW w:w="966" w:type="dxa"/>
          </w:tcPr>
          <w:p w14:paraId="4CCA300A"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0.01604</w:t>
            </w:r>
          </w:p>
        </w:tc>
        <w:tc>
          <w:tcPr>
            <w:tcW w:w="841" w:type="dxa"/>
          </w:tcPr>
          <w:p w14:paraId="03A1D1DE"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101.320</w:t>
            </w:r>
          </w:p>
        </w:tc>
        <w:tc>
          <w:tcPr>
            <w:tcW w:w="867" w:type="dxa"/>
          </w:tcPr>
          <w:p w14:paraId="71FCEA24"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308</w:t>
            </w:r>
          </w:p>
        </w:tc>
        <w:tc>
          <w:tcPr>
            <w:tcW w:w="679" w:type="dxa"/>
          </w:tcPr>
          <w:p w14:paraId="0EAF65A3"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0.011</w:t>
            </w:r>
          </w:p>
        </w:tc>
        <w:tc>
          <w:tcPr>
            <w:tcW w:w="945" w:type="dxa"/>
          </w:tcPr>
          <w:p w14:paraId="79DAC9BF"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8.314</w:t>
            </w:r>
          </w:p>
        </w:tc>
        <w:tc>
          <w:tcPr>
            <w:tcW w:w="922" w:type="dxa"/>
          </w:tcPr>
          <w:p w14:paraId="597A92AE"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295.3</w:t>
            </w:r>
          </w:p>
        </w:tc>
        <w:tc>
          <w:tcPr>
            <w:tcW w:w="1018" w:type="dxa"/>
          </w:tcPr>
          <w:p w14:paraId="4E5A0570"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2.24E-03</w:t>
            </w:r>
          </w:p>
        </w:tc>
        <w:tc>
          <w:tcPr>
            <w:tcW w:w="1018" w:type="dxa"/>
            <w:vAlign w:val="bottom"/>
          </w:tcPr>
          <w:p w14:paraId="6E8F6690" w14:textId="77777777" w:rsidR="00872C03" w:rsidRPr="00883399" w:rsidRDefault="00813B65" w:rsidP="0031057E">
            <w:pPr>
              <w:spacing w:before="120" w:line="312" w:lineRule="auto"/>
              <w:jc w:val="center"/>
              <w:rPr>
                <w:color w:val="000000"/>
                <w:sz w:val="18"/>
                <w:szCs w:val="18"/>
              </w:rPr>
            </w:pPr>
            <w:r w:rsidRPr="00883399">
              <w:rPr>
                <w:color w:val="000000"/>
                <w:sz w:val="18"/>
                <w:szCs w:val="18"/>
              </w:rPr>
              <w:t>5.61</w:t>
            </w:r>
            <w:r w:rsidR="00872C03" w:rsidRPr="00883399">
              <w:rPr>
                <w:color w:val="000000"/>
                <w:sz w:val="18"/>
                <w:szCs w:val="18"/>
              </w:rPr>
              <w:t>E-02</w:t>
            </w:r>
          </w:p>
        </w:tc>
      </w:tr>
      <w:tr w:rsidR="00872C03" w:rsidRPr="00883399" w14:paraId="434960D6" w14:textId="77777777" w:rsidTr="00813B65">
        <w:trPr>
          <w:trHeight w:val="504"/>
        </w:trPr>
        <w:tc>
          <w:tcPr>
            <w:tcW w:w="1231" w:type="dxa"/>
          </w:tcPr>
          <w:p w14:paraId="5BE45DDC"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2.45PM</w:t>
            </w:r>
          </w:p>
        </w:tc>
        <w:tc>
          <w:tcPr>
            <w:tcW w:w="966" w:type="dxa"/>
          </w:tcPr>
          <w:p w14:paraId="62F1A207"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0.01604</w:t>
            </w:r>
          </w:p>
        </w:tc>
        <w:tc>
          <w:tcPr>
            <w:tcW w:w="841" w:type="dxa"/>
          </w:tcPr>
          <w:p w14:paraId="6AE1CFF7"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101.320</w:t>
            </w:r>
          </w:p>
        </w:tc>
        <w:tc>
          <w:tcPr>
            <w:tcW w:w="867" w:type="dxa"/>
          </w:tcPr>
          <w:p w14:paraId="73F4265F"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311</w:t>
            </w:r>
          </w:p>
        </w:tc>
        <w:tc>
          <w:tcPr>
            <w:tcW w:w="679" w:type="dxa"/>
          </w:tcPr>
          <w:p w14:paraId="7870FD39"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0.012</w:t>
            </w:r>
          </w:p>
        </w:tc>
        <w:tc>
          <w:tcPr>
            <w:tcW w:w="945" w:type="dxa"/>
          </w:tcPr>
          <w:p w14:paraId="21AF7782"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8.314</w:t>
            </w:r>
          </w:p>
        </w:tc>
        <w:tc>
          <w:tcPr>
            <w:tcW w:w="922" w:type="dxa"/>
          </w:tcPr>
          <w:p w14:paraId="63887D2F"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295.4</w:t>
            </w:r>
          </w:p>
        </w:tc>
        <w:tc>
          <w:tcPr>
            <w:tcW w:w="1018" w:type="dxa"/>
          </w:tcPr>
          <w:p w14:paraId="06374E71" w14:textId="77777777" w:rsidR="00872C03" w:rsidRPr="00883399" w:rsidRDefault="00872C03" w:rsidP="0031057E">
            <w:pPr>
              <w:spacing w:before="120" w:line="312" w:lineRule="auto"/>
              <w:jc w:val="center"/>
              <w:rPr>
                <w:color w:val="000000"/>
                <w:sz w:val="18"/>
                <w:szCs w:val="18"/>
              </w:rPr>
            </w:pPr>
            <w:r w:rsidRPr="00883399">
              <w:rPr>
                <w:color w:val="000000"/>
                <w:sz w:val="18"/>
                <w:szCs w:val="18"/>
              </w:rPr>
              <w:t>2.47E-03</w:t>
            </w:r>
          </w:p>
        </w:tc>
        <w:tc>
          <w:tcPr>
            <w:tcW w:w="1018" w:type="dxa"/>
            <w:vAlign w:val="bottom"/>
          </w:tcPr>
          <w:p w14:paraId="12C8FAC7" w14:textId="77777777" w:rsidR="00872C03" w:rsidRPr="00883399" w:rsidRDefault="00813B65" w:rsidP="0031057E">
            <w:pPr>
              <w:spacing w:before="120" w:line="312" w:lineRule="auto"/>
              <w:jc w:val="center"/>
              <w:rPr>
                <w:color w:val="000000"/>
                <w:sz w:val="18"/>
                <w:szCs w:val="18"/>
              </w:rPr>
            </w:pPr>
            <w:r w:rsidRPr="00883399">
              <w:rPr>
                <w:color w:val="000000"/>
                <w:sz w:val="18"/>
                <w:szCs w:val="18"/>
              </w:rPr>
              <w:t>6.17</w:t>
            </w:r>
            <w:r w:rsidR="00872C03" w:rsidRPr="00883399">
              <w:rPr>
                <w:color w:val="000000"/>
                <w:sz w:val="18"/>
                <w:szCs w:val="18"/>
              </w:rPr>
              <w:t>E-02</w:t>
            </w:r>
          </w:p>
        </w:tc>
      </w:tr>
    </w:tbl>
    <w:p w14:paraId="7114C296" w14:textId="77777777" w:rsidR="00872C03" w:rsidRPr="00883399" w:rsidRDefault="00872C03" w:rsidP="00872C03">
      <w:pPr>
        <w:spacing w:before="120" w:line="260" w:lineRule="exact"/>
        <w:rPr>
          <w:color w:val="000000"/>
          <w:sz w:val="20"/>
          <w:szCs w:val="20"/>
        </w:rPr>
      </w:pPr>
      <w:r w:rsidRPr="00883399">
        <w:rPr>
          <w:color w:val="000000"/>
          <w:sz w:val="20"/>
          <w:szCs w:val="20"/>
        </w:rPr>
        <w:t>Step 2. Calculate the average emissions rate for an hour by summing the emission estimates in column h of the table and divide by the number of sample periods for the hour:</w:t>
      </w:r>
    </w:p>
    <w:p w14:paraId="4479F452" w14:textId="77777777" w:rsidR="00872C03" w:rsidRPr="00883399" w:rsidRDefault="00872C03" w:rsidP="00872C03">
      <w:pPr>
        <w:spacing w:before="120" w:line="260" w:lineRule="exact"/>
        <w:rPr>
          <w:color w:val="000000"/>
          <w:sz w:val="20"/>
          <w:szCs w:val="20"/>
        </w:rPr>
      </w:pPr>
      <w:r w:rsidRPr="00883399">
        <w:rPr>
          <w:color w:val="000000"/>
          <w:sz w:val="20"/>
          <w:szCs w:val="20"/>
        </w:rPr>
        <w:t>Average emission rate for the first hour (1.00PM to 2.00PM)</w:t>
      </w:r>
    </w:p>
    <w:p w14:paraId="159EC323" w14:textId="77777777" w:rsidR="00872C03" w:rsidRPr="00883399" w:rsidRDefault="00872C03" w:rsidP="00872C03">
      <w:pPr>
        <w:spacing w:before="120" w:line="260" w:lineRule="exact"/>
        <w:rPr>
          <w:color w:val="000000"/>
          <w:sz w:val="20"/>
          <w:szCs w:val="20"/>
        </w:rPr>
      </w:pPr>
      <w:r w:rsidRPr="00883399">
        <w:rPr>
          <w:color w:val="000000"/>
          <w:sz w:val="20"/>
          <w:szCs w:val="20"/>
        </w:rPr>
        <w:t>= (</w:t>
      </w:r>
      <w:r w:rsidR="00813B65" w:rsidRPr="00883399">
        <w:rPr>
          <w:color w:val="000000"/>
          <w:sz w:val="20"/>
          <w:szCs w:val="20"/>
        </w:rPr>
        <w:t>4.47</w:t>
      </w:r>
      <w:r w:rsidRPr="00883399">
        <w:rPr>
          <w:color w:val="000000"/>
          <w:sz w:val="20"/>
          <w:szCs w:val="20"/>
        </w:rPr>
        <w:t>E-02+</w:t>
      </w:r>
      <w:r w:rsidR="00813B65" w:rsidRPr="00883399">
        <w:rPr>
          <w:color w:val="000000"/>
          <w:sz w:val="20"/>
          <w:szCs w:val="20"/>
        </w:rPr>
        <w:t>6.15</w:t>
      </w:r>
      <w:r w:rsidRPr="00883399">
        <w:rPr>
          <w:color w:val="000000"/>
          <w:sz w:val="20"/>
          <w:szCs w:val="20"/>
        </w:rPr>
        <w:t>E-02+</w:t>
      </w:r>
      <w:r w:rsidR="00813B65" w:rsidRPr="00883399">
        <w:rPr>
          <w:color w:val="000000"/>
          <w:sz w:val="20"/>
          <w:szCs w:val="20"/>
        </w:rPr>
        <w:t>5.59</w:t>
      </w:r>
      <w:r w:rsidRPr="00883399">
        <w:rPr>
          <w:color w:val="000000"/>
          <w:sz w:val="20"/>
          <w:szCs w:val="20"/>
        </w:rPr>
        <w:t>E-02+</w:t>
      </w:r>
      <w:r w:rsidR="00813B65" w:rsidRPr="00883399">
        <w:rPr>
          <w:color w:val="000000"/>
          <w:sz w:val="20"/>
          <w:szCs w:val="20"/>
        </w:rPr>
        <w:t>5.05</w:t>
      </w:r>
      <w:r w:rsidRPr="00883399">
        <w:rPr>
          <w:color w:val="000000"/>
          <w:sz w:val="20"/>
          <w:szCs w:val="20"/>
        </w:rPr>
        <w:t>E-02)/4</w:t>
      </w:r>
    </w:p>
    <w:p w14:paraId="06B0C4EC" w14:textId="77777777" w:rsidR="00872C03" w:rsidRPr="00883399" w:rsidRDefault="00872C03" w:rsidP="00872C03">
      <w:pPr>
        <w:spacing w:before="120" w:line="260" w:lineRule="exact"/>
        <w:rPr>
          <w:color w:val="000000"/>
          <w:sz w:val="20"/>
          <w:szCs w:val="20"/>
        </w:rPr>
      </w:pPr>
      <w:r w:rsidRPr="00883399">
        <w:rPr>
          <w:color w:val="000000"/>
          <w:sz w:val="20"/>
          <w:szCs w:val="20"/>
        </w:rPr>
        <w:t xml:space="preserve">= </w:t>
      </w:r>
      <w:r w:rsidR="00813B65" w:rsidRPr="00883399">
        <w:rPr>
          <w:color w:val="000000"/>
          <w:sz w:val="20"/>
          <w:szCs w:val="20"/>
        </w:rPr>
        <w:t>5.32</w:t>
      </w:r>
      <w:r w:rsidRPr="00883399">
        <w:rPr>
          <w:color w:val="000000"/>
          <w:sz w:val="20"/>
          <w:szCs w:val="20"/>
        </w:rPr>
        <w:t>E-02 CO</w:t>
      </w:r>
      <w:r w:rsidRPr="00883399">
        <w:rPr>
          <w:color w:val="000000"/>
          <w:sz w:val="20"/>
          <w:szCs w:val="20"/>
          <w:vertAlign w:val="subscript"/>
        </w:rPr>
        <w:t>2</w:t>
      </w:r>
      <w:r w:rsidRPr="00883399">
        <w:rPr>
          <w:color w:val="000000"/>
          <w:sz w:val="20"/>
          <w:szCs w:val="20"/>
        </w:rPr>
        <w:t>-e tonnes per second</w:t>
      </w:r>
    </w:p>
    <w:p w14:paraId="467F55D8" w14:textId="77777777" w:rsidR="00872C03" w:rsidRPr="00883399" w:rsidRDefault="00872C03" w:rsidP="00872C03">
      <w:pPr>
        <w:spacing w:before="120" w:line="260" w:lineRule="exact"/>
        <w:rPr>
          <w:color w:val="000000"/>
          <w:sz w:val="20"/>
          <w:szCs w:val="20"/>
        </w:rPr>
      </w:pPr>
      <w:r w:rsidRPr="00883399">
        <w:rPr>
          <w:color w:val="000000"/>
          <w:sz w:val="20"/>
          <w:szCs w:val="20"/>
        </w:rPr>
        <w:t>Average emission rate for the second hour (2.00PM to 3.00PM)</w:t>
      </w:r>
    </w:p>
    <w:p w14:paraId="1E0D1D95" w14:textId="77777777" w:rsidR="00872C03" w:rsidRPr="00883399" w:rsidRDefault="00872C03" w:rsidP="00872C03">
      <w:pPr>
        <w:spacing w:before="120" w:line="260" w:lineRule="exact"/>
        <w:rPr>
          <w:color w:val="000000"/>
          <w:sz w:val="20"/>
          <w:szCs w:val="20"/>
        </w:rPr>
      </w:pPr>
      <w:r w:rsidRPr="00883399">
        <w:rPr>
          <w:color w:val="000000"/>
          <w:sz w:val="20"/>
          <w:szCs w:val="20"/>
        </w:rPr>
        <w:t>= (</w:t>
      </w:r>
      <w:r w:rsidR="00813B65" w:rsidRPr="00883399">
        <w:rPr>
          <w:color w:val="000000"/>
          <w:sz w:val="20"/>
          <w:szCs w:val="20"/>
        </w:rPr>
        <w:t>5.02</w:t>
      </w:r>
      <w:r w:rsidRPr="00883399">
        <w:rPr>
          <w:color w:val="000000"/>
          <w:sz w:val="20"/>
          <w:szCs w:val="20"/>
        </w:rPr>
        <w:t>E-02+</w:t>
      </w:r>
      <w:r w:rsidR="00813B65" w:rsidRPr="00883399">
        <w:rPr>
          <w:color w:val="000000"/>
          <w:sz w:val="20"/>
          <w:szCs w:val="20"/>
        </w:rPr>
        <w:t>5.53</w:t>
      </w:r>
      <w:r w:rsidRPr="00883399">
        <w:rPr>
          <w:color w:val="000000"/>
          <w:sz w:val="20"/>
          <w:szCs w:val="20"/>
        </w:rPr>
        <w:t>E-02+</w:t>
      </w:r>
      <w:r w:rsidR="00813B65" w:rsidRPr="00883399">
        <w:rPr>
          <w:color w:val="000000"/>
          <w:sz w:val="20"/>
          <w:szCs w:val="20"/>
        </w:rPr>
        <w:t>5.61</w:t>
      </w:r>
      <w:r w:rsidRPr="00883399">
        <w:rPr>
          <w:color w:val="000000"/>
          <w:sz w:val="20"/>
          <w:szCs w:val="20"/>
        </w:rPr>
        <w:t>E-02+</w:t>
      </w:r>
      <w:r w:rsidR="00813B65" w:rsidRPr="00883399">
        <w:rPr>
          <w:color w:val="000000"/>
          <w:sz w:val="20"/>
          <w:szCs w:val="20"/>
        </w:rPr>
        <w:t>6.17</w:t>
      </w:r>
      <w:r w:rsidRPr="00883399">
        <w:rPr>
          <w:color w:val="000000"/>
          <w:sz w:val="20"/>
          <w:szCs w:val="20"/>
        </w:rPr>
        <w:t>E-02)/4</w:t>
      </w:r>
    </w:p>
    <w:p w14:paraId="783495FF" w14:textId="77777777" w:rsidR="00872C03" w:rsidRPr="00883399" w:rsidRDefault="00872C03" w:rsidP="00872C03">
      <w:pPr>
        <w:spacing w:before="120" w:line="260" w:lineRule="exact"/>
        <w:rPr>
          <w:color w:val="000000"/>
          <w:sz w:val="20"/>
          <w:szCs w:val="20"/>
        </w:rPr>
      </w:pPr>
      <w:r w:rsidRPr="00883399">
        <w:rPr>
          <w:color w:val="000000"/>
          <w:sz w:val="20"/>
          <w:szCs w:val="20"/>
        </w:rPr>
        <w:t>= 4.69E-02 CO</w:t>
      </w:r>
      <w:r w:rsidRPr="00883399">
        <w:rPr>
          <w:color w:val="000000"/>
          <w:sz w:val="20"/>
          <w:szCs w:val="20"/>
          <w:vertAlign w:val="subscript"/>
        </w:rPr>
        <w:t>2</w:t>
      </w:r>
      <w:r w:rsidRPr="00883399">
        <w:rPr>
          <w:color w:val="000000"/>
          <w:sz w:val="20"/>
          <w:szCs w:val="20"/>
        </w:rPr>
        <w:t>-e tonnes per second</w:t>
      </w:r>
    </w:p>
    <w:p w14:paraId="146B52AC" w14:textId="77777777" w:rsidR="00872C03" w:rsidRPr="00883399" w:rsidRDefault="00872C03" w:rsidP="00872C03">
      <w:pPr>
        <w:spacing w:before="120" w:line="260" w:lineRule="exact"/>
        <w:rPr>
          <w:color w:val="000000"/>
          <w:sz w:val="20"/>
          <w:szCs w:val="20"/>
        </w:rPr>
      </w:pPr>
      <w:r w:rsidRPr="00883399">
        <w:rPr>
          <w:color w:val="000000"/>
          <w:sz w:val="20"/>
          <w:szCs w:val="20"/>
        </w:rPr>
        <w:t xml:space="preserve">Step 3. The mass emissions for the hour is then calculated by multiplying the average emission rate for the hour in step 1 by the number of seconds in an hour, which is 3600. </w:t>
      </w:r>
    </w:p>
    <w:p w14:paraId="744F4DD9" w14:textId="77777777" w:rsidR="00872C03" w:rsidRPr="00883399" w:rsidRDefault="00872C03" w:rsidP="00872C03">
      <w:pPr>
        <w:spacing w:before="120" w:line="260" w:lineRule="exact"/>
        <w:rPr>
          <w:color w:val="000000"/>
          <w:sz w:val="20"/>
          <w:szCs w:val="20"/>
        </w:rPr>
      </w:pPr>
      <w:r w:rsidRPr="00883399">
        <w:rPr>
          <w:color w:val="000000"/>
          <w:sz w:val="20"/>
          <w:szCs w:val="20"/>
        </w:rPr>
        <w:t>Therefore:</w:t>
      </w:r>
    </w:p>
    <w:p w14:paraId="216A74F8" w14:textId="77777777" w:rsidR="00872C03" w:rsidRPr="00883399" w:rsidRDefault="00872C03" w:rsidP="00872C03">
      <w:pPr>
        <w:spacing w:before="120" w:line="260" w:lineRule="exact"/>
        <w:rPr>
          <w:color w:val="000000"/>
          <w:sz w:val="20"/>
          <w:szCs w:val="20"/>
        </w:rPr>
      </w:pPr>
      <w:r w:rsidRPr="00883399">
        <w:rPr>
          <w:color w:val="000000"/>
          <w:sz w:val="20"/>
          <w:szCs w:val="20"/>
        </w:rPr>
        <w:t xml:space="preserve">Emissions for the first hour = </w:t>
      </w:r>
      <w:r w:rsidR="0007143A" w:rsidRPr="00883399">
        <w:rPr>
          <w:color w:val="000000"/>
          <w:sz w:val="20"/>
          <w:szCs w:val="20"/>
        </w:rPr>
        <w:t>5.32</w:t>
      </w:r>
      <w:r w:rsidRPr="00883399">
        <w:rPr>
          <w:color w:val="000000"/>
          <w:sz w:val="20"/>
          <w:szCs w:val="20"/>
        </w:rPr>
        <w:t>E-02 x 3600</w:t>
      </w:r>
    </w:p>
    <w:p w14:paraId="0C1620BE" w14:textId="77777777" w:rsidR="00872C03" w:rsidRPr="00883399" w:rsidRDefault="00C66508" w:rsidP="00872C03">
      <w:pPr>
        <w:spacing w:before="120" w:line="260" w:lineRule="exact"/>
        <w:rPr>
          <w:color w:val="000000"/>
          <w:sz w:val="20"/>
          <w:szCs w:val="20"/>
        </w:rPr>
      </w:pPr>
      <w:r w:rsidRPr="00883399">
        <w:rPr>
          <w:noProof/>
        </w:rPr>
        <w:lastRenderedPageBreak/>
        <mc:AlternateContent>
          <mc:Choice Requires="wps">
            <w:drawing>
              <wp:anchor distT="0" distB="0" distL="114300" distR="114300" simplePos="0" relativeHeight="251658243" behindDoc="0" locked="0" layoutInCell="1" allowOverlap="1" wp14:anchorId="0AAD6520" wp14:editId="390D3A71">
                <wp:simplePos x="0" y="0"/>
                <wp:positionH relativeFrom="column">
                  <wp:posOffset>-199390</wp:posOffset>
                </wp:positionH>
                <wp:positionV relativeFrom="paragraph">
                  <wp:posOffset>-217805</wp:posOffset>
                </wp:positionV>
                <wp:extent cx="5720080" cy="1738630"/>
                <wp:effectExtent l="0" t="0" r="13970" b="13970"/>
                <wp:wrapNone/>
                <wp:docPr id="10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080" cy="1738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89297" id="Rectangle 3" o:spid="_x0000_s1026" style="position:absolute;margin-left:-15.7pt;margin-top:-17.15pt;width:450.4pt;height:136.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" filled="f"/>
            </w:pict>
          </mc:Fallback>
        </mc:AlternateContent>
      </w:r>
      <w:r w:rsidR="00872C03" w:rsidRPr="00883399">
        <w:rPr>
          <w:color w:val="000000"/>
          <w:sz w:val="20"/>
          <w:szCs w:val="20"/>
        </w:rPr>
        <w:t>1</w:t>
      </w:r>
      <w:r w:rsidR="0007143A" w:rsidRPr="00883399">
        <w:rPr>
          <w:color w:val="000000"/>
          <w:sz w:val="20"/>
          <w:szCs w:val="20"/>
        </w:rPr>
        <w:t>91.3</w:t>
      </w:r>
      <w:r w:rsidR="00872C03" w:rsidRPr="00883399">
        <w:rPr>
          <w:color w:val="000000"/>
          <w:sz w:val="20"/>
          <w:szCs w:val="20"/>
        </w:rPr>
        <w:t xml:space="preserve"> tonnes CO</w:t>
      </w:r>
      <w:r w:rsidR="00872C03" w:rsidRPr="00883399">
        <w:rPr>
          <w:color w:val="000000"/>
          <w:sz w:val="20"/>
          <w:szCs w:val="20"/>
          <w:vertAlign w:val="subscript"/>
        </w:rPr>
        <w:t>2</w:t>
      </w:r>
      <w:r w:rsidR="00872C03" w:rsidRPr="00883399">
        <w:rPr>
          <w:color w:val="000000"/>
          <w:sz w:val="20"/>
          <w:szCs w:val="20"/>
        </w:rPr>
        <w:t>-e for the hour</w:t>
      </w:r>
    </w:p>
    <w:p w14:paraId="47F2D9E9" w14:textId="77777777" w:rsidR="00872C03" w:rsidRPr="00883399" w:rsidRDefault="00872C03" w:rsidP="00872C03">
      <w:pPr>
        <w:spacing w:before="120" w:line="260" w:lineRule="exact"/>
        <w:rPr>
          <w:color w:val="000000"/>
          <w:sz w:val="20"/>
          <w:szCs w:val="20"/>
        </w:rPr>
      </w:pPr>
      <w:r w:rsidRPr="00883399">
        <w:rPr>
          <w:color w:val="000000"/>
          <w:sz w:val="20"/>
          <w:szCs w:val="20"/>
        </w:rPr>
        <w:t xml:space="preserve">Emissions for the second hour = </w:t>
      </w:r>
      <w:r w:rsidR="0007143A" w:rsidRPr="00883399">
        <w:rPr>
          <w:color w:val="000000"/>
          <w:sz w:val="20"/>
          <w:szCs w:val="20"/>
        </w:rPr>
        <w:t>5.58</w:t>
      </w:r>
      <w:r w:rsidRPr="00883399">
        <w:rPr>
          <w:color w:val="000000"/>
          <w:sz w:val="20"/>
          <w:szCs w:val="20"/>
        </w:rPr>
        <w:t>E-02 x 3600</w:t>
      </w:r>
    </w:p>
    <w:p w14:paraId="4A9EA506" w14:textId="77777777" w:rsidR="00872C03" w:rsidRPr="00883399" w:rsidRDefault="0007143A" w:rsidP="00872C03">
      <w:pPr>
        <w:spacing w:before="120" w:line="260" w:lineRule="exact"/>
        <w:rPr>
          <w:color w:val="000000"/>
          <w:sz w:val="20"/>
          <w:szCs w:val="20"/>
        </w:rPr>
      </w:pPr>
      <w:r w:rsidRPr="00883399">
        <w:rPr>
          <w:color w:val="000000"/>
          <w:sz w:val="20"/>
          <w:szCs w:val="20"/>
        </w:rPr>
        <w:t>201.0</w:t>
      </w:r>
      <w:r w:rsidR="00872C03" w:rsidRPr="00883399">
        <w:rPr>
          <w:color w:val="000000"/>
          <w:sz w:val="20"/>
          <w:szCs w:val="20"/>
        </w:rPr>
        <w:t xml:space="preserve"> tonnes CO</w:t>
      </w:r>
      <w:r w:rsidR="00872C03" w:rsidRPr="00883399">
        <w:rPr>
          <w:color w:val="000000"/>
          <w:sz w:val="20"/>
          <w:szCs w:val="20"/>
          <w:vertAlign w:val="subscript"/>
        </w:rPr>
        <w:t>2</w:t>
      </w:r>
      <w:r w:rsidR="00872C03" w:rsidRPr="00883399">
        <w:rPr>
          <w:color w:val="000000"/>
          <w:sz w:val="20"/>
          <w:szCs w:val="20"/>
        </w:rPr>
        <w:t>-e for the hour</w:t>
      </w:r>
    </w:p>
    <w:p w14:paraId="432DA7CD" w14:textId="77777777" w:rsidR="00872C03" w:rsidRPr="00883399" w:rsidRDefault="00872C03" w:rsidP="00872C03">
      <w:pPr>
        <w:pStyle w:val="R2"/>
        <w:spacing w:before="120"/>
        <w:ind w:left="0" w:firstLine="0"/>
        <w:jc w:val="left"/>
        <w:rPr>
          <w:color w:val="000000"/>
          <w:sz w:val="20"/>
          <w:szCs w:val="20"/>
        </w:rPr>
      </w:pPr>
      <w:r w:rsidRPr="00883399">
        <w:rPr>
          <w:color w:val="000000"/>
          <w:sz w:val="20"/>
          <w:szCs w:val="20"/>
        </w:rPr>
        <w:t xml:space="preserve">To aggregate emissions for a period, the hourly emissions estimates are summed together.  For example, total emissions between 1.00 and 3.00pm in the above example is calculated by adding together </w:t>
      </w:r>
      <w:r w:rsidR="0007143A" w:rsidRPr="00883399">
        <w:rPr>
          <w:color w:val="000000"/>
          <w:sz w:val="20"/>
          <w:szCs w:val="20"/>
        </w:rPr>
        <w:t>191.3</w:t>
      </w:r>
      <w:r w:rsidRPr="00883399">
        <w:rPr>
          <w:color w:val="000000"/>
          <w:sz w:val="20"/>
          <w:szCs w:val="20"/>
        </w:rPr>
        <w:t xml:space="preserve"> and </w:t>
      </w:r>
      <w:r w:rsidR="0007143A" w:rsidRPr="00883399">
        <w:rPr>
          <w:color w:val="000000"/>
          <w:sz w:val="20"/>
          <w:szCs w:val="20"/>
        </w:rPr>
        <w:t>201.0</w:t>
      </w:r>
      <w:r w:rsidRPr="00883399">
        <w:rPr>
          <w:color w:val="000000"/>
          <w:sz w:val="20"/>
          <w:szCs w:val="20"/>
        </w:rPr>
        <w:t xml:space="preserve"> tonnes of CO</w:t>
      </w:r>
      <w:r w:rsidRPr="00883399">
        <w:rPr>
          <w:color w:val="000000"/>
          <w:sz w:val="20"/>
          <w:szCs w:val="20"/>
          <w:vertAlign w:val="subscript"/>
        </w:rPr>
        <w:t>2</w:t>
      </w:r>
      <w:r w:rsidRPr="00883399">
        <w:rPr>
          <w:color w:val="000000"/>
          <w:sz w:val="20"/>
          <w:szCs w:val="20"/>
        </w:rPr>
        <w:t>-e which equals 3</w:t>
      </w:r>
      <w:r w:rsidR="0007143A" w:rsidRPr="00883399">
        <w:rPr>
          <w:color w:val="000000"/>
          <w:sz w:val="20"/>
          <w:szCs w:val="20"/>
        </w:rPr>
        <w:t>92.3</w:t>
      </w:r>
      <w:r w:rsidRPr="00883399">
        <w:rPr>
          <w:color w:val="000000"/>
          <w:sz w:val="20"/>
          <w:szCs w:val="20"/>
        </w:rPr>
        <w:t xml:space="preserve"> tonnes of CO</w:t>
      </w:r>
      <w:r w:rsidRPr="00883399">
        <w:rPr>
          <w:color w:val="000000"/>
          <w:sz w:val="20"/>
          <w:szCs w:val="20"/>
          <w:vertAlign w:val="subscript"/>
        </w:rPr>
        <w:t>2</w:t>
      </w:r>
      <w:r w:rsidRPr="00883399">
        <w:rPr>
          <w:color w:val="000000"/>
          <w:sz w:val="20"/>
          <w:szCs w:val="20"/>
        </w:rPr>
        <w:t>-e.</w:t>
      </w:r>
    </w:p>
    <w:p w14:paraId="498B4E65" w14:textId="77777777" w:rsidR="00872C03" w:rsidRPr="00883399" w:rsidRDefault="00872C03" w:rsidP="00872C03">
      <w:pPr>
        <w:pStyle w:val="subsection"/>
        <w:rPr>
          <w:sz w:val="24"/>
        </w:rPr>
      </w:pPr>
    </w:p>
    <w:p w14:paraId="004B5A41" w14:textId="4A0419DF" w:rsidR="00872C03" w:rsidRPr="00883399" w:rsidRDefault="00872C03" w:rsidP="00872C03">
      <w:pPr>
        <w:pStyle w:val="ActHead5"/>
        <w:rPr>
          <w:sz w:val="28"/>
        </w:rPr>
      </w:pPr>
      <w:bookmarkStart w:id="104" w:name="_Toc423516712"/>
      <w:bookmarkStart w:id="105" w:name="_Toc495652624"/>
      <w:r w:rsidRPr="00883399">
        <w:rPr>
          <w:rStyle w:val="CharSectno"/>
          <w:sz w:val="28"/>
        </w:rPr>
        <w:t>1.21A</w:t>
      </w:r>
      <w:r w:rsidRPr="00883399">
        <w:rPr>
          <w:sz w:val="28"/>
        </w:rPr>
        <w:t xml:space="preserve">  Emissions from a source where multiple fuels consumed</w:t>
      </w:r>
      <w:bookmarkEnd w:id="104"/>
      <w:bookmarkEnd w:id="105"/>
    </w:p>
    <w:p w14:paraId="65D20FC1" w14:textId="77777777" w:rsidR="00872C03" w:rsidRPr="00883399" w:rsidRDefault="00872C03" w:rsidP="00872C03">
      <w:pPr>
        <w:pStyle w:val="subsection"/>
        <w:rPr>
          <w:sz w:val="24"/>
        </w:rPr>
      </w:pPr>
      <w:r w:rsidRPr="00883399">
        <w:rPr>
          <w:sz w:val="24"/>
        </w:rPr>
        <w:tab/>
      </w:r>
      <w:r w:rsidRPr="00883399">
        <w:rPr>
          <w:sz w:val="24"/>
        </w:rPr>
        <w:tab/>
        <w:t>If more than one fuel is consumed for a source that generates carbon dioxide that is directly measured using method 4 (CEM), the total amount of carbon dioxide is to be attributed to each fuel consumed in proportion to the carbon content of the fuel relative to the total carbon content of all fuel consumed for that source.</w:t>
      </w:r>
    </w:p>
    <w:p w14:paraId="46B35C65" w14:textId="77777777" w:rsidR="00872C03" w:rsidRPr="00883399" w:rsidRDefault="00872C03" w:rsidP="00872C03">
      <w:pPr>
        <w:pStyle w:val="R2"/>
        <w:ind w:left="720" w:firstLine="0"/>
        <w:jc w:val="left"/>
      </w:pPr>
    </w:p>
    <w:tbl>
      <w:tblPr>
        <w:tblStyle w:val="TableGrid"/>
        <w:tblW w:w="9073" w:type="dxa"/>
        <w:tblInd w:w="-34" w:type="dxa"/>
        <w:tblLook w:val="04A0" w:firstRow="1" w:lastRow="0" w:firstColumn="1" w:lastColumn="0" w:noHBand="0" w:noVBand="1"/>
      </w:tblPr>
      <w:tblGrid>
        <w:gridCol w:w="9073"/>
      </w:tblGrid>
      <w:tr w:rsidR="00872C03" w:rsidRPr="00883399" w14:paraId="7B025D9B" w14:textId="77777777" w:rsidTr="0031057E">
        <w:tc>
          <w:tcPr>
            <w:tcW w:w="9073" w:type="dxa"/>
          </w:tcPr>
          <w:p w14:paraId="69EC6B86" w14:textId="77777777" w:rsidR="00872C03" w:rsidRPr="00883399" w:rsidRDefault="00872C03" w:rsidP="0031057E">
            <w:pPr>
              <w:pStyle w:val="R2"/>
              <w:tabs>
                <w:tab w:val="clear" w:pos="794"/>
                <w:tab w:val="right" w:pos="1168"/>
              </w:tabs>
              <w:ind w:left="176" w:firstLine="0"/>
              <w:jc w:val="left"/>
              <w:rPr>
                <w:sz w:val="20"/>
                <w:szCs w:val="20"/>
              </w:rPr>
            </w:pPr>
            <w:r w:rsidRPr="00883399">
              <w:rPr>
                <w:b/>
                <w:sz w:val="20"/>
                <w:szCs w:val="20"/>
              </w:rPr>
              <w:t>Example: Attributing CO</w:t>
            </w:r>
            <w:r w:rsidRPr="00883399">
              <w:rPr>
                <w:b/>
                <w:sz w:val="20"/>
                <w:szCs w:val="20"/>
                <w:vertAlign w:val="subscript"/>
              </w:rPr>
              <w:t>2</w:t>
            </w:r>
            <w:r w:rsidRPr="00883399">
              <w:rPr>
                <w:b/>
                <w:sz w:val="20"/>
                <w:szCs w:val="20"/>
              </w:rPr>
              <w:t xml:space="preserve"> emissions from fuel combustion measured using method 4 where diesel oil and natural gas is consumed</w:t>
            </w:r>
          </w:p>
          <w:p w14:paraId="2DE5F5E8" w14:textId="77777777" w:rsidR="00872C03" w:rsidRPr="00883399" w:rsidRDefault="00872C03" w:rsidP="0031057E">
            <w:pPr>
              <w:spacing w:before="120" w:line="260" w:lineRule="exact"/>
              <w:rPr>
                <w:color w:val="000000"/>
                <w:sz w:val="20"/>
                <w:szCs w:val="20"/>
              </w:rPr>
            </w:pPr>
          </w:p>
          <w:p w14:paraId="6A179348" w14:textId="77777777" w:rsidR="00872C03" w:rsidRPr="00883399" w:rsidRDefault="00872C03" w:rsidP="0031057E">
            <w:pPr>
              <w:rPr>
                <w:color w:val="000000"/>
                <w:sz w:val="20"/>
                <w:szCs w:val="20"/>
              </w:rPr>
            </w:pPr>
            <w:r w:rsidRPr="00883399">
              <w:rPr>
                <w:color w:val="000000"/>
                <w:sz w:val="20"/>
                <w:szCs w:val="20"/>
              </w:rPr>
              <w:t xml:space="preserve">A facility combusts 5,000 kilolitres of diesel oil and 1,800,000 GJ of natural gas in a gas turbine during the reporting year. </w:t>
            </w:r>
          </w:p>
          <w:p w14:paraId="257A0E5E" w14:textId="77777777" w:rsidR="00872C03" w:rsidRPr="00883399" w:rsidRDefault="00872C03" w:rsidP="0031057E">
            <w:pPr>
              <w:rPr>
                <w:color w:val="000000"/>
                <w:sz w:val="20"/>
                <w:szCs w:val="20"/>
              </w:rPr>
            </w:pPr>
            <w:r w:rsidRPr="00883399">
              <w:rPr>
                <w:color w:val="000000"/>
                <w:sz w:val="20"/>
                <w:szCs w:val="20"/>
              </w:rPr>
              <w:t>The facility elects to use continuous emissions monitoring (CEM) under Method 4 to estimate emissions of carbon dioxide. The reporter estimates a total of 104,852 tonnes CO</w:t>
            </w:r>
            <w:r w:rsidRPr="00883399">
              <w:rPr>
                <w:color w:val="000000"/>
                <w:sz w:val="20"/>
                <w:szCs w:val="20"/>
                <w:vertAlign w:val="subscript"/>
              </w:rPr>
              <w:t xml:space="preserve">2 </w:t>
            </w:r>
            <w:r w:rsidRPr="00883399">
              <w:rPr>
                <w:color w:val="000000"/>
                <w:sz w:val="20"/>
                <w:szCs w:val="20"/>
              </w:rPr>
              <w:t>from this source using continuous emissions monitoring (CEM) during the year.</w:t>
            </w:r>
          </w:p>
          <w:p w14:paraId="5686047D" w14:textId="77777777" w:rsidR="00872C03" w:rsidRPr="00883399" w:rsidRDefault="00872C03" w:rsidP="0031057E">
            <w:pPr>
              <w:rPr>
                <w:color w:val="000000"/>
                <w:sz w:val="20"/>
                <w:szCs w:val="20"/>
              </w:rPr>
            </w:pPr>
            <w:r w:rsidRPr="00883399">
              <w:rPr>
                <w:color w:val="000000"/>
                <w:sz w:val="20"/>
                <w:szCs w:val="20"/>
              </w:rPr>
              <w:t>In order to attribute these emissions to each fuel the carbon content of the two fuels are estimated using the default carbon content factors published in Schedule 3 of the NGER (Measurement) Determination.</w:t>
            </w:r>
          </w:p>
          <w:p w14:paraId="6E670F2A" w14:textId="77777777" w:rsidR="00872C03" w:rsidRPr="00883399" w:rsidRDefault="00872C03" w:rsidP="0031057E">
            <w:pPr>
              <w:rPr>
                <w:color w:val="000000"/>
                <w:sz w:val="20"/>
                <w:szCs w:val="20"/>
              </w:rPr>
            </w:pPr>
            <w:r w:rsidRPr="00883399">
              <w:rPr>
                <w:color w:val="000000"/>
                <w:sz w:val="20"/>
                <w:szCs w:val="20"/>
              </w:rPr>
              <w:t>CO</w:t>
            </w:r>
            <w:r w:rsidRPr="00883399">
              <w:rPr>
                <w:color w:val="000000"/>
                <w:sz w:val="20"/>
                <w:szCs w:val="20"/>
                <w:vertAlign w:val="subscript"/>
              </w:rPr>
              <w:t>2</w:t>
            </w:r>
            <w:r w:rsidRPr="00883399">
              <w:rPr>
                <w:color w:val="000000"/>
                <w:sz w:val="20"/>
                <w:szCs w:val="20"/>
              </w:rPr>
              <w:t xml:space="preserve"> emissions attributed to fuel x = total CEM emission estimate * carbon content of fuel x/ carbon content of all fuels</w:t>
            </w:r>
          </w:p>
          <w:p w14:paraId="02BDC3B6" w14:textId="77777777" w:rsidR="00872C03" w:rsidRPr="00883399" w:rsidRDefault="00872C03" w:rsidP="0031057E">
            <w:pPr>
              <w:rPr>
                <w:color w:val="000000"/>
                <w:sz w:val="20"/>
                <w:szCs w:val="20"/>
              </w:rPr>
            </w:pPr>
            <w:r w:rsidRPr="00883399">
              <w:rPr>
                <w:color w:val="000000"/>
                <w:sz w:val="20"/>
                <w:szCs w:val="20"/>
              </w:rPr>
              <w:t>Carbon content of diesel oil = 5,000 kL * 0.736 t C/kL = 3,680 t C</w:t>
            </w:r>
          </w:p>
          <w:p w14:paraId="4509BD90" w14:textId="77777777" w:rsidR="00872C03" w:rsidRPr="00883399" w:rsidRDefault="00872C03" w:rsidP="0031057E">
            <w:pPr>
              <w:rPr>
                <w:color w:val="000000"/>
                <w:sz w:val="20"/>
                <w:szCs w:val="20"/>
              </w:rPr>
            </w:pPr>
            <w:r w:rsidRPr="00883399">
              <w:rPr>
                <w:color w:val="000000"/>
                <w:sz w:val="20"/>
                <w:szCs w:val="20"/>
              </w:rPr>
              <w:t>Carbon content of natural gas = 1,800,000 GJ * 0.014 t C/GJ = 25,200 t C</w:t>
            </w:r>
          </w:p>
          <w:p w14:paraId="21BA09BE" w14:textId="77777777" w:rsidR="00872C03" w:rsidRPr="00883399" w:rsidRDefault="00872C03" w:rsidP="0031057E">
            <w:pPr>
              <w:rPr>
                <w:color w:val="000000"/>
                <w:sz w:val="20"/>
                <w:szCs w:val="20"/>
              </w:rPr>
            </w:pPr>
            <w:r w:rsidRPr="00883399">
              <w:rPr>
                <w:color w:val="000000"/>
                <w:sz w:val="20"/>
                <w:szCs w:val="20"/>
              </w:rPr>
              <w:t>CO</w:t>
            </w:r>
            <w:r w:rsidRPr="00883399">
              <w:rPr>
                <w:color w:val="000000"/>
                <w:sz w:val="20"/>
                <w:szCs w:val="20"/>
                <w:vertAlign w:val="subscript"/>
              </w:rPr>
              <w:t>2</w:t>
            </w:r>
            <w:r w:rsidRPr="00883399">
              <w:rPr>
                <w:color w:val="000000"/>
                <w:sz w:val="20"/>
                <w:szCs w:val="20"/>
              </w:rPr>
              <w:t xml:space="preserve"> emissions attributed to diesel oil = total CEM emission estimate * carbon content of diesel oil/ (carbon content of diesel oil+ carbon content of natural gas)</w:t>
            </w:r>
          </w:p>
          <w:p w14:paraId="791492FD" w14:textId="77777777" w:rsidR="00872C03" w:rsidRPr="00883399" w:rsidRDefault="00872C03" w:rsidP="0031057E">
            <w:pPr>
              <w:rPr>
                <w:color w:val="000000"/>
                <w:sz w:val="20"/>
                <w:szCs w:val="20"/>
              </w:rPr>
            </w:pPr>
            <w:r w:rsidRPr="00883399">
              <w:rPr>
                <w:color w:val="000000"/>
                <w:sz w:val="20"/>
                <w:szCs w:val="20"/>
              </w:rPr>
              <w:t>Emissions attributed to diesel oil = 104852 t  CO</w:t>
            </w:r>
            <w:r w:rsidRPr="00883399">
              <w:rPr>
                <w:color w:val="000000"/>
                <w:sz w:val="20"/>
                <w:szCs w:val="20"/>
                <w:vertAlign w:val="subscript"/>
              </w:rPr>
              <w:t>2</w:t>
            </w:r>
            <w:r w:rsidRPr="00883399">
              <w:rPr>
                <w:color w:val="000000"/>
                <w:sz w:val="20"/>
                <w:szCs w:val="20"/>
              </w:rPr>
              <w:t xml:space="preserve"> * 3,680 t C/ 28,880 t C = 13,361 t CO</w:t>
            </w:r>
            <w:r w:rsidRPr="00883399">
              <w:rPr>
                <w:color w:val="000000"/>
                <w:sz w:val="20"/>
                <w:szCs w:val="20"/>
                <w:vertAlign w:val="subscript"/>
              </w:rPr>
              <w:t>2</w:t>
            </w:r>
          </w:p>
          <w:p w14:paraId="2557F35D" w14:textId="77777777" w:rsidR="00872C03" w:rsidRPr="00883399" w:rsidRDefault="00872C03" w:rsidP="0031057E">
            <w:pPr>
              <w:rPr>
                <w:color w:val="000000"/>
                <w:sz w:val="20"/>
                <w:szCs w:val="20"/>
              </w:rPr>
            </w:pPr>
            <w:r w:rsidRPr="00883399">
              <w:rPr>
                <w:color w:val="000000"/>
                <w:sz w:val="20"/>
                <w:szCs w:val="20"/>
              </w:rPr>
              <w:lastRenderedPageBreak/>
              <w:t>Emissions attributed to natural gas = total CEM emission estimate * carbon content of natural gas/ (carbon content of diesel oil+ carbon content of natural gas)</w:t>
            </w:r>
          </w:p>
          <w:p w14:paraId="3A200F93" w14:textId="77777777" w:rsidR="00872C03" w:rsidRPr="00883399" w:rsidRDefault="00872C03" w:rsidP="0031057E">
            <w:pPr>
              <w:rPr>
                <w:color w:val="000000"/>
                <w:sz w:val="20"/>
                <w:szCs w:val="20"/>
              </w:rPr>
            </w:pPr>
            <w:r w:rsidRPr="00883399">
              <w:rPr>
                <w:color w:val="000000"/>
                <w:sz w:val="20"/>
                <w:szCs w:val="20"/>
              </w:rPr>
              <w:t>Emissions attributed to natural gas = 104852 t CO</w:t>
            </w:r>
            <w:r w:rsidRPr="00883399">
              <w:rPr>
                <w:color w:val="000000"/>
                <w:sz w:val="20"/>
                <w:szCs w:val="20"/>
                <w:vertAlign w:val="subscript"/>
              </w:rPr>
              <w:t>2</w:t>
            </w:r>
            <w:r w:rsidRPr="00883399">
              <w:rPr>
                <w:color w:val="000000"/>
                <w:sz w:val="20"/>
                <w:szCs w:val="20"/>
              </w:rPr>
              <w:t xml:space="preserve"> * 25,200 t C/ 28,880 t C = 91,491 t CO</w:t>
            </w:r>
            <w:r w:rsidRPr="00883399">
              <w:rPr>
                <w:color w:val="000000"/>
                <w:sz w:val="20"/>
                <w:szCs w:val="20"/>
                <w:vertAlign w:val="subscript"/>
              </w:rPr>
              <w:t>2</w:t>
            </w:r>
          </w:p>
        </w:tc>
      </w:tr>
    </w:tbl>
    <w:p w14:paraId="24CDF008" w14:textId="77777777" w:rsidR="00872C03" w:rsidRPr="00883399" w:rsidRDefault="00872C03" w:rsidP="00872C03">
      <w:pPr>
        <w:pStyle w:val="subsection"/>
        <w:rPr>
          <w:sz w:val="24"/>
        </w:rPr>
      </w:pPr>
    </w:p>
    <w:p w14:paraId="0B7E2BF7" w14:textId="23F965E3" w:rsidR="00872C03" w:rsidRPr="00883399" w:rsidRDefault="00872C03" w:rsidP="00872C03">
      <w:pPr>
        <w:pStyle w:val="ActHead4"/>
        <w:rPr>
          <w:sz w:val="28"/>
        </w:rPr>
      </w:pPr>
      <w:bookmarkStart w:id="106" w:name="_Toc423516713"/>
      <w:bookmarkStart w:id="107" w:name="_Toc495652625"/>
      <w:r w:rsidRPr="00883399">
        <w:rPr>
          <w:rStyle w:val="CharSubdNo"/>
          <w:sz w:val="28"/>
        </w:rPr>
        <w:t>Subdivision 1.3.2.2</w:t>
      </w:r>
      <w:r w:rsidRPr="00883399">
        <w:rPr>
          <w:sz w:val="28"/>
        </w:rPr>
        <w:t>—</w:t>
      </w:r>
      <w:r w:rsidRPr="00883399">
        <w:rPr>
          <w:rStyle w:val="CharSubdText"/>
          <w:sz w:val="28"/>
        </w:rPr>
        <w:t>Method 4 (CEM)—use of equipment</w:t>
      </w:r>
      <w:bookmarkEnd w:id="106"/>
      <w:bookmarkEnd w:id="107"/>
    </w:p>
    <w:p w14:paraId="02695A08" w14:textId="4D99F403" w:rsidR="00872C03" w:rsidRPr="00883399" w:rsidRDefault="00872C03" w:rsidP="00872C03">
      <w:pPr>
        <w:pStyle w:val="ActHead5"/>
        <w:rPr>
          <w:sz w:val="28"/>
        </w:rPr>
      </w:pPr>
      <w:bookmarkStart w:id="108" w:name="_Toc423516714"/>
      <w:bookmarkStart w:id="109" w:name="_Toc495652626"/>
      <w:r w:rsidRPr="00883399">
        <w:rPr>
          <w:rStyle w:val="CharSectno"/>
          <w:sz w:val="28"/>
        </w:rPr>
        <w:t>1.22</w:t>
      </w:r>
      <w:r w:rsidRPr="00883399">
        <w:rPr>
          <w:sz w:val="28"/>
        </w:rPr>
        <w:t xml:space="preserve">  Overview</w:t>
      </w:r>
      <w:bookmarkEnd w:id="108"/>
      <w:bookmarkEnd w:id="109"/>
    </w:p>
    <w:p w14:paraId="1EAF9A55" w14:textId="77777777" w:rsidR="00872C03" w:rsidRPr="00883399" w:rsidRDefault="00872C03" w:rsidP="00872C03">
      <w:pPr>
        <w:pStyle w:val="subsection"/>
        <w:rPr>
          <w:sz w:val="24"/>
        </w:rPr>
      </w:pPr>
      <w:r w:rsidRPr="00883399">
        <w:rPr>
          <w:sz w:val="24"/>
        </w:rPr>
        <w:tab/>
      </w:r>
      <w:r w:rsidRPr="00883399">
        <w:rPr>
          <w:sz w:val="24"/>
        </w:rPr>
        <w:tab/>
        <w:t>The following apply to the use of equipment for CEM:</w:t>
      </w:r>
    </w:p>
    <w:p w14:paraId="51C075EA" w14:textId="77777777" w:rsidR="00872C03" w:rsidRPr="00883399" w:rsidRDefault="00872C03" w:rsidP="00872C03">
      <w:pPr>
        <w:pStyle w:val="paragraph"/>
        <w:rPr>
          <w:sz w:val="24"/>
        </w:rPr>
      </w:pPr>
      <w:r w:rsidRPr="00883399">
        <w:rPr>
          <w:sz w:val="24"/>
        </w:rPr>
        <w:tab/>
        <w:t>(a)</w:t>
      </w:r>
      <w:r w:rsidRPr="00883399">
        <w:rPr>
          <w:sz w:val="24"/>
        </w:rPr>
        <w:tab/>
        <w:t xml:space="preserve">the requirements in section 1.23 about location of the sampling positions for the CEM equipment; </w:t>
      </w:r>
    </w:p>
    <w:p w14:paraId="5F7863FA" w14:textId="77777777" w:rsidR="00872C03" w:rsidRPr="00883399" w:rsidRDefault="00872C03" w:rsidP="00872C03">
      <w:pPr>
        <w:pStyle w:val="paragraph"/>
        <w:rPr>
          <w:sz w:val="24"/>
        </w:rPr>
      </w:pPr>
      <w:r w:rsidRPr="00883399">
        <w:rPr>
          <w:sz w:val="24"/>
        </w:rPr>
        <w:tab/>
        <w:t>(b)</w:t>
      </w:r>
      <w:r w:rsidRPr="00883399">
        <w:rPr>
          <w:sz w:val="24"/>
        </w:rPr>
        <w:tab/>
        <w:t xml:space="preserve">the requirements in section 1.24 about measurement of volumetric flow rates in the gas stream; </w:t>
      </w:r>
    </w:p>
    <w:p w14:paraId="28A06316" w14:textId="77777777" w:rsidR="00872C03" w:rsidRPr="00883399" w:rsidRDefault="00872C03" w:rsidP="00872C03">
      <w:pPr>
        <w:pStyle w:val="paragraph"/>
        <w:rPr>
          <w:sz w:val="24"/>
        </w:rPr>
      </w:pPr>
      <w:r w:rsidRPr="00883399">
        <w:rPr>
          <w:sz w:val="24"/>
        </w:rPr>
        <w:tab/>
        <w:t>(c)</w:t>
      </w:r>
      <w:r w:rsidRPr="00883399">
        <w:rPr>
          <w:sz w:val="24"/>
        </w:rPr>
        <w:tab/>
        <w:t xml:space="preserve">the requirements in section 1.25 about measurement of the concentrations of greenhouse gas in the gas stream; </w:t>
      </w:r>
    </w:p>
    <w:p w14:paraId="2C0600BC" w14:textId="77777777" w:rsidR="00872C03" w:rsidRPr="00883399" w:rsidRDefault="00872C03" w:rsidP="00872C03">
      <w:pPr>
        <w:pStyle w:val="paragraph"/>
        <w:rPr>
          <w:rFonts w:ascii="Arial" w:hAnsi="Arial" w:cs="Arial"/>
          <w:color w:val="000000"/>
          <w:szCs w:val="22"/>
        </w:rPr>
      </w:pPr>
      <w:r w:rsidRPr="00883399">
        <w:rPr>
          <w:sz w:val="24"/>
        </w:rPr>
        <w:tab/>
        <w:t>(d)</w:t>
      </w:r>
      <w:r w:rsidRPr="00883399">
        <w:rPr>
          <w:sz w:val="24"/>
        </w:rPr>
        <w:tab/>
        <w:t>the requirements in section 1.26 about frequency of measurement.</w:t>
      </w:r>
      <w:r w:rsidRPr="00883399">
        <w:rPr>
          <w:rFonts w:ascii="Arial" w:hAnsi="Arial" w:cs="Arial"/>
          <w:color w:val="000000"/>
          <w:szCs w:val="22"/>
        </w:rPr>
        <w:t xml:space="preserve"> </w:t>
      </w:r>
    </w:p>
    <w:p w14:paraId="7D56F98B" w14:textId="77777777" w:rsidR="00872C03" w:rsidRPr="00883399" w:rsidRDefault="00872C03" w:rsidP="00872C03">
      <w:pPr>
        <w:spacing w:before="240" w:line="312" w:lineRule="auto"/>
        <w:rPr>
          <w:rFonts w:ascii="Arial" w:hAnsi="Arial" w:cs="Arial"/>
          <w:color w:val="000000"/>
          <w:sz w:val="22"/>
          <w:szCs w:val="22"/>
        </w:rPr>
      </w:pPr>
      <w:r w:rsidRPr="00883399">
        <w:rPr>
          <w:rFonts w:ascii="Arial" w:hAnsi="Arial" w:cs="Arial"/>
          <w:color w:val="000000"/>
          <w:sz w:val="22"/>
          <w:szCs w:val="22"/>
        </w:rPr>
        <w:t>CEM systems have a number of specific requirements, including the location of sampling positions, measuring flow rates and gas concentrations and the frequency of measurement. These specific components of CEM systems are founded on internationally recognised standards or methods. The organisations that have been cited include:</w:t>
      </w:r>
    </w:p>
    <w:p w14:paraId="0CB0541E" w14:textId="77777777" w:rsidR="00872C03" w:rsidRPr="00883399" w:rsidRDefault="00872C03" w:rsidP="00872C03">
      <w:pPr>
        <w:numPr>
          <w:ilvl w:val="0"/>
          <w:numId w:val="12"/>
        </w:numPr>
        <w:spacing w:before="120" w:line="260" w:lineRule="exact"/>
        <w:ind w:left="851" w:firstLine="0"/>
        <w:rPr>
          <w:rFonts w:ascii="Arial" w:hAnsi="Arial" w:cs="Arial"/>
          <w:color w:val="000000"/>
          <w:sz w:val="22"/>
          <w:szCs w:val="22"/>
        </w:rPr>
      </w:pPr>
      <w:r w:rsidRPr="00883399">
        <w:rPr>
          <w:rFonts w:ascii="Arial" w:hAnsi="Arial" w:cs="Arial"/>
          <w:color w:val="000000"/>
          <w:sz w:val="22"/>
          <w:szCs w:val="22"/>
        </w:rPr>
        <w:t>Standards Australia (AS)</w:t>
      </w:r>
    </w:p>
    <w:p w14:paraId="6397B7DF" w14:textId="77777777" w:rsidR="00872C03" w:rsidRPr="00883399" w:rsidRDefault="00872C03" w:rsidP="00872C03">
      <w:pPr>
        <w:numPr>
          <w:ilvl w:val="0"/>
          <w:numId w:val="12"/>
        </w:numPr>
        <w:spacing w:before="120" w:line="260" w:lineRule="exact"/>
        <w:ind w:left="851" w:firstLine="0"/>
        <w:rPr>
          <w:rFonts w:ascii="Arial" w:hAnsi="Arial" w:cs="Arial"/>
          <w:color w:val="000000"/>
          <w:sz w:val="22"/>
          <w:szCs w:val="22"/>
        </w:rPr>
      </w:pPr>
      <w:r w:rsidRPr="00883399">
        <w:rPr>
          <w:rFonts w:ascii="Arial" w:hAnsi="Arial" w:cs="Arial"/>
          <w:color w:val="000000"/>
          <w:sz w:val="22"/>
          <w:szCs w:val="22"/>
        </w:rPr>
        <w:t>International Organization for Standardization (ISO)</w:t>
      </w:r>
    </w:p>
    <w:p w14:paraId="4E75CFF6" w14:textId="77777777" w:rsidR="00872C03" w:rsidRPr="00883399" w:rsidRDefault="00872C03" w:rsidP="00872C03">
      <w:pPr>
        <w:numPr>
          <w:ilvl w:val="0"/>
          <w:numId w:val="12"/>
        </w:numPr>
        <w:spacing w:before="120" w:line="260" w:lineRule="exact"/>
        <w:ind w:left="851" w:firstLine="0"/>
        <w:rPr>
          <w:rFonts w:ascii="Arial" w:hAnsi="Arial" w:cs="Arial"/>
          <w:color w:val="000000"/>
          <w:sz w:val="22"/>
          <w:szCs w:val="22"/>
        </w:rPr>
      </w:pPr>
      <w:r w:rsidRPr="00883399">
        <w:rPr>
          <w:rFonts w:ascii="Arial" w:hAnsi="Arial" w:cs="Arial"/>
          <w:color w:val="000000"/>
          <w:sz w:val="22"/>
          <w:szCs w:val="22"/>
        </w:rPr>
        <w:t>United States Environmental Protection Agency (US EPA)</w:t>
      </w:r>
    </w:p>
    <w:p w14:paraId="18B7E411" w14:textId="77777777" w:rsidR="00872C03" w:rsidRPr="00883399" w:rsidRDefault="00872C03" w:rsidP="004B1115">
      <w:pPr>
        <w:pStyle w:val="Text"/>
        <w:rPr>
          <w:sz w:val="24"/>
        </w:rPr>
      </w:pPr>
      <w:r w:rsidRPr="00883399">
        <w:rPr>
          <w:rFonts w:ascii="Arial" w:hAnsi="Arial" w:cs="Arial"/>
          <w:sz w:val="22"/>
          <w:szCs w:val="22"/>
        </w:rPr>
        <w:t>A detailed list of the standards cited and how to obtain them can be found in Appendix D.</w:t>
      </w:r>
    </w:p>
    <w:p w14:paraId="61B50F87" w14:textId="2CCF8BBF" w:rsidR="00872C03" w:rsidRPr="00883399" w:rsidRDefault="00872C03" w:rsidP="00872C03">
      <w:pPr>
        <w:pStyle w:val="ActHead5"/>
        <w:rPr>
          <w:sz w:val="28"/>
        </w:rPr>
      </w:pPr>
      <w:bookmarkStart w:id="110" w:name="_Toc423516715"/>
      <w:bookmarkStart w:id="111" w:name="_Toc495652627"/>
      <w:r w:rsidRPr="00883399">
        <w:rPr>
          <w:rStyle w:val="CharSectno"/>
          <w:sz w:val="28"/>
        </w:rPr>
        <w:t>1.23</w:t>
      </w:r>
      <w:r w:rsidRPr="00883399">
        <w:rPr>
          <w:sz w:val="28"/>
        </w:rPr>
        <w:t xml:space="preserve">  Selection of sampling positions for CEM equipment</w:t>
      </w:r>
      <w:bookmarkEnd w:id="110"/>
      <w:bookmarkEnd w:id="111"/>
    </w:p>
    <w:p w14:paraId="7A21A673" w14:textId="77777777" w:rsidR="00872C03" w:rsidRPr="00883399" w:rsidRDefault="00872C03" w:rsidP="00872C03">
      <w:pPr>
        <w:pStyle w:val="subsection"/>
        <w:rPr>
          <w:sz w:val="24"/>
        </w:rPr>
      </w:pPr>
      <w:r w:rsidRPr="00883399">
        <w:rPr>
          <w:sz w:val="24"/>
        </w:rPr>
        <w:tab/>
      </w:r>
      <w:r w:rsidRPr="00883399">
        <w:rPr>
          <w:sz w:val="24"/>
        </w:rPr>
        <w:tab/>
        <w:t xml:space="preserve">For paragraph 1.22(a), the location of sampling positions for the CEM equipment in relation to the gas stream must be selected in accordance with an appropriate standard. </w:t>
      </w:r>
    </w:p>
    <w:p w14:paraId="77FB8601" w14:textId="77777777" w:rsidR="00872C03" w:rsidRPr="00883399" w:rsidRDefault="00872C03" w:rsidP="00872C03">
      <w:pPr>
        <w:pStyle w:val="notetext"/>
        <w:rPr>
          <w:sz w:val="20"/>
        </w:rPr>
      </w:pPr>
      <w:r w:rsidRPr="00883399">
        <w:rPr>
          <w:sz w:val="20"/>
        </w:rPr>
        <w:t>Note:</w:t>
      </w:r>
      <w:r w:rsidRPr="00883399">
        <w:rPr>
          <w:sz w:val="20"/>
        </w:rPr>
        <w:tab/>
        <w:t>Appropriate standards include:</w:t>
      </w:r>
    </w:p>
    <w:p w14:paraId="0750DADD" w14:textId="77777777" w:rsidR="00872C03" w:rsidRPr="00883399" w:rsidRDefault="00872C03" w:rsidP="00872C03">
      <w:pPr>
        <w:pStyle w:val="notetext"/>
        <w:numPr>
          <w:ilvl w:val="0"/>
          <w:numId w:val="68"/>
        </w:numPr>
        <w:ind w:left="2345"/>
        <w:rPr>
          <w:sz w:val="20"/>
        </w:rPr>
      </w:pPr>
      <w:r w:rsidRPr="00883399">
        <w:rPr>
          <w:sz w:val="20"/>
        </w:rPr>
        <w:t xml:space="preserve">AS 4323.1—1995 </w:t>
      </w:r>
      <w:r w:rsidRPr="00883399">
        <w:rPr>
          <w:i/>
          <w:sz w:val="20"/>
        </w:rPr>
        <w:t xml:space="preserve">Stationary source emissions </w:t>
      </w:r>
      <w:r w:rsidRPr="00883399">
        <w:rPr>
          <w:i/>
          <w:sz w:val="20"/>
        </w:rPr>
        <w:noBreakHyphen/>
        <w:t xml:space="preserve"> Selection of sampling positions</w:t>
      </w:r>
      <w:r w:rsidRPr="00883399">
        <w:rPr>
          <w:sz w:val="20"/>
        </w:rPr>
        <w:t>.</w:t>
      </w:r>
    </w:p>
    <w:p w14:paraId="43E9058F" w14:textId="77777777" w:rsidR="00872C03" w:rsidRPr="00883399" w:rsidRDefault="00872C03" w:rsidP="00872C03">
      <w:pPr>
        <w:pStyle w:val="notetext"/>
        <w:numPr>
          <w:ilvl w:val="0"/>
          <w:numId w:val="68"/>
        </w:numPr>
        <w:ind w:left="2345"/>
        <w:rPr>
          <w:sz w:val="20"/>
        </w:rPr>
      </w:pPr>
      <w:r w:rsidRPr="00883399">
        <w:rPr>
          <w:sz w:val="20"/>
        </w:rPr>
        <w:lastRenderedPageBreak/>
        <w:t>AS 4323[1].1—1995 Amdt 1</w:t>
      </w:r>
      <w:r w:rsidRPr="00883399">
        <w:rPr>
          <w:sz w:val="20"/>
        </w:rPr>
        <w:noBreakHyphen/>
        <w:t xml:space="preserve">1995 </w:t>
      </w:r>
      <w:r w:rsidRPr="00883399">
        <w:rPr>
          <w:i/>
          <w:sz w:val="20"/>
        </w:rPr>
        <w:t xml:space="preserve">Stationary source emissions </w:t>
      </w:r>
      <w:r w:rsidRPr="00883399">
        <w:rPr>
          <w:i/>
          <w:sz w:val="20"/>
        </w:rPr>
        <w:noBreakHyphen/>
        <w:t xml:space="preserve"> Selection of sampling positions</w:t>
      </w:r>
      <w:r w:rsidRPr="00883399">
        <w:rPr>
          <w:sz w:val="20"/>
        </w:rPr>
        <w:t>.</w:t>
      </w:r>
    </w:p>
    <w:p w14:paraId="5D871E68" w14:textId="77777777" w:rsidR="00872C03" w:rsidRPr="00883399" w:rsidRDefault="00872C03" w:rsidP="00872C03">
      <w:pPr>
        <w:pStyle w:val="notetext"/>
        <w:numPr>
          <w:ilvl w:val="0"/>
          <w:numId w:val="68"/>
        </w:numPr>
        <w:ind w:left="2345"/>
        <w:rPr>
          <w:sz w:val="20"/>
        </w:rPr>
      </w:pPr>
      <w:r w:rsidRPr="00883399">
        <w:rPr>
          <w:sz w:val="20"/>
        </w:rPr>
        <w:t xml:space="preserve">ISO 10396:2007 </w:t>
      </w:r>
      <w:r w:rsidRPr="00883399">
        <w:rPr>
          <w:i/>
          <w:sz w:val="20"/>
        </w:rPr>
        <w:t xml:space="preserve">Stationary source emissions </w:t>
      </w:r>
      <w:r w:rsidRPr="00883399">
        <w:rPr>
          <w:i/>
          <w:sz w:val="20"/>
        </w:rPr>
        <w:noBreakHyphen/>
        <w:t xml:space="preserve"> Sampling for the automated determination of gas emission concentrations for permanently</w:t>
      </w:r>
      <w:r w:rsidRPr="00883399">
        <w:rPr>
          <w:i/>
          <w:sz w:val="20"/>
        </w:rPr>
        <w:noBreakHyphen/>
        <w:t>installed monitoring systems</w:t>
      </w:r>
      <w:r w:rsidRPr="00883399">
        <w:rPr>
          <w:sz w:val="20"/>
        </w:rPr>
        <w:t>.</w:t>
      </w:r>
    </w:p>
    <w:p w14:paraId="23A6655B" w14:textId="77777777" w:rsidR="00872C03" w:rsidRPr="00883399" w:rsidRDefault="00872C03" w:rsidP="00872C03">
      <w:pPr>
        <w:pStyle w:val="notetext"/>
        <w:numPr>
          <w:ilvl w:val="0"/>
          <w:numId w:val="68"/>
        </w:numPr>
        <w:ind w:left="2345"/>
        <w:rPr>
          <w:sz w:val="20"/>
        </w:rPr>
      </w:pPr>
      <w:r w:rsidRPr="00883399">
        <w:rPr>
          <w:sz w:val="20"/>
        </w:rPr>
        <w:t xml:space="preserve">ISO 10012:2003 </w:t>
      </w:r>
      <w:r w:rsidRPr="00883399">
        <w:rPr>
          <w:i/>
          <w:sz w:val="20"/>
        </w:rPr>
        <w:t xml:space="preserve">Measurement management systems </w:t>
      </w:r>
      <w:r w:rsidRPr="00883399">
        <w:rPr>
          <w:i/>
          <w:sz w:val="20"/>
        </w:rPr>
        <w:noBreakHyphen/>
        <w:t xml:space="preserve"> Requirements for measurement processes and measuring equipment</w:t>
      </w:r>
      <w:r w:rsidRPr="00883399">
        <w:rPr>
          <w:sz w:val="20"/>
        </w:rPr>
        <w:t>.</w:t>
      </w:r>
    </w:p>
    <w:p w14:paraId="418B2B46" w14:textId="77777777" w:rsidR="00872C03" w:rsidRPr="00883399" w:rsidRDefault="00872C03" w:rsidP="00872C03">
      <w:pPr>
        <w:pStyle w:val="notetext"/>
        <w:numPr>
          <w:ilvl w:val="0"/>
          <w:numId w:val="68"/>
        </w:numPr>
        <w:ind w:left="2345"/>
        <w:rPr>
          <w:sz w:val="20"/>
        </w:rPr>
      </w:pPr>
      <w:r w:rsidRPr="00883399">
        <w:rPr>
          <w:sz w:val="20"/>
        </w:rPr>
        <w:t xml:space="preserve">USEPA – </w:t>
      </w:r>
      <w:r w:rsidRPr="00883399">
        <w:rPr>
          <w:i/>
          <w:sz w:val="20"/>
        </w:rPr>
        <w:t>Method 1 – Sample and Velocity Traverses for Stationary Sources</w:t>
      </w:r>
      <w:r w:rsidRPr="00883399">
        <w:rPr>
          <w:sz w:val="20"/>
        </w:rPr>
        <w:t xml:space="preserve"> (2000).</w:t>
      </w:r>
    </w:p>
    <w:p w14:paraId="130806C2" w14:textId="016B54F3" w:rsidR="00872C03" w:rsidRPr="00883399" w:rsidRDefault="00872C03" w:rsidP="00872C03">
      <w:pPr>
        <w:pStyle w:val="ActHead5"/>
        <w:rPr>
          <w:sz w:val="28"/>
        </w:rPr>
      </w:pPr>
      <w:bookmarkStart w:id="112" w:name="_Toc423516716"/>
      <w:bookmarkStart w:id="113" w:name="_Toc495652628"/>
      <w:r w:rsidRPr="00883399">
        <w:rPr>
          <w:rStyle w:val="CharSectno"/>
          <w:sz w:val="28"/>
        </w:rPr>
        <w:t>1.24</w:t>
      </w:r>
      <w:r w:rsidRPr="00883399">
        <w:rPr>
          <w:sz w:val="28"/>
        </w:rPr>
        <w:t xml:space="preserve">  Measurement of flow rates by CEM</w:t>
      </w:r>
      <w:bookmarkEnd w:id="112"/>
      <w:bookmarkEnd w:id="113"/>
    </w:p>
    <w:p w14:paraId="35F7EA4A" w14:textId="77777777" w:rsidR="00872C03" w:rsidRPr="00883399" w:rsidRDefault="00872C03" w:rsidP="00872C03">
      <w:pPr>
        <w:pStyle w:val="subsection"/>
        <w:rPr>
          <w:sz w:val="24"/>
        </w:rPr>
      </w:pPr>
      <w:r w:rsidRPr="00883399">
        <w:rPr>
          <w:sz w:val="24"/>
        </w:rPr>
        <w:tab/>
      </w:r>
      <w:r w:rsidRPr="00883399">
        <w:rPr>
          <w:sz w:val="24"/>
        </w:rPr>
        <w:tab/>
        <w:t xml:space="preserve">For paragraph 1.22(b), the measurement of the volumetric flow rates by CEM of the gas stream must be undertaken in accordance with an appropriate standard. </w:t>
      </w:r>
    </w:p>
    <w:p w14:paraId="02E3DA00" w14:textId="77777777" w:rsidR="00872C03" w:rsidRPr="00883399" w:rsidRDefault="00872C03" w:rsidP="00872C03">
      <w:pPr>
        <w:pStyle w:val="notetext"/>
        <w:rPr>
          <w:sz w:val="20"/>
        </w:rPr>
      </w:pPr>
      <w:r w:rsidRPr="00883399">
        <w:rPr>
          <w:sz w:val="20"/>
        </w:rPr>
        <w:t>Note:</w:t>
      </w:r>
      <w:r w:rsidRPr="00883399">
        <w:rPr>
          <w:sz w:val="20"/>
        </w:rPr>
        <w:tab/>
        <w:t>Appropriate standards include:</w:t>
      </w:r>
    </w:p>
    <w:p w14:paraId="7A2EDF8E" w14:textId="77777777" w:rsidR="00872C03" w:rsidRPr="00883399" w:rsidRDefault="00872C03" w:rsidP="00872C03">
      <w:pPr>
        <w:pStyle w:val="notetext"/>
        <w:numPr>
          <w:ilvl w:val="0"/>
          <w:numId w:val="69"/>
        </w:numPr>
        <w:ind w:left="2345"/>
        <w:rPr>
          <w:sz w:val="20"/>
        </w:rPr>
      </w:pPr>
      <w:r w:rsidRPr="00883399">
        <w:rPr>
          <w:sz w:val="20"/>
        </w:rPr>
        <w:t xml:space="preserve">ISO 10780:1994 </w:t>
      </w:r>
      <w:r w:rsidRPr="00883399">
        <w:rPr>
          <w:i/>
          <w:sz w:val="20"/>
        </w:rPr>
        <w:t>Stationary source emissions—Measurement of velocity and volume flowrate of gas streams in ducts</w:t>
      </w:r>
      <w:r w:rsidRPr="00883399">
        <w:rPr>
          <w:sz w:val="20"/>
        </w:rPr>
        <w:t>.</w:t>
      </w:r>
    </w:p>
    <w:p w14:paraId="73433535" w14:textId="77777777" w:rsidR="00872C03" w:rsidRPr="00883399" w:rsidRDefault="00872C03" w:rsidP="00872C03">
      <w:pPr>
        <w:pStyle w:val="notetext"/>
        <w:numPr>
          <w:ilvl w:val="0"/>
          <w:numId w:val="69"/>
        </w:numPr>
        <w:ind w:left="2345"/>
        <w:rPr>
          <w:sz w:val="20"/>
        </w:rPr>
      </w:pPr>
      <w:r w:rsidRPr="00883399">
        <w:rPr>
          <w:sz w:val="20"/>
        </w:rPr>
        <w:t xml:space="preserve">ISO 14164:1999 </w:t>
      </w:r>
      <w:r w:rsidRPr="00883399">
        <w:rPr>
          <w:i/>
          <w:sz w:val="20"/>
        </w:rPr>
        <w:t xml:space="preserve">Stationary source emissions—Determination of the volume flowrate of gas streams in ducts </w:t>
      </w:r>
      <w:r w:rsidRPr="00883399">
        <w:rPr>
          <w:i/>
          <w:sz w:val="20"/>
        </w:rPr>
        <w:noBreakHyphen/>
        <w:t xml:space="preserve"> Automated method</w:t>
      </w:r>
      <w:r w:rsidRPr="00883399">
        <w:rPr>
          <w:sz w:val="20"/>
        </w:rPr>
        <w:t>.</w:t>
      </w:r>
    </w:p>
    <w:p w14:paraId="745D354D" w14:textId="77777777" w:rsidR="00872C03" w:rsidRPr="00883399" w:rsidRDefault="00872C03" w:rsidP="00872C03">
      <w:pPr>
        <w:pStyle w:val="notetext"/>
        <w:numPr>
          <w:ilvl w:val="0"/>
          <w:numId w:val="69"/>
        </w:numPr>
        <w:ind w:left="2345"/>
        <w:rPr>
          <w:sz w:val="20"/>
        </w:rPr>
      </w:pPr>
      <w:r w:rsidRPr="00883399">
        <w:rPr>
          <w:sz w:val="20"/>
        </w:rPr>
        <w:t>USEPA Method 2</w:t>
      </w:r>
      <w:r w:rsidRPr="00883399">
        <w:rPr>
          <w:i/>
          <w:sz w:val="20"/>
        </w:rPr>
        <w:t xml:space="preserve"> Determination of Stack Gas Velocity and Volumetric flowrate (Type S Pitot tube)</w:t>
      </w:r>
      <w:r w:rsidRPr="00883399">
        <w:rPr>
          <w:sz w:val="20"/>
        </w:rPr>
        <w:t xml:space="preserve"> (2000).</w:t>
      </w:r>
    </w:p>
    <w:p w14:paraId="36D2BF56" w14:textId="77777777" w:rsidR="00872C03" w:rsidRPr="00883399" w:rsidRDefault="00872C03" w:rsidP="00872C03">
      <w:pPr>
        <w:pStyle w:val="notetext"/>
        <w:numPr>
          <w:ilvl w:val="0"/>
          <w:numId w:val="69"/>
        </w:numPr>
        <w:ind w:left="2345"/>
        <w:rPr>
          <w:sz w:val="20"/>
        </w:rPr>
      </w:pPr>
      <w:r w:rsidRPr="00883399">
        <w:rPr>
          <w:sz w:val="20"/>
        </w:rPr>
        <w:t>USEPA Method 2A</w:t>
      </w:r>
      <w:r w:rsidRPr="00883399">
        <w:rPr>
          <w:i/>
          <w:sz w:val="20"/>
        </w:rPr>
        <w:t xml:space="preserve"> Direct Measurement of Gas Volume Through Pipes and Small Ducts</w:t>
      </w:r>
      <w:r w:rsidRPr="00883399">
        <w:rPr>
          <w:sz w:val="20"/>
        </w:rPr>
        <w:t xml:space="preserve"> (2000).</w:t>
      </w:r>
    </w:p>
    <w:p w14:paraId="4E032387" w14:textId="525CA310" w:rsidR="00872C03" w:rsidRPr="00883399" w:rsidRDefault="00872C03" w:rsidP="00872C03">
      <w:pPr>
        <w:pStyle w:val="ActHead5"/>
        <w:rPr>
          <w:sz w:val="28"/>
        </w:rPr>
      </w:pPr>
      <w:bookmarkStart w:id="114" w:name="_Toc423516717"/>
      <w:bookmarkStart w:id="115" w:name="_Toc495652629"/>
      <w:r w:rsidRPr="00883399">
        <w:rPr>
          <w:rStyle w:val="CharSectno"/>
          <w:sz w:val="28"/>
        </w:rPr>
        <w:t>1.25</w:t>
      </w:r>
      <w:r w:rsidRPr="00883399">
        <w:rPr>
          <w:sz w:val="28"/>
        </w:rPr>
        <w:t xml:space="preserve">  Measurement of gas concentrations by CEM</w:t>
      </w:r>
      <w:bookmarkEnd w:id="114"/>
      <w:bookmarkEnd w:id="115"/>
    </w:p>
    <w:p w14:paraId="6976D159" w14:textId="77777777" w:rsidR="00872C03" w:rsidRPr="00883399" w:rsidRDefault="00872C03" w:rsidP="00872C03">
      <w:pPr>
        <w:pStyle w:val="subsection"/>
        <w:rPr>
          <w:sz w:val="24"/>
        </w:rPr>
      </w:pPr>
      <w:r w:rsidRPr="00883399">
        <w:rPr>
          <w:sz w:val="24"/>
        </w:rPr>
        <w:tab/>
      </w:r>
      <w:r w:rsidRPr="00883399">
        <w:rPr>
          <w:sz w:val="24"/>
        </w:rPr>
        <w:tab/>
        <w:t xml:space="preserve">For paragraph 1.22(c), the measurement of the concentrations of gas in the gas stream by CEM must be undertaken in accordance with an appropriate standard. </w:t>
      </w:r>
    </w:p>
    <w:p w14:paraId="0E4A4556" w14:textId="77777777" w:rsidR="00872C03" w:rsidRPr="00883399" w:rsidRDefault="00872C03" w:rsidP="00872C03">
      <w:pPr>
        <w:pStyle w:val="notetext"/>
        <w:rPr>
          <w:sz w:val="20"/>
        </w:rPr>
      </w:pPr>
      <w:r w:rsidRPr="00883399">
        <w:rPr>
          <w:sz w:val="20"/>
        </w:rPr>
        <w:t>Note:</w:t>
      </w:r>
      <w:r w:rsidRPr="00883399">
        <w:rPr>
          <w:sz w:val="20"/>
        </w:rPr>
        <w:tab/>
        <w:t>Appropriate standards include:</w:t>
      </w:r>
    </w:p>
    <w:p w14:paraId="5252AD56" w14:textId="77777777" w:rsidR="00872C03" w:rsidRPr="00883399" w:rsidRDefault="00872C03" w:rsidP="00872C03">
      <w:pPr>
        <w:pStyle w:val="notetext"/>
        <w:numPr>
          <w:ilvl w:val="0"/>
          <w:numId w:val="70"/>
        </w:numPr>
        <w:ind w:left="2345"/>
        <w:rPr>
          <w:sz w:val="20"/>
        </w:rPr>
      </w:pPr>
      <w:r w:rsidRPr="00883399">
        <w:rPr>
          <w:sz w:val="20"/>
        </w:rPr>
        <w:t>USEPA Method 3A</w:t>
      </w:r>
      <w:r w:rsidRPr="00883399">
        <w:rPr>
          <w:i/>
          <w:sz w:val="20"/>
        </w:rPr>
        <w:t xml:space="preserve"> Determination of oxygen and carbon dioxide concentrations in emissions from stationary sources (instrumental analyzer procedure)</w:t>
      </w:r>
      <w:r w:rsidRPr="00883399">
        <w:rPr>
          <w:sz w:val="20"/>
        </w:rPr>
        <w:t xml:space="preserve"> (2006).</w:t>
      </w:r>
    </w:p>
    <w:p w14:paraId="48D0A5D1" w14:textId="77777777" w:rsidR="00872C03" w:rsidRPr="00883399" w:rsidRDefault="00872C03" w:rsidP="00872C03">
      <w:pPr>
        <w:pStyle w:val="notetext"/>
        <w:numPr>
          <w:ilvl w:val="0"/>
          <w:numId w:val="70"/>
        </w:numPr>
        <w:ind w:left="2345"/>
        <w:rPr>
          <w:sz w:val="20"/>
        </w:rPr>
      </w:pPr>
      <w:r w:rsidRPr="00883399">
        <w:rPr>
          <w:sz w:val="20"/>
        </w:rPr>
        <w:t>USEPA Method 3C</w:t>
      </w:r>
      <w:r w:rsidRPr="00883399">
        <w:rPr>
          <w:i/>
          <w:sz w:val="20"/>
        </w:rPr>
        <w:t xml:space="preserve"> Determination of carbon dioxide, methane, nitrogen, and oxygen from stationary sources</w:t>
      </w:r>
      <w:r w:rsidRPr="00883399">
        <w:rPr>
          <w:sz w:val="20"/>
        </w:rPr>
        <w:t xml:space="preserve"> (1996).</w:t>
      </w:r>
    </w:p>
    <w:p w14:paraId="07761A25" w14:textId="77777777" w:rsidR="00872C03" w:rsidRPr="00883399" w:rsidRDefault="00872C03" w:rsidP="00872C03">
      <w:pPr>
        <w:pStyle w:val="notetext"/>
        <w:numPr>
          <w:ilvl w:val="0"/>
          <w:numId w:val="70"/>
        </w:numPr>
        <w:ind w:left="2345"/>
        <w:rPr>
          <w:sz w:val="20"/>
        </w:rPr>
      </w:pPr>
      <w:r w:rsidRPr="00883399">
        <w:rPr>
          <w:sz w:val="20"/>
        </w:rPr>
        <w:t>ISO 12039:2001</w:t>
      </w:r>
      <w:r w:rsidRPr="00883399">
        <w:rPr>
          <w:i/>
          <w:sz w:val="20"/>
        </w:rPr>
        <w:t xml:space="preserve"> Stationary source emissions—Determination of carbon monoxide, carbon dioxide and oxygen—Performance characteristics and calibration of automated measuring system</w:t>
      </w:r>
      <w:r w:rsidRPr="00883399">
        <w:rPr>
          <w:sz w:val="20"/>
        </w:rPr>
        <w:t>.</w:t>
      </w:r>
    </w:p>
    <w:p w14:paraId="58D5C166" w14:textId="09720748" w:rsidR="00872C03" w:rsidRPr="00883399" w:rsidRDefault="00872C03" w:rsidP="00872C03">
      <w:pPr>
        <w:pStyle w:val="ActHead5"/>
        <w:rPr>
          <w:sz w:val="28"/>
        </w:rPr>
      </w:pPr>
      <w:bookmarkStart w:id="116" w:name="_Toc423516718"/>
      <w:bookmarkStart w:id="117" w:name="_Toc495652630"/>
      <w:r w:rsidRPr="00883399">
        <w:rPr>
          <w:rStyle w:val="CharSectno"/>
          <w:sz w:val="28"/>
        </w:rPr>
        <w:lastRenderedPageBreak/>
        <w:t>1.26</w:t>
      </w:r>
      <w:r w:rsidRPr="00883399">
        <w:rPr>
          <w:sz w:val="28"/>
        </w:rPr>
        <w:t xml:space="preserve">  Frequency of measurement by CEM</w:t>
      </w:r>
      <w:bookmarkEnd w:id="116"/>
      <w:bookmarkEnd w:id="117"/>
    </w:p>
    <w:p w14:paraId="1B695C98" w14:textId="77777777" w:rsidR="00872C03" w:rsidRPr="00883399" w:rsidRDefault="00872C03" w:rsidP="00872C03">
      <w:pPr>
        <w:pStyle w:val="subsection"/>
        <w:rPr>
          <w:sz w:val="24"/>
        </w:rPr>
      </w:pPr>
      <w:r w:rsidRPr="00883399">
        <w:rPr>
          <w:sz w:val="24"/>
        </w:rPr>
        <w:tab/>
        <w:t>(1)</w:t>
      </w:r>
      <w:r w:rsidRPr="00883399">
        <w:rPr>
          <w:sz w:val="24"/>
        </w:rPr>
        <w:tab/>
        <w:t>For paragraph 1.22(d), measurements by CEM must be taken frequently enough to produce data that is representative and unbiased.</w:t>
      </w:r>
    </w:p>
    <w:p w14:paraId="3411F455" w14:textId="77777777" w:rsidR="00872C03" w:rsidRPr="00883399" w:rsidRDefault="00872C03" w:rsidP="00872C03">
      <w:pPr>
        <w:pStyle w:val="subsection"/>
        <w:rPr>
          <w:sz w:val="24"/>
        </w:rPr>
      </w:pPr>
      <w:r w:rsidRPr="00883399">
        <w:rPr>
          <w:sz w:val="24"/>
        </w:rPr>
        <w:tab/>
        <w:t>(2)</w:t>
      </w:r>
      <w:r w:rsidRPr="00883399">
        <w:rPr>
          <w:sz w:val="24"/>
        </w:rPr>
        <w:tab/>
        <w:t>For subsection (1), if part of the CEM equipment is not operating for a period, readings taken during periods when the equipment was operating</w:t>
      </w:r>
      <w:r w:rsidRPr="00883399">
        <w:rPr>
          <w:b/>
          <w:sz w:val="24"/>
        </w:rPr>
        <w:t xml:space="preserve"> </w:t>
      </w:r>
      <w:r w:rsidRPr="00883399">
        <w:rPr>
          <w:sz w:val="24"/>
        </w:rPr>
        <w:t>may be used to estimate data on a pro rata basis for the period that the equipment was not operating.</w:t>
      </w:r>
    </w:p>
    <w:p w14:paraId="2FD734CD" w14:textId="77777777" w:rsidR="00872C03" w:rsidRPr="00883399" w:rsidRDefault="00872C03" w:rsidP="00872C03">
      <w:pPr>
        <w:pStyle w:val="subsection"/>
        <w:rPr>
          <w:sz w:val="24"/>
        </w:rPr>
      </w:pPr>
      <w:r w:rsidRPr="00883399">
        <w:rPr>
          <w:sz w:val="24"/>
        </w:rPr>
        <w:tab/>
        <w:t>(3)</w:t>
      </w:r>
      <w:r w:rsidRPr="00883399">
        <w:rPr>
          <w:sz w:val="24"/>
        </w:rPr>
        <w:tab/>
        <w:t>Frequency of measurement will also be affected by the nature of the equipment.</w:t>
      </w:r>
    </w:p>
    <w:p w14:paraId="6E1160BB" w14:textId="77777777" w:rsidR="00872C03" w:rsidRPr="00883399" w:rsidRDefault="00872C03" w:rsidP="00872C03">
      <w:pPr>
        <w:pStyle w:val="notetext"/>
        <w:rPr>
          <w:sz w:val="20"/>
        </w:rPr>
      </w:pPr>
      <w:r w:rsidRPr="00883399">
        <w:rPr>
          <w:sz w:val="20"/>
        </w:rPr>
        <w:t>Example:</w:t>
      </w:r>
      <w:r w:rsidRPr="00883399">
        <w:rPr>
          <w:sz w:val="20"/>
        </w:rPr>
        <w:tab/>
        <w:t>If the equipment is designed to measure only one substance, for example, carbon dioxide or methane, measurements might be made every minute. However, if the equipment is designed to measure different substances in alternate time periods, measurements might be made much less frequently, for example, every 15 minutes.</w:t>
      </w:r>
    </w:p>
    <w:p w14:paraId="2BB8D1FB" w14:textId="77777777" w:rsidR="00872C03" w:rsidRPr="00883399" w:rsidRDefault="00872C03" w:rsidP="00872C03">
      <w:pPr>
        <w:pStyle w:val="subsection"/>
        <w:rPr>
          <w:sz w:val="24"/>
        </w:rPr>
      </w:pPr>
      <w:r w:rsidRPr="00883399">
        <w:rPr>
          <w:sz w:val="24"/>
        </w:rPr>
        <w:tab/>
        <w:t>(4)</w:t>
      </w:r>
      <w:r w:rsidRPr="00883399">
        <w:rPr>
          <w:sz w:val="24"/>
        </w:rPr>
        <w:tab/>
        <w:t>The CEM equipment must operate for more than 90% of the period for which it is used to monitor an emission.</w:t>
      </w:r>
    </w:p>
    <w:p w14:paraId="6C5C6153" w14:textId="77777777" w:rsidR="00872C03" w:rsidRPr="00883399" w:rsidRDefault="00872C03" w:rsidP="00872C03">
      <w:pPr>
        <w:pStyle w:val="subsection"/>
        <w:rPr>
          <w:sz w:val="24"/>
        </w:rPr>
      </w:pPr>
      <w:r w:rsidRPr="00883399">
        <w:rPr>
          <w:sz w:val="24"/>
        </w:rPr>
        <w:tab/>
        <w:t>(5)</w:t>
      </w:r>
      <w:r w:rsidRPr="00883399">
        <w:rPr>
          <w:sz w:val="24"/>
        </w:rPr>
        <w:tab/>
        <w:t>In working out the period during which CEM equipment is being used to monitor for the purposes of subsection (4), exclude downtime taken for the calibration of equipment.</w:t>
      </w:r>
    </w:p>
    <w:p w14:paraId="2F0E9082" w14:textId="479645E2" w:rsidR="00872C03" w:rsidRPr="00883399" w:rsidRDefault="00872C03" w:rsidP="00872C03">
      <w:pPr>
        <w:pStyle w:val="ActHead3"/>
        <w:pageBreakBefore/>
        <w:rPr>
          <w:sz w:val="32"/>
        </w:rPr>
      </w:pPr>
      <w:bookmarkStart w:id="118" w:name="_Toc423516719"/>
      <w:bookmarkStart w:id="119" w:name="_Toc495652631"/>
      <w:r w:rsidRPr="00883399">
        <w:rPr>
          <w:rStyle w:val="CharDivNo"/>
          <w:sz w:val="32"/>
        </w:rPr>
        <w:lastRenderedPageBreak/>
        <w:t>Division 1.3.3</w:t>
      </w:r>
      <w:r w:rsidRPr="00883399">
        <w:rPr>
          <w:sz w:val="32"/>
        </w:rPr>
        <w:t>—</w:t>
      </w:r>
      <w:r w:rsidRPr="00883399">
        <w:rPr>
          <w:rStyle w:val="CharDivText"/>
          <w:sz w:val="32"/>
        </w:rPr>
        <w:t>Operation of method 4 (PEM)</w:t>
      </w:r>
      <w:bookmarkEnd w:id="118"/>
      <w:bookmarkEnd w:id="119"/>
    </w:p>
    <w:p w14:paraId="5CCA9FAB" w14:textId="0EB706F5" w:rsidR="00872C03" w:rsidRPr="00883399" w:rsidRDefault="00872C03" w:rsidP="00872C03">
      <w:pPr>
        <w:pStyle w:val="ActHead4"/>
        <w:rPr>
          <w:rStyle w:val="CharSubdText"/>
          <w:sz w:val="28"/>
        </w:rPr>
      </w:pPr>
      <w:bookmarkStart w:id="120" w:name="_Toc423516720"/>
      <w:bookmarkStart w:id="121" w:name="_Toc495652632"/>
      <w:r w:rsidRPr="00883399">
        <w:rPr>
          <w:rStyle w:val="CharSubdNo"/>
          <w:sz w:val="28"/>
        </w:rPr>
        <w:t>Subdivision 1.3.3.1</w:t>
      </w:r>
      <w:r w:rsidRPr="00883399">
        <w:rPr>
          <w:sz w:val="28"/>
        </w:rPr>
        <w:t>—</w:t>
      </w:r>
      <w:r w:rsidRPr="00883399">
        <w:rPr>
          <w:rStyle w:val="CharSubdText"/>
          <w:sz w:val="28"/>
        </w:rPr>
        <w:t>Method 4 (PEM)</w:t>
      </w:r>
      <w:bookmarkEnd w:id="120"/>
      <w:bookmarkEnd w:id="121"/>
    </w:p>
    <w:p w14:paraId="645C5828" w14:textId="77777777" w:rsidR="00872C03" w:rsidRPr="00883399" w:rsidRDefault="00872C03" w:rsidP="00872C03">
      <w:pPr>
        <w:spacing w:before="240" w:line="312" w:lineRule="auto"/>
        <w:rPr>
          <w:rFonts w:ascii="Arial" w:hAnsi="Arial" w:cs="Arial"/>
          <w:color w:val="000000"/>
          <w:sz w:val="22"/>
          <w:szCs w:val="22"/>
        </w:rPr>
      </w:pPr>
      <w:r w:rsidRPr="00883399">
        <w:rPr>
          <w:rFonts w:ascii="Arial" w:hAnsi="Arial" w:cs="Arial"/>
          <w:color w:val="000000"/>
          <w:sz w:val="22"/>
          <w:szCs w:val="22"/>
        </w:rPr>
        <w:t xml:space="preserve">Whereas CEM systems are designed to measure real-time emissions estimates, Periodic Emissions Monitoring (PEM) systems are designed to measure emissions at periodic intervals (e.g. daily, weekly, monthly measurements) over a specified period. The equations for calculating emissions from flow rate and gas concentration data is closely related to that of the CEM approach, however the frequency of measurement and operational time of PEM is less than for CEM. </w:t>
      </w:r>
    </w:p>
    <w:p w14:paraId="45AEEC18" w14:textId="751F3D27" w:rsidR="00872C03" w:rsidRPr="00883399" w:rsidRDefault="00872C03" w:rsidP="00872C03">
      <w:pPr>
        <w:pStyle w:val="ActHead5"/>
        <w:rPr>
          <w:sz w:val="28"/>
        </w:rPr>
      </w:pPr>
      <w:bookmarkStart w:id="122" w:name="_Toc423516721"/>
      <w:bookmarkStart w:id="123" w:name="_Toc495652633"/>
      <w:r w:rsidRPr="00883399">
        <w:rPr>
          <w:rStyle w:val="CharSectno"/>
          <w:sz w:val="28"/>
        </w:rPr>
        <w:t>1.27</w:t>
      </w:r>
      <w:r w:rsidRPr="00883399">
        <w:rPr>
          <w:sz w:val="28"/>
        </w:rPr>
        <w:t xml:space="preserve">  Method 4 (PEM)—estimation of emissions</w:t>
      </w:r>
      <w:bookmarkEnd w:id="122"/>
      <w:bookmarkEnd w:id="123"/>
    </w:p>
    <w:p w14:paraId="62A42E55" w14:textId="77777777" w:rsidR="00872C03" w:rsidRPr="00883399" w:rsidRDefault="00872C03" w:rsidP="00872C03">
      <w:pPr>
        <w:pStyle w:val="subsection"/>
        <w:rPr>
          <w:sz w:val="24"/>
        </w:rPr>
      </w:pPr>
      <w:r w:rsidRPr="00883399">
        <w:rPr>
          <w:sz w:val="24"/>
        </w:rPr>
        <w:tab/>
        <w:t>(1)</w:t>
      </w:r>
      <w:r w:rsidRPr="00883399">
        <w:rPr>
          <w:sz w:val="24"/>
        </w:rPr>
        <w:tab/>
        <w:t>To obtain an estimate of the mass emissions rate of methane, carbon dioxide or nitrous oxide released at the time of measurement at a monitoring site within the area occupied for the operation of a facility, the formula in subsection 1.21(1) must be applied.</w:t>
      </w:r>
    </w:p>
    <w:p w14:paraId="4F925602" w14:textId="77777777" w:rsidR="00872C03" w:rsidRPr="00883399" w:rsidRDefault="00872C03" w:rsidP="00872C03">
      <w:pPr>
        <w:pStyle w:val="subsection"/>
        <w:rPr>
          <w:sz w:val="24"/>
        </w:rPr>
      </w:pPr>
      <w:r w:rsidRPr="00883399">
        <w:rPr>
          <w:sz w:val="24"/>
        </w:rPr>
        <w:tab/>
        <w:t>(2)</w:t>
      </w:r>
      <w:r w:rsidRPr="00883399">
        <w:rPr>
          <w:sz w:val="24"/>
        </w:rPr>
        <w:tab/>
        <w:t>The mass of emissions estimated under the formula must be converted into CO</w:t>
      </w:r>
      <w:r w:rsidRPr="00883399">
        <w:rPr>
          <w:sz w:val="24"/>
          <w:vertAlign w:val="subscript"/>
        </w:rPr>
        <w:t>2</w:t>
      </w:r>
      <w:r w:rsidRPr="00883399">
        <w:rPr>
          <w:sz w:val="24"/>
        </w:rPr>
        <w:noBreakHyphen/>
        <w:t>e tonnes.</w:t>
      </w:r>
    </w:p>
    <w:p w14:paraId="3BFA707B" w14:textId="77777777" w:rsidR="00872C03" w:rsidRPr="00883399" w:rsidRDefault="00872C03" w:rsidP="00872C03">
      <w:pPr>
        <w:pStyle w:val="subsection"/>
        <w:rPr>
          <w:sz w:val="24"/>
        </w:rPr>
      </w:pPr>
      <w:r w:rsidRPr="00883399">
        <w:rPr>
          <w:sz w:val="24"/>
        </w:rPr>
        <w:tab/>
        <w:t>(3)</w:t>
      </w:r>
      <w:r w:rsidRPr="00883399">
        <w:rPr>
          <w:sz w:val="24"/>
        </w:rPr>
        <w:tab/>
        <w:t>The average mass emissions rate for the gas measured in CO</w:t>
      </w:r>
      <w:r w:rsidRPr="00883399">
        <w:rPr>
          <w:sz w:val="24"/>
          <w:vertAlign w:val="subscript"/>
        </w:rPr>
        <w:t>2</w:t>
      </w:r>
      <w:r w:rsidRPr="00883399">
        <w:rPr>
          <w:sz w:val="24"/>
        </w:rPr>
        <w:noBreakHyphen/>
        <w:t>e tonnes per hour for a year must be calculated from the estimates obtained under subsection (1).</w:t>
      </w:r>
    </w:p>
    <w:p w14:paraId="11B9EBCA" w14:textId="77777777" w:rsidR="00872C03" w:rsidRPr="00883399" w:rsidRDefault="00872C03" w:rsidP="00872C03">
      <w:pPr>
        <w:pStyle w:val="subsection"/>
        <w:rPr>
          <w:sz w:val="24"/>
        </w:rPr>
      </w:pPr>
      <w:r w:rsidRPr="00883399">
        <w:rPr>
          <w:sz w:val="24"/>
        </w:rPr>
        <w:tab/>
        <w:t>(4)</w:t>
      </w:r>
      <w:r w:rsidRPr="00883399">
        <w:rPr>
          <w:sz w:val="24"/>
        </w:rPr>
        <w:tab/>
        <w:t>The total mass of emissions of the gas for the year is calculated by multiplying the average emissions rate obtained under subsection (3) by the number of hours during the year when the site was operating.</w:t>
      </w:r>
    </w:p>
    <w:p w14:paraId="24975457" w14:textId="77777777" w:rsidR="00872C03" w:rsidRPr="00883399" w:rsidRDefault="00872C03" w:rsidP="00872C03">
      <w:pPr>
        <w:pStyle w:val="subsection"/>
        <w:rPr>
          <w:sz w:val="24"/>
        </w:rPr>
      </w:pPr>
      <w:r w:rsidRPr="00883399">
        <w:rPr>
          <w:sz w:val="24"/>
        </w:rPr>
        <w:tab/>
        <w:t>(5)</w:t>
      </w:r>
      <w:r w:rsidRPr="00883399">
        <w:rPr>
          <w:sz w:val="24"/>
        </w:rPr>
        <w:tab/>
        <w:t>If method 1 is available for the source, the total mass of emissions of the gas for a year calculated under this section must be reconciled against an estimate for that gas from the site for the same period calculated using method 1 for that source.</w:t>
      </w:r>
    </w:p>
    <w:p w14:paraId="5C8B4AAC" w14:textId="77777777" w:rsidR="00872C03" w:rsidRPr="00883399" w:rsidRDefault="00872C03" w:rsidP="00872C03">
      <w:pPr>
        <w:pStyle w:val="R2"/>
        <w:rPr>
          <w:b/>
          <w:sz w:val="20"/>
          <w:szCs w:val="20"/>
        </w:rPr>
      </w:pPr>
      <w:r w:rsidRPr="00883399">
        <w:rPr>
          <w:color w:val="000000"/>
        </w:rPr>
        <w:br w:type="page"/>
      </w:r>
      <w:r w:rsidRPr="00883399">
        <w:rPr>
          <w:b/>
          <w:sz w:val="20"/>
          <w:szCs w:val="20"/>
        </w:rPr>
        <w:lastRenderedPageBreak/>
        <w:t>Example: Periodic (e.g. monthly sampling regime) emissions monitoring of CH</w:t>
      </w:r>
      <w:r w:rsidRPr="00883399">
        <w:rPr>
          <w:b/>
          <w:sz w:val="20"/>
          <w:szCs w:val="20"/>
          <w:vertAlign w:val="subscript"/>
        </w:rPr>
        <w:t>4</w:t>
      </w:r>
      <w:r w:rsidRPr="00883399">
        <w:rPr>
          <w:b/>
          <w:sz w:val="20"/>
          <w:szCs w:val="20"/>
        </w:rPr>
        <w:t xml:space="preserve"> from fugitive emissions associated with underground coal mining</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1048"/>
        <w:gridCol w:w="1008"/>
        <w:gridCol w:w="955"/>
        <w:gridCol w:w="717"/>
        <w:gridCol w:w="973"/>
        <w:gridCol w:w="1042"/>
        <w:gridCol w:w="1053"/>
        <w:gridCol w:w="1053"/>
      </w:tblGrid>
      <w:tr w:rsidR="00872C03" w:rsidRPr="00883399" w14:paraId="280AA7F8" w14:textId="77777777" w:rsidTr="0031057E">
        <w:tc>
          <w:tcPr>
            <w:tcW w:w="1439" w:type="dxa"/>
          </w:tcPr>
          <w:p w14:paraId="66BC83BF" w14:textId="77777777" w:rsidR="00872C03" w:rsidRPr="00883399" w:rsidRDefault="00C66508" w:rsidP="0031057E">
            <w:pPr>
              <w:spacing w:before="120"/>
              <w:jc w:val="center"/>
              <w:rPr>
                <w:color w:val="000000"/>
                <w:sz w:val="18"/>
                <w:szCs w:val="18"/>
              </w:rPr>
            </w:pPr>
            <w:r w:rsidRPr="00883399">
              <w:rPr>
                <w:noProof/>
              </w:rPr>
              <mc:AlternateContent>
                <mc:Choice Requires="wps">
                  <w:drawing>
                    <wp:anchor distT="0" distB="0" distL="114300" distR="114300" simplePos="0" relativeHeight="251658244" behindDoc="1" locked="0" layoutInCell="0" allowOverlap="1" wp14:anchorId="4B87D545" wp14:editId="350D9833">
                      <wp:simplePos x="0" y="0"/>
                      <wp:positionH relativeFrom="column">
                        <wp:posOffset>-76200</wp:posOffset>
                      </wp:positionH>
                      <wp:positionV relativeFrom="paragraph">
                        <wp:posOffset>-407670</wp:posOffset>
                      </wp:positionV>
                      <wp:extent cx="5896610" cy="8131810"/>
                      <wp:effectExtent l="0" t="0" r="27940" b="21590"/>
                      <wp:wrapNone/>
                      <wp:docPr id="2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6610" cy="81318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3A3D" id="Rectangle 5" o:spid="_x0000_s1026" style="position:absolute;margin-left:-6pt;margin-top:-32.1pt;width:464.3pt;height:640.3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" o:allowincell="f"/>
                  </w:pict>
                </mc:Fallback>
              </mc:AlternateContent>
            </w:r>
            <w:r w:rsidR="00872C03" w:rsidRPr="00883399">
              <w:rPr>
                <w:color w:val="000000"/>
                <w:sz w:val="18"/>
                <w:szCs w:val="18"/>
              </w:rPr>
              <w:t>Measurement (time)</w:t>
            </w:r>
          </w:p>
        </w:tc>
        <w:tc>
          <w:tcPr>
            <w:tcW w:w="1048" w:type="dxa"/>
          </w:tcPr>
          <w:p w14:paraId="6917195D" w14:textId="77777777" w:rsidR="00872C03" w:rsidRPr="00883399" w:rsidRDefault="00872C03" w:rsidP="0031057E">
            <w:pPr>
              <w:spacing w:before="120"/>
              <w:jc w:val="center"/>
              <w:rPr>
                <w:color w:val="000000"/>
                <w:sz w:val="18"/>
                <w:szCs w:val="18"/>
              </w:rPr>
            </w:pPr>
            <w:r w:rsidRPr="00883399">
              <w:rPr>
                <w:color w:val="000000"/>
                <w:sz w:val="18"/>
                <w:szCs w:val="18"/>
              </w:rPr>
              <w:t>MM</w:t>
            </w:r>
            <w:r w:rsidRPr="00883399">
              <w:rPr>
                <w:color w:val="000000"/>
                <w:sz w:val="18"/>
                <w:szCs w:val="18"/>
                <w:vertAlign w:val="subscript"/>
              </w:rPr>
              <w:t>ct</w:t>
            </w:r>
            <w:r w:rsidRPr="00883399">
              <w:rPr>
                <w:color w:val="000000"/>
                <w:sz w:val="18"/>
                <w:szCs w:val="18"/>
              </w:rPr>
              <w:t xml:space="preserve"> </w:t>
            </w:r>
          </w:p>
          <w:p w14:paraId="363502F7" w14:textId="77777777" w:rsidR="00872C03" w:rsidRPr="00883399" w:rsidRDefault="00872C03" w:rsidP="0031057E">
            <w:pPr>
              <w:spacing w:before="120"/>
              <w:jc w:val="center"/>
              <w:rPr>
                <w:color w:val="000000"/>
                <w:sz w:val="18"/>
                <w:szCs w:val="18"/>
              </w:rPr>
            </w:pPr>
            <w:r w:rsidRPr="00883399">
              <w:rPr>
                <w:color w:val="000000"/>
                <w:sz w:val="18"/>
                <w:szCs w:val="18"/>
              </w:rPr>
              <w:t>(CO</w:t>
            </w:r>
            <w:r w:rsidRPr="00883399">
              <w:rPr>
                <w:color w:val="000000"/>
                <w:sz w:val="18"/>
                <w:szCs w:val="18"/>
                <w:vertAlign w:val="subscript"/>
              </w:rPr>
              <w:t>2</w:t>
            </w:r>
            <w:r w:rsidRPr="00883399">
              <w:rPr>
                <w:color w:val="000000"/>
                <w:sz w:val="18"/>
                <w:szCs w:val="18"/>
              </w:rPr>
              <w:t xml:space="preserve"> tonnes per kilomole)</w:t>
            </w:r>
          </w:p>
          <w:p w14:paraId="2ABF9313" w14:textId="77777777" w:rsidR="00872C03" w:rsidRPr="00883399" w:rsidRDefault="00872C03" w:rsidP="0031057E">
            <w:pPr>
              <w:spacing w:before="120"/>
              <w:jc w:val="center"/>
              <w:rPr>
                <w:color w:val="000000"/>
                <w:sz w:val="18"/>
                <w:szCs w:val="18"/>
              </w:rPr>
            </w:pPr>
          </w:p>
        </w:tc>
        <w:tc>
          <w:tcPr>
            <w:tcW w:w="1008" w:type="dxa"/>
          </w:tcPr>
          <w:p w14:paraId="127A1579" w14:textId="77777777" w:rsidR="00872C03" w:rsidRPr="00883399" w:rsidRDefault="00872C03" w:rsidP="0031057E">
            <w:pPr>
              <w:spacing w:before="120"/>
              <w:jc w:val="center"/>
              <w:rPr>
                <w:color w:val="000000"/>
                <w:sz w:val="18"/>
                <w:szCs w:val="18"/>
                <w:vertAlign w:val="subscript"/>
              </w:rPr>
            </w:pPr>
            <w:r w:rsidRPr="00883399">
              <w:rPr>
                <w:color w:val="000000"/>
                <w:sz w:val="18"/>
                <w:szCs w:val="18"/>
              </w:rPr>
              <w:t>P</w:t>
            </w:r>
            <w:r w:rsidRPr="00883399">
              <w:rPr>
                <w:color w:val="000000"/>
                <w:sz w:val="18"/>
                <w:szCs w:val="18"/>
                <w:vertAlign w:val="subscript"/>
              </w:rPr>
              <w:t xml:space="preserve">ct </w:t>
            </w:r>
          </w:p>
          <w:p w14:paraId="70968710" w14:textId="77777777" w:rsidR="00872C03" w:rsidRPr="00883399" w:rsidRDefault="00872C03" w:rsidP="0031057E">
            <w:pPr>
              <w:spacing w:before="120"/>
              <w:jc w:val="center"/>
              <w:rPr>
                <w:color w:val="000000"/>
                <w:sz w:val="18"/>
                <w:szCs w:val="18"/>
              </w:rPr>
            </w:pPr>
            <w:r w:rsidRPr="00883399">
              <w:rPr>
                <w:color w:val="000000"/>
                <w:sz w:val="18"/>
                <w:szCs w:val="18"/>
              </w:rPr>
              <w:t>(kPa)</w:t>
            </w:r>
          </w:p>
          <w:p w14:paraId="59C87549" w14:textId="77777777" w:rsidR="00872C03" w:rsidRPr="00883399" w:rsidRDefault="00872C03" w:rsidP="0031057E">
            <w:pPr>
              <w:spacing w:before="120"/>
              <w:jc w:val="center"/>
              <w:rPr>
                <w:color w:val="000000"/>
                <w:sz w:val="18"/>
                <w:szCs w:val="18"/>
              </w:rPr>
            </w:pPr>
          </w:p>
          <w:p w14:paraId="7A4850C0" w14:textId="77777777" w:rsidR="00872C03" w:rsidRPr="00883399" w:rsidRDefault="00872C03" w:rsidP="0031057E">
            <w:pPr>
              <w:spacing w:before="120"/>
              <w:jc w:val="center"/>
              <w:rPr>
                <w:color w:val="000000"/>
                <w:sz w:val="18"/>
                <w:szCs w:val="18"/>
              </w:rPr>
            </w:pPr>
          </w:p>
        </w:tc>
        <w:tc>
          <w:tcPr>
            <w:tcW w:w="955" w:type="dxa"/>
          </w:tcPr>
          <w:p w14:paraId="434ED0C8" w14:textId="77777777" w:rsidR="00872C03" w:rsidRPr="00883399" w:rsidRDefault="00872C03" w:rsidP="0031057E">
            <w:pPr>
              <w:spacing w:before="120"/>
              <w:jc w:val="center"/>
              <w:rPr>
                <w:color w:val="000000"/>
                <w:sz w:val="18"/>
                <w:szCs w:val="18"/>
              </w:rPr>
            </w:pPr>
            <w:r w:rsidRPr="00883399">
              <w:rPr>
                <w:color w:val="000000"/>
                <w:sz w:val="18"/>
                <w:szCs w:val="18"/>
              </w:rPr>
              <w:t>FR</w:t>
            </w:r>
            <w:r w:rsidRPr="00883399">
              <w:rPr>
                <w:color w:val="000000"/>
                <w:sz w:val="18"/>
                <w:szCs w:val="18"/>
                <w:vertAlign w:val="subscript"/>
              </w:rPr>
              <w:t>ct</w:t>
            </w:r>
          </w:p>
          <w:p w14:paraId="41AC6C63" w14:textId="77777777" w:rsidR="00872C03" w:rsidRPr="00883399" w:rsidRDefault="00872C03" w:rsidP="0031057E">
            <w:pPr>
              <w:spacing w:before="120"/>
              <w:jc w:val="center"/>
              <w:rPr>
                <w:color w:val="000000"/>
                <w:sz w:val="18"/>
                <w:szCs w:val="18"/>
              </w:rPr>
            </w:pPr>
            <w:r w:rsidRPr="00883399">
              <w:rPr>
                <w:color w:val="000000"/>
                <w:sz w:val="18"/>
                <w:szCs w:val="18"/>
              </w:rPr>
              <w:t>(M</w:t>
            </w:r>
            <w:r w:rsidRPr="00883399">
              <w:rPr>
                <w:color w:val="000000"/>
                <w:sz w:val="18"/>
                <w:szCs w:val="18"/>
                <w:vertAlign w:val="superscript"/>
              </w:rPr>
              <w:t>3</w:t>
            </w:r>
            <w:r w:rsidRPr="00883399">
              <w:rPr>
                <w:color w:val="000000"/>
                <w:sz w:val="18"/>
                <w:szCs w:val="18"/>
              </w:rPr>
              <w:t>/sec)</w:t>
            </w:r>
          </w:p>
          <w:p w14:paraId="0EC6E2BE" w14:textId="77777777" w:rsidR="00872C03" w:rsidRPr="00883399" w:rsidRDefault="00872C03" w:rsidP="0031057E">
            <w:pPr>
              <w:spacing w:before="120"/>
              <w:jc w:val="center"/>
              <w:rPr>
                <w:color w:val="000000"/>
                <w:sz w:val="18"/>
                <w:szCs w:val="18"/>
              </w:rPr>
            </w:pPr>
          </w:p>
        </w:tc>
        <w:tc>
          <w:tcPr>
            <w:tcW w:w="717" w:type="dxa"/>
          </w:tcPr>
          <w:p w14:paraId="7EF53F27" w14:textId="77777777" w:rsidR="00872C03" w:rsidRPr="00883399" w:rsidRDefault="00872C03" w:rsidP="0031057E">
            <w:pPr>
              <w:spacing w:before="120"/>
              <w:jc w:val="center"/>
              <w:rPr>
                <w:color w:val="000000"/>
                <w:sz w:val="18"/>
                <w:szCs w:val="18"/>
              </w:rPr>
            </w:pPr>
            <w:r w:rsidRPr="00883399">
              <w:rPr>
                <w:color w:val="000000"/>
                <w:sz w:val="18"/>
                <w:szCs w:val="18"/>
              </w:rPr>
              <w:t>C</w:t>
            </w:r>
            <w:r w:rsidRPr="00883399">
              <w:rPr>
                <w:color w:val="000000"/>
                <w:sz w:val="18"/>
                <w:szCs w:val="18"/>
                <w:vertAlign w:val="subscript"/>
              </w:rPr>
              <w:t>jct</w:t>
            </w:r>
          </w:p>
          <w:p w14:paraId="2184BAD9" w14:textId="77777777" w:rsidR="00872C03" w:rsidRPr="00883399" w:rsidRDefault="00872C03" w:rsidP="0031057E">
            <w:pPr>
              <w:spacing w:before="120"/>
              <w:jc w:val="center"/>
              <w:rPr>
                <w:color w:val="000000"/>
                <w:sz w:val="18"/>
                <w:szCs w:val="18"/>
              </w:rPr>
            </w:pPr>
            <w:r w:rsidRPr="00883399">
              <w:rPr>
                <w:color w:val="000000"/>
                <w:sz w:val="18"/>
                <w:szCs w:val="18"/>
              </w:rPr>
              <w:t>(v/v)</w:t>
            </w:r>
          </w:p>
          <w:p w14:paraId="7C00DE16" w14:textId="77777777" w:rsidR="00872C03" w:rsidRPr="00883399" w:rsidRDefault="00872C03" w:rsidP="0031057E">
            <w:pPr>
              <w:spacing w:before="120"/>
              <w:jc w:val="center"/>
              <w:rPr>
                <w:color w:val="000000"/>
                <w:sz w:val="18"/>
                <w:szCs w:val="18"/>
              </w:rPr>
            </w:pPr>
          </w:p>
        </w:tc>
        <w:tc>
          <w:tcPr>
            <w:tcW w:w="973" w:type="dxa"/>
          </w:tcPr>
          <w:p w14:paraId="4854E83B" w14:textId="77777777" w:rsidR="00872C03" w:rsidRPr="00883399" w:rsidRDefault="00872C03" w:rsidP="0031057E">
            <w:pPr>
              <w:spacing w:before="120"/>
              <w:jc w:val="center"/>
              <w:rPr>
                <w:color w:val="000000"/>
                <w:sz w:val="18"/>
                <w:szCs w:val="18"/>
              </w:rPr>
            </w:pPr>
            <w:r w:rsidRPr="00883399">
              <w:rPr>
                <w:color w:val="000000"/>
                <w:sz w:val="18"/>
                <w:szCs w:val="18"/>
              </w:rPr>
              <w:t>Gas constant</w:t>
            </w:r>
          </w:p>
          <w:p w14:paraId="7C5DEB2F" w14:textId="77777777" w:rsidR="00872C03" w:rsidRPr="00883399" w:rsidRDefault="00872C03" w:rsidP="0031057E">
            <w:pPr>
              <w:spacing w:before="120"/>
              <w:jc w:val="center"/>
              <w:rPr>
                <w:color w:val="000000"/>
                <w:sz w:val="18"/>
                <w:szCs w:val="18"/>
              </w:rPr>
            </w:pPr>
          </w:p>
        </w:tc>
        <w:tc>
          <w:tcPr>
            <w:tcW w:w="1042" w:type="dxa"/>
          </w:tcPr>
          <w:p w14:paraId="3A145C6A" w14:textId="77777777" w:rsidR="00872C03" w:rsidRPr="00883399" w:rsidRDefault="00872C03" w:rsidP="0031057E">
            <w:pPr>
              <w:spacing w:before="120"/>
              <w:jc w:val="center"/>
              <w:rPr>
                <w:color w:val="000000"/>
                <w:sz w:val="18"/>
                <w:szCs w:val="18"/>
              </w:rPr>
            </w:pPr>
            <w:r w:rsidRPr="00883399">
              <w:rPr>
                <w:color w:val="000000"/>
                <w:sz w:val="18"/>
                <w:szCs w:val="18"/>
              </w:rPr>
              <w:t>T</w:t>
            </w:r>
            <w:r w:rsidRPr="00883399">
              <w:rPr>
                <w:color w:val="000000"/>
                <w:sz w:val="18"/>
                <w:szCs w:val="18"/>
                <w:vertAlign w:val="subscript"/>
              </w:rPr>
              <w:t>ct</w:t>
            </w:r>
          </w:p>
          <w:p w14:paraId="3A2A2F8A" w14:textId="77777777" w:rsidR="00872C03" w:rsidRPr="00883399" w:rsidRDefault="00872C03" w:rsidP="0031057E">
            <w:pPr>
              <w:spacing w:before="120"/>
              <w:jc w:val="center"/>
              <w:rPr>
                <w:color w:val="000000"/>
                <w:sz w:val="18"/>
                <w:szCs w:val="18"/>
              </w:rPr>
            </w:pPr>
            <w:r w:rsidRPr="00883399">
              <w:rPr>
                <w:color w:val="000000"/>
                <w:sz w:val="18"/>
                <w:szCs w:val="18"/>
              </w:rPr>
              <w:t xml:space="preserve">(degrees Kelvin) </w:t>
            </w:r>
          </w:p>
          <w:p w14:paraId="7F6EA396" w14:textId="77777777" w:rsidR="00872C03" w:rsidRPr="00883399" w:rsidRDefault="00872C03" w:rsidP="0031057E">
            <w:pPr>
              <w:spacing w:before="120"/>
              <w:jc w:val="center"/>
              <w:rPr>
                <w:color w:val="000000"/>
                <w:sz w:val="18"/>
                <w:szCs w:val="18"/>
              </w:rPr>
            </w:pPr>
          </w:p>
        </w:tc>
        <w:tc>
          <w:tcPr>
            <w:tcW w:w="1053" w:type="dxa"/>
          </w:tcPr>
          <w:p w14:paraId="5286A541" w14:textId="77777777" w:rsidR="00872C03" w:rsidRPr="00883399" w:rsidRDefault="00872C03" w:rsidP="0031057E">
            <w:pPr>
              <w:spacing w:before="120"/>
              <w:jc w:val="center"/>
              <w:rPr>
                <w:color w:val="000000"/>
                <w:sz w:val="18"/>
                <w:szCs w:val="18"/>
              </w:rPr>
            </w:pPr>
            <w:r w:rsidRPr="00883399">
              <w:rPr>
                <w:color w:val="000000"/>
                <w:sz w:val="18"/>
                <w:szCs w:val="18"/>
              </w:rPr>
              <w:t>Emission estimate</w:t>
            </w:r>
          </w:p>
          <w:p w14:paraId="127EA0E2" w14:textId="77777777" w:rsidR="00872C03" w:rsidRPr="00883399" w:rsidRDefault="00872C03" w:rsidP="0031057E">
            <w:pPr>
              <w:spacing w:before="120"/>
              <w:jc w:val="center"/>
              <w:rPr>
                <w:color w:val="000000"/>
                <w:sz w:val="18"/>
                <w:szCs w:val="18"/>
              </w:rPr>
            </w:pPr>
            <w:r w:rsidRPr="00883399">
              <w:rPr>
                <w:color w:val="000000"/>
                <w:sz w:val="18"/>
                <w:szCs w:val="18"/>
              </w:rPr>
              <w:t>(CH</w:t>
            </w:r>
            <w:r w:rsidRPr="00883399">
              <w:rPr>
                <w:color w:val="000000"/>
                <w:sz w:val="18"/>
                <w:szCs w:val="18"/>
                <w:vertAlign w:val="subscript"/>
              </w:rPr>
              <w:t>4</w:t>
            </w:r>
            <w:r w:rsidRPr="00883399">
              <w:rPr>
                <w:color w:val="000000"/>
                <w:sz w:val="18"/>
                <w:szCs w:val="18"/>
              </w:rPr>
              <w:t xml:space="preserve"> tonnes per sec) </w:t>
            </w:r>
          </w:p>
        </w:tc>
        <w:tc>
          <w:tcPr>
            <w:tcW w:w="1053" w:type="dxa"/>
          </w:tcPr>
          <w:p w14:paraId="1EEEB1A8" w14:textId="77777777" w:rsidR="00872C03" w:rsidRPr="00883399" w:rsidRDefault="00872C03" w:rsidP="0031057E">
            <w:pPr>
              <w:spacing w:before="120"/>
              <w:jc w:val="center"/>
              <w:rPr>
                <w:color w:val="000000"/>
                <w:sz w:val="18"/>
                <w:szCs w:val="18"/>
              </w:rPr>
            </w:pPr>
            <w:r w:rsidRPr="00883399">
              <w:rPr>
                <w:color w:val="000000"/>
                <w:sz w:val="18"/>
                <w:szCs w:val="18"/>
              </w:rPr>
              <w:t>Emission estimate</w:t>
            </w:r>
          </w:p>
          <w:p w14:paraId="46222C4F" w14:textId="77777777" w:rsidR="00872C03" w:rsidRPr="00883399" w:rsidRDefault="00872C03" w:rsidP="0031057E">
            <w:pPr>
              <w:spacing w:before="120"/>
              <w:jc w:val="center"/>
              <w:rPr>
                <w:color w:val="000000"/>
                <w:sz w:val="18"/>
                <w:szCs w:val="18"/>
              </w:rPr>
            </w:pPr>
            <w:r w:rsidRPr="00883399">
              <w:rPr>
                <w:color w:val="000000"/>
                <w:sz w:val="18"/>
                <w:szCs w:val="18"/>
              </w:rPr>
              <w:t>(CO</w:t>
            </w:r>
            <w:r w:rsidRPr="00883399">
              <w:rPr>
                <w:color w:val="000000"/>
                <w:sz w:val="18"/>
                <w:szCs w:val="18"/>
                <w:vertAlign w:val="subscript"/>
              </w:rPr>
              <w:t>2</w:t>
            </w:r>
            <w:r w:rsidRPr="00883399">
              <w:rPr>
                <w:color w:val="000000"/>
                <w:sz w:val="18"/>
                <w:szCs w:val="18"/>
              </w:rPr>
              <w:t>-e tonnes per sec)</w:t>
            </w:r>
          </w:p>
        </w:tc>
      </w:tr>
      <w:tr w:rsidR="00872C03" w:rsidRPr="00883399" w14:paraId="2B7ED811" w14:textId="77777777" w:rsidTr="0031057E">
        <w:tc>
          <w:tcPr>
            <w:tcW w:w="1439" w:type="dxa"/>
          </w:tcPr>
          <w:p w14:paraId="3BDAA3B2" w14:textId="77777777" w:rsidR="00872C03" w:rsidRPr="00883399" w:rsidRDefault="00872C03" w:rsidP="0031057E">
            <w:pPr>
              <w:spacing w:before="120" w:line="312" w:lineRule="auto"/>
              <w:jc w:val="center"/>
              <w:rPr>
                <w:rFonts w:ascii="Arial" w:hAnsi="Arial"/>
                <w:color w:val="000000"/>
                <w:sz w:val="18"/>
                <w:szCs w:val="18"/>
              </w:rPr>
            </w:pPr>
          </w:p>
        </w:tc>
        <w:tc>
          <w:tcPr>
            <w:tcW w:w="1048" w:type="dxa"/>
          </w:tcPr>
          <w:p w14:paraId="4DC6ABE5" w14:textId="77777777" w:rsidR="00872C03" w:rsidRPr="00883399" w:rsidRDefault="00872C03" w:rsidP="0031057E">
            <w:pPr>
              <w:spacing w:before="120" w:line="312" w:lineRule="auto"/>
              <w:jc w:val="center"/>
              <w:rPr>
                <w:rFonts w:ascii="Arial" w:hAnsi="Arial"/>
                <w:color w:val="000000"/>
                <w:sz w:val="18"/>
                <w:szCs w:val="18"/>
              </w:rPr>
            </w:pPr>
            <w:r w:rsidRPr="00883399">
              <w:rPr>
                <w:rFonts w:ascii="Arial" w:hAnsi="Arial"/>
                <w:color w:val="000000"/>
                <w:sz w:val="18"/>
                <w:szCs w:val="18"/>
              </w:rPr>
              <w:t>a</w:t>
            </w:r>
          </w:p>
        </w:tc>
        <w:tc>
          <w:tcPr>
            <w:tcW w:w="1008" w:type="dxa"/>
          </w:tcPr>
          <w:p w14:paraId="59BD4DED" w14:textId="77777777" w:rsidR="00872C03" w:rsidRPr="00883399" w:rsidRDefault="00872C03" w:rsidP="0031057E">
            <w:pPr>
              <w:spacing w:before="120" w:line="312" w:lineRule="auto"/>
              <w:jc w:val="center"/>
              <w:rPr>
                <w:rFonts w:ascii="Arial" w:hAnsi="Arial"/>
                <w:color w:val="000000"/>
                <w:sz w:val="18"/>
                <w:szCs w:val="18"/>
              </w:rPr>
            </w:pPr>
            <w:r w:rsidRPr="00883399">
              <w:rPr>
                <w:rFonts w:ascii="Arial" w:hAnsi="Arial"/>
                <w:color w:val="000000"/>
                <w:sz w:val="18"/>
                <w:szCs w:val="18"/>
              </w:rPr>
              <w:t>b</w:t>
            </w:r>
          </w:p>
        </w:tc>
        <w:tc>
          <w:tcPr>
            <w:tcW w:w="955" w:type="dxa"/>
          </w:tcPr>
          <w:p w14:paraId="4E635FDA" w14:textId="77777777" w:rsidR="00872C03" w:rsidRPr="00883399" w:rsidRDefault="00872C03" w:rsidP="0031057E">
            <w:pPr>
              <w:spacing w:before="120" w:line="312" w:lineRule="auto"/>
              <w:jc w:val="center"/>
              <w:rPr>
                <w:rFonts w:ascii="Arial" w:hAnsi="Arial"/>
                <w:color w:val="000000"/>
                <w:sz w:val="18"/>
                <w:szCs w:val="18"/>
              </w:rPr>
            </w:pPr>
            <w:r w:rsidRPr="00883399">
              <w:rPr>
                <w:rFonts w:ascii="Arial" w:hAnsi="Arial"/>
                <w:color w:val="000000"/>
                <w:sz w:val="18"/>
                <w:szCs w:val="18"/>
              </w:rPr>
              <w:t>c</w:t>
            </w:r>
          </w:p>
        </w:tc>
        <w:tc>
          <w:tcPr>
            <w:tcW w:w="717" w:type="dxa"/>
          </w:tcPr>
          <w:p w14:paraId="55611778" w14:textId="77777777" w:rsidR="00872C03" w:rsidRPr="00883399" w:rsidRDefault="00872C03" w:rsidP="0031057E">
            <w:pPr>
              <w:spacing w:before="120" w:line="312" w:lineRule="auto"/>
              <w:jc w:val="center"/>
              <w:rPr>
                <w:rFonts w:ascii="Arial" w:hAnsi="Arial"/>
                <w:color w:val="000000"/>
                <w:sz w:val="18"/>
                <w:szCs w:val="18"/>
              </w:rPr>
            </w:pPr>
            <w:r w:rsidRPr="00883399">
              <w:rPr>
                <w:rFonts w:ascii="Arial" w:hAnsi="Arial"/>
                <w:color w:val="000000"/>
                <w:sz w:val="18"/>
                <w:szCs w:val="18"/>
              </w:rPr>
              <w:t>d</w:t>
            </w:r>
          </w:p>
        </w:tc>
        <w:tc>
          <w:tcPr>
            <w:tcW w:w="973" w:type="dxa"/>
          </w:tcPr>
          <w:p w14:paraId="08CE384E" w14:textId="77777777" w:rsidR="00872C03" w:rsidRPr="00883399" w:rsidRDefault="00872C03" w:rsidP="0031057E">
            <w:pPr>
              <w:spacing w:before="120" w:line="312" w:lineRule="auto"/>
              <w:jc w:val="center"/>
              <w:rPr>
                <w:rFonts w:ascii="Arial" w:hAnsi="Arial"/>
                <w:color w:val="000000"/>
                <w:sz w:val="18"/>
                <w:szCs w:val="18"/>
              </w:rPr>
            </w:pPr>
            <w:r w:rsidRPr="00883399">
              <w:rPr>
                <w:rFonts w:ascii="Arial" w:hAnsi="Arial"/>
                <w:color w:val="000000"/>
                <w:sz w:val="18"/>
                <w:szCs w:val="18"/>
              </w:rPr>
              <w:t>e</w:t>
            </w:r>
          </w:p>
        </w:tc>
        <w:tc>
          <w:tcPr>
            <w:tcW w:w="1042" w:type="dxa"/>
          </w:tcPr>
          <w:p w14:paraId="6A52B66A" w14:textId="77777777" w:rsidR="00872C03" w:rsidRPr="00883399" w:rsidRDefault="00872C03" w:rsidP="0031057E">
            <w:pPr>
              <w:spacing w:before="120" w:line="312" w:lineRule="auto"/>
              <w:jc w:val="center"/>
              <w:rPr>
                <w:rFonts w:ascii="Arial" w:hAnsi="Arial"/>
                <w:color w:val="000000"/>
                <w:sz w:val="18"/>
                <w:szCs w:val="18"/>
              </w:rPr>
            </w:pPr>
            <w:r w:rsidRPr="00883399">
              <w:rPr>
                <w:rFonts w:ascii="Arial" w:hAnsi="Arial"/>
                <w:color w:val="000000"/>
                <w:sz w:val="18"/>
                <w:szCs w:val="18"/>
              </w:rPr>
              <w:t>f</w:t>
            </w:r>
          </w:p>
        </w:tc>
        <w:tc>
          <w:tcPr>
            <w:tcW w:w="1053" w:type="dxa"/>
          </w:tcPr>
          <w:p w14:paraId="022CF58D" w14:textId="77777777" w:rsidR="00872C03" w:rsidRPr="00883399" w:rsidRDefault="00872C03" w:rsidP="0031057E">
            <w:pPr>
              <w:spacing w:before="120" w:line="312" w:lineRule="auto"/>
              <w:jc w:val="center"/>
              <w:rPr>
                <w:rFonts w:ascii="Arial" w:hAnsi="Arial"/>
                <w:color w:val="000000"/>
                <w:sz w:val="18"/>
                <w:szCs w:val="18"/>
              </w:rPr>
            </w:pPr>
            <w:r w:rsidRPr="00883399">
              <w:rPr>
                <w:rFonts w:ascii="Arial" w:hAnsi="Arial"/>
                <w:color w:val="000000"/>
                <w:sz w:val="18"/>
                <w:szCs w:val="18"/>
              </w:rPr>
              <w:t>g</w:t>
            </w:r>
          </w:p>
        </w:tc>
        <w:tc>
          <w:tcPr>
            <w:tcW w:w="1053" w:type="dxa"/>
            <w:vAlign w:val="bottom"/>
          </w:tcPr>
          <w:p w14:paraId="11D4CB10" w14:textId="77777777" w:rsidR="00872C03" w:rsidRPr="00883399" w:rsidRDefault="00872C03" w:rsidP="0031057E">
            <w:pPr>
              <w:spacing w:before="120" w:line="312" w:lineRule="auto"/>
              <w:jc w:val="center"/>
              <w:rPr>
                <w:rFonts w:ascii="Arial" w:hAnsi="Arial"/>
                <w:color w:val="000000"/>
                <w:sz w:val="18"/>
                <w:szCs w:val="18"/>
              </w:rPr>
            </w:pPr>
            <w:r w:rsidRPr="00883399">
              <w:rPr>
                <w:rFonts w:ascii="Arial" w:hAnsi="Arial"/>
                <w:color w:val="000000"/>
                <w:sz w:val="18"/>
                <w:szCs w:val="18"/>
              </w:rPr>
              <w:t>H</w:t>
            </w:r>
          </w:p>
        </w:tc>
      </w:tr>
      <w:tr w:rsidR="007C214B" w:rsidRPr="00883399" w14:paraId="77E46A1E" w14:textId="77777777" w:rsidTr="007C214B">
        <w:tc>
          <w:tcPr>
            <w:tcW w:w="1439" w:type="dxa"/>
          </w:tcPr>
          <w:p w14:paraId="3C33D7F2"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January</w:t>
            </w:r>
          </w:p>
        </w:tc>
        <w:tc>
          <w:tcPr>
            <w:tcW w:w="1048" w:type="dxa"/>
          </w:tcPr>
          <w:p w14:paraId="2BF03B9A"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0.01604</w:t>
            </w:r>
          </w:p>
        </w:tc>
        <w:tc>
          <w:tcPr>
            <w:tcW w:w="1008" w:type="dxa"/>
          </w:tcPr>
          <w:p w14:paraId="3A2B50DF"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101.320</w:t>
            </w:r>
          </w:p>
        </w:tc>
        <w:tc>
          <w:tcPr>
            <w:tcW w:w="955" w:type="dxa"/>
          </w:tcPr>
          <w:p w14:paraId="2ACA5141"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270</w:t>
            </w:r>
          </w:p>
        </w:tc>
        <w:tc>
          <w:tcPr>
            <w:tcW w:w="717" w:type="dxa"/>
          </w:tcPr>
          <w:p w14:paraId="2E9C0714"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0.009</w:t>
            </w:r>
          </w:p>
        </w:tc>
        <w:tc>
          <w:tcPr>
            <w:tcW w:w="973" w:type="dxa"/>
          </w:tcPr>
          <w:p w14:paraId="32C8434A"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8.314</w:t>
            </w:r>
          </w:p>
        </w:tc>
        <w:tc>
          <w:tcPr>
            <w:tcW w:w="1042" w:type="dxa"/>
          </w:tcPr>
          <w:p w14:paraId="47CA2A20"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296.0</w:t>
            </w:r>
          </w:p>
        </w:tc>
        <w:tc>
          <w:tcPr>
            <w:tcW w:w="1053" w:type="dxa"/>
          </w:tcPr>
          <w:p w14:paraId="31BEE8F7"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1.60E-03</w:t>
            </w:r>
          </w:p>
        </w:tc>
        <w:tc>
          <w:tcPr>
            <w:tcW w:w="1053" w:type="dxa"/>
          </w:tcPr>
          <w:p w14:paraId="03FC0F52" w14:textId="77777777" w:rsidR="007C214B" w:rsidRPr="00883399" w:rsidRDefault="007C214B" w:rsidP="007C214B">
            <w:pPr>
              <w:spacing w:before="120" w:line="312" w:lineRule="auto"/>
              <w:jc w:val="center"/>
              <w:rPr>
                <w:color w:val="000000"/>
                <w:sz w:val="18"/>
                <w:szCs w:val="18"/>
              </w:rPr>
            </w:pPr>
            <w:r w:rsidRPr="00883399">
              <w:rPr>
                <w:color w:val="000000"/>
                <w:sz w:val="18"/>
                <w:szCs w:val="18"/>
              </w:rPr>
              <w:t>4.01E</w:t>
            </w:r>
            <w:r w:rsidR="00DC1EF2" w:rsidRPr="00883399">
              <w:rPr>
                <w:color w:val="000000"/>
                <w:sz w:val="18"/>
                <w:szCs w:val="18"/>
              </w:rPr>
              <w:t>-02</w:t>
            </w:r>
          </w:p>
        </w:tc>
      </w:tr>
      <w:tr w:rsidR="007C214B" w:rsidRPr="00883399" w14:paraId="191FB06E" w14:textId="77777777" w:rsidTr="007C214B">
        <w:tc>
          <w:tcPr>
            <w:tcW w:w="1439" w:type="dxa"/>
          </w:tcPr>
          <w:p w14:paraId="10C7FCFC"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February</w:t>
            </w:r>
          </w:p>
        </w:tc>
        <w:tc>
          <w:tcPr>
            <w:tcW w:w="1048" w:type="dxa"/>
          </w:tcPr>
          <w:p w14:paraId="6340FB3A"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0.01604</w:t>
            </w:r>
          </w:p>
        </w:tc>
        <w:tc>
          <w:tcPr>
            <w:tcW w:w="1008" w:type="dxa"/>
          </w:tcPr>
          <w:p w14:paraId="4EF2DC4D"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101.290</w:t>
            </w:r>
          </w:p>
        </w:tc>
        <w:tc>
          <w:tcPr>
            <w:tcW w:w="955" w:type="dxa"/>
          </w:tcPr>
          <w:p w14:paraId="55FA55F4"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255</w:t>
            </w:r>
          </w:p>
        </w:tc>
        <w:tc>
          <w:tcPr>
            <w:tcW w:w="717" w:type="dxa"/>
          </w:tcPr>
          <w:p w14:paraId="7FC065A0"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0.008</w:t>
            </w:r>
          </w:p>
        </w:tc>
        <w:tc>
          <w:tcPr>
            <w:tcW w:w="973" w:type="dxa"/>
          </w:tcPr>
          <w:p w14:paraId="1307B239"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8.314</w:t>
            </w:r>
          </w:p>
        </w:tc>
        <w:tc>
          <w:tcPr>
            <w:tcW w:w="1042" w:type="dxa"/>
          </w:tcPr>
          <w:p w14:paraId="294CFB5E"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295.6</w:t>
            </w:r>
          </w:p>
        </w:tc>
        <w:tc>
          <w:tcPr>
            <w:tcW w:w="1053" w:type="dxa"/>
          </w:tcPr>
          <w:p w14:paraId="095403A4"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1.35E-03</w:t>
            </w:r>
          </w:p>
        </w:tc>
        <w:tc>
          <w:tcPr>
            <w:tcW w:w="1053" w:type="dxa"/>
          </w:tcPr>
          <w:p w14:paraId="771C70C8" w14:textId="77777777" w:rsidR="007C214B" w:rsidRPr="00883399" w:rsidRDefault="007C214B" w:rsidP="007C214B">
            <w:pPr>
              <w:spacing w:before="120" w:line="312" w:lineRule="auto"/>
              <w:jc w:val="center"/>
              <w:rPr>
                <w:color w:val="000000"/>
                <w:sz w:val="18"/>
                <w:szCs w:val="18"/>
              </w:rPr>
            </w:pPr>
            <w:r w:rsidRPr="00883399">
              <w:rPr>
                <w:color w:val="000000"/>
                <w:sz w:val="18"/>
                <w:szCs w:val="18"/>
              </w:rPr>
              <w:t>3.37E</w:t>
            </w:r>
            <w:r w:rsidR="00DC1EF2" w:rsidRPr="00883399">
              <w:rPr>
                <w:color w:val="000000"/>
                <w:sz w:val="18"/>
                <w:szCs w:val="18"/>
              </w:rPr>
              <w:t>-02</w:t>
            </w:r>
          </w:p>
        </w:tc>
      </w:tr>
      <w:tr w:rsidR="007C214B" w:rsidRPr="00883399" w14:paraId="3A305982" w14:textId="77777777" w:rsidTr="007C214B">
        <w:tc>
          <w:tcPr>
            <w:tcW w:w="1439" w:type="dxa"/>
          </w:tcPr>
          <w:p w14:paraId="6FC02487"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March</w:t>
            </w:r>
          </w:p>
        </w:tc>
        <w:tc>
          <w:tcPr>
            <w:tcW w:w="1048" w:type="dxa"/>
          </w:tcPr>
          <w:p w14:paraId="39465491"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0.01604</w:t>
            </w:r>
          </w:p>
        </w:tc>
        <w:tc>
          <w:tcPr>
            <w:tcW w:w="1008" w:type="dxa"/>
          </w:tcPr>
          <w:p w14:paraId="5A270C86"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101.280</w:t>
            </w:r>
          </w:p>
        </w:tc>
        <w:tc>
          <w:tcPr>
            <w:tcW w:w="955" w:type="dxa"/>
          </w:tcPr>
          <w:p w14:paraId="27186652"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260</w:t>
            </w:r>
          </w:p>
        </w:tc>
        <w:tc>
          <w:tcPr>
            <w:tcW w:w="717" w:type="dxa"/>
          </w:tcPr>
          <w:p w14:paraId="6E1A1202"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0.009</w:t>
            </w:r>
          </w:p>
        </w:tc>
        <w:tc>
          <w:tcPr>
            <w:tcW w:w="973" w:type="dxa"/>
          </w:tcPr>
          <w:p w14:paraId="7931B5BC"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8.314</w:t>
            </w:r>
          </w:p>
        </w:tc>
        <w:tc>
          <w:tcPr>
            <w:tcW w:w="1042" w:type="dxa"/>
          </w:tcPr>
          <w:p w14:paraId="0315D36E"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295.4</w:t>
            </w:r>
          </w:p>
        </w:tc>
        <w:tc>
          <w:tcPr>
            <w:tcW w:w="1053" w:type="dxa"/>
          </w:tcPr>
          <w:p w14:paraId="775CC640"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1.55E-03</w:t>
            </w:r>
          </w:p>
        </w:tc>
        <w:tc>
          <w:tcPr>
            <w:tcW w:w="1053" w:type="dxa"/>
          </w:tcPr>
          <w:p w14:paraId="3D2E744C" w14:textId="77777777" w:rsidR="007C214B" w:rsidRPr="00883399" w:rsidRDefault="007C214B" w:rsidP="007C214B">
            <w:pPr>
              <w:spacing w:before="120" w:line="312" w:lineRule="auto"/>
              <w:jc w:val="center"/>
              <w:rPr>
                <w:color w:val="000000"/>
                <w:sz w:val="18"/>
                <w:szCs w:val="18"/>
              </w:rPr>
            </w:pPr>
            <w:r w:rsidRPr="00883399">
              <w:rPr>
                <w:color w:val="000000"/>
                <w:sz w:val="18"/>
                <w:szCs w:val="18"/>
              </w:rPr>
              <w:t>3.87E</w:t>
            </w:r>
            <w:r w:rsidR="00DC1EF2" w:rsidRPr="00883399">
              <w:rPr>
                <w:color w:val="000000"/>
                <w:sz w:val="18"/>
                <w:szCs w:val="18"/>
              </w:rPr>
              <w:t>-02</w:t>
            </w:r>
          </w:p>
        </w:tc>
      </w:tr>
      <w:tr w:rsidR="007C214B" w:rsidRPr="00883399" w14:paraId="3656A82B" w14:textId="77777777" w:rsidTr="007C214B">
        <w:tc>
          <w:tcPr>
            <w:tcW w:w="1439" w:type="dxa"/>
          </w:tcPr>
          <w:p w14:paraId="6BE69828"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April</w:t>
            </w:r>
          </w:p>
        </w:tc>
        <w:tc>
          <w:tcPr>
            <w:tcW w:w="1048" w:type="dxa"/>
          </w:tcPr>
          <w:p w14:paraId="08681EC3"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0.01604</w:t>
            </w:r>
          </w:p>
        </w:tc>
        <w:tc>
          <w:tcPr>
            <w:tcW w:w="1008" w:type="dxa"/>
          </w:tcPr>
          <w:p w14:paraId="1D70C56E"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101.350</w:t>
            </w:r>
          </w:p>
        </w:tc>
        <w:tc>
          <w:tcPr>
            <w:tcW w:w="955" w:type="dxa"/>
          </w:tcPr>
          <w:p w14:paraId="0A52D558"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275</w:t>
            </w:r>
          </w:p>
        </w:tc>
        <w:tc>
          <w:tcPr>
            <w:tcW w:w="717" w:type="dxa"/>
          </w:tcPr>
          <w:p w14:paraId="26CF5647"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0.009</w:t>
            </w:r>
          </w:p>
        </w:tc>
        <w:tc>
          <w:tcPr>
            <w:tcW w:w="973" w:type="dxa"/>
          </w:tcPr>
          <w:p w14:paraId="7B2DBC4E"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8.314</w:t>
            </w:r>
          </w:p>
        </w:tc>
        <w:tc>
          <w:tcPr>
            <w:tcW w:w="1042" w:type="dxa"/>
          </w:tcPr>
          <w:p w14:paraId="249DE65D"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295.1</w:t>
            </w:r>
          </w:p>
        </w:tc>
        <w:tc>
          <w:tcPr>
            <w:tcW w:w="1053" w:type="dxa"/>
          </w:tcPr>
          <w:p w14:paraId="589B3229"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1.64E-03</w:t>
            </w:r>
          </w:p>
        </w:tc>
        <w:tc>
          <w:tcPr>
            <w:tcW w:w="1053" w:type="dxa"/>
          </w:tcPr>
          <w:p w14:paraId="54E02775" w14:textId="77777777" w:rsidR="007C214B" w:rsidRPr="00883399" w:rsidRDefault="007C214B" w:rsidP="007C214B">
            <w:pPr>
              <w:spacing w:before="120" w:line="312" w:lineRule="auto"/>
              <w:jc w:val="center"/>
              <w:rPr>
                <w:color w:val="000000"/>
                <w:sz w:val="18"/>
                <w:szCs w:val="18"/>
              </w:rPr>
            </w:pPr>
            <w:r w:rsidRPr="00883399">
              <w:rPr>
                <w:color w:val="000000"/>
                <w:sz w:val="18"/>
                <w:szCs w:val="18"/>
              </w:rPr>
              <w:t>4.10E</w:t>
            </w:r>
            <w:r w:rsidR="00DC1EF2" w:rsidRPr="00883399">
              <w:rPr>
                <w:color w:val="000000"/>
                <w:sz w:val="18"/>
                <w:szCs w:val="18"/>
              </w:rPr>
              <w:t>-02</w:t>
            </w:r>
          </w:p>
        </w:tc>
      </w:tr>
      <w:tr w:rsidR="007C214B" w:rsidRPr="00883399" w14:paraId="50E9180F" w14:textId="77777777" w:rsidTr="007C214B">
        <w:tc>
          <w:tcPr>
            <w:tcW w:w="1439" w:type="dxa"/>
          </w:tcPr>
          <w:p w14:paraId="357E4C58"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May</w:t>
            </w:r>
          </w:p>
        </w:tc>
        <w:tc>
          <w:tcPr>
            <w:tcW w:w="1048" w:type="dxa"/>
          </w:tcPr>
          <w:p w14:paraId="494393D3"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0.01604</w:t>
            </w:r>
          </w:p>
        </w:tc>
        <w:tc>
          <w:tcPr>
            <w:tcW w:w="1008" w:type="dxa"/>
          </w:tcPr>
          <w:p w14:paraId="408AE6E9"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101.400</w:t>
            </w:r>
          </w:p>
        </w:tc>
        <w:tc>
          <w:tcPr>
            <w:tcW w:w="955" w:type="dxa"/>
          </w:tcPr>
          <w:p w14:paraId="2BC949A5"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280</w:t>
            </w:r>
          </w:p>
        </w:tc>
        <w:tc>
          <w:tcPr>
            <w:tcW w:w="717" w:type="dxa"/>
          </w:tcPr>
          <w:p w14:paraId="641AFFFA"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0.010</w:t>
            </w:r>
          </w:p>
        </w:tc>
        <w:tc>
          <w:tcPr>
            <w:tcW w:w="973" w:type="dxa"/>
          </w:tcPr>
          <w:p w14:paraId="7ADB0D22"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8.314</w:t>
            </w:r>
          </w:p>
        </w:tc>
        <w:tc>
          <w:tcPr>
            <w:tcW w:w="1042" w:type="dxa"/>
          </w:tcPr>
          <w:p w14:paraId="4093C019"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295.5</w:t>
            </w:r>
          </w:p>
        </w:tc>
        <w:tc>
          <w:tcPr>
            <w:tcW w:w="1053" w:type="dxa"/>
          </w:tcPr>
          <w:p w14:paraId="7F3D4489"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1.85E-03</w:t>
            </w:r>
          </w:p>
        </w:tc>
        <w:tc>
          <w:tcPr>
            <w:tcW w:w="1053" w:type="dxa"/>
          </w:tcPr>
          <w:p w14:paraId="6C7B4A95" w14:textId="77777777" w:rsidR="007C214B" w:rsidRPr="00883399" w:rsidRDefault="007C214B" w:rsidP="007C214B">
            <w:pPr>
              <w:spacing w:before="120" w:line="312" w:lineRule="auto"/>
              <w:jc w:val="center"/>
              <w:rPr>
                <w:color w:val="000000"/>
                <w:sz w:val="18"/>
                <w:szCs w:val="18"/>
              </w:rPr>
            </w:pPr>
            <w:r w:rsidRPr="00883399">
              <w:rPr>
                <w:color w:val="000000"/>
                <w:sz w:val="18"/>
                <w:szCs w:val="18"/>
              </w:rPr>
              <w:t>4.63E</w:t>
            </w:r>
            <w:r w:rsidR="00DC1EF2" w:rsidRPr="00883399">
              <w:rPr>
                <w:color w:val="000000"/>
                <w:sz w:val="18"/>
                <w:szCs w:val="18"/>
              </w:rPr>
              <w:t>-02</w:t>
            </w:r>
          </w:p>
        </w:tc>
      </w:tr>
      <w:tr w:rsidR="007C214B" w:rsidRPr="00883399" w14:paraId="3DC97010" w14:textId="77777777" w:rsidTr="007C214B">
        <w:tc>
          <w:tcPr>
            <w:tcW w:w="1439" w:type="dxa"/>
          </w:tcPr>
          <w:p w14:paraId="194CE0E0"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June</w:t>
            </w:r>
          </w:p>
        </w:tc>
        <w:tc>
          <w:tcPr>
            <w:tcW w:w="1048" w:type="dxa"/>
          </w:tcPr>
          <w:p w14:paraId="355BBAA8"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0.01604</w:t>
            </w:r>
          </w:p>
        </w:tc>
        <w:tc>
          <w:tcPr>
            <w:tcW w:w="1008" w:type="dxa"/>
          </w:tcPr>
          <w:p w14:paraId="1B148B3C"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101.320</w:t>
            </w:r>
          </w:p>
        </w:tc>
        <w:tc>
          <w:tcPr>
            <w:tcW w:w="955" w:type="dxa"/>
          </w:tcPr>
          <w:p w14:paraId="7E2E4C38"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265</w:t>
            </w:r>
          </w:p>
        </w:tc>
        <w:tc>
          <w:tcPr>
            <w:tcW w:w="717" w:type="dxa"/>
          </w:tcPr>
          <w:p w14:paraId="512EEEDD"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0.008</w:t>
            </w:r>
          </w:p>
        </w:tc>
        <w:tc>
          <w:tcPr>
            <w:tcW w:w="973" w:type="dxa"/>
          </w:tcPr>
          <w:p w14:paraId="108E6B21"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8.314</w:t>
            </w:r>
          </w:p>
        </w:tc>
        <w:tc>
          <w:tcPr>
            <w:tcW w:w="1042" w:type="dxa"/>
          </w:tcPr>
          <w:p w14:paraId="42B09878"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294.3</w:t>
            </w:r>
          </w:p>
        </w:tc>
        <w:tc>
          <w:tcPr>
            <w:tcW w:w="1053" w:type="dxa"/>
          </w:tcPr>
          <w:p w14:paraId="0BD61860"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1.41E-03</w:t>
            </w:r>
          </w:p>
        </w:tc>
        <w:tc>
          <w:tcPr>
            <w:tcW w:w="1053" w:type="dxa"/>
          </w:tcPr>
          <w:p w14:paraId="2F71DA1E" w14:textId="77777777" w:rsidR="007C214B" w:rsidRPr="00883399" w:rsidRDefault="007C214B" w:rsidP="007C214B">
            <w:pPr>
              <w:spacing w:before="120" w:line="312" w:lineRule="auto"/>
              <w:jc w:val="center"/>
              <w:rPr>
                <w:color w:val="000000"/>
                <w:sz w:val="18"/>
                <w:szCs w:val="18"/>
              </w:rPr>
            </w:pPr>
            <w:r w:rsidRPr="00883399">
              <w:rPr>
                <w:color w:val="000000"/>
                <w:sz w:val="18"/>
                <w:szCs w:val="18"/>
              </w:rPr>
              <w:t>3.52E</w:t>
            </w:r>
            <w:r w:rsidR="00DC1EF2" w:rsidRPr="00883399">
              <w:rPr>
                <w:color w:val="000000"/>
                <w:sz w:val="18"/>
                <w:szCs w:val="18"/>
              </w:rPr>
              <w:t>-02</w:t>
            </w:r>
          </w:p>
        </w:tc>
      </w:tr>
      <w:tr w:rsidR="007C214B" w:rsidRPr="00883399" w14:paraId="1D801408" w14:textId="77777777" w:rsidTr="007C214B">
        <w:tc>
          <w:tcPr>
            <w:tcW w:w="1439" w:type="dxa"/>
          </w:tcPr>
          <w:p w14:paraId="73DCF45F"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July</w:t>
            </w:r>
          </w:p>
        </w:tc>
        <w:tc>
          <w:tcPr>
            <w:tcW w:w="1048" w:type="dxa"/>
          </w:tcPr>
          <w:p w14:paraId="7E97C330"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0.01604</w:t>
            </w:r>
          </w:p>
        </w:tc>
        <w:tc>
          <w:tcPr>
            <w:tcW w:w="1008" w:type="dxa"/>
          </w:tcPr>
          <w:p w14:paraId="1F28112F"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101.260</w:t>
            </w:r>
          </w:p>
        </w:tc>
        <w:tc>
          <w:tcPr>
            <w:tcW w:w="955" w:type="dxa"/>
          </w:tcPr>
          <w:p w14:paraId="5F27FE95"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260</w:t>
            </w:r>
          </w:p>
        </w:tc>
        <w:tc>
          <w:tcPr>
            <w:tcW w:w="717" w:type="dxa"/>
          </w:tcPr>
          <w:p w14:paraId="1C5E710C"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0.008</w:t>
            </w:r>
          </w:p>
        </w:tc>
        <w:tc>
          <w:tcPr>
            <w:tcW w:w="973" w:type="dxa"/>
          </w:tcPr>
          <w:p w14:paraId="6E23A7CF"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8.314</w:t>
            </w:r>
          </w:p>
        </w:tc>
        <w:tc>
          <w:tcPr>
            <w:tcW w:w="1042" w:type="dxa"/>
          </w:tcPr>
          <w:p w14:paraId="68E990DB"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294.0</w:t>
            </w:r>
          </w:p>
        </w:tc>
        <w:tc>
          <w:tcPr>
            <w:tcW w:w="1053" w:type="dxa"/>
          </w:tcPr>
          <w:p w14:paraId="636707AF"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1.38E-03</w:t>
            </w:r>
          </w:p>
        </w:tc>
        <w:tc>
          <w:tcPr>
            <w:tcW w:w="1053" w:type="dxa"/>
          </w:tcPr>
          <w:p w14:paraId="029EB485" w14:textId="77777777" w:rsidR="007C214B" w:rsidRPr="00883399" w:rsidRDefault="007C214B" w:rsidP="007C214B">
            <w:pPr>
              <w:spacing w:before="120" w:line="312" w:lineRule="auto"/>
              <w:jc w:val="center"/>
              <w:rPr>
                <w:color w:val="000000"/>
                <w:sz w:val="18"/>
                <w:szCs w:val="18"/>
              </w:rPr>
            </w:pPr>
            <w:r w:rsidRPr="00883399">
              <w:rPr>
                <w:color w:val="000000"/>
                <w:sz w:val="18"/>
                <w:szCs w:val="18"/>
              </w:rPr>
              <w:t>3.46E</w:t>
            </w:r>
            <w:r w:rsidR="00DC1EF2" w:rsidRPr="00883399">
              <w:rPr>
                <w:color w:val="000000"/>
                <w:sz w:val="18"/>
                <w:szCs w:val="18"/>
              </w:rPr>
              <w:t>-02</w:t>
            </w:r>
          </w:p>
        </w:tc>
      </w:tr>
      <w:tr w:rsidR="007C214B" w:rsidRPr="00883399" w14:paraId="58B0FF33" w14:textId="77777777" w:rsidTr="007C214B">
        <w:tc>
          <w:tcPr>
            <w:tcW w:w="1439" w:type="dxa"/>
          </w:tcPr>
          <w:p w14:paraId="558D35D9"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August</w:t>
            </w:r>
          </w:p>
        </w:tc>
        <w:tc>
          <w:tcPr>
            <w:tcW w:w="1048" w:type="dxa"/>
          </w:tcPr>
          <w:p w14:paraId="2557A67E"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0.01604</w:t>
            </w:r>
          </w:p>
        </w:tc>
        <w:tc>
          <w:tcPr>
            <w:tcW w:w="1008" w:type="dxa"/>
          </w:tcPr>
          <w:p w14:paraId="2E9AEF64"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101.400</w:t>
            </w:r>
          </w:p>
        </w:tc>
        <w:tc>
          <w:tcPr>
            <w:tcW w:w="955" w:type="dxa"/>
          </w:tcPr>
          <w:p w14:paraId="08DE8AFA"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285</w:t>
            </w:r>
          </w:p>
        </w:tc>
        <w:tc>
          <w:tcPr>
            <w:tcW w:w="717" w:type="dxa"/>
          </w:tcPr>
          <w:p w14:paraId="5C863C69"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0.011</w:t>
            </w:r>
          </w:p>
        </w:tc>
        <w:tc>
          <w:tcPr>
            <w:tcW w:w="973" w:type="dxa"/>
          </w:tcPr>
          <w:p w14:paraId="24C86CB3"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8.314</w:t>
            </w:r>
          </w:p>
        </w:tc>
        <w:tc>
          <w:tcPr>
            <w:tcW w:w="1042" w:type="dxa"/>
          </w:tcPr>
          <w:p w14:paraId="37FEDFBA"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294.4</w:t>
            </w:r>
          </w:p>
        </w:tc>
        <w:tc>
          <w:tcPr>
            <w:tcW w:w="1053" w:type="dxa"/>
          </w:tcPr>
          <w:p w14:paraId="47D9AE19"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2.08E-03</w:t>
            </w:r>
          </w:p>
        </w:tc>
        <w:tc>
          <w:tcPr>
            <w:tcW w:w="1053" w:type="dxa"/>
          </w:tcPr>
          <w:p w14:paraId="04F8D286" w14:textId="77777777" w:rsidR="007C214B" w:rsidRPr="00883399" w:rsidRDefault="007C214B" w:rsidP="007C214B">
            <w:pPr>
              <w:spacing w:before="120" w:line="312" w:lineRule="auto"/>
              <w:jc w:val="center"/>
              <w:rPr>
                <w:color w:val="000000"/>
                <w:sz w:val="18"/>
                <w:szCs w:val="18"/>
              </w:rPr>
            </w:pPr>
            <w:r w:rsidRPr="00883399">
              <w:rPr>
                <w:color w:val="000000"/>
                <w:sz w:val="18"/>
                <w:szCs w:val="18"/>
              </w:rPr>
              <w:t>5.21E</w:t>
            </w:r>
            <w:r w:rsidR="00DC1EF2" w:rsidRPr="00883399">
              <w:rPr>
                <w:color w:val="000000"/>
                <w:sz w:val="18"/>
                <w:szCs w:val="18"/>
              </w:rPr>
              <w:t>-02</w:t>
            </w:r>
          </w:p>
        </w:tc>
      </w:tr>
      <w:tr w:rsidR="007C214B" w:rsidRPr="00883399" w14:paraId="0AEBA4A7" w14:textId="77777777" w:rsidTr="007C214B">
        <w:tc>
          <w:tcPr>
            <w:tcW w:w="1439" w:type="dxa"/>
          </w:tcPr>
          <w:p w14:paraId="193B1AED"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September</w:t>
            </w:r>
          </w:p>
        </w:tc>
        <w:tc>
          <w:tcPr>
            <w:tcW w:w="1048" w:type="dxa"/>
          </w:tcPr>
          <w:p w14:paraId="0B84AFF2"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0.01604</w:t>
            </w:r>
          </w:p>
        </w:tc>
        <w:tc>
          <w:tcPr>
            <w:tcW w:w="1008" w:type="dxa"/>
          </w:tcPr>
          <w:p w14:paraId="7C5E9314"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101.500</w:t>
            </w:r>
          </w:p>
        </w:tc>
        <w:tc>
          <w:tcPr>
            <w:tcW w:w="955" w:type="dxa"/>
          </w:tcPr>
          <w:p w14:paraId="533D60FF"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295</w:t>
            </w:r>
          </w:p>
        </w:tc>
        <w:tc>
          <w:tcPr>
            <w:tcW w:w="717" w:type="dxa"/>
          </w:tcPr>
          <w:p w14:paraId="74BF04DA"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0.012</w:t>
            </w:r>
          </w:p>
        </w:tc>
        <w:tc>
          <w:tcPr>
            <w:tcW w:w="973" w:type="dxa"/>
          </w:tcPr>
          <w:p w14:paraId="5F2A26D0"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8.314</w:t>
            </w:r>
          </w:p>
        </w:tc>
        <w:tc>
          <w:tcPr>
            <w:tcW w:w="1042" w:type="dxa"/>
          </w:tcPr>
          <w:p w14:paraId="6F1FF112"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295.5</w:t>
            </w:r>
          </w:p>
        </w:tc>
        <w:tc>
          <w:tcPr>
            <w:tcW w:w="1053" w:type="dxa"/>
          </w:tcPr>
          <w:p w14:paraId="377034E1"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2.35E-03</w:t>
            </w:r>
          </w:p>
        </w:tc>
        <w:tc>
          <w:tcPr>
            <w:tcW w:w="1053" w:type="dxa"/>
          </w:tcPr>
          <w:p w14:paraId="66A96098" w14:textId="77777777" w:rsidR="007C214B" w:rsidRPr="00883399" w:rsidRDefault="007C214B" w:rsidP="007C214B">
            <w:pPr>
              <w:spacing w:before="120" w:line="312" w:lineRule="auto"/>
              <w:jc w:val="center"/>
              <w:rPr>
                <w:color w:val="000000"/>
                <w:sz w:val="18"/>
                <w:szCs w:val="18"/>
              </w:rPr>
            </w:pPr>
            <w:r w:rsidRPr="00883399">
              <w:rPr>
                <w:color w:val="000000"/>
                <w:sz w:val="18"/>
                <w:szCs w:val="18"/>
              </w:rPr>
              <w:t>5.86E</w:t>
            </w:r>
            <w:r w:rsidR="00DC1EF2" w:rsidRPr="00883399">
              <w:rPr>
                <w:color w:val="000000"/>
                <w:sz w:val="18"/>
                <w:szCs w:val="18"/>
              </w:rPr>
              <w:t>-02</w:t>
            </w:r>
          </w:p>
        </w:tc>
      </w:tr>
      <w:tr w:rsidR="007C214B" w:rsidRPr="00883399" w14:paraId="73FF5D35" w14:textId="77777777" w:rsidTr="007C214B">
        <w:tc>
          <w:tcPr>
            <w:tcW w:w="1439" w:type="dxa"/>
          </w:tcPr>
          <w:p w14:paraId="0D1850B2"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October</w:t>
            </w:r>
          </w:p>
        </w:tc>
        <w:tc>
          <w:tcPr>
            <w:tcW w:w="1048" w:type="dxa"/>
          </w:tcPr>
          <w:p w14:paraId="78DC6EB7"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0.01604</w:t>
            </w:r>
          </w:p>
        </w:tc>
        <w:tc>
          <w:tcPr>
            <w:tcW w:w="1008" w:type="dxa"/>
          </w:tcPr>
          <w:p w14:paraId="3B904935"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101.330</w:t>
            </w:r>
          </w:p>
        </w:tc>
        <w:tc>
          <w:tcPr>
            <w:tcW w:w="955" w:type="dxa"/>
          </w:tcPr>
          <w:p w14:paraId="2955514B"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270</w:t>
            </w:r>
          </w:p>
        </w:tc>
        <w:tc>
          <w:tcPr>
            <w:tcW w:w="717" w:type="dxa"/>
          </w:tcPr>
          <w:p w14:paraId="491C7852"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0.009</w:t>
            </w:r>
          </w:p>
        </w:tc>
        <w:tc>
          <w:tcPr>
            <w:tcW w:w="973" w:type="dxa"/>
          </w:tcPr>
          <w:p w14:paraId="6440C5F7"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8.314</w:t>
            </w:r>
          </w:p>
        </w:tc>
        <w:tc>
          <w:tcPr>
            <w:tcW w:w="1042" w:type="dxa"/>
          </w:tcPr>
          <w:p w14:paraId="23F78F51"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295.6</w:t>
            </w:r>
          </w:p>
        </w:tc>
        <w:tc>
          <w:tcPr>
            <w:tcW w:w="1053" w:type="dxa"/>
          </w:tcPr>
          <w:p w14:paraId="6B41D031"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1.61E-03</w:t>
            </w:r>
          </w:p>
        </w:tc>
        <w:tc>
          <w:tcPr>
            <w:tcW w:w="1053" w:type="dxa"/>
          </w:tcPr>
          <w:p w14:paraId="56DCE9BA" w14:textId="77777777" w:rsidR="007C214B" w:rsidRPr="00883399" w:rsidRDefault="007C214B" w:rsidP="007C214B">
            <w:pPr>
              <w:spacing w:before="120" w:line="312" w:lineRule="auto"/>
              <w:jc w:val="center"/>
              <w:rPr>
                <w:color w:val="000000"/>
                <w:sz w:val="18"/>
                <w:szCs w:val="18"/>
              </w:rPr>
            </w:pPr>
            <w:r w:rsidRPr="00883399">
              <w:rPr>
                <w:color w:val="000000"/>
                <w:sz w:val="18"/>
                <w:szCs w:val="18"/>
              </w:rPr>
              <w:t>4.02E</w:t>
            </w:r>
            <w:r w:rsidR="00DC1EF2" w:rsidRPr="00883399">
              <w:rPr>
                <w:color w:val="000000"/>
                <w:sz w:val="18"/>
                <w:szCs w:val="18"/>
              </w:rPr>
              <w:t>-02</w:t>
            </w:r>
          </w:p>
        </w:tc>
      </w:tr>
      <w:tr w:rsidR="007C214B" w:rsidRPr="00883399" w14:paraId="31DAEA67" w14:textId="77777777" w:rsidTr="007C214B">
        <w:tc>
          <w:tcPr>
            <w:tcW w:w="1439" w:type="dxa"/>
          </w:tcPr>
          <w:p w14:paraId="26A7B5E3"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November</w:t>
            </w:r>
          </w:p>
        </w:tc>
        <w:tc>
          <w:tcPr>
            <w:tcW w:w="1048" w:type="dxa"/>
          </w:tcPr>
          <w:p w14:paraId="0AF99438"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0.01604</w:t>
            </w:r>
          </w:p>
        </w:tc>
        <w:tc>
          <w:tcPr>
            <w:tcW w:w="1008" w:type="dxa"/>
          </w:tcPr>
          <w:p w14:paraId="23B7D826"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101.450</w:t>
            </w:r>
          </w:p>
        </w:tc>
        <w:tc>
          <w:tcPr>
            <w:tcW w:w="955" w:type="dxa"/>
          </w:tcPr>
          <w:p w14:paraId="5EEBFF4C"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290</w:t>
            </w:r>
          </w:p>
        </w:tc>
        <w:tc>
          <w:tcPr>
            <w:tcW w:w="717" w:type="dxa"/>
          </w:tcPr>
          <w:p w14:paraId="1EADEA1E"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0.013</w:t>
            </w:r>
          </w:p>
        </w:tc>
        <w:tc>
          <w:tcPr>
            <w:tcW w:w="973" w:type="dxa"/>
          </w:tcPr>
          <w:p w14:paraId="10FB3CC5"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8.314</w:t>
            </w:r>
          </w:p>
        </w:tc>
        <w:tc>
          <w:tcPr>
            <w:tcW w:w="1042" w:type="dxa"/>
          </w:tcPr>
          <w:p w14:paraId="11570A11"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296.2</w:t>
            </w:r>
          </w:p>
        </w:tc>
        <w:tc>
          <w:tcPr>
            <w:tcW w:w="1053" w:type="dxa"/>
          </w:tcPr>
          <w:p w14:paraId="5329E001"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2.49E-03</w:t>
            </w:r>
          </w:p>
        </w:tc>
        <w:tc>
          <w:tcPr>
            <w:tcW w:w="1053" w:type="dxa"/>
          </w:tcPr>
          <w:p w14:paraId="08835830" w14:textId="77777777" w:rsidR="007C214B" w:rsidRPr="00883399" w:rsidRDefault="007C214B" w:rsidP="007C214B">
            <w:pPr>
              <w:spacing w:before="120" w:line="312" w:lineRule="auto"/>
              <w:jc w:val="center"/>
              <w:rPr>
                <w:color w:val="000000"/>
                <w:sz w:val="18"/>
                <w:szCs w:val="18"/>
              </w:rPr>
            </w:pPr>
            <w:r w:rsidRPr="00883399">
              <w:rPr>
                <w:color w:val="000000"/>
                <w:sz w:val="18"/>
                <w:szCs w:val="18"/>
              </w:rPr>
              <w:t>6.23E</w:t>
            </w:r>
            <w:r w:rsidR="00DC1EF2" w:rsidRPr="00883399">
              <w:rPr>
                <w:color w:val="000000"/>
                <w:sz w:val="18"/>
                <w:szCs w:val="18"/>
              </w:rPr>
              <w:t>-02</w:t>
            </w:r>
          </w:p>
        </w:tc>
      </w:tr>
      <w:tr w:rsidR="007C214B" w:rsidRPr="00883399" w14:paraId="102499EC" w14:textId="77777777" w:rsidTr="007C214B">
        <w:tc>
          <w:tcPr>
            <w:tcW w:w="1439" w:type="dxa"/>
          </w:tcPr>
          <w:p w14:paraId="365F3767"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December</w:t>
            </w:r>
          </w:p>
        </w:tc>
        <w:tc>
          <w:tcPr>
            <w:tcW w:w="1048" w:type="dxa"/>
          </w:tcPr>
          <w:p w14:paraId="7DDD36EB"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0.01604</w:t>
            </w:r>
          </w:p>
        </w:tc>
        <w:tc>
          <w:tcPr>
            <w:tcW w:w="1008" w:type="dxa"/>
          </w:tcPr>
          <w:p w14:paraId="2A90C0AC"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101.280</w:t>
            </w:r>
          </w:p>
        </w:tc>
        <w:tc>
          <w:tcPr>
            <w:tcW w:w="955" w:type="dxa"/>
          </w:tcPr>
          <w:p w14:paraId="0E3C3E29"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255</w:t>
            </w:r>
          </w:p>
        </w:tc>
        <w:tc>
          <w:tcPr>
            <w:tcW w:w="717" w:type="dxa"/>
          </w:tcPr>
          <w:p w14:paraId="38295CCC"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0.007</w:t>
            </w:r>
          </w:p>
        </w:tc>
        <w:tc>
          <w:tcPr>
            <w:tcW w:w="973" w:type="dxa"/>
          </w:tcPr>
          <w:p w14:paraId="25D9D6E7"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8.314</w:t>
            </w:r>
          </w:p>
        </w:tc>
        <w:tc>
          <w:tcPr>
            <w:tcW w:w="1042" w:type="dxa"/>
          </w:tcPr>
          <w:p w14:paraId="311618C3"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296.5</w:t>
            </w:r>
          </w:p>
        </w:tc>
        <w:tc>
          <w:tcPr>
            <w:tcW w:w="1053" w:type="dxa"/>
          </w:tcPr>
          <w:p w14:paraId="37C0B733" w14:textId="77777777" w:rsidR="007C214B" w:rsidRPr="00883399" w:rsidRDefault="007C214B" w:rsidP="0031057E">
            <w:pPr>
              <w:spacing w:before="120" w:line="312" w:lineRule="auto"/>
              <w:jc w:val="center"/>
              <w:rPr>
                <w:color w:val="000000"/>
                <w:sz w:val="18"/>
                <w:szCs w:val="18"/>
              </w:rPr>
            </w:pPr>
            <w:r w:rsidRPr="00883399">
              <w:rPr>
                <w:color w:val="000000"/>
                <w:sz w:val="18"/>
                <w:szCs w:val="18"/>
              </w:rPr>
              <w:t>1.18E-03</w:t>
            </w:r>
          </w:p>
        </w:tc>
        <w:tc>
          <w:tcPr>
            <w:tcW w:w="1053" w:type="dxa"/>
          </w:tcPr>
          <w:p w14:paraId="7740E881" w14:textId="77777777" w:rsidR="007C214B" w:rsidRPr="00883399" w:rsidRDefault="007C214B" w:rsidP="007C214B">
            <w:pPr>
              <w:spacing w:before="120" w:line="312" w:lineRule="auto"/>
              <w:jc w:val="center"/>
              <w:rPr>
                <w:color w:val="000000"/>
                <w:sz w:val="18"/>
                <w:szCs w:val="18"/>
              </w:rPr>
            </w:pPr>
            <w:r w:rsidRPr="00883399">
              <w:rPr>
                <w:color w:val="000000"/>
                <w:sz w:val="18"/>
                <w:szCs w:val="18"/>
              </w:rPr>
              <w:t>2.94E</w:t>
            </w:r>
            <w:r w:rsidR="00DC1EF2" w:rsidRPr="00883399">
              <w:rPr>
                <w:color w:val="000000"/>
                <w:sz w:val="18"/>
                <w:szCs w:val="18"/>
              </w:rPr>
              <w:t>-02</w:t>
            </w:r>
          </w:p>
        </w:tc>
      </w:tr>
    </w:tbl>
    <w:p w14:paraId="6731AC5A" w14:textId="77777777" w:rsidR="00872C03" w:rsidRPr="00883399" w:rsidRDefault="00872C03" w:rsidP="00872C03">
      <w:pPr>
        <w:spacing w:before="120" w:line="260" w:lineRule="exact"/>
        <w:ind w:left="900"/>
        <w:jc w:val="both"/>
        <w:rPr>
          <w:color w:val="000000"/>
        </w:rPr>
      </w:pPr>
    </w:p>
    <w:p w14:paraId="77ADECAE" w14:textId="77777777" w:rsidR="007C214B" w:rsidRPr="00883399" w:rsidRDefault="007C214B" w:rsidP="007C214B">
      <w:pPr>
        <w:spacing w:before="120" w:line="260" w:lineRule="exact"/>
        <w:jc w:val="both"/>
        <w:rPr>
          <w:color w:val="000000"/>
          <w:sz w:val="20"/>
          <w:szCs w:val="20"/>
        </w:rPr>
      </w:pPr>
      <w:r w:rsidRPr="00883399">
        <w:rPr>
          <w:color w:val="000000"/>
          <w:sz w:val="20"/>
          <w:szCs w:val="20"/>
        </w:rPr>
        <w:t>To obtain the annual emission estimate the following steps are then taken.</w:t>
      </w:r>
    </w:p>
    <w:p w14:paraId="665DD64E" w14:textId="77777777" w:rsidR="007C214B" w:rsidRPr="00883399" w:rsidRDefault="007C214B" w:rsidP="007C214B">
      <w:pPr>
        <w:spacing w:before="120" w:line="260" w:lineRule="exact"/>
        <w:jc w:val="both"/>
        <w:rPr>
          <w:color w:val="000000"/>
          <w:sz w:val="20"/>
          <w:szCs w:val="20"/>
        </w:rPr>
      </w:pPr>
      <w:r w:rsidRPr="00883399">
        <w:rPr>
          <w:color w:val="000000"/>
          <w:sz w:val="20"/>
          <w:szCs w:val="20"/>
        </w:rPr>
        <w:t>Step 1. Calculate the average emissions rate for the year by summing the monthly emission rate estimates in column h of table 1 and divide by the number of sample periods:</w:t>
      </w:r>
    </w:p>
    <w:p w14:paraId="38F35B5B" w14:textId="77777777" w:rsidR="007C214B" w:rsidRPr="00883399" w:rsidRDefault="007C214B" w:rsidP="007C214B">
      <w:pPr>
        <w:spacing w:before="120" w:line="260" w:lineRule="exact"/>
        <w:jc w:val="both"/>
        <w:rPr>
          <w:color w:val="000000"/>
          <w:sz w:val="20"/>
          <w:szCs w:val="20"/>
        </w:rPr>
      </w:pPr>
      <w:r w:rsidRPr="00883399">
        <w:rPr>
          <w:color w:val="000000"/>
          <w:sz w:val="20"/>
          <w:szCs w:val="20"/>
        </w:rPr>
        <w:t>= (4.01E-02 + 3.37E-02 + 3.87E-02 + 4.10E-02 + 4.63E-02 + 3.52E-02 + 3.46E-02 + 5.21E-02 + 5.86E-02 + 4.02E-02 + 6.23E-02 + 2.94E-02)/12</w:t>
      </w:r>
    </w:p>
    <w:p w14:paraId="6B0496E9" w14:textId="77777777" w:rsidR="007C214B" w:rsidRPr="00883399" w:rsidRDefault="007C214B" w:rsidP="007C214B">
      <w:pPr>
        <w:spacing w:before="120" w:line="260" w:lineRule="exact"/>
        <w:jc w:val="both"/>
        <w:outlineLvl w:val="0"/>
        <w:rPr>
          <w:color w:val="000000"/>
          <w:sz w:val="20"/>
          <w:szCs w:val="20"/>
        </w:rPr>
      </w:pPr>
      <w:r w:rsidRPr="00883399">
        <w:rPr>
          <w:color w:val="000000"/>
          <w:sz w:val="20"/>
          <w:szCs w:val="20"/>
        </w:rPr>
        <w:t>= 4.27E-02 CO</w:t>
      </w:r>
      <w:r w:rsidRPr="00883399">
        <w:rPr>
          <w:color w:val="000000"/>
          <w:sz w:val="20"/>
          <w:szCs w:val="20"/>
          <w:vertAlign w:val="subscript"/>
        </w:rPr>
        <w:t>2</w:t>
      </w:r>
      <w:r w:rsidRPr="00883399">
        <w:rPr>
          <w:color w:val="000000"/>
          <w:sz w:val="20"/>
          <w:szCs w:val="20"/>
        </w:rPr>
        <w:t>-e tonnes per second</w:t>
      </w:r>
    </w:p>
    <w:p w14:paraId="2A1E5538" w14:textId="77777777" w:rsidR="007C214B" w:rsidRPr="00883399" w:rsidRDefault="00C66508" w:rsidP="007C214B">
      <w:pPr>
        <w:spacing w:before="120" w:line="260" w:lineRule="exact"/>
        <w:jc w:val="both"/>
        <w:rPr>
          <w:color w:val="000000"/>
          <w:sz w:val="20"/>
          <w:szCs w:val="20"/>
        </w:rPr>
      </w:pPr>
      <w:r w:rsidRPr="00883399">
        <w:rPr>
          <w:noProof/>
        </w:rPr>
        <w:lastRenderedPageBreak/>
        <mc:AlternateContent>
          <mc:Choice Requires="wps">
            <w:drawing>
              <wp:anchor distT="0" distB="0" distL="114300" distR="114300" simplePos="0" relativeHeight="251658252" behindDoc="1" locked="0" layoutInCell="0" allowOverlap="1" wp14:anchorId="6594B816" wp14:editId="156722D9">
                <wp:simplePos x="0" y="0"/>
                <wp:positionH relativeFrom="column">
                  <wp:posOffset>-174625</wp:posOffset>
                </wp:positionH>
                <wp:positionV relativeFrom="paragraph">
                  <wp:posOffset>-287020</wp:posOffset>
                </wp:positionV>
                <wp:extent cx="5896610" cy="1423670"/>
                <wp:effectExtent l="0" t="0" r="27940" b="24130"/>
                <wp:wrapNone/>
                <wp:docPr id="10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6610" cy="1423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B9EE2" id="Rectangle 5" o:spid="_x0000_s1026" style="position:absolute;margin-left:-13.75pt;margin-top:-22.6pt;width:464.3pt;height:112.1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" o:allowincell="f"/>
            </w:pict>
          </mc:Fallback>
        </mc:AlternateContent>
      </w:r>
      <w:r w:rsidR="007C214B" w:rsidRPr="00883399">
        <w:rPr>
          <w:color w:val="000000"/>
          <w:sz w:val="20"/>
          <w:szCs w:val="20"/>
        </w:rPr>
        <w:t xml:space="preserve">Step 2. The emissions for the year </w:t>
      </w:r>
      <w:r w:rsidR="00541C04" w:rsidRPr="00883399">
        <w:rPr>
          <w:color w:val="000000"/>
          <w:sz w:val="20"/>
          <w:szCs w:val="20"/>
        </w:rPr>
        <w:t>are</w:t>
      </w:r>
      <w:r w:rsidR="007C214B" w:rsidRPr="00883399">
        <w:rPr>
          <w:color w:val="000000"/>
          <w:sz w:val="20"/>
          <w:szCs w:val="20"/>
        </w:rPr>
        <w:t xml:space="preserve"> calculated by multiplying the average emission rate for the year in step 1 by the number of seconds in a year, which is 31,536,000. Therefore:</w:t>
      </w:r>
    </w:p>
    <w:p w14:paraId="68B80076" w14:textId="77777777" w:rsidR="007C214B" w:rsidRPr="00883399" w:rsidRDefault="007C214B" w:rsidP="007C214B">
      <w:pPr>
        <w:spacing w:before="120" w:line="260" w:lineRule="exact"/>
        <w:jc w:val="both"/>
        <w:outlineLvl w:val="0"/>
        <w:rPr>
          <w:color w:val="000000"/>
          <w:sz w:val="20"/>
          <w:szCs w:val="20"/>
        </w:rPr>
      </w:pPr>
      <w:r w:rsidRPr="00883399">
        <w:rPr>
          <w:color w:val="000000"/>
          <w:sz w:val="20"/>
          <w:szCs w:val="20"/>
        </w:rPr>
        <w:t xml:space="preserve">Emissions for the year = </w:t>
      </w:r>
      <w:r w:rsidR="00541C04" w:rsidRPr="00883399">
        <w:rPr>
          <w:color w:val="000000"/>
          <w:sz w:val="20"/>
          <w:szCs w:val="20"/>
        </w:rPr>
        <w:t>4.27</w:t>
      </w:r>
      <w:r w:rsidRPr="00883399">
        <w:rPr>
          <w:color w:val="000000"/>
          <w:sz w:val="20"/>
          <w:szCs w:val="20"/>
        </w:rPr>
        <w:t>E-02 x 31,536,000</w:t>
      </w:r>
      <w:r w:rsidRPr="00883399">
        <w:rPr>
          <w:color w:val="000000"/>
          <w:sz w:val="20"/>
          <w:szCs w:val="20"/>
        </w:rPr>
        <w:tab/>
      </w:r>
      <w:r w:rsidRPr="00883399">
        <w:rPr>
          <w:color w:val="000000"/>
          <w:sz w:val="20"/>
          <w:szCs w:val="20"/>
        </w:rPr>
        <w:tab/>
      </w:r>
      <w:r w:rsidRPr="00883399">
        <w:rPr>
          <w:color w:val="000000"/>
          <w:sz w:val="20"/>
          <w:szCs w:val="20"/>
        </w:rPr>
        <w:tab/>
      </w:r>
    </w:p>
    <w:p w14:paraId="75F694C4" w14:textId="77777777" w:rsidR="007C214B" w:rsidRPr="00883399" w:rsidRDefault="007C214B" w:rsidP="007C214B">
      <w:pPr>
        <w:spacing w:before="120" w:line="260" w:lineRule="exact"/>
        <w:jc w:val="both"/>
        <w:rPr>
          <w:rStyle w:val="CharSectno"/>
          <w:color w:val="000000"/>
          <w:sz w:val="20"/>
          <w:szCs w:val="20"/>
        </w:rPr>
      </w:pPr>
      <w:r w:rsidRPr="00883399">
        <w:t xml:space="preserve">                               </w:t>
      </w:r>
      <w:r w:rsidRPr="00883399">
        <w:rPr>
          <w:sz w:val="20"/>
          <w:szCs w:val="20"/>
        </w:rPr>
        <w:t xml:space="preserve">= </w:t>
      </w:r>
      <w:r w:rsidR="00541C04" w:rsidRPr="00883399">
        <w:rPr>
          <w:sz w:val="20"/>
          <w:szCs w:val="20"/>
        </w:rPr>
        <w:t>1,346,062</w:t>
      </w:r>
      <w:r w:rsidRPr="00883399">
        <w:rPr>
          <w:sz w:val="20"/>
          <w:szCs w:val="20"/>
        </w:rPr>
        <w:t xml:space="preserve"> tonnes CO</w:t>
      </w:r>
      <w:r w:rsidRPr="00883399">
        <w:rPr>
          <w:sz w:val="20"/>
          <w:szCs w:val="20"/>
          <w:vertAlign w:val="subscript"/>
        </w:rPr>
        <w:t>2</w:t>
      </w:r>
      <w:r w:rsidRPr="00883399">
        <w:rPr>
          <w:sz w:val="20"/>
          <w:szCs w:val="20"/>
        </w:rPr>
        <w:t xml:space="preserve">-e </w:t>
      </w:r>
    </w:p>
    <w:p w14:paraId="0FB6249C" w14:textId="77777777" w:rsidR="00872C03" w:rsidRPr="00883399" w:rsidRDefault="00872C03" w:rsidP="00872C03">
      <w:pPr>
        <w:pStyle w:val="subsection"/>
        <w:rPr>
          <w:sz w:val="24"/>
        </w:rPr>
      </w:pPr>
    </w:p>
    <w:p w14:paraId="59A71C75" w14:textId="77777777" w:rsidR="00872C03" w:rsidRPr="00883399" w:rsidRDefault="00872C03" w:rsidP="00872C03">
      <w:pPr>
        <w:pStyle w:val="ActHead5"/>
        <w:rPr>
          <w:rStyle w:val="CharSectno"/>
          <w:sz w:val="28"/>
        </w:rPr>
      </w:pPr>
      <w:bookmarkStart w:id="124" w:name="_Toc423516722"/>
    </w:p>
    <w:p w14:paraId="7AFB9FA6" w14:textId="5EF28102" w:rsidR="00872C03" w:rsidRPr="00883399" w:rsidRDefault="00872C03" w:rsidP="00872C03">
      <w:pPr>
        <w:pStyle w:val="ActHead5"/>
        <w:rPr>
          <w:sz w:val="28"/>
        </w:rPr>
      </w:pPr>
      <w:bookmarkStart w:id="125" w:name="_Toc495652634"/>
      <w:r w:rsidRPr="00883399">
        <w:rPr>
          <w:rStyle w:val="CharSectno"/>
          <w:sz w:val="28"/>
        </w:rPr>
        <w:t>1.27A</w:t>
      </w:r>
      <w:r w:rsidRPr="00883399">
        <w:rPr>
          <w:sz w:val="28"/>
        </w:rPr>
        <w:t xml:space="preserve">  Emissions from a source where multiple fuels consumed</w:t>
      </w:r>
      <w:bookmarkEnd w:id="124"/>
      <w:bookmarkEnd w:id="125"/>
    </w:p>
    <w:p w14:paraId="222899C5" w14:textId="77777777" w:rsidR="00872C03" w:rsidRPr="00883399" w:rsidRDefault="00872C03" w:rsidP="00872C03">
      <w:pPr>
        <w:pStyle w:val="subsection"/>
        <w:rPr>
          <w:sz w:val="24"/>
        </w:rPr>
      </w:pPr>
      <w:r w:rsidRPr="00883399">
        <w:rPr>
          <w:sz w:val="24"/>
        </w:rPr>
        <w:tab/>
      </w:r>
      <w:r w:rsidRPr="00883399">
        <w:rPr>
          <w:sz w:val="24"/>
        </w:rPr>
        <w:tab/>
        <w:t>If more than one fuel is consumed for a source that generates carbon dioxide that is directly measured using method 4 (PEM), the total amount of carbon dioxide is to be attributed to each fuel consumed in proportion to the carbon content of the fuel relative to the total carbon content of all fuel consumed for that source.</w:t>
      </w:r>
    </w:p>
    <w:p w14:paraId="0A9FD4CA" w14:textId="77777777" w:rsidR="00872C03" w:rsidRPr="00883399" w:rsidRDefault="00872C03" w:rsidP="00872C03">
      <w:pPr>
        <w:pStyle w:val="R2"/>
        <w:tabs>
          <w:tab w:val="clear" w:pos="794"/>
          <w:tab w:val="right" w:pos="0"/>
        </w:tabs>
        <w:spacing w:before="0" w:line="360" w:lineRule="auto"/>
        <w:ind w:left="0" w:firstLine="0"/>
        <w:rPr>
          <w:rFonts w:ascii="Arial" w:hAnsi="Arial" w:cs="Arial"/>
          <w:sz w:val="22"/>
          <w:szCs w:val="22"/>
        </w:rPr>
      </w:pPr>
    </w:p>
    <w:tbl>
      <w:tblPr>
        <w:tblStyle w:val="TableGrid"/>
        <w:tblW w:w="0" w:type="auto"/>
        <w:tblInd w:w="-34" w:type="dxa"/>
        <w:tblLook w:val="04A0" w:firstRow="1" w:lastRow="0" w:firstColumn="1" w:lastColumn="0" w:noHBand="0" w:noVBand="1"/>
      </w:tblPr>
      <w:tblGrid>
        <w:gridCol w:w="8337"/>
      </w:tblGrid>
      <w:tr w:rsidR="00872C03" w:rsidRPr="00883399" w14:paraId="568D3F8C" w14:textId="77777777" w:rsidTr="0031057E">
        <w:tc>
          <w:tcPr>
            <w:tcW w:w="8556" w:type="dxa"/>
          </w:tcPr>
          <w:p w14:paraId="30B30208" w14:textId="77777777" w:rsidR="00872C03" w:rsidRPr="00883399" w:rsidRDefault="00872C03" w:rsidP="0031057E">
            <w:pPr>
              <w:pStyle w:val="R2"/>
              <w:tabs>
                <w:tab w:val="clear" w:pos="794"/>
                <w:tab w:val="right" w:pos="176"/>
              </w:tabs>
              <w:ind w:left="176" w:firstLine="0"/>
              <w:jc w:val="left"/>
              <w:rPr>
                <w:sz w:val="20"/>
                <w:szCs w:val="20"/>
              </w:rPr>
            </w:pPr>
            <w:r w:rsidRPr="00883399">
              <w:rPr>
                <w:b/>
                <w:sz w:val="20"/>
                <w:szCs w:val="20"/>
              </w:rPr>
              <w:t>Example: Attributing CO</w:t>
            </w:r>
            <w:r w:rsidRPr="00883399">
              <w:rPr>
                <w:b/>
                <w:sz w:val="20"/>
                <w:szCs w:val="20"/>
                <w:vertAlign w:val="subscript"/>
              </w:rPr>
              <w:t>2</w:t>
            </w:r>
            <w:r w:rsidRPr="00883399">
              <w:rPr>
                <w:b/>
                <w:sz w:val="20"/>
                <w:szCs w:val="20"/>
              </w:rPr>
              <w:t xml:space="preserve"> emissions from fuel combustion measured using method 4 where diesel oil and natural gas is consumed</w:t>
            </w:r>
          </w:p>
          <w:p w14:paraId="5E61ACAB" w14:textId="77777777" w:rsidR="00872C03" w:rsidRPr="00883399" w:rsidRDefault="00872C03" w:rsidP="0031057E">
            <w:pPr>
              <w:spacing w:after="0" w:line="260" w:lineRule="exact"/>
              <w:rPr>
                <w:color w:val="000000"/>
                <w:sz w:val="16"/>
                <w:szCs w:val="16"/>
              </w:rPr>
            </w:pPr>
          </w:p>
          <w:p w14:paraId="642A0C10" w14:textId="77777777" w:rsidR="00872C03" w:rsidRPr="00883399" w:rsidRDefault="00872C03" w:rsidP="0031057E">
            <w:pPr>
              <w:rPr>
                <w:color w:val="000000"/>
                <w:sz w:val="20"/>
                <w:szCs w:val="20"/>
              </w:rPr>
            </w:pPr>
            <w:r w:rsidRPr="00883399">
              <w:rPr>
                <w:color w:val="000000"/>
                <w:sz w:val="20"/>
                <w:szCs w:val="20"/>
              </w:rPr>
              <w:t xml:space="preserve">A facility combusts 5,000 kilolitres of diesel oil and 1,800,000 GJ of natural gas in a gas turbine during the reporting year. </w:t>
            </w:r>
          </w:p>
          <w:p w14:paraId="3C1DA9E3" w14:textId="77777777" w:rsidR="00872C03" w:rsidRPr="00883399" w:rsidRDefault="00872C03" w:rsidP="0031057E">
            <w:pPr>
              <w:rPr>
                <w:color w:val="000000"/>
                <w:sz w:val="20"/>
                <w:szCs w:val="20"/>
              </w:rPr>
            </w:pPr>
            <w:r w:rsidRPr="00883399">
              <w:rPr>
                <w:color w:val="000000"/>
                <w:sz w:val="20"/>
                <w:szCs w:val="20"/>
              </w:rPr>
              <w:t>The facility elects to use periodic emissions monitoring (PEM) under Method 4 to estimate emissions of carbon dioxide. The reporter estimates a total of 104,852 tonnes CO</w:t>
            </w:r>
            <w:r w:rsidRPr="00883399">
              <w:rPr>
                <w:color w:val="000000"/>
                <w:sz w:val="20"/>
                <w:szCs w:val="20"/>
                <w:vertAlign w:val="subscript"/>
              </w:rPr>
              <w:t xml:space="preserve">2 </w:t>
            </w:r>
            <w:r w:rsidRPr="00883399">
              <w:rPr>
                <w:color w:val="000000"/>
                <w:sz w:val="20"/>
                <w:szCs w:val="20"/>
              </w:rPr>
              <w:t>from this source during the year.</w:t>
            </w:r>
          </w:p>
          <w:p w14:paraId="590B4EC4" w14:textId="77777777" w:rsidR="00872C03" w:rsidRPr="00883399" w:rsidRDefault="00872C03" w:rsidP="0031057E">
            <w:pPr>
              <w:rPr>
                <w:color w:val="000000"/>
                <w:sz w:val="20"/>
                <w:szCs w:val="20"/>
              </w:rPr>
            </w:pPr>
            <w:r w:rsidRPr="00883399">
              <w:rPr>
                <w:color w:val="000000"/>
                <w:sz w:val="20"/>
                <w:szCs w:val="20"/>
              </w:rPr>
              <w:t>In order to attribute these emissions to each the carbon content of the two fuels are estimated using the default carbon content factors published in schedule 3 of the NGER (Measurement) Determination.</w:t>
            </w:r>
          </w:p>
          <w:p w14:paraId="21D9A539" w14:textId="77777777" w:rsidR="00872C03" w:rsidRPr="00883399" w:rsidRDefault="00872C03" w:rsidP="0031057E">
            <w:pPr>
              <w:rPr>
                <w:color w:val="000000"/>
                <w:sz w:val="20"/>
                <w:szCs w:val="20"/>
              </w:rPr>
            </w:pPr>
            <w:r w:rsidRPr="00883399">
              <w:rPr>
                <w:color w:val="000000"/>
                <w:sz w:val="20"/>
                <w:szCs w:val="20"/>
              </w:rPr>
              <w:t>CO</w:t>
            </w:r>
            <w:r w:rsidRPr="00883399">
              <w:rPr>
                <w:color w:val="000000"/>
                <w:sz w:val="20"/>
                <w:szCs w:val="20"/>
                <w:vertAlign w:val="subscript"/>
              </w:rPr>
              <w:t>2</w:t>
            </w:r>
            <w:r w:rsidRPr="00883399">
              <w:rPr>
                <w:color w:val="000000"/>
                <w:sz w:val="20"/>
                <w:szCs w:val="20"/>
              </w:rPr>
              <w:t xml:space="preserve"> emissions attributed to fuel x = total PEM emission estimate * carbon content of fuel x/ carbon content of all fuels</w:t>
            </w:r>
          </w:p>
          <w:p w14:paraId="35A44463" w14:textId="77777777" w:rsidR="00872C03" w:rsidRPr="00883399" w:rsidRDefault="00872C03" w:rsidP="0031057E">
            <w:pPr>
              <w:rPr>
                <w:color w:val="000000"/>
                <w:sz w:val="20"/>
                <w:szCs w:val="20"/>
              </w:rPr>
            </w:pPr>
            <w:r w:rsidRPr="00883399">
              <w:rPr>
                <w:color w:val="000000"/>
                <w:sz w:val="20"/>
                <w:szCs w:val="20"/>
              </w:rPr>
              <w:t>Where carbon content of diesel oil = 5,000 kL * 0.736 t C/kL = 3,680 t C</w:t>
            </w:r>
          </w:p>
          <w:p w14:paraId="79E06B25" w14:textId="77777777" w:rsidR="00872C03" w:rsidRPr="00883399" w:rsidRDefault="00872C03" w:rsidP="0031057E">
            <w:pPr>
              <w:rPr>
                <w:color w:val="000000"/>
                <w:sz w:val="20"/>
                <w:szCs w:val="20"/>
              </w:rPr>
            </w:pPr>
            <w:r w:rsidRPr="00883399">
              <w:rPr>
                <w:color w:val="000000"/>
                <w:sz w:val="20"/>
                <w:szCs w:val="20"/>
              </w:rPr>
              <w:t>Where carbon content of natural gas = 1,800,000 GJ * 0.014 t C/GJ = 25,200 t C</w:t>
            </w:r>
          </w:p>
          <w:p w14:paraId="317B5AD6" w14:textId="77777777" w:rsidR="00872C03" w:rsidRPr="00883399" w:rsidRDefault="00872C03" w:rsidP="0031057E">
            <w:pPr>
              <w:rPr>
                <w:color w:val="000000"/>
                <w:sz w:val="20"/>
                <w:szCs w:val="20"/>
              </w:rPr>
            </w:pPr>
            <w:r w:rsidRPr="00883399">
              <w:rPr>
                <w:color w:val="000000"/>
                <w:sz w:val="20"/>
                <w:szCs w:val="20"/>
              </w:rPr>
              <w:t>Emissions attributed to diesel oil = total PEM emission estimate * carbon content of diesel oil/ (carbon content of diesel oil+ carbon content of natural gas)</w:t>
            </w:r>
          </w:p>
          <w:p w14:paraId="645888E6" w14:textId="77777777" w:rsidR="00872C03" w:rsidRPr="00883399" w:rsidRDefault="00872C03" w:rsidP="0031057E">
            <w:pPr>
              <w:rPr>
                <w:color w:val="000000"/>
                <w:sz w:val="20"/>
                <w:szCs w:val="20"/>
              </w:rPr>
            </w:pPr>
            <w:r w:rsidRPr="00883399">
              <w:rPr>
                <w:color w:val="000000"/>
                <w:sz w:val="20"/>
                <w:szCs w:val="20"/>
              </w:rPr>
              <w:t>Emissions attributed to diesel oil = 104,852t CO</w:t>
            </w:r>
            <w:r w:rsidRPr="00883399">
              <w:rPr>
                <w:color w:val="000000"/>
                <w:sz w:val="20"/>
                <w:szCs w:val="20"/>
                <w:vertAlign w:val="subscript"/>
              </w:rPr>
              <w:t>2</w:t>
            </w:r>
            <w:r w:rsidRPr="00883399">
              <w:rPr>
                <w:color w:val="000000"/>
                <w:sz w:val="20"/>
                <w:szCs w:val="20"/>
              </w:rPr>
              <w:t xml:space="preserve"> * 3,680 t C/ 28,880 t C = 13,361t CO</w:t>
            </w:r>
            <w:r w:rsidRPr="00883399">
              <w:rPr>
                <w:color w:val="000000"/>
                <w:sz w:val="20"/>
                <w:szCs w:val="20"/>
                <w:vertAlign w:val="subscript"/>
              </w:rPr>
              <w:t>2</w:t>
            </w:r>
          </w:p>
          <w:p w14:paraId="3388D27F" w14:textId="77777777" w:rsidR="00872C03" w:rsidRPr="00883399" w:rsidRDefault="00872C03" w:rsidP="0031057E">
            <w:pPr>
              <w:rPr>
                <w:color w:val="000000"/>
                <w:sz w:val="20"/>
                <w:szCs w:val="20"/>
              </w:rPr>
            </w:pPr>
            <w:r w:rsidRPr="00883399">
              <w:rPr>
                <w:color w:val="000000"/>
                <w:sz w:val="20"/>
                <w:szCs w:val="20"/>
              </w:rPr>
              <w:lastRenderedPageBreak/>
              <w:t>Emissions attributed to natural gas = total PEM emission estimate * carbon content of natural gas/ (carbon content of diesel oil+ carbon content of natural gas)</w:t>
            </w:r>
          </w:p>
          <w:p w14:paraId="23001E0B" w14:textId="77777777" w:rsidR="00872C03" w:rsidRPr="00883399" w:rsidRDefault="00872C03" w:rsidP="0031057E">
            <w:pPr>
              <w:spacing w:after="0"/>
              <w:rPr>
                <w:color w:val="000000"/>
                <w:sz w:val="20"/>
                <w:szCs w:val="20"/>
              </w:rPr>
            </w:pPr>
            <w:r w:rsidRPr="00883399">
              <w:rPr>
                <w:color w:val="000000"/>
                <w:sz w:val="20"/>
                <w:szCs w:val="20"/>
              </w:rPr>
              <w:t>Emissions attributed to natural gas = 104,852t CO</w:t>
            </w:r>
            <w:r w:rsidRPr="00883399">
              <w:rPr>
                <w:color w:val="000000"/>
                <w:sz w:val="20"/>
                <w:szCs w:val="20"/>
                <w:vertAlign w:val="subscript"/>
              </w:rPr>
              <w:t>2</w:t>
            </w:r>
            <w:r w:rsidRPr="00883399">
              <w:rPr>
                <w:color w:val="000000"/>
                <w:sz w:val="20"/>
                <w:szCs w:val="20"/>
              </w:rPr>
              <w:t xml:space="preserve"> * 25,200 t C/ 28,880 t C = 91,491t CO</w:t>
            </w:r>
            <w:r w:rsidRPr="00883399">
              <w:rPr>
                <w:color w:val="000000"/>
                <w:sz w:val="20"/>
                <w:szCs w:val="20"/>
                <w:vertAlign w:val="subscript"/>
              </w:rPr>
              <w:t>2</w:t>
            </w:r>
          </w:p>
        </w:tc>
      </w:tr>
    </w:tbl>
    <w:p w14:paraId="03CBB681" w14:textId="77777777" w:rsidR="00872C03" w:rsidRPr="00883399" w:rsidRDefault="00872C03" w:rsidP="00872C03">
      <w:pPr>
        <w:pStyle w:val="subsection"/>
        <w:rPr>
          <w:sz w:val="24"/>
        </w:rPr>
      </w:pPr>
    </w:p>
    <w:p w14:paraId="392521C5" w14:textId="0934F852" w:rsidR="00872C03" w:rsidRPr="00883399" w:rsidRDefault="00872C03" w:rsidP="00872C03">
      <w:pPr>
        <w:pStyle w:val="ActHead5"/>
        <w:rPr>
          <w:sz w:val="28"/>
        </w:rPr>
      </w:pPr>
      <w:bookmarkStart w:id="126" w:name="_Toc423516723"/>
      <w:bookmarkStart w:id="127" w:name="_Toc495652635"/>
      <w:r w:rsidRPr="00883399">
        <w:rPr>
          <w:rStyle w:val="CharSectno"/>
          <w:sz w:val="28"/>
        </w:rPr>
        <w:t>1.28</w:t>
      </w:r>
      <w:r w:rsidRPr="00883399">
        <w:rPr>
          <w:sz w:val="28"/>
        </w:rPr>
        <w:t xml:space="preserve">  Calculation of emission factors</w:t>
      </w:r>
      <w:bookmarkEnd w:id="126"/>
      <w:bookmarkEnd w:id="127"/>
    </w:p>
    <w:p w14:paraId="608D512A" w14:textId="77777777" w:rsidR="00872C03" w:rsidRPr="00883399" w:rsidRDefault="00872C03" w:rsidP="00872C03">
      <w:pPr>
        <w:spacing w:before="240" w:line="312" w:lineRule="auto"/>
        <w:rPr>
          <w:rFonts w:ascii="TimesNewRoman" w:hAnsi="TimesNewRoman" w:cs="TimesNewRoman"/>
        </w:rPr>
      </w:pPr>
      <w:r w:rsidRPr="00883399">
        <w:rPr>
          <w:rFonts w:ascii="Arial" w:hAnsi="Arial" w:cs="Arial"/>
          <w:sz w:val="22"/>
          <w:szCs w:val="22"/>
        </w:rPr>
        <w:t xml:space="preserve">PEM data calculated in Method 4 can be used to calculate emission factors for use in Method 2 by dividing the emissions estimated from a PEM system by the amount of fuel combusted or raw material produced during the year. </w:t>
      </w:r>
      <w:r w:rsidRPr="00883399">
        <w:rPr>
          <w:rFonts w:ascii="Arial" w:hAnsi="Arial" w:cs="Arial"/>
          <w:sz w:val="22"/>
          <w:szCs w:val="22"/>
        </w:rPr>
        <w:tab/>
      </w:r>
    </w:p>
    <w:p w14:paraId="286FA6DB" w14:textId="77777777" w:rsidR="00872C03" w:rsidRPr="00883399" w:rsidRDefault="00872C03" w:rsidP="00872C03">
      <w:pPr>
        <w:pStyle w:val="subsection"/>
        <w:rPr>
          <w:sz w:val="24"/>
        </w:rPr>
      </w:pPr>
      <w:r w:rsidRPr="00883399">
        <w:rPr>
          <w:sz w:val="24"/>
        </w:rPr>
        <w:tab/>
        <w:t>(1)</w:t>
      </w:r>
      <w:r w:rsidRPr="00883399">
        <w:rPr>
          <w:sz w:val="24"/>
        </w:rPr>
        <w:tab/>
        <w:t>Data obtained from periodic emissions monitoring of a gas stream may be used to estimate the average emission factor for the gas per unit of fuel consumed or material produced.</w:t>
      </w:r>
    </w:p>
    <w:p w14:paraId="5E60D6EE" w14:textId="77777777" w:rsidR="00872C03" w:rsidRPr="00883399" w:rsidRDefault="00872C03" w:rsidP="00872C03">
      <w:pPr>
        <w:pStyle w:val="subsection"/>
        <w:rPr>
          <w:sz w:val="24"/>
        </w:rPr>
      </w:pPr>
      <w:r w:rsidRPr="00883399">
        <w:rPr>
          <w:sz w:val="24"/>
        </w:rPr>
        <w:tab/>
        <w:t>(2)</w:t>
      </w:r>
      <w:r w:rsidRPr="00883399">
        <w:rPr>
          <w:sz w:val="24"/>
        </w:rPr>
        <w:tab/>
        <w:t xml:space="preserve">In this section, </w:t>
      </w:r>
      <w:r w:rsidRPr="00883399">
        <w:rPr>
          <w:b/>
          <w:i/>
          <w:sz w:val="24"/>
        </w:rPr>
        <w:t>data</w:t>
      </w:r>
      <w:r w:rsidRPr="00883399">
        <w:rPr>
          <w:sz w:val="24"/>
        </w:rPr>
        <w:t xml:space="preserve"> means data about:</w:t>
      </w:r>
    </w:p>
    <w:p w14:paraId="44224B37" w14:textId="77777777" w:rsidR="00872C03" w:rsidRPr="00883399" w:rsidRDefault="00872C03" w:rsidP="00872C03">
      <w:pPr>
        <w:pStyle w:val="paragraph"/>
        <w:rPr>
          <w:sz w:val="24"/>
        </w:rPr>
      </w:pPr>
      <w:r w:rsidRPr="00883399">
        <w:rPr>
          <w:sz w:val="24"/>
        </w:rPr>
        <w:tab/>
        <w:t>(a)</w:t>
      </w:r>
      <w:r w:rsidRPr="00883399">
        <w:rPr>
          <w:sz w:val="24"/>
        </w:rPr>
        <w:tab/>
        <w:t>volumetric flow rates estimated in accordance with section 1.31; or</w:t>
      </w:r>
    </w:p>
    <w:p w14:paraId="72AC6640" w14:textId="77777777" w:rsidR="00872C03" w:rsidRPr="00883399" w:rsidRDefault="00872C03" w:rsidP="00872C03">
      <w:pPr>
        <w:pStyle w:val="paragraph"/>
        <w:rPr>
          <w:sz w:val="24"/>
        </w:rPr>
      </w:pPr>
      <w:r w:rsidRPr="00883399">
        <w:rPr>
          <w:sz w:val="24"/>
        </w:rPr>
        <w:tab/>
        <w:t>(b)</w:t>
      </w:r>
      <w:r w:rsidRPr="00883399">
        <w:rPr>
          <w:sz w:val="24"/>
        </w:rPr>
        <w:tab/>
        <w:t>gas concentrations estimated in accordance with section 1.32; or</w:t>
      </w:r>
    </w:p>
    <w:p w14:paraId="5ADBAD52" w14:textId="77777777" w:rsidR="00872C03" w:rsidRPr="00883399" w:rsidRDefault="00872C03" w:rsidP="00872C03">
      <w:pPr>
        <w:pStyle w:val="paragraph"/>
        <w:rPr>
          <w:sz w:val="24"/>
        </w:rPr>
      </w:pPr>
      <w:r w:rsidRPr="00883399">
        <w:rPr>
          <w:sz w:val="24"/>
        </w:rPr>
        <w:tab/>
        <w:t>(c)</w:t>
      </w:r>
      <w:r w:rsidRPr="00883399">
        <w:rPr>
          <w:sz w:val="24"/>
        </w:rPr>
        <w:tab/>
        <w:t>consumption of fuel or material input, estimated in accordance with Chapters 2 to 7; or</w:t>
      </w:r>
    </w:p>
    <w:p w14:paraId="3894F73C" w14:textId="77777777" w:rsidR="00872C03" w:rsidRPr="00883399" w:rsidRDefault="00872C03" w:rsidP="00872C03">
      <w:pPr>
        <w:pStyle w:val="paragraph"/>
        <w:rPr>
          <w:sz w:val="24"/>
        </w:rPr>
      </w:pPr>
      <w:r w:rsidRPr="00883399">
        <w:rPr>
          <w:sz w:val="24"/>
        </w:rPr>
        <w:tab/>
        <w:t>(d)</w:t>
      </w:r>
      <w:r w:rsidRPr="00883399">
        <w:rPr>
          <w:sz w:val="24"/>
        </w:rPr>
        <w:tab/>
        <w:t>material produced, estimated in accordance with Chapters 2 to 7.</w:t>
      </w:r>
    </w:p>
    <w:p w14:paraId="45DD8779" w14:textId="77777777" w:rsidR="00872C03" w:rsidRPr="00883399" w:rsidRDefault="00872C03" w:rsidP="00872C03">
      <w:pPr>
        <w:tabs>
          <w:tab w:val="left" w:pos="1560"/>
        </w:tabs>
        <w:autoSpaceDE w:val="0"/>
        <w:autoSpaceDN w:val="0"/>
        <w:adjustRightInd w:val="0"/>
        <w:spacing w:after="60"/>
        <w:ind w:left="993"/>
        <w:rPr>
          <w:rFonts w:ascii="TimesNewRoman" w:hAnsi="TimesNewRoman" w:cs="TimesNewRoman"/>
        </w:rPr>
      </w:pPr>
    </w:p>
    <w:p w14:paraId="5EA2FC28" w14:textId="77777777" w:rsidR="00872C03" w:rsidRPr="00883399" w:rsidRDefault="00872C03" w:rsidP="00872C03">
      <w:pPr>
        <w:pStyle w:val="Text"/>
        <w:pBdr>
          <w:top w:val="single" w:sz="4" w:space="1" w:color="auto"/>
          <w:left w:val="single" w:sz="4" w:space="4" w:color="auto"/>
          <w:bottom w:val="single" w:sz="4" w:space="1" w:color="auto"/>
          <w:right w:val="single" w:sz="4" w:space="4" w:color="auto"/>
        </w:pBdr>
        <w:outlineLvl w:val="0"/>
        <w:rPr>
          <w:b/>
        </w:rPr>
      </w:pPr>
      <w:r w:rsidRPr="00883399">
        <w:rPr>
          <w:b/>
        </w:rPr>
        <w:t>Example</w:t>
      </w:r>
    </w:p>
    <w:p w14:paraId="2DB06426" w14:textId="77777777" w:rsidR="00872C03" w:rsidRPr="00883399" w:rsidRDefault="00872C03" w:rsidP="00872C03">
      <w:pPr>
        <w:pStyle w:val="Text"/>
        <w:pBdr>
          <w:top w:val="single" w:sz="4" w:space="1" w:color="auto"/>
          <w:left w:val="single" w:sz="4" w:space="4" w:color="auto"/>
          <w:bottom w:val="single" w:sz="4" w:space="1" w:color="auto"/>
          <w:right w:val="single" w:sz="4" w:space="4" w:color="auto"/>
        </w:pBdr>
      </w:pPr>
      <w:r w:rsidRPr="00883399">
        <w:t>If the annual methane emissions from an underground coal mine was 1,130,729 tonnes CO</w:t>
      </w:r>
      <w:r w:rsidRPr="00883399">
        <w:rPr>
          <w:vertAlign w:val="subscript"/>
        </w:rPr>
        <w:t>2</w:t>
      </w:r>
      <w:r w:rsidRPr="00883399">
        <w:t>-e and 2,500,000 tonnes of Run-of-mine (ROM) coal was extracted from the mine, the emission factor would be:</w:t>
      </w:r>
    </w:p>
    <w:p w14:paraId="62FEC292" w14:textId="77777777" w:rsidR="00872C03" w:rsidRPr="00883399" w:rsidRDefault="00872C03" w:rsidP="00872C03">
      <w:pPr>
        <w:pStyle w:val="Text"/>
        <w:pBdr>
          <w:top w:val="single" w:sz="4" w:space="1" w:color="auto"/>
          <w:left w:val="single" w:sz="4" w:space="4" w:color="auto"/>
          <w:bottom w:val="single" w:sz="4" w:space="1" w:color="auto"/>
          <w:right w:val="single" w:sz="4" w:space="4" w:color="auto"/>
        </w:pBdr>
      </w:pPr>
      <w:r w:rsidRPr="00883399">
        <w:t>EF = 1 130 729 tonnes CO</w:t>
      </w:r>
      <w:r w:rsidRPr="00883399">
        <w:rPr>
          <w:vertAlign w:val="subscript"/>
        </w:rPr>
        <w:t>2</w:t>
      </w:r>
      <w:r w:rsidRPr="00883399">
        <w:t>-e / 2 500 000 tonnes ROM coal</w:t>
      </w:r>
    </w:p>
    <w:p w14:paraId="627B40CA" w14:textId="77777777" w:rsidR="00872C03" w:rsidRPr="00883399" w:rsidRDefault="00872C03" w:rsidP="00872C03">
      <w:pPr>
        <w:pStyle w:val="Text"/>
        <w:pBdr>
          <w:top w:val="single" w:sz="4" w:space="1" w:color="auto"/>
          <w:left w:val="single" w:sz="4" w:space="4" w:color="auto"/>
          <w:bottom w:val="single" w:sz="4" w:space="1" w:color="auto"/>
          <w:right w:val="single" w:sz="4" w:space="4" w:color="auto"/>
        </w:pBdr>
      </w:pPr>
      <w:r w:rsidRPr="00883399">
        <w:t>EF = 0.45 tonnes CO</w:t>
      </w:r>
      <w:r w:rsidRPr="00883399">
        <w:rPr>
          <w:vertAlign w:val="subscript"/>
        </w:rPr>
        <w:t>2</w:t>
      </w:r>
      <w:r w:rsidRPr="00883399">
        <w:t>-e / tonne ROM coal</w:t>
      </w:r>
    </w:p>
    <w:p w14:paraId="2D7178D9" w14:textId="77777777" w:rsidR="00872C03" w:rsidRPr="00883399" w:rsidRDefault="00872C03" w:rsidP="00872C03">
      <w:pPr>
        <w:pStyle w:val="R2"/>
        <w:tabs>
          <w:tab w:val="clear" w:pos="794"/>
          <w:tab w:val="right" w:pos="900"/>
        </w:tabs>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The calculation of emission factors may apply to a number of industries including electricity generation and production of industrial products (e.g. nitric acid).</w:t>
      </w:r>
    </w:p>
    <w:p w14:paraId="7535F326" w14:textId="77777777" w:rsidR="00515972" w:rsidRPr="00883399" w:rsidRDefault="00515972" w:rsidP="00872C03">
      <w:pPr>
        <w:pStyle w:val="ActHead4"/>
        <w:rPr>
          <w:rStyle w:val="CharSubdNo"/>
          <w:sz w:val="28"/>
        </w:rPr>
      </w:pPr>
      <w:bookmarkStart w:id="128" w:name="_Toc423516724"/>
    </w:p>
    <w:p w14:paraId="31BDDC3C" w14:textId="3E9D063A" w:rsidR="00872C03" w:rsidRPr="00883399" w:rsidRDefault="00872C03" w:rsidP="00872C03">
      <w:pPr>
        <w:pStyle w:val="ActHead4"/>
        <w:rPr>
          <w:sz w:val="28"/>
        </w:rPr>
      </w:pPr>
      <w:bookmarkStart w:id="129" w:name="_Toc495652636"/>
      <w:r w:rsidRPr="00883399">
        <w:rPr>
          <w:rStyle w:val="CharSubdNo"/>
          <w:sz w:val="28"/>
        </w:rPr>
        <w:t>Subdivision 1.3.3.2</w:t>
      </w:r>
      <w:r w:rsidRPr="00883399">
        <w:rPr>
          <w:sz w:val="28"/>
        </w:rPr>
        <w:t>—</w:t>
      </w:r>
      <w:r w:rsidRPr="00883399">
        <w:rPr>
          <w:rStyle w:val="CharSubdText"/>
          <w:sz w:val="28"/>
        </w:rPr>
        <w:t>Method 4 (PEM)—use of equipment</w:t>
      </w:r>
      <w:bookmarkEnd w:id="128"/>
      <w:bookmarkEnd w:id="129"/>
    </w:p>
    <w:p w14:paraId="5BB6C522" w14:textId="470E2978" w:rsidR="00872C03" w:rsidRPr="00883399" w:rsidRDefault="00872C03" w:rsidP="00872C03">
      <w:pPr>
        <w:pStyle w:val="ActHead5"/>
        <w:rPr>
          <w:sz w:val="28"/>
        </w:rPr>
      </w:pPr>
      <w:bookmarkStart w:id="130" w:name="_Toc423516725"/>
      <w:bookmarkStart w:id="131" w:name="_Toc495652637"/>
      <w:r w:rsidRPr="00883399">
        <w:rPr>
          <w:rStyle w:val="CharSectno"/>
          <w:sz w:val="28"/>
        </w:rPr>
        <w:t>1.29</w:t>
      </w:r>
      <w:r w:rsidRPr="00883399">
        <w:rPr>
          <w:sz w:val="28"/>
        </w:rPr>
        <w:t xml:space="preserve">  Overview</w:t>
      </w:r>
      <w:bookmarkEnd w:id="130"/>
      <w:bookmarkEnd w:id="131"/>
    </w:p>
    <w:p w14:paraId="0DB5934E" w14:textId="77777777" w:rsidR="00872C03" w:rsidRPr="00883399" w:rsidRDefault="00872C03" w:rsidP="00872C03">
      <w:pPr>
        <w:spacing w:before="240" w:line="312" w:lineRule="auto"/>
        <w:rPr>
          <w:rFonts w:ascii="Arial" w:hAnsi="Arial" w:cs="Arial"/>
          <w:color w:val="000000"/>
          <w:sz w:val="22"/>
          <w:szCs w:val="22"/>
        </w:rPr>
      </w:pPr>
      <w:r w:rsidRPr="00883399">
        <w:rPr>
          <w:rFonts w:ascii="Arial" w:hAnsi="Arial" w:cs="Arial"/>
          <w:color w:val="000000"/>
          <w:sz w:val="22"/>
          <w:szCs w:val="22"/>
        </w:rPr>
        <w:t>PEM systems have a number of specific requirements, including the location of sampling positions, measuring flow rates and gas concentrations and the frequency of measurement. These specific components of PEM systems are founded on internationally recognised standards or methods. The organisations that have been cited include:</w:t>
      </w:r>
    </w:p>
    <w:p w14:paraId="09E0C4AC" w14:textId="77777777" w:rsidR="00872C03" w:rsidRPr="00883399" w:rsidRDefault="00872C03" w:rsidP="00872C03">
      <w:pPr>
        <w:numPr>
          <w:ilvl w:val="0"/>
          <w:numId w:val="12"/>
        </w:numPr>
        <w:spacing w:before="120" w:line="312" w:lineRule="auto"/>
        <w:ind w:left="851" w:firstLine="0"/>
        <w:rPr>
          <w:rFonts w:ascii="Arial" w:hAnsi="Arial" w:cs="Arial"/>
          <w:color w:val="000000"/>
          <w:sz w:val="22"/>
          <w:szCs w:val="22"/>
        </w:rPr>
      </w:pPr>
      <w:r w:rsidRPr="00883399">
        <w:rPr>
          <w:rFonts w:ascii="Arial" w:hAnsi="Arial" w:cs="Arial"/>
          <w:color w:val="000000"/>
          <w:sz w:val="22"/>
          <w:szCs w:val="22"/>
        </w:rPr>
        <w:t>Standards Australia (AS)</w:t>
      </w:r>
    </w:p>
    <w:p w14:paraId="0EE5A9D8" w14:textId="77777777" w:rsidR="00872C03" w:rsidRPr="00883399" w:rsidRDefault="00872C03" w:rsidP="00872C03">
      <w:pPr>
        <w:numPr>
          <w:ilvl w:val="0"/>
          <w:numId w:val="12"/>
        </w:numPr>
        <w:spacing w:before="120" w:line="312" w:lineRule="auto"/>
        <w:ind w:left="851" w:firstLine="0"/>
        <w:rPr>
          <w:rFonts w:ascii="Arial" w:hAnsi="Arial" w:cs="Arial"/>
          <w:color w:val="000000"/>
          <w:sz w:val="22"/>
          <w:szCs w:val="22"/>
        </w:rPr>
      </w:pPr>
      <w:r w:rsidRPr="00883399">
        <w:rPr>
          <w:rFonts w:ascii="Arial" w:hAnsi="Arial" w:cs="Arial"/>
          <w:color w:val="000000"/>
          <w:sz w:val="22"/>
          <w:szCs w:val="22"/>
        </w:rPr>
        <w:t>International Organization for Standardization (ISO)</w:t>
      </w:r>
    </w:p>
    <w:p w14:paraId="1BB16F28" w14:textId="77777777" w:rsidR="00872C03" w:rsidRPr="00883399" w:rsidRDefault="00872C03" w:rsidP="00872C03">
      <w:pPr>
        <w:numPr>
          <w:ilvl w:val="0"/>
          <w:numId w:val="12"/>
        </w:numPr>
        <w:spacing w:before="120" w:line="312" w:lineRule="auto"/>
        <w:ind w:left="851" w:firstLine="0"/>
        <w:rPr>
          <w:rFonts w:ascii="Arial" w:hAnsi="Arial" w:cs="Arial"/>
          <w:color w:val="000000"/>
          <w:sz w:val="22"/>
          <w:szCs w:val="22"/>
        </w:rPr>
      </w:pPr>
      <w:r w:rsidRPr="00883399">
        <w:rPr>
          <w:rFonts w:ascii="Arial" w:hAnsi="Arial" w:cs="Arial"/>
          <w:color w:val="000000"/>
          <w:sz w:val="22"/>
          <w:szCs w:val="22"/>
        </w:rPr>
        <w:t>United States Environmental Protection Agency (US EPA)</w:t>
      </w:r>
    </w:p>
    <w:p w14:paraId="0102010A" w14:textId="77777777" w:rsidR="00872C03" w:rsidRPr="00883399" w:rsidRDefault="00872C03" w:rsidP="00872C03">
      <w:pPr>
        <w:pStyle w:val="subsection"/>
        <w:rPr>
          <w:rFonts w:ascii="Arial" w:hAnsi="Arial" w:cs="Arial"/>
          <w:color w:val="000000"/>
          <w:szCs w:val="22"/>
        </w:rPr>
      </w:pPr>
      <w:r w:rsidRPr="00883399">
        <w:rPr>
          <w:rFonts w:ascii="Arial" w:hAnsi="Arial" w:cs="Arial"/>
          <w:color w:val="000000"/>
          <w:szCs w:val="22"/>
        </w:rPr>
        <w:t xml:space="preserve">A detailed list of the standards cited and how to obtain them can be found in </w:t>
      </w:r>
      <w:r w:rsidR="00515972" w:rsidRPr="00883399">
        <w:rPr>
          <w:rFonts w:ascii="Arial" w:hAnsi="Arial" w:cs="Arial"/>
          <w:color w:val="000000"/>
          <w:szCs w:val="22"/>
        </w:rPr>
        <w:t>A</w:t>
      </w:r>
      <w:r w:rsidRPr="00883399">
        <w:rPr>
          <w:rFonts w:ascii="Arial" w:hAnsi="Arial" w:cs="Arial"/>
          <w:color w:val="000000"/>
          <w:szCs w:val="22"/>
        </w:rPr>
        <w:t>ppendix D.</w:t>
      </w:r>
    </w:p>
    <w:p w14:paraId="44EE9641" w14:textId="77777777" w:rsidR="00515972" w:rsidRPr="00883399" w:rsidRDefault="00515972" w:rsidP="00872C03">
      <w:pPr>
        <w:pStyle w:val="subsection"/>
      </w:pPr>
    </w:p>
    <w:p w14:paraId="1007093E" w14:textId="77777777" w:rsidR="00872C03" w:rsidRPr="00883399" w:rsidRDefault="00872C03" w:rsidP="00872C03">
      <w:pPr>
        <w:pStyle w:val="subsection"/>
        <w:rPr>
          <w:sz w:val="24"/>
        </w:rPr>
      </w:pPr>
      <w:r w:rsidRPr="00883399">
        <w:rPr>
          <w:sz w:val="24"/>
        </w:rPr>
        <w:tab/>
      </w:r>
      <w:r w:rsidRPr="00883399">
        <w:rPr>
          <w:sz w:val="24"/>
        </w:rPr>
        <w:tab/>
        <w:t>The following requirements apply to the use of equipment for PEM:</w:t>
      </w:r>
    </w:p>
    <w:p w14:paraId="78FA555A" w14:textId="77777777" w:rsidR="00872C03" w:rsidRPr="00883399" w:rsidRDefault="00872C03" w:rsidP="00872C03">
      <w:pPr>
        <w:pStyle w:val="paragraph"/>
        <w:rPr>
          <w:sz w:val="24"/>
        </w:rPr>
      </w:pPr>
      <w:r w:rsidRPr="00883399">
        <w:rPr>
          <w:sz w:val="24"/>
        </w:rPr>
        <w:tab/>
        <w:t>(a)</w:t>
      </w:r>
      <w:r w:rsidRPr="00883399">
        <w:rPr>
          <w:sz w:val="24"/>
        </w:rPr>
        <w:tab/>
        <w:t xml:space="preserve">the requirements in section 1.30 about location of the sampling positions for the PEM equipment; </w:t>
      </w:r>
    </w:p>
    <w:p w14:paraId="36A968FD" w14:textId="77777777" w:rsidR="00872C03" w:rsidRPr="00883399" w:rsidRDefault="00872C03" w:rsidP="00872C03">
      <w:pPr>
        <w:pStyle w:val="paragraph"/>
        <w:rPr>
          <w:sz w:val="24"/>
        </w:rPr>
      </w:pPr>
      <w:r w:rsidRPr="00883399">
        <w:rPr>
          <w:sz w:val="24"/>
        </w:rPr>
        <w:tab/>
        <w:t>(b)</w:t>
      </w:r>
      <w:r w:rsidRPr="00883399">
        <w:rPr>
          <w:sz w:val="24"/>
        </w:rPr>
        <w:tab/>
        <w:t>the requirements in section 1.31 about measurement of volumetric flow rates in a gas stream;</w:t>
      </w:r>
    </w:p>
    <w:p w14:paraId="1C2D7F2A" w14:textId="77777777" w:rsidR="00872C03" w:rsidRPr="00883399" w:rsidRDefault="00872C03" w:rsidP="00872C03">
      <w:pPr>
        <w:pStyle w:val="paragraph"/>
        <w:rPr>
          <w:sz w:val="24"/>
        </w:rPr>
      </w:pPr>
      <w:r w:rsidRPr="00883399">
        <w:rPr>
          <w:sz w:val="24"/>
        </w:rPr>
        <w:tab/>
        <w:t>(c)</w:t>
      </w:r>
      <w:r w:rsidRPr="00883399">
        <w:rPr>
          <w:sz w:val="24"/>
        </w:rPr>
        <w:tab/>
        <w:t xml:space="preserve">the requirements in section 1.32 about measurement of the concentrations of greenhouse gas in the gas stream; </w:t>
      </w:r>
    </w:p>
    <w:p w14:paraId="18742C27" w14:textId="77777777" w:rsidR="00872C03" w:rsidRPr="00883399" w:rsidRDefault="00872C03" w:rsidP="00872C03">
      <w:pPr>
        <w:pStyle w:val="paragraph"/>
        <w:rPr>
          <w:sz w:val="24"/>
        </w:rPr>
      </w:pPr>
      <w:r w:rsidRPr="00883399">
        <w:rPr>
          <w:sz w:val="24"/>
        </w:rPr>
        <w:tab/>
        <w:t>(d)</w:t>
      </w:r>
      <w:r w:rsidRPr="00883399">
        <w:rPr>
          <w:sz w:val="24"/>
        </w:rPr>
        <w:tab/>
        <w:t>the requirements in section 1.33 about representative data.</w:t>
      </w:r>
    </w:p>
    <w:p w14:paraId="3BCE88FE" w14:textId="2F46A1C9" w:rsidR="00872C03" w:rsidRPr="00883399" w:rsidRDefault="00872C03" w:rsidP="00872C03">
      <w:pPr>
        <w:pStyle w:val="ActHead5"/>
        <w:rPr>
          <w:sz w:val="28"/>
        </w:rPr>
      </w:pPr>
      <w:bookmarkStart w:id="132" w:name="_Toc423516726"/>
      <w:bookmarkStart w:id="133" w:name="_Toc495652638"/>
      <w:r w:rsidRPr="00883399">
        <w:rPr>
          <w:rStyle w:val="CharSectno"/>
          <w:sz w:val="28"/>
        </w:rPr>
        <w:t>1.30</w:t>
      </w:r>
      <w:r w:rsidRPr="00883399">
        <w:rPr>
          <w:sz w:val="28"/>
        </w:rPr>
        <w:t xml:space="preserve">  Selection of sampling positions for PEM equipment</w:t>
      </w:r>
      <w:bookmarkEnd w:id="132"/>
      <w:bookmarkEnd w:id="133"/>
    </w:p>
    <w:p w14:paraId="7D6A5448" w14:textId="77777777" w:rsidR="00872C03" w:rsidRPr="00883399" w:rsidRDefault="00872C03" w:rsidP="00872C03">
      <w:pPr>
        <w:pStyle w:val="subsection"/>
        <w:rPr>
          <w:sz w:val="24"/>
        </w:rPr>
      </w:pPr>
      <w:r w:rsidRPr="00883399">
        <w:rPr>
          <w:sz w:val="24"/>
        </w:rPr>
        <w:tab/>
      </w:r>
      <w:r w:rsidRPr="00883399">
        <w:rPr>
          <w:sz w:val="24"/>
        </w:rPr>
        <w:tab/>
        <w:t xml:space="preserve">For paragraph 1.29(a), the location of sampling positions for PEM equipment must be selected in accordance with an appropriate standard. </w:t>
      </w:r>
    </w:p>
    <w:p w14:paraId="73305074" w14:textId="77777777" w:rsidR="00872C03" w:rsidRPr="00883399" w:rsidRDefault="00872C03" w:rsidP="00872C03">
      <w:pPr>
        <w:pStyle w:val="notetext"/>
        <w:rPr>
          <w:sz w:val="20"/>
        </w:rPr>
      </w:pPr>
      <w:r w:rsidRPr="00883399">
        <w:rPr>
          <w:sz w:val="20"/>
        </w:rPr>
        <w:t>Note:</w:t>
      </w:r>
      <w:r w:rsidRPr="00883399">
        <w:rPr>
          <w:sz w:val="20"/>
        </w:rPr>
        <w:tab/>
        <w:t>Appropriate standards include:</w:t>
      </w:r>
    </w:p>
    <w:p w14:paraId="1F8B6D8D" w14:textId="77777777" w:rsidR="00872C03" w:rsidRPr="00883399" w:rsidRDefault="00872C03" w:rsidP="00872C03">
      <w:pPr>
        <w:pStyle w:val="notetext"/>
        <w:numPr>
          <w:ilvl w:val="0"/>
          <w:numId w:val="71"/>
        </w:numPr>
        <w:ind w:left="2345"/>
        <w:rPr>
          <w:sz w:val="20"/>
        </w:rPr>
      </w:pPr>
      <w:r w:rsidRPr="00883399">
        <w:rPr>
          <w:sz w:val="20"/>
        </w:rPr>
        <w:t xml:space="preserve">AS 4323.1—1995 </w:t>
      </w:r>
      <w:r w:rsidRPr="00883399">
        <w:rPr>
          <w:i/>
          <w:sz w:val="20"/>
        </w:rPr>
        <w:t>Stationary source emissions—Selection of sampling positions</w:t>
      </w:r>
      <w:r w:rsidRPr="00883399">
        <w:rPr>
          <w:sz w:val="20"/>
        </w:rPr>
        <w:t>.</w:t>
      </w:r>
    </w:p>
    <w:p w14:paraId="42F673FE" w14:textId="77777777" w:rsidR="00872C03" w:rsidRPr="00883399" w:rsidRDefault="00872C03" w:rsidP="00872C03">
      <w:pPr>
        <w:pStyle w:val="notetext"/>
        <w:numPr>
          <w:ilvl w:val="0"/>
          <w:numId w:val="71"/>
        </w:numPr>
        <w:ind w:left="2345"/>
        <w:rPr>
          <w:sz w:val="20"/>
        </w:rPr>
      </w:pPr>
      <w:r w:rsidRPr="00883399">
        <w:rPr>
          <w:sz w:val="20"/>
        </w:rPr>
        <w:t>AS 4323.1</w:t>
      </w:r>
      <w:r w:rsidRPr="00883399">
        <w:rPr>
          <w:sz w:val="20"/>
        </w:rPr>
        <w:noBreakHyphen/>
        <w:t>1995 Amdt 1</w:t>
      </w:r>
      <w:r w:rsidRPr="00883399">
        <w:rPr>
          <w:sz w:val="20"/>
        </w:rPr>
        <w:noBreakHyphen/>
        <w:t xml:space="preserve">1995 </w:t>
      </w:r>
      <w:r w:rsidRPr="00883399">
        <w:rPr>
          <w:i/>
          <w:sz w:val="20"/>
        </w:rPr>
        <w:t>Stationary source emissions—Selection of sampling positions</w:t>
      </w:r>
      <w:r w:rsidRPr="00883399">
        <w:rPr>
          <w:sz w:val="20"/>
        </w:rPr>
        <w:t>.</w:t>
      </w:r>
    </w:p>
    <w:p w14:paraId="03CCB2D7" w14:textId="77777777" w:rsidR="00872C03" w:rsidRPr="00883399" w:rsidRDefault="00872C03" w:rsidP="00872C03">
      <w:pPr>
        <w:pStyle w:val="notetext"/>
        <w:numPr>
          <w:ilvl w:val="0"/>
          <w:numId w:val="71"/>
        </w:numPr>
        <w:ind w:left="2345"/>
        <w:rPr>
          <w:sz w:val="20"/>
        </w:rPr>
      </w:pPr>
      <w:r w:rsidRPr="00883399">
        <w:rPr>
          <w:sz w:val="20"/>
        </w:rPr>
        <w:t xml:space="preserve">ISO 10396:2007 </w:t>
      </w:r>
      <w:r w:rsidRPr="00883399">
        <w:rPr>
          <w:i/>
          <w:sz w:val="20"/>
        </w:rPr>
        <w:t>Stationary source emissions—Sampling for the automated determination of gas emission concentrations for permanently</w:t>
      </w:r>
      <w:r w:rsidRPr="00883399">
        <w:rPr>
          <w:i/>
          <w:sz w:val="20"/>
        </w:rPr>
        <w:noBreakHyphen/>
        <w:t>installed monitoring systems</w:t>
      </w:r>
      <w:r w:rsidRPr="00883399">
        <w:rPr>
          <w:sz w:val="20"/>
        </w:rPr>
        <w:t>.</w:t>
      </w:r>
    </w:p>
    <w:p w14:paraId="5EF5943B" w14:textId="77777777" w:rsidR="00872C03" w:rsidRPr="00883399" w:rsidRDefault="00872C03" w:rsidP="00872C03">
      <w:pPr>
        <w:pStyle w:val="notetext"/>
        <w:numPr>
          <w:ilvl w:val="0"/>
          <w:numId w:val="71"/>
        </w:numPr>
        <w:ind w:left="2345"/>
        <w:rPr>
          <w:sz w:val="20"/>
        </w:rPr>
      </w:pPr>
      <w:r w:rsidRPr="00883399">
        <w:rPr>
          <w:sz w:val="20"/>
        </w:rPr>
        <w:lastRenderedPageBreak/>
        <w:t xml:space="preserve">ISO 10012:2003 </w:t>
      </w:r>
      <w:r w:rsidRPr="00883399">
        <w:rPr>
          <w:i/>
          <w:sz w:val="20"/>
        </w:rPr>
        <w:t>Measurement management systems—Requirements for measurement processes and measuring equipment</w:t>
      </w:r>
      <w:r w:rsidRPr="00883399">
        <w:rPr>
          <w:sz w:val="20"/>
        </w:rPr>
        <w:t>.</w:t>
      </w:r>
    </w:p>
    <w:p w14:paraId="0E448922" w14:textId="77777777" w:rsidR="00872C03" w:rsidRPr="00883399" w:rsidRDefault="00872C03" w:rsidP="00872C03">
      <w:pPr>
        <w:pStyle w:val="notetext"/>
        <w:numPr>
          <w:ilvl w:val="0"/>
          <w:numId w:val="71"/>
        </w:numPr>
        <w:ind w:left="2345"/>
        <w:rPr>
          <w:sz w:val="20"/>
        </w:rPr>
      </w:pPr>
      <w:r w:rsidRPr="00883399">
        <w:rPr>
          <w:sz w:val="20"/>
        </w:rPr>
        <w:t>USEPA Method 1</w:t>
      </w:r>
      <w:r w:rsidRPr="00883399">
        <w:rPr>
          <w:i/>
          <w:sz w:val="20"/>
        </w:rPr>
        <w:t xml:space="preserve"> Sample and Velocity Traverses for Stationary Sources</w:t>
      </w:r>
      <w:r w:rsidRPr="00883399">
        <w:rPr>
          <w:sz w:val="20"/>
        </w:rPr>
        <w:t xml:space="preserve"> (2000).</w:t>
      </w:r>
    </w:p>
    <w:p w14:paraId="764D8DD4" w14:textId="0405D974" w:rsidR="00872C03" w:rsidRPr="00883399" w:rsidRDefault="00872C03" w:rsidP="00872C03">
      <w:pPr>
        <w:pStyle w:val="ActHead5"/>
        <w:rPr>
          <w:sz w:val="28"/>
        </w:rPr>
      </w:pPr>
      <w:bookmarkStart w:id="134" w:name="_Toc423516727"/>
      <w:bookmarkStart w:id="135" w:name="_Toc495652639"/>
      <w:r w:rsidRPr="00883399">
        <w:rPr>
          <w:rStyle w:val="CharSectno"/>
          <w:sz w:val="28"/>
        </w:rPr>
        <w:t>1.31</w:t>
      </w:r>
      <w:r w:rsidRPr="00883399">
        <w:rPr>
          <w:sz w:val="28"/>
        </w:rPr>
        <w:t xml:space="preserve">  Measurement of flow rates by PEM equipment</w:t>
      </w:r>
      <w:bookmarkEnd w:id="134"/>
      <w:bookmarkEnd w:id="135"/>
    </w:p>
    <w:p w14:paraId="1846EBDD" w14:textId="77777777" w:rsidR="00872C03" w:rsidRPr="00883399" w:rsidRDefault="00872C03" w:rsidP="00872C03">
      <w:pPr>
        <w:pStyle w:val="subsection"/>
        <w:rPr>
          <w:sz w:val="24"/>
        </w:rPr>
      </w:pPr>
      <w:r w:rsidRPr="00883399">
        <w:rPr>
          <w:sz w:val="24"/>
        </w:rPr>
        <w:tab/>
      </w:r>
      <w:r w:rsidRPr="00883399">
        <w:rPr>
          <w:sz w:val="24"/>
        </w:rPr>
        <w:tab/>
        <w:t xml:space="preserve">For paragraph 1.29(b), the measurement of the volumetric flow rates by PEM of the gas stream must be undertaken in accordance with an appropriate standard. </w:t>
      </w:r>
    </w:p>
    <w:p w14:paraId="73D33BD9" w14:textId="77777777" w:rsidR="00872C03" w:rsidRPr="00883399" w:rsidRDefault="00872C03" w:rsidP="00872C03">
      <w:pPr>
        <w:pStyle w:val="notetext"/>
        <w:rPr>
          <w:sz w:val="20"/>
        </w:rPr>
      </w:pPr>
      <w:r w:rsidRPr="00883399">
        <w:rPr>
          <w:sz w:val="20"/>
        </w:rPr>
        <w:t>Note:</w:t>
      </w:r>
      <w:r w:rsidRPr="00883399">
        <w:rPr>
          <w:sz w:val="20"/>
        </w:rPr>
        <w:tab/>
        <w:t>Appropriate standards include:</w:t>
      </w:r>
    </w:p>
    <w:p w14:paraId="09ABE760" w14:textId="77777777" w:rsidR="00872C03" w:rsidRPr="00883399" w:rsidRDefault="00872C03" w:rsidP="00872C03">
      <w:pPr>
        <w:pStyle w:val="notetext"/>
        <w:numPr>
          <w:ilvl w:val="0"/>
          <w:numId w:val="72"/>
        </w:numPr>
        <w:ind w:left="2345"/>
        <w:rPr>
          <w:sz w:val="20"/>
        </w:rPr>
      </w:pPr>
      <w:r w:rsidRPr="00883399">
        <w:rPr>
          <w:sz w:val="20"/>
        </w:rPr>
        <w:t xml:space="preserve">ISO 10780:1994 </w:t>
      </w:r>
      <w:r w:rsidRPr="00883399">
        <w:rPr>
          <w:i/>
          <w:sz w:val="20"/>
        </w:rPr>
        <w:t>Stationary source emissions – Measurement of velocity and volume flowrate of gas streams in ducts</w:t>
      </w:r>
      <w:r w:rsidRPr="00883399">
        <w:rPr>
          <w:sz w:val="20"/>
        </w:rPr>
        <w:t>.</w:t>
      </w:r>
    </w:p>
    <w:p w14:paraId="22D804F3" w14:textId="77777777" w:rsidR="00872C03" w:rsidRPr="00883399" w:rsidRDefault="00872C03" w:rsidP="00872C03">
      <w:pPr>
        <w:pStyle w:val="notetext"/>
        <w:numPr>
          <w:ilvl w:val="0"/>
          <w:numId w:val="72"/>
        </w:numPr>
        <w:ind w:left="2345"/>
        <w:rPr>
          <w:sz w:val="20"/>
        </w:rPr>
      </w:pPr>
      <w:r w:rsidRPr="00883399">
        <w:rPr>
          <w:sz w:val="20"/>
        </w:rPr>
        <w:t xml:space="preserve">ISO 14164:1999 </w:t>
      </w:r>
      <w:r w:rsidRPr="00883399">
        <w:rPr>
          <w:i/>
          <w:sz w:val="20"/>
        </w:rPr>
        <w:t>Stationary source emissions. Determination of the volume flow rate of gas streams in ducts – automated method</w:t>
      </w:r>
      <w:r w:rsidRPr="00883399">
        <w:rPr>
          <w:sz w:val="20"/>
        </w:rPr>
        <w:t>.</w:t>
      </w:r>
    </w:p>
    <w:p w14:paraId="5442A529" w14:textId="77777777" w:rsidR="00872C03" w:rsidRPr="00883399" w:rsidRDefault="00872C03" w:rsidP="00872C03">
      <w:pPr>
        <w:pStyle w:val="notetext"/>
        <w:numPr>
          <w:ilvl w:val="0"/>
          <w:numId w:val="72"/>
        </w:numPr>
        <w:ind w:left="2345"/>
        <w:rPr>
          <w:sz w:val="20"/>
        </w:rPr>
      </w:pPr>
      <w:r w:rsidRPr="00883399">
        <w:rPr>
          <w:sz w:val="20"/>
        </w:rPr>
        <w:t>USEPA Method 2</w:t>
      </w:r>
      <w:r w:rsidRPr="00883399">
        <w:rPr>
          <w:i/>
          <w:sz w:val="20"/>
        </w:rPr>
        <w:t xml:space="preserve"> Determination of stack velocity and volumetric flow rate (Type S Pitot tube) (2000)</w:t>
      </w:r>
      <w:r w:rsidRPr="00883399">
        <w:rPr>
          <w:sz w:val="20"/>
        </w:rPr>
        <w:t>.</w:t>
      </w:r>
    </w:p>
    <w:p w14:paraId="1BC6E94B" w14:textId="77777777" w:rsidR="00872C03" w:rsidRPr="00883399" w:rsidRDefault="00872C03" w:rsidP="00872C03">
      <w:pPr>
        <w:pStyle w:val="notetext"/>
        <w:numPr>
          <w:ilvl w:val="0"/>
          <w:numId w:val="72"/>
        </w:numPr>
        <w:ind w:left="2345"/>
        <w:rPr>
          <w:sz w:val="20"/>
        </w:rPr>
      </w:pPr>
      <w:r w:rsidRPr="00883399">
        <w:rPr>
          <w:sz w:val="20"/>
        </w:rPr>
        <w:t>USEPA Method 2A</w:t>
      </w:r>
      <w:r w:rsidRPr="00883399">
        <w:rPr>
          <w:i/>
          <w:sz w:val="20"/>
        </w:rPr>
        <w:t xml:space="preserve"> Direct measurement of gas volume through pipes and small ducts (2000)</w:t>
      </w:r>
      <w:r w:rsidRPr="00883399">
        <w:rPr>
          <w:sz w:val="20"/>
        </w:rPr>
        <w:t>.</w:t>
      </w:r>
    </w:p>
    <w:p w14:paraId="38F09C17" w14:textId="1F05E455" w:rsidR="00872C03" w:rsidRPr="00883399" w:rsidRDefault="00872C03" w:rsidP="00872C03">
      <w:pPr>
        <w:pStyle w:val="ActHead5"/>
        <w:rPr>
          <w:sz w:val="28"/>
        </w:rPr>
      </w:pPr>
      <w:bookmarkStart w:id="136" w:name="_Toc423516728"/>
      <w:bookmarkStart w:id="137" w:name="_Toc495652640"/>
      <w:r w:rsidRPr="00883399">
        <w:rPr>
          <w:rStyle w:val="CharSectno"/>
          <w:sz w:val="28"/>
        </w:rPr>
        <w:t>1.32</w:t>
      </w:r>
      <w:r w:rsidRPr="00883399">
        <w:rPr>
          <w:sz w:val="28"/>
        </w:rPr>
        <w:t xml:space="preserve">  Measurement of gas concentrations by PEM</w:t>
      </w:r>
      <w:bookmarkEnd w:id="136"/>
      <w:bookmarkEnd w:id="137"/>
    </w:p>
    <w:p w14:paraId="01A100E4" w14:textId="77777777" w:rsidR="00872C03" w:rsidRPr="00883399" w:rsidRDefault="00872C03" w:rsidP="00872C03">
      <w:pPr>
        <w:pStyle w:val="subsection"/>
        <w:rPr>
          <w:sz w:val="24"/>
        </w:rPr>
      </w:pPr>
      <w:r w:rsidRPr="00883399">
        <w:rPr>
          <w:sz w:val="24"/>
        </w:rPr>
        <w:tab/>
      </w:r>
      <w:r w:rsidRPr="00883399">
        <w:rPr>
          <w:sz w:val="24"/>
        </w:rPr>
        <w:tab/>
        <w:t xml:space="preserve">For paragraph 1.29(c), the measurement of the concentrations of greenhouse gas in the gas stream by PEM must be undertaken in accordance with an appropriate standard. </w:t>
      </w:r>
    </w:p>
    <w:p w14:paraId="18ABD8D6" w14:textId="77777777" w:rsidR="00872C03" w:rsidRPr="00883399" w:rsidRDefault="00872C03" w:rsidP="00872C03">
      <w:pPr>
        <w:pStyle w:val="notetext"/>
        <w:rPr>
          <w:sz w:val="20"/>
        </w:rPr>
      </w:pPr>
      <w:r w:rsidRPr="00883399">
        <w:rPr>
          <w:sz w:val="20"/>
        </w:rPr>
        <w:t>Note:</w:t>
      </w:r>
      <w:r w:rsidRPr="00883399">
        <w:rPr>
          <w:sz w:val="20"/>
        </w:rPr>
        <w:tab/>
        <w:t>Appropriate standards include:</w:t>
      </w:r>
    </w:p>
    <w:p w14:paraId="13AA5174" w14:textId="77777777" w:rsidR="00872C03" w:rsidRPr="00883399" w:rsidRDefault="00872C03" w:rsidP="00872C03">
      <w:pPr>
        <w:pStyle w:val="notetext"/>
        <w:numPr>
          <w:ilvl w:val="0"/>
          <w:numId w:val="73"/>
        </w:numPr>
        <w:ind w:left="2345"/>
        <w:rPr>
          <w:sz w:val="20"/>
        </w:rPr>
      </w:pPr>
      <w:r w:rsidRPr="00883399">
        <w:rPr>
          <w:sz w:val="20"/>
        </w:rPr>
        <w:t>USEPA Method 3A</w:t>
      </w:r>
      <w:r w:rsidRPr="00883399">
        <w:rPr>
          <w:i/>
          <w:sz w:val="20"/>
        </w:rPr>
        <w:t xml:space="preserve"> Determination of oxygen and carbon dioxide concentrations in emissions from stationary sources (instrumental analyser procedure)</w:t>
      </w:r>
      <w:r w:rsidRPr="00883399">
        <w:rPr>
          <w:sz w:val="20"/>
        </w:rPr>
        <w:t xml:space="preserve"> (2006).</w:t>
      </w:r>
    </w:p>
    <w:p w14:paraId="0803879A" w14:textId="77777777" w:rsidR="00872C03" w:rsidRPr="00883399" w:rsidRDefault="00872C03" w:rsidP="00872C03">
      <w:pPr>
        <w:pStyle w:val="notetext"/>
        <w:numPr>
          <w:ilvl w:val="0"/>
          <w:numId w:val="73"/>
        </w:numPr>
        <w:ind w:left="2345"/>
        <w:rPr>
          <w:sz w:val="20"/>
        </w:rPr>
      </w:pPr>
      <w:r w:rsidRPr="00883399">
        <w:rPr>
          <w:sz w:val="20"/>
        </w:rPr>
        <w:t>USEPA Method 3C</w:t>
      </w:r>
      <w:r w:rsidRPr="00883399">
        <w:rPr>
          <w:i/>
          <w:sz w:val="20"/>
        </w:rPr>
        <w:t xml:space="preserve"> Determination of carbon dioxide, methane, nitrogen, and oxygen from stationary sources</w:t>
      </w:r>
      <w:r w:rsidRPr="00883399">
        <w:rPr>
          <w:sz w:val="20"/>
        </w:rPr>
        <w:t xml:space="preserve"> (1996).</w:t>
      </w:r>
    </w:p>
    <w:p w14:paraId="0A75E079" w14:textId="77777777" w:rsidR="00872C03" w:rsidRPr="00883399" w:rsidRDefault="00872C03" w:rsidP="00872C03">
      <w:pPr>
        <w:pStyle w:val="notetext"/>
        <w:numPr>
          <w:ilvl w:val="0"/>
          <w:numId w:val="73"/>
        </w:numPr>
        <w:ind w:left="2345"/>
        <w:rPr>
          <w:sz w:val="20"/>
        </w:rPr>
      </w:pPr>
      <w:r w:rsidRPr="00883399">
        <w:rPr>
          <w:sz w:val="20"/>
        </w:rPr>
        <w:t xml:space="preserve">ISO12039:2001 </w:t>
      </w:r>
      <w:r w:rsidRPr="00883399">
        <w:rPr>
          <w:i/>
          <w:sz w:val="20"/>
        </w:rPr>
        <w:t>Stationary source emissions – Determination of carbon monoxide, carbon dioxide and oxygen – Performance characteristics and calibration of an automated measuring method</w:t>
      </w:r>
      <w:r w:rsidRPr="00883399">
        <w:rPr>
          <w:sz w:val="20"/>
        </w:rPr>
        <w:t>.</w:t>
      </w:r>
    </w:p>
    <w:p w14:paraId="673142A8" w14:textId="500B7340" w:rsidR="00872C03" w:rsidRPr="00883399" w:rsidRDefault="00872C03" w:rsidP="00872C03">
      <w:pPr>
        <w:pStyle w:val="ActHead5"/>
        <w:rPr>
          <w:sz w:val="28"/>
        </w:rPr>
      </w:pPr>
      <w:bookmarkStart w:id="138" w:name="_Toc423516729"/>
      <w:bookmarkStart w:id="139" w:name="_Toc495652641"/>
      <w:r w:rsidRPr="00883399">
        <w:rPr>
          <w:rStyle w:val="CharSectno"/>
          <w:sz w:val="28"/>
        </w:rPr>
        <w:t>1.33</w:t>
      </w:r>
      <w:r w:rsidRPr="00883399">
        <w:rPr>
          <w:sz w:val="28"/>
        </w:rPr>
        <w:t xml:space="preserve">  Representative data for PEM</w:t>
      </w:r>
      <w:bookmarkEnd w:id="138"/>
      <w:bookmarkEnd w:id="139"/>
    </w:p>
    <w:p w14:paraId="67D70E2B" w14:textId="77777777" w:rsidR="00872C03" w:rsidRPr="00883399" w:rsidRDefault="00872C03" w:rsidP="00872C03">
      <w:pPr>
        <w:pStyle w:val="subsection"/>
        <w:rPr>
          <w:sz w:val="24"/>
        </w:rPr>
      </w:pPr>
      <w:r w:rsidRPr="00883399">
        <w:rPr>
          <w:sz w:val="24"/>
        </w:rPr>
        <w:tab/>
        <w:t>(1)</w:t>
      </w:r>
      <w:r w:rsidRPr="00883399">
        <w:rPr>
          <w:sz w:val="24"/>
        </w:rPr>
        <w:tab/>
        <w:t>For paragraph 1.29(d), sampling by PEM must be undertaken during the year for a sufficient duration to produce representative data that may be reliably extrapolated to provide estimates of emissions across the full range of operating conditions for that year.</w:t>
      </w:r>
    </w:p>
    <w:p w14:paraId="404775C4" w14:textId="77777777" w:rsidR="00872C03" w:rsidRPr="00883399" w:rsidRDefault="00872C03" w:rsidP="00872C03">
      <w:pPr>
        <w:pStyle w:val="subsection"/>
        <w:rPr>
          <w:sz w:val="24"/>
        </w:rPr>
      </w:pPr>
      <w:r w:rsidRPr="00883399">
        <w:rPr>
          <w:sz w:val="24"/>
        </w:rPr>
        <w:tab/>
        <w:t>(2)</w:t>
      </w:r>
      <w:r w:rsidRPr="00883399">
        <w:rPr>
          <w:sz w:val="24"/>
        </w:rPr>
        <w:tab/>
        <w:t>Emission estimates using PEM equipment must also be consistent with the principles in section 1.13.</w:t>
      </w:r>
    </w:p>
    <w:p w14:paraId="107DBA7F" w14:textId="54E2A5E9" w:rsidR="00872C03" w:rsidRPr="00883399" w:rsidRDefault="00872C03" w:rsidP="00872C03">
      <w:pPr>
        <w:pStyle w:val="ActHead3"/>
        <w:pageBreakBefore/>
        <w:rPr>
          <w:sz w:val="32"/>
        </w:rPr>
      </w:pPr>
      <w:bookmarkStart w:id="140" w:name="_Toc423516730"/>
      <w:bookmarkStart w:id="141" w:name="_Toc495652642"/>
      <w:r w:rsidRPr="00883399">
        <w:rPr>
          <w:rStyle w:val="CharDivNo"/>
          <w:sz w:val="32"/>
        </w:rPr>
        <w:lastRenderedPageBreak/>
        <w:t>Division 1.3.4</w:t>
      </w:r>
      <w:r w:rsidRPr="00883399">
        <w:rPr>
          <w:sz w:val="32"/>
        </w:rPr>
        <w:t>—</w:t>
      </w:r>
      <w:r w:rsidRPr="00883399">
        <w:rPr>
          <w:rStyle w:val="CharDivText"/>
          <w:sz w:val="32"/>
        </w:rPr>
        <w:t>Performance characteristics of equipment</w:t>
      </w:r>
      <w:bookmarkEnd w:id="140"/>
      <w:bookmarkEnd w:id="141"/>
    </w:p>
    <w:p w14:paraId="426848E4" w14:textId="77777777" w:rsidR="00872C03" w:rsidRPr="00883399" w:rsidRDefault="00872C03" w:rsidP="00872C03">
      <w:pPr>
        <w:pStyle w:val="Header"/>
        <w:rPr>
          <w:sz w:val="18"/>
        </w:rPr>
      </w:pPr>
      <w:r w:rsidRPr="00883399">
        <w:rPr>
          <w:rStyle w:val="CharSubdNo"/>
          <w:sz w:val="18"/>
        </w:rPr>
        <w:t xml:space="preserve"> </w:t>
      </w:r>
      <w:r w:rsidRPr="00883399">
        <w:rPr>
          <w:rStyle w:val="CharSubdText"/>
          <w:sz w:val="18"/>
        </w:rPr>
        <w:t xml:space="preserve"> </w:t>
      </w:r>
    </w:p>
    <w:p w14:paraId="35C139DB" w14:textId="75AB147D" w:rsidR="00872C03" w:rsidRPr="00883399" w:rsidRDefault="00872C03" w:rsidP="00872C03">
      <w:pPr>
        <w:pStyle w:val="ActHead5"/>
        <w:rPr>
          <w:sz w:val="28"/>
        </w:rPr>
      </w:pPr>
      <w:bookmarkStart w:id="142" w:name="_Toc423516731"/>
      <w:bookmarkStart w:id="143" w:name="_Toc495652643"/>
      <w:r w:rsidRPr="00883399">
        <w:rPr>
          <w:rStyle w:val="CharSectno"/>
          <w:sz w:val="28"/>
        </w:rPr>
        <w:t>1.34</w:t>
      </w:r>
      <w:r w:rsidRPr="00883399">
        <w:rPr>
          <w:sz w:val="28"/>
        </w:rPr>
        <w:t xml:space="preserve">  Performance characteristics of CEM or PEM equipment</w:t>
      </w:r>
      <w:bookmarkEnd w:id="142"/>
      <w:bookmarkEnd w:id="143"/>
    </w:p>
    <w:p w14:paraId="50D55708" w14:textId="77777777" w:rsidR="00872C03" w:rsidRPr="00883399" w:rsidRDefault="00872C03" w:rsidP="00872C03">
      <w:pPr>
        <w:pStyle w:val="subsection"/>
        <w:rPr>
          <w:sz w:val="24"/>
        </w:rPr>
      </w:pPr>
      <w:r w:rsidRPr="00883399">
        <w:rPr>
          <w:sz w:val="24"/>
        </w:rPr>
        <w:tab/>
        <w:t>(1)</w:t>
      </w:r>
      <w:r w:rsidRPr="00883399">
        <w:rPr>
          <w:sz w:val="24"/>
        </w:rPr>
        <w:tab/>
        <w:t>The performance characteristics of CEM or PEM equipment must be measured in accordance with this section.</w:t>
      </w:r>
    </w:p>
    <w:p w14:paraId="2378AAE5" w14:textId="77777777" w:rsidR="00872C03" w:rsidRPr="00883399" w:rsidRDefault="00872C03" w:rsidP="00872C03">
      <w:pPr>
        <w:pStyle w:val="subsection"/>
        <w:rPr>
          <w:sz w:val="24"/>
        </w:rPr>
      </w:pPr>
      <w:r w:rsidRPr="00883399">
        <w:rPr>
          <w:sz w:val="24"/>
        </w:rPr>
        <w:tab/>
        <w:t>(2)</w:t>
      </w:r>
      <w:r w:rsidRPr="00883399">
        <w:rPr>
          <w:sz w:val="24"/>
        </w:rPr>
        <w:tab/>
        <w:t>The test procedure specified in an appropriate standard must be used for measuring the performance characteristics of CEM or PEM equipment.</w:t>
      </w:r>
    </w:p>
    <w:p w14:paraId="6740D6A0" w14:textId="77777777" w:rsidR="00872C03" w:rsidRPr="00883399" w:rsidRDefault="00872C03" w:rsidP="00872C03">
      <w:pPr>
        <w:pStyle w:val="subsection"/>
        <w:rPr>
          <w:sz w:val="24"/>
        </w:rPr>
      </w:pPr>
      <w:r w:rsidRPr="00883399">
        <w:rPr>
          <w:sz w:val="24"/>
        </w:rPr>
        <w:tab/>
        <w:t>(3)</w:t>
      </w:r>
      <w:r w:rsidRPr="00883399">
        <w:rPr>
          <w:sz w:val="24"/>
        </w:rPr>
        <w:tab/>
        <w:t>For the calibration of CEM or PEM equipment, the test procedure must be:</w:t>
      </w:r>
    </w:p>
    <w:p w14:paraId="3D76A43F" w14:textId="77777777" w:rsidR="00872C03" w:rsidRPr="00883399" w:rsidRDefault="00872C03" w:rsidP="00872C03">
      <w:pPr>
        <w:pStyle w:val="paragraph"/>
        <w:rPr>
          <w:sz w:val="24"/>
        </w:rPr>
      </w:pPr>
      <w:r w:rsidRPr="00883399">
        <w:rPr>
          <w:sz w:val="24"/>
        </w:rPr>
        <w:tab/>
        <w:t>(a)</w:t>
      </w:r>
      <w:r w:rsidRPr="00883399">
        <w:rPr>
          <w:sz w:val="24"/>
        </w:rPr>
        <w:tab/>
        <w:t>undertaken by an accredited laboratory; or</w:t>
      </w:r>
    </w:p>
    <w:p w14:paraId="0B87E2DA" w14:textId="77777777" w:rsidR="00872C03" w:rsidRPr="00883399" w:rsidRDefault="00872C03" w:rsidP="00872C03">
      <w:pPr>
        <w:pStyle w:val="paragraph"/>
        <w:rPr>
          <w:sz w:val="24"/>
        </w:rPr>
      </w:pPr>
      <w:r w:rsidRPr="00883399">
        <w:rPr>
          <w:sz w:val="24"/>
        </w:rPr>
        <w:tab/>
        <w:t>(b)</w:t>
      </w:r>
      <w:r w:rsidRPr="00883399">
        <w:rPr>
          <w:sz w:val="24"/>
        </w:rPr>
        <w:tab/>
        <w:t>undertaken by a laboratory that meets requirements equivalent to ISO 17025; or</w:t>
      </w:r>
    </w:p>
    <w:p w14:paraId="77167020" w14:textId="77777777" w:rsidR="00872C03" w:rsidRPr="00883399" w:rsidRDefault="00872C03" w:rsidP="00872C03">
      <w:pPr>
        <w:pStyle w:val="paragraph"/>
        <w:rPr>
          <w:sz w:val="24"/>
        </w:rPr>
      </w:pPr>
      <w:r w:rsidRPr="00883399">
        <w:rPr>
          <w:sz w:val="24"/>
        </w:rPr>
        <w:tab/>
        <w:t>(c)</w:t>
      </w:r>
      <w:r w:rsidRPr="00883399">
        <w:rPr>
          <w:sz w:val="24"/>
        </w:rPr>
        <w:tab/>
        <w:t>undertaken in accordance with applicable State or Territory legislation.</w:t>
      </w:r>
    </w:p>
    <w:p w14:paraId="32D87EE7" w14:textId="77777777" w:rsidR="00872C03" w:rsidRPr="00883399" w:rsidRDefault="00872C03" w:rsidP="00872C03">
      <w:pPr>
        <w:pStyle w:val="subsection"/>
        <w:rPr>
          <w:sz w:val="24"/>
        </w:rPr>
      </w:pPr>
      <w:r w:rsidRPr="00883399">
        <w:rPr>
          <w:sz w:val="24"/>
        </w:rPr>
        <w:tab/>
        <w:t>(4)</w:t>
      </w:r>
      <w:r w:rsidRPr="00883399">
        <w:rPr>
          <w:sz w:val="24"/>
        </w:rPr>
        <w:tab/>
        <w:t>As a minimum requirement, a cylinder of calibration gas must be certified by an accredited laboratory accredited to ISO Guide 34:2000 as being within 2% of the concentration specified on the cylinder label.</w:t>
      </w:r>
    </w:p>
    <w:p w14:paraId="36892063" w14:textId="538FA756" w:rsidR="00872C03" w:rsidRPr="00883399" w:rsidRDefault="00872C03" w:rsidP="00872C03">
      <w:pPr>
        <w:pStyle w:val="ActHead1"/>
        <w:pageBreakBefore/>
        <w:rPr>
          <w:sz w:val="40"/>
        </w:rPr>
      </w:pPr>
      <w:bookmarkStart w:id="144" w:name="_Toc423516732"/>
      <w:bookmarkStart w:id="145" w:name="_Toc495652644"/>
      <w:r w:rsidRPr="00883399">
        <w:rPr>
          <w:rStyle w:val="CharChapNo"/>
          <w:sz w:val="40"/>
        </w:rPr>
        <w:lastRenderedPageBreak/>
        <w:t>Chapter 2</w:t>
      </w:r>
      <w:r w:rsidRPr="00883399">
        <w:rPr>
          <w:sz w:val="40"/>
        </w:rPr>
        <w:t>—</w:t>
      </w:r>
      <w:r w:rsidRPr="00883399">
        <w:rPr>
          <w:rStyle w:val="CharChapText"/>
          <w:sz w:val="40"/>
        </w:rPr>
        <w:t>Fuel combustion</w:t>
      </w:r>
      <w:bookmarkEnd w:id="144"/>
      <w:bookmarkEnd w:id="145"/>
    </w:p>
    <w:p w14:paraId="45AC3FD8" w14:textId="3DA7E6B6" w:rsidR="00872C03" w:rsidRPr="00883399" w:rsidRDefault="00872C03" w:rsidP="00872C03">
      <w:pPr>
        <w:pStyle w:val="ActHead2"/>
        <w:rPr>
          <w:sz w:val="36"/>
        </w:rPr>
      </w:pPr>
      <w:bookmarkStart w:id="146" w:name="_Toc423516733"/>
      <w:bookmarkStart w:id="147" w:name="_Toc495652645"/>
      <w:r w:rsidRPr="00883399">
        <w:rPr>
          <w:rStyle w:val="CharPartNo"/>
          <w:sz w:val="36"/>
        </w:rPr>
        <w:t>Part 2.1</w:t>
      </w:r>
      <w:r w:rsidRPr="00883399">
        <w:rPr>
          <w:sz w:val="36"/>
        </w:rPr>
        <w:t>—</w:t>
      </w:r>
      <w:r w:rsidRPr="00883399">
        <w:rPr>
          <w:rStyle w:val="CharPartText"/>
          <w:sz w:val="36"/>
        </w:rPr>
        <w:t>Preliminary</w:t>
      </w:r>
      <w:bookmarkEnd w:id="146"/>
      <w:bookmarkEnd w:id="147"/>
    </w:p>
    <w:p w14:paraId="7C1A1F0D" w14:textId="77777777" w:rsidR="00872C03" w:rsidRPr="00883399" w:rsidRDefault="00872C03" w:rsidP="00872C03">
      <w:pPr>
        <w:pStyle w:val="Header"/>
        <w:rPr>
          <w:sz w:val="18"/>
        </w:rPr>
      </w:pPr>
      <w:r w:rsidRPr="00883399">
        <w:rPr>
          <w:rStyle w:val="CharDivNo"/>
          <w:sz w:val="18"/>
        </w:rPr>
        <w:t xml:space="preserve"> </w:t>
      </w:r>
      <w:r w:rsidRPr="00883399">
        <w:rPr>
          <w:rStyle w:val="CharDivText"/>
          <w:sz w:val="18"/>
        </w:rPr>
        <w:t xml:space="preserve"> </w:t>
      </w:r>
    </w:p>
    <w:p w14:paraId="112630E8" w14:textId="1B7BDA76" w:rsidR="00872C03" w:rsidRPr="00883399" w:rsidRDefault="00872C03" w:rsidP="00872C03">
      <w:pPr>
        <w:pStyle w:val="ActHead5"/>
        <w:rPr>
          <w:sz w:val="28"/>
        </w:rPr>
      </w:pPr>
      <w:bookmarkStart w:id="148" w:name="_Toc423516734"/>
      <w:bookmarkStart w:id="149" w:name="_Toc495652646"/>
      <w:r w:rsidRPr="00883399">
        <w:rPr>
          <w:rStyle w:val="CharSectno"/>
          <w:sz w:val="28"/>
        </w:rPr>
        <w:t>2.1</w:t>
      </w:r>
      <w:r w:rsidRPr="00883399">
        <w:rPr>
          <w:sz w:val="28"/>
        </w:rPr>
        <w:t xml:space="preserve">  Outline of Chapter</w:t>
      </w:r>
      <w:bookmarkEnd w:id="148"/>
      <w:bookmarkEnd w:id="149"/>
    </w:p>
    <w:p w14:paraId="012EFF70" w14:textId="77777777" w:rsidR="00872C03" w:rsidRPr="00883399" w:rsidRDefault="00872C03" w:rsidP="00872C03">
      <w:pPr>
        <w:pStyle w:val="R1"/>
        <w:tabs>
          <w:tab w:val="clear" w:pos="794"/>
        </w:tabs>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The principle greenhouse gas generated by the combustion of fossil fuels for energy is carbon dioxide. The quantity of gas produced depends on the carbon content of the fuel and the degree to which the fuel is fully combusted. Small quantities of methane and nitrous oxide are also produced, depending on the actual combustion conditions. Methane may be generated when fuel is heated, but only partially burnt, and depends on combustion temperatures and the level of oxygen present. Nitrous oxide results from the reaction between nitrogen and oxygen in the combustion air.</w:t>
      </w:r>
    </w:p>
    <w:p w14:paraId="030A2649" w14:textId="77777777" w:rsidR="00872C03" w:rsidRPr="00883399" w:rsidRDefault="00872C03" w:rsidP="00872C03">
      <w:pPr>
        <w:pStyle w:val="R1"/>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 xml:space="preserve">The principle purpose of the combustion of fossil fuels in the Australian economy is for the consumption or use of energy. This chapter addresses the general case of the estimation of emissions from the combustion of fossil fuels for that purpose. </w:t>
      </w:r>
    </w:p>
    <w:p w14:paraId="376B73A5" w14:textId="77777777" w:rsidR="00872C03" w:rsidRPr="00883399" w:rsidRDefault="00872C03" w:rsidP="00872C03">
      <w:pPr>
        <w:pStyle w:val="subsection"/>
        <w:rPr>
          <w:sz w:val="24"/>
        </w:rPr>
      </w:pPr>
      <w:r w:rsidRPr="00883399">
        <w:rPr>
          <w:sz w:val="24"/>
        </w:rPr>
        <w:tab/>
      </w:r>
      <w:r w:rsidRPr="00883399">
        <w:rPr>
          <w:sz w:val="24"/>
        </w:rPr>
        <w:tab/>
        <w:t>This Chapter provides for the following matters:</w:t>
      </w:r>
    </w:p>
    <w:p w14:paraId="30405DF7" w14:textId="77777777" w:rsidR="00872C03" w:rsidRPr="00883399" w:rsidRDefault="00872C03" w:rsidP="00872C03">
      <w:pPr>
        <w:pStyle w:val="paragraph"/>
        <w:rPr>
          <w:sz w:val="24"/>
        </w:rPr>
      </w:pPr>
      <w:r w:rsidRPr="00883399">
        <w:rPr>
          <w:sz w:val="24"/>
        </w:rPr>
        <w:tab/>
        <w:t>(a)</w:t>
      </w:r>
      <w:r w:rsidRPr="00883399">
        <w:rPr>
          <w:sz w:val="24"/>
        </w:rPr>
        <w:tab/>
        <w:t>emissions released from the following sources:</w:t>
      </w:r>
    </w:p>
    <w:p w14:paraId="30618FDE" w14:textId="77777777" w:rsidR="00872C03" w:rsidRPr="00883399" w:rsidRDefault="00872C03" w:rsidP="00872C03">
      <w:pPr>
        <w:pStyle w:val="paragraphsub"/>
        <w:rPr>
          <w:sz w:val="24"/>
        </w:rPr>
      </w:pPr>
      <w:r w:rsidRPr="00883399">
        <w:rPr>
          <w:sz w:val="24"/>
        </w:rPr>
        <w:tab/>
        <w:t>(i)</w:t>
      </w:r>
      <w:r w:rsidRPr="00883399">
        <w:rPr>
          <w:sz w:val="24"/>
        </w:rPr>
        <w:tab/>
        <w:t>the combustion of solid fuels (see Part 2.2);</w:t>
      </w:r>
    </w:p>
    <w:p w14:paraId="29D907E6" w14:textId="77777777" w:rsidR="00872C03" w:rsidRPr="00883399" w:rsidRDefault="00872C03" w:rsidP="00872C03">
      <w:pPr>
        <w:pStyle w:val="paragraphsub"/>
        <w:rPr>
          <w:sz w:val="24"/>
        </w:rPr>
      </w:pPr>
      <w:r w:rsidRPr="00883399">
        <w:rPr>
          <w:sz w:val="24"/>
        </w:rPr>
        <w:tab/>
        <w:t>(ii)</w:t>
      </w:r>
      <w:r w:rsidRPr="00883399">
        <w:rPr>
          <w:sz w:val="24"/>
        </w:rPr>
        <w:tab/>
        <w:t>the combustion of gaseous fuels (Part 2.3);</w:t>
      </w:r>
    </w:p>
    <w:p w14:paraId="0610CAA4" w14:textId="77777777" w:rsidR="00872C03" w:rsidRPr="00883399" w:rsidRDefault="00872C03" w:rsidP="00872C03">
      <w:pPr>
        <w:pStyle w:val="paragraphsub"/>
        <w:rPr>
          <w:sz w:val="24"/>
        </w:rPr>
      </w:pPr>
      <w:r w:rsidRPr="00883399">
        <w:rPr>
          <w:sz w:val="24"/>
        </w:rPr>
        <w:tab/>
        <w:t>(iii)</w:t>
      </w:r>
      <w:r w:rsidRPr="00883399">
        <w:rPr>
          <w:sz w:val="24"/>
        </w:rPr>
        <w:tab/>
        <w:t>the combustion of liquid fuels (Part 2.4);</w:t>
      </w:r>
    </w:p>
    <w:p w14:paraId="4D3A9F03" w14:textId="77777777" w:rsidR="00872C03" w:rsidRPr="00883399" w:rsidRDefault="00872C03" w:rsidP="00872C03">
      <w:pPr>
        <w:pStyle w:val="paragraphsub"/>
        <w:rPr>
          <w:sz w:val="24"/>
        </w:rPr>
      </w:pPr>
      <w:r w:rsidRPr="00883399">
        <w:rPr>
          <w:sz w:val="24"/>
        </w:rPr>
        <w:tab/>
        <w:t>(iv)</w:t>
      </w:r>
      <w:r w:rsidRPr="00883399">
        <w:rPr>
          <w:sz w:val="24"/>
        </w:rPr>
        <w:tab/>
        <w:t>fuel use by certain industries (Part 2.5);</w:t>
      </w:r>
    </w:p>
    <w:p w14:paraId="5CF32116" w14:textId="77777777" w:rsidR="00872C03" w:rsidRPr="00883399" w:rsidRDefault="00872C03" w:rsidP="00872C03">
      <w:pPr>
        <w:pStyle w:val="paragraph"/>
        <w:rPr>
          <w:sz w:val="24"/>
        </w:rPr>
      </w:pPr>
      <w:r w:rsidRPr="00883399">
        <w:rPr>
          <w:sz w:val="24"/>
        </w:rPr>
        <w:tab/>
        <w:t>(b)</w:t>
      </w:r>
      <w:r w:rsidRPr="00883399">
        <w:rPr>
          <w:sz w:val="24"/>
        </w:rPr>
        <w:tab/>
        <w:t>the measurement of fuels in blended fuels (Part 2.6);</w:t>
      </w:r>
    </w:p>
    <w:p w14:paraId="76493184" w14:textId="77777777" w:rsidR="00872C03" w:rsidRPr="00883399" w:rsidRDefault="00872C03" w:rsidP="00872C03">
      <w:pPr>
        <w:pStyle w:val="paragraph"/>
        <w:rPr>
          <w:sz w:val="24"/>
        </w:rPr>
      </w:pPr>
      <w:r w:rsidRPr="00883399">
        <w:rPr>
          <w:sz w:val="24"/>
        </w:rPr>
        <w:tab/>
        <w:t>(c)</w:t>
      </w:r>
      <w:r w:rsidRPr="00883399">
        <w:rPr>
          <w:sz w:val="24"/>
        </w:rPr>
        <w:tab/>
        <w:t>the estimation of energy for certain purposes (Part 2.7).</w:t>
      </w:r>
    </w:p>
    <w:p w14:paraId="70FD7DB3" w14:textId="77777777" w:rsidR="00872C03" w:rsidRPr="00883399" w:rsidRDefault="00872C03" w:rsidP="00872C03">
      <w:pPr>
        <w:pStyle w:val="R1"/>
        <w:keepNext/>
        <w:spacing w:before="240" w:line="312" w:lineRule="auto"/>
        <w:ind w:left="0" w:firstLine="0"/>
        <w:rPr>
          <w:rFonts w:ascii="Arial" w:hAnsi="Arial" w:cs="Arial"/>
          <w:i/>
          <w:color w:val="000000"/>
          <w:sz w:val="22"/>
          <w:szCs w:val="22"/>
        </w:rPr>
      </w:pPr>
      <w:r w:rsidRPr="00883399">
        <w:rPr>
          <w:rFonts w:ascii="Arial" w:hAnsi="Arial" w:cs="Arial"/>
          <w:i/>
          <w:color w:val="000000"/>
          <w:sz w:val="22"/>
          <w:szCs w:val="22"/>
        </w:rPr>
        <w:t>Reporting context</w:t>
      </w:r>
    </w:p>
    <w:p w14:paraId="47CC39D5" w14:textId="77777777" w:rsidR="00872C03" w:rsidRPr="00883399" w:rsidRDefault="00872C03" w:rsidP="00872C03">
      <w:pPr>
        <w:pStyle w:val="R1"/>
        <w:keepNext/>
        <w:tabs>
          <w:tab w:val="clear" w:pos="794"/>
        </w:tabs>
        <w:spacing w:before="240" w:line="312" w:lineRule="auto"/>
        <w:ind w:left="0" w:firstLine="0"/>
        <w:rPr>
          <w:rFonts w:ascii="Arial" w:hAnsi="Arial" w:cs="Arial"/>
          <w:color w:val="000000"/>
          <w:sz w:val="22"/>
          <w:szCs w:val="22"/>
        </w:rPr>
      </w:pPr>
      <w:r w:rsidRPr="00883399">
        <w:rPr>
          <w:rFonts w:ascii="Arial" w:hAnsi="Arial" w:cs="Arial"/>
          <w:color w:val="000000"/>
          <w:sz w:val="22"/>
          <w:szCs w:val="22"/>
        </w:rPr>
        <w:t xml:space="preserve">Under subdivision 4.4.5 of the </w:t>
      </w:r>
      <w:r w:rsidRPr="00883399">
        <w:rPr>
          <w:rFonts w:ascii="Arial" w:hAnsi="Arial" w:cs="Arial"/>
          <w:i/>
          <w:color w:val="000000"/>
          <w:sz w:val="22"/>
          <w:szCs w:val="22"/>
        </w:rPr>
        <w:t xml:space="preserve">Regulations, </w:t>
      </w:r>
      <w:r w:rsidRPr="00883399">
        <w:rPr>
          <w:rFonts w:ascii="Arial" w:hAnsi="Arial" w:cs="Arial"/>
          <w:color w:val="000000"/>
          <w:sz w:val="22"/>
          <w:szCs w:val="22"/>
        </w:rPr>
        <w:t xml:space="preserve">Reporters should submit data for each individual fuel type on the quantity of fuel consumed for: </w:t>
      </w:r>
    </w:p>
    <w:p w14:paraId="00D37953" w14:textId="77777777" w:rsidR="00872C03" w:rsidRPr="00883399" w:rsidRDefault="00872C03" w:rsidP="00515972">
      <w:pPr>
        <w:pStyle w:val="R2"/>
        <w:numPr>
          <w:ilvl w:val="0"/>
          <w:numId w:val="9"/>
        </w:numPr>
        <w:spacing w:before="240" w:line="240" w:lineRule="auto"/>
        <w:ind w:left="0" w:firstLine="0"/>
        <w:rPr>
          <w:rFonts w:ascii="Arial" w:hAnsi="Arial" w:cs="Arial"/>
          <w:sz w:val="22"/>
          <w:szCs w:val="22"/>
        </w:rPr>
      </w:pPr>
      <w:r w:rsidRPr="00883399">
        <w:rPr>
          <w:rFonts w:ascii="Arial" w:hAnsi="Arial" w:cs="Arial"/>
          <w:sz w:val="22"/>
          <w:szCs w:val="22"/>
        </w:rPr>
        <w:t>electricity generation;</w:t>
      </w:r>
    </w:p>
    <w:p w14:paraId="4BE20991" w14:textId="77777777" w:rsidR="00872C03" w:rsidRPr="00883399" w:rsidRDefault="00872C03" w:rsidP="00515972">
      <w:pPr>
        <w:pStyle w:val="R2"/>
        <w:numPr>
          <w:ilvl w:val="0"/>
          <w:numId w:val="9"/>
        </w:numPr>
        <w:spacing w:before="240" w:line="240" w:lineRule="auto"/>
        <w:ind w:left="0" w:firstLine="0"/>
        <w:rPr>
          <w:rFonts w:ascii="Arial" w:hAnsi="Arial" w:cs="Arial"/>
          <w:sz w:val="22"/>
          <w:szCs w:val="22"/>
        </w:rPr>
      </w:pPr>
      <w:r w:rsidRPr="00883399">
        <w:rPr>
          <w:rFonts w:ascii="Arial" w:hAnsi="Arial" w:cs="Arial"/>
          <w:sz w:val="22"/>
          <w:szCs w:val="22"/>
        </w:rPr>
        <w:t>transport (excluding international bunker fuels);</w:t>
      </w:r>
    </w:p>
    <w:p w14:paraId="3995E428" w14:textId="77777777" w:rsidR="00872C03" w:rsidRPr="00883399" w:rsidRDefault="00872C03" w:rsidP="00515972">
      <w:pPr>
        <w:pStyle w:val="R2"/>
        <w:numPr>
          <w:ilvl w:val="0"/>
          <w:numId w:val="9"/>
        </w:numPr>
        <w:spacing w:before="240" w:line="240" w:lineRule="auto"/>
        <w:ind w:left="0" w:firstLine="0"/>
        <w:rPr>
          <w:rFonts w:ascii="Arial" w:hAnsi="Arial" w:cs="Arial"/>
          <w:sz w:val="22"/>
          <w:szCs w:val="22"/>
        </w:rPr>
      </w:pPr>
      <w:r w:rsidRPr="00883399">
        <w:rPr>
          <w:rFonts w:ascii="Arial" w:hAnsi="Arial" w:cs="Arial"/>
          <w:sz w:val="22"/>
          <w:szCs w:val="22"/>
        </w:rPr>
        <w:t>carbon reductants or feedstocks;</w:t>
      </w:r>
    </w:p>
    <w:p w14:paraId="465EA7BA" w14:textId="77777777" w:rsidR="00872C03" w:rsidRPr="00883399" w:rsidRDefault="00872C03" w:rsidP="00515972">
      <w:pPr>
        <w:pStyle w:val="R2"/>
        <w:numPr>
          <w:ilvl w:val="0"/>
          <w:numId w:val="9"/>
        </w:numPr>
        <w:spacing w:before="240" w:line="240" w:lineRule="auto"/>
        <w:ind w:left="0" w:firstLine="0"/>
        <w:rPr>
          <w:rFonts w:ascii="Arial" w:hAnsi="Arial" w:cs="Arial"/>
          <w:sz w:val="22"/>
          <w:szCs w:val="22"/>
        </w:rPr>
      </w:pPr>
      <w:r w:rsidRPr="00883399">
        <w:rPr>
          <w:rFonts w:ascii="Arial" w:hAnsi="Arial" w:cs="Arial"/>
          <w:sz w:val="22"/>
          <w:szCs w:val="22"/>
        </w:rPr>
        <w:t xml:space="preserve">other stationary energy purposes; and </w:t>
      </w:r>
    </w:p>
    <w:p w14:paraId="38555234" w14:textId="77777777" w:rsidR="00872C03" w:rsidRPr="00883399" w:rsidRDefault="00872C03" w:rsidP="00515972">
      <w:pPr>
        <w:pStyle w:val="R2"/>
        <w:numPr>
          <w:ilvl w:val="0"/>
          <w:numId w:val="9"/>
        </w:numPr>
        <w:spacing w:before="240" w:line="240" w:lineRule="auto"/>
        <w:ind w:left="0" w:firstLine="0"/>
        <w:rPr>
          <w:rFonts w:ascii="Arial" w:hAnsi="Arial" w:cs="Arial"/>
          <w:sz w:val="22"/>
          <w:szCs w:val="22"/>
        </w:rPr>
      </w:pPr>
      <w:r w:rsidRPr="00883399">
        <w:rPr>
          <w:rFonts w:ascii="Arial" w:hAnsi="Arial" w:cs="Arial"/>
          <w:sz w:val="22"/>
          <w:szCs w:val="22"/>
        </w:rPr>
        <w:lastRenderedPageBreak/>
        <w:t>fuels consumed without combustion.</w:t>
      </w:r>
    </w:p>
    <w:p w14:paraId="3C3F613E" w14:textId="77777777" w:rsidR="00872C03" w:rsidRPr="00883399" w:rsidRDefault="00872C03" w:rsidP="00872C03">
      <w:pPr>
        <w:pStyle w:val="R1"/>
        <w:spacing w:before="240" w:line="312" w:lineRule="auto"/>
        <w:ind w:left="0" w:firstLine="0"/>
        <w:rPr>
          <w:rFonts w:ascii="Arial" w:hAnsi="Arial" w:cs="Arial"/>
          <w:color w:val="000000"/>
          <w:sz w:val="22"/>
          <w:szCs w:val="22"/>
        </w:rPr>
      </w:pPr>
      <w:r w:rsidRPr="00883399">
        <w:rPr>
          <w:rFonts w:ascii="Arial" w:hAnsi="Arial" w:cs="Arial"/>
          <w:color w:val="000000"/>
          <w:sz w:val="22"/>
          <w:szCs w:val="22"/>
        </w:rPr>
        <w:t>For each fuel type the Reporter should also submit:</w:t>
      </w:r>
    </w:p>
    <w:p w14:paraId="668264E2" w14:textId="77777777" w:rsidR="00872C03" w:rsidRPr="00883399" w:rsidRDefault="00872C03" w:rsidP="00515972">
      <w:pPr>
        <w:pStyle w:val="R1"/>
        <w:numPr>
          <w:ilvl w:val="0"/>
          <w:numId w:val="10"/>
        </w:numPr>
        <w:spacing w:before="240" w:line="240" w:lineRule="auto"/>
        <w:ind w:left="0" w:firstLine="0"/>
        <w:rPr>
          <w:rFonts w:ascii="Arial" w:hAnsi="Arial" w:cs="Arial"/>
          <w:color w:val="000000"/>
          <w:sz w:val="22"/>
          <w:szCs w:val="22"/>
        </w:rPr>
      </w:pPr>
      <w:r w:rsidRPr="00883399">
        <w:rPr>
          <w:rFonts w:ascii="Arial" w:hAnsi="Arial" w:cs="Arial"/>
          <w:color w:val="000000"/>
          <w:sz w:val="22"/>
          <w:szCs w:val="22"/>
        </w:rPr>
        <w:t xml:space="preserve">the amount of fuel consumed for each purpose (a) to (e); </w:t>
      </w:r>
    </w:p>
    <w:p w14:paraId="33651861" w14:textId="77777777" w:rsidR="00872C03" w:rsidRPr="00883399" w:rsidRDefault="00872C03" w:rsidP="00515972">
      <w:pPr>
        <w:pStyle w:val="R1"/>
        <w:numPr>
          <w:ilvl w:val="0"/>
          <w:numId w:val="10"/>
        </w:numPr>
        <w:spacing w:before="240" w:line="240" w:lineRule="auto"/>
        <w:ind w:left="0" w:firstLine="0"/>
        <w:rPr>
          <w:rFonts w:ascii="Arial" w:hAnsi="Arial" w:cs="Arial"/>
          <w:color w:val="000000"/>
          <w:sz w:val="22"/>
          <w:szCs w:val="22"/>
        </w:rPr>
      </w:pPr>
      <w:r w:rsidRPr="00883399">
        <w:rPr>
          <w:rFonts w:ascii="Arial" w:hAnsi="Arial" w:cs="Arial"/>
          <w:color w:val="000000"/>
          <w:sz w:val="22"/>
          <w:szCs w:val="22"/>
        </w:rPr>
        <w:t xml:space="preserve">the emissions of each greenhouse gas for each purpose (a) to (d); </w:t>
      </w:r>
    </w:p>
    <w:p w14:paraId="486518C1" w14:textId="77777777" w:rsidR="00872C03" w:rsidRPr="00883399" w:rsidRDefault="00872C03" w:rsidP="00515972">
      <w:pPr>
        <w:pStyle w:val="R1"/>
        <w:numPr>
          <w:ilvl w:val="0"/>
          <w:numId w:val="10"/>
        </w:numPr>
        <w:spacing w:before="240" w:line="240" w:lineRule="auto"/>
        <w:ind w:left="0" w:firstLine="0"/>
        <w:rPr>
          <w:rFonts w:ascii="Arial" w:hAnsi="Arial" w:cs="Arial"/>
          <w:color w:val="000000"/>
          <w:sz w:val="22"/>
          <w:szCs w:val="22"/>
        </w:rPr>
      </w:pPr>
      <w:r w:rsidRPr="00883399">
        <w:rPr>
          <w:rFonts w:ascii="Arial" w:hAnsi="Arial" w:cs="Arial"/>
          <w:color w:val="000000"/>
          <w:sz w:val="22"/>
          <w:szCs w:val="22"/>
        </w:rPr>
        <w:t xml:space="preserve">the Method used to estimate the emissions (a) to (d); and  </w:t>
      </w:r>
    </w:p>
    <w:p w14:paraId="697383F2" w14:textId="77777777" w:rsidR="00872C03" w:rsidRPr="00883399" w:rsidRDefault="00872C03" w:rsidP="00515972">
      <w:pPr>
        <w:pStyle w:val="R1"/>
        <w:numPr>
          <w:ilvl w:val="0"/>
          <w:numId w:val="10"/>
        </w:numPr>
        <w:spacing w:before="240" w:line="240" w:lineRule="auto"/>
        <w:ind w:left="0" w:firstLine="0"/>
        <w:rPr>
          <w:rFonts w:ascii="Arial" w:hAnsi="Arial" w:cs="Arial"/>
          <w:color w:val="000000"/>
          <w:sz w:val="22"/>
          <w:szCs w:val="22"/>
        </w:rPr>
      </w:pPr>
      <w:r w:rsidRPr="00883399">
        <w:rPr>
          <w:rFonts w:ascii="Arial" w:hAnsi="Arial" w:cs="Arial"/>
          <w:color w:val="000000"/>
          <w:sz w:val="22"/>
          <w:szCs w:val="22"/>
        </w:rPr>
        <w:t>the criterion used to estimate the amount of fuel consumed (a) to (e).</w:t>
      </w:r>
    </w:p>
    <w:p w14:paraId="0F99C0F8" w14:textId="77777777" w:rsidR="00872C03" w:rsidRPr="00883399" w:rsidRDefault="00872C03" w:rsidP="00872C03">
      <w:pPr>
        <w:pStyle w:val="R2"/>
        <w:spacing w:line="312" w:lineRule="auto"/>
        <w:ind w:left="0" w:firstLine="0"/>
        <w:rPr>
          <w:rFonts w:ascii="Arial" w:hAnsi="Arial" w:cs="Arial"/>
          <w:sz w:val="22"/>
          <w:szCs w:val="22"/>
        </w:rPr>
      </w:pPr>
      <w:r w:rsidRPr="00883399">
        <w:rPr>
          <w:rFonts w:ascii="Arial" w:hAnsi="Arial" w:cs="Arial"/>
          <w:sz w:val="22"/>
          <w:szCs w:val="22"/>
        </w:rPr>
        <w:t>More detail on the reporting requirements are set out in Part 2.7A.</w:t>
      </w:r>
    </w:p>
    <w:p w14:paraId="188CACB5" w14:textId="77777777" w:rsidR="00872C03" w:rsidRPr="00883399" w:rsidRDefault="00872C03" w:rsidP="00872C03">
      <w:pPr>
        <w:pStyle w:val="paragraph"/>
        <w:rPr>
          <w:sz w:val="24"/>
        </w:rPr>
      </w:pPr>
    </w:p>
    <w:p w14:paraId="67CA6196" w14:textId="39055BA3" w:rsidR="00872C03" w:rsidRPr="00883399" w:rsidRDefault="00872C03" w:rsidP="00872C03">
      <w:pPr>
        <w:pStyle w:val="ActHead2"/>
        <w:pageBreakBefore/>
        <w:rPr>
          <w:sz w:val="36"/>
        </w:rPr>
      </w:pPr>
      <w:bookmarkStart w:id="150" w:name="_Toc423516735"/>
      <w:bookmarkStart w:id="151" w:name="_Toc495652647"/>
      <w:r w:rsidRPr="00883399">
        <w:rPr>
          <w:rStyle w:val="CharPartNo"/>
          <w:sz w:val="36"/>
        </w:rPr>
        <w:lastRenderedPageBreak/>
        <w:t>Part 2.2</w:t>
      </w:r>
      <w:r w:rsidRPr="00883399">
        <w:rPr>
          <w:sz w:val="36"/>
        </w:rPr>
        <w:t>—</w:t>
      </w:r>
      <w:r w:rsidRPr="00883399">
        <w:rPr>
          <w:rStyle w:val="CharPartText"/>
          <w:sz w:val="36"/>
        </w:rPr>
        <w:t>Emissions released from the combustion of solid fuels</w:t>
      </w:r>
      <w:bookmarkEnd w:id="150"/>
      <w:bookmarkEnd w:id="151"/>
    </w:p>
    <w:p w14:paraId="5A0E9C6B" w14:textId="7A6972C1" w:rsidR="00872C03" w:rsidRPr="00883399" w:rsidRDefault="00872C03" w:rsidP="00872C03">
      <w:pPr>
        <w:pStyle w:val="ActHead3"/>
        <w:rPr>
          <w:sz w:val="32"/>
        </w:rPr>
      </w:pPr>
      <w:bookmarkStart w:id="152" w:name="_Toc423516736"/>
      <w:bookmarkStart w:id="153" w:name="_Toc495652648"/>
      <w:r w:rsidRPr="00883399">
        <w:rPr>
          <w:rStyle w:val="CharDivNo"/>
          <w:sz w:val="32"/>
        </w:rPr>
        <w:t>Division 2.2.1</w:t>
      </w:r>
      <w:r w:rsidRPr="00883399">
        <w:rPr>
          <w:sz w:val="32"/>
        </w:rPr>
        <w:t>—</w:t>
      </w:r>
      <w:r w:rsidRPr="00883399">
        <w:rPr>
          <w:rStyle w:val="CharDivText"/>
          <w:sz w:val="32"/>
        </w:rPr>
        <w:t>Preliminary</w:t>
      </w:r>
      <w:bookmarkEnd w:id="152"/>
      <w:bookmarkEnd w:id="153"/>
    </w:p>
    <w:p w14:paraId="7D93A868" w14:textId="0AA50550" w:rsidR="00872C03" w:rsidRPr="00883399" w:rsidRDefault="00872C03" w:rsidP="00872C03">
      <w:pPr>
        <w:pStyle w:val="ActHead5"/>
        <w:rPr>
          <w:sz w:val="28"/>
        </w:rPr>
      </w:pPr>
      <w:bookmarkStart w:id="154" w:name="_Toc423516737"/>
      <w:bookmarkStart w:id="155" w:name="_Toc495652649"/>
      <w:r w:rsidRPr="00883399">
        <w:rPr>
          <w:rStyle w:val="CharSectno"/>
          <w:sz w:val="28"/>
        </w:rPr>
        <w:t>2.2</w:t>
      </w:r>
      <w:r w:rsidRPr="00883399">
        <w:rPr>
          <w:sz w:val="28"/>
        </w:rPr>
        <w:t xml:space="preserve">  Application</w:t>
      </w:r>
      <w:bookmarkEnd w:id="154"/>
      <w:bookmarkEnd w:id="155"/>
    </w:p>
    <w:p w14:paraId="24B0A16F" w14:textId="77777777" w:rsidR="00872C03" w:rsidRPr="00883399" w:rsidRDefault="00872C03" w:rsidP="00872C03">
      <w:pPr>
        <w:pStyle w:val="subsection"/>
      </w:pPr>
    </w:p>
    <w:p w14:paraId="272DD859" w14:textId="77777777" w:rsidR="00872C03" w:rsidRPr="00883399" w:rsidRDefault="00872C03" w:rsidP="00872C03">
      <w:pPr>
        <w:pStyle w:val="Default"/>
        <w:spacing w:before="120"/>
        <w:rPr>
          <w:rFonts w:ascii="Times New Roman" w:hAnsi="Times New Roman" w:cs="Times New Roman"/>
        </w:rPr>
      </w:pPr>
      <w:r w:rsidRPr="00883399">
        <w:rPr>
          <w:rFonts w:ascii="Arial" w:hAnsi="Arial" w:cs="Arial"/>
          <w:sz w:val="22"/>
          <w:szCs w:val="22"/>
        </w:rPr>
        <w:t>From the 2013-14 reporting year the measurement and reporting of emissions and energy associated with the combustion of a solid fuel is optional if the quantity of solid fuel combusted in a separate instance of a source is 1 tonne or less. Separate instance of a source is defined in section 1.9A. Amounts below the reporting threshold may still be reported if doing so is more efficient for the reporter.</w:t>
      </w:r>
    </w:p>
    <w:p w14:paraId="24D18A94" w14:textId="77777777" w:rsidR="00872C03" w:rsidRPr="00883399" w:rsidRDefault="00872C03" w:rsidP="00872C03">
      <w:pPr>
        <w:pStyle w:val="subsection"/>
        <w:rPr>
          <w:sz w:val="24"/>
        </w:rPr>
      </w:pPr>
      <w:r w:rsidRPr="00883399">
        <w:rPr>
          <w:sz w:val="24"/>
        </w:rPr>
        <w:tab/>
      </w:r>
      <w:r w:rsidRPr="00883399">
        <w:rPr>
          <w:sz w:val="24"/>
        </w:rPr>
        <w:tab/>
        <w:t>This Part applies to emissions released from the combustion of solid fuel in relation to a separate instance of a source if the amount of solid fuel combusted in relation to the separate instance of the source is more than 1 tonne.</w:t>
      </w:r>
    </w:p>
    <w:p w14:paraId="15BE04BE" w14:textId="49F6491C" w:rsidR="00872C03" w:rsidRPr="00883399" w:rsidRDefault="00872C03" w:rsidP="00872C03">
      <w:pPr>
        <w:pStyle w:val="ActHead5"/>
        <w:rPr>
          <w:sz w:val="28"/>
        </w:rPr>
      </w:pPr>
      <w:bookmarkStart w:id="156" w:name="_Toc423516738"/>
      <w:bookmarkStart w:id="157" w:name="_Toc495652650"/>
      <w:r w:rsidRPr="00883399">
        <w:rPr>
          <w:rStyle w:val="CharSectno"/>
          <w:sz w:val="28"/>
        </w:rPr>
        <w:t>2.3</w:t>
      </w:r>
      <w:r w:rsidRPr="00883399">
        <w:rPr>
          <w:sz w:val="28"/>
        </w:rPr>
        <w:t xml:space="preserve">  Available methods for estimating emissions of carbon dioxide, methane and nitrous oxide</w:t>
      </w:r>
      <w:bookmarkEnd w:id="156"/>
      <w:bookmarkEnd w:id="157"/>
    </w:p>
    <w:p w14:paraId="35C8B09C" w14:textId="77777777" w:rsidR="00872C03" w:rsidRPr="00883399" w:rsidRDefault="00872C03" w:rsidP="00872C03">
      <w:pPr>
        <w:pStyle w:val="subsection"/>
        <w:rPr>
          <w:sz w:val="24"/>
        </w:rPr>
      </w:pPr>
      <w:r w:rsidRPr="00883399">
        <w:rPr>
          <w:sz w:val="24"/>
        </w:rPr>
        <w:tab/>
        <w:t>(1)</w:t>
      </w:r>
      <w:r w:rsidRPr="00883399">
        <w:rPr>
          <w:sz w:val="24"/>
        </w:rPr>
        <w:tab/>
        <w:t xml:space="preserve">Subject to section 1.18, for estimating emissions released from the combustion of a solid fuel consumed from the operation of a facility during a year: </w:t>
      </w:r>
    </w:p>
    <w:p w14:paraId="6F2C245D" w14:textId="77777777" w:rsidR="00872C03" w:rsidRPr="00883399" w:rsidRDefault="00872C03" w:rsidP="00872C03">
      <w:pPr>
        <w:pStyle w:val="paragraph"/>
        <w:rPr>
          <w:sz w:val="24"/>
        </w:rPr>
      </w:pPr>
      <w:r w:rsidRPr="00883399">
        <w:rPr>
          <w:sz w:val="24"/>
        </w:rPr>
        <w:tab/>
        <w:t>(a)</w:t>
      </w:r>
      <w:r w:rsidRPr="00883399">
        <w:rPr>
          <w:sz w:val="24"/>
        </w:rPr>
        <w:tab/>
        <w:t>one of the following methods must be used for estimating emissions of carbon dioxide:</w:t>
      </w:r>
    </w:p>
    <w:p w14:paraId="0B7BFFDF" w14:textId="77777777" w:rsidR="00872C03" w:rsidRPr="00883399" w:rsidRDefault="00872C03" w:rsidP="00872C03">
      <w:pPr>
        <w:pStyle w:val="paragraphsub"/>
        <w:rPr>
          <w:sz w:val="24"/>
        </w:rPr>
      </w:pPr>
      <w:r w:rsidRPr="00883399">
        <w:rPr>
          <w:sz w:val="24"/>
        </w:rPr>
        <w:tab/>
        <w:t>(i)</w:t>
      </w:r>
      <w:r w:rsidRPr="00883399">
        <w:rPr>
          <w:sz w:val="24"/>
        </w:rPr>
        <w:tab/>
        <w:t xml:space="preserve"> subject to subsection (3), method 1 under section 2.4;</w:t>
      </w:r>
    </w:p>
    <w:p w14:paraId="2F13B9B2" w14:textId="77777777" w:rsidR="00872C03" w:rsidRPr="00883399" w:rsidRDefault="00872C03" w:rsidP="00872C03">
      <w:pPr>
        <w:pStyle w:val="paragraphsub"/>
        <w:rPr>
          <w:sz w:val="24"/>
        </w:rPr>
      </w:pPr>
      <w:r w:rsidRPr="00883399">
        <w:rPr>
          <w:sz w:val="24"/>
        </w:rPr>
        <w:tab/>
        <w:t>(ii)</w:t>
      </w:r>
      <w:r w:rsidRPr="00883399">
        <w:rPr>
          <w:sz w:val="24"/>
        </w:rPr>
        <w:tab/>
        <w:t>method 2 using an oxidation factor under section 2.5 or an estimated oxidation factor under section 2.6;</w:t>
      </w:r>
    </w:p>
    <w:p w14:paraId="22C7B789" w14:textId="77777777" w:rsidR="00872C03" w:rsidRPr="00883399" w:rsidRDefault="00872C03" w:rsidP="00872C03">
      <w:pPr>
        <w:pStyle w:val="paragraphsub"/>
        <w:rPr>
          <w:sz w:val="24"/>
        </w:rPr>
      </w:pPr>
      <w:r w:rsidRPr="00883399">
        <w:rPr>
          <w:sz w:val="24"/>
        </w:rPr>
        <w:tab/>
        <w:t>(iii)</w:t>
      </w:r>
      <w:r w:rsidRPr="00883399">
        <w:rPr>
          <w:sz w:val="24"/>
        </w:rPr>
        <w:tab/>
        <w:t>method 3 using an oxidation factor or an estimated oxidation factor under section 2.12;</w:t>
      </w:r>
    </w:p>
    <w:p w14:paraId="62D8BC63" w14:textId="77777777" w:rsidR="00872C03" w:rsidRPr="00883399" w:rsidRDefault="00872C03" w:rsidP="00872C03">
      <w:pPr>
        <w:pStyle w:val="paragraphsub"/>
        <w:rPr>
          <w:sz w:val="24"/>
        </w:rPr>
      </w:pPr>
      <w:r w:rsidRPr="00883399">
        <w:rPr>
          <w:sz w:val="24"/>
        </w:rPr>
        <w:tab/>
        <w:t>(iv)</w:t>
      </w:r>
      <w:r w:rsidRPr="00883399">
        <w:rPr>
          <w:sz w:val="24"/>
        </w:rPr>
        <w:tab/>
        <w:t>method 4 under Part 1.3; and</w:t>
      </w:r>
    </w:p>
    <w:p w14:paraId="2FC015F5" w14:textId="77777777" w:rsidR="00872C03" w:rsidRPr="00883399" w:rsidRDefault="00872C03" w:rsidP="00872C03">
      <w:pPr>
        <w:pStyle w:val="paragraph"/>
        <w:rPr>
          <w:sz w:val="24"/>
        </w:rPr>
      </w:pPr>
      <w:r w:rsidRPr="00883399">
        <w:rPr>
          <w:sz w:val="24"/>
        </w:rPr>
        <w:tab/>
        <w:t>(b)</w:t>
      </w:r>
      <w:r w:rsidRPr="00883399">
        <w:rPr>
          <w:sz w:val="24"/>
        </w:rPr>
        <w:tab/>
        <w:t>method 1 under section 2.4 must be used for estimating emissions of methane and nitrous oxide.</w:t>
      </w:r>
    </w:p>
    <w:p w14:paraId="7717125F" w14:textId="77777777" w:rsidR="00872C03" w:rsidRPr="00883399" w:rsidRDefault="00872C03" w:rsidP="00872C03">
      <w:pPr>
        <w:pStyle w:val="subsection"/>
        <w:rPr>
          <w:sz w:val="24"/>
        </w:rPr>
      </w:pPr>
      <w:r w:rsidRPr="00883399">
        <w:rPr>
          <w:sz w:val="24"/>
        </w:rPr>
        <w:tab/>
        <w:t>(2)</w:t>
      </w:r>
      <w:r w:rsidRPr="00883399">
        <w:rPr>
          <w:sz w:val="24"/>
        </w:rPr>
        <w:tab/>
        <w:t>However, for incidental emissions another method may be used that is consistent with the principles in section 1.13.</w:t>
      </w:r>
    </w:p>
    <w:p w14:paraId="4B28B375" w14:textId="77777777" w:rsidR="00872C03" w:rsidRPr="00883399" w:rsidRDefault="00872C03" w:rsidP="00872C03">
      <w:pPr>
        <w:pStyle w:val="subsection"/>
        <w:rPr>
          <w:sz w:val="24"/>
        </w:rPr>
      </w:pPr>
      <w:r w:rsidRPr="00883399">
        <w:rPr>
          <w:sz w:val="24"/>
        </w:rPr>
        <w:tab/>
        <w:t>(3)</w:t>
      </w:r>
      <w:r w:rsidRPr="00883399">
        <w:rPr>
          <w:sz w:val="24"/>
        </w:rPr>
        <w:tab/>
        <w:t>Method 1 must not be used for estimating emissions of carbon dioxide for the main fuel combusted from the operation of the facility if:</w:t>
      </w:r>
    </w:p>
    <w:p w14:paraId="73796D89" w14:textId="77777777" w:rsidR="00872C03" w:rsidRPr="00883399" w:rsidRDefault="00872C03" w:rsidP="00872C03">
      <w:pPr>
        <w:pStyle w:val="paragraph"/>
        <w:rPr>
          <w:sz w:val="24"/>
        </w:rPr>
      </w:pPr>
      <w:r w:rsidRPr="00883399">
        <w:rPr>
          <w:sz w:val="24"/>
        </w:rPr>
        <w:lastRenderedPageBreak/>
        <w:tab/>
        <w:t>(a)</w:t>
      </w:r>
      <w:r w:rsidRPr="00883399">
        <w:rPr>
          <w:sz w:val="24"/>
        </w:rPr>
        <w:tab/>
        <w:t>the principal activity of the facility is electricity generation (ANZSIC industry classification and code 2611); and</w:t>
      </w:r>
    </w:p>
    <w:p w14:paraId="146C1F67" w14:textId="77777777" w:rsidR="00872C03" w:rsidRPr="00883399" w:rsidRDefault="00872C03" w:rsidP="00872C03">
      <w:pPr>
        <w:pStyle w:val="paragraph"/>
        <w:rPr>
          <w:sz w:val="24"/>
        </w:rPr>
      </w:pPr>
      <w:r w:rsidRPr="00883399">
        <w:rPr>
          <w:sz w:val="24"/>
        </w:rPr>
        <w:tab/>
        <w:t>(b)</w:t>
      </w:r>
      <w:r w:rsidRPr="00883399">
        <w:rPr>
          <w:sz w:val="24"/>
        </w:rPr>
        <w:tab/>
        <w:t>the generating unit:</w:t>
      </w:r>
    </w:p>
    <w:p w14:paraId="12FD64FF" w14:textId="77777777" w:rsidR="00872C03" w:rsidRPr="00883399" w:rsidRDefault="00872C03" w:rsidP="00872C03">
      <w:pPr>
        <w:pStyle w:val="paragraphsub"/>
        <w:rPr>
          <w:sz w:val="24"/>
        </w:rPr>
      </w:pPr>
      <w:r w:rsidRPr="00883399">
        <w:rPr>
          <w:sz w:val="24"/>
        </w:rPr>
        <w:tab/>
        <w:t>(i)</w:t>
      </w:r>
      <w:r w:rsidRPr="00883399">
        <w:rPr>
          <w:sz w:val="24"/>
        </w:rPr>
        <w:tab/>
        <w:t>has the capacity to produce 30 megawatts or more of electricity; and</w:t>
      </w:r>
    </w:p>
    <w:p w14:paraId="1E18556B" w14:textId="77777777" w:rsidR="00872C03" w:rsidRPr="00883399" w:rsidRDefault="00872C03" w:rsidP="00872C03">
      <w:pPr>
        <w:pStyle w:val="paragraphsub"/>
        <w:rPr>
          <w:sz w:val="24"/>
        </w:rPr>
      </w:pPr>
      <w:r w:rsidRPr="00883399">
        <w:rPr>
          <w:sz w:val="24"/>
        </w:rPr>
        <w:tab/>
        <w:t>(ii)</w:t>
      </w:r>
      <w:r w:rsidRPr="00883399">
        <w:rPr>
          <w:sz w:val="24"/>
        </w:rPr>
        <w:tab/>
        <w:t>generates more than 50 000 megawatt hours of electricity in a reporting year.</w:t>
      </w:r>
    </w:p>
    <w:p w14:paraId="2691A7FD" w14:textId="77777777" w:rsidR="00872C03" w:rsidRPr="00883399" w:rsidRDefault="00872C03" w:rsidP="00872C03">
      <w:pPr>
        <w:pStyle w:val="notetext"/>
        <w:rPr>
          <w:sz w:val="20"/>
        </w:rPr>
      </w:pPr>
      <w:r w:rsidRPr="00883399">
        <w:rPr>
          <w:sz w:val="20"/>
        </w:rPr>
        <w:t>Note:</w:t>
      </w:r>
      <w:r w:rsidRPr="00883399">
        <w:rPr>
          <w:sz w:val="20"/>
        </w:rPr>
        <w:tab/>
        <w:t>There is no method 2, 3 or 4 for paragraph (1)(b).</w:t>
      </w:r>
    </w:p>
    <w:p w14:paraId="3CE65EA4" w14:textId="6D894006" w:rsidR="00872C03" w:rsidRPr="00883399" w:rsidRDefault="00872C03" w:rsidP="00872C03">
      <w:pPr>
        <w:pStyle w:val="ActHead3"/>
        <w:pageBreakBefore/>
        <w:rPr>
          <w:sz w:val="32"/>
        </w:rPr>
      </w:pPr>
      <w:bookmarkStart w:id="158" w:name="_Toc423516739"/>
      <w:bookmarkStart w:id="159" w:name="_Toc495652651"/>
      <w:r w:rsidRPr="00883399">
        <w:rPr>
          <w:rStyle w:val="CharDivNo"/>
          <w:sz w:val="32"/>
        </w:rPr>
        <w:lastRenderedPageBreak/>
        <w:t>Division 2.2.2</w:t>
      </w:r>
      <w:r w:rsidRPr="00883399">
        <w:rPr>
          <w:sz w:val="32"/>
        </w:rPr>
        <w:t>—</w:t>
      </w:r>
      <w:r w:rsidRPr="00883399">
        <w:rPr>
          <w:rStyle w:val="CharDivText"/>
          <w:sz w:val="32"/>
        </w:rPr>
        <w:t>Method 1—emissions of carbon dioxide, methane and nitrous oxide from solid fuels</w:t>
      </w:r>
      <w:bookmarkEnd w:id="158"/>
      <w:bookmarkEnd w:id="159"/>
    </w:p>
    <w:p w14:paraId="6CC98939" w14:textId="38881562" w:rsidR="00872C03" w:rsidRPr="00883399" w:rsidRDefault="00872C03" w:rsidP="00872C03">
      <w:pPr>
        <w:pStyle w:val="ActHead5"/>
        <w:rPr>
          <w:sz w:val="28"/>
        </w:rPr>
      </w:pPr>
      <w:bookmarkStart w:id="160" w:name="_Toc423516740"/>
      <w:bookmarkStart w:id="161" w:name="_Toc495652652"/>
      <w:r w:rsidRPr="00883399">
        <w:rPr>
          <w:rStyle w:val="CharSectno"/>
          <w:sz w:val="28"/>
        </w:rPr>
        <w:t>2.4</w:t>
      </w:r>
      <w:r w:rsidRPr="00883399">
        <w:rPr>
          <w:sz w:val="28"/>
        </w:rPr>
        <w:t xml:space="preserve">  Method 1—solid fuels</w:t>
      </w:r>
      <w:bookmarkEnd w:id="160"/>
      <w:bookmarkEnd w:id="161"/>
    </w:p>
    <w:p w14:paraId="0AA25323" w14:textId="77777777" w:rsidR="00872C03" w:rsidRPr="00883399" w:rsidRDefault="00872C03" w:rsidP="00872C03">
      <w:pPr>
        <w:pStyle w:val="subsection"/>
      </w:pPr>
    </w:p>
    <w:p w14:paraId="105C09E9" w14:textId="77777777" w:rsidR="00872C03" w:rsidRPr="00883399" w:rsidRDefault="00872C03" w:rsidP="00872C03">
      <w:pPr>
        <w:pStyle w:val="R1"/>
        <w:tabs>
          <w:tab w:val="clear" w:pos="794"/>
          <w:tab w:val="right" w:pos="0"/>
        </w:tabs>
        <w:spacing w:before="240" w:line="312" w:lineRule="auto"/>
        <w:ind w:left="0" w:firstLine="0"/>
        <w:jc w:val="left"/>
        <w:outlineLvl w:val="0"/>
        <w:rPr>
          <w:rFonts w:ascii="Arial" w:hAnsi="Arial" w:cs="Arial"/>
          <w:color w:val="000000"/>
          <w:sz w:val="22"/>
          <w:szCs w:val="22"/>
        </w:rPr>
      </w:pPr>
      <w:r w:rsidRPr="00883399">
        <w:rPr>
          <w:rFonts w:ascii="Arial" w:hAnsi="Arial" w:cs="Arial"/>
          <w:color w:val="000000"/>
          <w:sz w:val="22"/>
          <w:szCs w:val="22"/>
        </w:rPr>
        <w:t xml:space="preserve">Method 1 is derived from the </w:t>
      </w:r>
      <w:r w:rsidRPr="00883399">
        <w:rPr>
          <w:rFonts w:ascii="Arial" w:hAnsi="Arial" w:cs="Arial"/>
          <w:i/>
          <w:color w:val="000000"/>
          <w:sz w:val="22"/>
          <w:szCs w:val="22"/>
        </w:rPr>
        <w:t>National Greenhouse Accounts</w:t>
      </w:r>
      <w:r w:rsidRPr="00883399">
        <w:rPr>
          <w:rFonts w:ascii="Arial" w:hAnsi="Arial" w:cs="Arial"/>
          <w:color w:val="000000"/>
          <w:sz w:val="22"/>
          <w:szCs w:val="22"/>
        </w:rPr>
        <w:t xml:space="preserve"> national methodology as published in the </w:t>
      </w:r>
      <w:r w:rsidRPr="00883399">
        <w:rPr>
          <w:rFonts w:ascii="Arial" w:hAnsi="Arial" w:cs="Arial"/>
          <w:i/>
          <w:color w:val="000000"/>
          <w:sz w:val="22"/>
          <w:szCs w:val="22"/>
        </w:rPr>
        <w:t>National Inventory Report</w:t>
      </w:r>
      <w:r w:rsidRPr="00883399">
        <w:rPr>
          <w:rFonts w:ascii="Arial" w:hAnsi="Arial" w:cs="Arial"/>
          <w:color w:val="000000"/>
          <w:sz w:val="22"/>
          <w:szCs w:val="22"/>
        </w:rPr>
        <w:t>.  Estimates of emissions from the combustion of individual solid fuel types are made by multiplying a (physical) quantity of fuel combusted by a fuel-specific energy content factor and a fuel-specific emission factor for each relevant greenhouse gas (in this case, carbon dioxide, methane and nitrous oxide).</w:t>
      </w:r>
    </w:p>
    <w:p w14:paraId="35F4D8DB" w14:textId="77777777" w:rsidR="00872C03" w:rsidRPr="00883399" w:rsidRDefault="00872C03" w:rsidP="00872C03">
      <w:pPr>
        <w:pStyle w:val="R1"/>
        <w:tabs>
          <w:tab w:val="clear" w:pos="794"/>
          <w:tab w:val="right" w:pos="0"/>
        </w:tabs>
        <w:spacing w:before="240" w:line="312" w:lineRule="auto"/>
        <w:ind w:left="0" w:firstLine="0"/>
        <w:jc w:val="left"/>
        <w:outlineLvl w:val="0"/>
        <w:rPr>
          <w:rFonts w:ascii="Arial" w:hAnsi="Arial" w:cs="Arial"/>
          <w:color w:val="000000"/>
          <w:sz w:val="22"/>
          <w:szCs w:val="22"/>
        </w:rPr>
      </w:pPr>
      <w:r w:rsidRPr="00883399">
        <w:rPr>
          <w:rFonts w:ascii="Arial" w:hAnsi="Arial" w:cs="Arial"/>
          <w:color w:val="000000"/>
          <w:sz w:val="22"/>
          <w:szCs w:val="22"/>
        </w:rPr>
        <w:t xml:space="preserve">The list of solid fuels for which emissions must be calculated is given in Table 2.2.2 (taken from Schedule 1 of the </w:t>
      </w:r>
      <w:r w:rsidRPr="00883399">
        <w:rPr>
          <w:rFonts w:ascii="Arial" w:hAnsi="Arial" w:cs="Arial"/>
          <w:i/>
          <w:color w:val="000000"/>
          <w:sz w:val="22"/>
          <w:szCs w:val="22"/>
        </w:rPr>
        <w:t>Regulations</w:t>
      </w:r>
      <w:r w:rsidRPr="00883399">
        <w:rPr>
          <w:rFonts w:ascii="Arial" w:hAnsi="Arial" w:cs="Arial"/>
          <w:color w:val="000000"/>
          <w:sz w:val="22"/>
          <w:szCs w:val="22"/>
        </w:rPr>
        <w:t xml:space="preserve">). </w:t>
      </w:r>
    </w:p>
    <w:p w14:paraId="0D301FA8" w14:textId="77777777" w:rsidR="00872C03" w:rsidRPr="00883399" w:rsidRDefault="00872C03" w:rsidP="00872C03">
      <w:pPr>
        <w:pStyle w:val="R1"/>
        <w:tabs>
          <w:tab w:val="clear" w:pos="794"/>
          <w:tab w:val="right" w:pos="0"/>
        </w:tabs>
        <w:spacing w:before="240" w:line="312" w:lineRule="auto"/>
        <w:ind w:left="0" w:firstLine="0"/>
        <w:jc w:val="left"/>
        <w:outlineLvl w:val="0"/>
        <w:rPr>
          <w:rFonts w:ascii="Arial" w:hAnsi="Arial" w:cs="Arial"/>
          <w:color w:val="000000"/>
          <w:sz w:val="22"/>
          <w:szCs w:val="22"/>
        </w:rPr>
      </w:pPr>
      <w:r w:rsidRPr="00883399">
        <w:rPr>
          <w:rFonts w:ascii="Arial" w:hAnsi="Arial" w:cs="Arial"/>
          <w:color w:val="000000"/>
          <w:sz w:val="22"/>
          <w:szCs w:val="22"/>
        </w:rPr>
        <w:t xml:space="preserve">Energy content and emission factors required for the estimation of emissions from the combustion of solid fuels using this approach are given below.  These factors are intended to be default factors – to be used in the absence of better information about the qualities of the fuels combusted at a particular facility. (If better information on fuel qualities or emissions is available, the Reporter may utilise Method 2, 3 or 4). </w:t>
      </w:r>
    </w:p>
    <w:p w14:paraId="0A3B1832" w14:textId="77777777" w:rsidR="00872C03" w:rsidRPr="00883399" w:rsidRDefault="00872C03" w:rsidP="00872C03">
      <w:pPr>
        <w:pStyle w:val="R1"/>
        <w:tabs>
          <w:tab w:val="clear" w:pos="794"/>
          <w:tab w:val="right" w:pos="0"/>
        </w:tabs>
        <w:spacing w:before="240" w:line="312" w:lineRule="auto"/>
        <w:ind w:left="0" w:firstLine="0"/>
        <w:jc w:val="left"/>
        <w:outlineLvl w:val="0"/>
        <w:rPr>
          <w:rFonts w:ascii="Arial" w:hAnsi="Arial" w:cs="Arial"/>
          <w:color w:val="000000"/>
          <w:sz w:val="22"/>
          <w:szCs w:val="22"/>
        </w:rPr>
      </w:pPr>
      <w:r w:rsidRPr="00883399">
        <w:rPr>
          <w:rFonts w:ascii="Arial" w:hAnsi="Arial" w:cs="Arial"/>
          <w:color w:val="000000"/>
          <w:sz w:val="22"/>
          <w:szCs w:val="22"/>
        </w:rPr>
        <w:t>Once selected the energy content factor (EC</w:t>
      </w:r>
      <w:r w:rsidRPr="00883399">
        <w:rPr>
          <w:rFonts w:ascii="Arial" w:hAnsi="Arial" w:cs="Arial"/>
          <w:color w:val="000000"/>
          <w:sz w:val="22"/>
          <w:szCs w:val="22"/>
          <w:vertAlign w:val="subscript"/>
        </w:rPr>
        <w:t>i</w:t>
      </w:r>
      <w:r w:rsidRPr="00883399">
        <w:rPr>
          <w:rFonts w:ascii="Arial" w:hAnsi="Arial" w:cs="Arial"/>
          <w:color w:val="000000"/>
          <w:sz w:val="22"/>
          <w:szCs w:val="22"/>
        </w:rPr>
        <w:t>) for a particular fuel must be applied to all calculations of energy emissions from that fuel for a facility in the reporting year.</w:t>
      </w:r>
    </w:p>
    <w:p w14:paraId="181BF76E" w14:textId="77777777" w:rsidR="00872C03" w:rsidRPr="00883399" w:rsidRDefault="00872C03" w:rsidP="00872C03">
      <w:pPr>
        <w:pStyle w:val="R1"/>
        <w:tabs>
          <w:tab w:val="clear" w:pos="794"/>
          <w:tab w:val="right" w:pos="0"/>
        </w:tabs>
        <w:spacing w:before="240" w:line="312" w:lineRule="auto"/>
        <w:ind w:left="0" w:firstLine="0"/>
        <w:jc w:val="left"/>
        <w:outlineLvl w:val="0"/>
        <w:rPr>
          <w:rFonts w:ascii="Arial" w:hAnsi="Arial" w:cs="Arial"/>
          <w:color w:val="000000"/>
          <w:sz w:val="22"/>
          <w:szCs w:val="22"/>
        </w:rPr>
      </w:pPr>
      <w:r w:rsidRPr="00883399">
        <w:rPr>
          <w:rFonts w:ascii="Arial" w:hAnsi="Arial" w:cs="Arial"/>
          <w:color w:val="000000"/>
          <w:sz w:val="22"/>
          <w:szCs w:val="22"/>
        </w:rPr>
        <w:t xml:space="preserve">The emission factors for use in Method 1 have been estimated using the Australian Greenhouse Emissions Information System (AGEIS) operated by the </w:t>
      </w:r>
      <w:r w:rsidR="00C91E15" w:rsidRPr="00883399">
        <w:rPr>
          <w:rFonts w:ascii="Arial" w:hAnsi="Arial" w:cs="Arial"/>
          <w:color w:val="000000"/>
          <w:sz w:val="22"/>
          <w:szCs w:val="22"/>
        </w:rPr>
        <w:t>Department on the Environment</w:t>
      </w:r>
      <w:r w:rsidRPr="00883399">
        <w:rPr>
          <w:rFonts w:ascii="Arial" w:hAnsi="Arial" w:cs="Arial"/>
          <w:color w:val="000000"/>
          <w:sz w:val="22"/>
          <w:szCs w:val="22"/>
        </w:rPr>
        <w:t>. Consequently, they are determined simultaneously with the production of Australia’s National Greenhouse Accounts ensuring that inventories of emissions at both facility and corporate levels are consistent with those of the national accounts.</w:t>
      </w:r>
    </w:p>
    <w:p w14:paraId="03EFF275" w14:textId="77777777" w:rsidR="00872C03" w:rsidRPr="00883399" w:rsidRDefault="00872C03" w:rsidP="00872C03">
      <w:pPr>
        <w:pStyle w:val="subsection"/>
      </w:pPr>
    </w:p>
    <w:p w14:paraId="27352E86" w14:textId="77777777" w:rsidR="00872C03" w:rsidRPr="00883399" w:rsidRDefault="00872C03" w:rsidP="00872C03">
      <w:pPr>
        <w:pStyle w:val="subsection"/>
        <w:rPr>
          <w:sz w:val="24"/>
        </w:rPr>
      </w:pPr>
      <w:r w:rsidRPr="00883399">
        <w:rPr>
          <w:sz w:val="24"/>
        </w:rPr>
        <w:tab/>
      </w:r>
      <w:r w:rsidRPr="00883399">
        <w:rPr>
          <w:sz w:val="24"/>
        </w:rPr>
        <w:tab/>
        <w:t>For subparagraph 2.3(1)(a)(i), method 1 is:</w:t>
      </w:r>
    </w:p>
    <w:p w14:paraId="3E46911D" w14:textId="444FCE49"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30B0A62A" wp14:editId="03E3701B">
            <wp:extent cx="1647825" cy="409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7825" cy="409575"/>
                    </a:xfrm>
                    <a:prstGeom prst="rect">
                      <a:avLst/>
                    </a:prstGeom>
                    <a:noFill/>
                    <a:ln>
                      <a:noFill/>
                    </a:ln>
                  </pic:spPr>
                </pic:pic>
              </a:graphicData>
            </a:graphic>
          </wp:inline>
        </w:drawing>
      </w:r>
    </w:p>
    <w:p w14:paraId="3439D57C" w14:textId="77777777" w:rsidR="00872C03" w:rsidRPr="00883399" w:rsidRDefault="00872C03" w:rsidP="00872C03">
      <w:pPr>
        <w:pStyle w:val="subsection2"/>
        <w:rPr>
          <w:sz w:val="24"/>
        </w:rPr>
      </w:pPr>
      <w:r w:rsidRPr="00883399">
        <w:rPr>
          <w:sz w:val="24"/>
        </w:rPr>
        <w:t>where:</w:t>
      </w:r>
    </w:p>
    <w:p w14:paraId="29BFC89F" w14:textId="77777777" w:rsidR="00872C03" w:rsidRPr="00883399" w:rsidRDefault="00872C03" w:rsidP="00872C03">
      <w:pPr>
        <w:pStyle w:val="Definition0"/>
        <w:rPr>
          <w:sz w:val="24"/>
        </w:rPr>
      </w:pPr>
      <w:r w:rsidRPr="00883399">
        <w:rPr>
          <w:b/>
          <w:i/>
          <w:sz w:val="24"/>
        </w:rPr>
        <w:lastRenderedPageBreak/>
        <w:t>E</w:t>
      </w:r>
      <w:r w:rsidRPr="00883399">
        <w:rPr>
          <w:rStyle w:val="charSubscript"/>
          <w:b/>
          <w:i/>
          <w:iCs/>
          <w:sz w:val="18"/>
        </w:rPr>
        <w:t xml:space="preserve">ij </w:t>
      </w:r>
      <w:r w:rsidRPr="00883399">
        <w:rPr>
          <w:sz w:val="24"/>
        </w:rPr>
        <w:t>is the emissions of gas type (</w:t>
      </w:r>
      <w:r w:rsidRPr="00883399">
        <w:rPr>
          <w:b/>
          <w:i/>
          <w:sz w:val="24"/>
        </w:rPr>
        <w:t>j</w:t>
      </w:r>
      <w:r w:rsidRPr="00883399">
        <w:rPr>
          <w:sz w:val="24"/>
        </w:rPr>
        <w:t>), being carbon dioxide, methane or nitrous oxide, released from the combustion of fuel type (</w:t>
      </w:r>
      <w:r w:rsidRPr="00883399">
        <w:rPr>
          <w:b/>
          <w:i/>
          <w:sz w:val="24"/>
        </w:rPr>
        <w:t>i</w:t>
      </w:r>
      <w:r w:rsidRPr="00883399">
        <w:rPr>
          <w:sz w:val="24"/>
        </w:rPr>
        <w:t>) from the operation of the facility during the year measured in CO</w:t>
      </w:r>
      <w:r w:rsidRPr="00883399">
        <w:rPr>
          <w:sz w:val="24"/>
          <w:vertAlign w:val="subscript"/>
        </w:rPr>
        <w:t>2</w:t>
      </w:r>
      <w:r w:rsidRPr="00883399">
        <w:rPr>
          <w:sz w:val="24"/>
        </w:rPr>
        <w:noBreakHyphen/>
        <w:t>e tonnes.</w:t>
      </w:r>
    </w:p>
    <w:p w14:paraId="3D8035AF" w14:textId="77777777" w:rsidR="00872C03" w:rsidRPr="00883399" w:rsidRDefault="00872C03" w:rsidP="00872C03">
      <w:pPr>
        <w:pStyle w:val="Definition0"/>
        <w:rPr>
          <w:sz w:val="24"/>
        </w:rPr>
      </w:pPr>
      <w:r w:rsidRPr="00883399">
        <w:rPr>
          <w:b/>
          <w:i/>
          <w:sz w:val="24"/>
        </w:rPr>
        <w:t>Q</w:t>
      </w:r>
      <w:r w:rsidRPr="00883399">
        <w:rPr>
          <w:b/>
          <w:i/>
          <w:sz w:val="24"/>
          <w:vertAlign w:val="subscript"/>
        </w:rPr>
        <w:t xml:space="preserve">i </w:t>
      </w:r>
      <w:r w:rsidRPr="00883399">
        <w:rPr>
          <w:sz w:val="24"/>
        </w:rPr>
        <w:t xml:space="preserve">is the quantity of fuel type </w:t>
      </w:r>
      <w:r w:rsidRPr="00883399">
        <w:rPr>
          <w:i/>
          <w:sz w:val="24"/>
        </w:rPr>
        <w:t>(</w:t>
      </w:r>
      <w:r w:rsidRPr="00883399">
        <w:rPr>
          <w:b/>
          <w:i/>
          <w:sz w:val="24"/>
        </w:rPr>
        <w:t>i</w:t>
      </w:r>
      <w:r w:rsidRPr="00883399">
        <w:rPr>
          <w:i/>
          <w:sz w:val="24"/>
        </w:rPr>
        <w:t xml:space="preserve">) </w:t>
      </w:r>
      <w:r w:rsidRPr="00883399">
        <w:rPr>
          <w:sz w:val="24"/>
        </w:rPr>
        <w:t>measured in tonnes and estimated under Division 2.2.5.</w:t>
      </w:r>
    </w:p>
    <w:p w14:paraId="7A983DB5" w14:textId="77777777" w:rsidR="00872C03" w:rsidRPr="00883399" w:rsidRDefault="00872C03" w:rsidP="00872C03">
      <w:pPr>
        <w:pStyle w:val="Definition0"/>
        <w:rPr>
          <w:sz w:val="24"/>
        </w:rPr>
      </w:pPr>
      <w:r w:rsidRPr="00883399">
        <w:rPr>
          <w:b/>
          <w:bCs/>
          <w:i/>
          <w:iCs/>
          <w:sz w:val="24"/>
        </w:rPr>
        <w:t>EC</w:t>
      </w:r>
      <w:r w:rsidRPr="00883399">
        <w:rPr>
          <w:rStyle w:val="charsubscript0"/>
          <w:b/>
          <w:bCs/>
          <w:i/>
          <w:iCs/>
        </w:rPr>
        <w:t xml:space="preserve">i  </w:t>
      </w:r>
      <w:r w:rsidRPr="00883399">
        <w:rPr>
          <w:sz w:val="24"/>
        </w:rPr>
        <w:t xml:space="preserve">is the energy content factor of fuel type </w:t>
      </w:r>
      <w:r w:rsidRPr="00883399">
        <w:rPr>
          <w:b/>
          <w:i/>
          <w:sz w:val="24"/>
        </w:rPr>
        <w:t xml:space="preserve">(i) </w:t>
      </w:r>
      <w:r w:rsidRPr="00883399">
        <w:rPr>
          <w:sz w:val="24"/>
        </w:rPr>
        <w:t xml:space="preserve">estimated under section 6.5. </w:t>
      </w:r>
    </w:p>
    <w:p w14:paraId="3D843F5E" w14:textId="77777777" w:rsidR="00872C03" w:rsidRPr="00883399" w:rsidRDefault="00872C03" w:rsidP="00872C03">
      <w:pPr>
        <w:pStyle w:val="Definition0"/>
        <w:rPr>
          <w:sz w:val="24"/>
        </w:rPr>
      </w:pPr>
      <w:r w:rsidRPr="00883399">
        <w:rPr>
          <w:b/>
          <w:i/>
          <w:sz w:val="24"/>
        </w:rPr>
        <w:t>EF</w:t>
      </w:r>
      <w:r w:rsidRPr="00883399">
        <w:rPr>
          <w:b/>
          <w:i/>
          <w:sz w:val="24"/>
          <w:vertAlign w:val="subscript"/>
        </w:rPr>
        <w:t>ijoxec</w:t>
      </w:r>
      <w:r w:rsidRPr="00883399">
        <w:rPr>
          <w:b/>
          <w:i/>
          <w:sz w:val="24"/>
        </w:rPr>
        <w:t xml:space="preserve"> </w:t>
      </w:r>
      <w:r w:rsidRPr="00883399">
        <w:rPr>
          <w:sz w:val="24"/>
        </w:rPr>
        <w:t>is the emission factor for each gas type (</w:t>
      </w:r>
      <w:r w:rsidRPr="00883399">
        <w:rPr>
          <w:b/>
          <w:i/>
          <w:sz w:val="24"/>
        </w:rPr>
        <w:t>j</w:t>
      </w:r>
      <w:r w:rsidRPr="00883399">
        <w:rPr>
          <w:sz w:val="24"/>
        </w:rPr>
        <w:t>) (which includes the effect of an oxidation factor) released from the combustion of fuel type (</w:t>
      </w:r>
      <w:r w:rsidRPr="00883399">
        <w:rPr>
          <w:b/>
          <w:i/>
          <w:sz w:val="24"/>
        </w:rPr>
        <w:t>i</w:t>
      </w:r>
      <w:r w:rsidRPr="00883399">
        <w:rPr>
          <w:sz w:val="24"/>
        </w:rPr>
        <w:t>) measured in kilograms of CO</w:t>
      </w:r>
      <w:r w:rsidRPr="00883399">
        <w:rPr>
          <w:rStyle w:val="charSubscript"/>
          <w:sz w:val="22"/>
        </w:rPr>
        <w:t>2</w:t>
      </w:r>
      <w:r w:rsidRPr="00883399">
        <w:rPr>
          <w:sz w:val="24"/>
        </w:rPr>
        <w:noBreakHyphen/>
        <w:t>e per gigajoule according to source as mentioned in Schedule 1.</w:t>
      </w:r>
    </w:p>
    <w:p w14:paraId="157FC14F" w14:textId="77777777" w:rsidR="00872C03" w:rsidRPr="00883399" w:rsidRDefault="00872C03" w:rsidP="00872C03">
      <w:pPr>
        <w:pStyle w:val="Definition0"/>
        <w:rPr>
          <w:sz w:val="24"/>
        </w:rPr>
      </w:pPr>
    </w:p>
    <w:p w14:paraId="6127A41A" w14:textId="4BA411D6" w:rsidR="00872C03" w:rsidRPr="00883399" w:rsidRDefault="00872C03" w:rsidP="00872C03">
      <w:pPr>
        <w:pStyle w:val="Subtitle"/>
        <w:jc w:val="left"/>
        <w:rPr>
          <w:b/>
          <w:sz w:val="28"/>
          <w:szCs w:val="28"/>
        </w:rPr>
      </w:pPr>
      <w:bookmarkStart w:id="162" w:name="_Toc495652653"/>
      <w:r w:rsidRPr="00883399">
        <w:rPr>
          <w:b/>
          <w:sz w:val="28"/>
          <w:szCs w:val="28"/>
        </w:rPr>
        <w:t>Table 2.2.2:</w:t>
      </w:r>
      <w:r w:rsidRPr="00883399">
        <w:rPr>
          <w:b/>
          <w:sz w:val="28"/>
          <w:szCs w:val="28"/>
        </w:rPr>
        <w:tab/>
        <w:t>Emission and energy content factors — solid fuels and certain coal</w:t>
      </w:r>
      <w:r w:rsidRPr="00883399">
        <w:rPr>
          <w:b/>
          <w:sz w:val="28"/>
          <w:szCs w:val="28"/>
        </w:rPr>
        <w:noBreakHyphen/>
        <w:t>based products</w:t>
      </w:r>
      <w:bookmarkEnd w:id="162"/>
    </w:p>
    <w:p w14:paraId="48CF6052" w14:textId="77777777" w:rsidR="00872C03" w:rsidRPr="00883399" w:rsidRDefault="00872C03" w:rsidP="00872C03">
      <w:pPr>
        <w:rPr>
          <w:sz w:val="20"/>
          <w:szCs w:val="20"/>
        </w:rPr>
      </w:pPr>
    </w:p>
    <w:tbl>
      <w:tblPr>
        <w:tblW w:w="83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3200"/>
        <w:gridCol w:w="1532"/>
        <w:gridCol w:w="962"/>
        <w:gridCol w:w="959"/>
        <w:gridCol w:w="960"/>
      </w:tblGrid>
      <w:tr w:rsidR="00872C03" w:rsidRPr="00883399" w14:paraId="0138EE29" w14:textId="77777777" w:rsidTr="0031057E">
        <w:trPr>
          <w:cantSplit/>
          <w:tblHeader/>
        </w:trPr>
        <w:tc>
          <w:tcPr>
            <w:tcW w:w="688" w:type="dxa"/>
            <w:vMerge w:val="restart"/>
            <w:tcBorders>
              <w:top w:val="nil"/>
              <w:left w:val="nil"/>
              <w:bottom w:val="nil"/>
              <w:right w:val="nil"/>
            </w:tcBorders>
          </w:tcPr>
          <w:p w14:paraId="56AF12B0" w14:textId="77777777" w:rsidR="00872C03" w:rsidRPr="00883399" w:rsidRDefault="00872C03" w:rsidP="0031057E">
            <w:pPr>
              <w:pStyle w:val="Table"/>
              <w:jc w:val="right"/>
              <w:rPr>
                <w:rStyle w:val="Strong"/>
                <w:rFonts w:cs="Arial"/>
                <w:sz w:val="18"/>
              </w:rPr>
            </w:pPr>
            <w:r w:rsidRPr="00883399">
              <w:rPr>
                <w:rStyle w:val="Strong"/>
                <w:rFonts w:cs="Arial"/>
                <w:sz w:val="18"/>
              </w:rPr>
              <w:t>Item</w:t>
            </w:r>
          </w:p>
        </w:tc>
        <w:tc>
          <w:tcPr>
            <w:tcW w:w="3200" w:type="dxa"/>
            <w:vMerge w:val="restart"/>
            <w:tcBorders>
              <w:top w:val="nil"/>
              <w:left w:val="nil"/>
              <w:bottom w:val="nil"/>
              <w:right w:val="nil"/>
            </w:tcBorders>
          </w:tcPr>
          <w:p w14:paraId="156CCF2B" w14:textId="77777777" w:rsidR="00872C03" w:rsidRPr="00883399" w:rsidRDefault="00872C03" w:rsidP="0031057E">
            <w:pPr>
              <w:pStyle w:val="Table"/>
              <w:rPr>
                <w:rStyle w:val="Strong"/>
                <w:rFonts w:cs="Arial"/>
                <w:sz w:val="18"/>
              </w:rPr>
            </w:pPr>
            <w:r w:rsidRPr="00883399">
              <w:rPr>
                <w:rStyle w:val="Strong"/>
                <w:rFonts w:cs="Arial"/>
                <w:sz w:val="18"/>
              </w:rPr>
              <w:t>Fuel combusted</w:t>
            </w:r>
          </w:p>
        </w:tc>
        <w:tc>
          <w:tcPr>
            <w:tcW w:w="1532" w:type="dxa"/>
            <w:vMerge w:val="restart"/>
            <w:tcBorders>
              <w:top w:val="nil"/>
              <w:left w:val="nil"/>
              <w:bottom w:val="nil"/>
              <w:right w:val="nil"/>
            </w:tcBorders>
          </w:tcPr>
          <w:p w14:paraId="0A546750" w14:textId="77777777" w:rsidR="00872C03" w:rsidRPr="00883399" w:rsidRDefault="00872C03" w:rsidP="0031057E">
            <w:pPr>
              <w:pStyle w:val="TableCentre"/>
              <w:jc w:val="left"/>
              <w:rPr>
                <w:rStyle w:val="Strong"/>
                <w:rFonts w:cs="Arial"/>
                <w:sz w:val="18"/>
              </w:rPr>
            </w:pPr>
            <w:r w:rsidRPr="00883399">
              <w:rPr>
                <w:rStyle w:val="Strong"/>
                <w:rFonts w:cs="Arial"/>
                <w:sz w:val="18"/>
              </w:rPr>
              <w:t>Energy content factor</w:t>
            </w:r>
          </w:p>
          <w:p w14:paraId="630C0E80" w14:textId="77777777" w:rsidR="00872C03" w:rsidRPr="00883399" w:rsidRDefault="00872C03" w:rsidP="0031057E">
            <w:pPr>
              <w:pStyle w:val="TableCentre"/>
              <w:jc w:val="left"/>
              <w:rPr>
                <w:rStyle w:val="Strong"/>
                <w:rFonts w:cs="Arial"/>
                <w:sz w:val="18"/>
              </w:rPr>
            </w:pPr>
            <w:r w:rsidRPr="00883399">
              <w:rPr>
                <w:rStyle w:val="Strong"/>
                <w:rFonts w:cs="Arial"/>
                <w:sz w:val="18"/>
              </w:rPr>
              <w:t>GJ/t</w:t>
            </w:r>
          </w:p>
        </w:tc>
        <w:tc>
          <w:tcPr>
            <w:tcW w:w="2881" w:type="dxa"/>
            <w:gridSpan w:val="3"/>
            <w:tcBorders>
              <w:top w:val="nil"/>
              <w:left w:val="nil"/>
              <w:bottom w:val="nil"/>
              <w:right w:val="nil"/>
            </w:tcBorders>
          </w:tcPr>
          <w:p w14:paraId="6095254E" w14:textId="77777777" w:rsidR="00872C03" w:rsidRPr="00883399" w:rsidRDefault="00872C03" w:rsidP="0031057E">
            <w:pPr>
              <w:pStyle w:val="Heading1Like"/>
              <w:spacing w:before="60" w:after="0" w:line="312" w:lineRule="auto"/>
              <w:ind w:left="567" w:hanging="567"/>
              <w:jc w:val="center"/>
              <w:rPr>
                <w:rFonts w:ascii="Arial" w:hAnsi="Arial"/>
                <w:sz w:val="18"/>
              </w:rPr>
            </w:pPr>
            <w:r w:rsidRPr="00883399">
              <w:rPr>
                <w:rFonts w:ascii="Arial" w:hAnsi="Arial"/>
                <w:caps w:val="0"/>
                <w:sz w:val="18"/>
              </w:rPr>
              <w:t>Emission factor</w:t>
            </w:r>
          </w:p>
          <w:p w14:paraId="54C51540" w14:textId="77777777" w:rsidR="00872C03" w:rsidRPr="00883399" w:rsidRDefault="00872C03" w:rsidP="0031057E">
            <w:pPr>
              <w:pStyle w:val="Heading1Like"/>
              <w:spacing w:after="0" w:line="312" w:lineRule="auto"/>
              <w:ind w:left="567" w:hanging="567"/>
              <w:jc w:val="center"/>
              <w:rPr>
                <w:rFonts w:ascii="Arial" w:hAnsi="Arial"/>
                <w:sz w:val="18"/>
              </w:rPr>
            </w:pPr>
            <w:r w:rsidRPr="00883399">
              <w:rPr>
                <w:rFonts w:ascii="Arial" w:hAnsi="Arial"/>
                <w:caps w:val="0"/>
                <w:sz w:val="18"/>
              </w:rPr>
              <w:t>kg CO</w:t>
            </w:r>
            <w:r w:rsidRPr="00883399">
              <w:rPr>
                <w:rFonts w:ascii="Arial" w:hAnsi="Arial"/>
                <w:caps w:val="0"/>
                <w:sz w:val="18"/>
                <w:vertAlign w:val="subscript"/>
              </w:rPr>
              <w:t>2</w:t>
            </w:r>
            <w:r w:rsidRPr="00883399">
              <w:rPr>
                <w:rFonts w:ascii="Arial" w:hAnsi="Arial"/>
                <w:caps w:val="0"/>
                <w:sz w:val="18"/>
              </w:rPr>
              <w:noBreakHyphen/>
              <w:t>e/GJ</w:t>
            </w:r>
          </w:p>
          <w:p w14:paraId="27CD1204" w14:textId="77777777" w:rsidR="00872C03" w:rsidRPr="00883399" w:rsidRDefault="00872C03" w:rsidP="0031057E">
            <w:pPr>
              <w:pStyle w:val="Heading1Like"/>
              <w:spacing w:before="60" w:after="240"/>
              <w:ind w:left="0" w:firstLine="0"/>
              <w:jc w:val="center"/>
              <w:rPr>
                <w:sz w:val="18"/>
                <w:szCs w:val="18"/>
              </w:rPr>
            </w:pPr>
            <w:r w:rsidRPr="00883399">
              <w:rPr>
                <w:sz w:val="18"/>
                <w:szCs w:val="18"/>
              </w:rPr>
              <w:t>(relevant oxidation factors incorporated)</w:t>
            </w:r>
          </w:p>
        </w:tc>
      </w:tr>
      <w:tr w:rsidR="00872C03" w:rsidRPr="00883399" w14:paraId="1AD489C4" w14:textId="77777777" w:rsidTr="0031057E">
        <w:trPr>
          <w:cantSplit/>
          <w:tblHeader/>
        </w:trPr>
        <w:tc>
          <w:tcPr>
            <w:tcW w:w="688" w:type="dxa"/>
            <w:vMerge/>
            <w:tcBorders>
              <w:top w:val="nil"/>
              <w:left w:val="nil"/>
              <w:right w:val="nil"/>
            </w:tcBorders>
          </w:tcPr>
          <w:p w14:paraId="0015520C" w14:textId="77777777" w:rsidR="00872C03" w:rsidRPr="00883399" w:rsidRDefault="00872C03" w:rsidP="0031057E">
            <w:pPr>
              <w:jc w:val="right"/>
            </w:pPr>
          </w:p>
        </w:tc>
        <w:tc>
          <w:tcPr>
            <w:tcW w:w="3200" w:type="dxa"/>
            <w:vMerge/>
            <w:tcBorders>
              <w:top w:val="nil"/>
              <w:left w:val="nil"/>
              <w:right w:val="nil"/>
            </w:tcBorders>
          </w:tcPr>
          <w:p w14:paraId="4CF93DD9" w14:textId="77777777" w:rsidR="00872C03" w:rsidRPr="00883399" w:rsidRDefault="00872C03" w:rsidP="0031057E">
            <w:pPr>
              <w:pStyle w:val="HTMLPreformatted"/>
              <w:spacing w:before="60"/>
              <w:rPr>
                <w:sz w:val="22"/>
              </w:rPr>
            </w:pPr>
          </w:p>
        </w:tc>
        <w:tc>
          <w:tcPr>
            <w:tcW w:w="1532" w:type="dxa"/>
            <w:vMerge/>
            <w:tcBorders>
              <w:top w:val="nil"/>
              <w:left w:val="nil"/>
              <w:right w:val="nil"/>
            </w:tcBorders>
          </w:tcPr>
          <w:p w14:paraId="10C6889C" w14:textId="77777777" w:rsidR="00872C03" w:rsidRPr="00883399" w:rsidRDefault="00872C03" w:rsidP="0031057E">
            <w:pPr>
              <w:spacing w:before="60"/>
              <w:rPr>
                <w:sz w:val="22"/>
              </w:rPr>
            </w:pPr>
          </w:p>
        </w:tc>
        <w:tc>
          <w:tcPr>
            <w:tcW w:w="962" w:type="dxa"/>
            <w:tcBorders>
              <w:top w:val="nil"/>
              <w:left w:val="nil"/>
              <w:right w:val="nil"/>
            </w:tcBorders>
          </w:tcPr>
          <w:p w14:paraId="2B737CAC" w14:textId="77777777" w:rsidR="00872C03" w:rsidRPr="00883399" w:rsidRDefault="00872C03" w:rsidP="0031057E">
            <w:pPr>
              <w:pStyle w:val="TableCentre"/>
              <w:rPr>
                <w:sz w:val="22"/>
              </w:rPr>
            </w:pPr>
            <w:r w:rsidRPr="00883399">
              <w:rPr>
                <w:b/>
                <w:bCs/>
                <w:snapToGrid w:val="0"/>
                <w:sz w:val="18"/>
              </w:rPr>
              <w:t>CO</w:t>
            </w:r>
            <w:r w:rsidRPr="00883399">
              <w:rPr>
                <w:b/>
                <w:bCs/>
                <w:snapToGrid w:val="0"/>
                <w:sz w:val="18"/>
                <w:vertAlign w:val="subscript"/>
              </w:rPr>
              <w:t>2</w:t>
            </w:r>
          </w:p>
        </w:tc>
        <w:tc>
          <w:tcPr>
            <w:tcW w:w="959" w:type="dxa"/>
            <w:tcBorders>
              <w:top w:val="nil"/>
              <w:left w:val="nil"/>
              <w:right w:val="nil"/>
            </w:tcBorders>
          </w:tcPr>
          <w:p w14:paraId="0882AE93" w14:textId="77777777" w:rsidR="00872C03" w:rsidRPr="00883399" w:rsidRDefault="00872C03" w:rsidP="0031057E">
            <w:pPr>
              <w:pStyle w:val="TableCentre"/>
              <w:rPr>
                <w:rStyle w:val="Strong"/>
                <w:rFonts w:cs="Arial"/>
                <w:sz w:val="18"/>
              </w:rPr>
            </w:pPr>
            <w:r w:rsidRPr="00883399">
              <w:rPr>
                <w:b/>
                <w:bCs/>
                <w:snapToGrid w:val="0"/>
                <w:sz w:val="18"/>
              </w:rPr>
              <w:t>CH</w:t>
            </w:r>
            <w:r w:rsidRPr="00883399">
              <w:rPr>
                <w:b/>
                <w:bCs/>
                <w:snapToGrid w:val="0"/>
                <w:sz w:val="18"/>
                <w:vertAlign w:val="subscript"/>
              </w:rPr>
              <w:t>4</w:t>
            </w:r>
          </w:p>
        </w:tc>
        <w:tc>
          <w:tcPr>
            <w:tcW w:w="960" w:type="dxa"/>
            <w:tcBorders>
              <w:top w:val="nil"/>
              <w:left w:val="nil"/>
              <w:right w:val="nil"/>
            </w:tcBorders>
          </w:tcPr>
          <w:p w14:paraId="186FF9F2" w14:textId="77777777" w:rsidR="00872C03" w:rsidRPr="00883399" w:rsidRDefault="00872C03" w:rsidP="0031057E">
            <w:pPr>
              <w:pStyle w:val="TableCentre"/>
              <w:spacing w:after="60"/>
              <w:rPr>
                <w:rStyle w:val="Strong"/>
                <w:rFonts w:cs="Arial"/>
                <w:sz w:val="18"/>
              </w:rPr>
            </w:pPr>
            <w:r w:rsidRPr="00883399">
              <w:rPr>
                <w:b/>
                <w:bCs/>
                <w:snapToGrid w:val="0"/>
                <w:sz w:val="18"/>
              </w:rPr>
              <w:t>N</w:t>
            </w:r>
            <w:r w:rsidRPr="00883399">
              <w:rPr>
                <w:b/>
                <w:bCs/>
                <w:snapToGrid w:val="0"/>
                <w:sz w:val="18"/>
                <w:vertAlign w:val="subscript"/>
              </w:rPr>
              <w:t>2</w:t>
            </w:r>
            <w:r w:rsidRPr="00883399">
              <w:rPr>
                <w:b/>
                <w:bCs/>
                <w:snapToGrid w:val="0"/>
                <w:sz w:val="18"/>
              </w:rPr>
              <w:t>O</w:t>
            </w:r>
          </w:p>
        </w:tc>
      </w:tr>
      <w:tr w:rsidR="006A05F6" w:rsidRPr="00883399" w14:paraId="40D0B777" w14:textId="77777777" w:rsidTr="0031057E">
        <w:trPr>
          <w:cantSplit/>
        </w:trPr>
        <w:tc>
          <w:tcPr>
            <w:tcW w:w="688" w:type="dxa"/>
            <w:tcBorders>
              <w:left w:val="nil"/>
              <w:bottom w:val="nil"/>
              <w:right w:val="nil"/>
            </w:tcBorders>
          </w:tcPr>
          <w:p w14:paraId="66B5D74D" w14:textId="77777777" w:rsidR="006A05F6" w:rsidRPr="00883399" w:rsidDel="00D957B3" w:rsidRDefault="006A05F6" w:rsidP="004515E4">
            <w:pPr>
              <w:pStyle w:val="Tabletext0"/>
              <w:rPr>
                <w:sz w:val="22"/>
              </w:rPr>
            </w:pPr>
            <w:r w:rsidRPr="00883399">
              <w:rPr>
                <w:sz w:val="22"/>
              </w:rPr>
              <w:t>1</w:t>
            </w:r>
          </w:p>
        </w:tc>
        <w:tc>
          <w:tcPr>
            <w:tcW w:w="3200" w:type="dxa"/>
            <w:tcBorders>
              <w:left w:val="nil"/>
              <w:bottom w:val="nil"/>
              <w:right w:val="nil"/>
            </w:tcBorders>
          </w:tcPr>
          <w:p w14:paraId="6911A087" w14:textId="77777777" w:rsidR="006A05F6" w:rsidRPr="00883399" w:rsidDel="00D957B3" w:rsidRDefault="006A05F6" w:rsidP="004515E4">
            <w:pPr>
              <w:pStyle w:val="Tabletext0"/>
              <w:rPr>
                <w:snapToGrid w:val="0"/>
                <w:sz w:val="22"/>
              </w:rPr>
            </w:pPr>
            <w:r w:rsidRPr="00883399">
              <w:rPr>
                <w:snapToGrid w:val="0"/>
                <w:sz w:val="22"/>
              </w:rPr>
              <w:t>Bituminous coal</w:t>
            </w:r>
          </w:p>
        </w:tc>
        <w:tc>
          <w:tcPr>
            <w:tcW w:w="1532" w:type="dxa"/>
            <w:tcBorders>
              <w:left w:val="nil"/>
              <w:bottom w:val="nil"/>
              <w:right w:val="nil"/>
            </w:tcBorders>
          </w:tcPr>
          <w:p w14:paraId="64484909" w14:textId="77777777" w:rsidR="006A05F6" w:rsidRPr="00883399" w:rsidDel="00D957B3" w:rsidRDefault="006A05F6" w:rsidP="004515E4">
            <w:pPr>
              <w:pStyle w:val="Tabletext0"/>
              <w:rPr>
                <w:sz w:val="22"/>
              </w:rPr>
            </w:pPr>
            <w:r w:rsidRPr="00883399">
              <w:rPr>
                <w:sz w:val="22"/>
              </w:rPr>
              <w:t>27.0</w:t>
            </w:r>
          </w:p>
        </w:tc>
        <w:tc>
          <w:tcPr>
            <w:tcW w:w="962" w:type="dxa"/>
            <w:tcBorders>
              <w:left w:val="nil"/>
              <w:bottom w:val="nil"/>
              <w:right w:val="nil"/>
            </w:tcBorders>
          </w:tcPr>
          <w:p w14:paraId="4426D0FC" w14:textId="77777777" w:rsidR="006A05F6" w:rsidRPr="00883399" w:rsidDel="00D957B3" w:rsidRDefault="006A05F6" w:rsidP="004515E4">
            <w:pPr>
              <w:pStyle w:val="Tabletext0"/>
              <w:rPr>
                <w:sz w:val="22"/>
              </w:rPr>
            </w:pPr>
            <w:r w:rsidRPr="00883399">
              <w:rPr>
                <w:sz w:val="22"/>
              </w:rPr>
              <w:t>90.0</w:t>
            </w:r>
          </w:p>
        </w:tc>
        <w:tc>
          <w:tcPr>
            <w:tcW w:w="959" w:type="dxa"/>
            <w:tcBorders>
              <w:left w:val="nil"/>
              <w:bottom w:val="nil"/>
              <w:right w:val="nil"/>
            </w:tcBorders>
          </w:tcPr>
          <w:p w14:paraId="202C30E9" w14:textId="77777777" w:rsidR="006A05F6" w:rsidRPr="00883399" w:rsidDel="00D957B3" w:rsidRDefault="006A05F6" w:rsidP="004515E4">
            <w:pPr>
              <w:pStyle w:val="Tabletext0"/>
              <w:rPr>
                <w:sz w:val="22"/>
              </w:rPr>
            </w:pPr>
            <w:r w:rsidRPr="00883399">
              <w:rPr>
                <w:sz w:val="22"/>
              </w:rPr>
              <w:t>0.03</w:t>
            </w:r>
          </w:p>
        </w:tc>
        <w:tc>
          <w:tcPr>
            <w:tcW w:w="960" w:type="dxa"/>
            <w:tcBorders>
              <w:left w:val="nil"/>
              <w:bottom w:val="nil"/>
              <w:right w:val="nil"/>
            </w:tcBorders>
          </w:tcPr>
          <w:p w14:paraId="5A5D1A8F" w14:textId="77777777" w:rsidR="006A05F6" w:rsidRPr="00883399" w:rsidDel="00D957B3" w:rsidRDefault="006A05F6" w:rsidP="004515E4">
            <w:pPr>
              <w:pStyle w:val="Tabletext0"/>
              <w:rPr>
                <w:sz w:val="22"/>
              </w:rPr>
            </w:pPr>
            <w:r w:rsidRPr="00883399">
              <w:rPr>
                <w:sz w:val="22"/>
              </w:rPr>
              <w:t>0.2</w:t>
            </w:r>
          </w:p>
        </w:tc>
      </w:tr>
      <w:tr w:rsidR="006A05F6" w:rsidRPr="00883399" w14:paraId="3C7ED083" w14:textId="77777777" w:rsidTr="0031057E">
        <w:trPr>
          <w:cantSplit/>
        </w:trPr>
        <w:tc>
          <w:tcPr>
            <w:tcW w:w="688" w:type="dxa"/>
            <w:tcBorders>
              <w:top w:val="nil"/>
              <w:left w:val="nil"/>
              <w:bottom w:val="nil"/>
              <w:right w:val="nil"/>
            </w:tcBorders>
          </w:tcPr>
          <w:p w14:paraId="221B3011" w14:textId="77777777" w:rsidR="006A05F6" w:rsidRPr="00883399" w:rsidDel="00D957B3" w:rsidRDefault="006A05F6" w:rsidP="004515E4">
            <w:pPr>
              <w:pStyle w:val="Tabletext0"/>
              <w:rPr>
                <w:sz w:val="22"/>
              </w:rPr>
            </w:pPr>
            <w:r w:rsidRPr="00883399">
              <w:rPr>
                <w:sz w:val="22"/>
              </w:rPr>
              <w:t>1A</w:t>
            </w:r>
          </w:p>
        </w:tc>
        <w:tc>
          <w:tcPr>
            <w:tcW w:w="3200" w:type="dxa"/>
            <w:tcBorders>
              <w:top w:val="nil"/>
              <w:left w:val="nil"/>
              <w:bottom w:val="nil"/>
              <w:right w:val="nil"/>
            </w:tcBorders>
          </w:tcPr>
          <w:p w14:paraId="080FBBDE" w14:textId="77777777" w:rsidR="006A05F6" w:rsidRPr="00883399" w:rsidDel="00D957B3" w:rsidRDefault="006A05F6" w:rsidP="004515E4">
            <w:pPr>
              <w:pStyle w:val="Tabletext0"/>
              <w:rPr>
                <w:snapToGrid w:val="0"/>
                <w:sz w:val="22"/>
              </w:rPr>
            </w:pPr>
            <w:r w:rsidRPr="00883399">
              <w:rPr>
                <w:snapToGrid w:val="0"/>
                <w:sz w:val="22"/>
              </w:rPr>
              <w:t>Sub</w:t>
            </w:r>
            <w:r w:rsidRPr="00883399">
              <w:rPr>
                <w:snapToGrid w:val="0"/>
                <w:sz w:val="22"/>
              </w:rPr>
              <w:noBreakHyphen/>
              <w:t>bituminous coal</w:t>
            </w:r>
          </w:p>
        </w:tc>
        <w:tc>
          <w:tcPr>
            <w:tcW w:w="1532" w:type="dxa"/>
            <w:tcBorders>
              <w:top w:val="nil"/>
              <w:left w:val="nil"/>
              <w:bottom w:val="nil"/>
              <w:right w:val="nil"/>
            </w:tcBorders>
          </w:tcPr>
          <w:p w14:paraId="5EA6F642" w14:textId="77777777" w:rsidR="006A05F6" w:rsidRPr="00883399" w:rsidDel="00D957B3" w:rsidRDefault="006A05F6" w:rsidP="004515E4">
            <w:pPr>
              <w:pStyle w:val="Tabletext0"/>
              <w:rPr>
                <w:sz w:val="22"/>
              </w:rPr>
            </w:pPr>
            <w:r w:rsidRPr="00883399">
              <w:rPr>
                <w:sz w:val="22"/>
              </w:rPr>
              <w:t>21.0</w:t>
            </w:r>
          </w:p>
        </w:tc>
        <w:tc>
          <w:tcPr>
            <w:tcW w:w="962" w:type="dxa"/>
            <w:tcBorders>
              <w:top w:val="nil"/>
              <w:left w:val="nil"/>
              <w:bottom w:val="nil"/>
              <w:right w:val="nil"/>
            </w:tcBorders>
          </w:tcPr>
          <w:p w14:paraId="46422E2C" w14:textId="77777777" w:rsidR="006A05F6" w:rsidRPr="00883399" w:rsidDel="00D957B3" w:rsidRDefault="006A05F6" w:rsidP="004515E4">
            <w:pPr>
              <w:pStyle w:val="Tabletext0"/>
              <w:rPr>
                <w:sz w:val="22"/>
              </w:rPr>
            </w:pPr>
            <w:r w:rsidRPr="00883399">
              <w:rPr>
                <w:sz w:val="22"/>
              </w:rPr>
              <w:t>90.0</w:t>
            </w:r>
          </w:p>
        </w:tc>
        <w:tc>
          <w:tcPr>
            <w:tcW w:w="959" w:type="dxa"/>
            <w:tcBorders>
              <w:top w:val="nil"/>
              <w:left w:val="nil"/>
              <w:bottom w:val="nil"/>
              <w:right w:val="nil"/>
            </w:tcBorders>
          </w:tcPr>
          <w:p w14:paraId="73F232E9" w14:textId="77777777" w:rsidR="006A05F6" w:rsidRPr="00883399" w:rsidDel="00D957B3" w:rsidRDefault="006A05F6" w:rsidP="004515E4">
            <w:pPr>
              <w:pStyle w:val="Tabletext0"/>
              <w:rPr>
                <w:sz w:val="22"/>
              </w:rPr>
            </w:pPr>
            <w:r w:rsidRPr="00883399">
              <w:rPr>
                <w:sz w:val="22"/>
              </w:rPr>
              <w:t>0.03</w:t>
            </w:r>
          </w:p>
        </w:tc>
        <w:tc>
          <w:tcPr>
            <w:tcW w:w="960" w:type="dxa"/>
            <w:tcBorders>
              <w:top w:val="nil"/>
              <w:left w:val="nil"/>
              <w:bottom w:val="nil"/>
              <w:right w:val="nil"/>
            </w:tcBorders>
          </w:tcPr>
          <w:p w14:paraId="2D98082F" w14:textId="77777777" w:rsidR="006A05F6" w:rsidRPr="00883399" w:rsidDel="00D957B3" w:rsidRDefault="006A05F6" w:rsidP="004515E4">
            <w:pPr>
              <w:pStyle w:val="Tabletext0"/>
              <w:rPr>
                <w:sz w:val="22"/>
              </w:rPr>
            </w:pPr>
            <w:r w:rsidRPr="00883399">
              <w:rPr>
                <w:sz w:val="22"/>
              </w:rPr>
              <w:t>0.2</w:t>
            </w:r>
          </w:p>
        </w:tc>
      </w:tr>
      <w:tr w:rsidR="006A05F6" w:rsidRPr="00883399" w14:paraId="73839EE8" w14:textId="77777777" w:rsidTr="0031057E">
        <w:trPr>
          <w:cantSplit/>
        </w:trPr>
        <w:tc>
          <w:tcPr>
            <w:tcW w:w="688" w:type="dxa"/>
            <w:tcBorders>
              <w:top w:val="nil"/>
              <w:left w:val="nil"/>
              <w:bottom w:val="nil"/>
              <w:right w:val="nil"/>
            </w:tcBorders>
          </w:tcPr>
          <w:p w14:paraId="6811F878" w14:textId="77777777" w:rsidR="006A05F6" w:rsidRPr="00883399" w:rsidDel="00D957B3" w:rsidRDefault="006A05F6" w:rsidP="004515E4">
            <w:pPr>
              <w:pStyle w:val="Tabletext0"/>
              <w:rPr>
                <w:sz w:val="22"/>
              </w:rPr>
            </w:pPr>
            <w:r w:rsidRPr="00883399">
              <w:rPr>
                <w:sz w:val="22"/>
              </w:rPr>
              <w:t>1B</w:t>
            </w:r>
          </w:p>
        </w:tc>
        <w:tc>
          <w:tcPr>
            <w:tcW w:w="3200" w:type="dxa"/>
            <w:tcBorders>
              <w:top w:val="nil"/>
              <w:left w:val="nil"/>
              <w:bottom w:val="nil"/>
              <w:right w:val="nil"/>
            </w:tcBorders>
          </w:tcPr>
          <w:p w14:paraId="14760D5B" w14:textId="77777777" w:rsidR="006A05F6" w:rsidRPr="00883399" w:rsidDel="00D957B3" w:rsidRDefault="006A05F6" w:rsidP="004515E4">
            <w:pPr>
              <w:pStyle w:val="Tabletext0"/>
              <w:rPr>
                <w:snapToGrid w:val="0"/>
                <w:sz w:val="22"/>
              </w:rPr>
            </w:pPr>
            <w:r w:rsidRPr="00883399">
              <w:rPr>
                <w:snapToGrid w:val="0"/>
                <w:sz w:val="22"/>
              </w:rPr>
              <w:t>Anthracite</w:t>
            </w:r>
          </w:p>
        </w:tc>
        <w:tc>
          <w:tcPr>
            <w:tcW w:w="1532" w:type="dxa"/>
            <w:tcBorders>
              <w:top w:val="nil"/>
              <w:left w:val="nil"/>
              <w:bottom w:val="nil"/>
              <w:right w:val="nil"/>
            </w:tcBorders>
          </w:tcPr>
          <w:p w14:paraId="0FEB15E8" w14:textId="77777777" w:rsidR="006A05F6" w:rsidRPr="00883399" w:rsidDel="00D957B3" w:rsidRDefault="006A05F6" w:rsidP="004515E4">
            <w:pPr>
              <w:pStyle w:val="Tabletext0"/>
              <w:rPr>
                <w:sz w:val="22"/>
              </w:rPr>
            </w:pPr>
            <w:r w:rsidRPr="00883399">
              <w:rPr>
                <w:sz w:val="22"/>
              </w:rPr>
              <w:t>29.0</w:t>
            </w:r>
          </w:p>
        </w:tc>
        <w:tc>
          <w:tcPr>
            <w:tcW w:w="962" w:type="dxa"/>
            <w:tcBorders>
              <w:top w:val="nil"/>
              <w:left w:val="nil"/>
              <w:bottom w:val="nil"/>
              <w:right w:val="nil"/>
            </w:tcBorders>
          </w:tcPr>
          <w:p w14:paraId="48B42173" w14:textId="77777777" w:rsidR="006A05F6" w:rsidRPr="00883399" w:rsidDel="00D957B3" w:rsidRDefault="006A05F6" w:rsidP="004515E4">
            <w:pPr>
              <w:pStyle w:val="Tabletext0"/>
              <w:rPr>
                <w:sz w:val="22"/>
              </w:rPr>
            </w:pPr>
            <w:r w:rsidRPr="00883399">
              <w:rPr>
                <w:sz w:val="22"/>
              </w:rPr>
              <w:t>90.0</w:t>
            </w:r>
          </w:p>
        </w:tc>
        <w:tc>
          <w:tcPr>
            <w:tcW w:w="959" w:type="dxa"/>
            <w:tcBorders>
              <w:top w:val="nil"/>
              <w:left w:val="nil"/>
              <w:bottom w:val="nil"/>
              <w:right w:val="nil"/>
            </w:tcBorders>
          </w:tcPr>
          <w:p w14:paraId="41740D26" w14:textId="77777777" w:rsidR="006A05F6" w:rsidRPr="00883399" w:rsidDel="00D957B3" w:rsidRDefault="006A05F6" w:rsidP="004515E4">
            <w:pPr>
              <w:pStyle w:val="Tabletext0"/>
              <w:rPr>
                <w:sz w:val="22"/>
              </w:rPr>
            </w:pPr>
            <w:r w:rsidRPr="00883399">
              <w:rPr>
                <w:sz w:val="22"/>
              </w:rPr>
              <w:t>0.03</w:t>
            </w:r>
          </w:p>
        </w:tc>
        <w:tc>
          <w:tcPr>
            <w:tcW w:w="960" w:type="dxa"/>
            <w:tcBorders>
              <w:top w:val="nil"/>
              <w:left w:val="nil"/>
              <w:bottom w:val="nil"/>
              <w:right w:val="nil"/>
            </w:tcBorders>
          </w:tcPr>
          <w:p w14:paraId="1C293283" w14:textId="77777777" w:rsidR="006A05F6" w:rsidRPr="00883399" w:rsidDel="00D957B3" w:rsidRDefault="006A05F6" w:rsidP="004515E4">
            <w:pPr>
              <w:pStyle w:val="Tabletext0"/>
              <w:rPr>
                <w:sz w:val="22"/>
              </w:rPr>
            </w:pPr>
            <w:r w:rsidRPr="00883399">
              <w:rPr>
                <w:sz w:val="22"/>
              </w:rPr>
              <w:t>0.2</w:t>
            </w:r>
          </w:p>
        </w:tc>
      </w:tr>
      <w:tr w:rsidR="006A05F6" w:rsidRPr="00883399" w14:paraId="0EDC3007" w14:textId="77777777" w:rsidTr="0031057E">
        <w:trPr>
          <w:cantSplit/>
        </w:trPr>
        <w:tc>
          <w:tcPr>
            <w:tcW w:w="688" w:type="dxa"/>
            <w:tcBorders>
              <w:top w:val="nil"/>
              <w:left w:val="nil"/>
              <w:bottom w:val="nil"/>
              <w:right w:val="nil"/>
            </w:tcBorders>
          </w:tcPr>
          <w:p w14:paraId="1B7429E3" w14:textId="77777777" w:rsidR="006A05F6" w:rsidRPr="00883399" w:rsidRDefault="006A05F6" w:rsidP="004515E4">
            <w:pPr>
              <w:pStyle w:val="Tabletext0"/>
              <w:rPr>
                <w:sz w:val="22"/>
              </w:rPr>
            </w:pPr>
            <w:r w:rsidRPr="00883399">
              <w:rPr>
                <w:sz w:val="22"/>
              </w:rPr>
              <w:t>2</w:t>
            </w:r>
          </w:p>
        </w:tc>
        <w:tc>
          <w:tcPr>
            <w:tcW w:w="3200" w:type="dxa"/>
            <w:tcBorders>
              <w:top w:val="nil"/>
              <w:left w:val="nil"/>
              <w:bottom w:val="nil"/>
              <w:right w:val="nil"/>
            </w:tcBorders>
          </w:tcPr>
          <w:p w14:paraId="5277A9D4" w14:textId="77777777" w:rsidR="006A05F6" w:rsidRPr="00883399" w:rsidRDefault="006A05F6" w:rsidP="004515E4">
            <w:pPr>
              <w:pStyle w:val="Tabletext0"/>
              <w:rPr>
                <w:sz w:val="22"/>
              </w:rPr>
            </w:pPr>
            <w:r w:rsidRPr="00883399">
              <w:rPr>
                <w:snapToGrid w:val="0"/>
                <w:sz w:val="22"/>
              </w:rPr>
              <w:t>Brown coal</w:t>
            </w:r>
          </w:p>
        </w:tc>
        <w:tc>
          <w:tcPr>
            <w:tcW w:w="1532" w:type="dxa"/>
            <w:tcBorders>
              <w:top w:val="nil"/>
              <w:left w:val="nil"/>
              <w:bottom w:val="nil"/>
              <w:right w:val="nil"/>
            </w:tcBorders>
          </w:tcPr>
          <w:p w14:paraId="53BB04FA" w14:textId="77777777" w:rsidR="006A05F6" w:rsidRPr="00883399" w:rsidRDefault="006A05F6" w:rsidP="004515E4">
            <w:pPr>
              <w:pStyle w:val="Tabletext0"/>
              <w:rPr>
                <w:sz w:val="22"/>
              </w:rPr>
            </w:pPr>
            <w:r w:rsidRPr="00883399">
              <w:rPr>
                <w:sz w:val="22"/>
              </w:rPr>
              <w:t>10.2</w:t>
            </w:r>
          </w:p>
        </w:tc>
        <w:tc>
          <w:tcPr>
            <w:tcW w:w="962" w:type="dxa"/>
            <w:tcBorders>
              <w:top w:val="nil"/>
              <w:left w:val="nil"/>
              <w:bottom w:val="nil"/>
              <w:right w:val="nil"/>
            </w:tcBorders>
          </w:tcPr>
          <w:p w14:paraId="48BAD84A" w14:textId="77777777" w:rsidR="006A05F6" w:rsidRPr="00883399" w:rsidRDefault="006A05F6" w:rsidP="004515E4">
            <w:pPr>
              <w:pStyle w:val="Tabletext0"/>
              <w:rPr>
                <w:sz w:val="22"/>
              </w:rPr>
            </w:pPr>
            <w:r w:rsidRPr="00883399">
              <w:rPr>
                <w:sz w:val="22"/>
              </w:rPr>
              <w:t>93.5</w:t>
            </w:r>
          </w:p>
        </w:tc>
        <w:tc>
          <w:tcPr>
            <w:tcW w:w="959" w:type="dxa"/>
            <w:tcBorders>
              <w:top w:val="nil"/>
              <w:left w:val="nil"/>
              <w:bottom w:val="nil"/>
              <w:right w:val="nil"/>
            </w:tcBorders>
          </w:tcPr>
          <w:p w14:paraId="4308772F" w14:textId="77777777" w:rsidR="006A05F6" w:rsidRPr="00883399" w:rsidRDefault="006A05F6" w:rsidP="004515E4">
            <w:pPr>
              <w:pStyle w:val="Tabletext0"/>
              <w:rPr>
                <w:sz w:val="22"/>
              </w:rPr>
            </w:pPr>
            <w:r w:rsidRPr="00883399">
              <w:rPr>
                <w:sz w:val="22"/>
              </w:rPr>
              <w:t>0.02</w:t>
            </w:r>
          </w:p>
        </w:tc>
        <w:tc>
          <w:tcPr>
            <w:tcW w:w="960" w:type="dxa"/>
            <w:tcBorders>
              <w:top w:val="nil"/>
              <w:left w:val="nil"/>
              <w:bottom w:val="nil"/>
              <w:right w:val="nil"/>
            </w:tcBorders>
          </w:tcPr>
          <w:p w14:paraId="36D119EB" w14:textId="77777777" w:rsidR="006A05F6" w:rsidRPr="00883399" w:rsidRDefault="006A05F6" w:rsidP="004515E4">
            <w:pPr>
              <w:pStyle w:val="Tabletext0"/>
              <w:rPr>
                <w:sz w:val="22"/>
              </w:rPr>
            </w:pPr>
            <w:r w:rsidRPr="00883399">
              <w:rPr>
                <w:sz w:val="22"/>
              </w:rPr>
              <w:t>0.4</w:t>
            </w:r>
          </w:p>
        </w:tc>
      </w:tr>
      <w:tr w:rsidR="006A05F6" w:rsidRPr="00883399" w14:paraId="2BCF76C3" w14:textId="77777777" w:rsidTr="0031057E">
        <w:trPr>
          <w:cantSplit/>
        </w:trPr>
        <w:tc>
          <w:tcPr>
            <w:tcW w:w="688" w:type="dxa"/>
            <w:tcBorders>
              <w:top w:val="nil"/>
              <w:left w:val="nil"/>
              <w:bottom w:val="nil"/>
              <w:right w:val="nil"/>
            </w:tcBorders>
          </w:tcPr>
          <w:p w14:paraId="302B4659" w14:textId="77777777" w:rsidR="006A05F6" w:rsidRPr="00883399" w:rsidRDefault="006A05F6" w:rsidP="004515E4">
            <w:pPr>
              <w:pStyle w:val="Tabletext0"/>
              <w:rPr>
                <w:sz w:val="22"/>
              </w:rPr>
            </w:pPr>
            <w:r w:rsidRPr="00883399">
              <w:rPr>
                <w:sz w:val="22"/>
              </w:rPr>
              <w:t>3</w:t>
            </w:r>
          </w:p>
        </w:tc>
        <w:tc>
          <w:tcPr>
            <w:tcW w:w="3200" w:type="dxa"/>
            <w:tcBorders>
              <w:top w:val="nil"/>
              <w:left w:val="nil"/>
              <w:bottom w:val="nil"/>
              <w:right w:val="nil"/>
            </w:tcBorders>
          </w:tcPr>
          <w:p w14:paraId="07369AF4" w14:textId="77777777" w:rsidR="006A05F6" w:rsidRPr="00883399" w:rsidRDefault="006A05F6" w:rsidP="004515E4">
            <w:pPr>
              <w:pStyle w:val="Tabletext0"/>
              <w:rPr>
                <w:sz w:val="22"/>
              </w:rPr>
            </w:pPr>
            <w:r w:rsidRPr="00883399">
              <w:rPr>
                <w:snapToGrid w:val="0"/>
                <w:sz w:val="22"/>
              </w:rPr>
              <w:t>Coking coal</w:t>
            </w:r>
          </w:p>
        </w:tc>
        <w:tc>
          <w:tcPr>
            <w:tcW w:w="1532" w:type="dxa"/>
            <w:tcBorders>
              <w:top w:val="nil"/>
              <w:left w:val="nil"/>
              <w:bottom w:val="nil"/>
              <w:right w:val="nil"/>
            </w:tcBorders>
          </w:tcPr>
          <w:p w14:paraId="54E33537" w14:textId="77777777" w:rsidR="006A05F6" w:rsidRPr="00883399" w:rsidRDefault="006A05F6" w:rsidP="004515E4">
            <w:pPr>
              <w:pStyle w:val="Tabletext0"/>
              <w:rPr>
                <w:sz w:val="22"/>
              </w:rPr>
            </w:pPr>
            <w:r w:rsidRPr="00883399">
              <w:rPr>
                <w:sz w:val="22"/>
              </w:rPr>
              <w:t>30.0</w:t>
            </w:r>
          </w:p>
        </w:tc>
        <w:tc>
          <w:tcPr>
            <w:tcW w:w="962" w:type="dxa"/>
            <w:tcBorders>
              <w:top w:val="nil"/>
              <w:left w:val="nil"/>
              <w:bottom w:val="nil"/>
              <w:right w:val="nil"/>
            </w:tcBorders>
          </w:tcPr>
          <w:p w14:paraId="2B7D7020" w14:textId="77777777" w:rsidR="006A05F6" w:rsidRPr="00883399" w:rsidRDefault="006A05F6" w:rsidP="004515E4">
            <w:pPr>
              <w:pStyle w:val="Tabletext0"/>
              <w:rPr>
                <w:sz w:val="22"/>
              </w:rPr>
            </w:pPr>
            <w:r w:rsidRPr="00883399">
              <w:rPr>
                <w:sz w:val="22"/>
              </w:rPr>
              <w:t>91.8</w:t>
            </w:r>
          </w:p>
        </w:tc>
        <w:tc>
          <w:tcPr>
            <w:tcW w:w="959" w:type="dxa"/>
            <w:tcBorders>
              <w:top w:val="nil"/>
              <w:left w:val="nil"/>
              <w:bottom w:val="nil"/>
              <w:right w:val="nil"/>
            </w:tcBorders>
          </w:tcPr>
          <w:p w14:paraId="064339BF" w14:textId="77777777" w:rsidR="006A05F6" w:rsidRPr="00883399" w:rsidRDefault="006A05F6" w:rsidP="004515E4">
            <w:pPr>
              <w:pStyle w:val="Tabletext0"/>
              <w:rPr>
                <w:sz w:val="22"/>
              </w:rPr>
            </w:pPr>
            <w:r w:rsidRPr="00883399">
              <w:rPr>
                <w:sz w:val="22"/>
              </w:rPr>
              <w:t>0.02</w:t>
            </w:r>
          </w:p>
        </w:tc>
        <w:tc>
          <w:tcPr>
            <w:tcW w:w="960" w:type="dxa"/>
            <w:tcBorders>
              <w:top w:val="nil"/>
              <w:left w:val="nil"/>
              <w:bottom w:val="nil"/>
              <w:right w:val="nil"/>
            </w:tcBorders>
          </w:tcPr>
          <w:p w14:paraId="5C0AF7C0" w14:textId="77777777" w:rsidR="006A05F6" w:rsidRPr="00883399" w:rsidRDefault="006A05F6" w:rsidP="004515E4">
            <w:pPr>
              <w:pStyle w:val="Tabletext0"/>
              <w:rPr>
                <w:sz w:val="22"/>
              </w:rPr>
            </w:pPr>
            <w:r w:rsidRPr="00883399">
              <w:rPr>
                <w:sz w:val="22"/>
              </w:rPr>
              <w:t>0.2</w:t>
            </w:r>
          </w:p>
        </w:tc>
      </w:tr>
      <w:tr w:rsidR="006A05F6" w:rsidRPr="00883399" w14:paraId="286D2FF5" w14:textId="77777777" w:rsidTr="0031057E">
        <w:trPr>
          <w:cantSplit/>
        </w:trPr>
        <w:tc>
          <w:tcPr>
            <w:tcW w:w="688" w:type="dxa"/>
            <w:tcBorders>
              <w:top w:val="nil"/>
              <w:left w:val="nil"/>
              <w:bottom w:val="nil"/>
              <w:right w:val="nil"/>
            </w:tcBorders>
          </w:tcPr>
          <w:p w14:paraId="510BF3E6" w14:textId="77777777" w:rsidR="006A05F6" w:rsidRPr="00883399" w:rsidRDefault="006A05F6" w:rsidP="004515E4">
            <w:pPr>
              <w:pStyle w:val="Tabletext0"/>
              <w:rPr>
                <w:sz w:val="22"/>
              </w:rPr>
            </w:pPr>
            <w:r w:rsidRPr="00883399">
              <w:rPr>
                <w:sz w:val="22"/>
              </w:rPr>
              <w:t>4</w:t>
            </w:r>
          </w:p>
        </w:tc>
        <w:tc>
          <w:tcPr>
            <w:tcW w:w="3200" w:type="dxa"/>
            <w:tcBorders>
              <w:top w:val="nil"/>
              <w:left w:val="nil"/>
              <w:bottom w:val="nil"/>
              <w:right w:val="nil"/>
            </w:tcBorders>
          </w:tcPr>
          <w:p w14:paraId="5298AF52" w14:textId="77777777" w:rsidR="006A05F6" w:rsidRPr="00883399" w:rsidRDefault="006A05F6" w:rsidP="004515E4">
            <w:pPr>
              <w:pStyle w:val="Tabletext0"/>
              <w:rPr>
                <w:sz w:val="22"/>
              </w:rPr>
            </w:pPr>
            <w:r w:rsidRPr="00883399">
              <w:rPr>
                <w:sz w:val="22"/>
              </w:rPr>
              <w:t>Coal briquettes</w:t>
            </w:r>
          </w:p>
        </w:tc>
        <w:tc>
          <w:tcPr>
            <w:tcW w:w="1532" w:type="dxa"/>
            <w:tcBorders>
              <w:top w:val="nil"/>
              <w:left w:val="nil"/>
              <w:bottom w:val="nil"/>
              <w:right w:val="nil"/>
            </w:tcBorders>
          </w:tcPr>
          <w:p w14:paraId="468AC4CA" w14:textId="77777777" w:rsidR="006A05F6" w:rsidRPr="00883399" w:rsidRDefault="006A05F6" w:rsidP="004515E4">
            <w:pPr>
              <w:pStyle w:val="Tabletext0"/>
              <w:rPr>
                <w:sz w:val="22"/>
              </w:rPr>
            </w:pPr>
            <w:r w:rsidRPr="00883399">
              <w:rPr>
                <w:sz w:val="22"/>
              </w:rPr>
              <w:t>22.1</w:t>
            </w:r>
          </w:p>
        </w:tc>
        <w:tc>
          <w:tcPr>
            <w:tcW w:w="962" w:type="dxa"/>
            <w:tcBorders>
              <w:top w:val="nil"/>
              <w:left w:val="nil"/>
              <w:bottom w:val="nil"/>
              <w:right w:val="nil"/>
            </w:tcBorders>
          </w:tcPr>
          <w:p w14:paraId="54AC57B7" w14:textId="77777777" w:rsidR="006A05F6" w:rsidRPr="00883399" w:rsidRDefault="006A05F6" w:rsidP="004515E4">
            <w:pPr>
              <w:pStyle w:val="Tabletext0"/>
              <w:rPr>
                <w:sz w:val="22"/>
              </w:rPr>
            </w:pPr>
            <w:r w:rsidRPr="00883399">
              <w:rPr>
                <w:sz w:val="22"/>
              </w:rPr>
              <w:t>95.0</w:t>
            </w:r>
          </w:p>
        </w:tc>
        <w:tc>
          <w:tcPr>
            <w:tcW w:w="959" w:type="dxa"/>
            <w:tcBorders>
              <w:top w:val="nil"/>
              <w:left w:val="nil"/>
              <w:bottom w:val="nil"/>
              <w:right w:val="nil"/>
            </w:tcBorders>
          </w:tcPr>
          <w:p w14:paraId="72ADFB9E" w14:textId="77777777" w:rsidR="006A05F6" w:rsidRPr="00883399" w:rsidRDefault="006A05F6" w:rsidP="004515E4">
            <w:pPr>
              <w:pStyle w:val="Tabletext0"/>
              <w:rPr>
                <w:sz w:val="22"/>
              </w:rPr>
            </w:pPr>
            <w:r w:rsidRPr="00883399">
              <w:rPr>
                <w:sz w:val="22"/>
              </w:rPr>
              <w:t>0.07</w:t>
            </w:r>
          </w:p>
        </w:tc>
        <w:tc>
          <w:tcPr>
            <w:tcW w:w="960" w:type="dxa"/>
            <w:tcBorders>
              <w:top w:val="nil"/>
              <w:left w:val="nil"/>
              <w:bottom w:val="nil"/>
              <w:right w:val="nil"/>
            </w:tcBorders>
          </w:tcPr>
          <w:p w14:paraId="179ACB12" w14:textId="77777777" w:rsidR="006A05F6" w:rsidRPr="00883399" w:rsidRDefault="006A05F6" w:rsidP="004515E4">
            <w:pPr>
              <w:pStyle w:val="Tabletext0"/>
              <w:rPr>
                <w:sz w:val="22"/>
              </w:rPr>
            </w:pPr>
            <w:r w:rsidRPr="00883399">
              <w:rPr>
                <w:sz w:val="22"/>
              </w:rPr>
              <w:t>0.3</w:t>
            </w:r>
          </w:p>
        </w:tc>
      </w:tr>
      <w:tr w:rsidR="006A05F6" w:rsidRPr="00883399" w14:paraId="316EBCA9" w14:textId="77777777" w:rsidTr="0031057E">
        <w:trPr>
          <w:cantSplit/>
        </w:trPr>
        <w:tc>
          <w:tcPr>
            <w:tcW w:w="688" w:type="dxa"/>
            <w:tcBorders>
              <w:top w:val="nil"/>
              <w:left w:val="nil"/>
              <w:bottom w:val="nil"/>
              <w:right w:val="nil"/>
            </w:tcBorders>
          </w:tcPr>
          <w:p w14:paraId="7FD5893D" w14:textId="77777777" w:rsidR="006A05F6" w:rsidRPr="00883399" w:rsidRDefault="006A05F6" w:rsidP="004515E4">
            <w:pPr>
              <w:pStyle w:val="Tabletext0"/>
              <w:rPr>
                <w:sz w:val="22"/>
              </w:rPr>
            </w:pPr>
            <w:r w:rsidRPr="00883399">
              <w:rPr>
                <w:sz w:val="22"/>
              </w:rPr>
              <w:t>5</w:t>
            </w:r>
          </w:p>
        </w:tc>
        <w:tc>
          <w:tcPr>
            <w:tcW w:w="3200" w:type="dxa"/>
            <w:tcBorders>
              <w:top w:val="nil"/>
              <w:left w:val="nil"/>
              <w:bottom w:val="nil"/>
              <w:right w:val="nil"/>
            </w:tcBorders>
          </w:tcPr>
          <w:p w14:paraId="3DFEF50D" w14:textId="77777777" w:rsidR="006A05F6" w:rsidRPr="00883399" w:rsidRDefault="006A05F6" w:rsidP="004515E4">
            <w:pPr>
              <w:pStyle w:val="Tabletext0"/>
              <w:rPr>
                <w:sz w:val="22"/>
              </w:rPr>
            </w:pPr>
            <w:r w:rsidRPr="00883399">
              <w:rPr>
                <w:sz w:val="22"/>
              </w:rPr>
              <w:t>Coal coke</w:t>
            </w:r>
          </w:p>
        </w:tc>
        <w:tc>
          <w:tcPr>
            <w:tcW w:w="1532" w:type="dxa"/>
            <w:tcBorders>
              <w:top w:val="nil"/>
              <w:left w:val="nil"/>
              <w:bottom w:val="nil"/>
              <w:right w:val="nil"/>
            </w:tcBorders>
          </w:tcPr>
          <w:p w14:paraId="790BD25B" w14:textId="77777777" w:rsidR="006A05F6" w:rsidRPr="00883399" w:rsidRDefault="006A05F6" w:rsidP="004515E4">
            <w:pPr>
              <w:pStyle w:val="Tabletext0"/>
              <w:rPr>
                <w:sz w:val="22"/>
              </w:rPr>
            </w:pPr>
            <w:r w:rsidRPr="00883399">
              <w:rPr>
                <w:sz w:val="22"/>
              </w:rPr>
              <w:t>27.0</w:t>
            </w:r>
          </w:p>
        </w:tc>
        <w:tc>
          <w:tcPr>
            <w:tcW w:w="962" w:type="dxa"/>
            <w:tcBorders>
              <w:top w:val="nil"/>
              <w:left w:val="nil"/>
              <w:bottom w:val="nil"/>
              <w:right w:val="nil"/>
            </w:tcBorders>
          </w:tcPr>
          <w:p w14:paraId="5591D6B5" w14:textId="77777777" w:rsidR="006A05F6" w:rsidRPr="00883399" w:rsidRDefault="006A05F6" w:rsidP="004515E4">
            <w:pPr>
              <w:pStyle w:val="Tabletext0"/>
              <w:rPr>
                <w:sz w:val="22"/>
              </w:rPr>
            </w:pPr>
            <w:r w:rsidRPr="00883399">
              <w:rPr>
                <w:sz w:val="22"/>
              </w:rPr>
              <w:t>107.0</w:t>
            </w:r>
          </w:p>
        </w:tc>
        <w:tc>
          <w:tcPr>
            <w:tcW w:w="959" w:type="dxa"/>
            <w:tcBorders>
              <w:top w:val="nil"/>
              <w:left w:val="nil"/>
              <w:bottom w:val="nil"/>
              <w:right w:val="nil"/>
            </w:tcBorders>
          </w:tcPr>
          <w:p w14:paraId="56E6BC16" w14:textId="77777777" w:rsidR="006A05F6" w:rsidRPr="00883399" w:rsidRDefault="006A05F6" w:rsidP="004515E4">
            <w:pPr>
              <w:pStyle w:val="Tabletext0"/>
              <w:rPr>
                <w:sz w:val="22"/>
              </w:rPr>
            </w:pPr>
            <w:r w:rsidRPr="00883399">
              <w:rPr>
                <w:sz w:val="22"/>
              </w:rPr>
              <w:t>0.04</w:t>
            </w:r>
          </w:p>
        </w:tc>
        <w:tc>
          <w:tcPr>
            <w:tcW w:w="960" w:type="dxa"/>
            <w:tcBorders>
              <w:top w:val="nil"/>
              <w:left w:val="nil"/>
              <w:bottom w:val="nil"/>
              <w:right w:val="nil"/>
            </w:tcBorders>
          </w:tcPr>
          <w:p w14:paraId="6CCA8C21" w14:textId="77777777" w:rsidR="006A05F6" w:rsidRPr="00883399" w:rsidRDefault="006A05F6" w:rsidP="004515E4">
            <w:pPr>
              <w:pStyle w:val="Tabletext0"/>
              <w:rPr>
                <w:sz w:val="22"/>
              </w:rPr>
            </w:pPr>
            <w:r w:rsidRPr="00883399">
              <w:rPr>
                <w:sz w:val="22"/>
              </w:rPr>
              <w:t>0.2</w:t>
            </w:r>
          </w:p>
        </w:tc>
      </w:tr>
      <w:tr w:rsidR="006A05F6" w:rsidRPr="00883399" w14:paraId="66771D86" w14:textId="77777777" w:rsidTr="0031057E">
        <w:trPr>
          <w:cantSplit/>
        </w:trPr>
        <w:tc>
          <w:tcPr>
            <w:tcW w:w="688" w:type="dxa"/>
            <w:tcBorders>
              <w:top w:val="nil"/>
              <w:left w:val="nil"/>
              <w:bottom w:val="nil"/>
              <w:right w:val="nil"/>
            </w:tcBorders>
          </w:tcPr>
          <w:p w14:paraId="00485DD0" w14:textId="77777777" w:rsidR="006A05F6" w:rsidRPr="00883399" w:rsidRDefault="006A05F6" w:rsidP="004515E4">
            <w:pPr>
              <w:pStyle w:val="Tabletext0"/>
              <w:rPr>
                <w:sz w:val="22"/>
              </w:rPr>
            </w:pPr>
            <w:r w:rsidRPr="00883399">
              <w:rPr>
                <w:sz w:val="22"/>
              </w:rPr>
              <w:t>6</w:t>
            </w:r>
          </w:p>
        </w:tc>
        <w:tc>
          <w:tcPr>
            <w:tcW w:w="3200" w:type="dxa"/>
            <w:tcBorders>
              <w:top w:val="nil"/>
              <w:left w:val="nil"/>
              <w:bottom w:val="nil"/>
              <w:right w:val="nil"/>
            </w:tcBorders>
          </w:tcPr>
          <w:p w14:paraId="7343B3CD" w14:textId="77777777" w:rsidR="006A05F6" w:rsidRPr="00883399" w:rsidRDefault="006A05F6" w:rsidP="004515E4">
            <w:pPr>
              <w:pStyle w:val="Tabletext0"/>
              <w:rPr>
                <w:sz w:val="22"/>
              </w:rPr>
            </w:pPr>
            <w:r w:rsidRPr="00883399">
              <w:rPr>
                <w:snapToGrid w:val="0"/>
                <w:sz w:val="22"/>
              </w:rPr>
              <w:t>Coal tar</w:t>
            </w:r>
          </w:p>
        </w:tc>
        <w:tc>
          <w:tcPr>
            <w:tcW w:w="1532" w:type="dxa"/>
            <w:tcBorders>
              <w:top w:val="nil"/>
              <w:left w:val="nil"/>
              <w:bottom w:val="nil"/>
              <w:right w:val="nil"/>
            </w:tcBorders>
          </w:tcPr>
          <w:p w14:paraId="0755A501" w14:textId="77777777" w:rsidR="006A05F6" w:rsidRPr="00883399" w:rsidRDefault="006A05F6" w:rsidP="004515E4">
            <w:pPr>
              <w:pStyle w:val="Tabletext0"/>
              <w:rPr>
                <w:sz w:val="22"/>
              </w:rPr>
            </w:pPr>
            <w:r w:rsidRPr="00883399">
              <w:rPr>
                <w:sz w:val="22"/>
              </w:rPr>
              <w:t>37.5</w:t>
            </w:r>
          </w:p>
        </w:tc>
        <w:tc>
          <w:tcPr>
            <w:tcW w:w="962" w:type="dxa"/>
            <w:tcBorders>
              <w:top w:val="nil"/>
              <w:left w:val="nil"/>
              <w:bottom w:val="nil"/>
              <w:right w:val="nil"/>
            </w:tcBorders>
          </w:tcPr>
          <w:p w14:paraId="7BA7DE04" w14:textId="77777777" w:rsidR="006A05F6" w:rsidRPr="00883399" w:rsidRDefault="006A05F6" w:rsidP="004515E4">
            <w:pPr>
              <w:pStyle w:val="Tabletext0"/>
              <w:rPr>
                <w:sz w:val="22"/>
              </w:rPr>
            </w:pPr>
            <w:r w:rsidRPr="00883399">
              <w:rPr>
                <w:sz w:val="22"/>
              </w:rPr>
              <w:t>81.8</w:t>
            </w:r>
          </w:p>
        </w:tc>
        <w:tc>
          <w:tcPr>
            <w:tcW w:w="959" w:type="dxa"/>
            <w:tcBorders>
              <w:top w:val="nil"/>
              <w:left w:val="nil"/>
              <w:bottom w:val="nil"/>
              <w:right w:val="nil"/>
            </w:tcBorders>
          </w:tcPr>
          <w:p w14:paraId="71FD4AAB" w14:textId="77777777" w:rsidR="006A05F6" w:rsidRPr="00883399" w:rsidRDefault="006A05F6" w:rsidP="004515E4">
            <w:pPr>
              <w:pStyle w:val="Tabletext0"/>
              <w:rPr>
                <w:sz w:val="22"/>
              </w:rPr>
            </w:pPr>
            <w:r w:rsidRPr="00883399">
              <w:rPr>
                <w:sz w:val="22"/>
              </w:rPr>
              <w:t>0.03</w:t>
            </w:r>
          </w:p>
        </w:tc>
        <w:tc>
          <w:tcPr>
            <w:tcW w:w="960" w:type="dxa"/>
            <w:tcBorders>
              <w:top w:val="nil"/>
              <w:left w:val="nil"/>
              <w:bottom w:val="nil"/>
              <w:right w:val="nil"/>
            </w:tcBorders>
          </w:tcPr>
          <w:p w14:paraId="1D266ED8" w14:textId="77777777" w:rsidR="006A05F6" w:rsidRPr="00883399" w:rsidRDefault="006A05F6" w:rsidP="004515E4">
            <w:pPr>
              <w:pStyle w:val="Tabletext0"/>
              <w:rPr>
                <w:sz w:val="22"/>
              </w:rPr>
            </w:pPr>
            <w:r w:rsidRPr="00883399">
              <w:rPr>
                <w:sz w:val="22"/>
              </w:rPr>
              <w:t>0.2</w:t>
            </w:r>
          </w:p>
        </w:tc>
      </w:tr>
      <w:tr w:rsidR="006A05F6" w:rsidRPr="00883399" w14:paraId="7ADB0E4A" w14:textId="77777777" w:rsidTr="0031057E">
        <w:trPr>
          <w:cantSplit/>
        </w:trPr>
        <w:tc>
          <w:tcPr>
            <w:tcW w:w="688" w:type="dxa"/>
            <w:tcBorders>
              <w:top w:val="nil"/>
              <w:left w:val="nil"/>
              <w:bottom w:val="nil"/>
              <w:right w:val="nil"/>
            </w:tcBorders>
          </w:tcPr>
          <w:p w14:paraId="02B47B58" w14:textId="77777777" w:rsidR="006A05F6" w:rsidRPr="00883399" w:rsidRDefault="006A05F6" w:rsidP="004515E4">
            <w:pPr>
              <w:pStyle w:val="Tabletext0"/>
              <w:rPr>
                <w:sz w:val="22"/>
              </w:rPr>
            </w:pPr>
            <w:r w:rsidRPr="00883399">
              <w:rPr>
                <w:sz w:val="22"/>
              </w:rPr>
              <w:t>7</w:t>
            </w:r>
          </w:p>
        </w:tc>
        <w:tc>
          <w:tcPr>
            <w:tcW w:w="3200" w:type="dxa"/>
            <w:tcBorders>
              <w:top w:val="nil"/>
              <w:left w:val="nil"/>
              <w:bottom w:val="nil"/>
              <w:right w:val="nil"/>
            </w:tcBorders>
          </w:tcPr>
          <w:p w14:paraId="60EC9464" w14:textId="77777777" w:rsidR="006A05F6" w:rsidRPr="00883399" w:rsidRDefault="006A05F6" w:rsidP="004515E4">
            <w:pPr>
              <w:pStyle w:val="Tabletext0"/>
              <w:rPr>
                <w:sz w:val="22"/>
              </w:rPr>
            </w:pPr>
            <w:r w:rsidRPr="00883399">
              <w:rPr>
                <w:sz w:val="22"/>
              </w:rPr>
              <w:t>Solid fossil fuels other than those mentioned in items 1 to 5</w:t>
            </w:r>
          </w:p>
        </w:tc>
        <w:tc>
          <w:tcPr>
            <w:tcW w:w="1532" w:type="dxa"/>
            <w:tcBorders>
              <w:top w:val="nil"/>
              <w:left w:val="nil"/>
              <w:bottom w:val="nil"/>
              <w:right w:val="nil"/>
            </w:tcBorders>
          </w:tcPr>
          <w:p w14:paraId="6F05ADB9" w14:textId="77777777" w:rsidR="006A05F6" w:rsidRPr="00883399" w:rsidRDefault="006A05F6" w:rsidP="004515E4">
            <w:pPr>
              <w:pStyle w:val="Tabletext0"/>
              <w:rPr>
                <w:sz w:val="22"/>
              </w:rPr>
            </w:pPr>
            <w:r w:rsidRPr="00883399">
              <w:rPr>
                <w:sz w:val="22"/>
              </w:rPr>
              <w:t>22.1</w:t>
            </w:r>
          </w:p>
        </w:tc>
        <w:tc>
          <w:tcPr>
            <w:tcW w:w="962" w:type="dxa"/>
            <w:tcBorders>
              <w:top w:val="nil"/>
              <w:left w:val="nil"/>
              <w:bottom w:val="nil"/>
              <w:right w:val="nil"/>
            </w:tcBorders>
          </w:tcPr>
          <w:p w14:paraId="47E68A8B" w14:textId="77777777" w:rsidR="006A05F6" w:rsidRPr="00883399" w:rsidRDefault="006A05F6" w:rsidP="004515E4">
            <w:pPr>
              <w:pStyle w:val="Tabletext0"/>
              <w:rPr>
                <w:sz w:val="22"/>
              </w:rPr>
            </w:pPr>
            <w:r w:rsidRPr="00883399">
              <w:rPr>
                <w:sz w:val="22"/>
              </w:rPr>
              <w:t>95.0</w:t>
            </w:r>
          </w:p>
        </w:tc>
        <w:tc>
          <w:tcPr>
            <w:tcW w:w="959" w:type="dxa"/>
            <w:tcBorders>
              <w:top w:val="nil"/>
              <w:left w:val="nil"/>
              <w:bottom w:val="nil"/>
              <w:right w:val="nil"/>
            </w:tcBorders>
          </w:tcPr>
          <w:p w14:paraId="725DC58B" w14:textId="77777777" w:rsidR="006A05F6" w:rsidRPr="00883399" w:rsidRDefault="006A05F6" w:rsidP="004515E4">
            <w:pPr>
              <w:pStyle w:val="Tabletext0"/>
              <w:rPr>
                <w:sz w:val="22"/>
              </w:rPr>
            </w:pPr>
            <w:r w:rsidRPr="00883399">
              <w:rPr>
                <w:sz w:val="22"/>
              </w:rPr>
              <w:t>0.07</w:t>
            </w:r>
          </w:p>
        </w:tc>
        <w:tc>
          <w:tcPr>
            <w:tcW w:w="960" w:type="dxa"/>
            <w:tcBorders>
              <w:top w:val="nil"/>
              <w:left w:val="nil"/>
              <w:bottom w:val="nil"/>
              <w:right w:val="nil"/>
            </w:tcBorders>
          </w:tcPr>
          <w:p w14:paraId="1270578A" w14:textId="77777777" w:rsidR="006A05F6" w:rsidRPr="00883399" w:rsidRDefault="006A05F6" w:rsidP="004515E4">
            <w:pPr>
              <w:pStyle w:val="Tabletext0"/>
              <w:rPr>
                <w:sz w:val="22"/>
              </w:rPr>
            </w:pPr>
            <w:r w:rsidRPr="00883399">
              <w:rPr>
                <w:sz w:val="22"/>
              </w:rPr>
              <w:t>0.3</w:t>
            </w:r>
          </w:p>
        </w:tc>
      </w:tr>
      <w:tr w:rsidR="006A05F6" w:rsidRPr="00883399" w14:paraId="0F1B10E0" w14:textId="77777777" w:rsidTr="0031057E">
        <w:trPr>
          <w:cantSplit/>
        </w:trPr>
        <w:tc>
          <w:tcPr>
            <w:tcW w:w="688" w:type="dxa"/>
            <w:tcBorders>
              <w:top w:val="nil"/>
              <w:left w:val="nil"/>
              <w:bottom w:val="nil"/>
              <w:right w:val="nil"/>
            </w:tcBorders>
          </w:tcPr>
          <w:p w14:paraId="40C01FD3" w14:textId="77777777" w:rsidR="006A05F6" w:rsidRPr="00883399" w:rsidRDefault="006A05F6" w:rsidP="004515E4">
            <w:pPr>
              <w:pStyle w:val="Tabletext0"/>
              <w:rPr>
                <w:sz w:val="22"/>
              </w:rPr>
            </w:pPr>
            <w:r w:rsidRPr="00883399">
              <w:rPr>
                <w:sz w:val="22"/>
              </w:rPr>
              <w:t>8</w:t>
            </w:r>
          </w:p>
        </w:tc>
        <w:tc>
          <w:tcPr>
            <w:tcW w:w="3200" w:type="dxa"/>
            <w:tcBorders>
              <w:top w:val="nil"/>
              <w:left w:val="nil"/>
              <w:bottom w:val="nil"/>
              <w:right w:val="nil"/>
            </w:tcBorders>
          </w:tcPr>
          <w:p w14:paraId="2591ADB5" w14:textId="77777777" w:rsidR="006A05F6" w:rsidRPr="00883399" w:rsidRDefault="006A05F6" w:rsidP="004515E4">
            <w:pPr>
              <w:pStyle w:val="Tabletext0"/>
              <w:rPr>
                <w:sz w:val="22"/>
              </w:rPr>
            </w:pPr>
            <w:r w:rsidRPr="00883399">
              <w:rPr>
                <w:snapToGrid w:val="0"/>
                <w:sz w:val="22"/>
              </w:rPr>
              <w:t xml:space="preserve">Industrial </w:t>
            </w:r>
            <w:r w:rsidRPr="00883399">
              <w:rPr>
                <w:sz w:val="22"/>
              </w:rPr>
              <w:t xml:space="preserve">materials and tyres that </w:t>
            </w:r>
            <w:r w:rsidRPr="00883399">
              <w:rPr>
                <w:snapToGrid w:val="0"/>
                <w:sz w:val="22"/>
              </w:rPr>
              <w:t>are derived from fossil fuels, if recycled and combusted to produce heat or electricity</w:t>
            </w:r>
          </w:p>
        </w:tc>
        <w:tc>
          <w:tcPr>
            <w:tcW w:w="1532" w:type="dxa"/>
            <w:tcBorders>
              <w:top w:val="nil"/>
              <w:left w:val="nil"/>
              <w:bottom w:val="nil"/>
              <w:right w:val="nil"/>
            </w:tcBorders>
          </w:tcPr>
          <w:p w14:paraId="60C1BA3D" w14:textId="77777777" w:rsidR="006A05F6" w:rsidRPr="00883399" w:rsidRDefault="006A05F6" w:rsidP="004515E4">
            <w:pPr>
              <w:pStyle w:val="Tabletext0"/>
              <w:rPr>
                <w:sz w:val="22"/>
              </w:rPr>
            </w:pPr>
            <w:r w:rsidRPr="00883399">
              <w:rPr>
                <w:sz w:val="22"/>
              </w:rPr>
              <w:t>26.3</w:t>
            </w:r>
          </w:p>
        </w:tc>
        <w:tc>
          <w:tcPr>
            <w:tcW w:w="962" w:type="dxa"/>
            <w:tcBorders>
              <w:top w:val="nil"/>
              <w:left w:val="nil"/>
              <w:bottom w:val="nil"/>
              <w:right w:val="nil"/>
            </w:tcBorders>
          </w:tcPr>
          <w:p w14:paraId="0312ACED" w14:textId="77777777" w:rsidR="006A05F6" w:rsidRPr="00883399" w:rsidRDefault="006A05F6" w:rsidP="004515E4">
            <w:pPr>
              <w:pStyle w:val="Tabletext0"/>
              <w:rPr>
                <w:sz w:val="22"/>
              </w:rPr>
            </w:pPr>
            <w:r w:rsidRPr="00883399">
              <w:rPr>
                <w:sz w:val="22"/>
              </w:rPr>
              <w:t>81.6</w:t>
            </w:r>
          </w:p>
        </w:tc>
        <w:tc>
          <w:tcPr>
            <w:tcW w:w="959" w:type="dxa"/>
            <w:tcBorders>
              <w:top w:val="nil"/>
              <w:left w:val="nil"/>
              <w:bottom w:val="nil"/>
              <w:right w:val="nil"/>
            </w:tcBorders>
          </w:tcPr>
          <w:p w14:paraId="7E80AFC0" w14:textId="77777777" w:rsidR="006A05F6" w:rsidRPr="00883399" w:rsidRDefault="006A05F6" w:rsidP="004515E4">
            <w:pPr>
              <w:pStyle w:val="Tabletext0"/>
              <w:rPr>
                <w:sz w:val="22"/>
              </w:rPr>
            </w:pPr>
            <w:r w:rsidRPr="00883399">
              <w:rPr>
                <w:sz w:val="22"/>
              </w:rPr>
              <w:t>0.02</w:t>
            </w:r>
          </w:p>
        </w:tc>
        <w:tc>
          <w:tcPr>
            <w:tcW w:w="960" w:type="dxa"/>
            <w:tcBorders>
              <w:top w:val="nil"/>
              <w:left w:val="nil"/>
              <w:bottom w:val="nil"/>
              <w:right w:val="nil"/>
            </w:tcBorders>
          </w:tcPr>
          <w:p w14:paraId="29E346AC" w14:textId="77777777" w:rsidR="006A05F6" w:rsidRPr="00883399" w:rsidRDefault="006A05F6" w:rsidP="004515E4">
            <w:pPr>
              <w:pStyle w:val="Tabletext0"/>
              <w:rPr>
                <w:sz w:val="22"/>
              </w:rPr>
            </w:pPr>
            <w:r w:rsidRPr="00883399">
              <w:rPr>
                <w:sz w:val="22"/>
              </w:rPr>
              <w:t>0.2</w:t>
            </w:r>
          </w:p>
        </w:tc>
      </w:tr>
      <w:tr w:rsidR="006A05F6" w:rsidRPr="00883399" w14:paraId="5D28EE99" w14:textId="77777777" w:rsidTr="0031057E">
        <w:trPr>
          <w:cantSplit/>
        </w:trPr>
        <w:tc>
          <w:tcPr>
            <w:tcW w:w="688" w:type="dxa"/>
            <w:tcBorders>
              <w:top w:val="nil"/>
              <w:left w:val="nil"/>
              <w:bottom w:val="nil"/>
              <w:right w:val="nil"/>
            </w:tcBorders>
          </w:tcPr>
          <w:p w14:paraId="1C63136E" w14:textId="77777777" w:rsidR="006A05F6" w:rsidRPr="00883399" w:rsidRDefault="006A05F6" w:rsidP="004515E4">
            <w:pPr>
              <w:pStyle w:val="Tabletext0"/>
              <w:rPr>
                <w:sz w:val="22"/>
              </w:rPr>
            </w:pPr>
            <w:r w:rsidRPr="00883399">
              <w:rPr>
                <w:sz w:val="22"/>
              </w:rPr>
              <w:lastRenderedPageBreak/>
              <w:t>9</w:t>
            </w:r>
          </w:p>
        </w:tc>
        <w:tc>
          <w:tcPr>
            <w:tcW w:w="3200" w:type="dxa"/>
            <w:tcBorders>
              <w:top w:val="nil"/>
              <w:left w:val="nil"/>
              <w:bottom w:val="nil"/>
              <w:right w:val="nil"/>
            </w:tcBorders>
          </w:tcPr>
          <w:p w14:paraId="1FED2354" w14:textId="77777777" w:rsidR="006A05F6" w:rsidRPr="00883399" w:rsidRDefault="006A05F6" w:rsidP="004515E4">
            <w:pPr>
              <w:pStyle w:val="Tabletext0"/>
              <w:rPr>
                <w:sz w:val="22"/>
              </w:rPr>
            </w:pPr>
            <w:r w:rsidRPr="00883399">
              <w:rPr>
                <w:snapToGrid w:val="0"/>
                <w:sz w:val="22"/>
              </w:rPr>
              <w:t>Non</w:t>
            </w:r>
            <w:r w:rsidRPr="00883399">
              <w:rPr>
                <w:snapToGrid w:val="0"/>
                <w:sz w:val="22"/>
              </w:rPr>
              <w:noBreakHyphen/>
              <w:t>biomass municipal materials, if recycled and combusted to produce heat or electricity</w:t>
            </w:r>
          </w:p>
        </w:tc>
        <w:tc>
          <w:tcPr>
            <w:tcW w:w="1532" w:type="dxa"/>
            <w:tcBorders>
              <w:top w:val="nil"/>
              <w:left w:val="nil"/>
              <w:bottom w:val="nil"/>
              <w:right w:val="nil"/>
            </w:tcBorders>
          </w:tcPr>
          <w:p w14:paraId="6771021D" w14:textId="77777777" w:rsidR="006A05F6" w:rsidRPr="00883399" w:rsidRDefault="006A05F6" w:rsidP="004515E4">
            <w:pPr>
              <w:pStyle w:val="Tabletext0"/>
              <w:rPr>
                <w:sz w:val="22"/>
              </w:rPr>
            </w:pPr>
            <w:r w:rsidRPr="00883399">
              <w:rPr>
                <w:sz w:val="22"/>
              </w:rPr>
              <w:t>10.5</w:t>
            </w:r>
          </w:p>
        </w:tc>
        <w:tc>
          <w:tcPr>
            <w:tcW w:w="962" w:type="dxa"/>
            <w:tcBorders>
              <w:top w:val="nil"/>
              <w:left w:val="nil"/>
              <w:bottom w:val="nil"/>
              <w:right w:val="nil"/>
            </w:tcBorders>
          </w:tcPr>
          <w:p w14:paraId="756B0001" w14:textId="77777777" w:rsidR="006A05F6" w:rsidRPr="00883399" w:rsidRDefault="006A05F6" w:rsidP="004515E4">
            <w:pPr>
              <w:pStyle w:val="Tabletext0"/>
              <w:rPr>
                <w:sz w:val="22"/>
              </w:rPr>
            </w:pPr>
            <w:r w:rsidRPr="00883399">
              <w:rPr>
                <w:sz w:val="22"/>
              </w:rPr>
              <w:t>87.1</w:t>
            </w:r>
          </w:p>
        </w:tc>
        <w:tc>
          <w:tcPr>
            <w:tcW w:w="959" w:type="dxa"/>
            <w:tcBorders>
              <w:top w:val="nil"/>
              <w:left w:val="nil"/>
              <w:bottom w:val="nil"/>
              <w:right w:val="nil"/>
            </w:tcBorders>
          </w:tcPr>
          <w:p w14:paraId="24EC0EAA" w14:textId="77777777" w:rsidR="006A05F6" w:rsidRPr="00883399" w:rsidRDefault="006A05F6" w:rsidP="004515E4">
            <w:pPr>
              <w:pStyle w:val="Tabletext0"/>
              <w:rPr>
                <w:sz w:val="22"/>
              </w:rPr>
            </w:pPr>
            <w:r w:rsidRPr="00883399">
              <w:rPr>
                <w:sz w:val="22"/>
              </w:rPr>
              <w:t>0.7</w:t>
            </w:r>
          </w:p>
        </w:tc>
        <w:tc>
          <w:tcPr>
            <w:tcW w:w="960" w:type="dxa"/>
            <w:tcBorders>
              <w:top w:val="nil"/>
              <w:left w:val="nil"/>
              <w:bottom w:val="nil"/>
              <w:right w:val="nil"/>
            </w:tcBorders>
          </w:tcPr>
          <w:p w14:paraId="0EFB639B" w14:textId="77777777" w:rsidR="006A05F6" w:rsidRPr="00883399" w:rsidRDefault="006A05F6" w:rsidP="004515E4">
            <w:pPr>
              <w:pStyle w:val="Tabletext0"/>
              <w:rPr>
                <w:sz w:val="22"/>
              </w:rPr>
            </w:pPr>
            <w:r w:rsidRPr="00883399">
              <w:rPr>
                <w:sz w:val="22"/>
              </w:rPr>
              <w:t>1.1</w:t>
            </w:r>
          </w:p>
        </w:tc>
      </w:tr>
      <w:tr w:rsidR="006A05F6" w:rsidRPr="00883399" w14:paraId="1B6A75D3" w14:textId="77777777" w:rsidTr="0031057E">
        <w:trPr>
          <w:cantSplit/>
        </w:trPr>
        <w:tc>
          <w:tcPr>
            <w:tcW w:w="688" w:type="dxa"/>
            <w:tcBorders>
              <w:top w:val="nil"/>
              <w:left w:val="nil"/>
              <w:bottom w:val="nil"/>
              <w:right w:val="nil"/>
            </w:tcBorders>
          </w:tcPr>
          <w:p w14:paraId="065653C1" w14:textId="77777777" w:rsidR="006A05F6" w:rsidRPr="00883399" w:rsidRDefault="006A05F6" w:rsidP="004515E4">
            <w:pPr>
              <w:pStyle w:val="Tabletext0"/>
              <w:rPr>
                <w:sz w:val="22"/>
              </w:rPr>
            </w:pPr>
            <w:r w:rsidRPr="00883399">
              <w:rPr>
                <w:sz w:val="22"/>
              </w:rPr>
              <w:t>10</w:t>
            </w:r>
          </w:p>
        </w:tc>
        <w:tc>
          <w:tcPr>
            <w:tcW w:w="3200" w:type="dxa"/>
            <w:tcBorders>
              <w:top w:val="nil"/>
              <w:left w:val="nil"/>
              <w:bottom w:val="nil"/>
              <w:right w:val="nil"/>
            </w:tcBorders>
          </w:tcPr>
          <w:p w14:paraId="38D7C35E" w14:textId="77777777" w:rsidR="006A05F6" w:rsidRPr="00883399" w:rsidRDefault="006A05F6" w:rsidP="004515E4">
            <w:pPr>
              <w:pStyle w:val="Tabletext0"/>
              <w:rPr>
                <w:sz w:val="22"/>
              </w:rPr>
            </w:pPr>
            <w:r w:rsidRPr="00883399">
              <w:rPr>
                <w:sz w:val="22"/>
              </w:rPr>
              <w:t>Dry wood</w:t>
            </w:r>
          </w:p>
        </w:tc>
        <w:tc>
          <w:tcPr>
            <w:tcW w:w="1532" w:type="dxa"/>
            <w:tcBorders>
              <w:top w:val="nil"/>
              <w:left w:val="nil"/>
              <w:bottom w:val="nil"/>
              <w:right w:val="nil"/>
            </w:tcBorders>
          </w:tcPr>
          <w:p w14:paraId="486EC617" w14:textId="77777777" w:rsidR="006A05F6" w:rsidRPr="00883399" w:rsidRDefault="006A05F6" w:rsidP="004515E4">
            <w:pPr>
              <w:pStyle w:val="Tabletext0"/>
              <w:rPr>
                <w:sz w:val="22"/>
              </w:rPr>
            </w:pPr>
            <w:r w:rsidRPr="00883399">
              <w:rPr>
                <w:sz w:val="22"/>
              </w:rPr>
              <w:t>16.2</w:t>
            </w:r>
          </w:p>
        </w:tc>
        <w:tc>
          <w:tcPr>
            <w:tcW w:w="962" w:type="dxa"/>
            <w:tcBorders>
              <w:top w:val="nil"/>
              <w:left w:val="nil"/>
              <w:bottom w:val="nil"/>
              <w:right w:val="nil"/>
            </w:tcBorders>
          </w:tcPr>
          <w:p w14:paraId="5CB22B22" w14:textId="77777777" w:rsidR="006A05F6" w:rsidRPr="00883399" w:rsidRDefault="006A05F6" w:rsidP="004515E4">
            <w:pPr>
              <w:pStyle w:val="Tabletext0"/>
              <w:rPr>
                <w:sz w:val="22"/>
              </w:rPr>
            </w:pPr>
            <w:r w:rsidRPr="00883399">
              <w:rPr>
                <w:sz w:val="22"/>
              </w:rPr>
              <w:t>0.0</w:t>
            </w:r>
          </w:p>
        </w:tc>
        <w:tc>
          <w:tcPr>
            <w:tcW w:w="959" w:type="dxa"/>
            <w:tcBorders>
              <w:top w:val="nil"/>
              <w:left w:val="nil"/>
              <w:bottom w:val="nil"/>
              <w:right w:val="nil"/>
            </w:tcBorders>
          </w:tcPr>
          <w:p w14:paraId="3A2D9BD5" w14:textId="77777777" w:rsidR="006A05F6" w:rsidRPr="00883399" w:rsidRDefault="006A05F6" w:rsidP="004515E4">
            <w:pPr>
              <w:pStyle w:val="Tabletext0"/>
              <w:rPr>
                <w:sz w:val="22"/>
              </w:rPr>
            </w:pPr>
            <w:r w:rsidRPr="00883399">
              <w:rPr>
                <w:sz w:val="22"/>
              </w:rPr>
              <w:t>0.10</w:t>
            </w:r>
          </w:p>
        </w:tc>
        <w:tc>
          <w:tcPr>
            <w:tcW w:w="960" w:type="dxa"/>
            <w:tcBorders>
              <w:top w:val="nil"/>
              <w:left w:val="nil"/>
              <w:bottom w:val="nil"/>
              <w:right w:val="nil"/>
            </w:tcBorders>
          </w:tcPr>
          <w:p w14:paraId="02C0041D" w14:textId="77777777" w:rsidR="006A05F6" w:rsidRPr="00883399" w:rsidRDefault="006A05F6" w:rsidP="004515E4">
            <w:pPr>
              <w:pStyle w:val="Tabletext0"/>
              <w:rPr>
                <w:sz w:val="22"/>
              </w:rPr>
            </w:pPr>
            <w:r w:rsidRPr="00883399">
              <w:rPr>
                <w:sz w:val="22"/>
              </w:rPr>
              <w:t>1.2</w:t>
            </w:r>
          </w:p>
        </w:tc>
      </w:tr>
      <w:tr w:rsidR="006A05F6" w:rsidRPr="00883399" w14:paraId="578EB37B" w14:textId="77777777" w:rsidTr="0031057E">
        <w:trPr>
          <w:cantSplit/>
        </w:trPr>
        <w:tc>
          <w:tcPr>
            <w:tcW w:w="688" w:type="dxa"/>
            <w:tcBorders>
              <w:top w:val="nil"/>
              <w:left w:val="nil"/>
              <w:bottom w:val="nil"/>
              <w:right w:val="nil"/>
            </w:tcBorders>
          </w:tcPr>
          <w:p w14:paraId="5E36D65A" w14:textId="77777777" w:rsidR="006A05F6" w:rsidRPr="00883399" w:rsidRDefault="006A05F6" w:rsidP="004515E4">
            <w:pPr>
              <w:pStyle w:val="Tabletext0"/>
              <w:rPr>
                <w:sz w:val="22"/>
              </w:rPr>
            </w:pPr>
            <w:r w:rsidRPr="00883399">
              <w:rPr>
                <w:sz w:val="22"/>
              </w:rPr>
              <w:t>11</w:t>
            </w:r>
          </w:p>
        </w:tc>
        <w:tc>
          <w:tcPr>
            <w:tcW w:w="3200" w:type="dxa"/>
            <w:tcBorders>
              <w:top w:val="nil"/>
              <w:left w:val="nil"/>
              <w:bottom w:val="nil"/>
              <w:right w:val="nil"/>
            </w:tcBorders>
          </w:tcPr>
          <w:p w14:paraId="78CA1C19" w14:textId="77777777" w:rsidR="006A05F6" w:rsidRPr="00883399" w:rsidRDefault="006A05F6" w:rsidP="004515E4">
            <w:pPr>
              <w:pStyle w:val="Tabletext0"/>
              <w:rPr>
                <w:sz w:val="22"/>
              </w:rPr>
            </w:pPr>
            <w:r w:rsidRPr="00883399">
              <w:rPr>
                <w:sz w:val="22"/>
              </w:rPr>
              <w:t>Green and air dried wood</w:t>
            </w:r>
          </w:p>
        </w:tc>
        <w:tc>
          <w:tcPr>
            <w:tcW w:w="1532" w:type="dxa"/>
            <w:tcBorders>
              <w:top w:val="nil"/>
              <w:left w:val="nil"/>
              <w:bottom w:val="nil"/>
              <w:right w:val="nil"/>
            </w:tcBorders>
          </w:tcPr>
          <w:p w14:paraId="7CA4F060" w14:textId="77777777" w:rsidR="006A05F6" w:rsidRPr="00883399" w:rsidRDefault="006A05F6" w:rsidP="004515E4">
            <w:pPr>
              <w:pStyle w:val="Tabletext0"/>
              <w:rPr>
                <w:sz w:val="22"/>
              </w:rPr>
            </w:pPr>
            <w:r w:rsidRPr="00883399">
              <w:rPr>
                <w:sz w:val="22"/>
              </w:rPr>
              <w:t>10.4</w:t>
            </w:r>
          </w:p>
        </w:tc>
        <w:tc>
          <w:tcPr>
            <w:tcW w:w="962" w:type="dxa"/>
            <w:tcBorders>
              <w:top w:val="nil"/>
              <w:left w:val="nil"/>
              <w:bottom w:val="nil"/>
              <w:right w:val="nil"/>
            </w:tcBorders>
          </w:tcPr>
          <w:p w14:paraId="5EA69878" w14:textId="77777777" w:rsidR="006A05F6" w:rsidRPr="00883399" w:rsidRDefault="006A05F6" w:rsidP="004515E4">
            <w:pPr>
              <w:pStyle w:val="Tabletext0"/>
              <w:rPr>
                <w:sz w:val="22"/>
              </w:rPr>
            </w:pPr>
            <w:r w:rsidRPr="00883399">
              <w:rPr>
                <w:sz w:val="22"/>
              </w:rPr>
              <w:t>0.0</w:t>
            </w:r>
          </w:p>
        </w:tc>
        <w:tc>
          <w:tcPr>
            <w:tcW w:w="959" w:type="dxa"/>
            <w:tcBorders>
              <w:top w:val="nil"/>
              <w:left w:val="nil"/>
              <w:bottom w:val="nil"/>
              <w:right w:val="nil"/>
            </w:tcBorders>
          </w:tcPr>
          <w:p w14:paraId="38342EB4" w14:textId="77777777" w:rsidR="006A05F6" w:rsidRPr="00883399" w:rsidRDefault="006A05F6" w:rsidP="004515E4">
            <w:pPr>
              <w:pStyle w:val="Tabletext0"/>
              <w:rPr>
                <w:sz w:val="22"/>
              </w:rPr>
            </w:pPr>
            <w:r w:rsidRPr="00883399">
              <w:rPr>
                <w:sz w:val="22"/>
              </w:rPr>
              <w:t>0.10</w:t>
            </w:r>
          </w:p>
        </w:tc>
        <w:tc>
          <w:tcPr>
            <w:tcW w:w="960" w:type="dxa"/>
            <w:tcBorders>
              <w:top w:val="nil"/>
              <w:left w:val="nil"/>
              <w:bottom w:val="nil"/>
              <w:right w:val="nil"/>
            </w:tcBorders>
          </w:tcPr>
          <w:p w14:paraId="44F07393" w14:textId="77777777" w:rsidR="006A05F6" w:rsidRPr="00883399" w:rsidRDefault="006A05F6" w:rsidP="004515E4">
            <w:pPr>
              <w:pStyle w:val="Tabletext0"/>
              <w:rPr>
                <w:sz w:val="22"/>
              </w:rPr>
            </w:pPr>
            <w:r w:rsidRPr="00883399">
              <w:rPr>
                <w:sz w:val="22"/>
              </w:rPr>
              <w:t>1.2</w:t>
            </w:r>
          </w:p>
        </w:tc>
      </w:tr>
      <w:tr w:rsidR="006A05F6" w:rsidRPr="00883399" w14:paraId="18763B2C" w14:textId="77777777" w:rsidTr="0031057E">
        <w:trPr>
          <w:cantSplit/>
        </w:trPr>
        <w:tc>
          <w:tcPr>
            <w:tcW w:w="688" w:type="dxa"/>
            <w:tcBorders>
              <w:top w:val="nil"/>
              <w:left w:val="nil"/>
              <w:bottom w:val="nil"/>
              <w:right w:val="nil"/>
            </w:tcBorders>
          </w:tcPr>
          <w:p w14:paraId="188850CD" w14:textId="77777777" w:rsidR="006A05F6" w:rsidRPr="00883399" w:rsidRDefault="006A05F6" w:rsidP="004515E4">
            <w:pPr>
              <w:pStyle w:val="Tabletext0"/>
              <w:rPr>
                <w:sz w:val="22"/>
              </w:rPr>
            </w:pPr>
            <w:r w:rsidRPr="00883399">
              <w:rPr>
                <w:sz w:val="22"/>
              </w:rPr>
              <w:t>12</w:t>
            </w:r>
          </w:p>
        </w:tc>
        <w:tc>
          <w:tcPr>
            <w:tcW w:w="3200" w:type="dxa"/>
            <w:tcBorders>
              <w:top w:val="nil"/>
              <w:left w:val="nil"/>
              <w:bottom w:val="nil"/>
              <w:right w:val="nil"/>
            </w:tcBorders>
          </w:tcPr>
          <w:p w14:paraId="40907727" w14:textId="77777777" w:rsidR="006A05F6" w:rsidRPr="00883399" w:rsidRDefault="006A05F6" w:rsidP="004515E4">
            <w:pPr>
              <w:pStyle w:val="Tabletext0"/>
              <w:rPr>
                <w:sz w:val="22"/>
              </w:rPr>
            </w:pPr>
            <w:r w:rsidRPr="00883399">
              <w:rPr>
                <w:sz w:val="22"/>
              </w:rPr>
              <w:t>Sulphite lyes</w:t>
            </w:r>
          </w:p>
        </w:tc>
        <w:tc>
          <w:tcPr>
            <w:tcW w:w="1532" w:type="dxa"/>
            <w:tcBorders>
              <w:top w:val="nil"/>
              <w:left w:val="nil"/>
              <w:bottom w:val="nil"/>
              <w:right w:val="nil"/>
            </w:tcBorders>
          </w:tcPr>
          <w:p w14:paraId="0137F33B" w14:textId="77777777" w:rsidR="006A05F6" w:rsidRPr="00883399" w:rsidRDefault="006A05F6" w:rsidP="004515E4">
            <w:pPr>
              <w:pStyle w:val="Tabletext0"/>
              <w:rPr>
                <w:sz w:val="22"/>
              </w:rPr>
            </w:pPr>
            <w:r w:rsidRPr="00883399">
              <w:rPr>
                <w:sz w:val="22"/>
              </w:rPr>
              <w:t>12.4</w:t>
            </w:r>
          </w:p>
        </w:tc>
        <w:tc>
          <w:tcPr>
            <w:tcW w:w="962" w:type="dxa"/>
            <w:tcBorders>
              <w:top w:val="nil"/>
              <w:left w:val="nil"/>
              <w:bottom w:val="nil"/>
              <w:right w:val="nil"/>
            </w:tcBorders>
          </w:tcPr>
          <w:p w14:paraId="5A7ACCAA" w14:textId="77777777" w:rsidR="006A05F6" w:rsidRPr="00883399" w:rsidRDefault="006A05F6" w:rsidP="004515E4">
            <w:pPr>
              <w:pStyle w:val="Tabletext0"/>
              <w:rPr>
                <w:sz w:val="22"/>
              </w:rPr>
            </w:pPr>
            <w:r w:rsidRPr="00883399">
              <w:rPr>
                <w:sz w:val="22"/>
              </w:rPr>
              <w:t>0.0</w:t>
            </w:r>
          </w:p>
        </w:tc>
        <w:tc>
          <w:tcPr>
            <w:tcW w:w="959" w:type="dxa"/>
            <w:tcBorders>
              <w:top w:val="nil"/>
              <w:left w:val="nil"/>
              <w:bottom w:val="nil"/>
              <w:right w:val="nil"/>
            </w:tcBorders>
          </w:tcPr>
          <w:p w14:paraId="340A725F" w14:textId="77777777" w:rsidR="006A05F6" w:rsidRPr="00883399" w:rsidRDefault="006A05F6" w:rsidP="004515E4">
            <w:pPr>
              <w:pStyle w:val="Tabletext0"/>
              <w:rPr>
                <w:sz w:val="22"/>
              </w:rPr>
            </w:pPr>
            <w:r w:rsidRPr="00883399">
              <w:rPr>
                <w:sz w:val="22"/>
              </w:rPr>
              <w:t>0.07</w:t>
            </w:r>
          </w:p>
        </w:tc>
        <w:tc>
          <w:tcPr>
            <w:tcW w:w="960" w:type="dxa"/>
            <w:tcBorders>
              <w:top w:val="nil"/>
              <w:left w:val="nil"/>
              <w:bottom w:val="nil"/>
              <w:right w:val="nil"/>
            </w:tcBorders>
          </w:tcPr>
          <w:p w14:paraId="0FD278F0" w14:textId="77777777" w:rsidR="006A05F6" w:rsidRPr="00883399" w:rsidRDefault="006A05F6" w:rsidP="004515E4">
            <w:pPr>
              <w:pStyle w:val="Tabletext0"/>
              <w:rPr>
                <w:sz w:val="22"/>
              </w:rPr>
            </w:pPr>
            <w:r w:rsidRPr="00883399">
              <w:rPr>
                <w:sz w:val="22"/>
              </w:rPr>
              <w:t>0.6</w:t>
            </w:r>
          </w:p>
        </w:tc>
      </w:tr>
      <w:tr w:rsidR="006A05F6" w:rsidRPr="00883399" w14:paraId="17168F0B" w14:textId="77777777" w:rsidTr="0031057E">
        <w:trPr>
          <w:cantSplit/>
        </w:trPr>
        <w:tc>
          <w:tcPr>
            <w:tcW w:w="688" w:type="dxa"/>
            <w:tcBorders>
              <w:top w:val="nil"/>
              <w:left w:val="nil"/>
              <w:bottom w:val="nil"/>
              <w:right w:val="nil"/>
            </w:tcBorders>
          </w:tcPr>
          <w:p w14:paraId="0AC8D25E" w14:textId="77777777" w:rsidR="006A05F6" w:rsidRPr="00883399" w:rsidRDefault="006A05F6" w:rsidP="004515E4">
            <w:pPr>
              <w:pStyle w:val="Tabletext0"/>
              <w:rPr>
                <w:sz w:val="22"/>
              </w:rPr>
            </w:pPr>
            <w:r w:rsidRPr="00883399">
              <w:rPr>
                <w:sz w:val="22"/>
              </w:rPr>
              <w:t>13</w:t>
            </w:r>
          </w:p>
        </w:tc>
        <w:tc>
          <w:tcPr>
            <w:tcW w:w="3200" w:type="dxa"/>
            <w:tcBorders>
              <w:top w:val="nil"/>
              <w:left w:val="nil"/>
              <w:bottom w:val="nil"/>
              <w:right w:val="nil"/>
            </w:tcBorders>
          </w:tcPr>
          <w:p w14:paraId="553B0948" w14:textId="77777777" w:rsidR="006A05F6" w:rsidRPr="00883399" w:rsidRDefault="006A05F6" w:rsidP="004515E4">
            <w:pPr>
              <w:pStyle w:val="Tabletext0"/>
              <w:rPr>
                <w:sz w:val="22"/>
              </w:rPr>
            </w:pPr>
            <w:r w:rsidRPr="00883399">
              <w:rPr>
                <w:sz w:val="22"/>
              </w:rPr>
              <w:t>Bagasse</w:t>
            </w:r>
          </w:p>
        </w:tc>
        <w:tc>
          <w:tcPr>
            <w:tcW w:w="1532" w:type="dxa"/>
            <w:tcBorders>
              <w:top w:val="nil"/>
              <w:left w:val="nil"/>
              <w:bottom w:val="nil"/>
              <w:right w:val="nil"/>
            </w:tcBorders>
          </w:tcPr>
          <w:p w14:paraId="54E004A5" w14:textId="77777777" w:rsidR="006A05F6" w:rsidRPr="00883399" w:rsidRDefault="006A05F6" w:rsidP="004515E4">
            <w:pPr>
              <w:pStyle w:val="Tabletext0"/>
              <w:rPr>
                <w:sz w:val="22"/>
              </w:rPr>
            </w:pPr>
            <w:r w:rsidRPr="00883399">
              <w:rPr>
                <w:sz w:val="22"/>
              </w:rPr>
              <w:t>9.6</w:t>
            </w:r>
          </w:p>
        </w:tc>
        <w:tc>
          <w:tcPr>
            <w:tcW w:w="962" w:type="dxa"/>
            <w:tcBorders>
              <w:top w:val="nil"/>
              <w:left w:val="nil"/>
              <w:bottom w:val="nil"/>
              <w:right w:val="nil"/>
            </w:tcBorders>
          </w:tcPr>
          <w:p w14:paraId="311F0097" w14:textId="77777777" w:rsidR="006A05F6" w:rsidRPr="00883399" w:rsidRDefault="006A05F6" w:rsidP="004515E4">
            <w:pPr>
              <w:pStyle w:val="Tabletext0"/>
              <w:rPr>
                <w:sz w:val="22"/>
              </w:rPr>
            </w:pPr>
            <w:r w:rsidRPr="00883399">
              <w:rPr>
                <w:sz w:val="22"/>
              </w:rPr>
              <w:t>0.0</w:t>
            </w:r>
          </w:p>
        </w:tc>
        <w:tc>
          <w:tcPr>
            <w:tcW w:w="959" w:type="dxa"/>
            <w:tcBorders>
              <w:top w:val="nil"/>
              <w:left w:val="nil"/>
              <w:bottom w:val="nil"/>
              <w:right w:val="nil"/>
            </w:tcBorders>
          </w:tcPr>
          <w:p w14:paraId="0D6661BF" w14:textId="77777777" w:rsidR="006A05F6" w:rsidRPr="00883399" w:rsidRDefault="006A05F6" w:rsidP="004515E4">
            <w:pPr>
              <w:pStyle w:val="Tabletext0"/>
              <w:rPr>
                <w:sz w:val="22"/>
              </w:rPr>
            </w:pPr>
            <w:r w:rsidRPr="00883399">
              <w:rPr>
                <w:sz w:val="22"/>
              </w:rPr>
              <w:t>0.2</w:t>
            </w:r>
          </w:p>
        </w:tc>
        <w:tc>
          <w:tcPr>
            <w:tcW w:w="960" w:type="dxa"/>
            <w:tcBorders>
              <w:top w:val="nil"/>
              <w:left w:val="nil"/>
              <w:bottom w:val="nil"/>
              <w:right w:val="nil"/>
            </w:tcBorders>
          </w:tcPr>
          <w:p w14:paraId="2BC09B67" w14:textId="77777777" w:rsidR="006A05F6" w:rsidRPr="00883399" w:rsidRDefault="006A05F6" w:rsidP="004515E4">
            <w:pPr>
              <w:pStyle w:val="Tabletext0"/>
              <w:rPr>
                <w:sz w:val="22"/>
              </w:rPr>
            </w:pPr>
            <w:r w:rsidRPr="00883399">
              <w:rPr>
                <w:sz w:val="22"/>
              </w:rPr>
              <w:t>1.2</w:t>
            </w:r>
          </w:p>
        </w:tc>
      </w:tr>
      <w:tr w:rsidR="006A05F6" w:rsidRPr="00883399" w14:paraId="5A3EF347" w14:textId="77777777" w:rsidTr="0031057E">
        <w:trPr>
          <w:cantSplit/>
        </w:trPr>
        <w:tc>
          <w:tcPr>
            <w:tcW w:w="688" w:type="dxa"/>
            <w:tcBorders>
              <w:top w:val="nil"/>
              <w:left w:val="nil"/>
              <w:bottom w:val="nil"/>
              <w:right w:val="nil"/>
            </w:tcBorders>
          </w:tcPr>
          <w:p w14:paraId="577A5D8E" w14:textId="77777777" w:rsidR="006A05F6" w:rsidRPr="00883399" w:rsidRDefault="006A05F6" w:rsidP="004515E4">
            <w:pPr>
              <w:pStyle w:val="Tabletext0"/>
              <w:rPr>
                <w:sz w:val="22"/>
              </w:rPr>
            </w:pPr>
            <w:r w:rsidRPr="00883399">
              <w:rPr>
                <w:sz w:val="22"/>
              </w:rPr>
              <w:t>14</w:t>
            </w:r>
          </w:p>
        </w:tc>
        <w:tc>
          <w:tcPr>
            <w:tcW w:w="3200" w:type="dxa"/>
            <w:tcBorders>
              <w:top w:val="nil"/>
              <w:left w:val="nil"/>
              <w:bottom w:val="nil"/>
              <w:right w:val="nil"/>
            </w:tcBorders>
          </w:tcPr>
          <w:p w14:paraId="0C63F225" w14:textId="77777777" w:rsidR="006A05F6" w:rsidRPr="00883399" w:rsidRDefault="006A05F6" w:rsidP="004515E4">
            <w:pPr>
              <w:pStyle w:val="Tabletext0"/>
              <w:rPr>
                <w:sz w:val="22"/>
              </w:rPr>
            </w:pPr>
            <w:r w:rsidRPr="00883399">
              <w:rPr>
                <w:sz w:val="22"/>
              </w:rPr>
              <w:t>Biomass municipal and industrial materials, if recycled and combusted to produce heat or electricity</w:t>
            </w:r>
          </w:p>
        </w:tc>
        <w:tc>
          <w:tcPr>
            <w:tcW w:w="1532" w:type="dxa"/>
            <w:tcBorders>
              <w:top w:val="nil"/>
              <w:left w:val="nil"/>
              <w:bottom w:val="nil"/>
              <w:right w:val="nil"/>
            </w:tcBorders>
          </w:tcPr>
          <w:p w14:paraId="714D3BF2" w14:textId="77777777" w:rsidR="006A05F6" w:rsidRPr="00883399" w:rsidRDefault="006A05F6" w:rsidP="004515E4">
            <w:pPr>
              <w:pStyle w:val="Tabletext0"/>
              <w:rPr>
                <w:sz w:val="22"/>
              </w:rPr>
            </w:pPr>
            <w:r w:rsidRPr="00883399">
              <w:rPr>
                <w:sz w:val="22"/>
              </w:rPr>
              <w:t>12.2</w:t>
            </w:r>
          </w:p>
        </w:tc>
        <w:tc>
          <w:tcPr>
            <w:tcW w:w="962" w:type="dxa"/>
            <w:tcBorders>
              <w:top w:val="nil"/>
              <w:left w:val="nil"/>
              <w:bottom w:val="nil"/>
              <w:right w:val="nil"/>
            </w:tcBorders>
          </w:tcPr>
          <w:p w14:paraId="3B01B032" w14:textId="77777777" w:rsidR="006A05F6" w:rsidRPr="00883399" w:rsidRDefault="006A05F6" w:rsidP="004515E4">
            <w:pPr>
              <w:pStyle w:val="Tabletext0"/>
              <w:rPr>
                <w:sz w:val="22"/>
              </w:rPr>
            </w:pPr>
            <w:r w:rsidRPr="00883399">
              <w:rPr>
                <w:sz w:val="22"/>
              </w:rPr>
              <w:t>0.0</w:t>
            </w:r>
          </w:p>
        </w:tc>
        <w:tc>
          <w:tcPr>
            <w:tcW w:w="959" w:type="dxa"/>
            <w:tcBorders>
              <w:top w:val="nil"/>
              <w:left w:val="nil"/>
              <w:bottom w:val="nil"/>
              <w:right w:val="nil"/>
            </w:tcBorders>
          </w:tcPr>
          <w:p w14:paraId="4AD13C9D" w14:textId="77777777" w:rsidR="006A05F6" w:rsidRPr="00883399" w:rsidRDefault="006A05F6" w:rsidP="004515E4">
            <w:pPr>
              <w:pStyle w:val="Tabletext0"/>
              <w:rPr>
                <w:sz w:val="22"/>
              </w:rPr>
            </w:pPr>
            <w:r w:rsidRPr="00883399">
              <w:rPr>
                <w:sz w:val="22"/>
              </w:rPr>
              <w:t>0.7</w:t>
            </w:r>
          </w:p>
        </w:tc>
        <w:tc>
          <w:tcPr>
            <w:tcW w:w="960" w:type="dxa"/>
            <w:tcBorders>
              <w:top w:val="nil"/>
              <w:left w:val="nil"/>
              <w:bottom w:val="nil"/>
              <w:right w:val="nil"/>
            </w:tcBorders>
          </w:tcPr>
          <w:p w14:paraId="580F33B1" w14:textId="77777777" w:rsidR="006A05F6" w:rsidRPr="00883399" w:rsidRDefault="006A05F6" w:rsidP="004515E4">
            <w:pPr>
              <w:pStyle w:val="Tabletext0"/>
              <w:rPr>
                <w:sz w:val="22"/>
              </w:rPr>
            </w:pPr>
            <w:r w:rsidRPr="00883399">
              <w:rPr>
                <w:sz w:val="22"/>
              </w:rPr>
              <w:t>1.1</w:t>
            </w:r>
          </w:p>
        </w:tc>
      </w:tr>
      <w:tr w:rsidR="006A05F6" w:rsidRPr="00883399" w14:paraId="0058ACE8" w14:textId="77777777" w:rsidTr="0031057E">
        <w:trPr>
          <w:cantSplit/>
        </w:trPr>
        <w:tc>
          <w:tcPr>
            <w:tcW w:w="688" w:type="dxa"/>
            <w:tcBorders>
              <w:top w:val="nil"/>
              <w:left w:val="nil"/>
              <w:bottom w:val="nil"/>
              <w:right w:val="nil"/>
            </w:tcBorders>
          </w:tcPr>
          <w:p w14:paraId="3C07CCCD" w14:textId="77777777" w:rsidR="006A05F6" w:rsidRPr="00883399" w:rsidRDefault="006A05F6" w:rsidP="004515E4">
            <w:pPr>
              <w:pStyle w:val="Tabletext0"/>
              <w:rPr>
                <w:sz w:val="22"/>
              </w:rPr>
            </w:pPr>
            <w:r w:rsidRPr="00883399">
              <w:rPr>
                <w:sz w:val="22"/>
              </w:rPr>
              <w:t>15</w:t>
            </w:r>
          </w:p>
        </w:tc>
        <w:tc>
          <w:tcPr>
            <w:tcW w:w="3200" w:type="dxa"/>
            <w:tcBorders>
              <w:top w:val="nil"/>
              <w:left w:val="nil"/>
              <w:bottom w:val="nil"/>
              <w:right w:val="nil"/>
            </w:tcBorders>
          </w:tcPr>
          <w:p w14:paraId="12489E6E" w14:textId="77777777" w:rsidR="006A05F6" w:rsidRPr="00883399" w:rsidRDefault="006A05F6" w:rsidP="004515E4">
            <w:pPr>
              <w:pStyle w:val="Tabletext0"/>
              <w:rPr>
                <w:sz w:val="22"/>
              </w:rPr>
            </w:pPr>
            <w:r w:rsidRPr="00883399">
              <w:rPr>
                <w:sz w:val="22"/>
              </w:rPr>
              <w:t>Charcoal</w:t>
            </w:r>
          </w:p>
        </w:tc>
        <w:tc>
          <w:tcPr>
            <w:tcW w:w="1532" w:type="dxa"/>
            <w:tcBorders>
              <w:top w:val="nil"/>
              <w:left w:val="nil"/>
              <w:bottom w:val="nil"/>
              <w:right w:val="nil"/>
            </w:tcBorders>
          </w:tcPr>
          <w:p w14:paraId="06F2A028" w14:textId="77777777" w:rsidR="006A05F6" w:rsidRPr="00883399" w:rsidRDefault="006A05F6" w:rsidP="004515E4">
            <w:pPr>
              <w:pStyle w:val="Tabletext0"/>
              <w:rPr>
                <w:sz w:val="22"/>
              </w:rPr>
            </w:pPr>
            <w:r w:rsidRPr="00883399">
              <w:rPr>
                <w:sz w:val="22"/>
              </w:rPr>
              <w:t>31.1</w:t>
            </w:r>
          </w:p>
        </w:tc>
        <w:tc>
          <w:tcPr>
            <w:tcW w:w="962" w:type="dxa"/>
            <w:tcBorders>
              <w:top w:val="nil"/>
              <w:left w:val="nil"/>
              <w:bottom w:val="nil"/>
              <w:right w:val="nil"/>
            </w:tcBorders>
          </w:tcPr>
          <w:p w14:paraId="24F6C8DE" w14:textId="77777777" w:rsidR="006A05F6" w:rsidRPr="00883399" w:rsidRDefault="006A05F6" w:rsidP="004515E4">
            <w:pPr>
              <w:pStyle w:val="Tabletext0"/>
              <w:rPr>
                <w:sz w:val="22"/>
              </w:rPr>
            </w:pPr>
            <w:r w:rsidRPr="00883399">
              <w:rPr>
                <w:sz w:val="22"/>
              </w:rPr>
              <w:t>0.0</w:t>
            </w:r>
          </w:p>
        </w:tc>
        <w:tc>
          <w:tcPr>
            <w:tcW w:w="959" w:type="dxa"/>
            <w:tcBorders>
              <w:top w:val="nil"/>
              <w:left w:val="nil"/>
              <w:bottom w:val="nil"/>
              <w:right w:val="nil"/>
            </w:tcBorders>
          </w:tcPr>
          <w:p w14:paraId="2A84B82E" w14:textId="77777777" w:rsidR="006A05F6" w:rsidRPr="00883399" w:rsidRDefault="006A05F6" w:rsidP="004515E4">
            <w:pPr>
              <w:pStyle w:val="Tabletext0"/>
              <w:rPr>
                <w:sz w:val="22"/>
              </w:rPr>
            </w:pPr>
            <w:r w:rsidRPr="00883399">
              <w:rPr>
                <w:sz w:val="22"/>
              </w:rPr>
              <w:t>4.8</w:t>
            </w:r>
          </w:p>
        </w:tc>
        <w:tc>
          <w:tcPr>
            <w:tcW w:w="960" w:type="dxa"/>
            <w:tcBorders>
              <w:top w:val="nil"/>
              <w:left w:val="nil"/>
              <w:bottom w:val="nil"/>
              <w:right w:val="nil"/>
            </w:tcBorders>
          </w:tcPr>
          <w:p w14:paraId="409A73C9" w14:textId="77777777" w:rsidR="006A05F6" w:rsidRPr="00883399" w:rsidRDefault="006A05F6" w:rsidP="004515E4">
            <w:pPr>
              <w:pStyle w:val="Tabletext0"/>
              <w:rPr>
                <w:sz w:val="22"/>
              </w:rPr>
            </w:pPr>
            <w:r w:rsidRPr="00883399">
              <w:rPr>
                <w:sz w:val="22"/>
              </w:rPr>
              <w:t>1.1</w:t>
            </w:r>
          </w:p>
        </w:tc>
      </w:tr>
      <w:tr w:rsidR="006A05F6" w:rsidRPr="00883399" w14:paraId="38906FC1" w14:textId="77777777" w:rsidTr="0031057E">
        <w:trPr>
          <w:cantSplit/>
        </w:trPr>
        <w:tc>
          <w:tcPr>
            <w:tcW w:w="688" w:type="dxa"/>
            <w:tcBorders>
              <w:top w:val="nil"/>
              <w:left w:val="nil"/>
              <w:right w:val="nil"/>
            </w:tcBorders>
          </w:tcPr>
          <w:p w14:paraId="64EDED50" w14:textId="77777777" w:rsidR="006A05F6" w:rsidRPr="00883399" w:rsidRDefault="006A05F6" w:rsidP="004515E4">
            <w:pPr>
              <w:pStyle w:val="Tabletext0"/>
              <w:rPr>
                <w:sz w:val="22"/>
              </w:rPr>
            </w:pPr>
            <w:r w:rsidRPr="00883399">
              <w:rPr>
                <w:sz w:val="22"/>
              </w:rPr>
              <w:t>16</w:t>
            </w:r>
          </w:p>
        </w:tc>
        <w:tc>
          <w:tcPr>
            <w:tcW w:w="3200" w:type="dxa"/>
            <w:tcBorders>
              <w:top w:val="nil"/>
              <w:left w:val="nil"/>
              <w:right w:val="nil"/>
            </w:tcBorders>
          </w:tcPr>
          <w:p w14:paraId="16B5F646" w14:textId="77777777" w:rsidR="006A05F6" w:rsidRPr="00883399" w:rsidRDefault="006A05F6" w:rsidP="004515E4">
            <w:pPr>
              <w:pStyle w:val="Tabletext0"/>
              <w:rPr>
                <w:sz w:val="22"/>
              </w:rPr>
            </w:pPr>
            <w:r w:rsidRPr="00883399">
              <w:rPr>
                <w:sz w:val="22"/>
              </w:rPr>
              <w:t>Primary solid biomass fuels other than those mentioned in items 10 to 15</w:t>
            </w:r>
          </w:p>
        </w:tc>
        <w:tc>
          <w:tcPr>
            <w:tcW w:w="1532" w:type="dxa"/>
            <w:tcBorders>
              <w:top w:val="nil"/>
              <w:left w:val="nil"/>
              <w:right w:val="nil"/>
            </w:tcBorders>
          </w:tcPr>
          <w:p w14:paraId="5DB5A5FB" w14:textId="77777777" w:rsidR="006A05F6" w:rsidRPr="00883399" w:rsidRDefault="006A05F6" w:rsidP="004515E4">
            <w:pPr>
              <w:pStyle w:val="Tabletext0"/>
              <w:rPr>
                <w:sz w:val="22"/>
              </w:rPr>
            </w:pPr>
            <w:r w:rsidRPr="00883399">
              <w:rPr>
                <w:sz w:val="22"/>
              </w:rPr>
              <w:t>12.2</w:t>
            </w:r>
          </w:p>
        </w:tc>
        <w:tc>
          <w:tcPr>
            <w:tcW w:w="962" w:type="dxa"/>
            <w:tcBorders>
              <w:top w:val="nil"/>
              <w:left w:val="nil"/>
              <w:right w:val="nil"/>
            </w:tcBorders>
          </w:tcPr>
          <w:p w14:paraId="1CAD8420" w14:textId="77777777" w:rsidR="006A05F6" w:rsidRPr="00883399" w:rsidRDefault="006A05F6" w:rsidP="004515E4">
            <w:pPr>
              <w:pStyle w:val="Tabletext0"/>
              <w:rPr>
                <w:sz w:val="22"/>
              </w:rPr>
            </w:pPr>
            <w:r w:rsidRPr="00883399">
              <w:rPr>
                <w:sz w:val="22"/>
              </w:rPr>
              <w:t>0.0</w:t>
            </w:r>
          </w:p>
        </w:tc>
        <w:tc>
          <w:tcPr>
            <w:tcW w:w="959" w:type="dxa"/>
            <w:tcBorders>
              <w:top w:val="nil"/>
              <w:left w:val="nil"/>
              <w:right w:val="nil"/>
            </w:tcBorders>
          </w:tcPr>
          <w:p w14:paraId="47B26F5B" w14:textId="77777777" w:rsidR="006A05F6" w:rsidRPr="00883399" w:rsidRDefault="006A05F6" w:rsidP="004515E4">
            <w:pPr>
              <w:pStyle w:val="Tabletext0"/>
              <w:rPr>
                <w:sz w:val="22"/>
              </w:rPr>
            </w:pPr>
            <w:r w:rsidRPr="00883399">
              <w:rPr>
                <w:sz w:val="22"/>
              </w:rPr>
              <w:t>0.7</w:t>
            </w:r>
          </w:p>
        </w:tc>
        <w:tc>
          <w:tcPr>
            <w:tcW w:w="960" w:type="dxa"/>
            <w:tcBorders>
              <w:top w:val="nil"/>
              <w:left w:val="nil"/>
              <w:right w:val="nil"/>
            </w:tcBorders>
          </w:tcPr>
          <w:p w14:paraId="2366C496" w14:textId="77777777" w:rsidR="006A05F6" w:rsidRPr="00883399" w:rsidRDefault="006A05F6" w:rsidP="004515E4">
            <w:pPr>
              <w:pStyle w:val="Tabletext0"/>
              <w:rPr>
                <w:sz w:val="22"/>
              </w:rPr>
            </w:pPr>
            <w:r w:rsidRPr="00883399">
              <w:rPr>
                <w:sz w:val="22"/>
              </w:rPr>
              <w:t>1.1</w:t>
            </w:r>
          </w:p>
        </w:tc>
      </w:tr>
    </w:tbl>
    <w:p w14:paraId="181C20F9" w14:textId="77777777" w:rsidR="00872C03" w:rsidRPr="00883399" w:rsidRDefault="00872C03" w:rsidP="00872C03">
      <w:pPr>
        <w:pStyle w:val="Note"/>
        <w:ind w:left="0"/>
        <w:rPr>
          <w:color w:val="000000"/>
          <w:sz w:val="16"/>
          <w:szCs w:val="16"/>
        </w:rPr>
      </w:pPr>
      <w:r w:rsidRPr="00883399">
        <w:rPr>
          <w:i/>
          <w:color w:val="000000"/>
          <w:sz w:val="16"/>
          <w:szCs w:val="16"/>
        </w:rPr>
        <w:t>Note </w:t>
      </w:r>
      <w:r w:rsidRPr="00883399">
        <w:rPr>
          <w:color w:val="000000"/>
          <w:sz w:val="16"/>
          <w:szCs w:val="16"/>
        </w:rPr>
        <w:t>  Energy content factors for coal products are measured on an as combusted basis.  The energy content for black coal and coking coal (metallurgical coal) is on a washed basis. Notes on the sources of the factors listed above can be found at Appendix 2A.</w:t>
      </w:r>
    </w:p>
    <w:p w14:paraId="0A29AC7A" w14:textId="77777777" w:rsidR="00872C03" w:rsidRPr="00883399" w:rsidRDefault="00872C03" w:rsidP="00872C03">
      <w:pPr>
        <w:spacing w:after="0"/>
        <w:rPr>
          <w:i/>
        </w:rPr>
      </w:pPr>
    </w:p>
    <w:p w14:paraId="7BCA8AC0" w14:textId="77777777" w:rsidR="00872C03" w:rsidRPr="00883399" w:rsidRDefault="00872C03" w:rsidP="00872C03">
      <w:r w:rsidRPr="00883399">
        <w:t xml:space="preserve">Additional coal classifications were introduced in the 2012-13 reporting year. The classifications are defined in the NGER Regulations (Regulation 1.03) and are based on Australian Standard AS2096-1987. </w:t>
      </w:r>
    </w:p>
    <w:p w14:paraId="2439DE10" w14:textId="77777777" w:rsidR="00872C03" w:rsidRPr="00883399" w:rsidRDefault="00872C03" w:rsidP="00872C03">
      <w:r w:rsidRPr="00883399">
        <w:t>The new classifications are defined in NGER Regulation 1.03 as follows:</w:t>
      </w:r>
    </w:p>
    <w:p w14:paraId="5B08DE75" w14:textId="77777777" w:rsidR="00872C03" w:rsidRPr="00883399" w:rsidRDefault="00872C03" w:rsidP="00872C03">
      <w:pPr>
        <w:pStyle w:val="ListParagraph"/>
        <w:numPr>
          <w:ilvl w:val="0"/>
          <w:numId w:val="53"/>
        </w:numPr>
        <w:ind w:left="426" w:hanging="426"/>
      </w:pPr>
      <w:r w:rsidRPr="00883399">
        <w:rPr>
          <w:b/>
        </w:rPr>
        <w:t>Anthracite</w:t>
      </w:r>
      <w:r w:rsidRPr="00883399">
        <w:t xml:space="preserve"> means coal having a volatile matter of less than 14.0% on a dry ash</w:t>
      </w:r>
      <w:r w:rsidRPr="00883399">
        <w:noBreakHyphen/>
        <w:t>free basis.</w:t>
      </w:r>
    </w:p>
    <w:p w14:paraId="7E4B15C0" w14:textId="77777777" w:rsidR="00872C03" w:rsidRPr="00883399" w:rsidRDefault="00872C03" w:rsidP="00872C03">
      <w:pPr>
        <w:pStyle w:val="ListParagraph"/>
        <w:ind w:left="426"/>
      </w:pPr>
    </w:p>
    <w:p w14:paraId="218E727E" w14:textId="77777777" w:rsidR="00872C03" w:rsidRPr="00883399" w:rsidRDefault="00872C03" w:rsidP="00872C03">
      <w:pPr>
        <w:pStyle w:val="ListParagraph"/>
        <w:numPr>
          <w:ilvl w:val="0"/>
          <w:numId w:val="53"/>
        </w:numPr>
        <w:ind w:left="426" w:hanging="426"/>
      </w:pPr>
      <w:r w:rsidRPr="00883399">
        <w:rPr>
          <w:b/>
        </w:rPr>
        <w:t>Bituminous</w:t>
      </w:r>
      <w:r w:rsidRPr="00883399">
        <w:t xml:space="preserve"> coal means coal having:</w:t>
      </w:r>
    </w:p>
    <w:p w14:paraId="70CB1C78" w14:textId="77777777" w:rsidR="00872C03" w:rsidRPr="00883399" w:rsidRDefault="00872C03" w:rsidP="00872C03">
      <w:pPr>
        <w:ind w:firstLine="720"/>
      </w:pPr>
      <w:r w:rsidRPr="00883399">
        <w:t>(a) a volatile matter of not less than 14.0% on a dry ash-free basis; and</w:t>
      </w:r>
    </w:p>
    <w:p w14:paraId="3B10197C" w14:textId="77777777" w:rsidR="00872C03" w:rsidRPr="00883399" w:rsidRDefault="00872C03" w:rsidP="00872C03">
      <w:pPr>
        <w:pStyle w:val="ListParagraph"/>
        <w:ind w:left="426" w:firstLine="294"/>
      </w:pPr>
      <w:r w:rsidRPr="00883399">
        <w:lastRenderedPageBreak/>
        <w:t>(b) gross specific energy of either:</w:t>
      </w:r>
    </w:p>
    <w:p w14:paraId="73AE877B" w14:textId="77777777" w:rsidR="00872C03" w:rsidRPr="00883399" w:rsidRDefault="00872C03" w:rsidP="00872C03">
      <w:pPr>
        <w:pStyle w:val="ListParagraph"/>
        <w:ind w:left="1701" w:hanging="261"/>
      </w:pPr>
      <w:r w:rsidRPr="00883399">
        <w:t>(i) not less than 26.50 megajoules per kilogram on an ash-free moist basis; or</w:t>
      </w:r>
    </w:p>
    <w:p w14:paraId="099066EF" w14:textId="77777777" w:rsidR="00872C03" w:rsidRPr="00883399" w:rsidRDefault="00872C03" w:rsidP="00872C03">
      <w:pPr>
        <w:pStyle w:val="ListParagraph"/>
        <w:ind w:left="1701" w:hanging="261"/>
      </w:pPr>
      <w:r w:rsidRPr="00883399">
        <w:t>(ii) not less than 24.00 megajoules per kilogram on an ash-free moist basis if the crucible swelling number is not less than one.</w:t>
      </w:r>
    </w:p>
    <w:p w14:paraId="03C98C03" w14:textId="77777777" w:rsidR="00872C03" w:rsidRPr="00883399" w:rsidRDefault="00872C03" w:rsidP="00872C03">
      <w:pPr>
        <w:pStyle w:val="ListParagraph"/>
        <w:ind w:left="1701" w:hanging="261"/>
      </w:pPr>
    </w:p>
    <w:p w14:paraId="660CF082" w14:textId="77777777" w:rsidR="00872C03" w:rsidRPr="00883399" w:rsidRDefault="00872C03" w:rsidP="00872C03">
      <w:pPr>
        <w:pStyle w:val="ListParagraph"/>
        <w:numPr>
          <w:ilvl w:val="0"/>
          <w:numId w:val="53"/>
        </w:numPr>
        <w:ind w:left="426" w:hanging="426"/>
      </w:pPr>
      <w:r w:rsidRPr="00883399">
        <w:rPr>
          <w:b/>
        </w:rPr>
        <w:t>Sub-bituminous coal</w:t>
      </w:r>
      <w:r w:rsidRPr="00883399">
        <w:t xml:space="preserve"> means coal having a gross specific energy of:</w:t>
      </w:r>
    </w:p>
    <w:p w14:paraId="19738585" w14:textId="77777777" w:rsidR="00872C03" w:rsidRPr="00883399" w:rsidRDefault="00872C03" w:rsidP="00872C03">
      <w:pPr>
        <w:pStyle w:val="ListParagraph"/>
        <w:ind w:left="426" w:firstLine="294"/>
      </w:pPr>
      <w:r w:rsidRPr="00883399">
        <w:t>(a) 19.00–23.99 megajoules per kilogram on an ash-free moist basis; or</w:t>
      </w:r>
    </w:p>
    <w:p w14:paraId="7FD5EE11" w14:textId="77777777" w:rsidR="00872C03" w:rsidRPr="00883399" w:rsidRDefault="00872C03" w:rsidP="00872C03">
      <w:pPr>
        <w:ind w:left="720"/>
      </w:pPr>
      <w:r w:rsidRPr="00883399">
        <w:t>(b) if the crucible swelling number is 0 or 1/2 — 19.00–26.49 megajoules per</w:t>
      </w:r>
      <w:r w:rsidRPr="00883399">
        <w:br/>
        <w:t xml:space="preserve">      kilogram on an ash-free moist basis.</w:t>
      </w:r>
    </w:p>
    <w:p w14:paraId="4D1B0F91" w14:textId="77777777" w:rsidR="00872C03" w:rsidRPr="00883399" w:rsidRDefault="00872C03" w:rsidP="00872C03">
      <w:pPr>
        <w:rPr>
          <w:b/>
          <w:sz w:val="22"/>
          <w:szCs w:val="22"/>
        </w:rPr>
      </w:pPr>
      <w:r w:rsidRPr="00883399">
        <w:rPr>
          <w:b/>
          <w:sz w:val="22"/>
          <w:szCs w:val="22"/>
        </w:rPr>
        <w:t>Example</w:t>
      </w:r>
    </w:p>
    <w:p w14:paraId="2230FE3A"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pPr>
      <w:r w:rsidRPr="00883399">
        <w:t xml:space="preserve">A facility consumes 20,000 tonnes of washed bituminous coal for a purpose other than for the production of electricity or coke.  The Reporter elects to use Method 1 </w:t>
      </w:r>
      <w:r w:rsidRPr="00883399">
        <w:rPr>
          <w:i/>
        </w:rPr>
        <w:t>(Division 2.2.2)</w:t>
      </w:r>
      <w:r w:rsidRPr="00883399">
        <w:t xml:space="preserve"> for each of the three greenhouse emission gases (</w:t>
      </w:r>
      <w:r w:rsidRPr="00883399">
        <w:rPr>
          <w:i/>
        </w:rPr>
        <w:t>j</w:t>
      </w:r>
      <w:r w:rsidRPr="00883399">
        <w:t>) (carbon dioxide, methane and nitrous oxide), for the fuel type bituminous coal. Emissions are estimated as follows:</w:t>
      </w:r>
    </w:p>
    <w:p w14:paraId="4C95B4A9"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jc w:val="center"/>
        <w:rPr>
          <w:sz w:val="22"/>
          <w:szCs w:val="22"/>
        </w:rPr>
      </w:pPr>
      <w:r w:rsidRPr="00883399">
        <w:rPr>
          <w:position w:val="-24"/>
        </w:rPr>
        <w:object w:dxaOrig="2600" w:dyaOrig="660" w14:anchorId="47505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75pt;height:39pt" o:ole="" o:bordertopcolor="this" o:borderleftcolor="this" o:borderbottomcolor="this" o:borderrightcolor="this">
            <v:imagedata r:id="rId32" o:title=""/>
          </v:shape>
          <o:OLEObject Type="Embed" ProgID="Equation.DSMT4" ShapeID="_x0000_i1025" DrawAspect="Content" ObjectID="_1594105916" r:id="rId33"/>
        </w:object>
      </w:r>
    </w:p>
    <w:p w14:paraId="26409D13"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spacing w:before="0"/>
        <w:rPr>
          <w:sz w:val="18"/>
          <w:szCs w:val="18"/>
        </w:rPr>
      </w:pPr>
      <w:r w:rsidRPr="00883399">
        <w:rPr>
          <w:sz w:val="18"/>
          <w:szCs w:val="18"/>
        </w:rPr>
        <w:t>where:</w:t>
      </w:r>
    </w:p>
    <w:p w14:paraId="17D6A80A"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sz w:val="18"/>
          <w:szCs w:val="18"/>
        </w:rPr>
      </w:pPr>
      <w:r w:rsidRPr="00883399">
        <w:rPr>
          <w:b/>
          <w:i/>
          <w:sz w:val="18"/>
          <w:szCs w:val="18"/>
        </w:rPr>
        <w:t>E</w:t>
      </w:r>
      <w:r w:rsidRPr="00883399">
        <w:rPr>
          <w:b/>
          <w:i/>
          <w:iCs/>
          <w:sz w:val="18"/>
          <w:szCs w:val="18"/>
          <w:vertAlign w:val="subscript"/>
        </w:rPr>
        <w:t xml:space="preserve">ij </w:t>
      </w:r>
      <w:r w:rsidRPr="00883399">
        <w:rPr>
          <w:sz w:val="18"/>
          <w:szCs w:val="18"/>
        </w:rPr>
        <w:t>is the emissions of gas type (</w:t>
      </w:r>
      <w:r w:rsidRPr="00883399">
        <w:rPr>
          <w:b/>
          <w:i/>
          <w:sz w:val="18"/>
          <w:szCs w:val="18"/>
        </w:rPr>
        <w:t>j</w:t>
      </w:r>
      <w:r w:rsidRPr="00883399">
        <w:rPr>
          <w:sz w:val="18"/>
          <w:szCs w:val="18"/>
        </w:rPr>
        <w:t>) released from the combustion of fuel type (</w:t>
      </w:r>
      <w:r w:rsidRPr="00883399">
        <w:rPr>
          <w:b/>
          <w:i/>
          <w:sz w:val="18"/>
          <w:szCs w:val="18"/>
        </w:rPr>
        <w:t>i</w:t>
      </w:r>
      <w:r w:rsidRPr="00883399">
        <w:rPr>
          <w:sz w:val="18"/>
          <w:szCs w:val="18"/>
        </w:rPr>
        <w:t>) from the operation of the facility during the year measured in CO</w:t>
      </w:r>
      <w:r w:rsidRPr="00883399">
        <w:rPr>
          <w:sz w:val="18"/>
          <w:szCs w:val="18"/>
          <w:vertAlign w:val="subscript"/>
        </w:rPr>
        <w:t>2</w:t>
      </w:r>
      <w:r w:rsidRPr="00883399">
        <w:rPr>
          <w:sz w:val="18"/>
          <w:szCs w:val="18"/>
        </w:rPr>
        <w:noBreakHyphen/>
        <w:t>e tonnes.</w:t>
      </w:r>
    </w:p>
    <w:p w14:paraId="20F93BB6"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sz w:val="18"/>
          <w:szCs w:val="18"/>
        </w:rPr>
      </w:pPr>
      <w:r w:rsidRPr="00883399">
        <w:rPr>
          <w:b/>
          <w:i/>
          <w:sz w:val="18"/>
          <w:szCs w:val="18"/>
        </w:rPr>
        <w:t>Q</w:t>
      </w:r>
      <w:r w:rsidRPr="00883399">
        <w:rPr>
          <w:b/>
          <w:i/>
          <w:sz w:val="18"/>
          <w:szCs w:val="18"/>
          <w:vertAlign w:val="subscript"/>
        </w:rPr>
        <w:t>i</w:t>
      </w:r>
      <w:r w:rsidRPr="00883399">
        <w:rPr>
          <w:sz w:val="18"/>
          <w:szCs w:val="18"/>
          <w:vertAlign w:val="subscript"/>
        </w:rPr>
        <w:t xml:space="preserve"> </w:t>
      </w:r>
      <w:r w:rsidRPr="00883399">
        <w:rPr>
          <w:sz w:val="18"/>
          <w:szCs w:val="18"/>
        </w:rPr>
        <w:t xml:space="preserve">is the quantity of fuel type </w:t>
      </w:r>
      <w:r w:rsidRPr="00883399">
        <w:rPr>
          <w:i/>
          <w:sz w:val="18"/>
          <w:szCs w:val="18"/>
        </w:rPr>
        <w:t>(</w:t>
      </w:r>
      <w:r w:rsidRPr="00883399">
        <w:rPr>
          <w:b/>
          <w:i/>
          <w:sz w:val="18"/>
          <w:szCs w:val="18"/>
        </w:rPr>
        <w:t>i</w:t>
      </w:r>
      <w:r w:rsidRPr="00883399">
        <w:rPr>
          <w:i/>
          <w:sz w:val="18"/>
          <w:szCs w:val="18"/>
        </w:rPr>
        <w:t>)</w:t>
      </w:r>
      <w:r w:rsidRPr="00883399">
        <w:rPr>
          <w:sz w:val="18"/>
          <w:szCs w:val="18"/>
        </w:rPr>
        <w:t xml:space="preserve"> estimated under Division 2.2.5 measured in tonnes. </w:t>
      </w:r>
      <w:r w:rsidRPr="00883399">
        <w:rPr>
          <w:b/>
          <w:sz w:val="18"/>
          <w:szCs w:val="18"/>
        </w:rPr>
        <w:t>In this case it is 20,000 tonnes of bituminous coal.</w:t>
      </w:r>
    </w:p>
    <w:p w14:paraId="147471D0"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sz w:val="18"/>
          <w:szCs w:val="18"/>
        </w:rPr>
      </w:pPr>
      <w:r w:rsidRPr="00883399">
        <w:rPr>
          <w:b/>
          <w:i/>
          <w:sz w:val="18"/>
          <w:szCs w:val="18"/>
        </w:rPr>
        <w:t>EC</w:t>
      </w:r>
      <w:r w:rsidRPr="00883399">
        <w:rPr>
          <w:b/>
          <w:i/>
          <w:sz w:val="18"/>
          <w:szCs w:val="18"/>
          <w:vertAlign w:val="subscript"/>
        </w:rPr>
        <w:t>i</w:t>
      </w:r>
      <w:r w:rsidRPr="00883399">
        <w:rPr>
          <w:sz w:val="18"/>
          <w:szCs w:val="18"/>
        </w:rPr>
        <w:t xml:space="preserve"> is </w:t>
      </w:r>
      <w:r w:rsidRPr="00883399">
        <w:rPr>
          <w:color w:val="000000"/>
          <w:sz w:val="18"/>
          <w:szCs w:val="18"/>
        </w:rPr>
        <w:t xml:space="preserve">the energy content factor of fuel type </w:t>
      </w:r>
      <w:r w:rsidRPr="00883399">
        <w:rPr>
          <w:b/>
          <w:i/>
          <w:color w:val="000000"/>
          <w:sz w:val="18"/>
          <w:szCs w:val="18"/>
        </w:rPr>
        <w:t>(i)</w:t>
      </w:r>
      <w:r w:rsidRPr="00883399">
        <w:rPr>
          <w:color w:val="000000"/>
          <w:sz w:val="18"/>
          <w:szCs w:val="18"/>
        </w:rPr>
        <w:t xml:space="preserve"> estimated under section 6.5</w:t>
      </w:r>
      <w:r w:rsidRPr="00883399">
        <w:rPr>
          <w:sz w:val="18"/>
          <w:szCs w:val="18"/>
        </w:rPr>
        <w:t xml:space="preserve">. </w:t>
      </w:r>
      <w:r w:rsidRPr="00883399">
        <w:rPr>
          <w:b/>
          <w:sz w:val="18"/>
          <w:szCs w:val="18"/>
        </w:rPr>
        <w:t xml:space="preserve">In this case it is assumed to be 27 gigajoules per tonne for </w:t>
      </w:r>
      <w:bookmarkStart w:id="163" w:name="_Hlk328586222"/>
      <w:r w:rsidRPr="00883399">
        <w:rPr>
          <w:b/>
          <w:sz w:val="18"/>
          <w:szCs w:val="18"/>
        </w:rPr>
        <w:t xml:space="preserve">bituminous </w:t>
      </w:r>
      <w:bookmarkEnd w:id="163"/>
      <w:r w:rsidRPr="00883399">
        <w:rPr>
          <w:b/>
          <w:sz w:val="18"/>
          <w:szCs w:val="18"/>
        </w:rPr>
        <w:t>coal.</w:t>
      </w:r>
    </w:p>
    <w:p w14:paraId="523EF0FC"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sz w:val="18"/>
          <w:szCs w:val="18"/>
        </w:rPr>
      </w:pPr>
      <w:r w:rsidRPr="00883399">
        <w:rPr>
          <w:b/>
          <w:i/>
          <w:sz w:val="18"/>
          <w:szCs w:val="18"/>
        </w:rPr>
        <w:t>EF</w:t>
      </w:r>
      <w:r w:rsidRPr="00883399">
        <w:rPr>
          <w:b/>
          <w:i/>
          <w:sz w:val="18"/>
          <w:szCs w:val="18"/>
          <w:vertAlign w:val="subscript"/>
        </w:rPr>
        <w:t>ijoxec</w:t>
      </w:r>
      <w:r w:rsidRPr="00883399">
        <w:rPr>
          <w:sz w:val="18"/>
          <w:szCs w:val="18"/>
        </w:rPr>
        <w:t xml:space="preserve"> is the emission factor for each gas (which includes the effect of a default oxidation factor) released from the combustion of fuel type (</w:t>
      </w:r>
      <w:r w:rsidRPr="00883399">
        <w:rPr>
          <w:b/>
          <w:i/>
          <w:sz w:val="18"/>
          <w:szCs w:val="18"/>
        </w:rPr>
        <w:t>i</w:t>
      </w:r>
      <w:r w:rsidRPr="00883399">
        <w:rPr>
          <w:sz w:val="18"/>
          <w:szCs w:val="18"/>
        </w:rPr>
        <w:t>) measured in kilograms of CO</w:t>
      </w:r>
      <w:r w:rsidRPr="00883399">
        <w:rPr>
          <w:sz w:val="18"/>
          <w:szCs w:val="18"/>
          <w:vertAlign w:val="subscript"/>
        </w:rPr>
        <w:t>2</w:t>
      </w:r>
      <w:r w:rsidRPr="00883399">
        <w:rPr>
          <w:sz w:val="18"/>
          <w:szCs w:val="18"/>
        </w:rPr>
        <w:noBreakHyphen/>
        <w:t xml:space="preserve">e per gigajoule according to source as mentioned in Schedule 1. </w:t>
      </w:r>
      <w:r w:rsidRPr="00883399">
        <w:rPr>
          <w:b/>
          <w:sz w:val="18"/>
          <w:szCs w:val="18"/>
        </w:rPr>
        <w:t>In this case, for carbon dioxide, it is 90.0 kg CO</w:t>
      </w:r>
      <w:r w:rsidRPr="00883399">
        <w:rPr>
          <w:rFonts w:ascii="Times New Roman Bold" w:hAnsi="Times New Roman Bold"/>
          <w:b/>
          <w:sz w:val="18"/>
          <w:szCs w:val="18"/>
          <w:vertAlign w:val="subscript"/>
        </w:rPr>
        <w:t>2</w:t>
      </w:r>
      <w:r w:rsidRPr="00883399">
        <w:rPr>
          <w:b/>
          <w:sz w:val="18"/>
          <w:szCs w:val="18"/>
        </w:rPr>
        <w:t>-e per gigajoule for bituminous coal. For methane, the emission factor is 0.03 kilograms per gigajoule and for nitrous oxide, 0.2 kilograms per gigajoule.</w:t>
      </w:r>
    </w:p>
    <w:p w14:paraId="53AFC4C5"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pPr>
      <w:r w:rsidRPr="00883399">
        <w:lastRenderedPageBreak/>
        <w:t>Emissions of greenhouse gases (carbon dioxide, methane and nitrous oxide) in tonnes of CO</w:t>
      </w:r>
      <w:r w:rsidRPr="00883399">
        <w:rPr>
          <w:vertAlign w:val="subscript"/>
        </w:rPr>
        <w:t>2</w:t>
      </w:r>
      <w:r w:rsidRPr="00883399">
        <w:noBreakHyphen/>
        <w:t xml:space="preserve">e are estimated as follows: </w:t>
      </w:r>
    </w:p>
    <w:p w14:paraId="191C8F83"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720"/>
      </w:pPr>
      <w:r w:rsidRPr="00883399">
        <w:t xml:space="preserve">Emissions of carbon dioxide from combustion of bituminous coal: </w:t>
      </w:r>
    </w:p>
    <w:p w14:paraId="77BA552D"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720"/>
      </w:pPr>
      <w:r w:rsidRPr="00883399">
        <w:t>= (20,000 x 27.0 x 90.0)/1,000</w:t>
      </w:r>
    </w:p>
    <w:p w14:paraId="42628F37"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720"/>
      </w:pPr>
      <w:r w:rsidRPr="00883399">
        <w:t>= 48,600 t CO</w:t>
      </w:r>
      <w:r w:rsidRPr="00883399">
        <w:rPr>
          <w:vertAlign w:val="subscript"/>
        </w:rPr>
        <w:t>2</w:t>
      </w:r>
      <w:r w:rsidRPr="00883399">
        <w:t xml:space="preserve">-e </w:t>
      </w:r>
    </w:p>
    <w:p w14:paraId="5A1D1229"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720"/>
      </w:pPr>
      <w:r w:rsidRPr="00883399">
        <w:t xml:space="preserve">Emissions of methane from combustion of bituminous coal: </w:t>
      </w:r>
    </w:p>
    <w:p w14:paraId="284E9F4A"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720"/>
      </w:pPr>
      <w:r w:rsidRPr="00883399">
        <w:t xml:space="preserve">= (20,000 x 27.0 x 0.03)/1,000 </w:t>
      </w:r>
    </w:p>
    <w:p w14:paraId="6B419F0A"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720"/>
      </w:pPr>
      <w:r w:rsidRPr="00883399">
        <w:t>= 16 t CO</w:t>
      </w:r>
      <w:r w:rsidRPr="00883399">
        <w:rPr>
          <w:vertAlign w:val="subscript"/>
        </w:rPr>
        <w:t>2</w:t>
      </w:r>
      <w:r w:rsidRPr="00883399">
        <w:t>-e</w:t>
      </w:r>
    </w:p>
    <w:p w14:paraId="4F7F3592"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720"/>
      </w:pPr>
      <w:r w:rsidRPr="00883399">
        <w:t>Emissions of nitrous oxide from combustion of bituminous coal:</w:t>
      </w:r>
    </w:p>
    <w:p w14:paraId="5E371474"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720"/>
      </w:pPr>
      <w:r w:rsidRPr="00883399">
        <w:t xml:space="preserve">= (20,000 x 27.0 x 0.2)/1,000 </w:t>
      </w:r>
    </w:p>
    <w:p w14:paraId="02188DFF"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720"/>
      </w:pPr>
      <w:r w:rsidRPr="00883399">
        <w:t>= 108 t CO</w:t>
      </w:r>
      <w:r w:rsidRPr="00883399">
        <w:rPr>
          <w:vertAlign w:val="subscript"/>
        </w:rPr>
        <w:t>2</w:t>
      </w:r>
      <w:r w:rsidRPr="00883399">
        <w:t xml:space="preserve">-e </w:t>
      </w:r>
    </w:p>
    <w:p w14:paraId="030C19AD" w14:textId="77777777" w:rsidR="00872C03" w:rsidRPr="00883399" w:rsidRDefault="00872C03" w:rsidP="00872C03">
      <w:pPr>
        <w:pStyle w:val="Definition0"/>
        <w:rPr>
          <w:sz w:val="24"/>
        </w:rPr>
      </w:pPr>
    </w:p>
    <w:p w14:paraId="0241B182" w14:textId="0A525974" w:rsidR="00872C03" w:rsidRPr="00883399" w:rsidRDefault="00872C03" w:rsidP="00872C03">
      <w:pPr>
        <w:pStyle w:val="ActHead3"/>
        <w:pageBreakBefore/>
        <w:rPr>
          <w:sz w:val="32"/>
        </w:rPr>
      </w:pPr>
      <w:bookmarkStart w:id="164" w:name="_Toc423516741"/>
      <w:bookmarkStart w:id="165" w:name="_Toc495652654"/>
      <w:r w:rsidRPr="00883399">
        <w:rPr>
          <w:rStyle w:val="CharDivNo"/>
          <w:sz w:val="32"/>
        </w:rPr>
        <w:lastRenderedPageBreak/>
        <w:t>Division 2.2.3</w:t>
      </w:r>
      <w:r w:rsidRPr="00883399">
        <w:rPr>
          <w:sz w:val="32"/>
        </w:rPr>
        <w:t>—</w:t>
      </w:r>
      <w:r w:rsidRPr="00883399">
        <w:rPr>
          <w:rStyle w:val="CharDivText"/>
          <w:sz w:val="32"/>
        </w:rPr>
        <w:t>Method 2—emissions from solid fuels</w:t>
      </w:r>
      <w:bookmarkEnd w:id="164"/>
      <w:bookmarkEnd w:id="165"/>
    </w:p>
    <w:p w14:paraId="2D43806B" w14:textId="556E139A" w:rsidR="00872C03" w:rsidRPr="00883399" w:rsidRDefault="00872C03" w:rsidP="00872C03">
      <w:pPr>
        <w:pStyle w:val="ActHead4"/>
        <w:rPr>
          <w:sz w:val="28"/>
        </w:rPr>
      </w:pPr>
      <w:bookmarkStart w:id="166" w:name="_Toc423516742"/>
      <w:bookmarkStart w:id="167" w:name="_Toc495652655"/>
      <w:r w:rsidRPr="00883399">
        <w:rPr>
          <w:rStyle w:val="CharSubdNo"/>
          <w:sz w:val="28"/>
        </w:rPr>
        <w:t>Subdivision 2.2.3.1</w:t>
      </w:r>
      <w:r w:rsidRPr="00883399">
        <w:rPr>
          <w:sz w:val="28"/>
        </w:rPr>
        <w:t>—</w:t>
      </w:r>
      <w:r w:rsidRPr="00883399">
        <w:rPr>
          <w:rStyle w:val="CharSubdText"/>
          <w:sz w:val="28"/>
        </w:rPr>
        <w:t>Method 2—estimating carbon dioxide using default oxidation factor</w:t>
      </w:r>
      <w:bookmarkEnd w:id="166"/>
      <w:bookmarkEnd w:id="167"/>
    </w:p>
    <w:p w14:paraId="11A263EE" w14:textId="62E2FF78" w:rsidR="00872C03" w:rsidRPr="00883399" w:rsidRDefault="00872C03" w:rsidP="00872C03">
      <w:pPr>
        <w:pStyle w:val="ActHead5"/>
        <w:rPr>
          <w:sz w:val="28"/>
        </w:rPr>
      </w:pPr>
      <w:bookmarkStart w:id="168" w:name="_Toc423516743"/>
      <w:bookmarkStart w:id="169" w:name="_Toc495652656"/>
      <w:r w:rsidRPr="00883399">
        <w:rPr>
          <w:rStyle w:val="CharSectno"/>
          <w:sz w:val="28"/>
        </w:rPr>
        <w:t>2.5</w:t>
      </w:r>
      <w:r w:rsidRPr="00883399">
        <w:rPr>
          <w:sz w:val="28"/>
        </w:rPr>
        <w:t xml:space="preserve">  Method 2—estimating carbon dioxide using oxidation factor</w:t>
      </w:r>
      <w:bookmarkEnd w:id="168"/>
      <w:bookmarkEnd w:id="169"/>
    </w:p>
    <w:p w14:paraId="1DE050B5" w14:textId="77777777" w:rsidR="00872C03" w:rsidRPr="00883399" w:rsidRDefault="00872C03" w:rsidP="00872C03">
      <w:pPr>
        <w:pStyle w:val="subsection"/>
      </w:pPr>
    </w:p>
    <w:p w14:paraId="4184E42B" w14:textId="77777777" w:rsidR="00872C03" w:rsidRPr="00883399" w:rsidRDefault="00872C03" w:rsidP="00872C03">
      <w:pPr>
        <w:pStyle w:val="R1"/>
        <w:spacing w:before="240" w:after="80" w:line="312" w:lineRule="auto"/>
        <w:ind w:left="0" w:firstLine="0"/>
        <w:jc w:val="left"/>
        <w:rPr>
          <w:rFonts w:ascii="Arial" w:hAnsi="Arial" w:cs="Arial"/>
          <w:color w:val="000000"/>
          <w:sz w:val="22"/>
          <w:szCs w:val="22"/>
        </w:rPr>
      </w:pPr>
      <w:r w:rsidRPr="00883399">
        <w:rPr>
          <w:rFonts w:ascii="Arial" w:hAnsi="Arial" w:cs="Arial"/>
          <w:color w:val="000000"/>
          <w:sz w:val="22"/>
          <w:szCs w:val="22"/>
        </w:rPr>
        <w:t>Method 1 applies national emission factors to the estimation of emissions.  This approach produces accurate estimates for each facility in the sense that they are expected to be neither over nor under-estimates, but the approach effectively averages out the variations in emission factors for the fuels that might be applicable for a particular facility.  Better estimates of emissions at a particular facility may be obtained by sampling and analysing the fuels actually combusted at the facility for the intrinsic qualities of the fuels themselves that affect actual emission levels.  These qualities include the carbon, ash and moisture content of a fuel and may vary reasonably significantly from source to source, particularly for coals.</w:t>
      </w:r>
    </w:p>
    <w:p w14:paraId="22320E7E" w14:textId="77777777" w:rsidR="00872C03" w:rsidRPr="00883399" w:rsidRDefault="00872C03" w:rsidP="00872C03">
      <w:pPr>
        <w:pStyle w:val="R1"/>
        <w:spacing w:before="240" w:after="80" w:line="312" w:lineRule="auto"/>
        <w:ind w:left="0" w:firstLine="0"/>
        <w:jc w:val="left"/>
        <w:rPr>
          <w:rFonts w:ascii="Arial" w:hAnsi="Arial" w:cs="Arial"/>
          <w:color w:val="000000"/>
          <w:sz w:val="22"/>
          <w:szCs w:val="22"/>
        </w:rPr>
      </w:pPr>
      <w:r w:rsidRPr="00883399">
        <w:rPr>
          <w:rFonts w:ascii="Arial" w:hAnsi="Arial" w:cs="Arial"/>
          <w:color w:val="000000"/>
          <w:sz w:val="22"/>
          <w:szCs w:val="22"/>
        </w:rPr>
        <w:t xml:space="preserve">Method 2 is derived from the methodologies published in the </w:t>
      </w:r>
      <w:r w:rsidRPr="00883399">
        <w:rPr>
          <w:rFonts w:ascii="Arial" w:hAnsi="Arial" w:cs="Arial"/>
          <w:i/>
          <w:color w:val="000000"/>
          <w:sz w:val="22"/>
          <w:szCs w:val="22"/>
        </w:rPr>
        <w:t>Technical Guidelines for the Generator Efficiency Standards</w:t>
      </w:r>
      <w:r w:rsidRPr="00883399">
        <w:rPr>
          <w:rFonts w:ascii="Arial" w:hAnsi="Arial" w:cs="Arial"/>
          <w:color w:val="000000"/>
          <w:sz w:val="22"/>
          <w:szCs w:val="22"/>
        </w:rPr>
        <w:t xml:space="preserve"> program, released in December 2006 by the Australian Greenhouse Office, Department of Environment and Heritage and is designed to enable more accurate estimates of emissions to be made at a particular facility.  </w:t>
      </w:r>
    </w:p>
    <w:p w14:paraId="7562B0DE" w14:textId="77777777" w:rsidR="00872C03" w:rsidRPr="00883399" w:rsidRDefault="00872C03" w:rsidP="00872C03">
      <w:pPr>
        <w:pStyle w:val="R1"/>
        <w:spacing w:before="240" w:after="80" w:line="312" w:lineRule="auto"/>
        <w:ind w:left="0" w:firstLine="0"/>
        <w:jc w:val="left"/>
        <w:rPr>
          <w:rFonts w:ascii="Arial" w:hAnsi="Arial" w:cs="Arial"/>
          <w:color w:val="000000"/>
          <w:sz w:val="22"/>
          <w:szCs w:val="22"/>
        </w:rPr>
      </w:pPr>
      <w:r w:rsidRPr="00883399">
        <w:rPr>
          <w:rFonts w:ascii="Arial" w:hAnsi="Arial" w:cs="Arial"/>
          <w:color w:val="000000"/>
          <w:sz w:val="22"/>
          <w:szCs w:val="22"/>
        </w:rPr>
        <w:t xml:space="preserve">Under Method 2, representative and unbiased samples of fuels consumed must be obtained for analysis.  Analysis of the fuels for carbon, energy, ash or moisture content must be done in accordance with listed Australian or international documentary standards or equivalent.  </w:t>
      </w:r>
    </w:p>
    <w:p w14:paraId="66281E38" w14:textId="77777777" w:rsidR="00872C03" w:rsidRPr="00883399" w:rsidRDefault="00872C03" w:rsidP="00872C03">
      <w:pPr>
        <w:pStyle w:val="R2"/>
        <w:spacing w:before="240" w:after="80" w:line="312" w:lineRule="auto"/>
        <w:ind w:left="0" w:firstLine="0"/>
        <w:jc w:val="left"/>
        <w:rPr>
          <w:rFonts w:ascii="Arial" w:hAnsi="Arial" w:cs="Arial"/>
          <w:color w:val="000000"/>
          <w:sz w:val="22"/>
          <w:szCs w:val="22"/>
        </w:rPr>
      </w:pPr>
      <w:r w:rsidRPr="00883399">
        <w:rPr>
          <w:rFonts w:ascii="Arial" w:hAnsi="Arial" w:cs="Arial"/>
          <w:color w:val="000000"/>
          <w:sz w:val="22"/>
          <w:szCs w:val="22"/>
        </w:rPr>
        <w:t xml:space="preserve">In order to deduct carbon dioxide captured for permanent storage reporters are required to use Method 2 or higher. These higher order methods provide a more accurate estimate of the carbon dioxide emissions than under Method 1, the default method. As the carbon dioxide captured is deducted from the emissions estimate it is necessary to have a greater level of accuracy in the emissions estimate than is achieved using Method 1. </w:t>
      </w:r>
    </w:p>
    <w:p w14:paraId="2C1C4800" w14:textId="77777777" w:rsidR="00872C03" w:rsidRPr="00883399" w:rsidRDefault="00872C03" w:rsidP="00872C03">
      <w:pPr>
        <w:pStyle w:val="R1"/>
        <w:spacing w:before="240" w:after="80" w:line="312" w:lineRule="auto"/>
        <w:ind w:left="0" w:hanging="4"/>
        <w:jc w:val="left"/>
        <w:rPr>
          <w:rFonts w:ascii="Arial" w:hAnsi="Arial" w:cs="Arial"/>
          <w:color w:val="000000"/>
          <w:sz w:val="22"/>
          <w:szCs w:val="22"/>
        </w:rPr>
      </w:pPr>
      <w:r w:rsidRPr="00883399">
        <w:rPr>
          <w:rFonts w:ascii="Arial" w:hAnsi="Arial" w:cs="Arial"/>
          <w:color w:val="000000"/>
          <w:sz w:val="22"/>
          <w:szCs w:val="22"/>
        </w:rPr>
        <w:lastRenderedPageBreak/>
        <w:t xml:space="preserve">Division 2.2.3 also sets out a further choice for the estimation of emissions from solid fuel combustion, which is to estimate emissions with a) an assumed oxidation factor (sub-division 2.2.3.1) or b) to estimate the oxidation level by reference to additional information about the fuels combusted by the facility (Sub-division 2.2.3.2).  </w:t>
      </w:r>
    </w:p>
    <w:p w14:paraId="5402F2ED" w14:textId="77777777" w:rsidR="00872C03" w:rsidRPr="00883399" w:rsidRDefault="00872C03" w:rsidP="00872C03">
      <w:pPr>
        <w:pStyle w:val="R1"/>
        <w:spacing w:before="240" w:after="80" w:line="312" w:lineRule="auto"/>
        <w:ind w:left="0" w:hanging="4"/>
        <w:jc w:val="left"/>
        <w:rPr>
          <w:rFonts w:ascii="Arial" w:hAnsi="Arial" w:cs="Arial"/>
          <w:color w:val="000000"/>
          <w:sz w:val="22"/>
          <w:szCs w:val="22"/>
        </w:rPr>
      </w:pPr>
      <w:r w:rsidRPr="00883399">
        <w:rPr>
          <w:rFonts w:ascii="Arial" w:hAnsi="Arial" w:cs="Arial"/>
          <w:color w:val="000000"/>
          <w:sz w:val="22"/>
          <w:szCs w:val="22"/>
        </w:rPr>
        <w:t>For sub-division 2.2.3.1, oxidation factors are drawn from default factors utilised in the National Greenhouse Accounts.</w:t>
      </w:r>
    </w:p>
    <w:p w14:paraId="102E6084" w14:textId="77777777" w:rsidR="00872C03" w:rsidRPr="00883399" w:rsidRDefault="00872C03" w:rsidP="00872C03">
      <w:pPr>
        <w:pStyle w:val="R1"/>
        <w:spacing w:before="240" w:after="80" w:line="312" w:lineRule="auto"/>
        <w:ind w:left="0" w:hanging="4"/>
        <w:jc w:val="left"/>
        <w:rPr>
          <w:rFonts w:ascii="Arial" w:hAnsi="Arial" w:cs="Arial"/>
          <w:color w:val="000000"/>
          <w:sz w:val="22"/>
          <w:szCs w:val="22"/>
        </w:rPr>
      </w:pPr>
      <w:r w:rsidRPr="00883399">
        <w:rPr>
          <w:rFonts w:ascii="Arial" w:hAnsi="Arial" w:cs="Arial"/>
          <w:color w:val="000000"/>
          <w:sz w:val="22"/>
          <w:szCs w:val="22"/>
        </w:rPr>
        <w:t xml:space="preserve">Once the analysis of the fuel for carbon, ash and moisture has been completed, emissions may then be estimated in accordance with the equations specified in Section 2.5 (1) or 2.6 (1).  </w:t>
      </w:r>
    </w:p>
    <w:p w14:paraId="5E396970" w14:textId="77777777" w:rsidR="00872C03" w:rsidRPr="00883399" w:rsidRDefault="00872C03" w:rsidP="00872C03">
      <w:pPr>
        <w:pStyle w:val="subsection"/>
      </w:pPr>
    </w:p>
    <w:p w14:paraId="5B8EE473" w14:textId="77777777" w:rsidR="00872C03" w:rsidRPr="00883399" w:rsidRDefault="00872C03" w:rsidP="00872C03">
      <w:pPr>
        <w:pStyle w:val="subsection"/>
        <w:rPr>
          <w:sz w:val="24"/>
        </w:rPr>
      </w:pPr>
      <w:r w:rsidRPr="00883399">
        <w:rPr>
          <w:sz w:val="24"/>
        </w:rPr>
        <w:tab/>
        <w:t>(1)</w:t>
      </w:r>
      <w:r w:rsidRPr="00883399">
        <w:rPr>
          <w:sz w:val="24"/>
        </w:rPr>
        <w:tab/>
        <w:t>For subparagraph 2.3(1)(a)(ii), method 2 is:</w:t>
      </w:r>
    </w:p>
    <w:p w14:paraId="13DEE5CC" w14:textId="784ABC88"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7109D4E0" wp14:editId="21387AFB">
            <wp:extent cx="2446020" cy="415925"/>
            <wp:effectExtent l="1905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4"/>
                    <a:srcRect/>
                    <a:stretch>
                      <a:fillRect/>
                    </a:stretch>
                  </pic:blipFill>
                  <pic:spPr bwMode="auto">
                    <a:xfrm>
                      <a:off x="0" y="0"/>
                      <a:ext cx="2446020" cy="415925"/>
                    </a:xfrm>
                    <a:prstGeom prst="rect">
                      <a:avLst/>
                    </a:prstGeom>
                    <a:noFill/>
                    <a:ln w="9525">
                      <a:noFill/>
                      <a:miter lim="800000"/>
                      <a:headEnd/>
                      <a:tailEnd/>
                    </a:ln>
                  </pic:spPr>
                </pic:pic>
              </a:graphicData>
            </a:graphic>
          </wp:inline>
        </w:drawing>
      </w:r>
    </w:p>
    <w:p w14:paraId="69228AAA" w14:textId="77777777" w:rsidR="00872C03" w:rsidRPr="00883399" w:rsidRDefault="00872C03" w:rsidP="00872C03">
      <w:pPr>
        <w:pStyle w:val="subsection2"/>
        <w:rPr>
          <w:sz w:val="24"/>
        </w:rPr>
      </w:pPr>
      <w:r w:rsidRPr="00883399">
        <w:rPr>
          <w:sz w:val="24"/>
        </w:rPr>
        <w:t>where:</w:t>
      </w:r>
    </w:p>
    <w:p w14:paraId="6D2E8781" w14:textId="77777777" w:rsidR="00872C03" w:rsidRPr="00883399" w:rsidRDefault="00872C03" w:rsidP="00872C03">
      <w:pPr>
        <w:pStyle w:val="Definition0"/>
        <w:rPr>
          <w:sz w:val="24"/>
        </w:rPr>
      </w:pPr>
      <w:r w:rsidRPr="00883399">
        <w:rPr>
          <w:b/>
          <w:i/>
          <w:sz w:val="24"/>
        </w:rPr>
        <w:t>E</w:t>
      </w:r>
      <w:r w:rsidRPr="00883399">
        <w:rPr>
          <w:b/>
          <w:i/>
          <w:sz w:val="24"/>
          <w:vertAlign w:val="subscript"/>
        </w:rPr>
        <w:t>ico</w:t>
      </w:r>
      <w:r w:rsidRPr="00883399">
        <w:rPr>
          <w:b/>
          <w:i/>
          <w:position w:val="-6"/>
          <w:sz w:val="24"/>
          <w:szCs w:val="22"/>
          <w:vertAlign w:val="subscript"/>
        </w:rPr>
        <w:t>2</w:t>
      </w:r>
      <w:r w:rsidRPr="00883399">
        <w:rPr>
          <w:b/>
          <w:i/>
          <w:sz w:val="24"/>
          <w:vertAlign w:val="subscript"/>
        </w:rPr>
        <w:t xml:space="preserve"> </w:t>
      </w:r>
      <w:r w:rsidRPr="00883399">
        <w:rPr>
          <w:sz w:val="24"/>
        </w:rPr>
        <w:t>means the emissions of carbon dioxide released from the combustion of fuel type (</w:t>
      </w:r>
      <w:r w:rsidRPr="00883399">
        <w:rPr>
          <w:b/>
          <w:i/>
          <w:sz w:val="24"/>
        </w:rPr>
        <w:t>i</w:t>
      </w:r>
      <w:r w:rsidRPr="00883399">
        <w:rPr>
          <w:sz w:val="24"/>
        </w:rPr>
        <w:t>) from the operation of the facility during the year measured in CO</w:t>
      </w:r>
      <w:r w:rsidRPr="00883399">
        <w:rPr>
          <w:sz w:val="24"/>
          <w:vertAlign w:val="subscript"/>
        </w:rPr>
        <w:t>2</w:t>
      </w:r>
      <w:r w:rsidRPr="00883399">
        <w:rPr>
          <w:sz w:val="24"/>
        </w:rPr>
        <w:noBreakHyphen/>
        <w:t>e tonnes.</w:t>
      </w:r>
    </w:p>
    <w:p w14:paraId="2D114159" w14:textId="77777777" w:rsidR="00872C03" w:rsidRPr="00883399" w:rsidRDefault="00872C03" w:rsidP="00872C03">
      <w:pPr>
        <w:pStyle w:val="Definition0"/>
        <w:rPr>
          <w:sz w:val="24"/>
        </w:rPr>
      </w:pPr>
      <w:r w:rsidRPr="00883399">
        <w:rPr>
          <w:b/>
          <w:i/>
          <w:sz w:val="24"/>
        </w:rPr>
        <w:t>Q</w:t>
      </w:r>
      <w:r w:rsidRPr="00883399">
        <w:rPr>
          <w:b/>
          <w:i/>
          <w:sz w:val="24"/>
          <w:vertAlign w:val="subscript"/>
        </w:rPr>
        <w:t>i</w:t>
      </w:r>
      <w:r w:rsidRPr="00883399">
        <w:rPr>
          <w:b/>
          <w:i/>
          <w:sz w:val="24"/>
        </w:rPr>
        <w:t xml:space="preserve"> </w:t>
      </w:r>
      <w:r w:rsidRPr="00883399">
        <w:rPr>
          <w:sz w:val="24"/>
        </w:rPr>
        <w:t>is the quantity of fuel type (</w:t>
      </w:r>
      <w:r w:rsidRPr="00883399">
        <w:rPr>
          <w:b/>
          <w:i/>
          <w:sz w:val="24"/>
        </w:rPr>
        <w:t>i</w:t>
      </w:r>
      <w:r w:rsidRPr="00883399">
        <w:rPr>
          <w:sz w:val="24"/>
        </w:rPr>
        <w:t>) measured in tonnes and estimated under Division 2.2.5.</w:t>
      </w:r>
    </w:p>
    <w:p w14:paraId="0A04B2F3" w14:textId="77777777" w:rsidR="00872C03" w:rsidRPr="00883399" w:rsidRDefault="00872C03" w:rsidP="00872C03">
      <w:pPr>
        <w:pStyle w:val="Definition0"/>
        <w:rPr>
          <w:sz w:val="24"/>
        </w:rPr>
      </w:pPr>
      <w:r w:rsidRPr="00883399">
        <w:rPr>
          <w:b/>
          <w:bCs/>
          <w:i/>
          <w:iCs/>
          <w:sz w:val="24"/>
        </w:rPr>
        <w:t>EC</w:t>
      </w:r>
      <w:r w:rsidRPr="00883399">
        <w:rPr>
          <w:rStyle w:val="charsubscript0"/>
          <w:b/>
          <w:bCs/>
          <w:i/>
          <w:iCs/>
        </w:rPr>
        <w:t xml:space="preserve">i  </w:t>
      </w:r>
      <w:r w:rsidRPr="00883399">
        <w:rPr>
          <w:sz w:val="24"/>
        </w:rPr>
        <w:t xml:space="preserve">is the energy content factor of fuel type </w:t>
      </w:r>
      <w:r w:rsidRPr="00883399">
        <w:rPr>
          <w:b/>
          <w:i/>
          <w:sz w:val="24"/>
        </w:rPr>
        <w:t xml:space="preserve">(i) </w:t>
      </w:r>
      <w:r w:rsidRPr="00883399">
        <w:rPr>
          <w:sz w:val="24"/>
        </w:rPr>
        <w:t xml:space="preserve">estimated under section 6.5. </w:t>
      </w:r>
    </w:p>
    <w:p w14:paraId="7151CFEB" w14:textId="77777777" w:rsidR="00872C03" w:rsidRPr="00883399" w:rsidRDefault="00872C03" w:rsidP="00872C03">
      <w:pPr>
        <w:pStyle w:val="Definition0"/>
        <w:rPr>
          <w:sz w:val="24"/>
        </w:rPr>
      </w:pPr>
      <w:r w:rsidRPr="00883399">
        <w:rPr>
          <w:b/>
          <w:i/>
          <w:sz w:val="24"/>
          <w:szCs w:val="22"/>
        </w:rPr>
        <w:t>EF</w:t>
      </w:r>
      <w:r w:rsidRPr="00883399">
        <w:rPr>
          <w:b/>
          <w:i/>
          <w:sz w:val="24"/>
          <w:szCs w:val="22"/>
          <w:vertAlign w:val="subscript"/>
        </w:rPr>
        <w:t>ico</w:t>
      </w:r>
      <w:r w:rsidRPr="00883399">
        <w:rPr>
          <w:b/>
          <w:i/>
          <w:position w:val="-6"/>
          <w:sz w:val="24"/>
          <w:szCs w:val="22"/>
          <w:vertAlign w:val="subscript"/>
        </w:rPr>
        <w:t>2</w:t>
      </w:r>
      <w:r w:rsidRPr="00883399">
        <w:rPr>
          <w:b/>
          <w:i/>
          <w:sz w:val="24"/>
          <w:szCs w:val="22"/>
          <w:vertAlign w:val="subscript"/>
        </w:rPr>
        <w:t>oxec</w:t>
      </w:r>
      <w:r w:rsidRPr="00883399">
        <w:rPr>
          <w:b/>
          <w:i/>
          <w:sz w:val="24"/>
        </w:rPr>
        <w:t xml:space="preserve"> </w:t>
      </w:r>
      <w:r w:rsidRPr="00883399">
        <w:rPr>
          <w:sz w:val="24"/>
        </w:rPr>
        <w:t>is the carbon dioxide emission factor for fuel type (</w:t>
      </w:r>
      <w:r w:rsidRPr="00883399">
        <w:rPr>
          <w:b/>
          <w:i/>
          <w:sz w:val="24"/>
        </w:rPr>
        <w:t>i</w:t>
      </w:r>
      <w:r w:rsidRPr="00883399">
        <w:rPr>
          <w:sz w:val="24"/>
        </w:rPr>
        <w:t>) measured in kilograms of CO</w:t>
      </w:r>
      <w:r w:rsidRPr="00883399">
        <w:rPr>
          <w:sz w:val="24"/>
          <w:vertAlign w:val="subscript"/>
        </w:rPr>
        <w:t>2</w:t>
      </w:r>
      <w:r w:rsidRPr="00883399">
        <w:rPr>
          <w:sz w:val="24"/>
        </w:rPr>
        <w:noBreakHyphen/>
        <w:t>e per gigajoule as worked out under subsection (2).</w:t>
      </w:r>
    </w:p>
    <w:p w14:paraId="6AA25AB0" w14:textId="77777777" w:rsidR="00872C03" w:rsidRPr="00883399" w:rsidRDefault="00872C03" w:rsidP="00872C03">
      <w:pPr>
        <w:pStyle w:val="Definition0"/>
        <w:rPr>
          <w:sz w:val="24"/>
        </w:rPr>
      </w:pPr>
      <w:r w:rsidRPr="00883399">
        <w:rPr>
          <w:b/>
          <w:i/>
          <w:sz w:val="24"/>
        </w:rPr>
        <w:t xml:space="preserve">γ </w:t>
      </w:r>
      <w:r w:rsidRPr="00883399">
        <w:rPr>
          <w:sz w:val="24"/>
        </w:rPr>
        <w:t>is the factor 1.861 × 10</w:t>
      </w:r>
      <w:r w:rsidRPr="00883399">
        <w:rPr>
          <w:sz w:val="24"/>
          <w:vertAlign w:val="superscript"/>
        </w:rPr>
        <w:noBreakHyphen/>
        <w:t xml:space="preserve">3 </w:t>
      </w:r>
      <w:r w:rsidRPr="00883399">
        <w:rPr>
          <w:sz w:val="24"/>
        </w:rPr>
        <w:t>for converting a quantity of carbon dioxide from cubic metres at standard conditions of pressure and temperature to CO</w:t>
      </w:r>
      <w:r w:rsidRPr="00883399">
        <w:rPr>
          <w:sz w:val="24"/>
          <w:vertAlign w:val="subscript"/>
        </w:rPr>
        <w:t>2</w:t>
      </w:r>
      <w:r w:rsidRPr="00883399">
        <w:rPr>
          <w:sz w:val="24"/>
        </w:rPr>
        <w:noBreakHyphen/>
        <w:t>e tonnes.</w:t>
      </w:r>
    </w:p>
    <w:p w14:paraId="717DF690" w14:textId="77777777" w:rsidR="00872C03" w:rsidRPr="00883399" w:rsidRDefault="00872C03" w:rsidP="00872C03">
      <w:pPr>
        <w:pStyle w:val="Definition0"/>
        <w:rPr>
          <w:sz w:val="24"/>
        </w:rPr>
      </w:pPr>
      <w:r w:rsidRPr="00883399">
        <w:rPr>
          <w:b/>
          <w:i/>
          <w:sz w:val="24"/>
        </w:rPr>
        <w:t>RCCS</w:t>
      </w:r>
      <w:r w:rsidRPr="00883399">
        <w:rPr>
          <w:b/>
          <w:i/>
          <w:sz w:val="24"/>
          <w:vertAlign w:val="subscript"/>
        </w:rPr>
        <w:t>CO</w:t>
      </w:r>
      <w:r w:rsidRPr="00883399">
        <w:rPr>
          <w:b/>
          <w:i/>
          <w:position w:val="-6"/>
          <w:sz w:val="24"/>
          <w:vertAlign w:val="subscript"/>
        </w:rPr>
        <w:t>2</w:t>
      </w:r>
      <w:r w:rsidRPr="00883399">
        <w:rPr>
          <w:b/>
          <w:i/>
          <w:sz w:val="24"/>
          <w:vertAlign w:val="subscript"/>
        </w:rPr>
        <w:t xml:space="preserve"> </w:t>
      </w:r>
      <w:r w:rsidRPr="00883399">
        <w:rPr>
          <w:sz w:val="24"/>
        </w:rPr>
        <w:t>is carbon dioxide captured for permanent storage measured in cubic metres in accordance with Division 1.2.3.</w:t>
      </w:r>
    </w:p>
    <w:p w14:paraId="0868F058" w14:textId="77777777" w:rsidR="00872C03" w:rsidRPr="00883399" w:rsidRDefault="00872C03" w:rsidP="00872C03">
      <w:pPr>
        <w:pStyle w:val="subsection"/>
        <w:rPr>
          <w:sz w:val="24"/>
        </w:rPr>
      </w:pPr>
      <w:r w:rsidRPr="00883399">
        <w:rPr>
          <w:sz w:val="24"/>
        </w:rPr>
        <w:tab/>
        <w:t>(2)</w:t>
      </w:r>
      <w:r w:rsidRPr="00883399">
        <w:rPr>
          <w:sz w:val="24"/>
        </w:rPr>
        <w:tab/>
        <w:t xml:space="preserve">For </w:t>
      </w:r>
      <w:r w:rsidRPr="00883399">
        <w:rPr>
          <w:b/>
          <w:i/>
          <w:sz w:val="24"/>
          <w:szCs w:val="22"/>
        </w:rPr>
        <w:t>EF</w:t>
      </w:r>
      <w:r w:rsidRPr="00883399">
        <w:rPr>
          <w:b/>
          <w:i/>
          <w:sz w:val="24"/>
          <w:szCs w:val="22"/>
          <w:vertAlign w:val="subscript"/>
        </w:rPr>
        <w:t>ico</w:t>
      </w:r>
      <w:r w:rsidRPr="00883399">
        <w:rPr>
          <w:b/>
          <w:i/>
          <w:position w:val="-6"/>
          <w:sz w:val="24"/>
          <w:szCs w:val="22"/>
          <w:vertAlign w:val="subscript"/>
        </w:rPr>
        <w:t>2</w:t>
      </w:r>
      <w:r w:rsidRPr="00883399">
        <w:rPr>
          <w:b/>
          <w:i/>
          <w:sz w:val="24"/>
          <w:szCs w:val="22"/>
          <w:vertAlign w:val="subscript"/>
        </w:rPr>
        <w:t>oxec</w:t>
      </w:r>
      <w:r w:rsidRPr="00883399">
        <w:rPr>
          <w:sz w:val="24"/>
        </w:rPr>
        <w:t xml:space="preserve"> in subsection (1), estimate as follows:</w:t>
      </w:r>
    </w:p>
    <w:p w14:paraId="3CD92787" w14:textId="0A137503"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0ED2AE5A" wp14:editId="43776AE4">
            <wp:extent cx="1857375" cy="457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57375" cy="457200"/>
                    </a:xfrm>
                    <a:prstGeom prst="rect">
                      <a:avLst/>
                    </a:prstGeom>
                    <a:noFill/>
                    <a:ln>
                      <a:noFill/>
                    </a:ln>
                  </pic:spPr>
                </pic:pic>
              </a:graphicData>
            </a:graphic>
          </wp:inline>
        </w:drawing>
      </w:r>
    </w:p>
    <w:p w14:paraId="71CE2B6D" w14:textId="77777777" w:rsidR="00872C03" w:rsidRPr="00883399" w:rsidRDefault="00872C03" w:rsidP="00872C03">
      <w:pPr>
        <w:pStyle w:val="subsection2"/>
        <w:rPr>
          <w:sz w:val="24"/>
        </w:rPr>
      </w:pPr>
      <w:r w:rsidRPr="00883399">
        <w:rPr>
          <w:sz w:val="24"/>
        </w:rPr>
        <w:lastRenderedPageBreak/>
        <w:t>where:</w:t>
      </w:r>
    </w:p>
    <w:p w14:paraId="0D64D615" w14:textId="77777777" w:rsidR="00872C03" w:rsidRPr="00883399" w:rsidRDefault="00872C03" w:rsidP="00872C03">
      <w:pPr>
        <w:pStyle w:val="Definition0"/>
        <w:rPr>
          <w:sz w:val="24"/>
        </w:rPr>
      </w:pPr>
      <w:r w:rsidRPr="00883399">
        <w:rPr>
          <w:b/>
          <w:i/>
          <w:sz w:val="24"/>
        </w:rPr>
        <w:t>EF</w:t>
      </w:r>
      <w:r w:rsidRPr="00883399">
        <w:rPr>
          <w:b/>
          <w:i/>
          <w:sz w:val="24"/>
          <w:szCs w:val="22"/>
          <w:vertAlign w:val="subscript"/>
        </w:rPr>
        <w:t>ico</w:t>
      </w:r>
      <w:r w:rsidRPr="00883399">
        <w:rPr>
          <w:b/>
          <w:i/>
          <w:position w:val="-6"/>
          <w:sz w:val="24"/>
          <w:szCs w:val="22"/>
          <w:vertAlign w:val="subscript"/>
        </w:rPr>
        <w:t>2</w:t>
      </w:r>
      <w:r w:rsidRPr="00883399">
        <w:rPr>
          <w:b/>
          <w:i/>
          <w:sz w:val="24"/>
          <w:szCs w:val="22"/>
          <w:vertAlign w:val="subscript"/>
        </w:rPr>
        <w:t>ox,kg</w:t>
      </w:r>
      <w:r w:rsidRPr="00883399">
        <w:rPr>
          <w:b/>
          <w:i/>
          <w:sz w:val="24"/>
          <w:vertAlign w:val="subscript"/>
        </w:rPr>
        <w:t xml:space="preserve"> </w:t>
      </w:r>
      <w:r w:rsidRPr="00883399">
        <w:rPr>
          <w:sz w:val="24"/>
        </w:rPr>
        <w:t>is the carbon dioxide emission factor for fuel type (</w:t>
      </w:r>
      <w:r w:rsidRPr="00883399">
        <w:rPr>
          <w:b/>
          <w:i/>
          <w:sz w:val="24"/>
        </w:rPr>
        <w:t>i</w:t>
      </w:r>
      <w:r w:rsidRPr="00883399">
        <w:rPr>
          <w:sz w:val="24"/>
        </w:rPr>
        <w:t>) measured in kilograms of CO</w:t>
      </w:r>
      <w:r w:rsidRPr="00883399">
        <w:rPr>
          <w:sz w:val="24"/>
          <w:vertAlign w:val="subscript"/>
        </w:rPr>
        <w:t>2</w:t>
      </w:r>
      <w:r w:rsidRPr="00883399">
        <w:rPr>
          <w:sz w:val="24"/>
        </w:rPr>
        <w:noBreakHyphen/>
        <w:t>e per kilogram of fuel as worked out under subsection (3).</w:t>
      </w:r>
    </w:p>
    <w:p w14:paraId="7075A33E" w14:textId="77777777" w:rsidR="00872C03" w:rsidRPr="00883399" w:rsidRDefault="00872C03" w:rsidP="00872C03">
      <w:pPr>
        <w:pStyle w:val="Definition0"/>
        <w:rPr>
          <w:sz w:val="24"/>
        </w:rPr>
      </w:pPr>
      <w:r w:rsidRPr="00883399">
        <w:rPr>
          <w:b/>
          <w:i/>
          <w:sz w:val="24"/>
        </w:rPr>
        <w:t>EC</w:t>
      </w:r>
      <w:r w:rsidRPr="00883399">
        <w:rPr>
          <w:b/>
          <w:i/>
          <w:sz w:val="24"/>
          <w:szCs w:val="22"/>
          <w:vertAlign w:val="subscript"/>
        </w:rPr>
        <w:t>i</w:t>
      </w:r>
      <w:r w:rsidRPr="00883399">
        <w:rPr>
          <w:b/>
          <w:i/>
          <w:sz w:val="24"/>
        </w:rPr>
        <w:t xml:space="preserve"> </w:t>
      </w:r>
      <w:r w:rsidRPr="00883399">
        <w:rPr>
          <w:sz w:val="24"/>
        </w:rPr>
        <w:t>is the energy content factor of fuel type (</w:t>
      </w:r>
      <w:r w:rsidRPr="00883399">
        <w:rPr>
          <w:b/>
          <w:i/>
          <w:sz w:val="24"/>
        </w:rPr>
        <w:t>i</w:t>
      </w:r>
      <w:r w:rsidRPr="00883399">
        <w:rPr>
          <w:sz w:val="24"/>
        </w:rPr>
        <w:t>) as obtained under subsection (1).</w:t>
      </w:r>
    </w:p>
    <w:p w14:paraId="6C046387" w14:textId="77777777" w:rsidR="00872C03" w:rsidRPr="00883399" w:rsidRDefault="00872C03" w:rsidP="00872C03">
      <w:pPr>
        <w:pStyle w:val="subsection"/>
        <w:rPr>
          <w:sz w:val="24"/>
        </w:rPr>
      </w:pPr>
      <w:r w:rsidRPr="00883399">
        <w:rPr>
          <w:sz w:val="24"/>
        </w:rPr>
        <w:tab/>
        <w:t>(3)</w:t>
      </w:r>
      <w:r w:rsidRPr="00883399">
        <w:rPr>
          <w:sz w:val="24"/>
        </w:rPr>
        <w:tab/>
        <w:t xml:space="preserve">For </w:t>
      </w:r>
      <w:r w:rsidRPr="00883399">
        <w:rPr>
          <w:b/>
          <w:i/>
          <w:sz w:val="24"/>
        </w:rPr>
        <w:t>EF</w:t>
      </w:r>
      <w:r w:rsidRPr="00883399">
        <w:rPr>
          <w:b/>
          <w:i/>
          <w:sz w:val="24"/>
          <w:szCs w:val="22"/>
          <w:vertAlign w:val="subscript"/>
        </w:rPr>
        <w:t>ico</w:t>
      </w:r>
      <w:r w:rsidRPr="00883399">
        <w:rPr>
          <w:b/>
          <w:i/>
          <w:position w:val="-6"/>
          <w:sz w:val="24"/>
          <w:szCs w:val="22"/>
          <w:vertAlign w:val="subscript"/>
        </w:rPr>
        <w:t>2</w:t>
      </w:r>
      <w:r w:rsidRPr="00883399">
        <w:rPr>
          <w:b/>
          <w:i/>
          <w:sz w:val="24"/>
          <w:szCs w:val="22"/>
          <w:vertAlign w:val="subscript"/>
        </w:rPr>
        <w:t>ox,kg</w:t>
      </w:r>
      <w:r w:rsidRPr="00883399">
        <w:rPr>
          <w:sz w:val="24"/>
        </w:rPr>
        <w:t xml:space="preserve"> in subsection (2), work out as follows:</w:t>
      </w:r>
    </w:p>
    <w:p w14:paraId="7F6B225B" w14:textId="11A9A9B5"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574C8F82" wp14:editId="2F2A5089">
            <wp:extent cx="2047875" cy="409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7875" cy="409575"/>
                    </a:xfrm>
                    <a:prstGeom prst="rect">
                      <a:avLst/>
                    </a:prstGeom>
                    <a:noFill/>
                    <a:ln>
                      <a:noFill/>
                    </a:ln>
                  </pic:spPr>
                </pic:pic>
              </a:graphicData>
            </a:graphic>
          </wp:inline>
        </w:drawing>
      </w:r>
    </w:p>
    <w:p w14:paraId="4C12080D" w14:textId="77777777" w:rsidR="00872C03" w:rsidRPr="00883399" w:rsidRDefault="00872C03" w:rsidP="00872C03">
      <w:pPr>
        <w:pStyle w:val="subsection2"/>
        <w:rPr>
          <w:sz w:val="24"/>
        </w:rPr>
      </w:pPr>
      <w:r w:rsidRPr="00883399">
        <w:rPr>
          <w:sz w:val="24"/>
        </w:rPr>
        <w:t>where:</w:t>
      </w:r>
    </w:p>
    <w:p w14:paraId="6ACBB276" w14:textId="77777777" w:rsidR="00872C03" w:rsidRPr="00883399" w:rsidRDefault="00872C03" w:rsidP="00872C03">
      <w:pPr>
        <w:pStyle w:val="Definition0"/>
        <w:rPr>
          <w:sz w:val="24"/>
        </w:rPr>
      </w:pPr>
      <w:r w:rsidRPr="00883399">
        <w:rPr>
          <w:b/>
          <w:i/>
          <w:sz w:val="24"/>
        </w:rPr>
        <w:t>C</w:t>
      </w:r>
      <w:r w:rsidRPr="00883399">
        <w:rPr>
          <w:rStyle w:val="charSubscript"/>
          <w:b/>
          <w:i/>
          <w:sz w:val="22"/>
        </w:rPr>
        <w:t xml:space="preserve">ar </w:t>
      </w:r>
      <w:r w:rsidRPr="00883399">
        <w:rPr>
          <w:sz w:val="24"/>
        </w:rPr>
        <w:t>is the percentage of carbon in fuel type (</w:t>
      </w:r>
      <w:r w:rsidRPr="00883399">
        <w:rPr>
          <w:b/>
          <w:i/>
          <w:sz w:val="24"/>
        </w:rPr>
        <w:t>i</w:t>
      </w:r>
      <w:r w:rsidRPr="00883399">
        <w:rPr>
          <w:sz w:val="24"/>
        </w:rPr>
        <w:t>), as received for the facility or as combusted from the operation of the facility, worked out under subsection (4).</w:t>
      </w:r>
    </w:p>
    <w:p w14:paraId="238A4D9C" w14:textId="77777777" w:rsidR="00872C03" w:rsidRPr="00883399" w:rsidRDefault="00872C03" w:rsidP="00872C03">
      <w:pPr>
        <w:pStyle w:val="Definition0"/>
        <w:rPr>
          <w:sz w:val="24"/>
        </w:rPr>
      </w:pPr>
      <w:r w:rsidRPr="00883399">
        <w:rPr>
          <w:b/>
          <w:i/>
          <w:sz w:val="24"/>
        </w:rPr>
        <w:t>OF</w:t>
      </w:r>
      <w:r w:rsidRPr="00883399">
        <w:rPr>
          <w:b/>
          <w:i/>
          <w:sz w:val="24"/>
          <w:vertAlign w:val="subscript"/>
        </w:rPr>
        <w:t>s</w:t>
      </w:r>
      <w:r w:rsidRPr="00883399">
        <w:rPr>
          <w:sz w:val="24"/>
        </w:rPr>
        <w:t>, or oxidation factor, is 1.0.</w:t>
      </w:r>
    </w:p>
    <w:p w14:paraId="0BD00D27" w14:textId="77777777" w:rsidR="00872C03" w:rsidRPr="00883399" w:rsidRDefault="00872C03" w:rsidP="00872C03">
      <w:pPr>
        <w:pStyle w:val="subsection"/>
        <w:rPr>
          <w:sz w:val="24"/>
        </w:rPr>
      </w:pPr>
      <w:r w:rsidRPr="00883399">
        <w:rPr>
          <w:sz w:val="24"/>
        </w:rPr>
        <w:tab/>
        <w:t>(4)</w:t>
      </w:r>
      <w:r w:rsidRPr="00883399">
        <w:rPr>
          <w:sz w:val="24"/>
        </w:rPr>
        <w:tab/>
        <w:t xml:space="preserve">For </w:t>
      </w:r>
      <w:r w:rsidRPr="00883399">
        <w:rPr>
          <w:b/>
          <w:i/>
          <w:sz w:val="24"/>
        </w:rPr>
        <w:t>C</w:t>
      </w:r>
      <w:r w:rsidRPr="00883399">
        <w:rPr>
          <w:rStyle w:val="charSubscript"/>
          <w:b/>
          <w:i/>
          <w:sz w:val="24"/>
        </w:rPr>
        <w:t>ar</w:t>
      </w:r>
      <w:r w:rsidRPr="00883399">
        <w:rPr>
          <w:rStyle w:val="charSubscript"/>
          <w:sz w:val="24"/>
        </w:rPr>
        <w:t xml:space="preserve"> </w:t>
      </w:r>
      <w:r w:rsidRPr="00883399">
        <w:rPr>
          <w:sz w:val="24"/>
        </w:rPr>
        <w:t>in subsection (3),</w:t>
      </w:r>
      <w:r w:rsidRPr="00883399">
        <w:rPr>
          <w:rStyle w:val="charSubscript"/>
          <w:sz w:val="24"/>
        </w:rPr>
        <w:t xml:space="preserve"> </w:t>
      </w:r>
      <w:r w:rsidRPr="00883399">
        <w:rPr>
          <w:sz w:val="24"/>
        </w:rPr>
        <w:t>work out as follows:</w:t>
      </w:r>
    </w:p>
    <w:p w14:paraId="47953C7A" w14:textId="00ED9EA1"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0560573D" wp14:editId="5BFF6CDD">
            <wp:extent cx="2009775" cy="409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9775" cy="409575"/>
                    </a:xfrm>
                    <a:prstGeom prst="rect">
                      <a:avLst/>
                    </a:prstGeom>
                    <a:noFill/>
                    <a:ln>
                      <a:noFill/>
                    </a:ln>
                  </pic:spPr>
                </pic:pic>
              </a:graphicData>
            </a:graphic>
          </wp:inline>
        </w:drawing>
      </w:r>
    </w:p>
    <w:p w14:paraId="433DEDB6" w14:textId="77777777" w:rsidR="00872C03" w:rsidRPr="00883399" w:rsidRDefault="00872C03" w:rsidP="00872C03">
      <w:pPr>
        <w:pStyle w:val="subsection2"/>
        <w:rPr>
          <w:sz w:val="24"/>
        </w:rPr>
      </w:pPr>
      <w:r w:rsidRPr="00883399">
        <w:rPr>
          <w:sz w:val="24"/>
        </w:rPr>
        <w:t>where:</w:t>
      </w:r>
    </w:p>
    <w:p w14:paraId="39D52D58" w14:textId="77777777" w:rsidR="00872C03" w:rsidRPr="00883399" w:rsidRDefault="00872C03" w:rsidP="00872C03">
      <w:pPr>
        <w:pStyle w:val="Definition0"/>
        <w:rPr>
          <w:sz w:val="24"/>
        </w:rPr>
      </w:pPr>
      <w:r w:rsidRPr="00883399">
        <w:rPr>
          <w:b/>
          <w:i/>
          <w:sz w:val="24"/>
        </w:rPr>
        <w:t>C</w:t>
      </w:r>
      <w:r w:rsidRPr="00883399">
        <w:rPr>
          <w:rStyle w:val="charSubscript"/>
          <w:b/>
          <w:i/>
          <w:sz w:val="22"/>
        </w:rPr>
        <w:t>daf</w:t>
      </w:r>
      <w:r w:rsidRPr="00883399">
        <w:rPr>
          <w:b/>
          <w:i/>
          <w:sz w:val="24"/>
        </w:rPr>
        <w:t xml:space="preserve"> </w:t>
      </w:r>
      <w:r w:rsidRPr="00883399">
        <w:rPr>
          <w:sz w:val="24"/>
        </w:rPr>
        <w:t>is the amount of carbon in fuel type (</w:t>
      </w:r>
      <w:r w:rsidRPr="00883399">
        <w:rPr>
          <w:b/>
          <w:i/>
          <w:sz w:val="24"/>
        </w:rPr>
        <w:t>i</w:t>
      </w:r>
      <w:r w:rsidRPr="00883399">
        <w:rPr>
          <w:sz w:val="24"/>
        </w:rPr>
        <w:t>) as a percentage of the dry ash</w:t>
      </w:r>
      <w:r w:rsidRPr="00883399">
        <w:rPr>
          <w:sz w:val="24"/>
        </w:rPr>
        <w:noBreakHyphen/>
        <w:t>free mass of the fuel estimated using the sampling and analysis provided for in Subdivision 2.2.3.3.</w:t>
      </w:r>
    </w:p>
    <w:p w14:paraId="423954B9" w14:textId="77777777" w:rsidR="00872C03" w:rsidRPr="00883399" w:rsidRDefault="00872C03" w:rsidP="00872C03">
      <w:pPr>
        <w:pStyle w:val="Definition0"/>
        <w:rPr>
          <w:sz w:val="24"/>
        </w:rPr>
      </w:pPr>
      <w:r w:rsidRPr="00883399">
        <w:rPr>
          <w:b/>
          <w:i/>
          <w:sz w:val="24"/>
        </w:rPr>
        <w:t>M</w:t>
      </w:r>
      <w:r w:rsidRPr="00883399">
        <w:rPr>
          <w:rStyle w:val="charSubscript"/>
          <w:b/>
          <w:i/>
          <w:sz w:val="22"/>
        </w:rPr>
        <w:t>ar</w:t>
      </w:r>
      <w:r w:rsidRPr="00883399">
        <w:rPr>
          <w:b/>
          <w:i/>
          <w:sz w:val="24"/>
        </w:rPr>
        <w:t xml:space="preserve"> </w:t>
      </w:r>
      <w:r w:rsidRPr="00883399">
        <w:rPr>
          <w:sz w:val="24"/>
        </w:rPr>
        <w:t>is the amount of moisture in fuel type (</w:t>
      </w:r>
      <w:r w:rsidRPr="00883399">
        <w:rPr>
          <w:b/>
          <w:i/>
          <w:sz w:val="24"/>
        </w:rPr>
        <w:t>i</w:t>
      </w:r>
      <w:r w:rsidRPr="00883399">
        <w:rPr>
          <w:sz w:val="24"/>
        </w:rPr>
        <w:t>) as a percentage of the as received or as combusted mass of the fuel estimated using the sampling and analysis provided for in Subdivision 2.2.3.3.</w:t>
      </w:r>
    </w:p>
    <w:p w14:paraId="2C740930" w14:textId="77777777" w:rsidR="00872C03" w:rsidRPr="00883399" w:rsidRDefault="00872C03" w:rsidP="00872C03">
      <w:pPr>
        <w:pStyle w:val="Definition0"/>
        <w:rPr>
          <w:sz w:val="24"/>
        </w:rPr>
      </w:pPr>
      <w:r w:rsidRPr="00883399">
        <w:rPr>
          <w:b/>
          <w:i/>
          <w:sz w:val="24"/>
        </w:rPr>
        <w:t>A</w:t>
      </w:r>
      <w:r w:rsidRPr="00883399">
        <w:rPr>
          <w:rStyle w:val="charSubscript"/>
          <w:b/>
          <w:i/>
          <w:sz w:val="22"/>
        </w:rPr>
        <w:t>ar</w:t>
      </w:r>
      <w:r w:rsidRPr="00883399">
        <w:rPr>
          <w:b/>
          <w:i/>
          <w:sz w:val="24"/>
        </w:rPr>
        <w:t xml:space="preserve"> </w:t>
      </w:r>
      <w:r w:rsidRPr="00883399">
        <w:rPr>
          <w:sz w:val="24"/>
        </w:rPr>
        <w:t>is the amount of ash in fuel type (</w:t>
      </w:r>
      <w:r w:rsidRPr="00883399">
        <w:rPr>
          <w:b/>
          <w:i/>
          <w:sz w:val="24"/>
        </w:rPr>
        <w:t>i</w:t>
      </w:r>
      <w:r w:rsidRPr="00883399">
        <w:rPr>
          <w:sz w:val="24"/>
        </w:rPr>
        <w:t>) as a percentage of the as received or as combusted mass of the fuel estimated using the sampling and analysis provided for in Subdivision 2.2.3.3.</w:t>
      </w:r>
    </w:p>
    <w:p w14:paraId="7A9130F4" w14:textId="77777777" w:rsidR="00872C03" w:rsidRPr="00883399" w:rsidRDefault="00872C03" w:rsidP="00872C03">
      <w:pPr>
        <w:pStyle w:val="Definition0"/>
        <w:rPr>
          <w:sz w:val="24"/>
        </w:rPr>
      </w:pPr>
    </w:p>
    <w:p w14:paraId="2F0FFB86" w14:textId="77777777" w:rsidR="00872C03" w:rsidRPr="00883399" w:rsidRDefault="00872C03" w:rsidP="00872C03">
      <w:pPr>
        <w:pStyle w:val="Definition0"/>
        <w:rPr>
          <w:sz w:val="24"/>
        </w:rPr>
      </w:pPr>
    </w:p>
    <w:p w14:paraId="13311953" w14:textId="1BF9DE26" w:rsidR="00872C03" w:rsidRPr="00883399" w:rsidRDefault="00872C03" w:rsidP="00872C03">
      <w:pPr>
        <w:pStyle w:val="Scheduletitle"/>
        <w:ind w:left="0" w:firstLine="0"/>
        <w:rPr>
          <w:rStyle w:val="CharDivText"/>
          <w:sz w:val="28"/>
        </w:rPr>
      </w:pPr>
      <w:bookmarkStart w:id="170" w:name="_Toc227733642"/>
      <w:bookmarkStart w:id="171" w:name="_Toc265135149"/>
      <w:bookmarkStart w:id="172" w:name="_Toc495652657"/>
      <w:r w:rsidRPr="00883399">
        <w:rPr>
          <w:rStyle w:val="CharDivText"/>
          <w:sz w:val="28"/>
        </w:rPr>
        <w:lastRenderedPageBreak/>
        <w:t>Table 2.2.3</w:t>
      </w:r>
      <w:r w:rsidRPr="00883399">
        <w:rPr>
          <w:rStyle w:val="CharDivText"/>
          <w:sz w:val="28"/>
        </w:rPr>
        <w:tab/>
      </w:r>
      <w:r w:rsidRPr="00883399">
        <w:rPr>
          <w:rStyle w:val="CharDivText"/>
          <w:sz w:val="28"/>
        </w:rPr>
        <w:tab/>
        <w:t>Analysis of solid fuels: standards and frequency of analysis for energy, carbon, moisture and ash</w:t>
      </w:r>
      <w:bookmarkEnd w:id="170"/>
      <w:bookmarkEnd w:id="171"/>
      <w:bookmarkEnd w:id="172"/>
    </w:p>
    <w:p w14:paraId="5DA5503B" w14:textId="77777777" w:rsidR="00872C03" w:rsidRPr="00883399" w:rsidRDefault="00872C03" w:rsidP="00872C03">
      <w:pPr>
        <w:pStyle w:val="Header"/>
      </w:pPr>
      <w:r w:rsidRPr="00883399">
        <w:rPr>
          <w:rStyle w:val="CharSchPTNo"/>
        </w:rPr>
        <w:t xml:space="preserve"> </w:t>
      </w:r>
      <w:r w:rsidRPr="00883399">
        <w:rPr>
          <w:rStyle w:val="CharSchPTText"/>
        </w:rPr>
        <w:t xml:space="preserve"> </w:t>
      </w:r>
    </w:p>
    <w:tbl>
      <w:tblPr>
        <w:tblW w:w="8280" w:type="dxa"/>
        <w:tblInd w:w="108" w:type="dxa"/>
        <w:tblLook w:val="0000" w:firstRow="0" w:lastRow="0" w:firstColumn="0" w:lastColumn="0" w:noHBand="0" w:noVBand="0"/>
      </w:tblPr>
      <w:tblGrid>
        <w:gridCol w:w="664"/>
        <w:gridCol w:w="2216"/>
        <w:gridCol w:w="1560"/>
        <w:gridCol w:w="2048"/>
        <w:gridCol w:w="1792"/>
      </w:tblGrid>
      <w:tr w:rsidR="00872C03" w:rsidRPr="00883399" w14:paraId="276C3A84" w14:textId="77777777" w:rsidTr="0031057E">
        <w:trPr>
          <w:cantSplit/>
          <w:tblHeader/>
        </w:trPr>
        <w:tc>
          <w:tcPr>
            <w:tcW w:w="664" w:type="dxa"/>
            <w:tcBorders>
              <w:bottom w:val="single" w:sz="4" w:space="0" w:color="auto"/>
            </w:tcBorders>
          </w:tcPr>
          <w:p w14:paraId="2A03C16D" w14:textId="77777777" w:rsidR="00872C03" w:rsidRPr="00883399" w:rsidRDefault="00872C03" w:rsidP="0031057E">
            <w:pPr>
              <w:pStyle w:val="Table"/>
              <w:jc w:val="right"/>
              <w:rPr>
                <w:rStyle w:val="Strong"/>
                <w:rFonts w:cs="Arial"/>
                <w:sz w:val="18"/>
              </w:rPr>
            </w:pPr>
            <w:r w:rsidRPr="00883399">
              <w:rPr>
                <w:rStyle w:val="Strong"/>
                <w:rFonts w:cs="Arial"/>
                <w:sz w:val="18"/>
              </w:rPr>
              <w:t>Item</w:t>
            </w:r>
          </w:p>
        </w:tc>
        <w:tc>
          <w:tcPr>
            <w:tcW w:w="2216" w:type="dxa"/>
            <w:tcBorders>
              <w:bottom w:val="single" w:sz="4" w:space="0" w:color="auto"/>
            </w:tcBorders>
          </w:tcPr>
          <w:p w14:paraId="6D202BD7" w14:textId="77777777" w:rsidR="00872C03" w:rsidRPr="00883399" w:rsidRDefault="00872C03" w:rsidP="0031057E">
            <w:pPr>
              <w:pStyle w:val="Table"/>
              <w:rPr>
                <w:rStyle w:val="Strong"/>
                <w:rFonts w:cs="Arial"/>
                <w:sz w:val="18"/>
              </w:rPr>
            </w:pPr>
            <w:r w:rsidRPr="00883399">
              <w:rPr>
                <w:rStyle w:val="Strong"/>
                <w:rFonts w:cs="Arial"/>
                <w:sz w:val="18"/>
              </w:rPr>
              <w:t>Fuel combusted</w:t>
            </w:r>
          </w:p>
        </w:tc>
        <w:tc>
          <w:tcPr>
            <w:tcW w:w="1560" w:type="dxa"/>
            <w:tcBorders>
              <w:bottom w:val="single" w:sz="4" w:space="0" w:color="auto"/>
            </w:tcBorders>
          </w:tcPr>
          <w:p w14:paraId="063ECE9F" w14:textId="77777777" w:rsidR="00872C03" w:rsidRPr="00883399" w:rsidRDefault="00872C03" w:rsidP="0031057E">
            <w:pPr>
              <w:pStyle w:val="TableText"/>
              <w:rPr>
                <w:rFonts w:ascii="Arial" w:hAnsi="Arial" w:cs="Arial"/>
                <w:b/>
                <w:sz w:val="18"/>
                <w:szCs w:val="18"/>
              </w:rPr>
            </w:pPr>
            <w:r w:rsidRPr="00883399">
              <w:rPr>
                <w:rFonts w:ascii="Arial" w:hAnsi="Arial" w:cs="Arial"/>
                <w:b/>
                <w:sz w:val="18"/>
                <w:szCs w:val="18"/>
              </w:rPr>
              <w:t>Parameter</w:t>
            </w:r>
          </w:p>
        </w:tc>
        <w:tc>
          <w:tcPr>
            <w:tcW w:w="2048" w:type="dxa"/>
            <w:tcBorders>
              <w:bottom w:val="single" w:sz="4" w:space="0" w:color="auto"/>
            </w:tcBorders>
          </w:tcPr>
          <w:p w14:paraId="32895273" w14:textId="77777777" w:rsidR="00872C03" w:rsidRPr="00883399" w:rsidRDefault="00872C03" w:rsidP="0031057E">
            <w:pPr>
              <w:pStyle w:val="TableText"/>
              <w:rPr>
                <w:rFonts w:ascii="Arial" w:hAnsi="Arial" w:cs="Arial"/>
                <w:b/>
                <w:sz w:val="18"/>
                <w:szCs w:val="18"/>
              </w:rPr>
            </w:pPr>
            <w:r w:rsidRPr="00883399">
              <w:rPr>
                <w:rFonts w:ascii="Arial" w:hAnsi="Arial" w:cs="Arial"/>
                <w:b/>
                <w:sz w:val="18"/>
                <w:szCs w:val="18"/>
              </w:rPr>
              <w:t>Standard</w:t>
            </w:r>
          </w:p>
        </w:tc>
        <w:tc>
          <w:tcPr>
            <w:tcW w:w="1792" w:type="dxa"/>
            <w:tcBorders>
              <w:bottom w:val="single" w:sz="4" w:space="0" w:color="auto"/>
            </w:tcBorders>
          </w:tcPr>
          <w:p w14:paraId="592CD174" w14:textId="77777777" w:rsidR="00872C03" w:rsidRPr="00883399" w:rsidRDefault="00872C03" w:rsidP="0031057E">
            <w:pPr>
              <w:pStyle w:val="TableText"/>
              <w:rPr>
                <w:rFonts w:ascii="Arial" w:hAnsi="Arial" w:cs="Arial"/>
                <w:b/>
                <w:sz w:val="18"/>
                <w:szCs w:val="18"/>
              </w:rPr>
            </w:pPr>
            <w:r w:rsidRPr="00883399">
              <w:rPr>
                <w:rFonts w:ascii="Arial" w:hAnsi="Arial" w:cs="Arial"/>
                <w:b/>
                <w:sz w:val="18"/>
                <w:szCs w:val="18"/>
              </w:rPr>
              <w:t>Frequency</w:t>
            </w:r>
          </w:p>
        </w:tc>
      </w:tr>
      <w:tr w:rsidR="00872C03" w:rsidRPr="00883399" w14:paraId="3959ED1B" w14:textId="77777777" w:rsidTr="0031057E">
        <w:trPr>
          <w:cantSplit/>
        </w:trPr>
        <w:tc>
          <w:tcPr>
            <w:tcW w:w="664" w:type="dxa"/>
            <w:vMerge w:val="restart"/>
            <w:tcBorders>
              <w:top w:val="single" w:sz="4" w:space="0" w:color="auto"/>
            </w:tcBorders>
          </w:tcPr>
          <w:p w14:paraId="7E0D9897" w14:textId="77777777" w:rsidR="00872C03" w:rsidRPr="00883399" w:rsidRDefault="00872C03" w:rsidP="0031057E">
            <w:pPr>
              <w:pStyle w:val="TableText"/>
              <w:ind w:left="227"/>
              <w:rPr>
                <w:sz w:val="20"/>
                <w:szCs w:val="20"/>
              </w:rPr>
            </w:pPr>
            <w:r w:rsidRPr="00883399">
              <w:rPr>
                <w:sz w:val="20"/>
                <w:szCs w:val="20"/>
              </w:rPr>
              <w:t>1</w:t>
            </w:r>
          </w:p>
        </w:tc>
        <w:tc>
          <w:tcPr>
            <w:tcW w:w="2216" w:type="dxa"/>
            <w:vMerge w:val="restart"/>
            <w:tcBorders>
              <w:top w:val="single" w:sz="4" w:space="0" w:color="auto"/>
            </w:tcBorders>
          </w:tcPr>
          <w:p w14:paraId="6AA3D35C" w14:textId="77777777" w:rsidR="00872C03" w:rsidRPr="00883399" w:rsidRDefault="00872C03" w:rsidP="0031057E">
            <w:pPr>
              <w:pStyle w:val="TableText"/>
              <w:rPr>
                <w:sz w:val="20"/>
                <w:szCs w:val="20"/>
              </w:rPr>
            </w:pPr>
            <w:r w:rsidRPr="00883399">
              <w:rPr>
                <w:sz w:val="20"/>
                <w:szCs w:val="20"/>
              </w:rPr>
              <w:t>Bituminous coal</w:t>
            </w:r>
          </w:p>
        </w:tc>
        <w:tc>
          <w:tcPr>
            <w:tcW w:w="1560" w:type="dxa"/>
            <w:tcBorders>
              <w:top w:val="single" w:sz="4" w:space="0" w:color="auto"/>
            </w:tcBorders>
          </w:tcPr>
          <w:p w14:paraId="29F07007" w14:textId="77777777" w:rsidR="00872C03" w:rsidRPr="00883399" w:rsidRDefault="00872C03" w:rsidP="0031057E">
            <w:pPr>
              <w:pStyle w:val="TableText"/>
              <w:rPr>
                <w:sz w:val="20"/>
                <w:szCs w:val="20"/>
              </w:rPr>
            </w:pPr>
            <w:r w:rsidRPr="00883399">
              <w:rPr>
                <w:sz w:val="20"/>
                <w:szCs w:val="20"/>
              </w:rPr>
              <w:t>Energy content factor</w:t>
            </w:r>
          </w:p>
        </w:tc>
        <w:tc>
          <w:tcPr>
            <w:tcW w:w="2048" w:type="dxa"/>
            <w:tcBorders>
              <w:top w:val="single" w:sz="4" w:space="0" w:color="auto"/>
            </w:tcBorders>
          </w:tcPr>
          <w:p w14:paraId="08067CD6" w14:textId="77777777" w:rsidR="00872C03" w:rsidRPr="00883399" w:rsidRDefault="00872C03" w:rsidP="0031057E">
            <w:pPr>
              <w:pStyle w:val="TableText"/>
              <w:rPr>
                <w:sz w:val="20"/>
                <w:szCs w:val="20"/>
              </w:rPr>
            </w:pPr>
            <w:r w:rsidRPr="00883399">
              <w:rPr>
                <w:sz w:val="20"/>
                <w:szCs w:val="20"/>
              </w:rPr>
              <w:t>AS 1038.5—1998</w:t>
            </w:r>
          </w:p>
        </w:tc>
        <w:tc>
          <w:tcPr>
            <w:tcW w:w="1792" w:type="dxa"/>
            <w:tcBorders>
              <w:top w:val="single" w:sz="4" w:space="0" w:color="auto"/>
            </w:tcBorders>
          </w:tcPr>
          <w:p w14:paraId="7BEFCB5F"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508E9490" w14:textId="77777777" w:rsidTr="0031057E">
        <w:trPr>
          <w:cantSplit/>
        </w:trPr>
        <w:tc>
          <w:tcPr>
            <w:tcW w:w="664" w:type="dxa"/>
            <w:vMerge/>
          </w:tcPr>
          <w:p w14:paraId="49E9E65F" w14:textId="77777777" w:rsidR="00872C03" w:rsidRPr="00883399" w:rsidRDefault="00872C03" w:rsidP="0031057E">
            <w:pPr>
              <w:pStyle w:val="TableText"/>
              <w:rPr>
                <w:sz w:val="20"/>
                <w:szCs w:val="20"/>
              </w:rPr>
            </w:pPr>
          </w:p>
        </w:tc>
        <w:tc>
          <w:tcPr>
            <w:tcW w:w="2216" w:type="dxa"/>
            <w:vMerge/>
          </w:tcPr>
          <w:p w14:paraId="2D37A1E1" w14:textId="77777777" w:rsidR="00872C03" w:rsidRPr="00883399" w:rsidRDefault="00872C03" w:rsidP="0031057E">
            <w:pPr>
              <w:pStyle w:val="TableText"/>
              <w:rPr>
                <w:sz w:val="20"/>
                <w:szCs w:val="20"/>
              </w:rPr>
            </w:pPr>
          </w:p>
        </w:tc>
        <w:tc>
          <w:tcPr>
            <w:tcW w:w="1560" w:type="dxa"/>
          </w:tcPr>
          <w:p w14:paraId="4A4A06A2" w14:textId="77777777" w:rsidR="00872C03" w:rsidRPr="00883399" w:rsidRDefault="00872C03" w:rsidP="0031057E">
            <w:pPr>
              <w:pStyle w:val="TableText"/>
              <w:rPr>
                <w:sz w:val="20"/>
                <w:szCs w:val="20"/>
              </w:rPr>
            </w:pPr>
            <w:r w:rsidRPr="00883399">
              <w:rPr>
                <w:sz w:val="20"/>
                <w:szCs w:val="20"/>
              </w:rPr>
              <w:t>Carbon</w:t>
            </w:r>
          </w:p>
        </w:tc>
        <w:tc>
          <w:tcPr>
            <w:tcW w:w="2048" w:type="dxa"/>
          </w:tcPr>
          <w:p w14:paraId="14ED6326" w14:textId="77777777" w:rsidR="00872C03" w:rsidRPr="00883399" w:rsidRDefault="00872C03" w:rsidP="0031057E">
            <w:pPr>
              <w:pStyle w:val="TableText"/>
              <w:rPr>
                <w:sz w:val="20"/>
                <w:szCs w:val="20"/>
              </w:rPr>
            </w:pPr>
            <w:r w:rsidRPr="00883399">
              <w:rPr>
                <w:sz w:val="20"/>
                <w:szCs w:val="20"/>
              </w:rPr>
              <w:t>AS 1038.6.1—1997</w:t>
            </w:r>
          </w:p>
          <w:p w14:paraId="72016AAA" w14:textId="77777777" w:rsidR="00872C03" w:rsidRPr="00883399" w:rsidRDefault="00872C03" w:rsidP="0031057E">
            <w:pPr>
              <w:pStyle w:val="TableText"/>
              <w:rPr>
                <w:sz w:val="20"/>
                <w:szCs w:val="20"/>
              </w:rPr>
            </w:pPr>
            <w:r w:rsidRPr="00883399">
              <w:rPr>
                <w:sz w:val="20"/>
                <w:szCs w:val="20"/>
              </w:rPr>
              <w:t>AS 1038.6.4—2005</w:t>
            </w:r>
          </w:p>
        </w:tc>
        <w:tc>
          <w:tcPr>
            <w:tcW w:w="1792" w:type="dxa"/>
          </w:tcPr>
          <w:p w14:paraId="3B65EF00"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1614D565" w14:textId="77777777" w:rsidTr="0031057E">
        <w:trPr>
          <w:cantSplit/>
        </w:trPr>
        <w:tc>
          <w:tcPr>
            <w:tcW w:w="664" w:type="dxa"/>
            <w:vMerge/>
          </w:tcPr>
          <w:p w14:paraId="08E62FAF" w14:textId="77777777" w:rsidR="00872C03" w:rsidRPr="00883399" w:rsidRDefault="00872C03" w:rsidP="0031057E">
            <w:pPr>
              <w:pStyle w:val="TableText"/>
              <w:rPr>
                <w:sz w:val="20"/>
                <w:szCs w:val="20"/>
              </w:rPr>
            </w:pPr>
          </w:p>
        </w:tc>
        <w:tc>
          <w:tcPr>
            <w:tcW w:w="2216" w:type="dxa"/>
            <w:vMerge/>
          </w:tcPr>
          <w:p w14:paraId="01BFF81D" w14:textId="77777777" w:rsidR="00872C03" w:rsidRPr="00883399" w:rsidRDefault="00872C03" w:rsidP="0031057E">
            <w:pPr>
              <w:pStyle w:val="TableText"/>
              <w:rPr>
                <w:sz w:val="20"/>
                <w:szCs w:val="20"/>
              </w:rPr>
            </w:pPr>
          </w:p>
        </w:tc>
        <w:tc>
          <w:tcPr>
            <w:tcW w:w="1560" w:type="dxa"/>
          </w:tcPr>
          <w:p w14:paraId="3C9E121B" w14:textId="77777777" w:rsidR="00872C03" w:rsidRPr="00883399" w:rsidRDefault="00872C03" w:rsidP="0031057E">
            <w:pPr>
              <w:pStyle w:val="TableText"/>
              <w:rPr>
                <w:sz w:val="20"/>
                <w:szCs w:val="20"/>
              </w:rPr>
            </w:pPr>
            <w:r w:rsidRPr="00883399">
              <w:rPr>
                <w:sz w:val="20"/>
                <w:szCs w:val="20"/>
              </w:rPr>
              <w:t>Moisture</w:t>
            </w:r>
          </w:p>
        </w:tc>
        <w:tc>
          <w:tcPr>
            <w:tcW w:w="2048" w:type="dxa"/>
          </w:tcPr>
          <w:p w14:paraId="172957AD" w14:textId="77777777" w:rsidR="00872C03" w:rsidRPr="00883399" w:rsidRDefault="00872C03" w:rsidP="0031057E">
            <w:pPr>
              <w:pStyle w:val="TableText"/>
              <w:rPr>
                <w:sz w:val="20"/>
                <w:szCs w:val="20"/>
              </w:rPr>
            </w:pPr>
            <w:r w:rsidRPr="00883399">
              <w:rPr>
                <w:sz w:val="20"/>
                <w:szCs w:val="20"/>
              </w:rPr>
              <w:t>AS 1038.1—2001</w:t>
            </w:r>
          </w:p>
          <w:p w14:paraId="2815455E" w14:textId="77777777" w:rsidR="00872C03" w:rsidRPr="00883399" w:rsidRDefault="00872C03" w:rsidP="0031057E">
            <w:pPr>
              <w:pStyle w:val="TableText"/>
              <w:rPr>
                <w:sz w:val="20"/>
                <w:szCs w:val="20"/>
              </w:rPr>
            </w:pPr>
            <w:r w:rsidRPr="00883399">
              <w:rPr>
                <w:sz w:val="20"/>
                <w:szCs w:val="20"/>
              </w:rPr>
              <w:t>AS 1038.3—2000</w:t>
            </w:r>
          </w:p>
        </w:tc>
        <w:tc>
          <w:tcPr>
            <w:tcW w:w="1792" w:type="dxa"/>
          </w:tcPr>
          <w:p w14:paraId="5312DF7E"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7AEE6487" w14:textId="77777777" w:rsidTr="0031057E">
        <w:trPr>
          <w:cantSplit/>
        </w:trPr>
        <w:tc>
          <w:tcPr>
            <w:tcW w:w="664" w:type="dxa"/>
            <w:vMerge/>
          </w:tcPr>
          <w:p w14:paraId="384B3765" w14:textId="77777777" w:rsidR="00872C03" w:rsidRPr="00883399" w:rsidRDefault="00872C03" w:rsidP="0031057E">
            <w:pPr>
              <w:pStyle w:val="TableText"/>
              <w:rPr>
                <w:sz w:val="20"/>
                <w:szCs w:val="20"/>
              </w:rPr>
            </w:pPr>
          </w:p>
        </w:tc>
        <w:tc>
          <w:tcPr>
            <w:tcW w:w="2216" w:type="dxa"/>
            <w:vMerge/>
          </w:tcPr>
          <w:p w14:paraId="3898DDE8" w14:textId="77777777" w:rsidR="00872C03" w:rsidRPr="00883399" w:rsidRDefault="00872C03" w:rsidP="0031057E">
            <w:pPr>
              <w:pStyle w:val="TableText"/>
              <w:rPr>
                <w:sz w:val="20"/>
                <w:szCs w:val="20"/>
              </w:rPr>
            </w:pPr>
          </w:p>
        </w:tc>
        <w:tc>
          <w:tcPr>
            <w:tcW w:w="1560" w:type="dxa"/>
          </w:tcPr>
          <w:p w14:paraId="5B85DA4E" w14:textId="77777777" w:rsidR="00872C03" w:rsidRPr="00883399" w:rsidRDefault="00872C03" w:rsidP="0031057E">
            <w:pPr>
              <w:pStyle w:val="TableText"/>
              <w:rPr>
                <w:sz w:val="20"/>
                <w:szCs w:val="20"/>
              </w:rPr>
            </w:pPr>
            <w:r w:rsidRPr="00883399">
              <w:rPr>
                <w:sz w:val="20"/>
                <w:szCs w:val="20"/>
              </w:rPr>
              <w:t>Ash</w:t>
            </w:r>
          </w:p>
        </w:tc>
        <w:tc>
          <w:tcPr>
            <w:tcW w:w="2048" w:type="dxa"/>
          </w:tcPr>
          <w:p w14:paraId="3914D80D" w14:textId="77777777" w:rsidR="00872C03" w:rsidRPr="00883399" w:rsidRDefault="00872C03" w:rsidP="0031057E">
            <w:pPr>
              <w:pStyle w:val="TableText"/>
              <w:rPr>
                <w:sz w:val="20"/>
                <w:szCs w:val="20"/>
              </w:rPr>
            </w:pPr>
            <w:r w:rsidRPr="00883399">
              <w:rPr>
                <w:sz w:val="20"/>
                <w:szCs w:val="20"/>
              </w:rPr>
              <w:t>AS 1038.3—2000</w:t>
            </w:r>
          </w:p>
        </w:tc>
        <w:tc>
          <w:tcPr>
            <w:tcW w:w="1792" w:type="dxa"/>
          </w:tcPr>
          <w:p w14:paraId="6FB12BE8"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67851BCB" w14:textId="77777777" w:rsidTr="0031057E">
        <w:trPr>
          <w:cantSplit/>
        </w:trPr>
        <w:tc>
          <w:tcPr>
            <w:tcW w:w="664" w:type="dxa"/>
          </w:tcPr>
          <w:p w14:paraId="26939BFC" w14:textId="77777777" w:rsidR="00872C03" w:rsidRPr="00883399" w:rsidRDefault="00872C03" w:rsidP="0031057E">
            <w:pPr>
              <w:pStyle w:val="TableText"/>
              <w:tabs>
                <w:tab w:val="left" w:pos="192"/>
              </w:tabs>
              <w:rPr>
                <w:sz w:val="20"/>
                <w:szCs w:val="20"/>
              </w:rPr>
            </w:pPr>
            <w:r w:rsidRPr="00883399">
              <w:rPr>
                <w:sz w:val="20"/>
                <w:szCs w:val="20"/>
              </w:rPr>
              <w:t>1A</w:t>
            </w:r>
          </w:p>
        </w:tc>
        <w:tc>
          <w:tcPr>
            <w:tcW w:w="2216" w:type="dxa"/>
          </w:tcPr>
          <w:p w14:paraId="07D3DFA7" w14:textId="77777777" w:rsidR="00872C03" w:rsidRPr="00883399" w:rsidRDefault="00872C03" w:rsidP="0031057E">
            <w:pPr>
              <w:pStyle w:val="TableText"/>
              <w:rPr>
                <w:sz w:val="20"/>
                <w:szCs w:val="20"/>
              </w:rPr>
            </w:pPr>
            <w:r w:rsidRPr="00883399">
              <w:rPr>
                <w:sz w:val="20"/>
                <w:szCs w:val="20"/>
              </w:rPr>
              <w:t>Sub-bituminous coal</w:t>
            </w:r>
          </w:p>
        </w:tc>
        <w:tc>
          <w:tcPr>
            <w:tcW w:w="1560" w:type="dxa"/>
          </w:tcPr>
          <w:p w14:paraId="6637B99F" w14:textId="77777777" w:rsidR="00872C03" w:rsidRPr="00883399" w:rsidRDefault="00872C03" w:rsidP="0031057E">
            <w:pPr>
              <w:pStyle w:val="TableText"/>
              <w:rPr>
                <w:sz w:val="20"/>
                <w:szCs w:val="20"/>
              </w:rPr>
            </w:pPr>
            <w:r w:rsidRPr="00883399">
              <w:rPr>
                <w:sz w:val="20"/>
                <w:szCs w:val="20"/>
              </w:rPr>
              <w:t>Energy content factor</w:t>
            </w:r>
          </w:p>
        </w:tc>
        <w:tc>
          <w:tcPr>
            <w:tcW w:w="2048" w:type="dxa"/>
          </w:tcPr>
          <w:p w14:paraId="02D8EC32" w14:textId="77777777" w:rsidR="00872C03" w:rsidRPr="00883399" w:rsidRDefault="00872C03" w:rsidP="0031057E">
            <w:pPr>
              <w:pStyle w:val="TableText"/>
              <w:rPr>
                <w:sz w:val="20"/>
                <w:szCs w:val="20"/>
              </w:rPr>
            </w:pPr>
            <w:r w:rsidRPr="00883399">
              <w:rPr>
                <w:sz w:val="20"/>
                <w:szCs w:val="20"/>
              </w:rPr>
              <w:t>AS 1038.5—1998</w:t>
            </w:r>
          </w:p>
        </w:tc>
        <w:tc>
          <w:tcPr>
            <w:tcW w:w="1792" w:type="dxa"/>
          </w:tcPr>
          <w:p w14:paraId="56E9EF10"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67B8C4E1" w14:textId="77777777" w:rsidTr="0031057E">
        <w:trPr>
          <w:cantSplit/>
        </w:trPr>
        <w:tc>
          <w:tcPr>
            <w:tcW w:w="664" w:type="dxa"/>
          </w:tcPr>
          <w:p w14:paraId="78882990" w14:textId="77777777" w:rsidR="00872C03" w:rsidRPr="00883399" w:rsidRDefault="00872C03" w:rsidP="0031057E">
            <w:pPr>
              <w:pStyle w:val="TableText"/>
              <w:rPr>
                <w:sz w:val="20"/>
                <w:szCs w:val="20"/>
              </w:rPr>
            </w:pPr>
          </w:p>
        </w:tc>
        <w:tc>
          <w:tcPr>
            <w:tcW w:w="2216" w:type="dxa"/>
          </w:tcPr>
          <w:p w14:paraId="1AAF6BF5" w14:textId="77777777" w:rsidR="00872C03" w:rsidRPr="00883399" w:rsidRDefault="00872C03" w:rsidP="0031057E">
            <w:pPr>
              <w:pStyle w:val="TableText"/>
              <w:rPr>
                <w:sz w:val="20"/>
                <w:szCs w:val="20"/>
              </w:rPr>
            </w:pPr>
          </w:p>
        </w:tc>
        <w:tc>
          <w:tcPr>
            <w:tcW w:w="1560" w:type="dxa"/>
          </w:tcPr>
          <w:p w14:paraId="56CD462F" w14:textId="77777777" w:rsidR="00872C03" w:rsidRPr="00883399" w:rsidRDefault="00872C03" w:rsidP="0031057E">
            <w:pPr>
              <w:pStyle w:val="TableText"/>
              <w:rPr>
                <w:sz w:val="20"/>
                <w:szCs w:val="20"/>
              </w:rPr>
            </w:pPr>
            <w:r w:rsidRPr="00883399">
              <w:rPr>
                <w:sz w:val="20"/>
                <w:szCs w:val="20"/>
              </w:rPr>
              <w:t>Carbon</w:t>
            </w:r>
          </w:p>
        </w:tc>
        <w:tc>
          <w:tcPr>
            <w:tcW w:w="2048" w:type="dxa"/>
          </w:tcPr>
          <w:p w14:paraId="1C0A4B0C" w14:textId="77777777" w:rsidR="00872C03" w:rsidRPr="00883399" w:rsidRDefault="00872C03" w:rsidP="0031057E">
            <w:pPr>
              <w:pStyle w:val="TableText"/>
              <w:rPr>
                <w:sz w:val="20"/>
                <w:szCs w:val="20"/>
              </w:rPr>
            </w:pPr>
            <w:r w:rsidRPr="00883399">
              <w:rPr>
                <w:sz w:val="20"/>
                <w:szCs w:val="20"/>
              </w:rPr>
              <w:t>AS 1038.6.1—1997</w:t>
            </w:r>
          </w:p>
          <w:p w14:paraId="51EDDA42" w14:textId="77777777" w:rsidR="00872C03" w:rsidRPr="00883399" w:rsidRDefault="00872C03" w:rsidP="0031057E">
            <w:pPr>
              <w:pStyle w:val="TableText"/>
              <w:rPr>
                <w:sz w:val="20"/>
                <w:szCs w:val="20"/>
              </w:rPr>
            </w:pPr>
            <w:r w:rsidRPr="00883399">
              <w:rPr>
                <w:sz w:val="20"/>
                <w:szCs w:val="20"/>
              </w:rPr>
              <w:t>AS 1038.6.4—2005</w:t>
            </w:r>
          </w:p>
        </w:tc>
        <w:tc>
          <w:tcPr>
            <w:tcW w:w="1792" w:type="dxa"/>
          </w:tcPr>
          <w:p w14:paraId="2CDAFA15"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1679A8FD" w14:textId="77777777" w:rsidTr="0031057E">
        <w:trPr>
          <w:cantSplit/>
        </w:trPr>
        <w:tc>
          <w:tcPr>
            <w:tcW w:w="664" w:type="dxa"/>
          </w:tcPr>
          <w:p w14:paraId="3665CFFE" w14:textId="77777777" w:rsidR="00872C03" w:rsidRPr="00883399" w:rsidRDefault="00872C03" w:rsidP="0031057E">
            <w:pPr>
              <w:pStyle w:val="TableText"/>
              <w:rPr>
                <w:sz w:val="20"/>
                <w:szCs w:val="20"/>
              </w:rPr>
            </w:pPr>
          </w:p>
        </w:tc>
        <w:tc>
          <w:tcPr>
            <w:tcW w:w="2216" w:type="dxa"/>
          </w:tcPr>
          <w:p w14:paraId="7AE91E75" w14:textId="77777777" w:rsidR="00872C03" w:rsidRPr="00883399" w:rsidRDefault="00872C03" w:rsidP="0031057E">
            <w:pPr>
              <w:pStyle w:val="TableText"/>
              <w:rPr>
                <w:sz w:val="20"/>
                <w:szCs w:val="20"/>
              </w:rPr>
            </w:pPr>
          </w:p>
        </w:tc>
        <w:tc>
          <w:tcPr>
            <w:tcW w:w="1560" w:type="dxa"/>
          </w:tcPr>
          <w:p w14:paraId="5C4270E1" w14:textId="77777777" w:rsidR="00872C03" w:rsidRPr="00883399" w:rsidRDefault="00872C03" w:rsidP="0031057E">
            <w:pPr>
              <w:pStyle w:val="TableText"/>
              <w:rPr>
                <w:sz w:val="20"/>
                <w:szCs w:val="20"/>
              </w:rPr>
            </w:pPr>
            <w:r w:rsidRPr="00883399">
              <w:rPr>
                <w:sz w:val="20"/>
                <w:szCs w:val="20"/>
              </w:rPr>
              <w:t>Moisture</w:t>
            </w:r>
          </w:p>
        </w:tc>
        <w:tc>
          <w:tcPr>
            <w:tcW w:w="2048" w:type="dxa"/>
          </w:tcPr>
          <w:p w14:paraId="7BF143AC" w14:textId="77777777" w:rsidR="00872C03" w:rsidRPr="00883399" w:rsidRDefault="00872C03" w:rsidP="0031057E">
            <w:pPr>
              <w:pStyle w:val="TableText"/>
              <w:rPr>
                <w:sz w:val="20"/>
                <w:szCs w:val="20"/>
              </w:rPr>
            </w:pPr>
            <w:r w:rsidRPr="00883399">
              <w:rPr>
                <w:sz w:val="20"/>
                <w:szCs w:val="20"/>
              </w:rPr>
              <w:t>AS 1038.1—2001</w:t>
            </w:r>
          </w:p>
          <w:p w14:paraId="71BE18D0" w14:textId="77777777" w:rsidR="00872C03" w:rsidRPr="00883399" w:rsidRDefault="00872C03" w:rsidP="0031057E">
            <w:pPr>
              <w:pStyle w:val="TableText"/>
              <w:rPr>
                <w:sz w:val="20"/>
                <w:szCs w:val="20"/>
              </w:rPr>
            </w:pPr>
            <w:r w:rsidRPr="00883399">
              <w:rPr>
                <w:sz w:val="20"/>
                <w:szCs w:val="20"/>
              </w:rPr>
              <w:t>AS 1038.3—2000</w:t>
            </w:r>
          </w:p>
        </w:tc>
        <w:tc>
          <w:tcPr>
            <w:tcW w:w="1792" w:type="dxa"/>
          </w:tcPr>
          <w:p w14:paraId="24CAE32B"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6375B140" w14:textId="77777777" w:rsidTr="0031057E">
        <w:trPr>
          <w:cantSplit/>
        </w:trPr>
        <w:tc>
          <w:tcPr>
            <w:tcW w:w="664" w:type="dxa"/>
          </w:tcPr>
          <w:p w14:paraId="5454A682" w14:textId="77777777" w:rsidR="00872C03" w:rsidRPr="00883399" w:rsidRDefault="00872C03" w:rsidP="0031057E">
            <w:pPr>
              <w:pStyle w:val="TableText"/>
              <w:rPr>
                <w:sz w:val="20"/>
                <w:szCs w:val="20"/>
              </w:rPr>
            </w:pPr>
          </w:p>
        </w:tc>
        <w:tc>
          <w:tcPr>
            <w:tcW w:w="2216" w:type="dxa"/>
          </w:tcPr>
          <w:p w14:paraId="4E84B6B2" w14:textId="77777777" w:rsidR="00872C03" w:rsidRPr="00883399" w:rsidRDefault="00872C03" w:rsidP="0031057E">
            <w:pPr>
              <w:pStyle w:val="TableText"/>
              <w:rPr>
                <w:sz w:val="20"/>
                <w:szCs w:val="20"/>
              </w:rPr>
            </w:pPr>
          </w:p>
        </w:tc>
        <w:tc>
          <w:tcPr>
            <w:tcW w:w="1560" w:type="dxa"/>
          </w:tcPr>
          <w:p w14:paraId="5461B2F7" w14:textId="77777777" w:rsidR="00872C03" w:rsidRPr="00883399" w:rsidRDefault="00872C03" w:rsidP="0031057E">
            <w:pPr>
              <w:pStyle w:val="TableText"/>
              <w:rPr>
                <w:sz w:val="20"/>
                <w:szCs w:val="20"/>
              </w:rPr>
            </w:pPr>
            <w:r w:rsidRPr="00883399">
              <w:rPr>
                <w:sz w:val="20"/>
                <w:szCs w:val="20"/>
              </w:rPr>
              <w:t>Ash</w:t>
            </w:r>
          </w:p>
        </w:tc>
        <w:tc>
          <w:tcPr>
            <w:tcW w:w="2048" w:type="dxa"/>
          </w:tcPr>
          <w:p w14:paraId="431B8193" w14:textId="77777777" w:rsidR="00872C03" w:rsidRPr="00883399" w:rsidRDefault="00872C03" w:rsidP="0031057E">
            <w:pPr>
              <w:pStyle w:val="TableText"/>
              <w:rPr>
                <w:sz w:val="20"/>
                <w:szCs w:val="20"/>
              </w:rPr>
            </w:pPr>
            <w:r w:rsidRPr="00883399">
              <w:rPr>
                <w:sz w:val="20"/>
                <w:szCs w:val="20"/>
              </w:rPr>
              <w:t>AS 1038.3—2000</w:t>
            </w:r>
          </w:p>
        </w:tc>
        <w:tc>
          <w:tcPr>
            <w:tcW w:w="1792" w:type="dxa"/>
          </w:tcPr>
          <w:p w14:paraId="1146C80F"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0F78676C" w14:textId="77777777" w:rsidTr="0031057E">
        <w:trPr>
          <w:cantSplit/>
        </w:trPr>
        <w:tc>
          <w:tcPr>
            <w:tcW w:w="664" w:type="dxa"/>
          </w:tcPr>
          <w:p w14:paraId="351DE13B" w14:textId="77777777" w:rsidR="00872C03" w:rsidRPr="00883399" w:rsidRDefault="00872C03" w:rsidP="0031057E">
            <w:pPr>
              <w:pStyle w:val="TableText"/>
              <w:rPr>
                <w:sz w:val="20"/>
                <w:szCs w:val="20"/>
              </w:rPr>
            </w:pPr>
            <w:r w:rsidRPr="00883399">
              <w:rPr>
                <w:sz w:val="20"/>
                <w:szCs w:val="20"/>
              </w:rPr>
              <w:t>1B</w:t>
            </w:r>
          </w:p>
        </w:tc>
        <w:tc>
          <w:tcPr>
            <w:tcW w:w="2216" w:type="dxa"/>
          </w:tcPr>
          <w:p w14:paraId="56566D5F" w14:textId="77777777" w:rsidR="00872C03" w:rsidRPr="00883399" w:rsidRDefault="00872C03" w:rsidP="0031057E">
            <w:pPr>
              <w:pStyle w:val="TableText"/>
              <w:rPr>
                <w:sz w:val="20"/>
                <w:szCs w:val="20"/>
              </w:rPr>
            </w:pPr>
            <w:r w:rsidRPr="00883399">
              <w:rPr>
                <w:sz w:val="20"/>
                <w:szCs w:val="20"/>
              </w:rPr>
              <w:t>Anthracite</w:t>
            </w:r>
          </w:p>
        </w:tc>
        <w:tc>
          <w:tcPr>
            <w:tcW w:w="1560" w:type="dxa"/>
          </w:tcPr>
          <w:p w14:paraId="4CAEC6A7" w14:textId="77777777" w:rsidR="00872C03" w:rsidRPr="00883399" w:rsidRDefault="00872C03" w:rsidP="0031057E">
            <w:pPr>
              <w:pStyle w:val="TableText"/>
              <w:rPr>
                <w:sz w:val="20"/>
                <w:szCs w:val="20"/>
              </w:rPr>
            </w:pPr>
            <w:r w:rsidRPr="00883399">
              <w:rPr>
                <w:sz w:val="20"/>
                <w:szCs w:val="20"/>
              </w:rPr>
              <w:t>Energy content factor</w:t>
            </w:r>
          </w:p>
        </w:tc>
        <w:tc>
          <w:tcPr>
            <w:tcW w:w="2048" w:type="dxa"/>
          </w:tcPr>
          <w:p w14:paraId="6807D925" w14:textId="77777777" w:rsidR="00872C03" w:rsidRPr="00883399" w:rsidRDefault="00872C03" w:rsidP="0031057E">
            <w:pPr>
              <w:pStyle w:val="TableText"/>
              <w:rPr>
                <w:sz w:val="20"/>
                <w:szCs w:val="20"/>
              </w:rPr>
            </w:pPr>
            <w:r w:rsidRPr="00883399">
              <w:rPr>
                <w:sz w:val="20"/>
                <w:szCs w:val="20"/>
              </w:rPr>
              <w:t>AS 1038.5—1998</w:t>
            </w:r>
          </w:p>
        </w:tc>
        <w:tc>
          <w:tcPr>
            <w:tcW w:w="1792" w:type="dxa"/>
          </w:tcPr>
          <w:p w14:paraId="1022508A"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21D32F8E" w14:textId="77777777" w:rsidTr="0031057E">
        <w:trPr>
          <w:cantSplit/>
        </w:trPr>
        <w:tc>
          <w:tcPr>
            <w:tcW w:w="664" w:type="dxa"/>
          </w:tcPr>
          <w:p w14:paraId="192450EF" w14:textId="77777777" w:rsidR="00872C03" w:rsidRPr="00883399" w:rsidRDefault="00872C03" w:rsidP="0031057E">
            <w:pPr>
              <w:pStyle w:val="TableText"/>
              <w:rPr>
                <w:sz w:val="20"/>
                <w:szCs w:val="20"/>
              </w:rPr>
            </w:pPr>
          </w:p>
        </w:tc>
        <w:tc>
          <w:tcPr>
            <w:tcW w:w="2216" w:type="dxa"/>
          </w:tcPr>
          <w:p w14:paraId="2141AB3B" w14:textId="77777777" w:rsidR="00872C03" w:rsidRPr="00883399" w:rsidRDefault="00872C03" w:rsidP="0031057E">
            <w:pPr>
              <w:pStyle w:val="TableText"/>
              <w:rPr>
                <w:sz w:val="20"/>
                <w:szCs w:val="20"/>
              </w:rPr>
            </w:pPr>
          </w:p>
        </w:tc>
        <w:tc>
          <w:tcPr>
            <w:tcW w:w="1560" w:type="dxa"/>
          </w:tcPr>
          <w:p w14:paraId="6F52B811" w14:textId="77777777" w:rsidR="00872C03" w:rsidRPr="00883399" w:rsidRDefault="00872C03" w:rsidP="0031057E">
            <w:pPr>
              <w:pStyle w:val="TableText"/>
              <w:rPr>
                <w:sz w:val="20"/>
                <w:szCs w:val="20"/>
              </w:rPr>
            </w:pPr>
            <w:r w:rsidRPr="00883399">
              <w:rPr>
                <w:sz w:val="20"/>
                <w:szCs w:val="20"/>
              </w:rPr>
              <w:t>Carbon</w:t>
            </w:r>
          </w:p>
        </w:tc>
        <w:tc>
          <w:tcPr>
            <w:tcW w:w="2048" w:type="dxa"/>
          </w:tcPr>
          <w:p w14:paraId="536C68DF" w14:textId="77777777" w:rsidR="00872C03" w:rsidRPr="00883399" w:rsidRDefault="00872C03" w:rsidP="0031057E">
            <w:pPr>
              <w:pStyle w:val="TableText"/>
              <w:rPr>
                <w:sz w:val="20"/>
                <w:szCs w:val="20"/>
              </w:rPr>
            </w:pPr>
            <w:r w:rsidRPr="00883399">
              <w:rPr>
                <w:sz w:val="20"/>
                <w:szCs w:val="20"/>
              </w:rPr>
              <w:t>AS 1038.6.1—1997</w:t>
            </w:r>
          </w:p>
          <w:p w14:paraId="0100273B" w14:textId="77777777" w:rsidR="00872C03" w:rsidRPr="00883399" w:rsidRDefault="00872C03" w:rsidP="0031057E">
            <w:pPr>
              <w:pStyle w:val="TableText"/>
              <w:rPr>
                <w:sz w:val="20"/>
                <w:szCs w:val="20"/>
              </w:rPr>
            </w:pPr>
            <w:r w:rsidRPr="00883399">
              <w:rPr>
                <w:sz w:val="20"/>
                <w:szCs w:val="20"/>
              </w:rPr>
              <w:t>AS 1038.6.4—2005</w:t>
            </w:r>
          </w:p>
        </w:tc>
        <w:tc>
          <w:tcPr>
            <w:tcW w:w="1792" w:type="dxa"/>
          </w:tcPr>
          <w:p w14:paraId="7DEDAB57"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41706A48" w14:textId="77777777" w:rsidTr="0031057E">
        <w:trPr>
          <w:cantSplit/>
        </w:trPr>
        <w:tc>
          <w:tcPr>
            <w:tcW w:w="664" w:type="dxa"/>
          </w:tcPr>
          <w:p w14:paraId="3DD41ED9" w14:textId="77777777" w:rsidR="00872C03" w:rsidRPr="00883399" w:rsidRDefault="00872C03" w:rsidP="0031057E">
            <w:pPr>
              <w:pStyle w:val="TableText"/>
              <w:rPr>
                <w:sz w:val="20"/>
                <w:szCs w:val="20"/>
              </w:rPr>
            </w:pPr>
          </w:p>
        </w:tc>
        <w:tc>
          <w:tcPr>
            <w:tcW w:w="2216" w:type="dxa"/>
          </w:tcPr>
          <w:p w14:paraId="0DB03085" w14:textId="77777777" w:rsidR="00872C03" w:rsidRPr="00883399" w:rsidRDefault="00872C03" w:rsidP="0031057E">
            <w:pPr>
              <w:pStyle w:val="TableText"/>
              <w:rPr>
                <w:sz w:val="20"/>
                <w:szCs w:val="20"/>
              </w:rPr>
            </w:pPr>
          </w:p>
        </w:tc>
        <w:tc>
          <w:tcPr>
            <w:tcW w:w="1560" w:type="dxa"/>
          </w:tcPr>
          <w:p w14:paraId="3B420EF2" w14:textId="77777777" w:rsidR="00872C03" w:rsidRPr="00883399" w:rsidRDefault="00872C03" w:rsidP="0031057E">
            <w:pPr>
              <w:pStyle w:val="TableText"/>
              <w:rPr>
                <w:sz w:val="20"/>
                <w:szCs w:val="20"/>
              </w:rPr>
            </w:pPr>
            <w:r w:rsidRPr="00883399">
              <w:rPr>
                <w:sz w:val="20"/>
                <w:szCs w:val="20"/>
              </w:rPr>
              <w:t>Moisture</w:t>
            </w:r>
          </w:p>
        </w:tc>
        <w:tc>
          <w:tcPr>
            <w:tcW w:w="2048" w:type="dxa"/>
          </w:tcPr>
          <w:p w14:paraId="70442F54" w14:textId="77777777" w:rsidR="00872C03" w:rsidRPr="00883399" w:rsidRDefault="00872C03" w:rsidP="0031057E">
            <w:pPr>
              <w:pStyle w:val="TableText"/>
              <w:rPr>
                <w:sz w:val="20"/>
                <w:szCs w:val="20"/>
              </w:rPr>
            </w:pPr>
            <w:r w:rsidRPr="00883399">
              <w:rPr>
                <w:sz w:val="20"/>
                <w:szCs w:val="20"/>
              </w:rPr>
              <w:t>AS 1038.1—2001</w:t>
            </w:r>
          </w:p>
          <w:p w14:paraId="02D8AC6B" w14:textId="77777777" w:rsidR="00872C03" w:rsidRPr="00883399" w:rsidRDefault="00872C03" w:rsidP="0031057E">
            <w:pPr>
              <w:pStyle w:val="TableText"/>
              <w:rPr>
                <w:sz w:val="20"/>
                <w:szCs w:val="20"/>
              </w:rPr>
            </w:pPr>
            <w:r w:rsidRPr="00883399">
              <w:rPr>
                <w:sz w:val="20"/>
                <w:szCs w:val="20"/>
              </w:rPr>
              <w:t>AS 1038.3—2000</w:t>
            </w:r>
          </w:p>
        </w:tc>
        <w:tc>
          <w:tcPr>
            <w:tcW w:w="1792" w:type="dxa"/>
          </w:tcPr>
          <w:p w14:paraId="4D5B44EF"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5B3AFB10" w14:textId="77777777" w:rsidTr="0031057E">
        <w:trPr>
          <w:cantSplit/>
        </w:trPr>
        <w:tc>
          <w:tcPr>
            <w:tcW w:w="664" w:type="dxa"/>
          </w:tcPr>
          <w:p w14:paraId="10AA1464" w14:textId="77777777" w:rsidR="00872C03" w:rsidRPr="00883399" w:rsidRDefault="00872C03" w:rsidP="0031057E">
            <w:pPr>
              <w:pStyle w:val="TableText"/>
              <w:rPr>
                <w:sz w:val="20"/>
                <w:szCs w:val="20"/>
              </w:rPr>
            </w:pPr>
          </w:p>
        </w:tc>
        <w:tc>
          <w:tcPr>
            <w:tcW w:w="2216" w:type="dxa"/>
          </w:tcPr>
          <w:p w14:paraId="67DCF7B3" w14:textId="77777777" w:rsidR="00872C03" w:rsidRPr="00883399" w:rsidRDefault="00872C03" w:rsidP="0031057E">
            <w:pPr>
              <w:pStyle w:val="TableText"/>
              <w:rPr>
                <w:sz w:val="20"/>
                <w:szCs w:val="20"/>
              </w:rPr>
            </w:pPr>
          </w:p>
        </w:tc>
        <w:tc>
          <w:tcPr>
            <w:tcW w:w="1560" w:type="dxa"/>
          </w:tcPr>
          <w:p w14:paraId="231770C9" w14:textId="77777777" w:rsidR="00872C03" w:rsidRPr="00883399" w:rsidRDefault="00872C03" w:rsidP="0031057E">
            <w:pPr>
              <w:pStyle w:val="TableText"/>
              <w:rPr>
                <w:sz w:val="20"/>
                <w:szCs w:val="20"/>
              </w:rPr>
            </w:pPr>
            <w:r w:rsidRPr="00883399">
              <w:rPr>
                <w:sz w:val="20"/>
                <w:szCs w:val="20"/>
              </w:rPr>
              <w:t>Ash</w:t>
            </w:r>
          </w:p>
        </w:tc>
        <w:tc>
          <w:tcPr>
            <w:tcW w:w="2048" w:type="dxa"/>
          </w:tcPr>
          <w:p w14:paraId="554E91EE" w14:textId="77777777" w:rsidR="00872C03" w:rsidRPr="00883399" w:rsidRDefault="00872C03" w:rsidP="0031057E">
            <w:pPr>
              <w:pStyle w:val="TableText"/>
              <w:rPr>
                <w:sz w:val="20"/>
                <w:szCs w:val="20"/>
              </w:rPr>
            </w:pPr>
            <w:r w:rsidRPr="00883399">
              <w:rPr>
                <w:sz w:val="20"/>
                <w:szCs w:val="20"/>
              </w:rPr>
              <w:t>AS 1038.3—2000</w:t>
            </w:r>
          </w:p>
        </w:tc>
        <w:tc>
          <w:tcPr>
            <w:tcW w:w="1792" w:type="dxa"/>
          </w:tcPr>
          <w:p w14:paraId="4241392B"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4BA666D4" w14:textId="77777777" w:rsidTr="0031057E">
        <w:trPr>
          <w:cantSplit/>
        </w:trPr>
        <w:tc>
          <w:tcPr>
            <w:tcW w:w="664" w:type="dxa"/>
            <w:vMerge w:val="restart"/>
          </w:tcPr>
          <w:p w14:paraId="00BE89DB" w14:textId="77777777" w:rsidR="00872C03" w:rsidRPr="00883399" w:rsidRDefault="00872C03" w:rsidP="0031057E">
            <w:pPr>
              <w:pStyle w:val="TableText"/>
              <w:ind w:left="227"/>
              <w:rPr>
                <w:sz w:val="20"/>
                <w:szCs w:val="20"/>
              </w:rPr>
            </w:pPr>
            <w:r w:rsidRPr="00883399">
              <w:rPr>
                <w:sz w:val="20"/>
                <w:szCs w:val="20"/>
              </w:rPr>
              <w:t>2</w:t>
            </w:r>
          </w:p>
        </w:tc>
        <w:tc>
          <w:tcPr>
            <w:tcW w:w="2216" w:type="dxa"/>
            <w:vMerge w:val="restart"/>
          </w:tcPr>
          <w:p w14:paraId="28BB3F65" w14:textId="77777777" w:rsidR="00872C03" w:rsidRPr="00883399" w:rsidRDefault="00872C03" w:rsidP="0031057E">
            <w:pPr>
              <w:pStyle w:val="TableText"/>
              <w:rPr>
                <w:sz w:val="20"/>
                <w:szCs w:val="20"/>
              </w:rPr>
            </w:pPr>
            <w:r w:rsidRPr="00883399">
              <w:rPr>
                <w:sz w:val="20"/>
                <w:szCs w:val="20"/>
              </w:rPr>
              <w:t xml:space="preserve">Brown coal </w:t>
            </w:r>
          </w:p>
        </w:tc>
        <w:tc>
          <w:tcPr>
            <w:tcW w:w="1560" w:type="dxa"/>
          </w:tcPr>
          <w:p w14:paraId="327BDF4F" w14:textId="77777777" w:rsidR="00872C03" w:rsidRPr="00883399" w:rsidRDefault="00872C03" w:rsidP="0031057E">
            <w:pPr>
              <w:pStyle w:val="TableText"/>
              <w:rPr>
                <w:sz w:val="20"/>
                <w:szCs w:val="20"/>
              </w:rPr>
            </w:pPr>
            <w:r w:rsidRPr="00883399">
              <w:rPr>
                <w:sz w:val="20"/>
                <w:szCs w:val="20"/>
              </w:rPr>
              <w:t>Energy content factor</w:t>
            </w:r>
          </w:p>
        </w:tc>
        <w:tc>
          <w:tcPr>
            <w:tcW w:w="2048" w:type="dxa"/>
          </w:tcPr>
          <w:p w14:paraId="5532A1F7" w14:textId="77777777" w:rsidR="00872C03" w:rsidRPr="00883399" w:rsidRDefault="00872C03" w:rsidP="0031057E">
            <w:pPr>
              <w:pStyle w:val="TableText"/>
              <w:rPr>
                <w:sz w:val="20"/>
                <w:szCs w:val="20"/>
              </w:rPr>
            </w:pPr>
            <w:r w:rsidRPr="00883399">
              <w:rPr>
                <w:sz w:val="20"/>
                <w:szCs w:val="20"/>
              </w:rPr>
              <w:t>AS 1038.5—1998</w:t>
            </w:r>
          </w:p>
        </w:tc>
        <w:tc>
          <w:tcPr>
            <w:tcW w:w="1792" w:type="dxa"/>
          </w:tcPr>
          <w:p w14:paraId="127C7522"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4B0A884E" w14:textId="77777777" w:rsidTr="0031057E">
        <w:trPr>
          <w:cantSplit/>
        </w:trPr>
        <w:tc>
          <w:tcPr>
            <w:tcW w:w="664" w:type="dxa"/>
            <w:vMerge/>
          </w:tcPr>
          <w:p w14:paraId="49C3A5D0" w14:textId="77777777" w:rsidR="00872C03" w:rsidRPr="00883399" w:rsidRDefault="00872C03" w:rsidP="0031057E">
            <w:pPr>
              <w:pStyle w:val="TableText"/>
              <w:rPr>
                <w:sz w:val="20"/>
                <w:szCs w:val="20"/>
              </w:rPr>
            </w:pPr>
          </w:p>
        </w:tc>
        <w:tc>
          <w:tcPr>
            <w:tcW w:w="2216" w:type="dxa"/>
            <w:vMerge/>
          </w:tcPr>
          <w:p w14:paraId="71BCEB62" w14:textId="77777777" w:rsidR="00872C03" w:rsidRPr="00883399" w:rsidRDefault="00872C03" w:rsidP="0031057E">
            <w:pPr>
              <w:pStyle w:val="TableText"/>
              <w:rPr>
                <w:sz w:val="20"/>
                <w:szCs w:val="20"/>
              </w:rPr>
            </w:pPr>
          </w:p>
        </w:tc>
        <w:tc>
          <w:tcPr>
            <w:tcW w:w="1560" w:type="dxa"/>
          </w:tcPr>
          <w:p w14:paraId="779F1219" w14:textId="77777777" w:rsidR="00872C03" w:rsidRPr="00883399" w:rsidRDefault="00872C03" w:rsidP="0031057E">
            <w:pPr>
              <w:pStyle w:val="TableText"/>
              <w:rPr>
                <w:sz w:val="20"/>
                <w:szCs w:val="20"/>
              </w:rPr>
            </w:pPr>
            <w:r w:rsidRPr="00883399">
              <w:rPr>
                <w:sz w:val="20"/>
                <w:szCs w:val="20"/>
              </w:rPr>
              <w:t>Carbon</w:t>
            </w:r>
          </w:p>
        </w:tc>
        <w:tc>
          <w:tcPr>
            <w:tcW w:w="2048" w:type="dxa"/>
          </w:tcPr>
          <w:p w14:paraId="2C8640E5" w14:textId="77777777" w:rsidR="00872C03" w:rsidRPr="00883399" w:rsidRDefault="00872C03" w:rsidP="0031057E">
            <w:pPr>
              <w:pStyle w:val="TableText"/>
              <w:rPr>
                <w:sz w:val="20"/>
                <w:szCs w:val="20"/>
              </w:rPr>
            </w:pPr>
            <w:r w:rsidRPr="00883399">
              <w:rPr>
                <w:sz w:val="20"/>
                <w:szCs w:val="20"/>
              </w:rPr>
              <w:t>AS 2434.6—2002</w:t>
            </w:r>
          </w:p>
        </w:tc>
        <w:tc>
          <w:tcPr>
            <w:tcW w:w="1792" w:type="dxa"/>
          </w:tcPr>
          <w:p w14:paraId="357455C0"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302096E7" w14:textId="77777777" w:rsidTr="0031057E">
        <w:trPr>
          <w:cantSplit/>
        </w:trPr>
        <w:tc>
          <w:tcPr>
            <w:tcW w:w="664" w:type="dxa"/>
            <w:vMerge/>
          </w:tcPr>
          <w:p w14:paraId="6E1C0534" w14:textId="77777777" w:rsidR="00872C03" w:rsidRPr="00883399" w:rsidRDefault="00872C03" w:rsidP="0031057E">
            <w:pPr>
              <w:pStyle w:val="TableText"/>
              <w:rPr>
                <w:sz w:val="20"/>
                <w:szCs w:val="20"/>
              </w:rPr>
            </w:pPr>
          </w:p>
        </w:tc>
        <w:tc>
          <w:tcPr>
            <w:tcW w:w="2216" w:type="dxa"/>
            <w:vMerge/>
          </w:tcPr>
          <w:p w14:paraId="4400992C" w14:textId="77777777" w:rsidR="00872C03" w:rsidRPr="00883399" w:rsidRDefault="00872C03" w:rsidP="0031057E">
            <w:pPr>
              <w:pStyle w:val="TableText"/>
              <w:rPr>
                <w:sz w:val="20"/>
                <w:szCs w:val="20"/>
              </w:rPr>
            </w:pPr>
          </w:p>
        </w:tc>
        <w:tc>
          <w:tcPr>
            <w:tcW w:w="1560" w:type="dxa"/>
          </w:tcPr>
          <w:p w14:paraId="6600FB6F" w14:textId="77777777" w:rsidR="00872C03" w:rsidRPr="00883399" w:rsidRDefault="00872C03" w:rsidP="0031057E">
            <w:pPr>
              <w:pStyle w:val="TableText"/>
              <w:rPr>
                <w:sz w:val="20"/>
                <w:szCs w:val="20"/>
              </w:rPr>
            </w:pPr>
            <w:r w:rsidRPr="00883399">
              <w:rPr>
                <w:sz w:val="20"/>
                <w:szCs w:val="20"/>
              </w:rPr>
              <w:t>Moisture</w:t>
            </w:r>
          </w:p>
        </w:tc>
        <w:tc>
          <w:tcPr>
            <w:tcW w:w="2048" w:type="dxa"/>
          </w:tcPr>
          <w:p w14:paraId="4EBAB1FB" w14:textId="77777777" w:rsidR="00872C03" w:rsidRPr="00883399" w:rsidRDefault="00872C03" w:rsidP="0031057E">
            <w:pPr>
              <w:pStyle w:val="TableText"/>
              <w:rPr>
                <w:sz w:val="20"/>
                <w:szCs w:val="20"/>
              </w:rPr>
            </w:pPr>
            <w:r w:rsidRPr="00883399">
              <w:rPr>
                <w:sz w:val="20"/>
                <w:szCs w:val="20"/>
              </w:rPr>
              <w:t>AS 2434.1—1999</w:t>
            </w:r>
          </w:p>
        </w:tc>
        <w:tc>
          <w:tcPr>
            <w:tcW w:w="1792" w:type="dxa"/>
          </w:tcPr>
          <w:p w14:paraId="6B4AD029"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391429D9" w14:textId="77777777" w:rsidTr="0031057E">
        <w:trPr>
          <w:cantSplit/>
        </w:trPr>
        <w:tc>
          <w:tcPr>
            <w:tcW w:w="664" w:type="dxa"/>
            <w:vMerge/>
          </w:tcPr>
          <w:p w14:paraId="6D49E5DF" w14:textId="77777777" w:rsidR="00872C03" w:rsidRPr="00883399" w:rsidRDefault="00872C03" w:rsidP="0031057E">
            <w:pPr>
              <w:pStyle w:val="TableText"/>
              <w:rPr>
                <w:sz w:val="20"/>
                <w:szCs w:val="20"/>
              </w:rPr>
            </w:pPr>
          </w:p>
        </w:tc>
        <w:tc>
          <w:tcPr>
            <w:tcW w:w="2216" w:type="dxa"/>
            <w:vMerge/>
          </w:tcPr>
          <w:p w14:paraId="47048091" w14:textId="77777777" w:rsidR="00872C03" w:rsidRPr="00883399" w:rsidRDefault="00872C03" w:rsidP="0031057E">
            <w:pPr>
              <w:pStyle w:val="TableText"/>
              <w:rPr>
                <w:sz w:val="20"/>
                <w:szCs w:val="20"/>
              </w:rPr>
            </w:pPr>
          </w:p>
        </w:tc>
        <w:tc>
          <w:tcPr>
            <w:tcW w:w="1560" w:type="dxa"/>
          </w:tcPr>
          <w:p w14:paraId="12C50B87" w14:textId="77777777" w:rsidR="00872C03" w:rsidRPr="00883399" w:rsidRDefault="00872C03" w:rsidP="0031057E">
            <w:pPr>
              <w:pStyle w:val="TableText"/>
              <w:rPr>
                <w:sz w:val="20"/>
                <w:szCs w:val="20"/>
              </w:rPr>
            </w:pPr>
            <w:r w:rsidRPr="00883399">
              <w:rPr>
                <w:sz w:val="20"/>
                <w:szCs w:val="20"/>
              </w:rPr>
              <w:t>Ash</w:t>
            </w:r>
          </w:p>
        </w:tc>
        <w:tc>
          <w:tcPr>
            <w:tcW w:w="2048" w:type="dxa"/>
          </w:tcPr>
          <w:p w14:paraId="2C57ED25" w14:textId="77777777" w:rsidR="00872C03" w:rsidRPr="00883399" w:rsidRDefault="00872C03" w:rsidP="0031057E">
            <w:pPr>
              <w:pStyle w:val="TableText"/>
              <w:rPr>
                <w:sz w:val="20"/>
                <w:szCs w:val="20"/>
              </w:rPr>
            </w:pPr>
            <w:r w:rsidRPr="00883399">
              <w:rPr>
                <w:sz w:val="20"/>
                <w:szCs w:val="20"/>
              </w:rPr>
              <w:t>AS 2434.8—2002</w:t>
            </w:r>
          </w:p>
        </w:tc>
        <w:tc>
          <w:tcPr>
            <w:tcW w:w="1792" w:type="dxa"/>
          </w:tcPr>
          <w:p w14:paraId="443179A3"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247249F9" w14:textId="77777777" w:rsidTr="0031057E">
        <w:trPr>
          <w:cantSplit/>
        </w:trPr>
        <w:tc>
          <w:tcPr>
            <w:tcW w:w="664" w:type="dxa"/>
            <w:vMerge w:val="restart"/>
          </w:tcPr>
          <w:p w14:paraId="5596362F" w14:textId="77777777" w:rsidR="00872C03" w:rsidRPr="00883399" w:rsidRDefault="00872C03" w:rsidP="0031057E">
            <w:pPr>
              <w:pStyle w:val="TableText"/>
              <w:ind w:left="227"/>
              <w:rPr>
                <w:sz w:val="20"/>
                <w:szCs w:val="20"/>
              </w:rPr>
            </w:pPr>
            <w:r w:rsidRPr="00883399">
              <w:rPr>
                <w:sz w:val="20"/>
                <w:szCs w:val="20"/>
              </w:rPr>
              <w:t>3</w:t>
            </w:r>
          </w:p>
        </w:tc>
        <w:tc>
          <w:tcPr>
            <w:tcW w:w="2216" w:type="dxa"/>
            <w:vMerge w:val="restart"/>
          </w:tcPr>
          <w:p w14:paraId="7EA9866E" w14:textId="77777777" w:rsidR="00872C03" w:rsidRPr="00883399" w:rsidRDefault="00872C03" w:rsidP="0031057E">
            <w:pPr>
              <w:pStyle w:val="TableText"/>
              <w:rPr>
                <w:sz w:val="20"/>
                <w:szCs w:val="20"/>
              </w:rPr>
            </w:pPr>
            <w:r w:rsidRPr="00883399">
              <w:rPr>
                <w:sz w:val="20"/>
                <w:szCs w:val="20"/>
              </w:rPr>
              <w:t>Coking coal</w:t>
            </w:r>
          </w:p>
        </w:tc>
        <w:tc>
          <w:tcPr>
            <w:tcW w:w="1560" w:type="dxa"/>
          </w:tcPr>
          <w:p w14:paraId="4897369A" w14:textId="77777777" w:rsidR="00872C03" w:rsidRPr="00883399" w:rsidRDefault="00872C03" w:rsidP="0031057E">
            <w:pPr>
              <w:pStyle w:val="TableText"/>
              <w:rPr>
                <w:sz w:val="20"/>
                <w:szCs w:val="20"/>
              </w:rPr>
            </w:pPr>
            <w:r w:rsidRPr="00883399">
              <w:rPr>
                <w:sz w:val="20"/>
                <w:szCs w:val="20"/>
              </w:rPr>
              <w:t>Energy content factor</w:t>
            </w:r>
          </w:p>
        </w:tc>
        <w:tc>
          <w:tcPr>
            <w:tcW w:w="2048" w:type="dxa"/>
          </w:tcPr>
          <w:p w14:paraId="6C168989" w14:textId="77777777" w:rsidR="00872C03" w:rsidRPr="00883399" w:rsidRDefault="00872C03" w:rsidP="0031057E">
            <w:pPr>
              <w:pStyle w:val="TableText"/>
              <w:rPr>
                <w:sz w:val="20"/>
                <w:szCs w:val="20"/>
              </w:rPr>
            </w:pPr>
            <w:r w:rsidRPr="00883399">
              <w:rPr>
                <w:sz w:val="20"/>
                <w:szCs w:val="20"/>
              </w:rPr>
              <w:t>AS 1038.5—1998</w:t>
            </w:r>
          </w:p>
        </w:tc>
        <w:tc>
          <w:tcPr>
            <w:tcW w:w="1792" w:type="dxa"/>
          </w:tcPr>
          <w:p w14:paraId="37A73392"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3DC0F7A2" w14:textId="77777777" w:rsidTr="0031057E">
        <w:trPr>
          <w:cantSplit/>
        </w:trPr>
        <w:tc>
          <w:tcPr>
            <w:tcW w:w="664" w:type="dxa"/>
            <w:vMerge/>
          </w:tcPr>
          <w:p w14:paraId="4F8C9871" w14:textId="77777777" w:rsidR="00872C03" w:rsidRPr="00883399" w:rsidRDefault="00872C03" w:rsidP="0031057E">
            <w:pPr>
              <w:pStyle w:val="TableText"/>
              <w:rPr>
                <w:sz w:val="20"/>
                <w:szCs w:val="20"/>
              </w:rPr>
            </w:pPr>
          </w:p>
        </w:tc>
        <w:tc>
          <w:tcPr>
            <w:tcW w:w="2216" w:type="dxa"/>
            <w:vMerge/>
          </w:tcPr>
          <w:p w14:paraId="5FC10FB9" w14:textId="77777777" w:rsidR="00872C03" w:rsidRPr="00883399" w:rsidRDefault="00872C03" w:rsidP="0031057E">
            <w:pPr>
              <w:pStyle w:val="TableText"/>
              <w:rPr>
                <w:sz w:val="20"/>
                <w:szCs w:val="20"/>
              </w:rPr>
            </w:pPr>
          </w:p>
        </w:tc>
        <w:tc>
          <w:tcPr>
            <w:tcW w:w="1560" w:type="dxa"/>
          </w:tcPr>
          <w:p w14:paraId="0C8522E6" w14:textId="77777777" w:rsidR="00872C03" w:rsidRPr="00883399" w:rsidRDefault="00872C03" w:rsidP="0031057E">
            <w:pPr>
              <w:pStyle w:val="TableText"/>
              <w:rPr>
                <w:sz w:val="20"/>
                <w:szCs w:val="20"/>
              </w:rPr>
            </w:pPr>
            <w:r w:rsidRPr="00883399">
              <w:rPr>
                <w:sz w:val="20"/>
                <w:szCs w:val="20"/>
              </w:rPr>
              <w:t>Carbon</w:t>
            </w:r>
          </w:p>
        </w:tc>
        <w:tc>
          <w:tcPr>
            <w:tcW w:w="2048" w:type="dxa"/>
          </w:tcPr>
          <w:p w14:paraId="6A987A3D" w14:textId="77777777" w:rsidR="00872C03" w:rsidRPr="00883399" w:rsidRDefault="00872C03" w:rsidP="0031057E">
            <w:pPr>
              <w:pStyle w:val="TableText"/>
              <w:rPr>
                <w:sz w:val="20"/>
                <w:szCs w:val="20"/>
              </w:rPr>
            </w:pPr>
            <w:r w:rsidRPr="00883399">
              <w:rPr>
                <w:sz w:val="20"/>
                <w:szCs w:val="20"/>
              </w:rPr>
              <w:t>AS 1038.6.1—1997</w:t>
            </w:r>
          </w:p>
          <w:p w14:paraId="76966833" w14:textId="77777777" w:rsidR="00872C03" w:rsidRPr="00883399" w:rsidRDefault="00872C03" w:rsidP="0031057E">
            <w:pPr>
              <w:pStyle w:val="TableText"/>
              <w:rPr>
                <w:sz w:val="20"/>
                <w:szCs w:val="20"/>
              </w:rPr>
            </w:pPr>
            <w:r w:rsidRPr="00883399">
              <w:rPr>
                <w:sz w:val="20"/>
                <w:szCs w:val="20"/>
              </w:rPr>
              <w:t>AS 1038.6.4—2005</w:t>
            </w:r>
          </w:p>
        </w:tc>
        <w:tc>
          <w:tcPr>
            <w:tcW w:w="1792" w:type="dxa"/>
          </w:tcPr>
          <w:p w14:paraId="032857E7"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21086270" w14:textId="77777777" w:rsidTr="0031057E">
        <w:trPr>
          <w:cantSplit/>
        </w:trPr>
        <w:tc>
          <w:tcPr>
            <w:tcW w:w="664" w:type="dxa"/>
            <w:vMerge/>
          </w:tcPr>
          <w:p w14:paraId="2EE8DCF8" w14:textId="77777777" w:rsidR="00872C03" w:rsidRPr="00883399" w:rsidRDefault="00872C03" w:rsidP="0031057E">
            <w:pPr>
              <w:pStyle w:val="TableText"/>
              <w:rPr>
                <w:sz w:val="20"/>
                <w:szCs w:val="20"/>
              </w:rPr>
            </w:pPr>
          </w:p>
        </w:tc>
        <w:tc>
          <w:tcPr>
            <w:tcW w:w="2216" w:type="dxa"/>
            <w:vMerge/>
          </w:tcPr>
          <w:p w14:paraId="3671DBC7" w14:textId="77777777" w:rsidR="00872C03" w:rsidRPr="00883399" w:rsidRDefault="00872C03" w:rsidP="0031057E">
            <w:pPr>
              <w:pStyle w:val="TableText"/>
              <w:rPr>
                <w:sz w:val="20"/>
                <w:szCs w:val="20"/>
              </w:rPr>
            </w:pPr>
          </w:p>
        </w:tc>
        <w:tc>
          <w:tcPr>
            <w:tcW w:w="1560" w:type="dxa"/>
          </w:tcPr>
          <w:p w14:paraId="49093849" w14:textId="77777777" w:rsidR="00872C03" w:rsidRPr="00883399" w:rsidRDefault="00872C03" w:rsidP="0031057E">
            <w:pPr>
              <w:pStyle w:val="TableText"/>
              <w:rPr>
                <w:sz w:val="20"/>
                <w:szCs w:val="20"/>
              </w:rPr>
            </w:pPr>
            <w:r w:rsidRPr="00883399">
              <w:rPr>
                <w:sz w:val="20"/>
                <w:szCs w:val="20"/>
              </w:rPr>
              <w:t>Moisture</w:t>
            </w:r>
          </w:p>
        </w:tc>
        <w:tc>
          <w:tcPr>
            <w:tcW w:w="2048" w:type="dxa"/>
          </w:tcPr>
          <w:p w14:paraId="01C11DF1" w14:textId="77777777" w:rsidR="00872C03" w:rsidRPr="00883399" w:rsidRDefault="00872C03" w:rsidP="0031057E">
            <w:pPr>
              <w:pStyle w:val="TableText"/>
              <w:rPr>
                <w:sz w:val="20"/>
                <w:szCs w:val="20"/>
              </w:rPr>
            </w:pPr>
            <w:r w:rsidRPr="00883399">
              <w:rPr>
                <w:sz w:val="20"/>
                <w:szCs w:val="20"/>
              </w:rPr>
              <w:t>AS 1038.1—2001</w:t>
            </w:r>
          </w:p>
          <w:p w14:paraId="68A65CB9" w14:textId="77777777" w:rsidR="00872C03" w:rsidRPr="00883399" w:rsidRDefault="00872C03" w:rsidP="0031057E">
            <w:pPr>
              <w:pStyle w:val="TableText"/>
              <w:rPr>
                <w:sz w:val="20"/>
                <w:szCs w:val="20"/>
              </w:rPr>
            </w:pPr>
            <w:r w:rsidRPr="00883399">
              <w:rPr>
                <w:sz w:val="20"/>
                <w:szCs w:val="20"/>
              </w:rPr>
              <w:t>AS 1038.3—2000</w:t>
            </w:r>
          </w:p>
        </w:tc>
        <w:tc>
          <w:tcPr>
            <w:tcW w:w="1792" w:type="dxa"/>
          </w:tcPr>
          <w:p w14:paraId="51400B90"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47010AF7" w14:textId="77777777" w:rsidTr="0031057E">
        <w:trPr>
          <w:cantSplit/>
        </w:trPr>
        <w:tc>
          <w:tcPr>
            <w:tcW w:w="664" w:type="dxa"/>
            <w:vMerge/>
          </w:tcPr>
          <w:p w14:paraId="59B53555" w14:textId="77777777" w:rsidR="00872C03" w:rsidRPr="00883399" w:rsidRDefault="00872C03" w:rsidP="0031057E">
            <w:pPr>
              <w:pStyle w:val="TableText"/>
              <w:rPr>
                <w:sz w:val="20"/>
                <w:szCs w:val="20"/>
              </w:rPr>
            </w:pPr>
          </w:p>
        </w:tc>
        <w:tc>
          <w:tcPr>
            <w:tcW w:w="2216" w:type="dxa"/>
            <w:vMerge/>
          </w:tcPr>
          <w:p w14:paraId="17CBE522" w14:textId="77777777" w:rsidR="00872C03" w:rsidRPr="00883399" w:rsidRDefault="00872C03" w:rsidP="0031057E">
            <w:pPr>
              <w:pStyle w:val="TableText"/>
              <w:rPr>
                <w:sz w:val="20"/>
                <w:szCs w:val="20"/>
              </w:rPr>
            </w:pPr>
          </w:p>
        </w:tc>
        <w:tc>
          <w:tcPr>
            <w:tcW w:w="1560" w:type="dxa"/>
          </w:tcPr>
          <w:p w14:paraId="0422085F" w14:textId="77777777" w:rsidR="00872C03" w:rsidRPr="00883399" w:rsidRDefault="00872C03" w:rsidP="0031057E">
            <w:pPr>
              <w:pStyle w:val="TableText"/>
              <w:rPr>
                <w:sz w:val="20"/>
                <w:szCs w:val="20"/>
              </w:rPr>
            </w:pPr>
            <w:r w:rsidRPr="00883399">
              <w:rPr>
                <w:sz w:val="20"/>
                <w:szCs w:val="20"/>
              </w:rPr>
              <w:t>Ash</w:t>
            </w:r>
          </w:p>
        </w:tc>
        <w:tc>
          <w:tcPr>
            <w:tcW w:w="2048" w:type="dxa"/>
          </w:tcPr>
          <w:p w14:paraId="28A7CEC6" w14:textId="77777777" w:rsidR="00872C03" w:rsidRPr="00883399" w:rsidRDefault="00872C03" w:rsidP="0031057E">
            <w:pPr>
              <w:pStyle w:val="TableText"/>
              <w:rPr>
                <w:sz w:val="20"/>
                <w:szCs w:val="20"/>
              </w:rPr>
            </w:pPr>
            <w:r w:rsidRPr="00883399">
              <w:rPr>
                <w:sz w:val="20"/>
                <w:szCs w:val="20"/>
              </w:rPr>
              <w:t>AS 1038.3—2000</w:t>
            </w:r>
          </w:p>
        </w:tc>
        <w:tc>
          <w:tcPr>
            <w:tcW w:w="1792" w:type="dxa"/>
          </w:tcPr>
          <w:p w14:paraId="48B4467D"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2329A968" w14:textId="77777777" w:rsidTr="0031057E">
        <w:trPr>
          <w:cantSplit/>
        </w:trPr>
        <w:tc>
          <w:tcPr>
            <w:tcW w:w="664" w:type="dxa"/>
            <w:vMerge w:val="restart"/>
          </w:tcPr>
          <w:p w14:paraId="0E0E929B" w14:textId="77777777" w:rsidR="00872C03" w:rsidRPr="00883399" w:rsidRDefault="00872C03" w:rsidP="0031057E">
            <w:pPr>
              <w:pStyle w:val="TableText"/>
              <w:ind w:left="227"/>
              <w:rPr>
                <w:sz w:val="20"/>
                <w:szCs w:val="20"/>
              </w:rPr>
            </w:pPr>
            <w:r w:rsidRPr="00883399">
              <w:rPr>
                <w:sz w:val="20"/>
                <w:szCs w:val="20"/>
              </w:rPr>
              <w:t>4</w:t>
            </w:r>
          </w:p>
        </w:tc>
        <w:tc>
          <w:tcPr>
            <w:tcW w:w="2216" w:type="dxa"/>
            <w:vMerge w:val="restart"/>
          </w:tcPr>
          <w:p w14:paraId="601AF4DC" w14:textId="77777777" w:rsidR="00872C03" w:rsidRPr="00883399" w:rsidRDefault="00872C03" w:rsidP="0031057E">
            <w:pPr>
              <w:pStyle w:val="TableText"/>
              <w:rPr>
                <w:sz w:val="20"/>
                <w:szCs w:val="20"/>
              </w:rPr>
            </w:pPr>
            <w:r w:rsidRPr="00883399">
              <w:rPr>
                <w:sz w:val="20"/>
                <w:szCs w:val="20"/>
              </w:rPr>
              <w:t>Coal briquettes</w:t>
            </w:r>
          </w:p>
        </w:tc>
        <w:tc>
          <w:tcPr>
            <w:tcW w:w="1560" w:type="dxa"/>
          </w:tcPr>
          <w:p w14:paraId="053090BD" w14:textId="77777777" w:rsidR="00872C03" w:rsidRPr="00883399" w:rsidRDefault="00872C03" w:rsidP="0031057E">
            <w:pPr>
              <w:pStyle w:val="TableText"/>
              <w:rPr>
                <w:sz w:val="20"/>
                <w:szCs w:val="20"/>
              </w:rPr>
            </w:pPr>
            <w:r w:rsidRPr="00883399">
              <w:rPr>
                <w:sz w:val="20"/>
                <w:szCs w:val="20"/>
              </w:rPr>
              <w:t>Energy content factor</w:t>
            </w:r>
          </w:p>
        </w:tc>
        <w:tc>
          <w:tcPr>
            <w:tcW w:w="2048" w:type="dxa"/>
          </w:tcPr>
          <w:p w14:paraId="332D5CF5" w14:textId="77777777" w:rsidR="00872C03" w:rsidRPr="00883399" w:rsidRDefault="00872C03" w:rsidP="0031057E">
            <w:pPr>
              <w:pStyle w:val="TableText"/>
              <w:rPr>
                <w:sz w:val="20"/>
                <w:szCs w:val="20"/>
              </w:rPr>
            </w:pPr>
            <w:r w:rsidRPr="00883399">
              <w:rPr>
                <w:sz w:val="20"/>
                <w:szCs w:val="20"/>
              </w:rPr>
              <w:t>AS 1038.5—1998</w:t>
            </w:r>
          </w:p>
        </w:tc>
        <w:tc>
          <w:tcPr>
            <w:tcW w:w="1792" w:type="dxa"/>
          </w:tcPr>
          <w:p w14:paraId="6E53E29E"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366C280A" w14:textId="77777777" w:rsidTr="0031057E">
        <w:trPr>
          <w:cantSplit/>
        </w:trPr>
        <w:tc>
          <w:tcPr>
            <w:tcW w:w="664" w:type="dxa"/>
            <w:vMerge/>
          </w:tcPr>
          <w:p w14:paraId="1054C4BD" w14:textId="77777777" w:rsidR="00872C03" w:rsidRPr="00883399" w:rsidRDefault="00872C03" w:rsidP="0031057E">
            <w:pPr>
              <w:pStyle w:val="TableText"/>
              <w:rPr>
                <w:sz w:val="20"/>
                <w:szCs w:val="20"/>
              </w:rPr>
            </w:pPr>
          </w:p>
        </w:tc>
        <w:tc>
          <w:tcPr>
            <w:tcW w:w="2216" w:type="dxa"/>
            <w:vMerge/>
          </w:tcPr>
          <w:p w14:paraId="1F0C44DA" w14:textId="77777777" w:rsidR="00872C03" w:rsidRPr="00883399" w:rsidRDefault="00872C03" w:rsidP="0031057E">
            <w:pPr>
              <w:pStyle w:val="TableText"/>
              <w:rPr>
                <w:sz w:val="20"/>
                <w:szCs w:val="20"/>
              </w:rPr>
            </w:pPr>
          </w:p>
        </w:tc>
        <w:tc>
          <w:tcPr>
            <w:tcW w:w="1560" w:type="dxa"/>
          </w:tcPr>
          <w:p w14:paraId="34BA2FE5" w14:textId="77777777" w:rsidR="00872C03" w:rsidRPr="00883399" w:rsidRDefault="00872C03" w:rsidP="0031057E">
            <w:pPr>
              <w:pStyle w:val="TableText"/>
              <w:rPr>
                <w:sz w:val="20"/>
                <w:szCs w:val="20"/>
              </w:rPr>
            </w:pPr>
            <w:r w:rsidRPr="00883399">
              <w:rPr>
                <w:sz w:val="20"/>
                <w:szCs w:val="20"/>
              </w:rPr>
              <w:t>Carbon</w:t>
            </w:r>
          </w:p>
        </w:tc>
        <w:tc>
          <w:tcPr>
            <w:tcW w:w="2048" w:type="dxa"/>
          </w:tcPr>
          <w:p w14:paraId="65CC2FB8" w14:textId="77777777" w:rsidR="00872C03" w:rsidRPr="00883399" w:rsidRDefault="00872C03" w:rsidP="0031057E">
            <w:pPr>
              <w:pStyle w:val="TableText"/>
              <w:rPr>
                <w:sz w:val="20"/>
                <w:szCs w:val="20"/>
              </w:rPr>
            </w:pPr>
            <w:r w:rsidRPr="00883399">
              <w:rPr>
                <w:sz w:val="20"/>
                <w:szCs w:val="20"/>
              </w:rPr>
              <w:t>AS 2434.6—2002</w:t>
            </w:r>
          </w:p>
        </w:tc>
        <w:tc>
          <w:tcPr>
            <w:tcW w:w="1792" w:type="dxa"/>
          </w:tcPr>
          <w:p w14:paraId="654F8347"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11937DF7" w14:textId="77777777" w:rsidTr="0031057E">
        <w:trPr>
          <w:cantSplit/>
        </w:trPr>
        <w:tc>
          <w:tcPr>
            <w:tcW w:w="664" w:type="dxa"/>
            <w:vMerge/>
          </w:tcPr>
          <w:p w14:paraId="6E48DB07" w14:textId="77777777" w:rsidR="00872C03" w:rsidRPr="00883399" w:rsidRDefault="00872C03" w:rsidP="0031057E">
            <w:pPr>
              <w:pStyle w:val="TableText"/>
              <w:rPr>
                <w:sz w:val="20"/>
                <w:szCs w:val="20"/>
              </w:rPr>
            </w:pPr>
          </w:p>
        </w:tc>
        <w:tc>
          <w:tcPr>
            <w:tcW w:w="2216" w:type="dxa"/>
            <w:vMerge/>
          </w:tcPr>
          <w:p w14:paraId="7C077BBF" w14:textId="77777777" w:rsidR="00872C03" w:rsidRPr="00883399" w:rsidRDefault="00872C03" w:rsidP="0031057E">
            <w:pPr>
              <w:pStyle w:val="TableText"/>
              <w:rPr>
                <w:sz w:val="20"/>
                <w:szCs w:val="20"/>
              </w:rPr>
            </w:pPr>
          </w:p>
        </w:tc>
        <w:tc>
          <w:tcPr>
            <w:tcW w:w="1560" w:type="dxa"/>
          </w:tcPr>
          <w:p w14:paraId="46235748" w14:textId="77777777" w:rsidR="00872C03" w:rsidRPr="00883399" w:rsidRDefault="00872C03" w:rsidP="0031057E">
            <w:pPr>
              <w:pStyle w:val="TableText"/>
              <w:rPr>
                <w:sz w:val="20"/>
                <w:szCs w:val="20"/>
              </w:rPr>
            </w:pPr>
            <w:r w:rsidRPr="00883399">
              <w:rPr>
                <w:sz w:val="20"/>
                <w:szCs w:val="20"/>
              </w:rPr>
              <w:t>Moisture</w:t>
            </w:r>
          </w:p>
        </w:tc>
        <w:tc>
          <w:tcPr>
            <w:tcW w:w="2048" w:type="dxa"/>
          </w:tcPr>
          <w:p w14:paraId="54D83999" w14:textId="77777777" w:rsidR="00872C03" w:rsidRPr="00883399" w:rsidRDefault="00872C03" w:rsidP="0031057E">
            <w:pPr>
              <w:pStyle w:val="TableText"/>
              <w:rPr>
                <w:sz w:val="20"/>
                <w:szCs w:val="20"/>
              </w:rPr>
            </w:pPr>
            <w:r w:rsidRPr="00883399">
              <w:rPr>
                <w:sz w:val="20"/>
                <w:szCs w:val="20"/>
              </w:rPr>
              <w:t>AS 2434.1—1999</w:t>
            </w:r>
          </w:p>
        </w:tc>
        <w:tc>
          <w:tcPr>
            <w:tcW w:w="1792" w:type="dxa"/>
          </w:tcPr>
          <w:p w14:paraId="062697A0"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2CBAC94C" w14:textId="77777777" w:rsidTr="0031057E">
        <w:trPr>
          <w:cantSplit/>
        </w:trPr>
        <w:tc>
          <w:tcPr>
            <w:tcW w:w="664" w:type="dxa"/>
            <w:vMerge/>
          </w:tcPr>
          <w:p w14:paraId="62541FFB" w14:textId="77777777" w:rsidR="00872C03" w:rsidRPr="00883399" w:rsidRDefault="00872C03" w:rsidP="0031057E">
            <w:pPr>
              <w:pStyle w:val="TableText"/>
              <w:rPr>
                <w:sz w:val="20"/>
                <w:szCs w:val="20"/>
              </w:rPr>
            </w:pPr>
          </w:p>
        </w:tc>
        <w:tc>
          <w:tcPr>
            <w:tcW w:w="2216" w:type="dxa"/>
            <w:vMerge/>
          </w:tcPr>
          <w:p w14:paraId="505BC350" w14:textId="77777777" w:rsidR="00872C03" w:rsidRPr="00883399" w:rsidRDefault="00872C03" w:rsidP="0031057E">
            <w:pPr>
              <w:pStyle w:val="TableText"/>
              <w:rPr>
                <w:sz w:val="20"/>
                <w:szCs w:val="20"/>
              </w:rPr>
            </w:pPr>
          </w:p>
        </w:tc>
        <w:tc>
          <w:tcPr>
            <w:tcW w:w="1560" w:type="dxa"/>
          </w:tcPr>
          <w:p w14:paraId="6B60B9D0" w14:textId="77777777" w:rsidR="00872C03" w:rsidRPr="00883399" w:rsidRDefault="00872C03" w:rsidP="0031057E">
            <w:pPr>
              <w:pStyle w:val="TableText"/>
              <w:rPr>
                <w:sz w:val="20"/>
                <w:szCs w:val="20"/>
              </w:rPr>
            </w:pPr>
            <w:r w:rsidRPr="00883399">
              <w:rPr>
                <w:sz w:val="20"/>
                <w:szCs w:val="20"/>
              </w:rPr>
              <w:t>Ash</w:t>
            </w:r>
          </w:p>
        </w:tc>
        <w:tc>
          <w:tcPr>
            <w:tcW w:w="2048" w:type="dxa"/>
          </w:tcPr>
          <w:p w14:paraId="78C55406" w14:textId="77777777" w:rsidR="00872C03" w:rsidRPr="00883399" w:rsidRDefault="00872C03" w:rsidP="0031057E">
            <w:pPr>
              <w:pStyle w:val="TableText"/>
              <w:rPr>
                <w:sz w:val="20"/>
                <w:szCs w:val="20"/>
              </w:rPr>
            </w:pPr>
            <w:r w:rsidRPr="00883399">
              <w:rPr>
                <w:sz w:val="20"/>
                <w:szCs w:val="20"/>
              </w:rPr>
              <w:t>AS 2434.8—2002</w:t>
            </w:r>
          </w:p>
        </w:tc>
        <w:tc>
          <w:tcPr>
            <w:tcW w:w="1792" w:type="dxa"/>
          </w:tcPr>
          <w:p w14:paraId="453566EF"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6469D322" w14:textId="77777777" w:rsidTr="0031057E">
        <w:trPr>
          <w:cantSplit/>
        </w:trPr>
        <w:tc>
          <w:tcPr>
            <w:tcW w:w="664" w:type="dxa"/>
            <w:vMerge w:val="restart"/>
          </w:tcPr>
          <w:p w14:paraId="14C946B9" w14:textId="77777777" w:rsidR="00872C03" w:rsidRPr="00883399" w:rsidRDefault="00872C03" w:rsidP="0031057E">
            <w:pPr>
              <w:pStyle w:val="TableText"/>
              <w:ind w:left="227"/>
              <w:rPr>
                <w:sz w:val="20"/>
                <w:szCs w:val="20"/>
              </w:rPr>
            </w:pPr>
            <w:r w:rsidRPr="00883399">
              <w:rPr>
                <w:sz w:val="20"/>
                <w:szCs w:val="20"/>
              </w:rPr>
              <w:t>5</w:t>
            </w:r>
          </w:p>
        </w:tc>
        <w:tc>
          <w:tcPr>
            <w:tcW w:w="2216" w:type="dxa"/>
            <w:vMerge w:val="restart"/>
          </w:tcPr>
          <w:p w14:paraId="08AAE015" w14:textId="77777777" w:rsidR="00872C03" w:rsidRPr="00883399" w:rsidRDefault="00872C03" w:rsidP="0031057E">
            <w:pPr>
              <w:pStyle w:val="TableText"/>
              <w:rPr>
                <w:sz w:val="20"/>
                <w:szCs w:val="20"/>
              </w:rPr>
            </w:pPr>
            <w:r w:rsidRPr="00883399">
              <w:rPr>
                <w:sz w:val="20"/>
                <w:szCs w:val="20"/>
              </w:rPr>
              <w:t>Coal coke</w:t>
            </w:r>
          </w:p>
        </w:tc>
        <w:tc>
          <w:tcPr>
            <w:tcW w:w="1560" w:type="dxa"/>
          </w:tcPr>
          <w:p w14:paraId="1E6333F0" w14:textId="77777777" w:rsidR="00872C03" w:rsidRPr="00883399" w:rsidRDefault="00872C03" w:rsidP="0031057E">
            <w:pPr>
              <w:pStyle w:val="TableText"/>
              <w:rPr>
                <w:sz w:val="20"/>
                <w:szCs w:val="20"/>
              </w:rPr>
            </w:pPr>
            <w:r w:rsidRPr="00883399">
              <w:rPr>
                <w:sz w:val="20"/>
                <w:szCs w:val="20"/>
              </w:rPr>
              <w:t>Energy content factor</w:t>
            </w:r>
          </w:p>
        </w:tc>
        <w:tc>
          <w:tcPr>
            <w:tcW w:w="2048" w:type="dxa"/>
          </w:tcPr>
          <w:p w14:paraId="5ECC3B67" w14:textId="77777777" w:rsidR="00872C03" w:rsidRPr="00883399" w:rsidRDefault="00872C03" w:rsidP="0031057E">
            <w:pPr>
              <w:pStyle w:val="TableText"/>
              <w:rPr>
                <w:sz w:val="20"/>
                <w:szCs w:val="20"/>
              </w:rPr>
            </w:pPr>
            <w:r w:rsidRPr="00883399">
              <w:rPr>
                <w:sz w:val="20"/>
                <w:szCs w:val="20"/>
              </w:rPr>
              <w:t>AS 1038.5—1998</w:t>
            </w:r>
          </w:p>
        </w:tc>
        <w:tc>
          <w:tcPr>
            <w:tcW w:w="1792" w:type="dxa"/>
          </w:tcPr>
          <w:p w14:paraId="5C0FC79E"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26BB5A7D" w14:textId="77777777" w:rsidTr="0031057E">
        <w:trPr>
          <w:cantSplit/>
        </w:trPr>
        <w:tc>
          <w:tcPr>
            <w:tcW w:w="664" w:type="dxa"/>
            <w:vMerge/>
          </w:tcPr>
          <w:p w14:paraId="4AD5BE48" w14:textId="77777777" w:rsidR="00872C03" w:rsidRPr="00883399" w:rsidRDefault="00872C03" w:rsidP="0031057E">
            <w:pPr>
              <w:pStyle w:val="TableText"/>
              <w:rPr>
                <w:sz w:val="20"/>
                <w:szCs w:val="20"/>
              </w:rPr>
            </w:pPr>
          </w:p>
        </w:tc>
        <w:tc>
          <w:tcPr>
            <w:tcW w:w="2216" w:type="dxa"/>
            <w:vMerge/>
          </w:tcPr>
          <w:p w14:paraId="04F19E76" w14:textId="77777777" w:rsidR="00872C03" w:rsidRPr="00883399" w:rsidRDefault="00872C03" w:rsidP="0031057E">
            <w:pPr>
              <w:pStyle w:val="TableText"/>
              <w:rPr>
                <w:sz w:val="20"/>
                <w:szCs w:val="20"/>
              </w:rPr>
            </w:pPr>
          </w:p>
        </w:tc>
        <w:tc>
          <w:tcPr>
            <w:tcW w:w="1560" w:type="dxa"/>
          </w:tcPr>
          <w:p w14:paraId="4458C13A" w14:textId="77777777" w:rsidR="00872C03" w:rsidRPr="00883399" w:rsidRDefault="00872C03" w:rsidP="0031057E">
            <w:pPr>
              <w:pStyle w:val="TableText"/>
              <w:rPr>
                <w:sz w:val="20"/>
                <w:szCs w:val="20"/>
              </w:rPr>
            </w:pPr>
            <w:r w:rsidRPr="00883399">
              <w:rPr>
                <w:sz w:val="20"/>
                <w:szCs w:val="20"/>
              </w:rPr>
              <w:t>Carbon</w:t>
            </w:r>
          </w:p>
        </w:tc>
        <w:tc>
          <w:tcPr>
            <w:tcW w:w="2048" w:type="dxa"/>
          </w:tcPr>
          <w:p w14:paraId="1BF995EE" w14:textId="77777777" w:rsidR="00872C03" w:rsidRPr="00883399" w:rsidRDefault="00872C03" w:rsidP="0031057E">
            <w:pPr>
              <w:pStyle w:val="TableText"/>
              <w:rPr>
                <w:sz w:val="20"/>
                <w:szCs w:val="20"/>
              </w:rPr>
            </w:pPr>
            <w:r w:rsidRPr="00883399">
              <w:rPr>
                <w:sz w:val="20"/>
                <w:szCs w:val="20"/>
              </w:rPr>
              <w:t>AS 1038.6.1—1997</w:t>
            </w:r>
          </w:p>
          <w:p w14:paraId="50F9865B" w14:textId="77777777" w:rsidR="00872C03" w:rsidRPr="00883399" w:rsidRDefault="00872C03" w:rsidP="0031057E">
            <w:pPr>
              <w:pStyle w:val="TableText"/>
              <w:rPr>
                <w:sz w:val="20"/>
                <w:szCs w:val="20"/>
              </w:rPr>
            </w:pPr>
            <w:r w:rsidRPr="00883399">
              <w:rPr>
                <w:sz w:val="20"/>
                <w:szCs w:val="20"/>
              </w:rPr>
              <w:t>AS 1038.6.4—2005</w:t>
            </w:r>
          </w:p>
        </w:tc>
        <w:tc>
          <w:tcPr>
            <w:tcW w:w="1792" w:type="dxa"/>
          </w:tcPr>
          <w:p w14:paraId="0FA4220F"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020397C2" w14:textId="77777777" w:rsidTr="0031057E">
        <w:trPr>
          <w:cantSplit/>
        </w:trPr>
        <w:tc>
          <w:tcPr>
            <w:tcW w:w="664" w:type="dxa"/>
            <w:vMerge/>
          </w:tcPr>
          <w:p w14:paraId="7C8B3A5C" w14:textId="77777777" w:rsidR="00872C03" w:rsidRPr="00883399" w:rsidRDefault="00872C03" w:rsidP="0031057E">
            <w:pPr>
              <w:pStyle w:val="TableText"/>
              <w:rPr>
                <w:sz w:val="20"/>
                <w:szCs w:val="20"/>
              </w:rPr>
            </w:pPr>
          </w:p>
        </w:tc>
        <w:tc>
          <w:tcPr>
            <w:tcW w:w="2216" w:type="dxa"/>
            <w:vMerge/>
          </w:tcPr>
          <w:p w14:paraId="044ACA2B" w14:textId="77777777" w:rsidR="00872C03" w:rsidRPr="00883399" w:rsidRDefault="00872C03" w:rsidP="0031057E">
            <w:pPr>
              <w:pStyle w:val="TableText"/>
              <w:rPr>
                <w:sz w:val="20"/>
                <w:szCs w:val="20"/>
              </w:rPr>
            </w:pPr>
          </w:p>
        </w:tc>
        <w:tc>
          <w:tcPr>
            <w:tcW w:w="1560" w:type="dxa"/>
          </w:tcPr>
          <w:p w14:paraId="443A9914" w14:textId="77777777" w:rsidR="00872C03" w:rsidRPr="00883399" w:rsidRDefault="00872C03" w:rsidP="0031057E">
            <w:pPr>
              <w:pStyle w:val="TableText"/>
              <w:rPr>
                <w:sz w:val="20"/>
                <w:szCs w:val="20"/>
              </w:rPr>
            </w:pPr>
            <w:r w:rsidRPr="00883399">
              <w:rPr>
                <w:sz w:val="20"/>
                <w:szCs w:val="20"/>
              </w:rPr>
              <w:t>Moisture</w:t>
            </w:r>
          </w:p>
        </w:tc>
        <w:tc>
          <w:tcPr>
            <w:tcW w:w="2048" w:type="dxa"/>
          </w:tcPr>
          <w:p w14:paraId="170F7CB8" w14:textId="77777777" w:rsidR="00872C03" w:rsidRPr="00883399" w:rsidRDefault="00872C03" w:rsidP="0031057E">
            <w:pPr>
              <w:pStyle w:val="TableText"/>
              <w:rPr>
                <w:rFonts w:cs="TT761o00"/>
                <w:sz w:val="20"/>
                <w:szCs w:val="20"/>
              </w:rPr>
            </w:pPr>
            <w:r w:rsidRPr="00883399">
              <w:rPr>
                <w:rFonts w:cs="TT761o00"/>
                <w:sz w:val="20"/>
                <w:szCs w:val="20"/>
              </w:rPr>
              <w:t>AS 1038.2—2006</w:t>
            </w:r>
          </w:p>
        </w:tc>
        <w:tc>
          <w:tcPr>
            <w:tcW w:w="1792" w:type="dxa"/>
          </w:tcPr>
          <w:p w14:paraId="48305A43"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03500462" w14:textId="77777777" w:rsidTr="0031057E">
        <w:trPr>
          <w:cantSplit/>
        </w:trPr>
        <w:tc>
          <w:tcPr>
            <w:tcW w:w="664" w:type="dxa"/>
            <w:vMerge/>
          </w:tcPr>
          <w:p w14:paraId="5EE191AA" w14:textId="77777777" w:rsidR="00872C03" w:rsidRPr="00883399" w:rsidRDefault="00872C03" w:rsidP="0031057E">
            <w:pPr>
              <w:pStyle w:val="TableText"/>
              <w:rPr>
                <w:sz w:val="20"/>
                <w:szCs w:val="20"/>
              </w:rPr>
            </w:pPr>
          </w:p>
        </w:tc>
        <w:tc>
          <w:tcPr>
            <w:tcW w:w="2216" w:type="dxa"/>
            <w:vMerge/>
          </w:tcPr>
          <w:p w14:paraId="0E9E1CB3" w14:textId="77777777" w:rsidR="00872C03" w:rsidRPr="00883399" w:rsidRDefault="00872C03" w:rsidP="0031057E">
            <w:pPr>
              <w:pStyle w:val="TableText"/>
              <w:rPr>
                <w:sz w:val="20"/>
                <w:szCs w:val="20"/>
              </w:rPr>
            </w:pPr>
          </w:p>
        </w:tc>
        <w:tc>
          <w:tcPr>
            <w:tcW w:w="1560" w:type="dxa"/>
          </w:tcPr>
          <w:p w14:paraId="62BFC5C2" w14:textId="77777777" w:rsidR="00872C03" w:rsidRPr="00883399" w:rsidRDefault="00872C03" w:rsidP="0031057E">
            <w:pPr>
              <w:pStyle w:val="TableText"/>
              <w:rPr>
                <w:sz w:val="20"/>
                <w:szCs w:val="20"/>
              </w:rPr>
            </w:pPr>
            <w:r w:rsidRPr="00883399">
              <w:rPr>
                <w:sz w:val="20"/>
                <w:szCs w:val="20"/>
              </w:rPr>
              <w:t>Ash</w:t>
            </w:r>
          </w:p>
        </w:tc>
        <w:tc>
          <w:tcPr>
            <w:tcW w:w="2048" w:type="dxa"/>
          </w:tcPr>
          <w:p w14:paraId="72128F4C" w14:textId="77777777" w:rsidR="00872C03" w:rsidRPr="00883399" w:rsidRDefault="00872C03" w:rsidP="0031057E">
            <w:pPr>
              <w:pStyle w:val="TableText"/>
              <w:rPr>
                <w:sz w:val="20"/>
                <w:szCs w:val="20"/>
              </w:rPr>
            </w:pPr>
            <w:r w:rsidRPr="00883399">
              <w:rPr>
                <w:sz w:val="20"/>
                <w:szCs w:val="20"/>
              </w:rPr>
              <w:t>AS 1038.3—2000</w:t>
            </w:r>
          </w:p>
        </w:tc>
        <w:tc>
          <w:tcPr>
            <w:tcW w:w="1792" w:type="dxa"/>
          </w:tcPr>
          <w:p w14:paraId="4D103F0F"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67560A7A" w14:textId="77777777" w:rsidTr="0031057E">
        <w:trPr>
          <w:cantSplit/>
        </w:trPr>
        <w:tc>
          <w:tcPr>
            <w:tcW w:w="664" w:type="dxa"/>
            <w:vMerge w:val="restart"/>
          </w:tcPr>
          <w:p w14:paraId="2FC4E697" w14:textId="77777777" w:rsidR="00872C03" w:rsidRPr="00883399" w:rsidRDefault="00872C03" w:rsidP="0031057E">
            <w:pPr>
              <w:pStyle w:val="TableText"/>
              <w:ind w:left="227"/>
              <w:rPr>
                <w:sz w:val="20"/>
                <w:szCs w:val="20"/>
              </w:rPr>
            </w:pPr>
            <w:r w:rsidRPr="00883399">
              <w:rPr>
                <w:sz w:val="20"/>
                <w:szCs w:val="20"/>
              </w:rPr>
              <w:t>6</w:t>
            </w:r>
          </w:p>
        </w:tc>
        <w:tc>
          <w:tcPr>
            <w:tcW w:w="2216" w:type="dxa"/>
            <w:vMerge w:val="restart"/>
          </w:tcPr>
          <w:p w14:paraId="2FCEF12C" w14:textId="77777777" w:rsidR="00872C03" w:rsidRPr="00883399" w:rsidRDefault="00872C03" w:rsidP="0031057E">
            <w:pPr>
              <w:pStyle w:val="TableText"/>
              <w:rPr>
                <w:sz w:val="20"/>
                <w:szCs w:val="20"/>
              </w:rPr>
            </w:pPr>
            <w:r w:rsidRPr="00883399">
              <w:rPr>
                <w:snapToGrid w:val="0"/>
                <w:sz w:val="20"/>
                <w:szCs w:val="20"/>
              </w:rPr>
              <w:t>Coal tar</w:t>
            </w:r>
          </w:p>
        </w:tc>
        <w:tc>
          <w:tcPr>
            <w:tcW w:w="1560" w:type="dxa"/>
          </w:tcPr>
          <w:p w14:paraId="3106E5F3" w14:textId="77777777" w:rsidR="00872C03" w:rsidRPr="00883399" w:rsidRDefault="00872C03" w:rsidP="0031057E">
            <w:pPr>
              <w:pStyle w:val="TableText"/>
              <w:rPr>
                <w:sz w:val="20"/>
                <w:szCs w:val="20"/>
              </w:rPr>
            </w:pPr>
            <w:r w:rsidRPr="00883399">
              <w:rPr>
                <w:sz w:val="20"/>
                <w:szCs w:val="20"/>
              </w:rPr>
              <w:t>Energy content factor</w:t>
            </w:r>
          </w:p>
        </w:tc>
        <w:tc>
          <w:tcPr>
            <w:tcW w:w="2048" w:type="dxa"/>
          </w:tcPr>
          <w:p w14:paraId="70B06142" w14:textId="77777777" w:rsidR="00872C03" w:rsidRPr="00883399" w:rsidRDefault="00872C03" w:rsidP="0031057E">
            <w:pPr>
              <w:pStyle w:val="TableText"/>
              <w:rPr>
                <w:sz w:val="20"/>
                <w:szCs w:val="20"/>
              </w:rPr>
            </w:pPr>
            <w:r w:rsidRPr="00883399">
              <w:rPr>
                <w:sz w:val="20"/>
                <w:szCs w:val="20"/>
              </w:rPr>
              <w:t>N/A</w:t>
            </w:r>
          </w:p>
        </w:tc>
        <w:tc>
          <w:tcPr>
            <w:tcW w:w="1792" w:type="dxa"/>
          </w:tcPr>
          <w:p w14:paraId="399013D8"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4F7AEC4C" w14:textId="77777777" w:rsidTr="0031057E">
        <w:trPr>
          <w:cantSplit/>
        </w:trPr>
        <w:tc>
          <w:tcPr>
            <w:tcW w:w="664" w:type="dxa"/>
            <w:vMerge/>
          </w:tcPr>
          <w:p w14:paraId="6ADCCF52" w14:textId="77777777" w:rsidR="00872C03" w:rsidRPr="00883399" w:rsidRDefault="00872C03" w:rsidP="0031057E">
            <w:pPr>
              <w:pStyle w:val="TableText"/>
              <w:rPr>
                <w:sz w:val="20"/>
                <w:szCs w:val="20"/>
              </w:rPr>
            </w:pPr>
          </w:p>
        </w:tc>
        <w:tc>
          <w:tcPr>
            <w:tcW w:w="2216" w:type="dxa"/>
            <w:vMerge/>
          </w:tcPr>
          <w:p w14:paraId="340A774C" w14:textId="77777777" w:rsidR="00872C03" w:rsidRPr="00883399" w:rsidRDefault="00872C03" w:rsidP="0031057E">
            <w:pPr>
              <w:pStyle w:val="TableText"/>
              <w:rPr>
                <w:sz w:val="20"/>
                <w:szCs w:val="20"/>
              </w:rPr>
            </w:pPr>
          </w:p>
        </w:tc>
        <w:tc>
          <w:tcPr>
            <w:tcW w:w="1560" w:type="dxa"/>
          </w:tcPr>
          <w:p w14:paraId="108F77DA" w14:textId="77777777" w:rsidR="00872C03" w:rsidRPr="00883399" w:rsidRDefault="00872C03" w:rsidP="0031057E">
            <w:pPr>
              <w:pStyle w:val="TableText"/>
              <w:rPr>
                <w:sz w:val="20"/>
                <w:szCs w:val="20"/>
              </w:rPr>
            </w:pPr>
            <w:r w:rsidRPr="00883399">
              <w:rPr>
                <w:sz w:val="20"/>
                <w:szCs w:val="20"/>
              </w:rPr>
              <w:t>Carbon</w:t>
            </w:r>
          </w:p>
        </w:tc>
        <w:tc>
          <w:tcPr>
            <w:tcW w:w="2048" w:type="dxa"/>
          </w:tcPr>
          <w:p w14:paraId="6AF5A67B" w14:textId="77777777" w:rsidR="00872C03" w:rsidRPr="00883399" w:rsidRDefault="00872C03" w:rsidP="0031057E">
            <w:pPr>
              <w:pStyle w:val="TableText"/>
              <w:rPr>
                <w:sz w:val="20"/>
                <w:szCs w:val="20"/>
              </w:rPr>
            </w:pPr>
            <w:r w:rsidRPr="00883399">
              <w:rPr>
                <w:sz w:val="20"/>
                <w:szCs w:val="20"/>
              </w:rPr>
              <w:t>N/A</w:t>
            </w:r>
          </w:p>
        </w:tc>
        <w:tc>
          <w:tcPr>
            <w:tcW w:w="1792" w:type="dxa"/>
          </w:tcPr>
          <w:p w14:paraId="6D00B70A"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367E0C16" w14:textId="77777777" w:rsidTr="0031057E">
        <w:trPr>
          <w:cantSplit/>
        </w:trPr>
        <w:tc>
          <w:tcPr>
            <w:tcW w:w="664" w:type="dxa"/>
            <w:vMerge/>
          </w:tcPr>
          <w:p w14:paraId="39C80E94" w14:textId="77777777" w:rsidR="00872C03" w:rsidRPr="00883399" w:rsidRDefault="00872C03" w:rsidP="0031057E">
            <w:pPr>
              <w:pStyle w:val="TableText"/>
              <w:rPr>
                <w:sz w:val="20"/>
                <w:szCs w:val="20"/>
              </w:rPr>
            </w:pPr>
          </w:p>
        </w:tc>
        <w:tc>
          <w:tcPr>
            <w:tcW w:w="2216" w:type="dxa"/>
            <w:vMerge/>
          </w:tcPr>
          <w:p w14:paraId="4AE41DFB" w14:textId="77777777" w:rsidR="00872C03" w:rsidRPr="00883399" w:rsidRDefault="00872C03" w:rsidP="0031057E">
            <w:pPr>
              <w:pStyle w:val="TableText"/>
              <w:rPr>
                <w:sz w:val="20"/>
                <w:szCs w:val="20"/>
              </w:rPr>
            </w:pPr>
          </w:p>
        </w:tc>
        <w:tc>
          <w:tcPr>
            <w:tcW w:w="1560" w:type="dxa"/>
          </w:tcPr>
          <w:p w14:paraId="2C5EF456" w14:textId="77777777" w:rsidR="00872C03" w:rsidRPr="00883399" w:rsidRDefault="00872C03" w:rsidP="0031057E">
            <w:pPr>
              <w:pStyle w:val="TableText"/>
              <w:rPr>
                <w:sz w:val="20"/>
                <w:szCs w:val="20"/>
              </w:rPr>
            </w:pPr>
            <w:r w:rsidRPr="00883399">
              <w:rPr>
                <w:sz w:val="20"/>
                <w:szCs w:val="20"/>
              </w:rPr>
              <w:t>Moisture</w:t>
            </w:r>
          </w:p>
        </w:tc>
        <w:tc>
          <w:tcPr>
            <w:tcW w:w="2048" w:type="dxa"/>
          </w:tcPr>
          <w:p w14:paraId="51D04C07" w14:textId="77777777" w:rsidR="00872C03" w:rsidRPr="00883399" w:rsidRDefault="00872C03" w:rsidP="0031057E">
            <w:pPr>
              <w:pStyle w:val="TableText"/>
              <w:rPr>
                <w:sz w:val="20"/>
                <w:szCs w:val="20"/>
              </w:rPr>
            </w:pPr>
            <w:r w:rsidRPr="00883399">
              <w:rPr>
                <w:sz w:val="20"/>
                <w:szCs w:val="20"/>
              </w:rPr>
              <w:t>N/A</w:t>
            </w:r>
          </w:p>
        </w:tc>
        <w:tc>
          <w:tcPr>
            <w:tcW w:w="1792" w:type="dxa"/>
          </w:tcPr>
          <w:p w14:paraId="3F0178A4"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41564D71" w14:textId="77777777" w:rsidTr="0031057E">
        <w:trPr>
          <w:cantSplit/>
        </w:trPr>
        <w:tc>
          <w:tcPr>
            <w:tcW w:w="664" w:type="dxa"/>
            <w:vMerge/>
          </w:tcPr>
          <w:p w14:paraId="1CA28009" w14:textId="77777777" w:rsidR="00872C03" w:rsidRPr="00883399" w:rsidRDefault="00872C03" w:rsidP="0031057E">
            <w:pPr>
              <w:pStyle w:val="TableText"/>
              <w:rPr>
                <w:sz w:val="20"/>
                <w:szCs w:val="20"/>
              </w:rPr>
            </w:pPr>
          </w:p>
        </w:tc>
        <w:tc>
          <w:tcPr>
            <w:tcW w:w="2216" w:type="dxa"/>
            <w:vMerge/>
          </w:tcPr>
          <w:p w14:paraId="21169D28" w14:textId="77777777" w:rsidR="00872C03" w:rsidRPr="00883399" w:rsidRDefault="00872C03" w:rsidP="0031057E">
            <w:pPr>
              <w:pStyle w:val="TableText"/>
              <w:rPr>
                <w:sz w:val="20"/>
                <w:szCs w:val="20"/>
              </w:rPr>
            </w:pPr>
          </w:p>
        </w:tc>
        <w:tc>
          <w:tcPr>
            <w:tcW w:w="1560" w:type="dxa"/>
          </w:tcPr>
          <w:p w14:paraId="7B97D0BC" w14:textId="77777777" w:rsidR="00872C03" w:rsidRPr="00883399" w:rsidRDefault="00872C03" w:rsidP="0031057E">
            <w:pPr>
              <w:pStyle w:val="TableText"/>
              <w:rPr>
                <w:sz w:val="20"/>
                <w:szCs w:val="20"/>
              </w:rPr>
            </w:pPr>
            <w:r w:rsidRPr="00883399">
              <w:rPr>
                <w:sz w:val="20"/>
                <w:szCs w:val="20"/>
              </w:rPr>
              <w:t>Ash</w:t>
            </w:r>
          </w:p>
        </w:tc>
        <w:tc>
          <w:tcPr>
            <w:tcW w:w="2048" w:type="dxa"/>
          </w:tcPr>
          <w:p w14:paraId="0A2FA7E6" w14:textId="77777777" w:rsidR="00872C03" w:rsidRPr="00883399" w:rsidRDefault="00872C03" w:rsidP="0031057E">
            <w:pPr>
              <w:pStyle w:val="TableText"/>
              <w:rPr>
                <w:sz w:val="20"/>
                <w:szCs w:val="20"/>
              </w:rPr>
            </w:pPr>
            <w:r w:rsidRPr="00883399">
              <w:rPr>
                <w:sz w:val="20"/>
                <w:szCs w:val="20"/>
              </w:rPr>
              <w:t>N/A</w:t>
            </w:r>
          </w:p>
        </w:tc>
        <w:tc>
          <w:tcPr>
            <w:tcW w:w="1792" w:type="dxa"/>
          </w:tcPr>
          <w:p w14:paraId="6148CFBC"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79D17685" w14:textId="77777777" w:rsidTr="0031057E">
        <w:trPr>
          <w:cantSplit/>
        </w:trPr>
        <w:tc>
          <w:tcPr>
            <w:tcW w:w="664" w:type="dxa"/>
          </w:tcPr>
          <w:p w14:paraId="26E5C257" w14:textId="77777777" w:rsidR="00872C03" w:rsidRPr="00883399" w:rsidRDefault="00872C03" w:rsidP="0031057E">
            <w:pPr>
              <w:pStyle w:val="TableText"/>
              <w:ind w:left="227"/>
              <w:rPr>
                <w:sz w:val="20"/>
                <w:szCs w:val="20"/>
              </w:rPr>
            </w:pPr>
            <w:r w:rsidRPr="00883399">
              <w:rPr>
                <w:sz w:val="20"/>
                <w:szCs w:val="20"/>
              </w:rPr>
              <w:t>7</w:t>
            </w:r>
          </w:p>
        </w:tc>
        <w:tc>
          <w:tcPr>
            <w:tcW w:w="2216" w:type="dxa"/>
          </w:tcPr>
          <w:p w14:paraId="575D58B9" w14:textId="77777777" w:rsidR="00872C03" w:rsidRPr="00883399" w:rsidRDefault="00872C03" w:rsidP="0031057E">
            <w:pPr>
              <w:pStyle w:val="TableText"/>
              <w:rPr>
                <w:sz w:val="20"/>
                <w:szCs w:val="20"/>
              </w:rPr>
            </w:pPr>
            <w:r w:rsidRPr="00883399">
              <w:rPr>
                <w:sz w:val="20"/>
                <w:szCs w:val="20"/>
              </w:rPr>
              <w:t>Solid fuels other than those mentioned in items 1 to 5</w:t>
            </w:r>
          </w:p>
        </w:tc>
        <w:tc>
          <w:tcPr>
            <w:tcW w:w="1560" w:type="dxa"/>
          </w:tcPr>
          <w:p w14:paraId="3321983C" w14:textId="77777777" w:rsidR="00872C03" w:rsidRPr="00883399" w:rsidRDefault="00872C03" w:rsidP="0031057E">
            <w:pPr>
              <w:pStyle w:val="TableText"/>
              <w:rPr>
                <w:sz w:val="20"/>
                <w:szCs w:val="20"/>
              </w:rPr>
            </w:pPr>
            <w:r w:rsidRPr="00883399">
              <w:rPr>
                <w:sz w:val="20"/>
                <w:szCs w:val="20"/>
              </w:rPr>
              <w:t>N/A</w:t>
            </w:r>
          </w:p>
        </w:tc>
        <w:tc>
          <w:tcPr>
            <w:tcW w:w="2048" w:type="dxa"/>
          </w:tcPr>
          <w:p w14:paraId="2ADA0645" w14:textId="77777777" w:rsidR="00872C03" w:rsidRPr="00883399" w:rsidRDefault="00872C03" w:rsidP="0031057E">
            <w:pPr>
              <w:pStyle w:val="TableText"/>
              <w:rPr>
                <w:sz w:val="20"/>
                <w:szCs w:val="20"/>
              </w:rPr>
            </w:pPr>
            <w:r w:rsidRPr="00883399">
              <w:rPr>
                <w:sz w:val="20"/>
                <w:szCs w:val="20"/>
              </w:rPr>
              <w:t>N/A</w:t>
            </w:r>
          </w:p>
        </w:tc>
        <w:tc>
          <w:tcPr>
            <w:tcW w:w="1792" w:type="dxa"/>
          </w:tcPr>
          <w:p w14:paraId="092F620E" w14:textId="77777777" w:rsidR="00872C03" w:rsidRPr="00883399" w:rsidRDefault="00872C03" w:rsidP="0031057E">
            <w:pPr>
              <w:pStyle w:val="TableText"/>
              <w:rPr>
                <w:sz w:val="20"/>
                <w:szCs w:val="20"/>
              </w:rPr>
            </w:pPr>
            <w:r w:rsidRPr="00883399">
              <w:rPr>
                <w:sz w:val="20"/>
                <w:szCs w:val="20"/>
              </w:rPr>
              <w:t>N/A</w:t>
            </w:r>
          </w:p>
        </w:tc>
      </w:tr>
      <w:tr w:rsidR="00872C03" w:rsidRPr="00883399" w14:paraId="2F9C14C8" w14:textId="77777777" w:rsidTr="0031057E">
        <w:trPr>
          <w:cantSplit/>
        </w:trPr>
        <w:tc>
          <w:tcPr>
            <w:tcW w:w="664" w:type="dxa"/>
            <w:vMerge w:val="restart"/>
          </w:tcPr>
          <w:p w14:paraId="73BCB86F" w14:textId="77777777" w:rsidR="00872C03" w:rsidRPr="00883399" w:rsidRDefault="00872C03" w:rsidP="0031057E">
            <w:pPr>
              <w:pStyle w:val="TableText"/>
              <w:ind w:left="227"/>
              <w:rPr>
                <w:sz w:val="20"/>
                <w:szCs w:val="20"/>
              </w:rPr>
            </w:pPr>
            <w:r w:rsidRPr="00883399">
              <w:rPr>
                <w:sz w:val="20"/>
                <w:szCs w:val="20"/>
              </w:rPr>
              <w:t>8</w:t>
            </w:r>
          </w:p>
        </w:tc>
        <w:tc>
          <w:tcPr>
            <w:tcW w:w="2216" w:type="dxa"/>
            <w:vMerge w:val="restart"/>
          </w:tcPr>
          <w:p w14:paraId="29FC7EB9" w14:textId="77777777" w:rsidR="00872C03" w:rsidRPr="00883399" w:rsidRDefault="00872C03" w:rsidP="0031057E">
            <w:pPr>
              <w:pStyle w:val="TableText"/>
              <w:rPr>
                <w:sz w:val="20"/>
                <w:szCs w:val="20"/>
              </w:rPr>
            </w:pPr>
            <w:r w:rsidRPr="00883399">
              <w:rPr>
                <w:sz w:val="20"/>
                <w:szCs w:val="20"/>
              </w:rPr>
              <w:t xml:space="preserve">Industrial materials and tyres that </w:t>
            </w:r>
            <w:r w:rsidRPr="00883399">
              <w:rPr>
                <w:snapToGrid w:val="0"/>
                <w:sz w:val="20"/>
                <w:szCs w:val="20"/>
              </w:rPr>
              <w:t>are derived from fossil fuels, if recycled and combusted to produce heat or electricity</w:t>
            </w:r>
          </w:p>
        </w:tc>
        <w:tc>
          <w:tcPr>
            <w:tcW w:w="1560" w:type="dxa"/>
          </w:tcPr>
          <w:p w14:paraId="5696578C" w14:textId="77777777" w:rsidR="00872C03" w:rsidRPr="00883399" w:rsidRDefault="00872C03" w:rsidP="0031057E">
            <w:pPr>
              <w:pStyle w:val="TableText"/>
              <w:rPr>
                <w:sz w:val="20"/>
                <w:szCs w:val="20"/>
              </w:rPr>
            </w:pPr>
            <w:r w:rsidRPr="00883399">
              <w:rPr>
                <w:sz w:val="20"/>
                <w:szCs w:val="20"/>
              </w:rPr>
              <w:t>Energy content factor</w:t>
            </w:r>
          </w:p>
        </w:tc>
        <w:tc>
          <w:tcPr>
            <w:tcW w:w="2048" w:type="dxa"/>
          </w:tcPr>
          <w:p w14:paraId="60A9759E" w14:textId="77777777" w:rsidR="00872C03" w:rsidRPr="00883399" w:rsidRDefault="00872C03" w:rsidP="0031057E">
            <w:pPr>
              <w:pStyle w:val="TableText"/>
              <w:rPr>
                <w:sz w:val="20"/>
                <w:szCs w:val="20"/>
              </w:rPr>
            </w:pPr>
            <w:r w:rsidRPr="00883399">
              <w:rPr>
                <w:sz w:val="20"/>
                <w:szCs w:val="20"/>
              </w:rPr>
              <w:t>CEN/TS 15400:2006</w:t>
            </w:r>
          </w:p>
        </w:tc>
        <w:tc>
          <w:tcPr>
            <w:tcW w:w="1792" w:type="dxa"/>
          </w:tcPr>
          <w:p w14:paraId="60120D7B"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35BEF61A" w14:textId="77777777" w:rsidTr="0031057E">
        <w:trPr>
          <w:cantSplit/>
        </w:trPr>
        <w:tc>
          <w:tcPr>
            <w:tcW w:w="664" w:type="dxa"/>
            <w:vMerge/>
          </w:tcPr>
          <w:p w14:paraId="11D6021E" w14:textId="77777777" w:rsidR="00872C03" w:rsidRPr="00883399" w:rsidRDefault="00872C03" w:rsidP="0031057E">
            <w:pPr>
              <w:pStyle w:val="TableText"/>
              <w:rPr>
                <w:sz w:val="20"/>
                <w:szCs w:val="20"/>
              </w:rPr>
            </w:pPr>
          </w:p>
        </w:tc>
        <w:tc>
          <w:tcPr>
            <w:tcW w:w="2216" w:type="dxa"/>
            <w:vMerge/>
          </w:tcPr>
          <w:p w14:paraId="5A1BFAFC" w14:textId="77777777" w:rsidR="00872C03" w:rsidRPr="00883399" w:rsidRDefault="00872C03" w:rsidP="0031057E">
            <w:pPr>
              <w:pStyle w:val="TableText"/>
              <w:rPr>
                <w:sz w:val="20"/>
                <w:szCs w:val="20"/>
              </w:rPr>
            </w:pPr>
          </w:p>
        </w:tc>
        <w:tc>
          <w:tcPr>
            <w:tcW w:w="1560" w:type="dxa"/>
          </w:tcPr>
          <w:p w14:paraId="7E787753" w14:textId="77777777" w:rsidR="00872C03" w:rsidRPr="00883399" w:rsidRDefault="00872C03" w:rsidP="0031057E">
            <w:pPr>
              <w:pStyle w:val="TableText"/>
              <w:rPr>
                <w:sz w:val="20"/>
                <w:szCs w:val="20"/>
              </w:rPr>
            </w:pPr>
            <w:r w:rsidRPr="00883399">
              <w:rPr>
                <w:sz w:val="20"/>
                <w:szCs w:val="20"/>
              </w:rPr>
              <w:t>Carbon</w:t>
            </w:r>
          </w:p>
        </w:tc>
        <w:tc>
          <w:tcPr>
            <w:tcW w:w="2048" w:type="dxa"/>
          </w:tcPr>
          <w:p w14:paraId="6E86ACED" w14:textId="77777777" w:rsidR="00872C03" w:rsidRPr="00883399" w:rsidRDefault="00872C03" w:rsidP="0031057E">
            <w:pPr>
              <w:pStyle w:val="TableText"/>
              <w:rPr>
                <w:sz w:val="20"/>
                <w:szCs w:val="20"/>
              </w:rPr>
            </w:pPr>
            <w:r w:rsidRPr="00883399">
              <w:rPr>
                <w:sz w:val="20"/>
                <w:szCs w:val="20"/>
              </w:rPr>
              <w:t>CEN/TS 15407:2006</w:t>
            </w:r>
          </w:p>
        </w:tc>
        <w:tc>
          <w:tcPr>
            <w:tcW w:w="1792" w:type="dxa"/>
          </w:tcPr>
          <w:p w14:paraId="3FA4F104"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26F43AC5" w14:textId="77777777" w:rsidTr="0031057E">
        <w:trPr>
          <w:cantSplit/>
        </w:trPr>
        <w:tc>
          <w:tcPr>
            <w:tcW w:w="664" w:type="dxa"/>
            <w:vMerge/>
          </w:tcPr>
          <w:p w14:paraId="79F42081" w14:textId="77777777" w:rsidR="00872C03" w:rsidRPr="00883399" w:rsidRDefault="00872C03" w:rsidP="0031057E">
            <w:pPr>
              <w:pStyle w:val="TableText"/>
              <w:rPr>
                <w:sz w:val="20"/>
                <w:szCs w:val="20"/>
              </w:rPr>
            </w:pPr>
          </w:p>
        </w:tc>
        <w:tc>
          <w:tcPr>
            <w:tcW w:w="2216" w:type="dxa"/>
            <w:vMerge/>
          </w:tcPr>
          <w:p w14:paraId="258FE5A2" w14:textId="77777777" w:rsidR="00872C03" w:rsidRPr="00883399" w:rsidRDefault="00872C03" w:rsidP="0031057E">
            <w:pPr>
              <w:pStyle w:val="TableText"/>
              <w:rPr>
                <w:sz w:val="20"/>
                <w:szCs w:val="20"/>
              </w:rPr>
            </w:pPr>
          </w:p>
        </w:tc>
        <w:tc>
          <w:tcPr>
            <w:tcW w:w="1560" w:type="dxa"/>
          </w:tcPr>
          <w:p w14:paraId="1C693991" w14:textId="77777777" w:rsidR="00872C03" w:rsidRPr="00883399" w:rsidRDefault="00872C03" w:rsidP="0031057E">
            <w:pPr>
              <w:pStyle w:val="TableText"/>
              <w:rPr>
                <w:sz w:val="20"/>
                <w:szCs w:val="20"/>
              </w:rPr>
            </w:pPr>
            <w:r w:rsidRPr="00883399">
              <w:rPr>
                <w:sz w:val="20"/>
                <w:szCs w:val="20"/>
              </w:rPr>
              <w:t>Moisture</w:t>
            </w:r>
          </w:p>
        </w:tc>
        <w:tc>
          <w:tcPr>
            <w:tcW w:w="2048" w:type="dxa"/>
          </w:tcPr>
          <w:p w14:paraId="0BD22E9E" w14:textId="77777777" w:rsidR="00872C03" w:rsidRPr="00883399" w:rsidRDefault="00872C03" w:rsidP="0031057E">
            <w:pPr>
              <w:pStyle w:val="TableText"/>
              <w:rPr>
                <w:sz w:val="20"/>
                <w:szCs w:val="20"/>
              </w:rPr>
            </w:pPr>
            <w:r w:rsidRPr="00883399">
              <w:rPr>
                <w:sz w:val="20"/>
                <w:szCs w:val="20"/>
              </w:rPr>
              <w:t>CEN/TS 15414</w:t>
            </w:r>
            <w:r w:rsidRPr="00883399">
              <w:rPr>
                <w:sz w:val="20"/>
                <w:szCs w:val="20"/>
              </w:rPr>
              <w:noBreakHyphen/>
              <w:t>3:2006</w:t>
            </w:r>
          </w:p>
        </w:tc>
        <w:tc>
          <w:tcPr>
            <w:tcW w:w="1792" w:type="dxa"/>
          </w:tcPr>
          <w:p w14:paraId="19532D0E"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6A611B73" w14:textId="77777777" w:rsidTr="0031057E">
        <w:trPr>
          <w:cantSplit/>
        </w:trPr>
        <w:tc>
          <w:tcPr>
            <w:tcW w:w="664" w:type="dxa"/>
            <w:vMerge/>
          </w:tcPr>
          <w:p w14:paraId="027F5264" w14:textId="77777777" w:rsidR="00872C03" w:rsidRPr="00883399" w:rsidRDefault="00872C03" w:rsidP="0031057E">
            <w:pPr>
              <w:pStyle w:val="TableText"/>
              <w:rPr>
                <w:sz w:val="20"/>
                <w:szCs w:val="20"/>
              </w:rPr>
            </w:pPr>
          </w:p>
        </w:tc>
        <w:tc>
          <w:tcPr>
            <w:tcW w:w="2216" w:type="dxa"/>
            <w:vMerge/>
          </w:tcPr>
          <w:p w14:paraId="698869FE" w14:textId="77777777" w:rsidR="00872C03" w:rsidRPr="00883399" w:rsidRDefault="00872C03" w:rsidP="0031057E">
            <w:pPr>
              <w:pStyle w:val="TableText"/>
              <w:rPr>
                <w:sz w:val="20"/>
                <w:szCs w:val="20"/>
              </w:rPr>
            </w:pPr>
          </w:p>
        </w:tc>
        <w:tc>
          <w:tcPr>
            <w:tcW w:w="1560" w:type="dxa"/>
          </w:tcPr>
          <w:p w14:paraId="315720CD" w14:textId="77777777" w:rsidR="00872C03" w:rsidRPr="00883399" w:rsidRDefault="00872C03" w:rsidP="0031057E">
            <w:pPr>
              <w:pStyle w:val="TableText"/>
              <w:rPr>
                <w:sz w:val="20"/>
                <w:szCs w:val="20"/>
              </w:rPr>
            </w:pPr>
            <w:r w:rsidRPr="00883399">
              <w:rPr>
                <w:sz w:val="20"/>
                <w:szCs w:val="20"/>
              </w:rPr>
              <w:t>Ash</w:t>
            </w:r>
          </w:p>
        </w:tc>
        <w:tc>
          <w:tcPr>
            <w:tcW w:w="2048" w:type="dxa"/>
          </w:tcPr>
          <w:p w14:paraId="769215B0" w14:textId="77777777" w:rsidR="00872C03" w:rsidRPr="00883399" w:rsidRDefault="00872C03" w:rsidP="0031057E">
            <w:pPr>
              <w:pStyle w:val="TableText"/>
              <w:rPr>
                <w:sz w:val="20"/>
                <w:szCs w:val="20"/>
              </w:rPr>
            </w:pPr>
            <w:r w:rsidRPr="00883399">
              <w:rPr>
                <w:sz w:val="20"/>
                <w:szCs w:val="20"/>
              </w:rPr>
              <w:t>CEN/TS 15403:2006</w:t>
            </w:r>
          </w:p>
        </w:tc>
        <w:tc>
          <w:tcPr>
            <w:tcW w:w="1792" w:type="dxa"/>
          </w:tcPr>
          <w:p w14:paraId="5D56EA23"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2DA3E1D7" w14:textId="77777777" w:rsidTr="0031057E">
        <w:trPr>
          <w:cantSplit/>
        </w:trPr>
        <w:tc>
          <w:tcPr>
            <w:tcW w:w="664" w:type="dxa"/>
            <w:vMerge w:val="restart"/>
          </w:tcPr>
          <w:p w14:paraId="2A6709B5" w14:textId="77777777" w:rsidR="00872C03" w:rsidRPr="00883399" w:rsidRDefault="00872C03" w:rsidP="0031057E">
            <w:pPr>
              <w:pStyle w:val="TableText"/>
              <w:ind w:left="227"/>
              <w:rPr>
                <w:sz w:val="20"/>
                <w:szCs w:val="20"/>
              </w:rPr>
            </w:pPr>
            <w:r w:rsidRPr="00883399">
              <w:rPr>
                <w:sz w:val="20"/>
                <w:szCs w:val="20"/>
              </w:rPr>
              <w:t>9</w:t>
            </w:r>
          </w:p>
        </w:tc>
        <w:tc>
          <w:tcPr>
            <w:tcW w:w="2216" w:type="dxa"/>
            <w:vMerge w:val="restart"/>
          </w:tcPr>
          <w:p w14:paraId="4DEC330E" w14:textId="77777777" w:rsidR="00872C03" w:rsidRPr="00883399" w:rsidRDefault="00872C03" w:rsidP="0031057E">
            <w:pPr>
              <w:pStyle w:val="TableText"/>
              <w:rPr>
                <w:sz w:val="20"/>
                <w:szCs w:val="20"/>
              </w:rPr>
            </w:pPr>
            <w:r w:rsidRPr="00883399">
              <w:rPr>
                <w:snapToGrid w:val="0"/>
                <w:sz w:val="20"/>
                <w:szCs w:val="20"/>
              </w:rPr>
              <w:t>Non</w:t>
            </w:r>
            <w:r w:rsidRPr="00883399">
              <w:rPr>
                <w:snapToGrid w:val="0"/>
                <w:sz w:val="20"/>
                <w:szCs w:val="20"/>
              </w:rPr>
              <w:noBreakHyphen/>
              <w:t>biomass municipal materials, if recycled and combusted to produce heat or electricity</w:t>
            </w:r>
            <w:r w:rsidRPr="00883399">
              <w:rPr>
                <w:sz w:val="20"/>
                <w:szCs w:val="20"/>
              </w:rPr>
              <w:t xml:space="preserve"> </w:t>
            </w:r>
          </w:p>
        </w:tc>
        <w:tc>
          <w:tcPr>
            <w:tcW w:w="1560" w:type="dxa"/>
          </w:tcPr>
          <w:p w14:paraId="796F72CE" w14:textId="77777777" w:rsidR="00872C03" w:rsidRPr="00883399" w:rsidRDefault="00872C03" w:rsidP="0031057E">
            <w:pPr>
              <w:pStyle w:val="TableText"/>
              <w:rPr>
                <w:sz w:val="20"/>
                <w:szCs w:val="20"/>
              </w:rPr>
            </w:pPr>
            <w:r w:rsidRPr="00883399">
              <w:rPr>
                <w:sz w:val="20"/>
                <w:szCs w:val="20"/>
              </w:rPr>
              <w:t>Energy content factor</w:t>
            </w:r>
          </w:p>
        </w:tc>
        <w:tc>
          <w:tcPr>
            <w:tcW w:w="2048" w:type="dxa"/>
          </w:tcPr>
          <w:p w14:paraId="4394370E" w14:textId="77777777" w:rsidR="00872C03" w:rsidRPr="00883399" w:rsidRDefault="00872C03" w:rsidP="0031057E">
            <w:pPr>
              <w:pStyle w:val="TableText"/>
              <w:rPr>
                <w:sz w:val="20"/>
                <w:szCs w:val="20"/>
              </w:rPr>
            </w:pPr>
            <w:r w:rsidRPr="00883399">
              <w:rPr>
                <w:sz w:val="20"/>
                <w:szCs w:val="20"/>
              </w:rPr>
              <w:t>CEN/TS 15400:2006</w:t>
            </w:r>
          </w:p>
        </w:tc>
        <w:tc>
          <w:tcPr>
            <w:tcW w:w="1792" w:type="dxa"/>
          </w:tcPr>
          <w:p w14:paraId="2810F56B"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58D05D97" w14:textId="77777777" w:rsidTr="0031057E">
        <w:trPr>
          <w:cantSplit/>
        </w:trPr>
        <w:tc>
          <w:tcPr>
            <w:tcW w:w="664" w:type="dxa"/>
            <w:vMerge/>
          </w:tcPr>
          <w:p w14:paraId="031BB207" w14:textId="77777777" w:rsidR="00872C03" w:rsidRPr="00883399" w:rsidRDefault="00872C03" w:rsidP="0031057E">
            <w:pPr>
              <w:pStyle w:val="TableText"/>
              <w:rPr>
                <w:sz w:val="20"/>
                <w:szCs w:val="20"/>
              </w:rPr>
            </w:pPr>
          </w:p>
        </w:tc>
        <w:tc>
          <w:tcPr>
            <w:tcW w:w="2216" w:type="dxa"/>
            <w:vMerge/>
          </w:tcPr>
          <w:p w14:paraId="58895D81" w14:textId="77777777" w:rsidR="00872C03" w:rsidRPr="00883399" w:rsidRDefault="00872C03" w:rsidP="0031057E">
            <w:pPr>
              <w:pStyle w:val="TableText"/>
              <w:rPr>
                <w:sz w:val="20"/>
                <w:szCs w:val="20"/>
              </w:rPr>
            </w:pPr>
          </w:p>
        </w:tc>
        <w:tc>
          <w:tcPr>
            <w:tcW w:w="1560" w:type="dxa"/>
          </w:tcPr>
          <w:p w14:paraId="28D50917" w14:textId="77777777" w:rsidR="00872C03" w:rsidRPr="00883399" w:rsidRDefault="00872C03" w:rsidP="0031057E">
            <w:pPr>
              <w:pStyle w:val="TableText"/>
              <w:rPr>
                <w:sz w:val="20"/>
                <w:szCs w:val="20"/>
              </w:rPr>
            </w:pPr>
            <w:r w:rsidRPr="00883399">
              <w:rPr>
                <w:sz w:val="20"/>
                <w:szCs w:val="20"/>
              </w:rPr>
              <w:t>Carbon</w:t>
            </w:r>
          </w:p>
        </w:tc>
        <w:tc>
          <w:tcPr>
            <w:tcW w:w="2048" w:type="dxa"/>
          </w:tcPr>
          <w:p w14:paraId="0FCA7F11" w14:textId="77777777" w:rsidR="00872C03" w:rsidRPr="00883399" w:rsidRDefault="00872C03" w:rsidP="0031057E">
            <w:pPr>
              <w:pStyle w:val="TableText"/>
              <w:rPr>
                <w:sz w:val="20"/>
                <w:szCs w:val="20"/>
              </w:rPr>
            </w:pPr>
            <w:r w:rsidRPr="00883399">
              <w:rPr>
                <w:sz w:val="20"/>
                <w:szCs w:val="20"/>
              </w:rPr>
              <w:t>CEN/TS 15407:2006</w:t>
            </w:r>
          </w:p>
        </w:tc>
        <w:tc>
          <w:tcPr>
            <w:tcW w:w="1792" w:type="dxa"/>
          </w:tcPr>
          <w:p w14:paraId="66795C21"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478309CC" w14:textId="77777777" w:rsidTr="0031057E">
        <w:trPr>
          <w:cantSplit/>
        </w:trPr>
        <w:tc>
          <w:tcPr>
            <w:tcW w:w="664" w:type="dxa"/>
            <w:vMerge/>
          </w:tcPr>
          <w:p w14:paraId="4CA35082" w14:textId="77777777" w:rsidR="00872C03" w:rsidRPr="00883399" w:rsidRDefault="00872C03" w:rsidP="0031057E">
            <w:pPr>
              <w:pStyle w:val="TableText"/>
              <w:rPr>
                <w:sz w:val="20"/>
                <w:szCs w:val="20"/>
              </w:rPr>
            </w:pPr>
          </w:p>
        </w:tc>
        <w:tc>
          <w:tcPr>
            <w:tcW w:w="2216" w:type="dxa"/>
            <w:vMerge/>
          </w:tcPr>
          <w:p w14:paraId="30545F39" w14:textId="77777777" w:rsidR="00872C03" w:rsidRPr="00883399" w:rsidRDefault="00872C03" w:rsidP="0031057E">
            <w:pPr>
              <w:pStyle w:val="TableText"/>
              <w:rPr>
                <w:sz w:val="20"/>
                <w:szCs w:val="20"/>
              </w:rPr>
            </w:pPr>
          </w:p>
        </w:tc>
        <w:tc>
          <w:tcPr>
            <w:tcW w:w="1560" w:type="dxa"/>
          </w:tcPr>
          <w:p w14:paraId="2FD5D8F0" w14:textId="77777777" w:rsidR="00872C03" w:rsidRPr="00883399" w:rsidRDefault="00872C03" w:rsidP="0031057E">
            <w:pPr>
              <w:pStyle w:val="TableText"/>
              <w:rPr>
                <w:sz w:val="20"/>
                <w:szCs w:val="20"/>
              </w:rPr>
            </w:pPr>
            <w:r w:rsidRPr="00883399">
              <w:rPr>
                <w:sz w:val="20"/>
                <w:szCs w:val="20"/>
              </w:rPr>
              <w:t>Moisture</w:t>
            </w:r>
          </w:p>
        </w:tc>
        <w:tc>
          <w:tcPr>
            <w:tcW w:w="2048" w:type="dxa"/>
          </w:tcPr>
          <w:p w14:paraId="39F030C0" w14:textId="77777777" w:rsidR="00872C03" w:rsidRPr="00883399" w:rsidRDefault="00872C03" w:rsidP="0031057E">
            <w:pPr>
              <w:pStyle w:val="TableText"/>
              <w:rPr>
                <w:sz w:val="20"/>
                <w:szCs w:val="20"/>
              </w:rPr>
            </w:pPr>
            <w:r w:rsidRPr="00883399">
              <w:rPr>
                <w:sz w:val="20"/>
                <w:szCs w:val="20"/>
              </w:rPr>
              <w:t>CEN/TS 15414</w:t>
            </w:r>
            <w:r w:rsidRPr="00883399">
              <w:rPr>
                <w:sz w:val="20"/>
                <w:szCs w:val="20"/>
              </w:rPr>
              <w:noBreakHyphen/>
              <w:t>3:2006</w:t>
            </w:r>
          </w:p>
        </w:tc>
        <w:tc>
          <w:tcPr>
            <w:tcW w:w="1792" w:type="dxa"/>
          </w:tcPr>
          <w:p w14:paraId="4E8B0D1E"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02A2C356" w14:textId="77777777" w:rsidTr="0031057E">
        <w:trPr>
          <w:cantSplit/>
        </w:trPr>
        <w:tc>
          <w:tcPr>
            <w:tcW w:w="664" w:type="dxa"/>
            <w:vMerge/>
          </w:tcPr>
          <w:p w14:paraId="091B9F0B" w14:textId="77777777" w:rsidR="00872C03" w:rsidRPr="00883399" w:rsidRDefault="00872C03" w:rsidP="0031057E">
            <w:pPr>
              <w:pStyle w:val="TableText"/>
              <w:rPr>
                <w:sz w:val="20"/>
                <w:szCs w:val="20"/>
              </w:rPr>
            </w:pPr>
          </w:p>
        </w:tc>
        <w:tc>
          <w:tcPr>
            <w:tcW w:w="2216" w:type="dxa"/>
            <w:vMerge/>
          </w:tcPr>
          <w:p w14:paraId="03B12ADD" w14:textId="77777777" w:rsidR="00872C03" w:rsidRPr="00883399" w:rsidRDefault="00872C03" w:rsidP="0031057E">
            <w:pPr>
              <w:pStyle w:val="TableText"/>
              <w:rPr>
                <w:sz w:val="20"/>
                <w:szCs w:val="20"/>
              </w:rPr>
            </w:pPr>
          </w:p>
        </w:tc>
        <w:tc>
          <w:tcPr>
            <w:tcW w:w="1560" w:type="dxa"/>
          </w:tcPr>
          <w:p w14:paraId="3EC606CC" w14:textId="77777777" w:rsidR="00872C03" w:rsidRPr="00883399" w:rsidRDefault="00872C03" w:rsidP="0031057E">
            <w:pPr>
              <w:pStyle w:val="TableText"/>
              <w:rPr>
                <w:sz w:val="20"/>
                <w:szCs w:val="20"/>
              </w:rPr>
            </w:pPr>
            <w:r w:rsidRPr="00883399">
              <w:rPr>
                <w:sz w:val="20"/>
                <w:szCs w:val="20"/>
              </w:rPr>
              <w:t>Ash</w:t>
            </w:r>
          </w:p>
        </w:tc>
        <w:tc>
          <w:tcPr>
            <w:tcW w:w="2048" w:type="dxa"/>
          </w:tcPr>
          <w:p w14:paraId="4DFFA7E2" w14:textId="77777777" w:rsidR="00872C03" w:rsidRPr="00883399" w:rsidRDefault="00872C03" w:rsidP="0031057E">
            <w:pPr>
              <w:pStyle w:val="TableText"/>
              <w:rPr>
                <w:sz w:val="20"/>
                <w:szCs w:val="20"/>
              </w:rPr>
            </w:pPr>
            <w:r w:rsidRPr="00883399">
              <w:rPr>
                <w:sz w:val="20"/>
                <w:szCs w:val="20"/>
              </w:rPr>
              <w:t>CEN/TS 15403:2006</w:t>
            </w:r>
          </w:p>
        </w:tc>
        <w:tc>
          <w:tcPr>
            <w:tcW w:w="1792" w:type="dxa"/>
          </w:tcPr>
          <w:p w14:paraId="63D878E5"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2E742CC9" w14:textId="77777777" w:rsidTr="0031057E">
        <w:trPr>
          <w:cantSplit/>
        </w:trPr>
        <w:tc>
          <w:tcPr>
            <w:tcW w:w="664" w:type="dxa"/>
            <w:vMerge w:val="restart"/>
          </w:tcPr>
          <w:p w14:paraId="392C5B10" w14:textId="77777777" w:rsidR="00872C03" w:rsidRPr="00883399" w:rsidRDefault="00872C03" w:rsidP="0031057E">
            <w:pPr>
              <w:pStyle w:val="TableText"/>
              <w:ind w:left="227"/>
              <w:rPr>
                <w:sz w:val="20"/>
                <w:szCs w:val="20"/>
              </w:rPr>
            </w:pPr>
            <w:r w:rsidRPr="00883399">
              <w:rPr>
                <w:sz w:val="20"/>
                <w:szCs w:val="20"/>
              </w:rPr>
              <w:t>10</w:t>
            </w:r>
          </w:p>
        </w:tc>
        <w:tc>
          <w:tcPr>
            <w:tcW w:w="2216" w:type="dxa"/>
            <w:vMerge w:val="restart"/>
          </w:tcPr>
          <w:p w14:paraId="75AE3DB8" w14:textId="77777777" w:rsidR="00872C03" w:rsidRPr="00883399" w:rsidRDefault="00872C03" w:rsidP="0031057E">
            <w:pPr>
              <w:pStyle w:val="TableText"/>
              <w:rPr>
                <w:sz w:val="20"/>
                <w:szCs w:val="20"/>
              </w:rPr>
            </w:pPr>
            <w:r w:rsidRPr="00883399">
              <w:rPr>
                <w:sz w:val="20"/>
                <w:szCs w:val="20"/>
              </w:rPr>
              <w:t>Dry wood</w:t>
            </w:r>
          </w:p>
        </w:tc>
        <w:tc>
          <w:tcPr>
            <w:tcW w:w="1560" w:type="dxa"/>
          </w:tcPr>
          <w:p w14:paraId="3882A292" w14:textId="77777777" w:rsidR="00872C03" w:rsidRPr="00883399" w:rsidRDefault="00872C03" w:rsidP="0031057E">
            <w:pPr>
              <w:pStyle w:val="TableText"/>
              <w:rPr>
                <w:sz w:val="20"/>
                <w:szCs w:val="20"/>
              </w:rPr>
            </w:pPr>
            <w:r w:rsidRPr="00883399">
              <w:rPr>
                <w:sz w:val="20"/>
                <w:szCs w:val="20"/>
              </w:rPr>
              <w:t>Energy content factor</w:t>
            </w:r>
          </w:p>
        </w:tc>
        <w:tc>
          <w:tcPr>
            <w:tcW w:w="2048" w:type="dxa"/>
          </w:tcPr>
          <w:p w14:paraId="06A39615" w14:textId="77777777" w:rsidR="00872C03" w:rsidRPr="00883399" w:rsidRDefault="00872C03" w:rsidP="0031057E">
            <w:pPr>
              <w:pStyle w:val="TableText"/>
              <w:rPr>
                <w:sz w:val="20"/>
                <w:szCs w:val="20"/>
              </w:rPr>
            </w:pPr>
            <w:r w:rsidRPr="00883399">
              <w:rPr>
                <w:sz w:val="20"/>
                <w:szCs w:val="20"/>
              </w:rPr>
              <w:t>CEN/TS 15400:2006</w:t>
            </w:r>
          </w:p>
        </w:tc>
        <w:tc>
          <w:tcPr>
            <w:tcW w:w="1792" w:type="dxa"/>
          </w:tcPr>
          <w:p w14:paraId="4CC14B57"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04204E59" w14:textId="77777777" w:rsidTr="0031057E">
        <w:trPr>
          <w:cantSplit/>
        </w:trPr>
        <w:tc>
          <w:tcPr>
            <w:tcW w:w="664" w:type="dxa"/>
            <w:vMerge/>
          </w:tcPr>
          <w:p w14:paraId="39E6EF3D" w14:textId="77777777" w:rsidR="00872C03" w:rsidRPr="00883399" w:rsidRDefault="00872C03" w:rsidP="0031057E">
            <w:pPr>
              <w:pStyle w:val="TableText"/>
              <w:rPr>
                <w:sz w:val="20"/>
                <w:szCs w:val="20"/>
              </w:rPr>
            </w:pPr>
          </w:p>
        </w:tc>
        <w:tc>
          <w:tcPr>
            <w:tcW w:w="2216" w:type="dxa"/>
            <w:vMerge/>
          </w:tcPr>
          <w:p w14:paraId="6B74D74A" w14:textId="77777777" w:rsidR="00872C03" w:rsidRPr="00883399" w:rsidRDefault="00872C03" w:rsidP="0031057E">
            <w:pPr>
              <w:pStyle w:val="TableText"/>
              <w:rPr>
                <w:sz w:val="20"/>
                <w:szCs w:val="20"/>
              </w:rPr>
            </w:pPr>
          </w:p>
        </w:tc>
        <w:tc>
          <w:tcPr>
            <w:tcW w:w="1560" w:type="dxa"/>
          </w:tcPr>
          <w:p w14:paraId="7C7433CE" w14:textId="77777777" w:rsidR="00872C03" w:rsidRPr="00883399" w:rsidRDefault="00872C03" w:rsidP="0031057E">
            <w:pPr>
              <w:pStyle w:val="TableText"/>
              <w:rPr>
                <w:sz w:val="20"/>
                <w:szCs w:val="20"/>
              </w:rPr>
            </w:pPr>
            <w:r w:rsidRPr="00883399">
              <w:rPr>
                <w:sz w:val="20"/>
                <w:szCs w:val="20"/>
              </w:rPr>
              <w:t>Carbon</w:t>
            </w:r>
          </w:p>
        </w:tc>
        <w:tc>
          <w:tcPr>
            <w:tcW w:w="2048" w:type="dxa"/>
          </w:tcPr>
          <w:p w14:paraId="10F464D8" w14:textId="77777777" w:rsidR="00872C03" w:rsidRPr="00883399" w:rsidRDefault="00872C03" w:rsidP="0031057E">
            <w:pPr>
              <w:pStyle w:val="TableText"/>
              <w:rPr>
                <w:sz w:val="20"/>
                <w:szCs w:val="20"/>
              </w:rPr>
            </w:pPr>
            <w:r w:rsidRPr="00883399">
              <w:rPr>
                <w:sz w:val="20"/>
                <w:szCs w:val="20"/>
              </w:rPr>
              <w:t>CEN/TS 15407:2006</w:t>
            </w:r>
          </w:p>
        </w:tc>
        <w:tc>
          <w:tcPr>
            <w:tcW w:w="1792" w:type="dxa"/>
          </w:tcPr>
          <w:p w14:paraId="0ACD6174"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6D27E966" w14:textId="77777777" w:rsidTr="0031057E">
        <w:trPr>
          <w:cantSplit/>
        </w:trPr>
        <w:tc>
          <w:tcPr>
            <w:tcW w:w="664" w:type="dxa"/>
            <w:vMerge/>
          </w:tcPr>
          <w:p w14:paraId="666A7071" w14:textId="77777777" w:rsidR="00872C03" w:rsidRPr="00883399" w:rsidRDefault="00872C03" w:rsidP="0031057E">
            <w:pPr>
              <w:pStyle w:val="TableText"/>
              <w:rPr>
                <w:sz w:val="20"/>
                <w:szCs w:val="20"/>
              </w:rPr>
            </w:pPr>
          </w:p>
        </w:tc>
        <w:tc>
          <w:tcPr>
            <w:tcW w:w="2216" w:type="dxa"/>
            <w:vMerge/>
          </w:tcPr>
          <w:p w14:paraId="1C687D2A" w14:textId="77777777" w:rsidR="00872C03" w:rsidRPr="00883399" w:rsidRDefault="00872C03" w:rsidP="0031057E">
            <w:pPr>
              <w:pStyle w:val="TableText"/>
              <w:rPr>
                <w:sz w:val="20"/>
                <w:szCs w:val="20"/>
              </w:rPr>
            </w:pPr>
          </w:p>
        </w:tc>
        <w:tc>
          <w:tcPr>
            <w:tcW w:w="1560" w:type="dxa"/>
          </w:tcPr>
          <w:p w14:paraId="6F966D20" w14:textId="77777777" w:rsidR="00872C03" w:rsidRPr="00883399" w:rsidRDefault="00872C03" w:rsidP="0031057E">
            <w:pPr>
              <w:pStyle w:val="TableText"/>
              <w:rPr>
                <w:sz w:val="20"/>
                <w:szCs w:val="20"/>
              </w:rPr>
            </w:pPr>
            <w:r w:rsidRPr="00883399">
              <w:rPr>
                <w:sz w:val="20"/>
                <w:szCs w:val="20"/>
              </w:rPr>
              <w:t>Moisture</w:t>
            </w:r>
          </w:p>
        </w:tc>
        <w:tc>
          <w:tcPr>
            <w:tcW w:w="2048" w:type="dxa"/>
          </w:tcPr>
          <w:p w14:paraId="78E55FA7" w14:textId="77777777" w:rsidR="00872C03" w:rsidRPr="00883399" w:rsidRDefault="00872C03" w:rsidP="0031057E">
            <w:pPr>
              <w:pStyle w:val="TableText"/>
              <w:rPr>
                <w:sz w:val="20"/>
                <w:szCs w:val="20"/>
              </w:rPr>
            </w:pPr>
            <w:r w:rsidRPr="00883399">
              <w:rPr>
                <w:sz w:val="20"/>
                <w:szCs w:val="20"/>
              </w:rPr>
              <w:t>CEN/TS 15414</w:t>
            </w:r>
            <w:r w:rsidRPr="00883399">
              <w:rPr>
                <w:sz w:val="20"/>
                <w:szCs w:val="20"/>
              </w:rPr>
              <w:noBreakHyphen/>
              <w:t>3:2006</w:t>
            </w:r>
          </w:p>
          <w:p w14:paraId="129393C4" w14:textId="77777777" w:rsidR="00872C03" w:rsidRPr="00883399" w:rsidRDefault="00872C03" w:rsidP="0031057E">
            <w:pPr>
              <w:pStyle w:val="TableText"/>
              <w:rPr>
                <w:sz w:val="20"/>
                <w:szCs w:val="20"/>
              </w:rPr>
            </w:pPr>
            <w:r w:rsidRPr="00883399">
              <w:rPr>
                <w:sz w:val="20"/>
                <w:szCs w:val="20"/>
              </w:rPr>
              <w:t>CEN/TS 14774</w:t>
            </w:r>
            <w:r w:rsidRPr="00883399">
              <w:rPr>
                <w:sz w:val="20"/>
                <w:szCs w:val="20"/>
              </w:rPr>
              <w:noBreakHyphen/>
              <w:t>3:2004</w:t>
            </w:r>
          </w:p>
        </w:tc>
        <w:tc>
          <w:tcPr>
            <w:tcW w:w="1792" w:type="dxa"/>
          </w:tcPr>
          <w:p w14:paraId="429870B0"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6A46A346" w14:textId="77777777" w:rsidTr="0031057E">
        <w:trPr>
          <w:cantSplit/>
        </w:trPr>
        <w:tc>
          <w:tcPr>
            <w:tcW w:w="664" w:type="dxa"/>
            <w:vMerge/>
          </w:tcPr>
          <w:p w14:paraId="2F31E99D" w14:textId="77777777" w:rsidR="00872C03" w:rsidRPr="00883399" w:rsidRDefault="00872C03" w:rsidP="0031057E">
            <w:pPr>
              <w:pStyle w:val="TableText"/>
              <w:rPr>
                <w:sz w:val="20"/>
                <w:szCs w:val="20"/>
              </w:rPr>
            </w:pPr>
          </w:p>
        </w:tc>
        <w:tc>
          <w:tcPr>
            <w:tcW w:w="2216" w:type="dxa"/>
            <w:vMerge/>
          </w:tcPr>
          <w:p w14:paraId="28DBF3BE" w14:textId="77777777" w:rsidR="00872C03" w:rsidRPr="00883399" w:rsidRDefault="00872C03" w:rsidP="0031057E">
            <w:pPr>
              <w:pStyle w:val="TableText"/>
              <w:rPr>
                <w:sz w:val="20"/>
                <w:szCs w:val="20"/>
              </w:rPr>
            </w:pPr>
          </w:p>
        </w:tc>
        <w:tc>
          <w:tcPr>
            <w:tcW w:w="1560" w:type="dxa"/>
          </w:tcPr>
          <w:p w14:paraId="19229359" w14:textId="77777777" w:rsidR="00872C03" w:rsidRPr="00883399" w:rsidRDefault="00872C03" w:rsidP="0031057E">
            <w:pPr>
              <w:pStyle w:val="TableText"/>
              <w:rPr>
                <w:sz w:val="20"/>
                <w:szCs w:val="20"/>
              </w:rPr>
            </w:pPr>
            <w:r w:rsidRPr="00883399">
              <w:rPr>
                <w:sz w:val="20"/>
                <w:szCs w:val="20"/>
              </w:rPr>
              <w:t>Ash</w:t>
            </w:r>
          </w:p>
        </w:tc>
        <w:tc>
          <w:tcPr>
            <w:tcW w:w="2048" w:type="dxa"/>
          </w:tcPr>
          <w:p w14:paraId="5E7B7035" w14:textId="77777777" w:rsidR="00872C03" w:rsidRPr="00883399" w:rsidRDefault="00872C03" w:rsidP="0031057E">
            <w:pPr>
              <w:pStyle w:val="TableText"/>
              <w:rPr>
                <w:sz w:val="20"/>
                <w:szCs w:val="20"/>
              </w:rPr>
            </w:pPr>
            <w:r w:rsidRPr="00883399">
              <w:rPr>
                <w:sz w:val="20"/>
                <w:szCs w:val="20"/>
              </w:rPr>
              <w:t>CEN/TS 15403:2006</w:t>
            </w:r>
          </w:p>
        </w:tc>
        <w:tc>
          <w:tcPr>
            <w:tcW w:w="1792" w:type="dxa"/>
          </w:tcPr>
          <w:p w14:paraId="408C87E8"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06EE101A" w14:textId="77777777" w:rsidTr="0031057E">
        <w:trPr>
          <w:cantSplit/>
        </w:trPr>
        <w:tc>
          <w:tcPr>
            <w:tcW w:w="664" w:type="dxa"/>
            <w:vMerge w:val="restart"/>
          </w:tcPr>
          <w:p w14:paraId="32F2A606" w14:textId="77777777" w:rsidR="00872C03" w:rsidRPr="00883399" w:rsidRDefault="00872C03" w:rsidP="0031057E">
            <w:pPr>
              <w:pStyle w:val="TableText"/>
              <w:keepNext/>
              <w:ind w:left="113"/>
              <w:rPr>
                <w:sz w:val="20"/>
                <w:szCs w:val="20"/>
              </w:rPr>
            </w:pPr>
            <w:r w:rsidRPr="00883399">
              <w:rPr>
                <w:sz w:val="20"/>
                <w:szCs w:val="20"/>
              </w:rPr>
              <w:t>11</w:t>
            </w:r>
          </w:p>
        </w:tc>
        <w:tc>
          <w:tcPr>
            <w:tcW w:w="2216" w:type="dxa"/>
            <w:vMerge w:val="restart"/>
          </w:tcPr>
          <w:p w14:paraId="21D7F5BE" w14:textId="77777777" w:rsidR="00872C03" w:rsidRPr="00883399" w:rsidRDefault="00872C03" w:rsidP="0031057E">
            <w:pPr>
              <w:pStyle w:val="TableText"/>
              <w:keepNext/>
              <w:rPr>
                <w:sz w:val="20"/>
                <w:szCs w:val="20"/>
              </w:rPr>
            </w:pPr>
            <w:r w:rsidRPr="00883399">
              <w:rPr>
                <w:sz w:val="20"/>
                <w:szCs w:val="20"/>
              </w:rPr>
              <w:t xml:space="preserve">Green and air dried wood </w:t>
            </w:r>
          </w:p>
        </w:tc>
        <w:tc>
          <w:tcPr>
            <w:tcW w:w="1560" w:type="dxa"/>
          </w:tcPr>
          <w:p w14:paraId="74FB5163" w14:textId="77777777" w:rsidR="00872C03" w:rsidRPr="00883399" w:rsidRDefault="00872C03" w:rsidP="0031057E">
            <w:pPr>
              <w:pStyle w:val="TableText"/>
              <w:keepNext/>
              <w:rPr>
                <w:sz w:val="20"/>
                <w:szCs w:val="20"/>
              </w:rPr>
            </w:pPr>
            <w:r w:rsidRPr="00883399">
              <w:rPr>
                <w:sz w:val="20"/>
                <w:szCs w:val="20"/>
              </w:rPr>
              <w:t>Energy content factor</w:t>
            </w:r>
          </w:p>
        </w:tc>
        <w:tc>
          <w:tcPr>
            <w:tcW w:w="2048" w:type="dxa"/>
          </w:tcPr>
          <w:p w14:paraId="686E3B39" w14:textId="77777777" w:rsidR="00872C03" w:rsidRPr="00883399" w:rsidRDefault="00872C03" w:rsidP="0031057E">
            <w:pPr>
              <w:pStyle w:val="TableText"/>
              <w:keepNext/>
              <w:rPr>
                <w:sz w:val="20"/>
                <w:szCs w:val="20"/>
              </w:rPr>
            </w:pPr>
            <w:r w:rsidRPr="00883399">
              <w:rPr>
                <w:sz w:val="20"/>
                <w:szCs w:val="20"/>
              </w:rPr>
              <w:t>CEN/TS 15400:2006</w:t>
            </w:r>
          </w:p>
        </w:tc>
        <w:tc>
          <w:tcPr>
            <w:tcW w:w="1792" w:type="dxa"/>
          </w:tcPr>
          <w:p w14:paraId="67E2E813" w14:textId="77777777" w:rsidR="00872C03" w:rsidRPr="00883399" w:rsidRDefault="00872C03" w:rsidP="0031057E">
            <w:pPr>
              <w:pStyle w:val="TableText"/>
              <w:keepNext/>
              <w:rPr>
                <w:sz w:val="20"/>
                <w:szCs w:val="20"/>
              </w:rPr>
            </w:pPr>
            <w:r w:rsidRPr="00883399">
              <w:rPr>
                <w:sz w:val="20"/>
                <w:szCs w:val="20"/>
              </w:rPr>
              <w:t>Monthly sample composite</w:t>
            </w:r>
          </w:p>
        </w:tc>
      </w:tr>
      <w:tr w:rsidR="00872C03" w:rsidRPr="00883399" w14:paraId="6E33714C" w14:textId="77777777" w:rsidTr="0031057E">
        <w:trPr>
          <w:cantSplit/>
        </w:trPr>
        <w:tc>
          <w:tcPr>
            <w:tcW w:w="664" w:type="dxa"/>
            <w:vMerge/>
          </w:tcPr>
          <w:p w14:paraId="75EC57D6" w14:textId="77777777" w:rsidR="00872C03" w:rsidRPr="00883399" w:rsidRDefault="00872C03" w:rsidP="0031057E">
            <w:pPr>
              <w:pStyle w:val="TableText"/>
              <w:rPr>
                <w:sz w:val="20"/>
                <w:szCs w:val="20"/>
              </w:rPr>
            </w:pPr>
          </w:p>
        </w:tc>
        <w:tc>
          <w:tcPr>
            <w:tcW w:w="2216" w:type="dxa"/>
            <w:vMerge/>
          </w:tcPr>
          <w:p w14:paraId="06F294E5" w14:textId="77777777" w:rsidR="00872C03" w:rsidRPr="00883399" w:rsidRDefault="00872C03" w:rsidP="0031057E">
            <w:pPr>
              <w:pStyle w:val="TableText"/>
              <w:rPr>
                <w:sz w:val="20"/>
                <w:szCs w:val="20"/>
              </w:rPr>
            </w:pPr>
          </w:p>
        </w:tc>
        <w:tc>
          <w:tcPr>
            <w:tcW w:w="1560" w:type="dxa"/>
          </w:tcPr>
          <w:p w14:paraId="2346DB40" w14:textId="77777777" w:rsidR="00872C03" w:rsidRPr="00883399" w:rsidRDefault="00872C03" w:rsidP="0031057E">
            <w:pPr>
              <w:pStyle w:val="TableText"/>
              <w:rPr>
                <w:sz w:val="20"/>
                <w:szCs w:val="20"/>
              </w:rPr>
            </w:pPr>
            <w:r w:rsidRPr="00883399">
              <w:rPr>
                <w:sz w:val="20"/>
                <w:szCs w:val="20"/>
              </w:rPr>
              <w:t>Carbon</w:t>
            </w:r>
          </w:p>
        </w:tc>
        <w:tc>
          <w:tcPr>
            <w:tcW w:w="2048" w:type="dxa"/>
          </w:tcPr>
          <w:p w14:paraId="7055F9B8" w14:textId="77777777" w:rsidR="00872C03" w:rsidRPr="00883399" w:rsidRDefault="00872C03" w:rsidP="0031057E">
            <w:pPr>
              <w:pStyle w:val="TableText"/>
              <w:rPr>
                <w:sz w:val="20"/>
                <w:szCs w:val="20"/>
              </w:rPr>
            </w:pPr>
            <w:r w:rsidRPr="00883399">
              <w:rPr>
                <w:sz w:val="20"/>
                <w:szCs w:val="20"/>
              </w:rPr>
              <w:t>CEN/TS 15407:2006</w:t>
            </w:r>
          </w:p>
        </w:tc>
        <w:tc>
          <w:tcPr>
            <w:tcW w:w="1792" w:type="dxa"/>
          </w:tcPr>
          <w:p w14:paraId="2D59EF05"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2C7BD06C" w14:textId="77777777" w:rsidTr="0031057E">
        <w:trPr>
          <w:cantSplit/>
        </w:trPr>
        <w:tc>
          <w:tcPr>
            <w:tcW w:w="664" w:type="dxa"/>
            <w:vMerge/>
          </w:tcPr>
          <w:p w14:paraId="468E72AF" w14:textId="77777777" w:rsidR="00872C03" w:rsidRPr="00883399" w:rsidRDefault="00872C03" w:rsidP="0031057E">
            <w:pPr>
              <w:pStyle w:val="TableText"/>
              <w:rPr>
                <w:sz w:val="20"/>
                <w:szCs w:val="20"/>
              </w:rPr>
            </w:pPr>
          </w:p>
        </w:tc>
        <w:tc>
          <w:tcPr>
            <w:tcW w:w="2216" w:type="dxa"/>
            <w:vMerge/>
          </w:tcPr>
          <w:p w14:paraId="61D28A00" w14:textId="77777777" w:rsidR="00872C03" w:rsidRPr="00883399" w:rsidRDefault="00872C03" w:rsidP="0031057E">
            <w:pPr>
              <w:pStyle w:val="TableText"/>
              <w:rPr>
                <w:sz w:val="20"/>
                <w:szCs w:val="20"/>
              </w:rPr>
            </w:pPr>
          </w:p>
        </w:tc>
        <w:tc>
          <w:tcPr>
            <w:tcW w:w="1560" w:type="dxa"/>
          </w:tcPr>
          <w:p w14:paraId="65050773" w14:textId="77777777" w:rsidR="00872C03" w:rsidRPr="00883399" w:rsidRDefault="00872C03" w:rsidP="0031057E">
            <w:pPr>
              <w:pStyle w:val="TableText"/>
              <w:rPr>
                <w:sz w:val="20"/>
                <w:szCs w:val="20"/>
              </w:rPr>
            </w:pPr>
            <w:r w:rsidRPr="00883399">
              <w:rPr>
                <w:sz w:val="20"/>
                <w:szCs w:val="20"/>
              </w:rPr>
              <w:t>Moisture</w:t>
            </w:r>
          </w:p>
        </w:tc>
        <w:tc>
          <w:tcPr>
            <w:tcW w:w="2048" w:type="dxa"/>
          </w:tcPr>
          <w:p w14:paraId="0CFBC4BC" w14:textId="77777777" w:rsidR="00872C03" w:rsidRPr="00883399" w:rsidRDefault="00872C03" w:rsidP="0031057E">
            <w:pPr>
              <w:pStyle w:val="TableText"/>
              <w:rPr>
                <w:sz w:val="20"/>
                <w:szCs w:val="20"/>
              </w:rPr>
            </w:pPr>
            <w:r w:rsidRPr="00883399">
              <w:rPr>
                <w:sz w:val="20"/>
                <w:szCs w:val="20"/>
              </w:rPr>
              <w:t>CEN/TS 15414</w:t>
            </w:r>
            <w:r w:rsidRPr="00883399">
              <w:rPr>
                <w:sz w:val="20"/>
                <w:szCs w:val="20"/>
              </w:rPr>
              <w:noBreakHyphen/>
              <w:t>3:2006</w:t>
            </w:r>
          </w:p>
          <w:p w14:paraId="31B720BD" w14:textId="77777777" w:rsidR="00872C03" w:rsidRPr="00883399" w:rsidRDefault="00872C03" w:rsidP="0031057E">
            <w:pPr>
              <w:pStyle w:val="TableText"/>
              <w:rPr>
                <w:sz w:val="20"/>
                <w:szCs w:val="20"/>
              </w:rPr>
            </w:pPr>
            <w:r w:rsidRPr="00883399">
              <w:rPr>
                <w:sz w:val="20"/>
                <w:szCs w:val="20"/>
              </w:rPr>
              <w:t>CEN/TS 14774</w:t>
            </w:r>
            <w:r w:rsidRPr="00883399">
              <w:rPr>
                <w:sz w:val="20"/>
                <w:szCs w:val="20"/>
              </w:rPr>
              <w:noBreakHyphen/>
              <w:t>3:2004</w:t>
            </w:r>
          </w:p>
        </w:tc>
        <w:tc>
          <w:tcPr>
            <w:tcW w:w="1792" w:type="dxa"/>
          </w:tcPr>
          <w:p w14:paraId="596FAE3A"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7B804EB6" w14:textId="77777777" w:rsidTr="0031057E">
        <w:trPr>
          <w:cantSplit/>
        </w:trPr>
        <w:tc>
          <w:tcPr>
            <w:tcW w:w="664" w:type="dxa"/>
            <w:vMerge/>
          </w:tcPr>
          <w:p w14:paraId="24F7818C" w14:textId="77777777" w:rsidR="00872C03" w:rsidRPr="00883399" w:rsidRDefault="00872C03" w:rsidP="0031057E">
            <w:pPr>
              <w:pStyle w:val="TableText"/>
              <w:rPr>
                <w:sz w:val="20"/>
                <w:szCs w:val="20"/>
              </w:rPr>
            </w:pPr>
          </w:p>
        </w:tc>
        <w:tc>
          <w:tcPr>
            <w:tcW w:w="2216" w:type="dxa"/>
            <w:vMerge/>
          </w:tcPr>
          <w:p w14:paraId="4631A82F" w14:textId="77777777" w:rsidR="00872C03" w:rsidRPr="00883399" w:rsidRDefault="00872C03" w:rsidP="0031057E">
            <w:pPr>
              <w:pStyle w:val="TableText"/>
              <w:rPr>
                <w:sz w:val="20"/>
                <w:szCs w:val="20"/>
              </w:rPr>
            </w:pPr>
          </w:p>
        </w:tc>
        <w:tc>
          <w:tcPr>
            <w:tcW w:w="1560" w:type="dxa"/>
          </w:tcPr>
          <w:p w14:paraId="7A0DE21F" w14:textId="77777777" w:rsidR="00872C03" w:rsidRPr="00883399" w:rsidRDefault="00872C03" w:rsidP="0031057E">
            <w:pPr>
              <w:pStyle w:val="TableText"/>
              <w:rPr>
                <w:sz w:val="20"/>
                <w:szCs w:val="20"/>
              </w:rPr>
            </w:pPr>
            <w:r w:rsidRPr="00883399">
              <w:rPr>
                <w:sz w:val="20"/>
                <w:szCs w:val="20"/>
              </w:rPr>
              <w:t>Ash</w:t>
            </w:r>
          </w:p>
        </w:tc>
        <w:tc>
          <w:tcPr>
            <w:tcW w:w="2048" w:type="dxa"/>
          </w:tcPr>
          <w:p w14:paraId="01A8B14F" w14:textId="77777777" w:rsidR="00872C03" w:rsidRPr="00883399" w:rsidRDefault="00872C03" w:rsidP="0031057E">
            <w:pPr>
              <w:pStyle w:val="TableText"/>
              <w:rPr>
                <w:sz w:val="20"/>
                <w:szCs w:val="20"/>
              </w:rPr>
            </w:pPr>
            <w:r w:rsidRPr="00883399">
              <w:rPr>
                <w:sz w:val="20"/>
                <w:szCs w:val="20"/>
              </w:rPr>
              <w:t>CEN/TS 15403:2006</w:t>
            </w:r>
          </w:p>
        </w:tc>
        <w:tc>
          <w:tcPr>
            <w:tcW w:w="1792" w:type="dxa"/>
          </w:tcPr>
          <w:p w14:paraId="3FA6C27F"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3FFFF3BF" w14:textId="77777777" w:rsidTr="0031057E">
        <w:trPr>
          <w:cantSplit/>
        </w:trPr>
        <w:tc>
          <w:tcPr>
            <w:tcW w:w="664" w:type="dxa"/>
            <w:vMerge w:val="restart"/>
          </w:tcPr>
          <w:p w14:paraId="045899DA" w14:textId="77777777" w:rsidR="00872C03" w:rsidRPr="00883399" w:rsidRDefault="00872C03" w:rsidP="0031057E">
            <w:pPr>
              <w:pStyle w:val="TableText"/>
              <w:ind w:left="113"/>
              <w:rPr>
                <w:sz w:val="20"/>
                <w:szCs w:val="20"/>
              </w:rPr>
            </w:pPr>
            <w:r w:rsidRPr="00883399">
              <w:rPr>
                <w:sz w:val="20"/>
                <w:szCs w:val="20"/>
              </w:rPr>
              <w:t>12</w:t>
            </w:r>
          </w:p>
        </w:tc>
        <w:tc>
          <w:tcPr>
            <w:tcW w:w="2216" w:type="dxa"/>
            <w:vMerge w:val="restart"/>
          </w:tcPr>
          <w:p w14:paraId="5612EBE1" w14:textId="77777777" w:rsidR="00872C03" w:rsidRPr="00883399" w:rsidRDefault="00872C03" w:rsidP="0031057E">
            <w:pPr>
              <w:pStyle w:val="TableText"/>
              <w:rPr>
                <w:sz w:val="20"/>
                <w:szCs w:val="20"/>
              </w:rPr>
            </w:pPr>
            <w:r w:rsidRPr="00883399">
              <w:rPr>
                <w:sz w:val="20"/>
                <w:szCs w:val="20"/>
              </w:rPr>
              <w:t xml:space="preserve">Sulphite lyes </w:t>
            </w:r>
          </w:p>
        </w:tc>
        <w:tc>
          <w:tcPr>
            <w:tcW w:w="1560" w:type="dxa"/>
          </w:tcPr>
          <w:p w14:paraId="2EEFEC9C" w14:textId="77777777" w:rsidR="00872C03" w:rsidRPr="00883399" w:rsidRDefault="00872C03" w:rsidP="0031057E">
            <w:pPr>
              <w:pStyle w:val="TableText"/>
              <w:rPr>
                <w:sz w:val="20"/>
                <w:szCs w:val="20"/>
              </w:rPr>
            </w:pPr>
            <w:r w:rsidRPr="00883399">
              <w:rPr>
                <w:sz w:val="20"/>
                <w:szCs w:val="20"/>
              </w:rPr>
              <w:t>Energy content factor</w:t>
            </w:r>
          </w:p>
        </w:tc>
        <w:tc>
          <w:tcPr>
            <w:tcW w:w="2048" w:type="dxa"/>
          </w:tcPr>
          <w:p w14:paraId="4554D64B" w14:textId="77777777" w:rsidR="00872C03" w:rsidRPr="00883399" w:rsidRDefault="00872C03" w:rsidP="0031057E">
            <w:pPr>
              <w:pStyle w:val="TableText"/>
              <w:rPr>
                <w:sz w:val="20"/>
                <w:szCs w:val="20"/>
              </w:rPr>
            </w:pPr>
            <w:r w:rsidRPr="00883399">
              <w:rPr>
                <w:sz w:val="20"/>
                <w:szCs w:val="20"/>
              </w:rPr>
              <w:t>CEN/TS 15400:2006</w:t>
            </w:r>
          </w:p>
        </w:tc>
        <w:tc>
          <w:tcPr>
            <w:tcW w:w="1792" w:type="dxa"/>
          </w:tcPr>
          <w:p w14:paraId="62ADC8DF"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5CF957BE" w14:textId="77777777" w:rsidTr="0031057E">
        <w:trPr>
          <w:cantSplit/>
        </w:trPr>
        <w:tc>
          <w:tcPr>
            <w:tcW w:w="664" w:type="dxa"/>
            <w:vMerge/>
          </w:tcPr>
          <w:p w14:paraId="5936ACF8" w14:textId="77777777" w:rsidR="00872C03" w:rsidRPr="00883399" w:rsidRDefault="00872C03" w:rsidP="0031057E">
            <w:pPr>
              <w:pStyle w:val="TableText"/>
              <w:rPr>
                <w:sz w:val="20"/>
                <w:szCs w:val="20"/>
              </w:rPr>
            </w:pPr>
          </w:p>
        </w:tc>
        <w:tc>
          <w:tcPr>
            <w:tcW w:w="2216" w:type="dxa"/>
            <w:vMerge/>
          </w:tcPr>
          <w:p w14:paraId="219683FB" w14:textId="77777777" w:rsidR="00872C03" w:rsidRPr="00883399" w:rsidRDefault="00872C03" w:rsidP="0031057E">
            <w:pPr>
              <w:pStyle w:val="TableText"/>
              <w:rPr>
                <w:sz w:val="20"/>
                <w:szCs w:val="20"/>
              </w:rPr>
            </w:pPr>
          </w:p>
        </w:tc>
        <w:tc>
          <w:tcPr>
            <w:tcW w:w="1560" w:type="dxa"/>
          </w:tcPr>
          <w:p w14:paraId="2651FE84" w14:textId="77777777" w:rsidR="00872C03" w:rsidRPr="00883399" w:rsidRDefault="00872C03" w:rsidP="0031057E">
            <w:pPr>
              <w:pStyle w:val="TableText"/>
              <w:rPr>
                <w:sz w:val="20"/>
                <w:szCs w:val="20"/>
              </w:rPr>
            </w:pPr>
            <w:r w:rsidRPr="00883399">
              <w:rPr>
                <w:sz w:val="20"/>
                <w:szCs w:val="20"/>
              </w:rPr>
              <w:t>Carbon</w:t>
            </w:r>
          </w:p>
        </w:tc>
        <w:tc>
          <w:tcPr>
            <w:tcW w:w="2048" w:type="dxa"/>
          </w:tcPr>
          <w:p w14:paraId="329DC8A0" w14:textId="77777777" w:rsidR="00872C03" w:rsidRPr="00883399" w:rsidRDefault="00872C03" w:rsidP="0031057E">
            <w:pPr>
              <w:pStyle w:val="TableText"/>
              <w:rPr>
                <w:sz w:val="20"/>
                <w:szCs w:val="20"/>
              </w:rPr>
            </w:pPr>
            <w:r w:rsidRPr="00883399">
              <w:rPr>
                <w:sz w:val="20"/>
                <w:szCs w:val="20"/>
              </w:rPr>
              <w:t>CEN/TS 15407:2006</w:t>
            </w:r>
          </w:p>
        </w:tc>
        <w:tc>
          <w:tcPr>
            <w:tcW w:w="1792" w:type="dxa"/>
          </w:tcPr>
          <w:p w14:paraId="6A265E37"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62A5C506" w14:textId="77777777" w:rsidTr="0031057E">
        <w:trPr>
          <w:cantSplit/>
        </w:trPr>
        <w:tc>
          <w:tcPr>
            <w:tcW w:w="664" w:type="dxa"/>
            <w:vMerge/>
          </w:tcPr>
          <w:p w14:paraId="64A80636" w14:textId="77777777" w:rsidR="00872C03" w:rsidRPr="00883399" w:rsidRDefault="00872C03" w:rsidP="0031057E">
            <w:pPr>
              <w:pStyle w:val="TableText"/>
              <w:rPr>
                <w:sz w:val="20"/>
                <w:szCs w:val="20"/>
              </w:rPr>
            </w:pPr>
          </w:p>
        </w:tc>
        <w:tc>
          <w:tcPr>
            <w:tcW w:w="2216" w:type="dxa"/>
            <w:vMerge/>
          </w:tcPr>
          <w:p w14:paraId="1D033EEE" w14:textId="77777777" w:rsidR="00872C03" w:rsidRPr="00883399" w:rsidRDefault="00872C03" w:rsidP="0031057E">
            <w:pPr>
              <w:pStyle w:val="TableText"/>
              <w:rPr>
                <w:sz w:val="20"/>
                <w:szCs w:val="20"/>
              </w:rPr>
            </w:pPr>
          </w:p>
        </w:tc>
        <w:tc>
          <w:tcPr>
            <w:tcW w:w="1560" w:type="dxa"/>
          </w:tcPr>
          <w:p w14:paraId="2091E6DC" w14:textId="77777777" w:rsidR="00872C03" w:rsidRPr="00883399" w:rsidRDefault="00872C03" w:rsidP="0031057E">
            <w:pPr>
              <w:pStyle w:val="TableText"/>
              <w:rPr>
                <w:sz w:val="20"/>
                <w:szCs w:val="20"/>
              </w:rPr>
            </w:pPr>
            <w:r w:rsidRPr="00883399">
              <w:rPr>
                <w:sz w:val="20"/>
                <w:szCs w:val="20"/>
              </w:rPr>
              <w:t>Moisture</w:t>
            </w:r>
          </w:p>
        </w:tc>
        <w:tc>
          <w:tcPr>
            <w:tcW w:w="2048" w:type="dxa"/>
          </w:tcPr>
          <w:p w14:paraId="18525AD2" w14:textId="77777777" w:rsidR="00872C03" w:rsidRPr="00883399" w:rsidRDefault="00872C03" w:rsidP="0031057E">
            <w:pPr>
              <w:pStyle w:val="TableText"/>
              <w:rPr>
                <w:sz w:val="20"/>
                <w:szCs w:val="20"/>
              </w:rPr>
            </w:pPr>
            <w:r w:rsidRPr="00883399">
              <w:rPr>
                <w:sz w:val="20"/>
                <w:szCs w:val="20"/>
              </w:rPr>
              <w:t>CEN/TS 15414</w:t>
            </w:r>
            <w:r w:rsidRPr="00883399">
              <w:rPr>
                <w:sz w:val="20"/>
                <w:szCs w:val="20"/>
              </w:rPr>
              <w:noBreakHyphen/>
              <w:t>3:2006</w:t>
            </w:r>
          </w:p>
          <w:p w14:paraId="2A72D60D" w14:textId="77777777" w:rsidR="00872C03" w:rsidRPr="00883399" w:rsidRDefault="00872C03" w:rsidP="0031057E">
            <w:pPr>
              <w:pStyle w:val="TableText"/>
              <w:rPr>
                <w:sz w:val="20"/>
                <w:szCs w:val="20"/>
              </w:rPr>
            </w:pPr>
            <w:r w:rsidRPr="00883399">
              <w:rPr>
                <w:sz w:val="20"/>
                <w:szCs w:val="20"/>
              </w:rPr>
              <w:t>CEN/TS 14774</w:t>
            </w:r>
            <w:r w:rsidRPr="00883399">
              <w:rPr>
                <w:sz w:val="20"/>
                <w:szCs w:val="20"/>
              </w:rPr>
              <w:noBreakHyphen/>
              <w:t>3:2004</w:t>
            </w:r>
          </w:p>
        </w:tc>
        <w:tc>
          <w:tcPr>
            <w:tcW w:w="1792" w:type="dxa"/>
          </w:tcPr>
          <w:p w14:paraId="128A6733"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13292784" w14:textId="77777777" w:rsidTr="0031057E">
        <w:trPr>
          <w:cantSplit/>
        </w:trPr>
        <w:tc>
          <w:tcPr>
            <w:tcW w:w="664" w:type="dxa"/>
            <w:vMerge/>
          </w:tcPr>
          <w:p w14:paraId="0C846B8C" w14:textId="77777777" w:rsidR="00872C03" w:rsidRPr="00883399" w:rsidRDefault="00872C03" w:rsidP="0031057E">
            <w:pPr>
              <w:pStyle w:val="TableText"/>
              <w:rPr>
                <w:sz w:val="20"/>
                <w:szCs w:val="20"/>
              </w:rPr>
            </w:pPr>
          </w:p>
        </w:tc>
        <w:tc>
          <w:tcPr>
            <w:tcW w:w="2216" w:type="dxa"/>
            <w:vMerge/>
          </w:tcPr>
          <w:p w14:paraId="4F1E90B5" w14:textId="77777777" w:rsidR="00872C03" w:rsidRPr="00883399" w:rsidRDefault="00872C03" w:rsidP="0031057E">
            <w:pPr>
              <w:pStyle w:val="TableText"/>
              <w:rPr>
                <w:sz w:val="20"/>
                <w:szCs w:val="20"/>
              </w:rPr>
            </w:pPr>
          </w:p>
        </w:tc>
        <w:tc>
          <w:tcPr>
            <w:tcW w:w="1560" w:type="dxa"/>
          </w:tcPr>
          <w:p w14:paraId="62A24818" w14:textId="77777777" w:rsidR="00872C03" w:rsidRPr="00883399" w:rsidRDefault="00872C03" w:rsidP="0031057E">
            <w:pPr>
              <w:pStyle w:val="TableText"/>
              <w:rPr>
                <w:sz w:val="20"/>
                <w:szCs w:val="20"/>
              </w:rPr>
            </w:pPr>
            <w:r w:rsidRPr="00883399">
              <w:rPr>
                <w:sz w:val="20"/>
                <w:szCs w:val="20"/>
              </w:rPr>
              <w:t>Ash</w:t>
            </w:r>
          </w:p>
        </w:tc>
        <w:tc>
          <w:tcPr>
            <w:tcW w:w="2048" w:type="dxa"/>
          </w:tcPr>
          <w:p w14:paraId="06B4A07B" w14:textId="77777777" w:rsidR="00872C03" w:rsidRPr="00883399" w:rsidRDefault="00872C03" w:rsidP="0031057E">
            <w:pPr>
              <w:pStyle w:val="TableText"/>
              <w:rPr>
                <w:sz w:val="20"/>
                <w:szCs w:val="20"/>
              </w:rPr>
            </w:pPr>
            <w:r w:rsidRPr="00883399">
              <w:rPr>
                <w:sz w:val="20"/>
                <w:szCs w:val="20"/>
              </w:rPr>
              <w:t>CEN/TS 15403:2006</w:t>
            </w:r>
          </w:p>
        </w:tc>
        <w:tc>
          <w:tcPr>
            <w:tcW w:w="1792" w:type="dxa"/>
          </w:tcPr>
          <w:p w14:paraId="5A7D4767"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196A8A64" w14:textId="77777777" w:rsidTr="0031057E">
        <w:trPr>
          <w:cantSplit/>
        </w:trPr>
        <w:tc>
          <w:tcPr>
            <w:tcW w:w="664" w:type="dxa"/>
            <w:vMerge w:val="restart"/>
          </w:tcPr>
          <w:p w14:paraId="2CDDB86A" w14:textId="77777777" w:rsidR="00872C03" w:rsidRPr="00883399" w:rsidRDefault="00872C03" w:rsidP="0031057E">
            <w:pPr>
              <w:pStyle w:val="TableText"/>
              <w:ind w:left="113"/>
              <w:rPr>
                <w:sz w:val="20"/>
                <w:szCs w:val="20"/>
              </w:rPr>
            </w:pPr>
            <w:r w:rsidRPr="00883399">
              <w:rPr>
                <w:sz w:val="20"/>
                <w:szCs w:val="20"/>
              </w:rPr>
              <w:t>13</w:t>
            </w:r>
          </w:p>
        </w:tc>
        <w:tc>
          <w:tcPr>
            <w:tcW w:w="2216" w:type="dxa"/>
            <w:vMerge w:val="restart"/>
          </w:tcPr>
          <w:p w14:paraId="50F87C98" w14:textId="77777777" w:rsidR="00872C03" w:rsidRPr="00883399" w:rsidRDefault="00872C03" w:rsidP="0031057E">
            <w:pPr>
              <w:pStyle w:val="TableText"/>
              <w:rPr>
                <w:sz w:val="20"/>
                <w:szCs w:val="20"/>
              </w:rPr>
            </w:pPr>
            <w:r w:rsidRPr="00883399">
              <w:rPr>
                <w:sz w:val="20"/>
                <w:szCs w:val="20"/>
              </w:rPr>
              <w:t xml:space="preserve">Bagasse </w:t>
            </w:r>
          </w:p>
        </w:tc>
        <w:tc>
          <w:tcPr>
            <w:tcW w:w="1560" w:type="dxa"/>
          </w:tcPr>
          <w:p w14:paraId="67D0B500" w14:textId="77777777" w:rsidR="00872C03" w:rsidRPr="00883399" w:rsidRDefault="00872C03" w:rsidP="0031057E">
            <w:pPr>
              <w:pStyle w:val="TableText"/>
              <w:rPr>
                <w:sz w:val="20"/>
                <w:szCs w:val="20"/>
              </w:rPr>
            </w:pPr>
            <w:r w:rsidRPr="00883399">
              <w:rPr>
                <w:sz w:val="20"/>
                <w:szCs w:val="20"/>
              </w:rPr>
              <w:t>Energy content factor</w:t>
            </w:r>
          </w:p>
        </w:tc>
        <w:tc>
          <w:tcPr>
            <w:tcW w:w="2048" w:type="dxa"/>
          </w:tcPr>
          <w:p w14:paraId="4CBC9C69" w14:textId="77777777" w:rsidR="00872C03" w:rsidRPr="00883399" w:rsidRDefault="00872C03" w:rsidP="0031057E">
            <w:pPr>
              <w:pStyle w:val="TableText"/>
              <w:rPr>
                <w:sz w:val="20"/>
                <w:szCs w:val="20"/>
              </w:rPr>
            </w:pPr>
            <w:r w:rsidRPr="00883399">
              <w:rPr>
                <w:sz w:val="20"/>
                <w:szCs w:val="20"/>
              </w:rPr>
              <w:t>CEN/TS 15400:2006</w:t>
            </w:r>
          </w:p>
        </w:tc>
        <w:tc>
          <w:tcPr>
            <w:tcW w:w="1792" w:type="dxa"/>
          </w:tcPr>
          <w:p w14:paraId="7AC9590F"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4177ED35" w14:textId="77777777" w:rsidTr="0031057E">
        <w:trPr>
          <w:cantSplit/>
        </w:trPr>
        <w:tc>
          <w:tcPr>
            <w:tcW w:w="664" w:type="dxa"/>
            <w:vMerge/>
          </w:tcPr>
          <w:p w14:paraId="274BCE36" w14:textId="77777777" w:rsidR="00872C03" w:rsidRPr="00883399" w:rsidRDefault="00872C03" w:rsidP="0031057E">
            <w:pPr>
              <w:pStyle w:val="TableText"/>
              <w:rPr>
                <w:sz w:val="20"/>
                <w:szCs w:val="20"/>
              </w:rPr>
            </w:pPr>
          </w:p>
        </w:tc>
        <w:tc>
          <w:tcPr>
            <w:tcW w:w="2216" w:type="dxa"/>
            <w:vMerge/>
          </w:tcPr>
          <w:p w14:paraId="2232A3B8" w14:textId="77777777" w:rsidR="00872C03" w:rsidRPr="00883399" w:rsidRDefault="00872C03" w:rsidP="0031057E">
            <w:pPr>
              <w:pStyle w:val="TableText"/>
              <w:rPr>
                <w:sz w:val="20"/>
                <w:szCs w:val="20"/>
              </w:rPr>
            </w:pPr>
          </w:p>
        </w:tc>
        <w:tc>
          <w:tcPr>
            <w:tcW w:w="1560" w:type="dxa"/>
          </w:tcPr>
          <w:p w14:paraId="0BBF82DE" w14:textId="77777777" w:rsidR="00872C03" w:rsidRPr="00883399" w:rsidRDefault="00872C03" w:rsidP="0031057E">
            <w:pPr>
              <w:pStyle w:val="TableText"/>
              <w:rPr>
                <w:sz w:val="20"/>
                <w:szCs w:val="20"/>
              </w:rPr>
            </w:pPr>
            <w:r w:rsidRPr="00883399">
              <w:rPr>
                <w:sz w:val="20"/>
                <w:szCs w:val="20"/>
              </w:rPr>
              <w:t>Carbon</w:t>
            </w:r>
          </w:p>
        </w:tc>
        <w:tc>
          <w:tcPr>
            <w:tcW w:w="2048" w:type="dxa"/>
          </w:tcPr>
          <w:p w14:paraId="4D0C3AE4" w14:textId="77777777" w:rsidR="00872C03" w:rsidRPr="00883399" w:rsidRDefault="00872C03" w:rsidP="0031057E">
            <w:pPr>
              <w:pStyle w:val="TableText"/>
              <w:rPr>
                <w:sz w:val="20"/>
                <w:szCs w:val="20"/>
              </w:rPr>
            </w:pPr>
            <w:r w:rsidRPr="00883399">
              <w:rPr>
                <w:sz w:val="20"/>
                <w:szCs w:val="20"/>
              </w:rPr>
              <w:t>CEN/TS 15407:2006</w:t>
            </w:r>
          </w:p>
        </w:tc>
        <w:tc>
          <w:tcPr>
            <w:tcW w:w="1792" w:type="dxa"/>
          </w:tcPr>
          <w:p w14:paraId="693C182A"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2A3715DB" w14:textId="77777777" w:rsidTr="0031057E">
        <w:trPr>
          <w:cantSplit/>
        </w:trPr>
        <w:tc>
          <w:tcPr>
            <w:tcW w:w="664" w:type="dxa"/>
            <w:vMerge/>
          </w:tcPr>
          <w:p w14:paraId="30D3DDF3" w14:textId="77777777" w:rsidR="00872C03" w:rsidRPr="00883399" w:rsidRDefault="00872C03" w:rsidP="0031057E">
            <w:pPr>
              <w:pStyle w:val="TableText"/>
              <w:rPr>
                <w:sz w:val="20"/>
                <w:szCs w:val="20"/>
              </w:rPr>
            </w:pPr>
          </w:p>
        </w:tc>
        <w:tc>
          <w:tcPr>
            <w:tcW w:w="2216" w:type="dxa"/>
            <w:vMerge/>
          </w:tcPr>
          <w:p w14:paraId="4AF688FF" w14:textId="77777777" w:rsidR="00872C03" w:rsidRPr="00883399" w:rsidRDefault="00872C03" w:rsidP="0031057E">
            <w:pPr>
              <w:pStyle w:val="TableText"/>
              <w:rPr>
                <w:sz w:val="20"/>
                <w:szCs w:val="20"/>
              </w:rPr>
            </w:pPr>
          </w:p>
        </w:tc>
        <w:tc>
          <w:tcPr>
            <w:tcW w:w="1560" w:type="dxa"/>
          </w:tcPr>
          <w:p w14:paraId="6EF270AE" w14:textId="77777777" w:rsidR="00872C03" w:rsidRPr="00883399" w:rsidRDefault="00872C03" w:rsidP="0031057E">
            <w:pPr>
              <w:pStyle w:val="TableText"/>
              <w:rPr>
                <w:sz w:val="20"/>
                <w:szCs w:val="20"/>
              </w:rPr>
            </w:pPr>
            <w:r w:rsidRPr="00883399">
              <w:rPr>
                <w:sz w:val="20"/>
                <w:szCs w:val="20"/>
              </w:rPr>
              <w:t>Moisture</w:t>
            </w:r>
          </w:p>
        </w:tc>
        <w:tc>
          <w:tcPr>
            <w:tcW w:w="2048" w:type="dxa"/>
          </w:tcPr>
          <w:p w14:paraId="65D9BF71" w14:textId="77777777" w:rsidR="00872C03" w:rsidRPr="00883399" w:rsidRDefault="00872C03" w:rsidP="0031057E">
            <w:pPr>
              <w:pStyle w:val="TableText"/>
              <w:rPr>
                <w:sz w:val="20"/>
                <w:szCs w:val="20"/>
              </w:rPr>
            </w:pPr>
            <w:r w:rsidRPr="00883399">
              <w:rPr>
                <w:sz w:val="20"/>
                <w:szCs w:val="20"/>
              </w:rPr>
              <w:t>CEN/TS 15414</w:t>
            </w:r>
            <w:r w:rsidRPr="00883399">
              <w:rPr>
                <w:sz w:val="20"/>
                <w:szCs w:val="20"/>
              </w:rPr>
              <w:noBreakHyphen/>
              <w:t>3:2006</w:t>
            </w:r>
          </w:p>
          <w:p w14:paraId="6D92322E" w14:textId="77777777" w:rsidR="00872C03" w:rsidRPr="00883399" w:rsidRDefault="00872C03" w:rsidP="0031057E">
            <w:pPr>
              <w:pStyle w:val="TableText"/>
              <w:rPr>
                <w:sz w:val="20"/>
                <w:szCs w:val="20"/>
              </w:rPr>
            </w:pPr>
            <w:r w:rsidRPr="00883399">
              <w:rPr>
                <w:sz w:val="20"/>
                <w:szCs w:val="20"/>
              </w:rPr>
              <w:t>CEN/TS 14774</w:t>
            </w:r>
            <w:r w:rsidRPr="00883399">
              <w:rPr>
                <w:sz w:val="20"/>
                <w:szCs w:val="20"/>
              </w:rPr>
              <w:noBreakHyphen/>
              <w:t>3:2004</w:t>
            </w:r>
          </w:p>
        </w:tc>
        <w:tc>
          <w:tcPr>
            <w:tcW w:w="1792" w:type="dxa"/>
          </w:tcPr>
          <w:p w14:paraId="1C9C10A4"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7EE9A623" w14:textId="77777777" w:rsidTr="0031057E">
        <w:trPr>
          <w:cantSplit/>
        </w:trPr>
        <w:tc>
          <w:tcPr>
            <w:tcW w:w="664" w:type="dxa"/>
            <w:vMerge/>
          </w:tcPr>
          <w:p w14:paraId="1E4E47D4" w14:textId="77777777" w:rsidR="00872C03" w:rsidRPr="00883399" w:rsidRDefault="00872C03" w:rsidP="0031057E">
            <w:pPr>
              <w:pStyle w:val="TableText"/>
              <w:rPr>
                <w:sz w:val="20"/>
                <w:szCs w:val="20"/>
              </w:rPr>
            </w:pPr>
          </w:p>
        </w:tc>
        <w:tc>
          <w:tcPr>
            <w:tcW w:w="2216" w:type="dxa"/>
            <w:vMerge/>
          </w:tcPr>
          <w:p w14:paraId="3C265E9E" w14:textId="77777777" w:rsidR="00872C03" w:rsidRPr="00883399" w:rsidRDefault="00872C03" w:rsidP="0031057E">
            <w:pPr>
              <w:pStyle w:val="TableText"/>
              <w:rPr>
                <w:sz w:val="20"/>
                <w:szCs w:val="20"/>
              </w:rPr>
            </w:pPr>
          </w:p>
        </w:tc>
        <w:tc>
          <w:tcPr>
            <w:tcW w:w="1560" w:type="dxa"/>
          </w:tcPr>
          <w:p w14:paraId="27089BA2" w14:textId="77777777" w:rsidR="00872C03" w:rsidRPr="00883399" w:rsidRDefault="00872C03" w:rsidP="0031057E">
            <w:pPr>
              <w:pStyle w:val="TableText"/>
              <w:rPr>
                <w:sz w:val="20"/>
                <w:szCs w:val="20"/>
              </w:rPr>
            </w:pPr>
            <w:r w:rsidRPr="00883399">
              <w:rPr>
                <w:sz w:val="20"/>
                <w:szCs w:val="20"/>
              </w:rPr>
              <w:t>Ash</w:t>
            </w:r>
          </w:p>
        </w:tc>
        <w:tc>
          <w:tcPr>
            <w:tcW w:w="2048" w:type="dxa"/>
          </w:tcPr>
          <w:p w14:paraId="10474D3A" w14:textId="77777777" w:rsidR="00872C03" w:rsidRPr="00883399" w:rsidRDefault="00872C03" w:rsidP="0031057E">
            <w:pPr>
              <w:pStyle w:val="TableText"/>
              <w:rPr>
                <w:sz w:val="20"/>
                <w:szCs w:val="20"/>
              </w:rPr>
            </w:pPr>
            <w:r w:rsidRPr="00883399">
              <w:rPr>
                <w:sz w:val="20"/>
                <w:szCs w:val="20"/>
              </w:rPr>
              <w:t>CEN/TS 15403:2006</w:t>
            </w:r>
          </w:p>
        </w:tc>
        <w:tc>
          <w:tcPr>
            <w:tcW w:w="1792" w:type="dxa"/>
          </w:tcPr>
          <w:p w14:paraId="1A6A6677"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6DD16FBD" w14:textId="77777777" w:rsidTr="0031057E">
        <w:trPr>
          <w:cantSplit/>
        </w:trPr>
        <w:tc>
          <w:tcPr>
            <w:tcW w:w="664" w:type="dxa"/>
            <w:vMerge w:val="restart"/>
          </w:tcPr>
          <w:p w14:paraId="649794C8" w14:textId="77777777" w:rsidR="00872C03" w:rsidRPr="00883399" w:rsidRDefault="00872C03" w:rsidP="0031057E">
            <w:pPr>
              <w:pStyle w:val="TableText"/>
              <w:keepNext/>
              <w:ind w:left="113"/>
              <w:rPr>
                <w:sz w:val="20"/>
                <w:szCs w:val="20"/>
              </w:rPr>
            </w:pPr>
            <w:r w:rsidRPr="00883399">
              <w:rPr>
                <w:sz w:val="20"/>
                <w:szCs w:val="20"/>
              </w:rPr>
              <w:lastRenderedPageBreak/>
              <w:t>14</w:t>
            </w:r>
          </w:p>
        </w:tc>
        <w:tc>
          <w:tcPr>
            <w:tcW w:w="2216" w:type="dxa"/>
            <w:vMerge w:val="restart"/>
          </w:tcPr>
          <w:p w14:paraId="2633B777" w14:textId="77777777" w:rsidR="00872C03" w:rsidRPr="00883399" w:rsidRDefault="00872C03" w:rsidP="0031057E">
            <w:pPr>
              <w:pStyle w:val="TableText"/>
              <w:keepNext/>
              <w:rPr>
                <w:sz w:val="20"/>
                <w:szCs w:val="20"/>
              </w:rPr>
            </w:pPr>
            <w:r w:rsidRPr="00883399">
              <w:rPr>
                <w:sz w:val="20"/>
                <w:szCs w:val="20"/>
              </w:rPr>
              <w:t>Biomass municipal and industrial materials, if recycled and combusted to produce heat or electricity</w:t>
            </w:r>
          </w:p>
        </w:tc>
        <w:tc>
          <w:tcPr>
            <w:tcW w:w="1560" w:type="dxa"/>
          </w:tcPr>
          <w:p w14:paraId="29121EE8" w14:textId="77777777" w:rsidR="00872C03" w:rsidRPr="00883399" w:rsidRDefault="00872C03" w:rsidP="0031057E">
            <w:pPr>
              <w:pStyle w:val="TableText"/>
              <w:keepNext/>
              <w:rPr>
                <w:sz w:val="20"/>
                <w:szCs w:val="20"/>
              </w:rPr>
            </w:pPr>
            <w:r w:rsidRPr="00883399">
              <w:rPr>
                <w:sz w:val="20"/>
                <w:szCs w:val="20"/>
              </w:rPr>
              <w:t>Energy content factor</w:t>
            </w:r>
          </w:p>
        </w:tc>
        <w:tc>
          <w:tcPr>
            <w:tcW w:w="2048" w:type="dxa"/>
          </w:tcPr>
          <w:p w14:paraId="3738797B" w14:textId="77777777" w:rsidR="00872C03" w:rsidRPr="00883399" w:rsidRDefault="00872C03" w:rsidP="0031057E">
            <w:pPr>
              <w:pStyle w:val="TableText"/>
              <w:keepNext/>
              <w:rPr>
                <w:sz w:val="20"/>
                <w:szCs w:val="20"/>
              </w:rPr>
            </w:pPr>
            <w:r w:rsidRPr="00883399">
              <w:rPr>
                <w:sz w:val="20"/>
                <w:szCs w:val="20"/>
              </w:rPr>
              <w:t>CEN/TS 15400:2006</w:t>
            </w:r>
          </w:p>
        </w:tc>
        <w:tc>
          <w:tcPr>
            <w:tcW w:w="1792" w:type="dxa"/>
          </w:tcPr>
          <w:p w14:paraId="0C993D4D" w14:textId="77777777" w:rsidR="00872C03" w:rsidRPr="00883399" w:rsidRDefault="00872C03" w:rsidP="0031057E">
            <w:pPr>
              <w:pStyle w:val="TableText"/>
              <w:keepNext/>
              <w:rPr>
                <w:sz w:val="20"/>
                <w:szCs w:val="20"/>
              </w:rPr>
            </w:pPr>
            <w:r w:rsidRPr="00883399">
              <w:rPr>
                <w:sz w:val="20"/>
                <w:szCs w:val="20"/>
              </w:rPr>
              <w:t>Monthly sample composite</w:t>
            </w:r>
          </w:p>
        </w:tc>
      </w:tr>
      <w:tr w:rsidR="00872C03" w:rsidRPr="00883399" w14:paraId="119146E9" w14:textId="77777777" w:rsidTr="0031057E">
        <w:trPr>
          <w:cantSplit/>
        </w:trPr>
        <w:tc>
          <w:tcPr>
            <w:tcW w:w="664" w:type="dxa"/>
            <w:vMerge/>
          </w:tcPr>
          <w:p w14:paraId="16B88B6A" w14:textId="77777777" w:rsidR="00872C03" w:rsidRPr="00883399" w:rsidRDefault="00872C03" w:rsidP="0031057E">
            <w:pPr>
              <w:pStyle w:val="TableText"/>
              <w:rPr>
                <w:sz w:val="20"/>
                <w:szCs w:val="20"/>
              </w:rPr>
            </w:pPr>
          </w:p>
        </w:tc>
        <w:tc>
          <w:tcPr>
            <w:tcW w:w="2216" w:type="dxa"/>
            <w:vMerge/>
          </w:tcPr>
          <w:p w14:paraId="40C92EC2" w14:textId="77777777" w:rsidR="00872C03" w:rsidRPr="00883399" w:rsidRDefault="00872C03" w:rsidP="0031057E">
            <w:pPr>
              <w:pStyle w:val="TableText"/>
              <w:rPr>
                <w:sz w:val="20"/>
                <w:szCs w:val="20"/>
              </w:rPr>
            </w:pPr>
          </w:p>
        </w:tc>
        <w:tc>
          <w:tcPr>
            <w:tcW w:w="1560" w:type="dxa"/>
          </w:tcPr>
          <w:p w14:paraId="0113ACBC" w14:textId="77777777" w:rsidR="00872C03" w:rsidRPr="00883399" w:rsidRDefault="00872C03" w:rsidP="0031057E">
            <w:pPr>
              <w:pStyle w:val="TableText"/>
              <w:rPr>
                <w:sz w:val="20"/>
                <w:szCs w:val="20"/>
              </w:rPr>
            </w:pPr>
            <w:r w:rsidRPr="00883399">
              <w:rPr>
                <w:sz w:val="20"/>
                <w:szCs w:val="20"/>
              </w:rPr>
              <w:t>Carbon</w:t>
            </w:r>
          </w:p>
        </w:tc>
        <w:tc>
          <w:tcPr>
            <w:tcW w:w="2048" w:type="dxa"/>
          </w:tcPr>
          <w:p w14:paraId="6AD65D1E" w14:textId="77777777" w:rsidR="00872C03" w:rsidRPr="00883399" w:rsidRDefault="00872C03" w:rsidP="0031057E">
            <w:pPr>
              <w:pStyle w:val="TableText"/>
              <w:rPr>
                <w:sz w:val="20"/>
                <w:szCs w:val="20"/>
              </w:rPr>
            </w:pPr>
            <w:r w:rsidRPr="00883399">
              <w:rPr>
                <w:sz w:val="20"/>
                <w:szCs w:val="20"/>
              </w:rPr>
              <w:t>CEN/TS 15407:2006</w:t>
            </w:r>
          </w:p>
        </w:tc>
        <w:tc>
          <w:tcPr>
            <w:tcW w:w="1792" w:type="dxa"/>
          </w:tcPr>
          <w:p w14:paraId="3CBF4A46"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1F262BF8" w14:textId="77777777" w:rsidTr="0031057E">
        <w:trPr>
          <w:cantSplit/>
        </w:trPr>
        <w:tc>
          <w:tcPr>
            <w:tcW w:w="664" w:type="dxa"/>
            <w:vMerge/>
          </w:tcPr>
          <w:p w14:paraId="0D5A0634" w14:textId="77777777" w:rsidR="00872C03" w:rsidRPr="00883399" w:rsidRDefault="00872C03" w:rsidP="0031057E">
            <w:pPr>
              <w:pStyle w:val="TableText"/>
              <w:rPr>
                <w:sz w:val="20"/>
                <w:szCs w:val="20"/>
              </w:rPr>
            </w:pPr>
          </w:p>
        </w:tc>
        <w:tc>
          <w:tcPr>
            <w:tcW w:w="2216" w:type="dxa"/>
            <w:vMerge/>
          </w:tcPr>
          <w:p w14:paraId="51ACBD26" w14:textId="77777777" w:rsidR="00872C03" w:rsidRPr="00883399" w:rsidRDefault="00872C03" w:rsidP="0031057E">
            <w:pPr>
              <w:pStyle w:val="TableText"/>
              <w:rPr>
                <w:sz w:val="20"/>
                <w:szCs w:val="20"/>
              </w:rPr>
            </w:pPr>
          </w:p>
        </w:tc>
        <w:tc>
          <w:tcPr>
            <w:tcW w:w="1560" w:type="dxa"/>
          </w:tcPr>
          <w:p w14:paraId="6AE146D9" w14:textId="77777777" w:rsidR="00872C03" w:rsidRPr="00883399" w:rsidRDefault="00872C03" w:rsidP="0031057E">
            <w:pPr>
              <w:pStyle w:val="TableText"/>
              <w:rPr>
                <w:sz w:val="20"/>
                <w:szCs w:val="20"/>
              </w:rPr>
            </w:pPr>
            <w:r w:rsidRPr="00883399">
              <w:rPr>
                <w:sz w:val="20"/>
                <w:szCs w:val="20"/>
              </w:rPr>
              <w:t>Moisture</w:t>
            </w:r>
          </w:p>
        </w:tc>
        <w:tc>
          <w:tcPr>
            <w:tcW w:w="2048" w:type="dxa"/>
          </w:tcPr>
          <w:p w14:paraId="5F67F02F" w14:textId="77777777" w:rsidR="00872C03" w:rsidRPr="00883399" w:rsidRDefault="00872C03" w:rsidP="0031057E">
            <w:pPr>
              <w:pStyle w:val="TableText"/>
              <w:rPr>
                <w:sz w:val="20"/>
                <w:szCs w:val="20"/>
              </w:rPr>
            </w:pPr>
            <w:r w:rsidRPr="00883399">
              <w:rPr>
                <w:sz w:val="20"/>
                <w:szCs w:val="20"/>
              </w:rPr>
              <w:t>CEN/TS 15414</w:t>
            </w:r>
            <w:r w:rsidRPr="00883399">
              <w:rPr>
                <w:sz w:val="20"/>
                <w:szCs w:val="20"/>
              </w:rPr>
              <w:noBreakHyphen/>
              <w:t>3:2006</w:t>
            </w:r>
          </w:p>
        </w:tc>
        <w:tc>
          <w:tcPr>
            <w:tcW w:w="1792" w:type="dxa"/>
          </w:tcPr>
          <w:p w14:paraId="317636EF"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65E0C5B0" w14:textId="77777777" w:rsidTr="0031057E">
        <w:trPr>
          <w:cantSplit/>
        </w:trPr>
        <w:tc>
          <w:tcPr>
            <w:tcW w:w="664" w:type="dxa"/>
            <w:vMerge/>
          </w:tcPr>
          <w:p w14:paraId="167184F7" w14:textId="77777777" w:rsidR="00872C03" w:rsidRPr="00883399" w:rsidRDefault="00872C03" w:rsidP="0031057E">
            <w:pPr>
              <w:pStyle w:val="TableText"/>
              <w:rPr>
                <w:sz w:val="20"/>
                <w:szCs w:val="20"/>
              </w:rPr>
            </w:pPr>
          </w:p>
        </w:tc>
        <w:tc>
          <w:tcPr>
            <w:tcW w:w="2216" w:type="dxa"/>
            <w:vMerge/>
          </w:tcPr>
          <w:p w14:paraId="1C06B03B" w14:textId="77777777" w:rsidR="00872C03" w:rsidRPr="00883399" w:rsidRDefault="00872C03" w:rsidP="0031057E">
            <w:pPr>
              <w:pStyle w:val="TableText"/>
              <w:rPr>
                <w:sz w:val="20"/>
                <w:szCs w:val="20"/>
              </w:rPr>
            </w:pPr>
          </w:p>
        </w:tc>
        <w:tc>
          <w:tcPr>
            <w:tcW w:w="1560" w:type="dxa"/>
          </w:tcPr>
          <w:p w14:paraId="47A37943" w14:textId="77777777" w:rsidR="00872C03" w:rsidRPr="00883399" w:rsidRDefault="00872C03" w:rsidP="0031057E">
            <w:pPr>
              <w:pStyle w:val="TableText"/>
              <w:rPr>
                <w:sz w:val="20"/>
                <w:szCs w:val="20"/>
              </w:rPr>
            </w:pPr>
            <w:r w:rsidRPr="00883399">
              <w:rPr>
                <w:sz w:val="20"/>
                <w:szCs w:val="20"/>
              </w:rPr>
              <w:t>Ash</w:t>
            </w:r>
          </w:p>
        </w:tc>
        <w:tc>
          <w:tcPr>
            <w:tcW w:w="2048" w:type="dxa"/>
          </w:tcPr>
          <w:p w14:paraId="656FD129" w14:textId="77777777" w:rsidR="00872C03" w:rsidRPr="00883399" w:rsidRDefault="00872C03" w:rsidP="0031057E">
            <w:pPr>
              <w:pStyle w:val="TableText"/>
              <w:rPr>
                <w:sz w:val="20"/>
                <w:szCs w:val="20"/>
              </w:rPr>
            </w:pPr>
            <w:r w:rsidRPr="00883399">
              <w:rPr>
                <w:sz w:val="20"/>
                <w:szCs w:val="20"/>
              </w:rPr>
              <w:t>CEN/TS 15403:2006</w:t>
            </w:r>
          </w:p>
        </w:tc>
        <w:tc>
          <w:tcPr>
            <w:tcW w:w="1792" w:type="dxa"/>
          </w:tcPr>
          <w:p w14:paraId="0DB7F939"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7CD0DDCD" w14:textId="77777777" w:rsidTr="0031057E">
        <w:trPr>
          <w:cantSplit/>
        </w:trPr>
        <w:tc>
          <w:tcPr>
            <w:tcW w:w="664" w:type="dxa"/>
            <w:vMerge w:val="restart"/>
          </w:tcPr>
          <w:p w14:paraId="7B0CE3CD" w14:textId="77777777" w:rsidR="00872C03" w:rsidRPr="00883399" w:rsidRDefault="00872C03" w:rsidP="0031057E">
            <w:pPr>
              <w:pStyle w:val="TableText"/>
              <w:keepNext/>
              <w:ind w:left="113"/>
              <w:rPr>
                <w:sz w:val="20"/>
                <w:szCs w:val="20"/>
              </w:rPr>
            </w:pPr>
            <w:r w:rsidRPr="00883399">
              <w:rPr>
                <w:sz w:val="20"/>
                <w:szCs w:val="20"/>
              </w:rPr>
              <w:t>15</w:t>
            </w:r>
          </w:p>
        </w:tc>
        <w:tc>
          <w:tcPr>
            <w:tcW w:w="2216" w:type="dxa"/>
            <w:vMerge w:val="restart"/>
          </w:tcPr>
          <w:p w14:paraId="388C1AC5" w14:textId="77777777" w:rsidR="00872C03" w:rsidRPr="00883399" w:rsidRDefault="00872C03" w:rsidP="0031057E">
            <w:pPr>
              <w:pStyle w:val="TableText"/>
              <w:keepNext/>
              <w:rPr>
                <w:sz w:val="20"/>
                <w:szCs w:val="20"/>
              </w:rPr>
            </w:pPr>
            <w:r w:rsidRPr="00883399">
              <w:rPr>
                <w:sz w:val="20"/>
                <w:szCs w:val="20"/>
              </w:rPr>
              <w:t>Charcoal</w:t>
            </w:r>
          </w:p>
        </w:tc>
        <w:tc>
          <w:tcPr>
            <w:tcW w:w="1560" w:type="dxa"/>
          </w:tcPr>
          <w:p w14:paraId="71EBD599" w14:textId="77777777" w:rsidR="00872C03" w:rsidRPr="00883399" w:rsidRDefault="00872C03" w:rsidP="0031057E">
            <w:pPr>
              <w:pStyle w:val="TableText"/>
              <w:keepNext/>
              <w:rPr>
                <w:sz w:val="20"/>
                <w:szCs w:val="20"/>
              </w:rPr>
            </w:pPr>
            <w:r w:rsidRPr="00883399">
              <w:rPr>
                <w:sz w:val="20"/>
                <w:szCs w:val="20"/>
              </w:rPr>
              <w:t>Energy content factor</w:t>
            </w:r>
          </w:p>
        </w:tc>
        <w:tc>
          <w:tcPr>
            <w:tcW w:w="2048" w:type="dxa"/>
          </w:tcPr>
          <w:p w14:paraId="7F6E4D35" w14:textId="77777777" w:rsidR="00872C03" w:rsidRPr="00883399" w:rsidRDefault="00872C03" w:rsidP="0031057E">
            <w:pPr>
              <w:pStyle w:val="TableText"/>
              <w:keepNext/>
              <w:rPr>
                <w:sz w:val="20"/>
                <w:szCs w:val="20"/>
              </w:rPr>
            </w:pPr>
            <w:r w:rsidRPr="00883399">
              <w:rPr>
                <w:sz w:val="20"/>
                <w:szCs w:val="20"/>
              </w:rPr>
              <w:t>CEN/TS 15400:2006</w:t>
            </w:r>
          </w:p>
        </w:tc>
        <w:tc>
          <w:tcPr>
            <w:tcW w:w="1792" w:type="dxa"/>
          </w:tcPr>
          <w:p w14:paraId="4594E98F" w14:textId="77777777" w:rsidR="00872C03" w:rsidRPr="00883399" w:rsidRDefault="00872C03" w:rsidP="0031057E">
            <w:pPr>
              <w:pStyle w:val="TableText"/>
              <w:keepNext/>
              <w:rPr>
                <w:sz w:val="20"/>
                <w:szCs w:val="20"/>
              </w:rPr>
            </w:pPr>
            <w:r w:rsidRPr="00883399">
              <w:rPr>
                <w:sz w:val="20"/>
                <w:szCs w:val="20"/>
              </w:rPr>
              <w:t>Monthly sample composite</w:t>
            </w:r>
          </w:p>
        </w:tc>
      </w:tr>
      <w:tr w:rsidR="00872C03" w:rsidRPr="00883399" w14:paraId="01E82807" w14:textId="77777777" w:rsidTr="0031057E">
        <w:trPr>
          <w:cantSplit/>
        </w:trPr>
        <w:tc>
          <w:tcPr>
            <w:tcW w:w="664" w:type="dxa"/>
            <w:vMerge/>
          </w:tcPr>
          <w:p w14:paraId="73D9ECEB" w14:textId="77777777" w:rsidR="00872C03" w:rsidRPr="00883399" w:rsidRDefault="00872C03" w:rsidP="0031057E">
            <w:pPr>
              <w:pStyle w:val="TableText"/>
              <w:rPr>
                <w:sz w:val="20"/>
                <w:szCs w:val="20"/>
              </w:rPr>
            </w:pPr>
          </w:p>
        </w:tc>
        <w:tc>
          <w:tcPr>
            <w:tcW w:w="2216" w:type="dxa"/>
            <w:vMerge/>
          </w:tcPr>
          <w:p w14:paraId="0A62DF7F" w14:textId="77777777" w:rsidR="00872C03" w:rsidRPr="00883399" w:rsidRDefault="00872C03" w:rsidP="0031057E">
            <w:pPr>
              <w:pStyle w:val="TableText"/>
              <w:rPr>
                <w:sz w:val="20"/>
                <w:szCs w:val="20"/>
              </w:rPr>
            </w:pPr>
          </w:p>
        </w:tc>
        <w:tc>
          <w:tcPr>
            <w:tcW w:w="1560" w:type="dxa"/>
          </w:tcPr>
          <w:p w14:paraId="0E24C2D0" w14:textId="77777777" w:rsidR="00872C03" w:rsidRPr="00883399" w:rsidRDefault="00872C03" w:rsidP="0031057E">
            <w:pPr>
              <w:pStyle w:val="TableText"/>
              <w:rPr>
                <w:sz w:val="20"/>
                <w:szCs w:val="20"/>
              </w:rPr>
            </w:pPr>
            <w:r w:rsidRPr="00883399">
              <w:rPr>
                <w:sz w:val="20"/>
                <w:szCs w:val="20"/>
              </w:rPr>
              <w:t>Carbon</w:t>
            </w:r>
          </w:p>
        </w:tc>
        <w:tc>
          <w:tcPr>
            <w:tcW w:w="2048" w:type="dxa"/>
          </w:tcPr>
          <w:p w14:paraId="33525777" w14:textId="77777777" w:rsidR="00872C03" w:rsidRPr="00883399" w:rsidRDefault="00872C03" w:rsidP="0031057E">
            <w:pPr>
              <w:pStyle w:val="TableText"/>
              <w:rPr>
                <w:sz w:val="20"/>
                <w:szCs w:val="20"/>
              </w:rPr>
            </w:pPr>
            <w:r w:rsidRPr="00883399">
              <w:rPr>
                <w:sz w:val="20"/>
                <w:szCs w:val="20"/>
              </w:rPr>
              <w:t>CEN/TS 15407:2006</w:t>
            </w:r>
          </w:p>
        </w:tc>
        <w:tc>
          <w:tcPr>
            <w:tcW w:w="1792" w:type="dxa"/>
          </w:tcPr>
          <w:p w14:paraId="78F24904"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4F576814" w14:textId="77777777" w:rsidTr="0031057E">
        <w:trPr>
          <w:cantSplit/>
        </w:trPr>
        <w:tc>
          <w:tcPr>
            <w:tcW w:w="664" w:type="dxa"/>
            <w:vMerge/>
          </w:tcPr>
          <w:p w14:paraId="4254348A" w14:textId="77777777" w:rsidR="00872C03" w:rsidRPr="00883399" w:rsidRDefault="00872C03" w:rsidP="0031057E">
            <w:pPr>
              <w:pStyle w:val="TableText"/>
              <w:rPr>
                <w:sz w:val="20"/>
                <w:szCs w:val="20"/>
              </w:rPr>
            </w:pPr>
          </w:p>
        </w:tc>
        <w:tc>
          <w:tcPr>
            <w:tcW w:w="2216" w:type="dxa"/>
            <w:vMerge/>
          </w:tcPr>
          <w:p w14:paraId="33705B1E" w14:textId="77777777" w:rsidR="00872C03" w:rsidRPr="00883399" w:rsidRDefault="00872C03" w:rsidP="0031057E">
            <w:pPr>
              <w:pStyle w:val="TableText"/>
              <w:rPr>
                <w:sz w:val="20"/>
                <w:szCs w:val="20"/>
              </w:rPr>
            </w:pPr>
          </w:p>
        </w:tc>
        <w:tc>
          <w:tcPr>
            <w:tcW w:w="1560" w:type="dxa"/>
          </w:tcPr>
          <w:p w14:paraId="7864553A" w14:textId="77777777" w:rsidR="00872C03" w:rsidRPr="00883399" w:rsidRDefault="00872C03" w:rsidP="0031057E">
            <w:pPr>
              <w:pStyle w:val="TableText"/>
              <w:rPr>
                <w:sz w:val="20"/>
                <w:szCs w:val="20"/>
              </w:rPr>
            </w:pPr>
            <w:r w:rsidRPr="00883399">
              <w:rPr>
                <w:sz w:val="20"/>
                <w:szCs w:val="20"/>
              </w:rPr>
              <w:t>Moisture</w:t>
            </w:r>
          </w:p>
        </w:tc>
        <w:tc>
          <w:tcPr>
            <w:tcW w:w="2048" w:type="dxa"/>
          </w:tcPr>
          <w:p w14:paraId="3C268F47" w14:textId="77777777" w:rsidR="00872C03" w:rsidRPr="00883399" w:rsidRDefault="00872C03" w:rsidP="0031057E">
            <w:pPr>
              <w:pStyle w:val="TableText"/>
              <w:rPr>
                <w:sz w:val="20"/>
                <w:szCs w:val="20"/>
              </w:rPr>
            </w:pPr>
            <w:r w:rsidRPr="00883399">
              <w:rPr>
                <w:sz w:val="20"/>
                <w:szCs w:val="20"/>
              </w:rPr>
              <w:t>CEN/TS 15414</w:t>
            </w:r>
            <w:r w:rsidRPr="00883399">
              <w:rPr>
                <w:sz w:val="20"/>
                <w:szCs w:val="20"/>
              </w:rPr>
              <w:noBreakHyphen/>
              <w:t>3:2006</w:t>
            </w:r>
          </w:p>
        </w:tc>
        <w:tc>
          <w:tcPr>
            <w:tcW w:w="1792" w:type="dxa"/>
          </w:tcPr>
          <w:p w14:paraId="2E535E5A"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1E999776" w14:textId="77777777" w:rsidTr="0031057E">
        <w:trPr>
          <w:cantSplit/>
        </w:trPr>
        <w:tc>
          <w:tcPr>
            <w:tcW w:w="664" w:type="dxa"/>
            <w:vMerge/>
          </w:tcPr>
          <w:p w14:paraId="6740A8BF" w14:textId="77777777" w:rsidR="00872C03" w:rsidRPr="00883399" w:rsidRDefault="00872C03" w:rsidP="0031057E">
            <w:pPr>
              <w:pStyle w:val="TableText"/>
              <w:rPr>
                <w:sz w:val="20"/>
                <w:szCs w:val="20"/>
              </w:rPr>
            </w:pPr>
          </w:p>
        </w:tc>
        <w:tc>
          <w:tcPr>
            <w:tcW w:w="2216" w:type="dxa"/>
            <w:vMerge/>
          </w:tcPr>
          <w:p w14:paraId="36968D4A" w14:textId="77777777" w:rsidR="00872C03" w:rsidRPr="00883399" w:rsidRDefault="00872C03" w:rsidP="0031057E">
            <w:pPr>
              <w:pStyle w:val="TableText"/>
              <w:rPr>
                <w:sz w:val="20"/>
                <w:szCs w:val="20"/>
              </w:rPr>
            </w:pPr>
          </w:p>
        </w:tc>
        <w:tc>
          <w:tcPr>
            <w:tcW w:w="1560" w:type="dxa"/>
          </w:tcPr>
          <w:p w14:paraId="48B72AEC" w14:textId="77777777" w:rsidR="00872C03" w:rsidRPr="00883399" w:rsidRDefault="00872C03" w:rsidP="0031057E">
            <w:pPr>
              <w:pStyle w:val="TableText"/>
              <w:rPr>
                <w:sz w:val="20"/>
                <w:szCs w:val="20"/>
              </w:rPr>
            </w:pPr>
            <w:r w:rsidRPr="00883399">
              <w:rPr>
                <w:sz w:val="20"/>
                <w:szCs w:val="20"/>
              </w:rPr>
              <w:t>Ash</w:t>
            </w:r>
          </w:p>
        </w:tc>
        <w:tc>
          <w:tcPr>
            <w:tcW w:w="2048" w:type="dxa"/>
          </w:tcPr>
          <w:p w14:paraId="35F66DD0" w14:textId="77777777" w:rsidR="00872C03" w:rsidRPr="00883399" w:rsidRDefault="00872C03" w:rsidP="0031057E">
            <w:pPr>
              <w:pStyle w:val="TableText"/>
              <w:rPr>
                <w:sz w:val="20"/>
                <w:szCs w:val="20"/>
              </w:rPr>
            </w:pPr>
            <w:r w:rsidRPr="00883399">
              <w:rPr>
                <w:sz w:val="20"/>
                <w:szCs w:val="20"/>
              </w:rPr>
              <w:t>CEN/TS 15403:2006</w:t>
            </w:r>
          </w:p>
        </w:tc>
        <w:tc>
          <w:tcPr>
            <w:tcW w:w="1792" w:type="dxa"/>
          </w:tcPr>
          <w:p w14:paraId="49DF8261"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74C3539D" w14:textId="77777777" w:rsidTr="0031057E">
        <w:trPr>
          <w:cantSplit/>
        </w:trPr>
        <w:tc>
          <w:tcPr>
            <w:tcW w:w="664" w:type="dxa"/>
            <w:vMerge w:val="restart"/>
          </w:tcPr>
          <w:p w14:paraId="055443A4" w14:textId="77777777" w:rsidR="00872C03" w:rsidRPr="00883399" w:rsidRDefault="00872C03" w:rsidP="0031057E">
            <w:pPr>
              <w:pStyle w:val="TableText"/>
              <w:ind w:left="113"/>
              <w:rPr>
                <w:sz w:val="20"/>
                <w:szCs w:val="20"/>
              </w:rPr>
            </w:pPr>
            <w:r w:rsidRPr="00883399">
              <w:rPr>
                <w:sz w:val="20"/>
                <w:szCs w:val="20"/>
              </w:rPr>
              <w:t>16</w:t>
            </w:r>
          </w:p>
        </w:tc>
        <w:tc>
          <w:tcPr>
            <w:tcW w:w="2216" w:type="dxa"/>
            <w:vMerge w:val="restart"/>
          </w:tcPr>
          <w:p w14:paraId="0CB39FC8" w14:textId="77777777" w:rsidR="00872C03" w:rsidRPr="00883399" w:rsidRDefault="00872C03" w:rsidP="0031057E">
            <w:pPr>
              <w:pStyle w:val="TableText"/>
              <w:rPr>
                <w:sz w:val="20"/>
                <w:szCs w:val="20"/>
              </w:rPr>
            </w:pPr>
            <w:r w:rsidRPr="00883399">
              <w:rPr>
                <w:sz w:val="20"/>
                <w:szCs w:val="20"/>
              </w:rPr>
              <w:t xml:space="preserve">Primary solid biomass fuels other than those items mentioned in items 10 to 15 </w:t>
            </w:r>
          </w:p>
        </w:tc>
        <w:tc>
          <w:tcPr>
            <w:tcW w:w="1560" w:type="dxa"/>
          </w:tcPr>
          <w:p w14:paraId="62056DC8" w14:textId="77777777" w:rsidR="00872C03" w:rsidRPr="00883399" w:rsidRDefault="00872C03" w:rsidP="0031057E">
            <w:pPr>
              <w:pStyle w:val="TableText"/>
              <w:rPr>
                <w:sz w:val="20"/>
                <w:szCs w:val="20"/>
              </w:rPr>
            </w:pPr>
            <w:r w:rsidRPr="00883399">
              <w:rPr>
                <w:sz w:val="20"/>
                <w:szCs w:val="20"/>
              </w:rPr>
              <w:t>Energy content factor</w:t>
            </w:r>
          </w:p>
        </w:tc>
        <w:tc>
          <w:tcPr>
            <w:tcW w:w="2048" w:type="dxa"/>
          </w:tcPr>
          <w:p w14:paraId="05517F5B" w14:textId="77777777" w:rsidR="00872C03" w:rsidRPr="00883399" w:rsidRDefault="00872C03" w:rsidP="0031057E">
            <w:pPr>
              <w:pStyle w:val="TableText"/>
              <w:rPr>
                <w:sz w:val="20"/>
                <w:szCs w:val="20"/>
              </w:rPr>
            </w:pPr>
            <w:r w:rsidRPr="00883399">
              <w:rPr>
                <w:sz w:val="20"/>
                <w:szCs w:val="20"/>
              </w:rPr>
              <w:t>CEN/TS 15400:2006</w:t>
            </w:r>
          </w:p>
        </w:tc>
        <w:tc>
          <w:tcPr>
            <w:tcW w:w="1792" w:type="dxa"/>
          </w:tcPr>
          <w:p w14:paraId="228F768A"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77E43F16" w14:textId="77777777" w:rsidTr="0031057E">
        <w:trPr>
          <w:cantSplit/>
        </w:trPr>
        <w:tc>
          <w:tcPr>
            <w:tcW w:w="664" w:type="dxa"/>
            <w:vMerge/>
          </w:tcPr>
          <w:p w14:paraId="046B92D1" w14:textId="77777777" w:rsidR="00872C03" w:rsidRPr="00883399" w:rsidRDefault="00872C03" w:rsidP="0031057E">
            <w:pPr>
              <w:pStyle w:val="TableText"/>
              <w:rPr>
                <w:sz w:val="20"/>
                <w:szCs w:val="20"/>
              </w:rPr>
            </w:pPr>
          </w:p>
        </w:tc>
        <w:tc>
          <w:tcPr>
            <w:tcW w:w="2216" w:type="dxa"/>
            <w:vMerge/>
          </w:tcPr>
          <w:p w14:paraId="2DEC1B3E" w14:textId="77777777" w:rsidR="00872C03" w:rsidRPr="00883399" w:rsidRDefault="00872C03" w:rsidP="0031057E">
            <w:pPr>
              <w:pStyle w:val="TableText"/>
              <w:rPr>
                <w:sz w:val="20"/>
                <w:szCs w:val="20"/>
              </w:rPr>
            </w:pPr>
          </w:p>
        </w:tc>
        <w:tc>
          <w:tcPr>
            <w:tcW w:w="1560" w:type="dxa"/>
          </w:tcPr>
          <w:p w14:paraId="55DDDFA8" w14:textId="77777777" w:rsidR="00872C03" w:rsidRPr="00883399" w:rsidRDefault="00872C03" w:rsidP="0031057E">
            <w:pPr>
              <w:pStyle w:val="TableText"/>
              <w:rPr>
                <w:sz w:val="20"/>
                <w:szCs w:val="20"/>
              </w:rPr>
            </w:pPr>
            <w:r w:rsidRPr="00883399">
              <w:rPr>
                <w:sz w:val="20"/>
                <w:szCs w:val="20"/>
              </w:rPr>
              <w:t>Carbon</w:t>
            </w:r>
          </w:p>
        </w:tc>
        <w:tc>
          <w:tcPr>
            <w:tcW w:w="2048" w:type="dxa"/>
          </w:tcPr>
          <w:p w14:paraId="3BDA0A78" w14:textId="77777777" w:rsidR="00872C03" w:rsidRPr="00883399" w:rsidRDefault="00872C03" w:rsidP="0031057E">
            <w:pPr>
              <w:pStyle w:val="TableText"/>
              <w:rPr>
                <w:sz w:val="20"/>
                <w:szCs w:val="20"/>
              </w:rPr>
            </w:pPr>
            <w:r w:rsidRPr="00883399">
              <w:rPr>
                <w:sz w:val="20"/>
                <w:szCs w:val="20"/>
              </w:rPr>
              <w:t>CEN/TS 15407:2006</w:t>
            </w:r>
          </w:p>
        </w:tc>
        <w:tc>
          <w:tcPr>
            <w:tcW w:w="1792" w:type="dxa"/>
          </w:tcPr>
          <w:p w14:paraId="36D080A6" w14:textId="77777777" w:rsidR="00872C03" w:rsidRPr="00883399" w:rsidRDefault="00872C03" w:rsidP="0031057E">
            <w:pPr>
              <w:pStyle w:val="TableText"/>
              <w:rPr>
                <w:sz w:val="20"/>
                <w:szCs w:val="20"/>
              </w:rPr>
            </w:pPr>
            <w:r w:rsidRPr="00883399">
              <w:rPr>
                <w:sz w:val="20"/>
                <w:szCs w:val="20"/>
              </w:rPr>
              <w:t>Monthly sample composite</w:t>
            </w:r>
          </w:p>
        </w:tc>
      </w:tr>
      <w:tr w:rsidR="00872C03" w:rsidRPr="00883399" w14:paraId="6C03FCA9" w14:textId="77777777" w:rsidTr="0031057E">
        <w:trPr>
          <w:cantSplit/>
        </w:trPr>
        <w:tc>
          <w:tcPr>
            <w:tcW w:w="664" w:type="dxa"/>
            <w:vMerge/>
          </w:tcPr>
          <w:p w14:paraId="0A552695" w14:textId="77777777" w:rsidR="00872C03" w:rsidRPr="00883399" w:rsidRDefault="00872C03" w:rsidP="0031057E">
            <w:pPr>
              <w:pStyle w:val="TableText"/>
              <w:rPr>
                <w:sz w:val="20"/>
                <w:szCs w:val="20"/>
              </w:rPr>
            </w:pPr>
          </w:p>
        </w:tc>
        <w:tc>
          <w:tcPr>
            <w:tcW w:w="2216" w:type="dxa"/>
            <w:vMerge/>
          </w:tcPr>
          <w:p w14:paraId="7FB5D1B4" w14:textId="77777777" w:rsidR="00872C03" w:rsidRPr="00883399" w:rsidRDefault="00872C03" w:rsidP="0031057E">
            <w:pPr>
              <w:pStyle w:val="TableText"/>
              <w:rPr>
                <w:sz w:val="20"/>
                <w:szCs w:val="20"/>
              </w:rPr>
            </w:pPr>
          </w:p>
        </w:tc>
        <w:tc>
          <w:tcPr>
            <w:tcW w:w="1560" w:type="dxa"/>
          </w:tcPr>
          <w:p w14:paraId="7D3AF3B4" w14:textId="77777777" w:rsidR="00872C03" w:rsidRPr="00883399" w:rsidRDefault="00872C03" w:rsidP="0031057E">
            <w:pPr>
              <w:pStyle w:val="TableText"/>
              <w:rPr>
                <w:sz w:val="20"/>
                <w:szCs w:val="20"/>
              </w:rPr>
            </w:pPr>
            <w:r w:rsidRPr="00883399">
              <w:rPr>
                <w:sz w:val="20"/>
                <w:szCs w:val="20"/>
              </w:rPr>
              <w:t>Moisture</w:t>
            </w:r>
          </w:p>
        </w:tc>
        <w:tc>
          <w:tcPr>
            <w:tcW w:w="2048" w:type="dxa"/>
          </w:tcPr>
          <w:p w14:paraId="59A43068" w14:textId="77777777" w:rsidR="00872C03" w:rsidRPr="00883399" w:rsidRDefault="00872C03" w:rsidP="0031057E">
            <w:pPr>
              <w:pStyle w:val="TableText"/>
              <w:rPr>
                <w:sz w:val="20"/>
                <w:szCs w:val="20"/>
              </w:rPr>
            </w:pPr>
            <w:r w:rsidRPr="00883399">
              <w:rPr>
                <w:sz w:val="20"/>
                <w:szCs w:val="20"/>
              </w:rPr>
              <w:t>CEN/TS 15414</w:t>
            </w:r>
            <w:r w:rsidRPr="00883399">
              <w:rPr>
                <w:sz w:val="20"/>
                <w:szCs w:val="20"/>
              </w:rPr>
              <w:noBreakHyphen/>
              <w:t>3:2006</w:t>
            </w:r>
          </w:p>
          <w:p w14:paraId="0AE1F4E7" w14:textId="77777777" w:rsidR="00872C03" w:rsidRPr="00883399" w:rsidRDefault="00872C03" w:rsidP="0031057E">
            <w:pPr>
              <w:pStyle w:val="TableText"/>
              <w:rPr>
                <w:sz w:val="20"/>
                <w:szCs w:val="20"/>
              </w:rPr>
            </w:pPr>
            <w:r w:rsidRPr="00883399">
              <w:rPr>
                <w:sz w:val="20"/>
                <w:szCs w:val="20"/>
              </w:rPr>
              <w:t>CEN/TS 14774</w:t>
            </w:r>
            <w:r w:rsidRPr="00883399">
              <w:rPr>
                <w:sz w:val="20"/>
                <w:szCs w:val="20"/>
              </w:rPr>
              <w:noBreakHyphen/>
              <w:t>3:2004</w:t>
            </w:r>
          </w:p>
        </w:tc>
        <w:tc>
          <w:tcPr>
            <w:tcW w:w="1792" w:type="dxa"/>
          </w:tcPr>
          <w:p w14:paraId="197D03B5" w14:textId="77777777" w:rsidR="00872C03" w:rsidRPr="00883399" w:rsidRDefault="00872C03" w:rsidP="0031057E">
            <w:pPr>
              <w:pStyle w:val="TableText"/>
              <w:rPr>
                <w:sz w:val="20"/>
                <w:szCs w:val="20"/>
              </w:rPr>
            </w:pPr>
            <w:r w:rsidRPr="00883399">
              <w:rPr>
                <w:sz w:val="20"/>
                <w:szCs w:val="20"/>
              </w:rPr>
              <w:t>Each delivery</w:t>
            </w:r>
          </w:p>
        </w:tc>
      </w:tr>
      <w:tr w:rsidR="00872C03" w:rsidRPr="00883399" w14:paraId="646E8DF2" w14:textId="77777777" w:rsidTr="0031057E">
        <w:trPr>
          <w:cantSplit/>
        </w:trPr>
        <w:tc>
          <w:tcPr>
            <w:tcW w:w="664" w:type="dxa"/>
            <w:vMerge/>
          </w:tcPr>
          <w:p w14:paraId="7000CB4A" w14:textId="77777777" w:rsidR="00872C03" w:rsidRPr="00883399" w:rsidRDefault="00872C03" w:rsidP="0031057E">
            <w:pPr>
              <w:pStyle w:val="TableText"/>
              <w:rPr>
                <w:sz w:val="20"/>
                <w:szCs w:val="20"/>
              </w:rPr>
            </w:pPr>
          </w:p>
        </w:tc>
        <w:tc>
          <w:tcPr>
            <w:tcW w:w="2216" w:type="dxa"/>
            <w:vMerge/>
            <w:tcBorders>
              <w:bottom w:val="single" w:sz="4" w:space="0" w:color="auto"/>
            </w:tcBorders>
          </w:tcPr>
          <w:p w14:paraId="6983C54D" w14:textId="77777777" w:rsidR="00872C03" w:rsidRPr="00883399" w:rsidRDefault="00872C03" w:rsidP="0031057E">
            <w:pPr>
              <w:pStyle w:val="TableText"/>
              <w:rPr>
                <w:sz w:val="20"/>
                <w:szCs w:val="20"/>
              </w:rPr>
            </w:pPr>
          </w:p>
        </w:tc>
        <w:tc>
          <w:tcPr>
            <w:tcW w:w="1560" w:type="dxa"/>
            <w:tcBorders>
              <w:bottom w:val="single" w:sz="4" w:space="0" w:color="auto"/>
            </w:tcBorders>
          </w:tcPr>
          <w:p w14:paraId="7F34F8B4" w14:textId="77777777" w:rsidR="00872C03" w:rsidRPr="00883399" w:rsidRDefault="00872C03" w:rsidP="0031057E">
            <w:pPr>
              <w:pStyle w:val="TableText"/>
              <w:rPr>
                <w:sz w:val="20"/>
                <w:szCs w:val="20"/>
              </w:rPr>
            </w:pPr>
            <w:r w:rsidRPr="00883399">
              <w:rPr>
                <w:sz w:val="20"/>
                <w:szCs w:val="20"/>
              </w:rPr>
              <w:t>Ash</w:t>
            </w:r>
          </w:p>
        </w:tc>
        <w:tc>
          <w:tcPr>
            <w:tcW w:w="2048" w:type="dxa"/>
            <w:tcBorders>
              <w:bottom w:val="single" w:sz="4" w:space="0" w:color="auto"/>
            </w:tcBorders>
          </w:tcPr>
          <w:p w14:paraId="2E361A83" w14:textId="77777777" w:rsidR="00872C03" w:rsidRPr="00883399" w:rsidRDefault="00872C03" w:rsidP="0031057E">
            <w:pPr>
              <w:pStyle w:val="TableText"/>
              <w:rPr>
                <w:sz w:val="20"/>
                <w:szCs w:val="20"/>
              </w:rPr>
            </w:pPr>
            <w:r w:rsidRPr="00883399">
              <w:rPr>
                <w:sz w:val="20"/>
                <w:szCs w:val="20"/>
              </w:rPr>
              <w:t>CEN/TS 15403:2006</w:t>
            </w:r>
          </w:p>
        </w:tc>
        <w:tc>
          <w:tcPr>
            <w:tcW w:w="1792" w:type="dxa"/>
            <w:tcBorders>
              <w:bottom w:val="single" w:sz="4" w:space="0" w:color="auto"/>
            </w:tcBorders>
          </w:tcPr>
          <w:p w14:paraId="6CA3D6A6" w14:textId="77777777" w:rsidR="00872C03" w:rsidRPr="00883399" w:rsidRDefault="00872C03" w:rsidP="0031057E">
            <w:pPr>
              <w:pStyle w:val="TableText"/>
              <w:rPr>
                <w:sz w:val="20"/>
                <w:szCs w:val="20"/>
              </w:rPr>
            </w:pPr>
            <w:r w:rsidRPr="00883399">
              <w:rPr>
                <w:sz w:val="20"/>
                <w:szCs w:val="20"/>
              </w:rPr>
              <w:t>Each delivery</w:t>
            </w:r>
          </w:p>
        </w:tc>
      </w:tr>
    </w:tbl>
    <w:p w14:paraId="00486FA2" w14:textId="77777777" w:rsidR="00872C03" w:rsidRPr="00883399" w:rsidRDefault="00872C03" w:rsidP="00872C03">
      <w:pPr>
        <w:pStyle w:val="Text"/>
        <w:pBdr>
          <w:top w:val="single" w:sz="4" w:space="4" w:color="auto"/>
          <w:left w:val="single" w:sz="4" w:space="4" w:color="auto"/>
          <w:bottom w:val="single" w:sz="4" w:space="1" w:color="auto"/>
          <w:right w:val="single" w:sz="4" w:space="19" w:color="auto"/>
        </w:pBdr>
        <w:spacing w:before="120"/>
        <w:outlineLvl w:val="0"/>
        <w:rPr>
          <w:sz w:val="22"/>
          <w:szCs w:val="22"/>
        </w:rPr>
      </w:pPr>
      <w:r w:rsidRPr="00883399">
        <w:rPr>
          <w:b/>
          <w:sz w:val="22"/>
          <w:szCs w:val="22"/>
        </w:rPr>
        <w:t xml:space="preserve">Example: </w:t>
      </w:r>
      <w:r w:rsidRPr="00883399">
        <w:rPr>
          <w:sz w:val="22"/>
          <w:szCs w:val="22"/>
        </w:rPr>
        <w:t>A facility consumes 100,000 tonnes of bituminous coal with a carbon content of 75 per cent and an energy content of 28.5 gigajoules per tonne for purposes other than coke or electricity production. The Reporter elects to use Method 2 (</w:t>
      </w:r>
      <w:r w:rsidRPr="00883399">
        <w:rPr>
          <w:i/>
          <w:sz w:val="22"/>
          <w:szCs w:val="22"/>
        </w:rPr>
        <w:t>Division 2.2.3</w:t>
      </w:r>
      <w:r w:rsidRPr="00883399">
        <w:rPr>
          <w:sz w:val="22"/>
          <w:szCs w:val="22"/>
        </w:rPr>
        <w:t>) for the estimation of emissions of carbon dioxide and Method 1 (</w:t>
      </w:r>
      <w:r w:rsidRPr="00883399">
        <w:rPr>
          <w:i/>
          <w:sz w:val="22"/>
          <w:szCs w:val="22"/>
        </w:rPr>
        <w:t>Division 2.2.2</w:t>
      </w:r>
      <w:r w:rsidRPr="00883399">
        <w:rPr>
          <w:sz w:val="22"/>
          <w:szCs w:val="22"/>
        </w:rPr>
        <w:t xml:space="preserve">) for the estimation of emissions from methane and nitrous oxide. </w:t>
      </w:r>
    </w:p>
    <w:p w14:paraId="75EF50D9" w14:textId="77777777" w:rsidR="00872C03" w:rsidRPr="00883399" w:rsidRDefault="00872C03" w:rsidP="00872C03">
      <w:pPr>
        <w:pStyle w:val="Text"/>
        <w:pBdr>
          <w:top w:val="single" w:sz="4" w:space="4" w:color="auto"/>
          <w:left w:val="single" w:sz="4" w:space="4" w:color="auto"/>
          <w:bottom w:val="single" w:sz="4" w:space="1" w:color="auto"/>
          <w:right w:val="single" w:sz="4" w:space="19" w:color="auto"/>
        </w:pBdr>
        <w:rPr>
          <w:sz w:val="22"/>
          <w:szCs w:val="22"/>
        </w:rPr>
      </w:pPr>
      <w:r w:rsidRPr="00883399">
        <w:rPr>
          <w:sz w:val="22"/>
          <w:szCs w:val="22"/>
        </w:rPr>
        <w:t>Carbon dioxide emissions are estimated according to Method 2 as follows:</w:t>
      </w:r>
    </w:p>
    <w:p w14:paraId="78FD7B1C" w14:textId="77777777" w:rsidR="00872C03" w:rsidRPr="00883399" w:rsidRDefault="00872C03" w:rsidP="00872C03">
      <w:pPr>
        <w:pStyle w:val="Text"/>
        <w:pBdr>
          <w:top w:val="single" w:sz="4" w:space="4" w:color="auto"/>
          <w:left w:val="single" w:sz="4" w:space="4" w:color="auto"/>
          <w:bottom w:val="single" w:sz="4" w:space="1" w:color="auto"/>
          <w:right w:val="single" w:sz="4" w:space="19" w:color="auto"/>
        </w:pBdr>
        <w:outlineLvl w:val="0"/>
        <w:rPr>
          <w:sz w:val="22"/>
          <w:szCs w:val="22"/>
        </w:rPr>
      </w:pPr>
      <w:r w:rsidRPr="00883399">
        <w:rPr>
          <w:sz w:val="22"/>
          <w:szCs w:val="22"/>
        </w:rPr>
        <w:t>1. Estimate the carbon dioxide emission factor (</w:t>
      </w:r>
      <w:r w:rsidRPr="00883399">
        <w:rPr>
          <w:b/>
          <w:i/>
          <w:sz w:val="22"/>
          <w:szCs w:val="22"/>
        </w:rPr>
        <w:t>EF</w:t>
      </w:r>
      <w:r w:rsidRPr="00883399">
        <w:rPr>
          <w:b/>
          <w:i/>
          <w:sz w:val="22"/>
          <w:szCs w:val="22"/>
          <w:vertAlign w:val="subscript"/>
        </w:rPr>
        <w:t>ico2ox,kg</w:t>
      </w:r>
      <w:r w:rsidRPr="00883399">
        <w:rPr>
          <w:sz w:val="22"/>
          <w:szCs w:val="22"/>
        </w:rPr>
        <w:t>) for fuel type (</w:t>
      </w:r>
      <w:r w:rsidRPr="00883399">
        <w:rPr>
          <w:i/>
          <w:sz w:val="22"/>
          <w:szCs w:val="22"/>
        </w:rPr>
        <w:t>i</w:t>
      </w:r>
      <w:r w:rsidRPr="00883399">
        <w:rPr>
          <w:sz w:val="22"/>
          <w:szCs w:val="22"/>
        </w:rPr>
        <w:t>) as follows:</w:t>
      </w:r>
    </w:p>
    <w:p w14:paraId="2F68C727" w14:textId="77777777" w:rsidR="00872C03" w:rsidRPr="00883399" w:rsidRDefault="00872C03" w:rsidP="00872C03">
      <w:pPr>
        <w:pStyle w:val="Text"/>
        <w:pBdr>
          <w:top w:val="single" w:sz="4" w:space="4" w:color="auto"/>
          <w:left w:val="single" w:sz="4" w:space="4" w:color="auto"/>
          <w:bottom w:val="single" w:sz="4" w:space="1" w:color="auto"/>
          <w:right w:val="single" w:sz="4" w:space="19" w:color="auto"/>
        </w:pBdr>
        <w:jc w:val="center"/>
        <w:rPr>
          <w:sz w:val="22"/>
          <w:szCs w:val="22"/>
        </w:rPr>
      </w:pPr>
      <w:r w:rsidRPr="00883399">
        <w:rPr>
          <w:sz w:val="22"/>
          <w:szCs w:val="22"/>
        </w:rPr>
        <w:object w:dxaOrig="3220" w:dyaOrig="639" w14:anchorId="710052D8">
          <v:shape id="_x0000_i1026" type="#_x0000_t75" style="width:177pt;height:34.5pt" o:ole="" o:bordertopcolor="this" o:borderleftcolor="this" o:borderbottomcolor="this" o:borderrightcolor="this">
            <v:imagedata r:id="rId38" o:title=""/>
          </v:shape>
          <o:OLEObject Type="Embed" ProgID="Equation.DSMT4" ShapeID="_x0000_i1026" DrawAspect="Content" ObjectID="_1594105917" r:id="rId39"/>
        </w:object>
      </w:r>
    </w:p>
    <w:p w14:paraId="61ACDEE2" w14:textId="77777777" w:rsidR="00872C03" w:rsidRPr="00883399" w:rsidRDefault="00872C03" w:rsidP="00872C03">
      <w:pPr>
        <w:pStyle w:val="Text"/>
        <w:pBdr>
          <w:top w:val="single" w:sz="4" w:space="4" w:color="auto"/>
          <w:left w:val="single" w:sz="4" w:space="4" w:color="auto"/>
          <w:bottom w:val="single" w:sz="4" w:space="1" w:color="auto"/>
          <w:right w:val="single" w:sz="4" w:space="19" w:color="auto"/>
        </w:pBdr>
        <w:spacing w:before="0" w:after="0"/>
        <w:rPr>
          <w:sz w:val="22"/>
          <w:szCs w:val="22"/>
        </w:rPr>
      </w:pPr>
      <w:r w:rsidRPr="00883399">
        <w:rPr>
          <w:sz w:val="22"/>
          <w:szCs w:val="22"/>
        </w:rPr>
        <w:t>where:</w:t>
      </w:r>
    </w:p>
    <w:p w14:paraId="3FEF7B63" w14:textId="77777777" w:rsidR="00872C03" w:rsidRPr="00883399" w:rsidRDefault="00872C03" w:rsidP="00872C03">
      <w:pPr>
        <w:pStyle w:val="Text"/>
        <w:pBdr>
          <w:top w:val="single" w:sz="4" w:space="4" w:color="auto"/>
          <w:left w:val="single" w:sz="4" w:space="4" w:color="auto"/>
          <w:bottom w:val="single" w:sz="4" w:space="1" w:color="auto"/>
          <w:right w:val="single" w:sz="4" w:space="19" w:color="auto"/>
        </w:pBdr>
        <w:rPr>
          <w:b/>
          <w:i/>
          <w:sz w:val="22"/>
          <w:szCs w:val="22"/>
        </w:rPr>
      </w:pPr>
      <w:r w:rsidRPr="00883399">
        <w:rPr>
          <w:b/>
          <w:i/>
          <w:sz w:val="22"/>
          <w:szCs w:val="22"/>
        </w:rPr>
        <w:lastRenderedPageBreak/>
        <w:t>EF</w:t>
      </w:r>
      <w:r w:rsidRPr="00883399">
        <w:rPr>
          <w:b/>
          <w:i/>
          <w:sz w:val="22"/>
          <w:szCs w:val="22"/>
          <w:vertAlign w:val="subscript"/>
        </w:rPr>
        <w:t>ico2ox,kg</w:t>
      </w:r>
      <w:r w:rsidRPr="00883399">
        <w:rPr>
          <w:b/>
          <w:i/>
          <w:sz w:val="22"/>
          <w:szCs w:val="22"/>
        </w:rPr>
        <w:t xml:space="preserve"> </w:t>
      </w:r>
      <w:r w:rsidRPr="00883399">
        <w:rPr>
          <w:sz w:val="22"/>
          <w:szCs w:val="22"/>
        </w:rPr>
        <w:t>the carbon dioxide emission factor for fuel type (</w:t>
      </w:r>
      <w:r w:rsidRPr="00883399">
        <w:rPr>
          <w:i/>
          <w:sz w:val="22"/>
          <w:szCs w:val="22"/>
        </w:rPr>
        <w:t>i</w:t>
      </w:r>
      <w:r w:rsidRPr="00883399">
        <w:rPr>
          <w:sz w:val="22"/>
          <w:szCs w:val="22"/>
        </w:rPr>
        <w:t>) in kilograms of CO</w:t>
      </w:r>
      <w:r w:rsidRPr="00883399">
        <w:rPr>
          <w:sz w:val="22"/>
          <w:szCs w:val="22"/>
          <w:vertAlign w:val="subscript"/>
        </w:rPr>
        <w:t>2</w:t>
      </w:r>
      <w:r w:rsidRPr="00883399">
        <w:rPr>
          <w:sz w:val="22"/>
          <w:szCs w:val="22"/>
        </w:rPr>
        <w:t>-e per kilogram of fuel;</w:t>
      </w:r>
    </w:p>
    <w:p w14:paraId="615D6565" w14:textId="77777777" w:rsidR="00872C03" w:rsidRPr="00883399" w:rsidRDefault="00872C03" w:rsidP="00872C03">
      <w:pPr>
        <w:pStyle w:val="Text"/>
        <w:pBdr>
          <w:top w:val="single" w:sz="4" w:space="4" w:color="auto"/>
          <w:left w:val="single" w:sz="4" w:space="4" w:color="auto"/>
          <w:bottom w:val="single" w:sz="4" w:space="1" w:color="auto"/>
          <w:right w:val="single" w:sz="4" w:space="19" w:color="auto"/>
        </w:pBdr>
        <w:rPr>
          <w:sz w:val="22"/>
          <w:szCs w:val="22"/>
        </w:rPr>
      </w:pPr>
      <w:r w:rsidRPr="00883399">
        <w:rPr>
          <w:b/>
          <w:i/>
          <w:sz w:val="22"/>
          <w:szCs w:val="22"/>
        </w:rPr>
        <w:t>C</w:t>
      </w:r>
      <w:r w:rsidRPr="00883399">
        <w:rPr>
          <w:b/>
          <w:i/>
          <w:sz w:val="22"/>
          <w:szCs w:val="22"/>
          <w:vertAlign w:val="subscript"/>
        </w:rPr>
        <w:t xml:space="preserve">ar </w:t>
      </w:r>
      <w:r w:rsidRPr="00883399">
        <w:rPr>
          <w:sz w:val="22"/>
          <w:szCs w:val="22"/>
        </w:rPr>
        <w:t>is the percentage of carbon in fuel type (</w:t>
      </w:r>
      <w:r w:rsidRPr="00883399">
        <w:rPr>
          <w:b/>
          <w:i/>
          <w:sz w:val="22"/>
          <w:szCs w:val="22"/>
        </w:rPr>
        <w:t>i</w:t>
      </w:r>
      <w:r w:rsidRPr="00883399">
        <w:rPr>
          <w:sz w:val="22"/>
          <w:szCs w:val="22"/>
        </w:rPr>
        <w:t xml:space="preserve">) as received for the facility. </w:t>
      </w:r>
      <w:r w:rsidRPr="00883399">
        <w:rPr>
          <w:b/>
          <w:sz w:val="22"/>
          <w:szCs w:val="22"/>
        </w:rPr>
        <w:t>In this case the percentage of carbon in bituminous coal is estimated to be 75.</w:t>
      </w:r>
    </w:p>
    <w:p w14:paraId="5707CB20" w14:textId="77777777" w:rsidR="00872C03" w:rsidRPr="00883399" w:rsidRDefault="00872C03" w:rsidP="00872C03">
      <w:pPr>
        <w:pStyle w:val="Text"/>
        <w:pBdr>
          <w:top w:val="single" w:sz="4" w:space="4" w:color="auto"/>
          <w:left w:val="single" w:sz="4" w:space="4" w:color="auto"/>
          <w:bottom w:val="single" w:sz="4" w:space="1" w:color="auto"/>
          <w:right w:val="single" w:sz="4" w:space="19" w:color="auto"/>
        </w:pBdr>
        <w:rPr>
          <w:sz w:val="22"/>
          <w:szCs w:val="22"/>
        </w:rPr>
      </w:pPr>
      <w:r w:rsidRPr="00883399">
        <w:rPr>
          <w:b/>
          <w:i/>
          <w:sz w:val="22"/>
          <w:szCs w:val="22"/>
        </w:rPr>
        <w:t>OF</w:t>
      </w:r>
      <w:r w:rsidRPr="00883399">
        <w:rPr>
          <w:b/>
          <w:i/>
          <w:sz w:val="22"/>
          <w:szCs w:val="22"/>
          <w:vertAlign w:val="subscript"/>
        </w:rPr>
        <w:t xml:space="preserve">s, </w:t>
      </w:r>
      <w:r w:rsidRPr="00883399">
        <w:rPr>
          <w:sz w:val="22"/>
          <w:szCs w:val="22"/>
          <w:vertAlign w:val="subscript"/>
        </w:rPr>
        <w:t>,</w:t>
      </w:r>
      <w:r w:rsidRPr="00883399">
        <w:rPr>
          <w:sz w:val="22"/>
          <w:szCs w:val="22"/>
        </w:rPr>
        <w:t>or oxidation factor,</w:t>
      </w:r>
      <w:r w:rsidRPr="00883399">
        <w:rPr>
          <w:b/>
          <w:i/>
          <w:sz w:val="22"/>
          <w:szCs w:val="22"/>
          <w:vertAlign w:val="subscript"/>
        </w:rPr>
        <w:t xml:space="preserve"> </w:t>
      </w:r>
      <w:r w:rsidRPr="00883399">
        <w:rPr>
          <w:sz w:val="22"/>
          <w:szCs w:val="22"/>
        </w:rPr>
        <w:t>is:</w:t>
      </w:r>
    </w:p>
    <w:p w14:paraId="610878FE" w14:textId="77777777" w:rsidR="00872C03" w:rsidRPr="00883399" w:rsidRDefault="00872C03" w:rsidP="00872C03">
      <w:pPr>
        <w:pStyle w:val="Text"/>
        <w:pBdr>
          <w:top w:val="single" w:sz="4" w:space="4" w:color="auto"/>
          <w:left w:val="single" w:sz="4" w:space="4" w:color="auto"/>
          <w:bottom w:val="single" w:sz="4" w:space="1" w:color="auto"/>
          <w:right w:val="single" w:sz="4" w:space="19" w:color="auto"/>
        </w:pBdr>
        <w:rPr>
          <w:sz w:val="22"/>
          <w:szCs w:val="22"/>
        </w:rPr>
      </w:pPr>
      <w:r w:rsidRPr="00883399">
        <w:rPr>
          <w:sz w:val="22"/>
          <w:szCs w:val="22"/>
        </w:rPr>
        <w:tab/>
        <w:t>(a)</w:t>
      </w:r>
      <w:r w:rsidRPr="00883399">
        <w:rPr>
          <w:sz w:val="22"/>
          <w:szCs w:val="22"/>
        </w:rPr>
        <w:tab/>
        <w:t>if the principal activity of the facility is electricity generation — 0.99; or</w:t>
      </w:r>
    </w:p>
    <w:p w14:paraId="1D169778" w14:textId="77777777" w:rsidR="00872C03" w:rsidRPr="00883399" w:rsidRDefault="00872C03" w:rsidP="00872C03">
      <w:pPr>
        <w:pStyle w:val="Text"/>
        <w:pBdr>
          <w:top w:val="single" w:sz="4" w:space="4" w:color="auto"/>
          <w:left w:val="single" w:sz="4" w:space="4" w:color="auto"/>
          <w:bottom w:val="single" w:sz="4" w:space="1" w:color="auto"/>
          <w:right w:val="single" w:sz="4" w:space="19" w:color="auto"/>
        </w:pBdr>
        <w:rPr>
          <w:sz w:val="22"/>
          <w:szCs w:val="22"/>
        </w:rPr>
      </w:pPr>
      <w:r w:rsidRPr="00883399">
        <w:rPr>
          <w:sz w:val="22"/>
          <w:szCs w:val="22"/>
        </w:rPr>
        <w:tab/>
        <w:t>(b)</w:t>
      </w:r>
      <w:r w:rsidRPr="00883399">
        <w:rPr>
          <w:sz w:val="22"/>
          <w:szCs w:val="22"/>
        </w:rPr>
        <w:tab/>
        <w:t>in any other case — 0.98.</w:t>
      </w:r>
    </w:p>
    <w:p w14:paraId="06BD9F5A" w14:textId="77777777" w:rsidR="00872C03" w:rsidRPr="00883399" w:rsidRDefault="00872C03" w:rsidP="00872C03">
      <w:pPr>
        <w:pStyle w:val="Text"/>
        <w:pBdr>
          <w:top w:val="single" w:sz="4" w:space="4" w:color="auto"/>
          <w:left w:val="single" w:sz="4" w:space="4" w:color="auto"/>
          <w:bottom w:val="single" w:sz="4" w:space="1" w:color="auto"/>
          <w:right w:val="single" w:sz="4" w:space="19" w:color="auto"/>
        </w:pBdr>
        <w:rPr>
          <w:sz w:val="22"/>
          <w:szCs w:val="22"/>
        </w:rPr>
      </w:pPr>
      <w:r w:rsidRPr="00883399">
        <w:rPr>
          <w:sz w:val="22"/>
          <w:szCs w:val="22"/>
        </w:rPr>
        <w:t>= 75/100 x 0.98 x 3.664</w:t>
      </w:r>
    </w:p>
    <w:p w14:paraId="3397017C" w14:textId="77777777" w:rsidR="00872C03" w:rsidRPr="00883399" w:rsidRDefault="00872C03" w:rsidP="00872C03">
      <w:pPr>
        <w:pStyle w:val="Text"/>
        <w:pBdr>
          <w:top w:val="single" w:sz="4" w:space="4" w:color="auto"/>
          <w:left w:val="single" w:sz="4" w:space="4" w:color="auto"/>
          <w:bottom w:val="single" w:sz="4" w:space="1" w:color="auto"/>
          <w:right w:val="single" w:sz="4" w:space="19" w:color="auto"/>
        </w:pBdr>
        <w:rPr>
          <w:sz w:val="22"/>
          <w:szCs w:val="22"/>
        </w:rPr>
      </w:pPr>
      <w:r w:rsidRPr="00883399">
        <w:rPr>
          <w:sz w:val="22"/>
          <w:szCs w:val="22"/>
        </w:rPr>
        <w:t>= 2.69 kg of CO</w:t>
      </w:r>
      <w:r w:rsidRPr="00883399">
        <w:rPr>
          <w:sz w:val="22"/>
          <w:szCs w:val="22"/>
          <w:vertAlign w:val="subscript"/>
        </w:rPr>
        <w:t>2</w:t>
      </w:r>
      <w:r w:rsidRPr="00883399">
        <w:rPr>
          <w:sz w:val="22"/>
          <w:szCs w:val="22"/>
        </w:rPr>
        <w:noBreakHyphen/>
        <w:t xml:space="preserve">e per kg of fuel </w:t>
      </w:r>
    </w:p>
    <w:p w14:paraId="4320B7F5" w14:textId="77777777" w:rsidR="00872C03" w:rsidRPr="00883399" w:rsidRDefault="00872C03" w:rsidP="00872C03">
      <w:pPr>
        <w:pStyle w:val="Text"/>
        <w:pBdr>
          <w:top w:val="single" w:sz="4" w:space="4" w:color="auto"/>
          <w:left w:val="single" w:sz="4" w:space="4" w:color="auto"/>
          <w:bottom w:val="single" w:sz="4" w:space="1" w:color="auto"/>
          <w:right w:val="single" w:sz="4" w:space="19" w:color="auto"/>
        </w:pBdr>
        <w:spacing w:after="0"/>
        <w:outlineLvl w:val="0"/>
        <w:rPr>
          <w:i/>
          <w:sz w:val="22"/>
          <w:szCs w:val="22"/>
        </w:rPr>
      </w:pPr>
      <w:r w:rsidRPr="00883399">
        <w:rPr>
          <w:sz w:val="22"/>
          <w:szCs w:val="22"/>
        </w:rPr>
        <w:t>2. Estimate the carbon dioxide emission factor for fuel type (</w:t>
      </w:r>
      <w:r w:rsidRPr="00883399">
        <w:rPr>
          <w:i/>
          <w:sz w:val="22"/>
          <w:szCs w:val="22"/>
        </w:rPr>
        <w:t>i</w:t>
      </w:r>
      <w:r w:rsidRPr="00883399">
        <w:rPr>
          <w:sz w:val="22"/>
          <w:szCs w:val="22"/>
        </w:rPr>
        <w:t>) measured in kilograms of CO</w:t>
      </w:r>
      <w:r w:rsidRPr="00883399">
        <w:rPr>
          <w:sz w:val="22"/>
          <w:szCs w:val="22"/>
          <w:vertAlign w:val="subscript"/>
        </w:rPr>
        <w:t>2</w:t>
      </w:r>
      <w:r w:rsidRPr="00883399">
        <w:rPr>
          <w:sz w:val="22"/>
          <w:szCs w:val="22"/>
        </w:rPr>
        <w:noBreakHyphen/>
        <w:t>e per gigajoule as follows:</w:t>
      </w:r>
      <w:r w:rsidRPr="00883399">
        <w:rPr>
          <w:i/>
          <w:sz w:val="22"/>
          <w:szCs w:val="22"/>
        </w:rPr>
        <w:t xml:space="preserve"> </w:t>
      </w:r>
      <w:r w:rsidRPr="00883399">
        <w:rPr>
          <w:position w:val="-30"/>
        </w:rPr>
        <w:object w:dxaOrig="2940" w:dyaOrig="720" w14:anchorId="34770C46">
          <v:shape id="_x0000_i1027" type="#_x0000_t75" style="width:167.25pt;height:42pt" o:ole="" o:bordertopcolor="this" o:borderleftcolor="this" o:borderbottomcolor="this" o:borderrightcolor="this">
            <v:imagedata r:id="rId40" o:title=""/>
          </v:shape>
          <o:OLEObject Type="Embed" ProgID="Equation.DSMT4" ShapeID="_x0000_i1027" DrawAspect="Content" ObjectID="_1594105918" r:id="rId41"/>
        </w:object>
      </w:r>
    </w:p>
    <w:p w14:paraId="593DF789" w14:textId="77777777" w:rsidR="00872C03" w:rsidRPr="00883399" w:rsidRDefault="00872C03" w:rsidP="00872C03">
      <w:pPr>
        <w:pStyle w:val="Text"/>
        <w:pBdr>
          <w:top w:val="single" w:sz="4" w:space="4" w:color="auto"/>
          <w:left w:val="single" w:sz="4" w:space="4" w:color="auto"/>
          <w:bottom w:val="single" w:sz="4" w:space="1" w:color="auto"/>
          <w:right w:val="single" w:sz="4" w:space="19" w:color="auto"/>
        </w:pBdr>
        <w:jc w:val="center"/>
      </w:pPr>
    </w:p>
    <w:p w14:paraId="394E3230" w14:textId="77777777" w:rsidR="00872C03" w:rsidRPr="00883399" w:rsidRDefault="00872C03" w:rsidP="00872C03">
      <w:pPr>
        <w:pStyle w:val="Text"/>
        <w:pBdr>
          <w:top w:val="single" w:sz="4" w:space="4" w:color="auto"/>
          <w:left w:val="single" w:sz="4" w:space="4" w:color="auto"/>
          <w:bottom w:val="single" w:sz="4" w:space="1" w:color="auto"/>
          <w:right w:val="single" w:sz="4" w:space="19" w:color="auto"/>
        </w:pBdr>
        <w:jc w:val="center"/>
      </w:pPr>
    </w:p>
    <w:p w14:paraId="07E8391A"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sz w:val="18"/>
          <w:szCs w:val="18"/>
        </w:rPr>
      </w:pPr>
      <w:r w:rsidRPr="00883399">
        <w:rPr>
          <w:sz w:val="18"/>
          <w:szCs w:val="18"/>
        </w:rPr>
        <w:t>where:</w:t>
      </w:r>
    </w:p>
    <w:p w14:paraId="72E34FDE"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b/>
          <w:i/>
          <w:sz w:val="18"/>
          <w:szCs w:val="18"/>
        </w:rPr>
      </w:pPr>
      <w:r w:rsidRPr="00883399">
        <w:rPr>
          <w:b/>
          <w:i/>
          <w:sz w:val="18"/>
          <w:szCs w:val="18"/>
        </w:rPr>
        <w:t>EF</w:t>
      </w:r>
      <w:r w:rsidRPr="00883399">
        <w:rPr>
          <w:b/>
          <w:i/>
          <w:sz w:val="18"/>
          <w:szCs w:val="18"/>
          <w:vertAlign w:val="subscript"/>
        </w:rPr>
        <w:t>ico2ox,kg</w:t>
      </w:r>
      <w:r w:rsidRPr="00883399">
        <w:rPr>
          <w:b/>
          <w:i/>
          <w:sz w:val="18"/>
          <w:szCs w:val="18"/>
        </w:rPr>
        <w:t xml:space="preserve"> </w:t>
      </w:r>
      <w:r w:rsidRPr="00883399">
        <w:rPr>
          <w:sz w:val="18"/>
          <w:szCs w:val="18"/>
        </w:rPr>
        <w:t>is the carbon dioxide emission factor for fuel type (i) measured in kilograms of CO</w:t>
      </w:r>
      <w:r w:rsidRPr="00883399">
        <w:rPr>
          <w:sz w:val="18"/>
          <w:szCs w:val="18"/>
          <w:vertAlign w:val="subscript"/>
        </w:rPr>
        <w:t>2</w:t>
      </w:r>
      <w:r w:rsidRPr="00883399">
        <w:rPr>
          <w:sz w:val="18"/>
          <w:szCs w:val="18"/>
        </w:rPr>
        <w:t>-e per kilogram of fuel.</w:t>
      </w:r>
    </w:p>
    <w:p w14:paraId="157BE50C"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b/>
          <w:sz w:val="18"/>
          <w:szCs w:val="18"/>
        </w:rPr>
      </w:pPr>
      <w:r w:rsidRPr="00883399">
        <w:rPr>
          <w:b/>
          <w:i/>
          <w:sz w:val="18"/>
          <w:szCs w:val="18"/>
        </w:rPr>
        <w:t>EC</w:t>
      </w:r>
      <w:r w:rsidRPr="00883399">
        <w:rPr>
          <w:b/>
          <w:i/>
          <w:sz w:val="18"/>
          <w:szCs w:val="18"/>
          <w:vertAlign w:val="subscript"/>
        </w:rPr>
        <w:t>i</w:t>
      </w:r>
      <w:r w:rsidRPr="00883399">
        <w:rPr>
          <w:sz w:val="18"/>
          <w:szCs w:val="18"/>
        </w:rPr>
        <w:t xml:space="preserve"> is the energy content factor of fuel type (i) estimated under section 6.5.  </w:t>
      </w:r>
      <w:r w:rsidRPr="00883399">
        <w:rPr>
          <w:b/>
          <w:sz w:val="18"/>
          <w:szCs w:val="18"/>
        </w:rPr>
        <w:t>In this case the energy content factor of bituminous coal is estimated to be 28.5 GJ/t.</w:t>
      </w:r>
    </w:p>
    <w:p w14:paraId="4D0EB854"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sz w:val="22"/>
          <w:szCs w:val="22"/>
        </w:rPr>
      </w:pPr>
      <w:r w:rsidRPr="00883399">
        <w:rPr>
          <w:sz w:val="22"/>
          <w:szCs w:val="22"/>
        </w:rPr>
        <w:t>= 2.69/28.5 x 1 000</w:t>
      </w:r>
    </w:p>
    <w:p w14:paraId="48C2467B"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sz w:val="22"/>
          <w:szCs w:val="22"/>
        </w:rPr>
      </w:pPr>
      <w:r w:rsidRPr="00883399">
        <w:rPr>
          <w:sz w:val="22"/>
          <w:szCs w:val="22"/>
        </w:rPr>
        <w:t>= 94.4 kg of CO</w:t>
      </w:r>
      <w:r w:rsidRPr="00883399">
        <w:rPr>
          <w:sz w:val="22"/>
          <w:szCs w:val="22"/>
          <w:vertAlign w:val="subscript"/>
        </w:rPr>
        <w:t>2</w:t>
      </w:r>
      <w:r w:rsidRPr="00883399">
        <w:rPr>
          <w:sz w:val="22"/>
          <w:szCs w:val="22"/>
        </w:rPr>
        <w:noBreakHyphen/>
        <w:t>e per gigajoule</w:t>
      </w:r>
    </w:p>
    <w:p w14:paraId="6016BFF6"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22"/>
          <w:szCs w:val="22"/>
        </w:rPr>
      </w:pPr>
      <w:r w:rsidRPr="00883399">
        <w:rPr>
          <w:sz w:val="22"/>
          <w:szCs w:val="22"/>
        </w:rPr>
        <w:t>3. Estimate emissions as follows:</w:t>
      </w:r>
    </w:p>
    <w:p w14:paraId="63CF340E"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jc w:val="center"/>
        <w:rPr>
          <w:sz w:val="22"/>
          <w:szCs w:val="22"/>
        </w:rPr>
      </w:pPr>
      <w:r w:rsidRPr="00883399">
        <w:rPr>
          <w:color w:val="000000"/>
          <w:position w:val="-24"/>
        </w:rPr>
        <w:object w:dxaOrig="3860" w:dyaOrig="660" w14:anchorId="561EB12B">
          <v:shape id="_x0000_i1028" type="#_x0000_t75" style="width:234pt;height:39pt" o:ole="" o:bordertopcolor="this" o:borderleftcolor="this" o:borderbottomcolor="this" o:borderrightcolor="this">
            <v:imagedata r:id="rId42" o:title=""/>
          </v:shape>
          <o:OLEObject Type="Embed" ProgID="Equation.DSMT4" ShapeID="_x0000_i1028" DrawAspect="Content" ObjectID="_1594105919" r:id="rId43"/>
        </w:object>
      </w:r>
    </w:p>
    <w:p w14:paraId="1F0CE850"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sz w:val="18"/>
          <w:szCs w:val="18"/>
        </w:rPr>
      </w:pPr>
      <w:r w:rsidRPr="00883399">
        <w:rPr>
          <w:sz w:val="18"/>
          <w:szCs w:val="18"/>
        </w:rPr>
        <w:lastRenderedPageBreak/>
        <w:t>where:</w:t>
      </w:r>
    </w:p>
    <w:p w14:paraId="4D38F5C4"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sz w:val="18"/>
          <w:szCs w:val="18"/>
        </w:rPr>
      </w:pPr>
      <w:r w:rsidRPr="00883399">
        <w:rPr>
          <w:b/>
          <w:i/>
          <w:sz w:val="18"/>
          <w:szCs w:val="18"/>
        </w:rPr>
        <w:t>E</w:t>
      </w:r>
      <w:r w:rsidRPr="00883399">
        <w:rPr>
          <w:b/>
          <w:i/>
          <w:sz w:val="18"/>
          <w:szCs w:val="18"/>
          <w:vertAlign w:val="subscript"/>
        </w:rPr>
        <w:t>ico2</w:t>
      </w:r>
      <w:r w:rsidRPr="00883399">
        <w:rPr>
          <w:b/>
          <w:i/>
          <w:sz w:val="18"/>
          <w:szCs w:val="18"/>
        </w:rPr>
        <w:t xml:space="preserve"> </w:t>
      </w:r>
      <w:r w:rsidRPr="00883399">
        <w:rPr>
          <w:sz w:val="18"/>
          <w:szCs w:val="18"/>
        </w:rPr>
        <w:t>means the emissions of</w:t>
      </w:r>
      <w:r w:rsidRPr="00883399">
        <w:rPr>
          <w:b/>
          <w:sz w:val="18"/>
          <w:szCs w:val="18"/>
        </w:rPr>
        <w:t xml:space="preserve"> </w:t>
      </w:r>
      <w:r w:rsidRPr="00883399">
        <w:rPr>
          <w:sz w:val="18"/>
          <w:szCs w:val="18"/>
        </w:rPr>
        <w:t>carbon dioxide</w:t>
      </w:r>
      <w:r w:rsidRPr="00883399">
        <w:rPr>
          <w:sz w:val="18"/>
          <w:szCs w:val="18"/>
          <w:vertAlign w:val="subscript"/>
        </w:rPr>
        <w:t xml:space="preserve"> </w:t>
      </w:r>
      <w:r w:rsidRPr="00883399">
        <w:rPr>
          <w:sz w:val="18"/>
          <w:szCs w:val="18"/>
        </w:rPr>
        <w:t>released from the combustion of a fuel type (</w:t>
      </w:r>
      <w:r w:rsidRPr="00883399">
        <w:rPr>
          <w:b/>
          <w:i/>
          <w:sz w:val="18"/>
          <w:szCs w:val="18"/>
        </w:rPr>
        <w:t>i</w:t>
      </w:r>
      <w:r w:rsidRPr="00883399">
        <w:rPr>
          <w:sz w:val="18"/>
          <w:szCs w:val="18"/>
        </w:rPr>
        <w:t>) from the operation of the facility during</w:t>
      </w:r>
      <w:r w:rsidRPr="00883399">
        <w:rPr>
          <w:sz w:val="18"/>
          <w:szCs w:val="18"/>
          <w:vertAlign w:val="subscript"/>
        </w:rPr>
        <w:t xml:space="preserve"> </w:t>
      </w:r>
      <w:r w:rsidRPr="00883399">
        <w:rPr>
          <w:sz w:val="18"/>
          <w:szCs w:val="18"/>
        </w:rPr>
        <w:t>the year measured in CO</w:t>
      </w:r>
      <w:r w:rsidRPr="00883399">
        <w:rPr>
          <w:sz w:val="18"/>
          <w:szCs w:val="18"/>
          <w:vertAlign w:val="subscript"/>
        </w:rPr>
        <w:t>2</w:t>
      </w:r>
      <w:r w:rsidRPr="00883399">
        <w:rPr>
          <w:sz w:val="18"/>
          <w:szCs w:val="18"/>
        </w:rPr>
        <w:noBreakHyphen/>
        <w:t>e tonnes.</w:t>
      </w:r>
    </w:p>
    <w:p w14:paraId="1D393C98"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sz w:val="18"/>
          <w:szCs w:val="18"/>
        </w:rPr>
      </w:pPr>
      <w:r w:rsidRPr="00883399">
        <w:rPr>
          <w:b/>
          <w:i/>
          <w:sz w:val="18"/>
          <w:szCs w:val="18"/>
        </w:rPr>
        <w:t>Q</w:t>
      </w:r>
      <w:r w:rsidRPr="00883399">
        <w:rPr>
          <w:b/>
          <w:i/>
          <w:sz w:val="18"/>
          <w:szCs w:val="18"/>
          <w:vertAlign w:val="subscript"/>
        </w:rPr>
        <w:t>i</w:t>
      </w:r>
      <w:r w:rsidRPr="00883399">
        <w:rPr>
          <w:sz w:val="18"/>
          <w:szCs w:val="18"/>
        </w:rPr>
        <w:t xml:space="preserve"> is the quantity of fuel type (</w:t>
      </w:r>
      <w:r w:rsidRPr="00883399">
        <w:rPr>
          <w:b/>
          <w:i/>
          <w:sz w:val="18"/>
          <w:szCs w:val="18"/>
        </w:rPr>
        <w:t>i</w:t>
      </w:r>
      <w:r w:rsidRPr="00883399">
        <w:rPr>
          <w:sz w:val="18"/>
          <w:szCs w:val="18"/>
        </w:rPr>
        <w:t>) measured in tonnes estimated under Division 2.2.5.</w:t>
      </w:r>
    </w:p>
    <w:p w14:paraId="37D64546"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sz w:val="18"/>
          <w:szCs w:val="18"/>
        </w:rPr>
      </w:pPr>
      <w:r w:rsidRPr="00883399">
        <w:rPr>
          <w:b/>
          <w:i/>
          <w:sz w:val="18"/>
          <w:szCs w:val="18"/>
        </w:rPr>
        <w:t>EC</w:t>
      </w:r>
      <w:r w:rsidRPr="00883399">
        <w:rPr>
          <w:b/>
          <w:i/>
          <w:sz w:val="18"/>
          <w:szCs w:val="18"/>
          <w:vertAlign w:val="subscript"/>
        </w:rPr>
        <w:t>i</w:t>
      </w:r>
      <w:r w:rsidRPr="00883399">
        <w:rPr>
          <w:sz w:val="18"/>
          <w:szCs w:val="18"/>
        </w:rPr>
        <w:t xml:space="preserve"> is the energy content factor of fuel type (i) estimated under section 6.5.</w:t>
      </w:r>
    </w:p>
    <w:p w14:paraId="322C4ECB"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b/>
          <w:i/>
          <w:sz w:val="18"/>
          <w:szCs w:val="18"/>
        </w:rPr>
      </w:pPr>
      <w:r w:rsidRPr="00883399">
        <w:rPr>
          <w:b/>
          <w:i/>
          <w:sz w:val="18"/>
          <w:szCs w:val="18"/>
        </w:rPr>
        <w:t xml:space="preserve">γ </w:t>
      </w:r>
      <w:r w:rsidRPr="00883399">
        <w:rPr>
          <w:sz w:val="18"/>
          <w:szCs w:val="18"/>
        </w:rPr>
        <w:t>is the factor 1.861 × 10 3 for converting a quantity of carbon dioxide from cubic metres at standard conditions of pressure and temperature to CO</w:t>
      </w:r>
      <w:r w:rsidRPr="00883399">
        <w:rPr>
          <w:sz w:val="18"/>
          <w:szCs w:val="18"/>
          <w:vertAlign w:val="subscript"/>
        </w:rPr>
        <w:t>2</w:t>
      </w:r>
      <w:r w:rsidRPr="00883399">
        <w:rPr>
          <w:sz w:val="18"/>
          <w:szCs w:val="18"/>
        </w:rPr>
        <w:t xml:space="preserve"> e tonnes.</w:t>
      </w:r>
    </w:p>
    <w:p w14:paraId="68D79CB5"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b/>
          <w:i/>
          <w:sz w:val="18"/>
          <w:szCs w:val="18"/>
        </w:rPr>
      </w:pPr>
      <w:r w:rsidRPr="00883399">
        <w:rPr>
          <w:b/>
          <w:i/>
          <w:color w:val="000000"/>
        </w:rPr>
        <w:t>RCCS</w:t>
      </w:r>
      <w:r w:rsidRPr="00883399">
        <w:rPr>
          <w:b/>
          <w:i/>
          <w:color w:val="000000"/>
          <w:vertAlign w:val="subscript"/>
        </w:rPr>
        <w:t>CO</w:t>
      </w:r>
      <w:r w:rsidRPr="00883399">
        <w:rPr>
          <w:rFonts w:ascii="Times New Roman Bold" w:hAnsi="Times New Roman Bold"/>
          <w:b/>
          <w:i/>
          <w:color w:val="000000"/>
          <w:position w:val="-6"/>
          <w:vertAlign w:val="subscript"/>
        </w:rPr>
        <w:t xml:space="preserve">2 </w:t>
      </w:r>
      <w:r w:rsidRPr="00883399">
        <w:rPr>
          <w:b/>
          <w:i/>
          <w:sz w:val="18"/>
          <w:szCs w:val="18"/>
        </w:rPr>
        <w:t xml:space="preserve"> </w:t>
      </w:r>
      <w:r w:rsidRPr="00883399">
        <w:rPr>
          <w:sz w:val="18"/>
          <w:szCs w:val="18"/>
        </w:rPr>
        <w:t>is carbon dioxide captured for permanent storage measured in cubic metres in accordance with Division 1.2.3.</w:t>
      </w:r>
    </w:p>
    <w:p w14:paraId="32A3B93A"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sz w:val="18"/>
          <w:szCs w:val="18"/>
        </w:rPr>
      </w:pPr>
      <w:r w:rsidRPr="00883399">
        <w:rPr>
          <w:b/>
          <w:i/>
          <w:sz w:val="18"/>
          <w:szCs w:val="18"/>
        </w:rPr>
        <w:t>EF</w:t>
      </w:r>
      <w:r w:rsidRPr="00883399">
        <w:rPr>
          <w:b/>
          <w:i/>
          <w:sz w:val="18"/>
          <w:szCs w:val="18"/>
          <w:vertAlign w:val="subscript"/>
        </w:rPr>
        <w:t>ico2oxec</w:t>
      </w:r>
      <w:r w:rsidRPr="00883399">
        <w:rPr>
          <w:sz w:val="18"/>
          <w:szCs w:val="18"/>
        </w:rPr>
        <w:t xml:space="preserve"> is the carbon dioxide emission factor for fuel type (</w:t>
      </w:r>
      <w:r w:rsidRPr="00883399">
        <w:rPr>
          <w:b/>
          <w:i/>
          <w:sz w:val="18"/>
          <w:szCs w:val="18"/>
        </w:rPr>
        <w:t>i</w:t>
      </w:r>
      <w:r w:rsidRPr="00883399">
        <w:rPr>
          <w:sz w:val="18"/>
          <w:szCs w:val="18"/>
        </w:rPr>
        <w:t>) measured in kilograms of CO</w:t>
      </w:r>
      <w:r w:rsidRPr="00883399">
        <w:rPr>
          <w:sz w:val="18"/>
          <w:szCs w:val="18"/>
          <w:vertAlign w:val="subscript"/>
        </w:rPr>
        <w:t>2</w:t>
      </w:r>
      <w:r w:rsidRPr="00883399">
        <w:rPr>
          <w:sz w:val="18"/>
          <w:szCs w:val="18"/>
        </w:rPr>
        <w:noBreakHyphen/>
        <w:t>e per gigajoule.</w:t>
      </w:r>
    </w:p>
    <w:p w14:paraId="4E05A802" w14:textId="77777777" w:rsidR="00000AEA" w:rsidRPr="00883399" w:rsidRDefault="00000AEA" w:rsidP="00000AEA">
      <w:pPr>
        <w:pStyle w:val="Text"/>
        <w:pBdr>
          <w:top w:val="single" w:sz="4" w:space="1" w:color="auto"/>
          <w:left w:val="single" w:sz="4" w:space="4" w:color="auto"/>
          <w:bottom w:val="single" w:sz="4" w:space="1" w:color="auto"/>
          <w:right w:val="single" w:sz="4" w:space="5" w:color="auto"/>
        </w:pBdr>
        <w:rPr>
          <w:sz w:val="22"/>
          <w:szCs w:val="22"/>
        </w:rPr>
      </w:pPr>
      <w:r w:rsidRPr="00883399">
        <w:rPr>
          <w:sz w:val="22"/>
          <w:szCs w:val="22"/>
        </w:rPr>
        <w:t>= 100,000 x 28.5 x 96.8/1 000</w:t>
      </w:r>
    </w:p>
    <w:p w14:paraId="4A0B2892" w14:textId="77777777" w:rsidR="00000AEA" w:rsidRPr="00883399" w:rsidRDefault="00000AEA" w:rsidP="00000AEA">
      <w:pPr>
        <w:pStyle w:val="Text"/>
        <w:pBdr>
          <w:top w:val="single" w:sz="4" w:space="1" w:color="auto"/>
          <w:left w:val="single" w:sz="4" w:space="4" w:color="auto"/>
          <w:bottom w:val="single" w:sz="4" w:space="1" w:color="auto"/>
          <w:right w:val="single" w:sz="4" w:space="5" w:color="auto"/>
        </w:pBdr>
        <w:rPr>
          <w:sz w:val="22"/>
          <w:szCs w:val="22"/>
        </w:rPr>
      </w:pPr>
      <w:r w:rsidRPr="00883399">
        <w:rPr>
          <w:sz w:val="22"/>
          <w:szCs w:val="22"/>
        </w:rPr>
        <w:t xml:space="preserve">= </w:t>
      </w:r>
      <w:r w:rsidR="00FE0F42" w:rsidRPr="00883399">
        <w:rPr>
          <w:sz w:val="22"/>
          <w:szCs w:val="22"/>
        </w:rPr>
        <w:t>269,040</w:t>
      </w:r>
      <w:r w:rsidRPr="00883399">
        <w:rPr>
          <w:sz w:val="22"/>
          <w:szCs w:val="22"/>
        </w:rPr>
        <w:t>tonnes of carbon dioxide emissions (CO</w:t>
      </w:r>
      <w:r w:rsidRPr="00883399">
        <w:rPr>
          <w:sz w:val="22"/>
          <w:szCs w:val="22"/>
          <w:vertAlign w:val="subscript"/>
        </w:rPr>
        <w:t>2</w:t>
      </w:r>
      <w:r w:rsidRPr="00883399">
        <w:rPr>
          <w:sz w:val="22"/>
          <w:szCs w:val="22"/>
        </w:rPr>
        <w:noBreakHyphen/>
        <w:t>e).</w:t>
      </w:r>
    </w:p>
    <w:p w14:paraId="29204CB2"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sz w:val="22"/>
          <w:szCs w:val="22"/>
        </w:rPr>
      </w:pPr>
      <w:r w:rsidRPr="00883399">
        <w:rPr>
          <w:sz w:val="22"/>
          <w:szCs w:val="22"/>
        </w:rPr>
        <w:t>Methane and nitrous oxide emissions are estimated according to Method 1 as follows:</w:t>
      </w:r>
    </w:p>
    <w:p w14:paraId="572B1278"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jc w:val="center"/>
        <w:rPr>
          <w:sz w:val="22"/>
          <w:szCs w:val="22"/>
        </w:rPr>
      </w:pPr>
      <w:r w:rsidRPr="00883399">
        <w:rPr>
          <w:position w:val="-24"/>
        </w:rPr>
        <w:object w:dxaOrig="2600" w:dyaOrig="660" w14:anchorId="727FB35B">
          <v:shape id="_x0000_i1029" type="#_x0000_t75" style="width:162pt;height:39pt" o:ole="" o:bordertopcolor="this" o:borderleftcolor="this" o:borderbottomcolor="this" o:borderrightcolor="this">
            <v:imagedata r:id="rId32" o:title=""/>
          </v:shape>
          <o:OLEObject Type="Embed" ProgID="Equation.DSMT4" ShapeID="_x0000_i1029" DrawAspect="Content" ObjectID="_1594105920" r:id="rId44"/>
        </w:object>
      </w:r>
    </w:p>
    <w:p w14:paraId="2A705C36"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sz w:val="18"/>
          <w:szCs w:val="18"/>
        </w:rPr>
      </w:pPr>
      <w:r w:rsidRPr="00883399">
        <w:rPr>
          <w:sz w:val="18"/>
          <w:szCs w:val="18"/>
        </w:rPr>
        <w:t>where:</w:t>
      </w:r>
    </w:p>
    <w:p w14:paraId="338E5C8F"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sz w:val="18"/>
          <w:szCs w:val="18"/>
        </w:rPr>
      </w:pPr>
      <w:r w:rsidRPr="00883399">
        <w:rPr>
          <w:b/>
          <w:i/>
          <w:sz w:val="18"/>
          <w:szCs w:val="18"/>
        </w:rPr>
        <w:t>E</w:t>
      </w:r>
      <w:r w:rsidRPr="00883399">
        <w:rPr>
          <w:b/>
          <w:i/>
          <w:iCs/>
          <w:sz w:val="18"/>
          <w:szCs w:val="18"/>
          <w:vertAlign w:val="subscript"/>
        </w:rPr>
        <w:t xml:space="preserve">ij </w:t>
      </w:r>
      <w:r w:rsidRPr="00883399">
        <w:rPr>
          <w:sz w:val="18"/>
          <w:szCs w:val="18"/>
        </w:rPr>
        <w:t>is the emissions of gas type (</w:t>
      </w:r>
      <w:r w:rsidRPr="00883399">
        <w:rPr>
          <w:b/>
          <w:i/>
          <w:sz w:val="18"/>
          <w:szCs w:val="18"/>
        </w:rPr>
        <w:t>j</w:t>
      </w:r>
      <w:r w:rsidRPr="00883399">
        <w:rPr>
          <w:sz w:val="18"/>
          <w:szCs w:val="18"/>
        </w:rPr>
        <w:t>) released from the combustion of fuel type (</w:t>
      </w:r>
      <w:r w:rsidRPr="00883399">
        <w:rPr>
          <w:b/>
          <w:i/>
          <w:sz w:val="18"/>
          <w:szCs w:val="18"/>
        </w:rPr>
        <w:t>i</w:t>
      </w:r>
      <w:r w:rsidRPr="00883399">
        <w:rPr>
          <w:sz w:val="18"/>
          <w:szCs w:val="18"/>
        </w:rPr>
        <w:t>) from the operation of the facility during the year measured in CO</w:t>
      </w:r>
      <w:r w:rsidRPr="00883399">
        <w:rPr>
          <w:sz w:val="18"/>
          <w:szCs w:val="18"/>
          <w:vertAlign w:val="subscript"/>
        </w:rPr>
        <w:t>2</w:t>
      </w:r>
      <w:r w:rsidRPr="00883399">
        <w:rPr>
          <w:sz w:val="18"/>
          <w:szCs w:val="18"/>
        </w:rPr>
        <w:noBreakHyphen/>
        <w:t>e tonnes.</w:t>
      </w:r>
    </w:p>
    <w:p w14:paraId="7781A4B9"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sz w:val="18"/>
          <w:szCs w:val="18"/>
        </w:rPr>
      </w:pPr>
      <w:r w:rsidRPr="00883399">
        <w:rPr>
          <w:b/>
          <w:i/>
          <w:sz w:val="18"/>
          <w:szCs w:val="18"/>
        </w:rPr>
        <w:t>Q</w:t>
      </w:r>
      <w:r w:rsidRPr="00883399">
        <w:rPr>
          <w:b/>
          <w:i/>
          <w:sz w:val="18"/>
          <w:szCs w:val="18"/>
          <w:vertAlign w:val="subscript"/>
        </w:rPr>
        <w:t>i</w:t>
      </w:r>
      <w:r w:rsidRPr="00883399">
        <w:rPr>
          <w:sz w:val="18"/>
          <w:szCs w:val="18"/>
          <w:vertAlign w:val="subscript"/>
        </w:rPr>
        <w:t xml:space="preserve"> </w:t>
      </w:r>
      <w:r w:rsidRPr="00883399">
        <w:rPr>
          <w:sz w:val="18"/>
          <w:szCs w:val="18"/>
        </w:rPr>
        <w:t xml:space="preserve">is the quantity of fuel type </w:t>
      </w:r>
      <w:r w:rsidRPr="00883399">
        <w:rPr>
          <w:i/>
          <w:sz w:val="18"/>
          <w:szCs w:val="18"/>
        </w:rPr>
        <w:t>(</w:t>
      </w:r>
      <w:r w:rsidRPr="00883399">
        <w:rPr>
          <w:b/>
          <w:i/>
          <w:sz w:val="18"/>
          <w:szCs w:val="18"/>
        </w:rPr>
        <w:t>i</w:t>
      </w:r>
      <w:r w:rsidRPr="00883399">
        <w:rPr>
          <w:i/>
          <w:sz w:val="18"/>
          <w:szCs w:val="18"/>
        </w:rPr>
        <w:t>)</w:t>
      </w:r>
      <w:r w:rsidRPr="00883399">
        <w:rPr>
          <w:sz w:val="18"/>
          <w:szCs w:val="18"/>
        </w:rPr>
        <w:t xml:space="preserve"> estimated under Division 2.2.5 measured in tonnes.</w:t>
      </w:r>
    </w:p>
    <w:p w14:paraId="4399580D"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sz w:val="18"/>
          <w:szCs w:val="18"/>
        </w:rPr>
      </w:pPr>
      <w:r w:rsidRPr="00883399">
        <w:rPr>
          <w:b/>
          <w:i/>
          <w:sz w:val="18"/>
          <w:szCs w:val="18"/>
        </w:rPr>
        <w:t>EC</w:t>
      </w:r>
      <w:r w:rsidRPr="00883399">
        <w:rPr>
          <w:b/>
          <w:i/>
          <w:sz w:val="18"/>
          <w:szCs w:val="18"/>
          <w:vertAlign w:val="subscript"/>
        </w:rPr>
        <w:t>i</w:t>
      </w:r>
      <w:r w:rsidRPr="00883399">
        <w:rPr>
          <w:sz w:val="18"/>
          <w:szCs w:val="18"/>
        </w:rPr>
        <w:t xml:space="preserve"> is the energy content factor of fuel type (i) estimated under section 6.5.</w:t>
      </w:r>
    </w:p>
    <w:p w14:paraId="6CD3B486"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sz w:val="18"/>
          <w:szCs w:val="18"/>
        </w:rPr>
      </w:pPr>
      <w:r w:rsidRPr="00883399">
        <w:rPr>
          <w:b/>
          <w:i/>
          <w:sz w:val="18"/>
          <w:szCs w:val="18"/>
        </w:rPr>
        <w:t>EF</w:t>
      </w:r>
      <w:r w:rsidRPr="00883399">
        <w:rPr>
          <w:b/>
          <w:i/>
          <w:sz w:val="18"/>
          <w:szCs w:val="18"/>
          <w:vertAlign w:val="subscript"/>
        </w:rPr>
        <w:t>ijoxec</w:t>
      </w:r>
      <w:r w:rsidRPr="00883399">
        <w:rPr>
          <w:sz w:val="18"/>
          <w:szCs w:val="18"/>
        </w:rPr>
        <w:t xml:space="preserve"> is the emission factor for each gas (which includes the effect of a default oxidation factor) released from the combustion of fuel type (</w:t>
      </w:r>
      <w:r w:rsidRPr="00883399">
        <w:rPr>
          <w:b/>
          <w:i/>
          <w:sz w:val="18"/>
          <w:szCs w:val="18"/>
        </w:rPr>
        <w:t>i</w:t>
      </w:r>
      <w:r w:rsidRPr="00883399">
        <w:rPr>
          <w:sz w:val="18"/>
          <w:szCs w:val="18"/>
        </w:rPr>
        <w:t>) measured in kilograms of CO</w:t>
      </w:r>
      <w:r w:rsidRPr="00883399">
        <w:rPr>
          <w:sz w:val="18"/>
          <w:szCs w:val="18"/>
          <w:vertAlign w:val="subscript"/>
        </w:rPr>
        <w:t>2</w:t>
      </w:r>
      <w:r w:rsidRPr="00883399">
        <w:rPr>
          <w:sz w:val="18"/>
          <w:szCs w:val="18"/>
        </w:rPr>
        <w:noBreakHyphen/>
        <w:t>e per gigajoule (Schedule 1).</w:t>
      </w:r>
    </w:p>
    <w:p w14:paraId="10C175AA"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720"/>
        <w:rPr>
          <w:sz w:val="22"/>
          <w:szCs w:val="22"/>
        </w:rPr>
      </w:pPr>
      <w:r w:rsidRPr="00883399">
        <w:rPr>
          <w:sz w:val="22"/>
          <w:szCs w:val="22"/>
        </w:rPr>
        <w:t>Emissions of methane from combustion of bituminous coal:</w:t>
      </w:r>
    </w:p>
    <w:p w14:paraId="68CBAD55"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720"/>
        <w:rPr>
          <w:sz w:val="22"/>
          <w:szCs w:val="22"/>
        </w:rPr>
      </w:pPr>
      <w:r w:rsidRPr="00883399">
        <w:rPr>
          <w:sz w:val="22"/>
          <w:szCs w:val="22"/>
        </w:rPr>
        <w:t xml:space="preserve">= (100,000 x 28.5 x 0.03)/1 000 </w:t>
      </w:r>
    </w:p>
    <w:p w14:paraId="68C58705"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720"/>
        <w:rPr>
          <w:sz w:val="22"/>
          <w:szCs w:val="22"/>
        </w:rPr>
      </w:pPr>
      <w:r w:rsidRPr="00883399">
        <w:rPr>
          <w:sz w:val="22"/>
          <w:szCs w:val="22"/>
        </w:rPr>
        <w:t>= 86 t CO</w:t>
      </w:r>
      <w:r w:rsidRPr="00883399">
        <w:rPr>
          <w:sz w:val="22"/>
          <w:szCs w:val="22"/>
          <w:vertAlign w:val="subscript"/>
        </w:rPr>
        <w:t>2</w:t>
      </w:r>
      <w:r w:rsidRPr="00883399">
        <w:rPr>
          <w:sz w:val="22"/>
          <w:szCs w:val="22"/>
        </w:rPr>
        <w:t xml:space="preserve">-e </w:t>
      </w:r>
    </w:p>
    <w:p w14:paraId="7CD9AF4B"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720"/>
        <w:rPr>
          <w:sz w:val="22"/>
          <w:szCs w:val="22"/>
        </w:rPr>
      </w:pPr>
      <w:r w:rsidRPr="00883399">
        <w:rPr>
          <w:sz w:val="22"/>
          <w:szCs w:val="22"/>
        </w:rPr>
        <w:t>Emissions of nitrous oxide from combustion of bituminous coal:</w:t>
      </w:r>
    </w:p>
    <w:p w14:paraId="4626C057"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720"/>
        <w:rPr>
          <w:sz w:val="22"/>
          <w:szCs w:val="22"/>
        </w:rPr>
      </w:pPr>
      <w:r w:rsidRPr="00883399">
        <w:rPr>
          <w:sz w:val="22"/>
          <w:szCs w:val="22"/>
        </w:rPr>
        <w:lastRenderedPageBreak/>
        <w:t xml:space="preserve">= (100,000 x 28.5 x 0.2)/1 000 </w:t>
      </w:r>
    </w:p>
    <w:p w14:paraId="57AD9941"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720"/>
        <w:rPr>
          <w:sz w:val="22"/>
          <w:szCs w:val="22"/>
        </w:rPr>
      </w:pPr>
      <w:r w:rsidRPr="00883399">
        <w:rPr>
          <w:sz w:val="22"/>
          <w:szCs w:val="22"/>
        </w:rPr>
        <w:t>= 570 t CO</w:t>
      </w:r>
      <w:r w:rsidRPr="00883399">
        <w:rPr>
          <w:sz w:val="22"/>
          <w:szCs w:val="22"/>
          <w:vertAlign w:val="subscript"/>
        </w:rPr>
        <w:t>2</w:t>
      </w:r>
      <w:r w:rsidRPr="00883399">
        <w:rPr>
          <w:sz w:val="22"/>
          <w:szCs w:val="22"/>
        </w:rPr>
        <w:t xml:space="preserve">-e </w:t>
      </w:r>
    </w:p>
    <w:p w14:paraId="39DD2FAD" w14:textId="77777777" w:rsidR="00872C03" w:rsidRPr="00883399" w:rsidRDefault="00872C03" w:rsidP="00872C03">
      <w:pPr>
        <w:pStyle w:val="Definition0"/>
        <w:rPr>
          <w:sz w:val="24"/>
        </w:rPr>
      </w:pPr>
    </w:p>
    <w:p w14:paraId="757ACA40" w14:textId="77777777" w:rsidR="00872C03" w:rsidRPr="00883399" w:rsidRDefault="00872C03" w:rsidP="00872C03">
      <w:pPr>
        <w:pStyle w:val="Definition0"/>
        <w:rPr>
          <w:sz w:val="24"/>
        </w:rPr>
      </w:pPr>
    </w:p>
    <w:p w14:paraId="02ADE141" w14:textId="77777777" w:rsidR="00872C03" w:rsidRPr="00883399" w:rsidRDefault="00872C03" w:rsidP="00872C03">
      <w:pPr>
        <w:pStyle w:val="Definition0"/>
        <w:rPr>
          <w:sz w:val="24"/>
        </w:rPr>
      </w:pPr>
    </w:p>
    <w:p w14:paraId="63A73295" w14:textId="61462AE5" w:rsidR="00872C03" w:rsidRPr="00883399" w:rsidRDefault="00872C03" w:rsidP="00872C03">
      <w:pPr>
        <w:pStyle w:val="ActHead4"/>
        <w:rPr>
          <w:sz w:val="28"/>
        </w:rPr>
      </w:pPr>
      <w:bookmarkStart w:id="173" w:name="_Toc423516744"/>
      <w:bookmarkStart w:id="174" w:name="_Toc495652658"/>
      <w:r w:rsidRPr="00883399">
        <w:rPr>
          <w:rStyle w:val="CharSubdNo"/>
          <w:sz w:val="28"/>
        </w:rPr>
        <w:t>Subdivision 2.2.3.2</w:t>
      </w:r>
      <w:r w:rsidRPr="00883399">
        <w:rPr>
          <w:sz w:val="28"/>
        </w:rPr>
        <w:t>—</w:t>
      </w:r>
      <w:r w:rsidRPr="00883399">
        <w:rPr>
          <w:rStyle w:val="CharSubdText"/>
          <w:sz w:val="28"/>
        </w:rPr>
        <w:t>Method 2—estimating carbon dioxide using an estimated oxidation factor</w:t>
      </w:r>
      <w:bookmarkEnd w:id="173"/>
      <w:bookmarkEnd w:id="174"/>
    </w:p>
    <w:p w14:paraId="204C7246" w14:textId="02A1C2C8" w:rsidR="00872C03" w:rsidRPr="00883399" w:rsidRDefault="00872C03" w:rsidP="00872C03">
      <w:pPr>
        <w:pStyle w:val="ActHead5"/>
        <w:rPr>
          <w:sz w:val="28"/>
        </w:rPr>
      </w:pPr>
      <w:bookmarkStart w:id="175" w:name="_Toc423516745"/>
      <w:bookmarkStart w:id="176" w:name="_Toc495652659"/>
      <w:r w:rsidRPr="00883399">
        <w:rPr>
          <w:rStyle w:val="CharSectno"/>
          <w:sz w:val="28"/>
        </w:rPr>
        <w:t>2.6</w:t>
      </w:r>
      <w:r w:rsidRPr="00883399">
        <w:rPr>
          <w:sz w:val="28"/>
        </w:rPr>
        <w:t xml:space="preserve">  Method 2—estimating carbon dioxide using an estimated oxidation factor</w:t>
      </w:r>
      <w:bookmarkEnd w:id="175"/>
      <w:bookmarkEnd w:id="176"/>
    </w:p>
    <w:p w14:paraId="2FC8A060" w14:textId="77777777" w:rsidR="00872C03" w:rsidRPr="00883399" w:rsidRDefault="00872C03" w:rsidP="00872C03">
      <w:pPr>
        <w:pStyle w:val="R1"/>
        <w:spacing w:before="240" w:after="80" w:line="312" w:lineRule="auto"/>
        <w:ind w:left="0" w:hanging="6"/>
        <w:jc w:val="left"/>
        <w:rPr>
          <w:rFonts w:ascii="Arial" w:hAnsi="Arial" w:cs="Arial"/>
          <w:color w:val="000000"/>
          <w:sz w:val="22"/>
          <w:szCs w:val="22"/>
        </w:rPr>
      </w:pPr>
      <w:r w:rsidRPr="00883399">
        <w:rPr>
          <w:rFonts w:ascii="Arial" w:hAnsi="Arial" w:cs="Arial"/>
          <w:color w:val="000000"/>
          <w:sz w:val="22"/>
          <w:szCs w:val="22"/>
        </w:rPr>
        <w:t xml:space="preserve">Sub-division 2.2.3.2 sets out the second option for the estimation of emissions from solid fuel combustion using an estimated oxidation level by reference to additional information about the fuels combusted by the facility. An alternative approach, using an assumed oxidation factor, is set out in sub-division 2.2.3.1. </w:t>
      </w:r>
    </w:p>
    <w:p w14:paraId="3EBD5E83" w14:textId="77777777" w:rsidR="00872C03" w:rsidRPr="00883399" w:rsidRDefault="00872C03" w:rsidP="00872C03">
      <w:pPr>
        <w:pStyle w:val="subsection"/>
      </w:pPr>
    </w:p>
    <w:p w14:paraId="01DFA70D" w14:textId="77777777" w:rsidR="00872C03" w:rsidRPr="00883399" w:rsidRDefault="00872C03" w:rsidP="00872C03">
      <w:pPr>
        <w:pStyle w:val="subsection"/>
        <w:rPr>
          <w:sz w:val="24"/>
        </w:rPr>
      </w:pPr>
      <w:r w:rsidRPr="00883399">
        <w:rPr>
          <w:sz w:val="24"/>
        </w:rPr>
        <w:tab/>
        <w:t>(1)</w:t>
      </w:r>
      <w:r w:rsidRPr="00883399">
        <w:rPr>
          <w:sz w:val="24"/>
        </w:rPr>
        <w:tab/>
        <w:t>For subparagraph 2.3(1)(a)(ii), method 2 is:</w:t>
      </w:r>
    </w:p>
    <w:p w14:paraId="7C1860EE" w14:textId="5AC7AE7D"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2810AA1D" wp14:editId="225ADE59">
            <wp:extent cx="2446020" cy="415925"/>
            <wp:effectExtent l="1905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5"/>
                    <a:srcRect/>
                    <a:stretch>
                      <a:fillRect/>
                    </a:stretch>
                  </pic:blipFill>
                  <pic:spPr bwMode="auto">
                    <a:xfrm>
                      <a:off x="0" y="0"/>
                      <a:ext cx="2446020" cy="415925"/>
                    </a:xfrm>
                    <a:prstGeom prst="rect">
                      <a:avLst/>
                    </a:prstGeom>
                    <a:noFill/>
                    <a:ln w="9525">
                      <a:noFill/>
                      <a:miter lim="800000"/>
                      <a:headEnd/>
                      <a:tailEnd/>
                    </a:ln>
                  </pic:spPr>
                </pic:pic>
              </a:graphicData>
            </a:graphic>
          </wp:inline>
        </w:drawing>
      </w:r>
    </w:p>
    <w:p w14:paraId="4E4B880B" w14:textId="77777777" w:rsidR="00872C03" w:rsidRPr="00883399" w:rsidRDefault="00872C03" w:rsidP="00872C03">
      <w:pPr>
        <w:pStyle w:val="subsection2"/>
        <w:rPr>
          <w:sz w:val="24"/>
        </w:rPr>
      </w:pPr>
      <w:r w:rsidRPr="00883399">
        <w:rPr>
          <w:sz w:val="24"/>
        </w:rPr>
        <w:t>where:</w:t>
      </w:r>
    </w:p>
    <w:p w14:paraId="42AEE909" w14:textId="77777777" w:rsidR="00872C03" w:rsidRPr="00883399" w:rsidRDefault="00872C03" w:rsidP="00872C03">
      <w:pPr>
        <w:pStyle w:val="Definition0"/>
        <w:rPr>
          <w:b/>
          <w:i/>
          <w:sz w:val="24"/>
        </w:rPr>
      </w:pPr>
      <w:r w:rsidRPr="00883399">
        <w:rPr>
          <w:b/>
          <w:i/>
          <w:sz w:val="24"/>
        </w:rPr>
        <w:t>E</w:t>
      </w:r>
      <w:r w:rsidRPr="00883399">
        <w:rPr>
          <w:b/>
          <w:i/>
          <w:sz w:val="24"/>
          <w:vertAlign w:val="subscript"/>
        </w:rPr>
        <w:t>ico</w:t>
      </w:r>
      <w:r w:rsidRPr="00883399">
        <w:rPr>
          <w:b/>
          <w:i/>
          <w:position w:val="-6"/>
          <w:sz w:val="24"/>
          <w:szCs w:val="22"/>
          <w:vertAlign w:val="subscript"/>
        </w:rPr>
        <w:t>2</w:t>
      </w:r>
      <w:r w:rsidRPr="00883399">
        <w:rPr>
          <w:b/>
          <w:i/>
          <w:sz w:val="24"/>
          <w:vertAlign w:val="subscript"/>
        </w:rPr>
        <w:t xml:space="preserve"> </w:t>
      </w:r>
      <w:r w:rsidRPr="00883399">
        <w:rPr>
          <w:sz w:val="24"/>
        </w:rPr>
        <w:t>means the emissions of carbon dioxide released from the combustion of fuel type (</w:t>
      </w:r>
      <w:r w:rsidRPr="00883399">
        <w:rPr>
          <w:b/>
          <w:i/>
          <w:sz w:val="24"/>
        </w:rPr>
        <w:t>i</w:t>
      </w:r>
      <w:r w:rsidRPr="00883399">
        <w:rPr>
          <w:sz w:val="24"/>
        </w:rPr>
        <w:t>) from the operation of the facility during the year measured in CO</w:t>
      </w:r>
      <w:r w:rsidRPr="00883399">
        <w:rPr>
          <w:sz w:val="24"/>
          <w:vertAlign w:val="subscript"/>
        </w:rPr>
        <w:t>2</w:t>
      </w:r>
      <w:r w:rsidRPr="00883399">
        <w:rPr>
          <w:sz w:val="24"/>
        </w:rPr>
        <w:noBreakHyphen/>
        <w:t>e tonnes.</w:t>
      </w:r>
    </w:p>
    <w:p w14:paraId="4B2ECC58" w14:textId="77777777" w:rsidR="00872C03" w:rsidRPr="00883399" w:rsidRDefault="00872C03" w:rsidP="00872C03">
      <w:pPr>
        <w:pStyle w:val="Definition0"/>
        <w:rPr>
          <w:sz w:val="24"/>
        </w:rPr>
      </w:pPr>
      <w:r w:rsidRPr="00883399">
        <w:rPr>
          <w:b/>
          <w:i/>
          <w:sz w:val="24"/>
        </w:rPr>
        <w:t>Q</w:t>
      </w:r>
      <w:r w:rsidRPr="00883399">
        <w:rPr>
          <w:b/>
          <w:i/>
          <w:sz w:val="24"/>
          <w:vertAlign w:val="subscript"/>
        </w:rPr>
        <w:t>i</w:t>
      </w:r>
      <w:r w:rsidRPr="00883399">
        <w:rPr>
          <w:b/>
          <w:i/>
          <w:sz w:val="24"/>
        </w:rPr>
        <w:t xml:space="preserve"> </w:t>
      </w:r>
      <w:r w:rsidRPr="00883399">
        <w:rPr>
          <w:sz w:val="24"/>
        </w:rPr>
        <w:t>is the quantity of fuel type (</w:t>
      </w:r>
      <w:r w:rsidRPr="00883399">
        <w:rPr>
          <w:b/>
          <w:i/>
          <w:sz w:val="24"/>
        </w:rPr>
        <w:t>i</w:t>
      </w:r>
      <w:r w:rsidRPr="00883399">
        <w:rPr>
          <w:sz w:val="24"/>
        </w:rPr>
        <w:t>) measured in tonnes and estimated under Division 2.2.5.</w:t>
      </w:r>
    </w:p>
    <w:p w14:paraId="5D623025" w14:textId="77777777" w:rsidR="00872C03" w:rsidRPr="00883399" w:rsidRDefault="00872C03" w:rsidP="00872C03">
      <w:pPr>
        <w:pStyle w:val="Definition0"/>
        <w:rPr>
          <w:sz w:val="24"/>
        </w:rPr>
      </w:pPr>
      <w:r w:rsidRPr="00883399">
        <w:rPr>
          <w:b/>
          <w:bCs/>
          <w:i/>
          <w:iCs/>
          <w:sz w:val="24"/>
        </w:rPr>
        <w:t>EC</w:t>
      </w:r>
      <w:r w:rsidRPr="00883399">
        <w:rPr>
          <w:rStyle w:val="charsubscript0"/>
          <w:b/>
          <w:bCs/>
          <w:i/>
          <w:iCs/>
        </w:rPr>
        <w:t xml:space="preserve">i  </w:t>
      </w:r>
      <w:r w:rsidRPr="00883399">
        <w:rPr>
          <w:sz w:val="24"/>
        </w:rPr>
        <w:t xml:space="preserve">is the energy content factor of fuel type </w:t>
      </w:r>
      <w:r w:rsidRPr="00883399">
        <w:rPr>
          <w:b/>
          <w:i/>
          <w:sz w:val="24"/>
        </w:rPr>
        <w:t xml:space="preserve">(i) </w:t>
      </w:r>
      <w:r w:rsidRPr="00883399">
        <w:rPr>
          <w:sz w:val="24"/>
        </w:rPr>
        <w:t xml:space="preserve">estimated under section 6.5. </w:t>
      </w:r>
    </w:p>
    <w:p w14:paraId="1ADDF607" w14:textId="77777777" w:rsidR="00872C03" w:rsidRPr="00883399" w:rsidRDefault="00872C03" w:rsidP="00872C03">
      <w:pPr>
        <w:pStyle w:val="Definition0"/>
        <w:rPr>
          <w:sz w:val="24"/>
        </w:rPr>
      </w:pPr>
      <w:r w:rsidRPr="00883399">
        <w:rPr>
          <w:b/>
          <w:i/>
          <w:sz w:val="24"/>
          <w:szCs w:val="22"/>
        </w:rPr>
        <w:t>EF</w:t>
      </w:r>
      <w:r w:rsidRPr="00883399">
        <w:rPr>
          <w:b/>
          <w:i/>
          <w:sz w:val="24"/>
          <w:szCs w:val="22"/>
          <w:vertAlign w:val="subscript"/>
        </w:rPr>
        <w:t>ico</w:t>
      </w:r>
      <w:r w:rsidRPr="00883399">
        <w:rPr>
          <w:b/>
          <w:i/>
          <w:position w:val="-6"/>
          <w:sz w:val="24"/>
          <w:szCs w:val="22"/>
          <w:vertAlign w:val="subscript"/>
        </w:rPr>
        <w:t>2</w:t>
      </w:r>
      <w:r w:rsidRPr="00883399">
        <w:rPr>
          <w:b/>
          <w:i/>
          <w:sz w:val="24"/>
          <w:szCs w:val="22"/>
          <w:vertAlign w:val="subscript"/>
        </w:rPr>
        <w:t>oxec</w:t>
      </w:r>
      <w:r w:rsidRPr="00883399">
        <w:rPr>
          <w:b/>
          <w:i/>
          <w:sz w:val="24"/>
        </w:rPr>
        <w:t xml:space="preserve"> </w:t>
      </w:r>
      <w:r w:rsidRPr="00883399">
        <w:rPr>
          <w:sz w:val="24"/>
        </w:rPr>
        <w:t>is the amount worked out under subsection (2).</w:t>
      </w:r>
    </w:p>
    <w:p w14:paraId="50342450" w14:textId="77777777" w:rsidR="00872C03" w:rsidRPr="00883399" w:rsidRDefault="00872C03" w:rsidP="00872C03">
      <w:pPr>
        <w:pStyle w:val="Definition0"/>
        <w:rPr>
          <w:sz w:val="24"/>
        </w:rPr>
      </w:pPr>
      <w:r w:rsidRPr="00883399">
        <w:rPr>
          <w:b/>
          <w:i/>
          <w:sz w:val="24"/>
        </w:rPr>
        <w:t xml:space="preserve">γ </w:t>
      </w:r>
      <w:r w:rsidRPr="00883399">
        <w:rPr>
          <w:sz w:val="24"/>
        </w:rPr>
        <w:t>is the factor 1.861 × 10</w:t>
      </w:r>
      <w:r w:rsidRPr="00883399">
        <w:rPr>
          <w:sz w:val="24"/>
          <w:vertAlign w:val="superscript"/>
        </w:rPr>
        <w:noBreakHyphen/>
        <w:t xml:space="preserve">3 </w:t>
      </w:r>
      <w:r w:rsidRPr="00883399">
        <w:rPr>
          <w:sz w:val="24"/>
        </w:rPr>
        <w:t>for converting a quantity of carbon dioxide from cubic metres at standard conditions of pressure and temperature to CO</w:t>
      </w:r>
      <w:r w:rsidRPr="00883399">
        <w:rPr>
          <w:sz w:val="24"/>
          <w:vertAlign w:val="subscript"/>
        </w:rPr>
        <w:t>2</w:t>
      </w:r>
      <w:r w:rsidRPr="00883399">
        <w:rPr>
          <w:sz w:val="24"/>
        </w:rPr>
        <w:noBreakHyphen/>
        <w:t>e tonnes.</w:t>
      </w:r>
    </w:p>
    <w:p w14:paraId="7B61EC9F" w14:textId="77777777" w:rsidR="00872C03" w:rsidRPr="00883399" w:rsidRDefault="00872C03" w:rsidP="00872C03">
      <w:pPr>
        <w:pStyle w:val="Definition0"/>
        <w:rPr>
          <w:sz w:val="24"/>
        </w:rPr>
      </w:pPr>
      <w:r w:rsidRPr="00883399">
        <w:rPr>
          <w:b/>
          <w:i/>
          <w:sz w:val="24"/>
        </w:rPr>
        <w:lastRenderedPageBreak/>
        <w:t>RCCS</w:t>
      </w:r>
      <w:r w:rsidRPr="00883399">
        <w:rPr>
          <w:b/>
          <w:i/>
          <w:sz w:val="24"/>
          <w:vertAlign w:val="subscript"/>
        </w:rPr>
        <w:t>CO</w:t>
      </w:r>
      <w:r w:rsidRPr="00883399">
        <w:rPr>
          <w:b/>
          <w:i/>
          <w:position w:val="-6"/>
          <w:sz w:val="24"/>
          <w:vertAlign w:val="subscript"/>
        </w:rPr>
        <w:t>2</w:t>
      </w:r>
      <w:r w:rsidRPr="00883399">
        <w:rPr>
          <w:b/>
          <w:i/>
          <w:sz w:val="24"/>
          <w:vertAlign w:val="subscript"/>
        </w:rPr>
        <w:t xml:space="preserve"> </w:t>
      </w:r>
      <w:r w:rsidRPr="00883399">
        <w:rPr>
          <w:sz w:val="24"/>
        </w:rPr>
        <w:t>is carbon dioxide captured for permanent storage measured in cubic metres in accordance with Division 1.2.3.</w:t>
      </w:r>
    </w:p>
    <w:p w14:paraId="76BF8E9D" w14:textId="77777777" w:rsidR="00872C03" w:rsidRPr="00883399" w:rsidRDefault="00872C03" w:rsidP="00872C03">
      <w:pPr>
        <w:pStyle w:val="subsection"/>
        <w:rPr>
          <w:sz w:val="24"/>
        </w:rPr>
      </w:pPr>
      <w:r w:rsidRPr="00883399">
        <w:rPr>
          <w:sz w:val="24"/>
        </w:rPr>
        <w:tab/>
        <w:t>(2)</w:t>
      </w:r>
      <w:r w:rsidRPr="00883399">
        <w:rPr>
          <w:sz w:val="24"/>
        </w:rPr>
        <w:tab/>
        <w:t xml:space="preserve">For </w:t>
      </w:r>
      <w:r w:rsidRPr="00883399">
        <w:rPr>
          <w:b/>
          <w:i/>
          <w:sz w:val="24"/>
          <w:szCs w:val="22"/>
        </w:rPr>
        <w:t>EF</w:t>
      </w:r>
      <w:r w:rsidRPr="00883399">
        <w:rPr>
          <w:b/>
          <w:i/>
          <w:sz w:val="24"/>
          <w:szCs w:val="22"/>
          <w:vertAlign w:val="subscript"/>
        </w:rPr>
        <w:t>ico</w:t>
      </w:r>
      <w:r w:rsidRPr="00883399">
        <w:rPr>
          <w:b/>
          <w:i/>
          <w:position w:val="-6"/>
          <w:sz w:val="24"/>
          <w:szCs w:val="22"/>
          <w:vertAlign w:val="subscript"/>
        </w:rPr>
        <w:t>2</w:t>
      </w:r>
      <w:r w:rsidRPr="00883399">
        <w:rPr>
          <w:b/>
          <w:i/>
          <w:sz w:val="24"/>
          <w:szCs w:val="22"/>
          <w:vertAlign w:val="subscript"/>
        </w:rPr>
        <w:t>oxec</w:t>
      </w:r>
      <w:r w:rsidRPr="00883399">
        <w:rPr>
          <w:sz w:val="24"/>
        </w:rPr>
        <w:t xml:space="preserve"> in subsection (1), work out as follows:</w:t>
      </w:r>
    </w:p>
    <w:p w14:paraId="2DCF0ACE" w14:textId="5060D325"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1310BE92" wp14:editId="046BB066">
            <wp:extent cx="1857375" cy="457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457200"/>
                    </a:xfrm>
                    <a:prstGeom prst="rect">
                      <a:avLst/>
                    </a:prstGeom>
                    <a:noFill/>
                    <a:ln>
                      <a:noFill/>
                    </a:ln>
                  </pic:spPr>
                </pic:pic>
              </a:graphicData>
            </a:graphic>
          </wp:inline>
        </w:drawing>
      </w:r>
    </w:p>
    <w:p w14:paraId="7ADE5EB8" w14:textId="77777777" w:rsidR="00872C03" w:rsidRPr="00883399" w:rsidRDefault="00872C03" w:rsidP="00872C03">
      <w:pPr>
        <w:pStyle w:val="Definition0"/>
        <w:rPr>
          <w:sz w:val="24"/>
        </w:rPr>
      </w:pPr>
      <w:r w:rsidRPr="00883399">
        <w:rPr>
          <w:sz w:val="24"/>
        </w:rPr>
        <w:t>where:</w:t>
      </w:r>
    </w:p>
    <w:p w14:paraId="3FE4A989" w14:textId="77777777" w:rsidR="00872C03" w:rsidRPr="00883399" w:rsidRDefault="00872C03" w:rsidP="00872C03">
      <w:pPr>
        <w:pStyle w:val="Definition0"/>
        <w:rPr>
          <w:sz w:val="24"/>
        </w:rPr>
      </w:pPr>
      <w:r w:rsidRPr="00883399">
        <w:rPr>
          <w:b/>
          <w:i/>
          <w:sz w:val="24"/>
        </w:rPr>
        <w:t>EF</w:t>
      </w:r>
      <w:r w:rsidRPr="00883399">
        <w:rPr>
          <w:b/>
          <w:i/>
          <w:sz w:val="24"/>
          <w:szCs w:val="22"/>
          <w:vertAlign w:val="subscript"/>
        </w:rPr>
        <w:t>ico</w:t>
      </w:r>
      <w:r w:rsidRPr="00883399">
        <w:rPr>
          <w:b/>
          <w:i/>
          <w:position w:val="-6"/>
          <w:sz w:val="24"/>
          <w:szCs w:val="22"/>
          <w:vertAlign w:val="subscript"/>
        </w:rPr>
        <w:t>2</w:t>
      </w:r>
      <w:r w:rsidRPr="00883399">
        <w:rPr>
          <w:b/>
          <w:i/>
          <w:sz w:val="24"/>
          <w:szCs w:val="22"/>
          <w:vertAlign w:val="subscript"/>
        </w:rPr>
        <w:t>ox,kg</w:t>
      </w:r>
      <w:r w:rsidRPr="00883399">
        <w:rPr>
          <w:b/>
          <w:i/>
          <w:sz w:val="24"/>
          <w:vertAlign w:val="subscript"/>
        </w:rPr>
        <w:t xml:space="preserve"> </w:t>
      </w:r>
      <w:r w:rsidRPr="00883399">
        <w:rPr>
          <w:sz w:val="24"/>
        </w:rPr>
        <w:t>is the carbon dioxide emission factor for the type of fuel measured in kilograms of CO</w:t>
      </w:r>
      <w:r w:rsidRPr="00883399">
        <w:rPr>
          <w:sz w:val="24"/>
          <w:vertAlign w:val="subscript"/>
        </w:rPr>
        <w:t>2</w:t>
      </w:r>
      <w:r w:rsidRPr="00883399">
        <w:rPr>
          <w:sz w:val="24"/>
        </w:rPr>
        <w:noBreakHyphen/>
        <w:t>e per kilogram of the type of fuel as worked out under subsection (3).</w:t>
      </w:r>
    </w:p>
    <w:p w14:paraId="4248CDCD" w14:textId="77777777" w:rsidR="00872C03" w:rsidRPr="00883399" w:rsidRDefault="00872C03" w:rsidP="00872C03">
      <w:pPr>
        <w:pStyle w:val="Definition0"/>
        <w:rPr>
          <w:sz w:val="24"/>
        </w:rPr>
      </w:pPr>
      <w:r w:rsidRPr="00883399">
        <w:rPr>
          <w:b/>
          <w:i/>
          <w:sz w:val="24"/>
        </w:rPr>
        <w:t>EC</w:t>
      </w:r>
      <w:r w:rsidRPr="00883399">
        <w:rPr>
          <w:b/>
          <w:i/>
          <w:sz w:val="24"/>
          <w:szCs w:val="22"/>
          <w:vertAlign w:val="subscript"/>
        </w:rPr>
        <w:t>i</w:t>
      </w:r>
      <w:r w:rsidRPr="00883399">
        <w:rPr>
          <w:b/>
          <w:i/>
          <w:sz w:val="24"/>
        </w:rPr>
        <w:t xml:space="preserve"> </w:t>
      </w:r>
      <w:r w:rsidRPr="00883399">
        <w:rPr>
          <w:sz w:val="24"/>
        </w:rPr>
        <w:t>is the energy content factor of fuel type (</w:t>
      </w:r>
      <w:r w:rsidRPr="00883399">
        <w:rPr>
          <w:b/>
          <w:i/>
          <w:sz w:val="24"/>
        </w:rPr>
        <w:t>i</w:t>
      </w:r>
      <w:r w:rsidRPr="00883399">
        <w:rPr>
          <w:sz w:val="24"/>
        </w:rPr>
        <w:t>) as obtained under subsection (1).</w:t>
      </w:r>
    </w:p>
    <w:p w14:paraId="7E0C13ED" w14:textId="77777777" w:rsidR="00872C03" w:rsidRPr="00883399" w:rsidRDefault="00872C03" w:rsidP="00872C03">
      <w:pPr>
        <w:pStyle w:val="subsection"/>
        <w:rPr>
          <w:sz w:val="24"/>
        </w:rPr>
      </w:pPr>
      <w:r w:rsidRPr="00883399">
        <w:rPr>
          <w:sz w:val="24"/>
        </w:rPr>
        <w:tab/>
        <w:t>(3)</w:t>
      </w:r>
      <w:r w:rsidRPr="00883399">
        <w:rPr>
          <w:sz w:val="24"/>
        </w:rPr>
        <w:tab/>
        <w:t xml:space="preserve">For </w:t>
      </w:r>
      <w:r w:rsidRPr="00883399">
        <w:rPr>
          <w:b/>
          <w:i/>
          <w:sz w:val="24"/>
        </w:rPr>
        <w:t>EF</w:t>
      </w:r>
      <w:r w:rsidRPr="00883399">
        <w:rPr>
          <w:b/>
          <w:i/>
          <w:sz w:val="24"/>
          <w:szCs w:val="22"/>
          <w:vertAlign w:val="subscript"/>
        </w:rPr>
        <w:t>ico</w:t>
      </w:r>
      <w:r w:rsidRPr="00883399">
        <w:rPr>
          <w:b/>
          <w:i/>
          <w:position w:val="-6"/>
          <w:sz w:val="24"/>
          <w:szCs w:val="22"/>
          <w:vertAlign w:val="subscript"/>
        </w:rPr>
        <w:t>2</w:t>
      </w:r>
      <w:r w:rsidRPr="00883399">
        <w:rPr>
          <w:b/>
          <w:i/>
          <w:sz w:val="24"/>
          <w:szCs w:val="22"/>
          <w:vertAlign w:val="subscript"/>
        </w:rPr>
        <w:t>ox,kg</w:t>
      </w:r>
      <w:r w:rsidRPr="00883399">
        <w:rPr>
          <w:sz w:val="24"/>
        </w:rPr>
        <w:t xml:space="preserve"> in subsection (2), estimate as follows:</w:t>
      </w:r>
    </w:p>
    <w:p w14:paraId="30655EDD" w14:textId="0BFE302D" w:rsidR="00872C03" w:rsidRPr="00883399" w:rsidRDefault="00872C03" w:rsidP="00872C03">
      <w:pPr>
        <w:pStyle w:val="subsection"/>
        <w:spacing w:before="120" w:after="120"/>
        <w:rPr>
          <w:sz w:val="24"/>
        </w:rPr>
      </w:pPr>
      <w:r w:rsidRPr="00883399">
        <w:rPr>
          <w:sz w:val="24"/>
        </w:rPr>
        <w:tab/>
      </w:r>
      <w:r w:rsidRPr="00883399">
        <w:rPr>
          <w:noProof/>
          <w:sz w:val="24"/>
        </w:rPr>
        <w:drawing>
          <wp:inline distT="0" distB="0" distL="0" distR="0" wp14:anchorId="325AE5DD" wp14:editId="64311A96">
            <wp:extent cx="4562475" cy="676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62475" cy="676275"/>
                    </a:xfrm>
                    <a:prstGeom prst="rect">
                      <a:avLst/>
                    </a:prstGeom>
                    <a:noFill/>
                    <a:ln>
                      <a:noFill/>
                    </a:ln>
                  </pic:spPr>
                </pic:pic>
              </a:graphicData>
            </a:graphic>
          </wp:inline>
        </w:drawing>
      </w:r>
    </w:p>
    <w:p w14:paraId="3BF51030" w14:textId="77777777" w:rsidR="00872C03" w:rsidRPr="00883399" w:rsidRDefault="00872C03" w:rsidP="00872C03">
      <w:pPr>
        <w:pStyle w:val="subsection2"/>
        <w:rPr>
          <w:sz w:val="24"/>
        </w:rPr>
      </w:pPr>
      <w:r w:rsidRPr="00883399">
        <w:rPr>
          <w:sz w:val="24"/>
        </w:rPr>
        <w:t>where:</w:t>
      </w:r>
    </w:p>
    <w:p w14:paraId="437ADB5A" w14:textId="77777777" w:rsidR="00872C03" w:rsidRPr="00883399" w:rsidRDefault="00872C03" w:rsidP="00872C03">
      <w:pPr>
        <w:pStyle w:val="Definition0"/>
        <w:rPr>
          <w:sz w:val="24"/>
        </w:rPr>
      </w:pPr>
      <w:r w:rsidRPr="00883399">
        <w:rPr>
          <w:b/>
          <w:i/>
          <w:sz w:val="24"/>
        </w:rPr>
        <w:t>C</w:t>
      </w:r>
      <w:r w:rsidRPr="00883399">
        <w:rPr>
          <w:rStyle w:val="charSubscript"/>
          <w:b/>
          <w:i/>
          <w:sz w:val="22"/>
        </w:rPr>
        <w:t xml:space="preserve">ar </w:t>
      </w:r>
      <w:r w:rsidRPr="00883399">
        <w:rPr>
          <w:sz w:val="24"/>
        </w:rPr>
        <w:t>is the percentage of carbon in fuel type (</w:t>
      </w:r>
      <w:r w:rsidRPr="00883399">
        <w:rPr>
          <w:b/>
          <w:i/>
          <w:sz w:val="24"/>
        </w:rPr>
        <w:t>i</w:t>
      </w:r>
      <w:r w:rsidRPr="00883399">
        <w:rPr>
          <w:sz w:val="24"/>
        </w:rPr>
        <w:t>), as received for the facility or as combusted from the operation of the facility, worked out under subsection (4).</w:t>
      </w:r>
    </w:p>
    <w:p w14:paraId="5B3DE456" w14:textId="77777777" w:rsidR="00872C03" w:rsidRPr="00883399" w:rsidRDefault="00872C03" w:rsidP="00872C03">
      <w:pPr>
        <w:pStyle w:val="Definition0"/>
        <w:rPr>
          <w:sz w:val="24"/>
        </w:rPr>
      </w:pPr>
      <w:r w:rsidRPr="00883399">
        <w:rPr>
          <w:b/>
          <w:i/>
          <w:sz w:val="24"/>
        </w:rPr>
        <w:t>C</w:t>
      </w:r>
      <w:r w:rsidRPr="00883399">
        <w:rPr>
          <w:rStyle w:val="charSubscript"/>
          <w:b/>
          <w:i/>
          <w:sz w:val="22"/>
        </w:rPr>
        <w:t>a</w:t>
      </w:r>
      <w:r w:rsidRPr="00883399">
        <w:rPr>
          <w:b/>
          <w:i/>
          <w:sz w:val="24"/>
        </w:rPr>
        <w:t xml:space="preserve"> </w:t>
      </w:r>
      <w:r w:rsidRPr="00883399">
        <w:rPr>
          <w:sz w:val="24"/>
        </w:rPr>
        <w:t>is the amount of carbon in the ash estimated as a percentage of the as</w:t>
      </w:r>
      <w:r w:rsidRPr="00883399">
        <w:rPr>
          <w:sz w:val="24"/>
        </w:rPr>
        <w:noBreakHyphen/>
        <w:t>sampled mass that is the weighted average of fly ash and ash by sampling and analysis in accordance with Subdivision 2.2.3.3.</w:t>
      </w:r>
    </w:p>
    <w:p w14:paraId="706D8C82" w14:textId="77777777" w:rsidR="00872C03" w:rsidRPr="00883399" w:rsidRDefault="00872C03" w:rsidP="00872C03">
      <w:pPr>
        <w:pStyle w:val="Definition0"/>
        <w:rPr>
          <w:sz w:val="24"/>
        </w:rPr>
      </w:pPr>
      <w:r w:rsidRPr="00883399">
        <w:rPr>
          <w:b/>
          <w:i/>
          <w:sz w:val="24"/>
        </w:rPr>
        <w:t>A</w:t>
      </w:r>
      <w:r w:rsidRPr="00883399">
        <w:rPr>
          <w:rStyle w:val="charSubscript"/>
          <w:b/>
          <w:i/>
          <w:sz w:val="22"/>
        </w:rPr>
        <w:t>ar</w:t>
      </w:r>
      <w:r w:rsidRPr="00883399">
        <w:rPr>
          <w:b/>
          <w:i/>
          <w:sz w:val="24"/>
        </w:rPr>
        <w:t xml:space="preserve"> </w:t>
      </w:r>
      <w:r w:rsidRPr="00883399">
        <w:rPr>
          <w:sz w:val="24"/>
        </w:rPr>
        <w:t>is the amount of ash in fuel type (</w:t>
      </w:r>
      <w:r w:rsidRPr="00883399">
        <w:rPr>
          <w:b/>
          <w:i/>
          <w:sz w:val="24"/>
        </w:rPr>
        <w:t>i</w:t>
      </w:r>
      <w:r w:rsidRPr="00883399">
        <w:rPr>
          <w:sz w:val="24"/>
        </w:rPr>
        <w:t>) as a percentage of the as received or as combusted mass of the fuel estimated using the sampling and analysis provided for in Subdivision 2.2.3.3.</w:t>
      </w:r>
    </w:p>
    <w:p w14:paraId="35B44C31" w14:textId="77777777" w:rsidR="00872C03" w:rsidRPr="00883399" w:rsidRDefault="00872C03" w:rsidP="00872C03">
      <w:pPr>
        <w:pStyle w:val="subsection"/>
        <w:rPr>
          <w:sz w:val="24"/>
        </w:rPr>
      </w:pPr>
      <w:r w:rsidRPr="00883399">
        <w:rPr>
          <w:sz w:val="24"/>
        </w:rPr>
        <w:tab/>
        <w:t>(4)</w:t>
      </w:r>
      <w:r w:rsidRPr="00883399">
        <w:rPr>
          <w:sz w:val="24"/>
        </w:rPr>
        <w:tab/>
        <w:t xml:space="preserve">For </w:t>
      </w:r>
      <w:r w:rsidRPr="00883399">
        <w:rPr>
          <w:b/>
          <w:i/>
          <w:sz w:val="24"/>
        </w:rPr>
        <w:t>C</w:t>
      </w:r>
      <w:r w:rsidRPr="00883399">
        <w:rPr>
          <w:rStyle w:val="charSubscript"/>
          <w:b/>
          <w:i/>
          <w:sz w:val="24"/>
        </w:rPr>
        <w:t>ar</w:t>
      </w:r>
      <w:r w:rsidRPr="00883399">
        <w:rPr>
          <w:sz w:val="24"/>
        </w:rPr>
        <w:t>, in subsection (3), estimate as follows:</w:t>
      </w:r>
    </w:p>
    <w:p w14:paraId="60DBBC1B" w14:textId="055AAB78"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4AD5DB63" wp14:editId="094E3837">
            <wp:extent cx="2009775" cy="409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9775" cy="409575"/>
                    </a:xfrm>
                    <a:prstGeom prst="rect">
                      <a:avLst/>
                    </a:prstGeom>
                    <a:noFill/>
                    <a:ln>
                      <a:noFill/>
                    </a:ln>
                  </pic:spPr>
                </pic:pic>
              </a:graphicData>
            </a:graphic>
          </wp:inline>
        </w:drawing>
      </w:r>
    </w:p>
    <w:p w14:paraId="68CC3C83" w14:textId="77777777" w:rsidR="00872C03" w:rsidRPr="00883399" w:rsidRDefault="00872C03" w:rsidP="00872C03">
      <w:pPr>
        <w:pStyle w:val="subsection2"/>
        <w:rPr>
          <w:sz w:val="24"/>
        </w:rPr>
      </w:pPr>
      <w:r w:rsidRPr="00883399">
        <w:rPr>
          <w:sz w:val="24"/>
        </w:rPr>
        <w:t>where:</w:t>
      </w:r>
    </w:p>
    <w:p w14:paraId="7E3A4C39" w14:textId="77777777" w:rsidR="00872C03" w:rsidRPr="00883399" w:rsidRDefault="00872C03" w:rsidP="00872C03">
      <w:pPr>
        <w:pStyle w:val="Definition0"/>
        <w:rPr>
          <w:sz w:val="24"/>
        </w:rPr>
      </w:pPr>
      <w:r w:rsidRPr="00883399">
        <w:rPr>
          <w:b/>
          <w:i/>
          <w:sz w:val="24"/>
        </w:rPr>
        <w:t>C</w:t>
      </w:r>
      <w:r w:rsidRPr="00883399">
        <w:rPr>
          <w:rStyle w:val="charSubscript"/>
          <w:b/>
          <w:i/>
          <w:sz w:val="22"/>
        </w:rPr>
        <w:t>daf</w:t>
      </w:r>
      <w:r w:rsidRPr="00883399">
        <w:rPr>
          <w:b/>
          <w:i/>
          <w:sz w:val="24"/>
        </w:rPr>
        <w:t xml:space="preserve"> </w:t>
      </w:r>
      <w:r w:rsidRPr="00883399">
        <w:rPr>
          <w:sz w:val="24"/>
        </w:rPr>
        <w:t>is the amount of carbon in fuel type (</w:t>
      </w:r>
      <w:r w:rsidRPr="00883399">
        <w:rPr>
          <w:b/>
          <w:i/>
          <w:sz w:val="24"/>
        </w:rPr>
        <w:t>i</w:t>
      </w:r>
      <w:r w:rsidRPr="00883399">
        <w:rPr>
          <w:sz w:val="24"/>
        </w:rPr>
        <w:t>) as a percentage of the dry ash</w:t>
      </w:r>
      <w:r w:rsidRPr="00883399">
        <w:rPr>
          <w:sz w:val="24"/>
        </w:rPr>
        <w:noBreakHyphen/>
        <w:t>free mass of the fuel estimated using the sampling and analysis provided for in Subdivision 2.2.3.3.</w:t>
      </w:r>
    </w:p>
    <w:p w14:paraId="1D8B105C" w14:textId="77777777" w:rsidR="00872C03" w:rsidRPr="00883399" w:rsidRDefault="00872C03" w:rsidP="00872C03">
      <w:pPr>
        <w:pStyle w:val="Definition0"/>
        <w:rPr>
          <w:sz w:val="24"/>
        </w:rPr>
      </w:pPr>
      <w:r w:rsidRPr="00883399">
        <w:rPr>
          <w:b/>
          <w:i/>
          <w:sz w:val="24"/>
        </w:rPr>
        <w:lastRenderedPageBreak/>
        <w:t>M</w:t>
      </w:r>
      <w:r w:rsidRPr="00883399">
        <w:rPr>
          <w:rStyle w:val="charSubscript"/>
          <w:b/>
          <w:i/>
          <w:sz w:val="22"/>
        </w:rPr>
        <w:t>ar</w:t>
      </w:r>
      <w:r w:rsidRPr="00883399">
        <w:rPr>
          <w:b/>
          <w:i/>
          <w:sz w:val="24"/>
        </w:rPr>
        <w:t xml:space="preserve"> </w:t>
      </w:r>
      <w:r w:rsidRPr="00883399">
        <w:rPr>
          <w:sz w:val="24"/>
        </w:rPr>
        <w:t>is the amount of moisture in fuel type (</w:t>
      </w:r>
      <w:r w:rsidRPr="00883399">
        <w:rPr>
          <w:b/>
          <w:i/>
          <w:sz w:val="24"/>
        </w:rPr>
        <w:t>i</w:t>
      </w:r>
      <w:r w:rsidRPr="00883399">
        <w:rPr>
          <w:sz w:val="24"/>
        </w:rPr>
        <w:t>) as a percentage of the as received or as combusted mass of the fuel estimated using the sampling and analysis provided for in Subdivision 2.2.3.3.</w:t>
      </w:r>
    </w:p>
    <w:p w14:paraId="7AFF5164" w14:textId="77777777" w:rsidR="00872C03" w:rsidRPr="00883399" w:rsidRDefault="00872C03" w:rsidP="00872C03">
      <w:pPr>
        <w:pStyle w:val="Definition0"/>
        <w:rPr>
          <w:sz w:val="24"/>
        </w:rPr>
      </w:pPr>
      <w:r w:rsidRPr="00883399">
        <w:rPr>
          <w:b/>
          <w:i/>
          <w:sz w:val="24"/>
        </w:rPr>
        <w:t>A</w:t>
      </w:r>
      <w:r w:rsidRPr="00883399">
        <w:rPr>
          <w:rStyle w:val="charSubscript"/>
          <w:b/>
          <w:i/>
          <w:sz w:val="22"/>
        </w:rPr>
        <w:t>ar</w:t>
      </w:r>
      <w:r w:rsidRPr="00883399">
        <w:rPr>
          <w:b/>
          <w:i/>
          <w:sz w:val="24"/>
        </w:rPr>
        <w:t xml:space="preserve"> </w:t>
      </w:r>
      <w:r w:rsidRPr="00883399">
        <w:rPr>
          <w:sz w:val="24"/>
        </w:rPr>
        <w:t>is the amount of ash in fuel type (</w:t>
      </w:r>
      <w:r w:rsidRPr="00883399">
        <w:rPr>
          <w:b/>
          <w:i/>
          <w:sz w:val="24"/>
        </w:rPr>
        <w:t>i</w:t>
      </w:r>
      <w:r w:rsidRPr="00883399">
        <w:rPr>
          <w:sz w:val="24"/>
        </w:rPr>
        <w:t>) as a percentage of the as received or as combusted mass of the fuel estimated using the sampling and analysis provided for in Subdivision 2.2.3.3.</w:t>
      </w:r>
    </w:p>
    <w:p w14:paraId="2FE25D78" w14:textId="6F8C2474" w:rsidR="00872C03" w:rsidRPr="00883399" w:rsidRDefault="00872C03" w:rsidP="00872C03">
      <w:pPr>
        <w:pStyle w:val="ActHead4"/>
        <w:rPr>
          <w:rStyle w:val="CharSubdText"/>
          <w:sz w:val="28"/>
        </w:rPr>
      </w:pPr>
      <w:bookmarkStart w:id="177" w:name="_Toc423516746"/>
      <w:bookmarkStart w:id="178" w:name="_Toc495652660"/>
      <w:r w:rsidRPr="00883399">
        <w:rPr>
          <w:rStyle w:val="CharSubdNo"/>
          <w:sz w:val="28"/>
        </w:rPr>
        <w:t>Subdivision 2.2.3.3</w:t>
      </w:r>
      <w:r w:rsidRPr="00883399">
        <w:rPr>
          <w:sz w:val="28"/>
        </w:rPr>
        <w:t>—</w:t>
      </w:r>
      <w:r w:rsidRPr="00883399">
        <w:rPr>
          <w:rStyle w:val="CharSubdText"/>
          <w:sz w:val="28"/>
        </w:rPr>
        <w:t>Sampling and analysis for method 2 under sections 2.5 and 2.6</w:t>
      </w:r>
      <w:bookmarkEnd w:id="177"/>
      <w:bookmarkEnd w:id="178"/>
    </w:p>
    <w:p w14:paraId="1A288D0D" w14:textId="77777777" w:rsidR="00872C03" w:rsidRPr="00883399" w:rsidRDefault="00872C03" w:rsidP="00872C03">
      <w:pPr>
        <w:pStyle w:val="R1"/>
        <w:tabs>
          <w:tab w:val="left" w:pos="240"/>
        </w:tabs>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 xml:space="preserve">Under Method 2, representative and unbiased samples of fuels consumed must be obtained for analysis.  </w:t>
      </w:r>
    </w:p>
    <w:p w14:paraId="20B7F800" w14:textId="77777777" w:rsidR="00872C03" w:rsidRPr="00883399" w:rsidRDefault="00872C03" w:rsidP="00872C03">
      <w:pPr>
        <w:pStyle w:val="R1"/>
        <w:tabs>
          <w:tab w:val="clear" w:pos="794"/>
          <w:tab w:val="left" w:pos="0"/>
        </w:tabs>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As coal is a heterogeneous material, for the sample to be truly representative it must contain the correct proportions of each particle size present, as well as the correct proportions of particles of varying impurity content. Therefore, in the process of collecting a representative sample, each particle in the lot must have an equal probability of being sampled (‘equal selection probability’); the representativeness of the sample being a function of the mass of the sample, or more correctly, the number of particles in the sample.</w:t>
      </w:r>
    </w:p>
    <w:p w14:paraId="4CB1EE64" w14:textId="77777777" w:rsidR="00872C03" w:rsidRPr="00883399" w:rsidRDefault="00872C03" w:rsidP="00872C03">
      <w:pPr>
        <w:pStyle w:val="R1"/>
        <w:tabs>
          <w:tab w:val="left" w:pos="240"/>
        </w:tabs>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A mechanical sampling system, designed and operated in accordance with AS 4264 should be used to sample the coal or solid fuel. Ideally, this type of sampling system would be set up to obtain coal as it is either being loaded at the coal source or unloaded at the facility. One lot of coal will normally represent one day or one trainload of coal. If necessary, manual sampling of the coal may be used provided that the sampling equipment and procedure used is in accordance with AS 4264.</w:t>
      </w:r>
    </w:p>
    <w:p w14:paraId="61135CB9" w14:textId="77777777" w:rsidR="00872C03" w:rsidRPr="00883399" w:rsidRDefault="00872C03" w:rsidP="00872C03">
      <w:pPr>
        <w:pStyle w:val="R1"/>
        <w:tabs>
          <w:tab w:val="left" w:pos="240"/>
        </w:tabs>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Sample preparation as required providing a laboratory sample for analysis is normally carried out in two steps:</w:t>
      </w:r>
    </w:p>
    <w:p w14:paraId="3ED922B6" w14:textId="77777777" w:rsidR="00872C03" w:rsidRPr="00883399" w:rsidRDefault="00872C03" w:rsidP="00872C03">
      <w:pPr>
        <w:pStyle w:val="R1"/>
        <w:tabs>
          <w:tab w:val="left" w:pos="240"/>
        </w:tabs>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Step 1: Initial crushing and subdivision of the samples as part of an operation that is integrated with the coal sampling;</w:t>
      </w:r>
    </w:p>
    <w:p w14:paraId="2B158379" w14:textId="77777777" w:rsidR="00872C03" w:rsidRPr="00883399" w:rsidRDefault="00872C03" w:rsidP="00872C03">
      <w:pPr>
        <w:pStyle w:val="R1"/>
        <w:tabs>
          <w:tab w:val="left" w:pos="240"/>
        </w:tabs>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Step 2: Final crushing and subdivision at the laboratory to provide the analysis sample.</w:t>
      </w:r>
    </w:p>
    <w:p w14:paraId="73618D40" w14:textId="77777777" w:rsidR="00872C03" w:rsidRPr="00883399" w:rsidRDefault="00872C03" w:rsidP="00872C03">
      <w:pPr>
        <w:pStyle w:val="R1"/>
        <w:tabs>
          <w:tab w:val="left" w:pos="240"/>
        </w:tabs>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lastRenderedPageBreak/>
        <w:t>Precision is defined as a measure of the extent to which the observations within a set agree with each other; usually expressed as twice the standard deviation (95% confidence level). Precision checks should be carried out on the sampling process to confirm that the sampling rate is acceptable. The procedure for determining the precision of coal sampling and sample preparation is prescribed in AS 4264.5. It is recommended that precision tests be undertaken on a yearly basis and whenever there is a change in the fuel source or a significant change in the quality characteristics of a particular fuel.</w:t>
      </w:r>
    </w:p>
    <w:p w14:paraId="0074B75B" w14:textId="77777777" w:rsidR="00872C03" w:rsidRPr="00883399" w:rsidRDefault="00872C03" w:rsidP="00872C03">
      <w:pPr>
        <w:pStyle w:val="R1"/>
        <w:tabs>
          <w:tab w:val="left" w:pos="240"/>
        </w:tabs>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If several sources of fuels are being sampled through a given plant, sampling conditions and sample precision checks should be carried out on the source that exhibits the highest degree of heterogeneity.</w:t>
      </w:r>
    </w:p>
    <w:p w14:paraId="18AACF24" w14:textId="77777777" w:rsidR="00872C03" w:rsidRPr="00883399" w:rsidRDefault="00872C03" w:rsidP="00872C03">
      <w:pPr>
        <w:pStyle w:val="R1"/>
        <w:tabs>
          <w:tab w:val="left" w:pos="240"/>
        </w:tabs>
        <w:spacing w:before="240" w:after="80" w:line="312" w:lineRule="auto"/>
        <w:ind w:left="0" w:firstLine="0"/>
        <w:jc w:val="left"/>
        <w:rPr>
          <w:rFonts w:ascii="Arial" w:hAnsi="Arial" w:cs="Arial"/>
          <w:color w:val="000000"/>
          <w:sz w:val="22"/>
          <w:szCs w:val="22"/>
        </w:rPr>
      </w:pPr>
      <w:r w:rsidRPr="00883399">
        <w:rPr>
          <w:rFonts w:ascii="Arial" w:hAnsi="Arial" w:cs="Arial"/>
          <w:color w:val="000000"/>
          <w:sz w:val="22"/>
          <w:szCs w:val="22"/>
        </w:rPr>
        <w:t>Bias can be defined as the tendency to obtain a value that is either consistently higher or consistently lower than the reference value; in practice this is the difference between the reference value and the average result obtained from a large number of determinations. The recommended procedure for the estimation of bias in a coal sampling system is given in AS 4264.4. In the case of bias testing of mechanical samplers, the reference samples are usually stopped belt samples off a conveyor belt. For the purposes of verification of a coal sampling system, the coal samples taken for bias testing (pairs consisting of a reference sample and a sample taken by the coal sampler) should be analysed for total moisture and ash.</w:t>
      </w:r>
    </w:p>
    <w:p w14:paraId="6BD94A94" w14:textId="77777777" w:rsidR="00872C03" w:rsidRPr="00883399" w:rsidRDefault="00872C03" w:rsidP="00872C03">
      <w:pPr>
        <w:pStyle w:val="R1"/>
        <w:tabs>
          <w:tab w:val="left" w:pos="240"/>
        </w:tabs>
        <w:spacing w:before="240" w:after="80" w:line="312" w:lineRule="auto"/>
        <w:ind w:left="0" w:firstLine="0"/>
        <w:jc w:val="left"/>
        <w:rPr>
          <w:rFonts w:ascii="Arial" w:hAnsi="Arial" w:cs="Arial"/>
          <w:color w:val="000000"/>
          <w:sz w:val="22"/>
          <w:szCs w:val="22"/>
        </w:rPr>
      </w:pPr>
      <w:r w:rsidRPr="00883399">
        <w:rPr>
          <w:rFonts w:ascii="Arial" w:hAnsi="Arial" w:cs="Arial"/>
          <w:color w:val="000000"/>
          <w:sz w:val="22"/>
          <w:szCs w:val="22"/>
        </w:rPr>
        <w:t>Bias testing should always be carried out on a new sampling system. For an existing system, the following verification procedure may be followed if there is some doubt about the conformance of the sampling system:</w:t>
      </w:r>
    </w:p>
    <w:p w14:paraId="0A0F0572" w14:textId="77777777" w:rsidR="00872C03" w:rsidRPr="00883399" w:rsidRDefault="00872C03" w:rsidP="00872C03">
      <w:pPr>
        <w:pStyle w:val="R1"/>
        <w:tabs>
          <w:tab w:val="clear" w:pos="794"/>
          <w:tab w:val="left" w:pos="1134"/>
        </w:tabs>
        <w:spacing w:before="240" w:after="80" w:line="312" w:lineRule="auto"/>
        <w:ind w:left="851" w:hanging="284"/>
        <w:jc w:val="left"/>
        <w:rPr>
          <w:rFonts w:ascii="Arial" w:hAnsi="Arial" w:cs="Arial"/>
          <w:color w:val="000000"/>
          <w:sz w:val="22"/>
          <w:szCs w:val="22"/>
        </w:rPr>
      </w:pPr>
      <w:r w:rsidRPr="00883399">
        <w:rPr>
          <w:rFonts w:ascii="Arial" w:hAnsi="Arial" w:cs="Arial"/>
          <w:color w:val="000000"/>
          <w:sz w:val="22"/>
          <w:szCs w:val="22"/>
        </w:rPr>
        <w:t xml:space="preserve">1. </w:t>
      </w:r>
      <w:r w:rsidRPr="00883399">
        <w:rPr>
          <w:rFonts w:ascii="Arial" w:hAnsi="Arial" w:cs="Arial"/>
          <w:color w:val="000000"/>
          <w:sz w:val="22"/>
          <w:szCs w:val="22"/>
        </w:rPr>
        <w:tab/>
      </w:r>
      <w:r w:rsidRPr="00883399">
        <w:rPr>
          <w:rFonts w:ascii="Arial" w:hAnsi="Arial" w:cs="Arial"/>
          <w:color w:val="000000"/>
          <w:sz w:val="22"/>
          <w:szCs w:val="22"/>
        </w:rPr>
        <w:tab/>
      </w:r>
      <w:r w:rsidRPr="00883399">
        <w:rPr>
          <w:rFonts w:ascii="Arial" w:hAnsi="Arial" w:cs="Arial"/>
          <w:color w:val="000000"/>
          <w:sz w:val="22"/>
          <w:szCs w:val="22"/>
        </w:rPr>
        <w:tab/>
        <w:t>conduct a detailed technical audit of the sampling system;</w:t>
      </w:r>
    </w:p>
    <w:p w14:paraId="7D50910B" w14:textId="77777777" w:rsidR="00872C03" w:rsidRPr="00883399" w:rsidRDefault="00872C03" w:rsidP="00872C03">
      <w:pPr>
        <w:pStyle w:val="R1"/>
        <w:tabs>
          <w:tab w:val="left" w:pos="240"/>
        </w:tabs>
        <w:spacing w:before="240" w:after="80" w:line="312" w:lineRule="auto"/>
        <w:ind w:left="240" w:hanging="284"/>
        <w:jc w:val="left"/>
        <w:rPr>
          <w:rFonts w:ascii="Arial" w:hAnsi="Arial" w:cs="Arial"/>
          <w:color w:val="000000"/>
          <w:sz w:val="22"/>
          <w:szCs w:val="22"/>
        </w:rPr>
      </w:pPr>
      <w:r w:rsidRPr="00883399">
        <w:rPr>
          <w:rFonts w:ascii="Arial" w:hAnsi="Arial" w:cs="Arial"/>
          <w:color w:val="000000"/>
          <w:sz w:val="22"/>
          <w:szCs w:val="22"/>
        </w:rPr>
        <w:tab/>
      </w:r>
      <w:r w:rsidRPr="00883399">
        <w:rPr>
          <w:rFonts w:ascii="Arial" w:hAnsi="Arial" w:cs="Arial"/>
          <w:color w:val="000000"/>
          <w:sz w:val="22"/>
          <w:szCs w:val="22"/>
        </w:rPr>
        <w:tab/>
        <w:t>2.</w:t>
      </w:r>
      <w:r w:rsidRPr="00883399">
        <w:rPr>
          <w:rFonts w:ascii="Arial" w:hAnsi="Arial" w:cs="Arial"/>
          <w:color w:val="000000"/>
          <w:sz w:val="22"/>
          <w:szCs w:val="22"/>
        </w:rPr>
        <w:tab/>
        <w:t>correct any non-conformances that have been observed;</w:t>
      </w:r>
    </w:p>
    <w:p w14:paraId="16D960C3" w14:textId="77777777" w:rsidR="00872C03" w:rsidRPr="00883399" w:rsidRDefault="00872C03" w:rsidP="00872C03">
      <w:pPr>
        <w:pStyle w:val="R1"/>
        <w:tabs>
          <w:tab w:val="left" w:pos="240"/>
        </w:tabs>
        <w:spacing w:before="240" w:after="80" w:line="312" w:lineRule="auto"/>
        <w:ind w:left="1440" w:hanging="1484"/>
        <w:jc w:val="left"/>
        <w:rPr>
          <w:rFonts w:ascii="Arial" w:hAnsi="Arial" w:cs="Arial"/>
          <w:color w:val="000000"/>
          <w:sz w:val="22"/>
          <w:szCs w:val="22"/>
        </w:rPr>
      </w:pPr>
      <w:r w:rsidRPr="00883399">
        <w:rPr>
          <w:rFonts w:ascii="Arial" w:hAnsi="Arial" w:cs="Arial"/>
          <w:color w:val="000000"/>
          <w:sz w:val="22"/>
          <w:szCs w:val="22"/>
        </w:rPr>
        <w:tab/>
      </w:r>
      <w:r w:rsidRPr="00883399">
        <w:rPr>
          <w:rFonts w:ascii="Arial" w:hAnsi="Arial" w:cs="Arial"/>
          <w:color w:val="000000"/>
          <w:sz w:val="22"/>
          <w:szCs w:val="22"/>
        </w:rPr>
        <w:tab/>
        <w:t>3.</w:t>
      </w:r>
      <w:r w:rsidRPr="00883399">
        <w:rPr>
          <w:rFonts w:ascii="Arial" w:hAnsi="Arial" w:cs="Arial"/>
          <w:color w:val="000000"/>
          <w:sz w:val="22"/>
          <w:szCs w:val="22"/>
        </w:rPr>
        <w:tab/>
        <w:t>conduct a limited bias test on the system, usually with the coal that exhibits the widest stochastic variability in total moisture or ash, to provide a more quantitative verification that the sampling system is performing correctly.</w:t>
      </w:r>
    </w:p>
    <w:p w14:paraId="2C61E5CB" w14:textId="77777777" w:rsidR="00872C03" w:rsidRPr="00883399" w:rsidRDefault="00872C03" w:rsidP="00872C03">
      <w:pPr>
        <w:pStyle w:val="R1"/>
        <w:tabs>
          <w:tab w:val="left" w:pos="240"/>
        </w:tabs>
        <w:spacing w:before="240" w:after="80" w:line="312" w:lineRule="auto"/>
        <w:ind w:left="0" w:firstLine="0"/>
        <w:jc w:val="left"/>
        <w:rPr>
          <w:rFonts w:ascii="Arial" w:hAnsi="Arial" w:cs="Arial"/>
          <w:color w:val="000000"/>
          <w:sz w:val="22"/>
          <w:szCs w:val="22"/>
        </w:rPr>
      </w:pPr>
      <w:r w:rsidRPr="00883399">
        <w:rPr>
          <w:rFonts w:ascii="Arial" w:hAnsi="Arial" w:cs="Arial"/>
          <w:color w:val="000000"/>
          <w:sz w:val="22"/>
          <w:szCs w:val="22"/>
        </w:rPr>
        <w:lastRenderedPageBreak/>
        <w:t xml:space="preserve">Analysis of the fuels for carbon, energy, ash or moisture content must be done in accordance with listed Australian or international documentary standards or by an on-line analyser in accordance with section 2.8 (3).  The listing of applicable standards for the analysis of solid fuels is given below.  Equivalent standards to those listed may also be used.  Examples of equivalent standards include those produced by AS, NZ, ASTM, ISO and CEN standards organisations. The standards must be in force on the date stated in section 1.9. A NATA (National Association of Testing Authorities) accredited laboratory or similar laboratory complying with ISO 17025 should be used to conduct the analysis.  </w:t>
      </w:r>
    </w:p>
    <w:p w14:paraId="42B96521" w14:textId="77777777" w:rsidR="00872C03" w:rsidRPr="00883399" w:rsidRDefault="00872C03" w:rsidP="00872C03">
      <w:pPr>
        <w:pStyle w:val="R1"/>
        <w:tabs>
          <w:tab w:val="left" w:pos="240"/>
        </w:tabs>
        <w:spacing w:before="240" w:after="80" w:line="312" w:lineRule="auto"/>
        <w:ind w:left="0" w:firstLine="0"/>
        <w:jc w:val="left"/>
        <w:rPr>
          <w:rFonts w:ascii="Arial" w:hAnsi="Arial" w:cs="Arial"/>
          <w:color w:val="000000"/>
          <w:sz w:val="22"/>
          <w:szCs w:val="22"/>
        </w:rPr>
      </w:pPr>
      <w:r w:rsidRPr="00883399">
        <w:rPr>
          <w:rFonts w:ascii="Arial" w:hAnsi="Arial" w:cs="Arial"/>
          <w:color w:val="000000"/>
          <w:sz w:val="22"/>
          <w:szCs w:val="22"/>
        </w:rPr>
        <w:t>Minimum frequencies of analysis for solid fuels are also provided for in the table below.</w:t>
      </w:r>
    </w:p>
    <w:p w14:paraId="5D69684C" w14:textId="3C34B89B" w:rsidR="00872C03" w:rsidRPr="00883399" w:rsidRDefault="00872C03" w:rsidP="00872C03">
      <w:pPr>
        <w:pStyle w:val="ActHead5"/>
        <w:rPr>
          <w:sz w:val="28"/>
        </w:rPr>
      </w:pPr>
      <w:bookmarkStart w:id="179" w:name="_Toc423516747"/>
      <w:bookmarkStart w:id="180" w:name="_Toc495652661"/>
      <w:r w:rsidRPr="00883399">
        <w:rPr>
          <w:rStyle w:val="CharSectno"/>
          <w:sz w:val="28"/>
        </w:rPr>
        <w:t>2.7</w:t>
      </w:r>
      <w:r w:rsidRPr="00883399">
        <w:rPr>
          <w:sz w:val="28"/>
        </w:rPr>
        <w:t xml:space="preserve">  General requirements for sampling solid fuels</w:t>
      </w:r>
      <w:bookmarkEnd w:id="179"/>
      <w:bookmarkEnd w:id="180"/>
    </w:p>
    <w:p w14:paraId="2FD30620" w14:textId="77777777" w:rsidR="00872C03" w:rsidRPr="00883399" w:rsidRDefault="00872C03" w:rsidP="00872C03">
      <w:pPr>
        <w:pStyle w:val="subsection"/>
        <w:rPr>
          <w:sz w:val="24"/>
        </w:rPr>
      </w:pPr>
      <w:r w:rsidRPr="00883399">
        <w:rPr>
          <w:sz w:val="24"/>
        </w:rPr>
        <w:tab/>
        <w:t>(1)</w:t>
      </w:r>
      <w:r w:rsidRPr="00883399">
        <w:rPr>
          <w:sz w:val="24"/>
        </w:rPr>
        <w:tab/>
        <w:t>A sample of the solid fuel must be derived from a composite of amounts of the solid fuel combusted.</w:t>
      </w:r>
    </w:p>
    <w:p w14:paraId="4D9EBD49" w14:textId="77777777" w:rsidR="00872C03" w:rsidRPr="00883399" w:rsidRDefault="00872C03" w:rsidP="00872C03">
      <w:pPr>
        <w:pStyle w:val="subsection"/>
        <w:rPr>
          <w:sz w:val="24"/>
        </w:rPr>
      </w:pPr>
      <w:r w:rsidRPr="00883399">
        <w:rPr>
          <w:sz w:val="24"/>
        </w:rPr>
        <w:tab/>
        <w:t>(2)</w:t>
      </w:r>
      <w:r w:rsidRPr="00883399">
        <w:rPr>
          <w:sz w:val="24"/>
        </w:rPr>
        <w:tab/>
        <w:t>The samples must be collected on enough occasions to produce a representative sample.</w:t>
      </w:r>
    </w:p>
    <w:p w14:paraId="5DD0742E" w14:textId="77777777" w:rsidR="00872C03" w:rsidRPr="00883399" w:rsidRDefault="00872C03" w:rsidP="00872C03">
      <w:pPr>
        <w:pStyle w:val="subsection"/>
        <w:rPr>
          <w:sz w:val="24"/>
        </w:rPr>
      </w:pPr>
      <w:r w:rsidRPr="00883399">
        <w:rPr>
          <w:sz w:val="24"/>
        </w:rPr>
        <w:tab/>
        <w:t>(3)</w:t>
      </w:r>
      <w:r w:rsidRPr="00883399">
        <w:rPr>
          <w:sz w:val="24"/>
        </w:rPr>
        <w:tab/>
        <w:t>The samples must also be free of bias so that any estimates are neither over nor under estimates of the true value.</w:t>
      </w:r>
    </w:p>
    <w:p w14:paraId="210600AC" w14:textId="77777777" w:rsidR="00872C03" w:rsidRPr="00883399" w:rsidRDefault="00872C03" w:rsidP="00872C03">
      <w:pPr>
        <w:pStyle w:val="subsection"/>
        <w:rPr>
          <w:sz w:val="24"/>
        </w:rPr>
      </w:pPr>
      <w:r w:rsidRPr="00883399">
        <w:rPr>
          <w:sz w:val="24"/>
        </w:rPr>
        <w:tab/>
        <w:t>(4)</w:t>
      </w:r>
      <w:r w:rsidRPr="00883399">
        <w:rPr>
          <w:sz w:val="24"/>
        </w:rPr>
        <w:tab/>
        <w:t>Bias must be tested in accordance with an appropriate standard (if any).</w:t>
      </w:r>
    </w:p>
    <w:p w14:paraId="7E5498E7" w14:textId="77777777" w:rsidR="00872C03" w:rsidRPr="00883399" w:rsidRDefault="00872C03" w:rsidP="00872C03">
      <w:pPr>
        <w:pStyle w:val="notetext"/>
        <w:rPr>
          <w:sz w:val="20"/>
        </w:rPr>
      </w:pPr>
      <w:r w:rsidRPr="00883399">
        <w:rPr>
          <w:sz w:val="20"/>
        </w:rPr>
        <w:t>Note:</w:t>
      </w:r>
      <w:r w:rsidRPr="00883399">
        <w:rPr>
          <w:sz w:val="20"/>
        </w:rPr>
        <w:tab/>
        <w:t xml:space="preserve">An appropriate standard for most solid mineral fuels is AS 4264.4—1996 </w:t>
      </w:r>
      <w:r w:rsidRPr="00883399">
        <w:rPr>
          <w:i/>
          <w:sz w:val="20"/>
        </w:rPr>
        <w:t>Coal and coke—Sampling—Determination of precision and bias.</w:t>
      </w:r>
    </w:p>
    <w:p w14:paraId="0E7ACEA1" w14:textId="77777777" w:rsidR="00872C03" w:rsidRPr="00883399" w:rsidRDefault="00872C03" w:rsidP="00872C03">
      <w:pPr>
        <w:pStyle w:val="subsection"/>
        <w:rPr>
          <w:sz w:val="24"/>
        </w:rPr>
      </w:pPr>
      <w:r w:rsidRPr="00883399">
        <w:rPr>
          <w:sz w:val="24"/>
        </w:rPr>
        <w:tab/>
        <w:t>(5)</w:t>
      </w:r>
      <w:r w:rsidRPr="00883399">
        <w:rPr>
          <w:sz w:val="24"/>
        </w:rPr>
        <w:tab/>
        <w:t>The value obtained from the sample must only be used for the delivery period or consignment of the fuel for which it was intended to be representative.</w:t>
      </w:r>
    </w:p>
    <w:p w14:paraId="1855C1F2" w14:textId="09D80FD9" w:rsidR="00872C03" w:rsidRPr="00883399" w:rsidRDefault="00872C03" w:rsidP="00872C03">
      <w:pPr>
        <w:pStyle w:val="ActHead5"/>
        <w:rPr>
          <w:sz w:val="28"/>
        </w:rPr>
      </w:pPr>
      <w:bookmarkStart w:id="181" w:name="_Toc423516748"/>
      <w:bookmarkStart w:id="182" w:name="_Toc495652662"/>
      <w:r w:rsidRPr="00883399">
        <w:rPr>
          <w:rStyle w:val="CharSectno"/>
          <w:sz w:val="28"/>
        </w:rPr>
        <w:t>2.8</w:t>
      </w:r>
      <w:r w:rsidRPr="00883399">
        <w:rPr>
          <w:sz w:val="28"/>
        </w:rPr>
        <w:t xml:space="preserve">  General requirements for analysis of solid fuels</w:t>
      </w:r>
      <w:bookmarkEnd w:id="181"/>
      <w:bookmarkEnd w:id="182"/>
    </w:p>
    <w:p w14:paraId="2CFE1105" w14:textId="77777777" w:rsidR="00872C03" w:rsidRPr="00883399" w:rsidRDefault="00872C03" w:rsidP="00872C03">
      <w:pPr>
        <w:pStyle w:val="subsection"/>
        <w:rPr>
          <w:sz w:val="24"/>
        </w:rPr>
      </w:pPr>
      <w:r w:rsidRPr="00883399">
        <w:rPr>
          <w:sz w:val="24"/>
        </w:rPr>
        <w:tab/>
        <w:t>(1)</w:t>
      </w:r>
      <w:r w:rsidRPr="00883399">
        <w:rPr>
          <w:sz w:val="24"/>
        </w:rPr>
        <w:tab/>
        <w:t>A standard for analysis of a parameter of a solid fuel, and the minimum frequency of analysis of a solid fuel, is as set out in Schedule 2.</w:t>
      </w:r>
    </w:p>
    <w:p w14:paraId="29DFB7D2" w14:textId="77777777" w:rsidR="00872C03" w:rsidRPr="00883399" w:rsidRDefault="00872C03" w:rsidP="00872C03">
      <w:pPr>
        <w:pStyle w:val="subsection"/>
        <w:rPr>
          <w:sz w:val="24"/>
        </w:rPr>
      </w:pPr>
      <w:r w:rsidRPr="00883399">
        <w:rPr>
          <w:sz w:val="24"/>
        </w:rPr>
        <w:tab/>
        <w:t>(2)</w:t>
      </w:r>
      <w:r w:rsidRPr="00883399">
        <w:rPr>
          <w:sz w:val="24"/>
        </w:rPr>
        <w:tab/>
        <w:t>A parameter of a solid fuel may also be analysed in accordance with a standard that is equivalent to a standard set out in Schedule 2.</w:t>
      </w:r>
    </w:p>
    <w:p w14:paraId="069BC650" w14:textId="77777777" w:rsidR="00872C03" w:rsidRPr="00883399" w:rsidRDefault="00872C03" w:rsidP="00872C03">
      <w:pPr>
        <w:pStyle w:val="subsection"/>
        <w:rPr>
          <w:sz w:val="24"/>
        </w:rPr>
      </w:pPr>
      <w:r w:rsidRPr="00883399">
        <w:rPr>
          <w:sz w:val="24"/>
        </w:rPr>
        <w:tab/>
        <w:t>(3)</w:t>
      </w:r>
      <w:r w:rsidRPr="00883399">
        <w:rPr>
          <w:sz w:val="24"/>
        </w:rPr>
        <w:tab/>
        <w:t>Analysis must be undertaken by an accredited laboratory that meets the requirements equivalent to those in AS ISO/IEC 17025:2005. However, analysis may be undertaken by an on</w:t>
      </w:r>
      <w:r w:rsidRPr="00883399">
        <w:rPr>
          <w:sz w:val="24"/>
        </w:rPr>
        <w:noBreakHyphen/>
        <w:t>line analyser if:</w:t>
      </w:r>
    </w:p>
    <w:p w14:paraId="2113A86E" w14:textId="77777777" w:rsidR="00872C03" w:rsidRPr="00883399" w:rsidRDefault="00872C03" w:rsidP="00872C03">
      <w:pPr>
        <w:pStyle w:val="paragraph"/>
        <w:rPr>
          <w:sz w:val="24"/>
        </w:rPr>
      </w:pPr>
      <w:r w:rsidRPr="00883399">
        <w:rPr>
          <w:sz w:val="24"/>
        </w:rPr>
        <w:lastRenderedPageBreak/>
        <w:tab/>
        <w:t>(a)</w:t>
      </w:r>
      <w:r w:rsidRPr="00883399">
        <w:rPr>
          <w:sz w:val="24"/>
        </w:rPr>
        <w:tab/>
        <w:t>the analyser is calibrated in accordance with an appropriate standard; and</w:t>
      </w:r>
    </w:p>
    <w:p w14:paraId="0A3154BD" w14:textId="77777777" w:rsidR="00872C03" w:rsidRPr="00883399" w:rsidRDefault="00872C03" w:rsidP="00872C03">
      <w:pPr>
        <w:pStyle w:val="paragraph"/>
        <w:rPr>
          <w:sz w:val="24"/>
        </w:rPr>
      </w:pPr>
      <w:r w:rsidRPr="00883399">
        <w:rPr>
          <w:sz w:val="24"/>
        </w:rPr>
        <w:tab/>
        <w:t>(b)</w:t>
      </w:r>
      <w:r w:rsidRPr="00883399">
        <w:rPr>
          <w:sz w:val="24"/>
        </w:rPr>
        <w:tab/>
        <w:t xml:space="preserve">analysis undertaken to meet the standard is done by a laboratory that meets the requirements equivalent to those in AS ISO/IEC 17025:2005. </w:t>
      </w:r>
    </w:p>
    <w:p w14:paraId="218C82CC" w14:textId="77777777" w:rsidR="00872C03" w:rsidRPr="00883399" w:rsidRDefault="00872C03" w:rsidP="00872C03">
      <w:pPr>
        <w:pStyle w:val="notetext"/>
        <w:rPr>
          <w:sz w:val="20"/>
        </w:rPr>
      </w:pPr>
      <w:r w:rsidRPr="00883399">
        <w:rPr>
          <w:sz w:val="20"/>
        </w:rPr>
        <w:t>Note:</w:t>
      </w:r>
      <w:r w:rsidRPr="00883399">
        <w:rPr>
          <w:sz w:val="20"/>
        </w:rPr>
        <w:tab/>
        <w:t>An appropriate standard is AS 1038.24—1998,</w:t>
      </w:r>
      <w:r w:rsidRPr="00883399">
        <w:rPr>
          <w:i/>
          <w:sz w:val="20"/>
        </w:rPr>
        <w:t xml:space="preserve"> Coal and coke—Analysis and testing</w:t>
      </w:r>
      <w:r w:rsidRPr="00883399">
        <w:rPr>
          <w:sz w:val="20"/>
        </w:rPr>
        <w:t xml:space="preserve">, Part 24: </w:t>
      </w:r>
      <w:r w:rsidRPr="00883399">
        <w:rPr>
          <w:i/>
          <w:sz w:val="20"/>
        </w:rPr>
        <w:t>Guide to the evaluation of measurements made by on</w:t>
      </w:r>
      <w:r w:rsidRPr="00883399">
        <w:rPr>
          <w:i/>
          <w:sz w:val="20"/>
        </w:rPr>
        <w:noBreakHyphen/>
        <w:t>line coal analysers</w:t>
      </w:r>
      <w:r w:rsidRPr="00883399">
        <w:rPr>
          <w:sz w:val="20"/>
        </w:rPr>
        <w:t>.</w:t>
      </w:r>
    </w:p>
    <w:p w14:paraId="26827F10" w14:textId="77777777" w:rsidR="00872C03" w:rsidRPr="00883399" w:rsidRDefault="00872C03" w:rsidP="00872C03">
      <w:pPr>
        <w:pStyle w:val="subsection"/>
        <w:rPr>
          <w:sz w:val="24"/>
        </w:rPr>
      </w:pPr>
      <w:r w:rsidRPr="00883399">
        <w:rPr>
          <w:sz w:val="24"/>
        </w:rPr>
        <w:tab/>
        <w:t>(4)</w:t>
      </w:r>
      <w:r w:rsidRPr="00883399">
        <w:rPr>
          <w:sz w:val="24"/>
        </w:rPr>
        <w:tab/>
        <w:t>If a delivery of fuel lasts for a month or less, analysis must be conducted on a delivery basis.</w:t>
      </w:r>
    </w:p>
    <w:p w14:paraId="77515011" w14:textId="77777777" w:rsidR="00872C03" w:rsidRPr="00883399" w:rsidRDefault="00872C03" w:rsidP="00872C03">
      <w:pPr>
        <w:pStyle w:val="subsection"/>
        <w:rPr>
          <w:sz w:val="24"/>
        </w:rPr>
      </w:pPr>
      <w:r w:rsidRPr="00883399">
        <w:rPr>
          <w:sz w:val="24"/>
        </w:rPr>
        <w:tab/>
        <w:t>(5)</w:t>
      </w:r>
      <w:r w:rsidRPr="00883399">
        <w:rPr>
          <w:sz w:val="24"/>
        </w:rPr>
        <w:tab/>
        <w:t>However, if the properties of the fuel do not change significantly between deliveries over a period of a month, analysis may be conducted on a monthly basis.</w:t>
      </w:r>
    </w:p>
    <w:p w14:paraId="0579926B" w14:textId="77777777" w:rsidR="00872C03" w:rsidRPr="00883399" w:rsidRDefault="00872C03" w:rsidP="00872C03">
      <w:pPr>
        <w:pStyle w:val="subsection"/>
        <w:rPr>
          <w:sz w:val="24"/>
        </w:rPr>
      </w:pPr>
      <w:r w:rsidRPr="00883399">
        <w:rPr>
          <w:sz w:val="24"/>
        </w:rPr>
        <w:tab/>
        <w:t>(6)</w:t>
      </w:r>
      <w:r w:rsidRPr="00883399">
        <w:rPr>
          <w:sz w:val="24"/>
        </w:rPr>
        <w:tab/>
        <w:t>If a delivery of fuel lasts for more than a month, and the properties of the fuel do not change significantly before the next delivery, analysis of the fuel may be conducted on a delivery basis rather than monthly basis.</w:t>
      </w:r>
    </w:p>
    <w:p w14:paraId="23F2B843" w14:textId="7CBDAE89" w:rsidR="00872C03" w:rsidRPr="00883399" w:rsidRDefault="00872C03" w:rsidP="00872C03">
      <w:pPr>
        <w:pStyle w:val="ActHead5"/>
        <w:rPr>
          <w:sz w:val="28"/>
        </w:rPr>
      </w:pPr>
      <w:bookmarkStart w:id="183" w:name="_Toc423516749"/>
      <w:bookmarkStart w:id="184" w:name="_Toc495652663"/>
      <w:r w:rsidRPr="00883399">
        <w:rPr>
          <w:rStyle w:val="CharSectno"/>
          <w:sz w:val="28"/>
        </w:rPr>
        <w:t>2.9</w:t>
      </w:r>
      <w:r w:rsidRPr="00883399">
        <w:rPr>
          <w:sz w:val="28"/>
        </w:rPr>
        <w:t xml:space="preserve">  Requirements for analysis of furnace ash and fly ash</w:t>
      </w:r>
      <w:bookmarkEnd w:id="183"/>
      <w:bookmarkEnd w:id="184"/>
    </w:p>
    <w:p w14:paraId="3193AE51" w14:textId="77777777" w:rsidR="00872C03" w:rsidRPr="00883399" w:rsidRDefault="00872C03" w:rsidP="00872C03">
      <w:pPr>
        <w:pStyle w:val="R1"/>
        <w:spacing w:before="240" w:after="80" w:line="312" w:lineRule="auto"/>
        <w:ind w:left="0" w:firstLine="0"/>
        <w:rPr>
          <w:rFonts w:ascii="Arial" w:hAnsi="Arial" w:cs="Arial"/>
          <w:color w:val="000000"/>
          <w:sz w:val="22"/>
          <w:szCs w:val="22"/>
        </w:rPr>
      </w:pPr>
      <w:r w:rsidRPr="00883399">
        <w:rPr>
          <w:rFonts w:ascii="Arial" w:hAnsi="Arial" w:cs="Arial"/>
          <w:color w:val="000000"/>
          <w:sz w:val="22"/>
          <w:szCs w:val="22"/>
        </w:rPr>
        <w:t xml:space="preserve">Sampling of furnace and fly ash is needed if the method of sub-division 2.2.3.2 is adopted rather than the alternative method of sub-division 2.2.3.1. </w:t>
      </w:r>
    </w:p>
    <w:p w14:paraId="09933A50" w14:textId="77777777" w:rsidR="00872C03" w:rsidRPr="00883399" w:rsidRDefault="00872C03" w:rsidP="00872C03">
      <w:pPr>
        <w:pStyle w:val="R1"/>
        <w:spacing w:before="240" w:after="80" w:line="312" w:lineRule="auto"/>
        <w:ind w:left="0" w:firstLine="0"/>
        <w:jc w:val="left"/>
        <w:rPr>
          <w:rFonts w:ascii="Arial" w:hAnsi="Arial" w:cs="Arial"/>
          <w:color w:val="000000"/>
          <w:sz w:val="22"/>
          <w:szCs w:val="22"/>
        </w:rPr>
      </w:pPr>
      <w:r w:rsidRPr="00883399">
        <w:rPr>
          <w:rFonts w:ascii="Arial" w:hAnsi="Arial" w:cs="Arial"/>
          <w:color w:val="000000"/>
          <w:sz w:val="22"/>
          <w:szCs w:val="22"/>
        </w:rPr>
        <w:t>It is recognised that the configuration of plant varies and measurement of carbon in ash should be based on representative operating conditions for the plant.</w:t>
      </w:r>
    </w:p>
    <w:p w14:paraId="7030BD37" w14:textId="77777777" w:rsidR="00872C03" w:rsidRPr="00883399" w:rsidRDefault="00872C03" w:rsidP="00872C03">
      <w:pPr>
        <w:pStyle w:val="R1"/>
        <w:spacing w:before="240" w:after="80" w:line="312" w:lineRule="auto"/>
        <w:ind w:left="0" w:firstLine="0"/>
        <w:jc w:val="left"/>
        <w:rPr>
          <w:color w:val="000000"/>
        </w:rPr>
      </w:pPr>
      <w:r w:rsidRPr="00883399">
        <w:rPr>
          <w:rFonts w:ascii="Arial" w:hAnsi="Arial" w:cs="Arial"/>
          <w:color w:val="000000"/>
          <w:sz w:val="22"/>
          <w:szCs w:val="22"/>
        </w:rPr>
        <w:t xml:space="preserve">Furnace ash includes ash collected at the bottom of the furnace hopper of the coal unit and ash collected within the economiser hopper at the rear pass of the coal fired power plant. There is no standard procedure to collecting furnace ash or economiser hopper ash; however, in a wet extraction system, reasonable samples may be obtained by using sampling ladles to collect material from sluiceways. In a dry extraction system, good representative samples can be obtained directly from the conveyor.  Particular care should be taken in attempting to obtain samples of furnace ash because of the inherent dangers associated with such operations. The Determination allows for alternative collection methods to be used to obtain samples where it is not feasible due to safety and operational considerations </w:t>
      </w:r>
    </w:p>
    <w:p w14:paraId="18D7E2FD" w14:textId="77777777" w:rsidR="00872C03" w:rsidRPr="00883399" w:rsidRDefault="00872C03" w:rsidP="00872C03">
      <w:pPr>
        <w:pStyle w:val="R2"/>
        <w:spacing w:line="312" w:lineRule="auto"/>
        <w:ind w:left="0" w:firstLine="0"/>
        <w:rPr>
          <w:rFonts w:ascii="Arial" w:hAnsi="Arial" w:cs="Arial"/>
          <w:color w:val="000000"/>
          <w:sz w:val="22"/>
          <w:szCs w:val="22"/>
        </w:rPr>
      </w:pPr>
      <w:r w:rsidRPr="00883399">
        <w:rPr>
          <w:rFonts w:ascii="Arial" w:hAnsi="Arial" w:cs="Arial"/>
          <w:color w:val="000000"/>
          <w:sz w:val="22"/>
          <w:szCs w:val="22"/>
        </w:rPr>
        <w:t xml:space="preserve">The legislation sets out the minimum frequency for sampling for carbon in fly ash. It is acknowledged that some facilities sample on a more regular basis and these more frequent measurements should be incorporated into a facilities estimates. </w:t>
      </w:r>
    </w:p>
    <w:p w14:paraId="2D2BCF11" w14:textId="77777777" w:rsidR="00872C03" w:rsidRPr="00883399" w:rsidRDefault="00872C03" w:rsidP="00872C03">
      <w:pPr>
        <w:pStyle w:val="R1"/>
        <w:spacing w:before="240" w:after="80" w:line="312" w:lineRule="auto"/>
        <w:ind w:left="0" w:firstLine="0"/>
        <w:jc w:val="left"/>
        <w:rPr>
          <w:rFonts w:ascii="Arial" w:hAnsi="Arial" w:cs="Arial"/>
          <w:color w:val="000000"/>
          <w:sz w:val="22"/>
          <w:szCs w:val="22"/>
        </w:rPr>
      </w:pPr>
      <w:r w:rsidRPr="00883399">
        <w:rPr>
          <w:rFonts w:ascii="Arial" w:hAnsi="Arial" w:cs="Arial"/>
          <w:color w:val="000000"/>
          <w:sz w:val="22"/>
          <w:szCs w:val="22"/>
        </w:rPr>
        <w:lastRenderedPageBreak/>
        <w:t>Additional sampling should be undertaken for furnace and fly ash after a significant change in operating conditions as the amount and type of ash produced can vary significantly as a result of the change.</w:t>
      </w:r>
    </w:p>
    <w:p w14:paraId="04B379C6" w14:textId="77777777" w:rsidR="00872C03" w:rsidRPr="00883399" w:rsidRDefault="00872C03" w:rsidP="00872C03">
      <w:pPr>
        <w:pStyle w:val="R1"/>
        <w:spacing w:before="240" w:after="80" w:line="312" w:lineRule="auto"/>
        <w:ind w:left="0" w:firstLine="0"/>
        <w:jc w:val="left"/>
        <w:rPr>
          <w:rFonts w:ascii="Arial" w:hAnsi="Arial" w:cs="Arial"/>
          <w:color w:val="000000"/>
          <w:sz w:val="22"/>
          <w:szCs w:val="22"/>
        </w:rPr>
      </w:pPr>
      <w:r w:rsidRPr="00883399">
        <w:rPr>
          <w:rFonts w:ascii="Arial" w:hAnsi="Arial" w:cs="Arial"/>
          <w:color w:val="000000"/>
          <w:sz w:val="22"/>
          <w:szCs w:val="22"/>
        </w:rPr>
        <w:t>For facilities where load profiles vary significantly throughout the operation of the facility it is recommended that ash is sampled as a function of load.</w:t>
      </w:r>
    </w:p>
    <w:p w14:paraId="7453560D" w14:textId="77777777" w:rsidR="00872C03" w:rsidRPr="00883399" w:rsidRDefault="00872C03" w:rsidP="00872C03">
      <w:pPr>
        <w:pStyle w:val="subsection"/>
        <w:rPr>
          <w:sz w:val="24"/>
        </w:rPr>
      </w:pPr>
      <w:r w:rsidRPr="00883399">
        <w:rPr>
          <w:sz w:val="24"/>
        </w:rPr>
        <w:tab/>
      </w:r>
      <w:r w:rsidRPr="00883399">
        <w:rPr>
          <w:sz w:val="24"/>
        </w:rPr>
        <w:tab/>
        <w:t xml:space="preserve">For furnace ash and fly ash, analysis of the carbon content must be undertaken in accordance with AS 3583.2—1991 </w:t>
      </w:r>
      <w:r w:rsidRPr="00883399">
        <w:rPr>
          <w:i/>
          <w:sz w:val="24"/>
        </w:rPr>
        <w:t xml:space="preserve">Determination of moisture content </w:t>
      </w:r>
      <w:r w:rsidRPr="00883399">
        <w:rPr>
          <w:sz w:val="24"/>
        </w:rPr>
        <w:t xml:space="preserve">and AS 3583.3—1991 </w:t>
      </w:r>
      <w:r w:rsidRPr="00883399">
        <w:rPr>
          <w:i/>
          <w:sz w:val="24"/>
        </w:rPr>
        <w:t xml:space="preserve">Determination of loss on ignition </w:t>
      </w:r>
      <w:r w:rsidRPr="00883399">
        <w:rPr>
          <w:sz w:val="24"/>
        </w:rPr>
        <w:t>or a standard that is equivalent to those standards.</w:t>
      </w:r>
    </w:p>
    <w:p w14:paraId="3C19289C" w14:textId="0F9ADCF9" w:rsidR="00872C03" w:rsidRPr="00883399" w:rsidRDefault="00872C03" w:rsidP="00872C03">
      <w:pPr>
        <w:pStyle w:val="ActHead5"/>
        <w:rPr>
          <w:sz w:val="28"/>
        </w:rPr>
      </w:pPr>
      <w:bookmarkStart w:id="185" w:name="_Toc423516750"/>
      <w:bookmarkStart w:id="186" w:name="_Toc495652664"/>
      <w:r w:rsidRPr="00883399">
        <w:rPr>
          <w:rStyle w:val="CharSectno"/>
          <w:sz w:val="28"/>
        </w:rPr>
        <w:t>2.10</w:t>
      </w:r>
      <w:r w:rsidRPr="00883399">
        <w:rPr>
          <w:sz w:val="28"/>
        </w:rPr>
        <w:t xml:space="preserve">  Requirements for sampling for carbon in furnace ash</w:t>
      </w:r>
      <w:bookmarkEnd w:id="185"/>
      <w:bookmarkEnd w:id="186"/>
    </w:p>
    <w:p w14:paraId="2C37B420" w14:textId="77777777" w:rsidR="00872C03" w:rsidRPr="00883399" w:rsidRDefault="00872C03" w:rsidP="00872C03">
      <w:pPr>
        <w:pStyle w:val="subsection"/>
        <w:rPr>
          <w:sz w:val="24"/>
        </w:rPr>
      </w:pPr>
      <w:r w:rsidRPr="00883399">
        <w:rPr>
          <w:sz w:val="24"/>
        </w:rPr>
        <w:tab/>
        <w:t>(1)</w:t>
      </w:r>
      <w:r w:rsidRPr="00883399">
        <w:rPr>
          <w:sz w:val="24"/>
        </w:rPr>
        <w:tab/>
        <w:t>This section applies to furnace ash sampled for its carbon content if the ash is produced from the operation of a facility that is constituted by a plant.</w:t>
      </w:r>
    </w:p>
    <w:p w14:paraId="70060617" w14:textId="77777777" w:rsidR="00872C03" w:rsidRPr="00883399" w:rsidRDefault="00872C03" w:rsidP="00872C03">
      <w:pPr>
        <w:pStyle w:val="subsection"/>
        <w:rPr>
          <w:sz w:val="24"/>
        </w:rPr>
      </w:pPr>
      <w:r w:rsidRPr="00883399">
        <w:rPr>
          <w:sz w:val="24"/>
        </w:rPr>
        <w:tab/>
        <w:t>(2)</w:t>
      </w:r>
      <w:r w:rsidRPr="00883399">
        <w:rPr>
          <w:sz w:val="24"/>
        </w:rPr>
        <w:tab/>
        <w:t>A sample of the ash must be derived from representative operating conditions in the plant.</w:t>
      </w:r>
    </w:p>
    <w:p w14:paraId="322491B9" w14:textId="77777777" w:rsidR="00872C03" w:rsidRPr="00883399" w:rsidRDefault="00872C03" w:rsidP="00872C03">
      <w:pPr>
        <w:pStyle w:val="subsection"/>
        <w:rPr>
          <w:sz w:val="24"/>
        </w:rPr>
      </w:pPr>
      <w:r w:rsidRPr="00883399">
        <w:rPr>
          <w:sz w:val="24"/>
        </w:rPr>
        <w:tab/>
        <w:t>(3)</w:t>
      </w:r>
      <w:r w:rsidRPr="00883399">
        <w:rPr>
          <w:sz w:val="24"/>
        </w:rPr>
        <w:tab/>
        <w:t>A sample of ash may be collected:</w:t>
      </w:r>
    </w:p>
    <w:p w14:paraId="3FF7394E" w14:textId="77777777" w:rsidR="00872C03" w:rsidRPr="00883399" w:rsidRDefault="00872C03" w:rsidP="00872C03">
      <w:pPr>
        <w:pStyle w:val="paragraph"/>
        <w:rPr>
          <w:sz w:val="24"/>
        </w:rPr>
      </w:pPr>
      <w:r w:rsidRPr="00883399">
        <w:rPr>
          <w:sz w:val="24"/>
        </w:rPr>
        <w:tab/>
        <w:t>(a)</w:t>
      </w:r>
      <w:r w:rsidRPr="00883399">
        <w:rPr>
          <w:sz w:val="24"/>
        </w:rPr>
        <w:tab/>
        <w:t>if contained in a wet extraction system—by using sampling ladles to collect it from sluiceways; or</w:t>
      </w:r>
    </w:p>
    <w:p w14:paraId="0A5E29AD" w14:textId="77777777" w:rsidR="00872C03" w:rsidRPr="00883399" w:rsidRDefault="00872C03" w:rsidP="00872C03">
      <w:pPr>
        <w:pStyle w:val="paragraph"/>
        <w:rPr>
          <w:sz w:val="24"/>
        </w:rPr>
      </w:pPr>
      <w:r w:rsidRPr="00883399">
        <w:rPr>
          <w:sz w:val="24"/>
        </w:rPr>
        <w:tab/>
        <w:t>(b)</w:t>
      </w:r>
      <w:r w:rsidRPr="00883399">
        <w:rPr>
          <w:sz w:val="24"/>
        </w:rPr>
        <w:tab/>
        <w:t>if contained in a dry extraction system—directly from the conveyer; or</w:t>
      </w:r>
    </w:p>
    <w:p w14:paraId="59717823" w14:textId="77777777" w:rsidR="00872C03" w:rsidRPr="00883399" w:rsidRDefault="00872C03" w:rsidP="00872C03">
      <w:pPr>
        <w:pStyle w:val="paragraph"/>
        <w:rPr>
          <w:sz w:val="24"/>
        </w:rPr>
      </w:pPr>
      <w:r w:rsidRPr="00883399">
        <w:rPr>
          <w:sz w:val="24"/>
        </w:rPr>
        <w:tab/>
        <w:t>(c)</w:t>
      </w:r>
      <w:r w:rsidRPr="00883399">
        <w:rPr>
          <w:sz w:val="24"/>
        </w:rPr>
        <w:tab/>
        <w:t>if it is not feasible to use one of the collection methods mentioned in paragraph (a) or (b)—by using another collection method that provides representative ash sampling.</w:t>
      </w:r>
    </w:p>
    <w:p w14:paraId="711AA995" w14:textId="27F96551" w:rsidR="00872C03" w:rsidRPr="00883399" w:rsidRDefault="00872C03" w:rsidP="00872C03">
      <w:pPr>
        <w:pStyle w:val="ActHead5"/>
        <w:rPr>
          <w:sz w:val="28"/>
        </w:rPr>
      </w:pPr>
      <w:bookmarkStart w:id="187" w:name="_Toc423516751"/>
      <w:bookmarkStart w:id="188" w:name="_Toc495652665"/>
      <w:r w:rsidRPr="00883399">
        <w:rPr>
          <w:rStyle w:val="CharSectno"/>
          <w:sz w:val="28"/>
        </w:rPr>
        <w:t>2.11</w:t>
      </w:r>
      <w:r w:rsidRPr="00883399">
        <w:rPr>
          <w:sz w:val="28"/>
        </w:rPr>
        <w:t xml:space="preserve">  Sampling for carbon in fly ash</w:t>
      </w:r>
      <w:bookmarkEnd w:id="187"/>
      <w:bookmarkEnd w:id="188"/>
    </w:p>
    <w:p w14:paraId="26E8B549" w14:textId="77777777" w:rsidR="00872C03" w:rsidRPr="00883399" w:rsidRDefault="00872C03" w:rsidP="00872C03">
      <w:pPr>
        <w:pStyle w:val="subsection"/>
        <w:rPr>
          <w:sz w:val="24"/>
        </w:rPr>
      </w:pPr>
      <w:r w:rsidRPr="00883399">
        <w:rPr>
          <w:sz w:val="24"/>
        </w:rPr>
        <w:tab/>
      </w:r>
      <w:r w:rsidRPr="00883399">
        <w:rPr>
          <w:sz w:val="24"/>
        </w:rPr>
        <w:tab/>
        <w:t xml:space="preserve">Fly ash must be sampled for its carbon content in accordance with: </w:t>
      </w:r>
    </w:p>
    <w:p w14:paraId="487F8A9C" w14:textId="77777777" w:rsidR="00872C03" w:rsidRPr="00883399" w:rsidRDefault="00872C03" w:rsidP="00872C03">
      <w:pPr>
        <w:pStyle w:val="paragraph"/>
        <w:rPr>
          <w:sz w:val="24"/>
        </w:rPr>
      </w:pPr>
      <w:r w:rsidRPr="00883399">
        <w:rPr>
          <w:sz w:val="24"/>
        </w:rPr>
        <w:tab/>
        <w:t>(a)</w:t>
      </w:r>
      <w:r w:rsidRPr="00883399">
        <w:rPr>
          <w:sz w:val="24"/>
        </w:rPr>
        <w:tab/>
        <w:t>a procedure set out in column 2 of an item in the following table, and at a frequency set out in column 3 for that item; or</w:t>
      </w:r>
    </w:p>
    <w:p w14:paraId="5FF55B63" w14:textId="77777777" w:rsidR="00872C03" w:rsidRPr="00883399" w:rsidRDefault="00872C03" w:rsidP="00872C03">
      <w:pPr>
        <w:pStyle w:val="paragraph"/>
        <w:rPr>
          <w:sz w:val="24"/>
        </w:rPr>
      </w:pPr>
      <w:r w:rsidRPr="00883399">
        <w:rPr>
          <w:sz w:val="24"/>
        </w:rPr>
        <w:tab/>
        <w:t>(b)</w:t>
      </w:r>
      <w:r w:rsidRPr="00883399">
        <w:rPr>
          <w:sz w:val="24"/>
        </w:rPr>
        <w:tab/>
        <w:t>if it is not feasible to use one of the procedures mentioned in paragraph (a)—another procedure that provides representative ash sampling, at least every two years, or after significant changes in operating conditions.</w:t>
      </w:r>
    </w:p>
    <w:p w14:paraId="62BFC133" w14:textId="77777777" w:rsidR="00872C03" w:rsidRPr="00883399" w:rsidRDefault="00872C03" w:rsidP="00872C03">
      <w:pPr>
        <w:pStyle w:val="Tabletext0"/>
        <w:rPr>
          <w:sz w:val="22"/>
        </w:rPr>
      </w:pPr>
    </w:p>
    <w:tbl>
      <w:tblPr>
        <w:tblW w:w="8553" w:type="dxa"/>
        <w:tblInd w:w="-18" w:type="dxa"/>
        <w:tblBorders>
          <w:top w:val="single" w:sz="4" w:space="0" w:color="auto"/>
          <w:bottom w:val="single" w:sz="2" w:space="0" w:color="auto"/>
          <w:insideH w:val="single" w:sz="4" w:space="0" w:color="auto"/>
        </w:tblBorders>
        <w:tblLook w:val="04A0" w:firstRow="1" w:lastRow="0" w:firstColumn="1" w:lastColumn="0" w:noHBand="0" w:noVBand="1"/>
      </w:tblPr>
      <w:tblGrid>
        <w:gridCol w:w="700"/>
        <w:gridCol w:w="4822"/>
        <w:gridCol w:w="3031"/>
      </w:tblGrid>
      <w:tr w:rsidR="00872C03" w:rsidRPr="00883399" w14:paraId="4981C28E" w14:textId="77777777" w:rsidTr="0031057E">
        <w:trPr>
          <w:tblHeader/>
        </w:trPr>
        <w:tc>
          <w:tcPr>
            <w:tcW w:w="700" w:type="dxa"/>
            <w:tcBorders>
              <w:top w:val="single" w:sz="12" w:space="0" w:color="auto"/>
              <w:bottom w:val="single" w:sz="12" w:space="0" w:color="auto"/>
            </w:tcBorders>
            <w:shd w:val="clear" w:color="auto" w:fill="auto"/>
            <w:hideMark/>
          </w:tcPr>
          <w:p w14:paraId="7163B25E" w14:textId="77777777" w:rsidR="00872C03" w:rsidRPr="00883399" w:rsidRDefault="00872C03" w:rsidP="0031057E">
            <w:pPr>
              <w:pStyle w:val="TableHeading"/>
              <w:rPr>
                <w:sz w:val="22"/>
                <w:szCs w:val="18"/>
              </w:rPr>
            </w:pPr>
            <w:r w:rsidRPr="00883399">
              <w:rPr>
                <w:sz w:val="22"/>
                <w:szCs w:val="18"/>
              </w:rPr>
              <w:t>Item</w:t>
            </w:r>
          </w:p>
        </w:tc>
        <w:tc>
          <w:tcPr>
            <w:tcW w:w="4822" w:type="dxa"/>
            <w:tcBorders>
              <w:top w:val="single" w:sz="12" w:space="0" w:color="auto"/>
              <w:bottom w:val="single" w:sz="12" w:space="0" w:color="auto"/>
            </w:tcBorders>
            <w:shd w:val="clear" w:color="auto" w:fill="auto"/>
            <w:hideMark/>
          </w:tcPr>
          <w:p w14:paraId="18BEAF1F" w14:textId="77777777" w:rsidR="00872C03" w:rsidRPr="00883399" w:rsidRDefault="00872C03" w:rsidP="0031057E">
            <w:pPr>
              <w:pStyle w:val="TableHeading"/>
              <w:rPr>
                <w:sz w:val="22"/>
                <w:szCs w:val="18"/>
              </w:rPr>
            </w:pPr>
            <w:r w:rsidRPr="00883399">
              <w:rPr>
                <w:sz w:val="22"/>
                <w:szCs w:val="18"/>
              </w:rPr>
              <w:t>Procedure</w:t>
            </w:r>
          </w:p>
        </w:tc>
        <w:tc>
          <w:tcPr>
            <w:tcW w:w="3031" w:type="dxa"/>
            <w:tcBorders>
              <w:top w:val="single" w:sz="12" w:space="0" w:color="auto"/>
              <w:bottom w:val="single" w:sz="12" w:space="0" w:color="auto"/>
            </w:tcBorders>
            <w:shd w:val="clear" w:color="auto" w:fill="auto"/>
            <w:hideMark/>
          </w:tcPr>
          <w:p w14:paraId="6650EC2F" w14:textId="77777777" w:rsidR="00872C03" w:rsidRPr="00883399" w:rsidRDefault="00872C03" w:rsidP="0031057E">
            <w:pPr>
              <w:pStyle w:val="TableHeading"/>
              <w:rPr>
                <w:sz w:val="22"/>
                <w:szCs w:val="18"/>
              </w:rPr>
            </w:pPr>
            <w:r w:rsidRPr="00883399">
              <w:rPr>
                <w:sz w:val="22"/>
                <w:szCs w:val="18"/>
              </w:rPr>
              <w:t>Frequency</w:t>
            </w:r>
          </w:p>
        </w:tc>
      </w:tr>
      <w:tr w:rsidR="00872C03" w:rsidRPr="00883399" w14:paraId="6D40906A" w14:textId="77777777" w:rsidTr="0031057E">
        <w:tc>
          <w:tcPr>
            <w:tcW w:w="700" w:type="dxa"/>
            <w:tcBorders>
              <w:top w:val="single" w:sz="12" w:space="0" w:color="auto"/>
            </w:tcBorders>
            <w:shd w:val="clear" w:color="auto" w:fill="auto"/>
            <w:hideMark/>
          </w:tcPr>
          <w:p w14:paraId="1211A89E" w14:textId="77777777" w:rsidR="00872C03" w:rsidRPr="00883399" w:rsidRDefault="00872C03" w:rsidP="0031057E">
            <w:pPr>
              <w:pStyle w:val="Tabletext0"/>
              <w:rPr>
                <w:sz w:val="22"/>
              </w:rPr>
            </w:pPr>
            <w:r w:rsidRPr="00883399">
              <w:rPr>
                <w:sz w:val="22"/>
              </w:rPr>
              <w:t>1</w:t>
            </w:r>
          </w:p>
        </w:tc>
        <w:tc>
          <w:tcPr>
            <w:tcW w:w="4822" w:type="dxa"/>
            <w:tcBorders>
              <w:top w:val="single" w:sz="12" w:space="0" w:color="auto"/>
            </w:tcBorders>
            <w:shd w:val="clear" w:color="auto" w:fill="auto"/>
            <w:hideMark/>
          </w:tcPr>
          <w:p w14:paraId="4A7E5F82" w14:textId="77777777" w:rsidR="00872C03" w:rsidRPr="00883399" w:rsidRDefault="00872C03" w:rsidP="0031057E">
            <w:pPr>
              <w:pStyle w:val="Tabletext0"/>
              <w:rPr>
                <w:sz w:val="22"/>
              </w:rPr>
            </w:pPr>
            <w:r w:rsidRPr="00883399">
              <w:rPr>
                <w:sz w:val="22"/>
              </w:rPr>
              <w:t xml:space="preserve">At the outlet of a boiler air heater or the inlet to a flue gas cleaning plant using the isokinetic sampling method in AS 4323.1—1995 or AS </w:t>
            </w:r>
            <w:r w:rsidRPr="00883399">
              <w:rPr>
                <w:sz w:val="22"/>
              </w:rPr>
              <w:lastRenderedPageBreak/>
              <w:t>4323.2—1995, or in a standard that is equivalent to one of those standards</w:t>
            </w:r>
          </w:p>
        </w:tc>
        <w:tc>
          <w:tcPr>
            <w:tcW w:w="3031" w:type="dxa"/>
            <w:tcBorders>
              <w:top w:val="single" w:sz="12" w:space="0" w:color="auto"/>
            </w:tcBorders>
            <w:shd w:val="clear" w:color="auto" w:fill="auto"/>
            <w:hideMark/>
          </w:tcPr>
          <w:p w14:paraId="6D22DB36" w14:textId="77777777" w:rsidR="00872C03" w:rsidRPr="00883399" w:rsidRDefault="00872C03" w:rsidP="0031057E">
            <w:pPr>
              <w:pStyle w:val="Tabletext0"/>
              <w:rPr>
                <w:sz w:val="22"/>
              </w:rPr>
            </w:pPr>
            <w:r w:rsidRPr="00883399">
              <w:rPr>
                <w:sz w:val="22"/>
              </w:rPr>
              <w:lastRenderedPageBreak/>
              <w:t>At least every 2 years, or after significant changes in operating conditions</w:t>
            </w:r>
          </w:p>
        </w:tc>
      </w:tr>
      <w:tr w:rsidR="00872C03" w:rsidRPr="00883399" w14:paraId="78E5DCB3" w14:textId="77777777" w:rsidTr="0031057E">
        <w:tc>
          <w:tcPr>
            <w:tcW w:w="700" w:type="dxa"/>
            <w:shd w:val="clear" w:color="auto" w:fill="auto"/>
            <w:hideMark/>
          </w:tcPr>
          <w:p w14:paraId="60F11EA1" w14:textId="77777777" w:rsidR="00872C03" w:rsidRPr="00883399" w:rsidRDefault="00872C03" w:rsidP="0031057E">
            <w:pPr>
              <w:pStyle w:val="Tabletext0"/>
              <w:rPr>
                <w:sz w:val="22"/>
              </w:rPr>
            </w:pPr>
            <w:r w:rsidRPr="00883399">
              <w:rPr>
                <w:sz w:val="22"/>
              </w:rPr>
              <w:t>2</w:t>
            </w:r>
          </w:p>
        </w:tc>
        <w:tc>
          <w:tcPr>
            <w:tcW w:w="4822" w:type="dxa"/>
            <w:shd w:val="clear" w:color="auto" w:fill="auto"/>
            <w:hideMark/>
          </w:tcPr>
          <w:p w14:paraId="1D30E487" w14:textId="77777777" w:rsidR="00872C03" w:rsidRPr="00883399" w:rsidRDefault="00872C03" w:rsidP="0031057E">
            <w:pPr>
              <w:pStyle w:val="Tabletext0"/>
              <w:rPr>
                <w:sz w:val="22"/>
              </w:rPr>
            </w:pPr>
            <w:r w:rsidRPr="00883399">
              <w:rPr>
                <w:sz w:val="22"/>
              </w:rPr>
              <w:t>By using standard industry ‘cegrit’ extraction equipment</w:t>
            </w:r>
          </w:p>
        </w:tc>
        <w:tc>
          <w:tcPr>
            <w:tcW w:w="3031" w:type="dxa"/>
            <w:shd w:val="clear" w:color="auto" w:fill="auto"/>
            <w:hideMark/>
          </w:tcPr>
          <w:p w14:paraId="77BBC0F1" w14:textId="77777777" w:rsidR="00872C03" w:rsidRPr="00883399" w:rsidRDefault="00872C03" w:rsidP="0031057E">
            <w:pPr>
              <w:pStyle w:val="Tabletext0"/>
              <w:rPr>
                <w:sz w:val="22"/>
              </w:rPr>
            </w:pPr>
            <w:r w:rsidRPr="00883399">
              <w:rPr>
                <w:sz w:val="22"/>
              </w:rPr>
              <w:t>At least every year, or after significant changes in operating conditions</w:t>
            </w:r>
          </w:p>
        </w:tc>
      </w:tr>
      <w:tr w:rsidR="00872C03" w:rsidRPr="00883399" w14:paraId="539C1835" w14:textId="77777777" w:rsidTr="0031057E">
        <w:tc>
          <w:tcPr>
            <w:tcW w:w="700" w:type="dxa"/>
            <w:tcBorders>
              <w:bottom w:val="single" w:sz="4" w:space="0" w:color="auto"/>
            </w:tcBorders>
            <w:shd w:val="clear" w:color="auto" w:fill="auto"/>
            <w:hideMark/>
          </w:tcPr>
          <w:p w14:paraId="2550C8AC" w14:textId="77777777" w:rsidR="00872C03" w:rsidRPr="00883399" w:rsidRDefault="00872C03" w:rsidP="0031057E">
            <w:pPr>
              <w:pStyle w:val="Tabletext0"/>
              <w:rPr>
                <w:sz w:val="22"/>
              </w:rPr>
            </w:pPr>
            <w:r w:rsidRPr="00883399">
              <w:rPr>
                <w:sz w:val="22"/>
              </w:rPr>
              <w:t>3</w:t>
            </w:r>
          </w:p>
        </w:tc>
        <w:tc>
          <w:tcPr>
            <w:tcW w:w="4822" w:type="dxa"/>
            <w:tcBorders>
              <w:bottom w:val="single" w:sz="4" w:space="0" w:color="auto"/>
            </w:tcBorders>
            <w:shd w:val="clear" w:color="auto" w:fill="auto"/>
            <w:hideMark/>
          </w:tcPr>
          <w:p w14:paraId="272F3BE3" w14:textId="77777777" w:rsidR="00872C03" w:rsidRPr="00883399" w:rsidRDefault="00872C03" w:rsidP="0031057E">
            <w:pPr>
              <w:pStyle w:val="Tabletext0"/>
              <w:rPr>
                <w:sz w:val="22"/>
              </w:rPr>
            </w:pPr>
            <w:r w:rsidRPr="00883399">
              <w:rPr>
                <w:sz w:val="22"/>
              </w:rPr>
              <w:t>By collecting fly ash from:</w:t>
            </w:r>
          </w:p>
          <w:p w14:paraId="5A193F4A" w14:textId="77777777" w:rsidR="00872C03" w:rsidRPr="00883399" w:rsidRDefault="00872C03" w:rsidP="0031057E">
            <w:pPr>
              <w:pStyle w:val="Tablea"/>
              <w:rPr>
                <w:sz w:val="22"/>
              </w:rPr>
            </w:pPr>
            <w:r w:rsidRPr="00883399">
              <w:rPr>
                <w:sz w:val="22"/>
              </w:rPr>
              <w:t>(a) the fly ash collection hoppers of a flue gas cleaning plant; or</w:t>
            </w:r>
          </w:p>
          <w:p w14:paraId="159DF332" w14:textId="77777777" w:rsidR="00872C03" w:rsidRPr="00883399" w:rsidRDefault="00872C03" w:rsidP="0031057E">
            <w:pPr>
              <w:pStyle w:val="Tablea"/>
              <w:rPr>
                <w:sz w:val="22"/>
              </w:rPr>
            </w:pPr>
            <w:r w:rsidRPr="00883399">
              <w:rPr>
                <w:sz w:val="22"/>
              </w:rPr>
              <w:t>(b) downstream of fly ash collection hoppers from ash silos or sluiceways</w:t>
            </w:r>
          </w:p>
        </w:tc>
        <w:tc>
          <w:tcPr>
            <w:tcW w:w="3031" w:type="dxa"/>
            <w:tcBorders>
              <w:bottom w:val="single" w:sz="4" w:space="0" w:color="auto"/>
            </w:tcBorders>
            <w:shd w:val="clear" w:color="auto" w:fill="auto"/>
            <w:hideMark/>
          </w:tcPr>
          <w:p w14:paraId="67877B8F" w14:textId="77777777" w:rsidR="00872C03" w:rsidRPr="00883399" w:rsidRDefault="00872C03" w:rsidP="0031057E">
            <w:pPr>
              <w:pStyle w:val="Tabletext0"/>
              <w:rPr>
                <w:sz w:val="22"/>
              </w:rPr>
            </w:pPr>
            <w:r w:rsidRPr="00883399">
              <w:rPr>
                <w:sz w:val="22"/>
              </w:rPr>
              <w:t>At least once a year, or after significant changes in operating conditions</w:t>
            </w:r>
          </w:p>
        </w:tc>
      </w:tr>
      <w:tr w:rsidR="00872C03" w:rsidRPr="00883399" w14:paraId="5D6B462F" w14:textId="77777777" w:rsidTr="0031057E">
        <w:tc>
          <w:tcPr>
            <w:tcW w:w="700" w:type="dxa"/>
            <w:tcBorders>
              <w:bottom w:val="single" w:sz="12" w:space="0" w:color="auto"/>
            </w:tcBorders>
            <w:shd w:val="clear" w:color="auto" w:fill="auto"/>
            <w:hideMark/>
          </w:tcPr>
          <w:p w14:paraId="26597B61" w14:textId="77777777" w:rsidR="00872C03" w:rsidRPr="00883399" w:rsidRDefault="00872C03" w:rsidP="0031057E">
            <w:pPr>
              <w:pStyle w:val="Tabletext0"/>
              <w:rPr>
                <w:sz w:val="22"/>
              </w:rPr>
            </w:pPr>
            <w:r w:rsidRPr="00883399">
              <w:rPr>
                <w:sz w:val="22"/>
              </w:rPr>
              <w:t>4</w:t>
            </w:r>
          </w:p>
        </w:tc>
        <w:tc>
          <w:tcPr>
            <w:tcW w:w="4822" w:type="dxa"/>
            <w:tcBorders>
              <w:bottom w:val="single" w:sz="12" w:space="0" w:color="auto"/>
            </w:tcBorders>
            <w:shd w:val="clear" w:color="auto" w:fill="auto"/>
            <w:hideMark/>
          </w:tcPr>
          <w:p w14:paraId="51DEEEB6" w14:textId="77777777" w:rsidR="00872C03" w:rsidRPr="00883399" w:rsidRDefault="00872C03" w:rsidP="0031057E">
            <w:pPr>
              <w:pStyle w:val="Tabletext0"/>
              <w:rPr>
                <w:sz w:val="22"/>
              </w:rPr>
            </w:pPr>
            <w:r w:rsidRPr="00883399">
              <w:rPr>
                <w:sz w:val="22"/>
              </w:rPr>
              <w:t>From on</w:t>
            </w:r>
            <w:r w:rsidRPr="00883399">
              <w:rPr>
                <w:sz w:val="22"/>
              </w:rPr>
              <w:noBreakHyphen/>
              <w:t>line carbon in ash analysers using sample extraction probes and infrared analysers</w:t>
            </w:r>
          </w:p>
        </w:tc>
        <w:tc>
          <w:tcPr>
            <w:tcW w:w="3031" w:type="dxa"/>
            <w:tcBorders>
              <w:bottom w:val="single" w:sz="12" w:space="0" w:color="auto"/>
            </w:tcBorders>
            <w:shd w:val="clear" w:color="auto" w:fill="auto"/>
            <w:hideMark/>
          </w:tcPr>
          <w:p w14:paraId="707897FA" w14:textId="77777777" w:rsidR="00872C03" w:rsidRPr="00883399" w:rsidRDefault="00872C03" w:rsidP="0031057E">
            <w:pPr>
              <w:pStyle w:val="Tabletext0"/>
              <w:rPr>
                <w:sz w:val="22"/>
              </w:rPr>
            </w:pPr>
            <w:r w:rsidRPr="00883399">
              <w:rPr>
                <w:sz w:val="22"/>
              </w:rPr>
              <w:t>At least every 2 years, or after significant changes in operating conditions</w:t>
            </w:r>
          </w:p>
        </w:tc>
      </w:tr>
    </w:tbl>
    <w:p w14:paraId="7770565B" w14:textId="1662F10D" w:rsidR="00872C03" w:rsidRPr="00883399" w:rsidRDefault="00872C03" w:rsidP="00872C03">
      <w:pPr>
        <w:pStyle w:val="ActHead3"/>
        <w:pageBreakBefore/>
        <w:rPr>
          <w:rStyle w:val="CharDivText"/>
          <w:sz w:val="32"/>
        </w:rPr>
      </w:pPr>
      <w:bookmarkStart w:id="189" w:name="_Toc423516752"/>
      <w:bookmarkStart w:id="190" w:name="_Toc495652666"/>
      <w:r w:rsidRPr="00883399">
        <w:rPr>
          <w:rStyle w:val="CharDivNo"/>
          <w:sz w:val="32"/>
        </w:rPr>
        <w:lastRenderedPageBreak/>
        <w:t>Division 2.2.4</w:t>
      </w:r>
      <w:r w:rsidRPr="00883399">
        <w:rPr>
          <w:sz w:val="32"/>
        </w:rPr>
        <w:t>—</w:t>
      </w:r>
      <w:r w:rsidRPr="00883399">
        <w:rPr>
          <w:rStyle w:val="CharDivText"/>
          <w:sz w:val="32"/>
        </w:rPr>
        <w:t>Method 3—Solid fuels</w:t>
      </w:r>
      <w:bookmarkEnd w:id="189"/>
      <w:bookmarkEnd w:id="190"/>
    </w:p>
    <w:p w14:paraId="2BADE6BB"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Method 3 is a variation on Method 2.  Method 3 provides for the same requirements as Method 2 except that sampling of fuels should also be conducted in accordance with the Australian or international standards listed in section 2.12 or by an equivalent standard.  Once sampling of the fuel has been conducted in accordance with the standard, the analysis of the fuel for carbon, ash and moisture should be conducted as for Method 2.  Emissions may then be estimated in accordance with the equations set out in sections 2.5 (1) or 2.6 (1) in Method 2.  </w:t>
      </w:r>
    </w:p>
    <w:p w14:paraId="49796F92" w14:textId="184132A8" w:rsidR="00872C03" w:rsidRPr="00883399" w:rsidRDefault="00872C03" w:rsidP="00872C03">
      <w:pPr>
        <w:pStyle w:val="ActHead5"/>
        <w:rPr>
          <w:sz w:val="28"/>
        </w:rPr>
      </w:pPr>
      <w:bookmarkStart w:id="191" w:name="_Toc423516753"/>
      <w:bookmarkStart w:id="192" w:name="_Toc495652667"/>
      <w:r w:rsidRPr="00883399">
        <w:rPr>
          <w:rStyle w:val="CharSectno"/>
          <w:sz w:val="28"/>
        </w:rPr>
        <w:t>2.12</w:t>
      </w:r>
      <w:r w:rsidRPr="00883399">
        <w:rPr>
          <w:sz w:val="28"/>
        </w:rPr>
        <w:t xml:space="preserve">  Method 3—solid fuels using oxidation factor or an estimated oxidation factor</w:t>
      </w:r>
      <w:bookmarkEnd w:id="191"/>
      <w:bookmarkEnd w:id="192"/>
    </w:p>
    <w:p w14:paraId="52BA137F" w14:textId="77777777" w:rsidR="00872C03" w:rsidRPr="00883399" w:rsidRDefault="00872C03" w:rsidP="00872C03">
      <w:pPr>
        <w:pStyle w:val="subsection"/>
        <w:rPr>
          <w:sz w:val="24"/>
        </w:rPr>
      </w:pPr>
      <w:r w:rsidRPr="00883399">
        <w:rPr>
          <w:sz w:val="24"/>
        </w:rPr>
        <w:tab/>
        <w:t>(1)</w:t>
      </w:r>
      <w:r w:rsidRPr="00883399">
        <w:rPr>
          <w:sz w:val="24"/>
        </w:rPr>
        <w:tab/>
        <w:t>For subparagraph 2.3(1)(a)(iii) and subject to this section, method 3 is the same as method 2 whether using the oxidation factor under section 2.5 or using an estimated oxidation factor under section 2.6.</w:t>
      </w:r>
    </w:p>
    <w:p w14:paraId="478AD8B6" w14:textId="77777777" w:rsidR="00872C03" w:rsidRPr="00883399" w:rsidRDefault="00872C03" w:rsidP="00872C03">
      <w:pPr>
        <w:pStyle w:val="subsection"/>
        <w:rPr>
          <w:sz w:val="24"/>
        </w:rPr>
      </w:pPr>
      <w:r w:rsidRPr="00883399">
        <w:rPr>
          <w:sz w:val="24"/>
        </w:rPr>
        <w:tab/>
        <w:t>(2)</w:t>
      </w:r>
      <w:r w:rsidRPr="00883399">
        <w:rPr>
          <w:sz w:val="24"/>
        </w:rPr>
        <w:tab/>
        <w:t>In applying method 2 as mentioned in subsection (1), solid fuels must be sampled in accordance with the appropriate standard mentioned in the table in subsection (3).</w:t>
      </w:r>
    </w:p>
    <w:p w14:paraId="34A89556" w14:textId="77777777" w:rsidR="00872C03" w:rsidRPr="00883399" w:rsidRDefault="00872C03" w:rsidP="00872C03">
      <w:pPr>
        <w:pStyle w:val="subsection"/>
        <w:rPr>
          <w:sz w:val="24"/>
        </w:rPr>
      </w:pPr>
      <w:r w:rsidRPr="00883399">
        <w:rPr>
          <w:sz w:val="24"/>
        </w:rPr>
        <w:tab/>
        <w:t>(3)</w:t>
      </w:r>
      <w:r w:rsidRPr="00883399">
        <w:rPr>
          <w:sz w:val="24"/>
        </w:rPr>
        <w:tab/>
        <w:t>A standard for sampling a solid fuel mentioned in column 2 of an item in the following table is as set out in column 3 for that item:</w:t>
      </w:r>
    </w:p>
    <w:p w14:paraId="4275C834" w14:textId="77777777" w:rsidR="00872C03" w:rsidRPr="00883399" w:rsidRDefault="00872C03" w:rsidP="00872C03">
      <w:pPr>
        <w:pStyle w:val="Tabletext0"/>
        <w:rPr>
          <w:sz w:val="22"/>
        </w:rPr>
      </w:pPr>
    </w:p>
    <w:tbl>
      <w:tblPr>
        <w:tblW w:w="0" w:type="auto"/>
        <w:tblInd w:w="1068" w:type="dxa"/>
        <w:tblBorders>
          <w:top w:val="single" w:sz="4" w:space="0" w:color="auto"/>
          <w:bottom w:val="single" w:sz="2" w:space="0" w:color="auto"/>
          <w:insideH w:val="single" w:sz="4" w:space="0" w:color="auto"/>
        </w:tblBorders>
        <w:tblLook w:val="0000" w:firstRow="0" w:lastRow="0" w:firstColumn="0" w:lastColumn="0" w:noHBand="0" w:noVBand="0"/>
      </w:tblPr>
      <w:tblGrid>
        <w:gridCol w:w="833"/>
        <w:gridCol w:w="4444"/>
        <w:gridCol w:w="1968"/>
      </w:tblGrid>
      <w:tr w:rsidR="00872C03" w:rsidRPr="00883399" w14:paraId="04936919" w14:textId="77777777" w:rsidTr="0031057E">
        <w:trPr>
          <w:tblHeader/>
        </w:trPr>
        <w:tc>
          <w:tcPr>
            <w:tcW w:w="840" w:type="dxa"/>
            <w:tcBorders>
              <w:top w:val="single" w:sz="12" w:space="0" w:color="auto"/>
              <w:bottom w:val="single" w:sz="12" w:space="0" w:color="auto"/>
            </w:tcBorders>
            <w:shd w:val="clear" w:color="auto" w:fill="auto"/>
          </w:tcPr>
          <w:p w14:paraId="3B8E4311" w14:textId="77777777" w:rsidR="00872C03" w:rsidRPr="00883399" w:rsidRDefault="00872C03" w:rsidP="0031057E">
            <w:pPr>
              <w:pStyle w:val="TableHeading"/>
              <w:rPr>
                <w:sz w:val="22"/>
              </w:rPr>
            </w:pPr>
            <w:r w:rsidRPr="00883399">
              <w:rPr>
                <w:sz w:val="22"/>
              </w:rPr>
              <w:t>Item</w:t>
            </w:r>
          </w:p>
        </w:tc>
        <w:tc>
          <w:tcPr>
            <w:tcW w:w="4560" w:type="dxa"/>
            <w:tcBorders>
              <w:top w:val="single" w:sz="12" w:space="0" w:color="auto"/>
              <w:bottom w:val="single" w:sz="12" w:space="0" w:color="auto"/>
            </w:tcBorders>
            <w:shd w:val="clear" w:color="auto" w:fill="auto"/>
          </w:tcPr>
          <w:p w14:paraId="5BAFA449" w14:textId="77777777" w:rsidR="00872C03" w:rsidRPr="00883399" w:rsidRDefault="00872C03" w:rsidP="0031057E">
            <w:pPr>
              <w:pStyle w:val="TableHeading"/>
              <w:rPr>
                <w:sz w:val="22"/>
              </w:rPr>
            </w:pPr>
            <w:r w:rsidRPr="00883399">
              <w:rPr>
                <w:sz w:val="22"/>
              </w:rPr>
              <w:t>Fuel</w:t>
            </w:r>
          </w:p>
        </w:tc>
        <w:tc>
          <w:tcPr>
            <w:tcW w:w="1997" w:type="dxa"/>
            <w:tcBorders>
              <w:top w:val="single" w:sz="12" w:space="0" w:color="auto"/>
              <w:bottom w:val="single" w:sz="12" w:space="0" w:color="auto"/>
            </w:tcBorders>
            <w:shd w:val="clear" w:color="auto" w:fill="auto"/>
          </w:tcPr>
          <w:p w14:paraId="7C3E7ECD" w14:textId="77777777" w:rsidR="00872C03" w:rsidRPr="00883399" w:rsidRDefault="00872C03" w:rsidP="0031057E">
            <w:pPr>
              <w:pStyle w:val="TableHeading"/>
              <w:rPr>
                <w:sz w:val="22"/>
              </w:rPr>
            </w:pPr>
            <w:r w:rsidRPr="00883399">
              <w:rPr>
                <w:sz w:val="22"/>
              </w:rPr>
              <w:t>Standard</w:t>
            </w:r>
          </w:p>
        </w:tc>
      </w:tr>
      <w:tr w:rsidR="00872C03" w:rsidRPr="00883399" w:rsidDel="00310592" w14:paraId="27305ADF" w14:textId="77777777" w:rsidTr="0031057E">
        <w:tc>
          <w:tcPr>
            <w:tcW w:w="840" w:type="dxa"/>
            <w:tcBorders>
              <w:top w:val="single" w:sz="12" w:space="0" w:color="auto"/>
              <w:bottom w:val="single" w:sz="2" w:space="0" w:color="auto"/>
            </w:tcBorders>
            <w:shd w:val="clear" w:color="auto" w:fill="auto"/>
          </w:tcPr>
          <w:p w14:paraId="2633A9D8" w14:textId="77777777" w:rsidR="00872C03" w:rsidRPr="00883399" w:rsidDel="00310592" w:rsidRDefault="00872C03" w:rsidP="0031057E">
            <w:pPr>
              <w:pStyle w:val="Tabletext0"/>
              <w:rPr>
                <w:sz w:val="22"/>
              </w:rPr>
            </w:pPr>
            <w:r w:rsidRPr="00883399">
              <w:rPr>
                <w:sz w:val="22"/>
              </w:rPr>
              <w:t>1</w:t>
            </w:r>
          </w:p>
        </w:tc>
        <w:tc>
          <w:tcPr>
            <w:tcW w:w="4560" w:type="dxa"/>
            <w:tcBorders>
              <w:top w:val="single" w:sz="12" w:space="0" w:color="auto"/>
              <w:bottom w:val="single" w:sz="2" w:space="0" w:color="auto"/>
            </w:tcBorders>
            <w:shd w:val="clear" w:color="auto" w:fill="auto"/>
          </w:tcPr>
          <w:p w14:paraId="27077B11" w14:textId="77777777" w:rsidR="00872C03" w:rsidRPr="00883399" w:rsidDel="00310592" w:rsidRDefault="00872C03" w:rsidP="0031057E">
            <w:pPr>
              <w:pStyle w:val="Tabletext0"/>
              <w:rPr>
                <w:snapToGrid w:val="0"/>
                <w:sz w:val="22"/>
              </w:rPr>
            </w:pPr>
            <w:r w:rsidRPr="00883399">
              <w:rPr>
                <w:sz w:val="22"/>
              </w:rPr>
              <w:t>Bituminous coal</w:t>
            </w:r>
          </w:p>
        </w:tc>
        <w:tc>
          <w:tcPr>
            <w:tcW w:w="1997" w:type="dxa"/>
            <w:tcBorders>
              <w:top w:val="single" w:sz="12" w:space="0" w:color="auto"/>
              <w:bottom w:val="single" w:sz="2" w:space="0" w:color="auto"/>
            </w:tcBorders>
            <w:shd w:val="clear" w:color="auto" w:fill="auto"/>
          </w:tcPr>
          <w:p w14:paraId="65090C79" w14:textId="77777777" w:rsidR="00872C03" w:rsidRPr="00883399" w:rsidDel="00310592" w:rsidRDefault="00872C03" w:rsidP="0031057E">
            <w:pPr>
              <w:pStyle w:val="Tabletext0"/>
              <w:rPr>
                <w:sz w:val="22"/>
              </w:rPr>
            </w:pPr>
            <w:r w:rsidRPr="00883399">
              <w:rPr>
                <w:sz w:val="22"/>
              </w:rPr>
              <w:t>AS 4264.1—2009</w:t>
            </w:r>
          </w:p>
        </w:tc>
      </w:tr>
      <w:tr w:rsidR="00872C03" w:rsidRPr="00883399" w:rsidDel="00310592" w14:paraId="21618E73" w14:textId="77777777" w:rsidTr="0031057E">
        <w:tc>
          <w:tcPr>
            <w:tcW w:w="840" w:type="dxa"/>
            <w:tcBorders>
              <w:top w:val="single" w:sz="2" w:space="0" w:color="auto"/>
              <w:bottom w:val="single" w:sz="2" w:space="0" w:color="auto"/>
            </w:tcBorders>
            <w:shd w:val="clear" w:color="auto" w:fill="auto"/>
          </w:tcPr>
          <w:p w14:paraId="051AD97C" w14:textId="77777777" w:rsidR="00872C03" w:rsidRPr="00883399" w:rsidDel="00310592" w:rsidRDefault="00872C03" w:rsidP="0031057E">
            <w:pPr>
              <w:pStyle w:val="Tabletext0"/>
              <w:rPr>
                <w:sz w:val="22"/>
              </w:rPr>
            </w:pPr>
            <w:r w:rsidRPr="00883399">
              <w:rPr>
                <w:sz w:val="22"/>
              </w:rPr>
              <w:t>1A</w:t>
            </w:r>
          </w:p>
        </w:tc>
        <w:tc>
          <w:tcPr>
            <w:tcW w:w="4560" w:type="dxa"/>
            <w:tcBorders>
              <w:top w:val="single" w:sz="2" w:space="0" w:color="auto"/>
              <w:bottom w:val="single" w:sz="2" w:space="0" w:color="auto"/>
            </w:tcBorders>
            <w:shd w:val="clear" w:color="auto" w:fill="auto"/>
          </w:tcPr>
          <w:p w14:paraId="72160D8F" w14:textId="77777777" w:rsidR="00872C03" w:rsidRPr="00883399" w:rsidDel="00310592" w:rsidRDefault="00872C03" w:rsidP="0031057E">
            <w:pPr>
              <w:pStyle w:val="Tabletext0"/>
              <w:rPr>
                <w:snapToGrid w:val="0"/>
                <w:sz w:val="22"/>
              </w:rPr>
            </w:pPr>
            <w:r w:rsidRPr="00883399">
              <w:rPr>
                <w:sz w:val="22"/>
              </w:rPr>
              <w:t>Sub</w:t>
            </w:r>
            <w:r w:rsidRPr="00883399">
              <w:rPr>
                <w:sz w:val="22"/>
              </w:rPr>
              <w:noBreakHyphen/>
              <w:t>bituminous coal</w:t>
            </w:r>
          </w:p>
        </w:tc>
        <w:tc>
          <w:tcPr>
            <w:tcW w:w="1997" w:type="dxa"/>
            <w:tcBorders>
              <w:top w:val="single" w:sz="2" w:space="0" w:color="auto"/>
              <w:bottom w:val="single" w:sz="2" w:space="0" w:color="auto"/>
            </w:tcBorders>
            <w:shd w:val="clear" w:color="auto" w:fill="auto"/>
          </w:tcPr>
          <w:p w14:paraId="53132AE6" w14:textId="77777777" w:rsidR="00872C03" w:rsidRPr="00883399" w:rsidDel="00310592" w:rsidRDefault="00872C03" w:rsidP="0031057E">
            <w:pPr>
              <w:pStyle w:val="Tabletext0"/>
              <w:rPr>
                <w:sz w:val="22"/>
              </w:rPr>
            </w:pPr>
            <w:r w:rsidRPr="00883399">
              <w:rPr>
                <w:sz w:val="22"/>
              </w:rPr>
              <w:t>AS 4264.1—2009</w:t>
            </w:r>
          </w:p>
        </w:tc>
      </w:tr>
      <w:tr w:rsidR="00872C03" w:rsidRPr="00883399" w:rsidDel="00310592" w14:paraId="04F3C0CE" w14:textId="77777777" w:rsidTr="0031057E">
        <w:tc>
          <w:tcPr>
            <w:tcW w:w="840" w:type="dxa"/>
            <w:tcBorders>
              <w:top w:val="single" w:sz="2" w:space="0" w:color="auto"/>
              <w:bottom w:val="nil"/>
            </w:tcBorders>
            <w:shd w:val="clear" w:color="auto" w:fill="auto"/>
          </w:tcPr>
          <w:p w14:paraId="36A2A3E6" w14:textId="77777777" w:rsidR="00872C03" w:rsidRPr="00883399" w:rsidDel="00310592" w:rsidRDefault="00872C03" w:rsidP="0031057E">
            <w:pPr>
              <w:pStyle w:val="Tabletext0"/>
              <w:rPr>
                <w:sz w:val="22"/>
              </w:rPr>
            </w:pPr>
            <w:r w:rsidRPr="00883399">
              <w:rPr>
                <w:sz w:val="22"/>
              </w:rPr>
              <w:t>1B</w:t>
            </w:r>
          </w:p>
        </w:tc>
        <w:tc>
          <w:tcPr>
            <w:tcW w:w="4560" w:type="dxa"/>
            <w:tcBorders>
              <w:top w:val="single" w:sz="2" w:space="0" w:color="auto"/>
              <w:bottom w:val="nil"/>
            </w:tcBorders>
            <w:shd w:val="clear" w:color="auto" w:fill="auto"/>
          </w:tcPr>
          <w:p w14:paraId="18768B65" w14:textId="77777777" w:rsidR="00872C03" w:rsidRPr="00883399" w:rsidDel="00310592" w:rsidRDefault="00872C03" w:rsidP="0031057E">
            <w:pPr>
              <w:pStyle w:val="Tabletext0"/>
              <w:rPr>
                <w:snapToGrid w:val="0"/>
                <w:sz w:val="22"/>
              </w:rPr>
            </w:pPr>
            <w:r w:rsidRPr="00883399">
              <w:rPr>
                <w:sz w:val="22"/>
              </w:rPr>
              <w:t>Anthracite</w:t>
            </w:r>
          </w:p>
        </w:tc>
        <w:tc>
          <w:tcPr>
            <w:tcW w:w="1997" w:type="dxa"/>
            <w:tcBorders>
              <w:top w:val="single" w:sz="2" w:space="0" w:color="auto"/>
              <w:bottom w:val="nil"/>
            </w:tcBorders>
            <w:shd w:val="clear" w:color="auto" w:fill="auto"/>
          </w:tcPr>
          <w:p w14:paraId="16CE5731" w14:textId="77777777" w:rsidR="00872C03" w:rsidRPr="00883399" w:rsidDel="00310592" w:rsidRDefault="00872C03" w:rsidP="0031057E">
            <w:pPr>
              <w:pStyle w:val="Tabletext0"/>
              <w:rPr>
                <w:sz w:val="22"/>
              </w:rPr>
            </w:pPr>
            <w:r w:rsidRPr="00883399">
              <w:rPr>
                <w:sz w:val="22"/>
              </w:rPr>
              <w:t>AS 4264.1—2009</w:t>
            </w:r>
          </w:p>
        </w:tc>
      </w:tr>
      <w:tr w:rsidR="00872C03" w:rsidRPr="00883399" w14:paraId="71EF7049" w14:textId="77777777" w:rsidTr="0031057E">
        <w:tc>
          <w:tcPr>
            <w:tcW w:w="840" w:type="dxa"/>
            <w:tcBorders>
              <w:top w:val="nil"/>
            </w:tcBorders>
            <w:shd w:val="clear" w:color="auto" w:fill="auto"/>
          </w:tcPr>
          <w:p w14:paraId="163855B0" w14:textId="77777777" w:rsidR="00872C03" w:rsidRPr="00883399" w:rsidRDefault="00872C03" w:rsidP="0031057E">
            <w:pPr>
              <w:pStyle w:val="Tabletext0"/>
              <w:rPr>
                <w:sz w:val="22"/>
              </w:rPr>
            </w:pPr>
            <w:r w:rsidRPr="00883399">
              <w:rPr>
                <w:sz w:val="22"/>
              </w:rPr>
              <w:t>2</w:t>
            </w:r>
          </w:p>
        </w:tc>
        <w:tc>
          <w:tcPr>
            <w:tcW w:w="4560" w:type="dxa"/>
            <w:tcBorders>
              <w:top w:val="nil"/>
            </w:tcBorders>
            <w:shd w:val="clear" w:color="auto" w:fill="auto"/>
          </w:tcPr>
          <w:p w14:paraId="0A3BF2EB" w14:textId="77777777" w:rsidR="00872C03" w:rsidRPr="00883399" w:rsidRDefault="00872C03" w:rsidP="0031057E">
            <w:pPr>
              <w:pStyle w:val="Tabletext0"/>
              <w:rPr>
                <w:sz w:val="22"/>
              </w:rPr>
            </w:pPr>
            <w:r w:rsidRPr="00883399">
              <w:rPr>
                <w:sz w:val="22"/>
              </w:rPr>
              <w:t xml:space="preserve">Brown coal </w:t>
            </w:r>
          </w:p>
        </w:tc>
        <w:tc>
          <w:tcPr>
            <w:tcW w:w="1997" w:type="dxa"/>
            <w:tcBorders>
              <w:top w:val="nil"/>
            </w:tcBorders>
            <w:shd w:val="clear" w:color="auto" w:fill="auto"/>
          </w:tcPr>
          <w:p w14:paraId="38E2DAC4" w14:textId="77777777" w:rsidR="00872C03" w:rsidRPr="00883399" w:rsidRDefault="00872C03" w:rsidP="0031057E">
            <w:pPr>
              <w:pStyle w:val="Tabletext0"/>
              <w:rPr>
                <w:sz w:val="22"/>
              </w:rPr>
            </w:pPr>
            <w:r w:rsidRPr="00883399">
              <w:rPr>
                <w:sz w:val="22"/>
              </w:rPr>
              <w:t>AS 4264.3—1996</w:t>
            </w:r>
          </w:p>
        </w:tc>
      </w:tr>
      <w:tr w:rsidR="00872C03" w:rsidRPr="00883399" w14:paraId="37B70382" w14:textId="77777777" w:rsidTr="0031057E">
        <w:tc>
          <w:tcPr>
            <w:tcW w:w="840" w:type="dxa"/>
            <w:shd w:val="clear" w:color="auto" w:fill="auto"/>
          </w:tcPr>
          <w:p w14:paraId="09B38D9E" w14:textId="77777777" w:rsidR="00872C03" w:rsidRPr="00883399" w:rsidRDefault="00872C03" w:rsidP="0031057E">
            <w:pPr>
              <w:pStyle w:val="Tabletext0"/>
              <w:rPr>
                <w:sz w:val="22"/>
              </w:rPr>
            </w:pPr>
            <w:r w:rsidRPr="00883399">
              <w:rPr>
                <w:sz w:val="22"/>
              </w:rPr>
              <w:t>3</w:t>
            </w:r>
          </w:p>
        </w:tc>
        <w:tc>
          <w:tcPr>
            <w:tcW w:w="4560" w:type="dxa"/>
            <w:shd w:val="clear" w:color="auto" w:fill="auto"/>
          </w:tcPr>
          <w:p w14:paraId="484CABDB" w14:textId="77777777" w:rsidR="00872C03" w:rsidRPr="00883399" w:rsidRDefault="00872C03" w:rsidP="0031057E">
            <w:pPr>
              <w:pStyle w:val="Tabletext0"/>
              <w:rPr>
                <w:sz w:val="22"/>
              </w:rPr>
            </w:pPr>
            <w:r w:rsidRPr="00883399">
              <w:rPr>
                <w:sz w:val="22"/>
              </w:rPr>
              <w:t xml:space="preserve">Coking coal (metallurgical coal) </w:t>
            </w:r>
          </w:p>
        </w:tc>
        <w:tc>
          <w:tcPr>
            <w:tcW w:w="1997" w:type="dxa"/>
            <w:shd w:val="clear" w:color="auto" w:fill="auto"/>
          </w:tcPr>
          <w:p w14:paraId="4069D902" w14:textId="77777777" w:rsidR="00872C03" w:rsidRPr="00883399" w:rsidRDefault="00872C03" w:rsidP="0031057E">
            <w:pPr>
              <w:pStyle w:val="Tabletext0"/>
              <w:rPr>
                <w:sz w:val="22"/>
              </w:rPr>
            </w:pPr>
            <w:r w:rsidRPr="00883399">
              <w:rPr>
                <w:sz w:val="22"/>
              </w:rPr>
              <w:t>AS 4264.1—2009</w:t>
            </w:r>
          </w:p>
        </w:tc>
      </w:tr>
      <w:tr w:rsidR="00872C03" w:rsidRPr="00883399" w14:paraId="4D284B31" w14:textId="77777777" w:rsidTr="0031057E">
        <w:tc>
          <w:tcPr>
            <w:tcW w:w="840" w:type="dxa"/>
            <w:shd w:val="clear" w:color="auto" w:fill="auto"/>
          </w:tcPr>
          <w:p w14:paraId="030E6DA5" w14:textId="77777777" w:rsidR="00872C03" w:rsidRPr="00883399" w:rsidRDefault="00872C03" w:rsidP="0031057E">
            <w:pPr>
              <w:pStyle w:val="Tabletext0"/>
              <w:rPr>
                <w:sz w:val="22"/>
              </w:rPr>
            </w:pPr>
            <w:r w:rsidRPr="00883399">
              <w:rPr>
                <w:sz w:val="22"/>
              </w:rPr>
              <w:t>4</w:t>
            </w:r>
          </w:p>
        </w:tc>
        <w:tc>
          <w:tcPr>
            <w:tcW w:w="4560" w:type="dxa"/>
            <w:shd w:val="clear" w:color="auto" w:fill="auto"/>
          </w:tcPr>
          <w:p w14:paraId="5B90F721" w14:textId="77777777" w:rsidR="00872C03" w:rsidRPr="00883399" w:rsidRDefault="00872C03" w:rsidP="0031057E">
            <w:pPr>
              <w:pStyle w:val="Tabletext0"/>
              <w:rPr>
                <w:sz w:val="22"/>
              </w:rPr>
            </w:pPr>
            <w:r w:rsidRPr="00883399">
              <w:rPr>
                <w:sz w:val="22"/>
              </w:rPr>
              <w:t>Coal briquettes</w:t>
            </w:r>
          </w:p>
        </w:tc>
        <w:tc>
          <w:tcPr>
            <w:tcW w:w="1997" w:type="dxa"/>
            <w:shd w:val="clear" w:color="auto" w:fill="auto"/>
          </w:tcPr>
          <w:p w14:paraId="6365A2ED" w14:textId="77777777" w:rsidR="00872C03" w:rsidRPr="00883399" w:rsidRDefault="00872C03" w:rsidP="0031057E">
            <w:pPr>
              <w:pStyle w:val="Tabletext0"/>
              <w:rPr>
                <w:sz w:val="22"/>
              </w:rPr>
            </w:pPr>
            <w:r w:rsidRPr="00883399">
              <w:rPr>
                <w:sz w:val="22"/>
              </w:rPr>
              <w:t>AS 4264.3—1996</w:t>
            </w:r>
          </w:p>
        </w:tc>
      </w:tr>
      <w:tr w:rsidR="00872C03" w:rsidRPr="00883399" w14:paraId="6A23BF77" w14:textId="77777777" w:rsidTr="0031057E">
        <w:tc>
          <w:tcPr>
            <w:tcW w:w="840" w:type="dxa"/>
            <w:shd w:val="clear" w:color="auto" w:fill="auto"/>
          </w:tcPr>
          <w:p w14:paraId="1DD982A0" w14:textId="77777777" w:rsidR="00872C03" w:rsidRPr="00883399" w:rsidRDefault="00872C03" w:rsidP="0031057E">
            <w:pPr>
              <w:pStyle w:val="Tabletext0"/>
              <w:rPr>
                <w:sz w:val="22"/>
              </w:rPr>
            </w:pPr>
            <w:r w:rsidRPr="00883399">
              <w:rPr>
                <w:sz w:val="22"/>
              </w:rPr>
              <w:t>5</w:t>
            </w:r>
          </w:p>
        </w:tc>
        <w:tc>
          <w:tcPr>
            <w:tcW w:w="4560" w:type="dxa"/>
            <w:shd w:val="clear" w:color="auto" w:fill="auto"/>
          </w:tcPr>
          <w:p w14:paraId="3C74F636" w14:textId="77777777" w:rsidR="00872C03" w:rsidRPr="00883399" w:rsidRDefault="00872C03" w:rsidP="0031057E">
            <w:pPr>
              <w:pStyle w:val="Tabletext0"/>
              <w:rPr>
                <w:sz w:val="22"/>
              </w:rPr>
            </w:pPr>
            <w:r w:rsidRPr="00883399">
              <w:rPr>
                <w:sz w:val="22"/>
              </w:rPr>
              <w:t>Coal coke</w:t>
            </w:r>
          </w:p>
        </w:tc>
        <w:tc>
          <w:tcPr>
            <w:tcW w:w="1997" w:type="dxa"/>
            <w:shd w:val="clear" w:color="auto" w:fill="auto"/>
          </w:tcPr>
          <w:p w14:paraId="6E165765" w14:textId="77777777" w:rsidR="00872C03" w:rsidRPr="00883399" w:rsidRDefault="00872C03" w:rsidP="0031057E">
            <w:pPr>
              <w:pStyle w:val="Tabletext0"/>
              <w:rPr>
                <w:sz w:val="22"/>
              </w:rPr>
            </w:pPr>
            <w:r w:rsidRPr="00883399">
              <w:rPr>
                <w:sz w:val="22"/>
              </w:rPr>
              <w:t>AS 4264.2—1996</w:t>
            </w:r>
          </w:p>
        </w:tc>
      </w:tr>
      <w:tr w:rsidR="00872C03" w:rsidRPr="00883399" w14:paraId="5B40E425" w14:textId="77777777" w:rsidTr="0031057E">
        <w:tc>
          <w:tcPr>
            <w:tcW w:w="840" w:type="dxa"/>
            <w:shd w:val="clear" w:color="auto" w:fill="auto"/>
          </w:tcPr>
          <w:p w14:paraId="78752925" w14:textId="77777777" w:rsidR="00872C03" w:rsidRPr="00883399" w:rsidRDefault="00872C03" w:rsidP="0031057E">
            <w:pPr>
              <w:pStyle w:val="Tabletext0"/>
              <w:rPr>
                <w:sz w:val="22"/>
              </w:rPr>
            </w:pPr>
            <w:r w:rsidRPr="00883399">
              <w:rPr>
                <w:sz w:val="22"/>
              </w:rPr>
              <w:t>6</w:t>
            </w:r>
          </w:p>
        </w:tc>
        <w:tc>
          <w:tcPr>
            <w:tcW w:w="4560" w:type="dxa"/>
            <w:shd w:val="clear" w:color="auto" w:fill="auto"/>
          </w:tcPr>
          <w:p w14:paraId="41B86661" w14:textId="77777777" w:rsidR="00872C03" w:rsidRPr="00883399" w:rsidRDefault="00872C03" w:rsidP="0031057E">
            <w:pPr>
              <w:pStyle w:val="Tabletext0"/>
              <w:rPr>
                <w:sz w:val="22"/>
              </w:rPr>
            </w:pPr>
            <w:r w:rsidRPr="00883399">
              <w:rPr>
                <w:sz w:val="22"/>
              </w:rPr>
              <w:t>Coal tar</w:t>
            </w:r>
          </w:p>
        </w:tc>
        <w:tc>
          <w:tcPr>
            <w:tcW w:w="1997" w:type="dxa"/>
            <w:shd w:val="clear" w:color="auto" w:fill="auto"/>
          </w:tcPr>
          <w:p w14:paraId="5A3C6D7B" w14:textId="77777777" w:rsidR="00872C03" w:rsidRPr="00883399" w:rsidRDefault="00872C03" w:rsidP="0031057E">
            <w:pPr>
              <w:pStyle w:val="Tabletext0"/>
              <w:rPr>
                <w:sz w:val="22"/>
              </w:rPr>
            </w:pPr>
          </w:p>
        </w:tc>
      </w:tr>
      <w:tr w:rsidR="00872C03" w:rsidRPr="00883399" w14:paraId="331A4BF0" w14:textId="77777777" w:rsidTr="0031057E">
        <w:tc>
          <w:tcPr>
            <w:tcW w:w="840" w:type="dxa"/>
            <w:shd w:val="clear" w:color="auto" w:fill="auto"/>
          </w:tcPr>
          <w:p w14:paraId="637D3ED3" w14:textId="77777777" w:rsidR="00872C03" w:rsidRPr="00883399" w:rsidRDefault="00872C03" w:rsidP="0031057E">
            <w:pPr>
              <w:pStyle w:val="Tabletext0"/>
              <w:rPr>
                <w:sz w:val="22"/>
              </w:rPr>
            </w:pPr>
            <w:r w:rsidRPr="00883399">
              <w:rPr>
                <w:sz w:val="22"/>
              </w:rPr>
              <w:t>7</w:t>
            </w:r>
          </w:p>
        </w:tc>
        <w:tc>
          <w:tcPr>
            <w:tcW w:w="4560" w:type="dxa"/>
            <w:shd w:val="clear" w:color="auto" w:fill="auto"/>
          </w:tcPr>
          <w:p w14:paraId="56E00742" w14:textId="77777777" w:rsidR="00872C03" w:rsidRPr="00883399" w:rsidRDefault="00872C03" w:rsidP="0031057E">
            <w:pPr>
              <w:pStyle w:val="Tabletext0"/>
              <w:rPr>
                <w:sz w:val="22"/>
              </w:rPr>
            </w:pPr>
            <w:r w:rsidRPr="00883399">
              <w:rPr>
                <w:snapToGrid w:val="0"/>
                <w:sz w:val="22"/>
              </w:rPr>
              <w:t>Industrial materials and tyres that are derived from fossil fuels, if recycled and combusted to produce heat or electricity</w:t>
            </w:r>
          </w:p>
        </w:tc>
        <w:tc>
          <w:tcPr>
            <w:tcW w:w="1997" w:type="dxa"/>
            <w:shd w:val="clear" w:color="auto" w:fill="auto"/>
          </w:tcPr>
          <w:p w14:paraId="6B834A50" w14:textId="77777777" w:rsidR="00872C03" w:rsidRPr="00883399" w:rsidRDefault="00872C03" w:rsidP="0031057E">
            <w:pPr>
              <w:pStyle w:val="Tabletext0"/>
              <w:rPr>
                <w:sz w:val="22"/>
              </w:rPr>
            </w:pPr>
            <w:r w:rsidRPr="00883399">
              <w:rPr>
                <w:sz w:val="22"/>
              </w:rPr>
              <w:t>CEN/TS 14778 – 1:2006</w:t>
            </w:r>
          </w:p>
          <w:p w14:paraId="26C6C903" w14:textId="77777777" w:rsidR="00872C03" w:rsidRPr="00883399" w:rsidRDefault="00872C03" w:rsidP="0031057E">
            <w:pPr>
              <w:pStyle w:val="Tabletext0"/>
              <w:rPr>
                <w:sz w:val="22"/>
              </w:rPr>
            </w:pPr>
            <w:r w:rsidRPr="00883399">
              <w:rPr>
                <w:sz w:val="22"/>
              </w:rPr>
              <w:t>CEN/TS 15442:2006</w:t>
            </w:r>
          </w:p>
        </w:tc>
      </w:tr>
      <w:tr w:rsidR="00872C03" w:rsidRPr="00883399" w14:paraId="7EB3ADD2" w14:textId="77777777" w:rsidTr="0031057E">
        <w:tc>
          <w:tcPr>
            <w:tcW w:w="840" w:type="dxa"/>
            <w:shd w:val="clear" w:color="auto" w:fill="auto"/>
          </w:tcPr>
          <w:p w14:paraId="12DFF37B" w14:textId="77777777" w:rsidR="00872C03" w:rsidRPr="00883399" w:rsidRDefault="00872C03" w:rsidP="0031057E">
            <w:pPr>
              <w:pStyle w:val="Tabletext0"/>
              <w:rPr>
                <w:sz w:val="22"/>
              </w:rPr>
            </w:pPr>
            <w:r w:rsidRPr="00883399">
              <w:rPr>
                <w:sz w:val="22"/>
              </w:rPr>
              <w:t>8</w:t>
            </w:r>
          </w:p>
        </w:tc>
        <w:tc>
          <w:tcPr>
            <w:tcW w:w="4560" w:type="dxa"/>
            <w:shd w:val="clear" w:color="auto" w:fill="auto"/>
          </w:tcPr>
          <w:p w14:paraId="348C7F7D" w14:textId="77777777" w:rsidR="00872C03" w:rsidRPr="00883399" w:rsidRDefault="00872C03" w:rsidP="0031057E">
            <w:pPr>
              <w:pStyle w:val="Tabletext0"/>
              <w:rPr>
                <w:sz w:val="22"/>
              </w:rPr>
            </w:pPr>
            <w:r w:rsidRPr="00883399">
              <w:rPr>
                <w:snapToGrid w:val="0"/>
                <w:sz w:val="22"/>
              </w:rPr>
              <w:t>Non</w:t>
            </w:r>
            <w:r w:rsidRPr="00883399">
              <w:rPr>
                <w:snapToGrid w:val="0"/>
                <w:sz w:val="22"/>
              </w:rPr>
              <w:noBreakHyphen/>
              <w:t>biomass municipal materials, if recycled and combusted to produce heat or electricity</w:t>
            </w:r>
          </w:p>
        </w:tc>
        <w:tc>
          <w:tcPr>
            <w:tcW w:w="1997" w:type="dxa"/>
            <w:shd w:val="clear" w:color="auto" w:fill="auto"/>
          </w:tcPr>
          <w:p w14:paraId="0D03B508" w14:textId="77777777" w:rsidR="00872C03" w:rsidRPr="00883399" w:rsidRDefault="00872C03" w:rsidP="0031057E">
            <w:pPr>
              <w:pStyle w:val="Tabletext0"/>
              <w:rPr>
                <w:sz w:val="22"/>
              </w:rPr>
            </w:pPr>
            <w:r w:rsidRPr="00883399">
              <w:rPr>
                <w:sz w:val="22"/>
              </w:rPr>
              <w:t>CEN/TS 14778 – 1:2005</w:t>
            </w:r>
          </w:p>
          <w:p w14:paraId="6244A67B" w14:textId="77777777" w:rsidR="00872C03" w:rsidRPr="00883399" w:rsidRDefault="00872C03" w:rsidP="0031057E">
            <w:pPr>
              <w:pStyle w:val="Tabletext0"/>
              <w:rPr>
                <w:sz w:val="22"/>
              </w:rPr>
            </w:pPr>
            <w:r w:rsidRPr="00883399">
              <w:rPr>
                <w:sz w:val="22"/>
              </w:rPr>
              <w:t>CEN/TS 15442:2006</w:t>
            </w:r>
          </w:p>
        </w:tc>
      </w:tr>
      <w:tr w:rsidR="00872C03" w:rsidRPr="00883399" w14:paraId="58C44F3D" w14:textId="77777777" w:rsidTr="0031057E">
        <w:tc>
          <w:tcPr>
            <w:tcW w:w="840" w:type="dxa"/>
            <w:shd w:val="clear" w:color="auto" w:fill="auto"/>
          </w:tcPr>
          <w:p w14:paraId="4E205C21" w14:textId="77777777" w:rsidR="00872C03" w:rsidRPr="00883399" w:rsidRDefault="00872C03" w:rsidP="0031057E">
            <w:pPr>
              <w:pStyle w:val="Tabletext0"/>
              <w:rPr>
                <w:sz w:val="22"/>
              </w:rPr>
            </w:pPr>
            <w:r w:rsidRPr="00883399">
              <w:rPr>
                <w:sz w:val="22"/>
              </w:rPr>
              <w:lastRenderedPageBreak/>
              <w:t>9</w:t>
            </w:r>
          </w:p>
        </w:tc>
        <w:tc>
          <w:tcPr>
            <w:tcW w:w="4560" w:type="dxa"/>
            <w:shd w:val="clear" w:color="auto" w:fill="auto"/>
          </w:tcPr>
          <w:p w14:paraId="4A7B4E28" w14:textId="77777777" w:rsidR="00872C03" w:rsidRPr="00883399" w:rsidRDefault="00872C03" w:rsidP="0031057E">
            <w:pPr>
              <w:pStyle w:val="Tabletext0"/>
              <w:rPr>
                <w:sz w:val="22"/>
              </w:rPr>
            </w:pPr>
            <w:r w:rsidRPr="00883399">
              <w:rPr>
                <w:sz w:val="22"/>
              </w:rPr>
              <w:t>Dry wood</w:t>
            </w:r>
          </w:p>
        </w:tc>
        <w:tc>
          <w:tcPr>
            <w:tcW w:w="1997" w:type="dxa"/>
            <w:shd w:val="clear" w:color="auto" w:fill="auto"/>
          </w:tcPr>
          <w:p w14:paraId="77722B25" w14:textId="77777777" w:rsidR="00872C03" w:rsidRPr="00883399" w:rsidRDefault="00872C03" w:rsidP="0031057E">
            <w:pPr>
              <w:pStyle w:val="Tabletext0"/>
              <w:rPr>
                <w:sz w:val="22"/>
              </w:rPr>
            </w:pPr>
            <w:r w:rsidRPr="00883399">
              <w:rPr>
                <w:sz w:val="22"/>
              </w:rPr>
              <w:t>CEN/TS 14778 – 1:2005</w:t>
            </w:r>
          </w:p>
          <w:p w14:paraId="71EE29BE" w14:textId="77777777" w:rsidR="00872C03" w:rsidRPr="00883399" w:rsidRDefault="00872C03" w:rsidP="0031057E">
            <w:pPr>
              <w:pStyle w:val="Tabletext0"/>
              <w:rPr>
                <w:sz w:val="22"/>
              </w:rPr>
            </w:pPr>
            <w:r w:rsidRPr="00883399">
              <w:rPr>
                <w:sz w:val="22"/>
              </w:rPr>
              <w:t>CEN/TS 15442:2006</w:t>
            </w:r>
          </w:p>
        </w:tc>
      </w:tr>
      <w:tr w:rsidR="00872C03" w:rsidRPr="00883399" w14:paraId="590F2E90" w14:textId="77777777" w:rsidTr="0031057E">
        <w:tc>
          <w:tcPr>
            <w:tcW w:w="840" w:type="dxa"/>
            <w:shd w:val="clear" w:color="auto" w:fill="auto"/>
          </w:tcPr>
          <w:p w14:paraId="7E20C2AE" w14:textId="77777777" w:rsidR="00872C03" w:rsidRPr="00883399" w:rsidRDefault="00872C03" w:rsidP="0031057E">
            <w:pPr>
              <w:pStyle w:val="Tabletext0"/>
              <w:rPr>
                <w:sz w:val="22"/>
              </w:rPr>
            </w:pPr>
            <w:r w:rsidRPr="00883399">
              <w:rPr>
                <w:sz w:val="22"/>
              </w:rPr>
              <w:t>10</w:t>
            </w:r>
          </w:p>
        </w:tc>
        <w:tc>
          <w:tcPr>
            <w:tcW w:w="4560" w:type="dxa"/>
            <w:shd w:val="clear" w:color="auto" w:fill="auto"/>
          </w:tcPr>
          <w:p w14:paraId="49D98027" w14:textId="77777777" w:rsidR="00872C03" w:rsidRPr="00883399" w:rsidRDefault="00872C03" w:rsidP="0031057E">
            <w:pPr>
              <w:pStyle w:val="Tabletext0"/>
              <w:rPr>
                <w:sz w:val="22"/>
              </w:rPr>
            </w:pPr>
            <w:r w:rsidRPr="00883399">
              <w:rPr>
                <w:sz w:val="22"/>
              </w:rPr>
              <w:t>Green and air dried wood</w:t>
            </w:r>
          </w:p>
        </w:tc>
        <w:tc>
          <w:tcPr>
            <w:tcW w:w="1997" w:type="dxa"/>
            <w:shd w:val="clear" w:color="auto" w:fill="auto"/>
          </w:tcPr>
          <w:p w14:paraId="38162439" w14:textId="77777777" w:rsidR="00872C03" w:rsidRPr="00883399" w:rsidRDefault="00872C03" w:rsidP="0031057E">
            <w:pPr>
              <w:pStyle w:val="Tabletext0"/>
              <w:rPr>
                <w:sz w:val="22"/>
              </w:rPr>
            </w:pPr>
            <w:r w:rsidRPr="00883399">
              <w:rPr>
                <w:sz w:val="22"/>
              </w:rPr>
              <w:t>CEN/TS 14778 – 1:2005</w:t>
            </w:r>
          </w:p>
          <w:p w14:paraId="44786032" w14:textId="77777777" w:rsidR="00872C03" w:rsidRPr="00883399" w:rsidRDefault="00872C03" w:rsidP="0031057E">
            <w:pPr>
              <w:pStyle w:val="Tabletext0"/>
              <w:rPr>
                <w:sz w:val="22"/>
              </w:rPr>
            </w:pPr>
            <w:r w:rsidRPr="00883399">
              <w:rPr>
                <w:sz w:val="22"/>
              </w:rPr>
              <w:t>CEN/TS 15442:2006</w:t>
            </w:r>
          </w:p>
        </w:tc>
      </w:tr>
      <w:tr w:rsidR="00872C03" w:rsidRPr="00883399" w14:paraId="2CEC9BB8" w14:textId="77777777" w:rsidTr="0031057E">
        <w:tc>
          <w:tcPr>
            <w:tcW w:w="840" w:type="dxa"/>
            <w:shd w:val="clear" w:color="auto" w:fill="auto"/>
          </w:tcPr>
          <w:p w14:paraId="367A2055" w14:textId="77777777" w:rsidR="00872C03" w:rsidRPr="00883399" w:rsidRDefault="00872C03" w:rsidP="0031057E">
            <w:pPr>
              <w:pStyle w:val="Tabletext0"/>
              <w:rPr>
                <w:sz w:val="22"/>
              </w:rPr>
            </w:pPr>
            <w:r w:rsidRPr="00883399">
              <w:rPr>
                <w:sz w:val="22"/>
              </w:rPr>
              <w:t>11</w:t>
            </w:r>
          </w:p>
        </w:tc>
        <w:tc>
          <w:tcPr>
            <w:tcW w:w="4560" w:type="dxa"/>
            <w:shd w:val="clear" w:color="auto" w:fill="auto"/>
          </w:tcPr>
          <w:p w14:paraId="06372470" w14:textId="77777777" w:rsidR="00872C03" w:rsidRPr="00883399" w:rsidRDefault="00872C03" w:rsidP="0031057E">
            <w:pPr>
              <w:pStyle w:val="Tabletext0"/>
              <w:rPr>
                <w:sz w:val="22"/>
              </w:rPr>
            </w:pPr>
            <w:r w:rsidRPr="00883399">
              <w:rPr>
                <w:sz w:val="22"/>
              </w:rPr>
              <w:t>Sulphite lyes</w:t>
            </w:r>
          </w:p>
        </w:tc>
        <w:tc>
          <w:tcPr>
            <w:tcW w:w="1997" w:type="dxa"/>
            <w:shd w:val="clear" w:color="auto" w:fill="auto"/>
          </w:tcPr>
          <w:p w14:paraId="0C7DA213" w14:textId="77777777" w:rsidR="00872C03" w:rsidRPr="00883399" w:rsidRDefault="00872C03" w:rsidP="0031057E">
            <w:pPr>
              <w:pStyle w:val="Tabletext0"/>
              <w:rPr>
                <w:sz w:val="22"/>
              </w:rPr>
            </w:pPr>
            <w:r w:rsidRPr="00883399">
              <w:rPr>
                <w:sz w:val="22"/>
              </w:rPr>
              <w:t>CEN/TS 14778 – 1:2005</w:t>
            </w:r>
          </w:p>
          <w:p w14:paraId="4ABF6E05" w14:textId="77777777" w:rsidR="00872C03" w:rsidRPr="00883399" w:rsidRDefault="00872C03" w:rsidP="0031057E">
            <w:pPr>
              <w:pStyle w:val="Tabletext0"/>
              <w:rPr>
                <w:sz w:val="22"/>
              </w:rPr>
            </w:pPr>
            <w:r w:rsidRPr="00883399">
              <w:rPr>
                <w:sz w:val="22"/>
              </w:rPr>
              <w:t>CEN/TS 15442:2006</w:t>
            </w:r>
          </w:p>
        </w:tc>
      </w:tr>
      <w:tr w:rsidR="00872C03" w:rsidRPr="00883399" w14:paraId="025C677A" w14:textId="77777777" w:rsidTr="0031057E">
        <w:tc>
          <w:tcPr>
            <w:tcW w:w="840" w:type="dxa"/>
            <w:shd w:val="clear" w:color="auto" w:fill="auto"/>
          </w:tcPr>
          <w:p w14:paraId="0C1EBCE3" w14:textId="77777777" w:rsidR="00872C03" w:rsidRPr="00883399" w:rsidRDefault="00872C03" w:rsidP="0031057E">
            <w:pPr>
              <w:pStyle w:val="Tabletext0"/>
              <w:rPr>
                <w:sz w:val="22"/>
              </w:rPr>
            </w:pPr>
            <w:r w:rsidRPr="00883399">
              <w:rPr>
                <w:sz w:val="22"/>
              </w:rPr>
              <w:t>12</w:t>
            </w:r>
          </w:p>
        </w:tc>
        <w:tc>
          <w:tcPr>
            <w:tcW w:w="4560" w:type="dxa"/>
            <w:shd w:val="clear" w:color="auto" w:fill="auto"/>
          </w:tcPr>
          <w:p w14:paraId="1240F82E" w14:textId="77777777" w:rsidR="00872C03" w:rsidRPr="00883399" w:rsidRDefault="00872C03" w:rsidP="0031057E">
            <w:pPr>
              <w:pStyle w:val="Tabletext0"/>
              <w:rPr>
                <w:sz w:val="22"/>
              </w:rPr>
            </w:pPr>
            <w:r w:rsidRPr="00883399">
              <w:rPr>
                <w:sz w:val="22"/>
              </w:rPr>
              <w:t>Bagasse</w:t>
            </w:r>
          </w:p>
        </w:tc>
        <w:tc>
          <w:tcPr>
            <w:tcW w:w="1997" w:type="dxa"/>
            <w:shd w:val="clear" w:color="auto" w:fill="auto"/>
          </w:tcPr>
          <w:p w14:paraId="617DBA86" w14:textId="77777777" w:rsidR="00872C03" w:rsidRPr="00883399" w:rsidRDefault="00872C03" w:rsidP="0031057E">
            <w:pPr>
              <w:pStyle w:val="Tabletext0"/>
              <w:rPr>
                <w:sz w:val="22"/>
              </w:rPr>
            </w:pPr>
            <w:r w:rsidRPr="00883399">
              <w:rPr>
                <w:sz w:val="22"/>
              </w:rPr>
              <w:t>CEN/TS 14778 – 1:2005</w:t>
            </w:r>
          </w:p>
          <w:p w14:paraId="2F69A144" w14:textId="77777777" w:rsidR="00872C03" w:rsidRPr="00883399" w:rsidRDefault="00872C03" w:rsidP="0031057E">
            <w:pPr>
              <w:pStyle w:val="Tabletext0"/>
              <w:rPr>
                <w:sz w:val="22"/>
              </w:rPr>
            </w:pPr>
            <w:r w:rsidRPr="00883399">
              <w:rPr>
                <w:sz w:val="22"/>
              </w:rPr>
              <w:t>CEN/TS 15442:2006</w:t>
            </w:r>
          </w:p>
        </w:tc>
      </w:tr>
      <w:tr w:rsidR="00872C03" w:rsidRPr="00883399" w14:paraId="1F85850A" w14:textId="77777777" w:rsidTr="0031057E">
        <w:trPr>
          <w:cantSplit/>
        </w:trPr>
        <w:tc>
          <w:tcPr>
            <w:tcW w:w="840" w:type="dxa"/>
            <w:shd w:val="clear" w:color="auto" w:fill="auto"/>
          </w:tcPr>
          <w:p w14:paraId="2DFA6885" w14:textId="77777777" w:rsidR="00872C03" w:rsidRPr="00883399" w:rsidRDefault="00872C03" w:rsidP="0031057E">
            <w:pPr>
              <w:pStyle w:val="Tabletext0"/>
              <w:rPr>
                <w:sz w:val="22"/>
              </w:rPr>
            </w:pPr>
            <w:r w:rsidRPr="00883399">
              <w:rPr>
                <w:sz w:val="22"/>
              </w:rPr>
              <w:t>13</w:t>
            </w:r>
          </w:p>
        </w:tc>
        <w:tc>
          <w:tcPr>
            <w:tcW w:w="4560" w:type="dxa"/>
            <w:shd w:val="clear" w:color="auto" w:fill="auto"/>
          </w:tcPr>
          <w:p w14:paraId="7A888ECE" w14:textId="77777777" w:rsidR="00872C03" w:rsidRPr="00883399" w:rsidRDefault="00872C03" w:rsidP="0031057E">
            <w:pPr>
              <w:pStyle w:val="Tabletext0"/>
              <w:rPr>
                <w:sz w:val="22"/>
              </w:rPr>
            </w:pPr>
            <w:r w:rsidRPr="00883399">
              <w:rPr>
                <w:sz w:val="22"/>
              </w:rPr>
              <w:t>Primary solid biomass other than items 9 to 12 and 14 to 15</w:t>
            </w:r>
          </w:p>
        </w:tc>
        <w:tc>
          <w:tcPr>
            <w:tcW w:w="1997" w:type="dxa"/>
            <w:shd w:val="clear" w:color="auto" w:fill="auto"/>
          </w:tcPr>
          <w:p w14:paraId="63DB7988" w14:textId="77777777" w:rsidR="00872C03" w:rsidRPr="00883399" w:rsidRDefault="00872C03" w:rsidP="0031057E">
            <w:pPr>
              <w:pStyle w:val="Tabletext0"/>
              <w:rPr>
                <w:sz w:val="22"/>
              </w:rPr>
            </w:pPr>
            <w:r w:rsidRPr="00883399">
              <w:rPr>
                <w:sz w:val="22"/>
              </w:rPr>
              <w:t>CEN/TS 14778 – 1:2005</w:t>
            </w:r>
          </w:p>
          <w:p w14:paraId="75D24A9E" w14:textId="77777777" w:rsidR="00872C03" w:rsidRPr="00883399" w:rsidRDefault="00872C03" w:rsidP="0031057E">
            <w:pPr>
              <w:pStyle w:val="Tabletext0"/>
              <w:rPr>
                <w:sz w:val="22"/>
              </w:rPr>
            </w:pPr>
            <w:r w:rsidRPr="00883399">
              <w:rPr>
                <w:sz w:val="22"/>
              </w:rPr>
              <w:t>CEN/TS 15442:2006</w:t>
            </w:r>
          </w:p>
        </w:tc>
      </w:tr>
      <w:tr w:rsidR="00872C03" w:rsidRPr="00883399" w14:paraId="0311D382" w14:textId="77777777" w:rsidTr="0031057E">
        <w:tc>
          <w:tcPr>
            <w:tcW w:w="840" w:type="dxa"/>
            <w:tcBorders>
              <w:bottom w:val="single" w:sz="4" w:space="0" w:color="auto"/>
            </w:tcBorders>
            <w:shd w:val="clear" w:color="auto" w:fill="auto"/>
          </w:tcPr>
          <w:p w14:paraId="604D8B00" w14:textId="77777777" w:rsidR="00872C03" w:rsidRPr="00883399" w:rsidRDefault="00872C03" w:rsidP="0031057E">
            <w:pPr>
              <w:pStyle w:val="Tabletext0"/>
              <w:rPr>
                <w:sz w:val="22"/>
              </w:rPr>
            </w:pPr>
            <w:r w:rsidRPr="00883399">
              <w:rPr>
                <w:sz w:val="22"/>
              </w:rPr>
              <w:t>14</w:t>
            </w:r>
          </w:p>
        </w:tc>
        <w:tc>
          <w:tcPr>
            <w:tcW w:w="4560" w:type="dxa"/>
            <w:tcBorders>
              <w:bottom w:val="single" w:sz="4" w:space="0" w:color="auto"/>
            </w:tcBorders>
            <w:shd w:val="clear" w:color="auto" w:fill="auto"/>
          </w:tcPr>
          <w:p w14:paraId="19DA6BF3" w14:textId="77777777" w:rsidR="00872C03" w:rsidRPr="00883399" w:rsidRDefault="00872C03" w:rsidP="0031057E">
            <w:pPr>
              <w:pStyle w:val="Tabletext0"/>
              <w:rPr>
                <w:sz w:val="22"/>
              </w:rPr>
            </w:pPr>
            <w:r w:rsidRPr="00883399">
              <w:rPr>
                <w:sz w:val="22"/>
              </w:rPr>
              <w:t xml:space="preserve">Charcoal </w:t>
            </w:r>
          </w:p>
        </w:tc>
        <w:tc>
          <w:tcPr>
            <w:tcW w:w="1997" w:type="dxa"/>
            <w:tcBorders>
              <w:bottom w:val="single" w:sz="4" w:space="0" w:color="auto"/>
            </w:tcBorders>
            <w:shd w:val="clear" w:color="auto" w:fill="auto"/>
          </w:tcPr>
          <w:p w14:paraId="6B6C00CC" w14:textId="77777777" w:rsidR="00872C03" w:rsidRPr="00883399" w:rsidRDefault="00872C03" w:rsidP="0031057E">
            <w:pPr>
              <w:pStyle w:val="Tabletext0"/>
              <w:rPr>
                <w:sz w:val="22"/>
              </w:rPr>
            </w:pPr>
            <w:r w:rsidRPr="00883399">
              <w:rPr>
                <w:sz w:val="22"/>
              </w:rPr>
              <w:t>CEN/TS 14778 – 1:2005</w:t>
            </w:r>
          </w:p>
          <w:p w14:paraId="296782CE" w14:textId="77777777" w:rsidR="00872C03" w:rsidRPr="00883399" w:rsidRDefault="00872C03" w:rsidP="0031057E">
            <w:pPr>
              <w:pStyle w:val="Tabletext0"/>
              <w:rPr>
                <w:sz w:val="22"/>
              </w:rPr>
            </w:pPr>
            <w:r w:rsidRPr="00883399">
              <w:rPr>
                <w:sz w:val="22"/>
              </w:rPr>
              <w:t>CEN/TS 15442:2006</w:t>
            </w:r>
          </w:p>
        </w:tc>
      </w:tr>
      <w:tr w:rsidR="00872C03" w:rsidRPr="00883399" w14:paraId="5A0AEE85" w14:textId="77777777" w:rsidTr="0031057E">
        <w:tc>
          <w:tcPr>
            <w:tcW w:w="840" w:type="dxa"/>
            <w:tcBorders>
              <w:bottom w:val="single" w:sz="12" w:space="0" w:color="auto"/>
            </w:tcBorders>
            <w:shd w:val="clear" w:color="auto" w:fill="auto"/>
          </w:tcPr>
          <w:p w14:paraId="5DEBDE51" w14:textId="77777777" w:rsidR="00872C03" w:rsidRPr="00883399" w:rsidRDefault="00872C03" w:rsidP="0031057E">
            <w:pPr>
              <w:pStyle w:val="Tabletext0"/>
              <w:rPr>
                <w:sz w:val="22"/>
              </w:rPr>
            </w:pPr>
            <w:r w:rsidRPr="00883399">
              <w:rPr>
                <w:sz w:val="22"/>
              </w:rPr>
              <w:t>15</w:t>
            </w:r>
          </w:p>
        </w:tc>
        <w:tc>
          <w:tcPr>
            <w:tcW w:w="4560" w:type="dxa"/>
            <w:tcBorders>
              <w:bottom w:val="single" w:sz="12" w:space="0" w:color="auto"/>
            </w:tcBorders>
            <w:shd w:val="clear" w:color="auto" w:fill="auto"/>
          </w:tcPr>
          <w:p w14:paraId="3CBCBD31" w14:textId="77777777" w:rsidR="00872C03" w:rsidRPr="00883399" w:rsidRDefault="00872C03" w:rsidP="0031057E">
            <w:pPr>
              <w:pStyle w:val="Tabletext0"/>
              <w:rPr>
                <w:sz w:val="22"/>
              </w:rPr>
            </w:pPr>
            <w:r w:rsidRPr="00883399">
              <w:rPr>
                <w:sz w:val="22"/>
              </w:rPr>
              <w:t>Biomass municipal and industrial materials, if recycled and combusted to produce heat or electricity</w:t>
            </w:r>
          </w:p>
        </w:tc>
        <w:tc>
          <w:tcPr>
            <w:tcW w:w="1997" w:type="dxa"/>
            <w:tcBorders>
              <w:bottom w:val="single" w:sz="12" w:space="0" w:color="auto"/>
            </w:tcBorders>
            <w:shd w:val="clear" w:color="auto" w:fill="auto"/>
          </w:tcPr>
          <w:p w14:paraId="2FB2E3A2" w14:textId="77777777" w:rsidR="00872C03" w:rsidRPr="00883399" w:rsidRDefault="00872C03" w:rsidP="0031057E">
            <w:pPr>
              <w:pStyle w:val="Tabletext0"/>
              <w:rPr>
                <w:sz w:val="22"/>
              </w:rPr>
            </w:pPr>
            <w:r w:rsidRPr="00883399">
              <w:rPr>
                <w:sz w:val="22"/>
              </w:rPr>
              <w:t>CEN/TS 14778 – 1:2005</w:t>
            </w:r>
          </w:p>
          <w:p w14:paraId="7CD387BA" w14:textId="77777777" w:rsidR="00872C03" w:rsidRPr="00883399" w:rsidRDefault="00872C03" w:rsidP="0031057E">
            <w:pPr>
              <w:pStyle w:val="Tabletext0"/>
              <w:rPr>
                <w:sz w:val="22"/>
              </w:rPr>
            </w:pPr>
            <w:r w:rsidRPr="00883399">
              <w:rPr>
                <w:sz w:val="22"/>
              </w:rPr>
              <w:t>CEN/TS 15442:2006</w:t>
            </w:r>
          </w:p>
        </w:tc>
      </w:tr>
    </w:tbl>
    <w:p w14:paraId="706D3935" w14:textId="77777777" w:rsidR="00872C03" w:rsidRPr="00883399" w:rsidRDefault="00872C03" w:rsidP="00872C03">
      <w:pPr>
        <w:pStyle w:val="subsection"/>
        <w:rPr>
          <w:sz w:val="24"/>
        </w:rPr>
      </w:pPr>
      <w:r w:rsidRPr="00883399">
        <w:rPr>
          <w:sz w:val="24"/>
        </w:rPr>
        <w:tab/>
        <w:t>(4)</w:t>
      </w:r>
      <w:r w:rsidRPr="00883399">
        <w:rPr>
          <w:sz w:val="24"/>
        </w:rPr>
        <w:tab/>
        <w:t>A solid fuel may also be sampled in accordance with a standard that is equivalent to a standard set out in the table in subsection (3).</w:t>
      </w:r>
    </w:p>
    <w:p w14:paraId="29389EBE" w14:textId="77777777" w:rsidR="00872C03" w:rsidRPr="00883399" w:rsidRDefault="00872C03" w:rsidP="00872C03">
      <w:pPr>
        <w:pStyle w:val="notetext"/>
        <w:rPr>
          <w:sz w:val="20"/>
        </w:rPr>
      </w:pPr>
      <w:r w:rsidRPr="00883399">
        <w:rPr>
          <w:sz w:val="20"/>
        </w:rPr>
        <w:t>Note:</w:t>
      </w:r>
      <w:r w:rsidRPr="00883399">
        <w:rPr>
          <w:sz w:val="20"/>
        </w:rPr>
        <w:tab/>
        <w:t>The analysis is carried out in accordance with the same requirements as for method 2.</w:t>
      </w:r>
    </w:p>
    <w:p w14:paraId="7C2E957E" w14:textId="3C6B537D" w:rsidR="00872C03" w:rsidRPr="00883399" w:rsidRDefault="00872C03" w:rsidP="00872C03">
      <w:pPr>
        <w:pStyle w:val="ActHead3"/>
        <w:pageBreakBefore/>
        <w:rPr>
          <w:sz w:val="32"/>
        </w:rPr>
      </w:pPr>
      <w:bookmarkStart w:id="193" w:name="_Toc423516754"/>
      <w:bookmarkStart w:id="194" w:name="_Toc495652668"/>
      <w:r w:rsidRPr="00883399">
        <w:rPr>
          <w:rStyle w:val="CharDivNo"/>
          <w:sz w:val="32"/>
        </w:rPr>
        <w:lastRenderedPageBreak/>
        <w:t>Division 2.2.5</w:t>
      </w:r>
      <w:r w:rsidRPr="00883399">
        <w:rPr>
          <w:sz w:val="32"/>
        </w:rPr>
        <w:t>—</w:t>
      </w:r>
      <w:r w:rsidRPr="00883399">
        <w:rPr>
          <w:rStyle w:val="CharDivText"/>
          <w:sz w:val="32"/>
        </w:rPr>
        <w:t>Measurement of consumption of solid fuels</w:t>
      </w:r>
      <w:bookmarkEnd w:id="193"/>
      <w:bookmarkEnd w:id="194"/>
    </w:p>
    <w:p w14:paraId="222A0500" w14:textId="24045BA1" w:rsidR="00872C03" w:rsidRPr="00883399" w:rsidRDefault="00872C03" w:rsidP="00872C03">
      <w:pPr>
        <w:pStyle w:val="ActHead5"/>
        <w:rPr>
          <w:sz w:val="28"/>
        </w:rPr>
      </w:pPr>
      <w:bookmarkStart w:id="195" w:name="_Toc423516755"/>
      <w:bookmarkStart w:id="196" w:name="_Toc495652669"/>
      <w:r w:rsidRPr="00883399">
        <w:rPr>
          <w:rStyle w:val="CharSectno"/>
          <w:sz w:val="28"/>
        </w:rPr>
        <w:t>2.13</w:t>
      </w:r>
      <w:r w:rsidRPr="00883399">
        <w:rPr>
          <w:sz w:val="28"/>
        </w:rPr>
        <w:t xml:space="preserve">  Purpose of Division</w:t>
      </w:r>
      <w:bookmarkEnd w:id="195"/>
      <w:bookmarkEnd w:id="196"/>
    </w:p>
    <w:p w14:paraId="410E9F27" w14:textId="77777777" w:rsidR="00872C03" w:rsidRPr="00883399" w:rsidRDefault="00872C03" w:rsidP="00872C03">
      <w:pPr>
        <w:pStyle w:val="R1"/>
        <w:spacing w:before="240" w:line="312" w:lineRule="auto"/>
        <w:ind w:left="0" w:firstLine="0"/>
        <w:jc w:val="left"/>
        <w:rPr>
          <w:rFonts w:ascii="Arial" w:hAnsi="Arial" w:cs="Arial"/>
          <w:i/>
          <w:color w:val="000000"/>
          <w:sz w:val="22"/>
          <w:szCs w:val="22"/>
        </w:rPr>
      </w:pPr>
      <w:r w:rsidRPr="00883399">
        <w:tab/>
      </w:r>
      <w:r w:rsidRPr="00883399">
        <w:rPr>
          <w:rFonts w:ascii="Arial" w:hAnsi="Arial" w:cs="Arial"/>
          <w:color w:val="000000"/>
          <w:sz w:val="22"/>
          <w:szCs w:val="22"/>
        </w:rPr>
        <w:t>This Division sets out how quantities of solid fuels combusted from the operation of a facility are to be estimated for the purpose of working out the</w:t>
      </w:r>
      <w:r w:rsidRPr="00883399">
        <w:rPr>
          <w:rFonts w:ascii="Arial" w:hAnsi="Arial" w:cs="Arial"/>
          <w:strike/>
          <w:color w:val="000000"/>
          <w:sz w:val="22"/>
          <w:szCs w:val="22"/>
        </w:rPr>
        <w:t xml:space="preserve"> </w:t>
      </w:r>
      <w:r w:rsidRPr="00883399">
        <w:rPr>
          <w:rFonts w:ascii="Arial" w:hAnsi="Arial" w:cs="Arial"/>
          <w:color w:val="000000"/>
          <w:sz w:val="22"/>
          <w:szCs w:val="22"/>
        </w:rPr>
        <w:t>emissions released from the combustion of that fuel</w:t>
      </w:r>
      <w:r w:rsidRPr="00883399">
        <w:rPr>
          <w:rFonts w:ascii="Arial" w:hAnsi="Arial" w:cs="Arial"/>
          <w:i/>
          <w:color w:val="000000"/>
          <w:sz w:val="22"/>
          <w:szCs w:val="22"/>
        </w:rPr>
        <w:t>.</w:t>
      </w:r>
    </w:p>
    <w:p w14:paraId="68FC5FF3" w14:textId="77777777" w:rsidR="00872C03" w:rsidRPr="00883399" w:rsidRDefault="00872C03" w:rsidP="00872C03">
      <w:pPr>
        <w:pStyle w:val="R2"/>
        <w:spacing w:before="240" w:line="312" w:lineRule="auto"/>
        <w:ind w:left="0" w:firstLine="0"/>
        <w:jc w:val="left"/>
        <w:rPr>
          <w:rFonts w:ascii="Arial" w:hAnsi="Arial" w:cs="Arial"/>
          <w:sz w:val="22"/>
          <w:szCs w:val="22"/>
        </w:rPr>
      </w:pPr>
      <w:r w:rsidRPr="00883399">
        <w:rPr>
          <w:rFonts w:ascii="Arial" w:hAnsi="Arial" w:cs="Arial"/>
          <w:sz w:val="22"/>
          <w:szCs w:val="22"/>
        </w:rPr>
        <w:t xml:space="preserve">Fuel types identified in the Determination are as specified in the Regulation, Schedule 1. The fuel types listed principally reflect the lists of fuels used by the Bureau of Resources and Energy Economics (BREE) to prepare Australia’s Energy Statistics and report, inter alia, on behalf of the Australian Government to the International Energy Agency. </w:t>
      </w:r>
    </w:p>
    <w:p w14:paraId="34F9E3BD" w14:textId="77777777" w:rsidR="00872C03" w:rsidRPr="00883399" w:rsidRDefault="00872C03" w:rsidP="00872C03">
      <w:pPr>
        <w:pStyle w:val="R2"/>
        <w:spacing w:before="240" w:line="312" w:lineRule="auto"/>
        <w:ind w:left="0" w:firstLine="0"/>
        <w:jc w:val="left"/>
        <w:rPr>
          <w:rFonts w:ascii="Arial" w:hAnsi="Arial" w:cs="Arial"/>
          <w:sz w:val="22"/>
          <w:szCs w:val="22"/>
        </w:rPr>
      </w:pPr>
      <w:r w:rsidRPr="00883399">
        <w:rPr>
          <w:rFonts w:ascii="Arial" w:hAnsi="Arial" w:cs="Arial"/>
          <w:sz w:val="22"/>
          <w:szCs w:val="22"/>
        </w:rPr>
        <w:t>The quantities of fuels consumed should exclude those quantities consumed for international transport purposes to reflect international reporting requirements for the national inventory. It is intended that this may be achieved by excluding international bunker fuels as defined in</w:t>
      </w:r>
      <w:r w:rsidRPr="00883399">
        <w:rPr>
          <w:rFonts w:ascii="Arial" w:hAnsi="Arial" w:cs="Arial"/>
          <w:i/>
          <w:sz w:val="22"/>
          <w:szCs w:val="22"/>
        </w:rPr>
        <w:t xml:space="preserve"> National Greenhouse and Energy Reporting Regulations 2008</w:t>
      </w:r>
      <w:r w:rsidRPr="00883399">
        <w:rPr>
          <w:rFonts w:ascii="Arial" w:hAnsi="Arial" w:cs="Arial"/>
          <w:sz w:val="22"/>
          <w:szCs w:val="22"/>
        </w:rPr>
        <w:t xml:space="preserve">, Regulation 1.03, and that the point of differentiation between domestic and international consumption will be identical to that provided by the Customs Act 1901 which is used also for excise and GST purposes.  </w:t>
      </w:r>
    </w:p>
    <w:p w14:paraId="71A2AA2A" w14:textId="77777777" w:rsidR="00872C03" w:rsidRPr="00883399" w:rsidRDefault="00872C03" w:rsidP="00872C03">
      <w:pPr>
        <w:pStyle w:val="R2"/>
        <w:spacing w:before="240" w:line="312" w:lineRule="auto"/>
        <w:ind w:left="0" w:firstLine="0"/>
        <w:jc w:val="left"/>
        <w:rPr>
          <w:rFonts w:ascii="Arial" w:hAnsi="Arial" w:cs="Arial"/>
          <w:sz w:val="22"/>
          <w:szCs w:val="22"/>
        </w:rPr>
      </w:pPr>
      <w:r w:rsidRPr="00883399">
        <w:rPr>
          <w:rFonts w:ascii="Arial" w:hAnsi="Arial" w:cs="Arial"/>
          <w:sz w:val="22"/>
          <w:szCs w:val="22"/>
        </w:rPr>
        <w:t xml:space="preserve">Division 2.2.5 specifies the criteria for the estimation of the amounts of each solid fuel type combusted from the operation of a facility during a year.  </w:t>
      </w:r>
    </w:p>
    <w:p w14:paraId="08670BAA" w14:textId="77777777" w:rsidR="00872C03" w:rsidRPr="00883399" w:rsidRDefault="00872C03" w:rsidP="00872C03">
      <w:pPr>
        <w:pStyle w:val="R2"/>
        <w:spacing w:before="240" w:line="312" w:lineRule="auto"/>
        <w:ind w:left="0" w:firstLine="0"/>
        <w:jc w:val="left"/>
        <w:rPr>
          <w:rFonts w:ascii="Arial" w:hAnsi="Arial" w:cs="Arial"/>
          <w:sz w:val="22"/>
          <w:szCs w:val="22"/>
        </w:rPr>
      </w:pPr>
      <w:r w:rsidRPr="00883399">
        <w:rPr>
          <w:rFonts w:ascii="Arial" w:hAnsi="Arial" w:cs="Arial"/>
          <w:sz w:val="22"/>
          <w:szCs w:val="22"/>
        </w:rPr>
        <w:t xml:space="preserve">There are four criteria available for the estimation of quantities combusted reflecting differing levels of measurement effort and precision.  </w:t>
      </w:r>
    </w:p>
    <w:p w14:paraId="74373CB7" w14:textId="77777777" w:rsidR="00872C03" w:rsidRPr="00883399" w:rsidRDefault="00872C03" w:rsidP="00872C03">
      <w:pPr>
        <w:pStyle w:val="R2"/>
        <w:spacing w:before="240" w:line="312" w:lineRule="auto"/>
        <w:ind w:left="0" w:firstLine="0"/>
        <w:jc w:val="left"/>
        <w:rPr>
          <w:rFonts w:ascii="Arial" w:hAnsi="Arial" w:cs="Arial"/>
          <w:sz w:val="22"/>
          <w:szCs w:val="22"/>
        </w:rPr>
      </w:pPr>
      <w:r w:rsidRPr="00883399">
        <w:rPr>
          <w:rFonts w:ascii="Arial" w:hAnsi="Arial" w:cs="Arial"/>
          <w:sz w:val="22"/>
          <w:szCs w:val="22"/>
        </w:rPr>
        <w:t xml:space="preserve">Under the National Greenhouse and Energy Reporting Regulations 2008, the criterion chosen by the Reporter to estimate combustion is required to be reported. Measuring equipment calibrated to a measurement requirement mentioned in Sections 2.16 and 2.17 refers to the standards required for measurement to support all commercial transactions covered by the National Measurement Act 1960 and associated instruments.  </w:t>
      </w:r>
    </w:p>
    <w:p w14:paraId="06212F05" w14:textId="77777777" w:rsidR="00872C03" w:rsidRPr="00883399" w:rsidRDefault="00872C03" w:rsidP="00872C03">
      <w:pPr>
        <w:pStyle w:val="R2"/>
        <w:spacing w:before="240" w:line="312" w:lineRule="auto"/>
        <w:ind w:left="0" w:firstLine="0"/>
        <w:jc w:val="left"/>
        <w:rPr>
          <w:rFonts w:ascii="Arial" w:hAnsi="Arial" w:cs="Arial"/>
          <w:sz w:val="22"/>
          <w:szCs w:val="22"/>
        </w:rPr>
      </w:pPr>
      <w:r w:rsidRPr="00883399">
        <w:rPr>
          <w:rFonts w:ascii="Arial" w:hAnsi="Arial" w:cs="Arial"/>
          <w:sz w:val="22"/>
          <w:szCs w:val="22"/>
        </w:rPr>
        <w:lastRenderedPageBreak/>
        <w:t xml:space="preserve">In Section 2.17 it is intended that measured data for fuels delivered (at the point of sale) would also meet the Criterion AAA under certain circumstances.  These circumstances are that stocks of the fuel consumed at the facility are less than 5% of fuel consumption for the facility during the year and that the stock changes by less than 1% during the year.  It is intended that the analysis may be conducted by the supplier. </w:t>
      </w:r>
    </w:p>
    <w:p w14:paraId="42159414" w14:textId="77777777" w:rsidR="00872C03" w:rsidRPr="00883399" w:rsidRDefault="00872C03" w:rsidP="00872C03">
      <w:pPr>
        <w:pStyle w:val="R2"/>
        <w:spacing w:before="240" w:line="312" w:lineRule="auto"/>
        <w:ind w:left="0" w:firstLine="0"/>
        <w:jc w:val="left"/>
        <w:rPr>
          <w:rFonts w:ascii="Arial" w:hAnsi="Arial" w:cs="Arial"/>
          <w:sz w:val="22"/>
          <w:szCs w:val="22"/>
        </w:rPr>
      </w:pPr>
      <w:r w:rsidRPr="00883399">
        <w:rPr>
          <w:rFonts w:ascii="Arial" w:hAnsi="Arial" w:cs="Arial"/>
          <w:sz w:val="22"/>
          <w:szCs w:val="22"/>
        </w:rPr>
        <w:t xml:space="preserve">The simplified measurement of consumption criterion is available in those cases where the Reporter does not purchase their fuel and where the Reporter also does not have metering equipment installed that meets the requirements of criterion AAA.  In these cases, it is intended that Reporters should estimate consumption using metering devices or measurement techniques in practice in the industry.  Such measurements would need to meet the criteria set out in section 1.13 of transparency, comparability, accuracy and completeness.  Such data would be classified and reported as ‘BBB’ data.    </w:t>
      </w:r>
    </w:p>
    <w:p w14:paraId="50DEA51F" w14:textId="77777777" w:rsidR="00872C03" w:rsidRPr="00883399" w:rsidRDefault="00872C03" w:rsidP="00872C03">
      <w:pPr>
        <w:pStyle w:val="R2"/>
        <w:spacing w:before="240" w:line="312" w:lineRule="auto"/>
        <w:ind w:left="0" w:firstLine="0"/>
        <w:jc w:val="left"/>
        <w:rPr>
          <w:rFonts w:ascii="Arial" w:hAnsi="Arial" w:cs="Arial"/>
          <w:sz w:val="22"/>
          <w:szCs w:val="22"/>
        </w:rPr>
      </w:pPr>
      <w:r w:rsidRPr="00883399">
        <w:rPr>
          <w:rFonts w:ascii="Arial" w:hAnsi="Arial" w:cs="Arial"/>
          <w:color w:val="000000"/>
          <w:sz w:val="22"/>
          <w:szCs w:val="22"/>
        </w:rPr>
        <w:t>The restriction on the choice of criteria at 2.14 (3) is designed to ensure time series consistency of the measurements</w:t>
      </w:r>
      <w:r w:rsidRPr="00883399">
        <w:rPr>
          <w:color w:val="000000"/>
        </w:rPr>
        <w:t>.</w:t>
      </w:r>
    </w:p>
    <w:p w14:paraId="087178A5" w14:textId="77777777" w:rsidR="00872C03" w:rsidRPr="00883399" w:rsidRDefault="00872C03" w:rsidP="00872C03">
      <w:pPr>
        <w:pStyle w:val="subsection"/>
        <w:rPr>
          <w:sz w:val="24"/>
        </w:rPr>
      </w:pPr>
    </w:p>
    <w:p w14:paraId="042E1861" w14:textId="11DAB8CD" w:rsidR="00872C03" w:rsidRPr="00883399" w:rsidRDefault="00872C03" w:rsidP="00872C03">
      <w:pPr>
        <w:pStyle w:val="ActHead5"/>
        <w:rPr>
          <w:sz w:val="28"/>
        </w:rPr>
      </w:pPr>
      <w:bookmarkStart w:id="197" w:name="_Toc423516756"/>
      <w:bookmarkStart w:id="198" w:name="_Toc495652670"/>
      <w:r w:rsidRPr="00883399">
        <w:rPr>
          <w:rStyle w:val="CharSectno"/>
          <w:sz w:val="28"/>
        </w:rPr>
        <w:t>2.14</w:t>
      </w:r>
      <w:r w:rsidRPr="00883399">
        <w:rPr>
          <w:sz w:val="28"/>
        </w:rPr>
        <w:t xml:space="preserve">  Criteria for measurement</w:t>
      </w:r>
      <w:bookmarkEnd w:id="197"/>
      <w:bookmarkEnd w:id="198"/>
    </w:p>
    <w:p w14:paraId="7769EAD2" w14:textId="77777777" w:rsidR="00872C03" w:rsidRPr="00883399" w:rsidRDefault="00872C03" w:rsidP="00872C03">
      <w:pPr>
        <w:pStyle w:val="subsection"/>
        <w:rPr>
          <w:sz w:val="24"/>
        </w:rPr>
      </w:pPr>
      <w:r w:rsidRPr="00883399">
        <w:rPr>
          <w:sz w:val="24"/>
        </w:rPr>
        <w:tab/>
        <w:t>(1)</w:t>
      </w:r>
      <w:r w:rsidRPr="00883399">
        <w:rPr>
          <w:sz w:val="24"/>
        </w:rPr>
        <w:tab/>
        <w:t xml:space="preserve">For the purpose of calculating the amount of solid fuel combusted from the operation of a facility during a year and, in particular, for </w:t>
      </w:r>
      <w:r w:rsidRPr="00883399">
        <w:rPr>
          <w:b/>
          <w:i/>
          <w:sz w:val="24"/>
        </w:rPr>
        <w:t>Q</w:t>
      </w:r>
      <w:r w:rsidRPr="00883399">
        <w:rPr>
          <w:b/>
          <w:i/>
          <w:sz w:val="24"/>
          <w:vertAlign w:val="subscript"/>
        </w:rPr>
        <w:t>i</w:t>
      </w:r>
      <w:r w:rsidRPr="00883399">
        <w:rPr>
          <w:sz w:val="24"/>
        </w:rPr>
        <w:t xml:space="preserve"> in sections 2.4, 2.5 and 2.6, the quantity of combustion must be estimated in accordance with this section.</w:t>
      </w:r>
    </w:p>
    <w:p w14:paraId="35627339" w14:textId="77777777" w:rsidR="00872C03" w:rsidRPr="00883399" w:rsidRDefault="00872C03" w:rsidP="00872C03">
      <w:pPr>
        <w:pStyle w:val="SubsectionHead"/>
        <w:rPr>
          <w:sz w:val="24"/>
        </w:rPr>
      </w:pPr>
      <w:r w:rsidRPr="00883399">
        <w:rPr>
          <w:sz w:val="24"/>
        </w:rPr>
        <w:t>Acquisition involves commercial transaction</w:t>
      </w:r>
    </w:p>
    <w:p w14:paraId="1CEB3224" w14:textId="77777777" w:rsidR="00872C03" w:rsidRPr="00883399" w:rsidRDefault="00872C03" w:rsidP="00872C03">
      <w:pPr>
        <w:pStyle w:val="subsection"/>
        <w:rPr>
          <w:sz w:val="24"/>
        </w:rPr>
      </w:pPr>
      <w:r w:rsidRPr="00883399">
        <w:rPr>
          <w:sz w:val="24"/>
        </w:rPr>
        <w:tab/>
        <w:t>(2)</w:t>
      </w:r>
      <w:r w:rsidRPr="00883399">
        <w:rPr>
          <w:sz w:val="24"/>
        </w:rPr>
        <w:tab/>
        <w:t>If the acquisition of the solid fuel involves a commercial transaction, the quantity of fuel combusted must be estimated using one of the following criteria:</w:t>
      </w:r>
    </w:p>
    <w:p w14:paraId="05EF6028" w14:textId="77777777" w:rsidR="00872C03" w:rsidRPr="00883399" w:rsidRDefault="00872C03" w:rsidP="00872C03">
      <w:pPr>
        <w:pStyle w:val="paragraph"/>
        <w:rPr>
          <w:sz w:val="24"/>
        </w:rPr>
      </w:pPr>
      <w:r w:rsidRPr="00883399">
        <w:rPr>
          <w:sz w:val="24"/>
        </w:rPr>
        <w:tab/>
        <w:t>(a)</w:t>
      </w:r>
      <w:r w:rsidRPr="00883399">
        <w:rPr>
          <w:sz w:val="24"/>
        </w:rPr>
        <w:tab/>
        <w:t>the amount of the solid fuel delivered for the facility during the year as evidenced by invoices issued by the vendor of the fuel (</w:t>
      </w:r>
      <w:r w:rsidRPr="00883399">
        <w:rPr>
          <w:b/>
          <w:bCs/>
          <w:i/>
          <w:iCs/>
          <w:sz w:val="24"/>
        </w:rPr>
        <w:t>criterion A</w:t>
      </w:r>
      <w:r w:rsidRPr="00883399">
        <w:rPr>
          <w:sz w:val="24"/>
        </w:rPr>
        <w:t>);</w:t>
      </w:r>
    </w:p>
    <w:p w14:paraId="4B48802C" w14:textId="77777777" w:rsidR="00872C03" w:rsidRPr="00883399" w:rsidRDefault="00872C03" w:rsidP="00872C03">
      <w:pPr>
        <w:pStyle w:val="paragraph"/>
        <w:rPr>
          <w:sz w:val="24"/>
        </w:rPr>
      </w:pPr>
      <w:r w:rsidRPr="00883399">
        <w:rPr>
          <w:sz w:val="24"/>
        </w:rPr>
        <w:tab/>
        <w:t>(b)</w:t>
      </w:r>
      <w:r w:rsidRPr="00883399">
        <w:rPr>
          <w:sz w:val="24"/>
        </w:rPr>
        <w:tab/>
        <w:t>as provided in section 2.15 (</w:t>
      </w:r>
      <w:r w:rsidRPr="00883399">
        <w:rPr>
          <w:b/>
          <w:bCs/>
          <w:i/>
          <w:iCs/>
          <w:sz w:val="24"/>
        </w:rPr>
        <w:t>criterion AA</w:t>
      </w:r>
      <w:r w:rsidRPr="00883399">
        <w:rPr>
          <w:sz w:val="24"/>
        </w:rPr>
        <w:t>);</w:t>
      </w:r>
    </w:p>
    <w:p w14:paraId="376A072E" w14:textId="77777777" w:rsidR="00872C03" w:rsidRPr="00883399" w:rsidRDefault="00872C03" w:rsidP="00872C03">
      <w:pPr>
        <w:pStyle w:val="paragraph"/>
        <w:rPr>
          <w:sz w:val="24"/>
        </w:rPr>
      </w:pPr>
      <w:r w:rsidRPr="00883399">
        <w:rPr>
          <w:sz w:val="24"/>
        </w:rPr>
        <w:tab/>
        <w:t>(c)</w:t>
      </w:r>
      <w:r w:rsidRPr="00883399">
        <w:rPr>
          <w:sz w:val="24"/>
        </w:rPr>
        <w:tab/>
        <w:t>as provided in section 2.16 (</w:t>
      </w:r>
      <w:r w:rsidRPr="00883399">
        <w:rPr>
          <w:b/>
          <w:bCs/>
          <w:i/>
          <w:iCs/>
          <w:sz w:val="24"/>
        </w:rPr>
        <w:t>criterion AAA</w:t>
      </w:r>
      <w:r w:rsidRPr="00883399">
        <w:rPr>
          <w:sz w:val="24"/>
        </w:rPr>
        <w:t>).</w:t>
      </w:r>
    </w:p>
    <w:p w14:paraId="79A23877" w14:textId="77777777" w:rsidR="00872C03" w:rsidRPr="00883399" w:rsidRDefault="00872C03" w:rsidP="00872C03">
      <w:pPr>
        <w:pStyle w:val="subsection"/>
        <w:rPr>
          <w:sz w:val="24"/>
        </w:rPr>
      </w:pPr>
      <w:r w:rsidRPr="00883399">
        <w:rPr>
          <w:sz w:val="24"/>
        </w:rPr>
        <w:tab/>
        <w:t>(3)</w:t>
      </w:r>
      <w:r w:rsidRPr="00883399">
        <w:rPr>
          <w:sz w:val="24"/>
        </w:rPr>
        <w:tab/>
        <w:t xml:space="preserve">If, during a year, criterion AA, or criterion AAA using paragraph 2.16(2)(a), is used to estimate the quantity of fuel combusted, </w:t>
      </w:r>
      <w:r w:rsidRPr="00883399">
        <w:rPr>
          <w:sz w:val="24"/>
        </w:rPr>
        <w:lastRenderedPageBreak/>
        <w:t>then, in each year following that year, only criterion AA, or criterion AAA using paragraph 2.16(2)(a), (respectively) is to be used.</w:t>
      </w:r>
    </w:p>
    <w:p w14:paraId="5F5D1561" w14:textId="77777777" w:rsidR="00872C03" w:rsidRPr="00883399" w:rsidRDefault="00872C03" w:rsidP="00872C03">
      <w:pPr>
        <w:pStyle w:val="SubsectionHead"/>
        <w:rPr>
          <w:sz w:val="24"/>
        </w:rPr>
      </w:pPr>
      <w:r w:rsidRPr="00883399">
        <w:rPr>
          <w:sz w:val="24"/>
        </w:rPr>
        <w:t>Acquisition does not involve commercial transaction</w:t>
      </w:r>
    </w:p>
    <w:p w14:paraId="110A16AA" w14:textId="77777777" w:rsidR="00872C03" w:rsidRPr="00883399" w:rsidRDefault="00872C03" w:rsidP="00872C03">
      <w:pPr>
        <w:pStyle w:val="subsection"/>
        <w:rPr>
          <w:sz w:val="24"/>
        </w:rPr>
      </w:pPr>
      <w:r w:rsidRPr="00883399">
        <w:rPr>
          <w:sz w:val="24"/>
        </w:rPr>
        <w:tab/>
        <w:t>(4)</w:t>
      </w:r>
      <w:r w:rsidRPr="00883399">
        <w:rPr>
          <w:sz w:val="24"/>
        </w:rPr>
        <w:tab/>
        <w:t>If the acquisition of the solid fuel does not involve a commercial transaction, the quantity of fuel combusted must be estimated using one of the following criteria:</w:t>
      </w:r>
    </w:p>
    <w:p w14:paraId="4B1424DD" w14:textId="77777777" w:rsidR="00872C03" w:rsidRPr="00883399" w:rsidRDefault="00872C03" w:rsidP="00872C03">
      <w:pPr>
        <w:pStyle w:val="paragraph"/>
        <w:rPr>
          <w:sz w:val="24"/>
        </w:rPr>
      </w:pPr>
      <w:r w:rsidRPr="00883399">
        <w:rPr>
          <w:sz w:val="24"/>
        </w:rPr>
        <w:tab/>
        <w:t>(a)</w:t>
      </w:r>
      <w:r w:rsidRPr="00883399">
        <w:rPr>
          <w:sz w:val="24"/>
        </w:rPr>
        <w:tab/>
        <w:t>as provided in paragraph 2.16(2)(a) (</w:t>
      </w:r>
      <w:r w:rsidRPr="00883399">
        <w:rPr>
          <w:b/>
          <w:i/>
          <w:sz w:val="24"/>
        </w:rPr>
        <w:t>criterion AAA</w:t>
      </w:r>
      <w:r w:rsidRPr="00883399">
        <w:rPr>
          <w:sz w:val="24"/>
        </w:rPr>
        <w:t>);</w:t>
      </w:r>
    </w:p>
    <w:p w14:paraId="5ED71976" w14:textId="77777777" w:rsidR="00872C03" w:rsidRPr="00883399" w:rsidRDefault="00872C03" w:rsidP="00872C03">
      <w:pPr>
        <w:pStyle w:val="paragraph"/>
        <w:rPr>
          <w:sz w:val="24"/>
        </w:rPr>
      </w:pPr>
      <w:r w:rsidRPr="00883399">
        <w:rPr>
          <w:sz w:val="24"/>
        </w:rPr>
        <w:tab/>
        <w:t>(b)</w:t>
      </w:r>
      <w:r w:rsidRPr="00883399">
        <w:rPr>
          <w:sz w:val="24"/>
        </w:rPr>
        <w:tab/>
        <w:t>as provided in section 2.17 (</w:t>
      </w:r>
      <w:r w:rsidRPr="00883399">
        <w:rPr>
          <w:b/>
          <w:i/>
          <w:sz w:val="24"/>
        </w:rPr>
        <w:t>criterion BBB</w:t>
      </w:r>
      <w:r w:rsidRPr="00883399">
        <w:rPr>
          <w:sz w:val="24"/>
        </w:rPr>
        <w:t>).</w:t>
      </w:r>
    </w:p>
    <w:p w14:paraId="7CF8A246" w14:textId="6076E1ED" w:rsidR="00872C03" w:rsidRPr="00883399" w:rsidRDefault="00872C03" w:rsidP="00872C03">
      <w:pPr>
        <w:pStyle w:val="ActHead5"/>
        <w:rPr>
          <w:sz w:val="28"/>
        </w:rPr>
      </w:pPr>
      <w:bookmarkStart w:id="199" w:name="_Toc423516757"/>
      <w:bookmarkStart w:id="200" w:name="_Toc495652671"/>
      <w:r w:rsidRPr="00883399">
        <w:rPr>
          <w:rStyle w:val="CharSectno"/>
          <w:sz w:val="28"/>
        </w:rPr>
        <w:t>2.15</w:t>
      </w:r>
      <w:r w:rsidRPr="00883399">
        <w:rPr>
          <w:sz w:val="28"/>
        </w:rPr>
        <w:t xml:space="preserve">  Indirect measurement at point of consumption—criterion AA</w:t>
      </w:r>
      <w:bookmarkEnd w:id="199"/>
      <w:bookmarkEnd w:id="200"/>
    </w:p>
    <w:p w14:paraId="69765289" w14:textId="77777777" w:rsidR="00872C03" w:rsidRPr="00883399" w:rsidRDefault="00872C03" w:rsidP="00872C03">
      <w:pPr>
        <w:pStyle w:val="subsection"/>
        <w:rPr>
          <w:sz w:val="24"/>
        </w:rPr>
      </w:pPr>
      <w:r w:rsidRPr="00883399">
        <w:rPr>
          <w:sz w:val="24"/>
        </w:rPr>
        <w:tab/>
        <w:t>(1)</w:t>
      </w:r>
      <w:r w:rsidRPr="00883399">
        <w:rPr>
          <w:sz w:val="24"/>
        </w:rPr>
        <w:tab/>
        <w:t>For paragraph 2.14(2)(b), criterion AA is the amount of the solid fuel combusted from the operation of the facility during a year based on amounts delivered for the facility during the year as adjusted for the estimated change in the quantity of the stockpile of the fuel for the facility during the year.</w:t>
      </w:r>
    </w:p>
    <w:p w14:paraId="7B493C64" w14:textId="77777777" w:rsidR="00872C03" w:rsidRPr="00883399" w:rsidRDefault="00872C03" w:rsidP="00872C03">
      <w:pPr>
        <w:pStyle w:val="subsection"/>
        <w:rPr>
          <w:sz w:val="24"/>
        </w:rPr>
      </w:pPr>
      <w:r w:rsidRPr="00883399">
        <w:rPr>
          <w:sz w:val="24"/>
        </w:rPr>
        <w:tab/>
        <w:t>(2)</w:t>
      </w:r>
      <w:r w:rsidRPr="00883399">
        <w:rPr>
          <w:sz w:val="24"/>
        </w:rPr>
        <w:tab/>
        <w:t>To work out the adjustment for the estimated change in the quantity of the stockpile of the fuel for the facility during the year, one of the following approaches must be used:</w:t>
      </w:r>
    </w:p>
    <w:p w14:paraId="439EB460" w14:textId="77777777" w:rsidR="00872C03" w:rsidRPr="00883399" w:rsidRDefault="00872C03" w:rsidP="00872C03">
      <w:pPr>
        <w:pStyle w:val="paragraph"/>
        <w:rPr>
          <w:sz w:val="24"/>
        </w:rPr>
      </w:pPr>
      <w:r w:rsidRPr="00883399">
        <w:rPr>
          <w:sz w:val="24"/>
        </w:rPr>
        <w:tab/>
        <w:t>(a)</w:t>
      </w:r>
      <w:r w:rsidRPr="00883399">
        <w:rPr>
          <w:sz w:val="24"/>
        </w:rPr>
        <w:tab/>
        <w:t>the survey approach mentioned in subsection (2C);</w:t>
      </w:r>
    </w:p>
    <w:p w14:paraId="3A7A9E04" w14:textId="77777777" w:rsidR="00872C03" w:rsidRPr="00883399" w:rsidRDefault="00872C03" w:rsidP="00872C03">
      <w:pPr>
        <w:pStyle w:val="paragraph"/>
        <w:rPr>
          <w:sz w:val="24"/>
        </w:rPr>
      </w:pPr>
      <w:r w:rsidRPr="00883399">
        <w:rPr>
          <w:sz w:val="24"/>
        </w:rPr>
        <w:tab/>
        <w:t>(b)</w:t>
      </w:r>
      <w:r w:rsidRPr="00883399">
        <w:rPr>
          <w:sz w:val="24"/>
        </w:rPr>
        <w:tab/>
        <w:t>the error allowance approach mentioned in subsection (2D).</w:t>
      </w:r>
    </w:p>
    <w:p w14:paraId="0D0CE2D0" w14:textId="77777777" w:rsidR="00872C03" w:rsidRPr="00883399" w:rsidRDefault="00872C03" w:rsidP="00872C03">
      <w:pPr>
        <w:pStyle w:val="subsection"/>
        <w:rPr>
          <w:sz w:val="24"/>
        </w:rPr>
      </w:pPr>
      <w:r w:rsidRPr="00883399">
        <w:rPr>
          <w:sz w:val="24"/>
        </w:rPr>
        <w:tab/>
        <w:t>(2A)</w:t>
      </w:r>
      <w:r w:rsidRPr="00883399">
        <w:rPr>
          <w:sz w:val="24"/>
        </w:rPr>
        <w:tab/>
        <w:t>The approach selected must be consistent with the principles mentioned in section 1.13.</w:t>
      </w:r>
    </w:p>
    <w:p w14:paraId="4265F37E" w14:textId="77777777" w:rsidR="00872C03" w:rsidRPr="00883399" w:rsidRDefault="00872C03" w:rsidP="00872C03">
      <w:pPr>
        <w:pStyle w:val="subsection"/>
        <w:rPr>
          <w:sz w:val="24"/>
        </w:rPr>
      </w:pPr>
      <w:r w:rsidRPr="00883399">
        <w:rPr>
          <w:sz w:val="24"/>
        </w:rPr>
        <w:tab/>
        <w:t>(2B)</w:t>
      </w:r>
      <w:r w:rsidRPr="00883399">
        <w:rPr>
          <w:sz w:val="24"/>
        </w:rPr>
        <w:tab/>
        <w:t>The same approach, once selected, must be used for the facility for each year unless:</w:t>
      </w:r>
    </w:p>
    <w:p w14:paraId="5C3B0FE0" w14:textId="77777777" w:rsidR="00872C03" w:rsidRPr="00883399" w:rsidRDefault="00872C03" w:rsidP="00872C03">
      <w:pPr>
        <w:pStyle w:val="paragraph"/>
        <w:rPr>
          <w:sz w:val="24"/>
        </w:rPr>
      </w:pPr>
      <w:r w:rsidRPr="00883399">
        <w:rPr>
          <w:sz w:val="24"/>
        </w:rPr>
        <w:tab/>
        <w:t>(a)</w:t>
      </w:r>
      <w:r w:rsidRPr="00883399">
        <w:rPr>
          <w:sz w:val="24"/>
        </w:rPr>
        <w:tab/>
        <w:t>there has been a material change in the management of the stockpile during the year; and</w:t>
      </w:r>
    </w:p>
    <w:p w14:paraId="60DCDBD1" w14:textId="77777777" w:rsidR="00872C03" w:rsidRPr="00883399" w:rsidRDefault="00872C03" w:rsidP="00872C03">
      <w:pPr>
        <w:pStyle w:val="paragraph"/>
        <w:rPr>
          <w:sz w:val="24"/>
        </w:rPr>
      </w:pPr>
      <w:r w:rsidRPr="00883399">
        <w:rPr>
          <w:sz w:val="24"/>
        </w:rPr>
        <w:tab/>
        <w:t>(b)</w:t>
      </w:r>
      <w:r w:rsidRPr="00883399">
        <w:rPr>
          <w:sz w:val="24"/>
        </w:rPr>
        <w:tab/>
        <w:t>the change in the management of the stockpile results in the approach selected being less accurate than the alternative approach.</w:t>
      </w:r>
    </w:p>
    <w:p w14:paraId="13E9B9CB" w14:textId="77777777" w:rsidR="00872C03" w:rsidRPr="00883399" w:rsidRDefault="00872C03" w:rsidP="00872C03">
      <w:pPr>
        <w:pStyle w:val="subsection"/>
        <w:rPr>
          <w:sz w:val="24"/>
        </w:rPr>
      </w:pPr>
      <w:r w:rsidRPr="00883399">
        <w:rPr>
          <w:sz w:val="24"/>
        </w:rPr>
        <w:t xml:space="preserve"> </w:t>
      </w:r>
      <w:r w:rsidRPr="00883399">
        <w:rPr>
          <w:sz w:val="24"/>
        </w:rPr>
        <w:tab/>
        <w:t>(2C)</w:t>
      </w:r>
      <w:r w:rsidRPr="00883399">
        <w:rPr>
          <w:sz w:val="24"/>
        </w:rPr>
        <w:tab/>
        <w:t>The survey approach is as follows:</w:t>
      </w:r>
    </w:p>
    <w:p w14:paraId="0889648F" w14:textId="77777777" w:rsidR="00872C03" w:rsidRPr="00883399" w:rsidRDefault="00872C03" w:rsidP="00872C03">
      <w:pPr>
        <w:pStyle w:val="BoxStep"/>
        <w:rPr>
          <w:sz w:val="24"/>
        </w:rPr>
      </w:pPr>
      <w:r w:rsidRPr="00883399">
        <w:rPr>
          <w:sz w:val="24"/>
        </w:rPr>
        <w:t>Step 1.</w:t>
      </w:r>
      <w:r w:rsidRPr="00883399">
        <w:rPr>
          <w:sz w:val="24"/>
        </w:rPr>
        <w:tab/>
        <w:t>Estimate the quantity of solid fuel in the stockpile by:</w:t>
      </w:r>
    </w:p>
    <w:p w14:paraId="19E38430" w14:textId="77777777" w:rsidR="00872C03" w:rsidRPr="00883399" w:rsidRDefault="00872C03" w:rsidP="00872C03">
      <w:pPr>
        <w:pStyle w:val="BoxPara"/>
        <w:rPr>
          <w:sz w:val="24"/>
        </w:rPr>
      </w:pPr>
      <w:r w:rsidRPr="00883399">
        <w:rPr>
          <w:sz w:val="24"/>
        </w:rPr>
        <w:tab/>
        <w:t>(a)</w:t>
      </w:r>
      <w:r w:rsidRPr="00883399">
        <w:rPr>
          <w:sz w:val="24"/>
        </w:rPr>
        <w:tab/>
        <w:t>working out the volume of the solid fuel in the stockpile using aerial or general survey in accordance with industry practice; and</w:t>
      </w:r>
    </w:p>
    <w:p w14:paraId="4852EECB" w14:textId="77777777" w:rsidR="00872C03" w:rsidRPr="00883399" w:rsidRDefault="00872C03" w:rsidP="00872C03">
      <w:pPr>
        <w:pStyle w:val="BoxPara"/>
        <w:rPr>
          <w:sz w:val="24"/>
        </w:rPr>
      </w:pPr>
      <w:r w:rsidRPr="00883399">
        <w:rPr>
          <w:sz w:val="24"/>
        </w:rPr>
        <w:tab/>
        <w:t>(b)</w:t>
      </w:r>
      <w:r w:rsidRPr="00883399">
        <w:rPr>
          <w:sz w:val="24"/>
        </w:rPr>
        <w:tab/>
        <w:t>measuring the bulk density of the stockpile in accordance with subregulation (3).</w:t>
      </w:r>
    </w:p>
    <w:p w14:paraId="309FB4EB" w14:textId="77777777" w:rsidR="00872C03" w:rsidRPr="00883399" w:rsidRDefault="00872C03" w:rsidP="00872C03">
      <w:pPr>
        <w:pStyle w:val="BoxStep"/>
        <w:rPr>
          <w:sz w:val="24"/>
        </w:rPr>
      </w:pPr>
      <w:r w:rsidRPr="00883399">
        <w:rPr>
          <w:sz w:val="24"/>
        </w:rPr>
        <w:lastRenderedPageBreak/>
        <w:t>Step 2.</w:t>
      </w:r>
      <w:r w:rsidRPr="00883399">
        <w:rPr>
          <w:sz w:val="24"/>
        </w:rPr>
        <w:tab/>
        <w:t>Replace the current book quantity with the quantity estimated under step 1.</w:t>
      </w:r>
    </w:p>
    <w:p w14:paraId="79EC66AC" w14:textId="77777777" w:rsidR="00872C03" w:rsidRPr="00883399" w:rsidRDefault="00872C03" w:rsidP="00872C03">
      <w:pPr>
        <w:pStyle w:val="BoxStep"/>
        <w:rPr>
          <w:sz w:val="24"/>
        </w:rPr>
      </w:pPr>
      <w:r w:rsidRPr="00883399">
        <w:rPr>
          <w:sz w:val="24"/>
        </w:rPr>
        <w:t>Step 3.</w:t>
      </w:r>
      <w:r w:rsidRPr="00883399">
        <w:rPr>
          <w:sz w:val="24"/>
        </w:rPr>
        <w:tab/>
        <w:t>Maintain the book quantity replaced under step 2 by:</w:t>
      </w:r>
    </w:p>
    <w:p w14:paraId="7D2BC360" w14:textId="77777777" w:rsidR="00872C03" w:rsidRPr="00883399" w:rsidRDefault="00872C03" w:rsidP="00872C03">
      <w:pPr>
        <w:pStyle w:val="BoxPara"/>
        <w:rPr>
          <w:sz w:val="24"/>
        </w:rPr>
      </w:pPr>
      <w:r w:rsidRPr="00883399">
        <w:rPr>
          <w:sz w:val="24"/>
        </w:rPr>
        <w:tab/>
        <w:t>(a)</w:t>
      </w:r>
      <w:r w:rsidRPr="00883399">
        <w:rPr>
          <w:sz w:val="24"/>
        </w:rPr>
        <w:tab/>
        <w:t>adding deliveries made during the year, using:</w:t>
      </w:r>
    </w:p>
    <w:p w14:paraId="12F3337D" w14:textId="77777777" w:rsidR="00872C03" w:rsidRPr="00883399" w:rsidRDefault="00872C03" w:rsidP="00872C03">
      <w:pPr>
        <w:pStyle w:val="BoxPara"/>
        <w:rPr>
          <w:sz w:val="24"/>
        </w:rPr>
      </w:pPr>
      <w:r w:rsidRPr="00883399">
        <w:rPr>
          <w:sz w:val="24"/>
        </w:rPr>
        <w:tab/>
      </w:r>
      <w:r w:rsidRPr="00883399">
        <w:rPr>
          <w:sz w:val="24"/>
        </w:rPr>
        <w:tab/>
        <w:t>(i)</w:t>
      </w:r>
      <w:r w:rsidRPr="00883399">
        <w:rPr>
          <w:sz w:val="24"/>
        </w:rPr>
        <w:tab/>
        <w:t>invoices received for solid fuel delivered to the facility; or</w:t>
      </w:r>
    </w:p>
    <w:p w14:paraId="170AEE65" w14:textId="77777777" w:rsidR="00872C03" w:rsidRPr="00883399" w:rsidRDefault="00872C03" w:rsidP="00872C03">
      <w:pPr>
        <w:pStyle w:val="BoxPara"/>
        <w:rPr>
          <w:sz w:val="24"/>
        </w:rPr>
      </w:pPr>
      <w:r w:rsidRPr="00883399">
        <w:rPr>
          <w:sz w:val="24"/>
        </w:rPr>
        <w:tab/>
      </w:r>
      <w:r w:rsidRPr="00883399">
        <w:rPr>
          <w:sz w:val="24"/>
        </w:rPr>
        <w:tab/>
        <w:t>(ii)</w:t>
      </w:r>
      <w:r w:rsidRPr="00883399">
        <w:rPr>
          <w:sz w:val="24"/>
        </w:rPr>
        <w:tab/>
        <w:t xml:space="preserve">solid fuel sampling and measurements provided by </w:t>
      </w:r>
      <w:r w:rsidRPr="00883399">
        <w:rPr>
          <w:sz w:val="24"/>
        </w:rPr>
        <w:tab/>
        <w:t xml:space="preserve">measuring equipment calibrated to a measurement </w:t>
      </w:r>
      <w:r w:rsidRPr="00883399">
        <w:rPr>
          <w:sz w:val="24"/>
        </w:rPr>
        <w:tab/>
        <w:t>requirement; and</w:t>
      </w:r>
    </w:p>
    <w:p w14:paraId="19686412" w14:textId="77777777" w:rsidR="00872C03" w:rsidRPr="00883399" w:rsidRDefault="00872C03" w:rsidP="00872C03">
      <w:pPr>
        <w:pStyle w:val="BoxPara"/>
        <w:rPr>
          <w:sz w:val="24"/>
        </w:rPr>
      </w:pPr>
      <w:r w:rsidRPr="00883399">
        <w:rPr>
          <w:sz w:val="24"/>
        </w:rPr>
        <w:tab/>
        <w:t>(b)</w:t>
      </w:r>
      <w:r w:rsidRPr="00883399">
        <w:rPr>
          <w:sz w:val="24"/>
        </w:rPr>
        <w:tab/>
        <w:t>deducting from the amount calculated under paragraph (a), solid fuel consumed by the facility.</w:t>
      </w:r>
    </w:p>
    <w:p w14:paraId="54D3D609" w14:textId="77777777" w:rsidR="00872C03" w:rsidRPr="00883399" w:rsidRDefault="00872C03" w:rsidP="00872C03">
      <w:pPr>
        <w:pStyle w:val="BoxStep"/>
        <w:rPr>
          <w:sz w:val="24"/>
        </w:rPr>
      </w:pPr>
      <w:r w:rsidRPr="00883399">
        <w:rPr>
          <w:sz w:val="24"/>
        </w:rPr>
        <w:t>Step 4.</w:t>
      </w:r>
      <w:r w:rsidRPr="00883399">
        <w:rPr>
          <w:sz w:val="24"/>
        </w:rPr>
        <w:tab/>
        <w:t>Use the book quantity maintained under step 3 to estimate the change in the quantity of the stockpile of the fuel.</w:t>
      </w:r>
    </w:p>
    <w:p w14:paraId="5DC70CC1" w14:textId="77777777" w:rsidR="00872C03" w:rsidRPr="00883399" w:rsidRDefault="00872C03" w:rsidP="00872C03">
      <w:pPr>
        <w:pStyle w:val="subsection"/>
        <w:rPr>
          <w:sz w:val="24"/>
        </w:rPr>
      </w:pPr>
    </w:p>
    <w:tbl>
      <w:tblPr>
        <w:tblStyle w:val="TableGrid"/>
        <w:tblW w:w="0" w:type="auto"/>
        <w:tblInd w:w="1418" w:type="dxa"/>
        <w:tblLook w:val="04A0" w:firstRow="1" w:lastRow="0" w:firstColumn="1" w:lastColumn="0" w:noHBand="0" w:noVBand="1"/>
      </w:tblPr>
      <w:tblGrid>
        <w:gridCol w:w="6885"/>
      </w:tblGrid>
      <w:tr w:rsidR="00872C03" w:rsidRPr="00883399" w14:paraId="52D60FCE" w14:textId="77777777" w:rsidTr="0031057E">
        <w:tc>
          <w:tcPr>
            <w:tcW w:w="8522" w:type="dxa"/>
          </w:tcPr>
          <w:p w14:paraId="38414120" w14:textId="77777777" w:rsidR="00872C03" w:rsidRPr="00883399" w:rsidRDefault="00872C03" w:rsidP="0031057E">
            <w:pPr>
              <w:pStyle w:val="Default"/>
              <w:spacing w:before="120"/>
              <w:rPr>
                <w:rFonts w:ascii="Times New Roman" w:hAnsi="Times New Roman" w:cs="Times New Roman"/>
              </w:rPr>
            </w:pPr>
            <w:r w:rsidRPr="00883399">
              <w:rPr>
                <w:rFonts w:ascii="Times New Roman" w:hAnsi="Times New Roman" w:cs="Times New Roman"/>
              </w:rPr>
              <w:t xml:space="preserve">Step 1. Estimate the quantity of solid fuel in the stockpile by: </w:t>
            </w:r>
          </w:p>
          <w:p w14:paraId="3A6C2983" w14:textId="77777777" w:rsidR="00872C03" w:rsidRPr="00883399" w:rsidRDefault="00872C03" w:rsidP="0031057E">
            <w:pPr>
              <w:autoSpaceDE w:val="0"/>
              <w:autoSpaceDN w:val="0"/>
              <w:adjustRightInd w:val="0"/>
              <w:spacing w:before="120"/>
              <w:ind w:left="720"/>
              <w:rPr>
                <w:color w:val="000000"/>
              </w:rPr>
            </w:pPr>
            <w:r w:rsidRPr="00883399">
              <w:rPr>
                <w:color w:val="000000"/>
              </w:rPr>
              <w:t xml:space="preserve">(a) working out the volume of the solid fuel in the stockpile using aerial or general survey in accordance with industry practice; and </w:t>
            </w:r>
          </w:p>
          <w:p w14:paraId="62816BF7" w14:textId="77777777" w:rsidR="00872C03" w:rsidRPr="00883399" w:rsidRDefault="00872C03" w:rsidP="0031057E">
            <w:pPr>
              <w:autoSpaceDE w:val="0"/>
              <w:autoSpaceDN w:val="0"/>
              <w:adjustRightInd w:val="0"/>
              <w:spacing w:before="120"/>
              <w:ind w:left="720"/>
              <w:rPr>
                <w:color w:val="000000"/>
              </w:rPr>
            </w:pPr>
            <w:r w:rsidRPr="00883399">
              <w:rPr>
                <w:color w:val="000000"/>
              </w:rPr>
              <w:t xml:space="preserve">(b) measuring the bulk density of the stockpile in accordance with subregulation (3). </w:t>
            </w:r>
          </w:p>
          <w:p w14:paraId="1A17D9B8" w14:textId="77777777" w:rsidR="00872C03" w:rsidRPr="00883399" w:rsidRDefault="00872C03" w:rsidP="0031057E">
            <w:pPr>
              <w:autoSpaceDE w:val="0"/>
              <w:autoSpaceDN w:val="0"/>
              <w:adjustRightInd w:val="0"/>
              <w:spacing w:before="120"/>
              <w:ind w:left="720" w:hanging="720"/>
              <w:rPr>
                <w:color w:val="000000"/>
              </w:rPr>
            </w:pPr>
            <w:r w:rsidRPr="00883399">
              <w:rPr>
                <w:color w:val="000000"/>
              </w:rPr>
              <w:t xml:space="preserve">Step 2. Replace the current book quantity with the quantity estimated under step 1. </w:t>
            </w:r>
          </w:p>
          <w:p w14:paraId="20082C68" w14:textId="77777777" w:rsidR="00872C03" w:rsidRPr="00883399" w:rsidRDefault="00872C03" w:rsidP="0031057E">
            <w:pPr>
              <w:autoSpaceDE w:val="0"/>
              <w:autoSpaceDN w:val="0"/>
              <w:adjustRightInd w:val="0"/>
              <w:spacing w:before="120"/>
              <w:rPr>
                <w:color w:val="000000"/>
              </w:rPr>
            </w:pPr>
            <w:r w:rsidRPr="00883399">
              <w:rPr>
                <w:color w:val="000000"/>
              </w:rPr>
              <w:t xml:space="preserve">Step 3. Maintain the book quantity replaced under step 2 by: </w:t>
            </w:r>
          </w:p>
          <w:p w14:paraId="749C4CF9" w14:textId="77777777" w:rsidR="00872C03" w:rsidRPr="00883399" w:rsidRDefault="00872C03" w:rsidP="0031057E">
            <w:pPr>
              <w:autoSpaceDE w:val="0"/>
              <w:autoSpaceDN w:val="0"/>
              <w:adjustRightInd w:val="0"/>
              <w:spacing w:before="120"/>
              <w:ind w:left="720"/>
              <w:rPr>
                <w:color w:val="000000"/>
              </w:rPr>
            </w:pPr>
            <w:r w:rsidRPr="00883399">
              <w:rPr>
                <w:color w:val="000000"/>
              </w:rPr>
              <w:t xml:space="preserve">(a) adding deliveries made during the year, using: </w:t>
            </w:r>
          </w:p>
          <w:p w14:paraId="2B41D954" w14:textId="77777777" w:rsidR="00872C03" w:rsidRPr="00883399" w:rsidRDefault="00872C03" w:rsidP="0031057E">
            <w:pPr>
              <w:autoSpaceDE w:val="0"/>
              <w:autoSpaceDN w:val="0"/>
              <w:adjustRightInd w:val="0"/>
              <w:spacing w:before="120"/>
              <w:ind w:left="1440"/>
            </w:pPr>
            <w:r w:rsidRPr="00883399">
              <w:rPr>
                <w:color w:val="000000"/>
              </w:rPr>
              <w:t xml:space="preserve">(i) invoices received for solid fuel delivered to the </w:t>
            </w:r>
          </w:p>
          <w:p w14:paraId="183B4283" w14:textId="77777777" w:rsidR="00872C03" w:rsidRPr="00883399" w:rsidRDefault="00872C03" w:rsidP="0031057E">
            <w:pPr>
              <w:autoSpaceDE w:val="0"/>
              <w:autoSpaceDN w:val="0"/>
              <w:adjustRightInd w:val="0"/>
              <w:spacing w:before="120"/>
              <w:ind w:left="1440"/>
              <w:rPr>
                <w:color w:val="000000"/>
              </w:rPr>
            </w:pPr>
            <w:r w:rsidRPr="00883399">
              <w:rPr>
                <w:color w:val="000000"/>
              </w:rPr>
              <w:t xml:space="preserve">facility; or </w:t>
            </w:r>
          </w:p>
          <w:p w14:paraId="34734AA5" w14:textId="77777777" w:rsidR="00872C03" w:rsidRPr="00883399" w:rsidRDefault="00872C03" w:rsidP="0031057E">
            <w:pPr>
              <w:autoSpaceDE w:val="0"/>
              <w:autoSpaceDN w:val="0"/>
              <w:adjustRightInd w:val="0"/>
              <w:spacing w:before="120"/>
              <w:ind w:left="1440"/>
              <w:rPr>
                <w:color w:val="000000"/>
              </w:rPr>
            </w:pPr>
            <w:r w:rsidRPr="00883399">
              <w:rPr>
                <w:color w:val="000000"/>
              </w:rPr>
              <w:lastRenderedPageBreak/>
              <w:t xml:space="preserve">(ii) solid fuel sampling and measurements provided by measuring equipment calibrated to a measurement requirement; and </w:t>
            </w:r>
          </w:p>
          <w:p w14:paraId="4603787A" w14:textId="77777777" w:rsidR="00872C03" w:rsidRPr="00883399" w:rsidRDefault="00872C03" w:rsidP="0031057E">
            <w:pPr>
              <w:autoSpaceDE w:val="0"/>
              <w:autoSpaceDN w:val="0"/>
              <w:adjustRightInd w:val="0"/>
              <w:spacing w:before="120"/>
              <w:ind w:left="720"/>
              <w:rPr>
                <w:color w:val="000000"/>
              </w:rPr>
            </w:pPr>
            <w:r w:rsidRPr="00883399">
              <w:rPr>
                <w:color w:val="000000"/>
              </w:rPr>
              <w:t xml:space="preserve">(b) deducting from the amount calculated under paragraph (a), solid fuel consumed by the facility. </w:t>
            </w:r>
          </w:p>
          <w:p w14:paraId="0E31C6AD" w14:textId="77777777" w:rsidR="00872C03" w:rsidRPr="00883399" w:rsidRDefault="00872C03" w:rsidP="0031057E">
            <w:pPr>
              <w:spacing w:before="120"/>
              <w:ind w:left="709" w:hanging="709"/>
            </w:pPr>
            <w:r w:rsidRPr="00883399">
              <w:rPr>
                <w:color w:val="000000"/>
              </w:rPr>
              <w:t>Step 4. Use the book quantity maintained under step 3 to estimate the change in the quantity of the stockpile of the fuel.</w:t>
            </w:r>
          </w:p>
          <w:p w14:paraId="269F92F9" w14:textId="77777777" w:rsidR="00872C03" w:rsidRPr="00883399" w:rsidRDefault="00872C03" w:rsidP="0031057E">
            <w:pPr>
              <w:pStyle w:val="P1"/>
              <w:keepNext/>
              <w:ind w:left="0" w:firstLine="0"/>
              <w:rPr>
                <w:color w:val="000000"/>
              </w:rPr>
            </w:pPr>
          </w:p>
        </w:tc>
      </w:tr>
    </w:tbl>
    <w:p w14:paraId="79293842" w14:textId="77777777" w:rsidR="00872C03" w:rsidRPr="00883399" w:rsidRDefault="00872C03" w:rsidP="00872C03">
      <w:pPr>
        <w:pStyle w:val="P1"/>
        <w:keepNext/>
        <w:rPr>
          <w:color w:val="000000"/>
        </w:rPr>
      </w:pPr>
    </w:p>
    <w:tbl>
      <w:tblPr>
        <w:tblStyle w:val="TableGrid"/>
        <w:tblW w:w="0" w:type="auto"/>
        <w:tblInd w:w="720" w:type="dxa"/>
        <w:tblLook w:val="04A0" w:firstRow="1" w:lastRow="0" w:firstColumn="1" w:lastColumn="0" w:noHBand="0" w:noVBand="1"/>
      </w:tblPr>
      <w:tblGrid>
        <w:gridCol w:w="7583"/>
      </w:tblGrid>
      <w:tr w:rsidR="00872C03" w:rsidRPr="00883399" w14:paraId="75FD4E8D" w14:textId="77777777" w:rsidTr="0031057E">
        <w:tc>
          <w:tcPr>
            <w:tcW w:w="7802" w:type="dxa"/>
          </w:tcPr>
          <w:p w14:paraId="3D6047CB" w14:textId="77777777" w:rsidR="00872C03" w:rsidRPr="00883399" w:rsidRDefault="00872C03" w:rsidP="0031057E">
            <w:pPr>
              <w:pStyle w:val="R2"/>
              <w:jc w:val="left"/>
              <w:rPr>
                <w:sz w:val="20"/>
                <w:szCs w:val="20"/>
              </w:rPr>
            </w:pPr>
            <w:r w:rsidRPr="00883399">
              <w:rPr>
                <w:b/>
                <w:sz w:val="20"/>
                <w:szCs w:val="20"/>
              </w:rPr>
              <w:t>Example - Estimating coal consumption using the survey approach</w:t>
            </w:r>
          </w:p>
          <w:p w14:paraId="31AF0E7D" w14:textId="77777777" w:rsidR="00872C03" w:rsidRPr="00883399" w:rsidRDefault="00872C03" w:rsidP="0031057E">
            <w:pPr>
              <w:spacing w:before="120" w:line="260" w:lineRule="exact"/>
              <w:rPr>
                <w:color w:val="000000"/>
                <w:sz w:val="20"/>
                <w:szCs w:val="20"/>
              </w:rPr>
            </w:pPr>
          </w:p>
          <w:p w14:paraId="23CB9FCA" w14:textId="77777777" w:rsidR="00872C03" w:rsidRPr="00883399" w:rsidRDefault="00872C03" w:rsidP="0031057E">
            <w:pPr>
              <w:rPr>
                <w:color w:val="000000"/>
                <w:sz w:val="20"/>
                <w:szCs w:val="20"/>
              </w:rPr>
            </w:pPr>
            <w:r w:rsidRPr="00883399">
              <w:rPr>
                <w:color w:val="000000"/>
                <w:sz w:val="20"/>
                <w:szCs w:val="20"/>
              </w:rPr>
              <w:t xml:space="preserve">A facility reports consumption of sub-bituminous coal using the survey approach under criteria AA. </w:t>
            </w:r>
          </w:p>
          <w:p w14:paraId="55BDBBB5" w14:textId="77777777" w:rsidR="00872C03" w:rsidRPr="00883399" w:rsidRDefault="00872C03" w:rsidP="0031057E">
            <w:pPr>
              <w:rPr>
                <w:color w:val="000000"/>
                <w:sz w:val="20"/>
                <w:szCs w:val="20"/>
              </w:rPr>
            </w:pPr>
            <w:r w:rsidRPr="00883399">
              <w:rPr>
                <w:color w:val="000000"/>
                <w:sz w:val="20"/>
                <w:szCs w:val="20"/>
              </w:rPr>
              <w:t>Step 1: At 2pm on 27 June, near the end of the reporting year, the facility measures the bulk density of the stockpile and estimates the volume of solid fuel in the stockpile. The resulting estimate is a stockpile of 52,000 tonnes of sub-bituminous coal.</w:t>
            </w:r>
          </w:p>
          <w:p w14:paraId="6AD6F8DA" w14:textId="77777777" w:rsidR="00872C03" w:rsidRPr="00883399" w:rsidRDefault="00872C03" w:rsidP="0031057E">
            <w:pPr>
              <w:rPr>
                <w:color w:val="000000"/>
                <w:sz w:val="20"/>
                <w:szCs w:val="20"/>
              </w:rPr>
            </w:pPr>
            <w:r w:rsidRPr="00883399">
              <w:rPr>
                <w:color w:val="000000"/>
                <w:sz w:val="20"/>
                <w:szCs w:val="20"/>
              </w:rPr>
              <w:t>Step 2: The current book value is now 52,000 tonnes.</w:t>
            </w:r>
          </w:p>
          <w:p w14:paraId="5415A4D3" w14:textId="77777777" w:rsidR="00872C03" w:rsidRPr="00883399" w:rsidRDefault="00872C03" w:rsidP="0031057E">
            <w:pPr>
              <w:rPr>
                <w:color w:val="000000"/>
                <w:sz w:val="20"/>
                <w:szCs w:val="20"/>
              </w:rPr>
            </w:pPr>
            <w:r w:rsidRPr="00883399">
              <w:rPr>
                <w:color w:val="000000"/>
                <w:sz w:val="20"/>
                <w:szCs w:val="20"/>
              </w:rPr>
              <w:t xml:space="preserve">Step 3: </w:t>
            </w:r>
          </w:p>
          <w:p w14:paraId="5D612691" w14:textId="77777777" w:rsidR="00872C03" w:rsidRPr="00883399" w:rsidRDefault="00872C03" w:rsidP="00872C03">
            <w:pPr>
              <w:pStyle w:val="ListParagraph"/>
              <w:numPr>
                <w:ilvl w:val="0"/>
                <w:numId w:val="66"/>
              </w:numPr>
              <w:rPr>
                <w:color w:val="000000"/>
                <w:sz w:val="20"/>
                <w:szCs w:val="20"/>
              </w:rPr>
            </w:pPr>
            <w:r w:rsidRPr="00883399">
              <w:rPr>
                <w:color w:val="000000"/>
                <w:sz w:val="20"/>
                <w:szCs w:val="20"/>
              </w:rPr>
              <w:t>On 28 June a delivery of 21,530 tonnes is received by train and on 30 June a delivery of 25,690 tonnes is received by train.  The deliveries are evidenced by invoices.</w:t>
            </w:r>
          </w:p>
          <w:p w14:paraId="73116270" w14:textId="77777777" w:rsidR="00872C03" w:rsidRPr="00883399" w:rsidRDefault="00872C03" w:rsidP="00872C03">
            <w:pPr>
              <w:pStyle w:val="ListParagraph"/>
              <w:numPr>
                <w:ilvl w:val="0"/>
                <w:numId w:val="66"/>
              </w:numPr>
              <w:rPr>
                <w:color w:val="000000"/>
                <w:sz w:val="20"/>
                <w:szCs w:val="20"/>
              </w:rPr>
            </w:pPr>
            <w:r w:rsidRPr="00883399">
              <w:rPr>
                <w:color w:val="000000"/>
                <w:sz w:val="20"/>
                <w:szCs w:val="20"/>
              </w:rPr>
              <w:t>Sub bituminous coal consumption from 2pm-midnight on 27 June was estimated to be 6,543 tonnes. Consumption was estimated to be 15,128, 16,425 and 15,303 tonnes on 28, 29 and 30 June respectively. Fuel consumption was estimated based on the measured ‘as fired’ belt weigher readings adjusted for stocks held in unit bunkers.</w:t>
            </w:r>
          </w:p>
          <w:p w14:paraId="7CFA53C0" w14:textId="77777777" w:rsidR="00872C03" w:rsidRPr="00883399" w:rsidRDefault="00872C03" w:rsidP="0031057E">
            <w:pPr>
              <w:ind w:left="698"/>
              <w:rPr>
                <w:color w:val="000000"/>
                <w:sz w:val="20"/>
                <w:szCs w:val="20"/>
              </w:rPr>
            </w:pPr>
            <w:r w:rsidRPr="00883399">
              <w:rPr>
                <w:color w:val="000000"/>
                <w:sz w:val="20"/>
                <w:szCs w:val="20"/>
              </w:rPr>
              <w:t>The book value as at 30 June is = Book value reported at step 2 + deliveries – fuel    consumed.</w:t>
            </w:r>
          </w:p>
          <w:p w14:paraId="2A6BF0B3" w14:textId="77777777" w:rsidR="00872C03" w:rsidRPr="00883399" w:rsidRDefault="00872C03" w:rsidP="0031057E">
            <w:pPr>
              <w:ind w:left="720"/>
              <w:rPr>
                <w:color w:val="000000"/>
                <w:sz w:val="20"/>
                <w:szCs w:val="20"/>
              </w:rPr>
            </w:pPr>
            <w:r w:rsidRPr="00883399">
              <w:rPr>
                <w:color w:val="000000"/>
                <w:sz w:val="20"/>
                <w:szCs w:val="20"/>
              </w:rPr>
              <w:lastRenderedPageBreak/>
              <w:t>The book value as at 30 June is = 52,000 + 21,530 + 25,690 – 6,543 – 15,128 – 16,425 – 15,303 = 45,821 tonnes of sub-bituminous coal.</w:t>
            </w:r>
          </w:p>
          <w:p w14:paraId="09FDD7ED" w14:textId="77777777" w:rsidR="00872C03" w:rsidRPr="00883399" w:rsidRDefault="00872C03" w:rsidP="0031057E">
            <w:pPr>
              <w:rPr>
                <w:color w:val="000000"/>
                <w:sz w:val="20"/>
                <w:szCs w:val="20"/>
              </w:rPr>
            </w:pPr>
            <w:r w:rsidRPr="00883399">
              <w:rPr>
                <w:color w:val="000000"/>
                <w:sz w:val="20"/>
                <w:szCs w:val="20"/>
              </w:rPr>
              <w:t>Step 4:</w:t>
            </w:r>
          </w:p>
          <w:p w14:paraId="6A514ADB" w14:textId="77777777" w:rsidR="00872C03" w:rsidRPr="00883399" w:rsidRDefault="00872C03" w:rsidP="0031057E">
            <w:pPr>
              <w:rPr>
                <w:color w:val="000000"/>
                <w:sz w:val="20"/>
                <w:szCs w:val="20"/>
              </w:rPr>
            </w:pPr>
            <w:r w:rsidRPr="00883399">
              <w:rPr>
                <w:color w:val="000000"/>
                <w:sz w:val="20"/>
                <w:szCs w:val="20"/>
              </w:rPr>
              <w:t>The book value at the end of the reporting period is 45,821 tonnes. This value is used to estimate the change in the quantity of the stockpile of the fuel over the reporting year.</w:t>
            </w:r>
          </w:p>
          <w:p w14:paraId="4BB19065" w14:textId="77777777" w:rsidR="00872C03" w:rsidRPr="00883399" w:rsidRDefault="00872C03" w:rsidP="0031057E">
            <w:pPr>
              <w:pStyle w:val="R2"/>
              <w:ind w:left="0" w:firstLine="0"/>
              <w:jc w:val="left"/>
              <w:rPr>
                <w:b/>
                <w:sz w:val="20"/>
                <w:szCs w:val="20"/>
              </w:rPr>
            </w:pPr>
          </w:p>
        </w:tc>
      </w:tr>
    </w:tbl>
    <w:p w14:paraId="11BB6B97" w14:textId="77777777" w:rsidR="00872C03" w:rsidRPr="00883399" w:rsidRDefault="00872C03" w:rsidP="00872C03">
      <w:pPr>
        <w:pStyle w:val="subsection"/>
        <w:rPr>
          <w:sz w:val="24"/>
        </w:rPr>
      </w:pPr>
      <w:r w:rsidRPr="00883399">
        <w:rPr>
          <w:sz w:val="24"/>
        </w:rPr>
        <w:lastRenderedPageBreak/>
        <w:tab/>
      </w:r>
    </w:p>
    <w:p w14:paraId="5E1B36C7" w14:textId="77777777" w:rsidR="00872C03" w:rsidRPr="00883399" w:rsidRDefault="00872C03" w:rsidP="00872C03">
      <w:pPr>
        <w:pStyle w:val="subsection"/>
        <w:rPr>
          <w:sz w:val="24"/>
        </w:rPr>
      </w:pPr>
      <w:r w:rsidRPr="00883399">
        <w:rPr>
          <w:sz w:val="24"/>
        </w:rPr>
        <w:t>(2D)</w:t>
      </w:r>
      <w:r w:rsidRPr="00883399">
        <w:rPr>
          <w:sz w:val="24"/>
        </w:rPr>
        <w:tab/>
        <w:t>The error allowance approach is as follows:</w:t>
      </w:r>
    </w:p>
    <w:p w14:paraId="55114F9A" w14:textId="77777777" w:rsidR="00872C03" w:rsidRPr="00883399" w:rsidRDefault="00872C03" w:rsidP="00B50DBA">
      <w:pPr>
        <w:pStyle w:val="BoxStep"/>
        <w:pBdr>
          <w:left w:val="single" w:sz="6" w:space="28" w:color="auto"/>
        </w:pBdr>
        <w:rPr>
          <w:sz w:val="24"/>
        </w:rPr>
      </w:pPr>
      <w:r w:rsidRPr="00883399">
        <w:rPr>
          <w:sz w:val="24"/>
        </w:rPr>
        <w:t>Step 1.</w:t>
      </w:r>
      <w:r w:rsidRPr="00883399">
        <w:rPr>
          <w:sz w:val="24"/>
        </w:rPr>
        <w:tab/>
        <w:t>Estimate the quantity of the stockpile by:</w:t>
      </w:r>
    </w:p>
    <w:p w14:paraId="1427A296" w14:textId="77777777" w:rsidR="00872C03" w:rsidRPr="00883399" w:rsidRDefault="00872C03" w:rsidP="00B50DBA">
      <w:pPr>
        <w:pStyle w:val="BoxPara"/>
        <w:pBdr>
          <w:left w:val="single" w:sz="6" w:space="28" w:color="auto"/>
        </w:pBdr>
        <w:rPr>
          <w:sz w:val="24"/>
        </w:rPr>
      </w:pPr>
      <w:r w:rsidRPr="00883399">
        <w:rPr>
          <w:sz w:val="24"/>
        </w:rPr>
        <w:tab/>
        <w:t>(a)</w:t>
      </w:r>
      <w:r w:rsidRPr="00883399">
        <w:rPr>
          <w:sz w:val="24"/>
        </w:rPr>
        <w:tab/>
        <w:t>working out the volume of the solid fuel in the stockpile using aerial or general survey in accordance with industry practice; and</w:t>
      </w:r>
    </w:p>
    <w:p w14:paraId="4F950D96" w14:textId="77777777" w:rsidR="00872C03" w:rsidRPr="00883399" w:rsidRDefault="00872C03" w:rsidP="00B50DBA">
      <w:pPr>
        <w:pStyle w:val="BoxPara"/>
        <w:pBdr>
          <w:left w:val="single" w:sz="6" w:space="28" w:color="auto"/>
        </w:pBdr>
        <w:rPr>
          <w:sz w:val="24"/>
        </w:rPr>
      </w:pPr>
      <w:r w:rsidRPr="00883399">
        <w:rPr>
          <w:sz w:val="24"/>
        </w:rPr>
        <w:tab/>
        <w:t>(b)</w:t>
      </w:r>
      <w:r w:rsidRPr="00883399">
        <w:rPr>
          <w:sz w:val="24"/>
        </w:rPr>
        <w:tab/>
        <w:t>measuring the bulk density of the stockpile in accordance with subregulation (3).</w:t>
      </w:r>
    </w:p>
    <w:p w14:paraId="24371D11" w14:textId="77777777" w:rsidR="00872C03" w:rsidRPr="00883399" w:rsidRDefault="00872C03" w:rsidP="00B50DBA">
      <w:pPr>
        <w:pStyle w:val="BoxStep"/>
        <w:pBdr>
          <w:left w:val="single" w:sz="6" w:space="28" w:color="auto"/>
        </w:pBdr>
        <w:rPr>
          <w:sz w:val="24"/>
        </w:rPr>
      </w:pPr>
      <w:r w:rsidRPr="00883399">
        <w:rPr>
          <w:sz w:val="24"/>
        </w:rPr>
        <w:t>Step 2.</w:t>
      </w:r>
      <w:r w:rsidRPr="00883399">
        <w:rPr>
          <w:sz w:val="24"/>
        </w:rPr>
        <w:tab/>
        <w:t>Estimate an error tolerance for the quantity of solid fuel in the stockpile. The error tolerance is an estimate of the uncertainty of the quantity of solid fuel in the stockpile and must be:</w:t>
      </w:r>
    </w:p>
    <w:p w14:paraId="7162EC64" w14:textId="77777777" w:rsidR="00872C03" w:rsidRPr="00883399" w:rsidRDefault="00872C03" w:rsidP="00B50DBA">
      <w:pPr>
        <w:pStyle w:val="BoxPara"/>
        <w:pBdr>
          <w:left w:val="single" w:sz="6" w:space="28" w:color="auto"/>
        </w:pBdr>
        <w:rPr>
          <w:sz w:val="24"/>
        </w:rPr>
      </w:pPr>
      <w:r w:rsidRPr="00883399">
        <w:rPr>
          <w:sz w:val="24"/>
        </w:rPr>
        <w:tab/>
        <w:t>(a)</w:t>
      </w:r>
      <w:r w:rsidRPr="00883399">
        <w:rPr>
          <w:sz w:val="24"/>
        </w:rPr>
        <w:tab/>
        <w:t>based on stockpile management practices at the facility and the uncertainty associated with the energy content and proportion of carbon in the solid fuel; and</w:t>
      </w:r>
    </w:p>
    <w:p w14:paraId="7B13A2A6" w14:textId="77777777" w:rsidR="00872C03" w:rsidRPr="00883399" w:rsidRDefault="00872C03" w:rsidP="00B50DBA">
      <w:pPr>
        <w:pStyle w:val="BoxPara"/>
        <w:pBdr>
          <w:left w:val="single" w:sz="6" w:space="28" w:color="auto"/>
        </w:pBdr>
        <w:rPr>
          <w:sz w:val="24"/>
        </w:rPr>
      </w:pPr>
      <w:r w:rsidRPr="00883399">
        <w:rPr>
          <w:sz w:val="24"/>
        </w:rPr>
        <w:tab/>
        <w:t>(b)</w:t>
      </w:r>
      <w:r w:rsidRPr="00883399">
        <w:rPr>
          <w:sz w:val="24"/>
        </w:rPr>
        <w:tab/>
        <w:t>consistent with the general principles in section 1.13; and</w:t>
      </w:r>
    </w:p>
    <w:p w14:paraId="3B53B0EB" w14:textId="77777777" w:rsidR="00872C03" w:rsidRPr="00883399" w:rsidRDefault="00872C03" w:rsidP="00B50DBA">
      <w:pPr>
        <w:pStyle w:val="BoxPara"/>
        <w:pBdr>
          <w:left w:val="single" w:sz="6" w:space="28" w:color="auto"/>
        </w:pBdr>
        <w:rPr>
          <w:sz w:val="24"/>
        </w:rPr>
      </w:pPr>
      <w:r w:rsidRPr="00883399">
        <w:rPr>
          <w:sz w:val="24"/>
        </w:rPr>
        <w:tab/>
        <w:t>(c)</w:t>
      </w:r>
      <w:r w:rsidRPr="00883399">
        <w:rPr>
          <w:sz w:val="24"/>
        </w:rPr>
        <w:tab/>
        <w:t>not more than 6% of the estimated value of the solid fuel in the stockpile worked out under step 1.</w:t>
      </w:r>
    </w:p>
    <w:p w14:paraId="14B6EF88" w14:textId="77777777" w:rsidR="00872C03" w:rsidRPr="00883399" w:rsidRDefault="00872C03" w:rsidP="00B50DBA">
      <w:pPr>
        <w:pStyle w:val="BoxStep"/>
        <w:pBdr>
          <w:left w:val="single" w:sz="6" w:space="28" w:color="auto"/>
        </w:pBdr>
        <w:rPr>
          <w:sz w:val="24"/>
        </w:rPr>
      </w:pPr>
      <w:r w:rsidRPr="00883399">
        <w:rPr>
          <w:sz w:val="24"/>
        </w:rPr>
        <w:t>Step 3.</w:t>
      </w:r>
      <w:r w:rsidRPr="00883399">
        <w:rPr>
          <w:sz w:val="24"/>
        </w:rPr>
        <w:tab/>
        <w:t>Work out the percentage difference between the current book quantity and the quantity of solid fuel in the stockpile estimated under step 1.</w:t>
      </w:r>
    </w:p>
    <w:p w14:paraId="490FE4CF" w14:textId="77777777" w:rsidR="00872C03" w:rsidRPr="00883399" w:rsidRDefault="00872C03" w:rsidP="00B50DBA">
      <w:pPr>
        <w:pStyle w:val="BoxStep"/>
        <w:pBdr>
          <w:left w:val="single" w:sz="6" w:space="28" w:color="auto"/>
        </w:pBdr>
        <w:rPr>
          <w:sz w:val="24"/>
        </w:rPr>
      </w:pPr>
      <w:r w:rsidRPr="00883399">
        <w:rPr>
          <w:sz w:val="24"/>
        </w:rPr>
        <w:t>Step 4.</w:t>
      </w:r>
      <w:r w:rsidRPr="00883399">
        <w:rPr>
          <w:sz w:val="24"/>
        </w:rPr>
        <w:tab/>
        <w:t>If the percentage difference worked out under step 3 is within the error tolerance worked out under step 2, use the book quantity to estimate the change in the quantity of the stockpile of the fuel.</w:t>
      </w:r>
    </w:p>
    <w:p w14:paraId="01C9C014" w14:textId="77777777" w:rsidR="00872C03" w:rsidRPr="00883399" w:rsidRDefault="00872C03" w:rsidP="00B50DBA">
      <w:pPr>
        <w:pStyle w:val="BoxStep"/>
        <w:pBdr>
          <w:left w:val="single" w:sz="6" w:space="28" w:color="auto"/>
        </w:pBdr>
        <w:rPr>
          <w:sz w:val="24"/>
        </w:rPr>
      </w:pPr>
      <w:r w:rsidRPr="00883399">
        <w:rPr>
          <w:sz w:val="24"/>
        </w:rPr>
        <w:t>Step 5.</w:t>
      </w:r>
      <w:r w:rsidRPr="00883399">
        <w:rPr>
          <w:sz w:val="24"/>
        </w:rPr>
        <w:tab/>
        <w:t>If the percentage difference worked out in step 3 is more than the error tolerance worked out in step 2:</w:t>
      </w:r>
    </w:p>
    <w:p w14:paraId="33DA81CE" w14:textId="77777777" w:rsidR="00872C03" w:rsidRPr="00883399" w:rsidRDefault="00872C03" w:rsidP="00B50DBA">
      <w:pPr>
        <w:pStyle w:val="BoxPara"/>
        <w:pBdr>
          <w:left w:val="single" w:sz="6" w:space="28" w:color="auto"/>
        </w:pBdr>
        <w:rPr>
          <w:sz w:val="24"/>
        </w:rPr>
      </w:pPr>
      <w:r w:rsidRPr="00883399">
        <w:rPr>
          <w:sz w:val="24"/>
        </w:rPr>
        <w:lastRenderedPageBreak/>
        <w:tab/>
        <w:t>(a)</w:t>
      </w:r>
      <w:r w:rsidRPr="00883399">
        <w:rPr>
          <w:sz w:val="24"/>
        </w:rPr>
        <w:tab/>
        <w:t>adjust the book quantity by the difference between the percentage worked out under step 3 and the error tolerance worked out under step 2; and</w:t>
      </w:r>
    </w:p>
    <w:p w14:paraId="60B27AB4" w14:textId="77777777" w:rsidR="00872C03" w:rsidRPr="00883399" w:rsidRDefault="00872C03" w:rsidP="00872C03">
      <w:pPr>
        <w:pStyle w:val="BoxPara"/>
        <w:rPr>
          <w:sz w:val="24"/>
        </w:rPr>
      </w:pPr>
      <w:r w:rsidRPr="00883399">
        <w:rPr>
          <w:sz w:val="24"/>
        </w:rPr>
        <w:tab/>
        <w:t>(b)</w:t>
      </w:r>
      <w:r w:rsidRPr="00883399">
        <w:rPr>
          <w:sz w:val="24"/>
        </w:rPr>
        <w:tab/>
        <w:t>use the book quantity adjusted under paragraph (a) to estimate the change in the quantity of the stockpile of the fuel.</w:t>
      </w:r>
    </w:p>
    <w:p w14:paraId="3A1A2515" w14:textId="77777777" w:rsidR="00872C03" w:rsidRPr="00883399" w:rsidRDefault="00872C03" w:rsidP="00872C03">
      <w:pPr>
        <w:pStyle w:val="subsection"/>
        <w:rPr>
          <w:sz w:val="24"/>
        </w:rPr>
      </w:pPr>
    </w:p>
    <w:p w14:paraId="180D5A5E" w14:textId="77777777" w:rsidR="00872C03" w:rsidRPr="00883399" w:rsidRDefault="00872C03" w:rsidP="00872C03">
      <w:pPr>
        <w:pStyle w:val="P1"/>
        <w:keepNext/>
        <w:ind w:left="993" w:hanging="567"/>
      </w:pPr>
    </w:p>
    <w:tbl>
      <w:tblPr>
        <w:tblStyle w:val="TableGrid"/>
        <w:tblW w:w="8080" w:type="dxa"/>
        <w:tblInd w:w="675" w:type="dxa"/>
        <w:tblLook w:val="04A0" w:firstRow="1" w:lastRow="0" w:firstColumn="1" w:lastColumn="0" w:noHBand="0" w:noVBand="1"/>
      </w:tblPr>
      <w:tblGrid>
        <w:gridCol w:w="8080"/>
      </w:tblGrid>
      <w:tr w:rsidR="00872C03" w:rsidRPr="00883399" w14:paraId="1FBFA8DC" w14:textId="77777777" w:rsidTr="0031057E">
        <w:tc>
          <w:tcPr>
            <w:tcW w:w="8080" w:type="dxa"/>
          </w:tcPr>
          <w:p w14:paraId="5350836A" w14:textId="77777777" w:rsidR="00872C03" w:rsidRPr="00883399" w:rsidRDefault="00872C03" w:rsidP="0031057E">
            <w:pPr>
              <w:pStyle w:val="R2"/>
              <w:jc w:val="left"/>
              <w:rPr>
                <w:sz w:val="20"/>
                <w:szCs w:val="20"/>
              </w:rPr>
            </w:pPr>
            <w:r w:rsidRPr="00883399">
              <w:rPr>
                <w:b/>
                <w:sz w:val="20"/>
                <w:szCs w:val="20"/>
              </w:rPr>
              <w:t>Example A</w:t>
            </w:r>
            <w:r w:rsidRPr="00883399" w:rsidDel="00525BB3">
              <w:rPr>
                <w:noProof/>
                <w:color w:val="000000"/>
              </w:rPr>
              <w:t xml:space="preserve"> </w:t>
            </w:r>
            <w:r w:rsidRPr="00883399">
              <w:rPr>
                <w:b/>
                <w:sz w:val="20"/>
                <w:szCs w:val="20"/>
              </w:rPr>
              <w:t xml:space="preserve"> Estimating coal consumption using the error allowance approach – stockpile estimate within error tollerence</w:t>
            </w:r>
          </w:p>
          <w:p w14:paraId="52CE6D59" w14:textId="77777777" w:rsidR="00872C03" w:rsidRPr="00883399" w:rsidRDefault="00872C03" w:rsidP="0031057E">
            <w:pPr>
              <w:spacing w:before="120" w:line="260" w:lineRule="exact"/>
              <w:rPr>
                <w:color w:val="000000"/>
                <w:sz w:val="20"/>
                <w:szCs w:val="20"/>
              </w:rPr>
            </w:pPr>
          </w:p>
          <w:p w14:paraId="5445C220" w14:textId="77777777" w:rsidR="00872C03" w:rsidRPr="00883399" w:rsidRDefault="00872C03" w:rsidP="0031057E">
            <w:pPr>
              <w:rPr>
                <w:color w:val="000000"/>
                <w:sz w:val="20"/>
                <w:szCs w:val="20"/>
              </w:rPr>
            </w:pPr>
            <w:r w:rsidRPr="00883399">
              <w:rPr>
                <w:color w:val="000000"/>
                <w:sz w:val="20"/>
                <w:szCs w:val="20"/>
              </w:rPr>
              <w:t>A facility reports consumption of sub-bituminous coal using the error allowance approach under criteria AA. The book quantity of the stockpile as at 2pm on 27 June is 51,917 tonnes.</w:t>
            </w:r>
          </w:p>
          <w:p w14:paraId="13353AD1" w14:textId="77777777" w:rsidR="00872C03" w:rsidRPr="00883399" w:rsidRDefault="00872C03" w:rsidP="0031057E">
            <w:pPr>
              <w:rPr>
                <w:color w:val="000000"/>
                <w:sz w:val="20"/>
                <w:szCs w:val="20"/>
              </w:rPr>
            </w:pPr>
          </w:p>
          <w:p w14:paraId="7C1E1AB2" w14:textId="77777777" w:rsidR="00872C03" w:rsidRPr="00883399" w:rsidRDefault="00872C03" w:rsidP="0031057E">
            <w:pPr>
              <w:rPr>
                <w:color w:val="000000"/>
                <w:sz w:val="20"/>
                <w:szCs w:val="20"/>
              </w:rPr>
            </w:pPr>
            <w:r w:rsidRPr="00883399">
              <w:rPr>
                <w:color w:val="000000"/>
                <w:sz w:val="20"/>
                <w:szCs w:val="20"/>
              </w:rPr>
              <w:t>Step 1: At 2pm on 27 June, near the end of the reporting year, the facility measures the bulk density of the stockpile and worked out the volume of solid fuel in the stockpile. The resulting estimate is a stockpile of 52,851 tonnes of sub-bituminous coal.</w:t>
            </w:r>
          </w:p>
          <w:p w14:paraId="29F31667" w14:textId="77777777" w:rsidR="00872C03" w:rsidRPr="00883399" w:rsidRDefault="00872C03" w:rsidP="0031057E">
            <w:pPr>
              <w:rPr>
                <w:color w:val="000000"/>
                <w:sz w:val="20"/>
                <w:szCs w:val="20"/>
              </w:rPr>
            </w:pPr>
          </w:p>
          <w:p w14:paraId="6DAF2B15" w14:textId="77777777" w:rsidR="00872C03" w:rsidRPr="00883399" w:rsidRDefault="00872C03" w:rsidP="0031057E">
            <w:pPr>
              <w:rPr>
                <w:color w:val="000000"/>
                <w:sz w:val="20"/>
                <w:szCs w:val="20"/>
              </w:rPr>
            </w:pPr>
            <w:r w:rsidRPr="00883399">
              <w:rPr>
                <w:color w:val="000000"/>
                <w:sz w:val="20"/>
                <w:szCs w:val="20"/>
              </w:rPr>
              <w:t>Step 2: The error tolerance for the stockpile at this facility is estimated to be 4%.</w:t>
            </w:r>
          </w:p>
          <w:p w14:paraId="7414B146" w14:textId="77777777" w:rsidR="00872C03" w:rsidRPr="00883399" w:rsidRDefault="00872C03" w:rsidP="0031057E">
            <w:pPr>
              <w:rPr>
                <w:color w:val="000000"/>
                <w:sz w:val="20"/>
                <w:szCs w:val="20"/>
              </w:rPr>
            </w:pPr>
          </w:p>
          <w:p w14:paraId="58E1B2F4" w14:textId="77777777" w:rsidR="00872C03" w:rsidRPr="00883399" w:rsidRDefault="00872C03" w:rsidP="0031057E">
            <w:pPr>
              <w:rPr>
                <w:color w:val="000000"/>
                <w:sz w:val="20"/>
                <w:szCs w:val="20"/>
              </w:rPr>
            </w:pPr>
            <w:r w:rsidRPr="00883399">
              <w:rPr>
                <w:color w:val="000000"/>
                <w:sz w:val="20"/>
                <w:szCs w:val="20"/>
              </w:rPr>
              <w:t xml:space="preserve">Step 3: The current book value is 51,917 tonnes and the quantity of sub-bituminous coal in the stockpile estimated under step 1 is estimated to be 52,851 tonnes. The difference between the two estimates is 1.8%. </w:t>
            </w:r>
            <w:r w:rsidRPr="00883399">
              <w:rPr>
                <w:color w:val="000000"/>
                <w:sz w:val="20"/>
                <w:szCs w:val="20"/>
              </w:rPr>
              <w:br/>
            </w:r>
          </w:p>
          <w:p w14:paraId="659B2377" w14:textId="77777777" w:rsidR="00872C03" w:rsidRPr="00883399" w:rsidRDefault="00872C03" w:rsidP="0031057E">
            <w:pPr>
              <w:rPr>
                <w:color w:val="000000"/>
                <w:sz w:val="20"/>
                <w:szCs w:val="20"/>
              </w:rPr>
            </w:pPr>
            <w:r w:rsidRPr="00883399">
              <w:rPr>
                <w:color w:val="000000"/>
                <w:sz w:val="20"/>
                <w:szCs w:val="20"/>
              </w:rPr>
              <w:t>Step 4: The difference worked out under step 3 is less than the error tolerance of 4%. Therefore the book value of is retained 51,917 tonnes is maintained.</w:t>
            </w:r>
          </w:p>
          <w:p w14:paraId="0BAC6A7E" w14:textId="77777777" w:rsidR="00872C03" w:rsidRPr="00883399" w:rsidRDefault="00872C03" w:rsidP="0031057E">
            <w:pPr>
              <w:rPr>
                <w:color w:val="000000"/>
                <w:sz w:val="20"/>
                <w:szCs w:val="20"/>
              </w:rPr>
            </w:pPr>
          </w:p>
          <w:p w14:paraId="707E2A94" w14:textId="77777777" w:rsidR="00872C03" w:rsidRPr="00883399" w:rsidRDefault="00872C03" w:rsidP="0031057E">
            <w:pPr>
              <w:rPr>
                <w:color w:val="000000"/>
                <w:sz w:val="20"/>
                <w:szCs w:val="20"/>
              </w:rPr>
            </w:pPr>
            <w:r w:rsidRPr="00883399">
              <w:rPr>
                <w:color w:val="000000"/>
                <w:sz w:val="20"/>
                <w:szCs w:val="20"/>
              </w:rPr>
              <w:t>On 28 June a delivery of 21,530 tonnes is received by train and on 30 June a delivery of 25,690 tonnes is received by train.  The deliveries are evidenced by invoices.</w:t>
            </w:r>
          </w:p>
          <w:p w14:paraId="3334628F" w14:textId="77777777" w:rsidR="00872C03" w:rsidRPr="00883399" w:rsidRDefault="00872C03" w:rsidP="0031057E">
            <w:pPr>
              <w:rPr>
                <w:color w:val="000000"/>
                <w:sz w:val="20"/>
                <w:szCs w:val="20"/>
              </w:rPr>
            </w:pPr>
            <w:r w:rsidRPr="00883399">
              <w:rPr>
                <w:color w:val="000000"/>
                <w:sz w:val="20"/>
                <w:szCs w:val="20"/>
              </w:rPr>
              <w:lastRenderedPageBreak/>
              <w:t>Sub bituminous coal consumption from 2pm-midnight on 27 June was estimated to be 6,543 tonnes. Consumption was estimated to be 15,128, 16,425 and 15,303 tonnes on 28, 29 and 30 June respectively. Fuel consumption was estimated based on the measured ‘as fired’ belt weigher readings adjusted for stocks held in unit bunkers.</w:t>
            </w:r>
          </w:p>
          <w:p w14:paraId="7BB5C5E9" w14:textId="77777777" w:rsidR="00872C03" w:rsidRPr="00883399" w:rsidRDefault="00872C03" w:rsidP="0031057E">
            <w:pPr>
              <w:rPr>
                <w:color w:val="000000"/>
                <w:sz w:val="20"/>
                <w:szCs w:val="20"/>
              </w:rPr>
            </w:pPr>
            <w:r w:rsidRPr="00883399">
              <w:rPr>
                <w:color w:val="000000"/>
                <w:sz w:val="20"/>
                <w:szCs w:val="20"/>
              </w:rPr>
              <w:t>The book value as at 30 June is = Book value as at 2pm on 27 June + deliveries – fuel consumed.</w:t>
            </w:r>
          </w:p>
          <w:p w14:paraId="0776842B" w14:textId="77777777" w:rsidR="00872C03" w:rsidRPr="00883399" w:rsidRDefault="00872C03" w:rsidP="0031057E">
            <w:pPr>
              <w:rPr>
                <w:color w:val="000000"/>
                <w:sz w:val="20"/>
                <w:szCs w:val="20"/>
              </w:rPr>
            </w:pPr>
            <w:r w:rsidRPr="00883399">
              <w:rPr>
                <w:color w:val="000000"/>
                <w:sz w:val="20"/>
                <w:szCs w:val="20"/>
              </w:rPr>
              <w:t>The book value as at 30 June is = 51,917 + 21,530 + 25,690 – 6,543 – 15,128 – 16,425 – 15,303 = 45,738 tonnes of sub-bituminous coal.</w:t>
            </w:r>
          </w:p>
          <w:p w14:paraId="68B9174C" w14:textId="77777777" w:rsidR="00872C03" w:rsidRPr="00883399" w:rsidRDefault="00872C03" w:rsidP="0031057E">
            <w:pPr>
              <w:rPr>
                <w:color w:val="000000"/>
                <w:sz w:val="20"/>
                <w:szCs w:val="20"/>
              </w:rPr>
            </w:pPr>
            <w:r w:rsidRPr="00883399">
              <w:rPr>
                <w:color w:val="000000"/>
                <w:sz w:val="20"/>
                <w:szCs w:val="20"/>
              </w:rPr>
              <w:t>The book value at the end of the reporting period is 45,738 tonnes. This value is used to estimate the change in the quantity of the stockpile of the fuel over the reporting year.</w:t>
            </w:r>
          </w:p>
        </w:tc>
      </w:tr>
    </w:tbl>
    <w:p w14:paraId="16BDC921" w14:textId="77777777" w:rsidR="00872C03" w:rsidRPr="00883399" w:rsidRDefault="00872C03" w:rsidP="00872C03">
      <w:pPr>
        <w:pStyle w:val="subsection"/>
        <w:rPr>
          <w:sz w:val="24"/>
        </w:rPr>
      </w:pPr>
    </w:p>
    <w:tbl>
      <w:tblPr>
        <w:tblStyle w:val="TableGrid"/>
        <w:tblW w:w="8080" w:type="dxa"/>
        <w:tblInd w:w="675" w:type="dxa"/>
        <w:tblLook w:val="04A0" w:firstRow="1" w:lastRow="0" w:firstColumn="1" w:lastColumn="0" w:noHBand="0" w:noVBand="1"/>
      </w:tblPr>
      <w:tblGrid>
        <w:gridCol w:w="8080"/>
      </w:tblGrid>
      <w:tr w:rsidR="00872C03" w:rsidRPr="00883399" w14:paraId="5D30EAE3" w14:textId="77777777" w:rsidTr="0031057E">
        <w:trPr>
          <w:trHeight w:val="3723"/>
        </w:trPr>
        <w:tc>
          <w:tcPr>
            <w:tcW w:w="7847" w:type="dxa"/>
          </w:tcPr>
          <w:p w14:paraId="09D9BC3A" w14:textId="77777777" w:rsidR="00872C03" w:rsidRPr="00883399" w:rsidRDefault="00872C03" w:rsidP="0031057E">
            <w:pPr>
              <w:pStyle w:val="R2"/>
              <w:jc w:val="left"/>
              <w:rPr>
                <w:sz w:val="20"/>
                <w:szCs w:val="20"/>
              </w:rPr>
            </w:pPr>
            <w:r w:rsidRPr="00883399">
              <w:rPr>
                <w:b/>
                <w:sz w:val="20"/>
                <w:szCs w:val="20"/>
              </w:rPr>
              <w:t>Example B</w:t>
            </w:r>
            <w:r w:rsidRPr="00883399" w:rsidDel="00525BB3">
              <w:rPr>
                <w:noProof/>
                <w:color w:val="000000"/>
              </w:rPr>
              <w:t xml:space="preserve"> </w:t>
            </w:r>
            <w:r w:rsidRPr="00883399">
              <w:rPr>
                <w:b/>
                <w:sz w:val="20"/>
                <w:szCs w:val="20"/>
              </w:rPr>
              <w:t>Estimating coal consumption using the error allowance approach - stockpile estimate greater then error tollerence</w:t>
            </w:r>
          </w:p>
          <w:p w14:paraId="0116AA42" w14:textId="77777777" w:rsidR="00872C03" w:rsidRPr="00883399" w:rsidRDefault="00872C03" w:rsidP="0031057E">
            <w:pPr>
              <w:spacing w:before="120" w:line="260" w:lineRule="exact"/>
              <w:rPr>
                <w:color w:val="000000"/>
                <w:sz w:val="20"/>
                <w:szCs w:val="20"/>
              </w:rPr>
            </w:pPr>
          </w:p>
          <w:p w14:paraId="5D8E4765" w14:textId="77777777" w:rsidR="00872C03" w:rsidRPr="00883399" w:rsidRDefault="00872C03" w:rsidP="0031057E">
            <w:pPr>
              <w:rPr>
                <w:color w:val="000000"/>
                <w:sz w:val="20"/>
                <w:szCs w:val="20"/>
              </w:rPr>
            </w:pPr>
            <w:r w:rsidRPr="00883399">
              <w:rPr>
                <w:color w:val="000000"/>
                <w:sz w:val="20"/>
                <w:szCs w:val="20"/>
              </w:rPr>
              <w:t>A facility reports consumption of sub-bituminous coal using the error allowance approach under criteria AA. The book quantity of the stockpile as at 2pm on 27June is 51,917 tonnes.</w:t>
            </w:r>
          </w:p>
          <w:p w14:paraId="3655C7FB" w14:textId="77777777" w:rsidR="00872C03" w:rsidRPr="00883399" w:rsidRDefault="00872C03" w:rsidP="0031057E">
            <w:pPr>
              <w:rPr>
                <w:color w:val="000000"/>
                <w:sz w:val="20"/>
                <w:szCs w:val="20"/>
              </w:rPr>
            </w:pPr>
          </w:p>
          <w:p w14:paraId="13E5C8C5" w14:textId="77777777" w:rsidR="00872C03" w:rsidRPr="00883399" w:rsidRDefault="00872C03" w:rsidP="0031057E">
            <w:pPr>
              <w:rPr>
                <w:color w:val="000000"/>
                <w:sz w:val="20"/>
                <w:szCs w:val="20"/>
              </w:rPr>
            </w:pPr>
            <w:r w:rsidRPr="00883399">
              <w:rPr>
                <w:color w:val="000000"/>
                <w:sz w:val="20"/>
                <w:szCs w:val="20"/>
              </w:rPr>
              <w:t>Step 1: At 2pm on 27 June, near the end of the reporting year, the facility measures the bulk density of the stockpile and worked out the volume of solid fuel in the stockpile. The resulting estimate is a stockpile of 54,625 tonnes of sub-bituminous coal.</w:t>
            </w:r>
          </w:p>
          <w:p w14:paraId="7153E636" w14:textId="77777777" w:rsidR="00872C03" w:rsidRPr="00883399" w:rsidRDefault="00872C03" w:rsidP="0031057E">
            <w:pPr>
              <w:rPr>
                <w:color w:val="000000"/>
                <w:sz w:val="20"/>
                <w:szCs w:val="20"/>
              </w:rPr>
            </w:pPr>
          </w:p>
          <w:p w14:paraId="3AB38BBF" w14:textId="77777777" w:rsidR="00872C03" w:rsidRPr="00883399" w:rsidRDefault="00872C03" w:rsidP="0031057E">
            <w:pPr>
              <w:rPr>
                <w:color w:val="000000"/>
                <w:sz w:val="20"/>
                <w:szCs w:val="20"/>
              </w:rPr>
            </w:pPr>
            <w:r w:rsidRPr="00883399">
              <w:rPr>
                <w:color w:val="000000"/>
                <w:sz w:val="20"/>
                <w:szCs w:val="20"/>
              </w:rPr>
              <w:t>Step 2: The error tolerance for the stockpile at this facility is estimated to be 4%.</w:t>
            </w:r>
          </w:p>
          <w:p w14:paraId="1504E80B" w14:textId="77777777" w:rsidR="00872C03" w:rsidRPr="00883399" w:rsidRDefault="00872C03" w:rsidP="0031057E">
            <w:pPr>
              <w:rPr>
                <w:color w:val="000000"/>
                <w:sz w:val="20"/>
                <w:szCs w:val="20"/>
              </w:rPr>
            </w:pPr>
          </w:p>
          <w:p w14:paraId="7846B6AC" w14:textId="77777777" w:rsidR="00872C03" w:rsidRPr="00883399" w:rsidRDefault="00872C03" w:rsidP="0031057E">
            <w:pPr>
              <w:rPr>
                <w:color w:val="000000"/>
                <w:sz w:val="20"/>
                <w:szCs w:val="20"/>
              </w:rPr>
            </w:pPr>
            <w:r w:rsidRPr="00883399">
              <w:rPr>
                <w:color w:val="000000"/>
                <w:sz w:val="20"/>
                <w:szCs w:val="20"/>
              </w:rPr>
              <w:t xml:space="preserve">Step 3: The current book value is 51,917 tonnes and the quantity of sub-bituminous coal in the stockpile estimated under step 1 is estimated to be 54,625 tonnes. The stockpile estimate is 5.2% greater than the current book value. </w:t>
            </w:r>
            <w:r w:rsidRPr="00883399">
              <w:rPr>
                <w:color w:val="000000"/>
                <w:sz w:val="20"/>
                <w:szCs w:val="20"/>
              </w:rPr>
              <w:br/>
            </w:r>
          </w:p>
          <w:p w14:paraId="4BDAEC07" w14:textId="77777777" w:rsidR="00872C03" w:rsidRPr="00883399" w:rsidRDefault="00872C03" w:rsidP="0031057E">
            <w:pPr>
              <w:rPr>
                <w:color w:val="000000"/>
                <w:sz w:val="20"/>
                <w:szCs w:val="20"/>
              </w:rPr>
            </w:pPr>
            <w:r w:rsidRPr="00883399">
              <w:rPr>
                <w:color w:val="000000"/>
                <w:sz w:val="20"/>
                <w:szCs w:val="20"/>
              </w:rPr>
              <w:t xml:space="preserve">Step 4: Step 4 is not applicable because the difference worked out under step 3 is greater than the error tolerance of 4.0%. </w:t>
            </w:r>
          </w:p>
          <w:p w14:paraId="289DB903" w14:textId="77777777" w:rsidR="00872C03" w:rsidRPr="00883399" w:rsidRDefault="00872C03" w:rsidP="0031057E">
            <w:pPr>
              <w:rPr>
                <w:color w:val="000000"/>
                <w:sz w:val="20"/>
                <w:szCs w:val="20"/>
              </w:rPr>
            </w:pPr>
          </w:p>
          <w:p w14:paraId="45CF7438" w14:textId="77777777" w:rsidR="00872C03" w:rsidRPr="00883399" w:rsidRDefault="00872C03" w:rsidP="0031057E">
            <w:pPr>
              <w:rPr>
                <w:color w:val="000000"/>
                <w:sz w:val="20"/>
                <w:szCs w:val="20"/>
              </w:rPr>
            </w:pPr>
            <w:r w:rsidRPr="00883399">
              <w:rPr>
                <w:color w:val="000000"/>
                <w:sz w:val="20"/>
                <w:szCs w:val="20"/>
              </w:rPr>
              <w:lastRenderedPageBreak/>
              <w:t>Step 5: The difference worked out under step 3 is greater than the error tolerance of 4%. Therefore the book value is adjusted by the difference between the percentage worked out under step 3 (5.2%) and the error tolerance worked out under step 2 (4.0%).</w:t>
            </w:r>
          </w:p>
          <w:p w14:paraId="42AA50CD" w14:textId="77777777" w:rsidR="00872C03" w:rsidRPr="00883399" w:rsidRDefault="00872C03" w:rsidP="0031057E">
            <w:pPr>
              <w:rPr>
                <w:color w:val="000000"/>
                <w:sz w:val="20"/>
                <w:szCs w:val="20"/>
              </w:rPr>
            </w:pPr>
          </w:p>
          <w:p w14:paraId="1AEA94C1" w14:textId="77777777" w:rsidR="00872C03" w:rsidRPr="00883399" w:rsidRDefault="00872C03" w:rsidP="0031057E">
            <w:pPr>
              <w:rPr>
                <w:color w:val="000000"/>
                <w:sz w:val="20"/>
                <w:szCs w:val="20"/>
              </w:rPr>
            </w:pPr>
            <w:r w:rsidRPr="00883399">
              <w:rPr>
                <w:color w:val="000000"/>
                <w:sz w:val="20"/>
                <w:szCs w:val="20"/>
              </w:rPr>
              <w:t>Revised book quantity = Current book value + Difference between estimated stockpile and the book value – error tolerance * book value</w:t>
            </w:r>
          </w:p>
          <w:p w14:paraId="34596025" w14:textId="77777777" w:rsidR="00872C03" w:rsidRPr="00883399" w:rsidRDefault="00872C03" w:rsidP="0031057E">
            <w:pPr>
              <w:rPr>
                <w:color w:val="000000"/>
                <w:sz w:val="20"/>
                <w:szCs w:val="20"/>
              </w:rPr>
            </w:pPr>
            <w:r w:rsidRPr="00883399">
              <w:rPr>
                <w:color w:val="000000"/>
                <w:sz w:val="20"/>
                <w:szCs w:val="20"/>
              </w:rPr>
              <w:t>Revised book quantity = 51,917 + (54,625-51,917) – (0.04 * 51,917) = 52,548 tonnes of sub-bituminous coal.</w:t>
            </w:r>
          </w:p>
          <w:p w14:paraId="63CA2F79" w14:textId="77777777" w:rsidR="00872C03" w:rsidRPr="00883399" w:rsidRDefault="00872C03" w:rsidP="0031057E">
            <w:pPr>
              <w:rPr>
                <w:color w:val="000000"/>
                <w:sz w:val="20"/>
                <w:szCs w:val="20"/>
              </w:rPr>
            </w:pPr>
            <w:r w:rsidRPr="00883399">
              <w:rPr>
                <w:color w:val="000000"/>
                <w:sz w:val="20"/>
                <w:szCs w:val="20"/>
              </w:rPr>
              <w:t>On 28 June a delivery of 21,530 tonnes is received by train and on 30 June a delivery of 25,690 tonnes is received by train.  The deliveries are evidenced by invoices.</w:t>
            </w:r>
          </w:p>
          <w:p w14:paraId="5E8C3276" w14:textId="77777777" w:rsidR="00872C03" w:rsidRPr="00883399" w:rsidRDefault="00872C03" w:rsidP="0031057E">
            <w:pPr>
              <w:rPr>
                <w:color w:val="000000"/>
                <w:sz w:val="20"/>
                <w:szCs w:val="20"/>
              </w:rPr>
            </w:pPr>
            <w:r w:rsidRPr="00883399">
              <w:rPr>
                <w:color w:val="000000"/>
                <w:sz w:val="20"/>
                <w:szCs w:val="20"/>
              </w:rPr>
              <w:t>Sub bituminous coal consumption from 2pm-midnight on 27 June was estimated to be 6,543 tonnes. Consumption was estimated to be 15,128, 16,425 and 15,303 tonnes on 28, 29 and 30 June respectively. Fuel consumption was estimated based on the measured ‘as fired’ belt weigher readings adjusted for stocks held in unit bunkers.</w:t>
            </w:r>
          </w:p>
          <w:p w14:paraId="4378BC39" w14:textId="77777777" w:rsidR="00872C03" w:rsidRPr="00883399" w:rsidRDefault="00872C03" w:rsidP="0031057E">
            <w:pPr>
              <w:rPr>
                <w:color w:val="000000"/>
                <w:sz w:val="20"/>
                <w:szCs w:val="20"/>
              </w:rPr>
            </w:pPr>
            <w:r w:rsidRPr="00883399">
              <w:rPr>
                <w:color w:val="000000"/>
                <w:sz w:val="20"/>
                <w:szCs w:val="20"/>
              </w:rPr>
              <w:t>The book value as at 30 June is = Book value as at 2pm on 27 June + deliveries – fuel consumed.</w:t>
            </w:r>
          </w:p>
          <w:p w14:paraId="09D9AB01" w14:textId="77777777" w:rsidR="00872C03" w:rsidRPr="00883399" w:rsidRDefault="00872C03" w:rsidP="0031057E">
            <w:pPr>
              <w:rPr>
                <w:color w:val="000000"/>
                <w:sz w:val="20"/>
                <w:szCs w:val="20"/>
              </w:rPr>
            </w:pPr>
            <w:r w:rsidRPr="00883399">
              <w:rPr>
                <w:color w:val="000000"/>
                <w:sz w:val="20"/>
                <w:szCs w:val="20"/>
              </w:rPr>
              <w:t>The book value as at 30 June is = 52,548 + 21,530 + 25,690 – 6,543 – 15,128 – 16,425 – 15,303 = 46,369 tonnes of sub-bituminous coal.</w:t>
            </w:r>
          </w:p>
          <w:p w14:paraId="7E820619" w14:textId="77777777" w:rsidR="00872C03" w:rsidRPr="00883399" w:rsidRDefault="00872C03" w:rsidP="0031057E">
            <w:pPr>
              <w:rPr>
                <w:color w:val="000000"/>
              </w:rPr>
            </w:pPr>
            <w:r w:rsidRPr="00883399">
              <w:rPr>
                <w:color w:val="000000"/>
                <w:sz w:val="20"/>
                <w:szCs w:val="20"/>
              </w:rPr>
              <w:t>The book value at the end of the reporting period is 46,369 tonnes of sub-bituminous coal. This value is used to estimate the change in the quantity of the stockpile of the fuel over the reporting year.</w:t>
            </w:r>
          </w:p>
        </w:tc>
      </w:tr>
    </w:tbl>
    <w:p w14:paraId="38AFDF68" w14:textId="77777777" w:rsidR="00872C03" w:rsidRPr="00883399" w:rsidRDefault="00872C03" w:rsidP="00872C03">
      <w:pPr>
        <w:pStyle w:val="subsection"/>
        <w:rPr>
          <w:sz w:val="24"/>
        </w:rPr>
      </w:pPr>
    </w:p>
    <w:p w14:paraId="4E1A638F" w14:textId="77777777" w:rsidR="00872C03" w:rsidRPr="00883399" w:rsidRDefault="00872C03" w:rsidP="00872C03">
      <w:pPr>
        <w:pStyle w:val="subsection"/>
        <w:rPr>
          <w:sz w:val="24"/>
        </w:rPr>
      </w:pPr>
      <w:r w:rsidRPr="00883399">
        <w:rPr>
          <w:sz w:val="24"/>
        </w:rPr>
        <w:tab/>
        <w:t>(3)</w:t>
      </w:r>
      <w:r w:rsidRPr="00883399">
        <w:rPr>
          <w:sz w:val="24"/>
        </w:rPr>
        <w:tab/>
        <w:t>The bulk density of the stockpile must be measured in accordance with:</w:t>
      </w:r>
    </w:p>
    <w:p w14:paraId="656A496D" w14:textId="77777777" w:rsidR="00872C03" w:rsidRPr="00883399" w:rsidRDefault="00872C03" w:rsidP="00872C03">
      <w:pPr>
        <w:pStyle w:val="paragraph"/>
        <w:rPr>
          <w:sz w:val="24"/>
        </w:rPr>
      </w:pPr>
      <w:r w:rsidRPr="00883399">
        <w:rPr>
          <w:sz w:val="24"/>
        </w:rPr>
        <w:tab/>
        <w:t>(a)</w:t>
      </w:r>
      <w:r w:rsidRPr="00883399">
        <w:rPr>
          <w:sz w:val="24"/>
        </w:rPr>
        <w:tab/>
        <w:t>the procedure in ASTM D/6347/D 6347M</w:t>
      </w:r>
      <w:r w:rsidRPr="00883399">
        <w:rPr>
          <w:sz w:val="24"/>
        </w:rPr>
        <w:noBreakHyphen/>
        <w:t>99; or</w:t>
      </w:r>
    </w:p>
    <w:p w14:paraId="398FCAB1" w14:textId="77777777" w:rsidR="00872C03" w:rsidRPr="00883399" w:rsidRDefault="00872C03" w:rsidP="00872C03">
      <w:pPr>
        <w:pStyle w:val="paragraph"/>
        <w:rPr>
          <w:sz w:val="24"/>
        </w:rPr>
      </w:pPr>
      <w:r w:rsidRPr="00883399">
        <w:rPr>
          <w:sz w:val="24"/>
        </w:rPr>
        <w:tab/>
        <w:t>(b)</w:t>
      </w:r>
      <w:r w:rsidRPr="00883399">
        <w:rPr>
          <w:sz w:val="24"/>
        </w:rPr>
        <w:tab/>
        <w:t>the following procedure:</w:t>
      </w:r>
    </w:p>
    <w:p w14:paraId="5C5FB7F3" w14:textId="77777777" w:rsidR="00B50DBA" w:rsidRPr="00883399" w:rsidRDefault="00B50DBA" w:rsidP="00872C03">
      <w:pPr>
        <w:pStyle w:val="paragraph"/>
        <w:rPr>
          <w:sz w:val="24"/>
        </w:rPr>
      </w:pPr>
    </w:p>
    <w:p w14:paraId="5F20C256" w14:textId="77777777" w:rsidR="00872C03" w:rsidRPr="00883399" w:rsidRDefault="00872C03" w:rsidP="00872C03">
      <w:pPr>
        <w:pStyle w:val="BoxStep"/>
        <w:spacing w:before="120"/>
        <w:rPr>
          <w:sz w:val="24"/>
        </w:rPr>
      </w:pPr>
      <w:r w:rsidRPr="00883399">
        <w:rPr>
          <w:sz w:val="24"/>
        </w:rPr>
        <w:t>Step 1</w:t>
      </w:r>
      <w:r w:rsidRPr="00883399">
        <w:rPr>
          <w:rFonts w:eastAsiaTheme="minorHAnsi"/>
          <w:sz w:val="24"/>
        </w:rPr>
        <w:tab/>
      </w:r>
      <w:r w:rsidRPr="00883399">
        <w:rPr>
          <w:sz w:val="24"/>
        </w:rPr>
        <w:t>If the mass of the stockpile:</w:t>
      </w:r>
    </w:p>
    <w:p w14:paraId="06CC4E03" w14:textId="77777777" w:rsidR="00872C03" w:rsidRPr="00883399" w:rsidRDefault="00872C03" w:rsidP="00872C03">
      <w:pPr>
        <w:pStyle w:val="BoxPara"/>
        <w:rPr>
          <w:sz w:val="24"/>
        </w:rPr>
      </w:pPr>
      <w:r w:rsidRPr="00883399">
        <w:rPr>
          <w:sz w:val="24"/>
        </w:rPr>
        <w:tab/>
        <w:t>(a)</w:t>
      </w:r>
      <w:r w:rsidRPr="00883399">
        <w:rPr>
          <w:sz w:val="24"/>
        </w:rPr>
        <w:tab/>
        <w:t>does not exceed 10% of the annual solid fuel combustion from the operation of a facility—extract a sample from the stockpile using a mechanical auger in accordance with ASTM D 4916</w:t>
      </w:r>
      <w:r w:rsidRPr="00883399">
        <w:rPr>
          <w:sz w:val="24"/>
        </w:rPr>
        <w:noBreakHyphen/>
        <w:t>89; or</w:t>
      </w:r>
    </w:p>
    <w:p w14:paraId="66D98ABA" w14:textId="77777777" w:rsidR="00872C03" w:rsidRPr="00883399" w:rsidRDefault="00872C03" w:rsidP="00872C03">
      <w:pPr>
        <w:pStyle w:val="BoxPara"/>
        <w:spacing w:before="120"/>
        <w:rPr>
          <w:sz w:val="24"/>
        </w:rPr>
      </w:pPr>
      <w:r w:rsidRPr="00883399">
        <w:rPr>
          <w:sz w:val="24"/>
        </w:rPr>
        <w:lastRenderedPageBreak/>
        <w:tab/>
        <w:t>(b)</w:t>
      </w:r>
      <w:r w:rsidRPr="00883399">
        <w:rPr>
          <w:sz w:val="24"/>
        </w:rPr>
        <w:tab/>
        <w:t>exceeds 10% of the annual solid fuel combustion — extract a sample from the stockpile by coring.</w:t>
      </w:r>
    </w:p>
    <w:p w14:paraId="42ABDFE8" w14:textId="77777777" w:rsidR="00872C03" w:rsidRPr="00883399" w:rsidRDefault="00872C03" w:rsidP="00872C03">
      <w:pPr>
        <w:pStyle w:val="BoxStep"/>
        <w:spacing w:before="120"/>
        <w:rPr>
          <w:sz w:val="24"/>
        </w:rPr>
      </w:pPr>
      <w:r w:rsidRPr="00883399">
        <w:rPr>
          <w:sz w:val="24"/>
        </w:rPr>
        <w:t>Step 2</w:t>
      </w:r>
      <w:r w:rsidRPr="00883399">
        <w:rPr>
          <w:rFonts w:eastAsiaTheme="minorHAnsi"/>
          <w:sz w:val="24"/>
        </w:rPr>
        <w:tab/>
      </w:r>
      <w:r w:rsidRPr="00883399">
        <w:rPr>
          <w:sz w:val="24"/>
        </w:rPr>
        <w:t>Weigh the mass of the sample extracted.</w:t>
      </w:r>
    </w:p>
    <w:p w14:paraId="56B9950E" w14:textId="77777777" w:rsidR="00872C03" w:rsidRPr="00883399" w:rsidRDefault="00872C03" w:rsidP="00872C03">
      <w:pPr>
        <w:pStyle w:val="BoxStep"/>
        <w:spacing w:before="120"/>
        <w:rPr>
          <w:sz w:val="24"/>
        </w:rPr>
      </w:pPr>
      <w:r w:rsidRPr="00883399">
        <w:rPr>
          <w:sz w:val="24"/>
        </w:rPr>
        <w:t>Step 3</w:t>
      </w:r>
      <w:r w:rsidRPr="00883399">
        <w:rPr>
          <w:rFonts w:eastAsiaTheme="minorHAnsi"/>
          <w:sz w:val="24"/>
        </w:rPr>
        <w:tab/>
      </w:r>
      <w:r w:rsidRPr="00883399">
        <w:rPr>
          <w:sz w:val="24"/>
        </w:rPr>
        <w:t>Measure the volume of the hole from which the sample has been extracted.</w:t>
      </w:r>
    </w:p>
    <w:p w14:paraId="289828C2" w14:textId="77777777" w:rsidR="00872C03" w:rsidRPr="00883399" w:rsidRDefault="00872C03" w:rsidP="00872C03">
      <w:pPr>
        <w:pStyle w:val="BoxStep"/>
        <w:spacing w:before="120"/>
        <w:rPr>
          <w:sz w:val="24"/>
        </w:rPr>
      </w:pPr>
      <w:r w:rsidRPr="00883399">
        <w:rPr>
          <w:sz w:val="24"/>
        </w:rPr>
        <w:t>Step 4</w:t>
      </w:r>
      <w:r w:rsidRPr="00883399">
        <w:rPr>
          <w:rFonts w:eastAsiaTheme="minorHAnsi"/>
          <w:sz w:val="24"/>
        </w:rPr>
        <w:tab/>
      </w:r>
      <w:r w:rsidRPr="00883399">
        <w:rPr>
          <w:sz w:val="24"/>
        </w:rPr>
        <w:t>Divide the mass obtained in step 2 by the volume measured in step 3.</w:t>
      </w:r>
    </w:p>
    <w:p w14:paraId="706058D0" w14:textId="77777777" w:rsidR="00872C03" w:rsidRPr="00883399" w:rsidRDefault="00872C03" w:rsidP="00872C03">
      <w:pPr>
        <w:pStyle w:val="Tabletext0"/>
        <w:rPr>
          <w:sz w:val="22"/>
        </w:rPr>
      </w:pPr>
    </w:p>
    <w:p w14:paraId="3B3C2890" w14:textId="77777777" w:rsidR="00872C03" w:rsidRPr="00883399" w:rsidRDefault="00872C03" w:rsidP="00872C03">
      <w:pPr>
        <w:pStyle w:val="subsection"/>
        <w:rPr>
          <w:sz w:val="24"/>
        </w:rPr>
      </w:pPr>
      <w:r w:rsidRPr="00883399">
        <w:rPr>
          <w:sz w:val="24"/>
        </w:rPr>
        <w:tab/>
        <w:t>(4)</w:t>
      </w:r>
      <w:r w:rsidRPr="00883399">
        <w:rPr>
          <w:sz w:val="24"/>
        </w:rPr>
        <w:tab/>
        <w:t>Quantities of solid fuel delivered for the facility must be evidenced by invoices issued by the vendor of the fuel.</w:t>
      </w:r>
    </w:p>
    <w:p w14:paraId="0DECDFAD" w14:textId="77777777" w:rsidR="00872C03" w:rsidRPr="00883399" w:rsidRDefault="00872C03" w:rsidP="00872C03">
      <w:pPr>
        <w:pStyle w:val="subsection"/>
        <w:rPr>
          <w:sz w:val="24"/>
        </w:rPr>
      </w:pPr>
      <w:r w:rsidRPr="00883399">
        <w:rPr>
          <w:sz w:val="24"/>
        </w:rPr>
        <w:tab/>
        <w:t>(5)</w:t>
      </w:r>
      <w:r w:rsidRPr="00883399">
        <w:rPr>
          <w:sz w:val="24"/>
        </w:rPr>
        <w:tab/>
        <w:t>In this section:</w:t>
      </w:r>
    </w:p>
    <w:p w14:paraId="534DAEA3" w14:textId="77777777" w:rsidR="00872C03" w:rsidRPr="00883399" w:rsidRDefault="00872C03" w:rsidP="00872C03">
      <w:pPr>
        <w:pStyle w:val="Definition0"/>
        <w:rPr>
          <w:sz w:val="24"/>
        </w:rPr>
      </w:pPr>
      <w:r w:rsidRPr="00883399">
        <w:rPr>
          <w:b/>
          <w:i/>
          <w:sz w:val="24"/>
        </w:rPr>
        <w:t xml:space="preserve">book quantity </w:t>
      </w:r>
      <w:r w:rsidRPr="00883399">
        <w:rPr>
          <w:sz w:val="24"/>
        </w:rPr>
        <w:t>means the quantity recorded and maintained by the facility operator as the quantity of solid fuel in the stockpile.</w:t>
      </w:r>
    </w:p>
    <w:p w14:paraId="6631854B" w14:textId="2340BF46" w:rsidR="00872C03" w:rsidRPr="00883399" w:rsidRDefault="00872C03" w:rsidP="00872C03">
      <w:pPr>
        <w:pStyle w:val="ActHead5"/>
        <w:rPr>
          <w:sz w:val="28"/>
        </w:rPr>
      </w:pPr>
      <w:bookmarkStart w:id="201" w:name="_Toc423516758"/>
      <w:bookmarkStart w:id="202" w:name="_Toc495652672"/>
      <w:r w:rsidRPr="00883399">
        <w:rPr>
          <w:rStyle w:val="CharSectno"/>
          <w:sz w:val="28"/>
        </w:rPr>
        <w:t>2.16</w:t>
      </w:r>
      <w:r w:rsidRPr="00883399">
        <w:rPr>
          <w:sz w:val="28"/>
        </w:rPr>
        <w:t xml:space="preserve">  Direct measurement at point of consumption—criterion AAA</w:t>
      </w:r>
      <w:bookmarkEnd w:id="201"/>
      <w:bookmarkEnd w:id="202"/>
    </w:p>
    <w:p w14:paraId="14D38589" w14:textId="77777777" w:rsidR="00872C03" w:rsidRPr="00883399" w:rsidRDefault="00872C03" w:rsidP="00872C03">
      <w:pPr>
        <w:pStyle w:val="subsection"/>
        <w:rPr>
          <w:sz w:val="24"/>
        </w:rPr>
      </w:pPr>
      <w:r w:rsidRPr="00883399">
        <w:rPr>
          <w:sz w:val="24"/>
        </w:rPr>
        <w:tab/>
        <w:t>(1)</w:t>
      </w:r>
      <w:r w:rsidRPr="00883399">
        <w:rPr>
          <w:sz w:val="24"/>
        </w:rPr>
        <w:tab/>
        <w:t>For paragraph 2.14(2)(c), criterion AAA is the measurement during a year of the solid fuel combusted from the operation of the facility.</w:t>
      </w:r>
    </w:p>
    <w:p w14:paraId="11B692D8" w14:textId="77777777" w:rsidR="00872C03" w:rsidRPr="00883399" w:rsidRDefault="00872C03" w:rsidP="00872C03">
      <w:pPr>
        <w:pStyle w:val="subsection"/>
        <w:rPr>
          <w:sz w:val="24"/>
        </w:rPr>
      </w:pPr>
      <w:r w:rsidRPr="00883399">
        <w:rPr>
          <w:sz w:val="24"/>
        </w:rPr>
        <w:tab/>
        <w:t>(2)</w:t>
      </w:r>
      <w:r w:rsidRPr="00883399">
        <w:rPr>
          <w:sz w:val="24"/>
        </w:rPr>
        <w:tab/>
        <w:t>The measurement must be carried out either:</w:t>
      </w:r>
    </w:p>
    <w:p w14:paraId="242C132E" w14:textId="77777777" w:rsidR="00872C03" w:rsidRPr="00883399" w:rsidRDefault="00872C03" w:rsidP="00872C03">
      <w:pPr>
        <w:pStyle w:val="paragraph"/>
        <w:rPr>
          <w:sz w:val="24"/>
        </w:rPr>
      </w:pPr>
      <w:r w:rsidRPr="00883399">
        <w:rPr>
          <w:sz w:val="24"/>
        </w:rPr>
        <w:tab/>
        <w:t>(a)</w:t>
      </w:r>
      <w:r w:rsidRPr="00883399">
        <w:rPr>
          <w:sz w:val="24"/>
        </w:rPr>
        <w:tab/>
        <w:t>at the point of combustion using measuring equipment calibrated to a measurement requirement; or</w:t>
      </w:r>
    </w:p>
    <w:p w14:paraId="49E893B7" w14:textId="77777777" w:rsidR="00872C03" w:rsidRPr="00883399" w:rsidRDefault="00872C03" w:rsidP="00872C03">
      <w:pPr>
        <w:pStyle w:val="paragraph"/>
        <w:rPr>
          <w:sz w:val="24"/>
        </w:rPr>
      </w:pPr>
      <w:r w:rsidRPr="00883399">
        <w:rPr>
          <w:sz w:val="24"/>
        </w:rPr>
        <w:tab/>
        <w:t>(b)</w:t>
      </w:r>
      <w:r w:rsidRPr="00883399">
        <w:rPr>
          <w:sz w:val="24"/>
        </w:rPr>
        <w:tab/>
        <w:t>at the point of sale using measuring equipment calibrated to a measurement requirement.</w:t>
      </w:r>
    </w:p>
    <w:p w14:paraId="7A77C2AC" w14:textId="77777777" w:rsidR="00872C03" w:rsidRPr="00883399" w:rsidRDefault="00872C03" w:rsidP="00872C03">
      <w:pPr>
        <w:pStyle w:val="subsection"/>
        <w:rPr>
          <w:sz w:val="24"/>
        </w:rPr>
      </w:pPr>
      <w:r w:rsidRPr="00883399">
        <w:rPr>
          <w:sz w:val="24"/>
        </w:rPr>
        <w:tab/>
        <w:t>(3)</w:t>
      </w:r>
      <w:r w:rsidRPr="00883399">
        <w:rPr>
          <w:sz w:val="24"/>
        </w:rPr>
        <w:tab/>
        <w:t>Paragraph (2)(b) only applies if:</w:t>
      </w:r>
    </w:p>
    <w:p w14:paraId="5F742F9A" w14:textId="77777777" w:rsidR="00872C03" w:rsidRPr="00883399" w:rsidRDefault="00872C03" w:rsidP="00872C03">
      <w:pPr>
        <w:pStyle w:val="paragraph"/>
        <w:rPr>
          <w:sz w:val="24"/>
        </w:rPr>
      </w:pPr>
      <w:r w:rsidRPr="00883399">
        <w:rPr>
          <w:sz w:val="24"/>
        </w:rPr>
        <w:tab/>
        <w:t>(a)</w:t>
      </w:r>
      <w:r w:rsidRPr="00883399">
        <w:rPr>
          <w:sz w:val="24"/>
        </w:rPr>
        <w:tab/>
        <w:t>the change in the stockpile of the fuel for the facility for the year is less than 1% of total combustion on average for the facility during the year; and</w:t>
      </w:r>
    </w:p>
    <w:p w14:paraId="07530F2D" w14:textId="77777777" w:rsidR="00872C03" w:rsidRPr="00883399" w:rsidRDefault="00872C03" w:rsidP="00872C03">
      <w:pPr>
        <w:pStyle w:val="paragraph"/>
        <w:rPr>
          <w:sz w:val="24"/>
        </w:rPr>
      </w:pPr>
      <w:r w:rsidRPr="00883399">
        <w:rPr>
          <w:sz w:val="24"/>
        </w:rPr>
        <w:tab/>
        <w:t>(b)</w:t>
      </w:r>
      <w:r w:rsidRPr="00883399">
        <w:rPr>
          <w:sz w:val="24"/>
        </w:rPr>
        <w:tab/>
        <w:t>the stockpile of the fuel for the facility at the beginning of the year is less than 5% of total combustion for the year.</w:t>
      </w:r>
    </w:p>
    <w:p w14:paraId="1879D7DD" w14:textId="77777777" w:rsidR="00872C03" w:rsidRPr="00883399" w:rsidRDefault="00872C03" w:rsidP="00872C03">
      <w:pPr>
        <w:pStyle w:val="Text"/>
        <w:rPr>
          <w:sz w:val="24"/>
          <w:szCs w:val="24"/>
        </w:rPr>
      </w:pPr>
      <w:r w:rsidRPr="00883399">
        <w:rPr>
          <w:sz w:val="24"/>
          <w:szCs w:val="24"/>
        </w:rPr>
        <w:t>For AAA, calibration of the weighing system should be carried out as per the manufacturer’s instructions and at least on an annual basis. Some types of weighing systems, such as belt weighers, will require more frequent calibration. Calibration masses should be traceable to the appropriate National Standard of measurement.</w:t>
      </w:r>
    </w:p>
    <w:p w14:paraId="155AFAB3" w14:textId="77777777" w:rsidR="00872C03" w:rsidRPr="00883399" w:rsidRDefault="00872C03" w:rsidP="00872C03">
      <w:pPr>
        <w:pStyle w:val="Text"/>
        <w:rPr>
          <w:sz w:val="24"/>
          <w:szCs w:val="24"/>
        </w:rPr>
      </w:pPr>
      <w:r w:rsidRPr="00883399">
        <w:rPr>
          <w:sz w:val="24"/>
          <w:szCs w:val="24"/>
        </w:rPr>
        <w:t xml:space="preserve">The maximum permissible errors for weighers set out in the </w:t>
      </w:r>
      <w:r w:rsidRPr="00883399">
        <w:rPr>
          <w:i/>
          <w:sz w:val="24"/>
          <w:szCs w:val="24"/>
        </w:rPr>
        <w:t>National Measurement Act 1960</w:t>
      </w:r>
      <w:r w:rsidRPr="00883399">
        <w:rPr>
          <w:sz w:val="24"/>
          <w:szCs w:val="24"/>
        </w:rPr>
        <w:t xml:space="preserve"> and associated instruments are given in the table.</w:t>
      </w:r>
    </w:p>
    <w:p w14:paraId="5E506E75" w14:textId="77777777" w:rsidR="00B50DBA" w:rsidRPr="00883399" w:rsidRDefault="00B50DBA" w:rsidP="00872C03">
      <w:pPr>
        <w:pStyle w:val="Text"/>
        <w:rPr>
          <w:sz w:val="24"/>
          <w:szCs w:val="24"/>
        </w:rPr>
      </w:pPr>
    </w:p>
    <w:p w14:paraId="4EAA58A4" w14:textId="77777777" w:rsidR="00B50DBA" w:rsidRPr="00883399" w:rsidRDefault="00B50DBA" w:rsidP="00872C03">
      <w:pPr>
        <w:pStyle w:val="Text"/>
        <w:rPr>
          <w:sz w:val="24"/>
          <w:szCs w:val="24"/>
        </w:rPr>
      </w:pPr>
    </w:p>
    <w:p w14:paraId="7817791F" w14:textId="77777777" w:rsidR="00872C03" w:rsidRPr="00883399" w:rsidRDefault="00872C03" w:rsidP="00872C03">
      <w:pPr>
        <w:pStyle w:val="paragraph"/>
        <w:rPr>
          <w:sz w:val="24"/>
        </w:rPr>
      </w:pPr>
    </w:p>
    <w:p w14:paraId="378E8988" w14:textId="77777777" w:rsidR="00872C03" w:rsidRPr="00883399" w:rsidRDefault="00872C03" w:rsidP="00872C03">
      <w:pPr>
        <w:rPr>
          <w:rFonts w:ascii="Arial" w:hAnsi="Arial"/>
          <w:b/>
          <w:sz w:val="20"/>
          <w:szCs w:val="20"/>
        </w:rPr>
      </w:pPr>
      <w:r w:rsidRPr="00883399">
        <w:rPr>
          <w:rFonts w:ascii="Arial" w:hAnsi="Arial" w:cs="Arial"/>
          <w:b/>
          <w:sz w:val="20"/>
          <w:szCs w:val="20"/>
        </w:rPr>
        <w:t>Maximum permissible errors for hopper weighers, belt weighers and automatic rail weighbridges</w:t>
      </w:r>
      <w:r w:rsidRPr="00883399">
        <w:t xml:space="preserve"> </w:t>
      </w:r>
      <w:r w:rsidRPr="00883399">
        <w:rPr>
          <w:rFonts w:ascii="Arial" w:hAnsi="Arial"/>
          <w:b/>
          <w:sz w:val="20"/>
          <w:szCs w:val="20"/>
        </w:rPr>
        <w:t>for initial verification and when the equipment is in-service</w:t>
      </w:r>
    </w:p>
    <w:tbl>
      <w:tblPr>
        <w:tblW w:w="85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3240"/>
        <w:gridCol w:w="1260"/>
        <w:gridCol w:w="1214"/>
      </w:tblGrid>
      <w:tr w:rsidR="00872C03" w:rsidRPr="00883399" w14:paraId="379479BC" w14:textId="77777777" w:rsidTr="0031057E">
        <w:tc>
          <w:tcPr>
            <w:tcW w:w="2880" w:type="dxa"/>
            <w:vMerge w:val="restart"/>
          </w:tcPr>
          <w:p w14:paraId="723EF634" w14:textId="77777777" w:rsidR="00872C03" w:rsidRPr="00883399" w:rsidRDefault="00872C03" w:rsidP="0031057E">
            <w:pPr>
              <w:pStyle w:val="Table"/>
              <w:jc w:val="center"/>
              <w:rPr>
                <w:rStyle w:val="Strong"/>
                <w:rFonts w:cs="Arial"/>
                <w:sz w:val="20"/>
              </w:rPr>
            </w:pPr>
            <w:r w:rsidRPr="00883399">
              <w:rPr>
                <w:rStyle w:val="Strong"/>
                <w:rFonts w:cs="Arial"/>
                <w:sz w:val="20"/>
              </w:rPr>
              <w:t>Weigher</w:t>
            </w:r>
          </w:p>
        </w:tc>
        <w:tc>
          <w:tcPr>
            <w:tcW w:w="3240" w:type="dxa"/>
            <w:vMerge w:val="restart"/>
          </w:tcPr>
          <w:p w14:paraId="747813E3" w14:textId="77777777" w:rsidR="00872C03" w:rsidRPr="00883399" w:rsidRDefault="00872C03" w:rsidP="0031057E">
            <w:pPr>
              <w:pStyle w:val="Table"/>
              <w:jc w:val="center"/>
              <w:rPr>
                <w:rStyle w:val="Strong"/>
                <w:rFonts w:cs="Arial"/>
                <w:sz w:val="20"/>
              </w:rPr>
            </w:pPr>
            <w:r w:rsidRPr="00883399">
              <w:rPr>
                <w:rStyle w:val="Strong"/>
                <w:rFonts w:cs="Arial"/>
                <w:sz w:val="20"/>
              </w:rPr>
              <w:t>Accuracy Class</w:t>
            </w:r>
          </w:p>
        </w:tc>
        <w:tc>
          <w:tcPr>
            <w:tcW w:w="2474" w:type="dxa"/>
            <w:gridSpan w:val="2"/>
          </w:tcPr>
          <w:p w14:paraId="3D9FD3FE" w14:textId="77777777" w:rsidR="00872C03" w:rsidRPr="00883399" w:rsidRDefault="00872C03" w:rsidP="0031057E">
            <w:pPr>
              <w:pStyle w:val="Table"/>
              <w:jc w:val="center"/>
              <w:rPr>
                <w:rStyle w:val="Strong"/>
                <w:rFonts w:cs="Arial"/>
                <w:sz w:val="20"/>
              </w:rPr>
            </w:pPr>
            <w:r w:rsidRPr="00883399">
              <w:rPr>
                <w:rStyle w:val="Strong"/>
                <w:rFonts w:cs="Arial"/>
                <w:sz w:val="20"/>
              </w:rPr>
              <w:t>Maximum Permissible Error</w:t>
            </w:r>
          </w:p>
        </w:tc>
      </w:tr>
      <w:tr w:rsidR="00872C03" w:rsidRPr="00883399" w14:paraId="2E8C0E1E" w14:textId="77777777" w:rsidTr="0031057E">
        <w:tc>
          <w:tcPr>
            <w:tcW w:w="2880" w:type="dxa"/>
            <w:vMerge/>
          </w:tcPr>
          <w:p w14:paraId="560EFF8E" w14:textId="77777777" w:rsidR="00872C03" w:rsidRPr="00883399" w:rsidRDefault="00872C03" w:rsidP="0031057E">
            <w:pPr>
              <w:pStyle w:val="Table"/>
              <w:jc w:val="center"/>
              <w:rPr>
                <w:rStyle w:val="Strong"/>
                <w:rFonts w:cs="Arial"/>
              </w:rPr>
            </w:pPr>
          </w:p>
        </w:tc>
        <w:tc>
          <w:tcPr>
            <w:tcW w:w="3240" w:type="dxa"/>
            <w:vMerge/>
          </w:tcPr>
          <w:p w14:paraId="186ED7C2" w14:textId="77777777" w:rsidR="00872C03" w:rsidRPr="00883399" w:rsidRDefault="00872C03" w:rsidP="0031057E">
            <w:pPr>
              <w:pStyle w:val="Table"/>
              <w:jc w:val="center"/>
              <w:rPr>
                <w:rStyle w:val="Strong"/>
                <w:rFonts w:cs="Arial"/>
              </w:rPr>
            </w:pPr>
          </w:p>
        </w:tc>
        <w:tc>
          <w:tcPr>
            <w:tcW w:w="1260" w:type="dxa"/>
          </w:tcPr>
          <w:p w14:paraId="6F57F9E7" w14:textId="77777777" w:rsidR="00872C03" w:rsidRPr="00883399" w:rsidRDefault="00872C03" w:rsidP="0031057E">
            <w:pPr>
              <w:pStyle w:val="Table"/>
              <w:jc w:val="center"/>
              <w:rPr>
                <w:rStyle w:val="Strong"/>
                <w:rFonts w:cs="Arial"/>
              </w:rPr>
            </w:pPr>
            <w:r w:rsidRPr="00883399">
              <w:rPr>
                <w:rStyle w:val="Strong"/>
                <w:rFonts w:cs="Arial"/>
              </w:rPr>
              <w:t>I.V.</w:t>
            </w:r>
          </w:p>
        </w:tc>
        <w:tc>
          <w:tcPr>
            <w:tcW w:w="1214" w:type="dxa"/>
          </w:tcPr>
          <w:p w14:paraId="1D1AF740" w14:textId="77777777" w:rsidR="00872C03" w:rsidRPr="00883399" w:rsidRDefault="00872C03" w:rsidP="0031057E">
            <w:pPr>
              <w:pStyle w:val="Table"/>
              <w:jc w:val="center"/>
              <w:rPr>
                <w:rStyle w:val="Strong"/>
                <w:rFonts w:cs="Arial"/>
              </w:rPr>
            </w:pPr>
            <w:r w:rsidRPr="00883399">
              <w:rPr>
                <w:rStyle w:val="Strong"/>
                <w:rFonts w:cs="Arial"/>
              </w:rPr>
              <w:t>I.S.</w:t>
            </w:r>
          </w:p>
        </w:tc>
      </w:tr>
      <w:tr w:rsidR="00872C03" w:rsidRPr="00883399" w14:paraId="011BBA1D" w14:textId="77777777" w:rsidTr="0031057E">
        <w:tc>
          <w:tcPr>
            <w:tcW w:w="2880" w:type="dxa"/>
          </w:tcPr>
          <w:p w14:paraId="4E0673C2" w14:textId="77777777" w:rsidR="00872C03" w:rsidRPr="00883399" w:rsidRDefault="00872C03" w:rsidP="0031057E">
            <w:pPr>
              <w:pStyle w:val="Table"/>
              <w:rPr>
                <w:rFonts w:ascii="Times New Roman" w:hAnsi="Times New Roman" w:cs="Times New Roman"/>
                <w:sz w:val="20"/>
              </w:rPr>
            </w:pPr>
            <w:r w:rsidRPr="00883399">
              <w:rPr>
                <w:rFonts w:ascii="Times New Roman" w:hAnsi="Times New Roman" w:cs="Times New Roman"/>
                <w:sz w:val="20"/>
              </w:rPr>
              <w:t>Hopper weighers</w:t>
            </w:r>
            <w:r w:rsidRPr="00883399">
              <w:rPr>
                <w:rFonts w:ascii="Times New Roman" w:hAnsi="Times New Roman" w:cs="Times New Roman"/>
                <w:sz w:val="20"/>
                <w:vertAlign w:val="superscript"/>
              </w:rPr>
              <w:t>1</w:t>
            </w:r>
            <w:r w:rsidRPr="00883399">
              <w:rPr>
                <w:rFonts w:ascii="Times New Roman" w:hAnsi="Times New Roman" w:cs="Times New Roman"/>
                <w:sz w:val="20"/>
              </w:rPr>
              <w:br/>
            </w:r>
          </w:p>
        </w:tc>
        <w:tc>
          <w:tcPr>
            <w:tcW w:w="3240" w:type="dxa"/>
          </w:tcPr>
          <w:p w14:paraId="6893B1AA" w14:textId="77777777" w:rsidR="00872C03" w:rsidRPr="00883399" w:rsidRDefault="00872C03" w:rsidP="0031057E">
            <w:pPr>
              <w:pStyle w:val="Table"/>
              <w:jc w:val="center"/>
            </w:pPr>
            <w:r w:rsidRPr="00883399">
              <w:t>Class 0.2</w:t>
            </w:r>
          </w:p>
          <w:p w14:paraId="0513BEF2" w14:textId="77777777" w:rsidR="00872C03" w:rsidRPr="00883399" w:rsidRDefault="00872C03" w:rsidP="0031057E">
            <w:pPr>
              <w:pStyle w:val="Table"/>
              <w:jc w:val="center"/>
            </w:pPr>
            <w:r w:rsidRPr="00883399">
              <w:t>Class 0.5</w:t>
            </w:r>
          </w:p>
          <w:p w14:paraId="61910AE0" w14:textId="77777777" w:rsidR="00872C03" w:rsidRPr="00883399" w:rsidRDefault="00872C03" w:rsidP="0031057E">
            <w:pPr>
              <w:pStyle w:val="Table"/>
              <w:jc w:val="center"/>
            </w:pPr>
            <w:r w:rsidRPr="00883399">
              <w:t>Class 1</w:t>
            </w:r>
          </w:p>
          <w:p w14:paraId="145B1FB9" w14:textId="77777777" w:rsidR="00872C03" w:rsidRPr="00883399" w:rsidRDefault="00872C03" w:rsidP="0031057E">
            <w:pPr>
              <w:pStyle w:val="Table"/>
              <w:jc w:val="center"/>
            </w:pPr>
            <w:r w:rsidRPr="00883399">
              <w:t>Class 2</w:t>
            </w:r>
          </w:p>
        </w:tc>
        <w:tc>
          <w:tcPr>
            <w:tcW w:w="1260" w:type="dxa"/>
          </w:tcPr>
          <w:p w14:paraId="06DCC8B6" w14:textId="77777777" w:rsidR="00872C03" w:rsidRPr="00883399" w:rsidRDefault="00872C03" w:rsidP="0031057E">
            <w:pPr>
              <w:pStyle w:val="Table"/>
              <w:jc w:val="center"/>
            </w:pPr>
            <w:r w:rsidRPr="00883399">
              <w:t>±0.10%</w:t>
            </w:r>
          </w:p>
          <w:p w14:paraId="5F0CB30D" w14:textId="77777777" w:rsidR="00872C03" w:rsidRPr="00883399" w:rsidRDefault="00872C03" w:rsidP="0031057E">
            <w:pPr>
              <w:pStyle w:val="Table"/>
              <w:jc w:val="center"/>
            </w:pPr>
            <w:r w:rsidRPr="00883399">
              <w:t>±0.25%</w:t>
            </w:r>
          </w:p>
          <w:p w14:paraId="053DD7C3" w14:textId="77777777" w:rsidR="00872C03" w:rsidRPr="00883399" w:rsidRDefault="00872C03" w:rsidP="0031057E">
            <w:pPr>
              <w:pStyle w:val="Table"/>
              <w:jc w:val="center"/>
            </w:pPr>
            <w:r w:rsidRPr="00883399">
              <w:t>±0.50%</w:t>
            </w:r>
          </w:p>
          <w:p w14:paraId="308B05BE" w14:textId="77777777" w:rsidR="00872C03" w:rsidRPr="00883399" w:rsidRDefault="00872C03" w:rsidP="0031057E">
            <w:pPr>
              <w:pStyle w:val="Table"/>
              <w:jc w:val="center"/>
            </w:pPr>
            <w:r w:rsidRPr="00883399">
              <w:t>±1.00%</w:t>
            </w:r>
          </w:p>
        </w:tc>
        <w:tc>
          <w:tcPr>
            <w:tcW w:w="1214" w:type="dxa"/>
          </w:tcPr>
          <w:p w14:paraId="606822D0" w14:textId="77777777" w:rsidR="00872C03" w:rsidRPr="00883399" w:rsidRDefault="00872C03" w:rsidP="0031057E">
            <w:pPr>
              <w:pStyle w:val="Table"/>
              <w:jc w:val="center"/>
            </w:pPr>
            <w:r w:rsidRPr="00883399">
              <w:t>±0.2%</w:t>
            </w:r>
          </w:p>
          <w:p w14:paraId="160C68C5" w14:textId="77777777" w:rsidR="00872C03" w:rsidRPr="00883399" w:rsidRDefault="00872C03" w:rsidP="0031057E">
            <w:pPr>
              <w:pStyle w:val="Table"/>
              <w:jc w:val="center"/>
            </w:pPr>
            <w:r w:rsidRPr="00883399">
              <w:t>±0.5%</w:t>
            </w:r>
          </w:p>
          <w:p w14:paraId="751C13EC" w14:textId="77777777" w:rsidR="00872C03" w:rsidRPr="00883399" w:rsidRDefault="00872C03" w:rsidP="0031057E">
            <w:pPr>
              <w:pStyle w:val="Table"/>
              <w:jc w:val="center"/>
            </w:pPr>
            <w:r w:rsidRPr="00883399">
              <w:t>±1.0%</w:t>
            </w:r>
          </w:p>
          <w:p w14:paraId="51353414" w14:textId="77777777" w:rsidR="00872C03" w:rsidRPr="00883399" w:rsidRDefault="00872C03" w:rsidP="0031057E">
            <w:pPr>
              <w:pStyle w:val="Table"/>
              <w:jc w:val="center"/>
            </w:pPr>
            <w:r w:rsidRPr="00883399">
              <w:t>±2.0%</w:t>
            </w:r>
          </w:p>
        </w:tc>
      </w:tr>
      <w:tr w:rsidR="00872C03" w:rsidRPr="00883399" w14:paraId="2F5F4CF3" w14:textId="77777777" w:rsidTr="0031057E">
        <w:tc>
          <w:tcPr>
            <w:tcW w:w="2880" w:type="dxa"/>
          </w:tcPr>
          <w:p w14:paraId="1FBF8BA8" w14:textId="77777777" w:rsidR="00872C03" w:rsidRPr="00883399" w:rsidRDefault="00872C03" w:rsidP="0031057E">
            <w:pPr>
              <w:pStyle w:val="Table"/>
              <w:rPr>
                <w:rFonts w:ascii="Times New Roman" w:hAnsi="Times New Roman" w:cs="Times New Roman"/>
                <w:sz w:val="20"/>
              </w:rPr>
            </w:pPr>
            <w:r w:rsidRPr="00883399">
              <w:rPr>
                <w:rFonts w:ascii="Times New Roman" w:hAnsi="Times New Roman" w:cs="Times New Roman"/>
                <w:sz w:val="20"/>
              </w:rPr>
              <w:t>Belt weighers (dynamic conditions)</w:t>
            </w:r>
            <w:r w:rsidRPr="00883399">
              <w:rPr>
                <w:rFonts w:ascii="Times New Roman" w:hAnsi="Times New Roman" w:cs="Times New Roman"/>
                <w:sz w:val="20"/>
                <w:vertAlign w:val="superscript"/>
              </w:rPr>
              <w:t>2</w:t>
            </w:r>
            <w:r w:rsidRPr="00883399">
              <w:rPr>
                <w:rFonts w:ascii="Times New Roman" w:hAnsi="Times New Roman" w:cs="Times New Roman"/>
                <w:sz w:val="20"/>
              </w:rPr>
              <w:br/>
            </w:r>
          </w:p>
        </w:tc>
        <w:tc>
          <w:tcPr>
            <w:tcW w:w="3240" w:type="dxa"/>
          </w:tcPr>
          <w:p w14:paraId="125D6A73" w14:textId="77777777" w:rsidR="00872C03" w:rsidRPr="00883399" w:rsidRDefault="00872C03" w:rsidP="0031057E">
            <w:pPr>
              <w:pStyle w:val="Table"/>
              <w:jc w:val="center"/>
            </w:pPr>
            <w:r w:rsidRPr="00883399">
              <w:t>Class 0.5</w:t>
            </w:r>
          </w:p>
          <w:p w14:paraId="24C98885" w14:textId="77777777" w:rsidR="00872C03" w:rsidRPr="00883399" w:rsidRDefault="00872C03" w:rsidP="0031057E">
            <w:pPr>
              <w:pStyle w:val="Table"/>
              <w:jc w:val="center"/>
            </w:pPr>
            <w:r w:rsidRPr="00883399">
              <w:t>Class 1.0</w:t>
            </w:r>
          </w:p>
          <w:p w14:paraId="62872421" w14:textId="77777777" w:rsidR="00872C03" w:rsidRPr="00883399" w:rsidRDefault="00872C03" w:rsidP="0031057E">
            <w:pPr>
              <w:pStyle w:val="Table"/>
              <w:jc w:val="center"/>
            </w:pPr>
            <w:r w:rsidRPr="00883399">
              <w:t>Class 2.0</w:t>
            </w:r>
          </w:p>
        </w:tc>
        <w:tc>
          <w:tcPr>
            <w:tcW w:w="1260" w:type="dxa"/>
          </w:tcPr>
          <w:p w14:paraId="7581E4F5" w14:textId="77777777" w:rsidR="00872C03" w:rsidRPr="00883399" w:rsidRDefault="00872C03" w:rsidP="0031057E">
            <w:pPr>
              <w:pStyle w:val="Table"/>
              <w:jc w:val="center"/>
            </w:pPr>
            <w:r w:rsidRPr="00883399">
              <w:t>±0.25%</w:t>
            </w:r>
          </w:p>
          <w:p w14:paraId="133980CB" w14:textId="77777777" w:rsidR="00872C03" w:rsidRPr="00883399" w:rsidRDefault="00872C03" w:rsidP="0031057E">
            <w:pPr>
              <w:pStyle w:val="Table"/>
              <w:jc w:val="center"/>
            </w:pPr>
            <w:r w:rsidRPr="00883399">
              <w:t>±0.5%</w:t>
            </w:r>
          </w:p>
          <w:p w14:paraId="200EB3E8" w14:textId="77777777" w:rsidR="00872C03" w:rsidRPr="00883399" w:rsidRDefault="00872C03" w:rsidP="0031057E">
            <w:pPr>
              <w:pStyle w:val="Table"/>
              <w:jc w:val="center"/>
            </w:pPr>
            <w:r w:rsidRPr="00883399">
              <w:t>±1.0%</w:t>
            </w:r>
          </w:p>
        </w:tc>
        <w:tc>
          <w:tcPr>
            <w:tcW w:w="1214" w:type="dxa"/>
          </w:tcPr>
          <w:p w14:paraId="6F187BAF" w14:textId="77777777" w:rsidR="00872C03" w:rsidRPr="00883399" w:rsidRDefault="00872C03" w:rsidP="0031057E">
            <w:pPr>
              <w:pStyle w:val="Table"/>
              <w:jc w:val="center"/>
            </w:pPr>
            <w:r w:rsidRPr="00883399">
              <w:t>±0.5%</w:t>
            </w:r>
          </w:p>
          <w:p w14:paraId="194DCF74" w14:textId="77777777" w:rsidR="00872C03" w:rsidRPr="00883399" w:rsidRDefault="00872C03" w:rsidP="0031057E">
            <w:pPr>
              <w:pStyle w:val="Table"/>
              <w:jc w:val="center"/>
            </w:pPr>
            <w:r w:rsidRPr="00883399">
              <w:t>±1.0%</w:t>
            </w:r>
          </w:p>
          <w:p w14:paraId="591C57C0" w14:textId="77777777" w:rsidR="00872C03" w:rsidRPr="00883399" w:rsidRDefault="00872C03" w:rsidP="0031057E">
            <w:pPr>
              <w:pStyle w:val="Table"/>
              <w:jc w:val="center"/>
            </w:pPr>
            <w:r w:rsidRPr="00883399">
              <w:t>±2.0%</w:t>
            </w:r>
          </w:p>
        </w:tc>
      </w:tr>
      <w:tr w:rsidR="00872C03" w:rsidRPr="00883399" w14:paraId="3E4B3B4D" w14:textId="77777777" w:rsidTr="0031057E">
        <w:tc>
          <w:tcPr>
            <w:tcW w:w="2880" w:type="dxa"/>
          </w:tcPr>
          <w:p w14:paraId="7617C4D7" w14:textId="77777777" w:rsidR="00872C03" w:rsidRPr="00883399" w:rsidRDefault="00872C03" w:rsidP="0031057E">
            <w:pPr>
              <w:pStyle w:val="Table"/>
              <w:rPr>
                <w:rFonts w:ascii="Times New Roman" w:hAnsi="Times New Roman" w:cs="Times New Roman"/>
                <w:sz w:val="20"/>
              </w:rPr>
            </w:pPr>
            <w:r w:rsidRPr="00883399">
              <w:rPr>
                <w:rFonts w:ascii="Times New Roman" w:hAnsi="Times New Roman" w:cs="Times New Roman"/>
                <w:sz w:val="20"/>
              </w:rPr>
              <w:t>Automatic Rail-weighbridges (% or weight of single wagon or total train, as appropriate)</w:t>
            </w:r>
            <w:r w:rsidRPr="00883399">
              <w:rPr>
                <w:rFonts w:ascii="Times New Roman" w:hAnsi="Times New Roman" w:cs="Times New Roman"/>
                <w:sz w:val="20"/>
                <w:vertAlign w:val="superscript"/>
              </w:rPr>
              <w:t>2</w:t>
            </w:r>
          </w:p>
        </w:tc>
        <w:tc>
          <w:tcPr>
            <w:tcW w:w="3240" w:type="dxa"/>
          </w:tcPr>
          <w:p w14:paraId="08E75FA6" w14:textId="77777777" w:rsidR="00872C03" w:rsidRPr="00883399" w:rsidRDefault="00872C03" w:rsidP="0031057E">
            <w:pPr>
              <w:pStyle w:val="Table"/>
              <w:jc w:val="center"/>
            </w:pPr>
            <w:r w:rsidRPr="00883399">
              <w:t>Class 0.2</w:t>
            </w:r>
          </w:p>
          <w:p w14:paraId="2F4D1A61" w14:textId="77777777" w:rsidR="00872C03" w:rsidRPr="00883399" w:rsidRDefault="00872C03" w:rsidP="0031057E">
            <w:pPr>
              <w:pStyle w:val="Table"/>
              <w:jc w:val="center"/>
            </w:pPr>
            <w:r w:rsidRPr="00883399">
              <w:t>Class 0.5</w:t>
            </w:r>
          </w:p>
          <w:p w14:paraId="3BF9C21F" w14:textId="77777777" w:rsidR="00872C03" w:rsidRPr="00883399" w:rsidRDefault="00872C03" w:rsidP="0031057E">
            <w:pPr>
              <w:pStyle w:val="Table"/>
              <w:jc w:val="center"/>
            </w:pPr>
            <w:r w:rsidRPr="00883399">
              <w:t>Class 1</w:t>
            </w:r>
          </w:p>
          <w:p w14:paraId="7798F2A7" w14:textId="77777777" w:rsidR="00872C03" w:rsidRPr="00883399" w:rsidRDefault="00872C03" w:rsidP="0031057E">
            <w:pPr>
              <w:pStyle w:val="Table"/>
              <w:jc w:val="center"/>
            </w:pPr>
            <w:r w:rsidRPr="00883399">
              <w:t>Class 2</w:t>
            </w:r>
          </w:p>
        </w:tc>
        <w:tc>
          <w:tcPr>
            <w:tcW w:w="1260" w:type="dxa"/>
          </w:tcPr>
          <w:p w14:paraId="41A1F73D" w14:textId="77777777" w:rsidR="00872C03" w:rsidRPr="00883399" w:rsidRDefault="00872C03" w:rsidP="0031057E">
            <w:pPr>
              <w:pStyle w:val="Table"/>
              <w:jc w:val="center"/>
            </w:pPr>
            <w:r w:rsidRPr="00883399">
              <w:t>±0.10%</w:t>
            </w:r>
          </w:p>
          <w:p w14:paraId="7D96C1B0" w14:textId="77777777" w:rsidR="00872C03" w:rsidRPr="00883399" w:rsidRDefault="00872C03" w:rsidP="0031057E">
            <w:pPr>
              <w:pStyle w:val="Table"/>
              <w:jc w:val="center"/>
            </w:pPr>
            <w:r w:rsidRPr="00883399">
              <w:t>±0.25%</w:t>
            </w:r>
          </w:p>
          <w:p w14:paraId="1B9177AC" w14:textId="77777777" w:rsidR="00872C03" w:rsidRPr="00883399" w:rsidRDefault="00872C03" w:rsidP="0031057E">
            <w:pPr>
              <w:pStyle w:val="Table"/>
              <w:jc w:val="center"/>
            </w:pPr>
            <w:r w:rsidRPr="00883399">
              <w:t>±0.50%</w:t>
            </w:r>
          </w:p>
          <w:p w14:paraId="36A8C957" w14:textId="77777777" w:rsidR="00872C03" w:rsidRPr="00883399" w:rsidRDefault="00872C03" w:rsidP="0031057E">
            <w:pPr>
              <w:pStyle w:val="Table"/>
              <w:jc w:val="center"/>
            </w:pPr>
            <w:r w:rsidRPr="00883399">
              <w:t>±1.00%</w:t>
            </w:r>
          </w:p>
        </w:tc>
        <w:tc>
          <w:tcPr>
            <w:tcW w:w="1214" w:type="dxa"/>
          </w:tcPr>
          <w:p w14:paraId="0440EFDE" w14:textId="77777777" w:rsidR="00872C03" w:rsidRPr="00883399" w:rsidRDefault="00872C03" w:rsidP="0031057E">
            <w:pPr>
              <w:pStyle w:val="Table"/>
              <w:jc w:val="center"/>
            </w:pPr>
            <w:r w:rsidRPr="00883399">
              <w:t>±0.2%</w:t>
            </w:r>
          </w:p>
          <w:p w14:paraId="4A3EC248" w14:textId="77777777" w:rsidR="00872C03" w:rsidRPr="00883399" w:rsidRDefault="00872C03" w:rsidP="0031057E">
            <w:pPr>
              <w:pStyle w:val="Table"/>
              <w:jc w:val="center"/>
            </w:pPr>
            <w:r w:rsidRPr="00883399">
              <w:t>±0.5%</w:t>
            </w:r>
          </w:p>
          <w:p w14:paraId="64B02B8E" w14:textId="77777777" w:rsidR="00872C03" w:rsidRPr="00883399" w:rsidRDefault="00872C03" w:rsidP="0031057E">
            <w:pPr>
              <w:pStyle w:val="Table"/>
              <w:jc w:val="center"/>
            </w:pPr>
            <w:r w:rsidRPr="00883399">
              <w:t>±1.0%</w:t>
            </w:r>
          </w:p>
          <w:p w14:paraId="5583D9E6" w14:textId="77777777" w:rsidR="00872C03" w:rsidRPr="00883399" w:rsidRDefault="00872C03" w:rsidP="0031057E">
            <w:pPr>
              <w:pStyle w:val="Table"/>
              <w:jc w:val="center"/>
            </w:pPr>
            <w:r w:rsidRPr="00883399">
              <w:t>±2.0%</w:t>
            </w:r>
          </w:p>
        </w:tc>
      </w:tr>
    </w:tbl>
    <w:p w14:paraId="672EBE47" w14:textId="77777777" w:rsidR="00872C03" w:rsidRPr="00883399" w:rsidRDefault="00872C03" w:rsidP="00872C03">
      <w:pPr>
        <w:rPr>
          <w:rFonts w:ascii="Arial" w:hAnsi="Arial"/>
          <w:sz w:val="16"/>
          <w:szCs w:val="16"/>
        </w:rPr>
      </w:pPr>
      <w:r w:rsidRPr="00883399">
        <w:rPr>
          <w:rFonts w:ascii="Arial" w:hAnsi="Arial"/>
          <w:sz w:val="16"/>
          <w:szCs w:val="16"/>
        </w:rPr>
        <w:t>I.V. = Initial verification</w:t>
      </w:r>
    </w:p>
    <w:p w14:paraId="0746AAAC" w14:textId="77777777" w:rsidR="00872C03" w:rsidRPr="00883399" w:rsidRDefault="00872C03" w:rsidP="00872C03">
      <w:pPr>
        <w:rPr>
          <w:rFonts w:ascii="Arial" w:hAnsi="Arial"/>
          <w:sz w:val="16"/>
          <w:szCs w:val="16"/>
        </w:rPr>
      </w:pPr>
      <w:r w:rsidRPr="00883399">
        <w:rPr>
          <w:rFonts w:ascii="Arial" w:hAnsi="Arial"/>
          <w:sz w:val="16"/>
          <w:szCs w:val="16"/>
        </w:rPr>
        <w:t>I.S. = In-service</w:t>
      </w:r>
    </w:p>
    <w:p w14:paraId="3D0E4C25" w14:textId="77777777" w:rsidR="00872C03" w:rsidRPr="00883399" w:rsidRDefault="00872C03" w:rsidP="00872C03">
      <w:pPr>
        <w:rPr>
          <w:rFonts w:ascii="Arial" w:hAnsi="Arial"/>
          <w:sz w:val="16"/>
          <w:szCs w:val="16"/>
        </w:rPr>
      </w:pPr>
      <w:r w:rsidRPr="00883399">
        <w:rPr>
          <w:rFonts w:ascii="Arial" w:hAnsi="Arial"/>
          <w:sz w:val="16"/>
          <w:szCs w:val="16"/>
        </w:rPr>
        <w:t>Source:</w:t>
      </w:r>
      <w:r w:rsidRPr="00883399">
        <w:rPr>
          <w:rFonts w:ascii="Arial" w:hAnsi="Arial"/>
          <w:sz w:val="16"/>
          <w:szCs w:val="16"/>
        </w:rPr>
        <w:tab/>
        <w:t>National Measurement Institute NMI R 107 Discontinuous Totalising Automatic Weighing Instruments (Totalising Hopper Weighers)</w:t>
      </w:r>
      <w:r w:rsidRPr="00883399">
        <w:rPr>
          <w:rFonts w:ascii="Arial" w:hAnsi="Arial"/>
          <w:sz w:val="20"/>
          <w:szCs w:val="20"/>
          <w:vertAlign w:val="superscript"/>
        </w:rPr>
        <w:t>1</w:t>
      </w:r>
    </w:p>
    <w:p w14:paraId="688C021A" w14:textId="77777777" w:rsidR="00872C03" w:rsidRPr="00883399" w:rsidRDefault="00872C03" w:rsidP="00872C03">
      <w:pPr>
        <w:outlineLvl w:val="0"/>
        <w:rPr>
          <w:rFonts w:ascii="Arial" w:hAnsi="Arial"/>
          <w:sz w:val="16"/>
          <w:szCs w:val="16"/>
        </w:rPr>
      </w:pPr>
      <w:r w:rsidRPr="00883399">
        <w:rPr>
          <w:rFonts w:ascii="Arial" w:hAnsi="Arial" w:cs="Arial"/>
          <w:i/>
          <w:iCs/>
          <w:sz w:val="16"/>
          <w:szCs w:val="16"/>
        </w:rPr>
        <w:t>National Measurement Regulations 1999</w:t>
      </w:r>
      <w:r w:rsidRPr="00883399">
        <w:rPr>
          <w:rFonts w:ascii="Arial" w:hAnsi="Arial" w:cs="Arial"/>
          <w:i/>
          <w:iCs/>
          <w:sz w:val="20"/>
          <w:szCs w:val="20"/>
          <w:vertAlign w:val="superscript"/>
        </w:rPr>
        <w:t>2</w:t>
      </w:r>
    </w:p>
    <w:p w14:paraId="5E399767" w14:textId="77777777" w:rsidR="00872C03" w:rsidRPr="00883399" w:rsidRDefault="00872C03" w:rsidP="00872C03">
      <w:pPr>
        <w:rPr>
          <w:rFonts w:ascii="Arial" w:hAnsi="Arial"/>
          <w:sz w:val="16"/>
          <w:szCs w:val="16"/>
        </w:rPr>
      </w:pPr>
      <w:r w:rsidRPr="00883399">
        <w:rPr>
          <w:rFonts w:ascii="Arial" w:hAnsi="Arial"/>
          <w:sz w:val="16"/>
          <w:szCs w:val="16"/>
        </w:rPr>
        <w:t xml:space="preserve">Accuracy classes are defined in the </w:t>
      </w:r>
      <w:r w:rsidRPr="00883399">
        <w:rPr>
          <w:rFonts w:ascii="Arial" w:hAnsi="Arial" w:cs="Arial"/>
          <w:i/>
          <w:iCs/>
          <w:sz w:val="16"/>
          <w:szCs w:val="16"/>
        </w:rPr>
        <w:t>National Measurement Regulations 1999</w:t>
      </w:r>
      <w:r w:rsidRPr="00883399">
        <w:rPr>
          <w:rFonts w:ascii="Arial" w:hAnsi="Arial" w:cs="Arial"/>
          <w:iCs/>
          <w:sz w:val="16"/>
          <w:szCs w:val="16"/>
        </w:rPr>
        <w:t xml:space="preserve"> and </w:t>
      </w:r>
      <w:r w:rsidRPr="00883399">
        <w:rPr>
          <w:rFonts w:ascii="Arial" w:hAnsi="Arial"/>
          <w:sz w:val="16"/>
          <w:szCs w:val="16"/>
        </w:rPr>
        <w:t>NMI R 107 document</w:t>
      </w:r>
    </w:p>
    <w:p w14:paraId="62724333" w14:textId="77777777" w:rsidR="00872C03" w:rsidRPr="00883399" w:rsidRDefault="00872C03" w:rsidP="00872C03">
      <w:pPr>
        <w:jc w:val="center"/>
        <w:rPr>
          <w:rFonts w:ascii="Arial" w:hAnsi="Arial"/>
          <w:sz w:val="16"/>
          <w:szCs w:val="16"/>
        </w:rPr>
      </w:pPr>
    </w:p>
    <w:p w14:paraId="5488F43C" w14:textId="77777777" w:rsidR="00872C03" w:rsidRPr="00883399" w:rsidRDefault="00872C03" w:rsidP="00872C03">
      <w:pPr>
        <w:rPr>
          <w:rFonts w:ascii="Arial" w:hAnsi="Arial"/>
          <w:b/>
          <w:sz w:val="20"/>
          <w:szCs w:val="20"/>
        </w:rPr>
      </w:pPr>
      <w:r w:rsidRPr="00883399">
        <w:rPr>
          <w:rFonts w:ascii="Arial" w:hAnsi="Arial"/>
          <w:b/>
          <w:sz w:val="20"/>
          <w:szCs w:val="20"/>
        </w:rPr>
        <w:t>Maximum permissible errors for weigh bridges (static conditions) for initial verification and when the equipment is in-service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1745"/>
        <w:gridCol w:w="1882"/>
        <w:gridCol w:w="1655"/>
        <w:gridCol w:w="1655"/>
      </w:tblGrid>
      <w:tr w:rsidR="00872C03" w:rsidRPr="00883399" w14:paraId="76D5E9F9" w14:textId="77777777" w:rsidTr="0031057E">
        <w:trPr>
          <w:trHeight w:val="688"/>
        </w:trPr>
        <w:tc>
          <w:tcPr>
            <w:tcW w:w="1368" w:type="dxa"/>
          </w:tcPr>
          <w:p w14:paraId="250E938A" w14:textId="77777777" w:rsidR="00872C03" w:rsidRPr="00883399" w:rsidRDefault="00872C03" w:rsidP="0031057E">
            <w:pPr>
              <w:jc w:val="center"/>
              <w:rPr>
                <w:rFonts w:ascii="Arial" w:hAnsi="Arial" w:cs="Arial"/>
                <w:b/>
                <w:sz w:val="20"/>
                <w:szCs w:val="20"/>
              </w:rPr>
            </w:pPr>
            <w:r w:rsidRPr="00883399">
              <w:rPr>
                <w:rFonts w:ascii="Arial" w:hAnsi="Arial" w:cs="Arial"/>
                <w:b/>
                <w:sz w:val="20"/>
                <w:szCs w:val="20"/>
              </w:rPr>
              <w:lastRenderedPageBreak/>
              <w:t>Maximum permissible errors</w:t>
            </w:r>
          </w:p>
        </w:tc>
        <w:tc>
          <w:tcPr>
            <w:tcW w:w="7154" w:type="dxa"/>
            <w:gridSpan w:val="4"/>
            <w:vAlign w:val="center"/>
          </w:tcPr>
          <w:p w14:paraId="3B3EE4A2" w14:textId="77777777" w:rsidR="00872C03" w:rsidRPr="00883399" w:rsidRDefault="00872C03" w:rsidP="0031057E">
            <w:pPr>
              <w:jc w:val="center"/>
              <w:rPr>
                <w:rFonts w:ascii="Arial" w:hAnsi="Arial" w:cs="Arial"/>
                <w:b/>
                <w:sz w:val="20"/>
                <w:szCs w:val="20"/>
              </w:rPr>
            </w:pPr>
            <w:r w:rsidRPr="00883399">
              <w:rPr>
                <w:rFonts w:ascii="Arial" w:hAnsi="Arial" w:cs="Arial"/>
                <w:b/>
                <w:sz w:val="20"/>
                <w:szCs w:val="20"/>
              </w:rPr>
              <w:t>for loads m expressed in verification scale intervals e</w:t>
            </w:r>
          </w:p>
        </w:tc>
      </w:tr>
      <w:tr w:rsidR="00872C03" w:rsidRPr="00883399" w14:paraId="0F891EC3" w14:textId="77777777" w:rsidTr="0031057E">
        <w:tc>
          <w:tcPr>
            <w:tcW w:w="1368" w:type="dxa"/>
          </w:tcPr>
          <w:p w14:paraId="077DEE78" w14:textId="77777777" w:rsidR="00872C03" w:rsidRPr="00883399" w:rsidRDefault="00872C03" w:rsidP="0031057E">
            <w:pPr>
              <w:jc w:val="center"/>
              <w:rPr>
                <w:rFonts w:ascii="Arial" w:hAnsi="Arial" w:cs="Arial"/>
                <w:sz w:val="20"/>
                <w:szCs w:val="20"/>
              </w:rPr>
            </w:pPr>
            <w:r w:rsidRPr="00883399">
              <w:rPr>
                <w:rFonts w:ascii="Arial" w:hAnsi="Arial" w:cs="Arial"/>
                <w:sz w:val="20"/>
                <w:szCs w:val="20"/>
              </w:rPr>
              <w:t>initial verification</w:t>
            </w:r>
          </w:p>
        </w:tc>
        <w:tc>
          <w:tcPr>
            <w:tcW w:w="1800" w:type="dxa"/>
            <w:vAlign w:val="bottom"/>
          </w:tcPr>
          <w:p w14:paraId="0532328F" w14:textId="77777777" w:rsidR="00872C03" w:rsidRPr="00883399" w:rsidRDefault="00872C03" w:rsidP="0031057E">
            <w:pPr>
              <w:jc w:val="center"/>
              <w:rPr>
                <w:rFonts w:ascii="Arial" w:hAnsi="Arial" w:cs="Arial"/>
                <w:sz w:val="20"/>
                <w:szCs w:val="20"/>
              </w:rPr>
            </w:pPr>
            <w:r w:rsidRPr="00883399">
              <w:rPr>
                <w:rFonts w:ascii="Arial" w:hAnsi="Arial" w:cs="Arial"/>
                <w:sz w:val="20"/>
                <w:szCs w:val="20"/>
              </w:rPr>
              <w:t>Class I</w:t>
            </w:r>
          </w:p>
        </w:tc>
        <w:tc>
          <w:tcPr>
            <w:tcW w:w="1944" w:type="dxa"/>
            <w:vAlign w:val="bottom"/>
          </w:tcPr>
          <w:p w14:paraId="71CA5DEE" w14:textId="77777777" w:rsidR="00872C03" w:rsidRPr="00883399" w:rsidRDefault="00872C03" w:rsidP="0031057E">
            <w:pPr>
              <w:jc w:val="center"/>
              <w:rPr>
                <w:rFonts w:ascii="Arial" w:hAnsi="Arial" w:cs="Arial"/>
                <w:sz w:val="20"/>
                <w:szCs w:val="20"/>
              </w:rPr>
            </w:pPr>
            <w:r w:rsidRPr="00883399">
              <w:rPr>
                <w:rFonts w:ascii="Arial" w:hAnsi="Arial" w:cs="Arial"/>
                <w:sz w:val="20"/>
                <w:szCs w:val="20"/>
              </w:rPr>
              <w:t>Class II</w:t>
            </w:r>
          </w:p>
        </w:tc>
        <w:tc>
          <w:tcPr>
            <w:tcW w:w="1705" w:type="dxa"/>
            <w:vAlign w:val="bottom"/>
          </w:tcPr>
          <w:p w14:paraId="7B826653" w14:textId="77777777" w:rsidR="00872C03" w:rsidRPr="00883399" w:rsidRDefault="00872C03" w:rsidP="0031057E">
            <w:pPr>
              <w:jc w:val="center"/>
              <w:rPr>
                <w:rFonts w:ascii="Arial" w:hAnsi="Arial" w:cs="Arial"/>
                <w:sz w:val="20"/>
                <w:szCs w:val="20"/>
              </w:rPr>
            </w:pPr>
            <w:r w:rsidRPr="00883399">
              <w:rPr>
                <w:rFonts w:ascii="Arial" w:hAnsi="Arial" w:cs="Arial"/>
                <w:sz w:val="20"/>
                <w:szCs w:val="20"/>
              </w:rPr>
              <w:t>Class III</w:t>
            </w:r>
          </w:p>
        </w:tc>
        <w:tc>
          <w:tcPr>
            <w:tcW w:w="1705" w:type="dxa"/>
            <w:vAlign w:val="bottom"/>
          </w:tcPr>
          <w:p w14:paraId="549C6986" w14:textId="77777777" w:rsidR="00872C03" w:rsidRPr="00883399" w:rsidRDefault="00872C03" w:rsidP="0031057E">
            <w:pPr>
              <w:jc w:val="center"/>
              <w:rPr>
                <w:rFonts w:ascii="Arial" w:hAnsi="Arial" w:cs="Arial"/>
                <w:sz w:val="20"/>
                <w:szCs w:val="20"/>
              </w:rPr>
            </w:pPr>
            <w:r w:rsidRPr="00883399">
              <w:rPr>
                <w:rFonts w:ascii="Arial" w:hAnsi="Arial" w:cs="Arial"/>
                <w:sz w:val="20"/>
                <w:szCs w:val="20"/>
              </w:rPr>
              <w:t>Class IIII</w:t>
            </w:r>
          </w:p>
        </w:tc>
      </w:tr>
      <w:tr w:rsidR="00872C03" w:rsidRPr="00883399" w14:paraId="777A24FC" w14:textId="77777777" w:rsidTr="0031057E">
        <w:tc>
          <w:tcPr>
            <w:tcW w:w="1368" w:type="dxa"/>
          </w:tcPr>
          <w:p w14:paraId="1A6DD398" w14:textId="77777777" w:rsidR="00872C03" w:rsidRPr="00883399" w:rsidRDefault="00872C03" w:rsidP="0031057E">
            <w:pPr>
              <w:pStyle w:val="Table"/>
              <w:jc w:val="center"/>
            </w:pPr>
            <w:r w:rsidRPr="00883399">
              <w:t>±0.5 e</w:t>
            </w:r>
          </w:p>
          <w:p w14:paraId="025B1CE7" w14:textId="77777777" w:rsidR="00872C03" w:rsidRPr="00883399" w:rsidRDefault="00872C03" w:rsidP="0031057E">
            <w:pPr>
              <w:pStyle w:val="Table"/>
              <w:jc w:val="center"/>
            </w:pPr>
            <w:r w:rsidRPr="00883399">
              <w:t>±1 e</w:t>
            </w:r>
          </w:p>
          <w:p w14:paraId="7C70839C" w14:textId="77777777" w:rsidR="00872C03" w:rsidRPr="00883399" w:rsidRDefault="00872C03" w:rsidP="0031057E">
            <w:pPr>
              <w:jc w:val="center"/>
              <w:rPr>
                <w:rFonts w:ascii="Arial" w:hAnsi="Arial" w:cs="Arial"/>
                <w:sz w:val="16"/>
                <w:szCs w:val="16"/>
              </w:rPr>
            </w:pPr>
            <w:r w:rsidRPr="00883399">
              <w:rPr>
                <w:rFonts w:ascii="Arial" w:hAnsi="Arial" w:cs="Arial"/>
                <w:sz w:val="16"/>
                <w:szCs w:val="16"/>
              </w:rPr>
              <w:t>±1.5 e</w:t>
            </w:r>
          </w:p>
        </w:tc>
        <w:tc>
          <w:tcPr>
            <w:tcW w:w="1800" w:type="dxa"/>
          </w:tcPr>
          <w:p w14:paraId="0375F2A3" w14:textId="77777777" w:rsidR="00872C03" w:rsidRPr="00883399" w:rsidRDefault="00872C03" w:rsidP="0031057E">
            <w:pPr>
              <w:pStyle w:val="Table"/>
              <w:jc w:val="center"/>
            </w:pPr>
            <w:r w:rsidRPr="00883399">
              <w:t>0 ≤ m ≤ 50 000</w:t>
            </w:r>
          </w:p>
          <w:p w14:paraId="5EE9FE1A" w14:textId="77777777" w:rsidR="00872C03" w:rsidRPr="00883399" w:rsidRDefault="00872C03" w:rsidP="0031057E">
            <w:pPr>
              <w:pStyle w:val="Table"/>
              <w:jc w:val="center"/>
            </w:pPr>
            <w:r w:rsidRPr="00883399">
              <w:t>50 000 &lt; m ≤ 200 000</w:t>
            </w:r>
          </w:p>
          <w:p w14:paraId="51C60FB3" w14:textId="77777777" w:rsidR="00872C03" w:rsidRPr="00883399" w:rsidRDefault="00872C03" w:rsidP="0031057E">
            <w:pPr>
              <w:jc w:val="center"/>
              <w:rPr>
                <w:rFonts w:ascii="Arial" w:hAnsi="Arial" w:cs="Arial"/>
                <w:sz w:val="16"/>
                <w:szCs w:val="16"/>
              </w:rPr>
            </w:pPr>
            <w:r w:rsidRPr="00883399">
              <w:rPr>
                <w:rFonts w:ascii="Arial" w:hAnsi="Arial" w:cs="Arial"/>
                <w:sz w:val="16"/>
                <w:szCs w:val="16"/>
              </w:rPr>
              <w:t>200 000 &lt; m</w:t>
            </w:r>
          </w:p>
        </w:tc>
        <w:tc>
          <w:tcPr>
            <w:tcW w:w="1944" w:type="dxa"/>
          </w:tcPr>
          <w:p w14:paraId="36552137" w14:textId="77777777" w:rsidR="00872C03" w:rsidRPr="00883399" w:rsidRDefault="00872C03" w:rsidP="0031057E">
            <w:pPr>
              <w:pStyle w:val="Table"/>
              <w:jc w:val="center"/>
            </w:pPr>
            <w:r w:rsidRPr="00883399">
              <w:t>0 ≤ m ≤ 5 000</w:t>
            </w:r>
          </w:p>
          <w:p w14:paraId="7AE816FD" w14:textId="77777777" w:rsidR="00872C03" w:rsidRPr="00883399" w:rsidRDefault="00872C03" w:rsidP="0031057E">
            <w:pPr>
              <w:pStyle w:val="Table"/>
              <w:jc w:val="center"/>
            </w:pPr>
            <w:r w:rsidRPr="00883399">
              <w:t>5 000 &lt; m ≤ 20 000</w:t>
            </w:r>
          </w:p>
          <w:p w14:paraId="34C6EA36" w14:textId="77777777" w:rsidR="00872C03" w:rsidRPr="00883399" w:rsidRDefault="00872C03" w:rsidP="0031057E">
            <w:pPr>
              <w:jc w:val="center"/>
              <w:rPr>
                <w:rFonts w:ascii="Arial" w:hAnsi="Arial" w:cs="Arial"/>
                <w:sz w:val="16"/>
                <w:szCs w:val="16"/>
              </w:rPr>
            </w:pPr>
            <w:r w:rsidRPr="00883399">
              <w:rPr>
                <w:rFonts w:ascii="Arial" w:hAnsi="Arial" w:cs="Arial"/>
                <w:sz w:val="16"/>
                <w:szCs w:val="16"/>
              </w:rPr>
              <w:t>20 000 &lt; m ≤ 100 000</w:t>
            </w:r>
          </w:p>
        </w:tc>
        <w:tc>
          <w:tcPr>
            <w:tcW w:w="1705" w:type="dxa"/>
          </w:tcPr>
          <w:p w14:paraId="4E13EEA9" w14:textId="77777777" w:rsidR="00872C03" w:rsidRPr="00883399" w:rsidRDefault="00872C03" w:rsidP="0031057E">
            <w:pPr>
              <w:pStyle w:val="Table"/>
              <w:jc w:val="center"/>
            </w:pPr>
            <w:r w:rsidRPr="00883399">
              <w:t>0 ≤ m ≤ 500</w:t>
            </w:r>
          </w:p>
          <w:p w14:paraId="6DB7A973" w14:textId="77777777" w:rsidR="00872C03" w:rsidRPr="00883399" w:rsidRDefault="00872C03" w:rsidP="0031057E">
            <w:pPr>
              <w:pStyle w:val="Table"/>
              <w:jc w:val="center"/>
            </w:pPr>
            <w:r w:rsidRPr="00883399">
              <w:t>500 &lt; m ≤ 2 000</w:t>
            </w:r>
          </w:p>
          <w:p w14:paraId="39EC9BBC" w14:textId="77777777" w:rsidR="00872C03" w:rsidRPr="00883399" w:rsidRDefault="00872C03" w:rsidP="0031057E">
            <w:pPr>
              <w:jc w:val="center"/>
              <w:rPr>
                <w:rFonts w:ascii="Arial" w:hAnsi="Arial" w:cs="Arial"/>
                <w:sz w:val="16"/>
                <w:szCs w:val="16"/>
              </w:rPr>
            </w:pPr>
            <w:r w:rsidRPr="00883399">
              <w:rPr>
                <w:rFonts w:ascii="Arial" w:hAnsi="Arial" w:cs="Arial"/>
                <w:sz w:val="16"/>
                <w:szCs w:val="16"/>
              </w:rPr>
              <w:t>2 000 &lt; m ≤ 10 000</w:t>
            </w:r>
          </w:p>
        </w:tc>
        <w:tc>
          <w:tcPr>
            <w:tcW w:w="1705" w:type="dxa"/>
          </w:tcPr>
          <w:p w14:paraId="451F57FC" w14:textId="77777777" w:rsidR="00872C03" w:rsidRPr="00883399" w:rsidRDefault="00872C03" w:rsidP="0031057E">
            <w:pPr>
              <w:pStyle w:val="Table"/>
              <w:jc w:val="center"/>
            </w:pPr>
            <w:r w:rsidRPr="00883399">
              <w:t>0 ≤ m ≤ 50</w:t>
            </w:r>
          </w:p>
          <w:p w14:paraId="5E7F2C79" w14:textId="77777777" w:rsidR="00872C03" w:rsidRPr="00883399" w:rsidRDefault="00872C03" w:rsidP="0031057E">
            <w:pPr>
              <w:pStyle w:val="Table"/>
              <w:jc w:val="center"/>
            </w:pPr>
            <w:r w:rsidRPr="00883399">
              <w:t>50 &lt; m ≤ 200</w:t>
            </w:r>
          </w:p>
          <w:p w14:paraId="4FD9F433" w14:textId="77777777" w:rsidR="00872C03" w:rsidRPr="00883399" w:rsidRDefault="00872C03" w:rsidP="0031057E">
            <w:pPr>
              <w:jc w:val="center"/>
              <w:rPr>
                <w:rFonts w:ascii="Arial" w:hAnsi="Arial" w:cs="Arial"/>
                <w:sz w:val="16"/>
                <w:szCs w:val="16"/>
              </w:rPr>
            </w:pPr>
            <w:r w:rsidRPr="00883399">
              <w:rPr>
                <w:rFonts w:ascii="Arial" w:hAnsi="Arial" w:cs="Arial"/>
                <w:sz w:val="16"/>
                <w:szCs w:val="16"/>
              </w:rPr>
              <w:t>200 &lt; m ≤ 1 000</w:t>
            </w:r>
          </w:p>
        </w:tc>
      </w:tr>
      <w:tr w:rsidR="00872C03" w:rsidRPr="00883399" w14:paraId="2FF9E05A" w14:textId="77777777" w:rsidTr="0031057E">
        <w:tc>
          <w:tcPr>
            <w:tcW w:w="1368" w:type="dxa"/>
          </w:tcPr>
          <w:p w14:paraId="23E9DD4C" w14:textId="77777777" w:rsidR="00872C03" w:rsidRPr="00883399" w:rsidRDefault="00872C03" w:rsidP="0031057E">
            <w:pPr>
              <w:jc w:val="center"/>
              <w:rPr>
                <w:rFonts w:ascii="Arial" w:hAnsi="Arial" w:cs="Arial"/>
                <w:sz w:val="20"/>
                <w:szCs w:val="20"/>
              </w:rPr>
            </w:pPr>
            <w:r w:rsidRPr="00883399">
              <w:rPr>
                <w:rFonts w:ascii="Arial" w:hAnsi="Arial" w:cs="Arial"/>
                <w:sz w:val="20"/>
                <w:szCs w:val="20"/>
              </w:rPr>
              <w:t>In service</w:t>
            </w:r>
          </w:p>
        </w:tc>
        <w:tc>
          <w:tcPr>
            <w:tcW w:w="1800" w:type="dxa"/>
            <w:vAlign w:val="bottom"/>
          </w:tcPr>
          <w:p w14:paraId="5DDB68ED" w14:textId="77777777" w:rsidR="00872C03" w:rsidRPr="00883399" w:rsidRDefault="00872C03" w:rsidP="0031057E">
            <w:pPr>
              <w:jc w:val="center"/>
              <w:rPr>
                <w:rFonts w:ascii="Arial" w:hAnsi="Arial" w:cs="Arial"/>
                <w:sz w:val="20"/>
                <w:szCs w:val="20"/>
              </w:rPr>
            </w:pPr>
            <w:r w:rsidRPr="00883399">
              <w:rPr>
                <w:rFonts w:ascii="Arial" w:hAnsi="Arial" w:cs="Arial"/>
                <w:sz w:val="20"/>
                <w:szCs w:val="20"/>
              </w:rPr>
              <w:t>Class I</w:t>
            </w:r>
          </w:p>
        </w:tc>
        <w:tc>
          <w:tcPr>
            <w:tcW w:w="1944" w:type="dxa"/>
            <w:vAlign w:val="bottom"/>
          </w:tcPr>
          <w:p w14:paraId="45552E67" w14:textId="77777777" w:rsidR="00872C03" w:rsidRPr="00883399" w:rsidRDefault="00872C03" w:rsidP="0031057E">
            <w:pPr>
              <w:jc w:val="center"/>
              <w:rPr>
                <w:rFonts w:ascii="Arial" w:hAnsi="Arial" w:cs="Arial"/>
                <w:sz w:val="20"/>
                <w:szCs w:val="20"/>
              </w:rPr>
            </w:pPr>
            <w:r w:rsidRPr="00883399">
              <w:rPr>
                <w:rFonts w:ascii="Arial" w:hAnsi="Arial" w:cs="Arial"/>
                <w:sz w:val="20"/>
                <w:szCs w:val="20"/>
              </w:rPr>
              <w:t>Class II</w:t>
            </w:r>
          </w:p>
        </w:tc>
        <w:tc>
          <w:tcPr>
            <w:tcW w:w="1705" w:type="dxa"/>
            <w:vAlign w:val="bottom"/>
          </w:tcPr>
          <w:p w14:paraId="6FE20B3E" w14:textId="77777777" w:rsidR="00872C03" w:rsidRPr="00883399" w:rsidRDefault="00872C03" w:rsidP="0031057E">
            <w:pPr>
              <w:jc w:val="center"/>
              <w:rPr>
                <w:rFonts w:ascii="Arial" w:hAnsi="Arial" w:cs="Arial"/>
                <w:sz w:val="20"/>
                <w:szCs w:val="20"/>
              </w:rPr>
            </w:pPr>
            <w:r w:rsidRPr="00883399">
              <w:rPr>
                <w:rFonts w:ascii="Arial" w:hAnsi="Arial" w:cs="Arial"/>
                <w:sz w:val="20"/>
                <w:szCs w:val="20"/>
              </w:rPr>
              <w:t>Class III</w:t>
            </w:r>
          </w:p>
        </w:tc>
        <w:tc>
          <w:tcPr>
            <w:tcW w:w="1705" w:type="dxa"/>
            <w:vAlign w:val="bottom"/>
          </w:tcPr>
          <w:p w14:paraId="4DD643F5" w14:textId="77777777" w:rsidR="00872C03" w:rsidRPr="00883399" w:rsidRDefault="00872C03" w:rsidP="0031057E">
            <w:pPr>
              <w:jc w:val="center"/>
              <w:rPr>
                <w:rFonts w:ascii="Arial" w:hAnsi="Arial" w:cs="Arial"/>
                <w:sz w:val="20"/>
                <w:szCs w:val="20"/>
              </w:rPr>
            </w:pPr>
            <w:r w:rsidRPr="00883399">
              <w:rPr>
                <w:rFonts w:ascii="Arial" w:hAnsi="Arial" w:cs="Arial"/>
                <w:sz w:val="20"/>
                <w:szCs w:val="20"/>
              </w:rPr>
              <w:t>Class IIII</w:t>
            </w:r>
          </w:p>
        </w:tc>
      </w:tr>
      <w:tr w:rsidR="00872C03" w:rsidRPr="00883399" w14:paraId="57B37F73" w14:textId="77777777" w:rsidTr="0031057E">
        <w:tc>
          <w:tcPr>
            <w:tcW w:w="1368" w:type="dxa"/>
          </w:tcPr>
          <w:p w14:paraId="2020A813" w14:textId="77777777" w:rsidR="00872C03" w:rsidRPr="00883399" w:rsidRDefault="00872C03" w:rsidP="0031057E">
            <w:pPr>
              <w:pStyle w:val="Table"/>
              <w:jc w:val="center"/>
            </w:pPr>
            <w:r w:rsidRPr="00883399">
              <w:t>±1.0 e</w:t>
            </w:r>
          </w:p>
          <w:p w14:paraId="1FDCB067" w14:textId="77777777" w:rsidR="00872C03" w:rsidRPr="00883399" w:rsidRDefault="00872C03" w:rsidP="0031057E">
            <w:pPr>
              <w:pStyle w:val="Table"/>
              <w:jc w:val="center"/>
            </w:pPr>
            <w:r w:rsidRPr="00883399">
              <w:t>±2.0 e</w:t>
            </w:r>
          </w:p>
          <w:p w14:paraId="70682E8A" w14:textId="77777777" w:rsidR="00872C03" w:rsidRPr="00883399" w:rsidRDefault="00872C03" w:rsidP="0031057E">
            <w:pPr>
              <w:jc w:val="center"/>
              <w:rPr>
                <w:rFonts w:ascii="Arial" w:hAnsi="Arial" w:cs="Arial"/>
                <w:sz w:val="16"/>
                <w:szCs w:val="16"/>
              </w:rPr>
            </w:pPr>
            <w:r w:rsidRPr="00883399">
              <w:rPr>
                <w:rFonts w:ascii="Arial" w:hAnsi="Arial" w:cs="Arial"/>
                <w:sz w:val="16"/>
                <w:szCs w:val="16"/>
              </w:rPr>
              <w:t>±3.0 e</w:t>
            </w:r>
          </w:p>
        </w:tc>
        <w:tc>
          <w:tcPr>
            <w:tcW w:w="1800" w:type="dxa"/>
          </w:tcPr>
          <w:p w14:paraId="67CE5D24" w14:textId="77777777" w:rsidR="00872C03" w:rsidRPr="00883399" w:rsidRDefault="00872C03" w:rsidP="0031057E">
            <w:pPr>
              <w:pStyle w:val="Table"/>
              <w:jc w:val="center"/>
            </w:pPr>
            <w:r w:rsidRPr="00883399">
              <w:t>0 ≤ m ≤ 50 000</w:t>
            </w:r>
          </w:p>
          <w:p w14:paraId="72D81567" w14:textId="77777777" w:rsidR="00872C03" w:rsidRPr="00883399" w:rsidRDefault="00872C03" w:rsidP="0031057E">
            <w:pPr>
              <w:pStyle w:val="Table"/>
              <w:jc w:val="center"/>
            </w:pPr>
            <w:r w:rsidRPr="00883399">
              <w:t>50 000 &lt; m ≤ 200 000</w:t>
            </w:r>
          </w:p>
          <w:p w14:paraId="66B9FCC3" w14:textId="77777777" w:rsidR="00872C03" w:rsidRPr="00883399" w:rsidRDefault="00872C03" w:rsidP="0031057E">
            <w:pPr>
              <w:jc w:val="center"/>
              <w:rPr>
                <w:rFonts w:ascii="Arial" w:hAnsi="Arial" w:cs="Arial"/>
                <w:sz w:val="16"/>
                <w:szCs w:val="16"/>
              </w:rPr>
            </w:pPr>
            <w:r w:rsidRPr="00883399">
              <w:rPr>
                <w:rFonts w:ascii="Arial" w:hAnsi="Arial" w:cs="Arial"/>
                <w:sz w:val="16"/>
                <w:szCs w:val="16"/>
              </w:rPr>
              <w:t>200 000 &lt; m</w:t>
            </w:r>
          </w:p>
        </w:tc>
        <w:tc>
          <w:tcPr>
            <w:tcW w:w="1944" w:type="dxa"/>
          </w:tcPr>
          <w:p w14:paraId="0822B7DC" w14:textId="77777777" w:rsidR="00872C03" w:rsidRPr="00883399" w:rsidRDefault="00872C03" w:rsidP="0031057E">
            <w:pPr>
              <w:pStyle w:val="Table"/>
              <w:jc w:val="center"/>
            </w:pPr>
            <w:r w:rsidRPr="00883399">
              <w:t>0 ≤ m ≤ 5 000</w:t>
            </w:r>
          </w:p>
          <w:p w14:paraId="36F41F6E" w14:textId="77777777" w:rsidR="00872C03" w:rsidRPr="00883399" w:rsidRDefault="00872C03" w:rsidP="0031057E">
            <w:pPr>
              <w:pStyle w:val="Table"/>
              <w:jc w:val="center"/>
            </w:pPr>
            <w:r w:rsidRPr="00883399">
              <w:t>5 000 &lt; m ≤ 20 000</w:t>
            </w:r>
          </w:p>
          <w:p w14:paraId="4E6694C1" w14:textId="77777777" w:rsidR="00872C03" w:rsidRPr="00883399" w:rsidRDefault="00872C03" w:rsidP="0031057E">
            <w:pPr>
              <w:jc w:val="center"/>
              <w:rPr>
                <w:rFonts w:ascii="Arial" w:hAnsi="Arial" w:cs="Arial"/>
                <w:sz w:val="16"/>
                <w:szCs w:val="16"/>
              </w:rPr>
            </w:pPr>
            <w:r w:rsidRPr="00883399">
              <w:rPr>
                <w:rFonts w:ascii="Arial" w:hAnsi="Arial" w:cs="Arial"/>
                <w:sz w:val="16"/>
                <w:szCs w:val="16"/>
              </w:rPr>
              <w:t>20 000 &lt; m ≤ 100 000</w:t>
            </w:r>
          </w:p>
        </w:tc>
        <w:tc>
          <w:tcPr>
            <w:tcW w:w="1705" w:type="dxa"/>
          </w:tcPr>
          <w:p w14:paraId="50658921" w14:textId="77777777" w:rsidR="00872C03" w:rsidRPr="00883399" w:rsidRDefault="00872C03" w:rsidP="0031057E">
            <w:pPr>
              <w:pStyle w:val="Table"/>
              <w:jc w:val="center"/>
            </w:pPr>
            <w:r w:rsidRPr="00883399">
              <w:t>0 ≤ m ≤ 500</w:t>
            </w:r>
          </w:p>
          <w:p w14:paraId="624A88BC" w14:textId="77777777" w:rsidR="00872C03" w:rsidRPr="00883399" w:rsidRDefault="00872C03" w:rsidP="0031057E">
            <w:pPr>
              <w:pStyle w:val="Table"/>
              <w:jc w:val="center"/>
            </w:pPr>
            <w:r w:rsidRPr="00883399">
              <w:t>500 &lt; m ≤ 2 000</w:t>
            </w:r>
          </w:p>
          <w:p w14:paraId="606C74A7" w14:textId="77777777" w:rsidR="00872C03" w:rsidRPr="00883399" w:rsidRDefault="00872C03" w:rsidP="0031057E">
            <w:pPr>
              <w:jc w:val="center"/>
              <w:rPr>
                <w:rFonts w:ascii="Arial" w:hAnsi="Arial" w:cs="Arial"/>
                <w:sz w:val="16"/>
                <w:szCs w:val="16"/>
              </w:rPr>
            </w:pPr>
            <w:r w:rsidRPr="00883399">
              <w:rPr>
                <w:rFonts w:ascii="Arial" w:hAnsi="Arial" w:cs="Arial"/>
                <w:sz w:val="16"/>
                <w:szCs w:val="16"/>
              </w:rPr>
              <w:t>2 000 &lt; m ≤ 10 000</w:t>
            </w:r>
          </w:p>
        </w:tc>
        <w:tc>
          <w:tcPr>
            <w:tcW w:w="1705" w:type="dxa"/>
          </w:tcPr>
          <w:p w14:paraId="3BC41B23" w14:textId="77777777" w:rsidR="00872C03" w:rsidRPr="00883399" w:rsidRDefault="00872C03" w:rsidP="0031057E">
            <w:pPr>
              <w:pStyle w:val="Table"/>
              <w:jc w:val="center"/>
            </w:pPr>
            <w:r w:rsidRPr="00883399">
              <w:t>0 ≤ m ≤ 50</w:t>
            </w:r>
          </w:p>
          <w:p w14:paraId="6D51D9D7" w14:textId="77777777" w:rsidR="00872C03" w:rsidRPr="00883399" w:rsidRDefault="00872C03" w:rsidP="0031057E">
            <w:pPr>
              <w:pStyle w:val="Table"/>
              <w:jc w:val="center"/>
            </w:pPr>
            <w:r w:rsidRPr="00883399">
              <w:t>50 &lt; m ≤ 200</w:t>
            </w:r>
          </w:p>
          <w:p w14:paraId="781EFBEC" w14:textId="77777777" w:rsidR="00872C03" w:rsidRPr="00883399" w:rsidRDefault="00872C03" w:rsidP="0031057E">
            <w:pPr>
              <w:jc w:val="center"/>
              <w:rPr>
                <w:rFonts w:ascii="Arial" w:hAnsi="Arial" w:cs="Arial"/>
                <w:sz w:val="16"/>
                <w:szCs w:val="16"/>
              </w:rPr>
            </w:pPr>
            <w:r w:rsidRPr="00883399">
              <w:rPr>
                <w:rFonts w:ascii="Arial" w:hAnsi="Arial" w:cs="Arial"/>
                <w:sz w:val="16"/>
                <w:szCs w:val="16"/>
              </w:rPr>
              <w:t>200 &lt; m ≤ 1 000</w:t>
            </w:r>
          </w:p>
        </w:tc>
      </w:tr>
    </w:tbl>
    <w:p w14:paraId="1C2D3C37" w14:textId="77777777" w:rsidR="00872C03" w:rsidRPr="00883399" w:rsidRDefault="00872C03" w:rsidP="00872C03">
      <w:pPr>
        <w:rPr>
          <w:rFonts w:ascii="Arial" w:hAnsi="Arial"/>
          <w:sz w:val="16"/>
          <w:szCs w:val="16"/>
        </w:rPr>
      </w:pPr>
      <w:r w:rsidRPr="00883399">
        <w:rPr>
          <w:rFonts w:ascii="Arial" w:hAnsi="Arial"/>
          <w:sz w:val="16"/>
          <w:szCs w:val="16"/>
        </w:rPr>
        <w:t>Source:</w:t>
      </w:r>
      <w:r w:rsidRPr="00883399">
        <w:rPr>
          <w:rFonts w:ascii="Arial" w:hAnsi="Arial"/>
          <w:sz w:val="16"/>
          <w:szCs w:val="16"/>
        </w:rPr>
        <w:tab/>
        <w:t>National Measurement Institute NMI R 76-1 Non-automatic Weighing Instruments. Part 1:</w:t>
      </w:r>
    </w:p>
    <w:p w14:paraId="0E6BD0DE" w14:textId="77777777" w:rsidR="00872C03" w:rsidRPr="00883399" w:rsidRDefault="00872C03" w:rsidP="00872C03">
      <w:pPr>
        <w:ind w:firstLine="709"/>
        <w:rPr>
          <w:rFonts w:ascii="Arial" w:hAnsi="Arial"/>
          <w:sz w:val="16"/>
          <w:szCs w:val="16"/>
        </w:rPr>
      </w:pPr>
      <w:r w:rsidRPr="00883399">
        <w:rPr>
          <w:rFonts w:ascii="Arial" w:hAnsi="Arial"/>
          <w:sz w:val="16"/>
          <w:szCs w:val="16"/>
        </w:rPr>
        <w:t>Metrological and Technical Requirements — Tests</w:t>
      </w:r>
    </w:p>
    <w:p w14:paraId="593881AE" w14:textId="77777777" w:rsidR="00872C03" w:rsidRPr="00883399" w:rsidRDefault="00872C03" w:rsidP="00872C03">
      <w:pPr>
        <w:rPr>
          <w:rFonts w:ascii="Arial" w:hAnsi="Arial"/>
          <w:sz w:val="16"/>
          <w:szCs w:val="16"/>
        </w:rPr>
      </w:pPr>
    </w:p>
    <w:p w14:paraId="67D3D06B" w14:textId="77777777" w:rsidR="00872C03" w:rsidRPr="00883399" w:rsidRDefault="00872C03" w:rsidP="00872C03">
      <w:pPr>
        <w:rPr>
          <w:sz w:val="20"/>
          <w:szCs w:val="20"/>
        </w:rPr>
      </w:pPr>
      <w:r w:rsidRPr="00883399">
        <w:rPr>
          <w:sz w:val="20"/>
          <w:szCs w:val="20"/>
        </w:rPr>
        <w:t>Accuracy classes for weigh bridges as defined in NMI R 76-1 document are:</w:t>
      </w:r>
    </w:p>
    <w:p w14:paraId="43EF7B67" w14:textId="77777777" w:rsidR="00872C03" w:rsidRPr="00883399" w:rsidRDefault="00872C03" w:rsidP="00872C03">
      <w:pPr>
        <w:outlineLvl w:val="0"/>
        <w:rPr>
          <w:sz w:val="20"/>
          <w:szCs w:val="20"/>
        </w:rPr>
      </w:pPr>
      <w:r w:rsidRPr="00883399">
        <w:rPr>
          <w:sz w:val="20"/>
          <w:szCs w:val="20"/>
        </w:rPr>
        <w:t>Special accuracy – Class I</w:t>
      </w:r>
    </w:p>
    <w:p w14:paraId="555DF2C9" w14:textId="77777777" w:rsidR="00872C03" w:rsidRPr="00883399" w:rsidRDefault="00872C03" w:rsidP="00872C03">
      <w:pPr>
        <w:rPr>
          <w:sz w:val="20"/>
          <w:szCs w:val="20"/>
        </w:rPr>
      </w:pPr>
      <w:r w:rsidRPr="00883399">
        <w:rPr>
          <w:sz w:val="20"/>
          <w:szCs w:val="20"/>
        </w:rPr>
        <w:t>High accuracy – Class II</w:t>
      </w:r>
    </w:p>
    <w:p w14:paraId="1037F718" w14:textId="77777777" w:rsidR="00872C03" w:rsidRPr="00883399" w:rsidRDefault="00872C03" w:rsidP="00872C03">
      <w:pPr>
        <w:rPr>
          <w:sz w:val="20"/>
          <w:szCs w:val="20"/>
        </w:rPr>
      </w:pPr>
      <w:r w:rsidRPr="00883399">
        <w:rPr>
          <w:sz w:val="20"/>
          <w:szCs w:val="20"/>
        </w:rPr>
        <w:t>Medium accuracy – Class III</w:t>
      </w:r>
    </w:p>
    <w:p w14:paraId="4E0F00AD" w14:textId="77777777" w:rsidR="00872C03" w:rsidRPr="00883399" w:rsidRDefault="00872C03" w:rsidP="00872C03">
      <w:pPr>
        <w:rPr>
          <w:sz w:val="20"/>
          <w:szCs w:val="20"/>
        </w:rPr>
      </w:pPr>
      <w:r w:rsidRPr="00883399">
        <w:rPr>
          <w:sz w:val="20"/>
          <w:szCs w:val="20"/>
        </w:rPr>
        <w:t>Ordinary accuracy – Class IIII</w:t>
      </w:r>
    </w:p>
    <w:p w14:paraId="3099C617" w14:textId="77777777" w:rsidR="00872C03" w:rsidRPr="00883399" w:rsidRDefault="00872C03" w:rsidP="00872C03">
      <w:pPr>
        <w:pStyle w:val="paragraph"/>
        <w:rPr>
          <w:sz w:val="24"/>
        </w:rPr>
      </w:pPr>
    </w:p>
    <w:p w14:paraId="165120A6" w14:textId="45207F7C" w:rsidR="00872C03" w:rsidRPr="00883399" w:rsidRDefault="00872C03" w:rsidP="00872C03">
      <w:pPr>
        <w:pStyle w:val="ActHead5"/>
        <w:rPr>
          <w:sz w:val="28"/>
        </w:rPr>
      </w:pPr>
      <w:bookmarkStart w:id="203" w:name="_Toc423516759"/>
      <w:bookmarkStart w:id="204" w:name="_Toc495652673"/>
      <w:r w:rsidRPr="00883399">
        <w:rPr>
          <w:rStyle w:val="CharSectno"/>
          <w:sz w:val="28"/>
        </w:rPr>
        <w:t>2.17</w:t>
      </w:r>
      <w:r w:rsidRPr="00883399">
        <w:rPr>
          <w:sz w:val="28"/>
        </w:rPr>
        <w:t xml:space="preserve">  Simplified consumption measurements—criterion BBB</w:t>
      </w:r>
      <w:bookmarkEnd w:id="203"/>
      <w:bookmarkEnd w:id="204"/>
    </w:p>
    <w:p w14:paraId="415E2DF0" w14:textId="77777777" w:rsidR="00872C03" w:rsidRPr="00883399" w:rsidRDefault="00872C03" w:rsidP="00872C03">
      <w:pPr>
        <w:pStyle w:val="subsection"/>
        <w:rPr>
          <w:sz w:val="24"/>
        </w:rPr>
      </w:pPr>
      <w:r w:rsidRPr="00883399">
        <w:rPr>
          <w:sz w:val="24"/>
        </w:rPr>
        <w:tab/>
      </w:r>
      <w:r w:rsidRPr="00883399">
        <w:rPr>
          <w:sz w:val="24"/>
        </w:rPr>
        <w:tab/>
        <w:t>For paragraph 2.14(d), criterion BBB is the estimation of the solid fuel combusted during a year from the operation of the facility in accordance with industry practice if the equipment used to measure combustion of the fuel is not calibrated to a measurement requirement.</w:t>
      </w:r>
    </w:p>
    <w:p w14:paraId="55151B6A" w14:textId="77777777" w:rsidR="00872C03" w:rsidRPr="00883399" w:rsidRDefault="00872C03" w:rsidP="00872C03">
      <w:pPr>
        <w:pStyle w:val="notetext"/>
        <w:rPr>
          <w:sz w:val="20"/>
        </w:rPr>
      </w:pPr>
      <w:r w:rsidRPr="00883399">
        <w:rPr>
          <w:sz w:val="20"/>
        </w:rPr>
        <w:t>Note:</w:t>
      </w:r>
      <w:r w:rsidRPr="00883399">
        <w:rPr>
          <w:sz w:val="20"/>
        </w:rPr>
        <w:tab/>
        <w:t>An estimate obtained using industry practice must be consistent with the principles in section 1.13.</w:t>
      </w:r>
    </w:p>
    <w:p w14:paraId="25C9996F" w14:textId="66CF52BD" w:rsidR="00872C03" w:rsidRPr="00883399" w:rsidRDefault="00872C03" w:rsidP="00872C03">
      <w:pPr>
        <w:pStyle w:val="ActHead2"/>
        <w:pageBreakBefore/>
        <w:rPr>
          <w:sz w:val="36"/>
        </w:rPr>
      </w:pPr>
      <w:bookmarkStart w:id="205" w:name="_Toc423516760"/>
      <w:bookmarkStart w:id="206" w:name="_Toc495652674"/>
      <w:r w:rsidRPr="00883399">
        <w:rPr>
          <w:rStyle w:val="CharPartNo"/>
          <w:sz w:val="36"/>
        </w:rPr>
        <w:lastRenderedPageBreak/>
        <w:t>Part 2.3</w:t>
      </w:r>
      <w:r w:rsidRPr="00883399">
        <w:rPr>
          <w:sz w:val="36"/>
        </w:rPr>
        <w:t>—</w:t>
      </w:r>
      <w:r w:rsidRPr="00883399">
        <w:rPr>
          <w:rStyle w:val="CharPartText"/>
          <w:sz w:val="36"/>
        </w:rPr>
        <w:t>Emissions released from the combustion of gaseous fuels</w:t>
      </w:r>
      <w:bookmarkEnd w:id="205"/>
      <w:bookmarkEnd w:id="206"/>
    </w:p>
    <w:p w14:paraId="42100EB1" w14:textId="1B3FAA95" w:rsidR="00872C03" w:rsidRPr="00883399" w:rsidRDefault="00872C03" w:rsidP="00872C03">
      <w:pPr>
        <w:pStyle w:val="ActHead3"/>
        <w:rPr>
          <w:sz w:val="32"/>
        </w:rPr>
      </w:pPr>
      <w:bookmarkStart w:id="207" w:name="_Toc423516761"/>
      <w:bookmarkStart w:id="208" w:name="_Toc495652675"/>
      <w:r w:rsidRPr="00883399">
        <w:rPr>
          <w:rStyle w:val="CharDivNo"/>
          <w:sz w:val="32"/>
        </w:rPr>
        <w:t>Division 2.3.1</w:t>
      </w:r>
      <w:r w:rsidRPr="00883399">
        <w:rPr>
          <w:sz w:val="32"/>
        </w:rPr>
        <w:t>—</w:t>
      </w:r>
      <w:r w:rsidRPr="00883399">
        <w:rPr>
          <w:rStyle w:val="CharDivText"/>
          <w:sz w:val="32"/>
        </w:rPr>
        <w:t>Preliminary</w:t>
      </w:r>
      <w:bookmarkEnd w:id="207"/>
      <w:bookmarkEnd w:id="208"/>
    </w:p>
    <w:p w14:paraId="7D106E32" w14:textId="4534D61F" w:rsidR="00872C03" w:rsidRPr="00883399" w:rsidRDefault="00872C03" w:rsidP="00872C03">
      <w:pPr>
        <w:pStyle w:val="ActHead5"/>
        <w:rPr>
          <w:sz w:val="28"/>
        </w:rPr>
      </w:pPr>
      <w:bookmarkStart w:id="209" w:name="_Toc423516762"/>
      <w:bookmarkStart w:id="210" w:name="_Toc495652676"/>
      <w:r w:rsidRPr="00883399">
        <w:rPr>
          <w:rStyle w:val="CharSectno"/>
          <w:sz w:val="28"/>
        </w:rPr>
        <w:t>2.18</w:t>
      </w:r>
      <w:r w:rsidRPr="00883399">
        <w:rPr>
          <w:sz w:val="28"/>
        </w:rPr>
        <w:t xml:space="preserve">  Application</w:t>
      </w:r>
      <w:bookmarkEnd w:id="209"/>
      <w:bookmarkEnd w:id="210"/>
    </w:p>
    <w:p w14:paraId="7A606275" w14:textId="77777777" w:rsidR="00872C03" w:rsidRPr="00883399" w:rsidRDefault="00872C03" w:rsidP="00872C03">
      <w:pPr>
        <w:pStyle w:val="R2"/>
        <w:spacing w:line="312" w:lineRule="auto"/>
        <w:ind w:left="0" w:firstLine="0"/>
        <w:rPr>
          <w:rFonts w:ascii="Arial" w:hAnsi="Arial" w:cs="Arial"/>
          <w:sz w:val="22"/>
          <w:szCs w:val="22"/>
          <w:lang w:eastAsia="en-US"/>
        </w:rPr>
      </w:pPr>
      <w:r w:rsidRPr="00883399">
        <w:rPr>
          <w:rFonts w:ascii="Arial" w:hAnsi="Arial" w:cs="Arial"/>
          <w:sz w:val="22"/>
          <w:szCs w:val="22"/>
          <w:lang w:eastAsia="en-US"/>
        </w:rPr>
        <w:t>From the 2013-14 reporting year the measurement and reporting of emissions and energy associated with the combustion of a gaseous fuel is optional if the quantity of gaseous fuel combusted in a separate instance of a source is 1,000 cubic metres or less. Separate instance of a source is defined in section 1.9A. Amounts below the reporting threshold may still be reported if doing so is more efficient for the reporter.</w:t>
      </w:r>
    </w:p>
    <w:p w14:paraId="5EAE0ABA" w14:textId="77777777" w:rsidR="00872C03" w:rsidRPr="00883399" w:rsidRDefault="00872C03" w:rsidP="00872C03">
      <w:pPr>
        <w:pStyle w:val="subsection"/>
        <w:rPr>
          <w:sz w:val="24"/>
        </w:rPr>
      </w:pPr>
      <w:r w:rsidRPr="00883399">
        <w:rPr>
          <w:sz w:val="24"/>
        </w:rPr>
        <w:tab/>
      </w:r>
      <w:r w:rsidRPr="00883399">
        <w:rPr>
          <w:sz w:val="24"/>
        </w:rPr>
        <w:tab/>
        <w:t>This Part applies to emissions released from the combustion of gaseous fuels in relation to a separate instance of a source if the amount of gaseous fuel combusted in relation to the separate instance of the source is more than 1000 cubic metres.</w:t>
      </w:r>
    </w:p>
    <w:p w14:paraId="55DE74E2" w14:textId="26BAFC29" w:rsidR="00872C03" w:rsidRPr="00883399" w:rsidRDefault="00872C03" w:rsidP="00872C03">
      <w:pPr>
        <w:pStyle w:val="ActHead5"/>
        <w:rPr>
          <w:sz w:val="28"/>
        </w:rPr>
      </w:pPr>
      <w:bookmarkStart w:id="211" w:name="_Toc423516763"/>
      <w:bookmarkStart w:id="212" w:name="_Toc495652677"/>
      <w:r w:rsidRPr="00883399">
        <w:rPr>
          <w:rStyle w:val="CharSectno"/>
          <w:sz w:val="28"/>
        </w:rPr>
        <w:t>2.19</w:t>
      </w:r>
      <w:r w:rsidRPr="00883399">
        <w:rPr>
          <w:sz w:val="28"/>
        </w:rPr>
        <w:t xml:space="preserve">  Available methods</w:t>
      </w:r>
      <w:bookmarkEnd w:id="211"/>
      <w:bookmarkEnd w:id="212"/>
    </w:p>
    <w:p w14:paraId="5236F0D8" w14:textId="77777777" w:rsidR="00872C03" w:rsidRPr="00883399" w:rsidRDefault="00872C03" w:rsidP="00872C03">
      <w:pPr>
        <w:pStyle w:val="subsection"/>
        <w:rPr>
          <w:sz w:val="24"/>
        </w:rPr>
      </w:pPr>
      <w:r w:rsidRPr="00883399">
        <w:rPr>
          <w:sz w:val="24"/>
        </w:rPr>
        <w:tab/>
        <w:t>(1)</w:t>
      </w:r>
      <w:r w:rsidRPr="00883399">
        <w:rPr>
          <w:sz w:val="24"/>
        </w:rPr>
        <w:tab/>
        <w:t>Subject to section 1.18, for estimating emissions released from the combustion of a gaseous fuel consumed from the operation of a facility during a year:</w:t>
      </w:r>
    </w:p>
    <w:p w14:paraId="20C27A25" w14:textId="77777777" w:rsidR="00872C03" w:rsidRPr="00883399" w:rsidRDefault="00872C03" w:rsidP="00872C03">
      <w:pPr>
        <w:pStyle w:val="paragraph"/>
        <w:rPr>
          <w:sz w:val="24"/>
          <w:vertAlign w:val="subscript"/>
        </w:rPr>
      </w:pPr>
      <w:r w:rsidRPr="00883399">
        <w:rPr>
          <w:sz w:val="24"/>
        </w:rPr>
        <w:tab/>
        <w:t>(a)</w:t>
      </w:r>
      <w:r w:rsidRPr="00883399">
        <w:rPr>
          <w:sz w:val="24"/>
        </w:rPr>
        <w:tab/>
        <w:t>one of the following methods must be used for estimating emissions of carbon dioxide:</w:t>
      </w:r>
    </w:p>
    <w:p w14:paraId="5FD49197" w14:textId="77777777" w:rsidR="00872C03" w:rsidRPr="00883399" w:rsidRDefault="00872C03" w:rsidP="00872C03">
      <w:pPr>
        <w:pStyle w:val="paragraphsub"/>
        <w:rPr>
          <w:sz w:val="24"/>
        </w:rPr>
      </w:pPr>
      <w:r w:rsidRPr="00883399">
        <w:rPr>
          <w:sz w:val="24"/>
          <w:vertAlign w:val="subscript"/>
        </w:rPr>
        <w:tab/>
      </w:r>
      <w:r w:rsidRPr="00883399">
        <w:rPr>
          <w:sz w:val="24"/>
        </w:rPr>
        <w:t>(i)</w:t>
      </w:r>
      <w:r w:rsidRPr="00883399">
        <w:rPr>
          <w:sz w:val="24"/>
        </w:rPr>
        <w:tab/>
        <w:t>method 1 under section 2.20;</w:t>
      </w:r>
    </w:p>
    <w:p w14:paraId="78E237E0" w14:textId="77777777" w:rsidR="00872C03" w:rsidRPr="00883399" w:rsidRDefault="00872C03" w:rsidP="00872C03">
      <w:pPr>
        <w:pStyle w:val="paragraphsub"/>
        <w:rPr>
          <w:sz w:val="24"/>
        </w:rPr>
      </w:pPr>
      <w:r w:rsidRPr="00883399">
        <w:rPr>
          <w:sz w:val="24"/>
        </w:rPr>
        <w:tab/>
        <w:t>(ii)</w:t>
      </w:r>
      <w:r w:rsidRPr="00883399">
        <w:rPr>
          <w:sz w:val="24"/>
        </w:rPr>
        <w:tab/>
        <w:t>method 2 under section 2.21;</w:t>
      </w:r>
    </w:p>
    <w:p w14:paraId="19868D67" w14:textId="77777777" w:rsidR="00872C03" w:rsidRPr="00883399" w:rsidRDefault="00872C03" w:rsidP="00872C03">
      <w:pPr>
        <w:pStyle w:val="paragraphsub"/>
        <w:rPr>
          <w:sz w:val="24"/>
        </w:rPr>
      </w:pPr>
      <w:r w:rsidRPr="00883399">
        <w:rPr>
          <w:sz w:val="24"/>
        </w:rPr>
        <w:tab/>
        <w:t>(iii)</w:t>
      </w:r>
      <w:r w:rsidRPr="00883399">
        <w:rPr>
          <w:sz w:val="24"/>
        </w:rPr>
        <w:tab/>
        <w:t>method 3 under section 2.26;</w:t>
      </w:r>
    </w:p>
    <w:p w14:paraId="59EB7A2A" w14:textId="77777777" w:rsidR="00872C03" w:rsidRPr="00883399" w:rsidRDefault="00872C03" w:rsidP="00872C03">
      <w:pPr>
        <w:pStyle w:val="paragraphsub"/>
        <w:rPr>
          <w:sz w:val="24"/>
        </w:rPr>
      </w:pPr>
      <w:r w:rsidRPr="00883399">
        <w:rPr>
          <w:sz w:val="24"/>
        </w:rPr>
        <w:tab/>
        <w:t>(iv)</w:t>
      </w:r>
      <w:r w:rsidRPr="00883399">
        <w:rPr>
          <w:sz w:val="24"/>
        </w:rPr>
        <w:tab/>
        <w:t>method 4 under Part 1.3; and</w:t>
      </w:r>
    </w:p>
    <w:p w14:paraId="39BA7D9E" w14:textId="77777777" w:rsidR="00872C03" w:rsidRPr="00883399" w:rsidRDefault="00872C03" w:rsidP="00872C03">
      <w:pPr>
        <w:pStyle w:val="paragraph"/>
        <w:rPr>
          <w:sz w:val="24"/>
        </w:rPr>
      </w:pPr>
      <w:r w:rsidRPr="00883399">
        <w:rPr>
          <w:sz w:val="24"/>
        </w:rPr>
        <w:tab/>
        <w:t>(b)</w:t>
      </w:r>
      <w:r w:rsidRPr="00883399">
        <w:rPr>
          <w:sz w:val="24"/>
        </w:rPr>
        <w:tab/>
        <w:t>one of the following methods must be used for estimating emissions of methane:</w:t>
      </w:r>
    </w:p>
    <w:p w14:paraId="4271E081" w14:textId="77777777" w:rsidR="00872C03" w:rsidRPr="00883399" w:rsidRDefault="00872C03" w:rsidP="00872C03">
      <w:pPr>
        <w:pStyle w:val="paragraphsub"/>
        <w:rPr>
          <w:sz w:val="24"/>
        </w:rPr>
      </w:pPr>
      <w:r w:rsidRPr="00883399">
        <w:rPr>
          <w:sz w:val="24"/>
        </w:rPr>
        <w:tab/>
        <w:t>(i)</w:t>
      </w:r>
      <w:r w:rsidRPr="00883399">
        <w:rPr>
          <w:sz w:val="24"/>
        </w:rPr>
        <w:tab/>
        <w:t>method 1 under section 2.20;</w:t>
      </w:r>
    </w:p>
    <w:p w14:paraId="25BE80FE" w14:textId="77777777" w:rsidR="00872C03" w:rsidRPr="00883399" w:rsidRDefault="00872C03" w:rsidP="00872C03">
      <w:pPr>
        <w:pStyle w:val="paragraphsub"/>
        <w:rPr>
          <w:sz w:val="24"/>
        </w:rPr>
      </w:pPr>
      <w:r w:rsidRPr="00883399">
        <w:rPr>
          <w:sz w:val="24"/>
        </w:rPr>
        <w:tab/>
        <w:t>(ii)</w:t>
      </w:r>
      <w:r w:rsidRPr="00883399">
        <w:rPr>
          <w:sz w:val="24"/>
        </w:rPr>
        <w:tab/>
        <w:t>method 2 under section 2.27; and</w:t>
      </w:r>
    </w:p>
    <w:p w14:paraId="186758BB" w14:textId="77777777" w:rsidR="00872C03" w:rsidRPr="00883399" w:rsidRDefault="00872C03" w:rsidP="00872C03">
      <w:pPr>
        <w:pStyle w:val="paragraph"/>
        <w:rPr>
          <w:sz w:val="24"/>
        </w:rPr>
      </w:pPr>
      <w:r w:rsidRPr="00883399">
        <w:rPr>
          <w:sz w:val="24"/>
        </w:rPr>
        <w:tab/>
        <w:t>(c)</w:t>
      </w:r>
      <w:r w:rsidRPr="00883399">
        <w:rPr>
          <w:sz w:val="24"/>
        </w:rPr>
        <w:tab/>
        <w:t>method 1 under section 2.20 must be used for estimating emissions of nitrous oxide.</w:t>
      </w:r>
    </w:p>
    <w:p w14:paraId="4FC3CA36" w14:textId="77777777" w:rsidR="00872C03" w:rsidRPr="00883399" w:rsidRDefault="00872C03" w:rsidP="00872C03">
      <w:pPr>
        <w:pStyle w:val="notetext"/>
        <w:rPr>
          <w:sz w:val="20"/>
        </w:rPr>
      </w:pPr>
      <w:r w:rsidRPr="00883399">
        <w:rPr>
          <w:sz w:val="20"/>
        </w:rPr>
        <w:t>Note:</w:t>
      </w:r>
      <w:r w:rsidRPr="00883399">
        <w:rPr>
          <w:sz w:val="20"/>
        </w:rPr>
        <w:tab/>
        <w:t>The combustion of gaseous fuels releases emissions of carbon dioxide, methane and nitrous oxide. Method 1 is used to estimate emissions of each of these gases. There is no method 3 or 4 for emissions of methane and no method 2, 3 or 4 for emissions of nitrous oxide.</w:t>
      </w:r>
    </w:p>
    <w:p w14:paraId="25315003" w14:textId="77777777" w:rsidR="00872C03" w:rsidRPr="00883399" w:rsidRDefault="00872C03" w:rsidP="00872C03">
      <w:pPr>
        <w:pStyle w:val="subsection"/>
        <w:rPr>
          <w:sz w:val="24"/>
        </w:rPr>
      </w:pPr>
      <w:r w:rsidRPr="00883399">
        <w:rPr>
          <w:sz w:val="24"/>
        </w:rPr>
        <w:tab/>
        <w:t>(2)</w:t>
      </w:r>
      <w:r w:rsidRPr="00883399">
        <w:rPr>
          <w:sz w:val="24"/>
        </w:rPr>
        <w:tab/>
        <w:t>However, for incidental emissions another method may be used that is consistent with the principles in section 1.13.</w:t>
      </w:r>
    </w:p>
    <w:p w14:paraId="6FD7471F" w14:textId="77777777" w:rsidR="00872C03" w:rsidRPr="00883399" w:rsidRDefault="00872C03" w:rsidP="00872C03">
      <w:pPr>
        <w:pStyle w:val="subsection"/>
        <w:rPr>
          <w:sz w:val="24"/>
        </w:rPr>
      </w:pPr>
      <w:r w:rsidRPr="00883399">
        <w:rPr>
          <w:sz w:val="24"/>
        </w:rPr>
        <w:lastRenderedPageBreak/>
        <w:tab/>
        <w:t>(3)</w:t>
      </w:r>
      <w:r w:rsidRPr="00883399">
        <w:rPr>
          <w:sz w:val="24"/>
        </w:rPr>
        <w:tab/>
        <w:t>Method 1 must not be used for estimating emissions of carbon dioxide for the main fuel combusted from the operation of the facility if:</w:t>
      </w:r>
    </w:p>
    <w:p w14:paraId="30D06DC5" w14:textId="77777777" w:rsidR="00872C03" w:rsidRPr="00883399" w:rsidRDefault="00872C03" w:rsidP="00872C03">
      <w:pPr>
        <w:pStyle w:val="paragraph"/>
        <w:rPr>
          <w:sz w:val="24"/>
        </w:rPr>
      </w:pPr>
      <w:r w:rsidRPr="00883399">
        <w:rPr>
          <w:sz w:val="24"/>
        </w:rPr>
        <w:tab/>
        <w:t>(a)</w:t>
      </w:r>
      <w:r w:rsidRPr="00883399">
        <w:rPr>
          <w:sz w:val="24"/>
        </w:rPr>
        <w:tab/>
        <w:t>the principal activity of the facility is electricity generation (ANZSIC industry classification and code 2611); and</w:t>
      </w:r>
    </w:p>
    <w:p w14:paraId="470FDBA2" w14:textId="77777777" w:rsidR="00872C03" w:rsidRPr="00883399" w:rsidRDefault="00872C03" w:rsidP="00872C03">
      <w:pPr>
        <w:pStyle w:val="paragraph"/>
        <w:rPr>
          <w:sz w:val="24"/>
        </w:rPr>
      </w:pPr>
      <w:r w:rsidRPr="00883399">
        <w:rPr>
          <w:sz w:val="24"/>
        </w:rPr>
        <w:tab/>
        <w:t>(b)</w:t>
      </w:r>
      <w:r w:rsidRPr="00883399">
        <w:rPr>
          <w:sz w:val="24"/>
        </w:rPr>
        <w:tab/>
        <w:t>the generating unit:</w:t>
      </w:r>
    </w:p>
    <w:p w14:paraId="4669B11D" w14:textId="77777777" w:rsidR="00872C03" w:rsidRPr="00883399" w:rsidRDefault="00872C03" w:rsidP="00872C03">
      <w:pPr>
        <w:pStyle w:val="paragraphsub"/>
        <w:rPr>
          <w:sz w:val="24"/>
        </w:rPr>
      </w:pPr>
      <w:r w:rsidRPr="00883399">
        <w:rPr>
          <w:sz w:val="24"/>
        </w:rPr>
        <w:tab/>
        <w:t>(i)</w:t>
      </w:r>
      <w:r w:rsidRPr="00883399">
        <w:rPr>
          <w:sz w:val="24"/>
        </w:rPr>
        <w:tab/>
        <w:t>has the capacity to produce 30 megawatts or more of electricity; and</w:t>
      </w:r>
    </w:p>
    <w:p w14:paraId="5FBC8884" w14:textId="77777777" w:rsidR="00872C03" w:rsidRPr="00883399" w:rsidRDefault="00872C03" w:rsidP="00872C03">
      <w:pPr>
        <w:pStyle w:val="paragraphsub"/>
        <w:rPr>
          <w:sz w:val="24"/>
        </w:rPr>
      </w:pPr>
      <w:r w:rsidRPr="00883399">
        <w:rPr>
          <w:sz w:val="24"/>
        </w:rPr>
        <w:tab/>
        <w:t>(ii)</w:t>
      </w:r>
      <w:r w:rsidRPr="00883399">
        <w:rPr>
          <w:sz w:val="24"/>
        </w:rPr>
        <w:tab/>
        <w:t>generates more than 50 000 megawatt hours of electricity in a reporting year.</w:t>
      </w:r>
    </w:p>
    <w:p w14:paraId="5ECE07C4" w14:textId="1181C921" w:rsidR="00872C03" w:rsidRPr="00883399" w:rsidRDefault="00872C03" w:rsidP="00872C03">
      <w:pPr>
        <w:pStyle w:val="ActHead3"/>
        <w:pageBreakBefore/>
        <w:rPr>
          <w:rStyle w:val="CharDivText"/>
          <w:sz w:val="32"/>
        </w:rPr>
      </w:pPr>
      <w:bookmarkStart w:id="213" w:name="_Toc423516764"/>
      <w:bookmarkStart w:id="214" w:name="_Toc495652678"/>
      <w:r w:rsidRPr="00883399">
        <w:rPr>
          <w:rStyle w:val="CharDivNo"/>
          <w:sz w:val="32"/>
        </w:rPr>
        <w:lastRenderedPageBreak/>
        <w:t>Division 2.3.2</w:t>
      </w:r>
      <w:r w:rsidRPr="00883399">
        <w:rPr>
          <w:sz w:val="32"/>
        </w:rPr>
        <w:t>—</w:t>
      </w:r>
      <w:r w:rsidRPr="00883399">
        <w:rPr>
          <w:rStyle w:val="CharDivText"/>
          <w:sz w:val="32"/>
        </w:rPr>
        <w:t>Method 1—emissions of carbon dioxide, methane and nitrous oxide</w:t>
      </w:r>
      <w:bookmarkEnd w:id="213"/>
      <w:bookmarkEnd w:id="214"/>
    </w:p>
    <w:p w14:paraId="210CE5E9"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As for solid fuels, Method 1 for gaseous fuels is derived from the </w:t>
      </w:r>
      <w:r w:rsidRPr="00883399">
        <w:rPr>
          <w:rFonts w:ascii="Arial" w:hAnsi="Arial" w:cs="Arial"/>
          <w:i/>
          <w:sz w:val="22"/>
          <w:szCs w:val="22"/>
        </w:rPr>
        <w:t xml:space="preserve">National Greenhouse Account </w:t>
      </w:r>
      <w:r w:rsidRPr="00883399">
        <w:rPr>
          <w:rFonts w:ascii="Arial" w:hAnsi="Arial" w:cs="Arial"/>
          <w:sz w:val="22"/>
          <w:szCs w:val="22"/>
        </w:rPr>
        <w:t xml:space="preserve">national methodology as published in the </w:t>
      </w:r>
      <w:r w:rsidRPr="00883399">
        <w:rPr>
          <w:rFonts w:ascii="Arial" w:hAnsi="Arial" w:cs="Arial"/>
          <w:i/>
          <w:sz w:val="22"/>
          <w:szCs w:val="22"/>
        </w:rPr>
        <w:t>National Inventory Report</w:t>
      </w:r>
      <w:r w:rsidRPr="00883399">
        <w:rPr>
          <w:rFonts w:ascii="Arial" w:hAnsi="Arial" w:cs="Arial"/>
          <w:sz w:val="22"/>
          <w:szCs w:val="22"/>
        </w:rPr>
        <w:t>.  Emissions for each gas type - carbon dioxide, methane or nitrous oxide - are estimated for individual fuel types by multiplying a (physical) quantity of fuel combusted by a fuel-specific energy content factor and a fuel-specific emission factor for each relevant greenhouse gas.</w:t>
      </w:r>
    </w:p>
    <w:p w14:paraId="06DCF137"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The list of gaseous fuels for which emissions must be calculated is given in Table 2.3.2A and 2.3.2B (taken from Schedule 1 of the National Greenhouse and Energy Reporting Regulations 2008).</w:t>
      </w:r>
    </w:p>
    <w:p w14:paraId="651E8F17"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Energy content and emission factors required for the estimation of emissions using this approach are given below.  These factors are intended to be default factors – to be used in the absence of better information.  </w:t>
      </w:r>
    </w:p>
    <w:p w14:paraId="60644377"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Once selected the energy content factor (ECi) for a particular fuel must be applied to all calculations of energy emissions from that fuel for a facility in the reporting year. The emission factors listed have been estimated using the Australian Greenhouse Emissions Information System (AGEIS) operated by the </w:t>
      </w:r>
      <w:r w:rsidR="00C91E15" w:rsidRPr="00883399">
        <w:rPr>
          <w:rFonts w:ascii="Arial" w:hAnsi="Arial" w:cs="Arial"/>
          <w:sz w:val="22"/>
          <w:szCs w:val="22"/>
        </w:rPr>
        <w:t>Department on the Environment</w:t>
      </w:r>
      <w:r w:rsidRPr="00883399">
        <w:rPr>
          <w:rFonts w:ascii="Arial" w:hAnsi="Arial" w:cs="Arial"/>
          <w:sz w:val="22"/>
          <w:szCs w:val="22"/>
        </w:rPr>
        <w:t>. Consequently, they are determined simultaneously with the production of Australia’s National Greenhouse Accounts ensuring that Reporter inventories are consistent with those national accounts.</w:t>
      </w:r>
    </w:p>
    <w:p w14:paraId="017D0B78" w14:textId="5F3D76B7" w:rsidR="00872C03" w:rsidRPr="00883399" w:rsidRDefault="00872C03" w:rsidP="00872C03">
      <w:pPr>
        <w:pStyle w:val="ActHead5"/>
        <w:rPr>
          <w:sz w:val="28"/>
        </w:rPr>
      </w:pPr>
      <w:bookmarkStart w:id="215" w:name="_Toc423516765"/>
      <w:bookmarkStart w:id="216" w:name="_Toc495652679"/>
      <w:r w:rsidRPr="00883399">
        <w:rPr>
          <w:rStyle w:val="CharSectno"/>
          <w:sz w:val="28"/>
        </w:rPr>
        <w:t>2.20</w:t>
      </w:r>
      <w:r w:rsidRPr="00883399">
        <w:rPr>
          <w:sz w:val="28"/>
        </w:rPr>
        <w:t xml:space="preserve">  Method 1—emissions of carbon dioxide, methane and nitrous oxide</w:t>
      </w:r>
      <w:bookmarkEnd w:id="215"/>
      <w:bookmarkEnd w:id="216"/>
    </w:p>
    <w:p w14:paraId="352DA8E7" w14:textId="77777777" w:rsidR="00872C03" w:rsidRPr="00883399" w:rsidRDefault="00872C03" w:rsidP="00872C03">
      <w:pPr>
        <w:pStyle w:val="subsection"/>
        <w:rPr>
          <w:sz w:val="24"/>
        </w:rPr>
      </w:pPr>
      <w:r w:rsidRPr="00883399">
        <w:rPr>
          <w:sz w:val="24"/>
        </w:rPr>
        <w:tab/>
        <w:t>(1)</w:t>
      </w:r>
      <w:r w:rsidRPr="00883399">
        <w:rPr>
          <w:sz w:val="24"/>
        </w:rPr>
        <w:tab/>
        <w:t>For subparagraphs 2.19(1)(a)(i) and (b)(i) and paragraph 2.19(1)(c), method 1 for estimating emissions of carbon dioxide, methane and nitrous oxide is:</w:t>
      </w:r>
    </w:p>
    <w:p w14:paraId="33B56323" w14:textId="4BCFE603"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18CF41E4" wp14:editId="621F8C3C">
            <wp:extent cx="1647825" cy="4095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7825" cy="409575"/>
                    </a:xfrm>
                    <a:prstGeom prst="rect">
                      <a:avLst/>
                    </a:prstGeom>
                    <a:noFill/>
                    <a:ln>
                      <a:noFill/>
                    </a:ln>
                  </pic:spPr>
                </pic:pic>
              </a:graphicData>
            </a:graphic>
          </wp:inline>
        </w:drawing>
      </w:r>
    </w:p>
    <w:p w14:paraId="50A9040D" w14:textId="77777777" w:rsidR="00872C03" w:rsidRPr="00883399" w:rsidRDefault="00872C03" w:rsidP="00872C03">
      <w:pPr>
        <w:pStyle w:val="subsection2"/>
        <w:rPr>
          <w:sz w:val="24"/>
        </w:rPr>
      </w:pPr>
      <w:r w:rsidRPr="00883399">
        <w:rPr>
          <w:sz w:val="24"/>
        </w:rPr>
        <w:t>where:</w:t>
      </w:r>
    </w:p>
    <w:p w14:paraId="7F0D501B" w14:textId="77777777" w:rsidR="00872C03" w:rsidRPr="00883399" w:rsidRDefault="00872C03" w:rsidP="00872C03">
      <w:pPr>
        <w:pStyle w:val="Definition0"/>
        <w:rPr>
          <w:sz w:val="24"/>
        </w:rPr>
      </w:pPr>
      <w:r w:rsidRPr="00883399">
        <w:rPr>
          <w:b/>
          <w:i/>
          <w:sz w:val="24"/>
        </w:rPr>
        <w:t>E</w:t>
      </w:r>
      <w:r w:rsidRPr="00883399">
        <w:rPr>
          <w:rStyle w:val="charSubscript"/>
          <w:b/>
          <w:i/>
          <w:iCs/>
          <w:sz w:val="18"/>
        </w:rPr>
        <w:t xml:space="preserve">ij </w:t>
      </w:r>
      <w:r w:rsidRPr="00883399">
        <w:rPr>
          <w:sz w:val="24"/>
        </w:rPr>
        <w:t>is the emissions of gas type (</w:t>
      </w:r>
      <w:r w:rsidRPr="00883399">
        <w:rPr>
          <w:b/>
          <w:i/>
          <w:sz w:val="24"/>
        </w:rPr>
        <w:t>j</w:t>
      </w:r>
      <w:r w:rsidRPr="00883399">
        <w:rPr>
          <w:sz w:val="24"/>
        </w:rPr>
        <w:t>), being carbon dioxide, methane or nitrous oxide, from each gaseous fuel type (</w:t>
      </w:r>
      <w:r w:rsidRPr="00883399">
        <w:rPr>
          <w:b/>
          <w:i/>
          <w:sz w:val="24"/>
        </w:rPr>
        <w:t>i</w:t>
      </w:r>
      <w:r w:rsidRPr="00883399">
        <w:rPr>
          <w:sz w:val="24"/>
        </w:rPr>
        <w:t>) released from the operation of the facility during the year measured in CO</w:t>
      </w:r>
      <w:r w:rsidRPr="00883399">
        <w:rPr>
          <w:rStyle w:val="charSubscript"/>
          <w:iCs/>
          <w:sz w:val="22"/>
        </w:rPr>
        <w:t>2</w:t>
      </w:r>
      <w:r w:rsidRPr="00883399">
        <w:rPr>
          <w:sz w:val="24"/>
        </w:rPr>
        <w:noBreakHyphen/>
        <w:t>e tonnes.</w:t>
      </w:r>
    </w:p>
    <w:p w14:paraId="3CC71B30" w14:textId="77777777" w:rsidR="00872C03" w:rsidRPr="00883399" w:rsidRDefault="00872C03" w:rsidP="00872C03">
      <w:pPr>
        <w:pStyle w:val="Definition0"/>
        <w:rPr>
          <w:sz w:val="24"/>
        </w:rPr>
      </w:pPr>
      <w:r w:rsidRPr="00883399">
        <w:rPr>
          <w:b/>
          <w:i/>
          <w:sz w:val="24"/>
        </w:rPr>
        <w:lastRenderedPageBreak/>
        <w:t>Q</w:t>
      </w:r>
      <w:r w:rsidRPr="00883399">
        <w:rPr>
          <w:b/>
          <w:i/>
          <w:sz w:val="24"/>
          <w:vertAlign w:val="subscript"/>
        </w:rPr>
        <w:t xml:space="preserve">i </w:t>
      </w:r>
      <w:r w:rsidRPr="00883399">
        <w:rPr>
          <w:sz w:val="24"/>
        </w:rPr>
        <w:t>is the quantity of fuel type (</w:t>
      </w:r>
      <w:r w:rsidRPr="00883399">
        <w:rPr>
          <w:b/>
          <w:i/>
          <w:sz w:val="24"/>
        </w:rPr>
        <w:t>i</w:t>
      </w:r>
      <w:r w:rsidRPr="00883399">
        <w:rPr>
          <w:sz w:val="24"/>
        </w:rPr>
        <w:t>) combusted, whether for stationary energy purposes or transport energy purposes, from the operation of the facility during the year measured in cubic metres or gigajoules and estimated under Division 2.3.6.</w:t>
      </w:r>
    </w:p>
    <w:p w14:paraId="3D6AD22F" w14:textId="77777777" w:rsidR="00872C03" w:rsidRPr="00883399" w:rsidRDefault="00872C03" w:rsidP="00872C03">
      <w:pPr>
        <w:pStyle w:val="Definition0"/>
        <w:rPr>
          <w:sz w:val="24"/>
        </w:rPr>
      </w:pPr>
      <w:r w:rsidRPr="00883399">
        <w:rPr>
          <w:b/>
          <w:bCs/>
          <w:i/>
          <w:iCs/>
          <w:sz w:val="24"/>
        </w:rPr>
        <w:t>EC</w:t>
      </w:r>
      <w:r w:rsidRPr="00883399">
        <w:rPr>
          <w:rStyle w:val="charsubscript0"/>
          <w:b/>
          <w:bCs/>
          <w:i/>
          <w:iCs/>
        </w:rPr>
        <w:t xml:space="preserve">i  </w:t>
      </w:r>
      <w:r w:rsidRPr="00883399">
        <w:rPr>
          <w:sz w:val="24"/>
        </w:rPr>
        <w:t xml:space="preserve">is the energy content factor of fuel type </w:t>
      </w:r>
      <w:r w:rsidRPr="00883399">
        <w:rPr>
          <w:b/>
          <w:i/>
          <w:sz w:val="24"/>
        </w:rPr>
        <w:t xml:space="preserve">(i) </w:t>
      </w:r>
      <w:r w:rsidRPr="00883399">
        <w:rPr>
          <w:sz w:val="24"/>
        </w:rPr>
        <w:t xml:space="preserve">estimated under section 6.5. </w:t>
      </w:r>
    </w:p>
    <w:p w14:paraId="460E356F" w14:textId="77777777" w:rsidR="00872C03" w:rsidRPr="00883399" w:rsidRDefault="00872C03" w:rsidP="00872C03">
      <w:pPr>
        <w:pStyle w:val="Definition0"/>
        <w:rPr>
          <w:sz w:val="24"/>
        </w:rPr>
      </w:pPr>
      <w:r w:rsidRPr="00883399">
        <w:rPr>
          <w:b/>
          <w:i/>
          <w:sz w:val="24"/>
        </w:rPr>
        <w:t>EF</w:t>
      </w:r>
      <w:r w:rsidRPr="00883399">
        <w:rPr>
          <w:b/>
          <w:i/>
          <w:sz w:val="24"/>
          <w:vertAlign w:val="subscript"/>
        </w:rPr>
        <w:t>ijoxec</w:t>
      </w:r>
      <w:r w:rsidRPr="00883399">
        <w:rPr>
          <w:b/>
          <w:i/>
          <w:sz w:val="24"/>
        </w:rPr>
        <w:t xml:space="preserve"> </w:t>
      </w:r>
      <w:r w:rsidRPr="00883399">
        <w:rPr>
          <w:sz w:val="24"/>
        </w:rPr>
        <w:t>is the emission factor for each gas type (</w:t>
      </w:r>
      <w:r w:rsidRPr="00883399">
        <w:rPr>
          <w:b/>
          <w:i/>
          <w:sz w:val="24"/>
        </w:rPr>
        <w:t>j</w:t>
      </w:r>
      <w:r w:rsidRPr="00883399">
        <w:rPr>
          <w:sz w:val="24"/>
        </w:rPr>
        <w:t>) released during the year (which includes the effect of an oxidation factor) measured in kilograms CO</w:t>
      </w:r>
      <w:r w:rsidRPr="00883399">
        <w:rPr>
          <w:rStyle w:val="charSubscript"/>
          <w:sz w:val="22"/>
        </w:rPr>
        <w:t>2</w:t>
      </w:r>
      <w:r w:rsidRPr="00883399">
        <w:rPr>
          <w:sz w:val="24"/>
        </w:rPr>
        <w:noBreakHyphen/>
        <w:t>e per gigajoule of fuel type (</w:t>
      </w:r>
      <w:r w:rsidRPr="00883399">
        <w:rPr>
          <w:b/>
          <w:i/>
          <w:sz w:val="24"/>
        </w:rPr>
        <w:t>i</w:t>
      </w:r>
      <w:r w:rsidRPr="00883399">
        <w:rPr>
          <w:sz w:val="24"/>
        </w:rPr>
        <w:t>) according to source as mentioned in:</w:t>
      </w:r>
    </w:p>
    <w:p w14:paraId="2A24AD6E" w14:textId="77777777" w:rsidR="00872C03" w:rsidRPr="00883399" w:rsidRDefault="00872C03" w:rsidP="00872C03">
      <w:pPr>
        <w:pStyle w:val="paragraph"/>
        <w:rPr>
          <w:sz w:val="24"/>
        </w:rPr>
      </w:pPr>
      <w:r w:rsidRPr="00883399">
        <w:rPr>
          <w:sz w:val="24"/>
        </w:rPr>
        <w:tab/>
        <w:t>(a)</w:t>
      </w:r>
      <w:r w:rsidRPr="00883399">
        <w:rPr>
          <w:sz w:val="24"/>
        </w:rPr>
        <w:tab/>
        <w:t>for stationary energy purposes—Part 2 of Schedule 1; and</w:t>
      </w:r>
    </w:p>
    <w:p w14:paraId="5C1E2116" w14:textId="77777777" w:rsidR="00872C03" w:rsidRPr="00883399" w:rsidRDefault="00872C03" w:rsidP="00872C03">
      <w:pPr>
        <w:pStyle w:val="paragraph"/>
        <w:rPr>
          <w:sz w:val="24"/>
        </w:rPr>
      </w:pPr>
      <w:r w:rsidRPr="00883399">
        <w:rPr>
          <w:sz w:val="24"/>
        </w:rPr>
        <w:tab/>
        <w:t>(b)</w:t>
      </w:r>
      <w:r w:rsidRPr="00883399">
        <w:rPr>
          <w:sz w:val="24"/>
        </w:rPr>
        <w:tab/>
        <w:t>for transport energy purposes—Division 4.1 of Schedule 1.</w:t>
      </w:r>
    </w:p>
    <w:p w14:paraId="0AE837D1" w14:textId="77777777" w:rsidR="00872C03" w:rsidRPr="00883399" w:rsidRDefault="00872C03" w:rsidP="00872C03">
      <w:pPr>
        <w:pStyle w:val="notetext"/>
        <w:rPr>
          <w:sz w:val="20"/>
        </w:rPr>
      </w:pPr>
      <w:r w:rsidRPr="00883399">
        <w:rPr>
          <w:sz w:val="20"/>
        </w:rPr>
        <w:t>Note:</w:t>
      </w:r>
      <w:r w:rsidRPr="00883399">
        <w:rPr>
          <w:sz w:val="20"/>
        </w:rPr>
        <w:tab/>
        <w:t>The combustion of gaseous fuels releases emissions of carbon dioxide, methane and nitrous oxide.</w:t>
      </w:r>
    </w:p>
    <w:p w14:paraId="09B1F2D8" w14:textId="77777777" w:rsidR="00872C03" w:rsidRPr="00883399" w:rsidRDefault="00872C03" w:rsidP="00872C03">
      <w:pPr>
        <w:pStyle w:val="subsection"/>
        <w:rPr>
          <w:sz w:val="24"/>
        </w:rPr>
      </w:pPr>
      <w:r w:rsidRPr="00883399">
        <w:rPr>
          <w:sz w:val="24"/>
        </w:rPr>
        <w:tab/>
        <w:t>(2)</w:t>
      </w:r>
      <w:r w:rsidRPr="00883399">
        <w:rPr>
          <w:sz w:val="24"/>
        </w:rPr>
        <w:tab/>
        <w:t>In this section:</w:t>
      </w:r>
    </w:p>
    <w:p w14:paraId="0ABDF880" w14:textId="77777777" w:rsidR="00872C03" w:rsidRPr="00883399" w:rsidRDefault="00872C03" w:rsidP="00872C03">
      <w:pPr>
        <w:pStyle w:val="Definition0"/>
        <w:rPr>
          <w:sz w:val="24"/>
        </w:rPr>
      </w:pPr>
      <w:r w:rsidRPr="00883399">
        <w:rPr>
          <w:b/>
          <w:i/>
          <w:sz w:val="24"/>
        </w:rPr>
        <w:t xml:space="preserve">stationary energy purposes </w:t>
      </w:r>
      <w:r w:rsidRPr="00883399">
        <w:rPr>
          <w:sz w:val="24"/>
        </w:rPr>
        <w:t>means purposes for which fuel is combusted that do not involve transport energy purposes.</w:t>
      </w:r>
    </w:p>
    <w:p w14:paraId="34F30A89" w14:textId="77777777" w:rsidR="00872C03" w:rsidRPr="00883399" w:rsidRDefault="00872C03" w:rsidP="00872C03">
      <w:pPr>
        <w:pStyle w:val="Definition0"/>
        <w:rPr>
          <w:sz w:val="24"/>
        </w:rPr>
      </w:pPr>
      <w:r w:rsidRPr="00883399">
        <w:rPr>
          <w:b/>
          <w:i/>
          <w:sz w:val="24"/>
        </w:rPr>
        <w:t xml:space="preserve">transport energy purposes </w:t>
      </w:r>
      <w:r w:rsidRPr="00883399">
        <w:rPr>
          <w:sz w:val="24"/>
        </w:rPr>
        <w:t>includes purposes for which fuel is combusted that consist of any of the following:</w:t>
      </w:r>
    </w:p>
    <w:p w14:paraId="6AE800E9" w14:textId="77777777" w:rsidR="00872C03" w:rsidRPr="00883399" w:rsidRDefault="00872C03" w:rsidP="00872C03">
      <w:pPr>
        <w:pStyle w:val="paragraph"/>
        <w:rPr>
          <w:sz w:val="24"/>
        </w:rPr>
      </w:pPr>
      <w:r w:rsidRPr="00883399">
        <w:rPr>
          <w:sz w:val="24"/>
        </w:rPr>
        <w:tab/>
        <w:t>(a)</w:t>
      </w:r>
      <w:r w:rsidRPr="00883399">
        <w:rPr>
          <w:sz w:val="24"/>
        </w:rPr>
        <w:tab/>
        <w:t>transport by vehicles registered for road use;</w:t>
      </w:r>
    </w:p>
    <w:p w14:paraId="6177CDFF" w14:textId="77777777" w:rsidR="00872C03" w:rsidRPr="00883399" w:rsidRDefault="00872C03" w:rsidP="00872C03">
      <w:pPr>
        <w:pStyle w:val="paragraph"/>
        <w:rPr>
          <w:sz w:val="24"/>
        </w:rPr>
      </w:pPr>
      <w:r w:rsidRPr="00883399">
        <w:rPr>
          <w:sz w:val="24"/>
        </w:rPr>
        <w:tab/>
        <w:t>(b)</w:t>
      </w:r>
      <w:r w:rsidRPr="00883399">
        <w:rPr>
          <w:sz w:val="24"/>
        </w:rPr>
        <w:tab/>
        <w:t>rail transport;</w:t>
      </w:r>
    </w:p>
    <w:p w14:paraId="4C26AA72" w14:textId="77777777" w:rsidR="00872C03" w:rsidRPr="00883399" w:rsidRDefault="00872C03" w:rsidP="00872C03">
      <w:pPr>
        <w:pStyle w:val="paragraph"/>
        <w:rPr>
          <w:sz w:val="24"/>
        </w:rPr>
      </w:pPr>
      <w:r w:rsidRPr="00883399">
        <w:rPr>
          <w:sz w:val="24"/>
        </w:rPr>
        <w:tab/>
        <w:t>(c)</w:t>
      </w:r>
      <w:r w:rsidRPr="00883399">
        <w:rPr>
          <w:sz w:val="24"/>
        </w:rPr>
        <w:tab/>
        <w:t>marine navigation;</w:t>
      </w:r>
    </w:p>
    <w:p w14:paraId="0265A618" w14:textId="77777777" w:rsidR="00872C03" w:rsidRPr="00883399" w:rsidRDefault="00872C03" w:rsidP="00872C03">
      <w:pPr>
        <w:pStyle w:val="paragraph"/>
        <w:rPr>
          <w:sz w:val="24"/>
        </w:rPr>
      </w:pPr>
      <w:r w:rsidRPr="00883399">
        <w:rPr>
          <w:sz w:val="24"/>
        </w:rPr>
        <w:tab/>
        <w:t>(d)</w:t>
      </w:r>
      <w:r w:rsidRPr="00883399">
        <w:rPr>
          <w:sz w:val="24"/>
        </w:rPr>
        <w:tab/>
        <w:t>air transport.</w:t>
      </w:r>
    </w:p>
    <w:p w14:paraId="10A18F8F" w14:textId="77777777" w:rsidR="00872C03" w:rsidRPr="00883399" w:rsidRDefault="00872C03" w:rsidP="00872C03">
      <w:pPr>
        <w:pStyle w:val="notetext"/>
        <w:rPr>
          <w:sz w:val="20"/>
        </w:rPr>
      </w:pPr>
      <w:r w:rsidRPr="00883399">
        <w:rPr>
          <w:sz w:val="20"/>
        </w:rPr>
        <w:t>Note:</w:t>
      </w:r>
      <w:r w:rsidRPr="00883399">
        <w:rPr>
          <w:sz w:val="20"/>
        </w:rPr>
        <w:tab/>
        <w:t>The combustion of gaseous fuels releases emissions of carbon dioxide, methane and nitrous oxide.</w:t>
      </w:r>
    </w:p>
    <w:p w14:paraId="210D1434" w14:textId="77777777" w:rsidR="00872C03" w:rsidRPr="00883399" w:rsidRDefault="00872C03" w:rsidP="00872C03">
      <w:pPr>
        <w:pStyle w:val="notetext"/>
        <w:rPr>
          <w:sz w:val="20"/>
        </w:rPr>
      </w:pPr>
    </w:p>
    <w:p w14:paraId="0DCCE2AA" w14:textId="77777777" w:rsidR="00B50DBA" w:rsidRPr="00883399" w:rsidRDefault="00B50DBA" w:rsidP="00872C03">
      <w:pPr>
        <w:pStyle w:val="notetext"/>
        <w:rPr>
          <w:sz w:val="20"/>
        </w:rPr>
      </w:pPr>
    </w:p>
    <w:p w14:paraId="08204A16" w14:textId="77777777" w:rsidR="00B50DBA" w:rsidRPr="00883399" w:rsidRDefault="00B50DBA" w:rsidP="00872C03">
      <w:pPr>
        <w:pStyle w:val="notetext"/>
        <w:rPr>
          <w:sz w:val="20"/>
        </w:rPr>
      </w:pPr>
    </w:p>
    <w:p w14:paraId="59C6D58E" w14:textId="77777777" w:rsidR="00B50DBA" w:rsidRPr="00883399" w:rsidRDefault="00B50DBA" w:rsidP="00872C03">
      <w:pPr>
        <w:pStyle w:val="notetext"/>
        <w:rPr>
          <w:sz w:val="20"/>
        </w:rPr>
      </w:pPr>
    </w:p>
    <w:p w14:paraId="3BFB7ED4" w14:textId="77777777" w:rsidR="00B50DBA" w:rsidRPr="00883399" w:rsidRDefault="00B50DBA" w:rsidP="00872C03">
      <w:pPr>
        <w:pStyle w:val="notetext"/>
        <w:rPr>
          <w:sz w:val="20"/>
        </w:rPr>
      </w:pPr>
    </w:p>
    <w:p w14:paraId="3A3D677A" w14:textId="77777777" w:rsidR="00B50DBA" w:rsidRPr="00883399" w:rsidRDefault="00B50DBA" w:rsidP="00872C03">
      <w:pPr>
        <w:pStyle w:val="notetext"/>
        <w:rPr>
          <w:sz w:val="20"/>
        </w:rPr>
      </w:pPr>
    </w:p>
    <w:p w14:paraId="60B792B4" w14:textId="77777777" w:rsidR="00B50DBA" w:rsidRPr="00883399" w:rsidRDefault="00B50DBA" w:rsidP="00872C03">
      <w:pPr>
        <w:pStyle w:val="notetext"/>
        <w:rPr>
          <w:sz w:val="20"/>
        </w:rPr>
      </w:pPr>
    </w:p>
    <w:p w14:paraId="7D83E5FE" w14:textId="380B51CA" w:rsidR="00872C03" w:rsidRPr="00883399" w:rsidRDefault="00872C03" w:rsidP="00872C03">
      <w:pPr>
        <w:pStyle w:val="Schedulepart"/>
        <w:spacing w:before="120"/>
        <w:ind w:left="2160" w:hanging="2160"/>
      </w:pPr>
      <w:bookmarkStart w:id="217" w:name="_Toc265135173"/>
      <w:bookmarkStart w:id="218" w:name="_Toc495652680"/>
      <w:r w:rsidRPr="00883399">
        <w:rPr>
          <w:rStyle w:val="CharSchPTText"/>
        </w:rPr>
        <w:t>Table 2.3.2A</w:t>
      </w:r>
      <w:r w:rsidRPr="00883399">
        <w:rPr>
          <w:rStyle w:val="CharSchPTText"/>
        </w:rPr>
        <w:tab/>
        <w:t>Emission and energy content factors — gaseous fuels</w:t>
      </w:r>
      <w:bookmarkEnd w:id="217"/>
      <w:bookmarkEnd w:id="218"/>
    </w:p>
    <w:p w14:paraId="481B42F9" w14:textId="77777777" w:rsidR="00872C03" w:rsidRPr="00883399" w:rsidRDefault="00872C03" w:rsidP="00872C03">
      <w:pPr>
        <w:rPr>
          <w:sz w:val="20"/>
          <w:szCs w:val="20"/>
        </w:rPr>
      </w:pPr>
    </w:p>
    <w:tbl>
      <w:tblPr>
        <w:tblW w:w="83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3252"/>
        <w:gridCol w:w="1550"/>
        <w:gridCol w:w="970"/>
        <w:gridCol w:w="970"/>
        <w:gridCol w:w="971"/>
      </w:tblGrid>
      <w:tr w:rsidR="00872C03" w:rsidRPr="00883399" w14:paraId="08CA5A8E" w14:textId="77777777" w:rsidTr="0031057E">
        <w:trPr>
          <w:cantSplit/>
          <w:tblHeader/>
        </w:trPr>
        <w:tc>
          <w:tcPr>
            <w:tcW w:w="588" w:type="dxa"/>
            <w:vMerge w:val="restart"/>
            <w:tcBorders>
              <w:top w:val="nil"/>
              <w:left w:val="nil"/>
              <w:bottom w:val="nil"/>
              <w:right w:val="nil"/>
            </w:tcBorders>
          </w:tcPr>
          <w:p w14:paraId="58E5347B" w14:textId="77777777" w:rsidR="00872C03" w:rsidRPr="00883399" w:rsidRDefault="00872C03" w:rsidP="0031057E">
            <w:pPr>
              <w:pStyle w:val="Table"/>
              <w:jc w:val="right"/>
              <w:rPr>
                <w:rStyle w:val="Strong"/>
                <w:rFonts w:cs="Arial"/>
                <w:sz w:val="18"/>
              </w:rPr>
            </w:pPr>
            <w:r w:rsidRPr="00883399">
              <w:rPr>
                <w:rStyle w:val="Strong"/>
                <w:rFonts w:cs="Arial"/>
                <w:sz w:val="18"/>
              </w:rPr>
              <w:lastRenderedPageBreak/>
              <w:t>Item</w:t>
            </w:r>
          </w:p>
        </w:tc>
        <w:tc>
          <w:tcPr>
            <w:tcW w:w="3252" w:type="dxa"/>
            <w:vMerge w:val="restart"/>
            <w:tcBorders>
              <w:top w:val="nil"/>
              <w:left w:val="nil"/>
              <w:bottom w:val="nil"/>
              <w:right w:val="nil"/>
            </w:tcBorders>
          </w:tcPr>
          <w:p w14:paraId="6C1B2D58" w14:textId="77777777" w:rsidR="00872C03" w:rsidRPr="00883399" w:rsidRDefault="00872C03" w:rsidP="0031057E">
            <w:pPr>
              <w:pStyle w:val="Table"/>
              <w:rPr>
                <w:rStyle w:val="Strong"/>
                <w:rFonts w:cs="Arial"/>
                <w:sz w:val="18"/>
              </w:rPr>
            </w:pPr>
            <w:r w:rsidRPr="00883399">
              <w:rPr>
                <w:rStyle w:val="Strong"/>
                <w:rFonts w:cs="Arial"/>
                <w:sz w:val="18"/>
              </w:rPr>
              <w:t>Fuel combusted</w:t>
            </w:r>
          </w:p>
        </w:tc>
        <w:tc>
          <w:tcPr>
            <w:tcW w:w="1550" w:type="dxa"/>
            <w:vMerge w:val="restart"/>
            <w:tcBorders>
              <w:top w:val="nil"/>
              <w:left w:val="nil"/>
              <w:bottom w:val="nil"/>
              <w:right w:val="nil"/>
            </w:tcBorders>
          </w:tcPr>
          <w:p w14:paraId="69A780ED" w14:textId="77777777" w:rsidR="00872C03" w:rsidRPr="00883399" w:rsidRDefault="00872C03" w:rsidP="0031057E">
            <w:pPr>
              <w:pStyle w:val="TableCentre"/>
              <w:rPr>
                <w:rStyle w:val="Strong"/>
                <w:rFonts w:cs="Arial"/>
                <w:sz w:val="18"/>
              </w:rPr>
            </w:pPr>
            <w:r w:rsidRPr="00883399">
              <w:rPr>
                <w:rStyle w:val="Strong"/>
                <w:rFonts w:cs="Arial"/>
                <w:sz w:val="18"/>
              </w:rPr>
              <w:t>Energy content factor</w:t>
            </w:r>
          </w:p>
          <w:p w14:paraId="5A09FCF5" w14:textId="77777777" w:rsidR="00872C03" w:rsidRPr="00883399" w:rsidRDefault="00872C03" w:rsidP="0031057E">
            <w:pPr>
              <w:pStyle w:val="TableCentre"/>
              <w:rPr>
                <w:rStyle w:val="Strong"/>
                <w:rFonts w:cs="Arial"/>
                <w:sz w:val="18"/>
              </w:rPr>
            </w:pPr>
            <w:r w:rsidRPr="00883399">
              <w:rPr>
                <w:rStyle w:val="Strong"/>
                <w:rFonts w:cs="Arial"/>
                <w:sz w:val="18"/>
              </w:rPr>
              <w:t>(GJ/m</w:t>
            </w:r>
            <w:r w:rsidRPr="00883399">
              <w:rPr>
                <w:rStyle w:val="Strong"/>
                <w:rFonts w:cs="Arial"/>
                <w:sz w:val="18"/>
                <w:vertAlign w:val="superscript"/>
              </w:rPr>
              <w:t>3</w:t>
            </w:r>
            <w:r w:rsidRPr="00883399">
              <w:rPr>
                <w:rStyle w:val="Strong"/>
                <w:rFonts w:cs="Arial"/>
                <w:sz w:val="18"/>
              </w:rPr>
              <w:t xml:space="preserve"> unless otherwise indicated)</w:t>
            </w:r>
          </w:p>
        </w:tc>
        <w:tc>
          <w:tcPr>
            <w:tcW w:w="2911" w:type="dxa"/>
            <w:gridSpan w:val="3"/>
            <w:tcBorders>
              <w:top w:val="nil"/>
              <w:left w:val="nil"/>
              <w:bottom w:val="nil"/>
              <w:right w:val="nil"/>
            </w:tcBorders>
          </w:tcPr>
          <w:p w14:paraId="4C3A1C51" w14:textId="77777777" w:rsidR="00872C03" w:rsidRPr="00883399" w:rsidRDefault="00872C03" w:rsidP="0031057E">
            <w:pPr>
              <w:pStyle w:val="Heading1Like"/>
              <w:spacing w:before="60" w:after="0" w:line="312" w:lineRule="auto"/>
              <w:ind w:left="567" w:hanging="567"/>
              <w:jc w:val="center"/>
              <w:rPr>
                <w:rFonts w:ascii="Arial" w:hAnsi="Arial"/>
                <w:sz w:val="18"/>
              </w:rPr>
            </w:pPr>
            <w:r w:rsidRPr="00883399">
              <w:rPr>
                <w:rFonts w:ascii="Arial" w:hAnsi="Arial"/>
                <w:caps w:val="0"/>
                <w:sz w:val="18"/>
              </w:rPr>
              <w:t>Emission factor</w:t>
            </w:r>
          </w:p>
          <w:p w14:paraId="6C5D3D0B" w14:textId="77777777" w:rsidR="00872C03" w:rsidRPr="00883399" w:rsidRDefault="00872C03" w:rsidP="0031057E">
            <w:pPr>
              <w:pStyle w:val="Heading1Like"/>
              <w:spacing w:after="0" w:line="312" w:lineRule="auto"/>
              <w:ind w:left="567" w:hanging="567"/>
              <w:jc w:val="center"/>
              <w:rPr>
                <w:rFonts w:ascii="Arial" w:hAnsi="Arial"/>
                <w:sz w:val="18"/>
              </w:rPr>
            </w:pPr>
            <w:r w:rsidRPr="00883399">
              <w:rPr>
                <w:rFonts w:ascii="Arial" w:hAnsi="Arial"/>
                <w:caps w:val="0"/>
                <w:sz w:val="18"/>
              </w:rPr>
              <w:t>kg CO</w:t>
            </w:r>
            <w:r w:rsidRPr="00883399">
              <w:rPr>
                <w:rFonts w:ascii="Arial" w:hAnsi="Arial"/>
                <w:caps w:val="0"/>
                <w:sz w:val="18"/>
                <w:vertAlign w:val="subscript"/>
              </w:rPr>
              <w:t>2</w:t>
            </w:r>
            <w:r w:rsidRPr="00883399">
              <w:rPr>
                <w:rFonts w:ascii="Arial" w:hAnsi="Arial"/>
                <w:caps w:val="0"/>
                <w:sz w:val="18"/>
              </w:rPr>
              <w:noBreakHyphen/>
              <w:t>e/GJ</w:t>
            </w:r>
          </w:p>
          <w:p w14:paraId="4FFBC53B" w14:textId="77777777" w:rsidR="00872C03" w:rsidRPr="00883399" w:rsidRDefault="00872C03" w:rsidP="0031057E">
            <w:pPr>
              <w:pStyle w:val="Heading1Like"/>
              <w:spacing w:before="60" w:after="240"/>
              <w:ind w:left="0" w:firstLine="0"/>
              <w:jc w:val="center"/>
              <w:rPr>
                <w:sz w:val="18"/>
              </w:rPr>
            </w:pPr>
            <w:r w:rsidRPr="00883399">
              <w:rPr>
                <w:sz w:val="18"/>
                <w:szCs w:val="18"/>
              </w:rPr>
              <w:t>(relevant oxidation factors incorporated)</w:t>
            </w:r>
          </w:p>
        </w:tc>
      </w:tr>
      <w:tr w:rsidR="00872C03" w:rsidRPr="00883399" w14:paraId="55D2124F" w14:textId="77777777" w:rsidTr="0031057E">
        <w:trPr>
          <w:cantSplit/>
          <w:tblHeader/>
        </w:trPr>
        <w:tc>
          <w:tcPr>
            <w:tcW w:w="588" w:type="dxa"/>
            <w:vMerge/>
            <w:tcBorders>
              <w:top w:val="nil"/>
              <w:left w:val="nil"/>
              <w:right w:val="nil"/>
            </w:tcBorders>
          </w:tcPr>
          <w:p w14:paraId="56009F33" w14:textId="77777777" w:rsidR="00872C03" w:rsidRPr="00883399" w:rsidRDefault="00872C03" w:rsidP="0031057E">
            <w:pPr>
              <w:jc w:val="right"/>
            </w:pPr>
          </w:p>
        </w:tc>
        <w:tc>
          <w:tcPr>
            <w:tcW w:w="3252" w:type="dxa"/>
            <w:vMerge/>
            <w:tcBorders>
              <w:top w:val="nil"/>
              <w:left w:val="nil"/>
              <w:right w:val="nil"/>
            </w:tcBorders>
          </w:tcPr>
          <w:p w14:paraId="70E84868" w14:textId="77777777" w:rsidR="00872C03" w:rsidRPr="00883399" w:rsidRDefault="00872C03" w:rsidP="0031057E">
            <w:pPr>
              <w:pStyle w:val="HTMLPreformatted"/>
              <w:spacing w:before="60"/>
              <w:rPr>
                <w:sz w:val="22"/>
              </w:rPr>
            </w:pPr>
          </w:p>
        </w:tc>
        <w:tc>
          <w:tcPr>
            <w:tcW w:w="1550" w:type="dxa"/>
            <w:vMerge/>
            <w:tcBorders>
              <w:top w:val="nil"/>
              <w:left w:val="nil"/>
              <w:right w:val="nil"/>
            </w:tcBorders>
          </w:tcPr>
          <w:p w14:paraId="1A2EB8AB" w14:textId="77777777" w:rsidR="00872C03" w:rsidRPr="00883399" w:rsidRDefault="00872C03" w:rsidP="0031057E">
            <w:pPr>
              <w:spacing w:before="60"/>
              <w:rPr>
                <w:sz w:val="22"/>
              </w:rPr>
            </w:pPr>
          </w:p>
        </w:tc>
        <w:tc>
          <w:tcPr>
            <w:tcW w:w="970" w:type="dxa"/>
            <w:tcBorders>
              <w:top w:val="nil"/>
              <w:left w:val="nil"/>
              <w:right w:val="nil"/>
            </w:tcBorders>
          </w:tcPr>
          <w:p w14:paraId="0D6F2767" w14:textId="77777777" w:rsidR="00872C03" w:rsidRPr="00883399" w:rsidRDefault="00872C03" w:rsidP="0031057E">
            <w:pPr>
              <w:pStyle w:val="TableCentre"/>
              <w:rPr>
                <w:sz w:val="22"/>
              </w:rPr>
            </w:pPr>
            <w:r w:rsidRPr="00883399">
              <w:rPr>
                <w:b/>
                <w:bCs/>
                <w:snapToGrid w:val="0"/>
                <w:sz w:val="18"/>
              </w:rPr>
              <w:t>CO</w:t>
            </w:r>
            <w:r w:rsidRPr="00883399">
              <w:rPr>
                <w:b/>
                <w:bCs/>
                <w:snapToGrid w:val="0"/>
                <w:sz w:val="18"/>
                <w:vertAlign w:val="subscript"/>
              </w:rPr>
              <w:t>2</w:t>
            </w:r>
          </w:p>
        </w:tc>
        <w:tc>
          <w:tcPr>
            <w:tcW w:w="970" w:type="dxa"/>
            <w:tcBorders>
              <w:top w:val="nil"/>
              <w:left w:val="nil"/>
              <w:right w:val="nil"/>
            </w:tcBorders>
          </w:tcPr>
          <w:p w14:paraId="7C47657E" w14:textId="77777777" w:rsidR="00872C03" w:rsidRPr="00883399" w:rsidRDefault="00872C03" w:rsidP="0031057E">
            <w:pPr>
              <w:pStyle w:val="TableCentre"/>
              <w:rPr>
                <w:rStyle w:val="Strong"/>
                <w:rFonts w:cs="Arial"/>
                <w:sz w:val="18"/>
              </w:rPr>
            </w:pPr>
            <w:r w:rsidRPr="00883399">
              <w:rPr>
                <w:b/>
                <w:bCs/>
                <w:snapToGrid w:val="0"/>
                <w:sz w:val="18"/>
              </w:rPr>
              <w:t>CH</w:t>
            </w:r>
            <w:r w:rsidRPr="00883399">
              <w:rPr>
                <w:b/>
                <w:bCs/>
                <w:snapToGrid w:val="0"/>
                <w:sz w:val="18"/>
                <w:vertAlign w:val="subscript"/>
              </w:rPr>
              <w:t>4</w:t>
            </w:r>
          </w:p>
        </w:tc>
        <w:tc>
          <w:tcPr>
            <w:tcW w:w="971" w:type="dxa"/>
            <w:tcBorders>
              <w:top w:val="nil"/>
              <w:left w:val="nil"/>
              <w:right w:val="nil"/>
            </w:tcBorders>
          </w:tcPr>
          <w:p w14:paraId="5A0D9320" w14:textId="77777777" w:rsidR="00872C03" w:rsidRPr="00883399" w:rsidRDefault="00872C03" w:rsidP="0031057E">
            <w:pPr>
              <w:pStyle w:val="TableCentre"/>
              <w:spacing w:after="60"/>
              <w:rPr>
                <w:rStyle w:val="Strong"/>
                <w:rFonts w:cs="Arial"/>
                <w:sz w:val="18"/>
              </w:rPr>
            </w:pPr>
            <w:r w:rsidRPr="00883399">
              <w:rPr>
                <w:b/>
                <w:bCs/>
                <w:snapToGrid w:val="0"/>
                <w:sz w:val="18"/>
              </w:rPr>
              <w:t>N</w:t>
            </w:r>
            <w:r w:rsidRPr="00883399">
              <w:rPr>
                <w:b/>
                <w:bCs/>
                <w:snapToGrid w:val="0"/>
                <w:sz w:val="18"/>
                <w:vertAlign w:val="subscript"/>
              </w:rPr>
              <w:t>2</w:t>
            </w:r>
            <w:r w:rsidRPr="00883399">
              <w:rPr>
                <w:b/>
                <w:bCs/>
                <w:snapToGrid w:val="0"/>
                <w:sz w:val="18"/>
              </w:rPr>
              <w:t>O</w:t>
            </w:r>
          </w:p>
        </w:tc>
      </w:tr>
      <w:tr w:rsidR="00F1577C" w:rsidRPr="00883399" w14:paraId="42784752" w14:textId="77777777" w:rsidTr="0031057E">
        <w:trPr>
          <w:cantSplit/>
        </w:trPr>
        <w:tc>
          <w:tcPr>
            <w:tcW w:w="588" w:type="dxa"/>
            <w:tcBorders>
              <w:left w:val="nil"/>
              <w:bottom w:val="nil"/>
              <w:right w:val="nil"/>
            </w:tcBorders>
          </w:tcPr>
          <w:p w14:paraId="771538D0" w14:textId="77777777" w:rsidR="00F1577C" w:rsidRPr="00883399" w:rsidDel="00B25EE5" w:rsidRDefault="00F1577C" w:rsidP="00C64E6B">
            <w:pPr>
              <w:pStyle w:val="Tabletext0"/>
              <w:rPr>
                <w:sz w:val="22"/>
              </w:rPr>
            </w:pPr>
            <w:r w:rsidRPr="00883399">
              <w:rPr>
                <w:sz w:val="22"/>
              </w:rPr>
              <w:t>17</w:t>
            </w:r>
          </w:p>
        </w:tc>
        <w:tc>
          <w:tcPr>
            <w:tcW w:w="3252" w:type="dxa"/>
            <w:tcBorders>
              <w:left w:val="nil"/>
              <w:bottom w:val="nil"/>
              <w:right w:val="nil"/>
            </w:tcBorders>
          </w:tcPr>
          <w:p w14:paraId="043174C8" w14:textId="77777777" w:rsidR="00F1577C" w:rsidRPr="00883399" w:rsidDel="00B25EE5" w:rsidRDefault="00F1577C" w:rsidP="00C64E6B">
            <w:pPr>
              <w:pStyle w:val="Tabletext0"/>
              <w:rPr>
                <w:sz w:val="22"/>
              </w:rPr>
            </w:pPr>
            <w:r w:rsidRPr="00883399">
              <w:rPr>
                <w:sz w:val="22"/>
              </w:rPr>
              <w:t>Natural gas distributed in a pipeline</w:t>
            </w:r>
          </w:p>
        </w:tc>
        <w:tc>
          <w:tcPr>
            <w:tcW w:w="1550" w:type="dxa"/>
            <w:tcBorders>
              <w:left w:val="nil"/>
              <w:bottom w:val="nil"/>
              <w:right w:val="nil"/>
            </w:tcBorders>
          </w:tcPr>
          <w:p w14:paraId="7859E1D0" w14:textId="77777777" w:rsidR="00F1577C" w:rsidRPr="00883399" w:rsidDel="00B25EE5" w:rsidRDefault="00F1577C" w:rsidP="00C64E6B">
            <w:pPr>
              <w:pStyle w:val="Tabletext0"/>
              <w:rPr>
                <w:sz w:val="22"/>
              </w:rPr>
            </w:pPr>
            <w:r w:rsidRPr="00883399">
              <w:rPr>
                <w:sz w:val="22"/>
              </w:rPr>
              <w:t>39.3 × 10</w:t>
            </w:r>
            <w:r w:rsidRPr="00883399">
              <w:rPr>
                <w:sz w:val="22"/>
                <w:vertAlign w:val="superscript"/>
              </w:rPr>
              <w:noBreakHyphen/>
              <w:t>3</w:t>
            </w:r>
          </w:p>
        </w:tc>
        <w:tc>
          <w:tcPr>
            <w:tcW w:w="970" w:type="dxa"/>
            <w:tcBorders>
              <w:left w:val="nil"/>
              <w:bottom w:val="nil"/>
              <w:right w:val="nil"/>
            </w:tcBorders>
          </w:tcPr>
          <w:p w14:paraId="2B38DB81" w14:textId="77777777" w:rsidR="00F1577C" w:rsidRPr="00883399" w:rsidDel="00B25EE5" w:rsidRDefault="00F1577C" w:rsidP="00C64E6B">
            <w:pPr>
              <w:pStyle w:val="Tabletext0"/>
              <w:rPr>
                <w:sz w:val="22"/>
              </w:rPr>
            </w:pPr>
            <w:r w:rsidRPr="00883399">
              <w:rPr>
                <w:sz w:val="22"/>
              </w:rPr>
              <w:t>51.4</w:t>
            </w:r>
          </w:p>
        </w:tc>
        <w:tc>
          <w:tcPr>
            <w:tcW w:w="970" w:type="dxa"/>
            <w:tcBorders>
              <w:left w:val="nil"/>
              <w:bottom w:val="nil"/>
              <w:right w:val="nil"/>
            </w:tcBorders>
          </w:tcPr>
          <w:p w14:paraId="3F49AFEA" w14:textId="77777777" w:rsidR="00F1577C" w:rsidRPr="00883399" w:rsidDel="00B25EE5" w:rsidRDefault="00F1577C" w:rsidP="00C64E6B">
            <w:pPr>
              <w:pStyle w:val="Tabletext0"/>
              <w:rPr>
                <w:sz w:val="22"/>
              </w:rPr>
            </w:pPr>
            <w:r w:rsidRPr="00883399">
              <w:rPr>
                <w:sz w:val="22"/>
              </w:rPr>
              <w:t>0.1</w:t>
            </w:r>
          </w:p>
        </w:tc>
        <w:tc>
          <w:tcPr>
            <w:tcW w:w="971" w:type="dxa"/>
            <w:tcBorders>
              <w:left w:val="nil"/>
              <w:bottom w:val="nil"/>
              <w:right w:val="nil"/>
            </w:tcBorders>
          </w:tcPr>
          <w:p w14:paraId="08EE8BDD" w14:textId="77777777" w:rsidR="00F1577C" w:rsidRPr="00883399" w:rsidDel="00B25EE5" w:rsidRDefault="00F1577C" w:rsidP="00C64E6B">
            <w:pPr>
              <w:pStyle w:val="Tabletext0"/>
              <w:rPr>
                <w:sz w:val="22"/>
              </w:rPr>
            </w:pPr>
            <w:r w:rsidRPr="00883399">
              <w:rPr>
                <w:sz w:val="22"/>
              </w:rPr>
              <w:t>0.03</w:t>
            </w:r>
          </w:p>
        </w:tc>
      </w:tr>
      <w:tr w:rsidR="00F1577C" w:rsidRPr="00883399" w14:paraId="1983DE18" w14:textId="77777777" w:rsidTr="0031057E">
        <w:trPr>
          <w:cantSplit/>
        </w:trPr>
        <w:tc>
          <w:tcPr>
            <w:tcW w:w="588" w:type="dxa"/>
            <w:tcBorders>
              <w:top w:val="nil"/>
              <w:left w:val="nil"/>
              <w:bottom w:val="nil"/>
              <w:right w:val="nil"/>
            </w:tcBorders>
          </w:tcPr>
          <w:p w14:paraId="1B54EACF" w14:textId="77777777" w:rsidR="00F1577C" w:rsidRPr="00883399" w:rsidDel="00B25EE5" w:rsidRDefault="00F1577C" w:rsidP="00C64E6B">
            <w:pPr>
              <w:pStyle w:val="Tabletext0"/>
              <w:rPr>
                <w:sz w:val="22"/>
              </w:rPr>
            </w:pPr>
            <w:r w:rsidRPr="00883399">
              <w:rPr>
                <w:sz w:val="22"/>
              </w:rPr>
              <w:t>18</w:t>
            </w:r>
          </w:p>
        </w:tc>
        <w:tc>
          <w:tcPr>
            <w:tcW w:w="3252" w:type="dxa"/>
            <w:tcBorders>
              <w:top w:val="nil"/>
              <w:left w:val="nil"/>
              <w:bottom w:val="nil"/>
              <w:right w:val="nil"/>
            </w:tcBorders>
          </w:tcPr>
          <w:p w14:paraId="23C0CEC2" w14:textId="77777777" w:rsidR="00F1577C" w:rsidRPr="00883399" w:rsidDel="00B25EE5" w:rsidRDefault="00F1577C" w:rsidP="00C64E6B">
            <w:pPr>
              <w:pStyle w:val="Tabletext0"/>
              <w:rPr>
                <w:sz w:val="22"/>
              </w:rPr>
            </w:pPr>
            <w:r w:rsidRPr="00883399">
              <w:rPr>
                <w:sz w:val="22"/>
              </w:rPr>
              <w:t>Coal seam methane that is captured for combustion</w:t>
            </w:r>
          </w:p>
        </w:tc>
        <w:tc>
          <w:tcPr>
            <w:tcW w:w="1550" w:type="dxa"/>
            <w:tcBorders>
              <w:top w:val="nil"/>
              <w:left w:val="nil"/>
              <w:bottom w:val="nil"/>
              <w:right w:val="nil"/>
            </w:tcBorders>
          </w:tcPr>
          <w:p w14:paraId="36C8ADDC" w14:textId="77777777" w:rsidR="00F1577C" w:rsidRPr="00883399" w:rsidDel="00B25EE5" w:rsidRDefault="00F1577C" w:rsidP="00C64E6B">
            <w:pPr>
              <w:pStyle w:val="Tabletext0"/>
              <w:rPr>
                <w:sz w:val="22"/>
              </w:rPr>
            </w:pPr>
            <w:r w:rsidRPr="00883399">
              <w:rPr>
                <w:sz w:val="22"/>
              </w:rPr>
              <w:t>37.7 × 10</w:t>
            </w:r>
            <w:r w:rsidRPr="00883399">
              <w:rPr>
                <w:sz w:val="22"/>
                <w:vertAlign w:val="superscript"/>
              </w:rPr>
              <w:noBreakHyphen/>
              <w:t>3</w:t>
            </w:r>
          </w:p>
        </w:tc>
        <w:tc>
          <w:tcPr>
            <w:tcW w:w="970" w:type="dxa"/>
            <w:tcBorders>
              <w:top w:val="nil"/>
              <w:left w:val="nil"/>
              <w:bottom w:val="nil"/>
              <w:right w:val="nil"/>
            </w:tcBorders>
          </w:tcPr>
          <w:p w14:paraId="4BC2B267" w14:textId="77777777" w:rsidR="00F1577C" w:rsidRPr="00883399" w:rsidDel="00B25EE5" w:rsidRDefault="00F1577C" w:rsidP="00C64E6B">
            <w:pPr>
              <w:pStyle w:val="Tabletext0"/>
              <w:rPr>
                <w:sz w:val="22"/>
              </w:rPr>
            </w:pPr>
            <w:r w:rsidRPr="00883399">
              <w:rPr>
                <w:sz w:val="22"/>
              </w:rPr>
              <w:t>51.4</w:t>
            </w:r>
          </w:p>
        </w:tc>
        <w:tc>
          <w:tcPr>
            <w:tcW w:w="970" w:type="dxa"/>
            <w:tcBorders>
              <w:top w:val="nil"/>
              <w:left w:val="nil"/>
              <w:bottom w:val="nil"/>
              <w:right w:val="nil"/>
            </w:tcBorders>
          </w:tcPr>
          <w:p w14:paraId="0742FF53" w14:textId="77777777" w:rsidR="00F1577C" w:rsidRPr="00883399" w:rsidDel="00B25EE5" w:rsidRDefault="00F1577C" w:rsidP="00C64E6B">
            <w:pPr>
              <w:pStyle w:val="Tabletext0"/>
              <w:rPr>
                <w:sz w:val="22"/>
              </w:rPr>
            </w:pPr>
            <w:r w:rsidRPr="00883399">
              <w:rPr>
                <w:sz w:val="22"/>
              </w:rPr>
              <w:t>0.2</w:t>
            </w:r>
          </w:p>
        </w:tc>
        <w:tc>
          <w:tcPr>
            <w:tcW w:w="971" w:type="dxa"/>
            <w:tcBorders>
              <w:top w:val="nil"/>
              <w:left w:val="nil"/>
              <w:bottom w:val="nil"/>
              <w:right w:val="nil"/>
            </w:tcBorders>
          </w:tcPr>
          <w:p w14:paraId="3049C7D4" w14:textId="77777777" w:rsidR="00F1577C" w:rsidRPr="00883399" w:rsidDel="00B25EE5" w:rsidRDefault="00F1577C" w:rsidP="00C64E6B">
            <w:pPr>
              <w:pStyle w:val="Tabletext0"/>
              <w:rPr>
                <w:sz w:val="22"/>
              </w:rPr>
            </w:pPr>
            <w:r w:rsidRPr="00883399">
              <w:rPr>
                <w:sz w:val="22"/>
              </w:rPr>
              <w:t>0.03</w:t>
            </w:r>
          </w:p>
        </w:tc>
      </w:tr>
      <w:tr w:rsidR="00F1577C" w:rsidRPr="00883399" w14:paraId="1ECFE472" w14:textId="77777777" w:rsidTr="0031057E">
        <w:trPr>
          <w:cantSplit/>
        </w:trPr>
        <w:tc>
          <w:tcPr>
            <w:tcW w:w="588" w:type="dxa"/>
            <w:tcBorders>
              <w:top w:val="nil"/>
              <w:left w:val="nil"/>
              <w:bottom w:val="nil"/>
              <w:right w:val="nil"/>
            </w:tcBorders>
          </w:tcPr>
          <w:p w14:paraId="72EBFC88" w14:textId="77777777" w:rsidR="00F1577C" w:rsidRPr="00883399" w:rsidDel="00B25EE5" w:rsidRDefault="00F1577C" w:rsidP="00C64E6B">
            <w:pPr>
              <w:pStyle w:val="Tabletext0"/>
              <w:rPr>
                <w:sz w:val="22"/>
              </w:rPr>
            </w:pPr>
            <w:r w:rsidRPr="00883399">
              <w:rPr>
                <w:sz w:val="22"/>
              </w:rPr>
              <w:t>19</w:t>
            </w:r>
          </w:p>
        </w:tc>
        <w:tc>
          <w:tcPr>
            <w:tcW w:w="3252" w:type="dxa"/>
            <w:tcBorders>
              <w:top w:val="nil"/>
              <w:left w:val="nil"/>
              <w:bottom w:val="nil"/>
              <w:right w:val="nil"/>
            </w:tcBorders>
          </w:tcPr>
          <w:p w14:paraId="6243E7FD" w14:textId="77777777" w:rsidR="00F1577C" w:rsidRPr="00883399" w:rsidDel="00B25EE5" w:rsidRDefault="00F1577C" w:rsidP="00C64E6B">
            <w:pPr>
              <w:pStyle w:val="Tabletext0"/>
              <w:rPr>
                <w:sz w:val="22"/>
              </w:rPr>
            </w:pPr>
            <w:r w:rsidRPr="00883399">
              <w:rPr>
                <w:sz w:val="22"/>
              </w:rPr>
              <w:t>Coal mine waste gas that is captured for combustion</w:t>
            </w:r>
          </w:p>
        </w:tc>
        <w:tc>
          <w:tcPr>
            <w:tcW w:w="1550" w:type="dxa"/>
            <w:tcBorders>
              <w:top w:val="nil"/>
              <w:left w:val="nil"/>
              <w:bottom w:val="nil"/>
              <w:right w:val="nil"/>
            </w:tcBorders>
          </w:tcPr>
          <w:p w14:paraId="6227B50B" w14:textId="77777777" w:rsidR="00F1577C" w:rsidRPr="00883399" w:rsidDel="00B25EE5" w:rsidRDefault="00F1577C" w:rsidP="00C64E6B">
            <w:pPr>
              <w:pStyle w:val="Tabletext0"/>
              <w:rPr>
                <w:sz w:val="22"/>
              </w:rPr>
            </w:pPr>
            <w:r w:rsidRPr="00883399">
              <w:rPr>
                <w:sz w:val="22"/>
              </w:rPr>
              <w:t>37.7 × 10</w:t>
            </w:r>
            <w:r w:rsidRPr="00883399">
              <w:rPr>
                <w:sz w:val="22"/>
                <w:vertAlign w:val="superscript"/>
              </w:rPr>
              <w:noBreakHyphen/>
              <w:t>3</w:t>
            </w:r>
          </w:p>
        </w:tc>
        <w:tc>
          <w:tcPr>
            <w:tcW w:w="970" w:type="dxa"/>
            <w:tcBorders>
              <w:top w:val="nil"/>
              <w:left w:val="nil"/>
              <w:bottom w:val="nil"/>
              <w:right w:val="nil"/>
            </w:tcBorders>
          </w:tcPr>
          <w:p w14:paraId="2859428F" w14:textId="77777777" w:rsidR="00F1577C" w:rsidRPr="00883399" w:rsidDel="00B25EE5" w:rsidRDefault="00F1577C" w:rsidP="00C64E6B">
            <w:pPr>
              <w:pStyle w:val="Tabletext0"/>
              <w:rPr>
                <w:sz w:val="22"/>
              </w:rPr>
            </w:pPr>
            <w:r w:rsidRPr="00883399">
              <w:rPr>
                <w:sz w:val="22"/>
              </w:rPr>
              <w:t>51.9</w:t>
            </w:r>
          </w:p>
        </w:tc>
        <w:tc>
          <w:tcPr>
            <w:tcW w:w="970" w:type="dxa"/>
            <w:tcBorders>
              <w:top w:val="nil"/>
              <w:left w:val="nil"/>
              <w:bottom w:val="nil"/>
              <w:right w:val="nil"/>
            </w:tcBorders>
          </w:tcPr>
          <w:p w14:paraId="035B4072" w14:textId="77777777" w:rsidR="00F1577C" w:rsidRPr="00883399" w:rsidDel="00B25EE5" w:rsidRDefault="00F1577C" w:rsidP="00C64E6B">
            <w:pPr>
              <w:pStyle w:val="Tabletext0"/>
              <w:rPr>
                <w:sz w:val="22"/>
              </w:rPr>
            </w:pPr>
            <w:r w:rsidRPr="00883399">
              <w:rPr>
                <w:sz w:val="22"/>
              </w:rPr>
              <w:t>4.1</w:t>
            </w:r>
          </w:p>
        </w:tc>
        <w:tc>
          <w:tcPr>
            <w:tcW w:w="971" w:type="dxa"/>
            <w:tcBorders>
              <w:top w:val="nil"/>
              <w:left w:val="nil"/>
              <w:bottom w:val="nil"/>
              <w:right w:val="nil"/>
            </w:tcBorders>
          </w:tcPr>
          <w:p w14:paraId="5EC3F662" w14:textId="77777777" w:rsidR="00F1577C" w:rsidRPr="00883399" w:rsidDel="00B25EE5" w:rsidRDefault="00F1577C" w:rsidP="00C64E6B">
            <w:pPr>
              <w:pStyle w:val="Tabletext0"/>
              <w:rPr>
                <w:sz w:val="22"/>
              </w:rPr>
            </w:pPr>
            <w:r w:rsidRPr="00883399">
              <w:rPr>
                <w:sz w:val="22"/>
              </w:rPr>
              <w:t>0.03</w:t>
            </w:r>
          </w:p>
        </w:tc>
      </w:tr>
      <w:tr w:rsidR="00F1577C" w:rsidRPr="00883399" w14:paraId="207703C1" w14:textId="77777777" w:rsidTr="0031057E">
        <w:trPr>
          <w:cantSplit/>
        </w:trPr>
        <w:tc>
          <w:tcPr>
            <w:tcW w:w="588" w:type="dxa"/>
            <w:tcBorders>
              <w:top w:val="nil"/>
              <w:left w:val="nil"/>
              <w:bottom w:val="nil"/>
              <w:right w:val="nil"/>
            </w:tcBorders>
          </w:tcPr>
          <w:p w14:paraId="287BB0E6" w14:textId="77777777" w:rsidR="00F1577C" w:rsidRPr="00883399" w:rsidDel="00B25EE5" w:rsidRDefault="00F1577C" w:rsidP="00C64E6B">
            <w:pPr>
              <w:pStyle w:val="Tabletext0"/>
              <w:rPr>
                <w:sz w:val="22"/>
              </w:rPr>
            </w:pPr>
            <w:r w:rsidRPr="00883399">
              <w:rPr>
                <w:sz w:val="22"/>
              </w:rPr>
              <w:t>20</w:t>
            </w:r>
          </w:p>
        </w:tc>
        <w:tc>
          <w:tcPr>
            <w:tcW w:w="3252" w:type="dxa"/>
            <w:tcBorders>
              <w:top w:val="nil"/>
              <w:left w:val="nil"/>
              <w:bottom w:val="nil"/>
              <w:right w:val="nil"/>
            </w:tcBorders>
          </w:tcPr>
          <w:p w14:paraId="2C3E25F9" w14:textId="77777777" w:rsidR="00F1577C" w:rsidRPr="00883399" w:rsidDel="00B25EE5" w:rsidRDefault="00F1577C" w:rsidP="00C64E6B">
            <w:pPr>
              <w:pStyle w:val="Tabletext0"/>
              <w:rPr>
                <w:sz w:val="22"/>
              </w:rPr>
            </w:pPr>
            <w:r w:rsidRPr="00883399">
              <w:rPr>
                <w:sz w:val="22"/>
              </w:rPr>
              <w:t>Compressed natural gas that has reverted to standard conditions</w:t>
            </w:r>
          </w:p>
        </w:tc>
        <w:tc>
          <w:tcPr>
            <w:tcW w:w="1550" w:type="dxa"/>
            <w:tcBorders>
              <w:top w:val="nil"/>
              <w:left w:val="nil"/>
              <w:bottom w:val="nil"/>
              <w:right w:val="nil"/>
            </w:tcBorders>
          </w:tcPr>
          <w:p w14:paraId="674380B2" w14:textId="77777777" w:rsidR="00F1577C" w:rsidRPr="00883399" w:rsidDel="00B25EE5" w:rsidRDefault="00F1577C" w:rsidP="00C64E6B">
            <w:pPr>
              <w:pStyle w:val="Tabletext0"/>
              <w:rPr>
                <w:sz w:val="22"/>
              </w:rPr>
            </w:pPr>
            <w:r w:rsidRPr="00883399">
              <w:rPr>
                <w:sz w:val="22"/>
              </w:rPr>
              <w:t>39.3 × 10</w:t>
            </w:r>
            <w:r w:rsidRPr="00883399">
              <w:rPr>
                <w:sz w:val="22"/>
                <w:vertAlign w:val="superscript"/>
              </w:rPr>
              <w:noBreakHyphen/>
              <w:t>3</w:t>
            </w:r>
          </w:p>
        </w:tc>
        <w:tc>
          <w:tcPr>
            <w:tcW w:w="970" w:type="dxa"/>
            <w:tcBorders>
              <w:top w:val="nil"/>
              <w:left w:val="nil"/>
              <w:bottom w:val="nil"/>
              <w:right w:val="nil"/>
            </w:tcBorders>
          </w:tcPr>
          <w:p w14:paraId="23AD1232" w14:textId="77777777" w:rsidR="00F1577C" w:rsidRPr="00883399" w:rsidDel="00B25EE5" w:rsidRDefault="00F1577C" w:rsidP="00C64E6B">
            <w:pPr>
              <w:pStyle w:val="Tabletext0"/>
              <w:rPr>
                <w:sz w:val="22"/>
              </w:rPr>
            </w:pPr>
            <w:r w:rsidRPr="00883399">
              <w:rPr>
                <w:sz w:val="22"/>
              </w:rPr>
              <w:t>51.4</w:t>
            </w:r>
          </w:p>
        </w:tc>
        <w:tc>
          <w:tcPr>
            <w:tcW w:w="970" w:type="dxa"/>
            <w:tcBorders>
              <w:top w:val="nil"/>
              <w:left w:val="nil"/>
              <w:bottom w:val="nil"/>
              <w:right w:val="nil"/>
            </w:tcBorders>
          </w:tcPr>
          <w:p w14:paraId="419FC05C" w14:textId="77777777" w:rsidR="00F1577C" w:rsidRPr="00883399" w:rsidDel="00B25EE5" w:rsidRDefault="00F1577C" w:rsidP="00C64E6B">
            <w:pPr>
              <w:pStyle w:val="Tabletext0"/>
              <w:rPr>
                <w:sz w:val="22"/>
              </w:rPr>
            </w:pPr>
            <w:r w:rsidRPr="00883399">
              <w:rPr>
                <w:sz w:val="22"/>
              </w:rPr>
              <w:t>0.1</w:t>
            </w:r>
          </w:p>
        </w:tc>
        <w:tc>
          <w:tcPr>
            <w:tcW w:w="971" w:type="dxa"/>
            <w:tcBorders>
              <w:top w:val="nil"/>
              <w:left w:val="nil"/>
              <w:bottom w:val="nil"/>
              <w:right w:val="nil"/>
            </w:tcBorders>
          </w:tcPr>
          <w:p w14:paraId="28A36C1B" w14:textId="77777777" w:rsidR="00F1577C" w:rsidRPr="00883399" w:rsidDel="00B25EE5" w:rsidRDefault="00F1577C" w:rsidP="00C64E6B">
            <w:pPr>
              <w:pStyle w:val="Tabletext0"/>
              <w:rPr>
                <w:sz w:val="22"/>
              </w:rPr>
            </w:pPr>
            <w:r w:rsidRPr="00883399">
              <w:rPr>
                <w:sz w:val="22"/>
              </w:rPr>
              <w:t>0.03</w:t>
            </w:r>
          </w:p>
        </w:tc>
      </w:tr>
      <w:tr w:rsidR="00F1577C" w:rsidRPr="00883399" w14:paraId="32A9A5B5" w14:textId="77777777" w:rsidTr="0031057E">
        <w:trPr>
          <w:cantSplit/>
        </w:trPr>
        <w:tc>
          <w:tcPr>
            <w:tcW w:w="588" w:type="dxa"/>
            <w:tcBorders>
              <w:top w:val="nil"/>
              <w:left w:val="nil"/>
              <w:bottom w:val="nil"/>
              <w:right w:val="nil"/>
            </w:tcBorders>
          </w:tcPr>
          <w:p w14:paraId="10D7C295" w14:textId="77777777" w:rsidR="00F1577C" w:rsidRPr="00883399" w:rsidDel="00B25EE5" w:rsidRDefault="00F1577C" w:rsidP="00C64E6B">
            <w:pPr>
              <w:pStyle w:val="Tabletext0"/>
              <w:rPr>
                <w:sz w:val="22"/>
              </w:rPr>
            </w:pPr>
            <w:r w:rsidRPr="00883399">
              <w:rPr>
                <w:sz w:val="22"/>
              </w:rPr>
              <w:t>21</w:t>
            </w:r>
          </w:p>
        </w:tc>
        <w:tc>
          <w:tcPr>
            <w:tcW w:w="3252" w:type="dxa"/>
            <w:tcBorders>
              <w:top w:val="nil"/>
              <w:left w:val="nil"/>
              <w:bottom w:val="nil"/>
              <w:right w:val="nil"/>
            </w:tcBorders>
          </w:tcPr>
          <w:p w14:paraId="40507BD6" w14:textId="77777777" w:rsidR="00F1577C" w:rsidRPr="00883399" w:rsidDel="00B25EE5" w:rsidRDefault="00F1577C" w:rsidP="00C64E6B">
            <w:pPr>
              <w:pStyle w:val="Tabletext0"/>
              <w:rPr>
                <w:sz w:val="22"/>
              </w:rPr>
            </w:pPr>
            <w:r w:rsidRPr="00883399">
              <w:rPr>
                <w:sz w:val="22"/>
              </w:rPr>
              <w:t>Unprocessed natural gas</w:t>
            </w:r>
          </w:p>
        </w:tc>
        <w:tc>
          <w:tcPr>
            <w:tcW w:w="1550" w:type="dxa"/>
            <w:tcBorders>
              <w:top w:val="nil"/>
              <w:left w:val="nil"/>
              <w:bottom w:val="nil"/>
              <w:right w:val="nil"/>
            </w:tcBorders>
          </w:tcPr>
          <w:p w14:paraId="6AAB92F0" w14:textId="77777777" w:rsidR="00F1577C" w:rsidRPr="00883399" w:rsidDel="00B25EE5" w:rsidRDefault="00F1577C" w:rsidP="00C64E6B">
            <w:pPr>
              <w:pStyle w:val="Tabletext0"/>
              <w:rPr>
                <w:sz w:val="22"/>
              </w:rPr>
            </w:pPr>
            <w:r w:rsidRPr="00883399">
              <w:rPr>
                <w:sz w:val="22"/>
              </w:rPr>
              <w:t>39.3 × 10</w:t>
            </w:r>
            <w:r w:rsidRPr="00883399">
              <w:rPr>
                <w:sz w:val="22"/>
                <w:vertAlign w:val="superscript"/>
              </w:rPr>
              <w:noBreakHyphen/>
              <w:t>3</w:t>
            </w:r>
          </w:p>
        </w:tc>
        <w:tc>
          <w:tcPr>
            <w:tcW w:w="970" w:type="dxa"/>
            <w:tcBorders>
              <w:top w:val="nil"/>
              <w:left w:val="nil"/>
              <w:bottom w:val="nil"/>
              <w:right w:val="nil"/>
            </w:tcBorders>
          </w:tcPr>
          <w:p w14:paraId="5330E4FE" w14:textId="77777777" w:rsidR="00F1577C" w:rsidRPr="00883399" w:rsidDel="00B25EE5" w:rsidRDefault="00F1577C" w:rsidP="00C64E6B">
            <w:pPr>
              <w:pStyle w:val="Tabletext0"/>
              <w:rPr>
                <w:sz w:val="22"/>
              </w:rPr>
            </w:pPr>
            <w:r w:rsidRPr="00883399">
              <w:rPr>
                <w:sz w:val="22"/>
              </w:rPr>
              <w:t>51.4</w:t>
            </w:r>
          </w:p>
        </w:tc>
        <w:tc>
          <w:tcPr>
            <w:tcW w:w="970" w:type="dxa"/>
            <w:tcBorders>
              <w:top w:val="nil"/>
              <w:left w:val="nil"/>
              <w:bottom w:val="nil"/>
              <w:right w:val="nil"/>
            </w:tcBorders>
          </w:tcPr>
          <w:p w14:paraId="15CDBC04" w14:textId="77777777" w:rsidR="00F1577C" w:rsidRPr="00883399" w:rsidDel="00B25EE5" w:rsidRDefault="00F1577C" w:rsidP="00C64E6B">
            <w:pPr>
              <w:pStyle w:val="Tabletext0"/>
              <w:rPr>
                <w:sz w:val="22"/>
              </w:rPr>
            </w:pPr>
            <w:r w:rsidRPr="00883399">
              <w:rPr>
                <w:sz w:val="22"/>
              </w:rPr>
              <w:t>0.1</w:t>
            </w:r>
          </w:p>
        </w:tc>
        <w:tc>
          <w:tcPr>
            <w:tcW w:w="971" w:type="dxa"/>
            <w:tcBorders>
              <w:top w:val="nil"/>
              <w:left w:val="nil"/>
              <w:bottom w:val="nil"/>
              <w:right w:val="nil"/>
            </w:tcBorders>
          </w:tcPr>
          <w:p w14:paraId="10B2B3D5" w14:textId="77777777" w:rsidR="00F1577C" w:rsidRPr="00883399" w:rsidDel="00B25EE5" w:rsidRDefault="00F1577C" w:rsidP="00C64E6B">
            <w:pPr>
              <w:pStyle w:val="Tabletext0"/>
              <w:rPr>
                <w:sz w:val="22"/>
              </w:rPr>
            </w:pPr>
            <w:r w:rsidRPr="00883399">
              <w:rPr>
                <w:sz w:val="22"/>
              </w:rPr>
              <w:t>0.03</w:t>
            </w:r>
          </w:p>
        </w:tc>
      </w:tr>
      <w:tr w:rsidR="00F1577C" w:rsidRPr="00883399" w14:paraId="466A0386" w14:textId="77777777" w:rsidTr="0031057E">
        <w:trPr>
          <w:cantSplit/>
        </w:trPr>
        <w:tc>
          <w:tcPr>
            <w:tcW w:w="588" w:type="dxa"/>
            <w:tcBorders>
              <w:top w:val="nil"/>
              <w:left w:val="nil"/>
              <w:bottom w:val="nil"/>
              <w:right w:val="nil"/>
            </w:tcBorders>
          </w:tcPr>
          <w:p w14:paraId="3146D47E" w14:textId="77777777" w:rsidR="00F1577C" w:rsidRPr="00883399" w:rsidDel="00B25EE5" w:rsidRDefault="00F1577C" w:rsidP="00C64E6B">
            <w:pPr>
              <w:pStyle w:val="Tabletext0"/>
              <w:rPr>
                <w:sz w:val="22"/>
              </w:rPr>
            </w:pPr>
            <w:r w:rsidRPr="00883399">
              <w:rPr>
                <w:sz w:val="22"/>
              </w:rPr>
              <w:t>22</w:t>
            </w:r>
          </w:p>
        </w:tc>
        <w:tc>
          <w:tcPr>
            <w:tcW w:w="3252" w:type="dxa"/>
            <w:tcBorders>
              <w:top w:val="nil"/>
              <w:left w:val="nil"/>
              <w:bottom w:val="nil"/>
              <w:right w:val="nil"/>
            </w:tcBorders>
          </w:tcPr>
          <w:p w14:paraId="0552A10C" w14:textId="77777777" w:rsidR="00F1577C" w:rsidRPr="00883399" w:rsidDel="00B25EE5" w:rsidRDefault="00F1577C" w:rsidP="00C64E6B">
            <w:pPr>
              <w:pStyle w:val="Tabletext0"/>
              <w:rPr>
                <w:sz w:val="22"/>
              </w:rPr>
            </w:pPr>
            <w:r w:rsidRPr="00883399">
              <w:rPr>
                <w:sz w:val="22"/>
              </w:rPr>
              <w:t>Ethane</w:t>
            </w:r>
          </w:p>
        </w:tc>
        <w:tc>
          <w:tcPr>
            <w:tcW w:w="1550" w:type="dxa"/>
            <w:tcBorders>
              <w:top w:val="nil"/>
              <w:left w:val="nil"/>
              <w:bottom w:val="nil"/>
              <w:right w:val="nil"/>
            </w:tcBorders>
          </w:tcPr>
          <w:p w14:paraId="4DF8F079" w14:textId="77777777" w:rsidR="00F1577C" w:rsidRPr="00883399" w:rsidDel="00B25EE5" w:rsidRDefault="00F1577C" w:rsidP="00C64E6B">
            <w:pPr>
              <w:pStyle w:val="Tabletext0"/>
              <w:rPr>
                <w:sz w:val="22"/>
              </w:rPr>
            </w:pPr>
            <w:r w:rsidRPr="00883399">
              <w:rPr>
                <w:sz w:val="22"/>
              </w:rPr>
              <w:t>62.9 × 10</w:t>
            </w:r>
            <w:r w:rsidRPr="00883399">
              <w:rPr>
                <w:sz w:val="22"/>
                <w:vertAlign w:val="superscript"/>
              </w:rPr>
              <w:noBreakHyphen/>
              <w:t>3</w:t>
            </w:r>
          </w:p>
        </w:tc>
        <w:tc>
          <w:tcPr>
            <w:tcW w:w="970" w:type="dxa"/>
            <w:tcBorders>
              <w:top w:val="nil"/>
              <w:left w:val="nil"/>
              <w:bottom w:val="nil"/>
              <w:right w:val="nil"/>
            </w:tcBorders>
          </w:tcPr>
          <w:p w14:paraId="622E24C0" w14:textId="77777777" w:rsidR="00F1577C" w:rsidRPr="00883399" w:rsidDel="00B25EE5" w:rsidRDefault="00F1577C" w:rsidP="00C64E6B">
            <w:pPr>
              <w:pStyle w:val="Tabletext0"/>
              <w:rPr>
                <w:sz w:val="22"/>
              </w:rPr>
            </w:pPr>
            <w:r w:rsidRPr="00883399">
              <w:rPr>
                <w:sz w:val="22"/>
              </w:rPr>
              <w:t>56.5</w:t>
            </w:r>
          </w:p>
        </w:tc>
        <w:tc>
          <w:tcPr>
            <w:tcW w:w="970" w:type="dxa"/>
            <w:tcBorders>
              <w:top w:val="nil"/>
              <w:left w:val="nil"/>
              <w:bottom w:val="nil"/>
              <w:right w:val="nil"/>
            </w:tcBorders>
          </w:tcPr>
          <w:p w14:paraId="1F44CEF1" w14:textId="77777777" w:rsidR="00F1577C" w:rsidRPr="00883399" w:rsidDel="00B25EE5" w:rsidRDefault="00F1577C" w:rsidP="00C64E6B">
            <w:pPr>
              <w:pStyle w:val="Tabletext0"/>
              <w:rPr>
                <w:sz w:val="22"/>
              </w:rPr>
            </w:pPr>
            <w:r w:rsidRPr="00883399">
              <w:rPr>
                <w:sz w:val="22"/>
              </w:rPr>
              <w:t>0.03</w:t>
            </w:r>
          </w:p>
        </w:tc>
        <w:tc>
          <w:tcPr>
            <w:tcW w:w="971" w:type="dxa"/>
            <w:tcBorders>
              <w:top w:val="nil"/>
              <w:left w:val="nil"/>
              <w:bottom w:val="nil"/>
              <w:right w:val="nil"/>
            </w:tcBorders>
          </w:tcPr>
          <w:p w14:paraId="2DC3AA53" w14:textId="77777777" w:rsidR="00F1577C" w:rsidRPr="00883399" w:rsidDel="00B25EE5" w:rsidRDefault="00F1577C" w:rsidP="00C64E6B">
            <w:pPr>
              <w:pStyle w:val="Tabletext0"/>
              <w:rPr>
                <w:sz w:val="22"/>
              </w:rPr>
            </w:pPr>
            <w:r w:rsidRPr="00883399">
              <w:rPr>
                <w:sz w:val="22"/>
              </w:rPr>
              <w:t>0.03</w:t>
            </w:r>
          </w:p>
        </w:tc>
      </w:tr>
      <w:tr w:rsidR="00F1577C" w:rsidRPr="00883399" w14:paraId="656B36EE" w14:textId="77777777" w:rsidTr="0031057E">
        <w:trPr>
          <w:cantSplit/>
        </w:trPr>
        <w:tc>
          <w:tcPr>
            <w:tcW w:w="588" w:type="dxa"/>
            <w:tcBorders>
              <w:top w:val="nil"/>
              <w:left w:val="nil"/>
              <w:bottom w:val="nil"/>
              <w:right w:val="nil"/>
            </w:tcBorders>
          </w:tcPr>
          <w:p w14:paraId="6C160F8F" w14:textId="77777777" w:rsidR="00F1577C" w:rsidRPr="00883399" w:rsidDel="00B25EE5" w:rsidRDefault="00F1577C" w:rsidP="00C64E6B">
            <w:pPr>
              <w:pStyle w:val="Tabletext0"/>
              <w:rPr>
                <w:sz w:val="22"/>
              </w:rPr>
            </w:pPr>
            <w:r w:rsidRPr="00883399">
              <w:rPr>
                <w:sz w:val="22"/>
              </w:rPr>
              <w:t>23</w:t>
            </w:r>
          </w:p>
        </w:tc>
        <w:tc>
          <w:tcPr>
            <w:tcW w:w="3252" w:type="dxa"/>
            <w:tcBorders>
              <w:top w:val="nil"/>
              <w:left w:val="nil"/>
              <w:bottom w:val="nil"/>
              <w:right w:val="nil"/>
            </w:tcBorders>
          </w:tcPr>
          <w:p w14:paraId="255FBFA9" w14:textId="77777777" w:rsidR="00F1577C" w:rsidRPr="00883399" w:rsidDel="00B25EE5" w:rsidRDefault="00F1577C" w:rsidP="00C64E6B">
            <w:pPr>
              <w:pStyle w:val="Tabletext0"/>
              <w:rPr>
                <w:sz w:val="22"/>
              </w:rPr>
            </w:pPr>
            <w:r w:rsidRPr="00883399">
              <w:rPr>
                <w:sz w:val="22"/>
              </w:rPr>
              <w:t>Coke oven gas</w:t>
            </w:r>
          </w:p>
        </w:tc>
        <w:tc>
          <w:tcPr>
            <w:tcW w:w="1550" w:type="dxa"/>
            <w:tcBorders>
              <w:top w:val="nil"/>
              <w:left w:val="nil"/>
              <w:bottom w:val="nil"/>
              <w:right w:val="nil"/>
            </w:tcBorders>
          </w:tcPr>
          <w:p w14:paraId="654880A6" w14:textId="77777777" w:rsidR="00F1577C" w:rsidRPr="00883399" w:rsidDel="00B25EE5" w:rsidRDefault="00F1577C" w:rsidP="00C64E6B">
            <w:pPr>
              <w:pStyle w:val="Tabletext0"/>
              <w:rPr>
                <w:sz w:val="22"/>
              </w:rPr>
            </w:pPr>
            <w:r w:rsidRPr="00883399">
              <w:rPr>
                <w:sz w:val="22"/>
              </w:rPr>
              <w:t>18.1 × 10</w:t>
            </w:r>
            <w:r w:rsidRPr="00883399">
              <w:rPr>
                <w:sz w:val="22"/>
                <w:vertAlign w:val="superscript"/>
              </w:rPr>
              <w:noBreakHyphen/>
              <w:t>3</w:t>
            </w:r>
          </w:p>
        </w:tc>
        <w:tc>
          <w:tcPr>
            <w:tcW w:w="970" w:type="dxa"/>
            <w:tcBorders>
              <w:top w:val="nil"/>
              <w:left w:val="nil"/>
              <w:bottom w:val="nil"/>
              <w:right w:val="nil"/>
            </w:tcBorders>
          </w:tcPr>
          <w:p w14:paraId="297C3A5F" w14:textId="77777777" w:rsidR="00F1577C" w:rsidRPr="00883399" w:rsidDel="00B25EE5" w:rsidRDefault="00F1577C" w:rsidP="00C64E6B">
            <w:pPr>
              <w:pStyle w:val="Tabletext0"/>
              <w:rPr>
                <w:sz w:val="22"/>
              </w:rPr>
            </w:pPr>
            <w:r w:rsidRPr="00883399">
              <w:rPr>
                <w:sz w:val="22"/>
              </w:rPr>
              <w:t>37.0</w:t>
            </w:r>
          </w:p>
        </w:tc>
        <w:tc>
          <w:tcPr>
            <w:tcW w:w="970" w:type="dxa"/>
            <w:tcBorders>
              <w:top w:val="nil"/>
              <w:left w:val="nil"/>
              <w:bottom w:val="nil"/>
              <w:right w:val="nil"/>
            </w:tcBorders>
          </w:tcPr>
          <w:p w14:paraId="1DD80EBA" w14:textId="77777777" w:rsidR="00F1577C" w:rsidRPr="00883399" w:rsidDel="00B25EE5" w:rsidRDefault="00F1577C" w:rsidP="00C64E6B">
            <w:pPr>
              <w:pStyle w:val="Tabletext0"/>
              <w:rPr>
                <w:sz w:val="22"/>
              </w:rPr>
            </w:pPr>
            <w:r w:rsidRPr="00883399">
              <w:rPr>
                <w:sz w:val="22"/>
              </w:rPr>
              <w:t>0.03</w:t>
            </w:r>
          </w:p>
        </w:tc>
        <w:tc>
          <w:tcPr>
            <w:tcW w:w="971" w:type="dxa"/>
            <w:tcBorders>
              <w:top w:val="nil"/>
              <w:left w:val="nil"/>
              <w:bottom w:val="nil"/>
              <w:right w:val="nil"/>
            </w:tcBorders>
          </w:tcPr>
          <w:p w14:paraId="04B9C29A" w14:textId="77777777" w:rsidR="00F1577C" w:rsidRPr="00883399" w:rsidDel="00B25EE5" w:rsidRDefault="00F1577C" w:rsidP="00C64E6B">
            <w:pPr>
              <w:pStyle w:val="Tabletext0"/>
              <w:rPr>
                <w:sz w:val="22"/>
              </w:rPr>
            </w:pPr>
            <w:r w:rsidRPr="00883399">
              <w:rPr>
                <w:sz w:val="22"/>
              </w:rPr>
              <w:t>0.05</w:t>
            </w:r>
          </w:p>
        </w:tc>
      </w:tr>
      <w:tr w:rsidR="00F1577C" w:rsidRPr="00883399" w14:paraId="3A600DC6" w14:textId="77777777" w:rsidTr="0031057E">
        <w:trPr>
          <w:cantSplit/>
        </w:trPr>
        <w:tc>
          <w:tcPr>
            <w:tcW w:w="588" w:type="dxa"/>
            <w:tcBorders>
              <w:top w:val="nil"/>
              <w:left w:val="nil"/>
              <w:bottom w:val="nil"/>
              <w:right w:val="nil"/>
            </w:tcBorders>
          </w:tcPr>
          <w:p w14:paraId="5D273003" w14:textId="77777777" w:rsidR="00F1577C" w:rsidRPr="00883399" w:rsidDel="00B25EE5" w:rsidRDefault="00F1577C" w:rsidP="00C64E6B">
            <w:pPr>
              <w:pStyle w:val="Tabletext0"/>
              <w:rPr>
                <w:sz w:val="22"/>
              </w:rPr>
            </w:pPr>
            <w:r w:rsidRPr="00883399">
              <w:rPr>
                <w:sz w:val="22"/>
              </w:rPr>
              <w:t>24</w:t>
            </w:r>
          </w:p>
        </w:tc>
        <w:tc>
          <w:tcPr>
            <w:tcW w:w="3252" w:type="dxa"/>
            <w:tcBorders>
              <w:top w:val="nil"/>
              <w:left w:val="nil"/>
              <w:bottom w:val="nil"/>
              <w:right w:val="nil"/>
            </w:tcBorders>
          </w:tcPr>
          <w:p w14:paraId="4369BDFA" w14:textId="77777777" w:rsidR="00F1577C" w:rsidRPr="00883399" w:rsidDel="00B25EE5" w:rsidRDefault="00F1577C" w:rsidP="00C64E6B">
            <w:pPr>
              <w:pStyle w:val="Tabletext0"/>
              <w:rPr>
                <w:sz w:val="22"/>
              </w:rPr>
            </w:pPr>
            <w:r w:rsidRPr="00883399">
              <w:rPr>
                <w:sz w:val="22"/>
              </w:rPr>
              <w:t>Blast furnace gas</w:t>
            </w:r>
          </w:p>
        </w:tc>
        <w:tc>
          <w:tcPr>
            <w:tcW w:w="1550" w:type="dxa"/>
            <w:tcBorders>
              <w:top w:val="nil"/>
              <w:left w:val="nil"/>
              <w:bottom w:val="nil"/>
              <w:right w:val="nil"/>
            </w:tcBorders>
          </w:tcPr>
          <w:p w14:paraId="4AAA0652" w14:textId="77777777" w:rsidR="00F1577C" w:rsidRPr="00883399" w:rsidDel="00B25EE5" w:rsidRDefault="00F1577C" w:rsidP="00C64E6B">
            <w:pPr>
              <w:pStyle w:val="Tabletext0"/>
              <w:rPr>
                <w:sz w:val="22"/>
              </w:rPr>
            </w:pPr>
            <w:r w:rsidRPr="00883399">
              <w:rPr>
                <w:sz w:val="22"/>
              </w:rPr>
              <w:t>4.0 × 10</w:t>
            </w:r>
            <w:r w:rsidRPr="00883399">
              <w:rPr>
                <w:sz w:val="22"/>
                <w:vertAlign w:val="superscript"/>
              </w:rPr>
              <w:noBreakHyphen/>
              <w:t>3</w:t>
            </w:r>
          </w:p>
        </w:tc>
        <w:tc>
          <w:tcPr>
            <w:tcW w:w="970" w:type="dxa"/>
            <w:tcBorders>
              <w:top w:val="nil"/>
              <w:left w:val="nil"/>
              <w:bottom w:val="nil"/>
              <w:right w:val="nil"/>
            </w:tcBorders>
          </w:tcPr>
          <w:p w14:paraId="77C16435" w14:textId="77777777" w:rsidR="00F1577C" w:rsidRPr="00883399" w:rsidDel="00B25EE5" w:rsidRDefault="00F1577C" w:rsidP="00C64E6B">
            <w:pPr>
              <w:pStyle w:val="Tabletext0"/>
              <w:rPr>
                <w:sz w:val="22"/>
              </w:rPr>
            </w:pPr>
            <w:r w:rsidRPr="00883399">
              <w:rPr>
                <w:sz w:val="22"/>
              </w:rPr>
              <w:t>234.0</w:t>
            </w:r>
          </w:p>
        </w:tc>
        <w:tc>
          <w:tcPr>
            <w:tcW w:w="970" w:type="dxa"/>
            <w:tcBorders>
              <w:top w:val="nil"/>
              <w:left w:val="nil"/>
              <w:bottom w:val="nil"/>
              <w:right w:val="nil"/>
            </w:tcBorders>
          </w:tcPr>
          <w:p w14:paraId="512E3F16" w14:textId="77777777" w:rsidR="00F1577C" w:rsidRPr="00883399" w:rsidDel="00B25EE5" w:rsidRDefault="00F1577C" w:rsidP="00C64E6B">
            <w:pPr>
              <w:pStyle w:val="Tabletext0"/>
              <w:rPr>
                <w:sz w:val="22"/>
              </w:rPr>
            </w:pPr>
            <w:r w:rsidRPr="00883399">
              <w:rPr>
                <w:sz w:val="22"/>
              </w:rPr>
              <w:t>0.0</w:t>
            </w:r>
          </w:p>
        </w:tc>
        <w:tc>
          <w:tcPr>
            <w:tcW w:w="971" w:type="dxa"/>
            <w:tcBorders>
              <w:top w:val="nil"/>
              <w:left w:val="nil"/>
              <w:bottom w:val="nil"/>
              <w:right w:val="nil"/>
            </w:tcBorders>
          </w:tcPr>
          <w:p w14:paraId="76371651" w14:textId="77777777" w:rsidR="00F1577C" w:rsidRPr="00883399" w:rsidDel="00B25EE5" w:rsidRDefault="00F1577C" w:rsidP="00C64E6B">
            <w:pPr>
              <w:pStyle w:val="Tabletext0"/>
              <w:rPr>
                <w:sz w:val="22"/>
              </w:rPr>
            </w:pPr>
            <w:r w:rsidRPr="00883399">
              <w:rPr>
                <w:sz w:val="22"/>
              </w:rPr>
              <w:t>0.03</w:t>
            </w:r>
          </w:p>
        </w:tc>
      </w:tr>
      <w:tr w:rsidR="00F1577C" w:rsidRPr="00883399" w14:paraId="2AA31E4D" w14:textId="77777777" w:rsidTr="0031057E">
        <w:trPr>
          <w:cantSplit/>
        </w:trPr>
        <w:tc>
          <w:tcPr>
            <w:tcW w:w="588" w:type="dxa"/>
            <w:tcBorders>
              <w:top w:val="nil"/>
              <w:left w:val="nil"/>
              <w:bottom w:val="nil"/>
              <w:right w:val="nil"/>
            </w:tcBorders>
          </w:tcPr>
          <w:p w14:paraId="11FD3196" w14:textId="77777777" w:rsidR="00F1577C" w:rsidRPr="00883399" w:rsidDel="00B25EE5" w:rsidRDefault="00F1577C" w:rsidP="00C64E6B">
            <w:pPr>
              <w:pStyle w:val="Tabletext0"/>
              <w:rPr>
                <w:sz w:val="22"/>
              </w:rPr>
            </w:pPr>
            <w:r w:rsidRPr="00883399">
              <w:rPr>
                <w:sz w:val="22"/>
              </w:rPr>
              <w:t>25</w:t>
            </w:r>
          </w:p>
        </w:tc>
        <w:tc>
          <w:tcPr>
            <w:tcW w:w="3252" w:type="dxa"/>
            <w:tcBorders>
              <w:top w:val="nil"/>
              <w:left w:val="nil"/>
              <w:bottom w:val="nil"/>
              <w:right w:val="nil"/>
            </w:tcBorders>
          </w:tcPr>
          <w:p w14:paraId="3963F400" w14:textId="77777777" w:rsidR="00F1577C" w:rsidRPr="00883399" w:rsidDel="00B25EE5" w:rsidRDefault="00F1577C" w:rsidP="00C64E6B">
            <w:pPr>
              <w:pStyle w:val="Tabletext0"/>
              <w:rPr>
                <w:sz w:val="22"/>
              </w:rPr>
            </w:pPr>
            <w:r w:rsidRPr="00883399">
              <w:rPr>
                <w:sz w:val="22"/>
              </w:rPr>
              <w:t>Town gas</w:t>
            </w:r>
          </w:p>
        </w:tc>
        <w:tc>
          <w:tcPr>
            <w:tcW w:w="1550" w:type="dxa"/>
            <w:tcBorders>
              <w:top w:val="nil"/>
              <w:left w:val="nil"/>
              <w:bottom w:val="nil"/>
              <w:right w:val="nil"/>
            </w:tcBorders>
          </w:tcPr>
          <w:p w14:paraId="4A9479CB" w14:textId="77777777" w:rsidR="00F1577C" w:rsidRPr="00883399" w:rsidDel="00B25EE5" w:rsidRDefault="00F1577C" w:rsidP="00C64E6B">
            <w:pPr>
              <w:pStyle w:val="Tabletext0"/>
              <w:rPr>
                <w:sz w:val="22"/>
              </w:rPr>
            </w:pPr>
            <w:r w:rsidRPr="00883399">
              <w:rPr>
                <w:sz w:val="22"/>
              </w:rPr>
              <w:t>39.0 × 10</w:t>
            </w:r>
            <w:r w:rsidRPr="00883399">
              <w:rPr>
                <w:sz w:val="22"/>
                <w:vertAlign w:val="superscript"/>
              </w:rPr>
              <w:noBreakHyphen/>
              <w:t>3</w:t>
            </w:r>
          </w:p>
        </w:tc>
        <w:tc>
          <w:tcPr>
            <w:tcW w:w="970" w:type="dxa"/>
            <w:tcBorders>
              <w:top w:val="nil"/>
              <w:left w:val="nil"/>
              <w:bottom w:val="nil"/>
              <w:right w:val="nil"/>
            </w:tcBorders>
          </w:tcPr>
          <w:p w14:paraId="3D1139C3" w14:textId="77777777" w:rsidR="00F1577C" w:rsidRPr="00883399" w:rsidDel="00B25EE5" w:rsidRDefault="00F1577C" w:rsidP="00C64E6B">
            <w:pPr>
              <w:pStyle w:val="Tabletext0"/>
              <w:rPr>
                <w:sz w:val="22"/>
              </w:rPr>
            </w:pPr>
            <w:r w:rsidRPr="00883399">
              <w:rPr>
                <w:sz w:val="22"/>
              </w:rPr>
              <w:t>60.2</w:t>
            </w:r>
          </w:p>
        </w:tc>
        <w:tc>
          <w:tcPr>
            <w:tcW w:w="970" w:type="dxa"/>
            <w:tcBorders>
              <w:top w:val="nil"/>
              <w:left w:val="nil"/>
              <w:bottom w:val="nil"/>
              <w:right w:val="nil"/>
            </w:tcBorders>
          </w:tcPr>
          <w:p w14:paraId="58E1BF96" w14:textId="77777777" w:rsidR="00F1577C" w:rsidRPr="00883399" w:rsidDel="00B25EE5" w:rsidRDefault="00F1577C" w:rsidP="00C64E6B">
            <w:pPr>
              <w:pStyle w:val="Tabletext0"/>
              <w:rPr>
                <w:sz w:val="22"/>
              </w:rPr>
            </w:pPr>
            <w:r w:rsidRPr="00883399">
              <w:rPr>
                <w:sz w:val="22"/>
              </w:rPr>
              <w:t>0.0</w:t>
            </w:r>
          </w:p>
        </w:tc>
        <w:tc>
          <w:tcPr>
            <w:tcW w:w="971" w:type="dxa"/>
            <w:tcBorders>
              <w:top w:val="nil"/>
              <w:left w:val="nil"/>
              <w:bottom w:val="nil"/>
              <w:right w:val="nil"/>
            </w:tcBorders>
          </w:tcPr>
          <w:p w14:paraId="677FBDD9" w14:textId="77777777" w:rsidR="00F1577C" w:rsidRPr="00883399" w:rsidDel="00B25EE5" w:rsidRDefault="00F1577C" w:rsidP="00C64E6B">
            <w:pPr>
              <w:pStyle w:val="Tabletext0"/>
              <w:rPr>
                <w:sz w:val="22"/>
              </w:rPr>
            </w:pPr>
            <w:r w:rsidRPr="00883399">
              <w:rPr>
                <w:sz w:val="22"/>
              </w:rPr>
              <w:t>0.03</w:t>
            </w:r>
          </w:p>
        </w:tc>
      </w:tr>
      <w:tr w:rsidR="00F1577C" w:rsidRPr="00883399" w14:paraId="172BE14C" w14:textId="77777777" w:rsidTr="0031057E">
        <w:trPr>
          <w:cantSplit/>
        </w:trPr>
        <w:tc>
          <w:tcPr>
            <w:tcW w:w="588" w:type="dxa"/>
            <w:tcBorders>
              <w:top w:val="nil"/>
              <w:left w:val="nil"/>
              <w:bottom w:val="nil"/>
              <w:right w:val="nil"/>
            </w:tcBorders>
          </w:tcPr>
          <w:p w14:paraId="4ECE3C19" w14:textId="77777777" w:rsidR="00F1577C" w:rsidRPr="00883399" w:rsidDel="00B25EE5" w:rsidRDefault="00F1577C" w:rsidP="00C64E6B">
            <w:pPr>
              <w:pStyle w:val="Tabletext0"/>
              <w:rPr>
                <w:sz w:val="22"/>
              </w:rPr>
            </w:pPr>
            <w:r w:rsidRPr="00883399">
              <w:rPr>
                <w:sz w:val="22"/>
              </w:rPr>
              <w:t>26</w:t>
            </w:r>
          </w:p>
        </w:tc>
        <w:tc>
          <w:tcPr>
            <w:tcW w:w="3252" w:type="dxa"/>
            <w:tcBorders>
              <w:top w:val="nil"/>
              <w:left w:val="nil"/>
              <w:bottom w:val="nil"/>
              <w:right w:val="nil"/>
            </w:tcBorders>
          </w:tcPr>
          <w:p w14:paraId="58E479E6" w14:textId="77777777" w:rsidR="00F1577C" w:rsidRPr="00883399" w:rsidDel="00B25EE5" w:rsidRDefault="00F1577C" w:rsidP="00C64E6B">
            <w:pPr>
              <w:pStyle w:val="Tabletext0"/>
              <w:rPr>
                <w:sz w:val="22"/>
              </w:rPr>
            </w:pPr>
            <w:r w:rsidRPr="00883399">
              <w:rPr>
                <w:sz w:val="22"/>
              </w:rPr>
              <w:t>Liquefied natural gas</w:t>
            </w:r>
          </w:p>
        </w:tc>
        <w:tc>
          <w:tcPr>
            <w:tcW w:w="1550" w:type="dxa"/>
            <w:tcBorders>
              <w:top w:val="nil"/>
              <w:left w:val="nil"/>
              <w:bottom w:val="nil"/>
              <w:right w:val="nil"/>
            </w:tcBorders>
          </w:tcPr>
          <w:p w14:paraId="50255F32" w14:textId="77777777" w:rsidR="00F1577C" w:rsidRPr="00883399" w:rsidDel="00B25EE5" w:rsidRDefault="00F1577C" w:rsidP="00C64E6B">
            <w:pPr>
              <w:pStyle w:val="Tabletext0"/>
              <w:rPr>
                <w:sz w:val="22"/>
              </w:rPr>
            </w:pPr>
            <w:r w:rsidRPr="00883399">
              <w:rPr>
                <w:sz w:val="22"/>
              </w:rPr>
              <w:t>25.3 GJ/kL</w:t>
            </w:r>
          </w:p>
        </w:tc>
        <w:tc>
          <w:tcPr>
            <w:tcW w:w="970" w:type="dxa"/>
            <w:tcBorders>
              <w:top w:val="nil"/>
              <w:left w:val="nil"/>
              <w:bottom w:val="nil"/>
              <w:right w:val="nil"/>
            </w:tcBorders>
          </w:tcPr>
          <w:p w14:paraId="44C1D78E" w14:textId="77777777" w:rsidR="00F1577C" w:rsidRPr="00883399" w:rsidDel="00B25EE5" w:rsidRDefault="00F1577C" w:rsidP="00C64E6B">
            <w:pPr>
              <w:pStyle w:val="Tabletext0"/>
              <w:rPr>
                <w:sz w:val="22"/>
              </w:rPr>
            </w:pPr>
            <w:r w:rsidRPr="00883399">
              <w:rPr>
                <w:sz w:val="22"/>
              </w:rPr>
              <w:t>51.4</w:t>
            </w:r>
          </w:p>
        </w:tc>
        <w:tc>
          <w:tcPr>
            <w:tcW w:w="970" w:type="dxa"/>
            <w:tcBorders>
              <w:top w:val="nil"/>
              <w:left w:val="nil"/>
              <w:bottom w:val="nil"/>
              <w:right w:val="nil"/>
            </w:tcBorders>
          </w:tcPr>
          <w:p w14:paraId="5B774CFC" w14:textId="77777777" w:rsidR="00F1577C" w:rsidRPr="00883399" w:rsidDel="00B25EE5" w:rsidRDefault="00F1577C" w:rsidP="00C64E6B">
            <w:pPr>
              <w:pStyle w:val="Tabletext0"/>
              <w:rPr>
                <w:sz w:val="22"/>
              </w:rPr>
            </w:pPr>
            <w:r w:rsidRPr="00883399">
              <w:rPr>
                <w:sz w:val="22"/>
              </w:rPr>
              <w:t>0.1</w:t>
            </w:r>
          </w:p>
        </w:tc>
        <w:tc>
          <w:tcPr>
            <w:tcW w:w="971" w:type="dxa"/>
            <w:tcBorders>
              <w:top w:val="nil"/>
              <w:left w:val="nil"/>
              <w:bottom w:val="nil"/>
              <w:right w:val="nil"/>
            </w:tcBorders>
          </w:tcPr>
          <w:p w14:paraId="0AD136B1" w14:textId="77777777" w:rsidR="00F1577C" w:rsidRPr="00883399" w:rsidDel="00B25EE5" w:rsidRDefault="00F1577C" w:rsidP="00C64E6B">
            <w:pPr>
              <w:pStyle w:val="Tabletext0"/>
              <w:rPr>
                <w:sz w:val="22"/>
              </w:rPr>
            </w:pPr>
            <w:r w:rsidRPr="00883399">
              <w:rPr>
                <w:sz w:val="22"/>
              </w:rPr>
              <w:t>0.03</w:t>
            </w:r>
          </w:p>
        </w:tc>
      </w:tr>
      <w:tr w:rsidR="00F1577C" w:rsidRPr="00883399" w14:paraId="4AB822E8" w14:textId="77777777" w:rsidTr="0031057E">
        <w:trPr>
          <w:cantSplit/>
        </w:trPr>
        <w:tc>
          <w:tcPr>
            <w:tcW w:w="588" w:type="dxa"/>
            <w:tcBorders>
              <w:top w:val="nil"/>
              <w:left w:val="nil"/>
              <w:bottom w:val="nil"/>
              <w:right w:val="nil"/>
            </w:tcBorders>
          </w:tcPr>
          <w:p w14:paraId="096ECE8B" w14:textId="77777777" w:rsidR="00F1577C" w:rsidRPr="00883399" w:rsidDel="00B25EE5" w:rsidRDefault="00F1577C" w:rsidP="00C64E6B">
            <w:pPr>
              <w:pStyle w:val="Tabletext0"/>
              <w:rPr>
                <w:sz w:val="22"/>
              </w:rPr>
            </w:pPr>
            <w:r w:rsidRPr="00883399">
              <w:rPr>
                <w:sz w:val="22"/>
              </w:rPr>
              <w:t>27</w:t>
            </w:r>
          </w:p>
        </w:tc>
        <w:tc>
          <w:tcPr>
            <w:tcW w:w="3252" w:type="dxa"/>
            <w:tcBorders>
              <w:top w:val="nil"/>
              <w:left w:val="nil"/>
              <w:bottom w:val="nil"/>
              <w:right w:val="nil"/>
            </w:tcBorders>
          </w:tcPr>
          <w:p w14:paraId="7AF66B3B" w14:textId="77777777" w:rsidR="00F1577C" w:rsidRPr="00883399" w:rsidDel="00B25EE5" w:rsidRDefault="00F1577C" w:rsidP="00C64E6B">
            <w:pPr>
              <w:pStyle w:val="Tabletext0"/>
              <w:rPr>
                <w:sz w:val="22"/>
              </w:rPr>
            </w:pPr>
            <w:r w:rsidRPr="00883399">
              <w:rPr>
                <w:sz w:val="22"/>
              </w:rPr>
              <w:t>Gaseous fossil fuels other than those mentioned in items 17 to 26</w:t>
            </w:r>
          </w:p>
        </w:tc>
        <w:tc>
          <w:tcPr>
            <w:tcW w:w="1550" w:type="dxa"/>
            <w:tcBorders>
              <w:top w:val="nil"/>
              <w:left w:val="nil"/>
              <w:bottom w:val="nil"/>
              <w:right w:val="nil"/>
            </w:tcBorders>
          </w:tcPr>
          <w:p w14:paraId="5A7CB43D" w14:textId="77777777" w:rsidR="00F1577C" w:rsidRPr="00883399" w:rsidDel="00B25EE5" w:rsidRDefault="00F1577C" w:rsidP="00C64E6B">
            <w:pPr>
              <w:pStyle w:val="Tabletext0"/>
              <w:rPr>
                <w:sz w:val="22"/>
              </w:rPr>
            </w:pPr>
            <w:r w:rsidRPr="00883399">
              <w:rPr>
                <w:sz w:val="22"/>
              </w:rPr>
              <w:t>39.3 × 10</w:t>
            </w:r>
            <w:r w:rsidRPr="00883399">
              <w:rPr>
                <w:sz w:val="22"/>
                <w:vertAlign w:val="superscript"/>
              </w:rPr>
              <w:noBreakHyphen/>
              <w:t>3</w:t>
            </w:r>
          </w:p>
        </w:tc>
        <w:tc>
          <w:tcPr>
            <w:tcW w:w="970" w:type="dxa"/>
            <w:tcBorders>
              <w:top w:val="nil"/>
              <w:left w:val="nil"/>
              <w:bottom w:val="nil"/>
              <w:right w:val="nil"/>
            </w:tcBorders>
          </w:tcPr>
          <w:p w14:paraId="7D1B6119" w14:textId="77777777" w:rsidR="00F1577C" w:rsidRPr="00883399" w:rsidDel="00B25EE5" w:rsidRDefault="00F1577C" w:rsidP="00C64E6B">
            <w:pPr>
              <w:pStyle w:val="Tabletext0"/>
              <w:rPr>
                <w:sz w:val="22"/>
              </w:rPr>
            </w:pPr>
            <w:r w:rsidRPr="00883399">
              <w:rPr>
                <w:sz w:val="22"/>
              </w:rPr>
              <w:t>51.4</w:t>
            </w:r>
          </w:p>
        </w:tc>
        <w:tc>
          <w:tcPr>
            <w:tcW w:w="970" w:type="dxa"/>
            <w:tcBorders>
              <w:top w:val="nil"/>
              <w:left w:val="nil"/>
              <w:bottom w:val="nil"/>
              <w:right w:val="nil"/>
            </w:tcBorders>
          </w:tcPr>
          <w:p w14:paraId="1E68ED3A" w14:textId="77777777" w:rsidR="00F1577C" w:rsidRPr="00883399" w:rsidDel="00B25EE5" w:rsidRDefault="00F1577C" w:rsidP="00C64E6B">
            <w:pPr>
              <w:pStyle w:val="Tabletext0"/>
              <w:rPr>
                <w:sz w:val="22"/>
              </w:rPr>
            </w:pPr>
            <w:r w:rsidRPr="00883399">
              <w:rPr>
                <w:sz w:val="22"/>
              </w:rPr>
              <w:t>0.1</w:t>
            </w:r>
          </w:p>
        </w:tc>
        <w:tc>
          <w:tcPr>
            <w:tcW w:w="971" w:type="dxa"/>
            <w:tcBorders>
              <w:top w:val="nil"/>
              <w:left w:val="nil"/>
              <w:bottom w:val="nil"/>
              <w:right w:val="nil"/>
            </w:tcBorders>
          </w:tcPr>
          <w:p w14:paraId="3A618856" w14:textId="77777777" w:rsidR="00F1577C" w:rsidRPr="00883399" w:rsidDel="00B25EE5" w:rsidRDefault="00F1577C" w:rsidP="00C64E6B">
            <w:pPr>
              <w:pStyle w:val="Tabletext0"/>
              <w:rPr>
                <w:sz w:val="22"/>
              </w:rPr>
            </w:pPr>
            <w:r w:rsidRPr="00883399">
              <w:rPr>
                <w:sz w:val="22"/>
              </w:rPr>
              <w:t>0.03</w:t>
            </w:r>
          </w:p>
        </w:tc>
      </w:tr>
      <w:tr w:rsidR="00F1577C" w:rsidRPr="00883399" w14:paraId="35361C5C" w14:textId="77777777" w:rsidTr="0031057E">
        <w:trPr>
          <w:cantSplit/>
        </w:trPr>
        <w:tc>
          <w:tcPr>
            <w:tcW w:w="588" w:type="dxa"/>
            <w:tcBorders>
              <w:top w:val="nil"/>
              <w:left w:val="nil"/>
              <w:bottom w:val="nil"/>
              <w:right w:val="nil"/>
            </w:tcBorders>
          </w:tcPr>
          <w:p w14:paraId="15200C0E" w14:textId="77777777" w:rsidR="00F1577C" w:rsidRPr="00883399" w:rsidRDefault="00F1577C" w:rsidP="00C64E6B">
            <w:pPr>
              <w:pStyle w:val="Tabletext0"/>
              <w:rPr>
                <w:sz w:val="22"/>
              </w:rPr>
            </w:pPr>
            <w:r w:rsidRPr="00883399">
              <w:rPr>
                <w:sz w:val="22"/>
              </w:rPr>
              <w:t>28</w:t>
            </w:r>
          </w:p>
        </w:tc>
        <w:tc>
          <w:tcPr>
            <w:tcW w:w="3252" w:type="dxa"/>
            <w:tcBorders>
              <w:top w:val="nil"/>
              <w:left w:val="nil"/>
              <w:bottom w:val="nil"/>
              <w:right w:val="nil"/>
            </w:tcBorders>
          </w:tcPr>
          <w:p w14:paraId="097B2C89" w14:textId="77777777" w:rsidR="00F1577C" w:rsidRPr="00883399" w:rsidRDefault="00F1577C" w:rsidP="00C64E6B">
            <w:pPr>
              <w:pStyle w:val="Tabletext0"/>
              <w:rPr>
                <w:sz w:val="22"/>
              </w:rPr>
            </w:pPr>
            <w:r w:rsidRPr="00883399">
              <w:rPr>
                <w:sz w:val="22"/>
              </w:rPr>
              <w:t>Landfill biogas that is captured for combustion (methane only)</w:t>
            </w:r>
          </w:p>
        </w:tc>
        <w:tc>
          <w:tcPr>
            <w:tcW w:w="1550" w:type="dxa"/>
            <w:tcBorders>
              <w:top w:val="nil"/>
              <w:left w:val="nil"/>
              <w:bottom w:val="nil"/>
              <w:right w:val="nil"/>
            </w:tcBorders>
          </w:tcPr>
          <w:p w14:paraId="55684721" w14:textId="77777777" w:rsidR="00F1577C" w:rsidRPr="00883399" w:rsidRDefault="00F1577C" w:rsidP="00C64E6B">
            <w:pPr>
              <w:pStyle w:val="Tabletext0"/>
              <w:rPr>
                <w:sz w:val="22"/>
              </w:rPr>
            </w:pPr>
            <w:r w:rsidRPr="00883399">
              <w:rPr>
                <w:sz w:val="22"/>
              </w:rPr>
              <w:t>37.7 × 10</w:t>
            </w:r>
            <w:r w:rsidRPr="00883399">
              <w:rPr>
                <w:sz w:val="22"/>
                <w:vertAlign w:val="superscript"/>
              </w:rPr>
              <w:noBreakHyphen/>
              <w:t>3</w:t>
            </w:r>
          </w:p>
        </w:tc>
        <w:tc>
          <w:tcPr>
            <w:tcW w:w="970" w:type="dxa"/>
            <w:tcBorders>
              <w:top w:val="nil"/>
              <w:left w:val="nil"/>
              <w:bottom w:val="nil"/>
              <w:right w:val="nil"/>
            </w:tcBorders>
          </w:tcPr>
          <w:p w14:paraId="1C7DA225" w14:textId="77777777" w:rsidR="00F1577C" w:rsidRPr="00883399" w:rsidRDefault="00F1577C" w:rsidP="00C64E6B">
            <w:pPr>
              <w:pStyle w:val="Tabletext0"/>
              <w:rPr>
                <w:sz w:val="22"/>
              </w:rPr>
            </w:pPr>
            <w:r w:rsidRPr="00883399">
              <w:rPr>
                <w:sz w:val="22"/>
              </w:rPr>
              <w:t>0.0</w:t>
            </w:r>
          </w:p>
        </w:tc>
        <w:tc>
          <w:tcPr>
            <w:tcW w:w="970" w:type="dxa"/>
            <w:tcBorders>
              <w:top w:val="nil"/>
              <w:left w:val="nil"/>
              <w:bottom w:val="nil"/>
              <w:right w:val="nil"/>
            </w:tcBorders>
          </w:tcPr>
          <w:p w14:paraId="1AC22129" w14:textId="77777777" w:rsidR="00F1577C" w:rsidRPr="00883399" w:rsidRDefault="00F1577C" w:rsidP="00C64E6B">
            <w:pPr>
              <w:pStyle w:val="Tabletext0"/>
              <w:rPr>
                <w:sz w:val="22"/>
              </w:rPr>
            </w:pPr>
            <w:r w:rsidRPr="00883399">
              <w:rPr>
                <w:sz w:val="22"/>
              </w:rPr>
              <w:t>4.8</w:t>
            </w:r>
          </w:p>
        </w:tc>
        <w:tc>
          <w:tcPr>
            <w:tcW w:w="971" w:type="dxa"/>
            <w:tcBorders>
              <w:top w:val="nil"/>
              <w:left w:val="nil"/>
              <w:bottom w:val="nil"/>
              <w:right w:val="nil"/>
            </w:tcBorders>
          </w:tcPr>
          <w:p w14:paraId="247EF2D2" w14:textId="77777777" w:rsidR="00F1577C" w:rsidRPr="00883399" w:rsidRDefault="00F1577C" w:rsidP="00C64E6B">
            <w:pPr>
              <w:pStyle w:val="Tabletext0"/>
              <w:rPr>
                <w:sz w:val="22"/>
              </w:rPr>
            </w:pPr>
            <w:r w:rsidRPr="00883399">
              <w:rPr>
                <w:sz w:val="22"/>
              </w:rPr>
              <w:t>0.03</w:t>
            </w:r>
          </w:p>
        </w:tc>
      </w:tr>
      <w:tr w:rsidR="00F1577C" w:rsidRPr="00883399" w14:paraId="021BBB17" w14:textId="77777777" w:rsidTr="0031057E">
        <w:trPr>
          <w:cantSplit/>
        </w:trPr>
        <w:tc>
          <w:tcPr>
            <w:tcW w:w="588" w:type="dxa"/>
            <w:tcBorders>
              <w:top w:val="nil"/>
              <w:left w:val="nil"/>
              <w:bottom w:val="nil"/>
              <w:right w:val="nil"/>
            </w:tcBorders>
          </w:tcPr>
          <w:p w14:paraId="77EAC67E" w14:textId="77777777" w:rsidR="00F1577C" w:rsidRPr="00883399" w:rsidRDefault="00F1577C" w:rsidP="00C64E6B">
            <w:pPr>
              <w:pStyle w:val="Tabletext0"/>
              <w:rPr>
                <w:sz w:val="22"/>
              </w:rPr>
            </w:pPr>
            <w:r w:rsidRPr="00883399">
              <w:rPr>
                <w:sz w:val="22"/>
              </w:rPr>
              <w:t>29</w:t>
            </w:r>
          </w:p>
        </w:tc>
        <w:tc>
          <w:tcPr>
            <w:tcW w:w="3252" w:type="dxa"/>
            <w:tcBorders>
              <w:top w:val="nil"/>
              <w:left w:val="nil"/>
              <w:bottom w:val="nil"/>
              <w:right w:val="nil"/>
            </w:tcBorders>
          </w:tcPr>
          <w:p w14:paraId="04CDBE26" w14:textId="77777777" w:rsidR="00F1577C" w:rsidRPr="00883399" w:rsidRDefault="00F1577C" w:rsidP="00C64E6B">
            <w:pPr>
              <w:pStyle w:val="Tabletext0"/>
              <w:rPr>
                <w:sz w:val="22"/>
              </w:rPr>
            </w:pPr>
            <w:r w:rsidRPr="00883399">
              <w:rPr>
                <w:sz w:val="22"/>
              </w:rPr>
              <w:t>Sludge biogas that is captured for combustion (methane only)</w:t>
            </w:r>
          </w:p>
        </w:tc>
        <w:tc>
          <w:tcPr>
            <w:tcW w:w="1550" w:type="dxa"/>
            <w:tcBorders>
              <w:top w:val="nil"/>
              <w:left w:val="nil"/>
              <w:bottom w:val="nil"/>
              <w:right w:val="nil"/>
            </w:tcBorders>
          </w:tcPr>
          <w:p w14:paraId="64045A58" w14:textId="77777777" w:rsidR="00F1577C" w:rsidRPr="00883399" w:rsidRDefault="00F1577C" w:rsidP="00C64E6B">
            <w:pPr>
              <w:pStyle w:val="Tabletext0"/>
              <w:rPr>
                <w:sz w:val="22"/>
              </w:rPr>
            </w:pPr>
            <w:r w:rsidRPr="00883399">
              <w:rPr>
                <w:sz w:val="22"/>
              </w:rPr>
              <w:t>37.7 × 10</w:t>
            </w:r>
            <w:r w:rsidRPr="00883399">
              <w:rPr>
                <w:sz w:val="22"/>
                <w:vertAlign w:val="superscript"/>
              </w:rPr>
              <w:noBreakHyphen/>
              <w:t>3</w:t>
            </w:r>
          </w:p>
        </w:tc>
        <w:tc>
          <w:tcPr>
            <w:tcW w:w="970" w:type="dxa"/>
            <w:tcBorders>
              <w:top w:val="nil"/>
              <w:left w:val="nil"/>
              <w:bottom w:val="nil"/>
              <w:right w:val="nil"/>
            </w:tcBorders>
          </w:tcPr>
          <w:p w14:paraId="160AD80F" w14:textId="77777777" w:rsidR="00F1577C" w:rsidRPr="00883399" w:rsidRDefault="00F1577C" w:rsidP="00C64E6B">
            <w:pPr>
              <w:pStyle w:val="Tabletext0"/>
              <w:rPr>
                <w:sz w:val="22"/>
              </w:rPr>
            </w:pPr>
            <w:r w:rsidRPr="00883399">
              <w:rPr>
                <w:sz w:val="22"/>
              </w:rPr>
              <w:t>0.0</w:t>
            </w:r>
          </w:p>
        </w:tc>
        <w:tc>
          <w:tcPr>
            <w:tcW w:w="970" w:type="dxa"/>
            <w:tcBorders>
              <w:top w:val="nil"/>
              <w:left w:val="nil"/>
              <w:bottom w:val="nil"/>
              <w:right w:val="nil"/>
            </w:tcBorders>
          </w:tcPr>
          <w:p w14:paraId="390F751E" w14:textId="77777777" w:rsidR="00F1577C" w:rsidRPr="00883399" w:rsidRDefault="00F1577C" w:rsidP="00C64E6B">
            <w:pPr>
              <w:pStyle w:val="Tabletext0"/>
              <w:rPr>
                <w:sz w:val="22"/>
              </w:rPr>
            </w:pPr>
            <w:r w:rsidRPr="00883399">
              <w:rPr>
                <w:sz w:val="22"/>
              </w:rPr>
              <w:t>4.8</w:t>
            </w:r>
          </w:p>
        </w:tc>
        <w:tc>
          <w:tcPr>
            <w:tcW w:w="971" w:type="dxa"/>
            <w:tcBorders>
              <w:top w:val="nil"/>
              <w:left w:val="nil"/>
              <w:bottom w:val="nil"/>
              <w:right w:val="nil"/>
            </w:tcBorders>
          </w:tcPr>
          <w:p w14:paraId="210CC62F" w14:textId="77777777" w:rsidR="00F1577C" w:rsidRPr="00883399" w:rsidRDefault="00F1577C" w:rsidP="00C64E6B">
            <w:pPr>
              <w:pStyle w:val="Tabletext0"/>
              <w:rPr>
                <w:sz w:val="22"/>
              </w:rPr>
            </w:pPr>
            <w:r w:rsidRPr="00883399">
              <w:rPr>
                <w:sz w:val="22"/>
              </w:rPr>
              <w:t>0.03</w:t>
            </w:r>
          </w:p>
        </w:tc>
      </w:tr>
      <w:tr w:rsidR="00F1577C" w:rsidRPr="00883399" w14:paraId="4404798A" w14:textId="77777777" w:rsidTr="0031057E">
        <w:trPr>
          <w:cantSplit/>
        </w:trPr>
        <w:tc>
          <w:tcPr>
            <w:tcW w:w="588" w:type="dxa"/>
            <w:tcBorders>
              <w:top w:val="nil"/>
              <w:left w:val="nil"/>
              <w:right w:val="nil"/>
            </w:tcBorders>
          </w:tcPr>
          <w:p w14:paraId="7CE515CD" w14:textId="77777777" w:rsidR="00F1577C" w:rsidRPr="00883399" w:rsidRDefault="00F1577C" w:rsidP="00C64E6B">
            <w:pPr>
              <w:pStyle w:val="Tabletext0"/>
              <w:rPr>
                <w:sz w:val="22"/>
              </w:rPr>
            </w:pPr>
            <w:r w:rsidRPr="00883399">
              <w:rPr>
                <w:sz w:val="22"/>
              </w:rPr>
              <w:t>30</w:t>
            </w:r>
          </w:p>
        </w:tc>
        <w:tc>
          <w:tcPr>
            <w:tcW w:w="3252" w:type="dxa"/>
            <w:tcBorders>
              <w:top w:val="nil"/>
              <w:left w:val="nil"/>
              <w:right w:val="nil"/>
            </w:tcBorders>
          </w:tcPr>
          <w:p w14:paraId="7B825F5E" w14:textId="77777777" w:rsidR="00F1577C" w:rsidRPr="00883399" w:rsidRDefault="00F1577C" w:rsidP="00C64E6B">
            <w:pPr>
              <w:pStyle w:val="Tabletext0"/>
              <w:rPr>
                <w:sz w:val="22"/>
              </w:rPr>
            </w:pPr>
            <w:r w:rsidRPr="00883399">
              <w:rPr>
                <w:sz w:val="22"/>
              </w:rPr>
              <w:t>A biogas that is captured for combustion, other than those mentioned in items 28 and 29 (methane only)</w:t>
            </w:r>
          </w:p>
        </w:tc>
        <w:tc>
          <w:tcPr>
            <w:tcW w:w="1550" w:type="dxa"/>
            <w:tcBorders>
              <w:top w:val="nil"/>
              <w:left w:val="nil"/>
              <w:right w:val="nil"/>
            </w:tcBorders>
          </w:tcPr>
          <w:p w14:paraId="5391A0B1" w14:textId="77777777" w:rsidR="00F1577C" w:rsidRPr="00883399" w:rsidRDefault="00F1577C" w:rsidP="00C64E6B">
            <w:pPr>
              <w:pStyle w:val="Tabletext0"/>
              <w:rPr>
                <w:sz w:val="22"/>
              </w:rPr>
            </w:pPr>
            <w:r w:rsidRPr="00883399">
              <w:rPr>
                <w:sz w:val="22"/>
              </w:rPr>
              <w:t>37.7 × 10</w:t>
            </w:r>
            <w:r w:rsidRPr="00883399">
              <w:rPr>
                <w:sz w:val="22"/>
                <w:vertAlign w:val="superscript"/>
              </w:rPr>
              <w:noBreakHyphen/>
              <w:t>3</w:t>
            </w:r>
          </w:p>
        </w:tc>
        <w:tc>
          <w:tcPr>
            <w:tcW w:w="970" w:type="dxa"/>
            <w:tcBorders>
              <w:top w:val="nil"/>
              <w:left w:val="nil"/>
              <w:right w:val="nil"/>
            </w:tcBorders>
          </w:tcPr>
          <w:p w14:paraId="14CE96C5" w14:textId="77777777" w:rsidR="00F1577C" w:rsidRPr="00883399" w:rsidRDefault="00F1577C" w:rsidP="00C64E6B">
            <w:pPr>
              <w:pStyle w:val="Tabletext0"/>
              <w:rPr>
                <w:sz w:val="22"/>
              </w:rPr>
            </w:pPr>
            <w:r w:rsidRPr="00883399">
              <w:rPr>
                <w:sz w:val="22"/>
              </w:rPr>
              <w:t>0.0</w:t>
            </w:r>
          </w:p>
        </w:tc>
        <w:tc>
          <w:tcPr>
            <w:tcW w:w="970" w:type="dxa"/>
            <w:tcBorders>
              <w:top w:val="nil"/>
              <w:left w:val="nil"/>
              <w:right w:val="nil"/>
            </w:tcBorders>
          </w:tcPr>
          <w:p w14:paraId="547ACFB1" w14:textId="77777777" w:rsidR="00F1577C" w:rsidRPr="00883399" w:rsidRDefault="00F1577C" w:rsidP="00C64E6B">
            <w:pPr>
              <w:pStyle w:val="Tabletext0"/>
              <w:rPr>
                <w:sz w:val="22"/>
              </w:rPr>
            </w:pPr>
            <w:r w:rsidRPr="00883399">
              <w:rPr>
                <w:sz w:val="22"/>
              </w:rPr>
              <w:t>4.8</w:t>
            </w:r>
          </w:p>
        </w:tc>
        <w:tc>
          <w:tcPr>
            <w:tcW w:w="971" w:type="dxa"/>
            <w:tcBorders>
              <w:top w:val="nil"/>
              <w:left w:val="nil"/>
              <w:right w:val="nil"/>
            </w:tcBorders>
          </w:tcPr>
          <w:p w14:paraId="067EA820" w14:textId="77777777" w:rsidR="00F1577C" w:rsidRPr="00883399" w:rsidRDefault="00F1577C" w:rsidP="00C64E6B">
            <w:pPr>
              <w:pStyle w:val="Tabletext0"/>
              <w:rPr>
                <w:sz w:val="22"/>
              </w:rPr>
            </w:pPr>
            <w:r w:rsidRPr="00883399">
              <w:rPr>
                <w:sz w:val="22"/>
              </w:rPr>
              <w:t>0.03</w:t>
            </w:r>
          </w:p>
        </w:tc>
      </w:tr>
    </w:tbl>
    <w:p w14:paraId="7AB77986" w14:textId="77777777" w:rsidR="00872C03" w:rsidRPr="00883399" w:rsidRDefault="00872C03" w:rsidP="00872C03">
      <w:pPr>
        <w:pStyle w:val="Note"/>
        <w:ind w:left="0"/>
        <w:rPr>
          <w:color w:val="000000"/>
          <w:sz w:val="16"/>
          <w:szCs w:val="16"/>
        </w:rPr>
      </w:pPr>
      <w:r w:rsidRPr="00883399">
        <w:rPr>
          <w:color w:val="000000"/>
          <w:sz w:val="16"/>
          <w:szCs w:val="16"/>
        </w:rPr>
        <w:t>Notes on the sources of the factors listed above can be found at Appendix 2A.</w:t>
      </w:r>
    </w:p>
    <w:p w14:paraId="6BBDF413" w14:textId="77777777" w:rsidR="00872C03" w:rsidRPr="00883399" w:rsidRDefault="00872C03" w:rsidP="00872C03">
      <w:pPr>
        <w:rPr>
          <w:rStyle w:val="CharDivNo"/>
          <w:rFonts w:ascii="Arial" w:hAnsi="Arial"/>
          <w:b/>
          <w:sz w:val="28"/>
        </w:rPr>
      </w:pPr>
      <w:r w:rsidRPr="00883399">
        <w:rPr>
          <w:rStyle w:val="CharDivNo"/>
        </w:rPr>
        <w:br w:type="page"/>
      </w:r>
    </w:p>
    <w:p w14:paraId="71497A68" w14:textId="4379B6FD" w:rsidR="00872C03" w:rsidRPr="00883399" w:rsidRDefault="00872C03" w:rsidP="00872C03">
      <w:pPr>
        <w:pStyle w:val="HD"/>
        <w:spacing w:before="120"/>
      </w:pPr>
      <w:bookmarkStart w:id="219" w:name="_Toc265135174"/>
      <w:bookmarkStart w:id="220" w:name="_Toc495652681"/>
      <w:r w:rsidRPr="00883399">
        <w:rPr>
          <w:rStyle w:val="CharDivNo"/>
        </w:rPr>
        <w:lastRenderedPageBreak/>
        <w:t xml:space="preserve">Table 2.3.2B </w:t>
      </w:r>
      <w:r w:rsidRPr="00883399">
        <w:rPr>
          <w:rStyle w:val="CharDivNo"/>
        </w:rPr>
        <w:tab/>
        <w:t>Emissions and energy content factors</w:t>
      </w:r>
      <w:r w:rsidRPr="00883399">
        <w:rPr>
          <w:rStyle w:val="CharDivText"/>
        </w:rPr>
        <w:t> — gaseous fuels for transport energy purposes</w:t>
      </w:r>
      <w:bookmarkEnd w:id="219"/>
      <w:bookmarkEnd w:id="220"/>
    </w:p>
    <w:p w14:paraId="2AE9CB36" w14:textId="77777777" w:rsidR="00872C03" w:rsidRPr="00883399" w:rsidRDefault="00872C03" w:rsidP="00872C03">
      <w:pPr>
        <w:keepNext/>
      </w:pPr>
    </w:p>
    <w:tbl>
      <w:tblPr>
        <w:tblW w:w="83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977"/>
        <w:gridCol w:w="1834"/>
        <w:gridCol w:w="840"/>
        <w:gridCol w:w="970"/>
        <w:gridCol w:w="971"/>
      </w:tblGrid>
      <w:tr w:rsidR="00872C03" w:rsidRPr="00883399" w14:paraId="1F7E8E3B" w14:textId="77777777" w:rsidTr="0031057E">
        <w:trPr>
          <w:cantSplit/>
          <w:tblHeader/>
        </w:trPr>
        <w:tc>
          <w:tcPr>
            <w:tcW w:w="709" w:type="dxa"/>
            <w:vMerge w:val="restart"/>
            <w:tcBorders>
              <w:top w:val="nil"/>
              <w:left w:val="nil"/>
              <w:bottom w:val="nil"/>
              <w:right w:val="nil"/>
            </w:tcBorders>
          </w:tcPr>
          <w:p w14:paraId="6625B1F4" w14:textId="77777777" w:rsidR="00872C03" w:rsidRPr="00883399" w:rsidRDefault="00872C03" w:rsidP="0031057E">
            <w:pPr>
              <w:pStyle w:val="Table"/>
              <w:jc w:val="right"/>
              <w:rPr>
                <w:rStyle w:val="Strong"/>
                <w:rFonts w:cs="Arial"/>
                <w:sz w:val="18"/>
              </w:rPr>
            </w:pPr>
            <w:r w:rsidRPr="00883399">
              <w:rPr>
                <w:rStyle w:val="Strong"/>
                <w:rFonts w:cs="Arial"/>
                <w:sz w:val="18"/>
              </w:rPr>
              <w:t>Item</w:t>
            </w:r>
          </w:p>
        </w:tc>
        <w:tc>
          <w:tcPr>
            <w:tcW w:w="2977" w:type="dxa"/>
            <w:vMerge w:val="restart"/>
            <w:tcBorders>
              <w:top w:val="nil"/>
              <w:left w:val="nil"/>
              <w:bottom w:val="nil"/>
              <w:right w:val="nil"/>
            </w:tcBorders>
          </w:tcPr>
          <w:p w14:paraId="4F28C797" w14:textId="77777777" w:rsidR="00872C03" w:rsidRPr="00883399" w:rsidRDefault="00872C03" w:rsidP="0031057E">
            <w:pPr>
              <w:pStyle w:val="Table"/>
              <w:rPr>
                <w:rStyle w:val="Strong"/>
                <w:rFonts w:cs="Arial"/>
                <w:sz w:val="18"/>
              </w:rPr>
            </w:pPr>
            <w:r w:rsidRPr="00883399">
              <w:rPr>
                <w:rStyle w:val="Strong"/>
                <w:rFonts w:cs="Arial"/>
                <w:sz w:val="18"/>
              </w:rPr>
              <w:t>Fuel combusted</w:t>
            </w:r>
          </w:p>
        </w:tc>
        <w:tc>
          <w:tcPr>
            <w:tcW w:w="1834" w:type="dxa"/>
            <w:vMerge w:val="restart"/>
            <w:tcBorders>
              <w:top w:val="nil"/>
              <w:left w:val="nil"/>
              <w:bottom w:val="nil"/>
              <w:right w:val="nil"/>
            </w:tcBorders>
          </w:tcPr>
          <w:p w14:paraId="6A7DBF8C" w14:textId="77777777" w:rsidR="00872C03" w:rsidRPr="00883399" w:rsidRDefault="00872C03" w:rsidP="0031057E">
            <w:pPr>
              <w:pStyle w:val="TableCentre"/>
              <w:rPr>
                <w:rStyle w:val="Strong"/>
                <w:rFonts w:cs="Arial"/>
                <w:sz w:val="18"/>
              </w:rPr>
            </w:pPr>
            <w:r w:rsidRPr="00883399">
              <w:rPr>
                <w:rStyle w:val="Strong"/>
                <w:rFonts w:cs="Arial"/>
                <w:sz w:val="18"/>
              </w:rPr>
              <w:t>Energy content factor</w:t>
            </w:r>
          </w:p>
          <w:p w14:paraId="752A59F0" w14:textId="77777777" w:rsidR="00872C03" w:rsidRPr="00883399" w:rsidRDefault="00872C03" w:rsidP="0031057E">
            <w:pPr>
              <w:pStyle w:val="TableCentre"/>
              <w:rPr>
                <w:rStyle w:val="Strong"/>
                <w:rFonts w:cs="Arial"/>
                <w:sz w:val="18"/>
              </w:rPr>
            </w:pPr>
            <w:r w:rsidRPr="00883399">
              <w:rPr>
                <w:rStyle w:val="Strong"/>
                <w:rFonts w:cs="Arial"/>
                <w:sz w:val="18"/>
              </w:rPr>
              <w:t>(GJ/kL unless otherwise indicated)</w:t>
            </w:r>
          </w:p>
        </w:tc>
        <w:tc>
          <w:tcPr>
            <w:tcW w:w="2781" w:type="dxa"/>
            <w:gridSpan w:val="3"/>
            <w:tcBorders>
              <w:top w:val="nil"/>
              <w:left w:val="nil"/>
              <w:bottom w:val="nil"/>
              <w:right w:val="nil"/>
            </w:tcBorders>
          </w:tcPr>
          <w:p w14:paraId="74C94498" w14:textId="77777777" w:rsidR="00872C03" w:rsidRPr="00883399" w:rsidRDefault="00872C03" w:rsidP="0031057E">
            <w:pPr>
              <w:pStyle w:val="Heading1Like"/>
              <w:spacing w:before="60" w:after="0" w:line="312" w:lineRule="auto"/>
              <w:ind w:left="567" w:hanging="567"/>
              <w:jc w:val="center"/>
              <w:rPr>
                <w:rFonts w:ascii="Arial" w:hAnsi="Arial"/>
                <w:sz w:val="18"/>
              </w:rPr>
            </w:pPr>
            <w:r w:rsidRPr="00883399">
              <w:rPr>
                <w:rFonts w:ascii="Arial" w:hAnsi="Arial"/>
                <w:caps w:val="0"/>
                <w:sz w:val="18"/>
              </w:rPr>
              <w:t>Emission factor</w:t>
            </w:r>
          </w:p>
          <w:p w14:paraId="68597786" w14:textId="77777777" w:rsidR="00872C03" w:rsidRPr="00883399" w:rsidRDefault="00872C03" w:rsidP="0031057E">
            <w:pPr>
              <w:pStyle w:val="Heading1Like"/>
              <w:spacing w:after="0" w:line="312" w:lineRule="auto"/>
              <w:ind w:left="567" w:hanging="567"/>
              <w:jc w:val="center"/>
              <w:rPr>
                <w:rFonts w:ascii="Arial" w:hAnsi="Arial"/>
                <w:sz w:val="18"/>
              </w:rPr>
            </w:pPr>
            <w:r w:rsidRPr="00883399">
              <w:rPr>
                <w:rFonts w:ascii="Arial" w:hAnsi="Arial"/>
                <w:caps w:val="0"/>
                <w:sz w:val="18"/>
              </w:rPr>
              <w:t>kg CO</w:t>
            </w:r>
            <w:r w:rsidRPr="00883399">
              <w:rPr>
                <w:rFonts w:ascii="Arial" w:hAnsi="Arial"/>
                <w:caps w:val="0"/>
                <w:sz w:val="18"/>
                <w:vertAlign w:val="subscript"/>
              </w:rPr>
              <w:t>2</w:t>
            </w:r>
            <w:r w:rsidRPr="00883399">
              <w:rPr>
                <w:rFonts w:ascii="Arial" w:hAnsi="Arial"/>
                <w:caps w:val="0"/>
                <w:sz w:val="18"/>
              </w:rPr>
              <w:noBreakHyphen/>
              <w:t>e/GJ</w:t>
            </w:r>
          </w:p>
          <w:p w14:paraId="4B4B36B5" w14:textId="77777777" w:rsidR="00872C03" w:rsidRPr="00883399" w:rsidRDefault="00872C03" w:rsidP="0031057E">
            <w:pPr>
              <w:pStyle w:val="Heading1Like"/>
              <w:spacing w:before="60" w:after="240"/>
              <w:ind w:left="0" w:firstLine="0"/>
              <w:jc w:val="center"/>
              <w:rPr>
                <w:sz w:val="18"/>
              </w:rPr>
            </w:pPr>
            <w:r w:rsidRPr="00883399">
              <w:rPr>
                <w:sz w:val="18"/>
                <w:szCs w:val="18"/>
              </w:rPr>
              <w:t>(relevant oxidation factors incorporated)</w:t>
            </w:r>
          </w:p>
        </w:tc>
      </w:tr>
      <w:tr w:rsidR="00872C03" w:rsidRPr="00883399" w14:paraId="7D73157C" w14:textId="77777777" w:rsidTr="0031057E">
        <w:trPr>
          <w:cantSplit/>
          <w:tblHeader/>
        </w:trPr>
        <w:tc>
          <w:tcPr>
            <w:tcW w:w="709" w:type="dxa"/>
            <w:vMerge/>
            <w:tcBorders>
              <w:top w:val="nil"/>
              <w:left w:val="nil"/>
              <w:right w:val="nil"/>
            </w:tcBorders>
          </w:tcPr>
          <w:p w14:paraId="5523240E" w14:textId="77777777" w:rsidR="00872C03" w:rsidRPr="00883399" w:rsidRDefault="00872C03" w:rsidP="0031057E">
            <w:pPr>
              <w:jc w:val="right"/>
            </w:pPr>
          </w:p>
        </w:tc>
        <w:tc>
          <w:tcPr>
            <w:tcW w:w="2977" w:type="dxa"/>
            <w:vMerge/>
            <w:tcBorders>
              <w:top w:val="nil"/>
              <w:left w:val="nil"/>
              <w:right w:val="nil"/>
            </w:tcBorders>
          </w:tcPr>
          <w:p w14:paraId="402B16E3" w14:textId="77777777" w:rsidR="00872C03" w:rsidRPr="00883399" w:rsidRDefault="00872C03" w:rsidP="0031057E">
            <w:pPr>
              <w:pStyle w:val="HTMLPreformatted"/>
              <w:spacing w:before="60"/>
              <w:rPr>
                <w:sz w:val="22"/>
              </w:rPr>
            </w:pPr>
          </w:p>
        </w:tc>
        <w:tc>
          <w:tcPr>
            <w:tcW w:w="1834" w:type="dxa"/>
            <w:vMerge/>
            <w:tcBorders>
              <w:top w:val="nil"/>
              <w:left w:val="nil"/>
              <w:right w:val="nil"/>
            </w:tcBorders>
          </w:tcPr>
          <w:p w14:paraId="5019C839" w14:textId="77777777" w:rsidR="00872C03" w:rsidRPr="00883399" w:rsidRDefault="00872C03" w:rsidP="0031057E">
            <w:pPr>
              <w:spacing w:before="60"/>
              <w:jc w:val="center"/>
              <w:rPr>
                <w:sz w:val="22"/>
              </w:rPr>
            </w:pPr>
          </w:p>
        </w:tc>
        <w:tc>
          <w:tcPr>
            <w:tcW w:w="840" w:type="dxa"/>
            <w:tcBorders>
              <w:top w:val="nil"/>
              <w:left w:val="nil"/>
              <w:right w:val="nil"/>
            </w:tcBorders>
          </w:tcPr>
          <w:p w14:paraId="082310AC" w14:textId="77777777" w:rsidR="00872C03" w:rsidRPr="00883399" w:rsidRDefault="00872C03" w:rsidP="0031057E">
            <w:pPr>
              <w:pStyle w:val="TableCentre"/>
              <w:rPr>
                <w:sz w:val="22"/>
              </w:rPr>
            </w:pPr>
            <w:r w:rsidRPr="00883399">
              <w:rPr>
                <w:b/>
                <w:bCs/>
                <w:snapToGrid w:val="0"/>
                <w:sz w:val="18"/>
              </w:rPr>
              <w:t>CO</w:t>
            </w:r>
            <w:r w:rsidRPr="00883399">
              <w:rPr>
                <w:b/>
                <w:bCs/>
                <w:snapToGrid w:val="0"/>
                <w:sz w:val="18"/>
                <w:vertAlign w:val="subscript"/>
              </w:rPr>
              <w:t>2</w:t>
            </w:r>
          </w:p>
        </w:tc>
        <w:tc>
          <w:tcPr>
            <w:tcW w:w="970" w:type="dxa"/>
            <w:tcBorders>
              <w:top w:val="nil"/>
              <w:left w:val="nil"/>
              <w:right w:val="nil"/>
            </w:tcBorders>
          </w:tcPr>
          <w:p w14:paraId="4443416B" w14:textId="77777777" w:rsidR="00872C03" w:rsidRPr="00883399" w:rsidRDefault="00872C03" w:rsidP="0031057E">
            <w:pPr>
              <w:pStyle w:val="TableCentre"/>
              <w:rPr>
                <w:rStyle w:val="Strong"/>
                <w:rFonts w:cs="Arial"/>
                <w:sz w:val="18"/>
              </w:rPr>
            </w:pPr>
            <w:r w:rsidRPr="00883399">
              <w:rPr>
                <w:b/>
                <w:bCs/>
                <w:snapToGrid w:val="0"/>
                <w:sz w:val="18"/>
              </w:rPr>
              <w:t>CH</w:t>
            </w:r>
            <w:r w:rsidRPr="00883399">
              <w:rPr>
                <w:b/>
                <w:bCs/>
                <w:snapToGrid w:val="0"/>
                <w:sz w:val="18"/>
                <w:vertAlign w:val="subscript"/>
              </w:rPr>
              <w:t>4</w:t>
            </w:r>
          </w:p>
        </w:tc>
        <w:tc>
          <w:tcPr>
            <w:tcW w:w="971" w:type="dxa"/>
            <w:tcBorders>
              <w:top w:val="nil"/>
              <w:left w:val="nil"/>
              <w:right w:val="nil"/>
            </w:tcBorders>
          </w:tcPr>
          <w:p w14:paraId="633182C8" w14:textId="77777777" w:rsidR="00872C03" w:rsidRPr="00883399" w:rsidRDefault="00872C03" w:rsidP="0031057E">
            <w:pPr>
              <w:pStyle w:val="TableCentre"/>
              <w:spacing w:after="60"/>
              <w:rPr>
                <w:rStyle w:val="Strong"/>
                <w:rFonts w:cs="Arial"/>
                <w:sz w:val="18"/>
              </w:rPr>
            </w:pPr>
            <w:r w:rsidRPr="00883399">
              <w:rPr>
                <w:b/>
                <w:bCs/>
                <w:snapToGrid w:val="0"/>
                <w:sz w:val="18"/>
              </w:rPr>
              <w:t>N</w:t>
            </w:r>
            <w:r w:rsidRPr="00883399">
              <w:rPr>
                <w:b/>
                <w:bCs/>
                <w:snapToGrid w:val="0"/>
                <w:sz w:val="18"/>
                <w:vertAlign w:val="subscript"/>
              </w:rPr>
              <w:t>2</w:t>
            </w:r>
            <w:r w:rsidRPr="00883399">
              <w:rPr>
                <w:b/>
                <w:bCs/>
                <w:snapToGrid w:val="0"/>
                <w:sz w:val="18"/>
              </w:rPr>
              <w:t>O</w:t>
            </w:r>
          </w:p>
        </w:tc>
      </w:tr>
      <w:tr w:rsidR="00F1577C" w:rsidRPr="00883399" w14:paraId="6A27634C" w14:textId="77777777" w:rsidTr="0031057E">
        <w:trPr>
          <w:cantSplit/>
        </w:trPr>
        <w:tc>
          <w:tcPr>
            <w:tcW w:w="709" w:type="dxa"/>
            <w:tcBorders>
              <w:top w:val="nil"/>
              <w:left w:val="nil"/>
              <w:bottom w:val="nil"/>
              <w:right w:val="nil"/>
            </w:tcBorders>
          </w:tcPr>
          <w:p w14:paraId="430C264A" w14:textId="77777777" w:rsidR="00F1577C" w:rsidRPr="00883399" w:rsidRDefault="00F1577C" w:rsidP="00C64E6B">
            <w:pPr>
              <w:pStyle w:val="Tabletext0"/>
              <w:rPr>
                <w:snapToGrid w:val="0"/>
                <w:sz w:val="22"/>
              </w:rPr>
            </w:pPr>
            <w:r w:rsidRPr="00883399">
              <w:rPr>
                <w:snapToGrid w:val="0"/>
                <w:sz w:val="22"/>
              </w:rPr>
              <w:t>62</w:t>
            </w:r>
          </w:p>
        </w:tc>
        <w:tc>
          <w:tcPr>
            <w:tcW w:w="2977" w:type="dxa"/>
            <w:tcBorders>
              <w:top w:val="nil"/>
              <w:left w:val="nil"/>
              <w:bottom w:val="nil"/>
              <w:right w:val="nil"/>
            </w:tcBorders>
          </w:tcPr>
          <w:p w14:paraId="4425C29E" w14:textId="77777777" w:rsidR="00F1577C" w:rsidRPr="00883399" w:rsidRDefault="00F1577C" w:rsidP="00C64E6B">
            <w:pPr>
              <w:pStyle w:val="Tabletext0"/>
              <w:rPr>
                <w:snapToGrid w:val="0"/>
                <w:sz w:val="22"/>
              </w:rPr>
            </w:pPr>
            <w:r w:rsidRPr="00883399">
              <w:rPr>
                <w:sz w:val="22"/>
              </w:rPr>
              <w:t>Compressed natural gas that has reverted to standard conditions (light duty vehicles)</w:t>
            </w:r>
          </w:p>
        </w:tc>
        <w:tc>
          <w:tcPr>
            <w:tcW w:w="1834" w:type="dxa"/>
            <w:tcBorders>
              <w:top w:val="nil"/>
              <w:left w:val="nil"/>
              <w:bottom w:val="nil"/>
              <w:right w:val="nil"/>
            </w:tcBorders>
          </w:tcPr>
          <w:p w14:paraId="77A80A27" w14:textId="77777777" w:rsidR="00F1577C" w:rsidRPr="00883399" w:rsidRDefault="00F1577C" w:rsidP="00C64E6B">
            <w:pPr>
              <w:pStyle w:val="Tabletext0"/>
              <w:rPr>
                <w:snapToGrid w:val="0"/>
                <w:sz w:val="22"/>
              </w:rPr>
            </w:pPr>
            <w:r w:rsidRPr="00883399">
              <w:rPr>
                <w:snapToGrid w:val="0"/>
                <w:sz w:val="22"/>
              </w:rPr>
              <w:t xml:space="preserve">39.3 </w:t>
            </w:r>
            <w:r w:rsidRPr="00883399">
              <w:rPr>
                <w:sz w:val="22"/>
              </w:rPr>
              <w:t>×</w:t>
            </w:r>
            <w:r w:rsidRPr="00883399">
              <w:rPr>
                <w:snapToGrid w:val="0"/>
                <w:sz w:val="22"/>
              </w:rPr>
              <w:t xml:space="preserve"> 10</w:t>
            </w:r>
            <w:r w:rsidRPr="00883399">
              <w:rPr>
                <w:snapToGrid w:val="0"/>
                <w:sz w:val="22"/>
              </w:rPr>
              <w:noBreakHyphen/>
              <w:t>3 GJ/m3</w:t>
            </w:r>
          </w:p>
        </w:tc>
        <w:tc>
          <w:tcPr>
            <w:tcW w:w="840" w:type="dxa"/>
            <w:tcBorders>
              <w:top w:val="nil"/>
              <w:left w:val="nil"/>
              <w:bottom w:val="nil"/>
              <w:right w:val="nil"/>
            </w:tcBorders>
          </w:tcPr>
          <w:p w14:paraId="049A6372" w14:textId="77777777" w:rsidR="00F1577C" w:rsidRPr="00883399" w:rsidRDefault="00F1577C" w:rsidP="00C64E6B">
            <w:pPr>
              <w:pStyle w:val="Tabletext0"/>
              <w:rPr>
                <w:snapToGrid w:val="0"/>
                <w:sz w:val="22"/>
              </w:rPr>
            </w:pPr>
            <w:r w:rsidRPr="00883399">
              <w:rPr>
                <w:snapToGrid w:val="0"/>
                <w:sz w:val="22"/>
              </w:rPr>
              <w:t>51.4</w:t>
            </w:r>
          </w:p>
        </w:tc>
        <w:tc>
          <w:tcPr>
            <w:tcW w:w="970" w:type="dxa"/>
            <w:tcBorders>
              <w:top w:val="nil"/>
              <w:left w:val="nil"/>
              <w:bottom w:val="nil"/>
              <w:right w:val="nil"/>
            </w:tcBorders>
          </w:tcPr>
          <w:p w14:paraId="31E5C7D5" w14:textId="77777777" w:rsidR="00F1577C" w:rsidRPr="00883399" w:rsidRDefault="00F1577C" w:rsidP="00C64E6B">
            <w:pPr>
              <w:pStyle w:val="Tabletext0"/>
              <w:rPr>
                <w:snapToGrid w:val="0"/>
                <w:sz w:val="22"/>
              </w:rPr>
            </w:pPr>
            <w:r w:rsidRPr="00883399">
              <w:rPr>
                <w:snapToGrid w:val="0"/>
                <w:sz w:val="22"/>
              </w:rPr>
              <w:t>6.5</w:t>
            </w:r>
          </w:p>
        </w:tc>
        <w:tc>
          <w:tcPr>
            <w:tcW w:w="971" w:type="dxa"/>
            <w:tcBorders>
              <w:top w:val="nil"/>
              <w:left w:val="nil"/>
              <w:bottom w:val="nil"/>
              <w:right w:val="nil"/>
            </w:tcBorders>
          </w:tcPr>
          <w:p w14:paraId="573011CA" w14:textId="77777777" w:rsidR="00F1577C" w:rsidRPr="00883399" w:rsidRDefault="00F1577C" w:rsidP="00C64E6B">
            <w:pPr>
              <w:pStyle w:val="Tabletext0"/>
              <w:rPr>
                <w:snapToGrid w:val="0"/>
                <w:sz w:val="22"/>
              </w:rPr>
            </w:pPr>
            <w:r w:rsidRPr="00883399">
              <w:rPr>
                <w:snapToGrid w:val="0"/>
                <w:sz w:val="22"/>
              </w:rPr>
              <w:t>0.3</w:t>
            </w:r>
          </w:p>
        </w:tc>
      </w:tr>
      <w:tr w:rsidR="00F1577C" w:rsidRPr="00883399" w14:paraId="3C0B1166" w14:textId="77777777" w:rsidTr="0031057E">
        <w:trPr>
          <w:cantSplit/>
        </w:trPr>
        <w:tc>
          <w:tcPr>
            <w:tcW w:w="709" w:type="dxa"/>
            <w:tcBorders>
              <w:top w:val="nil"/>
              <w:left w:val="nil"/>
              <w:bottom w:val="nil"/>
              <w:right w:val="nil"/>
            </w:tcBorders>
          </w:tcPr>
          <w:p w14:paraId="0419508D" w14:textId="77777777" w:rsidR="00F1577C" w:rsidRPr="00883399" w:rsidRDefault="00F1577C" w:rsidP="00C64E6B">
            <w:pPr>
              <w:pStyle w:val="Tabletext0"/>
              <w:rPr>
                <w:snapToGrid w:val="0"/>
                <w:sz w:val="22"/>
              </w:rPr>
            </w:pPr>
            <w:r w:rsidRPr="00883399">
              <w:rPr>
                <w:snapToGrid w:val="0"/>
                <w:sz w:val="22"/>
              </w:rPr>
              <w:t>63</w:t>
            </w:r>
          </w:p>
        </w:tc>
        <w:tc>
          <w:tcPr>
            <w:tcW w:w="2977" w:type="dxa"/>
            <w:tcBorders>
              <w:top w:val="nil"/>
              <w:left w:val="nil"/>
              <w:bottom w:val="nil"/>
              <w:right w:val="nil"/>
            </w:tcBorders>
          </w:tcPr>
          <w:p w14:paraId="5A33E0F3" w14:textId="77777777" w:rsidR="00F1577C" w:rsidRPr="00883399" w:rsidRDefault="00F1577C" w:rsidP="00C64E6B">
            <w:pPr>
              <w:pStyle w:val="Tabletext0"/>
              <w:rPr>
                <w:snapToGrid w:val="0"/>
                <w:sz w:val="22"/>
              </w:rPr>
            </w:pPr>
            <w:r w:rsidRPr="00883399">
              <w:rPr>
                <w:sz w:val="22"/>
              </w:rPr>
              <w:t>Compressed natural gas that has reverted to standard conditions (heavy duty vehicles)</w:t>
            </w:r>
          </w:p>
        </w:tc>
        <w:tc>
          <w:tcPr>
            <w:tcW w:w="1834" w:type="dxa"/>
            <w:tcBorders>
              <w:top w:val="nil"/>
              <w:left w:val="nil"/>
              <w:bottom w:val="nil"/>
              <w:right w:val="nil"/>
            </w:tcBorders>
          </w:tcPr>
          <w:p w14:paraId="1349BF2B" w14:textId="77777777" w:rsidR="00F1577C" w:rsidRPr="00883399" w:rsidRDefault="00F1577C" w:rsidP="00C64E6B">
            <w:pPr>
              <w:pStyle w:val="Tabletext0"/>
              <w:rPr>
                <w:snapToGrid w:val="0"/>
                <w:sz w:val="22"/>
              </w:rPr>
            </w:pPr>
            <w:r w:rsidRPr="00883399">
              <w:rPr>
                <w:snapToGrid w:val="0"/>
                <w:sz w:val="22"/>
              </w:rPr>
              <w:t xml:space="preserve">39.3 </w:t>
            </w:r>
            <w:r w:rsidRPr="00883399">
              <w:rPr>
                <w:sz w:val="22"/>
              </w:rPr>
              <w:t>×</w:t>
            </w:r>
            <w:r w:rsidRPr="00883399">
              <w:rPr>
                <w:snapToGrid w:val="0"/>
                <w:sz w:val="22"/>
              </w:rPr>
              <w:t xml:space="preserve"> 10</w:t>
            </w:r>
            <w:r w:rsidRPr="00883399">
              <w:rPr>
                <w:snapToGrid w:val="0"/>
                <w:sz w:val="22"/>
              </w:rPr>
              <w:noBreakHyphen/>
              <w:t>3 GJ/m3</w:t>
            </w:r>
          </w:p>
        </w:tc>
        <w:tc>
          <w:tcPr>
            <w:tcW w:w="840" w:type="dxa"/>
            <w:tcBorders>
              <w:top w:val="nil"/>
              <w:left w:val="nil"/>
              <w:bottom w:val="nil"/>
              <w:right w:val="nil"/>
            </w:tcBorders>
          </w:tcPr>
          <w:p w14:paraId="0F3795E3" w14:textId="77777777" w:rsidR="00F1577C" w:rsidRPr="00883399" w:rsidRDefault="00F1577C" w:rsidP="00C64E6B">
            <w:pPr>
              <w:pStyle w:val="Tabletext0"/>
              <w:rPr>
                <w:snapToGrid w:val="0"/>
                <w:sz w:val="22"/>
              </w:rPr>
            </w:pPr>
            <w:r w:rsidRPr="00883399">
              <w:rPr>
                <w:snapToGrid w:val="0"/>
                <w:sz w:val="22"/>
              </w:rPr>
              <w:t>51.4</w:t>
            </w:r>
          </w:p>
        </w:tc>
        <w:tc>
          <w:tcPr>
            <w:tcW w:w="970" w:type="dxa"/>
            <w:tcBorders>
              <w:top w:val="nil"/>
              <w:left w:val="nil"/>
              <w:bottom w:val="nil"/>
              <w:right w:val="nil"/>
            </w:tcBorders>
          </w:tcPr>
          <w:p w14:paraId="627DE0F5" w14:textId="77777777" w:rsidR="00F1577C" w:rsidRPr="00883399" w:rsidRDefault="00F1577C" w:rsidP="00C64E6B">
            <w:pPr>
              <w:pStyle w:val="Tabletext0"/>
              <w:rPr>
                <w:snapToGrid w:val="0"/>
                <w:sz w:val="22"/>
              </w:rPr>
            </w:pPr>
            <w:r w:rsidRPr="00883399">
              <w:rPr>
                <w:snapToGrid w:val="0"/>
                <w:sz w:val="22"/>
              </w:rPr>
              <w:t>2.5</w:t>
            </w:r>
          </w:p>
        </w:tc>
        <w:tc>
          <w:tcPr>
            <w:tcW w:w="971" w:type="dxa"/>
            <w:tcBorders>
              <w:top w:val="nil"/>
              <w:left w:val="nil"/>
              <w:bottom w:val="nil"/>
              <w:right w:val="nil"/>
            </w:tcBorders>
          </w:tcPr>
          <w:p w14:paraId="122BF963" w14:textId="77777777" w:rsidR="00F1577C" w:rsidRPr="00883399" w:rsidRDefault="00F1577C" w:rsidP="00C64E6B">
            <w:pPr>
              <w:pStyle w:val="Tabletext0"/>
              <w:rPr>
                <w:snapToGrid w:val="0"/>
                <w:sz w:val="22"/>
              </w:rPr>
            </w:pPr>
            <w:r w:rsidRPr="00883399">
              <w:rPr>
                <w:snapToGrid w:val="0"/>
                <w:sz w:val="22"/>
              </w:rPr>
              <w:t>0.3</w:t>
            </w:r>
          </w:p>
        </w:tc>
      </w:tr>
      <w:tr w:rsidR="00F1577C" w:rsidRPr="00883399" w14:paraId="2B59D139" w14:textId="77777777" w:rsidTr="0031057E">
        <w:trPr>
          <w:cantSplit/>
        </w:trPr>
        <w:tc>
          <w:tcPr>
            <w:tcW w:w="709" w:type="dxa"/>
            <w:tcBorders>
              <w:top w:val="nil"/>
              <w:left w:val="nil"/>
              <w:bottom w:val="nil"/>
              <w:right w:val="nil"/>
            </w:tcBorders>
          </w:tcPr>
          <w:p w14:paraId="0FA74602" w14:textId="77777777" w:rsidR="00F1577C" w:rsidRPr="00883399" w:rsidRDefault="00F1577C" w:rsidP="00C64E6B">
            <w:pPr>
              <w:pStyle w:val="Tabletext0"/>
              <w:rPr>
                <w:snapToGrid w:val="0"/>
                <w:sz w:val="22"/>
              </w:rPr>
            </w:pPr>
            <w:r w:rsidRPr="00883399">
              <w:rPr>
                <w:snapToGrid w:val="0"/>
                <w:sz w:val="22"/>
              </w:rPr>
              <w:t>63A</w:t>
            </w:r>
          </w:p>
        </w:tc>
        <w:tc>
          <w:tcPr>
            <w:tcW w:w="2977" w:type="dxa"/>
            <w:tcBorders>
              <w:top w:val="nil"/>
              <w:left w:val="nil"/>
              <w:bottom w:val="nil"/>
              <w:right w:val="nil"/>
            </w:tcBorders>
          </w:tcPr>
          <w:p w14:paraId="1F3566F0" w14:textId="77777777" w:rsidR="00F1577C" w:rsidRPr="00883399" w:rsidRDefault="00F1577C" w:rsidP="00C64E6B">
            <w:pPr>
              <w:pStyle w:val="Tabletext0"/>
              <w:rPr>
                <w:snapToGrid w:val="0"/>
                <w:sz w:val="22"/>
              </w:rPr>
            </w:pPr>
            <w:r w:rsidRPr="00883399">
              <w:rPr>
                <w:snapToGrid w:val="0"/>
                <w:sz w:val="22"/>
              </w:rPr>
              <w:t>Liquefied natural gas (light duty vehicles)</w:t>
            </w:r>
          </w:p>
        </w:tc>
        <w:tc>
          <w:tcPr>
            <w:tcW w:w="1834" w:type="dxa"/>
            <w:tcBorders>
              <w:top w:val="nil"/>
              <w:left w:val="nil"/>
              <w:bottom w:val="nil"/>
              <w:right w:val="nil"/>
            </w:tcBorders>
          </w:tcPr>
          <w:p w14:paraId="5EBABF1B" w14:textId="77777777" w:rsidR="00F1577C" w:rsidRPr="00883399" w:rsidRDefault="00F1577C" w:rsidP="00C64E6B">
            <w:pPr>
              <w:pStyle w:val="Tabletext0"/>
              <w:rPr>
                <w:snapToGrid w:val="0"/>
                <w:sz w:val="22"/>
              </w:rPr>
            </w:pPr>
            <w:r w:rsidRPr="00883399">
              <w:rPr>
                <w:snapToGrid w:val="0"/>
                <w:sz w:val="22"/>
              </w:rPr>
              <w:t>25.3</w:t>
            </w:r>
          </w:p>
        </w:tc>
        <w:tc>
          <w:tcPr>
            <w:tcW w:w="840" w:type="dxa"/>
            <w:tcBorders>
              <w:top w:val="nil"/>
              <w:left w:val="nil"/>
              <w:bottom w:val="nil"/>
              <w:right w:val="nil"/>
            </w:tcBorders>
          </w:tcPr>
          <w:p w14:paraId="3D42584F" w14:textId="77777777" w:rsidR="00F1577C" w:rsidRPr="00883399" w:rsidRDefault="00F1577C" w:rsidP="00C64E6B">
            <w:pPr>
              <w:pStyle w:val="Tabletext0"/>
              <w:rPr>
                <w:snapToGrid w:val="0"/>
                <w:sz w:val="22"/>
              </w:rPr>
            </w:pPr>
            <w:r w:rsidRPr="00883399">
              <w:rPr>
                <w:snapToGrid w:val="0"/>
                <w:sz w:val="22"/>
              </w:rPr>
              <w:t>51.4</w:t>
            </w:r>
          </w:p>
        </w:tc>
        <w:tc>
          <w:tcPr>
            <w:tcW w:w="970" w:type="dxa"/>
            <w:tcBorders>
              <w:top w:val="nil"/>
              <w:left w:val="nil"/>
              <w:bottom w:val="nil"/>
              <w:right w:val="nil"/>
            </w:tcBorders>
          </w:tcPr>
          <w:p w14:paraId="35429EF3" w14:textId="77777777" w:rsidR="00F1577C" w:rsidRPr="00883399" w:rsidRDefault="00F1577C" w:rsidP="00C64E6B">
            <w:pPr>
              <w:pStyle w:val="Tabletext0"/>
              <w:rPr>
                <w:snapToGrid w:val="0"/>
                <w:sz w:val="22"/>
              </w:rPr>
            </w:pPr>
            <w:r w:rsidRPr="00883399">
              <w:rPr>
                <w:snapToGrid w:val="0"/>
                <w:sz w:val="22"/>
              </w:rPr>
              <w:t>6.5</w:t>
            </w:r>
          </w:p>
        </w:tc>
        <w:tc>
          <w:tcPr>
            <w:tcW w:w="971" w:type="dxa"/>
            <w:tcBorders>
              <w:top w:val="nil"/>
              <w:left w:val="nil"/>
              <w:bottom w:val="nil"/>
              <w:right w:val="nil"/>
            </w:tcBorders>
          </w:tcPr>
          <w:p w14:paraId="57D8985B" w14:textId="77777777" w:rsidR="00F1577C" w:rsidRPr="00883399" w:rsidRDefault="00F1577C" w:rsidP="00C64E6B">
            <w:pPr>
              <w:pStyle w:val="Tabletext0"/>
              <w:rPr>
                <w:snapToGrid w:val="0"/>
                <w:sz w:val="22"/>
              </w:rPr>
            </w:pPr>
            <w:r w:rsidRPr="00883399">
              <w:rPr>
                <w:snapToGrid w:val="0"/>
                <w:sz w:val="22"/>
              </w:rPr>
              <w:t>0.3</w:t>
            </w:r>
          </w:p>
        </w:tc>
      </w:tr>
      <w:tr w:rsidR="00F1577C" w:rsidRPr="00883399" w14:paraId="35445335" w14:textId="77777777" w:rsidTr="0031057E">
        <w:trPr>
          <w:cantSplit/>
        </w:trPr>
        <w:tc>
          <w:tcPr>
            <w:tcW w:w="709" w:type="dxa"/>
            <w:tcBorders>
              <w:top w:val="nil"/>
              <w:left w:val="nil"/>
              <w:right w:val="nil"/>
            </w:tcBorders>
          </w:tcPr>
          <w:p w14:paraId="2FBC3C58" w14:textId="77777777" w:rsidR="00F1577C" w:rsidRPr="00883399" w:rsidRDefault="00F1577C" w:rsidP="00C64E6B">
            <w:pPr>
              <w:pStyle w:val="Tabletext0"/>
              <w:rPr>
                <w:snapToGrid w:val="0"/>
                <w:sz w:val="22"/>
              </w:rPr>
            </w:pPr>
            <w:r w:rsidRPr="00883399">
              <w:rPr>
                <w:snapToGrid w:val="0"/>
                <w:sz w:val="22"/>
              </w:rPr>
              <w:t>63B</w:t>
            </w:r>
          </w:p>
        </w:tc>
        <w:tc>
          <w:tcPr>
            <w:tcW w:w="2977" w:type="dxa"/>
            <w:tcBorders>
              <w:top w:val="nil"/>
              <w:left w:val="nil"/>
              <w:right w:val="nil"/>
            </w:tcBorders>
          </w:tcPr>
          <w:p w14:paraId="6363BE21" w14:textId="77777777" w:rsidR="00F1577C" w:rsidRPr="00883399" w:rsidRDefault="00F1577C" w:rsidP="00C64E6B">
            <w:pPr>
              <w:pStyle w:val="Tabletext0"/>
              <w:rPr>
                <w:snapToGrid w:val="0"/>
                <w:sz w:val="22"/>
              </w:rPr>
            </w:pPr>
            <w:r w:rsidRPr="00883399">
              <w:rPr>
                <w:snapToGrid w:val="0"/>
                <w:sz w:val="22"/>
              </w:rPr>
              <w:t>Liquefied natural gas (heavy duty vehicles)</w:t>
            </w:r>
          </w:p>
        </w:tc>
        <w:tc>
          <w:tcPr>
            <w:tcW w:w="1834" w:type="dxa"/>
            <w:tcBorders>
              <w:top w:val="nil"/>
              <w:left w:val="nil"/>
              <w:right w:val="nil"/>
            </w:tcBorders>
          </w:tcPr>
          <w:p w14:paraId="0481E0BE" w14:textId="77777777" w:rsidR="00F1577C" w:rsidRPr="00883399" w:rsidRDefault="00F1577C" w:rsidP="00C64E6B">
            <w:pPr>
              <w:pStyle w:val="Tabletext0"/>
              <w:rPr>
                <w:snapToGrid w:val="0"/>
                <w:sz w:val="22"/>
              </w:rPr>
            </w:pPr>
            <w:r w:rsidRPr="00883399">
              <w:rPr>
                <w:snapToGrid w:val="0"/>
                <w:sz w:val="22"/>
              </w:rPr>
              <w:t>25.3</w:t>
            </w:r>
          </w:p>
        </w:tc>
        <w:tc>
          <w:tcPr>
            <w:tcW w:w="840" w:type="dxa"/>
            <w:tcBorders>
              <w:top w:val="nil"/>
              <w:left w:val="nil"/>
              <w:right w:val="nil"/>
            </w:tcBorders>
          </w:tcPr>
          <w:p w14:paraId="059789F5" w14:textId="77777777" w:rsidR="00F1577C" w:rsidRPr="00883399" w:rsidRDefault="00F1577C" w:rsidP="00C64E6B">
            <w:pPr>
              <w:pStyle w:val="Tabletext0"/>
              <w:rPr>
                <w:snapToGrid w:val="0"/>
                <w:sz w:val="22"/>
              </w:rPr>
            </w:pPr>
            <w:r w:rsidRPr="00883399">
              <w:rPr>
                <w:snapToGrid w:val="0"/>
                <w:sz w:val="22"/>
              </w:rPr>
              <w:t>51.4</w:t>
            </w:r>
          </w:p>
        </w:tc>
        <w:tc>
          <w:tcPr>
            <w:tcW w:w="970" w:type="dxa"/>
            <w:tcBorders>
              <w:top w:val="nil"/>
              <w:left w:val="nil"/>
              <w:right w:val="nil"/>
            </w:tcBorders>
          </w:tcPr>
          <w:p w14:paraId="21942092" w14:textId="77777777" w:rsidR="00F1577C" w:rsidRPr="00883399" w:rsidRDefault="00F1577C" w:rsidP="00C64E6B">
            <w:pPr>
              <w:pStyle w:val="Tabletext0"/>
              <w:rPr>
                <w:snapToGrid w:val="0"/>
                <w:sz w:val="22"/>
              </w:rPr>
            </w:pPr>
            <w:r w:rsidRPr="00883399">
              <w:rPr>
                <w:snapToGrid w:val="0"/>
                <w:sz w:val="22"/>
              </w:rPr>
              <w:t>2.5</w:t>
            </w:r>
          </w:p>
        </w:tc>
        <w:tc>
          <w:tcPr>
            <w:tcW w:w="971" w:type="dxa"/>
            <w:tcBorders>
              <w:top w:val="nil"/>
              <w:left w:val="nil"/>
              <w:right w:val="nil"/>
            </w:tcBorders>
          </w:tcPr>
          <w:p w14:paraId="4AB24D17" w14:textId="77777777" w:rsidR="00F1577C" w:rsidRPr="00883399" w:rsidRDefault="00F1577C" w:rsidP="00C64E6B">
            <w:pPr>
              <w:pStyle w:val="Tabletext0"/>
              <w:rPr>
                <w:snapToGrid w:val="0"/>
                <w:sz w:val="22"/>
              </w:rPr>
            </w:pPr>
            <w:r w:rsidRPr="00883399">
              <w:rPr>
                <w:snapToGrid w:val="0"/>
                <w:sz w:val="22"/>
              </w:rPr>
              <w:t>0.3</w:t>
            </w:r>
          </w:p>
        </w:tc>
      </w:tr>
    </w:tbl>
    <w:p w14:paraId="1938E8A8" w14:textId="77777777" w:rsidR="00872C03" w:rsidRPr="00883399" w:rsidRDefault="00872C03" w:rsidP="00872C03">
      <w:pPr>
        <w:pStyle w:val="Note"/>
        <w:ind w:left="0"/>
        <w:rPr>
          <w:color w:val="000000"/>
          <w:sz w:val="16"/>
          <w:szCs w:val="16"/>
        </w:rPr>
      </w:pPr>
      <w:r w:rsidRPr="00883399">
        <w:rPr>
          <w:color w:val="000000"/>
          <w:sz w:val="16"/>
          <w:szCs w:val="16"/>
        </w:rPr>
        <w:t>Notes on the sources of the factors listed above can be found at Appendix 2A.</w:t>
      </w:r>
    </w:p>
    <w:p w14:paraId="374224B0" w14:textId="77777777" w:rsidR="00872C03" w:rsidRPr="00883399" w:rsidRDefault="00872C03" w:rsidP="00872C03">
      <w:r w:rsidRPr="00883399">
        <w:rPr>
          <w:sz w:val="16"/>
          <w:szCs w:val="16"/>
        </w:rPr>
        <w:t>Definitions of the light and heavy duty vehicles for the purposes of applying gaseous fuels emissions factors can be found in Appendix B: Definitions and interpretation</w:t>
      </w:r>
      <w:r w:rsidRPr="00883399">
        <w:t>.</w:t>
      </w:r>
    </w:p>
    <w:p w14:paraId="7F863B7E" w14:textId="77777777" w:rsidR="00872C03" w:rsidRPr="00883399" w:rsidRDefault="00872C03" w:rsidP="00872C03">
      <w:pPr>
        <w:pStyle w:val="notetext"/>
        <w:rPr>
          <w:sz w:val="20"/>
        </w:rPr>
      </w:pPr>
    </w:p>
    <w:p w14:paraId="5BA53C85" w14:textId="45CD9301" w:rsidR="00872C03" w:rsidRPr="00883399" w:rsidRDefault="00872C03" w:rsidP="00872C03">
      <w:pPr>
        <w:pStyle w:val="ActHead3"/>
        <w:pageBreakBefore/>
        <w:rPr>
          <w:sz w:val="32"/>
        </w:rPr>
      </w:pPr>
      <w:bookmarkStart w:id="221" w:name="_Toc423516766"/>
      <w:bookmarkStart w:id="222" w:name="_Toc495652682"/>
      <w:r w:rsidRPr="00883399">
        <w:rPr>
          <w:rStyle w:val="CharDivNo"/>
          <w:sz w:val="32"/>
        </w:rPr>
        <w:lastRenderedPageBreak/>
        <w:t>Division 2.3.3</w:t>
      </w:r>
      <w:r w:rsidRPr="00883399">
        <w:rPr>
          <w:sz w:val="32"/>
        </w:rPr>
        <w:t>—</w:t>
      </w:r>
      <w:r w:rsidRPr="00883399">
        <w:rPr>
          <w:rStyle w:val="CharDivText"/>
          <w:sz w:val="32"/>
        </w:rPr>
        <w:t>Method 2—emissions of carbon dioxide from the combustion of gaseous fuels</w:t>
      </w:r>
      <w:bookmarkEnd w:id="221"/>
      <w:bookmarkEnd w:id="222"/>
    </w:p>
    <w:p w14:paraId="6D0F9BF2" w14:textId="241014AA" w:rsidR="00872C03" w:rsidRPr="00883399" w:rsidRDefault="00872C03" w:rsidP="00872C03">
      <w:pPr>
        <w:pStyle w:val="ActHead4"/>
        <w:rPr>
          <w:sz w:val="28"/>
        </w:rPr>
      </w:pPr>
      <w:bookmarkStart w:id="223" w:name="_Toc423516767"/>
      <w:bookmarkStart w:id="224" w:name="_Toc495652683"/>
      <w:r w:rsidRPr="00883399">
        <w:rPr>
          <w:rStyle w:val="CharSubdNo"/>
          <w:sz w:val="28"/>
        </w:rPr>
        <w:t>Subdivision 2.3.3.1</w:t>
      </w:r>
      <w:r w:rsidRPr="00883399">
        <w:rPr>
          <w:sz w:val="28"/>
        </w:rPr>
        <w:t>—</w:t>
      </w:r>
      <w:r w:rsidRPr="00883399">
        <w:rPr>
          <w:rStyle w:val="CharSubdText"/>
          <w:sz w:val="28"/>
        </w:rPr>
        <w:t>Method 2—emissions of carbon dioxide from the combustion of gaseous fuels</w:t>
      </w:r>
      <w:bookmarkEnd w:id="223"/>
      <w:bookmarkEnd w:id="224"/>
    </w:p>
    <w:p w14:paraId="0ADE86C2" w14:textId="54EF866C" w:rsidR="00872C03" w:rsidRPr="00883399" w:rsidRDefault="00872C03" w:rsidP="00872C03">
      <w:pPr>
        <w:pStyle w:val="ActHead5"/>
        <w:rPr>
          <w:sz w:val="28"/>
        </w:rPr>
      </w:pPr>
      <w:bookmarkStart w:id="225" w:name="_Toc423516768"/>
      <w:bookmarkStart w:id="226" w:name="_Toc495652684"/>
      <w:r w:rsidRPr="00883399">
        <w:rPr>
          <w:rStyle w:val="CharSectno"/>
          <w:sz w:val="28"/>
        </w:rPr>
        <w:t>2.21</w:t>
      </w:r>
      <w:r w:rsidRPr="00883399">
        <w:rPr>
          <w:sz w:val="28"/>
        </w:rPr>
        <w:t xml:space="preserve">  Method 2—emissions of carbon dioxide from the combustion of gaseous fuels</w:t>
      </w:r>
      <w:bookmarkEnd w:id="225"/>
      <w:bookmarkEnd w:id="226"/>
    </w:p>
    <w:p w14:paraId="15E46D10"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As for solid fuels, Method 1 applies national average factors to the estimation of emissions.  More accurate estimates of emissions at a facility level may be obtained by sampling and analysing fuels for qualities that affect emission levels when the fuel is combusted.  These qualities include the composition of the constituent gases of the fuel combusted – for example, the share of methane in the combusted gas. </w:t>
      </w:r>
    </w:p>
    <w:p w14:paraId="7738B535" w14:textId="77777777" w:rsidR="00872C03" w:rsidRPr="00883399" w:rsidRDefault="00872C03" w:rsidP="00F1577C">
      <w:pPr>
        <w:pStyle w:val="Text"/>
        <w:rPr>
          <w:sz w:val="24"/>
        </w:rPr>
      </w:pPr>
      <w:r w:rsidRPr="00883399">
        <w:rPr>
          <w:rFonts w:ascii="Arial" w:hAnsi="Arial" w:cs="Arial"/>
          <w:sz w:val="22"/>
          <w:szCs w:val="22"/>
        </w:rPr>
        <w:t xml:space="preserve">Method 2 is designed to enable more accurate estimates of emissions at a particular facility. </w:t>
      </w:r>
    </w:p>
    <w:p w14:paraId="558CAD83" w14:textId="77777777" w:rsidR="00872C03" w:rsidRPr="00883399" w:rsidRDefault="00872C03" w:rsidP="00872C03">
      <w:pPr>
        <w:pStyle w:val="subsection"/>
        <w:rPr>
          <w:sz w:val="24"/>
        </w:rPr>
      </w:pPr>
      <w:r w:rsidRPr="00883399">
        <w:rPr>
          <w:sz w:val="24"/>
        </w:rPr>
        <w:tab/>
        <w:t>(1)</w:t>
      </w:r>
      <w:r w:rsidRPr="00883399">
        <w:rPr>
          <w:sz w:val="24"/>
        </w:rPr>
        <w:tab/>
        <w:t>For subparagraph 2.19(1)(a)(ii), method 2 for estimating emissions of carbon dioxide</w:t>
      </w:r>
      <w:r w:rsidRPr="00883399">
        <w:rPr>
          <w:sz w:val="24"/>
          <w:vertAlign w:val="subscript"/>
        </w:rPr>
        <w:t xml:space="preserve"> </w:t>
      </w:r>
      <w:r w:rsidRPr="00883399">
        <w:rPr>
          <w:sz w:val="24"/>
        </w:rPr>
        <w:t>is:</w:t>
      </w:r>
    </w:p>
    <w:p w14:paraId="10E94CCA" w14:textId="1E2F1DCC"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6F53D3C7" wp14:editId="7DF06E67">
            <wp:extent cx="2351405" cy="415925"/>
            <wp:effectExtent l="1905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50"/>
                    <a:srcRect/>
                    <a:stretch>
                      <a:fillRect/>
                    </a:stretch>
                  </pic:blipFill>
                  <pic:spPr bwMode="auto">
                    <a:xfrm>
                      <a:off x="0" y="0"/>
                      <a:ext cx="2351405" cy="415925"/>
                    </a:xfrm>
                    <a:prstGeom prst="rect">
                      <a:avLst/>
                    </a:prstGeom>
                    <a:noFill/>
                    <a:ln w="9525">
                      <a:noFill/>
                      <a:miter lim="800000"/>
                      <a:headEnd/>
                      <a:tailEnd/>
                    </a:ln>
                  </pic:spPr>
                </pic:pic>
              </a:graphicData>
            </a:graphic>
          </wp:inline>
        </w:drawing>
      </w:r>
    </w:p>
    <w:p w14:paraId="61339ED3" w14:textId="77777777" w:rsidR="00872C03" w:rsidRPr="00883399" w:rsidRDefault="00872C03" w:rsidP="00872C03">
      <w:pPr>
        <w:pStyle w:val="subsection2"/>
        <w:rPr>
          <w:sz w:val="24"/>
        </w:rPr>
      </w:pPr>
      <w:r w:rsidRPr="00883399">
        <w:rPr>
          <w:sz w:val="24"/>
        </w:rPr>
        <w:t>where:</w:t>
      </w:r>
    </w:p>
    <w:p w14:paraId="1460DC65" w14:textId="77777777" w:rsidR="00872C03" w:rsidRPr="00883399" w:rsidRDefault="00872C03" w:rsidP="00872C03">
      <w:pPr>
        <w:pStyle w:val="Definition0"/>
        <w:rPr>
          <w:sz w:val="24"/>
        </w:rPr>
      </w:pPr>
      <w:r w:rsidRPr="00883399">
        <w:rPr>
          <w:b/>
          <w:i/>
          <w:sz w:val="24"/>
        </w:rPr>
        <w:t>E</w:t>
      </w:r>
      <w:r w:rsidRPr="00883399">
        <w:rPr>
          <w:rStyle w:val="charSubscript"/>
          <w:b/>
          <w:i/>
          <w:iCs/>
          <w:sz w:val="22"/>
        </w:rPr>
        <w:t>iCO</w:t>
      </w:r>
      <w:r w:rsidRPr="00883399">
        <w:rPr>
          <w:b/>
          <w:i/>
          <w:position w:val="-6"/>
          <w:sz w:val="24"/>
          <w:vertAlign w:val="subscript"/>
        </w:rPr>
        <w:t>2</w:t>
      </w:r>
      <w:r w:rsidRPr="00883399">
        <w:rPr>
          <w:rStyle w:val="charSubscript"/>
          <w:b/>
          <w:i/>
          <w:iCs/>
          <w:sz w:val="22"/>
        </w:rPr>
        <w:t xml:space="preserve"> </w:t>
      </w:r>
      <w:r w:rsidRPr="00883399">
        <w:rPr>
          <w:sz w:val="24"/>
        </w:rPr>
        <w:t>is emissions of carbon dioxide released from fuel type (</w:t>
      </w:r>
      <w:r w:rsidRPr="00883399">
        <w:rPr>
          <w:b/>
          <w:i/>
          <w:sz w:val="24"/>
        </w:rPr>
        <w:t>i</w:t>
      </w:r>
      <w:r w:rsidRPr="00883399">
        <w:rPr>
          <w:sz w:val="24"/>
        </w:rPr>
        <w:t>) combusted from the operation of the facility during the year measured in CO</w:t>
      </w:r>
      <w:r w:rsidRPr="00883399">
        <w:rPr>
          <w:rStyle w:val="charSubscript"/>
          <w:iCs/>
          <w:sz w:val="22"/>
        </w:rPr>
        <w:t>2</w:t>
      </w:r>
      <w:r w:rsidRPr="00883399">
        <w:rPr>
          <w:sz w:val="24"/>
        </w:rPr>
        <w:noBreakHyphen/>
        <w:t>e tonnes.</w:t>
      </w:r>
    </w:p>
    <w:p w14:paraId="62F3DD11" w14:textId="77777777" w:rsidR="00872C03" w:rsidRPr="00883399" w:rsidRDefault="00872C03" w:rsidP="00872C03">
      <w:pPr>
        <w:pStyle w:val="Definition0"/>
        <w:rPr>
          <w:sz w:val="24"/>
        </w:rPr>
      </w:pPr>
      <w:r w:rsidRPr="00883399">
        <w:rPr>
          <w:b/>
          <w:i/>
          <w:sz w:val="24"/>
        </w:rPr>
        <w:t>Q</w:t>
      </w:r>
      <w:r w:rsidRPr="00883399">
        <w:rPr>
          <w:b/>
          <w:i/>
          <w:sz w:val="24"/>
          <w:vertAlign w:val="subscript"/>
        </w:rPr>
        <w:t>i</w:t>
      </w:r>
      <w:r w:rsidRPr="00883399">
        <w:rPr>
          <w:b/>
          <w:i/>
          <w:sz w:val="24"/>
        </w:rPr>
        <w:t xml:space="preserve"> </w:t>
      </w:r>
      <w:r w:rsidRPr="00883399">
        <w:rPr>
          <w:sz w:val="24"/>
        </w:rPr>
        <w:t>is the quantity of fuel type (</w:t>
      </w:r>
      <w:r w:rsidRPr="00883399">
        <w:rPr>
          <w:b/>
          <w:i/>
          <w:sz w:val="24"/>
        </w:rPr>
        <w:t>i</w:t>
      </w:r>
      <w:r w:rsidRPr="00883399">
        <w:rPr>
          <w:sz w:val="24"/>
        </w:rPr>
        <w:t>) combusted from the operation of the facility during the year measured in cubic metres or gigajoules and estimated under Division 2.3.6.</w:t>
      </w:r>
    </w:p>
    <w:p w14:paraId="4074AEDE" w14:textId="77777777" w:rsidR="00872C03" w:rsidRPr="00883399" w:rsidRDefault="00872C03" w:rsidP="00872C03">
      <w:pPr>
        <w:pStyle w:val="Definition0"/>
        <w:rPr>
          <w:sz w:val="24"/>
        </w:rPr>
      </w:pPr>
      <w:r w:rsidRPr="00883399">
        <w:rPr>
          <w:b/>
          <w:bCs/>
          <w:i/>
          <w:iCs/>
          <w:sz w:val="24"/>
        </w:rPr>
        <w:t>EC</w:t>
      </w:r>
      <w:r w:rsidRPr="00883399">
        <w:rPr>
          <w:rStyle w:val="charsubscript0"/>
          <w:b/>
          <w:bCs/>
          <w:i/>
          <w:iCs/>
        </w:rPr>
        <w:t xml:space="preserve">i  </w:t>
      </w:r>
      <w:r w:rsidRPr="00883399">
        <w:rPr>
          <w:sz w:val="24"/>
        </w:rPr>
        <w:t xml:space="preserve">is the energy content factor of fuel type </w:t>
      </w:r>
      <w:r w:rsidRPr="00883399">
        <w:rPr>
          <w:b/>
          <w:i/>
          <w:sz w:val="24"/>
        </w:rPr>
        <w:t xml:space="preserve">(i) </w:t>
      </w:r>
      <w:r w:rsidRPr="00883399">
        <w:rPr>
          <w:sz w:val="24"/>
        </w:rPr>
        <w:t xml:space="preserve">estimated under section 6.5. </w:t>
      </w:r>
    </w:p>
    <w:p w14:paraId="57653E62" w14:textId="77777777" w:rsidR="00872C03" w:rsidRPr="00883399" w:rsidRDefault="00872C03" w:rsidP="00872C03">
      <w:pPr>
        <w:pStyle w:val="Definition0"/>
        <w:rPr>
          <w:sz w:val="24"/>
        </w:rPr>
      </w:pPr>
      <w:r w:rsidRPr="00883399">
        <w:rPr>
          <w:b/>
          <w:i/>
          <w:sz w:val="24"/>
        </w:rPr>
        <w:t>EF</w:t>
      </w:r>
      <w:r w:rsidRPr="00883399">
        <w:rPr>
          <w:b/>
          <w:i/>
          <w:sz w:val="24"/>
          <w:vertAlign w:val="subscript"/>
        </w:rPr>
        <w:t>iCO</w:t>
      </w:r>
      <w:r w:rsidRPr="00883399">
        <w:rPr>
          <w:b/>
          <w:i/>
          <w:position w:val="-6"/>
          <w:sz w:val="24"/>
          <w:vertAlign w:val="subscript"/>
        </w:rPr>
        <w:t>2</w:t>
      </w:r>
      <w:r w:rsidRPr="00883399">
        <w:rPr>
          <w:b/>
          <w:i/>
          <w:sz w:val="24"/>
          <w:vertAlign w:val="subscript"/>
        </w:rPr>
        <w:t>oxec</w:t>
      </w:r>
      <w:r w:rsidRPr="00883399">
        <w:rPr>
          <w:b/>
          <w:i/>
          <w:sz w:val="24"/>
        </w:rPr>
        <w:t xml:space="preserve"> </w:t>
      </w:r>
      <w:r w:rsidRPr="00883399">
        <w:rPr>
          <w:sz w:val="24"/>
        </w:rPr>
        <w:t>is the carbon dioxide emission factor for fuel type (</w:t>
      </w:r>
      <w:r w:rsidRPr="00883399">
        <w:rPr>
          <w:b/>
          <w:i/>
          <w:sz w:val="24"/>
        </w:rPr>
        <w:t>i</w:t>
      </w:r>
      <w:r w:rsidRPr="00883399">
        <w:rPr>
          <w:sz w:val="24"/>
        </w:rPr>
        <w:t>) measured in kilograms CO</w:t>
      </w:r>
      <w:r w:rsidRPr="00883399">
        <w:rPr>
          <w:rStyle w:val="charSubscript"/>
          <w:sz w:val="22"/>
        </w:rPr>
        <w:t>2</w:t>
      </w:r>
      <w:r w:rsidRPr="00883399">
        <w:rPr>
          <w:sz w:val="24"/>
        </w:rPr>
        <w:noBreakHyphen/>
        <w:t>e per gigajoule and calculated in accordance with section 2.22.</w:t>
      </w:r>
    </w:p>
    <w:p w14:paraId="6217173B" w14:textId="77777777" w:rsidR="00872C03" w:rsidRPr="00883399" w:rsidRDefault="00872C03" w:rsidP="00872C03">
      <w:pPr>
        <w:pStyle w:val="Definition0"/>
        <w:rPr>
          <w:sz w:val="24"/>
        </w:rPr>
      </w:pPr>
      <w:r w:rsidRPr="00883399">
        <w:rPr>
          <w:b/>
          <w:i/>
          <w:sz w:val="24"/>
        </w:rPr>
        <w:t xml:space="preserve">γ </w:t>
      </w:r>
      <w:r w:rsidRPr="00883399">
        <w:rPr>
          <w:sz w:val="24"/>
        </w:rPr>
        <w:t>is the factor 1.861 × 10</w:t>
      </w:r>
      <w:r w:rsidRPr="00883399">
        <w:rPr>
          <w:sz w:val="24"/>
          <w:vertAlign w:val="superscript"/>
        </w:rPr>
        <w:noBreakHyphen/>
        <w:t xml:space="preserve">3 </w:t>
      </w:r>
      <w:r w:rsidRPr="00883399">
        <w:rPr>
          <w:sz w:val="24"/>
        </w:rPr>
        <w:t>for converting a quantity of carbon dioxide from cubic metres at standard conditions of pressure and temperature to CO</w:t>
      </w:r>
      <w:r w:rsidRPr="00883399">
        <w:rPr>
          <w:sz w:val="24"/>
          <w:vertAlign w:val="subscript"/>
        </w:rPr>
        <w:t>2</w:t>
      </w:r>
      <w:r w:rsidRPr="00883399">
        <w:rPr>
          <w:sz w:val="24"/>
        </w:rPr>
        <w:noBreakHyphen/>
        <w:t>e tonnes.</w:t>
      </w:r>
    </w:p>
    <w:p w14:paraId="2AE32646" w14:textId="77777777" w:rsidR="00872C03" w:rsidRPr="00883399" w:rsidRDefault="00872C03" w:rsidP="00872C03">
      <w:pPr>
        <w:pStyle w:val="Definition0"/>
        <w:rPr>
          <w:sz w:val="24"/>
        </w:rPr>
      </w:pPr>
      <w:r w:rsidRPr="00883399">
        <w:rPr>
          <w:b/>
          <w:i/>
          <w:sz w:val="24"/>
        </w:rPr>
        <w:lastRenderedPageBreak/>
        <w:t>RCCS</w:t>
      </w:r>
      <w:r w:rsidRPr="00883399">
        <w:rPr>
          <w:b/>
          <w:i/>
          <w:sz w:val="24"/>
          <w:vertAlign w:val="subscript"/>
        </w:rPr>
        <w:t>CO</w:t>
      </w:r>
      <w:r w:rsidRPr="00883399">
        <w:rPr>
          <w:b/>
          <w:i/>
          <w:position w:val="-6"/>
          <w:sz w:val="24"/>
          <w:vertAlign w:val="subscript"/>
        </w:rPr>
        <w:t>2</w:t>
      </w:r>
      <w:r w:rsidRPr="00883399">
        <w:rPr>
          <w:b/>
          <w:i/>
          <w:sz w:val="24"/>
          <w:vertAlign w:val="subscript"/>
        </w:rPr>
        <w:t xml:space="preserve"> </w:t>
      </w:r>
      <w:r w:rsidRPr="00883399">
        <w:rPr>
          <w:sz w:val="24"/>
        </w:rPr>
        <w:t>is carbon dioxide captured for permanent storage measured in cubic metres in accordance with Division 1.2.3.</w:t>
      </w:r>
    </w:p>
    <w:p w14:paraId="67401E39" w14:textId="159D854F" w:rsidR="00872C03" w:rsidRPr="00883399" w:rsidRDefault="00872C03" w:rsidP="00872C03">
      <w:pPr>
        <w:pStyle w:val="ActHead5"/>
        <w:rPr>
          <w:sz w:val="28"/>
        </w:rPr>
      </w:pPr>
      <w:bookmarkStart w:id="227" w:name="_Toc423516769"/>
      <w:bookmarkStart w:id="228" w:name="_Toc495652685"/>
      <w:r w:rsidRPr="00883399">
        <w:rPr>
          <w:rStyle w:val="CharSectno"/>
          <w:sz w:val="28"/>
        </w:rPr>
        <w:t>2.22</w:t>
      </w:r>
      <w:r w:rsidRPr="00883399">
        <w:rPr>
          <w:sz w:val="28"/>
        </w:rPr>
        <w:t xml:space="preserve">  Calculation of emission factors from combustion of gaseous fuel</w:t>
      </w:r>
      <w:bookmarkEnd w:id="227"/>
      <w:bookmarkEnd w:id="228"/>
    </w:p>
    <w:p w14:paraId="21D465E6" w14:textId="77777777" w:rsidR="00872C03" w:rsidRPr="00883399" w:rsidRDefault="00872C03" w:rsidP="00872C03">
      <w:pPr>
        <w:pStyle w:val="subsection"/>
        <w:rPr>
          <w:sz w:val="24"/>
        </w:rPr>
      </w:pPr>
      <w:r w:rsidRPr="00883399">
        <w:rPr>
          <w:sz w:val="24"/>
        </w:rPr>
        <w:tab/>
        <w:t>(1)</w:t>
      </w:r>
      <w:r w:rsidRPr="00883399">
        <w:rPr>
          <w:sz w:val="24"/>
        </w:rPr>
        <w:tab/>
        <w:t xml:space="preserve">For section 2.21, the emission factor </w:t>
      </w:r>
      <w:r w:rsidRPr="00883399">
        <w:rPr>
          <w:b/>
          <w:i/>
          <w:sz w:val="24"/>
        </w:rPr>
        <w:t>EF</w:t>
      </w:r>
      <w:r w:rsidRPr="00883399">
        <w:rPr>
          <w:b/>
          <w:i/>
          <w:sz w:val="24"/>
          <w:vertAlign w:val="subscript"/>
        </w:rPr>
        <w:t>iCO</w:t>
      </w:r>
      <w:r w:rsidRPr="00883399">
        <w:rPr>
          <w:b/>
          <w:i/>
          <w:position w:val="-6"/>
          <w:sz w:val="24"/>
          <w:vertAlign w:val="subscript"/>
        </w:rPr>
        <w:t>2</w:t>
      </w:r>
      <w:r w:rsidRPr="00883399">
        <w:rPr>
          <w:b/>
          <w:i/>
          <w:sz w:val="24"/>
          <w:vertAlign w:val="subscript"/>
        </w:rPr>
        <w:t>oxec</w:t>
      </w:r>
      <w:r w:rsidRPr="00883399">
        <w:rPr>
          <w:sz w:val="24"/>
        </w:rPr>
        <w:t xml:space="preserve"> from the combustion of fuel type (</w:t>
      </w:r>
      <w:r w:rsidRPr="00883399">
        <w:rPr>
          <w:b/>
          <w:i/>
          <w:sz w:val="24"/>
        </w:rPr>
        <w:t>i</w:t>
      </w:r>
      <w:r w:rsidRPr="00883399">
        <w:rPr>
          <w:sz w:val="24"/>
        </w:rPr>
        <w:t>) must be calculated from information on the composition of each component gas type (</w:t>
      </w:r>
      <w:r w:rsidRPr="00883399">
        <w:rPr>
          <w:b/>
          <w:i/>
          <w:sz w:val="24"/>
        </w:rPr>
        <w:t>y</w:t>
      </w:r>
      <w:r w:rsidRPr="00883399">
        <w:rPr>
          <w:sz w:val="24"/>
        </w:rPr>
        <w:t xml:space="preserve">) and must first estimate </w:t>
      </w:r>
      <w:r w:rsidRPr="00883399">
        <w:rPr>
          <w:b/>
          <w:i/>
          <w:sz w:val="24"/>
        </w:rPr>
        <w:t>EF</w:t>
      </w:r>
      <w:r w:rsidRPr="00883399">
        <w:rPr>
          <w:b/>
          <w:i/>
          <w:sz w:val="24"/>
          <w:vertAlign w:val="subscript"/>
        </w:rPr>
        <w:t>i,CO</w:t>
      </w:r>
      <w:r w:rsidRPr="00883399">
        <w:rPr>
          <w:b/>
          <w:i/>
          <w:position w:val="-6"/>
          <w:sz w:val="24"/>
          <w:vertAlign w:val="subscript"/>
        </w:rPr>
        <w:t>2</w:t>
      </w:r>
      <w:r w:rsidRPr="00883399">
        <w:rPr>
          <w:b/>
          <w:i/>
          <w:sz w:val="24"/>
          <w:vertAlign w:val="subscript"/>
        </w:rPr>
        <w:t xml:space="preserve">,ox,kg </w:t>
      </w:r>
      <w:r w:rsidRPr="00883399">
        <w:rPr>
          <w:sz w:val="24"/>
        </w:rPr>
        <w:t>in accordance with the following formula:</w:t>
      </w:r>
    </w:p>
    <w:p w14:paraId="6C55DF53" w14:textId="5439AAE2"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0BC86207" wp14:editId="21655CB8">
            <wp:extent cx="4781550" cy="790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81550" cy="790575"/>
                    </a:xfrm>
                    <a:prstGeom prst="rect">
                      <a:avLst/>
                    </a:prstGeom>
                    <a:noFill/>
                    <a:ln>
                      <a:noFill/>
                    </a:ln>
                  </pic:spPr>
                </pic:pic>
              </a:graphicData>
            </a:graphic>
          </wp:inline>
        </w:drawing>
      </w:r>
    </w:p>
    <w:p w14:paraId="35656AE4" w14:textId="77777777" w:rsidR="00872C03" w:rsidRPr="00883399" w:rsidRDefault="00872C03" w:rsidP="00872C03">
      <w:pPr>
        <w:pStyle w:val="subsection2"/>
        <w:rPr>
          <w:sz w:val="24"/>
        </w:rPr>
      </w:pPr>
      <w:r w:rsidRPr="00883399">
        <w:rPr>
          <w:sz w:val="24"/>
        </w:rPr>
        <w:t>where:</w:t>
      </w:r>
    </w:p>
    <w:p w14:paraId="0EC26A7F" w14:textId="77777777" w:rsidR="00872C03" w:rsidRPr="00883399" w:rsidRDefault="00872C03" w:rsidP="00872C03">
      <w:pPr>
        <w:pStyle w:val="Definition0"/>
        <w:rPr>
          <w:sz w:val="24"/>
        </w:rPr>
      </w:pPr>
      <w:r w:rsidRPr="00883399">
        <w:rPr>
          <w:b/>
          <w:i/>
          <w:sz w:val="24"/>
        </w:rPr>
        <w:t>EF</w:t>
      </w:r>
      <w:r w:rsidRPr="00883399">
        <w:rPr>
          <w:b/>
          <w:i/>
          <w:sz w:val="24"/>
          <w:vertAlign w:val="subscript"/>
        </w:rPr>
        <w:t>i,</w:t>
      </w:r>
      <w:r w:rsidRPr="00883399">
        <w:rPr>
          <w:rStyle w:val="charSubscript"/>
          <w:b/>
          <w:i/>
          <w:sz w:val="22"/>
        </w:rPr>
        <w:t>CO2,</w:t>
      </w:r>
      <w:r w:rsidRPr="00883399">
        <w:rPr>
          <w:b/>
          <w:i/>
          <w:sz w:val="24"/>
          <w:vertAlign w:val="subscript"/>
        </w:rPr>
        <w:t>ox</w:t>
      </w:r>
      <w:r w:rsidRPr="00883399">
        <w:rPr>
          <w:rStyle w:val="charSubscript"/>
          <w:b/>
          <w:i/>
          <w:sz w:val="22"/>
        </w:rPr>
        <w:t>,kg</w:t>
      </w:r>
      <w:r w:rsidRPr="00883399">
        <w:rPr>
          <w:b/>
          <w:i/>
          <w:sz w:val="24"/>
          <w:vertAlign w:val="subscript"/>
        </w:rPr>
        <w:t xml:space="preserve"> </w:t>
      </w:r>
      <w:r w:rsidRPr="00883399">
        <w:rPr>
          <w:sz w:val="24"/>
        </w:rPr>
        <w:t>is the carbon dioxide emission factor for fuel type (</w:t>
      </w:r>
      <w:r w:rsidRPr="00883399">
        <w:rPr>
          <w:b/>
          <w:i/>
          <w:sz w:val="24"/>
        </w:rPr>
        <w:t>i</w:t>
      </w:r>
      <w:r w:rsidRPr="00883399">
        <w:rPr>
          <w:sz w:val="24"/>
        </w:rPr>
        <w:t>), incorporating the effects of a default oxidation factor expressed as kilograms of carbon dioxide per kilogram of fuel.</w:t>
      </w:r>
    </w:p>
    <w:p w14:paraId="537C506B" w14:textId="77777777" w:rsidR="00872C03" w:rsidRPr="00883399" w:rsidRDefault="00872C03" w:rsidP="00872C03">
      <w:pPr>
        <w:pStyle w:val="Definition0"/>
        <w:rPr>
          <w:sz w:val="24"/>
          <w:szCs w:val="22"/>
        </w:rPr>
      </w:pPr>
      <w:r w:rsidRPr="00883399">
        <w:rPr>
          <w:b/>
          <w:i/>
          <w:sz w:val="24"/>
        </w:rPr>
        <w:t>mol</w:t>
      </w:r>
      <w:r w:rsidRPr="00883399">
        <w:rPr>
          <w:b/>
          <w:i/>
          <w:sz w:val="24"/>
          <w:vertAlign w:val="subscript"/>
        </w:rPr>
        <w:t>y</w:t>
      </w:r>
      <w:r w:rsidRPr="00883399">
        <w:rPr>
          <w:b/>
          <w:i/>
          <w:sz w:val="24"/>
        </w:rPr>
        <w:t>%</w:t>
      </w:r>
      <w:r w:rsidRPr="00883399">
        <w:rPr>
          <w:sz w:val="24"/>
        </w:rPr>
        <w:t>, for each component gas type (</w:t>
      </w:r>
      <w:r w:rsidRPr="00883399">
        <w:rPr>
          <w:b/>
          <w:i/>
          <w:sz w:val="24"/>
        </w:rPr>
        <w:t>y</w:t>
      </w:r>
      <w:r w:rsidRPr="00883399">
        <w:rPr>
          <w:sz w:val="24"/>
        </w:rPr>
        <w:t>), is that gas type’s share of 1 mole of fuel type (</w:t>
      </w:r>
      <w:r w:rsidRPr="00883399">
        <w:rPr>
          <w:b/>
          <w:i/>
          <w:sz w:val="24"/>
        </w:rPr>
        <w:t>i</w:t>
      </w:r>
      <w:r w:rsidRPr="00883399">
        <w:rPr>
          <w:sz w:val="24"/>
        </w:rPr>
        <w:t>), or that gas type’s share of the total volume of fuel type (</w:t>
      </w:r>
      <w:r w:rsidRPr="00883399">
        <w:rPr>
          <w:b/>
          <w:i/>
          <w:sz w:val="24"/>
        </w:rPr>
        <w:t>i</w:t>
      </w:r>
      <w:r w:rsidRPr="00883399">
        <w:rPr>
          <w:sz w:val="24"/>
        </w:rPr>
        <w:t>), expressed as a percentage</w:t>
      </w:r>
      <w:r w:rsidRPr="00883399">
        <w:rPr>
          <w:sz w:val="24"/>
          <w:szCs w:val="22"/>
        </w:rPr>
        <w:t>.</w:t>
      </w:r>
    </w:p>
    <w:p w14:paraId="6326013F" w14:textId="77777777" w:rsidR="00872C03" w:rsidRPr="00883399" w:rsidRDefault="00872C03" w:rsidP="00872C03">
      <w:pPr>
        <w:pStyle w:val="Definition0"/>
        <w:rPr>
          <w:sz w:val="24"/>
        </w:rPr>
      </w:pPr>
      <w:r w:rsidRPr="00883399">
        <w:rPr>
          <w:b/>
          <w:i/>
          <w:sz w:val="24"/>
        </w:rPr>
        <w:t>mw</w:t>
      </w:r>
      <w:r w:rsidRPr="00883399">
        <w:rPr>
          <w:b/>
          <w:i/>
          <w:sz w:val="24"/>
          <w:vertAlign w:val="subscript"/>
        </w:rPr>
        <w:t>y</w:t>
      </w:r>
      <w:r w:rsidRPr="00883399">
        <w:rPr>
          <w:sz w:val="24"/>
        </w:rPr>
        <w:t>, for each component gas type (</w:t>
      </w:r>
      <w:r w:rsidRPr="00883399">
        <w:rPr>
          <w:b/>
          <w:i/>
          <w:sz w:val="24"/>
        </w:rPr>
        <w:t>y</w:t>
      </w:r>
      <w:r w:rsidRPr="00883399">
        <w:rPr>
          <w:sz w:val="24"/>
        </w:rPr>
        <w:t>), is the molecular weight of the component gas type (</w:t>
      </w:r>
      <w:r w:rsidRPr="00883399">
        <w:rPr>
          <w:b/>
          <w:i/>
          <w:sz w:val="24"/>
        </w:rPr>
        <w:t>y</w:t>
      </w:r>
      <w:r w:rsidRPr="00883399">
        <w:rPr>
          <w:sz w:val="24"/>
        </w:rPr>
        <w:t>) measured in kilograms per kilomole.</w:t>
      </w:r>
    </w:p>
    <w:p w14:paraId="440AA8B3" w14:textId="77777777" w:rsidR="00872C03" w:rsidRPr="00883399" w:rsidRDefault="00872C03" w:rsidP="00872C03">
      <w:pPr>
        <w:pStyle w:val="Definition0"/>
        <w:rPr>
          <w:sz w:val="24"/>
        </w:rPr>
      </w:pPr>
      <w:r w:rsidRPr="00883399">
        <w:rPr>
          <w:b/>
          <w:i/>
          <w:sz w:val="24"/>
        </w:rPr>
        <w:t xml:space="preserve">V </w:t>
      </w:r>
      <w:r w:rsidRPr="00883399">
        <w:rPr>
          <w:sz w:val="24"/>
        </w:rPr>
        <w:t>is the volume of 1 kilomole of the gas at standard conditions and equal to 23.6444 cubic metres.</w:t>
      </w:r>
    </w:p>
    <w:p w14:paraId="67F6BA8F" w14:textId="77777777" w:rsidR="00872C03" w:rsidRPr="00883399" w:rsidRDefault="00872C03" w:rsidP="00872C03">
      <w:pPr>
        <w:pStyle w:val="Definition0"/>
        <w:rPr>
          <w:sz w:val="24"/>
        </w:rPr>
      </w:pPr>
      <w:r w:rsidRPr="00883399">
        <w:rPr>
          <w:b/>
          <w:i/>
          <w:sz w:val="24"/>
        </w:rPr>
        <w:t>d</w:t>
      </w:r>
      <w:r w:rsidRPr="00883399">
        <w:rPr>
          <w:b/>
          <w:i/>
          <w:sz w:val="24"/>
          <w:vertAlign w:val="subscript"/>
        </w:rPr>
        <w:t xml:space="preserve">y, total </w:t>
      </w:r>
      <w:r w:rsidRPr="00883399">
        <w:rPr>
          <w:sz w:val="24"/>
        </w:rPr>
        <w:t>is as set out in subsection (2).</w:t>
      </w:r>
    </w:p>
    <w:p w14:paraId="7F5FF07D" w14:textId="77777777" w:rsidR="00872C03" w:rsidRPr="00883399" w:rsidRDefault="00872C03" w:rsidP="00872C03">
      <w:pPr>
        <w:pStyle w:val="Definition0"/>
        <w:rPr>
          <w:sz w:val="24"/>
        </w:rPr>
      </w:pPr>
      <w:r w:rsidRPr="00883399">
        <w:rPr>
          <w:b/>
          <w:i/>
          <w:sz w:val="24"/>
        </w:rPr>
        <w:t>f</w:t>
      </w:r>
      <w:r w:rsidRPr="00883399">
        <w:rPr>
          <w:b/>
          <w:i/>
          <w:sz w:val="24"/>
          <w:vertAlign w:val="subscript"/>
        </w:rPr>
        <w:t>y</w:t>
      </w:r>
      <w:r w:rsidRPr="00883399">
        <w:rPr>
          <w:b/>
          <w:i/>
          <w:sz w:val="24"/>
        </w:rPr>
        <w:t xml:space="preserve"> </w:t>
      </w:r>
      <w:r w:rsidRPr="00883399">
        <w:rPr>
          <w:sz w:val="24"/>
        </w:rPr>
        <w:t>for each component gas type (</w:t>
      </w:r>
      <w:r w:rsidRPr="00883399">
        <w:rPr>
          <w:b/>
          <w:i/>
          <w:sz w:val="24"/>
        </w:rPr>
        <w:t>y</w:t>
      </w:r>
      <w:r w:rsidRPr="00883399">
        <w:rPr>
          <w:sz w:val="24"/>
        </w:rPr>
        <w:t>), is the number of carbon atoms in a molecule of the component gas type (</w:t>
      </w:r>
      <w:r w:rsidRPr="00883399">
        <w:rPr>
          <w:b/>
          <w:i/>
          <w:sz w:val="24"/>
        </w:rPr>
        <w:t>y</w:t>
      </w:r>
      <w:r w:rsidRPr="00883399">
        <w:rPr>
          <w:sz w:val="24"/>
        </w:rPr>
        <w:t>).</w:t>
      </w:r>
    </w:p>
    <w:p w14:paraId="1E99E4DF" w14:textId="77777777" w:rsidR="00872C03" w:rsidRPr="00883399" w:rsidRDefault="00872C03" w:rsidP="00872C03">
      <w:pPr>
        <w:pStyle w:val="Definition0"/>
        <w:rPr>
          <w:strike/>
          <w:sz w:val="24"/>
        </w:rPr>
      </w:pPr>
      <w:r w:rsidRPr="00883399">
        <w:rPr>
          <w:b/>
          <w:i/>
          <w:sz w:val="24"/>
        </w:rPr>
        <w:t>OF</w:t>
      </w:r>
      <w:r w:rsidRPr="00883399">
        <w:rPr>
          <w:b/>
          <w:i/>
          <w:sz w:val="24"/>
          <w:vertAlign w:val="subscript"/>
        </w:rPr>
        <w:t>g</w:t>
      </w:r>
      <w:r w:rsidRPr="00883399">
        <w:rPr>
          <w:b/>
          <w:i/>
          <w:sz w:val="24"/>
        </w:rPr>
        <w:t xml:space="preserve"> </w:t>
      </w:r>
      <w:r w:rsidRPr="00883399">
        <w:rPr>
          <w:sz w:val="24"/>
        </w:rPr>
        <w:t>is the oxidation factor 1.0 applicable to gaseous fuels.</w:t>
      </w:r>
    </w:p>
    <w:p w14:paraId="10EE036D" w14:textId="77777777" w:rsidR="00872C03" w:rsidRPr="00883399" w:rsidRDefault="00872C03" w:rsidP="00872C03">
      <w:pPr>
        <w:pStyle w:val="subsection"/>
        <w:rPr>
          <w:sz w:val="24"/>
        </w:rPr>
      </w:pPr>
      <w:r w:rsidRPr="00883399">
        <w:rPr>
          <w:sz w:val="24"/>
        </w:rPr>
        <w:tab/>
        <w:t>(2)</w:t>
      </w:r>
      <w:r w:rsidRPr="00883399">
        <w:rPr>
          <w:sz w:val="24"/>
        </w:rPr>
        <w:tab/>
        <w:t xml:space="preserve">For subsection (1), the factor </w:t>
      </w:r>
      <w:r w:rsidRPr="00883399">
        <w:rPr>
          <w:b/>
          <w:i/>
          <w:sz w:val="24"/>
        </w:rPr>
        <w:t>d</w:t>
      </w:r>
      <w:r w:rsidRPr="00883399">
        <w:rPr>
          <w:b/>
          <w:i/>
          <w:sz w:val="24"/>
          <w:vertAlign w:val="subscript"/>
        </w:rPr>
        <w:t xml:space="preserve">y, total </w:t>
      </w:r>
      <w:r w:rsidRPr="00883399">
        <w:rPr>
          <w:sz w:val="24"/>
        </w:rPr>
        <w:t>is worked out using the following formula:</w:t>
      </w:r>
    </w:p>
    <w:p w14:paraId="160619DB" w14:textId="7DB763E7"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48A2BED5" wp14:editId="267FCFDE">
            <wp:extent cx="1685925" cy="390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390525"/>
                    </a:xfrm>
                    <a:prstGeom prst="rect">
                      <a:avLst/>
                    </a:prstGeom>
                    <a:noFill/>
                    <a:ln>
                      <a:noFill/>
                    </a:ln>
                  </pic:spPr>
                </pic:pic>
              </a:graphicData>
            </a:graphic>
          </wp:inline>
        </w:drawing>
      </w:r>
    </w:p>
    <w:p w14:paraId="031AB550" w14:textId="77777777" w:rsidR="00872C03" w:rsidRPr="00883399" w:rsidRDefault="00872C03" w:rsidP="00872C03">
      <w:pPr>
        <w:pStyle w:val="subsection2"/>
        <w:rPr>
          <w:sz w:val="24"/>
        </w:rPr>
      </w:pPr>
      <w:r w:rsidRPr="00883399">
        <w:rPr>
          <w:sz w:val="24"/>
        </w:rPr>
        <w:t>where:</w:t>
      </w:r>
    </w:p>
    <w:p w14:paraId="32AA6DDE" w14:textId="77777777" w:rsidR="00872C03" w:rsidRPr="00883399" w:rsidRDefault="00872C03" w:rsidP="00872C03">
      <w:pPr>
        <w:pStyle w:val="Definition0"/>
        <w:rPr>
          <w:sz w:val="24"/>
          <w:szCs w:val="22"/>
        </w:rPr>
      </w:pPr>
      <w:r w:rsidRPr="00883399">
        <w:rPr>
          <w:b/>
          <w:i/>
          <w:sz w:val="24"/>
        </w:rPr>
        <w:lastRenderedPageBreak/>
        <w:t>mol</w:t>
      </w:r>
      <w:r w:rsidRPr="00883399">
        <w:rPr>
          <w:b/>
          <w:i/>
          <w:sz w:val="24"/>
          <w:vertAlign w:val="subscript"/>
        </w:rPr>
        <w:t>y</w:t>
      </w:r>
      <w:r w:rsidRPr="00883399">
        <w:rPr>
          <w:b/>
          <w:i/>
          <w:sz w:val="24"/>
        </w:rPr>
        <w:t>%</w:t>
      </w:r>
      <w:r w:rsidRPr="00883399">
        <w:rPr>
          <w:sz w:val="24"/>
        </w:rPr>
        <w:t>, for each component gas type (</w:t>
      </w:r>
      <w:r w:rsidRPr="00883399">
        <w:rPr>
          <w:b/>
          <w:i/>
          <w:sz w:val="24"/>
        </w:rPr>
        <w:t>y</w:t>
      </w:r>
      <w:r w:rsidRPr="00883399">
        <w:rPr>
          <w:sz w:val="24"/>
        </w:rPr>
        <w:t>), is that gas type’s share of 1 mole of fuel type (</w:t>
      </w:r>
      <w:r w:rsidRPr="00883399">
        <w:rPr>
          <w:b/>
          <w:i/>
          <w:sz w:val="24"/>
        </w:rPr>
        <w:t>i</w:t>
      </w:r>
      <w:r w:rsidRPr="00883399">
        <w:rPr>
          <w:sz w:val="24"/>
        </w:rPr>
        <w:t>), or that gas type’s share of the total volume of fuel type (</w:t>
      </w:r>
      <w:r w:rsidRPr="00883399">
        <w:rPr>
          <w:b/>
          <w:i/>
          <w:sz w:val="24"/>
        </w:rPr>
        <w:t>i</w:t>
      </w:r>
      <w:r w:rsidRPr="00883399">
        <w:rPr>
          <w:sz w:val="24"/>
        </w:rPr>
        <w:t>), expressed as a percentage</w:t>
      </w:r>
      <w:r w:rsidRPr="00883399">
        <w:rPr>
          <w:sz w:val="24"/>
          <w:szCs w:val="22"/>
        </w:rPr>
        <w:t>.</w:t>
      </w:r>
    </w:p>
    <w:p w14:paraId="4F45B325" w14:textId="77777777" w:rsidR="00872C03" w:rsidRPr="00883399" w:rsidRDefault="00872C03" w:rsidP="00872C03">
      <w:pPr>
        <w:pStyle w:val="Definition0"/>
        <w:rPr>
          <w:sz w:val="24"/>
        </w:rPr>
      </w:pPr>
      <w:r w:rsidRPr="00883399">
        <w:rPr>
          <w:b/>
          <w:i/>
          <w:sz w:val="24"/>
        </w:rPr>
        <w:t>mw</w:t>
      </w:r>
      <w:r w:rsidRPr="00883399">
        <w:rPr>
          <w:b/>
          <w:i/>
          <w:sz w:val="24"/>
          <w:vertAlign w:val="subscript"/>
        </w:rPr>
        <w:t>y</w:t>
      </w:r>
      <w:r w:rsidRPr="00883399">
        <w:rPr>
          <w:sz w:val="24"/>
        </w:rPr>
        <w:t>, for each component gas type (</w:t>
      </w:r>
      <w:r w:rsidRPr="00883399">
        <w:rPr>
          <w:b/>
          <w:i/>
          <w:sz w:val="24"/>
        </w:rPr>
        <w:t>y</w:t>
      </w:r>
      <w:r w:rsidRPr="00883399">
        <w:rPr>
          <w:sz w:val="24"/>
        </w:rPr>
        <w:t>), is the molecular weight of the component gas type (</w:t>
      </w:r>
      <w:r w:rsidRPr="00883399">
        <w:rPr>
          <w:b/>
          <w:i/>
          <w:sz w:val="24"/>
        </w:rPr>
        <w:t>y</w:t>
      </w:r>
      <w:r w:rsidRPr="00883399">
        <w:rPr>
          <w:sz w:val="24"/>
        </w:rPr>
        <w:t>) measured in kilograms per kilomole.</w:t>
      </w:r>
    </w:p>
    <w:p w14:paraId="3FF66696" w14:textId="77777777" w:rsidR="00872C03" w:rsidRPr="00883399" w:rsidRDefault="00872C03" w:rsidP="00872C03">
      <w:pPr>
        <w:pStyle w:val="subsection"/>
        <w:rPr>
          <w:sz w:val="24"/>
        </w:rPr>
      </w:pPr>
      <w:r w:rsidRPr="00883399">
        <w:rPr>
          <w:sz w:val="24"/>
        </w:rPr>
        <w:tab/>
        <w:t>(3)</w:t>
      </w:r>
      <w:r w:rsidRPr="00883399">
        <w:rPr>
          <w:sz w:val="24"/>
        </w:rPr>
        <w:tab/>
        <w:t>For subsection (1), the molecular weight and number of carbon atoms in a molecule of each component gas type (</w:t>
      </w:r>
      <w:r w:rsidRPr="00883399">
        <w:rPr>
          <w:b/>
          <w:i/>
          <w:sz w:val="24"/>
        </w:rPr>
        <w:t>y</w:t>
      </w:r>
      <w:r w:rsidRPr="00883399">
        <w:rPr>
          <w:sz w:val="24"/>
        </w:rPr>
        <w:t>) mentioned in column 2 of an item in the following table is as set out in columns 3 and 4, respectively, for the item:</w:t>
      </w:r>
    </w:p>
    <w:p w14:paraId="6ACA61A8" w14:textId="77777777" w:rsidR="00872C03" w:rsidRPr="00883399" w:rsidRDefault="00872C03" w:rsidP="00872C03">
      <w:pPr>
        <w:pStyle w:val="Tabletext0"/>
        <w:rPr>
          <w:sz w:val="22"/>
        </w:rPr>
      </w:pPr>
    </w:p>
    <w:tbl>
      <w:tblPr>
        <w:tblW w:w="7440" w:type="dxa"/>
        <w:tblInd w:w="94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840"/>
        <w:gridCol w:w="2400"/>
        <w:gridCol w:w="1920"/>
        <w:gridCol w:w="2280"/>
      </w:tblGrid>
      <w:tr w:rsidR="00872C03" w:rsidRPr="00883399" w14:paraId="2BAFC9A2" w14:textId="77777777" w:rsidTr="0031057E">
        <w:trPr>
          <w:tblHeader/>
        </w:trPr>
        <w:tc>
          <w:tcPr>
            <w:tcW w:w="840" w:type="dxa"/>
            <w:tcBorders>
              <w:top w:val="single" w:sz="12" w:space="0" w:color="auto"/>
              <w:bottom w:val="single" w:sz="12" w:space="0" w:color="auto"/>
            </w:tcBorders>
            <w:shd w:val="clear" w:color="auto" w:fill="auto"/>
          </w:tcPr>
          <w:p w14:paraId="711149B6" w14:textId="77777777" w:rsidR="00872C03" w:rsidRPr="00883399" w:rsidRDefault="00872C03" w:rsidP="0031057E">
            <w:pPr>
              <w:pStyle w:val="TableHeading"/>
              <w:rPr>
                <w:sz w:val="22"/>
              </w:rPr>
            </w:pPr>
            <w:r w:rsidRPr="00883399">
              <w:rPr>
                <w:sz w:val="22"/>
              </w:rPr>
              <w:t>Item</w:t>
            </w:r>
          </w:p>
        </w:tc>
        <w:tc>
          <w:tcPr>
            <w:tcW w:w="2400" w:type="dxa"/>
            <w:tcBorders>
              <w:top w:val="single" w:sz="12" w:space="0" w:color="auto"/>
              <w:bottom w:val="single" w:sz="12" w:space="0" w:color="auto"/>
            </w:tcBorders>
            <w:shd w:val="clear" w:color="auto" w:fill="auto"/>
          </w:tcPr>
          <w:p w14:paraId="3F45C9AC" w14:textId="77777777" w:rsidR="00872C03" w:rsidRPr="00883399" w:rsidRDefault="00872C03" w:rsidP="0031057E">
            <w:pPr>
              <w:pStyle w:val="TableHeading"/>
              <w:rPr>
                <w:sz w:val="22"/>
              </w:rPr>
            </w:pPr>
            <w:r w:rsidRPr="00883399">
              <w:rPr>
                <w:sz w:val="22"/>
              </w:rPr>
              <w:t>Component gas y</w:t>
            </w:r>
          </w:p>
        </w:tc>
        <w:tc>
          <w:tcPr>
            <w:tcW w:w="1920" w:type="dxa"/>
            <w:tcBorders>
              <w:top w:val="single" w:sz="12" w:space="0" w:color="auto"/>
              <w:bottom w:val="single" w:sz="12" w:space="0" w:color="auto"/>
            </w:tcBorders>
            <w:shd w:val="clear" w:color="auto" w:fill="auto"/>
          </w:tcPr>
          <w:p w14:paraId="73569D61" w14:textId="77777777" w:rsidR="00872C03" w:rsidRPr="00883399" w:rsidRDefault="00872C03" w:rsidP="0031057E">
            <w:pPr>
              <w:pStyle w:val="TableHeading"/>
              <w:rPr>
                <w:sz w:val="22"/>
              </w:rPr>
            </w:pPr>
            <w:r w:rsidRPr="00883399">
              <w:rPr>
                <w:sz w:val="22"/>
              </w:rPr>
              <w:t>Molecular Wt (kg/kmole)</w:t>
            </w:r>
          </w:p>
        </w:tc>
        <w:tc>
          <w:tcPr>
            <w:tcW w:w="2280" w:type="dxa"/>
            <w:tcBorders>
              <w:top w:val="single" w:sz="12" w:space="0" w:color="auto"/>
              <w:bottom w:val="single" w:sz="12" w:space="0" w:color="auto"/>
            </w:tcBorders>
            <w:shd w:val="clear" w:color="auto" w:fill="auto"/>
          </w:tcPr>
          <w:p w14:paraId="5CE08088" w14:textId="77777777" w:rsidR="00872C03" w:rsidRPr="00883399" w:rsidRDefault="00872C03" w:rsidP="0031057E">
            <w:pPr>
              <w:pStyle w:val="TableHeading"/>
              <w:rPr>
                <w:sz w:val="22"/>
              </w:rPr>
            </w:pPr>
            <w:r w:rsidRPr="00883399">
              <w:rPr>
                <w:sz w:val="22"/>
              </w:rPr>
              <w:t>Number of carbon atoms in component molecules</w:t>
            </w:r>
          </w:p>
        </w:tc>
      </w:tr>
      <w:tr w:rsidR="00872C03" w:rsidRPr="00883399" w14:paraId="6D12C05D" w14:textId="77777777" w:rsidTr="0031057E">
        <w:tc>
          <w:tcPr>
            <w:tcW w:w="840" w:type="dxa"/>
            <w:tcBorders>
              <w:top w:val="single" w:sz="12" w:space="0" w:color="auto"/>
            </w:tcBorders>
            <w:shd w:val="clear" w:color="auto" w:fill="auto"/>
          </w:tcPr>
          <w:p w14:paraId="11D718BB" w14:textId="77777777" w:rsidR="00872C03" w:rsidRPr="00883399" w:rsidRDefault="00872C03" w:rsidP="0031057E">
            <w:pPr>
              <w:pStyle w:val="Tabletext0"/>
              <w:rPr>
                <w:sz w:val="22"/>
              </w:rPr>
            </w:pPr>
            <w:r w:rsidRPr="00883399">
              <w:rPr>
                <w:sz w:val="22"/>
              </w:rPr>
              <w:t>1</w:t>
            </w:r>
          </w:p>
        </w:tc>
        <w:tc>
          <w:tcPr>
            <w:tcW w:w="2400" w:type="dxa"/>
            <w:tcBorders>
              <w:top w:val="single" w:sz="12" w:space="0" w:color="auto"/>
            </w:tcBorders>
            <w:shd w:val="clear" w:color="auto" w:fill="auto"/>
          </w:tcPr>
          <w:p w14:paraId="03DC7F5A" w14:textId="77777777" w:rsidR="00872C03" w:rsidRPr="00883399" w:rsidRDefault="00872C03" w:rsidP="0031057E">
            <w:pPr>
              <w:pStyle w:val="Tabletext0"/>
              <w:rPr>
                <w:sz w:val="22"/>
              </w:rPr>
            </w:pPr>
            <w:r w:rsidRPr="00883399">
              <w:rPr>
                <w:sz w:val="22"/>
              </w:rPr>
              <w:t xml:space="preserve">Methane </w:t>
            </w:r>
          </w:p>
        </w:tc>
        <w:tc>
          <w:tcPr>
            <w:tcW w:w="1920" w:type="dxa"/>
            <w:tcBorders>
              <w:top w:val="single" w:sz="12" w:space="0" w:color="auto"/>
            </w:tcBorders>
            <w:shd w:val="clear" w:color="auto" w:fill="auto"/>
          </w:tcPr>
          <w:p w14:paraId="3D0E42C3" w14:textId="77777777" w:rsidR="00872C03" w:rsidRPr="00883399" w:rsidRDefault="00872C03" w:rsidP="0031057E">
            <w:pPr>
              <w:pStyle w:val="Tabletext0"/>
              <w:rPr>
                <w:sz w:val="22"/>
              </w:rPr>
            </w:pPr>
            <w:r w:rsidRPr="00883399">
              <w:rPr>
                <w:sz w:val="22"/>
              </w:rPr>
              <w:t>16.043</w:t>
            </w:r>
          </w:p>
        </w:tc>
        <w:tc>
          <w:tcPr>
            <w:tcW w:w="2280" w:type="dxa"/>
            <w:tcBorders>
              <w:top w:val="single" w:sz="12" w:space="0" w:color="auto"/>
            </w:tcBorders>
            <w:shd w:val="clear" w:color="auto" w:fill="auto"/>
          </w:tcPr>
          <w:p w14:paraId="67240CFA" w14:textId="77777777" w:rsidR="00872C03" w:rsidRPr="00883399" w:rsidRDefault="00872C03" w:rsidP="0031057E">
            <w:pPr>
              <w:pStyle w:val="Tabletext0"/>
              <w:rPr>
                <w:sz w:val="22"/>
              </w:rPr>
            </w:pPr>
            <w:r w:rsidRPr="00883399">
              <w:rPr>
                <w:sz w:val="22"/>
              </w:rPr>
              <w:t>1</w:t>
            </w:r>
          </w:p>
        </w:tc>
      </w:tr>
      <w:tr w:rsidR="00872C03" w:rsidRPr="00883399" w14:paraId="36AAF60F" w14:textId="77777777" w:rsidTr="0031057E">
        <w:tc>
          <w:tcPr>
            <w:tcW w:w="840" w:type="dxa"/>
            <w:shd w:val="clear" w:color="auto" w:fill="auto"/>
          </w:tcPr>
          <w:p w14:paraId="036A9F0F" w14:textId="77777777" w:rsidR="00872C03" w:rsidRPr="00883399" w:rsidRDefault="00872C03" w:rsidP="0031057E">
            <w:pPr>
              <w:pStyle w:val="Tabletext0"/>
              <w:rPr>
                <w:sz w:val="22"/>
              </w:rPr>
            </w:pPr>
            <w:r w:rsidRPr="00883399">
              <w:rPr>
                <w:sz w:val="22"/>
              </w:rPr>
              <w:t>2</w:t>
            </w:r>
          </w:p>
        </w:tc>
        <w:tc>
          <w:tcPr>
            <w:tcW w:w="2400" w:type="dxa"/>
            <w:shd w:val="clear" w:color="auto" w:fill="auto"/>
          </w:tcPr>
          <w:p w14:paraId="2C64ABE3" w14:textId="77777777" w:rsidR="00872C03" w:rsidRPr="00883399" w:rsidRDefault="00872C03" w:rsidP="0031057E">
            <w:pPr>
              <w:pStyle w:val="Tabletext0"/>
              <w:rPr>
                <w:sz w:val="22"/>
              </w:rPr>
            </w:pPr>
            <w:r w:rsidRPr="00883399">
              <w:rPr>
                <w:sz w:val="22"/>
              </w:rPr>
              <w:t xml:space="preserve">Ethane </w:t>
            </w:r>
          </w:p>
        </w:tc>
        <w:tc>
          <w:tcPr>
            <w:tcW w:w="1920" w:type="dxa"/>
            <w:shd w:val="clear" w:color="auto" w:fill="auto"/>
          </w:tcPr>
          <w:p w14:paraId="2D22E81A" w14:textId="77777777" w:rsidR="00872C03" w:rsidRPr="00883399" w:rsidRDefault="00872C03" w:rsidP="0031057E">
            <w:pPr>
              <w:pStyle w:val="Tabletext0"/>
              <w:rPr>
                <w:sz w:val="22"/>
              </w:rPr>
            </w:pPr>
            <w:r w:rsidRPr="00883399">
              <w:rPr>
                <w:sz w:val="22"/>
              </w:rPr>
              <w:t>30.070</w:t>
            </w:r>
          </w:p>
        </w:tc>
        <w:tc>
          <w:tcPr>
            <w:tcW w:w="2280" w:type="dxa"/>
            <w:shd w:val="clear" w:color="auto" w:fill="auto"/>
          </w:tcPr>
          <w:p w14:paraId="2F2EEF9C" w14:textId="77777777" w:rsidR="00872C03" w:rsidRPr="00883399" w:rsidRDefault="00872C03" w:rsidP="0031057E">
            <w:pPr>
              <w:pStyle w:val="Tabletext0"/>
              <w:rPr>
                <w:sz w:val="22"/>
              </w:rPr>
            </w:pPr>
            <w:r w:rsidRPr="00883399">
              <w:rPr>
                <w:sz w:val="22"/>
              </w:rPr>
              <w:t>2</w:t>
            </w:r>
          </w:p>
        </w:tc>
      </w:tr>
      <w:tr w:rsidR="00872C03" w:rsidRPr="00883399" w14:paraId="04A5DD92" w14:textId="77777777" w:rsidTr="0031057E">
        <w:tc>
          <w:tcPr>
            <w:tcW w:w="840" w:type="dxa"/>
            <w:shd w:val="clear" w:color="auto" w:fill="auto"/>
          </w:tcPr>
          <w:p w14:paraId="57AE74BD" w14:textId="77777777" w:rsidR="00872C03" w:rsidRPr="00883399" w:rsidRDefault="00872C03" w:rsidP="0031057E">
            <w:pPr>
              <w:pStyle w:val="Tabletext0"/>
              <w:rPr>
                <w:sz w:val="22"/>
              </w:rPr>
            </w:pPr>
            <w:r w:rsidRPr="00883399">
              <w:rPr>
                <w:sz w:val="22"/>
              </w:rPr>
              <w:t>3</w:t>
            </w:r>
          </w:p>
        </w:tc>
        <w:tc>
          <w:tcPr>
            <w:tcW w:w="2400" w:type="dxa"/>
            <w:shd w:val="clear" w:color="auto" w:fill="auto"/>
          </w:tcPr>
          <w:p w14:paraId="5AC167F3" w14:textId="77777777" w:rsidR="00872C03" w:rsidRPr="00883399" w:rsidRDefault="00872C03" w:rsidP="0031057E">
            <w:pPr>
              <w:pStyle w:val="Tabletext0"/>
              <w:rPr>
                <w:sz w:val="22"/>
              </w:rPr>
            </w:pPr>
            <w:r w:rsidRPr="00883399">
              <w:rPr>
                <w:sz w:val="22"/>
              </w:rPr>
              <w:t>Propane</w:t>
            </w:r>
          </w:p>
        </w:tc>
        <w:tc>
          <w:tcPr>
            <w:tcW w:w="1920" w:type="dxa"/>
            <w:shd w:val="clear" w:color="auto" w:fill="auto"/>
          </w:tcPr>
          <w:p w14:paraId="48BDC7B1" w14:textId="77777777" w:rsidR="00872C03" w:rsidRPr="00883399" w:rsidRDefault="00872C03" w:rsidP="0031057E">
            <w:pPr>
              <w:pStyle w:val="Tabletext0"/>
              <w:rPr>
                <w:sz w:val="22"/>
              </w:rPr>
            </w:pPr>
            <w:r w:rsidRPr="00883399">
              <w:rPr>
                <w:sz w:val="22"/>
              </w:rPr>
              <w:t>44.097</w:t>
            </w:r>
          </w:p>
        </w:tc>
        <w:tc>
          <w:tcPr>
            <w:tcW w:w="2280" w:type="dxa"/>
            <w:shd w:val="clear" w:color="auto" w:fill="auto"/>
          </w:tcPr>
          <w:p w14:paraId="33A2B927" w14:textId="77777777" w:rsidR="00872C03" w:rsidRPr="00883399" w:rsidRDefault="00872C03" w:rsidP="0031057E">
            <w:pPr>
              <w:pStyle w:val="Tabletext0"/>
              <w:rPr>
                <w:sz w:val="22"/>
              </w:rPr>
            </w:pPr>
            <w:r w:rsidRPr="00883399">
              <w:rPr>
                <w:sz w:val="22"/>
              </w:rPr>
              <w:t>3</w:t>
            </w:r>
          </w:p>
        </w:tc>
      </w:tr>
      <w:tr w:rsidR="00872C03" w:rsidRPr="00883399" w14:paraId="639F5BA5" w14:textId="77777777" w:rsidTr="0031057E">
        <w:tc>
          <w:tcPr>
            <w:tcW w:w="840" w:type="dxa"/>
            <w:shd w:val="clear" w:color="auto" w:fill="auto"/>
          </w:tcPr>
          <w:p w14:paraId="6A31D9B1" w14:textId="77777777" w:rsidR="00872C03" w:rsidRPr="00883399" w:rsidRDefault="00872C03" w:rsidP="0031057E">
            <w:pPr>
              <w:pStyle w:val="Tabletext0"/>
              <w:rPr>
                <w:sz w:val="22"/>
              </w:rPr>
            </w:pPr>
            <w:r w:rsidRPr="00883399">
              <w:rPr>
                <w:sz w:val="22"/>
              </w:rPr>
              <w:t>4</w:t>
            </w:r>
          </w:p>
        </w:tc>
        <w:tc>
          <w:tcPr>
            <w:tcW w:w="2400" w:type="dxa"/>
            <w:shd w:val="clear" w:color="auto" w:fill="auto"/>
          </w:tcPr>
          <w:p w14:paraId="15794939" w14:textId="77777777" w:rsidR="00872C03" w:rsidRPr="00883399" w:rsidRDefault="00872C03" w:rsidP="0031057E">
            <w:pPr>
              <w:pStyle w:val="Tabletext0"/>
              <w:rPr>
                <w:sz w:val="22"/>
              </w:rPr>
            </w:pPr>
            <w:r w:rsidRPr="00883399">
              <w:rPr>
                <w:sz w:val="22"/>
              </w:rPr>
              <w:t xml:space="preserve">Butane </w:t>
            </w:r>
          </w:p>
        </w:tc>
        <w:tc>
          <w:tcPr>
            <w:tcW w:w="1920" w:type="dxa"/>
            <w:shd w:val="clear" w:color="auto" w:fill="auto"/>
          </w:tcPr>
          <w:p w14:paraId="68FAD517" w14:textId="77777777" w:rsidR="00872C03" w:rsidRPr="00883399" w:rsidRDefault="00872C03" w:rsidP="0031057E">
            <w:pPr>
              <w:pStyle w:val="Tabletext0"/>
              <w:rPr>
                <w:sz w:val="22"/>
              </w:rPr>
            </w:pPr>
            <w:r w:rsidRPr="00883399">
              <w:rPr>
                <w:sz w:val="22"/>
              </w:rPr>
              <w:t>58.123</w:t>
            </w:r>
          </w:p>
        </w:tc>
        <w:tc>
          <w:tcPr>
            <w:tcW w:w="2280" w:type="dxa"/>
            <w:shd w:val="clear" w:color="auto" w:fill="auto"/>
          </w:tcPr>
          <w:p w14:paraId="79CDB4D5" w14:textId="77777777" w:rsidR="00872C03" w:rsidRPr="00883399" w:rsidRDefault="00872C03" w:rsidP="0031057E">
            <w:pPr>
              <w:pStyle w:val="Tabletext0"/>
              <w:rPr>
                <w:sz w:val="22"/>
              </w:rPr>
            </w:pPr>
            <w:r w:rsidRPr="00883399">
              <w:rPr>
                <w:sz w:val="22"/>
              </w:rPr>
              <w:t>4</w:t>
            </w:r>
          </w:p>
        </w:tc>
      </w:tr>
      <w:tr w:rsidR="00872C03" w:rsidRPr="00883399" w14:paraId="676CF5AA" w14:textId="77777777" w:rsidTr="0031057E">
        <w:tc>
          <w:tcPr>
            <w:tcW w:w="840" w:type="dxa"/>
            <w:shd w:val="clear" w:color="auto" w:fill="auto"/>
          </w:tcPr>
          <w:p w14:paraId="738BA3FA" w14:textId="77777777" w:rsidR="00872C03" w:rsidRPr="00883399" w:rsidRDefault="00872C03" w:rsidP="0031057E">
            <w:pPr>
              <w:pStyle w:val="Tabletext0"/>
              <w:rPr>
                <w:sz w:val="22"/>
              </w:rPr>
            </w:pPr>
            <w:r w:rsidRPr="00883399">
              <w:rPr>
                <w:sz w:val="22"/>
              </w:rPr>
              <w:t>5</w:t>
            </w:r>
          </w:p>
        </w:tc>
        <w:tc>
          <w:tcPr>
            <w:tcW w:w="2400" w:type="dxa"/>
            <w:shd w:val="clear" w:color="auto" w:fill="auto"/>
          </w:tcPr>
          <w:p w14:paraId="4F1EA242" w14:textId="77777777" w:rsidR="00872C03" w:rsidRPr="00883399" w:rsidRDefault="00872C03" w:rsidP="0031057E">
            <w:pPr>
              <w:pStyle w:val="Tabletext0"/>
              <w:rPr>
                <w:sz w:val="22"/>
              </w:rPr>
            </w:pPr>
            <w:r w:rsidRPr="00883399">
              <w:rPr>
                <w:sz w:val="22"/>
              </w:rPr>
              <w:t xml:space="preserve">Pentane </w:t>
            </w:r>
          </w:p>
        </w:tc>
        <w:tc>
          <w:tcPr>
            <w:tcW w:w="1920" w:type="dxa"/>
            <w:shd w:val="clear" w:color="auto" w:fill="auto"/>
          </w:tcPr>
          <w:p w14:paraId="6543A24E" w14:textId="77777777" w:rsidR="00872C03" w:rsidRPr="00883399" w:rsidRDefault="00872C03" w:rsidP="0031057E">
            <w:pPr>
              <w:pStyle w:val="Tabletext0"/>
              <w:rPr>
                <w:sz w:val="22"/>
              </w:rPr>
            </w:pPr>
            <w:r w:rsidRPr="00883399">
              <w:rPr>
                <w:sz w:val="22"/>
              </w:rPr>
              <w:t>72.150</w:t>
            </w:r>
          </w:p>
        </w:tc>
        <w:tc>
          <w:tcPr>
            <w:tcW w:w="2280" w:type="dxa"/>
            <w:shd w:val="clear" w:color="auto" w:fill="auto"/>
          </w:tcPr>
          <w:p w14:paraId="6EB66C7D" w14:textId="77777777" w:rsidR="00872C03" w:rsidRPr="00883399" w:rsidRDefault="00872C03" w:rsidP="0031057E">
            <w:pPr>
              <w:pStyle w:val="Tabletext0"/>
              <w:rPr>
                <w:sz w:val="22"/>
              </w:rPr>
            </w:pPr>
            <w:r w:rsidRPr="00883399">
              <w:rPr>
                <w:sz w:val="22"/>
              </w:rPr>
              <w:t>5</w:t>
            </w:r>
          </w:p>
        </w:tc>
      </w:tr>
      <w:tr w:rsidR="00872C03" w:rsidRPr="00883399" w14:paraId="79088927" w14:textId="77777777" w:rsidTr="0031057E">
        <w:tc>
          <w:tcPr>
            <w:tcW w:w="840" w:type="dxa"/>
            <w:shd w:val="clear" w:color="auto" w:fill="auto"/>
          </w:tcPr>
          <w:p w14:paraId="5A195725" w14:textId="77777777" w:rsidR="00872C03" w:rsidRPr="00883399" w:rsidRDefault="00872C03" w:rsidP="0031057E">
            <w:pPr>
              <w:pStyle w:val="Tabletext0"/>
              <w:rPr>
                <w:sz w:val="22"/>
              </w:rPr>
            </w:pPr>
            <w:r w:rsidRPr="00883399">
              <w:rPr>
                <w:sz w:val="22"/>
              </w:rPr>
              <w:t>6</w:t>
            </w:r>
          </w:p>
        </w:tc>
        <w:tc>
          <w:tcPr>
            <w:tcW w:w="2400" w:type="dxa"/>
            <w:shd w:val="clear" w:color="auto" w:fill="auto"/>
          </w:tcPr>
          <w:p w14:paraId="1930FEDC" w14:textId="77777777" w:rsidR="00872C03" w:rsidRPr="00883399" w:rsidRDefault="00872C03" w:rsidP="0031057E">
            <w:pPr>
              <w:pStyle w:val="Tabletext0"/>
              <w:rPr>
                <w:sz w:val="22"/>
              </w:rPr>
            </w:pPr>
            <w:r w:rsidRPr="00883399">
              <w:rPr>
                <w:sz w:val="22"/>
              </w:rPr>
              <w:t xml:space="preserve">Carbon monoxide </w:t>
            </w:r>
          </w:p>
        </w:tc>
        <w:tc>
          <w:tcPr>
            <w:tcW w:w="1920" w:type="dxa"/>
            <w:shd w:val="clear" w:color="auto" w:fill="auto"/>
          </w:tcPr>
          <w:p w14:paraId="07ADFE4A" w14:textId="77777777" w:rsidR="00872C03" w:rsidRPr="00883399" w:rsidRDefault="00872C03" w:rsidP="0031057E">
            <w:pPr>
              <w:pStyle w:val="Tabletext0"/>
              <w:rPr>
                <w:sz w:val="22"/>
              </w:rPr>
            </w:pPr>
            <w:r w:rsidRPr="00883399">
              <w:rPr>
                <w:sz w:val="22"/>
              </w:rPr>
              <w:t>28.016</w:t>
            </w:r>
          </w:p>
        </w:tc>
        <w:tc>
          <w:tcPr>
            <w:tcW w:w="2280" w:type="dxa"/>
            <w:shd w:val="clear" w:color="auto" w:fill="auto"/>
          </w:tcPr>
          <w:p w14:paraId="3901117C" w14:textId="77777777" w:rsidR="00872C03" w:rsidRPr="00883399" w:rsidRDefault="00872C03" w:rsidP="0031057E">
            <w:pPr>
              <w:pStyle w:val="Tabletext0"/>
              <w:rPr>
                <w:sz w:val="22"/>
              </w:rPr>
            </w:pPr>
            <w:r w:rsidRPr="00883399">
              <w:rPr>
                <w:sz w:val="22"/>
              </w:rPr>
              <w:t>1</w:t>
            </w:r>
          </w:p>
        </w:tc>
      </w:tr>
      <w:tr w:rsidR="00872C03" w:rsidRPr="00883399" w14:paraId="203BA38D" w14:textId="77777777" w:rsidTr="0031057E">
        <w:tc>
          <w:tcPr>
            <w:tcW w:w="840" w:type="dxa"/>
            <w:shd w:val="clear" w:color="auto" w:fill="auto"/>
          </w:tcPr>
          <w:p w14:paraId="57828578" w14:textId="77777777" w:rsidR="00872C03" w:rsidRPr="00883399" w:rsidRDefault="00872C03" w:rsidP="0031057E">
            <w:pPr>
              <w:pStyle w:val="Tabletext0"/>
              <w:rPr>
                <w:sz w:val="22"/>
              </w:rPr>
            </w:pPr>
            <w:r w:rsidRPr="00883399">
              <w:rPr>
                <w:sz w:val="22"/>
              </w:rPr>
              <w:t>7</w:t>
            </w:r>
          </w:p>
        </w:tc>
        <w:tc>
          <w:tcPr>
            <w:tcW w:w="2400" w:type="dxa"/>
            <w:shd w:val="clear" w:color="auto" w:fill="auto"/>
          </w:tcPr>
          <w:p w14:paraId="45472070" w14:textId="77777777" w:rsidR="00872C03" w:rsidRPr="00883399" w:rsidRDefault="00872C03" w:rsidP="0031057E">
            <w:pPr>
              <w:pStyle w:val="Tabletext0"/>
              <w:rPr>
                <w:sz w:val="22"/>
              </w:rPr>
            </w:pPr>
            <w:r w:rsidRPr="00883399">
              <w:rPr>
                <w:sz w:val="22"/>
              </w:rPr>
              <w:t xml:space="preserve">Hydrogen </w:t>
            </w:r>
          </w:p>
        </w:tc>
        <w:tc>
          <w:tcPr>
            <w:tcW w:w="1920" w:type="dxa"/>
            <w:shd w:val="clear" w:color="auto" w:fill="auto"/>
          </w:tcPr>
          <w:p w14:paraId="54B44C57" w14:textId="77777777" w:rsidR="00872C03" w:rsidRPr="00883399" w:rsidRDefault="00872C03" w:rsidP="0031057E">
            <w:pPr>
              <w:pStyle w:val="Tabletext0"/>
              <w:rPr>
                <w:sz w:val="22"/>
              </w:rPr>
            </w:pPr>
            <w:r w:rsidRPr="00883399">
              <w:rPr>
                <w:sz w:val="22"/>
              </w:rPr>
              <w:t>2.016</w:t>
            </w:r>
          </w:p>
        </w:tc>
        <w:tc>
          <w:tcPr>
            <w:tcW w:w="2280" w:type="dxa"/>
            <w:shd w:val="clear" w:color="auto" w:fill="auto"/>
          </w:tcPr>
          <w:p w14:paraId="23E195C6" w14:textId="77777777" w:rsidR="00872C03" w:rsidRPr="00883399" w:rsidRDefault="00872C03" w:rsidP="0031057E">
            <w:pPr>
              <w:pStyle w:val="Tabletext0"/>
              <w:rPr>
                <w:sz w:val="22"/>
              </w:rPr>
            </w:pPr>
            <w:r w:rsidRPr="00883399">
              <w:rPr>
                <w:sz w:val="22"/>
              </w:rPr>
              <w:t>0</w:t>
            </w:r>
          </w:p>
        </w:tc>
      </w:tr>
      <w:tr w:rsidR="00872C03" w:rsidRPr="00883399" w14:paraId="38C9A847" w14:textId="77777777" w:rsidTr="0031057E">
        <w:tc>
          <w:tcPr>
            <w:tcW w:w="840" w:type="dxa"/>
            <w:shd w:val="clear" w:color="auto" w:fill="auto"/>
          </w:tcPr>
          <w:p w14:paraId="2AFE0ACD" w14:textId="77777777" w:rsidR="00872C03" w:rsidRPr="00883399" w:rsidRDefault="00872C03" w:rsidP="0031057E">
            <w:pPr>
              <w:pStyle w:val="Tabletext0"/>
              <w:rPr>
                <w:sz w:val="22"/>
              </w:rPr>
            </w:pPr>
            <w:r w:rsidRPr="00883399">
              <w:rPr>
                <w:sz w:val="22"/>
              </w:rPr>
              <w:t>8</w:t>
            </w:r>
          </w:p>
        </w:tc>
        <w:tc>
          <w:tcPr>
            <w:tcW w:w="2400" w:type="dxa"/>
            <w:shd w:val="clear" w:color="auto" w:fill="auto"/>
          </w:tcPr>
          <w:p w14:paraId="6EF12540" w14:textId="77777777" w:rsidR="00872C03" w:rsidRPr="00883399" w:rsidRDefault="00872C03" w:rsidP="0031057E">
            <w:pPr>
              <w:pStyle w:val="Tabletext0"/>
              <w:rPr>
                <w:sz w:val="22"/>
              </w:rPr>
            </w:pPr>
            <w:r w:rsidRPr="00883399">
              <w:rPr>
                <w:sz w:val="22"/>
              </w:rPr>
              <w:t xml:space="preserve">Hydrogen sulphide </w:t>
            </w:r>
          </w:p>
        </w:tc>
        <w:tc>
          <w:tcPr>
            <w:tcW w:w="1920" w:type="dxa"/>
            <w:shd w:val="clear" w:color="auto" w:fill="auto"/>
          </w:tcPr>
          <w:p w14:paraId="342EECBB" w14:textId="77777777" w:rsidR="00872C03" w:rsidRPr="00883399" w:rsidRDefault="00872C03" w:rsidP="0031057E">
            <w:pPr>
              <w:pStyle w:val="Tabletext0"/>
              <w:rPr>
                <w:sz w:val="22"/>
              </w:rPr>
            </w:pPr>
            <w:r w:rsidRPr="00883399">
              <w:rPr>
                <w:sz w:val="22"/>
              </w:rPr>
              <w:t>34.082</w:t>
            </w:r>
          </w:p>
        </w:tc>
        <w:tc>
          <w:tcPr>
            <w:tcW w:w="2280" w:type="dxa"/>
            <w:shd w:val="clear" w:color="auto" w:fill="auto"/>
          </w:tcPr>
          <w:p w14:paraId="073C8BBE" w14:textId="77777777" w:rsidR="00872C03" w:rsidRPr="00883399" w:rsidRDefault="00872C03" w:rsidP="0031057E">
            <w:pPr>
              <w:pStyle w:val="Tabletext0"/>
              <w:rPr>
                <w:sz w:val="22"/>
              </w:rPr>
            </w:pPr>
            <w:r w:rsidRPr="00883399">
              <w:rPr>
                <w:sz w:val="22"/>
              </w:rPr>
              <w:t>0</w:t>
            </w:r>
          </w:p>
        </w:tc>
      </w:tr>
      <w:tr w:rsidR="00872C03" w:rsidRPr="00883399" w14:paraId="71D47D86" w14:textId="77777777" w:rsidTr="0031057E">
        <w:tc>
          <w:tcPr>
            <w:tcW w:w="840" w:type="dxa"/>
            <w:shd w:val="clear" w:color="auto" w:fill="auto"/>
          </w:tcPr>
          <w:p w14:paraId="2B4984BC" w14:textId="77777777" w:rsidR="00872C03" w:rsidRPr="00883399" w:rsidRDefault="00872C03" w:rsidP="0031057E">
            <w:pPr>
              <w:pStyle w:val="Tabletext0"/>
              <w:rPr>
                <w:sz w:val="22"/>
              </w:rPr>
            </w:pPr>
            <w:r w:rsidRPr="00883399">
              <w:rPr>
                <w:sz w:val="22"/>
              </w:rPr>
              <w:t>9</w:t>
            </w:r>
          </w:p>
        </w:tc>
        <w:tc>
          <w:tcPr>
            <w:tcW w:w="2400" w:type="dxa"/>
            <w:shd w:val="clear" w:color="auto" w:fill="auto"/>
          </w:tcPr>
          <w:p w14:paraId="3E75EB13" w14:textId="77777777" w:rsidR="00872C03" w:rsidRPr="00883399" w:rsidRDefault="00872C03" w:rsidP="0031057E">
            <w:pPr>
              <w:pStyle w:val="Tabletext0"/>
              <w:rPr>
                <w:sz w:val="22"/>
              </w:rPr>
            </w:pPr>
            <w:r w:rsidRPr="00883399">
              <w:rPr>
                <w:sz w:val="22"/>
              </w:rPr>
              <w:t xml:space="preserve">Oxygen </w:t>
            </w:r>
          </w:p>
        </w:tc>
        <w:tc>
          <w:tcPr>
            <w:tcW w:w="1920" w:type="dxa"/>
            <w:shd w:val="clear" w:color="auto" w:fill="auto"/>
          </w:tcPr>
          <w:p w14:paraId="4CC81C61" w14:textId="77777777" w:rsidR="00872C03" w:rsidRPr="00883399" w:rsidRDefault="00872C03" w:rsidP="0031057E">
            <w:pPr>
              <w:pStyle w:val="Tabletext0"/>
              <w:rPr>
                <w:sz w:val="22"/>
              </w:rPr>
            </w:pPr>
            <w:r w:rsidRPr="00883399">
              <w:rPr>
                <w:sz w:val="22"/>
              </w:rPr>
              <w:t>31.999</w:t>
            </w:r>
          </w:p>
        </w:tc>
        <w:tc>
          <w:tcPr>
            <w:tcW w:w="2280" w:type="dxa"/>
            <w:shd w:val="clear" w:color="auto" w:fill="auto"/>
          </w:tcPr>
          <w:p w14:paraId="33F5A555" w14:textId="77777777" w:rsidR="00872C03" w:rsidRPr="00883399" w:rsidRDefault="00872C03" w:rsidP="0031057E">
            <w:pPr>
              <w:pStyle w:val="Tabletext0"/>
              <w:rPr>
                <w:sz w:val="22"/>
              </w:rPr>
            </w:pPr>
            <w:r w:rsidRPr="00883399">
              <w:rPr>
                <w:sz w:val="22"/>
              </w:rPr>
              <w:t>0</w:t>
            </w:r>
          </w:p>
        </w:tc>
      </w:tr>
      <w:tr w:rsidR="00872C03" w:rsidRPr="00883399" w14:paraId="4864395E" w14:textId="77777777" w:rsidTr="0031057E">
        <w:tc>
          <w:tcPr>
            <w:tcW w:w="840" w:type="dxa"/>
            <w:shd w:val="clear" w:color="auto" w:fill="auto"/>
          </w:tcPr>
          <w:p w14:paraId="7FE0811A" w14:textId="77777777" w:rsidR="00872C03" w:rsidRPr="00883399" w:rsidRDefault="00872C03" w:rsidP="0031057E">
            <w:pPr>
              <w:pStyle w:val="Tabletext0"/>
              <w:rPr>
                <w:sz w:val="22"/>
              </w:rPr>
            </w:pPr>
            <w:r w:rsidRPr="00883399">
              <w:rPr>
                <w:sz w:val="22"/>
              </w:rPr>
              <w:t>10</w:t>
            </w:r>
          </w:p>
        </w:tc>
        <w:tc>
          <w:tcPr>
            <w:tcW w:w="2400" w:type="dxa"/>
            <w:shd w:val="clear" w:color="auto" w:fill="auto"/>
          </w:tcPr>
          <w:p w14:paraId="62C5B35C" w14:textId="77777777" w:rsidR="00872C03" w:rsidRPr="00883399" w:rsidRDefault="00872C03" w:rsidP="0031057E">
            <w:pPr>
              <w:pStyle w:val="Tabletext0"/>
              <w:rPr>
                <w:sz w:val="22"/>
              </w:rPr>
            </w:pPr>
            <w:r w:rsidRPr="00883399">
              <w:rPr>
                <w:sz w:val="22"/>
              </w:rPr>
              <w:t xml:space="preserve">Water </w:t>
            </w:r>
          </w:p>
        </w:tc>
        <w:tc>
          <w:tcPr>
            <w:tcW w:w="1920" w:type="dxa"/>
            <w:shd w:val="clear" w:color="auto" w:fill="auto"/>
          </w:tcPr>
          <w:p w14:paraId="557EC66F" w14:textId="77777777" w:rsidR="00872C03" w:rsidRPr="00883399" w:rsidRDefault="00872C03" w:rsidP="0031057E">
            <w:pPr>
              <w:pStyle w:val="Tabletext0"/>
              <w:rPr>
                <w:sz w:val="22"/>
              </w:rPr>
            </w:pPr>
            <w:r w:rsidRPr="00883399">
              <w:rPr>
                <w:sz w:val="22"/>
              </w:rPr>
              <w:t>18.015</w:t>
            </w:r>
          </w:p>
        </w:tc>
        <w:tc>
          <w:tcPr>
            <w:tcW w:w="2280" w:type="dxa"/>
            <w:shd w:val="clear" w:color="auto" w:fill="auto"/>
          </w:tcPr>
          <w:p w14:paraId="7B8F6D62" w14:textId="77777777" w:rsidR="00872C03" w:rsidRPr="00883399" w:rsidRDefault="00872C03" w:rsidP="0031057E">
            <w:pPr>
              <w:pStyle w:val="Tabletext0"/>
              <w:rPr>
                <w:sz w:val="22"/>
              </w:rPr>
            </w:pPr>
            <w:r w:rsidRPr="00883399">
              <w:rPr>
                <w:sz w:val="22"/>
              </w:rPr>
              <w:t>0</w:t>
            </w:r>
          </w:p>
        </w:tc>
      </w:tr>
      <w:tr w:rsidR="00872C03" w:rsidRPr="00883399" w14:paraId="1605A45C" w14:textId="77777777" w:rsidTr="0031057E">
        <w:tc>
          <w:tcPr>
            <w:tcW w:w="840" w:type="dxa"/>
            <w:shd w:val="clear" w:color="auto" w:fill="auto"/>
          </w:tcPr>
          <w:p w14:paraId="47F9B339" w14:textId="77777777" w:rsidR="00872C03" w:rsidRPr="00883399" w:rsidRDefault="00872C03" w:rsidP="0031057E">
            <w:pPr>
              <w:pStyle w:val="Tabletext0"/>
              <w:rPr>
                <w:sz w:val="22"/>
              </w:rPr>
            </w:pPr>
            <w:r w:rsidRPr="00883399">
              <w:rPr>
                <w:sz w:val="22"/>
              </w:rPr>
              <w:t>11</w:t>
            </w:r>
          </w:p>
        </w:tc>
        <w:tc>
          <w:tcPr>
            <w:tcW w:w="2400" w:type="dxa"/>
            <w:shd w:val="clear" w:color="auto" w:fill="auto"/>
          </w:tcPr>
          <w:p w14:paraId="515D7702" w14:textId="77777777" w:rsidR="00872C03" w:rsidRPr="00883399" w:rsidRDefault="00872C03" w:rsidP="0031057E">
            <w:pPr>
              <w:pStyle w:val="Tabletext0"/>
              <w:rPr>
                <w:sz w:val="22"/>
              </w:rPr>
            </w:pPr>
            <w:r w:rsidRPr="00883399">
              <w:rPr>
                <w:sz w:val="22"/>
              </w:rPr>
              <w:t xml:space="preserve">Nitrogen </w:t>
            </w:r>
          </w:p>
        </w:tc>
        <w:tc>
          <w:tcPr>
            <w:tcW w:w="1920" w:type="dxa"/>
            <w:shd w:val="clear" w:color="auto" w:fill="auto"/>
          </w:tcPr>
          <w:p w14:paraId="09AB77BF" w14:textId="77777777" w:rsidR="00872C03" w:rsidRPr="00883399" w:rsidRDefault="00872C03" w:rsidP="0031057E">
            <w:pPr>
              <w:pStyle w:val="Tabletext0"/>
              <w:rPr>
                <w:sz w:val="22"/>
              </w:rPr>
            </w:pPr>
            <w:r w:rsidRPr="00883399">
              <w:rPr>
                <w:sz w:val="22"/>
              </w:rPr>
              <w:t>28.013</w:t>
            </w:r>
          </w:p>
        </w:tc>
        <w:tc>
          <w:tcPr>
            <w:tcW w:w="2280" w:type="dxa"/>
            <w:shd w:val="clear" w:color="auto" w:fill="auto"/>
          </w:tcPr>
          <w:p w14:paraId="121DA312" w14:textId="77777777" w:rsidR="00872C03" w:rsidRPr="00883399" w:rsidRDefault="00872C03" w:rsidP="0031057E">
            <w:pPr>
              <w:pStyle w:val="Tabletext0"/>
              <w:rPr>
                <w:sz w:val="22"/>
              </w:rPr>
            </w:pPr>
            <w:r w:rsidRPr="00883399">
              <w:rPr>
                <w:sz w:val="22"/>
              </w:rPr>
              <w:t>0</w:t>
            </w:r>
          </w:p>
        </w:tc>
      </w:tr>
      <w:tr w:rsidR="00872C03" w:rsidRPr="00883399" w14:paraId="4201486E" w14:textId="77777777" w:rsidTr="0031057E">
        <w:tc>
          <w:tcPr>
            <w:tcW w:w="840" w:type="dxa"/>
            <w:tcBorders>
              <w:bottom w:val="single" w:sz="4" w:space="0" w:color="auto"/>
            </w:tcBorders>
            <w:shd w:val="clear" w:color="auto" w:fill="auto"/>
          </w:tcPr>
          <w:p w14:paraId="717F2773" w14:textId="77777777" w:rsidR="00872C03" w:rsidRPr="00883399" w:rsidRDefault="00872C03" w:rsidP="0031057E">
            <w:pPr>
              <w:pStyle w:val="Tabletext0"/>
              <w:rPr>
                <w:sz w:val="22"/>
              </w:rPr>
            </w:pPr>
            <w:r w:rsidRPr="00883399">
              <w:rPr>
                <w:sz w:val="22"/>
              </w:rPr>
              <w:t>12</w:t>
            </w:r>
          </w:p>
        </w:tc>
        <w:tc>
          <w:tcPr>
            <w:tcW w:w="2400" w:type="dxa"/>
            <w:tcBorders>
              <w:bottom w:val="single" w:sz="4" w:space="0" w:color="auto"/>
            </w:tcBorders>
            <w:shd w:val="clear" w:color="auto" w:fill="auto"/>
          </w:tcPr>
          <w:p w14:paraId="3619524D" w14:textId="77777777" w:rsidR="00872C03" w:rsidRPr="00883399" w:rsidRDefault="00872C03" w:rsidP="0031057E">
            <w:pPr>
              <w:pStyle w:val="Tabletext0"/>
              <w:rPr>
                <w:sz w:val="22"/>
              </w:rPr>
            </w:pPr>
            <w:r w:rsidRPr="00883399">
              <w:rPr>
                <w:sz w:val="22"/>
              </w:rPr>
              <w:t>Argon</w:t>
            </w:r>
          </w:p>
        </w:tc>
        <w:tc>
          <w:tcPr>
            <w:tcW w:w="1920" w:type="dxa"/>
            <w:tcBorders>
              <w:bottom w:val="single" w:sz="4" w:space="0" w:color="auto"/>
            </w:tcBorders>
            <w:shd w:val="clear" w:color="auto" w:fill="auto"/>
          </w:tcPr>
          <w:p w14:paraId="047720A1" w14:textId="77777777" w:rsidR="00872C03" w:rsidRPr="00883399" w:rsidRDefault="00872C03" w:rsidP="0031057E">
            <w:pPr>
              <w:pStyle w:val="Tabletext0"/>
              <w:rPr>
                <w:sz w:val="22"/>
              </w:rPr>
            </w:pPr>
            <w:r w:rsidRPr="00883399">
              <w:rPr>
                <w:sz w:val="22"/>
              </w:rPr>
              <w:t>39.948</w:t>
            </w:r>
          </w:p>
        </w:tc>
        <w:tc>
          <w:tcPr>
            <w:tcW w:w="2280" w:type="dxa"/>
            <w:tcBorders>
              <w:bottom w:val="single" w:sz="4" w:space="0" w:color="auto"/>
            </w:tcBorders>
            <w:shd w:val="clear" w:color="auto" w:fill="auto"/>
          </w:tcPr>
          <w:p w14:paraId="692B6CFE" w14:textId="77777777" w:rsidR="00872C03" w:rsidRPr="00883399" w:rsidRDefault="00872C03" w:rsidP="0031057E">
            <w:pPr>
              <w:pStyle w:val="Tabletext0"/>
              <w:rPr>
                <w:sz w:val="22"/>
              </w:rPr>
            </w:pPr>
            <w:r w:rsidRPr="00883399">
              <w:rPr>
                <w:sz w:val="22"/>
              </w:rPr>
              <w:t>0</w:t>
            </w:r>
          </w:p>
        </w:tc>
      </w:tr>
      <w:tr w:rsidR="00872C03" w:rsidRPr="00883399" w14:paraId="1C133D01" w14:textId="77777777" w:rsidTr="0031057E">
        <w:tc>
          <w:tcPr>
            <w:tcW w:w="840" w:type="dxa"/>
            <w:tcBorders>
              <w:bottom w:val="single" w:sz="12" w:space="0" w:color="auto"/>
            </w:tcBorders>
            <w:shd w:val="clear" w:color="auto" w:fill="auto"/>
          </w:tcPr>
          <w:p w14:paraId="46447CFA" w14:textId="77777777" w:rsidR="00872C03" w:rsidRPr="00883399" w:rsidRDefault="00872C03" w:rsidP="0031057E">
            <w:pPr>
              <w:pStyle w:val="Tabletext0"/>
              <w:rPr>
                <w:sz w:val="22"/>
              </w:rPr>
            </w:pPr>
            <w:r w:rsidRPr="00883399">
              <w:rPr>
                <w:sz w:val="22"/>
              </w:rPr>
              <w:t>13</w:t>
            </w:r>
          </w:p>
        </w:tc>
        <w:tc>
          <w:tcPr>
            <w:tcW w:w="2400" w:type="dxa"/>
            <w:tcBorders>
              <w:bottom w:val="single" w:sz="12" w:space="0" w:color="auto"/>
            </w:tcBorders>
            <w:shd w:val="clear" w:color="auto" w:fill="auto"/>
          </w:tcPr>
          <w:p w14:paraId="4C7B5491" w14:textId="77777777" w:rsidR="00872C03" w:rsidRPr="00883399" w:rsidRDefault="00872C03" w:rsidP="0031057E">
            <w:pPr>
              <w:pStyle w:val="Tabletext0"/>
              <w:rPr>
                <w:sz w:val="22"/>
              </w:rPr>
            </w:pPr>
            <w:r w:rsidRPr="00883399">
              <w:rPr>
                <w:sz w:val="22"/>
              </w:rPr>
              <w:t xml:space="preserve">Carbon dioxide </w:t>
            </w:r>
          </w:p>
        </w:tc>
        <w:tc>
          <w:tcPr>
            <w:tcW w:w="1920" w:type="dxa"/>
            <w:tcBorders>
              <w:bottom w:val="single" w:sz="12" w:space="0" w:color="auto"/>
            </w:tcBorders>
            <w:shd w:val="clear" w:color="auto" w:fill="auto"/>
          </w:tcPr>
          <w:p w14:paraId="32681F09" w14:textId="77777777" w:rsidR="00872C03" w:rsidRPr="00883399" w:rsidRDefault="00872C03" w:rsidP="0031057E">
            <w:pPr>
              <w:pStyle w:val="Tabletext0"/>
              <w:rPr>
                <w:sz w:val="22"/>
              </w:rPr>
            </w:pPr>
            <w:r w:rsidRPr="00883399">
              <w:rPr>
                <w:sz w:val="22"/>
              </w:rPr>
              <w:t>44.010</w:t>
            </w:r>
          </w:p>
        </w:tc>
        <w:tc>
          <w:tcPr>
            <w:tcW w:w="2280" w:type="dxa"/>
            <w:tcBorders>
              <w:bottom w:val="single" w:sz="12" w:space="0" w:color="auto"/>
            </w:tcBorders>
            <w:shd w:val="clear" w:color="auto" w:fill="auto"/>
          </w:tcPr>
          <w:p w14:paraId="5F7B665F" w14:textId="77777777" w:rsidR="00872C03" w:rsidRPr="00883399" w:rsidRDefault="00872C03" w:rsidP="0031057E">
            <w:pPr>
              <w:pStyle w:val="Tabletext0"/>
              <w:rPr>
                <w:sz w:val="22"/>
              </w:rPr>
            </w:pPr>
            <w:r w:rsidRPr="00883399">
              <w:rPr>
                <w:sz w:val="22"/>
              </w:rPr>
              <w:t>1</w:t>
            </w:r>
          </w:p>
        </w:tc>
      </w:tr>
    </w:tbl>
    <w:p w14:paraId="291817D2" w14:textId="77777777" w:rsidR="00872C03" w:rsidRPr="00883399" w:rsidRDefault="00872C03" w:rsidP="00872C03">
      <w:pPr>
        <w:pStyle w:val="subsection"/>
        <w:rPr>
          <w:sz w:val="24"/>
        </w:rPr>
      </w:pPr>
      <w:r w:rsidRPr="00883399">
        <w:rPr>
          <w:sz w:val="24"/>
        </w:rPr>
        <w:tab/>
        <w:t>(4)</w:t>
      </w:r>
      <w:r w:rsidRPr="00883399">
        <w:rPr>
          <w:sz w:val="24"/>
        </w:rPr>
        <w:tab/>
        <w:t>The carbon dioxide</w:t>
      </w:r>
      <w:r w:rsidRPr="00883399">
        <w:rPr>
          <w:sz w:val="24"/>
          <w:vertAlign w:val="subscript"/>
        </w:rPr>
        <w:t xml:space="preserve"> </w:t>
      </w:r>
      <w:r w:rsidRPr="00883399">
        <w:rPr>
          <w:sz w:val="24"/>
        </w:rPr>
        <w:t xml:space="preserve">emission factor </w:t>
      </w:r>
      <w:r w:rsidRPr="00883399">
        <w:rPr>
          <w:b/>
          <w:i/>
          <w:sz w:val="24"/>
        </w:rPr>
        <w:t>EF</w:t>
      </w:r>
      <w:r w:rsidRPr="00883399">
        <w:rPr>
          <w:b/>
          <w:i/>
          <w:sz w:val="24"/>
          <w:vertAlign w:val="subscript"/>
        </w:rPr>
        <w:t>iCO</w:t>
      </w:r>
      <w:r w:rsidRPr="00883399">
        <w:rPr>
          <w:b/>
          <w:i/>
          <w:position w:val="-6"/>
          <w:sz w:val="24"/>
          <w:vertAlign w:val="subscript"/>
        </w:rPr>
        <w:t>2</w:t>
      </w:r>
      <w:r w:rsidRPr="00883399">
        <w:rPr>
          <w:b/>
          <w:i/>
          <w:sz w:val="24"/>
          <w:vertAlign w:val="subscript"/>
        </w:rPr>
        <w:t>oxec</w:t>
      </w:r>
      <w:r w:rsidRPr="00883399">
        <w:rPr>
          <w:sz w:val="24"/>
        </w:rPr>
        <w:t xml:space="preserve"> derived from the calculation in subsection (1) must be expressed in terms of kilograms of carbon dioxide</w:t>
      </w:r>
      <w:r w:rsidRPr="00883399">
        <w:rPr>
          <w:sz w:val="24"/>
          <w:vertAlign w:val="subscript"/>
        </w:rPr>
        <w:t xml:space="preserve"> </w:t>
      </w:r>
      <w:r w:rsidRPr="00883399">
        <w:rPr>
          <w:sz w:val="24"/>
        </w:rPr>
        <w:t>per gigajoule calculated using the following formula:</w:t>
      </w:r>
    </w:p>
    <w:p w14:paraId="1C569F92" w14:textId="6BE55894"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10562D00" wp14:editId="55091910">
            <wp:extent cx="2149475" cy="487045"/>
            <wp:effectExtent l="19050" t="0" r="317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53"/>
                    <a:srcRect/>
                    <a:stretch>
                      <a:fillRect/>
                    </a:stretch>
                  </pic:blipFill>
                  <pic:spPr bwMode="auto">
                    <a:xfrm>
                      <a:off x="0" y="0"/>
                      <a:ext cx="2149475" cy="487045"/>
                    </a:xfrm>
                    <a:prstGeom prst="rect">
                      <a:avLst/>
                    </a:prstGeom>
                    <a:noFill/>
                    <a:ln w="9525">
                      <a:noFill/>
                      <a:miter lim="800000"/>
                      <a:headEnd/>
                      <a:tailEnd/>
                    </a:ln>
                  </pic:spPr>
                </pic:pic>
              </a:graphicData>
            </a:graphic>
          </wp:inline>
        </w:drawing>
      </w:r>
    </w:p>
    <w:p w14:paraId="42345411" w14:textId="77777777" w:rsidR="00872C03" w:rsidRPr="00883399" w:rsidRDefault="00872C03" w:rsidP="00872C03">
      <w:pPr>
        <w:pStyle w:val="subsection2"/>
        <w:rPr>
          <w:sz w:val="24"/>
        </w:rPr>
      </w:pPr>
      <w:r w:rsidRPr="00883399">
        <w:rPr>
          <w:sz w:val="24"/>
        </w:rPr>
        <w:t>where:</w:t>
      </w:r>
    </w:p>
    <w:p w14:paraId="6C89FA92" w14:textId="77777777" w:rsidR="00872C03" w:rsidRPr="00883399" w:rsidRDefault="00872C03" w:rsidP="00872C03">
      <w:pPr>
        <w:pStyle w:val="Definition0"/>
        <w:rPr>
          <w:sz w:val="24"/>
        </w:rPr>
      </w:pPr>
      <w:r w:rsidRPr="00883399">
        <w:rPr>
          <w:b/>
          <w:bCs/>
          <w:i/>
          <w:iCs/>
          <w:sz w:val="24"/>
        </w:rPr>
        <w:t>EC</w:t>
      </w:r>
      <w:r w:rsidRPr="00883399">
        <w:rPr>
          <w:rStyle w:val="charsubscript0"/>
          <w:b/>
          <w:bCs/>
          <w:i/>
          <w:iCs/>
          <w:sz w:val="24"/>
        </w:rPr>
        <w:t xml:space="preserve">i </w:t>
      </w:r>
      <w:r w:rsidRPr="00883399">
        <w:rPr>
          <w:sz w:val="24"/>
        </w:rPr>
        <w:t xml:space="preserve">is the energy content factor of fuel type </w:t>
      </w:r>
      <w:r w:rsidRPr="00883399">
        <w:rPr>
          <w:b/>
          <w:i/>
          <w:sz w:val="24"/>
        </w:rPr>
        <w:t>(i)</w:t>
      </w:r>
      <w:r w:rsidRPr="00883399">
        <w:rPr>
          <w:sz w:val="24"/>
        </w:rPr>
        <w:t>, measured in gigajoules per cubic metre that is:</w:t>
      </w:r>
    </w:p>
    <w:p w14:paraId="045EB08C" w14:textId="77777777" w:rsidR="00872C03" w:rsidRPr="00883399" w:rsidRDefault="00872C03" w:rsidP="00872C03">
      <w:pPr>
        <w:pStyle w:val="paragraph"/>
        <w:rPr>
          <w:sz w:val="24"/>
        </w:rPr>
      </w:pPr>
      <w:r w:rsidRPr="00883399">
        <w:rPr>
          <w:sz w:val="24"/>
        </w:rPr>
        <w:tab/>
        <w:t>(a)</w:t>
      </w:r>
      <w:r w:rsidRPr="00883399">
        <w:rPr>
          <w:sz w:val="24"/>
        </w:rPr>
        <w:tab/>
        <w:t>mentioned in column 3 of Part 2 of Schedule 1; or</w:t>
      </w:r>
    </w:p>
    <w:p w14:paraId="3FA7A7ED" w14:textId="77777777" w:rsidR="00872C03" w:rsidRPr="00883399" w:rsidRDefault="00872C03" w:rsidP="00872C03">
      <w:pPr>
        <w:pStyle w:val="paragraph"/>
        <w:rPr>
          <w:sz w:val="24"/>
        </w:rPr>
      </w:pPr>
      <w:r w:rsidRPr="00883399">
        <w:rPr>
          <w:sz w:val="24"/>
        </w:rPr>
        <w:tab/>
        <w:t>(b)</w:t>
      </w:r>
      <w:r w:rsidRPr="00883399">
        <w:rPr>
          <w:sz w:val="24"/>
        </w:rPr>
        <w:tab/>
        <w:t>estimated by analysis under Subdivision 2.3.3.2.</w:t>
      </w:r>
    </w:p>
    <w:p w14:paraId="1DE20A5D" w14:textId="77777777" w:rsidR="00872C03" w:rsidRPr="00883399" w:rsidRDefault="00872C03" w:rsidP="00872C03">
      <w:pPr>
        <w:pStyle w:val="Definition0"/>
        <w:rPr>
          <w:sz w:val="24"/>
        </w:rPr>
      </w:pPr>
      <w:r w:rsidRPr="00883399">
        <w:rPr>
          <w:b/>
          <w:i/>
          <w:sz w:val="24"/>
        </w:rPr>
        <w:lastRenderedPageBreak/>
        <w:t>C</w:t>
      </w:r>
      <w:r w:rsidRPr="00883399">
        <w:rPr>
          <w:b/>
          <w:i/>
          <w:sz w:val="24"/>
          <w:vertAlign w:val="subscript"/>
        </w:rPr>
        <w:t xml:space="preserve">i </w:t>
      </w:r>
      <w:r w:rsidRPr="00883399">
        <w:rPr>
          <w:sz w:val="24"/>
        </w:rPr>
        <w:t>is the density of fuel type (</w:t>
      </w:r>
      <w:r w:rsidRPr="00883399">
        <w:rPr>
          <w:b/>
          <w:i/>
          <w:sz w:val="24"/>
        </w:rPr>
        <w:t>i</w:t>
      </w:r>
      <w:r w:rsidRPr="00883399">
        <w:rPr>
          <w:sz w:val="24"/>
        </w:rPr>
        <w:t>) expressed in kilograms of fuel per cubic metre as obtained under subsection 2.24(4).</w:t>
      </w:r>
    </w:p>
    <w:p w14:paraId="03B44E68" w14:textId="3427D05D" w:rsidR="00872C03" w:rsidRPr="00883399" w:rsidRDefault="00872C03" w:rsidP="00872C03">
      <w:pPr>
        <w:pStyle w:val="ActHead4"/>
        <w:rPr>
          <w:rStyle w:val="CharSubdText"/>
          <w:sz w:val="28"/>
        </w:rPr>
      </w:pPr>
      <w:bookmarkStart w:id="229" w:name="_Toc423516770"/>
      <w:bookmarkStart w:id="230" w:name="_Toc495652686"/>
      <w:r w:rsidRPr="00883399">
        <w:rPr>
          <w:rStyle w:val="CharSubdNo"/>
          <w:sz w:val="28"/>
        </w:rPr>
        <w:t>Subdivision 2.3.3.2</w:t>
      </w:r>
      <w:r w:rsidRPr="00883399">
        <w:rPr>
          <w:sz w:val="28"/>
        </w:rPr>
        <w:t>—</w:t>
      </w:r>
      <w:r w:rsidRPr="00883399">
        <w:rPr>
          <w:rStyle w:val="CharSubdText"/>
          <w:sz w:val="28"/>
        </w:rPr>
        <w:t>Sampling and analysis</w:t>
      </w:r>
      <w:bookmarkEnd w:id="229"/>
      <w:bookmarkEnd w:id="230"/>
    </w:p>
    <w:p w14:paraId="37309D3C"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Under Method 2, representative and unbiased samples of fuels consumed must be obtained for analysis.  Analysis of the fuels for composition of constituent gases must be done in accordance with listed Australian or international standards.  A listing of applicable standards is given in Section 2.23.  Equivalent standards may also be selected.  Examples of equivalent standards include those produced by AS, NZ, ASTM, ISO and CEN standards organisations. The standards must be </w:t>
      </w:r>
      <w:r w:rsidRPr="00883399">
        <w:rPr>
          <w:rFonts w:ascii="Arial" w:hAnsi="Arial" w:cs="Arial"/>
          <w:color w:val="000000"/>
          <w:sz w:val="22"/>
          <w:szCs w:val="22"/>
        </w:rPr>
        <w:t>on the date stated in section 1.9</w:t>
      </w:r>
      <w:r w:rsidRPr="00883399">
        <w:rPr>
          <w:rFonts w:ascii="Arial" w:hAnsi="Arial" w:cs="Arial"/>
          <w:sz w:val="22"/>
          <w:szCs w:val="22"/>
        </w:rPr>
        <w:t xml:space="preserve">.  </w:t>
      </w:r>
    </w:p>
    <w:p w14:paraId="5F0CDC23"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A NATA (National Association of Testing Authorities) accredited laboratory or similar laboratory complying with ISO 17025 should be used to conduct the analysis.  </w:t>
      </w:r>
    </w:p>
    <w:p w14:paraId="0B6626A6" w14:textId="77777777" w:rsidR="00872C03" w:rsidRPr="00883399" w:rsidRDefault="00872C03" w:rsidP="00872C03">
      <w:pPr>
        <w:pStyle w:val="R1"/>
        <w:spacing w:before="240" w:line="312" w:lineRule="auto"/>
        <w:ind w:left="0" w:firstLine="0"/>
        <w:jc w:val="left"/>
        <w:rPr>
          <w:rFonts w:ascii="Arial" w:hAnsi="Arial" w:cs="Arial"/>
          <w:sz w:val="22"/>
          <w:szCs w:val="22"/>
        </w:rPr>
      </w:pPr>
      <w:r w:rsidRPr="00883399">
        <w:rPr>
          <w:rFonts w:ascii="Arial" w:hAnsi="Arial" w:cs="Arial"/>
          <w:sz w:val="22"/>
          <w:szCs w:val="22"/>
          <w:lang w:eastAsia="en-US"/>
        </w:rPr>
        <w:t xml:space="preserve">Minimum frequencies of analysis of the gaseous fuels are also provided for in Section 2.25. </w:t>
      </w:r>
      <w:r w:rsidRPr="00883399">
        <w:rPr>
          <w:rFonts w:ascii="Arial" w:hAnsi="Arial" w:cs="Arial"/>
          <w:sz w:val="22"/>
          <w:szCs w:val="22"/>
        </w:rPr>
        <w:t xml:space="preserve">With the results of the analysis, emissions may then be estimated in accordance the equations specified in Method 2.  </w:t>
      </w:r>
    </w:p>
    <w:p w14:paraId="68E5726A" w14:textId="394BFE59" w:rsidR="00872C03" w:rsidRPr="00883399" w:rsidRDefault="00872C03" w:rsidP="00872C03">
      <w:pPr>
        <w:pStyle w:val="ActHead5"/>
        <w:rPr>
          <w:sz w:val="28"/>
        </w:rPr>
      </w:pPr>
      <w:bookmarkStart w:id="231" w:name="_Toc423516771"/>
      <w:bookmarkStart w:id="232" w:name="_Toc495652687"/>
      <w:r w:rsidRPr="00883399">
        <w:rPr>
          <w:rStyle w:val="CharSectno"/>
          <w:sz w:val="28"/>
        </w:rPr>
        <w:t>2.23</w:t>
      </w:r>
      <w:r w:rsidRPr="00883399">
        <w:rPr>
          <w:sz w:val="28"/>
        </w:rPr>
        <w:t xml:space="preserve">  General requirements for sampling under method 2</w:t>
      </w:r>
      <w:bookmarkEnd w:id="231"/>
      <w:bookmarkEnd w:id="232"/>
    </w:p>
    <w:p w14:paraId="45632A9E" w14:textId="77777777" w:rsidR="00872C03" w:rsidRPr="00883399" w:rsidRDefault="00872C03" w:rsidP="00872C03">
      <w:pPr>
        <w:pStyle w:val="subsection"/>
        <w:rPr>
          <w:sz w:val="24"/>
        </w:rPr>
      </w:pPr>
      <w:r w:rsidRPr="00883399">
        <w:rPr>
          <w:sz w:val="24"/>
        </w:rPr>
        <w:tab/>
        <w:t>(1)</w:t>
      </w:r>
      <w:r w:rsidRPr="00883399">
        <w:rPr>
          <w:sz w:val="24"/>
        </w:rPr>
        <w:tab/>
        <w:t>A sample of the gaseous fuel must be derived from a composite of amounts of the gaseous fuel combusted.</w:t>
      </w:r>
    </w:p>
    <w:p w14:paraId="0866CEA3" w14:textId="77777777" w:rsidR="00872C03" w:rsidRPr="00883399" w:rsidRDefault="00872C03" w:rsidP="00872C03">
      <w:pPr>
        <w:pStyle w:val="subsection"/>
        <w:rPr>
          <w:sz w:val="24"/>
        </w:rPr>
      </w:pPr>
      <w:r w:rsidRPr="00883399">
        <w:rPr>
          <w:sz w:val="24"/>
        </w:rPr>
        <w:tab/>
        <w:t>(2)</w:t>
      </w:r>
      <w:r w:rsidRPr="00883399">
        <w:rPr>
          <w:sz w:val="24"/>
        </w:rPr>
        <w:tab/>
        <w:t>The samples must be collected on enough occasions to produce a representative sample.</w:t>
      </w:r>
    </w:p>
    <w:p w14:paraId="6B11F185" w14:textId="77777777" w:rsidR="00872C03" w:rsidRPr="00883399" w:rsidRDefault="00872C03" w:rsidP="00872C03">
      <w:pPr>
        <w:pStyle w:val="subsection"/>
        <w:rPr>
          <w:sz w:val="24"/>
        </w:rPr>
      </w:pPr>
      <w:r w:rsidRPr="00883399">
        <w:rPr>
          <w:sz w:val="24"/>
        </w:rPr>
        <w:tab/>
        <w:t>(3)</w:t>
      </w:r>
      <w:r w:rsidRPr="00883399">
        <w:rPr>
          <w:sz w:val="24"/>
        </w:rPr>
        <w:tab/>
        <w:t>The samples must also be free of bias so that any estimates are neither over nor under estimates of the true value.</w:t>
      </w:r>
    </w:p>
    <w:p w14:paraId="2A6B5EE6" w14:textId="77777777" w:rsidR="00872C03" w:rsidRPr="00883399" w:rsidRDefault="00872C03" w:rsidP="00872C03">
      <w:pPr>
        <w:pStyle w:val="subsection"/>
        <w:rPr>
          <w:sz w:val="24"/>
        </w:rPr>
      </w:pPr>
      <w:r w:rsidRPr="00883399">
        <w:rPr>
          <w:sz w:val="24"/>
        </w:rPr>
        <w:tab/>
        <w:t>(4)</w:t>
      </w:r>
      <w:r w:rsidRPr="00883399">
        <w:rPr>
          <w:sz w:val="24"/>
        </w:rPr>
        <w:tab/>
        <w:t>Bias must be tested in accordance with an appropriate standard (if any).</w:t>
      </w:r>
    </w:p>
    <w:p w14:paraId="74246076" w14:textId="77777777" w:rsidR="00872C03" w:rsidRPr="00883399" w:rsidRDefault="00872C03" w:rsidP="00872C03">
      <w:pPr>
        <w:pStyle w:val="subsection"/>
        <w:rPr>
          <w:sz w:val="24"/>
        </w:rPr>
      </w:pPr>
      <w:r w:rsidRPr="00883399">
        <w:rPr>
          <w:sz w:val="24"/>
        </w:rPr>
        <w:tab/>
        <w:t>(5)</w:t>
      </w:r>
      <w:r w:rsidRPr="00883399">
        <w:rPr>
          <w:sz w:val="24"/>
        </w:rPr>
        <w:tab/>
        <w:t>The value obtained from the samples must only be used for the delivery period, usage period or consignment of the gaseous fuel for which it was intended to be representative.</w:t>
      </w:r>
    </w:p>
    <w:p w14:paraId="329596F0" w14:textId="7D6D91AA" w:rsidR="00872C03" w:rsidRPr="00883399" w:rsidRDefault="00872C03" w:rsidP="00872C03">
      <w:pPr>
        <w:pStyle w:val="ActHead5"/>
        <w:rPr>
          <w:sz w:val="28"/>
        </w:rPr>
      </w:pPr>
      <w:bookmarkStart w:id="233" w:name="_Toc423516772"/>
      <w:bookmarkStart w:id="234" w:name="_Toc495652688"/>
      <w:r w:rsidRPr="00883399">
        <w:rPr>
          <w:rStyle w:val="CharSectno"/>
          <w:sz w:val="28"/>
        </w:rPr>
        <w:t>2.24</w:t>
      </w:r>
      <w:r w:rsidRPr="00883399">
        <w:rPr>
          <w:sz w:val="28"/>
        </w:rPr>
        <w:t xml:space="preserve">  Standards for analysing samples of gaseous fuels</w:t>
      </w:r>
      <w:bookmarkEnd w:id="233"/>
      <w:bookmarkEnd w:id="234"/>
    </w:p>
    <w:p w14:paraId="2FCC49A2" w14:textId="77777777" w:rsidR="00872C03" w:rsidRPr="00883399" w:rsidRDefault="00872C03" w:rsidP="00872C03">
      <w:pPr>
        <w:pStyle w:val="subsection"/>
        <w:rPr>
          <w:sz w:val="24"/>
        </w:rPr>
      </w:pPr>
      <w:r w:rsidRPr="00883399">
        <w:rPr>
          <w:sz w:val="24"/>
        </w:rPr>
        <w:tab/>
        <w:t>(1)</w:t>
      </w:r>
      <w:r w:rsidRPr="00883399">
        <w:rPr>
          <w:sz w:val="24"/>
        </w:rPr>
        <w:tab/>
        <w:t>Samples of gaseous fuels of a type mentioned in column 2 of an item in the following table must be analysed in accordance with one of the standards mentioned in:</w:t>
      </w:r>
    </w:p>
    <w:p w14:paraId="4B319A87" w14:textId="77777777" w:rsidR="00872C03" w:rsidRPr="00883399" w:rsidRDefault="00872C03" w:rsidP="00872C03">
      <w:pPr>
        <w:pStyle w:val="paragraph"/>
        <w:rPr>
          <w:sz w:val="24"/>
        </w:rPr>
      </w:pPr>
      <w:r w:rsidRPr="00883399">
        <w:rPr>
          <w:sz w:val="24"/>
        </w:rPr>
        <w:tab/>
        <w:t>(a)</w:t>
      </w:r>
      <w:r w:rsidRPr="00883399">
        <w:rPr>
          <w:sz w:val="24"/>
        </w:rPr>
        <w:tab/>
        <w:t>for analysis of energy content—column 3 for that item; and</w:t>
      </w:r>
    </w:p>
    <w:p w14:paraId="4901FC3E" w14:textId="77777777" w:rsidR="00872C03" w:rsidRPr="00883399" w:rsidRDefault="00872C03" w:rsidP="00872C03">
      <w:pPr>
        <w:pStyle w:val="paragraph"/>
        <w:rPr>
          <w:sz w:val="24"/>
        </w:rPr>
      </w:pPr>
      <w:r w:rsidRPr="00883399">
        <w:rPr>
          <w:sz w:val="24"/>
        </w:rPr>
        <w:tab/>
        <w:t>(b)</w:t>
      </w:r>
      <w:r w:rsidRPr="00883399">
        <w:rPr>
          <w:sz w:val="24"/>
        </w:rPr>
        <w:tab/>
        <w:t>for analysis of gas composition—column 4 for that item.</w:t>
      </w:r>
    </w:p>
    <w:p w14:paraId="6C36B023" w14:textId="77777777" w:rsidR="00872C03" w:rsidRPr="00883399" w:rsidRDefault="00872C03" w:rsidP="00872C03">
      <w:pPr>
        <w:pStyle w:val="Tabletext0"/>
        <w:rPr>
          <w:sz w:val="22"/>
        </w:rPr>
      </w:pPr>
    </w:p>
    <w:tbl>
      <w:tblPr>
        <w:tblW w:w="7668" w:type="dxa"/>
        <w:tblInd w:w="720" w:type="dxa"/>
        <w:tblBorders>
          <w:top w:val="single" w:sz="4" w:space="0" w:color="auto"/>
          <w:bottom w:val="single" w:sz="2" w:space="0" w:color="auto"/>
          <w:insideH w:val="single" w:sz="4" w:space="0" w:color="auto"/>
        </w:tblBorders>
        <w:tblLook w:val="01E0" w:firstRow="1" w:lastRow="1" w:firstColumn="1" w:lastColumn="1" w:noHBand="0" w:noVBand="0"/>
      </w:tblPr>
      <w:tblGrid>
        <w:gridCol w:w="828"/>
        <w:gridCol w:w="1677"/>
        <w:gridCol w:w="2124"/>
        <w:gridCol w:w="3039"/>
      </w:tblGrid>
      <w:tr w:rsidR="00872C03" w:rsidRPr="00883399" w14:paraId="5BD10E96" w14:textId="77777777" w:rsidTr="0031057E">
        <w:trPr>
          <w:trHeight w:val="340"/>
          <w:tblHeader/>
        </w:trPr>
        <w:tc>
          <w:tcPr>
            <w:tcW w:w="828" w:type="dxa"/>
            <w:tcBorders>
              <w:top w:val="single" w:sz="12" w:space="0" w:color="auto"/>
              <w:bottom w:val="single" w:sz="12" w:space="0" w:color="auto"/>
            </w:tcBorders>
            <w:shd w:val="clear" w:color="auto" w:fill="auto"/>
          </w:tcPr>
          <w:p w14:paraId="091011D9" w14:textId="77777777" w:rsidR="00872C03" w:rsidRPr="00883399" w:rsidRDefault="00872C03" w:rsidP="0031057E">
            <w:pPr>
              <w:pStyle w:val="TableHeading"/>
              <w:rPr>
                <w:sz w:val="22"/>
              </w:rPr>
            </w:pPr>
            <w:r w:rsidRPr="00883399">
              <w:rPr>
                <w:sz w:val="22"/>
              </w:rPr>
              <w:t>Item</w:t>
            </w:r>
          </w:p>
        </w:tc>
        <w:tc>
          <w:tcPr>
            <w:tcW w:w="1677" w:type="dxa"/>
            <w:tcBorders>
              <w:top w:val="single" w:sz="12" w:space="0" w:color="auto"/>
              <w:bottom w:val="single" w:sz="12" w:space="0" w:color="auto"/>
            </w:tcBorders>
            <w:shd w:val="clear" w:color="auto" w:fill="auto"/>
          </w:tcPr>
          <w:p w14:paraId="4889714C" w14:textId="77777777" w:rsidR="00872C03" w:rsidRPr="00883399" w:rsidRDefault="00872C03" w:rsidP="0031057E">
            <w:pPr>
              <w:pStyle w:val="TableHeading"/>
              <w:rPr>
                <w:sz w:val="22"/>
              </w:rPr>
            </w:pPr>
            <w:r w:rsidRPr="00883399">
              <w:rPr>
                <w:sz w:val="22"/>
              </w:rPr>
              <w:t>Fuel type</w:t>
            </w:r>
          </w:p>
        </w:tc>
        <w:tc>
          <w:tcPr>
            <w:tcW w:w="2124" w:type="dxa"/>
            <w:tcBorders>
              <w:top w:val="single" w:sz="12" w:space="0" w:color="auto"/>
              <w:bottom w:val="single" w:sz="12" w:space="0" w:color="auto"/>
            </w:tcBorders>
            <w:shd w:val="clear" w:color="auto" w:fill="auto"/>
          </w:tcPr>
          <w:p w14:paraId="5BCC44AD" w14:textId="77777777" w:rsidR="00872C03" w:rsidRPr="00883399" w:rsidRDefault="00872C03" w:rsidP="0031057E">
            <w:pPr>
              <w:pStyle w:val="TableHeading"/>
              <w:rPr>
                <w:sz w:val="22"/>
              </w:rPr>
            </w:pPr>
            <w:r w:rsidRPr="00883399">
              <w:rPr>
                <w:sz w:val="22"/>
              </w:rPr>
              <w:t>Energy content</w:t>
            </w:r>
          </w:p>
        </w:tc>
        <w:tc>
          <w:tcPr>
            <w:tcW w:w="3039" w:type="dxa"/>
            <w:tcBorders>
              <w:top w:val="single" w:sz="12" w:space="0" w:color="auto"/>
              <w:bottom w:val="single" w:sz="12" w:space="0" w:color="auto"/>
            </w:tcBorders>
            <w:shd w:val="clear" w:color="auto" w:fill="auto"/>
          </w:tcPr>
          <w:p w14:paraId="46739968" w14:textId="77777777" w:rsidR="00872C03" w:rsidRPr="00883399" w:rsidRDefault="00872C03" w:rsidP="0031057E">
            <w:pPr>
              <w:pStyle w:val="TableHeading"/>
              <w:rPr>
                <w:sz w:val="22"/>
              </w:rPr>
            </w:pPr>
            <w:r w:rsidRPr="00883399">
              <w:rPr>
                <w:sz w:val="22"/>
              </w:rPr>
              <w:t>Gas Composition</w:t>
            </w:r>
          </w:p>
        </w:tc>
      </w:tr>
      <w:tr w:rsidR="00872C03" w:rsidRPr="00883399" w14:paraId="7F68E1CB" w14:textId="77777777" w:rsidTr="0031057E">
        <w:tc>
          <w:tcPr>
            <w:tcW w:w="828" w:type="dxa"/>
            <w:tcBorders>
              <w:top w:val="single" w:sz="12" w:space="0" w:color="auto"/>
              <w:bottom w:val="single" w:sz="4" w:space="0" w:color="auto"/>
            </w:tcBorders>
            <w:shd w:val="clear" w:color="auto" w:fill="auto"/>
          </w:tcPr>
          <w:p w14:paraId="7E29683B" w14:textId="77777777" w:rsidR="00872C03" w:rsidRPr="00883399" w:rsidRDefault="00872C03" w:rsidP="0031057E">
            <w:pPr>
              <w:pStyle w:val="Tabletext0"/>
              <w:rPr>
                <w:sz w:val="22"/>
              </w:rPr>
            </w:pPr>
            <w:r w:rsidRPr="00883399">
              <w:rPr>
                <w:sz w:val="22"/>
              </w:rPr>
              <w:t>1</w:t>
            </w:r>
          </w:p>
        </w:tc>
        <w:tc>
          <w:tcPr>
            <w:tcW w:w="1677" w:type="dxa"/>
            <w:tcBorders>
              <w:top w:val="single" w:sz="12" w:space="0" w:color="auto"/>
              <w:bottom w:val="single" w:sz="4" w:space="0" w:color="auto"/>
            </w:tcBorders>
            <w:shd w:val="clear" w:color="auto" w:fill="auto"/>
          </w:tcPr>
          <w:p w14:paraId="1590942D" w14:textId="77777777" w:rsidR="00872C03" w:rsidRPr="00883399" w:rsidRDefault="00872C03" w:rsidP="0031057E">
            <w:pPr>
              <w:pStyle w:val="Tabletext0"/>
              <w:rPr>
                <w:sz w:val="22"/>
              </w:rPr>
            </w:pPr>
            <w:r w:rsidRPr="00883399">
              <w:rPr>
                <w:sz w:val="22"/>
              </w:rPr>
              <w:t>Natural gas if distributed in a pipeline</w:t>
            </w:r>
          </w:p>
        </w:tc>
        <w:tc>
          <w:tcPr>
            <w:tcW w:w="2124" w:type="dxa"/>
            <w:tcBorders>
              <w:top w:val="single" w:sz="12" w:space="0" w:color="auto"/>
              <w:bottom w:val="single" w:sz="4" w:space="0" w:color="auto"/>
            </w:tcBorders>
            <w:shd w:val="clear" w:color="auto" w:fill="auto"/>
          </w:tcPr>
          <w:p w14:paraId="669135D2" w14:textId="77777777" w:rsidR="00872C03" w:rsidRPr="00883399" w:rsidRDefault="00872C03" w:rsidP="0031057E">
            <w:pPr>
              <w:pStyle w:val="Tabletext0"/>
              <w:rPr>
                <w:sz w:val="22"/>
              </w:rPr>
            </w:pPr>
            <w:r w:rsidRPr="00883399">
              <w:rPr>
                <w:sz w:val="22"/>
              </w:rPr>
              <w:t>ASTM D 1826—94 (2003)</w:t>
            </w:r>
          </w:p>
          <w:p w14:paraId="6BCAB152" w14:textId="77777777" w:rsidR="00872C03" w:rsidRPr="00883399" w:rsidRDefault="00872C03" w:rsidP="0031057E">
            <w:pPr>
              <w:pStyle w:val="Tabletext0"/>
              <w:rPr>
                <w:sz w:val="22"/>
              </w:rPr>
            </w:pPr>
            <w:r w:rsidRPr="00883399">
              <w:rPr>
                <w:sz w:val="22"/>
              </w:rPr>
              <w:t>ASTM D 7164—05</w:t>
            </w:r>
          </w:p>
          <w:p w14:paraId="5A01968A" w14:textId="77777777" w:rsidR="00872C03" w:rsidRPr="00883399" w:rsidRDefault="00872C03" w:rsidP="0031057E">
            <w:pPr>
              <w:pStyle w:val="Tabletext0"/>
              <w:rPr>
                <w:sz w:val="22"/>
              </w:rPr>
            </w:pPr>
            <w:r w:rsidRPr="00883399">
              <w:rPr>
                <w:sz w:val="22"/>
              </w:rPr>
              <w:t>ASTM 3588—98 (2003)</w:t>
            </w:r>
          </w:p>
          <w:p w14:paraId="09F920CD" w14:textId="77777777" w:rsidR="00872C03" w:rsidRPr="00883399" w:rsidRDefault="00872C03" w:rsidP="0031057E">
            <w:pPr>
              <w:pStyle w:val="Tabletext0"/>
              <w:rPr>
                <w:sz w:val="22"/>
              </w:rPr>
            </w:pPr>
            <w:r w:rsidRPr="00883399">
              <w:rPr>
                <w:sz w:val="22"/>
              </w:rPr>
              <w:t>ISO 6974</w:t>
            </w:r>
          </w:p>
          <w:p w14:paraId="356C04D5" w14:textId="77777777" w:rsidR="00872C03" w:rsidRPr="00883399" w:rsidRDefault="00872C03" w:rsidP="0031057E">
            <w:pPr>
              <w:pStyle w:val="Tabletext0"/>
              <w:ind w:left="177"/>
              <w:rPr>
                <w:sz w:val="22"/>
              </w:rPr>
            </w:pPr>
            <w:r w:rsidRPr="00883399">
              <w:rPr>
                <w:sz w:val="22"/>
              </w:rPr>
              <w:t>part 1 (2000)</w:t>
            </w:r>
          </w:p>
          <w:p w14:paraId="0C02273D" w14:textId="77777777" w:rsidR="00872C03" w:rsidRPr="00883399" w:rsidRDefault="00872C03" w:rsidP="0031057E">
            <w:pPr>
              <w:pStyle w:val="Tabletext0"/>
              <w:ind w:left="177"/>
              <w:rPr>
                <w:sz w:val="22"/>
              </w:rPr>
            </w:pPr>
            <w:r w:rsidRPr="00883399">
              <w:rPr>
                <w:sz w:val="22"/>
              </w:rPr>
              <w:t xml:space="preserve">part 2 (2001) </w:t>
            </w:r>
          </w:p>
          <w:p w14:paraId="49A80A0E" w14:textId="77777777" w:rsidR="00872C03" w:rsidRPr="00883399" w:rsidRDefault="00872C03" w:rsidP="0031057E">
            <w:pPr>
              <w:pStyle w:val="Tabletext0"/>
              <w:ind w:left="177"/>
              <w:rPr>
                <w:sz w:val="22"/>
              </w:rPr>
            </w:pPr>
            <w:r w:rsidRPr="00883399">
              <w:rPr>
                <w:sz w:val="22"/>
              </w:rPr>
              <w:t xml:space="preserve">part 3 (2000) </w:t>
            </w:r>
          </w:p>
          <w:p w14:paraId="4E968C15" w14:textId="77777777" w:rsidR="00872C03" w:rsidRPr="00883399" w:rsidRDefault="00872C03" w:rsidP="0031057E">
            <w:pPr>
              <w:pStyle w:val="Tabletext0"/>
              <w:ind w:left="177"/>
              <w:rPr>
                <w:sz w:val="22"/>
              </w:rPr>
            </w:pPr>
            <w:r w:rsidRPr="00883399">
              <w:rPr>
                <w:sz w:val="22"/>
              </w:rPr>
              <w:t xml:space="preserve">part 4 (2000) </w:t>
            </w:r>
          </w:p>
          <w:p w14:paraId="0088E909" w14:textId="77777777" w:rsidR="00872C03" w:rsidRPr="00883399" w:rsidRDefault="00872C03" w:rsidP="0031057E">
            <w:pPr>
              <w:pStyle w:val="Tabletext0"/>
              <w:ind w:left="177"/>
              <w:rPr>
                <w:sz w:val="22"/>
              </w:rPr>
            </w:pPr>
            <w:r w:rsidRPr="00883399">
              <w:rPr>
                <w:sz w:val="22"/>
              </w:rPr>
              <w:t>part 5 (2000)</w:t>
            </w:r>
          </w:p>
          <w:p w14:paraId="1F60A4DC" w14:textId="77777777" w:rsidR="00872C03" w:rsidRPr="00883399" w:rsidRDefault="00872C03" w:rsidP="0031057E">
            <w:pPr>
              <w:pStyle w:val="Tabletext0"/>
              <w:ind w:left="177"/>
              <w:rPr>
                <w:sz w:val="22"/>
              </w:rPr>
            </w:pPr>
            <w:r w:rsidRPr="00883399">
              <w:rPr>
                <w:sz w:val="22"/>
              </w:rPr>
              <w:t>part 6 (2002)</w:t>
            </w:r>
          </w:p>
          <w:p w14:paraId="59A1544D" w14:textId="77777777" w:rsidR="00872C03" w:rsidRPr="00883399" w:rsidRDefault="00872C03" w:rsidP="0031057E">
            <w:pPr>
              <w:pStyle w:val="Tabletext0"/>
              <w:rPr>
                <w:sz w:val="22"/>
              </w:rPr>
            </w:pPr>
            <w:r w:rsidRPr="00883399">
              <w:rPr>
                <w:sz w:val="22"/>
              </w:rPr>
              <w:t>ISO 6976:1995</w:t>
            </w:r>
          </w:p>
          <w:p w14:paraId="1D2C0526" w14:textId="77777777" w:rsidR="00872C03" w:rsidRPr="00883399" w:rsidRDefault="00872C03" w:rsidP="0031057E">
            <w:pPr>
              <w:pStyle w:val="Tabletext0"/>
              <w:rPr>
                <w:sz w:val="22"/>
              </w:rPr>
            </w:pPr>
            <w:r w:rsidRPr="00883399">
              <w:rPr>
                <w:sz w:val="22"/>
              </w:rPr>
              <w:t>GPA 2172—96</w:t>
            </w:r>
          </w:p>
        </w:tc>
        <w:tc>
          <w:tcPr>
            <w:tcW w:w="3039" w:type="dxa"/>
            <w:tcBorders>
              <w:top w:val="single" w:sz="12" w:space="0" w:color="auto"/>
              <w:bottom w:val="single" w:sz="4" w:space="0" w:color="auto"/>
            </w:tcBorders>
            <w:shd w:val="clear" w:color="auto" w:fill="auto"/>
          </w:tcPr>
          <w:p w14:paraId="3CCE45A4" w14:textId="77777777" w:rsidR="00872C03" w:rsidRPr="00883399" w:rsidRDefault="00872C03" w:rsidP="0031057E">
            <w:pPr>
              <w:pStyle w:val="Tabletext0"/>
              <w:rPr>
                <w:sz w:val="22"/>
              </w:rPr>
            </w:pPr>
            <w:r w:rsidRPr="00883399">
              <w:rPr>
                <w:sz w:val="22"/>
              </w:rPr>
              <w:t>ASTM D 1945—03</w:t>
            </w:r>
          </w:p>
          <w:p w14:paraId="50527F51" w14:textId="77777777" w:rsidR="00872C03" w:rsidRPr="00883399" w:rsidRDefault="00872C03" w:rsidP="0031057E">
            <w:pPr>
              <w:pStyle w:val="Tabletext0"/>
              <w:rPr>
                <w:sz w:val="22"/>
              </w:rPr>
            </w:pPr>
            <w:r w:rsidRPr="00883399">
              <w:rPr>
                <w:sz w:val="22"/>
              </w:rPr>
              <w:t>ASTM D 1946—90 (2006)</w:t>
            </w:r>
          </w:p>
          <w:p w14:paraId="07EB1EFF" w14:textId="77777777" w:rsidR="00872C03" w:rsidRPr="00883399" w:rsidRDefault="00872C03" w:rsidP="0031057E">
            <w:pPr>
              <w:pStyle w:val="Tabletext0"/>
              <w:rPr>
                <w:sz w:val="22"/>
              </w:rPr>
            </w:pPr>
            <w:r w:rsidRPr="00883399">
              <w:rPr>
                <w:sz w:val="22"/>
              </w:rPr>
              <w:t>ISO 6974</w:t>
            </w:r>
          </w:p>
          <w:p w14:paraId="6210C492" w14:textId="77777777" w:rsidR="00872C03" w:rsidRPr="00883399" w:rsidRDefault="00872C03" w:rsidP="0031057E">
            <w:pPr>
              <w:pStyle w:val="Tabletext0"/>
              <w:ind w:left="177"/>
              <w:rPr>
                <w:sz w:val="22"/>
              </w:rPr>
            </w:pPr>
            <w:r w:rsidRPr="00883399">
              <w:rPr>
                <w:sz w:val="22"/>
              </w:rPr>
              <w:t>part 1 (2000)</w:t>
            </w:r>
          </w:p>
          <w:p w14:paraId="38520E20" w14:textId="77777777" w:rsidR="00872C03" w:rsidRPr="00883399" w:rsidRDefault="00872C03" w:rsidP="0031057E">
            <w:pPr>
              <w:pStyle w:val="Tabletext0"/>
              <w:ind w:left="177"/>
              <w:rPr>
                <w:sz w:val="22"/>
              </w:rPr>
            </w:pPr>
            <w:r w:rsidRPr="00883399">
              <w:rPr>
                <w:sz w:val="22"/>
              </w:rPr>
              <w:t xml:space="preserve">part 2 (2001) </w:t>
            </w:r>
          </w:p>
          <w:p w14:paraId="3EF4A97B" w14:textId="77777777" w:rsidR="00872C03" w:rsidRPr="00883399" w:rsidRDefault="00872C03" w:rsidP="0031057E">
            <w:pPr>
              <w:pStyle w:val="Tabletext0"/>
              <w:ind w:left="177"/>
              <w:rPr>
                <w:sz w:val="22"/>
              </w:rPr>
            </w:pPr>
            <w:r w:rsidRPr="00883399">
              <w:rPr>
                <w:sz w:val="22"/>
              </w:rPr>
              <w:t xml:space="preserve">part 3 (2000) </w:t>
            </w:r>
          </w:p>
          <w:p w14:paraId="4B16B4F1" w14:textId="77777777" w:rsidR="00872C03" w:rsidRPr="00883399" w:rsidRDefault="00872C03" w:rsidP="0031057E">
            <w:pPr>
              <w:pStyle w:val="Tabletext0"/>
              <w:ind w:left="177"/>
              <w:rPr>
                <w:sz w:val="22"/>
              </w:rPr>
            </w:pPr>
            <w:r w:rsidRPr="00883399">
              <w:rPr>
                <w:sz w:val="22"/>
              </w:rPr>
              <w:t>part 4 (2000)</w:t>
            </w:r>
          </w:p>
          <w:p w14:paraId="4128528C" w14:textId="77777777" w:rsidR="00872C03" w:rsidRPr="00883399" w:rsidRDefault="00872C03" w:rsidP="0031057E">
            <w:pPr>
              <w:pStyle w:val="Tabletext0"/>
              <w:ind w:left="177"/>
              <w:rPr>
                <w:sz w:val="22"/>
              </w:rPr>
            </w:pPr>
            <w:r w:rsidRPr="00883399">
              <w:rPr>
                <w:sz w:val="22"/>
              </w:rPr>
              <w:t xml:space="preserve">part 5 (2000) </w:t>
            </w:r>
          </w:p>
          <w:p w14:paraId="42F3AC43" w14:textId="77777777" w:rsidR="00872C03" w:rsidRPr="00883399" w:rsidRDefault="00872C03" w:rsidP="0031057E">
            <w:pPr>
              <w:pStyle w:val="Tabletext0"/>
              <w:ind w:left="177"/>
              <w:rPr>
                <w:sz w:val="22"/>
              </w:rPr>
            </w:pPr>
            <w:r w:rsidRPr="00883399">
              <w:rPr>
                <w:sz w:val="22"/>
              </w:rPr>
              <w:t>part 6 (2002)</w:t>
            </w:r>
          </w:p>
          <w:p w14:paraId="1924534B" w14:textId="77777777" w:rsidR="00872C03" w:rsidRPr="00883399" w:rsidRDefault="00872C03" w:rsidP="0031057E">
            <w:pPr>
              <w:pStyle w:val="Tabletext0"/>
              <w:rPr>
                <w:sz w:val="22"/>
              </w:rPr>
            </w:pPr>
            <w:r w:rsidRPr="00883399">
              <w:rPr>
                <w:sz w:val="22"/>
              </w:rPr>
              <w:t>GPA 2145 – 03</w:t>
            </w:r>
          </w:p>
          <w:p w14:paraId="219C2CA1" w14:textId="77777777" w:rsidR="00872C03" w:rsidRPr="00883399" w:rsidRDefault="00872C03" w:rsidP="0031057E">
            <w:pPr>
              <w:pStyle w:val="Tabletext0"/>
              <w:rPr>
                <w:sz w:val="22"/>
              </w:rPr>
            </w:pPr>
            <w:r w:rsidRPr="00883399">
              <w:rPr>
                <w:sz w:val="22"/>
              </w:rPr>
              <w:t>GPA 2261 – 00</w:t>
            </w:r>
          </w:p>
        </w:tc>
      </w:tr>
      <w:tr w:rsidR="00872C03" w:rsidRPr="00883399" w14:paraId="65DDEB4A" w14:textId="77777777" w:rsidTr="0031057E">
        <w:tc>
          <w:tcPr>
            <w:tcW w:w="828" w:type="dxa"/>
            <w:tcBorders>
              <w:bottom w:val="single" w:sz="4" w:space="0" w:color="auto"/>
            </w:tcBorders>
            <w:shd w:val="clear" w:color="auto" w:fill="auto"/>
          </w:tcPr>
          <w:p w14:paraId="75AB299F" w14:textId="77777777" w:rsidR="00872C03" w:rsidRPr="00883399" w:rsidRDefault="00872C03" w:rsidP="0031057E">
            <w:pPr>
              <w:pStyle w:val="Tabletext0"/>
              <w:rPr>
                <w:sz w:val="22"/>
              </w:rPr>
            </w:pPr>
            <w:r w:rsidRPr="00883399">
              <w:rPr>
                <w:sz w:val="22"/>
              </w:rPr>
              <w:t>2</w:t>
            </w:r>
          </w:p>
        </w:tc>
        <w:tc>
          <w:tcPr>
            <w:tcW w:w="1677" w:type="dxa"/>
            <w:tcBorders>
              <w:bottom w:val="single" w:sz="4" w:space="0" w:color="auto"/>
            </w:tcBorders>
            <w:shd w:val="clear" w:color="auto" w:fill="auto"/>
          </w:tcPr>
          <w:p w14:paraId="4268A2C9" w14:textId="77777777" w:rsidR="00872C03" w:rsidRPr="00883399" w:rsidRDefault="00872C03" w:rsidP="0031057E">
            <w:pPr>
              <w:pStyle w:val="Tabletext0"/>
              <w:rPr>
                <w:sz w:val="22"/>
              </w:rPr>
            </w:pPr>
            <w:r w:rsidRPr="00883399">
              <w:rPr>
                <w:sz w:val="22"/>
              </w:rPr>
              <w:t>Coal seam methane that is captured for combustion</w:t>
            </w:r>
          </w:p>
        </w:tc>
        <w:tc>
          <w:tcPr>
            <w:tcW w:w="2124" w:type="dxa"/>
            <w:tcBorders>
              <w:bottom w:val="single" w:sz="4" w:space="0" w:color="auto"/>
            </w:tcBorders>
            <w:shd w:val="clear" w:color="auto" w:fill="auto"/>
          </w:tcPr>
          <w:p w14:paraId="4339D3C2" w14:textId="77777777" w:rsidR="00872C03" w:rsidRPr="00883399" w:rsidRDefault="00872C03" w:rsidP="0031057E">
            <w:pPr>
              <w:pStyle w:val="Tabletext0"/>
              <w:rPr>
                <w:sz w:val="22"/>
              </w:rPr>
            </w:pPr>
            <w:r w:rsidRPr="00883399">
              <w:rPr>
                <w:sz w:val="22"/>
              </w:rPr>
              <w:t>ASTM D 1826—94 (2003)</w:t>
            </w:r>
          </w:p>
          <w:p w14:paraId="1C7D920B" w14:textId="77777777" w:rsidR="00872C03" w:rsidRPr="00883399" w:rsidRDefault="00872C03" w:rsidP="0031057E">
            <w:pPr>
              <w:pStyle w:val="Tabletext0"/>
              <w:rPr>
                <w:sz w:val="22"/>
              </w:rPr>
            </w:pPr>
            <w:r w:rsidRPr="00883399">
              <w:rPr>
                <w:sz w:val="22"/>
              </w:rPr>
              <w:t xml:space="preserve">ASTM D 7164—05 </w:t>
            </w:r>
          </w:p>
          <w:p w14:paraId="18587E4D" w14:textId="77777777" w:rsidR="00872C03" w:rsidRPr="00883399" w:rsidRDefault="00872C03" w:rsidP="0031057E">
            <w:pPr>
              <w:pStyle w:val="Tabletext0"/>
              <w:rPr>
                <w:sz w:val="22"/>
              </w:rPr>
            </w:pPr>
            <w:r w:rsidRPr="00883399">
              <w:rPr>
                <w:sz w:val="22"/>
              </w:rPr>
              <w:t>ISO 6974</w:t>
            </w:r>
          </w:p>
          <w:p w14:paraId="15F1FC55" w14:textId="77777777" w:rsidR="00872C03" w:rsidRPr="00883399" w:rsidRDefault="00872C03" w:rsidP="0031057E">
            <w:pPr>
              <w:pStyle w:val="Tabletext0"/>
              <w:ind w:left="177"/>
              <w:rPr>
                <w:sz w:val="22"/>
              </w:rPr>
            </w:pPr>
            <w:r w:rsidRPr="00883399">
              <w:rPr>
                <w:sz w:val="22"/>
              </w:rPr>
              <w:t>part 1 (2000)</w:t>
            </w:r>
          </w:p>
          <w:p w14:paraId="7F6A10BB" w14:textId="77777777" w:rsidR="00872C03" w:rsidRPr="00883399" w:rsidRDefault="00872C03" w:rsidP="0031057E">
            <w:pPr>
              <w:pStyle w:val="Tabletext0"/>
              <w:ind w:left="177"/>
              <w:rPr>
                <w:sz w:val="22"/>
              </w:rPr>
            </w:pPr>
            <w:r w:rsidRPr="00883399">
              <w:rPr>
                <w:sz w:val="22"/>
              </w:rPr>
              <w:t xml:space="preserve">part 2 (2001) </w:t>
            </w:r>
          </w:p>
          <w:p w14:paraId="2310DD8E" w14:textId="77777777" w:rsidR="00872C03" w:rsidRPr="00883399" w:rsidRDefault="00872C03" w:rsidP="0031057E">
            <w:pPr>
              <w:pStyle w:val="Tabletext0"/>
              <w:ind w:left="177"/>
              <w:rPr>
                <w:sz w:val="22"/>
              </w:rPr>
            </w:pPr>
            <w:r w:rsidRPr="00883399">
              <w:rPr>
                <w:sz w:val="22"/>
              </w:rPr>
              <w:t xml:space="preserve">part 3 (2000) </w:t>
            </w:r>
          </w:p>
          <w:p w14:paraId="591061BB" w14:textId="77777777" w:rsidR="00872C03" w:rsidRPr="00883399" w:rsidRDefault="00872C03" w:rsidP="0031057E">
            <w:pPr>
              <w:pStyle w:val="Tabletext0"/>
              <w:ind w:left="177"/>
              <w:rPr>
                <w:sz w:val="22"/>
              </w:rPr>
            </w:pPr>
            <w:r w:rsidRPr="00883399">
              <w:rPr>
                <w:sz w:val="22"/>
              </w:rPr>
              <w:t xml:space="preserve">part 4 (2000) </w:t>
            </w:r>
          </w:p>
          <w:p w14:paraId="64823845" w14:textId="77777777" w:rsidR="00872C03" w:rsidRPr="00883399" w:rsidRDefault="00872C03" w:rsidP="0031057E">
            <w:pPr>
              <w:pStyle w:val="Tabletext0"/>
              <w:ind w:left="177"/>
              <w:rPr>
                <w:sz w:val="22"/>
              </w:rPr>
            </w:pPr>
            <w:r w:rsidRPr="00883399">
              <w:rPr>
                <w:sz w:val="22"/>
              </w:rPr>
              <w:t>part 5 (2000)</w:t>
            </w:r>
          </w:p>
          <w:p w14:paraId="72B59A23" w14:textId="77777777" w:rsidR="00872C03" w:rsidRPr="00883399" w:rsidRDefault="00872C03" w:rsidP="0031057E">
            <w:pPr>
              <w:pStyle w:val="Tabletext0"/>
              <w:ind w:left="177"/>
              <w:rPr>
                <w:sz w:val="22"/>
              </w:rPr>
            </w:pPr>
            <w:r w:rsidRPr="00883399">
              <w:rPr>
                <w:sz w:val="22"/>
              </w:rPr>
              <w:t>part 6 (2002)</w:t>
            </w:r>
          </w:p>
          <w:p w14:paraId="3BE72035" w14:textId="77777777" w:rsidR="00872C03" w:rsidRPr="00883399" w:rsidRDefault="00872C03" w:rsidP="0031057E">
            <w:pPr>
              <w:pStyle w:val="Tabletext0"/>
              <w:rPr>
                <w:sz w:val="22"/>
              </w:rPr>
            </w:pPr>
            <w:r w:rsidRPr="00883399">
              <w:rPr>
                <w:sz w:val="22"/>
              </w:rPr>
              <w:t>ISO 6976:1995</w:t>
            </w:r>
          </w:p>
          <w:p w14:paraId="2CCB75E2" w14:textId="77777777" w:rsidR="00872C03" w:rsidRPr="00883399" w:rsidRDefault="00872C03" w:rsidP="0031057E">
            <w:pPr>
              <w:pStyle w:val="Tabletext0"/>
              <w:rPr>
                <w:sz w:val="22"/>
              </w:rPr>
            </w:pPr>
            <w:r w:rsidRPr="00883399">
              <w:rPr>
                <w:sz w:val="22"/>
              </w:rPr>
              <w:t>GPA 2172—96</w:t>
            </w:r>
          </w:p>
        </w:tc>
        <w:tc>
          <w:tcPr>
            <w:tcW w:w="3039" w:type="dxa"/>
            <w:tcBorders>
              <w:bottom w:val="single" w:sz="4" w:space="0" w:color="auto"/>
            </w:tcBorders>
            <w:shd w:val="clear" w:color="auto" w:fill="auto"/>
          </w:tcPr>
          <w:p w14:paraId="147636C5" w14:textId="77777777" w:rsidR="00872C03" w:rsidRPr="00883399" w:rsidRDefault="00872C03" w:rsidP="0031057E">
            <w:pPr>
              <w:pStyle w:val="Tabletext0"/>
              <w:rPr>
                <w:sz w:val="22"/>
              </w:rPr>
            </w:pPr>
            <w:r w:rsidRPr="00883399">
              <w:rPr>
                <w:sz w:val="22"/>
              </w:rPr>
              <w:t>ASTM D 1945—03</w:t>
            </w:r>
          </w:p>
          <w:p w14:paraId="161FEAFA" w14:textId="77777777" w:rsidR="00872C03" w:rsidRPr="00883399" w:rsidRDefault="00872C03" w:rsidP="0031057E">
            <w:pPr>
              <w:pStyle w:val="Tabletext0"/>
              <w:rPr>
                <w:sz w:val="22"/>
              </w:rPr>
            </w:pPr>
            <w:r w:rsidRPr="00883399">
              <w:rPr>
                <w:sz w:val="22"/>
              </w:rPr>
              <w:t>ASTM D 1946—90 (2006)</w:t>
            </w:r>
          </w:p>
          <w:p w14:paraId="61863044" w14:textId="77777777" w:rsidR="00872C03" w:rsidRPr="00883399" w:rsidRDefault="00872C03" w:rsidP="0031057E">
            <w:pPr>
              <w:pStyle w:val="Tabletext0"/>
              <w:rPr>
                <w:sz w:val="22"/>
              </w:rPr>
            </w:pPr>
            <w:r w:rsidRPr="00883399">
              <w:rPr>
                <w:sz w:val="22"/>
              </w:rPr>
              <w:t>ISO 6974</w:t>
            </w:r>
          </w:p>
          <w:p w14:paraId="73F68A6D" w14:textId="77777777" w:rsidR="00872C03" w:rsidRPr="00883399" w:rsidRDefault="00872C03" w:rsidP="0031057E">
            <w:pPr>
              <w:pStyle w:val="Tabletext0"/>
              <w:ind w:left="177"/>
              <w:rPr>
                <w:sz w:val="22"/>
              </w:rPr>
            </w:pPr>
            <w:r w:rsidRPr="00883399">
              <w:rPr>
                <w:sz w:val="22"/>
              </w:rPr>
              <w:t>part 1 (2000)</w:t>
            </w:r>
          </w:p>
          <w:p w14:paraId="54295CC0" w14:textId="77777777" w:rsidR="00872C03" w:rsidRPr="00883399" w:rsidRDefault="00872C03" w:rsidP="0031057E">
            <w:pPr>
              <w:pStyle w:val="Tabletext0"/>
              <w:ind w:left="177"/>
              <w:rPr>
                <w:sz w:val="22"/>
              </w:rPr>
            </w:pPr>
            <w:r w:rsidRPr="00883399">
              <w:rPr>
                <w:sz w:val="22"/>
              </w:rPr>
              <w:t xml:space="preserve">part 2 (2001) </w:t>
            </w:r>
          </w:p>
          <w:p w14:paraId="51D813FB" w14:textId="77777777" w:rsidR="00872C03" w:rsidRPr="00883399" w:rsidRDefault="00872C03" w:rsidP="0031057E">
            <w:pPr>
              <w:pStyle w:val="Tabletext0"/>
              <w:ind w:left="177"/>
              <w:rPr>
                <w:sz w:val="22"/>
              </w:rPr>
            </w:pPr>
            <w:r w:rsidRPr="00883399">
              <w:rPr>
                <w:sz w:val="22"/>
              </w:rPr>
              <w:t xml:space="preserve">part 3 (2000) </w:t>
            </w:r>
          </w:p>
          <w:p w14:paraId="6983630A" w14:textId="77777777" w:rsidR="00872C03" w:rsidRPr="00883399" w:rsidRDefault="00872C03" w:rsidP="0031057E">
            <w:pPr>
              <w:pStyle w:val="Tabletext0"/>
              <w:ind w:left="177"/>
              <w:rPr>
                <w:sz w:val="22"/>
              </w:rPr>
            </w:pPr>
            <w:r w:rsidRPr="00883399">
              <w:rPr>
                <w:sz w:val="22"/>
              </w:rPr>
              <w:t xml:space="preserve">part 4 (2000) </w:t>
            </w:r>
          </w:p>
          <w:p w14:paraId="707B752F" w14:textId="77777777" w:rsidR="00872C03" w:rsidRPr="00883399" w:rsidRDefault="00872C03" w:rsidP="0031057E">
            <w:pPr>
              <w:pStyle w:val="Tabletext0"/>
              <w:ind w:left="177"/>
              <w:rPr>
                <w:sz w:val="22"/>
              </w:rPr>
            </w:pPr>
            <w:r w:rsidRPr="00883399">
              <w:rPr>
                <w:sz w:val="22"/>
              </w:rPr>
              <w:t>part 5 (2000)</w:t>
            </w:r>
          </w:p>
          <w:p w14:paraId="4B4B8442" w14:textId="77777777" w:rsidR="00872C03" w:rsidRPr="00883399" w:rsidRDefault="00872C03" w:rsidP="0031057E">
            <w:pPr>
              <w:pStyle w:val="Tabletext0"/>
              <w:ind w:left="177"/>
              <w:rPr>
                <w:sz w:val="22"/>
              </w:rPr>
            </w:pPr>
            <w:r w:rsidRPr="00883399">
              <w:rPr>
                <w:sz w:val="22"/>
              </w:rPr>
              <w:t>part 6 (2002)</w:t>
            </w:r>
          </w:p>
          <w:p w14:paraId="2B1DBF4E" w14:textId="77777777" w:rsidR="00872C03" w:rsidRPr="00883399" w:rsidRDefault="00872C03" w:rsidP="0031057E">
            <w:pPr>
              <w:pStyle w:val="Tabletext0"/>
              <w:rPr>
                <w:sz w:val="22"/>
              </w:rPr>
            </w:pPr>
            <w:r w:rsidRPr="00883399">
              <w:rPr>
                <w:sz w:val="22"/>
              </w:rPr>
              <w:t>GPA 2145 – 03</w:t>
            </w:r>
          </w:p>
          <w:p w14:paraId="2F40D952" w14:textId="77777777" w:rsidR="00872C03" w:rsidRPr="00883399" w:rsidRDefault="00872C03" w:rsidP="0031057E">
            <w:pPr>
              <w:pStyle w:val="Tabletext0"/>
              <w:rPr>
                <w:sz w:val="22"/>
              </w:rPr>
            </w:pPr>
            <w:r w:rsidRPr="00883399">
              <w:rPr>
                <w:sz w:val="22"/>
              </w:rPr>
              <w:t>GPA 2261 – 00</w:t>
            </w:r>
          </w:p>
        </w:tc>
      </w:tr>
      <w:tr w:rsidR="00872C03" w:rsidRPr="00883399" w14:paraId="29958149" w14:textId="77777777" w:rsidTr="0031057E">
        <w:tc>
          <w:tcPr>
            <w:tcW w:w="828" w:type="dxa"/>
            <w:tcBorders>
              <w:top w:val="single" w:sz="4" w:space="0" w:color="auto"/>
              <w:bottom w:val="single" w:sz="4" w:space="0" w:color="auto"/>
            </w:tcBorders>
            <w:shd w:val="clear" w:color="auto" w:fill="auto"/>
          </w:tcPr>
          <w:p w14:paraId="0D98612F" w14:textId="77777777" w:rsidR="00872C03" w:rsidRPr="00883399" w:rsidRDefault="00872C03" w:rsidP="0031057E">
            <w:pPr>
              <w:pStyle w:val="Tabletext0"/>
              <w:rPr>
                <w:sz w:val="22"/>
              </w:rPr>
            </w:pPr>
            <w:bookmarkStart w:id="235" w:name="CU_4216922"/>
            <w:bookmarkEnd w:id="235"/>
            <w:r w:rsidRPr="00883399">
              <w:rPr>
                <w:sz w:val="22"/>
              </w:rPr>
              <w:t>3</w:t>
            </w:r>
          </w:p>
        </w:tc>
        <w:tc>
          <w:tcPr>
            <w:tcW w:w="1677" w:type="dxa"/>
            <w:tcBorders>
              <w:top w:val="single" w:sz="4" w:space="0" w:color="auto"/>
              <w:bottom w:val="single" w:sz="4" w:space="0" w:color="auto"/>
            </w:tcBorders>
            <w:shd w:val="clear" w:color="auto" w:fill="auto"/>
          </w:tcPr>
          <w:p w14:paraId="29D4FFBF" w14:textId="77777777" w:rsidR="00872C03" w:rsidRPr="00883399" w:rsidRDefault="00872C03" w:rsidP="0031057E">
            <w:pPr>
              <w:pStyle w:val="Tabletext0"/>
              <w:rPr>
                <w:sz w:val="22"/>
              </w:rPr>
            </w:pPr>
            <w:r w:rsidRPr="00883399">
              <w:rPr>
                <w:sz w:val="22"/>
              </w:rPr>
              <w:t>Coal mine waste gas that is captured for combustion</w:t>
            </w:r>
          </w:p>
        </w:tc>
        <w:tc>
          <w:tcPr>
            <w:tcW w:w="2124" w:type="dxa"/>
            <w:tcBorders>
              <w:top w:val="single" w:sz="4" w:space="0" w:color="auto"/>
              <w:bottom w:val="single" w:sz="4" w:space="0" w:color="auto"/>
            </w:tcBorders>
            <w:shd w:val="clear" w:color="auto" w:fill="auto"/>
          </w:tcPr>
          <w:p w14:paraId="6B641AA6" w14:textId="77777777" w:rsidR="00872C03" w:rsidRPr="00883399" w:rsidRDefault="00872C03" w:rsidP="0031057E">
            <w:pPr>
              <w:pStyle w:val="Tabletext0"/>
              <w:rPr>
                <w:sz w:val="22"/>
              </w:rPr>
            </w:pPr>
            <w:r w:rsidRPr="00883399">
              <w:rPr>
                <w:sz w:val="22"/>
              </w:rPr>
              <w:t>ASTM D 1826 – 94 (2003)</w:t>
            </w:r>
          </w:p>
          <w:p w14:paraId="7A5F5174" w14:textId="77777777" w:rsidR="00872C03" w:rsidRPr="00883399" w:rsidRDefault="00872C03" w:rsidP="0031057E">
            <w:pPr>
              <w:pStyle w:val="Tabletext0"/>
              <w:rPr>
                <w:sz w:val="22"/>
              </w:rPr>
            </w:pPr>
            <w:r w:rsidRPr="00883399">
              <w:rPr>
                <w:sz w:val="22"/>
              </w:rPr>
              <w:t>ASTM D 7164 – 05</w:t>
            </w:r>
          </w:p>
          <w:p w14:paraId="35C4D8C9" w14:textId="77777777" w:rsidR="00872C03" w:rsidRPr="00883399" w:rsidRDefault="00872C03" w:rsidP="0031057E">
            <w:pPr>
              <w:pStyle w:val="Tabletext0"/>
              <w:rPr>
                <w:sz w:val="22"/>
              </w:rPr>
            </w:pPr>
            <w:r w:rsidRPr="00883399">
              <w:rPr>
                <w:sz w:val="22"/>
              </w:rPr>
              <w:t>ASTM 3588—98 (2003)</w:t>
            </w:r>
          </w:p>
          <w:p w14:paraId="5BBD646B" w14:textId="77777777" w:rsidR="00872C03" w:rsidRPr="00883399" w:rsidRDefault="00872C03" w:rsidP="0031057E">
            <w:pPr>
              <w:pStyle w:val="Tabletext0"/>
              <w:rPr>
                <w:sz w:val="22"/>
              </w:rPr>
            </w:pPr>
            <w:r w:rsidRPr="00883399">
              <w:rPr>
                <w:sz w:val="22"/>
              </w:rPr>
              <w:t>ISO 6974</w:t>
            </w:r>
          </w:p>
          <w:p w14:paraId="0BC24F11" w14:textId="77777777" w:rsidR="00872C03" w:rsidRPr="00883399" w:rsidRDefault="00872C03" w:rsidP="0031057E">
            <w:pPr>
              <w:pStyle w:val="Tabletext0"/>
              <w:ind w:left="177"/>
              <w:rPr>
                <w:sz w:val="22"/>
              </w:rPr>
            </w:pPr>
            <w:r w:rsidRPr="00883399">
              <w:rPr>
                <w:sz w:val="22"/>
              </w:rPr>
              <w:t>part 1 (2000)</w:t>
            </w:r>
          </w:p>
          <w:p w14:paraId="385FEBC2" w14:textId="77777777" w:rsidR="00872C03" w:rsidRPr="00883399" w:rsidRDefault="00872C03" w:rsidP="0031057E">
            <w:pPr>
              <w:pStyle w:val="Tabletext0"/>
              <w:ind w:left="177"/>
              <w:rPr>
                <w:sz w:val="22"/>
              </w:rPr>
            </w:pPr>
            <w:r w:rsidRPr="00883399">
              <w:rPr>
                <w:sz w:val="22"/>
              </w:rPr>
              <w:t xml:space="preserve">part 2 (2001) </w:t>
            </w:r>
          </w:p>
          <w:p w14:paraId="52E44E3D" w14:textId="77777777" w:rsidR="00872C03" w:rsidRPr="00883399" w:rsidRDefault="00872C03" w:rsidP="0031057E">
            <w:pPr>
              <w:pStyle w:val="Tabletext0"/>
              <w:ind w:left="177"/>
              <w:rPr>
                <w:sz w:val="22"/>
              </w:rPr>
            </w:pPr>
            <w:r w:rsidRPr="00883399">
              <w:rPr>
                <w:sz w:val="22"/>
              </w:rPr>
              <w:t xml:space="preserve">part 3 (2000) </w:t>
            </w:r>
          </w:p>
          <w:p w14:paraId="1B9A4F0E" w14:textId="77777777" w:rsidR="00872C03" w:rsidRPr="00883399" w:rsidRDefault="00872C03" w:rsidP="0031057E">
            <w:pPr>
              <w:pStyle w:val="Tabletext0"/>
              <w:ind w:left="177"/>
              <w:rPr>
                <w:sz w:val="22"/>
              </w:rPr>
            </w:pPr>
            <w:r w:rsidRPr="00883399">
              <w:rPr>
                <w:sz w:val="22"/>
              </w:rPr>
              <w:t xml:space="preserve">part 4 (2000) </w:t>
            </w:r>
          </w:p>
          <w:p w14:paraId="09D79E36" w14:textId="77777777" w:rsidR="00872C03" w:rsidRPr="00883399" w:rsidRDefault="00872C03" w:rsidP="0031057E">
            <w:pPr>
              <w:pStyle w:val="Tabletext0"/>
              <w:ind w:left="177"/>
              <w:rPr>
                <w:sz w:val="22"/>
              </w:rPr>
            </w:pPr>
            <w:r w:rsidRPr="00883399">
              <w:rPr>
                <w:sz w:val="22"/>
              </w:rPr>
              <w:t>part 5 (2000)</w:t>
            </w:r>
          </w:p>
          <w:p w14:paraId="2FDD3417" w14:textId="77777777" w:rsidR="00872C03" w:rsidRPr="00883399" w:rsidRDefault="00872C03" w:rsidP="0031057E">
            <w:pPr>
              <w:pStyle w:val="Tabletext0"/>
              <w:ind w:left="177"/>
              <w:rPr>
                <w:sz w:val="22"/>
              </w:rPr>
            </w:pPr>
            <w:r w:rsidRPr="00883399">
              <w:rPr>
                <w:sz w:val="22"/>
              </w:rPr>
              <w:t>part 6 (2002)</w:t>
            </w:r>
          </w:p>
          <w:p w14:paraId="54243237" w14:textId="77777777" w:rsidR="00872C03" w:rsidRPr="00883399" w:rsidRDefault="00872C03" w:rsidP="0031057E">
            <w:pPr>
              <w:pStyle w:val="Tabletext0"/>
              <w:rPr>
                <w:sz w:val="22"/>
              </w:rPr>
            </w:pPr>
            <w:r w:rsidRPr="00883399">
              <w:rPr>
                <w:sz w:val="22"/>
              </w:rPr>
              <w:lastRenderedPageBreak/>
              <w:t>ISO 6976:1995</w:t>
            </w:r>
          </w:p>
          <w:p w14:paraId="0BA75C59" w14:textId="77777777" w:rsidR="00872C03" w:rsidRPr="00883399" w:rsidRDefault="00872C03" w:rsidP="0031057E">
            <w:pPr>
              <w:pStyle w:val="Tabletext0"/>
              <w:rPr>
                <w:sz w:val="22"/>
              </w:rPr>
            </w:pPr>
            <w:r w:rsidRPr="00883399">
              <w:rPr>
                <w:sz w:val="22"/>
              </w:rPr>
              <w:t>GPA 2172—96</w:t>
            </w:r>
          </w:p>
        </w:tc>
        <w:tc>
          <w:tcPr>
            <w:tcW w:w="3039" w:type="dxa"/>
            <w:tcBorders>
              <w:top w:val="single" w:sz="4" w:space="0" w:color="auto"/>
              <w:bottom w:val="single" w:sz="4" w:space="0" w:color="auto"/>
            </w:tcBorders>
            <w:shd w:val="clear" w:color="auto" w:fill="auto"/>
          </w:tcPr>
          <w:p w14:paraId="2E8E792E" w14:textId="77777777" w:rsidR="00872C03" w:rsidRPr="00883399" w:rsidRDefault="00872C03" w:rsidP="0031057E">
            <w:pPr>
              <w:pStyle w:val="Tabletext0"/>
              <w:rPr>
                <w:sz w:val="22"/>
              </w:rPr>
            </w:pPr>
            <w:r w:rsidRPr="00883399">
              <w:rPr>
                <w:sz w:val="22"/>
              </w:rPr>
              <w:lastRenderedPageBreak/>
              <w:t>ASTM D 1945 – 03</w:t>
            </w:r>
          </w:p>
          <w:p w14:paraId="2ACBB20E" w14:textId="77777777" w:rsidR="00872C03" w:rsidRPr="00883399" w:rsidRDefault="00872C03" w:rsidP="0031057E">
            <w:pPr>
              <w:pStyle w:val="Tabletext0"/>
              <w:rPr>
                <w:sz w:val="22"/>
              </w:rPr>
            </w:pPr>
            <w:r w:rsidRPr="00883399">
              <w:rPr>
                <w:sz w:val="22"/>
              </w:rPr>
              <w:t>ASTM D 1946 – 90 (2006)</w:t>
            </w:r>
          </w:p>
          <w:p w14:paraId="637A7C7B" w14:textId="77777777" w:rsidR="00872C03" w:rsidRPr="00883399" w:rsidRDefault="00872C03" w:rsidP="0031057E">
            <w:pPr>
              <w:pStyle w:val="Tabletext0"/>
              <w:rPr>
                <w:sz w:val="22"/>
              </w:rPr>
            </w:pPr>
            <w:r w:rsidRPr="00883399">
              <w:rPr>
                <w:sz w:val="22"/>
              </w:rPr>
              <w:t>ISO 6974</w:t>
            </w:r>
          </w:p>
          <w:p w14:paraId="6D0659C4" w14:textId="77777777" w:rsidR="00872C03" w:rsidRPr="00883399" w:rsidRDefault="00872C03" w:rsidP="0031057E">
            <w:pPr>
              <w:pStyle w:val="Tabletext0"/>
              <w:ind w:left="177"/>
              <w:rPr>
                <w:sz w:val="22"/>
              </w:rPr>
            </w:pPr>
            <w:r w:rsidRPr="00883399">
              <w:rPr>
                <w:sz w:val="22"/>
              </w:rPr>
              <w:t>part 1 (2000)</w:t>
            </w:r>
          </w:p>
          <w:p w14:paraId="27AEA14D" w14:textId="77777777" w:rsidR="00872C03" w:rsidRPr="00883399" w:rsidRDefault="00872C03" w:rsidP="0031057E">
            <w:pPr>
              <w:pStyle w:val="Tabletext0"/>
              <w:ind w:left="177"/>
              <w:rPr>
                <w:sz w:val="22"/>
              </w:rPr>
            </w:pPr>
            <w:r w:rsidRPr="00883399">
              <w:rPr>
                <w:sz w:val="22"/>
              </w:rPr>
              <w:t xml:space="preserve">part 2 (2001) </w:t>
            </w:r>
          </w:p>
          <w:p w14:paraId="716ECC6E" w14:textId="77777777" w:rsidR="00872C03" w:rsidRPr="00883399" w:rsidRDefault="00872C03" w:rsidP="0031057E">
            <w:pPr>
              <w:pStyle w:val="Tabletext0"/>
              <w:ind w:left="177"/>
              <w:rPr>
                <w:sz w:val="22"/>
              </w:rPr>
            </w:pPr>
            <w:r w:rsidRPr="00883399">
              <w:rPr>
                <w:sz w:val="22"/>
              </w:rPr>
              <w:t xml:space="preserve">part 3 (2000) </w:t>
            </w:r>
          </w:p>
          <w:p w14:paraId="42A58069" w14:textId="77777777" w:rsidR="00872C03" w:rsidRPr="00883399" w:rsidRDefault="00872C03" w:rsidP="0031057E">
            <w:pPr>
              <w:pStyle w:val="Tabletext0"/>
              <w:ind w:left="177"/>
              <w:rPr>
                <w:sz w:val="22"/>
              </w:rPr>
            </w:pPr>
            <w:r w:rsidRPr="00883399">
              <w:rPr>
                <w:sz w:val="22"/>
              </w:rPr>
              <w:t xml:space="preserve">part 4 (2000) </w:t>
            </w:r>
          </w:p>
          <w:p w14:paraId="623C1E13" w14:textId="77777777" w:rsidR="00872C03" w:rsidRPr="00883399" w:rsidRDefault="00872C03" w:rsidP="0031057E">
            <w:pPr>
              <w:pStyle w:val="Tabletext0"/>
              <w:ind w:left="177"/>
              <w:rPr>
                <w:sz w:val="22"/>
              </w:rPr>
            </w:pPr>
            <w:r w:rsidRPr="00883399">
              <w:rPr>
                <w:sz w:val="22"/>
              </w:rPr>
              <w:t>part 5 (2000)</w:t>
            </w:r>
          </w:p>
          <w:p w14:paraId="375AA841" w14:textId="77777777" w:rsidR="00872C03" w:rsidRPr="00883399" w:rsidRDefault="00872C03" w:rsidP="0031057E">
            <w:pPr>
              <w:pStyle w:val="Tabletext0"/>
              <w:ind w:left="177"/>
              <w:rPr>
                <w:sz w:val="22"/>
              </w:rPr>
            </w:pPr>
            <w:r w:rsidRPr="00883399">
              <w:rPr>
                <w:sz w:val="22"/>
              </w:rPr>
              <w:t>part 6 (2002)</w:t>
            </w:r>
          </w:p>
          <w:p w14:paraId="2BF587ED" w14:textId="77777777" w:rsidR="00872C03" w:rsidRPr="00883399" w:rsidRDefault="00872C03" w:rsidP="0031057E">
            <w:pPr>
              <w:pStyle w:val="Tabletext0"/>
              <w:rPr>
                <w:sz w:val="22"/>
              </w:rPr>
            </w:pPr>
            <w:r w:rsidRPr="00883399">
              <w:rPr>
                <w:sz w:val="22"/>
              </w:rPr>
              <w:t>GPA 2145 – 03</w:t>
            </w:r>
          </w:p>
          <w:p w14:paraId="056C5F6D" w14:textId="77777777" w:rsidR="00872C03" w:rsidRPr="00883399" w:rsidRDefault="00872C03" w:rsidP="0031057E">
            <w:pPr>
              <w:pStyle w:val="Tabletext0"/>
              <w:rPr>
                <w:sz w:val="22"/>
              </w:rPr>
            </w:pPr>
            <w:r w:rsidRPr="00883399">
              <w:rPr>
                <w:sz w:val="22"/>
              </w:rPr>
              <w:t>GPA 2261 – 00</w:t>
            </w:r>
          </w:p>
        </w:tc>
      </w:tr>
      <w:tr w:rsidR="00872C03" w:rsidRPr="00883399" w14:paraId="7E10F423" w14:textId="77777777" w:rsidTr="0031057E">
        <w:trPr>
          <w:cantSplit/>
        </w:trPr>
        <w:tc>
          <w:tcPr>
            <w:tcW w:w="828" w:type="dxa"/>
            <w:tcBorders>
              <w:top w:val="single" w:sz="4" w:space="0" w:color="auto"/>
            </w:tcBorders>
            <w:shd w:val="clear" w:color="auto" w:fill="auto"/>
          </w:tcPr>
          <w:p w14:paraId="678D9932" w14:textId="77777777" w:rsidR="00872C03" w:rsidRPr="00883399" w:rsidRDefault="00872C03" w:rsidP="0031057E">
            <w:pPr>
              <w:pStyle w:val="Tabletext0"/>
              <w:rPr>
                <w:sz w:val="22"/>
              </w:rPr>
            </w:pPr>
            <w:r w:rsidRPr="00883399">
              <w:rPr>
                <w:sz w:val="22"/>
              </w:rPr>
              <w:t>4</w:t>
            </w:r>
          </w:p>
        </w:tc>
        <w:tc>
          <w:tcPr>
            <w:tcW w:w="1677" w:type="dxa"/>
            <w:tcBorders>
              <w:top w:val="single" w:sz="4" w:space="0" w:color="auto"/>
            </w:tcBorders>
            <w:shd w:val="clear" w:color="auto" w:fill="auto"/>
          </w:tcPr>
          <w:p w14:paraId="3E3AFE89" w14:textId="77777777" w:rsidR="00872C03" w:rsidRPr="00883399" w:rsidRDefault="00872C03" w:rsidP="0031057E">
            <w:pPr>
              <w:pStyle w:val="Tabletext0"/>
              <w:rPr>
                <w:sz w:val="22"/>
              </w:rPr>
            </w:pPr>
            <w:r w:rsidRPr="00883399">
              <w:rPr>
                <w:sz w:val="22"/>
              </w:rPr>
              <w:t>Compressed natural gas</w:t>
            </w:r>
          </w:p>
        </w:tc>
        <w:tc>
          <w:tcPr>
            <w:tcW w:w="2124" w:type="dxa"/>
            <w:tcBorders>
              <w:top w:val="single" w:sz="4" w:space="0" w:color="auto"/>
            </w:tcBorders>
            <w:shd w:val="clear" w:color="auto" w:fill="auto"/>
          </w:tcPr>
          <w:p w14:paraId="7843B2C5" w14:textId="77777777" w:rsidR="00872C03" w:rsidRPr="00883399" w:rsidRDefault="00872C03" w:rsidP="0031057E">
            <w:pPr>
              <w:pStyle w:val="Tabletext0"/>
              <w:rPr>
                <w:sz w:val="22"/>
              </w:rPr>
            </w:pPr>
            <w:r w:rsidRPr="00883399">
              <w:rPr>
                <w:sz w:val="22"/>
              </w:rPr>
              <w:t>ASTM 3588—98 (2003)</w:t>
            </w:r>
          </w:p>
        </w:tc>
        <w:tc>
          <w:tcPr>
            <w:tcW w:w="3039" w:type="dxa"/>
            <w:tcBorders>
              <w:top w:val="single" w:sz="4" w:space="0" w:color="auto"/>
            </w:tcBorders>
            <w:shd w:val="clear" w:color="auto" w:fill="auto"/>
          </w:tcPr>
          <w:p w14:paraId="582E2A13" w14:textId="77777777" w:rsidR="00872C03" w:rsidRPr="00883399" w:rsidRDefault="00872C03" w:rsidP="0031057E">
            <w:pPr>
              <w:pStyle w:val="Tabletext0"/>
              <w:rPr>
                <w:sz w:val="22"/>
              </w:rPr>
            </w:pPr>
            <w:r w:rsidRPr="00883399">
              <w:rPr>
                <w:sz w:val="22"/>
              </w:rPr>
              <w:t>N/A</w:t>
            </w:r>
          </w:p>
        </w:tc>
      </w:tr>
      <w:tr w:rsidR="00872C03" w:rsidRPr="00883399" w14:paraId="54E177AC" w14:textId="77777777" w:rsidTr="0031057E">
        <w:tc>
          <w:tcPr>
            <w:tcW w:w="828" w:type="dxa"/>
            <w:shd w:val="clear" w:color="auto" w:fill="auto"/>
          </w:tcPr>
          <w:p w14:paraId="6B72EFBA" w14:textId="77777777" w:rsidR="00872C03" w:rsidRPr="00883399" w:rsidRDefault="00872C03" w:rsidP="0031057E">
            <w:pPr>
              <w:pStyle w:val="Tabletext0"/>
              <w:rPr>
                <w:sz w:val="22"/>
              </w:rPr>
            </w:pPr>
            <w:r w:rsidRPr="00883399">
              <w:rPr>
                <w:sz w:val="22"/>
              </w:rPr>
              <w:t>5</w:t>
            </w:r>
          </w:p>
        </w:tc>
        <w:tc>
          <w:tcPr>
            <w:tcW w:w="1677" w:type="dxa"/>
            <w:shd w:val="clear" w:color="auto" w:fill="auto"/>
          </w:tcPr>
          <w:p w14:paraId="3363AD14" w14:textId="77777777" w:rsidR="00872C03" w:rsidRPr="00883399" w:rsidRDefault="00872C03" w:rsidP="0031057E">
            <w:pPr>
              <w:pStyle w:val="Tabletext0"/>
              <w:rPr>
                <w:sz w:val="22"/>
              </w:rPr>
            </w:pPr>
            <w:r w:rsidRPr="00883399">
              <w:rPr>
                <w:sz w:val="22"/>
              </w:rPr>
              <w:t>Unprocessed natural gas</w:t>
            </w:r>
          </w:p>
        </w:tc>
        <w:tc>
          <w:tcPr>
            <w:tcW w:w="2124" w:type="dxa"/>
            <w:shd w:val="clear" w:color="auto" w:fill="auto"/>
          </w:tcPr>
          <w:p w14:paraId="11F3B182" w14:textId="77777777" w:rsidR="00872C03" w:rsidRPr="00883399" w:rsidRDefault="00872C03" w:rsidP="0031057E">
            <w:pPr>
              <w:pStyle w:val="Tabletext0"/>
              <w:rPr>
                <w:sz w:val="22"/>
              </w:rPr>
            </w:pPr>
            <w:r w:rsidRPr="00883399">
              <w:rPr>
                <w:sz w:val="22"/>
              </w:rPr>
              <w:t>ASTM D 1826—94 (2003)</w:t>
            </w:r>
          </w:p>
          <w:p w14:paraId="4CED8884" w14:textId="77777777" w:rsidR="00872C03" w:rsidRPr="00883399" w:rsidRDefault="00872C03" w:rsidP="0031057E">
            <w:pPr>
              <w:pStyle w:val="Tabletext0"/>
              <w:rPr>
                <w:sz w:val="22"/>
              </w:rPr>
            </w:pPr>
            <w:r w:rsidRPr="00883399">
              <w:rPr>
                <w:sz w:val="22"/>
              </w:rPr>
              <w:t>ASTM D 7164—05</w:t>
            </w:r>
          </w:p>
          <w:p w14:paraId="4F9B03F2" w14:textId="77777777" w:rsidR="00872C03" w:rsidRPr="00883399" w:rsidRDefault="00872C03" w:rsidP="0031057E">
            <w:pPr>
              <w:pStyle w:val="Tabletext0"/>
              <w:rPr>
                <w:sz w:val="22"/>
              </w:rPr>
            </w:pPr>
            <w:r w:rsidRPr="00883399">
              <w:rPr>
                <w:sz w:val="22"/>
              </w:rPr>
              <w:t>ISO 6974</w:t>
            </w:r>
          </w:p>
          <w:p w14:paraId="08F34C82" w14:textId="77777777" w:rsidR="00872C03" w:rsidRPr="00883399" w:rsidRDefault="00872C03" w:rsidP="0031057E">
            <w:pPr>
              <w:pStyle w:val="Tabletext0"/>
              <w:ind w:left="177"/>
              <w:rPr>
                <w:sz w:val="22"/>
              </w:rPr>
            </w:pPr>
            <w:r w:rsidRPr="00883399">
              <w:rPr>
                <w:sz w:val="22"/>
              </w:rPr>
              <w:t>part 1 (2000)</w:t>
            </w:r>
          </w:p>
          <w:p w14:paraId="78CAD8C9" w14:textId="77777777" w:rsidR="00872C03" w:rsidRPr="00883399" w:rsidRDefault="00872C03" w:rsidP="0031057E">
            <w:pPr>
              <w:pStyle w:val="Tabletext0"/>
              <w:ind w:left="177"/>
              <w:rPr>
                <w:sz w:val="22"/>
              </w:rPr>
            </w:pPr>
            <w:r w:rsidRPr="00883399">
              <w:rPr>
                <w:sz w:val="22"/>
              </w:rPr>
              <w:t xml:space="preserve">part 2 (2001) </w:t>
            </w:r>
          </w:p>
          <w:p w14:paraId="18EB94C0" w14:textId="77777777" w:rsidR="00872C03" w:rsidRPr="00883399" w:rsidRDefault="00872C03" w:rsidP="0031057E">
            <w:pPr>
              <w:pStyle w:val="Tabletext0"/>
              <w:ind w:left="177"/>
              <w:rPr>
                <w:sz w:val="22"/>
              </w:rPr>
            </w:pPr>
            <w:r w:rsidRPr="00883399">
              <w:rPr>
                <w:sz w:val="22"/>
              </w:rPr>
              <w:t xml:space="preserve">part 3 (2000) </w:t>
            </w:r>
          </w:p>
          <w:p w14:paraId="20B65BCC" w14:textId="77777777" w:rsidR="00872C03" w:rsidRPr="00883399" w:rsidRDefault="00872C03" w:rsidP="0031057E">
            <w:pPr>
              <w:pStyle w:val="Tabletext0"/>
              <w:ind w:left="177"/>
              <w:rPr>
                <w:sz w:val="22"/>
              </w:rPr>
            </w:pPr>
            <w:r w:rsidRPr="00883399">
              <w:rPr>
                <w:sz w:val="22"/>
              </w:rPr>
              <w:t xml:space="preserve">part 4 (2000) </w:t>
            </w:r>
          </w:p>
          <w:p w14:paraId="0EEC76FB" w14:textId="77777777" w:rsidR="00872C03" w:rsidRPr="00883399" w:rsidRDefault="00872C03" w:rsidP="0031057E">
            <w:pPr>
              <w:pStyle w:val="Tabletext0"/>
              <w:ind w:left="177"/>
              <w:rPr>
                <w:sz w:val="22"/>
              </w:rPr>
            </w:pPr>
            <w:r w:rsidRPr="00883399">
              <w:rPr>
                <w:sz w:val="22"/>
              </w:rPr>
              <w:t>part 5 (2000)</w:t>
            </w:r>
          </w:p>
          <w:p w14:paraId="209D34CE" w14:textId="77777777" w:rsidR="00872C03" w:rsidRPr="00883399" w:rsidRDefault="00872C03" w:rsidP="0031057E">
            <w:pPr>
              <w:pStyle w:val="Tabletext0"/>
              <w:ind w:left="177"/>
              <w:rPr>
                <w:sz w:val="22"/>
              </w:rPr>
            </w:pPr>
            <w:r w:rsidRPr="00883399">
              <w:rPr>
                <w:sz w:val="22"/>
              </w:rPr>
              <w:t>part 6 (2002)</w:t>
            </w:r>
          </w:p>
          <w:p w14:paraId="49FF9076" w14:textId="77777777" w:rsidR="00872C03" w:rsidRPr="00883399" w:rsidRDefault="00872C03" w:rsidP="0031057E">
            <w:pPr>
              <w:pStyle w:val="Tabletext0"/>
              <w:rPr>
                <w:sz w:val="22"/>
              </w:rPr>
            </w:pPr>
            <w:r w:rsidRPr="00883399">
              <w:rPr>
                <w:sz w:val="22"/>
              </w:rPr>
              <w:t>ISO 6976:1995</w:t>
            </w:r>
          </w:p>
          <w:p w14:paraId="6C55DF99" w14:textId="77777777" w:rsidR="00872C03" w:rsidRPr="00883399" w:rsidRDefault="00872C03" w:rsidP="0031057E">
            <w:pPr>
              <w:pStyle w:val="Tabletext0"/>
              <w:rPr>
                <w:sz w:val="22"/>
              </w:rPr>
            </w:pPr>
            <w:r w:rsidRPr="00883399">
              <w:rPr>
                <w:sz w:val="22"/>
              </w:rPr>
              <w:t>GPA 2172—96</w:t>
            </w:r>
          </w:p>
        </w:tc>
        <w:tc>
          <w:tcPr>
            <w:tcW w:w="3039" w:type="dxa"/>
            <w:shd w:val="clear" w:color="auto" w:fill="auto"/>
          </w:tcPr>
          <w:p w14:paraId="356FDD87" w14:textId="77777777" w:rsidR="00872C03" w:rsidRPr="00883399" w:rsidRDefault="00872C03" w:rsidP="0031057E">
            <w:pPr>
              <w:pStyle w:val="Tabletext0"/>
              <w:rPr>
                <w:sz w:val="22"/>
              </w:rPr>
            </w:pPr>
            <w:r w:rsidRPr="00883399">
              <w:rPr>
                <w:sz w:val="22"/>
              </w:rPr>
              <w:t>ASTM D 1945—03</w:t>
            </w:r>
          </w:p>
          <w:p w14:paraId="1F926215" w14:textId="77777777" w:rsidR="00872C03" w:rsidRPr="00883399" w:rsidRDefault="00872C03" w:rsidP="0031057E">
            <w:pPr>
              <w:pStyle w:val="Tabletext0"/>
              <w:rPr>
                <w:sz w:val="22"/>
              </w:rPr>
            </w:pPr>
            <w:r w:rsidRPr="00883399">
              <w:rPr>
                <w:sz w:val="22"/>
              </w:rPr>
              <w:t>ASTM D 1946—90 (2006)</w:t>
            </w:r>
          </w:p>
          <w:p w14:paraId="4DC97188" w14:textId="77777777" w:rsidR="00872C03" w:rsidRPr="00883399" w:rsidRDefault="00872C03" w:rsidP="0031057E">
            <w:pPr>
              <w:pStyle w:val="Tabletext0"/>
              <w:rPr>
                <w:sz w:val="22"/>
              </w:rPr>
            </w:pPr>
            <w:r w:rsidRPr="00883399">
              <w:rPr>
                <w:sz w:val="22"/>
              </w:rPr>
              <w:t>ISO 6974</w:t>
            </w:r>
          </w:p>
          <w:p w14:paraId="44154732" w14:textId="77777777" w:rsidR="00872C03" w:rsidRPr="00883399" w:rsidRDefault="00872C03" w:rsidP="0031057E">
            <w:pPr>
              <w:pStyle w:val="Tabletext0"/>
              <w:ind w:left="177"/>
              <w:rPr>
                <w:sz w:val="22"/>
              </w:rPr>
            </w:pPr>
            <w:r w:rsidRPr="00883399">
              <w:rPr>
                <w:sz w:val="22"/>
              </w:rPr>
              <w:t>part 1 (2000)</w:t>
            </w:r>
          </w:p>
          <w:p w14:paraId="7F592C5E" w14:textId="77777777" w:rsidR="00872C03" w:rsidRPr="00883399" w:rsidRDefault="00872C03" w:rsidP="0031057E">
            <w:pPr>
              <w:pStyle w:val="Tabletext0"/>
              <w:ind w:left="177"/>
              <w:rPr>
                <w:sz w:val="22"/>
              </w:rPr>
            </w:pPr>
            <w:r w:rsidRPr="00883399">
              <w:rPr>
                <w:sz w:val="22"/>
              </w:rPr>
              <w:t xml:space="preserve">part 2 (2001) </w:t>
            </w:r>
          </w:p>
          <w:p w14:paraId="1B07FEDF" w14:textId="77777777" w:rsidR="00872C03" w:rsidRPr="00883399" w:rsidRDefault="00872C03" w:rsidP="0031057E">
            <w:pPr>
              <w:pStyle w:val="Tabletext0"/>
              <w:ind w:left="177"/>
              <w:rPr>
                <w:sz w:val="22"/>
              </w:rPr>
            </w:pPr>
            <w:r w:rsidRPr="00883399">
              <w:rPr>
                <w:sz w:val="22"/>
              </w:rPr>
              <w:t xml:space="preserve">part 3 (2000) </w:t>
            </w:r>
          </w:p>
          <w:p w14:paraId="1CC97A12" w14:textId="77777777" w:rsidR="00872C03" w:rsidRPr="00883399" w:rsidRDefault="00872C03" w:rsidP="0031057E">
            <w:pPr>
              <w:pStyle w:val="Tabletext0"/>
              <w:ind w:left="177"/>
              <w:rPr>
                <w:sz w:val="22"/>
              </w:rPr>
            </w:pPr>
            <w:r w:rsidRPr="00883399">
              <w:rPr>
                <w:sz w:val="22"/>
              </w:rPr>
              <w:t>part 4 (2000)</w:t>
            </w:r>
          </w:p>
          <w:p w14:paraId="785CBBD5" w14:textId="77777777" w:rsidR="00872C03" w:rsidRPr="00883399" w:rsidRDefault="00872C03" w:rsidP="0031057E">
            <w:pPr>
              <w:pStyle w:val="Tabletext0"/>
              <w:ind w:left="177"/>
              <w:rPr>
                <w:sz w:val="22"/>
              </w:rPr>
            </w:pPr>
            <w:r w:rsidRPr="00883399">
              <w:rPr>
                <w:sz w:val="22"/>
              </w:rPr>
              <w:t xml:space="preserve">part 5 (2000) </w:t>
            </w:r>
          </w:p>
          <w:p w14:paraId="189EDC88" w14:textId="77777777" w:rsidR="00872C03" w:rsidRPr="00883399" w:rsidRDefault="00872C03" w:rsidP="0031057E">
            <w:pPr>
              <w:pStyle w:val="Tabletext0"/>
              <w:ind w:left="177"/>
              <w:rPr>
                <w:sz w:val="22"/>
              </w:rPr>
            </w:pPr>
            <w:r w:rsidRPr="00883399">
              <w:rPr>
                <w:sz w:val="22"/>
              </w:rPr>
              <w:t>part 6 (2002)</w:t>
            </w:r>
          </w:p>
          <w:p w14:paraId="217F1484" w14:textId="77777777" w:rsidR="00872C03" w:rsidRPr="00883399" w:rsidRDefault="00872C03" w:rsidP="0031057E">
            <w:pPr>
              <w:pStyle w:val="Tabletext0"/>
              <w:rPr>
                <w:sz w:val="22"/>
              </w:rPr>
            </w:pPr>
            <w:r w:rsidRPr="00883399">
              <w:rPr>
                <w:sz w:val="22"/>
              </w:rPr>
              <w:t>GPA 2145 – 03</w:t>
            </w:r>
          </w:p>
          <w:p w14:paraId="2342CDE4" w14:textId="77777777" w:rsidR="00872C03" w:rsidRPr="00883399" w:rsidRDefault="00872C03" w:rsidP="0031057E">
            <w:pPr>
              <w:pStyle w:val="Tabletext0"/>
              <w:rPr>
                <w:sz w:val="22"/>
              </w:rPr>
            </w:pPr>
            <w:r w:rsidRPr="00883399">
              <w:rPr>
                <w:sz w:val="22"/>
              </w:rPr>
              <w:t>GPA 2261 – 00</w:t>
            </w:r>
          </w:p>
        </w:tc>
      </w:tr>
      <w:tr w:rsidR="00872C03" w:rsidRPr="00883399" w14:paraId="29D13796" w14:textId="77777777" w:rsidTr="0031057E">
        <w:tc>
          <w:tcPr>
            <w:tcW w:w="828" w:type="dxa"/>
            <w:shd w:val="clear" w:color="auto" w:fill="auto"/>
          </w:tcPr>
          <w:p w14:paraId="68B8E523" w14:textId="77777777" w:rsidR="00872C03" w:rsidRPr="00883399" w:rsidRDefault="00872C03" w:rsidP="0031057E">
            <w:pPr>
              <w:pStyle w:val="Tabletext0"/>
              <w:rPr>
                <w:sz w:val="22"/>
              </w:rPr>
            </w:pPr>
            <w:r w:rsidRPr="00883399">
              <w:rPr>
                <w:sz w:val="22"/>
              </w:rPr>
              <w:t>6</w:t>
            </w:r>
          </w:p>
        </w:tc>
        <w:tc>
          <w:tcPr>
            <w:tcW w:w="1677" w:type="dxa"/>
            <w:shd w:val="clear" w:color="auto" w:fill="auto"/>
          </w:tcPr>
          <w:p w14:paraId="183B5FE3" w14:textId="77777777" w:rsidR="00872C03" w:rsidRPr="00883399" w:rsidRDefault="00872C03" w:rsidP="0031057E">
            <w:pPr>
              <w:pStyle w:val="Tabletext0"/>
              <w:rPr>
                <w:sz w:val="22"/>
              </w:rPr>
            </w:pPr>
            <w:r w:rsidRPr="00883399">
              <w:rPr>
                <w:sz w:val="22"/>
              </w:rPr>
              <w:t>Ethane</w:t>
            </w:r>
          </w:p>
        </w:tc>
        <w:tc>
          <w:tcPr>
            <w:tcW w:w="2124" w:type="dxa"/>
            <w:shd w:val="clear" w:color="auto" w:fill="auto"/>
          </w:tcPr>
          <w:p w14:paraId="38DA37B8" w14:textId="77777777" w:rsidR="00872C03" w:rsidRPr="00883399" w:rsidRDefault="00872C03" w:rsidP="0031057E">
            <w:pPr>
              <w:pStyle w:val="Tabletext0"/>
              <w:rPr>
                <w:sz w:val="22"/>
              </w:rPr>
            </w:pPr>
            <w:r w:rsidRPr="00883399">
              <w:rPr>
                <w:sz w:val="22"/>
              </w:rPr>
              <w:t>ASTM D 3588 – 98 (2003)</w:t>
            </w:r>
          </w:p>
          <w:p w14:paraId="269866C9" w14:textId="77777777" w:rsidR="00872C03" w:rsidRPr="00883399" w:rsidRDefault="00872C03" w:rsidP="0031057E">
            <w:pPr>
              <w:pStyle w:val="Tabletext0"/>
              <w:rPr>
                <w:sz w:val="22"/>
              </w:rPr>
            </w:pPr>
            <w:r w:rsidRPr="00883399">
              <w:rPr>
                <w:sz w:val="22"/>
              </w:rPr>
              <w:t>IS0 6976:1995</w:t>
            </w:r>
          </w:p>
        </w:tc>
        <w:tc>
          <w:tcPr>
            <w:tcW w:w="3039" w:type="dxa"/>
            <w:shd w:val="clear" w:color="auto" w:fill="auto"/>
          </w:tcPr>
          <w:p w14:paraId="3FABF7CC" w14:textId="77777777" w:rsidR="00872C03" w:rsidRPr="00883399" w:rsidRDefault="00872C03" w:rsidP="0031057E">
            <w:pPr>
              <w:pStyle w:val="Tabletext0"/>
              <w:rPr>
                <w:sz w:val="22"/>
              </w:rPr>
            </w:pPr>
            <w:r w:rsidRPr="00883399">
              <w:rPr>
                <w:sz w:val="22"/>
              </w:rPr>
              <w:t>ASTM D 1945 – 03</w:t>
            </w:r>
          </w:p>
          <w:p w14:paraId="434E3197" w14:textId="77777777" w:rsidR="00872C03" w:rsidRPr="00883399" w:rsidRDefault="00872C03" w:rsidP="0031057E">
            <w:pPr>
              <w:pStyle w:val="Tabletext0"/>
              <w:rPr>
                <w:sz w:val="22"/>
              </w:rPr>
            </w:pPr>
            <w:r w:rsidRPr="00883399">
              <w:rPr>
                <w:sz w:val="22"/>
              </w:rPr>
              <w:t>ASTM D 1946 – 90 (2006)</w:t>
            </w:r>
          </w:p>
        </w:tc>
      </w:tr>
      <w:tr w:rsidR="00872C03" w:rsidRPr="00883399" w14:paraId="2E10C28B" w14:textId="77777777" w:rsidTr="0031057E">
        <w:tc>
          <w:tcPr>
            <w:tcW w:w="828" w:type="dxa"/>
            <w:shd w:val="clear" w:color="auto" w:fill="auto"/>
          </w:tcPr>
          <w:p w14:paraId="5A4E4524" w14:textId="77777777" w:rsidR="00872C03" w:rsidRPr="00883399" w:rsidRDefault="00872C03" w:rsidP="0031057E">
            <w:pPr>
              <w:pStyle w:val="Tabletext0"/>
              <w:rPr>
                <w:sz w:val="22"/>
              </w:rPr>
            </w:pPr>
            <w:r w:rsidRPr="00883399">
              <w:rPr>
                <w:sz w:val="22"/>
              </w:rPr>
              <w:t>7</w:t>
            </w:r>
          </w:p>
        </w:tc>
        <w:tc>
          <w:tcPr>
            <w:tcW w:w="1677" w:type="dxa"/>
            <w:shd w:val="clear" w:color="auto" w:fill="auto"/>
          </w:tcPr>
          <w:p w14:paraId="07BF5325" w14:textId="77777777" w:rsidR="00872C03" w:rsidRPr="00883399" w:rsidRDefault="00872C03" w:rsidP="0031057E">
            <w:pPr>
              <w:pStyle w:val="Tabletext0"/>
              <w:rPr>
                <w:sz w:val="22"/>
              </w:rPr>
            </w:pPr>
            <w:r w:rsidRPr="00883399">
              <w:rPr>
                <w:sz w:val="22"/>
              </w:rPr>
              <w:t>Coke oven gas</w:t>
            </w:r>
          </w:p>
        </w:tc>
        <w:tc>
          <w:tcPr>
            <w:tcW w:w="2124" w:type="dxa"/>
            <w:shd w:val="clear" w:color="auto" w:fill="auto"/>
          </w:tcPr>
          <w:p w14:paraId="51E5567B" w14:textId="77777777" w:rsidR="00872C03" w:rsidRPr="00883399" w:rsidRDefault="00872C03" w:rsidP="0031057E">
            <w:pPr>
              <w:pStyle w:val="Tabletext0"/>
              <w:rPr>
                <w:sz w:val="22"/>
              </w:rPr>
            </w:pPr>
            <w:r w:rsidRPr="00883399">
              <w:rPr>
                <w:sz w:val="22"/>
              </w:rPr>
              <w:t>ASTM D 3588—98 (2003)</w:t>
            </w:r>
          </w:p>
          <w:p w14:paraId="663394AF" w14:textId="77777777" w:rsidR="00872C03" w:rsidRPr="00883399" w:rsidRDefault="00872C03" w:rsidP="0031057E">
            <w:pPr>
              <w:pStyle w:val="Tabletext0"/>
              <w:rPr>
                <w:sz w:val="22"/>
              </w:rPr>
            </w:pPr>
            <w:r w:rsidRPr="00883399">
              <w:rPr>
                <w:sz w:val="22"/>
              </w:rPr>
              <w:t>ISO 6976:1995</w:t>
            </w:r>
          </w:p>
        </w:tc>
        <w:tc>
          <w:tcPr>
            <w:tcW w:w="3039" w:type="dxa"/>
            <w:shd w:val="clear" w:color="auto" w:fill="auto"/>
          </w:tcPr>
          <w:p w14:paraId="63DBDBE8" w14:textId="77777777" w:rsidR="00872C03" w:rsidRPr="00883399" w:rsidRDefault="00872C03" w:rsidP="0031057E">
            <w:pPr>
              <w:pStyle w:val="Tabletext0"/>
              <w:rPr>
                <w:sz w:val="22"/>
              </w:rPr>
            </w:pPr>
            <w:r w:rsidRPr="00883399">
              <w:rPr>
                <w:sz w:val="22"/>
              </w:rPr>
              <w:t>ASTM D 1945—03</w:t>
            </w:r>
          </w:p>
          <w:p w14:paraId="0490476D" w14:textId="77777777" w:rsidR="00872C03" w:rsidRPr="00883399" w:rsidRDefault="00872C03" w:rsidP="0031057E">
            <w:pPr>
              <w:pStyle w:val="Tabletext0"/>
              <w:rPr>
                <w:sz w:val="22"/>
              </w:rPr>
            </w:pPr>
            <w:r w:rsidRPr="00883399">
              <w:rPr>
                <w:sz w:val="22"/>
              </w:rPr>
              <w:t>ASTM D 1946—90 (2006)</w:t>
            </w:r>
          </w:p>
        </w:tc>
      </w:tr>
      <w:tr w:rsidR="00872C03" w:rsidRPr="00883399" w14:paraId="4AEF5FF5" w14:textId="77777777" w:rsidTr="0031057E">
        <w:tc>
          <w:tcPr>
            <w:tcW w:w="828" w:type="dxa"/>
            <w:tcBorders>
              <w:bottom w:val="single" w:sz="4" w:space="0" w:color="auto"/>
            </w:tcBorders>
            <w:shd w:val="clear" w:color="auto" w:fill="auto"/>
          </w:tcPr>
          <w:p w14:paraId="54040CD6" w14:textId="77777777" w:rsidR="00872C03" w:rsidRPr="00883399" w:rsidRDefault="00872C03" w:rsidP="0031057E">
            <w:pPr>
              <w:pStyle w:val="Tabletext0"/>
              <w:rPr>
                <w:sz w:val="22"/>
              </w:rPr>
            </w:pPr>
            <w:r w:rsidRPr="00883399">
              <w:rPr>
                <w:sz w:val="22"/>
              </w:rPr>
              <w:t>8</w:t>
            </w:r>
          </w:p>
        </w:tc>
        <w:tc>
          <w:tcPr>
            <w:tcW w:w="1677" w:type="dxa"/>
            <w:tcBorders>
              <w:bottom w:val="single" w:sz="4" w:space="0" w:color="auto"/>
            </w:tcBorders>
            <w:shd w:val="clear" w:color="auto" w:fill="auto"/>
          </w:tcPr>
          <w:p w14:paraId="3A6D4C61" w14:textId="77777777" w:rsidR="00872C03" w:rsidRPr="00883399" w:rsidRDefault="00872C03" w:rsidP="0031057E">
            <w:pPr>
              <w:pStyle w:val="Tabletext0"/>
              <w:rPr>
                <w:sz w:val="22"/>
              </w:rPr>
            </w:pPr>
            <w:r w:rsidRPr="00883399">
              <w:rPr>
                <w:sz w:val="22"/>
              </w:rPr>
              <w:t>Blast furnace gas</w:t>
            </w:r>
          </w:p>
        </w:tc>
        <w:tc>
          <w:tcPr>
            <w:tcW w:w="2124" w:type="dxa"/>
            <w:tcBorders>
              <w:bottom w:val="single" w:sz="4" w:space="0" w:color="auto"/>
            </w:tcBorders>
            <w:shd w:val="clear" w:color="auto" w:fill="auto"/>
          </w:tcPr>
          <w:p w14:paraId="0E17E887" w14:textId="77777777" w:rsidR="00872C03" w:rsidRPr="00883399" w:rsidRDefault="00872C03" w:rsidP="0031057E">
            <w:pPr>
              <w:pStyle w:val="Tabletext0"/>
              <w:rPr>
                <w:sz w:val="22"/>
              </w:rPr>
            </w:pPr>
            <w:r w:rsidRPr="00883399">
              <w:rPr>
                <w:sz w:val="22"/>
              </w:rPr>
              <w:t>ASTM D 3588—98 (2003)</w:t>
            </w:r>
          </w:p>
          <w:p w14:paraId="46403ADD" w14:textId="77777777" w:rsidR="00872C03" w:rsidRPr="00883399" w:rsidRDefault="00872C03" w:rsidP="0031057E">
            <w:pPr>
              <w:pStyle w:val="Tabletext0"/>
              <w:rPr>
                <w:sz w:val="22"/>
              </w:rPr>
            </w:pPr>
            <w:r w:rsidRPr="00883399">
              <w:rPr>
                <w:sz w:val="22"/>
              </w:rPr>
              <w:t>ISO 6976:1995</w:t>
            </w:r>
          </w:p>
        </w:tc>
        <w:tc>
          <w:tcPr>
            <w:tcW w:w="3039" w:type="dxa"/>
            <w:tcBorders>
              <w:bottom w:val="single" w:sz="4" w:space="0" w:color="auto"/>
            </w:tcBorders>
            <w:shd w:val="clear" w:color="auto" w:fill="auto"/>
          </w:tcPr>
          <w:p w14:paraId="291F167D" w14:textId="77777777" w:rsidR="00872C03" w:rsidRPr="00883399" w:rsidRDefault="00872C03" w:rsidP="0031057E">
            <w:pPr>
              <w:pStyle w:val="Tabletext0"/>
              <w:rPr>
                <w:sz w:val="22"/>
              </w:rPr>
            </w:pPr>
            <w:r w:rsidRPr="00883399">
              <w:rPr>
                <w:sz w:val="22"/>
              </w:rPr>
              <w:t>ASTM D 1945—03</w:t>
            </w:r>
          </w:p>
          <w:p w14:paraId="28AE89F6" w14:textId="77777777" w:rsidR="00872C03" w:rsidRPr="00883399" w:rsidRDefault="00872C03" w:rsidP="0031057E">
            <w:pPr>
              <w:pStyle w:val="Tabletext0"/>
              <w:rPr>
                <w:sz w:val="22"/>
              </w:rPr>
            </w:pPr>
            <w:r w:rsidRPr="00883399">
              <w:rPr>
                <w:sz w:val="22"/>
              </w:rPr>
              <w:t>ASTM D 1946—90 (2006)</w:t>
            </w:r>
          </w:p>
        </w:tc>
      </w:tr>
      <w:tr w:rsidR="00872C03" w:rsidRPr="00883399" w14:paraId="7C27E1CF" w14:textId="77777777" w:rsidTr="0031057E">
        <w:tc>
          <w:tcPr>
            <w:tcW w:w="828" w:type="dxa"/>
            <w:tcBorders>
              <w:bottom w:val="single" w:sz="4" w:space="0" w:color="auto"/>
            </w:tcBorders>
            <w:shd w:val="clear" w:color="auto" w:fill="auto"/>
          </w:tcPr>
          <w:p w14:paraId="5C411FAE" w14:textId="77777777" w:rsidR="00872C03" w:rsidRPr="00883399" w:rsidRDefault="00872C03" w:rsidP="0031057E">
            <w:pPr>
              <w:pStyle w:val="Tabletext0"/>
              <w:rPr>
                <w:sz w:val="22"/>
              </w:rPr>
            </w:pPr>
            <w:bookmarkStart w:id="236" w:name="CU_10217995"/>
            <w:bookmarkEnd w:id="236"/>
            <w:r w:rsidRPr="00883399">
              <w:rPr>
                <w:sz w:val="22"/>
              </w:rPr>
              <w:t>9</w:t>
            </w:r>
          </w:p>
        </w:tc>
        <w:tc>
          <w:tcPr>
            <w:tcW w:w="1677" w:type="dxa"/>
            <w:tcBorders>
              <w:bottom w:val="single" w:sz="4" w:space="0" w:color="auto"/>
            </w:tcBorders>
            <w:shd w:val="clear" w:color="auto" w:fill="auto"/>
          </w:tcPr>
          <w:p w14:paraId="496942B5" w14:textId="77777777" w:rsidR="00872C03" w:rsidRPr="00883399" w:rsidRDefault="00872C03" w:rsidP="0031057E">
            <w:pPr>
              <w:pStyle w:val="Tabletext0"/>
              <w:rPr>
                <w:sz w:val="22"/>
              </w:rPr>
            </w:pPr>
            <w:r w:rsidRPr="00883399">
              <w:rPr>
                <w:sz w:val="22"/>
              </w:rPr>
              <w:t>Town gas</w:t>
            </w:r>
          </w:p>
        </w:tc>
        <w:tc>
          <w:tcPr>
            <w:tcW w:w="2124" w:type="dxa"/>
            <w:tcBorders>
              <w:bottom w:val="single" w:sz="4" w:space="0" w:color="auto"/>
            </w:tcBorders>
            <w:shd w:val="clear" w:color="auto" w:fill="auto"/>
          </w:tcPr>
          <w:p w14:paraId="6630F431" w14:textId="77777777" w:rsidR="00872C03" w:rsidRPr="00883399" w:rsidRDefault="00872C03" w:rsidP="0031057E">
            <w:pPr>
              <w:pStyle w:val="Tabletext0"/>
              <w:rPr>
                <w:sz w:val="22"/>
              </w:rPr>
            </w:pPr>
            <w:r w:rsidRPr="00883399">
              <w:rPr>
                <w:sz w:val="22"/>
              </w:rPr>
              <w:t>ASTM D 1826—94 (2003)</w:t>
            </w:r>
          </w:p>
          <w:p w14:paraId="7F14DEDA" w14:textId="77777777" w:rsidR="00872C03" w:rsidRPr="00883399" w:rsidRDefault="00872C03" w:rsidP="0031057E">
            <w:pPr>
              <w:pStyle w:val="Tabletext0"/>
              <w:rPr>
                <w:sz w:val="22"/>
              </w:rPr>
            </w:pPr>
            <w:r w:rsidRPr="00883399">
              <w:rPr>
                <w:sz w:val="22"/>
              </w:rPr>
              <w:t>ASTM D 7164—05</w:t>
            </w:r>
          </w:p>
          <w:p w14:paraId="5EB65657" w14:textId="77777777" w:rsidR="00872C03" w:rsidRPr="00883399" w:rsidRDefault="00872C03" w:rsidP="0031057E">
            <w:pPr>
              <w:pStyle w:val="Tabletext0"/>
              <w:rPr>
                <w:sz w:val="22"/>
              </w:rPr>
            </w:pPr>
            <w:r w:rsidRPr="00883399">
              <w:rPr>
                <w:sz w:val="22"/>
              </w:rPr>
              <w:t>ISO 6974</w:t>
            </w:r>
          </w:p>
          <w:p w14:paraId="141B3F45" w14:textId="77777777" w:rsidR="00872C03" w:rsidRPr="00883399" w:rsidRDefault="00872C03" w:rsidP="0031057E">
            <w:pPr>
              <w:pStyle w:val="Tabletext0"/>
              <w:ind w:left="177"/>
              <w:rPr>
                <w:sz w:val="22"/>
              </w:rPr>
            </w:pPr>
            <w:r w:rsidRPr="00883399">
              <w:rPr>
                <w:sz w:val="22"/>
              </w:rPr>
              <w:t>part 1 (2000)</w:t>
            </w:r>
          </w:p>
          <w:p w14:paraId="7456F09D" w14:textId="77777777" w:rsidR="00872C03" w:rsidRPr="00883399" w:rsidRDefault="00872C03" w:rsidP="0031057E">
            <w:pPr>
              <w:pStyle w:val="Tabletext0"/>
              <w:ind w:left="177"/>
              <w:rPr>
                <w:sz w:val="22"/>
              </w:rPr>
            </w:pPr>
            <w:r w:rsidRPr="00883399">
              <w:rPr>
                <w:sz w:val="22"/>
              </w:rPr>
              <w:t xml:space="preserve">part 2 (2001) </w:t>
            </w:r>
          </w:p>
          <w:p w14:paraId="465999DE" w14:textId="77777777" w:rsidR="00872C03" w:rsidRPr="00883399" w:rsidRDefault="00872C03" w:rsidP="0031057E">
            <w:pPr>
              <w:pStyle w:val="Tabletext0"/>
              <w:ind w:left="177"/>
              <w:rPr>
                <w:sz w:val="22"/>
              </w:rPr>
            </w:pPr>
            <w:r w:rsidRPr="00883399">
              <w:rPr>
                <w:sz w:val="22"/>
              </w:rPr>
              <w:t xml:space="preserve">part 3 (2000) </w:t>
            </w:r>
          </w:p>
          <w:p w14:paraId="7670A39A" w14:textId="77777777" w:rsidR="00872C03" w:rsidRPr="00883399" w:rsidRDefault="00872C03" w:rsidP="0031057E">
            <w:pPr>
              <w:pStyle w:val="Tabletext0"/>
              <w:ind w:left="177"/>
              <w:rPr>
                <w:sz w:val="22"/>
              </w:rPr>
            </w:pPr>
            <w:r w:rsidRPr="00883399">
              <w:rPr>
                <w:sz w:val="22"/>
              </w:rPr>
              <w:t xml:space="preserve">part 4 (2000) </w:t>
            </w:r>
          </w:p>
          <w:p w14:paraId="5A412F7F" w14:textId="77777777" w:rsidR="00872C03" w:rsidRPr="00883399" w:rsidRDefault="00872C03" w:rsidP="0031057E">
            <w:pPr>
              <w:pStyle w:val="Tabletext0"/>
              <w:ind w:left="177"/>
              <w:rPr>
                <w:sz w:val="22"/>
              </w:rPr>
            </w:pPr>
            <w:r w:rsidRPr="00883399">
              <w:rPr>
                <w:sz w:val="22"/>
              </w:rPr>
              <w:t>part 5 (2000)</w:t>
            </w:r>
          </w:p>
          <w:p w14:paraId="11C8125A" w14:textId="77777777" w:rsidR="00872C03" w:rsidRPr="00883399" w:rsidRDefault="00872C03" w:rsidP="0031057E">
            <w:pPr>
              <w:pStyle w:val="Tabletext0"/>
              <w:ind w:left="177"/>
              <w:rPr>
                <w:sz w:val="22"/>
              </w:rPr>
            </w:pPr>
            <w:r w:rsidRPr="00883399">
              <w:rPr>
                <w:sz w:val="22"/>
              </w:rPr>
              <w:t>part 6 (2002)</w:t>
            </w:r>
          </w:p>
          <w:p w14:paraId="4374B9CC" w14:textId="77777777" w:rsidR="00872C03" w:rsidRPr="00883399" w:rsidRDefault="00872C03" w:rsidP="0031057E">
            <w:pPr>
              <w:pStyle w:val="Tabletext0"/>
              <w:rPr>
                <w:sz w:val="22"/>
              </w:rPr>
            </w:pPr>
            <w:r w:rsidRPr="00883399">
              <w:rPr>
                <w:sz w:val="22"/>
              </w:rPr>
              <w:t>ISO 6976:1995</w:t>
            </w:r>
          </w:p>
          <w:p w14:paraId="70089C4D" w14:textId="77777777" w:rsidR="00872C03" w:rsidRPr="00883399" w:rsidRDefault="00872C03" w:rsidP="0031057E">
            <w:pPr>
              <w:pStyle w:val="Tabletext0"/>
              <w:rPr>
                <w:sz w:val="22"/>
              </w:rPr>
            </w:pPr>
            <w:r w:rsidRPr="00883399">
              <w:rPr>
                <w:sz w:val="22"/>
              </w:rPr>
              <w:t>GPA 2172—96</w:t>
            </w:r>
          </w:p>
        </w:tc>
        <w:tc>
          <w:tcPr>
            <w:tcW w:w="3039" w:type="dxa"/>
            <w:tcBorders>
              <w:bottom w:val="single" w:sz="4" w:space="0" w:color="auto"/>
            </w:tcBorders>
            <w:shd w:val="clear" w:color="auto" w:fill="auto"/>
          </w:tcPr>
          <w:p w14:paraId="156123F8" w14:textId="77777777" w:rsidR="00872C03" w:rsidRPr="00883399" w:rsidRDefault="00872C03" w:rsidP="0031057E">
            <w:pPr>
              <w:pStyle w:val="Tabletext0"/>
              <w:rPr>
                <w:sz w:val="22"/>
              </w:rPr>
            </w:pPr>
            <w:r w:rsidRPr="00883399">
              <w:rPr>
                <w:sz w:val="22"/>
              </w:rPr>
              <w:t>ASTM D 1945—03</w:t>
            </w:r>
          </w:p>
          <w:p w14:paraId="4AADAD72" w14:textId="77777777" w:rsidR="00872C03" w:rsidRPr="00883399" w:rsidRDefault="00872C03" w:rsidP="0031057E">
            <w:pPr>
              <w:pStyle w:val="Tabletext0"/>
              <w:rPr>
                <w:sz w:val="22"/>
              </w:rPr>
            </w:pPr>
            <w:r w:rsidRPr="00883399">
              <w:rPr>
                <w:sz w:val="22"/>
              </w:rPr>
              <w:t>ASTM D 1946—90 (2006)</w:t>
            </w:r>
          </w:p>
          <w:p w14:paraId="03E3CBC7" w14:textId="77777777" w:rsidR="00872C03" w:rsidRPr="00883399" w:rsidRDefault="00872C03" w:rsidP="0031057E">
            <w:pPr>
              <w:pStyle w:val="Tabletext0"/>
              <w:rPr>
                <w:sz w:val="22"/>
              </w:rPr>
            </w:pPr>
            <w:r w:rsidRPr="00883399">
              <w:rPr>
                <w:sz w:val="22"/>
              </w:rPr>
              <w:t>ISO 6974</w:t>
            </w:r>
          </w:p>
          <w:p w14:paraId="550D5135" w14:textId="77777777" w:rsidR="00872C03" w:rsidRPr="00883399" w:rsidRDefault="00872C03" w:rsidP="0031057E">
            <w:pPr>
              <w:pStyle w:val="Tabletext0"/>
              <w:ind w:left="177"/>
              <w:rPr>
                <w:sz w:val="22"/>
              </w:rPr>
            </w:pPr>
            <w:r w:rsidRPr="00883399">
              <w:rPr>
                <w:sz w:val="22"/>
              </w:rPr>
              <w:t>part 1 (2000)</w:t>
            </w:r>
          </w:p>
          <w:p w14:paraId="7AF135C4" w14:textId="77777777" w:rsidR="00872C03" w:rsidRPr="00883399" w:rsidRDefault="00872C03" w:rsidP="0031057E">
            <w:pPr>
              <w:pStyle w:val="Tabletext0"/>
              <w:ind w:left="177"/>
              <w:rPr>
                <w:sz w:val="22"/>
              </w:rPr>
            </w:pPr>
            <w:r w:rsidRPr="00883399">
              <w:rPr>
                <w:sz w:val="22"/>
              </w:rPr>
              <w:t xml:space="preserve">part 2 (2001) </w:t>
            </w:r>
          </w:p>
          <w:p w14:paraId="12A8A667" w14:textId="77777777" w:rsidR="00872C03" w:rsidRPr="00883399" w:rsidRDefault="00872C03" w:rsidP="0031057E">
            <w:pPr>
              <w:pStyle w:val="Tabletext0"/>
              <w:ind w:left="177"/>
              <w:rPr>
                <w:sz w:val="22"/>
              </w:rPr>
            </w:pPr>
            <w:r w:rsidRPr="00883399">
              <w:rPr>
                <w:sz w:val="22"/>
              </w:rPr>
              <w:t xml:space="preserve">part 3 (2000) </w:t>
            </w:r>
          </w:p>
          <w:p w14:paraId="6B047D2E" w14:textId="77777777" w:rsidR="00872C03" w:rsidRPr="00883399" w:rsidRDefault="00872C03" w:rsidP="0031057E">
            <w:pPr>
              <w:pStyle w:val="Tabletext0"/>
              <w:ind w:left="177"/>
              <w:rPr>
                <w:sz w:val="22"/>
              </w:rPr>
            </w:pPr>
            <w:r w:rsidRPr="00883399">
              <w:rPr>
                <w:sz w:val="22"/>
              </w:rPr>
              <w:t xml:space="preserve">part 4 (2000) </w:t>
            </w:r>
          </w:p>
          <w:p w14:paraId="26433DA8" w14:textId="77777777" w:rsidR="00872C03" w:rsidRPr="00883399" w:rsidRDefault="00872C03" w:rsidP="0031057E">
            <w:pPr>
              <w:pStyle w:val="Tabletext0"/>
              <w:ind w:left="177"/>
              <w:rPr>
                <w:sz w:val="22"/>
              </w:rPr>
            </w:pPr>
            <w:r w:rsidRPr="00883399">
              <w:rPr>
                <w:sz w:val="22"/>
              </w:rPr>
              <w:t>part 5 (2000)</w:t>
            </w:r>
          </w:p>
          <w:p w14:paraId="7CA117E4" w14:textId="77777777" w:rsidR="00872C03" w:rsidRPr="00883399" w:rsidRDefault="00872C03" w:rsidP="0031057E">
            <w:pPr>
              <w:pStyle w:val="Tabletext0"/>
              <w:ind w:left="177"/>
              <w:rPr>
                <w:sz w:val="22"/>
              </w:rPr>
            </w:pPr>
            <w:r w:rsidRPr="00883399">
              <w:rPr>
                <w:sz w:val="22"/>
              </w:rPr>
              <w:t>part 6 (2002)</w:t>
            </w:r>
          </w:p>
          <w:p w14:paraId="4B1E7911" w14:textId="77777777" w:rsidR="00872C03" w:rsidRPr="00883399" w:rsidRDefault="00872C03" w:rsidP="0031057E">
            <w:pPr>
              <w:pStyle w:val="Tabletext0"/>
              <w:rPr>
                <w:sz w:val="22"/>
              </w:rPr>
            </w:pPr>
            <w:r w:rsidRPr="00883399">
              <w:rPr>
                <w:sz w:val="22"/>
              </w:rPr>
              <w:t>GPA 2145 – 03</w:t>
            </w:r>
          </w:p>
          <w:p w14:paraId="6B176919" w14:textId="77777777" w:rsidR="00872C03" w:rsidRPr="00883399" w:rsidRDefault="00872C03" w:rsidP="0031057E">
            <w:pPr>
              <w:pStyle w:val="Tabletext0"/>
              <w:rPr>
                <w:sz w:val="22"/>
              </w:rPr>
            </w:pPr>
            <w:r w:rsidRPr="00883399">
              <w:rPr>
                <w:sz w:val="22"/>
              </w:rPr>
              <w:t>GPA 2261 – 00</w:t>
            </w:r>
          </w:p>
        </w:tc>
      </w:tr>
      <w:tr w:rsidR="00872C03" w:rsidRPr="00883399" w14:paraId="60C21E3E" w14:textId="77777777" w:rsidTr="0031057E">
        <w:tc>
          <w:tcPr>
            <w:tcW w:w="828" w:type="dxa"/>
            <w:tcBorders>
              <w:top w:val="single" w:sz="4" w:space="0" w:color="auto"/>
            </w:tcBorders>
            <w:shd w:val="clear" w:color="auto" w:fill="auto"/>
          </w:tcPr>
          <w:p w14:paraId="210EBA9C" w14:textId="77777777" w:rsidR="00872C03" w:rsidRPr="00883399" w:rsidRDefault="00872C03" w:rsidP="0031057E">
            <w:pPr>
              <w:pStyle w:val="Tabletext0"/>
              <w:rPr>
                <w:sz w:val="22"/>
              </w:rPr>
            </w:pPr>
            <w:r w:rsidRPr="00883399">
              <w:rPr>
                <w:sz w:val="22"/>
              </w:rPr>
              <w:t>10</w:t>
            </w:r>
          </w:p>
        </w:tc>
        <w:tc>
          <w:tcPr>
            <w:tcW w:w="1677" w:type="dxa"/>
            <w:tcBorders>
              <w:top w:val="single" w:sz="4" w:space="0" w:color="auto"/>
            </w:tcBorders>
            <w:shd w:val="clear" w:color="auto" w:fill="auto"/>
          </w:tcPr>
          <w:p w14:paraId="4D19C89D" w14:textId="77777777" w:rsidR="00872C03" w:rsidRPr="00883399" w:rsidRDefault="00872C03" w:rsidP="0031057E">
            <w:pPr>
              <w:pStyle w:val="Tabletext0"/>
              <w:rPr>
                <w:sz w:val="22"/>
              </w:rPr>
            </w:pPr>
            <w:r w:rsidRPr="00883399">
              <w:rPr>
                <w:sz w:val="22"/>
              </w:rPr>
              <w:t>Liquefied natural gas</w:t>
            </w:r>
          </w:p>
        </w:tc>
        <w:tc>
          <w:tcPr>
            <w:tcW w:w="2124" w:type="dxa"/>
            <w:tcBorders>
              <w:top w:val="single" w:sz="4" w:space="0" w:color="auto"/>
            </w:tcBorders>
            <w:shd w:val="clear" w:color="auto" w:fill="auto"/>
          </w:tcPr>
          <w:p w14:paraId="713215FC" w14:textId="77777777" w:rsidR="00872C03" w:rsidRPr="00883399" w:rsidRDefault="00872C03" w:rsidP="0031057E">
            <w:pPr>
              <w:pStyle w:val="Tabletext0"/>
              <w:rPr>
                <w:sz w:val="22"/>
              </w:rPr>
            </w:pPr>
            <w:r w:rsidRPr="00883399">
              <w:rPr>
                <w:sz w:val="22"/>
              </w:rPr>
              <w:t>ISO 6976:1995</w:t>
            </w:r>
          </w:p>
        </w:tc>
        <w:tc>
          <w:tcPr>
            <w:tcW w:w="3039" w:type="dxa"/>
            <w:tcBorders>
              <w:top w:val="single" w:sz="4" w:space="0" w:color="auto"/>
            </w:tcBorders>
            <w:shd w:val="clear" w:color="auto" w:fill="auto"/>
          </w:tcPr>
          <w:p w14:paraId="2982546B" w14:textId="77777777" w:rsidR="00872C03" w:rsidRPr="00883399" w:rsidRDefault="00872C03" w:rsidP="0031057E">
            <w:pPr>
              <w:pStyle w:val="Tabletext0"/>
              <w:rPr>
                <w:sz w:val="22"/>
              </w:rPr>
            </w:pPr>
            <w:r w:rsidRPr="00883399">
              <w:rPr>
                <w:sz w:val="22"/>
              </w:rPr>
              <w:t>ASTM D 1945 – 03</w:t>
            </w:r>
          </w:p>
          <w:p w14:paraId="07ED47B2" w14:textId="77777777" w:rsidR="00872C03" w:rsidRPr="00883399" w:rsidRDefault="00872C03" w:rsidP="0031057E">
            <w:pPr>
              <w:pStyle w:val="Tabletext0"/>
              <w:rPr>
                <w:sz w:val="22"/>
              </w:rPr>
            </w:pPr>
            <w:r w:rsidRPr="00883399">
              <w:rPr>
                <w:sz w:val="22"/>
              </w:rPr>
              <w:t>ISO 6974</w:t>
            </w:r>
          </w:p>
          <w:p w14:paraId="34E41B55" w14:textId="77777777" w:rsidR="00872C03" w:rsidRPr="00883399" w:rsidRDefault="00872C03" w:rsidP="0031057E">
            <w:pPr>
              <w:pStyle w:val="Tabletext0"/>
              <w:ind w:left="177"/>
              <w:rPr>
                <w:sz w:val="22"/>
              </w:rPr>
            </w:pPr>
            <w:r w:rsidRPr="00883399">
              <w:rPr>
                <w:sz w:val="22"/>
              </w:rPr>
              <w:lastRenderedPageBreak/>
              <w:t>part 1 (2000)</w:t>
            </w:r>
          </w:p>
          <w:p w14:paraId="2DF9510A" w14:textId="77777777" w:rsidR="00872C03" w:rsidRPr="00883399" w:rsidRDefault="00872C03" w:rsidP="0031057E">
            <w:pPr>
              <w:pStyle w:val="Tabletext0"/>
              <w:ind w:left="177"/>
              <w:rPr>
                <w:sz w:val="22"/>
              </w:rPr>
            </w:pPr>
            <w:r w:rsidRPr="00883399">
              <w:rPr>
                <w:sz w:val="22"/>
              </w:rPr>
              <w:t xml:space="preserve">part 2 (2001) </w:t>
            </w:r>
          </w:p>
          <w:p w14:paraId="50A6B935" w14:textId="77777777" w:rsidR="00872C03" w:rsidRPr="00883399" w:rsidRDefault="00872C03" w:rsidP="0031057E">
            <w:pPr>
              <w:pStyle w:val="Tabletext0"/>
              <w:ind w:left="177"/>
              <w:rPr>
                <w:sz w:val="22"/>
              </w:rPr>
            </w:pPr>
            <w:r w:rsidRPr="00883399">
              <w:rPr>
                <w:sz w:val="22"/>
              </w:rPr>
              <w:t xml:space="preserve">part 3 (2000) </w:t>
            </w:r>
          </w:p>
          <w:p w14:paraId="271C1885" w14:textId="77777777" w:rsidR="00872C03" w:rsidRPr="00883399" w:rsidRDefault="00872C03" w:rsidP="0031057E">
            <w:pPr>
              <w:pStyle w:val="Tabletext0"/>
              <w:ind w:left="177"/>
              <w:rPr>
                <w:sz w:val="22"/>
              </w:rPr>
            </w:pPr>
            <w:r w:rsidRPr="00883399">
              <w:rPr>
                <w:sz w:val="22"/>
              </w:rPr>
              <w:t xml:space="preserve">part 4 (2000) </w:t>
            </w:r>
          </w:p>
          <w:p w14:paraId="7BE5803A" w14:textId="77777777" w:rsidR="00872C03" w:rsidRPr="00883399" w:rsidRDefault="00872C03" w:rsidP="0031057E">
            <w:pPr>
              <w:pStyle w:val="Tabletext0"/>
              <w:ind w:left="177"/>
              <w:rPr>
                <w:sz w:val="22"/>
              </w:rPr>
            </w:pPr>
            <w:r w:rsidRPr="00883399">
              <w:rPr>
                <w:sz w:val="22"/>
              </w:rPr>
              <w:t>part 5 (2000)</w:t>
            </w:r>
          </w:p>
          <w:p w14:paraId="2E753013" w14:textId="77777777" w:rsidR="00872C03" w:rsidRPr="00883399" w:rsidRDefault="00872C03" w:rsidP="0031057E">
            <w:pPr>
              <w:pStyle w:val="Tabletext0"/>
              <w:ind w:left="177"/>
              <w:rPr>
                <w:sz w:val="22"/>
              </w:rPr>
            </w:pPr>
            <w:r w:rsidRPr="00883399">
              <w:rPr>
                <w:sz w:val="22"/>
              </w:rPr>
              <w:t>part 6 (2002)</w:t>
            </w:r>
          </w:p>
        </w:tc>
      </w:tr>
      <w:tr w:rsidR="00872C03" w:rsidRPr="00883399" w14:paraId="3125B3D0" w14:textId="77777777" w:rsidTr="0031057E">
        <w:trPr>
          <w:cantSplit/>
        </w:trPr>
        <w:tc>
          <w:tcPr>
            <w:tcW w:w="828" w:type="dxa"/>
            <w:shd w:val="clear" w:color="auto" w:fill="auto"/>
          </w:tcPr>
          <w:p w14:paraId="120F2C75" w14:textId="77777777" w:rsidR="00872C03" w:rsidRPr="00883399" w:rsidRDefault="00872C03" w:rsidP="0031057E">
            <w:pPr>
              <w:pStyle w:val="Tabletext0"/>
              <w:rPr>
                <w:sz w:val="22"/>
              </w:rPr>
            </w:pPr>
            <w:r w:rsidRPr="00883399">
              <w:rPr>
                <w:sz w:val="22"/>
              </w:rPr>
              <w:lastRenderedPageBreak/>
              <w:t>11</w:t>
            </w:r>
          </w:p>
        </w:tc>
        <w:tc>
          <w:tcPr>
            <w:tcW w:w="1677" w:type="dxa"/>
            <w:shd w:val="clear" w:color="auto" w:fill="auto"/>
          </w:tcPr>
          <w:p w14:paraId="6B29489D" w14:textId="77777777" w:rsidR="00872C03" w:rsidRPr="00883399" w:rsidRDefault="00872C03" w:rsidP="0031057E">
            <w:pPr>
              <w:pStyle w:val="Tabletext0"/>
              <w:rPr>
                <w:sz w:val="22"/>
              </w:rPr>
            </w:pPr>
            <w:r w:rsidRPr="00883399">
              <w:rPr>
                <w:sz w:val="22"/>
              </w:rPr>
              <w:t>Landfill biogas that is captured for combustion</w:t>
            </w:r>
          </w:p>
        </w:tc>
        <w:tc>
          <w:tcPr>
            <w:tcW w:w="2124" w:type="dxa"/>
            <w:shd w:val="clear" w:color="auto" w:fill="auto"/>
          </w:tcPr>
          <w:p w14:paraId="29D38D26" w14:textId="77777777" w:rsidR="00872C03" w:rsidRPr="00883399" w:rsidRDefault="00872C03" w:rsidP="0031057E">
            <w:pPr>
              <w:pStyle w:val="Tabletext0"/>
              <w:rPr>
                <w:sz w:val="22"/>
              </w:rPr>
            </w:pPr>
            <w:r w:rsidRPr="00883399">
              <w:rPr>
                <w:sz w:val="22"/>
              </w:rPr>
              <w:t>ASTM D 1826—94 (2003)</w:t>
            </w:r>
          </w:p>
          <w:p w14:paraId="33DAA3AD" w14:textId="77777777" w:rsidR="00872C03" w:rsidRPr="00883399" w:rsidRDefault="00872C03" w:rsidP="0031057E">
            <w:pPr>
              <w:pStyle w:val="Tabletext0"/>
              <w:rPr>
                <w:sz w:val="22"/>
              </w:rPr>
            </w:pPr>
            <w:r w:rsidRPr="00883399">
              <w:rPr>
                <w:sz w:val="22"/>
              </w:rPr>
              <w:t>ASTM D 7164—05</w:t>
            </w:r>
          </w:p>
          <w:p w14:paraId="65C5F884" w14:textId="77777777" w:rsidR="00872C03" w:rsidRPr="00883399" w:rsidRDefault="00872C03" w:rsidP="0031057E">
            <w:pPr>
              <w:pStyle w:val="Tabletext0"/>
              <w:rPr>
                <w:sz w:val="22"/>
              </w:rPr>
            </w:pPr>
            <w:r w:rsidRPr="00883399">
              <w:rPr>
                <w:sz w:val="22"/>
              </w:rPr>
              <w:t>ISO 6974</w:t>
            </w:r>
          </w:p>
          <w:p w14:paraId="76DBC388" w14:textId="77777777" w:rsidR="00872C03" w:rsidRPr="00883399" w:rsidRDefault="00872C03" w:rsidP="0031057E">
            <w:pPr>
              <w:pStyle w:val="Tabletext0"/>
              <w:ind w:left="177"/>
              <w:rPr>
                <w:sz w:val="22"/>
              </w:rPr>
            </w:pPr>
            <w:r w:rsidRPr="00883399">
              <w:rPr>
                <w:sz w:val="22"/>
              </w:rPr>
              <w:t>part 1 (2000)</w:t>
            </w:r>
          </w:p>
          <w:p w14:paraId="67E9219A" w14:textId="77777777" w:rsidR="00872C03" w:rsidRPr="00883399" w:rsidRDefault="00872C03" w:rsidP="0031057E">
            <w:pPr>
              <w:pStyle w:val="Tabletext0"/>
              <w:ind w:left="177"/>
              <w:rPr>
                <w:sz w:val="22"/>
              </w:rPr>
            </w:pPr>
            <w:r w:rsidRPr="00883399">
              <w:rPr>
                <w:sz w:val="22"/>
              </w:rPr>
              <w:t xml:space="preserve">part 2 (2001) </w:t>
            </w:r>
          </w:p>
          <w:p w14:paraId="75BB120B" w14:textId="77777777" w:rsidR="00872C03" w:rsidRPr="00883399" w:rsidRDefault="00872C03" w:rsidP="0031057E">
            <w:pPr>
              <w:pStyle w:val="Tabletext0"/>
              <w:ind w:left="177"/>
              <w:rPr>
                <w:sz w:val="22"/>
              </w:rPr>
            </w:pPr>
            <w:r w:rsidRPr="00883399">
              <w:rPr>
                <w:sz w:val="22"/>
              </w:rPr>
              <w:t xml:space="preserve">part 3 (2000) </w:t>
            </w:r>
          </w:p>
          <w:p w14:paraId="24B02EED" w14:textId="77777777" w:rsidR="00872C03" w:rsidRPr="00883399" w:rsidRDefault="00872C03" w:rsidP="0031057E">
            <w:pPr>
              <w:pStyle w:val="Tabletext0"/>
              <w:ind w:left="177"/>
              <w:rPr>
                <w:sz w:val="22"/>
              </w:rPr>
            </w:pPr>
            <w:r w:rsidRPr="00883399">
              <w:rPr>
                <w:sz w:val="22"/>
              </w:rPr>
              <w:t xml:space="preserve">part 4 (2000) </w:t>
            </w:r>
          </w:p>
          <w:p w14:paraId="1605088D" w14:textId="77777777" w:rsidR="00872C03" w:rsidRPr="00883399" w:rsidRDefault="00872C03" w:rsidP="0031057E">
            <w:pPr>
              <w:pStyle w:val="Tabletext0"/>
              <w:ind w:left="177"/>
              <w:rPr>
                <w:sz w:val="22"/>
              </w:rPr>
            </w:pPr>
            <w:r w:rsidRPr="00883399">
              <w:rPr>
                <w:sz w:val="22"/>
              </w:rPr>
              <w:t>part 5 (2000)</w:t>
            </w:r>
          </w:p>
          <w:p w14:paraId="5A25C384" w14:textId="77777777" w:rsidR="00872C03" w:rsidRPr="00883399" w:rsidRDefault="00872C03" w:rsidP="0031057E">
            <w:pPr>
              <w:pStyle w:val="Tabletext0"/>
              <w:ind w:left="177"/>
              <w:rPr>
                <w:sz w:val="22"/>
              </w:rPr>
            </w:pPr>
            <w:r w:rsidRPr="00883399">
              <w:rPr>
                <w:sz w:val="22"/>
              </w:rPr>
              <w:t>part 6 (2002)</w:t>
            </w:r>
          </w:p>
          <w:p w14:paraId="75CA84ED" w14:textId="77777777" w:rsidR="00872C03" w:rsidRPr="00883399" w:rsidRDefault="00872C03" w:rsidP="0031057E">
            <w:pPr>
              <w:pStyle w:val="Tabletext0"/>
              <w:rPr>
                <w:sz w:val="22"/>
              </w:rPr>
            </w:pPr>
            <w:r w:rsidRPr="00883399">
              <w:rPr>
                <w:sz w:val="22"/>
              </w:rPr>
              <w:t>ISO 6976:1995</w:t>
            </w:r>
          </w:p>
          <w:p w14:paraId="755A8077" w14:textId="77777777" w:rsidR="00872C03" w:rsidRPr="00883399" w:rsidRDefault="00872C03" w:rsidP="0031057E">
            <w:pPr>
              <w:pStyle w:val="Tabletext0"/>
              <w:rPr>
                <w:sz w:val="22"/>
              </w:rPr>
            </w:pPr>
            <w:r w:rsidRPr="00883399">
              <w:rPr>
                <w:sz w:val="22"/>
              </w:rPr>
              <w:t>GPA 2172—96</w:t>
            </w:r>
          </w:p>
        </w:tc>
        <w:tc>
          <w:tcPr>
            <w:tcW w:w="3039" w:type="dxa"/>
            <w:shd w:val="clear" w:color="auto" w:fill="auto"/>
          </w:tcPr>
          <w:p w14:paraId="2BFF458D" w14:textId="77777777" w:rsidR="00872C03" w:rsidRPr="00883399" w:rsidRDefault="00872C03" w:rsidP="0031057E">
            <w:pPr>
              <w:pStyle w:val="Tabletext0"/>
              <w:rPr>
                <w:sz w:val="22"/>
              </w:rPr>
            </w:pPr>
            <w:r w:rsidRPr="00883399">
              <w:rPr>
                <w:sz w:val="22"/>
              </w:rPr>
              <w:t>ASTM D 1945—03</w:t>
            </w:r>
          </w:p>
          <w:p w14:paraId="7B1BF07C" w14:textId="77777777" w:rsidR="00872C03" w:rsidRPr="00883399" w:rsidRDefault="00872C03" w:rsidP="0031057E">
            <w:pPr>
              <w:pStyle w:val="Tabletext0"/>
              <w:rPr>
                <w:sz w:val="22"/>
              </w:rPr>
            </w:pPr>
            <w:r w:rsidRPr="00883399">
              <w:rPr>
                <w:sz w:val="22"/>
              </w:rPr>
              <w:t>ASTM D 1946—90 (2006)</w:t>
            </w:r>
          </w:p>
          <w:p w14:paraId="79E5C313" w14:textId="77777777" w:rsidR="00872C03" w:rsidRPr="00883399" w:rsidRDefault="00872C03" w:rsidP="0031057E">
            <w:pPr>
              <w:pStyle w:val="Tabletext0"/>
              <w:rPr>
                <w:sz w:val="22"/>
              </w:rPr>
            </w:pPr>
            <w:r w:rsidRPr="00883399">
              <w:rPr>
                <w:sz w:val="22"/>
              </w:rPr>
              <w:t>ISO 6974</w:t>
            </w:r>
          </w:p>
          <w:p w14:paraId="7E799DD2" w14:textId="77777777" w:rsidR="00872C03" w:rsidRPr="00883399" w:rsidRDefault="00872C03" w:rsidP="0031057E">
            <w:pPr>
              <w:pStyle w:val="Tabletext0"/>
              <w:ind w:left="177"/>
              <w:rPr>
                <w:sz w:val="22"/>
              </w:rPr>
            </w:pPr>
            <w:r w:rsidRPr="00883399">
              <w:rPr>
                <w:sz w:val="22"/>
              </w:rPr>
              <w:t>part 1 (2000)</w:t>
            </w:r>
          </w:p>
          <w:p w14:paraId="1AA86D1D" w14:textId="77777777" w:rsidR="00872C03" w:rsidRPr="00883399" w:rsidRDefault="00872C03" w:rsidP="0031057E">
            <w:pPr>
              <w:pStyle w:val="Tabletext0"/>
              <w:ind w:left="177"/>
              <w:rPr>
                <w:sz w:val="22"/>
              </w:rPr>
            </w:pPr>
            <w:r w:rsidRPr="00883399">
              <w:rPr>
                <w:sz w:val="22"/>
              </w:rPr>
              <w:t xml:space="preserve">part 2 (2001) </w:t>
            </w:r>
          </w:p>
          <w:p w14:paraId="4A6EB3B2" w14:textId="77777777" w:rsidR="00872C03" w:rsidRPr="00883399" w:rsidRDefault="00872C03" w:rsidP="0031057E">
            <w:pPr>
              <w:pStyle w:val="Tabletext0"/>
              <w:ind w:left="177"/>
              <w:rPr>
                <w:sz w:val="22"/>
              </w:rPr>
            </w:pPr>
            <w:r w:rsidRPr="00883399">
              <w:rPr>
                <w:sz w:val="22"/>
              </w:rPr>
              <w:t xml:space="preserve">part 3 (2000) </w:t>
            </w:r>
          </w:p>
          <w:p w14:paraId="13F09C6B" w14:textId="77777777" w:rsidR="00872C03" w:rsidRPr="00883399" w:rsidRDefault="00872C03" w:rsidP="0031057E">
            <w:pPr>
              <w:pStyle w:val="Tabletext0"/>
              <w:ind w:left="177"/>
              <w:rPr>
                <w:sz w:val="22"/>
              </w:rPr>
            </w:pPr>
            <w:r w:rsidRPr="00883399">
              <w:rPr>
                <w:sz w:val="22"/>
              </w:rPr>
              <w:t xml:space="preserve">part 4 (2000) </w:t>
            </w:r>
          </w:p>
          <w:p w14:paraId="10AD65CD" w14:textId="77777777" w:rsidR="00872C03" w:rsidRPr="00883399" w:rsidRDefault="00872C03" w:rsidP="0031057E">
            <w:pPr>
              <w:pStyle w:val="Tabletext0"/>
              <w:ind w:left="177"/>
              <w:rPr>
                <w:sz w:val="22"/>
              </w:rPr>
            </w:pPr>
            <w:r w:rsidRPr="00883399">
              <w:rPr>
                <w:sz w:val="22"/>
              </w:rPr>
              <w:t>part 5 (2000)</w:t>
            </w:r>
          </w:p>
          <w:p w14:paraId="67273466" w14:textId="77777777" w:rsidR="00872C03" w:rsidRPr="00883399" w:rsidRDefault="00872C03" w:rsidP="0031057E">
            <w:pPr>
              <w:pStyle w:val="Tabletext0"/>
              <w:ind w:left="177"/>
              <w:rPr>
                <w:sz w:val="22"/>
              </w:rPr>
            </w:pPr>
            <w:r w:rsidRPr="00883399">
              <w:rPr>
                <w:sz w:val="22"/>
              </w:rPr>
              <w:t>part 6 (2002)</w:t>
            </w:r>
          </w:p>
          <w:p w14:paraId="66121F78" w14:textId="77777777" w:rsidR="00872C03" w:rsidRPr="00883399" w:rsidRDefault="00872C03" w:rsidP="0031057E">
            <w:pPr>
              <w:pStyle w:val="Tabletext0"/>
              <w:rPr>
                <w:sz w:val="22"/>
              </w:rPr>
            </w:pPr>
            <w:r w:rsidRPr="00883399">
              <w:rPr>
                <w:sz w:val="22"/>
              </w:rPr>
              <w:t>GPA 2145 – 03</w:t>
            </w:r>
          </w:p>
          <w:p w14:paraId="604E2671" w14:textId="77777777" w:rsidR="00872C03" w:rsidRPr="00883399" w:rsidRDefault="00872C03" w:rsidP="0031057E">
            <w:pPr>
              <w:pStyle w:val="Tabletext0"/>
              <w:rPr>
                <w:sz w:val="22"/>
              </w:rPr>
            </w:pPr>
            <w:r w:rsidRPr="00883399">
              <w:rPr>
                <w:sz w:val="22"/>
              </w:rPr>
              <w:t>GPA 2261 – 00</w:t>
            </w:r>
          </w:p>
        </w:tc>
      </w:tr>
      <w:tr w:rsidR="00872C03" w:rsidRPr="00883399" w14:paraId="2FD58BE8" w14:textId="77777777" w:rsidTr="0031057E">
        <w:tc>
          <w:tcPr>
            <w:tcW w:w="828" w:type="dxa"/>
            <w:tcBorders>
              <w:bottom w:val="single" w:sz="4" w:space="0" w:color="auto"/>
            </w:tcBorders>
            <w:shd w:val="clear" w:color="auto" w:fill="auto"/>
          </w:tcPr>
          <w:p w14:paraId="0E700895" w14:textId="77777777" w:rsidR="00872C03" w:rsidRPr="00883399" w:rsidRDefault="00872C03" w:rsidP="0031057E">
            <w:pPr>
              <w:pStyle w:val="Tabletext0"/>
              <w:rPr>
                <w:sz w:val="22"/>
              </w:rPr>
            </w:pPr>
            <w:r w:rsidRPr="00883399">
              <w:rPr>
                <w:sz w:val="22"/>
              </w:rPr>
              <w:t>12</w:t>
            </w:r>
          </w:p>
        </w:tc>
        <w:tc>
          <w:tcPr>
            <w:tcW w:w="1677" w:type="dxa"/>
            <w:tcBorders>
              <w:bottom w:val="single" w:sz="4" w:space="0" w:color="auto"/>
            </w:tcBorders>
            <w:shd w:val="clear" w:color="auto" w:fill="auto"/>
          </w:tcPr>
          <w:p w14:paraId="7B0603AF" w14:textId="77777777" w:rsidR="00872C03" w:rsidRPr="00883399" w:rsidRDefault="00872C03" w:rsidP="0031057E">
            <w:pPr>
              <w:pStyle w:val="Tabletext0"/>
              <w:rPr>
                <w:sz w:val="22"/>
              </w:rPr>
            </w:pPr>
            <w:r w:rsidRPr="00883399">
              <w:rPr>
                <w:sz w:val="22"/>
              </w:rPr>
              <w:t>Sludge biogas that is captured for combustion</w:t>
            </w:r>
          </w:p>
        </w:tc>
        <w:tc>
          <w:tcPr>
            <w:tcW w:w="2124" w:type="dxa"/>
            <w:tcBorders>
              <w:bottom w:val="single" w:sz="4" w:space="0" w:color="auto"/>
            </w:tcBorders>
            <w:shd w:val="clear" w:color="auto" w:fill="auto"/>
          </w:tcPr>
          <w:p w14:paraId="30C83C53" w14:textId="77777777" w:rsidR="00872C03" w:rsidRPr="00883399" w:rsidRDefault="00872C03" w:rsidP="0031057E">
            <w:pPr>
              <w:pStyle w:val="Tabletext0"/>
              <w:rPr>
                <w:sz w:val="22"/>
              </w:rPr>
            </w:pPr>
            <w:r w:rsidRPr="00883399">
              <w:rPr>
                <w:sz w:val="22"/>
              </w:rPr>
              <w:t>ASTM D 1826 – 94 (2003)</w:t>
            </w:r>
          </w:p>
          <w:p w14:paraId="0CBEF76D" w14:textId="77777777" w:rsidR="00872C03" w:rsidRPr="00883399" w:rsidRDefault="00872C03" w:rsidP="0031057E">
            <w:pPr>
              <w:pStyle w:val="Tabletext0"/>
              <w:rPr>
                <w:sz w:val="22"/>
              </w:rPr>
            </w:pPr>
            <w:r w:rsidRPr="00883399">
              <w:rPr>
                <w:sz w:val="22"/>
              </w:rPr>
              <w:t>ASTM D 7164 – 05</w:t>
            </w:r>
          </w:p>
          <w:p w14:paraId="1526B7B7" w14:textId="77777777" w:rsidR="00872C03" w:rsidRPr="00883399" w:rsidRDefault="00872C03" w:rsidP="0031057E">
            <w:pPr>
              <w:pStyle w:val="Tabletext0"/>
              <w:rPr>
                <w:sz w:val="22"/>
              </w:rPr>
            </w:pPr>
            <w:r w:rsidRPr="00883399">
              <w:rPr>
                <w:sz w:val="22"/>
              </w:rPr>
              <w:t>ISO 6974</w:t>
            </w:r>
          </w:p>
          <w:p w14:paraId="096293EB" w14:textId="77777777" w:rsidR="00872C03" w:rsidRPr="00883399" w:rsidRDefault="00872C03" w:rsidP="0031057E">
            <w:pPr>
              <w:pStyle w:val="Tabletext0"/>
              <w:ind w:left="177"/>
              <w:rPr>
                <w:sz w:val="22"/>
              </w:rPr>
            </w:pPr>
            <w:r w:rsidRPr="00883399">
              <w:rPr>
                <w:sz w:val="22"/>
              </w:rPr>
              <w:t>part 1 (2000)</w:t>
            </w:r>
          </w:p>
          <w:p w14:paraId="25D146D6" w14:textId="77777777" w:rsidR="00872C03" w:rsidRPr="00883399" w:rsidRDefault="00872C03" w:rsidP="0031057E">
            <w:pPr>
              <w:pStyle w:val="Tabletext0"/>
              <w:ind w:left="177"/>
              <w:rPr>
                <w:sz w:val="22"/>
              </w:rPr>
            </w:pPr>
            <w:r w:rsidRPr="00883399">
              <w:rPr>
                <w:sz w:val="22"/>
              </w:rPr>
              <w:t xml:space="preserve">part 2 (2001) </w:t>
            </w:r>
          </w:p>
          <w:p w14:paraId="68973683" w14:textId="77777777" w:rsidR="00872C03" w:rsidRPr="00883399" w:rsidRDefault="00872C03" w:rsidP="0031057E">
            <w:pPr>
              <w:pStyle w:val="Tabletext0"/>
              <w:ind w:left="177"/>
              <w:rPr>
                <w:sz w:val="22"/>
              </w:rPr>
            </w:pPr>
            <w:r w:rsidRPr="00883399">
              <w:rPr>
                <w:sz w:val="22"/>
              </w:rPr>
              <w:t xml:space="preserve">part 3 (2000) </w:t>
            </w:r>
          </w:p>
          <w:p w14:paraId="0C133754" w14:textId="77777777" w:rsidR="00872C03" w:rsidRPr="00883399" w:rsidRDefault="00872C03" w:rsidP="0031057E">
            <w:pPr>
              <w:pStyle w:val="Tabletext0"/>
              <w:ind w:left="177"/>
              <w:rPr>
                <w:sz w:val="22"/>
              </w:rPr>
            </w:pPr>
            <w:r w:rsidRPr="00883399">
              <w:rPr>
                <w:sz w:val="22"/>
              </w:rPr>
              <w:t xml:space="preserve">part 4 (2000) </w:t>
            </w:r>
          </w:p>
          <w:p w14:paraId="583E4F08" w14:textId="77777777" w:rsidR="00872C03" w:rsidRPr="00883399" w:rsidRDefault="00872C03" w:rsidP="0031057E">
            <w:pPr>
              <w:pStyle w:val="Tabletext0"/>
              <w:ind w:left="177"/>
              <w:rPr>
                <w:sz w:val="22"/>
              </w:rPr>
            </w:pPr>
            <w:r w:rsidRPr="00883399">
              <w:rPr>
                <w:sz w:val="22"/>
              </w:rPr>
              <w:t>part 5 (2000)</w:t>
            </w:r>
          </w:p>
          <w:p w14:paraId="696AC49D" w14:textId="77777777" w:rsidR="00872C03" w:rsidRPr="00883399" w:rsidRDefault="00872C03" w:rsidP="0031057E">
            <w:pPr>
              <w:pStyle w:val="Tabletext0"/>
              <w:ind w:left="177"/>
              <w:rPr>
                <w:sz w:val="22"/>
              </w:rPr>
            </w:pPr>
            <w:r w:rsidRPr="00883399">
              <w:rPr>
                <w:sz w:val="22"/>
              </w:rPr>
              <w:t>part 6 (2002)</w:t>
            </w:r>
          </w:p>
          <w:p w14:paraId="4005ABA7" w14:textId="77777777" w:rsidR="00872C03" w:rsidRPr="00883399" w:rsidRDefault="00872C03" w:rsidP="0031057E">
            <w:pPr>
              <w:pStyle w:val="Tabletext0"/>
              <w:rPr>
                <w:sz w:val="22"/>
              </w:rPr>
            </w:pPr>
            <w:r w:rsidRPr="00883399">
              <w:rPr>
                <w:sz w:val="22"/>
              </w:rPr>
              <w:t>ISO 6976:1995</w:t>
            </w:r>
          </w:p>
          <w:p w14:paraId="3496FFBC" w14:textId="77777777" w:rsidR="00872C03" w:rsidRPr="00883399" w:rsidRDefault="00872C03" w:rsidP="0031057E">
            <w:pPr>
              <w:pStyle w:val="Tabletext0"/>
              <w:rPr>
                <w:sz w:val="22"/>
              </w:rPr>
            </w:pPr>
            <w:r w:rsidRPr="00883399">
              <w:rPr>
                <w:sz w:val="22"/>
              </w:rPr>
              <w:t>GPA 2172—96</w:t>
            </w:r>
          </w:p>
        </w:tc>
        <w:tc>
          <w:tcPr>
            <w:tcW w:w="3039" w:type="dxa"/>
            <w:tcBorders>
              <w:bottom w:val="single" w:sz="4" w:space="0" w:color="auto"/>
            </w:tcBorders>
            <w:shd w:val="clear" w:color="auto" w:fill="auto"/>
          </w:tcPr>
          <w:p w14:paraId="1FDD8F83" w14:textId="77777777" w:rsidR="00872C03" w:rsidRPr="00883399" w:rsidRDefault="00872C03" w:rsidP="0031057E">
            <w:pPr>
              <w:pStyle w:val="Tabletext0"/>
              <w:rPr>
                <w:sz w:val="22"/>
              </w:rPr>
            </w:pPr>
            <w:r w:rsidRPr="00883399">
              <w:rPr>
                <w:sz w:val="22"/>
              </w:rPr>
              <w:t xml:space="preserve">ASTM D 1945 – 03 </w:t>
            </w:r>
          </w:p>
          <w:p w14:paraId="11D7619F" w14:textId="77777777" w:rsidR="00872C03" w:rsidRPr="00883399" w:rsidRDefault="00872C03" w:rsidP="0031057E">
            <w:pPr>
              <w:pStyle w:val="Tabletext0"/>
              <w:rPr>
                <w:sz w:val="22"/>
              </w:rPr>
            </w:pPr>
            <w:r w:rsidRPr="00883399">
              <w:rPr>
                <w:sz w:val="22"/>
              </w:rPr>
              <w:t>ASTM D 1946 – 90 (2006)</w:t>
            </w:r>
          </w:p>
          <w:p w14:paraId="0EC8B9C0" w14:textId="77777777" w:rsidR="00872C03" w:rsidRPr="00883399" w:rsidRDefault="00872C03" w:rsidP="0031057E">
            <w:pPr>
              <w:pStyle w:val="Tabletext0"/>
              <w:rPr>
                <w:sz w:val="22"/>
              </w:rPr>
            </w:pPr>
            <w:r w:rsidRPr="00883399">
              <w:rPr>
                <w:sz w:val="22"/>
              </w:rPr>
              <w:t>ISO 6974</w:t>
            </w:r>
          </w:p>
          <w:p w14:paraId="458ABBF0" w14:textId="77777777" w:rsidR="00872C03" w:rsidRPr="00883399" w:rsidRDefault="00872C03" w:rsidP="0031057E">
            <w:pPr>
              <w:pStyle w:val="Tabletext0"/>
              <w:ind w:left="177"/>
              <w:rPr>
                <w:sz w:val="22"/>
              </w:rPr>
            </w:pPr>
            <w:r w:rsidRPr="00883399">
              <w:rPr>
                <w:sz w:val="22"/>
              </w:rPr>
              <w:t>part 1 (2000)</w:t>
            </w:r>
          </w:p>
          <w:p w14:paraId="7658C113" w14:textId="77777777" w:rsidR="00872C03" w:rsidRPr="00883399" w:rsidRDefault="00872C03" w:rsidP="0031057E">
            <w:pPr>
              <w:pStyle w:val="Tabletext0"/>
              <w:ind w:left="177"/>
              <w:rPr>
                <w:sz w:val="22"/>
              </w:rPr>
            </w:pPr>
            <w:r w:rsidRPr="00883399">
              <w:rPr>
                <w:sz w:val="22"/>
              </w:rPr>
              <w:t xml:space="preserve">part 2 (2001) </w:t>
            </w:r>
          </w:p>
          <w:p w14:paraId="45F3DC67" w14:textId="77777777" w:rsidR="00872C03" w:rsidRPr="00883399" w:rsidRDefault="00872C03" w:rsidP="0031057E">
            <w:pPr>
              <w:pStyle w:val="Tabletext0"/>
              <w:ind w:left="177"/>
              <w:rPr>
                <w:sz w:val="22"/>
              </w:rPr>
            </w:pPr>
            <w:r w:rsidRPr="00883399">
              <w:rPr>
                <w:sz w:val="22"/>
              </w:rPr>
              <w:t xml:space="preserve">part 3 (2000) </w:t>
            </w:r>
          </w:p>
          <w:p w14:paraId="375B47D7" w14:textId="77777777" w:rsidR="00872C03" w:rsidRPr="00883399" w:rsidRDefault="00872C03" w:rsidP="0031057E">
            <w:pPr>
              <w:pStyle w:val="Tabletext0"/>
              <w:ind w:left="177"/>
              <w:rPr>
                <w:sz w:val="22"/>
              </w:rPr>
            </w:pPr>
            <w:r w:rsidRPr="00883399">
              <w:rPr>
                <w:sz w:val="22"/>
              </w:rPr>
              <w:t xml:space="preserve">part 4 (2000) </w:t>
            </w:r>
          </w:p>
          <w:p w14:paraId="43DFD693" w14:textId="77777777" w:rsidR="00872C03" w:rsidRPr="00883399" w:rsidRDefault="00872C03" w:rsidP="0031057E">
            <w:pPr>
              <w:pStyle w:val="Tabletext0"/>
              <w:ind w:left="177"/>
              <w:rPr>
                <w:sz w:val="22"/>
              </w:rPr>
            </w:pPr>
            <w:r w:rsidRPr="00883399">
              <w:rPr>
                <w:sz w:val="22"/>
              </w:rPr>
              <w:t>part 5 (2000)</w:t>
            </w:r>
          </w:p>
          <w:p w14:paraId="7D37AC93" w14:textId="77777777" w:rsidR="00872C03" w:rsidRPr="00883399" w:rsidRDefault="00872C03" w:rsidP="0031057E">
            <w:pPr>
              <w:pStyle w:val="Tabletext0"/>
              <w:ind w:left="177"/>
              <w:rPr>
                <w:sz w:val="22"/>
              </w:rPr>
            </w:pPr>
            <w:r w:rsidRPr="00883399">
              <w:rPr>
                <w:sz w:val="22"/>
              </w:rPr>
              <w:t>part 6 (2002)</w:t>
            </w:r>
          </w:p>
          <w:p w14:paraId="5BE4882D" w14:textId="77777777" w:rsidR="00872C03" w:rsidRPr="00883399" w:rsidRDefault="00872C03" w:rsidP="0031057E">
            <w:pPr>
              <w:pStyle w:val="Tabletext0"/>
              <w:rPr>
                <w:sz w:val="22"/>
              </w:rPr>
            </w:pPr>
            <w:r w:rsidRPr="00883399">
              <w:rPr>
                <w:sz w:val="22"/>
              </w:rPr>
              <w:t>GPA 2145 – 03</w:t>
            </w:r>
          </w:p>
          <w:p w14:paraId="6948FB17" w14:textId="77777777" w:rsidR="00872C03" w:rsidRPr="00883399" w:rsidRDefault="00872C03" w:rsidP="0031057E">
            <w:pPr>
              <w:pStyle w:val="Tabletext0"/>
              <w:rPr>
                <w:sz w:val="22"/>
              </w:rPr>
            </w:pPr>
            <w:r w:rsidRPr="00883399">
              <w:rPr>
                <w:sz w:val="22"/>
              </w:rPr>
              <w:t>GPA 2261 – 00</w:t>
            </w:r>
          </w:p>
        </w:tc>
      </w:tr>
      <w:tr w:rsidR="00872C03" w:rsidRPr="00883399" w14:paraId="45DADF84" w14:textId="77777777" w:rsidTr="0031057E">
        <w:trPr>
          <w:trHeight w:val="1995"/>
        </w:trPr>
        <w:tc>
          <w:tcPr>
            <w:tcW w:w="828" w:type="dxa"/>
            <w:tcBorders>
              <w:bottom w:val="nil"/>
            </w:tcBorders>
            <w:shd w:val="clear" w:color="auto" w:fill="auto"/>
          </w:tcPr>
          <w:p w14:paraId="2E6501FF" w14:textId="77777777" w:rsidR="00872C03" w:rsidRPr="00883399" w:rsidRDefault="00872C03" w:rsidP="0031057E">
            <w:pPr>
              <w:pStyle w:val="Tabletext0"/>
              <w:rPr>
                <w:sz w:val="22"/>
              </w:rPr>
            </w:pPr>
            <w:r w:rsidRPr="00883399">
              <w:rPr>
                <w:sz w:val="22"/>
              </w:rPr>
              <w:t>13</w:t>
            </w:r>
          </w:p>
        </w:tc>
        <w:tc>
          <w:tcPr>
            <w:tcW w:w="1677" w:type="dxa"/>
            <w:tcBorders>
              <w:bottom w:val="nil"/>
            </w:tcBorders>
            <w:shd w:val="clear" w:color="auto" w:fill="auto"/>
          </w:tcPr>
          <w:p w14:paraId="740A6EBF" w14:textId="77777777" w:rsidR="00872C03" w:rsidRPr="00883399" w:rsidRDefault="00872C03" w:rsidP="0031057E">
            <w:pPr>
              <w:pStyle w:val="Tabletext0"/>
              <w:rPr>
                <w:sz w:val="22"/>
              </w:rPr>
            </w:pPr>
            <w:r w:rsidRPr="00883399">
              <w:rPr>
                <w:sz w:val="22"/>
              </w:rPr>
              <w:t>A biogas that is captured for combustion, other than those mentioned in items 11 and 12</w:t>
            </w:r>
          </w:p>
        </w:tc>
        <w:tc>
          <w:tcPr>
            <w:tcW w:w="2124" w:type="dxa"/>
            <w:tcBorders>
              <w:bottom w:val="nil"/>
            </w:tcBorders>
            <w:shd w:val="clear" w:color="auto" w:fill="auto"/>
          </w:tcPr>
          <w:p w14:paraId="4F4790CB" w14:textId="77777777" w:rsidR="00872C03" w:rsidRPr="00883399" w:rsidRDefault="00872C03" w:rsidP="0031057E">
            <w:pPr>
              <w:pStyle w:val="Tabletext0"/>
              <w:rPr>
                <w:sz w:val="22"/>
              </w:rPr>
            </w:pPr>
            <w:r w:rsidRPr="00883399">
              <w:rPr>
                <w:sz w:val="22"/>
              </w:rPr>
              <w:t>ASTM D 1826—94 (2003)</w:t>
            </w:r>
          </w:p>
          <w:p w14:paraId="078A9BE2" w14:textId="77777777" w:rsidR="00872C03" w:rsidRPr="00883399" w:rsidRDefault="00872C03" w:rsidP="0031057E">
            <w:pPr>
              <w:pStyle w:val="Tabletext0"/>
              <w:rPr>
                <w:sz w:val="22"/>
              </w:rPr>
            </w:pPr>
            <w:r w:rsidRPr="00883399">
              <w:rPr>
                <w:sz w:val="22"/>
              </w:rPr>
              <w:t>ASTM D 7164—05</w:t>
            </w:r>
          </w:p>
          <w:p w14:paraId="6B8AE24C" w14:textId="77777777" w:rsidR="00872C03" w:rsidRPr="00883399" w:rsidRDefault="00872C03" w:rsidP="0031057E">
            <w:pPr>
              <w:pStyle w:val="Tabletext0"/>
              <w:rPr>
                <w:sz w:val="22"/>
              </w:rPr>
            </w:pPr>
            <w:r w:rsidRPr="00883399">
              <w:rPr>
                <w:sz w:val="22"/>
              </w:rPr>
              <w:t>ISO 6974</w:t>
            </w:r>
          </w:p>
          <w:p w14:paraId="4A187C76" w14:textId="77777777" w:rsidR="00872C03" w:rsidRPr="00883399" w:rsidRDefault="00872C03" w:rsidP="0031057E">
            <w:pPr>
              <w:pStyle w:val="Tabletext0"/>
              <w:ind w:left="177"/>
              <w:rPr>
                <w:sz w:val="22"/>
              </w:rPr>
            </w:pPr>
            <w:r w:rsidRPr="00883399">
              <w:rPr>
                <w:sz w:val="22"/>
              </w:rPr>
              <w:t>part 1 (2000)</w:t>
            </w:r>
          </w:p>
          <w:p w14:paraId="286BA8A4" w14:textId="77777777" w:rsidR="00872C03" w:rsidRPr="00883399" w:rsidRDefault="00872C03" w:rsidP="0031057E">
            <w:pPr>
              <w:pStyle w:val="Tabletext0"/>
              <w:ind w:left="177"/>
              <w:rPr>
                <w:sz w:val="22"/>
              </w:rPr>
            </w:pPr>
            <w:r w:rsidRPr="00883399">
              <w:rPr>
                <w:sz w:val="22"/>
              </w:rPr>
              <w:t xml:space="preserve">part 2 (2001) </w:t>
            </w:r>
          </w:p>
          <w:p w14:paraId="45315306" w14:textId="77777777" w:rsidR="00872C03" w:rsidRPr="00883399" w:rsidRDefault="00872C03" w:rsidP="0031057E">
            <w:pPr>
              <w:pStyle w:val="Tabletext0"/>
              <w:ind w:left="177"/>
              <w:rPr>
                <w:sz w:val="22"/>
              </w:rPr>
            </w:pPr>
            <w:r w:rsidRPr="00883399">
              <w:rPr>
                <w:sz w:val="22"/>
              </w:rPr>
              <w:t xml:space="preserve">part 3 (2000) </w:t>
            </w:r>
          </w:p>
        </w:tc>
        <w:tc>
          <w:tcPr>
            <w:tcW w:w="3039" w:type="dxa"/>
            <w:tcBorders>
              <w:bottom w:val="nil"/>
            </w:tcBorders>
            <w:shd w:val="clear" w:color="auto" w:fill="auto"/>
          </w:tcPr>
          <w:p w14:paraId="104AF6E8" w14:textId="77777777" w:rsidR="00872C03" w:rsidRPr="00883399" w:rsidRDefault="00872C03" w:rsidP="0031057E">
            <w:pPr>
              <w:pStyle w:val="Tabletext0"/>
              <w:rPr>
                <w:sz w:val="22"/>
              </w:rPr>
            </w:pPr>
            <w:r w:rsidRPr="00883399">
              <w:rPr>
                <w:sz w:val="22"/>
              </w:rPr>
              <w:t xml:space="preserve">ASTM D 1945—03 </w:t>
            </w:r>
          </w:p>
          <w:p w14:paraId="26EEE113" w14:textId="77777777" w:rsidR="00872C03" w:rsidRPr="00883399" w:rsidRDefault="00872C03" w:rsidP="0031057E">
            <w:pPr>
              <w:pStyle w:val="Tabletext0"/>
              <w:rPr>
                <w:sz w:val="22"/>
              </w:rPr>
            </w:pPr>
            <w:r w:rsidRPr="00883399">
              <w:rPr>
                <w:sz w:val="22"/>
              </w:rPr>
              <w:t>ASTM D 1946—90 (2006)</w:t>
            </w:r>
          </w:p>
          <w:p w14:paraId="353D519F" w14:textId="77777777" w:rsidR="00872C03" w:rsidRPr="00883399" w:rsidRDefault="00872C03" w:rsidP="0031057E">
            <w:pPr>
              <w:pStyle w:val="Tabletext0"/>
              <w:rPr>
                <w:sz w:val="22"/>
              </w:rPr>
            </w:pPr>
            <w:r w:rsidRPr="00883399">
              <w:rPr>
                <w:sz w:val="22"/>
              </w:rPr>
              <w:t>ISO 6974</w:t>
            </w:r>
          </w:p>
          <w:p w14:paraId="0C7111B0" w14:textId="77777777" w:rsidR="00872C03" w:rsidRPr="00883399" w:rsidRDefault="00872C03" w:rsidP="0031057E">
            <w:pPr>
              <w:pStyle w:val="Tabletext0"/>
              <w:ind w:left="177"/>
              <w:rPr>
                <w:sz w:val="22"/>
              </w:rPr>
            </w:pPr>
            <w:r w:rsidRPr="00883399">
              <w:rPr>
                <w:sz w:val="22"/>
              </w:rPr>
              <w:t>part 1 (2000)</w:t>
            </w:r>
          </w:p>
          <w:p w14:paraId="68C04701" w14:textId="77777777" w:rsidR="00872C03" w:rsidRPr="00883399" w:rsidRDefault="00872C03" w:rsidP="0031057E">
            <w:pPr>
              <w:pStyle w:val="Tabletext0"/>
              <w:ind w:left="177"/>
              <w:rPr>
                <w:sz w:val="22"/>
              </w:rPr>
            </w:pPr>
            <w:r w:rsidRPr="00883399">
              <w:rPr>
                <w:sz w:val="22"/>
              </w:rPr>
              <w:t xml:space="preserve">part 2 (2001) </w:t>
            </w:r>
          </w:p>
          <w:p w14:paraId="3370E8CD" w14:textId="77777777" w:rsidR="00872C03" w:rsidRPr="00883399" w:rsidRDefault="00872C03" w:rsidP="0031057E">
            <w:pPr>
              <w:pStyle w:val="Tabletext0"/>
              <w:ind w:left="177"/>
              <w:rPr>
                <w:sz w:val="22"/>
              </w:rPr>
            </w:pPr>
            <w:r w:rsidRPr="00883399">
              <w:rPr>
                <w:sz w:val="22"/>
              </w:rPr>
              <w:t xml:space="preserve">part 3 (2000) </w:t>
            </w:r>
          </w:p>
          <w:p w14:paraId="0D9FC87B" w14:textId="77777777" w:rsidR="00872C03" w:rsidRPr="00883399" w:rsidRDefault="00872C03" w:rsidP="0031057E">
            <w:pPr>
              <w:pStyle w:val="Tabletext0"/>
              <w:ind w:left="177"/>
              <w:rPr>
                <w:sz w:val="22"/>
              </w:rPr>
            </w:pPr>
            <w:r w:rsidRPr="00883399">
              <w:rPr>
                <w:sz w:val="22"/>
              </w:rPr>
              <w:t xml:space="preserve">part 4 (2000) </w:t>
            </w:r>
          </w:p>
        </w:tc>
      </w:tr>
      <w:tr w:rsidR="00872C03" w:rsidRPr="00883399" w14:paraId="035A9D81" w14:textId="77777777" w:rsidTr="0031057E">
        <w:trPr>
          <w:trHeight w:val="345"/>
        </w:trPr>
        <w:tc>
          <w:tcPr>
            <w:tcW w:w="828" w:type="dxa"/>
            <w:tcBorders>
              <w:top w:val="nil"/>
              <w:bottom w:val="nil"/>
            </w:tcBorders>
            <w:shd w:val="clear" w:color="auto" w:fill="auto"/>
          </w:tcPr>
          <w:p w14:paraId="78BD93B5" w14:textId="77777777" w:rsidR="00872C03" w:rsidRPr="00883399" w:rsidRDefault="00872C03" w:rsidP="0031057E">
            <w:pPr>
              <w:pStyle w:val="Tabletext0"/>
              <w:rPr>
                <w:sz w:val="22"/>
              </w:rPr>
            </w:pPr>
          </w:p>
        </w:tc>
        <w:tc>
          <w:tcPr>
            <w:tcW w:w="1677" w:type="dxa"/>
            <w:tcBorders>
              <w:top w:val="nil"/>
              <w:bottom w:val="nil"/>
            </w:tcBorders>
            <w:shd w:val="clear" w:color="auto" w:fill="auto"/>
          </w:tcPr>
          <w:p w14:paraId="1BD86EE8" w14:textId="77777777" w:rsidR="00872C03" w:rsidRPr="00883399" w:rsidRDefault="00872C03" w:rsidP="0031057E">
            <w:pPr>
              <w:pStyle w:val="Tabletext0"/>
              <w:rPr>
                <w:sz w:val="22"/>
              </w:rPr>
            </w:pPr>
          </w:p>
        </w:tc>
        <w:tc>
          <w:tcPr>
            <w:tcW w:w="2124" w:type="dxa"/>
            <w:tcBorders>
              <w:top w:val="nil"/>
              <w:bottom w:val="nil"/>
            </w:tcBorders>
            <w:shd w:val="clear" w:color="auto" w:fill="auto"/>
          </w:tcPr>
          <w:p w14:paraId="59238057" w14:textId="77777777" w:rsidR="00872C03" w:rsidRPr="00883399" w:rsidRDefault="00872C03" w:rsidP="0031057E">
            <w:pPr>
              <w:pStyle w:val="Tabletext0"/>
              <w:ind w:left="177"/>
              <w:rPr>
                <w:sz w:val="22"/>
              </w:rPr>
            </w:pPr>
            <w:r w:rsidRPr="00883399">
              <w:rPr>
                <w:sz w:val="22"/>
              </w:rPr>
              <w:t xml:space="preserve">part 4 (2000) </w:t>
            </w:r>
          </w:p>
          <w:p w14:paraId="41FF5D13" w14:textId="77777777" w:rsidR="00872C03" w:rsidRPr="00883399" w:rsidRDefault="00872C03" w:rsidP="0031057E">
            <w:pPr>
              <w:pStyle w:val="Tabletext0"/>
              <w:ind w:left="177"/>
              <w:rPr>
                <w:sz w:val="22"/>
              </w:rPr>
            </w:pPr>
            <w:r w:rsidRPr="00883399">
              <w:rPr>
                <w:sz w:val="22"/>
              </w:rPr>
              <w:lastRenderedPageBreak/>
              <w:t>part 5 (2000)</w:t>
            </w:r>
          </w:p>
          <w:p w14:paraId="7CA28913" w14:textId="77777777" w:rsidR="00872C03" w:rsidRPr="00883399" w:rsidRDefault="00872C03" w:rsidP="0031057E">
            <w:pPr>
              <w:pStyle w:val="Tabletext0"/>
              <w:ind w:left="177"/>
              <w:rPr>
                <w:sz w:val="22"/>
              </w:rPr>
            </w:pPr>
            <w:r w:rsidRPr="00883399">
              <w:rPr>
                <w:sz w:val="22"/>
              </w:rPr>
              <w:t>part 6 (2002)</w:t>
            </w:r>
          </w:p>
        </w:tc>
        <w:tc>
          <w:tcPr>
            <w:tcW w:w="3039" w:type="dxa"/>
            <w:tcBorders>
              <w:top w:val="nil"/>
              <w:bottom w:val="nil"/>
            </w:tcBorders>
            <w:shd w:val="clear" w:color="auto" w:fill="auto"/>
          </w:tcPr>
          <w:p w14:paraId="0271A2AE" w14:textId="77777777" w:rsidR="00872C03" w:rsidRPr="00883399" w:rsidRDefault="00872C03" w:rsidP="0031057E">
            <w:pPr>
              <w:pStyle w:val="Tabletext0"/>
              <w:ind w:left="177"/>
              <w:rPr>
                <w:sz w:val="22"/>
              </w:rPr>
            </w:pPr>
            <w:r w:rsidRPr="00883399">
              <w:rPr>
                <w:sz w:val="22"/>
              </w:rPr>
              <w:lastRenderedPageBreak/>
              <w:t>part 5 (2000)</w:t>
            </w:r>
          </w:p>
          <w:p w14:paraId="5C7A9B97" w14:textId="77777777" w:rsidR="00872C03" w:rsidRPr="00883399" w:rsidRDefault="00872C03" w:rsidP="0031057E">
            <w:pPr>
              <w:pStyle w:val="Tabletext0"/>
              <w:ind w:left="177"/>
              <w:rPr>
                <w:sz w:val="22"/>
              </w:rPr>
            </w:pPr>
            <w:r w:rsidRPr="00883399">
              <w:rPr>
                <w:sz w:val="22"/>
              </w:rPr>
              <w:lastRenderedPageBreak/>
              <w:t>part 6 (2002)</w:t>
            </w:r>
          </w:p>
          <w:p w14:paraId="66AFDA67" w14:textId="77777777" w:rsidR="00872C03" w:rsidRPr="00883399" w:rsidRDefault="00872C03" w:rsidP="0031057E">
            <w:pPr>
              <w:pStyle w:val="Tabletext0"/>
              <w:rPr>
                <w:sz w:val="22"/>
              </w:rPr>
            </w:pPr>
            <w:r w:rsidRPr="00883399">
              <w:rPr>
                <w:sz w:val="22"/>
              </w:rPr>
              <w:t>GPA 2145 – 03</w:t>
            </w:r>
          </w:p>
        </w:tc>
      </w:tr>
      <w:tr w:rsidR="00872C03" w:rsidRPr="00883399" w14:paraId="5D23B847" w14:textId="77777777" w:rsidTr="0031057E">
        <w:trPr>
          <w:trHeight w:val="530"/>
        </w:trPr>
        <w:tc>
          <w:tcPr>
            <w:tcW w:w="828" w:type="dxa"/>
            <w:tcBorders>
              <w:top w:val="nil"/>
              <w:bottom w:val="single" w:sz="12" w:space="0" w:color="auto"/>
            </w:tcBorders>
            <w:shd w:val="clear" w:color="auto" w:fill="auto"/>
          </w:tcPr>
          <w:p w14:paraId="4659098C" w14:textId="77777777" w:rsidR="00872C03" w:rsidRPr="00883399" w:rsidRDefault="00872C03" w:rsidP="0031057E">
            <w:pPr>
              <w:pStyle w:val="Tabletext0"/>
              <w:rPr>
                <w:sz w:val="22"/>
              </w:rPr>
            </w:pPr>
          </w:p>
        </w:tc>
        <w:tc>
          <w:tcPr>
            <w:tcW w:w="1677" w:type="dxa"/>
            <w:tcBorders>
              <w:top w:val="nil"/>
              <w:bottom w:val="single" w:sz="12" w:space="0" w:color="auto"/>
            </w:tcBorders>
            <w:shd w:val="clear" w:color="auto" w:fill="auto"/>
          </w:tcPr>
          <w:p w14:paraId="60D015BA" w14:textId="77777777" w:rsidR="00872C03" w:rsidRPr="00883399" w:rsidRDefault="00872C03" w:rsidP="0031057E">
            <w:pPr>
              <w:pStyle w:val="Tabletext0"/>
              <w:rPr>
                <w:sz w:val="22"/>
              </w:rPr>
            </w:pPr>
          </w:p>
        </w:tc>
        <w:tc>
          <w:tcPr>
            <w:tcW w:w="2124" w:type="dxa"/>
            <w:tcBorders>
              <w:top w:val="nil"/>
              <w:bottom w:val="single" w:sz="12" w:space="0" w:color="auto"/>
            </w:tcBorders>
            <w:shd w:val="clear" w:color="auto" w:fill="auto"/>
          </w:tcPr>
          <w:p w14:paraId="29DE608E" w14:textId="77777777" w:rsidR="00872C03" w:rsidRPr="00883399" w:rsidRDefault="00872C03" w:rsidP="0031057E">
            <w:pPr>
              <w:pStyle w:val="Tabletext0"/>
              <w:rPr>
                <w:sz w:val="22"/>
              </w:rPr>
            </w:pPr>
            <w:r w:rsidRPr="00883399">
              <w:rPr>
                <w:sz w:val="22"/>
              </w:rPr>
              <w:t>ISO 6976:1995</w:t>
            </w:r>
          </w:p>
          <w:p w14:paraId="532AF536" w14:textId="77777777" w:rsidR="00872C03" w:rsidRPr="00883399" w:rsidRDefault="00872C03" w:rsidP="0031057E">
            <w:pPr>
              <w:pStyle w:val="Tabletext0"/>
              <w:rPr>
                <w:sz w:val="22"/>
              </w:rPr>
            </w:pPr>
            <w:r w:rsidRPr="00883399">
              <w:rPr>
                <w:sz w:val="22"/>
              </w:rPr>
              <w:t>GPA 2172—96</w:t>
            </w:r>
          </w:p>
        </w:tc>
        <w:tc>
          <w:tcPr>
            <w:tcW w:w="3039" w:type="dxa"/>
            <w:tcBorders>
              <w:top w:val="nil"/>
              <w:bottom w:val="single" w:sz="12" w:space="0" w:color="auto"/>
            </w:tcBorders>
            <w:shd w:val="clear" w:color="auto" w:fill="auto"/>
          </w:tcPr>
          <w:p w14:paraId="320DF95A" w14:textId="77777777" w:rsidR="00872C03" w:rsidRPr="00883399" w:rsidRDefault="00872C03" w:rsidP="0031057E">
            <w:pPr>
              <w:pStyle w:val="Tabletext0"/>
              <w:rPr>
                <w:sz w:val="22"/>
              </w:rPr>
            </w:pPr>
            <w:r w:rsidRPr="00883399">
              <w:rPr>
                <w:sz w:val="22"/>
              </w:rPr>
              <w:t>GPA 2261 – 00</w:t>
            </w:r>
          </w:p>
        </w:tc>
      </w:tr>
    </w:tbl>
    <w:p w14:paraId="3E6159AE" w14:textId="77777777" w:rsidR="00872C03" w:rsidRPr="00883399" w:rsidRDefault="00872C03" w:rsidP="00872C03">
      <w:pPr>
        <w:pStyle w:val="subsection"/>
        <w:rPr>
          <w:sz w:val="24"/>
        </w:rPr>
      </w:pPr>
      <w:r w:rsidRPr="00883399">
        <w:rPr>
          <w:sz w:val="24"/>
        </w:rPr>
        <w:tab/>
        <w:t>(2)</w:t>
      </w:r>
      <w:r w:rsidRPr="00883399">
        <w:rPr>
          <w:sz w:val="24"/>
        </w:rPr>
        <w:tab/>
        <w:t>A gaseous fuel mentioned in column 2 of an item in the table in subsection (1) may also be analysed in accordance with a standard that is equivalent to a standard set out in column 3 and 4 of the item.</w:t>
      </w:r>
    </w:p>
    <w:p w14:paraId="37BA328A" w14:textId="77777777" w:rsidR="00872C03" w:rsidRPr="00883399" w:rsidRDefault="00872C03" w:rsidP="00872C03">
      <w:pPr>
        <w:pStyle w:val="subsection"/>
        <w:keepNext/>
        <w:keepLines/>
        <w:rPr>
          <w:sz w:val="24"/>
        </w:rPr>
      </w:pPr>
      <w:r w:rsidRPr="00883399">
        <w:rPr>
          <w:sz w:val="24"/>
        </w:rPr>
        <w:tab/>
        <w:t>(3)</w:t>
      </w:r>
      <w:r w:rsidRPr="00883399">
        <w:rPr>
          <w:sz w:val="24"/>
        </w:rPr>
        <w:tab/>
        <w:t>The analysis must be undertaken:</w:t>
      </w:r>
    </w:p>
    <w:p w14:paraId="7D31B929" w14:textId="77777777" w:rsidR="00872C03" w:rsidRPr="00883399" w:rsidRDefault="00872C03" w:rsidP="00872C03">
      <w:pPr>
        <w:pStyle w:val="paragraph"/>
        <w:rPr>
          <w:sz w:val="24"/>
        </w:rPr>
      </w:pPr>
      <w:r w:rsidRPr="00883399">
        <w:rPr>
          <w:sz w:val="24"/>
        </w:rPr>
        <w:tab/>
        <w:t>(a)</w:t>
      </w:r>
      <w:r w:rsidRPr="00883399">
        <w:rPr>
          <w:sz w:val="24"/>
        </w:rPr>
        <w:tab/>
        <w:t>by an accredited laboratory; or</w:t>
      </w:r>
    </w:p>
    <w:p w14:paraId="779962B6" w14:textId="77777777" w:rsidR="00872C03" w:rsidRPr="00883399" w:rsidRDefault="00872C03" w:rsidP="00872C03">
      <w:pPr>
        <w:pStyle w:val="paragraph"/>
        <w:rPr>
          <w:sz w:val="24"/>
        </w:rPr>
      </w:pPr>
      <w:r w:rsidRPr="00883399">
        <w:rPr>
          <w:sz w:val="24"/>
        </w:rPr>
        <w:tab/>
        <w:t>(b)</w:t>
      </w:r>
      <w:r w:rsidRPr="00883399">
        <w:rPr>
          <w:sz w:val="24"/>
        </w:rPr>
        <w:tab/>
        <w:t>by a laboratory that meets requirements that are equivalent to the requirements in AS ISO/IEC 17025:2005; or</w:t>
      </w:r>
    </w:p>
    <w:p w14:paraId="526CD408" w14:textId="77777777" w:rsidR="00872C03" w:rsidRPr="00883399" w:rsidRDefault="00872C03" w:rsidP="00872C03">
      <w:pPr>
        <w:pStyle w:val="paragraph"/>
        <w:rPr>
          <w:sz w:val="24"/>
        </w:rPr>
      </w:pPr>
      <w:r w:rsidRPr="00883399">
        <w:rPr>
          <w:sz w:val="24"/>
        </w:rPr>
        <w:tab/>
        <w:t>(c)</w:t>
      </w:r>
      <w:r w:rsidRPr="00883399">
        <w:rPr>
          <w:sz w:val="24"/>
        </w:rPr>
        <w:tab/>
        <w:t>using an online analyser if:</w:t>
      </w:r>
    </w:p>
    <w:p w14:paraId="340F10BF" w14:textId="77777777" w:rsidR="00872C03" w:rsidRPr="00883399" w:rsidRDefault="00872C03" w:rsidP="00872C03">
      <w:pPr>
        <w:pStyle w:val="paragraphsub"/>
        <w:rPr>
          <w:sz w:val="24"/>
        </w:rPr>
      </w:pPr>
      <w:r w:rsidRPr="00883399">
        <w:rPr>
          <w:sz w:val="24"/>
        </w:rPr>
        <w:tab/>
        <w:t>(i)</w:t>
      </w:r>
      <w:r w:rsidRPr="00883399">
        <w:rPr>
          <w:sz w:val="24"/>
        </w:rPr>
        <w:tab/>
        <w:t>the online analyser is calibrated in accordance with an appropriate standard; and</w:t>
      </w:r>
    </w:p>
    <w:p w14:paraId="4102410F" w14:textId="77777777" w:rsidR="00872C03" w:rsidRPr="00883399" w:rsidRDefault="00872C03" w:rsidP="00872C03">
      <w:pPr>
        <w:pStyle w:val="paragraphsub"/>
        <w:rPr>
          <w:sz w:val="24"/>
        </w:rPr>
      </w:pPr>
      <w:r w:rsidRPr="00883399">
        <w:rPr>
          <w:sz w:val="24"/>
        </w:rPr>
        <w:tab/>
        <w:t>(ii)</w:t>
      </w:r>
      <w:r w:rsidRPr="00883399">
        <w:rPr>
          <w:sz w:val="24"/>
        </w:rPr>
        <w:tab/>
        <w:t>the online analysis is undertaken in accordance with this section.</w:t>
      </w:r>
    </w:p>
    <w:p w14:paraId="0E86B5D8" w14:textId="77777777" w:rsidR="00872C03" w:rsidRPr="00883399" w:rsidRDefault="00872C03" w:rsidP="00872C03">
      <w:pPr>
        <w:pStyle w:val="notetext"/>
        <w:rPr>
          <w:sz w:val="20"/>
        </w:rPr>
      </w:pPr>
      <w:r w:rsidRPr="00883399">
        <w:rPr>
          <w:sz w:val="20"/>
        </w:rPr>
        <w:t>Note:</w:t>
      </w:r>
      <w:r w:rsidRPr="00883399">
        <w:rPr>
          <w:sz w:val="20"/>
        </w:rPr>
        <w:tab/>
        <w:t>An example of an appropriate standard is ISO 6975:1997—</w:t>
      </w:r>
      <w:r w:rsidRPr="00883399">
        <w:rPr>
          <w:i/>
          <w:sz w:val="20"/>
        </w:rPr>
        <w:t>Natural gas—Extended analysis—Gas</w:t>
      </w:r>
      <w:r w:rsidRPr="00883399">
        <w:rPr>
          <w:i/>
          <w:sz w:val="20"/>
        </w:rPr>
        <w:noBreakHyphen/>
        <w:t>chromatographic method</w:t>
      </w:r>
      <w:r w:rsidRPr="00883399">
        <w:rPr>
          <w:sz w:val="20"/>
        </w:rPr>
        <w:t>.</w:t>
      </w:r>
    </w:p>
    <w:p w14:paraId="60FAC754" w14:textId="77777777" w:rsidR="00872C03" w:rsidRPr="00883399" w:rsidRDefault="00872C03" w:rsidP="00872C03">
      <w:pPr>
        <w:pStyle w:val="subsection"/>
        <w:rPr>
          <w:sz w:val="24"/>
        </w:rPr>
      </w:pPr>
      <w:r w:rsidRPr="00883399">
        <w:rPr>
          <w:sz w:val="24"/>
        </w:rPr>
        <w:tab/>
        <w:t>(4)</w:t>
      </w:r>
      <w:r w:rsidRPr="00883399">
        <w:rPr>
          <w:sz w:val="24"/>
        </w:rPr>
        <w:tab/>
        <w:t>The density of a gaseous fuel mentioned in column 2 of an item in the table in subsection (1) must be analysed in accordance with ISO 6976:1995 or in accordance with a standard that is equivalent to that standard.</w:t>
      </w:r>
    </w:p>
    <w:p w14:paraId="0FBDD3A2" w14:textId="3E2DD9A4" w:rsidR="00872C03" w:rsidRPr="00883399" w:rsidRDefault="00872C03" w:rsidP="00872C03">
      <w:pPr>
        <w:pStyle w:val="ActHead5"/>
        <w:rPr>
          <w:sz w:val="28"/>
        </w:rPr>
      </w:pPr>
      <w:bookmarkStart w:id="237" w:name="_Toc423516773"/>
      <w:bookmarkStart w:id="238" w:name="_Toc495652689"/>
      <w:r w:rsidRPr="00883399">
        <w:rPr>
          <w:rStyle w:val="CharSectno"/>
          <w:sz w:val="28"/>
        </w:rPr>
        <w:t>2.25</w:t>
      </w:r>
      <w:r w:rsidRPr="00883399">
        <w:rPr>
          <w:sz w:val="28"/>
        </w:rPr>
        <w:t xml:space="preserve">  Frequency of analysis</w:t>
      </w:r>
      <w:bookmarkEnd w:id="237"/>
      <w:bookmarkEnd w:id="238"/>
    </w:p>
    <w:p w14:paraId="006CB9D5" w14:textId="77777777" w:rsidR="00872C03" w:rsidRPr="00883399" w:rsidRDefault="00872C03" w:rsidP="00872C03">
      <w:pPr>
        <w:pStyle w:val="subsection"/>
        <w:rPr>
          <w:sz w:val="24"/>
        </w:rPr>
      </w:pPr>
      <w:r w:rsidRPr="00883399">
        <w:rPr>
          <w:sz w:val="24"/>
        </w:rPr>
        <w:tab/>
      </w:r>
      <w:r w:rsidRPr="00883399">
        <w:rPr>
          <w:sz w:val="24"/>
        </w:rPr>
        <w:tab/>
        <w:t>Gaseous fuel of a type mentioned in column 2 of an item in the following table must be analysed for the parameter mentioned in column 3 for that item at least at the frequency mentioned in column 4 for that item.</w:t>
      </w:r>
    </w:p>
    <w:p w14:paraId="6621DAE5" w14:textId="77777777" w:rsidR="00872C03" w:rsidRPr="00883399" w:rsidRDefault="00872C03" w:rsidP="00872C03">
      <w:pPr>
        <w:pStyle w:val="Tabletext0"/>
        <w:rPr>
          <w:sz w:val="22"/>
        </w:rPr>
      </w:pPr>
    </w:p>
    <w:tbl>
      <w:tblPr>
        <w:tblW w:w="7560" w:type="dxa"/>
        <w:tblInd w:w="948" w:type="dxa"/>
        <w:tblLook w:val="01E0" w:firstRow="1" w:lastRow="1" w:firstColumn="1" w:lastColumn="1" w:noHBand="0" w:noVBand="0"/>
      </w:tblPr>
      <w:tblGrid>
        <w:gridCol w:w="656"/>
        <w:gridCol w:w="1772"/>
        <w:gridCol w:w="1892"/>
        <w:gridCol w:w="3240"/>
      </w:tblGrid>
      <w:tr w:rsidR="00872C03" w:rsidRPr="00883399" w14:paraId="6A446AFA" w14:textId="77777777" w:rsidTr="0031057E">
        <w:trPr>
          <w:cantSplit/>
          <w:trHeight w:val="340"/>
          <w:tblHeader/>
        </w:trPr>
        <w:tc>
          <w:tcPr>
            <w:tcW w:w="0" w:type="auto"/>
            <w:tcBorders>
              <w:top w:val="single" w:sz="12" w:space="0" w:color="auto"/>
              <w:bottom w:val="single" w:sz="12" w:space="0" w:color="auto"/>
            </w:tcBorders>
          </w:tcPr>
          <w:p w14:paraId="3BD77E13" w14:textId="77777777" w:rsidR="00872C03" w:rsidRPr="00883399" w:rsidRDefault="00872C03" w:rsidP="0031057E">
            <w:pPr>
              <w:pStyle w:val="TableHeading"/>
              <w:rPr>
                <w:sz w:val="22"/>
              </w:rPr>
            </w:pPr>
            <w:r w:rsidRPr="00883399">
              <w:rPr>
                <w:sz w:val="22"/>
              </w:rPr>
              <w:t>Item</w:t>
            </w:r>
          </w:p>
        </w:tc>
        <w:tc>
          <w:tcPr>
            <w:tcW w:w="0" w:type="auto"/>
            <w:tcBorders>
              <w:top w:val="single" w:sz="12" w:space="0" w:color="auto"/>
              <w:bottom w:val="single" w:sz="12" w:space="0" w:color="auto"/>
            </w:tcBorders>
          </w:tcPr>
          <w:p w14:paraId="550C8002" w14:textId="77777777" w:rsidR="00872C03" w:rsidRPr="00883399" w:rsidRDefault="00872C03" w:rsidP="0031057E">
            <w:pPr>
              <w:pStyle w:val="TableHeading"/>
              <w:rPr>
                <w:sz w:val="22"/>
              </w:rPr>
            </w:pPr>
            <w:r w:rsidRPr="00883399">
              <w:rPr>
                <w:sz w:val="22"/>
              </w:rPr>
              <w:t>Fuel</w:t>
            </w:r>
          </w:p>
        </w:tc>
        <w:tc>
          <w:tcPr>
            <w:tcW w:w="1892" w:type="dxa"/>
            <w:tcBorders>
              <w:top w:val="single" w:sz="12" w:space="0" w:color="auto"/>
              <w:bottom w:val="single" w:sz="12" w:space="0" w:color="auto"/>
            </w:tcBorders>
          </w:tcPr>
          <w:p w14:paraId="5B97B626" w14:textId="77777777" w:rsidR="00872C03" w:rsidRPr="00883399" w:rsidRDefault="00872C03" w:rsidP="0031057E">
            <w:pPr>
              <w:pStyle w:val="TableHeading"/>
              <w:rPr>
                <w:sz w:val="22"/>
              </w:rPr>
            </w:pPr>
            <w:r w:rsidRPr="00883399">
              <w:rPr>
                <w:sz w:val="22"/>
              </w:rPr>
              <w:t>Parameter</w:t>
            </w:r>
          </w:p>
        </w:tc>
        <w:tc>
          <w:tcPr>
            <w:tcW w:w="3240" w:type="dxa"/>
            <w:tcBorders>
              <w:top w:val="single" w:sz="12" w:space="0" w:color="auto"/>
              <w:bottom w:val="single" w:sz="12" w:space="0" w:color="auto"/>
            </w:tcBorders>
          </w:tcPr>
          <w:p w14:paraId="6633BF72" w14:textId="77777777" w:rsidR="00872C03" w:rsidRPr="00883399" w:rsidRDefault="00872C03" w:rsidP="0031057E">
            <w:pPr>
              <w:pStyle w:val="TableHeading"/>
              <w:rPr>
                <w:sz w:val="22"/>
              </w:rPr>
            </w:pPr>
            <w:r w:rsidRPr="00883399">
              <w:rPr>
                <w:sz w:val="22"/>
              </w:rPr>
              <w:t>Frequency</w:t>
            </w:r>
          </w:p>
        </w:tc>
      </w:tr>
      <w:tr w:rsidR="00872C03" w:rsidRPr="00883399" w14:paraId="2EA4E981" w14:textId="77777777" w:rsidTr="0031057E">
        <w:trPr>
          <w:cantSplit/>
          <w:trHeight w:val="1600"/>
        </w:trPr>
        <w:tc>
          <w:tcPr>
            <w:tcW w:w="0" w:type="auto"/>
            <w:tcBorders>
              <w:top w:val="single" w:sz="12" w:space="0" w:color="auto"/>
              <w:bottom w:val="single" w:sz="4" w:space="0" w:color="auto"/>
            </w:tcBorders>
          </w:tcPr>
          <w:p w14:paraId="5DC8EE9B" w14:textId="77777777" w:rsidR="00872C03" w:rsidRPr="00883399" w:rsidRDefault="00872C03" w:rsidP="0031057E">
            <w:pPr>
              <w:pStyle w:val="Tabletext0"/>
              <w:rPr>
                <w:sz w:val="22"/>
              </w:rPr>
            </w:pPr>
            <w:r w:rsidRPr="00883399">
              <w:rPr>
                <w:sz w:val="22"/>
              </w:rPr>
              <w:t>1</w:t>
            </w:r>
          </w:p>
        </w:tc>
        <w:tc>
          <w:tcPr>
            <w:tcW w:w="0" w:type="auto"/>
            <w:tcBorders>
              <w:top w:val="single" w:sz="12" w:space="0" w:color="auto"/>
              <w:bottom w:val="single" w:sz="4" w:space="0" w:color="auto"/>
            </w:tcBorders>
          </w:tcPr>
          <w:p w14:paraId="00769ED5" w14:textId="77777777" w:rsidR="00872C03" w:rsidRPr="00883399" w:rsidRDefault="00872C03" w:rsidP="0031057E">
            <w:pPr>
              <w:pStyle w:val="Tabletext0"/>
              <w:rPr>
                <w:sz w:val="22"/>
              </w:rPr>
            </w:pPr>
            <w:r w:rsidRPr="00883399">
              <w:rPr>
                <w:sz w:val="22"/>
              </w:rPr>
              <w:t>Pipeline quality gases</w:t>
            </w:r>
          </w:p>
        </w:tc>
        <w:tc>
          <w:tcPr>
            <w:tcW w:w="1892" w:type="dxa"/>
            <w:tcBorders>
              <w:top w:val="single" w:sz="12" w:space="0" w:color="auto"/>
              <w:bottom w:val="single" w:sz="4" w:space="0" w:color="auto"/>
            </w:tcBorders>
          </w:tcPr>
          <w:p w14:paraId="61B801C8" w14:textId="77777777" w:rsidR="00872C03" w:rsidRPr="00883399" w:rsidRDefault="00872C03" w:rsidP="0031057E">
            <w:pPr>
              <w:pStyle w:val="Tabletext0"/>
              <w:rPr>
                <w:sz w:val="22"/>
              </w:rPr>
            </w:pPr>
            <w:r w:rsidRPr="00883399">
              <w:rPr>
                <w:sz w:val="22"/>
              </w:rPr>
              <w:t>Gas composition</w:t>
            </w:r>
          </w:p>
          <w:p w14:paraId="6B293C88" w14:textId="77777777" w:rsidR="00872C03" w:rsidRPr="00883399" w:rsidRDefault="00872C03" w:rsidP="0031057E">
            <w:pPr>
              <w:pStyle w:val="Tabletext0"/>
              <w:rPr>
                <w:sz w:val="22"/>
              </w:rPr>
            </w:pPr>
            <w:r w:rsidRPr="00883399">
              <w:rPr>
                <w:sz w:val="22"/>
              </w:rPr>
              <w:t>Energy content</w:t>
            </w:r>
          </w:p>
        </w:tc>
        <w:tc>
          <w:tcPr>
            <w:tcW w:w="3240" w:type="dxa"/>
            <w:tcBorders>
              <w:top w:val="single" w:sz="12" w:space="0" w:color="auto"/>
              <w:bottom w:val="single" w:sz="4" w:space="0" w:color="auto"/>
            </w:tcBorders>
          </w:tcPr>
          <w:p w14:paraId="280421C6" w14:textId="77777777" w:rsidR="00872C03" w:rsidRPr="00883399" w:rsidRDefault="00872C03" w:rsidP="0031057E">
            <w:pPr>
              <w:pStyle w:val="Tabletext0"/>
              <w:rPr>
                <w:sz w:val="22"/>
              </w:rPr>
            </w:pPr>
            <w:r w:rsidRPr="00883399">
              <w:rPr>
                <w:sz w:val="22"/>
              </w:rPr>
              <w:t>Monthly</w:t>
            </w:r>
          </w:p>
          <w:p w14:paraId="41905FDA" w14:textId="77777777" w:rsidR="00872C03" w:rsidRPr="00883399" w:rsidRDefault="00872C03" w:rsidP="0031057E">
            <w:pPr>
              <w:pStyle w:val="Tabletext0"/>
              <w:rPr>
                <w:sz w:val="22"/>
              </w:rPr>
            </w:pPr>
            <w:r w:rsidRPr="00883399">
              <w:rPr>
                <w:sz w:val="22"/>
              </w:rPr>
              <w:t>Monthly—if category 1 or 2 gas measuring equipment is used</w:t>
            </w:r>
          </w:p>
          <w:p w14:paraId="5ABA0D81" w14:textId="77777777" w:rsidR="00872C03" w:rsidRPr="00883399" w:rsidRDefault="00872C03" w:rsidP="0031057E">
            <w:pPr>
              <w:pStyle w:val="Tabletext0"/>
              <w:rPr>
                <w:sz w:val="22"/>
              </w:rPr>
            </w:pPr>
            <w:r w:rsidRPr="00883399">
              <w:rPr>
                <w:sz w:val="22"/>
              </w:rPr>
              <w:t>Continuous—if category 3 or 4 gas measuring equipment is used</w:t>
            </w:r>
          </w:p>
        </w:tc>
      </w:tr>
      <w:tr w:rsidR="00872C03" w:rsidRPr="00883399" w14:paraId="10A5EC89" w14:textId="77777777" w:rsidTr="0031057E">
        <w:trPr>
          <w:cantSplit/>
        </w:trPr>
        <w:tc>
          <w:tcPr>
            <w:tcW w:w="0" w:type="auto"/>
            <w:tcBorders>
              <w:top w:val="single" w:sz="4" w:space="0" w:color="auto"/>
              <w:bottom w:val="single" w:sz="12" w:space="0" w:color="auto"/>
            </w:tcBorders>
          </w:tcPr>
          <w:p w14:paraId="079EB2F6" w14:textId="77777777" w:rsidR="00872C03" w:rsidRPr="00883399" w:rsidRDefault="00872C03" w:rsidP="0031057E">
            <w:pPr>
              <w:pStyle w:val="Tabletext0"/>
              <w:rPr>
                <w:sz w:val="22"/>
              </w:rPr>
            </w:pPr>
            <w:r w:rsidRPr="00883399">
              <w:rPr>
                <w:sz w:val="22"/>
              </w:rPr>
              <w:lastRenderedPageBreak/>
              <w:t>2</w:t>
            </w:r>
          </w:p>
        </w:tc>
        <w:tc>
          <w:tcPr>
            <w:tcW w:w="0" w:type="auto"/>
            <w:tcBorders>
              <w:top w:val="single" w:sz="4" w:space="0" w:color="auto"/>
              <w:bottom w:val="single" w:sz="12" w:space="0" w:color="auto"/>
            </w:tcBorders>
          </w:tcPr>
          <w:p w14:paraId="6E444A93" w14:textId="77777777" w:rsidR="00872C03" w:rsidRPr="00883399" w:rsidRDefault="00872C03" w:rsidP="0031057E">
            <w:pPr>
              <w:pStyle w:val="Tabletext0"/>
              <w:rPr>
                <w:sz w:val="22"/>
              </w:rPr>
            </w:pPr>
            <w:r w:rsidRPr="00883399">
              <w:rPr>
                <w:sz w:val="22"/>
              </w:rPr>
              <w:t>All other gases (including fugitive emissions)</w:t>
            </w:r>
          </w:p>
        </w:tc>
        <w:tc>
          <w:tcPr>
            <w:tcW w:w="1892" w:type="dxa"/>
            <w:tcBorders>
              <w:top w:val="single" w:sz="4" w:space="0" w:color="auto"/>
              <w:bottom w:val="single" w:sz="12" w:space="0" w:color="auto"/>
            </w:tcBorders>
          </w:tcPr>
          <w:p w14:paraId="4CEDE6FB" w14:textId="77777777" w:rsidR="00872C03" w:rsidRPr="00883399" w:rsidRDefault="00872C03" w:rsidP="0031057E">
            <w:pPr>
              <w:pStyle w:val="Tabletext0"/>
              <w:rPr>
                <w:sz w:val="22"/>
              </w:rPr>
            </w:pPr>
            <w:r w:rsidRPr="00883399">
              <w:rPr>
                <w:sz w:val="22"/>
              </w:rPr>
              <w:t>Gas composition</w:t>
            </w:r>
          </w:p>
          <w:p w14:paraId="5DC31581" w14:textId="77777777" w:rsidR="00872C03" w:rsidRPr="00883399" w:rsidRDefault="00872C03" w:rsidP="0031057E">
            <w:pPr>
              <w:pStyle w:val="Tabletext0"/>
              <w:rPr>
                <w:sz w:val="22"/>
              </w:rPr>
            </w:pPr>
            <w:r w:rsidRPr="00883399">
              <w:rPr>
                <w:sz w:val="22"/>
              </w:rPr>
              <w:t>Energy content</w:t>
            </w:r>
          </w:p>
        </w:tc>
        <w:tc>
          <w:tcPr>
            <w:tcW w:w="3240" w:type="dxa"/>
            <w:tcBorders>
              <w:top w:val="single" w:sz="4" w:space="0" w:color="auto"/>
              <w:bottom w:val="single" w:sz="12" w:space="0" w:color="auto"/>
            </w:tcBorders>
          </w:tcPr>
          <w:p w14:paraId="201CEC67" w14:textId="77777777" w:rsidR="00872C03" w:rsidRPr="00883399" w:rsidRDefault="00872C03" w:rsidP="0031057E">
            <w:pPr>
              <w:pStyle w:val="Tabletext0"/>
              <w:rPr>
                <w:sz w:val="22"/>
              </w:rPr>
            </w:pPr>
            <w:r w:rsidRPr="00883399">
              <w:rPr>
                <w:sz w:val="22"/>
              </w:rPr>
              <w:t>Monthly, unless the reporting corporation or liable entity certifies in writing that such frequency of analysis will cause significant hardship or expense in which case the analysis may be undertaken at a frequency that will allow an unbiased estimate to be obtained</w:t>
            </w:r>
          </w:p>
        </w:tc>
      </w:tr>
    </w:tbl>
    <w:p w14:paraId="486FF153" w14:textId="77777777" w:rsidR="00872C03" w:rsidRPr="00883399" w:rsidRDefault="00872C03" w:rsidP="00872C03">
      <w:pPr>
        <w:pStyle w:val="notetext"/>
        <w:rPr>
          <w:sz w:val="20"/>
        </w:rPr>
      </w:pPr>
      <w:r w:rsidRPr="00883399">
        <w:rPr>
          <w:sz w:val="20"/>
        </w:rPr>
        <w:t>Note:</w:t>
      </w:r>
      <w:r w:rsidRPr="00883399">
        <w:rPr>
          <w:sz w:val="20"/>
        </w:rPr>
        <w:tab/>
        <w:t>The table in section 2.31 sets out the categories of gas measuring equipment.</w:t>
      </w:r>
    </w:p>
    <w:p w14:paraId="0989E7C7" w14:textId="20384261" w:rsidR="00872C03" w:rsidRPr="00883399" w:rsidRDefault="00872C03" w:rsidP="00872C03">
      <w:pPr>
        <w:pStyle w:val="ActHead3"/>
        <w:pageBreakBefore/>
        <w:rPr>
          <w:rStyle w:val="CharDivText"/>
          <w:sz w:val="32"/>
        </w:rPr>
      </w:pPr>
      <w:bookmarkStart w:id="239" w:name="_Toc423516774"/>
      <w:bookmarkStart w:id="240" w:name="_Toc495652690"/>
      <w:r w:rsidRPr="00883399">
        <w:rPr>
          <w:rStyle w:val="CharDivNo"/>
          <w:sz w:val="32"/>
        </w:rPr>
        <w:lastRenderedPageBreak/>
        <w:t>Division 2.3.4</w:t>
      </w:r>
      <w:r w:rsidRPr="00883399">
        <w:rPr>
          <w:sz w:val="32"/>
        </w:rPr>
        <w:t>—</w:t>
      </w:r>
      <w:r w:rsidRPr="00883399">
        <w:rPr>
          <w:rStyle w:val="CharDivText"/>
          <w:sz w:val="32"/>
        </w:rPr>
        <w:t>Method 3—emissions of carbon dioxide released from the combustion of gaseous fuels</w:t>
      </w:r>
      <w:bookmarkEnd w:id="239"/>
      <w:bookmarkEnd w:id="240"/>
    </w:p>
    <w:p w14:paraId="0A8D82FB" w14:textId="77777777" w:rsidR="00872C03" w:rsidRPr="00883399" w:rsidRDefault="00872C03" w:rsidP="00872C03">
      <w:pPr>
        <w:pStyle w:val="R1"/>
        <w:spacing w:before="240" w:line="312" w:lineRule="auto"/>
        <w:ind w:left="0" w:firstLine="0"/>
        <w:jc w:val="left"/>
        <w:rPr>
          <w:rFonts w:ascii="Arial" w:hAnsi="Arial" w:cs="Arial"/>
          <w:sz w:val="22"/>
          <w:szCs w:val="22"/>
        </w:rPr>
      </w:pPr>
      <w:r w:rsidRPr="00883399">
        <w:rPr>
          <w:rFonts w:ascii="Arial" w:hAnsi="Arial" w:cs="Arial"/>
          <w:sz w:val="22"/>
          <w:szCs w:val="22"/>
        </w:rPr>
        <w:t>As for solid fuels, Method 3 is a variation on Method 2.  Method 3 provides for the same requirements as Method 2 except that sampling of fuels should also be conducted in accordance with the Australian or international standards listed below or by an equivalent standard.  Once sampling of the fuel has been conducted in accordance with the standard, the analysis of the fuel should be conducted as for Method 2.  Emissions may then be estimated in accordance with the equations specified in Section 2.21 (1) in Method 2.</w:t>
      </w:r>
    </w:p>
    <w:p w14:paraId="71E687CF" w14:textId="344A93C7" w:rsidR="00872C03" w:rsidRPr="00883399" w:rsidRDefault="00872C03" w:rsidP="00872C03">
      <w:pPr>
        <w:pStyle w:val="ActHead5"/>
        <w:rPr>
          <w:sz w:val="28"/>
        </w:rPr>
      </w:pPr>
      <w:bookmarkStart w:id="241" w:name="_Toc423516775"/>
      <w:bookmarkStart w:id="242" w:name="_Toc495652691"/>
      <w:r w:rsidRPr="00883399">
        <w:rPr>
          <w:rStyle w:val="CharSectno"/>
          <w:sz w:val="28"/>
        </w:rPr>
        <w:t>2.26</w:t>
      </w:r>
      <w:r w:rsidRPr="00883399">
        <w:rPr>
          <w:sz w:val="28"/>
        </w:rPr>
        <w:t xml:space="preserve">  Method 3—emissions of carbon dioxide from the combustion of gaseous fuels</w:t>
      </w:r>
      <w:bookmarkEnd w:id="241"/>
      <w:bookmarkEnd w:id="242"/>
    </w:p>
    <w:p w14:paraId="33F50BFB" w14:textId="77777777" w:rsidR="00872C03" w:rsidRPr="00883399" w:rsidRDefault="00872C03" w:rsidP="00872C03">
      <w:pPr>
        <w:pStyle w:val="subsection"/>
        <w:rPr>
          <w:sz w:val="24"/>
        </w:rPr>
      </w:pPr>
      <w:r w:rsidRPr="00883399">
        <w:rPr>
          <w:sz w:val="24"/>
        </w:rPr>
        <w:tab/>
        <w:t>(1)</w:t>
      </w:r>
      <w:r w:rsidRPr="00883399">
        <w:rPr>
          <w:sz w:val="24"/>
        </w:rPr>
        <w:tab/>
        <w:t>For subparagraph 2.19(1)(a)(iii) and subject to subsection (2), method 3 for estimating emissions of carbon dioxide is the same as method 2 under section 2.21.</w:t>
      </w:r>
    </w:p>
    <w:p w14:paraId="5AD978B8" w14:textId="77777777" w:rsidR="00872C03" w:rsidRPr="00883399" w:rsidRDefault="00872C03" w:rsidP="00872C03">
      <w:pPr>
        <w:pStyle w:val="subsection"/>
        <w:rPr>
          <w:sz w:val="24"/>
        </w:rPr>
      </w:pPr>
      <w:r w:rsidRPr="00883399">
        <w:rPr>
          <w:sz w:val="24"/>
        </w:rPr>
        <w:tab/>
        <w:t>(2)</w:t>
      </w:r>
      <w:r w:rsidRPr="00883399">
        <w:rPr>
          <w:sz w:val="24"/>
        </w:rPr>
        <w:tab/>
        <w:t>In applying method 2 under section 2.21, gaseous fuels must be sampled in accordance with a standard specified in the table in subsection (3).</w:t>
      </w:r>
    </w:p>
    <w:p w14:paraId="63F91132" w14:textId="77777777" w:rsidR="00872C03" w:rsidRPr="00883399" w:rsidRDefault="00872C03" w:rsidP="00872C03">
      <w:pPr>
        <w:pStyle w:val="subsection"/>
        <w:rPr>
          <w:sz w:val="24"/>
        </w:rPr>
      </w:pPr>
      <w:r w:rsidRPr="00883399">
        <w:rPr>
          <w:sz w:val="24"/>
        </w:rPr>
        <w:tab/>
        <w:t>(3)</w:t>
      </w:r>
      <w:r w:rsidRPr="00883399">
        <w:rPr>
          <w:sz w:val="24"/>
        </w:rPr>
        <w:tab/>
        <w:t>A standard for sampling a gaseous fuel mentioned column 2 of an item in the following table is the standard specified in column 3 for that item.</w:t>
      </w:r>
    </w:p>
    <w:p w14:paraId="651589A6" w14:textId="77777777" w:rsidR="00872C03" w:rsidRPr="00883399" w:rsidRDefault="00872C03" w:rsidP="00872C03">
      <w:pPr>
        <w:pStyle w:val="Tabletext0"/>
        <w:rPr>
          <w:sz w:val="22"/>
        </w:rPr>
      </w:pPr>
    </w:p>
    <w:tbl>
      <w:tblPr>
        <w:tblW w:w="7821" w:type="dxa"/>
        <w:tblInd w:w="708" w:type="dxa"/>
        <w:tblBorders>
          <w:top w:val="single" w:sz="4" w:space="0" w:color="auto"/>
          <w:bottom w:val="single" w:sz="2" w:space="0" w:color="auto"/>
          <w:insideH w:val="single" w:sz="4" w:space="0" w:color="auto"/>
        </w:tblBorders>
        <w:tblLook w:val="01E0" w:firstRow="1" w:lastRow="1" w:firstColumn="1" w:lastColumn="1" w:noHBand="0" w:noVBand="0"/>
      </w:tblPr>
      <w:tblGrid>
        <w:gridCol w:w="840"/>
        <w:gridCol w:w="3120"/>
        <w:gridCol w:w="3861"/>
      </w:tblGrid>
      <w:tr w:rsidR="00872C03" w:rsidRPr="00883399" w14:paraId="22FD7465" w14:textId="77777777" w:rsidTr="0031057E">
        <w:trPr>
          <w:tblHeader/>
        </w:trPr>
        <w:tc>
          <w:tcPr>
            <w:tcW w:w="840" w:type="dxa"/>
            <w:tcBorders>
              <w:top w:val="single" w:sz="12" w:space="0" w:color="auto"/>
              <w:bottom w:val="single" w:sz="12" w:space="0" w:color="auto"/>
            </w:tcBorders>
            <w:shd w:val="clear" w:color="auto" w:fill="auto"/>
          </w:tcPr>
          <w:p w14:paraId="064E8105" w14:textId="77777777" w:rsidR="00872C03" w:rsidRPr="00883399" w:rsidRDefault="00872C03" w:rsidP="0031057E">
            <w:pPr>
              <w:pStyle w:val="TableHeading"/>
              <w:rPr>
                <w:sz w:val="22"/>
              </w:rPr>
            </w:pPr>
            <w:r w:rsidRPr="00883399">
              <w:rPr>
                <w:sz w:val="22"/>
              </w:rPr>
              <w:t>Item</w:t>
            </w:r>
          </w:p>
        </w:tc>
        <w:tc>
          <w:tcPr>
            <w:tcW w:w="3120" w:type="dxa"/>
            <w:tcBorders>
              <w:top w:val="single" w:sz="12" w:space="0" w:color="auto"/>
              <w:bottom w:val="single" w:sz="12" w:space="0" w:color="auto"/>
            </w:tcBorders>
            <w:shd w:val="clear" w:color="auto" w:fill="auto"/>
            <w:vAlign w:val="center"/>
          </w:tcPr>
          <w:p w14:paraId="0CB85CE2" w14:textId="77777777" w:rsidR="00872C03" w:rsidRPr="00883399" w:rsidRDefault="00872C03" w:rsidP="0031057E">
            <w:pPr>
              <w:pStyle w:val="TableHeading"/>
              <w:rPr>
                <w:sz w:val="22"/>
              </w:rPr>
            </w:pPr>
            <w:r w:rsidRPr="00883399">
              <w:rPr>
                <w:sz w:val="22"/>
              </w:rPr>
              <w:t>Gaseous fuel</w:t>
            </w:r>
          </w:p>
        </w:tc>
        <w:tc>
          <w:tcPr>
            <w:tcW w:w="3861" w:type="dxa"/>
            <w:tcBorders>
              <w:top w:val="single" w:sz="12" w:space="0" w:color="auto"/>
              <w:bottom w:val="single" w:sz="12" w:space="0" w:color="auto"/>
            </w:tcBorders>
            <w:shd w:val="clear" w:color="auto" w:fill="auto"/>
            <w:vAlign w:val="center"/>
          </w:tcPr>
          <w:p w14:paraId="17D00932" w14:textId="77777777" w:rsidR="00872C03" w:rsidRPr="00883399" w:rsidRDefault="00872C03" w:rsidP="0031057E">
            <w:pPr>
              <w:pStyle w:val="TableHeading"/>
              <w:rPr>
                <w:sz w:val="22"/>
              </w:rPr>
            </w:pPr>
            <w:r w:rsidRPr="00883399">
              <w:rPr>
                <w:sz w:val="22"/>
              </w:rPr>
              <w:t xml:space="preserve">Standard </w:t>
            </w:r>
          </w:p>
        </w:tc>
      </w:tr>
      <w:tr w:rsidR="00872C03" w:rsidRPr="00883399" w14:paraId="425A806D" w14:textId="77777777" w:rsidTr="0031057E">
        <w:tc>
          <w:tcPr>
            <w:tcW w:w="840" w:type="dxa"/>
            <w:tcBorders>
              <w:top w:val="single" w:sz="12" w:space="0" w:color="auto"/>
            </w:tcBorders>
            <w:shd w:val="clear" w:color="auto" w:fill="auto"/>
          </w:tcPr>
          <w:p w14:paraId="70670721" w14:textId="77777777" w:rsidR="00872C03" w:rsidRPr="00883399" w:rsidRDefault="00872C03" w:rsidP="0031057E">
            <w:pPr>
              <w:pStyle w:val="Tabletext0"/>
              <w:rPr>
                <w:sz w:val="22"/>
              </w:rPr>
            </w:pPr>
            <w:r w:rsidRPr="00883399">
              <w:rPr>
                <w:sz w:val="22"/>
              </w:rPr>
              <w:t>1</w:t>
            </w:r>
          </w:p>
        </w:tc>
        <w:tc>
          <w:tcPr>
            <w:tcW w:w="3120" w:type="dxa"/>
            <w:tcBorders>
              <w:top w:val="single" w:sz="12" w:space="0" w:color="auto"/>
            </w:tcBorders>
            <w:shd w:val="clear" w:color="auto" w:fill="auto"/>
          </w:tcPr>
          <w:p w14:paraId="3B895EEC" w14:textId="77777777" w:rsidR="00872C03" w:rsidRPr="00883399" w:rsidRDefault="00872C03" w:rsidP="0031057E">
            <w:pPr>
              <w:pStyle w:val="Tabletext0"/>
              <w:rPr>
                <w:sz w:val="22"/>
              </w:rPr>
            </w:pPr>
            <w:r w:rsidRPr="00883399">
              <w:rPr>
                <w:sz w:val="22"/>
              </w:rPr>
              <w:t>Natural gas if distributed in a pipeline</w:t>
            </w:r>
          </w:p>
        </w:tc>
        <w:tc>
          <w:tcPr>
            <w:tcW w:w="3861" w:type="dxa"/>
            <w:tcBorders>
              <w:top w:val="single" w:sz="12" w:space="0" w:color="auto"/>
            </w:tcBorders>
            <w:shd w:val="clear" w:color="auto" w:fill="auto"/>
          </w:tcPr>
          <w:p w14:paraId="200B46CC" w14:textId="77777777" w:rsidR="00872C03" w:rsidRPr="00883399" w:rsidRDefault="00872C03" w:rsidP="0031057E">
            <w:pPr>
              <w:pStyle w:val="Tabletext0"/>
              <w:rPr>
                <w:sz w:val="22"/>
              </w:rPr>
            </w:pPr>
            <w:r w:rsidRPr="00883399">
              <w:rPr>
                <w:sz w:val="22"/>
              </w:rPr>
              <w:t>ISO 10715:1997</w:t>
            </w:r>
          </w:p>
          <w:p w14:paraId="6BA7C963" w14:textId="77777777" w:rsidR="00872C03" w:rsidRPr="00883399" w:rsidRDefault="00872C03" w:rsidP="0031057E">
            <w:pPr>
              <w:pStyle w:val="Tabletext0"/>
              <w:rPr>
                <w:sz w:val="22"/>
              </w:rPr>
            </w:pPr>
            <w:r w:rsidRPr="00883399">
              <w:rPr>
                <w:sz w:val="22"/>
              </w:rPr>
              <w:t>ASTM D 5287–97 (2002)</w:t>
            </w:r>
          </w:p>
          <w:p w14:paraId="1EE5CD88" w14:textId="77777777" w:rsidR="00872C03" w:rsidRPr="00883399" w:rsidRDefault="00872C03" w:rsidP="0031057E">
            <w:pPr>
              <w:pStyle w:val="Tabletext0"/>
              <w:rPr>
                <w:sz w:val="22"/>
              </w:rPr>
            </w:pPr>
            <w:r w:rsidRPr="00883399">
              <w:rPr>
                <w:sz w:val="22"/>
              </w:rPr>
              <w:t>ASTM F 307–02 (2007)</w:t>
            </w:r>
          </w:p>
          <w:p w14:paraId="710AA9E7" w14:textId="77777777" w:rsidR="00872C03" w:rsidRPr="00883399" w:rsidRDefault="00872C03" w:rsidP="0031057E">
            <w:pPr>
              <w:pStyle w:val="Tabletext0"/>
              <w:rPr>
                <w:sz w:val="22"/>
              </w:rPr>
            </w:pPr>
            <w:r w:rsidRPr="00883399">
              <w:rPr>
                <w:sz w:val="22"/>
              </w:rPr>
              <w:t>ASTM D 5503–94 (2003)</w:t>
            </w:r>
          </w:p>
          <w:p w14:paraId="4124F868" w14:textId="77777777" w:rsidR="00872C03" w:rsidRPr="00883399" w:rsidRDefault="00872C03" w:rsidP="0031057E">
            <w:pPr>
              <w:pStyle w:val="Tabletext0"/>
              <w:rPr>
                <w:sz w:val="22"/>
              </w:rPr>
            </w:pPr>
            <w:r w:rsidRPr="00883399">
              <w:rPr>
                <w:sz w:val="22"/>
              </w:rPr>
              <w:t>GPA 2166–05</w:t>
            </w:r>
          </w:p>
        </w:tc>
      </w:tr>
      <w:tr w:rsidR="00872C03" w:rsidRPr="00883399" w14:paraId="4FD90AD4" w14:textId="77777777" w:rsidTr="0031057E">
        <w:tc>
          <w:tcPr>
            <w:tcW w:w="840" w:type="dxa"/>
            <w:shd w:val="clear" w:color="auto" w:fill="auto"/>
          </w:tcPr>
          <w:p w14:paraId="24FDBCDA" w14:textId="77777777" w:rsidR="00872C03" w:rsidRPr="00883399" w:rsidRDefault="00872C03" w:rsidP="0031057E">
            <w:pPr>
              <w:pStyle w:val="Tabletext0"/>
              <w:rPr>
                <w:sz w:val="22"/>
              </w:rPr>
            </w:pPr>
            <w:r w:rsidRPr="00883399">
              <w:rPr>
                <w:sz w:val="22"/>
              </w:rPr>
              <w:t>2</w:t>
            </w:r>
          </w:p>
        </w:tc>
        <w:tc>
          <w:tcPr>
            <w:tcW w:w="3120" w:type="dxa"/>
            <w:shd w:val="clear" w:color="auto" w:fill="auto"/>
          </w:tcPr>
          <w:p w14:paraId="3542B636" w14:textId="77777777" w:rsidR="00872C03" w:rsidRPr="00883399" w:rsidRDefault="00872C03" w:rsidP="0031057E">
            <w:pPr>
              <w:pStyle w:val="Tabletext0"/>
              <w:rPr>
                <w:sz w:val="22"/>
              </w:rPr>
            </w:pPr>
            <w:r w:rsidRPr="00883399">
              <w:rPr>
                <w:sz w:val="22"/>
              </w:rPr>
              <w:t>Coal seam methane that is captured for combustion</w:t>
            </w:r>
          </w:p>
        </w:tc>
        <w:tc>
          <w:tcPr>
            <w:tcW w:w="3861" w:type="dxa"/>
            <w:shd w:val="clear" w:color="auto" w:fill="auto"/>
          </w:tcPr>
          <w:p w14:paraId="5B55063D" w14:textId="77777777" w:rsidR="00872C03" w:rsidRPr="00883399" w:rsidRDefault="00872C03" w:rsidP="0031057E">
            <w:pPr>
              <w:pStyle w:val="Tabletext0"/>
              <w:rPr>
                <w:sz w:val="22"/>
              </w:rPr>
            </w:pPr>
            <w:r w:rsidRPr="00883399">
              <w:rPr>
                <w:sz w:val="22"/>
              </w:rPr>
              <w:t>ISO 10715:1997</w:t>
            </w:r>
          </w:p>
          <w:p w14:paraId="67DD3D15" w14:textId="77777777" w:rsidR="00872C03" w:rsidRPr="00883399" w:rsidRDefault="00872C03" w:rsidP="0031057E">
            <w:pPr>
              <w:pStyle w:val="Tabletext0"/>
              <w:rPr>
                <w:sz w:val="22"/>
              </w:rPr>
            </w:pPr>
            <w:r w:rsidRPr="00883399">
              <w:rPr>
                <w:sz w:val="22"/>
              </w:rPr>
              <w:t>ASTM D 5287–97 (2002)</w:t>
            </w:r>
          </w:p>
          <w:p w14:paraId="2D7D3030" w14:textId="77777777" w:rsidR="00872C03" w:rsidRPr="00883399" w:rsidRDefault="00872C03" w:rsidP="0031057E">
            <w:pPr>
              <w:pStyle w:val="Tabletext0"/>
              <w:rPr>
                <w:sz w:val="22"/>
              </w:rPr>
            </w:pPr>
            <w:r w:rsidRPr="00883399">
              <w:rPr>
                <w:sz w:val="22"/>
              </w:rPr>
              <w:t>ASTM F 307–02 (2007)</w:t>
            </w:r>
          </w:p>
          <w:p w14:paraId="36AE67F2" w14:textId="77777777" w:rsidR="00872C03" w:rsidRPr="00883399" w:rsidRDefault="00872C03" w:rsidP="0031057E">
            <w:pPr>
              <w:pStyle w:val="Tabletext0"/>
              <w:rPr>
                <w:sz w:val="22"/>
              </w:rPr>
            </w:pPr>
            <w:r w:rsidRPr="00883399">
              <w:rPr>
                <w:sz w:val="22"/>
              </w:rPr>
              <w:t>ASTM D 5503–94 (2003)</w:t>
            </w:r>
          </w:p>
          <w:p w14:paraId="5BD685D4" w14:textId="77777777" w:rsidR="00872C03" w:rsidRPr="00883399" w:rsidRDefault="00872C03" w:rsidP="0031057E">
            <w:pPr>
              <w:pStyle w:val="Tabletext0"/>
              <w:rPr>
                <w:sz w:val="22"/>
              </w:rPr>
            </w:pPr>
            <w:r w:rsidRPr="00883399">
              <w:rPr>
                <w:sz w:val="22"/>
              </w:rPr>
              <w:t>GPA 2166–05</w:t>
            </w:r>
          </w:p>
        </w:tc>
      </w:tr>
      <w:tr w:rsidR="00872C03" w:rsidRPr="00883399" w14:paraId="5DECDCA6" w14:textId="77777777" w:rsidTr="0031057E">
        <w:tc>
          <w:tcPr>
            <w:tcW w:w="840" w:type="dxa"/>
            <w:shd w:val="clear" w:color="auto" w:fill="auto"/>
          </w:tcPr>
          <w:p w14:paraId="548147AC" w14:textId="77777777" w:rsidR="00872C03" w:rsidRPr="00883399" w:rsidRDefault="00872C03" w:rsidP="0031057E">
            <w:pPr>
              <w:pStyle w:val="Tabletext0"/>
              <w:rPr>
                <w:sz w:val="22"/>
              </w:rPr>
            </w:pPr>
            <w:r w:rsidRPr="00883399">
              <w:rPr>
                <w:sz w:val="22"/>
              </w:rPr>
              <w:t>3</w:t>
            </w:r>
          </w:p>
        </w:tc>
        <w:tc>
          <w:tcPr>
            <w:tcW w:w="3120" w:type="dxa"/>
            <w:shd w:val="clear" w:color="auto" w:fill="auto"/>
          </w:tcPr>
          <w:p w14:paraId="7EA77775" w14:textId="77777777" w:rsidR="00872C03" w:rsidRPr="00883399" w:rsidRDefault="00872C03" w:rsidP="0031057E">
            <w:pPr>
              <w:pStyle w:val="Tabletext0"/>
              <w:rPr>
                <w:sz w:val="22"/>
              </w:rPr>
            </w:pPr>
            <w:r w:rsidRPr="00883399">
              <w:rPr>
                <w:sz w:val="22"/>
              </w:rPr>
              <w:t>Coal mine waste gas that is captured for combustion</w:t>
            </w:r>
          </w:p>
        </w:tc>
        <w:tc>
          <w:tcPr>
            <w:tcW w:w="3861" w:type="dxa"/>
            <w:shd w:val="clear" w:color="auto" w:fill="auto"/>
          </w:tcPr>
          <w:p w14:paraId="799ECBDF" w14:textId="77777777" w:rsidR="00872C03" w:rsidRPr="00883399" w:rsidRDefault="00872C03" w:rsidP="0031057E">
            <w:pPr>
              <w:pStyle w:val="Tabletext0"/>
              <w:rPr>
                <w:sz w:val="22"/>
              </w:rPr>
            </w:pPr>
            <w:r w:rsidRPr="00883399">
              <w:rPr>
                <w:sz w:val="22"/>
              </w:rPr>
              <w:t>ISO 10715:1997</w:t>
            </w:r>
          </w:p>
          <w:p w14:paraId="5C001A54" w14:textId="77777777" w:rsidR="00872C03" w:rsidRPr="00883399" w:rsidRDefault="00872C03" w:rsidP="0031057E">
            <w:pPr>
              <w:pStyle w:val="Tabletext0"/>
              <w:rPr>
                <w:sz w:val="22"/>
              </w:rPr>
            </w:pPr>
            <w:r w:rsidRPr="00883399">
              <w:rPr>
                <w:sz w:val="22"/>
              </w:rPr>
              <w:t>ASTM D 5287–97 (2002)</w:t>
            </w:r>
          </w:p>
          <w:p w14:paraId="0AFEED26" w14:textId="77777777" w:rsidR="00872C03" w:rsidRPr="00883399" w:rsidRDefault="00872C03" w:rsidP="0031057E">
            <w:pPr>
              <w:pStyle w:val="Tabletext0"/>
              <w:rPr>
                <w:sz w:val="22"/>
              </w:rPr>
            </w:pPr>
            <w:r w:rsidRPr="00883399">
              <w:rPr>
                <w:sz w:val="22"/>
              </w:rPr>
              <w:t>ASTM F 307–02 (2007)</w:t>
            </w:r>
          </w:p>
          <w:p w14:paraId="70DC7C1B" w14:textId="77777777" w:rsidR="00872C03" w:rsidRPr="00883399" w:rsidRDefault="00872C03" w:rsidP="0031057E">
            <w:pPr>
              <w:pStyle w:val="Tabletext0"/>
              <w:rPr>
                <w:sz w:val="22"/>
              </w:rPr>
            </w:pPr>
            <w:r w:rsidRPr="00883399">
              <w:rPr>
                <w:sz w:val="22"/>
              </w:rPr>
              <w:t>ASTM D 5503–94 (2003)</w:t>
            </w:r>
          </w:p>
          <w:p w14:paraId="55920594" w14:textId="77777777" w:rsidR="00872C03" w:rsidRPr="00883399" w:rsidRDefault="00872C03" w:rsidP="0031057E">
            <w:pPr>
              <w:pStyle w:val="Tabletext0"/>
              <w:rPr>
                <w:sz w:val="22"/>
              </w:rPr>
            </w:pPr>
            <w:r w:rsidRPr="00883399">
              <w:rPr>
                <w:sz w:val="22"/>
              </w:rPr>
              <w:t>GPA 2166–05</w:t>
            </w:r>
          </w:p>
        </w:tc>
      </w:tr>
      <w:tr w:rsidR="00872C03" w:rsidRPr="00883399" w14:paraId="68A4F02A" w14:textId="77777777" w:rsidTr="0031057E">
        <w:tc>
          <w:tcPr>
            <w:tcW w:w="840" w:type="dxa"/>
            <w:shd w:val="clear" w:color="auto" w:fill="auto"/>
          </w:tcPr>
          <w:p w14:paraId="62D9BCFF" w14:textId="77777777" w:rsidR="00872C03" w:rsidRPr="00883399" w:rsidRDefault="00872C03" w:rsidP="0031057E">
            <w:pPr>
              <w:pStyle w:val="Tabletext0"/>
              <w:rPr>
                <w:sz w:val="22"/>
              </w:rPr>
            </w:pPr>
            <w:r w:rsidRPr="00883399">
              <w:rPr>
                <w:sz w:val="22"/>
              </w:rPr>
              <w:lastRenderedPageBreak/>
              <w:t>4</w:t>
            </w:r>
          </w:p>
        </w:tc>
        <w:tc>
          <w:tcPr>
            <w:tcW w:w="3120" w:type="dxa"/>
            <w:shd w:val="clear" w:color="auto" w:fill="auto"/>
          </w:tcPr>
          <w:p w14:paraId="563463AB" w14:textId="77777777" w:rsidR="00872C03" w:rsidRPr="00883399" w:rsidRDefault="00872C03" w:rsidP="0031057E">
            <w:pPr>
              <w:pStyle w:val="Tabletext0"/>
              <w:rPr>
                <w:sz w:val="22"/>
              </w:rPr>
            </w:pPr>
            <w:r w:rsidRPr="00883399">
              <w:rPr>
                <w:sz w:val="22"/>
              </w:rPr>
              <w:t>Compressed natural gas</w:t>
            </w:r>
          </w:p>
        </w:tc>
        <w:tc>
          <w:tcPr>
            <w:tcW w:w="3861" w:type="dxa"/>
            <w:shd w:val="clear" w:color="auto" w:fill="auto"/>
          </w:tcPr>
          <w:p w14:paraId="32E07994" w14:textId="77777777" w:rsidR="00872C03" w:rsidRPr="00883399" w:rsidRDefault="00872C03" w:rsidP="0031057E">
            <w:pPr>
              <w:pStyle w:val="Tabletext0"/>
              <w:rPr>
                <w:sz w:val="22"/>
              </w:rPr>
            </w:pPr>
            <w:r w:rsidRPr="00883399">
              <w:rPr>
                <w:sz w:val="22"/>
              </w:rPr>
              <w:t>ASTM F 307–02 (2007)</w:t>
            </w:r>
          </w:p>
        </w:tc>
      </w:tr>
      <w:tr w:rsidR="00872C03" w:rsidRPr="00883399" w14:paraId="4DC299E3" w14:textId="77777777" w:rsidTr="0031057E">
        <w:tc>
          <w:tcPr>
            <w:tcW w:w="840" w:type="dxa"/>
            <w:shd w:val="clear" w:color="auto" w:fill="auto"/>
          </w:tcPr>
          <w:p w14:paraId="1A9E6D73" w14:textId="77777777" w:rsidR="00872C03" w:rsidRPr="00883399" w:rsidRDefault="00872C03" w:rsidP="0031057E">
            <w:pPr>
              <w:pStyle w:val="Tabletext0"/>
              <w:rPr>
                <w:sz w:val="22"/>
              </w:rPr>
            </w:pPr>
            <w:r w:rsidRPr="00883399">
              <w:rPr>
                <w:sz w:val="22"/>
              </w:rPr>
              <w:t>5</w:t>
            </w:r>
          </w:p>
        </w:tc>
        <w:tc>
          <w:tcPr>
            <w:tcW w:w="3120" w:type="dxa"/>
            <w:shd w:val="clear" w:color="auto" w:fill="auto"/>
          </w:tcPr>
          <w:p w14:paraId="4AD9A7B9" w14:textId="77777777" w:rsidR="00872C03" w:rsidRPr="00883399" w:rsidRDefault="00872C03" w:rsidP="0031057E">
            <w:pPr>
              <w:pStyle w:val="Tabletext0"/>
              <w:rPr>
                <w:sz w:val="22"/>
              </w:rPr>
            </w:pPr>
            <w:r w:rsidRPr="00883399">
              <w:rPr>
                <w:sz w:val="22"/>
              </w:rPr>
              <w:t>Unprocessed natural gas</w:t>
            </w:r>
          </w:p>
        </w:tc>
        <w:tc>
          <w:tcPr>
            <w:tcW w:w="3861" w:type="dxa"/>
            <w:shd w:val="clear" w:color="auto" w:fill="auto"/>
          </w:tcPr>
          <w:p w14:paraId="1B0440F9" w14:textId="77777777" w:rsidR="00872C03" w:rsidRPr="00883399" w:rsidRDefault="00872C03" w:rsidP="0031057E">
            <w:pPr>
              <w:pStyle w:val="Tabletext0"/>
              <w:rPr>
                <w:sz w:val="22"/>
              </w:rPr>
            </w:pPr>
            <w:r w:rsidRPr="00883399">
              <w:rPr>
                <w:sz w:val="22"/>
              </w:rPr>
              <w:t>ASTM D 5287–97 (2002)</w:t>
            </w:r>
          </w:p>
          <w:p w14:paraId="0D3D3EFE" w14:textId="77777777" w:rsidR="00872C03" w:rsidRPr="00883399" w:rsidRDefault="00872C03" w:rsidP="0031057E">
            <w:pPr>
              <w:pStyle w:val="Tabletext0"/>
              <w:rPr>
                <w:sz w:val="22"/>
              </w:rPr>
            </w:pPr>
            <w:r w:rsidRPr="00883399">
              <w:rPr>
                <w:sz w:val="22"/>
              </w:rPr>
              <w:t>ASTM F 307–02 (2007)</w:t>
            </w:r>
          </w:p>
          <w:p w14:paraId="01A64209" w14:textId="77777777" w:rsidR="00872C03" w:rsidRPr="00883399" w:rsidRDefault="00872C03" w:rsidP="0031057E">
            <w:pPr>
              <w:pStyle w:val="Tabletext0"/>
              <w:rPr>
                <w:sz w:val="22"/>
              </w:rPr>
            </w:pPr>
            <w:r w:rsidRPr="00883399">
              <w:rPr>
                <w:sz w:val="22"/>
              </w:rPr>
              <w:t>ASTM D 5503–94 (2003)</w:t>
            </w:r>
          </w:p>
          <w:p w14:paraId="624009BE" w14:textId="77777777" w:rsidR="00872C03" w:rsidRPr="00883399" w:rsidRDefault="00872C03" w:rsidP="0031057E">
            <w:pPr>
              <w:pStyle w:val="Tabletext0"/>
              <w:rPr>
                <w:sz w:val="22"/>
              </w:rPr>
            </w:pPr>
            <w:r w:rsidRPr="00883399">
              <w:rPr>
                <w:sz w:val="22"/>
              </w:rPr>
              <w:t>GPA 2166–05</w:t>
            </w:r>
          </w:p>
        </w:tc>
      </w:tr>
      <w:tr w:rsidR="00872C03" w:rsidRPr="00883399" w14:paraId="1551EA18" w14:textId="77777777" w:rsidTr="0031057E">
        <w:tc>
          <w:tcPr>
            <w:tcW w:w="840" w:type="dxa"/>
            <w:shd w:val="clear" w:color="auto" w:fill="auto"/>
          </w:tcPr>
          <w:p w14:paraId="3D9672EE" w14:textId="77777777" w:rsidR="00872C03" w:rsidRPr="00883399" w:rsidRDefault="00872C03" w:rsidP="0031057E">
            <w:pPr>
              <w:pStyle w:val="Tabletext0"/>
              <w:rPr>
                <w:sz w:val="22"/>
              </w:rPr>
            </w:pPr>
            <w:r w:rsidRPr="00883399">
              <w:rPr>
                <w:sz w:val="22"/>
              </w:rPr>
              <w:t>6</w:t>
            </w:r>
          </w:p>
        </w:tc>
        <w:tc>
          <w:tcPr>
            <w:tcW w:w="3120" w:type="dxa"/>
            <w:shd w:val="clear" w:color="auto" w:fill="auto"/>
          </w:tcPr>
          <w:p w14:paraId="4FC3E9A7" w14:textId="77777777" w:rsidR="00872C03" w:rsidRPr="00883399" w:rsidRDefault="00872C03" w:rsidP="0031057E">
            <w:pPr>
              <w:pStyle w:val="Tabletext0"/>
              <w:rPr>
                <w:sz w:val="22"/>
              </w:rPr>
            </w:pPr>
            <w:r w:rsidRPr="00883399">
              <w:rPr>
                <w:sz w:val="22"/>
              </w:rPr>
              <w:t>Ethane</w:t>
            </w:r>
          </w:p>
        </w:tc>
        <w:tc>
          <w:tcPr>
            <w:tcW w:w="3861" w:type="dxa"/>
            <w:shd w:val="clear" w:color="auto" w:fill="auto"/>
          </w:tcPr>
          <w:p w14:paraId="29E799AA" w14:textId="77777777" w:rsidR="00872C03" w:rsidRPr="00883399" w:rsidRDefault="00872C03" w:rsidP="0031057E">
            <w:pPr>
              <w:pStyle w:val="Tabletext0"/>
              <w:rPr>
                <w:sz w:val="22"/>
              </w:rPr>
            </w:pPr>
            <w:r w:rsidRPr="00883399">
              <w:rPr>
                <w:sz w:val="22"/>
              </w:rPr>
              <w:t>ISO 10715:1997</w:t>
            </w:r>
          </w:p>
          <w:p w14:paraId="34FEDB1C" w14:textId="77777777" w:rsidR="00872C03" w:rsidRPr="00883399" w:rsidRDefault="00872C03" w:rsidP="0031057E">
            <w:pPr>
              <w:pStyle w:val="Tabletext0"/>
              <w:rPr>
                <w:sz w:val="22"/>
              </w:rPr>
            </w:pPr>
            <w:r w:rsidRPr="00883399">
              <w:rPr>
                <w:sz w:val="22"/>
              </w:rPr>
              <w:t>ASTM D 5287–97 (2002)</w:t>
            </w:r>
          </w:p>
          <w:p w14:paraId="30289E89" w14:textId="77777777" w:rsidR="00872C03" w:rsidRPr="00883399" w:rsidRDefault="00872C03" w:rsidP="0031057E">
            <w:pPr>
              <w:pStyle w:val="Tabletext0"/>
              <w:rPr>
                <w:sz w:val="22"/>
              </w:rPr>
            </w:pPr>
            <w:r w:rsidRPr="00883399">
              <w:rPr>
                <w:sz w:val="22"/>
              </w:rPr>
              <w:t>ASTM F 307–02 (2007)</w:t>
            </w:r>
          </w:p>
          <w:p w14:paraId="2156ADB0" w14:textId="77777777" w:rsidR="00872C03" w:rsidRPr="00883399" w:rsidRDefault="00872C03" w:rsidP="0031057E">
            <w:pPr>
              <w:pStyle w:val="Tabletext0"/>
              <w:rPr>
                <w:sz w:val="22"/>
              </w:rPr>
            </w:pPr>
            <w:r w:rsidRPr="00883399">
              <w:rPr>
                <w:sz w:val="22"/>
              </w:rPr>
              <w:t>ASTM D 5503–94 (2003)</w:t>
            </w:r>
          </w:p>
        </w:tc>
      </w:tr>
      <w:tr w:rsidR="00872C03" w:rsidRPr="00883399" w14:paraId="6E3B85BB" w14:textId="77777777" w:rsidTr="0031057E">
        <w:trPr>
          <w:cantSplit/>
        </w:trPr>
        <w:tc>
          <w:tcPr>
            <w:tcW w:w="840" w:type="dxa"/>
            <w:shd w:val="clear" w:color="auto" w:fill="auto"/>
          </w:tcPr>
          <w:p w14:paraId="028E5431" w14:textId="77777777" w:rsidR="00872C03" w:rsidRPr="00883399" w:rsidRDefault="00872C03" w:rsidP="0031057E">
            <w:pPr>
              <w:pStyle w:val="Tabletext0"/>
              <w:rPr>
                <w:sz w:val="22"/>
              </w:rPr>
            </w:pPr>
            <w:r w:rsidRPr="00883399">
              <w:rPr>
                <w:sz w:val="22"/>
              </w:rPr>
              <w:t>7</w:t>
            </w:r>
          </w:p>
        </w:tc>
        <w:tc>
          <w:tcPr>
            <w:tcW w:w="3120" w:type="dxa"/>
            <w:shd w:val="clear" w:color="auto" w:fill="auto"/>
          </w:tcPr>
          <w:p w14:paraId="29409B7E" w14:textId="77777777" w:rsidR="00872C03" w:rsidRPr="00883399" w:rsidRDefault="00872C03" w:rsidP="0031057E">
            <w:pPr>
              <w:pStyle w:val="Tabletext0"/>
              <w:rPr>
                <w:sz w:val="22"/>
              </w:rPr>
            </w:pPr>
            <w:r w:rsidRPr="00883399">
              <w:rPr>
                <w:sz w:val="22"/>
              </w:rPr>
              <w:t>Coke oven gas</w:t>
            </w:r>
          </w:p>
        </w:tc>
        <w:tc>
          <w:tcPr>
            <w:tcW w:w="3861" w:type="dxa"/>
            <w:shd w:val="clear" w:color="auto" w:fill="auto"/>
          </w:tcPr>
          <w:p w14:paraId="2E99F363" w14:textId="77777777" w:rsidR="00872C03" w:rsidRPr="00883399" w:rsidRDefault="00872C03" w:rsidP="0031057E">
            <w:pPr>
              <w:pStyle w:val="Tabletext0"/>
              <w:rPr>
                <w:sz w:val="22"/>
              </w:rPr>
            </w:pPr>
            <w:r w:rsidRPr="00883399">
              <w:rPr>
                <w:sz w:val="22"/>
              </w:rPr>
              <w:t xml:space="preserve">ISO 10715 </w:t>
            </w:r>
            <w:r w:rsidRPr="00883399">
              <w:rPr>
                <w:sz w:val="22"/>
              </w:rPr>
              <w:noBreakHyphen/>
              <w:t>1997</w:t>
            </w:r>
          </w:p>
          <w:p w14:paraId="631AF9CD" w14:textId="77777777" w:rsidR="00872C03" w:rsidRPr="00883399" w:rsidRDefault="00872C03" w:rsidP="0031057E">
            <w:pPr>
              <w:pStyle w:val="Tabletext0"/>
              <w:rPr>
                <w:sz w:val="22"/>
              </w:rPr>
            </w:pPr>
            <w:r w:rsidRPr="00883399">
              <w:rPr>
                <w:sz w:val="22"/>
              </w:rPr>
              <w:t>ASTM D 5287–97 (2002)</w:t>
            </w:r>
          </w:p>
          <w:p w14:paraId="1CEE0956" w14:textId="77777777" w:rsidR="00872C03" w:rsidRPr="00883399" w:rsidRDefault="00872C03" w:rsidP="0031057E">
            <w:pPr>
              <w:pStyle w:val="Tabletext0"/>
              <w:rPr>
                <w:sz w:val="22"/>
              </w:rPr>
            </w:pPr>
            <w:r w:rsidRPr="00883399">
              <w:rPr>
                <w:sz w:val="22"/>
              </w:rPr>
              <w:t>ASTM F 307–02 (2007)</w:t>
            </w:r>
          </w:p>
          <w:p w14:paraId="72E8F63D" w14:textId="77777777" w:rsidR="00872C03" w:rsidRPr="00883399" w:rsidRDefault="00872C03" w:rsidP="0031057E">
            <w:pPr>
              <w:pStyle w:val="Tabletext0"/>
              <w:rPr>
                <w:sz w:val="22"/>
              </w:rPr>
            </w:pPr>
            <w:r w:rsidRPr="00883399">
              <w:rPr>
                <w:sz w:val="22"/>
              </w:rPr>
              <w:t>ASTM D 5503–94 (2003)</w:t>
            </w:r>
          </w:p>
        </w:tc>
      </w:tr>
      <w:tr w:rsidR="00872C03" w:rsidRPr="00883399" w14:paraId="565511DA" w14:textId="77777777" w:rsidTr="0031057E">
        <w:tc>
          <w:tcPr>
            <w:tcW w:w="840" w:type="dxa"/>
            <w:shd w:val="clear" w:color="auto" w:fill="auto"/>
          </w:tcPr>
          <w:p w14:paraId="7C8655A2" w14:textId="77777777" w:rsidR="00872C03" w:rsidRPr="00883399" w:rsidRDefault="00872C03" w:rsidP="0031057E">
            <w:pPr>
              <w:pStyle w:val="Tabletext0"/>
              <w:rPr>
                <w:sz w:val="22"/>
              </w:rPr>
            </w:pPr>
            <w:r w:rsidRPr="00883399">
              <w:rPr>
                <w:sz w:val="22"/>
              </w:rPr>
              <w:t>8</w:t>
            </w:r>
          </w:p>
        </w:tc>
        <w:tc>
          <w:tcPr>
            <w:tcW w:w="3120" w:type="dxa"/>
            <w:shd w:val="clear" w:color="auto" w:fill="auto"/>
          </w:tcPr>
          <w:p w14:paraId="48902E0C" w14:textId="77777777" w:rsidR="00872C03" w:rsidRPr="00883399" w:rsidRDefault="00872C03" w:rsidP="0031057E">
            <w:pPr>
              <w:pStyle w:val="Tabletext0"/>
              <w:rPr>
                <w:sz w:val="22"/>
              </w:rPr>
            </w:pPr>
            <w:r w:rsidRPr="00883399">
              <w:rPr>
                <w:sz w:val="22"/>
              </w:rPr>
              <w:t>Blast furnace gas</w:t>
            </w:r>
          </w:p>
        </w:tc>
        <w:tc>
          <w:tcPr>
            <w:tcW w:w="3861" w:type="dxa"/>
            <w:shd w:val="clear" w:color="auto" w:fill="auto"/>
          </w:tcPr>
          <w:p w14:paraId="5E43687C" w14:textId="77777777" w:rsidR="00872C03" w:rsidRPr="00883399" w:rsidRDefault="00872C03" w:rsidP="0031057E">
            <w:pPr>
              <w:pStyle w:val="Tabletext0"/>
              <w:rPr>
                <w:sz w:val="22"/>
              </w:rPr>
            </w:pPr>
            <w:r w:rsidRPr="00883399">
              <w:rPr>
                <w:sz w:val="22"/>
              </w:rPr>
              <w:t>ISO 10715:1997</w:t>
            </w:r>
          </w:p>
          <w:p w14:paraId="5B0C4CFD" w14:textId="77777777" w:rsidR="00872C03" w:rsidRPr="00883399" w:rsidRDefault="00872C03" w:rsidP="0031057E">
            <w:pPr>
              <w:pStyle w:val="Tabletext0"/>
              <w:rPr>
                <w:sz w:val="22"/>
              </w:rPr>
            </w:pPr>
            <w:r w:rsidRPr="00883399">
              <w:rPr>
                <w:sz w:val="22"/>
              </w:rPr>
              <w:t>ASTM D 5287–97 (2002)</w:t>
            </w:r>
          </w:p>
          <w:p w14:paraId="01F26DFD" w14:textId="77777777" w:rsidR="00872C03" w:rsidRPr="00883399" w:rsidRDefault="00872C03" w:rsidP="0031057E">
            <w:pPr>
              <w:pStyle w:val="Tabletext0"/>
              <w:rPr>
                <w:sz w:val="22"/>
              </w:rPr>
            </w:pPr>
            <w:r w:rsidRPr="00883399">
              <w:rPr>
                <w:sz w:val="22"/>
              </w:rPr>
              <w:t>ASTM F 307–02 (2007)</w:t>
            </w:r>
          </w:p>
          <w:p w14:paraId="4C7241D9" w14:textId="77777777" w:rsidR="00872C03" w:rsidRPr="00883399" w:rsidRDefault="00872C03" w:rsidP="0031057E">
            <w:pPr>
              <w:pStyle w:val="Tabletext0"/>
              <w:rPr>
                <w:sz w:val="22"/>
              </w:rPr>
            </w:pPr>
            <w:r w:rsidRPr="00883399">
              <w:rPr>
                <w:sz w:val="22"/>
              </w:rPr>
              <w:t>ASTM D 5503–94 (2003)</w:t>
            </w:r>
          </w:p>
        </w:tc>
      </w:tr>
      <w:tr w:rsidR="00872C03" w:rsidRPr="00883399" w14:paraId="67A8BD99" w14:textId="77777777" w:rsidTr="0031057E">
        <w:tc>
          <w:tcPr>
            <w:tcW w:w="840" w:type="dxa"/>
            <w:shd w:val="clear" w:color="auto" w:fill="auto"/>
          </w:tcPr>
          <w:p w14:paraId="189AB7E2" w14:textId="77777777" w:rsidR="00872C03" w:rsidRPr="00883399" w:rsidRDefault="00872C03" w:rsidP="0031057E">
            <w:pPr>
              <w:pStyle w:val="Tabletext0"/>
              <w:rPr>
                <w:sz w:val="22"/>
              </w:rPr>
            </w:pPr>
            <w:r w:rsidRPr="00883399">
              <w:rPr>
                <w:sz w:val="22"/>
              </w:rPr>
              <w:t>9</w:t>
            </w:r>
          </w:p>
        </w:tc>
        <w:tc>
          <w:tcPr>
            <w:tcW w:w="3120" w:type="dxa"/>
            <w:shd w:val="clear" w:color="auto" w:fill="auto"/>
          </w:tcPr>
          <w:p w14:paraId="028D0ADC" w14:textId="77777777" w:rsidR="00872C03" w:rsidRPr="00883399" w:rsidRDefault="00872C03" w:rsidP="0031057E">
            <w:pPr>
              <w:pStyle w:val="Tabletext0"/>
              <w:rPr>
                <w:sz w:val="22"/>
              </w:rPr>
            </w:pPr>
            <w:r w:rsidRPr="00883399">
              <w:rPr>
                <w:sz w:val="22"/>
              </w:rPr>
              <w:t>Town gas</w:t>
            </w:r>
          </w:p>
        </w:tc>
        <w:tc>
          <w:tcPr>
            <w:tcW w:w="3861" w:type="dxa"/>
            <w:shd w:val="clear" w:color="auto" w:fill="auto"/>
          </w:tcPr>
          <w:p w14:paraId="77E63E69" w14:textId="77777777" w:rsidR="00872C03" w:rsidRPr="00883399" w:rsidRDefault="00872C03" w:rsidP="0031057E">
            <w:pPr>
              <w:pStyle w:val="Tabletext0"/>
              <w:rPr>
                <w:sz w:val="22"/>
              </w:rPr>
            </w:pPr>
            <w:r w:rsidRPr="00883399">
              <w:rPr>
                <w:sz w:val="22"/>
              </w:rPr>
              <w:t>ISO 10715:1997</w:t>
            </w:r>
          </w:p>
          <w:p w14:paraId="56F52D98" w14:textId="77777777" w:rsidR="00872C03" w:rsidRPr="00883399" w:rsidRDefault="00872C03" w:rsidP="0031057E">
            <w:pPr>
              <w:pStyle w:val="Tabletext0"/>
              <w:rPr>
                <w:sz w:val="22"/>
              </w:rPr>
            </w:pPr>
            <w:r w:rsidRPr="00883399">
              <w:rPr>
                <w:sz w:val="22"/>
              </w:rPr>
              <w:t>ASTM D 5287–97 (2002)</w:t>
            </w:r>
          </w:p>
          <w:p w14:paraId="16E2FCE8" w14:textId="77777777" w:rsidR="00872C03" w:rsidRPr="00883399" w:rsidRDefault="00872C03" w:rsidP="0031057E">
            <w:pPr>
              <w:pStyle w:val="Tabletext0"/>
              <w:rPr>
                <w:sz w:val="22"/>
              </w:rPr>
            </w:pPr>
            <w:r w:rsidRPr="00883399">
              <w:rPr>
                <w:sz w:val="22"/>
              </w:rPr>
              <w:t>ASTM F 307–02 (2007)</w:t>
            </w:r>
          </w:p>
          <w:p w14:paraId="1D0D1E36" w14:textId="77777777" w:rsidR="00872C03" w:rsidRPr="00883399" w:rsidRDefault="00872C03" w:rsidP="0031057E">
            <w:pPr>
              <w:pStyle w:val="Tabletext0"/>
              <w:rPr>
                <w:sz w:val="22"/>
              </w:rPr>
            </w:pPr>
            <w:r w:rsidRPr="00883399">
              <w:rPr>
                <w:sz w:val="22"/>
              </w:rPr>
              <w:t>ASTM D 5503–94 (2003)</w:t>
            </w:r>
          </w:p>
          <w:p w14:paraId="1B4CAD80" w14:textId="77777777" w:rsidR="00872C03" w:rsidRPr="00883399" w:rsidRDefault="00872C03" w:rsidP="0031057E">
            <w:pPr>
              <w:pStyle w:val="Tabletext0"/>
              <w:rPr>
                <w:sz w:val="22"/>
              </w:rPr>
            </w:pPr>
            <w:r w:rsidRPr="00883399">
              <w:rPr>
                <w:sz w:val="22"/>
              </w:rPr>
              <w:t>GPA 2166–05</w:t>
            </w:r>
          </w:p>
        </w:tc>
      </w:tr>
      <w:tr w:rsidR="00872C03" w:rsidRPr="00883399" w14:paraId="588CFCB7" w14:textId="77777777" w:rsidTr="0031057E">
        <w:tc>
          <w:tcPr>
            <w:tcW w:w="840" w:type="dxa"/>
            <w:shd w:val="clear" w:color="auto" w:fill="auto"/>
          </w:tcPr>
          <w:p w14:paraId="4F7E75F7" w14:textId="77777777" w:rsidR="00872C03" w:rsidRPr="00883399" w:rsidRDefault="00872C03" w:rsidP="0031057E">
            <w:pPr>
              <w:pStyle w:val="Tabletext0"/>
              <w:rPr>
                <w:sz w:val="22"/>
              </w:rPr>
            </w:pPr>
            <w:r w:rsidRPr="00883399">
              <w:rPr>
                <w:sz w:val="22"/>
              </w:rPr>
              <w:t>10</w:t>
            </w:r>
          </w:p>
        </w:tc>
        <w:tc>
          <w:tcPr>
            <w:tcW w:w="3120" w:type="dxa"/>
            <w:shd w:val="clear" w:color="auto" w:fill="auto"/>
          </w:tcPr>
          <w:p w14:paraId="41806756" w14:textId="77777777" w:rsidR="00872C03" w:rsidRPr="00883399" w:rsidRDefault="00872C03" w:rsidP="0031057E">
            <w:pPr>
              <w:pStyle w:val="Tabletext0"/>
              <w:rPr>
                <w:sz w:val="22"/>
              </w:rPr>
            </w:pPr>
            <w:r w:rsidRPr="00883399">
              <w:rPr>
                <w:sz w:val="22"/>
              </w:rPr>
              <w:t>Liquefied natural gas</w:t>
            </w:r>
          </w:p>
        </w:tc>
        <w:tc>
          <w:tcPr>
            <w:tcW w:w="3861" w:type="dxa"/>
            <w:shd w:val="clear" w:color="auto" w:fill="auto"/>
          </w:tcPr>
          <w:p w14:paraId="76092994" w14:textId="77777777" w:rsidR="00872C03" w:rsidRPr="00883399" w:rsidRDefault="00872C03" w:rsidP="0031057E">
            <w:pPr>
              <w:pStyle w:val="Tabletext0"/>
              <w:rPr>
                <w:sz w:val="22"/>
              </w:rPr>
            </w:pPr>
            <w:r w:rsidRPr="00883399">
              <w:rPr>
                <w:sz w:val="22"/>
              </w:rPr>
              <w:t>ISO 8943:2007</w:t>
            </w:r>
          </w:p>
        </w:tc>
      </w:tr>
      <w:tr w:rsidR="00872C03" w:rsidRPr="00883399" w14:paraId="1955B249" w14:textId="77777777" w:rsidTr="0031057E">
        <w:tc>
          <w:tcPr>
            <w:tcW w:w="840" w:type="dxa"/>
            <w:shd w:val="clear" w:color="auto" w:fill="auto"/>
          </w:tcPr>
          <w:p w14:paraId="33C7CC54" w14:textId="77777777" w:rsidR="00872C03" w:rsidRPr="00883399" w:rsidRDefault="00872C03" w:rsidP="0031057E">
            <w:pPr>
              <w:pStyle w:val="Tabletext0"/>
              <w:rPr>
                <w:sz w:val="22"/>
              </w:rPr>
            </w:pPr>
            <w:r w:rsidRPr="00883399">
              <w:rPr>
                <w:sz w:val="22"/>
              </w:rPr>
              <w:t>11</w:t>
            </w:r>
          </w:p>
        </w:tc>
        <w:tc>
          <w:tcPr>
            <w:tcW w:w="3120" w:type="dxa"/>
            <w:shd w:val="clear" w:color="auto" w:fill="auto"/>
          </w:tcPr>
          <w:p w14:paraId="12F66FCF" w14:textId="77777777" w:rsidR="00872C03" w:rsidRPr="00883399" w:rsidRDefault="00872C03" w:rsidP="0031057E">
            <w:pPr>
              <w:pStyle w:val="Tabletext0"/>
              <w:rPr>
                <w:sz w:val="22"/>
              </w:rPr>
            </w:pPr>
            <w:r w:rsidRPr="00883399">
              <w:rPr>
                <w:sz w:val="22"/>
              </w:rPr>
              <w:t xml:space="preserve">Landfill biogas that is captured for combustion </w:t>
            </w:r>
          </w:p>
        </w:tc>
        <w:tc>
          <w:tcPr>
            <w:tcW w:w="3861" w:type="dxa"/>
            <w:shd w:val="clear" w:color="auto" w:fill="auto"/>
          </w:tcPr>
          <w:p w14:paraId="132C2202" w14:textId="77777777" w:rsidR="00872C03" w:rsidRPr="00883399" w:rsidRDefault="00872C03" w:rsidP="0031057E">
            <w:pPr>
              <w:pStyle w:val="Tabletext0"/>
              <w:rPr>
                <w:sz w:val="22"/>
              </w:rPr>
            </w:pPr>
            <w:r w:rsidRPr="00883399">
              <w:rPr>
                <w:sz w:val="22"/>
              </w:rPr>
              <w:t>ISO 10715:1997</w:t>
            </w:r>
          </w:p>
          <w:p w14:paraId="1F2156FC" w14:textId="77777777" w:rsidR="00872C03" w:rsidRPr="00883399" w:rsidRDefault="00872C03" w:rsidP="0031057E">
            <w:pPr>
              <w:pStyle w:val="Tabletext0"/>
              <w:rPr>
                <w:sz w:val="22"/>
              </w:rPr>
            </w:pPr>
            <w:r w:rsidRPr="00883399">
              <w:rPr>
                <w:sz w:val="22"/>
              </w:rPr>
              <w:t>ASTM D 5287–97 (2002)</w:t>
            </w:r>
          </w:p>
          <w:p w14:paraId="5D12B41F" w14:textId="77777777" w:rsidR="00872C03" w:rsidRPr="00883399" w:rsidRDefault="00872C03" w:rsidP="0031057E">
            <w:pPr>
              <w:pStyle w:val="Tabletext0"/>
              <w:rPr>
                <w:sz w:val="22"/>
              </w:rPr>
            </w:pPr>
            <w:r w:rsidRPr="00883399">
              <w:rPr>
                <w:sz w:val="22"/>
              </w:rPr>
              <w:t>ASTM F 307–02 (2007)</w:t>
            </w:r>
          </w:p>
          <w:p w14:paraId="3194FA68" w14:textId="77777777" w:rsidR="00872C03" w:rsidRPr="00883399" w:rsidRDefault="00872C03" w:rsidP="0031057E">
            <w:pPr>
              <w:pStyle w:val="Tabletext0"/>
              <w:rPr>
                <w:sz w:val="22"/>
              </w:rPr>
            </w:pPr>
            <w:r w:rsidRPr="00883399">
              <w:rPr>
                <w:sz w:val="22"/>
              </w:rPr>
              <w:t>ASTM D 5503–94 (2003)</w:t>
            </w:r>
          </w:p>
          <w:p w14:paraId="3B5725E6" w14:textId="77777777" w:rsidR="00872C03" w:rsidRPr="00883399" w:rsidRDefault="00872C03" w:rsidP="0031057E">
            <w:pPr>
              <w:pStyle w:val="Tabletext0"/>
              <w:rPr>
                <w:sz w:val="22"/>
              </w:rPr>
            </w:pPr>
            <w:r w:rsidRPr="00883399">
              <w:rPr>
                <w:sz w:val="22"/>
              </w:rPr>
              <w:t>GPA 2166–05</w:t>
            </w:r>
          </w:p>
        </w:tc>
      </w:tr>
      <w:tr w:rsidR="00872C03" w:rsidRPr="00883399" w14:paraId="19B816C8" w14:textId="77777777" w:rsidTr="0031057E">
        <w:tc>
          <w:tcPr>
            <w:tcW w:w="840" w:type="dxa"/>
            <w:tcBorders>
              <w:bottom w:val="single" w:sz="4" w:space="0" w:color="auto"/>
            </w:tcBorders>
            <w:shd w:val="clear" w:color="auto" w:fill="auto"/>
          </w:tcPr>
          <w:p w14:paraId="07A56A2C" w14:textId="77777777" w:rsidR="00872C03" w:rsidRPr="00883399" w:rsidRDefault="00872C03" w:rsidP="0031057E">
            <w:pPr>
              <w:pStyle w:val="Tabletext0"/>
              <w:rPr>
                <w:sz w:val="22"/>
              </w:rPr>
            </w:pPr>
            <w:r w:rsidRPr="00883399">
              <w:rPr>
                <w:sz w:val="22"/>
              </w:rPr>
              <w:t>12</w:t>
            </w:r>
          </w:p>
        </w:tc>
        <w:tc>
          <w:tcPr>
            <w:tcW w:w="3120" w:type="dxa"/>
            <w:tcBorders>
              <w:bottom w:val="single" w:sz="4" w:space="0" w:color="auto"/>
            </w:tcBorders>
            <w:shd w:val="clear" w:color="auto" w:fill="auto"/>
          </w:tcPr>
          <w:p w14:paraId="6FE6D0AE" w14:textId="77777777" w:rsidR="00872C03" w:rsidRPr="00883399" w:rsidRDefault="00872C03" w:rsidP="0031057E">
            <w:pPr>
              <w:pStyle w:val="Tabletext0"/>
              <w:rPr>
                <w:sz w:val="22"/>
              </w:rPr>
            </w:pPr>
            <w:r w:rsidRPr="00883399">
              <w:rPr>
                <w:sz w:val="22"/>
              </w:rPr>
              <w:t>Sludge biogas that is captured for combustion</w:t>
            </w:r>
          </w:p>
        </w:tc>
        <w:tc>
          <w:tcPr>
            <w:tcW w:w="3861" w:type="dxa"/>
            <w:tcBorders>
              <w:bottom w:val="single" w:sz="4" w:space="0" w:color="auto"/>
            </w:tcBorders>
            <w:shd w:val="clear" w:color="auto" w:fill="auto"/>
          </w:tcPr>
          <w:p w14:paraId="04E093FB" w14:textId="77777777" w:rsidR="00872C03" w:rsidRPr="00883399" w:rsidRDefault="00872C03" w:rsidP="0031057E">
            <w:pPr>
              <w:pStyle w:val="Tabletext0"/>
              <w:rPr>
                <w:sz w:val="22"/>
              </w:rPr>
            </w:pPr>
            <w:r w:rsidRPr="00883399">
              <w:rPr>
                <w:sz w:val="22"/>
              </w:rPr>
              <w:t>ISO 10715:1997</w:t>
            </w:r>
          </w:p>
          <w:p w14:paraId="3699C5E6" w14:textId="77777777" w:rsidR="00872C03" w:rsidRPr="00883399" w:rsidRDefault="00872C03" w:rsidP="0031057E">
            <w:pPr>
              <w:pStyle w:val="Tabletext0"/>
              <w:rPr>
                <w:sz w:val="22"/>
              </w:rPr>
            </w:pPr>
            <w:r w:rsidRPr="00883399">
              <w:rPr>
                <w:sz w:val="22"/>
              </w:rPr>
              <w:t>ASTM D 5287–97 (2002)</w:t>
            </w:r>
          </w:p>
          <w:p w14:paraId="4449C77F" w14:textId="77777777" w:rsidR="00872C03" w:rsidRPr="00883399" w:rsidRDefault="00872C03" w:rsidP="0031057E">
            <w:pPr>
              <w:pStyle w:val="Tabletext0"/>
              <w:rPr>
                <w:sz w:val="22"/>
              </w:rPr>
            </w:pPr>
            <w:r w:rsidRPr="00883399">
              <w:rPr>
                <w:sz w:val="22"/>
              </w:rPr>
              <w:t>ASTM F 307–02 (2007)</w:t>
            </w:r>
          </w:p>
          <w:p w14:paraId="5D771CCA" w14:textId="77777777" w:rsidR="00872C03" w:rsidRPr="00883399" w:rsidRDefault="00872C03" w:rsidP="0031057E">
            <w:pPr>
              <w:pStyle w:val="Tabletext0"/>
              <w:rPr>
                <w:sz w:val="22"/>
              </w:rPr>
            </w:pPr>
            <w:r w:rsidRPr="00883399">
              <w:rPr>
                <w:sz w:val="22"/>
              </w:rPr>
              <w:t>ASTM D 5503–94 (2003)</w:t>
            </w:r>
          </w:p>
          <w:p w14:paraId="3D98606D" w14:textId="77777777" w:rsidR="00872C03" w:rsidRPr="00883399" w:rsidRDefault="00872C03" w:rsidP="0031057E">
            <w:pPr>
              <w:pStyle w:val="Tabletext0"/>
              <w:rPr>
                <w:sz w:val="22"/>
              </w:rPr>
            </w:pPr>
            <w:r w:rsidRPr="00883399">
              <w:rPr>
                <w:sz w:val="22"/>
              </w:rPr>
              <w:t>GPA 2166–05</w:t>
            </w:r>
          </w:p>
        </w:tc>
      </w:tr>
      <w:tr w:rsidR="00872C03" w:rsidRPr="00883399" w14:paraId="2955D1EC" w14:textId="77777777" w:rsidTr="0031057E">
        <w:tc>
          <w:tcPr>
            <w:tcW w:w="840" w:type="dxa"/>
            <w:tcBorders>
              <w:bottom w:val="single" w:sz="12" w:space="0" w:color="auto"/>
            </w:tcBorders>
            <w:shd w:val="clear" w:color="auto" w:fill="auto"/>
          </w:tcPr>
          <w:p w14:paraId="464EC0AF" w14:textId="77777777" w:rsidR="00872C03" w:rsidRPr="00883399" w:rsidRDefault="00872C03" w:rsidP="0031057E">
            <w:pPr>
              <w:pStyle w:val="Tabletext0"/>
              <w:rPr>
                <w:sz w:val="22"/>
              </w:rPr>
            </w:pPr>
            <w:r w:rsidRPr="00883399">
              <w:rPr>
                <w:sz w:val="22"/>
              </w:rPr>
              <w:t>13</w:t>
            </w:r>
          </w:p>
        </w:tc>
        <w:tc>
          <w:tcPr>
            <w:tcW w:w="3120" w:type="dxa"/>
            <w:tcBorders>
              <w:bottom w:val="single" w:sz="12" w:space="0" w:color="auto"/>
            </w:tcBorders>
            <w:shd w:val="clear" w:color="auto" w:fill="auto"/>
          </w:tcPr>
          <w:p w14:paraId="5642E518" w14:textId="77777777" w:rsidR="00872C03" w:rsidRPr="00883399" w:rsidRDefault="00872C03" w:rsidP="0031057E">
            <w:pPr>
              <w:pStyle w:val="Tabletext0"/>
              <w:rPr>
                <w:sz w:val="22"/>
              </w:rPr>
            </w:pPr>
            <w:r w:rsidRPr="00883399">
              <w:rPr>
                <w:sz w:val="22"/>
              </w:rPr>
              <w:t>A biogas that is captured for combustion, other than those mentioned in items 11 and 12</w:t>
            </w:r>
          </w:p>
        </w:tc>
        <w:tc>
          <w:tcPr>
            <w:tcW w:w="3861" w:type="dxa"/>
            <w:tcBorders>
              <w:bottom w:val="single" w:sz="12" w:space="0" w:color="auto"/>
            </w:tcBorders>
            <w:shd w:val="clear" w:color="auto" w:fill="auto"/>
          </w:tcPr>
          <w:p w14:paraId="5F5BBCA8" w14:textId="77777777" w:rsidR="00872C03" w:rsidRPr="00883399" w:rsidRDefault="00872C03" w:rsidP="0031057E">
            <w:pPr>
              <w:pStyle w:val="Tabletext0"/>
              <w:rPr>
                <w:sz w:val="22"/>
              </w:rPr>
            </w:pPr>
            <w:r w:rsidRPr="00883399">
              <w:rPr>
                <w:sz w:val="22"/>
              </w:rPr>
              <w:t>ISO 10715:1997</w:t>
            </w:r>
          </w:p>
          <w:p w14:paraId="5D616B4C" w14:textId="77777777" w:rsidR="00872C03" w:rsidRPr="00883399" w:rsidRDefault="00872C03" w:rsidP="0031057E">
            <w:pPr>
              <w:pStyle w:val="Tabletext0"/>
              <w:rPr>
                <w:sz w:val="22"/>
              </w:rPr>
            </w:pPr>
            <w:r w:rsidRPr="00883399">
              <w:rPr>
                <w:sz w:val="22"/>
              </w:rPr>
              <w:t>ASTM D 5287–97 (2002)</w:t>
            </w:r>
          </w:p>
          <w:p w14:paraId="7D5E1C85" w14:textId="77777777" w:rsidR="00872C03" w:rsidRPr="00883399" w:rsidRDefault="00872C03" w:rsidP="0031057E">
            <w:pPr>
              <w:pStyle w:val="Tabletext0"/>
              <w:rPr>
                <w:sz w:val="22"/>
              </w:rPr>
            </w:pPr>
            <w:r w:rsidRPr="00883399">
              <w:rPr>
                <w:sz w:val="22"/>
              </w:rPr>
              <w:t>ASTM F 307–02 (2007)</w:t>
            </w:r>
          </w:p>
          <w:p w14:paraId="1E791952" w14:textId="77777777" w:rsidR="00872C03" w:rsidRPr="00883399" w:rsidRDefault="00872C03" w:rsidP="0031057E">
            <w:pPr>
              <w:pStyle w:val="Tabletext0"/>
              <w:rPr>
                <w:sz w:val="22"/>
              </w:rPr>
            </w:pPr>
            <w:r w:rsidRPr="00883399">
              <w:rPr>
                <w:sz w:val="22"/>
              </w:rPr>
              <w:t>ASTM D 5503–94 (2003)</w:t>
            </w:r>
          </w:p>
          <w:p w14:paraId="26CD3422" w14:textId="77777777" w:rsidR="00872C03" w:rsidRPr="00883399" w:rsidRDefault="00872C03" w:rsidP="0031057E">
            <w:pPr>
              <w:pStyle w:val="Tabletext0"/>
              <w:rPr>
                <w:sz w:val="22"/>
              </w:rPr>
            </w:pPr>
            <w:r w:rsidRPr="00883399">
              <w:rPr>
                <w:sz w:val="22"/>
              </w:rPr>
              <w:lastRenderedPageBreak/>
              <w:t>GPA 2166–05</w:t>
            </w:r>
          </w:p>
        </w:tc>
      </w:tr>
    </w:tbl>
    <w:p w14:paraId="5C630ED8" w14:textId="77777777" w:rsidR="00872C03" w:rsidRPr="00883399" w:rsidRDefault="00872C03" w:rsidP="00872C03">
      <w:pPr>
        <w:pStyle w:val="subsection"/>
        <w:rPr>
          <w:sz w:val="24"/>
        </w:rPr>
      </w:pPr>
      <w:r w:rsidRPr="00883399">
        <w:rPr>
          <w:sz w:val="24"/>
        </w:rPr>
        <w:lastRenderedPageBreak/>
        <w:tab/>
        <w:t>(4)</w:t>
      </w:r>
      <w:r w:rsidRPr="00883399">
        <w:rPr>
          <w:sz w:val="24"/>
        </w:rPr>
        <w:tab/>
        <w:t>A gaseous fuel mentioned in column 2 of an item in the table in subsection (3) may also be sampled in accordance with a standard that is equivalent to a standard specified in column 3 for that item.</w:t>
      </w:r>
    </w:p>
    <w:p w14:paraId="5F3D5294" w14:textId="77777777" w:rsidR="00F1577C" w:rsidRPr="00883399" w:rsidRDefault="00F1577C" w:rsidP="00872C03">
      <w:pPr>
        <w:pStyle w:val="subsection"/>
        <w:rPr>
          <w:sz w:val="24"/>
        </w:rPr>
      </w:pPr>
    </w:p>
    <w:p w14:paraId="4E95D700" w14:textId="203AD2C4" w:rsidR="00872C03" w:rsidRPr="00883399" w:rsidRDefault="00872C03" w:rsidP="00F1577C">
      <w:pPr>
        <w:pStyle w:val="ActHead3"/>
        <w:rPr>
          <w:rStyle w:val="CharDivNo"/>
        </w:rPr>
      </w:pPr>
      <w:bookmarkStart w:id="243" w:name="_Toc423516776"/>
      <w:bookmarkStart w:id="244" w:name="_Toc495652692"/>
      <w:r w:rsidRPr="00883399">
        <w:rPr>
          <w:rStyle w:val="CharDivNo"/>
          <w:sz w:val="32"/>
        </w:rPr>
        <w:t>Division 2.3.5</w:t>
      </w:r>
      <w:r w:rsidRPr="00883399">
        <w:rPr>
          <w:rStyle w:val="CharDivNo"/>
        </w:rPr>
        <w:t>—Method 2—emissions of methane from the combustion of gaseous fuels</w:t>
      </w:r>
      <w:bookmarkEnd w:id="243"/>
      <w:bookmarkEnd w:id="244"/>
    </w:p>
    <w:p w14:paraId="6565EFAB" w14:textId="77777777" w:rsidR="00872C03" w:rsidRPr="00883399" w:rsidRDefault="00872C03" w:rsidP="00872C03">
      <w:pPr>
        <w:pStyle w:val="Text"/>
        <w:rPr>
          <w:rFonts w:ascii="Arial" w:hAnsi="Arial" w:cs="Arial"/>
          <w:i/>
          <w:sz w:val="22"/>
          <w:szCs w:val="22"/>
        </w:rPr>
      </w:pPr>
      <w:r w:rsidRPr="00883399">
        <w:rPr>
          <w:rFonts w:ascii="Arial" w:hAnsi="Arial" w:cs="Arial"/>
          <w:sz w:val="22"/>
          <w:szCs w:val="22"/>
        </w:rPr>
        <w:t xml:space="preserve">Section 2.27 sets out a Method 2 for methane emissions from the combustion of gaseous fuels.  The quantity of methane emissions from the combustion of fuels depends on the equipment used. In the case of gaseous fuels, small variations in emissions are possible. Consequently, in this Method emissions may be estimated by substituting equipment-specific methane emission factors drawn from </w:t>
      </w:r>
      <w:r w:rsidRPr="00883399">
        <w:rPr>
          <w:rFonts w:ascii="Arial" w:hAnsi="Arial" w:cs="Arial"/>
          <w:i/>
          <w:sz w:val="22"/>
          <w:szCs w:val="22"/>
        </w:rPr>
        <w:t xml:space="preserve">2006 IPCC Guidelines for National Greenhouse Gas Inventories (Volume 2) </w:t>
      </w:r>
      <w:r w:rsidRPr="00883399">
        <w:rPr>
          <w:rFonts w:ascii="Arial" w:hAnsi="Arial" w:cs="Arial"/>
          <w:sz w:val="22"/>
          <w:szCs w:val="22"/>
        </w:rPr>
        <w:t>for the methane emission factors listed in the Table in Section 2.20.</w:t>
      </w:r>
    </w:p>
    <w:p w14:paraId="12A856B4" w14:textId="1FB72653" w:rsidR="00872C03" w:rsidRPr="00883399" w:rsidRDefault="00872C03" w:rsidP="00872C03">
      <w:pPr>
        <w:pStyle w:val="ActHead5"/>
        <w:rPr>
          <w:sz w:val="28"/>
        </w:rPr>
      </w:pPr>
      <w:bookmarkStart w:id="245" w:name="_Toc423516777"/>
      <w:bookmarkStart w:id="246" w:name="_Toc495652693"/>
      <w:r w:rsidRPr="00883399">
        <w:rPr>
          <w:rStyle w:val="CharSectno"/>
          <w:sz w:val="28"/>
        </w:rPr>
        <w:t>2.27</w:t>
      </w:r>
      <w:r w:rsidRPr="00883399">
        <w:rPr>
          <w:sz w:val="28"/>
        </w:rPr>
        <w:t xml:space="preserve">  Method 2—emissions of methane from the combustion of gaseous fuels</w:t>
      </w:r>
      <w:bookmarkEnd w:id="245"/>
      <w:bookmarkEnd w:id="246"/>
    </w:p>
    <w:p w14:paraId="5F12FA3A" w14:textId="77777777" w:rsidR="00872C03" w:rsidRPr="00883399" w:rsidRDefault="00872C03" w:rsidP="00872C03">
      <w:pPr>
        <w:pStyle w:val="subsection"/>
        <w:rPr>
          <w:sz w:val="24"/>
        </w:rPr>
      </w:pPr>
      <w:r w:rsidRPr="00883399">
        <w:rPr>
          <w:sz w:val="24"/>
        </w:rPr>
        <w:tab/>
        <w:t>(1)</w:t>
      </w:r>
      <w:r w:rsidRPr="00883399">
        <w:rPr>
          <w:sz w:val="24"/>
        </w:rPr>
        <w:tab/>
        <w:t>For subparagraph 2.19(1)(b)(ii) and subject to subsection (2), method 2 for estimating emissions of methane is the same as method 1 under section 2.20.</w:t>
      </w:r>
    </w:p>
    <w:p w14:paraId="76165DCE" w14:textId="77777777" w:rsidR="00872C03" w:rsidRPr="00883399" w:rsidRDefault="00872C03" w:rsidP="00872C03">
      <w:pPr>
        <w:pStyle w:val="subsection"/>
        <w:rPr>
          <w:sz w:val="24"/>
        </w:rPr>
      </w:pPr>
      <w:r w:rsidRPr="00883399">
        <w:rPr>
          <w:sz w:val="24"/>
        </w:rPr>
        <w:tab/>
        <w:t>(2)</w:t>
      </w:r>
      <w:r w:rsidRPr="00883399">
        <w:rPr>
          <w:sz w:val="24"/>
        </w:rPr>
        <w:tab/>
        <w:t xml:space="preserve">In applying method 1 under section 2.20, the emission factor </w:t>
      </w:r>
      <w:r w:rsidRPr="00883399">
        <w:rPr>
          <w:b/>
          <w:i/>
          <w:sz w:val="24"/>
        </w:rPr>
        <w:t>EF</w:t>
      </w:r>
      <w:r w:rsidRPr="00883399">
        <w:rPr>
          <w:b/>
          <w:i/>
          <w:sz w:val="24"/>
          <w:vertAlign w:val="subscript"/>
        </w:rPr>
        <w:t>ijoxec</w:t>
      </w:r>
      <w:r w:rsidRPr="00883399">
        <w:rPr>
          <w:sz w:val="24"/>
        </w:rPr>
        <w:t xml:space="preserve"> is to be obtained by using the equipment type emission factors set out in Volume 2, section 2.3.2.3 of the 2006 IPCC Guidelines corrected to gross calorific values.</w:t>
      </w:r>
    </w:p>
    <w:p w14:paraId="5319A6C3" w14:textId="1613805C" w:rsidR="00872C03" w:rsidRPr="00883399" w:rsidRDefault="00872C03" w:rsidP="00872C03">
      <w:pPr>
        <w:pStyle w:val="ActHead3"/>
        <w:pageBreakBefore/>
        <w:rPr>
          <w:sz w:val="32"/>
        </w:rPr>
      </w:pPr>
      <w:bookmarkStart w:id="247" w:name="_Toc423516778"/>
      <w:bookmarkStart w:id="248" w:name="_Toc495652694"/>
      <w:r w:rsidRPr="00883399">
        <w:rPr>
          <w:rStyle w:val="CharDivNo"/>
          <w:sz w:val="32"/>
        </w:rPr>
        <w:lastRenderedPageBreak/>
        <w:t>Division 2.3.6</w:t>
      </w:r>
      <w:r w:rsidRPr="00883399">
        <w:rPr>
          <w:sz w:val="32"/>
        </w:rPr>
        <w:t>—</w:t>
      </w:r>
      <w:r w:rsidRPr="00883399">
        <w:rPr>
          <w:rStyle w:val="CharDivText"/>
          <w:sz w:val="32"/>
        </w:rPr>
        <w:t>Measurement of quantity of gaseous fuels</w:t>
      </w:r>
      <w:bookmarkEnd w:id="247"/>
      <w:bookmarkEnd w:id="248"/>
    </w:p>
    <w:p w14:paraId="1A1F7BA8" w14:textId="09A47146" w:rsidR="00872C03" w:rsidRPr="00883399" w:rsidRDefault="00872C03" w:rsidP="00872C03">
      <w:pPr>
        <w:pStyle w:val="ActHead5"/>
        <w:rPr>
          <w:sz w:val="28"/>
        </w:rPr>
      </w:pPr>
      <w:bookmarkStart w:id="249" w:name="_Toc423516779"/>
      <w:bookmarkStart w:id="250" w:name="_Toc495652695"/>
      <w:r w:rsidRPr="00883399">
        <w:rPr>
          <w:rStyle w:val="CharSectno"/>
          <w:sz w:val="28"/>
        </w:rPr>
        <w:t>2.28</w:t>
      </w:r>
      <w:r w:rsidRPr="00883399">
        <w:rPr>
          <w:sz w:val="28"/>
        </w:rPr>
        <w:t xml:space="preserve">  Purpose of Division</w:t>
      </w:r>
      <w:bookmarkEnd w:id="249"/>
      <w:bookmarkEnd w:id="250"/>
    </w:p>
    <w:p w14:paraId="44D79653" w14:textId="77777777" w:rsidR="00872C03" w:rsidRPr="00883399" w:rsidRDefault="00872C03" w:rsidP="00872C03">
      <w:pPr>
        <w:spacing w:before="240" w:line="312" w:lineRule="auto"/>
        <w:rPr>
          <w:rFonts w:ascii="Arial" w:hAnsi="Arial" w:cs="Arial"/>
          <w:i/>
          <w:sz w:val="22"/>
          <w:szCs w:val="22"/>
        </w:rPr>
      </w:pPr>
      <w:r w:rsidRPr="00883399">
        <w:tab/>
      </w:r>
      <w:r w:rsidRPr="00883399">
        <w:tab/>
      </w:r>
      <w:r w:rsidRPr="00883399">
        <w:rPr>
          <w:rFonts w:ascii="Arial" w:hAnsi="Arial" w:cs="Arial"/>
          <w:sz w:val="22"/>
          <w:szCs w:val="22"/>
        </w:rPr>
        <w:t>This Division sets out how quantities of gaseous fuels combusted from the operation of a facility are to be estimated for the purpose of working out the</w:t>
      </w:r>
      <w:r w:rsidRPr="00883399">
        <w:rPr>
          <w:rFonts w:ascii="Arial" w:hAnsi="Arial" w:cs="Arial"/>
          <w:strike/>
          <w:sz w:val="22"/>
          <w:szCs w:val="22"/>
        </w:rPr>
        <w:t xml:space="preserve"> </w:t>
      </w:r>
      <w:r w:rsidRPr="00883399">
        <w:rPr>
          <w:rFonts w:ascii="Arial" w:hAnsi="Arial" w:cs="Arial"/>
          <w:sz w:val="22"/>
          <w:szCs w:val="22"/>
        </w:rPr>
        <w:t>emissions released from the combustion of that fuel</w:t>
      </w:r>
      <w:r w:rsidRPr="00883399">
        <w:rPr>
          <w:rFonts w:ascii="Arial" w:hAnsi="Arial" w:cs="Arial"/>
          <w:i/>
          <w:sz w:val="22"/>
          <w:szCs w:val="22"/>
        </w:rPr>
        <w:t>.</w:t>
      </w:r>
    </w:p>
    <w:p w14:paraId="1DAED422" w14:textId="77777777" w:rsidR="00872C03" w:rsidRPr="00883399" w:rsidRDefault="00872C03" w:rsidP="00872C03">
      <w:pPr>
        <w:spacing w:before="240" w:line="312" w:lineRule="auto"/>
        <w:rPr>
          <w:rFonts w:ascii="Arial" w:hAnsi="Arial" w:cs="Arial"/>
          <w:sz w:val="22"/>
          <w:szCs w:val="22"/>
        </w:rPr>
      </w:pPr>
      <w:r w:rsidRPr="00883399">
        <w:rPr>
          <w:rFonts w:ascii="Arial" w:hAnsi="Arial" w:cs="Arial"/>
          <w:sz w:val="22"/>
          <w:szCs w:val="22"/>
        </w:rPr>
        <w:t>The quantity of consumption of each of the fuel types specified in the Regulations, Schedule 1, are to be estimated according to one of the criterion set out below.</w:t>
      </w:r>
    </w:p>
    <w:p w14:paraId="570CD7FE" w14:textId="77777777" w:rsidR="00872C03" w:rsidRPr="00883399" w:rsidRDefault="00872C03" w:rsidP="00872C03">
      <w:pPr>
        <w:pStyle w:val="R2"/>
        <w:spacing w:before="240" w:line="312" w:lineRule="auto"/>
        <w:ind w:left="0" w:firstLine="0"/>
        <w:jc w:val="left"/>
        <w:rPr>
          <w:rFonts w:ascii="Arial" w:hAnsi="Arial" w:cs="Arial"/>
          <w:sz w:val="22"/>
          <w:szCs w:val="22"/>
        </w:rPr>
      </w:pPr>
      <w:r w:rsidRPr="00883399">
        <w:rPr>
          <w:rFonts w:ascii="Arial" w:hAnsi="Arial" w:cs="Arial"/>
          <w:sz w:val="22"/>
          <w:szCs w:val="22"/>
        </w:rPr>
        <w:t xml:space="preserve">The fuel types listed principally reflect the lists of fuels used by the </w:t>
      </w:r>
      <w:r w:rsidR="00F1577C" w:rsidRPr="00883399">
        <w:rPr>
          <w:rFonts w:ascii="Arial" w:hAnsi="Arial" w:cs="Arial"/>
          <w:sz w:val="22"/>
          <w:szCs w:val="22"/>
        </w:rPr>
        <w:t xml:space="preserve">Department of Industry </w:t>
      </w:r>
      <w:r w:rsidRPr="00883399">
        <w:rPr>
          <w:rFonts w:ascii="Arial" w:hAnsi="Arial" w:cs="Arial"/>
          <w:sz w:val="22"/>
          <w:szCs w:val="22"/>
        </w:rPr>
        <w:t xml:space="preserve">to prepare Australia’s Energy Statistics and report, inter alia, on behalf of the Australian Government to the International Energy Agency. </w:t>
      </w:r>
    </w:p>
    <w:p w14:paraId="22C71B98" w14:textId="77777777" w:rsidR="00872C03" w:rsidRPr="00883399" w:rsidRDefault="00872C03" w:rsidP="00872C03">
      <w:pPr>
        <w:spacing w:before="240" w:line="312" w:lineRule="auto"/>
        <w:rPr>
          <w:rFonts w:ascii="Arial" w:hAnsi="Arial" w:cs="Arial"/>
          <w:sz w:val="22"/>
          <w:szCs w:val="22"/>
        </w:rPr>
      </w:pPr>
      <w:r w:rsidRPr="00883399">
        <w:rPr>
          <w:rFonts w:ascii="Arial" w:hAnsi="Arial" w:cs="Arial"/>
          <w:sz w:val="22"/>
          <w:szCs w:val="22"/>
        </w:rPr>
        <w:t xml:space="preserve">Separate estimates of the quantities of each fuel type consumed for the purpose of making electricity; for use as reductants or feedstocks; for use in transport (excluding international bunker fuels) and other stationary energy are required.    </w:t>
      </w:r>
    </w:p>
    <w:p w14:paraId="4B7A5469" w14:textId="77777777" w:rsidR="00872C03" w:rsidRPr="00883399" w:rsidRDefault="00872C03" w:rsidP="00872C03">
      <w:pPr>
        <w:spacing w:before="240" w:line="312" w:lineRule="auto"/>
        <w:rPr>
          <w:rFonts w:ascii="Arial" w:hAnsi="Arial" w:cs="Arial"/>
          <w:sz w:val="22"/>
          <w:szCs w:val="22"/>
        </w:rPr>
      </w:pPr>
      <w:r w:rsidRPr="00883399">
        <w:rPr>
          <w:rFonts w:ascii="Arial" w:hAnsi="Arial" w:cs="Arial"/>
          <w:sz w:val="22"/>
          <w:szCs w:val="22"/>
        </w:rPr>
        <w:t xml:space="preserve">The quantities of fuels consumed for transport should exclude those quantities consumed for international transport purposes, if any, to reflect international reporting requirements for the national inventory. It is intended that this may be achieved by excluding international bunker fuels as defined in National Greenhouse and Energy Reporting Regulations 2008, Regulation 1.03, and that the point of differentiation between domestic and international consumption will be identical to that provided by the </w:t>
      </w:r>
      <w:r w:rsidRPr="00883399">
        <w:rPr>
          <w:rFonts w:ascii="Arial" w:hAnsi="Arial" w:cs="Arial"/>
          <w:i/>
          <w:sz w:val="22"/>
          <w:szCs w:val="22"/>
        </w:rPr>
        <w:t>Customs Act 1901</w:t>
      </w:r>
      <w:r w:rsidRPr="00883399">
        <w:rPr>
          <w:rFonts w:ascii="Arial" w:hAnsi="Arial" w:cs="Arial"/>
          <w:sz w:val="22"/>
          <w:szCs w:val="22"/>
        </w:rPr>
        <w:t xml:space="preserve"> which is used also for excise and GST purposes.  </w:t>
      </w:r>
    </w:p>
    <w:p w14:paraId="2F0510D8"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As for solid fuels, there are four criteria available for the estimation of quantities combusted.  Under the National Greenhouse and Energy Reporting Regulations 2008, the criterion chosen will need to be reported. </w:t>
      </w:r>
    </w:p>
    <w:p w14:paraId="7063F9FE"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The criteria include:</w:t>
      </w:r>
    </w:p>
    <w:p w14:paraId="467A8912"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(a)</w:t>
      </w:r>
      <w:r w:rsidRPr="00883399">
        <w:rPr>
          <w:rFonts w:ascii="Arial" w:hAnsi="Arial" w:cs="Arial"/>
          <w:sz w:val="22"/>
          <w:szCs w:val="22"/>
        </w:rPr>
        <w:tab/>
        <w:t xml:space="preserve">Criterion A - the amount of the fuel delivered for the facility during the year as evidenced by invoices or delivery records issued by the vendor of the fuel (2.29); </w:t>
      </w:r>
    </w:p>
    <w:p w14:paraId="65E964DC"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(b)</w:t>
      </w:r>
      <w:r w:rsidRPr="00883399">
        <w:rPr>
          <w:rFonts w:ascii="Arial" w:hAnsi="Arial" w:cs="Arial"/>
          <w:sz w:val="22"/>
          <w:szCs w:val="22"/>
        </w:rPr>
        <w:tab/>
        <w:t>Criterion AA - indirect measurement at the point of consumption - based on the amount of fuel delivered for the facility and adjusted for changes in stocks (2.30);</w:t>
      </w:r>
    </w:p>
    <w:p w14:paraId="45CF2649"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lastRenderedPageBreak/>
        <w:t>(c)</w:t>
      </w:r>
      <w:r w:rsidRPr="00883399">
        <w:rPr>
          <w:rFonts w:ascii="Arial" w:hAnsi="Arial" w:cs="Arial"/>
          <w:sz w:val="22"/>
          <w:szCs w:val="22"/>
        </w:rPr>
        <w:tab/>
        <w:t>Criterion AAA - direct measurement at the point of consumption - based on the amount of fuel combusted as estimated by measurement equipment that comply with specified standards (2.31 – 2.37);</w:t>
      </w:r>
    </w:p>
    <w:p w14:paraId="36FC9A9B"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(d)</w:t>
      </w:r>
      <w:r w:rsidRPr="00883399">
        <w:rPr>
          <w:rFonts w:ascii="Arial" w:hAnsi="Arial" w:cs="Arial"/>
          <w:sz w:val="22"/>
          <w:szCs w:val="22"/>
        </w:rPr>
        <w:tab/>
        <w:t>Criterion BBB - simplified measurement of consumption (2.38).</w:t>
      </w:r>
    </w:p>
    <w:p w14:paraId="13C40F38"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Measuring equipment requirements set out in Sections 2.31 to 2.37 are drawn from the requirements set out in the </w:t>
      </w:r>
      <w:r w:rsidRPr="00883399">
        <w:rPr>
          <w:rFonts w:ascii="Arial" w:hAnsi="Arial" w:cs="Arial"/>
          <w:i/>
          <w:sz w:val="22"/>
          <w:szCs w:val="22"/>
        </w:rPr>
        <w:t>Technical Guidelines for the</w:t>
      </w:r>
      <w:r w:rsidRPr="00883399">
        <w:rPr>
          <w:rFonts w:ascii="Arial" w:hAnsi="Arial" w:cs="Arial"/>
          <w:sz w:val="22"/>
          <w:szCs w:val="22"/>
        </w:rPr>
        <w:t xml:space="preserve"> </w:t>
      </w:r>
      <w:r w:rsidRPr="00883399">
        <w:rPr>
          <w:rFonts w:ascii="Arial" w:hAnsi="Arial" w:cs="Arial"/>
          <w:i/>
          <w:sz w:val="22"/>
          <w:szCs w:val="22"/>
        </w:rPr>
        <w:t>Generator Efficiency Standards</w:t>
      </w:r>
      <w:r w:rsidRPr="00883399">
        <w:rPr>
          <w:rFonts w:ascii="Arial" w:hAnsi="Arial" w:cs="Arial"/>
          <w:sz w:val="22"/>
          <w:szCs w:val="22"/>
        </w:rPr>
        <w:t xml:space="preserve"> program for gaseous fuels.   These standards have been broadened to provide for a measurement threshold that is not technology-specific (2.35 (4)), reflecting comparable State-specific thresholds for small to medium-sized consumers.</w:t>
      </w:r>
    </w:p>
    <w:p w14:paraId="638881D4"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In Sections 2.31 it is intended that measured data for fuels delivered would also meet the Criterion AAA under certain circumstances.  These circumstances are that stocks of the fuel consumed at the facility are less than 5% of fuel consumption for the facility during the year and that the stock changes by less than 1% during the year.  </w:t>
      </w:r>
    </w:p>
    <w:p w14:paraId="06E97B7C"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The simplified measurement of consumption criterion is available in those cases where the Reporter does not purchase fuel and where the Reporter also does not have metering equipment installed that meets the requirements of criterion AAA.  In these cases, it is intended that Reporters should estimate consumption using metering devices or measurement techniques in practice in the industry.  Such measurements would need to meet the criteria set out 1.13 - of transparency, comparability, accuracy and completeness, and would be classified and reported as ‘BBB’ data.    </w:t>
      </w:r>
    </w:p>
    <w:p w14:paraId="4632F2E1"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For landfill gas, the BBB criterion includes provision for the estimation of gas quantities based on the practice available under the NSW GGAS scheme – see the notice, </w:t>
      </w:r>
      <w:r w:rsidRPr="00883399">
        <w:rPr>
          <w:rFonts w:ascii="Arial" w:hAnsi="Arial" w:cs="Arial"/>
          <w:i/>
          <w:sz w:val="22"/>
          <w:szCs w:val="22"/>
        </w:rPr>
        <w:t>Determining the energy content of waste methane under the generation rules</w:t>
      </w:r>
      <w:r w:rsidRPr="00883399">
        <w:rPr>
          <w:rFonts w:ascii="Arial" w:hAnsi="Arial" w:cs="Arial"/>
          <w:sz w:val="22"/>
          <w:szCs w:val="22"/>
        </w:rPr>
        <w:t>, NSW IPART, 1 December 2006.</w:t>
      </w:r>
    </w:p>
    <w:p w14:paraId="2B9C695F" w14:textId="77777777" w:rsidR="00872C03" w:rsidRPr="00883399" w:rsidRDefault="00872C03" w:rsidP="00C91E15">
      <w:pPr>
        <w:pStyle w:val="R1"/>
        <w:ind w:left="0" w:firstLine="0"/>
      </w:pPr>
      <w:r w:rsidRPr="00883399">
        <w:rPr>
          <w:rFonts w:ascii="Arial" w:hAnsi="Arial" w:cs="Arial"/>
          <w:color w:val="000000"/>
          <w:sz w:val="22"/>
          <w:szCs w:val="22"/>
        </w:rPr>
        <w:t>The restriction on the choice of criteria at 2.29 (3) is designed to ensure time series consistency of the measurements</w:t>
      </w:r>
      <w:r w:rsidRPr="00883399">
        <w:rPr>
          <w:rFonts w:ascii="Arial" w:hAnsi="Arial"/>
          <w:color w:val="000000"/>
        </w:rPr>
        <w:t>.</w:t>
      </w:r>
    </w:p>
    <w:p w14:paraId="2A832DDE" w14:textId="29C28F81" w:rsidR="00872C03" w:rsidRPr="00883399" w:rsidRDefault="00872C03" w:rsidP="00872C03">
      <w:pPr>
        <w:pStyle w:val="ActHead5"/>
        <w:rPr>
          <w:sz w:val="28"/>
        </w:rPr>
      </w:pPr>
      <w:bookmarkStart w:id="251" w:name="_Toc423516780"/>
      <w:bookmarkStart w:id="252" w:name="_Toc495652696"/>
      <w:r w:rsidRPr="00883399">
        <w:rPr>
          <w:rStyle w:val="CharSectno"/>
          <w:sz w:val="28"/>
        </w:rPr>
        <w:t>2.29</w:t>
      </w:r>
      <w:r w:rsidRPr="00883399">
        <w:rPr>
          <w:sz w:val="28"/>
        </w:rPr>
        <w:t xml:space="preserve">  Criteria for measurement</w:t>
      </w:r>
      <w:bookmarkEnd w:id="251"/>
      <w:bookmarkEnd w:id="252"/>
    </w:p>
    <w:p w14:paraId="058354A6" w14:textId="77777777" w:rsidR="00872C03" w:rsidRPr="00883399" w:rsidRDefault="00872C03" w:rsidP="00872C03">
      <w:pPr>
        <w:pStyle w:val="subsection"/>
        <w:rPr>
          <w:sz w:val="24"/>
        </w:rPr>
      </w:pPr>
      <w:r w:rsidRPr="00883399">
        <w:rPr>
          <w:sz w:val="24"/>
        </w:rPr>
        <w:tab/>
        <w:t>(1)</w:t>
      </w:r>
      <w:r w:rsidRPr="00883399">
        <w:rPr>
          <w:sz w:val="24"/>
        </w:rPr>
        <w:tab/>
        <w:t>For the purposes of calculating the combustion of gaseous fuel from the operation of a facility for a year and, in particular, for Qi in sections 2.20 and 2.21, the combustion must be estimated in accordance with this section.</w:t>
      </w:r>
    </w:p>
    <w:p w14:paraId="1A532439" w14:textId="77777777" w:rsidR="00872C03" w:rsidRPr="00883399" w:rsidRDefault="00872C03" w:rsidP="00872C03">
      <w:pPr>
        <w:pStyle w:val="SubsectionHead"/>
        <w:rPr>
          <w:sz w:val="24"/>
        </w:rPr>
      </w:pPr>
      <w:r w:rsidRPr="00883399">
        <w:rPr>
          <w:sz w:val="24"/>
        </w:rPr>
        <w:lastRenderedPageBreak/>
        <w:t>Acquisition involves commercial transaction</w:t>
      </w:r>
    </w:p>
    <w:p w14:paraId="02A14FDD" w14:textId="77777777" w:rsidR="00872C03" w:rsidRPr="00883399" w:rsidRDefault="00872C03" w:rsidP="00872C03">
      <w:pPr>
        <w:pStyle w:val="subsection"/>
        <w:rPr>
          <w:sz w:val="24"/>
        </w:rPr>
      </w:pPr>
      <w:r w:rsidRPr="00883399">
        <w:rPr>
          <w:sz w:val="24"/>
        </w:rPr>
        <w:tab/>
        <w:t>(2)</w:t>
      </w:r>
      <w:r w:rsidRPr="00883399">
        <w:rPr>
          <w:sz w:val="24"/>
        </w:rPr>
        <w:tab/>
        <w:t>If the acquisition of the gaseous fuel involves a commercial transaction, the quantity of fuel combusted must be estimated using one of the following criteria:</w:t>
      </w:r>
    </w:p>
    <w:p w14:paraId="01818AC2" w14:textId="77777777" w:rsidR="00872C03" w:rsidRPr="00883399" w:rsidRDefault="00872C03" w:rsidP="00872C03">
      <w:pPr>
        <w:pStyle w:val="paragraph"/>
        <w:rPr>
          <w:sz w:val="24"/>
        </w:rPr>
      </w:pPr>
      <w:r w:rsidRPr="00883399">
        <w:rPr>
          <w:sz w:val="24"/>
        </w:rPr>
        <w:tab/>
        <w:t>(a)</w:t>
      </w:r>
      <w:r w:rsidRPr="00883399">
        <w:rPr>
          <w:sz w:val="24"/>
        </w:rPr>
        <w:tab/>
        <w:t>the amount of the gaseous fuel, expressed in cubic metres or gigajoules, delivered for the facility during the year as evidenced by invoices issued by the vendor of the fuel (</w:t>
      </w:r>
      <w:r w:rsidRPr="00883399">
        <w:rPr>
          <w:b/>
          <w:bCs/>
          <w:i/>
          <w:iCs/>
          <w:sz w:val="24"/>
        </w:rPr>
        <w:t>criterion A</w:t>
      </w:r>
      <w:r w:rsidRPr="00883399">
        <w:rPr>
          <w:sz w:val="24"/>
        </w:rPr>
        <w:t>);</w:t>
      </w:r>
    </w:p>
    <w:p w14:paraId="61B4F42B" w14:textId="77777777" w:rsidR="00872C03" w:rsidRPr="00883399" w:rsidRDefault="00872C03" w:rsidP="00872C03">
      <w:pPr>
        <w:pStyle w:val="paragraph"/>
        <w:rPr>
          <w:sz w:val="24"/>
        </w:rPr>
      </w:pPr>
      <w:r w:rsidRPr="00883399">
        <w:rPr>
          <w:sz w:val="24"/>
        </w:rPr>
        <w:tab/>
        <w:t>(b)</w:t>
      </w:r>
      <w:r w:rsidRPr="00883399">
        <w:rPr>
          <w:sz w:val="24"/>
        </w:rPr>
        <w:tab/>
        <w:t>as provided in section 2.30 (</w:t>
      </w:r>
      <w:r w:rsidRPr="00883399">
        <w:rPr>
          <w:b/>
          <w:bCs/>
          <w:i/>
          <w:iCs/>
          <w:sz w:val="24"/>
        </w:rPr>
        <w:t>criterion AA</w:t>
      </w:r>
      <w:r w:rsidRPr="00883399">
        <w:rPr>
          <w:sz w:val="24"/>
        </w:rPr>
        <w:t>);</w:t>
      </w:r>
    </w:p>
    <w:p w14:paraId="7607EF3A" w14:textId="77777777" w:rsidR="00872C03" w:rsidRPr="00883399" w:rsidRDefault="00872C03" w:rsidP="00872C03">
      <w:pPr>
        <w:pStyle w:val="paragraph"/>
        <w:rPr>
          <w:sz w:val="24"/>
        </w:rPr>
      </w:pPr>
      <w:r w:rsidRPr="00883399">
        <w:rPr>
          <w:sz w:val="24"/>
        </w:rPr>
        <w:tab/>
        <w:t>(c)</w:t>
      </w:r>
      <w:r w:rsidRPr="00883399">
        <w:rPr>
          <w:sz w:val="24"/>
        </w:rPr>
        <w:tab/>
        <w:t>as provided in section 2.31 (</w:t>
      </w:r>
      <w:r w:rsidRPr="00883399">
        <w:rPr>
          <w:b/>
          <w:bCs/>
          <w:i/>
          <w:iCs/>
          <w:sz w:val="24"/>
        </w:rPr>
        <w:t>criterion AAA</w:t>
      </w:r>
      <w:r w:rsidRPr="00883399">
        <w:rPr>
          <w:sz w:val="24"/>
        </w:rPr>
        <w:t>).</w:t>
      </w:r>
    </w:p>
    <w:p w14:paraId="29717A75" w14:textId="77777777" w:rsidR="00872C03" w:rsidRPr="00883399" w:rsidRDefault="00872C03" w:rsidP="00872C03">
      <w:pPr>
        <w:pStyle w:val="subsection"/>
        <w:rPr>
          <w:sz w:val="24"/>
        </w:rPr>
      </w:pPr>
      <w:r w:rsidRPr="00883399">
        <w:rPr>
          <w:sz w:val="24"/>
        </w:rPr>
        <w:tab/>
        <w:t>(3)</w:t>
      </w:r>
      <w:r w:rsidRPr="00883399">
        <w:rPr>
          <w:sz w:val="24"/>
        </w:rPr>
        <w:tab/>
        <w:t>If, during a year, criterion AA, or criterion AAA using paragraph 2.31(3)(a), is used to estimate the quantity of fuel combusted, then, in each year following that year, only criterion AA, or criterion AAA using paragraph 2.31(3)(a), (respectively) is to be used.</w:t>
      </w:r>
    </w:p>
    <w:p w14:paraId="0173B40C" w14:textId="77777777" w:rsidR="00872C03" w:rsidRPr="00883399" w:rsidRDefault="00872C03" w:rsidP="00872C03">
      <w:pPr>
        <w:pStyle w:val="SubsectionHead"/>
        <w:rPr>
          <w:sz w:val="24"/>
        </w:rPr>
      </w:pPr>
      <w:r w:rsidRPr="00883399">
        <w:rPr>
          <w:sz w:val="24"/>
        </w:rPr>
        <w:t>Acquisition does not involve commercial transaction</w:t>
      </w:r>
    </w:p>
    <w:p w14:paraId="4ECEE628" w14:textId="77777777" w:rsidR="00872C03" w:rsidRPr="00883399" w:rsidRDefault="00872C03" w:rsidP="00872C03">
      <w:pPr>
        <w:pStyle w:val="subsection"/>
        <w:rPr>
          <w:sz w:val="24"/>
        </w:rPr>
      </w:pPr>
      <w:r w:rsidRPr="00883399">
        <w:rPr>
          <w:sz w:val="24"/>
        </w:rPr>
        <w:tab/>
        <w:t>(4)</w:t>
      </w:r>
      <w:r w:rsidRPr="00883399">
        <w:rPr>
          <w:sz w:val="24"/>
        </w:rPr>
        <w:tab/>
        <w:t>If the acquisition of the gaseous fuel does not involve a commercial transaction, the quantity of fuel combusted must be estimated using one of the following criteria:</w:t>
      </w:r>
    </w:p>
    <w:p w14:paraId="72607667" w14:textId="77777777" w:rsidR="00872C03" w:rsidRPr="00883399" w:rsidRDefault="00872C03" w:rsidP="00872C03">
      <w:pPr>
        <w:pStyle w:val="paragraph"/>
        <w:rPr>
          <w:sz w:val="24"/>
        </w:rPr>
      </w:pPr>
      <w:r w:rsidRPr="00883399">
        <w:rPr>
          <w:sz w:val="24"/>
        </w:rPr>
        <w:tab/>
        <w:t>(a)</w:t>
      </w:r>
      <w:r w:rsidRPr="00883399">
        <w:rPr>
          <w:sz w:val="24"/>
        </w:rPr>
        <w:tab/>
        <w:t>as provided in section 2.31 (</w:t>
      </w:r>
      <w:r w:rsidRPr="00883399">
        <w:rPr>
          <w:b/>
          <w:bCs/>
          <w:i/>
          <w:iCs/>
          <w:sz w:val="24"/>
        </w:rPr>
        <w:t>criterion AAA</w:t>
      </w:r>
      <w:r w:rsidRPr="00883399">
        <w:rPr>
          <w:sz w:val="24"/>
        </w:rPr>
        <w:t>);</w:t>
      </w:r>
    </w:p>
    <w:p w14:paraId="79AB4BF8" w14:textId="77777777" w:rsidR="00872C03" w:rsidRPr="00883399" w:rsidRDefault="00872C03" w:rsidP="00872C03">
      <w:pPr>
        <w:pStyle w:val="paragraph"/>
        <w:rPr>
          <w:sz w:val="24"/>
        </w:rPr>
      </w:pPr>
      <w:r w:rsidRPr="00883399">
        <w:rPr>
          <w:sz w:val="24"/>
        </w:rPr>
        <w:tab/>
        <w:t>(b)</w:t>
      </w:r>
      <w:r w:rsidRPr="00883399">
        <w:rPr>
          <w:sz w:val="24"/>
        </w:rPr>
        <w:tab/>
        <w:t>as provided in section 2.38 (</w:t>
      </w:r>
      <w:r w:rsidRPr="00883399">
        <w:rPr>
          <w:b/>
          <w:i/>
          <w:sz w:val="24"/>
        </w:rPr>
        <w:t>criterion BBB</w:t>
      </w:r>
      <w:r w:rsidRPr="00883399">
        <w:rPr>
          <w:sz w:val="24"/>
        </w:rPr>
        <w:t>).</w:t>
      </w:r>
    </w:p>
    <w:p w14:paraId="3B8E615B" w14:textId="77D407BB" w:rsidR="00872C03" w:rsidRPr="00883399" w:rsidRDefault="00872C03" w:rsidP="00872C03">
      <w:pPr>
        <w:pStyle w:val="ActHead5"/>
        <w:rPr>
          <w:sz w:val="28"/>
        </w:rPr>
      </w:pPr>
      <w:bookmarkStart w:id="253" w:name="_Toc423516781"/>
      <w:bookmarkStart w:id="254" w:name="_Toc495652697"/>
      <w:r w:rsidRPr="00883399">
        <w:rPr>
          <w:rStyle w:val="CharSectno"/>
          <w:sz w:val="28"/>
        </w:rPr>
        <w:t>2.30</w:t>
      </w:r>
      <w:r w:rsidRPr="00883399">
        <w:rPr>
          <w:sz w:val="28"/>
        </w:rPr>
        <w:t xml:space="preserve">  Indirect measurement—criterion AA</w:t>
      </w:r>
      <w:bookmarkEnd w:id="253"/>
      <w:bookmarkEnd w:id="254"/>
    </w:p>
    <w:p w14:paraId="6039A810" w14:textId="77777777" w:rsidR="00872C03" w:rsidRPr="00883399" w:rsidRDefault="00872C03" w:rsidP="00872C03">
      <w:pPr>
        <w:pStyle w:val="subsection"/>
        <w:rPr>
          <w:sz w:val="24"/>
        </w:rPr>
      </w:pPr>
      <w:r w:rsidRPr="00883399">
        <w:rPr>
          <w:sz w:val="24"/>
        </w:rPr>
        <w:tab/>
      </w:r>
      <w:r w:rsidRPr="00883399">
        <w:rPr>
          <w:sz w:val="24"/>
        </w:rPr>
        <w:tab/>
        <w:t>For paragraph 2.29(2)(b), criterion AA is the amount of a gaseous fuel combusted from the operation of the facility during the year based on amounts delivered during the year (evidenced by invoices) as adjusted for the estimated change in the quantity of the stockpile of the fuel for the facility during the year.</w:t>
      </w:r>
    </w:p>
    <w:p w14:paraId="1EF15D02" w14:textId="72D54280" w:rsidR="00872C03" w:rsidRPr="00883399" w:rsidRDefault="00872C03" w:rsidP="00872C03">
      <w:pPr>
        <w:pStyle w:val="ActHead5"/>
        <w:rPr>
          <w:sz w:val="28"/>
        </w:rPr>
      </w:pPr>
      <w:bookmarkStart w:id="255" w:name="_Toc423516782"/>
      <w:bookmarkStart w:id="256" w:name="_Toc495652698"/>
      <w:r w:rsidRPr="00883399">
        <w:rPr>
          <w:rStyle w:val="CharSectno"/>
          <w:sz w:val="28"/>
        </w:rPr>
        <w:t>2.31</w:t>
      </w:r>
      <w:r w:rsidRPr="00883399">
        <w:rPr>
          <w:sz w:val="28"/>
        </w:rPr>
        <w:t xml:space="preserve">  Direct measurement—criterion AAA</w:t>
      </w:r>
      <w:bookmarkEnd w:id="255"/>
      <w:bookmarkEnd w:id="256"/>
    </w:p>
    <w:p w14:paraId="2C89DE7C" w14:textId="77777777" w:rsidR="00872C03" w:rsidRPr="00883399" w:rsidRDefault="00872C03" w:rsidP="00872C03">
      <w:pPr>
        <w:pStyle w:val="subsection"/>
        <w:rPr>
          <w:sz w:val="24"/>
        </w:rPr>
      </w:pPr>
      <w:r w:rsidRPr="00883399">
        <w:rPr>
          <w:sz w:val="24"/>
        </w:rPr>
        <w:tab/>
        <w:t>(1)</w:t>
      </w:r>
      <w:r w:rsidRPr="00883399">
        <w:rPr>
          <w:sz w:val="24"/>
        </w:rPr>
        <w:tab/>
        <w:t>For paragraph 2.29(2)(c), criterion AAA is the measurement during the year of a gaseous fuel combusted from the operation of the facility.</w:t>
      </w:r>
    </w:p>
    <w:p w14:paraId="4028FCD6" w14:textId="77777777" w:rsidR="00872C03" w:rsidRPr="00883399" w:rsidRDefault="00872C03" w:rsidP="00872C03">
      <w:pPr>
        <w:pStyle w:val="subsection"/>
        <w:rPr>
          <w:sz w:val="24"/>
        </w:rPr>
      </w:pPr>
      <w:r w:rsidRPr="00883399">
        <w:rPr>
          <w:sz w:val="24"/>
        </w:rPr>
        <w:tab/>
        <w:t>(2)</w:t>
      </w:r>
      <w:r w:rsidRPr="00883399">
        <w:rPr>
          <w:sz w:val="24"/>
        </w:rPr>
        <w:tab/>
        <w:t>In measuring the quantity of gaseous fuel, the quantities of gas must be measured:</w:t>
      </w:r>
    </w:p>
    <w:p w14:paraId="7F7863A6" w14:textId="77777777" w:rsidR="00872C03" w:rsidRPr="00883399" w:rsidRDefault="00872C03" w:rsidP="00872C03">
      <w:pPr>
        <w:pStyle w:val="paragraph"/>
        <w:rPr>
          <w:sz w:val="24"/>
        </w:rPr>
      </w:pPr>
      <w:r w:rsidRPr="00883399">
        <w:rPr>
          <w:sz w:val="24"/>
        </w:rPr>
        <w:tab/>
        <w:t>(a)</w:t>
      </w:r>
      <w:r w:rsidRPr="00883399">
        <w:rPr>
          <w:sz w:val="24"/>
        </w:rPr>
        <w:tab/>
        <w:t>using volumetric measurement in accordance with:</w:t>
      </w:r>
    </w:p>
    <w:p w14:paraId="4893C334" w14:textId="77777777" w:rsidR="00872C03" w:rsidRPr="00883399" w:rsidRDefault="00872C03" w:rsidP="00872C03">
      <w:pPr>
        <w:pStyle w:val="paragraphsub"/>
        <w:rPr>
          <w:sz w:val="24"/>
        </w:rPr>
      </w:pPr>
      <w:r w:rsidRPr="00883399">
        <w:rPr>
          <w:sz w:val="24"/>
        </w:rPr>
        <w:tab/>
        <w:t>(i)</w:t>
      </w:r>
      <w:r w:rsidRPr="00883399">
        <w:rPr>
          <w:sz w:val="24"/>
        </w:rPr>
        <w:tab/>
        <w:t>for gases other than super</w:t>
      </w:r>
      <w:r w:rsidRPr="00883399">
        <w:rPr>
          <w:sz w:val="24"/>
        </w:rPr>
        <w:noBreakHyphen/>
        <w:t>compressed gases—section 2.32; and</w:t>
      </w:r>
    </w:p>
    <w:p w14:paraId="67B46AF2" w14:textId="77777777" w:rsidR="00872C03" w:rsidRPr="00883399" w:rsidRDefault="00872C03" w:rsidP="00872C03">
      <w:pPr>
        <w:pStyle w:val="paragraphsub"/>
        <w:rPr>
          <w:sz w:val="24"/>
        </w:rPr>
      </w:pPr>
      <w:r w:rsidRPr="00883399">
        <w:rPr>
          <w:sz w:val="24"/>
        </w:rPr>
        <w:tab/>
        <w:t>(ii)</w:t>
      </w:r>
      <w:r w:rsidRPr="00883399">
        <w:rPr>
          <w:sz w:val="24"/>
        </w:rPr>
        <w:tab/>
        <w:t>for super</w:t>
      </w:r>
      <w:r w:rsidRPr="00883399">
        <w:rPr>
          <w:sz w:val="24"/>
        </w:rPr>
        <w:noBreakHyphen/>
        <w:t>compressed gases—sections 2.32 and 2.33; and</w:t>
      </w:r>
    </w:p>
    <w:p w14:paraId="0F77A394" w14:textId="77777777" w:rsidR="00872C03" w:rsidRPr="00883399" w:rsidRDefault="00872C03" w:rsidP="00872C03">
      <w:pPr>
        <w:pStyle w:val="paragraph"/>
        <w:rPr>
          <w:sz w:val="24"/>
        </w:rPr>
      </w:pPr>
      <w:r w:rsidRPr="00883399">
        <w:rPr>
          <w:sz w:val="24"/>
        </w:rPr>
        <w:tab/>
        <w:t>(b)</w:t>
      </w:r>
      <w:r w:rsidRPr="00883399">
        <w:rPr>
          <w:sz w:val="24"/>
        </w:rPr>
        <w:tab/>
        <w:t>using gas measuring equipment that complies with section 2.34.</w:t>
      </w:r>
    </w:p>
    <w:p w14:paraId="7BCB1A30" w14:textId="77777777" w:rsidR="00872C03" w:rsidRPr="00883399" w:rsidRDefault="00872C03" w:rsidP="00872C03">
      <w:pPr>
        <w:pStyle w:val="subsection"/>
        <w:rPr>
          <w:sz w:val="24"/>
        </w:rPr>
      </w:pPr>
      <w:r w:rsidRPr="00883399">
        <w:rPr>
          <w:sz w:val="24"/>
        </w:rPr>
        <w:tab/>
        <w:t>(3)</w:t>
      </w:r>
      <w:r w:rsidRPr="00883399">
        <w:rPr>
          <w:sz w:val="24"/>
        </w:rPr>
        <w:tab/>
        <w:t>The measurement must be either:</w:t>
      </w:r>
    </w:p>
    <w:p w14:paraId="39B890D5" w14:textId="77777777" w:rsidR="00872C03" w:rsidRPr="00883399" w:rsidRDefault="00872C03" w:rsidP="00872C03">
      <w:pPr>
        <w:pStyle w:val="paragraph"/>
        <w:rPr>
          <w:sz w:val="24"/>
        </w:rPr>
      </w:pPr>
      <w:r w:rsidRPr="00883399">
        <w:rPr>
          <w:sz w:val="24"/>
        </w:rPr>
        <w:lastRenderedPageBreak/>
        <w:tab/>
        <w:t>(a)</w:t>
      </w:r>
      <w:r w:rsidRPr="00883399">
        <w:rPr>
          <w:sz w:val="24"/>
        </w:rPr>
        <w:tab/>
        <w:t>carried out at the point of combustion using gas measuring equipment that:</w:t>
      </w:r>
    </w:p>
    <w:p w14:paraId="78991CB5" w14:textId="77777777" w:rsidR="00872C03" w:rsidRPr="00883399" w:rsidRDefault="00872C03" w:rsidP="00872C03">
      <w:pPr>
        <w:pStyle w:val="paragraphsub"/>
        <w:rPr>
          <w:sz w:val="24"/>
        </w:rPr>
      </w:pPr>
      <w:r w:rsidRPr="00883399">
        <w:rPr>
          <w:sz w:val="24"/>
        </w:rPr>
        <w:tab/>
        <w:t>(i)</w:t>
      </w:r>
      <w:r w:rsidRPr="00883399">
        <w:rPr>
          <w:sz w:val="24"/>
        </w:rPr>
        <w:tab/>
        <w:t>is in a category specified in column 2 of an item in the table in subsection (4) according to the maximum daily quantity of gas combusted from the operation of the facility specified, for the item, in column 3 of the table; and</w:t>
      </w:r>
    </w:p>
    <w:p w14:paraId="24EF4A16" w14:textId="77777777" w:rsidR="00872C03" w:rsidRPr="00883399" w:rsidRDefault="00872C03" w:rsidP="00872C03">
      <w:pPr>
        <w:pStyle w:val="paragraphsub"/>
        <w:rPr>
          <w:sz w:val="24"/>
        </w:rPr>
      </w:pPr>
      <w:r w:rsidRPr="00883399">
        <w:rPr>
          <w:sz w:val="24"/>
        </w:rPr>
        <w:tab/>
        <w:t>(ii)</w:t>
      </w:r>
      <w:r w:rsidRPr="00883399">
        <w:rPr>
          <w:sz w:val="24"/>
        </w:rPr>
        <w:tab/>
        <w:t>complies with the transmitter and accuracy requirements specified, for the item, in column 4 of the table, if the requirements are applicable to the gas measuring equipment being used; or</w:t>
      </w:r>
    </w:p>
    <w:p w14:paraId="0AF9EB10" w14:textId="77777777" w:rsidR="00872C03" w:rsidRPr="00883399" w:rsidRDefault="00872C03" w:rsidP="00872C03">
      <w:pPr>
        <w:pStyle w:val="paragraph"/>
        <w:rPr>
          <w:sz w:val="24"/>
        </w:rPr>
      </w:pPr>
      <w:r w:rsidRPr="00883399">
        <w:rPr>
          <w:sz w:val="24"/>
        </w:rPr>
        <w:tab/>
        <w:t>(b)</w:t>
      </w:r>
      <w:r w:rsidRPr="00883399">
        <w:rPr>
          <w:sz w:val="24"/>
        </w:rPr>
        <w:tab/>
        <w:t>carried out at the point of sale of the gaseous fuels using measuring equipment that complies with paragraph (a).</w:t>
      </w:r>
    </w:p>
    <w:p w14:paraId="30BB79B7" w14:textId="77777777" w:rsidR="00872C03" w:rsidRPr="00883399" w:rsidRDefault="00872C03" w:rsidP="00872C03">
      <w:pPr>
        <w:pStyle w:val="subsection"/>
        <w:rPr>
          <w:sz w:val="24"/>
        </w:rPr>
      </w:pPr>
      <w:r w:rsidRPr="00883399">
        <w:rPr>
          <w:sz w:val="24"/>
        </w:rPr>
        <w:tab/>
        <w:t>(4)</w:t>
      </w:r>
      <w:r w:rsidRPr="00883399">
        <w:rPr>
          <w:sz w:val="24"/>
        </w:rPr>
        <w:tab/>
        <w:t>For subsection (3), the table is as follows:</w:t>
      </w:r>
    </w:p>
    <w:p w14:paraId="23391E19" w14:textId="77777777" w:rsidR="00872C03" w:rsidRPr="00883399" w:rsidRDefault="00872C03" w:rsidP="00872C03">
      <w:pPr>
        <w:pStyle w:val="Tabletext0"/>
        <w:rPr>
          <w:sz w:val="22"/>
        </w:rPr>
      </w:pPr>
    </w:p>
    <w:tbl>
      <w:tblPr>
        <w:tblW w:w="0" w:type="auto"/>
        <w:tblInd w:w="1068" w:type="dxa"/>
        <w:tblBorders>
          <w:top w:val="single" w:sz="4" w:space="0" w:color="auto"/>
          <w:bottom w:val="single" w:sz="2" w:space="0" w:color="auto"/>
          <w:insideH w:val="single" w:sz="4" w:space="0" w:color="auto"/>
        </w:tblBorders>
        <w:tblLook w:val="01E0" w:firstRow="1" w:lastRow="1" w:firstColumn="1" w:lastColumn="1" w:noHBand="0" w:noVBand="0"/>
      </w:tblPr>
      <w:tblGrid>
        <w:gridCol w:w="807"/>
        <w:gridCol w:w="1226"/>
        <w:gridCol w:w="2213"/>
        <w:gridCol w:w="2999"/>
      </w:tblGrid>
      <w:tr w:rsidR="00872C03" w:rsidRPr="00883399" w14:paraId="58DA2A7B" w14:textId="77777777" w:rsidTr="0031057E">
        <w:trPr>
          <w:tblHeader/>
        </w:trPr>
        <w:tc>
          <w:tcPr>
            <w:tcW w:w="818" w:type="dxa"/>
            <w:tcBorders>
              <w:top w:val="single" w:sz="12" w:space="0" w:color="auto"/>
              <w:bottom w:val="single" w:sz="12" w:space="0" w:color="auto"/>
            </w:tcBorders>
            <w:shd w:val="clear" w:color="auto" w:fill="auto"/>
          </w:tcPr>
          <w:p w14:paraId="61447CE5" w14:textId="77777777" w:rsidR="00872C03" w:rsidRPr="00883399" w:rsidRDefault="00872C03" w:rsidP="0031057E">
            <w:pPr>
              <w:pStyle w:val="TableHeading"/>
              <w:rPr>
                <w:sz w:val="22"/>
              </w:rPr>
            </w:pPr>
            <w:r w:rsidRPr="00883399">
              <w:rPr>
                <w:sz w:val="22"/>
              </w:rPr>
              <w:t>Item</w:t>
            </w:r>
          </w:p>
        </w:tc>
        <w:tc>
          <w:tcPr>
            <w:tcW w:w="1227" w:type="dxa"/>
            <w:tcBorders>
              <w:top w:val="single" w:sz="12" w:space="0" w:color="auto"/>
              <w:bottom w:val="single" w:sz="12" w:space="0" w:color="auto"/>
            </w:tcBorders>
            <w:shd w:val="clear" w:color="auto" w:fill="auto"/>
          </w:tcPr>
          <w:p w14:paraId="1B7858E7" w14:textId="77777777" w:rsidR="00872C03" w:rsidRPr="00883399" w:rsidRDefault="00872C03" w:rsidP="0031057E">
            <w:pPr>
              <w:pStyle w:val="TableHeading"/>
              <w:rPr>
                <w:sz w:val="22"/>
              </w:rPr>
            </w:pPr>
            <w:r w:rsidRPr="00883399">
              <w:rPr>
                <w:sz w:val="22"/>
              </w:rPr>
              <w:t>Gas measuring equipment category</w:t>
            </w:r>
          </w:p>
        </w:tc>
        <w:tc>
          <w:tcPr>
            <w:tcW w:w="2293" w:type="dxa"/>
            <w:tcBorders>
              <w:top w:val="single" w:sz="12" w:space="0" w:color="auto"/>
              <w:bottom w:val="single" w:sz="12" w:space="0" w:color="auto"/>
            </w:tcBorders>
            <w:shd w:val="clear" w:color="auto" w:fill="auto"/>
          </w:tcPr>
          <w:p w14:paraId="72F7451F" w14:textId="77777777" w:rsidR="00872C03" w:rsidRPr="00883399" w:rsidRDefault="00872C03" w:rsidP="0031057E">
            <w:pPr>
              <w:pStyle w:val="TableHeading"/>
              <w:rPr>
                <w:sz w:val="22"/>
              </w:rPr>
            </w:pPr>
            <w:r w:rsidRPr="00883399">
              <w:rPr>
                <w:sz w:val="22"/>
              </w:rPr>
              <w:t>Maximum daily quantity of gas combusted (GJ/day)</w:t>
            </w:r>
          </w:p>
        </w:tc>
        <w:tc>
          <w:tcPr>
            <w:tcW w:w="3123" w:type="dxa"/>
            <w:tcBorders>
              <w:top w:val="single" w:sz="12" w:space="0" w:color="auto"/>
              <w:bottom w:val="single" w:sz="12" w:space="0" w:color="auto"/>
            </w:tcBorders>
            <w:shd w:val="clear" w:color="auto" w:fill="auto"/>
          </w:tcPr>
          <w:p w14:paraId="1323A0BD" w14:textId="77777777" w:rsidR="00872C03" w:rsidRPr="00883399" w:rsidRDefault="00872C03" w:rsidP="0031057E">
            <w:pPr>
              <w:pStyle w:val="TableHeading"/>
              <w:rPr>
                <w:sz w:val="22"/>
              </w:rPr>
            </w:pPr>
            <w:r w:rsidRPr="00883399">
              <w:rPr>
                <w:sz w:val="22"/>
              </w:rPr>
              <w:t>Transmitter and accuracy requirements (% of range)</w:t>
            </w:r>
          </w:p>
        </w:tc>
      </w:tr>
      <w:tr w:rsidR="00872C03" w:rsidRPr="00883399" w14:paraId="23A748D2" w14:textId="77777777" w:rsidTr="0031057E">
        <w:tc>
          <w:tcPr>
            <w:tcW w:w="818" w:type="dxa"/>
            <w:tcBorders>
              <w:top w:val="single" w:sz="12" w:space="0" w:color="auto"/>
            </w:tcBorders>
            <w:shd w:val="clear" w:color="auto" w:fill="auto"/>
          </w:tcPr>
          <w:p w14:paraId="449C96E3" w14:textId="77777777" w:rsidR="00872C03" w:rsidRPr="00883399" w:rsidRDefault="00872C03" w:rsidP="0031057E">
            <w:pPr>
              <w:pStyle w:val="Tabletext0"/>
              <w:rPr>
                <w:sz w:val="22"/>
              </w:rPr>
            </w:pPr>
            <w:r w:rsidRPr="00883399">
              <w:rPr>
                <w:sz w:val="22"/>
              </w:rPr>
              <w:t>1</w:t>
            </w:r>
          </w:p>
        </w:tc>
        <w:tc>
          <w:tcPr>
            <w:tcW w:w="1227" w:type="dxa"/>
            <w:tcBorders>
              <w:top w:val="single" w:sz="12" w:space="0" w:color="auto"/>
            </w:tcBorders>
            <w:shd w:val="clear" w:color="auto" w:fill="auto"/>
          </w:tcPr>
          <w:p w14:paraId="46555303" w14:textId="77777777" w:rsidR="00872C03" w:rsidRPr="00883399" w:rsidRDefault="00872C03" w:rsidP="0031057E">
            <w:pPr>
              <w:pStyle w:val="Tabletext0"/>
              <w:rPr>
                <w:sz w:val="22"/>
              </w:rPr>
            </w:pPr>
            <w:r w:rsidRPr="00883399">
              <w:rPr>
                <w:sz w:val="22"/>
              </w:rPr>
              <w:t>1</w:t>
            </w:r>
          </w:p>
        </w:tc>
        <w:tc>
          <w:tcPr>
            <w:tcW w:w="2293" w:type="dxa"/>
            <w:tcBorders>
              <w:top w:val="single" w:sz="12" w:space="0" w:color="auto"/>
            </w:tcBorders>
            <w:shd w:val="clear" w:color="auto" w:fill="auto"/>
          </w:tcPr>
          <w:p w14:paraId="525E7E0B" w14:textId="77777777" w:rsidR="00872C03" w:rsidRPr="00883399" w:rsidRDefault="00872C03" w:rsidP="0031057E">
            <w:pPr>
              <w:pStyle w:val="Tabletext0"/>
              <w:rPr>
                <w:sz w:val="22"/>
              </w:rPr>
            </w:pPr>
            <w:r w:rsidRPr="00883399">
              <w:rPr>
                <w:sz w:val="22"/>
              </w:rPr>
              <w:t>0–1750</w:t>
            </w:r>
          </w:p>
        </w:tc>
        <w:tc>
          <w:tcPr>
            <w:tcW w:w="3123" w:type="dxa"/>
            <w:tcBorders>
              <w:top w:val="single" w:sz="12" w:space="0" w:color="auto"/>
            </w:tcBorders>
            <w:shd w:val="clear" w:color="auto" w:fill="auto"/>
          </w:tcPr>
          <w:p w14:paraId="0E1651AD" w14:textId="77777777" w:rsidR="00872C03" w:rsidRPr="00883399" w:rsidRDefault="00872C03" w:rsidP="0031057E">
            <w:pPr>
              <w:pStyle w:val="Tabletext0"/>
              <w:rPr>
                <w:sz w:val="22"/>
              </w:rPr>
            </w:pPr>
            <w:r w:rsidRPr="00883399">
              <w:rPr>
                <w:sz w:val="22"/>
              </w:rPr>
              <w:t>Pressure &lt;±0.25%</w:t>
            </w:r>
          </w:p>
          <w:p w14:paraId="09481FFC" w14:textId="77777777" w:rsidR="00872C03" w:rsidRPr="00883399" w:rsidRDefault="00872C03" w:rsidP="0031057E">
            <w:pPr>
              <w:pStyle w:val="Tabletext0"/>
              <w:rPr>
                <w:sz w:val="22"/>
              </w:rPr>
            </w:pPr>
            <w:r w:rsidRPr="00883399">
              <w:rPr>
                <w:sz w:val="22"/>
              </w:rPr>
              <w:t>Diff. pressure &lt;±0.25%</w:t>
            </w:r>
          </w:p>
          <w:p w14:paraId="2EFFBAA0" w14:textId="77777777" w:rsidR="00872C03" w:rsidRPr="00883399" w:rsidRDefault="00872C03" w:rsidP="0031057E">
            <w:pPr>
              <w:pStyle w:val="Tabletext0"/>
              <w:rPr>
                <w:sz w:val="22"/>
              </w:rPr>
            </w:pPr>
            <w:r w:rsidRPr="00883399">
              <w:rPr>
                <w:sz w:val="22"/>
              </w:rPr>
              <w:t xml:space="preserve">Temperature &lt;±0.50% </w:t>
            </w:r>
          </w:p>
        </w:tc>
      </w:tr>
      <w:tr w:rsidR="00872C03" w:rsidRPr="00883399" w14:paraId="475DD45D" w14:textId="77777777" w:rsidTr="0031057E">
        <w:tc>
          <w:tcPr>
            <w:tcW w:w="818" w:type="dxa"/>
            <w:shd w:val="clear" w:color="auto" w:fill="auto"/>
          </w:tcPr>
          <w:p w14:paraId="63A158B5" w14:textId="77777777" w:rsidR="00872C03" w:rsidRPr="00883399" w:rsidRDefault="00872C03" w:rsidP="0031057E">
            <w:pPr>
              <w:pStyle w:val="Tabletext0"/>
              <w:rPr>
                <w:sz w:val="22"/>
              </w:rPr>
            </w:pPr>
            <w:r w:rsidRPr="00883399">
              <w:rPr>
                <w:sz w:val="22"/>
              </w:rPr>
              <w:t>2</w:t>
            </w:r>
          </w:p>
        </w:tc>
        <w:tc>
          <w:tcPr>
            <w:tcW w:w="1227" w:type="dxa"/>
            <w:shd w:val="clear" w:color="auto" w:fill="auto"/>
          </w:tcPr>
          <w:p w14:paraId="3FD50F57" w14:textId="77777777" w:rsidR="00872C03" w:rsidRPr="00883399" w:rsidRDefault="00872C03" w:rsidP="0031057E">
            <w:pPr>
              <w:pStyle w:val="Tabletext0"/>
              <w:rPr>
                <w:sz w:val="22"/>
              </w:rPr>
            </w:pPr>
            <w:r w:rsidRPr="00883399">
              <w:rPr>
                <w:sz w:val="22"/>
              </w:rPr>
              <w:t>2</w:t>
            </w:r>
          </w:p>
        </w:tc>
        <w:tc>
          <w:tcPr>
            <w:tcW w:w="2293" w:type="dxa"/>
            <w:shd w:val="clear" w:color="auto" w:fill="auto"/>
          </w:tcPr>
          <w:p w14:paraId="6BBA528C" w14:textId="77777777" w:rsidR="00872C03" w:rsidRPr="00883399" w:rsidRDefault="00872C03" w:rsidP="0031057E">
            <w:pPr>
              <w:pStyle w:val="Tabletext0"/>
              <w:rPr>
                <w:sz w:val="22"/>
              </w:rPr>
            </w:pPr>
            <w:r w:rsidRPr="00883399">
              <w:rPr>
                <w:sz w:val="22"/>
              </w:rPr>
              <w:t>1751–3500</w:t>
            </w:r>
          </w:p>
        </w:tc>
        <w:tc>
          <w:tcPr>
            <w:tcW w:w="3123" w:type="dxa"/>
            <w:shd w:val="clear" w:color="auto" w:fill="auto"/>
          </w:tcPr>
          <w:p w14:paraId="65FDABCF" w14:textId="77777777" w:rsidR="00872C03" w:rsidRPr="00883399" w:rsidRDefault="00872C03" w:rsidP="0031057E">
            <w:pPr>
              <w:pStyle w:val="Tabletext0"/>
              <w:rPr>
                <w:sz w:val="22"/>
              </w:rPr>
            </w:pPr>
            <w:r w:rsidRPr="00883399">
              <w:rPr>
                <w:sz w:val="22"/>
              </w:rPr>
              <w:t>Pressure &lt;±0.25%</w:t>
            </w:r>
          </w:p>
          <w:p w14:paraId="4FB51437" w14:textId="77777777" w:rsidR="00872C03" w:rsidRPr="00883399" w:rsidRDefault="00872C03" w:rsidP="0031057E">
            <w:pPr>
              <w:pStyle w:val="Tabletext0"/>
              <w:rPr>
                <w:sz w:val="22"/>
              </w:rPr>
            </w:pPr>
            <w:r w:rsidRPr="00883399">
              <w:rPr>
                <w:sz w:val="22"/>
              </w:rPr>
              <w:t>Diff. pressure &lt;±0.25%</w:t>
            </w:r>
          </w:p>
          <w:p w14:paraId="70D57106" w14:textId="77777777" w:rsidR="00872C03" w:rsidRPr="00883399" w:rsidRDefault="00872C03" w:rsidP="0031057E">
            <w:pPr>
              <w:pStyle w:val="Tabletext0"/>
              <w:rPr>
                <w:sz w:val="22"/>
              </w:rPr>
            </w:pPr>
            <w:r w:rsidRPr="00883399">
              <w:rPr>
                <w:sz w:val="22"/>
              </w:rPr>
              <w:t>Temperature &lt;±0.50%</w:t>
            </w:r>
          </w:p>
        </w:tc>
      </w:tr>
      <w:tr w:rsidR="00872C03" w:rsidRPr="00883399" w14:paraId="7BFA3215" w14:textId="77777777" w:rsidTr="0031057E">
        <w:tc>
          <w:tcPr>
            <w:tcW w:w="818" w:type="dxa"/>
            <w:tcBorders>
              <w:bottom w:val="single" w:sz="4" w:space="0" w:color="auto"/>
            </w:tcBorders>
            <w:shd w:val="clear" w:color="auto" w:fill="auto"/>
          </w:tcPr>
          <w:p w14:paraId="75A8BDE3" w14:textId="77777777" w:rsidR="00872C03" w:rsidRPr="00883399" w:rsidRDefault="00872C03" w:rsidP="0031057E">
            <w:pPr>
              <w:pStyle w:val="Tabletext0"/>
              <w:rPr>
                <w:sz w:val="22"/>
              </w:rPr>
            </w:pPr>
            <w:r w:rsidRPr="00883399">
              <w:rPr>
                <w:sz w:val="22"/>
              </w:rPr>
              <w:t>3</w:t>
            </w:r>
          </w:p>
        </w:tc>
        <w:tc>
          <w:tcPr>
            <w:tcW w:w="1227" w:type="dxa"/>
            <w:tcBorders>
              <w:bottom w:val="single" w:sz="4" w:space="0" w:color="auto"/>
            </w:tcBorders>
            <w:shd w:val="clear" w:color="auto" w:fill="auto"/>
          </w:tcPr>
          <w:p w14:paraId="65899FF4" w14:textId="77777777" w:rsidR="00872C03" w:rsidRPr="00883399" w:rsidRDefault="00872C03" w:rsidP="0031057E">
            <w:pPr>
              <w:pStyle w:val="Tabletext0"/>
              <w:rPr>
                <w:sz w:val="22"/>
              </w:rPr>
            </w:pPr>
            <w:r w:rsidRPr="00883399">
              <w:rPr>
                <w:sz w:val="22"/>
              </w:rPr>
              <w:t>3</w:t>
            </w:r>
          </w:p>
        </w:tc>
        <w:tc>
          <w:tcPr>
            <w:tcW w:w="2293" w:type="dxa"/>
            <w:tcBorders>
              <w:bottom w:val="single" w:sz="4" w:space="0" w:color="auto"/>
            </w:tcBorders>
            <w:shd w:val="clear" w:color="auto" w:fill="auto"/>
          </w:tcPr>
          <w:p w14:paraId="6BCA4275" w14:textId="77777777" w:rsidR="00872C03" w:rsidRPr="00883399" w:rsidRDefault="00872C03" w:rsidP="0031057E">
            <w:pPr>
              <w:pStyle w:val="Tabletext0"/>
              <w:rPr>
                <w:sz w:val="22"/>
              </w:rPr>
            </w:pPr>
            <w:r w:rsidRPr="00883399">
              <w:rPr>
                <w:sz w:val="22"/>
              </w:rPr>
              <w:t>3501–17500</w:t>
            </w:r>
          </w:p>
        </w:tc>
        <w:tc>
          <w:tcPr>
            <w:tcW w:w="3123" w:type="dxa"/>
            <w:tcBorders>
              <w:bottom w:val="single" w:sz="4" w:space="0" w:color="auto"/>
            </w:tcBorders>
            <w:shd w:val="clear" w:color="auto" w:fill="auto"/>
          </w:tcPr>
          <w:p w14:paraId="49647525" w14:textId="77777777" w:rsidR="00872C03" w:rsidRPr="00883399" w:rsidRDefault="00872C03" w:rsidP="0031057E">
            <w:pPr>
              <w:pStyle w:val="Tabletext0"/>
              <w:rPr>
                <w:sz w:val="22"/>
              </w:rPr>
            </w:pPr>
            <w:r w:rsidRPr="00883399">
              <w:rPr>
                <w:sz w:val="22"/>
              </w:rPr>
              <w:t>Smart transmitters:</w:t>
            </w:r>
          </w:p>
          <w:p w14:paraId="2DEEE2FC" w14:textId="77777777" w:rsidR="00872C03" w:rsidRPr="00883399" w:rsidRDefault="00872C03" w:rsidP="0031057E">
            <w:pPr>
              <w:pStyle w:val="Tabletext0"/>
              <w:rPr>
                <w:sz w:val="22"/>
              </w:rPr>
            </w:pPr>
            <w:r w:rsidRPr="00883399">
              <w:rPr>
                <w:sz w:val="22"/>
              </w:rPr>
              <w:t>Pressure &lt;±0.10%</w:t>
            </w:r>
          </w:p>
          <w:p w14:paraId="4086AF85" w14:textId="77777777" w:rsidR="00872C03" w:rsidRPr="00883399" w:rsidRDefault="00872C03" w:rsidP="0031057E">
            <w:pPr>
              <w:pStyle w:val="Tabletext0"/>
              <w:rPr>
                <w:sz w:val="22"/>
              </w:rPr>
            </w:pPr>
            <w:r w:rsidRPr="00883399">
              <w:rPr>
                <w:sz w:val="22"/>
              </w:rPr>
              <w:t>Diff. pressure &lt;±0.10%</w:t>
            </w:r>
          </w:p>
          <w:p w14:paraId="0A085038" w14:textId="77777777" w:rsidR="00872C03" w:rsidRPr="00883399" w:rsidRDefault="00872C03" w:rsidP="0031057E">
            <w:pPr>
              <w:pStyle w:val="Tabletext0"/>
              <w:rPr>
                <w:sz w:val="22"/>
              </w:rPr>
            </w:pPr>
            <w:r w:rsidRPr="00883399">
              <w:rPr>
                <w:sz w:val="22"/>
              </w:rPr>
              <w:t>Temperature &lt;±0.25%</w:t>
            </w:r>
          </w:p>
        </w:tc>
      </w:tr>
      <w:tr w:rsidR="00872C03" w:rsidRPr="00883399" w14:paraId="42C799E6" w14:textId="77777777" w:rsidTr="0031057E">
        <w:tc>
          <w:tcPr>
            <w:tcW w:w="818" w:type="dxa"/>
            <w:tcBorders>
              <w:bottom w:val="single" w:sz="12" w:space="0" w:color="auto"/>
            </w:tcBorders>
            <w:shd w:val="clear" w:color="auto" w:fill="auto"/>
          </w:tcPr>
          <w:p w14:paraId="4860433E" w14:textId="77777777" w:rsidR="00872C03" w:rsidRPr="00883399" w:rsidRDefault="00872C03" w:rsidP="0031057E">
            <w:pPr>
              <w:pStyle w:val="Tabletext0"/>
              <w:rPr>
                <w:sz w:val="22"/>
              </w:rPr>
            </w:pPr>
            <w:r w:rsidRPr="00883399">
              <w:rPr>
                <w:sz w:val="22"/>
              </w:rPr>
              <w:t>4</w:t>
            </w:r>
          </w:p>
        </w:tc>
        <w:tc>
          <w:tcPr>
            <w:tcW w:w="1227" w:type="dxa"/>
            <w:tcBorders>
              <w:bottom w:val="single" w:sz="12" w:space="0" w:color="auto"/>
            </w:tcBorders>
            <w:shd w:val="clear" w:color="auto" w:fill="auto"/>
          </w:tcPr>
          <w:p w14:paraId="300085DB" w14:textId="77777777" w:rsidR="00872C03" w:rsidRPr="00883399" w:rsidRDefault="00872C03" w:rsidP="0031057E">
            <w:pPr>
              <w:pStyle w:val="Tabletext0"/>
              <w:rPr>
                <w:sz w:val="22"/>
              </w:rPr>
            </w:pPr>
            <w:r w:rsidRPr="00883399">
              <w:rPr>
                <w:sz w:val="22"/>
              </w:rPr>
              <w:t>4</w:t>
            </w:r>
          </w:p>
        </w:tc>
        <w:tc>
          <w:tcPr>
            <w:tcW w:w="2293" w:type="dxa"/>
            <w:tcBorders>
              <w:bottom w:val="single" w:sz="12" w:space="0" w:color="auto"/>
            </w:tcBorders>
            <w:shd w:val="clear" w:color="auto" w:fill="auto"/>
          </w:tcPr>
          <w:p w14:paraId="1F1BDE5B" w14:textId="77777777" w:rsidR="00872C03" w:rsidRPr="00883399" w:rsidRDefault="00872C03" w:rsidP="0031057E">
            <w:pPr>
              <w:pStyle w:val="Tabletext0"/>
              <w:rPr>
                <w:sz w:val="22"/>
              </w:rPr>
            </w:pPr>
            <w:r w:rsidRPr="00883399">
              <w:rPr>
                <w:sz w:val="22"/>
              </w:rPr>
              <w:t>17501 or more</w:t>
            </w:r>
          </w:p>
        </w:tc>
        <w:tc>
          <w:tcPr>
            <w:tcW w:w="3123" w:type="dxa"/>
            <w:tcBorders>
              <w:bottom w:val="single" w:sz="12" w:space="0" w:color="auto"/>
            </w:tcBorders>
            <w:shd w:val="clear" w:color="auto" w:fill="auto"/>
          </w:tcPr>
          <w:p w14:paraId="0B2DFA97" w14:textId="77777777" w:rsidR="00872C03" w:rsidRPr="00883399" w:rsidRDefault="00872C03" w:rsidP="0031057E">
            <w:pPr>
              <w:pStyle w:val="Tabletext0"/>
              <w:rPr>
                <w:sz w:val="22"/>
              </w:rPr>
            </w:pPr>
            <w:r w:rsidRPr="00883399">
              <w:rPr>
                <w:sz w:val="22"/>
              </w:rPr>
              <w:t xml:space="preserve">Smart transmitters: </w:t>
            </w:r>
          </w:p>
          <w:p w14:paraId="7DF328CD" w14:textId="77777777" w:rsidR="00872C03" w:rsidRPr="00883399" w:rsidRDefault="00872C03" w:rsidP="0031057E">
            <w:pPr>
              <w:pStyle w:val="Tabletext0"/>
              <w:rPr>
                <w:sz w:val="22"/>
              </w:rPr>
            </w:pPr>
            <w:r w:rsidRPr="00883399">
              <w:rPr>
                <w:sz w:val="22"/>
              </w:rPr>
              <w:t>Pressure &lt;±0.10%</w:t>
            </w:r>
          </w:p>
          <w:p w14:paraId="74713848" w14:textId="77777777" w:rsidR="00872C03" w:rsidRPr="00883399" w:rsidRDefault="00872C03" w:rsidP="0031057E">
            <w:pPr>
              <w:pStyle w:val="Tabletext0"/>
              <w:rPr>
                <w:sz w:val="22"/>
              </w:rPr>
            </w:pPr>
            <w:r w:rsidRPr="00883399">
              <w:rPr>
                <w:sz w:val="22"/>
              </w:rPr>
              <w:t>Diff. pressure &lt;±0.10%</w:t>
            </w:r>
          </w:p>
          <w:p w14:paraId="36890D14" w14:textId="77777777" w:rsidR="00872C03" w:rsidRPr="00883399" w:rsidRDefault="00872C03" w:rsidP="0031057E">
            <w:pPr>
              <w:pStyle w:val="Tabletext0"/>
              <w:rPr>
                <w:sz w:val="22"/>
              </w:rPr>
            </w:pPr>
            <w:r w:rsidRPr="00883399">
              <w:rPr>
                <w:sz w:val="22"/>
              </w:rPr>
              <w:t>Temperature &lt;±0.25%</w:t>
            </w:r>
          </w:p>
        </w:tc>
      </w:tr>
    </w:tbl>
    <w:p w14:paraId="7E67DA07" w14:textId="77777777" w:rsidR="00872C03" w:rsidRPr="00883399" w:rsidRDefault="00872C03" w:rsidP="00872C03">
      <w:pPr>
        <w:pStyle w:val="subsection"/>
        <w:rPr>
          <w:sz w:val="24"/>
        </w:rPr>
      </w:pPr>
      <w:r w:rsidRPr="00883399">
        <w:rPr>
          <w:sz w:val="24"/>
        </w:rPr>
        <w:tab/>
        <w:t>(5)</w:t>
      </w:r>
      <w:r w:rsidRPr="00883399">
        <w:rPr>
          <w:sz w:val="24"/>
        </w:rPr>
        <w:tab/>
        <w:t>Paragraph (3)(b) only applies if:</w:t>
      </w:r>
    </w:p>
    <w:p w14:paraId="712437B3" w14:textId="77777777" w:rsidR="00872C03" w:rsidRPr="00883399" w:rsidRDefault="00872C03" w:rsidP="00872C03">
      <w:pPr>
        <w:pStyle w:val="paragraph"/>
        <w:rPr>
          <w:sz w:val="24"/>
        </w:rPr>
      </w:pPr>
      <w:r w:rsidRPr="00883399">
        <w:rPr>
          <w:sz w:val="24"/>
        </w:rPr>
        <w:tab/>
        <w:t>(a)</w:t>
      </w:r>
      <w:r w:rsidRPr="00883399">
        <w:rPr>
          <w:sz w:val="24"/>
        </w:rPr>
        <w:tab/>
        <w:t>the change in the stockpile of the fuel for the facility for the year is less than 1% of total consumption on average for the facility during the year; and</w:t>
      </w:r>
    </w:p>
    <w:p w14:paraId="1579C34B" w14:textId="77777777" w:rsidR="00872C03" w:rsidRPr="00883399" w:rsidRDefault="00872C03" w:rsidP="00872C03">
      <w:pPr>
        <w:pStyle w:val="paragraph"/>
        <w:rPr>
          <w:sz w:val="24"/>
        </w:rPr>
      </w:pPr>
      <w:r w:rsidRPr="00883399">
        <w:rPr>
          <w:sz w:val="24"/>
        </w:rPr>
        <w:tab/>
        <w:t>(b)</w:t>
      </w:r>
      <w:r w:rsidRPr="00883399">
        <w:rPr>
          <w:sz w:val="24"/>
        </w:rPr>
        <w:tab/>
        <w:t>the stockpile of the fuel for the facility at the beginning of the year is less than 5% of total consumption of the fuel from the operation of the facility during the year.</w:t>
      </w:r>
    </w:p>
    <w:p w14:paraId="7B45D20F" w14:textId="33A9ED61" w:rsidR="00872C03" w:rsidRPr="00883399" w:rsidRDefault="00872C03" w:rsidP="00872C03">
      <w:pPr>
        <w:pStyle w:val="ActHead5"/>
        <w:rPr>
          <w:sz w:val="28"/>
        </w:rPr>
      </w:pPr>
      <w:bookmarkStart w:id="257" w:name="_Toc423516783"/>
      <w:bookmarkStart w:id="258" w:name="_Toc495652699"/>
      <w:r w:rsidRPr="00883399">
        <w:rPr>
          <w:rStyle w:val="CharSectno"/>
          <w:sz w:val="28"/>
        </w:rPr>
        <w:lastRenderedPageBreak/>
        <w:t>2.32</w:t>
      </w:r>
      <w:r w:rsidRPr="00883399">
        <w:rPr>
          <w:sz w:val="28"/>
        </w:rPr>
        <w:t xml:space="preserve">  Volumetric measurement—all natural gases</w:t>
      </w:r>
      <w:bookmarkEnd w:id="257"/>
      <w:bookmarkEnd w:id="258"/>
    </w:p>
    <w:p w14:paraId="40988408" w14:textId="77777777" w:rsidR="00872C03" w:rsidRPr="00883399" w:rsidRDefault="00872C03" w:rsidP="00872C03">
      <w:pPr>
        <w:pStyle w:val="subsection"/>
        <w:rPr>
          <w:sz w:val="24"/>
        </w:rPr>
      </w:pPr>
      <w:r w:rsidRPr="00883399">
        <w:rPr>
          <w:sz w:val="24"/>
        </w:rPr>
        <w:tab/>
        <w:t>(1)</w:t>
      </w:r>
      <w:r w:rsidRPr="00883399">
        <w:rPr>
          <w:sz w:val="24"/>
        </w:rPr>
        <w:tab/>
        <w:t>For subparagraph 2.31(2)(a)(i) and (ii), volumetric measurement must be calculated at standard conditions and expressed in cubic metres.</w:t>
      </w:r>
    </w:p>
    <w:p w14:paraId="360E070A" w14:textId="77777777" w:rsidR="00872C03" w:rsidRPr="00883399" w:rsidRDefault="00872C03" w:rsidP="00872C03">
      <w:pPr>
        <w:pStyle w:val="subsection"/>
        <w:rPr>
          <w:sz w:val="24"/>
        </w:rPr>
      </w:pPr>
      <w:r w:rsidRPr="00883399">
        <w:rPr>
          <w:sz w:val="24"/>
        </w:rPr>
        <w:tab/>
        <w:t>(2)</w:t>
      </w:r>
      <w:r w:rsidRPr="00883399">
        <w:rPr>
          <w:sz w:val="24"/>
        </w:rPr>
        <w:tab/>
        <w:t>The volumetric measurement must be calculated using a flow computer that measures and analyses the following at the delivery location of the gaseous fuel:</w:t>
      </w:r>
    </w:p>
    <w:p w14:paraId="5330E632" w14:textId="77777777" w:rsidR="00872C03" w:rsidRPr="00883399" w:rsidRDefault="00872C03" w:rsidP="00872C03">
      <w:pPr>
        <w:pStyle w:val="paragraph"/>
        <w:rPr>
          <w:sz w:val="24"/>
        </w:rPr>
      </w:pPr>
      <w:r w:rsidRPr="00883399">
        <w:rPr>
          <w:sz w:val="24"/>
        </w:rPr>
        <w:tab/>
        <w:t>(a)</w:t>
      </w:r>
      <w:r w:rsidRPr="00883399">
        <w:rPr>
          <w:sz w:val="24"/>
        </w:rPr>
        <w:tab/>
        <w:t>flow;</w:t>
      </w:r>
    </w:p>
    <w:p w14:paraId="15FBE4A8" w14:textId="77777777" w:rsidR="00872C03" w:rsidRPr="00883399" w:rsidRDefault="00872C03" w:rsidP="00872C03">
      <w:pPr>
        <w:pStyle w:val="paragraph"/>
        <w:rPr>
          <w:sz w:val="24"/>
        </w:rPr>
      </w:pPr>
      <w:r w:rsidRPr="00883399">
        <w:rPr>
          <w:sz w:val="24"/>
        </w:rPr>
        <w:tab/>
        <w:t>(b)</w:t>
      </w:r>
      <w:r w:rsidRPr="00883399">
        <w:rPr>
          <w:sz w:val="24"/>
        </w:rPr>
        <w:tab/>
        <w:t>relative density;</w:t>
      </w:r>
    </w:p>
    <w:p w14:paraId="7B7FC85C" w14:textId="77777777" w:rsidR="00872C03" w:rsidRPr="00883399" w:rsidRDefault="00872C03" w:rsidP="00872C03">
      <w:pPr>
        <w:pStyle w:val="paragraph"/>
        <w:rPr>
          <w:sz w:val="24"/>
        </w:rPr>
      </w:pPr>
      <w:r w:rsidRPr="00883399">
        <w:rPr>
          <w:sz w:val="24"/>
        </w:rPr>
        <w:tab/>
        <w:t>(c)</w:t>
      </w:r>
      <w:r w:rsidRPr="00883399">
        <w:rPr>
          <w:sz w:val="24"/>
        </w:rPr>
        <w:tab/>
        <w:t>gas composition.</w:t>
      </w:r>
    </w:p>
    <w:p w14:paraId="70366EA0" w14:textId="77777777" w:rsidR="00872C03" w:rsidRPr="00883399" w:rsidRDefault="00872C03" w:rsidP="00872C03">
      <w:pPr>
        <w:pStyle w:val="subsection"/>
        <w:rPr>
          <w:sz w:val="24"/>
        </w:rPr>
      </w:pPr>
      <w:r w:rsidRPr="00883399">
        <w:rPr>
          <w:sz w:val="24"/>
        </w:rPr>
        <w:tab/>
        <w:t>(3)</w:t>
      </w:r>
      <w:r w:rsidRPr="00883399">
        <w:rPr>
          <w:sz w:val="24"/>
        </w:rPr>
        <w:tab/>
        <w:t>The volumetric flow rate must be:</w:t>
      </w:r>
    </w:p>
    <w:p w14:paraId="733EDE0B" w14:textId="77777777" w:rsidR="00872C03" w:rsidRPr="00883399" w:rsidRDefault="00872C03" w:rsidP="00872C03">
      <w:pPr>
        <w:pStyle w:val="paragraph"/>
        <w:rPr>
          <w:sz w:val="24"/>
        </w:rPr>
      </w:pPr>
      <w:r w:rsidRPr="00883399">
        <w:rPr>
          <w:sz w:val="24"/>
        </w:rPr>
        <w:tab/>
        <w:t>(a)</w:t>
      </w:r>
      <w:r w:rsidRPr="00883399">
        <w:rPr>
          <w:sz w:val="24"/>
        </w:rPr>
        <w:tab/>
        <w:t>continuously recorded; and</w:t>
      </w:r>
    </w:p>
    <w:p w14:paraId="4DD937D1" w14:textId="77777777" w:rsidR="00872C03" w:rsidRPr="00883399" w:rsidRDefault="00872C03" w:rsidP="00872C03">
      <w:pPr>
        <w:pStyle w:val="paragraph"/>
        <w:rPr>
          <w:sz w:val="24"/>
        </w:rPr>
      </w:pPr>
      <w:r w:rsidRPr="00883399">
        <w:rPr>
          <w:sz w:val="24"/>
        </w:rPr>
        <w:tab/>
        <w:t>(b)</w:t>
      </w:r>
      <w:r w:rsidRPr="00883399">
        <w:rPr>
          <w:sz w:val="24"/>
        </w:rPr>
        <w:tab/>
        <w:t>continuously integrated using an integration device.</w:t>
      </w:r>
    </w:p>
    <w:p w14:paraId="213F3574" w14:textId="77777777" w:rsidR="00872C03" w:rsidRPr="00883399" w:rsidRDefault="00872C03" w:rsidP="00872C03">
      <w:pPr>
        <w:pStyle w:val="subsection"/>
        <w:rPr>
          <w:sz w:val="24"/>
        </w:rPr>
      </w:pPr>
      <w:r w:rsidRPr="00883399">
        <w:rPr>
          <w:sz w:val="24"/>
        </w:rPr>
        <w:tab/>
        <w:t>(3A)</w:t>
      </w:r>
      <w:r w:rsidRPr="00883399">
        <w:rPr>
          <w:sz w:val="24"/>
        </w:rPr>
        <w:tab/>
        <w:t>The integration device must be isolated from the flow computer in such a way that, if the computer fails, the integration device will retain:</w:t>
      </w:r>
    </w:p>
    <w:p w14:paraId="10F26588" w14:textId="77777777" w:rsidR="00872C03" w:rsidRPr="00883399" w:rsidRDefault="00872C03" w:rsidP="00872C03">
      <w:pPr>
        <w:pStyle w:val="paragraph"/>
        <w:rPr>
          <w:sz w:val="24"/>
        </w:rPr>
      </w:pPr>
      <w:r w:rsidRPr="00883399">
        <w:rPr>
          <w:sz w:val="24"/>
        </w:rPr>
        <w:tab/>
        <w:t>(a)</w:t>
      </w:r>
      <w:r w:rsidRPr="00883399">
        <w:rPr>
          <w:sz w:val="24"/>
        </w:rPr>
        <w:tab/>
        <w:t>the last reading that was on the computer immediately before the failure; or</w:t>
      </w:r>
    </w:p>
    <w:p w14:paraId="3E2DC356" w14:textId="77777777" w:rsidR="00872C03" w:rsidRPr="00883399" w:rsidRDefault="00872C03" w:rsidP="00872C03">
      <w:pPr>
        <w:pStyle w:val="paragraph"/>
        <w:rPr>
          <w:sz w:val="24"/>
        </w:rPr>
      </w:pPr>
      <w:r w:rsidRPr="00883399">
        <w:rPr>
          <w:sz w:val="24"/>
        </w:rPr>
        <w:tab/>
        <w:t>(b)</w:t>
      </w:r>
      <w:r w:rsidRPr="00883399">
        <w:rPr>
          <w:sz w:val="24"/>
        </w:rPr>
        <w:tab/>
        <w:t>the previously stored information that was on the computer immediately before the failure.</w:t>
      </w:r>
    </w:p>
    <w:p w14:paraId="7CAB852B" w14:textId="77777777" w:rsidR="00872C03" w:rsidRPr="00883399" w:rsidRDefault="00872C03" w:rsidP="00872C03">
      <w:pPr>
        <w:pStyle w:val="subsection"/>
        <w:rPr>
          <w:sz w:val="24"/>
        </w:rPr>
      </w:pPr>
      <w:r w:rsidRPr="00883399">
        <w:rPr>
          <w:sz w:val="24"/>
        </w:rPr>
        <w:tab/>
        <w:t>(4)</w:t>
      </w:r>
      <w:r w:rsidRPr="00883399">
        <w:rPr>
          <w:sz w:val="24"/>
        </w:rPr>
        <w:tab/>
        <w:t>All measurements, calculations and procedures used in determining volume (except for any correction for deviation from the ideal gas law) must be made in accordance with:</w:t>
      </w:r>
    </w:p>
    <w:p w14:paraId="5B20B509" w14:textId="77777777" w:rsidR="00872C03" w:rsidRPr="00883399" w:rsidRDefault="00872C03" w:rsidP="00872C03">
      <w:pPr>
        <w:pStyle w:val="paragraph"/>
        <w:rPr>
          <w:sz w:val="24"/>
        </w:rPr>
      </w:pPr>
      <w:r w:rsidRPr="00883399">
        <w:rPr>
          <w:sz w:val="24"/>
        </w:rPr>
        <w:tab/>
        <w:t>(a)</w:t>
      </w:r>
      <w:r w:rsidRPr="00883399">
        <w:rPr>
          <w:sz w:val="24"/>
        </w:rPr>
        <w:tab/>
        <w:t>the instructions mentioned in subsection (5); or</w:t>
      </w:r>
    </w:p>
    <w:p w14:paraId="10CE0233" w14:textId="77777777" w:rsidR="00872C03" w:rsidRPr="00883399" w:rsidRDefault="00872C03" w:rsidP="00872C03">
      <w:pPr>
        <w:pStyle w:val="paragraph"/>
        <w:rPr>
          <w:sz w:val="24"/>
        </w:rPr>
      </w:pPr>
      <w:r w:rsidRPr="00883399">
        <w:rPr>
          <w:sz w:val="24"/>
        </w:rPr>
        <w:tab/>
        <w:t>(b)</w:t>
      </w:r>
      <w:r w:rsidRPr="00883399">
        <w:rPr>
          <w:sz w:val="24"/>
        </w:rPr>
        <w:tab/>
        <w:t>an appropriate internationally recognised standard or code.</w:t>
      </w:r>
    </w:p>
    <w:p w14:paraId="4A370F88" w14:textId="77777777" w:rsidR="00872C03" w:rsidRPr="00883399" w:rsidRDefault="00872C03" w:rsidP="00872C03">
      <w:pPr>
        <w:pStyle w:val="notetext"/>
        <w:rPr>
          <w:sz w:val="20"/>
        </w:rPr>
      </w:pPr>
      <w:r w:rsidRPr="00883399">
        <w:rPr>
          <w:sz w:val="20"/>
        </w:rPr>
        <w:t>Note:</w:t>
      </w:r>
      <w:r w:rsidRPr="00883399">
        <w:rPr>
          <w:sz w:val="20"/>
        </w:rPr>
        <w:tab/>
        <w:t>An example of an internationally recognised equivalent standard is New Zealand standard NZS 5259:2004.</w:t>
      </w:r>
    </w:p>
    <w:p w14:paraId="3D5BA64E" w14:textId="77777777" w:rsidR="00872C03" w:rsidRPr="00883399" w:rsidRDefault="00872C03" w:rsidP="00872C03">
      <w:pPr>
        <w:pStyle w:val="subsection"/>
        <w:rPr>
          <w:sz w:val="24"/>
        </w:rPr>
      </w:pPr>
      <w:r w:rsidRPr="00883399">
        <w:rPr>
          <w:sz w:val="24"/>
        </w:rPr>
        <w:tab/>
        <w:t>(5)</w:t>
      </w:r>
      <w:r w:rsidRPr="00883399">
        <w:rPr>
          <w:sz w:val="24"/>
        </w:rPr>
        <w:tab/>
        <w:t>For paragraph (4)(a), the instructions are those mentioned in:</w:t>
      </w:r>
    </w:p>
    <w:p w14:paraId="0007C645" w14:textId="77777777" w:rsidR="00872C03" w:rsidRPr="00883399" w:rsidRDefault="00872C03" w:rsidP="00872C03">
      <w:pPr>
        <w:pStyle w:val="paragraph"/>
        <w:rPr>
          <w:sz w:val="24"/>
        </w:rPr>
      </w:pPr>
      <w:r w:rsidRPr="00883399">
        <w:rPr>
          <w:sz w:val="24"/>
        </w:rPr>
        <w:tab/>
        <w:t>(a)</w:t>
      </w:r>
      <w:r w:rsidRPr="00883399">
        <w:rPr>
          <w:sz w:val="24"/>
        </w:rPr>
        <w:tab/>
        <w:t>for orifice plate measuring systems:</w:t>
      </w:r>
    </w:p>
    <w:p w14:paraId="454E06EE" w14:textId="77777777" w:rsidR="00872C03" w:rsidRPr="00883399" w:rsidRDefault="00872C03" w:rsidP="00872C03">
      <w:pPr>
        <w:pStyle w:val="paragraphsub"/>
        <w:rPr>
          <w:sz w:val="24"/>
        </w:rPr>
      </w:pPr>
      <w:r w:rsidRPr="00883399">
        <w:rPr>
          <w:sz w:val="24"/>
        </w:rPr>
        <w:tab/>
        <w:t>(i)</w:t>
      </w:r>
      <w:r w:rsidRPr="00883399">
        <w:rPr>
          <w:sz w:val="24"/>
        </w:rPr>
        <w:tab/>
        <w:t xml:space="preserve">the publication entitled </w:t>
      </w:r>
      <w:r w:rsidRPr="00883399">
        <w:rPr>
          <w:i/>
          <w:sz w:val="24"/>
        </w:rPr>
        <w:t>AGA Report No. 3</w:t>
      </w:r>
      <w:r w:rsidRPr="00883399">
        <w:rPr>
          <w:sz w:val="24"/>
        </w:rPr>
        <w:t xml:space="preserve">, </w:t>
      </w:r>
      <w:r w:rsidRPr="00883399">
        <w:rPr>
          <w:i/>
          <w:sz w:val="24"/>
        </w:rPr>
        <w:t xml:space="preserve">Orifice Metering of Natural Gas and Other Related Hydrocarbon Fluids Part 3: Natural Gas Applications, </w:t>
      </w:r>
      <w:r w:rsidRPr="00883399">
        <w:rPr>
          <w:sz w:val="24"/>
        </w:rPr>
        <w:t>published by the American Gas Association in August 1992; or</w:t>
      </w:r>
    </w:p>
    <w:p w14:paraId="5D6CA556" w14:textId="77777777" w:rsidR="00872C03" w:rsidRPr="00883399" w:rsidRDefault="00872C03" w:rsidP="00872C03">
      <w:pPr>
        <w:pStyle w:val="paragraphsub"/>
        <w:rPr>
          <w:sz w:val="24"/>
        </w:rPr>
      </w:pPr>
      <w:r w:rsidRPr="00883399">
        <w:rPr>
          <w:sz w:val="24"/>
        </w:rPr>
        <w:tab/>
        <w:t>(ii)</w:t>
      </w:r>
      <w:r w:rsidRPr="00883399">
        <w:rPr>
          <w:sz w:val="24"/>
        </w:rPr>
        <w:tab/>
        <w:t xml:space="preserve">Parts 1 to 4 of the publication entitled </w:t>
      </w:r>
      <w:r w:rsidRPr="00883399">
        <w:rPr>
          <w:i/>
          <w:sz w:val="24"/>
        </w:rPr>
        <w:t>ANSI/API MPMS Chapter 14.3 Part 2 (R2011) Natural Gas Fluids Measurement: Concentric, Square</w:t>
      </w:r>
      <w:r w:rsidRPr="00883399">
        <w:rPr>
          <w:i/>
          <w:sz w:val="24"/>
        </w:rPr>
        <w:noBreakHyphen/>
        <w:t xml:space="preserve">Edged Orifice Meters </w:t>
      </w:r>
      <w:r w:rsidRPr="00883399">
        <w:rPr>
          <w:i/>
          <w:sz w:val="24"/>
        </w:rPr>
        <w:noBreakHyphen/>
        <w:t xml:space="preserve"> Part 2: Specification and Installation Requirements</w:t>
      </w:r>
      <w:r w:rsidRPr="00883399">
        <w:rPr>
          <w:sz w:val="24"/>
        </w:rPr>
        <w:t>, 4th edition, published by the American Petroleum Institute on 30 April 2000;</w:t>
      </w:r>
    </w:p>
    <w:p w14:paraId="2C0FC9A8" w14:textId="77777777" w:rsidR="00872C03" w:rsidRPr="00883399" w:rsidRDefault="00872C03" w:rsidP="00872C03">
      <w:pPr>
        <w:pStyle w:val="paragraph"/>
        <w:rPr>
          <w:i/>
          <w:sz w:val="24"/>
        </w:rPr>
      </w:pPr>
      <w:r w:rsidRPr="00883399">
        <w:rPr>
          <w:sz w:val="24"/>
        </w:rPr>
        <w:lastRenderedPageBreak/>
        <w:tab/>
        <w:t>(b)</w:t>
      </w:r>
      <w:r w:rsidRPr="00883399">
        <w:rPr>
          <w:sz w:val="24"/>
        </w:rPr>
        <w:tab/>
        <w:t xml:space="preserve">for turbine measuring systems—the publication entitled </w:t>
      </w:r>
      <w:r w:rsidRPr="00883399">
        <w:rPr>
          <w:i/>
          <w:sz w:val="24"/>
        </w:rPr>
        <w:t xml:space="preserve">AGA Report No. 7, Measurement of Natural Gas by Turbine Meter (2006), </w:t>
      </w:r>
      <w:r w:rsidRPr="00883399">
        <w:rPr>
          <w:sz w:val="24"/>
        </w:rPr>
        <w:t>published by the American Gas Association on 1 January 2006;</w:t>
      </w:r>
    </w:p>
    <w:p w14:paraId="74B7FDB5" w14:textId="77777777" w:rsidR="00872C03" w:rsidRPr="00883399" w:rsidRDefault="00872C03" w:rsidP="00872C03">
      <w:pPr>
        <w:pStyle w:val="paragraph"/>
        <w:rPr>
          <w:sz w:val="24"/>
        </w:rPr>
      </w:pPr>
      <w:r w:rsidRPr="00883399">
        <w:rPr>
          <w:sz w:val="24"/>
        </w:rPr>
        <w:tab/>
        <w:t>(c)</w:t>
      </w:r>
      <w:r w:rsidRPr="00883399">
        <w:rPr>
          <w:sz w:val="24"/>
        </w:rPr>
        <w:tab/>
        <w:t xml:space="preserve">for positive displacement measuring systems—the publication entitled </w:t>
      </w:r>
      <w:r w:rsidRPr="00883399">
        <w:rPr>
          <w:i/>
          <w:sz w:val="24"/>
        </w:rPr>
        <w:t>ANSI B109.3—2000, Rotary Type Gas Displacement Meters</w:t>
      </w:r>
      <w:r w:rsidRPr="00883399">
        <w:rPr>
          <w:sz w:val="24"/>
        </w:rPr>
        <w:t>, published by the American Gas Association on 13 April 2000.</w:t>
      </w:r>
    </w:p>
    <w:p w14:paraId="518CF420" w14:textId="77777777" w:rsidR="00872C03" w:rsidRPr="00883399" w:rsidRDefault="00872C03" w:rsidP="00872C03">
      <w:pPr>
        <w:pStyle w:val="subsection"/>
        <w:rPr>
          <w:sz w:val="24"/>
        </w:rPr>
      </w:pPr>
      <w:r w:rsidRPr="00883399">
        <w:rPr>
          <w:sz w:val="24"/>
        </w:rPr>
        <w:tab/>
        <w:t>(6)</w:t>
      </w:r>
      <w:r w:rsidRPr="00883399">
        <w:rPr>
          <w:sz w:val="24"/>
        </w:rPr>
        <w:tab/>
        <w:t>Measurements must comply with Australian legal units of measurement.</w:t>
      </w:r>
    </w:p>
    <w:p w14:paraId="277E54B5" w14:textId="77777777" w:rsidR="00872C03" w:rsidRPr="00883399" w:rsidRDefault="00872C03" w:rsidP="00872C03">
      <w:pPr>
        <w:pStyle w:val="subsection"/>
        <w:rPr>
          <w:sz w:val="24"/>
        </w:rPr>
      </w:pPr>
      <w:r w:rsidRPr="00883399">
        <w:rPr>
          <w:sz w:val="24"/>
        </w:rPr>
        <w:tab/>
        <w:t>(7)</w:t>
      </w:r>
      <w:r w:rsidRPr="00883399">
        <w:rPr>
          <w:sz w:val="24"/>
        </w:rPr>
        <w:tab/>
      </w:r>
      <w:r w:rsidRPr="00883399">
        <w:rPr>
          <w:b/>
          <w:i/>
          <w:sz w:val="24"/>
        </w:rPr>
        <w:t xml:space="preserve">Standard conditions </w:t>
      </w:r>
      <w:r w:rsidRPr="00883399">
        <w:rPr>
          <w:sz w:val="24"/>
        </w:rPr>
        <w:t>means, as measured on a dry gas basis:</w:t>
      </w:r>
    </w:p>
    <w:p w14:paraId="34845881" w14:textId="77777777" w:rsidR="00872C03" w:rsidRPr="00883399" w:rsidRDefault="00872C03" w:rsidP="00872C03">
      <w:pPr>
        <w:pStyle w:val="paragraph"/>
        <w:rPr>
          <w:sz w:val="24"/>
        </w:rPr>
      </w:pPr>
      <w:r w:rsidRPr="00883399">
        <w:rPr>
          <w:sz w:val="24"/>
        </w:rPr>
        <w:tab/>
        <w:t>(a)</w:t>
      </w:r>
      <w:r w:rsidRPr="00883399">
        <w:rPr>
          <w:sz w:val="24"/>
        </w:rPr>
        <w:tab/>
        <w:t>air pressure of 101.325 kilopascals; and</w:t>
      </w:r>
    </w:p>
    <w:p w14:paraId="544421E8" w14:textId="77777777" w:rsidR="00872C03" w:rsidRPr="00883399" w:rsidRDefault="00872C03" w:rsidP="00872C03">
      <w:pPr>
        <w:pStyle w:val="paragraph"/>
        <w:rPr>
          <w:sz w:val="24"/>
        </w:rPr>
      </w:pPr>
      <w:r w:rsidRPr="00883399">
        <w:rPr>
          <w:sz w:val="24"/>
        </w:rPr>
        <w:tab/>
        <w:t>(b)</w:t>
      </w:r>
      <w:r w:rsidRPr="00883399">
        <w:rPr>
          <w:sz w:val="24"/>
        </w:rPr>
        <w:tab/>
        <w:t>air temperature of 15.0 degrees Celsius; and</w:t>
      </w:r>
    </w:p>
    <w:p w14:paraId="54D5A157" w14:textId="77777777" w:rsidR="00872C03" w:rsidRPr="00883399" w:rsidRDefault="00872C03" w:rsidP="00872C03">
      <w:pPr>
        <w:pStyle w:val="paragraph"/>
        <w:rPr>
          <w:sz w:val="24"/>
        </w:rPr>
      </w:pPr>
      <w:r w:rsidRPr="00883399">
        <w:rPr>
          <w:sz w:val="24"/>
        </w:rPr>
        <w:tab/>
        <w:t>(c)</w:t>
      </w:r>
      <w:r w:rsidRPr="00883399">
        <w:rPr>
          <w:sz w:val="24"/>
        </w:rPr>
        <w:tab/>
        <w:t>air density of 1.225 kilograms per cubic metre.</w:t>
      </w:r>
    </w:p>
    <w:p w14:paraId="229B5B34" w14:textId="0A727B59" w:rsidR="00872C03" w:rsidRPr="00883399" w:rsidRDefault="00872C03" w:rsidP="00872C03">
      <w:pPr>
        <w:pStyle w:val="ActHead5"/>
        <w:rPr>
          <w:sz w:val="28"/>
        </w:rPr>
      </w:pPr>
      <w:bookmarkStart w:id="259" w:name="_Toc423516784"/>
      <w:bookmarkStart w:id="260" w:name="_Toc495652700"/>
      <w:r w:rsidRPr="00883399">
        <w:rPr>
          <w:rStyle w:val="CharSectno"/>
          <w:sz w:val="28"/>
        </w:rPr>
        <w:t>2.33</w:t>
      </w:r>
      <w:r w:rsidRPr="00883399">
        <w:rPr>
          <w:sz w:val="28"/>
        </w:rPr>
        <w:t xml:space="preserve">  Volumetric measurement—super</w:t>
      </w:r>
      <w:r w:rsidRPr="00883399">
        <w:rPr>
          <w:sz w:val="28"/>
        </w:rPr>
        <w:noBreakHyphen/>
        <w:t>compressed gases</w:t>
      </w:r>
      <w:bookmarkEnd w:id="259"/>
      <w:bookmarkEnd w:id="260"/>
    </w:p>
    <w:p w14:paraId="3D069024" w14:textId="77777777" w:rsidR="00872C03" w:rsidRPr="00883399" w:rsidRDefault="00872C03" w:rsidP="00872C03">
      <w:pPr>
        <w:pStyle w:val="subsection"/>
        <w:rPr>
          <w:sz w:val="24"/>
        </w:rPr>
      </w:pPr>
      <w:r w:rsidRPr="00883399">
        <w:rPr>
          <w:sz w:val="24"/>
        </w:rPr>
        <w:tab/>
        <w:t>(1)</w:t>
      </w:r>
      <w:r w:rsidRPr="00883399">
        <w:rPr>
          <w:sz w:val="24"/>
        </w:rPr>
        <w:tab/>
        <w:t>For subparagraph 2.31(2)(a)(ii), this section applies in relation to measuring the volume of super</w:t>
      </w:r>
      <w:r w:rsidRPr="00883399">
        <w:rPr>
          <w:sz w:val="24"/>
        </w:rPr>
        <w:noBreakHyphen/>
        <w:t>compressed natural gases.</w:t>
      </w:r>
    </w:p>
    <w:p w14:paraId="3FD47C09" w14:textId="77777777" w:rsidR="00872C03" w:rsidRPr="00883399" w:rsidRDefault="00872C03" w:rsidP="00872C03">
      <w:pPr>
        <w:pStyle w:val="subsection"/>
        <w:rPr>
          <w:sz w:val="24"/>
        </w:rPr>
      </w:pPr>
      <w:r w:rsidRPr="00883399">
        <w:rPr>
          <w:sz w:val="24"/>
        </w:rPr>
        <w:tab/>
        <w:t>(2)</w:t>
      </w:r>
      <w:r w:rsidRPr="00883399">
        <w:rPr>
          <w:sz w:val="24"/>
        </w:rPr>
        <w:tab/>
        <w:t xml:space="preserve">If it is necessary to correct the volume for deviation from the ideal gas law, the correction must be determined using the relevant method set out in the publication entitled </w:t>
      </w:r>
      <w:r w:rsidRPr="00883399">
        <w:rPr>
          <w:i/>
          <w:sz w:val="24"/>
        </w:rPr>
        <w:t>AGA Report No. 8, Compressibility Factor of Natural Gas and Related Hydrocarbon Gases (1994)</w:t>
      </w:r>
      <w:r w:rsidRPr="00883399">
        <w:rPr>
          <w:sz w:val="24"/>
        </w:rPr>
        <w:t>, published by the American Gas Association on 1 January 1994.</w:t>
      </w:r>
    </w:p>
    <w:p w14:paraId="55A73FA2" w14:textId="77777777" w:rsidR="00872C03" w:rsidRPr="00883399" w:rsidRDefault="00872C03" w:rsidP="00872C03">
      <w:pPr>
        <w:pStyle w:val="subsection"/>
        <w:rPr>
          <w:sz w:val="24"/>
        </w:rPr>
      </w:pPr>
      <w:r w:rsidRPr="00883399">
        <w:rPr>
          <w:sz w:val="24"/>
        </w:rPr>
        <w:tab/>
        <w:t>(3)</w:t>
      </w:r>
      <w:r w:rsidRPr="00883399">
        <w:rPr>
          <w:sz w:val="24"/>
        </w:rPr>
        <w:tab/>
        <w:t>The measuring equipment used must calculate super</w:t>
      </w:r>
      <w:r w:rsidRPr="00883399">
        <w:rPr>
          <w:sz w:val="24"/>
        </w:rPr>
        <w:noBreakHyphen/>
        <w:t>compressibility by:</w:t>
      </w:r>
    </w:p>
    <w:p w14:paraId="0C4105F1" w14:textId="77777777" w:rsidR="00872C03" w:rsidRPr="00883399" w:rsidRDefault="00872C03" w:rsidP="00872C03">
      <w:pPr>
        <w:pStyle w:val="paragraph"/>
        <w:rPr>
          <w:sz w:val="24"/>
        </w:rPr>
      </w:pPr>
      <w:r w:rsidRPr="00883399">
        <w:rPr>
          <w:sz w:val="24"/>
        </w:rPr>
        <w:tab/>
        <w:t>(a)</w:t>
      </w:r>
      <w:r w:rsidRPr="00883399">
        <w:rPr>
          <w:sz w:val="24"/>
        </w:rPr>
        <w:tab/>
        <w:t>if the measuring equipment is category 3 or 4 equipment in accordance with the table in section 2.31—using gas composition data; or</w:t>
      </w:r>
    </w:p>
    <w:p w14:paraId="358DAB18" w14:textId="77777777" w:rsidR="00872C03" w:rsidRPr="00883399" w:rsidRDefault="00872C03" w:rsidP="00872C03">
      <w:pPr>
        <w:pStyle w:val="paragraph"/>
        <w:rPr>
          <w:sz w:val="24"/>
        </w:rPr>
      </w:pPr>
      <w:r w:rsidRPr="00883399">
        <w:rPr>
          <w:sz w:val="24"/>
        </w:rPr>
        <w:tab/>
        <w:t>(b)</w:t>
      </w:r>
      <w:r w:rsidRPr="00883399">
        <w:rPr>
          <w:sz w:val="24"/>
        </w:rPr>
        <w:tab/>
        <w:t xml:space="preserve">if the measuring equipment is category 1 or 2 equipment in accordance with the table in section 2.31—using an alternative method set out in the publication entitled </w:t>
      </w:r>
      <w:r w:rsidRPr="00883399">
        <w:rPr>
          <w:i/>
          <w:sz w:val="24"/>
        </w:rPr>
        <w:t>AGA Report No. 8, Compressibility Factor of Natural Gas and Related Hydrocarbon Gases (1994)</w:t>
      </w:r>
      <w:r w:rsidRPr="00883399">
        <w:rPr>
          <w:sz w:val="24"/>
        </w:rPr>
        <w:t>, published by the American Gas Association on 1 January 1994.</w:t>
      </w:r>
    </w:p>
    <w:p w14:paraId="16E98892" w14:textId="1692A009" w:rsidR="00872C03" w:rsidRPr="00883399" w:rsidRDefault="00872C03" w:rsidP="00872C03">
      <w:pPr>
        <w:pStyle w:val="ActHead5"/>
        <w:rPr>
          <w:sz w:val="28"/>
        </w:rPr>
      </w:pPr>
      <w:bookmarkStart w:id="261" w:name="_Toc423516785"/>
      <w:bookmarkStart w:id="262" w:name="_Toc495652701"/>
      <w:r w:rsidRPr="00883399">
        <w:rPr>
          <w:rStyle w:val="CharSectno"/>
          <w:sz w:val="28"/>
        </w:rPr>
        <w:t>2.34</w:t>
      </w:r>
      <w:r w:rsidRPr="00883399">
        <w:rPr>
          <w:sz w:val="28"/>
        </w:rPr>
        <w:t xml:space="preserve">  Gas measuring equipment—requirements</w:t>
      </w:r>
      <w:bookmarkEnd w:id="261"/>
      <w:bookmarkEnd w:id="262"/>
    </w:p>
    <w:p w14:paraId="1828FC25" w14:textId="77777777" w:rsidR="00872C03" w:rsidRPr="00883399" w:rsidRDefault="00872C03" w:rsidP="00872C03">
      <w:pPr>
        <w:pStyle w:val="subsection"/>
        <w:rPr>
          <w:sz w:val="24"/>
        </w:rPr>
      </w:pPr>
      <w:r w:rsidRPr="00883399">
        <w:rPr>
          <w:sz w:val="24"/>
        </w:rPr>
        <w:tab/>
      </w:r>
      <w:r w:rsidRPr="00883399">
        <w:rPr>
          <w:sz w:val="24"/>
        </w:rPr>
        <w:tab/>
        <w:t>For paragraph 2.31(2)(b), gas measuring equipment that is category 3 or 4 equipment in accordance with column 2 of the table in section 2.31 must comply with the following requirements:</w:t>
      </w:r>
    </w:p>
    <w:p w14:paraId="775DC645" w14:textId="77777777" w:rsidR="00872C03" w:rsidRPr="00883399" w:rsidRDefault="00872C03" w:rsidP="00872C03">
      <w:pPr>
        <w:pStyle w:val="paragraph"/>
        <w:rPr>
          <w:sz w:val="24"/>
        </w:rPr>
      </w:pPr>
      <w:r w:rsidRPr="00883399">
        <w:rPr>
          <w:sz w:val="24"/>
        </w:rPr>
        <w:tab/>
        <w:t>(a)</w:t>
      </w:r>
      <w:r w:rsidRPr="00883399">
        <w:rPr>
          <w:sz w:val="24"/>
        </w:rPr>
        <w:tab/>
        <w:t>if the equipment uses flow devices—the requirements relating to flow devices set out in section 2.35;</w:t>
      </w:r>
    </w:p>
    <w:p w14:paraId="638C330F" w14:textId="77777777" w:rsidR="00872C03" w:rsidRPr="00883399" w:rsidRDefault="00872C03" w:rsidP="00872C03">
      <w:pPr>
        <w:pStyle w:val="paragraph"/>
        <w:rPr>
          <w:sz w:val="24"/>
        </w:rPr>
      </w:pPr>
      <w:r w:rsidRPr="00883399">
        <w:rPr>
          <w:sz w:val="24"/>
        </w:rPr>
        <w:tab/>
        <w:t>(b)</w:t>
      </w:r>
      <w:r w:rsidRPr="00883399">
        <w:rPr>
          <w:sz w:val="24"/>
        </w:rPr>
        <w:tab/>
        <w:t>if the equipment uses flow computers—the requirement relating to flow computers set out in section 2.36;</w:t>
      </w:r>
    </w:p>
    <w:p w14:paraId="148FB92B" w14:textId="77777777" w:rsidR="00872C03" w:rsidRPr="00883399" w:rsidRDefault="00872C03" w:rsidP="00872C03">
      <w:pPr>
        <w:pStyle w:val="paragraph"/>
        <w:rPr>
          <w:sz w:val="24"/>
        </w:rPr>
      </w:pPr>
      <w:r w:rsidRPr="00883399">
        <w:rPr>
          <w:sz w:val="24"/>
        </w:rPr>
        <w:lastRenderedPageBreak/>
        <w:tab/>
        <w:t>(c)</w:t>
      </w:r>
      <w:r w:rsidRPr="00883399">
        <w:rPr>
          <w:sz w:val="24"/>
        </w:rPr>
        <w:tab/>
        <w:t>if the equipment uses gas chromatographs—the requirements relating to gas chromatographs set out in section 2.37.</w:t>
      </w:r>
    </w:p>
    <w:p w14:paraId="68BF5D9E" w14:textId="309C7458" w:rsidR="00872C03" w:rsidRPr="00883399" w:rsidRDefault="00872C03" w:rsidP="00872C03">
      <w:pPr>
        <w:pStyle w:val="ActHead5"/>
        <w:rPr>
          <w:sz w:val="28"/>
        </w:rPr>
      </w:pPr>
      <w:bookmarkStart w:id="263" w:name="_Toc423516786"/>
      <w:bookmarkStart w:id="264" w:name="_Toc495652702"/>
      <w:r w:rsidRPr="00883399">
        <w:rPr>
          <w:rStyle w:val="CharSectno"/>
          <w:sz w:val="28"/>
        </w:rPr>
        <w:t>2.35</w:t>
      </w:r>
      <w:r w:rsidRPr="00883399">
        <w:rPr>
          <w:sz w:val="28"/>
        </w:rPr>
        <w:t xml:space="preserve">  Flow devices—requirements</w:t>
      </w:r>
      <w:bookmarkEnd w:id="263"/>
      <w:bookmarkEnd w:id="264"/>
    </w:p>
    <w:p w14:paraId="10775CAE" w14:textId="77777777" w:rsidR="00872C03" w:rsidRPr="00883399" w:rsidRDefault="00872C03" w:rsidP="00872C03">
      <w:pPr>
        <w:pStyle w:val="subsection"/>
        <w:rPr>
          <w:sz w:val="24"/>
        </w:rPr>
      </w:pPr>
      <w:r w:rsidRPr="00883399">
        <w:rPr>
          <w:sz w:val="24"/>
        </w:rPr>
        <w:tab/>
        <w:t>(1A)</w:t>
      </w:r>
      <w:r w:rsidRPr="00883399">
        <w:rPr>
          <w:sz w:val="24"/>
        </w:rPr>
        <w:tab/>
        <w:t>This section is made for paragraph 2.34(a).</w:t>
      </w:r>
    </w:p>
    <w:p w14:paraId="4E2B305D" w14:textId="77777777" w:rsidR="00872C03" w:rsidRPr="00883399" w:rsidRDefault="00872C03" w:rsidP="00872C03">
      <w:pPr>
        <w:pStyle w:val="subsection"/>
        <w:rPr>
          <w:sz w:val="24"/>
        </w:rPr>
      </w:pPr>
      <w:r w:rsidRPr="00883399">
        <w:rPr>
          <w:sz w:val="24"/>
        </w:rPr>
        <w:tab/>
        <w:t>(1)</w:t>
      </w:r>
      <w:r w:rsidRPr="00883399">
        <w:rPr>
          <w:sz w:val="24"/>
        </w:rPr>
        <w:tab/>
        <w:t>If the measuring equipment has flow devices that use orifice measuring systems, the flow devices must be constructed in a manner that ensures that the maximum uncertainty of the discharge coefficient is not greater than ±1.5%.</w:t>
      </w:r>
    </w:p>
    <w:p w14:paraId="69EB3F9E" w14:textId="77777777" w:rsidR="00872C03" w:rsidRPr="00883399" w:rsidRDefault="00872C03" w:rsidP="00872C03">
      <w:pPr>
        <w:pStyle w:val="notetext"/>
        <w:rPr>
          <w:sz w:val="20"/>
        </w:rPr>
      </w:pPr>
      <w:r w:rsidRPr="00883399">
        <w:rPr>
          <w:sz w:val="20"/>
        </w:rPr>
        <w:t>Note:</w:t>
      </w:r>
      <w:r w:rsidRPr="00883399">
        <w:rPr>
          <w:sz w:val="20"/>
        </w:rPr>
        <w:tab/>
        <w:t xml:space="preserve">The publication entitled </w:t>
      </w:r>
      <w:r w:rsidRPr="00883399">
        <w:rPr>
          <w:i/>
          <w:sz w:val="20"/>
        </w:rPr>
        <w:t>AGA Report No. 3</w:t>
      </w:r>
      <w:r w:rsidRPr="00883399">
        <w:rPr>
          <w:sz w:val="20"/>
        </w:rPr>
        <w:t xml:space="preserve">, </w:t>
      </w:r>
      <w:r w:rsidRPr="00883399">
        <w:rPr>
          <w:i/>
          <w:sz w:val="20"/>
        </w:rPr>
        <w:t xml:space="preserve">Orifice Metering of Natural Gas and Other Related Hydrocarbon Fluids Part 3: Natural Gas Applications, </w:t>
      </w:r>
      <w:r w:rsidRPr="00883399">
        <w:rPr>
          <w:sz w:val="20"/>
        </w:rPr>
        <w:t>published by the American Gas Association in August 1992, sets out a manner of construction that ensures that the maximum uncertainty of the discharge coefficient is not greater than ±1.5%.</w:t>
      </w:r>
    </w:p>
    <w:p w14:paraId="00F47674" w14:textId="77777777" w:rsidR="00872C03" w:rsidRPr="00883399" w:rsidRDefault="00872C03" w:rsidP="00872C03">
      <w:pPr>
        <w:pStyle w:val="subsection"/>
        <w:rPr>
          <w:sz w:val="24"/>
        </w:rPr>
      </w:pPr>
      <w:r w:rsidRPr="00883399">
        <w:rPr>
          <w:sz w:val="24"/>
        </w:rPr>
        <w:tab/>
        <w:t>(2)</w:t>
      </w:r>
      <w:r w:rsidRPr="00883399">
        <w:rPr>
          <w:sz w:val="24"/>
        </w:rPr>
        <w:tab/>
        <w:t>If the measuring equipment has flow devices that use turbine measuring systems, the flow devices must be installed in a manner that ensures that the maximum uncertainty of the flow measurement is not greater than ±1.5%.</w:t>
      </w:r>
    </w:p>
    <w:p w14:paraId="3D7102C1" w14:textId="77777777" w:rsidR="00872C03" w:rsidRPr="00883399" w:rsidRDefault="00872C03" w:rsidP="00872C03">
      <w:pPr>
        <w:pStyle w:val="notetext"/>
        <w:rPr>
          <w:sz w:val="20"/>
        </w:rPr>
      </w:pPr>
      <w:r w:rsidRPr="00883399">
        <w:rPr>
          <w:sz w:val="20"/>
        </w:rPr>
        <w:t>Note:</w:t>
      </w:r>
      <w:r w:rsidRPr="00883399">
        <w:rPr>
          <w:sz w:val="20"/>
        </w:rPr>
        <w:tab/>
        <w:t xml:space="preserve">The publication entitled </w:t>
      </w:r>
      <w:r w:rsidRPr="00883399">
        <w:rPr>
          <w:i/>
          <w:sz w:val="20"/>
        </w:rPr>
        <w:t>AGA Report No. 8, Compressibility Factor of Natural Gas and Related Hydrocarbon Gases (1994)</w:t>
      </w:r>
      <w:r w:rsidRPr="00883399">
        <w:rPr>
          <w:sz w:val="20"/>
        </w:rPr>
        <w:t>, published by the American Gas Association on 1 January 1994, sets out a manner of installation that ensures that the maximum uncertainty of the flow measurement is not greater than ±1.5%.</w:t>
      </w:r>
    </w:p>
    <w:p w14:paraId="33836BF3" w14:textId="77777777" w:rsidR="00872C03" w:rsidRPr="00883399" w:rsidRDefault="00872C03" w:rsidP="00872C03">
      <w:pPr>
        <w:pStyle w:val="subsection"/>
        <w:rPr>
          <w:sz w:val="24"/>
        </w:rPr>
      </w:pPr>
      <w:r w:rsidRPr="00883399">
        <w:rPr>
          <w:sz w:val="24"/>
        </w:rPr>
        <w:tab/>
        <w:t>(3)</w:t>
      </w:r>
      <w:r w:rsidRPr="00883399">
        <w:rPr>
          <w:sz w:val="24"/>
        </w:rPr>
        <w:tab/>
        <w:t>If the measuring equipment has flow devices that use positive displacement measuring systems, the flow devices must be installed in a manner that ensures that the maximum uncertainty of flow is ±1.5%.</w:t>
      </w:r>
    </w:p>
    <w:p w14:paraId="53D1134E" w14:textId="77777777" w:rsidR="00872C03" w:rsidRPr="00883399" w:rsidRDefault="00872C03" w:rsidP="00872C03">
      <w:pPr>
        <w:pStyle w:val="notetext"/>
        <w:rPr>
          <w:sz w:val="20"/>
        </w:rPr>
      </w:pPr>
      <w:r w:rsidRPr="00883399">
        <w:rPr>
          <w:sz w:val="20"/>
        </w:rPr>
        <w:t>Note:</w:t>
      </w:r>
      <w:r w:rsidRPr="00883399">
        <w:rPr>
          <w:sz w:val="20"/>
        </w:rPr>
        <w:tab/>
        <w:t xml:space="preserve">The publication entitled </w:t>
      </w:r>
      <w:r w:rsidRPr="00883399">
        <w:rPr>
          <w:i/>
          <w:sz w:val="20"/>
        </w:rPr>
        <w:t>ANSI B109.3—2000, Rotary Type Gas Displacement Meters</w:t>
      </w:r>
      <w:r w:rsidRPr="00883399">
        <w:rPr>
          <w:sz w:val="20"/>
        </w:rPr>
        <w:t>, published by the American Gas Association on 13 April 2000, sets out a manner of installation that ensures that the maximum uncertainty of flow is ±1.5%.</w:t>
      </w:r>
    </w:p>
    <w:p w14:paraId="16DE82DC" w14:textId="77777777" w:rsidR="00872C03" w:rsidRPr="00883399" w:rsidRDefault="00872C03" w:rsidP="00872C03">
      <w:pPr>
        <w:pStyle w:val="subsection"/>
        <w:rPr>
          <w:sz w:val="24"/>
        </w:rPr>
      </w:pPr>
      <w:r w:rsidRPr="00883399">
        <w:rPr>
          <w:sz w:val="24"/>
        </w:rPr>
        <w:tab/>
        <w:t>(4)</w:t>
      </w:r>
      <w:r w:rsidRPr="00883399">
        <w:rPr>
          <w:sz w:val="24"/>
        </w:rPr>
        <w:tab/>
        <w:t>If the measuring equipment uses any other type of flow device, the maximum uncertainty of flow measurement must not be greater than ±1.5%.</w:t>
      </w:r>
    </w:p>
    <w:p w14:paraId="714EFE7F" w14:textId="77777777" w:rsidR="00872C03" w:rsidRPr="00883399" w:rsidRDefault="00872C03" w:rsidP="00872C03">
      <w:pPr>
        <w:pStyle w:val="subsection"/>
        <w:rPr>
          <w:sz w:val="24"/>
        </w:rPr>
      </w:pPr>
      <w:r w:rsidRPr="00883399">
        <w:rPr>
          <w:sz w:val="24"/>
        </w:rPr>
        <w:tab/>
        <w:t>(5)</w:t>
      </w:r>
      <w:r w:rsidRPr="00883399">
        <w:rPr>
          <w:sz w:val="24"/>
        </w:rPr>
        <w:tab/>
        <w:t>All flow devices that are used by gas measuring equipment in a category specified in column 2 of an item in the table in section 2.31 must, wherever possible, be calibrated for pressure, differential pressure and temperature:</w:t>
      </w:r>
    </w:p>
    <w:p w14:paraId="7E864066" w14:textId="77777777" w:rsidR="00872C03" w:rsidRPr="00883399" w:rsidRDefault="00872C03" w:rsidP="00872C03">
      <w:pPr>
        <w:pStyle w:val="paragraph"/>
        <w:rPr>
          <w:sz w:val="24"/>
        </w:rPr>
      </w:pPr>
      <w:r w:rsidRPr="00883399">
        <w:rPr>
          <w:sz w:val="24"/>
        </w:rPr>
        <w:tab/>
        <w:t>(a)</w:t>
      </w:r>
      <w:r w:rsidRPr="00883399">
        <w:rPr>
          <w:sz w:val="24"/>
        </w:rPr>
        <w:tab/>
        <w:t>in accordance with the requirements specified, for the item, in column 4 of the table; and</w:t>
      </w:r>
    </w:p>
    <w:p w14:paraId="7F618967" w14:textId="77777777" w:rsidR="00872C03" w:rsidRPr="00883399" w:rsidRDefault="00872C03" w:rsidP="00872C03">
      <w:pPr>
        <w:pStyle w:val="paragraph"/>
        <w:rPr>
          <w:sz w:val="24"/>
        </w:rPr>
      </w:pPr>
      <w:r w:rsidRPr="00883399">
        <w:rPr>
          <w:sz w:val="24"/>
        </w:rPr>
        <w:tab/>
        <w:t>(b)</w:t>
      </w:r>
      <w:r w:rsidRPr="00883399">
        <w:rPr>
          <w:sz w:val="24"/>
        </w:rPr>
        <w:tab/>
        <w:t>taking into account the effects of static pressure and ambient temperature.</w:t>
      </w:r>
    </w:p>
    <w:p w14:paraId="5BE13A77" w14:textId="14403C4F" w:rsidR="00872C03" w:rsidRPr="00883399" w:rsidRDefault="00872C03" w:rsidP="00872C03">
      <w:pPr>
        <w:pStyle w:val="ActHead5"/>
        <w:rPr>
          <w:sz w:val="28"/>
        </w:rPr>
      </w:pPr>
      <w:bookmarkStart w:id="265" w:name="_Toc423516787"/>
      <w:bookmarkStart w:id="266" w:name="_Toc495652703"/>
      <w:r w:rsidRPr="00883399">
        <w:rPr>
          <w:rStyle w:val="CharSectno"/>
          <w:sz w:val="28"/>
        </w:rPr>
        <w:lastRenderedPageBreak/>
        <w:t>2.36</w:t>
      </w:r>
      <w:r w:rsidRPr="00883399">
        <w:rPr>
          <w:sz w:val="28"/>
        </w:rPr>
        <w:t xml:space="preserve">  Flow computers—requirements</w:t>
      </w:r>
      <w:bookmarkEnd w:id="265"/>
      <w:bookmarkEnd w:id="266"/>
    </w:p>
    <w:p w14:paraId="6A8CBF6B" w14:textId="77777777" w:rsidR="00872C03" w:rsidRPr="00883399" w:rsidRDefault="00872C03" w:rsidP="00872C03">
      <w:pPr>
        <w:pStyle w:val="subsection"/>
        <w:rPr>
          <w:sz w:val="24"/>
        </w:rPr>
      </w:pPr>
      <w:r w:rsidRPr="00883399">
        <w:rPr>
          <w:sz w:val="24"/>
        </w:rPr>
        <w:tab/>
      </w:r>
      <w:r w:rsidRPr="00883399">
        <w:rPr>
          <w:sz w:val="24"/>
        </w:rPr>
        <w:tab/>
        <w:t>For paragraph 2.34(b), the requirement is that the flow computer that is used by the equipment for measuring purposes must record:</w:t>
      </w:r>
    </w:p>
    <w:p w14:paraId="3498640F" w14:textId="77777777" w:rsidR="00872C03" w:rsidRPr="00883399" w:rsidRDefault="00872C03" w:rsidP="00872C03">
      <w:pPr>
        <w:pStyle w:val="paragraph"/>
        <w:rPr>
          <w:sz w:val="24"/>
        </w:rPr>
      </w:pPr>
      <w:r w:rsidRPr="00883399">
        <w:rPr>
          <w:sz w:val="24"/>
        </w:rPr>
        <w:tab/>
        <w:t>(a)</w:t>
      </w:r>
      <w:r w:rsidRPr="00883399">
        <w:rPr>
          <w:sz w:val="24"/>
        </w:rPr>
        <w:tab/>
        <w:t>the instantaneous values for all primary measurement inputs; and</w:t>
      </w:r>
    </w:p>
    <w:p w14:paraId="55435469" w14:textId="77777777" w:rsidR="00872C03" w:rsidRPr="00883399" w:rsidRDefault="00872C03" w:rsidP="00872C03">
      <w:pPr>
        <w:pStyle w:val="paragraph"/>
        <w:rPr>
          <w:sz w:val="24"/>
        </w:rPr>
      </w:pPr>
      <w:r w:rsidRPr="00883399">
        <w:rPr>
          <w:sz w:val="24"/>
        </w:rPr>
        <w:tab/>
        <w:t>(b)</w:t>
      </w:r>
      <w:r w:rsidRPr="00883399">
        <w:rPr>
          <w:sz w:val="24"/>
        </w:rPr>
        <w:tab/>
        <w:t>the following outputs:</w:t>
      </w:r>
    </w:p>
    <w:p w14:paraId="130A2C7E" w14:textId="77777777" w:rsidR="00872C03" w:rsidRPr="00883399" w:rsidRDefault="00872C03" w:rsidP="00872C03">
      <w:pPr>
        <w:pStyle w:val="paragraphsub"/>
        <w:rPr>
          <w:sz w:val="24"/>
        </w:rPr>
      </w:pPr>
      <w:r w:rsidRPr="00883399">
        <w:rPr>
          <w:sz w:val="24"/>
        </w:rPr>
        <w:tab/>
        <w:t>(i)</w:t>
      </w:r>
      <w:r w:rsidRPr="00883399">
        <w:rPr>
          <w:sz w:val="24"/>
        </w:rPr>
        <w:tab/>
        <w:t>instantaneous corrected volumetric flow;</w:t>
      </w:r>
    </w:p>
    <w:p w14:paraId="0859AA47" w14:textId="77777777" w:rsidR="00872C03" w:rsidRPr="00883399" w:rsidRDefault="00872C03" w:rsidP="00872C03">
      <w:pPr>
        <w:pStyle w:val="paragraphsub"/>
        <w:rPr>
          <w:sz w:val="24"/>
        </w:rPr>
      </w:pPr>
      <w:r w:rsidRPr="00883399">
        <w:rPr>
          <w:sz w:val="24"/>
        </w:rPr>
        <w:tab/>
        <w:t>(ii)</w:t>
      </w:r>
      <w:r w:rsidRPr="00883399">
        <w:rPr>
          <w:sz w:val="24"/>
        </w:rPr>
        <w:tab/>
        <w:t>cumulative corrected volumetric flow;</w:t>
      </w:r>
    </w:p>
    <w:p w14:paraId="72E62AB9" w14:textId="77777777" w:rsidR="00872C03" w:rsidRPr="00883399" w:rsidRDefault="00872C03" w:rsidP="00872C03">
      <w:pPr>
        <w:pStyle w:val="paragraphsub"/>
        <w:rPr>
          <w:sz w:val="24"/>
        </w:rPr>
      </w:pPr>
      <w:r w:rsidRPr="00883399">
        <w:rPr>
          <w:sz w:val="24"/>
        </w:rPr>
        <w:tab/>
        <w:t>(iii)</w:t>
      </w:r>
      <w:r w:rsidRPr="00883399">
        <w:rPr>
          <w:sz w:val="24"/>
        </w:rPr>
        <w:tab/>
        <w:t>for turbine and positive displacement metering systems—instantaneous uncorrected volumetric flow;</w:t>
      </w:r>
    </w:p>
    <w:p w14:paraId="0301FF9C" w14:textId="77777777" w:rsidR="00872C03" w:rsidRPr="00883399" w:rsidRDefault="00872C03" w:rsidP="00872C03">
      <w:pPr>
        <w:pStyle w:val="paragraphsub"/>
        <w:rPr>
          <w:sz w:val="24"/>
        </w:rPr>
      </w:pPr>
      <w:r w:rsidRPr="00883399">
        <w:rPr>
          <w:sz w:val="24"/>
        </w:rPr>
        <w:tab/>
        <w:t>(iv)</w:t>
      </w:r>
      <w:r w:rsidRPr="00883399">
        <w:rPr>
          <w:sz w:val="24"/>
        </w:rPr>
        <w:tab/>
        <w:t>for turbine and positive displacement metering systems—cumulative uncorrected volumetric flow;</w:t>
      </w:r>
    </w:p>
    <w:p w14:paraId="7EB7B5A5" w14:textId="77777777" w:rsidR="00872C03" w:rsidRPr="00883399" w:rsidRDefault="00872C03" w:rsidP="00872C03">
      <w:pPr>
        <w:pStyle w:val="paragraphsub"/>
        <w:rPr>
          <w:sz w:val="24"/>
        </w:rPr>
      </w:pPr>
      <w:r w:rsidRPr="00883399">
        <w:rPr>
          <w:sz w:val="24"/>
        </w:rPr>
        <w:tab/>
        <w:t>(v)</w:t>
      </w:r>
      <w:r w:rsidRPr="00883399">
        <w:rPr>
          <w:sz w:val="24"/>
        </w:rPr>
        <w:tab/>
        <w:t>super</w:t>
      </w:r>
      <w:r w:rsidRPr="00883399">
        <w:rPr>
          <w:sz w:val="24"/>
        </w:rPr>
        <w:noBreakHyphen/>
        <w:t>compressibility factor.</w:t>
      </w:r>
    </w:p>
    <w:p w14:paraId="68C08110" w14:textId="0C5D1ABD" w:rsidR="00872C03" w:rsidRPr="00883399" w:rsidRDefault="00872C03" w:rsidP="00872C03">
      <w:pPr>
        <w:pStyle w:val="ActHead5"/>
        <w:rPr>
          <w:sz w:val="28"/>
        </w:rPr>
      </w:pPr>
      <w:bookmarkStart w:id="267" w:name="_Toc423516788"/>
      <w:bookmarkStart w:id="268" w:name="_Toc495652704"/>
      <w:r w:rsidRPr="00883399">
        <w:rPr>
          <w:rStyle w:val="CharSectno"/>
          <w:sz w:val="28"/>
        </w:rPr>
        <w:t>2.37</w:t>
      </w:r>
      <w:r w:rsidRPr="00883399">
        <w:rPr>
          <w:sz w:val="28"/>
        </w:rPr>
        <w:t xml:space="preserve">  Gas chromatographs—requirements</w:t>
      </w:r>
      <w:bookmarkEnd w:id="267"/>
      <w:bookmarkEnd w:id="268"/>
    </w:p>
    <w:p w14:paraId="3C2438FA" w14:textId="77777777" w:rsidR="00872C03" w:rsidRPr="00883399" w:rsidRDefault="00872C03" w:rsidP="00872C03">
      <w:pPr>
        <w:pStyle w:val="subsection"/>
        <w:rPr>
          <w:sz w:val="24"/>
        </w:rPr>
      </w:pPr>
      <w:r w:rsidRPr="00883399">
        <w:rPr>
          <w:sz w:val="24"/>
        </w:rPr>
        <w:tab/>
      </w:r>
      <w:r w:rsidRPr="00883399">
        <w:rPr>
          <w:sz w:val="24"/>
        </w:rPr>
        <w:tab/>
        <w:t>For paragraph 2.34(c), the requirements are that gas chromatographs used by the measuring equipment must:</w:t>
      </w:r>
    </w:p>
    <w:p w14:paraId="54AA9374" w14:textId="77777777" w:rsidR="00872C03" w:rsidRPr="00883399" w:rsidRDefault="00872C03" w:rsidP="00872C03">
      <w:pPr>
        <w:pStyle w:val="paragraph"/>
        <w:rPr>
          <w:sz w:val="24"/>
        </w:rPr>
      </w:pPr>
      <w:r w:rsidRPr="00883399">
        <w:rPr>
          <w:sz w:val="24"/>
        </w:rPr>
        <w:tab/>
        <w:t>(a)</w:t>
      </w:r>
      <w:r w:rsidRPr="00883399">
        <w:rPr>
          <w:sz w:val="24"/>
        </w:rPr>
        <w:tab/>
        <w:t>be factory tested and calibrated using a measurement standard:</w:t>
      </w:r>
    </w:p>
    <w:p w14:paraId="2EE7B1AB" w14:textId="77777777" w:rsidR="00872C03" w:rsidRPr="00883399" w:rsidRDefault="00872C03" w:rsidP="00872C03">
      <w:pPr>
        <w:pStyle w:val="paragraphsub"/>
        <w:rPr>
          <w:sz w:val="24"/>
        </w:rPr>
      </w:pPr>
      <w:r w:rsidRPr="00883399">
        <w:rPr>
          <w:sz w:val="24"/>
        </w:rPr>
        <w:tab/>
        <w:t>(i)</w:t>
      </w:r>
      <w:r w:rsidRPr="00883399">
        <w:rPr>
          <w:sz w:val="24"/>
        </w:rPr>
        <w:tab/>
        <w:t>produced by gravimetric methods; and</w:t>
      </w:r>
    </w:p>
    <w:p w14:paraId="0997AF83" w14:textId="77777777" w:rsidR="00872C03" w:rsidRPr="00883399" w:rsidRDefault="00872C03" w:rsidP="00872C03">
      <w:pPr>
        <w:pStyle w:val="paragraphsub"/>
        <w:rPr>
          <w:sz w:val="24"/>
        </w:rPr>
      </w:pPr>
      <w:r w:rsidRPr="00883399">
        <w:rPr>
          <w:sz w:val="24"/>
        </w:rPr>
        <w:tab/>
        <w:t>(ii)</w:t>
      </w:r>
      <w:r w:rsidRPr="00883399">
        <w:rPr>
          <w:sz w:val="24"/>
        </w:rPr>
        <w:tab/>
        <w:t>that uses Australian legal units of measurement; and</w:t>
      </w:r>
    </w:p>
    <w:p w14:paraId="1B34E585" w14:textId="77777777" w:rsidR="00872C03" w:rsidRPr="00883399" w:rsidRDefault="00872C03" w:rsidP="00872C03">
      <w:pPr>
        <w:pStyle w:val="paragraph"/>
        <w:rPr>
          <w:sz w:val="24"/>
        </w:rPr>
      </w:pPr>
      <w:r w:rsidRPr="00883399">
        <w:rPr>
          <w:sz w:val="24"/>
        </w:rPr>
        <w:tab/>
        <w:t>(b)</w:t>
      </w:r>
      <w:r w:rsidRPr="00883399">
        <w:rPr>
          <w:sz w:val="24"/>
        </w:rPr>
        <w:tab/>
        <w:t>perform gas composition analysis with an accuracy of:</w:t>
      </w:r>
    </w:p>
    <w:p w14:paraId="5755EA3E" w14:textId="77777777" w:rsidR="00872C03" w:rsidRPr="00883399" w:rsidRDefault="00872C03" w:rsidP="00872C03">
      <w:pPr>
        <w:pStyle w:val="paragraphsub"/>
        <w:rPr>
          <w:sz w:val="24"/>
        </w:rPr>
      </w:pPr>
      <w:r w:rsidRPr="00883399">
        <w:rPr>
          <w:sz w:val="24"/>
        </w:rPr>
        <w:tab/>
        <w:t>(i)</w:t>
      </w:r>
      <w:r w:rsidRPr="00883399">
        <w:rPr>
          <w:sz w:val="24"/>
        </w:rPr>
        <w:tab/>
        <w:t>±0.15% for use in calculation of gross calorific value; and</w:t>
      </w:r>
    </w:p>
    <w:p w14:paraId="16083EF1" w14:textId="77777777" w:rsidR="00872C03" w:rsidRPr="00883399" w:rsidRDefault="00872C03" w:rsidP="00872C03">
      <w:pPr>
        <w:pStyle w:val="paragraphsub"/>
        <w:rPr>
          <w:sz w:val="24"/>
        </w:rPr>
      </w:pPr>
      <w:r w:rsidRPr="00883399">
        <w:rPr>
          <w:sz w:val="24"/>
        </w:rPr>
        <w:tab/>
        <w:t>(ii)</w:t>
      </w:r>
      <w:r w:rsidRPr="00883399">
        <w:rPr>
          <w:sz w:val="24"/>
        </w:rPr>
        <w:tab/>
        <w:t>±0.25% for calculation of relative density; and</w:t>
      </w:r>
    </w:p>
    <w:p w14:paraId="5563650A" w14:textId="77777777" w:rsidR="00872C03" w:rsidRPr="00883399" w:rsidRDefault="00872C03" w:rsidP="00872C03">
      <w:pPr>
        <w:pStyle w:val="paragraph"/>
        <w:rPr>
          <w:sz w:val="24"/>
        </w:rPr>
      </w:pPr>
      <w:r w:rsidRPr="00883399">
        <w:rPr>
          <w:sz w:val="24"/>
        </w:rPr>
        <w:tab/>
        <w:t>(c)</w:t>
      </w:r>
      <w:r w:rsidRPr="00883399">
        <w:rPr>
          <w:sz w:val="24"/>
        </w:rPr>
        <w:tab/>
        <w:t>include a mechanism for re</w:t>
      </w:r>
      <w:r w:rsidRPr="00883399">
        <w:rPr>
          <w:sz w:val="24"/>
        </w:rPr>
        <w:noBreakHyphen/>
        <w:t>calibration against a certified reference gas.</w:t>
      </w:r>
    </w:p>
    <w:p w14:paraId="61280107" w14:textId="63C51FAD" w:rsidR="00872C03" w:rsidRPr="00883399" w:rsidRDefault="00872C03" w:rsidP="00872C03">
      <w:pPr>
        <w:pStyle w:val="ActHead5"/>
        <w:rPr>
          <w:sz w:val="28"/>
        </w:rPr>
      </w:pPr>
      <w:bookmarkStart w:id="269" w:name="_Toc423516789"/>
      <w:bookmarkStart w:id="270" w:name="_Toc495652705"/>
      <w:r w:rsidRPr="00883399">
        <w:rPr>
          <w:rStyle w:val="CharSectno"/>
          <w:sz w:val="28"/>
        </w:rPr>
        <w:t>2.38</w:t>
      </w:r>
      <w:r w:rsidRPr="00883399">
        <w:rPr>
          <w:sz w:val="28"/>
        </w:rPr>
        <w:t xml:space="preserve">  Simplified consumption measurements—criterion BBB</w:t>
      </w:r>
      <w:bookmarkEnd w:id="269"/>
      <w:bookmarkEnd w:id="270"/>
    </w:p>
    <w:p w14:paraId="56BC65EC" w14:textId="77777777" w:rsidR="00872C03" w:rsidRPr="00883399" w:rsidRDefault="00872C03" w:rsidP="00872C03">
      <w:pPr>
        <w:pStyle w:val="subsection"/>
        <w:rPr>
          <w:sz w:val="24"/>
        </w:rPr>
      </w:pPr>
      <w:r w:rsidRPr="00883399">
        <w:rPr>
          <w:sz w:val="24"/>
        </w:rPr>
        <w:tab/>
        <w:t>(1)</w:t>
      </w:r>
      <w:r w:rsidRPr="00883399">
        <w:rPr>
          <w:sz w:val="24"/>
        </w:rPr>
        <w:tab/>
        <w:t>For paragraph 2.29(4)(b), criterion BBB is the estimation of gaseous fuel in accordance with industry practice if the measuring equipment used to estimate consumption of the fuel does not meet the requirements of criterion AAA.</w:t>
      </w:r>
    </w:p>
    <w:p w14:paraId="149EFCA8" w14:textId="77777777" w:rsidR="00872C03" w:rsidRPr="00883399" w:rsidRDefault="00872C03" w:rsidP="00872C03">
      <w:pPr>
        <w:pStyle w:val="subsection"/>
        <w:rPr>
          <w:sz w:val="24"/>
        </w:rPr>
      </w:pPr>
      <w:r w:rsidRPr="00883399">
        <w:rPr>
          <w:sz w:val="24"/>
        </w:rPr>
        <w:tab/>
        <w:t>(2)</w:t>
      </w:r>
      <w:r w:rsidRPr="00883399">
        <w:rPr>
          <w:sz w:val="24"/>
        </w:rPr>
        <w:tab/>
        <w:t>For sources of landfill gas captured for the purpose of combustion for the production of electricity:</w:t>
      </w:r>
    </w:p>
    <w:p w14:paraId="324F7E6A" w14:textId="77777777" w:rsidR="00872C03" w:rsidRPr="00883399" w:rsidRDefault="00872C03" w:rsidP="00872C03">
      <w:pPr>
        <w:pStyle w:val="paragraph"/>
        <w:rPr>
          <w:sz w:val="24"/>
        </w:rPr>
      </w:pPr>
      <w:r w:rsidRPr="00883399">
        <w:rPr>
          <w:sz w:val="24"/>
        </w:rPr>
        <w:tab/>
        <w:t>(a)</w:t>
      </w:r>
      <w:r w:rsidRPr="00883399">
        <w:rPr>
          <w:sz w:val="24"/>
        </w:rPr>
        <w:tab/>
        <w:t>the energy content of the captured landfill gas may be estimated:</w:t>
      </w:r>
    </w:p>
    <w:p w14:paraId="2EB189FE" w14:textId="77777777" w:rsidR="00872C03" w:rsidRPr="00883399" w:rsidRDefault="00872C03" w:rsidP="00872C03">
      <w:pPr>
        <w:pStyle w:val="paragraphsub"/>
        <w:rPr>
          <w:sz w:val="24"/>
        </w:rPr>
      </w:pPr>
      <w:r w:rsidRPr="00883399">
        <w:rPr>
          <w:sz w:val="24"/>
        </w:rPr>
        <w:tab/>
        <w:t>(i)</w:t>
      </w:r>
      <w:r w:rsidRPr="00883399">
        <w:rPr>
          <w:sz w:val="24"/>
        </w:rPr>
        <w:tab/>
        <w:t>if the manufacturer’s specification for the internal combustion engine used to produce the electricity specifies an electrical efficiency factor—by using that factor; or</w:t>
      </w:r>
    </w:p>
    <w:p w14:paraId="6C0794CF" w14:textId="77777777" w:rsidR="00872C03" w:rsidRPr="00883399" w:rsidRDefault="00872C03" w:rsidP="00872C03">
      <w:pPr>
        <w:pStyle w:val="paragraphsub"/>
        <w:rPr>
          <w:sz w:val="24"/>
        </w:rPr>
      </w:pPr>
      <w:r w:rsidRPr="00883399">
        <w:rPr>
          <w:sz w:val="24"/>
        </w:rPr>
        <w:tab/>
        <w:t>(ii)</w:t>
      </w:r>
      <w:r w:rsidRPr="00883399">
        <w:rPr>
          <w:sz w:val="24"/>
        </w:rPr>
        <w:tab/>
        <w:t xml:space="preserve">if the manufacturer’s specification for the internal combustion engine used to produce the electricity does not specify an electrical efficiency factor—by assuming that measured </w:t>
      </w:r>
      <w:r w:rsidRPr="00883399">
        <w:rPr>
          <w:sz w:val="24"/>
        </w:rPr>
        <w:lastRenderedPageBreak/>
        <w:t>electricity dispatched for sale (sent out generation) represents 36% of the energy content of all fuel used to produce electricity; and</w:t>
      </w:r>
    </w:p>
    <w:p w14:paraId="79E4CA99" w14:textId="77777777" w:rsidR="00872C03" w:rsidRPr="00883399" w:rsidRDefault="00872C03" w:rsidP="00872C03">
      <w:pPr>
        <w:pStyle w:val="paragraph"/>
        <w:rPr>
          <w:sz w:val="24"/>
        </w:rPr>
      </w:pPr>
      <w:r w:rsidRPr="00883399">
        <w:rPr>
          <w:sz w:val="24"/>
        </w:rPr>
        <w:tab/>
        <w:t>(b)</w:t>
      </w:r>
      <w:r w:rsidRPr="00883399">
        <w:rPr>
          <w:sz w:val="24"/>
        </w:rPr>
        <w:tab/>
        <w:t>the quantity of landfill gas captured in cubic metres may be derived from the energy content of the relevant gas set out in Part 2 of Schedule 1.</w:t>
      </w:r>
    </w:p>
    <w:p w14:paraId="593D4418" w14:textId="24376CEB" w:rsidR="00872C03" w:rsidRPr="00883399" w:rsidRDefault="00872C03" w:rsidP="00872C03">
      <w:pPr>
        <w:pStyle w:val="ActHead2"/>
        <w:pageBreakBefore/>
        <w:rPr>
          <w:sz w:val="36"/>
        </w:rPr>
      </w:pPr>
      <w:bookmarkStart w:id="271" w:name="_Toc423516790"/>
      <w:bookmarkStart w:id="272" w:name="_Toc495652706"/>
      <w:r w:rsidRPr="00883399">
        <w:rPr>
          <w:rStyle w:val="CharPartNo"/>
          <w:sz w:val="36"/>
        </w:rPr>
        <w:lastRenderedPageBreak/>
        <w:t>Part 2.4</w:t>
      </w:r>
      <w:r w:rsidRPr="00883399">
        <w:rPr>
          <w:sz w:val="36"/>
        </w:rPr>
        <w:t>—</w:t>
      </w:r>
      <w:r w:rsidRPr="00883399">
        <w:rPr>
          <w:rStyle w:val="CharPartText"/>
          <w:sz w:val="36"/>
        </w:rPr>
        <w:t>Emissions released from the combustion of liquid fuels</w:t>
      </w:r>
      <w:bookmarkEnd w:id="271"/>
      <w:bookmarkEnd w:id="272"/>
    </w:p>
    <w:p w14:paraId="1E6A37F2" w14:textId="32D91424" w:rsidR="00872C03" w:rsidRPr="00883399" w:rsidRDefault="00872C03" w:rsidP="00872C03">
      <w:pPr>
        <w:pStyle w:val="ActHead3"/>
        <w:rPr>
          <w:sz w:val="32"/>
        </w:rPr>
      </w:pPr>
      <w:bookmarkStart w:id="273" w:name="_Toc423516791"/>
      <w:bookmarkStart w:id="274" w:name="_Toc495652707"/>
      <w:r w:rsidRPr="00883399">
        <w:rPr>
          <w:rStyle w:val="CharDivNo"/>
          <w:sz w:val="32"/>
        </w:rPr>
        <w:t>Division 2.4.1</w:t>
      </w:r>
      <w:r w:rsidRPr="00883399">
        <w:rPr>
          <w:sz w:val="32"/>
        </w:rPr>
        <w:t>—</w:t>
      </w:r>
      <w:r w:rsidRPr="00883399">
        <w:rPr>
          <w:rStyle w:val="CharDivText"/>
          <w:sz w:val="32"/>
        </w:rPr>
        <w:t>Preliminary</w:t>
      </w:r>
      <w:bookmarkEnd w:id="273"/>
      <w:bookmarkEnd w:id="274"/>
    </w:p>
    <w:p w14:paraId="6BF0EF9D" w14:textId="26CCFE80" w:rsidR="00872C03" w:rsidRPr="00883399" w:rsidRDefault="00872C03" w:rsidP="00872C03">
      <w:pPr>
        <w:pStyle w:val="ActHead5"/>
        <w:rPr>
          <w:sz w:val="28"/>
        </w:rPr>
      </w:pPr>
      <w:bookmarkStart w:id="275" w:name="_Toc423516792"/>
      <w:bookmarkStart w:id="276" w:name="_Toc495652708"/>
      <w:r w:rsidRPr="00883399">
        <w:rPr>
          <w:rStyle w:val="CharSectno"/>
          <w:sz w:val="28"/>
        </w:rPr>
        <w:t>2.39</w:t>
      </w:r>
      <w:r w:rsidRPr="00883399">
        <w:rPr>
          <w:sz w:val="28"/>
        </w:rPr>
        <w:t xml:space="preserve">  Application</w:t>
      </w:r>
      <w:bookmarkEnd w:id="275"/>
      <w:bookmarkEnd w:id="276"/>
    </w:p>
    <w:p w14:paraId="15255CCA" w14:textId="77777777" w:rsidR="00872C03" w:rsidRPr="00883399" w:rsidRDefault="00872C03" w:rsidP="00872C03">
      <w:pPr>
        <w:pStyle w:val="subsection"/>
        <w:rPr>
          <w:sz w:val="24"/>
        </w:rPr>
      </w:pPr>
      <w:r w:rsidRPr="00883399">
        <w:rPr>
          <w:sz w:val="24"/>
        </w:rPr>
        <w:tab/>
      </w:r>
      <w:r w:rsidRPr="00883399">
        <w:rPr>
          <w:sz w:val="24"/>
        </w:rPr>
        <w:tab/>
        <w:t>This Part applies to emissions released from:</w:t>
      </w:r>
    </w:p>
    <w:p w14:paraId="55656382" w14:textId="77777777" w:rsidR="00872C03" w:rsidRPr="00883399" w:rsidRDefault="00872C03" w:rsidP="00872C03">
      <w:pPr>
        <w:pStyle w:val="paragraph"/>
        <w:rPr>
          <w:sz w:val="24"/>
        </w:rPr>
      </w:pPr>
      <w:r w:rsidRPr="00883399">
        <w:rPr>
          <w:sz w:val="24"/>
        </w:rPr>
        <w:tab/>
        <w:t>(a)</w:t>
      </w:r>
      <w:r w:rsidRPr="00883399">
        <w:rPr>
          <w:sz w:val="24"/>
        </w:rPr>
        <w:tab/>
        <w:t>the combustion of petroleum based oil (other than petroleum based oil used as fuel) or petroleum based grease, in relation to a separate instance of a source, if the total amount of oil and grease combusted in relation to the separate instance of the source is more than 5 kilolitres; and</w:t>
      </w:r>
    </w:p>
    <w:p w14:paraId="2DA75FEC" w14:textId="77777777" w:rsidR="00872C03" w:rsidRPr="00883399" w:rsidRDefault="00872C03" w:rsidP="00872C03">
      <w:pPr>
        <w:pStyle w:val="paragraph"/>
        <w:rPr>
          <w:sz w:val="24"/>
        </w:rPr>
      </w:pPr>
      <w:r w:rsidRPr="00883399">
        <w:rPr>
          <w:sz w:val="24"/>
        </w:rPr>
        <w:tab/>
        <w:t>(b)</w:t>
      </w:r>
      <w:r w:rsidRPr="00883399">
        <w:rPr>
          <w:sz w:val="24"/>
        </w:rPr>
        <w:tab/>
        <w:t>for a liquid fuel not of the kind mentioned in paragraph (a)—the combustion of liquid fuel in relation to a separate instance of a source, if the total amount of liquid fuel combusted in relation to the separate instance of the source is more than 1 kilolitre.</w:t>
      </w:r>
    </w:p>
    <w:p w14:paraId="0917B794" w14:textId="1AACCD44" w:rsidR="00872C03" w:rsidRPr="00883399" w:rsidRDefault="00872C03" w:rsidP="00872C03">
      <w:pPr>
        <w:pStyle w:val="ActHead5"/>
        <w:rPr>
          <w:sz w:val="28"/>
        </w:rPr>
      </w:pPr>
      <w:bookmarkStart w:id="277" w:name="_Toc423516793"/>
      <w:bookmarkStart w:id="278" w:name="_Toc495652709"/>
      <w:r w:rsidRPr="00883399">
        <w:rPr>
          <w:rStyle w:val="CharSectno"/>
          <w:sz w:val="28"/>
        </w:rPr>
        <w:t>2.39A</w:t>
      </w:r>
      <w:r w:rsidRPr="00883399">
        <w:rPr>
          <w:sz w:val="28"/>
        </w:rPr>
        <w:t xml:space="preserve">  Definition of </w:t>
      </w:r>
      <w:r w:rsidRPr="00883399">
        <w:rPr>
          <w:i/>
          <w:sz w:val="28"/>
        </w:rPr>
        <w:t xml:space="preserve">petroleum based oils </w:t>
      </w:r>
      <w:r w:rsidRPr="00883399">
        <w:rPr>
          <w:sz w:val="28"/>
        </w:rPr>
        <w:t>for Part 2.4</w:t>
      </w:r>
      <w:bookmarkEnd w:id="277"/>
      <w:bookmarkEnd w:id="278"/>
    </w:p>
    <w:p w14:paraId="6DEA703F" w14:textId="77777777" w:rsidR="00872C03" w:rsidRPr="00883399" w:rsidRDefault="00872C03" w:rsidP="00872C03">
      <w:pPr>
        <w:pStyle w:val="subsection"/>
        <w:rPr>
          <w:sz w:val="24"/>
        </w:rPr>
      </w:pPr>
      <w:r w:rsidRPr="00883399">
        <w:rPr>
          <w:sz w:val="24"/>
        </w:rPr>
        <w:tab/>
      </w:r>
      <w:r w:rsidRPr="00883399">
        <w:rPr>
          <w:sz w:val="24"/>
        </w:rPr>
        <w:tab/>
        <w:t>In this Part:</w:t>
      </w:r>
    </w:p>
    <w:p w14:paraId="55E105AA" w14:textId="77777777" w:rsidR="00872C03" w:rsidRPr="00883399" w:rsidRDefault="00872C03" w:rsidP="00872C03">
      <w:pPr>
        <w:pStyle w:val="Definition0"/>
        <w:rPr>
          <w:sz w:val="24"/>
        </w:rPr>
      </w:pPr>
      <w:r w:rsidRPr="00883399">
        <w:rPr>
          <w:b/>
          <w:i/>
          <w:sz w:val="24"/>
        </w:rPr>
        <w:t xml:space="preserve">petroleum based oils </w:t>
      </w:r>
      <w:r w:rsidRPr="00883399">
        <w:rPr>
          <w:sz w:val="24"/>
        </w:rPr>
        <w:t>means petroleum based oils (other than petroleum based oils used as fuel).</w:t>
      </w:r>
    </w:p>
    <w:p w14:paraId="34A33070" w14:textId="24C93B08" w:rsidR="00872C03" w:rsidRPr="00883399" w:rsidRDefault="00872C03" w:rsidP="00872C03">
      <w:pPr>
        <w:pStyle w:val="ActHead4"/>
        <w:rPr>
          <w:sz w:val="28"/>
        </w:rPr>
      </w:pPr>
      <w:bookmarkStart w:id="279" w:name="_Toc423516794"/>
      <w:bookmarkStart w:id="280" w:name="_Toc495652710"/>
      <w:r w:rsidRPr="00883399">
        <w:rPr>
          <w:rStyle w:val="CharSubdNo"/>
          <w:sz w:val="28"/>
        </w:rPr>
        <w:t>Subdivision 2.4.1.1</w:t>
      </w:r>
      <w:r w:rsidRPr="00883399">
        <w:rPr>
          <w:sz w:val="28"/>
        </w:rPr>
        <w:t>—</w:t>
      </w:r>
      <w:r w:rsidRPr="00883399">
        <w:rPr>
          <w:rStyle w:val="CharSubdText"/>
          <w:sz w:val="28"/>
        </w:rPr>
        <w:t>Liquid fuels—other than petroleum based oils and greases</w:t>
      </w:r>
      <w:bookmarkEnd w:id="279"/>
      <w:bookmarkEnd w:id="280"/>
    </w:p>
    <w:p w14:paraId="7385FED1" w14:textId="51C42A89" w:rsidR="00872C03" w:rsidRPr="00883399" w:rsidRDefault="00872C03" w:rsidP="00872C03">
      <w:pPr>
        <w:pStyle w:val="ActHead5"/>
        <w:rPr>
          <w:sz w:val="28"/>
        </w:rPr>
      </w:pPr>
      <w:bookmarkStart w:id="281" w:name="_Toc423516795"/>
      <w:bookmarkStart w:id="282" w:name="_Toc495652711"/>
      <w:r w:rsidRPr="00883399">
        <w:rPr>
          <w:rStyle w:val="CharSectno"/>
          <w:sz w:val="28"/>
        </w:rPr>
        <w:t>2.40</w:t>
      </w:r>
      <w:r w:rsidRPr="00883399">
        <w:rPr>
          <w:sz w:val="28"/>
        </w:rPr>
        <w:t xml:space="preserve">  Available methods</w:t>
      </w:r>
      <w:bookmarkEnd w:id="281"/>
      <w:bookmarkEnd w:id="282"/>
    </w:p>
    <w:p w14:paraId="768D98B9" w14:textId="77777777" w:rsidR="00872C03" w:rsidRPr="00883399" w:rsidRDefault="00872C03" w:rsidP="00872C03">
      <w:pPr>
        <w:pStyle w:val="subsection"/>
        <w:rPr>
          <w:sz w:val="24"/>
        </w:rPr>
      </w:pPr>
      <w:r w:rsidRPr="00883399">
        <w:rPr>
          <w:sz w:val="24"/>
        </w:rPr>
        <w:tab/>
        <w:t>(1)</w:t>
      </w:r>
      <w:r w:rsidRPr="00883399">
        <w:rPr>
          <w:sz w:val="24"/>
        </w:rPr>
        <w:tab/>
        <w:t>Subject to section 1.18, for estimating emissions released from the combustion of a liquid fuel, other than petroleum</w:t>
      </w:r>
      <w:r w:rsidRPr="00883399">
        <w:rPr>
          <w:rStyle w:val="Emphasis"/>
          <w:sz w:val="24"/>
        </w:rPr>
        <w:t xml:space="preserve"> based oils and petroleum based greases</w:t>
      </w:r>
      <w:r w:rsidRPr="00883399">
        <w:rPr>
          <w:sz w:val="24"/>
        </w:rPr>
        <w:t>, consumed from the operation of a facility during a year:</w:t>
      </w:r>
    </w:p>
    <w:p w14:paraId="3128FAB4" w14:textId="77777777" w:rsidR="00872C03" w:rsidRPr="00883399" w:rsidRDefault="00872C03" w:rsidP="00872C03">
      <w:pPr>
        <w:pStyle w:val="paragraph"/>
        <w:rPr>
          <w:sz w:val="24"/>
        </w:rPr>
      </w:pPr>
      <w:r w:rsidRPr="00883399">
        <w:rPr>
          <w:sz w:val="24"/>
        </w:rPr>
        <w:tab/>
        <w:t>(a)</w:t>
      </w:r>
      <w:r w:rsidRPr="00883399">
        <w:rPr>
          <w:sz w:val="24"/>
        </w:rPr>
        <w:tab/>
        <w:t>one of the following methods must be used for estimating emissions of carbon dioxide:</w:t>
      </w:r>
    </w:p>
    <w:p w14:paraId="0C268ADC" w14:textId="77777777" w:rsidR="00872C03" w:rsidRPr="00883399" w:rsidRDefault="00872C03" w:rsidP="00872C03">
      <w:pPr>
        <w:pStyle w:val="paragraphsub"/>
        <w:rPr>
          <w:sz w:val="24"/>
        </w:rPr>
      </w:pPr>
      <w:r w:rsidRPr="00883399">
        <w:rPr>
          <w:sz w:val="24"/>
          <w:vertAlign w:val="subscript"/>
        </w:rPr>
        <w:tab/>
      </w:r>
      <w:r w:rsidRPr="00883399">
        <w:rPr>
          <w:sz w:val="24"/>
        </w:rPr>
        <w:t>(i)</w:t>
      </w:r>
      <w:r w:rsidRPr="00883399">
        <w:rPr>
          <w:sz w:val="24"/>
        </w:rPr>
        <w:tab/>
        <w:t>method 1 under section 2.41;</w:t>
      </w:r>
    </w:p>
    <w:p w14:paraId="3DA9C7A1" w14:textId="77777777" w:rsidR="00872C03" w:rsidRPr="00883399" w:rsidRDefault="00872C03" w:rsidP="00872C03">
      <w:pPr>
        <w:pStyle w:val="paragraphsub"/>
        <w:rPr>
          <w:sz w:val="24"/>
        </w:rPr>
      </w:pPr>
      <w:r w:rsidRPr="00883399">
        <w:rPr>
          <w:sz w:val="24"/>
        </w:rPr>
        <w:tab/>
        <w:t>(ii)</w:t>
      </w:r>
      <w:r w:rsidRPr="00883399">
        <w:rPr>
          <w:sz w:val="24"/>
        </w:rPr>
        <w:tab/>
        <w:t>method 2 under section 2.42;</w:t>
      </w:r>
    </w:p>
    <w:p w14:paraId="355C3DB0" w14:textId="77777777" w:rsidR="00872C03" w:rsidRPr="00883399" w:rsidRDefault="00872C03" w:rsidP="00872C03">
      <w:pPr>
        <w:pStyle w:val="paragraphsub"/>
        <w:rPr>
          <w:sz w:val="24"/>
        </w:rPr>
      </w:pPr>
      <w:r w:rsidRPr="00883399">
        <w:rPr>
          <w:sz w:val="24"/>
        </w:rPr>
        <w:tab/>
        <w:t>(iii)</w:t>
      </w:r>
      <w:r w:rsidRPr="00883399">
        <w:rPr>
          <w:sz w:val="24"/>
        </w:rPr>
        <w:tab/>
        <w:t>method 3 under section 2.47;</w:t>
      </w:r>
    </w:p>
    <w:p w14:paraId="2EB74661" w14:textId="77777777" w:rsidR="00872C03" w:rsidRPr="00883399" w:rsidRDefault="00872C03" w:rsidP="00872C03">
      <w:pPr>
        <w:pStyle w:val="paragraphsub"/>
        <w:rPr>
          <w:sz w:val="24"/>
        </w:rPr>
      </w:pPr>
      <w:r w:rsidRPr="00883399">
        <w:rPr>
          <w:sz w:val="24"/>
        </w:rPr>
        <w:tab/>
        <w:t>(iv)</w:t>
      </w:r>
      <w:r w:rsidRPr="00883399">
        <w:rPr>
          <w:sz w:val="24"/>
        </w:rPr>
        <w:tab/>
        <w:t>method 4 under Part 1.3; and</w:t>
      </w:r>
    </w:p>
    <w:p w14:paraId="4813CEFB" w14:textId="77777777" w:rsidR="00872C03" w:rsidRPr="00883399" w:rsidRDefault="00872C03" w:rsidP="00872C03">
      <w:pPr>
        <w:pStyle w:val="paragraph"/>
        <w:rPr>
          <w:sz w:val="24"/>
        </w:rPr>
      </w:pPr>
      <w:r w:rsidRPr="00883399">
        <w:rPr>
          <w:sz w:val="24"/>
        </w:rPr>
        <w:tab/>
        <w:t>(b)</w:t>
      </w:r>
      <w:r w:rsidRPr="00883399">
        <w:rPr>
          <w:sz w:val="24"/>
        </w:rPr>
        <w:tab/>
        <w:t>one of the following methods must be used for estimating emissions of methane and nitrous oxide:</w:t>
      </w:r>
    </w:p>
    <w:p w14:paraId="3AF8418F" w14:textId="77777777" w:rsidR="00872C03" w:rsidRPr="00883399" w:rsidRDefault="00872C03" w:rsidP="00872C03">
      <w:pPr>
        <w:pStyle w:val="paragraphsub"/>
        <w:rPr>
          <w:sz w:val="24"/>
        </w:rPr>
      </w:pPr>
      <w:r w:rsidRPr="00883399">
        <w:rPr>
          <w:sz w:val="24"/>
        </w:rPr>
        <w:lastRenderedPageBreak/>
        <w:tab/>
        <w:t>(i)</w:t>
      </w:r>
      <w:r w:rsidRPr="00883399">
        <w:rPr>
          <w:sz w:val="24"/>
        </w:rPr>
        <w:tab/>
        <w:t>method 1 under section 2.41;</w:t>
      </w:r>
    </w:p>
    <w:p w14:paraId="60F7E4A3" w14:textId="77777777" w:rsidR="00872C03" w:rsidRPr="00883399" w:rsidRDefault="00872C03" w:rsidP="00872C03">
      <w:pPr>
        <w:pStyle w:val="paragraphsub"/>
        <w:rPr>
          <w:sz w:val="24"/>
        </w:rPr>
      </w:pPr>
      <w:r w:rsidRPr="00883399">
        <w:rPr>
          <w:sz w:val="24"/>
        </w:rPr>
        <w:tab/>
        <w:t>(ii)</w:t>
      </w:r>
      <w:r w:rsidRPr="00883399">
        <w:rPr>
          <w:sz w:val="24"/>
        </w:rPr>
        <w:tab/>
        <w:t>method 2 under section 2.48.</w:t>
      </w:r>
    </w:p>
    <w:p w14:paraId="210B2B51" w14:textId="77777777" w:rsidR="00872C03" w:rsidRPr="00883399" w:rsidRDefault="00872C03" w:rsidP="00872C03">
      <w:pPr>
        <w:pStyle w:val="subsection"/>
        <w:rPr>
          <w:sz w:val="24"/>
        </w:rPr>
      </w:pPr>
      <w:r w:rsidRPr="00883399">
        <w:rPr>
          <w:sz w:val="24"/>
        </w:rPr>
        <w:tab/>
        <w:t>(2)</w:t>
      </w:r>
      <w:r w:rsidRPr="00883399">
        <w:rPr>
          <w:sz w:val="24"/>
        </w:rPr>
        <w:tab/>
        <w:t>Under paragraph (1)(b), the same method must be used for estimating emissions of methane and nitrous oxide.</w:t>
      </w:r>
    </w:p>
    <w:p w14:paraId="44897DB2" w14:textId="77777777" w:rsidR="00872C03" w:rsidRPr="00883399" w:rsidRDefault="00872C03" w:rsidP="00872C03">
      <w:pPr>
        <w:pStyle w:val="subsection"/>
        <w:rPr>
          <w:sz w:val="24"/>
        </w:rPr>
      </w:pPr>
      <w:r w:rsidRPr="00883399">
        <w:rPr>
          <w:sz w:val="24"/>
        </w:rPr>
        <w:tab/>
        <w:t>(3)</w:t>
      </w:r>
      <w:r w:rsidRPr="00883399">
        <w:rPr>
          <w:sz w:val="24"/>
        </w:rPr>
        <w:tab/>
        <w:t>However, for incidental emissions another method may be used that is consistent with the principles in section 1.13.</w:t>
      </w:r>
    </w:p>
    <w:p w14:paraId="69A7E323" w14:textId="77777777" w:rsidR="00872C03" w:rsidRPr="00883399" w:rsidRDefault="00872C03" w:rsidP="00872C03">
      <w:pPr>
        <w:pStyle w:val="notetext"/>
        <w:rPr>
          <w:sz w:val="20"/>
        </w:rPr>
      </w:pPr>
      <w:r w:rsidRPr="00883399">
        <w:rPr>
          <w:sz w:val="20"/>
        </w:rPr>
        <w:t>Note:</w:t>
      </w:r>
      <w:r w:rsidRPr="00883399">
        <w:rPr>
          <w:sz w:val="20"/>
        </w:rPr>
        <w:tab/>
        <w:t>The combustion of liquid fuels releases emissions of carbon dioxide, methane and nitrous oxide. Method 1 may be used to estimate emissions of each of these gases. There is no method 3 or 4 for emissions of methane or nitrous oxide.</w:t>
      </w:r>
    </w:p>
    <w:p w14:paraId="68C1AEDF" w14:textId="77777777" w:rsidR="00872C03" w:rsidRPr="00883399" w:rsidRDefault="00872C03" w:rsidP="00872C03">
      <w:pPr>
        <w:pStyle w:val="Note"/>
        <w:rPr>
          <w:color w:val="000000"/>
        </w:rPr>
      </w:pPr>
      <w:bookmarkStart w:id="283" w:name="_Toc423516796"/>
    </w:p>
    <w:p w14:paraId="695E9633" w14:textId="77777777" w:rsidR="00872C03" w:rsidRPr="00883399" w:rsidRDefault="00872C03" w:rsidP="00872C03">
      <w:pPr>
        <w:pStyle w:val="Note"/>
        <w:ind w:left="244" w:firstLine="720"/>
        <w:outlineLvl w:val="0"/>
        <w:rPr>
          <w:b/>
          <w:color w:val="000000"/>
        </w:rPr>
      </w:pPr>
      <w:r w:rsidRPr="00883399">
        <w:rPr>
          <w:b/>
          <w:color w:val="000000"/>
        </w:rPr>
        <w:t>Summary of available Methods by emissions of gas type (j)</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1781"/>
        <w:gridCol w:w="1544"/>
        <w:gridCol w:w="2014"/>
      </w:tblGrid>
      <w:tr w:rsidR="00872C03" w:rsidRPr="00883399" w14:paraId="3C94E154" w14:textId="77777777" w:rsidTr="0031057E">
        <w:tc>
          <w:tcPr>
            <w:tcW w:w="1920" w:type="dxa"/>
            <w:shd w:val="clear" w:color="auto" w:fill="F3F3F3"/>
          </w:tcPr>
          <w:p w14:paraId="6CB4FFA9" w14:textId="77777777" w:rsidR="00872C03" w:rsidRPr="00883399" w:rsidRDefault="00872C03" w:rsidP="0031057E">
            <w:pPr>
              <w:pStyle w:val="Note"/>
              <w:ind w:left="0"/>
              <w:rPr>
                <w:b/>
                <w:color w:val="000000"/>
              </w:rPr>
            </w:pPr>
          </w:p>
        </w:tc>
        <w:tc>
          <w:tcPr>
            <w:tcW w:w="1800" w:type="dxa"/>
            <w:shd w:val="clear" w:color="auto" w:fill="F3F3F3"/>
          </w:tcPr>
          <w:p w14:paraId="76C0EE20" w14:textId="77777777" w:rsidR="00872C03" w:rsidRPr="00883399" w:rsidRDefault="00872C03" w:rsidP="0031057E">
            <w:pPr>
              <w:pStyle w:val="Note"/>
              <w:ind w:left="0"/>
              <w:jc w:val="center"/>
              <w:rPr>
                <w:b/>
                <w:color w:val="000000"/>
              </w:rPr>
            </w:pPr>
            <w:r w:rsidRPr="00883399">
              <w:rPr>
                <w:b/>
                <w:color w:val="000000"/>
              </w:rPr>
              <w:t>CO</w:t>
            </w:r>
            <w:r w:rsidRPr="00883399">
              <w:rPr>
                <w:b/>
                <w:color w:val="000000"/>
                <w:vertAlign w:val="subscript"/>
              </w:rPr>
              <w:t>2</w:t>
            </w:r>
          </w:p>
        </w:tc>
        <w:tc>
          <w:tcPr>
            <w:tcW w:w="1560" w:type="dxa"/>
            <w:shd w:val="clear" w:color="auto" w:fill="F3F3F3"/>
          </w:tcPr>
          <w:p w14:paraId="627C4C04" w14:textId="77777777" w:rsidR="00872C03" w:rsidRPr="00883399" w:rsidRDefault="00872C03" w:rsidP="0031057E">
            <w:pPr>
              <w:pStyle w:val="Note"/>
              <w:ind w:left="0"/>
              <w:jc w:val="center"/>
              <w:rPr>
                <w:b/>
                <w:color w:val="000000"/>
              </w:rPr>
            </w:pPr>
            <w:r w:rsidRPr="00883399">
              <w:rPr>
                <w:b/>
                <w:color w:val="000000"/>
              </w:rPr>
              <w:t>CH</w:t>
            </w:r>
            <w:r w:rsidRPr="00883399">
              <w:rPr>
                <w:b/>
                <w:color w:val="000000"/>
                <w:vertAlign w:val="subscript"/>
              </w:rPr>
              <w:t>4</w:t>
            </w:r>
          </w:p>
        </w:tc>
        <w:tc>
          <w:tcPr>
            <w:tcW w:w="2040" w:type="dxa"/>
            <w:shd w:val="clear" w:color="auto" w:fill="F3F3F3"/>
          </w:tcPr>
          <w:p w14:paraId="557D222C" w14:textId="77777777" w:rsidR="00872C03" w:rsidRPr="00883399" w:rsidRDefault="00872C03" w:rsidP="0031057E">
            <w:pPr>
              <w:pStyle w:val="Note"/>
              <w:ind w:left="0"/>
              <w:jc w:val="center"/>
              <w:rPr>
                <w:b/>
                <w:color w:val="000000"/>
              </w:rPr>
            </w:pPr>
            <w:r w:rsidRPr="00883399">
              <w:rPr>
                <w:b/>
                <w:color w:val="000000"/>
              </w:rPr>
              <w:t>N</w:t>
            </w:r>
            <w:r w:rsidRPr="00883399">
              <w:rPr>
                <w:b/>
                <w:color w:val="000000"/>
                <w:vertAlign w:val="subscript"/>
              </w:rPr>
              <w:t>2</w:t>
            </w:r>
            <w:r w:rsidRPr="00883399">
              <w:rPr>
                <w:b/>
                <w:color w:val="000000"/>
              </w:rPr>
              <w:t>O</w:t>
            </w:r>
          </w:p>
        </w:tc>
      </w:tr>
      <w:tr w:rsidR="00872C03" w:rsidRPr="00883399" w14:paraId="7FDA9D7D" w14:textId="77777777" w:rsidTr="0031057E">
        <w:tc>
          <w:tcPr>
            <w:tcW w:w="1920" w:type="dxa"/>
          </w:tcPr>
          <w:p w14:paraId="36952A35" w14:textId="77777777" w:rsidR="00872C03" w:rsidRPr="00883399" w:rsidRDefault="00872C03" w:rsidP="0031057E">
            <w:pPr>
              <w:pStyle w:val="Note"/>
              <w:ind w:left="0"/>
              <w:rPr>
                <w:color w:val="000000"/>
              </w:rPr>
            </w:pPr>
            <w:r w:rsidRPr="00883399">
              <w:rPr>
                <w:color w:val="000000"/>
              </w:rPr>
              <w:t>Method 1</w:t>
            </w:r>
          </w:p>
        </w:tc>
        <w:tc>
          <w:tcPr>
            <w:tcW w:w="1800" w:type="dxa"/>
          </w:tcPr>
          <w:p w14:paraId="1381132A" w14:textId="77777777" w:rsidR="00872C03" w:rsidRPr="00883399" w:rsidRDefault="00872C03" w:rsidP="0031057E">
            <w:pPr>
              <w:pStyle w:val="Note"/>
              <w:ind w:left="0"/>
              <w:jc w:val="center"/>
              <w:rPr>
                <w:color w:val="000000"/>
              </w:rPr>
            </w:pPr>
            <w:r w:rsidRPr="00883399">
              <w:rPr>
                <w:color w:val="000000"/>
              </w:rPr>
              <w:t>Section 2.41</w:t>
            </w:r>
          </w:p>
        </w:tc>
        <w:tc>
          <w:tcPr>
            <w:tcW w:w="1560" w:type="dxa"/>
          </w:tcPr>
          <w:p w14:paraId="59C8F8EA" w14:textId="77777777" w:rsidR="00872C03" w:rsidRPr="00883399" w:rsidRDefault="00872C03" w:rsidP="0031057E">
            <w:pPr>
              <w:pStyle w:val="Note"/>
              <w:ind w:left="0"/>
              <w:jc w:val="center"/>
              <w:rPr>
                <w:color w:val="000000"/>
              </w:rPr>
            </w:pPr>
            <w:r w:rsidRPr="00883399">
              <w:rPr>
                <w:color w:val="000000"/>
              </w:rPr>
              <w:t>Section 2.41</w:t>
            </w:r>
          </w:p>
        </w:tc>
        <w:tc>
          <w:tcPr>
            <w:tcW w:w="2040" w:type="dxa"/>
          </w:tcPr>
          <w:p w14:paraId="0E020DDD" w14:textId="77777777" w:rsidR="00872C03" w:rsidRPr="00883399" w:rsidRDefault="00872C03" w:rsidP="0031057E">
            <w:pPr>
              <w:pStyle w:val="Note"/>
              <w:ind w:left="0"/>
              <w:jc w:val="center"/>
              <w:rPr>
                <w:color w:val="000000"/>
              </w:rPr>
            </w:pPr>
            <w:r w:rsidRPr="00883399">
              <w:rPr>
                <w:color w:val="000000"/>
              </w:rPr>
              <w:t>Section 2.41</w:t>
            </w:r>
          </w:p>
        </w:tc>
      </w:tr>
      <w:tr w:rsidR="00872C03" w:rsidRPr="00883399" w14:paraId="41B63254" w14:textId="77777777" w:rsidTr="0031057E">
        <w:tc>
          <w:tcPr>
            <w:tcW w:w="1920" w:type="dxa"/>
          </w:tcPr>
          <w:p w14:paraId="00D8CC2F" w14:textId="77777777" w:rsidR="00872C03" w:rsidRPr="00883399" w:rsidRDefault="00872C03" w:rsidP="0031057E">
            <w:pPr>
              <w:pStyle w:val="Note"/>
              <w:ind w:left="0"/>
              <w:rPr>
                <w:color w:val="000000"/>
              </w:rPr>
            </w:pPr>
            <w:r w:rsidRPr="00883399">
              <w:rPr>
                <w:color w:val="000000"/>
              </w:rPr>
              <w:t>Method 2</w:t>
            </w:r>
          </w:p>
        </w:tc>
        <w:tc>
          <w:tcPr>
            <w:tcW w:w="1800" w:type="dxa"/>
          </w:tcPr>
          <w:p w14:paraId="181DDFA6" w14:textId="77777777" w:rsidR="00872C03" w:rsidRPr="00883399" w:rsidRDefault="00872C03" w:rsidP="0031057E">
            <w:pPr>
              <w:pStyle w:val="Note"/>
              <w:ind w:left="0"/>
              <w:jc w:val="center"/>
              <w:rPr>
                <w:color w:val="000000"/>
              </w:rPr>
            </w:pPr>
            <w:r w:rsidRPr="00883399">
              <w:rPr>
                <w:color w:val="000000"/>
              </w:rPr>
              <w:t>Sections 2.42</w:t>
            </w:r>
          </w:p>
        </w:tc>
        <w:tc>
          <w:tcPr>
            <w:tcW w:w="1560" w:type="dxa"/>
          </w:tcPr>
          <w:p w14:paraId="4D199C1A" w14:textId="77777777" w:rsidR="00872C03" w:rsidRPr="00883399" w:rsidRDefault="00872C03" w:rsidP="0031057E">
            <w:pPr>
              <w:pStyle w:val="Note"/>
              <w:ind w:left="0"/>
              <w:jc w:val="center"/>
              <w:rPr>
                <w:color w:val="000000"/>
              </w:rPr>
            </w:pPr>
            <w:r w:rsidRPr="00883399">
              <w:rPr>
                <w:color w:val="000000"/>
              </w:rPr>
              <w:t>Section 2.48</w:t>
            </w:r>
          </w:p>
        </w:tc>
        <w:tc>
          <w:tcPr>
            <w:tcW w:w="2040" w:type="dxa"/>
          </w:tcPr>
          <w:p w14:paraId="6A866AA5" w14:textId="77777777" w:rsidR="00872C03" w:rsidRPr="00883399" w:rsidRDefault="00872C03" w:rsidP="0031057E">
            <w:pPr>
              <w:pStyle w:val="Note"/>
              <w:ind w:left="0"/>
              <w:jc w:val="center"/>
              <w:rPr>
                <w:color w:val="000000"/>
              </w:rPr>
            </w:pPr>
            <w:r w:rsidRPr="00883399">
              <w:rPr>
                <w:color w:val="000000"/>
              </w:rPr>
              <w:t>Section 2.48</w:t>
            </w:r>
          </w:p>
        </w:tc>
      </w:tr>
      <w:tr w:rsidR="00872C03" w:rsidRPr="00883399" w14:paraId="410E9284" w14:textId="77777777" w:rsidTr="0031057E">
        <w:tc>
          <w:tcPr>
            <w:tcW w:w="1920" w:type="dxa"/>
          </w:tcPr>
          <w:p w14:paraId="05B59A0F" w14:textId="77777777" w:rsidR="00872C03" w:rsidRPr="00883399" w:rsidRDefault="00872C03" w:rsidP="0031057E">
            <w:pPr>
              <w:pStyle w:val="Note"/>
              <w:ind w:left="0"/>
              <w:rPr>
                <w:color w:val="000000"/>
              </w:rPr>
            </w:pPr>
            <w:r w:rsidRPr="00883399">
              <w:rPr>
                <w:color w:val="000000"/>
              </w:rPr>
              <w:t>Method 3</w:t>
            </w:r>
          </w:p>
        </w:tc>
        <w:tc>
          <w:tcPr>
            <w:tcW w:w="1800" w:type="dxa"/>
          </w:tcPr>
          <w:p w14:paraId="22E3E740" w14:textId="77777777" w:rsidR="00872C03" w:rsidRPr="00883399" w:rsidRDefault="00872C03" w:rsidP="0031057E">
            <w:pPr>
              <w:pStyle w:val="Note"/>
              <w:ind w:left="0"/>
              <w:jc w:val="center"/>
              <w:rPr>
                <w:color w:val="000000"/>
              </w:rPr>
            </w:pPr>
            <w:r w:rsidRPr="00883399">
              <w:rPr>
                <w:color w:val="000000"/>
              </w:rPr>
              <w:t>Section 2.47</w:t>
            </w:r>
          </w:p>
        </w:tc>
        <w:tc>
          <w:tcPr>
            <w:tcW w:w="1560" w:type="dxa"/>
          </w:tcPr>
          <w:p w14:paraId="1C2B45C3" w14:textId="77777777" w:rsidR="00872C03" w:rsidRPr="00883399" w:rsidRDefault="00872C03" w:rsidP="0031057E">
            <w:pPr>
              <w:pStyle w:val="Note"/>
              <w:ind w:left="0"/>
              <w:jc w:val="center"/>
              <w:rPr>
                <w:color w:val="000000"/>
              </w:rPr>
            </w:pPr>
          </w:p>
        </w:tc>
        <w:tc>
          <w:tcPr>
            <w:tcW w:w="2040" w:type="dxa"/>
          </w:tcPr>
          <w:p w14:paraId="43201691" w14:textId="77777777" w:rsidR="00872C03" w:rsidRPr="00883399" w:rsidRDefault="00872C03" w:rsidP="0031057E">
            <w:pPr>
              <w:pStyle w:val="Note"/>
              <w:ind w:left="0"/>
              <w:jc w:val="center"/>
              <w:rPr>
                <w:color w:val="000000"/>
              </w:rPr>
            </w:pPr>
          </w:p>
        </w:tc>
      </w:tr>
      <w:tr w:rsidR="00872C03" w:rsidRPr="00883399" w14:paraId="652A8948" w14:textId="77777777" w:rsidTr="0031057E">
        <w:tc>
          <w:tcPr>
            <w:tcW w:w="1920" w:type="dxa"/>
          </w:tcPr>
          <w:p w14:paraId="6717A39F" w14:textId="77777777" w:rsidR="00872C03" w:rsidRPr="00883399" w:rsidRDefault="00872C03" w:rsidP="0031057E">
            <w:pPr>
              <w:pStyle w:val="Note"/>
              <w:ind w:left="0"/>
              <w:rPr>
                <w:color w:val="000000"/>
              </w:rPr>
            </w:pPr>
            <w:r w:rsidRPr="00883399">
              <w:rPr>
                <w:color w:val="000000"/>
              </w:rPr>
              <w:t>Method 4</w:t>
            </w:r>
          </w:p>
        </w:tc>
        <w:tc>
          <w:tcPr>
            <w:tcW w:w="1800" w:type="dxa"/>
          </w:tcPr>
          <w:p w14:paraId="10ED0A85" w14:textId="77777777" w:rsidR="00872C03" w:rsidRPr="00883399" w:rsidRDefault="00872C03" w:rsidP="0031057E">
            <w:pPr>
              <w:pStyle w:val="Note"/>
              <w:ind w:left="0"/>
              <w:jc w:val="center"/>
              <w:rPr>
                <w:color w:val="000000"/>
              </w:rPr>
            </w:pPr>
            <w:r w:rsidRPr="00883399">
              <w:rPr>
                <w:color w:val="000000"/>
              </w:rPr>
              <w:t>Part 1.3</w:t>
            </w:r>
          </w:p>
        </w:tc>
        <w:tc>
          <w:tcPr>
            <w:tcW w:w="1560" w:type="dxa"/>
          </w:tcPr>
          <w:p w14:paraId="70B9382D" w14:textId="77777777" w:rsidR="00872C03" w:rsidRPr="00883399" w:rsidRDefault="00872C03" w:rsidP="0031057E">
            <w:pPr>
              <w:pStyle w:val="Note"/>
              <w:ind w:left="0"/>
              <w:jc w:val="center"/>
              <w:rPr>
                <w:color w:val="000000"/>
              </w:rPr>
            </w:pPr>
          </w:p>
        </w:tc>
        <w:tc>
          <w:tcPr>
            <w:tcW w:w="2040" w:type="dxa"/>
          </w:tcPr>
          <w:p w14:paraId="0CAD0878" w14:textId="77777777" w:rsidR="00872C03" w:rsidRPr="00883399" w:rsidRDefault="00872C03" w:rsidP="0031057E">
            <w:pPr>
              <w:pStyle w:val="Note"/>
              <w:ind w:left="0"/>
              <w:jc w:val="center"/>
              <w:rPr>
                <w:color w:val="000000"/>
              </w:rPr>
            </w:pPr>
          </w:p>
        </w:tc>
      </w:tr>
    </w:tbl>
    <w:p w14:paraId="2BE17702" w14:textId="77777777" w:rsidR="00872C03" w:rsidRPr="00883399" w:rsidRDefault="00872C03" w:rsidP="00872C03">
      <w:pPr>
        <w:pStyle w:val="ActHead4"/>
        <w:rPr>
          <w:rStyle w:val="CharSubdNo"/>
          <w:sz w:val="28"/>
        </w:rPr>
      </w:pPr>
    </w:p>
    <w:p w14:paraId="039F5821" w14:textId="6909018E" w:rsidR="00872C03" w:rsidRPr="00883399" w:rsidRDefault="00872C03" w:rsidP="00872C03">
      <w:pPr>
        <w:pStyle w:val="ActHead4"/>
        <w:rPr>
          <w:sz w:val="28"/>
        </w:rPr>
      </w:pPr>
      <w:bookmarkStart w:id="284" w:name="_Toc495652712"/>
      <w:r w:rsidRPr="00883399">
        <w:rPr>
          <w:rStyle w:val="CharSubdNo"/>
          <w:sz w:val="28"/>
        </w:rPr>
        <w:t>Subdivision 2.4.1.2</w:t>
      </w:r>
      <w:r w:rsidRPr="00883399">
        <w:rPr>
          <w:sz w:val="28"/>
        </w:rPr>
        <w:t>—</w:t>
      </w:r>
      <w:r w:rsidRPr="00883399">
        <w:rPr>
          <w:rStyle w:val="CharSubdText"/>
          <w:sz w:val="28"/>
        </w:rPr>
        <w:t>Liquid fuels—petroleum based oils and greases</w:t>
      </w:r>
      <w:bookmarkEnd w:id="283"/>
      <w:bookmarkEnd w:id="284"/>
    </w:p>
    <w:p w14:paraId="130499A5" w14:textId="4B388C42" w:rsidR="00872C03" w:rsidRPr="00883399" w:rsidRDefault="00872C03" w:rsidP="00872C03">
      <w:pPr>
        <w:pStyle w:val="ActHead5"/>
        <w:rPr>
          <w:sz w:val="28"/>
        </w:rPr>
      </w:pPr>
      <w:bookmarkStart w:id="285" w:name="_Toc423516797"/>
      <w:bookmarkStart w:id="286" w:name="_Toc495652713"/>
      <w:r w:rsidRPr="00883399">
        <w:rPr>
          <w:rStyle w:val="CharSectno"/>
          <w:sz w:val="28"/>
        </w:rPr>
        <w:t>2.40A</w:t>
      </w:r>
      <w:r w:rsidRPr="00883399">
        <w:rPr>
          <w:sz w:val="28"/>
        </w:rPr>
        <w:t xml:space="preserve">  Available methods</w:t>
      </w:r>
      <w:bookmarkEnd w:id="285"/>
      <w:bookmarkEnd w:id="286"/>
    </w:p>
    <w:p w14:paraId="32871680" w14:textId="77777777" w:rsidR="00872C03" w:rsidRPr="00883399" w:rsidRDefault="00872C03" w:rsidP="00872C03">
      <w:pPr>
        <w:pStyle w:val="subsection"/>
        <w:rPr>
          <w:sz w:val="24"/>
        </w:rPr>
      </w:pPr>
      <w:r w:rsidRPr="00883399">
        <w:rPr>
          <w:sz w:val="24"/>
        </w:rPr>
        <w:tab/>
        <w:t>(1)</w:t>
      </w:r>
      <w:r w:rsidRPr="00883399">
        <w:rPr>
          <w:sz w:val="24"/>
        </w:rPr>
        <w:tab/>
        <w:t>Subject to section 1.18, for estimating emissions of carbon dioxide released from the consumption, as lubricants, of petroleum based oils or petroleum based greases, consumed from the operation of a facility during a year, one of the following methods must be used:</w:t>
      </w:r>
    </w:p>
    <w:p w14:paraId="0376F1E3" w14:textId="77777777" w:rsidR="00872C03" w:rsidRPr="00883399" w:rsidRDefault="00872C03" w:rsidP="00872C03">
      <w:pPr>
        <w:pStyle w:val="paragraph"/>
        <w:rPr>
          <w:sz w:val="24"/>
        </w:rPr>
      </w:pPr>
      <w:r w:rsidRPr="00883399">
        <w:rPr>
          <w:sz w:val="24"/>
        </w:rPr>
        <w:tab/>
        <w:t>(a)</w:t>
      </w:r>
      <w:r w:rsidRPr="00883399">
        <w:rPr>
          <w:sz w:val="24"/>
        </w:rPr>
        <w:tab/>
        <w:t>method 1 under section 2.48A;</w:t>
      </w:r>
    </w:p>
    <w:p w14:paraId="052A4C96" w14:textId="77777777" w:rsidR="00872C03" w:rsidRPr="00883399" w:rsidRDefault="00872C03" w:rsidP="00872C03">
      <w:pPr>
        <w:pStyle w:val="paragraph"/>
        <w:rPr>
          <w:sz w:val="24"/>
        </w:rPr>
      </w:pPr>
      <w:r w:rsidRPr="00883399">
        <w:rPr>
          <w:sz w:val="24"/>
        </w:rPr>
        <w:tab/>
        <w:t>(b)</w:t>
      </w:r>
      <w:r w:rsidRPr="00883399">
        <w:rPr>
          <w:sz w:val="24"/>
        </w:rPr>
        <w:tab/>
        <w:t xml:space="preserve">method 2 under section 2.48B; </w:t>
      </w:r>
    </w:p>
    <w:p w14:paraId="42C8D608" w14:textId="77777777" w:rsidR="00872C03" w:rsidRPr="00883399" w:rsidRDefault="00872C03" w:rsidP="00872C03">
      <w:pPr>
        <w:pStyle w:val="paragraph"/>
        <w:rPr>
          <w:sz w:val="24"/>
        </w:rPr>
      </w:pPr>
      <w:r w:rsidRPr="00883399">
        <w:rPr>
          <w:sz w:val="24"/>
        </w:rPr>
        <w:tab/>
        <w:t>(c)</w:t>
      </w:r>
      <w:r w:rsidRPr="00883399">
        <w:rPr>
          <w:sz w:val="24"/>
        </w:rPr>
        <w:tab/>
        <w:t>method 3 under section 2.48C.</w:t>
      </w:r>
    </w:p>
    <w:p w14:paraId="2DC7CBF2" w14:textId="77777777" w:rsidR="00872C03" w:rsidRPr="00883399" w:rsidRDefault="00872C03" w:rsidP="00872C03">
      <w:pPr>
        <w:pStyle w:val="subsection"/>
        <w:rPr>
          <w:sz w:val="24"/>
        </w:rPr>
      </w:pPr>
      <w:r w:rsidRPr="00883399">
        <w:rPr>
          <w:sz w:val="24"/>
        </w:rPr>
        <w:tab/>
        <w:t>(2)</w:t>
      </w:r>
      <w:r w:rsidRPr="00883399">
        <w:rPr>
          <w:sz w:val="24"/>
        </w:rPr>
        <w:tab/>
        <w:t xml:space="preserve">However, for incidental emissions, another method may be used that is consistent with the principles in section 1.13.  </w:t>
      </w:r>
    </w:p>
    <w:p w14:paraId="64E7D0FD" w14:textId="77777777" w:rsidR="00872C03" w:rsidRPr="00883399" w:rsidRDefault="00872C03" w:rsidP="00872C03">
      <w:pPr>
        <w:pStyle w:val="notetext"/>
        <w:rPr>
          <w:sz w:val="20"/>
        </w:rPr>
      </w:pPr>
      <w:r w:rsidRPr="00883399">
        <w:rPr>
          <w:sz w:val="20"/>
        </w:rPr>
        <w:t>Note:</w:t>
      </w:r>
      <w:r w:rsidRPr="00883399">
        <w:rPr>
          <w:sz w:val="20"/>
        </w:rPr>
        <w:tab/>
        <w:t>The consumption of petroleum based oils and greases, as lubricants, releases emissions of carbon dioxide.  Emissions of methane and nitrous oxide are not estimated directly for this fuel type.</w:t>
      </w:r>
    </w:p>
    <w:p w14:paraId="2C495E17" w14:textId="13BAB606" w:rsidR="00872C03" w:rsidRPr="00883399" w:rsidRDefault="00872C03" w:rsidP="00872C03">
      <w:pPr>
        <w:pStyle w:val="ActHead3"/>
        <w:pageBreakBefore/>
        <w:rPr>
          <w:rStyle w:val="Emphasis"/>
          <w:i w:val="0"/>
          <w:iCs w:val="0"/>
          <w:sz w:val="32"/>
        </w:rPr>
      </w:pPr>
      <w:bookmarkStart w:id="287" w:name="_Toc423516798"/>
      <w:bookmarkStart w:id="288" w:name="_Toc495652714"/>
      <w:r w:rsidRPr="00883399">
        <w:rPr>
          <w:rStyle w:val="CharDivNo"/>
          <w:sz w:val="32"/>
        </w:rPr>
        <w:lastRenderedPageBreak/>
        <w:t>Division 2.4.2</w:t>
      </w:r>
      <w:r w:rsidRPr="00883399">
        <w:rPr>
          <w:sz w:val="32"/>
        </w:rPr>
        <w:t>—</w:t>
      </w:r>
      <w:r w:rsidRPr="00883399">
        <w:rPr>
          <w:rStyle w:val="CharDivText"/>
          <w:sz w:val="32"/>
        </w:rPr>
        <w:t>Method 1—emissions of carbon dioxide, methane and nitrous oxide from liquid fuels other than petroleum based oils or greases</w:t>
      </w:r>
      <w:bookmarkEnd w:id="287"/>
      <w:bookmarkEnd w:id="288"/>
    </w:p>
    <w:p w14:paraId="15AB6C94" w14:textId="77777777" w:rsidR="00872C03" w:rsidRPr="00883399" w:rsidRDefault="00872C03" w:rsidP="00872C03">
      <w:pPr>
        <w:pStyle w:val="Text"/>
        <w:rPr>
          <w:rFonts w:ascii="Arial" w:hAnsi="Arial" w:cs="Arial"/>
          <w:sz w:val="22"/>
          <w:szCs w:val="22"/>
        </w:rPr>
      </w:pPr>
      <w:bookmarkStart w:id="289" w:name="_Toc423516799"/>
      <w:r w:rsidRPr="00883399">
        <w:rPr>
          <w:rFonts w:ascii="Arial" w:hAnsi="Arial" w:cs="Arial"/>
          <w:sz w:val="22"/>
          <w:szCs w:val="22"/>
        </w:rPr>
        <w:t xml:space="preserve">As for solid and gaseous fuels, Method 1 is derived from the </w:t>
      </w:r>
      <w:r w:rsidRPr="00883399">
        <w:rPr>
          <w:rFonts w:ascii="Arial" w:hAnsi="Arial" w:cs="Arial"/>
          <w:i/>
          <w:sz w:val="22"/>
          <w:szCs w:val="22"/>
        </w:rPr>
        <w:t xml:space="preserve">National Greenhouse Accounts </w:t>
      </w:r>
      <w:r w:rsidRPr="00883399">
        <w:rPr>
          <w:rFonts w:ascii="Arial" w:hAnsi="Arial" w:cs="Arial"/>
          <w:sz w:val="22"/>
          <w:szCs w:val="22"/>
        </w:rPr>
        <w:t xml:space="preserve">national methodology as published in the </w:t>
      </w:r>
      <w:r w:rsidRPr="00883399">
        <w:rPr>
          <w:rFonts w:ascii="Arial" w:hAnsi="Arial" w:cs="Arial"/>
          <w:i/>
          <w:sz w:val="22"/>
          <w:szCs w:val="22"/>
        </w:rPr>
        <w:t>National Inventory Report</w:t>
      </w:r>
      <w:r w:rsidRPr="00883399">
        <w:rPr>
          <w:rFonts w:ascii="Arial" w:hAnsi="Arial" w:cs="Arial"/>
          <w:sz w:val="22"/>
          <w:szCs w:val="22"/>
        </w:rPr>
        <w:t>. Emissions are estimated for individual fuel types by multiplying a (physical) quantity of fuel combusted by a fuel-specific energy content factor and a fuel-specific  emission factor for each relevant greenhouse gas (in this case, carbon dioxide, methane and nitrous oxide).</w:t>
      </w:r>
    </w:p>
    <w:p w14:paraId="6C712388"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The list of liquid fuels for which emissions must be calculated is given in Appendix A (taken from Schedule 1 of the National Greenhouse and Energy Reporting Regulations 2008).</w:t>
      </w:r>
    </w:p>
    <w:p w14:paraId="4B6D1A55"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Energy content and emission factors required for the estimation of emissions using this approach are given below.  These factors are intended to be default factors – to be used in the absence of better information. </w:t>
      </w:r>
    </w:p>
    <w:p w14:paraId="33980785" w14:textId="77777777" w:rsidR="00872C03" w:rsidRPr="00883399" w:rsidRDefault="00872C03" w:rsidP="00872C03">
      <w:pPr>
        <w:pStyle w:val="R1"/>
        <w:tabs>
          <w:tab w:val="clear" w:pos="794"/>
          <w:tab w:val="right" w:pos="0"/>
        </w:tabs>
        <w:spacing w:before="240" w:line="312" w:lineRule="auto"/>
        <w:ind w:left="0" w:firstLine="0"/>
        <w:jc w:val="left"/>
        <w:outlineLvl w:val="0"/>
        <w:rPr>
          <w:rFonts w:ascii="Arial" w:hAnsi="Arial" w:cs="Arial"/>
          <w:color w:val="000000"/>
          <w:sz w:val="22"/>
          <w:szCs w:val="22"/>
        </w:rPr>
      </w:pPr>
      <w:r w:rsidRPr="00883399">
        <w:rPr>
          <w:rFonts w:ascii="Arial" w:hAnsi="Arial" w:cs="Arial"/>
          <w:color w:val="000000"/>
          <w:sz w:val="22"/>
          <w:szCs w:val="22"/>
        </w:rPr>
        <w:t>Once selected the energy content factor (EC</w:t>
      </w:r>
      <w:r w:rsidRPr="00883399">
        <w:rPr>
          <w:rFonts w:ascii="Arial" w:hAnsi="Arial" w:cs="Arial"/>
          <w:color w:val="000000"/>
          <w:sz w:val="22"/>
          <w:szCs w:val="22"/>
          <w:vertAlign w:val="subscript"/>
        </w:rPr>
        <w:t>i</w:t>
      </w:r>
      <w:r w:rsidRPr="00883399">
        <w:rPr>
          <w:rFonts w:ascii="Arial" w:hAnsi="Arial" w:cs="Arial"/>
          <w:color w:val="000000"/>
          <w:sz w:val="22"/>
          <w:szCs w:val="22"/>
        </w:rPr>
        <w:t>) for a particular fuel must be applied to all calculations of energy emissions from that fuel for a facility in the reporting year.</w:t>
      </w:r>
    </w:p>
    <w:p w14:paraId="6A654E95"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The emission factors listed have been estimated using the </w:t>
      </w:r>
      <w:r w:rsidRPr="00883399">
        <w:rPr>
          <w:rFonts w:ascii="Arial" w:hAnsi="Arial" w:cs="Arial"/>
          <w:i/>
          <w:sz w:val="22"/>
          <w:szCs w:val="22"/>
        </w:rPr>
        <w:t xml:space="preserve">Australian Greenhouse Emissions Information System (AGEIS) </w:t>
      </w:r>
      <w:r w:rsidRPr="00883399">
        <w:rPr>
          <w:rFonts w:ascii="Arial" w:hAnsi="Arial" w:cs="Arial"/>
          <w:sz w:val="22"/>
          <w:szCs w:val="22"/>
        </w:rPr>
        <w:t xml:space="preserve">operated by the </w:t>
      </w:r>
      <w:r w:rsidR="00C91E15" w:rsidRPr="00883399">
        <w:rPr>
          <w:rFonts w:ascii="Arial" w:hAnsi="Arial" w:cs="Arial"/>
          <w:sz w:val="22"/>
          <w:szCs w:val="22"/>
        </w:rPr>
        <w:t>Department on the Environment</w:t>
      </w:r>
      <w:r w:rsidRPr="00883399">
        <w:rPr>
          <w:rFonts w:ascii="Arial" w:hAnsi="Arial" w:cs="Arial"/>
          <w:i/>
          <w:sz w:val="22"/>
          <w:szCs w:val="22"/>
        </w:rPr>
        <w:t xml:space="preserve">. </w:t>
      </w:r>
      <w:r w:rsidRPr="00883399">
        <w:rPr>
          <w:rFonts w:ascii="Arial" w:hAnsi="Arial" w:cs="Arial"/>
          <w:sz w:val="22"/>
          <w:szCs w:val="22"/>
        </w:rPr>
        <w:t xml:space="preserve">Consequently, they are determined simultaneously with the production of </w:t>
      </w:r>
      <w:r w:rsidRPr="00883399">
        <w:rPr>
          <w:rFonts w:ascii="Arial" w:hAnsi="Arial" w:cs="Arial"/>
          <w:i/>
          <w:sz w:val="22"/>
          <w:szCs w:val="22"/>
        </w:rPr>
        <w:t>Australia’s National Greenhouse Accounts</w:t>
      </w:r>
      <w:r w:rsidRPr="00883399">
        <w:rPr>
          <w:rFonts w:ascii="Arial" w:hAnsi="Arial" w:cs="Arial"/>
          <w:sz w:val="22"/>
          <w:szCs w:val="22"/>
        </w:rPr>
        <w:t xml:space="preserve"> ensuring that Reporter inventories are consistent with those </w:t>
      </w:r>
      <w:r w:rsidRPr="00883399">
        <w:rPr>
          <w:rFonts w:ascii="Arial" w:hAnsi="Arial" w:cs="Arial"/>
          <w:i/>
          <w:sz w:val="22"/>
          <w:szCs w:val="22"/>
        </w:rPr>
        <w:t>national accounts</w:t>
      </w:r>
      <w:r w:rsidRPr="00883399">
        <w:rPr>
          <w:rFonts w:ascii="Arial" w:hAnsi="Arial" w:cs="Arial"/>
          <w:sz w:val="22"/>
          <w:szCs w:val="22"/>
        </w:rPr>
        <w:t xml:space="preserve">. </w:t>
      </w:r>
    </w:p>
    <w:p w14:paraId="4B849F17"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Equipment specific factors for methane and nitrous oxide are provided for transport fleets.  It is intended that the methane and nitrous oxide factors applicable to particular transport fleet should be utilised in the estimation of emissions for the fuel combusted for those fleets.  No transport factors are provided for vehicles not registered for road use.  Stationary energy factors for individual fuel types should be used in these cases.   </w:t>
      </w:r>
    </w:p>
    <w:p w14:paraId="39D823F3" w14:textId="77777777" w:rsidR="00872C03" w:rsidRPr="00883399" w:rsidRDefault="00872C03" w:rsidP="00872C03">
      <w:pPr>
        <w:pStyle w:val="subsection"/>
      </w:pPr>
    </w:p>
    <w:p w14:paraId="33E7FF04" w14:textId="77777777" w:rsidR="00872C03" w:rsidRPr="00883399" w:rsidRDefault="00872C03" w:rsidP="00872C03">
      <w:pPr>
        <w:pStyle w:val="subsection"/>
      </w:pPr>
    </w:p>
    <w:p w14:paraId="662EF8D8" w14:textId="7BDE971B" w:rsidR="00872C03" w:rsidRPr="00883399" w:rsidRDefault="00872C03" w:rsidP="00872C03">
      <w:pPr>
        <w:pStyle w:val="ActHead5"/>
        <w:rPr>
          <w:sz w:val="28"/>
        </w:rPr>
      </w:pPr>
      <w:bookmarkStart w:id="290" w:name="_Toc495652715"/>
      <w:r w:rsidRPr="00883399">
        <w:rPr>
          <w:rStyle w:val="CharSectno"/>
          <w:sz w:val="28"/>
        </w:rPr>
        <w:lastRenderedPageBreak/>
        <w:t>2.41</w:t>
      </w:r>
      <w:r w:rsidRPr="00883399">
        <w:rPr>
          <w:sz w:val="28"/>
        </w:rPr>
        <w:t xml:space="preserve">  Method 1—emissions of carbon dioxide, methane and nitrous oxide</w:t>
      </w:r>
      <w:bookmarkEnd w:id="289"/>
      <w:bookmarkEnd w:id="290"/>
    </w:p>
    <w:p w14:paraId="330D5FBE" w14:textId="77777777" w:rsidR="00872C03" w:rsidRPr="00883399" w:rsidRDefault="00872C03" w:rsidP="00872C03">
      <w:pPr>
        <w:pStyle w:val="subsection"/>
        <w:rPr>
          <w:sz w:val="24"/>
        </w:rPr>
      </w:pPr>
      <w:r w:rsidRPr="00883399">
        <w:rPr>
          <w:sz w:val="24"/>
        </w:rPr>
        <w:tab/>
        <w:t>(1)</w:t>
      </w:r>
      <w:r w:rsidRPr="00883399">
        <w:rPr>
          <w:sz w:val="24"/>
        </w:rPr>
        <w:tab/>
        <w:t>For subparagraphs 2.40(1)(a)(i) and (b)(i), method 1 for estimating emissions of carbon dioxide, methane and nitrous oxide is:</w:t>
      </w:r>
    </w:p>
    <w:p w14:paraId="231EDDBB" w14:textId="4328003C"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59136044" wp14:editId="5760E84B">
            <wp:extent cx="1647825" cy="4095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7825" cy="409575"/>
                    </a:xfrm>
                    <a:prstGeom prst="rect">
                      <a:avLst/>
                    </a:prstGeom>
                    <a:noFill/>
                    <a:ln>
                      <a:noFill/>
                    </a:ln>
                  </pic:spPr>
                </pic:pic>
              </a:graphicData>
            </a:graphic>
          </wp:inline>
        </w:drawing>
      </w:r>
    </w:p>
    <w:p w14:paraId="722D2360" w14:textId="77777777" w:rsidR="00872C03" w:rsidRPr="00883399" w:rsidRDefault="00872C03" w:rsidP="00872C03">
      <w:pPr>
        <w:pStyle w:val="subsection2"/>
        <w:rPr>
          <w:sz w:val="24"/>
        </w:rPr>
      </w:pPr>
      <w:r w:rsidRPr="00883399">
        <w:rPr>
          <w:sz w:val="24"/>
        </w:rPr>
        <w:t>where:</w:t>
      </w:r>
    </w:p>
    <w:p w14:paraId="48B30EEA" w14:textId="77777777" w:rsidR="00872C03" w:rsidRPr="00883399" w:rsidRDefault="00872C03" w:rsidP="00872C03">
      <w:pPr>
        <w:pStyle w:val="Definition0"/>
        <w:rPr>
          <w:sz w:val="24"/>
        </w:rPr>
      </w:pPr>
      <w:r w:rsidRPr="00883399">
        <w:rPr>
          <w:b/>
          <w:i/>
          <w:sz w:val="24"/>
        </w:rPr>
        <w:t>E</w:t>
      </w:r>
      <w:r w:rsidRPr="00883399">
        <w:rPr>
          <w:rStyle w:val="charSubscript"/>
          <w:b/>
          <w:i/>
          <w:iCs/>
          <w:sz w:val="18"/>
        </w:rPr>
        <w:t xml:space="preserve">ij </w:t>
      </w:r>
      <w:r w:rsidRPr="00883399">
        <w:rPr>
          <w:sz w:val="24"/>
        </w:rPr>
        <w:t>is the emissions of gas type (</w:t>
      </w:r>
      <w:r w:rsidRPr="00883399">
        <w:rPr>
          <w:b/>
          <w:i/>
          <w:sz w:val="24"/>
        </w:rPr>
        <w:t>j</w:t>
      </w:r>
      <w:r w:rsidRPr="00883399">
        <w:rPr>
          <w:sz w:val="24"/>
        </w:rPr>
        <w:t>), being carbon dioxide, methane or nitrous oxide, released from the combustion of fuel type (</w:t>
      </w:r>
      <w:r w:rsidRPr="00883399">
        <w:rPr>
          <w:b/>
          <w:i/>
          <w:sz w:val="24"/>
        </w:rPr>
        <w:t>i</w:t>
      </w:r>
      <w:r w:rsidRPr="00883399">
        <w:rPr>
          <w:sz w:val="24"/>
        </w:rPr>
        <w:t>) from the operation of the facility during the year measured in CO</w:t>
      </w:r>
      <w:r w:rsidRPr="00883399">
        <w:rPr>
          <w:rStyle w:val="charSubscript"/>
          <w:iCs/>
          <w:sz w:val="22"/>
        </w:rPr>
        <w:t>2</w:t>
      </w:r>
      <w:r w:rsidRPr="00883399">
        <w:rPr>
          <w:sz w:val="24"/>
        </w:rPr>
        <w:noBreakHyphen/>
        <w:t>e tonnes.</w:t>
      </w:r>
    </w:p>
    <w:p w14:paraId="184FF65C" w14:textId="77777777" w:rsidR="00872C03" w:rsidRPr="00883399" w:rsidRDefault="00872C03" w:rsidP="00872C03">
      <w:pPr>
        <w:pStyle w:val="Definition0"/>
        <w:rPr>
          <w:sz w:val="24"/>
        </w:rPr>
      </w:pPr>
      <w:r w:rsidRPr="00883399">
        <w:rPr>
          <w:b/>
          <w:i/>
          <w:sz w:val="24"/>
        </w:rPr>
        <w:t>Q</w:t>
      </w:r>
      <w:r w:rsidRPr="00883399">
        <w:rPr>
          <w:b/>
          <w:i/>
          <w:sz w:val="24"/>
          <w:vertAlign w:val="subscript"/>
        </w:rPr>
        <w:t xml:space="preserve">i </w:t>
      </w:r>
      <w:r w:rsidRPr="00883399">
        <w:rPr>
          <w:sz w:val="24"/>
        </w:rPr>
        <w:t>is the quantity of fuel type (</w:t>
      </w:r>
      <w:r w:rsidRPr="00883399">
        <w:rPr>
          <w:b/>
          <w:i/>
          <w:sz w:val="24"/>
        </w:rPr>
        <w:t>i</w:t>
      </w:r>
      <w:r w:rsidRPr="00883399">
        <w:rPr>
          <w:sz w:val="24"/>
        </w:rPr>
        <w:t>) combusted from the operation of the facility for:</w:t>
      </w:r>
    </w:p>
    <w:p w14:paraId="4EAAE89C" w14:textId="77777777" w:rsidR="00872C03" w:rsidRPr="00883399" w:rsidRDefault="00872C03" w:rsidP="00872C03">
      <w:pPr>
        <w:pStyle w:val="paragraph"/>
        <w:rPr>
          <w:sz w:val="24"/>
        </w:rPr>
      </w:pPr>
      <w:r w:rsidRPr="00883399">
        <w:rPr>
          <w:sz w:val="24"/>
        </w:rPr>
        <w:tab/>
        <w:t>(a)</w:t>
      </w:r>
      <w:r w:rsidRPr="00883399">
        <w:rPr>
          <w:sz w:val="24"/>
        </w:rPr>
        <w:tab/>
        <w:t>stationary energy purposes; and</w:t>
      </w:r>
    </w:p>
    <w:p w14:paraId="0DAA8390" w14:textId="77777777" w:rsidR="00872C03" w:rsidRPr="00883399" w:rsidRDefault="00872C03" w:rsidP="00872C03">
      <w:pPr>
        <w:pStyle w:val="paragraph"/>
        <w:rPr>
          <w:sz w:val="24"/>
        </w:rPr>
      </w:pPr>
      <w:r w:rsidRPr="00883399">
        <w:rPr>
          <w:sz w:val="24"/>
        </w:rPr>
        <w:tab/>
        <w:t>(b)</w:t>
      </w:r>
      <w:r w:rsidRPr="00883399">
        <w:rPr>
          <w:sz w:val="24"/>
        </w:rPr>
        <w:tab/>
        <w:t>transport energy purposes;</w:t>
      </w:r>
    </w:p>
    <w:p w14:paraId="6185EB73" w14:textId="77777777" w:rsidR="00872C03" w:rsidRPr="00883399" w:rsidRDefault="00872C03" w:rsidP="00872C03">
      <w:pPr>
        <w:pStyle w:val="subsection2"/>
        <w:rPr>
          <w:sz w:val="24"/>
        </w:rPr>
      </w:pPr>
      <w:r w:rsidRPr="00883399">
        <w:rPr>
          <w:sz w:val="24"/>
        </w:rPr>
        <w:t>during the year measured in kilolitres and estimated under Division 2.4.6.</w:t>
      </w:r>
    </w:p>
    <w:p w14:paraId="69A68732" w14:textId="77777777" w:rsidR="00872C03" w:rsidRPr="00883399" w:rsidRDefault="00872C03" w:rsidP="00872C03">
      <w:pPr>
        <w:pStyle w:val="Definition0"/>
        <w:rPr>
          <w:sz w:val="24"/>
        </w:rPr>
      </w:pPr>
      <w:r w:rsidRPr="00883399">
        <w:rPr>
          <w:b/>
          <w:bCs/>
          <w:i/>
          <w:iCs/>
          <w:sz w:val="24"/>
        </w:rPr>
        <w:t>EC</w:t>
      </w:r>
      <w:r w:rsidRPr="00883399">
        <w:rPr>
          <w:rStyle w:val="charsubscript0"/>
          <w:b/>
          <w:bCs/>
          <w:i/>
          <w:iCs/>
        </w:rPr>
        <w:t xml:space="preserve">i  </w:t>
      </w:r>
      <w:r w:rsidRPr="00883399">
        <w:rPr>
          <w:sz w:val="24"/>
        </w:rPr>
        <w:t xml:space="preserve">is the energy content factor of fuel type </w:t>
      </w:r>
      <w:r w:rsidRPr="00883399">
        <w:rPr>
          <w:b/>
          <w:i/>
          <w:sz w:val="24"/>
        </w:rPr>
        <w:t xml:space="preserve">(i) </w:t>
      </w:r>
      <w:r w:rsidRPr="00883399">
        <w:rPr>
          <w:sz w:val="24"/>
        </w:rPr>
        <w:t xml:space="preserve">estimated under section 6.5. </w:t>
      </w:r>
    </w:p>
    <w:p w14:paraId="349D8300" w14:textId="77777777" w:rsidR="00872C03" w:rsidRPr="00883399" w:rsidRDefault="00872C03" w:rsidP="00872C03">
      <w:pPr>
        <w:pStyle w:val="Definition0"/>
        <w:rPr>
          <w:sz w:val="24"/>
        </w:rPr>
      </w:pPr>
      <w:r w:rsidRPr="00883399">
        <w:rPr>
          <w:b/>
          <w:i/>
          <w:sz w:val="24"/>
        </w:rPr>
        <w:t>EF</w:t>
      </w:r>
      <w:r w:rsidRPr="00883399">
        <w:rPr>
          <w:b/>
          <w:i/>
          <w:sz w:val="24"/>
          <w:vertAlign w:val="subscript"/>
        </w:rPr>
        <w:t>ijoxec</w:t>
      </w:r>
      <w:r w:rsidRPr="00883399">
        <w:rPr>
          <w:b/>
          <w:i/>
          <w:sz w:val="24"/>
        </w:rPr>
        <w:t xml:space="preserve"> </w:t>
      </w:r>
      <w:r w:rsidRPr="00883399">
        <w:rPr>
          <w:sz w:val="24"/>
        </w:rPr>
        <w:t>is the emission factor for each gas type (</w:t>
      </w:r>
      <w:r w:rsidRPr="00883399">
        <w:rPr>
          <w:b/>
          <w:i/>
          <w:sz w:val="24"/>
        </w:rPr>
        <w:t>j</w:t>
      </w:r>
      <w:r w:rsidRPr="00883399">
        <w:rPr>
          <w:sz w:val="24"/>
        </w:rPr>
        <w:t>) released from the operation of the facility during the year (which includes the effect of an oxidation factor) measured in kilograms CO</w:t>
      </w:r>
      <w:r w:rsidRPr="00883399">
        <w:rPr>
          <w:rStyle w:val="charSubscript"/>
          <w:sz w:val="22"/>
        </w:rPr>
        <w:t>2</w:t>
      </w:r>
      <w:r w:rsidRPr="00883399">
        <w:rPr>
          <w:sz w:val="24"/>
        </w:rPr>
        <w:noBreakHyphen/>
        <w:t>e per gigajoule of fuel type (</w:t>
      </w:r>
      <w:r w:rsidRPr="00883399">
        <w:rPr>
          <w:b/>
          <w:i/>
          <w:sz w:val="24"/>
        </w:rPr>
        <w:t>i</w:t>
      </w:r>
      <w:r w:rsidRPr="00883399">
        <w:rPr>
          <w:sz w:val="24"/>
        </w:rPr>
        <w:t>) according to source as mentioned in:</w:t>
      </w:r>
    </w:p>
    <w:p w14:paraId="19B757D1" w14:textId="77777777" w:rsidR="00872C03" w:rsidRPr="00883399" w:rsidRDefault="00872C03" w:rsidP="00872C03">
      <w:pPr>
        <w:pStyle w:val="paragraph"/>
        <w:rPr>
          <w:sz w:val="24"/>
        </w:rPr>
      </w:pPr>
      <w:r w:rsidRPr="00883399">
        <w:rPr>
          <w:sz w:val="24"/>
        </w:rPr>
        <w:tab/>
        <w:t>(a)</w:t>
      </w:r>
      <w:r w:rsidRPr="00883399">
        <w:rPr>
          <w:sz w:val="24"/>
        </w:rPr>
        <w:tab/>
        <w:t>for stationary energy purposes—Part 3 of Schedule 1; and</w:t>
      </w:r>
    </w:p>
    <w:p w14:paraId="29B0A4F9" w14:textId="77777777" w:rsidR="00872C03" w:rsidRPr="00883399" w:rsidRDefault="00872C03" w:rsidP="00872C03">
      <w:pPr>
        <w:pStyle w:val="paragraph"/>
        <w:rPr>
          <w:strike/>
          <w:sz w:val="24"/>
        </w:rPr>
      </w:pPr>
      <w:r w:rsidRPr="00883399">
        <w:rPr>
          <w:sz w:val="24"/>
        </w:rPr>
        <w:tab/>
        <w:t>(b)</w:t>
      </w:r>
      <w:r w:rsidRPr="00883399">
        <w:rPr>
          <w:sz w:val="24"/>
        </w:rPr>
        <w:tab/>
        <w:t>for transport energy purposes—Division 4.1 of Schedule 1.</w:t>
      </w:r>
    </w:p>
    <w:p w14:paraId="78B5B933" w14:textId="77777777" w:rsidR="00872C03" w:rsidRPr="00883399" w:rsidRDefault="00872C03" w:rsidP="00872C03">
      <w:pPr>
        <w:pStyle w:val="subsection"/>
        <w:rPr>
          <w:sz w:val="24"/>
        </w:rPr>
      </w:pPr>
      <w:r w:rsidRPr="00883399">
        <w:rPr>
          <w:sz w:val="24"/>
        </w:rPr>
        <w:tab/>
        <w:t>(2)</w:t>
      </w:r>
      <w:r w:rsidRPr="00883399">
        <w:rPr>
          <w:sz w:val="24"/>
        </w:rPr>
        <w:tab/>
        <w:t>In this section:</w:t>
      </w:r>
    </w:p>
    <w:p w14:paraId="6E8EC413" w14:textId="77777777" w:rsidR="00872C03" w:rsidRPr="00883399" w:rsidRDefault="00872C03" w:rsidP="00872C03">
      <w:pPr>
        <w:pStyle w:val="Definition0"/>
        <w:rPr>
          <w:sz w:val="24"/>
        </w:rPr>
      </w:pPr>
      <w:r w:rsidRPr="00883399">
        <w:rPr>
          <w:b/>
          <w:i/>
          <w:sz w:val="24"/>
        </w:rPr>
        <w:t xml:space="preserve">stationary energy purposes </w:t>
      </w:r>
      <w:r w:rsidRPr="00883399">
        <w:rPr>
          <w:sz w:val="24"/>
        </w:rPr>
        <w:t xml:space="preserve">means purposes for which fuel is combusted that do not involve transport energy purposes. </w:t>
      </w:r>
    </w:p>
    <w:p w14:paraId="7604F221" w14:textId="77777777" w:rsidR="00872C03" w:rsidRPr="00883399" w:rsidRDefault="00872C03" w:rsidP="00872C03">
      <w:pPr>
        <w:pStyle w:val="Definition0"/>
        <w:rPr>
          <w:sz w:val="24"/>
        </w:rPr>
      </w:pPr>
      <w:r w:rsidRPr="00883399">
        <w:rPr>
          <w:b/>
          <w:i/>
          <w:sz w:val="24"/>
        </w:rPr>
        <w:t xml:space="preserve">transport energy purposes </w:t>
      </w:r>
      <w:r w:rsidRPr="00883399">
        <w:rPr>
          <w:sz w:val="24"/>
        </w:rPr>
        <w:t>includes purposes for which fuel is combusted that consist of any of the following:</w:t>
      </w:r>
    </w:p>
    <w:p w14:paraId="36C9C51D" w14:textId="77777777" w:rsidR="00872C03" w:rsidRPr="00883399" w:rsidRDefault="00872C03" w:rsidP="00872C03">
      <w:pPr>
        <w:pStyle w:val="paragraph"/>
        <w:rPr>
          <w:sz w:val="24"/>
        </w:rPr>
      </w:pPr>
      <w:r w:rsidRPr="00883399">
        <w:rPr>
          <w:sz w:val="24"/>
        </w:rPr>
        <w:tab/>
        <w:t>(a)</w:t>
      </w:r>
      <w:r w:rsidRPr="00883399">
        <w:rPr>
          <w:sz w:val="24"/>
        </w:rPr>
        <w:tab/>
        <w:t>transport by vehicles registered for road use;</w:t>
      </w:r>
    </w:p>
    <w:p w14:paraId="759BBD61" w14:textId="77777777" w:rsidR="00872C03" w:rsidRPr="00883399" w:rsidRDefault="00872C03" w:rsidP="00872C03">
      <w:pPr>
        <w:pStyle w:val="paragraph"/>
        <w:rPr>
          <w:sz w:val="24"/>
        </w:rPr>
      </w:pPr>
      <w:r w:rsidRPr="00883399">
        <w:rPr>
          <w:sz w:val="24"/>
        </w:rPr>
        <w:tab/>
        <w:t>(b)</w:t>
      </w:r>
      <w:r w:rsidRPr="00883399">
        <w:rPr>
          <w:sz w:val="24"/>
        </w:rPr>
        <w:tab/>
        <w:t>rail transport;</w:t>
      </w:r>
    </w:p>
    <w:p w14:paraId="72BD15E4" w14:textId="77777777" w:rsidR="00872C03" w:rsidRPr="00883399" w:rsidRDefault="00872C03" w:rsidP="00872C03">
      <w:pPr>
        <w:pStyle w:val="paragraph"/>
        <w:rPr>
          <w:sz w:val="24"/>
        </w:rPr>
      </w:pPr>
      <w:r w:rsidRPr="00883399">
        <w:rPr>
          <w:sz w:val="24"/>
        </w:rPr>
        <w:tab/>
        <w:t>(c)</w:t>
      </w:r>
      <w:r w:rsidRPr="00883399">
        <w:rPr>
          <w:sz w:val="24"/>
        </w:rPr>
        <w:tab/>
        <w:t>marine navigation;</w:t>
      </w:r>
    </w:p>
    <w:p w14:paraId="5AFDBC25" w14:textId="77777777" w:rsidR="00872C03" w:rsidRPr="00883399" w:rsidRDefault="00872C03" w:rsidP="00872C03">
      <w:pPr>
        <w:pStyle w:val="paragraph"/>
        <w:rPr>
          <w:sz w:val="24"/>
        </w:rPr>
      </w:pPr>
      <w:r w:rsidRPr="00883399">
        <w:rPr>
          <w:sz w:val="24"/>
        </w:rPr>
        <w:tab/>
        <w:t>(d)</w:t>
      </w:r>
      <w:r w:rsidRPr="00883399">
        <w:rPr>
          <w:sz w:val="24"/>
        </w:rPr>
        <w:tab/>
        <w:t>air transport.</w:t>
      </w:r>
    </w:p>
    <w:p w14:paraId="5327BC12" w14:textId="77777777" w:rsidR="00872C03" w:rsidRPr="00883399" w:rsidRDefault="00872C03" w:rsidP="00872C03">
      <w:pPr>
        <w:pStyle w:val="notetext"/>
        <w:rPr>
          <w:sz w:val="20"/>
        </w:rPr>
      </w:pPr>
      <w:r w:rsidRPr="00883399">
        <w:rPr>
          <w:sz w:val="20"/>
        </w:rPr>
        <w:t>Note:</w:t>
      </w:r>
      <w:r w:rsidRPr="00883399">
        <w:rPr>
          <w:sz w:val="20"/>
        </w:rPr>
        <w:tab/>
        <w:t>The combustion of liquid fuels produces emissions of carbon dioxide, methane and nitrous oxide.</w:t>
      </w:r>
    </w:p>
    <w:p w14:paraId="3666D635" w14:textId="77777777" w:rsidR="00872C03" w:rsidRPr="00883399" w:rsidRDefault="00872C03" w:rsidP="00872C03">
      <w:pPr>
        <w:pStyle w:val="Schedulepart"/>
        <w:ind w:left="2160" w:hanging="2160"/>
      </w:pPr>
      <w:bookmarkStart w:id="291" w:name="_Toc227733703"/>
      <w:bookmarkStart w:id="292" w:name="_Toc265135211"/>
      <w:bookmarkStart w:id="293" w:name="_Toc495652716"/>
      <w:bookmarkStart w:id="294" w:name="_Toc423516800"/>
      <w:r w:rsidRPr="00883399">
        <w:rPr>
          <w:rStyle w:val="CharSchPTText"/>
        </w:rPr>
        <w:lastRenderedPageBreak/>
        <w:t xml:space="preserve">Table 2.4.2A </w:t>
      </w:r>
      <w:r w:rsidRPr="00883399">
        <w:rPr>
          <w:rStyle w:val="CharSchPTText"/>
        </w:rPr>
        <w:tab/>
        <w:t>Emission and energy content factors — liquid fuels and certain petroleum</w:t>
      </w:r>
      <w:r w:rsidRPr="00883399">
        <w:rPr>
          <w:rStyle w:val="CharSchPTText"/>
        </w:rPr>
        <w:noBreakHyphen/>
        <w:t>based products for stationary energy purposes</w:t>
      </w:r>
      <w:bookmarkEnd w:id="291"/>
      <w:bookmarkEnd w:id="292"/>
      <w:bookmarkEnd w:id="293"/>
    </w:p>
    <w:p w14:paraId="223476AA" w14:textId="77777777" w:rsidR="00872C03" w:rsidRPr="00883399" w:rsidRDefault="00872C03" w:rsidP="00872C03"/>
    <w:tbl>
      <w:tblPr>
        <w:tblW w:w="83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3240"/>
        <w:gridCol w:w="1560"/>
        <w:gridCol w:w="960"/>
        <w:gridCol w:w="960"/>
        <w:gridCol w:w="981"/>
      </w:tblGrid>
      <w:tr w:rsidR="00872C03" w:rsidRPr="00883399" w14:paraId="7020BA74" w14:textId="77777777" w:rsidTr="0031057E">
        <w:trPr>
          <w:cantSplit/>
          <w:tblHeader/>
        </w:trPr>
        <w:tc>
          <w:tcPr>
            <w:tcW w:w="600" w:type="dxa"/>
            <w:vMerge w:val="restart"/>
            <w:tcBorders>
              <w:top w:val="nil"/>
              <w:left w:val="nil"/>
              <w:bottom w:val="nil"/>
              <w:right w:val="nil"/>
            </w:tcBorders>
          </w:tcPr>
          <w:p w14:paraId="51B90F34" w14:textId="77777777" w:rsidR="00872C03" w:rsidRPr="00883399" w:rsidRDefault="00872C03" w:rsidP="0031057E">
            <w:pPr>
              <w:pStyle w:val="Table"/>
              <w:jc w:val="right"/>
              <w:rPr>
                <w:rStyle w:val="Strong"/>
                <w:rFonts w:cs="Arial"/>
                <w:sz w:val="18"/>
              </w:rPr>
            </w:pPr>
            <w:r w:rsidRPr="00883399">
              <w:rPr>
                <w:rStyle w:val="Strong"/>
                <w:rFonts w:cs="Arial"/>
                <w:sz w:val="18"/>
              </w:rPr>
              <w:t>Item</w:t>
            </w:r>
          </w:p>
        </w:tc>
        <w:tc>
          <w:tcPr>
            <w:tcW w:w="3240" w:type="dxa"/>
            <w:vMerge w:val="restart"/>
            <w:tcBorders>
              <w:top w:val="nil"/>
              <w:left w:val="nil"/>
              <w:bottom w:val="nil"/>
              <w:right w:val="nil"/>
            </w:tcBorders>
          </w:tcPr>
          <w:p w14:paraId="4389279D" w14:textId="77777777" w:rsidR="00872C03" w:rsidRPr="00883399" w:rsidRDefault="00872C03" w:rsidP="0031057E">
            <w:pPr>
              <w:pStyle w:val="Table"/>
              <w:rPr>
                <w:rStyle w:val="Strong"/>
                <w:rFonts w:cs="Arial"/>
                <w:sz w:val="18"/>
              </w:rPr>
            </w:pPr>
            <w:r w:rsidRPr="00883399">
              <w:rPr>
                <w:rStyle w:val="Strong"/>
                <w:rFonts w:cs="Arial"/>
                <w:sz w:val="18"/>
              </w:rPr>
              <w:t>Fuel combusted</w:t>
            </w:r>
          </w:p>
        </w:tc>
        <w:tc>
          <w:tcPr>
            <w:tcW w:w="1560" w:type="dxa"/>
            <w:vMerge w:val="restart"/>
            <w:tcBorders>
              <w:top w:val="nil"/>
              <w:left w:val="nil"/>
              <w:bottom w:val="nil"/>
              <w:right w:val="nil"/>
            </w:tcBorders>
          </w:tcPr>
          <w:p w14:paraId="7FC1972F" w14:textId="77777777" w:rsidR="00872C03" w:rsidRPr="00883399" w:rsidRDefault="00872C03" w:rsidP="0031057E">
            <w:pPr>
              <w:pStyle w:val="TableCentre"/>
              <w:rPr>
                <w:rStyle w:val="Strong"/>
                <w:rFonts w:cs="Arial"/>
                <w:sz w:val="18"/>
              </w:rPr>
            </w:pPr>
            <w:r w:rsidRPr="00883399">
              <w:rPr>
                <w:rStyle w:val="Strong"/>
                <w:rFonts w:cs="Arial"/>
                <w:sz w:val="18"/>
              </w:rPr>
              <w:t>Energy content factor</w:t>
            </w:r>
          </w:p>
          <w:p w14:paraId="40D1EE85" w14:textId="77777777" w:rsidR="00872C03" w:rsidRPr="00883399" w:rsidRDefault="00872C03" w:rsidP="0031057E">
            <w:pPr>
              <w:pStyle w:val="TableCentre"/>
              <w:rPr>
                <w:rStyle w:val="Strong"/>
                <w:rFonts w:cs="Arial"/>
                <w:sz w:val="18"/>
              </w:rPr>
            </w:pPr>
            <w:r w:rsidRPr="00883399">
              <w:rPr>
                <w:rStyle w:val="Strong"/>
                <w:rFonts w:cs="Arial"/>
                <w:sz w:val="18"/>
              </w:rPr>
              <w:t>(GJ/kL unless otherwise indicated)</w:t>
            </w:r>
          </w:p>
        </w:tc>
        <w:tc>
          <w:tcPr>
            <w:tcW w:w="2901" w:type="dxa"/>
            <w:gridSpan w:val="3"/>
            <w:tcBorders>
              <w:top w:val="nil"/>
              <w:left w:val="nil"/>
              <w:bottom w:val="nil"/>
              <w:right w:val="nil"/>
            </w:tcBorders>
          </w:tcPr>
          <w:p w14:paraId="50B83550" w14:textId="77777777" w:rsidR="00872C03" w:rsidRPr="00883399" w:rsidRDefault="00872C03" w:rsidP="0031057E">
            <w:pPr>
              <w:pStyle w:val="Heading1Like"/>
              <w:spacing w:before="60" w:after="0" w:line="312" w:lineRule="auto"/>
              <w:ind w:left="567" w:hanging="567"/>
              <w:jc w:val="center"/>
              <w:rPr>
                <w:rFonts w:ascii="Arial" w:hAnsi="Arial"/>
                <w:sz w:val="18"/>
              </w:rPr>
            </w:pPr>
            <w:r w:rsidRPr="00883399">
              <w:rPr>
                <w:rFonts w:ascii="Arial" w:hAnsi="Arial"/>
                <w:caps w:val="0"/>
                <w:sz w:val="18"/>
              </w:rPr>
              <w:t>Emission factor</w:t>
            </w:r>
          </w:p>
          <w:p w14:paraId="45E22577" w14:textId="77777777" w:rsidR="00872C03" w:rsidRPr="00883399" w:rsidRDefault="00872C03" w:rsidP="0031057E">
            <w:pPr>
              <w:pStyle w:val="Heading1Like"/>
              <w:spacing w:after="0" w:line="312" w:lineRule="auto"/>
              <w:ind w:left="567" w:hanging="567"/>
              <w:jc w:val="center"/>
              <w:rPr>
                <w:rFonts w:ascii="Arial" w:hAnsi="Arial"/>
                <w:sz w:val="18"/>
              </w:rPr>
            </w:pPr>
            <w:r w:rsidRPr="00883399">
              <w:rPr>
                <w:rFonts w:ascii="Arial" w:hAnsi="Arial"/>
                <w:caps w:val="0"/>
                <w:sz w:val="18"/>
              </w:rPr>
              <w:t>kg CO</w:t>
            </w:r>
            <w:r w:rsidRPr="00883399">
              <w:rPr>
                <w:rFonts w:ascii="Arial" w:hAnsi="Arial"/>
                <w:caps w:val="0"/>
                <w:sz w:val="18"/>
                <w:vertAlign w:val="subscript"/>
              </w:rPr>
              <w:t>2</w:t>
            </w:r>
            <w:r w:rsidRPr="00883399">
              <w:rPr>
                <w:rFonts w:ascii="Arial" w:hAnsi="Arial"/>
                <w:caps w:val="0"/>
                <w:sz w:val="18"/>
              </w:rPr>
              <w:noBreakHyphen/>
              <w:t>e/GJ</w:t>
            </w:r>
          </w:p>
          <w:p w14:paraId="0FC4132F" w14:textId="77777777" w:rsidR="00872C03" w:rsidRPr="00883399" w:rsidRDefault="00872C03" w:rsidP="0031057E">
            <w:pPr>
              <w:pStyle w:val="Heading1Like"/>
              <w:spacing w:before="60" w:after="240"/>
              <w:ind w:left="0" w:firstLine="0"/>
              <w:jc w:val="center"/>
              <w:rPr>
                <w:sz w:val="18"/>
              </w:rPr>
            </w:pPr>
            <w:r w:rsidRPr="00883399">
              <w:rPr>
                <w:sz w:val="18"/>
                <w:szCs w:val="18"/>
              </w:rPr>
              <w:t>(relevant oxidation factors incorporated)</w:t>
            </w:r>
          </w:p>
        </w:tc>
      </w:tr>
      <w:tr w:rsidR="00872C03" w:rsidRPr="00883399" w14:paraId="11AFFD6D" w14:textId="77777777" w:rsidTr="0031057E">
        <w:trPr>
          <w:cantSplit/>
          <w:tblHeader/>
        </w:trPr>
        <w:tc>
          <w:tcPr>
            <w:tcW w:w="600" w:type="dxa"/>
            <w:vMerge/>
            <w:tcBorders>
              <w:top w:val="nil"/>
              <w:left w:val="nil"/>
              <w:right w:val="nil"/>
            </w:tcBorders>
          </w:tcPr>
          <w:p w14:paraId="329DDFD0" w14:textId="77777777" w:rsidR="00872C03" w:rsidRPr="00883399" w:rsidRDefault="00872C03" w:rsidP="0031057E">
            <w:pPr>
              <w:jc w:val="right"/>
            </w:pPr>
          </w:p>
        </w:tc>
        <w:tc>
          <w:tcPr>
            <w:tcW w:w="3240" w:type="dxa"/>
            <w:vMerge/>
            <w:tcBorders>
              <w:top w:val="nil"/>
              <w:left w:val="nil"/>
              <w:right w:val="nil"/>
            </w:tcBorders>
          </w:tcPr>
          <w:p w14:paraId="6DA00926" w14:textId="77777777" w:rsidR="00872C03" w:rsidRPr="00883399" w:rsidRDefault="00872C03" w:rsidP="0031057E">
            <w:pPr>
              <w:pStyle w:val="HTMLPreformatted"/>
              <w:spacing w:before="60"/>
              <w:rPr>
                <w:sz w:val="22"/>
              </w:rPr>
            </w:pPr>
          </w:p>
        </w:tc>
        <w:tc>
          <w:tcPr>
            <w:tcW w:w="1560" w:type="dxa"/>
            <w:vMerge/>
            <w:tcBorders>
              <w:top w:val="nil"/>
              <w:left w:val="nil"/>
              <w:right w:val="nil"/>
            </w:tcBorders>
          </w:tcPr>
          <w:p w14:paraId="2F8BE7CC" w14:textId="77777777" w:rsidR="00872C03" w:rsidRPr="00883399" w:rsidRDefault="00872C03" w:rsidP="0031057E">
            <w:pPr>
              <w:spacing w:before="60"/>
              <w:rPr>
                <w:sz w:val="22"/>
              </w:rPr>
            </w:pPr>
          </w:p>
        </w:tc>
        <w:tc>
          <w:tcPr>
            <w:tcW w:w="960" w:type="dxa"/>
            <w:tcBorders>
              <w:top w:val="nil"/>
              <w:left w:val="nil"/>
              <w:right w:val="nil"/>
            </w:tcBorders>
          </w:tcPr>
          <w:p w14:paraId="254853A7" w14:textId="77777777" w:rsidR="00872C03" w:rsidRPr="00883399" w:rsidRDefault="00872C03" w:rsidP="0031057E">
            <w:pPr>
              <w:pStyle w:val="TableCentre"/>
              <w:rPr>
                <w:sz w:val="22"/>
              </w:rPr>
            </w:pPr>
            <w:r w:rsidRPr="00883399">
              <w:rPr>
                <w:b/>
                <w:bCs/>
                <w:snapToGrid w:val="0"/>
                <w:sz w:val="18"/>
              </w:rPr>
              <w:t>CO</w:t>
            </w:r>
            <w:r w:rsidRPr="00883399">
              <w:rPr>
                <w:b/>
                <w:bCs/>
                <w:snapToGrid w:val="0"/>
                <w:sz w:val="18"/>
                <w:vertAlign w:val="subscript"/>
              </w:rPr>
              <w:t>2</w:t>
            </w:r>
          </w:p>
        </w:tc>
        <w:tc>
          <w:tcPr>
            <w:tcW w:w="960" w:type="dxa"/>
            <w:tcBorders>
              <w:top w:val="nil"/>
              <w:left w:val="nil"/>
              <w:right w:val="nil"/>
            </w:tcBorders>
          </w:tcPr>
          <w:p w14:paraId="62BDFFA3" w14:textId="77777777" w:rsidR="00872C03" w:rsidRPr="00883399" w:rsidRDefault="00872C03" w:rsidP="0031057E">
            <w:pPr>
              <w:pStyle w:val="TableCentre"/>
              <w:rPr>
                <w:rStyle w:val="Strong"/>
                <w:rFonts w:cs="Arial"/>
                <w:sz w:val="18"/>
              </w:rPr>
            </w:pPr>
            <w:r w:rsidRPr="00883399">
              <w:rPr>
                <w:b/>
                <w:bCs/>
                <w:snapToGrid w:val="0"/>
                <w:sz w:val="18"/>
              </w:rPr>
              <w:t>CH</w:t>
            </w:r>
            <w:r w:rsidRPr="00883399">
              <w:rPr>
                <w:b/>
                <w:bCs/>
                <w:snapToGrid w:val="0"/>
                <w:sz w:val="18"/>
                <w:vertAlign w:val="subscript"/>
              </w:rPr>
              <w:t>4</w:t>
            </w:r>
          </w:p>
        </w:tc>
        <w:tc>
          <w:tcPr>
            <w:tcW w:w="981" w:type="dxa"/>
            <w:tcBorders>
              <w:top w:val="nil"/>
              <w:left w:val="nil"/>
              <w:right w:val="nil"/>
            </w:tcBorders>
          </w:tcPr>
          <w:p w14:paraId="2E05057B" w14:textId="77777777" w:rsidR="00872C03" w:rsidRPr="00883399" w:rsidRDefault="00872C03" w:rsidP="0031057E">
            <w:pPr>
              <w:pStyle w:val="TableCentre"/>
              <w:spacing w:after="60"/>
              <w:rPr>
                <w:rStyle w:val="Strong"/>
                <w:rFonts w:cs="Arial"/>
                <w:sz w:val="18"/>
              </w:rPr>
            </w:pPr>
            <w:r w:rsidRPr="00883399">
              <w:rPr>
                <w:b/>
                <w:bCs/>
                <w:snapToGrid w:val="0"/>
                <w:sz w:val="18"/>
              </w:rPr>
              <w:t>N</w:t>
            </w:r>
            <w:r w:rsidRPr="00883399">
              <w:rPr>
                <w:b/>
                <w:bCs/>
                <w:snapToGrid w:val="0"/>
                <w:sz w:val="18"/>
                <w:vertAlign w:val="subscript"/>
              </w:rPr>
              <w:t>2</w:t>
            </w:r>
            <w:r w:rsidRPr="00883399">
              <w:rPr>
                <w:b/>
                <w:bCs/>
                <w:snapToGrid w:val="0"/>
                <w:sz w:val="18"/>
              </w:rPr>
              <w:t>O</w:t>
            </w:r>
          </w:p>
        </w:tc>
      </w:tr>
      <w:tr w:rsidR="00C64E6B" w:rsidRPr="00883399" w14:paraId="6A4C513B" w14:textId="77777777" w:rsidTr="0031057E">
        <w:trPr>
          <w:cantSplit/>
        </w:trPr>
        <w:tc>
          <w:tcPr>
            <w:tcW w:w="600" w:type="dxa"/>
            <w:tcBorders>
              <w:left w:val="nil"/>
              <w:bottom w:val="nil"/>
              <w:right w:val="nil"/>
            </w:tcBorders>
          </w:tcPr>
          <w:p w14:paraId="279A0BDA" w14:textId="77777777" w:rsidR="00C64E6B" w:rsidRPr="00883399" w:rsidRDefault="00C64E6B" w:rsidP="00C64E6B">
            <w:pPr>
              <w:pStyle w:val="Tabletext0"/>
              <w:rPr>
                <w:snapToGrid w:val="0"/>
                <w:sz w:val="22"/>
              </w:rPr>
            </w:pPr>
            <w:r w:rsidRPr="00883399">
              <w:rPr>
                <w:snapToGrid w:val="0"/>
                <w:sz w:val="22"/>
              </w:rPr>
              <w:t>31</w:t>
            </w:r>
          </w:p>
        </w:tc>
        <w:tc>
          <w:tcPr>
            <w:tcW w:w="3240" w:type="dxa"/>
            <w:tcBorders>
              <w:left w:val="nil"/>
              <w:bottom w:val="nil"/>
              <w:right w:val="nil"/>
            </w:tcBorders>
          </w:tcPr>
          <w:p w14:paraId="5BC56816" w14:textId="77777777" w:rsidR="00C64E6B" w:rsidRPr="00883399" w:rsidRDefault="00C64E6B" w:rsidP="00C64E6B">
            <w:pPr>
              <w:pStyle w:val="Tabletext0"/>
              <w:rPr>
                <w:snapToGrid w:val="0"/>
                <w:sz w:val="22"/>
              </w:rPr>
            </w:pPr>
            <w:r w:rsidRPr="00883399">
              <w:rPr>
                <w:snapToGrid w:val="0"/>
                <w:sz w:val="22"/>
              </w:rPr>
              <w:t>Petroleum based oils (other than petroleum based oil used as fuel)</w:t>
            </w:r>
          </w:p>
        </w:tc>
        <w:tc>
          <w:tcPr>
            <w:tcW w:w="1560" w:type="dxa"/>
            <w:tcBorders>
              <w:left w:val="nil"/>
              <w:bottom w:val="nil"/>
              <w:right w:val="nil"/>
            </w:tcBorders>
          </w:tcPr>
          <w:p w14:paraId="3F36EF2E" w14:textId="77777777" w:rsidR="00C64E6B" w:rsidRPr="00883399" w:rsidRDefault="00C64E6B" w:rsidP="00C64E6B">
            <w:pPr>
              <w:pStyle w:val="Tabletext0"/>
              <w:rPr>
                <w:snapToGrid w:val="0"/>
                <w:sz w:val="22"/>
              </w:rPr>
            </w:pPr>
            <w:r w:rsidRPr="00883399">
              <w:rPr>
                <w:snapToGrid w:val="0"/>
                <w:sz w:val="22"/>
              </w:rPr>
              <w:t>38.8</w:t>
            </w:r>
          </w:p>
        </w:tc>
        <w:tc>
          <w:tcPr>
            <w:tcW w:w="960" w:type="dxa"/>
            <w:tcBorders>
              <w:left w:val="nil"/>
              <w:bottom w:val="nil"/>
              <w:right w:val="nil"/>
            </w:tcBorders>
          </w:tcPr>
          <w:p w14:paraId="398293B9" w14:textId="77777777" w:rsidR="00C64E6B" w:rsidRPr="00883399" w:rsidRDefault="00C64E6B" w:rsidP="00C64E6B">
            <w:pPr>
              <w:pStyle w:val="Tabletext0"/>
              <w:rPr>
                <w:snapToGrid w:val="0"/>
                <w:sz w:val="22"/>
              </w:rPr>
            </w:pPr>
            <w:r w:rsidRPr="00883399">
              <w:rPr>
                <w:snapToGrid w:val="0"/>
                <w:sz w:val="22"/>
              </w:rPr>
              <w:t>13.9</w:t>
            </w:r>
          </w:p>
        </w:tc>
        <w:tc>
          <w:tcPr>
            <w:tcW w:w="960" w:type="dxa"/>
            <w:tcBorders>
              <w:left w:val="nil"/>
              <w:bottom w:val="nil"/>
              <w:right w:val="nil"/>
            </w:tcBorders>
          </w:tcPr>
          <w:p w14:paraId="6169FC24" w14:textId="77777777" w:rsidR="00C64E6B" w:rsidRPr="00883399" w:rsidRDefault="00C64E6B" w:rsidP="00C64E6B">
            <w:pPr>
              <w:pStyle w:val="Tabletext0"/>
              <w:rPr>
                <w:snapToGrid w:val="0"/>
                <w:sz w:val="22"/>
              </w:rPr>
            </w:pPr>
            <w:r w:rsidRPr="00883399">
              <w:rPr>
                <w:snapToGrid w:val="0"/>
                <w:sz w:val="22"/>
              </w:rPr>
              <w:t>0.0</w:t>
            </w:r>
          </w:p>
        </w:tc>
        <w:tc>
          <w:tcPr>
            <w:tcW w:w="981" w:type="dxa"/>
            <w:tcBorders>
              <w:left w:val="nil"/>
              <w:bottom w:val="nil"/>
              <w:right w:val="nil"/>
            </w:tcBorders>
          </w:tcPr>
          <w:p w14:paraId="39FAEC69" w14:textId="77777777" w:rsidR="00C64E6B" w:rsidRPr="00883399" w:rsidRDefault="00C64E6B" w:rsidP="00C64E6B">
            <w:pPr>
              <w:pStyle w:val="Tabletext0"/>
              <w:rPr>
                <w:snapToGrid w:val="0"/>
                <w:sz w:val="22"/>
              </w:rPr>
            </w:pPr>
            <w:r w:rsidRPr="00883399">
              <w:rPr>
                <w:snapToGrid w:val="0"/>
                <w:sz w:val="22"/>
              </w:rPr>
              <w:t>0.0</w:t>
            </w:r>
          </w:p>
        </w:tc>
      </w:tr>
      <w:tr w:rsidR="00C64E6B" w:rsidRPr="00883399" w14:paraId="117B8A41" w14:textId="77777777" w:rsidTr="0031057E">
        <w:trPr>
          <w:cantSplit/>
        </w:trPr>
        <w:tc>
          <w:tcPr>
            <w:tcW w:w="600" w:type="dxa"/>
            <w:tcBorders>
              <w:top w:val="nil"/>
              <w:left w:val="nil"/>
              <w:bottom w:val="nil"/>
              <w:right w:val="nil"/>
            </w:tcBorders>
          </w:tcPr>
          <w:p w14:paraId="0CD54384" w14:textId="77777777" w:rsidR="00C64E6B" w:rsidRPr="00883399" w:rsidRDefault="00C64E6B" w:rsidP="00C64E6B">
            <w:pPr>
              <w:pStyle w:val="Tabletext0"/>
              <w:rPr>
                <w:snapToGrid w:val="0"/>
                <w:sz w:val="22"/>
              </w:rPr>
            </w:pPr>
            <w:r w:rsidRPr="00883399">
              <w:rPr>
                <w:snapToGrid w:val="0"/>
                <w:sz w:val="22"/>
              </w:rPr>
              <w:t>32</w:t>
            </w:r>
          </w:p>
        </w:tc>
        <w:tc>
          <w:tcPr>
            <w:tcW w:w="3240" w:type="dxa"/>
            <w:tcBorders>
              <w:top w:val="nil"/>
              <w:left w:val="nil"/>
              <w:bottom w:val="nil"/>
              <w:right w:val="nil"/>
            </w:tcBorders>
          </w:tcPr>
          <w:p w14:paraId="6C8BD4D3" w14:textId="77777777" w:rsidR="00C64E6B" w:rsidRPr="00883399" w:rsidRDefault="00C64E6B" w:rsidP="00C64E6B">
            <w:pPr>
              <w:pStyle w:val="Tabletext0"/>
              <w:rPr>
                <w:snapToGrid w:val="0"/>
                <w:sz w:val="22"/>
              </w:rPr>
            </w:pPr>
            <w:r w:rsidRPr="00883399">
              <w:rPr>
                <w:snapToGrid w:val="0"/>
                <w:sz w:val="22"/>
              </w:rPr>
              <w:t>Petroleum based greases</w:t>
            </w:r>
          </w:p>
        </w:tc>
        <w:tc>
          <w:tcPr>
            <w:tcW w:w="1560" w:type="dxa"/>
            <w:tcBorders>
              <w:top w:val="nil"/>
              <w:left w:val="nil"/>
              <w:bottom w:val="nil"/>
              <w:right w:val="nil"/>
            </w:tcBorders>
          </w:tcPr>
          <w:p w14:paraId="4B70937E" w14:textId="77777777" w:rsidR="00C64E6B" w:rsidRPr="00883399" w:rsidRDefault="00C64E6B" w:rsidP="00C64E6B">
            <w:pPr>
              <w:pStyle w:val="Tabletext0"/>
              <w:rPr>
                <w:snapToGrid w:val="0"/>
                <w:sz w:val="22"/>
              </w:rPr>
            </w:pPr>
            <w:r w:rsidRPr="00883399">
              <w:rPr>
                <w:snapToGrid w:val="0"/>
                <w:sz w:val="22"/>
              </w:rPr>
              <w:t>38.8</w:t>
            </w:r>
          </w:p>
        </w:tc>
        <w:tc>
          <w:tcPr>
            <w:tcW w:w="960" w:type="dxa"/>
            <w:tcBorders>
              <w:top w:val="nil"/>
              <w:left w:val="nil"/>
              <w:bottom w:val="nil"/>
              <w:right w:val="nil"/>
            </w:tcBorders>
          </w:tcPr>
          <w:p w14:paraId="38D737E5" w14:textId="77777777" w:rsidR="00C64E6B" w:rsidRPr="00883399" w:rsidRDefault="00C64E6B" w:rsidP="00C64E6B">
            <w:pPr>
              <w:pStyle w:val="Tabletext0"/>
              <w:rPr>
                <w:snapToGrid w:val="0"/>
                <w:sz w:val="22"/>
              </w:rPr>
            </w:pPr>
            <w:r w:rsidRPr="00883399">
              <w:rPr>
                <w:snapToGrid w:val="0"/>
                <w:sz w:val="22"/>
              </w:rPr>
              <w:t>3.5</w:t>
            </w:r>
          </w:p>
        </w:tc>
        <w:tc>
          <w:tcPr>
            <w:tcW w:w="960" w:type="dxa"/>
            <w:tcBorders>
              <w:top w:val="nil"/>
              <w:left w:val="nil"/>
              <w:bottom w:val="nil"/>
              <w:right w:val="nil"/>
            </w:tcBorders>
          </w:tcPr>
          <w:p w14:paraId="33880DFB" w14:textId="77777777" w:rsidR="00C64E6B" w:rsidRPr="00883399" w:rsidRDefault="00C64E6B" w:rsidP="00C64E6B">
            <w:pPr>
              <w:pStyle w:val="Tabletext0"/>
              <w:rPr>
                <w:snapToGrid w:val="0"/>
                <w:sz w:val="22"/>
              </w:rPr>
            </w:pPr>
            <w:r w:rsidRPr="00883399">
              <w:rPr>
                <w:snapToGrid w:val="0"/>
                <w:sz w:val="22"/>
              </w:rPr>
              <w:t>0.0</w:t>
            </w:r>
          </w:p>
        </w:tc>
        <w:tc>
          <w:tcPr>
            <w:tcW w:w="981" w:type="dxa"/>
            <w:tcBorders>
              <w:top w:val="nil"/>
              <w:left w:val="nil"/>
              <w:bottom w:val="nil"/>
              <w:right w:val="nil"/>
            </w:tcBorders>
          </w:tcPr>
          <w:p w14:paraId="058D1C18" w14:textId="77777777" w:rsidR="00C64E6B" w:rsidRPr="00883399" w:rsidRDefault="00C64E6B" w:rsidP="00C64E6B">
            <w:pPr>
              <w:pStyle w:val="Tabletext0"/>
              <w:rPr>
                <w:snapToGrid w:val="0"/>
                <w:sz w:val="22"/>
              </w:rPr>
            </w:pPr>
            <w:r w:rsidRPr="00883399">
              <w:rPr>
                <w:snapToGrid w:val="0"/>
                <w:sz w:val="22"/>
              </w:rPr>
              <w:t>0.0</w:t>
            </w:r>
          </w:p>
        </w:tc>
      </w:tr>
      <w:tr w:rsidR="00C64E6B" w:rsidRPr="00883399" w14:paraId="27EA41FA" w14:textId="77777777" w:rsidTr="0031057E">
        <w:trPr>
          <w:cantSplit/>
        </w:trPr>
        <w:tc>
          <w:tcPr>
            <w:tcW w:w="600" w:type="dxa"/>
            <w:tcBorders>
              <w:top w:val="nil"/>
              <w:left w:val="nil"/>
              <w:bottom w:val="nil"/>
              <w:right w:val="nil"/>
            </w:tcBorders>
          </w:tcPr>
          <w:p w14:paraId="4B73A8AB" w14:textId="77777777" w:rsidR="00C64E6B" w:rsidRPr="00883399" w:rsidRDefault="00C64E6B" w:rsidP="00C64E6B">
            <w:pPr>
              <w:pStyle w:val="Tabletext0"/>
              <w:rPr>
                <w:snapToGrid w:val="0"/>
                <w:sz w:val="22"/>
              </w:rPr>
            </w:pPr>
            <w:r w:rsidRPr="00883399">
              <w:rPr>
                <w:snapToGrid w:val="0"/>
                <w:sz w:val="22"/>
              </w:rPr>
              <w:t>33</w:t>
            </w:r>
          </w:p>
        </w:tc>
        <w:tc>
          <w:tcPr>
            <w:tcW w:w="3240" w:type="dxa"/>
            <w:tcBorders>
              <w:top w:val="nil"/>
              <w:left w:val="nil"/>
              <w:bottom w:val="nil"/>
              <w:right w:val="nil"/>
            </w:tcBorders>
          </w:tcPr>
          <w:p w14:paraId="2F1A85C8" w14:textId="77777777" w:rsidR="00C64E6B" w:rsidRPr="00883399" w:rsidRDefault="00C64E6B" w:rsidP="00C64E6B">
            <w:pPr>
              <w:pStyle w:val="Tabletext0"/>
              <w:rPr>
                <w:snapToGrid w:val="0"/>
                <w:sz w:val="22"/>
              </w:rPr>
            </w:pPr>
            <w:r w:rsidRPr="00883399">
              <w:rPr>
                <w:snapToGrid w:val="0"/>
                <w:sz w:val="22"/>
              </w:rPr>
              <w:t>Crude oil including crude oil condensates</w:t>
            </w:r>
          </w:p>
        </w:tc>
        <w:tc>
          <w:tcPr>
            <w:tcW w:w="1560" w:type="dxa"/>
            <w:tcBorders>
              <w:top w:val="nil"/>
              <w:left w:val="nil"/>
              <w:bottom w:val="nil"/>
              <w:right w:val="nil"/>
            </w:tcBorders>
          </w:tcPr>
          <w:p w14:paraId="278B2572" w14:textId="77777777" w:rsidR="00C64E6B" w:rsidRPr="00883399" w:rsidRDefault="00C64E6B" w:rsidP="00C64E6B">
            <w:pPr>
              <w:pStyle w:val="Tabletext0"/>
              <w:rPr>
                <w:snapToGrid w:val="0"/>
                <w:sz w:val="22"/>
              </w:rPr>
            </w:pPr>
            <w:r w:rsidRPr="00883399">
              <w:rPr>
                <w:snapToGrid w:val="0"/>
                <w:sz w:val="22"/>
              </w:rPr>
              <w:t>45.3 GJ/t</w:t>
            </w:r>
          </w:p>
        </w:tc>
        <w:tc>
          <w:tcPr>
            <w:tcW w:w="960" w:type="dxa"/>
            <w:tcBorders>
              <w:top w:val="nil"/>
              <w:left w:val="nil"/>
              <w:bottom w:val="nil"/>
              <w:right w:val="nil"/>
            </w:tcBorders>
          </w:tcPr>
          <w:p w14:paraId="20284D73" w14:textId="77777777" w:rsidR="00C64E6B" w:rsidRPr="00883399" w:rsidRDefault="00C64E6B" w:rsidP="00C64E6B">
            <w:pPr>
              <w:pStyle w:val="Tabletext0"/>
              <w:rPr>
                <w:snapToGrid w:val="0"/>
                <w:sz w:val="22"/>
              </w:rPr>
            </w:pPr>
            <w:r w:rsidRPr="00883399">
              <w:rPr>
                <w:snapToGrid w:val="0"/>
                <w:sz w:val="22"/>
              </w:rPr>
              <w:t>69.6</w:t>
            </w:r>
          </w:p>
        </w:tc>
        <w:tc>
          <w:tcPr>
            <w:tcW w:w="960" w:type="dxa"/>
            <w:tcBorders>
              <w:top w:val="nil"/>
              <w:left w:val="nil"/>
              <w:bottom w:val="nil"/>
              <w:right w:val="nil"/>
            </w:tcBorders>
          </w:tcPr>
          <w:p w14:paraId="452FEFBF" w14:textId="77777777" w:rsidR="00C64E6B" w:rsidRPr="00883399" w:rsidRDefault="00C64E6B" w:rsidP="00C64E6B">
            <w:pPr>
              <w:pStyle w:val="Tabletext0"/>
              <w:rPr>
                <w:snapToGrid w:val="0"/>
                <w:sz w:val="22"/>
              </w:rPr>
            </w:pPr>
            <w:r w:rsidRPr="00883399">
              <w:rPr>
                <w:snapToGrid w:val="0"/>
                <w:sz w:val="22"/>
              </w:rPr>
              <w:t>0.1</w:t>
            </w:r>
          </w:p>
        </w:tc>
        <w:tc>
          <w:tcPr>
            <w:tcW w:w="981" w:type="dxa"/>
            <w:tcBorders>
              <w:top w:val="nil"/>
              <w:left w:val="nil"/>
              <w:bottom w:val="nil"/>
              <w:right w:val="nil"/>
            </w:tcBorders>
          </w:tcPr>
          <w:p w14:paraId="5B0D4A5A" w14:textId="77777777" w:rsidR="00C64E6B" w:rsidRPr="00883399" w:rsidRDefault="00C64E6B" w:rsidP="00C64E6B">
            <w:pPr>
              <w:pStyle w:val="Tabletext0"/>
              <w:rPr>
                <w:snapToGrid w:val="0"/>
                <w:sz w:val="22"/>
              </w:rPr>
            </w:pPr>
            <w:r w:rsidRPr="00883399">
              <w:rPr>
                <w:snapToGrid w:val="0"/>
                <w:sz w:val="22"/>
              </w:rPr>
              <w:t>0.2</w:t>
            </w:r>
          </w:p>
        </w:tc>
      </w:tr>
      <w:tr w:rsidR="00C64E6B" w:rsidRPr="00883399" w14:paraId="0ED033F5" w14:textId="77777777" w:rsidTr="0031057E">
        <w:trPr>
          <w:cantSplit/>
        </w:trPr>
        <w:tc>
          <w:tcPr>
            <w:tcW w:w="600" w:type="dxa"/>
            <w:tcBorders>
              <w:top w:val="nil"/>
              <w:left w:val="nil"/>
              <w:bottom w:val="nil"/>
              <w:right w:val="nil"/>
            </w:tcBorders>
          </w:tcPr>
          <w:p w14:paraId="60F1E125" w14:textId="77777777" w:rsidR="00C64E6B" w:rsidRPr="00883399" w:rsidRDefault="00C64E6B" w:rsidP="00C64E6B">
            <w:pPr>
              <w:pStyle w:val="Tabletext0"/>
              <w:rPr>
                <w:snapToGrid w:val="0"/>
                <w:sz w:val="22"/>
              </w:rPr>
            </w:pPr>
            <w:r w:rsidRPr="00883399">
              <w:rPr>
                <w:snapToGrid w:val="0"/>
                <w:sz w:val="22"/>
              </w:rPr>
              <w:t>34</w:t>
            </w:r>
          </w:p>
        </w:tc>
        <w:tc>
          <w:tcPr>
            <w:tcW w:w="3240" w:type="dxa"/>
            <w:tcBorders>
              <w:top w:val="nil"/>
              <w:left w:val="nil"/>
              <w:bottom w:val="nil"/>
              <w:right w:val="nil"/>
            </w:tcBorders>
          </w:tcPr>
          <w:p w14:paraId="3A5733AA" w14:textId="77777777" w:rsidR="00C64E6B" w:rsidRPr="00883399" w:rsidRDefault="00C64E6B" w:rsidP="00C64E6B">
            <w:pPr>
              <w:pStyle w:val="Tabletext0"/>
              <w:rPr>
                <w:snapToGrid w:val="0"/>
                <w:sz w:val="22"/>
              </w:rPr>
            </w:pPr>
            <w:r w:rsidRPr="00883399">
              <w:rPr>
                <w:snapToGrid w:val="0"/>
                <w:sz w:val="22"/>
              </w:rPr>
              <w:t xml:space="preserve">Other natural gas liquids </w:t>
            </w:r>
          </w:p>
        </w:tc>
        <w:tc>
          <w:tcPr>
            <w:tcW w:w="1560" w:type="dxa"/>
            <w:tcBorders>
              <w:top w:val="nil"/>
              <w:left w:val="nil"/>
              <w:bottom w:val="nil"/>
              <w:right w:val="nil"/>
            </w:tcBorders>
          </w:tcPr>
          <w:p w14:paraId="3E65D7D3" w14:textId="77777777" w:rsidR="00C64E6B" w:rsidRPr="00883399" w:rsidRDefault="00C64E6B" w:rsidP="00C64E6B">
            <w:pPr>
              <w:pStyle w:val="Tabletext0"/>
              <w:rPr>
                <w:snapToGrid w:val="0"/>
                <w:sz w:val="22"/>
              </w:rPr>
            </w:pPr>
            <w:r w:rsidRPr="00883399">
              <w:rPr>
                <w:snapToGrid w:val="0"/>
                <w:sz w:val="22"/>
              </w:rPr>
              <w:t>46.5 GJ/t</w:t>
            </w:r>
          </w:p>
        </w:tc>
        <w:tc>
          <w:tcPr>
            <w:tcW w:w="960" w:type="dxa"/>
            <w:tcBorders>
              <w:top w:val="nil"/>
              <w:left w:val="nil"/>
              <w:bottom w:val="nil"/>
              <w:right w:val="nil"/>
            </w:tcBorders>
          </w:tcPr>
          <w:p w14:paraId="64159609" w14:textId="77777777" w:rsidR="00C64E6B" w:rsidRPr="00883399" w:rsidRDefault="00C64E6B" w:rsidP="00C64E6B">
            <w:pPr>
              <w:pStyle w:val="Tabletext0"/>
              <w:rPr>
                <w:snapToGrid w:val="0"/>
                <w:sz w:val="22"/>
              </w:rPr>
            </w:pPr>
            <w:r w:rsidRPr="00883399">
              <w:rPr>
                <w:snapToGrid w:val="0"/>
                <w:sz w:val="22"/>
              </w:rPr>
              <w:t>61.0</w:t>
            </w:r>
          </w:p>
        </w:tc>
        <w:tc>
          <w:tcPr>
            <w:tcW w:w="960" w:type="dxa"/>
            <w:tcBorders>
              <w:top w:val="nil"/>
              <w:left w:val="nil"/>
              <w:bottom w:val="nil"/>
              <w:right w:val="nil"/>
            </w:tcBorders>
          </w:tcPr>
          <w:p w14:paraId="2B29D60D" w14:textId="77777777" w:rsidR="00C64E6B" w:rsidRPr="00883399" w:rsidRDefault="00C64E6B" w:rsidP="00C64E6B">
            <w:pPr>
              <w:pStyle w:val="Tabletext0"/>
              <w:rPr>
                <w:snapToGrid w:val="0"/>
                <w:sz w:val="22"/>
              </w:rPr>
            </w:pPr>
            <w:r w:rsidRPr="00883399">
              <w:rPr>
                <w:snapToGrid w:val="0"/>
                <w:sz w:val="22"/>
              </w:rPr>
              <w:t>0.1</w:t>
            </w:r>
          </w:p>
        </w:tc>
        <w:tc>
          <w:tcPr>
            <w:tcW w:w="981" w:type="dxa"/>
            <w:tcBorders>
              <w:top w:val="nil"/>
              <w:left w:val="nil"/>
              <w:bottom w:val="nil"/>
              <w:right w:val="nil"/>
            </w:tcBorders>
          </w:tcPr>
          <w:p w14:paraId="7F057115" w14:textId="77777777" w:rsidR="00C64E6B" w:rsidRPr="00883399" w:rsidRDefault="00C64E6B" w:rsidP="00C64E6B">
            <w:pPr>
              <w:pStyle w:val="Tabletext0"/>
              <w:rPr>
                <w:snapToGrid w:val="0"/>
                <w:sz w:val="22"/>
              </w:rPr>
            </w:pPr>
            <w:r w:rsidRPr="00883399">
              <w:rPr>
                <w:snapToGrid w:val="0"/>
                <w:sz w:val="22"/>
              </w:rPr>
              <w:t>0.2</w:t>
            </w:r>
          </w:p>
        </w:tc>
      </w:tr>
      <w:tr w:rsidR="00C64E6B" w:rsidRPr="00883399" w14:paraId="3448B609" w14:textId="77777777" w:rsidTr="0031057E">
        <w:trPr>
          <w:cantSplit/>
        </w:trPr>
        <w:tc>
          <w:tcPr>
            <w:tcW w:w="600" w:type="dxa"/>
            <w:tcBorders>
              <w:top w:val="nil"/>
              <w:left w:val="nil"/>
              <w:bottom w:val="nil"/>
              <w:right w:val="nil"/>
            </w:tcBorders>
          </w:tcPr>
          <w:p w14:paraId="64660542" w14:textId="77777777" w:rsidR="00C64E6B" w:rsidRPr="00883399" w:rsidRDefault="00C64E6B" w:rsidP="00C64E6B">
            <w:pPr>
              <w:pStyle w:val="Tabletext0"/>
              <w:rPr>
                <w:snapToGrid w:val="0"/>
                <w:sz w:val="22"/>
              </w:rPr>
            </w:pPr>
            <w:r w:rsidRPr="00883399">
              <w:rPr>
                <w:snapToGrid w:val="0"/>
                <w:sz w:val="22"/>
              </w:rPr>
              <w:t>35</w:t>
            </w:r>
          </w:p>
        </w:tc>
        <w:tc>
          <w:tcPr>
            <w:tcW w:w="3240" w:type="dxa"/>
            <w:tcBorders>
              <w:top w:val="nil"/>
              <w:left w:val="nil"/>
              <w:bottom w:val="nil"/>
              <w:right w:val="nil"/>
            </w:tcBorders>
          </w:tcPr>
          <w:p w14:paraId="38E4AB37" w14:textId="77777777" w:rsidR="00C64E6B" w:rsidRPr="00883399" w:rsidRDefault="00C64E6B" w:rsidP="00C64E6B">
            <w:pPr>
              <w:pStyle w:val="Tabletext0"/>
              <w:rPr>
                <w:snapToGrid w:val="0"/>
                <w:sz w:val="22"/>
              </w:rPr>
            </w:pPr>
            <w:r w:rsidRPr="00883399">
              <w:rPr>
                <w:snapToGrid w:val="0"/>
                <w:sz w:val="22"/>
              </w:rPr>
              <w:t>Gasoline (other than for use as fuel in an aircraft)</w:t>
            </w:r>
          </w:p>
        </w:tc>
        <w:tc>
          <w:tcPr>
            <w:tcW w:w="1560" w:type="dxa"/>
            <w:tcBorders>
              <w:top w:val="nil"/>
              <w:left w:val="nil"/>
              <w:bottom w:val="nil"/>
              <w:right w:val="nil"/>
            </w:tcBorders>
          </w:tcPr>
          <w:p w14:paraId="37892895" w14:textId="77777777" w:rsidR="00C64E6B" w:rsidRPr="00883399" w:rsidRDefault="00C64E6B" w:rsidP="00C64E6B">
            <w:pPr>
              <w:pStyle w:val="Tabletext0"/>
              <w:rPr>
                <w:snapToGrid w:val="0"/>
                <w:sz w:val="22"/>
              </w:rPr>
            </w:pPr>
            <w:r w:rsidRPr="00883399">
              <w:rPr>
                <w:snapToGrid w:val="0"/>
                <w:sz w:val="22"/>
              </w:rPr>
              <w:t>34.2</w:t>
            </w:r>
          </w:p>
        </w:tc>
        <w:tc>
          <w:tcPr>
            <w:tcW w:w="960" w:type="dxa"/>
            <w:tcBorders>
              <w:top w:val="nil"/>
              <w:left w:val="nil"/>
              <w:bottom w:val="nil"/>
              <w:right w:val="nil"/>
            </w:tcBorders>
          </w:tcPr>
          <w:p w14:paraId="23E6C089" w14:textId="77777777" w:rsidR="00C64E6B" w:rsidRPr="00883399" w:rsidRDefault="00C64E6B" w:rsidP="00C64E6B">
            <w:pPr>
              <w:pStyle w:val="Tabletext0"/>
              <w:rPr>
                <w:snapToGrid w:val="0"/>
                <w:sz w:val="22"/>
              </w:rPr>
            </w:pPr>
            <w:r w:rsidRPr="00883399">
              <w:rPr>
                <w:snapToGrid w:val="0"/>
                <w:sz w:val="22"/>
              </w:rPr>
              <w:t>67.4</w:t>
            </w:r>
          </w:p>
        </w:tc>
        <w:tc>
          <w:tcPr>
            <w:tcW w:w="960" w:type="dxa"/>
            <w:tcBorders>
              <w:top w:val="nil"/>
              <w:left w:val="nil"/>
              <w:bottom w:val="nil"/>
              <w:right w:val="nil"/>
            </w:tcBorders>
          </w:tcPr>
          <w:p w14:paraId="66750A87" w14:textId="77777777" w:rsidR="00C64E6B" w:rsidRPr="00883399" w:rsidRDefault="00C64E6B" w:rsidP="00C64E6B">
            <w:pPr>
              <w:pStyle w:val="Tabletext0"/>
              <w:rPr>
                <w:snapToGrid w:val="0"/>
                <w:sz w:val="22"/>
              </w:rPr>
            </w:pPr>
            <w:r w:rsidRPr="00883399">
              <w:rPr>
                <w:snapToGrid w:val="0"/>
                <w:sz w:val="22"/>
              </w:rPr>
              <w:t>0.2</w:t>
            </w:r>
          </w:p>
        </w:tc>
        <w:tc>
          <w:tcPr>
            <w:tcW w:w="981" w:type="dxa"/>
            <w:tcBorders>
              <w:top w:val="nil"/>
              <w:left w:val="nil"/>
              <w:bottom w:val="nil"/>
              <w:right w:val="nil"/>
            </w:tcBorders>
          </w:tcPr>
          <w:p w14:paraId="3321D72D" w14:textId="77777777" w:rsidR="00C64E6B" w:rsidRPr="00883399" w:rsidRDefault="00C64E6B" w:rsidP="00C64E6B">
            <w:pPr>
              <w:pStyle w:val="Tabletext0"/>
              <w:rPr>
                <w:snapToGrid w:val="0"/>
                <w:sz w:val="22"/>
              </w:rPr>
            </w:pPr>
            <w:r w:rsidRPr="00883399">
              <w:rPr>
                <w:snapToGrid w:val="0"/>
                <w:sz w:val="22"/>
              </w:rPr>
              <w:t>0.2</w:t>
            </w:r>
          </w:p>
        </w:tc>
      </w:tr>
      <w:tr w:rsidR="00C64E6B" w:rsidRPr="00883399" w14:paraId="7F865B6B" w14:textId="77777777" w:rsidTr="0031057E">
        <w:trPr>
          <w:cantSplit/>
        </w:trPr>
        <w:tc>
          <w:tcPr>
            <w:tcW w:w="600" w:type="dxa"/>
            <w:tcBorders>
              <w:top w:val="nil"/>
              <w:left w:val="nil"/>
              <w:bottom w:val="nil"/>
              <w:right w:val="nil"/>
            </w:tcBorders>
          </w:tcPr>
          <w:p w14:paraId="647C4531" w14:textId="77777777" w:rsidR="00C64E6B" w:rsidRPr="00883399" w:rsidRDefault="00C64E6B" w:rsidP="00C64E6B">
            <w:pPr>
              <w:pStyle w:val="Tabletext0"/>
              <w:rPr>
                <w:snapToGrid w:val="0"/>
                <w:sz w:val="22"/>
              </w:rPr>
            </w:pPr>
            <w:r w:rsidRPr="00883399">
              <w:rPr>
                <w:snapToGrid w:val="0"/>
                <w:sz w:val="22"/>
              </w:rPr>
              <w:t>36</w:t>
            </w:r>
          </w:p>
        </w:tc>
        <w:tc>
          <w:tcPr>
            <w:tcW w:w="3240" w:type="dxa"/>
            <w:tcBorders>
              <w:top w:val="nil"/>
              <w:left w:val="nil"/>
              <w:bottom w:val="nil"/>
              <w:right w:val="nil"/>
            </w:tcBorders>
          </w:tcPr>
          <w:p w14:paraId="0E776569" w14:textId="77777777" w:rsidR="00C64E6B" w:rsidRPr="00883399" w:rsidRDefault="00C64E6B" w:rsidP="00C64E6B">
            <w:pPr>
              <w:pStyle w:val="Tabletext0"/>
              <w:rPr>
                <w:snapToGrid w:val="0"/>
                <w:sz w:val="22"/>
              </w:rPr>
            </w:pPr>
            <w:r w:rsidRPr="00883399">
              <w:rPr>
                <w:snapToGrid w:val="0"/>
                <w:sz w:val="22"/>
              </w:rPr>
              <w:t>Gasoline for use as fuel in an aircraft</w:t>
            </w:r>
          </w:p>
        </w:tc>
        <w:tc>
          <w:tcPr>
            <w:tcW w:w="1560" w:type="dxa"/>
            <w:tcBorders>
              <w:top w:val="nil"/>
              <w:left w:val="nil"/>
              <w:bottom w:val="nil"/>
              <w:right w:val="nil"/>
            </w:tcBorders>
          </w:tcPr>
          <w:p w14:paraId="157A233F" w14:textId="77777777" w:rsidR="00C64E6B" w:rsidRPr="00883399" w:rsidRDefault="00C64E6B" w:rsidP="00C64E6B">
            <w:pPr>
              <w:pStyle w:val="Tabletext0"/>
              <w:rPr>
                <w:snapToGrid w:val="0"/>
                <w:sz w:val="22"/>
              </w:rPr>
            </w:pPr>
            <w:r w:rsidRPr="00883399">
              <w:rPr>
                <w:snapToGrid w:val="0"/>
                <w:sz w:val="22"/>
              </w:rPr>
              <w:t>33.1</w:t>
            </w:r>
          </w:p>
        </w:tc>
        <w:tc>
          <w:tcPr>
            <w:tcW w:w="960" w:type="dxa"/>
            <w:tcBorders>
              <w:top w:val="nil"/>
              <w:left w:val="nil"/>
              <w:bottom w:val="nil"/>
              <w:right w:val="nil"/>
            </w:tcBorders>
          </w:tcPr>
          <w:p w14:paraId="09A6E0E9" w14:textId="77777777" w:rsidR="00C64E6B" w:rsidRPr="00883399" w:rsidRDefault="00C64E6B" w:rsidP="00C64E6B">
            <w:pPr>
              <w:pStyle w:val="Tabletext0"/>
              <w:rPr>
                <w:snapToGrid w:val="0"/>
                <w:sz w:val="22"/>
              </w:rPr>
            </w:pPr>
            <w:r w:rsidRPr="00883399">
              <w:rPr>
                <w:snapToGrid w:val="0"/>
                <w:sz w:val="22"/>
              </w:rPr>
              <w:t>67.0</w:t>
            </w:r>
          </w:p>
        </w:tc>
        <w:tc>
          <w:tcPr>
            <w:tcW w:w="960" w:type="dxa"/>
            <w:tcBorders>
              <w:top w:val="nil"/>
              <w:left w:val="nil"/>
              <w:bottom w:val="nil"/>
              <w:right w:val="nil"/>
            </w:tcBorders>
          </w:tcPr>
          <w:p w14:paraId="620F06E3" w14:textId="77777777" w:rsidR="00C64E6B" w:rsidRPr="00883399" w:rsidRDefault="00C64E6B" w:rsidP="00C64E6B">
            <w:pPr>
              <w:pStyle w:val="Tabletext0"/>
              <w:rPr>
                <w:snapToGrid w:val="0"/>
                <w:sz w:val="22"/>
              </w:rPr>
            </w:pPr>
            <w:r w:rsidRPr="00883399">
              <w:rPr>
                <w:snapToGrid w:val="0"/>
                <w:sz w:val="22"/>
              </w:rPr>
              <w:t>0.2</w:t>
            </w:r>
          </w:p>
        </w:tc>
        <w:tc>
          <w:tcPr>
            <w:tcW w:w="981" w:type="dxa"/>
            <w:tcBorders>
              <w:top w:val="nil"/>
              <w:left w:val="nil"/>
              <w:bottom w:val="nil"/>
              <w:right w:val="nil"/>
            </w:tcBorders>
          </w:tcPr>
          <w:p w14:paraId="75880DCD" w14:textId="77777777" w:rsidR="00C64E6B" w:rsidRPr="00883399" w:rsidRDefault="00C64E6B" w:rsidP="00C64E6B">
            <w:pPr>
              <w:pStyle w:val="Tabletext0"/>
              <w:rPr>
                <w:snapToGrid w:val="0"/>
                <w:sz w:val="22"/>
              </w:rPr>
            </w:pPr>
            <w:r w:rsidRPr="00883399">
              <w:rPr>
                <w:snapToGrid w:val="0"/>
                <w:sz w:val="22"/>
              </w:rPr>
              <w:t>0.2</w:t>
            </w:r>
          </w:p>
        </w:tc>
      </w:tr>
      <w:tr w:rsidR="00C64E6B" w:rsidRPr="00883399" w14:paraId="0884A923" w14:textId="77777777" w:rsidTr="0031057E">
        <w:trPr>
          <w:cantSplit/>
        </w:trPr>
        <w:tc>
          <w:tcPr>
            <w:tcW w:w="600" w:type="dxa"/>
            <w:tcBorders>
              <w:top w:val="nil"/>
              <w:left w:val="nil"/>
              <w:bottom w:val="nil"/>
              <w:right w:val="nil"/>
            </w:tcBorders>
          </w:tcPr>
          <w:p w14:paraId="606E1214" w14:textId="77777777" w:rsidR="00C64E6B" w:rsidRPr="00883399" w:rsidRDefault="00C64E6B" w:rsidP="00C64E6B">
            <w:pPr>
              <w:pStyle w:val="Tabletext0"/>
              <w:rPr>
                <w:sz w:val="22"/>
              </w:rPr>
            </w:pPr>
            <w:r w:rsidRPr="00883399">
              <w:rPr>
                <w:sz w:val="22"/>
              </w:rPr>
              <w:t>37</w:t>
            </w:r>
          </w:p>
        </w:tc>
        <w:tc>
          <w:tcPr>
            <w:tcW w:w="3240" w:type="dxa"/>
            <w:tcBorders>
              <w:top w:val="nil"/>
              <w:left w:val="nil"/>
              <w:bottom w:val="nil"/>
              <w:right w:val="nil"/>
            </w:tcBorders>
          </w:tcPr>
          <w:p w14:paraId="79B86CFE" w14:textId="77777777" w:rsidR="00C64E6B" w:rsidRPr="00883399" w:rsidRDefault="00C64E6B" w:rsidP="00C64E6B">
            <w:pPr>
              <w:pStyle w:val="Tabletext0"/>
              <w:rPr>
                <w:sz w:val="22"/>
              </w:rPr>
            </w:pPr>
            <w:r w:rsidRPr="00883399">
              <w:rPr>
                <w:snapToGrid w:val="0"/>
                <w:sz w:val="22"/>
              </w:rPr>
              <w:t>Kerosene (other than for use as fuel in an aircraft)</w:t>
            </w:r>
          </w:p>
        </w:tc>
        <w:tc>
          <w:tcPr>
            <w:tcW w:w="1560" w:type="dxa"/>
            <w:tcBorders>
              <w:top w:val="nil"/>
              <w:left w:val="nil"/>
              <w:bottom w:val="nil"/>
              <w:right w:val="nil"/>
            </w:tcBorders>
          </w:tcPr>
          <w:p w14:paraId="333A4369" w14:textId="77777777" w:rsidR="00C64E6B" w:rsidRPr="00883399" w:rsidRDefault="00C64E6B" w:rsidP="00C64E6B">
            <w:pPr>
              <w:pStyle w:val="Tabletext0"/>
              <w:rPr>
                <w:snapToGrid w:val="0"/>
                <w:sz w:val="22"/>
              </w:rPr>
            </w:pPr>
            <w:r w:rsidRPr="00883399">
              <w:rPr>
                <w:snapToGrid w:val="0"/>
                <w:sz w:val="22"/>
              </w:rPr>
              <w:t>37.5</w:t>
            </w:r>
          </w:p>
        </w:tc>
        <w:tc>
          <w:tcPr>
            <w:tcW w:w="960" w:type="dxa"/>
            <w:tcBorders>
              <w:top w:val="nil"/>
              <w:left w:val="nil"/>
              <w:bottom w:val="nil"/>
              <w:right w:val="nil"/>
            </w:tcBorders>
          </w:tcPr>
          <w:p w14:paraId="5D38E5CA" w14:textId="77777777" w:rsidR="00C64E6B" w:rsidRPr="00883399" w:rsidRDefault="00C64E6B" w:rsidP="00C64E6B">
            <w:pPr>
              <w:pStyle w:val="Tabletext0"/>
              <w:rPr>
                <w:snapToGrid w:val="0"/>
                <w:sz w:val="22"/>
              </w:rPr>
            </w:pPr>
            <w:r w:rsidRPr="00883399">
              <w:rPr>
                <w:snapToGrid w:val="0"/>
                <w:sz w:val="22"/>
              </w:rPr>
              <w:t>68.9</w:t>
            </w:r>
          </w:p>
        </w:tc>
        <w:tc>
          <w:tcPr>
            <w:tcW w:w="960" w:type="dxa"/>
            <w:tcBorders>
              <w:top w:val="nil"/>
              <w:left w:val="nil"/>
              <w:bottom w:val="nil"/>
              <w:right w:val="nil"/>
            </w:tcBorders>
          </w:tcPr>
          <w:p w14:paraId="6AD45DA2" w14:textId="77777777" w:rsidR="00C64E6B" w:rsidRPr="00883399" w:rsidRDefault="00C64E6B" w:rsidP="00C64E6B">
            <w:pPr>
              <w:pStyle w:val="Tabletext0"/>
              <w:rPr>
                <w:snapToGrid w:val="0"/>
                <w:sz w:val="22"/>
              </w:rPr>
            </w:pPr>
            <w:r w:rsidRPr="00883399">
              <w:rPr>
                <w:snapToGrid w:val="0"/>
                <w:sz w:val="22"/>
              </w:rPr>
              <w:t>0.0</w:t>
            </w:r>
          </w:p>
        </w:tc>
        <w:tc>
          <w:tcPr>
            <w:tcW w:w="981" w:type="dxa"/>
            <w:tcBorders>
              <w:top w:val="nil"/>
              <w:left w:val="nil"/>
              <w:bottom w:val="nil"/>
              <w:right w:val="nil"/>
            </w:tcBorders>
          </w:tcPr>
          <w:p w14:paraId="7018F53A" w14:textId="77777777" w:rsidR="00C64E6B" w:rsidRPr="00883399" w:rsidRDefault="00C64E6B" w:rsidP="00C64E6B">
            <w:pPr>
              <w:pStyle w:val="Tabletext0"/>
              <w:rPr>
                <w:snapToGrid w:val="0"/>
                <w:sz w:val="22"/>
              </w:rPr>
            </w:pPr>
            <w:r w:rsidRPr="00883399">
              <w:rPr>
                <w:snapToGrid w:val="0"/>
                <w:sz w:val="22"/>
              </w:rPr>
              <w:t>0.2</w:t>
            </w:r>
          </w:p>
        </w:tc>
      </w:tr>
      <w:tr w:rsidR="00C64E6B" w:rsidRPr="00883399" w14:paraId="0E72BEB0" w14:textId="77777777" w:rsidTr="0031057E">
        <w:trPr>
          <w:cantSplit/>
        </w:trPr>
        <w:tc>
          <w:tcPr>
            <w:tcW w:w="600" w:type="dxa"/>
            <w:tcBorders>
              <w:top w:val="nil"/>
              <w:left w:val="nil"/>
              <w:bottom w:val="nil"/>
              <w:right w:val="nil"/>
            </w:tcBorders>
          </w:tcPr>
          <w:p w14:paraId="645948F4" w14:textId="77777777" w:rsidR="00C64E6B" w:rsidRPr="00883399" w:rsidRDefault="00C64E6B" w:rsidP="00C64E6B">
            <w:pPr>
              <w:pStyle w:val="Tabletext0"/>
              <w:rPr>
                <w:snapToGrid w:val="0"/>
                <w:sz w:val="22"/>
              </w:rPr>
            </w:pPr>
            <w:r w:rsidRPr="00883399">
              <w:rPr>
                <w:snapToGrid w:val="0"/>
                <w:sz w:val="22"/>
              </w:rPr>
              <w:t>38</w:t>
            </w:r>
          </w:p>
        </w:tc>
        <w:tc>
          <w:tcPr>
            <w:tcW w:w="3240" w:type="dxa"/>
            <w:tcBorders>
              <w:top w:val="nil"/>
              <w:left w:val="nil"/>
              <w:bottom w:val="nil"/>
              <w:right w:val="nil"/>
            </w:tcBorders>
          </w:tcPr>
          <w:p w14:paraId="50509D0B" w14:textId="77777777" w:rsidR="00C64E6B" w:rsidRPr="00883399" w:rsidRDefault="00C64E6B" w:rsidP="00C64E6B">
            <w:pPr>
              <w:pStyle w:val="Tabletext0"/>
              <w:rPr>
                <w:snapToGrid w:val="0"/>
                <w:sz w:val="22"/>
              </w:rPr>
            </w:pPr>
            <w:r w:rsidRPr="00883399">
              <w:rPr>
                <w:sz w:val="22"/>
              </w:rPr>
              <w:t>Kerosene for use as fuel in an aircraft</w:t>
            </w:r>
          </w:p>
        </w:tc>
        <w:tc>
          <w:tcPr>
            <w:tcW w:w="1560" w:type="dxa"/>
            <w:tcBorders>
              <w:top w:val="nil"/>
              <w:left w:val="nil"/>
              <w:bottom w:val="nil"/>
              <w:right w:val="nil"/>
            </w:tcBorders>
          </w:tcPr>
          <w:p w14:paraId="3FA5981F" w14:textId="77777777" w:rsidR="00C64E6B" w:rsidRPr="00883399" w:rsidRDefault="00C64E6B" w:rsidP="00C64E6B">
            <w:pPr>
              <w:pStyle w:val="Tabletext0"/>
              <w:rPr>
                <w:snapToGrid w:val="0"/>
                <w:sz w:val="22"/>
              </w:rPr>
            </w:pPr>
            <w:r w:rsidRPr="00883399">
              <w:rPr>
                <w:snapToGrid w:val="0"/>
                <w:sz w:val="22"/>
              </w:rPr>
              <w:t>36.8</w:t>
            </w:r>
          </w:p>
        </w:tc>
        <w:tc>
          <w:tcPr>
            <w:tcW w:w="960" w:type="dxa"/>
            <w:tcBorders>
              <w:top w:val="nil"/>
              <w:left w:val="nil"/>
              <w:bottom w:val="nil"/>
              <w:right w:val="nil"/>
            </w:tcBorders>
          </w:tcPr>
          <w:p w14:paraId="4EC9B108" w14:textId="77777777" w:rsidR="00C64E6B" w:rsidRPr="00883399" w:rsidRDefault="00C64E6B" w:rsidP="00C64E6B">
            <w:pPr>
              <w:pStyle w:val="Tabletext0"/>
              <w:rPr>
                <w:snapToGrid w:val="0"/>
                <w:sz w:val="22"/>
              </w:rPr>
            </w:pPr>
            <w:r w:rsidRPr="00883399">
              <w:rPr>
                <w:snapToGrid w:val="0"/>
                <w:sz w:val="22"/>
              </w:rPr>
              <w:t>69.6</w:t>
            </w:r>
          </w:p>
        </w:tc>
        <w:tc>
          <w:tcPr>
            <w:tcW w:w="960" w:type="dxa"/>
            <w:tcBorders>
              <w:top w:val="nil"/>
              <w:left w:val="nil"/>
              <w:bottom w:val="nil"/>
              <w:right w:val="nil"/>
            </w:tcBorders>
          </w:tcPr>
          <w:p w14:paraId="2A995C98" w14:textId="77777777" w:rsidR="00C64E6B" w:rsidRPr="00883399" w:rsidRDefault="00C64E6B" w:rsidP="00C64E6B">
            <w:pPr>
              <w:pStyle w:val="Tabletext0"/>
              <w:rPr>
                <w:snapToGrid w:val="0"/>
                <w:sz w:val="22"/>
              </w:rPr>
            </w:pPr>
            <w:r w:rsidRPr="00883399">
              <w:rPr>
                <w:snapToGrid w:val="0"/>
                <w:sz w:val="22"/>
              </w:rPr>
              <w:t>0.02</w:t>
            </w:r>
          </w:p>
        </w:tc>
        <w:tc>
          <w:tcPr>
            <w:tcW w:w="981" w:type="dxa"/>
            <w:tcBorders>
              <w:top w:val="nil"/>
              <w:left w:val="nil"/>
              <w:bottom w:val="nil"/>
              <w:right w:val="nil"/>
            </w:tcBorders>
          </w:tcPr>
          <w:p w14:paraId="58820125" w14:textId="77777777" w:rsidR="00C64E6B" w:rsidRPr="00883399" w:rsidRDefault="00C64E6B" w:rsidP="00C64E6B">
            <w:pPr>
              <w:pStyle w:val="Tabletext0"/>
              <w:rPr>
                <w:snapToGrid w:val="0"/>
                <w:sz w:val="22"/>
              </w:rPr>
            </w:pPr>
            <w:r w:rsidRPr="00883399">
              <w:rPr>
                <w:snapToGrid w:val="0"/>
                <w:sz w:val="22"/>
              </w:rPr>
              <w:t>0.2</w:t>
            </w:r>
          </w:p>
        </w:tc>
      </w:tr>
      <w:tr w:rsidR="00C64E6B" w:rsidRPr="00883399" w14:paraId="0C5DE902" w14:textId="77777777" w:rsidTr="0031057E">
        <w:trPr>
          <w:cantSplit/>
        </w:trPr>
        <w:tc>
          <w:tcPr>
            <w:tcW w:w="600" w:type="dxa"/>
            <w:tcBorders>
              <w:top w:val="nil"/>
              <w:left w:val="nil"/>
              <w:bottom w:val="nil"/>
              <w:right w:val="nil"/>
            </w:tcBorders>
          </w:tcPr>
          <w:p w14:paraId="630A1C09" w14:textId="77777777" w:rsidR="00C64E6B" w:rsidRPr="00883399" w:rsidRDefault="00C64E6B" w:rsidP="00C64E6B">
            <w:pPr>
              <w:pStyle w:val="Tabletext0"/>
              <w:rPr>
                <w:snapToGrid w:val="0"/>
                <w:sz w:val="22"/>
              </w:rPr>
            </w:pPr>
            <w:r w:rsidRPr="00883399">
              <w:rPr>
                <w:snapToGrid w:val="0"/>
                <w:sz w:val="22"/>
              </w:rPr>
              <w:t>39</w:t>
            </w:r>
          </w:p>
        </w:tc>
        <w:tc>
          <w:tcPr>
            <w:tcW w:w="3240" w:type="dxa"/>
            <w:tcBorders>
              <w:top w:val="nil"/>
              <w:left w:val="nil"/>
              <w:bottom w:val="nil"/>
              <w:right w:val="nil"/>
            </w:tcBorders>
          </w:tcPr>
          <w:p w14:paraId="15E264A8" w14:textId="77777777" w:rsidR="00C64E6B" w:rsidRPr="00883399" w:rsidRDefault="00C64E6B" w:rsidP="00C64E6B">
            <w:pPr>
              <w:pStyle w:val="Tabletext0"/>
              <w:rPr>
                <w:snapToGrid w:val="0"/>
                <w:sz w:val="22"/>
              </w:rPr>
            </w:pPr>
            <w:r w:rsidRPr="00883399">
              <w:rPr>
                <w:snapToGrid w:val="0"/>
                <w:sz w:val="22"/>
              </w:rPr>
              <w:t>Heating oil</w:t>
            </w:r>
          </w:p>
        </w:tc>
        <w:tc>
          <w:tcPr>
            <w:tcW w:w="1560" w:type="dxa"/>
            <w:tcBorders>
              <w:top w:val="nil"/>
              <w:left w:val="nil"/>
              <w:bottom w:val="nil"/>
              <w:right w:val="nil"/>
            </w:tcBorders>
          </w:tcPr>
          <w:p w14:paraId="293C3D46" w14:textId="77777777" w:rsidR="00C64E6B" w:rsidRPr="00883399" w:rsidRDefault="00C64E6B" w:rsidP="00C64E6B">
            <w:pPr>
              <w:pStyle w:val="Tabletext0"/>
              <w:rPr>
                <w:snapToGrid w:val="0"/>
                <w:sz w:val="22"/>
              </w:rPr>
            </w:pPr>
            <w:r w:rsidRPr="00883399">
              <w:rPr>
                <w:snapToGrid w:val="0"/>
                <w:sz w:val="22"/>
              </w:rPr>
              <w:t>37.3</w:t>
            </w:r>
          </w:p>
        </w:tc>
        <w:tc>
          <w:tcPr>
            <w:tcW w:w="960" w:type="dxa"/>
            <w:tcBorders>
              <w:top w:val="nil"/>
              <w:left w:val="nil"/>
              <w:bottom w:val="nil"/>
              <w:right w:val="nil"/>
            </w:tcBorders>
          </w:tcPr>
          <w:p w14:paraId="070781C5" w14:textId="77777777" w:rsidR="00C64E6B" w:rsidRPr="00883399" w:rsidRDefault="00C64E6B" w:rsidP="00C64E6B">
            <w:pPr>
              <w:pStyle w:val="Tabletext0"/>
              <w:rPr>
                <w:snapToGrid w:val="0"/>
                <w:sz w:val="22"/>
              </w:rPr>
            </w:pPr>
            <w:r w:rsidRPr="00883399">
              <w:rPr>
                <w:snapToGrid w:val="0"/>
                <w:sz w:val="22"/>
              </w:rPr>
              <w:t>69.5</w:t>
            </w:r>
          </w:p>
        </w:tc>
        <w:tc>
          <w:tcPr>
            <w:tcW w:w="960" w:type="dxa"/>
            <w:tcBorders>
              <w:top w:val="nil"/>
              <w:left w:val="nil"/>
              <w:bottom w:val="nil"/>
              <w:right w:val="nil"/>
            </w:tcBorders>
          </w:tcPr>
          <w:p w14:paraId="460A2627" w14:textId="77777777" w:rsidR="00C64E6B" w:rsidRPr="00883399" w:rsidRDefault="00C64E6B" w:rsidP="00C64E6B">
            <w:pPr>
              <w:pStyle w:val="Tabletext0"/>
              <w:rPr>
                <w:snapToGrid w:val="0"/>
                <w:sz w:val="22"/>
              </w:rPr>
            </w:pPr>
            <w:r w:rsidRPr="00883399">
              <w:rPr>
                <w:snapToGrid w:val="0"/>
                <w:sz w:val="22"/>
              </w:rPr>
              <w:t>0.03</w:t>
            </w:r>
          </w:p>
        </w:tc>
        <w:tc>
          <w:tcPr>
            <w:tcW w:w="981" w:type="dxa"/>
            <w:tcBorders>
              <w:top w:val="nil"/>
              <w:left w:val="nil"/>
              <w:bottom w:val="nil"/>
              <w:right w:val="nil"/>
            </w:tcBorders>
          </w:tcPr>
          <w:p w14:paraId="0E6679DE" w14:textId="77777777" w:rsidR="00C64E6B" w:rsidRPr="00883399" w:rsidRDefault="00C64E6B" w:rsidP="00C64E6B">
            <w:pPr>
              <w:pStyle w:val="Tabletext0"/>
              <w:rPr>
                <w:snapToGrid w:val="0"/>
                <w:sz w:val="22"/>
              </w:rPr>
            </w:pPr>
            <w:r w:rsidRPr="00883399">
              <w:rPr>
                <w:snapToGrid w:val="0"/>
                <w:sz w:val="22"/>
              </w:rPr>
              <w:t>0.2</w:t>
            </w:r>
          </w:p>
        </w:tc>
      </w:tr>
      <w:tr w:rsidR="00C64E6B" w:rsidRPr="00883399" w14:paraId="69735A42" w14:textId="77777777" w:rsidTr="0031057E">
        <w:trPr>
          <w:cantSplit/>
        </w:trPr>
        <w:tc>
          <w:tcPr>
            <w:tcW w:w="600" w:type="dxa"/>
            <w:tcBorders>
              <w:top w:val="nil"/>
              <w:left w:val="nil"/>
              <w:bottom w:val="nil"/>
              <w:right w:val="nil"/>
            </w:tcBorders>
          </w:tcPr>
          <w:p w14:paraId="09C09D6A" w14:textId="77777777" w:rsidR="00C64E6B" w:rsidRPr="00883399" w:rsidRDefault="00C64E6B" w:rsidP="00C64E6B">
            <w:pPr>
              <w:pStyle w:val="Tabletext0"/>
              <w:rPr>
                <w:snapToGrid w:val="0"/>
                <w:sz w:val="22"/>
              </w:rPr>
            </w:pPr>
            <w:r w:rsidRPr="00883399">
              <w:rPr>
                <w:snapToGrid w:val="0"/>
                <w:sz w:val="22"/>
              </w:rPr>
              <w:t>40</w:t>
            </w:r>
          </w:p>
        </w:tc>
        <w:tc>
          <w:tcPr>
            <w:tcW w:w="3240" w:type="dxa"/>
            <w:tcBorders>
              <w:top w:val="nil"/>
              <w:left w:val="nil"/>
              <w:bottom w:val="nil"/>
              <w:right w:val="nil"/>
            </w:tcBorders>
          </w:tcPr>
          <w:p w14:paraId="3D639B03" w14:textId="77777777" w:rsidR="00C64E6B" w:rsidRPr="00883399" w:rsidRDefault="00C64E6B" w:rsidP="00C64E6B">
            <w:pPr>
              <w:pStyle w:val="Tabletext0"/>
              <w:rPr>
                <w:snapToGrid w:val="0"/>
                <w:sz w:val="22"/>
              </w:rPr>
            </w:pPr>
            <w:r w:rsidRPr="00883399">
              <w:rPr>
                <w:snapToGrid w:val="0"/>
                <w:sz w:val="22"/>
              </w:rPr>
              <w:t>Diesel oil</w:t>
            </w:r>
          </w:p>
        </w:tc>
        <w:tc>
          <w:tcPr>
            <w:tcW w:w="1560" w:type="dxa"/>
            <w:tcBorders>
              <w:top w:val="nil"/>
              <w:left w:val="nil"/>
              <w:bottom w:val="nil"/>
              <w:right w:val="nil"/>
            </w:tcBorders>
          </w:tcPr>
          <w:p w14:paraId="313EA213" w14:textId="77777777" w:rsidR="00C64E6B" w:rsidRPr="00883399" w:rsidRDefault="00C64E6B" w:rsidP="00C64E6B">
            <w:pPr>
              <w:pStyle w:val="Tabletext0"/>
              <w:rPr>
                <w:snapToGrid w:val="0"/>
                <w:sz w:val="22"/>
              </w:rPr>
            </w:pPr>
            <w:r w:rsidRPr="00883399">
              <w:rPr>
                <w:snapToGrid w:val="0"/>
                <w:sz w:val="22"/>
              </w:rPr>
              <w:t>38.6</w:t>
            </w:r>
          </w:p>
        </w:tc>
        <w:tc>
          <w:tcPr>
            <w:tcW w:w="960" w:type="dxa"/>
            <w:tcBorders>
              <w:top w:val="nil"/>
              <w:left w:val="nil"/>
              <w:bottom w:val="nil"/>
              <w:right w:val="nil"/>
            </w:tcBorders>
          </w:tcPr>
          <w:p w14:paraId="4ADC8087" w14:textId="77777777" w:rsidR="00C64E6B" w:rsidRPr="00883399" w:rsidRDefault="00C64E6B" w:rsidP="00C64E6B">
            <w:pPr>
              <w:pStyle w:val="Tabletext0"/>
              <w:rPr>
                <w:snapToGrid w:val="0"/>
                <w:sz w:val="22"/>
              </w:rPr>
            </w:pPr>
            <w:r w:rsidRPr="00883399">
              <w:rPr>
                <w:snapToGrid w:val="0"/>
                <w:sz w:val="22"/>
              </w:rPr>
              <w:t>69.9</w:t>
            </w:r>
          </w:p>
        </w:tc>
        <w:tc>
          <w:tcPr>
            <w:tcW w:w="960" w:type="dxa"/>
            <w:tcBorders>
              <w:top w:val="nil"/>
              <w:left w:val="nil"/>
              <w:bottom w:val="nil"/>
              <w:right w:val="nil"/>
            </w:tcBorders>
          </w:tcPr>
          <w:p w14:paraId="083B9BC7" w14:textId="77777777" w:rsidR="00C64E6B" w:rsidRPr="00883399" w:rsidRDefault="00C64E6B" w:rsidP="00C64E6B">
            <w:pPr>
              <w:pStyle w:val="Tabletext0"/>
              <w:rPr>
                <w:snapToGrid w:val="0"/>
                <w:sz w:val="22"/>
              </w:rPr>
            </w:pPr>
            <w:r w:rsidRPr="00883399">
              <w:rPr>
                <w:snapToGrid w:val="0"/>
                <w:sz w:val="22"/>
              </w:rPr>
              <w:t>0.1</w:t>
            </w:r>
          </w:p>
        </w:tc>
        <w:tc>
          <w:tcPr>
            <w:tcW w:w="981" w:type="dxa"/>
            <w:tcBorders>
              <w:top w:val="nil"/>
              <w:left w:val="nil"/>
              <w:bottom w:val="nil"/>
              <w:right w:val="nil"/>
            </w:tcBorders>
          </w:tcPr>
          <w:p w14:paraId="71D3E7DF" w14:textId="77777777" w:rsidR="00C64E6B" w:rsidRPr="00883399" w:rsidRDefault="00C64E6B" w:rsidP="00C64E6B">
            <w:pPr>
              <w:pStyle w:val="Tabletext0"/>
              <w:rPr>
                <w:snapToGrid w:val="0"/>
                <w:sz w:val="22"/>
              </w:rPr>
            </w:pPr>
            <w:r w:rsidRPr="00883399">
              <w:rPr>
                <w:snapToGrid w:val="0"/>
                <w:sz w:val="22"/>
              </w:rPr>
              <w:t>0.2</w:t>
            </w:r>
          </w:p>
        </w:tc>
      </w:tr>
      <w:tr w:rsidR="00C64E6B" w:rsidRPr="00883399" w14:paraId="5630C31F" w14:textId="77777777" w:rsidTr="0031057E">
        <w:trPr>
          <w:cantSplit/>
        </w:trPr>
        <w:tc>
          <w:tcPr>
            <w:tcW w:w="600" w:type="dxa"/>
            <w:tcBorders>
              <w:top w:val="nil"/>
              <w:left w:val="nil"/>
              <w:bottom w:val="nil"/>
              <w:right w:val="nil"/>
            </w:tcBorders>
          </w:tcPr>
          <w:p w14:paraId="095A86BF" w14:textId="77777777" w:rsidR="00C64E6B" w:rsidRPr="00883399" w:rsidRDefault="00C64E6B" w:rsidP="00C64E6B">
            <w:pPr>
              <w:pStyle w:val="Tabletext0"/>
              <w:rPr>
                <w:snapToGrid w:val="0"/>
                <w:sz w:val="22"/>
              </w:rPr>
            </w:pPr>
            <w:r w:rsidRPr="00883399">
              <w:rPr>
                <w:snapToGrid w:val="0"/>
                <w:sz w:val="22"/>
              </w:rPr>
              <w:t>41</w:t>
            </w:r>
          </w:p>
        </w:tc>
        <w:tc>
          <w:tcPr>
            <w:tcW w:w="3240" w:type="dxa"/>
            <w:tcBorders>
              <w:top w:val="nil"/>
              <w:left w:val="nil"/>
              <w:bottom w:val="nil"/>
              <w:right w:val="nil"/>
            </w:tcBorders>
          </w:tcPr>
          <w:p w14:paraId="70F00F05" w14:textId="77777777" w:rsidR="00C64E6B" w:rsidRPr="00883399" w:rsidRDefault="00C64E6B" w:rsidP="00C64E6B">
            <w:pPr>
              <w:pStyle w:val="Tabletext0"/>
              <w:rPr>
                <w:snapToGrid w:val="0"/>
                <w:sz w:val="22"/>
              </w:rPr>
            </w:pPr>
            <w:r w:rsidRPr="00883399">
              <w:rPr>
                <w:snapToGrid w:val="0"/>
                <w:sz w:val="22"/>
              </w:rPr>
              <w:t>Fuel oil</w:t>
            </w:r>
          </w:p>
        </w:tc>
        <w:tc>
          <w:tcPr>
            <w:tcW w:w="1560" w:type="dxa"/>
            <w:tcBorders>
              <w:top w:val="nil"/>
              <w:left w:val="nil"/>
              <w:bottom w:val="nil"/>
              <w:right w:val="nil"/>
            </w:tcBorders>
          </w:tcPr>
          <w:p w14:paraId="447D3784" w14:textId="77777777" w:rsidR="00C64E6B" w:rsidRPr="00883399" w:rsidRDefault="00C64E6B" w:rsidP="00C64E6B">
            <w:pPr>
              <w:pStyle w:val="Tabletext0"/>
              <w:rPr>
                <w:snapToGrid w:val="0"/>
                <w:sz w:val="22"/>
              </w:rPr>
            </w:pPr>
            <w:r w:rsidRPr="00883399">
              <w:rPr>
                <w:snapToGrid w:val="0"/>
                <w:sz w:val="22"/>
              </w:rPr>
              <w:t>39.7</w:t>
            </w:r>
          </w:p>
        </w:tc>
        <w:tc>
          <w:tcPr>
            <w:tcW w:w="960" w:type="dxa"/>
            <w:tcBorders>
              <w:top w:val="nil"/>
              <w:left w:val="nil"/>
              <w:bottom w:val="nil"/>
              <w:right w:val="nil"/>
            </w:tcBorders>
          </w:tcPr>
          <w:p w14:paraId="12C790CF" w14:textId="77777777" w:rsidR="00C64E6B" w:rsidRPr="00883399" w:rsidRDefault="00C64E6B" w:rsidP="00C64E6B">
            <w:pPr>
              <w:pStyle w:val="Tabletext0"/>
              <w:rPr>
                <w:snapToGrid w:val="0"/>
                <w:sz w:val="22"/>
              </w:rPr>
            </w:pPr>
            <w:r w:rsidRPr="00883399">
              <w:rPr>
                <w:snapToGrid w:val="0"/>
                <w:sz w:val="22"/>
              </w:rPr>
              <w:t>73.6</w:t>
            </w:r>
          </w:p>
        </w:tc>
        <w:tc>
          <w:tcPr>
            <w:tcW w:w="960" w:type="dxa"/>
            <w:tcBorders>
              <w:top w:val="nil"/>
              <w:left w:val="nil"/>
              <w:bottom w:val="nil"/>
              <w:right w:val="nil"/>
            </w:tcBorders>
          </w:tcPr>
          <w:p w14:paraId="0D0AFE1D" w14:textId="77777777" w:rsidR="00C64E6B" w:rsidRPr="00883399" w:rsidRDefault="00C64E6B" w:rsidP="00C64E6B">
            <w:pPr>
              <w:pStyle w:val="Tabletext0"/>
              <w:rPr>
                <w:snapToGrid w:val="0"/>
                <w:sz w:val="22"/>
              </w:rPr>
            </w:pPr>
            <w:r w:rsidRPr="00883399">
              <w:rPr>
                <w:snapToGrid w:val="0"/>
                <w:sz w:val="22"/>
              </w:rPr>
              <w:t>0.04</w:t>
            </w:r>
          </w:p>
        </w:tc>
        <w:tc>
          <w:tcPr>
            <w:tcW w:w="981" w:type="dxa"/>
            <w:tcBorders>
              <w:top w:val="nil"/>
              <w:left w:val="nil"/>
              <w:bottom w:val="nil"/>
              <w:right w:val="nil"/>
            </w:tcBorders>
          </w:tcPr>
          <w:p w14:paraId="79C358C0" w14:textId="77777777" w:rsidR="00C64E6B" w:rsidRPr="00883399" w:rsidRDefault="00C64E6B" w:rsidP="00C64E6B">
            <w:pPr>
              <w:pStyle w:val="Tabletext0"/>
              <w:rPr>
                <w:snapToGrid w:val="0"/>
                <w:sz w:val="22"/>
              </w:rPr>
            </w:pPr>
            <w:r w:rsidRPr="00883399">
              <w:rPr>
                <w:snapToGrid w:val="0"/>
                <w:sz w:val="22"/>
              </w:rPr>
              <w:t>0.2</w:t>
            </w:r>
          </w:p>
        </w:tc>
      </w:tr>
      <w:tr w:rsidR="00C64E6B" w:rsidRPr="00883399" w14:paraId="3FCA89FD" w14:textId="77777777" w:rsidTr="0031057E">
        <w:trPr>
          <w:cantSplit/>
        </w:trPr>
        <w:tc>
          <w:tcPr>
            <w:tcW w:w="600" w:type="dxa"/>
            <w:tcBorders>
              <w:top w:val="nil"/>
              <w:left w:val="nil"/>
              <w:bottom w:val="nil"/>
              <w:right w:val="nil"/>
            </w:tcBorders>
          </w:tcPr>
          <w:p w14:paraId="27BA6264" w14:textId="77777777" w:rsidR="00C64E6B" w:rsidRPr="00883399" w:rsidRDefault="00C64E6B" w:rsidP="00C64E6B">
            <w:pPr>
              <w:pStyle w:val="Tabletext0"/>
              <w:rPr>
                <w:snapToGrid w:val="0"/>
                <w:sz w:val="22"/>
              </w:rPr>
            </w:pPr>
            <w:r w:rsidRPr="00883399">
              <w:rPr>
                <w:snapToGrid w:val="0"/>
                <w:sz w:val="22"/>
              </w:rPr>
              <w:t>42</w:t>
            </w:r>
          </w:p>
        </w:tc>
        <w:tc>
          <w:tcPr>
            <w:tcW w:w="3240" w:type="dxa"/>
            <w:tcBorders>
              <w:top w:val="nil"/>
              <w:left w:val="nil"/>
              <w:bottom w:val="nil"/>
              <w:right w:val="nil"/>
            </w:tcBorders>
          </w:tcPr>
          <w:p w14:paraId="345D5FE9" w14:textId="77777777" w:rsidR="00C64E6B" w:rsidRPr="00883399" w:rsidRDefault="00C64E6B" w:rsidP="00C64E6B">
            <w:pPr>
              <w:pStyle w:val="Tabletext0"/>
              <w:rPr>
                <w:snapToGrid w:val="0"/>
                <w:sz w:val="22"/>
              </w:rPr>
            </w:pPr>
            <w:r w:rsidRPr="00883399">
              <w:rPr>
                <w:snapToGrid w:val="0"/>
                <w:sz w:val="22"/>
              </w:rPr>
              <w:t>Liquefied aromatic hydrocarbons</w:t>
            </w:r>
          </w:p>
        </w:tc>
        <w:tc>
          <w:tcPr>
            <w:tcW w:w="1560" w:type="dxa"/>
            <w:tcBorders>
              <w:top w:val="nil"/>
              <w:left w:val="nil"/>
              <w:bottom w:val="nil"/>
              <w:right w:val="nil"/>
            </w:tcBorders>
          </w:tcPr>
          <w:p w14:paraId="7D352F5A" w14:textId="77777777" w:rsidR="00C64E6B" w:rsidRPr="00883399" w:rsidRDefault="00C64E6B" w:rsidP="00C64E6B">
            <w:pPr>
              <w:pStyle w:val="Tabletext0"/>
              <w:rPr>
                <w:snapToGrid w:val="0"/>
                <w:sz w:val="22"/>
              </w:rPr>
            </w:pPr>
            <w:r w:rsidRPr="00883399">
              <w:rPr>
                <w:snapToGrid w:val="0"/>
                <w:sz w:val="22"/>
              </w:rPr>
              <w:t>34.4</w:t>
            </w:r>
          </w:p>
        </w:tc>
        <w:tc>
          <w:tcPr>
            <w:tcW w:w="960" w:type="dxa"/>
            <w:tcBorders>
              <w:top w:val="nil"/>
              <w:left w:val="nil"/>
              <w:bottom w:val="nil"/>
              <w:right w:val="nil"/>
            </w:tcBorders>
          </w:tcPr>
          <w:p w14:paraId="7C669B5C" w14:textId="77777777" w:rsidR="00C64E6B" w:rsidRPr="00883399" w:rsidRDefault="00C64E6B" w:rsidP="00C64E6B">
            <w:pPr>
              <w:pStyle w:val="Tabletext0"/>
              <w:rPr>
                <w:snapToGrid w:val="0"/>
                <w:sz w:val="22"/>
              </w:rPr>
            </w:pPr>
            <w:r w:rsidRPr="00883399">
              <w:rPr>
                <w:snapToGrid w:val="0"/>
                <w:sz w:val="22"/>
              </w:rPr>
              <w:t>69.7</w:t>
            </w:r>
          </w:p>
        </w:tc>
        <w:tc>
          <w:tcPr>
            <w:tcW w:w="960" w:type="dxa"/>
            <w:tcBorders>
              <w:top w:val="nil"/>
              <w:left w:val="nil"/>
              <w:bottom w:val="nil"/>
              <w:right w:val="nil"/>
            </w:tcBorders>
          </w:tcPr>
          <w:p w14:paraId="07630872" w14:textId="77777777" w:rsidR="00C64E6B" w:rsidRPr="00883399" w:rsidRDefault="00C64E6B" w:rsidP="00C64E6B">
            <w:pPr>
              <w:pStyle w:val="Tabletext0"/>
              <w:rPr>
                <w:snapToGrid w:val="0"/>
                <w:sz w:val="22"/>
              </w:rPr>
            </w:pPr>
            <w:r w:rsidRPr="00883399">
              <w:rPr>
                <w:snapToGrid w:val="0"/>
                <w:sz w:val="22"/>
              </w:rPr>
              <w:t>0.02</w:t>
            </w:r>
          </w:p>
        </w:tc>
        <w:tc>
          <w:tcPr>
            <w:tcW w:w="981" w:type="dxa"/>
            <w:tcBorders>
              <w:top w:val="nil"/>
              <w:left w:val="nil"/>
              <w:bottom w:val="nil"/>
              <w:right w:val="nil"/>
            </w:tcBorders>
          </w:tcPr>
          <w:p w14:paraId="7D479FCE" w14:textId="77777777" w:rsidR="00C64E6B" w:rsidRPr="00883399" w:rsidRDefault="00C64E6B" w:rsidP="00C64E6B">
            <w:pPr>
              <w:pStyle w:val="Tabletext0"/>
              <w:rPr>
                <w:snapToGrid w:val="0"/>
                <w:sz w:val="22"/>
              </w:rPr>
            </w:pPr>
            <w:r w:rsidRPr="00883399">
              <w:rPr>
                <w:snapToGrid w:val="0"/>
                <w:sz w:val="22"/>
              </w:rPr>
              <w:t>0.2</w:t>
            </w:r>
          </w:p>
        </w:tc>
      </w:tr>
      <w:tr w:rsidR="00C64E6B" w:rsidRPr="00883399" w14:paraId="14123A39" w14:textId="77777777" w:rsidTr="0031057E">
        <w:trPr>
          <w:cantSplit/>
        </w:trPr>
        <w:tc>
          <w:tcPr>
            <w:tcW w:w="600" w:type="dxa"/>
            <w:tcBorders>
              <w:top w:val="nil"/>
              <w:left w:val="nil"/>
              <w:bottom w:val="nil"/>
              <w:right w:val="nil"/>
            </w:tcBorders>
          </w:tcPr>
          <w:p w14:paraId="581C74F8" w14:textId="77777777" w:rsidR="00C64E6B" w:rsidRPr="00883399" w:rsidRDefault="00C64E6B" w:rsidP="00C64E6B">
            <w:pPr>
              <w:pStyle w:val="Tabletext0"/>
              <w:rPr>
                <w:snapToGrid w:val="0"/>
                <w:sz w:val="22"/>
              </w:rPr>
            </w:pPr>
            <w:r w:rsidRPr="00883399">
              <w:rPr>
                <w:snapToGrid w:val="0"/>
                <w:sz w:val="22"/>
              </w:rPr>
              <w:t>43</w:t>
            </w:r>
          </w:p>
        </w:tc>
        <w:tc>
          <w:tcPr>
            <w:tcW w:w="3240" w:type="dxa"/>
            <w:tcBorders>
              <w:top w:val="nil"/>
              <w:left w:val="nil"/>
              <w:bottom w:val="nil"/>
              <w:right w:val="nil"/>
            </w:tcBorders>
          </w:tcPr>
          <w:p w14:paraId="56C02190" w14:textId="77777777" w:rsidR="00C64E6B" w:rsidRPr="00883399" w:rsidRDefault="00C64E6B" w:rsidP="00C64E6B">
            <w:pPr>
              <w:pStyle w:val="Tabletext0"/>
              <w:rPr>
                <w:snapToGrid w:val="0"/>
                <w:sz w:val="22"/>
              </w:rPr>
            </w:pPr>
            <w:r w:rsidRPr="00883399">
              <w:rPr>
                <w:snapToGrid w:val="0"/>
                <w:sz w:val="22"/>
              </w:rPr>
              <w:t>Solvents if mineral turpentine or white spirits</w:t>
            </w:r>
          </w:p>
        </w:tc>
        <w:tc>
          <w:tcPr>
            <w:tcW w:w="1560" w:type="dxa"/>
            <w:tcBorders>
              <w:top w:val="nil"/>
              <w:left w:val="nil"/>
              <w:bottom w:val="nil"/>
              <w:right w:val="nil"/>
            </w:tcBorders>
          </w:tcPr>
          <w:p w14:paraId="23D4787E" w14:textId="77777777" w:rsidR="00C64E6B" w:rsidRPr="00883399" w:rsidRDefault="00C64E6B" w:rsidP="00C64E6B">
            <w:pPr>
              <w:pStyle w:val="Tabletext0"/>
              <w:rPr>
                <w:snapToGrid w:val="0"/>
                <w:sz w:val="22"/>
              </w:rPr>
            </w:pPr>
            <w:r w:rsidRPr="00883399">
              <w:rPr>
                <w:snapToGrid w:val="0"/>
                <w:sz w:val="22"/>
              </w:rPr>
              <w:t>34.4</w:t>
            </w:r>
          </w:p>
        </w:tc>
        <w:tc>
          <w:tcPr>
            <w:tcW w:w="960" w:type="dxa"/>
            <w:tcBorders>
              <w:top w:val="nil"/>
              <w:left w:val="nil"/>
              <w:bottom w:val="nil"/>
              <w:right w:val="nil"/>
            </w:tcBorders>
          </w:tcPr>
          <w:p w14:paraId="291F31D2" w14:textId="77777777" w:rsidR="00C64E6B" w:rsidRPr="00883399" w:rsidRDefault="00C64E6B" w:rsidP="00C64E6B">
            <w:pPr>
              <w:pStyle w:val="Tabletext0"/>
              <w:rPr>
                <w:snapToGrid w:val="0"/>
                <w:sz w:val="22"/>
              </w:rPr>
            </w:pPr>
            <w:r w:rsidRPr="00883399">
              <w:rPr>
                <w:snapToGrid w:val="0"/>
                <w:sz w:val="22"/>
              </w:rPr>
              <w:t>69.7</w:t>
            </w:r>
          </w:p>
        </w:tc>
        <w:tc>
          <w:tcPr>
            <w:tcW w:w="960" w:type="dxa"/>
            <w:tcBorders>
              <w:top w:val="nil"/>
              <w:left w:val="nil"/>
              <w:bottom w:val="nil"/>
              <w:right w:val="nil"/>
            </w:tcBorders>
          </w:tcPr>
          <w:p w14:paraId="2CC71A09" w14:textId="77777777" w:rsidR="00C64E6B" w:rsidRPr="00883399" w:rsidRDefault="00C64E6B" w:rsidP="00C64E6B">
            <w:pPr>
              <w:pStyle w:val="Tabletext0"/>
              <w:rPr>
                <w:snapToGrid w:val="0"/>
                <w:sz w:val="22"/>
              </w:rPr>
            </w:pPr>
            <w:r w:rsidRPr="00883399">
              <w:rPr>
                <w:snapToGrid w:val="0"/>
                <w:sz w:val="22"/>
              </w:rPr>
              <w:t>0.02</w:t>
            </w:r>
          </w:p>
        </w:tc>
        <w:tc>
          <w:tcPr>
            <w:tcW w:w="981" w:type="dxa"/>
            <w:tcBorders>
              <w:top w:val="nil"/>
              <w:left w:val="nil"/>
              <w:bottom w:val="nil"/>
              <w:right w:val="nil"/>
            </w:tcBorders>
          </w:tcPr>
          <w:p w14:paraId="6D3E8F74" w14:textId="77777777" w:rsidR="00C64E6B" w:rsidRPr="00883399" w:rsidRDefault="00C64E6B" w:rsidP="00C64E6B">
            <w:pPr>
              <w:pStyle w:val="Tabletext0"/>
              <w:rPr>
                <w:snapToGrid w:val="0"/>
                <w:sz w:val="22"/>
              </w:rPr>
            </w:pPr>
            <w:r w:rsidRPr="00883399">
              <w:rPr>
                <w:snapToGrid w:val="0"/>
                <w:sz w:val="22"/>
              </w:rPr>
              <w:t>0.2</w:t>
            </w:r>
          </w:p>
        </w:tc>
      </w:tr>
      <w:tr w:rsidR="00C64E6B" w:rsidRPr="00883399" w14:paraId="42B18F9E" w14:textId="77777777" w:rsidTr="0031057E">
        <w:trPr>
          <w:cantSplit/>
        </w:trPr>
        <w:tc>
          <w:tcPr>
            <w:tcW w:w="600" w:type="dxa"/>
            <w:tcBorders>
              <w:top w:val="nil"/>
              <w:left w:val="nil"/>
              <w:bottom w:val="nil"/>
              <w:right w:val="nil"/>
            </w:tcBorders>
          </w:tcPr>
          <w:p w14:paraId="1A505189" w14:textId="77777777" w:rsidR="00C64E6B" w:rsidRPr="00883399" w:rsidRDefault="00C64E6B" w:rsidP="00C64E6B">
            <w:pPr>
              <w:pStyle w:val="Tabletext0"/>
              <w:rPr>
                <w:sz w:val="22"/>
              </w:rPr>
            </w:pPr>
            <w:r w:rsidRPr="00883399">
              <w:rPr>
                <w:sz w:val="22"/>
              </w:rPr>
              <w:t>44</w:t>
            </w:r>
          </w:p>
        </w:tc>
        <w:tc>
          <w:tcPr>
            <w:tcW w:w="3240" w:type="dxa"/>
            <w:tcBorders>
              <w:top w:val="nil"/>
              <w:left w:val="nil"/>
              <w:bottom w:val="nil"/>
              <w:right w:val="nil"/>
            </w:tcBorders>
          </w:tcPr>
          <w:p w14:paraId="1654AA6C" w14:textId="77777777" w:rsidR="00C64E6B" w:rsidRPr="00883399" w:rsidRDefault="00C64E6B" w:rsidP="00C64E6B">
            <w:pPr>
              <w:pStyle w:val="Tabletext0"/>
              <w:rPr>
                <w:sz w:val="22"/>
              </w:rPr>
            </w:pPr>
            <w:r w:rsidRPr="00883399">
              <w:rPr>
                <w:sz w:val="22"/>
              </w:rPr>
              <w:t>Liquefied petroleum gas</w:t>
            </w:r>
          </w:p>
        </w:tc>
        <w:tc>
          <w:tcPr>
            <w:tcW w:w="1560" w:type="dxa"/>
            <w:tcBorders>
              <w:top w:val="nil"/>
              <w:left w:val="nil"/>
              <w:bottom w:val="nil"/>
              <w:right w:val="nil"/>
            </w:tcBorders>
          </w:tcPr>
          <w:p w14:paraId="491AA6CF" w14:textId="77777777" w:rsidR="00C64E6B" w:rsidRPr="00883399" w:rsidRDefault="00C64E6B" w:rsidP="00C64E6B">
            <w:pPr>
              <w:pStyle w:val="Tabletext0"/>
              <w:rPr>
                <w:snapToGrid w:val="0"/>
                <w:sz w:val="22"/>
              </w:rPr>
            </w:pPr>
            <w:r w:rsidRPr="00883399">
              <w:rPr>
                <w:snapToGrid w:val="0"/>
                <w:sz w:val="22"/>
              </w:rPr>
              <w:t>25.7</w:t>
            </w:r>
          </w:p>
        </w:tc>
        <w:tc>
          <w:tcPr>
            <w:tcW w:w="960" w:type="dxa"/>
            <w:tcBorders>
              <w:top w:val="nil"/>
              <w:left w:val="nil"/>
              <w:bottom w:val="nil"/>
              <w:right w:val="nil"/>
            </w:tcBorders>
          </w:tcPr>
          <w:p w14:paraId="1E7E282C" w14:textId="77777777" w:rsidR="00C64E6B" w:rsidRPr="00883399" w:rsidRDefault="00C64E6B" w:rsidP="00C64E6B">
            <w:pPr>
              <w:pStyle w:val="Tabletext0"/>
              <w:rPr>
                <w:snapToGrid w:val="0"/>
                <w:sz w:val="22"/>
              </w:rPr>
            </w:pPr>
            <w:r w:rsidRPr="00883399">
              <w:rPr>
                <w:snapToGrid w:val="0"/>
                <w:sz w:val="22"/>
              </w:rPr>
              <w:t>60.2</w:t>
            </w:r>
          </w:p>
        </w:tc>
        <w:tc>
          <w:tcPr>
            <w:tcW w:w="960" w:type="dxa"/>
            <w:tcBorders>
              <w:top w:val="nil"/>
              <w:left w:val="nil"/>
              <w:bottom w:val="nil"/>
              <w:right w:val="nil"/>
            </w:tcBorders>
          </w:tcPr>
          <w:p w14:paraId="68D7D2B5" w14:textId="77777777" w:rsidR="00C64E6B" w:rsidRPr="00883399" w:rsidRDefault="00C64E6B" w:rsidP="00C64E6B">
            <w:pPr>
              <w:pStyle w:val="Tabletext0"/>
              <w:rPr>
                <w:snapToGrid w:val="0"/>
                <w:sz w:val="22"/>
              </w:rPr>
            </w:pPr>
            <w:r w:rsidRPr="00883399">
              <w:rPr>
                <w:snapToGrid w:val="0"/>
                <w:sz w:val="22"/>
              </w:rPr>
              <w:t>0.2</w:t>
            </w:r>
          </w:p>
        </w:tc>
        <w:tc>
          <w:tcPr>
            <w:tcW w:w="981" w:type="dxa"/>
            <w:tcBorders>
              <w:top w:val="nil"/>
              <w:left w:val="nil"/>
              <w:bottom w:val="nil"/>
              <w:right w:val="nil"/>
            </w:tcBorders>
          </w:tcPr>
          <w:p w14:paraId="3ABB68D5" w14:textId="77777777" w:rsidR="00C64E6B" w:rsidRPr="00883399" w:rsidRDefault="00C64E6B" w:rsidP="00C64E6B">
            <w:pPr>
              <w:pStyle w:val="Tabletext0"/>
              <w:rPr>
                <w:snapToGrid w:val="0"/>
                <w:sz w:val="22"/>
              </w:rPr>
            </w:pPr>
            <w:r w:rsidRPr="00883399">
              <w:rPr>
                <w:snapToGrid w:val="0"/>
                <w:sz w:val="22"/>
              </w:rPr>
              <w:t>0.2</w:t>
            </w:r>
          </w:p>
        </w:tc>
      </w:tr>
      <w:tr w:rsidR="00C64E6B" w:rsidRPr="00883399" w14:paraId="130AA88B" w14:textId="77777777" w:rsidTr="0031057E">
        <w:trPr>
          <w:cantSplit/>
        </w:trPr>
        <w:tc>
          <w:tcPr>
            <w:tcW w:w="600" w:type="dxa"/>
            <w:tcBorders>
              <w:top w:val="nil"/>
              <w:left w:val="nil"/>
              <w:bottom w:val="nil"/>
              <w:right w:val="nil"/>
            </w:tcBorders>
          </w:tcPr>
          <w:p w14:paraId="30DF6AE1" w14:textId="77777777" w:rsidR="00C64E6B" w:rsidRPr="00883399" w:rsidRDefault="00C64E6B" w:rsidP="00C64E6B">
            <w:pPr>
              <w:pStyle w:val="Tabletext0"/>
              <w:rPr>
                <w:sz w:val="22"/>
              </w:rPr>
            </w:pPr>
            <w:r w:rsidRPr="00883399">
              <w:rPr>
                <w:sz w:val="22"/>
              </w:rPr>
              <w:t>45</w:t>
            </w:r>
          </w:p>
        </w:tc>
        <w:tc>
          <w:tcPr>
            <w:tcW w:w="3240" w:type="dxa"/>
            <w:tcBorders>
              <w:top w:val="nil"/>
              <w:left w:val="nil"/>
              <w:bottom w:val="nil"/>
              <w:right w:val="nil"/>
            </w:tcBorders>
          </w:tcPr>
          <w:p w14:paraId="06140259" w14:textId="77777777" w:rsidR="00C64E6B" w:rsidRPr="00883399" w:rsidRDefault="00C64E6B" w:rsidP="00C64E6B">
            <w:pPr>
              <w:pStyle w:val="Tabletext0"/>
              <w:rPr>
                <w:sz w:val="22"/>
              </w:rPr>
            </w:pPr>
            <w:r w:rsidRPr="00883399">
              <w:rPr>
                <w:sz w:val="22"/>
              </w:rPr>
              <w:t>Naphtha</w:t>
            </w:r>
          </w:p>
        </w:tc>
        <w:tc>
          <w:tcPr>
            <w:tcW w:w="1560" w:type="dxa"/>
            <w:tcBorders>
              <w:top w:val="nil"/>
              <w:left w:val="nil"/>
              <w:bottom w:val="nil"/>
              <w:right w:val="nil"/>
            </w:tcBorders>
          </w:tcPr>
          <w:p w14:paraId="48AAC42F" w14:textId="77777777" w:rsidR="00C64E6B" w:rsidRPr="00883399" w:rsidRDefault="00C64E6B" w:rsidP="00C64E6B">
            <w:pPr>
              <w:pStyle w:val="Tabletext0"/>
              <w:rPr>
                <w:snapToGrid w:val="0"/>
                <w:sz w:val="22"/>
              </w:rPr>
            </w:pPr>
            <w:r w:rsidRPr="00883399">
              <w:rPr>
                <w:snapToGrid w:val="0"/>
                <w:sz w:val="22"/>
              </w:rPr>
              <w:t>31.4</w:t>
            </w:r>
          </w:p>
        </w:tc>
        <w:tc>
          <w:tcPr>
            <w:tcW w:w="960" w:type="dxa"/>
            <w:tcBorders>
              <w:top w:val="nil"/>
              <w:left w:val="nil"/>
              <w:bottom w:val="nil"/>
              <w:right w:val="nil"/>
            </w:tcBorders>
          </w:tcPr>
          <w:p w14:paraId="5A350D39" w14:textId="77777777" w:rsidR="00C64E6B" w:rsidRPr="00883399" w:rsidRDefault="00C64E6B" w:rsidP="00C64E6B">
            <w:pPr>
              <w:pStyle w:val="Tabletext0"/>
              <w:rPr>
                <w:snapToGrid w:val="0"/>
                <w:sz w:val="22"/>
              </w:rPr>
            </w:pPr>
            <w:r w:rsidRPr="00883399">
              <w:rPr>
                <w:snapToGrid w:val="0"/>
                <w:sz w:val="22"/>
              </w:rPr>
              <w:t>69.8</w:t>
            </w:r>
          </w:p>
        </w:tc>
        <w:tc>
          <w:tcPr>
            <w:tcW w:w="960" w:type="dxa"/>
            <w:tcBorders>
              <w:top w:val="nil"/>
              <w:left w:val="nil"/>
              <w:bottom w:val="nil"/>
              <w:right w:val="nil"/>
            </w:tcBorders>
          </w:tcPr>
          <w:p w14:paraId="40492EDB" w14:textId="77777777" w:rsidR="00C64E6B" w:rsidRPr="00883399" w:rsidRDefault="00C64E6B" w:rsidP="00C64E6B">
            <w:pPr>
              <w:pStyle w:val="Tabletext0"/>
              <w:rPr>
                <w:snapToGrid w:val="0"/>
                <w:sz w:val="22"/>
              </w:rPr>
            </w:pPr>
            <w:r w:rsidRPr="00883399">
              <w:rPr>
                <w:snapToGrid w:val="0"/>
                <w:sz w:val="22"/>
              </w:rPr>
              <w:t>0.00</w:t>
            </w:r>
          </w:p>
        </w:tc>
        <w:tc>
          <w:tcPr>
            <w:tcW w:w="981" w:type="dxa"/>
            <w:tcBorders>
              <w:top w:val="nil"/>
              <w:left w:val="nil"/>
              <w:bottom w:val="nil"/>
              <w:right w:val="nil"/>
            </w:tcBorders>
          </w:tcPr>
          <w:p w14:paraId="529757A8" w14:textId="77777777" w:rsidR="00C64E6B" w:rsidRPr="00883399" w:rsidRDefault="00C64E6B" w:rsidP="00C64E6B">
            <w:pPr>
              <w:pStyle w:val="Tabletext0"/>
              <w:rPr>
                <w:snapToGrid w:val="0"/>
                <w:sz w:val="22"/>
              </w:rPr>
            </w:pPr>
            <w:r w:rsidRPr="00883399">
              <w:rPr>
                <w:snapToGrid w:val="0"/>
                <w:sz w:val="22"/>
              </w:rPr>
              <w:t>0.01</w:t>
            </w:r>
          </w:p>
        </w:tc>
      </w:tr>
      <w:tr w:rsidR="00C64E6B" w:rsidRPr="00883399" w14:paraId="70B663DA" w14:textId="77777777" w:rsidTr="0031057E">
        <w:trPr>
          <w:cantSplit/>
        </w:trPr>
        <w:tc>
          <w:tcPr>
            <w:tcW w:w="600" w:type="dxa"/>
            <w:tcBorders>
              <w:top w:val="nil"/>
              <w:left w:val="nil"/>
              <w:bottom w:val="nil"/>
              <w:right w:val="nil"/>
            </w:tcBorders>
          </w:tcPr>
          <w:p w14:paraId="1AF08E2D" w14:textId="77777777" w:rsidR="00C64E6B" w:rsidRPr="00883399" w:rsidRDefault="00C64E6B" w:rsidP="00C64E6B">
            <w:pPr>
              <w:pStyle w:val="Tabletext0"/>
              <w:rPr>
                <w:snapToGrid w:val="0"/>
                <w:sz w:val="22"/>
              </w:rPr>
            </w:pPr>
            <w:r w:rsidRPr="00883399">
              <w:rPr>
                <w:snapToGrid w:val="0"/>
                <w:sz w:val="22"/>
              </w:rPr>
              <w:t>46</w:t>
            </w:r>
          </w:p>
        </w:tc>
        <w:tc>
          <w:tcPr>
            <w:tcW w:w="3240" w:type="dxa"/>
            <w:tcBorders>
              <w:top w:val="nil"/>
              <w:left w:val="nil"/>
              <w:bottom w:val="nil"/>
              <w:right w:val="nil"/>
            </w:tcBorders>
          </w:tcPr>
          <w:p w14:paraId="198B183C" w14:textId="77777777" w:rsidR="00C64E6B" w:rsidRPr="00883399" w:rsidRDefault="00C64E6B" w:rsidP="00C64E6B">
            <w:pPr>
              <w:pStyle w:val="Tabletext0"/>
              <w:rPr>
                <w:snapToGrid w:val="0"/>
                <w:sz w:val="22"/>
              </w:rPr>
            </w:pPr>
            <w:r w:rsidRPr="00883399">
              <w:rPr>
                <w:snapToGrid w:val="0"/>
                <w:sz w:val="22"/>
              </w:rPr>
              <w:t>Petroleum coke</w:t>
            </w:r>
          </w:p>
        </w:tc>
        <w:tc>
          <w:tcPr>
            <w:tcW w:w="1560" w:type="dxa"/>
            <w:tcBorders>
              <w:top w:val="nil"/>
              <w:left w:val="nil"/>
              <w:bottom w:val="nil"/>
              <w:right w:val="nil"/>
            </w:tcBorders>
          </w:tcPr>
          <w:p w14:paraId="082D7F01" w14:textId="77777777" w:rsidR="00C64E6B" w:rsidRPr="00883399" w:rsidRDefault="00C64E6B" w:rsidP="00C64E6B">
            <w:pPr>
              <w:pStyle w:val="Tabletext0"/>
              <w:rPr>
                <w:snapToGrid w:val="0"/>
                <w:sz w:val="22"/>
              </w:rPr>
            </w:pPr>
            <w:r w:rsidRPr="00883399">
              <w:rPr>
                <w:snapToGrid w:val="0"/>
                <w:sz w:val="22"/>
              </w:rPr>
              <w:t>34.2 GJ/t</w:t>
            </w:r>
          </w:p>
        </w:tc>
        <w:tc>
          <w:tcPr>
            <w:tcW w:w="960" w:type="dxa"/>
            <w:tcBorders>
              <w:top w:val="nil"/>
              <w:left w:val="nil"/>
              <w:bottom w:val="nil"/>
              <w:right w:val="nil"/>
            </w:tcBorders>
          </w:tcPr>
          <w:p w14:paraId="546E0E99" w14:textId="77777777" w:rsidR="00C64E6B" w:rsidRPr="00883399" w:rsidRDefault="00C64E6B" w:rsidP="00C64E6B">
            <w:pPr>
              <w:pStyle w:val="Tabletext0"/>
              <w:rPr>
                <w:snapToGrid w:val="0"/>
                <w:sz w:val="22"/>
              </w:rPr>
            </w:pPr>
            <w:r w:rsidRPr="00883399">
              <w:rPr>
                <w:snapToGrid w:val="0"/>
                <w:sz w:val="22"/>
              </w:rPr>
              <w:t>92.6</w:t>
            </w:r>
          </w:p>
        </w:tc>
        <w:tc>
          <w:tcPr>
            <w:tcW w:w="960" w:type="dxa"/>
            <w:tcBorders>
              <w:top w:val="nil"/>
              <w:left w:val="nil"/>
              <w:bottom w:val="nil"/>
              <w:right w:val="nil"/>
            </w:tcBorders>
          </w:tcPr>
          <w:p w14:paraId="1D32D721" w14:textId="77777777" w:rsidR="00C64E6B" w:rsidRPr="00883399" w:rsidRDefault="00C64E6B" w:rsidP="00C64E6B">
            <w:pPr>
              <w:pStyle w:val="Tabletext0"/>
              <w:rPr>
                <w:snapToGrid w:val="0"/>
                <w:sz w:val="22"/>
              </w:rPr>
            </w:pPr>
            <w:r w:rsidRPr="00883399">
              <w:rPr>
                <w:snapToGrid w:val="0"/>
                <w:sz w:val="22"/>
              </w:rPr>
              <w:t>0.07</w:t>
            </w:r>
          </w:p>
        </w:tc>
        <w:tc>
          <w:tcPr>
            <w:tcW w:w="981" w:type="dxa"/>
            <w:tcBorders>
              <w:top w:val="nil"/>
              <w:left w:val="nil"/>
              <w:bottom w:val="nil"/>
              <w:right w:val="nil"/>
            </w:tcBorders>
          </w:tcPr>
          <w:p w14:paraId="4273D4C5" w14:textId="77777777" w:rsidR="00C64E6B" w:rsidRPr="00883399" w:rsidRDefault="00C64E6B" w:rsidP="00C64E6B">
            <w:pPr>
              <w:pStyle w:val="Tabletext0"/>
              <w:rPr>
                <w:snapToGrid w:val="0"/>
                <w:sz w:val="22"/>
              </w:rPr>
            </w:pPr>
            <w:r w:rsidRPr="00883399">
              <w:rPr>
                <w:snapToGrid w:val="0"/>
                <w:sz w:val="22"/>
              </w:rPr>
              <w:t>0.2</w:t>
            </w:r>
          </w:p>
        </w:tc>
      </w:tr>
      <w:tr w:rsidR="00C64E6B" w:rsidRPr="00883399" w14:paraId="7FF17A79" w14:textId="77777777" w:rsidTr="0031057E">
        <w:trPr>
          <w:cantSplit/>
        </w:trPr>
        <w:tc>
          <w:tcPr>
            <w:tcW w:w="600" w:type="dxa"/>
            <w:tcBorders>
              <w:top w:val="nil"/>
              <w:left w:val="nil"/>
              <w:bottom w:val="nil"/>
              <w:right w:val="nil"/>
            </w:tcBorders>
          </w:tcPr>
          <w:p w14:paraId="20219DAE" w14:textId="77777777" w:rsidR="00C64E6B" w:rsidRPr="00883399" w:rsidRDefault="00C64E6B" w:rsidP="00C64E6B">
            <w:pPr>
              <w:pStyle w:val="Tabletext0"/>
              <w:rPr>
                <w:snapToGrid w:val="0"/>
                <w:sz w:val="22"/>
              </w:rPr>
            </w:pPr>
            <w:r w:rsidRPr="00883399">
              <w:rPr>
                <w:snapToGrid w:val="0"/>
                <w:sz w:val="22"/>
              </w:rPr>
              <w:t>47</w:t>
            </w:r>
          </w:p>
        </w:tc>
        <w:tc>
          <w:tcPr>
            <w:tcW w:w="3240" w:type="dxa"/>
            <w:tcBorders>
              <w:top w:val="nil"/>
              <w:left w:val="nil"/>
              <w:bottom w:val="nil"/>
              <w:right w:val="nil"/>
            </w:tcBorders>
          </w:tcPr>
          <w:p w14:paraId="44AADCE0" w14:textId="77777777" w:rsidR="00C64E6B" w:rsidRPr="00883399" w:rsidRDefault="00C64E6B" w:rsidP="00C64E6B">
            <w:pPr>
              <w:pStyle w:val="Tabletext0"/>
              <w:rPr>
                <w:snapToGrid w:val="0"/>
                <w:sz w:val="22"/>
              </w:rPr>
            </w:pPr>
            <w:r w:rsidRPr="00883399">
              <w:rPr>
                <w:snapToGrid w:val="0"/>
                <w:sz w:val="22"/>
              </w:rPr>
              <w:t>Refinery gas and liquids</w:t>
            </w:r>
          </w:p>
        </w:tc>
        <w:tc>
          <w:tcPr>
            <w:tcW w:w="1560" w:type="dxa"/>
            <w:tcBorders>
              <w:top w:val="nil"/>
              <w:left w:val="nil"/>
              <w:bottom w:val="nil"/>
              <w:right w:val="nil"/>
            </w:tcBorders>
          </w:tcPr>
          <w:p w14:paraId="69E84DD9" w14:textId="77777777" w:rsidR="00C64E6B" w:rsidRPr="00883399" w:rsidRDefault="00C64E6B" w:rsidP="00C64E6B">
            <w:pPr>
              <w:pStyle w:val="Tabletext0"/>
              <w:rPr>
                <w:snapToGrid w:val="0"/>
                <w:sz w:val="22"/>
              </w:rPr>
            </w:pPr>
            <w:r w:rsidRPr="00883399">
              <w:rPr>
                <w:snapToGrid w:val="0"/>
                <w:sz w:val="22"/>
              </w:rPr>
              <w:t>42.9 GJ/t</w:t>
            </w:r>
          </w:p>
        </w:tc>
        <w:tc>
          <w:tcPr>
            <w:tcW w:w="960" w:type="dxa"/>
            <w:tcBorders>
              <w:top w:val="nil"/>
              <w:left w:val="nil"/>
              <w:bottom w:val="nil"/>
              <w:right w:val="nil"/>
            </w:tcBorders>
          </w:tcPr>
          <w:p w14:paraId="0FFF5AD2" w14:textId="77777777" w:rsidR="00C64E6B" w:rsidRPr="00883399" w:rsidRDefault="00C64E6B" w:rsidP="00C64E6B">
            <w:pPr>
              <w:pStyle w:val="Tabletext0"/>
              <w:rPr>
                <w:snapToGrid w:val="0"/>
                <w:sz w:val="22"/>
              </w:rPr>
            </w:pPr>
            <w:r w:rsidRPr="00883399">
              <w:rPr>
                <w:snapToGrid w:val="0"/>
                <w:sz w:val="22"/>
              </w:rPr>
              <w:t>54.7</w:t>
            </w:r>
          </w:p>
        </w:tc>
        <w:tc>
          <w:tcPr>
            <w:tcW w:w="960" w:type="dxa"/>
            <w:tcBorders>
              <w:top w:val="nil"/>
              <w:left w:val="nil"/>
              <w:bottom w:val="nil"/>
              <w:right w:val="nil"/>
            </w:tcBorders>
          </w:tcPr>
          <w:p w14:paraId="524BEDB9" w14:textId="77777777" w:rsidR="00C64E6B" w:rsidRPr="00883399" w:rsidRDefault="00C64E6B" w:rsidP="00C64E6B">
            <w:pPr>
              <w:pStyle w:val="Tabletext0"/>
              <w:rPr>
                <w:snapToGrid w:val="0"/>
                <w:sz w:val="22"/>
              </w:rPr>
            </w:pPr>
            <w:r w:rsidRPr="00883399">
              <w:rPr>
                <w:snapToGrid w:val="0"/>
                <w:sz w:val="22"/>
              </w:rPr>
              <w:t>0.02</w:t>
            </w:r>
          </w:p>
        </w:tc>
        <w:tc>
          <w:tcPr>
            <w:tcW w:w="981" w:type="dxa"/>
            <w:tcBorders>
              <w:top w:val="nil"/>
              <w:left w:val="nil"/>
              <w:bottom w:val="nil"/>
              <w:right w:val="nil"/>
            </w:tcBorders>
          </w:tcPr>
          <w:p w14:paraId="45EBBE54" w14:textId="77777777" w:rsidR="00C64E6B" w:rsidRPr="00883399" w:rsidRDefault="00C64E6B" w:rsidP="00C64E6B">
            <w:pPr>
              <w:pStyle w:val="Tabletext0"/>
              <w:rPr>
                <w:snapToGrid w:val="0"/>
                <w:sz w:val="22"/>
              </w:rPr>
            </w:pPr>
            <w:r w:rsidRPr="00883399">
              <w:rPr>
                <w:snapToGrid w:val="0"/>
                <w:sz w:val="22"/>
              </w:rPr>
              <w:t>0.0</w:t>
            </w:r>
          </w:p>
        </w:tc>
      </w:tr>
      <w:tr w:rsidR="00C64E6B" w:rsidRPr="00883399" w14:paraId="0DE37512" w14:textId="77777777" w:rsidTr="0031057E">
        <w:trPr>
          <w:cantSplit/>
        </w:trPr>
        <w:tc>
          <w:tcPr>
            <w:tcW w:w="600" w:type="dxa"/>
            <w:tcBorders>
              <w:top w:val="nil"/>
              <w:left w:val="nil"/>
              <w:bottom w:val="nil"/>
              <w:right w:val="nil"/>
            </w:tcBorders>
          </w:tcPr>
          <w:p w14:paraId="6DF46B9D" w14:textId="77777777" w:rsidR="00C64E6B" w:rsidRPr="00883399" w:rsidRDefault="00C64E6B" w:rsidP="00C64E6B">
            <w:pPr>
              <w:pStyle w:val="Tabletext0"/>
              <w:rPr>
                <w:snapToGrid w:val="0"/>
                <w:sz w:val="22"/>
              </w:rPr>
            </w:pPr>
            <w:r w:rsidRPr="00883399">
              <w:rPr>
                <w:snapToGrid w:val="0"/>
                <w:sz w:val="22"/>
              </w:rPr>
              <w:t>48</w:t>
            </w:r>
          </w:p>
        </w:tc>
        <w:tc>
          <w:tcPr>
            <w:tcW w:w="3240" w:type="dxa"/>
            <w:tcBorders>
              <w:top w:val="nil"/>
              <w:left w:val="nil"/>
              <w:bottom w:val="nil"/>
              <w:right w:val="nil"/>
            </w:tcBorders>
          </w:tcPr>
          <w:p w14:paraId="54D16962" w14:textId="77777777" w:rsidR="00C64E6B" w:rsidRPr="00883399" w:rsidRDefault="00C64E6B" w:rsidP="00C64E6B">
            <w:pPr>
              <w:pStyle w:val="Tabletext0"/>
              <w:rPr>
                <w:snapToGrid w:val="0"/>
                <w:sz w:val="22"/>
              </w:rPr>
            </w:pPr>
            <w:r w:rsidRPr="00883399">
              <w:rPr>
                <w:snapToGrid w:val="0"/>
                <w:sz w:val="22"/>
              </w:rPr>
              <w:t>Refinery coke</w:t>
            </w:r>
          </w:p>
        </w:tc>
        <w:tc>
          <w:tcPr>
            <w:tcW w:w="1560" w:type="dxa"/>
            <w:tcBorders>
              <w:top w:val="nil"/>
              <w:left w:val="nil"/>
              <w:bottom w:val="nil"/>
              <w:right w:val="nil"/>
            </w:tcBorders>
          </w:tcPr>
          <w:p w14:paraId="00C4BE7B" w14:textId="77777777" w:rsidR="00C64E6B" w:rsidRPr="00883399" w:rsidRDefault="00C64E6B" w:rsidP="00C64E6B">
            <w:pPr>
              <w:pStyle w:val="Tabletext0"/>
              <w:rPr>
                <w:snapToGrid w:val="0"/>
                <w:sz w:val="22"/>
              </w:rPr>
            </w:pPr>
            <w:r w:rsidRPr="00883399">
              <w:rPr>
                <w:snapToGrid w:val="0"/>
                <w:sz w:val="22"/>
              </w:rPr>
              <w:t>34.2 GJ/t</w:t>
            </w:r>
          </w:p>
        </w:tc>
        <w:tc>
          <w:tcPr>
            <w:tcW w:w="960" w:type="dxa"/>
            <w:tcBorders>
              <w:top w:val="nil"/>
              <w:left w:val="nil"/>
              <w:bottom w:val="nil"/>
              <w:right w:val="nil"/>
            </w:tcBorders>
          </w:tcPr>
          <w:p w14:paraId="16CC1B0D" w14:textId="77777777" w:rsidR="00C64E6B" w:rsidRPr="00883399" w:rsidRDefault="00C64E6B" w:rsidP="00C64E6B">
            <w:pPr>
              <w:pStyle w:val="Tabletext0"/>
              <w:rPr>
                <w:snapToGrid w:val="0"/>
                <w:sz w:val="22"/>
              </w:rPr>
            </w:pPr>
            <w:r w:rsidRPr="00883399">
              <w:rPr>
                <w:snapToGrid w:val="0"/>
                <w:sz w:val="22"/>
              </w:rPr>
              <w:t>92.6</w:t>
            </w:r>
          </w:p>
        </w:tc>
        <w:tc>
          <w:tcPr>
            <w:tcW w:w="960" w:type="dxa"/>
            <w:tcBorders>
              <w:top w:val="nil"/>
              <w:left w:val="nil"/>
              <w:bottom w:val="nil"/>
              <w:right w:val="nil"/>
            </w:tcBorders>
          </w:tcPr>
          <w:p w14:paraId="2F367533" w14:textId="77777777" w:rsidR="00C64E6B" w:rsidRPr="00883399" w:rsidRDefault="00C64E6B" w:rsidP="00C64E6B">
            <w:pPr>
              <w:pStyle w:val="Tabletext0"/>
              <w:rPr>
                <w:snapToGrid w:val="0"/>
                <w:sz w:val="22"/>
              </w:rPr>
            </w:pPr>
            <w:r w:rsidRPr="00883399">
              <w:rPr>
                <w:snapToGrid w:val="0"/>
                <w:sz w:val="22"/>
              </w:rPr>
              <w:t>0.07</w:t>
            </w:r>
          </w:p>
        </w:tc>
        <w:tc>
          <w:tcPr>
            <w:tcW w:w="981" w:type="dxa"/>
            <w:tcBorders>
              <w:top w:val="nil"/>
              <w:left w:val="nil"/>
              <w:bottom w:val="nil"/>
              <w:right w:val="nil"/>
            </w:tcBorders>
          </w:tcPr>
          <w:p w14:paraId="573B02B3" w14:textId="77777777" w:rsidR="00C64E6B" w:rsidRPr="00883399" w:rsidRDefault="00C64E6B" w:rsidP="00C64E6B">
            <w:pPr>
              <w:pStyle w:val="Tabletext0"/>
              <w:rPr>
                <w:snapToGrid w:val="0"/>
                <w:sz w:val="22"/>
              </w:rPr>
            </w:pPr>
            <w:r w:rsidRPr="00883399">
              <w:rPr>
                <w:snapToGrid w:val="0"/>
                <w:sz w:val="22"/>
              </w:rPr>
              <w:t>0.2</w:t>
            </w:r>
          </w:p>
        </w:tc>
      </w:tr>
      <w:tr w:rsidR="00C64E6B" w:rsidRPr="00883399" w14:paraId="52A7AE10" w14:textId="77777777" w:rsidTr="0031057E">
        <w:trPr>
          <w:cantSplit/>
        </w:trPr>
        <w:tc>
          <w:tcPr>
            <w:tcW w:w="600" w:type="dxa"/>
            <w:tcBorders>
              <w:top w:val="nil"/>
              <w:left w:val="nil"/>
              <w:bottom w:val="nil"/>
              <w:right w:val="nil"/>
            </w:tcBorders>
          </w:tcPr>
          <w:p w14:paraId="6A0EDBD9" w14:textId="77777777" w:rsidR="00C64E6B" w:rsidRPr="00883399" w:rsidRDefault="00C64E6B" w:rsidP="00C64E6B">
            <w:pPr>
              <w:pStyle w:val="Tabletext0"/>
              <w:rPr>
                <w:snapToGrid w:val="0"/>
                <w:sz w:val="22"/>
              </w:rPr>
            </w:pPr>
            <w:r w:rsidRPr="00883399">
              <w:rPr>
                <w:snapToGrid w:val="0"/>
                <w:sz w:val="22"/>
              </w:rPr>
              <w:lastRenderedPageBreak/>
              <w:t>49</w:t>
            </w:r>
          </w:p>
        </w:tc>
        <w:tc>
          <w:tcPr>
            <w:tcW w:w="3240" w:type="dxa"/>
            <w:tcBorders>
              <w:top w:val="nil"/>
              <w:left w:val="nil"/>
              <w:bottom w:val="nil"/>
              <w:right w:val="nil"/>
            </w:tcBorders>
          </w:tcPr>
          <w:p w14:paraId="57150965" w14:textId="77777777" w:rsidR="00C64E6B" w:rsidRPr="00883399" w:rsidRDefault="00C64E6B" w:rsidP="00C64E6B">
            <w:pPr>
              <w:pStyle w:val="Tabletext0"/>
              <w:rPr>
                <w:snapToGrid w:val="0"/>
                <w:sz w:val="22"/>
              </w:rPr>
            </w:pPr>
            <w:r w:rsidRPr="00883399">
              <w:rPr>
                <w:snapToGrid w:val="0"/>
                <w:sz w:val="22"/>
              </w:rPr>
              <w:t>Petroleum based products other than:</w:t>
            </w:r>
          </w:p>
          <w:p w14:paraId="5D16414E" w14:textId="77777777" w:rsidR="00C64E6B" w:rsidRPr="00883399" w:rsidRDefault="00C64E6B" w:rsidP="00C64E6B">
            <w:pPr>
              <w:pStyle w:val="Tablea"/>
              <w:rPr>
                <w:snapToGrid w:val="0"/>
                <w:sz w:val="22"/>
              </w:rPr>
            </w:pPr>
            <w:r w:rsidRPr="00883399">
              <w:rPr>
                <w:snapToGrid w:val="0"/>
                <w:sz w:val="22"/>
              </w:rPr>
              <w:t>(a) petroleum based oils and petroleum based greases mentioned in items 31 and 32; and</w:t>
            </w:r>
          </w:p>
          <w:p w14:paraId="39D43077" w14:textId="77777777" w:rsidR="00C64E6B" w:rsidRPr="00883399" w:rsidRDefault="00C64E6B" w:rsidP="00C64E6B">
            <w:pPr>
              <w:pStyle w:val="Tablea"/>
              <w:rPr>
                <w:snapToGrid w:val="0"/>
                <w:sz w:val="22"/>
              </w:rPr>
            </w:pPr>
            <w:r w:rsidRPr="00883399">
              <w:rPr>
                <w:snapToGrid w:val="0"/>
                <w:sz w:val="22"/>
              </w:rPr>
              <w:t>(b) the petroleum based products mentioned in items 33 to 48.</w:t>
            </w:r>
          </w:p>
        </w:tc>
        <w:tc>
          <w:tcPr>
            <w:tcW w:w="1560" w:type="dxa"/>
            <w:tcBorders>
              <w:top w:val="nil"/>
              <w:left w:val="nil"/>
              <w:bottom w:val="nil"/>
              <w:right w:val="nil"/>
            </w:tcBorders>
          </w:tcPr>
          <w:p w14:paraId="1C542AFC" w14:textId="77777777" w:rsidR="00C64E6B" w:rsidRPr="00883399" w:rsidRDefault="00C64E6B" w:rsidP="00C64E6B">
            <w:pPr>
              <w:pStyle w:val="Tabletext0"/>
              <w:rPr>
                <w:snapToGrid w:val="0"/>
                <w:sz w:val="22"/>
              </w:rPr>
            </w:pPr>
            <w:r w:rsidRPr="00883399">
              <w:rPr>
                <w:snapToGrid w:val="0"/>
                <w:sz w:val="22"/>
              </w:rPr>
              <w:t>34.4</w:t>
            </w:r>
          </w:p>
        </w:tc>
        <w:tc>
          <w:tcPr>
            <w:tcW w:w="960" w:type="dxa"/>
            <w:tcBorders>
              <w:top w:val="nil"/>
              <w:left w:val="nil"/>
              <w:bottom w:val="nil"/>
              <w:right w:val="nil"/>
            </w:tcBorders>
          </w:tcPr>
          <w:p w14:paraId="6401D2A5" w14:textId="77777777" w:rsidR="00C64E6B" w:rsidRPr="00883399" w:rsidRDefault="00C64E6B" w:rsidP="00C64E6B">
            <w:pPr>
              <w:pStyle w:val="Tabletext0"/>
              <w:rPr>
                <w:snapToGrid w:val="0"/>
                <w:sz w:val="22"/>
              </w:rPr>
            </w:pPr>
            <w:r w:rsidRPr="00883399">
              <w:rPr>
                <w:snapToGrid w:val="0"/>
                <w:sz w:val="22"/>
              </w:rPr>
              <w:t>69.8</w:t>
            </w:r>
          </w:p>
        </w:tc>
        <w:tc>
          <w:tcPr>
            <w:tcW w:w="960" w:type="dxa"/>
            <w:tcBorders>
              <w:top w:val="nil"/>
              <w:left w:val="nil"/>
              <w:bottom w:val="nil"/>
              <w:right w:val="nil"/>
            </w:tcBorders>
          </w:tcPr>
          <w:p w14:paraId="34FB00A0" w14:textId="77777777" w:rsidR="00C64E6B" w:rsidRPr="00883399" w:rsidRDefault="00C64E6B" w:rsidP="00C64E6B">
            <w:pPr>
              <w:pStyle w:val="Tabletext0"/>
              <w:rPr>
                <w:snapToGrid w:val="0"/>
                <w:sz w:val="22"/>
              </w:rPr>
            </w:pPr>
            <w:r w:rsidRPr="00883399">
              <w:rPr>
                <w:snapToGrid w:val="0"/>
                <w:sz w:val="22"/>
              </w:rPr>
              <w:t>0.0</w:t>
            </w:r>
          </w:p>
        </w:tc>
        <w:tc>
          <w:tcPr>
            <w:tcW w:w="981" w:type="dxa"/>
            <w:tcBorders>
              <w:top w:val="nil"/>
              <w:left w:val="nil"/>
              <w:bottom w:val="nil"/>
              <w:right w:val="nil"/>
            </w:tcBorders>
          </w:tcPr>
          <w:p w14:paraId="1C53B732" w14:textId="77777777" w:rsidR="00C64E6B" w:rsidRPr="00883399" w:rsidRDefault="00C64E6B" w:rsidP="00C64E6B">
            <w:pPr>
              <w:pStyle w:val="Tabletext0"/>
              <w:rPr>
                <w:snapToGrid w:val="0"/>
                <w:sz w:val="22"/>
              </w:rPr>
            </w:pPr>
            <w:r w:rsidRPr="00883399">
              <w:rPr>
                <w:snapToGrid w:val="0"/>
                <w:sz w:val="22"/>
              </w:rPr>
              <w:t>0.2</w:t>
            </w:r>
          </w:p>
        </w:tc>
      </w:tr>
      <w:tr w:rsidR="00C64E6B" w:rsidRPr="00883399" w14:paraId="0821C867" w14:textId="77777777" w:rsidTr="0031057E">
        <w:trPr>
          <w:cantSplit/>
        </w:trPr>
        <w:tc>
          <w:tcPr>
            <w:tcW w:w="600" w:type="dxa"/>
            <w:tcBorders>
              <w:top w:val="nil"/>
              <w:left w:val="nil"/>
              <w:bottom w:val="nil"/>
              <w:right w:val="nil"/>
            </w:tcBorders>
          </w:tcPr>
          <w:p w14:paraId="05CD7ECC" w14:textId="77777777" w:rsidR="00C64E6B" w:rsidRPr="00883399" w:rsidRDefault="00C64E6B" w:rsidP="00C64E6B">
            <w:pPr>
              <w:pStyle w:val="Tabletext0"/>
              <w:rPr>
                <w:snapToGrid w:val="0"/>
                <w:sz w:val="22"/>
              </w:rPr>
            </w:pPr>
            <w:r w:rsidRPr="00883399">
              <w:rPr>
                <w:snapToGrid w:val="0"/>
                <w:sz w:val="22"/>
              </w:rPr>
              <w:t>50</w:t>
            </w:r>
          </w:p>
        </w:tc>
        <w:tc>
          <w:tcPr>
            <w:tcW w:w="3240" w:type="dxa"/>
            <w:tcBorders>
              <w:top w:val="nil"/>
              <w:left w:val="nil"/>
              <w:bottom w:val="nil"/>
              <w:right w:val="nil"/>
            </w:tcBorders>
          </w:tcPr>
          <w:p w14:paraId="37860990" w14:textId="77777777" w:rsidR="00C64E6B" w:rsidRPr="00883399" w:rsidRDefault="00C64E6B" w:rsidP="00C64E6B">
            <w:pPr>
              <w:pStyle w:val="Tabletext0"/>
              <w:rPr>
                <w:snapToGrid w:val="0"/>
                <w:sz w:val="22"/>
              </w:rPr>
            </w:pPr>
            <w:r w:rsidRPr="00883399">
              <w:rPr>
                <w:snapToGrid w:val="0"/>
                <w:sz w:val="22"/>
              </w:rPr>
              <w:t>Biodiesel</w:t>
            </w:r>
          </w:p>
        </w:tc>
        <w:tc>
          <w:tcPr>
            <w:tcW w:w="1560" w:type="dxa"/>
            <w:tcBorders>
              <w:top w:val="nil"/>
              <w:left w:val="nil"/>
              <w:bottom w:val="nil"/>
              <w:right w:val="nil"/>
            </w:tcBorders>
          </w:tcPr>
          <w:p w14:paraId="2C29AEA8" w14:textId="77777777" w:rsidR="00C64E6B" w:rsidRPr="00883399" w:rsidRDefault="00C64E6B" w:rsidP="00C64E6B">
            <w:pPr>
              <w:pStyle w:val="Tabletext0"/>
              <w:rPr>
                <w:snapToGrid w:val="0"/>
                <w:sz w:val="22"/>
              </w:rPr>
            </w:pPr>
            <w:r w:rsidRPr="00883399">
              <w:rPr>
                <w:snapToGrid w:val="0"/>
                <w:sz w:val="22"/>
              </w:rPr>
              <w:t>34.6</w:t>
            </w:r>
          </w:p>
        </w:tc>
        <w:tc>
          <w:tcPr>
            <w:tcW w:w="960" w:type="dxa"/>
            <w:tcBorders>
              <w:top w:val="nil"/>
              <w:left w:val="nil"/>
              <w:bottom w:val="nil"/>
              <w:right w:val="nil"/>
            </w:tcBorders>
          </w:tcPr>
          <w:p w14:paraId="561E3899" w14:textId="77777777" w:rsidR="00C64E6B" w:rsidRPr="00883399" w:rsidRDefault="00C64E6B" w:rsidP="00C64E6B">
            <w:pPr>
              <w:pStyle w:val="Tabletext0"/>
              <w:rPr>
                <w:snapToGrid w:val="0"/>
                <w:sz w:val="22"/>
              </w:rPr>
            </w:pPr>
            <w:r w:rsidRPr="00883399">
              <w:rPr>
                <w:snapToGrid w:val="0"/>
                <w:sz w:val="22"/>
              </w:rPr>
              <w:t>0.0</w:t>
            </w:r>
          </w:p>
        </w:tc>
        <w:tc>
          <w:tcPr>
            <w:tcW w:w="960" w:type="dxa"/>
            <w:tcBorders>
              <w:top w:val="nil"/>
              <w:left w:val="nil"/>
              <w:bottom w:val="nil"/>
              <w:right w:val="nil"/>
            </w:tcBorders>
          </w:tcPr>
          <w:p w14:paraId="606E300E" w14:textId="77777777" w:rsidR="00C64E6B" w:rsidRPr="00883399" w:rsidRDefault="00C64E6B" w:rsidP="00C64E6B">
            <w:pPr>
              <w:pStyle w:val="Tabletext0"/>
              <w:rPr>
                <w:snapToGrid w:val="0"/>
                <w:sz w:val="22"/>
              </w:rPr>
            </w:pPr>
            <w:r w:rsidRPr="00883399">
              <w:rPr>
                <w:snapToGrid w:val="0"/>
                <w:sz w:val="22"/>
              </w:rPr>
              <w:t>0.07</w:t>
            </w:r>
          </w:p>
        </w:tc>
        <w:tc>
          <w:tcPr>
            <w:tcW w:w="981" w:type="dxa"/>
            <w:tcBorders>
              <w:top w:val="nil"/>
              <w:left w:val="nil"/>
              <w:bottom w:val="nil"/>
              <w:right w:val="nil"/>
            </w:tcBorders>
          </w:tcPr>
          <w:p w14:paraId="7E366731" w14:textId="77777777" w:rsidR="00C64E6B" w:rsidRPr="00883399" w:rsidRDefault="00C64E6B" w:rsidP="00C64E6B">
            <w:pPr>
              <w:pStyle w:val="Tabletext0"/>
              <w:rPr>
                <w:snapToGrid w:val="0"/>
                <w:sz w:val="22"/>
              </w:rPr>
            </w:pPr>
            <w:r w:rsidRPr="00883399">
              <w:rPr>
                <w:snapToGrid w:val="0"/>
                <w:sz w:val="22"/>
              </w:rPr>
              <w:t>0.2</w:t>
            </w:r>
          </w:p>
        </w:tc>
      </w:tr>
      <w:tr w:rsidR="00C64E6B" w:rsidRPr="00883399" w14:paraId="32991A38" w14:textId="77777777" w:rsidTr="0031057E">
        <w:trPr>
          <w:cantSplit/>
        </w:trPr>
        <w:tc>
          <w:tcPr>
            <w:tcW w:w="600" w:type="dxa"/>
            <w:tcBorders>
              <w:top w:val="nil"/>
              <w:left w:val="nil"/>
              <w:bottom w:val="nil"/>
              <w:right w:val="nil"/>
            </w:tcBorders>
          </w:tcPr>
          <w:p w14:paraId="1311C5CD" w14:textId="77777777" w:rsidR="00C64E6B" w:rsidRPr="00883399" w:rsidRDefault="00C64E6B" w:rsidP="00C64E6B">
            <w:pPr>
              <w:pStyle w:val="Tabletext0"/>
              <w:rPr>
                <w:snapToGrid w:val="0"/>
                <w:sz w:val="22"/>
              </w:rPr>
            </w:pPr>
            <w:r w:rsidRPr="00883399">
              <w:rPr>
                <w:snapToGrid w:val="0"/>
                <w:sz w:val="22"/>
              </w:rPr>
              <w:t>51</w:t>
            </w:r>
          </w:p>
        </w:tc>
        <w:tc>
          <w:tcPr>
            <w:tcW w:w="3240" w:type="dxa"/>
            <w:tcBorders>
              <w:top w:val="nil"/>
              <w:left w:val="nil"/>
              <w:bottom w:val="nil"/>
              <w:right w:val="nil"/>
            </w:tcBorders>
          </w:tcPr>
          <w:p w14:paraId="2BDE0DA9" w14:textId="77777777" w:rsidR="00C64E6B" w:rsidRPr="00883399" w:rsidRDefault="00C64E6B" w:rsidP="00C64E6B">
            <w:pPr>
              <w:pStyle w:val="Tabletext0"/>
              <w:rPr>
                <w:snapToGrid w:val="0"/>
                <w:sz w:val="22"/>
              </w:rPr>
            </w:pPr>
            <w:r w:rsidRPr="00883399">
              <w:rPr>
                <w:snapToGrid w:val="0"/>
                <w:sz w:val="22"/>
              </w:rPr>
              <w:t>Ethanol for use as a fuel in an internal combustion engine</w:t>
            </w:r>
          </w:p>
        </w:tc>
        <w:tc>
          <w:tcPr>
            <w:tcW w:w="1560" w:type="dxa"/>
            <w:tcBorders>
              <w:top w:val="nil"/>
              <w:left w:val="nil"/>
              <w:bottom w:val="nil"/>
              <w:right w:val="nil"/>
            </w:tcBorders>
          </w:tcPr>
          <w:p w14:paraId="00BECB1D" w14:textId="77777777" w:rsidR="00C64E6B" w:rsidRPr="00883399" w:rsidRDefault="00C64E6B" w:rsidP="00C64E6B">
            <w:pPr>
              <w:pStyle w:val="Tabletext0"/>
              <w:rPr>
                <w:snapToGrid w:val="0"/>
                <w:sz w:val="22"/>
              </w:rPr>
            </w:pPr>
            <w:r w:rsidRPr="00883399">
              <w:rPr>
                <w:snapToGrid w:val="0"/>
                <w:sz w:val="22"/>
              </w:rPr>
              <w:t>23.4</w:t>
            </w:r>
          </w:p>
        </w:tc>
        <w:tc>
          <w:tcPr>
            <w:tcW w:w="960" w:type="dxa"/>
            <w:tcBorders>
              <w:top w:val="nil"/>
              <w:left w:val="nil"/>
              <w:bottom w:val="nil"/>
              <w:right w:val="nil"/>
            </w:tcBorders>
          </w:tcPr>
          <w:p w14:paraId="3282CC49" w14:textId="77777777" w:rsidR="00C64E6B" w:rsidRPr="00883399" w:rsidRDefault="00C64E6B" w:rsidP="00C64E6B">
            <w:pPr>
              <w:pStyle w:val="Tabletext0"/>
              <w:rPr>
                <w:snapToGrid w:val="0"/>
                <w:sz w:val="22"/>
              </w:rPr>
            </w:pPr>
            <w:r w:rsidRPr="00883399">
              <w:rPr>
                <w:snapToGrid w:val="0"/>
                <w:sz w:val="22"/>
              </w:rPr>
              <w:t>0.0</w:t>
            </w:r>
          </w:p>
        </w:tc>
        <w:tc>
          <w:tcPr>
            <w:tcW w:w="960" w:type="dxa"/>
            <w:tcBorders>
              <w:top w:val="nil"/>
              <w:left w:val="nil"/>
              <w:bottom w:val="nil"/>
              <w:right w:val="nil"/>
            </w:tcBorders>
          </w:tcPr>
          <w:p w14:paraId="5EE3E190" w14:textId="77777777" w:rsidR="00C64E6B" w:rsidRPr="00883399" w:rsidRDefault="00C64E6B" w:rsidP="00C64E6B">
            <w:pPr>
              <w:pStyle w:val="Tabletext0"/>
              <w:rPr>
                <w:snapToGrid w:val="0"/>
                <w:sz w:val="22"/>
              </w:rPr>
            </w:pPr>
            <w:r w:rsidRPr="00883399">
              <w:rPr>
                <w:snapToGrid w:val="0"/>
                <w:sz w:val="22"/>
              </w:rPr>
              <w:t>0.07</w:t>
            </w:r>
          </w:p>
        </w:tc>
        <w:tc>
          <w:tcPr>
            <w:tcW w:w="981" w:type="dxa"/>
            <w:tcBorders>
              <w:top w:val="nil"/>
              <w:left w:val="nil"/>
              <w:bottom w:val="nil"/>
              <w:right w:val="nil"/>
            </w:tcBorders>
          </w:tcPr>
          <w:p w14:paraId="67513CDF" w14:textId="77777777" w:rsidR="00C64E6B" w:rsidRPr="00883399" w:rsidRDefault="00C64E6B" w:rsidP="00C64E6B">
            <w:pPr>
              <w:pStyle w:val="Tabletext0"/>
              <w:rPr>
                <w:snapToGrid w:val="0"/>
                <w:sz w:val="22"/>
              </w:rPr>
            </w:pPr>
            <w:r w:rsidRPr="00883399">
              <w:rPr>
                <w:snapToGrid w:val="0"/>
                <w:sz w:val="22"/>
              </w:rPr>
              <w:t>0.2</w:t>
            </w:r>
          </w:p>
        </w:tc>
      </w:tr>
      <w:tr w:rsidR="00C64E6B" w:rsidRPr="00883399" w14:paraId="3A5944AD" w14:textId="77777777" w:rsidTr="0031057E">
        <w:trPr>
          <w:cantSplit/>
        </w:trPr>
        <w:tc>
          <w:tcPr>
            <w:tcW w:w="600" w:type="dxa"/>
            <w:tcBorders>
              <w:top w:val="nil"/>
              <w:left w:val="nil"/>
              <w:right w:val="nil"/>
            </w:tcBorders>
          </w:tcPr>
          <w:p w14:paraId="368F9CB4" w14:textId="77777777" w:rsidR="00C64E6B" w:rsidRPr="00883399" w:rsidRDefault="00C64E6B" w:rsidP="00C64E6B">
            <w:pPr>
              <w:pStyle w:val="Tabletext0"/>
              <w:rPr>
                <w:snapToGrid w:val="0"/>
                <w:sz w:val="22"/>
              </w:rPr>
            </w:pPr>
            <w:r w:rsidRPr="00883399">
              <w:rPr>
                <w:snapToGrid w:val="0"/>
                <w:sz w:val="22"/>
              </w:rPr>
              <w:t>52</w:t>
            </w:r>
          </w:p>
        </w:tc>
        <w:tc>
          <w:tcPr>
            <w:tcW w:w="3240" w:type="dxa"/>
            <w:tcBorders>
              <w:top w:val="nil"/>
              <w:left w:val="nil"/>
              <w:right w:val="nil"/>
            </w:tcBorders>
          </w:tcPr>
          <w:p w14:paraId="3E7B6E5F" w14:textId="77777777" w:rsidR="00C64E6B" w:rsidRPr="00883399" w:rsidRDefault="00C64E6B" w:rsidP="00C64E6B">
            <w:pPr>
              <w:pStyle w:val="Tabletext0"/>
              <w:rPr>
                <w:snapToGrid w:val="0"/>
                <w:sz w:val="22"/>
              </w:rPr>
            </w:pPr>
            <w:r w:rsidRPr="00883399">
              <w:rPr>
                <w:snapToGrid w:val="0"/>
                <w:sz w:val="22"/>
              </w:rPr>
              <w:t>Biofuels other than those mentioned in items 50 and 51</w:t>
            </w:r>
          </w:p>
        </w:tc>
        <w:tc>
          <w:tcPr>
            <w:tcW w:w="1560" w:type="dxa"/>
            <w:tcBorders>
              <w:top w:val="nil"/>
              <w:left w:val="nil"/>
              <w:right w:val="nil"/>
            </w:tcBorders>
          </w:tcPr>
          <w:p w14:paraId="20460935" w14:textId="77777777" w:rsidR="00C64E6B" w:rsidRPr="00883399" w:rsidRDefault="00C64E6B" w:rsidP="00C64E6B">
            <w:pPr>
              <w:pStyle w:val="Tabletext0"/>
              <w:rPr>
                <w:snapToGrid w:val="0"/>
                <w:sz w:val="22"/>
              </w:rPr>
            </w:pPr>
            <w:r w:rsidRPr="00883399">
              <w:rPr>
                <w:snapToGrid w:val="0"/>
                <w:sz w:val="22"/>
              </w:rPr>
              <w:t>23.4</w:t>
            </w:r>
          </w:p>
        </w:tc>
        <w:tc>
          <w:tcPr>
            <w:tcW w:w="960" w:type="dxa"/>
            <w:tcBorders>
              <w:top w:val="nil"/>
              <w:left w:val="nil"/>
              <w:right w:val="nil"/>
            </w:tcBorders>
          </w:tcPr>
          <w:p w14:paraId="39DBEFCD" w14:textId="77777777" w:rsidR="00C64E6B" w:rsidRPr="00883399" w:rsidRDefault="00C64E6B" w:rsidP="00C64E6B">
            <w:pPr>
              <w:pStyle w:val="Tabletext0"/>
              <w:rPr>
                <w:snapToGrid w:val="0"/>
                <w:sz w:val="22"/>
              </w:rPr>
            </w:pPr>
            <w:r w:rsidRPr="00883399">
              <w:rPr>
                <w:snapToGrid w:val="0"/>
                <w:sz w:val="22"/>
              </w:rPr>
              <w:t>0.0</w:t>
            </w:r>
          </w:p>
        </w:tc>
        <w:tc>
          <w:tcPr>
            <w:tcW w:w="960" w:type="dxa"/>
            <w:tcBorders>
              <w:top w:val="nil"/>
              <w:left w:val="nil"/>
              <w:right w:val="nil"/>
            </w:tcBorders>
          </w:tcPr>
          <w:p w14:paraId="458B5221" w14:textId="77777777" w:rsidR="00C64E6B" w:rsidRPr="00883399" w:rsidRDefault="00C64E6B" w:rsidP="00C64E6B">
            <w:pPr>
              <w:pStyle w:val="Tabletext0"/>
              <w:rPr>
                <w:snapToGrid w:val="0"/>
                <w:sz w:val="22"/>
              </w:rPr>
            </w:pPr>
            <w:r w:rsidRPr="00883399">
              <w:rPr>
                <w:snapToGrid w:val="0"/>
                <w:sz w:val="22"/>
              </w:rPr>
              <w:t>0.07</w:t>
            </w:r>
          </w:p>
        </w:tc>
        <w:tc>
          <w:tcPr>
            <w:tcW w:w="981" w:type="dxa"/>
            <w:tcBorders>
              <w:top w:val="nil"/>
              <w:left w:val="nil"/>
              <w:right w:val="nil"/>
            </w:tcBorders>
          </w:tcPr>
          <w:p w14:paraId="0CDAA0D8" w14:textId="77777777" w:rsidR="00C64E6B" w:rsidRPr="00883399" w:rsidRDefault="00C64E6B" w:rsidP="00C64E6B">
            <w:pPr>
              <w:pStyle w:val="Tabletext0"/>
              <w:rPr>
                <w:snapToGrid w:val="0"/>
                <w:sz w:val="22"/>
              </w:rPr>
            </w:pPr>
            <w:r w:rsidRPr="00883399">
              <w:rPr>
                <w:snapToGrid w:val="0"/>
                <w:sz w:val="22"/>
              </w:rPr>
              <w:t>0.2</w:t>
            </w:r>
          </w:p>
        </w:tc>
      </w:tr>
    </w:tbl>
    <w:p w14:paraId="0DAC8242" w14:textId="77777777" w:rsidR="00872C03" w:rsidRPr="00883399" w:rsidRDefault="00872C03" w:rsidP="00872C03">
      <w:pPr>
        <w:pStyle w:val="Note"/>
        <w:ind w:left="0"/>
        <w:rPr>
          <w:color w:val="000000"/>
          <w:sz w:val="16"/>
          <w:szCs w:val="16"/>
        </w:rPr>
      </w:pPr>
      <w:r w:rsidRPr="00883399">
        <w:rPr>
          <w:color w:val="000000"/>
          <w:sz w:val="16"/>
          <w:szCs w:val="16"/>
        </w:rPr>
        <w:t>Notes on the sources of the factors listed above can be found at Appendix 2A.</w:t>
      </w:r>
    </w:p>
    <w:p w14:paraId="2E0DD68D" w14:textId="77777777" w:rsidR="00872C03" w:rsidRPr="00883399" w:rsidRDefault="00872C03" w:rsidP="00872C03">
      <w:pPr>
        <w:pStyle w:val="Note"/>
        <w:ind w:left="0"/>
        <w:rPr>
          <w:color w:val="000000"/>
          <w:sz w:val="16"/>
          <w:szCs w:val="16"/>
        </w:rPr>
      </w:pPr>
      <w:r w:rsidRPr="00883399">
        <w:rPr>
          <w:color w:val="000000"/>
          <w:sz w:val="16"/>
          <w:szCs w:val="16"/>
        </w:rPr>
        <w:t xml:space="preserve">Note: The </w:t>
      </w:r>
      <w:r w:rsidRPr="00883399">
        <w:rPr>
          <w:i/>
          <w:color w:val="000000"/>
          <w:sz w:val="16"/>
          <w:szCs w:val="16"/>
        </w:rPr>
        <w:t xml:space="preserve">National Greenhouse and Energy reporting Regulations 2008 </w:t>
      </w:r>
      <w:r w:rsidRPr="00883399">
        <w:rPr>
          <w:color w:val="000000"/>
          <w:sz w:val="16"/>
          <w:szCs w:val="16"/>
        </w:rPr>
        <w:t>makes reference to Petroleum Coke as being a solid substance under Section 1.03. However, for the purposes of estimating emissions under the NGER (Measurement) Determination 2008, Petroleum coke is classified in Part 3 of Schedule 1 under "Liquid and other certain petroleum-based products". This classification is consistent with IPCC Guidelines and the International Energy Agency fuel classification system.</w:t>
      </w:r>
    </w:p>
    <w:p w14:paraId="63EC9804" w14:textId="77777777" w:rsidR="00872C03" w:rsidRPr="00883399" w:rsidRDefault="00872C03" w:rsidP="00872C03">
      <w:pPr>
        <w:pStyle w:val="Note"/>
        <w:ind w:left="0"/>
        <w:rPr>
          <w:color w:val="000000"/>
          <w:sz w:val="16"/>
          <w:szCs w:val="16"/>
        </w:rPr>
      </w:pPr>
    </w:p>
    <w:p w14:paraId="0690C585" w14:textId="77777777" w:rsidR="00872C03" w:rsidRPr="00883399" w:rsidRDefault="00872C03" w:rsidP="00872C03">
      <w:pPr>
        <w:pStyle w:val="HD"/>
      </w:pPr>
      <w:bookmarkStart w:id="295" w:name="_Toc265135212"/>
      <w:bookmarkStart w:id="296" w:name="_Toc495652717"/>
      <w:r w:rsidRPr="00883399">
        <w:rPr>
          <w:rStyle w:val="CharDivNo"/>
        </w:rPr>
        <w:t xml:space="preserve">Table 2.4.2B </w:t>
      </w:r>
      <w:r w:rsidRPr="00883399">
        <w:rPr>
          <w:rStyle w:val="CharDivNo"/>
        </w:rPr>
        <w:tab/>
        <w:t>Emissions and energy content factors</w:t>
      </w:r>
      <w:r w:rsidRPr="00883399">
        <w:rPr>
          <w:rStyle w:val="CharDivText"/>
        </w:rPr>
        <w:t> — fuels for transport energy purposes</w:t>
      </w:r>
      <w:bookmarkEnd w:id="295"/>
      <w:bookmarkEnd w:id="296"/>
    </w:p>
    <w:p w14:paraId="7AF640A7" w14:textId="77777777" w:rsidR="00872C03" w:rsidRPr="00883399" w:rsidRDefault="00872C03" w:rsidP="00872C03">
      <w:pPr>
        <w:keepNext/>
      </w:pPr>
    </w:p>
    <w:tbl>
      <w:tblPr>
        <w:tblW w:w="83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3012"/>
        <w:gridCol w:w="1920"/>
        <w:gridCol w:w="840"/>
        <w:gridCol w:w="970"/>
        <w:gridCol w:w="971"/>
      </w:tblGrid>
      <w:tr w:rsidR="00872C03" w:rsidRPr="00883399" w14:paraId="5185CED8" w14:textId="77777777" w:rsidTr="0031057E">
        <w:trPr>
          <w:cantSplit/>
          <w:tblHeader/>
        </w:trPr>
        <w:tc>
          <w:tcPr>
            <w:tcW w:w="588" w:type="dxa"/>
            <w:vMerge w:val="restart"/>
            <w:tcBorders>
              <w:top w:val="nil"/>
              <w:left w:val="nil"/>
              <w:bottom w:val="nil"/>
              <w:right w:val="nil"/>
            </w:tcBorders>
          </w:tcPr>
          <w:p w14:paraId="541B2F7E" w14:textId="77777777" w:rsidR="00872C03" w:rsidRPr="00883399" w:rsidRDefault="00872C03" w:rsidP="0031057E">
            <w:pPr>
              <w:pStyle w:val="Table"/>
              <w:jc w:val="right"/>
              <w:rPr>
                <w:rStyle w:val="Strong"/>
                <w:rFonts w:cs="Arial"/>
                <w:sz w:val="18"/>
              </w:rPr>
            </w:pPr>
            <w:r w:rsidRPr="00883399">
              <w:rPr>
                <w:rStyle w:val="Strong"/>
                <w:rFonts w:cs="Arial"/>
                <w:sz w:val="18"/>
              </w:rPr>
              <w:t>Item</w:t>
            </w:r>
          </w:p>
        </w:tc>
        <w:tc>
          <w:tcPr>
            <w:tcW w:w="3012" w:type="dxa"/>
            <w:vMerge w:val="restart"/>
            <w:tcBorders>
              <w:top w:val="nil"/>
              <w:left w:val="nil"/>
              <w:bottom w:val="nil"/>
              <w:right w:val="nil"/>
            </w:tcBorders>
          </w:tcPr>
          <w:p w14:paraId="31F9D31C" w14:textId="77777777" w:rsidR="00872C03" w:rsidRPr="00883399" w:rsidRDefault="00872C03" w:rsidP="0031057E">
            <w:pPr>
              <w:pStyle w:val="Table"/>
              <w:rPr>
                <w:rStyle w:val="Strong"/>
                <w:rFonts w:cs="Arial"/>
                <w:sz w:val="18"/>
              </w:rPr>
            </w:pPr>
            <w:r w:rsidRPr="00883399">
              <w:rPr>
                <w:rStyle w:val="Strong"/>
                <w:rFonts w:cs="Arial"/>
                <w:sz w:val="18"/>
              </w:rPr>
              <w:t>Fuel combusted</w:t>
            </w:r>
          </w:p>
        </w:tc>
        <w:tc>
          <w:tcPr>
            <w:tcW w:w="1920" w:type="dxa"/>
            <w:vMerge w:val="restart"/>
            <w:tcBorders>
              <w:top w:val="nil"/>
              <w:left w:val="nil"/>
              <w:bottom w:val="nil"/>
              <w:right w:val="nil"/>
            </w:tcBorders>
          </w:tcPr>
          <w:p w14:paraId="5824A6F2" w14:textId="77777777" w:rsidR="00872C03" w:rsidRPr="00883399" w:rsidRDefault="00872C03" w:rsidP="0031057E">
            <w:pPr>
              <w:pStyle w:val="TableCentre"/>
              <w:rPr>
                <w:rStyle w:val="Strong"/>
                <w:rFonts w:cs="Arial"/>
                <w:sz w:val="18"/>
              </w:rPr>
            </w:pPr>
            <w:r w:rsidRPr="00883399">
              <w:rPr>
                <w:rStyle w:val="Strong"/>
                <w:rFonts w:cs="Arial"/>
                <w:sz w:val="18"/>
              </w:rPr>
              <w:t>Energy content factor</w:t>
            </w:r>
          </w:p>
          <w:p w14:paraId="11258096" w14:textId="77777777" w:rsidR="00872C03" w:rsidRPr="00883399" w:rsidRDefault="00872C03" w:rsidP="0031057E">
            <w:pPr>
              <w:pStyle w:val="TableCentre"/>
              <w:rPr>
                <w:rStyle w:val="Strong"/>
                <w:rFonts w:cs="Arial"/>
                <w:sz w:val="18"/>
              </w:rPr>
            </w:pPr>
            <w:r w:rsidRPr="00883399">
              <w:rPr>
                <w:rStyle w:val="Strong"/>
                <w:rFonts w:cs="Arial"/>
                <w:sz w:val="18"/>
              </w:rPr>
              <w:t>(GJ/kL unless otherwise indicated)</w:t>
            </w:r>
          </w:p>
        </w:tc>
        <w:tc>
          <w:tcPr>
            <w:tcW w:w="2781" w:type="dxa"/>
            <w:gridSpan w:val="3"/>
            <w:tcBorders>
              <w:top w:val="nil"/>
              <w:left w:val="nil"/>
              <w:bottom w:val="nil"/>
              <w:right w:val="nil"/>
            </w:tcBorders>
          </w:tcPr>
          <w:p w14:paraId="66C2B8D5" w14:textId="77777777" w:rsidR="00872C03" w:rsidRPr="00883399" w:rsidRDefault="00872C03" w:rsidP="0031057E">
            <w:pPr>
              <w:pStyle w:val="Heading1Like"/>
              <w:spacing w:before="60" w:after="0" w:line="312" w:lineRule="auto"/>
              <w:ind w:left="567" w:hanging="567"/>
              <w:jc w:val="center"/>
              <w:rPr>
                <w:rFonts w:ascii="Arial" w:hAnsi="Arial"/>
                <w:sz w:val="18"/>
              </w:rPr>
            </w:pPr>
            <w:r w:rsidRPr="00883399">
              <w:rPr>
                <w:rFonts w:ascii="Arial" w:hAnsi="Arial"/>
                <w:caps w:val="0"/>
                <w:sz w:val="18"/>
              </w:rPr>
              <w:t>Emission factor</w:t>
            </w:r>
          </w:p>
          <w:p w14:paraId="5739A203" w14:textId="77777777" w:rsidR="00872C03" w:rsidRPr="00883399" w:rsidRDefault="00872C03" w:rsidP="0031057E">
            <w:pPr>
              <w:pStyle w:val="Heading1Like"/>
              <w:spacing w:after="0" w:line="312" w:lineRule="auto"/>
              <w:ind w:left="567" w:hanging="567"/>
              <w:jc w:val="center"/>
              <w:rPr>
                <w:rFonts w:ascii="Arial" w:hAnsi="Arial"/>
                <w:sz w:val="18"/>
              </w:rPr>
            </w:pPr>
            <w:r w:rsidRPr="00883399">
              <w:rPr>
                <w:rFonts w:ascii="Arial" w:hAnsi="Arial"/>
                <w:caps w:val="0"/>
                <w:sz w:val="18"/>
              </w:rPr>
              <w:t>kg CO</w:t>
            </w:r>
            <w:r w:rsidRPr="00883399">
              <w:rPr>
                <w:rFonts w:ascii="Arial" w:hAnsi="Arial"/>
                <w:caps w:val="0"/>
                <w:sz w:val="18"/>
                <w:vertAlign w:val="subscript"/>
              </w:rPr>
              <w:t>2</w:t>
            </w:r>
            <w:r w:rsidRPr="00883399">
              <w:rPr>
                <w:rFonts w:ascii="Arial" w:hAnsi="Arial"/>
                <w:caps w:val="0"/>
                <w:sz w:val="18"/>
              </w:rPr>
              <w:noBreakHyphen/>
              <w:t>e/GJ</w:t>
            </w:r>
          </w:p>
          <w:p w14:paraId="590936BD" w14:textId="77777777" w:rsidR="00872C03" w:rsidRPr="00883399" w:rsidRDefault="00872C03" w:rsidP="0031057E">
            <w:pPr>
              <w:pStyle w:val="Heading1Like"/>
              <w:spacing w:before="60" w:after="240"/>
              <w:ind w:left="0" w:firstLine="0"/>
              <w:jc w:val="center"/>
              <w:rPr>
                <w:sz w:val="18"/>
              </w:rPr>
            </w:pPr>
            <w:r w:rsidRPr="00883399">
              <w:rPr>
                <w:sz w:val="18"/>
                <w:szCs w:val="18"/>
              </w:rPr>
              <w:t>(relevant oxidation factors incorporated)</w:t>
            </w:r>
          </w:p>
        </w:tc>
      </w:tr>
      <w:tr w:rsidR="00872C03" w:rsidRPr="00883399" w14:paraId="14F47773" w14:textId="77777777" w:rsidTr="0031057E">
        <w:trPr>
          <w:cantSplit/>
          <w:tblHeader/>
        </w:trPr>
        <w:tc>
          <w:tcPr>
            <w:tcW w:w="588" w:type="dxa"/>
            <w:vMerge/>
            <w:tcBorders>
              <w:top w:val="nil"/>
              <w:left w:val="nil"/>
              <w:right w:val="nil"/>
            </w:tcBorders>
          </w:tcPr>
          <w:p w14:paraId="155D1AAD" w14:textId="77777777" w:rsidR="00872C03" w:rsidRPr="00883399" w:rsidRDefault="00872C03" w:rsidP="0031057E">
            <w:pPr>
              <w:jc w:val="right"/>
            </w:pPr>
          </w:p>
        </w:tc>
        <w:tc>
          <w:tcPr>
            <w:tcW w:w="3012" w:type="dxa"/>
            <w:vMerge/>
            <w:tcBorders>
              <w:top w:val="nil"/>
              <w:left w:val="nil"/>
              <w:right w:val="nil"/>
            </w:tcBorders>
          </w:tcPr>
          <w:p w14:paraId="2FD50909" w14:textId="77777777" w:rsidR="00872C03" w:rsidRPr="00883399" w:rsidRDefault="00872C03" w:rsidP="0031057E">
            <w:pPr>
              <w:pStyle w:val="HTMLPreformatted"/>
              <w:spacing w:before="60"/>
              <w:rPr>
                <w:sz w:val="22"/>
              </w:rPr>
            </w:pPr>
          </w:p>
        </w:tc>
        <w:tc>
          <w:tcPr>
            <w:tcW w:w="1920" w:type="dxa"/>
            <w:vMerge/>
            <w:tcBorders>
              <w:top w:val="nil"/>
              <w:left w:val="nil"/>
              <w:right w:val="nil"/>
            </w:tcBorders>
          </w:tcPr>
          <w:p w14:paraId="1AC85BDD" w14:textId="77777777" w:rsidR="00872C03" w:rsidRPr="00883399" w:rsidRDefault="00872C03" w:rsidP="0031057E">
            <w:pPr>
              <w:spacing w:before="60"/>
              <w:jc w:val="center"/>
              <w:rPr>
                <w:sz w:val="22"/>
              </w:rPr>
            </w:pPr>
          </w:p>
        </w:tc>
        <w:tc>
          <w:tcPr>
            <w:tcW w:w="840" w:type="dxa"/>
            <w:tcBorders>
              <w:top w:val="nil"/>
              <w:left w:val="nil"/>
              <w:right w:val="nil"/>
            </w:tcBorders>
          </w:tcPr>
          <w:p w14:paraId="1378EC9A" w14:textId="77777777" w:rsidR="00872C03" w:rsidRPr="00883399" w:rsidRDefault="00872C03" w:rsidP="0031057E">
            <w:pPr>
              <w:pStyle w:val="TableCentre"/>
              <w:rPr>
                <w:sz w:val="22"/>
              </w:rPr>
            </w:pPr>
            <w:r w:rsidRPr="00883399">
              <w:rPr>
                <w:b/>
                <w:bCs/>
                <w:snapToGrid w:val="0"/>
                <w:sz w:val="18"/>
              </w:rPr>
              <w:t>CO</w:t>
            </w:r>
            <w:r w:rsidRPr="00883399">
              <w:rPr>
                <w:b/>
                <w:bCs/>
                <w:snapToGrid w:val="0"/>
                <w:sz w:val="18"/>
                <w:vertAlign w:val="subscript"/>
              </w:rPr>
              <w:t>2</w:t>
            </w:r>
          </w:p>
        </w:tc>
        <w:tc>
          <w:tcPr>
            <w:tcW w:w="970" w:type="dxa"/>
            <w:tcBorders>
              <w:top w:val="nil"/>
              <w:left w:val="nil"/>
              <w:right w:val="nil"/>
            </w:tcBorders>
          </w:tcPr>
          <w:p w14:paraId="21199615" w14:textId="77777777" w:rsidR="00872C03" w:rsidRPr="00883399" w:rsidRDefault="00872C03" w:rsidP="0031057E">
            <w:pPr>
              <w:pStyle w:val="TableCentre"/>
              <w:rPr>
                <w:rStyle w:val="Strong"/>
                <w:rFonts w:cs="Arial"/>
                <w:sz w:val="18"/>
              </w:rPr>
            </w:pPr>
            <w:r w:rsidRPr="00883399">
              <w:rPr>
                <w:b/>
                <w:bCs/>
                <w:snapToGrid w:val="0"/>
                <w:sz w:val="18"/>
              </w:rPr>
              <w:t>CH</w:t>
            </w:r>
            <w:r w:rsidRPr="00883399">
              <w:rPr>
                <w:b/>
                <w:bCs/>
                <w:snapToGrid w:val="0"/>
                <w:sz w:val="18"/>
                <w:vertAlign w:val="subscript"/>
              </w:rPr>
              <w:t>4</w:t>
            </w:r>
          </w:p>
        </w:tc>
        <w:tc>
          <w:tcPr>
            <w:tcW w:w="971" w:type="dxa"/>
            <w:tcBorders>
              <w:top w:val="nil"/>
              <w:left w:val="nil"/>
              <w:right w:val="nil"/>
            </w:tcBorders>
          </w:tcPr>
          <w:p w14:paraId="6D9F57B4" w14:textId="77777777" w:rsidR="00872C03" w:rsidRPr="00883399" w:rsidRDefault="00872C03" w:rsidP="0031057E">
            <w:pPr>
              <w:pStyle w:val="TableCentre"/>
              <w:spacing w:after="60"/>
              <w:rPr>
                <w:rStyle w:val="Strong"/>
                <w:rFonts w:cs="Arial"/>
                <w:sz w:val="18"/>
              </w:rPr>
            </w:pPr>
            <w:r w:rsidRPr="00883399">
              <w:rPr>
                <w:b/>
                <w:bCs/>
                <w:snapToGrid w:val="0"/>
                <w:sz w:val="18"/>
              </w:rPr>
              <w:t>N</w:t>
            </w:r>
            <w:r w:rsidRPr="00883399">
              <w:rPr>
                <w:b/>
                <w:bCs/>
                <w:snapToGrid w:val="0"/>
                <w:sz w:val="18"/>
                <w:vertAlign w:val="subscript"/>
              </w:rPr>
              <w:t>2</w:t>
            </w:r>
            <w:r w:rsidRPr="00883399">
              <w:rPr>
                <w:b/>
                <w:bCs/>
                <w:snapToGrid w:val="0"/>
                <w:sz w:val="18"/>
              </w:rPr>
              <w:t>O</w:t>
            </w:r>
          </w:p>
        </w:tc>
      </w:tr>
      <w:tr w:rsidR="00C64E6B" w:rsidRPr="00883399" w14:paraId="1A51E547" w14:textId="77777777" w:rsidTr="0031057E">
        <w:trPr>
          <w:cantSplit/>
        </w:trPr>
        <w:tc>
          <w:tcPr>
            <w:tcW w:w="588" w:type="dxa"/>
            <w:tcBorders>
              <w:left w:val="nil"/>
              <w:bottom w:val="nil"/>
              <w:right w:val="nil"/>
            </w:tcBorders>
          </w:tcPr>
          <w:p w14:paraId="01972F5A" w14:textId="77777777" w:rsidR="00C64E6B" w:rsidRPr="00883399" w:rsidRDefault="00C64E6B" w:rsidP="00C64E6B">
            <w:pPr>
              <w:pStyle w:val="Tabletext0"/>
              <w:rPr>
                <w:snapToGrid w:val="0"/>
                <w:sz w:val="22"/>
              </w:rPr>
            </w:pPr>
            <w:r w:rsidRPr="00883399">
              <w:rPr>
                <w:snapToGrid w:val="0"/>
                <w:sz w:val="22"/>
              </w:rPr>
              <w:t>53</w:t>
            </w:r>
          </w:p>
        </w:tc>
        <w:tc>
          <w:tcPr>
            <w:tcW w:w="3012" w:type="dxa"/>
            <w:tcBorders>
              <w:left w:val="nil"/>
              <w:bottom w:val="nil"/>
              <w:right w:val="nil"/>
            </w:tcBorders>
          </w:tcPr>
          <w:p w14:paraId="2000487E" w14:textId="77777777" w:rsidR="00C64E6B" w:rsidRPr="00883399" w:rsidRDefault="00C64E6B" w:rsidP="00C64E6B">
            <w:pPr>
              <w:pStyle w:val="Tabletext0"/>
              <w:rPr>
                <w:snapToGrid w:val="0"/>
                <w:sz w:val="22"/>
              </w:rPr>
            </w:pPr>
            <w:r w:rsidRPr="00883399">
              <w:rPr>
                <w:snapToGrid w:val="0"/>
                <w:sz w:val="22"/>
              </w:rPr>
              <w:t>Gasoline (other than for use as fuel in an aircraft)</w:t>
            </w:r>
          </w:p>
        </w:tc>
        <w:tc>
          <w:tcPr>
            <w:tcW w:w="1920" w:type="dxa"/>
            <w:tcBorders>
              <w:left w:val="nil"/>
              <w:bottom w:val="nil"/>
              <w:right w:val="nil"/>
            </w:tcBorders>
          </w:tcPr>
          <w:p w14:paraId="45E9D77A" w14:textId="77777777" w:rsidR="00C64E6B" w:rsidRPr="00883399" w:rsidRDefault="00C64E6B" w:rsidP="00C64E6B">
            <w:pPr>
              <w:pStyle w:val="Tabletext0"/>
              <w:rPr>
                <w:snapToGrid w:val="0"/>
                <w:sz w:val="22"/>
              </w:rPr>
            </w:pPr>
            <w:r w:rsidRPr="00883399">
              <w:rPr>
                <w:snapToGrid w:val="0"/>
                <w:sz w:val="22"/>
              </w:rPr>
              <w:t>34.2</w:t>
            </w:r>
          </w:p>
        </w:tc>
        <w:tc>
          <w:tcPr>
            <w:tcW w:w="840" w:type="dxa"/>
            <w:tcBorders>
              <w:left w:val="nil"/>
              <w:bottom w:val="nil"/>
              <w:right w:val="nil"/>
            </w:tcBorders>
          </w:tcPr>
          <w:p w14:paraId="36FC3029" w14:textId="77777777" w:rsidR="00C64E6B" w:rsidRPr="00883399" w:rsidRDefault="00C64E6B" w:rsidP="00C64E6B">
            <w:pPr>
              <w:pStyle w:val="Tabletext0"/>
              <w:rPr>
                <w:snapToGrid w:val="0"/>
                <w:sz w:val="22"/>
              </w:rPr>
            </w:pPr>
            <w:r w:rsidRPr="00883399">
              <w:rPr>
                <w:snapToGrid w:val="0"/>
                <w:sz w:val="22"/>
              </w:rPr>
              <w:t>67.4</w:t>
            </w:r>
          </w:p>
        </w:tc>
        <w:tc>
          <w:tcPr>
            <w:tcW w:w="970" w:type="dxa"/>
            <w:tcBorders>
              <w:left w:val="nil"/>
              <w:bottom w:val="nil"/>
              <w:right w:val="nil"/>
            </w:tcBorders>
          </w:tcPr>
          <w:p w14:paraId="03D065F9" w14:textId="77777777" w:rsidR="00C64E6B" w:rsidRPr="00883399" w:rsidRDefault="00C64E6B" w:rsidP="00C64E6B">
            <w:pPr>
              <w:pStyle w:val="Tabletext0"/>
              <w:rPr>
                <w:snapToGrid w:val="0"/>
                <w:sz w:val="22"/>
              </w:rPr>
            </w:pPr>
            <w:r w:rsidRPr="00883399">
              <w:rPr>
                <w:snapToGrid w:val="0"/>
                <w:sz w:val="22"/>
              </w:rPr>
              <w:t>0.5</w:t>
            </w:r>
          </w:p>
        </w:tc>
        <w:tc>
          <w:tcPr>
            <w:tcW w:w="971" w:type="dxa"/>
            <w:tcBorders>
              <w:left w:val="nil"/>
              <w:bottom w:val="nil"/>
              <w:right w:val="nil"/>
            </w:tcBorders>
          </w:tcPr>
          <w:p w14:paraId="6CE4A319" w14:textId="77777777" w:rsidR="00C64E6B" w:rsidRPr="00883399" w:rsidRDefault="00C64E6B" w:rsidP="00C64E6B">
            <w:pPr>
              <w:pStyle w:val="Tabletext0"/>
              <w:rPr>
                <w:snapToGrid w:val="0"/>
                <w:sz w:val="22"/>
              </w:rPr>
            </w:pPr>
            <w:r w:rsidRPr="00883399">
              <w:rPr>
                <w:snapToGrid w:val="0"/>
                <w:sz w:val="22"/>
              </w:rPr>
              <w:t>1.8</w:t>
            </w:r>
          </w:p>
        </w:tc>
      </w:tr>
      <w:tr w:rsidR="00C64E6B" w:rsidRPr="00883399" w14:paraId="144672B9" w14:textId="77777777" w:rsidTr="0031057E">
        <w:trPr>
          <w:cantSplit/>
        </w:trPr>
        <w:tc>
          <w:tcPr>
            <w:tcW w:w="588" w:type="dxa"/>
            <w:tcBorders>
              <w:top w:val="nil"/>
              <w:left w:val="nil"/>
              <w:bottom w:val="nil"/>
              <w:right w:val="nil"/>
            </w:tcBorders>
          </w:tcPr>
          <w:p w14:paraId="52D59D8C" w14:textId="77777777" w:rsidR="00C64E6B" w:rsidRPr="00883399" w:rsidRDefault="00C64E6B" w:rsidP="00C64E6B">
            <w:pPr>
              <w:pStyle w:val="Tabletext0"/>
              <w:rPr>
                <w:snapToGrid w:val="0"/>
                <w:sz w:val="22"/>
              </w:rPr>
            </w:pPr>
            <w:r w:rsidRPr="00883399">
              <w:rPr>
                <w:snapToGrid w:val="0"/>
                <w:sz w:val="22"/>
              </w:rPr>
              <w:t>54</w:t>
            </w:r>
          </w:p>
        </w:tc>
        <w:tc>
          <w:tcPr>
            <w:tcW w:w="3012" w:type="dxa"/>
            <w:tcBorders>
              <w:top w:val="nil"/>
              <w:left w:val="nil"/>
              <w:bottom w:val="nil"/>
              <w:right w:val="nil"/>
            </w:tcBorders>
          </w:tcPr>
          <w:p w14:paraId="6809EC02" w14:textId="77777777" w:rsidR="00C64E6B" w:rsidRPr="00883399" w:rsidRDefault="00C64E6B" w:rsidP="00C64E6B">
            <w:pPr>
              <w:pStyle w:val="Tabletext0"/>
              <w:rPr>
                <w:snapToGrid w:val="0"/>
                <w:sz w:val="22"/>
              </w:rPr>
            </w:pPr>
            <w:r w:rsidRPr="00883399">
              <w:rPr>
                <w:snapToGrid w:val="0"/>
                <w:sz w:val="22"/>
              </w:rPr>
              <w:t>Diesel oil</w:t>
            </w:r>
          </w:p>
        </w:tc>
        <w:tc>
          <w:tcPr>
            <w:tcW w:w="1920" w:type="dxa"/>
            <w:tcBorders>
              <w:top w:val="nil"/>
              <w:left w:val="nil"/>
              <w:bottom w:val="nil"/>
              <w:right w:val="nil"/>
            </w:tcBorders>
          </w:tcPr>
          <w:p w14:paraId="5FAFF4FF" w14:textId="77777777" w:rsidR="00C64E6B" w:rsidRPr="00883399" w:rsidRDefault="00C64E6B" w:rsidP="00C64E6B">
            <w:pPr>
              <w:pStyle w:val="Tabletext0"/>
              <w:rPr>
                <w:snapToGrid w:val="0"/>
                <w:sz w:val="22"/>
              </w:rPr>
            </w:pPr>
            <w:r w:rsidRPr="00883399">
              <w:rPr>
                <w:snapToGrid w:val="0"/>
                <w:sz w:val="22"/>
              </w:rPr>
              <w:t>38.6</w:t>
            </w:r>
          </w:p>
        </w:tc>
        <w:tc>
          <w:tcPr>
            <w:tcW w:w="840" w:type="dxa"/>
            <w:tcBorders>
              <w:top w:val="nil"/>
              <w:left w:val="nil"/>
              <w:bottom w:val="nil"/>
              <w:right w:val="nil"/>
            </w:tcBorders>
          </w:tcPr>
          <w:p w14:paraId="7C56C688" w14:textId="77777777" w:rsidR="00C64E6B" w:rsidRPr="00883399" w:rsidRDefault="00C64E6B" w:rsidP="00C64E6B">
            <w:pPr>
              <w:pStyle w:val="Tabletext0"/>
              <w:rPr>
                <w:snapToGrid w:val="0"/>
                <w:sz w:val="22"/>
              </w:rPr>
            </w:pPr>
            <w:r w:rsidRPr="00883399">
              <w:rPr>
                <w:snapToGrid w:val="0"/>
                <w:sz w:val="22"/>
              </w:rPr>
              <w:t>69.9</w:t>
            </w:r>
          </w:p>
        </w:tc>
        <w:tc>
          <w:tcPr>
            <w:tcW w:w="970" w:type="dxa"/>
            <w:tcBorders>
              <w:top w:val="nil"/>
              <w:left w:val="nil"/>
              <w:bottom w:val="nil"/>
              <w:right w:val="nil"/>
            </w:tcBorders>
          </w:tcPr>
          <w:p w14:paraId="280B3ED4" w14:textId="77777777" w:rsidR="00C64E6B" w:rsidRPr="00883399" w:rsidRDefault="00C64E6B" w:rsidP="00C64E6B">
            <w:pPr>
              <w:pStyle w:val="Tabletext0"/>
              <w:rPr>
                <w:snapToGrid w:val="0"/>
                <w:sz w:val="22"/>
              </w:rPr>
            </w:pPr>
            <w:r w:rsidRPr="00883399">
              <w:rPr>
                <w:snapToGrid w:val="0"/>
                <w:sz w:val="22"/>
              </w:rPr>
              <w:t>0.1</w:t>
            </w:r>
          </w:p>
        </w:tc>
        <w:tc>
          <w:tcPr>
            <w:tcW w:w="971" w:type="dxa"/>
            <w:tcBorders>
              <w:top w:val="nil"/>
              <w:left w:val="nil"/>
              <w:bottom w:val="nil"/>
              <w:right w:val="nil"/>
            </w:tcBorders>
          </w:tcPr>
          <w:p w14:paraId="52760263" w14:textId="77777777" w:rsidR="00C64E6B" w:rsidRPr="00883399" w:rsidRDefault="00C64E6B" w:rsidP="00C64E6B">
            <w:pPr>
              <w:pStyle w:val="Tabletext0"/>
              <w:rPr>
                <w:snapToGrid w:val="0"/>
                <w:sz w:val="22"/>
              </w:rPr>
            </w:pPr>
            <w:r w:rsidRPr="00883399">
              <w:rPr>
                <w:snapToGrid w:val="0"/>
                <w:sz w:val="22"/>
              </w:rPr>
              <w:t>0.5</w:t>
            </w:r>
          </w:p>
        </w:tc>
      </w:tr>
      <w:tr w:rsidR="00C64E6B" w:rsidRPr="00883399" w14:paraId="0AF31F5C" w14:textId="77777777" w:rsidTr="0031057E">
        <w:trPr>
          <w:cantSplit/>
        </w:trPr>
        <w:tc>
          <w:tcPr>
            <w:tcW w:w="588" w:type="dxa"/>
            <w:tcBorders>
              <w:top w:val="nil"/>
              <w:left w:val="nil"/>
              <w:bottom w:val="nil"/>
              <w:right w:val="nil"/>
            </w:tcBorders>
          </w:tcPr>
          <w:p w14:paraId="6DABE61E" w14:textId="77777777" w:rsidR="00C64E6B" w:rsidRPr="00883399" w:rsidRDefault="00C64E6B" w:rsidP="00C64E6B">
            <w:pPr>
              <w:pStyle w:val="Tabletext0"/>
              <w:rPr>
                <w:snapToGrid w:val="0"/>
                <w:sz w:val="22"/>
              </w:rPr>
            </w:pPr>
            <w:r w:rsidRPr="00883399">
              <w:rPr>
                <w:snapToGrid w:val="0"/>
                <w:sz w:val="22"/>
              </w:rPr>
              <w:lastRenderedPageBreak/>
              <w:t>55</w:t>
            </w:r>
          </w:p>
        </w:tc>
        <w:tc>
          <w:tcPr>
            <w:tcW w:w="3012" w:type="dxa"/>
            <w:tcBorders>
              <w:top w:val="nil"/>
              <w:left w:val="nil"/>
              <w:bottom w:val="nil"/>
              <w:right w:val="nil"/>
            </w:tcBorders>
          </w:tcPr>
          <w:p w14:paraId="76A7EE9A" w14:textId="77777777" w:rsidR="00C64E6B" w:rsidRPr="00883399" w:rsidRDefault="00C64E6B" w:rsidP="00C64E6B">
            <w:pPr>
              <w:pStyle w:val="Tabletext0"/>
              <w:rPr>
                <w:snapToGrid w:val="0"/>
                <w:sz w:val="22"/>
              </w:rPr>
            </w:pPr>
            <w:r w:rsidRPr="00883399">
              <w:rPr>
                <w:snapToGrid w:val="0"/>
                <w:sz w:val="22"/>
              </w:rPr>
              <w:t>Gasoline for use as fuel in an aircraft</w:t>
            </w:r>
          </w:p>
        </w:tc>
        <w:tc>
          <w:tcPr>
            <w:tcW w:w="1920" w:type="dxa"/>
            <w:tcBorders>
              <w:top w:val="nil"/>
              <w:left w:val="nil"/>
              <w:bottom w:val="nil"/>
              <w:right w:val="nil"/>
            </w:tcBorders>
          </w:tcPr>
          <w:p w14:paraId="237984C1" w14:textId="77777777" w:rsidR="00C64E6B" w:rsidRPr="00883399" w:rsidRDefault="00C64E6B" w:rsidP="00C64E6B">
            <w:pPr>
              <w:pStyle w:val="Tabletext0"/>
              <w:rPr>
                <w:snapToGrid w:val="0"/>
                <w:sz w:val="22"/>
              </w:rPr>
            </w:pPr>
            <w:r w:rsidRPr="00883399">
              <w:rPr>
                <w:snapToGrid w:val="0"/>
                <w:sz w:val="22"/>
              </w:rPr>
              <w:t>33.1</w:t>
            </w:r>
          </w:p>
        </w:tc>
        <w:tc>
          <w:tcPr>
            <w:tcW w:w="840" w:type="dxa"/>
            <w:tcBorders>
              <w:top w:val="nil"/>
              <w:left w:val="nil"/>
              <w:bottom w:val="nil"/>
              <w:right w:val="nil"/>
            </w:tcBorders>
          </w:tcPr>
          <w:p w14:paraId="07E6AEDE" w14:textId="77777777" w:rsidR="00C64E6B" w:rsidRPr="00883399" w:rsidRDefault="00C64E6B" w:rsidP="00C64E6B">
            <w:pPr>
              <w:pStyle w:val="Tabletext0"/>
              <w:rPr>
                <w:snapToGrid w:val="0"/>
                <w:sz w:val="22"/>
              </w:rPr>
            </w:pPr>
            <w:r w:rsidRPr="00883399">
              <w:rPr>
                <w:snapToGrid w:val="0"/>
                <w:sz w:val="22"/>
              </w:rPr>
              <w:t>67.0</w:t>
            </w:r>
          </w:p>
        </w:tc>
        <w:tc>
          <w:tcPr>
            <w:tcW w:w="970" w:type="dxa"/>
            <w:tcBorders>
              <w:top w:val="nil"/>
              <w:left w:val="nil"/>
              <w:bottom w:val="nil"/>
              <w:right w:val="nil"/>
            </w:tcBorders>
          </w:tcPr>
          <w:p w14:paraId="37CF2A74" w14:textId="77777777" w:rsidR="00C64E6B" w:rsidRPr="00883399" w:rsidRDefault="00C64E6B" w:rsidP="00C64E6B">
            <w:pPr>
              <w:pStyle w:val="Tabletext0"/>
              <w:rPr>
                <w:snapToGrid w:val="0"/>
                <w:sz w:val="22"/>
              </w:rPr>
            </w:pPr>
            <w:r w:rsidRPr="00883399">
              <w:rPr>
                <w:snapToGrid w:val="0"/>
                <w:sz w:val="22"/>
              </w:rPr>
              <w:t>0.05</w:t>
            </w:r>
          </w:p>
        </w:tc>
        <w:tc>
          <w:tcPr>
            <w:tcW w:w="971" w:type="dxa"/>
            <w:tcBorders>
              <w:top w:val="nil"/>
              <w:left w:val="nil"/>
              <w:bottom w:val="nil"/>
              <w:right w:val="nil"/>
            </w:tcBorders>
          </w:tcPr>
          <w:p w14:paraId="219C79A3" w14:textId="77777777" w:rsidR="00C64E6B" w:rsidRPr="00883399" w:rsidRDefault="00C64E6B" w:rsidP="00C64E6B">
            <w:pPr>
              <w:pStyle w:val="Tabletext0"/>
              <w:rPr>
                <w:snapToGrid w:val="0"/>
                <w:sz w:val="22"/>
              </w:rPr>
            </w:pPr>
            <w:r w:rsidRPr="00883399">
              <w:rPr>
                <w:snapToGrid w:val="0"/>
                <w:sz w:val="22"/>
              </w:rPr>
              <w:t>0.7</w:t>
            </w:r>
          </w:p>
        </w:tc>
      </w:tr>
      <w:tr w:rsidR="00C64E6B" w:rsidRPr="00883399" w14:paraId="47F8B701" w14:textId="77777777" w:rsidTr="0031057E">
        <w:trPr>
          <w:cantSplit/>
        </w:trPr>
        <w:tc>
          <w:tcPr>
            <w:tcW w:w="588" w:type="dxa"/>
            <w:tcBorders>
              <w:top w:val="nil"/>
              <w:left w:val="nil"/>
              <w:bottom w:val="nil"/>
              <w:right w:val="nil"/>
            </w:tcBorders>
          </w:tcPr>
          <w:p w14:paraId="2C06C84B" w14:textId="77777777" w:rsidR="00C64E6B" w:rsidRPr="00883399" w:rsidRDefault="00C64E6B" w:rsidP="00C64E6B">
            <w:pPr>
              <w:pStyle w:val="Tabletext0"/>
              <w:rPr>
                <w:snapToGrid w:val="0"/>
                <w:sz w:val="22"/>
              </w:rPr>
            </w:pPr>
            <w:r w:rsidRPr="00883399">
              <w:rPr>
                <w:snapToGrid w:val="0"/>
                <w:sz w:val="22"/>
              </w:rPr>
              <w:t>56</w:t>
            </w:r>
          </w:p>
        </w:tc>
        <w:tc>
          <w:tcPr>
            <w:tcW w:w="3012" w:type="dxa"/>
            <w:tcBorders>
              <w:top w:val="nil"/>
              <w:left w:val="nil"/>
              <w:bottom w:val="nil"/>
              <w:right w:val="nil"/>
            </w:tcBorders>
          </w:tcPr>
          <w:p w14:paraId="1B3E9DBF" w14:textId="77777777" w:rsidR="00C64E6B" w:rsidRPr="00883399" w:rsidRDefault="00C64E6B" w:rsidP="00C64E6B">
            <w:pPr>
              <w:pStyle w:val="Tabletext0"/>
              <w:rPr>
                <w:snapToGrid w:val="0"/>
                <w:sz w:val="22"/>
              </w:rPr>
            </w:pPr>
            <w:r w:rsidRPr="00883399">
              <w:rPr>
                <w:sz w:val="22"/>
              </w:rPr>
              <w:t>Kerosene for use as fuel in an aircraft</w:t>
            </w:r>
          </w:p>
        </w:tc>
        <w:tc>
          <w:tcPr>
            <w:tcW w:w="1920" w:type="dxa"/>
            <w:tcBorders>
              <w:top w:val="nil"/>
              <w:left w:val="nil"/>
              <w:bottom w:val="nil"/>
              <w:right w:val="nil"/>
            </w:tcBorders>
          </w:tcPr>
          <w:p w14:paraId="4C365A37" w14:textId="77777777" w:rsidR="00C64E6B" w:rsidRPr="00883399" w:rsidRDefault="00C64E6B" w:rsidP="00C64E6B">
            <w:pPr>
              <w:pStyle w:val="Tabletext0"/>
              <w:rPr>
                <w:snapToGrid w:val="0"/>
                <w:sz w:val="22"/>
              </w:rPr>
            </w:pPr>
            <w:r w:rsidRPr="00883399">
              <w:rPr>
                <w:snapToGrid w:val="0"/>
                <w:sz w:val="22"/>
              </w:rPr>
              <w:t>36.8</w:t>
            </w:r>
          </w:p>
        </w:tc>
        <w:tc>
          <w:tcPr>
            <w:tcW w:w="840" w:type="dxa"/>
            <w:tcBorders>
              <w:top w:val="nil"/>
              <w:left w:val="nil"/>
              <w:bottom w:val="nil"/>
              <w:right w:val="nil"/>
            </w:tcBorders>
          </w:tcPr>
          <w:p w14:paraId="5C2FC1CD" w14:textId="77777777" w:rsidR="00C64E6B" w:rsidRPr="00883399" w:rsidRDefault="00C64E6B" w:rsidP="00C64E6B">
            <w:pPr>
              <w:pStyle w:val="Tabletext0"/>
              <w:rPr>
                <w:snapToGrid w:val="0"/>
                <w:sz w:val="22"/>
              </w:rPr>
            </w:pPr>
            <w:r w:rsidRPr="00883399">
              <w:rPr>
                <w:snapToGrid w:val="0"/>
                <w:sz w:val="22"/>
              </w:rPr>
              <w:t>69.6</w:t>
            </w:r>
          </w:p>
        </w:tc>
        <w:tc>
          <w:tcPr>
            <w:tcW w:w="970" w:type="dxa"/>
            <w:tcBorders>
              <w:top w:val="nil"/>
              <w:left w:val="nil"/>
              <w:bottom w:val="nil"/>
              <w:right w:val="nil"/>
            </w:tcBorders>
          </w:tcPr>
          <w:p w14:paraId="2F2ABCCD" w14:textId="77777777" w:rsidR="00C64E6B" w:rsidRPr="00883399" w:rsidRDefault="00C64E6B" w:rsidP="00C64E6B">
            <w:pPr>
              <w:pStyle w:val="Tabletext0"/>
              <w:rPr>
                <w:snapToGrid w:val="0"/>
                <w:sz w:val="22"/>
              </w:rPr>
            </w:pPr>
            <w:r w:rsidRPr="00883399">
              <w:rPr>
                <w:snapToGrid w:val="0"/>
                <w:sz w:val="22"/>
              </w:rPr>
              <w:t>0.01</w:t>
            </w:r>
          </w:p>
        </w:tc>
        <w:tc>
          <w:tcPr>
            <w:tcW w:w="971" w:type="dxa"/>
            <w:tcBorders>
              <w:top w:val="nil"/>
              <w:left w:val="nil"/>
              <w:bottom w:val="nil"/>
              <w:right w:val="nil"/>
            </w:tcBorders>
          </w:tcPr>
          <w:p w14:paraId="1599CA75" w14:textId="77777777" w:rsidR="00C64E6B" w:rsidRPr="00883399" w:rsidRDefault="00C64E6B" w:rsidP="00C64E6B">
            <w:pPr>
              <w:pStyle w:val="Tabletext0"/>
              <w:rPr>
                <w:snapToGrid w:val="0"/>
                <w:sz w:val="22"/>
              </w:rPr>
            </w:pPr>
            <w:r w:rsidRPr="00883399">
              <w:rPr>
                <w:snapToGrid w:val="0"/>
                <w:sz w:val="22"/>
              </w:rPr>
              <w:t>0.6</w:t>
            </w:r>
          </w:p>
        </w:tc>
      </w:tr>
      <w:tr w:rsidR="00C64E6B" w:rsidRPr="00883399" w14:paraId="19093451" w14:textId="77777777" w:rsidTr="0031057E">
        <w:trPr>
          <w:cantSplit/>
        </w:trPr>
        <w:tc>
          <w:tcPr>
            <w:tcW w:w="588" w:type="dxa"/>
            <w:tcBorders>
              <w:top w:val="nil"/>
              <w:left w:val="nil"/>
              <w:bottom w:val="nil"/>
              <w:right w:val="nil"/>
            </w:tcBorders>
          </w:tcPr>
          <w:p w14:paraId="2B918CAA" w14:textId="77777777" w:rsidR="00C64E6B" w:rsidRPr="00883399" w:rsidRDefault="00C64E6B" w:rsidP="00C64E6B">
            <w:pPr>
              <w:pStyle w:val="Tabletext0"/>
              <w:rPr>
                <w:snapToGrid w:val="0"/>
                <w:sz w:val="22"/>
              </w:rPr>
            </w:pPr>
            <w:r w:rsidRPr="00883399">
              <w:rPr>
                <w:snapToGrid w:val="0"/>
                <w:sz w:val="22"/>
              </w:rPr>
              <w:t>57</w:t>
            </w:r>
          </w:p>
        </w:tc>
        <w:tc>
          <w:tcPr>
            <w:tcW w:w="3012" w:type="dxa"/>
            <w:tcBorders>
              <w:top w:val="nil"/>
              <w:left w:val="nil"/>
              <w:bottom w:val="nil"/>
              <w:right w:val="nil"/>
            </w:tcBorders>
          </w:tcPr>
          <w:p w14:paraId="09CE0D6F" w14:textId="77777777" w:rsidR="00C64E6B" w:rsidRPr="00883399" w:rsidRDefault="00C64E6B" w:rsidP="00C64E6B">
            <w:pPr>
              <w:pStyle w:val="Tabletext0"/>
              <w:rPr>
                <w:snapToGrid w:val="0"/>
                <w:sz w:val="22"/>
              </w:rPr>
            </w:pPr>
            <w:r w:rsidRPr="00883399">
              <w:rPr>
                <w:snapToGrid w:val="0"/>
                <w:sz w:val="22"/>
              </w:rPr>
              <w:t>Fuel oil</w:t>
            </w:r>
          </w:p>
        </w:tc>
        <w:tc>
          <w:tcPr>
            <w:tcW w:w="1920" w:type="dxa"/>
            <w:tcBorders>
              <w:top w:val="nil"/>
              <w:left w:val="nil"/>
              <w:bottom w:val="nil"/>
              <w:right w:val="nil"/>
            </w:tcBorders>
          </w:tcPr>
          <w:p w14:paraId="40E60D3A" w14:textId="77777777" w:rsidR="00C64E6B" w:rsidRPr="00883399" w:rsidRDefault="00C64E6B" w:rsidP="00C64E6B">
            <w:pPr>
              <w:pStyle w:val="Tabletext0"/>
              <w:rPr>
                <w:snapToGrid w:val="0"/>
                <w:sz w:val="22"/>
              </w:rPr>
            </w:pPr>
            <w:r w:rsidRPr="00883399">
              <w:rPr>
                <w:snapToGrid w:val="0"/>
                <w:sz w:val="22"/>
              </w:rPr>
              <w:t>39.7</w:t>
            </w:r>
          </w:p>
        </w:tc>
        <w:tc>
          <w:tcPr>
            <w:tcW w:w="840" w:type="dxa"/>
            <w:tcBorders>
              <w:top w:val="nil"/>
              <w:left w:val="nil"/>
              <w:bottom w:val="nil"/>
              <w:right w:val="nil"/>
            </w:tcBorders>
          </w:tcPr>
          <w:p w14:paraId="549642DC" w14:textId="77777777" w:rsidR="00C64E6B" w:rsidRPr="00883399" w:rsidRDefault="00C64E6B" w:rsidP="00C64E6B">
            <w:pPr>
              <w:pStyle w:val="Tabletext0"/>
              <w:rPr>
                <w:snapToGrid w:val="0"/>
                <w:sz w:val="22"/>
              </w:rPr>
            </w:pPr>
            <w:r w:rsidRPr="00883399">
              <w:rPr>
                <w:snapToGrid w:val="0"/>
                <w:sz w:val="22"/>
              </w:rPr>
              <w:t>73.6</w:t>
            </w:r>
          </w:p>
        </w:tc>
        <w:tc>
          <w:tcPr>
            <w:tcW w:w="970" w:type="dxa"/>
            <w:tcBorders>
              <w:top w:val="nil"/>
              <w:left w:val="nil"/>
              <w:bottom w:val="nil"/>
              <w:right w:val="nil"/>
            </w:tcBorders>
          </w:tcPr>
          <w:p w14:paraId="238FD521" w14:textId="77777777" w:rsidR="00C64E6B" w:rsidRPr="00883399" w:rsidRDefault="00C64E6B" w:rsidP="00C64E6B">
            <w:pPr>
              <w:pStyle w:val="Tabletext0"/>
              <w:rPr>
                <w:snapToGrid w:val="0"/>
                <w:sz w:val="22"/>
              </w:rPr>
            </w:pPr>
            <w:r w:rsidRPr="00883399">
              <w:rPr>
                <w:snapToGrid w:val="0"/>
                <w:sz w:val="22"/>
              </w:rPr>
              <w:t>0.07</w:t>
            </w:r>
          </w:p>
        </w:tc>
        <w:tc>
          <w:tcPr>
            <w:tcW w:w="971" w:type="dxa"/>
            <w:tcBorders>
              <w:top w:val="nil"/>
              <w:left w:val="nil"/>
              <w:bottom w:val="nil"/>
              <w:right w:val="nil"/>
            </w:tcBorders>
          </w:tcPr>
          <w:p w14:paraId="5FF01958" w14:textId="77777777" w:rsidR="00C64E6B" w:rsidRPr="00883399" w:rsidRDefault="00C64E6B" w:rsidP="00C64E6B">
            <w:pPr>
              <w:pStyle w:val="Tabletext0"/>
              <w:rPr>
                <w:snapToGrid w:val="0"/>
                <w:sz w:val="22"/>
              </w:rPr>
            </w:pPr>
            <w:r w:rsidRPr="00883399">
              <w:rPr>
                <w:snapToGrid w:val="0"/>
                <w:sz w:val="22"/>
              </w:rPr>
              <w:t>0.6</w:t>
            </w:r>
          </w:p>
        </w:tc>
      </w:tr>
      <w:tr w:rsidR="00C64E6B" w:rsidRPr="00883399" w14:paraId="6D447251" w14:textId="77777777" w:rsidTr="0031057E">
        <w:trPr>
          <w:cantSplit/>
        </w:trPr>
        <w:tc>
          <w:tcPr>
            <w:tcW w:w="588" w:type="dxa"/>
            <w:tcBorders>
              <w:top w:val="nil"/>
              <w:left w:val="nil"/>
              <w:bottom w:val="nil"/>
              <w:right w:val="nil"/>
            </w:tcBorders>
          </w:tcPr>
          <w:p w14:paraId="1128B7C2" w14:textId="77777777" w:rsidR="00C64E6B" w:rsidRPr="00883399" w:rsidRDefault="00C64E6B" w:rsidP="00C64E6B">
            <w:pPr>
              <w:pStyle w:val="Tabletext0"/>
              <w:rPr>
                <w:snapToGrid w:val="0"/>
                <w:sz w:val="22"/>
              </w:rPr>
            </w:pPr>
            <w:r w:rsidRPr="00883399">
              <w:rPr>
                <w:snapToGrid w:val="0"/>
                <w:sz w:val="22"/>
              </w:rPr>
              <w:t>58</w:t>
            </w:r>
          </w:p>
        </w:tc>
        <w:tc>
          <w:tcPr>
            <w:tcW w:w="3012" w:type="dxa"/>
            <w:tcBorders>
              <w:top w:val="nil"/>
              <w:left w:val="nil"/>
              <w:bottom w:val="nil"/>
              <w:right w:val="nil"/>
            </w:tcBorders>
          </w:tcPr>
          <w:p w14:paraId="621E4705" w14:textId="77777777" w:rsidR="00C64E6B" w:rsidRPr="00883399" w:rsidRDefault="00C64E6B" w:rsidP="00C64E6B">
            <w:pPr>
              <w:pStyle w:val="Tabletext0"/>
              <w:rPr>
                <w:snapToGrid w:val="0"/>
                <w:sz w:val="22"/>
              </w:rPr>
            </w:pPr>
            <w:r w:rsidRPr="00883399">
              <w:rPr>
                <w:snapToGrid w:val="0"/>
                <w:sz w:val="22"/>
              </w:rPr>
              <w:t>Liquefied petroleum gas</w:t>
            </w:r>
          </w:p>
        </w:tc>
        <w:tc>
          <w:tcPr>
            <w:tcW w:w="1920" w:type="dxa"/>
            <w:tcBorders>
              <w:top w:val="nil"/>
              <w:left w:val="nil"/>
              <w:bottom w:val="nil"/>
              <w:right w:val="nil"/>
            </w:tcBorders>
          </w:tcPr>
          <w:p w14:paraId="3E9777D6" w14:textId="77777777" w:rsidR="00C64E6B" w:rsidRPr="00883399" w:rsidRDefault="00C64E6B" w:rsidP="00C64E6B">
            <w:pPr>
              <w:pStyle w:val="Tabletext0"/>
              <w:rPr>
                <w:snapToGrid w:val="0"/>
                <w:sz w:val="22"/>
              </w:rPr>
            </w:pPr>
            <w:r w:rsidRPr="00883399">
              <w:rPr>
                <w:snapToGrid w:val="0"/>
                <w:sz w:val="22"/>
              </w:rPr>
              <w:t>26.2</w:t>
            </w:r>
          </w:p>
        </w:tc>
        <w:tc>
          <w:tcPr>
            <w:tcW w:w="840" w:type="dxa"/>
            <w:tcBorders>
              <w:top w:val="nil"/>
              <w:left w:val="nil"/>
              <w:bottom w:val="nil"/>
              <w:right w:val="nil"/>
            </w:tcBorders>
          </w:tcPr>
          <w:p w14:paraId="53DD3198" w14:textId="77777777" w:rsidR="00C64E6B" w:rsidRPr="00883399" w:rsidRDefault="00C64E6B" w:rsidP="00C64E6B">
            <w:pPr>
              <w:pStyle w:val="Tabletext0"/>
              <w:rPr>
                <w:snapToGrid w:val="0"/>
                <w:sz w:val="22"/>
              </w:rPr>
            </w:pPr>
            <w:r w:rsidRPr="00883399">
              <w:rPr>
                <w:snapToGrid w:val="0"/>
                <w:sz w:val="22"/>
              </w:rPr>
              <w:t>60.2</w:t>
            </w:r>
          </w:p>
        </w:tc>
        <w:tc>
          <w:tcPr>
            <w:tcW w:w="970" w:type="dxa"/>
            <w:tcBorders>
              <w:top w:val="nil"/>
              <w:left w:val="nil"/>
              <w:bottom w:val="nil"/>
              <w:right w:val="nil"/>
            </w:tcBorders>
          </w:tcPr>
          <w:p w14:paraId="67C480CA" w14:textId="77777777" w:rsidR="00C64E6B" w:rsidRPr="00883399" w:rsidRDefault="00C64E6B" w:rsidP="00C64E6B">
            <w:pPr>
              <w:pStyle w:val="Tabletext0"/>
              <w:rPr>
                <w:snapToGrid w:val="0"/>
                <w:sz w:val="22"/>
              </w:rPr>
            </w:pPr>
            <w:r w:rsidRPr="00883399">
              <w:rPr>
                <w:snapToGrid w:val="0"/>
                <w:sz w:val="22"/>
              </w:rPr>
              <w:t>0.6</w:t>
            </w:r>
          </w:p>
        </w:tc>
        <w:tc>
          <w:tcPr>
            <w:tcW w:w="971" w:type="dxa"/>
            <w:tcBorders>
              <w:top w:val="nil"/>
              <w:left w:val="nil"/>
              <w:bottom w:val="nil"/>
              <w:right w:val="nil"/>
            </w:tcBorders>
          </w:tcPr>
          <w:p w14:paraId="788DA6C9" w14:textId="77777777" w:rsidR="00C64E6B" w:rsidRPr="00883399" w:rsidRDefault="00C64E6B" w:rsidP="00C64E6B">
            <w:pPr>
              <w:pStyle w:val="Tabletext0"/>
              <w:rPr>
                <w:snapToGrid w:val="0"/>
                <w:sz w:val="22"/>
              </w:rPr>
            </w:pPr>
            <w:r w:rsidRPr="00883399">
              <w:rPr>
                <w:snapToGrid w:val="0"/>
                <w:sz w:val="22"/>
              </w:rPr>
              <w:t>0.7</w:t>
            </w:r>
          </w:p>
        </w:tc>
      </w:tr>
      <w:tr w:rsidR="00C64E6B" w:rsidRPr="00883399" w14:paraId="42945710" w14:textId="77777777" w:rsidTr="0031057E">
        <w:trPr>
          <w:cantSplit/>
        </w:trPr>
        <w:tc>
          <w:tcPr>
            <w:tcW w:w="588" w:type="dxa"/>
            <w:tcBorders>
              <w:top w:val="nil"/>
              <w:left w:val="nil"/>
              <w:bottom w:val="nil"/>
              <w:right w:val="nil"/>
            </w:tcBorders>
          </w:tcPr>
          <w:p w14:paraId="75E26CA8" w14:textId="77777777" w:rsidR="00C64E6B" w:rsidRPr="00883399" w:rsidRDefault="00C64E6B" w:rsidP="00C64E6B">
            <w:pPr>
              <w:pStyle w:val="Tabletext0"/>
              <w:rPr>
                <w:snapToGrid w:val="0"/>
                <w:sz w:val="22"/>
              </w:rPr>
            </w:pPr>
            <w:r w:rsidRPr="00883399">
              <w:rPr>
                <w:snapToGrid w:val="0"/>
                <w:sz w:val="22"/>
              </w:rPr>
              <w:t>59</w:t>
            </w:r>
          </w:p>
        </w:tc>
        <w:tc>
          <w:tcPr>
            <w:tcW w:w="3012" w:type="dxa"/>
            <w:tcBorders>
              <w:top w:val="nil"/>
              <w:left w:val="nil"/>
              <w:bottom w:val="nil"/>
              <w:right w:val="nil"/>
            </w:tcBorders>
          </w:tcPr>
          <w:p w14:paraId="0A6F6424" w14:textId="77777777" w:rsidR="00C64E6B" w:rsidRPr="00883399" w:rsidRDefault="00C64E6B" w:rsidP="00C64E6B">
            <w:pPr>
              <w:pStyle w:val="Tabletext0"/>
              <w:rPr>
                <w:snapToGrid w:val="0"/>
                <w:sz w:val="22"/>
              </w:rPr>
            </w:pPr>
            <w:r w:rsidRPr="00883399">
              <w:rPr>
                <w:snapToGrid w:val="0"/>
                <w:sz w:val="22"/>
              </w:rPr>
              <w:t>Biodiesel</w:t>
            </w:r>
          </w:p>
        </w:tc>
        <w:tc>
          <w:tcPr>
            <w:tcW w:w="1920" w:type="dxa"/>
            <w:tcBorders>
              <w:top w:val="nil"/>
              <w:left w:val="nil"/>
              <w:bottom w:val="nil"/>
              <w:right w:val="nil"/>
            </w:tcBorders>
          </w:tcPr>
          <w:p w14:paraId="6E617D56" w14:textId="77777777" w:rsidR="00C64E6B" w:rsidRPr="00883399" w:rsidRDefault="00C64E6B" w:rsidP="00C64E6B">
            <w:pPr>
              <w:pStyle w:val="Tabletext0"/>
              <w:rPr>
                <w:snapToGrid w:val="0"/>
                <w:sz w:val="22"/>
              </w:rPr>
            </w:pPr>
            <w:r w:rsidRPr="00883399">
              <w:rPr>
                <w:snapToGrid w:val="0"/>
                <w:sz w:val="22"/>
              </w:rPr>
              <w:t>34.6</w:t>
            </w:r>
          </w:p>
        </w:tc>
        <w:tc>
          <w:tcPr>
            <w:tcW w:w="840" w:type="dxa"/>
            <w:tcBorders>
              <w:top w:val="nil"/>
              <w:left w:val="nil"/>
              <w:bottom w:val="nil"/>
              <w:right w:val="nil"/>
            </w:tcBorders>
          </w:tcPr>
          <w:p w14:paraId="2D12384A" w14:textId="77777777" w:rsidR="00C64E6B" w:rsidRPr="00883399" w:rsidRDefault="00C64E6B" w:rsidP="00C64E6B">
            <w:pPr>
              <w:pStyle w:val="Tabletext0"/>
              <w:rPr>
                <w:snapToGrid w:val="0"/>
                <w:sz w:val="22"/>
              </w:rPr>
            </w:pPr>
            <w:r w:rsidRPr="00883399">
              <w:rPr>
                <w:snapToGrid w:val="0"/>
                <w:sz w:val="22"/>
              </w:rPr>
              <w:t>0.0</w:t>
            </w:r>
          </w:p>
        </w:tc>
        <w:tc>
          <w:tcPr>
            <w:tcW w:w="970" w:type="dxa"/>
            <w:tcBorders>
              <w:top w:val="nil"/>
              <w:left w:val="nil"/>
              <w:bottom w:val="nil"/>
              <w:right w:val="nil"/>
            </w:tcBorders>
          </w:tcPr>
          <w:p w14:paraId="2F064607" w14:textId="77777777" w:rsidR="00C64E6B" w:rsidRPr="00883399" w:rsidRDefault="00C64E6B" w:rsidP="00C64E6B">
            <w:pPr>
              <w:pStyle w:val="Tabletext0"/>
              <w:rPr>
                <w:snapToGrid w:val="0"/>
                <w:sz w:val="22"/>
              </w:rPr>
            </w:pPr>
            <w:r w:rsidRPr="00883399">
              <w:rPr>
                <w:snapToGrid w:val="0"/>
                <w:sz w:val="22"/>
              </w:rPr>
              <w:t>0.7</w:t>
            </w:r>
          </w:p>
        </w:tc>
        <w:tc>
          <w:tcPr>
            <w:tcW w:w="971" w:type="dxa"/>
            <w:tcBorders>
              <w:top w:val="nil"/>
              <w:left w:val="nil"/>
              <w:bottom w:val="nil"/>
              <w:right w:val="nil"/>
            </w:tcBorders>
          </w:tcPr>
          <w:p w14:paraId="1EB93789" w14:textId="77777777" w:rsidR="00C64E6B" w:rsidRPr="00883399" w:rsidRDefault="00C64E6B" w:rsidP="00C64E6B">
            <w:pPr>
              <w:pStyle w:val="Tabletext0"/>
              <w:rPr>
                <w:snapToGrid w:val="0"/>
                <w:sz w:val="22"/>
              </w:rPr>
            </w:pPr>
            <w:r w:rsidRPr="00883399">
              <w:rPr>
                <w:snapToGrid w:val="0"/>
                <w:sz w:val="22"/>
              </w:rPr>
              <w:t>1.9</w:t>
            </w:r>
          </w:p>
        </w:tc>
      </w:tr>
      <w:tr w:rsidR="00C64E6B" w:rsidRPr="00883399" w14:paraId="3027EDE5" w14:textId="77777777" w:rsidTr="0031057E">
        <w:trPr>
          <w:cantSplit/>
        </w:trPr>
        <w:tc>
          <w:tcPr>
            <w:tcW w:w="588" w:type="dxa"/>
            <w:tcBorders>
              <w:top w:val="nil"/>
              <w:left w:val="nil"/>
              <w:bottom w:val="nil"/>
              <w:right w:val="nil"/>
            </w:tcBorders>
          </w:tcPr>
          <w:p w14:paraId="4FDCE7EA" w14:textId="77777777" w:rsidR="00C64E6B" w:rsidRPr="00883399" w:rsidRDefault="00C64E6B" w:rsidP="00C64E6B">
            <w:pPr>
              <w:pStyle w:val="Tabletext0"/>
              <w:rPr>
                <w:snapToGrid w:val="0"/>
                <w:sz w:val="22"/>
              </w:rPr>
            </w:pPr>
            <w:r w:rsidRPr="00883399">
              <w:rPr>
                <w:snapToGrid w:val="0"/>
                <w:sz w:val="22"/>
              </w:rPr>
              <w:t>60</w:t>
            </w:r>
          </w:p>
        </w:tc>
        <w:tc>
          <w:tcPr>
            <w:tcW w:w="3012" w:type="dxa"/>
            <w:tcBorders>
              <w:top w:val="nil"/>
              <w:left w:val="nil"/>
              <w:bottom w:val="nil"/>
              <w:right w:val="nil"/>
            </w:tcBorders>
          </w:tcPr>
          <w:p w14:paraId="68B9D372" w14:textId="77777777" w:rsidR="00C64E6B" w:rsidRPr="00883399" w:rsidRDefault="00C64E6B" w:rsidP="00C64E6B">
            <w:pPr>
              <w:pStyle w:val="Tabletext0"/>
              <w:rPr>
                <w:b/>
                <w:snapToGrid w:val="0"/>
                <w:sz w:val="22"/>
              </w:rPr>
            </w:pPr>
            <w:r w:rsidRPr="00883399">
              <w:rPr>
                <w:snapToGrid w:val="0"/>
                <w:sz w:val="22"/>
              </w:rPr>
              <w:t>Ethanol for use as fuel in an internal combustion engine</w:t>
            </w:r>
          </w:p>
        </w:tc>
        <w:tc>
          <w:tcPr>
            <w:tcW w:w="1920" w:type="dxa"/>
            <w:tcBorders>
              <w:top w:val="nil"/>
              <w:left w:val="nil"/>
              <w:bottom w:val="nil"/>
              <w:right w:val="nil"/>
            </w:tcBorders>
          </w:tcPr>
          <w:p w14:paraId="3BF1BBA5" w14:textId="77777777" w:rsidR="00C64E6B" w:rsidRPr="00883399" w:rsidRDefault="00C64E6B" w:rsidP="00C64E6B">
            <w:pPr>
              <w:pStyle w:val="Tabletext0"/>
              <w:rPr>
                <w:snapToGrid w:val="0"/>
                <w:sz w:val="22"/>
              </w:rPr>
            </w:pPr>
            <w:r w:rsidRPr="00883399">
              <w:rPr>
                <w:snapToGrid w:val="0"/>
                <w:sz w:val="22"/>
              </w:rPr>
              <w:t>23.4</w:t>
            </w:r>
          </w:p>
        </w:tc>
        <w:tc>
          <w:tcPr>
            <w:tcW w:w="840" w:type="dxa"/>
            <w:tcBorders>
              <w:top w:val="nil"/>
              <w:left w:val="nil"/>
              <w:bottom w:val="nil"/>
              <w:right w:val="nil"/>
            </w:tcBorders>
          </w:tcPr>
          <w:p w14:paraId="43B86CC0" w14:textId="77777777" w:rsidR="00C64E6B" w:rsidRPr="00883399" w:rsidRDefault="00C64E6B" w:rsidP="00C64E6B">
            <w:pPr>
              <w:pStyle w:val="Tabletext0"/>
              <w:rPr>
                <w:snapToGrid w:val="0"/>
                <w:sz w:val="22"/>
              </w:rPr>
            </w:pPr>
            <w:r w:rsidRPr="00883399">
              <w:rPr>
                <w:snapToGrid w:val="0"/>
                <w:sz w:val="22"/>
              </w:rPr>
              <w:t>0.0</w:t>
            </w:r>
          </w:p>
        </w:tc>
        <w:tc>
          <w:tcPr>
            <w:tcW w:w="970" w:type="dxa"/>
            <w:tcBorders>
              <w:top w:val="nil"/>
              <w:left w:val="nil"/>
              <w:bottom w:val="nil"/>
              <w:right w:val="nil"/>
            </w:tcBorders>
          </w:tcPr>
          <w:p w14:paraId="1530EA5A" w14:textId="77777777" w:rsidR="00C64E6B" w:rsidRPr="00883399" w:rsidRDefault="00C64E6B" w:rsidP="00C64E6B">
            <w:pPr>
              <w:pStyle w:val="Tabletext0"/>
              <w:rPr>
                <w:snapToGrid w:val="0"/>
                <w:sz w:val="22"/>
              </w:rPr>
            </w:pPr>
            <w:r w:rsidRPr="00883399">
              <w:rPr>
                <w:snapToGrid w:val="0"/>
                <w:sz w:val="22"/>
              </w:rPr>
              <w:t>0.7</w:t>
            </w:r>
          </w:p>
        </w:tc>
        <w:tc>
          <w:tcPr>
            <w:tcW w:w="971" w:type="dxa"/>
            <w:tcBorders>
              <w:top w:val="nil"/>
              <w:left w:val="nil"/>
              <w:bottom w:val="nil"/>
              <w:right w:val="nil"/>
            </w:tcBorders>
          </w:tcPr>
          <w:p w14:paraId="109B480E" w14:textId="77777777" w:rsidR="00C64E6B" w:rsidRPr="00883399" w:rsidRDefault="00C64E6B" w:rsidP="00C64E6B">
            <w:pPr>
              <w:pStyle w:val="Tabletext0"/>
              <w:rPr>
                <w:snapToGrid w:val="0"/>
                <w:sz w:val="22"/>
              </w:rPr>
            </w:pPr>
            <w:r w:rsidRPr="00883399">
              <w:rPr>
                <w:snapToGrid w:val="0"/>
                <w:sz w:val="22"/>
              </w:rPr>
              <w:t>1.9</w:t>
            </w:r>
          </w:p>
        </w:tc>
      </w:tr>
      <w:tr w:rsidR="00C64E6B" w:rsidRPr="00883399" w14:paraId="613C8F0F" w14:textId="77777777" w:rsidTr="0031057E">
        <w:trPr>
          <w:cantSplit/>
        </w:trPr>
        <w:tc>
          <w:tcPr>
            <w:tcW w:w="588" w:type="dxa"/>
            <w:tcBorders>
              <w:top w:val="nil"/>
              <w:left w:val="nil"/>
              <w:right w:val="nil"/>
            </w:tcBorders>
          </w:tcPr>
          <w:p w14:paraId="06DE3580" w14:textId="77777777" w:rsidR="00C64E6B" w:rsidRPr="00883399" w:rsidRDefault="00C64E6B" w:rsidP="00C64E6B">
            <w:pPr>
              <w:pStyle w:val="Tabletext0"/>
              <w:rPr>
                <w:snapToGrid w:val="0"/>
                <w:sz w:val="22"/>
              </w:rPr>
            </w:pPr>
            <w:r w:rsidRPr="00883399">
              <w:rPr>
                <w:snapToGrid w:val="0"/>
                <w:sz w:val="22"/>
              </w:rPr>
              <w:t>61</w:t>
            </w:r>
          </w:p>
        </w:tc>
        <w:tc>
          <w:tcPr>
            <w:tcW w:w="3012" w:type="dxa"/>
            <w:tcBorders>
              <w:top w:val="nil"/>
              <w:left w:val="nil"/>
              <w:right w:val="nil"/>
            </w:tcBorders>
          </w:tcPr>
          <w:p w14:paraId="15B711AC" w14:textId="77777777" w:rsidR="00C64E6B" w:rsidRPr="00883399" w:rsidRDefault="00C64E6B" w:rsidP="00C64E6B">
            <w:pPr>
              <w:pStyle w:val="Tabletext0"/>
              <w:rPr>
                <w:snapToGrid w:val="0"/>
                <w:sz w:val="22"/>
              </w:rPr>
            </w:pPr>
            <w:r w:rsidRPr="00883399">
              <w:rPr>
                <w:snapToGrid w:val="0"/>
                <w:sz w:val="22"/>
              </w:rPr>
              <w:t>Biofuels other than those mentioned in items 59 and 60</w:t>
            </w:r>
          </w:p>
        </w:tc>
        <w:tc>
          <w:tcPr>
            <w:tcW w:w="1920" w:type="dxa"/>
            <w:tcBorders>
              <w:top w:val="nil"/>
              <w:left w:val="nil"/>
              <w:right w:val="nil"/>
            </w:tcBorders>
          </w:tcPr>
          <w:p w14:paraId="2B2DA05E" w14:textId="77777777" w:rsidR="00C64E6B" w:rsidRPr="00883399" w:rsidRDefault="00C64E6B" w:rsidP="00C64E6B">
            <w:pPr>
              <w:pStyle w:val="Tabletext0"/>
              <w:rPr>
                <w:snapToGrid w:val="0"/>
                <w:sz w:val="22"/>
              </w:rPr>
            </w:pPr>
            <w:r w:rsidRPr="00883399">
              <w:rPr>
                <w:snapToGrid w:val="0"/>
                <w:sz w:val="22"/>
              </w:rPr>
              <w:t>23.4</w:t>
            </w:r>
          </w:p>
        </w:tc>
        <w:tc>
          <w:tcPr>
            <w:tcW w:w="840" w:type="dxa"/>
            <w:tcBorders>
              <w:top w:val="nil"/>
              <w:left w:val="nil"/>
              <w:right w:val="nil"/>
            </w:tcBorders>
          </w:tcPr>
          <w:p w14:paraId="106E086C" w14:textId="77777777" w:rsidR="00C64E6B" w:rsidRPr="00883399" w:rsidRDefault="00C64E6B" w:rsidP="00C64E6B">
            <w:pPr>
              <w:pStyle w:val="Tabletext0"/>
              <w:rPr>
                <w:snapToGrid w:val="0"/>
                <w:sz w:val="22"/>
              </w:rPr>
            </w:pPr>
            <w:r w:rsidRPr="00883399">
              <w:rPr>
                <w:snapToGrid w:val="0"/>
                <w:sz w:val="22"/>
              </w:rPr>
              <w:t>0.0</w:t>
            </w:r>
          </w:p>
        </w:tc>
        <w:tc>
          <w:tcPr>
            <w:tcW w:w="970" w:type="dxa"/>
            <w:tcBorders>
              <w:top w:val="nil"/>
              <w:left w:val="nil"/>
              <w:right w:val="nil"/>
            </w:tcBorders>
          </w:tcPr>
          <w:p w14:paraId="6845DBA4" w14:textId="77777777" w:rsidR="00C64E6B" w:rsidRPr="00883399" w:rsidRDefault="00C64E6B" w:rsidP="00C64E6B">
            <w:pPr>
              <w:pStyle w:val="Tabletext0"/>
              <w:rPr>
                <w:snapToGrid w:val="0"/>
                <w:sz w:val="22"/>
              </w:rPr>
            </w:pPr>
            <w:r w:rsidRPr="00883399">
              <w:rPr>
                <w:snapToGrid w:val="0"/>
                <w:sz w:val="22"/>
              </w:rPr>
              <w:t>0.7</w:t>
            </w:r>
          </w:p>
        </w:tc>
        <w:tc>
          <w:tcPr>
            <w:tcW w:w="971" w:type="dxa"/>
            <w:tcBorders>
              <w:top w:val="nil"/>
              <w:left w:val="nil"/>
              <w:right w:val="nil"/>
            </w:tcBorders>
          </w:tcPr>
          <w:p w14:paraId="5B081C8F" w14:textId="77777777" w:rsidR="00C64E6B" w:rsidRPr="00883399" w:rsidRDefault="00C64E6B" w:rsidP="00C64E6B">
            <w:pPr>
              <w:pStyle w:val="Tabletext0"/>
              <w:rPr>
                <w:snapToGrid w:val="0"/>
                <w:sz w:val="22"/>
              </w:rPr>
            </w:pPr>
            <w:r w:rsidRPr="00883399">
              <w:rPr>
                <w:snapToGrid w:val="0"/>
                <w:sz w:val="22"/>
              </w:rPr>
              <w:t>1.9</w:t>
            </w:r>
          </w:p>
        </w:tc>
      </w:tr>
    </w:tbl>
    <w:p w14:paraId="6B492EFA" w14:textId="77777777" w:rsidR="00872C03" w:rsidRPr="00883399" w:rsidRDefault="00872C03" w:rsidP="00872C03">
      <w:pPr>
        <w:pStyle w:val="Note"/>
        <w:ind w:left="0"/>
        <w:rPr>
          <w:color w:val="000000"/>
          <w:sz w:val="16"/>
          <w:szCs w:val="16"/>
        </w:rPr>
      </w:pPr>
      <w:r w:rsidRPr="00883399">
        <w:rPr>
          <w:color w:val="000000"/>
          <w:sz w:val="16"/>
          <w:szCs w:val="16"/>
        </w:rPr>
        <w:t>Notes on the sources of the factors listed above can be found at Appendix 2A.</w:t>
      </w:r>
    </w:p>
    <w:p w14:paraId="719C28AD" w14:textId="77777777" w:rsidR="00872C03" w:rsidRPr="00883399" w:rsidRDefault="00872C03" w:rsidP="00872C03">
      <w:pPr>
        <w:pStyle w:val="Note"/>
        <w:ind w:left="0"/>
        <w:rPr>
          <w:color w:val="000000"/>
          <w:sz w:val="16"/>
          <w:szCs w:val="16"/>
        </w:rPr>
      </w:pPr>
    </w:p>
    <w:p w14:paraId="0ED1586E" w14:textId="0676E788" w:rsidR="00872C03" w:rsidRPr="00883399" w:rsidRDefault="00872C03" w:rsidP="00872C03">
      <w:pPr>
        <w:pStyle w:val="ActHead3"/>
        <w:pageBreakBefore/>
        <w:rPr>
          <w:rStyle w:val="CharDivText"/>
          <w:sz w:val="32"/>
        </w:rPr>
      </w:pPr>
      <w:bookmarkStart w:id="297" w:name="_Toc495652718"/>
      <w:r w:rsidRPr="00883399">
        <w:rPr>
          <w:rStyle w:val="CharDivNo"/>
          <w:sz w:val="32"/>
        </w:rPr>
        <w:lastRenderedPageBreak/>
        <w:t>Division 2.4.3</w:t>
      </w:r>
      <w:r w:rsidRPr="00883399">
        <w:rPr>
          <w:sz w:val="32"/>
        </w:rPr>
        <w:t>—</w:t>
      </w:r>
      <w:r w:rsidRPr="00883399">
        <w:rPr>
          <w:rStyle w:val="CharDivText"/>
          <w:sz w:val="32"/>
        </w:rPr>
        <w:t>Method 2—emissions of carbon dioxide from liquid fuels other than petroleum based oils or greases</w:t>
      </w:r>
      <w:bookmarkEnd w:id="294"/>
      <w:bookmarkEnd w:id="297"/>
    </w:p>
    <w:p w14:paraId="103A36E0"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As for solid and gaseous fuels, Method 1 applies national average factors to the estimation of emissions.  More accurate estimates of emissions at a facility level may be obtained by sampling and analysing fuels for qualities that affect emission levels when the fuel is combusted.  These qualities include the fuel’s carbon content which may vary from fuel to fuel, albeit reasonably marginally for standard commercial fuels. </w:t>
      </w:r>
    </w:p>
    <w:p w14:paraId="2457EAB8" w14:textId="77777777" w:rsidR="00872C03" w:rsidRPr="00883399" w:rsidRDefault="00872C03" w:rsidP="00872C03">
      <w:pPr>
        <w:pStyle w:val="Text"/>
      </w:pPr>
      <w:r w:rsidRPr="00883399">
        <w:rPr>
          <w:rFonts w:ascii="Arial" w:hAnsi="Arial" w:cs="Arial"/>
          <w:sz w:val="22"/>
          <w:szCs w:val="22"/>
        </w:rPr>
        <w:t>The list of liquid fuels for which emissions must be calculated is given in Table 2.4.3 (taken from Schedule 1 of the National Greenhouse and Energy Reporting Regulations 2008).</w:t>
      </w:r>
    </w:p>
    <w:p w14:paraId="5BD46949" w14:textId="77777777" w:rsidR="00872C03" w:rsidRPr="00883399" w:rsidRDefault="00872C03" w:rsidP="00872C03">
      <w:pPr>
        <w:pStyle w:val="ActHead4"/>
        <w:rPr>
          <w:sz w:val="28"/>
        </w:rPr>
      </w:pPr>
      <w:bookmarkStart w:id="298" w:name="_Toc423516801"/>
      <w:bookmarkStart w:id="299" w:name="_Toc495652719"/>
      <w:r w:rsidRPr="00883399">
        <w:rPr>
          <w:rStyle w:val="CharSubdNo"/>
          <w:sz w:val="28"/>
        </w:rPr>
        <w:t>Subdivision 2.4.3.1</w:t>
      </w:r>
      <w:r w:rsidRPr="00883399">
        <w:rPr>
          <w:sz w:val="28"/>
        </w:rPr>
        <w:t>—</w:t>
      </w:r>
      <w:r w:rsidRPr="00883399">
        <w:rPr>
          <w:rStyle w:val="CharSubdText"/>
          <w:sz w:val="28"/>
        </w:rPr>
        <w:t>Method 2—emissions of carbon dioxide from liquid fuels other than petroleum based oils or greases</w:t>
      </w:r>
      <w:bookmarkEnd w:id="298"/>
      <w:bookmarkEnd w:id="299"/>
      <w:r w:rsidRPr="00883399">
        <w:rPr>
          <w:rStyle w:val="CharSubdText"/>
          <w:sz w:val="28"/>
        </w:rPr>
        <w:t xml:space="preserve"> </w:t>
      </w:r>
    </w:p>
    <w:p w14:paraId="7ED80A8E" w14:textId="77777777" w:rsidR="00872C03" w:rsidRPr="00883399" w:rsidRDefault="00872C03" w:rsidP="00872C03">
      <w:pPr>
        <w:pStyle w:val="ActHead5"/>
        <w:rPr>
          <w:sz w:val="28"/>
        </w:rPr>
      </w:pPr>
      <w:bookmarkStart w:id="300" w:name="_Toc423516802"/>
      <w:bookmarkStart w:id="301" w:name="_Toc495652720"/>
      <w:r w:rsidRPr="00883399">
        <w:rPr>
          <w:rStyle w:val="CharSectno"/>
          <w:sz w:val="28"/>
        </w:rPr>
        <w:t>2.42</w:t>
      </w:r>
      <w:r w:rsidRPr="00883399">
        <w:rPr>
          <w:sz w:val="28"/>
        </w:rPr>
        <w:t xml:space="preserve">  Method 2—emissions of carbon dioxide from the combustion of liquid fuels</w:t>
      </w:r>
      <w:bookmarkEnd w:id="300"/>
      <w:bookmarkEnd w:id="301"/>
      <w:r w:rsidRPr="00883399">
        <w:rPr>
          <w:sz w:val="28"/>
        </w:rPr>
        <w:t> </w:t>
      </w:r>
    </w:p>
    <w:p w14:paraId="4119DF26" w14:textId="77777777" w:rsidR="00872C03" w:rsidRPr="00883399" w:rsidRDefault="00872C03" w:rsidP="00872C03">
      <w:pPr>
        <w:pStyle w:val="subsection"/>
        <w:rPr>
          <w:sz w:val="24"/>
        </w:rPr>
      </w:pPr>
      <w:r w:rsidRPr="00883399">
        <w:rPr>
          <w:sz w:val="24"/>
        </w:rPr>
        <w:tab/>
        <w:t>(1)</w:t>
      </w:r>
      <w:r w:rsidRPr="00883399">
        <w:rPr>
          <w:sz w:val="24"/>
        </w:rPr>
        <w:tab/>
        <w:t>For subparagraph 2.40(1)(a)(ii), method 2 for estimating emissions of carbon dioxide is:</w:t>
      </w:r>
    </w:p>
    <w:p w14:paraId="18928E7F" w14:textId="4E00C68E"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3BBC6C0C" wp14:editId="4689EA4A">
            <wp:extent cx="2422525" cy="415925"/>
            <wp:effectExtent l="1905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54"/>
                    <a:srcRect/>
                    <a:stretch>
                      <a:fillRect/>
                    </a:stretch>
                  </pic:blipFill>
                  <pic:spPr bwMode="auto">
                    <a:xfrm>
                      <a:off x="0" y="0"/>
                      <a:ext cx="2422525" cy="415925"/>
                    </a:xfrm>
                    <a:prstGeom prst="rect">
                      <a:avLst/>
                    </a:prstGeom>
                    <a:noFill/>
                    <a:ln w="9525">
                      <a:noFill/>
                      <a:miter lim="800000"/>
                      <a:headEnd/>
                      <a:tailEnd/>
                    </a:ln>
                  </pic:spPr>
                </pic:pic>
              </a:graphicData>
            </a:graphic>
          </wp:inline>
        </w:drawing>
      </w:r>
    </w:p>
    <w:p w14:paraId="497161DF" w14:textId="77777777" w:rsidR="00872C03" w:rsidRPr="00883399" w:rsidRDefault="00872C03" w:rsidP="00872C03">
      <w:pPr>
        <w:pStyle w:val="subsection2"/>
        <w:rPr>
          <w:sz w:val="24"/>
        </w:rPr>
      </w:pPr>
      <w:r w:rsidRPr="00883399">
        <w:rPr>
          <w:sz w:val="24"/>
        </w:rPr>
        <w:t>where:</w:t>
      </w:r>
    </w:p>
    <w:p w14:paraId="1DC489A5" w14:textId="77777777" w:rsidR="00872C03" w:rsidRPr="00883399" w:rsidRDefault="00872C03" w:rsidP="00872C03">
      <w:pPr>
        <w:pStyle w:val="Definition0"/>
        <w:rPr>
          <w:sz w:val="24"/>
        </w:rPr>
      </w:pPr>
      <w:r w:rsidRPr="00883399">
        <w:rPr>
          <w:b/>
          <w:i/>
          <w:sz w:val="24"/>
        </w:rPr>
        <w:t>E</w:t>
      </w:r>
      <w:r w:rsidRPr="00883399">
        <w:rPr>
          <w:rStyle w:val="charSubscript"/>
          <w:b/>
          <w:i/>
          <w:iCs/>
          <w:sz w:val="22"/>
        </w:rPr>
        <w:t>iCO</w:t>
      </w:r>
      <w:r w:rsidRPr="00883399">
        <w:rPr>
          <w:b/>
          <w:i/>
          <w:position w:val="-4"/>
          <w:sz w:val="24"/>
          <w:vertAlign w:val="subscript"/>
        </w:rPr>
        <w:t>2</w:t>
      </w:r>
      <w:r w:rsidRPr="00883399">
        <w:rPr>
          <w:b/>
          <w:i/>
          <w:sz w:val="24"/>
        </w:rPr>
        <w:t xml:space="preserve"> </w:t>
      </w:r>
      <w:r w:rsidRPr="00883399">
        <w:rPr>
          <w:sz w:val="24"/>
        </w:rPr>
        <w:t>is the emissions of carbon dioxide released from the combustion of fuel type (</w:t>
      </w:r>
      <w:r w:rsidRPr="00883399">
        <w:rPr>
          <w:b/>
          <w:i/>
          <w:sz w:val="24"/>
        </w:rPr>
        <w:t>i</w:t>
      </w:r>
      <w:r w:rsidRPr="00883399">
        <w:rPr>
          <w:sz w:val="24"/>
        </w:rPr>
        <w:t>) from the operation of the facility during the year measured in CO</w:t>
      </w:r>
      <w:r w:rsidRPr="00883399">
        <w:rPr>
          <w:rStyle w:val="charSubscript"/>
          <w:iCs/>
          <w:sz w:val="22"/>
        </w:rPr>
        <w:t>2</w:t>
      </w:r>
      <w:r w:rsidRPr="00883399">
        <w:rPr>
          <w:sz w:val="24"/>
        </w:rPr>
        <w:noBreakHyphen/>
        <w:t>e tonnes.</w:t>
      </w:r>
    </w:p>
    <w:p w14:paraId="17E14C6C" w14:textId="77777777" w:rsidR="00872C03" w:rsidRPr="00883399" w:rsidRDefault="00872C03" w:rsidP="00872C03">
      <w:pPr>
        <w:pStyle w:val="Definition0"/>
        <w:rPr>
          <w:sz w:val="24"/>
        </w:rPr>
      </w:pPr>
      <w:r w:rsidRPr="00883399">
        <w:rPr>
          <w:b/>
          <w:i/>
          <w:sz w:val="24"/>
        </w:rPr>
        <w:t>Q</w:t>
      </w:r>
      <w:r w:rsidRPr="00883399">
        <w:rPr>
          <w:b/>
          <w:i/>
          <w:sz w:val="24"/>
          <w:vertAlign w:val="subscript"/>
        </w:rPr>
        <w:t>i</w:t>
      </w:r>
      <w:r w:rsidRPr="00883399">
        <w:rPr>
          <w:b/>
          <w:i/>
          <w:sz w:val="24"/>
        </w:rPr>
        <w:t xml:space="preserve"> </w:t>
      </w:r>
      <w:r w:rsidRPr="00883399">
        <w:rPr>
          <w:sz w:val="24"/>
        </w:rPr>
        <w:t>is the quantity of fuel type (</w:t>
      </w:r>
      <w:r w:rsidRPr="00883399">
        <w:rPr>
          <w:b/>
          <w:i/>
          <w:sz w:val="24"/>
        </w:rPr>
        <w:t>i</w:t>
      </w:r>
      <w:r w:rsidRPr="00883399">
        <w:rPr>
          <w:sz w:val="24"/>
        </w:rPr>
        <w:t>) combusted from the operation of the facility during the year measured in kilolitres .</w:t>
      </w:r>
    </w:p>
    <w:p w14:paraId="393D77AB" w14:textId="77777777" w:rsidR="00872C03" w:rsidRPr="00883399" w:rsidRDefault="00872C03" w:rsidP="00872C03">
      <w:pPr>
        <w:pStyle w:val="Definition0"/>
        <w:rPr>
          <w:sz w:val="24"/>
        </w:rPr>
      </w:pPr>
      <w:r w:rsidRPr="00883399">
        <w:rPr>
          <w:b/>
          <w:bCs/>
          <w:i/>
          <w:iCs/>
          <w:sz w:val="24"/>
        </w:rPr>
        <w:t>EC</w:t>
      </w:r>
      <w:r w:rsidRPr="00883399">
        <w:rPr>
          <w:rStyle w:val="charsubscript0"/>
          <w:b/>
          <w:bCs/>
          <w:i/>
          <w:iCs/>
        </w:rPr>
        <w:t xml:space="preserve">i </w:t>
      </w:r>
      <w:r w:rsidRPr="00883399">
        <w:rPr>
          <w:sz w:val="24"/>
        </w:rPr>
        <w:t xml:space="preserve">is the energy content factor of fuel type </w:t>
      </w:r>
      <w:r w:rsidRPr="00883399">
        <w:rPr>
          <w:b/>
          <w:i/>
          <w:sz w:val="24"/>
        </w:rPr>
        <w:t xml:space="preserve">(i) </w:t>
      </w:r>
      <w:r w:rsidRPr="00883399">
        <w:rPr>
          <w:sz w:val="24"/>
        </w:rPr>
        <w:t xml:space="preserve">estimated under section 6.5. </w:t>
      </w:r>
    </w:p>
    <w:p w14:paraId="0624A9F3" w14:textId="77777777" w:rsidR="00872C03" w:rsidRPr="00883399" w:rsidRDefault="00872C03" w:rsidP="00872C03">
      <w:pPr>
        <w:pStyle w:val="Definition0"/>
        <w:rPr>
          <w:sz w:val="24"/>
        </w:rPr>
      </w:pPr>
      <w:r w:rsidRPr="00883399">
        <w:rPr>
          <w:b/>
          <w:i/>
          <w:sz w:val="24"/>
        </w:rPr>
        <w:t>EF</w:t>
      </w:r>
      <w:r w:rsidRPr="00883399">
        <w:rPr>
          <w:b/>
          <w:i/>
          <w:sz w:val="24"/>
          <w:vertAlign w:val="subscript"/>
        </w:rPr>
        <w:t>iCO</w:t>
      </w:r>
      <w:r w:rsidRPr="00883399">
        <w:rPr>
          <w:b/>
          <w:i/>
          <w:position w:val="-4"/>
          <w:sz w:val="24"/>
          <w:vertAlign w:val="subscript"/>
        </w:rPr>
        <w:t>2</w:t>
      </w:r>
      <w:r w:rsidRPr="00883399">
        <w:rPr>
          <w:b/>
          <w:i/>
          <w:sz w:val="24"/>
          <w:vertAlign w:val="subscript"/>
        </w:rPr>
        <w:t>oxec</w:t>
      </w:r>
      <w:r w:rsidRPr="00883399">
        <w:rPr>
          <w:b/>
          <w:i/>
          <w:sz w:val="24"/>
        </w:rPr>
        <w:t xml:space="preserve"> </w:t>
      </w:r>
      <w:r w:rsidRPr="00883399">
        <w:rPr>
          <w:sz w:val="24"/>
        </w:rPr>
        <w:t>is the carbon dioxide emission factor for fuel type (</w:t>
      </w:r>
      <w:r w:rsidRPr="00883399">
        <w:rPr>
          <w:b/>
          <w:i/>
          <w:sz w:val="24"/>
        </w:rPr>
        <w:t>i</w:t>
      </w:r>
      <w:r w:rsidRPr="00883399">
        <w:rPr>
          <w:sz w:val="24"/>
        </w:rPr>
        <w:t>) measured in kilograms of CO</w:t>
      </w:r>
      <w:r w:rsidRPr="00883399">
        <w:rPr>
          <w:rStyle w:val="charSubscript"/>
          <w:sz w:val="22"/>
        </w:rPr>
        <w:t>2</w:t>
      </w:r>
      <w:r w:rsidRPr="00883399">
        <w:rPr>
          <w:sz w:val="24"/>
        </w:rPr>
        <w:noBreakHyphen/>
        <w:t>e per gigajoule.</w:t>
      </w:r>
    </w:p>
    <w:p w14:paraId="4798860D" w14:textId="77777777" w:rsidR="00872C03" w:rsidRPr="00883399" w:rsidRDefault="00872C03" w:rsidP="00872C03">
      <w:pPr>
        <w:pStyle w:val="Definition0"/>
        <w:rPr>
          <w:sz w:val="24"/>
        </w:rPr>
      </w:pPr>
      <w:r w:rsidRPr="00883399">
        <w:rPr>
          <w:b/>
          <w:i/>
          <w:sz w:val="24"/>
        </w:rPr>
        <w:lastRenderedPageBreak/>
        <w:t xml:space="preserve">γ </w:t>
      </w:r>
      <w:r w:rsidRPr="00883399">
        <w:rPr>
          <w:sz w:val="24"/>
        </w:rPr>
        <w:t>is the factor 1.861 × 10</w:t>
      </w:r>
      <w:r w:rsidRPr="00883399">
        <w:rPr>
          <w:sz w:val="24"/>
          <w:vertAlign w:val="superscript"/>
        </w:rPr>
        <w:noBreakHyphen/>
        <w:t xml:space="preserve">3 </w:t>
      </w:r>
      <w:r w:rsidRPr="00883399">
        <w:rPr>
          <w:sz w:val="24"/>
        </w:rPr>
        <w:t>for converting a quantity of carbon dioxide from cubic metres at standard conditions of pressure and temperature to CO</w:t>
      </w:r>
      <w:r w:rsidRPr="00883399">
        <w:rPr>
          <w:sz w:val="24"/>
          <w:vertAlign w:val="subscript"/>
        </w:rPr>
        <w:t>2</w:t>
      </w:r>
      <w:r w:rsidRPr="00883399">
        <w:rPr>
          <w:sz w:val="24"/>
        </w:rPr>
        <w:noBreakHyphen/>
        <w:t>e tonnes.</w:t>
      </w:r>
    </w:p>
    <w:p w14:paraId="415B7218" w14:textId="77777777" w:rsidR="00872C03" w:rsidRPr="00883399" w:rsidRDefault="00872C03" w:rsidP="00872C03">
      <w:pPr>
        <w:pStyle w:val="Definition0"/>
        <w:rPr>
          <w:sz w:val="24"/>
        </w:rPr>
      </w:pPr>
      <w:r w:rsidRPr="00883399">
        <w:rPr>
          <w:b/>
          <w:i/>
          <w:sz w:val="24"/>
        </w:rPr>
        <w:t>RCCS</w:t>
      </w:r>
      <w:r w:rsidRPr="00883399">
        <w:rPr>
          <w:b/>
          <w:i/>
          <w:sz w:val="24"/>
          <w:vertAlign w:val="subscript"/>
        </w:rPr>
        <w:t>CO</w:t>
      </w:r>
      <w:r w:rsidRPr="00883399">
        <w:rPr>
          <w:b/>
          <w:i/>
          <w:position w:val="-4"/>
          <w:sz w:val="24"/>
          <w:vertAlign w:val="subscript"/>
        </w:rPr>
        <w:t>2</w:t>
      </w:r>
      <w:r w:rsidRPr="00883399">
        <w:rPr>
          <w:b/>
          <w:i/>
          <w:sz w:val="24"/>
          <w:vertAlign w:val="subscript"/>
        </w:rPr>
        <w:t xml:space="preserve"> </w:t>
      </w:r>
      <w:r w:rsidRPr="00883399">
        <w:rPr>
          <w:sz w:val="24"/>
        </w:rPr>
        <w:t>is carbon dioxide captured for permanent storage measured in cubic metres in accordance with Division 1.2.3.</w:t>
      </w:r>
    </w:p>
    <w:p w14:paraId="6C34E699" w14:textId="77777777" w:rsidR="00872C03" w:rsidRPr="00883399" w:rsidRDefault="00872C03" w:rsidP="00872C03">
      <w:pPr>
        <w:pStyle w:val="subsection"/>
        <w:rPr>
          <w:sz w:val="24"/>
        </w:rPr>
      </w:pPr>
      <w:r w:rsidRPr="00883399">
        <w:rPr>
          <w:sz w:val="24"/>
        </w:rPr>
        <w:tab/>
        <w:t>(2)</w:t>
      </w:r>
      <w:r w:rsidRPr="00883399">
        <w:rPr>
          <w:sz w:val="24"/>
        </w:rPr>
        <w:tab/>
        <w:t>Method 2 requires liquid fuels to be sampled and analysed in accordance with the requirements in sections 2.44, 2.45 and 2.46.</w:t>
      </w:r>
    </w:p>
    <w:p w14:paraId="447F5A4B" w14:textId="776BA4FC" w:rsidR="00872C03" w:rsidRPr="00883399" w:rsidRDefault="00872C03" w:rsidP="00872C03">
      <w:pPr>
        <w:pStyle w:val="ActHead5"/>
        <w:rPr>
          <w:sz w:val="28"/>
        </w:rPr>
      </w:pPr>
      <w:bookmarkStart w:id="302" w:name="_Toc423516803"/>
      <w:bookmarkStart w:id="303" w:name="_Toc495652721"/>
      <w:r w:rsidRPr="00883399">
        <w:rPr>
          <w:rStyle w:val="CharSectno"/>
          <w:sz w:val="28"/>
        </w:rPr>
        <w:t>2.43</w:t>
      </w:r>
      <w:r w:rsidRPr="00883399">
        <w:rPr>
          <w:sz w:val="28"/>
        </w:rPr>
        <w:t xml:space="preserve">  Calculation of emission factors from combustion of liquid fuel</w:t>
      </w:r>
      <w:bookmarkEnd w:id="302"/>
      <w:bookmarkEnd w:id="303"/>
    </w:p>
    <w:p w14:paraId="64B7B980" w14:textId="77777777" w:rsidR="00872C03" w:rsidRPr="00883399" w:rsidRDefault="00872C03" w:rsidP="00872C03">
      <w:pPr>
        <w:pStyle w:val="subsection"/>
        <w:rPr>
          <w:sz w:val="24"/>
        </w:rPr>
      </w:pPr>
      <w:r w:rsidRPr="00883399">
        <w:rPr>
          <w:sz w:val="24"/>
        </w:rPr>
        <w:tab/>
        <w:t>(1)</w:t>
      </w:r>
      <w:r w:rsidRPr="00883399">
        <w:rPr>
          <w:sz w:val="24"/>
        </w:rPr>
        <w:tab/>
        <w:t xml:space="preserve">For section 2.42, the emission factor </w:t>
      </w:r>
      <w:r w:rsidRPr="00883399">
        <w:rPr>
          <w:b/>
          <w:i/>
          <w:sz w:val="24"/>
        </w:rPr>
        <w:t>EF</w:t>
      </w:r>
      <w:r w:rsidRPr="00883399">
        <w:rPr>
          <w:b/>
          <w:i/>
          <w:sz w:val="24"/>
          <w:vertAlign w:val="subscript"/>
        </w:rPr>
        <w:t>i,CO2,ox,ec</w:t>
      </w:r>
      <w:r w:rsidRPr="00883399">
        <w:rPr>
          <w:sz w:val="24"/>
        </w:rPr>
        <w:t xml:space="preserve"> from the combustion of fuel type (</w:t>
      </w:r>
      <w:r w:rsidRPr="00883399">
        <w:rPr>
          <w:b/>
          <w:i/>
          <w:sz w:val="24"/>
        </w:rPr>
        <w:t>i</w:t>
      </w:r>
      <w:r w:rsidRPr="00883399">
        <w:rPr>
          <w:sz w:val="24"/>
        </w:rPr>
        <w:t xml:space="preserve">) must allow for oxidation effects and must first estimate </w:t>
      </w:r>
      <w:r w:rsidRPr="00883399">
        <w:rPr>
          <w:b/>
          <w:i/>
          <w:sz w:val="24"/>
        </w:rPr>
        <w:t>EF</w:t>
      </w:r>
      <w:r w:rsidRPr="00883399">
        <w:rPr>
          <w:b/>
          <w:i/>
          <w:sz w:val="24"/>
          <w:vertAlign w:val="subscript"/>
        </w:rPr>
        <w:t>i,co2,ox,kg</w:t>
      </w:r>
      <w:r w:rsidRPr="00883399">
        <w:rPr>
          <w:i/>
          <w:sz w:val="24"/>
        </w:rPr>
        <w:t xml:space="preserve"> </w:t>
      </w:r>
      <w:r w:rsidRPr="00883399">
        <w:rPr>
          <w:sz w:val="24"/>
        </w:rPr>
        <w:t>in accordance with the following formula:</w:t>
      </w:r>
    </w:p>
    <w:p w14:paraId="77543D90" w14:textId="5D671251"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33EE023C" wp14:editId="4CD87A1C">
            <wp:extent cx="2305050" cy="409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05050" cy="409575"/>
                    </a:xfrm>
                    <a:prstGeom prst="rect">
                      <a:avLst/>
                    </a:prstGeom>
                    <a:noFill/>
                    <a:ln>
                      <a:noFill/>
                    </a:ln>
                  </pic:spPr>
                </pic:pic>
              </a:graphicData>
            </a:graphic>
          </wp:inline>
        </w:drawing>
      </w:r>
    </w:p>
    <w:p w14:paraId="75CAA3E3" w14:textId="77777777" w:rsidR="00872C03" w:rsidRPr="00883399" w:rsidRDefault="00872C03" w:rsidP="00872C03">
      <w:pPr>
        <w:pStyle w:val="subsection2"/>
        <w:rPr>
          <w:sz w:val="24"/>
        </w:rPr>
      </w:pPr>
      <w:r w:rsidRPr="00883399">
        <w:rPr>
          <w:sz w:val="24"/>
        </w:rPr>
        <w:t>where:</w:t>
      </w:r>
    </w:p>
    <w:p w14:paraId="79FE2EED" w14:textId="77777777" w:rsidR="00872C03" w:rsidRPr="00883399" w:rsidRDefault="00872C03" w:rsidP="00872C03">
      <w:pPr>
        <w:pStyle w:val="Definition0"/>
        <w:rPr>
          <w:sz w:val="24"/>
        </w:rPr>
      </w:pPr>
      <w:r w:rsidRPr="00883399">
        <w:rPr>
          <w:b/>
          <w:i/>
          <w:sz w:val="24"/>
        </w:rPr>
        <w:t>C</w:t>
      </w:r>
      <w:r w:rsidRPr="00883399">
        <w:rPr>
          <w:b/>
          <w:i/>
          <w:sz w:val="24"/>
          <w:vertAlign w:val="subscript"/>
        </w:rPr>
        <w:t>a</w:t>
      </w:r>
      <w:r w:rsidRPr="00883399">
        <w:rPr>
          <w:b/>
          <w:i/>
          <w:sz w:val="24"/>
        </w:rPr>
        <w:t xml:space="preserve"> </w:t>
      </w:r>
      <w:r w:rsidRPr="00883399">
        <w:rPr>
          <w:sz w:val="24"/>
        </w:rPr>
        <w:t>is the carbon in the fuel expressed as a percentage of the mass of the fuel as received, as sampled, or as combusted, as the case may be.</w:t>
      </w:r>
    </w:p>
    <w:p w14:paraId="275B36DB" w14:textId="77777777" w:rsidR="00872C03" w:rsidRPr="00883399" w:rsidRDefault="00872C03" w:rsidP="00872C03">
      <w:pPr>
        <w:pStyle w:val="Definition0"/>
        <w:rPr>
          <w:sz w:val="24"/>
        </w:rPr>
      </w:pPr>
      <w:r w:rsidRPr="00883399">
        <w:rPr>
          <w:b/>
          <w:i/>
          <w:sz w:val="24"/>
        </w:rPr>
        <w:t>OF</w:t>
      </w:r>
      <w:r w:rsidRPr="00883399">
        <w:rPr>
          <w:b/>
          <w:i/>
          <w:sz w:val="24"/>
          <w:vertAlign w:val="subscript"/>
        </w:rPr>
        <w:t>i</w:t>
      </w:r>
      <w:r w:rsidRPr="00883399">
        <w:rPr>
          <w:b/>
          <w:i/>
          <w:sz w:val="24"/>
        </w:rPr>
        <w:t xml:space="preserve"> </w:t>
      </w:r>
      <w:r w:rsidRPr="00883399">
        <w:rPr>
          <w:sz w:val="24"/>
        </w:rPr>
        <w:t>is the oxidation factor 1.0 applicable to liquid fuels.</w:t>
      </w:r>
    </w:p>
    <w:p w14:paraId="715433AA" w14:textId="77777777" w:rsidR="00872C03" w:rsidRPr="00883399" w:rsidRDefault="00872C03" w:rsidP="00872C03">
      <w:pPr>
        <w:pStyle w:val="notetext"/>
        <w:rPr>
          <w:sz w:val="20"/>
        </w:rPr>
      </w:pPr>
      <w:r w:rsidRPr="00883399">
        <w:rPr>
          <w:sz w:val="20"/>
        </w:rPr>
        <w:t>Note:</w:t>
      </w:r>
      <w:r w:rsidRPr="00883399">
        <w:rPr>
          <w:sz w:val="20"/>
        </w:rPr>
        <w:tab/>
        <w:t>3.664 converts tonnes of carbon to tonnes of carbon dioxide.</w:t>
      </w:r>
    </w:p>
    <w:p w14:paraId="464F053B" w14:textId="77777777" w:rsidR="00872C03" w:rsidRPr="00883399" w:rsidRDefault="00872C03" w:rsidP="00872C03">
      <w:pPr>
        <w:pStyle w:val="subsection"/>
        <w:rPr>
          <w:sz w:val="24"/>
        </w:rPr>
      </w:pPr>
      <w:r w:rsidRPr="00883399">
        <w:rPr>
          <w:sz w:val="24"/>
        </w:rPr>
        <w:tab/>
        <w:t>(2)</w:t>
      </w:r>
      <w:r w:rsidRPr="00883399">
        <w:rPr>
          <w:sz w:val="24"/>
        </w:rPr>
        <w:tab/>
        <w:t xml:space="preserve">The emission factor derived from the calculation in subsection (1), must be expressed in kilograms of carbon dioxide per gigajoule calculated using the following formula: </w:t>
      </w:r>
    </w:p>
    <w:p w14:paraId="608887AA" w14:textId="2EA87356"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27D1547F" wp14:editId="24A35B30">
            <wp:extent cx="2295525" cy="4572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95525" cy="457200"/>
                    </a:xfrm>
                    <a:prstGeom prst="rect">
                      <a:avLst/>
                    </a:prstGeom>
                    <a:noFill/>
                    <a:ln>
                      <a:noFill/>
                    </a:ln>
                  </pic:spPr>
                </pic:pic>
              </a:graphicData>
            </a:graphic>
          </wp:inline>
        </w:drawing>
      </w:r>
    </w:p>
    <w:p w14:paraId="70C97FCA" w14:textId="77777777" w:rsidR="00872C03" w:rsidRPr="00883399" w:rsidRDefault="00872C03" w:rsidP="00872C03">
      <w:pPr>
        <w:pStyle w:val="Definition0"/>
        <w:rPr>
          <w:sz w:val="24"/>
        </w:rPr>
      </w:pPr>
      <w:r w:rsidRPr="00883399">
        <w:rPr>
          <w:sz w:val="24"/>
        </w:rPr>
        <w:t>where:</w:t>
      </w:r>
    </w:p>
    <w:p w14:paraId="7D384BF6" w14:textId="77777777" w:rsidR="00872C03" w:rsidRPr="00883399" w:rsidRDefault="00872C03" w:rsidP="00872C03">
      <w:pPr>
        <w:pStyle w:val="Definition0"/>
        <w:rPr>
          <w:sz w:val="24"/>
        </w:rPr>
      </w:pPr>
      <w:r w:rsidRPr="00883399">
        <w:rPr>
          <w:b/>
          <w:bCs/>
          <w:i/>
          <w:iCs/>
          <w:sz w:val="24"/>
        </w:rPr>
        <w:t>EC</w:t>
      </w:r>
      <w:r w:rsidRPr="00883399">
        <w:rPr>
          <w:rStyle w:val="charsubscript0"/>
          <w:b/>
          <w:bCs/>
          <w:i/>
          <w:iCs/>
        </w:rPr>
        <w:t xml:space="preserve">i </w:t>
      </w:r>
      <w:r w:rsidRPr="00883399">
        <w:rPr>
          <w:sz w:val="24"/>
        </w:rPr>
        <w:t xml:space="preserve">is the energy content factor of fuel type </w:t>
      </w:r>
      <w:r w:rsidRPr="00883399">
        <w:rPr>
          <w:b/>
          <w:i/>
          <w:sz w:val="24"/>
        </w:rPr>
        <w:t xml:space="preserve">(i) </w:t>
      </w:r>
      <w:r w:rsidRPr="00883399">
        <w:rPr>
          <w:sz w:val="24"/>
        </w:rPr>
        <w:t>estimated under subsection 2.42(1).</w:t>
      </w:r>
    </w:p>
    <w:p w14:paraId="73C705A3" w14:textId="77777777" w:rsidR="00872C03" w:rsidRPr="00883399" w:rsidRDefault="00872C03" w:rsidP="00872C03">
      <w:pPr>
        <w:pStyle w:val="Definition0"/>
        <w:rPr>
          <w:sz w:val="24"/>
        </w:rPr>
      </w:pPr>
      <w:r w:rsidRPr="00883399">
        <w:rPr>
          <w:b/>
          <w:i/>
          <w:sz w:val="24"/>
        </w:rPr>
        <w:t>C</w:t>
      </w:r>
      <w:r w:rsidRPr="00883399">
        <w:rPr>
          <w:b/>
          <w:i/>
          <w:sz w:val="24"/>
          <w:vertAlign w:val="subscript"/>
        </w:rPr>
        <w:t xml:space="preserve">i </w:t>
      </w:r>
      <w:r w:rsidRPr="00883399">
        <w:rPr>
          <w:sz w:val="24"/>
        </w:rPr>
        <w:t>is the density of the fuel expressed in kilograms of fuel per thousand litres as obtained using a Standard set out in section 2.45.</w:t>
      </w:r>
    </w:p>
    <w:p w14:paraId="3530465C" w14:textId="79E5F5E0" w:rsidR="00872C03" w:rsidRPr="00883399" w:rsidRDefault="00872C03" w:rsidP="00872C03">
      <w:pPr>
        <w:pStyle w:val="ActHead4"/>
        <w:rPr>
          <w:rStyle w:val="CharSubdText"/>
          <w:sz w:val="28"/>
        </w:rPr>
      </w:pPr>
      <w:bookmarkStart w:id="304" w:name="_Toc423516804"/>
      <w:bookmarkStart w:id="305" w:name="_Toc495652722"/>
      <w:r w:rsidRPr="00883399">
        <w:rPr>
          <w:rStyle w:val="CharSubdNo"/>
          <w:sz w:val="28"/>
        </w:rPr>
        <w:t>Subdivision 2.4.3.2</w:t>
      </w:r>
      <w:r w:rsidRPr="00883399">
        <w:rPr>
          <w:sz w:val="28"/>
        </w:rPr>
        <w:t>—</w:t>
      </w:r>
      <w:r w:rsidRPr="00883399">
        <w:rPr>
          <w:rStyle w:val="CharSubdText"/>
          <w:sz w:val="28"/>
        </w:rPr>
        <w:t>Sampling and analysis</w:t>
      </w:r>
      <w:bookmarkEnd w:id="304"/>
      <w:bookmarkEnd w:id="305"/>
    </w:p>
    <w:p w14:paraId="180812E9"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Under Method 2, representative and unbiased samples of fuels consumed must be obtained for analysis.  Analysis of the fuels for carbon, energy, ash or moisture content must be done in accordance with listed Australian or international standards.  </w:t>
      </w:r>
      <w:r w:rsidRPr="00883399">
        <w:rPr>
          <w:rFonts w:ascii="Arial" w:hAnsi="Arial" w:cs="Arial"/>
          <w:sz w:val="22"/>
          <w:szCs w:val="22"/>
        </w:rPr>
        <w:lastRenderedPageBreak/>
        <w:t xml:space="preserve">A listing of applicable standards is given in Section 2.45.  Examples of equivalent standards include those produced by AS, NZ, ASTM, ISO and CEN standards organisations. The standards must be in force on the date stated in section 1.9.  </w:t>
      </w:r>
    </w:p>
    <w:p w14:paraId="08CA462C"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Unlike solid and gaseous fuels, standards for analysis have not been listed for a number of fuel types, reflecting the apparent absence of such standards particularly for volatile fuels.  It is considered that for many liquid fuels that the use of Method 2 facility-specific emission factors would be likely to bring only marginal benefits in any case.    </w:t>
      </w:r>
    </w:p>
    <w:p w14:paraId="52F2AB13"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A NATA (National Association of Testing Authorities) accredited laboratory or similar laboratory complying with ISO 17025 should be used to conduct the analysis.  </w:t>
      </w:r>
    </w:p>
    <w:p w14:paraId="4299CE5F"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Minimum frequencies of analysis are also provided for in section 2.46. </w:t>
      </w:r>
    </w:p>
    <w:p w14:paraId="218EDD84" w14:textId="588BC5ED" w:rsidR="00872C03" w:rsidRPr="00883399" w:rsidRDefault="00872C03" w:rsidP="00872C03">
      <w:pPr>
        <w:pStyle w:val="ActHead5"/>
        <w:rPr>
          <w:sz w:val="28"/>
        </w:rPr>
      </w:pPr>
      <w:bookmarkStart w:id="306" w:name="_Toc423516805"/>
      <w:bookmarkStart w:id="307" w:name="_Toc495652723"/>
      <w:r w:rsidRPr="00883399">
        <w:rPr>
          <w:rStyle w:val="CharSectno"/>
          <w:sz w:val="28"/>
        </w:rPr>
        <w:t>2.44</w:t>
      </w:r>
      <w:r w:rsidRPr="00883399">
        <w:rPr>
          <w:sz w:val="28"/>
        </w:rPr>
        <w:t xml:space="preserve">  General requirements for sampling under method 2</w:t>
      </w:r>
      <w:bookmarkEnd w:id="306"/>
      <w:bookmarkEnd w:id="307"/>
    </w:p>
    <w:p w14:paraId="00D4E3FA" w14:textId="77777777" w:rsidR="00872C03" w:rsidRPr="00883399" w:rsidRDefault="00872C03" w:rsidP="00872C03">
      <w:pPr>
        <w:pStyle w:val="subsection"/>
        <w:rPr>
          <w:sz w:val="24"/>
        </w:rPr>
      </w:pPr>
      <w:r w:rsidRPr="00883399">
        <w:rPr>
          <w:sz w:val="24"/>
        </w:rPr>
        <w:tab/>
        <w:t>(1)</w:t>
      </w:r>
      <w:r w:rsidRPr="00883399">
        <w:rPr>
          <w:sz w:val="24"/>
        </w:rPr>
        <w:tab/>
        <w:t>A sample of the liquid fuel must be derived from a composite of amounts of the liquid fuel.</w:t>
      </w:r>
    </w:p>
    <w:p w14:paraId="023AAB31" w14:textId="77777777" w:rsidR="00872C03" w:rsidRPr="00883399" w:rsidRDefault="00872C03" w:rsidP="00872C03">
      <w:pPr>
        <w:pStyle w:val="subsection"/>
        <w:rPr>
          <w:sz w:val="24"/>
        </w:rPr>
      </w:pPr>
      <w:r w:rsidRPr="00883399">
        <w:rPr>
          <w:sz w:val="24"/>
        </w:rPr>
        <w:tab/>
        <w:t>(2)</w:t>
      </w:r>
      <w:r w:rsidRPr="00883399">
        <w:rPr>
          <w:sz w:val="24"/>
        </w:rPr>
        <w:tab/>
        <w:t>The samples must be collected on enough occasions to produce a representative sample.</w:t>
      </w:r>
    </w:p>
    <w:p w14:paraId="1FC62137" w14:textId="77777777" w:rsidR="00872C03" w:rsidRPr="00883399" w:rsidRDefault="00872C03" w:rsidP="00872C03">
      <w:pPr>
        <w:pStyle w:val="subsection"/>
        <w:rPr>
          <w:sz w:val="24"/>
        </w:rPr>
      </w:pPr>
      <w:r w:rsidRPr="00883399">
        <w:rPr>
          <w:sz w:val="24"/>
        </w:rPr>
        <w:tab/>
        <w:t>(3)</w:t>
      </w:r>
      <w:r w:rsidRPr="00883399">
        <w:rPr>
          <w:sz w:val="24"/>
        </w:rPr>
        <w:tab/>
        <w:t>The samples must also be free of bias so that any estimates are neither over nor under estimates of the true value.</w:t>
      </w:r>
    </w:p>
    <w:p w14:paraId="0EF4F29E" w14:textId="77777777" w:rsidR="00872C03" w:rsidRPr="00883399" w:rsidRDefault="00872C03" w:rsidP="00872C03">
      <w:pPr>
        <w:pStyle w:val="subsection"/>
        <w:rPr>
          <w:sz w:val="24"/>
        </w:rPr>
      </w:pPr>
      <w:r w:rsidRPr="00883399">
        <w:rPr>
          <w:sz w:val="24"/>
        </w:rPr>
        <w:tab/>
        <w:t>(4)</w:t>
      </w:r>
      <w:r w:rsidRPr="00883399">
        <w:rPr>
          <w:sz w:val="24"/>
        </w:rPr>
        <w:tab/>
        <w:t>Bias must be tested in accordance with an appropriate standard (if any).</w:t>
      </w:r>
    </w:p>
    <w:p w14:paraId="660C41FE" w14:textId="77777777" w:rsidR="00872C03" w:rsidRPr="00883399" w:rsidRDefault="00872C03" w:rsidP="00872C03">
      <w:pPr>
        <w:pStyle w:val="subsection"/>
        <w:rPr>
          <w:sz w:val="24"/>
        </w:rPr>
      </w:pPr>
      <w:r w:rsidRPr="00883399">
        <w:rPr>
          <w:sz w:val="24"/>
        </w:rPr>
        <w:tab/>
        <w:t>(5)</w:t>
      </w:r>
      <w:r w:rsidRPr="00883399">
        <w:rPr>
          <w:sz w:val="24"/>
        </w:rPr>
        <w:tab/>
        <w:t>The value obtained from the samples must only be used for the delivery period or consignment of the liquid fuel for which it was intended to be representative.</w:t>
      </w:r>
    </w:p>
    <w:p w14:paraId="7F4CA45E" w14:textId="7CEA23C9" w:rsidR="00872C03" w:rsidRPr="00883399" w:rsidRDefault="00872C03" w:rsidP="00872C03">
      <w:pPr>
        <w:pStyle w:val="ActHead5"/>
        <w:rPr>
          <w:sz w:val="28"/>
        </w:rPr>
      </w:pPr>
      <w:bookmarkStart w:id="308" w:name="_Toc423516806"/>
      <w:bookmarkStart w:id="309" w:name="_Toc495652724"/>
      <w:r w:rsidRPr="00883399">
        <w:rPr>
          <w:rStyle w:val="CharSectno"/>
          <w:sz w:val="28"/>
        </w:rPr>
        <w:t>2.45</w:t>
      </w:r>
      <w:r w:rsidRPr="00883399">
        <w:rPr>
          <w:sz w:val="28"/>
        </w:rPr>
        <w:t xml:space="preserve">  Standards for analysing samples of liquid fuels</w:t>
      </w:r>
      <w:bookmarkEnd w:id="308"/>
      <w:bookmarkEnd w:id="309"/>
    </w:p>
    <w:p w14:paraId="3A4AB2AB" w14:textId="77777777" w:rsidR="00872C03" w:rsidRPr="00883399" w:rsidRDefault="00872C03" w:rsidP="00872C03">
      <w:pPr>
        <w:pStyle w:val="subsection"/>
        <w:rPr>
          <w:sz w:val="24"/>
        </w:rPr>
      </w:pPr>
      <w:r w:rsidRPr="00883399">
        <w:rPr>
          <w:sz w:val="24"/>
        </w:rPr>
        <w:tab/>
        <w:t>(1)</w:t>
      </w:r>
      <w:r w:rsidRPr="00883399">
        <w:rPr>
          <w:sz w:val="24"/>
        </w:rPr>
        <w:tab/>
        <w:t>Samples of liquid fuel of a type mentioned in column 2 of an item in the following table must be analysed in accordance with a standard (if any) mentioned in:</w:t>
      </w:r>
    </w:p>
    <w:p w14:paraId="5EB52229" w14:textId="77777777" w:rsidR="00872C03" w:rsidRPr="00883399" w:rsidRDefault="00872C03" w:rsidP="00872C03">
      <w:pPr>
        <w:pStyle w:val="paragraph"/>
        <w:rPr>
          <w:sz w:val="24"/>
        </w:rPr>
      </w:pPr>
      <w:r w:rsidRPr="00883399">
        <w:rPr>
          <w:sz w:val="24"/>
        </w:rPr>
        <w:tab/>
        <w:t>(a)</w:t>
      </w:r>
      <w:r w:rsidRPr="00883399">
        <w:rPr>
          <w:sz w:val="24"/>
        </w:rPr>
        <w:tab/>
        <w:t>for energy content analysis—column 3 for that item; and</w:t>
      </w:r>
    </w:p>
    <w:p w14:paraId="65EC6924" w14:textId="77777777" w:rsidR="00872C03" w:rsidRPr="00883399" w:rsidRDefault="00872C03" w:rsidP="00872C03">
      <w:pPr>
        <w:pStyle w:val="paragraph"/>
        <w:rPr>
          <w:sz w:val="24"/>
        </w:rPr>
      </w:pPr>
      <w:r w:rsidRPr="00883399">
        <w:rPr>
          <w:sz w:val="24"/>
        </w:rPr>
        <w:tab/>
        <w:t>(b)</w:t>
      </w:r>
      <w:r w:rsidRPr="00883399">
        <w:rPr>
          <w:sz w:val="24"/>
        </w:rPr>
        <w:tab/>
        <w:t>for carbon analysis—column 4 for that item; and</w:t>
      </w:r>
    </w:p>
    <w:p w14:paraId="398A79A6" w14:textId="77777777" w:rsidR="00872C03" w:rsidRPr="00883399" w:rsidRDefault="00872C03" w:rsidP="00872C03">
      <w:pPr>
        <w:pStyle w:val="paragraph"/>
        <w:rPr>
          <w:sz w:val="24"/>
        </w:rPr>
      </w:pPr>
      <w:r w:rsidRPr="00883399">
        <w:rPr>
          <w:sz w:val="24"/>
        </w:rPr>
        <w:tab/>
        <w:t>(c)</w:t>
      </w:r>
      <w:r w:rsidRPr="00883399">
        <w:rPr>
          <w:sz w:val="24"/>
        </w:rPr>
        <w:tab/>
        <w:t>density analysis—column 5 for that item.</w:t>
      </w:r>
    </w:p>
    <w:p w14:paraId="10699A8B" w14:textId="77777777" w:rsidR="00872C03" w:rsidRPr="00883399" w:rsidRDefault="00872C03" w:rsidP="00872C03">
      <w:pPr>
        <w:pStyle w:val="Tabletext0"/>
        <w:rPr>
          <w:sz w:val="22"/>
        </w:rPr>
      </w:pPr>
    </w:p>
    <w:tbl>
      <w:tblPr>
        <w:tblW w:w="7680" w:type="dxa"/>
        <w:tblInd w:w="106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840"/>
        <w:gridCol w:w="1920"/>
        <w:gridCol w:w="1680"/>
        <w:gridCol w:w="1800"/>
        <w:gridCol w:w="1440"/>
      </w:tblGrid>
      <w:tr w:rsidR="00872C03" w:rsidRPr="00883399" w14:paraId="6761C862" w14:textId="77777777" w:rsidTr="0031057E">
        <w:trPr>
          <w:trHeight w:val="429"/>
          <w:tblHeader/>
        </w:trPr>
        <w:tc>
          <w:tcPr>
            <w:tcW w:w="840" w:type="dxa"/>
            <w:tcBorders>
              <w:top w:val="single" w:sz="12" w:space="0" w:color="auto"/>
              <w:bottom w:val="single" w:sz="12" w:space="0" w:color="auto"/>
            </w:tcBorders>
            <w:shd w:val="clear" w:color="auto" w:fill="auto"/>
          </w:tcPr>
          <w:p w14:paraId="3E5A73AE" w14:textId="77777777" w:rsidR="00872C03" w:rsidRPr="00883399" w:rsidRDefault="00872C03" w:rsidP="0031057E">
            <w:pPr>
              <w:pStyle w:val="TableHeading"/>
              <w:keepLines/>
              <w:rPr>
                <w:sz w:val="22"/>
              </w:rPr>
            </w:pPr>
            <w:r w:rsidRPr="00883399">
              <w:rPr>
                <w:sz w:val="22"/>
              </w:rPr>
              <w:lastRenderedPageBreak/>
              <w:t>Item</w:t>
            </w:r>
          </w:p>
        </w:tc>
        <w:tc>
          <w:tcPr>
            <w:tcW w:w="1920" w:type="dxa"/>
            <w:tcBorders>
              <w:top w:val="single" w:sz="12" w:space="0" w:color="auto"/>
              <w:bottom w:val="single" w:sz="12" w:space="0" w:color="auto"/>
            </w:tcBorders>
            <w:shd w:val="clear" w:color="auto" w:fill="auto"/>
          </w:tcPr>
          <w:p w14:paraId="2F14A1FE" w14:textId="77777777" w:rsidR="00872C03" w:rsidRPr="00883399" w:rsidRDefault="00872C03" w:rsidP="0031057E">
            <w:pPr>
              <w:pStyle w:val="TableHeading"/>
              <w:keepLines/>
              <w:rPr>
                <w:sz w:val="22"/>
              </w:rPr>
            </w:pPr>
            <w:r w:rsidRPr="00883399">
              <w:rPr>
                <w:sz w:val="22"/>
              </w:rPr>
              <w:t>Fuel</w:t>
            </w:r>
          </w:p>
        </w:tc>
        <w:tc>
          <w:tcPr>
            <w:tcW w:w="1680" w:type="dxa"/>
            <w:tcBorders>
              <w:top w:val="single" w:sz="12" w:space="0" w:color="auto"/>
              <w:bottom w:val="single" w:sz="12" w:space="0" w:color="auto"/>
            </w:tcBorders>
            <w:shd w:val="clear" w:color="auto" w:fill="auto"/>
          </w:tcPr>
          <w:p w14:paraId="45976790" w14:textId="77777777" w:rsidR="00872C03" w:rsidRPr="00883399" w:rsidRDefault="00872C03" w:rsidP="0031057E">
            <w:pPr>
              <w:pStyle w:val="TableHeading"/>
              <w:keepLines/>
              <w:rPr>
                <w:sz w:val="22"/>
              </w:rPr>
            </w:pPr>
            <w:r w:rsidRPr="00883399">
              <w:rPr>
                <w:sz w:val="22"/>
              </w:rPr>
              <w:t xml:space="preserve">Energy Content </w:t>
            </w:r>
          </w:p>
        </w:tc>
        <w:tc>
          <w:tcPr>
            <w:tcW w:w="1800" w:type="dxa"/>
            <w:tcBorders>
              <w:top w:val="single" w:sz="12" w:space="0" w:color="auto"/>
              <w:bottom w:val="single" w:sz="12" w:space="0" w:color="auto"/>
            </w:tcBorders>
            <w:shd w:val="clear" w:color="auto" w:fill="auto"/>
          </w:tcPr>
          <w:p w14:paraId="5C6CD46E" w14:textId="77777777" w:rsidR="00872C03" w:rsidRPr="00883399" w:rsidRDefault="00872C03" w:rsidP="0031057E">
            <w:pPr>
              <w:pStyle w:val="TableHeading"/>
              <w:keepLines/>
              <w:rPr>
                <w:sz w:val="22"/>
              </w:rPr>
            </w:pPr>
            <w:r w:rsidRPr="00883399">
              <w:rPr>
                <w:sz w:val="22"/>
              </w:rPr>
              <w:t>Carbon</w:t>
            </w:r>
          </w:p>
        </w:tc>
        <w:tc>
          <w:tcPr>
            <w:tcW w:w="1440" w:type="dxa"/>
            <w:tcBorders>
              <w:top w:val="single" w:sz="12" w:space="0" w:color="auto"/>
              <w:bottom w:val="single" w:sz="12" w:space="0" w:color="auto"/>
            </w:tcBorders>
            <w:shd w:val="clear" w:color="auto" w:fill="auto"/>
          </w:tcPr>
          <w:p w14:paraId="561E66FC" w14:textId="77777777" w:rsidR="00872C03" w:rsidRPr="00883399" w:rsidRDefault="00872C03" w:rsidP="0031057E">
            <w:pPr>
              <w:pStyle w:val="TableHeading"/>
              <w:keepLines/>
              <w:rPr>
                <w:sz w:val="22"/>
              </w:rPr>
            </w:pPr>
            <w:r w:rsidRPr="00883399">
              <w:rPr>
                <w:sz w:val="22"/>
              </w:rPr>
              <w:t>Density</w:t>
            </w:r>
          </w:p>
        </w:tc>
      </w:tr>
      <w:tr w:rsidR="00872C03" w:rsidRPr="00883399" w14:paraId="1E6AB0B1" w14:textId="77777777" w:rsidTr="0031057E">
        <w:trPr>
          <w:trHeight w:val="401"/>
        </w:trPr>
        <w:tc>
          <w:tcPr>
            <w:tcW w:w="840" w:type="dxa"/>
            <w:tcBorders>
              <w:top w:val="single" w:sz="12" w:space="0" w:color="auto"/>
              <w:bottom w:val="single" w:sz="4" w:space="0" w:color="auto"/>
            </w:tcBorders>
            <w:shd w:val="clear" w:color="auto" w:fill="auto"/>
          </w:tcPr>
          <w:p w14:paraId="2D513497" w14:textId="77777777" w:rsidR="00872C03" w:rsidRPr="00883399" w:rsidRDefault="00872C03" w:rsidP="0031057E">
            <w:pPr>
              <w:pStyle w:val="Tabletext0"/>
              <w:keepNext/>
              <w:keepLines/>
              <w:rPr>
                <w:sz w:val="22"/>
              </w:rPr>
            </w:pPr>
            <w:r w:rsidRPr="00883399">
              <w:rPr>
                <w:sz w:val="22"/>
              </w:rPr>
              <w:t>1</w:t>
            </w:r>
          </w:p>
        </w:tc>
        <w:tc>
          <w:tcPr>
            <w:tcW w:w="1920" w:type="dxa"/>
            <w:tcBorders>
              <w:top w:val="single" w:sz="12" w:space="0" w:color="auto"/>
              <w:bottom w:val="single" w:sz="4" w:space="0" w:color="auto"/>
            </w:tcBorders>
            <w:shd w:val="clear" w:color="auto" w:fill="auto"/>
          </w:tcPr>
          <w:p w14:paraId="1F5B484B" w14:textId="77777777" w:rsidR="00872C03" w:rsidRPr="00883399" w:rsidRDefault="00872C03" w:rsidP="0031057E">
            <w:pPr>
              <w:pStyle w:val="Tabletext0"/>
              <w:keepNext/>
              <w:keepLines/>
              <w:rPr>
                <w:sz w:val="22"/>
              </w:rPr>
            </w:pPr>
            <w:r w:rsidRPr="00883399">
              <w:rPr>
                <w:sz w:val="22"/>
              </w:rPr>
              <w:t>Petroleum based oils (other than petroleum based oils used as fuel)</w:t>
            </w:r>
          </w:p>
        </w:tc>
        <w:tc>
          <w:tcPr>
            <w:tcW w:w="1680" w:type="dxa"/>
            <w:tcBorders>
              <w:top w:val="single" w:sz="12" w:space="0" w:color="auto"/>
              <w:bottom w:val="single" w:sz="4" w:space="0" w:color="auto"/>
            </w:tcBorders>
            <w:shd w:val="clear" w:color="auto" w:fill="auto"/>
          </w:tcPr>
          <w:p w14:paraId="0BF12B02" w14:textId="77777777" w:rsidR="00872C03" w:rsidRPr="00883399" w:rsidRDefault="00872C03" w:rsidP="0031057E">
            <w:pPr>
              <w:pStyle w:val="Tabletext0"/>
              <w:keepNext/>
              <w:keepLines/>
              <w:rPr>
                <w:sz w:val="22"/>
              </w:rPr>
            </w:pPr>
            <w:r w:rsidRPr="00883399">
              <w:rPr>
                <w:sz w:val="22"/>
              </w:rPr>
              <w:t>N/A</w:t>
            </w:r>
          </w:p>
        </w:tc>
        <w:tc>
          <w:tcPr>
            <w:tcW w:w="1800" w:type="dxa"/>
            <w:tcBorders>
              <w:top w:val="single" w:sz="12" w:space="0" w:color="auto"/>
              <w:bottom w:val="single" w:sz="4" w:space="0" w:color="auto"/>
            </w:tcBorders>
            <w:shd w:val="clear" w:color="auto" w:fill="auto"/>
          </w:tcPr>
          <w:p w14:paraId="3E0BA353" w14:textId="77777777" w:rsidR="00872C03" w:rsidRPr="00883399" w:rsidRDefault="00872C03" w:rsidP="0031057E">
            <w:pPr>
              <w:pStyle w:val="Tabletext0"/>
              <w:keepNext/>
              <w:keepLines/>
              <w:rPr>
                <w:sz w:val="22"/>
              </w:rPr>
            </w:pPr>
            <w:r w:rsidRPr="00883399">
              <w:rPr>
                <w:sz w:val="22"/>
              </w:rPr>
              <w:t>ASTM D 5291</w:t>
            </w:r>
            <w:r w:rsidRPr="00883399">
              <w:rPr>
                <w:sz w:val="22"/>
              </w:rPr>
              <w:noBreakHyphen/>
              <w:t>02 (2007)</w:t>
            </w:r>
          </w:p>
        </w:tc>
        <w:tc>
          <w:tcPr>
            <w:tcW w:w="1440" w:type="dxa"/>
            <w:tcBorders>
              <w:top w:val="single" w:sz="12" w:space="0" w:color="auto"/>
              <w:bottom w:val="single" w:sz="4" w:space="0" w:color="auto"/>
            </w:tcBorders>
            <w:shd w:val="clear" w:color="auto" w:fill="auto"/>
          </w:tcPr>
          <w:p w14:paraId="5F857873" w14:textId="77777777" w:rsidR="00872C03" w:rsidRPr="00883399" w:rsidRDefault="00872C03" w:rsidP="0031057E">
            <w:pPr>
              <w:pStyle w:val="Tabletext0"/>
              <w:keepNext/>
              <w:keepLines/>
              <w:rPr>
                <w:sz w:val="22"/>
              </w:rPr>
            </w:pPr>
            <w:r w:rsidRPr="00883399">
              <w:rPr>
                <w:sz w:val="22"/>
              </w:rPr>
              <w:t>ASTM D 1298 – 99 (2005)</w:t>
            </w:r>
          </w:p>
        </w:tc>
      </w:tr>
      <w:tr w:rsidR="00872C03" w:rsidRPr="00883399" w14:paraId="294FC36A" w14:textId="77777777" w:rsidTr="0031057E">
        <w:trPr>
          <w:trHeight w:val="364"/>
        </w:trPr>
        <w:tc>
          <w:tcPr>
            <w:tcW w:w="840" w:type="dxa"/>
            <w:tcBorders>
              <w:bottom w:val="single" w:sz="4" w:space="0" w:color="auto"/>
            </w:tcBorders>
            <w:shd w:val="clear" w:color="auto" w:fill="auto"/>
          </w:tcPr>
          <w:p w14:paraId="7E0932C4" w14:textId="77777777" w:rsidR="00872C03" w:rsidRPr="00883399" w:rsidRDefault="00872C03" w:rsidP="0031057E">
            <w:pPr>
              <w:pStyle w:val="Tabletext0"/>
              <w:rPr>
                <w:sz w:val="22"/>
              </w:rPr>
            </w:pPr>
            <w:bookmarkStart w:id="310" w:name="CU_3245183"/>
            <w:bookmarkEnd w:id="310"/>
            <w:r w:rsidRPr="00883399">
              <w:rPr>
                <w:sz w:val="22"/>
              </w:rPr>
              <w:t>2</w:t>
            </w:r>
          </w:p>
        </w:tc>
        <w:tc>
          <w:tcPr>
            <w:tcW w:w="1920" w:type="dxa"/>
            <w:tcBorders>
              <w:bottom w:val="single" w:sz="4" w:space="0" w:color="auto"/>
            </w:tcBorders>
            <w:shd w:val="clear" w:color="auto" w:fill="auto"/>
          </w:tcPr>
          <w:p w14:paraId="41ED7972" w14:textId="77777777" w:rsidR="00872C03" w:rsidRPr="00883399" w:rsidRDefault="00872C03" w:rsidP="0031057E">
            <w:pPr>
              <w:pStyle w:val="Tabletext0"/>
              <w:rPr>
                <w:sz w:val="22"/>
              </w:rPr>
            </w:pPr>
            <w:r w:rsidRPr="00883399">
              <w:rPr>
                <w:sz w:val="22"/>
              </w:rPr>
              <w:t>Petroleum based greases</w:t>
            </w:r>
          </w:p>
        </w:tc>
        <w:tc>
          <w:tcPr>
            <w:tcW w:w="1680" w:type="dxa"/>
            <w:tcBorders>
              <w:bottom w:val="single" w:sz="4" w:space="0" w:color="auto"/>
            </w:tcBorders>
            <w:shd w:val="clear" w:color="auto" w:fill="auto"/>
          </w:tcPr>
          <w:p w14:paraId="4E58E826" w14:textId="77777777" w:rsidR="00872C03" w:rsidRPr="00883399" w:rsidRDefault="00872C03" w:rsidP="0031057E">
            <w:pPr>
              <w:pStyle w:val="Tabletext0"/>
              <w:rPr>
                <w:sz w:val="22"/>
              </w:rPr>
            </w:pPr>
            <w:r w:rsidRPr="00883399">
              <w:rPr>
                <w:sz w:val="22"/>
              </w:rPr>
              <w:t>N/A</w:t>
            </w:r>
          </w:p>
        </w:tc>
        <w:tc>
          <w:tcPr>
            <w:tcW w:w="1800" w:type="dxa"/>
            <w:tcBorders>
              <w:bottom w:val="single" w:sz="4" w:space="0" w:color="auto"/>
            </w:tcBorders>
            <w:shd w:val="clear" w:color="auto" w:fill="auto"/>
          </w:tcPr>
          <w:p w14:paraId="43CEDC8F" w14:textId="77777777" w:rsidR="00872C03" w:rsidRPr="00883399" w:rsidRDefault="00872C03" w:rsidP="0031057E">
            <w:pPr>
              <w:pStyle w:val="Tabletext0"/>
              <w:rPr>
                <w:sz w:val="22"/>
              </w:rPr>
            </w:pPr>
            <w:r w:rsidRPr="00883399">
              <w:rPr>
                <w:sz w:val="22"/>
              </w:rPr>
              <w:t>ASTM D 5291</w:t>
            </w:r>
            <w:r w:rsidRPr="00883399">
              <w:rPr>
                <w:sz w:val="22"/>
              </w:rPr>
              <w:noBreakHyphen/>
              <w:t>02 (2007)</w:t>
            </w:r>
          </w:p>
        </w:tc>
        <w:tc>
          <w:tcPr>
            <w:tcW w:w="1440" w:type="dxa"/>
            <w:tcBorders>
              <w:bottom w:val="single" w:sz="4" w:space="0" w:color="auto"/>
            </w:tcBorders>
            <w:shd w:val="clear" w:color="auto" w:fill="auto"/>
          </w:tcPr>
          <w:p w14:paraId="71F04339" w14:textId="77777777" w:rsidR="00872C03" w:rsidRPr="00883399" w:rsidRDefault="00872C03" w:rsidP="0031057E">
            <w:pPr>
              <w:pStyle w:val="Tabletext0"/>
              <w:rPr>
                <w:sz w:val="22"/>
              </w:rPr>
            </w:pPr>
            <w:r w:rsidRPr="00883399">
              <w:rPr>
                <w:sz w:val="22"/>
              </w:rPr>
              <w:t>ASTM D 1298 – 99 (2005)</w:t>
            </w:r>
          </w:p>
        </w:tc>
      </w:tr>
      <w:tr w:rsidR="00872C03" w:rsidRPr="00883399" w14:paraId="3D9A1335" w14:textId="77777777" w:rsidTr="0031057E">
        <w:trPr>
          <w:trHeight w:val="345"/>
        </w:trPr>
        <w:tc>
          <w:tcPr>
            <w:tcW w:w="840" w:type="dxa"/>
            <w:tcBorders>
              <w:top w:val="single" w:sz="4" w:space="0" w:color="auto"/>
            </w:tcBorders>
            <w:shd w:val="clear" w:color="auto" w:fill="auto"/>
          </w:tcPr>
          <w:p w14:paraId="74088DF3" w14:textId="77777777" w:rsidR="00872C03" w:rsidRPr="00883399" w:rsidRDefault="00872C03" w:rsidP="0031057E">
            <w:pPr>
              <w:pStyle w:val="Tabletext0"/>
              <w:rPr>
                <w:sz w:val="22"/>
              </w:rPr>
            </w:pPr>
            <w:r w:rsidRPr="00883399">
              <w:rPr>
                <w:sz w:val="22"/>
              </w:rPr>
              <w:t>3</w:t>
            </w:r>
          </w:p>
        </w:tc>
        <w:tc>
          <w:tcPr>
            <w:tcW w:w="1920" w:type="dxa"/>
            <w:tcBorders>
              <w:top w:val="single" w:sz="4" w:space="0" w:color="auto"/>
            </w:tcBorders>
            <w:shd w:val="clear" w:color="auto" w:fill="auto"/>
          </w:tcPr>
          <w:p w14:paraId="073A9852" w14:textId="77777777" w:rsidR="00872C03" w:rsidRPr="00883399" w:rsidRDefault="00872C03" w:rsidP="0031057E">
            <w:pPr>
              <w:pStyle w:val="Tabletext0"/>
              <w:rPr>
                <w:sz w:val="22"/>
              </w:rPr>
            </w:pPr>
            <w:r w:rsidRPr="00883399">
              <w:rPr>
                <w:sz w:val="22"/>
              </w:rPr>
              <w:t>Crude oil including crude oil condensates</w:t>
            </w:r>
          </w:p>
        </w:tc>
        <w:tc>
          <w:tcPr>
            <w:tcW w:w="1680" w:type="dxa"/>
            <w:tcBorders>
              <w:top w:val="single" w:sz="4" w:space="0" w:color="auto"/>
            </w:tcBorders>
            <w:shd w:val="clear" w:color="auto" w:fill="auto"/>
          </w:tcPr>
          <w:p w14:paraId="6DF22AC6" w14:textId="77777777" w:rsidR="00872C03" w:rsidRPr="00883399" w:rsidRDefault="00872C03" w:rsidP="0031057E">
            <w:pPr>
              <w:pStyle w:val="Tabletext0"/>
              <w:rPr>
                <w:sz w:val="22"/>
              </w:rPr>
            </w:pPr>
            <w:r w:rsidRPr="00883399">
              <w:rPr>
                <w:sz w:val="22"/>
              </w:rPr>
              <w:t>ASTM D 240</w:t>
            </w:r>
            <w:r w:rsidRPr="00883399">
              <w:rPr>
                <w:sz w:val="22"/>
              </w:rPr>
              <w:noBreakHyphen/>
              <w:t>02 (2007)</w:t>
            </w:r>
          </w:p>
          <w:p w14:paraId="7E5FD57A" w14:textId="77777777" w:rsidR="00872C03" w:rsidRPr="00883399" w:rsidRDefault="00872C03" w:rsidP="0031057E">
            <w:pPr>
              <w:pStyle w:val="Tabletext0"/>
              <w:rPr>
                <w:sz w:val="22"/>
              </w:rPr>
            </w:pPr>
            <w:r w:rsidRPr="00883399">
              <w:rPr>
                <w:sz w:val="22"/>
              </w:rPr>
              <w:t>ASTM D 4809</w:t>
            </w:r>
            <w:r w:rsidRPr="00883399">
              <w:rPr>
                <w:sz w:val="22"/>
              </w:rPr>
              <w:noBreakHyphen/>
              <w:t>06</w:t>
            </w:r>
          </w:p>
        </w:tc>
        <w:tc>
          <w:tcPr>
            <w:tcW w:w="1800" w:type="dxa"/>
            <w:tcBorders>
              <w:top w:val="single" w:sz="4" w:space="0" w:color="auto"/>
            </w:tcBorders>
            <w:shd w:val="clear" w:color="auto" w:fill="auto"/>
          </w:tcPr>
          <w:p w14:paraId="3D8DAAB9" w14:textId="77777777" w:rsidR="00872C03" w:rsidRPr="00883399" w:rsidRDefault="00872C03" w:rsidP="0031057E">
            <w:pPr>
              <w:pStyle w:val="Tabletext0"/>
              <w:rPr>
                <w:sz w:val="22"/>
              </w:rPr>
            </w:pPr>
            <w:r w:rsidRPr="00883399">
              <w:rPr>
                <w:sz w:val="22"/>
              </w:rPr>
              <w:t>ASTM D 5291</w:t>
            </w:r>
            <w:r w:rsidRPr="00883399">
              <w:rPr>
                <w:sz w:val="22"/>
              </w:rPr>
              <w:noBreakHyphen/>
              <w:t>02 (2007)</w:t>
            </w:r>
          </w:p>
        </w:tc>
        <w:tc>
          <w:tcPr>
            <w:tcW w:w="1440" w:type="dxa"/>
            <w:tcBorders>
              <w:top w:val="single" w:sz="4" w:space="0" w:color="auto"/>
            </w:tcBorders>
            <w:shd w:val="clear" w:color="auto" w:fill="auto"/>
          </w:tcPr>
          <w:p w14:paraId="7EDB495B" w14:textId="77777777" w:rsidR="00872C03" w:rsidRPr="00883399" w:rsidRDefault="00872C03" w:rsidP="0031057E">
            <w:pPr>
              <w:pStyle w:val="Tabletext0"/>
              <w:rPr>
                <w:sz w:val="22"/>
              </w:rPr>
            </w:pPr>
            <w:r w:rsidRPr="00883399">
              <w:rPr>
                <w:sz w:val="22"/>
              </w:rPr>
              <w:t>ASTM D 1298 – 99 (2005)</w:t>
            </w:r>
            <w:r w:rsidRPr="00883399">
              <w:rPr>
                <w:sz w:val="22"/>
                <w:szCs w:val="22"/>
              </w:rPr>
              <w:t xml:space="preserve"> ASTM D 5002 – 99 (2005)</w:t>
            </w:r>
          </w:p>
        </w:tc>
      </w:tr>
      <w:tr w:rsidR="00872C03" w:rsidRPr="00883399" w14:paraId="366C0133" w14:textId="77777777" w:rsidTr="0031057E">
        <w:trPr>
          <w:trHeight w:val="340"/>
        </w:trPr>
        <w:tc>
          <w:tcPr>
            <w:tcW w:w="840" w:type="dxa"/>
            <w:shd w:val="clear" w:color="auto" w:fill="auto"/>
          </w:tcPr>
          <w:p w14:paraId="5ADFA880" w14:textId="77777777" w:rsidR="00872C03" w:rsidRPr="00883399" w:rsidRDefault="00872C03" w:rsidP="0031057E">
            <w:pPr>
              <w:pStyle w:val="Tabletext0"/>
              <w:rPr>
                <w:sz w:val="22"/>
              </w:rPr>
            </w:pPr>
            <w:r w:rsidRPr="00883399">
              <w:rPr>
                <w:sz w:val="22"/>
              </w:rPr>
              <w:t>4</w:t>
            </w:r>
          </w:p>
        </w:tc>
        <w:tc>
          <w:tcPr>
            <w:tcW w:w="1920" w:type="dxa"/>
            <w:shd w:val="clear" w:color="auto" w:fill="auto"/>
          </w:tcPr>
          <w:p w14:paraId="515024F2" w14:textId="77777777" w:rsidR="00872C03" w:rsidRPr="00883399" w:rsidRDefault="00872C03" w:rsidP="0031057E">
            <w:pPr>
              <w:pStyle w:val="Tabletext0"/>
              <w:rPr>
                <w:sz w:val="22"/>
              </w:rPr>
            </w:pPr>
            <w:r w:rsidRPr="00883399">
              <w:rPr>
                <w:sz w:val="22"/>
              </w:rPr>
              <w:t xml:space="preserve">Other natural gas liquids </w:t>
            </w:r>
          </w:p>
        </w:tc>
        <w:tc>
          <w:tcPr>
            <w:tcW w:w="1680" w:type="dxa"/>
            <w:shd w:val="clear" w:color="auto" w:fill="auto"/>
          </w:tcPr>
          <w:p w14:paraId="0AA627B7" w14:textId="77777777" w:rsidR="00872C03" w:rsidRPr="00883399" w:rsidRDefault="00872C03" w:rsidP="0031057E">
            <w:pPr>
              <w:pStyle w:val="Tabletext0"/>
              <w:rPr>
                <w:sz w:val="22"/>
              </w:rPr>
            </w:pPr>
            <w:r w:rsidRPr="00883399">
              <w:rPr>
                <w:sz w:val="22"/>
              </w:rPr>
              <w:t>N/A</w:t>
            </w:r>
          </w:p>
        </w:tc>
        <w:tc>
          <w:tcPr>
            <w:tcW w:w="1800" w:type="dxa"/>
            <w:shd w:val="clear" w:color="auto" w:fill="auto"/>
          </w:tcPr>
          <w:p w14:paraId="234E5C1E" w14:textId="77777777" w:rsidR="00872C03" w:rsidRPr="00883399" w:rsidRDefault="00872C03" w:rsidP="0031057E">
            <w:pPr>
              <w:pStyle w:val="Tabletext0"/>
              <w:rPr>
                <w:sz w:val="22"/>
              </w:rPr>
            </w:pPr>
            <w:r w:rsidRPr="00883399">
              <w:rPr>
                <w:sz w:val="22"/>
              </w:rPr>
              <w:t>N/A</w:t>
            </w:r>
          </w:p>
        </w:tc>
        <w:tc>
          <w:tcPr>
            <w:tcW w:w="1440" w:type="dxa"/>
            <w:shd w:val="clear" w:color="auto" w:fill="auto"/>
          </w:tcPr>
          <w:p w14:paraId="1030AD10" w14:textId="77777777" w:rsidR="00872C03" w:rsidRPr="00883399" w:rsidRDefault="00872C03" w:rsidP="0031057E">
            <w:pPr>
              <w:pStyle w:val="Tabletext0"/>
              <w:rPr>
                <w:sz w:val="22"/>
              </w:rPr>
            </w:pPr>
            <w:r w:rsidRPr="00883399">
              <w:rPr>
                <w:sz w:val="22"/>
              </w:rPr>
              <w:t>ASTM D 1298 – 99 (2005)</w:t>
            </w:r>
          </w:p>
        </w:tc>
      </w:tr>
      <w:tr w:rsidR="00872C03" w:rsidRPr="00883399" w14:paraId="554C39F5" w14:textId="77777777" w:rsidTr="0031057E">
        <w:trPr>
          <w:trHeight w:val="351"/>
        </w:trPr>
        <w:tc>
          <w:tcPr>
            <w:tcW w:w="840" w:type="dxa"/>
            <w:shd w:val="clear" w:color="auto" w:fill="auto"/>
          </w:tcPr>
          <w:p w14:paraId="6876D8D1" w14:textId="77777777" w:rsidR="00872C03" w:rsidRPr="00883399" w:rsidRDefault="00872C03" w:rsidP="0031057E">
            <w:pPr>
              <w:pStyle w:val="Tabletext0"/>
              <w:rPr>
                <w:sz w:val="22"/>
              </w:rPr>
            </w:pPr>
            <w:r w:rsidRPr="00883399">
              <w:rPr>
                <w:sz w:val="22"/>
              </w:rPr>
              <w:t>5</w:t>
            </w:r>
          </w:p>
        </w:tc>
        <w:tc>
          <w:tcPr>
            <w:tcW w:w="1920" w:type="dxa"/>
            <w:shd w:val="clear" w:color="auto" w:fill="auto"/>
          </w:tcPr>
          <w:p w14:paraId="3268BB38" w14:textId="77777777" w:rsidR="00872C03" w:rsidRPr="00883399" w:rsidRDefault="00872C03" w:rsidP="0031057E">
            <w:pPr>
              <w:pStyle w:val="Tabletext0"/>
              <w:rPr>
                <w:sz w:val="22"/>
              </w:rPr>
            </w:pPr>
            <w:r w:rsidRPr="00883399">
              <w:rPr>
                <w:sz w:val="22"/>
              </w:rPr>
              <w:t>Gasoline (other than for use as fuel in an aircraft)</w:t>
            </w:r>
          </w:p>
        </w:tc>
        <w:tc>
          <w:tcPr>
            <w:tcW w:w="1680" w:type="dxa"/>
            <w:shd w:val="clear" w:color="auto" w:fill="auto"/>
          </w:tcPr>
          <w:p w14:paraId="76E31F65" w14:textId="77777777" w:rsidR="00872C03" w:rsidRPr="00883399" w:rsidRDefault="00872C03" w:rsidP="0031057E">
            <w:pPr>
              <w:pStyle w:val="Tabletext0"/>
              <w:rPr>
                <w:sz w:val="22"/>
              </w:rPr>
            </w:pPr>
            <w:r w:rsidRPr="00883399">
              <w:rPr>
                <w:sz w:val="22"/>
              </w:rPr>
              <w:t>ASTM D 240</w:t>
            </w:r>
            <w:r w:rsidRPr="00883399">
              <w:rPr>
                <w:sz w:val="22"/>
              </w:rPr>
              <w:noBreakHyphen/>
              <w:t>02 (2007)</w:t>
            </w:r>
          </w:p>
          <w:p w14:paraId="02384D8C" w14:textId="77777777" w:rsidR="00872C03" w:rsidRPr="00883399" w:rsidRDefault="00872C03" w:rsidP="0031057E">
            <w:pPr>
              <w:pStyle w:val="Tabletext0"/>
              <w:rPr>
                <w:sz w:val="22"/>
              </w:rPr>
            </w:pPr>
            <w:r w:rsidRPr="00883399">
              <w:rPr>
                <w:sz w:val="22"/>
              </w:rPr>
              <w:t>ASTM D 4809</w:t>
            </w:r>
            <w:r w:rsidRPr="00883399">
              <w:rPr>
                <w:sz w:val="22"/>
              </w:rPr>
              <w:noBreakHyphen/>
              <w:t>06</w:t>
            </w:r>
          </w:p>
        </w:tc>
        <w:tc>
          <w:tcPr>
            <w:tcW w:w="1800" w:type="dxa"/>
            <w:shd w:val="clear" w:color="auto" w:fill="auto"/>
          </w:tcPr>
          <w:p w14:paraId="45039E0B" w14:textId="77777777" w:rsidR="00872C03" w:rsidRPr="00883399" w:rsidRDefault="00872C03" w:rsidP="0031057E">
            <w:pPr>
              <w:pStyle w:val="Tabletext0"/>
              <w:rPr>
                <w:sz w:val="22"/>
              </w:rPr>
            </w:pPr>
            <w:r w:rsidRPr="00883399">
              <w:rPr>
                <w:sz w:val="22"/>
              </w:rPr>
              <w:t>N/A</w:t>
            </w:r>
          </w:p>
        </w:tc>
        <w:tc>
          <w:tcPr>
            <w:tcW w:w="1440" w:type="dxa"/>
            <w:shd w:val="clear" w:color="auto" w:fill="auto"/>
          </w:tcPr>
          <w:p w14:paraId="36D2EFF4" w14:textId="77777777" w:rsidR="00872C03" w:rsidRPr="00883399" w:rsidRDefault="00872C03" w:rsidP="0031057E">
            <w:pPr>
              <w:pStyle w:val="Tabletext0"/>
              <w:rPr>
                <w:sz w:val="22"/>
              </w:rPr>
            </w:pPr>
            <w:r w:rsidRPr="00883399">
              <w:rPr>
                <w:sz w:val="22"/>
              </w:rPr>
              <w:t>ASTM D 1298 – 99 (2005)</w:t>
            </w:r>
          </w:p>
        </w:tc>
      </w:tr>
      <w:tr w:rsidR="00872C03" w:rsidRPr="00883399" w14:paraId="08C96E1D" w14:textId="77777777" w:rsidTr="0031057E">
        <w:trPr>
          <w:trHeight w:val="361"/>
        </w:trPr>
        <w:tc>
          <w:tcPr>
            <w:tcW w:w="840" w:type="dxa"/>
            <w:shd w:val="clear" w:color="auto" w:fill="auto"/>
          </w:tcPr>
          <w:p w14:paraId="68584F6E" w14:textId="77777777" w:rsidR="00872C03" w:rsidRPr="00883399" w:rsidRDefault="00872C03" w:rsidP="0031057E">
            <w:pPr>
              <w:pStyle w:val="Tabletext0"/>
              <w:rPr>
                <w:sz w:val="22"/>
              </w:rPr>
            </w:pPr>
            <w:r w:rsidRPr="00883399">
              <w:rPr>
                <w:sz w:val="22"/>
              </w:rPr>
              <w:t>6</w:t>
            </w:r>
          </w:p>
        </w:tc>
        <w:tc>
          <w:tcPr>
            <w:tcW w:w="1920" w:type="dxa"/>
            <w:shd w:val="clear" w:color="auto" w:fill="auto"/>
          </w:tcPr>
          <w:p w14:paraId="1EEC3097" w14:textId="77777777" w:rsidR="00872C03" w:rsidRPr="00883399" w:rsidRDefault="00872C03" w:rsidP="0031057E">
            <w:pPr>
              <w:pStyle w:val="Tabletext0"/>
              <w:rPr>
                <w:sz w:val="22"/>
              </w:rPr>
            </w:pPr>
            <w:r w:rsidRPr="00883399">
              <w:rPr>
                <w:sz w:val="22"/>
              </w:rPr>
              <w:t>Gasoline for use as fuel in an aircraft</w:t>
            </w:r>
          </w:p>
        </w:tc>
        <w:tc>
          <w:tcPr>
            <w:tcW w:w="1680" w:type="dxa"/>
            <w:shd w:val="clear" w:color="auto" w:fill="auto"/>
          </w:tcPr>
          <w:p w14:paraId="6610CD78" w14:textId="77777777" w:rsidR="00872C03" w:rsidRPr="00883399" w:rsidRDefault="00872C03" w:rsidP="0031057E">
            <w:pPr>
              <w:pStyle w:val="Tabletext0"/>
              <w:rPr>
                <w:sz w:val="22"/>
              </w:rPr>
            </w:pPr>
            <w:r w:rsidRPr="00883399">
              <w:rPr>
                <w:sz w:val="22"/>
              </w:rPr>
              <w:t>ASTM D 240</w:t>
            </w:r>
            <w:r w:rsidRPr="00883399">
              <w:rPr>
                <w:sz w:val="22"/>
              </w:rPr>
              <w:noBreakHyphen/>
              <w:t>02 (2007)</w:t>
            </w:r>
          </w:p>
          <w:p w14:paraId="2DA772C6" w14:textId="77777777" w:rsidR="00872C03" w:rsidRPr="00883399" w:rsidRDefault="00872C03" w:rsidP="0031057E">
            <w:pPr>
              <w:pStyle w:val="Tabletext0"/>
              <w:rPr>
                <w:sz w:val="22"/>
              </w:rPr>
            </w:pPr>
            <w:r w:rsidRPr="00883399">
              <w:rPr>
                <w:sz w:val="22"/>
              </w:rPr>
              <w:t>ASTM D 4809</w:t>
            </w:r>
            <w:r w:rsidRPr="00883399">
              <w:rPr>
                <w:sz w:val="22"/>
              </w:rPr>
              <w:noBreakHyphen/>
              <w:t>06</w:t>
            </w:r>
          </w:p>
        </w:tc>
        <w:tc>
          <w:tcPr>
            <w:tcW w:w="1800" w:type="dxa"/>
            <w:shd w:val="clear" w:color="auto" w:fill="auto"/>
          </w:tcPr>
          <w:p w14:paraId="0BEAEB47" w14:textId="77777777" w:rsidR="00872C03" w:rsidRPr="00883399" w:rsidRDefault="00872C03" w:rsidP="0031057E">
            <w:pPr>
              <w:pStyle w:val="Tabletext0"/>
              <w:rPr>
                <w:sz w:val="22"/>
              </w:rPr>
            </w:pPr>
            <w:r w:rsidRPr="00883399">
              <w:rPr>
                <w:sz w:val="22"/>
              </w:rPr>
              <w:t>N/A</w:t>
            </w:r>
          </w:p>
        </w:tc>
        <w:tc>
          <w:tcPr>
            <w:tcW w:w="1440" w:type="dxa"/>
            <w:shd w:val="clear" w:color="auto" w:fill="auto"/>
          </w:tcPr>
          <w:p w14:paraId="4E50B1FF" w14:textId="77777777" w:rsidR="00872C03" w:rsidRPr="00883399" w:rsidRDefault="00872C03" w:rsidP="0031057E">
            <w:pPr>
              <w:pStyle w:val="Tabletext0"/>
              <w:rPr>
                <w:sz w:val="22"/>
              </w:rPr>
            </w:pPr>
            <w:r w:rsidRPr="00883399">
              <w:rPr>
                <w:sz w:val="22"/>
              </w:rPr>
              <w:t>ASTM D 1298 – 99 (2005)</w:t>
            </w:r>
          </w:p>
        </w:tc>
      </w:tr>
      <w:tr w:rsidR="00872C03" w:rsidRPr="00883399" w14:paraId="032EBD1C" w14:textId="77777777" w:rsidTr="0031057E">
        <w:trPr>
          <w:trHeight w:val="401"/>
        </w:trPr>
        <w:tc>
          <w:tcPr>
            <w:tcW w:w="840" w:type="dxa"/>
            <w:shd w:val="clear" w:color="auto" w:fill="auto"/>
          </w:tcPr>
          <w:p w14:paraId="32920648" w14:textId="77777777" w:rsidR="00872C03" w:rsidRPr="00883399" w:rsidRDefault="00872C03" w:rsidP="0031057E">
            <w:pPr>
              <w:pStyle w:val="Tabletext0"/>
              <w:rPr>
                <w:sz w:val="22"/>
              </w:rPr>
            </w:pPr>
            <w:r w:rsidRPr="00883399">
              <w:rPr>
                <w:sz w:val="22"/>
              </w:rPr>
              <w:t>7</w:t>
            </w:r>
          </w:p>
        </w:tc>
        <w:tc>
          <w:tcPr>
            <w:tcW w:w="1920" w:type="dxa"/>
            <w:shd w:val="clear" w:color="auto" w:fill="auto"/>
          </w:tcPr>
          <w:p w14:paraId="2707D764" w14:textId="77777777" w:rsidR="00872C03" w:rsidRPr="00883399" w:rsidRDefault="00872C03" w:rsidP="0031057E">
            <w:pPr>
              <w:pStyle w:val="Tabletext0"/>
              <w:rPr>
                <w:sz w:val="22"/>
              </w:rPr>
            </w:pPr>
            <w:r w:rsidRPr="00883399">
              <w:rPr>
                <w:sz w:val="22"/>
              </w:rPr>
              <w:t>Kerosene (other than for use as fuel in an aircraft)</w:t>
            </w:r>
          </w:p>
        </w:tc>
        <w:tc>
          <w:tcPr>
            <w:tcW w:w="1680" w:type="dxa"/>
            <w:shd w:val="clear" w:color="auto" w:fill="auto"/>
          </w:tcPr>
          <w:p w14:paraId="72DEEBFF" w14:textId="77777777" w:rsidR="00872C03" w:rsidRPr="00883399" w:rsidRDefault="00872C03" w:rsidP="0031057E">
            <w:pPr>
              <w:pStyle w:val="Tabletext0"/>
              <w:rPr>
                <w:sz w:val="22"/>
              </w:rPr>
            </w:pPr>
            <w:r w:rsidRPr="00883399">
              <w:rPr>
                <w:sz w:val="22"/>
              </w:rPr>
              <w:t>ASTM D 240</w:t>
            </w:r>
            <w:r w:rsidRPr="00883399">
              <w:rPr>
                <w:sz w:val="22"/>
              </w:rPr>
              <w:noBreakHyphen/>
              <w:t>02 (2007)</w:t>
            </w:r>
          </w:p>
          <w:p w14:paraId="6D107937" w14:textId="77777777" w:rsidR="00872C03" w:rsidRPr="00883399" w:rsidRDefault="00872C03" w:rsidP="0031057E">
            <w:pPr>
              <w:pStyle w:val="Tabletext0"/>
              <w:rPr>
                <w:sz w:val="22"/>
              </w:rPr>
            </w:pPr>
            <w:r w:rsidRPr="00883399">
              <w:rPr>
                <w:sz w:val="22"/>
              </w:rPr>
              <w:t>ASTM D 4809</w:t>
            </w:r>
            <w:r w:rsidRPr="00883399">
              <w:rPr>
                <w:sz w:val="22"/>
              </w:rPr>
              <w:noBreakHyphen/>
              <w:t>06</w:t>
            </w:r>
          </w:p>
        </w:tc>
        <w:tc>
          <w:tcPr>
            <w:tcW w:w="1800" w:type="dxa"/>
            <w:shd w:val="clear" w:color="auto" w:fill="auto"/>
          </w:tcPr>
          <w:p w14:paraId="2C071C42" w14:textId="77777777" w:rsidR="00872C03" w:rsidRPr="00883399" w:rsidRDefault="00872C03" w:rsidP="0031057E">
            <w:pPr>
              <w:pStyle w:val="Tabletext0"/>
              <w:rPr>
                <w:sz w:val="22"/>
              </w:rPr>
            </w:pPr>
            <w:r w:rsidRPr="00883399">
              <w:rPr>
                <w:sz w:val="22"/>
              </w:rPr>
              <w:t>N/A</w:t>
            </w:r>
          </w:p>
        </w:tc>
        <w:tc>
          <w:tcPr>
            <w:tcW w:w="1440" w:type="dxa"/>
            <w:shd w:val="clear" w:color="auto" w:fill="auto"/>
          </w:tcPr>
          <w:p w14:paraId="27D3CB66" w14:textId="77777777" w:rsidR="00872C03" w:rsidRPr="00883399" w:rsidRDefault="00872C03" w:rsidP="0031057E">
            <w:pPr>
              <w:pStyle w:val="Tabletext0"/>
              <w:rPr>
                <w:sz w:val="22"/>
              </w:rPr>
            </w:pPr>
            <w:r w:rsidRPr="00883399">
              <w:rPr>
                <w:sz w:val="22"/>
              </w:rPr>
              <w:t>ASTM D 1298 – 99 (2005) ASTM D 4052 – 96 (2002) e1</w:t>
            </w:r>
          </w:p>
        </w:tc>
      </w:tr>
      <w:tr w:rsidR="00872C03" w:rsidRPr="00883399" w14:paraId="2FCFFD3B" w14:textId="77777777" w:rsidTr="0031057E">
        <w:trPr>
          <w:trHeight w:val="451"/>
        </w:trPr>
        <w:tc>
          <w:tcPr>
            <w:tcW w:w="840" w:type="dxa"/>
            <w:shd w:val="clear" w:color="auto" w:fill="auto"/>
          </w:tcPr>
          <w:p w14:paraId="33197F5D" w14:textId="77777777" w:rsidR="00872C03" w:rsidRPr="00883399" w:rsidRDefault="00872C03" w:rsidP="0031057E">
            <w:pPr>
              <w:pStyle w:val="Tabletext0"/>
              <w:rPr>
                <w:sz w:val="22"/>
              </w:rPr>
            </w:pPr>
            <w:r w:rsidRPr="00883399">
              <w:rPr>
                <w:sz w:val="22"/>
              </w:rPr>
              <w:t>8</w:t>
            </w:r>
          </w:p>
        </w:tc>
        <w:tc>
          <w:tcPr>
            <w:tcW w:w="1920" w:type="dxa"/>
            <w:shd w:val="clear" w:color="auto" w:fill="auto"/>
          </w:tcPr>
          <w:p w14:paraId="7437E25C" w14:textId="77777777" w:rsidR="00872C03" w:rsidRPr="00883399" w:rsidRDefault="00872C03" w:rsidP="0031057E">
            <w:pPr>
              <w:pStyle w:val="Tabletext0"/>
              <w:rPr>
                <w:sz w:val="22"/>
              </w:rPr>
            </w:pPr>
            <w:r w:rsidRPr="00883399">
              <w:rPr>
                <w:sz w:val="22"/>
              </w:rPr>
              <w:t>Kerosene for use as fuel in an aircraft</w:t>
            </w:r>
          </w:p>
        </w:tc>
        <w:tc>
          <w:tcPr>
            <w:tcW w:w="1680" w:type="dxa"/>
            <w:shd w:val="clear" w:color="auto" w:fill="auto"/>
          </w:tcPr>
          <w:p w14:paraId="1EF3D085" w14:textId="77777777" w:rsidR="00872C03" w:rsidRPr="00883399" w:rsidRDefault="00872C03" w:rsidP="0031057E">
            <w:pPr>
              <w:pStyle w:val="Tabletext0"/>
              <w:rPr>
                <w:sz w:val="22"/>
              </w:rPr>
            </w:pPr>
            <w:r w:rsidRPr="00883399">
              <w:rPr>
                <w:sz w:val="22"/>
              </w:rPr>
              <w:t>ASTM D 240</w:t>
            </w:r>
            <w:r w:rsidRPr="00883399">
              <w:rPr>
                <w:sz w:val="22"/>
              </w:rPr>
              <w:noBreakHyphen/>
              <w:t>02 (2007)</w:t>
            </w:r>
          </w:p>
          <w:p w14:paraId="0A9343C7" w14:textId="77777777" w:rsidR="00872C03" w:rsidRPr="00883399" w:rsidRDefault="00872C03" w:rsidP="0031057E">
            <w:pPr>
              <w:pStyle w:val="Tabletext0"/>
              <w:rPr>
                <w:sz w:val="22"/>
              </w:rPr>
            </w:pPr>
            <w:r w:rsidRPr="00883399">
              <w:rPr>
                <w:sz w:val="22"/>
              </w:rPr>
              <w:t>ASTM D 4809</w:t>
            </w:r>
            <w:r w:rsidRPr="00883399">
              <w:rPr>
                <w:sz w:val="22"/>
              </w:rPr>
              <w:noBreakHyphen/>
              <w:t>06</w:t>
            </w:r>
          </w:p>
        </w:tc>
        <w:tc>
          <w:tcPr>
            <w:tcW w:w="1800" w:type="dxa"/>
            <w:shd w:val="clear" w:color="auto" w:fill="auto"/>
          </w:tcPr>
          <w:p w14:paraId="4E9BEB61" w14:textId="77777777" w:rsidR="00872C03" w:rsidRPr="00883399" w:rsidRDefault="00872C03" w:rsidP="0031057E">
            <w:pPr>
              <w:pStyle w:val="Tabletext0"/>
              <w:rPr>
                <w:sz w:val="22"/>
              </w:rPr>
            </w:pPr>
            <w:r w:rsidRPr="00883399">
              <w:rPr>
                <w:sz w:val="22"/>
              </w:rPr>
              <w:t>N/A</w:t>
            </w:r>
          </w:p>
        </w:tc>
        <w:tc>
          <w:tcPr>
            <w:tcW w:w="1440" w:type="dxa"/>
            <w:shd w:val="clear" w:color="auto" w:fill="auto"/>
          </w:tcPr>
          <w:p w14:paraId="4EA1CA05" w14:textId="77777777" w:rsidR="00872C03" w:rsidRPr="00883399" w:rsidRDefault="00872C03" w:rsidP="0031057E">
            <w:pPr>
              <w:pStyle w:val="Tabletext0"/>
              <w:rPr>
                <w:sz w:val="22"/>
              </w:rPr>
            </w:pPr>
            <w:r w:rsidRPr="00883399">
              <w:rPr>
                <w:bCs/>
                <w:sz w:val="22"/>
              </w:rPr>
              <w:t>ASTM D 1298 – 99 (2005)</w:t>
            </w:r>
            <w:r w:rsidRPr="00883399">
              <w:rPr>
                <w:sz w:val="22"/>
              </w:rPr>
              <w:t xml:space="preserve"> ASTM D 4052 – 96 (2002) e1</w:t>
            </w:r>
          </w:p>
        </w:tc>
      </w:tr>
      <w:tr w:rsidR="00872C03" w:rsidRPr="00883399" w14:paraId="176895C1" w14:textId="77777777" w:rsidTr="0031057E">
        <w:trPr>
          <w:trHeight w:val="424"/>
        </w:trPr>
        <w:tc>
          <w:tcPr>
            <w:tcW w:w="840" w:type="dxa"/>
            <w:shd w:val="clear" w:color="auto" w:fill="auto"/>
          </w:tcPr>
          <w:p w14:paraId="59328AFC" w14:textId="77777777" w:rsidR="00872C03" w:rsidRPr="00883399" w:rsidRDefault="00872C03" w:rsidP="0031057E">
            <w:pPr>
              <w:pStyle w:val="Tabletext0"/>
              <w:rPr>
                <w:sz w:val="22"/>
              </w:rPr>
            </w:pPr>
            <w:r w:rsidRPr="00883399">
              <w:rPr>
                <w:sz w:val="22"/>
              </w:rPr>
              <w:t>9</w:t>
            </w:r>
          </w:p>
        </w:tc>
        <w:tc>
          <w:tcPr>
            <w:tcW w:w="1920" w:type="dxa"/>
            <w:shd w:val="clear" w:color="auto" w:fill="auto"/>
          </w:tcPr>
          <w:p w14:paraId="030ADB7D" w14:textId="77777777" w:rsidR="00872C03" w:rsidRPr="00883399" w:rsidRDefault="00872C03" w:rsidP="0031057E">
            <w:pPr>
              <w:pStyle w:val="Tabletext0"/>
              <w:rPr>
                <w:sz w:val="22"/>
              </w:rPr>
            </w:pPr>
            <w:r w:rsidRPr="00883399">
              <w:rPr>
                <w:sz w:val="22"/>
              </w:rPr>
              <w:t>Heating oil</w:t>
            </w:r>
          </w:p>
        </w:tc>
        <w:tc>
          <w:tcPr>
            <w:tcW w:w="1680" w:type="dxa"/>
            <w:shd w:val="clear" w:color="auto" w:fill="auto"/>
          </w:tcPr>
          <w:p w14:paraId="5292FA24" w14:textId="77777777" w:rsidR="00872C03" w:rsidRPr="00883399" w:rsidRDefault="00872C03" w:rsidP="0031057E">
            <w:pPr>
              <w:pStyle w:val="Tabletext0"/>
              <w:rPr>
                <w:sz w:val="22"/>
              </w:rPr>
            </w:pPr>
            <w:r w:rsidRPr="00883399">
              <w:rPr>
                <w:sz w:val="22"/>
              </w:rPr>
              <w:t>ASTM D 240</w:t>
            </w:r>
            <w:r w:rsidRPr="00883399">
              <w:rPr>
                <w:sz w:val="22"/>
              </w:rPr>
              <w:noBreakHyphen/>
              <w:t>02 (2007)</w:t>
            </w:r>
          </w:p>
          <w:p w14:paraId="6B93059A" w14:textId="77777777" w:rsidR="00872C03" w:rsidRPr="00883399" w:rsidRDefault="00872C03" w:rsidP="0031057E">
            <w:pPr>
              <w:pStyle w:val="Tabletext0"/>
              <w:rPr>
                <w:sz w:val="22"/>
              </w:rPr>
            </w:pPr>
            <w:r w:rsidRPr="00883399">
              <w:rPr>
                <w:sz w:val="22"/>
              </w:rPr>
              <w:t>ASTM D 4809</w:t>
            </w:r>
            <w:r w:rsidRPr="00883399">
              <w:rPr>
                <w:sz w:val="22"/>
              </w:rPr>
              <w:noBreakHyphen/>
              <w:t>06</w:t>
            </w:r>
          </w:p>
        </w:tc>
        <w:tc>
          <w:tcPr>
            <w:tcW w:w="1800" w:type="dxa"/>
            <w:shd w:val="clear" w:color="auto" w:fill="auto"/>
          </w:tcPr>
          <w:p w14:paraId="024AE394" w14:textId="77777777" w:rsidR="00872C03" w:rsidRPr="00883399" w:rsidRDefault="00872C03" w:rsidP="0031057E">
            <w:pPr>
              <w:pStyle w:val="Tabletext0"/>
              <w:rPr>
                <w:sz w:val="22"/>
              </w:rPr>
            </w:pPr>
            <w:r w:rsidRPr="00883399">
              <w:rPr>
                <w:sz w:val="22"/>
              </w:rPr>
              <w:t>ASTM D 5291</w:t>
            </w:r>
            <w:r w:rsidRPr="00883399">
              <w:rPr>
                <w:sz w:val="22"/>
              </w:rPr>
              <w:noBreakHyphen/>
              <w:t>02 (2007)</w:t>
            </w:r>
          </w:p>
        </w:tc>
        <w:tc>
          <w:tcPr>
            <w:tcW w:w="1440" w:type="dxa"/>
            <w:shd w:val="clear" w:color="auto" w:fill="auto"/>
          </w:tcPr>
          <w:p w14:paraId="0E095758" w14:textId="77777777" w:rsidR="00872C03" w:rsidRPr="00883399" w:rsidRDefault="00872C03" w:rsidP="0031057E">
            <w:pPr>
              <w:pStyle w:val="Tabletext0"/>
              <w:rPr>
                <w:sz w:val="22"/>
              </w:rPr>
            </w:pPr>
            <w:r w:rsidRPr="00883399">
              <w:rPr>
                <w:sz w:val="22"/>
              </w:rPr>
              <w:t>ASTM D 1298 – 99 (2005)</w:t>
            </w:r>
          </w:p>
        </w:tc>
      </w:tr>
      <w:tr w:rsidR="00872C03" w:rsidRPr="00883399" w14:paraId="497548C3" w14:textId="77777777" w:rsidTr="0031057E">
        <w:trPr>
          <w:trHeight w:val="424"/>
        </w:trPr>
        <w:tc>
          <w:tcPr>
            <w:tcW w:w="840" w:type="dxa"/>
            <w:shd w:val="clear" w:color="auto" w:fill="auto"/>
          </w:tcPr>
          <w:p w14:paraId="2245BBDF" w14:textId="77777777" w:rsidR="00872C03" w:rsidRPr="00883399" w:rsidRDefault="00872C03" w:rsidP="0031057E">
            <w:pPr>
              <w:pStyle w:val="Tabletext0"/>
              <w:rPr>
                <w:sz w:val="22"/>
              </w:rPr>
            </w:pPr>
            <w:r w:rsidRPr="00883399">
              <w:rPr>
                <w:sz w:val="22"/>
              </w:rPr>
              <w:lastRenderedPageBreak/>
              <w:t>10</w:t>
            </w:r>
          </w:p>
        </w:tc>
        <w:tc>
          <w:tcPr>
            <w:tcW w:w="1920" w:type="dxa"/>
            <w:shd w:val="clear" w:color="auto" w:fill="auto"/>
          </w:tcPr>
          <w:p w14:paraId="68451AAC" w14:textId="77777777" w:rsidR="00872C03" w:rsidRPr="00883399" w:rsidRDefault="00872C03" w:rsidP="0031057E">
            <w:pPr>
              <w:pStyle w:val="Tabletext0"/>
              <w:rPr>
                <w:sz w:val="22"/>
              </w:rPr>
            </w:pPr>
            <w:r w:rsidRPr="00883399">
              <w:rPr>
                <w:sz w:val="22"/>
              </w:rPr>
              <w:t>Diesel oil</w:t>
            </w:r>
          </w:p>
        </w:tc>
        <w:tc>
          <w:tcPr>
            <w:tcW w:w="1680" w:type="dxa"/>
            <w:shd w:val="clear" w:color="auto" w:fill="auto"/>
          </w:tcPr>
          <w:p w14:paraId="3E1D2F52" w14:textId="77777777" w:rsidR="00872C03" w:rsidRPr="00883399" w:rsidRDefault="00872C03" w:rsidP="0031057E">
            <w:pPr>
              <w:pStyle w:val="Tabletext0"/>
              <w:rPr>
                <w:sz w:val="22"/>
              </w:rPr>
            </w:pPr>
            <w:r w:rsidRPr="00883399">
              <w:rPr>
                <w:sz w:val="22"/>
              </w:rPr>
              <w:t>ASTM D 240</w:t>
            </w:r>
            <w:r w:rsidRPr="00883399">
              <w:rPr>
                <w:sz w:val="22"/>
              </w:rPr>
              <w:noBreakHyphen/>
              <w:t>02 (2007)</w:t>
            </w:r>
          </w:p>
          <w:p w14:paraId="00AD39C7" w14:textId="77777777" w:rsidR="00872C03" w:rsidRPr="00883399" w:rsidRDefault="00872C03" w:rsidP="0031057E">
            <w:pPr>
              <w:pStyle w:val="Tabletext0"/>
              <w:rPr>
                <w:sz w:val="22"/>
              </w:rPr>
            </w:pPr>
            <w:r w:rsidRPr="00883399">
              <w:rPr>
                <w:sz w:val="22"/>
              </w:rPr>
              <w:t>ASTM D 4809</w:t>
            </w:r>
            <w:r w:rsidRPr="00883399">
              <w:rPr>
                <w:sz w:val="22"/>
              </w:rPr>
              <w:noBreakHyphen/>
              <w:t>06</w:t>
            </w:r>
          </w:p>
        </w:tc>
        <w:tc>
          <w:tcPr>
            <w:tcW w:w="1800" w:type="dxa"/>
            <w:shd w:val="clear" w:color="auto" w:fill="auto"/>
          </w:tcPr>
          <w:p w14:paraId="108E4ABB" w14:textId="77777777" w:rsidR="00872C03" w:rsidRPr="00883399" w:rsidRDefault="00872C03" w:rsidP="0031057E">
            <w:pPr>
              <w:pStyle w:val="Tabletext0"/>
              <w:rPr>
                <w:sz w:val="22"/>
              </w:rPr>
            </w:pPr>
            <w:r w:rsidRPr="00883399">
              <w:rPr>
                <w:sz w:val="22"/>
              </w:rPr>
              <w:t>ASTM D 5291</w:t>
            </w:r>
            <w:r w:rsidRPr="00883399">
              <w:rPr>
                <w:sz w:val="22"/>
              </w:rPr>
              <w:noBreakHyphen/>
              <w:t>02 (2007)</w:t>
            </w:r>
          </w:p>
        </w:tc>
        <w:tc>
          <w:tcPr>
            <w:tcW w:w="1440" w:type="dxa"/>
            <w:shd w:val="clear" w:color="auto" w:fill="auto"/>
          </w:tcPr>
          <w:p w14:paraId="3DD5ADB2" w14:textId="77777777" w:rsidR="00872C03" w:rsidRPr="00883399" w:rsidRDefault="00872C03" w:rsidP="0031057E">
            <w:pPr>
              <w:pStyle w:val="Tabletext0"/>
              <w:rPr>
                <w:sz w:val="22"/>
              </w:rPr>
            </w:pPr>
            <w:r w:rsidRPr="00883399">
              <w:rPr>
                <w:sz w:val="22"/>
              </w:rPr>
              <w:t>ASTM D 1298 – 99 (2005)</w:t>
            </w:r>
          </w:p>
        </w:tc>
      </w:tr>
      <w:tr w:rsidR="00872C03" w:rsidRPr="00883399" w14:paraId="07E9EFC1" w14:textId="77777777" w:rsidTr="0031057E">
        <w:trPr>
          <w:trHeight w:val="424"/>
        </w:trPr>
        <w:tc>
          <w:tcPr>
            <w:tcW w:w="840" w:type="dxa"/>
            <w:shd w:val="clear" w:color="auto" w:fill="auto"/>
          </w:tcPr>
          <w:p w14:paraId="337540C0" w14:textId="77777777" w:rsidR="00872C03" w:rsidRPr="00883399" w:rsidRDefault="00872C03" w:rsidP="0031057E">
            <w:pPr>
              <w:pStyle w:val="Tabletext0"/>
              <w:rPr>
                <w:sz w:val="22"/>
              </w:rPr>
            </w:pPr>
            <w:r w:rsidRPr="00883399">
              <w:rPr>
                <w:sz w:val="22"/>
              </w:rPr>
              <w:t>11</w:t>
            </w:r>
          </w:p>
        </w:tc>
        <w:tc>
          <w:tcPr>
            <w:tcW w:w="1920" w:type="dxa"/>
            <w:shd w:val="clear" w:color="auto" w:fill="auto"/>
          </w:tcPr>
          <w:p w14:paraId="3441CC69" w14:textId="77777777" w:rsidR="00872C03" w:rsidRPr="00883399" w:rsidRDefault="00872C03" w:rsidP="0031057E">
            <w:pPr>
              <w:pStyle w:val="Tabletext0"/>
              <w:rPr>
                <w:sz w:val="22"/>
              </w:rPr>
            </w:pPr>
            <w:r w:rsidRPr="00883399">
              <w:rPr>
                <w:sz w:val="22"/>
              </w:rPr>
              <w:t>Fuel oil</w:t>
            </w:r>
          </w:p>
        </w:tc>
        <w:tc>
          <w:tcPr>
            <w:tcW w:w="1680" w:type="dxa"/>
            <w:shd w:val="clear" w:color="auto" w:fill="auto"/>
          </w:tcPr>
          <w:p w14:paraId="5B4B96A2" w14:textId="77777777" w:rsidR="00872C03" w:rsidRPr="00883399" w:rsidRDefault="00872C03" w:rsidP="0031057E">
            <w:pPr>
              <w:pStyle w:val="Tabletext0"/>
              <w:rPr>
                <w:sz w:val="22"/>
              </w:rPr>
            </w:pPr>
            <w:r w:rsidRPr="00883399">
              <w:rPr>
                <w:sz w:val="22"/>
              </w:rPr>
              <w:t>ASTM D 240</w:t>
            </w:r>
            <w:r w:rsidRPr="00883399">
              <w:rPr>
                <w:sz w:val="22"/>
              </w:rPr>
              <w:noBreakHyphen/>
              <w:t>02 (2007)</w:t>
            </w:r>
          </w:p>
          <w:p w14:paraId="7DDEB16B" w14:textId="77777777" w:rsidR="00872C03" w:rsidRPr="00883399" w:rsidRDefault="00872C03" w:rsidP="0031057E">
            <w:pPr>
              <w:pStyle w:val="Tabletext0"/>
              <w:rPr>
                <w:sz w:val="22"/>
              </w:rPr>
            </w:pPr>
            <w:r w:rsidRPr="00883399">
              <w:rPr>
                <w:sz w:val="22"/>
              </w:rPr>
              <w:t>ASTM D 4809</w:t>
            </w:r>
            <w:r w:rsidRPr="00883399">
              <w:rPr>
                <w:sz w:val="22"/>
              </w:rPr>
              <w:noBreakHyphen/>
              <w:t>06</w:t>
            </w:r>
          </w:p>
        </w:tc>
        <w:tc>
          <w:tcPr>
            <w:tcW w:w="1800" w:type="dxa"/>
            <w:shd w:val="clear" w:color="auto" w:fill="auto"/>
          </w:tcPr>
          <w:p w14:paraId="63495DA4" w14:textId="77777777" w:rsidR="00872C03" w:rsidRPr="00883399" w:rsidRDefault="00872C03" w:rsidP="0031057E">
            <w:pPr>
              <w:pStyle w:val="Tabletext0"/>
              <w:rPr>
                <w:sz w:val="22"/>
              </w:rPr>
            </w:pPr>
            <w:r w:rsidRPr="00883399">
              <w:rPr>
                <w:sz w:val="22"/>
              </w:rPr>
              <w:t>ASTM D 5291</w:t>
            </w:r>
            <w:r w:rsidRPr="00883399">
              <w:rPr>
                <w:sz w:val="22"/>
              </w:rPr>
              <w:noBreakHyphen/>
              <w:t>02 (2007)</w:t>
            </w:r>
          </w:p>
        </w:tc>
        <w:tc>
          <w:tcPr>
            <w:tcW w:w="1440" w:type="dxa"/>
            <w:shd w:val="clear" w:color="auto" w:fill="auto"/>
          </w:tcPr>
          <w:p w14:paraId="109A3B84" w14:textId="77777777" w:rsidR="00872C03" w:rsidRPr="00883399" w:rsidRDefault="00872C03" w:rsidP="0031057E">
            <w:pPr>
              <w:pStyle w:val="Tabletext0"/>
              <w:rPr>
                <w:sz w:val="22"/>
              </w:rPr>
            </w:pPr>
            <w:r w:rsidRPr="00883399">
              <w:rPr>
                <w:sz w:val="22"/>
              </w:rPr>
              <w:t>ASTM D 1298 – 99 (2005)</w:t>
            </w:r>
          </w:p>
        </w:tc>
      </w:tr>
      <w:tr w:rsidR="00872C03" w:rsidRPr="00883399" w14:paraId="160B97F5" w14:textId="77777777" w:rsidTr="0031057E">
        <w:trPr>
          <w:trHeight w:val="424"/>
        </w:trPr>
        <w:tc>
          <w:tcPr>
            <w:tcW w:w="840" w:type="dxa"/>
            <w:shd w:val="clear" w:color="auto" w:fill="auto"/>
          </w:tcPr>
          <w:p w14:paraId="349F6674" w14:textId="77777777" w:rsidR="00872C03" w:rsidRPr="00883399" w:rsidRDefault="00872C03" w:rsidP="0031057E">
            <w:pPr>
              <w:pStyle w:val="Tabletext0"/>
              <w:rPr>
                <w:sz w:val="22"/>
              </w:rPr>
            </w:pPr>
            <w:r w:rsidRPr="00883399">
              <w:rPr>
                <w:sz w:val="22"/>
              </w:rPr>
              <w:t>12</w:t>
            </w:r>
          </w:p>
        </w:tc>
        <w:tc>
          <w:tcPr>
            <w:tcW w:w="1920" w:type="dxa"/>
            <w:shd w:val="clear" w:color="auto" w:fill="auto"/>
          </w:tcPr>
          <w:p w14:paraId="622A317A" w14:textId="77777777" w:rsidR="00872C03" w:rsidRPr="00883399" w:rsidRDefault="00872C03" w:rsidP="0031057E">
            <w:pPr>
              <w:pStyle w:val="Tabletext0"/>
              <w:rPr>
                <w:sz w:val="22"/>
              </w:rPr>
            </w:pPr>
            <w:r w:rsidRPr="00883399">
              <w:rPr>
                <w:sz w:val="22"/>
              </w:rPr>
              <w:t>Liquefied aromatic hydrocarbons</w:t>
            </w:r>
          </w:p>
        </w:tc>
        <w:tc>
          <w:tcPr>
            <w:tcW w:w="1680" w:type="dxa"/>
            <w:shd w:val="clear" w:color="auto" w:fill="auto"/>
          </w:tcPr>
          <w:p w14:paraId="07B8FE26" w14:textId="77777777" w:rsidR="00872C03" w:rsidRPr="00883399" w:rsidRDefault="00872C03" w:rsidP="0031057E">
            <w:pPr>
              <w:pStyle w:val="Tabletext0"/>
              <w:rPr>
                <w:sz w:val="22"/>
              </w:rPr>
            </w:pPr>
            <w:r w:rsidRPr="00883399">
              <w:rPr>
                <w:sz w:val="22"/>
              </w:rPr>
              <w:t>N/A</w:t>
            </w:r>
          </w:p>
        </w:tc>
        <w:tc>
          <w:tcPr>
            <w:tcW w:w="1800" w:type="dxa"/>
            <w:shd w:val="clear" w:color="auto" w:fill="auto"/>
          </w:tcPr>
          <w:p w14:paraId="5EFAAFB3" w14:textId="77777777" w:rsidR="00872C03" w:rsidRPr="00883399" w:rsidRDefault="00872C03" w:rsidP="0031057E">
            <w:pPr>
              <w:pStyle w:val="Tabletext0"/>
              <w:rPr>
                <w:sz w:val="22"/>
              </w:rPr>
            </w:pPr>
            <w:r w:rsidRPr="00883399">
              <w:rPr>
                <w:sz w:val="22"/>
              </w:rPr>
              <w:t>N/A</w:t>
            </w:r>
          </w:p>
        </w:tc>
        <w:tc>
          <w:tcPr>
            <w:tcW w:w="1440" w:type="dxa"/>
            <w:shd w:val="clear" w:color="auto" w:fill="auto"/>
          </w:tcPr>
          <w:p w14:paraId="52335332" w14:textId="77777777" w:rsidR="00872C03" w:rsidRPr="00883399" w:rsidRDefault="00872C03" w:rsidP="0031057E">
            <w:pPr>
              <w:pStyle w:val="Tabletext0"/>
              <w:rPr>
                <w:sz w:val="22"/>
              </w:rPr>
            </w:pPr>
            <w:r w:rsidRPr="00883399">
              <w:rPr>
                <w:sz w:val="22"/>
              </w:rPr>
              <w:t>ASTM D 1298 – 99 (2005)</w:t>
            </w:r>
          </w:p>
        </w:tc>
      </w:tr>
      <w:tr w:rsidR="00872C03" w:rsidRPr="00883399" w14:paraId="0BA632C8" w14:textId="77777777" w:rsidTr="0031057E">
        <w:trPr>
          <w:cantSplit/>
          <w:trHeight w:val="439"/>
        </w:trPr>
        <w:tc>
          <w:tcPr>
            <w:tcW w:w="840" w:type="dxa"/>
            <w:tcBorders>
              <w:bottom w:val="single" w:sz="4" w:space="0" w:color="auto"/>
            </w:tcBorders>
            <w:shd w:val="clear" w:color="auto" w:fill="auto"/>
          </w:tcPr>
          <w:p w14:paraId="55D14FF8" w14:textId="77777777" w:rsidR="00872C03" w:rsidRPr="00883399" w:rsidRDefault="00872C03" w:rsidP="0031057E">
            <w:pPr>
              <w:pStyle w:val="Tabletext0"/>
              <w:rPr>
                <w:sz w:val="22"/>
              </w:rPr>
            </w:pPr>
            <w:r w:rsidRPr="00883399">
              <w:rPr>
                <w:sz w:val="22"/>
              </w:rPr>
              <w:t>13</w:t>
            </w:r>
          </w:p>
        </w:tc>
        <w:tc>
          <w:tcPr>
            <w:tcW w:w="1920" w:type="dxa"/>
            <w:tcBorders>
              <w:bottom w:val="single" w:sz="4" w:space="0" w:color="auto"/>
            </w:tcBorders>
            <w:shd w:val="clear" w:color="auto" w:fill="auto"/>
          </w:tcPr>
          <w:p w14:paraId="59F5BF40" w14:textId="77777777" w:rsidR="00872C03" w:rsidRPr="00883399" w:rsidRDefault="00872C03" w:rsidP="0031057E">
            <w:pPr>
              <w:pStyle w:val="Tabletext0"/>
              <w:rPr>
                <w:sz w:val="22"/>
              </w:rPr>
            </w:pPr>
            <w:r w:rsidRPr="00883399">
              <w:rPr>
                <w:sz w:val="22"/>
              </w:rPr>
              <w:t>Solvents if mineral turpentine or white spirits</w:t>
            </w:r>
          </w:p>
        </w:tc>
        <w:tc>
          <w:tcPr>
            <w:tcW w:w="1680" w:type="dxa"/>
            <w:tcBorders>
              <w:bottom w:val="single" w:sz="4" w:space="0" w:color="auto"/>
            </w:tcBorders>
            <w:shd w:val="clear" w:color="auto" w:fill="auto"/>
          </w:tcPr>
          <w:p w14:paraId="43B6D224" w14:textId="77777777" w:rsidR="00872C03" w:rsidRPr="00883399" w:rsidRDefault="00872C03" w:rsidP="0031057E">
            <w:pPr>
              <w:pStyle w:val="Tabletext0"/>
              <w:rPr>
                <w:sz w:val="22"/>
              </w:rPr>
            </w:pPr>
            <w:r w:rsidRPr="00883399">
              <w:rPr>
                <w:sz w:val="22"/>
              </w:rPr>
              <w:t>N/A</w:t>
            </w:r>
          </w:p>
        </w:tc>
        <w:tc>
          <w:tcPr>
            <w:tcW w:w="1800" w:type="dxa"/>
            <w:tcBorders>
              <w:bottom w:val="single" w:sz="4" w:space="0" w:color="auto"/>
            </w:tcBorders>
            <w:shd w:val="clear" w:color="auto" w:fill="auto"/>
          </w:tcPr>
          <w:p w14:paraId="57A88B63" w14:textId="77777777" w:rsidR="00872C03" w:rsidRPr="00883399" w:rsidRDefault="00872C03" w:rsidP="0031057E">
            <w:pPr>
              <w:pStyle w:val="Tabletext0"/>
              <w:rPr>
                <w:sz w:val="22"/>
              </w:rPr>
            </w:pPr>
            <w:r w:rsidRPr="00883399">
              <w:rPr>
                <w:sz w:val="22"/>
              </w:rPr>
              <w:t>N/A</w:t>
            </w:r>
          </w:p>
        </w:tc>
        <w:tc>
          <w:tcPr>
            <w:tcW w:w="1440" w:type="dxa"/>
            <w:tcBorders>
              <w:bottom w:val="single" w:sz="4" w:space="0" w:color="auto"/>
            </w:tcBorders>
            <w:shd w:val="clear" w:color="auto" w:fill="auto"/>
          </w:tcPr>
          <w:p w14:paraId="77F84CC6" w14:textId="77777777" w:rsidR="00872C03" w:rsidRPr="00883399" w:rsidRDefault="00872C03" w:rsidP="0031057E">
            <w:pPr>
              <w:pStyle w:val="Tabletext0"/>
              <w:rPr>
                <w:sz w:val="22"/>
              </w:rPr>
            </w:pPr>
            <w:r w:rsidRPr="00883399">
              <w:rPr>
                <w:sz w:val="22"/>
              </w:rPr>
              <w:t>N/A</w:t>
            </w:r>
          </w:p>
        </w:tc>
      </w:tr>
      <w:tr w:rsidR="00872C03" w:rsidRPr="00883399" w14:paraId="066F7157" w14:textId="77777777" w:rsidTr="0031057E">
        <w:trPr>
          <w:cantSplit/>
          <w:trHeight w:val="401"/>
        </w:trPr>
        <w:tc>
          <w:tcPr>
            <w:tcW w:w="840" w:type="dxa"/>
            <w:tcBorders>
              <w:bottom w:val="single" w:sz="4" w:space="0" w:color="auto"/>
            </w:tcBorders>
            <w:shd w:val="clear" w:color="auto" w:fill="auto"/>
          </w:tcPr>
          <w:p w14:paraId="01F6D709" w14:textId="77777777" w:rsidR="00872C03" w:rsidRPr="00883399" w:rsidRDefault="00872C03" w:rsidP="0031057E">
            <w:pPr>
              <w:pStyle w:val="Tabletext0"/>
              <w:rPr>
                <w:sz w:val="22"/>
              </w:rPr>
            </w:pPr>
            <w:bookmarkStart w:id="311" w:name="CU_15246402"/>
            <w:bookmarkEnd w:id="311"/>
            <w:r w:rsidRPr="00883399">
              <w:rPr>
                <w:sz w:val="22"/>
              </w:rPr>
              <w:t>14</w:t>
            </w:r>
          </w:p>
        </w:tc>
        <w:tc>
          <w:tcPr>
            <w:tcW w:w="1920" w:type="dxa"/>
            <w:tcBorders>
              <w:bottom w:val="single" w:sz="4" w:space="0" w:color="auto"/>
            </w:tcBorders>
            <w:shd w:val="clear" w:color="auto" w:fill="auto"/>
          </w:tcPr>
          <w:p w14:paraId="75A42678" w14:textId="77777777" w:rsidR="00872C03" w:rsidRPr="00883399" w:rsidRDefault="00872C03" w:rsidP="0031057E">
            <w:pPr>
              <w:pStyle w:val="Tabletext0"/>
              <w:rPr>
                <w:sz w:val="22"/>
              </w:rPr>
            </w:pPr>
            <w:r w:rsidRPr="00883399">
              <w:rPr>
                <w:sz w:val="22"/>
              </w:rPr>
              <w:t>Liquefied Petroleum Gas</w:t>
            </w:r>
          </w:p>
        </w:tc>
        <w:tc>
          <w:tcPr>
            <w:tcW w:w="1680" w:type="dxa"/>
            <w:tcBorders>
              <w:bottom w:val="single" w:sz="4" w:space="0" w:color="auto"/>
            </w:tcBorders>
            <w:shd w:val="clear" w:color="auto" w:fill="auto"/>
          </w:tcPr>
          <w:p w14:paraId="3564BE43" w14:textId="77777777" w:rsidR="00872C03" w:rsidRPr="00883399" w:rsidRDefault="00872C03" w:rsidP="0031057E">
            <w:pPr>
              <w:pStyle w:val="Tabletext0"/>
              <w:rPr>
                <w:sz w:val="22"/>
              </w:rPr>
            </w:pPr>
            <w:r w:rsidRPr="00883399">
              <w:rPr>
                <w:sz w:val="22"/>
              </w:rPr>
              <w:t>N/A</w:t>
            </w:r>
          </w:p>
        </w:tc>
        <w:tc>
          <w:tcPr>
            <w:tcW w:w="1800" w:type="dxa"/>
            <w:tcBorders>
              <w:bottom w:val="single" w:sz="4" w:space="0" w:color="auto"/>
            </w:tcBorders>
            <w:shd w:val="clear" w:color="auto" w:fill="auto"/>
          </w:tcPr>
          <w:p w14:paraId="74E3D3B3" w14:textId="77777777" w:rsidR="00872C03" w:rsidRPr="00883399" w:rsidRDefault="00872C03" w:rsidP="0031057E">
            <w:pPr>
              <w:pStyle w:val="Tabletext0"/>
              <w:rPr>
                <w:sz w:val="22"/>
              </w:rPr>
            </w:pPr>
            <w:r w:rsidRPr="00883399">
              <w:rPr>
                <w:sz w:val="22"/>
              </w:rPr>
              <w:t>ISO 7941:1988</w:t>
            </w:r>
          </w:p>
        </w:tc>
        <w:tc>
          <w:tcPr>
            <w:tcW w:w="1440" w:type="dxa"/>
            <w:tcBorders>
              <w:bottom w:val="single" w:sz="4" w:space="0" w:color="auto"/>
            </w:tcBorders>
            <w:shd w:val="clear" w:color="auto" w:fill="auto"/>
          </w:tcPr>
          <w:p w14:paraId="633D5F2E" w14:textId="77777777" w:rsidR="00872C03" w:rsidRPr="00883399" w:rsidRDefault="00872C03" w:rsidP="0031057E">
            <w:pPr>
              <w:pStyle w:val="Tabletext0"/>
              <w:rPr>
                <w:sz w:val="22"/>
              </w:rPr>
            </w:pPr>
            <w:r w:rsidRPr="00883399">
              <w:rPr>
                <w:sz w:val="22"/>
              </w:rPr>
              <w:t>ISO 6578:1991</w:t>
            </w:r>
          </w:p>
          <w:p w14:paraId="447949F1" w14:textId="77777777" w:rsidR="00872C03" w:rsidRPr="00883399" w:rsidRDefault="00872C03" w:rsidP="0031057E">
            <w:pPr>
              <w:pStyle w:val="Tabletext0"/>
              <w:rPr>
                <w:sz w:val="22"/>
              </w:rPr>
            </w:pPr>
            <w:r w:rsidRPr="00883399">
              <w:rPr>
                <w:sz w:val="22"/>
              </w:rPr>
              <w:t>ISO 8973:1997</w:t>
            </w:r>
          </w:p>
          <w:p w14:paraId="7C168168" w14:textId="77777777" w:rsidR="00872C03" w:rsidRPr="00883399" w:rsidRDefault="00872C03" w:rsidP="0031057E">
            <w:pPr>
              <w:pStyle w:val="Tabletext0"/>
              <w:rPr>
                <w:sz w:val="22"/>
              </w:rPr>
            </w:pPr>
            <w:r w:rsidRPr="00883399">
              <w:rPr>
                <w:sz w:val="22"/>
              </w:rPr>
              <w:t>ASTM D 1657 – 02</w:t>
            </w:r>
          </w:p>
        </w:tc>
      </w:tr>
      <w:tr w:rsidR="00872C03" w:rsidRPr="00883399" w14:paraId="1BABC25E" w14:textId="77777777" w:rsidTr="0031057E">
        <w:trPr>
          <w:trHeight w:val="304"/>
        </w:trPr>
        <w:tc>
          <w:tcPr>
            <w:tcW w:w="840" w:type="dxa"/>
            <w:tcBorders>
              <w:top w:val="single" w:sz="4" w:space="0" w:color="auto"/>
            </w:tcBorders>
            <w:shd w:val="clear" w:color="auto" w:fill="auto"/>
          </w:tcPr>
          <w:p w14:paraId="7C5BC223" w14:textId="77777777" w:rsidR="00872C03" w:rsidRPr="00883399" w:rsidRDefault="00872C03" w:rsidP="0031057E">
            <w:pPr>
              <w:pStyle w:val="Tabletext0"/>
              <w:rPr>
                <w:sz w:val="22"/>
              </w:rPr>
            </w:pPr>
            <w:r w:rsidRPr="00883399">
              <w:rPr>
                <w:sz w:val="22"/>
              </w:rPr>
              <w:t>15</w:t>
            </w:r>
          </w:p>
        </w:tc>
        <w:tc>
          <w:tcPr>
            <w:tcW w:w="1920" w:type="dxa"/>
            <w:tcBorders>
              <w:top w:val="single" w:sz="4" w:space="0" w:color="auto"/>
            </w:tcBorders>
            <w:shd w:val="clear" w:color="auto" w:fill="auto"/>
          </w:tcPr>
          <w:p w14:paraId="6733A702" w14:textId="77777777" w:rsidR="00872C03" w:rsidRPr="00883399" w:rsidRDefault="00872C03" w:rsidP="0031057E">
            <w:pPr>
              <w:pStyle w:val="Tabletext0"/>
              <w:rPr>
                <w:sz w:val="22"/>
              </w:rPr>
            </w:pPr>
            <w:r w:rsidRPr="00883399">
              <w:rPr>
                <w:sz w:val="22"/>
              </w:rPr>
              <w:t>Naphtha</w:t>
            </w:r>
          </w:p>
        </w:tc>
        <w:tc>
          <w:tcPr>
            <w:tcW w:w="1680" w:type="dxa"/>
            <w:tcBorders>
              <w:top w:val="single" w:sz="4" w:space="0" w:color="auto"/>
            </w:tcBorders>
            <w:shd w:val="clear" w:color="auto" w:fill="auto"/>
          </w:tcPr>
          <w:p w14:paraId="439ADFF4" w14:textId="77777777" w:rsidR="00872C03" w:rsidRPr="00883399" w:rsidRDefault="00872C03" w:rsidP="0031057E">
            <w:pPr>
              <w:pStyle w:val="Tabletext0"/>
              <w:rPr>
                <w:sz w:val="22"/>
              </w:rPr>
            </w:pPr>
            <w:r w:rsidRPr="00883399">
              <w:rPr>
                <w:sz w:val="22"/>
              </w:rPr>
              <w:t>N/A</w:t>
            </w:r>
          </w:p>
        </w:tc>
        <w:tc>
          <w:tcPr>
            <w:tcW w:w="1800" w:type="dxa"/>
            <w:tcBorders>
              <w:top w:val="single" w:sz="4" w:space="0" w:color="auto"/>
            </w:tcBorders>
            <w:shd w:val="clear" w:color="auto" w:fill="auto"/>
          </w:tcPr>
          <w:p w14:paraId="278E6085" w14:textId="77777777" w:rsidR="00872C03" w:rsidRPr="00883399" w:rsidRDefault="00872C03" w:rsidP="0031057E">
            <w:pPr>
              <w:pStyle w:val="Tabletext0"/>
              <w:rPr>
                <w:sz w:val="22"/>
              </w:rPr>
            </w:pPr>
            <w:r w:rsidRPr="00883399">
              <w:rPr>
                <w:sz w:val="22"/>
              </w:rPr>
              <w:t>N/A</w:t>
            </w:r>
          </w:p>
        </w:tc>
        <w:tc>
          <w:tcPr>
            <w:tcW w:w="1440" w:type="dxa"/>
            <w:tcBorders>
              <w:top w:val="single" w:sz="4" w:space="0" w:color="auto"/>
            </w:tcBorders>
            <w:shd w:val="clear" w:color="auto" w:fill="auto"/>
          </w:tcPr>
          <w:p w14:paraId="1C198FBB" w14:textId="77777777" w:rsidR="00872C03" w:rsidRPr="00883399" w:rsidRDefault="00872C03" w:rsidP="0031057E">
            <w:pPr>
              <w:pStyle w:val="Tabletext0"/>
              <w:rPr>
                <w:sz w:val="22"/>
              </w:rPr>
            </w:pPr>
            <w:r w:rsidRPr="00883399">
              <w:rPr>
                <w:sz w:val="22"/>
              </w:rPr>
              <w:t>N/A</w:t>
            </w:r>
          </w:p>
        </w:tc>
      </w:tr>
      <w:tr w:rsidR="00872C03" w:rsidRPr="00883399" w14:paraId="78F91BD4" w14:textId="77777777" w:rsidTr="0031057E">
        <w:trPr>
          <w:trHeight w:val="304"/>
        </w:trPr>
        <w:tc>
          <w:tcPr>
            <w:tcW w:w="840" w:type="dxa"/>
            <w:shd w:val="clear" w:color="auto" w:fill="auto"/>
          </w:tcPr>
          <w:p w14:paraId="274C43ED" w14:textId="77777777" w:rsidR="00872C03" w:rsidRPr="00883399" w:rsidRDefault="00872C03" w:rsidP="0031057E">
            <w:pPr>
              <w:pStyle w:val="Tabletext0"/>
              <w:rPr>
                <w:sz w:val="22"/>
              </w:rPr>
            </w:pPr>
            <w:r w:rsidRPr="00883399">
              <w:rPr>
                <w:sz w:val="22"/>
              </w:rPr>
              <w:t>16</w:t>
            </w:r>
          </w:p>
        </w:tc>
        <w:tc>
          <w:tcPr>
            <w:tcW w:w="1920" w:type="dxa"/>
            <w:shd w:val="clear" w:color="auto" w:fill="auto"/>
          </w:tcPr>
          <w:p w14:paraId="33D6A248" w14:textId="77777777" w:rsidR="00872C03" w:rsidRPr="00883399" w:rsidRDefault="00872C03" w:rsidP="0031057E">
            <w:pPr>
              <w:pStyle w:val="Tabletext0"/>
              <w:rPr>
                <w:sz w:val="22"/>
              </w:rPr>
            </w:pPr>
            <w:r w:rsidRPr="00883399">
              <w:rPr>
                <w:sz w:val="22"/>
              </w:rPr>
              <w:t>Petroleum coke</w:t>
            </w:r>
          </w:p>
        </w:tc>
        <w:tc>
          <w:tcPr>
            <w:tcW w:w="1680" w:type="dxa"/>
            <w:shd w:val="clear" w:color="auto" w:fill="auto"/>
          </w:tcPr>
          <w:p w14:paraId="4C1C6D10" w14:textId="77777777" w:rsidR="00872C03" w:rsidRPr="00883399" w:rsidRDefault="00872C03" w:rsidP="0031057E">
            <w:pPr>
              <w:pStyle w:val="Tabletext0"/>
              <w:rPr>
                <w:sz w:val="22"/>
              </w:rPr>
            </w:pPr>
            <w:r w:rsidRPr="00883399">
              <w:rPr>
                <w:sz w:val="22"/>
              </w:rPr>
              <w:t>N/A</w:t>
            </w:r>
          </w:p>
        </w:tc>
        <w:tc>
          <w:tcPr>
            <w:tcW w:w="1800" w:type="dxa"/>
            <w:shd w:val="clear" w:color="auto" w:fill="auto"/>
          </w:tcPr>
          <w:p w14:paraId="7990CE88" w14:textId="77777777" w:rsidR="00872C03" w:rsidRPr="00883399" w:rsidRDefault="00872C03" w:rsidP="0031057E">
            <w:pPr>
              <w:pStyle w:val="Tabletext0"/>
              <w:rPr>
                <w:sz w:val="22"/>
              </w:rPr>
            </w:pPr>
            <w:r w:rsidRPr="00883399">
              <w:rPr>
                <w:sz w:val="22"/>
              </w:rPr>
              <w:t>N/A</w:t>
            </w:r>
          </w:p>
        </w:tc>
        <w:tc>
          <w:tcPr>
            <w:tcW w:w="1440" w:type="dxa"/>
            <w:shd w:val="clear" w:color="auto" w:fill="auto"/>
          </w:tcPr>
          <w:p w14:paraId="435041CD" w14:textId="77777777" w:rsidR="00872C03" w:rsidRPr="00883399" w:rsidRDefault="00872C03" w:rsidP="0031057E">
            <w:pPr>
              <w:pStyle w:val="Tabletext0"/>
              <w:rPr>
                <w:sz w:val="22"/>
              </w:rPr>
            </w:pPr>
            <w:r w:rsidRPr="00883399">
              <w:rPr>
                <w:sz w:val="22"/>
              </w:rPr>
              <w:t>N/A</w:t>
            </w:r>
          </w:p>
        </w:tc>
      </w:tr>
      <w:tr w:rsidR="00872C03" w:rsidRPr="00883399" w14:paraId="53582DA3" w14:textId="77777777" w:rsidTr="0031057E">
        <w:trPr>
          <w:trHeight w:val="304"/>
        </w:trPr>
        <w:tc>
          <w:tcPr>
            <w:tcW w:w="840" w:type="dxa"/>
            <w:shd w:val="clear" w:color="auto" w:fill="auto"/>
          </w:tcPr>
          <w:p w14:paraId="07AD835D" w14:textId="77777777" w:rsidR="00872C03" w:rsidRPr="00883399" w:rsidRDefault="00872C03" w:rsidP="0031057E">
            <w:pPr>
              <w:pStyle w:val="Tabletext0"/>
              <w:rPr>
                <w:sz w:val="22"/>
              </w:rPr>
            </w:pPr>
            <w:r w:rsidRPr="00883399">
              <w:rPr>
                <w:sz w:val="22"/>
              </w:rPr>
              <w:t>17</w:t>
            </w:r>
          </w:p>
        </w:tc>
        <w:tc>
          <w:tcPr>
            <w:tcW w:w="1920" w:type="dxa"/>
            <w:shd w:val="clear" w:color="auto" w:fill="auto"/>
          </w:tcPr>
          <w:p w14:paraId="26953744" w14:textId="77777777" w:rsidR="00872C03" w:rsidRPr="00883399" w:rsidRDefault="00872C03" w:rsidP="0031057E">
            <w:pPr>
              <w:pStyle w:val="Tabletext0"/>
              <w:rPr>
                <w:sz w:val="22"/>
              </w:rPr>
            </w:pPr>
            <w:r w:rsidRPr="00883399">
              <w:rPr>
                <w:sz w:val="22"/>
              </w:rPr>
              <w:t>Refinery gas and liquids</w:t>
            </w:r>
          </w:p>
        </w:tc>
        <w:tc>
          <w:tcPr>
            <w:tcW w:w="1680" w:type="dxa"/>
            <w:shd w:val="clear" w:color="auto" w:fill="auto"/>
          </w:tcPr>
          <w:p w14:paraId="4575F32F" w14:textId="77777777" w:rsidR="00872C03" w:rsidRPr="00883399" w:rsidRDefault="00872C03" w:rsidP="0031057E">
            <w:pPr>
              <w:pStyle w:val="Tabletext0"/>
              <w:rPr>
                <w:sz w:val="22"/>
              </w:rPr>
            </w:pPr>
            <w:r w:rsidRPr="00883399">
              <w:rPr>
                <w:sz w:val="22"/>
              </w:rPr>
              <w:t>N/A</w:t>
            </w:r>
          </w:p>
        </w:tc>
        <w:tc>
          <w:tcPr>
            <w:tcW w:w="1800" w:type="dxa"/>
            <w:shd w:val="clear" w:color="auto" w:fill="auto"/>
          </w:tcPr>
          <w:p w14:paraId="58FF36DA" w14:textId="77777777" w:rsidR="00872C03" w:rsidRPr="00883399" w:rsidRDefault="00872C03" w:rsidP="0031057E">
            <w:pPr>
              <w:pStyle w:val="Tabletext0"/>
              <w:rPr>
                <w:sz w:val="22"/>
              </w:rPr>
            </w:pPr>
            <w:r w:rsidRPr="00883399">
              <w:rPr>
                <w:sz w:val="22"/>
              </w:rPr>
              <w:t>N/A</w:t>
            </w:r>
          </w:p>
        </w:tc>
        <w:tc>
          <w:tcPr>
            <w:tcW w:w="1440" w:type="dxa"/>
            <w:shd w:val="clear" w:color="auto" w:fill="auto"/>
          </w:tcPr>
          <w:p w14:paraId="51E82ECC" w14:textId="77777777" w:rsidR="00872C03" w:rsidRPr="00883399" w:rsidRDefault="00872C03" w:rsidP="0031057E">
            <w:pPr>
              <w:pStyle w:val="Tabletext0"/>
              <w:rPr>
                <w:sz w:val="22"/>
              </w:rPr>
            </w:pPr>
            <w:r w:rsidRPr="00883399">
              <w:rPr>
                <w:sz w:val="22"/>
              </w:rPr>
              <w:t>N/A</w:t>
            </w:r>
          </w:p>
        </w:tc>
      </w:tr>
      <w:tr w:rsidR="00872C03" w:rsidRPr="00883399" w14:paraId="36343146" w14:textId="77777777" w:rsidTr="0031057E">
        <w:trPr>
          <w:trHeight w:val="304"/>
        </w:trPr>
        <w:tc>
          <w:tcPr>
            <w:tcW w:w="840" w:type="dxa"/>
            <w:shd w:val="clear" w:color="auto" w:fill="auto"/>
          </w:tcPr>
          <w:p w14:paraId="78DBA4C5" w14:textId="77777777" w:rsidR="00872C03" w:rsidRPr="00883399" w:rsidRDefault="00872C03" w:rsidP="0031057E">
            <w:pPr>
              <w:pStyle w:val="Tabletext0"/>
              <w:rPr>
                <w:sz w:val="22"/>
              </w:rPr>
            </w:pPr>
            <w:r w:rsidRPr="00883399">
              <w:rPr>
                <w:sz w:val="22"/>
              </w:rPr>
              <w:t>18</w:t>
            </w:r>
          </w:p>
        </w:tc>
        <w:tc>
          <w:tcPr>
            <w:tcW w:w="1920" w:type="dxa"/>
            <w:shd w:val="clear" w:color="auto" w:fill="auto"/>
          </w:tcPr>
          <w:p w14:paraId="1D4D229D" w14:textId="77777777" w:rsidR="00872C03" w:rsidRPr="00883399" w:rsidRDefault="00872C03" w:rsidP="0031057E">
            <w:pPr>
              <w:pStyle w:val="Tabletext0"/>
              <w:rPr>
                <w:sz w:val="22"/>
              </w:rPr>
            </w:pPr>
            <w:r w:rsidRPr="00883399">
              <w:rPr>
                <w:sz w:val="22"/>
              </w:rPr>
              <w:t>Refinery coke</w:t>
            </w:r>
          </w:p>
        </w:tc>
        <w:tc>
          <w:tcPr>
            <w:tcW w:w="1680" w:type="dxa"/>
            <w:shd w:val="clear" w:color="auto" w:fill="auto"/>
          </w:tcPr>
          <w:p w14:paraId="33359D0E" w14:textId="77777777" w:rsidR="00872C03" w:rsidRPr="00883399" w:rsidRDefault="00872C03" w:rsidP="0031057E">
            <w:pPr>
              <w:pStyle w:val="Tabletext0"/>
              <w:rPr>
                <w:sz w:val="22"/>
              </w:rPr>
            </w:pPr>
            <w:r w:rsidRPr="00883399">
              <w:rPr>
                <w:sz w:val="22"/>
              </w:rPr>
              <w:t>N/A</w:t>
            </w:r>
          </w:p>
        </w:tc>
        <w:tc>
          <w:tcPr>
            <w:tcW w:w="1800" w:type="dxa"/>
            <w:shd w:val="clear" w:color="auto" w:fill="auto"/>
          </w:tcPr>
          <w:p w14:paraId="2AD6E885" w14:textId="77777777" w:rsidR="00872C03" w:rsidRPr="00883399" w:rsidRDefault="00872C03" w:rsidP="0031057E">
            <w:pPr>
              <w:pStyle w:val="Tabletext0"/>
              <w:rPr>
                <w:sz w:val="22"/>
              </w:rPr>
            </w:pPr>
            <w:r w:rsidRPr="00883399">
              <w:rPr>
                <w:sz w:val="22"/>
              </w:rPr>
              <w:t>N/A</w:t>
            </w:r>
          </w:p>
        </w:tc>
        <w:tc>
          <w:tcPr>
            <w:tcW w:w="1440" w:type="dxa"/>
            <w:shd w:val="clear" w:color="auto" w:fill="auto"/>
          </w:tcPr>
          <w:p w14:paraId="11A30645" w14:textId="77777777" w:rsidR="00872C03" w:rsidRPr="00883399" w:rsidRDefault="00872C03" w:rsidP="0031057E">
            <w:pPr>
              <w:pStyle w:val="Tabletext0"/>
              <w:rPr>
                <w:sz w:val="22"/>
              </w:rPr>
            </w:pPr>
            <w:r w:rsidRPr="00883399">
              <w:rPr>
                <w:sz w:val="22"/>
              </w:rPr>
              <w:t>N/A</w:t>
            </w:r>
          </w:p>
        </w:tc>
      </w:tr>
      <w:tr w:rsidR="00872C03" w:rsidRPr="00883399" w14:paraId="56B78974" w14:textId="77777777" w:rsidTr="0031057E">
        <w:trPr>
          <w:trHeight w:val="304"/>
        </w:trPr>
        <w:tc>
          <w:tcPr>
            <w:tcW w:w="840" w:type="dxa"/>
            <w:shd w:val="clear" w:color="auto" w:fill="auto"/>
          </w:tcPr>
          <w:p w14:paraId="0B532AB7" w14:textId="77777777" w:rsidR="00872C03" w:rsidRPr="00883399" w:rsidRDefault="00872C03" w:rsidP="0031057E">
            <w:pPr>
              <w:pStyle w:val="Tabletext0"/>
              <w:rPr>
                <w:sz w:val="22"/>
              </w:rPr>
            </w:pPr>
            <w:r w:rsidRPr="00883399">
              <w:rPr>
                <w:sz w:val="22"/>
              </w:rPr>
              <w:t>19</w:t>
            </w:r>
          </w:p>
        </w:tc>
        <w:tc>
          <w:tcPr>
            <w:tcW w:w="1920" w:type="dxa"/>
            <w:shd w:val="clear" w:color="auto" w:fill="auto"/>
          </w:tcPr>
          <w:p w14:paraId="109A719F" w14:textId="77777777" w:rsidR="00872C03" w:rsidRPr="00883399" w:rsidRDefault="00872C03" w:rsidP="0031057E">
            <w:pPr>
              <w:pStyle w:val="Tabletext0"/>
              <w:rPr>
                <w:snapToGrid w:val="0"/>
                <w:sz w:val="22"/>
              </w:rPr>
            </w:pPr>
            <w:r w:rsidRPr="00883399">
              <w:rPr>
                <w:snapToGrid w:val="0"/>
                <w:sz w:val="22"/>
              </w:rPr>
              <w:t>Petroleum based products other than:</w:t>
            </w:r>
          </w:p>
          <w:p w14:paraId="10058AA6" w14:textId="77777777" w:rsidR="00872C03" w:rsidRPr="00883399" w:rsidRDefault="00872C03" w:rsidP="0031057E">
            <w:pPr>
              <w:pStyle w:val="Tablea"/>
              <w:rPr>
                <w:snapToGrid w:val="0"/>
                <w:sz w:val="22"/>
              </w:rPr>
            </w:pPr>
            <w:r w:rsidRPr="00883399">
              <w:rPr>
                <w:snapToGrid w:val="0"/>
                <w:sz w:val="22"/>
              </w:rPr>
              <w:t>(a) petroleum based oils and petroleum based greases mentioned in items 1and 2</w:t>
            </w:r>
          </w:p>
          <w:p w14:paraId="3FA4CA63" w14:textId="77777777" w:rsidR="00872C03" w:rsidRPr="00883399" w:rsidRDefault="00872C03" w:rsidP="0031057E">
            <w:pPr>
              <w:pStyle w:val="Tablea"/>
              <w:rPr>
                <w:sz w:val="22"/>
              </w:rPr>
            </w:pPr>
            <w:r w:rsidRPr="00883399">
              <w:rPr>
                <w:snapToGrid w:val="0"/>
                <w:sz w:val="22"/>
              </w:rPr>
              <w:t>(b) the petroleum based products mentioned in items 3 to 18</w:t>
            </w:r>
          </w:p>
        </w:tc>
        <w:tc>
          <w:tcPr>
            <w:tcW w:w="1680" w:type="dxa"/>
            <w:shd w:val="clear" w:color="auto" w:fill="auto"/>
          </w:tcPr>
          <w:p w14:paraId="2FF507C4" w14:textId="77777777" w:rsidR="00872C03" w:rsidRPr="00883399" w:rsidRDefault="00872C03" w:rsidP="0031057E">
            <w:pPr>
              <w:pStyle w:val="Tabletext0"/>
              <w:rPr>
                <w:sz w:val="22"/>
              </w:rPr>
            </w:pPr>
            <w:r w:rsidRPr="00883399">
              <w:rPr>
                <w:sz w:val="22"/>
              </w:rPr>
              <w:t>N/A</w:t>
            </w:r>
          </w:p>
        </w:tc>
        <w:tc>
          <w:tcPr>
            <w:tcW w:w="1800" w:type="dxa"/>
            <w:shd w:val="clear" w:color="auto" w:fill="auto"/>
          </w:tcPr>
          <w:p w14:paraId="6637AED6" w14:textId="77777777" w:rsidR="00872C03" w:rsidRPr="00883399" w:rsidRDefault="00872C03" w:rsidP="0031057E">
            <w:pPr>
              <w:pStyle w:val="Tabletext0"/>
              <w:rPr>
                <w:sz w:val="22"/>
              </w:rPr>
            </w:pPr>
            <w:r w:rsidRPr="00883399">
              <w:rPr>
                <w:sz w:val="22"/>
              </w:rPr>
              <w:t>N/A</w:t>
            </w:r>
          </w:p>
        </w:tc>
        <w:tc>
          <w:tcPr>
            <w:tcW w:w="1440" w:type="dxa"/>
            <w:shd w:val="clear" w:color="auto" w:fill="auto"/>
          </w:tcPr>
          <w:p w14:paraId="013B3045" w14:textId="77777777" w:rsidR="00872C03" w:rsidRPr="00883399" w:rsidRDefault="00872C03" w:rsidP="0031057E">
            <w:pPr>
              <w:pStyle w:val="Tabletext0"/>
              <w:rPr>
                <w:sz w:val="22"/>
              </w:rPr>
            </w:pPr>
            <w:r w:rsidRPr="00883399">
              <w:rPr>
                <w:sz w:val="22"/>
              </w:rPr>
              <w:t>N/A</w:t>
            </w:r>
          </w:p>
        </w:tc>
      </w:tr>
      <w:tr w:rsidR="00872C03" w:rsidRPr="00883399" w14:paraId="48CAE5F5" w14:textId="77777777" w:rsidTr="0031057E">
        <w:trPr>
          <w:trHeight w:val="304"/>
        </w:trPr>
        <w:tc>
          <w:tcPr>
            <w:tcW w:w="840" w:type="dxa"/>
            <w:shd w:val="clear" w:color="auto" w:fill="auto"/>
          </w:tcPr>
          <w:p w14:paraId="5A20FE6F" w14:textId="77777777" w:rsidR="00872C03" w:rsidRPr="00883399" w:rsidRDefault="00872C03" w:rsidP="0031057E">
            <w:pPr>
              <w:pStyle w:val="Tabletext0"/>
              <w:rPr>
                <w:sz w:val="22"/>
              </w:rPr>
            </w:pPr>
            <w:r w:rsidRPr="00883399">
              <w:rPr>
                <w:sz w:val="22"/>
              </w:rPr>
              <w:t>20</w:t>
            </w:r>
          </w:p>
        </w:tc>
        <w:tc>
          <w:tcPr>
            <w:tcW w:w="1920" w:type="dxa"/>
            <w:shd w:val="clear" w:color="auto" w:fill="auto"/>
          </w:tcPr>
          <w:p w14:paraId="3ECDBEB8" w14:textId="77777777" w:rsidR="00872C03" w:rsidRPr="00883399" w:rsidRDefault="00872C03" w:rsidP="0031057E">
            <w:pPr>
              <w:pStyle w:val="Tabletext0"/>
              <w:rPr>
                <w:sz w:val="22"/>
              </w:rPr>
            </w:pPr>
            <w:r w:rsidRPr="00883399">
              <w:rPr>
                <w:sz w:val="22"/>
              </w:rPr>
              <w:t xml:space="preserve">Biodiesel </w:t>
            </w:r>
          </w:p>
        </w:tc>
        <w:tc>
          <w:tcPr>
            <w:tcW w:w="1680" w:type="dxa"/>
            <w:shd w:val="clear" w:color="auto" w:fill="auto"/>
          </w:tcPr>
          <w:p w14:paraId="761A5CE0" w14:textId="77777777" w:rsidR="00872C03" w:rsidRPr="00883399" w:rsidRDefault="00872C03" w:rsidP="0031057E">
            <w:pPr>
              <w:pStyle w:val="Tabletext0"/>
              <w:rPr>
                <w:sz w:val="22"/>
              </w:rPr>
            </w:pPr>
            <w:r w:rsidRPr="00883399">
              <w:rPr>
                <w:sz w:val="22"/>
              </w:rPr>
              <w:t>N/A</w:t>
            </w:r>
          </w:p>
        </w:tc>
        <w:tc>
          <w:tcPr>
            <w:tcW w:w="1800" w:type="dxa"/>
            <w:shd w:val="clear" w:color="auto" w:fill="auto"/>
          </w:tcPr>
          <w:p w14:paraId="6C69FAE1" w14:textId="77777777" w:rsidR="00872C03" w:rsidRPr="00883399" w:rsidRDefault="00872C03" w:rsidP="0031057E">
            <w:pPr>
              <w:pStyle w:val="Tabletext0"/>
              <w:rPr>
                <w:sz w:val="22"/>
              </w:rPr>
            </w:pPr>
            <w:r w:rsidRPr="00883399">
              <w:rPr>
                <w:sz w:val="22"/>
              </w:rPr>
              <w:t>N/A</w:t>
            </w:r>
          </w:p>
        </w:tc>
        <w:tc>
          <w:tcPr>
            <w:tcW w:w="1440" w:type="dxa"/>
            <w:shd w:val="clear" w:color="auto" w:fill="auto"/>
          </w:tcPr>
          <w:p w14:paraId="38CA6D2B" w14:textId="77777777" w:rsidR="00872C03" w:rsidRPr="00883399" w:rsidRDefault="00872C03" w:rsidP="0031057E">
            <w:pPr>
              <w:pStyle w:val="Tabletext0"/>
              <w:rPr>
                <w:sz w:val="22"/>
              </w:rPr>
            </w:pPr>
            <w:r w:rsidRPr="00883399">
              <w:rPr>
                <w:sz w:val="22"/>
              </w:rPr>
              <w:t>N/A</w:t>
            </w:r>
          </w:p>
        </w:tc>
      </w:tr>
      <w:tr w:rsidR="00872C03" w:rsidRPr="00883399" w14:paraId="78303ADB" w14:textId="77777777" w:rsidTr="0031057E">
        <w:trPr>
          <w:trHeight w:val="304"/>
        </w:trPr>
        <w:tc>
          <w:tcPr>
            <w:tcW w:w="840" w:type="dxa"/>
            <w:tcBorders>
              <w:bottom w:val="single" w:sz="4" w:space="0" w:color="auto"/>
            </w:tcBorders>
            <w:shd w:val="clear" w:color="auto" w:fill="auto"/>
          </w:tcPr>
          <w:p w14:paraId="2AE4D1F4" w14:textId="77777777" w:rsidR="00872C03" w:rsidRPr="00883399" w:rsidRDefault="00872C03" w:rsidP="0031057E">
            <w:pPr>
              <w:pStyle w:val="Tabletext0"/>
              <w:rPr>
                <w:sz w:val="22"/>
              </w:rPr>
            </w:pPr>
            <w:r w:rsidRPr="00883399">
              <w:rPr>
                <w:sz w:val="22"/>
              </w:rPr>
              <w:t>21</w:t>
            </w:r>
          </w:p>
        </w:tc>
        <w:tc>
          <w:tcPr>
            <w:tcW w:w="1920" w:type="dxa"/>
            <w:tcBorders>
              <w:bottom w:val="single" w:sz="4" w:space="0" w:color="auto"/>
            </w:tcBorders>
            <w:shd w:val="clear" w:color="auto" w:fill="auto"/>
          </w:tcPr>
          <w:p w14:paraId="27575156" w14:textId="77777777" w:rsidR="00872C03" w:rsidRPr="00883399" w:rsidRDefault="00872C03" w:rsidP="0031057E">
            <w:pPr>
              <w:pStyle w:val="Tabletext0"/>
              <w:rPr>
                <w:sz w:val="22"/>
              </w:rPr>
            </w:pPr>
            <w:r w:rsidRPr="00883399">
              <w:rPr>
                <w:sz w:val="22"/>
              </w:rPr>
              <w:t xml:space="preserve">Ethanol for use as a fuel in an </w:t>
            </w:r>
            <w:r w:rsidRPr="00883399">
              <w:rPr>
                <w:sz w:val="22"/>
              </w:rPr>
              <w:lastRenderedPageBreak/>
              <w:t xml:space="preserve">internal combustion engine </w:t>
            </w:r>
          </w:p>
        </w:tc>
        <w:tc>
          <w:tcPr>
            <w:tcW w:w="1680" w:type="dxa"/>
            <w:tcBorders>
              <w:bottom w:val="single" w:sz="4" w:space="0" w:color="auto"/>
            </w:tcBorders>
            <w:shd w:val="clear" w:color="auto" w:fill="auto"/>
          </w:tcPr>
          <w:p w14:paraId="5BD825F5" w14:textId="77777777" w:rsidR="00872C03" w:rsidRPr="00883399" w:rsidRDefault="00872C03" w:rsidP="0031057E">
            <w:pPr>
              <w:pStyle w:val="Tabletext0"/>
              <w:rPr>
                <w:sz w:val="22"/>
              </w:rPr>
            </w:pPr>
            <w:r w:rsidRPr="00883399">
              <w:rPr>
                <w:sz w:val="22"/>
              </w:rPr>
              <w:lastRenderedPageBreak/>
              <w:t>N/A</w:t>
            </w:r>
          </w:p>
        </w:tc>
        <w:tc>
          <w:tcPr>
            <w:tcW w:w="1800" w:type="dxa"/>
            <w:tcBorders>
              <w:bottom w:val="single" w:sz="4" w:space="0" w:color="auto"/>
            </w:tcBorders>
            <w:shd w:val="clear" w:color="auto" w:fill="auto"/>
          </w:tcPr>
          <w:p w14:paraId="0E35206B" w14:textId="77777777" w:rsidR="00872C03" w:rsidRPr="00883399" w:rsidRDefault="00872C03" w:rsidP="0031057E">
            <w:pPr>
              <w:pStyle w:val="Tabletext0"/>
              <w:rPr>
                <w:sz w:val="22"/>
              </w:rPr>
            </w:pPr>
            <w:r w:rsidRPr="00883399">
              <w:rPr>
                <w:sz w:val="22"/>
              </w:rPr>
              <w:t>N/A</w:t>
            </w:r>
          </w:p>
        </w:tc>
        <w:tc>
          <w:tcPr>
            <w:tcW w:w="1440" w:type="dxa"/>
            <w:tcBorders>
              <w:bottom w:val="single" w:sz="4" w:space="0" w:color="auto"/>
            </w:tcBorders>
            <w:shd w:val="clear" w:color="auto" w:fill="auto"/>
          </w:tcPr>
          <w:p w14:paraId="27295861" w14:textId="77777777" w:rsidR="00872C03" w:rsidRPr="00883399" w:rsidRDefault="00872C03" w:rsidP="0031057E">
            <w:pPr>
              <w:pStyle w:val="Tabletext0"/>
              <w:rPr>
                <w:sz w:val="22"/>
              </w:rPr>
            </w:pPr>
            <w:r w:rsidRPr="00883399">
              <w:rPr>
                <w:sz w:val="22"/>
              </w:rPr>
              <w:t>N/A</w:t>
            </w:r>
          </w:p>
        </w:tc>
      </w:tr>
      <w:tr w:rsidR="00872C03" w:rsidRPr="00883399" w14:paraId="3A677ABA" w14:textId="77777777" w:rsidTr="0031057E">
        <w:trPr>
          <w:trHeight w:val="830"/>
        </w:trPr>
        <w:tc>
          <w:tcPr>
            <w:tcW w:w="840" w:type="dxa"/>
            <w:tcBorders>
              <w:bottom w:val="single" w:sz="12" w:space="0" w:color="auto"/>
            </w:tcBorders>
            <w:shd w:val="clear" w:color="auto" w:fill="auto"/>
          </w:tcPr>
          <w:p w14:paraId="6D4ED78C" w14:textId="77777777" w:rsidR="00872C03" w:rsidRPr="00883399" w:rsidRDefault="00872C03" w:rsidP="0031057E">
            <w:pPr>
              <w:pStyle w:val="Tabletext0"/>
              <w:rPr>
                <w:sz w:val="22"/>
              </w:rPr>
            </w:pPr>
            <w:r w:rsidRPr="00883399">
              <w:rPr>
                <w:sz w:val="22"/>
              </w:rPr>
              <w:t>22</w:t>
            </w:r>
          </w:p>
        </w:tc>
        <w:tc>
          <w:tcPr>
            <w:tcW w:w="1920" w:type="dxa"/>
            <w:tcBorders>
              <w:bottom w:val="single" w:sz="12" w:space="0" w:color="auto"/>
            </w:tcBorders>
            <w:shd w:val="clear" w:color="auto" w:fill="auto"/>
          </w:tcPr>
          <w:p w14:paraId="04AFF699" w14:textId="77777777" w:rsidR="00872C03" w:rsidRPr="00883399" w:rsidRDefault="00872C03" w:rsidP="0031057E">
            <w:pPr>
              <w:pStyle w:val="Tabletext0"/>
              <w:rPr>
                <w:sz w:val="22"/>
              </w:rPr>
            </w:pPr>
            <w:r w:rsidRPr="00883399">
              <w:rPr>
                <w:sz w:val="22"/>
              </w:rPr>
              <w:t>Biofuels other than those mentioned in items 20 and 21</w:t>
            </w:r>
          </w:p>
        </w:tc>
        <w:tc>
          <w:tcPr>
            <w:tcW w:w="1680" w:type="dxa"/>
            <w:tcBorders>
              <w:bottom w:val="single" w:sz="12" w:space="0" w:color="auto"/>
            </w:tcBorders>
            <w:shd w:val="clear" w:color="auto" w:fill="auto"/>
          </w:tcPr>
          <w:p w14:paraId="6D93EBE0" w14:textId="77777777" w:rsidR="00872C03" w:rsidRPr="00883399" w:rsidRDefault="00872C03" w:rsidP="0031057E">
            <w:pPr>
              <w:pStyle w:val="Tabletext0"/>
              <w:rPr>
                <w:sz w:val="22"/>
              </w:rPr>
            </w:pPr>
            <w:r w:rsidRPr="00883399">
              <w:rPr>
                <w:sz w:val="22"/>
              </w:rPr>
              <w:t>N/A</w:t>
            </w:r>
          </w:p>
        </w:tc>
        <w:tc>
          <w:tcPr>
            <w:tcW w:w="1800" w:type="dxa"/>
            <w:tcBorders>
              <w:bottom w:val="single" w:sz="12" w:space="0" w:color="auto"/>
            </w:tcBorders>
            <w:shd w:val="clear" w:color="auto" w:fill="auto"/>
          </w:tcPr>
          <w:p w14:paraId="5ECCD53A" w14:textId="77777777" w:rsidR="00872C03" w:rsidRPr="00883399" w:rsidRDefault="00872C03" w:rsidP="0031057E">
            <w:pPr>
              <w:pStyle w:val="Tabletext0"/>
              <w:rPr>
                <w:sz w:val="22"/>
              </w:rPr>
            </w:pPr>
            <w:r w:rsidRPr="00883399">
              <w:rPr>
                <w:sz w:val="22"/>
              </w:rPr>
              <w:t>N/A</w:t>
            </w:r>
          </w:p>
        </w:tc>
        <w:tc>
          <w:tcPr>
            <w:tcW w:w="1440" w:type="dxa"/>
            <w:tcBorders>
              <w:bottom w:val="single" w:sz="12" w:space="0" w:color="auto"/>
            </w:tcBorders>
            <w:shd w:val="clear" w:color="auto" w:fill="auto"/>
          </w:tcPr>
          <w:p w14:paraId="731CFECA" w14:textId="77777777" w:rsidR="00872C03" w:rsidRPr="00883399" w:rsidRDefault="00872C03" w:rsidP="0031057E">
            <w:pPr>
              <w:pStyle w:val="Tabletext0"/>
              <w:rPr>
                <w:sz w:val="22"/>
              </w:rPr>
            </w:pPr>
            <w:r w:rsidRPr="00883399">
              <w:rPr>
                <w:sz w:val="22"/>
              </w:rPr>
              <w:t>N/A</w:t>
            </w:r>
          </w:p>
        </w:tc>
      </w:tr>
    </w:tbl>
    <w:p w14:paraId="2EDC086A" w14:textId="77777777" w:rsidR="00872C03" w:rsidRPr="00883399" w:rsidRDefault="00872C03" w:rsidP="00872C03">
      <w:pPr>
        <w:pStyle w:val="subsection"/>
        <w:rPr>
          <w:sz w:val="24"/>
        </w:rPr>
      </w:pPr>
      <w:r w:rsidRPr="00883399">
        <w:rPr>
          <w:sz w:val="24"/>
        </w:rPr>
        <w:tab/>
        <w:t>(2)</w:t>
      </w:r>
      <w:r w:rsidRPr="00883399">
        <w:rPr>
          <w:sz w:val="24"/>
        </w:rPr>
        <w:tab/>
        <w:t>A liquid fuel of a type mentioned in column 2 of an item in the table in subsection (1) may also be analysed for energy content, carbon and density in accordance with a standard that is equivalent to a standard mentioned in columns 3, 4 and 5 for that item.</w:t>
      </w:r>
    </w:p>
    <w:p w14:paraId="4A3B91FD" w14:textId="77777777" w:rsidR="00872C03" w:rsidRPr="00883399" w:rsidRDefault="00872C03" w:rsidP="00872C03">
      <w:pPr>
        <w:pStyle w:val="subsection"/>
        <w:rPr>
          <w:sz w:val="24"/>
        </w:rPr>
      </w:pPr>
      <w:r w:rsidRPr="00883399">
        <w:rPr>
          <w:sz w:val="24"/>
        </w:rPr>
        <w:tab/>
        <w:t>(3)</w:t>
      </w:r>
      <w:r w:rsidRPr="00883399">
        <w:rPr>
          <w:sz w:val="24"/>
        </w:rPr>
        <w:tab/>
        <w:t>Analysis must be undertaken by an accredited laboratory or by a laboratory that meets requirements equivalent to those in AS ISO/IEC 17025:2005.</w:t>
      </w:r>
    </w:p>
    <w:p w14:paraId="6A5C7BB0" w14:textId="6A33410A" w:rsidR="00872C03" w:rsidRPr="00883399" w:rsidRDefault="00872C03" w:rsidP="00872C03">
      <w:pPr>
        <w:pStyle w:val="ActHead5"/>
        <w:rPr>
          <w:sz w:val="28"/>
        </w:rPr>
      </w:pPr>
      <w:bookmarkStart w:id="312" w:name="_Toc423516807"/>
      <w:bookmarkStart w:id="313" w:name="_Toc495652725"/>
      <w:r w:rsidRPr="00883399">
        <w:rPr>
          <w:rStyle w:val="CharSectno"/>
          <w:sz w:val="28"/>
        </w:rPr>
        <w:t>2.46</w:t>
      </w:r>
      <w:r w:rsidRPr="00883399">
        <w:rPr>
          <w:sz w:val="28"/>
        </w:rPr>
        <w:t xml:space="preserve">  Frequency of analysis</w:t>
      </w:r>
      <w:bookmarkEnd w:id="312"/>
      <w:bookmarkEnd w:id="313"/>
    </w:p>
    <w:p w14:paraId="7901F489" w14:textId="77777777" w:rsidR="00872C03" w:rsidRPr="00883399" w:rsidRDefault="00872C03" w:rsidP="00872C03">
      <w:pPr>
        <w:pStyle w:val="subsection"/>
        <w:rPr>
          <w:sz w:val="24"/>
        </w:rPr>
      </w:pPr>
      <w:r w:rsidRPr="00883399">
        <w:rPr>
          <w:sz w:val="24"/>
        </w:rPr>
        <w:tab/>
      </w:r>
      <w:r w:rsidRPr="00883399">
        <w:rPr>
          <w:sz w:val="24"/>
        </w:rPr>
        <w:tab/>
        <w:t>Liquid fuel of a type mentioned in column 2 of an item in the following table must be analysed for the parameter mentioned in column 3 for that item at least at the frequency mentioned in column 4 for that item.</w:t>
      </w:r>
    </w:p>
    <w:p w14:paraId="5B0F37A9" w14:textId="77777777" w:rsidR="00872C03" w:rsidRPr="00883399" w:rsidRDefault="00872C03" w:rsidP="00872C03">
      <w:pPr>
        <w:pStyle w:val="Tabletext0"/>
        <w:rPr>
          <w:sz w:val="22"/>
        </w:rPr>
      </w:pPr>
    </w:p>
    <w:tbl>
      <w:tblPr>
        <w:tblW w:w="7680" w:type="dxa"/>
        <w:tblInd w:w="1068" w:type="dxa"/>
        <w:tblBorders>
          <w:top w:val="single" w:sz="4" w:space="0" w:color="auto"/>
          <w:bottom w:val="single" w:sz="2" w:space="0" w:color="auto"/>
          <w:insideH w:val="single" w:sz="4" w:space="0" w:color="auto"/>
        </w:tblBorders>
        <w:tblLook w:val="01E0" w:firstRow="1" w:lastRow="1" w:firstColumn="1" w:lastColumn="1" w:noHBand="0" w:noVBand="0"/>
      </w:tblPr>
      <w:tblGrid>
        <w:gridCol w:w="840"/>
        <w:gridCol w:w="1920"/>
        <w:gridCol w:w="2280"/>
        <w:gridCol w:w="2640"/>
      </w:tblGrid>
      <w:tr w:rsidR="00872C03" w:rsidRPr="00883399" w14:paraId="6C6EF714" w14:textId="77777777" w:rsidTr="0031057E">
        <w:trPr>
          <w:trHeight w:val="340"/>
          <w:tblHeader/>
        </w:trPr>
        <w:tc>
          <w:tcPr>
            <w:tcW w:w="840" w:type="dxa"/>
            <w:tcBorders>
              <w:top w:val="single" w:sz="12" w:space="0" w:color="auto"/>
              <w:bottom w:val="single" w:sz="12" w:space="0" w:color="auto"/>
            </w:tcBorders>
            <w:shd w:val="clear" w:color="auto" w:fill="auto"/>
          </w:tcPr>
          <w:p w14:paraId="71D72D07" w14:textId="77777777" w:rsidR="00872C03" w:rsidRPr="00883399" w:rsidRDefault="00872C03" w:rsidP="0031057E">
            <w:pPr>
              <w:pStyle w:val="TableHeading"/>
              <w:rPr>
                <w:sz w:val="22"/>
              </w:rPr>
            </w:pPr>
            <w:r w:rsidRPr="00883399">
              <w:rPr>
                <w:sz w:val="22"/>
              </w:rPr>
              <w:t>Item</w:t>
            </w:r>
          </w:p>
        </w:tc>
        <w:tc>
          <w:tcPr>
            <w:tcW w:w="1920" w:type="dxa"/>
            <w:tcBorders>
              <w:top w:val="single" w:sz="12" w:space="0" w:color="auto"/>
              <w:bottom w:val="single" w:sz="12" w:space="0" w:color="auto"/>
            </w:tcBorders>
            <w:shd w:val="clear" w:color="auto" w:fill="auto"/>
          </w:tcPr>
          <w:p w14:paraId="66E74F31" w14:textId="77777777" w:rsidR="00872C03" w:rsidRPr="00883399" w:rsidRDefault="00872C03" w:rsidP="0031057E">
            <w:pPr>
              <w:pStyle w:val="TableHeading"/>
              <w:rPr>
                <w:sz w:val="22"/>
              </w:rPr>
            </w:pPr>
            <w:r w:rsidRPr="00883399">
              <w:rPr>
                <w:sz w:val="22"/>
              </w:rPr>
              <w:t>Fuel</w:t>
            </w:r>
          </w:p>
        </w:tc>
        <w:tc>
          <w:tcPr>
            <w:tcW w:w="2280" w:type="dxa"/>
            <w:tcBorders>
              <w:top w:val="single" w:sz="12" w:space="0" w:color="auto"/>
              <w:bottom w:val="single" w:sz="12" w:space="0" w:color="auto"/>
            </w:tcBorders>
            <w:shd w:val="clear" w:color="auto" w:fill="auto"/>
          </w:tcPr>
          <w:p w14:paraId="52D5E922" w14:textId="77777777" w:rsidR="00872C03" w:rsidRPr="00883399" w:rsidRDefault="00872C03" w:rsidP="0031057E">
            <w:pPr>
              <w:pStyle w:val="TableHeading"/>
              <w:rPr>
                <w:sz w:val="22"/>
              </w:rPr>
            </w:pPr>
            <w:r w:rsidRPr="00883399">
              <w:rPr>
                <w:sz w:val="22"/>
              </w:rPr>
              <w:t>Parameter</w:t>
            </w:r>
          </w:p>
        </w:tc>
        <w:tc>
          <w:tcPr>
            <w:tcW w:w="2640" w:type="dxa"/>
            <w:tcBorders>
              <w:top w:val="single" w:sz="12" w:space="0" w:color="auto"/>
              <w:bottom w:val="single" w:sz="12" w:space="0" w:color="auto"/>
            </w:tcBorders>
            <w:shd w:val="clear" w:color="auto" w:fill="auto"/>
          </w:tcPr>
          <w:p w14:paraId="735DB17D" w14:textId="77777777" w:rsidR="00872C03" w:rsidRPr="00883399" w:rsidRDefault="00872C03" w:rsidP="0031057E">
            <w:pPr>
              <w:pStyle w:val="TableHeading"/>
              <w:rPr>
                <w:sz w:val="22"/>
              </w:rPr>
            </w:pPr>
            <w:r w:rsidRPr="00883399">
              <w:rPr>
                <w:sz w:val="22"/>
              </w:rPr>
              <w:t>Frequency</w:t>
            </w:r>
          </w:p>
        </w:tc>
      </w:tr>
      <w:tr w:rsidR="00872C03" w:rsidRPr="00883399" w14:paraId="4CEAA3B5" w14:textId="77777777" w:rsidTr="0031057E">
        <w:tc>
          <w:tcPr>
            <w:tcW w:w="840" w:type="dxa"/>
            <w:tcBorders>
              <w:top w:val="single" w:sz="12" w:space="0" w:color="auto"/>
              <w:bottom w:val="single" w:sz="4" w:space="0" w:color="auto"/>
            </w:tcBorders>
            <w:shd w:val="clear" w:color="auto" w:fill="auto"/>
          </w:tcPr>
          <w:p w14:paraId="78099F0B" w14:textId="77777777" w:rsidR="00872C03" w:rsidRPr="00883399" w:rsidRDefault="00872C03" w:rsidP="0031057E">
            <w:pPr>
              <w:pStyle w:val="Tabletext0"/>
              <w:rPr>
                <w:sz w:val="22"/>
              </w:rPr>
            </w:pPr>
            <w:r w:rsidRPr="00883399">
              <w:rPr>
                <w:sz w:val="22"/>
              </w:rPr>
              <w:t>1</w:t>
            </w:r>
          </w:p>
        </w:tc>
        <w:tc>
          <w:tcPr>
            <w:tcW w:w="1920" w:type="dxa"/>
            <w:tcBorders>
              <w:top w:val="single" w:sz="12" w:space="0" w:color="auto"/>
              <w:bottom w:val="single" w:sz="4" w:space="0" w:color="auto"/>
            </w:tcBorders>
            <w:shd w:val="clear" w:color="auto" w:fill="auto"/>
          </w:tcPr>
          <w:p w14:paraId="24274EAD" w14:textId="77777777" w:rsidR="00872C03" w:rsidRPr="00883399" w:rsidRDefault="00872C03" w:rsidP="0031057E">
            <w:pPr>
              <w:pStyle w:val="Tabletext0"/>
              <w:rPr>
                <w:sz w:val="22"/>
              </w:rPr>
            </w:pPr>
            <w:r w:rsidRPr="00883399">
              <w:rPr>
                <w:sz w:val="22"/>
              </w:rPr>
              <w:t>All types of liquid fuel</w:t>
            </w:r>
          </w:p>
        </w:tc>
        <w:tc>
          <w:tcPr>
            <w:tcW w:w="2280" w:type="dxa"/>
            <w:tcBorders>
              <w:top w:val="single" w:sz="12" w:space="0" w:color="auto"/>
              <w:bottom w:val="single" w:sz="4" w:space="0" w:color="auto"/>
            </w:tcBorders>
            <w:shd w:val="clear" w:color="auto" w:fill="auto"/>
          </w:tcPr>
          <w:p w14:paraId="1302090F" w14:textId="77777777" w:rsidR="00872C03" w:rsidRPr="00883399" w:rsidRDefault="00872C03" w:rsidP="0031057E">
            <w:pPr>
              <w:pStyle w:val="Tabletext0"/>
              <w:rPr>
                <w:sz w:val="22"/>
              </w:rPr>
            </w:pPr>
            <w:r w:rsidRPr="00883399">
              <w:rPr>
                <w:sz w:val="22"/>
              </w:rPr>
              <w:t>Carbon</w:t>
            </w:r>
          </w:p>
        </w:tc>
        <w:tc>
          <w:tcPr>
            <w:tcW w:w="2640" w:type="dxa"/>
            <w:tcBorders>
              <w:top w:val="single" w:sz="12" w:space="0" w:color="auto"/>
              <w:bottom w:val="single" w:sz="4" w:space="0" w:color="auto"/>
            </w:tcBorders>
            <w:shd w:val="clear" w:color="auto" w:fill="auto"/>
          </w:tcPr>
          <w:p w14:paraId="50223F7E" w14:textId="77777777" w:rsidR="00872C03" w:rsidRPr="00883399" w:rsidRDefault="00872C03" w:rsidP="0031057E">
            <w:pPr>
              <w:pStyle w:val="Tabletext0"/>
              <w:rPr>
                <w:sz w:val="22"/>
              </w:rPr>
            </w:pPr>
            <w:r w:rsidRPr="00883399">
              <w:rPr>
                <w:sz w:val="22"/>
              </w:rPr>
              <w:t>Quarterly or by delivery of the fuel</w:t>
            </w:r>
          </w:p>
        </w:tc>
      </w:tr>
      <w:tr w:rsidR="00872C03" w:rsidRPr="00883399" w14:paraId="45EBDDFE" w14:textId="77777777" w:rsidTr="0031057E">
        <w:tc>
          <w:tcPr>
            <w:tcW w:w="840" w:type="dxa"/>
            <w:tcBorders>
              <w:bottom w:val="single" w:sz="12" w:space="0" w:color="auto"/>
            </w:tcBorders>
            <w:shd w:val="clear" w:color="auto" w:fill="auto"/>
          </w:tcPr>
          <w:p w14:paraId="609735E9" w14:textId="77777777" w:rsidR="00872C03" w:rsidRPr="00883399" w:rsidRDefault="00872C03" w:rsidP="0031057E">
            <w:pPr>
              <w:pStyle w:val="Tabletext0"/>
              <w:rPr>
                <w:sz w:val="22"/>
              </w:rPr>
            </w:pPr>
            <w:r w:rsidRPr="00883399">
              <w:rPr>
                <w:sz w:val="22"/>
              </w:rPr>
              <w:t>2</w:t>
            </w:r>
          </w:p>
        </w:tc>
        <w:tc>
          <w:tcPr>
            <w:tcW w:w="1920" w:type="dxa"/>
            <w:tcBorders>
              <w:bottom w:val="single" w:sz="12" w:space="0" w:color="auto"/>
            </w:tcBorders>
            <w:shd w:val="clear" w:color="auto" w:fill="auto"/>
          </w:tcPr>
          <w:p w14:paraId="23FC1FB6" w14:textId="77777777" w:rsidR="00872C03" w:rsidRPr="00883399" w:rsidRDefault="00872C03" w:rsidP="0031057E">
            <w:pPr>
              <w:pStyle w:val="Tabletext0"/>
              <w:rPr>
                <w:sz w:val="22"/>
              </w:rPr>
            </w:pPr>
            <w:r w:rsidRPr="00883399">
              <w:rPr>
                <w:sz w:val="22"/>
              </w:rPr>
              <w:t>All types of liquid fuel</w:t>
            </w:r>
          </w:p>
        </w:tc>
        <w:tc>
          <w:tcPr>
            <w:tcW w:w="2280" w:type="dxa"/>
            <w:tcBorders>
              <w:bottom w:val="single" w:sz="12" w:space="0" w:color="auto"/>
            </w:tcBorders>
            <w:shd w:val="clear" w:color="auto" w:fill="auto"/>
          </w:tcPr>
          <w:p w14:paraId="1A594A75" w14:textId="77777777" w:rsidR="00872C03" w:rsidRPr="00883399" w:rsidRDefault="00872C03" w:rsidP="0031057E">
            <w:pPr>
              <w:pStyle w:val="Tabletext0"/>
              <w:rPr>
                <w:sz w:val="22"/>
              </w:rPr>
            </w:pPr>
            <w:r w:rsidRPr="00883399">
              <w:rPr>
                <w:sz w:val="22"/>
              </w:rPr>
              <w:t>Energy</w:t>
            </w:r>
          </w:p>
        </w:tc>
        <w:tc>
          <w:tcPr>
            <w:tcW w:w="2640" w:type="dxa"/>
            <w:tcBorders>
              <w:bottom w:val="single" w:sz="12" w:space="0" w:color="auto"/>
            </w:tcBorders>
            <w:shd w:val="clear" w:color="auto" w:fill="auto"/>
          </w:tcPr>
          <w:p w14:paraId="6E8A2CF6" w14:textId="77777777" w:rsidR="00872C03" w:rsidRPr="00883399" w:rsidRDefault="00872C03" w:rsidP="0031057E">
            <w:pPr>
              <w:pStyle w:val="Tabletext0"/>
              <w:rPr>
                <w:sz w:val="22"/>
              </w:rPr>
            </w:pPr>
            <w:r w:rsidRPr="00883399">
              <w:rPr>
                <w:sz w:val="22"/>
              </w:rPr>
              <w:t>Quarterly or by delivery of the fuel</w:t>
            </w:r>
          </w:p>
        </w:tc>
      </w:tr>
    </w:tbl>
    <w:p w14:paraId="04B0203C" w14:textId="31E8871D" w:rsidR="00872C03" w:rsidRPr="00883399" w:rsidRDefault="00872C03" w:rsidP="00872C03">
      <w:pPr>
        <w:pStyle w:val="ActHead3"/>
        <w:pageBreakBefore/>
        <w:rPr>
          <w:rStyle w:val="CharDivText"/>
          <w:sz w:val="32"/>
        </w:rPr>
      </w:pPr>
      <w:bookmarkStart w:id="314" w:name="_Toc423516808"/>
      <w:bookmarkStart w:id="315" w:name="_Toc495652726"/>
      <w:r w:rsidRPr="00883399">
        <w:rPr>
          <w:rStyle w:val="CharDivNo"/>
          <w:sz w:val="32"/>
        </w:rPr>
        <w:lastRenderedPageBreak/>
        <w:t>Division 2.4.4</w:t>
      </w:r>
      <w:r w:rsidRPr="00883399">
        <w:rPr>
          <w:sz w:val="32"/>
        </w:rPr>
        <w:t>—</w:t>
      </w:r>
      <w:r w:rsidRPr="00883399">
        <w:rPr>
          <w:rStyle w:val="CharDivText"/>
          <w:sz w:val="32"/>
        </w:rPr>
        <w:t>Method 3—emissions of carbon dioxide from liquid fuels other than petroleum based oils or greases</w:t>
      </w:r>
      <w:bookmarkEnd w:id="314"/>
      <w:bookmarkEnd w:id="315"/>
    </w:p>
    <w:p w14:paraId="73D151CB"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As for solid and gaseous fuels, Method 3 is a variation on Method 2.  Method 3 provides for the same requirements of Method 2 except that sampling of fuels should also be conducted in accordance with listed Australian or international standards in section 2.47 or by an equivalent standard.  Once sampling of the fuel has been conducted in accordance with the standard, the analysis of the fuel for carbon and other factors should be conducted as for Method 2.  Emissions may then be estimated in accordance with Method 2.  </w:t>
      </w:r>
    </w:p>
    <w:p w14:paraId="403BDB32" w14:textId="7A693981" w:rsidR="00872C03" w:rsidRPr="00883399" w:rsidRDefault="00872C03" w:rsidP="00872C03">
      <w:pPr>
        <w:pStyle w:val="ActHead5"/>
        <w:rPr>
          <w:sz w:val="28"/>
        </w:rPr>
      </w:pPr>
      <w:bookmarkStart w:id="316" w:name="_Toc423516809"/>
      <w:bookmarkStart w:id="317" w:name="_Toc495652727"/>
      <w:r w:rsidRPr="00883399">
        <w:rPr>
          <w:rStyle w:val="CharSectno"/>
          <w:sz w:val="28"/>
        </w:rPr>
        <w:t>2.47</w:t>
      </w:r>
      <w:r w:rsidRPr="00883399">
        <w:rPr>
          <w:sz w:val="28"/>
        </w:rPr>
        <w:t xml:space="preserve">  Method 3—emissions of carbon dioxide from the combustion of liquid fuels</w:t>
      </w:r>
      <w:bookmarkEnd w:id="316"/>
      <w:bookmarkEnd w:id="317"/>
    </w:p>
    <w:p w14:paraId="5354F025" w14:textId="77777777" w:rsidR="00872C03" w:rsidRPr="00883399" w:rsidRDefault="00872C03" w:rsidP="00872C03">
      <w:pPr>
        <w:pStyle w:val="subsection"/>
        <w:rPr>
          <w:sz w:val="24"/>
        </w:rPr>
      </w:pPr>
      <w:r w:rsidRPr="00883399">
        <w:rPr>
          <w:sz w:val="24"/>
        </w:rPr>
        <w:tab/>
        <w:t>(1)</w:t>
      </w:r>
      <w:r w:rsidRPr="00883399">
        <w:rPr>
          <w:sz w:val="24"/>
        </w:rPr>
        <w:tab/>
        <w:t>For subparagraph 2.40(1)(a)(iii) and subject to this section, method 3 for estimating emissions of carbon dioxide is the same as method 2 under section 2.42.</w:t>
      </w:r>
    </w:p>
    <w:p w14:paraId="7C8D9341" w14:textId="77777777" w:rsidR="00872C03" w:rsidRPr="00883399" w:rsidRDefault="00872C03" w:rsidP="00872C03">
      <w:pPr>
        <w:pStyle w:val="subsection"/>
        <w:rPr>
          <w:sz w:val="24"/>
        </w:rPr>
      </w:pPr>
      <w:r w:rsidRPr="00883399">
        <w:rPr>
          <w:sz w:val="24"/>
        </w:rPr>
        <w:tab/>
        <w:t>(2)</w:t>
      </w:r>
      <w:r w:rsidRPr="00883399">
        <w:rPr>
          <w:sz w:val="24"/>
        </w:rPr>
        <w:tab/>
        <w:t>In applying method 2 under section 2.42, liquid fuels must be sampled in accordance with a standard specified in the table in subsection (3).</w:t>
      </w:r>
    </w:p>
    <w:p w14:paraId="5E572052" w14:textId="77777777" w:rsidR="00872C03" w:rsidRPr="00883399" w:rsidRDefault="00872C03" w:rsidP="00872C03">
      <w:pPr>
        <w:pStyle w:val="subsection"/>
        <w:rPr>
          <w:sz w:val="24"/>
        </w:rPr>
      </w:pPr>
      <w:r w:rsidRPr="00883399">
        <w:rPr>
          <w:sz w:val="24"/>
        </w:rPr>
        <w:tab/>
        <w:t>(3)</w:t>
      </w:r>
      <w:r w:rsidRPr="00883399">
        <w:rPr>
          <w:sz w:val="24"/>
        </w:rPr>
        <w:tab/>
        <w:t>A standard for sampling a liquid fuel of a type mentioned in column 2 of an item in the following table is specified in column 3 for that item.</w:t>
      </w:r>
    </w:p>
    <w:p w14:paraId="4F7FBF6E" w14:textId="77777777" w:rsidR="00872C03" w:rsidRPr="00883399" w:rsidRDefault="00872C03" w:rsidP="00872C03">
      <w:pPr>
        <w:pStyle w:val="Tabletext0"/>
        <w:rPr>
          <w:sz w:val="22"/>
        </w:rPr>
      </w:pPr>
    </w:p>
    <w:tbl>
      <w:tblPr>
        <w:tblW w:w="7440" w:type="dxa"/>
        <w:tblInd w:w="106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20"/>
        <w:gridCol w:w="3000"/>
        <w:gridCol w:w="3720"/>
      </w:tblGrid>
      <w:tr w:rsidR="00872C03" w:rsidRPr="00883399" w14:paraId="58CC8F58" w14:textId="77777777" w:rsidTr="0031057E">
        <w:trPr>
          <w:trHeight w:val="429"/>
          <w:tblHeader/>
        </w:trPr>
        <w:tc>
          <w:tcPr>
            <w:tcW w:w="720" w:type="dxa"/>
            <w:tcBorders>
              <w:top w:val="single" w:sz="12" w:space="0" w:color="auto"/>
              <w:bottom w:val="single" w:sz="12" w:space="0" w:color="auto"/>
            </w:tcBorders>
            <w:shd w:val="clear" w:color="auto" w:fill="auto"/>
          </w:tcPr>
          <w:p w14:paraId="72DFD066" w14:textId="77777777" w:rsidR="00872C03" w:rsidRPr="00883399" w:rsidRDefault="00872C03" w:rsidP="0031057E">
            <w:pPr>
              <w:pStyle w:val="TableHeading"/>
              <w:rPr>
                <w:sz w:val="22"/>
              </w:rPr>
            </w:pPr>
            <w:r w:rsidRPr="00883399">
              <w:rPr>
                <w:sz w:val="22"/>
              </w:rPr>
              <w:t>item</w:t>
            </w:r>
          </w:p>
        </w:tc>
        <w:tc>
          <w:tcPr>
            <w:tcW w:w="3000" w:type="dxa"/>
            <w:tcBorders>
              <w:top w:val="single" w:sz="12" w:space="0" w:color="auto"/>
              <w:bottom w:val="single" w:sz="12" w:space="0" w:color="auto"/>
            </w:tcBorders>
            <w:shd w:val="clear" w:color="auto" w:fill="auto"/>
          </w:tcPr>
          <w:p w14:paraId="0F4AD969" w14:textId="77777777" w:rsidR="00872C03" w:rsidRPr="00883399" w:rsidRDefault="00872C03" w:rsidP="0031057E">
            <w:pPr>
              <w:pStyle w:val="TableHeading"/>
              <w:rPr>
                <w:sz w:val="22"/>
              </w:rPr>
            </w:pPr>
            <w:r w:rsidRPr="00883399">
              <w:rPr>
                <w:sz w:val="22"/>
              </w:rPr>
              <w:t>Liquid Fuel</w:t>
            </w:r>
          </w:p>
        </w:tc>
        <w:tc>
          <w:tcPr>
            <w:tcW w:w="3720" w:type="dxa"/>
            <w:tcBorders>
              <w:top w:val="single" w:sz="12" w:space="0" w:color="auto"/>
              <w:bottom w:val="single" w:sz="12" w:space="0" w:color="auto"/>
            </w:tcBorders>
            <w:shd w:val="clear" w:color="auto" w:fill="auto"/>
          </w:tcPr>
          <w:p w14:paraId="45834A77" w14:textId="77777777" w:rsidR="00872C03" w:rsidRPr="00883399" w:rsidRDefault="00872C03" w:rsidP="0031057E">
            <w:pPr>
              <w:pStyle w:val="TableHeading"/>
              <w:rPr>
                <w:sz w:val="22"/>
              </w:rPr>
            </w:pPr>
            <w:r w:rsidRPr="00883399">
              <w:rPr>
                <w:sz w:val="22"/>
              </w:rPr>
              <w:t>Standard</w:t>
            </w:r>
          </w:p>
        </w:tc>
      </w:tr>
      <w:tr w:rsidR="00872C03" w:rsidRPr="00883399" w14:paraId="35289AF4" w14:textId="77777777" w:rsidTr="0031057E">
        <w:trPr>
          <w:trHeight w:val="401"/>
        </w:trPr>
        <w:tc>
          <w:tcPr>
            <w:tcW w:w="720" w:type="dxa"/>
            <w:tcBorders>
              <w:top w:val="single" w:sz="12" w:space="0" w:color="auto"/>
            </w:tcBorders>
            <w:shd w:val="clear" w:color="auto" w:fill="auto"/>
          </w:tcPr>
          <w:p w14:paraId="3AA41430" w14:textId="77777777" w:rsidR="00872C03" w:rsidRPr="00883399" w:rsidRDefault="00872C03" w:rsidP="0031057E">
            <w:pPr>
              <w:pStyle w:val="Tabletext0"/>
              <w:rPr>
                <w:sz w:val="22"/>
              </w:rPr>
            </w:pPr>
            <w:r w:rsidRPr="00883399">
              <w:rPr>
                <w:sz w:val="22"/>
              </w:rPr>
              <w:t>1</w:t>
            </w:r>
          </w:p>
        </w:tc>
        <w:tc>
          <w:tcPr>
            <w:tcW w:w="3000" w:type="dxa"/>
            <w:tcBorders>
              <w:top w:val="single" w:sz="12" w:space="0" w:color="auto"/>
            </w:tcBorders>
            <w:shd w:val="clear" w:color="auto" w:fill="auto"/>
          </w:tcPr>
          <w:p w14:paraId="43A73A86" w14:textId="77777777" w:rsidR="00872C03" w:rsidRPr="00883399" w:rsidRDefault="00872C03" w:rsidP="0031057E">
            <w:pPr>
              <w:pStyle w:val="Tabletext0"/>
              <w:rPr>
                <w:sz w:val="22"/>
              </w:rPr>
            </w:pPr>
            <w:r w:rsidRPr="00883399">
              <w:rPr>
                <w:sz w:val="22"/>
              </w:rPr>
              <w:t>Petroleum based oils (other than petroleum based oils used as fuel)</w:t>
            </w:r>
          </w:p>
        </w:tc>
        <w:tc>
          <w:tcPr>
            <w:tcW w:w="3720" w:type="dxa"/>
            <w:tcBorders>
              <w:top w:val="single" w:sz="12" w:space="0" w:color="auto"/>
            </w:tcBorders>
            <w:shd w:val="clear" w:color="auto" w:fill="auto"/>
          </w:tcPr>
          <w:p w14:paraId="017CEC4B" w14:textId="77777777" w:rsidR="00872C03" w:rsidRPr="00883399" w:rsidRDefault="00872C03" w:rsidP="0031057E">
            <w:pPr>
              <w:pStyle w:val="Tabletext0"/>
              <w:rPr>
                <w:sz w:val="22"/>
              </w:rPr>
            </w:pPr>
            <w:r w:rsidRPr="00883399">
              <w:rPr>
                <w:sz w:val="22"/>
              </w:rPr>
              <w:t>ISO 3170:2004</w:t>
            </w:r>
          </w:p>
          <w:p w14:paraId="3081A2E8" w14:textId="77777777" w:rsidR="00872C03" w:rsidRPr="00883399" w:rsidRDefault="00872C03" w:rsidP="0031057E">
            <w:pPr>
              <w:pStyle w:val="Tabletext0"/>
              <w:rPr>
                <w:sz w:val="22"/>
              </w:rPr>
            </w:pPr>
            <w:r w:rsidRPr="00883399">
              <w:rPr>
                <w:sz w:val="22"/>
              </w:rPr>
              <w:t>ISO 3171:1988</w:t>
            </w:r>
          </w:p>
          <w:p w14:paraId="785377D2" w14:textId="77777777" w:rsidR="00872C03" w:rsidRPr="00883399" w:rsidRDefault="00872C03" w:rsidP="0031057E">
            <w:pPr>
              <w:pStyle w:val="Tabletext0"/>
              <w:rPr>
                <w:sz w:val="22"/>
              </w:rPr>
            </w:pPr>
            <w:r w:rsidRPr="00883399">
              <w:rPr>
                <w:sz w:val="22"/>
              </w:rPr>
              <w:t>ASTM D 4057 – 06</w:t>
            </w:r>
          </w:p>
        </w:tc>
      </w:tr>
      <w:tr w:rsidR="00872C03" w:rsidRPr="00883399" w14:paraId="2C692D66" w14:textId="77777777" w:rsidTr="0031057E">
        <w:trPr>
          <w:trHeight w:val="364"/>
        </w:trPr>
        <w:tc>
          <w:tcPr>
            <w:tcW w:w="720" w:type="dxa"/>
            <w:shd w:val="clear" w:color="auto" w:fill="auto"/>
          </w:tcPr>
          <w:p w14:paraId="71CD54D6" w14:textId="77777777" w:rsidR="00872C03" w:rsidRPr="00883399" w:rsidRDefault="00872C03" w:rsidP="0031057E">
            <w:pPr>
              <w:pStyle w:val="Tabletext0"/>
              <w:rPr>
                <w:sz w:val="22"/>
              </w:rPr>
            </w:pPr>
            <w:r w:rsidRPr="00883399">
              <w:rPr>
                <w:sz w:val="22"/>
              </w:rPr>
              <w:t>2</w:t>
            </w:r>
          </w:p>
        </w:tc>
        <w:tc>
          <w:tcPr>
            <w:tcW w:w="3000" w:type="dxa"/>
            <w:shd w:val="clear" w:color="auto" w:fill="auto"/>
          </w:tcPr>
          <w:p w14:paraId="6D3C798B" w14:textId="77777777" w:rsidR="00872C03" w:rsidRPr="00883399" w:rsidRDefault="00872C03" w:rsidP="0031057E">
            <w:pPr>
              <w:pStyle w:val="Tabletext0"/>
              <w:rPr>
                <w:sz w:val="22"/>
              </w:rPr>
            </w:pPr>
            <w:r w:rsidRPr="00883399">
              <w:rPr>
                <w:sz w:val="22"/>
              </w:rPr>
              <w:t>Petroleum based greases</w:t>
            </w:r>
          </w:p>
        </w:tc>
        <w:tc>
          <w:tcPr>
            <w:tcW w:w="3720" w:type="dxa"/>
            <w:shd w:val="clear" w:color="auto" w:fill="auto"/>
          </w:tcPr>
          <w:p w14:paraId="440FC79A" w14:textId="77777777" w:rsidR="00872C03" w:rsidRPr="00883399" w:rsidRDefault="00872C03" w:rsidP="0031057E">
            <w:pPr>
              <w:pStyle w:val="Tabletext0"/>
              <w:rPr>
                <w:sz w:val="22"/>
              </w:rPr>
            </w:pPr>
          </w:p>
        </w:tc>
      </w:tr>
      <w:tr w:rsidR="00872C03" w:rsidRPr="00883399" w14:paraId="7B493094" w14:textId="77777777" w:rsidTr="0031057E">
        <w:trPr>
          <w:trHeight w:val="345"/>
        </w:trPr>
        <w:tc>
          <w:tcPr>
            <w:tcW w:w="720" w:type="dxa"/>
            <w:shd w:val="clear" w:color="auto" w:fill="auto"/>
          </w:tcPr>
          <w:p w14:paraId="59FF5C59" w14:textId="77777777" w:rsidR="00872C03" w:rsidRPr="00883399" w:rsidRDefault="00872C03" w:rsidP="0031057E">
            <w:pPr>
              <w:pStyle w:val="Tabletext0"/>
              <w:rPr>
                <w:sz w:val="22"/>
              </w:rPr>
            </w:pPr>
            <w:r w:rsidRPr="00883399">
              <w:rPr>
                <w:sz w:val="22"/>
              </w:rPr>
              <w:t>3</w:t>
            </w:r>
          </w:p>
        </w:tc>
        <w:tc>
          <w:tcPr>
            <w:tcW w:w="3000" w:type="dxa"/>
            <w:shd w:val="clear" w:color="auto" w:fill="auto"/>
          </w:tcPr>
          <w:p w14:paraId="3486A84F" w14:textId="77777777" w:rsidR="00872C03" w:rsidRPr="00883399" w:rsidRDefault="00872C03" w:rsidP="0031057E">
            <w:pPr>
              <w:pStyle w:val="Tabletext0"/>
              <w:rPr>
                <w:sz w:val="22"/>
              </w:rPr>
            </w:pPr>
            <w:r w:rsidRPr="00883399">
              <w:rPr>
                <w:sz w:val="22"/>
              </w:rPr>
              <w:t>Crude oil including crude oil condensates</w:t>
            </w:r>
          </w:p>
        </w:tc>
        <w:tc>
          <w:tcPr>
            <w:tcW w:w="3720" w:type="dxa"/>
            <w:shd w:val="clear" w:color="auto" w:fill="auto"/>
          </w:tcPr>
          <w:p w14:paraId="2CF3C0B5" w14:textId="77777777" w:rsidR="00872C03" w:rsidRPr="00883399" w:rsidRDefault="00872C03" w:rsidP="0031057E">
            <w:pPr>
              <w:pStyle w:val="Tabletext0"/>
              <w:rPr>
                <w:sz w:val="22"/>
              </w:rPr>
            </w:pPr>
            <w:r w:rsidRPr="00883399">
              <w:rPr>
                <w:sz w:val="22"/>
              </w:rPr>
              <w:t>ISO 3170:2004</w:t>
            </w:r>
          </w:p>
          <w:p w14:paraId="1E34A9B6" w14:textId="77777777" w:rsidR="00872C03" w:rsidRPr="00883399" w:rsidRDefault="00872C03" w:rsidP="0031057E">
            <w:pPr>
              <w:pStyle w:val="Tabletext0"/>
              <w:rPr>
                <w:sz w:val="22"/>
              </w:rPr>
            </w:pPr>
            <w:r w:rsidRPr="00883399">
              <w:rPr>
                <w:sz w:val="22"/>
              </w:rPr>
              <w:t>ISO 3171:1988</w:t>
            </w:r>
          </w:p>
          <w:p w14:paraId="655F694E" w14:textId="77777777" w:rsidR="00872C03" w:rsidRPr="00883399" w:rsidRDefault="00872C03" w:rsidP="0031057E">
            <w:pPr>
              <w:pStyle w:val="Tabletext0"/>
              <w:rPr>
                <w:sz w:val="22"/>
              </w:rPr>
            </w:pPr>
            <w:r w:rsidRPr="00883399">
              <w:rPr>
                <w:sz w:val="22"/>
              </w:rPr>
              <w:t>ASTM D 4057 – 06</w:t>
            </w:r>
          </w:p>
          <w:p w14:paraId="1857CC66" w14:textId="77777777" w:rsidR="00872C03" w:rsidRPr="00883399" w:rsidRDefault="00872C03" w:rsidP="0031057E">
            <w:pPr>
              <w:pStyle w:val="Tabletext0"/>
              <w:rPr>
                <w:sz w:val="22"/>
              </w:rPr>
            </w:pPr>
            <w:r w:rsidRPr="00883399">
              <w:rPr>
                <w:sz w:val="22"/>
              </w:rPr>
              <w:t>ASTM D 4177 – 95 (2005)</w:t>
            </w:r>
          </w:p>
        </w:tc>
      </w:tr>
      <w:tr w:rsidR="00872C03" w:rsidRPr="00883399" w14:paraId="02D48512" w14:textId="77777777" w:rsidTr="0031057E">
        <w:trPr>
          <w:trHeight w:val="340"/>
        </w:trPr>
        <w:tc>
          <w:tcPr>
            <w:tcW w:w="720" w:type="dxa"/>
            <w:shd w:val="clear" w:color="auto" w:fill="auto"/>
          </w:tcPr>
          <w:p w14:paraId="41D9A191" w14:textId="77777777" w:rsidR="00872C03" w:rsidRPr="00883399" w:rsidRDefault="00872C03" w:rsidP="0031057E">
            <w:pPr>
              <w:pStyle w:val="Tabletext0"/>
              <w:rPr>
                <w:sz w:val="22"/>
              </w:rPr>
            </w:pPr>
            <w:r w:rsidRPr="00883399">
              <w:rPr>
                <w:sz w:val="22"/>
              </w:rPr>
              <w:t>4</w:t>
            </w:r>
          </w:p>
        </w:tc>
        <w:tc>
          <w:tcPr>
            <w:tcW w:w="3000" w:type="dxa"/>
            <w:shd w:val="clear" w:color="auto" w:fill="auto"/>
          </w:tcPr>
          <w:p w14:paraId="5517FEA2" w14:textId="77777777" w:rsidR="00872C03" w:rsidRPr="00883399" w:rsidRDefault="00872C03" w:rsidP="0031057E">
            <w:pPr>
              <w:pStyle w:val="Tabletext0"/>
              <w:rPr>
                <w:sz w:val="22"/>
              </w:rPr>
            </w:pPr>
            <w:r w:rsidRPr="00883399">
              <w:rPr>
                <w:sz w:val="22"/>
              </w:rPr>
              <w:t xml:space="preserve">Other natural gas liquids </w:t>
            </w:r>
          </w:p>
        </w:tc>
        <w:tc>
          <w:tcPr>
            <w:tcW w:w="3720" w:type="dxa"/>
            <w:shd w:val="clear" w:color="auto" w:fill="auto"/>
          </w:tcPr>
          <w:p w14:paraId="14906738" w14:textId="77777777" w:rsidR="00872C03" w:rsidRPr="00883399" w:rsidRDefault="00872C03" w:rsidP="0031057E">
            <w:pPr>
              <w:pStyle w:val="Tabletext0"/>
              <w:rPr>
                <w:sz w:val="22"/>
              </w:rPr>
            </w:pPr>
            <w:r w:rsidRPr="00883399">
              <w:rPr>
                <w:sz w:val="22"/>
              </w:rPr>
              <w:t>ASTM D1265 – 05</w:t>
            </w:r>
          </w:p>
        </w:tc>
      </w:tr>
      <w:tr w:rsidR="00872C03" w:rsidRPr="00883399" w14:paraId="7376409B" w14:textId="77777777" w:rsidTr="0031057E">
        <w:trPr>
          <w:trHeight w:val="351"/>
        </w:trPr>
        <w:tc>
          <w:tcPr>
            <w:tcW w:w="720" w:type="dxa"/>
            <w:shd w:val="clear" w:color="auto" w:fill="auto"/>
          </w:tcPr>
          <w:p w14:paraId="2E01C015" w14:textId="77777777" w:rsidR="00872C03" w:rsidRPr="00883399" w:rsidRDefault="00872C03" w:rsidP="0031057E">
            <w:pPr>
              <w:pStyle w:val="Tabletext0"/>
              <w:rPr>
                <w:sz w:val="22"/>
              </w:rPr>
            </w:pPr>
            <w:r w:rsidRPr="00883399">
              <w:rPr>
                <w:sz w:val="22"/>
              </w:rPr>
              <w:t>5</w:t>
            </w:r>
          </w:p>
        </w:tc>
        <w:tc>
          <w:tcPr>
            <w:tcW w:w="3000" w:type="dxa"/>
            <w:shd w:val="clear" w:color="auto" w:fill="auto"/>
          </w:tcPr>
          <w:p w14:paraId="1432B67B" w14:textId="77777777" w:rsidR="00872C03" w:rsidRPr="00883399" w:rsidRDefault="00872C03" w:rsidP="0031057E">
            <w:pPr>
              <w:pStyle w:val="Tabletext0"/>
              <w:rPr>
                <w:sz w:val="22"/>
              </w:rPr>
            </w:pPr>
            <w:r w:rsidRPr="00883399">
              <w:rPr>
                <w:snapToGrid w:val="0"/>
                <w:sz w:val="22"/>
              </w:rPr>
              <w:t>Gasoline (other than for use as fuel in an aircraft)</w:t>
            </w:r>
          </w:p>
        </w:tc>
        <w:tc>
          <w:tcPr>
            <w:tcW w:w="3720" w:type="dxa"/>
            <w:shd w:val="clear" w:color="auto" w:fill="auto"/>
          </w:tcPr>
          <w:p w14:paraId="788F56C9" w14:textId="77777777" w:rsidR="00872C03" w:rsidRPr="00883399" w:rsidRDefault="00872C03" w:rsidP="0031057E">
            <w:pPr>
              <w:pStyle w:val="Tabletext0"/>
              <w:rPr>
                <w:sz w:val="22"/>
              </w:rPr>
            </w:pPr>
            <w:r w:rsidRPr="00883399">
              <w:rPr>
                <w:sz w:val="22"/>
              </w:rPr>
              <w:t>ISO 3170:2004</w:t>
            </w:r>
          </w:p>
          <w:p w14:paraId="2E014F83" w14:textId="77777777" w:rsidR="00872C03" w:rsidRPr="00883399" w:rsidRDefault="00872C03" w:rsidP="0031057E">
            <w:pPr>
              <w:pStyle w:val="Tabletext0"/>
              <w:rPr>
                <w:sz w:val="22"/>
              </w:rPr>
            </w:pPr>
            <w:r w:rsidRPr="00883399">
              <w:rPr>
                <w:sz w:val="22"/>
              </w:rPr>
              <w:t>ISO 3171:1988</w:t>
            </w:r>
          </w:p>
          <w:p w14:paraId="03541D0D" w14:textId="77777777" w:rsidR="00872C03" w:rsidRPr="00883399" w:rsidRDefault="00872C03" w:rsidP="0031057E">
            <w:pPr>
              <w:pStyle w:val="Tabletext0"/>
              <w:rPr>
                <w:sz w:val="22"/>
              </w:rPr>
            </w:pPr>
            <w:r w:rsidRPr="00883399">
              <w:rPr>
                <w:sz w:val="22"/>
              </w:rPr>
              <w:t>ASTM D 4057 – 06</w:t>
            </w:r>
          </w:p>
          <w:p w14:paraId="4CEB21A3" w14:textId="77777777" w:rsidR="00872C03" w:rsidRPr="00883399" w:rsidRDefault="00872C03" w:rsidP="0031057E">
            <w:pPr>
              <w:pStyle w:val="Tabletext0"/>
              <w:rPr>
                <w:sz w:val="22"/>
              </w:rPr>
            </w:pPr>
            <w:r w:rsidRPr="00883399">
              <w:rPr>
                <w:sz w:val="22"/>
              </w:rPr>
              <w:t>ASTM D 4177 – 95 (2005)</w:t>
            </w:r>
          </w:p>
        </w:tc>
      </w:tr>
      <w:tr w:rsidR="00872C03" w:rsidRPr="00883399" w14:paraId="7C1BB46A" w14:textId="77777777" w:rsidTr="0031057E">
        <w:trPr>
          <w:trHeight w:val="361"/>
        </w:trPr>
        <w:tc>
          <w:tcPr>
            <w:tcW w:w="720" w:type="dxa"/>
            <w:shd w:val="clear" w:color="auto" w:fill="auto"/>
          </w:tcPr>
          <w:p w14:paraId="1A997BB6" w14:textId="77777777" w:rsidR="00872C03" w:rsidRPr="00883399" w:rsidRDefault="00872C03" w:rsidP="0031057E">
            <w:pPr>
              <w:pStyle w:val="Tabletext0"/>
              <w:rPr>
                <w:sz w:val="22"/>
              </w:rPr>
            </w:pPr>
            <w:r w:rsidRPr="00883399">
              <w:rPr>
                <w:sz w:val="22"/>
              </w:rPr>
              <w:lastRenderedPageBreak/>
              <w:t>6</w:t>
            </w:r>
          </w:p>
        </w:tc>
        <w:tc>
          <w:tcPr>
            <w:tcW w:w="3000" w:type="dxa"/>
            <w:shd w:val="clear" w:color="auto" w:fill="auto"/>
          </w:tcPr>
          <w:p w14:paraId="0D2BC345" w14:textId="77777777" w:rsidR="00872C03" w:rsidRPr="00883399" w:rsidRDefault="00872C03" w:rsidP="0031057E">
            <w:pPr>
              <w:pStyle w:val="Tabletext0"/>
              <w:rPr>
                <w:sz w:val="22"/>
              </w:rPr>
            </w:pPr>
            <w:r w:rsidRPr="00883399">
              <w:rPr>
                <w:sz w:val="22"/>
              </w:rPr>
              <w:t>Gasoline for use as fuel in an aircraft</w:t>
            </w:r>
          </w:p>
        </w:tc>
        <w:tc>
          <w:tcPr>
            <w:tcW w:w="3720" w:type="dxa"/>
            <w:shd w:val="clear" w:color="auto" w:fill="auto"/>
          </w:tcPr>
          <w:p w14:paraId="62EEF2D9" w14:textId="77777777" w:rsidR="00872C03" w:rsidRPr="00883399" w:rsidRDefault="00872C03" w:rsidP="0031057E">
            <w:pPr>
              <w:pStyle w:val="Tabletext0"/>
              <w:rPr>
                <w:sz w:val="22"/>
              </w:rPr>
            </w:pPr>
            <w:r w:rsidRPr="00883399">
              <w:rPr>
                <w:sz w:val="22"/>
              </w:rPr>
              <w:t>ISO 3170:2004</w:t>
            </w:r>
          </w:p>
          <w:p w14:paraId="03E7654C" w14:textId="77777777" w:rsidR="00872C03" w:rsidRPr="00883399" w:rsidRDefault="00872C03" w:rsidP="0031057E">
            <w:pPr>
              <w:pStyle w:val="Tabletext0"/>
              <w:rPr>
                <w:sz w:val="22"/>
              </w:rPr>
            </w:pPr>
            <w:r w:rsidRPr="00883399">
              <w:rPr>
                <w:sz w:val="22"/>
              </w:rPr>
              <w:t>ISO 3171:1988</w:t>
            </w:r>
          </w:p>
          <w:p w14:paraId="5F25CEC1" w14:textId="77777777" w:rsidR="00872C03" w:rsidRPr="00883399" w:rsidRDefault="00872C03" w:rsidP="0031057E">
            <w:pPr>
              <w:pStyle w:val="Tabletext0"/>
              <w:rPr>
                <w:sz w:val="22"/>
              </w:rPr>
            </w:pPr>
            <w:r w:rsidRPr="00883399">
              <w:rPr>
                <w:sz w:val="22"/>
              </w:rPr>
              <w:t>ASTM D 4057 – 06</w:t>
            </w:r>
          </w:p>
          <w:p w14:paraId="48799A27" w14:textId="77777777" w:rsidR="00872C03" w:rsidRPr="00883399" w:rsidRDefault="00872C03" w:rsidP="0031057E">
            <w:pPr>
              <w:pStyle w:val="Tabletext0"/>
              <w:rPr>
                <w:sz w:val="22"/>
              </w:rPr>
            </w:pPr>
            <w:r w:rsidRPr="00883399">
              <w:rPr>
                <w:sz w:val="22"/>
              </w:rPr>
              <w:t>ASTM D 4177 – 95 (2005)</w:t>
            </w:r>
          </w:p>
        </w:tc>
      </w:tr>
      <w:tr w:rsidR="00872C03" w:rsidRPr="00883399" w14:paraId="4FE6DAAD" w14:textId="77777777" w:rsidTr="0031057E">
        <w:trPr>
          <w:trHeight w:val="401"/>
        </w:trPr>
        <w:tc>
          <w:tcPr>
            <w:tcW w:w="720" w:type="dxa"/>
            <w:tcBorders>
              <w:bottom w:val="single" w:sz="4" w:space="0" w:color="auto"/>
            </w:tcBorders>
            <w:shd w:val="clear" w:color="auto" w:fill="auto"/>
          </w:tcPr>
          <w:p w14:paraId="4DE53613" w14:textId="77777777" w:rsidR="00872C03" w:rsidRPr="00883399" w:rsidRDefault="00872C03" w:rsidP="0031057E">
            <w:pPr>
              <w:pStyle w:val="Tabletext0"/>
              <w:rPr>
                <w:sz w:val="22"/>
              </w:rPr>
            </w:pPr>
            <w:r w:rsidRPr="00883399">
              <w:rPr>
                <w:sz w:val="22"/>
              </w:rPr>
              <w:t>7</w:t>
            </w:r>
          </w:p>
        </w:tc>
        <w:tc>
          <w:tcPr>
            <w:tcW w:w="3000" w:type="dxa"/>
            <w:tcBorders>
              <w:bottom w:val="single" w:sz="4" w:space="0" w:color="auto"/>
            </w:tcBorders>
            <w:shd w:val="clear" w:color="auto" w:fill="auto"/>
          </w:tcPr>
          <w:p w14:paraId="6D586292" w14:textId="77777777" w:rsidR="00872C03" w:rsidRPr="00883399" w:rsidRDefault="00872C03" w:rsidP="0031057E">
            <w:pPr>
              <w:pStyle w:val="Tabletext0"/>
              <w:rPr>
                <w:sz w:val="22"/>
              </w:rPr>
            </w:pPr>
            <w:r w:rsidRPr="00883399">
              <w:rPr>
                <w:sz w:val="22"/>
              </w:rPr>
              <w:t>Kerosene (other than for use as fuel in an aircraft)</w:t>
            </w:r>
          </w:p>
        </w:tc>
        <w:tc>
          <w:tcPr>
            <w:tcW w:w="3720" w:type="dxa"/>
            <w:tcBorders>
              <w:bottom w:val="single" w:sz="4" w:space="0" w:color="auto"/>
            </w:tcBorders>
            <w:shd w:val="clear" w:color="auto" w:fill="auto"/>
          </w:tcPr>
          <w:p w14:paraId="72CA7BEA" w14:textId="77777777" w:rsidR="00872C03" w:rsidRPr="00883399" w:rsidRDefault="00872C03" w:rsidP="0031057E">
            <w:pPr>
              <w:pStyle w:val="Tabletext0"/>
              <w:rPr>
                <w:sz w:val="22"/>
              </w:rPr>
            </w:pPr>
            <w:r w:rsidRPr="00883399">
              <w:rPr>
                <w:sz w:val="22"/>
              </w:rPr>
              <w:t>ISO 3170:2004</w:t>
            </w:r>
          </w:p>
          <w:p w14:paraId="5D00AA08" w14:textId="77777777" w:rsidR="00872C03" w:rsidRPr="00883399" w:rsidRDefault="00872C03" w:rsidP="0031057E">
            <w:pPr>
              <w:pStyle w:val="Tabletext0"/>
              <w:rPr>
                <w:sz w:val="22"/>
              </w:rPr>
            </w:pPr>
            <w:r w:rsidRPr="00883399">
              <w:rPr>
                <w:sz w:val="22"/>
              </w:rPr>
              <w:t>ISO 3171:1988</w:t>
            </w:r>
          </w:p>
          <w:p w14:paraId="7D87CFA4" w14:textId="77777777" w:rsidR="00872C03" w:rsidRPr="00883399" w:rsidRDefault="00872C03" w:rsidP="0031057E">
            <w:pPr>
              <w:pStyle w:val="Tabletext0"/>
              <w:rPr>
                <w:sz w:val="22"/>
              </w:rPr>
            </w:pPr>
            <w:r w:rsidRPr="00883399">
              <w:rPr>
                <w:sz w:val="22"/>
              </w:rPr>
              <w:t>ASTM D 4057 – 06</w:t>
            </w:r>
          </w:p>
          <w:p w14:paraId="5E35C581" w14:textId="77777777" w:rsidR="00872C03" w:rsidRPr="00883399" w:rsidRDefault="00872C03" w:rsidP="0031057E">
            <w:pPr>
              <w:pStyle w:val="Tabletext0"/>
              <w:rPr>
                <w:sz w:val="22"/>
              </w:rPr>
            </w:pPr>
            <w:r w:rsidRPr="00883399">
              <w:rPr>
                <w:sz w:val="22"/>
              </w:rPr>
              <w:t>ASTM D 4177 – 95 (2005)</w:t>
            </w:r>
          </w:p>
        </w:tc>
      </w:tr>
      <w:tr w:rsidR="00872C03" w:rsidRPr="00883399" w14:paraId="59119F7D" w14:textId="77777777" w:rsidTr="0031057E">
        <w:trPr>
          <w:trHeight w:val="451"/>
        </w:trPr>
        <w:tc>
          <w:tcPr>
            <w:tcW w:w="720" w:type="dxa"/>
            <w:tcBorders>
              <w:bottom w:val="single" w:sz="4" w:space="0" w:color="auto"/>
            </w:tcBorders>
            <w:shd w:val="clear" w:color="auto" w:fill="auto"/>
          </w:tcPr>
          <w:p w14:paraId="665FFF81" w14:textId="77777777" w:rsidR="00872C03" w:rsidRPr="00883399" w:rsidRDefault="00872C03" w:rsidP="0031057E">
            <w:pPr>
              <w:pStyle w:val="Tabletext0"/>
              <w:rPr>
                <w:sz w:val="22"/>
              </w:rPr>
            </w:pPr>
            <w:bookmarkStart w:id="318" w:name="CU_9249161"/>
            <w:bookmarkEnd w:id="318"/>
            <w:r w:rsidRPr="00883399">
              <w:rPr>
                <w:sz w:val="22"/>
              </w:rPr>
              <w:t>8</w:t>
            </w:r>
          </w:p>
        </w:tc>
        <w:tc>
          <w:tcPr>
            <w:tcW w:w="3000" w:type="dxa"/>
            <w:tcBorders>
              <w:bottom w:val="single" w:sz="4" w:space="0" w:color="auto"/>
            </w:tcBorders>
            <w:shd w:val="clear" w:color="auto" w:fill="auto"/>
          </w:tcPr>
          <w:p w14:paraId="0BD9DDD8" w14:textId="77777777" w:rsidR="00872C03" w:rsidRPr="00883399" w:rsidRDefault="00872C03" w:rsidP="0031057E">
            <w:pPr>
              <w:pStyle w:val="Tabletext0"/>
              <w:rPr>
                <w:sz w:val="22"/>
              </w:rPr>
            </w:pPr>
            <w:r w:rsidRPr="00883399">
              <w:rPr>
                <w:sz w:val="22"/>
              </w:rPr>
              <w:t>Kerosene for use as fuel in an aircraft</w:t>
            </w:r>
          </w:p>
        </w:tc>
        <w:tc>
          <w:tcPr>
            <w:tcW w:w="3720" w:type="dxa"/>
            <w:tcBorders>
              <w:bottom w:val="single" w:sz="4" w:space="0" w:color="auto"/>
            </w:tcBorders>
            <w:shd w:val="clear" w:color="auto" w:fill="auto"/>
          </w:tcPr>
          <w:p w14:paraId="4020631D" w14:textId="77777777" w:rsidR="00872C03" w:rsidRPr="00883399" w:rsidRDefault="00872C03" w:rsidP="0031057E">
            <w:pPr>
              <w:pStyle w:val="Tabletext0"/>
              <w:rPr>
                <w:sz w:val="22"/>
              </w:rPr>
            </w:pPr>
            <w:r w:rsidRPr="00883399">
              <w:rPr>
                <w:sz w:val="22"/>
              </w:rPr>
              <w:t>ISO 3170:2004</w:t>
            </w:r>
          </w:p>
          <w:p w14:paraId="3587197E" w14:textId="77777777" w:rsidR="00872C03" w:rsidRPr="00883399" w:rsidRDefault="00872C03" w:rsidP="0031057E">
            <w:pPr>
              <w:pStyle w:val="Tabletext0"/>
              <w:rPr>
                <w:sz w:val="22"/>
              </w:rPr>
            </w:pPr>
            <w:r w:rsidRPr="00883399">
              <w:rPr>
                <w:sz w:val="22"/>
              </w:rPr>
              <w:t>ISO 3171:1988</w:t>
            </w:r>
          </w:p>
          <w:p w14:paraId="1AE9B4F7" w14:textId="77777777" w:rsidR="00872C03" w:rsidRPr="00883399" w:rsidRDefault="00872C03" w:rsidP="0031057E">
            <w:pPr>
              <w:pStyle w:val="Tabletext0"/>
              <w:rPr>
                <w:sz w:val="22"/>
              </w:rPr>
            </w:pPr>
            <w:r w:rsidRPr="00883399">
              <w:rPr>
                <w:sz w:val="22"/>
              </w:rPr>
              <w:t>ASTM D 4057 – 06</w:t>
            </w:r>
          </w:p>
          <w:p w14:paraId="12D0386E" w14:textId="77777777" w:rsidR="00872C03" w:rsidRPr="00883399" w:rsidRDefault="00872C03" w:rsidP="0031057E">
            <w:pPr>
              <w:pStyle w:val="Tabletext0"/>
              <w:rPr>
                <w:sz w:val="22"/>
              </w:rPr>
            </w:pPr>
            <w:r w:rsidRPr="00883399">
              <w:rPr>
                <w:sz w:val="22"/>
              </w:rPr>
              <w:t>ASTM D 4177 – 95 (2005)</w:t>
            </w:r>
          </w:p>
        </w:tc>
      </w:tr>
      <w:tr w:rsidR="00872C03" w:rsidRPr="00883399" w14:paraId="57D3AE0F" w14:textId="77777777" w:rsidTr="0031057E">
        <w:trPr>
          <w:cantSplit/>
          <w:trHeight w:val="424"/>
        </w:trPr>
        <w:tc>
          <w:tcPr>
            <w:tcW w:w="720" w:type="dxa"/>
            <w:tcBorders>
              <w:top w:val="single" w:sz="4" w:space="0" w:color="auto"/>
            </w:tcBorders>
            <w:shd w:val="clear" w:color="auto" w:fill="auto"/>
          </w:tcPr>
          <w:p w14:paraId="14205BD9" w14:textId="77777777" w:rsidR="00872C03" w:rsidRPr="00883399" w:rsidRDefault="00872C03" w:rsidP="0031057E">
            <w:pPr>
              <w:pStyle w:val="Tabletext0"/>
              <w:rPr>
                <w:sz w:val="22"/>
              </w:rPr>
            </w:pPr>
            <w:r w:rsidRPr="00883399">
              <w:rPr>
                <w:sz w:val="22"/>
              </w:rPr>
              <w:t>9</w:t>
            </w:r>
          </w:p>
        </w:tc>
        <w:tc>
          <w:tcPr>
            <w:tcW w:w="3000" w:type="dxa"/>
            <w:tcBorders>
              <w:top w:val="single" w:sz="4" w:space="0" w:color="auto"/>
            </w:tcBorders>
            <w:shd w:val="clear" w:color="auto" w:fill="auto"/>
          </w:tcPr>
          <w:p w14:paraId="38705AB7" w14:textId="77777777" w:rsidR="00872C03" w:rsidRPr="00883399" w:rsidRDefault="00872C03" w:rsidP="0031057E">
            <w:pPr>
              <w:pStyle w:val="Tabletext0"/>
              <w:rPr>
                <w:sz w:val="22"/>
              </w:rPr>
            </w:pPr>
            <w:r w:rsidRPr="00883399">
              <w:rPr>
                <w:sz w:val="22"/>
              </w:rPr>
              <w:t>Heating oil</w:t>
            </w:r>
          </w:p>
        </w:tc>
        <w:tc>
          <w:tcPr>
            <w:tcW w:w="3720" w:type="dxa"/>
            <w:tcBorders>
              <w:top w:val="single" w:sz="4" w:space="0" w:color="auto"/>
            </w:tcBorders>
            <w:shd w:val="clear" w:color="auto" w:fill="auto"/>
          </w:tcPr>
          <w:p w14:paraId="4954F1E0" w14:textId="77777777" w:rsidR="00872C03" w:rsidRPr="00883399" w:rsidRDefault="00872C03" w:rsidP="0031057E">
            <w:pPr>
              <w:pStyle w:val="Tabletext0"/>
              <w:rPr>
                <w:sz w:val="22"/>
              </w:rPr>
            </w:pPr>
            <w:r w:rsidRPr="00883399">
              <w:rPr>
                <w:sz w:val="22"/>
              </w:rPr>
              <w:t>ISO 3170:2004</w:t>
            </w:r>
          </w:p>
          <w:p w14:paraId="5ACFFE95" w14:textId="77777777" w:rsidR="00872C03" w:rsidRPr="00883399" w:rsidRDefault="00872C03" w:rsidP="0031057E">
            <w:pPr>
              <w:pStyle w:val="Tabletext0"/>
              <w:rPr>
                <w:sz w:val="22"/>
              </w:rPr>
            </w:pPr>
            <w:r w:rsidRPr="00883399">
              <w:rPr>
                <w:sz w:val="22"/>
              </w:rPr>
              <w:t>ISO 3171:1988</w:t>
            </w:r>
          </w:p>
          <w:p w14:paraId="78667CA8" w14:textId="77777777" w:rsidR="00872C03" w:rsidRPr="00883399" w:rsidRDefault="00872C03" w:rsidP="0031057E">
            <w:pPr>
              <w:pStyle w:val="Tabletext0"/>
              <w:rPr>
                <w:sz w:val="22"/>
              </w:rPr>
            </w:pPr>
            <w:r w:rsidRPr="00883399">
              <w:rPr>
                <w:sz w:val="22"/>
              </w:rPr>
              <w:t>ASTM D 4057 – 06</w:t>
            </w:r>
          </w:p>
          <w:p w14:paraId="0EC933C4" w14:textId="77777777" w:rsidR="00872C03" w:rsidRPr="00883399" w:rsidRDefault="00872C03" w:rsidP="0031057E">
            <w:pPr>
              <w:pStyle w:val="Tabletext0"/>
              <w:rPr>
                <w:sz w:val="22"/>
              </w:rPr>
            </w:pPr>
            <w:r w:rsidRPr="00883399">
              <w:rPr>
                <w:sz w:val="22"/>
              </w:rPr>
              <w:t>ASTM D 4177 – 95 (2005)</w:t>
            </w:r>
          </w:p>
        </w:tc>
      </w:tr>
      <w:tr w:rsidR="00872C03" w:rsidRPr="00883399" w14:paraId="57010D22" w14:textId="77777777" w:rsidTr="0031057E">
        <w:trPr>
          <w:trHeight w:val="424"/>
        </w:trPr>
        <w:tc>
          <w:tcPr>
            <w:tcW w:w="720" w:type="dxa"/>
            <w:shd w:val="clear" w:color="auto" w:fill="auto"/>
          </w:tcPr>
          <w:p w14:paraId="6EC956B4" w14:textId="77777777" w:rsidR="00872C03" w:rsidRPr="00883399" w:rsidRDefault="00872C03" w:rsidP="0031057E">
            <w:pPr>
              <w:pStyle w:val="Tabletext0"/>
              <w:rPr>
                <w:sz w:val="22"/>
              </w:rPr>
            </w:pPr>
            <w:r w:rsidRPr="00883399">
              <w:rPr>
                <w:sz w:val="22"/>
              </w:rPr>
              <w:t>10</w:t>
            </w:r>
          </w:p>
        </w:tc>
        <w:tc>
          <w:tcPr>
            <w:tcW w:w="3000" w:type="dxa"/>
            <w:shd w:val="clear" w:color="auto" w:fill="auto"/>
          </w:tcPr>
          <w:p w14:paraId="3D102EC0" w14:textId="77777777" w:rsidR="00872C03" w:rsidRPr="00883399" w:rsidRDefault="00872C03" w:rsidP="0031057E">
            <w:pPr>
              <w:pStyle w:val="Tabletext0"/>
              <w:rPr>
                <w:sz w:val="22"/>
              </w:rPr>
            </w:pPr>
            <w:r w:rsidRPr="00883399">
              <w:rPr>
                <w:sz w:val="22"/>
              </w:rPr>
              <w:t>Diesel oil</w:t>
            </w:r>
          </w:p>
        </w:tc>
        <w:tc>
          <w:tcPr>
            <w:tcW w:w="3720" w:type="dxa"/>
            <w:shd w:val="clear" w:color="auto" w:fill="auto"/>
          </w:tcPr>
          <w:p w14:paraId="30DE633A" w14:textId="77777777" w:rsidR="00872C03" w:rsidRPr="00883399" w:rsidRDefault="00872C03" w:rsidP="0031057E">
            <w:pPr>
              <w:pStyle w:val="Tabletext0"/>
              <w:rPr>
                <w:sz w:val="22"/>
              </w:rPr>
            </w:pPr>
            <w:r w:rsidRPr="00883399">
              <w:rPr>
                <w:sz w:val="22"/>
              </w:rPr>
              <w:t>ISO 3170:2004</w:t>
            </w:r>
          </w:p>
          <w:p w14:paraId="5E917BFD" w14:textId="77777777" w:rsidR="00872C03" w:rsidRPr="00883399" w:rsidRDefault="00872C03" w:rsidP="0031057E">
            <w:pPr>
              <w:pStyle w:val="Tabletext0"/>
              <w:rPr>
                <w:sz w:val="22"/>
              </w:rPr>
            </w:pPr>
            <w:r w:rsidRPr="00883399">
              <w:rPr>
                <w:sz w:val="22"/>
              </w:rPr>
              <w:t>ISO 3171:1988</w:t>
            </w:r>
          </w:p>
          <w:p w14:paraId="0E4E8389" w14:textId="77777777" w:rsidR="00872C03" w:rsidRPr="00883399" w:rsidRDefault="00872C03" w:rsidP="0031057E">
            <w:pPr>
              <w:pStyle w:val="Tabletext0"/>
              <w:rPr>
                <w:sz w:val="22"/>
              </w:rPr>
            </w:pPr>
            <w:r w:rsidRPr="00883399">
              <w:rPr>
                <w:sz w:val="22"/>
              </w:rPr>
              <w:t>ASTM D 4057 – 06</w:t>
            </w:r>
          </w:p>
          <w:p w14:paraId="7518E473" w14:textId="77777777" w:rsidR="00872C03" w:rsidRPr="00883399" w:rsidRDefault="00872C03" w:rsidP="0031057E">
            <w:pPr>
              <w:pStyle w:val="Tabletext0"/>
              <w:rPr>
                <w:sz w:val="22"/>
              </w:rPr>
            </w:pPr>
            <w:r w:rsidRPr="00883399">
              <w:rPr>
                <w:sz w:val="22"/>
              </w:rPr>
              <w:t>ASTM D 4177 – 95 (2005)</w:t>
            </w:r>
          </w:p>
        </w:tc>
      </w:tr>
      <w:tr w:rsidR="00872C03" w:rsidRPr="00883399" w14:paraId="58360712" w14:textId="77777777" w:rsidTr="0031057E">
        <w:trPr>
          <w:trHeight w:val="424"/>
        </w:trPr>
        <w:tc>
          <w:tcPr>
            <w:tcW w:w="720" w:type="dxa"/>
            <w:shd w:val="clear" w:color="auto" w:fill="auto"/>
          </w:tcPr>
          <w:p w14:paraId="5E61A6D8" w14:textId="77777777" w:rsidR="00872C03" w:rsidRPr="00883399" w:rsidRDefault="00872C03" w:rsidP="0031057E">
            <w:pPr>
              <w:pStyle w:val="Tabletext0"/>
              <w:rPr>
                <w:sz w:val="22"/>
              </w:rPr>
            </w:pPr>
            <w:r w:rsidRPr="00883399">
              <w:rPr>
                <w:sz w:val="22"/>
              </w:rPr>
              <w:t>11</w:t>
            </w:r>
          </w:p>
        </w:tc>
        <w:tc>
          <w:tcPr>
            <w:tcW w:w="3000" w:type="dxa"/>
            <w:shd w:val="clear" w:color="auto" w:fill="auto"/>
          </w:tcPr>
          <w:p w14:paraId="634A8FF9" w14:textId="77777777" w:rsidR="00872C03" w:rsidRPr="00883399" w:rsidRDefault="00872C03" w:rsidP="0031057E">
            <w:pPr>
              <w:pStyle w:val="Tabletext0"/>
              <w:rPr>
                <w:sz w:val="22"/>
              </w:rPr>
            </w:pPr>
            <w:r w:rsidRPr="00883399">
              <w:rPr>
                <w:sz w:val="22"/>
              </w:rPr>
              <w:t>Fuel oil</w:t>
            </w:r>
          </w:p>
        </w:tc>
        <w:tc>
          <w:tcPr>
            <w:tcW w:w="3720" w:type="dxa"/>
            <w:shd w:val="clear" w:color="auto" w:fill="auto"/>
          </w:tcPr>
          <w:p w14:paraId="3E8225B0" w14:textId="77777777" w:rsidR="00872C03" w:rsidRPr="00883399" w:rsidRDefault="00872C03" w:rsidP="0031057E">
            <w:pPr>
              <w:pStyle w:val="Tabletext0"/>
              <w:rPr>
                <w:sz w:val="22"/>
              </w:rPr>
            </w:pPr>
            <w:r w:rsidRPr="00883399">
              <w:rPr>
                <w:sz w:val="22"/>
              </w:rPr>
              <w:t>ISO 3170:2004</w:t>
            </w:r>
          </w:p>
          <w:p w14:paraId="21ECAFCD" w14:textId="77777777" w:rsidR="00872C03" w:rsidRPr="00883399" w:rsidRDefault="00872C03" w:rsidP="0031057E">
            <w:pPr>
              <w:pStyle w:val="Tabletext0"/>
              <w:rPr>
                <w:sz w:val="22"/>
              </w:rPr>
            </w:pPr>
            <w:r w:rsidRPr="00883399">
              <w:rPr>
                <w:sz w:val="22"/>
              </w:rPr>
              <w:t>ISO 3171:1988</w:t>
            </w:r>
          </w:p>
          <w:p w14:paraId="1020FD4E" w14:textId="77777777" w:rsidR="00872C03" w:rsidRPr="00883399" w:rsidRDefault="00872C03" w:rsidP="0031057E">
            <w:pPr>
              <w:pStyle w:val="Tabletext0"/>
              <w:rPr>
                <w:sz w:val="22"/>
              </w:rPr>
            </w:pPr>
            <w:r w:rsidRPr="00883399">
              <w:rPr>
                <w:sz w:val="22"/>
              </w:rPr>
              <w:t>ASTM D 4057 – 06</w:t>
            </w:r>
          </w:p>
          <w:p w14:paraId="5CA244CB" w14:textId="77777777" w:rsidR="00872C03" w:rsidRPr="00883399" w:rsidRDefault="00872C03" w:rsidP="0031057E">
            <w:pPr>
              <w:pStyle w:val="Tabletext0"/>
              <w:rPr>
                <w:sz w:val="22"/>
              </w:rPr>
            </w:pPr>
            <w:r w:rsidRPr="00883399">
              <w:rPr>
                <w:sz w:val="22"/>
              </w:rPr>
              <w:t>ASTM D 4177 – 95 (2005)</w:t>
            </w:r>
          </w:p>
        </w:tc>
      </w:tr>
      <w:tr w:rsidR="00872C03" w:rsidRPr="00883399" w14:paraId="12A7DA95" w14:textId="77777777" w:rsidTr="0031057E">
        <w:trPr>
          <w:trHeight w:val="424"/>
        </w:trPr>
        <w:tc>
          <w:tcPr>
            <w:tcW w:w="720" w:type="dxa"/>
            <w:shd w:val="clear" w:color="auto" w:fill="auto"/>
          </w:tcPr>
          <w:p w14:paraId="2BBA29E3" w14:textId="77777777" w:rsidR="00872C03" w:rsidRPr="00883399" w:rsidRDefault="00872C03" w:rsidP="0031057E">
            <w:pPr>
              <w:pStyle w:val="Tabletext0"/>
              <w:rPr>
                <w:sz w:val="22"/>
              </w:rPr>
            </w:pPr>
            <w:r w:rsidRPr="00883399">
              <w:rPr>
                <w:sz w:val="22"/>
              </w:rPr>
              <w:t>12</w:t>
            </w:r>
          </w:p>
        </w:tc>
        <w:tc>
          <w:tcPr>
            <w:tcW w:w="3000" w:type="dxa"/>
            <w:shd w:val="clear" w:color="auto" w:fill="auto"/>
          </w:tcPr>
          <w:p w14:paraId="1FE5B5F8" w14:textId="77777777" w:rsidR="00872C03" w:rsidRPr="00883399" w:rsidRDefault="00872C03" w:rsidP="0031057E">
            <w:pPr>
              <w:pStyle w:val="Tabletext0"/>
              <w:rPr>
                <w:sz w:val="22"/>
              </w:rPr>
            </w:pPr>
            <w:r w:rsidRPr="00883399">
              <w:rPr>
                <w:sz w:val="22"/>
              </w:rPr>
              <w:t xml:space="preserve">Liquefied aromatic hydrocarbons </w:t>
            </w:r>
          </w:p>
        </w:tc>
        <w:tc>
          <w:tcPr>
            <w:tcW w:w="3720" w:type="dxa"/>
            <w:shd w:val="clear" w:color="auto" w:fill="auto"/>
          </w:tcPr>
          <w:p w14:paraId="4A82B007" w14:textId="77777777" w:rsidR="00872C03" w:rsidRPr="00883399" w:rsidRDefault="00872C03" w:rsidP="0031057E">
            <w:pPr>
              <w:pStyle w:val="Tabletext0"/>
              <w:rPr>
                <w:sz w:val="22"/>
              </w:rPr>
            </w:pPr>
            <w:r w:rsidRPr="00883399">
              <w:rPr>
                <w:sz w:val="22"/>
              </w:rPr>
              <w:t>ASTM D 4057 – 06</w:t>
            </w:r>
          </w:p>
        </w:tc>
      </w:tr>
      <w:tr w:rsidR="00872C03" w:rsidRPr="00883399" w14:paraId="030ADF60" w14:textId="77777777" w:rsidTr="0031057E">
        <w:trPr>
          <w:trHeight w:val="439"/>
        </w:trPr>
        <w:tc>
          <w:tcPr>
            <w:tcW w:w="720" w:type="dxa"/>
            <w:shd w:val="clear" w:color="auto" w:fill="auto"/>
          </w:tcPr>
          <w:p w14:paraId="4C793808" w14:textId="77777777" w:rsidR="00872C03" w:rsidRPr="00883399" w:rsidRDefault="00872C03" w:rsidP="0031057E">
            <w:pPr>
              <w:pStyle w:val="Tabletext0"/>
              <w:rPr>
                <w:sz w:val="22"/>
              </w:rPr>
            </w:pPr>
            <w:r w:rsidRPr="00883399">
              <w:rPr>
                <w:sz w:val="22"/>
              </w:rPr>
              <w:t>13</w:t>
            </w:r>
          </w:p>
        </w:tc>
        <w:tc>
          <w:tcPr>
            <w:tcW w:w="3000" w:type="dxa"/>
            <w:shd w:val="clear" w:color="auto" w:fill="auto"/>
          </w:tcPr>
          <w:p w14:paraId="616763B2" w14:textId="77777777" w:rsidR="00872C03" w:rsidRPr="00883399" w:rsidRDefault="00872C03" w:rsidP="0031057E">
            <w:pPr>
              <w:pStyle w:val="Tabletext0"/>
              <w:rPr>
                <w:sz w:val="22"/>
              </w:rPr>
            </w:pPr>
            <w:r w:rsidRPr="00883399">
              <w:rPr>
                <w:sz w:val="22"/>
              </w:rPr>
              <w:t>Solvents if mineral turpentine or white spirits</w:t>
            </w:r>
          </w:p>
        </w:tc>
        <w:tc>
          <w:tcPr>
            <w:tcW w:w="3720" w:type="dxa"/>
            <w:shd w:val="clear" w:color="auto" w:fill="auto"/>
          </w:tcPr>
          <w:p w14:paraId="566886DE" w14:textId="77777777" w:rsidR="00872C03" w:rsidRPr="00883399" w:rsidRDefault="00872C03" w:rsidP="0031057E">
            <w:pPr>
              <w:pStyle w:val="Tabletext0"/>
              <w:rPr>
                <w:sz w:val="22"/>
              </w:rPr>
            </w:pPr>
            <w:r w:rsidRPr="00883399">
              <w:rPr>
                <w:sz w:val="22"/>
              </w:rPr>
              <w:t>ASTM D 4057 – 06</w:t>
            </w:r>
          </w:p>
        </w:tc>
      </w:tr>
      <w:tr w:rsidR="00872C03" w:rsidRPr="00883399" w14:paraId="5997E9BC" w14:textId="77777777" w:rsidTr="0031057E">
        <w:trPr>
          <w:trHeight w:val="401"/>
        </w:trPr>
        <w:tc>
          <w:tcPr>
            <w:tcW w:w="720" w:type="dxa"/>
            <w:shd w:val="clear" w:color="auto" w:fill="auto"/>
          </w:tcPr>
          <w:p w14:paraId="5328087E" w14:textId="77777777" w:rsidR="00872C03" w:rsidRPr="00883399" w:rsidRDefault="00872C03" w:rsidP="0031057E">
            <w:pPr>
              <w:pStyle w:val="Tabletext0"/>
              <w:rPr>
                <w:sz w:val="22"/>
              </w:rPr>
            </w:pPr>
            <w:r w:rsidRPr="00883399">
              <w:rPr>
                <w:sz w:val="22"/>
              </w:rPr>
              <w:t>14</w:t>
            </w:r>
          </w:p>
        </w:tc>
        <w:tc>
          <w:tcPr>
            <w:tcW w:w="3000" w:type="dxa"/>
            <w:shd w:val="clear" w:color="auto" w:fill="auto"/>
          </w:tcPr>
          <w:p w14:paraId="41DAA078" w14:textId="77777777" w:rsidR="00872C03" w:rsidRPr="00883399" w:rsidRDefault="00872C03" w:rsidP="0031057E">
            <w:pPr>
              <w:pStyle w:val="Tabletext0"/>
              <w:rPr>
                <w:sz w:val="22"/>
              </w:rPr>
            </w:pPr>
            <w:r w:rsidRPr="00883399">
              <w:rPr>
                <w:sz w:val="22"/>
              </w:rPr>
              <w:t>Liquefied Petroleum Gas</w:t>
            </w:r>
          </w:p>
        </w:tc>
        <w:tc>
          <w:tcPr>
            <w:tcW w:w="3720" w:type="dxa"/>
            <w:shd w:val="clear" w:color="auto" w:fill="auto"/>
          </w:tcPr>
          <w:p w14:paraId="7B4AEC23" w14:textId="77777777" w:rsidR="00872C03" w:rsidRPr="00883399" w:rsidRDefault="00872C03" w:rsidP="0031057E">
            <w:pPr>
              <w:pStyle w:val="Tabletext0"/>
              <w:rPr>
                <w:sz w:val="22"/>
              </w:rPr>
            </w:pPr>
            <w:r w:rsidRPr="00883399">
              <w:rPr>
                <w:sz w:val="22"/>
              </w:rPr>
              <w:t>ASTM D1265 – 05)</w:t>
            </w:r>
          </w:p>
          <w:p w14:paraId="04520509" w14:textId="77777777" w:rsidR="00872C03" w:rsidRPr="00883399" w:rsidRDefault="00872C03" w:rsidP="0031057E">
            <w:pPr>
              <w:pStyle w:val="Tabletext0"/>
              <w:rPr>
                <w:sz w:val="22"/>
              </w:rPr>
            </w:pPr>
            <w:r w:rsidRPr="00883399">
              <w:rPr>
                <w:sz w:val="22"/>
              </w:rPr>
              <w:t>ISO 4257:2001</w:t>
            </w:r>
          </w:p>
        </w:tc>
      </w:tr>
      <w:tr w:rsidR="00872C03" w:rsidRPr="00883399" w14:paraId="2505F89D" w14:textId="77777777" w:rsidTr="0031057E">
        <w:trPr>
          <w:trHeight w:val="304"/>
        </w:trPr>
        <w:tc>
          <w:tcPr>
            <w:tcW w:w="720" w:type="dxa"/>
            <w:shd w:val="clear" w:color="auto" w:fill="auto"/>
          </w:tcPr>
          <w:p w14:paraId="33EEA55E" w14:textId="77777777" w:rsidR="00872C03" w:rsidRPr="00883399" w:rsidRDefault="00872C03" w:rsidP="0031057E">
            <w:pPr>
              <w:pStyle w:val="Tabletext0"/>
              <w:rPr>
                <w:sz w:val="22"/>
              </w:rPr>
            </w:pPr>
            <w:r w:rsidRPr="00883399">
              <w:rPr>
                <w:sz w:val="22"/>
              </w:rPr>
              <w:t>15</w:t>
            </w:r>
          </w:p>
        </w:tc>
        <w:tc>
          <w:tcPr>
            <w:tcW w:w="3000" w:type="dxa"/>
            <w:shd w:val="clear" w:color="auto" w:fill="auto"/>
          </w:tcPr>
          <w:p w14:paraId="654AD958" w14:textId="77777777" w:rsidR="00872C03" w:rsidRPr="00883399" w:rsidRDefault="00872C03" w:rsidP="0031057E">
            <w:pPr>
              <w:pStyle w:val="Tabletext0"/>
              <w:rPr>
                <w:sz w:val="22"/>
              </w:rPr>
            </w:pPr>
            <w:r w:rsidRPr="00883399">
              <w:rPr>
                <w:sz w:val="22"/>
              </w:rPr>
              <w:t>Naphtha</w:t>
            </w:r>
          </w:p>
        </w:tc>
        <w:tc>
          <w:tcPr>
            <w:tcW w:w="3720" w:type="dxa"/>
            <w:shd w:val="clear" w:color="auto" w:fill="auto"/>
          </w:tcPr>
          <w:p w14:paraId="0380E8C7" w14:textId="77777777" w:rsidR="00872C03" w:rsidRPr="00883399" w:rsidRDefault="00872C03" w:rsidP="0031057E">
            <w:pPr>
              <w:pStyle w:val="Tabletext0"/>
              <w:rPr>
                <w:sz w:val="22"/>
              </w:rPr>
            </w:pPr>
            <w:r w:rsidRPr="00883399">
              <w:rPr>
                <w:sz w:val="22"/>
              </w:rPr>
              <w:t>ISO 3170:2004</w:t>
            </w:r>
          </w:p>
          <w:p w14:paraId="036ECBAD" w14:textId="77777777" w:rsidR="00872C03" w:rsidRPr="00883399" w:rsidRDefault="00872C03" w:rsidP="0031057E">
            <w:pPr>
              <w:pStyle w:val="Tabletext0"/>
              <w:rPr>
                <w:sz w:val="22"/>
              </w:rPr>
            </w:pPr>
            <w:r w:rsidRPr="00883399">
              <w:rPr>
                <w:sz w:val="22"/>
              </w:rPr>
              <w:t>ISO 3171:1988</w:t>
            </w:r>
          </w:p>
          <w:p w14:paraId="4C8853DC" w14:textId="77777777" w:rsidR="00872C03" w:rsidRPr="00883399" w:rsidRDefault="00872C03" w:rsidP="0031057E">
            <w:pPr>
              <w:pStyle w:val="Tabletext0"/>
              <w:rPr>
                <w:sz w:val="22"/>
              </w:rPr>
            </w:pPr>
            <w:r w:rsidRPr="00883399">
              <w:rPr>
                <w:sz w:val="22"/>
              </w:rPr>
              <w:t>ASTM D 4057 – 06</w:t>
            </w:r>
          </w:p>
        </w:tc>
      </w:tr>
      <w:tr w:rsidR="00872C03" w:rsidRPr="00883399" w14:paraId="75EC0C07" w14:textId="77777777" w:rsidTr="0031057E">
        <w:trPr>
          <w:trHeight w:val="304"/>
        </w:trPr>
        <w:tc>
          <w:tcPr>
            <w:tcW w:w="720" w:type="dxa"/>
            <w:shd w:val="clear" w:color="auto" w:fill="auto"/>
          </w:tcPr>
          <w:p w14:paraId="711F62C5" w14:textId="77777777" w:rsidR="00872C03" w:rsidRPr="00883399" w:rsidRDefault="00872C03" w:rsidP="0031057E">
            <w:pPr>
              <w:pStyle w:val="Tabletext0"/>
              <w:rPr>
                <w:sz w:val="22"/>
              </w:rPr>
            </w:pPr>
            <w:r w:rsidRPr="00883399">
              <w:rPr>
                <w:sz w:val="22"/>
              </w:rPr>
              <w:t>16</w:t>
            </w:r>
          </w:p>
        </w:tc>
        <w:tc>
          <w:tcPr>
            <w:tcW w:w="3000" w:type="dxa"/>
            <w:shd w:val="clear" w:color="auto" w:fill="auto"/>
          </w:tcPr>
          <w:p w14:paraId="5C1D0132" w14:textId="77777777" w:rsidR="00872C03" w:rsidRPr="00883399" w:rsidRDefault="00872C03" w:rsidP="0031057E">
            <w:pPr>
              <w:pStyle w:val="Tabletext0"/>
              <w:rPr>
                <w:sz w:val="22"/>
              </w:rPr>
            </w:pPr>
            <w:r w:rsidRPr="00883399">
              <w:rPr>
                <w:sz w:val="22"/>
              </w:rPr>
              <w:t>Petroleum coke</w:t>
            </w:r>
          </w:p>
        </w:tc>
        <w:tc>
          <w:tcPr>
            <w:tcW w:w="3720" w:type="dxa"/>
            <w:shd w:val="clear" w:color="auto" w:fill="auto"/>
          </w:tcPr>
          <w:p w14:paraId="5FC3CF14" w14:textId="77777777" w:rsidR="00872C03" w:rsidRPr="00883399" w:rsidRDefault="00872C03" w:rsidP="0031057E">
            <w:pPr>
              <w:pStyle w:val="Tabletext0"/>
              <w:rPr>
                <w:sz w:val="22"/>
              </w:rPr>
            </w:pPr>
            <w:r w:rsidRPr="00883399">
              <w:rPr>
                <w:sz w:val="22"/>
              </w:rPr>
              <w:t>ASTM D 4057 – 06</w:t>
            </w:r>
          </w:p>
        </w:tc>
      </w:tr>
      <w:tr w:rsidR="00872C03" w:rsidRPr="00883399" w14:paraId="5F718022" w14:textId="77777777" w:rsidTr="0031057E">
        <w:trPr>
          <w:trHeight w:val="304"/>
        </w:trPr>
        <w:tc>
          <w:tcPr>
            <w:tcW w:w="720" w:type="dxa"/>
            <w:shd w:val="clear" w:color="auto" w:fill="auto"/>
          </w:tcPr>
          <w:p w14:paraId="7B96599B" w14:textId="77777777" w:rsidR="00872C03" w:rsidRPr="00883399" w:rsidRDefault="00872C03" w:rsidP="0031057E">
            <w:pPr>
              <w:pStyle w:val="Tabletext0"/>
              <w:rPr>
                <w:sz w:val="22"/>
              </w:rPr>
            </w:pPr>
            <w:r w:rsidRPr="00883399">
              <w:rPr>
                <w:sz w:val="22"/>
              </w:rPr>
              <w:t>17</w:t>
            </w:r>
          </w:p>
        </w:tc>
        <w:tc>
          <w:tcPr>
            <w:tcW w:w="3000" w:type="dxa"/>
            <w:shd w:val="clear" w:color="auto" w:fill="auto"/>
          </w:tcPr>
          <w:p w14:paraId="51F89342" w14:textId="77777777" w:rsidR="00872C03" w:rsidRPr="00883399" w:rsidRDefault="00872C03" w:rsidP="0031057E">
            <w:pPr>
              <w:pStyle w:val="Tabletext0"/>
              <w:rPr>
                <w:sz w:val="22"/>
              </w:rPr>
            </w:pPr>
            <w:r w:rsidRPr="00883399">
              <w:rPr>
                <w:sz w:val="22"/>
              </w:rPr>
              <w:t>Refinery gas and liquids</w:t>
            </w:r>
          </w:p>
        </w:tc>
        <w:tc>
          <w:tcPr>
            <w:tcW w:w="3720" w:type="dxa"/>
            <w:shd w:val="clear" w:color="auto" w:fill="auto"/>
          </w:tcPr>
          <w:p w14:paraId="48361FDF" w14:textId="77777777" w:rsidR="00872C03" w:rsidRPr="00883399" w:rsidRDefault="00872C03" w:rsidP="0031057E">
            <w:pPr>
              <w:pStyle w:val="Tabletext0"/>
              <w:rPr>
                <w:sz w:val="22"/>
              </w:rPr>
            </w:pPr>
            <w:r w:rsidRPr="00883399">
              <w:rPr>
                <w:sz w:val="22"/>
              </w:rPr>
              <w:t>ASTM D 4057 – 06</w:t>
            </w:r>
          </w:p>
        </w:tc>
      </w:tr>
      <w:tr w:rsidR="00872C03" w:rsidRPr="00883399" w14:paraId="673646AA" w14:textId="77777777" w:rsidTr="0031057E">
        <w:trPr>
          <w:trHeight w:val="304"/>
        </w:trPr>
        <w:tc>
          <w:tcPr>
            <w:tcW w:w="720" w:type="dxa"/>
            <w:shd w:val="clear" w:color="auto" w:fill="auto"/>
          </w:tcPr>
          <w:p w14:paraId="204D7531" w14:textId="77777777" w:rsidR="00872C03" w:rsidRPr="00883399" w:rsidRDefault="00872C03" w:rsidP="0031057E">
            <w:pPr>
              <w:pStyle w:val="Tabletext0"/>
              <w:rPr>
                <w:sz w:val="22"/>
              </w:rPr>
            </w:pPr>
            <w:r w:rsidRPr="00883399">
              <w:rPr>
                <w:sz w:val="22"/>
              </w:rPr>
              <w:t>18</w:t>
            </w:r>
          </w:p>
        </w:tc>
        <w:tc>
          <w:tcPr>
            <w:tcW w:w="3000" w:type="dxa"/>
            <w:shd w:val="clear" w:color="auto" w:fill="auto"/>
          </w:tcPr>
          <w:p w14:paraId="56958E4C" w14:textId="77777777" w:rsidR="00872C03" w:rsidRPr="00883399" w:rsidRDefault="00872C03" w:rsidP="0031057E">
            <w:pPr>
              <w:pStyle w:val="Tabletext0"/>
              <w:rPr>
                <w:sz w:val="22"/>
              </w:rPr>
            </w:pPr>
            <w:r w:rsidRPr="00883399">
              <w:rPr>
                <w:sz w:val="22"/>
              </w:rPr>
              <w:t>Refinery coke</w:t>
            </w:r>
          </w:p>
        </w:tc>
        <w:tc>
          <w:tcPr>
            <w:tcW w:w="3720" w:type="dxa"/>
            <w:shd w:val="clear" w:color="auto" w:fill="auto"/>
          </w:tcPr>
          <w:p w14:paraId="4280EDF9" w14:textId="77777777" w:rsidR="00872C03" w:rsidRPr="00883399" w:rsidRDefault="00872C03" w:rsidP="0031057E">
            <w:pPr>
              <w:pStyle w:val="Tabletext0"/>
              <w:rPr>
                <w:sz w:val="22"/>
              </w:rPr>
            </w:pPr>
            <w:r w:rsidRPr="00883399">
              <w:rPr>
                <w:sz w:val="22"/>
              </w:rPr>
              <w:t>ASTM D 4057 – 06</w:t>
            </w:r>
          </w:p>
        </w:tc>
      </w:tr>
      <w:tr w:rsidR="00872C03" w:rsidRPr="00883399" w14:paraId="7637CA5F" w14:textId="77777777" w:rsidTr="0031057E">
        <w:trPr>
          <w:trHeight w:val="304"/>
        </w:trPr>
        <w:tc>
          <w:tcPr>
            <w:tcW w:w="720" w:type="dxa"/>
            <w:shd w:val="clear" w:color="auto" w:fill="auto"/>
          </w:tcPr>
          <w:p w14:paraId="2841E677" w14:textId="77777777" w:rsidR="00872C03" w:rsidRPr="00883399" w:rsidRDefault="00872C03" w:rsidP="0031057E">
            <w:pPr>
              <w:pStyle w:val="Tabletext0"/>
              <w:rPr>
                <w:sz w:val="22"/>
              </w:rPr>
            </w:pPr>
            <w:r w:rsidRPr="00883399">
              <w:rPr>
                <w:sz w:val="22"/>
              </w:rPr>
              <w:t>19</w:t>
            </w:r>
          </w:p>
        </w:tc>
        <w:tc>
          <w:tcPr>
            <w:tcW w:w="3000" w:type="dxa"/>
            <w:shd w:val="clear" w:color="auto" w:fill="auto"/>
          </w:tcPr>
          <w:p w14:paraId="03331CA1" w14:textId="77777777" w:rsidR="00872C03" w:rsidRPr="00883399" w:rsidRDefault="00872C03" w:rsidP="0031057E">
            <w:pPr>
              <w:pStyle w:val="Tabletext0"/>
              <w:rPr>
                <w:snapToGrid w:val="0"/>
                <w:sz w:val="22"/>
              </w:rPr>
            </w:pPr>
            <w:r w:rsidRPr="00883399">
              <w:rPr>
                <w:snapToGrid w:val="0"/>
                <w:sz w:val="22"/>
              </w:rPr>
              <w:t>Petroleum based products other than:</w:t>
            </w:r>
          </w:p>
          <w:p w14:paraId="5ADE0535" w14:textId="77777777" w:rsidR="00872C03" w:rsidRPr="00883399" w:rsidRDefault="00872C03" w:rsidP="0031057E">
            <w:pPr>
              <w:pStyle w:val="Tablea"/>
              <w:rPr>
                <w:snapToGrid w:val="0"/>
                <w:sz w:val="22"/>
              </w:rPr>
            </w:pPr>
            <w:r w:rsidRPr="00883399">
              <w:rPr>
                <w:snapToGrid w:val="0"/>
                <w:sz w:val="22"/>
              </w:rPr>
              <w:lastRenderedPageBreak/>
              <w:t xml:space="preserve">(a) petroleum based oils and petroleum based greases mentioned in items 1 and 2; and </w:t>
            </w:r>
          </w:p>
          <w:p w14:paraId="127AAF5B" w14:textId="77777777" w:rsidR="00872C03" w:rsidRPr="00883399" w:rsidRDefault="00872C03" w:rsidP="0031057E">
            <w:pPr>
              <w:pStyle w:val="Tablea"/>
              <w:rPr>
                <w:sz w:val="22"/>
              </w:rPr>
            </w:pPr>
            <w:r w:rsidRPr="00883399">
              <w:rPr>
                <w:snapToGrid w:val="0"/>
                <w:sz w:val="22"/>
              </w:rPr>
              <w:t>(b) the petroleum based products mentioned in items 3 to 18</w:t>
            </w:r>
          </w:p>
        </w:tc>
        <w:tc>
          <w:tcPr>
            <w:tcW w:w="3720" w:type="dxa"/>
            <w:shd w:val="clear" w:color="auto" w:fill="auto"/>
          </w:tcPr>
          <w:p w14:paraId="07A5EC29" w14:textId="77777777" w:rsidR="00872C03" w:rsidRPr="00883399" w:rsidRDefault="00872C03" w:rsidP="0031057E">
            <w:pPr>
              <w:pStyle w:val="Tabletext0"/>
              <w:rPr>
                <w:sz w:val="22"/>
              </w:rPr>
            </w:pPr>
            <w:r w:rsidRPr="00883399">
              <w:rPr>
                <w:sz w:val="22"/>
              </w:rPr>
              <w:lastRenderedPageBreak/>
              <w:t>ISO 3170:2004</w:t>
            </w:r>
          </w:p>
          <w:p w14:paraId="036199EB" w14:textId="77777777" w:rsidR="00872C03" w:rsidRPr="00883399" w:rsidRDefault="00872C03" w:rsidP="0031057E">
            <w:pPr>
              <w:pStyle w:val="Tabletext0"/>
              <w:rPr>
                <w:sz w:val="22"/>
              </w:rPr>
            </w:pPr>
            <w:r w:rsidRPr="00883399">
              <w:rPr>
                <w:sz w:val="22"/>
              </w:rPr>
              <w:lastRenderedPageBreak/>
              <w:t>ISO 3171:1988</w:t>
            </w:r>
          </w:p>
          <w:p w14:paraId="525A889D" w14:textId="77777777" w:rsidR="00872C03" w:rsidRPr="00883399" w:rsidRDefault="00872C03" w:rsidP="0031057E">
            <w:pPr>
              <w:pStyle w:val="Tabletext0"/>
              <w:rPr>
                <w:sz w:val="22"/>
              </w:rPr>
            </w:pPr>
            <w:r w:rsidRPr="00883399">
              <w:rPr>
                <w:sz w:val="22"/>
              </w:rPr>
              <w:t>ASTM D 4057 – 06</w:t>
            </w:r>
          </w:p>
        </w:tc>
      </w:tr>
      <w:tr w:rsidR="00872C03" w:rsidRPr="00883399" w14:paraId="0186E710" w14:textId="77777777" w:rsidTr="0031057E">
        <w:trPr>
          <w:trHeight w:val="304"/>
        </w:trPr>
        <w:tc>
          <w:tcPr>
            <w:tcW w:w="720" w:type="dxa"/>
            <w:shd w:val="clear" w:color="auto" w:fill="auto"/>
          </w:tcPr>
          <w:p w14:paraId="555B8876" w14:textId="77777777" w:rsidR="00872C03" w:rsidRPr="00883399" w:rsidRDefault="00872C03" w:rsidP="0031057E">
            <w:pPr>
              <w:pStyle w:val="Tabletext0"/>
              <w:rPr>
                <w:sz w:val="22"/>
              </w:rPr>
            </w:pPr>
            <w:r w:rsidRPr="00883399">
              <w:rPr>
                <w:sz w:val="22"/>
              </w:rPr>
              <w:lastRenderedPageBreak/>
              <w:t>20</w:t>
            </w:r>
          </w:p>
        </w:tc>
        <w:tc>
          <w:tcPr>
            <w:tcW w:w="3000" w:type="dxa"/>
            <w:shd w:val="clear" w:color="auto" w:fill="auto"/>
          </w:tcPr>
          <w:p w14:paraId="338EEAB7" w14:textId="77777777" w:rsidR="00872C03" w:rsidRPr="00883399" w:rsidRDefault="00872C03" w:rsidP="0031057E">
            <w:pPr>
              <w:pStyle w:val="Tabletext0"/>
              <w:rPr>
                <w:sz w:val="22"/>
              </w:rPr>
            </w:pPr>
            <w:r w:rsidRPr="00883399">
              <w:rPr>
                <w:sz w:val="22"/>
              </w:rPr>
              <w:t xml:space="preserve">Biodiesel </w:t>
            </w:r>
          </w:p>
        </w:tc>
        <w:tc>
          <w:tcPr>
            <w:tcW w:w="3720" w:type="dxa"/>
            <w:shd w:val="clear" w:color="auto" w:fill="auto"/>
          </w:tcPr>
          <w:p w14:paraId="0CCF2BC6" w14:textId="77777777" w:rsidR="00872C03" w:rsidRPr="00883399" w:rsidRDefault="00872C03" w:rsidP="0031057E">
            <w:pPr>
              <w:pStyle w:val="Tabletext0"/>
              <w:rPr>
                <w:sz w:val="22"/>
              </w:rPr>
            </w:pPr>
            <w:r w:rsidRPr="00883399">
              <w:rPr>
                <w:sz w:val="22"/>
              </w:rPr>
              <w:t>ISO 3170:2004</w:t>
            </w:r>
          </w:p>
          <w:p w14:paraId="02CF14BD" w14:textId="77777777" w:rsidR="00872C03" w:rsidRPr="00883399" w:rsidRDefault="00872C03" w:rsidP="0031057E">
            <w:pPr>
              <w:pStyle w:val="Tabletext0"/>
              <w:rPr>
                <w:sz w:val="22"/>
              </w:rPr>
            </w:pPr>
            <w:r w:rsidRPr="00883399">
              <w:rPr>
                <w:sz w:val="22"/>
              </w:rPr>
              <w:t>ISO 3171:1988</w:t>
            </w:r>
          </w:p>
          <w:p w14:paraId="5D5B46EA" w14:textId="77777777" w:rsidR="00872C03" w:rsidRPr="00883399" w:rsidRDefault="00872C03" w:rsidP="0031057E">
            <w:pPr>
              <w:pStyle w:val="Tabletext0"/>
              <w:rPr>
                <w:sz w:val="22"/>
              </w:rPr>
            </w:pPr>
            <w:r w:rsidRPr="00883399">
              <w:rPr>
                <w:sz w:val="22"/>
              </w:rPr>
              <w:t>ASTM D 4057 – 06</w:t>
            </w:r>
          </w:p>
          <w:p w14:paraId="11BC57F4" w14:textId="77777777" w:rsidR="00872C03" w:rsidRPr="00883399" w:rsidRDefault="00872C03" w:rsidP="0031057E">
            <w:pPr>
              <w:pStyle w:val="Tabletext0"/>
              <w:rPr>
                <w:sz w:val="22"/>
              </w:rPr>
            </w:pPr>
            <w:r w:rsidRPr="00883399">
              <w:rPr>
                <w:sz w:val="22"/>
              </w:rPr>
              <w:t>ASTM D 4177 – 95 (2005)</w:t>
            </w:r>
          </w:p>
        </w:tc>
      </w:tr>
      <w:tr w:rsidR="00872C03" w:rsidRPr="00883399" w14:paraId="2647F16B" w14:textId="77777777" w:rsidTr="0031057E">
        <w:trPr>
          <w:trHeight w:val="304"/>
        </w:trPr>
        <w:tc>
          <w:tcPr>
            <w:tcW w:w="720" w:type="dxa"/>
            <w:tcBorders>
              <w:bottom w:val="single" w:sz="4" w:space="0" w:color="auto"/>
            </w:tcBorders>
            <w:shd w:val="clear" w:color="auto" w:fill="auto"/>
          </w:tcPr>
          <w:p w14:paraId="2F5B05DD" w14:textId="77777777" w:rsidR="00872C03" w:rsidRPr="00883399" w:rsidRDefault="00872C03" w:rsidP="0031057E">
            <w:pPr>
              <w:pStyle w:val="Tabletext0"/>
              <w:rPr>
                <w:sz w:val="22"/>
              </w:rPr>
            </w:pPr>
            <w:r w:rsidRPr="00883399">
              <w:rPr>
                <w:sz w:val="22"/>
              </w:rPr>
              <w:t>21</w:t>
            </w:r>
          </w:p>
        </w:tc>
        <w:tc>
          <w:tcPr>
            <w:tcW w:w="3000" w:type="dxa"/>
            <w:tcBorders>
              <w:bottom w:val="single" w:sz="4" w:space="0" w:color="auto"/>
            </w:tcBorders>
            <w:shd w:val="clear" w:color="auto" w:fill="auto"/>
          </w:tcPr>
          <w:p w14:paraId="51FCB9D7" w14:textId="77777777" w:rsidR="00872C03" w:rsidRPr="00883399" w:rsidRDefault="00872C03" w:rsidP="0031057E">
            <w:pPr>
              <w:pStyle w:val="Tabletext0"/>
              <w:rPr>
                <w:sz w:val="22"/>
              </w:rPr>
            </w:pPr>
            <w:r w:rsidRPr="00883399">
              <w:rPr>
                <w:sz w:val="22"/>
              </w:rPr>
              <w:t>Ethanol for use as a fuel in an internal combustion engine</w:t>
            </w:r>
          </w:p>
        </w:tc>
        <w:tc>
          <w:tcPr>
            <w:tcW w:w="3720" w:type="dxa"/>
            <w:tcBorders>
              <w:bottom w:val="single" w:sz="4" w:space="0" w:color="auto"/>
            </w:tcBorders>
            <w:shd w:val="clear" w:color="auto" w:fill="auto"/>
          </w:tcPr>
          <w:p w14:paraId="6772482E" w14:textId="77777777" w:rsidR="00872C03" w:rsidRPr="00883399" w:rsidRDefault="00872C03" w:rsidP="0031057E">
            <w:pPr>
              <w:pStyle w:val="Tabletext0"/>
              <w:rPr>
                <w:sz w:val="22"/>
              </w:rPr>
            </w:pPr>
            <w:r w:rsidRPr="00883399">
              <w:rPr>
                <w:sz w:val="22"/>
              </w:rPr>
              <w:t>ASTM D 4057 – 06</w:t>
            </w:r>
          </w:p>
        </w:tc>
      </w:tr>
      <w:tr w:rsidR="00872C03" w:rsidRPr="00883399" w14:paraId="0D5C8BD3" w14:textId="77777777" w:rsidTr="0031057E">
        <w:trPr>
          <w:trHeight w:val="195"/>
        </w:trPr>
        <w:tc>
          <w:tcPr>
            <w:tcW w:w="720" w:type="dxa"/>
            <w:tcBorders>
              <w:bottom w:val="single" w:sz="4" w:space="0" w:color="auto"/>
            </w:tcBorders>
            <w:shd w:val="clear" w:color="auto" w:fill="auto"/>
          </w:tcPr>
          <w:p w14:paraId="31054E25" w14:textId="77777777" w:rsidR="00872C03" w:rsidRPr="00883399" w:rsidRDefault="00872C03" w:rsidP="0031057E">
            <w:pPr>
              <w:pStyle w:val="Tabletext0"/>
              <w:rPr>
                <w:sz w:val="22"/>
              </w:rPr>
            </w:pPr>
            <w:bookmarkStart w:id="319" w:name="CU_23250275"/>
            <w:bookmarkEnd w:id="319"/>
            <w:r w:rsidRPr="00883399">
              <w:rPr>
                <w:sz w:val="22"/>
              </w:rPr>
              <w:t>22</w:t>
            </w:r>
          </w:p>
        </w:tc>
        <w:tc>
          <w:tcPr>
            <w:tcW w:w="3000" w:type="dxa"/>
            <w:tcBorders>
              <w:bottom w:val="single" w:sz="4" w:space="0" w:color="auto"/>
            </w:tcBorders>
            <w:shd w:val="clear" w:color="auto" w:fill="auto"/>
          </w:tcPr>
          <w:p w14:paraId="3393A4BA" w14:textId="77777777" w:rsidR="00872C03" w:rsidRPr="00883399" w:rsidRDefault="00872C03" w:rsidP="0031057E">
            <w:pPr>
              <w:pStyle w:val="Tabletext0"/>
              <w:rPr>
                <w:sz w:val="22"/>
              </w:rPr>
            </w:pPr>
            <w:r w:rsidRPr="00883399">
              <w:rPr>
                <w:sz w:val="22"/>
              </w:rPr>
              <w:t>Biofuels other than those mentioned in items 20 and 21</w:t>
            </w:r>
          </w:p>
        </w:tc>
        <w:tc>
          <w:tcPr>
            <w:tcW w:w="3720" w:type="dxa"/>
            <w:tcBorders>
              <w:bottom w:val="single" w:sz="4" w:space="0" w:color="auto"/>
            </w:tcBorders>
            <w:shd w:val="clear" w:color="auto" w:fill="auto"/>
          </w:tcPr>
          <w:p w14:paraId="422351C1" w14:textId="77777777" w:rsidR="00872C03" w:rsidRPr="00883399" w:rsidRDefault="00872C03" w:rsidP="0031057E">
            <w:pPr>
              <w:pStyle w:val="Tabletext0"/>
              <w:rPr>
                <w:sz w:val="22"/>
              </w:rPr>
            </w:pPr>
            <w:r w:rsidRPr="00883399">
              <w:rPr>
                <w:sz w:val="22"/>
              </w:rPr>
              <w:t>ISO 3170:2004</w:t>
            </w:r>
          </w:p>
          <w:p w14:paraId="60043F50" w14:textId="77777777" w:rsidR="00872C03" w:rsidRPr="00883399" w:rsidRDefault="00872C03" w:rsidP="0031057E">
            <w:pPr>
              <w:pStyle w:val="Tabletext0"/>
              <w:rPr>
                <w:sz w:val="22"/>
              </w:rPr>
            </w:pPr>
            <w:r w:rsidRPr="00883399">
              <w:rPr>
                <w:sz w:val="22"/>
              </w:rPr>
              <w:t>ISO 3171:1988</w:t>
            </w:r>
          </w:p>
          <w:p w14:paraId="1DFDD6FA" w14:textId="77777777" w:rsidR="00872C03" w:rsidRPr="00883399" w:rsidRDefault="00872C03" w:rsidP="0031057E">
            <w:pPr>
              <w:pStyle w:val="Tabletext0"/>
              <w:rPr>
                <w:sz w:val="22"/>
              </w:rPr>
            </w:pPr>
            <w:r w:rsidRPr="00883399">
              <w:rPr>
                <w:sz w:val="22"/>
              </w:rPr>
              <w:t>ASTM D 4057 – 06</w:t>
            </w:r>
          </w:p>
          <w:p w14:paraId="2E2CF26A" w14:textId="77777777" w:rsidR="00872C03" w:rsidRPr="00883399" w:rsidRDefault="00872C03" w:rsidP="0031057E">
            <w:pPr>
              <w:pStyle w:val="Tabletext0"/>
              <w:rPr>
                <w:sz w:val="22"/>
              </w:rPr>
            </w:pPr>
            <w:r w:rsidRPr="00883399">
              <w:rPr>
                <w:sz w:val="22"/>
              </w:rPr>
              <w:t>ASTM D 4177 – 95 (2005)</w:t>
            </w:r>
          </w:p>
        </w:tc>
      </w:tr>
    </w:tbl>
    <w:p w14:paraId="326CE3C9" w14:textId="77777777" w:rsidR="00872C03" w:rsidRPr="00883399" w:rsidRDefault="00872C03" w:rsidP="00872C03">
      <w:pPr>
        <w:pStyle w:val="subsection"/>
        <w:rPr>
          <w:sz w:val="24"/>
        </w:rPr>
      </w:pPr>
      <w:r w:rsidRPr="00883399">
        <w:rPr>
          <w:sz w:val="24"/>
        </w:rPr>
        <w:tab/>
        <w:t>(4)</w:t>
      </w:r>
      <w:r w:rsidRPr="00883399">
        <w:rPr>
          <w:sz w:val="24"/>
        </w:rPr>
        <w:tab/>
        <w:t>A liquid fuel may also be sampled in accordance with a standard that is equivalent to a standard set out in the table in subsection (3) in relation to that liquid fuel.</w:t>
      </w:r>
    </w:p>
    <w:p w14:paraId="166B7076" w14:textId="5F38AD03" w:rsidR="00872C03" w:rsidRPr="00883399" w:rsidRDefault="00872C03" w:rsidP="00872C03">
      <w:pPr>
        <w:pStyle w:val="ActHead3"/>
        <w:pageBreakBefore/>
        <w:rPr>
          <w:rStyle w:val="CharDivText"/>
          <w:sz w:val="32"/>
        </w:rPr>
      </w:pPr>
      <w:bookmarkStart w:id="320" w:name="_Toc423516810"/>
      <w:bookmarkStart w:id="321" w:name="_Toc495652728"/>
      <w:r w:rsidRPr="00883399">
        <w:rPr>
          <w:rStyle w:val="CharDivNo"/>
          <w:sz w:val="32"/>
        </w:rPr>
        <w:lastRenderedPageBreak/>
        <w:t>Division 2.4.5</w:t>
      </w:r>
      <w:r w:rsidRPr="00883399">
        <w:rPr>
          <w:sz w:val="32"/>
        </w:rPr>
        <w:t>—</w:t>
      </w:r>
      <w:r w:rsidRPr="00883399">
        <w:rPr>
          <w:rStyle w:val="CharDivText"/>
          <w:sz w:val="32"/>
        </w:rPr>
        <w:t>Method 2—emissions of methane and nitrous oxide from liquid fuels other than petroleum based oils or greases</w:t>
      </w:r>
      <w:bookmarkEnd w:id="320"/>
      <w:bookmarkEnd w:id="321"/>
    </w:p>
    <w:p w14:paraId="32C61B8F"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Method 2 for the estimation of methane and nitrous oxide emissions from the combustion of liquid fuels is very similar to Method 1 - however the Reporter uses an equipment-specific emission factor set out in Schedule 1 of the Determination.  This approach is only available for post-2004 vehicles and certain trucks with specified engine designs. </w:t>
      </w:r>
    </w:p>
    <w:p w14:paraId="751C1BBB"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No sampling and analysis of fuels are required for this Method 2 for non-carbon dioxide emissions.   This is because the emissions of methane and nitrous oxide depend, in general, on combustion conditions and the equipment used to combust the fuel. In contrast, the carbon dioxide emissions depend on the chemical qualities of the fuels themselves which can only be ascertained by analysis.  </w:t>
      </w:r>
    </w:p>
    <w:p w14:paraId="5260CC85" w14:textId="33D728A9" w:rsidR="00872C03" w:rsidRPr="00883399" w:rsidRDefault="00872C03" w:rsidP="00872C03">
      <w:pPr>
        <w:pStyle w:val="ActHead5"/>
        <w:rPr>
          <w:sz w:val="28"/>
        </w:rPr>
      </w:pPr>
      <w:bookmarkStart w:id="322" w:name="_Toc423516811"/>
      <w:bookmarkStart w:id="323" w:name="_Toc495652729"/>
      <w:r w:rsidRPr="00883399">
        <w:rPr>
          <w:rStyle w:val="CharSectno"/>
          <w:sz w:val="28"/>
        </w:rPr>
        <w:t>2.48</w:t>
      </w:r>
      <w:r w:rsidRPr="00883399">
        <w:rPr>
          <w:sz w:val="28"/>
        </w:rPr>
        <w:t xml:space="preserve">  Method 2—emissions of methane and nitrous oxide from the combustion of liquid fuels</w:t>
      </w:r>
      <w:bookmarkEnd w:id="322"/>
      <w:bookmarkEnd w:id="323"/>
    </w:p>
    <w:p w14:paraId="6692E042" w14:textId="77777777" w:rsidR="00872C03" w:rsidRPr="00883399" w:rsidRDefault="00872C03" w:rsidP="00872C03">
      <w:pPr>
        <w:pStyle w:val="subsection"/>
        <w:rPr>
          <w:sz w:val="24"/>
        </w:rPr>
      </w:pPr>
      <w:r w:rsidRPr="00883399">
        <w:rPr>
          <w:sz w:val="24"/>
        </w:rPr>
        <w:tab/>
        <w:t>(1)</w:t>
      </w:r>
      <w:r w:rsidRPr="00883399">
        <w:rPr>
          <w:sz w:val="24"/>
        </w:rPr>
        <w:tab/>
        <w:t>For subparagraph 2.40(1)(b)(ii) and subject to subsection (2), method 2 for estimating emissions of methane and nitrous oxide is the same as method 1 under section 2.41.</w:t>
      </w:r>
    </w:p>
    <w:p w14:paraId="2BB22AEE" w14:textId="77777777" w:rsidR="00872C03" w:rsidRPr="00883399" w:rsidRDefault="00872C03" w:rsidP="00872C03">
      <w:pPr>
        <w:pStyle w:val="subsection"/>
        <w:rPr>
          <w:sz w:val="24"/>
        </w:rPr>
      </w:pPr>
      <w:r w:rsidRPr="00883399">
        <w:rPr>
          <w:sz w:val="24"/>
        </w:rPr>
        <w:tab/>
        <w:t>(2)</w:t>
      </w:r>
      <w:r w:rsidRPr="00883399">
        <w:rPr>
          <w:sz w:val="24"/>
        </w:rPr>
        <w:tab/>
        <w:t xml:space="preserve">In applying method 1 in section 2.41, the emission factor </w:t>
      </w:r>
      <w:r w:rsidRPr="00883399">
        <w:rPr>
          <w:b/>
          <w:i/>
          <w:sz w:val="24"/>
        </w:rPr>
        <w:t>EF</w:t>
      </w:r>
      <w:r w:rsidRPr="00883399">
        <w:rPr>
          <w:b/>
          <w:i/>
          <w:sz w:val="24"/>
          <w:vertAlign w:val="subscript"/>
        </w:rPr>
        <w:t>ijoxec</w:t>
      </w:r>
      <w:r w:rsidRPr="00883399">
        <w:rPr>
          <w:sz w:val="24"/>
        </w:rPr>
        <w:t xml:space="preserve"> is</w:t>
      </w:r>
      <w:r w:rsidRPr="00883399">
        <w:rPr>
          <w:b/>
          <w:i/>
          <w:sz w:val="24"/>
          <w:vertAlign w:val="subscript"/>
        </w:rPr>
        <w:t xml:space="preserve"> </w:t>
      </w:r>
      <w:r w:rsidRPr="00883399">
        <w:rPr>
          <w:sz w:val="24"/>
        </w:rPr>
        <w:t>taken to be the emission factor set out in:</w:t>
      </w:r>
    </w:p>
    <w:p w14:paraId="6D25B5F7" w14:textId="77777777" w:rsidR="00872C03" w:rsidRPr="00883399" w:rsidRDefault="00872C03" w:rsidP="00872C03">
      <w:pPr>
        <w:pStyle w:val="paragraph"/>
        <w:rPr>
          <w:sz w:val="24"/>
        </w:rPr>
      </w:pPr>
      <w:r w:rsidRPr="00883399">
        <w:rPr>
          <w:sz w:val="24"/>
        </w:rPr>
        <w:tab/>
        <w:t>(a)</w:t>
      </w:r>
      <w:r w:rsidRPr="00883399">
        <w:rPr>
          <w:sz w:val="24"/>
        </w:rPr>
        <w:tab/>
        <w:t>for combustion of fuel by vehicles manufactured after 2004—columns 5 and 6 of the table in Division 4.2 of Part 4 of Schedule 1; and</w:t>
      </w:r>
    </w:p>
    <w:p w14:paraId="5AC2A5D6" w14:textId="77777777" w:rsidR="00872C03" w:rsidRPr="00883399" w:rsidRDefault="00872C03" w:rsidP="00872C03">
      <w:pPr>
        <w:pStyle w:val="paragraph"/>
        <w:rPr>
          <w:sz w:val="24"/>
        </w:rPr>
      </w:pPr>
      <w:r w:rsidRPr="00883399">
        <w:rPr>
          <w:sz w:val="24"/>
        </w:rPr>
        <w:tab/>
        <w:t>(b)</w:t>
      </w:r>
      <w:r w:rsidRPr="00883399">
        <w:rPr>
          <w:sz w:val="24"/>
        </w:rPr>
        <w:tab/>
        <w:t>for combustion of fuel by trucks that meet the design standards mentioned in column 3 of the table in Division 4.3 of Part 4 of Schedule 1—columns 6 and 7 of the table in that Division.</w:t>
      </w:r>
    </w:p>
    <w:p w14:paraId="7860EC2A" w14:textId="77777777" w:rsidR="00872C03" w:rsidRPr="00883399" w:rsidRDefault="00872C03" w:rsidP="00872C03">
      <w:pPr>
        <w:pStyle w:val="paragraph"/>
        <w:rPr>
          <w:sz w:val="24"/>
        </w:rPr>
      </w:pPr>
    </w:p>
    <w:p w14:paraId="3950F6E7" w14:textId="067AB364" w:rsidR="00872C03" w:rsidRPr="00883399" w:rsidRDefault="00872C03" w:rsidP="00872C03">
      <w:pPr>
        <w:pStyle w:val="HD"/>
      </w:pPr>
      <w:bookmarkStart w:id="324" w:name="_Toc227733719"/>
      <w:bookmarkStart w:id="325" w:name="_Toc265135227"/>
      <w:bookmarkStart w:id="326" w:name="_Toc495652730"/>
      <w:r w:rsidRPr="00883399">
        <w:rPr>
          <w:rStyle w:val="CharDivNo"/>
        </w:rPr>
        <w:lastRenderedPageBreak/>
        <w:t>Table 2.4.5A</w:t>
      </w:r>
      <w:r w:rsidRPr="00883399">
        <w:tab/>
      </w:r>
      <w:r w:rsidRPr="00883399">
        <w:rPr>
          <w:rStyle w:val="CharDivText"/>
        </w:rPr>
        <w:t>Fuel combustion — liquid fuels for transport energy purposes for post</w:t>
      </w:r>
      <w:r w:rsidRPr="00883399">
        <w:rPr>
          <w:rStyle w:val="CharDivText"/>
        </w:rPr>
        <w:noBreakHyphen/>
        <w:t>2004 vehicles</w:t>
      </w:r>
      <w:bookmarkEnd w:id="324"/>
      <w:bookmarkEnd w:id="325"/>
      <w:bookmarkEnd w:id="326"/>
    </w:p>
    <w:p w14:paraId="721CC844" w14:textId="77777777" w:rsidR="00872C03" w:rsidRPr="00883399" w:rsidRDefault="00872C03" w:rsidP="00872C03">
      <w:pPr>
        <w:keepNext/>
        <w:tabs>
          <w:tab w:val="left" w:pos="6676"/>
        </w:tabs>
      </w:pPr>
      <w:r w:rsidRPr="00883399">
        <w:tab/>
      </w:r>
    </w:p>
    <w:tbl>
      <w:tblPr>
        <w:tblW w:w="83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3252"/>
        <w:gridCol w:w="1550"/>
        <w:gridCol w:w="970"/>
        <w:gridCol w:w="970"/>
        <w:gridCol w:w="971"/>
      </w:tblGrid>
      <w:tr w:rsidR="00872C03" w:rsidRPr="00883399" w14:paraId="37147EDF" w14:textId="77777777" w:rsidTr="0031057E">
        <w:trPr>
          <w:cantSplit/>
          <w:tblHeader/>
        </w:trPr>
        <w:tc>
          <w:tcPr>
            <w:tcW w:w="588" w:type="dxa"/>
            <w:vMerge w:val="restart"/>
            <w:tcBorders>
              <w:top w:val="nil"/>
              <w:left w:val="nil"/>
              <w:bottom w:val="nil"/>
              <w:right w:val="nil"/>
            </w:tcBorders>
          </w:tcPr>
          <w:p w14:paraId="553BDC6D" w14:textId="77777777" w:rsidR="00872C03" w:rsidRPr="00883399" w:rsidRDefault="00872C03" w:rsidP="0031057E">
            <w:pPr>
              <w:pStyle w:val="Table"/>
              <w:keepNext/>
              <w:jc w:val="right"/>
              <w:rPr>
                <w:rStyle w:val="Strong"/>
                <w:rFonts w:cs="Arial"/>
                <w:sz w:val="18"/>
              </w:rPr>
            </w:pPr>
            <w:r w:rsidRPr="00883399">
              <w:rPr>
                <w:rStyle w:val="Strong"/>
                <w:rFonts w:cs="Arial"/>
                <w:sz w:val="18"/>
              </w:rPr>
              <w:t>Item</w:t>
            </w:r>
          </w:p>
        </w:tc>
        <w:tc>
          <w:tcPr>
            <w:tcW w:w="3252" w:type="dxa"/>
            <w:vMerge w:val="restart"/>
            <w:tcBorders>
              <w:top w:val="nil"/>
              <w:left w:val="nil"/>
              <w:bottom w:val="nil"/>
              <w:right w:val="nil"/>
            </w:tcBorders>
          </w:tcPr>
          <w:p w14:paraId="74842806" w14:textId="77777777" w:rsidR="00872C03" w:rsidRPr="00883399" w:rsidRDefault="00872C03" w:rsidP="0031057E">
            <w:pPr>
              <w:pStyle w:val="Table"/>
              <w:keepNext/>
              <w:rPr>
                <w:rStyle w:val="Strong"/>
                <w:rFonts w:cs="Arial"/>
                <w:sz w:val="18"/>
              </w:rPr>
            </w:pPr>
            <w:r w:rsidRPr="00883399">
              <w:rPr>
                <w:rStyle w:val="Strong"/>
                <w:rFonts w:cs="Arial"/>
                <w:sz w:val="18"/>
              </w:rPr>
              <w:t>Fuel combusted</w:t>
            </w:r>
          </w:p>
        </w:tc>
        <w:tc>
          <w:tcPr>
            <w:tcW w:w="1550" w:type="dxa"/>
            <w:vMerge w:val="restart"/>
            <w:tcBorders>
              <w:top w:val="nil"/>
              <w:left w:val="nil"/>
              <w:bottom w:val="nil"/>
              <w:right w:val="nil"/>
            </w:tcBorders>
          </w:tcPr>
          <w:p w14:paraId="0D0053A3" w14:textId="77777777" w:rsidR="00872C03" w:rsidRPr="00883399" w:rsidRDefault="00872C03" w:rsidP="0031057E">
            <w:pPr>
              <w:pStyle w:val="TableCentre"/>
              <w:keepNext/>
              <w:jc w:val="left"/>
              <w:rPr>
                <w:rStyle w:val="Strong"/>
                <w:rFonts w:cs="Arial"/>
                <w:sz w:val="18"/>
              </w:rPr>
            </w:pPr>
            <w:r w:rsidRPr="00883399">
              <w:rPr>
                <w:rStyle w:val="Strong"/>
                <w:rFonts w:cs="Arial"/>
                <w:sz w:val="18"/>
              </w:rPr>
              <w:t>Energy content factor</w:t>
            </w:r>
          </w:p>
          <w:p w14:paraId="60954597" w14:textId="77777777" w:rsidR="00872C03" w:rsidRPr="00883399" w:rsidRDefault="00872C03" w:rsidP="0031057E">
            <w:pPr>
              <w:pStyle w:val="TableCentre"/>
              <w:keepNext/>
              <w:jc w:val="left"/>
              <w:rPr>
                <w:rStyle w:val="Strong"/>
                <w:rFonts w:cs="Arial"/>
                <w:sz w:val="18"/>
              </w:rPr>
            </w:pPr>
            <w:r w:rsidRPr="00883399">
              <w:rPr>
                <w:rStyle w:val="Strong"/>
                <w:rFonts w:cs="Arial"/>
                <w:sz w:val="18"/>
              </w:rPr>
              <w:t>GJ/kL</w:t>
            </w:r>
          </w:p>
        </w:tc>
        <w:tc>
          <w:tcPr>
            <w:tcW w:w="2911" w:type="dxa"/>
            <w:gridSpan w:val="3"/>
            <w:tcBorders>
              <w:top w:val="nil"/>
              <w:left w:val="nil"/>
              <w:bottom w:val="nil"/>
              <w:right w:val="nil"/>
            </w:tcBorders>
          </w:tcPr>
          <w:p w14:paraId="599BA698" w14:textId="77777777" w:rsidR="00872C03" w:rsidRPr="00883399" w:rsidRDefault="00872C03" w:rsidP="0031057E">
            <w:pPr>
              <w:pStyle w:val="Heading1Like"/>
              <w:spacing w:before="60" w:after="0" w:line="312" w:lineRule="auto"/>
              <w:ind w:left="567" w:hanging="567"/>
              <w:jc w:val="center"/>
              <w:rPr>
                <w:rFonts w:ascii="Arial" w:hAnsi="Arial"/>
                <w:sz w:val="18"/>
              </w:rPr>
            </w:pPr>
            <w:r w:rsidRPr="00883399">
              <w:rPr>
                <w:rFonts w:ascii="Arial" w:hAnsi="Arial"/>
                <w:caps w:val="0"/>
                <w:sz w:val="18"/>
              </w:rPr>
              <w:t>Emission factor</w:t>
            </w:r>
          </w:p>
          <w:p w14:paraId="4352EEE8" w14:textId="77777777" w:rsidR="00872C03" w:rsidRPr="00883399" w:rsidRDefault="00872C03" w:rsidP="0031057E">
            <w:pPr>
              <w:pStyle w:val="Heading1Like"/>
              <w:spacing w:after="0" w:line="312" w:lineRule="auto"/>
              <w:ind w:left="567" w:hanging="567"/>
              <w:jc w:val="center"/>
              <w:rPr>
                <w:rFonts w:ascii="Arial" w:hAnsi="Arial"/>
                <w:sz w:val="18"/>
              </w:rPr>
            </w:pPr>
            <w:r w:rsidRPr="00883399">
              <w:rPr>
                <w:rFonts w:ascii="Arial" w:hAnsi="Arial"/>
                <w:caps w:val="0"/>
                <w:sz w:val="18"/>
              </w:rPr>
              <w:t>kg CO</w:t>
            </w:r>
            <w:r w:rsidRPr="00883399">
              <w:rPr>
                <w:rFonts w:ascii="Arial" w:hAnsi="Arial"/>
                <w:caps w:val="0"/>
                <w:sz w:val="18"/>
                <w:vertAlign w:val="subscript"/>
              </w:rPr>
              <w:t>2</w:t>
            </w:r>
            <w:r w:rsidRPr="00883399">
              <w:rPr>
                <w:rFonts w:ascii="Arial" w:hAnsi="Arial"/>
                <w:caps w:val="0"/>
                <w:sz w:val="18"/>
              </w:rPr>
              <w:noBreakHyphen/>
              <w:t>e/GJ</w:t>
            </w:r>
          </w:p>
          <w:p w14:paraId="5FA42461" w14:textId="77777777" w:rsidR="00872C03" w:rsidRPr="00883399" w:rsidRDefault="00872C03" w:rsidP="0031057E">
            <w:pPr>
              <w:pStyle w:val="Heading1Like"/>
              <w:spacing w:before="60" w:after="240"/>
              <w:ind w:left="0" w:firstLine="0"/>
              <w:jc w:val="center"/>
              <w:rPr>
                <w:sz w:val="18"/>
              </w:rPr>
            </w:pPr>
            <w:r w:rsidRPr="00883399">
              <w:rPr>
                <w:sz w:val="18"/>
                <w:szCs w:val="18"/>
              </w:rPr>
              <w:t>(relevant oxidation factors incorporated)</w:t>
            </w:r>
          </w:p>
        </w:tc>
      </w:tr>
      <w:tr w:rsidR="00872C03" w:rsidRPr="00883399" w14:paraId="6BBB5E0C" w14:textId="77777777" w:rsidTr="0031057E">
        <w:trPr>
          <w:cantSplit/>
          <w:tblHeader/>
        </w:trPr>
        <w:tc>
          <w:tcPr>
            <w:tcW w:w="588" w:type="dxa"/>
            <w:vMerge/>
            <w:tcBorders>
              <w:top w:val="nil"/>
              <w:left w:val="nil"/>
              <w:right w:val="nil"/>
            </w:tcBorders>
          </w:tcPr>
          <w:p w14:paraId="2853FE7D" w14:textId="77777777" w:rsidR="00872C03" w:rsidRPr="00883399" w:rsidRDefault="00872C03" w:rsidP="0031057E">
            <w:pPr>
              <w:keepNext/>
              <w:jc w:val="right"/>
            </w:pPr>
          </w:p>
        </w:tc>
        <w:tc>
          <w:tcPr>
            <w:tcW w:w="3252" w:type="dxa"/>
            <w:vMerge/>
            <w:tcBorders>
              <w:top w:val="nil"/>
              <w:left w:val="nil"/>
              <w:right w:val="nil"/>
            </w:tcBorders>
          </w:tcPr>
          <w:p w14:paraId="3956D435" w14:textId="77777777" w:rsidR="00872C03" w:rsidRPr="00883399" w:rsidRDefault="00872C03" w:rsidP="0031057E">
            <w:pPr>
              <w:pStyle w:val="HTMLPreformatted"/>
              <w:keepNext/>
              <w:spacing w:before="60"/>
              <w:rPr>
                <w:sz w:val="22"/>
              </w:rPr>
            </w:pPr>
          </w:p>
        </w:tc>
        <w:tc>
          <w:tcPr>
            <w:tcW w:w="1550" w:type="dxa"/>
            <w:vMerge/>
            <w:tcBorders>
              <w:top w:val="nil"/>
              <w:left w:val="nil"/>
              <w:right w:val="nil"/>
            </w:tcBorders>
          </w:tcPr>
          <w:p w14:paraId="5317C414" w14:textId="77777777" w:rsidR="00872C03" w:rsidRPr="00883399" w:rsidRDefault="00872C03" w:rsidP="0031057E">
            <w:pPr>
              <w:keepNext/>
              <w:spacing w:before="60"/>
              <w:rPr>
                <w:sz w:val="22"/>
              </w:rPr>
            </w:pPr>
          </w:p>
        </w:tc>
        <w:tc>
          <w:tcPr>
            <w:tcW w:w="970" w:type="dxa"/>
            <w:tcBorders>
              <w:top w:val="nil"/>
              <w:left w:val="nil"/>
              <w:right w:val="nil"/>
            </w:tcBorders>
          </w:tcPr>
          <w:p w14:paraId="51CA1067" w14:textId="77777777" w:rsidR="00872C03" w:rsidRPr="00883399" w:rsidRDefault="00872C03" w:rsidP="0031057E">
            <w:pPr>
              <w:pStyle w:val="TableCentre"/>
              <w:keepNext/>
              <w:jc w:val="left"/>
              <w:rPr>
                <w:sz w:val="22"/>
              </w:rPr>
            </w:pPr>
            <w:r w:rsidRPr="00883399">
              <w:rPr>
                <w:b/>
                <w:bCs/>
                <w:snapToGrid w:val="0"/>
                <w:sz w:val="18"/>
              </w:rPr>
              <w:t>CO</w:t>
            </w:r>
            <w:r w:rsidRPr="00883399">
              <w:rPr>
                <w:b/>
                <w:bCs/>
                <w:snapToGrid w:val="0"/>
                <w:sz w:val="18"/>
                <w:vertAlign w:val="subscript"/>
              </w:rPr>
              <w:t>2</w:t>
            </w:r>
          </w:p>
        </w:tc>
        <w:tc>
          <w:tcPr>
            <w:tcW w:w="970" w:type="dxa"/>
            <w:tcBorders>
              <w:top w:val="nil"/>
              <w:left w:val="nil"/>
              <w:right w:val="nil"/>
            </w:tcBorders>
          </w:tcPr>
          <w:p w14:paraId="4FE410CA" w14:textId="77777777" w:rsidR="00872C03" w:rsidRPr="00883399" w:rsidRDefault="00872C03" w:rsidP="0031057E">
            <w:pPr>
              <w:pStyle w:val="TableCentre"/>
              <w:keepNext/>
              <w:jc w:val="left"/>
              <w:rPr>
                <w:rStyle w:val="Strong"/>
                <w:rFonts w:cs="Arial"/>
                <w:sz w:val="18"/>
              </w:rPr>
            </w:pPr>
            <w:r w:rsidRPr="00883399">
              <w:rPr>
                <w:b/>
                <w:bCs/>
                <w:snapToGrid w:val="0"/>
                <w:sz w:val="18"/>
              </w:rPr>
              <w:t>CH</w:t>
            </w:r>
            <w:r w:rsidRPr="00883399">
              <w:rPr>
                <w:b/>
                <w:bCs/>
                <w:snapToGrid w:val="0"/>
                <w:sz w:val="18"/>
                <w:vertAlign w:val="subscript"/>
              </w:rPr>
              <w:t>4</w:t>
            </w:r>
          </w:p>
        </w:tc>
        <w:tc>
          <w:tcPr>
            <w:tcW w:w="971" w:type="dxa"/>
            <w:tcBorders>
              <w:top w:val="nil"/>
              <w:left w:val="nil"/>
              <w:right w:val="nil"/>
            </w:tcBorders>
          </w:tcPr>
          <w:p w14:paraId="7B64F942" w14:textId="77777777" w:rsidR="00872C03" w:rsidRPr="00883399" w:rsidRDefault="00872C03" w:rsidP="0031057E">
            <w:pPr>
              <w:pStyle w:val="TableCentre"/>
              <w:keepNext/>
              <w:spacing w:after="60"/>
              <w:jc w:val="left"/>
              <w:rPr>
                <w:rStyle w:val="Strong"/>
                <w:rFonts w:cs="Arial"/>
                <w:sz w:val="18"/>
              </w:rPr>
            </w:pPr>
            <w:r w:rsidRPr="00883399">
              <w:rPr>
                <w:b/>
                <w:bCs/>
                <w:snapToGrid w:val="0"/>
                <w:sz w:val="18"/>
              </w:rPr>
              <w:t>N</w:t>
            </w:r>
            <w:r w:rsidRPr="00883399">
              <w:rPr>
                <w:b/>
                <w:bCs/>
                <w:snapToGrid w:val="0"/>
                <w:sz w:val="18"/>
                <w:vertAlign w:val="subscript"/>
              </w:rPr>
              <w:t>2</w:t>
            </w:r>
            <w:r w:rsidRPr="00883399">
              <w:rPr>
                <w:b/>
                <w:bCs/>
                <w:snapToGrid w:val="0"/>
                <w:sz w:val="18"/>
              </w:rPr>
              <w:t>O</w:t>
            </w:r>
          </w:p>
        </w:tc>
      </w:tr>
      <w:tr w:rsidR="00C64E6B" w:rsidRPr="00883399" w14:paraId="4D34DB16" w14:textId="77777777" w:rsidTr="0031057E">
        <w:trPr>
          <w:cantSplit/>
        </w:trPr>
        <w:tc>
          <w:tcPr>
            <w:tcW w:w="588" w:type="dxa"/>
            <w:tcBorders>
              <w:left w:val="nil"/>
              <w:bottom w:val="nil"/>
              <w:right w:val="nil"/>
            </w:tcBorders>
          </w:tcPr>
          <w:p w14:paraId="0E13E2FB" w14:textId="77777777" w:rsidR="00C64E6B" w:rsidRPr="00883399" w:rsidRDefault="00C64E6B" w:rsidP="00C64E6B">
            <w:pPr>
              <w:pStyle w:val="Tabletext0"/>
              <w:rPr>
                <w:snapToGrid w:val="0"/>
                <w:sz w:val="22"/>
              </w:rPr>
            </w:pPr>
            <w:r w:rsidRPr="00883399">
              <w:rPr>
                <w:snapToGrid w:val="0"/>
                <w:sz w:val="22"/>
              </w:rPr>
              <w:t>64</w:t>
            </w:r>
          </w:p>
        </w:tc>
        <w:tc>
          <w:tcPr>
            <w:tcW w:w="3252" w:type="dxa"/>
            <w:tcBorders>
              <w:left w:val="nil"/>
              <w:bottom w:val="nil"/>
              <w:right w:val="nil"/>
            </w:tcBorders>
          </w:tcPr>
          <w:p w14:paraId="2BF76AF6" w14:textId="77777777" w:rsidR="00C64E6B" w:rsidRPr="00883399" w:rsidRDefault="00C64E6B" w:rsidP="00C64E6B">
            <w:pPr>
              <w:pStyle w:val="Tabletext0"/>
              <w:rPr>
                <w:snapToGrid w:val="0"/>
                <w:sz w:val="22"/>
                <w:szCs w:val="16"/>
              </w:rPr>
            </w:pPr>
            <w:r w:rsidRPr="00883399">
              <w:rPr>
                <w:snapToGrid w:val="0"/>
                <w:sz w:val="22"/>
              </w:rPr>
              <w:t>Gasoline (other than for use as fuel in an aircraft)</w:t>
            </w:r>
          </w:p>
        </w:tc>
        <w:tc>
          <w:tcPr>
            <w:tcW w:w="1550" w:type="dxa"/>
            <w:tcBorders>
              <w:left w:val="nil"/>
              <w:bottom w:val="nil"/>
              <w:right w:val="nil"/>
            </w:tcBorders>
          </w:tcPr>
          <w:p w14:paraId="4DCF268C" w14:textId="77777777" w:rsidR="00C64E6B" w:rsidRPr="00883399" w:rsidRDefault="00C64E6B" w:rsidP="00C64E6B">
            <w:pPr>
              <w:pStyle w:val="Tabletext0"/>
              <w:rPr>
                <w:snapToGrid w:val="0"/>
                <w:sz w:val="22"/>
              </w:rPr>
            </w:pPr>
            <w:r w:rsidRPr="00883399">
              <w:rPr>
                <w:snapToGrid w:val="0"/>
                <w:sz w:val="22"/>
              </w:rPr>
              <w:t>34.2</w:t>
            </w:r>
          </w:p>
        </w:tc>
        <w:tc>
          <w:tcPr>
            <w:tcW w:w="970" w:type="dxa"/>
            <w:tcBorders>
              <w:left w:val="nil"/>
              <w:bottom w:val="nil"/>
              <w:right w:val="nil"/>
            </w:tcBorders>
          </w:tcPr>
          <w:p w14:paraId="1F06B821" w14:textId="77777777" w:rsidR="00C64E6B" w:rsidRPr="00883399" w:rsidRDefault="00C64E6B" w:rsidP="00C64E6B">
            <w:pPr>
              <w:pStyle w:val="Tabletext0"/>
              <w:rPr>
                <w:snapToGrid w:val="0"/>
                <w:sz w:val="22"/>
              </w:rPr>
            </w:pPr>
            <w:r w:rsidRPr="00883399">
              <w:rPr>
                <w:snapToGrid w:val="0"/>
                <w:sz w:val="22"/>
              </w:rPr>
              <w:t>67.4</w:t>
            </w:r>
          </w:p>
        </w:tc>
        <w:tc>
          <w:tcPr>
            <w:tcW w:w="970" w:type="dxa"/>
            <w:tcBorders>
              <w:left w:val="nil"/>
              <w:bottom w:val="nil"/>
              <w:right w:val="nil"/>
            </w:tcBorders>
          </w:tcPr>
          <w:p w14:paraId="5FD299B6" w14:textId="77777777" w:rsidR="00C64E6B" w:rsidRPr="00883399" w:rsidRDefault="00C64E6B" w:rsidP="00C64E6B">
            <w:pPr>
              <w:pStyle w:val="Tabletext0"/>
              <w:rPr>
                <w:snapToGrid w:val="0"/>
                <w:sz w:val="22"/>
              </w:rPr>
            </w:pPr>
            <w:r w:rsidRPr="00883399">
              <w:rPr>
                <w:snapToGrid w:val="0"/>
                <w:sz w:val="22"/>
              </w:rPr>
              <w:t>0.02</w:t>
            </w:r>
          </w:p>
        </w:tc>
        <w:tc>
          <w:tcPr>
            <w:tcW w:w="971" w:type="dxa"/>
            <w:tcBorders>
              <w:left w:val="nil"/>
              <w:bottom w:val="nil"/>
              <w:right w:val="nil"/>
            </w:tcBorders>
          </w:tcPr>
          <w:p w14:paraId="2D5FBF26" w14:textId="77777777" w:rsidR="00C64E6B" w:rsidRPr="00883399" w:rsidRDefault="00C64E6B" w:rsidP="00C64E6B">
            <w:pPr>
              <w:pStyle w:val="Tabletext0"/>
              <w:rPr>
                <w:snapToGrid w:val="0"/>
                <w:sz w:val="22"/>
              </w:rPr>
            </w:pPr>
            <w:r w:rsidRPr="00883399">
              <w:rPr>
                <w:snapToGrid w:val="0"/>
                <w:sz w:val="22"/>
              </w:rPr>
              <w:t>0.2</w:t>
            </w:r>
          </w:p>
        </w:tc>
      </w:tr>
      <w:tr w:rsidR="00C64E6B" w:rsidRPr="00883399" w14:paraId="3D715F03" w14:textId="77777777" w:rsidTr="0031057E">
        <w:trPr>
          <w:cantSplit/>
        </w:trPr>
        <w:tc>
          <w:tcPr>
            <w:tcW w:w="588" w:type="dxa"/>
            <w:tcBorders>
              <w:top w:val="nil"/>
              <w:left w:val="nil"/>
              <w:bottom w:val="nil"/>
              <w:right w:val="nil"/>
            </w:tcBorders>
          </w:tcPr>
          <w:p w14:paraId="7FC5C35D" w14:textId="77777777" w:rsidR="00C64E6B" w:rsidRPr="00883399" w:rsidRDefault="00C64E6B" w:rsidP="00C64E6B">
            <w:pPr>
              <w:pStyle w:val="Tabletext0"/>
              <w:rPr>
                <w:snapToGrid w:val="0"/>
                <w:sz w:val="22"/>
              </w:rPr>
            </w:pPr>
            <w:r w:rsidRPr="00883399">
              <w:rPr>
                <w:snapToGrid w:val="0"/>
                <w:sz w:val="22"/>
              </w:rPr>
              <w:t>65</w:t>
            </w:r>
          </w:p>
        </w:tc>
        <w:tc>
          <w:tcPr>
            <w:tcW w:w="3252" w:type="dxa"/>
            <w:tcBorders>
              <w:top w:val="nil"/>
              <w:left w:val="nil"/>
              <w:bottom w:val="nil"/>
              <w:right w:val="nil"/>
            </w:tcBorders>
          </w:tcPr>
          <w:p w14:paraId="60E4C7F6" w14:textId="77777777" w:rsidR="00C64E6B" w:rsidRPr="00883399" w:rsidRDefault="00C64E6B" w:rsidP="00C64E6B">
            <w:pPr>
              <w:pStyle w:val="Tabletext0"/>
              <w:rPr>
                <w:snapToGrid w:val="0"/>
                <w:sz w:val="22"/>
                <w:szCs w:val="16"/>
              </w:rPr>
            </w:pPr>
            <w:r w:rsidRPr="00883399">
              <w:rPr>
                <w:snapToGrid w:val="0"/>
                <w:sz w:val="22"/>
              </w:rPr>
              <w:t>Diesel oil</w:t>
            </w:r>
          </w:p>
        </w:tc>
        <w:tc>
          <w:tcPr>
            <w:tcW w:w="1550" w:type="dxa"/>
            <w:tcBorders>
              <w:top w:val="nil"/>
              <w:left w:val="nil"/>
              <w:bottom w:val="nil"/>
              <w:right w:val="nil"/>
            </w:tcBorders>
          </w:tcPr>
          <w:p w14:paraId="43D807E7" w14:textId="77777777" w:rsidR="00C64E6B" w:rsidRPr="00883399" w:rsidRDefault="00C64E6B" w:rsidP="00C64E6B">
            <w:pPr>
              <w:pStyle w:val="Tabletext0"/>
              <w:rPr>
                <w:snapToGrid w:val="0"/>
                <w:sz w:val="22"/>
              </w:rPr>
            </w:pPr>
            <w:r w:rsidRPr="00883399">
              <w:rPr>
                <w:snapToGrid w:val="0"/>
                <w:sz w:val="22"/>
              </w:rPr>
              <w:t>38.6</w:t>
            </w:r>
          </w:p>
        </w:tc>
        <w:tc>
          <w:tcPr>
            <w:tcW w:w="970" w:type="dxa"/>
            <w:tcBorders>
              <w:top w:val="nil"/>
              <w:left w:val="nil"/>
              <w:bottom w:val="nil"/>
              <w:right w:val="nil"/>
            </w:tcBorders>
          </w:tcPr>
          <w:p w14:paraId="51B3F319" w14:textId="77777777" w:rsidR="00C64E6B" w:rsidRPr="00883399" w:rsidRDefault="00C64E6B" w:rsidP="00C64E6B">
            <w:pPr>
              <w:pStyle w:val="Tabletext0"/>
              <w:rPr>
                <w:snapToGrid w:val="0"/>
                <w:sz w:val="22"/>
              </w:rPr>
            </w:pPr>
            <w:r w:rsidRPr="00883399">
              <w:rPr>
                <w:snapToGrid w:val="0"/>
                <w:sz w:val="22"/>
              </w:rPr>
              <w:t>69.9</w:t>
            </w:r>
          </w:p>
        </w:tc>
        <w:tc>
          <w:tcPr>
            <w:tcW w:w="970" w:type="dxa"/>
            <w:tcBorders>
              <w:top w:val="nil"/>
              <w:left w:val="nil"/>
              <w:bottom w:val="nil"/>
              <w:right w:val="nil"/>
            </w:tcBorders>
          </w:tcPr>
          <w:p w14:paraId="7F81D92D" w14:textId="77777777" w:rsidR="00C64E6B" w:rsidRPr="00883399" w:rsidRDefault="00C64E6B" w:rsidP="00C64E6B">
            <w:pPr>
              <w:pStyle w:val="Tabletext0"/>
              <w:rPr>
                <w:snapToGrid w:val="0"/>
                <w:sz w:val="22"/>
              </w:rPr>
            </w:pPr>
            <w:r w:rsidRPr="00883399">
              <w:rPr>
                <w:snapToGrid w:val="0"/>
                <w:sz w:val="22"/>
              </w:rPr>
              <w:t>0.01</w:t>
            </w:r>
          </w:p>
        </w:tc>
        <w:tc>
          <w:tcPr>
            <w:tcW w:w="971" w:type="dxa"/>
            <w:tcBorders>
              <w:top w:val="nil"/>
              <w:left w:val="nil"/>
              <w:bottom w:val="nil"/>
              <w:right w:val="nil"/>
            </w:tcBorders>
          </w:tcPr>
          <w:p w14:paraId="33757E0C" w14:textId="77777777" w:rsidR="00C64E6B" w:rsidRPr="00883399" w:rsidRDefault="00C64E6B" w:rsidP="00C64E6B">
            <w:pPr>
              <w:pStyle w:val="Tabletext0"/>
              <w:rPr>
                <w:snapToGrid w:val="0"/>
                <w:sz w:val="22"/>
              </w:rPr>
            </w:pPr>
            <w:r w:rsidRPr="00883399">
              <w:rPr>
                <w:snapToGrid w:val="0"/>
                <w:sz w:val="22"/>
              </w:rPr>
              <w:t>0.6</w:t>
            </w:r>
          </w:p>
        </w:tc>
      </w:tr>
      <w:tr w:rsidR="00C64E6B" w:rsidRPr="00883399" w14:paraId="7CA15203" w14:textId="77777777" w:rsidTr="0031057E">
        <w:trPr>
          <w:cantSplit/>
        </w:trPr>
        <w:tc>
          <w:tcPr>
            <w:tcW w:w="588" w:type="dxa"/>
            <w:tcBorders>
              <w:top w:val="nil"/>
              <w:left w:val="nil"/>
              <w:bottom w:val="nil"/>
              <w:right w:val="nil"/>
            </w:tcBorders>
          </w:tcPr>
          <w:p w14:paraId="4156C8F6" w14:textId="77777777" w:rsidR="00C64E6B" w:rsidRPr="00883399" w:rsidRDefault="00C64E6B" w:rsidP="00C64E6B">
            <w:pPr>
              <w:pStyle w:val="Tabletext0"/>
              <w:rPr>
                <w:snapToGrid w:val="0"/>
                <w:sz w:val="22"/>
              </w:rPr>
            </w:pPr>
            <w:r w:rsidRPr="00883399">
              <w:rPr>
                <w:snapToGrid w:val="0"/>
                <w:sz w:val="22"/>
              </w:rPr>
              <w:t>66</w:t>
            </w:r>
          </w:p>
        </w:tc>
        <w:tc>
          <w:tcPr>
            <w:tcW w:w="3252" w:type="dxa"/>
            <w:tcBorders>
              <w:top w:val="nil"/>
              <w:left w:val="nil"/>
              <w:bottom w:val="nil"/>
              <w:right w:val="nil"/>
            </w:tcBorders>
          </w:tcPr>
          <w:p w14:paraId="39685B29" w14:textId="77777777" w:rsidR="00C64E6B" w:rsidRPr="00883399" w:rsidRDefault="00C64E6B" w:rsidP="00C64E6B">
            <w:pPr>
              <w:pStyle w:val="Tabletext0"/>
              <w:rPr>
                <w:snapToGrid w:val="0"/>
                <w:sz w:val="22"/>
              </w:rPr>
            </w:pPr>
            <w:r w:rsidRPr="00883399">
              <w:rPr>
                <w:snapToGrid w:val="0"/>
                <w:sz w:val="22"/>
              </w:rPr>
              <w:t>Liquefied petroleum gas</w:t>
            </w:r>
          </w:p>
        </w:tc>
        <w:tc>
          <w:tcPr>
            <w:tcW w:w="1550" w:type="dxa"/>
            <w:tcBorders>
              <w:top w:val="nil"/>
              <w:left w:val="nil"/>
              <w:bottom w:val="nil"/>
              <w:right w:val="nil"/>
            </w:tcBorders>
          </w:tcPr>
          <w:p w14:paraId="737E0CE8" w14:textId="77777777" w:rsidR="00C64E6B" w:rsidRPr="00883399" w:rsidRDefault="00C64E6B" w:rsidP="00C64E6B">
            <w:pPr>
              <w:pStyle w:val="Tabletext0"/>
              <w:rPr>
                <w:snapToGrid w:val="0"/>
                <w:sz w:val="22"/>
              </w:rPr>
            </w:pPr>
            <w:r w:rsidRPr="00883399">
              <w:rPr>
                <w:snapToGrid w:val="0"/>
                <w:sz w:val="22"/>
              </w:rPr>
              <w:t>26.2</w:t>
            </w:r>
          </w:p>
        </w:tc>
        <w:tc>
          <w:tcPr>
            <w:tcW w:w="970" w:type="dxa"/>
            <w:tcBorders>
              <w:top w:val="nil"/>
              <w:left w:val="nil"/>
              <w:bottom w:val="nil"/>
              <w:right w:val="nil"/>
            </w:tcBorders>
          </w:tcPr>
          <w:p w14:paraId="45C21864" w14:textId="77777777" w:rsidR="00C64E6B" w:rsidRPr="00883399" w:rsidRDefault="00C64E6B" w:rsidP="00C64E6B">
            <w:pPr>
              <w:pStyle w:val="Tabletext0"/>
              <w:rPr>
                <w:snapToGrid w:val="0"/>
                <w:sz w:val="22"/>
              </w:rPr>
            </w:pPr>
            <w:r w:rsidRPr="00883399">
              <w:rPr>
                <w:snapToGrid w:val="0"/>
                <w:sz w:val="22"/>
              </w:rPr>
              <w:t>60.2</w:t>
            </w:r>
          </w:p>
        </w:tc>
        <w:tc>
          <w:tcPr>
            <w:tcW w:w="970" w:type="dxa"/>
            <w:tcBorders>
              <w:top w:val="nil"/>
              <w:left w:val="nil"/>
              <w:bottom w:val="nil"/>
              <w:right w:val="nil"/>
            </w:tcBorders>
          </w:tcPr>
          <w:p w14:paraId="422E94C3" w14:textId="77777777" w:rsidR="00C64E6B" w:rsidRPr="00883399" w:rsidRDefault="00C64E6B" w:rsidP="00C64E6B">
            <w:pPr>
              <w:pStyle w:val="Tabletext0"/>
              <w:rPr>
                <w:snapToGrid w:val="0"/>
                <w:sz w:val="22"/>
              </w:rPr>
            </w:pPr>
            <w:r w:rsidRPr="00883399">
              <w:rPr>
                <w:snapToGrid w:val="0"/>
                <w:sz w:val="22"/>
              </w:rPr>
              <w:t>0.4</w:t>
            </w:r>
          </w:p>
        </w:tc>
        <w:tc>
          <w:tcPr>
            <w:tcW w:w="971" w:type="dxa"/>
            <w:tcBorders>
              <w:top w:val="nil"/>
              <w:left w:val="nil"/>
              <w:bottom w:val="nil"/>
              <w:right w:val="nil"/>
            </w:tcBorders>
          </w:tcPr>
          <w:p w14:paraId="100DCDEA" w14:textId="77777777" w:rsidR="00C64E6B" w:rsidRPr="00883399" w:rsidRDefault="00C64E6B" w:rsidP="00C64E6B">
            <w:pPr>
              <w:pStyle w:val="Tabletext0"/>
              <w:rPr>
                <w:snapToGrid w:val="0"/>
                <w:sz w:val="22"/>
              </w:rPr>
            </w:pPr>
            <w:r w:rsidRPr="00883399">
              <w:rPr>
                <w:snapToGrid w:val="0"/>
                <w:sz w:val="22"/>
              </w:rPr>
              <w:t>0.3</w:t>
            </w:r>
          </w:p>
        </w:tc>
      </w:tr>
      <w:tr w:rsidR="00C64E6B" w:rsidRPr="00883399" w14:paraId="45EA9195" w14:textId="77777777" w:rsidTr="0031057E">
        <w:trPr>
          <w:cantSplit/>
        </w:trPr>
        <w:tc>
          <w:tcPr>
            <w:tcW w:w="588" w:type="dxa"/>
            <w:tcBorders>
              <w:top w:val="nil"/>
              <w:left w:val="nil"/>
              <w:right w:val="nil"/>
            </w:tcBorders>
          </w:tcPr>
          <w:p w14:paraId="53D42C48" w14:textId="77777777" w:rsidR="00C64E6B" w:rsidRPr="00883399" w:rsidRDefault="00C64E6B" w:rsidP="00C64E6B">
            <w:pPr>
              <w:pStyle w:val="Tabletext0"/>
              <w:rPr>
                <w:snapToGrid w:val="0"/>
                <w:sz w:val="22"/>
              </w:rPr>
            </w:pPr>
            <w:r w:rsidRPr="00883399">
              <w:rPr>
                <w:snapToGrid w:val="0"/>
                <w:sz w:val="22"/>
              </w:rPr>
              <w:t>67</w:t>
            </w:r>
          </w:p>
        </w:tc>
        <w:tc>
          <w:tcPr>
            <w:tcW w:w="3252" w:type="dxa"/>
            <w:tcBorders>
              <w:top w:val="nil"/>
              <w:left w:val="nil"/>
              <w:right w:val="nil"/>
            </w:tcBorders>
          </w:tcPr>
          <w:p w14:paraId="0DB3B547" w14:textId="77777777" w:rsidR="00C64E6B" w:rsidRPr="00883399" w:rsidRDefault="00C64E6B" w:rsidP="00C64E6B">
            <w:pPr>
              <w:pStyle w:val="Tabletext0"/>
              <w:rPr>
                <w:b/>
                <w:snapToGrid w:val="0"/>
                <w:sz w:val="22"/>
                <w:szCs w:val="16"/>
              </w:rPr>
            </w:pPr>
            <w:r w:rsidRPr="00883399">
              <w:rPr>
                <w:snapToGrid w:val="0"/>
                <w:sz w:val="22"/>
                <w:szCs w:val="16"/>
              </w:rPr>
              <w:t xml:space="preserve">Ethanol </w:t>
            </w:r>
            <w:r w:rsidRPr="00883399">
              <w:rPr>
                <w:snapToGrid w:val="0"/>
                <w:sz w:val="22"/>
              </w:rPr>
              <w:t>for use as fuel in an internal combustion engine</w:t>
            </w:r>
          </w:p>
        </w:tc>
        <w:tc>
          <w:tcPr>
            <w:tcW w:w="1550" w:type="dxa"/>
            <w:tcBorders>
              <w:top w:val="nil"/>
              <w:left w:val="nil"/>
              <w:right w:val="nil"/>
            </w:tcBorders>
          </w:tcPr>
          <w:p w14:paraId="423E2695" w14:textId="77777777" w:rsidR="00C64E6B" w:rsidRPr="00883399" w:rsidRDefault="00C64E6B" w:rsidP="00C64E6B">
            <w:pPr>
              <w:pStyle w:val="Tabletext0"/>
              <w:rPr>
                <w:snapToGrid w:val="0"/>
                <w:sz w:val="22"/>
              </w:rPr>
            </w:pPr>
            <w:r w:rsidRPr="00883399">
              <w:rPr>
                <w:snapToGrid w:val="0"/>
                <w:sz w:val="22"/>
              </w:rPr>
              <w:t>23.4</w:t>
            </w:r>
          </w:p>
        </w:tc>
        <w:tc>
          <w:tcPr>
            <w:tcW w:w="970" w:type="dxa"/>
            <w:tcBorders>
              <w:top w:val="nil"/>
              <w:left w:val="nil"/>
              <w:right w:val="nil"/>
            </w:tcBorders>
          </w:tcPr>
          <w:p w14:paraId="655AE809" w14:textId="77777777" w:rsidR="00C64E6B" w:rsidRPr="00883399" w:rsidRDefault="00C64E6B" w:rsidP="00C64E6B">
            <w:pPr>
              <w:pStyle w:val="Tabletext0"/>
              <w:rPr>
                <w:snapToGrid w:val="0"/>
                <w:sz w:val="22"/>
              </w:rPr>
            </w:pPr>
            <w:r w:rsidRPr="00883399">
              <w:rPr>
                <w:snapToGrid w:val="0"/>
                <w:sz w:val="22"/>
              </w:rPr>
              <w:t>0.0</w:t>
            </w:r>
          </w:p>
        </w:tc>
        <w:tc>
          <w:tcPr>
            <w:tcW w:w="970" w:type="dxa"/>
            <w:tcBorders>
              <w:top w:val="nil"/>
              <w:left w:val="nil"/>
              <w:right w:val="nil"/>
            </w:tcBorders>
          </w:tcPr>
          <w:p w14:paraId="6B848D2A" w14:textId="77777777" w:rsidR="00C64E6B" w:rsidRPr="00883399" w:rsidRDefault="00C64E6B" w:rsidP="00C64E6B">
            <w:pPr>
              <w:pStyle w:val="Tabletext0"/>
              <w:rPr>
                <w:snapToGrid w:val="0"/>
                <w:sz w:val="22"/>
              </w:rPr>
            </w:pPr>
            <w:r w:rsidRPr="00883399">
              <w:rPr>
                <w:snapToGrid w:val="0"/>
                <w:sz w:val="22"/>
              </w:rPr>
              <w:t>0.2</w:t>
            </w:r>
          </w:p>
        </w:tc>
        <w:tc>
          <w:tcPr>
            <w:tcW w:w="971" w:type="dxa"/>
            <w:tcBorders>
              <w:top w:val="nil"/>
              <w:left w:val="nil"/>
              <w:right w:val="nil"/>
            </w:tcBorders>
          </w:tcPr>
          <w:p w14:paraId="572873AD" w14:textId="77777777" w:rsidR="00C64E6B" w:rsidRPr="00883399" w:rsidRDefault="00C64E6B" w:rsidP="00C64E6B">
            <w:pPr>
              <w:pStyle w:val="Tabletext0"/>
              <w:rPr>
                <w:snapToGrid w:val="0"/>
                <w:sz w:val="22"/>
              </w:rPr>
            </w:pPr>
            <w:r w:rsidRPr="00883399">
              <w:rPr>
                <w:snapToGrid w:val="0"/>
                <w:sz w:val="22"/>
              </w:rPr>
              <w:t>0.2</w:t>
            </w:r>
          </w:p>
        </w:tc>
      </w:tr>
    </w:tbl>
    <w:p w14:paraId="52DFE3E2" w14:textId="77777777" w:rsidR="00872C03" w:rsidRPr="00883399" w:rsidRDefault="00872C03" w:rsidP="00872C03">
      <w:pPr>
        <w:pStyle w:val="Note"/>
        <w:ind w:left="0"/>
        <w:rPr>
          <w:color w:val="000000"/>
          <w:sz w:val="16"/>
          <w:szCs w:val="16"/>
        </w:rPr>
      </w:pPr>
      <w:r w:rsidRPr="00883399">
        <w:rPr>
          <w:color w:val="000000"/>
          <w:sz w:val="16"/>
          <w:szCs w:val="16"/>
        </w:rPr>
        <w:t>Notes on the sources of the factors listed above can be found at Appendix 2A.</w:t>
      </w:r>
    </w:p>
    <w:p w14:paraId="72363E60" w14:textId="77777777" w:rsidR="00872C03" w:rsidRPr="00883399" w:rsidRDefault="00872C03" w:rsidP="00872C03">
      <w:pPr>
        <w:pStyle w:val="Note"/>
        <w:ind w:left="0"/>
        <w:rPr>
          <w:color w:val="000000"/>
          <w:sz w:val="16"/>
          <w:szCs w:val="16"/>
        </w:rPr>
      </w:pPr>
    </w:p>
    <w:p w14:paraId="2603CA95" w14:textId="69DC0BF9" w:rsidR="00872C03" w:rsidRPr="00883399" w:rsidRDefault="00872C03" w:rsidP="00872C03">
      <w:pPr>
        <w:pStyle w:val="HD"/>
        <w:spacing w:before="120"/>
      </w:pPr>
      <w:bookmarkStart w:id="327" w:name="_Toc227733720"/>
      <w:bookmarkStart w:id="328" w:name="_Toc265135228"/>
      <w:bookmarkStart w:id="329" w:name="_Toc495652731"/>
      <w:r w:rsidRPr="00883399">
        <w:rPr>
          <w:rStyle w:val="CharDivNo"/>
        </w:rPr>
        <w:t>Table 2.4.5B</w:t>
      </w:r>
      <w:r w:rsidRPr="00883399">
        <w:tab/>
      </w:r>
      <w:r w:rsidRPr="00883399">
        <w:rPr>
          <w:rStyle w:val="CharDivText"/>
        </w:rPr>
        <w:t>Fuel combustion — liquid fuels for transport energy purposes for certain trucks</w:t>
      </w:r>
      <w:bookmarkEnd w:id="327"/>
      <w:bookmarkEnd w:id="328"/>
      <w:bookmarkEnd w:id="329"/>
    </w:p>
    <w:p w14:paraId="7A7F8A92" w14:textId="77777777" w:rsidR="00872C03" w:rsidRPr="00883399" w:rsidRDefault="00872C03" w:rsidP="00872C03"/>
    <w:tbl>
      <w:tblPr>
        <w:tblW w:w="83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1572"/>
        <w:gridCol w:w="1680"/>
        <w:gridCol w:w="1550"/>
        <w:gridCol w:w="970"/>
        <w:gridCol w:w="970"/>
        <w:gridCol w:w="971"/>
      </w:tblGrid>
      <w:tr w:rsidR="00872C03" w:rsidRPr="00883399" w14:paraId="1CEE880A" w14:textId="77777777" w:rsidTr="0031057E">
        <w:trPr>
          <w:cantSplit/>
          <w:tblHeader/>
        </w:trPr>
        <w:tc>
          <w:tcPr>
            <w:tcW w:w="588" w:type="dxa"/>
            <w:vMerge w:val="restart"/>
            <w:tcBorders>
              <w:top w:val="nil"/>
              <w:left w:val="nil"/>
              <w:bottom w:val="nil"/>
              <w:right w:val="nil"/>
            </w:tcBorders>
          </w:tcPr>
          <w:p w14:paraId="09F3F815" w14:textId="77777777" w:rsidR="00872C03" w:rsidRPr="00883399" w:rsidRDefault="00872C03" w:rsidP="0031057E">
            <w:pPr>
              <w:pStyle w:val="Table"/>
              <w:jc w:val="right"/>
              <w:rPr>
                <w:rStyle w:val="Strong"/>
                <w:rFonts w:cs="Arial"/>
                <w:sz w:val="18"/>
              </w:rPr>
            </w:pPr>
            <w:r w:rsidRPr="00883399">
              <w:rPr>
                <w:rStyle w:val="Strong"/>
                <w:rFonts w:cs="Arial"/>
                <w:sz w:val="18"/>
              </w:rPr>
              <w:t>Item</w:t>
            </w:r>
          </w:p>
        </w:tc>
        <w:tc>
          <w:tcPr>
            <w:tcW w:w="1572" w:type="dxa"/>
            <w:vMerge w:val="restart"/>
            <w:tcBorders>
              <w:top w:val="nil"/>
              <w:left w:val="nil"/>
              <w:bottom w:val="nil"/>
              <w:right w:val="nil"/>
            </w:tcBorders>
          </w:tcPr>
          <w:p w14:paraId="6F80E69D" w14:textId="77777777" w:rsidR="00872C03" w:rsidRPr="00883399" w:rsidRDefault="00872C03" w:rsidP="0031057E">
            <w:pPr>
              <w:pStyle w:val="Table"/>
              <w:rPr>
                <w:rStyle w:val="Strong"/>
                <w:rFonts w:cs="Arial"/>
                <w:sz w:val="18"/>
              </w:rPr>
            </w:pPr>
            <w:r w:rsidRPr="00883399">
              <w:rPr>
                <w:rStyle w:val="Strong"/>
                <w:rFonts w:cs="Arial"/>
                <w:sz w:val="18"/>
              </w:rPr>
              <w:t>Fuel type</w:t>
            </w:r>
          </w:p>
        </w:tc>
        <w:tc>
          <w:tcPr>
            <w:tcW w:w="1680" w:type="dxa"/>
            <w:vMerge w:val="restart"/>
            <w:tcBorders>
              <w:top w:val="nil"/>
              <w:left w:val="nil"/>
              <w:bottom w:val="nil"/>
              <w:right w:val="nil"/>
            </w:tcBorders>
          </w:tcPr>
          <w:p w14:paraId="3F1BFC96" w14:textId="77777777" w:rsidR="00872C03" w:rsidRPr="00883399" w:rsidRDefault="00872C03" w:rsidP="0031057E">
            <w:pPr>
              <w:pStyle w:val="Table"/>
              <w:rPr>
                <w:rStyle w:val="Strong"/>
                <w:rFonts w:cs="Arial"/>
                <w:sz w:val="18"/>
              </w:rPr>
            </w:pPr>
            <w:r w:rsidRPr="00883399">
              <w:rPr>
                <w:rStyle w:val="Strong"/>
                <w:rFonts w:cs="Arial"/>
                <w:sz w:val="18"/>
              </w:rPr>
              <w:t>Heavy vehicles design standard</w:t>
            </w:r>
          </w:p>
        </w:tc>
        <w:tc>
          <w:tcPr>
            <w:tcW w:w="1550" w:type="dxa"/>
            <w:vMerge w:val="restart"/>
            <w:tcBorders>
              <w:top w:val="nil"/>
              <w:left w:val="nil"/>
              <w:bottom w:val="nil"/>
              <w:right w:val="nil"/>
            </w:tcBorders>
          </w:tcPr>
          <w:p w14:paraId="2FB5E188" w14:textId="77777777" w:rsidR="00872C03" w:rsidRPr="00883399" w:rsidRDefault="00872C03" w:rsidP="0031057E">
            <w:pPr>
              <w:pStyle w:val="TableCentre"/>
              <w:jc w:val="left"/>
              <w:rPr>
                <w:rStyle w:val="Strong"/>
                <w:rFonts w:cs="Arial"/>
                <w:sz w:val="18"/>
              </w:rPr>
            </w:pPr>
            <w:r w:rsidRPr="00883399">
              <w:rPr>
                <w:rStyle w:val="Strong"/>
                <w:rFonts w:cs="Arial"/>
                <w:sz w:val="18"/>
              </w:rPr>
              <w:t>Energy content factor</w:t>
            </w:r>
          </w:p>
          <w:p w14:paraId="6F99EC7B" w14:textId="77777777" w:rsidR="00872C03" w:rsidRPr="00883399" w:rsidRDefault="00872C03" w:rsidP="0031057E">
            <w:pPr>
              <w:pStyle w:val="TableCentre"/>
              <w:jc w:val="left"/>
              <w:rPr>
                <w:rStyle w:val="Strong"/>
                <w:rFonts w:cs="Arial"/>
                <w:sz w:val="18"/>
              </w:rPr>
            </w:pPr>
            <w:r w:rsidRPr="00883399">
              <w:rPr>
                <w:rStyle w:val="Strong"/>
                <w:rFonts w:cs="Arial"/>
                <w:sz w:val="18"/>
              </w:rPr>
              <w:t>GJ/kL</w:t>
            </w:r>
          </w:p>
        </w:tc>
        <w:tc>
          <w:tcPr>
            <w:tcW w:w="2911" w:type="dxa"/>
            <w:gridSpan w:val="3"/>
            <w:tcBorders>
              <w:top w:val="nil"/>
              <w:left w:val="nil"/>
              <w:bottom w:val="nil"/>
              <w:right w:val="nil"/>
            </w:tcBorders>
          </w:tcPr>
          <w:p w14:paraId="7F120EDC" w14:textId="77777777" w:rsidR="00872C03" w:rsidRPr="00883399" w:rsidRDefault="00872C03" w:rsidP="0031057E">
            <w:pPr>
              <w:pStyle w:val="Heading1Like"/>
              <w:spacing w:before="60" w:after="0" w:line="312" w:lineRule="auto"/>
              <w:ind w:left="567" w:hanging="567"/>
              <w:jc w:val="center"/>
              <w:rPr>
                <w:rFonts w:ascii="Arial" w:hAnsi="Arial"/>
                <w:sz w:val="18"/>
              </w:rPr>
            </w:pPr>
            <w:r w:rsidRPr="00883399">
              <w:rPr>
                <w:rFonts w:ascii="Arial" w:hAnsi="Arial"/>
                <w:caps w:val="0"/>
                <w:sz w:val="18"/>
              </w:rPr>
              <w:t>Emission factor</w:t>
            </w:r>
          </w:p>
          <w:p w14:paraId="72D10894" w14:textId="77777777" w:rsidR="00872C03" w:rsidRPr="00883399" w:rsidRDefault="00872C03" w:rsidP="0031057E">
            <w:pPr>
              <w:pStyle w:val="Heading1Like"/>
              <w:spacing w:after="0" w:line="312" w:lineRule="auto"/>
              <w:ind w:left="567" w:hanging="567"/>
              <w:jc w:val="center"/>
              <w:rPr>
                <w:rFonts w:ascii="Arial" w:hAnsi="Arial"/>
                <w:sz w:val="18"/>
              </w:rPr>
            </w:pPr>
            <w:r w:rsidRPr="00883399">
              <w:rPr>
                <w:rFonts w:ascii="Arial" w:hAnsi="Arial"/>
                <w:caps w:val="0"/>
                <w:sz w:val="18"/>
              </w:rPr>
              <w:t>kg CO</w:t>
            </w:r>
            <w:r w:rsidRPr="00883399">
              <w:rPr>
                <w:rFonts w:ascii="Arial" w:hAnsi="Arial"/>
                <w:caps w:val="0"/>
                <w:sz w:val="18"/>
                <w:vertAlign w:val="subscript"/>
              </w:rPr>
              <w:t>2</w:t>
            </w:r>
            <w:r w:rsidRPr="00883399">
              <w:rPr>
                <w:rFonts w:ascii="Arial" w:hAnsi="Arial"/>
                <w:caps w:val="0"/>
                <w:sz w:val="18"/>
              </w:rPr>
              <w:noBreakHyphen/>
              <w:t>e/GJ</w:t>
            </w:r>
          </w:p>
          <w:p w14:paraId="5842FCF1" w14:textId="77777777" w:rsidR="00872C03" w:rsidRPr="00883399" w:rsidRDefault="00872C03" w:rsidP="0031057E">
            <w:pPr>
              <w:pStyle w:val="Heading1Like"/>
              <w:spacing w:before="60" w:after="240"/>
              <w:ind w:left="0" w:firstLine="0"/>
              <w:jc w:val="center"/>
              <w:rPr>
                <w:sz w:val="18"/>
              </w:rPr>
            </w:pPr>
            <w:r w:rsidRPr="00883399">
              <w:rPr>
                <w:sz w:val="18"/>
                <w:szCs w:val="18"/>
              </w:rPr>
              <w:t>(relevant oxidation factors incorporated)</w:t>
            </w:r>
          </w:p>
        </w:tc>
      </w:tr>
      <w:tr w:rsidR="00872C03" w:rsidRPr="00883399" w14:paraId="0F2B6DC9" w14:textId="77777777" w:rsidTr="0031057E">
        <w:trPr>
          <w:cantSplit/>
          <w:tblHeader/>
        </w:trPr>
        <w:tc>
          <w:tcPr>
            <w:tcW w:w="588" w:type="dxa"/>
            <w:vMerge/>
            <w:tcBorders>
              <w:top w:val="nil"/>
              <w:left w:val="nil"/>
              <w:right w:val="nil"/>
            </w:tcBorders>
          </w:tcPr>
          <w:p w14:paraId="05E59CFC" w14:textId="77777777" w:rsidR="00872C03" w:rsidRPr="00883399" w:rsidRDefault="00872C03" w:rsidP="0031057E">
            <w:pPr>
              <w:jc w:val="right"/>
            </w:pPr>
          </w:p>
        </w:tc>
        <w:tc>
          <w:tcPr>
            <w:tcW w:w="1572" w:type="dxa"/>
            <w:vMerge/>
            <w:tcBorders>
              <w:top w:val="nil"/>
              <w:left w:val="nil"/>
              <w:right w:val="nil"/>
            </w:tcBorders>
          </w:tcPr>
          <w:p w14:paraId="54C42F9C" w14:textId="77777777" w:rsidR="00872C03" w:rsidRPr="00883399" w:rsidRDefault="00872C03" w:rsidP="0031057E">
            <w:pPr>
              <w:pStyle w:val="HTMLPreformatted"/>
              <w:spacing w:before="60"/>
              <w:rPr>
                <w:sz w:val="22"/>
              </w:rPr>
            </w:pPr>
          </w:p>
        </w:tc>
        <w:tc>
          <w:tcPr>
            <w:tcW w:w="1680" w:type="dxa"/>
            <w:vMerge/>
            <w:tcBorders>
              <w:top w:val="nil"/>
              <w:left w:val="nil"/>
              <w:right w:val="nil"/>
            </w:tcBorders>
          </w:tcPr>
          <w:p w14:paraId="05635921" w14:textId="77777777" w:rsidR="00872C03" w:rsidRPr="00883399" w:rsidRDefault="00872C03" w:rsidP="0031057E">
            <w:pPr>
              <w:pStyle w:val="HTMLPreformatted"/>
              <w:spacing w:before="60"/>
              <w:rPr>
                <w:sz w:val="22"/>
              </w:rPr>
            </w:pPr>
          </w:p>
        </w:tc>
        <w:tc>
          <w:tcPr>
            <w:tcW w:w="1550" w:type="dxa"/>
            <w:vMerge/>
            <w:tcBorders>
              <w:top w:val="nil"/>
              <w:left w:val="nil"/>
              <w:right w:val="nil"/>
            </w:tcBorders>
          </w:tcPr>
          <w:p w14:paraId="4F5EF837" w14:textId="77777777" w:rsidR="00872C03" w:rsidRPr="00883399" w:rsidRDefault="00872C03" w:rsidP="0031057E">
            <w:pPr>
              <w:pStyle w:val="HTMLPreformatted"/>
              <w:rPr>
                <w:sz w:val="22"/>
              </w:rPr>
            </w:pPr>
          </w:p>
        </w:tc>
        <w:tc>
          <w:tcPr>
            <w:tcW w:w="970" w:type="dxa"/>
            <w:tcBorders>
              <w:top w:val="nil"/>
              <w:left w:val="nil"/>
              <w:right w:val="nil"/>
            </w:tcBorders>
          </w:tcPr>
          <w:p w14:paraId="09653CC9" w14:textId="77777777" w:rsidR="00872C03" w:rsidRPr="00883399" w:rsidRDefault="00872C03" w:rsidP="0031057E">
            <w:pPr>
              <w:pStyle w:val="TableCentre"/>
              <w:jc w:val="left"/>
              <w:rPr>
                <w:sz w:val="22"/>
              </w:rPr>
            </w:pPr>
            <w:r w:rsidRPr="00883399">
              <w:rPr>
                <w:b/>
                <w:bCs/>
                <w:snapToGrid w:val="0"/>
                <w:sz w:val="18"/>
              </w:rPr>
              <w:t>CO</w:t>
            </w:r>
            <w:r w:rsidRPr="00883399">
              <w:rPr>
                <w:b/>
                <w:bCs/>
                <w:snapToGrid w:val="0"/>
                <w:sz w:val="18"/>
                <w:vertAlign w:val="subscript"/>
              </w:rPr>
              <w:t>2</w:t>
            </w:r>
          </w:p>
        </w:tc>
        <w:tc>
          <w:tcPr>
            <w:tcW w:w="970" w:type="dxa"/>
            <w:tcBorders>
              <w:top w:val="nil"/>
              <w:left w:val="nil"/>
              <w:right w:val="nil"/>
            </w:tcBorders>
          </w:tcPr>
          <w:p w14:paraId="0BD9A697" w14:textId="77777777" w:rsidR="00872C03" w:rsidRPr="00883399" w:rsidRDefault="00872C03" w:rsidP="0031057E">
            <w:pPr>
              <w:pStyle w:val="TableCentre"/>
              <w:jc w:val="left"/>
              <w:rPr>
                <w:rStyle w:val="Strong"/>
                <w:rFonts w:cs="Arial"/>
                <w:sz w:val="18"/>
              </w:rPr>
            </w:pPr>
            <w:r w:rsidRPr="00883399">
              <w:rPr>
                <w:b/>
                <w:bCs/>
                <w:snapToGrid w:val="0"/>
                <w:sz w:val="18"/>
              </w:rPr>
              <w:t>CH</w:t>
            </w:r>
            <w:r w:rsidRPr="00883399">
              <w:rPr>
                <w:b/>
                <w:bCs/>
                <w:snapToGrid w:val="0"/>
                <w:sz w:val="18"/>
                <w:vertAlign w:val="subscript"/>
              </w:rPr>
              <w:t>4</w:t>
            </w:r>
          </w:p>
        </w:tc>
        <w:tc>
          <w:tcPr>
            <w:tcW w:w="971" w:type="dxa"/>
            <w:tcBorders>
              <w:top w:val="nil"/>
              <w:left w:val="nil"/>
              <w:right w:val="nil"/>
            </w:tcBorders>
          </w:tcPr>
          <w:p w14:paraId="37D8B1D8" w14:textId="77777777" w:rsidR="00872C03" w:rsidRPr="00883399" w:rsidRDefault="00872C03" w:rsidP="0031057E">
            <w:pPr>
              <w:pStyle w:val="TableCentre"/>
              <w:spacing w:after="60"/>
              <w:jc w:val="left"/>
              <w:rPr>
                <w:rStyle w:val="Strong"/>
                <w:rFonts w:cs="Arial"/>
                <w:sz w:val="18"/>
              </w:rPr>
            </w:pPr>
            <w:r w:rsidRPr="00883399">
              <w:rPr>
                <w:b/>
                <w:bCs/>
                <w:snapToGrid w:val="0"/>
                <w:sz w:val="18"/>
              </w:rPr>
              <w:t>N</w:t>
            </w:r>
            <w:r w:rsidRPr="00883399">
              <w:rPr>
                <w:b/>
                <w:bCs/>
                <w:snapToGrid w:val="0"/>
                <w:sz w:val="18"/>
                <w:vertAlign w:val="subscript"/>
              </w:rPr>
              <w:t>2</w:t>
            </w:r>
            <w:r w:rsidRPr="00883399">
              <w:rPr>
                <w:b/>
                <w:bCs/>
                <w:snapToGrid w:val="0"/>
                <w:sz w:val="18"/>
              </w:rPr>
              <w:t>O</w:t>
            </w:r>
          </w:p>
        </w:tc>
      </w:tr>
      <w:tr w:rsidR="00C64E6B" w:rsidRPr="00883399" w14:paraId="38696697" w14:textId="77777777" w:rsidTr="0031057E">
        <w:trPr>
          <w:cantSplit/>
        </w:trPr>
        <w:tc>
          <w:tcPr>
            <w:tcW w:w="588" w:type="dxa"/>
            <w:tcBorders>
              <w:left w:val="nil"/>
              <w:bottom w:val="nil"/>
              <w:right w:val="nil"/>
            </w:tcBorders>
          </w:tcPr>
          <w:p w14:paraId="101F61FC" w14:textId="77777777" w:rsidR="00C64E6B" w:rsidRPr="00883399" w:rsidDel="00473D46" w:rsidRDefault="00C64E6B" w:rsidP="00C64E6B">
            <w:pPr>
              <w:pStyle w:val="Tabletext0"/>
              <w:rPr>
                <w:snapToGrid w:val="0"/>
                <w:sz w:val="22"/>
              </w:rPr>
            </w:pPr>
            <w:r w:rsidRPr="00883399">
              <w:rPr>
                <w:snapToGrid w:val="0"/>
                <w:sz w:val="22"/>
              </w:rPr>
              <w:t>68</w:t>
            </w:r>
          </w:p>
        </w:tc>
        <w:tc>
          <w:tcPr>
            <w:tcW w:w="1572" w:type="dxa"/>
            <w:tcBorders>
              <w:left w:val="nil"/>
              <w:bottom w:val="nil"/>
              <w:right w:val="nil"/>
            </w:tcBorders>
          </w:tcPr>
          <w:p w14:paraId="1EFEA93C" w14:textId="77777777" w:rsidR="00C64E6B" w:rsidRPr="00883399" w:rsidDel="00473D46" w:rsidRDefault="00C64E6B" w:rsidP="00C64E6B">
            <w:pPr>
              <w:pStyle w:val="Tabletext0"/>
              <w:rPr>
                <w:snapToGrid w:val="0"/>
                <w:sz w:val="22"/>
              </w:rPr>
            </w:pPr>
            <w:r w:rsidRPr="00883399">
              <w:rPr>
                <w:snapToGrid w:val="0"/>
                <w:sz w:val="22"/>
              </w:rPr>
              <w:t>Diesel oil</w:t>
            </w:r>
          </w:p>
        </w:tc>
        <w:tc>
          <w:tcPr>
            <w:tcW w:w="1680" w:type="dxa"/>
            <w:tcBorders>
              <w:left w:val="nil"/>
              <w:bottom w:val="nil"/>
              <w:right w:val="nil"/>
            </w:tcBorders>
          </w:tcPr>
          <w:p w14:paraId="2AAF2E7A" w14:textId="77777777" w:rsidR="00C64E6B" w:rsidRPr="00883399" w:rsidDel="00473D46" w:rsidRDefault="00C64E6B" w:rsidP="00C64E6B">
            <w:pPr>
              <w:pStyle w:val="Tabletext0"/>
              <w:rPr>
                <w:sz w:val="22"/>
              </w:rPr>
            </w:pPr>
            <w:r w:rsidRPr="00883399">
              <w:rPr>
                <w:sz w:val="22"/>
              </w:rPr>
              <w:t>Euro iv or higher</w:t>
            </w:r>
          </w:p>
        </w:tc>
        <w:tc>
          <w:tcPr>
            <w:tcW w:w="1550" w:type="dxa"/>
            <w:tcBorders>
              <w:left w:val="nil"/>
              <w:bottom w:val="nil"/>
              <w:right w:val="nil"/>
            </w:tcBorders>
          </w:tcPr>
          <w:p w14:paraId="1D96C355" w14:textId="77777777" w:rsidR="00C64E6B" w:rsidRPr="00883399" w:rsidDel="00473D46" w:rsidRDefault="00C64E6B" w:rsidP="00C64E6B">
            <w:pPr>
              <w:pStyle w:val="Tabletext0"/>
              <w:rPr>
                <w:snapToGrid w:val="0"/>
                <w:sz w:val="22"/>
              </w:rPr>
            </w:pPr>
            <w:r w:rsidRPr="00883399">
              <w:rPr>
                <w:snapToGrid w:val="0"/>
                <w:sz w:val="22"/>
              </w:rPr>
              <w:t>38.6</w:t>
            </w:r>
          </w:p>
        </w:tc>
        <w:tc>
          <w:tcPr>
            <w:tcW w:w="970" w:type="dxa"/>
            <w:tcBorders>
              <w:left w:val="nil"/>
              <w:bottom w:val="nil"/>
              <w:right w:val="nil"/>
            </w:tcBorders>
          </w:tcPr>
          <w:p w14:paraId="3BD05285" w14:textId="77777777" w:rsidR="00C64E6B" w:rsidRPr="00883399" w:rsidDel="00473D46" w:rsidRDefault="00C64E6B" w:rsidP="00C64E6B">
            <w:pPr>
              <w:pStyle w:val="Tabletext0"/>
              <w:rPr>
                <w:snapToGrid w:val="0"/>
                <w:sz w:val="22"/>
              </w:rPr>
            </w:pPr>
            <w:r w:rsidRPr="00883399">
              <w:rPr>
                <w:snapToGrid w:val="0"/>
                <w:sz w:val="22"/>
              </w:rPr>
              <w:t>69.9</w:t>
            </w:r>
          </w:p>
        </w:tc>
        <w:tc>
          <w:tcPr>
            <w:tcW w:w="970" w:type="dxa"/>
            <w:tcBorders>
              <w:left w:val="nil"/>
              <w:bottom w:val="nil"/>
              <w:right w:val="nil"/>
            </w:tcBorders>
          </w:tcPr>
          <w:p w14:paraId="41FA8C76" w14:textId="77777777" w:rsidR="00C64E6B" w:rsidRPr="00883399" w:rsidDel="00473D46" w:rsidRDefault="00C64E6B" w:rsidP="00C64E6B">
            <w:pPr>
              <w:pStyle w:val="Tabletext0"/>
              <w:rPr>
                <w:snapToGrid w:val="0"/>
                <w:sz w:val="22"/>
              </w:rPr>
            </w:pPr>
            <w:r w:rsidRPr="00883399">
              <w:rPr>
                <w:snapToGrid w:val="0"/>
                <w:sz w:val="22"/>
              </w:rPr>
              <w:t>0.06</w:t>
            </w:r>
          </w:p>
        </w:tc>
        <w:tc>
          <w:tcPr>
            <w:tcW w:w="971" w:type="dxa"/>
            <w:tcBorders>
              <w:left w:val="nil"/>
              <w:bottom w:val="nil"/>
              <w:right w:val="nil"/>
            </w:tcBorders>
          </w:tcPr>
          <w:p w14:paraId="43EB6408" w14:textId="77777777" w:rsidR="00C64E6B" w:rsidRPr="00883399" w:rsidDel="00473D46" w:rsidRDefault="00C64E6B" w:rsidP="00C64E6B">
            <w:pPr>
              <w:pStyle w:val="Tabletext0"/>
              <w:rPr>
                <w:snapToGrid w:val="0"/>
                <w:sz w:val="22"/>
              </w:rPr>
            </w:pPr>
            <w:r w:rsidRPr="00883399">
              <w:rPr>
                <w:snapToGrid w:val="0"/>
                <w:sz w:val="22"/>
              </w:rPr>
              <w:t>0.5</w:t>
            </w:r>
          </w:p>
        </w:tc>
      </w:tr>
      <w:tr w:rsidR="00C64E6B" w:rsidRPr="00883399" w14:paraId="007B319D" w14:textId="77777777" w:rsidTr="0031057E">
        <w:trPr>
          <w:cantSplit/>
        </w:trPr>
        <w:tc>
          <w:tcPr>
            <w:tcW w:w="588" w:type="dxa"/>
            <w:tcBorders>
              <w:top w:val="nil"/>
              <w:left w:val="nil"/>
              <w:bottom w:val="nil"/>
              <w:right w:val="nil"/>
            </w:tcBorders>
          </w:tcPr>
          <w:p w14:paraId="3E9186F9" w14:textId="77777777" w:rsidR="00C64E6B" w:rsidRPr="00883399" w:rsidDel="00473D46" w:rsidRDefault="00C64E6B" w:rsidP="00C64E6B">
            <w:pPr>
              <w:pStyle w:val="Tabletext0"/>
              <w:rPr>
                <w:snapToGrid w:val="0"/>
                <w:sz w:val="22"/>
              </w:rPr>
            </w:pPr>
            <w:r w:rsidRPr="00883399">
              <w:rPr>
                <w:snapToGrid w:val="0"/>
                <w:sz w:val="22"/>
              </w:rPr>
              <w:t>69</w:t>
            </w:r>
          </w:p>
        </w:tc>
        <w:tc>
          <w:tcPr>
            <w:tcW w:w="1572" w:type="dxa"/>
            <w:tcBorders>
              <w:top w:val="nil"/>
              <w:left w:val="nil"/>
              <w:bottom w:val="nil"/>
              <w:right w:val="nil"/>
            </w:tcBorders>
          </w:tcPr>
          <w:p w14:paraId="6FF3C94F" w14:textId="77777777" w:rsidR="00C64E6B" w:rsidRPr="00883399" w:rsidDel="00473D46" w:rsidRDefault="00C64E6B" w:rsidP="00C64E6B">
            <w:pPr>
              <w:pStyle w:val="Tabletext0"/>
              <w:rPr>
                <w:snapToGrid w:val="0"/>
                <w:sz w:val="22"/>
              </w:rPr>
            </w:pPr>
            <w:r w:rsidRPr="00883399">
              <w:rPr>
                <w:snapToGrid w:val="0"/>
                <w:sz w:val="22"/>
              </w:rPr>
              <w:t>Diesel oil</w:t>
            </w:r>
          </w:p>
        </w:tc>
        <w:tc>
          <w:tcPr>
            <w:tcW w:w="1680" w:type="dxa"/>
            <w:tcBorders>
              <w:top w:val="nil"/>
              <w:left w:val="nil"/>
              <w:bottom w:val="nil"/>
              <w:right w:val="nil"/>
            </w:tcBorders>
          </w:tcPr>
          <w:p w14:paraId="767EC725" w14:textId="77777777" w:rsidR="00C64E6B" w:rsidRPr="00883399" w:rsidDel="00473D46" w:rsidRDefault="00C64E6B" w:rsidP="00C64E6B">
            <w:pPr>
              <w:pStyle w:val="Tabletext0"/>
              <w:rPr>
                <w:sz w:val="22"/>
              </w:rPr>
            </w:pPr>
            <w:r w:rsidRPr="00883399">
              <w:rPr>
                <w:sz w:val="22"/>
              </w:rPr>
              <w:t>Euro iii</w:t>
            </w:r>
          </w:p>
        </w:tc>
        <w:tc>
          <w:tcPr>
            <w:tcW w:w="1550" w:type="dxa"/>
            <w:tcBorders>
              <w:top w:val="nil"/>
              <w:left w:val="nil"/>
              <w:bottom w:val="nil"/>
              <w:right w:val="nil"/>
            </w:tcBorders>
          </w:tcPr>
          <w:p w14:paraId="78AAC28F" w14:textId="77777777" w:rsidR="00C64E6B" w:rsidRPr="00883399" w:rsidDel="00473D46" w:rsidRDefault="00C64E6B" w:rsidP="00C64E6B">
            <w:pPr>
              <w:pStyle w:val="Tabletext0"/>
              <w:rPr>
                <w:snapToGrid w:val="0"/>
                <w:sz w:val="22"/>
              </w:rPr>
            </w:pPr>
            <w:r w:rsidRPr="00883399">
              <w:rPr>
                <w:snapToGrid w:val="0"/>
                <w:sz w:val="22"/>
              </w:rPr>
              <w:t>38.6</w:t>
            </w:r>
          </w:p>
        </w:tc>
        <w:tc>
          <w:tcPr>
            <w:tcW w:w="970" w:type="dxa"/>
            <w:tcBorders>
              <w:top w:val="nil"/>
              <w:left w:val="nil"/>
              <w:bottom w:val="nil"/>
              <w:right w:val="nil"/>
            </w:tcBorders>
          </w:tcPr>
          <w:p w14:paraId="49F6EC59" w14:textId="77777777" w:rsidR="00C64E6B" w:rsidRPr="00883399" w:rsidDel="00473D46" w:rsidRDefault="00C64E6B" w:rsidP="00C64E6B">
            <w:pPr>
              <w:pStyle w:val="Tabletext0"/>
              <w:rPr>
                <w:snapToGrid w:val="0"/>
                <w:sz w:val="22"/>
              </w:rPr>
            </w:pPr>
            <w:r w:rsidRPr="00883399">
              <w:rPr>
                <w:snapToGrid w:val="0"/>
                <w:sz w:val="22"/>
              </w:rPr>
              <w:t>69.9</w:t>
            </w:r>
          </w:p>
        </w:tc>
        <w:tc>
          <w:tcPr>
            <w:tcW w:w="970" w:type="dxa"/>
            <w:tcBorders>
              <w:top w:val="nil"/>
              <w:left w:val="nil"/>
              <w:bottom w:val="nil"/>
              <w:right w:val="nil"/>
            </w:tcBorders>
          </w:tcPr>
          <w:p w14:paraId="20D5EAAD" w14:textId="77777777" w:rsidR="00C64E6B" w:rsidRPr="00883399" w:rsidDel="00473D46" w:rsidRDefault="00C64E6B" w:rsidP="00C64E6B">
            <w:pPr>
              <w:pStyle w:val="Tabletext0"/>
              <w:rPr>
                <w:snapToGrid w:val="0"/>
                <w:sz w:val="22"/>
              </w:rPr>
            </w:pPr>
            <w:r w:rsidRPr="00883399">
              <w:rPr>
                <w:snapToGrid w:val="0"/>
                <w:sz w:val="22"/>
              </w:rPr>
              <w:t>0.1</w:t>
            </w:r>
          </w:p>
        </w:tc>
        <w:tc>
          <w:tcPr>
            <w:tcW w:w="971" w:type="dxa"/>
            <w:tcBorders>
              <w:top w:val="nil"/>
              <w:left w:val="nil"/>
              <w:bottom w:val="nil"/>
              <w:right w:val="nil"/>
            </w:tcBorders>
          </w:tcPr>
          <w:p w14:paraId="4998A83E" w14:textId="77777777" w:rsidR="00C64E6B" w:rsidRPr="00883399" w:rsidDel="00473D46" w:rsidRDefault="00C64E6B" w:rsidP="00C64E6B">
            <w:pPr>
              <w:pStyle w:val="Tabletext0"/>
              <w:rPr>
                <w:snapToGrid w:val="0"/>
                <w:sz w:val="22"/>
              </w:rPr>
            </w:pPr>
            <w:r w:rsidRPr="00883399">
              <w:rPr>
                <w:snapToGrid w:val="0"/>
                <w:sz w:val="22"/>
              </w:rPr>
              <w:t>0.5</w:t>
            </w:r>
          </w:p>
        </w:tc>
      </w:tr>
      <w:tr w:rsidR="00C64E6B" w:rsidRPr="00883399" w14:paraId="67B26AF4" w14:textId="77777777" w:rsidTr="0031057E">
        <w:trPr>
          <w:cantSplit/>
        </w:trPr>
        <w:tc>
          <w:tcPr>
            <w:tcW w:w="588" w:type="dxa"/>
            <w:tcBorders>
              <w:top w:val="nil"/>
              <w:left w:val="nil"/>
              <w:right w:val="nil"/>
            </w:tcBorders>
          </w:tcPr>
          <w:p w14:paraId="112AF468" w14:textId="77777777" w:rsidR="00C64E6B" w:rsidRPr="00883399" w:rsidDel="00473D46" w:rsidRDefault="00C64E6B" w:rsidP="00C64E6B">
            <w:pPr>
              <w:pStyle w:val="Tabletext0"/>
              <w:rPr>
                <w:snapToGrid w:val="0"/>
                <w:sz w:val="22"/>
              </w:rPr>
            </w:pPr>
            <w:r w:rsidRPr="00883399">
              <w:rPr>
                <w:snapToGrid w:val="0"/>
                <w:sz w:val="22"/>
              </w:rPr>
              <w:t>70</w:t>
            </w:r>
          </w:p>
        </w:tc>
        <w:tc>
          <w:tcPr>
            <w:tcW w:w="1572" w:type="dxa"/>
            <w:tcBorders>
              <w:top w:val="nil"/>
              <w:left w:val="nil"/>
              <w:right w:val="nil"/>
            </w:tcBorders>
          </w:tcPr>
          <w:p w14:paraId="37EEFF3E" w14:textId="77777777" w:rsidR="00C64E6B" w:rsidRPr="00883399" w:rsidDel="00473D46" w:rsidRDefault="00C64E6B" w:rsidP="00C64E6B">
            <w:pPr>
              <w:pStyle w:val="Tabletext0"/>
              <w:rPr>
                <w:snapToGrid w:val="0"/>
                <w:sz w:val="22"/>
              </w:rPr>
            </w:pPr>
            <w:r w:rsidRPr="00883399">
              <w:rPr>
                <w:snapToGrid w:val="0"/>
                <w:sz w:val="22"/>
              </w:rPr>
              <w:t>Diesel oil</w:t>
            </w:r>
          </w:p>
        </w:tc>
        <w:tc>
          <w:tcPr>
            <w:tcW w:w="1680" w:type="dxa"/>
            <w:tcBorders>
              <w:top w:val="nil"/>
              <w:left w:val="nil"/>
              <w:right w:val="nil"/>
            </w:tcBorders>
          </w:tcPr>
          <w:p w14:paraId="66C2BB1C" w14:textId="77777777" w:rsidR="00C64E6B" w:rsidRPr="00883399" w:rsidDel="00473D46" w:rsidRDefault="00C64E6B" w:rsidP="00C64E6B">
            <w:pPr>
              <w:pStyle w:val="Tabletext0"/>
              <w:rPr>
                <w:sz w:val="22"/>
              </w:rPr>
            </w:pPr>
            <w:r w:rsidRPr="00883399">
              <w:rPr>
                <w:sz w:val="22"/>
              </w:rPr>
              <w:t>Euro i</w:t>
            </w:r>
          </w:p>
        </w:tc>
        <w:tc>
          <w:tcPr>
            <w:tcW w:w="1550" w:type="dxa"/>
            <w:tcBorders>
              <w:top w:val="nil"/>
              <w:left w:val="nil"/>
              <w:right w:val="nil"/>
            </w:tcBorders>
          </w:tcPr>
          <w:p w14:paraId="57911190" w14:textId="77777777" w:rsidR="00C64E6B" w:rsidRPr="00883399" w:rsidDel="00473D46" w:rsidRDefault="00C64E6B" w:rsidP="00C64E6B">
            <w:pPr>
              <w:pStyle w:val="Tabletext0"/>
              <w:rPr>
                <w:snapToGrid w:val="0"/>
                <w:sz w:val="22"/>
              </w:rPr>
            </w:pPr>
            <w:r w:rsidRPr="00883399">
              <w:rPr>
                <w:snapToGrid w:val="0"/>
                <w:sz w:val="22"/>
              </w:rPr>
              <w:t>38.6</w:t>
            </w:r>
          </w:p>
        </w:tc>
        <w:tc>
          <w:tcPr>
            <w:tcW w:w="970" w:type="dxa"/>
            <w:tcBorders>
              <w:top w:val="nil"/>
              <w:left w:val="nil"/>
              <w:right w:val="nil"/>
            </w:tcBorders>
          </w:tcPr>
          <w:p w14:paraId="735BACD5" w14:textId="77777777" w:rsidR="00C64E6B" w:rsidRPr="00883399" w:rsidDel="00473D46" w:rsidRDefault="00C64E6B" w:rsidP="00C64E6B">
            <w:pPr>
              <w:pStyle w:val="Tabletext0"/>
              <w:rPr>
                <w:snapToGrid w:val="0"/>
                <w:sz w:val="22"/>
              </w:rPr>
            </w:pPr>
            <w:r w:rsidRPr="00883399">
              <w:rPr>
                <w:snapToGrid w:val="0"/>
                <w:sz w:val="22"/>
              </w:rPr>
              <w:t>69.9</w:t>
            </w:r>
          </w:p>
        </w:tc>
        <w:tc>
          <w:tcPr>
            <w:tcW w:w="970" w:type="dxa"/>
            <w:tcBorders>
              <w:top w:val="nil"/>
              <w:left w:val="nil"/>
              <w:right w:val="nil"/>
            </w:tcBorders>
          </w:tcPr>
          <w:p w14:paraId="1F025A52" w14:textId="77777777" w:rsidR="00C64E6B" w:rsidRPr="00883399" w:rsidDel="00473D46" w:rsidRDefault="00C64E6B" w:rsidP="00C64E6B">
            <w:pPr>
              <w:pStyle w:val="Tabletext0"/>
              <w:rPr>
                <w:snapToGrid w:val="0"/>
                <w:sz w:val="22"/>
              </w:rPr>
            </w:pPr>
            <w:r w:rsidRPr="00883399">
              <w:rPr>
                <w:snapToGrid w:val="0"/>
                <w:sz w:val="22"/>
              </w:rPr>
              <w:t>0.2</w:t>
            </w:r>
          </w:p>
        </w:tc>
        <w:tc>
          <w:tcPr>
            <w:tcW w:w="971" w:type="dxa"/>
            <w:tcBorders>
              <w:top w:val="nil"/>
              <w:left w:val="nil"/>
              <w:right w:val="nil"/>
            </w:tcBorders>
          </w:tcPr>
          <w:p w14:paraId="384FC7D8" w14:textId="77777777" w:rsidR="00C64E6B" w:rsidRPr="00883399" w:rsidDel="00473D46" w:rsidRDefault="00C64E6B" w:rsidP="00C64E6B">
            <w:pPr>
              <w:pStyle w:val="Tabletext0"/>
              <w:rPr>
                <w:snapToGrid w:val="0"/>
                <w:sz w:val="22"/>
              </w:rPr>
            </w:pPr>
            <w:r w:rsidRPr="00883399">
              <w:rPr>
                <w:snapToGrid w:val="0"/>
                <w:sz w:val="22"/>
              </w:rPr>
              <w:t>0.5</w:t>
            </w:r>
          </w:p>
        </w:tc>
      </w:tr>
    </w:tbl>
    <w:p w14:paraId="42BE0967" w14:textId="77777777" w:rsidR="00872C03" w:rsidRPr="00883399" w:rsidRDefault="00872C03" w:rsidP="00872C03">
      <w:pPr>
        <w:pStyle w:val="Note"/>
        <w:ind w:left="0"/>
        <w:rPr>
          <w:color w:val="000000"/>
          <w:sz w:val="16"/>
          <w:szCs w:val="16"/>
        </w:rPr>
      </w:pPr>
      <w:r w:rsidRPr="00883399">
        <w:rPr>
          <w:color w:val="000000"/>
          <w:sz w:val="16"/>
          <w:szCs w:val="16"/>
        </w:rPr>
        <w:t>Notes on the sources of the factors listed above can be found at Appendix 2A.</w:t>
      </w:r>
    </w:p>
    <w:p w14:paraId="0F7B8A70" w14:textId="77777777" w:rsidR="00872C03" w:rsidRPr="00883399" w:rsidRDefault="00872C03" w:rsidP="00872C03">
      <w:pPr>
        <w:pStyle w:val="P1"/>
        <w:rPr>
          <w:color w:val="000000"/>
        </w:rPr>
      </w:pPr>
    </w:p>
    <w:p w14:paraId="117AB23F"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b/>
          <w:sz w:val="22"/>
          <w:szCs w:val="22"/>
        </w:rPr>
      </w:pPr>
      <w:r w:rsidRPr="00883399">
        <w:rPr>
          <w:b/>
          <w:sz w:val="22"/>
          <w:szCs w:val="22"/>
        </w:rPr>
        <w:t>Example</w:t>
      </w:r>
    </w:p>
    <w:p w14:paraId="2B14E046"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b/>
          <w:sz w:val="22"/>
          <w:szCs w:val="22"/>
        </w:rPr>
      </w:pPr>
      <w:r w:rsidRPr="00883399">
        <w:rPr>
          <w:sz w:val="22"/>
          <w:szCs w:val="22"/>
        </w:rPr>
        <w:t xml:space="preserve">A company consumes 35 000 kL (kilolitres) of diesel oil: 25 000 kL for transport purposes (with a post-2004 vehicle fleet) and 10 000 kL for stationary energy purposes.  The Reporter elects to use Method 1 </w:t>
      </w:r>
      <w:r w:rsidRPr="00883399">
        <w:rPr>
          <w:i/>
          <w:sz w:val="22"/>
          <w:szCs w:val="22"/>
        </w:rPr>
        <w:t>(Division 2.4.2)</w:t>
      </w:r>
      <w:r w:rsidRPr="00883399">
        <w:rPr>
          <w:sz w:val="22"/>
          <w:szCs w:val="22"/>
        </w:rPr>
        <w:t xml:space="preserve"> for each of the three greenhouse emission gases (</w:t>
      </w:r>
      <w:r w:rsidRPr="00883399">
        <w:rPr>
          <w:i/>
          <w:sz w:val="22"/>
          <w:szCs w:val="22"/>
        </w:rPr>
        <w:t>j</w:t>
      </w:r>
      <w:r w:rsidRPr="00883399">
        <w:rPr>
          <w:sz w:val="22"/>
          <w:szCs w:val="22"/>
        </w:rPr>
        <w:t>) (carbon dioxide, methane and nitrous oxide) for the diesel consumed for stationary energy purposes and Method 2 for methane and nitrous oxide emissions from diesel consumed for transport by post 2004 vehicles.  Emissions are estimated as follows:</w:t>
      </w:r>
    </w:p>
    <w:p w14:paraId="5AEC988C"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jc w:val="center"/>
        <w:rPr>
          <w:sz w:val="22"/>
          <w:szCs w:val="22"/>
        </w:rPr>
      </w:pPr>
      <w:r w:rsidRPr="00883399">
        <w:rPr>
          <w:sz w:val="22"/>
          <w:szCs w:val="22"/>
        </w:rPr>
        <w:object w:dxaOrig="2600" w:dyaOrig="660" w14:anchorId="29EE0C1E">
          <v:shape id="_x0000_i1030" type="#_x0000_t75" style="width:129pt;height:33pt" o:ole="" o:bordertopcolor="this" o:borderleftcolor="this" o:borderbottomcolor="this" o:borderrightcolor="this">
            <v:imagedata r:id="rId32" o:title=""/>
          </v:shape>
          <o:OLEObject Type="Embed" ProgID="Equation.DSMT4" ShapeID="_x0000_i1030" DrawAspect="Content" ObjectID="_1594105921" r:id="rId57"/>
        </w:object>
      </w:r>
    </w:p>
    <w:p w14:paraId="41A518C3"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sz w:val="18"/>
          <w:szCs w:val="18"/>
        </w:rPr>
      </w:pPr>
      <w:r w:rsidRPr="00883399">
        <w:rPr>
          <w:sz w:val="18"/>
          <w:szCs w:val="18"/>
        </w:rPr>
        <w:t>where:</w:t>
      </w:r>
    </w:p>
    <w:p w14:paraId="75B3CBE0"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sz w:val="18"/>
          <w:szCs w:val="18"/>
        </w:rPr>
      </w:pPr>
      <w:r w:rsidRPr="00883399">
        <w:rPr>
          <w:b/>
          <w:i/>
          <w:sz w:val="18"/>
          <w:szCs w:val="18"/>
        </w:rPr>
        <w:t>E</w:t>
      </w:r>
      <w:r w:rsidRPr="00883399">
        <w:rPr>
          <w:b/>
          <w:i/>
          <w:iCs/>
          <w:sz w:val="18"/>
          <w:szCs w:val="18"/>
          <w:vertAlign w:val="subscript"/>
        </w:rPr>
        <w:t xml:space="preserve">ij </w:t>
      </w:r>
      <w:r w:rsidRPr="00883399">
        <w:rPr>
          <w:sz w:val="18"/>
          <w:szCs w:val="18"/>
        </w:rPr>
        <w:t>is emissions of gas type (</w:t>
      </w:r>
      <w:r w:rsidRPr="00883399">
        <w:rPr>
          <w:b/>
          <w:i/>
          <w:sz w:val="18"/>
          <w:szCs w:val="18"/>
        </w:rPr>
        <w:t>j</w:t>
      </w:r>
      <w:r w:rsidRPr="00883399">
        <w:rPr>
          <w:sz w:val="18"/>
          <w:szCs w:val="18"/>
        </w:rPr>
        <w:t>) released from the combustion of fuel type (</w:t>
      </w:r>
      <w:r w:rsidRPr="00883399">
        <w:rPr>
          <w:b/>
          <w:i/>
          <w:sz w:val="18"/>
          <w:szCs w:val="18"/>
        </w:rPr>
        <w:t>i</w:t>
      </w:r>
      <w:r w:rsidRPr="00883399">
        <w:rPr>
          <w:sz w:val="18"/>
          <w:szCs w:val="18"/>
        </w:rPr>
        <w:t>) from the operation of the facility during the year measured in CO</w:t>
      </w:r>
      <w:r w:rsidRPr="00883399">
        <w:rPr>
          <w:iCs/>
          <w:sz w:val="18"/>
          <w:szCs w:val="18"/>
          <w:vertAlign w:val="subscript"/>
        </w:rPr>
        <w:t>2</w:t>
      </w:r>
      <w:r w:rsidRPr="00883399">
        <w:rPr>
          <w:sz w:val="18"/>
          <w:szCs w:val="18"/>
        </w:rPr>
        <w:noBreakHyphen/>
        <w:t>e tonnes.</w:t>
      </w:r>
    </w:p>
    <w:p w14:paraId="0DA144D1"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rPr>
          <w:sz w:val="18"/>
          <w:szCs w:val="18"/>
        </w:rPr>
      </w:pPr>
      <w:r w:rsidRPr="00883399">
        <w:rPr>
          <w:b/>
          <w:i/>
          <w:sz w:val="18"/>
          <w:szCs w:val="18"/>
        </w:rPr>
        <w:t>Q</w:t>
      </w:r>
      <w:r w:rsidRPr="00883399">
        <w:rPr>
          <w:b/>
          <w:i/>
          <w:sz w:val="18"/>
          <w:szCs w:val="18"/>
          <w:vertAlign w:val="subscript"/>
        </w:rPr>
        <w:t>i</w:t>
      </w:r>
      <w:r w:rsidRPr="00883399">
        <w:rPr>
          <w:sz w:val="18"/>
          <w:szCs w:val="18"/>
          <w:vertAlign w:val="subscript"/>
        </w:rPr>
        <w:t xml:space="preserve"> </w:t>
      </w:r>
      <w:r w:rsidRPr="00883399">
        <w:rPr>
          <w:sz w:val="18"/>
          <w:szCs w:val="18"/>
        </w:rPr>
        <w:t>is the quantity of the fuel type (</w:t>
      </w:r>
      <w:r w:rsidRPr="00883399">
        <w:rPr>
          <w:b/>
          <w:sz w:val="18"/>
          <w:szCs w:val="18"/>
        </w:rPr>
        <w:t>i</w:t>
      </w:r>
      <w:r w:rsidRPr="00883399">
        <w:rPr>
          <w:sz w:val="18"/>
          <w:szCs w:val="18"/>
        </w:rPr>
        <w:t xml:space="preserve">) combusted from the operation of the facility during the year measured in tonnes and estimated under Division 2.4.6. </w:t>
      </w:r>
      <w:r w:rsidRPr="00883399">
        <w:rPr>
          <w:b/>
          <w:sz w:val="18"/>
          <w:szCs w:val="18"/>
        </w:rPr>
        <w:t>In this case 25 000 kL of diesel is used for transport purposes and 10 000kL of diesel is for stationary energy purposes</w:t>
      </w:r>
      <w:r w:rsidRPr="00883399">
        <w:rPr>
          <w:sz w:val="18"/>
          <w:szCs w:val="18"/>
        </w:rPr>
        <w:t>.</w:t>
      </w:r>
    </w:p>
    <w:p w14:paraId="7ED9C3E3"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18"/>
          <w:szCs w:val="18"/>
        </w:rPr>
      </w:pPr>
      <w:r w:rsidRPr="00883399">
        <w:rPr>
          <w:b/>
          <w:i/>
          <w:sz w:val="18"/>
          <w:szCs w:val="18"/>
        </w:rPr>
        <w:t>EC</w:t>
      </w:r>
      <w:r w:rsidRPr="00883399">
        <w:rPr>
          <w:b/>
          <w:i/>
          <w:sz w:val="18"/>
          <w:szCs w:val="18"/>
          <w:vertAlign w:val="subscript"/>
        </w:rPr>
        <w:t>i</w:t>
      </w:r>
      <w:r w:rsidRPr="00883399">
        <w:rPr>
          <w:sz w:val="18"/>
          <w:szCs w:val="18"/>
        </w:rPr>
        <w:t xml:space="preserve"> is the energy content factor of fuel type (i) estimated under section 6.5</w:t>
      </w:r>
    </w:p>
    <w:p w14:paraId="033CE3FD"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tabs>
          <w:tab w:val="right" w:pos="709"/>
        </w:tabs>
        <w:ind w:left="1418" w:hanging="1418"/>
        <w:rPr>
          <w:b/>
          <w:sz w:val="18"/>
          <w:szCs w:val="18"/>
        </w:rPr>
      </w:pPr>
      <w:r w:rsidRPr="00883399">
        <w:rPr>
          <w:sz w:val="18"/>
          <w:szCs w:val="18"/>
        </w:rPr>
        <w:tab/>
        <w:t>(a)</w:t>
      </w:r>
      <w:r w:rsidRPr="00883399">
        <w:rPr>
          <w:sz w:val="18"/>
          <w:szCs w:val="18"/>
        </w:rPr>
        <w:tab/>
        <w:t xml:space="preserve">for stationary energy purposes — column 3 of the table </w:t>
      </w:r>
      <w:r w:rsidRPr="00883399">
        <w:rPr>
          <w:rStyle w:val="CharSchPTText"/>
        </w:rPr>
        <w:t xml:space="preserve">2.4.2A </w:t>
      </w:r>
      <w:r w:rsidRPr="00883399">
        <w:rPr>
          <w:sz w:val="18"/>
          <w:szCs w:val="18"/>
        </w:rPr>
        <w:t xml:space="preserve">(Part 3 of Schedule 1 of the </w:t>
      </w:r>
      <w:r w:rsidRPr="00883399">
        <w:rPr>
          <w:i/>
          <w:sz w:val="18"/>
          <w:szCs w:val="18"/>
        </w:rPr>
        <w:t>Determination</w:t>
      </w:r>
      <w:r w:rsidRPr="00883399">
        <w:rPr>
          <w:sz w:val="18"/>
          <w:szCs w:val="18"/>
        </w:rPr>
        <w:t xml:space="preserve">). </w:t>
      </w:r>
      <w:r w:rsidRPr="00883399">
        <w:rPr>
          <w:b/>
          <w:sz w:val="18"/>
          <w:szCs w:val="18"/>
        </w:rPr>
        <w:t>In this case being 38.6 GJ/kL.</w:t>
      </w:r>
    </w:p>
    <w:p w14:paraId="52031296"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tabs>
          <w:tab w:val="right" w:pos="709"/>
        </w:tabs>
        <w:ind w:left="1418" w:hanging="1418"/>
        <w:rPr>
          <w:b/>
          <w:sz w:val="18"/>
          <w:szCs w:val="18"/>
        </w:rPr>
      </w:pPr>
      <w:r w:rsidRPr="00883399">
        <w:rPr>
          <w:sz w:val="18"/>
          <w:szCs w:val="18"/>
        </w:rPr>
        <w:tab/>
        <w:t>(b)</w:t>
      </w:r>
      <w:r w:rsidRPr="00883399">
        <w:rPr>
          <w:sz w:val="18"/>
          <w:szCs w:val="18"/>
        </w:rPr>
        <w:tab/>
        <w:t>for post</w:t>
      </w:r>
      <w:r w:rsidRPr="00883399">
        <w:rPr>
          <w:sz w:val="18"/>
          <w:szCs w:val="18"/>
        </w:rPr>
        <w:noBreakHyphen/>
        <w:t xml:space="preserve">2004 vehicles — column 3 of table 2.4.5A (Division 4.2 of Part 4 of Schedule 1 of the </w:t>
      </w:r>
      <w:r w:rsidRPr="00883399">
        <w:rPr>
          <w:i/>
          <w:sz w:val="18"/>
          <w:szCs w:val="18"/>
        </w:rPr>
        <w:t>Determination</w:t>
      </w:r>
      <w:r w:rsidRPr="00883399">
        <w:rPr>
          <w:sz w:val="18"/>
          <w:szCs w:val="18"/>
        </w:rPr>
        <w:t xml:space="preserve">). </w:t>
      </w:r>
      <w:r w:rsidRPr="00883399">
        <w:rPr>
          <w:b/>
          <w:sz w:val="18"/>
          <w:szCs w:val="18"/>
        </w:rPr>
        <w:t>In this case being 38.6 GJ/kL.</w:t>
      </w:r>
    </w:p>
    <w:p w14:paraId="5AECEEBE"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720" w:hanging="720"/>
        <w:rPr>
          <w:sz w:val="18"/>
          <w:szCs w:val="18"/>
        </w:rPr>
      </w:pPr>
      <w:r w:rsidRPr="00883399">
        <w:rPr>
          <w:b/>
          <w:i/>
          <w:sz w:val="18"/>
          <w:szCs w:val="18"/>
        </w:rPr>
        <w:t>EF</w:t>
      </w:r>
      <w:r w:rsidRPr="00883399">
        <w:rPr>
          <w:b/>
          <w:i/>
          <w:sz w:val="18"/>
          <w:szCs w:val="18"/>
          <w:vertAlign w:val="subscript"/>
        </w:rPr>
        <w:t>oxij</w:t>
      </w:r>
      <w:r w:rsidRPr="00883399">
        <w:rPr>
          <w:sz w:val="18"/>
          <w:szCs w:val="18"/>
        </w:rPr>
        <w:t xml:space="preserve"> is the emission factor for each gas type (</w:t>
      </w:r>
      <w:r w:rsidRPr="00883399">
        <w:rPr>
          <w:b/>
          <w:i/>
          <w:sz w:val="18"/>
          <w:szCs w:val="18"/>
        </w:rPr>
        <w:t>j</w:t>
      </w:r>
      <w:r w:rsidRPr="00883399">
        <w:rPr>
          <w:sz w:val="18"/>
          <w:szCs w:val="18"/>
        </w:rPr>
        <w:t>) released from the operation of the facility during the year (which includes the effect of a default oxidation factor) measured in kilograms CO</w:t>
      </w:r>
      <w:r w:rsidRPr="00883399">
        <w:rPr>
          <w:sz w:val="18"/>
          <w:szCs w:val="18"/>
          <w:vertAlign w:val="subscript"/>
        </w:rPr>
        <w:t>2</w:t>
      </w:r>
      <w:r w:rsidRPr="00883399">
        <w:rPr>
          <w:sz w:val="18"/>
          <w:szCs w:val="18"/>
        </w:rPr>
        <w:noBreakHyphen/>
        <w:t> e per gigajoule of the fuel type (</w:t>
      </w:r>
      <w:r w:rsidRPr="00883399">
        <w:rPr>
          <w:b/>
          <w:i/>
          <w:sz w:val="18"/>
          <w:szCs w:val="18"/>
        </w:rPr>
        <w:t>i</w:t>
      </w:r>
      <w:r w:rsidRPr="00883399">
        <w:rPr>
          <w:sz w:val="18"/>
          <w:szCs w:val="18"/>
        </w:rPr>
        <w:t>) according to source as mentioned in:</w:t>
      </w:r>
    </w:p>
    <w:p w14:paraId="4E8FCF3B"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tabs>
          <w:tab w:val="right" w:pos="709"/>
        </w:tabs>
        <w:ind w:left="1418" w:hanging="1418"/>
        <w:rPr>
          <w:sz w:val="18"/>
          <w:szCs w:val="18"/>
        </w:rPr>
      </w:pPr>
      <w:r w:rsidRPr="00883399">
        <w:rPr>
          <w:sz w:val="18"/>
          <w:szCs w:val="18"/>
        </w:rPr>
        <w:tab/>
        <w:t>(a)</w:t>
      </w:r>
      <w:r w:rsidRPr="00883399">
        <w:rPr>
          <w:sz w:val="18"/>
          <w:szCs w:val="18"/>
        </w:rPr>
        <w:tab/>
        <w:t xml:space="preserve">for stationary energy purposes — columns 4-6 of the table </w:t>
      </w:r>
      <w:r w:rsidRPr="00883399">
        <w:rPr>
          <w:rStyle w:val="CharSchPTText"/>
        </w:rPr>
        <w:t xml:space="preserve">2.4.2A </w:t>
      </w:r>
      <w:r w:rsidRPr="00883399">
        <w:rPr>
          <w:sz w:val="18"/>
          <w:szCs w:val="18"/>
        </w:rPr>
        <w:t xml:space="preserve">(Part 3 of Schedule 1 of the </w:t>
      </w:r>
      <w:r w:rsidRPr="00883399">
        <w:rPr>
          <w:i/>
          <w:sz w:val="18"/>
          <w:szCs w:val="18"/>
        </w:rPr>
        <w:t>Determination</w:t>
      </w:r>
      <w:r w:rsidRPr="00883399">
        <w:rPr>
          <w:sz w:val="18"/>
          <w:szCs w:val="18"/>
        </w:rPr>
        <w:t>); and</w:t>
      </w:r>
    </w:p>
    <w:p w14:paraId="7E0DECF6"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tabs>
          <w:tab w:val="right" w:pos="709"/>
        </w:tabs>
        <w:ind w:left="1418" w:hanging="1418"/>
        <w:rPr>
          <w:sz w:val="18"/>
          <w:szCs w:val="18"/>
        </w:rPr>
      </w:pPr>
      <w:r w:rsidRPr="00883399">
        <w:rPr>
          <w:sz w:val="18"/>
          <w:szCs w:val="18"/>
        </w:rPr>
        <w:tab/>
        <w:t>(b)</w:t>
      </w:r>
      <w:r w:rsidRPr="00883399">
        <w:rPr>
          <w:sz w:val="18"/>
          <w:szCs w:val="18"/>
        </w:rPr>
        <w:tab/>
        <w:t>for post</w:t>
      </w:r>
      <w:r w:rsidRPr="00883399">
        <w:rPr>
          <w:sz w:val="18"/>
          <w:szCs w:val="18"/>
        </w:rPr>
        <w:noBreakHyphen/>
        <w:t xml:space="preserve">2004 vehicles — column 4-6 of table 2.4.5A (Division 4.2 of Part 4 of Schedule 1 of the </w:t>
      </w:r>
      <w:r w:rsidRPr="00883399">
        <w:rPr>
          <w:i/>
          <w:sz w:val="18"/>
          <w:szCs w:val="18"/>
        </w:rPr>
        <w:t>Determination</w:t>
      </w:r>
      <w:r w:rsidRPr="00883399">
        <w:rPr>
          <w:sz w:val="18"/>
          <w:szCs w:val="18"/>
        </w:rPr>
        <w:t>).</w:t>
      </w:r>
    </w:p>
    <w:p w14:paraId="77489419"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pPr>
      <w:r w:rsidRPr="00883399">
        <w:t>Therefore, emissions of greenhouse gases (carbon dioxide, methane and nitrous oxide) in tonnes of CO</w:t>
      </w:r>
      <w:r w:rsidRPr="00883399">
        <w:rPr>
          <w:vertAlign w:val="subscript"/>
        </w:rPr>
        <w:t>2</w:t>
      </w:r>
      <w:r w:rsidRPr="00883399">
        <w:noBreakHyphen/>
        <w:t xml:space="preserve">e are estimated as follows: </w:t>
      </w:r>
    </w:p>
    <w:p w14:paraId="3666714D"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pPr>
      <w:r w:rsidRPr="00883399">
        <w:lastRenderedPageBreak/>
        <w:tab/>
        <w:t xml:space="preserve">Combustion of diesel oil for stationary energy purposes (Method 1): </w:t>
      </w:r>
    </w:p>
    <w:p w14:paraId="1315784F"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1440"/>
        <w:outlineLvl w:val="0"/>
      </w:pPr>
      <w:r w:rsidRPr="00883399">
        <w:t xml:space="preserve">Emissions of carbon dioxide </w:t>
      </w:r>
    </w:p>
    <w:p w14:paraId="39B5204D"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1800"/>
      </w:pPr>
      <w:r w:rsidRPr="00883399">
        <w:tab/>
        <w:t>= (10 000 x 38.6 x 69.9)/1 000</w:t>
      </w:r>
    </w:p>
    <w:p w14:paraId="74A50D40"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1800"/>
      </w:pPr>
      <w:r w:rsidRPr="00883399">
        <w:tab/>
        <w:t>= 26, 981 t CO</w:t>
      </w:r>
      <w:r w:rsidRPr="00883399">
        <w:rPr>
          <w:vertAlign w:val="subscript"/>
        </w:rPr>
        <w:t>2</w:t>
      </w:r>
      <w:r w:rsidRPr="00883399">
        <w:t>-e</w:t>
      </w:r>
    </w:p>
    <w:p w14:paraId="7AFA43F0"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1440"/>
      </w:pPr>
      <w:r w:rsidRPr="00883399">
        <w:t xml:space="preserve"> Emissions of methane </w:t>
      </w:r>
    </w:p>
    <w:p w14:paraId="6E0D3968"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2160"/>
      </w:pPr>
      <w:r w:rsidRPr="00883399">
        <w:t>= (10 000 x 38.6 x 0.1)/1 000</w:t>
      </w:r>
    </w:p>
    <w:p w14:paraId="0C60484A"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2160"/>
      </w:pPr>
      <w:r w:rsidRPr="00883399">
        <w:t>= 39 t CO</w:t>
      </w:r>
      <w:r w:rsidRPr="00883399">
        <w:rPr>
          <w:vertAlign w:val="subscript"/>
        </w:rPr>
        <w:t>2</w:t>
      </w:r>
      <w:r w:rsidRPr="00883399">
        <w:t>-e</w:t>
      </w:r>
    </w:p>
    <w:p w14:paraId="64C1FBF3"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1440"/>
      </w:pPr>
      <w:r w:rsidRPr="00883399">
        <w:t xml:space="preserve">  Emissions of nitrous oxide </w:t>
      </w:r>
    </w:p>
    <w:p w14:paraId="00EB748B"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2160"/>
      </w:pPr>
      <w:r w:rsidRPr="00883399">
        <w:t>= (10 000 x 38.6 x 0.2)/1 000</w:t>
      </w:r>
    </w:p>
    <w:p w14:paraId="63E2B51C"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2160"/>
      </w:pPr>
      <w:r w:rsidRPr="00883399">
        <w:t>= 77 t CO</w:t>
      </w:r>
      <w:r w:rsidRPr="00883399">
        <w:rPr>
          <w:vertAlign w:val="subscript"/>
        </w:rPr>
        <w:t>2</w:t>
      </w:r>
      <w:r w:rsidRPr="00883399">
        <w:t>-e</w:t>
      </w:r>
    </w:p>
    <w:p w14:paraId="0B4AF15B"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720"/>
      </w:pPr>
      <w:r w:rsidRPr="00883399">
        <w:t xml:space="preserve">Combustion of diesel oil for transport purposes for post-2004 vehicles: </w:t>
      </w:r>
    </w:p>
    <w:p w14:paraId="5519EA80"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1440"/>
        <w:outlineLvl w:val="0"/>
      </w:pPr>
      <w:r w:rsidRPr="00883399">
        <w:t xml:space="preserve">Emissions of carbon dioxide </w:t>
      </w:r>
      <w:r w:rsidRPr="00883399">
        <w:tab/>
      </w:r>
    </w:p>
    <w:p w14:paraId="5E46246A"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1800"/>
      </w:pPr>
      <w:r w:rsidRPr="00883399">
        <w:t>= (25 000 x 38.6 x 69.9)/1 000</w:t>
      </w:r>
    </w:p>
    <w:p w14:paraId="43EFD046"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1800"/>
      </w:pPr>
      <w:r w:rsidRPr="00883399">
        <w:t>= 67,454 t CO</w:t>
      </w:r>
      <w:r w:rsidRPr="00883399">
        <w:rPr>
          <w:vertAlign w:val="subscript"/>
        </w:rPr>
        <w:t>2</w:t>
      </w:r>
      <w:r w:rsidRPr="00883399">
        <w:t xml:space="preserve">-e </w:t>
      </w:r>
    </w:p>
    <w:p w14:paraId="6215D822"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1440"/>
      </w:pPr>
      <w:r w:rsidRPr="00883399">
        <w:t>Emissions of methane  (Method 2)</w:t>
      </w:r>
    </w:p>
    <w:p w14:paraId="7B116DDC"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1800"/>
      </w:pPr>
      <w:r w:rsidRPr="00883399">
        <w:t xml:space="preserve">= (25 000 x 38.6 x 0.01)/1 000 </w:t>
      </w:r>
    </w:p>
    <w:p w14:paraId="66B08522"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1800"/>
      </w:pPr>
      <w:r w:rsidRPr="00883399">
        <w:t>= 10 t CO</w:t>
      </w:r>
      <w:r w:rsidRPr="00883399">
        <w:rPr>
          <w:vertAlign w:val="subscript"/>
        </w:rPr>
        <w:t>2</w:t>
      </w:r>
      <w:r w:rsidRPr="00883399">
        <w:t>-e</w:t>
      </w:r>
    </w:p>
    <w:p w14:paraId="1CF05F11"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1440"/>
      </w:pPr>
      <w:r w:rsidRPr="00883399">
        <w:t>Emissions of nitrous oxide (Method 2)</w:t>
      </w:r>
    </w:p>
    <w:p w14:paraId="4C7BD05D"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1800"/>
      </w:pPr>
      <w:r w:rsidRPr="00883399">
        <w:t xml:space="preserve">= (25 000 x 38.6 x 0.6)/1 000 </w:t>
      </w:r>
    </w:p>
    <w:p w14:paraId="44F55AAC" w14:textId="77777777" w:rsidR="00872C03" w:rsidRPr="00883399" w:rsidRDefault="00E14F5F" w:rsidP="00872C03">
      <w:pPr>
        <w:pStyle w:val="Text"/>
        <w:pBdr>
          <w:top w:val="single" w:sz="4" w:space="1" w:color="auto"/>
          <w:left w:val="single" w:sz="4" w:space="4" w:color="auto"/>
          <w:bottom w:val="single" w:sz="4" w:space="1" w:color="auto"/>
          <w:right w:val="single" w:sz="4" w:space="5" w:color="auto"/>
        </w:pBdr>
        <w:ind w:firstLine="1800"/>
      </w:pPr>
      <w:r w:rsidRPr="00883399">
        <w:t xml:space="preserve">= </w:t>
      </w:r>
      <w:r w:rsidR="00683BBA" w:rsidRPr="00883399">
        <w:t>579</w:t>
      </w:r>
      <w:r w:rsidRPr="00883399">
        <w:t xml:space="preserve"> </w:t>
      </w:r>
      <w:r w:rsidR="00872C03" w:rsidRPr="00883399">
        <w:t xml:space="preserve"> t CO</w:t>
      </w:r>
      <w:r w:rsidR="00872C03" w:rsidRPr="00883399">
        <w:rPr>
          <w:vertAlign w:val="subscript"/>
        </w:rPr>
        <w:t>2</w:t>
      </w:r>
      <w:r w:rsidR="00872C03" w:rsidRPr="00883399">
        <w:t>-e</w:t>
      </w:r>
    </w:p>
    <w:p w14:paraId="13A45EFD" w14:textId="77777777" w:rsidR="00872C03" w:rsidRPr="00883399" w:rsidRDefault="00872C03" w:rsidP="00872C03">
      <w:pPr>
        <w:pStyle w:val="paragraph"/>
        <w:rPr>
          <w:sz w:val="24"/>
        </w:rPr>
      </w:pPr>
    </w:p>
    <w:p w14:paraId="23DCD5F8" w14:textId="07577319" w:rsidR="00872C03" w:rsidRPr="00883399" w:rsidRDefault="00872C03" w:rsidP="00872C03">
      <w:pPr>
        <w:pStyle w:val="ActHead3"/>
        <w:pageBreakBefore/>
        <w:rPr>
          <w:sz w:val="32"/>
        </w:rPr>
      </w:pPr>
      <w:bookmarkStart w:id="330" w:name="_Toc423516812"/>
      <w:bookmarkStart w:id="331" w:name="_Toc495652732"/>
      <w:r w:rsidRPr="00883399">
        <w:rPr>
          <w:rStyle w:val="CharDivNo"/>
          <w:sz w:val="32"/>
        </w:rPr>
        <w:lastRenderedPageBreak/>
        <w:t>Division 2.4.5A</w:t>
      </w:r>
      <w:r w:rsidRPr="00883399">
        <w:rPr>
          <w:sz w:val="32"/>
        </w:rPr>
        <w:t>—</w:t>
      </w:r>
      <w:r w:rsidRPr="00883399">
        <w:rPr>
          <w:rStyle w:val="CharDivText"/>
          <w:sz w:val="32"/>
        </w:rPr>
        <w:t>Methods for estimating emissions of carbon dioxide from petroleum based oils or greases</w:t>
      </w:r>
      <w:bookmarkEnd w:id="330"/>
      <w:bookmarkEnd w:id="331"/>
    </w:p>
    <w:p w14:paraId="6A095E90" w14:textId="77777777" w:rsidR="00872C03" w:rsidRPr="00883399" w:rsidRDefault="00872C03" w:rsidP="00872C03">
      <w:pPr>
        <w:rPr>
          <w:rFonts w:ascii="Arial" w:hAnsi="Arial" w:cs="Arial"/>
          <w:szCs w:val="22"/>
        </w:rPr>
      </w:pPr>
      <w:bookmarkStart w:id="332" w:name="_Toc423516813"/>
    </w:p>
    <w:p w14:paraId="047DA17E"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This method applies to the consumption of petroleum based oils or greases (PBOGs) as lubricants or greases.</w:t>
      </w:r>
    </w:p>
    <w:p w14:paraId="62A916D1"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PBOGs that are consumed without combustion should be reported under section 2.68. Some scenarios to which section 2.68 of the Determination would apply include:</w:t>
      </w:r>
    </w:p>
    <w:p w14:paraId="0BDD4B09" w14:textId="77777777" w:rsidR="00872C03" w:rsidRPr="00883399" w:rsidRDefault="00872C03" w:rsidP="00872C03">
      <w:pPr>
        <w:pStyle w:val="Text"/>
        <w:numPr>
          <w:ilvl w:val="0"/>
          <w:numId w:val="53"/>
        </w:numPr>
        <w:spacing w:line="240" w:lineRule="auto"/>
        <w:ind w:left="714" w:hanging="357"/>
        <w:rPr>
          <w:rFonts w:ascii="Arial" w:hAnsi="Arial" w:cs="Arial"/>
          <w:sz w:val="22"/>
          <w:szCs w:val="22"/>
        </w:rPr>
      </w:pPr>
      <w:r w:rsidRPr="00883399">
        <w:rPr>
          <w:rFonts w:ascii="Arial" w:hAnsi="Arial" w:cs="Arial"/>
          <w:sz w:val="22"/>
          <w:szCs w:val="22"/>
        </w:rPr>
        <w:t>coating of metal products with petroleum-based oils for corrosion protection;</w:t>
      </w:r>
    </w:p>
    <w:p w14:paraId="43945C74" w14:textId="77777777" w:rsidR="00872C03" w:rsidRPr="00883399" w:rsidRDefault="00872C03" w:rsidP="00872C03">
      <w:pPr>
        <w:pStyle w:val="Text"/>
        <w:numPr>
          <w:ilvl w:val="0"/>
          <w:numId w:val="53"/>
        </w:numPr>
        <w:spacing w:line="240" w:lineRule="auto"/>
        <w:ind w:left="714" w:hanging="357"/>
        <w:rPr>
          <w:rFonts w:ascii="Arial" w:hAnsi="Arial" w:cs="Arial"/>
          <w:sz w:val="22"/>
          <w:szCs w:val="22"/>
        </w:rPr>
      </w:pPr>
      <w:r w:rsidRPr="00883399">
        <w:rPr>
          <w:rFonts w:ascii="Arial" w:hAnsi="Arial" w:cs="Arial"/>
          <w:sz w:val="22"/>
          <w:szCs w:val="22"/>
        </w:rPr>
        <w:t>use of petroleum-based oils as hydraulic fluids (including brake fluids);</w:t>
      </w:r>
    </w:p>
    <w:p w14:paraId="2DABB338" w14:textId="77777777" w:rsidR="00872C03" w:rsidRPr="00883399" w:rsidRDefault="00872C03" w:rsidP="00872C03">
      <w:pPr>
        <w:pStyle w:val="Text"/>
        <w:numPr>
          <w:ilvl w:val="0"/>
          <w:numId w:val="53"/>
        </w:numPr>
        <w:spacing w:line="240" w:lineRule="auto"/>
        <w:ind w:left="714" w:hanging="357"/>
        <w:rPr>
          <w:rFonts w:ascii="Arial" w:hAnsi="Arial" w:cs="Arial"/>
          <w:sz w:val="22"/>
          <w:szCs w:val="22"/>
        </w:rPr>
      </w:pPr>
      <w:r w:rsidRPr="00883399">
        <w:rPr>
          <w:rFonts w:ascii="Arial" w:hAnsi="Arial" w:cs="Arial"/>
          <w:sz w:val="22"/>
          <w:szCs w:val="22"/>
        </w:rPr>
        <w:t>greases used in electric motor applications;</w:t>
      </w:r>
    </w:p>
    <w:p w14:paraId="2F074675" w14:textId="77777777" w:rsidR="00872C03" w:rsidRPr="00883399" w:rsidRDefault="00872C03" w:rsidP="00872C03">
      <w:pPr>
        <w:pStyle w:val="Text"/>
        <w:numPr>
          <w:ilvl w:val="0"/>
          <w:numId w:val="53"/>
        </w:numPr>
        <w:spacing w:line="240" w:lineRule="auto"/>
        <w:ind w:left="714" w:hanging="357"/>
        <w:rPr>
          <w:rFonts w:ascii="Arial" w:hAnsi="Arial" w:cs="Arial"/>
          <w:sz w:val="22"/>
          <w:szCs w:val="22"/>
        </w:rPr>
      </w:pPr>
      <w:r w:rsidRPr="00883399">
        <w:rPr>
          <w:rFonts w:ascii="Arial" w:hAnsi="Arial" w:cs="Arial"/>
          <w:sz w:val="22"/>
          <w:szCs w:val="22"/>
        </w:rPr>
        <w:t>oils used in gearboxes;</w:t>
      </w:r>
    </w:p>
    <w:p w14:paraId="4526CB8C" w14:textId="77777777" w:rsidR="00872C03" w:rsidRPr="00883399" w:rsidRDefault="00872C03" w:rsidP="00872C03">
      <w:pPr>
        <w:pStyle w:val="Text"/>
        <w:numPr>
          <w:ilvl w:val="0"/>
          <w:numId w:val="53"/>
        </w:numPr>
        <w:spacing w:line="240" w:lineRule="auto"/>
        <w:ind w:left="714" w:hanging="357"/>
        <w:rPr>
          <w:rFonts w:ascii="Arial" w:hAnsi="Arial" w:cs="Arial"/>
          <w:sz w:val="22"/>
          <w:szCs w:val="22"/>
        </w:rPr>
      </w:pPr>
      <w:r w:rsidRPr="00883399">
        <w:rPr>
          <w:rFonts w:ascii="Arial" w:hAnsi="Arial" w:cs="Arial"/>
          <w:sz w:val="22"/>
          <w:szCs w:val="22"/>
        </w:rPr>
        <w:t>use of petroleum-based oils as components of products such as oil-extended polymers or elastomers, paints, solvents or sprays;</w:t>
      </w:r>
    </w:p>
    <w:p w14:paraId="7C5B99EA" w14:textId="77777777" w:rsidR="00872C03" w:rsidRPr="00883399" w:rsidRDefault="00872C03" w:rsidP="00872C03">
      <w:pPr>
        <w:pStyle w:val="Text"/>
        <w:numPr>
          <w:ilvl w:val="0"/>
          <w:numId w:val="53"/>
        </w:numPr>
        <w:spacing w:line="240" w:lineRule="auto"/>
        <w:ind w:left="714" w:hanging="357"/>
        <w:rPr>
          <w:rFonts w:ascii="Arial" w:hAnsi="Arial" w:cs="Arial"/>
          <w:sz w:val="22"/>
          <w:szCs w:val="22"/>
        </w:rPr>
      </w:pPr>
      <w:r w:rsidRPr="00883399">
        <w:rPr>
          <w:rFonts w:ascii="Arial" w:hAnsi="Arial" w:cs="Arial"/>
          <w:sz w:val="22"/>
          <w:szCs w:val="22"/>
        </w:rPr>
        <w:t>use of oils in electrical equipment (e.g. transformer oil); and</w:t>
      </w:r>
    </w:p>
    <w:p w14:paraId="612CA0F7" w14:textId="77777777" w:rsidR="00872C03" w:rsidRPr="00883399" w:rsidRDefault="00872C03" w:rsidP="00872C03">
      <w:pPr>
        <w:pStyle w:val="Text"/>
        <w:numPr>
          <w:ilvl w:val="0"/>
          <w:numId w:val="53"/>
        </w:numPr>
        <w:spacing w:line="240" w:lineRule="auto"/>
        <w:ind w:left="714" w:hanging="357"/>
        <w:rPr>
          <w:rFonts w:ascii="Arial" w:hAnsi="Arial" w:cs="Arial"/>
          <w:sz w:val="22"/>
          <w:szCs w:val="22"/>
        </w:rPr>
      </w:pPr>
      <w:r w:rsidRPr="00883399">
        <w:rPr>
          <w:rFonts w:ascii="Arial" w:hAnsi="Arial" w:cs="Arial"/>
          <w:sz w:val="22"/>
          <w:szCs w:val="22"/>
        </w:rPr>
        <w:t>use of oils as heat transfer fluids or working fluids in industrial applications.</w:t>
      </w:r>
    </w:p>
    <w:p w14:paraId="0828006C"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Depending on the operating conditions of the facility and the number and complexity of consumption points, reporters may wish to use the flash point of the fuel to identify whether or not the PBOG could be combusted. The flash point is the lowest temperature at which a product can form a vapour/air mixture capable of combustion. It is a measurable and testable physical property of all petroleum-based products and is stated on the Material Safety Data Sheet of every PBOG product sold.</w:t>
      </w:r>
    </w:p>
    <w:p w14:paraId="01A4D6CD"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By comparing the maximum operating temperature that each PBOG is likely to be exposed, it is possible to show that a given PBOG is appropriately reported as consumed without combustion.</w:t>
      </w:r>
    </w:p>
    <w:p w14:paraId="2BD1265A" w14:textId="77777777" w:rsidR="00872C03" w:rsidRPr="00883399" w:rsidRDefault="00872C03" w:rsidP="00872C03">
      <w:pPr>
        <w:pStyle w:val="ActHead5"/>
        <w:rPr>
          <w:rStyle w:val="CharSectno"/>
          <w:sz w:val="28"/>
        </w:rPr>
      </w:pPr>
    </w:p>
    <w:p w14:paraId="11B92729" w14:textId="79870A40" w:rsidR="00872C03" w:rsidRPr="00883399" w:rsidRDefault="00872C03" w:rsidP="00872C03">
      <w:pPr>
        <w:pStyle w:val="ActHead5"/>
        <w:rPr>
          <w:sz w:val="28"/>
        </w:rPr>
      </w:pPr>
      <w:bookmarkStart w:id="333" w:name="_Toc495652733"/>
      <w:r w:rsidRPr="00883399">
        <w:rPr>
          <w:rStyle w:val="CharSectno"/>
          <w:sz w:val="28"/>
        </w:rPr>
        <w:t>2.48A</w:t>
      </w:r>
      <w:r w:rsidRPr="00883399">
        <w:rPr>
          <w:sz w:val="28"/>
        </w:rPr>
        <w:t xml:space="preserve">  Method 1—estimating emissions of carbon dioxide using an estimated oxidation factor</w:t>
      </w:r>
      <w:bookmarkEnd w:id="332"/>
      <w:bookmarkEnd w:id="333"/>
    </w:p>
    <w:p w14:paraId="0720146C" w14:textId="77777777" w:rsidR="00872C03" w:rsidRPr="00883399" w:rsidRDefault="00872C03" w:rsidP="00872C03">
      <w:pPr>
        <w:pStyle w:val="subsection"/>
        <w:rPr>
          <w:sz w:val="24"/>
        </w:rPr>
      </w:pPr>
      <w:r w:rsidRPr="00883399">
        <w:rPr>
          <w:sz w:val="24"/>
        </w:rPr>
        <w:tab/>
        <w:t>(1)</w:t>
      </w:r>
      <w:r w:rsidRPr="00883399">
        <w:rPr>
          <w:sz w:val="24"/>
        </w:rPr>
        <w:tab/>
        <w:t>For paragraph 2.40A(1)(a), method 1 for estimating emissions of carbon dioxide from the consumption of petroleum based oils or petroleum based greases using an estimated oxidation factor is:</w:t>
      </w:r>
    </w:p>
    <w:p w14:paraId="74BC17C2" w14:textId="13AC22EA"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2C539FE9" wp14:editId="1F2A6C49">
            <wp:extent cx="2482215" cy="415925"/>
            <wp:effectExtent l="1905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8"/>
                    <a:srcRect/>
                    <a:stretch>
                      <a:fillRect/>
                    </a:stretch>
                  </pic:blipFill>
                  <pic:spPr bwMode="auto">
                    <a:xfrm>
                      <a:off x="0" y="0"/>
                      <a:ext cx="2482215" cy="415925"/>
                    </a:xfrm>
                    <a:prstGeom prst="rect">
                      <a:avLst/>
                    </a:prstGeom>
                    <a:noFill/>
                    <a:ln w="9525">
                      <a:noFill/>
                      <a:miter lim="800000"/>
                      <a:headEnd/>
                      <a:tailEnd/>
                    </a:ln>
                  </pic:spPr>
                </pic:pic>
              </a:graphicData>
            </a:graphic>
          </wp:inline>
        </w:drawing>
      </w:r>
    </w:p>
    <w:p w14:paraId="6EE86F96" w14:textId="77777777" w:rsidR="00872C03" w:rsidRPr="00883399" w:rsidRDefault="00872C03" w:rsidP="00872C03">
      <w:pPr>
        <w:pStyle w:val="subsection2"/>
        <w:rPr>
          <w:sz w:val="24"/>
        </w:rPr>
      </w:pPr>
      <w:r w:rsidRPr="00883399">
        <w:rPr>
          <w:sz w:val="24"/>
        </w:rPr>
        <w:t>where:</w:t>
      </w:r>
    </w:p>
    <w:p w14:paraId="660DCAB2" w14:textId="77777777" w:rsidR="00872C03" w:rsidRPr="00883399" w:rsidRDefault="00872C03" w:rsidP="00872C03">
      <w:pPr>
        <w:pStyle w:val="Definition0"/>
        <w:rPr>
          <w:sz w:val="24"/>
        </w:rPr>
      </w:pPr>
      <w:r w:rsidRPr="00883399">
        <w:rPr>
          <w:b/>
          <w:i/>
          <w:sz w:val="24"/>
        </w:rPr>
        <w:t>E</w:t>
      </w:r>
      <w:r w:rsidRPr="00883399">
        <w:rPr>
          <w:rFonts w:ascii="Times" w:hAnsi="Times"/>
          <w:b/>
          <w:i/>
          <w:sz w:val="24"/>
          <w:vertAlign w:val="subscript"/>
        </w:rPr>
        <w:t xml:space="preserve">pogco2 </w:t>
      </w:r>
      <w:r w:rsidRPr="00883399">
        <w:rPr>
          <w:sz w:val="24"/>
        </w:rPr>
        <w:t>is the emissions of carbon dioxide released from the consumption of petroleum based oils or petroleum based greases from the operation of the facility during the year measured in CO</w:t>
      </w:r>
      <w:r w:rsidRPr="00883399">
        <w:rPr>
          <w:rStyle w:val="charsubscript0"/>
          <w:sz w:val="24"/>
        </w:rPr>
        <w:t>2</w:t>
      </w:r>
      <w:r w:rsidRPr="00883399">
        <w:rPr>
          <w:sz w:val="24"/>
        </w:rPr>
        <w:noBreakHyphen/>
        <w:t>e tonnes.</w:t>
      </w:r>
    </w:p>
    <w:p w14:paraId="3A25FC96" w14:textId="77777777" w:rsidR="00872C03" w:rsidRPr="00883399" w:rsidRDefault="00872C03" w:rsidP="00872C03">
      <w:pPr>
        <w:pStyle w:val="Definition0"/>
        <w:rPr>
          <w:b/>
          <w:i/>
          <w:sz w:val="24"/>
        </w:rPr>
      </w:pPr>
      <w:r w:rsidRPr="00883399">
        <w:rPr>
          <w:b/>
          <w:i/>
          <w:sz w:val="24"/>
        </w:rPr>
        <w:t>Q</w:t>
      </w:r>
      <w:r w:rsidRPr="00883399">
        <w:rPr>
          <w:b/>
          <w:i/>
          <w:sz w:val="24"/>
          <w:vertAlign w:val="subscript"/>
        </w:rPr>
        <w:t xml:space="preserve">pog </w:t>
      </w:r>
      <w:r w:rsidRPr="00883399">
        <w:rPr>
          <w:sz w:val="24"/>
        </w:rPr>
        <w:t>is the quantity of petroleum based oils or petroleum based greases consumed from the operation of the facility, estimated in accordance with Division 2.4.6.</w:t>
      </w:r>
    </w:p>
    <w:p w14:paraId="5E57CBE0" w14:textId="77777777" w:rsidR="00872C03" w:rsidRPr="00883399" w:rsidRDefault="00872C03" w:rsidP="00872C03">
      <w:pPr>
        <w:pStyle w:val="Definition0"/>
        <w:rPr>
          <w:sz w:val="24"/>
        </w:rPr>
      </w:pPr>
      <w:r w:rsidRPr="00883399">
        <w:rPr>
          <w:b/>
          <w:bCs/>
          <w:i/>
          <w:iCs/>
          <w:sz w:val="24"/>
        </w:rPr>
        <w:t>EC</w:t>
      </w:r>
      <w:r w:rsidRPr="00883399">
        <w:rPr>
          <w:b/>
          <w:bCs/>
          <w:i/>
          <w:iCs/>
          <w:sz w:val="24"/>
          <w:vertAlign w:val="subscript"/>
        </w:rPr>
        <w:t xml:space="preserve">pogco2 </w:t>
      </w:r>
      <w:r w:rsidRPr="00883399">
        <w:rPr>
          <w:sz w:val="24"/>
        </w:rPr>
        <w:t>is the energy content factor of petroleum based oils or petroleum based greases measured in gigajoules per kilolitre as mentioned in Part 3 of Schedule 1.</w:t>
      </w:r>
    </w:p>
    <w:p w14:paraId="693531DB" w14:textId="77777777" w:rsidR="00872C03" w:rsidRPr="00883399" w:rsidRDefault="00872C03" w:rsidP="00872C03">
      <w:pPr>
        <w:pStyle w:val="Definition0"/>
        <w:rPr>
          <w:sz w:val="24"/>
        </w:rPr>
      </w:pPr>
      <w:r w:rsidRPr="00883399">
        <w:rPr>
          <w:b/>
          <w:i/>
          <w:sz w:val="24"/>
        </w:rPr>
        <w:t>EF</w:t>
      </w:r>
      <w:r w:rsidRPr="00883399">
        <w:rPr>
          <w:b/>
          <w:i/>
          <w:sz w:val="24"/>
          <w:vertAlign w:val="subscript"/>
        </w:rPr>
        <w:t xml:space="preserve">pogco2oxec </w:t>
      </w:r>
      <w:r w:rsidRPr="00883399">
        <w:rPr>
          <w:sz w:val="24"/>
        </w:rPr>
        <w:t>has the meaning given in subsection (2).</w:t>
      </w:r>
    </w:p>
    <w:p w14:paraId="38C68476" w14:textId="77777777" w:rsidR="00872C03" w:rsidRPr="00883399" w:rsidRDefault="00872C03" w:rsidP="00872C03">
      <w:pPr>
        <w:pStyle w:val="subsection"/>
        <w:rPr>
          <w:sz w:val="24"/>
        </w:rPr>
      </w:pPr>
      <w:r w:rsidRPr="00883399">
        <w:rPr>
          <w:sz w:val="24"/>
        </w:rPr>
        <w:tab/>
        <w:t>(2)</w:t>
      </w:r>
      <w:r w:rsidRPr="00883399">
        <w:rPr>
          <w:sz w:val="24"/>
        </w:rPr>
        <w:tab/>
      </w:r>
      <w:r w:rsidRPr="00883399">
        <w:rPr>
          <w:b/>
          <w:i/>
          <w:sz w:val="24"/>
        </w:rPr>
        <w:t>EF</w:t>
      </w:r>
      <w:r w:rsidRPr="00883399">
        <w:rPr>
          <w:b/>
          <w:i/>
          <w:sz w:val="24"/>
          <w:vertAlign w:val="subscript"/>
        </w:rPr>
        <w:t>pogco2oxec</w:t>
      </w:r>
      <w:r w:rsidRPr="00883399">
        <w:rPr>
          <w:sz w:val="24"/>
        </w:rPr>
        <w:t xml:space="preserve"> is:</w:t>
      </w:r>
    </w:p>
    <w:p w14:paraId="32D47DE8" w14:textId="77777777" w:rsidR="00872C03" w:rsidRPr="00883399" w:rsidRDefault="00872C03" w:rsidP="00872C03">
      <w:pPr>
        <w:pStyle w:val="paragraph"/>
        <w:rPr>
          <w:sz w:val="24"/>
        </w:rPr>
      </w:pPr>
      <w:r w:rsidRPr="00883399">
        <w:rPr>
          <w:sz w:val="24"/>
        </w:rPr>
        <w:tab/>
        <w:t>(a)</w:t>
      </w:r>
      <w:r w:rsidRPr="00883399">
        <w:rPr>
          <w:sz w:val="24"/>
        </w:rPr>
        <w:tab/>
        <w:t>the emission factor for carbon dioxide released from the operation of the facility during the year (which includes the effect of an oxidation factor) measured in kilograms CO</w:t>
      </w:r>
      <w:r w:rsidRPr="00883399">
        <w:rPr>
          <w:rStyle w:val="charsubscript0"/>
          <w:sz w:val="24"/>
        </w:rPr>
        <w:t>2</w:t>
      </w:r>
      <w:r w:rsidRPr="00883399">
        <w:rPr>
          <w:sz w:val="24"/>
        </w:rPr>
        <w:noBreakHyphen/>
        <w:t>e per gigajoule of the petroleum based oils or petroleum based greases as mentioned in Part 3 of Schedule 1; or</w:t>
      </w:r>
    </w:p>
    <w:p w14:paraId="1CEEFB5C" w14:textId="77777777" w:rsidR="00872C03" w:rsidRPr="00883399" w:rsidRDefault="00872C03" w:rsidP="00872C03">
      <w:pPr>
        <w:pStyle w:val="paragraph"/>
        <w:rPr>
          <w:sz w:val="24"/>
        </w:rPr>
      </w:pPr>
      <w:r w:rsidRPr="00883399">
        <w:rPr>
          <w:sz w:val="24"/>
        </w:rPr>
        <w:tab/>
        <w:t>(b)</w:t>
      </w:r>
      <w:r w:rsidRPr="00883399">
        <w:rPr>
          <w:sz w:val="24"/>
        </w:rPr>
        <w:tab/>
        <w:t>to be estimated as follows:</w:t>
      </w:r>
    </w:p>
    <w:p w14:paraId="172DB63E" w14:textId="120F96B2" w:rsidR="00872C03" w:rsidRPr="00883399" w:rsidRDefault="00872C03" w:rsidP="00872C03">
      <w:pPr>
        <w:pStyle w:val="paragraph"/>
        <w:spacing w:before="120" w:after="120"/>
        <w:rPr>
          <w:sz w:val="24"/>
        </w:rPr>
      </w:pPr>
      <w:r w:rsidRPr="00883399">
        <w:rPr>
          <w:sz w:val="24"/>
        </w:rPr>
        <w:tab/>
      </w:r>
      <w:r w:rsidRPr="00883399">
        <w:rPr>
          <w:sz w:val="24"/>
        </w:rPr>
        <w:tab/>
      </w:r>
      <w:r w:rsidRPr="00883399">
        <w:rPr>
          <w:noProof/>
          <w:sz w:val="24"/>
        </w:rPr>
        <w:drawing>
          <wp:inline distT="0" distB="0" distL="0" distR="0" wp14:anchorId="398900AA" wp14:editId="57EB52EC">
            <wp:extent cx="1876425" cy="237490"/>
            <wp:effectExtent l="1905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59"/>
                    <a:srcRect/>
                    <a:stretch>
                      <a:fillRect/>
                    </a:stretch>
                  </pic:blipFill>
                  <pic:spPr bwMode="auto">
                    <a:xfrm>
                      <a:off x="0" y="0"/>
                      <a:ext cx="1876425" cy="237490"/>
                    </a:xfrm>
                    <a:prstGeom prst="rect">
                      <a:avLst/>
                    </a:prstGeom>
                    <a:noFill/>
                    <a:ln w="9525">
                      <a:noFill/>
                      <a:miter lim="800000"/>
                      <a:headEnd/>
                      <a:tailEnd/>
                    </a:ln>
                  </pic:spPr>
                </pic:pic>
              </a:graphicData>
            </a:graphic>
          </wp:inline>
        </w:drawing>
      </w:r>
    </w:p>
    <w:p w14:paraId="4FB51661" w14:textId="77777777" w:rsidR="00872C03" w:rsidRPr="00883399" w:rsidRDefault="00872C03" w:rsidP="00872C03">
      <w:pPr>
        <w:pStyle w:val="subsection2"/>
        <w:rPr>
          <w:sz w:val="24"/>
        </w:rPr>
      </w:pPr>
      <w:r w:rsidRPr="00883399">
        <w:rPr>
          <w:sz w:val="24"/>
        </w:rPr>
        <w:t>where:</w:t>
      </w:r>
    </w:p>
    <w:p w14:paraId="7128675E" w14:textId="77777777" w:rsidR="00872C03" w:rsidRPr="00883399" w:rsidRDefault="00872C03" w:rsidP="00872C03">
      <w:pPr>
        <w:pStyle w:val="Definition0"/>
        <w:rPr>
          <w:sz w:val="24"/>
        </w:rPr>
      </w:pPr>
      <w:r w:rsidRPr="00883399">
        <w:rPr>
          <w:b/>
          <w:i/>
          <w:sz w:val="24"/>
        </w:rPr>
        <w:t>OF</w:t>
      </w:r>
      <w:r w:rsidRPr="00883399">
        <w:rPr>
          <w:rFonts w:ascii="Times" w:hAnsi="Times"/>
          <w:b/>
          <w:i/>
          <w:sz w:val="24"/>
          <w:vertAlign w:val="subscript"/>
        </w:rPr>
        <w:t xml:space="preserve">pog </w:t>
      </w:r>
      <w:r w:rsidRPr="00883399">
        <w:rPr>
          <w:sz w:val="24"/>
        </w:rPr>
        <w:t>is the estimated oxidation factor for petroleum based oils or petroleum based greases.</w:t>
      </w:r>
    </w:p>
    <w:p w14:paraId="36128313" w14:textId="77777777" w:rsidR="00872C03" w:rsidRPr="00883399" w:rsidRDefault="00872C03" w:rsidP="00872C03">
      <w:pPr>
        <w:pStyle w:val="Definition0"/>
        <w:rPr>
          <w:sz w:val="24"/>
        </w:rPr>
      </w:pPr>
      <w:r w:rsidRPr="00883399">
        <w:rPr>
          <w:b/>
          <w:i/>
          <w:sz w:val="24"/>
        </w:rPr>
        <w:t>EF</w:t>
      </w:r>
      <w:r w:rsidRPr="00883399">
        <w:rPr>
          <w:b/>
          <w:i/>
          <w:sz w:val="24"/>
          <w:vertAlign w:val="subscript"/>
        </w:rPr>
        <w:t xml:space="preserve">pogco2ec </w:t>
      </w:r>
      <w:r w:rsidRPr="00883399">
        <w:rPr>
          <w:sz w:val="24"/>
        </w:rPr>
        <w:t>is 69.9.</w:t>
      </w:r>
    </w:p>
    <w:p w14:paraId="7F3B488A" w14:textId="77777777" w:rsidR="00872C03" w:rsidRPr="00883399" w:rsidRDefault="00872C03" w:rsidP="00872C03">
      <w:pPr>
        <w:pStyle w:val="subsection"/>
        <w:rPr>
          <w:sz w:val="24"/>
        </w:rPr>
      </w:pPr>
      <w:r w:rsidRPr="00883399">
        <w:rPr>
          <w:sz w:val="24"/>
        </w:rPr>
        <w:tab/>
        <w:t>(3)</w:t>
      </w:r>
      <w:r w:rsidRPr="00883399">
        <w:rPr>
          <w:sz w:val="24"/>
        </w:rPr>
        <w:tab/>
        <w:t xml:space="preserve">For </w:t>
      </w:r>
      <w:r w:rsidRPr="00883399">
        <w:rPr>
          <w:b/>
          <w:i/>
          <w:sz w:val="24"/>
        </w:rPr>
        <w:t>OF</w:t>
      </w:r>
      <w:r w:rsidRPr="00883399">
        <w:rPr>
          <w:b/>
          <w:i/>
          <w:sz w:val="24"/>
          <w:vertAlign w:val="subscript"/>
        </w:rPr>
        <w:t>pog</w:t>
      </w:r>
      <w:r w:rsidRPr="00883399">
        <w:rPr>
          <w:i/>
          <w:sz w:val="24"/>
        </w:rPr>
        <w:t xml:space="preserve"> </w:t>
      </w:r>
      <w:r w:rsidRPr="00883399">
        <w:rPr>
          <w:sz w:val="24"/>
        </w:rPr>
        <w:t>in paragraph (2)(b), estimate as follows:</w:t>
      </w:r>
    </w:p>
    <w:p w14:paraId="205AD1C4" w14:textId="05C2D145" w:rsidR="00872C03" w:rsidRPr="00883399" w:rsidRDefault="00872C03" w:rsidP="00872C03">
      <w:pPr>
        <w:pStyle w:val="subsection"/>
        <w:spacing w:before="120" w:after="120"/>
        <w:rPr>
          <w:sz w:val="24"/>
        </w:rPr>
      </w:pPr>
      <w:r w:rsidRPr="00883399">
        <w:rPr>
          <w:sz w:val="24"/>
        </w:rPr>
        <w:lastRenderedPageBreak/>
        <w:tab/>
      </w:r>
      <w:r w:rsidRPr="00883399">
        <w:rPr>
          <w:sz w:val="24"/>
        </w:rPr>
        <w:tab/>
      </w:r>
      <w:r w:rsidRPr="00883399">
        <w:rPr>
          <w:noProof/>
          <w:sz w:val="24"/>
        </w:rPr>
        <w:drawing>
          <wp:inline distT="0" distB="0" distL="0" distR="0" wp14:anchorId="79D9076A" wp14:editId="15FE6BFD">
            <wp:extent cx="2374900" cy="462915"/>
            <wp:effectExtent l="1905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60"/>
                    <a:srcRect/>
                    <a:stretch>
                      <a:fillRect/>
                    </a:stretch>
                  </pic:blipFill>
                  <pic:spPr bwMode="auto">
                    <a:xfrm>
                      <a:off x="0" y="0"/>
                      <a:ext cx="2374900" cy="462915"/>
                    </a:xfrm>
                    <a:prstGeom prst="rect">
                      <a:avLst/>
                    </a:prstGeom>
                    <a:noFill/>
                    <a:ln w="9525">
                      <a:noFill/>
                      <a:miter lim="800000"/>
                      <a:headEnd/>
                      <a:tailEnd/>
                    </a:ln>
                  </pic:spPr>
                </pic:pic>
              </a:graphicData>
            </a:graphic>
          </wp:inline>
        </w:drawing>
      </w:r>
    </w:p>
    <w:p w14:paraId="572E1AF4" w14:textId="77777777" w:rsidR="00872C03" w:rsidRPr="00883399" w:rsidRDefault="00872C03" w:rsidP="00872C03">
      <w:pPr>
        <w:pStyle w:val="subsection2"/>
        <w:rPr>
          <w:sz w:val="24"/>
        </w:rPr>
      </w:pPr>
      <w:r w:rsidRPr="00883399">
        <w:rPr>
          <w:sz w:val="24"/>
        </w:rPr>
        <w:t>where:</w:t>
      </w:r>
    </w:p>
    <w:p w14:paraId="1ECCD8CF" w14:textId="77777777" w:rsidR="00872C03" w:rsidRPr="00883399" w:rsidRDefault="00872C03" w:rsidP="00872C03">
      <w:pPr>
        <w:pStyle w:val="Definition0"/>
        <w:rPr>
          <w:b/>
          <w:i/>
          <w:sz w:val="24"/>
        </w:rPr>
      </w:pPr>
      <w:r w:rsidRPr="00883399">
        <w:rPr>
          <w:b/>
          <w:i/>
          <w:sz w:val="24"/>
        </w:rPr>
        <w:t>Q</w:t>
      </w:r>
      <w:r w:rsidRPr="00883399">
        <w:rPr>
          <w:b/>
          <w:i/>
          <w:sz w:val="24"/>
          <w:vertAlign w:val="subscript"/>
        </w:rPr>
        <w:t>pog</w:t>
      </w:r>
      <w:r w:rsidRPr="00883399">
        <w:rPr>
          <w:b/>
          <w:i/>
          <w:sz w:val="24"/>
        </w:rPr>
        <w:t xml:space="preserve"> </w:t>
      </w:r>
      <w:r w:rsidRPr="00883399">
        <w:rPr>
          <w:sz w:val="24"/>
        </w:rPr>
        <w:t>is the quantity of petroleum based oils or petroleum based greases consumed from the operation of the facility, estimated in accordance with Division 2.4.6.</w:t>
      </w:r>
    </w:p>
    <w:p w14:paraId="33A652B2" w14:textId="77777777" w:rsidR="00872C03" w:rsidRPr="00883399" w:rsidRDefault="00872C03" w:rsidP="00872C03">
      <w:pPr>
        <w:pStyle w:val="Definition0"/>
        <w:rPr>
          <w:sz w:val="24"/>
        </w:rPr>
      </w:pPr>
      <w:r w:rsidRPr="00883399">
        <w:rPr>
          <w:b/>
          <w:i/>
          <w:sz w:val="24"/>
        </w:rPr>
        <w:t>Oil Transferred Offsite</w:t>
      </w:r>
      <w:r w:rsidRPr="00883399">
        <w:rPr>
          <w:rFonts w:ascii="Times" w:hAnsi="Times"/>
          <w:b/>
          <w:i/>
          <w:sz w:val="24"/>
          <w:vertAlign w:val="subscript"/>
        </w:rPr>
        <w:t>pog</w:t>
      </w:r>
      <w:r w:rsidRPr="00883399">
        <w:rPr>
          <w:b/>
          <w:i/>
          <w:sz w:val="24"/>
        </w:rPr>
        <w:t xml:space="preserve"> </w:t>
      </w:r>
      <w:r w:rsidRPr="00883399">
        <w:rPr>
          <w:sz w:val="24"/>
        </w:rPr>
        <w:t>is the quantity of oils, derived from petroleum based oils or petroleum based greases, transferred outside the facility, and estimated in accordance with Division 2.4.6.</w:t>
      </w:r>
    </w:p>
    <w:p w14:paraId="0EBF33CF" w14:textId="6B67CA88" w:rsidR="00872C03" w:rsidRPr="00883399" w:rsidRDefault="00872C03" w:rsidP="00872C03">
      <w:pPr>
        <w:pStyle w:val="ActHead5"/>
        <w:rPr>
          <w:sz w:val="28"/>
        </w:rPr>
      </w:pPr>
      <w:bookmarkStart w:id="334" w:name="_Toc423516814"/>
      <w:bookmarkStart w:id="335" w:name="_Toc495652734"/>
      <w:r w:rsidRPr="00883399">
        <w:rPr>
          <w:rStyle w:val="CharSectno"/>
          <w:sz w:val="28"/>
        </w:rPr>
        <w:t>2.48B</w:t>
      </w:r>
      <w:r w:rsidRPr="00883399">
        <w:rPr>
          <w:sz w:val="28"/>
        </w:rPr>
        <w:t xml:space="preserve">  Method 2—estimating emissions of carbon dioxide using an estimated oxidation factor</w:t>
      </w:r>
      <w:bookmarkEnd w:id="334"/>
      <w:bookmarkEnd w:id="335"/>
    </w:p>
    <w:p w14:paraId="58334811" w14:textId="77777777" w:rsidR="00872C03" w:rsidRPr="00883399" w:rsidRDefault="00872C03" w:rsidP="00872C03">
      <w:pPr>
        <w:pStyle w:val="subsection"/>
        <w:rPr>
          <w:sz w:val="24"/>
        </w:rPr>
      </w:pPr>
      <w:r w:rsidRPr="00883399">
        <w:rPr>
          <w:sz w:val="24"/>
        </w:rPr>
        <w:tab/>
      </w:r>
      <w:r w:rsidRPr="00883399">
        <w:rPr>
          <w:sz w:val="24"/>
        </w:rPr>
        <w:tab/>
        <w:t xml:space="preserve">For paragraph 2.40A(1)(b), method 2 is the same as method 1 but the emission factor </w:t>
      </w:r>
      <w:r w:rsidRPr="00883399">
        <w:rPr>
          <w:b/>
          <w:i/>
          <w:sz w:val="24"/>
        </w:rPr>
        <w:t>EF</w:t>
      </w:r>
      <w:r w:rsidRPr="00883399">
        <w:rPr>
          <w:b/>
          <w:i/>
          <w:sz w:val="24"/>
          <w:vertAlign w:val="subscript"/>
        </w:rPr>
        <w:t xml:space="preserve">pogco2ec </w:t>
      </w:r>
      <w:r w:rsidRPr="00883399">
        <w:rPr>
          <w:sz w:val="24"/>
        </w:rPr>
        <w:t>must be determined in accordance with Division 2.4.3.</w:t>
      </w:r>
    </w:p>
    <w:p w14:paraId="42609309" w14:textId="2BAB2B20" w:rsidR="00872C03" w:rsidRPr="00883399" w:rsidRDefault="00872C03" w:rsidP="00872C03">
      <w:pPr>
        <w:pStyle w:val="ActHead5"/>
        <w:rPr>
          <w:sz w:val="28"/>
        </w:rPr>
      </w:pPr>
      <w:bookmarkStart w:id="336" w:name="_Toc423516815"/>
      <w:bookmarkStart w:id="337" w:name="_Toc495652735"/>
      <w:r w:rsidRPr="00883399">
        <w:rPr>
          <w:rStyle w:val="CharSectno"/>
          <w:sz w:val="28"/>
        </w:rPr>
        <w:t>2.48C</w:t>
      </w:r>
      <w:r w:rsidRPr="00883399">
        <w:rPr>
          <w:sz w:val="28"/>
        </w:rPr>
        <w:t xml:space="preserve">  Method 3—estimating emissions of carbon dioxide using an estimated oxidation factor</w:t>
      </w:r>
      <w:bookmarkEnd w:id="336"/>
      <w:bookmarkEnd w:id="337"/>
    </w:p>
    <w:p w14:paraId="0DF59877" w14:textId="77777777" w:rsidR="00872C03" w:rsidRPr="00883399" w:rsidRDefault="00872C03" w:rsidP="00872C03">
      <w:pPr>
        <w:pStyle w:val="subsection"/>
        <w:rPr>
          <w:sz w:val="24"/>
        </w:rPr>
      </w:pPr>
      <w:r w:rsidRPr="00883399">
        <w:rPr>
          <w:sz w:val="24"/>
        </w:rPr>
        <w:tab/>
      </w:r>
      <w:r w:rsidRPr="00883399">
        <w:rPr>
          <w:sz w:val="24"/>
        </w:rPr>
        <w:tab/>
        <w:t xml:space="preserve">For paragraph 2.40A(1)(c), method 3 is the same as method 1 but the emission factor </w:t>
      </w:r>
      <w:r w:rsidRPr="00883399">
        <w:rPr>
          <w:b/>
          <w:i/>
          <w:sz w:val="24"/>
        </w:rPr>
        <w:t>EF</w:t>
      </w:r>
      <w:r w:rsidRPr="00883399">
        <w:rPr>
          <w:b/>
          <w:i/>
          <w:sz w:val="24"/>
          <w:vertAlign w:val="subscript"/>
        </w:rPr>
        <w:t xml:space="preserve">pogco2ec </w:t>
      </w:r>
      <w:r w:rsidRPr="00883399">
        <w:rPr>
          <w:sz w:val="24"/>
        </w:rPr>
        <w:t>must be determined in accordance with Division 2.4.4.</w:t>
      </w:r>
    </w:p>
    <w:p w14:paraId="21E6B8B1" w14:textId="4089D227" w:rsidR="00872C03" w:rsidRPr="00883399" w:rsidRDefault="00872C03" w:rsidP="00872C03">
      <w:pPr>
        <w:pStyle w:val="ActHead3"/>
        <w:pageBreakBefore/>
        <w:rPr>
          <w:sz w:val="32"/>
        </w:rPr>
      </w:pPr>
      <w:bookmarkStart w:id="338" w:name="_Toc423516816"/>
      <w:bookmarkStart w:id="339" w:name="_Toc495652736"/>
      <w:r w:rsidRPr="00883399">
        <w:rPr>
          <w:rStyle w:val="CharDivNo"/>
          <w:sz w:val="32"/>
        </w:rPr>
        <w:lastRenderedPageBreak/>
        <w:t>Division 2.4.6</w:t>
      </w:r>
      <w:r w:rsidRPr="00883399">
        <w:rPr>
          <w:sz w:val="32"/>
        </w:rPr>
        <w:t>—</w:t>
      </w:r>
      <w:r w:rsidRPr="00883399">
        <w:rPr>
          <w:rStyle w:val="CharDivText"/>
          <w:sz w:val="32"/>
        </w:rPr>
        <w:t>Measurement of quantity of liquid fuels</w:t>
      </w:r>
      <w:bookmarkEnd w:id="338"/>
      <w:bookmarkEnd w:id="339"/>
    </w:p>
    <w:p w14:paraId="2B481F44" w14:textId="77DA765B" w:rsidR="00872C03" w:rsidRPr="00883399" w:rsidRDefault="00872C03" w:rsidP="00872C03">
      <w:pPr>
        <w:pStyle w:val="ActHead5"/>
        <w:rPr>
          <w:sz w:val="28"/>
        </w:rPr>
      </w:pPr>
      <w:bookmarkStart w:id="340" w:name="_Toc423516817"/>
      <w:bookmarkStart w:id="341" w:name="_Toc495652737"/>
      <w:r w:rsidRPr="00883399">
        <w:rPr>
          <w:rStyle w:val="CharSectno"/>
          <w:sz w:val="28"/>
        </w:rPr>
        <w:t>2.49</w:t>
      </w:r>
      <w:r w:rsidRPr="00883399">
        <w:rPr>
          <w:sz w:val="28"/>
        </w:rPr>
        <w:t xml:space="preserve">  Purpose of Division</w:t>
      </w:r>
      <w:bookmarkEnd w:id="340"/>
      <w:bookmarkEnd w:id="341"/>
    </w:p>
    <w:p w14:paraId="08E439B1" w14:textId="77777777" w:rsidR="00872C03" w:rsidRPr="00883399" w:rsidRDefault="00872C03" w:rsidP="00872C03">
      <w:pPr>
        <w:pStyle w:val="R1"/>
        <w:tabs>
          <w:tab w:val="clear" w:pos="794"/>
          <w:tab w:val="right" w:pos="0"/>
        </w:tabs>
        <w:spacing w:before="240" w:line="312" w:lineRule="auto"/>
        <w:ind w:left="0" w:firstLine="0"/>
        <w:jc w:val="left"/>
        <w:rPr>
          <w:rFonts w:ascii="Arial" w:hAnsi="Arial" w:cs="Arial"/>
          <w:i/>
          <w:color w:val="000000"/>
          <w:sz w:val="22"/>
          <w:szCs w:val="22"/>
        </w:rPr>
      </w:pPr>
      <w:r w:rsidRPr="00883399">
        <w:rPr>
          <w:rFonts w:ascii="Arial" w:hAnsi="Arial" w:cs="Arial"/>
          <w:color w:val="000000"/>
          <w:sz w:val="22"/>
          <w:szCs w:val="22"/>
        </w:rPr>
        <w:t>This Division sets out how quantities of liquid fuels combusted from the operation of a facility are to be estimated for the purpose of working out the</w:t>
      </w:r>
      <w:r w:rsidRPr="00883399">
        <w:rPr>
          <w:rFonts w:ascii="Arial" w:hAnsi="Arial" w:cs="Arial"/>
          <w:strike/>
          <w:color w:val="000000"/>
          <w:sz w:val="22"/>
          <w:szCs w:val="22"/>
        </w:rPr>
        <w:t xml:space="preserve"> </w:t>
      </w:r>
      <w:r w:rsidRPr="00883399">
        <w:rPr>
          <w:rFonts w:ascii="Arial" w:hAnsi="Arial" w:cs="Arial"/>
          <w:color w:val="000000"/>
          <w:sz w:val="22"/>
          <w:szCs w:val="22"/>
        </w:rPr>
        <w:t>emissions released from the combustion of that fuel</w:t>
      </w:r>
      <w:r w:rsidRPr="00883399">
        <w:rPr>
          <w:rFonts w:ascii="Arial" w:hAnsi="Arial" w:cs="Arial"/>
          <w:i/>
          <w:color w:val="000000"/>
          <w:sz w:val="22"/>
          <w:szCs w:val="22"/>
        </w:rPr>
        <w:t>.</w:t>
      </w:r>
    </w:p>
    <w:p w14:paraId="3685E171" w14:textId="77777777" w:rsidR="00872C03" w:rsidRPr="00883399" w:rsidRDefault="00872C03" w:rsidP="00872C03">
      <w:pPr>
        <w:pStyle w:val="R2"/>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The quantity of consumption of each of the fuel types specified in the Regulations, Schedule 1, are to be estimated according to one of the criterion set out below.</w:t>
      </w:r>
    </w:p>
    <w:p w14:paraId="492670FC" w14:textId="77777777" w:rsidR="00872C03" w:rsidRPr="00883399" w:rsidRDefault="00872C03" w:rsidP="00872C03">
      <w:pPr>
        <w:pStyle w:val="R2"/>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The fuel types listed principally reflect the lists of fuels currently used by the Bureau of Resources and Energy Economics (BREE) to prepare Australia’s Energy Statistics and report, inter alia, on behalf of the Australian Government to the International Energy Agency. </w:t>
      </w:r>
    </w:p>
    <w:p w14:paraId="62C95195" w14:textId="77777777" w:rsidR="00872C03" w:rsidRPr="00883399" w:rsidRDefault="00872C03" w:rsidP="00872C03">
      <w:pPr>
        <w:pStyle w:val="R2"/>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Separate estimates of the quantities of each fuel type consumed for the purpose of making electricity; for use as reductants or feedstocks; for use in transport (excluding international bunker fuels) and other stationary energy are required.    </w:t>
      </w:r>
    </w:p>
    <w:p w14:paraId="604B9965" w14:textId="77777777" w:rsidR="00872C03" w:rsidRPr="00883399" w:rsidRDefault="00872C03" w:rsidP="00872C03">
      <w:pPr>
        <w:pStyle w:val="R2"/>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The quantities of fuels consumed for transport should exclude those quantities consumed for international transport purposes, if any, to reflect international reporting requirements for the national inventory. It is intended that this may be achieved by excluding international bunker fuels as defined in National Greenhouse and Energy Reporting Regulations 2008, Regulation 1.03, and that the point of differentiation between domestic and international consumption will be identical to that provided by the </w:t>
      </w:r>
      <w:r w:rsidRPr="00883399">
        <w:rPr>
          <w:rFonts w:ascii="Arial" w:hAnsi="Arial" w:cs="Arial"/>
          <w:i/>
          <w:sz w:val="22"/>
          <w:szCs w:val="22"/>
        </w:rPr>
        <w:t>Customs Act 1901</w:t>
      </w:r>
      <w:r w:rsidRPr="00883399">
        <w:rPr>
          <w:rFonts w:ascii="Arial" w:hAnsi="Arial" w:cs="Arial"/>
          <w:sz w:val="22"/>
          <w:szCs w:val="22"/>
        </w:rPr>
        <w:t xml:space="preserve"> which is used also for excise and GST purposes.  </w:t>
      </w:r>
    </w:p>
    <w:p w14:paraId="4F48907B" w14:textId="77777777" w:rsidR="00872C03" w:rsidRPr="00883399" w:rsidRDefault="00872C03" w:rsidP="00872C03">
      <w:pPr>
        <w:pStyle w:val="Text"/>
        <w:tabs>
          <w:tab w:val="right" w:pos="0"/>
        </w:tabs>
        <w:rPr>
          <w:rFonts w:ascii="Arial" w:hAnsi="Arial" w:cs="Arial"/>
          <w:sz w:val="22"/>
          <w:szCs w:val="22"/>
        </w:rPr>
      </w:pPr>
      <w:r w:rsidRPr="00883399">
        <w:rPr>
          <w:rFonts w:ascii="Arial" w:hAnsi="Arial" w:cs="Arial"/>
          <w:sz w:val="22"/>
          <w:szCs w:val="22"/>
        </w:rPr>
        <w:t xml:space="preserve">Biogenic carbon fuels attract a zero carbon dioxide emission factor to ensure that the reporting system aligns with the reporting requirements of the IPCC reporting guidelines for national inventories and the practice, for example, of the EU for its Emissions Trading System.  Non-carbon dioxide emissions from the combustion of biogenic fuels must be reported, however. </w:t>
      </w:r>
    </w:p>
    <w:p w14:paraId="2DDBA1E4" w14:textId="77777777" w:rsidR="00872C03" w:rsidRPr="00883399" w:rsidRDefault="00872C03" w:rsidP="00872C03">
      <w:pPr>
        <w:pStyle w:val="Text"/>
        <w:tabs>
          <w:tab w:val="right" w:pos="0"/>
        </w:tabs>
        <w:rPr>
          <w:rFonts w:ascii="Arial" w:hAnsi="Arial" w:cs="Arial"/>
          <w:sz w:val="22"/>
          <w:szCs w:val="22"/>
        </w:rPr>
      </w:pPr>
      <w:r w:rsidRPr="00883399">
        <w:rPr>
          <w:rFonts w:ascii="Arial" w:hAnsi="Arial" w:cs="Arial"/>
          <w:sz w:val="22"/>
          <w:szCs w:val="22"/>
        </w:rPr>
        <w:t xml:space="preserve">Division 2.4.6 specifies the criteria for the estimation of the amounts of liquid fuels combusted from the operation of a facility during a year.  There are four criteria available for the estimation of quantities combusted.  Under the National Greenhouse and Energy Reporting Regulations 2008, the criterion chosen will need to be reported. </w:t>
      </w:r>
    </w:p>
    <w:p w14:paraId="5DDE6E2F" w14:textId="77777777" w:rsidR="00872C03" w:rsidRPr="00883399" w:rsidRDefault="00872C03" w:rsidP="00872C03">
      <w:pPr>
        <w:pStyle w:val="Text"/>
        <w:tabs>
          <w:tab w:val="right" w:pos="0"/>
        </w:tabs>
        <w:rPr>
          <w:rFonts w:ascii="Arial" w:hAnsi="Arial" w:cs="Arial"/>
          <w:sz w:val="22"/>
          <w:szCs w:val="22"/>
        </w:rPr>
      </w:pPr>
      <w:r w:rsidRPr="00883399">
        <w:rPr>
          <w:rFonts w:ascii="Arial" w:hAnsi="Arial" w:cs="Arial"/>
          <w:sz w:val="22"/>
          <w:szCs w:val="22"/>
        </w:rPr>
        <w:lastRenderedPageBreak/>
        <w:t>The criteria include:</w:t>
      </w:r>
    </w:p>
    <w:p w14:paraId="3935F06B" w14:textId="77777777" w:rsidR="00872C03" w:rsidRPr="00883399" w:rsidRDefault="00872C03" w:rsidP="00872C03">
      <w:pPr>
        <w:pStyle w:val="Text"/>
        <w:tabs>
          <w:tab w:val="right" w:pos="0"/>
        </w:tabs>
        <w:rPr>
          <w:rFonts w:ascii="Arial" w:hAnsi="Arial" w:cs="Arial"/>
          <w:sz w:val="22"/>
          <w:szCs w:val="22"/>
        </w:rPr>
      </w:pPr>
      <w:r w:rsidRPr="00883399">
        <w:rPr>
          <w:rFonts w:ascii="Arial" w:hAnsi="Arial" w:cs="Arial"/>
          <w:sz w:val="22"/>
          <w:szCs w:val="22"/>
        </w:rPr>
        <w:t>(a)</w:t>
      </w:r>
      <w:r w:rsidRPr="00883399">
        <w:rPr>
          <w:rFonts w:ascii="Arial" w:hAnsi="Arial" w:cs="Arial"/>
          <w:sz w:val="22"/>
          <w:szCs w:val="22"/>
        </w:rPr>
        <w:tab/>
        <w:t xml:space="preserve">Criterion A - the amount of the fuel delivered for the facility during the year as evidenced by invoices or delivery records issued by the vendor of the fuel (2.50); </w:t>
      </w:r>
    </w:p>
    <w:p w14:paraId="65550F90" w14:textId="77777777" w:rsidR="00872C03" w:rsidRPr="00883399" w:rsidRDefault="00872C03" w:rsidP="00872C03">
      <w:pPr>
        <w:pStyle w:val="Text"/>
        <w:tabs>
          <w:tab w:val="right" w:pos="0"/>
        </w:tabs>
        <w:rPr>
          <w:rFonts w:ascii="Arial" w:hAnsi="Arial" w:cs="Arial"/>
          <w:sz w:val="22"/>
          <w:szCs w:val="22"/>
        </w:rPr>
      </w:pPr>
      <w:r w:rsidRPr="00883399">
        <w:rPr>
          <w:rFonts w:ascii="Arial" w:hAnsi="Arial" w:cs="Arial"/>
          <w:sz w:val="22"/>
          <w:szCs w:val="22"/>
        </w:rPr>
        <w:t>(b)</w:t>
      </w:r>
      <w:r w:rsidRPr="00883399">
        <w:rPr>
          <w:rFonts w:ascii="Arial" w:hAnsi="Arial" w:cs="Arial"/>
          <w:sz w:val="22"/>
          <w:szCs w:val="22"/>
        </w:rPr>
        <w:tab/>
        <w:t>Criterion AA - indirect measurement at the point of consumption - based on the amount of fuel delivered for the facility and adjusted for changes in stocks (2.51);</w:t>
      </w:r>
    </w:p>
    <w:p w14:paraId="0B42E739" w14:textId="77777777" w:rsidR="00872C03" w:rsidRPr="00883399" w:rsidRDefault="00872C03" w:rsidP="00872C03">
      <w:pPr>
        <w:pStyle w:val="Text"/>
        <w:tabs>
          <w:tab w:val="right" w:pos="0"/>
        </w:tabs>
        <w:rPr>
          <w:rFonts w:ascii="Arial" w:hAnsi="Arial" w:cs="Arial"/>
          <w:sz w:val="22"/>
          <w:szCs w:val="22"/>
        </w:rPr>
      </w:pPr>
      <w:r w:rsidRPr="00883399">
        <w:rPr>
          <w:rFonts w:ascii="Arial" w:hAnsi="Arial" w:cs="Arial"/>
          <w:sz w:val="22"/>
          <w:szCs w:val="22"/>
        </w:rPr>
        <w:t>(c)</w:t>
      </w:r>
      <w:r w:rsidRPr="00883399">
        <w:rPr>
          <w:rFonts w:ascii="Arial" w:hAnsi="Arial" w:cs="Arial"/>
          <w:sz w:val="22"/>
          <w:szCs w:val="22"/>
        </w:rPr>
        <w:tab/>
        <w:t>Criterion AAA - direct measurement at the point of consumption - based on the amount of fuel combusted as estimated by measurement equipment that comply with specified standards (2.52);</w:t>
      </w:r>
    </w:p>
    <w:p w14:paraId="20AD3C5E" w14:textId="77777777" w:rsidR="00872C03" w:rsidRPr="00883399" w:rsidRDefault="00872C03" w:rsidP="00872C03">
      <w:pPr>
        <w:pStyle w:val="Text"/>
        <w:tabs>
          <w:tab w:val="right" w:pos="0"/>
        </w:tabs>
        <w:rPr>
          <w:rFonts w:ascii="Arial" w:hAnsi="Arial" w:cs="Arial"/>
          <w:sz w:val="22"/>
          <w:szCs w:val="22"/>
        </w:rPr>
      </w:pPr>
      <w:r w:rsidRPr="00883399">
        <w:rPr>
          <w:rFonts w:ascii="Arial" w:hAnsi="Arial" w:cs="Arial"/>
          <w:sz w:val="22"/>
          <w:szCs w:val="22"/>
        </w:rPr>
        <w:t>(d)</w:t>
      </w:r>
      <w:r w:rsidRPr="00883399">
        <w:rPr>
          <w:rFonts w:ascii="Arial" w:hAnsi="Arial" w:cs="Arial"/>
          <w:sz w:val="22"/>
          <w:szCs w:val="22"/>
        </w:rPr>
        <w:tab/>
        <w:t>Criterion BBB - simplified measurement of consumption (2.53).</w:t>
      </w:r>
    </w:p>
    <w:p w14:paraId="30F1A0A4" w14:textId="77777777" w:rsidR="00872C03" w:rsidRPr="00883399" w:rsidRDefault="00872C03" w:rsidP="00872C03">
      <w:pPr>
        <w:pStyle w:val="Text"/>
        <w:tabs>
          <w:tab w:val="right" w:pos="0"/>
        </w:tabs>
        <w:rPr>
          <w:rFonts w:ascii="Arial" w:hAnsi="Arial" w:cs="Arial"/>
          <w:sz w:val="22"/>
          <w:szCs w:val="22"/>
        </w:rPr>
      </w:pPr>
      <w:r w:rsidRPr="00883399">
        <w:rPr>
          <w:rFonts w:ascii="Arial" w:hAnsi="Arial" w:cs="Arial"/>
          <w:sz w:val="22"/>
          <w:szCs w:val="22"/>
        </w:rPr>
        <w:t xml:space="preserve">Measuring equipment calibrated to a measurement requirement in Section 2.52 refers to the standards required for measurement to support excise taxation arrangements.    </w:t>
      </w:r>
    </w:p>
    <w:p w14:paraId="40AC79C9" w14:textId="77777777" w:rsidR="00872C03" w:rsidRPr="00883399" w:rsidRDefault="00872C03" w:rsidP="00872C03">
      <w:pPr>
        <w:pStyle w:val="Text"/>
        <w:tabs>
          <w:tab w:val="right" w:pos="0"/>
        </w:tabs>
        <w:rPr>
          <w:rFonts w:ascii="Arial" w:hAnsi="Arial" w:cs="Arial"/>
          <w:sz w:val="22"/>
          <w:szCs w:val="22"/>
        </w:rPr>
      </w:pPr>
      <w:r w:rsidRPr="00883399">
        <w:rPr>
          <w:rFonts w:ascii="Arial" w:hAnsi="Arial" w:cs="Arial"/>
          <w:sz w:val="22"/>
          <w:szCs w:val="22"/>
        </w:rPr>
        <w:t xml:space="preserve">In Section 2.52 it is intended that measured data for fuels delivered would also meet the Criterion AAA under certain circumstances.  These circumstances are that stocks of the fuel consumed at the facility are less than 5% of fuel consumption for the facility during the year and that the stock changes by less than 1% during the year.  </w:t>
      </w:r>
    </w:p>
    <w:p w14:paraId="33C8F56D" w14:textId="77777777" w:rsidR="00872C03" w:rsidRPr="00883399" w:rsidRDefault="00872C03" w:rsidP="00872C03">
      <w:pPr>
        <w:spacing w:before="240" w:line="312" w:lineRule="auto"/>
        <w:rPr>
          <w:rFonts w:ascii="Arial" w:hAnsi="Arial" w:cs="Arial"/>
          <w:sz w:val="22"/>
          <w:szCs w:val="22"/>
          <w:lang w:eastAsia="en-US"/>
        </w:rPr>
      </w:pPr>
      <w:r w:rsidRPr="00883399">
        <w:rPr>
          <w:rFonts w:ascii="Arial" w:hAnsi="Arial" w:cs="Arial"/>
          <w:sz w:val="22"/>
          <w:szCs w:val="22"/>
          <w:lang w:eastAsia="en-US"/>
        </w:rPr>
        <w:t xml:space="preserve">The simplified measurement of consumption criterion is available in those cases where the Reporter does not purchase fuel and where the Reporter does not have metering equipment installed that meets the requirements of criterion AAA.  In these cases, it is intended that Reporters should estimate consumption using metering devices or measurement techniques in practice in the industry.  Such measurements would need to meet the criteria set out 1.13 of transparency, comparability, accuracy and completeness. These data would be classified and reported as BBB criterion data.  </w:t>
      </w:r>
    </w:p>
    <w:p w14:paraId="3F7C3588" w14:textId="77777777" w:rsidR="00872C03" w:rsidRPr="00883399" w:rsidRDefault="00872C03" w:rsidP="00872C03">
      <w:pPr>
        <w:pStyle w:val="R2"/>
        <w:spacing w:before="240" w:line="312" w:lineRule="auto"/>
        <w:ind w:left="0" w:firstLine="0"/>
        <w:jc w:val="left"/>
        <w:rPr>
          <w:rFonts w:ascii="Arial" w:hAnsi="Arial" w:cs="Arial"/>
          <w:sz w:val="22"/>
          <w:szCs w:val="22"/>
        </w:rPr>
      </w:pPr>
      <w:r w:rsidRPr="00883399">
        <w:rPr>
          <w:rFonts w:ascii="Arial" w:hAnsi="Arial" w:cs="Arial"/>
          <w:color w:val="000000"/>
          <w:sz w:val="22"/>
          <w:szCs w:val="22"/>
        </w:rPr>
        <w:t>The restriction on the choice of criteria at 2.50 (3) is designed to ensure time series consistency of the measurements</w:t>
      </w:r>
      <w:r w:rsidRPr="00883399">
        <w:rPr>
          <w:color w:val="000000"/>
        </w:rPr>
        <w:t>.</w:t>
      </w:r>
    </w:p>
    <w:p w14:paraId="1B1E8191" w14:textId="77777777" w:rsidR="00872C03" w:rsidRPr="00883399" w:rsidRDefault="00872C03" w:rsidP="00872C03">
      <w:pPr>
        <w:pStyle w:val="subsection"/>
        <w:rPr>
          <w:sz w:val="24"/>
        </w:rPr>
      </w:pPr>
    </w:p>
    <w:p w14:paraId="7C5D6560" w14:textId="72C59714" w:rsidR="00872C03" w:rsidRPr="00883399" w:rsidRDefault="00872C03" w:rsidP="00872C03">
      <w:pPr>
        <w:pStyle w:val="ActHead5"/>
        <w:rPr>
          <w:sz w:val="28"/>
        </w:rPr>
      </w:pPr>
      <w:bookmarkStart w:id="342" w:name="_Toc423516818"/>
      <w:bookmarkStart w:id="343" w:name="_Toc495652738"/>
      <w:r w:rsidRPr="00883399">
        <w:rPr>
          <w:rStyle w:val="CharSectno"/>
          <w:sz w:val="28"/>
        </w:rPr>
        <w:t>2.50</w:t>
      </w:r>
      <w:r w:rsidRPr="00883399">
        <w:rPr>
          <w:sz w:val="28"/>
        </w:rPr>
        <w:t xml:space="preserve">  Criteria for measurement</w:t>
      </w:r>
      <w:bookmarkEnd w:id="342"/>
      <w:bookmarkEnd w:id="343"/>
    </w:p>
    <w:p w14:paraId="2606FB94" w14:textId="77777777" w:rsidR="00872C03" w:rsidRPr="00883399" w:rsidRDefault="00872C03" w:rsidP="00872C03">
      <w:pPr>
        <w:pStyle w:val="subsection"/>
        <w:rPr>
          <w:sz w:val="24"/>
        </w:rPr>
      </w:pPr>
      <w:r w:rsidRPr="00883399">
        <w:rPr>
          <w:sz w:val="24"/>
        </w:rPr>
        <w:tab/>
        <w:t>(1)</w:t>
      </w:r>
      <w:r w:rsidRPr="00883399">
        <w:rPr>
          <w:sz w:val="24"/>
        </w:rPr>
        <w:tab/>
        <w:t xml:space="preserve">For the purpose of calculating the combustion of a liquid fuel from the operation of a facility for a year and, in particular, for </w:t>
      </w:r>
      <w:r w:rsidRPr="00883399">
        <w:rPr>
          <w:b/>
          <w:i/>
          <w:sz w:val="24"/>
        </w:rPr>
        <w:t>Q</w:t>
      </w:r>
      <w:r w:rsidRPr="00883399">
        <w:rPr>
          <w:b/>
          <w:i/>
          <w:sz w:val="24"/>
          <w:vertAlign w:val="subscript"/>
        </w:rPr>
        <w:t>i</w:t>
      </w:r>
      <w:r w:rsidRPr="00883399">
        <w:rPr>
          <w:sz w:val="24"/>
        </w:rPr>
        <w:t xml:space="preserve"> in sections 2.41 </w:t>
      </w:r>
      <w:r w:rsidRPr="00883399">
        <w:rPr>
          <w:sz w:val="24"/>
        </w:rPr>
        <w:lastRenderedPageBreak/>
        <w:t>and 2.42 the combustion must be estimated in accordance with this section.</w:t>
      </w:r>
    </w:p>
    <w:p w14:paraId="74EE1F39" w14:textId="77777777" w:rsidR="00872C03" w:rsidRPr="00883399" w:rsidRDefault="00872C03" w:rsidP="00872C03">
      <w:pPr>
        <w:pStyle w:val="SubsectionHead"/>
        <w:rPr>
          <w:sz w:val="24"/>
        </w:rPr>
      </w:pPr>
      <w:r w:rsidRPr="00883399">
        <w:rPr>
          <w:sz w:val="24"/>
        </w:rPr>
        <w:t>Acquisition involves commercial transaction</w:t>
      </w:r>
    </w:p>
    <w:p w14:paraId="6E30D254" w14:textId="77777777" w:rsidR="00872C03" w:rsidRPr="00883399" w:rsidRDefault="00872C03" w:rsidP="00872C03">
      <w:pPr>
        <w:pStyle w:val="subsection"/>
        <w:rPr>
          <w:sz w:val="24"/>
        </w:rPr>
      </w:pPr>
      <w:r w:rsidRPr="00883399">
        <w:rPr>
          <w:sz w:val="24"/>
        </w:rPr>
        <w:tab/>
        <w:t>(2)</w:t>
      </w:r>
      <w:r w:rsidRPr="00883399">
        <w:rPr>
          <w:sz w:val="24"/>
        </w:rPr>
        <w:tab/>
        <w:t>If the acquisition of the liquid fuel involves a commercial transaction, the quantity of fuel combusted must be estimated using one of the following criteria:</w:t>
      </w:r>
    </w:p>
    <w:p w14:paraId="6201CDD6" w14:textId="77777777" w:rsidR="00872C03" w:rsidRPr="00883399" w:rsidRDefault="00872C03" w:rsidP="00872C03">
      <w:pPr>
        <w:pStyle w:val="paragraph"/>
        <w:rPr>
          <w:sz w:val="24"/>
        </w:rPr>
      </w:pPr>
      <w:r w:rsidRPr="00883399">
        <w:rPr>
          <w:sz w:val="24"/>
        </w:rPr>
        <w:tab/>
        <w:t>(a)</w:t>
      </w:r>
      <w:r w:rsidRPr="00883399">
        <w:rPr>
          <w:sz w:val="24"/>
        </w:rPr>
        <w:tab/>
        <w:t>the amount of the liquid fuel delivered for the facility during the year as evidenced by invoices issued by the vendor of the fuel (</w:t>
      </w:r>
      <w:r w:rsidRPr="00883399">
        <w:rPr>
          <w:b/>
          <w:bCs/>
          <w:i/>
          <w:iCs/>
          <w:sz w:val="24"/>
        </w:rPr>
        <w:t>criterion A</w:t>
      </w:r>
      <w:r w:rsidRPr="00883399">
        <w:rPr>
          <w:sz w:val="24"/>
        </w:rPr>
        <w:t>);</w:t>
      </w:r>
    </w:p>
    <w:p w14:paraId="7A42652D" w14:textId="77777777" w:rsidR="00872C03" w:rsidRPr="00883399" w:rsidRDefault="00872C03" w:rsidP="00872C03">
      <w:pPr>
        <w:pStyle w:val="paragraph"/>
        <w:rPr>
          <w:sz w:val="24"/>
        </w:rPr>
      </w:pPr>
      <w:r w:rsidRPr="00883399">
        <w:rPr>
          <w:sz w:val="24"/>
        </w:rPr>
        <w:tab/>
        <w:t>(b)</w:t>
      </w:r>
      <w:r w:rsidRPr="00883399">
        <w:rPr>
          <w:sz w:val="24"/>
        </w:rPr>
        <w:tab/>
        <w:t>as provided in section 2.51 (</w:t>
      </w:r>
      <w:r w:rsidRPr="00883399">
        <w:rPr>
          <w:b/>
          <w:bCs/>
          <w:i/>
          <w:iCs/>
          <w:sz w:val="24"/>
        </w:rPr>
        <w:t>criterion AA</w:t>
      </w:r>
      <w:r w:rsidRPr="00883399">
        <w:rPr>
          <w:sz w:val="24"/>
        </w:rPr>
        <w:t>);</w:t>
      </w:r>
    </w:p>
    <w:p w14:paraId="603078C4" w14:textId="77777777" w:rsidR="00872C03" w:rsidRPr="00883399" w:rsidRDefault="00872C03" w:rsidP="00872C03">
      <w:pPr>
        <w:pStyle w:val="paragraph"/>
        <w:rPr>
          <w:sz w:val="24"/>
        </w:rPr>
      </w:pPr>
      <w:r w:rsidRPr="00883399">
        <w:rPr>
          <w:sz w:val="24"/>
        </w:rPr>
        <w:tab/>
        <w:t>(c)</w:t>
      </w:r>
      <w:r w:rsidRPr="00883399">
        <w:rPr>
          <w:sz w:val="24"/>
        </w:rPr>
        <w:tab/>
        <w:t>as provided in section 2.52 (</w:t>
      </w:r>
      <w:r w:rsidRPr="00883399">
        <w:rPr>
          <w:b/>
          <w:bCs/>
          <w:i/>
          <w:iCs/>
          <w:sz w:val="24"/>
        </w:rPr>
        <w:t>criterion AAA</w:t>
      </w:r>
      <w:r w:rsidRPr="00883399">
        <w:rPr>
          <w:sz w:val="24"/>
        </w:rPr>
        <w:t>).</w:t>
      </w:r>
    </w:p>
    <w:p w14:paraId="3E95D623" w14:textId="77777777" w:rsidR="00872C03" w:rsidRPr="00883399" w:rsidRDefault="00872C03" w:rsidP="00872C03">
      <w:pPr>
        <w:pStyle w:val="subsection"/>
        <w:rPr>
          <w:sz w:val="24"/>
        </w:rPr>
      </w:pPr>
      <w:r w:rsidRPr="00883399">
        <w:rPr>
          <w:sz w:val="24"/>
        </w:rPr>
        <w:tab/>
        <w:t>(3)</w:t>
      </w:r>
      <w:r w:rsidRPr="00883399">
        <w:rPr>
          <w:sz w:val="24"/>
        </w:rPr>
        <w:tab/>
        <w:t>If, during a year, criterion AA, or criterion AAA using paragraph 2.52(2)(a), is used to estimate the quantity of fuel combusted then, in each year following that year, only criterion AA, or criterion AAA using paragraph 2.52(2)(a), (respectively) may be used.</w:t>
      </w:r>
    </w:p>
    <w:p w14:paraId="1544DBE0" w14:textId="77777777" w:rsidR="00872C03" w:rsidRPr="00883399" w:rsidRDefault="00872C03" w:rsidP="00872C03">
      <w:pPr>
        <w:pStyle w:val="SubsectionHead"/>
        <w:rPr>
          <w:sz w:val="24"/>
        </w:rPr>
      </w:pPr>
      <w:r w:rsidRPr="00883399">
        <w:rPr>
          <w:sz w:val="24"/>
        </w:rPr>
        <w:t>Acquisition does not involve commercial transaction</w:t>
      </w:r>
    </w:p>
    <w:p w14:paraId="0DB3EE14" w14:textId="77777777" w:rsidR="00872C03" w:rsidRPr="00883399" w:rsidRDefault="00872C03" w:rsidP="00872C03">
      <w:pPr>
        <w:pStyle w:val="subsection"/>
        <w:rPr>
          <w:sz w:val="24"/>
        </w:rPr>
      </w:pPr>
      <w:r w:rsidRPr="00883399">
        <w:rPr>
          <w:sz w:val="24"/>
        </w:rPr>
        <w:tab/>
        <w:t>(4)</w:t>
      </w:r>
      <w:r w:rsidRPr="00883399">
        <w:rPr>
          <w:sz w:val="24"/>
        </w:rPr>
        <w:tab/>
        <w:t xml:space="preserve">If the acquisition of the liquid fuel does not involve a commercial transaction, the quantity of fuel combusted must be estimated using one of the following criteria: </w:t>
      </w:r>
    </w:p>
    <w:p w14:paraId="4AC1369A" w14:textId="77777777" w:rsidR="00872C03" w:rsidRPr="00883399" w:rsidRDefault="00872C03" w:rsidP="00872C03">
      <w:pPr>
        <w:pStyle w:val="paragraph"/>
        <w:rPr>
          <w:sz w:val="24"/>
        </w:rPr>
      </w:pPr>
      <w:r w:rsidRPr="00883399">
        <w:rPr>
          <w:sz w:val="24"/>
        </w:rPr>
        <w:tab/>
        <w:t>(a)</w:t>
      </w:r>
      <w:r w:rsidRPr="00883399">
        <w:rPr>
          <w:sz w:val="24"/>
        </w:rPr>
        <w:tab/>
        <w:t>as provided in paragraph 2.52(2)(a) (</w:t>
      </w:r>
      <w:r w:rsidRPr="00883399">
        <w:rPr>
          <w:b/>
          <w:bCs/>
          <w:i/>
          <w:iCs/>
          <w:sz w:val="24"/>
        </w:rPr>
        <w:t>criterion AAA</w:t>
      </w:r>
      <w:r w:rsidRPr="00883399">
        <w:rPr>
          <w:sz w:val="24"/>
        </w:rPr>
        <w:t>);</w:t>
      </w:r>
    </w:p>
    <w:p w14:paraId="71589AC4" w14:textId="77777777" w:rsidR="00872C03" w:rsidRPr="00883399" w:rsidRDefault="00872C03" w:rsidP="00872C03">
      <w:pPr>
        <w:pStyle w:val="paragraph"/>
        <w:rPr>
          <w:sz w:val="24"/>
        </w:rPr>
      </w:pPr>
      <w:r w:rsidRPr="00883399">
        <w:rPr>
          <w:sz w:val="24"/>
        </w:rPr>
        <w:tab/>
        <w:t>(b)</w:t>
      </w:r>
      <w:r w:rsidRPr="00883399">
        <w:rPr>
          <w:sz w:val="24"/>
        </w:rPr>
        <w:tab/>
        <w:t>as provided in section 2.53 (</w:t>
      </w:r>
      <w:r w:rsidRPr="00883399">
        <w:rPr>
          <w:b/>
          <w:i/>
          <w:sz w:val="24"/>
        </w:rPr>
        <w:t>criterion BBB</w:t>
      </w:r>
      <w:r w:rsidRPr="00883399">
        <w:rPr>
          <w:sz w:val="24"/>
        </w:rPr>
        <w:t>).</w:t>
      </w:r>
    </w:p>
    <w:p w14:paraId="6F3655D3" w14:textId="19E08E34" w:rsidR="00872C03" w:rsidRPr="00883399" w:rsidRDefault="00872C03" w:rsidP="00872C03">
      <w:pPr>
        <w:pStyle w:val="ActHead5"/>
        <w:rPr>
          <w:sz w:val="28"/>
        </w:rPr>
      </w:pPr>
      <w:bookmarkStart w:id="344" w:name="_Toc423516819"/>
      <w:bookmarkStart w:id="345" w:name="_Toc495652739"/>
      <w:r w:rsidRPr="00883399">
        <w:rPr>
          <w:rStyle w:val="CharSectno"/>
          <w:sz w:val="28"/>
        </w:rPr>
        <w:t>2.51</w:t>
      </w:r>
      <w:r w:rsidRPr="00883399">
        <w:rPr>
          <w:sz w:val="28"/>
        </w:rPr>
        <w:t xml:space="preserve">  Indirect measurement—criterion AA</w:t>
      </w:r>
      <w:bookmarkEnd w:id="344"/>
      <w:bookmarkEnd w:id="345"/>
    </w:p>
    <w:p w14:paraId="12876CFA" w14:textId="77777777" w:rsidR="00872C03" w:rsidRPr="00883399" w:rsidRDefault="00872C03" w:rsidP="00872C03">
      <w:pPr>
        <w:pStyle w:val="subsection"/>
        <w:rPr>
          <w:sz w:val="24"/>
        </w:rPr>
      </w:pPr>
      <w:r w:rsidRPr="00883399">
        <w:rPr>
          <w:sz w:val="24"/>
        </w:rPr>
        <w:tab/>
      </w:r>
      <w:r w:rsidRPr="00883399">
        <w:rPr>
          <w:sz w:val="24"/>
        </w:rPr>
        <w:tab/>
        <w:t>For paragraph 2.50(2)(b), criterion AA is the amount of the liquid fuel combusted from the operation of the facility during the year based on amounts delivered during the year (evidenced by invoices) as adjusted for the estimated change in the quantity of the stockpile of the fuel for the facility during the year.</w:t>
      </w:r>
    </w:p>
    <w:p w14:paraId="706C66E5" w14:textId="72343A6C" w:rsidR="00872C03" w:rsidRPr="00883399" w:rsidRDefault="00872C03" w:rsidP="00872C03">
      <w:pPr>
        <w:pStyle w:val="ActHead5"/>
        <w:rPr>
          <w:sz w:val="28"/>
        </w:rPr>
      </w:pPr>
      <w:bookmarkStart w:id="346" w:name="_Toc423516820"/>
      <w:bookmarkStart w:id="347" w:name="_Toc495652740"/>
      <w:r w:rsidRPr="00883399">
        <w:rPr>
          <w:rStyle w:val="CharSectno"/>
          <w:sz w:val="28"/>
        </w:rPr>
        <w:t>2.52</w:t>
      </w:r>
      <w:r w:rsidRPr="00883399">
        <w:rPr>
          <w:sz w:val="28"/>
        </w:rPr>
        <w:t xml:space="preserve">  Direct measurement—criterion AAA</w:t>
      </w:r>
      <w:bookmarkEnd w:id="346"/>
      <w:bookmarkEnd w:id="347"/>
    </w:p>
    <w:p w14:paraId="09B44240" w14:textId="77777777" w:rsidR="00872C03" w:rsidRPr="00883399" w:rsidRDefault="00872C03" w:rsidP="00872C03">
      <w:pPr>
        <w:pStyle w:val="subsection"/>
        <w:rPr>
          <w:sz w:val="24"/>
        </w:rPr>
      </w:pPr>
      <w:r w:rsidRPr="00883399">
        <w:rPr>
          <w:sz w:val="24"/>
        </w:rPr>
        <w:tab/>
        <w:t>(1)</w:t>
      </w:r>
      <w:r w:rsidRPr="00883399">
        <w:rPr>
          <w:sz w:val="24"/>
        </w:rPr>
        <w:tab/>
        <w:t>For paragraph  2.50(2)(c), criterion AAA is the measurement during the year of the liquid fuel combusted from the operation of the facility.</w:t>
      </w:r>
    </w:p>
    <w:p w14:paraId="635E49D2" w14:textId="77777777" w:rsidR="00872C03" w:rsidRPr="00883399" w:rsidRDefault="00872C03" w:rsidP="00872C03">
      <w:pPr>
        <w:pStyle w:val="subsection"/>
        <w:rPr>
          <w:sz w:val="24"/>
        </w:rPr>
      </w:pPr>
      <w:r w:rsidRPr="00883399">
        <w:rPr>
          <w:sz w:val="24"/>
        </w:rPr>
        <w:tab/>
        <w:t>(2)</w:t>
      </w:r>
      <w:r w:rsidRPr="00883399">
        <w:rPr>
          <w:sz w:val="24"/>
        </w:rPr>
        <w:tab/>
        <w:t>The measurement must be carried out:</w:t>
      </w:r>
    </w:p>
    <w:p w14:paraId="3342DC73" w14:textId="77777777" w:rsidR="00872C03" w:rsidRPr="00883399" w:rsidRDefault="00872C03" w:rsidP="00872C03">
      <w:pPr>
        <w:pStyle w:val="paragraph"/>
        <w:rPr>
          <w:sz w:val="24"/>
        </w:rPr>
      </w:pPr>
      <w:r w:rsidRPr="00883399">
        <w:rPr>
          <w:sz w:val="24"/>
        </w:rPr>
        <w:tab/>
        <w:t>(a)</w:t>
      </w:r>
      <w:r w:rsidRPr="00883399">
        <w:rPr>
          <w:sz w:val="24"/>
        </w:rPr>
        <w:tab/>
        <w:t>at the point of combustion at ambient temperatures and converted to standard temperatures, using measuring equipment calibrated to a measurement requirement; or</w:t>
      </w:r>
    </w:p>
    <w:p w14:paraId="270FF57B" w14:textId="77777777" w:rsidR="00872C03" w:rsidRPr="00883399" w:rsidRDefault="00872C03" w:rsidP="00872C03">
      <w:pPr>
        <w:pStyle w:val="paragraph"/>
        <w:rPr>
          <w:sz w:val="24"/>
        </w:rPr>
      </w:pPr>
      <w:r w:rsidRPr="00883399">
        <w:rPr>
          <w:sz w:val="24"/>
        </w:rPr>
        <w:lastRenderedPageBreak/>
        <w:tab/>
        <w:t>(b)</w:t>
      </w:r>
      <w:r w:rsidRPr="00883399">
        <w:rPr>
          <w:sz w:val="24"/>
        </w:rPr>
        <w:tab/>
        <w:t>at ambient temperatures and converted to standard temperatures, at the point of sale of the liquid fuel, using measuring equipment calibrated to a measurement requirement.</w:t>
      </w:r>
    </w:p>
    <w:p w14:paraId="2A493106" w14:textId="77777777" w:rsidR="00872C03" w:rsidRPr="00883399" w:rsidRDefault="00872C03" w:rsidP="00872C03">
      <w:pPr>
        <w:pStyle w:val="subsection"/>
        <w:rPr>
          <w:sz w:val="24"/>
        </w:rPr>
      </w:pPr>
      <w:r w:rsidRPr="00883399">
        <w:rPr>
          <w:sz w:val="24"/>
        </w:rPr>
        <w:tab/>
        <w:t>(3)</w:t>
      </w:r>
      <w:r w:rsidRPr="00883399">
        <w:rPr>
          <w:sz w:val="24"/>
        </w:rPr>
        <w:tab/>
        <w:t>Paragraph (2)(b) only applies if:</w:t>
      </w:r>
    </w:p>
    <w:p w14:paraId="54EA75A4" w14:textId="77777777" w:rsidR="00872C03" w:rsidRPr="00883399" w:rsidRDefault="00872C03" w:rsidP="00872C03">
      <w:pPr>
        <w:pStyle w:val="paragraph"/>
        <w:rPr>
          <w:sz w:val="24"/>
        </w:rPr>
      </w:pPr>
      <w:r w:rsidRPr="00883399">
        <w:rPr>
          <w:sz w:val="24"/>
        </w:rPr>
        <w:tab/>
        <w:t>(a)</w:t>
      </w:r>
      <w:r w:rsidRPr="00883399">
        <w:rPr>
          <w:sz w:val="24"/>
        </w:rPr>
        <w:tab/>
        <w:t>the change in the stockpile of fuel for the facility for the year is less than 1% of total combustion on average for the facility during the year; and</w:t>
      </w:r>
    </w:p>
    <w:p w14:paraId="41AFF2D7" w14:textId="77777777" w:rsidR="00872C03" w:rsidRPr="00883399" w:rsidRDefault="00872C03" w:rsidP="00872C03">
      <w:pPr>
        <w:pStyle w:val="paragraph"/>
        <w:rPr>
          <w:sz w:val="24"/>
        </w:rPr>
      </w:pPr>
      <w:r w:rsidRPr="00883399">
        <w:rPr>
          <w:sz w:val="24"/>
        </w:rPr>
        <w:tab/>
        <w:t>(b)</w:t>
      </w:r>
      <w:r w:rsidRPr="00883399">
        <w:rPr>
          <w:sz w:val="24"/>
        </w:rPr>
        <w:tab/>
        <w:t>the stockpile of the fuel for the facility at the beginning of the year is less than 5% of total combustion from the operation of the facility for the year.</w:t>
      </w:r>
    </w:p>
    <w:p w14:paraId="1603E8EA" w14:textId="11E775AA" w:rsidR="00872C03" w:rsidRPr="00883399" w:rsidRDefault="00872C03" w:rsidP="00872C03">
      <w:pPr>
        <w:pStyle w:val="ActHead5"/>
        <w:rPr>
          <w:sz w:val="28"/>
        </w:rPr>
      </w:pPr>
      <w:bookmarkStart w:id="348" w:name="_Toc423516821"/>
      <w:bookmarkStart w:id="349" w:name="_Toc495652741"/>
      <w:r w:rsidRPr="00883399">
        <w:rPr>
          <w:rStyle w:val="CharSectno"/>
          <w:sz w:val="28"/>
        </w:rPr>
        <w:t>2.53</w:t>
      </w:r>
      <w:r w:rsidRPr="00883399">
        <w:rPr>
          <w:sz w:val="28"/>
        </w:rPr>
        <w:t xml:space="preserve">  Simplified consumption measurements—criterion BBB</w:t>
      </w:r>
      <w:bookmarkEnd w:id="348"/>
      <w:bookmarkEnd w:id="349"/>
    </w:p>
    <w:p w14:paraId="2F0B2570" w14:textId="77777777" w:rsidR="00872C03" w:rsidRPr="00883399" w:rsidRDefault="00872C03" w:rsidP="00872C03">
      <w:pPr>
        <w:pStyle w:val="subsection"/>
        <w:rPr>
          <w:sz w:val="24"/>
        </w:rPr>
      </w:pPr>
      <w:r w:rsidRPr="00883399">
        <w:rPr>
          <w:sz w:val="24"/>
        </w:rPr>
        <w:tab/>
      </w:r>
      <w:r w:rsidRPr="00883399">
        <w:rPr>
          <w:sz w:val="24"/>
        </w:rPr>
        <w:tab/>
        <w:t>For paragraph 2.50(4)(b), criterion BBB is the estimation of the combustion of a liquid fuel for the year using accepted industry measuring devices or, in the absence of such measuring devices, in accordance with industry practice if the equipment used to measure consumption of the fuel is not calibrated to a measurement requirement.</w:t>
      </w:r>
    </w:p>
    <w:p w14:paraId="59A7F7A7" w14:textId="7F3AA96B" w:rsidR="00872C03" w:rsidRPr="00883399" w:rsidRDefault="00872C03" w:rsidP="00872C03">
      <w:pPr>
        <w:pStyle w:val="ActHead2"/>
        <w:pageBreakBefore/>
        <w:rPr>
          <w:sz w:val="36"/>
        </w:rPr>
      </w:pPr>
      <w:bookmarkStart w:id="350" w:name="_Toc423516822"/>
      <w:bookmarkStart w:id="351" w:name="_Toc495652742"/>
      <w:r w:rsidRPr="00883399">
        <w:rPr>
          <w:rStyle w:val="CharPartNo"/>
          <w:sz w:val="36"/>
        </w:rPr>
        <w:lastRenderedPageBreak/>
        <w:t>Part 2.5</w:t>
      </w:r>
      <w:r w:rsidRPr="00883399">
        <w:rPr>
          <w:sz w:val="36"/>
        </w:rPr>
        <w:t>—</w:t>
      </w:r>
      <w:r w:rsidRPr="00883399">
        <w:rPr>
          <w:rStyle w:val="CharPartText"/>
          <w:sz w:val="36"/>
        </w:rPr>
        <w:t>Emissions released from fuel use by certain industries</w:t>
      </w:r>
      <w:bookmarkEnd w:id="350"/>
      <w:bookmarkEnd w:id="351"/>
    </w:p>
    <w:p w14:paraId="1BD4A3D4" w14:textId="1FFAF369" w:rsidR="00872C03" w:rsidRPr="00883399" w:rsidRDefault="00872C03" w:rsidP="00872C03">
      <w:pPr>
        <w:pStyle w:val="ActHead5"/>
        <w:rPr>
          <w:sz w:val="28"/>
        </w:rPr>
      </w:pPr>
      <w:bookmarkStart w:id="352" w:name="_Toc423516823"/>
      <w:bookmarkStart w:id="353" w:name="_Toc495652743"/>
      <w:r w:rsidRPr="00883399">
        <w:rPr>
          <w:rStyle w:val="CharSectno"/>
          <w:sz w:val="28"/>
        </w:rPr>
        <w:t>2.54</w:t>
      </w:r>
      <w:r w:rsidRPr="00883399">
        <w:rPr>
          <w:sz w:val="28"/>
        </w:rPr>
        <w:t xml:space="preserve">  Application</w:t>
      </w:r>
      <w:bookmarkEnd w:id="352"/>
      <w:bookmarkEnd w:id="353"/>
    </w:p>
    <w:p w14:paraId="479DAD8B" w14:textId="77777777" w:rsidR="00872C03" w:rsidRPr="00883399" w:rsidRDefault="00872C03" w:rsidP="00872C03">
      <w:pPr>
        <w:pStyle w:val="subsection"/>
        <w:rPr>
          <w:sz w:val="24"/>
        </w:rPr>
      </w:pPr>
      <w:r w:rsidRPr="00883399">
        <w:rPr>
          <w:sz w:val="24"/>
        </w:rPr>
        <w:tab/>
      </w:r>
      <w:r w:rsidRPr="00883399">
        <w:rPr>
          <w:sz w:val="24"/>
        </w:rPr>
        <w:tab/>
        <w:t>This Part applies to emissions from petroleum refining, solid fuel transformation (coke ovens) and petrochemical production.</w:t>
      </w:r>
    </w:p>
    <w:p w14:paraId="071789D0" w14:textId="20133167" w:rsidR="00872C03" w:rsidRPr="00883399" w:rsidRDefault="00872C03" w:rsidP="00C64E6B">
      <w:pPr>
        <w:pStyle w:val="subsection"/>
        <w:rPr>
          <w:rStyle w:val="CharDivNo"/>
          <w:b/>
          <w:kern w:val="28"/>
          <w:sz w:val="32"/>
        </w:rPr>
      </w:pPr>
      <w:bookmarkStart w:id="354" w:name="_Toc423516824"/>
      <w:r w:rsidRPr="00883399">
        <w:rPr>
          <w:rStyle w:val="CharDivNo"/>
          <w:b/>
          <w:kern w:val="28"/>
          <w:sz w:val="32"/>
        </w:rPr>
        <w:t>Division 2.5.1—Energy—petroleum refining</w:t>
      </w:r>
      <w:bookmarkEnd w:id="354"/>
    </w:p>
    <w:p w14:paraId="2D0E9BA6" w14:textId="1C239B0E" w:rsidR="00872C03" w:rsidRPr="00883399" w:rsidRDefault="00872C03" w:rsidP="00872C03">
      <w:pPr>
        <w:pStyle w:val="ActHead5"/>
        <w:rPr>
          <w:sz w:val="28"/>
        </w:rPr>
      </w:pPr>
      <w:bookmarkStart w:id="355" w:name="_Toc423516825"/>
      <w:bookmarkStart w:id="356" w:name="_Toc495652744"/>
      <w:r w:rsidRPr="00883399">
        <w:rPr>
          <w:rStyle w:val="CharSectno"/>
          <w:sz w:val="28"/>
        </w:rPr>
        <w:t>2.55</w:t>
      </w:r>
      <w:r w:rsidRPr="00883399">
        <w:rPr>
          <w:sz w:val="28"/>
        </w:rPr>
        <w:t xml:space="preserve">  Application</w:t>
      </w:r>
      <w:bookmarkEnd w:id="355"/>
      <w:bookmarkEnd w:id="356"/>
    </w:p>
    <w:p w14:paraId="2475F3CB" w14:textId="77777777" w:rsidR="00872C03" w:rsidRPr="00883399" w:rsidRDefault="00872C03" w:rsidP="00872C03">
      <w:pPr>
        <w:pStyle w:val="subsection"/>
        <w:rPr>
          <w:sz w:val="24"/>
        </w:rPr>
      </w:pPr>
      <w:r w:rsidRPr="00883399">
        <w:rPr>
          <w:sz w:val="24"/>
        </w:rPr>
        <w:tab/>
      </w:r>
      <w:r w:rsidRPr="00883399">
        <w:rPr>
          <w:sz w:val="24"/>
        </w:rPr>
        <w:tab/>
        <w:t>This Division applies to petroleum refining.</w:t>
      </w:r>
    </w:p>
    <w:p w14:paraId="5C1666F8" w14:textId="7836A811" w:rsidR="00872C03" w:rsidRPr="00883399" w:rsidRDefault="00872C03" w:rsidP="00872C03">
      <w:pPr>
        <w:pStyle w:val="ActHead5"/>
        <w:rPr>
          <w:sz w:val="28"/>
        </w:rPr>
      </w:pPr>
      <w:bookmarkStart w:id="357" w:name="_Toc423516826"/>
      <w:bookmarkStart w:id="358" w:name="_Toc495652745"/>
      <w:r w:rsidRPr="00883399">
        <w:rPr>
          <w:rStyle w:val="CharSectno"/>
          <w:sz w:val="28"/>
        </w:rPr>
        <w:t>2.56</w:t>
      </w:r>
      <w:r w:rsidRPr="00883399">
        <w:rPr>
          <w:sz w:val="28"/>
        </w:rPr>
        <w:t xml:space="preserve">  Methods</w:t>
      </w:r>
      <w:bookmarkEnd w:id="357"/>
      <w:bookmarkEnd w:id="358"/>
    </w:p>
    <w:p w14:paraId="62792915" w14:textId="77777777" w:rsidR="00872C03" w:rsidRPr="00883399" w:rsidRDefault="00872C03" w:rsidP="00872C03">
      <w:pPr>
        <w:pStyle w:val="subsection"/>
        <w:rPr>
          <w:sz w:val="24"/>
        </w:rPr>
      </w:pPr>
      <w:r w:rsidRPr="00883399">
        <w:rPr>
          <w:sz w:val="24"/>
        </w:rPr>
        <w:tab/>
        <w:t>(1)</w:t>
      </w:r>
      <w:r w:rsidRPr="00883399">
        <w:rPr>
          <w:sz w:val="24"/>
        </w:rPr>
        <w:tab/>
        <w:t>If:</w:t>
      </w:r>
    </w:p>
    <w:p w14:paraId="5D2A0788" w14:textId="77777777" w:rsidR="00872C03" w:rsidRPr="00883399" w:rsidRDefault="00872C03" w:rsidP="00872C03">
      <w:pPr>
        <w:pStyle w:val="paragraph"/>
        <w:rPr>
          <w:sz w:val="24"/>
        </w:rPr>
      </w:pPr>
      <w:r w:rsidRPr="00883399">
        <w:rPr>
          <w:sz w:val="24"/>
        </w:rPr>
        <w:tab/>
        <w:t>(a)</w:t>
      </w:r>
      <w:r w:rsidRPr="00883399">
        <w:rPr>
          <w:sz w:val="24"/>
        </w:rPr>
        <w:tab/>
        <w:t>the operation of a facility is constituted by petroleum refining; and</w:t>
      </w:r>
    </w:p>
    <w:p w14:paraId="306FE4BE" w14:textId="77777777" w:rsidR="00872C03" w:rsidRPr="00883399" w:rsidRDefault="00872C03" w:rsidP="00872C03">
      <w:pPr>
        <w:pStyle w:val="paragraph"/>
        <w:rPr>
          <w:sz w:val="24"/>
        </w:rPr>
      </w:pPr>
      <w:r w:rsidRPr="00883399">
        <w:rPr>
          <w:sz w:val="24"/>
        </w:rPr>
        <w:tab/>
        <w:t>(b)</w:t>
      </w:r>
      <w:r w:rsidRPr="00883399">
        <w:rPr>
          <w:sz w:val="24"/>
        </w:rPr>
        <w:tab/>
        <w:t>the refinery combusts fuels for energy;</w:t>
      </w:r>
    </w:p>
    <w:p w14:paraId="4FA71BEC" w14:textId="77777777" w:rsidR="00872C03" w:rsidRPr="00883399" w:rsidRDefault="00872C03" w:rsidP="00872C03">
      <w:pPr>
        <w:pStyle w:val="subsection2"/>
        <w:rPr>
          <w:sz w:val="24"/>
        </w:rPr>
      </w:pPr>
      <w:r w:rsidRPr="00883399">
        <w:rPr>
          <w:sz w:val="24"/>
        </w:rPr>
        <w:t>then the methods for estimating emissions during a year from that combustion are as provided in Parts 2.2, 2.3 and 2.4.</w:t>
      </w:r>
    </w:p>
    <w:p w14:paraId="58E710D6" w14:textId="77777777" w:rsidR="00872C03" w:rsidRPr="00883399" w:rsidRDefault="00872C03" w:rsidP="00872C03">
      <w:pPr>
        <w:pStyle w:val="subsection"/>
        <w:rPr>
          <w:sz w:val="24"/>
        </w:rPr>
      </w:pPr>
      <w:r w:rsidRPr="00883399">
        <w:rPr>
          <w:sz w:val="24"/>
        </w:rPr>
        <w:tab/>
        <w:t>(2)</w:t>
      </w:r>
      <w:r w:rsidRPr="00883399">
        <w:rPr>
          <w:sz w:val="24"/>
        </w:rPr>
        <w:tab/>
        <w:t>The method for estimating emissions from the production of hydrogen by the petroleum refinery must be in accordance with the method set out in section 5 of the API Compendium.</w:t>
      </w:r>
    </w:p>
    <w:p w14:paraId="337DD55C" w14:textId="77777777" w:rsidR="00872C03" w:rsidRPr="00883399" w:rsidRDefault="00872C03" w:rsidP="00872C03">
      <w:pPr>
        <w:pStyle w:val="subsection"/>
        <w:rPr>
          <w:sz w:val="24"/>
        </w:rPr>
      </w:pPr>
      <w:r w:rsidRPr="00883399">
        <w:rPr>
          <w:sz w:val="24"/>
        </w:rPr>
        <w:tab/>
        <w:t>(3)</w:t>
      </w:r>
      <w:r w:rsidRPr="00883399">
        <w:rPr>
          <w:sz w:val="24"/>
        </w:rPr>
        <w:tab/>
        <w:t>Fugitive emissions released from the petroleum refinery must be estimated using methods provided for in Chapter 3.</w:t>
      </w:r>
    </w:p>
    <w:p w14:paraId="7D6EE84F" w14:textId="59744547" w:rsidR="00872C03" w:rsidRPr="00883399" w:rsidRDefault="00872C03" w:rsidP="00C64E6B">
      <w:pPr>
        <w:pStyle w:val="subsection"/>
        <w:rPr>
          <w:rStyle w:val="CharDivNo"/>
          <w:b/>
          <w:kern w:val="28"/>
          <w:sz w:val="32"/>
        </w:rPr>
      </w:pPr>
      <w:bookmarkStart w:id="359" w:name="_Toc423516827"/>
      <w:r w:rsidRPr="00883399">
        <w:rPr>
          <w:rStyle w:val="CharDivNo"/>
          <w:b/>
          <w:kern w:val="28"/>
          <w:sz w:val="32"/>
        </w:rPr>
        <w:t>Division 2.5.2—Energy—manufacture of solid fuels</w:t>
      </w:r>
      <w:bookmarkEnd w:id="359"/>
    </w:p>
    <w:p w14:paraId="22D32041" w14:textId="78F644BE" w:rsidR="00872C03" w:rsidRPr="00883399" w:rsidRDefault="00872C03" w:rsidP="00872C03">
      <w:pPr>
        <w:pStyle w:val="ActHead5"/>
        <w:rPr>
          <w:sz w:val="28"/>
        </w:rPr>
      </w:pPr>
      <w:bookmarkStart w:id="360" w:name="_Toc423516828"/>
      <w:bookmarkStart w:id="361" w:name="_Toc495652746"/>
      <w:r w:rsidRPr="00883399">
        <w:rPr>
          <w:rStyle w:val="CharSectno"/>
          <w:sz w:val="28"/>
        </w:rPr>
        <w:t>2.57</w:t>
      </w:r>
      <w:r w:rsidRPr="00883399">
        <w:rPr>
          <w:sz w:val="28"/>
        </w:rPr>
        <w:t xml:space="preserve">  Application</w:t>
      </w:r>
      <w:bookmarkEnd w:id="360"/>
      <w:bookmarkEnd w:id="361"/>
    </w:p>
    <w:p w14:paraId="18891357" w14:textId="77777777" w:rsidR="00872C03" w:rsidRPr="00883399" w:rsidRDefault="00872C03" w:rsidP="00872C03">
      <w:pPr>
        <w:pStyle w:val="subsection"/>
        <w:rPr>
          <w:sz w:val="24"/>
        </w:rPr>
      </w:pPr>
      <w:r w:rsidRPr="00883399">
        <w:rPr>
          <w:sz w:val="24"/>
        </w:rPr>
        <w:tab/>
      </w:r>
      <w:r w:rsidRPr="00883399">
        <w:rPr>
          <w:sz w:val="24"/>
        </w:rPr>
        <w:tab/>
        <w:t>This Division applies to solid fuel transformation through the pyrolysis of coal or the coal briquette process.</w:t>
      </w:r>
    </w:p>
    <w:p w14:paraId="5DB7AD25" w14:textId="51E5F464" w:rsidR="00872C03" w:rsidRPr="00883399" w:rsidRDefault="00872C03" w:rsidP="00872C03">
      <w:pPr>
        <w:pStyle w:val="ActHead5"/>
        <w:rPr>
          <w:sz w:val="28"/>
        </w:rPr>
      </w:pPr>
      <w:bookmarkStart w:id="362" w:name="_Toc423516829"/>
      <w:bookmarkStart w:id="363" w:name="_Toc495652747"/>
      <w:r w:rsidRPr="00883399">
        <w:rPr>
          <w:rStyle w:val="CharSectno"/>
          <w:sz w:val="28"/>
        </w:rPr>
        <w:t>2.58</w:t>
      </w:r>
      <w:r w:rsidRPr="00883399">
        <w:rPr>
          <w:sz w:val="28"/>
        </w:rPr>
        <w:t xml:space="preserve">  Methods</w:t>
      </w:r>
      <w:bookmarkEnd w:id="362"/>
      <w:bookmarkEnd w:id="363"/>
    </w:p>
    <w:p w14:paraId="6A7A5BA6" w14:textId="77777777" w:rsidR="00872C03" w:rsidRPr="00883399" w:rsidRDefault="00872C03" w:rsidP="00872C03">
      <w:pPr>
        <w:pStyle w:val="subsection"/>
        <w:rPr>
          <w:sz w:val="24"/>
        </w:rPr>
      </w:pPr>
      <w:r w:rsidRPr="00883399">
        <w:rPr>
          <w:sz w:val="24"/>
        </w:rPr>
        <w:tab/>
        <w:t>(1)</w:t>
      </w:r>
      <w:r w:rsidRPr="00883399">
        <w:rPr>
          <w:sz w:val="24"/>
        </w:rPr>
        <w:tab/>
        <w:t>One or more of the following methods must be used for estimating emissions during the year from combustion of fuels for energy in the manufacture of solid fuels:</w:t>
      </w:r>
    </w:p>
    <w:p w14:paraId="731AEF21" w14:textId="77777777" w:rsidR="00872C03" w:rsidRPr="00883399" w:rsidRDefault="00872C03" w:rsidP="00872C03">
      <w:pPr>
        <w:pStyle w:val="paragraph"/>
        <w:rPr>
          <w:sz w:val="24"/>
        </w:rPr>
      </w:pPr>
      <w:r w:rsidRPr="00883399">
        <w:rPr>
          <w:sz w:val="24"/>
        </w:rPr>
        <w:tab/>
        <w:t>(a)</w:t>
      </w:r>
      <w:r w:rsidRPr="00883399">
        <w:rPr>
          <w:sz w:val="24"/>
        </w:rPr>
        <w:tab/>
        <w:t>if a facility is constituted by the manufacture of solid fuel using coke ovens as part of an integrated metalworks—the methods provided in Part 4.4 must be used; and</w:t>
      </w:r>
    </w:p>
    <w:p w14:paraId="6B54C08B" w14:textId="77777777" w:rsidR="00872C03" w:rsidRPr="00883399" w:rsidRDefault="00872C03" w:rsidP="00872C03">
      <w:pPr>
        <w:pStyle w:val="paragraph"/>
        <w:rPr>
          <w:sz w:val="24"/>
        </w:rPr>
      </w:pPr>
      <w:r w:rsidRPr="00883399">
        <w:rPr>
          <w:sz w:val="24"/>
        </w:rPr>
        <w:lastRenderedPageBreak/>
        <w:tab/>
        <w:t>(b)</w:t>
      </w:r>
      <w:r w:rsidRPr="00883399">
        <w:rPr>
          <w:sz w:val="24"/>
        </w:rPr>
        <w:tab/>
        <w:t>in any other case—one of the following methods must be used:</w:t>
      </w:r>
    </w:p>
    <w:p w14:paraId="2D6B8291" w14:textId="77777777" w:rsidR="00872C03" w:rsidRPr="00883399" w:rsidRDefault="00872C03" w:rsidP="00872C03">
      <w:pPr>
        <w:pStyle w:val="paragraphsub"/>
        <w:rPr>
          <w:sz w:val="24"/>
        </w:rPr>
      </w:pPr>
      <w:r w:rsidRPr="00883399">
        <w:rPr>
          <w:sz w:val="24"/>
        </w:rPr>
        <w:tab/>
        <w:t>(i)</w:t>
      </w:r>
      <w:r w:rsidRPr="00883399">
        <w:rPr>
          <w:sz w:val="24"/>
        </w:rPr>
        <w:tab/>
        <w:t>method 1 under subsection (3);</w:t>
      </w:r>
    </w:p>
    <w:p w14:paraId="107CC813" w14:textId="77777777" w:rsidR="00872C03" w:rsidRPr="00883399" w:rsidRDefault="00872C03" w:rsidP="00872C03">
      <w:pPr>
        <w:pStyle w:val="paragraphsub"/>
        <w:rPr>
          <w:sz w:val="24"/>
        </w:rPr>
      </w:pPr>
      <w:r w:rsidRPr="00883399">
        <w:rPr>
          <w:sz w:val="24"/>
        </w:rPr>
        <w:tab/>
        <w:t>(ii)</w:t>
      </w:r>
      <w:r w:rsidRPr="00883399">
        <w:rPr>
          <w:sz w:val="24"/>
        </w:rPr>
        <w:tab/>
        <w:t>method 2 under subsections (4) to (7);</w:t>
      </w:r>
    </w:p>
    <w:p w14:paraId="1E143AC0" w14:textId="77777777" w:rsidR="00872C03" w:rsidRPr="00883399" w:rsidRDefault="00872C03" w:rsidP="00872C03">
      <w:pPr>
        <w:pStyle w:val="paragraphsub"/>
        <w:rPr>
          <w:sz w:val="24"/>
        </w:rPr>
      </w:pPr>
      <w:r w:rsidRPr="00883399">
        <w:rPr>
          <w:sz w:val="24"/>
        </w:rPr>
        <w:tab/>
        <w:t>(iii)</w:t>
      </w:r>
      <w:r w:rsidRPr="00883399">
        <w:rPr>
          <w:sz w:val="24"/>
        </w:rPr>
        <w:tab/>
        <w:t>method 3 under subsections (8) to (10);</w:t>
      </w:r>
    </w:p>
    <w:p w14:paraId="091E93EC" w14:textId="77777777" w:rsidR="00872C03" w:rsidRPr="00883399" w:rsidRDefault="00872C03" w:rsidP="00872C03">
      <w:pPr>
        <w:pStyle w:val="paragraphsub"/>
        <w:rPr>
          <w:sz w:val="24"/>
        </w:rPr>
      </w:pPr>
      <w:r w:rsidRPr="00883399">
        <w:rPr>
          <w:sz w:val="24"/>
        </w:rPr>
        <w:tab/>
        <w:t>(iv)</w:t>
      </w:r>
      <w:r w:rsidRPr="00883399">
        <w:rPr>
          <w:sz w:val="24"/>
        </w:rPr>
        <w:tab/>
        <w:t>method 4 under Part 1.3.</w:t>
      </w:r>
    </w:p>
    <w:p w14:paraId="751D72BD" w14:textId="77777777" w:rsidR="00872C03" w:rsidRPr="00883399" w:rsidRDefault="00872C03" w:rsidP="00872C03">
      <w:pPr>
        <w:pStyle w:val="subsection"/>
        <w:rPr>
          <w:sz w:val="24"/>
        </w:rPr>
      </w:pPr>
      <w:r w:rsidRPr="00883399">
        <w:rPr>
          <w:sz w:val="24"/>
        </w:rPr>
        <w:tab/>
        <w:t>(2)</w:t>
      </w:r>
      <w:r w:rsidRPr="00883399">
        <w:rPr>
          <w:sz w:val="24"/>
        </w:rPr>
        <w:tab/>
        <w:t>These emissions are taken to be emissions from fuel combustion.</w:t>
      </w:r>
    </w:p>
    <w:p w14:paraId="05C7AABC" w14:textId="77777777" w:rsidR="00872C03" w:rsidRPr="00883399" w:rsidRDefault="00872C03" w:rsidP="00872C03">
      <w:pPr>
        <w:pStyle w:val="SubsectionHead"/>
        <w:rPr>
          <w:sz w:val="24"/>
        </w:rPr>
      </w:pPr>
      <w:r w:rsidRPr="00883399">
        <w:rPr>
          <w:sz w:val="24"/>
        </w:rPr>
        <w:t>Method 1</w:t>
      </w:r>
    </w:p>
    <w:p w14:paraId="57ED9B54" w14:textId="77777777" w:rsidR="00872C03" w:rsidRPr="00883399" w:rsidRDefault="00872C03" w:rsidP="00872C03">
      <w:pPr>
        <w:pStyle w:val="subsection"/>
        <w:spacing w:after="60"/>
        <w:rPr>
          <w:sz w:val="24"/>
        </w:rPr>
      </w:pPr>
      <w:r w:rsidRPr="00883399">
        <w:rPr>
          <w:sz w:val="24"/>
        </w:rPr>
        <w:tab/>
        <w:t>(3)</w:t>
      </w:r>
      <w:r w:rsidRPr="00883399">
        <w:rPr>
          <w:sz w:val="24"/>
        </w:rPr>
        <w:tab/>
        <w:t>Method 1, based on a carbon mass balance approach, is:</w:t>
      </w:r>
    </w:p>
    <w:tbl>
      <w:tblPr>
        <w:tblW w:w="7559" w:type="dxa"/>
        <w:tblInd w:w="1018" w:type="dxa"/>
        <w:tblLayout w:type="fixed"/>
        <w:tblLook w:val="04A0" w:firstRow="1" w:lastRow="0" w:firstColumn="1" w:lastColumn="0" w:noHBand="0" w:noVBand="1"/>
      </w:tblPr>
      <w:tblGrid>
        <w:gridCol w:w="826"/>
        <w:gridCol w:w="6733"/>
      </w:tblGrid>
      <w:tr w:rsidR="00872C03" w:rsidRPr="00883399" w14:paraId="7723B19C" w14:textId="77777777" w:rsidTr="0031057E">
        <w:trPr>
          <w:cantSplit/>
          <w:trHeight w:val="1242"/>
        </w:trPr>
        <w:tc>
          <w:tcPr>
            <w:tcW w:w="826" w:type="dxa"/>
            <w:hideMark/>
          </w:tcPr>
          <w:p w14:paraId="516CC5B9" w14:textId="77777777" w:rsidR="00872C03" w:rsidRPr="00883399" w:rsidRDefault="00872C03" w:rsidP="0031057E">
            <w:pPr>
              <w:pStyle w:val="Tabletext0"/>
              <w:keepNext/>
              <w:keepLines/>
              <w:rPr>
                <w:sz w:val="24"/>
                <w:szCs w:val="22"/>
              </w:rPr>
            </w:pPr>
            <w:r w:rsidRPr="00883399">
              <w:rPr>
                <w:sz w:val="24"/>
                <w:szCs w:val="22"/>
              </w:rPr>
              <w:t>Step 1</w:t>
            </w:r>
          </w:p>
        </w:tc>
        <w:tc>
          <w:tcPr>
            <w:tcW w:w="6733" w:type="dxa"/>
            <w:hideMark/>
          </w:tcPr>
          <w:p w14:paraId="54EA2CBD" w14:textId="77777777" w:rsidR="00872C03" w:rsidRPr="00883399" w:rsidRDefault="00872C03" w:rsidP="0031057E">
            <w:pPr>
              <w:pStyle w:val="Tabletext0"/>
              <w:keepNext/>
              <w:keepLines/>
              <w:rPr>
                <w:sz w:val="24"/>
                <w:szCs w:val="22"/>
              </w:rPr>
            </w:pPr>
            <w:r w:rsidRPr="00883399">
              <w:rPr>
                <w:sz w:val="24"/>
                <w:szCs w:val="22"/>
              </w:rPr>
              <w:t>Work out the carbon content in fuel types (i) or carbonaceous input material delivered for the activity during the year, measured in tonnes of carbon, as follows:</w:t>
            </w:r>
          </w:p>
          <w:p w14:paraId="36C32308" w14:textId="5D396F2D" w:rsidR="00872C03" w:rsidRPr="00883399" w:rsidRDefault="00872C03" w:rsidP="0031057E">
            <w:pPr>
              <w:pStyle w:val="Tabletext0"/>
              <w:keepNext/>
              <w:keepLines/>
              <w:rPr>
                <w:sz w:val="24"/>
                <w:szCs w:val="22"/>
              </w:rPr>
            </w:pPr>
            <w:r w:rsidRPr="00883399">
              <w:rPr>
                <w:noProof/>
                <w:sz w:val="24"/>
                <w:szCs w:val="22"/>
              </w:rPr>
              <w:drawing>
                <wp:inline distT="0" distB="0" distL="0" distR="0" wp14:anchorId="5C8193C3" wp14:editId="720E8B49">
                  <wp:extent cx="890905" cy="213995"/>
                  <wp:effectExtent l="19050" t="0" r="444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61"/>
                          <a:srcRect/>
                          <a:stretch>
                            <a:fillRect/>
                          </a:stretch>
                        </pic:blipFill>
                        <pic:spPr bwMode="auto">
                          <a:xfrm>
                            <a:off x="0" y="0"/>
                            <a:ext cx="890905" cy="213995"/>
                          </a:xfrm>
                          <a:prstGeom prst="rect">
                            <a:avLst/>
                          </a:prstGeom>
                          <a:noFill/>
                          <a:ln w="9525">
                            <a:noFill/>
                            <a:miter lim="800000"/>
                            <a:headEnd/>
                            <a:tailEnd/>
                          </a:ln>
                        </pic:spPr>
                      </pic:pic>
                    </a:graphicData>
                  </a:graphic>
                </wp:inline>
              </w:drawing>
            </w:r>
          </w:p>
        </w:tc>
      </w:tr>
      <w:tr w:rsidR="00872C03" w:rsidRPr="00883399" w14:paraId="439D5F56" w14:textId="77777777" w:rsidTr="0031057E">
        <w:trPr>
          <w:cantSplit/>
          <w:trHeight w:val="80"/>
        </w:trPr>
        <w:tc>
          <w:tcPr>
            <w:tcW w:w="826" w:type="dxa"/>
            <w:vAlign w:val="center"/>
            <w:hideMark/>
          </w:tcPr>
          <w:p w14:paraId="2F61A75B" w14:textId="77777777" w:rsidR="00872C03" w:rsidRPr="00883399" w:rsidRDefault="00872C03" w:rsidP="0031057E">
            <w:pPr>
              <w:ind w:left="-97" w:right="-24"/>
              <w:rPr>
                <w:i/>
              </w:rPr>
            </w:pPr>
          </w:p>
        </w:tc>
        <w:tc>
          <w:tcPr>
            <w:tcW w:w="6733" w:type="dxa"/>
            <w:hideMark/>
          </w:tcPr>
          <w:p w14:paraId="505E274C" w14:textId="77777777" w:rsidR="00872C03" w:rsidRPr="00883399" w:rsidRDefault="00872C03" w:rsidP="0031057E">
            <w:pPr>
              <w:pStyle w:val="subsection2"/>
              <w:ind w:left="34"/>
              <w:rPr>
                <w:sz w:val="24"/>
              </w:rPr>
            </w:pPr>
            <w:r w:rsidRPr="00883399">
              <w:rPr>
                <w:sz w:val="24"/>
              </w:rPr>
              <w:t>where:</w:t>
            </w:r>
          </w:p>
          <w:p w14:paraId="47167543" w14:textId="77777777" w:rsidR="00872C03" w:rsidRPr="00883399" w:rsidRDefault="00872C03" w:rsidP="0031057E">
            <w:pPr>
              <w:pStyle w:val="Definition0"/>
              <w:spacing w:after="60"/>
              <w:ind w:left="34"/>
              <w:rPr>
                <w:sz w:val="24"/>
              </w:rPr>
            </w:pPr>
            <w:r w:rsidRPr="00883399">
              <w:rPr>
                <w:rFonts w:ascii="Symbol" w:hAnsi="Symbol"/>
                <w:b/>
                <w:i/>
                <w:sz w:val="24"/>
              </w:rPr>
              <w:t></w:t>
            </w:r>
            <w:r w:rsidRPr="00883399">
              <w:rPr>
                <w:b/>
                <w:i/>
                <w:sz w:val="24"/>
                <w:vertAlign w:val="subscript"/>
              </w:rPr>
              <w:t>i</w:t>
            </w:r>
            <w:r w:rsidRPr="00883399">
              <w:rPr>
                <w:i/>
                <w:sz w:val="24"/>
              </w:rPr>
              <w:t xml:space="preserve"> </w:t>
            </w:r>
            <w:r w:rsidRPr="00883399">
              <w:rPr>
                <w:sz w:val="24"/>
              </w:rPr>
              <w:t>means the sum of the carbon content values obtained for all fuel types (</w:t>
            </w:r>
            <w:r w:rsidRPr="00883399">
              <w:rPr>
                <w:b/>
                <w:i/>
                <w:sz w:val="24"/>
              </w:rPr>
              <w:t>i</w:t>
            </w:r>
            <w:r w:rsidRPr="00883399">
              <w:rPr>
                <w:sz w:val="24"/>
              </w:rPr>
              <w:t>) or carbonaceous input material.</w:t>
            </w:r>
          </w:p>
        </w:tc>
      </w:tr>
      <w:tr w:rsidR="00872C03" w:rsidRPr="00883399" w14:paraId="2AF5B5AF" w14:textId="77777777" w:rsidTr="0031057E">
        <w:trPr>
          <w:cantSplit/>
          <w:trHeight w:val="80"/>
        </w:trPr>
        <w:tc>
          <w:tcPr>
            <w:tcW w:w="826" w:type="dxa"/>
            <w:vAlign w:val="center"/>
            <w:hideMark/>
          </w:tcPr>
          <w:p w14:paraId="075F3179" w14:textId="77777777" w:rsidR="00872C03" w:rsidRPr="00883399" w:rsidRDefault="00872C03" w:rsidP="0031057E">
            <w:pPr>
              <w:ind w:left="-97" w:right="-24"/>
              <w:rPr>
                <w:i/>
              </w:rPr>
            </w:pPr>
          </w:p>
        </w:tc>
        <w:tc>
          <w:tcPr>
            <w:tcW w:w="6733" w:type="dxa"/>
            <w:hideMark/>
          </w:tcPr>
          <w:p w14:paraId="69F9B084" w14:textId="77777777" w:rsidR="00872C03" w:rsidRPr="00883399" w:rsidRDefault="00872C03" w:rsidP="0031057E">
            <w:pPr>
              <w:pStyle w:val="Definition0"/>
              <w:spacing w:before="60" w:after="60"/>
              <w:ind w:left="34"/>
              <w:rPr>
                <w:b/>
                <w:i/>
                <w:sz w:val="24"/>
              </w:rPr>
            </w:pPr>
            <w:r w:rsidRPr="00883399">
              <w:rPr>
                <w:b/>
                <w:i/>
                <w:sz w:val="24"/>
              </w:rPr>
              <w:t>CCF</w:t>
            </w:r>
            <w:r w:rsidRPr="00883399">
              <w:rPr>
                <w:b/>
                <w:i/>
                <w:sz w:val="24"/>
                <w:vertAlign w:val="subscript"/>
              </w:rPr>
              <w:t>i</w:t>
            </w:r>
            <w:r w:rsidRPr="00883399">
              <w:rPr>
                <w:b/>
                <w:i/>
                <w:sz w:val="24"/>
              </w:rPr>
              <w:t xml:space="preserve"> </w:t>
            </w:r>
            <w:r w:rsidRPr="00883399">
              <w:rPr>
                <w:sz w:val="24"/>
              </w:rPr>
              <w:t xml:space="preserve">is the carbon content factor mentioned in Schedule 3, measured in tonnes of </w:t>
            </w:r>
            <w:r w:rsidRPr="00883399">
              <w:rPr>
                <w:iCs/>
                <w:sz w:val="24"/>
              </w:rPr>
              <w:t>carbon</w:t>
            </w:r>
            <w:r w:rsidRPr="00883399">
              <w:rPr>
                <w:sz w:val="24"/>
              </w:rPr>
              <w:t>, for each appropriate unit of fuel type (</w:t>
            </w:r>
            <w:r w:rsidRPr="00883399">
              <w:rPr>
                <w:b/>
                <w:i/>
                <w:sz w:val="24"/>
              </w:rPr>
              <w:t>i</w:t>
            </w:r>
            <w:r w:rsidRPr="00883399">
              <w:rPr>
                <w:sz w:val="24"/>
              </w:rPr>
              <w:t>) or carbonaceous input material consumed during the year from the operation of the activity.</w:t>
            </w:r>
          </w:p>
        </w:tc>
      </w:tr>
      <w:tr w:rsidR="00872C03" w:rsidRPr="00883399" w14:paraId="60FABDB0" w14:textId="77777777" w:rsidTr="0031057E">
        <w:trPr>
          <w:cantSplit/>
          <w:trHeight w:val="80"/>
        </w:trPr>
        <w:tc>
          <w:tcPr>
            <w:tcW w:w="826" w:type="dxa"/>
            <w:vAlign w:val="center"/>
            <w:hideMark/>
          </w:tcPr>
          <w:p w14:paraId="2F47CC79" w14:textId="77777777" w:rsidR="00872C03" w:rsidRPr="00883399" w:rsidRDefault="00872C03" w:rsidP="0031057E">
            <w:pPr>
              <w:ind w:left="-97" w:right="-24"/>
              <w:rPr>
                <w:i/>
              </w:rPr>
            </w:pPr>
          </w:p>
        </w:tc>
        <w:tc>
          <w:tcPr>
            <w:tcW w:w="6733" w:type="dxa"/>
            <w:hideMark/>
          </w:tcPr>
          <w:p w14:paraId="707C05E3" w14:textId="77777777" w:rsidR="00872C03" w:rsidRPr="00883399" w:rsidRDefault="00872C03" w:rsidP="0031057E">
            <w:pPr>
              <w:pStyle w:val="Definition0"/>
              <w:spacing w:before="60" w:after="60"/>
              <w:ind w:left="34"/>
              <w:rPr>
                <w:b/>
                <w:i/>
                <w:sz w:val="24"/>
              </w:rPr>
            </w:pPr>
            <w:r w:rsidRPr="00883399">
              <w:rPr>
                <w:b/>
                <w:i/>
                <w:sz w:val="24"/>
              </w:rPr>
              <w:t>Q</w:t>
            </w:r>
            <w:r w:rsidRPr="00883399">
              <w:rPr>
                <w:b/>
                <w:i/>
                <w:sz w:val="24"/>
                <w:vertAlign w:val="subscript"/>
              </w:rPr>
              <w:t>i</w:t>
            </w:r>
            <w:r w:rsidRPr="00883399">
              <w:rPr>
                <w:b/>
                <w:i/>
                <w:sz w:val="24"/>
              </w:rPr>
              <w:t xml:space="preserve"> </w:t>
            </w:r>
            <w:r w:rsidRPr="00883399">
              <w:rPr>
                <w:sz w:val="24"/>
              </w:rPr>
              <w:t xml:space="preserve">is the quantity </w:t>
            </w:r>
            <w:r w:rsidRPr="00883399">
              <w:rPr>
                <w:sz w:val="24"/>
                <w:szCs w:val="22"/>
              </w:rPr>
              <w:t>of</w:t>
            </w:r>
            <w:r w:rsidRPr="00883399">
              <w:rPr>
                <w:sz w:val="24"/>
              </w:rPr>
              <w:t xml:space="preserve"> fuel type (</w:t>
            </w:r>
            <w:r w:rsidRPr="00883399">
              <w:rPr>
                <w:b/>
                <w:i/>
                <w:sz w:val="24"/>
              </w:rPr>
              <w:t>i</w:t>
            </w:r>
            <w:r w:rsidRPr="00883399">
              <w:rPr>
                <w:sz w:val="24"/>
              </w:rPr>
              <w:t xml:space="preserve">) or carbonaceous input material delivered </w:t>
            </w:r>
            <w:r w:rsidRPr="00883399">
              <w:rPr>
                <w:iCs/>
                <w:sz w:val="24"/>
              </w:rPr>
              <w:t>for</w:t>
            </w:r>
            <w:r w:rsidRPr="00883399">
              <w:rPr>
                <w:sz w:val="24"/>
              </w:rPr>
              <w:t xml:space="preserve"> the activity during the year, measured in an appropriate unit and estimated in accordance with criterion A in Divisions 2.2.5, 2.3.6 and 2.4.6.</w:t>
            </w:r>
          </w:p>
        </w:tc>
      </w:tr>
      <w:tr w:rsidR="00872C03" w:rsidRPr="00883399" w14:paraId="0633A66E" w14:textId="77777777" w:rsidTr="0031057E">
        <w:trPr>
          <w:cantSplit/>
          <w:trHeight w:val="993"/>
        </w:trPr>
        <w:tc>
          <w:tcPr>
            <w:tcW w:w="826" w:type="dxa"/>
            <w:vMerge w:val="restart"/>
            <w:hideMark/>
          </w:tcPr>
          <w:p w14:paraId="0E4BFC41" w14:textId="77777777" w:rsidR="00872C03" w:rsidRPr="00883399" w:rsidRDefault="00872C03" w:rsidP="0031057E">
            <w:pPr>
              <w:pStyle w:val="Tabletext0"/>
              <w:keepNext/>
              <w:keepLines/>
              <w:rPr>
                <w:sz w:val="24"/>
                <w:szCs w:val="22"/>
              </w:rPr>
            </w:pPr>
            <w:r w:rsidRPr="00883399">
              <w:rPr>
                <w:sz w:val="24"/>
                <w:szCs w:val="22"/>
              </w:rPr>
              <w:lastRenderedPageBreak/>
              <w:t>Step 2</w:t>
            </w:r>
          </w:p>
        </w:tc>
        <w:tc>
          <w:tcPr>
            <w:tcW w:w="6733" w:type="dxa"/>
            <w:hideMark/>
          </w:tcPr>
          <w:p w14:paraId="141911FF" w14:textId="77777777" w:rsidR="00872C03" w:rsidRPr="00883399" w:rsidRDefault="00872C03" w:rsidP="0031057E">
            <w:pPr>
              <w:pStyle w:val="Tabletext0"/>
              <w:keepNext/>
              <w:keepLines/>
              <w:rPr>
                <w:sz w:val="24"/>
                <w:szCs w:val="22"/>
              </w:rPr>
            </w:pPr>
            <w:r w:rsidRPr="00883399">
              <w:rPr>
                <w:sz w:val="24"/>
                <w:szCs w:val="22"/>
              </w:rPr>
              <w:t>Work out the carbon content in products (</w:t>
            </w:r>
            <w:r w:rsidRPr="00883399">
              <w:rPr>
                <w:b/>
                <w:i/>
                <w:sz w:val="24"/>
                <w:szCs w:val="22"/>
              </w:rPr>
              <w:t>p</w:t>
            </w:r>
            <w:r w:rsidRPr="00883399">
              <w:rPr>
                <w:sz w:val="24"/>
                <w:szCs w:val="22"/>
              </w:rPr>
              <w:t>) leaving the activity during the year, measured in tonnes of carbon, as follows:</w:t>
            </w:r>
          </w:p>
          <w:p w14:paraId="20D428F3" w14:textId="0A464609" w:rsidR="00872C03" w:rsidRPr="00883399" w:rsidRDefault="00872C03" w:rsidP="0031057E">
            <w:pPr>
              <w:pStyle w:val="Formula"/>
              <w:spacing w:before="120" w:after="120"/>
              <w:ind w:left="111" w:hanging="111"/>
              <w:jc w:val="both"/>
              <w:rPr>
                <w:sz w:val="22"/>
              </w:rPr>
            </w:pPr>
            <w:r w:rsidRPr="00883399">
              <w:rPr>
                <w:noProof/>
                <w:position w:val="-14"/>
                <w:sz w:val="22"/>
              </w:rPr>
              <w:drawing>
                <wp:inline distT="0" distB="0" distL="0" distR="0" wp14:anchorId="33025B7E" wp14:editId="7C7CC0DE">
                  <wp:extent cx="949960" cy="237490"/>
                  <wp:effectExtent l="19050" t="0" r="254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62"/>
                          <a:srcRect/>
                          <a:stretch>
                            <a:fillRect/>
                          </a:stretch>
                        </pic:blipFill>
                        <pic:spPr bwMode="auto">
                          <a:xfrm>
                            <a:off x="0" y="0"/>
                            <a:ext cx="949960" cy="237490"/>
                          </a:xfrm>
                          <a:prstGeom prst="rect">
                            <a:avLst/>
                          </a:prstGeom>
                          <a:noFill/>
                          <a:ln w="9525">
                            <a:noFill/>
                            <a:miter lim="800000"/>
                            <a:headEnd/>
                            <a:tailEnd/>
                          </a:ln>
                        </pic:spPr>
                      </pic:pic>
                    </a:graphicData>
                  </a:graphic>
                </wp:inline>
              </w:drawing>
            </w:r>
          </w:p>
        </w:tc>
      </w:tr>
      <w:tr w:rsidR="00872C03" w:rsidRPr="00883399" w14:paraId="7A8AC97B" w14:textId="77777777" w:rsidTr="0031057E">
        <w:trPr>
          <w:cantSplit/>
        </w:trPr>
        <w:tc>
          <w:tcPr>
            <w:tcW w:w="826" w:type="dxa"/>
            <w:vMerge/>
            <w:vAlign w:val="center"/>
            <w:hideMark/>
          </w:tcPr>
          <w:p w14:paraId="06848DA0" w14:textId="77777777" w:rsidR="00872C03" w:rsidRPr="00883399" w:rsidRDefault="00872C03" w:rsidP="0031057E">
            <w:pPr>
              <w:pStyle w:val="Tabletext0"/>
              <w:keepNext/>
              <w:keepLines/>
              <w:rPr>
                <w:sz w:val="24"/>
                <w:szCs w:val="22"/>
              </w:rPr>
            </w:pPr>
          </w:p>
        </w:tc>
        <w:tc>
          <w:tcPr>
            <w:tcW w:w="6733" w:type="dxa"/>
            <w:hideMark/>
          </w:tcPr>
          <w:p w14:paraId="2639E76D" w14:textId="77777777" w:rsidR="00872C03" w:rsidRPr="00883399" w:rsidRDefault="00872C03" w:rsidP="0031057E">
            <w:pPr>
              <w:pStyle w:val="subsection2"/>
              <w:ind w:left="34"/>
              <w:rPr>
                <w:sz w:val="24"/>
              </w:rPr>
            </w:pPr>
            <w:r w:rsidRPr="00883399">
              <w:rPr>
                <w:sz w:val="24"/>
              </w:rPr>
              <w:t>where:</w:t>
            </w:r>
          </w:p>
          <w:p w14:paraId="16701233" w14:textId="77777777" w:rsidR="00872C03" w:rsidRPr="00883399" w:rsidRDefault="00872C03" w:rsidP="0031057E">
            <w:pPr>
              <w:pStyle w:val="Definition0"/>
              <w:ind w:left="34"/>
              <w:rPr>
                <w:sz w:val="24"/>
              </w:rPr>
            </w:pPr>
            <w:r w:rsidRPr="00883399">
              <w:rPr>
                <w:rFonts w:ascii="Symbol" w:hAnsi="Symbol"/>
                <w:b/>
                <w:i/>
                <w:sz w:val="24"/>
              </w:rPr>
              <w:t></w:t>
            </w:r>
            <w:r w:rsidRPr="00883399">
              <w:rPr>
                <w:b/>
                <w:i/>
                <w:sz w:val="24"/>
                <w:vertAlign w:val="subscript"/>
              </w:rPr>
              <w:t>p</w:t>
            </w:r>
            <w:r w:rsidRPr="00883399">
              <w:rPr>
                <w:b/>
                <w:i/>
                <w:sz w:val="24"/>
              </w:rPr>
              <w:t xml:space="preserve"> </w:t>
            </w:r>
            <w:r w:rsidRPr="00883399">
              <w:rPr>
                <w:sz w:val="24"/>
              </w:rPr>
              <w:t xml:space="preserve">means the sum of the </w:t>
            </w:r>
            <w:r w:rsidRPr="00883399">
              <w:rPr>
                <w:sz w:val="24"/>
                <w:szCs w:val="22"/>
              </w:rPr>
              <w:t>carbon</w:t>
            </w:r>
            <w:r w:rsidRPr="00883399">
              <w:rPr>
                <w:sz w:val="24"/>
              </w:rPr>
              <w:t xml:space="preserve"> content values obtained for all product types (</w:t>
            </w:r>
            <w:r w:rsidRPr="00883399">
              <w:rPr>
                <w:b/>
                <w:i/>
                <w:sz w:val="24"/>
              </w:rPr>
              <w:t>p</w:t>
            </w:r>
            <w:r w:rsidRPr="00883399">
              <w:rPr>
                <w:sz w:val="24"/>
              </w:rPr>
              <w:t>).</w:t>
            </w:r>
          </w:p>
          <w:p w14:paraId="6476DA95" w14:textId="77777777" w:rsidR="00872C03" w:rsidRPr="00883399" w:rsidRDefault="00872C03" w:rsidP="0031057E">
            <w:pPr>
              <w:pStyle w:val="Definition0"/>
              <w:spacing w:before="60" w:after="60"/>
              <w:ind w:left="34"/>
              <w:rPr>
                <w:iCs/>
                <w:sz w:val="24"/>
              </w:rPr>
            </w:pPr>
            <w:r w:rsidRPr="00883399">
              <w:rPr>
                <w:b/>
                <w:i/>
                <w:iCs/>
                <w:sz w:val="24"/>
              </w:rPr>
              <w:t>CCF</w:t>
            </w:r>
            <w:r w:rsidRPr="00883399">
              <w:rPr>
                <w:b/>
                <w:i/>
                <w:iCs/>
                <w:sz w:val="24"/>
                <w:vertAlign w:val="subscript"/>
              </w:rPr>
              <w:t>p</w:t>
            </w:r>
            <w:r w:rsidRPr="00883399">
              <w:rPr>
                <w:iCs/>
                <w:sz w:val="24"/>
              </w:rPr>
              <w:t xml:space="preserve"> is the carbon </w:t>
            </w:r>
            <w:r w:rsidRPr="00883399">
              <w:rPr>
                <w:sz w:val="24"/>
                <w:szCs w:val="22"/>
              </w:rPr>
              <w:t>content</w:t>
            </w:r>
            <w:r w:rsidRPr="00883399">
              <w:rPr>
                <w:iCs/>
                <w:sz w:val="24"/>
              </w:rPr>
              <w:t xml:space="preserve"> factor, measured in tonnes of carbon, for each tonne of product type</w:t>
            </w:r>
            <w:r w:rsidRPr="00883399">
              <w:rPr>
                <w:b/>
                <w:i/>
                <w:iCs/>
                <w:sz w:val="24"/>
              </w:rPr>
              <w:t xml:space="preserve"> </w:t>
            </w:r>
            <w:r w:rsidRPr="00883399">
              <w:rPr>
                <w:iCs/>
                <w:sz w:val="24"/>
              </w:rPr>
              <w:t>(</w:t>
            </w:r>
            <w:r w:rsidRPr="00883399">
              <w:rPr>
                <w:b/>
                <w:i/>
                <w:iCs/>
                <w:sz w:val="24"/>
              </w:rPr>
              <w:t>p</w:t>
            </w:r>
            <w:r w:rsidRPr="00883399">
              <w:rPr>
                <w:iCs/>
                <w:sz w:val="24"/>
              </w:rPr>
              <w:t>) produced during the year.</w:t>
            </w:r>
          </w:p>
          <w:p w14:paraId="3EAC7ED7" w14:textId="77777777" w:rsidR="00872C03" w:rsidRPr="00883399" w:rsidRDefault="00872C03" w:rsidP="0031057E">
            <w:pPr>
              <w:pStyle w:val="Definition0"/>
              <w:spacing w:before="60" w:after="60"/>
              <w:ind w:left="34"/>
              <w:rPr>
                <w:sz w:val="24"/>
              </w:rPr>
            </w:pPr>
            <w:r w:rsidRPr="00883399">
              <w:rPr>
                <w:b/>
                <w:i/>
                <w:sz w:val="24"/>
              </w:rPr>
              <w:t>A</w:t>
            </w:r>
            <w:r w:rsidRPr="00883399">
              <w:rPr>
                <w:b/>
                <w:i/>
                <w:sz w:val="24"/>
                <w:vertAlign w:val="subscript"/>
              </w:rPr>
              <w:t>p</w:t>
            </w:r>
            <w:r w:rsidRPr="00883399">
              <w:rPr>
                <w:b/>
                <w:i/>
                <w:sz w:val="24"/>
              </w:rPr>
              <w:t xml:space="preserve"> </w:t>
            </w:r>
            <w:r w:rsidRPr="00883399">
              <w:rPr>
                <w:sz w:val="24"/>
              </w:rPr>
              <w:t xml:space="preserve">is the </w:t>
            </w:r>
            <w:r w:rsidRPr="00883399">
              <w:rPr>
                <w:iCs/>
                <w:sz w:val="24"/>
              </w:rPr>
              <w:t>quantity</w:t>
            </w:r>
            <w:r w:rsidRPr="00883399">
              <w:rPr>
                <w:sz w:val="24"/>
              </w:rPr>
              <w:t xml:space="preserve"> of </w:t>
            </w:r>
            <w:r w:rsidRPr="00883399">
              <w:rPr>
                <w:iCs/>
                <w:sz w:val="24"/>
              </w:rPr>
              <w:t>product</w:t>
            </w:r>
            <w:r w:rsidRPr="00883399">
              <w:rPr>
                <w:sz w:val="24"/>
              </w:rPr>
              <w:t xml:space="preserve"> types (</w:t>
            </w:r>
            <w:r w:rsidRPr="00883399">
              <w:rPr>
                <w:b/>
                <w:i/>
                <w:sz w:val="24"/>
              </w:rPr>
              <w:t>p</w:t>
            </w:r>
            <w:r w:rsidRPr="00883399">
              <w:rPr>
                <w:sz w:val="24"/>
              </w:rPr>
              <w:t>) produced leaving the activity during the year, measured in tonnes.</w:t>
            </w:r>
          </w:p>
        </w:tc>
      </w:tr>
      <w:tr w:rsidR="00872C03" w:rsidRPr="00883399" w14:paraId="1ED504F2" w14:textId="77777777" w:rsidTr="0031057E">
        <w:trPr>
          <w:cantSplit/>
        </w:trPr>
        <w:tc>
          <w:tcPr>
            <w:tcW w:w="826" w:type="dxa"/>
            <w:hideMark/>
          </w:tcPr>
          <w:p w14:paraId="3960698C" w14:textId="77777777" w:rsidR="00872C03" w:rsidRPr="00883399" w:rsidRDefault="00872C03" w:rsidP="0031057E">
            <w:pPr>
              <w:pStyle w:val="Tabletext0"/>
              <w:keepNext/>
              <w:keepLines/>
              <w:rPr>
                <w:sz w:val="24"/>
                <w:szCs w:val="22"/>
              </w:rPr>
            </w:pPr>
            <w:r w:rsidRPr="00883399">
              <w:rPr>
                <w:sz w:val="24"/>
                <w:szCs w:val="22"/>
              </w:rPr>
              <w:t>Step 3</w:t>
            </w:r>
          </w:p>
        </w:tc>
        <w:tc>
          <w:tcPr>
            <w:tcW w:w="6733" w:type="dxa"/>
            <w:hideMark/>
          </w:tcPr>
          <w:p w14:paraId="42BDEF0F" w14:textId="77777777" w:rsidR="00872C03" w:rsidRPr="00883399" w:rsidRDefault="00872C03" w:rsidP="0031057E">
            <w:pPr>
              <w:pStyle w:val="Tabletext0"/>
              <w:keepNext/>
              <w:keepLines/>
              <w:rPr>
                <w:sz w:val="24"/>
                <w:szCs w:val="22"/>
              </w:rPr>
            </w:pPr>
            <w:r w:rsidRPr="00883399">
              <w:rPr>
                <w:sz w:val="24"/>
                <w:szCs w:val="22"/>
              </w:rPr>
              <w:t>Work out the carbon content in waste by</w:t>
            </w:r>
            <w:r w:rsidRPr="00883399">
              <w:rPr>
                <w:sz w:val="24"/>
                <w:szCs w:val="22"/>
              </w:rPr>
              <w:noBreakHyphen/>
              <w:t>product types (r) leaving the activity, other than as an emission of greenhouse gas, during the year, measured in tonnes of carbon, as follows:</w:t>
            </w:r>
          </w:p>
          <w:p w14:paraId="0B88EC11" w14:textId="4C554E9A" w:rsidR="00872C03" w:rsidRPr="00883399" w:rsidRDefault="00872C03" w:rsidP="0031057E">
            <w:pPr>
              <w:pStyle w:val="Formula"/>
              <w:spacing w:before="120" w:after="120"/>
              <w:rPr>
                <w:iCs/>
                <w:sz w:val="22"/>
              </w:rPr>
            </w:pPr>
            <w:r w:rsidRPr="00883399">
              <w:rPr>
                <w:noProof/>
                <w:position w:val="-10"/>
                <w:sz w:val="22"/>
              </w:rPr>
              <w:drawing>
                <wp:inline distT="0" distB="0" distL="0" distR="0" wp14:anchorId="59000B85" wp14:editId="71C6C55B">
                  <wp:extent cx="890905" cy="213995"/>
                  <wp:effectExtent l="19050" t="0" r="4445"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63"/>
                          <a:srcRect/>
                          <a:stretch>
                            <a:fillRect/>
                          </a:stretch>
                        </pic:blipFill>
                        <pic:spPr bwMode="auto">
                          <a:xfrm>
                            <a:off x="0" y="0"/>
                            <a:ext cx="890905" cy="213995"/>
                          </a:xfrm>
                          <a:prstGeom prst="rect">
                            <a:avLst/>
                          </a:prstGeom>
                          <a:noFill/>
                          <a:ln w="9525">
                            <a:noFill/>
                            <a:miter lim="800000"/>
                            <a:headEnd/>
                            <a:tailEnd/>
                          </a:ln>
                        </pic:spPr>
                      </pic:pic>
                    </a:graphicData>
                  </a:graphic>
                </wp:inline>
              </w:drawing>
            </w:r>
          </w:p>
        </w:tc>
      </w:tr>
      <w:tr w:rsidR="00872C03" w:rsidRPr="00883399" w14:paraId="23C124AA" w14:textId="77777777" w:rsidTr="0031057E">
        <w:trPr>
          <w:cantSplit/>
        </w:trPr>
        <w:tc>
          <w:tcPr>
            <w:tcW w:w="826" w:type="dxa"/>
            <w:hideMark/>
          </w:tcPr>
          <w:p w14:paraId="6D2B774D" w14:textId="77777777" w:rsidR="00872C03" w:rsidRPr="00883399" w:rsidRDefault="00872C03" w:rsidP="0031057E">
            <w:pPr>
              <w:pStyle w:val="Tabletext0"/>
              <w:keepNext/>
              <w:keepLines/>
              <w:rPr>
                <w:sz w:val="24"/>
                <w:szCs w:val="22"/>
              </w:rPr>
            </w:pPr>
          </w:p>
        </w:tc>
        <w:tc>
          <w:tcPr>
            <w:tcW w:w="6733" w:type="dxa"/>
            <w:hideMark/>
          </w:tcPr>
          <w:p w14:paraId="378CB870" w14:textId="77777777" w:rsidR="00872C03" w:rsidRPr="00883399" w:rsidRDefault="00872C03" w:rsidP="0031057E">
            <w:pPr>
              <w:pStyle w:val="subsection2"/>
              <w:ind w:left="34"/>
              <w:rPr>
                <w:sz w:val="24"/>
              </w:rPr>
            </w:pPr>
            <w:r w:rsidRPr="00883399">
              <w:rPr>
                <w:sz w:val="24"/>
              </w:rPr>
              <w:t>where:</w:t>
            </w:r>
          </w:p>
          <w:p w14:paraId="2C8C7715" w14:textId="77777777" w:rsidR="00872C03" w:rsidRPr="00883399" w:rsidRDefault="00872C03" w:rsidP="0031057E">
            <w:pPr>
              <w:pStyle w:val="Definition0"/>
              <w:ind w:left="34"/>
              <w:rPr>
                <w:sz w:val="24"/>
              </w:rPr>
            </w:pPr>
            <w:r w:rsidRPr="00883399">
              <w:rPr>
                <w:rFonts w:ascii="Symbol" w:hAnsi="Symbol"/>
                <w:b/>
                <w:i/>
                <w:sz w:val="24"/>
              </w:rPr>
              <w:t></w:t>
            </w:r>
            <w:r w:rsidRPr="00883399">
              <w:rPr>
                <w:b/>
                <w:i/>
                <w:sz w:val="24"/>
                <w:vertAlign w:val="subscript"/>
              </w:rPr>
              <w:t>r</w:t>
            </w:r>
            <w:r w:rsidRPr="00883399">
              <w:rPr>
                <w:b/>
                <w:i/>
                <w:sz w:val="24"/>
              </w:rPr>
              <w:t xml:space="preserve"> </w:t>
            </w:r>
            <w:r w:rsidRPr="00883399">
              <w:rPr>
                <w:sz w:val="24"/>
              </w:rPr>
              <w:t>means the sum of the carbon content values obtained for all waste by</w:t>
            </w:r>
            <w:r w:rsidRPr="00883399">
              <w:rPr>
                <w:sz w:val="24"/>
              </w:rPr>
              <w:noBreakHyphen/>
              <w:t>product types (</w:t>
            </w:r>
            <w:r w:rsidRPr="00883399">
              <w:rPr>
                <w:b/>
                <w:i/>
                <w:sz w:val="24"/>
              </w:rPr>
              <w:t>r</w:t>
            </w:r>
            <w:r w:rsidRPr="00883399">
              <w:rPr>
                <w:sz w:val="24"/>
              </w:rPr>
              <w:t>).</w:t>
            </w:r>
          </w:p>
        </w:tc>
      </w:tr>
      <w:tr w:rsidR="00872C03" w:rsidRPr="00883399" w14:paraId="51C6824A" w14:textId="77777777" w:rsidTr="0031057E">
        <w:trPr>
          <w:cantSplit/>
        </w:trPr>
        <w:tc>
          <w:tcPr>
            <w:tcW w:w="826" w:type="dxa"/>
            <w:vAlign w:val="center"/>
            <w:hideMark/>
          </w:tcPr>
          <w:p w14:paraId="43A864E6" w14:textId="77777777" w:rsidR="00872C03" w:rsidRPr="00883399" w:rsidRDefault="00872C03" w:rsidP="0031057E">
            <w:pPr>
              <w:pStyle w:val="Tabletext0"/>
              <w:keepNext/>
              <w:keepLines/>
              <w:rPr>
                <w:sz w:val="24"/>
                <w:szCs w:val="22"/>
              </w:rPr>
            </w:pPr>
          </w:p>
        </w:tc>
        <w:tc>
          <w:tcPr>
            <w:tcW w:w="6733" w:type="dxa"/>
            <w:hideMark/>
          </w:tcPr>
          <w:p w14:paraId="2E33AEE9" w14:textId="77777777" w:rsidR="00872C03" w:rsidRPr="00883399" w:rsidRDefault="00872C03" w:rsidP="0031057E">
            <w:pPr>
              <w:pStyle w:val="Definition0"/>
              <w:spacing w:before="60" w:after="60"/>
              <w:ind w:left="34"/>
              <w:rPr>
                <w:iCs/>
                <w:sz w:val="24"/>
              </w:rPr>
            </w:pPr>
            <w:r w:rsidRPr="00883399">
              <w:rPr>
                <w:b/>
                <w:i/>
                <w:iCs/>
                <w:sz w:val="24"/>
              </w:rPr>
              <w:t>CCF</w:t>
            </w:r>
            <w:r w:rsidRPr="00883399">
              <w:rPr>
                <w:b/>
                <w:i/>
                <w:iCs/>
                <w:sz w:val="24"/>
                <w:vertAlign w:val="subscript"/>
              </w:rPr>
              <w:t>r</w:t>
            </w:r>
            <w:r w:rsidRPr="00883399">
              <w:rPr>
                <w:iCs/>
                <w:sz w:val="24"/>
              </w:rPr>
              <w:t xml:space="preserve"> is the carbon content factor, measured in tonnes of carbon, for each tonne of waste by</w:t>
            </w:r>
            <w:r w:rsidRPr="00883399">
              <w:rPr>
                <w:iCs/>
                <w:sz w:val="24"/>
              </w:rPr>
              <w:noBreakHyphen/>
              <w:t>product types</w:t>
            </w:r>
            <w:r w:rsidRPr="00883399">
              <w:rPr>
                <w:b/>
                <w:i/>
                <w:iCs/>
                <w:sz w:val="24"/>
              </w:rPr>
              <w:t xml:space="preserve"> </w:t>
            </w:r>
            <w:r w:rsidRPr="00883399">
              <w:rPr>
                <w:iCs/>
                <w:sz w:val="24"/>
              </w:rPr>
              <w:t>(</w:t>
            </w:r>
            <w:r w:rsidRPr="00883399">
              <w:rPr>
                <w:b/>
                <w:i/>
                <w:iCs/>
                <w:sz w:val="24"/>
              </w:rPr>
              <w:t>r</w:t>
            </w:r>
            <w:r w:rsidRPr="00883399">
              <w:rPr>
                <w:iCs/>
                <w:sz w:val="24"/>
              </w:rPr>
              <w:t>).</w:t>
            </w:r>
          </w:p>
          <w:p w14:paraId="0FC9F4F1" w14:textId="77777777" w:rsidR="00872C03" w:rsidRPr="00883399" w:rsidRDefault="00872C03" w:rsidP="0031057E">
            <w:pPr>
              <w:pStyle w:val="Definition0"/>
              <w:spacing w:before="60" w:after="60"/>
              <w:ind w:left="34"/>
              <w:rPr>
                <w:sz w:val="24"/>
              </w:rPr>
            </w:pPr>
            <w:r w:rsidRPr="00883399">
              <w:rPr>
                <w:b/>
                <w:i/>
                <w:sz w:val="24"/>
              </w:rPr>
              <w:t>Y</w:t>
            </w:r>
            <w:r w:rsidRPr="00883399">
              <w:rPr>
                <w:b/>
                <w:i/>
                <w:sz w:val="24"/>
                <w:vertAlign w:val="subscript"/>
              </w:rPr>
              <w:t>r</w:t>
            </w:r>
            <w:r w:rsidRPr="00883399">
              <w:rPr>
                <w:b/>
                <w:i/>
                <w:sz w:val="24"/>
              </w:rPr>
              <w:t xml:space="preserve"> </w:t>
            </w:r>
            <w:r w:rsidRPr="00883399">
              <w:rPr>
                <w:sz w:val="24"/>
              </w:rPr>
              <w:t xml:space="preserve">is the </w:t>
            </w:r>
            <w:r w:rsidRPr="00883399">
              <w:rPr>
                <w:sz w:val="24"/>
                <w:szCs w:val="22"/>
              </w:rPr>
              <w:t>quantity</w:t>
            </w:r>
            <w:r w:rsidRPr="00883399">
              <w:rPr>
                <w:sz w:val="24"/>
              </w:rPr>
              <w:t xml:space="preserve"> of waste by</w:t>
            </w:r>
            <w:r w:rsidRPr="00883399">
              <w:rPr>
                <w:sz w:val="24"/>
              </w:rPr>
              <w:noBreakHyphen/>
              <w:t>product types (</w:t>
            </w:r>
            <w:r w:rsidRPr="00883399">
              <w:rPr>
                <w:b/>
                <w:i/>
                <w:sz w:val="24"/>
              </w:rPr>
              <w:t>r</w:t>
            </w:r>
            <w:r w:rsidRPr="00883399">
              <w:rPr>
                <w:sz w:val="24"/>
              </w:rPr>
              <w:t>) leaving the activity during the year, measured in tonnes.</w:t>
            </w:r>
          </w:p>
        </w:tc>
      </w:tr>
      <w:tr w:rsidR="00872C03" w:rsidRPr="00883399" w14:paraId="1E0492BA" w14:textId="77777777" w:rsidTr="0031057E">
        <w:trPr>
          <w:cantSplit/>
        </w:trPr>
        <w:tc>
          <w:tcPr>
            <w:tcW w:w="826" w:type="dxa"/>
            <w:vMerge w:val="restart"/>
            <w:hideMark/>
          </w:tcPr>
          <w:p w14:paraId="47812853" w14:textId="77777777" w:rsidR="00872C03" w:rsidRPr="00883399" w:rsidRDefault="00872C03" w:rsidP="0031057E">
            <w:pPr>
              <w:pStyle w:val="Tabletext0"/>
              <w:keepNext/>
              <w:keepLines/>
              <w:rPr>
                <w:sz w:val="22"/>
              </w:rPr>
            </w:pPr>
            <w:r w:rsidRPr="00883399">
              <w:rPr>
                <w:sz w:val="24"/>
                <w:szCs w:val="22"/>
              </w:rPr>
              <w:t>Step 4</w:t>
            </w:r>
          </w:p>
        </w:tc>
        <w:tc>
          <w:tcPr>
            <w:tcW w:w="6733" w:type="dxa"/>
            <w:hideMark/>
          </w:tcPr>
          <w:p w14:paraId="40F4D104" w14:textId="77777777" w:rsidR="00872C03" w:rsidRPr="00883399" w:rsidRDefault="00872C03" w:rsidP="0031057E">
            <w:pPr>
              <w:pStyle w:val="Tabletext0"/>
              <w:keepNext/>
              <w:keepLines/>
              <w:spacing w:after="120"/>
              <w:rPr>
                <w:iCs/>
                <w:sz w:val="24"/>
                <w:szCs w:val="22"/>
              </w:rPr>
            </w:pPr>
            <w:r w:rsidRPr="00883399">
              <w:rPr>
                <w:sz w:val="24"/>
                <w:szCs w:val="22"/>
              </w:rPr>
              <w:t xml:space="preserve">Work out the carbon content in the amount of the change in </w:t>
            </w:r>
            <w:r w:rsidRPr="00883399">
              <w:rPr>
                <w:iCs/>
                <w:sz w:val="24"/>
                <w:szCs w:val="22"/>
              </w:rPr>
              <w:t>stocks of inputs, products and waste by</w:t>
            </w:r>
            <w:r w:rsidRPr="00883399">
              <w:rPr>
                <w:iCs/>
                <w:sz w:val="24"/>
                <w:szCs w:val="22"/>
              </w:rPr>
              <w:noBreakHyphen/>
              <w:t>products held within the boundary of the activity during the year, measured in tonnes of carbon, as follows:</w:t>
            </w:r>
          </w:p>
          <w:p w14:paraId="0B0370A1" w14:textId="47376803" w:rsidR="00872C03" w:rsidRPr="00883399" w:rsidRDefault="00872C03" w:rsidP="0031057E">
            <w:pPr>
              <w:pStyle w:val="Formula"/>
              <w:spacing w:after="120"/>
              <w:rPr>
                <w:sz w:val="22"/>
              </w:rPr>
            </w:pPr>
            <w:r w:rsidRPr="00883399">
              <w:rPr>
                <w:noProof/>
                <w:position w:val="-14"/>
                <w:sz w:val="22"/>
              </w:rPr>
              <w:drawing>
                <wp:inline distT="0" distB="0" distL="0" distR="0" wp14:anchorId="718E1E4E" wp14:editId="742D860D">
                  <wp:extent cx="3657600" cy="237490"/>
                  <wp:effectExtent l="1905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64"/>
                          <a:srcRect/>
                          <a:stretch>
                            <a:fillRect/>
                          </a:stretch>
                        </pic:blipFill>
                        <pic:spPr bwMode="auto">
                          <a:xfrm>
                            <a:off x="0" y="0"/>
                            <a:ext cx="3657600" cy="237490"/>
                          </a:xfrm>
                          <a:prstGeom prst="rect">
                            <a:avLst/>
                          </a:prstGeom>
                          <a:noFill/>
                          <a:ln w="9525">
                            <a:noFill/>
                            <a:miter lim="800000"/>
                            <a:headEnd/>
                            <a:tailEnd/>
                          </a:ln>
                        </pic:spPr>
                      </pic:pic>
                    </a:graphicData>
                  </a:graphic>
                </wp:inline>
              </w:drawing>
            </w:r>
          </w:p>
        </w:tc>
      </w:tr>
      <w:tr w:rsidR="00872C03" w:rsidRPr="00883399" w14:paraId="2F42280B" w14:textId="77777777" w:rsidTr="0031057E">
        <w:trPr>
          <w:cantSplit/>
        </w:trPr>
        <w:tc>
          <w:tcPr>
            <w:tcW w:w="826" w:type="dxa"/>
            <w:vMerge/>
            <w:vAlign w:val="center"/>
            <w:hideMark/>
          </w:tcPr>
          <w:p w14:paraId="307DB2ED" w14:textId="77777777" w:rsidR="00872C03" w:rsidRPr="00883399" w:rsidRDefault="00872C03" w:rsidP="0031057E">
            <w:pPr>
              <w:ind w:left="-97" w:right="-24"/>
              <w:rPr>
                <w:i/>
              </w:rPr>
            </w:pPr>
          </w:p>
        </w:tc>
        <w:tc>
          <w:tcPr>
            <w:tcW w:w="6733" w:type="dxa"/>
            <w:hideMark/>
          </w:tcPr>
          <w:p w14:paraId="61460144" w14:textId="77777777" w:rsidR="00872C03" w:rsidRPr="00883399" w:rsidRDefault="00872C03" w:rsidP="0031057E">
            <w:pPr>
              <w:pStyle w:val="subsection2"/>
              <w:ind w:left="34"/>
              <w:rPr>
                <w:sz w:val="24"/>
              </w:rPr>
            </w:pPr>
            <w:r w:rsidRPr="00883399">
              <w:rPr>
                <w:sz w:val="24"/>
              </w:rPr>
              <w:t>where:</w:t>
            </w:r>
          </w:p>
          <w:p w14:paraId="55AB7F5E" w14:textId="77777777" w:rsidR="00872C03" w:rsidRPr="00883399" w:rsidRDefault="00872C03" w:rsidP="0031057E">
            <w:pPr>
              <w:pStyle w:val="Definition0"/>
              <w:ind w:left="34"/>
              <w:rPr>
                <w:b/>
                <w:i/>
                <w:sz w:val="24"/>
              </w:rPr>
            </w:pPr>
            <w:r w:rsidRPr="00883399">
              <w:rPr>
                <w:rFonts w:ascii="Symbol" w:hAnsi="Symbol"/>
                <w:b/>
                <w:i/>
                <w:sz w:val="24"/>
              </w:rPr>
              <w:t></w:t>
            </w:r>
            <w:r w:rsidRPr="00883399">
              <w:rPr>
                <w:b/>
                <w:i/>
                <w:sz w:val="24"/>
                <w:vertAlign w:val="subscript"/>
              </w:rPr>
              <w:t>i</w:t>
            </w:r>
            <w:r w:rsidRPr="00883399">
              <w:rPr>
                <w:b/>
                <w:i/>
                <w:sz w:val="24"/>
              </w:rPr>
              <w:t xml:space="preserve"> </w:t>
            </w:r>
            <w:r w:rsidRPr="00883399">
              <w:rPr>
                <w:sz w:val="24"/>
              </w:rPr>
              <w:t>has the same meaning as in step 1.</w:t>
            </w:r>
          </w:p>
        </w:tc>
      </w:tr>
      <w:tr w:rsidR="00872C03" w:rsidRPr="00883399" w14:paraId="279600F0" w14:textId="77777777" w:rsidTr="0031057E">
        <w:trPr>
          <w:cantSplit/>
        </w:trPr>
        <w:tc>
          <w:tcPr>
            <w:tcW w:w="826" w:type="dxa"/>
            <w:vAlign w:val="center"/>
            <w:hideMark/>
          </w:tcPr>
          <w:p w14:paraId="1807013F" w14:textId="77777777" w:rsidR="00872C03" w:rsidRPr="00883399" w:rsidRDefault="00872C03" w:rsidP="0031057E">
            <w:pPr>
              <w:ind w:left="-97" w:right="-24"/>
              <w:rPr>
                <w:i/>
              </w:rPr>
            </w:pPr>
          </w:p>
        </w:tc>
        <w:tc>
          <w:tcPr>
            <w:tcW w:w="6733" w:type="dxa"/>
            <w:hideMark/>
          </w:tcPr>
          <w:p w14:paraId="5FC779CB" w14:textId="77777777" w:rsidR="00872C03" w:rsidRPr="00883399" w:rsidRDefault="00872C03" w:rsidP="0031057E">
            <w:pPr>
              <w:pStyle w:val="Definition0"/>
              <w:spacing w:before="60" w:after="60"/>
              <w:ind w:left="34"/>
              <w:rPr>
                <w:sz w:val="24"/>
              </w:rPr>
            </w:pPr>
            <w:r w:rsidRPr="00883399">
              <w:rPr>
                <w:b/>
                <w:i/>
                <w:sz w:val="24"/>
              </w:rPr>
              <w:t>CCF</w:t>
            </w:r>
            <w:r w:rsidRPr="00883399">
              <w:rPr>
                <w:b/>
                <w:i/>
                <w:sz w:val="24"/>
                <w:vertAlign w:val="subscript"/>
              </w:rPr>
              <w:t>i</w:t>
            </w:r>
            <w:r w:rsidRPr="00883399">
              <w:rPr>
                <w:b/>
                <w:i/>
                <w:sz w:val="24"/>
              </w:rPr>
              <w:t xml:space="preserve"> </w:t>
            </w:r>
            <w:r w:rsidRPr="00883399">
              <w:rPr>
                <w:sz w:val="24"/>
              </w:rPr>
              <w:t xml:space="preserve">has the </w:t>
            </w:r>
            <w:r w:rsidRPr="00883399">
              <w:rPr>
                <w:iCs/>
                <w:sz w:val="24"/>
              </w:rPr>
              <w:t>same</w:t>
            </w:r>
            <w:r w:rsidRPr="00883399">
              <w:rPr>
                <w:sz w:val="24"/>
              </w:rPr>
              <w:t xml:space="preserve"> meaning as in step 1.</w:t>
            </w:r>
          </w:p>
          <w:p w14:paraId="02984B86" w14:textId="77777777" w:rsidR="00872C03" w:rsidRPr="00883399" w:rsidRDefault="00872C03" w:rsidP="0031057E">
            <w:pPr>
              <w:pStyle w:val="Definition0"/>
              <w:spacing w:before="60" w:after="60"/>
              <w:ind w:left="34"/>
              <w:rPr>
                <w:sz w:val="24"/>
              </w:rPr>
            </w:pPr>
            <w:r w:rsidRPr="00883399">
              <w:rPr>
                <w:b/>
                <w:i/>
                <w:iCs/>
                <w:sz w:val="24"/>
              </w:rPr>
              <w:t>ΔS</w:t>
            </w:r>
            <w:r w:rsidRPr="00883399">
              <w:rPr>
                <w:b/>
                <w:i/>
                <w:iCs/>
                <w:sz w:val="24"/>
                <w:szCs w:val="18"/>
                <w:vertAlign w:val="subscript"/>
              </w:rPr>
              <w:t>q</w:t>
            </w:r>
            <w:r w:rsidRPr="00883399">
              <w:rPr>
                <w:b/>
                <w:i/>
                <w:iCs/>
                <w:sz w:val="24"/>
                <w:vertAlign w:val="subscript"/>
              </w:rPr>
              <w:t>i</w:t>
            </w:r>
            <w:r w:rsidRPr="00883399">
              <w:rPr>
                <w:iCs/>
                <w:sz w:val="24"/>
              </w:rPr>
              <w:t xml:space="preserve"> is the change in stocks of fuel type (</w:t>
            </w:r>
            <w:r w:rsidRPr="00883399">
              <w:rPr>
                <w:b/>
                <w:i/>
                <w:iCs/>
                <w:sz w:val="24"/>
              </w:rPr>
              <w:t>i</w:t>
            </w:r>
            <w:r w:rsidRPr="00883399">
              <w:rPr>
                <w:iCs/>
                <w:sz w:val="24"/>
              </w:rPr>
              <w:t xml:space="preserve">) for the activity and held </w:t>
            </w:r>
            <w:r w:rsidRPr="00883399">
              <w:rPr>
                <w:sz w:val="24"/>
              </w:rPr>
              <w:t xml:space="preserve">within </w:t>
            </w:r>
            <w:r w:rsidRPr="00883399">
              <w:rPr>
                <w:iCs/>
                <w:sz w:val="24"/>
              </w:rPr>
              <w:t xml:space="preserve">the </w:t>
            </w:r>
            <w:r w:rsidRPr="00883399">
              <w:rPr>
                <w:sz w:val="24"/>
                <w:szCs w:val="22"/>
              </w:rPr>
              <w:t>boundary</w:t>
            </w:r>
            <w:r w:rsidRPr="00883399">
              <w:rPr>
                <w:iCs/>
                <w:sz w:val="24"/>
              </w:rPr>
              <w:t xml:space="preserve"> of </w:t>
            </w:r>
            <w:r w:rsidRPr="00883399">
              <w:rPr>
                <w:sz w:val="24"/>
              </w:rPr>
              <w:t xml:space="preserve">the activity </w:t>
            </w:r>
            <w:r w:rsidRPr="00883399">
              <w:rPr>
                <w:iCs/>
                <w:sz w:val="24"/>
              </w:rPr>
              <w:t xml:space="preserve">during the year, </w:t>
            </w:r>
            <w:r w:rsidRPr="00883399">
              <w:rPr>
                <w:sz w:val="24"/>
              </w:rPr>
              <w:t>measured</w:t>
            </w:r>
            <w:r w:rsidRPr="00883399">
              <w:rPr>
                <w:iCs/>
                <w:sz w:val="24"/>
              </w:rPr>
              <w:t xml:space="preserve"> in tonnes.</w:t>
            </w:r>
          </w:p>
        </w:tc>
      </w:tr>
      <w:tr w:rsidR="00872C03" w:rsidRPr="00883399" w14:paraId="1FFC672A" w14:textId="77777777" w:rsidTr="0031057E">
        <w:trPr>
          <w:cantSplit/>
        </w:trPr>
        <w:tc>
          <w:tcPr>
            <w:tcW w:w="826" w:type="dxa"/>
            <w:vAlign w:val="center"/>
            <w:hideMark/>
          </w:tcPr>
          <w:p w14:paraId="40AEC5F1" w14:textId="77777777" w:rsidR="00872C03" w:rsidRPr="00883399" w:rsidRDefault="00872C03" w:rsidP="0031057E">
            <w:pPr>
              <w:ind w:left="-97" w:right="-24"/>
              <w:rPr>
                <w:i/>
              </w:rPr>
            </w:pPr>
          </w:p>
        </w:tc>
        <w:tc>
          <w:tcPr>
            <w:tcW w:w="6733" w:type="dxa"/>
            <w:hideMark/>
          </w:tcPr>
          <w:p w14:paraId="0BEC755D" w14:textId="77777777" w:rsidR="00872C03" w:rsidRPr="00883399" w:rsidRDefault="00872C03" w:rsidP="0031057E">
            <w:pPr>
              <w:pStyle w:val="Definition0"/>
              <w:spacing w:before="60" w:after="60"/>
              <w:ind w:left="34"/>
              <w:rPr>
                <w:b/>
                <w:i/>
                <w:sz w:val="24"/>
              </w:rPr>
            </w:pPr>
            <w:r w:rsidRPr="00883399">
              <w:rPr>
                <w:rFonts w:ascii="Symbol" w:hAnsi="Symbol"/>
                <w:b/>
                <w:i/>
                <w:sz w:val="24"/>
              </w:rPr>
              <w:t></w:t>
            </w:r>
            <w:r w:rsidRPr="00883399">
              <w:rPr>
                <w:b/>
                <w:i/>
                <w:sz w:val="24"/>
                <w:vertAlign w:val="subscript"/>
              </w:rPr>
              <w:t>p</w:t>
            </w:r>
            <w:r w:rsidRPr="00883399">
              <w:rPr>
                <w:b/>
                <w:i/>
                <w:sz w:val="24"/>
              </w:rPr>
              <w:t xml:space="preserve"> </w:t>
            </w:r>
            <w:r w:rsidRPr="00883399">
              <w:rPr>
                <w:sz w:val="24"/>
              </w:rPr>
              <w:t>has the same meaning as in step 2.</w:t>
            </w:r>
          </w:p>
          <w:p w14:paraId="095F16DA" w14:textId="77777777" w:rsidR="00872C03" w:rsidRPr="00883399" w:rsidRDefault="00872C03" w:rsidP="0031057E">
            <w:pPr>
              <w:pStyle w:val="Definition0"/>
              <w:spacing w:before="60" w:after="60"/>
              <w:ind w:left="34"/>
              <w:rPr>
                <w:b/>
                <w:i/>
                <w:iCs/>
                <w:sz w:val="24"/>
              </w:rPr>
            </w:pPr>
            <w:r w:rsidRPr="00883399">
              <w:rPr>
                <w:b/>
                <w:i/>
                <w:sz w:val="24"/>
              </w:rPr>
              <w:t>CCF</w:t>
            </w:r>
            <w:r w:rsidRPr="00883399">
              <w:rPr>
                <w:b/>
                <w:i/>
                <w:sz w:val="24"/>
                <w:vertAlign w:val="subscript"/>
              </w:rPr>
              <w:t>p</w:t>
            </w:r>
            <w:r w:rsidRPr="00883399">
              <w:rPr>
                <w:b/>
                <w:i/>
                <w:sz w:val="24"/>
              </w:rPr>
              <w:t xml:space="preserve"> </w:t>
            </w:r>
            <w:r w:rsidRPr="00883399">
              <w:rPr>
                <w:sz w:val="24"/>
              </w:rPr>
              <w:t>has the same meaning as in step 2.</w:t>
            </w:r>
          </w:p>
        </w:tc>
      </w:tr>
      <w:tr w:rsidR="00872C03" w:rsidRPr="00883399" w14:paraId="5E014758" w14:textId="77777777" w:rsidTr="0031057E">
        <w:trPr>
          <w:cantSplit/>
        </w:trPr>
        <w:tc>
          <w:tcPr>
            <w:tcW w:w="826" w:type="dxa"/>
            <w:vAlign w:val="center"/>
            <w:hideMark/>
          </w:tcPr>
          <w:p w14:paraId="310E720D" w14:textId="77777777" w:rsidR="00872C03" w:rsidRPr="00883399" w:rsidRDefault="00872C03" w:rsidP="0031057E">
            <w:pPr>
              <w:ind w:left="-97" w:right="-24"/>
              <w:rPr>
                <w:i/>
              </w:rPr>
            </w:pPr>
          </w:p>
        </w:tc>
        <w:tc>
          <w:tcPr>
            <w:tcW w:w="6733" w:type="dxa"/>
            <w:hideMark/>
          </w:tcPr>
          <w:p w14:paraId="123A349E" w14:textId="77777777" w:rsidR="00872C03" w:rsidRPr="00883399" w:rsidRDefault="00872C03" w:rsidP="0031057E">
            <w:pPr>
              <w:pStyle w:val="Definition0"/>
              <w:spacing w:before="60" w:after="60"/>
              <w:ind w:left="34"/>
              <w:rPr>
                <w:sz w:val="24"/>
              </w:rPr>
            </w:pPr>
            <w:r w:rsidRPr="00883399">
              <w:rPr>
                <w:b/>
                <w:i/>
                <w:iCs/>
                <w:sz w:val="24"/>
              </w:rPr>
              <w:t>ΔS</w:t>
            </w:r>
            <w:r w:rsidRPr="00883399">
              <w:rPr>
                <w:b/>
                <w:i/>
                <w:iCs/>
                <w:sz w:val="24"/>
                <w:szCs w:val="18"/>
                <w:vertAlign w:val="subscript"/>
              </w:rPr>
              <w:t>a</w:t>
            </w:r>
            <w:r w:rsidRPr="00883399">
              <w:rPr>
                <w:b/>
                <w:i/>
                <w:iCs/>
                <w:sz w:val="24"/>
                <w:vertAlign w:val="subscript"/>
              </w:rPr>
              <w:t>p</w:t>
            </w:r>
            <w:r w:rsidRPr="00883399">
              <w:rPr>
                <w:iCs/>
                <w:sz w:val="24"/>
                <w:szCs w:val="18"/>
              </w:rPr>
              <w:t xml:space="preserve"> is the change in stocks of </w:t>
            </w:r>
            <w:r w:rsidRPr="00883399">
              <w:rPr>
                <w:iCs/>
                <w:sz w:val="24"/>
              </w:rPr>
              <w:t>product types (</w:t>
            </w:r>
            <w:r w:rsidRPr="00883399">
              <w:rPr>
                <w:b/>
                <w:i/>
                <w:iCs/>
                <w:sz w:val="24"/>
              </w:rPr>
              <w:t>p)</w:t>
            </w:r>
            <w:r w:rsidRPr="00883399">
              <w:rPr>
                <w:iCs/>
                <w:sz w:val="24"/>
              </w:rPr>
              <w:t xml:space="preserve"> produced by the activity and held </w:t>
            </w:r>
            <w:r w:rsidRPr="00883399">
              <w:rPr>
                <w:sz w:val="24"/>
                <w:szCs w:val="22"/>
              </w:rPr>
              <w:t>within</w:t>
            </w:r>
            <w:r w:rsidRPr="00883399">
              <w:rPr>
                <w:sz w:val="24"/>
              </w:rPr>
              <w:t xml:space="preserve">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872C03" w:rsidRPr="00883399" w14:paraId="3518AC13" w14:textId="77777777" w:rsidTr="0031057E">
        <w:trPr>
          <w:cantSplit/>
        </w:trPr>
        <w:tc>
          <w:tcPr>
            <w:tcW w:w="826" w:type="dxa"/>
          </w:tcPr>
          <w:p w14:paraId="721AF2C7" w14:textId="77777777" w:rsidR="00872C03" w:rsidRPr="00883399" w:rsidRDefault="00872C03" w:rsidP="0031057E">
            <w:pPr>
              <w:spacing w:before="60" w:after="60"/>
              <w:ind w:left="-97" w:right="-24"/>
              <w:rPr>
                <w:i/>
              </w:rPr>
            </w:pPr>
          </w:p>
        </w:tc>
        <w:tc>
          <w:tcPr>
            <w:tcW w:w="6733" w:type="dxa"/>
            <w:hideMark/>
          </w:tcPr>
          <w:p w14:paraId="0EE0A725" w14:textId="77777777" w:rsidR="00872C03" w:rsidRPr="00883399" w:rsidRDefault="00872C03" w:rsidP="0031057E">
            <w:pPr>
              <w:pStyle w:val="Definition0"/>
              <w:spacing w:before="60" w:after="60"/>
              <w:ind w:left="34"/>
              <w:rPr>
                <w:b/>
                <w:i/>
                <w:sz w:val="24"/>
              </w:rPr>
            </w:pPr>
            <w:r w:rsidRPr="00883399">
              <w:rPr>
                <w:rFonts w:ascii="Symbol" w:hAnsi="Symbol"/>
                <w:b/>
                <w:i/>
                <w:sz w:val="24"/>
              </w:rPr>
              <w:t></w:t>
            </w:r>
            <w:r w:rsidRPr="00883399">
              <w:rPr>
                <w:b/>
                <w:i/>
                <w:sz w:val="24"/>
                <w:vertAlign w:val="subscript"/>
              </w:rPr>
              <w:t>r</w:t>
            </w:r>
            <w:r w:rsidRPr="00883399">
              <w:rPr>
                <w:b/>
                <w:i/>
                <w:sz w:val="24"/>
              </w:rPr>
              <w:t xml:space="preserve"> </w:t>
            </w:r>
            <w:r w:rsidRPr="00883399">
              <w:rPr>
                <w:sz w:val="24"/>
              </w:rPr>
              <w:t>has the same meaning as in step 3.</w:t>
            </w:r>
          </w:p>
          <w:p w14:paraId="5B78EAD1" w14:textId="77777777" w:rsidR="00872C03" w:rsidRPr="00883399" w:rsidRDefault="00872C03" w:rsidP="0031057E">
            <w:pPr>
              <w:pStyle w:val="Definition0"/>
              <w:spacing w:before="60" w:after="60"/>
              <w:ind w:left="34"/>
              <w:rPr>
                <w:b/>
                <w:i/>
                <w:iCs/>
                <w:sz w:val="24"/>
              </w:rPr>
            </w:pPr>
            <w:r w:rsidRPr="00883399">
              <w:rPr>
                <w:b/>
                <w:i/>
                <w:sz w:val="24"/>
              </w:rPr>
              <w:t>CCF</w:t>
            </w:r>
            <w:r w:rsidRPr="00883399">
              <w:rPr>
                <w:b/>
                <w:i/>
                <w:sz w:val="24"/>
                <w:vertAlign w:val="subscript"/>
              </w:rPr>
              <w:t>r</w:t>
            </w:r>
            <w:r w:rsidRPr="00883399">
              <w:rPr>
                <w:b/>
                <w:i/>
                <w:sz w:val="24"/>
              </w:rPr>
              <w:t xml:space="preserve"> </w:t>
            </w:r>
            <w:r w:rsidRPr="00883399">
              <w:rPr>
                <w:sz w:val="24"/>
              </w:rPr>
              <w:t>has the same meaning as in step 3.</w:t>
            </w:r>
          </w:p>
          <w:p w14:paraId="48D52C7E" w14:textId="77777777" w:rsidR="00872C03" w:rsidRPr="00883399" w:rsidRDefault="00872C03" w:rsidP="0031057E">
            <w:pPr>
              <w:pStyle w:val="Definition0"/>
              <w:spacing w:before="60" w:after="60"/>
              <w:ind w:left="34"/>
              <w:rPr>
                <w:sz w:val="24"/>
              </w:rPr>
            </w:pPr>
            <w:r w:rsidRPr="00883399">
              <w:rPr>
                <w:b/>
                <w:i/>
                <w:iCs/>
                <w:sz w:val="24"/>
              </w:rPr>
              <w:t>ΔS</w:t>
            </w:r>
            <w:r w:rsidRPr="00883399">
              <w:rPr>
                <w:b/>
                <w:i/>
                <w:iCs/>
                <w:sz w:val="24"/>
                <w:szCs w:val="18"/>
                <w:vertAlign w:val="subscript"/>
              </w:rPr>
              <w:t>y</w:t>
            </w:r>
            <w:r w:rsidRPr="00883399">
              <w:rPr>
                <w:b/>
                <w:i/>
                <w:iCs/>
                <w:sz w:val="24"/>
                <w:vertAlign w:val="subscript"/>
              </w:rPr>
              <w:t>r</w:t>
            </w:r>
            <w:r w:rsidRPr="00883399">
              <w:rPr>
                <w:iCs/>
                <w:sz w:val="24"/>
              </w:rPr>
              <w:t xml:space="preserve"> is the change in stocks of waste by</w:t>
            </w:r>
            <w:r w:rsidRPr="00883399">
              <w:rPr>
                <w:iCs/>
                <w:sz w:val="24"/>
              </w:rPr>
              <w:noBreakHyphen/>
              <w:t>product types (</w:t>
            </w:r>
            <w:r w:rsidRPr="00883399">
              <w:rPr>
                <w:b/>
                <w:i/>
                <w:iCs/>
                <w:sz w:val="24"/>
              </w:rPr>
              <w:t>r</w:t>
            </w:r>
            <w:r w:rsidRPr="00883399">
              <w:rPr>
                <w:iCs/>
                <w:sz w:val="24"/>
              </w:rPr>
              <w:t xml:space="preserve">) produced from the operation </w:t>
            </w:r>
            <w:r w:rsidRPr="00883399">
              <w:rPr>
                <w:sz w:val="24"/>
                <w:szCs w:val="22"/>
              </w:rPr>
              <w:t>of</w:t>
            </w:r>
            <w:r w:rsidRPr="00883399">
              <w:rPr>
                <w:iCs/>
                <w:sz w:val="24"/>
              </w:rPr>
              <w:t xml:space="preserve">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872C03" w:rsidRPr="00883399" w14:paraId="430EC293" w14:textId="77777777" w:rsidTr="0031057E">
        <w:trPr>
          <w:cantSplit/>
        </w:trPr>
        <w:tc>
          <w:tcPr>
            <w:tcW w:w="826" w:type="dxa"/>
            <w:hideMark/>
          </w:tcPr>
          <w:p w14:paraId="0E8E27A0" w14:textId="77777777" w:rsidR="00872C03" w:rsidRPr="00883399" w:rsidRDefault="00872C03" w:rsidP="0031057E">
            <w:pPr>
              <w:pStyle w:val="Tabletext0"/>
              <w:keepNext/>
              <w:keepLines/>
              <w:rPr>
                <w:sz w:val="24"/>
                <w:szCs w:val="22"/>
              </w:rPr>
            </w:pPr>
            <w:r w:rsidRPr="00883399">
              <w:rPr>
                <w:sz w:val="24"/>
                <w:szCs w:val="22"/>
              </w:rPr>
              <w:t>Step 5</w:t>
            </w:r>
          </w:p>
        </w:tc>
        <w:tc>
          <w:tcPr>
            <w:tcW w:w="6733" w:type="dxa"/>
            <w:hideMark/>
          </w:tcPr>
          <w:p w14:paraId="7E92ECFA" w14:textId="77777777" w:rsidR="00872C03" w:rsidRPr="00883399" w:rsidRDefault="00872C03" w:rsidP="0031057E">
            <w:pPr>
              <w:pStyle w:val="Tabletext0"/>
              <w:keepNext/>
              <w:keepLines/>
              <w:spacing w:after="120"/>
              <w:rPr>
                <w:sz w:val="24"/>
                <w:szCs w:val="22"/>
              </w:rPr>
            </w:pPr>
            <w:r w:rsidRPr="00883399">
              <w:rPr>
                <w:sz w:val="24"/>
                <w:szCs w:val="22"/>
              </w:rPr>
              <w:t>Work out the emissions of carbon dioxide released from the operation of the activity during the year, measured in CO</w:t>
            </w:r>
            <w:r w:rsidRPr="00883399">
              <w:rPr>
                <w:sz w:val="24"/>
                <w:szCs w:val="22"/>
                <w:vertAlign w:val="subscript"/>
              </w:rPr>
              <w:t>2</w:t>
            </w:r>
            <w:r w:rsidRPr="00883399">
              <w:rPr>
                <w:sz w:val="24"/>
                <w:szCs w:val="22"/>
              </w:rPr>
              <w:noBreakHyphen/>
              <w:t>e tonnes, as follows:</w:t>
            </w:r>
          </w:p>
          <w:p w14:paraId="659A3A70" w14:textId="77777777" w:rsidR="00872C03" w:rsidRPr="00883399" w:rsidRDefault="00872C03" w:rsidP="0031057E">
            <w:pPr>
              <w:pStyle w:val="TableP1a"/>
              <w:rPr>
                <w:sz w:val="24"/>
              </w:rPr>
            </w:pPr>
            <w:r w:rsidRPr="00883399">
              <w:rPr>
                <w:sz w:val="24"/>
              </w:rPr>
              <w:tab/>
              <w:t>(a)</w:t>
            </w:r>
            <w:r w:rsidRPr="00883399">
              <w:rPr>
                <w:sz w:val="24"/>
              </w:rPr>
              <w:tab/>
              <w:t>add the amounts worked out under steps 2, 3 and 4 to work out a new amount (</w:t>
            </w:r>
            <w:r w:rsidRPr="00883399">
              <w:rPr>
                <w:b/>
                <w:i/>
                <w:sz w:val="24"/>
              </w:rPr>
              <w:t>amount A</w:t>
            </w:r>
            <w:r w:rsidRPr="00883399">
              <w:rPr>
                <w:sz w:val="24"/>
              </w:rPr>
              <w:t>);</w:t>
            </w:r>
          </w:p>
          <w:p w14:paraId="68C0D232" w14:textId="77777777" w:rsidR="00872C03" w:rsidRPr="00883399" w:rsidRDefault="00872C03" w:rsidP="0031057E">
            <w:pPr>
              <w:pStyle w:val="TableP1a"/>
              <w:rPr>
                <w:sz w:val="24"/>
              </w:rPr>
            </w:pPr>
            <w:r w:rsidRPr="00883399">
              <w:rPr>
                <w:sz w:val="24"/>
              </w:rPr>
              <w:tab/>
              <w:t>(b)</w:t>
            </w:r>
            <w:r w:rsidRPr="00883399">
              <w:rPr>
                <w:sz w:val="24"/>
              </w:rPr>
              <w:tab/>
              <w:t>subtract amount A from the amount worked out under step 1 to work out a new amount (</w:t>
            </w:r>
            <w:r w:rsidRPr="00883399">
              <w:rPr>
                <w:b/>
                <w:i/>
                <w:sz w:val="24"/>
              </w:rPr>
              <w:t>amount B</w:t>
            </w:r>
            <w:r w:rsidRPr="00883399">
              <w:rPr>
                <w:sz w:val="24"/>
              </w:rPr>
              <w:t>);</w:t>
            </w:r>
          </w:p>
          <w:p w14:paraId="484CBD80" w14:textId="77777777" w:rsidR="00872C03" w:rsidRPr="00883399" w:rsidRDefault="00872C03" w:rsidP="0031057E">
            <w:pPr>
              <w:pStyle w:val="TableP1a"/>
              <w:rPr>
                <w:sz w:val="24"/>
              </w:rPr>
            </w:pPr>
            <w:r w:rsidRPr="00883399">
              <w:rPr>
                <w:sz w:val="24"/>
              </w:rPr>
              <w:tab/>
              <w:t>(c)</w:t>
            </w:r>
            <w:r w:rsidRPr="00883399">
              <w:rPr>
                <w:sz w:val="24"/>
              </w:rPr>
              <w:tab/>
              <w:t>multiply amount B by 3.664 to work out the amount of emissions released from the operation of the activity during the year.</w:t>
            </w:r>
          </w:p>
        </w:tc>
      </w:tr>
    </w:tbl>
    <w:p w14:paraId="284B4A89" w14:textId="77777777" w:rsidR="00872C03" w:rsidRPr="00883399" w:rsidRDefault="00872C03" w:rsidP="00872C03">
      <w:pPr>
        <w:pStyle w:val="SubsectionHead"/>
        <w:rPr>
          <w:sz w:val="24"/>
        </w:rPr>
      </w:pPr>
      <w:r w:rsidRPr="00883399">
        <w:rPr>
          <w:sz w:val="24"/>
        </w:rPr>
        <w:t>Method 2</w:t>
      </w:r>
    </w:p>
    <w:p w14:paraId="6B772808" w14:textId="77777777" w:rsidR="00872C03" w:rsidRPr="00883399" w:rsidRDefault="00872C03" w:rsidP="00872C03">
      <w:pPr>
        <w:pStyle w:val="subsection"/>
        <w:rPr>
          <w:sz w:val="24"/>
        </w:rPr>
      </w:pPr>
      <w:r w:rsidRPr="00883399">
        <w:rPr>
          <w:sz w:val="24"/>
        </w:rPr>
        <w:tab/>
        <w:t>(4)</w:t>
      </w:r>
      <w:r w:rsidRPr="00883399">
        <w:rPr>
          <w:sz w:val="24"/>
        </w:rPr>
        <w:tab/>
        <w:t>Subject to subsections (5) to (7), method 2 is the same as method 1 under subsection (3).</w:t>
      </w:r>
    </w:p>
    <w:p w14:paraId="5547B8EF" w14:textId="77777777" w:rsidR="00872C03" w:rsidRPr="00883399" w:rsidRDefault="00872C03" w:rsidP="00872C03">
      <w:pPr>
        <w:pStyle w:val="subsection"/>
        <w:spacing w:after="60"/>
        <w:rPr>
          <w:sz w:val="24"/>
        </w:rPr>
      </w:pPr>
      <w:r w:rsidRPr="00883399">
        <w:rPr>
          <w:sz w:val="24"/>
        </w:rPr>
        <w:tab/>
        <w:t>(5)</w:t>
      </w:r>
      <w:r w:rsidRPr="00883399">
        <w:rPr>
          <w:sz w:val="24"/>
        </w:rPr>
        <w:tab/>
        <w:t>In applying method 1 as method 2, step 4 in subsection (3) is to be omitted and the following step 4 substituted.</w:t>
      </w:r>
    </w:p>
    <w:tbl>
      <w:tblPr>
        <w:tblW w:w="7665" w:type="dxa"/>
        <w:tblInd w:w="948" w:type="dxa"/>
        <w:tblLayout w:type="fixed"/>
        <w:tblLook w:val="04A0" w:firstRow="1" w:lastRow="0" w:firstColumn="1" w:lastColumn="0" w:noHBand="0" w:noVBand="1"/>
      </w:tblPr>
      <w:tblGrid>
        <w:gridCol w:w="882"/>
        <w:gridCol w:w="6783"/>
      </w:tblGrid>
      <w:tr w:rsidR="00872C03" w:rsidRPr="00883399" w14:paraId="740C8F42" w14:textId="77777777" w:rsidTr="0031057E">
        <w:trPr>
          <w:cantSplit/>
          <w:trHeight w:val="74"/>
        </w:trPr>
        <w:tc>
          <w:tcPr>
            <w:tcW w:w="882" w:type="dxa"/>
            <w:vMerge w:val="restart"/>
            <w:hideMark/>
          </w:tcPr>
          <w:p w14:paraId="3B8E96BF" w14:textId="77777777" w:rsidR="00872C03" w:rsidRPr="00883399" w:rsidRDefault="00872C03" w:rsidP="0031057E">
            <w:pPr>
              <w:pStyle w:val="Tabletext0"/>
              <w:keepNext/>
              <w:keepLines/>
              <w:rPr>
                <w:sz w:val="22"/>
              </w:rPr>
            </w:pPr>
            <w:r w:rsidRPr="00883399">
              <w:rPr>
                <w:sz w:val="24"/>
                <w:szCs w:val="22"/>
              </w:rPr>
              <w:t>Step 4</w:t>
            </w:r>
          </w:p>
        </w:tc>
        <w:tc>
          <w:tcPr>
            <w:tcW w:w="6783" w:type="dxa"/>
            <w:hideMark/>
          </w:tcPr>
          <w:p w14:paraId="6839E2C5" w14:textId="77777777" w:rsidR="00872C03" w:rsidRPr="00883399" w:rsidRDefault="00872C03" w:rsidP="0031057E">
            <w:pPr>
              <w:pStyle w:val="Tabletext0"/>
              <w:keepNext/>
              <w:keepLines/>
              <w:rPr>
                <w:sz w:val="24"/>
                <w:szCs w:val="22"/>
              </w:rPr>
            </w:pPr>
            <w:r w:rsidRPr="00883399">
              <w:rPr>
                <w:sz w:val="24"/>
                <w:szCs w:val="22"/>
              </w:rPr>
              <w:t>Work out the carbon content in the amount of the change in stocks of inputs, products and waste by</w:t>
            </w:r>
            <w:r w:rsidRPr="00883399">
              <w:rPr>
                <w:sz w:val="24"/>
                <w:szCs w:val="22"/>
              </w:rPr>
              <w:noBreakHyphen/>
              <w:t>products held within the boundary of the activity during the year, measured in tonnes of carbon, as follows:</w:t>
            </w:r>
          </w:p>
          <w:p w14:paraId="0FBD810D" w14:textId="2FA5F0F3" w:rsidR="00872C03" w:rsidRPr="00883399" w:rsidRDefault="00872C03" w:rsidP="0031057E">
            <w:pPr>
              <w:pStyle w:val="Formula"/>
              <w:spacing w:before="120" w:after="120"/>
              <w:ind w:left="13" w:right="-213"/>
              <w:rPr>
                <w:szCs w:val="22"/>
              </w:rPr>
            </w:pPr>
            <w:r w:rsidRPr="00883399">
              <w:rPr>
                <w:noProof/>
                <w:position w:val="-16"/>
                <w:szCs w:val="22"/>
              </w:rPr>
              <w:drawing>
                <wp:inline distT="0" distB="0" distL="0" distR="0" wp14:anchorId="117C9A56" wp14:editId="74398139">
                  <wp:extent cx="4215765" cy="225425"/>
                  <wp:effectExtent l="1905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65"/>
                          <a:srcRect/>
                          <a:stretch>
                            <a:fillRect/>
                          </a:stretch>
                        </pic:blipFill>
                        <pic:spPr bwMode="auto">
                          <a:xfrm>
                            <a:off x="0" y="0"/>
                            <a:ext cx="4215765" cy="225425"/>
                          </a:xfrm>
                          <a:prstGeom prst="rect">
                            <a:avLst/>
                          </a:prstGeom>
                          <a:noFill/>
                          <a:ln w="9525">
                            <a:noFill/>
                            <a:miter lim="800000"/>
                            <a:headEnd/>
                            <a:tailEnd/>
                          </a:ln>
                        </pic:spPr>
                      </pic:pic>
                    </a:graphicData>
                  </a:graphic>
                </wp:inline>
              </w:drawing>
            </w:r>
          </w:p>
        </w:tc>
      </w:tr>
      <w:tr w:rsidR="00872C03" w:rsidRPr="00883399" w14:paraId="4461AC1D" w14:textId="77777777" w:rsidTr="0031057E">
        <w:trPr>
          <w:cantSplit/>
        </w:trPr>
        <w:tc>
          <w:tcPr>
            <w:tcW w:w="882" w:type="dxa"/>
            <w:vMerge/>
            <w:vAlign w:val="center"/>
            <w:hideMark/>
          </w:tcPr>
          <w:p w14:paraId="20E0D861" w14:textId="77777777" w:rsidR="00872C03" w:rsidRPr="00883399" w:rsidRDefault="00872C03" w:rsidP="0031057E">
            <w:pPr>
              <w:rPr>
                <w:i/>
              </w:rPr>
            </w:pPr>
          </w:p>
        </w:tc>
        <w:tc>
          <w:tcPr>
            <w:tcW w:w="6783" w:type="dxa"/>
            <w:hideMark/>
          </w:tcPr>
          <w:p w14:paraId="6CD9CF63" w14:textId="77777777" w:rsidR="00872C03" w:rsidRPr="00883399" w:rsidRDefault="00872C03" w:rsidP="0031057E">
            <w:pPr>
              <w:pStyle w:val="subsection2"/>
              <w:ind w:left="34"/>
              <w:rPr>
                <w:sz w:val="24"/>
              </w:rPr>
            </w:pPr>
            <w:r w:rsidRPr="00883399">
              <w:rPr>
                <w:sz w:val="24"/>
              </w:rPr>
              <w:t>where:</w:t>
            </w:r>
          </w:p>
          <w:p w14:paraId="7AF5F41C" w14:textId="77777777" w:rsidR="00872C03" w:rsidRPr="00883399" w:rsidRDefault="00872C03" w:rsidP="0031057E">
            <w:pPr>
              <w:pStyle w:val="Definition0"/>
              <w:ind w:left="34"/>
              <w:rPr>
                <w:sz w:val="24"/>
              </w:rPr>
            </w:pPr>
            <w:r w:rsidRPr="00883399">
              <w:rPr>
                <w:rFonts w:ascii="Symbol" w:hAnsi="Symbol"/>
                <w:b/>
                <w:i/>
                <w:sz w:val="24"/>
              </w:rPr>
              <w:t></w:t>
            </w:r>
            <w:r w:rsidRPr="00883399">
              <w:rPr>
                <w:b/>
                <w:i/>
                <w:sz w:val="24"/>
                <w:vertAlign w:val="subscript"/>
              </w:rPr>
              <w:t>i</w:t>
            </w:r>
            <w:r w:rsidRPr="00883399">
              <w:rPr>
                <w:b/>
                <w:i/>
                <w:sz w:val="24"/>
              </w:rPr>
              <w:t xml:space="preserve"> </w:t>
            </w:r>
            <w:r w:rsidRPr="00883399">
              <w:rPr>
                <w:sz w:val="24"/>
              </w:rPr>
              <w:t>has the same meaning as in step 1.</w:t>
            </w:r>
          </w:p>
          <w:p w14:paraId="48A2CCC8" w14:textId="77777777" w:rsidR="00872C03" w:rsidRPr="00883399" w:rsidRDefault="00872C03" w:rsidP="0031057E">
            <w:pPr>
              <w:pStyle w:val="Definition0"/>
              <w:spacing w:before="60" w:after="60"/>
              <w:ind w:left="34"/>
              <w:rPr>
                <w:iCs/>
                <w:sz w:val="24"/>
              </w:rPr>
            </w:pPr>
            <w:r w:rsidRPr="00883399">
              <w:rPr>
                <w:b/>
                <w:i/>
                <w:sz w:val="24"/>
              </w:rPr>
              <w:t>CCF</w:t>
            </w:r>
            <w:r w:rsidRPr="00883399">
              <w:rPr>
                <w:b/>
                <w:i/>
                <w:sz w:val="24"/>
                <w:vertAlign w:val="subscript"/>
              </w:rPr>
              <w:t>i</w:t>
            </w:r>
            <w:r w:rsidRPr="00883399">
              <w:rPr>
                <w:b/>
                <w:i/>
                <w:sz w:val="24"/>
              </w:rPr>
              <w:t xml:space="preserve"> </w:t>
            </w:r>
            <w:r w:rsidRPr="00883399">
              <w:rPr>
                <w:sz w:val="24"/>
              </w:rPr>
              <w:t>has the same meaning as in step 1.</w:t>
            </w:r>
          </w:p>
          <w:p w14:paraId="2897032D" w14:textId="77777777" w:rsidR="00872C03" w:rsidRPr="00883399" w:rsidRDefault="00872C03" w:rsidP="0031057E">
            <w:pPr>
              <w:pStyle w:val="Definition0"/>
              <w:spacing w:before="60" w:after="60"/>
              <w:ind w:left="34"/>
              <w:rPr>
                <w:iCs/>
                <w:sz w:val="24"/>
              </w:rPr>
            </w:pPr>
            <w:r w:rsidRPr="00883399">
              <w:rPr>
                <w:b/>
                <w:i/>
                <w:iCs/>
                <w:sz w:val="24"/>
              </w:rPr>
              <w:t>ΔS</w:t>
            </w:r>
            <w:r w:rsidRPr="00883399">
              <w:rPr>
                <w:b/>
                <w:i/>
                <w:iCs/>
                <w:sz w:val="24"/>
                <w:szCs w:val="18"/>
                <w:vertAlign w:val="subscript"/>
              </w:rPr>
              <w:t>q</w:t>
            </w:r>
            <w:r w:rsidRPr="00883399">
              <w:rPr>
                <w:b/>
                <w:i/>
                <w:iCs/>
                <w:sz w:val="24"/>
                <w:vertAlign w:val="subscript"/>
              </w:rPr>
              <w:t>i</w:t>
            </w:r>
            <w:r w:rsidRPr="00883399">
              <w:rPr>
                <w:iCs/>
                <w:sz w:val="24"/>
              </w:rPr>
              <w:t xml:space="preserve"> is the change in </w:t>
            </w:r>
            <w:r w:rsidRPr="00883399">
              <w:rPr>
                <w:sz w:val="24"/>
                <w:szCs w:val="22"/>
              </w:rPr>
              <w:t>stocks</w:t>
            </w:r>
            <w:r w:rsidRPr="00883399">
              <w:rPr>
                <w:iCs/>
                <w:sz w:val="24"/>
              </w:rPr>
              <w:t xml:space="preserve"> of fuel type (</w:t>
            </w:r>
            <w:r w:rsidRPr="00883399">
              <w:rPr>
                <w:b/>
                <w:i/>
                <w:iCs/>
                <w:sz w:val="24"/>
              </w:rPr>
              <w:t>i</w:t>
            </w:r>
            <w:r w:rsidRPr="00883399">
              <w:rPr>
                <w:iCs/>
                <w:sz w:val="24"/>
              </w:rPr>
              <w:t xml:space="preserve">) for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872C03" w:rsidRPr="00883399" w14:paraId="45515D9A" w14:textId="77777777" w:rsidTr="0031057E">
        <w:trPr>
          <w:cantSplit/>
        </w:trPr>
        <w:tc>
          <w:tcPr>
            <w:tcW w:w="882" w:type="dxa"/>
            <w:vAlign w:val="center"/>
            <w:hideMark/>
          </w:tcPr>
          <w:p w14:paraId="7214BB69" w14:textId="77777777" w:rsidR="00872C03" w:rsidRPr="00883399" w:rsidRDefault="00872C03" w:rsidP="0031057E">
            <w:pPr>
              <w:rPr>
                <w:i/>
              </w:rPr>
            </w:pPr>
          </w:p>
        </w:tc>
        <w:tc>
          <w:tcPr>
            <w:tcW w:w="6783" w:type="dxa"/>
            <w:hideMark/>
          </w:tcPr>
          <w:p w14:paraId="2066940C" w14:textId="77777777" w:rsidR="00872C03" w:rsidRPr="00883399" w:rsidRDefault="00872C03" w:rsidP="0031057E">
            <w:pPr>
              <w:pStyle w:val="Definition0"/>
              <w:spacing w:before="60" w:after="60"/>
              <w:ind w:left="34"/>
              <w:rPr>
                <w:b/>
                <w:i/>
                <w:sz w:val="24"/>
              </w:rPr>
            </w:pPr>
            <w:r w:rsidRPr="00883399">
              <w:rPr>
                <w:rFonts w:ascii="Symbol" w:hAnsi="Symbol"/>
                <w:b/>
                <w:i/>
                <w:sz w:val="24"/>
              </w:rPr>
              <w:t></w:t>
            </w:r>
            <w:r w:rsidRPr="00883399">
              <w:rPr>
                <w:b/>
                <w:i/>
                <w:sz w:val="24"/>
                <w:vertAlign w:val="subscript"/>
              </w:rPr>
              <w:t>p</w:t>
            </w:r>
            <w:r w:rsidRPr="00883399">
              <w:rPr>
                <w:i/>
                <w:sz w:val="24"/>
              </w:rPr>
              <w:t xml:space="preserve"> </w:t>
            </w:r>
            <w:r w:rsidRPr="00883399">
              <w:rPr>
                <w:sz w:val="24"/>
              </w:rPr>
              <w:t>has the same meaning as in step 2.</w:t>
            </w:r>
          </w:p>
          <w:p w14:paraId="1A4A4F3A" w14:textId="77777777" w:rsidR="00872C03" w:rsidRPr="00883399" w:rsidRDefault="00872C03" w:rsidP="0031057E">
            <w:pPr>
              <w:pStyle w:val="Definition0"/>
              <w:spacing w:before="60" w:after="60"/>
              <w:ind w:left="34"/>
              <w:rPr>
                <w:b/>
                <w:i/>
                <w:iCs/>
                <w:sz w:val="24"/>
              </w:rPr>
            </w:pPr>
            <w:r w:rsidRPr="00883399">
              <w:rPr>
                <w:b/>
                <w:i/>
                <w:sz w:val="24"/>
              </w:rPr>
              <w:t>CCF</w:t>
            </w:r>
            <w:r w:rsidRPr="00883399">
              <w:rPr>
                <w:b/>
                <w:i/>
                <w:sz w:val="24"/>
                <w:vertAlign w:val="subscript"/>
              </w:rPr>
              <w:t>p</w:t>
            </w:r>
            <w:r w:rsidRPr="00883399">
              <w:rPr>
                <w:i/>
                <w:sz w:val="24"/>
              </w:rPr>
              <w:t xml:space="preserve"> </w:t>
            </w:r>
            <w:r w:rsidRPr="00883399">
              <w:rPr>
                <w:sz w:val="24"/>
              </w:rPr>
              <w:t>has the same meaning as in step 2.</w:t>
            </w:r>
          </w:p>
          <w:p w14:paraId="2FCE26C2" w14:textId="77777777" w:rsidR="00872C03" w:rsidRPr="00883399" w:rsidRDefault="00872C03" w:rsidP="0031057E">
            <w:pPr>
              <w:pStyle w:val="Definition0"/>
              <w:spacing w:before="60" w:after="60"/>
              <w:ind w:left="34"/>
              <w:rPr>
                <w:iCs/>
                <w:sz w:val="24"/>
              </w:rPr>
            </w:pPr>
            <w:r w:rsidRPr="00883399">
              <w:rPr>
                <w:b/>
                <w:i/>
                <w:iCs/>
                <w:sz w:val="24"/>
              </w:rPr>
              <w:t>ΔS</w:t>
            </w:r>
            <w:r w:rsidRPr="00883399">
              <w:rPr>
                <w:b/>
                <w:i/>
                <w:iCs/>
                <w:sz w:val="24"/>
                <w:szCs w:val="18"/>
                <w:vertAlign w:val="subscript"/>
              </w:rPr>
              <w:t>a</w:t>
            </w:r>
            <w:r w:rsidRPr="00883399">
              <w:rPr>
                <w:b/>
                <w:i/>
                <w:iCs/>
                <w:sz w:val="24"/>
                <w:vertAlign w:val="subscript"/>
              </w:rPr>
              <w:t>p</w:t>
            </w:r>
            <w:r w:rsidRPr="00883399">
              <w:rPr>
                <w:iCs/>
                <w:sz w:val="24"/>
                <w:szCs w:val="18"/>
              </w:rPr>
              <w:t xml:space="preserve"> is the change in </w:t>
            </w:r>
            <w:r w:rsidRPr="00883399">
              <w:rPr>
                <w:sz w:val="24"/>
                <w:szCs w:val="22"/>
              </w:rPr>
              <w:t>stocks</w:t>
            </w:r>
            <w:r w:rsidRPr="00883399">
              <w:rPr>
                <w:iCs/>
                <w:sz w:val="24"/>
                <w:szCs w:val="18"/>
              </w:rPr>
              <w:t xml:space="preserve"> of </w:t>
            </w:r>
            <w:r w:rsidRPr="00883399">
              <w:rPr>
                <w:iCs/>
                <w:sz w:val="24"/>
              </w:rPr>
              <w:t>product types (</w:t>
            </w:r>
            <w:r w:rsidRPr="00883399">
              <w:rPr>
                <w:b/>
                <w:i/>
                <w:iCs/>
                <w:sz w:val="24"/>
              </w:rPr>
              <w:t>p)</w:t>
            </w:r>
            <w:r w:rsidRPr="00883399">
              <w:rPr>
                <w:iCs/>
                <w:sz w:val="24"/>
              </w:rPr>
              <w:t xml:space="preserve"> produced by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p w14:paraId="12B1AD48" w14:textId="77777777" w:rsidR="00872C03" w:rsidRPr="00883399" w:rsidRDefault="00872C03" w:rsidP="0031057E">
            <w:pPr>
              <w:pStyle w:val="Definition0"/>
              <w:spacing w:before="60" w:after="60"/>
              <w:ind w:left="34"/>
              <w:rPr>
                <w:sz w:val="24"/>
              </w:rPr>
            </w:pPr>
            <w:r w:rsidRPr="00883399">
              <w:rPr>
                <w:rFonts w:ascii="Symbol" w:hAnsi="Symbol"/>
                <w:b/>
                <w:i/>
                <w:sz w:val="24"/>
              </w:rPr>
              <w:t></w:t>
            </w:r>
            <w:r w:rsidRPr="00883399">
              <w:rPr>
                <w:b/>
                <w:i/>
                <w:sz w:val="24"/>
                <w:vertAlign w:val="subscript"/>
              </w:rPr>
              <w:t>r</w:t>
            </w:r>
            <w:r w:rsidRPr="00883399">
              <w:rPr>
                <w:i/>
                <w:sz w:val="24"/>
              </w:rPr>
              <w:t xml:space="preserve"> </w:t>
            </w:r>
            <w:r w:rsidRPr="00883399">
              <w:rPr>
                <w:sz w:val="24"/>
              </w:rPr>
              <w:t>has the same meaning as in step 3.</w:t>
            </w:r>
          </w:p>
        </w:tc>
      </w:tr>
      <w:tr w:rsidR="00872C03" w:rsidRPr="00883399" w14:paraId="6EB19F9E" w14:textId="77777777" w:rsidTr="0031057E">
        <w:trPr>
          <w:cantSplit/>
        </w:trPr>
        <w:tc>
          <w:tcPr>
            <w:tcW w:w="882" w:type="dxa"/>
          </w:tcPr>
          <w:p w14:paraId="5D80AA7F" w14:textId="77777777" w:rsidR="00872C03" w:rsidRPr="00883399" w:rsidRDefault="00872C03" w:rsidP="0031057E">
            <w:pPr>
              <w:spacing w:before="60" w:after="60"/>
              <w:rPr>
                <w:i/>
              </w:rPr>
            </w:pPr>
          </w:p>
        </w:tc>
        <w:tc>
          <w:tcPr>
            <w:tcW w:w="6783" w:type="dxa"/>
            <w:hideMark/>
          </w:tcPr>
          <w:p w14:paraId="2C19A3E7" w14:textId="77777777" w:rsidR="00872C03" w:rsidRPr="00883399" w:rsidRDefault="00872C03" w:rsidP="0031057E">
            <w:pPr>
              <w:pStyle w:val="Definition0"/>
              <w:spacing w:before="60" w:after="60"/>
              <w:ind w:left="34"/>
              <w:rPr>
                <w:b/>
                <w:i/>
                <w:iCs/>
                <w:sz w:val="24"/>
              </w:rPr>
            </w:pPr>
            <w:r w:rsidRPr="00883399">
              <w:rPr>
                <w:b/>
                <w:i/>
                <w:sz w:val="24"/>
              </w:rPr>
              <w:t>CCF</w:t>
            </w:r>
            <w:r w:rsidRPr="00883399">
              <w:rPr>
                <w:b/>
                <w:i/>
                <w:sz w:val="24"/>
                <w:vertAlign w:val="subscript"/>
              </w:rPr>
              <w:t>r</w:t>
            </w:r>
            <w:r w:rsidRPr="00883399">
              <w:rPr>
                <w:i/>
                <w:sz w:val="24"/>
              </w:rPr>
              <w:t xml:space="preserve"> </w:t>
            </w:r>
            <w:r w:rsidRPr="00883399">
              <w:rPr>
                <w:sz w:val="24"/>
              </w:rPr>
              <w:t>has the same meaning as in step 3.</w:t>
            </w:r>
          </w:p>
        </w:tc>
      </w:tr>
      <w:tr w:rsidR="00872C03" w:rsidRPr="00883399" w14:paraId="57DBEC6E" w14:textId="77777777" w:rsidTr="0031057E">
        <w:trPr>
          <w:cantSplit/>
          <w:trHeight w:val="704"/>
        </w:trPr>
        <w:tc>
          <w:tcPr>
            <w:tcW w:w="882" w:type="dxa"/>
          </w:tcPr>
          <w:p w14:paraId="2F457446" w14:textId="77777777" w:rsidR="00872C03" w:rsidRPr="00883399" w:rsidRDefault="00872C03" w:rsidP="0031057E">
            <w:pPr>
              <w:spacing w:before="60" w:after="60"/>
              <w:rPr>
                <w:i/>
              </w:rPr>
            </w:pPr>
          </w:p>
        </w:tc>
        <w:tc>
          <w:tcPr>
            <w:tcW w:w="6783" w:type="dxa"/>
            <w:hideMark/>
          </w:tcPr>
          <w:p w14:paraId="168A6F48" w14:textId="77777777" w:rsidR="00872C03" w:rsidRPr="00883399" w:rsidRDefault="00872C03" w:rsidP="0031057E">
            <w:pPr>
              <w:pStyle w:val="Definition0"/>
              <w:spacing w:before="60" w:after="60"/>
              <w:ind w:left="34"/>
              <w:rPr>
                <w:rFonts w:ascii="Symbol" w:hAnsi="Symbol"/>
                <w:b/>
                <w:i/>
                <w:sz w:val="24"/>
              </w:rPr>
            </w:pPr>
            <w:r w:rsidRPr="00883399">
              <w:rPr>
                <w:b/>
                <w:i/>
                <w:iCs/>
                <w:sz w:val="24"/>
              </w:rPr>
              <w:t>ΔS</w:t>
            </w:r>
            <w:r w:rsidRPr="00883399">
              <w:rPr>
                <w:b/>
                <w:i/>
                <w:iCs/>
                <w:sz w:val="24"/>
                <w:szCs w:val="18"/>
                <w:vertAlign w:val="subscript"/>
              </w:rPr>
              <w:t>y</w:t>
            </w:r>
            <w:r w:rsidRPr="00883399">
              <w:rPr>
                <w:b/>
                <w:i/>
                <w:iCs/>
                <w:sz w:val="24"/>
                <w:vertAlign w:val="subscript"/>
              </w:rPr>
              <w:t>r</w:t>
            </w:r>
            <w:r w:rsidRPr="00883399">
              <w:rPr>
                <w:iCs/>
                <w:sz w:val="24"/>
              </w:rPr>
              <w:t xml:space="preserve"> is the change </w:t>
            </w:r>
            <w:r w:rsidRPr="00883399">
              <w:rPr>
                <w:sz w:val="24"/>
                <w:szCs w:val="22"/>
              </w:rPr>
              <w:t>in</w:t>
            </w:r>
            <w:r w:rsidRPr="00883399">
              <w:rPr>
                <w:iCs/>
                <w:sz w:val="24"/>
              </w:rPr>
              <w:t xml:space="preserve"> stocks of waste by</w:t>
            </w:r>
            <w:r w:rsidRPr="00883399">
              <w:rPr>
                <w:iCs/>
                <w:sz w:val="24"/>
              </w:rPr>
              <w:noBreakHyphen/>
              <w:t>product types (</w:t>
            </w:r>
            <w:r w:rsidRPr="00883399">
              <w:rPr>
                <w:b/>
                <w:i/>
                <w:iCs/>
                <w:sz w:val="24"/>
              </w:rPr>
              <w:t>r</w:t>
            </w:r>
            <w:r w:rsidRPr="00883399">
              <w:rPr>
                <w:iCs/>
                <w:sz w:val="24"/>
              </w:rPr>
              <w:t xml:space="preserve">) produced from the operation of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872C03" w:rsidRPr="00883399" w14:paraId="1D9519FE" w14:textId="77777777" w:rsidTr="0031057E">
        <w:trPr>
          <w:cantSplit/>
          <w:trHeight w:val="433"/>
        </w:trPr>
        <w:tc>
          <w:tcPr>
            <w:tcW w:w="882" w:type="dxa"/>
          </w:tcPr>
          <w:p w14:paraId="2B0A188C" w14:textId="77777777" w:rsidR="00872C03" w:rsidRPr="00883399" w:rsidRDefault="00872C03" w:rsidP="0031057E">
            <w:pPr>
              <w:spacing w:before="60" w:after="60"/>
              <w:rPr>
                <w:i/>
              </w:rPr>
            </w:pPr>
          </w:p>
        </w:tc>
        <w:tc>
          <w:tcPr>
            <w:tcW w:w="6783" w:type="dxa"/>
            <w:hideMark/>
          </w:tcPr>
          <w:p w14:paraId="3D5C6B81" w14:textId="77777777" w:rsidR="00872C03" w:rsidRPr="00883399" w:rsidRDefault="00872C03" w:rsidP="0031057E">
            <w:pPr>
              <w:pStyle w:val="TableText"/>
              <w:spacing w:before="80"/>
              <w:rPr>
                <w:sz w:val="24"/>
              </w:rPr>
            </w:pPr>
            <w:r w:rsidRPr="00883399">
              <w:rPr>
                <w:b/>
                <w:i/>
                <w:sz w:val="24"/>
              </w:rPr>
              <w:t>α</w:t>
            </w:r>
            <w:r w:rsidRPr="00883399">
              <w:rPr>
                <w:sz w:val="24"/>
              </w:rPr>
              <w:t xml:space="preserve"> is the factor </w:t>
            </w:r>
            <w:r w:rsidR="00C66508" w:rsidRPr="00883399">
              <w:rPr>
                <w:noProof/>
                <w:sz w:val="24"/>
              </w:rPr>
              <mc:AlternateContent>
                <mc:Choice Requires="wpc">
                  <w:drawing>
                    <wp:inline distT="0" distB="0" distL="0" distR="0" wp14:anchorId="5D1F5972" wp14:editId="16B7606E">
                      <wp:extent cx="232410" cy="283845"/>
                      <wp:effectExtent l="1905" t="1270" r="3810" b="635"/>
                      <wp:docPr id="479"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8" name="Rectangle 4"/>
                              <wps:cNvSpPr>
                                <a:spLocks noChangeArrowheads="1"/>
                              </wps:cNvSpPr>
                              <wps:spPr bwMode="auto">
                                <a:xfrm>
                                  <a:off x="83820" y="1016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AB160" w14:textId="77777777" w:rsidR="00F8313C" w:rsidRDefault="00F8313C" w:rsidP="00872C03">
                                    <w:r w:rsidRPr="000A5860">
                                      <w:rPr>
                                        <w:color w:val="000000"/>
                                        <w:position w:val="-12"/>
                                        <w:sz w:val="16"/>
                                        <w:szCs w:val="16"/>
                                        <w:lang w:val="en-US"/>
                                      </w:rPr>
                                      <w:t>1</w:t>
                                    </w:r>
                                  </w:p>
                                </w:txbxContent>
                              </wps:txbx>
                              <wps:bodyPr rot="0" vert="horz" wrap="none" lIns="0" tIns="0" rIns="0" bIns="0" anchor="t" anchorCtr="0" upright="1">
                                <a:noAutofit/>
                              </wps:bodyPr>
                            </wps:wsp>
                            <wps:wsp>
                              <wps:cNvPr id="99" name="Line 5"/>
                              <wps:cNvCnPr>
                                <a:cxnSpLocks noChangeShapeType="1"/>
                              </wps:cNvCnPr>
                              <wps:spPr bwMode="auto">
                                <a:xfrm>
                                  <a:off x="13970" y="139065"/>
                                  <a:ext cx="205105" cy="635"/>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6"/>
                              <wps:cNvSpPr>
                                <a:spLocks noChangeArrowheads="1"/>
                              </wps:cNvSpPr>
                              <wps:spPr bwMode="auto">
                                <a:xfrm>
                                  <a:off x="0" y="166370"/>
                                  <a:ext cx="2292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1AF3C" w14:textId="77777777" w:rsidR="00F8313C" w:rsidRPr="000A5860" w:rsidRDefault="00F8313C" w:rsidP="00872C03">
                                    <w:pPr>
                                      <w:spacing w:line="276" w:lineRule="auto"/>
                                      <w:rPr>
                                        <w:position w:val="-12"/>
                                        <w:sz w:val="16"/>
                                        <w:szCs w:val="16"/>
                                      </w:rPr>
                                    </w:pPr>
                                    <w:r w:rsidRPr="000A5860">
                                      <w:rPr>
                                        <w:color w:val="000000"/>
                                        <w:position w:val="-12"/>
                                        <w:sz w:val="16"/>
                                        <w:szCs w:val="16"/>
                                        <w:lang w:val="en-US"/>
                                      </w:rPr>
                                      <w:t>3.664</w:t>
                                    </w:r>
                                  </w:p>
                                </w:txbxContent>
                              </wps:txbx>
                              <wps:bodyPr rot="0" vert="horz" wrap="none" lIns="0" tIns="0" rIns="0" bIns="0" anchor="t" anchorCtr="0" upright="1">
                                <a:noAutofit/>
                              </wps:bodyPr>
                            </wps:wsp>
                          </wpc:wpc>
                        </a:graphicData>
                      </a:graphic>
                    </wp:inline>
                  </w:drawing>
                </mc:Choice>
                <mc:Fallback>
                  <w:pict>
                    <v:group w14:anchorId="5D1F5972" id="Canvas 2" o:spid="_x0000_s1026" editas="canvas" style="width:18.3pt;height:22.35pt;mso-position-horizontal-relative:char;mso-position-vertical-relative:line" coordsize="232410,28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">
                      <v:shape id="_x0000_s1027" type="#_x0000_t75" style="position:absolute;width:232410;height:283845;visibility:visible;mso-wrap-style:square">
                        <v:fill o:detectmouseclick="t"/>
                        <v:path o:connecttype="none"/>
                      </v:shape>
                      <v:rect id="Rectangle 4" o:spid="_x0000_s1028" style="position:absolute;left:83820;top:10160;width:51435;height:1168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4PsAA&#10;AADbAAAADwAAAGRycy9kb3ducmV2LnhtbERP3WrCMBS+H/gO4QjezbQislaj6ECUgRf+PMChOTbV&#10;5qRLonZvv1wMdvnx/S9WvW3Fk3xoHCvIxxkI4srphmsFl/P2/QNEiMgaW8ek4IcCrJaDtwWW2r34&#10;SM9TrEUK4VCiAhNjV0oZKkMWw9h1xIm7Om8xJuhrqT2+Urht5STLZtJiw6nBYEefhqr76WEV0GZ3&#10;LG7rYA7S5yE/fM2K6e5bqdGwX89BROrjv/jPvdcKijQ2fUk/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L4PsAAAADbAAAADwAAAAAAAAAAAAAAAACYAgAAZHJzL2Rvd25y&#10;ZXYueG1sUEsFBgAAAAAEAAQA9QAAAIUDAAAAAA==&#10;" filled="f" stroked="f">
                        <v:textbox inset="0,0,0,0">
                          <w:txbxContent>
                            <w:p w14:paraId="616AB160" w14:textId="77777777" w:rsidR="00F8313C" w:rsidRDefault="00F8313C" w:rsidP="00872C03">
                              <w:r w:rsidRPr="000A5860">
                                <w:rPr>
                                  <w:color w:val="000000"/>
                                  <w:position w:val="-12"/>
                                  <w:sz w:val="16"/>
                                  <w:szCs w:val="16"/>
                                  <w:lang w:val="en-US"/>
                                </w:rPr>
                                <w:t>1</w:t>
                              </w:r>
                            </w:p>
                          </w:txbxContent>
                        </v:textbox>
                      </v:rect>
                      <v:line id="Line 5" o:spid="_x0000_s1029" style="position:absolute;visibility:visible;mso-wrap-style:square" from="13970,139065" to="219075,13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JJT8QAAADbAAAADwAAAGRycy9kb3ducmV2LnhtbESPwW7CMBBE75X4B2uReisOPRQIGIRQ&#10;q6ZHkly4LfGSRMTryHYh5etrJCSOo5l5o1ltBtOJCznfWlYwnSQgiCurW64VlMXX2xyED8gaO8uk&#10;4I88bNajlxWm2l55T5c81CJC2KeooAmhT6X0VUMG/cT2xNE7WWcwROlqqR1eI9x08j1JPqTBluNC&#10;gz3tGqrO+a9RcMuKz/KQfe+P5e1Q/Njcu9lprtTreNguQQQawjP8aGdawWIB9y/xB8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klPxAAAANsAAAAPAAAAAAAAAAAA&#10;AAAAAKECAABkcnMvZG93bnJldi54bWxQSwUGAAAAAAQABAD5AAAAkgMAAAAA&#10;" strokeweight="28e-5mm"/>
                      <v:rect id="Rectangle 6" o:spid="_x0000_s1030" style="position:absolute;top:166370;width:229235;height:1174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wzsUA&#10;AADcAAAADwAAAGRycy9kb3ducmV2LnhtbESPQWsCMRCF70L/Q5hCb5pdKVK3RrGCWAoe1P6AYTPd&#10;bLuZrEmq6793DoXeZnhv3vtmsRp8py4UUxvYQDkpQBHXwbbcGPg8bccvoFJGttgFJgM3SrBaPowW&#10;WNlw5QNdjrlREsKpQgMu577SOtWOPKZJ6IlF+wrRY5Y1NtpGvEq47/S0KGbaY8vS4LCnjaP65/jr&#10;DdDb7jD/Xie317FM5f5jNn/enY15ehzWr6AyDfnf/Hf9bgW/EHx5Ri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zDOxQAAANwAAAAPAAAAAAAAAAAAAAAAAJgCAABkcnMv&#10;ZG93bnJldi54bWxQSwUGAAAAAAQABAD1AAAAigMAAAAA&#10;" filled="f" stroked="f">
                        <v:textbox inset="0,0,0,0">
                          <w:txbxContent>
                            <w:p w14:paraId="5121AF3C" w14:textId="77777777" w:rsidR="00F8313C" w:rsidRPr="000A5860" w:rsidRDefault="00F8313C" w:rsidP="00872C03">
                              <w:pPr>
                                <w:spacing w:line="276" w:lineRule="auto"/>
                                <w:rPr>
                                  <w:position w:val="-12"/>
                                  <w:sz w:val="16"/>
                                  <w:szCs w:val="16"/>
                                </w:rPr>
                              </w:pPr>
                              <w:r w:rsidRPr="000A5860">
                                <w:rPr>
                                  <w:color w:val="000000"/>
                                  <w:position w:val="-12"/>
                                  <w:sz w:val="16"/>
                                  <w:szCs w:val="16"/>
                                  <w:lang w:val="en-US"/>
                                </w:rPr>
                                <w:t>3.664</w:t>
                              </w:r>
                            </w:p>
                          </w:txbxContent>
                        </v:textbox>
                      </v:rect>
                      <w10:anchorlock/>
                    </v:group>
                  </w:pict>
                </mc:Fallback>
              </mc:AlternateContent>
            </w:r>
            <w:r w:rsidRPr="00883399">
              <w:rPr>
                <w:sz w:val="24"/>
              </w:rPr>
              <w:t xml:space="preserve"> for converting the mass of carbon dioxide to a mass of carbon.</w:t>
            </w:r>
          </w:p>
        </w:tc>
      </w:tr>
      <w:tr w:rsidR="00872C03" w:rsidRPr="00883399" w14:paraId="6F14C31C" w14:textId="77777777" w:rsidTr="0031057E">
        <w:trPr>
          <w:cantSplit/>
        </w:trPr>
        <w:tc>
          <w:tcPr>
            <w:tcW w:w="882" w:type="dxa"/>
          </w:tcPr>
          <w:p w14:paraId="7C12EEDA" w14:textId="77777777" w:rsidR="00872C03" w:rsidRPr="00883399" w:rsidRDefault="00872C03" w:rsidP="0031057E">
            <w:pPr>
              <w:spacing w:before="60" w:after="60"/>
              <w:rPr>
                <w:i/>
              </w:rPr>
            </w:pPr>
          </w:p>
        </w:tc>
        <w:tc>
          <w:tcPr>
            <w:tcW w:w="6783" w:type="dxa"/>
            <w:hideMark/>
          </w:tcPr>
          <w:p w14:paraId="7D620944" w14:textId="77777777" w:rsidR="00872C03" w:rsidRPr="00883399" w:rsidRDefault="00872C03" w:rsidP="0031057E">
            <w:pPr>
              <w:pStyle w:val="Definition0"/>
              <w:spacing w:before="60" w:after="60"/>
              <w:ind w:left="34"/>
              <w:rPr>
                <w:iCs/>
                <w:sz w:val="24"/>
                <w:szCs w:val="22"/>
              </w:rPr>
            </w:pPr>
            <w:r w:rsidRPr="00883399">
              <w:rPr>
                <w:b/>
                <w:i/>
                <w:sz w:val="24"/>
                <w:szCs w:val="22"/>
              </w:rPr>
              <w:t xml:space="preserve">γ </w:t>
            </w:r>
            <w:r w:rsidRPr="00883399">
              <w:rPr>
                <w:sz w:val="24"/>
                <w:szCs w:val="22"/>
              </w:rPr>
              <w:t>is the factor 1.861 × 10</w:t>
            </w:r>
            <w:r w:rsidRPr="00883399">
              <w:rPr>
                <w:sz w:val="24"/>
                <w:szCs w:val="22"/>
                <w:vertAlign w:val="superscript"/>
              </w:rPr>
              <w:noBreakHyphen/>
              <w:t xml:space="preserve">3 </w:t>
            </w:r>
            <w:r w:rsidRPr="00883399">
              <w:rPr>
                <w:sz w:val="24"/>
                <w:szCs w:val="22"/>
              </w:rPr>
              <w:t>for converting a quantity of carbon dioxide from cubic metres at standard conditions of pressure and temperature to CO</w:t>
            </w:r>
            <w:r w:rsidRPr="00883399">
              <w:rPr>
                <w:sz w:val="24"/>
                <w:szCs w:val="22"/>
                <w:vertAlign w:val="subscript"/>
              </w:rPr>
              <w:t>2</w:t>
            </w:r>
            <w:r w:rsidRPr="00883399">
              <w:rPr>
                <w:sz w:val="24"/>
                <w:szCs w:val="22"/>
              </w:rPr>
              <w:noBreakHyphen/>
              <w:t>e tonnes.</w:t>
            </w:r>
          </w:p>
          <w:p w14:paraId="350A8172" w14:textId="77777777" w:rsidR="00872C03" w:rsidRPr="00883399" w:rsidRDefault="00872C03" w:rsidP="0031057E">
            <w:pPr>
              <w:pStyle w:val="Definition0"/>
              <w:spacing w:before="60" w:after="60"/>
              <w:ind w:left="34"/>
              <w:rPr>
                <w:rFonts w:ascii="Symbol" w:hAnsi="Symbol"/>
                <w:b/>
                <w:i/>
                <w:sz w:val="24"/>
                <w:szCs w:val="22"/>
              </w:rPr>
            </w:pPr>
            <w:r w:rsidRPr="00883399">
              <w:rPr>
                <w:b/>
                <w:i/>
                <w:sz w:val="24"/>
                <w:szCs w:val="22"/>
              </w:rPr>
              <w:t>RCCS</w:t>
            </w:r>
            <w:r w:rsidRPr="00883399">
              <w:rPr>
                <w:b/>
                <w:i/>
                <w:sz w:val="24"/>
                <w:szCs w:val="22"/>
                <w:vertAlign w:val="subscript"/>
              </w:rPr>
              <w:t>CO</w:t>
            </w:r>
            <w:r w:rsidRPr="00883399">
              <w:rPr>
                <w:b/>
                <w:i/>
                <w:position w:val="-4"/>
                <w:sz w:val="24"/>
                <w:szCs w:val="22"/>
                <w:vertAlign w:val="subscript"/>
              </w:rPr>
              <w:t>2</w:t>
            </w:r>
            <w:r w:rsidRPr="00883399">
              <w:rPr>
                <w:sz w:val="24"/>
                <w:szCs w:val="22"/>
              </w:rPr>
              <w:t xml:space="preserve"> is carbon dioxide captured for permanent </w:t>
            </w:r>
            <w:r w:rsidRPr="00883399">
              <w:rPr>
                <w:iCs/>
                <w:sz w:val="24"/>
                <w:szCs w:val="22"/>
              </w:rPr>
              <w:t>storage</w:t>
            </w:r>
            <w:r w:rsidRPr="00883399">
              <w:rPr>
                <w:sz w:val="24"/>
                <w:szCs w:val="22"/>
              </w:rPr>
              <w:t>, measured in cubic metres in accordance with Division 1.2.3.</w:t>
            </w:r>
          </w:p>
        </w:tc>
      </w:tr>
    </w:tbl>
    <w:p w14:paraId="0A8DFB11" w14:textId="77777777" w:rsidR="00872C03" w:rsidRPr="00883399" w:rsidRDefault="00872C03" w:rsidP="00872C03">
      <w:pPr>
        <w:pStyle w:val="subsection"/>
        <w:rPr>
          <w:sz w:val="24"/>
        </w:rPr>
      </w:pPr>
      <w:r w:rsidRPr="00883399">
        <w:rPr>
          <w:sz w:val="24"/>
        </w:rPr>
        <w:tab/>
        <w:t>(6)</w:t>
      </w:r>
      <w:r w:rsidRPr="00883399">
        <w:rPr>
          <w:sz w:val="24"/>
        </w:rPr>
        <w:tab/>
        <w:t>If a fuel type (</w:t>
      </w:r>
      <w:r w:rsidRPr="00883399">
        <w:rPr>
          <w:b/>
          <w:i/>
          <w:sz w:val="24"/>
        </w:rPr>
        <w:t>i</w:t>
      </w:r>
      <w:r w:rsidRPr="00883399">
        <w:rPr>
          <w:sz w:val="24"/>
        </w:rPr>
        <w:t>) or carbonaceous input material delivered for the activity during the year accounts for more than 5% of total carbon input for the activity, based on a calculation using the factors specified in Schedule 3, sampling and analysis of fuel type</w:t>
      </w:r>
      <w:r w:rsidRPr="00883399">
        <w:rPr>
          <w:b/>
          <w:i/>
          <w:sz w:val="24"/>
        </w:rPr>
        <w:t xml:space="preserve"> (i) </w:t>
      </w:r>
      <w:r w:rsidRPr="00883399">
        <w:rPr>
          <w:sz w:val="24"/>
        </w:rPr>
        <w:t>or carbonaceous input material must be carried out to determine its carbon content.</w:t>
      </w:r>
    </w:p>
    <w:p w14:paraId="03E57241" w14:textId="77777777" w:rsidR="00872C03" w:rsidRPr="00883399" w:rsidRDefault="00872C03" w:rsidP="00872C03">
      <w:pPr>
        <w:pStyle w:val="subsection"/>
        <w:rPr>
          <w:sz w:val="24"/>
        </w:rPr>
      </w:pPr>
      <w:r w:rsidRPr="00883399">
        <w:rPr>
          <w:sz w:val="24"/>
        </w:rPr>
        <w:tab/>
        <w:t>(7)</w:t>
      </w:r>
      <w:r w:rsidRPr="00883399">
        <w:rPr>
          <w:sz w:val="24"/>
        </w:rPr>
        <w:tab/>
        <w:t>The sampling and analysis is to be carried out using the sampling and analysis provided for in Divisions 2.2.3, 2.3.3 and 2.4.3 that apply to the combustion of solid, gaseous and liquid fuels.</w:t>
      </w:r>
    </w:p>
    <w:p w14:paraId="145CC823" w14:textId="77777777" w:rsidR="00872C03" w:rsidRPr="00883399" w:rsidRDefault="00872C03" w:rsidP="00872C03">
      <w:pPr>
        <w:pStyle w:val="SubsectionHead"/>
        <w:rPr>
          <w:sz w:val="24"/>
        </w:rPr>
      </w:pPr>
      <w:r w:rsidRPr="00883399">
        <w:rPr>
          <w:sz w:val="24"/>
        </w:rPr>
        <w:t>Method 3</w:t>
      </w:r>
    </w:p>
    <w:p w14:paraId="467693BF" w14:textId="77777777" w:rsidR="00872C03" w:rsidRPr="00883399" w:rsidRDefault="00872C03" w:rsidP="00872C03">
      <w:pPr>
        <w:pStyle w:val="subsection"/>
        <w:rPr>
          <w:sz w:val="24"/>
        </w:rPr>
      </w:pPr>
      <w:r w:rsidRPr="00883399">
        <w:rPr>
          <w:sz w:val="24"/>
        </w:rPr>
        <w:tab/>
        <w:t>(8)</w:t>
      </w:r>
      <w:r w:rsidRPr="00883399">
        <w:rPr>
          <w:sz w:val="24"/>
        </w:rPr>
        <w:tab/>
        <w:t>Subject to subsections (9) and (10), method 3 is the same as method 2 under subsections (4) to (7).</w:t>
      </w:r>
    </w:p>
    <w:p w14:paraId="4E0EE698" w14:textId="77777777" w:rsidR="00872C03" w:rsidRPr="00883399" w:rsidRDefault="00872C03" w:rsidP="00872C03">
      <w:pPr>
        <w:pStyle w:val="subsection"/>
        <w:rPr>
          <w:sz w:val="24"/>
        </w:rPr>
      </w:pPr>
      <w:r w:rsidRPr="00883399">
        <w:rPr>
          <w:sz w:val="24"/>
        </w:rPr>
        <w:tab/>
        <w:t>(9)</w:t>
      </w:r>
      <w:r w:rsidRPr="00883399">
        <w:rPr>
          <w:sz w:val="24"/>
        </w:rPr>
        <w:tab/>
        <w:t>If a fuel type (</w:t>
      </w:r>
      <w:r w:rsidRPr="00883399">
        <w:rPr>
          <w:b/>
          <w:i/>
          <w:sz w:val="24"/>
        </w:rPr>
        <w:t>i</w:t>
      </w:r>
      <w:r w:rsidRPr="00883399">
        <w:rPr>
          <w:sz w:val="24"/>
        </w:rPr>
        <w:t>) or carbonaceous input material delivered for the activity during the year accounts for more than 5% of total carbon input for the activity, based on a calculation using the factors specified in Schedule 3, sampling and analysis of fuel type</w:t>
      </w:r>
      <w:r w:rsidRPr="00883399">
        <w:rPr>
          <w:b/>
          <w:i/>
          <w:sz w:val="24"/>
        </w:rPr>
        <w:t xml:space="preserve"> (i) </w:t>
      </w:r>
      <w:r w:rsidRPr="00883399">
        <w:rPr>
          <w:sz w:val="24"/>
        </w:rPr>
        <w:t>or carbonaceous input material must be carried out to determine its carbon content.</w:t>
      </w:r>
    </w:p>
    <w:p w14:paraId="2CB137C0" w14:textId="77777777" w:rsidR="00872C03" w:rsidRPr="00883399" w:rsidRDefault="00872C03" w:rsidP="00872C03">
      <w:pPr>
        <w:pStyle w:val="subsection"/>
        <w:rPr>
          <w:sz w:val="24"/>
        </w:rPr>
      </w:pPr>
      <w:r w:rsidRPr="00883399">
        <w:rPr>
          <w:sz w:val="24"/>
        </w:rPr>
        <w:tab/>
        <w:t>(10)</w:t>
      </w:r>
      <w:r w:rsidRPr="00883399">
        <w:rPr>
          <w:sz w:val="24"/>
        </w:rPr>
        <w:tab/>
        <w:t>The sampling and analysis is to be carried out using the methods set out in Divisions 2.2.4, 2.3.4 and 2.4.4 that apply to the combustion of solid, gaseous and liquid fuels.</w:t>
      </w:r>
    </w:p>
    <w:p w14:paraId="25B4951F" w14:textId="77777777" w:rsidR="00872C03" w:rsidRPr="00883399" w:rsidRDefault="00872C03" w:rsidP="00872C03">
      <w:pPr>
        <w:pStyle w:val="subsection"/>
        <w:rPr>
          <w:sz w:val="24"/>
        </w:rPr>
      </w:pPr>
    </w:p>
    <w:p w14:paraId="1BC98DF8" w14:textId="77777777" w:rsidR="00872C03" w:rsidRPr="00883399" w:rsidRDefault="00872C03" w:rsidP="00872C03">
      <w:pPr>
        <w:spacing w:after="240"/>
        <w:rPr>
          <w:lang w:eastAsia="en-US"/>
        </w:rPr>
      </w:pPr>
    </w:p>
    <w:p w14:paraId="1E58366B"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b/>
          <w:lang w:eastAsia="en-US"/>
        </w:rPr>
      </w:pPr>
      <w:r w:rsidRPr="00883399">
        <w:rPr>
          <w:b/>
          <w:lang w:eastAsia="en-US"/>
        </w:rPr>
        <w:t>Estimating emissions from standalone coke production using method 1</w:t>
      </w:r>
    </w:p>
    <w:p w14:paraId="392C59C0"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lang w:eastAsia="en-US"/>
        </w:rPr>
      </w:pPr>
      <w:r w:rsidRPr="00883399">
        <w:rPr>
          <w:lang w:eastAsia="en-US"/>
        </w:rPr>
        <w:t>An example for estimating emissions from a standalone coke production facility using the method 1 carbon mass balance approach is provided below. The example uses coking coal and fuel oil to produce coke. The facility also produces coal tar and waste in the form of un-oxidised carbon, in addition to experiencing stock changes during the year. The relevant data for the coke production facility is outlines in the table below:</w:t>
      </w:r>
    </w:p>
    <w:bookmarkStart w:id="364" w:name="_MON_1402328936"/>
    <w:bookmarkEnd w:id="364"/>
    <w:p w14:paraId="757BDB09"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lang w:eastAsia="en-US"/>
        </w:rPr>
      </w:pPr>
      <w:r w:rsidRPr="00883399">
        <w:rPr>
          <w:lang w:eastAsia="en-US"/>
        </w:rPr>
        <w:object w:dxaOrig="8259" w:dyaOrig="4421" w14:anchorId="13FB12A9">
          <v:shape id="_x0000_i1031" type="#_x0000_t75" style="width:414pt;height:221.25pt" o:ole="">
            <v:imagedata r:id="rId66" o:title=""/>
          </v:shape>
          <o:OLEObject Type="Embed" ProgID="Word.Document.12" ShapeID="_x0000_i1031" DrawAspect="Content" ObjectID="_1594105922" r:id="rId67">
            <o:FieldCodes>\s</o:FieldCodes>
          </o:OLEObject>
        </w:object>
      </w:r>
    </w:p>
    <w:p w14:paraId="2B8EE2A1" w14:textId="77777777" w:rsidR="00872C03" w:rsidRPr="00883399" w:rsidRDefault="00872C03" w:rsidP="00872C03">
      <w:pPr>
        <w:pBdr>
          <w:top w:val="single" w:sz="4" w:space="1" w:color="auto"/>
          <w:left w:val="single" w:sz="4" w:space="4" w:color="auto"/>
          <w:bottom w:val="single" w:sz="4" w:space="1" w:color="auto"/>
          <w:right w:val="single" w:sz="4" w:space="4" w:color="auto"/>
        </w:pBdr>
        <w:shd w:val="clear" w:color="auto" w:fill="D9D9D9"/>
        <w:spacing w:after="240"/>
        <w:rPr>
          <w:i/>
          <w:lang w:eastAsia="en-US"/>
        </w:rPr>
      </w:pPr>
      <w:r w:rsidRPr="00883399">
        <w:rPr>
          <w:i/>
          <w:lang w:eastAsia="en-US"/>
        </w:rPr>
        <w:t>Step 1</w:t>
      </w:r>
      <w:r w:rsidRPr="00883399">
        <w:rPr>
          <w:i/>
          <w:lang w:eastAsia="en-US"/>
        </w:rPr>
        <w:tab/>
        <w:t>Calculate the carbon content in fuel types (i) or carbonaceous input material delivered for the activity during the year measured in tonnes of carbon as follows:</w:t>
      </w:r>
    </w:p>
    <w:p w14:paraId="239905CB"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720"/>
          <w:tab w:val="left" w:pos="1440"/>
          <w:tab w:val="left" w:pos="1848"/>
        </w:tabs>
        <w:spacing w:after="240"/>
        <w:rPr>
          <w:lang w:eastAsia="en-US"/>
        </w:rPr>
      </w:pPr>
      <w:r w:rsidRPr="00883399">
        <w:rPr>
          <w:lang w:eastAsia="en-US"/>
        </w:rPr>
        <w:tab/>
        <w:t>Where:</w:t>
      </w:r>
      <w:r w:rsidRPr="00883399">
        <w:rPr>
          <w:lang w:eastAsia="en-US"/>
        </w:rPr>
        <w:tab/>
      </w:r>
      <w:r w:rsidRPr="00883399">
        <w:rPr>
          <w:lang w:eastAsia="en-US"/>
        </w:rPr>
        <w:tab/>
      </w:r>
      <w:r w:rsidRPr="00883399">
        <w:rPr>
          <w:position w:val="-10"/>
          <w:lang w:eastAsia="en-US"/>
        </w:rPr>
        <w:object w:dxaOrig="1440" w:dyaOrig="340" w14:anchorId="2207A7CD">
          <v:shape id="_x0000_i1032" type="#_x0000_t75" style="width:1in;height:15.75pt" o:ole="">
            <v:imagedata r:id="rId68" o:title=""/>
          </v:shape>
          <o:OLEObject Type="Embed" ProgID="Equation.DSMT4" ShapeID="_x0000_i1032" DrawAspect="Content" ObjectID="_1594105923" r:id="rId69"/>
        </w:object>
      </w:r>
    </w:p>
    <w:p w14:paraId="40800547"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lang w:eastAsia="en-US"/>
        </w:rPr>
      </w:pPr>
      <w:r w:rsidRPr="00883399">
        <w:rPr>
          <w:b/>
          <w:i/>
          <w:lang w:eastAsia="en-US"/>
        </w:rPr>
        <w:t>CCF</w:t>
      </w:r>
      <w:r w:rsidRPr="00883399">
        <w:rPr>
          <w:b/>
          <w:i/>
          <w:vertAlign w:val="subscript"/>
          <w:lang w:eastAsia="en-US"/>
        </w:rPr>
        <w:t>i</w:t>
      </w:r>
      <w:r w:rsidRPr="00883399">
        <w:rPr>
          <w:lang w:eastAsia="en-US"/>
        </w:rPr>
        <w:t xml:space="preserve"> is the carbon content factor mentioned in Appendix A measured in tonnes of carbon for each appropriate unit of fuel type (i) or carbonaceous input material consumed during the year from the operation of the activity.</w:t>
      </w:r>
    </w:p>
    <w:p w14:paraId="0A57480B"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lang w:eastAsia="en-US"/>
        </w:rPr>
      </w:pPr>
      <w:r w:rsidRPr="00883399">
        <w:rPr>
          <w:lang w:eastAsia="en-US"/>
        </w:rPr>
        <w:lastRenderedPageBreak/>
        <w:t>The Method 1 default carbon content factors can be found in Schedule 3 of the NGER (Measurement) Determination and are shown in the table above.</w:t>
      </w:r>
    </w:p>
    <w:p w14:paraId="517379E7"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lang w:eastAsia="en-US"/>
        </w:rPr>
      </w:pPr>
      <w:r w:rsidRPr="00883399">
        <w:rPr>
          <w:b/>
          <w:i/>
          <w:lang w:eastAsia="en-US"/>
        </w:rPr>
        <w:t>Q</w:t>
      </w:r>
      <w:r w:rsidRPr="00883399">
        <w:rPr>
          <w:b/>
          <w:i/>
          <w:vertAlign w:val="subscript"/>
          <w:lang w:eastAsia="en-US"/>
        </w:rPr>
        <w:t>i</w:t>
      </w:r>
      <w:r w:rsidRPr="00883399">
        <w:rPr>
          <w:b/>
          <w:i/>
          <w:lang w:eastAsia="en-US"/>
        </w:rPr>
        <w:t xml:space="preserve"> </w:t>
      </w:r>
      <w:r w:rsidRPr="00883399">
        <w:rPr>
          <w:lang w:eastAsia="en-US"/>
        </w:rPr>
        <w:t>is the quantity of fuel type (i) or carbonaceous input material delivered for the activity during the year measured in an appropriate unit and estimated in accordance with criterion A in Division 2.2.5, 2.3.6 and 2.4.6. In this case the quantities of input materials are shown in the table above:</w:t>
      </w:r>
    </w:p>
    <w:p w14:paraId="56187DB1"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ind w:firstLine="720"/>
        <w:rPr>
          <w:b/>
          <w:lang w:eastAsia="en-US"/>
        </w:rPr>
      </w:pPr>
      <w:r w:rsidRPr="00883399">
        <w:rPr>
          <w:b/>
          <w:lang w:eastAsia="en-US"/>
        </w:rPr>
        <w:t>To calculate the carbon content for the input materials:</w:t>
      </w:r>
    </w:p>
    <w:p w14:paraId="049AC2ED"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rPr>
          <w:lang w:eastAsia="en-US"/>
        </w:rPr>
      </w:pPr>
      <w:r w:rsidRPr="00883399">
        <w:rPr>
          <w:lang w:eastAsia="en-US"/>
        </w:rPr>
        <w:t>Carbon content of coking coal = (14,500 x 0.752) = 10,904 tonnes of carbon</w:t>
      </w:r>
    </w:p>
    <w:p w14:paraId="4034A67C"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rPr>
          <w:lang w:eastAsia="en-US"/>
        </w:rPr>
      </w:pPr>
      <w:r w:rsidRPr="00883399">
        <w:rPr>
          <w:lang w:eastAsia="en-US"/>
        </w:rPr>
        <w:t>Carbon content of fuel oil = (100 x 0.797) = 79.7 tonnes of carbon</w:t>
      </w:r>
    </w:p>
    <w:p w14:paraId="3EE3B937"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b/>
          <w:bdr w:val="single" w:sz="4" w:space="0" w:color="auto"/>
          <w:shd w:val="clear" w:color="auto" w:fill="C4BC96"/>
          <w:lang w:eastAsia="en-US"/>
        </w:rPr>
      </w:pPr>
      <w:r w:rsidRPr="00883399">
        <w:rPr>
          <w:b/>
          <w:lang w:eastAsia="en-US"/>
        </w:rPr>
        <w:tab/>
      </w:r>
      <w:r w:rsidRPr="00883399">
        <w:rPr>
          <w:b/>
          <w:bdr w:val="single" w:sz="4" w:space="0" w:color="auto"/>
          <w:lang w:eastAsia="en-US"/>
        </w:rPr>
        <w:t>Therefore, total carbon</w:t>
      </w:r>
      <w:r w:rsidRPr="00883399">
        <w:rPr>
          <w:bdr w:val="single" w:sz="4" w:space="0" w:color="auto"/>
          <w:lang w:eastAsia="en-US"/>
        </w:rPr>
        <w:t xml:space="preserve"> = (10,904 + 79.7)  </w:t>
      </w:r>
      <w:r w:rsidRPr="00883399">
        <w:rPr>
          <w:b/>
          <w:bdr w:val="single" w:sz="4" w:space="0" w:color="auto"/>
          <w:lang w:eastAsia="en-US"/>
        </w:rPr>
        <w:t>= 10,983.7 tonnes</w:t>
      </w:r>
      <w:r w:rsidRPr="00883399">
        <w:rPr>
          <w:b/>
          <w:bdr w:val="single" w:sz="4" w:space="0" w:color="auto"/>
          <w:shd w:val="clear" w:color="auto" w:fill="C4BC96"/>
          <w:lang w:eastAsia="en-US"/>
        </w:rPr>
        <w:t xml:space="preserve"> </w:t>
      </w:r>
    </w:p>
    <w:p w14:paraId="41454879"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lang w:eastAsia="en-US"/>
        </w:rPr>
      </w:pPr>
    </w:p>
    <w:p w14:paraId="19FA2D77" w14:textId="77777777" w:rsidR="00872C03" w:rsidRPr="00883399" w:rsidRDefault="00872C03" w:rsidP="00872C03">
      <w:pPr>
        <w:pBdr>
          <w:top w:val="single" w:sz="4" w:space="1" w:color="auto"/>
          <w:left w:val="single" w:sz="4" w:space="4" w:color="auto"/>
          <w:bottom w:val="single" w:sz="4" w:space="1" w:color="auto"/>
          <w:right w:val="single" w:sz="4" w:space="4" w:color="auto"/>
        </w:pBdr>
        <w:shd w:val="clear" w:color="auto" w:fill="BFBFBF"/>
        <w:spacing w:after="240"/>
        <w:rPr>
          <w:i/>
          <w:lang w:eastAsia="en-US"/>
        </w:rPr>
      </w:pPr>
      <w:r w:rsidRPr="00883399">
        <w:rPr>
          <w:i/>
          <w:lang w:eastAsia="en-US"/>
        </w:rPr>
        <w:t>Step 2</w:t>
      </w:r>
      <w:r w:rsidRPr="00883399">
        <w:rPr>
          <w:i/>
          <w:lang w:eastAsia="en-US"/>
        </w:rPr>
        <w:tab/>
        <w:t>Calculate the carbon content in products (p) leaving the activity during the year measured in tonnes of carbon as follows:</w:t>
      </w:r>
    </w:p>
    <w:p w14:paraId="2DAEEA1A"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lang w:eastAsia="en-US"/>
        </w:rPr>
      </w:pPr>
      <w:r w:rsidRPr="00883399">
        <w:rPr>
          <w:lang w:eastAsia="en-US"/>
        </w:rPr>
        <w:t>Where:</w:t>
      </w:r>
    </w:p>
    <w:p w14:paraId="2A579FF1"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jc w:val="center"/>
        <w:rPr>
          <w:lang w:eastAsia="en-US"/>
        </w:rPr>
      </w:pPr>
      <w:r w:rsidRPr="00883399">
        <w:rPr>
          <w:position w:val="-8"/>
          <w:lang w:eastAsia="en-US"/>
        </w:rPr>
        <w:object w:dxaOrig="1560" w:dyaOrig="320" w14:anchorId="1ABD251D">
          <v:shape id="_x0000_i1033" type="#_x0000_t75" style="width:76.5pt;height:15.75pt" o:ole="">
            <v:imagedata r:id="rId70" o:title=""/>
          </v:shape>
          <o:OLEObject Type="Embed" ProgID="Equation.DSMT4" ShapeID="_x0000_i1033" DrawAspect="Content" ObjectID="_1594105924" r:id="rId71"/>
        </w:object>
      </w:r>
    </w:p>
    <w:p w14:paraId="7E9FB8BD"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lang w:eastAsia="en-US"/>
        </w:rPr>
      </w:pPr>
      <w:r w:rsidRPr="00883399">
        <w:rPr>
          <w:b/>
          <w:i/>
          <w:lang w:eastAsia="en-US"/>
        </w:rPr>
        <w:t>CCF</w:t>
      </w:r>
      <w:r w:rsidRPr="00883399">
        <w:rPr>
          <w:b/>
          <w:i/>
          <w:vertAlign w:val="subscript"/>
          <w:lang w:eastAsia="en-US"/>
        </w:rPr>
        <w:t>p</w:t>
      </w:r>
      <w:r w:rsidRPr="00883399">
        <w:rPr>
          <w:lang w:eastAsia="en-US"/>
        </w:rPr>
        <w:t xml:space="preserve"> is the carbon content factor measured in tonnes of carbon for each tonne of product type (p) produced during the year. In this case the carbon content factor of each product type is shown in the table above:</w:t>
      </w:r>
    </w:p>
    <w:p w14:paraId="507F22D8"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lang w:eastAsia="en-US"/>
        </w:rPr>
      </w:pPr>
      <w:r w:rsidRPr="00883399">
        <w:rPr>
          <w:b/>
          <w:i/>
          <w:lang w:eastAsia="en-US"/>
        </w:rPr>
        <w:t>A</w:t>
      </w:r>
      <w:r w:rsidRPr="00883399">
        <w:rPr>
          <w:b/>
          <w:i/>
          <w:vertAlign w:val="subscript"/>
          <w:lang w:eastAsia="en-US"/>
        </w:rPr>
        <w:t>p</w:t>
      </w:r>
      <w:r w:rsidRPr="00883399">
        <w:rPr>
          <w:lang w:eastAsia="en-US"/>
        </w:rPr>
        <w:t xml:space="preserve"> is the quantity of product types (p) produced leaving the activity during the year measured in tonnes. In this case the quantity of products are shown in the table above:</w:t>
      </w:r>
    </w:p>
    <w:p w14:paraId="38689FCC"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ind w:firstLine="720"/>
        <w:rPr>
          <w:b/>
          <w:lang w:eastAsia="en-US"/>
        </w:rPr>
      </w:pPr>
      <w:r w:rsidRPr="00883399">
        <w:rPr>
          <w:b/>
          <w:lang w:eastAsia="en-US"/>
        </w:rPr>
        <w:t>To calculate the carbon content for the products leaving the activity during the year:</w:t>
      </w:r>
    </w:p>
    <w:p w14:paraId="20C71B18"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rPr>
          <w:lang w:eastAsia="en-US"/>
        </w:rPr>
      </w:pPr>
      <w:r w:rsidRPr="00883399">
        <w:rPr>
          <w:lang w:eastAsia="en-US"/>
        </w:rPr>
        <w:lastRenderedPageBreak/>
        <w:t>Carbon content of coke oven coke = (9,000 x 0.789) = 7,101 tonnes of carbon</w:t>
      </w:r>
    </w:p>
    <w:p w14:paraId="11673439"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rPr>
          <w:lang w:eastAsia="en-US"/>
        </w:rPr>
      </w:pPr>
      <w:r w:rsidRPr="00883399">
        <w:rPr>
          <w:lang w:eastAsia="en-US"/>
        </w:rPr>
        <w:t>Carbon content of coal tar = (400 x 0.837) = 334.8 tonnes of carbon</w:t>
      </w:r>
    </w:p>
    <w:p w14:paraId="3F4B33A4"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b/>
          <w:bdr w:val="single" w:sz="4" w:space="0" w:color="auto"/>
          <w:shd w:val="clear" w:color="auto" w:fill="C4BC96"/>
          <w:lang w:eastAsia="en-US"/>
        </w:rPr>
      </w:pPr>
      <w:r w:rsidRPr="00883399">
        <w:rPr>
          <w:b/>
          <w:lang w:eastAsia="en-US"/>
        </w:rPr>
        <w:tab/>
      </w:r>
      <w:r w:rsidRPr="00883399">
        <w:rPr>
          <w:b/>
          <w:bdr w:val="single" w:sz="4" w:space="0" w:color="auto"/>
          <w:lang w:eastAsia="en-US"/>
        </w:rPr>
        <w:t>Therefore, total carbon</w:t>
      </w:r>
      <w:r w:rsidRPr="00883399">
        <w:rPr>
          <w:bdr w:val="single" w:sz="4" w:space="0" w:color="auto"/>
          <w:lang w:eastAsia="en-US"/>
        </w:rPr>
        <w:t xml:space="preserve"> = (7,101 + 334.8)  </w:t>
      </w:r>
      <w:r w:rsidRPr="00883399">
        <w:rPr>
          <w:b/>
          <w:bdr w:val="single" w:sz="4" w:space="0" w:color="auto"/>
          <w:lang w:eastAsia="en-US"/>
        </w:rPr>
        <w:t>= 7435.8 tonnes</w:t>
      </w:r>
      <w:r w:rsidRPr="00883399">
        <w:rPr>
          <w:b/>
          <w:bdr w:val="single" w:sz="4" w:space="0" w:color="auto"/>
          <w:shd w:val="clear" w:color="auto" w:fill="C4BC96"/>
          <w:lang w:eastAsia="en-US"/>
        </w:rPr>
        <w:t xml:space="preserve"> </w:t>
      </w:r>
    </w:p>
    <w:p w14:paraId="4308F89D"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spacing w:after="240"/>
        <w:rPr>
          <w:lang w:eastAsia="en-US"/>
        </w:rPr>
      </w:pPr>
    </w:p>
    <w:p w14:paraId="4A36774D" w14:textId="77777777" w:rsidR="00872C03" w:rsidRPr="00883399" w:rsidRDefault="00872C03" w:rsidP="00872C03">
      <w:pPr>
        <w:pBdr>
          <w:top w:val="single" w:sz="4" w:space="1" w:color="auto"/>
          <w:left w:val="single" w:sz="4" w:space="4" w:color="auto"/>
          <w:bottom w:val="single" w:sz="4" w:space="1" w:color="auto"/>
          <w:right w:val="single" w:sz="4" w:space="4" w:color="auto"/>
        </w:pBdr>
        <w:shd w:val="clear" w:color="auto" w:fill="BFBFBF"/>
        <w:spacing w:after="240"/>
        <w:rPr>
          <w:i/>
          <w:lang w:eastAsia="en-US"/>
        </w:rPr>
      </w:pPr>
      <w:r w:rsidRPr="00883399">
        <w:rPr>
          <w:i/>
          <w:lang w:eastAsia="en-US"/>
        </w:rPr>
        <w:t>Step 3</w:t>
      </w:r>
      <w:r w:rsidRPr="00883399">
        <w:rPr>
          <w:i/>
          <w:lang w:eastAsia="en-US"/>
        </w:rPr>
        <w:tab/>
        <w:t>Calculate the carbon content in waste by product types (r) leaving the activity, other than as an emission of greenhouse gas, during the year, measured in tonnes of carbon, as follows:</w:t>
      </w:r>
    </w:p>
    <w:p w14:paraId="268B9DC4"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lang w:eastAsia="en-US"/>
        </w:rPr>
      </w:pPr>
      <w:r w:rsidRPr="00883399">
        <w:rPr>
          <w:lang w:eastAsia="en-US"/>
        </w:rPr>
        <w:tab/>
        <w:t>Where:</w:t>
      </w:r>
    </w:p>
    <w:p w14:paraId="5530250B"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jc w:val="center"/>
        <w:rPr>
          <w:lang w:eastAsia="en-US"/>
        </w:rPr>
      </w:pPr>
      <w:r w:rsidRPr="00883399">
        <w:rPr>
          <w:position w:val="-6"/>
          <w:lang w:eastAsia="en-US"/>
        </w:rPr>
        <w:object w:dxaOrig="1480" w:dyaOrig="300" w14:anchorId="65458181">
          <v:shape id="_x0000_i1034" type="#_x0000_t75" style="width:75pt;height:15pt" o:ole="">
            <v:imagedata r:id="rId72" o:title=""/>
          </v:shape>
          <o:OLEObject Type="Embed" ProgID="Equation.DSMT4" ShapeID="_x0000_i1034" DrawAspect="Content" ObjectID="_1594105925" r:id="rId73"/>
        </w:object>
      </w:r>
    </w:p>
    <w:p w14:paraId="330A03B8"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lang w:eastAsia="en-US"/>
        </w:rPr>
      </w:pPr>
      <w:r w:rsidRPr="00883399">
        <w:rPr>
          <w:b/>
          <w:i/>
          <w:lang w:eastAsia="en-US"/>
        </w:rPr>
        <w:t>CCF</w:t>
      </w:r>
      <w:r w:rsidRPr="00883399">
        <w:rPr>
          <w:b/>
          <w:i/>
          <w:vertAlign w:val="subscript"/>
          <w:lang w:eastAsia="en-US"/>
        </w:rPr>
        <w:t>r</w:t>
      </w:r>
      <w:r w:rsidRPr="00883399">
        <w:rPr>
          <w:lang w:eastAsia="en-US"/>
        </w:rPr>
        <w:t xml:space="preserve"> is the carbon content factor measured in tonnes of carbon for each tonne of waste by product types (r).</w:t>
      </w:r>
    </w:p>
    <w:p w14:paraId="223D72D3"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lang w:eastAsia="en-US"/>
        </w:rPr>
      </w:pPr>
      <w:r w:rsidRPr="00883399">
        <w:rPr>
          <w:b/>
          <w:i/>
          <w:lang w:eastAsia="en-US"/>
        </w:rPr>
        <w:t>Y</w:t>
      </w:r>
      <w:r w:rsidRPr="00883399">
        <w:rPr>
          <w:b/>
          <w:i/>
          <w:vertAlign w:val="subscript"/>
          <w:lang w:eastAsia="en-US"/>
        </w:rPr>
        <w:t>r</w:t>
      </w:r>
      <w:r w:rsidRPr="00883399">
        <w:rPr>
          <w:vertAlign w:val="subscript"/>
          <w:lang w:eastAsia="en-US"/>
        </w:rPr>
        <w:t xml:space="preserve"> </w:t>
      </w:r>
      <w:r w:rsidRPr="00883399">
        <w:rPr>
          <w:lang w:eastAsia="en-US"/>
        </w:rPr>
        <w:t xml:space="preserve">is the quantity of waste by product types (r) leaving the activity during the year measured in tonnes. In this case the quantities of waste by-products are </w:t>
      </w:r>
      <w:r w:rsidRPr="00883399">
        <w:t>non-oxidised carbon, estimated in accordance with the NGER (Measurement) Determination as being 100 tonnes.</w:t>
      </w:r>
    </w:p>
    <w:p w14:paraId="2A6ADF59"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b/>
          <w:lang w:eastAsia="en-US"/>
        </w:rPr>
      </w:pPr>
      <w:r w:rsidRPr="00883399">
        <w:rPr>
          <w:b/>
          <w:lang w:eastAsia="en-US"/>
        </w:rPr>
        <w:t>To calculate the carbon content for the waste products leaving the activity during the year:</w:t>
      </w:r>
    </w:p>
    <w:p w14:paraId="610712E0"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rPr>
          <w:lang w:eastAsia="en-US"/>
        </w:rPr>
      </w:pPr>
      <w:r w:rsidRPr="00883399">
        <w:rPr>
          <w:lang w:eastAsia="en-US"/>
        </w:rPr>
        <w:t xml:space="preserve">Carbon content of non-oxidised carbon = 100 tonnes of carbon </w:t>
      </w:r>
    </w:p>
    <w:p w14:paraId="676C0865"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b/>
          <w:bdr w:val="single" w:sz="4" w:space="0" w:color="auto"/>
          <w:shd w:val="clear" w:color="auto" w:fill="C4BC96"/>
          <w:lang w:eastAsia="en-US"/>
        </w:rPr>
      </w:pPr>
      <w:r w:rsidRPr="00883399">
        <w:rPr>
          <w:b/>
          <w:lang w:eastAsia="en-US"/>
        </w:rPr>
        <w:tab/>
      </w:r>
      <w:r w:rsidRPr="00883399">
        <w:rPr>
          <w:b/>
          <w:bdr w:val="single" w:sz="4" w:space="0" w:color="auto"/>
          <w:lang w:eastAsia="en-US"/>
        </w:rPr>
        <w:t>Therefore, total carbon</w:t>
      </w:r>
      <w:r w:rsidRPr="00883399">
        <w:rPr>
          <w:bdr w:val="single" w:sz="4" w:space="0" w:color="auto"/>
          <w:lang w:eastAsia="en-US"/>
        </w:rPr>
        <w:t xml:space="preserve">  </w:t>
      </w:r>
      <w:r w:rsidRPr="00883399">
        <w:rPr>
          <w:b/>
          <w:bdr w:val="single" w:sz="4" w:space="0" w:color="auto"/>
          <w:lang w:eastAsia="en-US"/>
        </w:rPr>
        <w:t>= 100 tonnes</w:t>
      </w:r>
    </w:p>
    <w:p w14:paraId="368AEF8C"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b/>
          <w:bdr w:val="single" w:sz="4" w:space="0" w:color="auto"/>
          <w:shd w:val="clear" w:color="auto" w:fill="C4BC96"/>
          <w:lang w:eastAsia="en-US"/>
        </w:rPr>
      </w:pPr>
    </w:p>
    <w:p w14:paraId="0B149412" w14:textId="77777777" w:rsidR="00872C03" w:rsidRPr="00883399" w:rsidRDefault="00872C03" w:rsidP="00872C03">
      <w:pPr>
        <w:pBdr>
          <w:top w:val="single" w:sz="4" w:space="1" w:color="auto"/>
          <w:left w:val="single" w:sz="4" w:space="4" w:color="auto"/>
          <w:bottom w:val="single" w:sz="4" w:space="1" w:color="auto"/>
          <w:right w:val="single" w:sz="4" w:space="4" w:color="auto"/>
        </w:pBdr>
        <w:shd w:val="clear" w:color="auto" w:fill="BFBFBF"/>
        <w:spacing w:after="240"/>
        <w:rPr>
          <w:i/>
          <w:lang w:eastAsia="en-US"/>
        </w:rPr>
      </w:pPr>
      <w:r w:rsidRPr="00883399">
        <w:rPr>
          <w:i/>
          <w:lang w:eastAsia="en-US"/>
        </w:rPr>
        <w:t>Step 4</w:t>
      </w:r>
      <w:r w:rsidRPr="00883399">
        <w:rPr>
          <w:i/>
          <w:lang w:eastAsia="en-US"/>
        </w:rPr>
        <w:tab/>
        <w:t>Calculate the carbon content in the amount of the increase in stocks of inputs, products and waste by products held within the boundary of the activity during the year in tonnes of carbon as follows:</w:t>
      </w:r>
    </w:p>
    <w:p w14:paraId="2F813195"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lang w:eastAsia="en-US"/>
        </w:rPr>
      </w:pPr>
      <w:r w:rsidRPr="00883399">
        <w:rPr>
          <w:lang w:eastAsia="en-US"/>
        </w:rPr>
        <w:lastRenderedPageBreak/>
        <w:tab/>
        <w:t xml:space="preserve">Where: </w:t>
      </w:r>
    </w:p>
    <w:p w14:paraId="0A580011"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jc w:val="center"/>
        <w:rPr>
          <w:lang w:eastAsia="en-US"/>
        </w:rPr>
      </w:pPr>
      <w:r w:rsidRPr="00883399">
        <w:rPr>
          <w:position w:val="-10"/>
          <w:lang w:eastAsia="en-US"/>
        </w:rPr>
        <w:object w:dxaOrig="5940" w:dyaOrig="360" w14:anchorId="36862601">
          <v:shape id="_x0000_i1035" type="#_x0000_t75" style="width:294.75pt;height:18.75pt" o:ole="">
            <v:imagedata r:id="rId74" o:title=""/>
          </v:shape>
          <o:OLEObject Type="Embed" ProgID="Equation.DSMT4" ShapeID="_x0000_i1035" DrawAspect="Content" ObjectID="_1594105926" r:id="rId75"/>
        </w:object>
      </w:r>
    </w:p>
    <w:p w14:paraId="6D0744F8"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lang w:eastAsia="en-US"/>
        </w:rPr>
      </w:pPr>
      <w:r w:rsidRPr="00883399">
        <w:rPr>
          <w:b/>
          <w:i/>
          <w:lang w:eastAsia="en-US"/>
        </w:rPr>
        <w:t>CCF</w:t>
      </w:r>
      <w:r w:rsidRPr="00883399">
        <w:rPr>
          <w:b/>
          <w:i/>
          <w:vertAlign w:val="subscript"/>
          <w:lang w:eastAsia="en-US"/>
        </w:rPr>
        <w:t>i</w:t>
      </w:r>
      <w:r w:rsidRPr="00883399">
        <w:rPr>
          <w:lang w:eastAsia="en-US"/>
        </w:rPr>
        <w:t xml:space="preserve"> has the same meaning as in step 1.</w:t>
      </w:r>
    </w:p>
    <w:p w14:paraId="4AEDD228"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lang w:eastAsia="en-US"/>
        </w:rPr>
      </w:pPr>
      <w:r w:rsidRPr="00883399">
        <w:rPr>
          <w:b/>
          <w:i/>
          <w:lang w:eastAsia="en-US"/>
        </w:rPr>
        <w:t>ΔS</w:t>
      </w:r>
      <w:r w:rsidRPr="00883399">
        <w:rPr>
          <w:b/>
          <w:i/>
          <w:vertAlign w:val="subscript"/>
          <w:lang w:eastAsia="en-US"/>
        </w:rPr>
        <w:t>qi</w:t>
      </w:r>
      <w:r w:rsidRPr="00883399">
        <w:rPr>
          <w:lang w:eastAsia="en-US"/>
        </w:rPr>
        <w:t xml:space="preserve"> is the increase in stocks of fuel type (i) for the activity and held within the boundary of the activity during the year measured in tonnes. In this case the quantities of increases in stocks are shown in the table above:</w:t>
      </w:r>
    </w:p>
    <w:p w14:paraId="20A4304F"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ind w:firstLine="720"/>
        <w:rPr>
          <w:b/>
          <w:lang w:eastAsia="en-US"/>
        </w:rPr>
      </w:pPr>
      <w:r w:rsidRPr="00883399">
        <w:rPr>
          <w:b/>
          <w:lang w:eastAsia="en-US"/>
        </w:rPr>
        <w:t>To calculate the carbon content for increase of fuel types</w:t>
      </w:r>
    </w:p>
    <w:p w14:paraId="55DE1021"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spacing w:after="240"/>
        <w:rPr>
          <w:lang w:eastAsia="en-US"/>
        </w:rPr>
      </w:pPr>
      <w:r w:rsidRPr="00883399">
        <w:rPr>
          <w:lang w:eastAsia="en-US"/>
        </w:rPr>
        <w:t>Carbon content of coking coal = (500 x 0.752) = 376 tonnes of carbon</w:t>
      </w:r>
    </w:p>
    <w:p w14:paraId="431D9C21"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b/>
          <w:bdr w:val="single" w:sz="4" w:space="0" w:color="auto"/>
          <w:shd w:val="clear" w:color="auto" w:fill="C4BC96"/>
          <w:lang w:eastAsia="en-US"/>
        </w:rPr>
      </w:pPr>
      <w:r w:rsidRPr="00883399">
        <w:rPr>
          <w:b/>
          <w:lang w:eastAsia="en-US"/>
        </w:rPr>
        <w:tab/>
      </w:r>
      <w:r w:rsidRPr="00883399">
        <w:rPr>
          <w:b/>
          <w:bdr w:val="single" w:sz="4" w:space="0" w:color="auto"/>
          <w:lang w:eastAsia="en-US"/>
        </w:rPr>
        <w:t>Therefore, total carbon</w:t>
      </w:r>
      <w:r w:rsidRPr="00883399">
        <w:rPr>
          <w:bdr w:val="single" w:sz="4" w:space="0" w:color="auto"/>
          <w:lang w:eastAsia="en-US"/>
        </w:rPr>
        <w:t xml:space="preserve"> </w:t>
      </w:r>
      <w:r w:rsidRPr="00883399">
        <w:rPr>
          <w:b/>
          <w:bdr w:val="single" w:sz="4" w:space="0" w:color="auto"/>
          <w:lang w:eastAsia="en-US"/>
        </w:rPr>
        <w:t>= 376 tonnes</w:t>
      </w:r>
      <w:r w:rsidRPr="00883399">
        <w:rPr>
          <w:b/>
          <w:bdr w:val="single" w:sz="4" w:space="0" w:color="auto"/>
          <w:shd w:val="clear" w:color="auto" w:fill="C4BC96"/>
          <w:lang w:eastAsia="en-US"/>
        </w:rPr>
        <w:t xml:space="preserve"> </w:t>
      </w:r>
    </w:p>
    <w:p w14:paraId="61FB652B"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lang w:eastAsia="en-US"/>
        </w:rPr>
      </w:pPr>
      <w:r w:rsidRPr="00883399">
        <w:rPr>
          <w:b/>
          <w:i/>
          <w:lang w:eastAsia="en-US"/>
        </w:rPr>
        <w:t>CCF</w:t>
      </w:r>
      <w:r w:rsidRPr="00883399">
        <w:rPr>
          <w:b/>
          <w:i/>
          <w:vertAlign w:val="subscript"/>
          <w:lang w:eastAsia="en-US"/>
        </w:rPr>
        <w:t>p</w:t>
      </w:r>
      <w:r w:rsidRPr="00883399">
        <w:rPr>
          <w:lang w:eastAsia="en-US"/>
        </w:rPr>
        <w:t xml:space="preserve"> has the same meaning as in step 2.</w:t>
      </w:r>
    </w:p>
    <w:p w14:paraId="046511E5"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lang w:eastAsia="en-US"/>
        </w:rPr>
      </w:pPr>
      <w:r w:rsidRPr="00883399">
        <w:rPr>
          <w:b/>
          <w:i/>
          <w:lang w:eastAsia="en-US"/>
        </w:rPr>
        <w:t>ΔS</w:t>
      </w:r>
      <w:r w:rsidRPr="00883399">
        <w:rPr>
          <w:b/>
          <w:i/>
          <w:vertAlign w:val="subscript"/>
          <w:lang w:eastAsia="en-US"/>
        </w:rPr>
        <w:t>ap</w:t>
      </w:r>
      <w:r w:rsidRPr="00883399">
        <w:rPr>
          <w:lang w:eastAsia="en-US"/>
        </w:rPr>
        <w:t xml:space="preserve"> is the increase in stocks of product types (p) produced by the activity and held within the boundary of the activity during the year measured in tonnes. In this case the quantities of product types shown in the table above:</w:t>
      </w:r>
    </w:p>
    <w:p w14:paraId="346C278E"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ind w:firstLine="720"/>
        <w:rPr>
          <w:b/>
          <w:lang w:eastAsia="en-US"/>
        </w:rPr>
      </w:pPr>
      <w:r w:rsidRPr="00883399">
        <w:rPr>
          <w:b/>
          <w:lang w:eastAsia="en-US"/>
        </w:rPr>
        <w:t>To calculate the carbon content for increase in stock of product type:</w:t>
      </w:r>
    </w:p>
    <w:p w14:paraId="34363041"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spacing w:after="240"/>
        <w:rPr>
          <w:lang w:eastAsia="en-US"/>
        </w:rPr>
      </w:pPr>
      <w:r w:rsidRPr="00883399">
        <w:rPr>
          <w:lang w:eastAsia="en-US"/>
        </w:rPr>
        <w:t>Carbon content of coal tar = (20 x 0.837) = 16.74 tonnes of carbon</w:t>
      </w:r>
    </w:p>
    <w:p w14:paraId="1DE5F3E6"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spacing w:after="240"/>
        <w:rPr>
          <w:lang w:eastAsia="en-US"/>
        </w:rPr>
      </w:pPr>
      <w:r w:rsidRPr="00883399">
        <w:rPr>
          <w:lang w:eastAsia="en-US"/>
        </w:rPr>
        <w:t>Carbon content of coke oven coke = (-300 x 0.789) = -236.7 tonnes of carbon</w:t>
      </w:r>
    </w:p>
    <w:p w14:paraId="19CA8092"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b/>
          <w:bdr w:val="single" w:sz="4" w:space="0" w:color="auto"/>
          <w:shd w:val="clear" w:color="auto" w:fill="C4BC96"/>
          <w:lang w:eastAsia="en-US"/>
        </w:rPr>
      </w:pPr>
      <w:r w:rsidRPr="00883399">
        <w:rPr>
          <w:b/>
          <w:lang w:eastAsia="en-US"/>
        </w:rPr>
        <w:tab/>
      </w:r>
      <w:r w:rsidRPr="00883399">
        <w:rPr>
          <w:b/>
          <w:bdr w:val="single" w:sz="4" w:space="0" w:color="auto"/>
          <w:lang w:eastAsia="en-US"/>
        </w:rPr>
        <w:t>Therefore, total carbon</w:t>
      </w:r>
      <w:r w:rsidRPr="00883399">
        <w:rPr>
          <w:bdr w:val="single" w:sz="4" w:space="0" w:color="auto"/>
          <w:lang w:eastAsia="en-US"/>
        </w:rPr>
        <w:t xml:space="preserve"> = (16.74 + -236.7)  </w:t>
      </w:r>
      <w:r w:rsidRPr="00883399">
        <w:rPr>
          <w:b/>
          <w:bdr w:val="single" w:sz="4" w:space="0" w:color="auto"/>
          <w:lang w:eastAsia="en-US"/>
        </w:rPr>
        <w:t>= -219.96 tonnes</w:t>
      </w:r>
      <w:r w:rsidRPr="00883399">
        <w:rPr>
          <w:b/>
          <w:bdr w:val="single" w:sz="4" w:space="0" w:color="auto"/>
          <w:shd w:val="clear" w:color="auto" w:fill="C4BC96"/>
          <w:lang w:eastAsia="en-US"/>
        </w:rPr>
        <w:t xml:space="preserve"> </w:t>
      </w:r>
    </w:p>
    <w:p w14:paraId="08B3157E"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spacing w:after="240"/>
        <w:rPr>
          <w:lang w:eastAsia="en-US"/>
        </w:rPr>
      </w:pPr>
    </w:p>
    <w:p w14:paraId="594C3BF1"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lang w:eastAsia="en-US"/>
        </w:rPr>
      </w:pPr>
      <w:r w:rsidRPr="00883399">
        <w:rPr>
          <w:b/>
          <w:i/>
          <w:lang w:eastAsia="en-US"/>
        </w:rPr>
        <w:t>CCF</w:t>
      </w:r>
      <w:r w:rsidRPr="00883399">
        <w:rPr>
          <w:b/>
          <w:i/>
          <w:vertAlign w:val="subscript"/>
          <w:lang w:eastAsia="en-US"/>
        </w:rPr>
        <w:t>r</w:t>
      </w:r>
      <w:r w:rsidRPr="00883399">
        <w:rPr>
          <w:vertAlign w:val="subscript"/>
          <w:lang w:eastAsia="en-US"/>
        </w:rPr>
        <w:t xml:space="preserve"> </w:t>
      </w:r>
      <w:r w:rsidRPr="00883399">
        <w:rPr>
          <w:lang w:eastAsia="en-US"/>
        </w:rPr>
        <w:t>has the same meaning as in step 3.</w:t>
      </w:r>
    </w:p>
    <w:p w14:paraId="5CA47D17"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lang w:eastAsia="en-US"/>
        </w:rPr>
      </w:pPr>
      <w:r w:rsidRPr="00883399">
        <w:rPr>
          <w:b/>
          <w:i/>
          <w:lang w:eastAsia="en-US"/>
        </w:rPr>
        <w:lastRenderedPageBreak/>
        <w:t>ΔS</w:t>
      </w:r>
      <w:r w:rsidRPr="00883399">
        <w:rPr>
          <w:b/>
          <w:i/>
          <w:vertAlign w:val="subscript"/>
          <w:lang w:eastAsia="en-US"/>
        </w:rPr>
        <w:t>yr</w:t>
      </w:r>
      <w:r w:rsidRPr="00883399">
        <w:rPr>
          <w:lang w:eastAsia="en-US"/>
        </w:rPr>
        <w:t xml:space="preserve"> is the increase in stocks of waste by product types (r) produced from the operation of the activity and held within the boundary of the activity during the year measured in tonnes.</w:t>
      </w:r>
    </w:p>
    <w:p w14:paraId="2D5FD4D1"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spacing w:after="240"/>
        <w:rPr>
          <w:b/>
          <w:lang w:eastAsia="en-US"/>
        </w:rPr>
      </w:pPr>
      <w:r w:rsidRPr="00883399">
        <w:rPr>
          <w:b/>
          <w:lang w:eastAsia="en-US"/>
        </w:rPr>
        <w:t>There was no change in waste product stock produced and held during the year.</w:t>
      </w:r>
    </w:p>
    <w:p w14:paraId="50741A42"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spacing w:after="240"/>
        <w:rPr>
          <w:b/>
          <w:lang w:eastAsia="en-US"/>
        </w:rPr>
      </w:pPr>
    </w:p>
    <w:p w14:paraId="112048FF"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spacing w:after="240"/>
        <w:rPr>
          <w:b/>
          <w:lang w:eastAsia="en-US"/>
        </w:rPr>
      </w:pPr>
      <w:r w:rsidRPr="00883399">
        <w:rPr>
          <w:b/>
          <w:lang w:eastAsia="en-US"/>
        </w:rPr>
        <w:t>To calculate the total carbon contained in the change of stock:</w:t>
      </w:r>
    </w:p>
    <w:p w14:paraId="1E9D0B26"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spacing w:after="240"/>
        <w:rPr>
          <w:lang w:eastAsia="en-US"/>
        </w:rPr>
      </w:pPr>
      <w:r w:rsidRPr="00883399">
        <w:rPr>
          <w:lang w:eastAsia="en-US"/>
        </w:rPr>
        <w:t>Carbon content of increase in fuel types = 376 tonnes</w:t>
      </w:r>
    </w:p>
    <w:p w14:paraId="09C1603D"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spacing w:after="240"/>
        <w:rPr>
          <w:lang w:eastAsia="en-US"/>
        </w:rPr>
      </w:pPr>
      <w:r w:rsidRPr="00883399">
        <w:rPr>
          <w:lang w:eastAsia="en-US"/>
        </w:rPr>
        <w:t>Carbon content of increase in product types = -219.96 tonnes</w:t>
      </w:r>
    </w:p>
    <w:p w14:paraId="5A95B6CF"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spacing w:after="240"/>
        <w:rPr>
          <w:lang w:eastAsia="en-US"/>
        </w:rPr>
      </w:pPr>
      <w:r w:rsidRPr="00883399">
        <w:rPr>
          <w:lang w:eastAsia="en-US"/>
        </w:rPr>
        <w:t>Carbon content of increase in waste by-products = 0 tonnes</w:t>
      </w:r>
    </w:p>
    <w:p w14:paraId="3C931B4F"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spacing w:after="240"/>
        <w:rPr>
          <w:lang w:eastAsia="en-US"/>
        </w:rPr>
      </w:pPr>
      <w:r w:rsidRPr="00883399">
        <w:rPr>
          <w:b/>
          <w:bdr w:val="single" w:sz="4" w:space="0" w:color="auto"/>
          <w:lang w:eastAsia="en-US"/>
        </w:rPr>
        <w:t>Therefore, total carbon</w:t>
      </w:r>
      <w:r w:rsidRPr="00883399">
        <w:rPr>
          <w:bdr w:val="single" w:sz="4" w:space="0" w:color="auto"/>
          <w:lang w:eastAsia="en-US"/>
        </w:rPr>
        <w:t xml:space="preserve"> = (376 + -219.6 + 0)  </w:t>
      </w:r>
      <w:r w:rsidRPr="00883399">
        <w:rPr>
          <w:b/>
          <w:bdr w:val="single" w:sz="4" w:space="0" w:color="auto"/>
          <w:lang w:eastAsia="en-US"/>
        </w:rPr>
        <w:t>= 156.04 tonnes</w:t>
      </w:r>
    </w:p>
    <w:p w14:paraId="728B860E"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spacing w:after="240"/>
        <w:rPr>
          <w:lang w:eastAsia="en-US"/>
        </w:rPr>
      </w:pPr>
    </w:p>
    <w:p w14:paraId="6DA2B78D" w14:textId="77777777" w:rsidR="00872C03" w:rsidRPr="00883399" w:rsidRDefault="00872C03" w:rsidP="00872C03">
      <w:pPr>
        <w:pBdr>
          <w:top w:val="single" w:sz="4" w:space="1" w:color="auto"/>
          <w:left w:val="single" w:sz="4" w:space="4" w:color="auto"/>
          <w:bottom w:val="single" w:sz="4" w:space="1" w:color="auto"/>
          <w:right w:val="single" w:sz="4" w:space="4" w:color="auto"/>
        </w:pBdr>
        <w:shd w:val="clear" w:color="auto" w:fill="BFBFBF"/>
        <w:spacing w:after="240"/>
        <w:rPr>
          <w:i/>
          <w:lang w:eastAsia="en-US"/>
        </w:rPr>
      </w:pPr>
      <w:r w:rsidRPr="00883399">
        <w:rPr>
          <w:i/>
          <w:lang w:eastAsia="en-US"/>
        </w:rPr>
        <w:t>Step 5</w:t>
      </w:r>
      <w:r w:rsidRPr="00883399">
        <w:rPr>
          <w:i/>
          <w:lang w:eastAsia="en-US"/>
        </w:rPr>
        <w:tab/>
        <w:t>Calculate the emissions of carbon dioxide released from the operation of the activity during the year measured in CO</w:t>
      </w:r>
      <w:r w:rsidRPr="00883399">
        <w:rPr>
          <w:i/>
          <w:vertAlign w:val="subscript"/>
          <w:lang w:eastAsia="en-US"/>
        </w:rPr>
        <w:t>2</w:t>
      </w:r>
      <w:r w:rsidRPr="00883399">
        <w:rPr>
          <w:i/>
          <w:lang w:eastAsia="en-US"/>
        </w:rPr>
        <w:t xml:space="preserve"> e tonnes as follows:</w:t>
      </w:r>
    </w:p>
    <w:p w14:paraId="16688ECA"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right" w:pos="993"/>
        </w:tabs>
        <w:spacing w:after="240"/>
        <w:ind w:left="1418" w:hanging="1418"/>
        <w:rPr>
          <w:lang w:eastAsia="en-US"/>
        </w:rPr>
      </w:pPr>
      <w:r w:rsidRPr="00883399">
        <w:rPr>
          <w:lang w:eastAsia="en-US"/>
        </w:rPr>
        <w:tab/>
        <w:t>(a)</w:t>
      </w:r>
      <w:r w:rsidRPr="00883399">
        <w:rPr>
          <w:lang w:eastAsia="en-US"/>
        </w:rPr>
        <w:tab/>
        <w:t>add the amounts worked out under steps 2, 3 and 4 to work out a new amount (amount A);</w:t>
      </w:r>
    </w:p>
    <w:p w14:paraId="443AAAE2"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ind w:firstLine="720"/>
        <w:rPr>
          <w:b/>
          <w:lang w:eastAsia="en-US"/>
        </w:rPr>
      </w:pPr>
      <w:r w:rsidRPr="00883399">
        <w:rPr>
          <w:b/>
          <w:lang w:eastAsia="en-US"/>
        </w:rPr>
        <w:t>In this case A is:</w:t>
      </w:r>
    </w:p>
    <w:p w14:paraId="19BA6F3A"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spacing w:after="240"/>
        <w:rPr>
          <w:lang w:eastAsia="en-US"/>
        </w:rPr>
      </w:pPr>
      <w:r w:rsidRPr="00883399">
        <w:rPr>
          <w:lang w:eastAsia="en-US"/>
        </w:rPr>
        <w:tab/>
        <w:t>= 7435.8 + 100  + 156.04</w:t>
      </w:r>
    </w:p>
    <w:p w14:paraId="2049D6B8"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spacing w:after="240"/>
        <w:rPr>
          <w:lang w:eastAsia="en-US"/>
        </w:rPr>
      </w:pPr>
      <w:r w:rsidRPr="00883399">
        <w:rPr>
          <w:lang w:eastAsia="en-US"/>
        </w:rPr>
        <w:tab/>
        <w:t>= 7,691.84 tonnes of carbon</w:t>
      </w:r>
    </w:p>
    <w:p w14:paraId="4BBF11BB"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right" w:pos="993"/>
        </w:tabs>
        <w:spacing w:after="240"/>
        <w:ind w:left="1418" w:hanging="1418"/>
        <w:rPr>
          <w:lang w:eastAsia="en-US"/>
        </w:rPr>
      </w:pPr>
      <w:r w:rsidRPr="00883399">
        <w:rPr>
          <w:lang w:eastAsia="en-US"/>
        </w:rPr>
        <w:tab/>
        <w:t>(b)</w:t>
      </w:r>
      <w:r w:rsidRPr="00883399">
        <w:rPr>
          <w:lang w:eastAsia="en-US"/>
        </w:rPr>
        <w:tab/>
        <w:t>subtract amount A from the amount worked out under step 1 to work out a new amount (amount B);</w:t>
      </w:r>
    </w:p>
    <w:p w14:paraId="7C18184F"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ind w:firstLine="720"/>
        <w:rPr>
          <w:b/>
          <w:lang w:eastAsia="en-US"/>
        </w:rPr>
      </w:pPr>
      <w:r w:rsidRPr="00883399">
        <w:rPr>
          <w:b/>
          <w:lang w:eastAsia="en-US"/>
        </w:rPr>
        <w:t>In this case:</w:t>
      </w:r>
    </w:p>
    <w:p w14:paraId="436985AF"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spacing w:after="240"/>
        <w:rPr>
          <w:lang w:eastAsia="en-US"/>
        </w:rPr>
      </w:pPr>
      <w:r w:rsidRPr="00883399">
        <w:rPr>
          <w:lang w:eastAsia="en-US"/>
        </w:rPr>
        <w:lastRenderedPageBreak/>
        <w:tab/>
        <w:t xml:space="preserve">= 10,983.7  </w:t>
      </w:r>
      <w:r w:rsidRPr="00883399">
        <w:rPr>
          <w:lang w:eastAsia="en-US"/>
        </w:rPr>
        <w:sym w:font="Symbol" w:char="F02D"/>
      </w:r>
      <w:r w:rsidRPr="00883399">
        <w:rPr>
          <w:lang w:eastAsia="en-US"/>
        </w:rPr>
        <w:t xml:space="preserve"> 7,691.84</w:t>
      </w:r>
    </w:p>
    <w:p w14:paraId="423A757F"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spacing w:after="240"/>
        <w:rPr>
          <w:lang w:eastAsia="en-US"/>
        </w:rPr>
      </w:pPr>
      <w:r w:rsidRPr="00883399">
        <w:rPr>
          <w:lang w:eastAsia="en-US"/>
        </w:rPr>
        <w:tab/>
        <w:t>= 3,291.86 tonnes of carbon</w:t>
      </w:r>
    </w:p>
    <w:p w14:paraId="57BA6AB1"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right" w:pos="993"/>
        </w:tabs>
        <w:spacing w:after="240"/>
        <w:ind w:left="1418" w:hanging="1418"/>
        <w:rPr>
          <w:lang w:eastAsia="en-US"/>
        </w:rPr>
      </w:pPr>
      <w:r w:rsidRPr="00883399">
        <w:rPr>
          <w:lang w:eastAsia="en-US"/>
        </w:rPr>
        <w:tab/>
        <w:t>(c)</w:t>
      </w:r>
      <w:r w:rsidRPr="00883399">
        <w:rPr>
          <w:lang w:eastAsia="en-US"/>
        </w:rPr>
        <w:tab/>
        <w:t>multiply amount B by 3.664 to work out the amount of emissions released from the operation of the activity during a year.</w:t>
      </w:r>
    </w:p>
    <w:p w14:paraId="259BF52C"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spacing w:after="240"/>
        <w:rPr>
          <w:lang w:eastAsia="en-US"/>
        </w:rPr>
      </w:pPr>
      <w:r w:rsidRPr="00883399">
        <w:rPr>
          <w:lang w:eastAsia="en-US"/>
        </w:rPr>
        <w:tab/>
        <w:t>= 3,291.86  x 3.664</w:t>
      </w:r>
    </w:p>
    <w:p w14:paraId="6B196FE6"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spacing w:after="240"/>
        <w:rPr>
          <w:lang w:eastAsia="en-US"/>
        </w:rPr>
      </w:pPr>
      <w:r w:rsidRPr="00883399">
        <w:rPr>
          <w:lang w:eastAsia="en-US"/>
        </w:rPr>
        <w:tab/>
        <w:t>= 12,061.37504 tonnes CO</w:t>
      </w:r>
      <w:r w:rsidRPr="00883399">
        <w:rPr>
          <w:vertAlign w:val="subscript"/>
          <w:lang w:eastAsia="en-US"/>
        </w:rPr>
        <w:t>2</w:t>
      </w:r>
      <w:r w:rsidRPr="00883399">
        <w:rPr>
          <w:lang w:eastAsia="en-US"/>
        </w:rPr>
        <w:t>-e</w:t>
      </w:r>
    </w:p>
    <w:p w14:paraId="49E6BF5E"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spacing w:after="240"/>
        <w:rPr>
          <w:b/>
          <w:lang w:eastAsia="en-US"/>
        </w:rPr>
      </w:pPr>
      <w:r w:rsidRPr="00883399">
        <w:rPr>
          <w:b/>
          <w:bdr w:val="single" w:sz="4" w:space="0" w:color="auto"/>
          <w:lang w:eastAsia="en-US"/>
        </w:rPr>
        <w:t>Therefore, total carbon balance CO</w:t>
      </w:r>
      <w:r w:rsidRPr="00883399">
        <w:rPr>
          <w:b/>
          <w:bdr w:val="single" w:sz="4" w:space="0" w:color="auto"/>
          <w:vertAlign w:val="subscript"/>
          <w:lang w:eastAsia="en-US"/>
        </w:rPr>
        <w:t>2</w:t>
      </w:r>
      <w:r w:rsidRPr="00883399">
        <w:rPr>
          <w:b/>
          <w:bdr w:val="single" w:sz="4" w:space="0" w:color="auto"/>
          <w:lang w:eastAsia="en-US"/>
        </w:rPr>
        <w:t xml:space="preserve"> emissions from the source = 12,061 tonnes</w:t>
      </w:r>
    </w:p>
    <w:p w14:paraId="344859E2"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1701"/>
        </w:tabs>
        <w:spacing w:after="240"/>
        <w:rPr>
          <w:lang w:eastAsia="en-US"/>
        </w:rPr>
      </w:pPr>
    </w:p>
    <w:p w14:paraId="56ACF9AF" w14:textId="77777777" w:rsidR="00872C03" w:rsidRPr="00883399" w:rsidRDefault="00872C03" w:rsidP="00872C03">
      <w:pPr>
        <w:pStyle w:val="subsection"/>
        <w:rPr>
          <w:sz w:val="24"/>
        </w:rPr>
      </w:pPr>
    </w:p>
    <w:p w14:paraId="44F38C76" w14:textId="4176F7AC" w:rsidR="00872C03" w:rsidRPr="00883399" w:rsidRDefault="00872C03" w:rsidP="00872C03">
      <w:pPr>
        <w:pStyle w:val="ActHead3"/>
        <w:pageBreakBefore/>
        <w:rPr>
          <w:sz w:val="32"/>
        </w:rPr>
      </w:pPr>
      <w:bookmarkStart w:id="365" w:name="_Toc423516830"/>
      <w:bookmarkStart w:id="366" w:name="_Toc495652748"/>
      <w:r w:rsidRPr="00883399">
        <w:rPr>
          <w:rStyle w:val="CharDivNo"/>
          <w:sz w:val="32"/>
        </w:rPr>
        <w:lastRenderedPageBreak/>
        <w:t>Division 2.5.3</w:t>
      </w:r>
      <w:r w:rsidRPr="00883399">
        <w:rPr>
          <w:sz w:val="32"/>
        </w:rPr>
        <w:t>—</w:t>
      </w:r>
      <w:r w:rsidRPr="00883399">
        <w:rPr>
          <w:rStyle w:val="CharDivText"/>
          <w:sz w:val="32"/>
        </w:rPr>
        <w:t>Energy—petrochemical production</w:t>
      </w:r>
      <w:bookmarkEnd w:id="365"/>
      <w:bookmarkEnd w:id="366"/>
    </w:p>
    <w:p w14:paraId="4E605532" w14:textId="1254146D" w:rsidR="00872C03" w:rsidRPr="00883399" w:rsidRDefault="00872C03" w:rsidP="00872C03">
      <w:pPr>
        <w:pStyle w:val="ActHead5"/>
        <w:rPr>
          <w:sz w:val="28"/>
        </w:rPr>
      </w:pPr>
      <w:bookmarkStart w:id="367" w:name="_Toc423516831"/>
      <w:bookmarkStart w:id="368" w:name="_Toc495652749"/>
      <w:r w:rsidRPr="00883399">
        <w:rPr>
          <w:rStyle w:val="CharSectno"/>
          <w:sz w:val="28"/>
        </w:rPr>
        <w:t>2.59</w:t>
      </w:r>
      <w:r w:rsidRPr="00883399">
        <w:rPr>
          <w:sz w:val="28"/>
        </w:rPr>
        <w:t xml:space="preserve">  Application</w:t>
      </w:r>
      <w:bookmarkEnd w:id="367"/>
      <w:bookmarkEnd w:id="368"/>
    </w:p>
    <w:p w14:paraId="60B14032" w14:textId="77777777" w:rsidR="00872C03" w:rsidRPr="00883399" w:rsidRDefault="00872C03" w:rsidP="00872C03">
      <w:pPr>
        <w:pStyle w:val="subsection"/>
        <w:rPr>
          <w:sz w:val="24"/>
        </w:rPr>
      </w:pPr>
      <w:r w:rsidRPr="00883399">
        <w:rPr>
          <w:sz w:val="24"/>
        </w:rPr>
        <w:tab/>
      </w:r>
      <w:r w:rsidRPr="00883399">
        <w:rPr>
          <w:sz w:val="24"/>
        </w:rPr>
        <w:tab/>
        <w:t>This Division applies to petrochemical production (where fuel is consumed as a feedstock).</w:t>
      </w:r>
    </w:p>
    <w:p w14:paraId="0AF8A0A0" w14:textId="45287DAB" w:rsidR="00872C03" w:rsidRPr="00883399" w:rsidRDefault="00872C03" w:rsidP="00872C03">
      <w:pPr>
        <w:pStyle w:val="ActHead5"/>
        <w:rPr>
          <w:sz w:val="28"/>
        </w:rPr>
      </w:pPr>
      <w:bookmarkStart w:id="369" w:name="_Toc423516832"/>
      <w:bookmarkStart w:id="370" w:name="_Toc495652750"/>
      <w:r w:rsidRPr="00883399">
        <w:rPr>
          <w:rStyle w:val="CharSectno"/>
          <w:sz w:val="28"/>
        </w:rPr>
        <w:t>2.60</w:t>
      </w:r>
      <w:r w:rsidRPr="00883399">
        <w:rPr>
          <w:sz w:val="28"/>
        </w:rPr>
        <w:t xml:space="preserve">  Available methods</w:t>
      </w:r>
      <w:bookmarkEnd w:id="369"/>
      <w:bookmarkEnd w:id="370"/>
    </w:p>
    <w:p w14:paraId="7F36C129" w14:textId="77777777" w:rsidR="00872C03" w:rsidRPr="00883399" w:rsidRDefault="00872C03" w:rsidP="00872C03">
      <w:pPr>
        <w:pStyle w:val="subsection"/>
        <w:rPr>
          <w:sz w:val="24"/>
        </w:rPr>
      </w:pPr>
      <w:r w:rsidRPr="00883399">
        <w:rPr>
          <w:sz w:val="24"/>
        </w:rPr>
        <w:tab/>
        <w:t>(1)</w:t>
      </w:r>
      <w:r w:rsidRPr="00883399">
        <w:rPr>
          <w:sz w:val="24"/>
        </w:rPr>
        <w:tab/>
        <w:t>Subject to section 1.18 one of the following methods must be used for estimating emissions released during a year from the operation of a facility that is constituted by an activity that is petrochemical production:</w:t>
      </w:r>
    </w:p>
    <w:p w14:paraId="729D3415" w14:textId="77777777" w:rsidR="00872C03" w:rsidRPr="00883399" w:rsidRDefault="00872C03" w:rsidP="00872C03">
      <w:pPr>
        <w:pStyle w:val="paragraph"/>
        <w:rPr>
          <w:sz w:val="24"/>
        </w:rPr>
      </w:pPr>
      <w:r w:rsidRPr="00883399">
        <w:rPr>
          <w:sz w:val="24"/>
        </w:rPr>
        <w:tab/>
        <w:t>(a)</w:t>
      </w:r>
      <w:r w:rsidRPr="00883399">
        <w:rPr>
          <w:sz w:val="24"/>
        </w:rPr>
        <w:tab/>
        <w:t>method 1 under section 2.61;</w:t>
      </w:r>
    </w:p>
    <w:p w14:paraId="13E402F1" w14:textId="77777777" w:rsidR="00872C03" w:rsidRPr="00883399" w:rsidRDefault="00872C03" w:rsidP="00872C03">
      <w:pPr>
        <w:pStyle w:val="paragraph"/>
        <w:rPr>
          <w:sz w:val="24"/>
        </w:rPr>
      </w:pPr>
      <w:r w:rsidRPr="00883399">
        <w:rPr>
          <w:sz w:val="24"/>
        </w:rPr>
        <w:tab/>
        <w:t>(b)</w:t>
      </w:r>
      <w:r w:rsidRPr="00883399">
        <w:rPr>
          <w:sz w:val="24"/>
        </w:rPr>
        <w:tab/>
        <w:t>method 2 under section 2.62;</w:t>
      </w:r>
    </w:p>
    <w:p w14:paraId="2D518E06" w14:textId="77777777" w:rsidR="00872C03" w:rsidRPr="00883399" w:rsidRDefault="00872C03" w:rsidP="00872C03">
      <w:pPr>
        <w:pStyle w:val="paragraph"/>
        <w:rPr>
          <w:sz w:val="24"/>
        </w:rPr>
      </w:pPr>
      <w:r w:rsidRPr="00883399">
        <w:rPr>
          <w:sz w:val="24"/>
        </w:rPr>
        <w:tab/>
        <w:t>(c)</w:t>
      </w:r>
      <w:r w:rsidRPr="00883399">
        <w:rPr>
          <w:sz w:val="24"/>
        </w:rPr>
        <w:tab/>
        <w:t>method 3 under section 2.63;</w:t>
      </w:r>
    </w:p>
    <w:p w14:paraId="2CC2580B" w14:textId="77777777" w:rsidR="00872C03" w:rsidRPr="00883399" w:rsidRDefault="00872C03" w:rsidP="00872C03">
      <w:pPr>
        <w:pStyle w:val="paragraph"/>
        <w:rPr>
          <w:sz w:val="24"/>
        </w:rPr>
      </w:pPr>
      <w:r w:rsidRPr="00883399">
        <w:rPr>
          <w:sz w:val="24"/>
        </w:rPr>
        <w:tab/>
        <w:t>(d)</w:t>
      </w:r>
      <w:r w:rsidRPr="00883399">
        <w:rPr>
          <w:sz w:val="24"/>
        </w:rPr>
        <w:tab/>
        <w:t>method 4 under Part 1.3.</w:t>
      </w:r>
    </w:p>
    <w:p w14:paraId="36B86BFF" w14:textId="77777777" w:rsidR="00872C03" w:rsidRPr="00883399" w:rsidRDefault="00872C03" w:rsidP="00872C03">
      <w:pPr>
        <w:pStyle w:val="subsection"/>
        <w:rPr>
          <w:sz w:val="24"/>
        </w:rPr>
      </w:pPr>
      <w:r w:rsidRPr="00883399">
        <w:rPr>
          <w:sz w:val="24"/>
        </w:rPr>
        <w:tab/>
        <w:t>(2)</w:t>
      </w:r>
      <w:r w:rsidRPr="00883399">
        <w:rPr>
          <w:sz w:val="24"/>
        </w:rPr>
        <w:tab/>
        <w:t>However, for incidental emissions another method may be used that is consistent with the principles in section 1.13.</w:t>
      </w:r>
    </w:p>
    <w:p w14:paraId="5C13F2D9" w14:textId="277C375C" w:rsidR="00872C03" w:rsidRPr="00883399" w:rsidRDefault="00872C03" w:rsidP="00872C03">
      <w:pPr>
        <w:pStyle w:val="ActHead5"/>
        <w:rPr>
          <w:sz w:val="28"/>
        </w:rPr>
      </w:pPr>
      <w:bookmarkStart w:id="371" w:name="_Toc423516833"/>
      <w:bookmarkStart w:id="372" w:name="_Toc495652751"/>
      <w:r w:rsidRPr="00883399">
        <w:rPr>
          <w:rStyle w:val="CharSectno"/>
          <w:sz w:val="28"/>
        </w:rPr>
        <w:t>2.61</w:t>
      </w:r>
      <w:r w:rsidRPr="00883399">
        <w:rPr>
          <w:sz w:val="28"/>
        </w:rPr>
        <w:t xml:space="preserve">  Method 1—petrochemical production</w:t>
      </w:r>
      <w:bookmarkEnd w:id="371"/>
      <w:bookmarkEnd w:id="372"/>
    </w:p>
    <w:p w14:paraId="0458472D" w14:textId="77777777" w:rsidR="00872C03" w:rsidRPr="00883399" w:rsidRDefault="00872C03" w:rsidP="00872C03">
      <w:pPr>
        <w:pStyle w:val="subsection"/>
        <w:rPr>
          <w:sz w:val="24"/>
        </w:rPr>
      </w:pPr>
      <w:r w:rsidRPr="00883399">
        <w:rPr>
          <w:sz w:val="24"/>
        </w:rPr>
        <w:tab/>
      </w:r>
      <w:r w:rsidRPr="00883399">
        <w:rPr>
          <w:sz w:val="24"/>
        </w:rPr>
        <w:tab/>
        <w:t>Method 1, based on a carbon mass balance approach, is:</w:t>
      </w:r>
    </w:p>
    <w:p w14:paraId="49AF42BE" w14:textId="77777777" w:rsidR="00872C03" w:rsidRPr="00883399" w:rsidRDefault="00872C03" w:rsidP="00872C03">
      <w:pPr>
        <w:pStyle w:val="Tabletext0"/>
        <w:rPr>
          <w:sz w:val="22"/>
        </w:rPr>
      </w:pPr>
    </w:p>
    <w:tbl>
      <w:tblPr>
        <w:tblW w:w="0" w:type="auto"/>
        <w:tblInd w:w="948" w:type="dxa"/>
        <w:tblLayout w:type="fixed"/>
        <w:tblLook w:val="0000" w:firstRow="0" w:lastRow="0" w:firstColumn="0" w:lastColumn="0" w:noHBand="0" w:noVBand="0"/>
      </w:tblPr>
      <w:tblGrid>
        <w:gridCol w:w="882"/>
        <w:gridCol w:w="6678"/>
      </w:tblGrid>
      <w:tr w:rsidR="00872C03" w:rsidRPr="00883399" w14:paraId="2160521D" w14:textId="77777777" w:rsidTr="0031057E">
        <w:trPr>
          <w:cantSplit/>
          <w:trHeight w:val="80"/>
        </w:trPr>
        <w:tc>
          <w:tcPr>
            <w:tcW w:w="882" w:type="dxa"/>
          </w:tcPr>
          <w:p w14:paraId="63A0521B" w14:textId="77777777" w:rsidR="00872C03" w:rsidRPr="00883399" w:rsidRDefault="00872C03" w:rsidP="0031057E">
            <w:pPr>
              <w:pStyle w:val="Tabletext0"/>
              <w:keepNext/>
              <w:keepLines/>
              <w:rPr>
                <w:sz w:val="22"/>
              </w:rPr>
            </w:pPr>
            <w:r w:rsidRPr="00883399">
              <w:rPr>
                <w:sz w:val="24"/>
                <w:szCs w:val="22"/>
              </w:rPr>
              <w:t>Step 1</w:t>
            </w:r>
          </w:p>
        </w:tc>
        <w:tc>
          <w:tcPr>
            <w:tcW w:w="6678" w:type="dxa"/>
          </w:tcPr>
          <w:p w14:paraId="187AC2E8" w14:textId="77777777" w:rsidR="00872C03" w:rsidRPr="00883399" w:rsidRDefault="00872C03" w:rsidP="0031057E">
            <w:pPr>
              <w:pStyle w:val="Tabletext0"/>
              <w:keepNext/>
              <w:keepLines/>
              <w:spacing w:after="60"/>
              <w:rPr>
                <w:sz w:val="24"/>
                <w:szCs w:val="22"/>
              </w:rPr>
            </w:pPr>
            <w:r w:rsidRPr="00883399">
              <w:rPr>
                <w:sz w:val="24"/>
                <w:szCs w:val="22"/>
              </w:rPr>
              <w:t>Calculate the carbon content in all fuel types</w:t>
            </w:r>
            <w:r w:rsidRPr="00883399">
              <w:rPr>
                <w:b/>
                <w:i/>
                <w:sz w:val="24"/>
                <w:szCs w:val="22"/>
              </w:rPr>
              <w:t xml:space="preserve"> </w:t>
            </w:r>
            <w:r w:rsidRPr="00883399">
              <w:rPr>
                <w:sz w:val="24"/>
                <w:szCs w:val="22"/>
              </w:rPr>
              <w:t>(</w:t>
            </w:r>
            <w:r w:rsidRPr="00883399">
              <w:rPr>
                <w:b/>
                <w:i/>
                <w:sz w:val="24"/>
                <w:szCs w:val="22"/>
              </w:rPr>
              <w:t>i</w:t>
            </w:r>
            <w:r w:rsidRPr="00883399">
              <w:rPr>
                <w:sz w:val="24"/>
                <w:szCs w:val="22"/>
              </w:rPr>
              <w:t>) delivered for the activity during the year as follows:</w:t>
            </w:r>
          </w:p>
          <w:p w14:paraId="389403BE" w14:textId="67D9DE47" w:rsidR="00872C03" w:rsidRPr="00883399" w:rsidRDefault="00872C03" w:rsidP="0031057E">
            <w:pPr>
              <w:pStyle w:val="Formula"/>
              <w:ind w:left="13"/>
              <w:rPr>
                <w:sz w:val="22"/>
              </w:rPr>
            </w:pPr>
            <w:r w:rsidRPr="00883399">
              <w:rPr>
                <w:noProof/>
                <w:sz w:val="22"/>
              </w:rPr>
              <w:drawing>
                <wp:inline distT="0" distB="0" distL="0" distR="0" wp14:anchorId="536CBCAB" wp14:editId="0D8ED0D4">
                  <wp:extent cx="790575" cy="2000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tc>
      </w:tr>
      <w:tr w:rsidR="00872C03" w:rsidRPr="00883399" w14:paraId="65A667C1" w14:textId="77777777" w:rsidTr="0031057E">
        <w:trPr>
          <w:cantSplit/>
          <w:trHeight w:val="80"/>
        </w:trPr>
        <w:tc>
          <w:tcPr>
            <w:tcW w:w="882" w:type="dxa"/>
          </w:tcPr>
          <w:p w14:paraId="073ADDF5" w14:textId="77777777" w:rsidR="00872C03" w:rsidRPr="00883399" w:rsidRDefault="00872C03" w:rsidP="0031057E">
            <w:pPr>
              <w:spacing w:before="60" w:after="60"/>
            </w:pPr>
          </w:p>
        </w:tc>
        <w:tc>
          <w:tcPr>
            <w:tcW w:w="6678" w:type="dxa"/>
          </w:tcPr>
          <w:p w14:paraId="7861B50D" w14:textId="77777777" w:rsidR="00872C03" w:rsidRPr="00883399" w:rsidRDefault="00872C03" w:rsidP="0031057E">
            <w:pPr>
              <w:pStyle w:val="subsection2"/>
              <w:ind w:left="34"/>
              <w:rPr>
                <w:sz w:val="24"/>
              </w:rPr>
            </w:pPr>
            <w:r w:rsidRPr="00883399">
              <w:rPr>
                <w:sz w:val="24"/>
              </w:rPr>
              <w:t>where:</w:t>
            </w:r>
          </w:p>
          <w:p w14:paraId="576BA4A3" w14:textId="77777777" w:rsidR="00872C03" w:rsidRPr="00883399" w:rsidRDefault="00872C03" w:rsidP="0031057E">
            <w:pPr>
              <w:pStyle w:val="Definition0"/>
              <w:spacing w:before="60" w:after="60"/>
              <w:ind w:left="34"/>
              <w:rPr>
                <w:sz w:val="24"/>
              </w:rPr>
            </w:pPr>
            <w:r w:rsidRPr="00883399">
              <w:rPr>
                <w:rFonts w:ascii="Symbol" w:hAnsi="Symbol"/>
                <w:b/>
                <w:i/>
                <w:sz w:val="24"/>
              </w:rPr>
              <w:t></w:t>
            </w:r>
            <w:r w:rsidRPr="00883399">
              <w:rPr>
                <w:b/>
                <w:i/>
                <w:sz w:val="24"/>
                <w:vertAlign w:val="subscript"/>
              </w:rPr>
              <w:t xml:space="preserve">i </w:t>
            </w:r>
            <w:r w:rsidRPr="00883399">
              <w:rPr>
                <w:sz w:val="24"/>
              </w:rPr>
              <w:t>means sum the carbon content values obtained for all fuel types (</w:t>
            </w:r>
            <w:r w:rsidRPr="00883399">
              <w:rPr>
                <w:b/>
                <w:i/>
                <w:sz w:val="24"/>
              </w:rPr>
              <w:t>i</w:t>
            </w:r>
            <w:r w:rsidRPr="00883399">
              <w:rPr>
                <w:sz w:val="24"/>
              </w:rPr>
              <w:t>).</w:t>
            </w:r>
          </w:p>
          <w:p w14:paraId="5797F73A" w14:textId="77777777" w:rsidR="00872C03" w:rsidRPr="00883399" w:rsidRDefault="00872C03" w:rsidP="0031057E">
            <w:pPr>
              <w:pStyle w:val="Definition0"/>
              <w:spacing w:before="60" w:after="60"/>
              <w:ind w:left="34"/>
              <w:rPr>
                <w:b/>
                <w:i/>
                <w:sz w:val="24"/>
              </w:rPr>
            </w:pPr>
            <w:r w:rsidRPr="00883399">
              <w:rPr>
                <w:b/>
                <w:i/>
                <w:sz w:val="24"/>
              </w:rPr>
              <w:t>CCF</w:t>
            </w:r>
            <w:r w:rsidRPr="00883399">
              <w:rPr>
                <w:b/>
                <w:i/>
                <w:sz w:val="24"/>
                <w:vertAlign w:val="subscript"/>
              </w:rPr>
              <w:t xml:space="preserve">i </w:t>
            </w:r>
            <w:r w:rsidRPr="00883399">
              <w:rPr>
                <w:sz w:val="24"/>
              </w:rPr>
              <w:t>is the carbon content factor measured in tonnes of carbon for each tonne of fuel type (</w:t>
            </w:r>
            <w:r w:rsidRPr="00883399">
              <w:rPr>
                <w:b/>
                <w:i/>
                <w:sz w:val="24"/>
              </w:rPr>
              <w:t>i</w:t>
            </w:r>
            <w:r w:rsidRPr="00883399">
              <w:rPr>
                <w:sz w:val="24"/>
              </w:rPr>
              <w:t>) as mentioned in Schedule 3 consumed in the operation of the activity.</w:t>
            </w:r>
          </w:p>
          <w:p w14:paraId="7BF44921" w14:textId="77777777" w:rsidR="00872C03" w:rsidRPr="00883399" w:rsidRDefault="00872C03" w:rsidP="0031057E">
            <w:pPr>
              <w:pStyle w:val="Definition0"/>
              <w:spacing w:before="60" w:after="60"/>
              <w:ind w:left="34"/>
              <w:rPr>
                <w:sz w:val="24"/>
              </w:rPr>
            </w:pPr>
            <w:r w:rsidRPr="00883399">
              <w:rPr>
                <w:b/>
                <w:i/>
                <w:sz w:val="24"/>
              </w:rPr>
              <w:t>Q</w:t>
            </w:r>
            <w:r w:rsidRPr="00883399">
              <w:rPr>
                <w:b/>
                <w:i/>
                <w:sz w:val="24"/>
                <w:vertAlign w:val="subscript"/>
              </w:rPr>
              <w:t xml:space="preserve">i </w:t>
            </w:r>
            <w:r w:rsidRPr="00883399">
              <w:rPr>
                <w:sz w:val="24"/>
              </w:rPr>
              <w:t>is the quantity of fuel type (</w:t>
            </w:r>
            <w:r w:rsidRPr="00883399">
              <w:rPr>
                <w:b/>
                <w:i/>
                <w:sz w:val="24"/>
              </w:rPr>
              <w:t>i</w:t>
            </w:r>
            <w:r w:rsidRPr="00883399">
              <w:rPr>
                <w:sz w:val="24"/>
              </w:rPr>
              <w:t>) delivered for the activity during the year measured in tonnes and estimated in accordance with criterion A in Divisions 2.2.5, 2.3.6 and 2.4.6.</w:t>
            </w:r>
          </w:p>
        </w:tc>
      </w:tr>
      <w:tr w:rsidR="00872C03" w:rsidRPr="00883399" w14:paraId="5BAF56E4" w14:textId="77777777" w:rsidTr="0031057E">
        <w:trPr>
          <w:cantSplit/>
        </w:trPr>
        <w:tc>
          <w:tcPr>
            <w:tcW w:w="882" w:type="dxa"/>
          </w:tcPr>
          <w:p w14:paraId="3BE73F30" w14:textId="77777777" w:rsidR="00872C03" w:rsidRPr="00883399" w:rsidRDefault="00872C03" w:rsidP="0031057E">
            <w:pPr>
              <w:pStyle w:val="Tabletext0"/>
              <w:rPr>
                <w:sz w:val="24"/>
                <w:szCs w:val="22"/>
              </w:rPr>
            </w:pPr>
            <w:r w:rsidRPr="00883399">
              <w:rPr>
                <w:sz w:val="24"/>
                <w:szCs w:val="22"/>
              </w:rPr>
              <w:t>Step 2</w:t>
            </w:r>
          </w:p>
        </w:tc>
        <w:tc>
          <w:tcPr>
            <w:tcW w:w="6678" w:type="dxa"/>
          </w:tcPr>
          <w:p w14:paraId="316FF9BE" w14:textId="77777777" w:rsidR="00872C03" w:rsidRPr="00883399" w:rsidRDefault="00872C03" w:rsidP="0031057E">
            <w:pPr>
              <w:pStyle w:val="Tabletext0"/>
              <w:spacing w:after="60"/>
              <w:rPr>
                <w:sz w:val="24"/>
                <w:szCs w:val="22"/>
              </w:rPr>
            </w:pPr>
            <w:r w:rsidRPr="00883399">
              <w:rPr>
                <w:sz w:val="24"/>
                <w:szCs w:val="22"/>
              </w:rPr>
              <w:t>Calculate the carbon content in products (</w:t>
            </w:r>
            <w:r w:rsidRPr="00883399">
              <w:rPr>
                <w:b/>
                <w:i/>
                <w:sz w:val="24"/>
                <w:szCs w:val="22"/>
              </w:rPr>
              <w:t>p</w:t>
            </w:r>
            <w:r w:rsidRPr="00883399">
              <w:rPr>
                <w:sz w:val="24"/>
                <w:szCs w:val="22"/>
              </w:rPr>
              <w:t>) leaving the activity during the year as follows:</w:t>
            </w:r>
          </w:p>
          <w:p w14:paraId="2FCCB7AE" w14:textId="62D4371C" w:rsidR="00872C03" w:rsidRPr="00883399" w:rsidRDefault="00872C03" w:rsidP="0031057E">
            <w:pPr>
              <w:pStyle w:val="Formula"/>
              <w:ind w:left="13"/>
              <w:rPr>
                <w:sz w:val="22"/>
              </w:rPr>
            </w:pPr>
            <w:r w:rsidRPr="00883399">
              <w:rPr>
                <w:noProof/>
                <w:sz w:val="22"/>
              </w:rPr>
              <w:drawing>
                <wp:inline distT="0" distB="0" distL="0" distR="0" wp14:anchorId="3AEE0D4A" wp14:editId="5980932B">
                  <wp:extent cx="981075" cy="2000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p>
        </w:tc>
      </w:tr>
      <w:tr w:rsidR="00872C03" w:rsidRPr="00883399" w14:paraId="5FA4D4CF" w14:textId="77777777" w:rsidTr="0031057E">
        <w:trPr>
          <w:cantSplit/>
          <w:trHeight w:val="798"/>
        </w:trPr>
        <w:tc>
          <w:tcPr>
            <w:tcW w:w="882" w:type="dxa"/>
          </w:tcPr>
          <w:p w14:paraId="70A54A02" w14:textId="77777777" w:rsidR="00872C03" w:rsidRPr="00883399" w:rsidRDefault="00872C03" w:rsidP="0031057E">
            <w:pPr>
              <w:pStyle w:val="Tabletext0"/>
              <w:rPr>
                <w:sz w:val="24"/>
                <w:szCs w:val="22"/>
              </w:rPr>
            </w:pPr>
          </w:p>
        </w:tc>
        <w:tc>
          <w:tcPr>
            <w:tcW w:w="6678" w:type="dxa"/>
          </w:tcPr>
          <w:p w14:paraId="10151F1F" w14:textId="77777777" w:rsidR="00872C03" w:rsidRPr="00883399" w:rsidRDefault="00872C03" w:rsidP="0031057E">
            <w:pPr>
              <w:pStyle w:val="subsection2"/>
              <w:ind w:left="34"/>
              <w:rPr>
                <w:sz w:val="24"/>
              </w:rPr>
            </w:pPr>
            <w:r w:rsidRPr="00883399">
              <w:rPr>
                <w:sz w:val="24"/>
              </w:rPr>
              <w:t>where:</w:t>
            </w:r>
          </w:p>
          <w:p w14:paraId="1557AD6C" w14:textId="77777777" w:rsidR="00872C03" w:rsidRPr="00883399" w:rsidRDefault="00872C03" w:rsidP="0031057E">
            <w:pPr>
              <w:pStyle w:val="Definition0"/>
              <w:spacing w:before="60" w:after="60"/>
              <w:ind w:left="34"/>
              <w:rPr>
                <w:sz w:val="24"/>
              </w:rPr>
            </w:pPr>
            <w:r w:rsidRPr="00883399">
              <w:rPr>
                <w:rFonts w:ascii="Symbol" w:hAnsi="Symbol"/>
                <w:b/>
                <w:i/>
                <w:sz w:val="24"/>
              </w:rPr>
              <w:t></w:t>
            </w:r>
            <w:r w:rsidRPr="00883399">
              <w:rPr>
                <w:b/>
                <w:i/>
                <w:sz w:val="24"/>
                <w:vertAlign w:val="subscript"/>
              </w:rPr>
              <w:t xml:space="preserve">p </w:t>
            </w:r>
            <w:r w:rsidRPr="00883399">
              <w:rPr>
                <w:sz w:val="24"/>
              </w:rPr>
              <w:t>means sum the carbon content values obtained for all product types (</w:t>
            </w:r>
            <w:r w:rsidRPr="00883399">
              <w:rPr>
                <w:b/>
                <w:i/>
                <w:sz w:val="24"/>
              </w:rPr>
              <w:t>p</w:t>
            </w:r>
            <w:r w:rsidRPr="00883399">
              <w:rPr>
                <w:sz w:val="24"/>
              </w:rPr>
              <w:t>).</w:t>
            </w:r>
          </w:p>
        </w:tc>
      </w:tr>
      <w:tr w:rsidR="00872C03" w:rsidRPr="00883399" w14:paraId="76EA0A14" w14:textId="77777777" w:rsidTr="0031057E">
        <w:trPr>
          <w:cantSplit/>
          <w:trHeight w:val="735"/>
        </w:trPr>
        <w:tc>
          <w:tcPr>
            <w:tcW w:w="882" w:type="dxa"/>
          </w:tcPr>
          <w:p w14:paraId="5184FB77" w14:textId="77777777" w:rsidR="00872C03" w:rsidRPr="00883399" w:rsidRDefault="00872C03" w:rsidP="0031057E">
            <w:pPr>
              <w:pStyle w:val="Tabletext0"/>
              <w:rPr>
                <w:sz w:val="24"/>
                <w:szCs w:val="22"/>
              </w:rPr>
            </w:pPr>
          </w:p>
        </w:tc>
        <w:tc>
          <w:tcPr>
            <w:tcW w:w="6678" w:type="dxa"/>
          </w:tcPr>
          <w:p w14:paraId="75AFDE24" w14:textId="77777777" w:rsidR="00872C03" w:rsidRPr="00883399" w:rsidRDefault="00872C03" w:rsidP="0031057E">
            <w:pPr>
              <w:pStyle w:val="Definition0"/>
              <w:spacing w:before="60" w:after="60"/>
              <w:ind w:left="34"/>
              <w:rPr>
                <w:sz w:val="24"/>
              </w:rPr>
            </w:pPr>
            <w:r w:rsidRPr="00883399">
              <w:rPr>
                <w:b/>
                <w:i/>
                <w:iCs/>
                <w:sz w:val="24"/>
              </w:rPr>
              <w:t>CCF</w:t>
            </w:r>
            <w:r w:rsidRPr="00883399">
              <w:rPr>
                <w:b/>
                <w:i/>
                <w:iCs/>
                <w:sz w:val="24"/>
                <w:vertAlign w:val="subscript"/>
              </w:rPr>
              <w:t>p</w:t>
            </w:r>
            <w:r w:rsidRPr="00883399">
              <w:rPr>
                <w:iCs/>
                <w:sz w:val="24"/>
              </w:rPr>
              <w:t xml:space="preserve"> is the carbon content factor measured in tonnes of carbon for each tonne of product</w:t>
            </w:r>
            <w:r w:rsidRPr="00883399">
              <w:rPr>
                <w:b/>
                <w:i/>
                <w:iCs/>
                <w:sz w:val="24"/>
              </w:rPr>
              <w:t xml:space="preserve"> </w:t>
            </w:r>
            <w:r w:rsidRPr="00883399">
              <w:rPr>
                <w:iCs/>
                <w:sz w:val="24"/>
              </w:rPr>
              <w:t>(</w:t>
            </w:r>
            <w:r w:rsidRPr="00883399">
              <w:rPr>
                <w:b/>
                <w:i/>
                <w:iCs/>
                <w:sz w:val="24"/>
              </w:rPr>
              <w:t>p</w:t>
            </w:r>
            <w:r w:rsidRPr="00883399">
              <w:rPr>
                <w:iCs/>
                <w:sz w:val="24"/>
              </w:rPr>
              <w:t>).</w:t>
            </w:r>
          </w:p>
        </w:tc>
      </w:tr>
      <w:tr w:rsidR="00872C03" w:rsidRPr="00883399" w14:paraId="676BFA85" w14:textId="77777777" w:rsidTr="0031057E">
        <w:trPr>
          <w:cantSplit/>
          <w:trHeight w:val="622"/>
        </w:trPr>
        <w:tc>
          <w:tcPr>
            <w:tcW w:w="882" w:type="dxa"/>
          </w:tcPr>
          <w:p w14:paraId="0B919CFA" w14:textId="77777777" w:rsidR="00872C03" w:rsidRPr="00883399" w:rsidRDefault="00872C03" w:rsidP="0031057E">
            <w:pPr>
              <w:pStyle w:val="Tabletext0"/>
              <w:rPr>
                <w:sz w:val="24"/>
                <w:szCs w:val="22"/>
              </w:rPr>
            </w:pPr>
          </w:p>
        </w:tc>
        <w:tc>
          <w:tcPr>
            <w:tcW w:w="6678" w:type="dxa"/>
          </w:tcPr>
          <w:p w14:paraId="6C3FD219" w14:textId="77777777" w:rsidR="00872C03" w:rsidRPr="00883399" w:rsidRDefault="00872C03" w:rsidP="0031057E">
            <w:pPr>
              <w:pStyle w:val="Definition0"/>
              <w:ind w:left="34"/>
              <w:rPr>
                <w:b/>
                <w:i/>
                <w:iCs/>
                <w:sz w:val="24"/>
              </w:rPr>
            </w:pPr>
            <w:r w:rsidRPr="00883399">
              <w:rPr>
                <w:b/>
                <w:i/>
                <w:sz w:val="24"/>
              </w:rPr>
              <w:t>A</w:t>
            </w:r>
            <w:r w:rsidRPr="00883399">
              <w:rPr>
                <w:b/>
                <w:i/>
                <w:sz w:val="24"/>
                <w:vertAlign w:val="subscript"/>
              </w:rPr>
              <w:t xml:space="preserve">p </w:t>
            </w:r>
            <w:r w:rsidRPr="00883399">
              <w:rPr>
                <w:sz w:val="24"/>
              </w:rPr>
              <w:t>is the quantity of products produced (</w:t>
            </w:r>
            <w:r w:rsidRPr="00883399">
              <w:rPr>
                <w:b/>
                <w:i/>
                <w:sz w:val="24"/>
              </w:rPr>
              <w:t>p</w:t>
            </w:r>
            <w:r w:rsidRPr="00883399">
              <w:rPr>
                <w:sz w:val="24"/>
              </w:rPr>
              <w:t>) leaving the activity during the year measured in tonnes.</w:t>
            </w:r>
          </w:p>
        </w:tc>
      </w:tr>
      <w:tr w:rsidR="00872C03" w:rsidRPr="00883399" w14:paraId="19B72703" w14:textId="77777777" w:rsidTr="0031057E">
        <w:trPr>
          <w:cantSplit/>
        </w:trPr>
        <w:tc>
          <w:tcPr>
            <w:tcW w:w="882" w:type="dxa"/>
          </w:tcPr>
          <w:p w14:paraId="3476C0D2" w14:textId="77777777" w:rsidR="00872C03" w:rsidRPr="00883399" w:rsidRDefault="00872C03" w:rsidP="0031057E">
            <w:pPr>
              <w:pStyle w:val="Tabletext0"/>
              <w:rPr>
                <w:sz w:val="24"/>
                <w:szCs w:val="22"/>
              </w:rPr>
            </w:pPr>
            <w:r w:rsidRPr="00883399">
              <w:rPr>
                <w:sz w:val="24"/>
                <w:szCs w:val="22"/>
              </w:rPr>
              <w:t>Step3</w:t>
            </w:r>
          </w:p>
        </w:tc>
        <w:tc>
          <w:tcPr>
            <w:tcW w:w="6678" w:type="dxa"/>
          </w:tcPr>
          <w:p w14:paraId="4ACFFF78" w14:textId="77777777" w:rsidR="00872C03" w:rsidRPr="00883399" w:rsidRDefault="00872C03" w:rsidP="0031057E">
            <w:pPr>
              <w:pStyle w:val="Tabletext0"/>
              <w:spacing w:after="60"/>
              <w:rPr>
                <w:sz w:val="24"/>
                <w:szCs w:val="22"/>
              </w:rPr>
            </w:pPr>
            <w:r w:rsidRPr="00883399">
              <w:rPr>
                <w:sz w:val="24"/>
                <w:szCs w:val="22"/>
              </w:rPr>
              <w:t>Calculate the carbon content in waste by</w:t>
            </w:r>
            <w:r w:rsidRPr="00883399">
              <w:rPr>
                <w:sz w:val="24"/>
                <w:szCs w:val="22"/>
              </w:rPr>
              <w:noBreakHyphen/>
              <w:t>products (r) leaving the activity, other than as an emission of greenhouse gas, during the year as follows:</w:t>
            </w:r>
          </w:p>
          <w:p w14:paraId="28888DDD" w14:textId="281513EF" w:rsidR="00872C03" w:rsidRPr="00883399" w:rsidRDefault="00872C03" w:rsidP="0031057E">
            <w:pPr>
              <w:pStyle w:val="Tabletext0"/>
              <w:spacing w:after="120"/>
              <w:rPr>
                <w:sz w:val="24"/>
                <w:szCs w:val="22"/>
              </w:rPr>
            </w:pPr>
            <w:r w:rsidRPr="00883399">
              <w:rPr>
                <w:noProof/>
                <w:sz w:val="24"/>
                <w:szCs w:val="22"/>
              </w:rPr>
              <w:drawing>
                <wp:inline distT="0" distB="0" distL="0" distR="0" wp14:anchorId="349AB6CF" wp14:editId="2E63E30A">
                  <wp:extent cx="933450" cy="190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33450" cy="190500"/>
                          </a:xfrm>
                          <a:prstGeom prst="rect">
                            <a:avLst/>
                          </a:prstGeom>
                          <a:noFill/>
                          <a:ln>
                            <a:noFill/>
                          </a:ln>
                        </pic:spPr>
                      </pic:pic>
                    </a:graphicData>
                  </a:graphic>
                </wp:inline>
              </w:drawing>
            </w:r>
          </w:p>
        </w:tc>
      </w:tr>
      <w:tr w:rsidR="00872C03" w:rsidRPr="00883399" w14:paraId="244F7F85" w14:textId="77777777" w:rsidTr="0031057E">
        <w:trPr>
          <w:cantSplit/>
        </w:trPr>
        <w:tc>
          <w:tcPr>
            <w:tcW w:w="882" w:type="dxa"/>
          </w:tcPr>
          <w:p w14:paraId="22605BC2" w14:textId="77777777" w:rsidR="00872C03" w:rsidRPr="00883399" w:rsidRDefault="00872C03" w:rsidP="0031057E">
            <w:pPr>
              <w:pStyle w:val="Tabletext0"/>
              <w:rPr>
                <w:sz w:val="24"/>
                <w:szCs w:val="22"/>
              </w:rPr>
            </w:pPr>
          </w:p>
        </w:tc>
        <w:tc>
          <w:tcPr>
            <w:tcW w:w="6678" w:type="dxa"/>
          </w:tcPr>
          <w:p w14:paraId="65ACE7C2" w14:textId="77777777" w:rsidR="00872C03" w:rsidRPr="00883399" w:rsidRDefault="00872C03" w:rsidP="0031057E">
            <w:pPr>
              <w:pStyle w:val="subsection2"/>
              <w:ind w:left="34"/>
              <w:rPr>
                <w:sz w:val="24"/>
              </w:rPr>
            </w:pPr>
            <w:r w:rsidRPr="00883399">
              <w:rPr>
                <w:sz w:val="24"/>
              </w:rPr>
              <w:t>where:</w:t>
            </w:r>
          </w:p>
          <w:p w14:paraId="3543E5DA" w14:textId="77777777" w:rsidR="00872C03" w:rsidRPr="00883399" w:rsidRDefault="00872C03" w:rsidP="0031057E">
            <w:pPr>
              <w:pStyle w:val="Definition0"/>
              <w:spacing w:before="60" w:after="60"/>
              <w:ind w:left="34"/>
              <w:rPr>
                <w:sz w:val="24"/>
              </w:rPr>
            </w:pPr>
            <w:r w:rsidRPr="00883399">
              <w:rPr>
                <w:rFonts w:ascii="Symbol" w:hAnsi="Symbol"/>
                <w:b/>
                <w:i/>
                <w:sz w:val="24"/>
              </w:rPr>
              <w:t></w:t>
            </w:r>
            <w:r w:rsidRPr="00883399">
              <w:rPr>
                <w:b/>
                <w:i/>
                <w:sz w:val="24"/>
                <w:vertAlign w:val="subscript"/>
              </w:rPr>
              <w:t xml:space="preserve">r </w:t>
            </w:r>
            <w:r w:rsidRPr="00883399">
              <w:rPr>
                <w:sz w:val="24"/>
              </w:rPr>
              <w:t>means sum the carbon content values obtained for all waste by</w:t>
            </w:r>
            <w:r w:rsidRPr="00883399">
              <w:rPr>
                <w:sz w:val="24"/>
              </w:rPr>
              <w:noBreakHyphen/>
              <w:t>product types (</w:t>
            </w:r>
            <w:r w:rsidRPr="00883399">
              <w:rPr>
                <w:b/>
                <w:i/>
                <w:sz w:val="24"/>
              </w:rPr>
              <w:t>r</w:t>
            </w:r>
            <w:r w:rsidRPr="00883399">
              <w:rPr>
                <w:sz w:val="24"/>
              </w:rPr>
              <w:t>).</w:t>
            </w:r>
          </w:p>
          <w:p w14:paraId="08D5B703" w14:textId="77777777" w:rsidR="00872C03" w:rsidRPr="00883399" w:rsidRDefault="00872C03" w:rsidP="0031057E">
            <w:pPr>
              <w:pStyle w:val="Definition0"/>
              <w:spacing w:before="60" w:after="60"/>
              <w:ind w:left="34"/>
              <w:rPr>
                <w:iCs/>
                <w:sz w:val="24"/>
              </w:rPr>
            </w:pPr>
            <w:r w:rsidRPr="00883399">
              <w:rPr>
                <w:b/>
                <w:i/>
                <w:iCs/>
                <w:sz w:val="24"/>
              </w:rPr>
              <w:t>CCF</w:t>
            </w:r>
            <w:r w:rsidRPr="00883399">
              <w:rPr>
                <w:b/>
                <w:i/>
                <w:iCs/>
                <w:sz w:val="24"/>
                <w:vertAlign w:val="subscript"/>
              </w:rPr>
              <w:t>r</w:t>
            </w:r>
            <w:r w:rsidRPr="00883399">
              <w:rPr>
                <w:iCs/>
                <w:sz w:val="24"/>
              </w:rPr>
              <w:t xml:space="preserve"> is the carbon content factor measured in tonnes of carbon for each tonne of waste by</w:t>
            </w:r>
            <w:r w:rsidRPr="00883399">
              <w:rPr>
                <w:iCs/>
                <w:sz w:val="24"/>
              </w:rPr>
              <w:noBreakHyphen/>
              <w:t>product</w:t>
            </w:r>
            <w:r w:rsidRPr="00883399">
              <w:rPr>
                <w:b/>
                <w:i/>
                <w:iCs/>
                <w:sz w:val="24"/>
              </w:rPr>
              <w:t xml:space="preserve"> </w:t>
            </w:r>
            <w:r w:rsidRPr="00883399">
              <w:rPr>
                <w:iCs/>
                <w:sz w:val="24"/>
              </w:rPr>
              <w:t>(</w:t>
            </w:r>
            <w:r w:rsidRPr="00883399">
              <w:rPr>
                <w:b/>
                <w:i/>
                <w:iCs/>
                <w:sz w:val="24"/>
              </w:rPr>
              <w:t>r</w:t>
            </w:r>
            <w:r w:rsidRPr="00883399">
              <w:rPr>
                <w:iCs/>
                <w:sz w:val="24"/>
              </w:rPr>
              <w:t>).</w:t>
            </w:r>
          </w:p>
          <w:p w14:paraId="09DAA744" w14:textId="77777777" w:rsidR="00872C03" w:rsidRPr="00883399" w:rsidRDefault="00872C03" w:rsidP="0031057E">
            <w:pPr>
              <w:pStyle w:val="Definition0"/>
              <w:spacing w:before="60" w:after="60"/>
              <w:ind w:left="34"/>
              <w:rPr>
                <w:sz w:val="24"/>
              </w:rPr>
            </w:pPr>
            <w:r w:rsidRPr="00883399">
              <w:rPr>
                <w:b/>
                <w:i/>
                <w:sz w:val="24"/>
              </w:rPr>
              <w:t>Y</w:t>
            </w:r>
            <w:r w:rsidRPr="00883399">
              <w:rPr>
                <w:b/>
                <w:i/>
                <w:sz w:val="24"/>
                <w:vertAlign w:val="subscript"/>
              </w:rPr>
              <w:t xml:space="preserve">r </w:t>
            </w:r>
            <w:r w:rsidRPr="00883399">
              <w:rPr>
                <w:sz w:val="24"/>
              </w:rPr>
              <w:t>is the quantity of waste by</w:t>
            </w:r>
            <w:r w:rsidRPr="00883399">
              <w:rPr>
                <w:sz w:val="24"/>
              </w:rPr>
              <w:noBreakHyphen/>
              <w:t>product (</w:t>
            </w:r>
            <w:r w:rsidRPr="00883399">
              <w:rPr>
                <w:b/>
                <w:i/>
                <w:sz w:val="24"/>
              </w:rPr>
              <w:t>r</w:t>
            </w:r>
            <w:r w:rsidRPr="00883399">
              <w:rPr>
                <w:sz w:val="24"/>
              </w:rPr>
              <w:t>) leaving the activity during the year measured in tonnes.</w:t>
            </w:r>
          </w:p>
        </w:tc>
      </w:tr>
      <w:tr w:rsidR="00872C03" w:rsidRPr="00883399" w14:paraId="2B53E122" w14:textId="77777777" w:rsidTr="0031057E">
        <w:trPr>
          <w:cantSplit/>
        </w:trPr>
        <w:tc>
          <w:tcPr>
            <w:tcW w:w="882" w:type="dxa"/>
          </w:tcPr>
          <w:p w14:paraId="18DBE46A" w14:textId="77777777" w:rsidR="00872C03" w:rsidRPr="00883399" w:rsidRDefault="00872C03" w:rsidP="0031057E">
            <w:pPr>
              <w:pStyle w:val="Tabletext0"/>
              <w:keepNext/>
              <w:keepLines/>
              <w:rPr>
                <w:sz w:val="24"/>
                <w:szCs w:val="22"/>
              </w:rPr>
            </w:pPr>
            <w:r w:rsidRPr="00883399">
              <w:rPr>
                <w:sz w:val="24"/>
                <w:szCs w:val="22"/>
              </w:rPr>
              <w:t>Step 4</w:t>
            </w:r>
          </w:p>
        </w:tc>
        <w:tc>
          <w:tcPr>
            <w:tcW w:w="6678" w:type="dxa"/>
          </w:tcPr>
          <w:p w14:paraId="46D67AD8" w14:textId="77777777" w:rsidR="00872C03" w:rsidRPr="00883399" w:rsidRDefault="00872C03" w:rsidP="0031057E">
            <w:pPr>
              <w:pStyle w:val="Tabletext0"/>
              <w:keepNext/>
              <w:keepLines/>
              <w:spacing w:after="60"/>
              <w:rPr>
                <w:iCs/>
                <w:sz w:val="24"/>
                <w:szCs w:val="22"/>
              </w:rPr>
            </w:pPr>
            <w:r w:rsidRPr="00883399">
              <w:rPr>
                <w:iCs/>
                <w:sz w:val="24"/>
                <w:szCs w:val="22"/>
              </w:rPr>
              <w:t>Calculate the carbon content in the amount of the increase in stocks of inputs, products and waste by</w:t>
            </w:r>
            <w:r w:rsidRPr="00883399">
              <w:rPr>
                <w:iCs/>
                <w:sz w:val="24"/>
                <w:szCs w:val="22"/>
              </w:rPr>
              <w:noBreakHyphen/>
              <w:t>products held within the boundary of the activity during the year as follows:</w:t>
            </w:r>
          </w:p>
          <w:p w14:paraId="2D337D1F" w14:textId="2493DE4F" w:rsidR="00872C03" w:rsidRPr="00883399" w:rsidRDefault="00872C03" w:rsidP="0031057E">
            <w:pPr>
              <w:pStyle w:val="Formula"/>
              <w:ind w:left="13"/>
              <w:rPr>
                <w:sz w:val="22"/>
              </w:rPr>
            </w:pPr>
            <w:r w:rsidRPr="00883399">
              <w:rPr>
                <w:noProof/>
                <w:position w:val="-8"/>
                <w:sz w:val="22"/>
                <w:vertAlign w:val="superscript"/>
              </w:rPr>
              <w:drawing>
                <wp:inline distT="0" distB="0" distL="0" distR="0" wp14:anchorId="4909C72E" wp14:editId="172B13AB">
                  <wp:extent cx="3538855" cy="201930"/>
                  <wp:effectExtent l="19050" t="0" r="444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79"/>
                          <a:srcRect/>
                          <a:stretch>
                            <a:fillRect/>
                          </a:stretch>
                        </pic:blipFill>
                        <pic:spPr bwMode="auto">
                          <a:xfrm>
                            <a:off x="0" y="0"/>
                            <a:ext cx="3538855" cy="201930"/>
                          </a:xfrm>
                          <a:prstGeom prst="rect">
                            <a:avLst/>
                          </a:prstGeom>
                          <a:noFill/>
                          <a:ln w="9525">
                            <a:noFill/>
                            <a:miter lim="800000"/>
                            <a:headEnd/>
                            <a:tailEnd/>
                          </a:ln>
                        </pic:spPr>
                      </pic:pic>
                    </a:graphicData>
                  </a:graphic>
                </wp:inline>
              </w:drawing>
            </w:r>
          </w:p>
        </w:tc>
      </w:tr>
      <w:tr w:rsidR="00872C03" w:rsidRPr="00883399" w14:paraId="40111411" w14:textId="77777777" w:rsidTr="0031057E">
        <w:trPr>
          <w:cantSplit/>
        </w:trPr>
        <w:tc>
          <w:tcPr>
            <w:tcW w:w="882" w:type="dxa"/>
          </w:tcPr>
          <w:p w14:paraId="4BF0AB25" w14:textId="77777777" w:rsidR="00872C03" w:rsidRPr="00883399" w:rsidRDefault="00872C03" w:rsidP="0031057E">
            <w:pPr>
              <w:spacing w:before="60" w:after="60"/>
              <w:rPr>
                <w:i/>
              </w:rPr>
            </w:pPr>
          </w:p>
        </w:tc>
        <w:tc>
          <w:tcPr>
            <w:tcW w:w="6678" w:type="dxa"/>
          </w:tcPr>
          <w:p w14:paraId="6AE28374" w14:textId="77777777" w:rsidR="00872C03" w:rsidRPr="00883399" w:rsidRDefault="00872C03" w:rsidP="0031057E">
            <w:pPr>
              <w:pStyle w:val="subsection2"/>
              <w:ind w:left="34"/>
              <w:rPr>
                <w:sz w:val="24"/>
              </w:rPr>
            </w:pPr>
            <w:r w:rsidRPr="00883399">
              <w:rPr>
                <w:sz w:val="24"/>
              </w:rPr>
              <w:t>where:</w:t>
            </w:r>
          </w:p>
          <w:p w14:paraId="0ED9F141" w14:textId="77777777" w:rsidR="00872C03" w:rsidRPr="00883399" w:rsidRDefault="00872C03" w:rsidP="0031057E">
            <w:pPr>
              <w:pStyle w:val="Definition0"/>
              <w:ind w:left="34"/>
              <w:rPr>
                <w:b/>
                <w:i/>
                <w:sz w:val="24"/>
              </w:rPr>
            </w:pPr>
            <w:r w:rsidRPr="00883399">
              <w:rPr>
                <w:rFonts w:ascii="Symbol" w:hAnsi="Symbol"/>
                <w:b/>
                <w:i/>
                <w:sz w:val="24"/>
              </w:rPr>
              <w:t></w:t>
            </w:r>
            <w:r w:rsidRPr="00883399">
              <w:rPr>
                <w:b/>
                <w:i/>
                <w:sz w:val="24"/>
                <w:vertAlign w:val="subscript"/>
              </w:rPr>
              <w:t>i</w:t>
            </w:r>
            <w:r w:rsidRPr="00883399">
              <w:rPr>
                <w:b/>
                <w:i/>
                <w:sz w:val="24"/>
              </w:rPr>
              <w:t xml:space="preserve"> </w:t>
            </w:r>
            <w:r w:rsidRPr="00883399">
              <w:rPr>
                <w:sz w:val="24"/>
              </w:rPr>
              <w:t>has the same meaning as in step 1.</w:t>
            </w:r>
          </w:p>
          <w:p w14:paraId="5A0904AE" w14:textId="77777777" w:rsidR="00872C03" w:rsidRPr="00883399" w:rsidRDefault="00872C03" w:rsidP="0031057E">
            <w:pPr>
              <w:pStyle w:val="Definition0"/>
              <w:spacing w:before="60" w:after="60"/>
              <w:ind w:left="34"/>
              <w:rPr>
                <w:iCs/>
                <w:sz w:val="24"/>
              </w:rPr>
            </w:pPr>
            <w:r w:rsidRPr="00883399">
              <w:rPr>
                <w:b/>
                <w:i/>
                <w:sz w:val="24"/>
              </w:rPr>
              <w:t>CCF</w:t>
            </w:r>
            <w:r w:rsidRPr="00883399">
              <w:rPr>
                <w:b/>
                <w:i/>
                <w:sz w:val="24"/>
                <w:vertAlign w:val="subscript"/>
              </w:rPr>
              <w:t xml:space="preserve">i </w:t>
            </w:r>
            <w:r w:rsidRPr="00883399">
              <w:rPr>
                <w:sz w:val="24"/>
              </w:rPr>
              <w:t>has the same meaning as in step 1.</w:t>
            </w:r>
          </w:p>
          <w:p w14:paraId="27057EA6" w14:textId="77777777" w:rsidR="00872C03" w:rsidRPr="00883399" w:rsidRDefault="00872C03" w:rsidP="0031057E">
            <w:pPr>
              <w:pStyle w:val="TableText"/>
              <w:rPr>
                <w:iCs/>
                <w:sz w:val="24"/>
              </w:rPr>
            </w:pPr>
            <w:r w:rsidRPr="00883399">
              <w:rPr>
                <w:b/>
                <w:i/>
                <w:iCs/>
                <w:sz w:val="24"/>
              </w:rPr>
              <w:t>ΔS</w:t>
            </w:r>
            <w:r w:rsidRPr="00883399">
              <w:rPr>
                <w:b/>
                <w:i/>
                <w:iCs/>
                <w:sz w:val="24"/>
                <w:szCs w:val="18"/>
                <w:vertAlign w:val="subscript"/>
              </w:rPr>
              <w:t>q</w:t>
            </w:r>
            <w:r w:rsidRPr="00883399">
              <w:rPr>
                <w:b/>
                <w:i/>
                <w:iCs/>
                <w:sz w:val="24"/>
                <w:vertAlign w:val="subscript"/>
              </w:rPr>
              <w:t>i</w:t>
            </w:r>
            <w:r w:rsidRPr="00883399">
              <w:rPr>
                <w:iCs/>
                <w:sz w:val="24"/>
              </w:rPr>
              <w:t xml:space="preserve"> is the increase in stocks of fuel type (</w:t>
            </w:r>
            <w:r w:rsidRPr="00883399">
              <w:rPr>
                <w:b/>
                <w:i/>
                <w:iCs/>
                <w:sz w:val="24"/>
              </w:rPr>
              <w:t>i</w:t>
            </w:r>
            <w:r w:rsidRPr="00883399">
              <w:rPr>
                <w:iCs/>
                <w:sz w:val="24"/>
              </w:rPr>
              <w:t xml:space="preserve">) for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p w14:paraId="18D86E50" w14:textId="77777777" w:rsidR="00872C03" w:rsidRPr="00883399" w:rsidRDefault="00872C03" w:rsidP="0031057E">
            <w:pPr>
              <w:pStyle w:val="Definition0"/>
              <w:spacing w:before="60" w:after="60"/>
              <w:ind w:left="34"/>
              <w:rPr>
                <w:b/>
                <w:i/>
                <w:sz w:val="24"/>
              </w:rPr>
            </w:pPr>
            <w:r w:rsidRPr="00883399">
              <w:rPr>
                <w:rFonts w:ascii="Symbol" w:hAnsi="Symbol"/>
                <w:b/>
                <w:i/>
                <w:sz w:val="24"/>
              </w:rPr>
              <w:t></w:t>
            </w:r>
            <w:r w:rsidRPr="00883399">
              <w:rPr>
                <w:b/>
                <w:i/>
                <w:sz w:val="24"/>
                <w:vertAlign w:val="subscript"/>
              </w:rPr>
              <w:t xml:space="preserve">p </w:t>
            </w:r>
            <w:r w:rsidRPr="00883399">
              <w:rPr>
                <w:sz w:val="24"/>
              </w:rPr>
              <w:t>has the same meaning as in step 2.</w:t>
            </w:r>
          </w:p>
          <w:p w14:paraId="420CBBE5" w14:textId="77777777" w:rsidR="00872C03" w:rsidRPr="00883399" w:rsidRDefault="00872C03" w:rsidP="0031057E">
            <w:pPr>
              <w:pStyle w:val="Definition0"/>
              <w:spacing w:before="60" w:after="60"/>
              <w:ind w:left="34"/>
              <w:rPr>
                <w:b/>
                <w:i/>
                <w:iCs/>
                <w:sz w:val="24"/>
              </w:rPr>
            </w:pPr>
            <w:r w:rsidRPr="00883399">
              <w:rPr>
                <w:b/>
                <w:i/>
                <w:sz w:val="24"/>
              </w:rPr>
              <w:t>CCF</w:t>
            </w:r>
            <w:r w:rsidRPr="00883399">
              <w:rPr>
                <w:b/>
                <w:i/>
                <w:sz w:val="24"/>
                <w:vertAlign w:val="subscript"/>
              </w:rPr>
              <w:t xml:space="preserve">p </w:t>
            </w:r>
            <w:r w:rsidRPr="00883399">
              <w:rPr>
                <w:sz w:val="24"/>
              </w:rPr>
              <w:t>has the same meaning as in step 2.</w:t>
            </w:r>
          </w:p>
          <w:p w14:paraId="7D9108F1" w14:textId="77777777" w:rsidR="00872C03" w:rsidRPr="00883399" w:rsidRDefault="00872C03" w:rsidP="0031057E">
            <w:pPr>
              <w:pStyle w:val="Definition0"/>
              <w:spacing w:before="60" w:after="60"/>
              <w:ind w:left="34"/>
              <w:rPr>
                <w:sz w:val="24"/>
              </w:rPr>
            </w:pPr>
            <w:r w:rsidRPr="00883399">
              <w:rPr>
                <w:b/>
                <w:i/>
                <w:iCs/>
                <w:sz w:val="24"/>
              </w:rPr>
              <w:t>ΔS</w:t>
            </w:r>
            <w:r w:rsidRPr="00883399">
              <w:rPr>
                <w:b/>
                <w:i/>
                <w:iCs/>
                <w:sz w:val="24"/>
                <w:szCs w:val="18"/>
                <w:vertAlign w:val="subscript"/>
              </w:rPr>
              <w:t>a</w:t>
            </w:r>
            <w:r w:rsidRPr="00883399">
              <w:rPr>
                <w:b/>
                <w:i/>
                <w:iCs/>
                <w:sz w:val="24"/>
                <w:vertAlign w:val="subscript"/>
              </w:rPr>
              <w:t>p</w:t>
            </w:r>
            <w:r w:rsidRPr="00883399">
              <w:rPr>
                <w:iCs/>
                <w:sz w:val="24"/>
                <w:szCs w:val="18"/>
              </w:rPr>
              <w:t xml:space="preserve"> is the </w:t>
            </w:r>
            <w:r w:rsidRPr="00883399">
              <w:rPr>
                <w:b/>
                <w:i/>
                <w:iCs/>
                <w:sz w:val="24"/>
              </w:rPr>
              <w:t>increase</w:t>
            </w:r>
            <w:r w:rsidRPr="00883399">
              <w:rPr>
                <w:iCs/>
                <w:sz w:val="24"/>
                <w:szCs w:val="18"/>
              </w:rPr>
              <w:t xml:space="preserve"> in stocks of </w:t>
            </w:r>
            <w:r w:rsidRPr="00883399">
              <w:rPr>
                <w:iCs/>
                <w:sz w:val="24"/>
              </w:rPr>
              <w:t>products produced (</w:t>
            </w:r>
            <w:r w:rsidRPr="00883399">
              <w:rPr>
                <w:b/>
                <w:i/>
                <w:iCs/>
                <w:sz w:val="24"/>
              </w:rPr>
              <w:t>p)</w:t>
            </w:r>
            <w:r w:rsidRPr="00883399">
              <w:rPr>
                <w:iCs/>
                <w:sz w:val="24"/>
              </w:rPr>
              <w:t xml:space="preserve"> by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872C03" w:rsidRPr="00883399" w14:paraId="29139E8D" w14:textId="77777777" w:rsidTr="0031057E">
        <w:trPr>
          <w:cantSplit/>
        </w:trPr>
        <w:tc>
          <w:tcPr>
            <w:tcW w:w="882" w:type="dxa"/>
          </w:tcPr>
          <w:p w14:paraId="6A3B963B" w14:textId="77777777" w:rsidR="00872C03" w:rsidRPr="00883399" w:rsidRDefault="00872C03" w:rsidP="0031057E">
            <w:pPr>
              <w:spacing w:before="60" w:after="60"/>
              <w:rPr>
                <w:i/>
              </w:rPr>
            </w:pPr>
          </w:p>
        </w:tc>
        <w:tc>
          <w:tcPr>
            <w:tcW w:w="6678" w:type="dxa"/>
          </w:tcPr>
          <w:p w14:paraId="0AFF4F45" w14:textId="77777777" w:rsidR="00872C03" w:rsidRPr="00883399" w:rsidRDefault="00872C03" w:rsidP="0031057E">
            <w:pPr>
              <w:pStyle w:val="Definition0"/>
              <w:spacing w:before="60" w:after="60"/>
              <w:ind w:left="34"/>
              <w:rPr>
                <w:b/>
                <w:i/>
                <w:sz w:val="24"/>
              </w:rPr>
            </w:pPr>
            <w:r w:rsidRPr="00883399">
              <w:rPr>
                <w:rFonts w:ascii="Symbol" w:hAnsi="Symbol"/>
                <w:b/>
                <w:i/>
                <w:sz w:val="24"/>
              </w:rPr>
              <w:t></w:t>
            </w:r>
            <w:r w:rsidRPr="00883399">
              <w:rPr>
                <w:b/>
                <w:i/>
                <w:sz w:val="24"/>
                <w:vertAlign w:val="subscript"/>
              </w:rPr>
              <w:t xml:space="preserve">r </w:t>
            </w:r>
            <w:r w:rsidRPr="00883399">
              <w:rPr>
                <w:sz w:val="24"/>
              </w:rPr>
              <w:t>has the same meaning as in step 3.</w:t>
            </w:r>
          </w:p>
          <w:p w14:paraId="7F90CAE0" w14:textId="77777777" w:rsidR="00872C03" w:rsidRPr="00883399" w:rsidRDefault="00872C03" w:rsidP="0031057E">
            <w:pPr>
              <w:pStyle w:val="Definition0"/>
              <w:spacing w:before="60" w:after="60"/>
              <w:ind w:left="34"/>
              <w:rPr>
                <w:b/>
                <w:i/>
                <w:iCs/>
                <w:sz w:val="24"/>
              </w:rPr>
            </w:pPr>
            <w:r w:rsidRPr="00883399">
              <w:rPr>
                <w:b/>
                <w:i/>
                <w:sz w:val="24"/>
              </w:rPr>
              <w:t>CCF</w:t>
            </w:r>
            <w:r w:rsidRPr="00883399">
              <w:rPr>
                <w:b/>
                <w:i/>
                <w:sz w:val="24"/>
                <w:vertAlign w:val="subscript"/>
              </w:rPr>
              <w:t xml:space="preserve">r </w:t>
            </w:r>
            <w:r w:rsidRPr="00883399">
              <w:rPr>
                <w:sz w:val="24"/>
              </w:rPr>
              <w:t>has the same meaning as in step 3.</w:t>
            </w:r>
          </w:p>
          <w:p w14:paraId="70C3F825" w14:textId="77777777" w:rsidR="00872C03" w:rsidRPr="00883399" w:rsidRDefault="00872C03" w:rsidP="0031057E">
            <w:pPr>
              <w:pStyle w:val="Definition0"/>
              <w:spacing w:before="60" w:after="60"/>
              <w:ind w:left="34"/>
              <w:rPr>
                <w:sz w:val="24"/>
              </w:rPr>
            </w:pPr>
            <w:r w:rsidRPr="00883399">
              <w:rPr>
                <w:b/>
                <w:i/>
                <w:iCs/>
                <w:sz w:val="24"/>
              </w:rPr>
              <w:t>ΔS</w:t>
            </w:r>
            <w:r w:rsidRPr="00883399">
              <w:rPr>
                <w:b/>
                <w:i/>
                <w:iCs/>
                <w:sz w:val="24"/>
                <w:szCs w:val="18"/>
                <w:vertAlign w:val="subscript"/>
              </w:rPr>
              <w:t>y</w:t>
            </w:r>
            <w:r w:rsidRPr="00883399">
              <w:rPr>
                <w:b/>
                <w:i/>
                <w:iCs/>
                <w:sz w:val="24"/>
                <w:vertAlign w:val="subscript"/>
              </w:rPr>
              <w:t>r</w:t>
            </w:r>
            <w:r w:rsidRPr="00883399">
              <w:rPr>
                <w:iCs/>
                <w:sz w:val="24"/>
              </w:rPr>
              <w:t xml:space="preserve"> is the increase in stocks of waste by</w:t>
            </w:r>
            <w:r w:rsidRPr="00883399">
              <w:rPr>
                <w:iCs/>
                <w:sz w:val="24"/>
              </w:rPr>
              <w:noBreakHyphen/>
              <w:t>products (</w:t>
            </w:r>
            <w:r w:rsidRPr="00883399">
              <w:rPr>
                <w:b/>
                <w:i/>
                <w:iCs/>
                <w:sz w:val="24"/>
              </w:rPr>
              <w:t>r</w:t>
            </w:r>
            <w:r w:rsidRPr="00883399">
              <w:rPr>
                <w:iCs/>
                <w:sz w:val="24"/>
              </w:rPr>
              <w:t xml:space="preserve">) produced by the activity and held </w:t>
            </w:r>
            <w:r w:rsidRPr="00883399">
              <w:rPr>
                <w:sz w:val="24"/>
              </w:rPr>
              <w:t xml:space="preserve">within </w:t>
            </w:r>
            <w:r w:rsidRPr="00883399">
              <w:rPr>
                <w:b/>
                <w:i/>
                <w:iCs/>
                <w:sz w:val="24"/>
              </w:rPr>
              <w:t>the</w:t>
            </w:r>
            <w:r w:rsidRPr="00883399">
              <w:rPr>
                <w:iCs/>
                <w:sz w:val="24"/>
              </w:rPr>
              <w:t xml:space="preserve"> boundary of </w:t>
            </w:r>
            <w:r w:rsidRPr="00883399">
              <w:rPr>
                <w:sz w:val="24"/>
              </w:rPr>
              <w:t xml:space="preserve">the activity </w:t>
            </w:r>
            <w:r w:rsidRPr="00883399">
              <w:rPr>
                <w:iCs/>
                <w:sz w:val="24"/>
              </w:rPr>
              <w:t>during the year measured in tonnes.</w:t>
            </w:r>
          </w:p>
        </w:tc>
      </w:tr>
      <w:tr w:rsidR="00872C03" w:rsidRPr="00883399" w14:paraId="41E8EC2B" w14:textId="77777777" w:rsidTr="0031057E">
        <w:trPr>
          <w:cantSplit/>
        </w:trPr>
        <w:tc>
          <w:tcPr>
            <w:tcW w:w="882" w:type="dxa"/>
          </w:tcPr>
          <w:p w14:paraId="70B64B7B" w14:textId="77777777" w:rsidR="00872C03" w:rsidRPr="00883399" w:rsidRDefault="00872C03" w:rsidP="0031057E">
            <w:pPr>
              <w:pStyle w:val="Tabletext0"/>
              <w:rPr>
                <w:sz w:val="24"/>
                <w:szCs w:val="22"/>
              </w:rPr>
            </w:pPr>
            <w:r w:rsidRPr="00883399">
              <w:rPr>
                <w:sz w:val="24"/>
                <w:szCs w:val="22"/>
              </w:rPr>
              <w:t>Step 5</w:t>
            </w:r>
          </w:p>
        </w:tc>
        <w:tc>
          <w:tcPr>
            <w:tcW w:w="6678" w:type="dxa"/>
          </w:tcPr>
          <w:p w14:paraId="1C7A99BC" w14:textId="77777777" w:rsidR="00872C03" w:rsidRPr="00883399" w:rsidRDefault="00872C03" w:rsidP="0031057E">
            <w:pPr>
              <w:pStyle w:val="Tabletext0"/>
              <w:spacing w:after="120"/>
              <w:rPr>
                <w:iCs/>
                <w:sz w:val="24"/>
                <w:szCs w:val="22"/>
              </w:rPr>
            </w:pPr>
            <w:r w:rsidRPr="00883399">
              <w:rPr>
                <w:iCs/>
                <w:sz w:val="24"/>
                <w:szCs w:val="22"/>
              </w:rPr>
              <w:t>Calculate the emissions of carbon dioxide released from the activity during the year measured in CO2</w:t>
            </w:r>
            <w:r w:rsidRPr="00883399">
              <w:rPr>
                <w:iCs/>
                <w:sz w:val="24"/>
                <w:szCs w:val="22"/>
              </w:rPr>
              <w:noBreakHyphen/>
              <w:t>e tonnes as follows:</w:t>
            </w:r>
          </w:p>
          <w:p w14:paraId="26687214" w14:textId="77777777" w:rsidR="00872C03" w:rsidRPr="00883399" w:rsidRDefault="00872C03" w:rsidP="0031057E">
            <w:pPr>
              <w:pStyle w:val="TableP1a"/>
              <w:rPr>
                <w:sz w:val="24"/>
              </w:rPr>
            </w:pPr>
            <w:r w:rsidRPr="00883399">
              <w:rPr>
                <w:sz w:val="24"/>
              </w:rPr>
              <w:tab/>
              <w:t>(a)</w:t>
            </w:r>
            <w:r w:rsidRPr="00883399">
              <w:rPr>
                <w:sz w:val="24"/>
              </w:rPr>
              <w:tab/>
              <w:t>add the amounts worked out under steps 2, 3 and 4 to work out a new amount (</w:t>
            </w:r>
            <w:r w:rsidRPr="00883399">
              <w:rPr>
                <w:b/>
                <w:i/>
                <w:sz w:val="24"/>
              </w:rPr>
              <w:t>amount A</w:t>
            </w:r>
            <w:r w:rsidRPr="00883399">
              <w:rPr>
                <w:sz w:val="24"/>
              </w:rPr>
              <w:t>)</w:t>
            </w:r>
          </w:p>
          <w:p w14:paraId="0FED2643" w14:textId="77777777" w:rsidR="00872C03" w:rsidRPr="00883399" w:rsidRDefault="00872C03" w:rsidP="0031057E">
            <w:pPr>
              <w:pStyle w:val="TableP1a"/>
              <w:rPr>
                <w:sz w:val="24"/>
              </w:rPr>
            </w:pPr>
            <w:r w:rsidRPr="00883399">
              <w:rPr>
                <w:sz w:val="24"/>
              </w:rPr>
              <w:tab/>
              <w:t>(b)</w:t>
            </w:r>
            <w:r w:rsidRPr="00883399">
              <w:rPr>
                <w:sz w:val="24"/>
              </w:rPr>
              <w:tab/>
              <w:t>subtract amount A from the amount worked out under step 1 to work out a new amount (</w:t>
            </w:r>
            <w:r w:rsidRPr="00883399">
              <w:rPr>
                <w:b/>
                <w:i/>
                <w:sz w:val="24"/>
              </w:rPr>
              <w:t>amount B</w:t>
            </w:r>
            <w:r w:rsidRPr="00883399">
              <w:rPr>
                <w:sz w:val="24"/>
              </w:rPr>
              <w:t>);</w:t>
            </w:r>
          </w:p>
          <w:p w14:paraId="17E18646" w14:textId="77777777" w:rsidR="00872C03" w:rsidRPr="00883399" w:rsidRDefault="00872C03" w:rsidP="0031057E">
            <w:pPr>
              <w:pStyle w:val="TableP1a"/>
              <w:rPr>
                <w:sz w:val="24"/>
              </w:rPr>
            </w:pPr>
            <w:r w:rsidRPr="00883399">
              <w:rPr>
                <w:sz w:val="24"/>
              </w:rPr>
              <w:tab/>
              <w:t>(c)</w:t>
            </w:r>
            <w:r w:rsidRPr="00883399">
              <w:rPr>
                <w:sz w:val="24"/>
              </w:rPr>
              <w:tab/>
              <w:t>multiply amount B by 3.664 to work out the amount of emissions released from the activity during a year.</w:t>
            </w:r>
          </w:p>
        </w:tc>
      </w:tr>
    </w:tbl>
    <w:p w14:paraId="1FB90511" w14:textId="6ABB0452" w:rsidR="00872C03" w:rsidRPr="00883399" w:rsidRDefault="00872C03" w:rsidP="00872C03">
      <w:pPr>
        <w:pStyle w:val="ActHead5"/>
        <w:rPr>
          <w:sz w:val="28"/>
        </w:rPr>
      </w:pPr>
      <w:bookmarkStart w:id="373" w:name="_Toc423516834"/>
      <w:bookmarkStart w:id="374" w:name="_Toc495652752"/>
      <w:r w:rsidRPr="00883399">
        <w:rPr>
          <w:rStyle w:val="CharSectno"/>
          <w:sz w:val="28"/>
        </w:rPr>
        <w:t>2.62</w:t>
      </w:r>
      <w:r w:rsidRPr="00883399">
        <w:rPr>
          <w:sz w:val="28"/>
        </w:rPr>
        <w:t xml:space="preserve">  Method 2—petrochemical production</w:t>
      </w:r>
      <w:bookmarkEnd w:id="373"/>
      <w:bookmarkEnd w:id="374"/>
    </w:p>
    <w:p w14:paraId="18040FAE" w14:textId="77777777" w:rsidR="00872C03" w:rsidRPr="00883399" w:rsidRDefault="00872C03" w:rsidP="00872C03">
      <w:pPr>
        <w:pStyle w:val="subsection"/>
        <w:rPr>
          <w:sz w:val="24"/>
        </w:rPr>
      </w:pPr>
      <w:r w:rsidRPr="00883399">
        <w:rPr>
          <w:sz w:val="24"/>
        </w:rPr>
        <w:tab/>
        <w:t>(1)</w:t>
      </w:r>
      <w:r w:rsidRPr="00883399">
        <w:rPr>
          <w:sz w:val="24"/>
        </w:rPr>
        <w:tab/>
        <w:t>Subject to subsections (2) and (3), method 2 is the same as method 1 under section 2.61 but sampling and analysis of fuel types</w:t>
      </w:r>
      <w:r w:rsidRPr="00883399">
        <w:rPr>
          <w:b/>
          <w:i/>
          <w:sz w:val="24"/>
        </w:rPr>
        <w:t> (i)</w:t>
      </w:r>
      <w:r w:rsidRPr="00883399">
        <w:rPr>
          <w:sz w:val="24"/>
        </w:rPr>
        <w:t xml:space="preserve"> is used to determine carbon content of the fuel.</w:t>
      </w:r>
    </w:p>
    <w:p w14:paraId="6EDA4A05" w14:textId="77777777" w:rsidR="00872C03" w:rsidRPr="00883399" w:rsidRDefault="00872C03" w:rsidP="00872C03">
      <w:pPr>
        <w:pStyle w:val="subsection"/>
        <w:rPr>
          <w:sz w:val="24"/>
        </w:rPr>
      </w:pPr>
      <w:r w:rsidRPr="00883399">
        <w:rPr>
          <w:sz w:val="24"/>
        </w:rPr>
        <w:tab/>
        <w:t>(2)</w:t>
      </w:r>
      <w:r w:rsidRPr="00883399">
        <w:rPr>
          <w:sz w:val="24"/>
        </w:rPr>
        <w:tab/>
        <w:t>The sampling and analysis is to be carried out using the methods set out in Divisions 2.2.3, 2.3.3 and 2.4.3 that apply to the combustion of solid, liquid or gaseous fuels.</w:t>
      </w:r>
    </w:p>
    <w:p w14:paraId="47568A6B" w14:textId="77777777" w:rsidR="00872C03" w:rsidRPr="00883399" w:rsidRDefault="00872C03" w:rsidP="00872C03">
      <w:pPr>
        <w:pStyle w:val="subsection"/>
        <w:spacing w:after="60"/>
        <w:rPr>
          <w:sz w:val="24"/>
        </w:rPr>
      </w:pPr>
      <w:r w:rsidRPr="00883399">
        <w:rPr>
          <w:sz w:val="24"/>
        </w:rPr>
        <w:tab/>
        <w:t>(3)</w:t>
      </w:r>
      <w:r w:rsidRPr="00883399">
        <w:rPr>
          <w:sz w:val="24"/>
        </w:rPr>
        <w:tab/>
        <w:t>In applying method 1 as method 2, step 4 in section 2.61 is to be omitted and the following step 4 substituted:</w:t>
      </w:r>
    </w:p>
    <w:tbl>
      <w:tblPr>
        <w:tblW w:w="0" w:type="auto"/>
        <w:tblInd w:w="948" w:type="dxa"/>
        <w:tblLayout w:type="fixed"/>
        <w:tblLook w:val="0000" w:firstRow="0" w:lastRow="0" w:firstColumn="0" w:lastColumn="0" w:noHBand="0" w:noVBand="0"/>
      </w:tblPr>
      <w:tblGrid>
        <w:gridCol w:w="882"/>
        <w:gridCol w:w="6678"/>
      </w:tblGrid>
      <w:tr w:rsidR="00872C03" w:rsidRPr="00883399" w14:paraId="20AA9DD4" w14:textId="77777777" w:rsidTr="0031057E">
        <w:trPr>
          <w:cantSplit/>
          <w:trHeight w:val="74"/>
        </w:trPr>
        <w:tc>
          <w:tcPr>
            <w:tcW w:w="882" w:type="dxa"/>
            <w:vMerge w:val="restart"/>
          </w:tcPr>
          <w:p w14:paraId="5E08F439" w14:textId="77777777" w:rsidR="00872C03" w:rsidRPr="00883399" w:rsidRDefault="00872C03" w:rsidP="0031057E">
            <w:pPr>
              <w:pStyle w:val="Tabletext0"/>
              <w:keepNext/>
              <w:keepLines/>
              <w:rPr>
                <w:sz w:val="24"/>
                <w:szCs w:val="22"/>
              </w:rPr>
            </w:pPr>
            <w:r w:rsidRPr="00883399">
              <w:rPr>
                <w:sz w:val="24"/>
                <w:szCs w:val="22"/>
              </w:rPr>
              <w:t>Step 4</w:t>
            </w:r>
          </w:p>
        </w:tc>
        <w:tc>
          <w:tcPr>
            <w:tcW w:w="6678" w:type="dxa"/>
          </w:tcPr>
          <w:p w14:paraId="188E283E" w14:textId="77777777" w:rsidR="00872C03" w:rsidRPr="00883399" w:rsidRDefault="00872C03" w:rsidP="0031057E">
            <w:pPr>
              <w:pStyle w:val="Tabletext0"/>
              <w:keepNext/>
              <w:keepLines/>
              <w:spacing w:after="120"/>
              <w:rPr>
                <w:iCs/>
                <w:sz w:val="22"/>
              </w:rPr>
            </w:pPr>
            <w:r w:rsidRPr="00883399">
              <w:rPr>
                <w:iCs/>
                <w:sz w:val="24"/>
                <w:szCs w:val="22"/>
              </w:rPr>
              <w:t>Calculate the carbon content in the amount of the increase in stocks of inputs, products and waste by</w:t>
            </w:r>
            <w:r w:rsidRPr="00883399">
              <w:rPr>
                <w:iCs/>
                <w:sz w:val="24"/>
                <w:szCs w:val="22"/>
              </w:rPr>
              <w:noBreakHyphen/>
              <w:t>products held within the boundary of the activity during the year as follows:</w:t>
            </w:r>
          </w:p>
        </w:tc>
      </w:tr>
      <w:tr w:rsidR="00872C03" w:rsidRPr="00883399" w14:paraId="3CFD7A15" w14:textId="77777777" w:rsidTr="0031057E">
        <w:trPr>
          <w:cantSplit/>
          <w:trHeight w:val="167"/>
        </w:trPr>
        <w:tc>
          <w:tcPr>
            <w:tcW w:w="882" w:type="dxa"/>
            <w:vMerge/>
          </w:tcPr>
          <w:p w14:paraId="4C75968C" w14:textId="77777777" w:rsidR="00872C03" w:rsidRPr="00883399" w:rsidRDefault="00872C03" w:rsidP="0031057E">
            <w:pPr>
              <w:spacing w:before="60" w:after="60"/>
              <w:rPr>
                <w:i/>
              </w:rPr>
            </w:pPr>
          </w:p>
        </w:tc>
        <w:tc>
          <w:tcPr>
            <w:tcW w:w="6678" w:type="dxa"/>
          </w:tcPr>
          <w:p w14:paraId="561D4C1B" w14:textId="38036883" w:rsidR="00872C03" w:rsidRPr="00883399" w:rsidRDefault="00872C03" w:rsidP="0031057E">
            <w:pPr>
              <w:pStyle w:val="Formula"/>
              <w:ind w:left="13"/>
              <w:rPr>
                <w:sz w:val="22"/>
              </w:rPr>
            </w:pPr>
            <w:r w:rsidRPr="00883399">
              <w:rPr>
                <w:noProof/>
                <w:position w:val="-14"/>
                <w:sz w:val="22"/>
              </w:rPr>
              <w:drawing>
                <wp:inline distT="0" distB="0" distL="0" distR="0" wp14:anchorId="6A9E466F" wp14:editId="5500FCD2">
                  <wp:extent cx="4144645" cy="225425"/>
                  <wp:effectExtent l="0" t="0" r="825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0"/>
                          <a:srcRect/>
                          <a:stretch>
                            <a:fillRect/>
                          </a:stretch>
                        </pic:blipFill>
                        <pic:spPr bwMode="auto">
                          <a:xfrm>
                            <a:off x="0" y="0"/>
                            <a:ext cx="4144645" cy="225425"/>
                          </a:xfrm>
                          <a:prstGeom prst="rect">
                            <a:avLst/>
                          </a:prstGeom>
                          <a:noFill/>
                          <a:ln w="9525">
                            <a:noFill/>
                            <a:miter lim="800000"/>
                            <a:headEnd/>
                            <a:tailEnd/>
                          </a:ln>
                        </pic:spPr>
                      </pic:pic>
                    </a:graphicData>
                  </a:graphic>
                </wp:inline>
              </w:drawing>
            </w:r>
          </w:p>
        </w:tc>
      </w:tr>
      <w:tr w:rsidR="00872C03" w:rsidRPr="00883399" w14:paraId="33BE7E49" w14:textId="77777777" w:rsidTr="0031057E">
        <w:trPr>
          <w:cantSplit/>
          <w:trHeight w:val="1095"/>
        </w:trPr>
        <w:tc>
          <w:tcPr>
            <w:tcW w:w="882" w:type="dxa"/>
          </w:tcPr>
          <w:p w14:paraId="63413C09" w14:textId="77777777" w:rsidR="00872C03" w:rsidRPr="00883399" w:rsidRDefault="00872C03" w:rsidP="0031057E">
            <w:pPr>
              <w:spacing w:before="60" w:after="60"/>
              <w:rPr>
                <w:i/>
              </w:rPr>
            </w:pPr>
          </w:p>
        </w:tc>
        <w:tc>
          <w:tcPr>
            <w:tcW w:w="6678" w:type="dxa"/>
          </w:tcPr>
          <w:p w14:paraId="58A91F40" w14:textId="77777777" w:rsidR="00872C03" w:rsidRPr="00883399" w:rsidRDefault="00872C03" w:rsidP="0031057E">
            <w:pPr>
              <w:pStyle w:val="subsection2"/>
              <w:ind w:left="34"/>
              <w:rPr>
                <w:sz w:val="24"/>
              </w:rPr>
            </w:pPr>
            <w:r w:rsidRPr="00883399">
              <w:rPr>
                <w:sz w:val="24"/>
              </w:rPr>
              <w:t>where:</w:t>
            </w:r>
          </w:p>
          <w:p w14:paraId="6B20CF5C" w14:textId="77777777" w:rsidR="00872C03" w:rsidRPr="00883399" w:rsidRDefault="00872C03" w:rsidP="0031057E">
            <w:pPr>
              <w:pStyle w:val="Definition0"/>
              <w:spacing w:after="60"/>
              <w:ind w:left="34"/>
              <w:rPr>
                <w:b/>
                <w:i/>
                <w:sz w:val="24"/>
              </w:rPr>
            </w:pPr>
            <w:r w:rsidRPr="00883399">
              <w:rPr>
                <w:rFonts w:ascii="Symbol" w:hAnsi="Symbol"/>
                <w:b/>
                <w:i/>
                <w:sz w:val="24"/>
              </w:rPr>
              <w:t></w:t>
            </w:r>
            <w:r w:rsidRPr="00883399">
              <w:rPr>
                <w:b/>
                <w:i/>
                <w:sz w:val="24"/>
                <w:vertAlign w:val="subscript"/>
              </w:rPr>
              <w:t>i</w:t>
            </w:r>
            <w:r w:rsidRPr="00883399">
              <w:rPr>
                <w:b/>
                <w:i/>
                <w:sz w:val="24"/>
              </w:rPr>
              <w:t xml:space="preserve"> </w:t>
            </w:r>
            <w:r w:rsidRPr="00883399">
              <w:rPr>
                <w:sz w:val="24"/>
              </w:rPr>
              <w:t>has the same meaning as in step 1.</w:t>
            </w:r>
          </w:p>
          <w:p w14:paraId="64BFF8F3" w14:textId="77777777" w:rsidR="00872C03" w:rsidRPr="00883399" w:rsidRDefault="00872C03" w:rsidP="0031057E">
            <w:pPr>
              <w:pStyle w:val="Definition0"/>
              <w:spacing w:before="60" w:after="60"/>
              <w:ind w:left="34"/>
              <w:rPr>
                <w:iCs/>
                <w:sz w:val="24"/>
              </w:rPr>
            </w:pPr>
            <w:r w:rsidRPr="00883399">
              <w:rPr>
                <w:b/>
                <w:i/>
                <w:sz w:val="24"/>
              </w:rPr>
              <w:t>CCF</w:t>
            </w:r>
            <w:r w:rsidRPr="00883399">
              <w:rPr>
                <w:b/>
                <w:i/>
                <w:sz w:val="24"/>
                <w:vertAlign w:val="subscript"/>
              </w:rPr>
              <w:t xml:space="preserve">i </w:t>
            </w:r>
            <w:r w:rsidRPr="00883399">
              <w:rPr>
                <w:sz w:val="24"/>
              </w:rPr>
              <w:t>has the same meaning as in step 1.</w:t>
            </w:r>
          </w:p>
        </w:tc>
      </w:tr>
      <w:tr w:rsidR="00872C03" w:rsidRPr="00883399" w14:paraId="458554A6" w14:textId="77777777" w:rsidTr="0031057E">
        <w:trPr>
          <w:cantSplit/>
          <w:trHeight w:val="495"/>
        </w:trPr>
        <w:tc>
          <w:tcPr>
            <w:tcW w:w="882" w:type="dxa"/>
          </w:tcPr>
          <w:p w14:paraId="2DFF8199" w14:textId="77777777" w:rsidR="00872C03" w:rsidRPr="00883399" w:rsidRDefault="00872C03" w:rsidP="0031057E">
            <w:pPr>
              <w:spacing w:before="60" w:after="60"/>
              <w:rPr>
                <w:i/>
              </w:rPr>
            </w:pPr>
          </w:p>
        </w:tc>
        <w:tc>
          <w:tcPr>
            <w:tcW w:w="6678" w:type="dxa"/>
          </w:tcPr>
          <w:p w14:paraId="3E1BA492" w14:textId="77777777" w:rsidR="00872C03" w:rsidRPr="00883399" w:rsidRDefault="00872C03" w:rsidP="0031057E">
            <w:pPr>
              <w:pStyle w:val="Definition0"/>
              <w:spacing w:before="60" w:after="60"/>
              <w:ind w:left="34"/>
              <w:rPr>
                <w:sz w:val="24"/>
              </w:rPr>
            </w:pPr>
            <w:r w:rsidRPr="00883399">
              <w:rPr>
                <w:b/>
                <w:i/>
                <w:iCs/>
                <w:sz w:val="24"/>
              </w:rPr>
              <w:t>ΔS</w:t>
            </w:r>
            <w:r w:rsidRPr="00883399">
              <w:rPr>
                <w:b/>
                <w:i/>
                <w:iCs/>
                <w:sz w:val="24"/>
                <w:szCs w:val="18"/>
                <w:vertAlign w:val="subscript"/>
              </w:rPr>
              <w:t>q</w:t>
            </w:r>
            <w:r w:rsidRPr="00883399">
              <w:rPr>
                <w:b/>
                <w:i/>
                <w:iCs/>
                <w:sz w:val="24"/>
                <w:vertAlign w:val="subscript"/>
              </w:rPr>
              <w:t>i</w:t>
            </w:r>
            <w:r w:rsidRPr="00883399">
              <w:rPr>
                <w:iCs/>
                <w:sz w:val="24"/>
              </w:rPr>
              <w:t xml:space="preserve"> is the increase in stocks of fuel type (</w:t>
            </w:r>
            <w:r w:rsidRPr="00883399">
              <w:rPr>
                <w:b/>
                <w:i/>
                <w:iCs/>
                <w:sz w:val="24"/>
              </w:rPr>
              <w:t>i</w:t>
            </w:r>
            <w:r w:rsidRPr="00883399">
              <w:rPr>
                <w:iCs/>
                <w:sz w:val="24"/>
              </w:rPr>
              <w:t xml:space="preserve">) for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872C03" w:rsidRPr="00883399" w14:paraId="64CEAD9B" w14:textId="77777777" w:rsidTr="0031057E">
        <w:trPr>
          <w:cantSplit/>
          <w:trHeight w:val="486"/>
        </w:trPr>
        <w:tc>
          <w:tcPr>
            <w:tcW w:w="882" w:type="dxa"/>
          </w:tcPr>
          <w:p w14:paraId="270D3574" w14:textId="77777777" w:rsidR="00872C03" w:rsidRPr="00883399" w:rsidRDefault="00872C03" w:rsidP="0031057E">
            <w:pPr>
              <w:spacing w:before="60" w:after="60"/>
              <w:rPr>
                <w:i/>
              </w:rPr>
            </w:pPr>
          </w:p>
        </w:tc>
        <w:tc>
          <w:tcPr>
            <w:tcW w:w="6678" w:type="dxa"/>
          </w:tcPr>
          <w:p w14:paraId="40C8721E" w14:textId="77777777" w:rsidR="00872C03" w:rsidRPr="00883399" w:rsidRDefault="00872C03" w:rsidP="0031057E">
            <w:pPr>
              <w:pStyle w:val="Definition0"/>
              <w:spacing w:before="60" w:after="60"/>
              <w:ind w:left="34"/>
              <w:rPr>
                <w:b/>
                <w:i/>
                <w:iCs/>
                <w:sz w:val="24"/>
              </w:rPr>
            </w:pPr>
            <w:r w:rsidRPr="00883399">
              <w:rPr>
                <w:rFonts w:ascii="Symbol" w:hAnsi="Symbol"/>
                <w:b/>
                <w:i/>
                <w:sz w:val="24"/>
              </w:rPr>
              <w:t></w:t>
            </w:r>
            <w:r w:rsidRPr="00883399">
              <w:rPr>
                <w:b/>
                <w:i/>
                <w:sz w:val="24"/>
                <w:vertAlign w:val="subscript"/>
              </w:rPr>
              <w:t xml:space="preserve">p </w:t>
            </w:r>
            <w:r w:rsidRPr="00883399">
              <w:rPr>
                <w:sz w:val="24"/>
              </w:rPr>
              <w:t>has the same meaning as in step 2.</w:t>
            </w:r>
          </w:p>
        </w:tc>
      </w:tr>
      <w:tr w:rsidR="00872C03" w:rsidRPr="00883399" w14:paraId="1211581D" w14:textId="77777777" w:rsidTr="0031057E">
        <w:trPr>
          <w:cantSplit/>
          <w:trHeight w:val="384"/>
        </w:trPr>
        <w:tc>
          <w:tcPr>
            <w:tcW w:w="882" w:type="dxa"/>
          </w:tcPr>
          <w:p w14:paraId="67E702CD" w14:textId="77777777" w:rsidR="00872C03" w:rsidRPr="00883399" w:rsidRDefault="00872C03" w:rsidP="0031057E">
            <w:pPr>
              <w:spacing w:before="60" w:after="60"/>
              <w:rPr>
                <w:i/>
              </w:rPr>
            </w:pPr>
          </w:p>
        </w:tc>
        <w:tc>
          <w:tcPr>
            <w:tcW w:w="6678" w:type="dxa"/>
          </w:tcPr>
          <w:p w14:paraId="2463571A" w14:textId="77777777" w:rsidR="00872C03" w:rsidRPr="00883399" w:rsidRDefault="00872C03" w:rsidP="0031057E">
            <w:pPr>
              <w:pStyle w:val="Definition0"/>
              <w:spacing w:before="60" w:after="60"/>
              <w:ind w:left="34"/>
              <w:rPr>
                <w:rFonts w:ascii="Symbol" w:hAnsi="Symbol"/>
                <w:b/>
                <w:i/>
                <w:sz w:val="24"/>
              </w:rPr>
            </w:pPr>
            <w:r w:rsidRPr="00883399">
              <w:rPr>
                <w:b/>
                <w:i/>
                <w:sz w:val="24"/>
              </w:rPr>
              <w:t>CCF</w:t>
            </w:r>
            <w:r w:rsidRPr="00883399">
              <w:rPr>
                <w:b/>
                <w:i/>
                <w:sz w:val="24"/>
                <w:vertAlign w:val="subscript"/>
              </w:rPr>
              <w:t xml:space="preserve">p </w:t>
            </w:r>
            <w:r w:rsidRPr="00883399">
              <w:rPr>
                <w:sz w:val="24"/>
              </w:rPr>
              <w:t>has the same meaning as in step 2.</w:t>
            </w:r>
          </w:p>
        </w:tc>
      </w:tr>
      <w:tr w:rsidR="00872C03" w:rsidRPr="00883399" w14:paraId="3592F126" w14:textId="77777777" w:rsidTr="0031057E">
        <w:trPr>
          <w:cantSplit/>
          <w:trHeight w:val="825"/>
        </w:trPr>
        <w:tc>
          <w:tcPr>
            <w:tcW w:w="882" w:type="dxa"/>
          </w:tcPr>
          <w:p w14:paraId="3E6E17F1" w14:textId="77777777" w:rsidR="00872C03" w:rsidRPr="00883399" w:rsidRDefault="00872C03" w:rsidP="0031057E">
            <w:pPr>
              <w:keepNext/>
              <w:keepLines/>
              <w:spacing w:before="60" w:after="60"/>
              <w:rPr>
                <w:i/>
              </w:rPr>
            </w:pPr>
          </w:p>
        </w:tc>
        <w:tc>
          <w:tcPr>
            <w:tcW w:w="6678" w:type="dxa"/>
          </w:tcPr>
          <w:p w14:paraId="2099565D" w14:textId="77777777" w:rsidR="00872C03" w:rsidRPr="00883399" w:rsidRDefault="00872C03" w:rsidP="0031057E">
            <w:pPr>
              <w:pStyle w:val="Definition0"/>
              <w:spacing w:before="60" w:after="60"/>
              <w:ind w:left="34"/>
              <w:rPr>
                <w:b/>
                <w:i/>
                <w:sz w:val="24"/>
              </w:rPr>
            </w:pPr>
            <w:r w:rsidRPr="00883399">
              <w:rPr>
                <w:b/>
                <w:i/>
                <w:iCs/>
                <w:sz w:val="24"/>
              </w:rPr>
              <w:t>ΔS</w:t>
            </w:r>
            <w:r w:rsidRPr="00883399">
              <w:rPr>
                <w:b/>
                <w:i/>
                <w:iCs/>
                <w:sz w:val="24"/>
                <w:szCs w:val="18"/>
                <w:vertAlign w:val="subscript"/>
              </w:rPr>
              <w:t>a</w:t>
            </w:r>
            <w:r w:rsidRPr="00883399">
              <w:rPr>
                <w:b/>
                <w:i/>
                <w:iCs/>
                <w:sz w:val="24"/>
                <w:vertAlign w:val="subscript"/>
              </w:rPr>
              <w:t>p</w:t>
            </w:r>
            <w:r w:rsidRPr="00883399">
              <w:rPr>
                <w:iCs/>
                <w:sz w:val="24"/>
                <w:szCs w:val="18"/>
              </w:rPr>
              <w:t xml:space="preserve"> is the increase in stocks of </w:t>
            </w:r>
            <w:r w:rsidRPr="00883399">
              <w:rPr>
                <w:iCs/>
                <w:sz w:val="24"/>
              </w:rPr>
              <w:t>products produced (</w:t>
            </w:r>
            <w:r w:rsidRPr="00883399">
              <w:rPr>
                <w:b/>
                <w:i/>
                <w:iCs/>
                <w:sz w:val="24"/>
              </w:rPr>
              <w:t>p</w:t>
            </w:r>
            <w:r w:rsidRPr="00883399">
              <w:rPr>
                <w:iCs/>
                <w:sz w:val="24"/>
              </w:rPr>
              <w:t xml:space="preserve">) by the activity and held </w:t>
            </w:r>
            <w:r w:rsidRPr="00883399">
              <w:rPr>
                <w:sz w:val="24"/>
              </w:rPr>
              <w:t xml:space="preserve">within </w:t>
            </w:r>
            <w:r w:rsidRPr="00883399">
              <w:rPr>
                <w:iCs/>
                <w:sz w:val="24"/>
              </w:rPr>
              <w:t xml:space="preserve">the </w:t>
            </w:r>
            <w:r w:rsidRPr="00883399">
              <w:rPr>
                <w:b/>
                <w:i/>
                <w:sz w:val="24"/>
              </w:rPr>
              <w:t>boundary</w:t>
            </w:r>
            <w:r w:rsidRPr="00883399">
              <w:rPr>
                <w:iCs/>
                <w:sz w:val="24"/>
              </w:rPr>
              <w:t xml:space="preserve"> of </w:t>
            </w:r>
            <w:r w:rsidRPr="00883399">
              <w:rPr>
                <w:sz w:val="24"/>
              </w:rPr>
              <w:t xml:space="preserve">the activity </w:t>
            </w:r>
            <w:r w:rsidRPr="00883399">
              <w:rPr>
                <w:iCs/>
                <w:sz w:val="24"/>
              </w:rPr>
              <w:t>during the year measured in tonnes.</w:t>
            </w:r>
          </w:p>
        </w:tc>
      </w:tr>
      <w:tr w:rsidR="00872C03" w:rsidRPr="00883399" w14:paraId="04F285A1" w14:textId="77777777" w:rsidTr="0031057E">
        <w:trPr>
          <w:cantSplit/>
          <w:trHeight w:val="968"/>
        </w:trPr>
        <w:tc>
          <w:tcPr>
            <w:tcW w:w="882" w:type="dxa"/>
          </w:tcPr>
          <w:p w14:paraId="6139FD98" w14:textId="77777777" w:rsidR="00872C03" w:rsidRPr="00883399" w:rsidRDefault="00872C03" w:rsidP="0031057E">
            <w:pPr>
              <w:spacing w:before="60" w:after="60"/>
              <w:rPr>
                <w:i/>
              </w:rPr>
            </w:pPr>
          </w:p>
        </w:tc>
        <w:tc>
          <w:tcPr>
            <w:tcW w:w="6678" w:type="dxa"/>
          </w:tcPr>
          <w:p w14:paraId="08C2924E" w14:textId="77777777" w:rsidR="00872C03" w:rsidRPr="00883399" w:rsidRDefault="00872C03" w:rsidP="0031057E">
            <w:pPr>
              <w:pStyle w:val="Definition0"/>
              <w:spacing w:before="60" w:after="60"/>
              <w:ind w:left="34"/>
              <w:rPr>
                <w:b/>
                <w:i/>
                <w:sz w:val="24"/>
              </w:rPr>
            </w:pPr>
            <w:r w:rsidRPr="00883399">
              <w:rPr>
                <w:rFonts w:ascii="Symbol" w:hAnsi="Symbol"/>
                <w:b/>
                <w:i/>
                <w:sz w:val="24"/>
              </w:rPr>
              <w:t></w:t>
            </w:r>
            <w:r w:rsidRPr="00883399">
              <w:rPr>
                <w:b/>
                <w:i/>
                <w:sz w:val="24"/>
                <w:vertAlign w:val="subscript"/>
              </w:rPr>
              <w:t xml:space="preserve">r </w:t>
            </w:r>
            <w:r w:rsidRPr="00883399">
              <w:rPr>
                <w:sz w:val="24"/>
              </w:rPr>
              <w:t>has the same meaning as in step 3.</w:t>
            </w:r>
          </w:p>
          <w:p w14:paraId="2B7364E6" w14:textId="77777777" w:rsidR="00872C03" w:rsidRPr="00883399" w:rsidRDefault="00872C03" w:rsidP="0031057E">
            <w:pPr>
              <w:pStyle w:val="Definition0"/>
              <w:spacing w:before="60" w:after="60"/>
              <w:ind w:left="34"/>
              <w:rPr>
                <w:sz w:val="24"/>
              </w:rPr>
            </w:pPr>
            <w:r w:rsidRPr="00883399">
              <w:rPr>
                <w:b/>
                <w:i/>
                <w:sz w:val="24"/>
              </w:rPr>
              <w:t>CCF</w:t>
            </w:r>
            <w:r w:rsidRPr="00883399">
              <w:rPr>
                <w:b/>
                <w:i/>
                <w:sz w:val="24"/>
                <w:vertAlign w:val="subscript"/>
              </w:rPr>
              <w:t xml:space="preserve">r </w:t>
            </w:r>
            <w:r w:rsidRPr="00883399">
              <w:rPr>
                <w:sz w:val="24"/>
              </w:rPr>
              <w:t>has the same meaning as in step 3.</w:t>
            </w:r>
            <w:r w:rsidRPr="00883399">
              <w:rPr>
                <w:b/>
                <w:i/>
                <w:iCs/>
                <w:sz w:val="24"/>
              </w:rPr>
              <w:t>ΔS</w:t>
            </w:r>
            <w:r w:rsidRPr="00883399">
              <w:rPr>
                <w:b/>
                <w:i/>
                <w:iCs/>
                <w:sz w:val="24"/>
                <w:szCs w:val="18"/>
                <w:vertAlign w:val="subscript"/>
              </w:rPr>
              <w:t>y</w:t>
            </w:r>
            <w:r w:rsidRPr="00883399">
              <w:rPr>
                <w:b/>
                <w:i/>
                <w:iCs/>
                <w:sz w:val="24"/>
                <w:vertAlign w:val="subscript"/>
              </w:rPr>
              <w:t>r</w:t>
            </w:r>
            <w:r w:rsidRPr="00883399">
              <w:rPr>
                <w:iCs/>
                <w:sz w:val="24"/>
              </w:rPr>
              <w:t xml:space="preserve"> is the increase in stocks of waste by</w:t>
            </w:r>
            <w:r w:rsidRPr="00883399">
              <w:rPr>
                <w:b/>
                <w:iCs/>
                <w:sz w:val="24"/>
              </w:rPr>
              <w:noBreakHyphen/>
            </w:r>
            <w:r w:rsidRPr="00883399">
              <w:rPr>
                <w:iCs/>
                <w:sz w:val="24"/>
              </w:rPr>
              <w:t>products (</w:t>
            </w:r>
            <w:r w:rsidRPr="00883399">
              <w:rPr>
                <w:b/>
                <w:i/>
                <w:iCs/>
                <w:sz w:val="24"/>
              </w:rPr>
              <w:t>r</w:t>
            </w:r>
            <w:r w:rsidRPr="00883399">
              <w:rPr>
                <w:iCs/>
                <w:sz w:val="24"/>
              </w:rPr>
              <w:t xml:space="preserve">) produced by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872C03" w:rsidRPr="00883399" w14:paraId="17FB889A" w14:textId="77777777" w:rsidTr="0031057E">
        <w:trPr>
          <w:cantSplit/>
        </w:trPr>
        <w:tc>
          <w:tcPr>
            <w:tcW w:w="882" w:type="dxa"/>
          </w:tcPr>
          <w:p w14:paraId="66FD1C32" w14:textId="77777777" w:rsidR="00872C03" w:rsidRPr="00883399" w:rsidRDefault="00872C03" w:rsidP="0031057E">
            <w:pPr>
              <w:spacing w:before="60" w:after="60"/>
              <w:rPr>
                <w:i/>
              </w:rPr>
            </w:pPr>
          </w:p>
        </w:tc>
        <w:tc>
          <w:tcPr>
            <w:tcW w:w="6678" w:type="dxa"/>
          </w:tcPr>
          <w:p w14:paraId="172F9889" w14:textId="77777777" w:rsidR="00872C03" w:rsidRPr="00883399" w:rsidRDefault="00872C03" w:rsidP="0031057E">
            <w:pPr>
              <w:pStyle w:val="TableText"/>
              <w:ind w:left="13"/>
              <w:rPr>
                <w:b/>
                <w:i/>
                <w:sz w:val="24"/>
              </w:rPr>
            </w:pPr>
            <w:r w:rsidRPr="00883399">
              <w:rPr>
                <w:b/>
                <w:i/>
                <w:sz w:val="24"/>
              </w:rPr>
              <w:t>α</w:t>
            </w:r>
            <w:r w:rsidRPr="00883399">
              <w:rPr>
                <w:sz w:val="24"/>
              </w:rPr>
              <w:t xml:space="preserve"> is the factor </w:t>
            </w:r>
            <w:r w:rsidR="00C66508" w:rsidRPr="00883399">
              <w:rPr>
                <w:noProof/>
                <w:sz w:val="24"/>
              </w:rPr>
              <mc:AlternateContent>
                <mc:Choice Requires="wpc">
                  <w:drawing>
                    <wp:inline distT="0" distB="0" distL="0" distR="0" wp14:anchorId="21EFDEBB" wp14:editId="0A4068A1">
                      <wp:extent cx="232410" cy="283845"/>
                      <wp:effectExtent l="635" t="4445" r="0" b="0"/>
                      <wp:docPr id="97" name="Canvas 4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4" name="Rectangle 4"/>
                              <wps:cNvSpPr>
                                <a:spLocks noChangeArrowheads="1"/>
                              </wps:cNvSpPr>
                              <wps:spPr bwMode="auto">
                                <a:xfrm>
                                  <a:off x="83820" y="1016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32366" w14:textId="77777777" w:rsidR="00F8313C" w:rsidRDefault="00F8313C" w:rsidP="00872C03">
                                    <w:r w:rsidRPr="000A5860">
                                      <w:rPr>
                                        <w:color w:val="000000"/>
                                        <w:position w:val="-12"/>
                                        <w:sz w:val="16"/>
                                        <w:szCs w:val="16"/>
                                        <w:lang w:val="en-US"/>
                                      </w:rPr>
                                      <w:t>1</w:t>
                                    </w:r>
                                  </w:p>
                                </w:txbxContent>
                              </wps:txbx>
                              <wps:bodyPr rot="0" vert="horz" wrap="none" lIns="0" tIns="0" rIns="0" bIns="0" anchor="t" anchorCtr="0" upright="1">
                                <a:noAutofit/>
                              </wps:bodyPr>
                            </wps:wsp>
                            <wps:wsp>
                              <wps:cNvPr id="95" name="Line 5"/>
                              <wps:cNvCnPr>
                                <a:cxnSpLocks noChangeShapeType="1"/>
                              </wps:cNvCnPr>
                              <wps:spPr bwMode="auto">
                                <a:xfrm>
                                  <a:off x="13970" y="139065"/>
                                  <a:ext cx="205105" cy="635"/>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96" name="Rectangle 6"/>
                              <wps:cNvSpPr>
                                <a:spLocks noChangeArrowheads="1"/>
                              </wps:cNvSpPr>
                              <wps:spPr bwMode="auto">
                                <a:xfrm>
                                  <a:off x="0" y="166370"/>
                                  <a:ext cx="2292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B1703" w14:textId="77777777" w:rsidR="00F8313C" w:rsidRPr="000A5860" w:rsidRDefault="00F8313C" w:rsidP="00872C03">
                                    <w:pPr>
                                      <w:spacing w:line="276" w:lineRule="auto"/>
                                      <w:rPr>
                                        <w:position w:val="-12"/>
                                        <w:sz w:val="16"/>
                                        <w:szCs w:val="16"/>
                                      </w:rPr>
                                    </w:pPr>
                                    <w:r w:rsidRPr="000A5860">
                                      <w:rPr>
                                        <w:color w:val="000000"/>
                                        <w:position w:val="-12"/>
                                        <w:sz w:val="16"/>
                                        <w:szCs w:val="16"/>
                                        <w:lang w:val="en-US"/>
                                      </w:rPr>
                                      <w:t>3.664</w:t>
                                    </w:r>
                                  </w:p>
                                </w:txbxContent>
                              </wps:txbx>
                              <wps:bodyPr rot="0" vert="horz" wrap="none" lIns="0" tIns="0" rIns="0" bIns="0" anchor="t" anchorCtr="0" upright="1">
                                <a:noAutofit/>
                              </wps:bodyPr>
                            </wps:wsp>
                          </wpc:wpc>
                        </a:graphicData>
                      </a:graphic>
                    </wp:inline>
                  </w:drawing>
                </mc:Choice>
                <mc:Fallback>
                  <w:pict>
                    <v:group w14:anchorId="21EFDEBB" id="Canvas 474" o:spid="_x0000_s1031" editas="canvas" style="width:18.3pt;height:22.35pt;mso-position-horizontal-relative:char;mso-position-vertical-relative:line" coordsize="232410,28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">
                      <v:shape id="_x0000_s1032" type="#_x0000_t75" style="position:absolute;width:232410;height:283845;visibility:visible;mso-wrap-style:square">
                        <v:fill o:detectmouseclick="t"/>
                        <v:path o:connecttype="none"/>
                      </v:shape>
                      <v:rect id="Rectangle 4" o:spid="_x0000_s1033" style="position:absolute;left:83820;top:10160;width:51435;height:1168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yO8MA&#10;AADbAAAADwAAAGRycy9kb3ducmV2LnhtbESP0WoCMRRE3wX/IdxC3zS7RcTdGkWFYhF8UPsBl83t&#10;ZtvNzZqkuv17Iwg+DjNzhpkve9uKC/nQOFaQjzMQxJXTDdcKvk4foxmIEJE1to5JwT8FWC6GgzmW&#10;2l35QJdjrEWCcChRgYmxK6UMlSGLYew64uR9O28xJulrqT1eE9y28i3LptJiw2nBYEcbQ9Xv8c8q&#10;oPX2UPysgtlLn4d8v5sWk+1ZqdeXfvUOIlIfn+FH+1MrKCZw/5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yO8MAAADbAAAADwAAAAAAAAAAAAAAAACYAgAAZHJzL2Rv&#10;d25yZXYueG1sUEsFBgAAAAAEAAQA9QAAAIgDAAAAAA==&#10;" filled="f" stroked="f">
                        <v:textbox inset="0,0,0,0">
                          <w:txbxContent>
                            <w:p w14:paraId="55332366" w14:textId="77777777" w:rsidR="00F8313C" w:rsidRDefault="00F8313C" w:rsidP="00872C03">
                              <w:r w:rsidRPr="000A5860">
                                <w:rPr>
                                  <w:color w:val="000000"/>
                                  <w:position w:val="-12"/>
                                  <w:sz w:val="16"/>
                                  <w:szCs w:val="16"/>
                                  <w:lang w:val="en-US"/>
                                </w:rPr>
                                <w:t>1</w:t>
                              </w:r>
                            </w:p>
                          </w:txbxContent>
                        </v:textbox>
                      </v:rect>
                      <v:line id="Line 5" o:spid="_x0000_s1034" style="position:absolute;visibility:visible;mso-wrap-style:square" from="13970,139065" to="219075,13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9DSsQAAADbAAAADwAAAGRycy9kb3ducmV2LnhtbESPQWvCQBSE7wX/w/KE3uqmhbaauopI&#10;xXg0ycXba/aZhGbfht1Vo7++KxQ8DjPzDTNfDqYTZ3K+tazgdZKAIK6sbrlWUBablykIH5A1dpZJ&#10;wZU8LBejpzmm2l54T+c81CJC2KeooAmhT6X0VUMG/cT2xNE7WmcwROlqqR1eItx08i1JPqTBluNC&#10;gz2tG6p+85NRcMuK7/KQbfc/5e1Q7Gzu3edxqtTzeFh9gQg0hEf4v51pBbN3uH+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z0NKxAAAANsAAAAPAAAAAAAAAAAA&#10;AAAAAKECAABkcnMvZG93bnJldi54bWxQSwUGAAAAAAQABAD5AAAAkgMAAAAA&#10;" strokeweight="28e-5mm"/>
                      <v:rect id="Rectangle 6" o:spid="_x0000_s1035" style="position:absolute;top:166370;width:229235;height:1174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J18MA&#10;AADbAAAADwAAAGRycy9kb3ducmV2LnhtbESPUWvCMBSF3wf+h3CFvc20MortjKKCOAY+6PYDLs1d&#10;0625qUnU7t8vguDj4ZzzHc58OdhOXMiH1rGCfJKBIK6dbrlR8PW5fZmBCBFZY+eYFPxRgOVi9DTH&#10;SrsrH+hyjI1IEA4VKjAx9pWUoTZkMUxcT5y8b+ctxiR9I7XHa4LbTk6zrJAWW04LBnvaGKp/j2er&#10;gNa7Q/mzCmYvfR7y/UdRvu5OSj2Ph9UbiEhDfITv7XetoCzg9iX9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HJ18MAAADbAAAADwAAAAAAAAAAAAAAAACYAgAAZHJzL2Rv&#10;d25yZXYueG1sUEsFBgAAAAAEAAQA9QAAAIgDAAAAAA==&#10;" filled="f" stroked="f">
                        <v:textbox inset="0,0,0,0">
                          <w:txbxContent>
                            <w:p w14:paraId="674B1703" w14:textId="77777777" w:rsidR="00F8313C" w:rsidRPr="000A5860" w:rsidRDefault="00F8313C" w:rsidP="00872C03">
                              <w:pPr>
                                <w:spacing w:line="276" w:lineRule="auto"/>
                                <w:rPr>
                                  <w:position w:val="-12"/>
                                  <w:sz w:val="16"/>
                                  <w:szCs w:val="16"/>
                                </w:rPr>
                              </w:pPr>
                              <w:r w:rsidRPr="000A5860">
                                <w:rPr>
                                  <w:color w:val="000000"/>
                                  <w:position w:val="-12"/>
                                  <w:sz w:val="16"/>
                                  <w:szCs w:val="16"/>
                                  <w:lang w:val="en-US"/>
                                </w:rPr>
                                <w:t>3.664</w:t>
                              </w:r>
                            </w:p>
                          </w:txbxContent>
                        </v:textbox>
                      </v:rect>
                      <w10:anchorlock/>
                    </v:group>
                  </w:pict>
                </mc:Fallback>
              </mc:AlternateContent>
            </w:r>
            <w:r w:rsidRPr="00883399">
              <w:rPr>
                <w:sz w:val="24"/>
              </w:rPr>
              <w:t xml:space="preserve"> for converting the mass of carbon dioxide to a mass of carbon.</w:t>
            </w:r>
          </w:p>
        </w:tc>
      </w:tr>
      <w:tr w:rsidR="00872C03" w:rsidRPr="00883399" w14:paraId="306B824C" w14:textId="77777777" w:rsidTr="0031057E">
        <w:trPr>
          <w:cantSplit/>
        </w:trPr>
        <w:tc>
          <w:tcPr>
            <w:tcW w:w="882" w:type="dxa"/>
          </w:tcPr>
          <w:p w14:paraId="27B444B4" w14:textId="77777777" w:rsidR="00872C03" w:rsidRPr="00883399" w:rsidRDefault="00872C03" w:rsidP="0031057E">
            <w:pPr>
              <w:spacing w:before="60" w:after="60"/>
              <w:rPr>
                <w:i/>
              </w:rPr>
            </w:pPr>
          </w:p>
        </w:tc>
        <w:tc>
          <w:tcPr>
            <w:tcW w:w="6678" w:type="dxa"/>
          </w:tcPr>
          <w:p w14:paraId="49BC6F2D" w14:textId="77777777" w:rsidR="00872C03" w:rsidRPr="00883399" w:rsidRDefault="00872C03" w:rsidP="0031057E">
            <w:pPr>
              <w:pStyle w:val="Definition0"/>
              <w:spacing w:before="60" w:after="60"/>
              <w:ind w:left="34"/>
              <w:rPr>
                <w:sz w:val="24"/>
              </w:rPr>
            </w:pPr>
            <w:r w:rsidRPr="00883399">
              <w:rPr>
                <w:b/>
                <w:i/>
                <w:sz w:val="24"/>
              </w:rPr>
              <w:t>γ</w:t>
            </w:r>
            <w:r w:rsidRPr="00883399">
              <w:rPr>
                <w:sz w:val="24"/>
              </w:rPr>
              <w:t xml:space="preserve"> is the factor 1.861 x 10</w:t>
            </w:r>
            <w:r w:rsidRPr="00883399">
              <w:rPr>
                <w:sz w:val="24"/>
                <w:vertAlign w:val="superscript"/>
              </w:rPr>
              <w:noBreakHyphen/>
              <w:t xml:space="preserve">3 </w:t>
            </w:r>
            <w:r w:rsidRPr="00883399">
              <w:rPr>
                <w:sz w:val="24"/>
              </w:rPr>
              <w:t>for converting a quantity of carbon dioxide from cubic metres at standard conditions of pressure and temperature to CO</w:t>
            </w:r>
            <w:r w:rsidRPr="00883399">
              <w:rPr>
                <w:sz w:val="24"/>
                <w:vertAlign w:val="subscript"/>
              </w:rPr>
              <w:t>2</w:t>
            </w:r>
            <w:r w:rsidRPr="00883399">
              <w:rPr>
                <w:sz w:val="24"/>
              </w:rPr>
              <w:noBreakHyphen/>
              <w:t>e tonnes.</w:t>
            </w:r>
          </w:p>
          <w:p w14:paraId="5D01FD9E" w14:textId="77777777" w:rsidR="00872C03" w:rsidRPr="00883399" w:rsidRDefault="00872C03" w:rsidP="0031057E">
            <w:pPr>
              <w:pStyle w:val="Definition0"/>
              <w:spacing w:before="60" w:after="60"/>
              <w:ind w:left="34"/>
              <w:rPr>
                <w:sz w:val="24"/>
              </w:rPr>
            </w:pPr>
            <w:r w:rsidRPr="00883399">
              <w:rPr>
                <w:b/>
                <w:i/>
                <w:sz w:val="24"/>
              </w:rPr>
              <w:t>RCCS</w:t>
            </w:r>
            <w:r w:rsidRPr="00883399">
              <w:rPr>
                <w:b/>
                <w:i/>
                <w:sz w:val="24"/>
                <w:vertAlign w:val="subscript"/>
              </w:rPr>
              <w:t>CO</w:t>
            </w:r>
            <w:r w:rsidRPr="00883399">
              <w:rPr>
                <w:b/>
                <w:i/>
                <w:position w:val="-4"/>
                <w:sz w:val="28"/>
                <w:vertAlign w:val="subscript"/>
              </w:rPr>
              <w:t>2</w:t>
            </w:r>
            <w:r w:rsidRPr="00883399">
              <w:rPr>
                <w:b/>
                <w:i/>
                <w:sz w:val="24"/>
                <w:vertAlign w:val="subscript"/>
              </w:rPr>
              <w:t xml:space="preserve"> </w:t>
            </w:r>
            <w:r w:rsidRPr="00883399">
              <w:rPr>
                <w:sz w:val="24"/>
              </w:rPr>
              <w:t xml:space="preserve">is carbon dioxide captured for permanent </w:t>
            </w:r>
            <w:r w:rsidRPr="00883399">
              <w:rPr>
                <w:b/>
                <w:i/>
                <w:sz w:val="24"/>
              </w:rPr>
              <w:t>storage</w:t>
            </w:r>
            <w:r w:rsidRPr="00883399">
              <w:rPr>
                <w:sz w:val="24"/>
              </w:rPr>
              <w:t xml:space="preserve"> measured in cubic metres in accordance with Division 1.2.3.</w:t>
            </w:r>
          </w:p>
        </w:tc>
      </w:tr>
    </w:tbl>
    <w:p w14:paraId="277266AB" w14:textId="65E75840" w:rsidR="00872C03" w:rsidRPr="00883399" w:rsidRDefault="00872C03" w:rsidP="00872C03">
      <w:pPr>
        <w:pStyle w:val="ActHead5"/>
        <w:rPr>
          <w:sz w:val="28"/>
        </w:rPr>
      </w:pPr>
      <w:bookmarkStart w:id="375" w:name="_Toc423516835"/>
      <w:bookmarkStart w:id="376" w:name="_Toc495652753"/>
      <w:r w:rsidRPr="00883399">
        <w:rPr>
          <w:rStyle w:val="CharSectno"/>
          <w:sz w:val="28"/>
        </w:rPr>
        <w:t>2.63</w:t>
      </w:r>
      <w:r w:rsidRPr="00883399">
        <w:rPr>
          <w:sz w:val="28"/>
        </w:rPr>
        <w:t xml:space="preserve">  Method 3—petrochemical production</w:t>
      </w:r>
      <w:bookmarkEnd w:id="375"/>
      <w:bookmarkEnd w:id="376"/>
    </w:p>
    <w:p w14:paraId="6AD9656A" w14:textId="77777777" w:rsidR="00872C03" w:rsidRPr="00883399" w:rsidRDefault="00872C03" w:rsidP="00872C03">
      <w:pPr>
        <w:pStyle w:val="subsection"/>
        <w:rPr>
          <w:sz w:val="24"/>
        </w:rPr>
      </w:pPr>
      <w:r w:rsidRPr="00883399">
        <w:rPr>
          <w:sz w:val="24"/>
        </w:rPr>
        <w:tab/>
        <w:t>(1)</w:t>
      </w:r>
      <w:r w:rsidRPr="00883399">
        <w:rPr>
          <w:sz w:val="24"/>
        </w:rPr>
        <w:tab/>
        <w:t>Subject to subsections (2) and (3), method 3 is the same as method 1 in section 2.61 but the sampling and analysis of fuel types</w:t>
      </w:r>
      <w:r w:rsidRPr="00883399">
        <w:rPr>
          <w:b/>
          <w:i/>
          <w:sz w:val="24"/>
        </w:rPr>
        <w:t xml:space="preserve"> (i)</w:t>
      </w:r>
      <w:r w:rsidRPr="00883399">
        <w:rPr>
          <w:sz w:val="24"/>
        </w:rPr>
        <w:t xml:space="preserve"> is used to determine carbon content of the fuel.</w:t>
      </w:r>
    </w:p>
    <w:p w14:paraId="311495A9" w14:textId="77777777" w:rsidR="00872C03" w:rsidRPr="00883399" w:rsidRDefault="00872C03" w:rsidP="00872C03">
      <w:pPr>
        <w:pStyle w:val="subsection"/>
        <w:rPr>
          <w:sz w:val="24"/>
        </w:rPr>
      </w:pPr>
      <w:r w:rsidRPr="00883399">
        <w:rPr>
          <w:sz w:val="24"/>
        </w:rPr>
        <w:tab/>
        <w:t>(2)</w:t>
      </w:r>
      <w:r w:rsidRPr="00883399">
        <w:rPr>
          <w:sz w:val="24"/>
        </w:rPr>
        <w:tab/>
        <w:t>The sampling and analysis is to be carried out using the methods set out in Divisions 2.2.4, 2.3.4 and 2.4.4 that apply to the combustion of solid, liquid or gaseous fuels.</w:t>
      </w:r>
    </w:p>
    <w:p w14:paraId="7DBE3B7F" w14:textId="77777777" w:rsidR="00872C03" w:rsidRPr="00883399" w:rsidRDefault="00872C03" w:rsidP="00872C03">
      <w:pPr>
        <w:pStyle w:val="subsection"/>
        <w:rPr>
          <w:sz w:val="24"/>
        </w:rPr>
      </w:pPr>
      <w:r w:rsidRPr="00883399">
        <w:rPr>
          <w:sz w:val="24"/>
        </w:rPr>
        <w:tab/>
        <w:t>(3)</w:t>
      </w:r>
      <w:r w:rsidRPr="00883399">
        <w:rPr>
          <w:sz w:val="24"/>
        </w:rPr>
        <w:tab/>
        <w:t>In applying method 1 as method 3, step 4 in section 2.61 is to be omitted and the following step 4 substituted.</w:t>
      </w:r>
    </w:p>
    <w:tbl>
      <w:tblPr>
        <w:tblW w:w="0" w:type="auto"/>
        <w:tblInd w:w="948" w:type="dxa"/>
        <w:tblLayout w:type="fixed"/>
        <w:tblLook w:val="0000" w:firstRow="0" w:lastRow="0" w:firstColumn="0" w:lastColumn="0" w:noHBand="0" w:noVBand="0"/>
      </w:tblPr>
      <w:tblGrid>
        <w:gridCol w:w="882"/>
        <w:gridCol w:w="6678"/>
      </w:tblGrid>
      <w:tr w:rsidR="00872C03" w:rsidRPr="00883399" w14:paraId="0AF15015" w14:textId="77777777" w:rsidTr="0031057E">
        <w:trPr>
          <w:cantSplit/>
        </w:trPr>
        <w:tc>
          <w:tcPr>
            <w:tcW w:w="882" w:type="dxa"/>
            <w:vMerge w:val="restart"/>
          </w:tcPr>
          <w:p w14:paraId="05FD85CE" w14:textId="77777777" w:rsidR="00872C03" w:rsidRPr="00883399" w:rsidRDefault="00872C03" w:rsidP="0031057E">
            <w:pPr>
              <w:pStyle w:val="Tabletext0"/>
              <w:keepNext/>
              <w:keepLines/>
              <w:rPr>
                <w:sz w:val="22"/>
              </w:rPr>
            </w:pPr>
            <w:r w:rsidRPr="00883399">
              <w:rPr>
                <w:sz w:val="24"/>
                <w:szCs w:val="22"/>
              </w:rPr>
              <w:t>Step 4</w:t>
            </w:r>
          </w:p>
        </w:tc>
        <w:tc>
          <w:tcPr>
            <w:tcW w:w="6678" w:type="dxa"/>
          </w:tcPr>
          <w:p w14:paraId="6A02DD51" w14:textId="77777777" w:rsidR="00872C03" w:rsidRPr="00883399" w:rsidRDefault="00872C03" w:rsidP="0031057E">
            <w:pPr>
              <w:pStyle w:val="Tabletext0"/>
              <w:keepNext/>
              <w:keepLines/>
              <w:spacing w:after="120"/>
              <w:rPr>
                <w:iCs/>
                <w:sz w:val="24"/>
                <w:szCs w:val="22"/>
              </w:rPr>
            </w:pPr>
            <w:r w:rsidRPr="00883399">
              <w:rPr>
                <w:iCs/>
                <w:sz w:val="24"/>
                <w:szCs w:val="22"/>
              </w:rPr>
              <w:t>Calculate the carbon content in the amount of the increase in stocks of inputs, products and waste by</w:t>
            </w:r>
            <w:r w:rsidRPr="00883399">
              <w:rPr>
                <w:iCs/>
                <w:sz w:val="24"/>
                <w:szCs w:val="22"/>
              </w:rPr>
              <w:noBreakHyphen/>
              <w:t>products held within the boundary of the activity during the year as follows:</w:t>
            </w:r>
          </w:p>
        </w:tc>
      </w:tr>
      <w:tr w:rsidR="00872C03" w:rsidRPr="00883399" w14:paraId="51623D8D" w14:textId="77777777" w:rsidTr="0031057E">
        <w:trPr>
          <w:cantSplit/>
          <w:trHeight w:val="74"/>
        </w:trPr>
        <w:tc>
          <w:tcPr>
            <w:tcW w:w="882" w:type="dxa"/>
            <w:vMerge/>
          </w:tcPr>
          <w:p w14:paraId="6699FF6E" w14:textId="77777777" w:rsidR="00872C03" w:rsidRPr="00883399" w:rsidRDefault="00872C03" w:rsidP="0031057E">
            <w:pPr>
              <w:spacing w:before="60" w:after="60"/>
              <w:rPr>
                <w:i/>
              </w:rPr>
            </w:pPr>
          </w:p>
        </w:tc>
        <w:tc>
          <w:tcPr>
            <w:tcW w:w="6678" w:type="dxa"/>
          </w:tcPr>
          <w:p w14:paraId="3CE91BF1" w14:textId="33B82609" w:rsidR="00872C03" w:rsidRPr="00883399" w:rsidRDefault="00872C03" w:rsidP="0031057E">
            <w:pPr>
              <w:pStyle w:val="Formula"/>
              <w:ind w:left="13"/>
              <w:rPr>
                <w:position w:val="-14"/>
                <w:sz w:val="22"/>
              </w:rPr>
            </w:pPr>
            <w:r w:rsidRPr="00883399">
              <w:rPr>
                <w:noProof/>
                <w:position w:val="-14"/>
                <w:sz w:val="22"/>
              </w:rPr>
              <w:drawing>
                <wp:inline distT="0" distB="0" distL="0" distR="0" wp14:anchorId="63FAA0E8" wp14:editId="20FBDBDE">
                  <wp:extent cx="4097020" cy="225425"/>
                  <wp:effectExtent l="1905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1"/>
                          <a:srcRect/>
                          <a:stretch>
                            <a:fillRect/>
                          </a:stretch>
                        </pic:blipFill>
                        <pic:spPr bwMode="auto">
                          <a:xfrm>
                            <a:off x="0" y="0"/>
                            <a:ext cx="4097020" cy="225425"/>
                          </a:xfrm>
                          <a:prstGeom prst="rect">
                            <a:avLst/>
                          </a:prstGeom>
                          <a:noFill/>
                          <a:ln w="9525">
                            <a:noFill/>
                            <a:miter lim="800000"/>
                            <a:headEnd/>
                            <a:tailEnd/>
                          </a:ln>
                        </pic:spPr>
                      </pic:pic>
                    </a:graphicData>
                  </a:graphic>
                </wp:inline>
              </w:drawing>
            </w:r>
          </w:p>
          <w:p w14:paraId="55E1C57D" w14:textId="77777777" w:rsidR="00872C03" w:rsidRPr="00883399" w:rsidRDefault="00872C03" w:rsidP="0031057E">
            <w:pPr>
              <w:pStyle w:val="Formula"/>
              <w:ind w:left="13"/>
              <w:rPr>
                <w:position w:val="-14"/>
                <w:sz w:val="22"/>
              </w:rPr>
            </w:pPr>
          </w:p>
        </w:tc>
      </w:tr>
      <w:tr w:rsidR="00872C03" w:rsidRPr="00883399" w14:paraId="0D331694" w14:textId="77777777" w:rsidTr="0031057E">
        <w:trPr>
          <w:cantSplit/>
        </w:trPr>
        <w:tc>
          <w:tcPr>
            <w:tcW w:w="882" w:type="dxa"/>
            <w:vMerge/>
          </w:tcPr>
          <w:p w14:paraId="40E02EB4" w14:textId="77777777" w:rsidR="00872C03" w:rsidRPr="00883399" w:rsidRDefault="00872C03" w:rsidP="0031057E">
            <w:pPr>
              <w:spacing w:before="60" w:after="60"/>
              <w:rPr>
                <w:i/>
              </w:rPr>
            </w:pPr>
          </w:p>
        </w:tc>
        <w:tc>
          <w:tcPr>
            <w:tcW w:w="6678" w:type="dxa"/>
          </w:tcPr>
          <w:p w14:paraId="736C791E" w14:textId="77777777" w:rsidR="00872C03" w:rsidRPr="00883399" w:rsidRDefault="00872C03" w:rsidP="0031057E">
            <w:pPr>
              <w:pStyle w:val="subsection2"/>
              <w:ind w:left="34"/>
              <w:rPr>
                <w:sz w:val="24"/>
              </w:rPr>
            </w:pPr>
            <w:r w:rsidRPr="00883399">
              <w:rPr>
                <w:sz w:val="24"/>
              </w:rPr>
              <w:t>where:</w:t>
            </w:r>
          </w:p>
          <w:p w14:paraId="236F69EA" w14:textId="77777777" w:rsidR="00872C03" w:rsidRPr="00883399" w:rsidRDefault="00872C03" w:rsidP="0031057E">
            <w:pPr>
              <w:pStyle w:val="Definition0"/>
              <w:spacing w:after="60"/>
              <w:ind w:left="34"/>
              <w:rPr>
                <w:b/>
                <w:i/>
                <w:sz w:val="24"/>
              </w:rPr>
            </w:pPr>
            <w:r w:rsidRPr="00883399">
              <w:rPr>
                <w:rFonts w:ascii="Symbol" w:hAnsi="Symbol"/>
                <w:b/>
                <w:i/>
                <w:sz w:val="24"/>
              </w:rPr>
              <w:t></w:t>
            </w:r>
            <w:r w:rsidRPr="00883399">
              <w:rPr>
                <w:b/>
                <w:i/>
                <w:sz w:val="24"/>
                <w:vertAlign w:val="subscript"/>
              </w:rPr>
              <w:t>i</w:t>
            </w:r>
            <w:r w:rsidRPr="00883399">
              <w:rPr>
                <w:b/>
                <w:i/>
                <w:sz w:val="24"/>
              </w:rPr>
              <w:t xml:space="preserve"> </w:t>
            </w:r>
            <w:r w:rsidRPr="00883399">
              <w:rPr>
                <w:sz w:val="24"/>
              </w:rPr>
              <w:t>has the same meaning as in step 1.</w:t>
            </w:r>
          </w:p>
          <w:p w14:paraId="043EECC9" w14:textId="77777777" w:rsidR="00872C03" w:rsidRPr="00883399" w:rsidRDefault="00872C03" w:rsidP="0031057E">
            <w:pPr>
              <w:pStyle w:val="Definition0"/>
              <w:spacing w:before="60" w:after="60"/>
              <w:ind w:left="34"/>
              <w:rPr>
                <w:iCs/>
                <w:sz w:val="24"/>
              </w:rPr>
            </w:pPr>
            <w:r w:rsidRPr="00883399">
              <w:rPr>
                <w:b/>
                <w:i/>
                <w:sz w:val="24"/>
              </w:rPr>
              <w:t>CCF</w:t>
            </w:r>
            <w:r w:rsidRPr="00883399">
              <w:rPr>
                <w:b/>
                <w:i/>
                <w:sz w:val="24"/>
                <w:vertAlign w:val="subscript"/>
              </w:rPr>
              <w:t xml:space="preserve">i </w:t>
            </w:r>
            <w:r w:rsidRPr="00883399">
              <w:rPr>
                <w:sz w:val="24"/>
              </w:rPr>
              <w:t>has the same meaning as in step 1.</w:t>
            </w:r>
          </w:p>
          <w:p w14:paraId="7D0E8606" w14:textId="77777777" w:rsidR="00872C03" w:rsidRPr="00883399" w:rsidRDefault="00872C03" w:rsidP="0031057E">
            <w:pPr>
              <w:pStyle w:val="Definition0"/>
              <w:spacing w:before="60" w:after="60"/>
              <w:ind w:left="34"/>
              <w:rPr>
                <w:iCs/>
                <w:sz w:val="24"/>
              </w:rPr>
            </w:pPr>
            <w:r w:rsidRPr="00883399">
              <w:rPr>
                <w:b/>
                <w:i/>
                <w:iCs/>
                <w:sz w:val="24"/>
              </w:rPr>
              <w:t>ΔS</w:t>
            </w:r>
            <w:r w:rsidRPr="00883399">
              <w:rPr>
                <w:b/>
                <w:i/>
                <w:iCs/>
                <w:sz w:val="24"/>
                <w:szCs w:val="18"/>
                <w:vertAlign w:val="subscript"/>
              </w:rPr>
              <w:t>q</w:t>
            </w:r>
            <w:r w:rsidRPr="00883399">
              <w:rPr>
                <w:b/>
                <w:i/>
                <w:iCs/>
                <w:sz w:val="24"/>
                <w:vertAlign w:val="subscript"/>
              </w:rPr>
              <w:t>i</w:t>
            </w:r>
            <w:r w:rsidRPr="00883399">
              <w:rPr>
                <w:iCs/>
                <w:sz w:val="24"/>
              </w:rPr>
              <w:t xml:space="preserve"> is the increase in stocks of fuel type (</w:t>
            </w:r>
            <w:r w:rsidRPr="00883399">
              <w:rPr>
                <w:b/>
                <w:i/>
                <w:iCs/>
                <w:sz w:val="24"/>
              </w:rPr>
              <w:t>i</w:t>
            </w:r>
            <w:r w:rsidRPr="00883399">
              <w:rPr>
                <w:iCs/>
                <w:sz w:val="24"/>
              </w:rPr>
              <w:t xml:space="preserve">) for the activity and held </w:t>
            </w:r>
            <w:r w:rsidRPr="00883399">
              <w:rPr>
                <w:sz w:val="24"/>
              </w:rPr>
              <w:t xml:space="preserve">within </w:t>
            </w:r>
            <w:r w:rsidRPr="00883399">
              <w:rPr>
                <w:iCs/>
                <w:sz w:val="24"/>
              </w:rPr>
              <w:t xml:space="preserve">the boundary of </w:t>
            </w:r>
            <w:r w:rsidRPr="00883399">
              <w:rPr>
                <w:sz w:val="24"/>
              </w:rPr>
              <w:t xml:space="preserve">the </w:t>
            </w:r>
            <w:r w:rsidRPr="00883399">
              <w:rPr>
                <w:iCs/>
                <w:sz w:val="24"/>
              </w:rPr>
              <w:t>activity</w:t>
            </w:r>
            <w:r w:rsidRPr="00883399">
              <w:rPr>
                <w:sz w:val="24"/>
              </w:rPr>
              <w:t xml:space="preserve"> </w:t>
            </w:r>
            <w:r w:rsidRPr="00883399">
              <w:rPr>
                <w:iCs/>
                <w:sz w:val="24"/>
              </w:rPr>
              <w:t>during the year measured in tonnes.</w:t>
            </w:r>
          </w:p>
          <w:p w14:paraId="31389E6C" w14:textId="77777777" w:rsidR="00872C03" w:rsidRPr="00883399" w:rsidRDefault="00872C03" w:rsidP="0031057E">
            <w:pPr>
              <w:pStyle w:val="Definition0"/>
              <w:spacing w:before="60" w:after="60"/>
              <w:ind w:left="34"/>
              <w:rPr>
                <w:b/>
                <w:i/>
                <w:sz w:val="24"/>
              </w:rPr>
            </w:pPr>
            <w:r w:rsidRPr="00883399">
              <w:rPr>
                <w:rFonts w:ascii="Symbol" w:hAnsi="Symbol"/>
                <w:b/>
                <w:i/>
                <w:sz w:val="24"/>
              </w:rPr>
              <w:t></w:t>
            </w:r>
            <w:r w:rsidRPr="00883399">
              <w:rPr>
                <w:b/>
                <w:i/>
                <w:sz w:val="24"/>
                <w:vertAlign w:val="subscript"/>
              </w:rPr>
              <w:t xml:space="preserve">p </w:t>
            </w:r>
            <w:r w:rsidRPr="00883399">
              <w:rPr>
                <w:sz w:val="24"/>
              </w:rPr>
              <w:t>has the same meaning as in step 2.</w:t>
            </w:r>
          </w:p>
          <w:p w14:paraId="64227404" w14:textId="77777777" w:rsidR="00872C03" w:rsidRPr="00883399" w:rsidRDefault="00872C03" w:rsidP="0031057E">
            <w:pPr>
              <w:pStyle w:val="Definition0"/>
              <w:spacing w:before="60" w:after="60"/>
              <w:ind w:left="34"/>
              <w:rPr>
                <w:b/>
                <w:i/>
                <w:iCs/>
                <w:sz w:val="24"/>
              </w:rPr>
            </w:pPr>
            <w:r w:rsidRPr="00883399">
              <w:rPr>
                <w:b/>
                <w:i/>
                <w:sz w:val="24"/>
              </w:rPr>
              <w:t>CCF</w:t>
            </w:r>
            <w:r w:rsidRPr="00883399">
              <w:rPr>
                <w:b/>
                <w:i/>
                <w:sz w:val="24"/>
                <w:vertAlign w:val="subscript"/>
              </w:rPr>
              <w:t xml:space="preserve">p </w:t>
            </w:r>
            <w:r w:rsidRPr="00883399">
              <w:rPr>
                <w:sz w:val="24"/>
              </w:rPr>
              <w:t>has the same meaning as in step 2.</w:t>
            </w:r>
          </w:p>
          <w:p w14:paraId="18C9B50B" w14:textId="77777777" w:rsidR="00872C03" w:rsidRPr="00883399" w:rsidRDefault="00872C03" w:rsidP="0031057E">
            <w:pPr>
              <w:pStyle w:val="Definition0"/>
              <w:spacing w:before="60" w:after="60"/>
              <w:ind w:left="34"/>
              <w:rPr>
                <w:sz w:val="24"/>
              </w:rPr>
            </w:pPr>
            <w:r w:rsidRPr="00883399">
              <w:rPr>
                <w:b/>
                <w:i/>
                <w:iCs/>
                <w:sz w:val="24"/>
              </w:rPr>
              <w:t>ΔS</w:t>
            </w:r>
            <w:r w:rsidRPr="00883399">
              <w:rPr>
                <w:b/>
                <w:i/>
                <w:iCs/>
                <w:sz w:val="24"/>
                <w:szCs w:val="18"/>
                <w:vertAlign w:val="subscript"/>
              </w:rPr>
              <w:t>a</w:t>
            </w:r>
            <w:r w:rsidRPr="00883399">
              <w:rPr>
                <w:b/>
                <w:i/>
                <w:iCs/>
                <w:sz w:val="24"/>
                <w:vertAlign w:val="subscript"/>
              </w:rPr>
              <w:t>p</w:t>
            </w:r>
            <w:r w:rsidRPr="00883399">
              <w:rPr>
                <w:iCs/>
                <w:sz w:val="24"/>
                <w:szCs w:val="18"/>
              </w:rPr>
              <w:t xml:space="preserve"> is the increase in stocks of </w:t>
            </w:r>
            <w:r w:rsidRPr="00883399">
              <w:rPr>
                <w:iCs/>
                <w:sz w:val="24"/>
              </w:rPr>
              <w:t>products produced (</w:t>
            </w:r>
            <w:r w:rsidRPr="00883399">
              <w:rPr>
                <w:b/>
                <w:i/>
                <w:iCs/>
                <w:sz w:val="24"/>
              </w:rPr>
              <w:t>p</w:t>
            </w:r>
            <w:r w:rsidRPr="00883399">
              <w:rPr>
                <w:iCs/>
                <w:sz w:val="24"/>
              </w:rPr>
              <w:t xml:space="preserve">) by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872C03" w:rsidRPr="00883399" w14:paraId="0DDB25C9" w14:textId="77777777" w:rsidTr="0031057E">
        <w:trPr>
          <w:cantSplit/>
          <w:trHeight w:val="1365"/>
        </w:trPr>
        <w:tc>
          <w:tcPr>
            <w:tcW w:w="882" w:type="dxa"/>
          </w:tcPr>
          <w:p w14:paraId="7BF5EC5A" w14:textId="77777777" w:rsidR="00872C03" w:rsidRPr="00883399" w:rsidRDefault="00872C03" w:rsidP="0031057E">
            <w:pPr>
              <w:spacing w:before="60" w:after="60"/>
              <w:rPr>
                <w:i/>
              </w:rPr>
            </w:pPr>
          </w:p>
        </w:tc>
        <w:tc>
          <w:tcPr>
            <w:tcW w:w="6678" w:type="dxa"/>
          </w:tcPr>
          <w:p w14:paraId="24792891" w14:textId="77777777" w:rsidR="00872C03" w:rsidRPr="00883399" w:rsidRDefault="00872C03" w:rsidP="0031057E">
            <w:pPr>
              <w:pStyle w:val="Definition0"/>
              <w:spacing w:before="60" w:after="60"/>
              <w:ind w:left="34"/>
              <w:rPr>
                <w:b/>
                <w:i/>
                <w:sz w:val="24"/>
              </w:rPr>
            </w:pPr>
            <w:r w:rsidRPr="00883399">
              <w:rPr>
                <w:rFonts w:ascii="Symbol" w:hAnsi="Symbol"/>
                <w:b/>
                <w:i/>
                <w:sz w:val="24"/>
              </w:rPr>
              <w:t></w:t>
            </w:r>
            <w:r w:rsidRPr="00883399">
              <w:rPr>
                <w:b/>
                <w:i/>
                <w:sz w:val="24"/>
                <w:vertAlign w:val="subscript"/>
              </w:rPr>
              <w:t xml:space="preserve">r </w:t>
            </w:r>
            <w:r w:rsidRPr="00883399">
              <w:rPr>
                <w:sz w:val="24"/>
              </w:rPr>
              <w:t>has the same meaning as in step 3.</w:t>
            </w:r>
          </w:p>
          <w:p w14:paraId="5715FD7E" w14:textId="77777777" w:rsidR="00872C03" w:rsidRPr="00883399" w:rsidRDefault="00872C03" w:rsidP="0031057E">
            <w:pPr>
              <w:pStyle w:val="Definition0"/>
              <w:spacing w:before="60" w:after="60"/>
              <w:ind w:left="34"/>
              <w:rPr>
                <w:b/>
                <w:i/>
                <w:iCs/>
                <w:sz w:val="24"/>
              </w:rPr>
            </w:pPr>
            <w:r w:rsidRPr="00883399">
              <w:rPr>
                <w:b/>
                <w:i/>
                <w:sz w:val="24"/>
              </w:rPr>
              <w:t>CCF</w:t>
            </w:r>
            <w:r w:rsidRPr="00883399">
              <w:rPr>
                <w:b/>
                <w:i/>
                <w:sz w:val="24"/>
                <w:vertAlign w:val="subscript"/>
              </w:rPr>
              <w:t xml:space="preserve">r </w:t>
            </w:r>
            <w:r w:rsidRPr="00883399">
              <w:rPr>
                <w:sz w:val="24"/>
              </w:rPr>
              <w:t>has the same meaning as in step 3.</w:t>
            </w:r>
          </w:p>
          <w:p w14:paraId="01AABB2C" w14:textId="77777777" w:rsidR="00872C03" w:rsidRPr="00883399" w:rsidRDefault="00872C03" w:rsidP="0031057E">
            <w:pPr>
              <w:pStyle w:val="Definition0"/>
              <w:spacing w:before="60" w:after="60"/>
              <w:ind w:left="34"/>
              <w:rPr>
                <w:sz w:val="24"/>
              </w:rPr>
            </w:pPr>
            <w:r w:rsidRPr="00883399">
              <w:rPr>
                <w:b/>
                <w:i/>
                <w:iCs/>
                <w:sz w:val="24"/>
              </w:rPr>
              <w:t>ΔS</w:t>
            </w:r>
            <w:r w:rsidRPr="00883399">
              <w:rPr>
                <w:b/>
                <w:i/>
                <w:iCs/>
                <w:sz w:val="24"/>
                <w:szCs w:val="18"/>
                <w:vertAlign w:val="subscript"/>
              </w:rPr>
              <w:t>y</w:t>
            </w:r>
            <w:r w:rsidRPr="00883399">
              <w:rPr>
                <w:b/>
                <w:i/>
                <w:iCs/>
                <w:sz w:val="24"/>
                <w:vertAlign w:val="subscript"/>
              </w:rPr>
              <w:t>r</w:t>
            </w:r>
            <w:r w:rsidRPr="00883399">
              <w:rPr>
                <w:iCs/>
                <w:sz w:val="24"/>
              </w:rPr>
              <w:t xml:space="preserve"> is the increase in stocks of waste by</w:t>
            </w:r>
            <w:r w:rsidRPr="00883399">
              <w:rPr>
                <w:b/>
                <w:iCs/>
                <w:sz w:val="24"/>
              </w:rPr>
              <w:noBreakHyphen/>
            </w:r>
            <w:r w:rsidRPr="00883399">
              <w:rPr>
                <w:iCs/>
                <w:sz w:val="24"/>
              </w:rPr>
              <w:t>products (</w:t>
            </w:r>
            <w:r w:rsidRPr="00883399">
              <w:rPr>
                <w:b/>
                <w:i/>
                <w:iCs/>
                <w:sz w:val="24"/>
              </w:rPr>
              <w:t>r</w:t>
            </w:r>
            <w:r w:rsidRPr="00883399">
              <w:rPr>
                <w:iCs/>
                <w:sz w:val="24"/>
              </w:rPr>
              <w:t xml:space="preserve">) produced by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872C03" w:rsidRPr="00883399" w14:paraId="0D8F903E" w14:textId="77777777" w:rsidTr="0031057E">
        <w:trPr>
          <w:cantSplit/>
        </w:trPr>
        <w:tc>
          <w:tcPr>
            <w:tcW w:w="882" w:type="dxa"/>
          </w:tcPr>
          <w:p w14:paraId="2B45363D" w14:textId="77777777" w:rsidR="00872C03" w:rsidRPr="00883399" w:rsidRDefault="00872C03" w:rsidP="0031057E">
            <w:pPr>
              <w:spacing w:before="60" w:after="60"/>
              <w:rPr>
                <w:i/>
              </w:rPr>
            </w:pPr>
          </w:p>
        </w:tc>
        <w:tc>
          <w:tcPr>
            <w:tcW w:w="6678" w:type="dxa"/>
          </w:tcPr>
          <w:p w14:paraId="193E7EB4" w14:textId="77777777" w:rsidR="00872C03" w:rsidRPr="00883399" w:rsidRDefault="00872C03" w:rsidP="0031057E">
            <w:pPr>
              <w:pStyle w:val="TableText"/>
              <w:rPr>
                <w:b/>
                <w:i/>
                <w:sz w:val="24"/>
              </w:rPr>
            </w:pPr>
            <w:r w:rsidRPr="00883399">
              <w:rPr>
                <w:b/>
                <w:i/>
                <w:sz w:val="24"/>
              </w:rPr>
              <w:t>α</w:t>
            </w:r>
            <w:r w:rsidRPr="00883399">
              <w:rPr>
                <w:sz w:val="24"/>
              </w:rPr>
              <w:t xml:space="preserve"> is the factor </w:t>
            </w:r>
            <w:r w:rsidR="00C66508" w:rsidRPr="00883399">
              <w:rPr>
                <w:noProof/>
                <w:sz w:val="24"/>
              </w:rPr>
              <mc:AlternateContent>
                <mc:Choice Requires="wpc">
                  <w:drawing>
                    <wp:inline distT="0" distB="0" distL="0" distR="0" wp14:anchorId="792EA997" wp14:editId="0E2CECCF">
                      <wp:extent cx="232410" cy="283845"/>
                      <wp:effectExtent l="1905" t="0" r="3810" b="3810"/>
                      <wp:docPr id="93" name="Canvas 4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0" name="Rectangle 4"/>
                              <wps:cNvSpPr>
                                <a:spLocks noChangeArrowheads="1"/>
                              </wps:cNvSpPr>
                              <wps:spPr bwMode="auto">
                                <a:xfrm>
                                  <a:off x="83820" y="1016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7F894" w14:textId="77777777" w:rsidR="00F8313C" w:rsidRDefault="00F8313C" w:rsidP="00872C03">
                                    <w:r w:rsidRPr="000A5860">
                                      <w:rPr>
                                        <w:color w:val="000000"/>
                                        <w:position w:val="-12"/>
                                        <w:sz w:val="16"/>
                                        <w:szCs w:val="16"/>
                                        <w:lang w:val="en-US"/>
                                      </w:rPr>
                                      <w:t>1</w:t>
                                    </w:r>
                                  </w:p>
                                </w:txbxContent>
                              </wps:txbx>
                              <wps:bodyPr rot="0" vert="horz" wrap="none" lIns="0" tIns="0" rIns="0" bIns="0" anchor="t" anchorCtr="0" upright="1">
                                <a:noAutofit/>
                              </wps:bodyPr>
                            </wps:wsp>
                            <wps:wsp>
                              <wps:cNvPr id="91" name="Line 5"/>
                              <wps:cNvCnPr>
                                <a:cxnSpLocks noChangeShapeType="1"/>
                              </wps:cNvCnPr>
                              <wps:spPr bwMode="auto">
                                <a:xfrm>
                                  <a:off x="13970" y="139065"/>
                                  <a:ext cx="205105" cy="635"/>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92" name="Rectangle 6"/>
                              <wps:cNvSpPr>
                                <a:spLocks noChangeArrowheads="1"/>
                              </wps:cNvSpPr>
                              <wps:spPr bwMode="auto">
                                <a:xfrm>
                                  <a:off x="0" y="166370"/>
                                  <a:ext cx="2292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33C3E" w14:textId="77777777" w:rsidR="00F8313C" w:rsidRPr="000A5860" w:rsidRDefault="00F8313C" w:rsidP="00872C03">
                                    <w:pPr>
                                      <w:spacing w:line="276" w:lineRule="auto"/>
                                      <w:rPr>
                                        <w:position w:val="-12"/>
                                        <w:sz w:val="16"/>
                                        <w:szCs w:val="16"/>
                                      </w:rPr>
                                    </w:pPr>
                                    <w:r w:rsidRPr="000A5860">
                                      <w:rPr>
                                        <w:color w:val="000000"/>
                                        <w:position w:val="-12"/>
                                        <w:sz w:val="16"/>
                                        <w:szCs w:val="16"/>
                                        <w:lang w:val="en-US"/>
                                      </w:rPr>
                                      <w:t>3.664</w:t>
                                    </w:r>
                                  </w:p>
                                </w:txbxContent>
                              </wps:txbx>
                              <wps:bodyPr rot="0" vert="horz" wrap="none" lIns="0" tIns="0" rIns="0" bIns="0" anchor="t" anchorCtr="0" upright="1">
                                <a:noAutofit/>
                              </wps:bodyPr>
                            </wps:wsp>
                          </wpc:wpc>
                        </a:graphicData>
                      </a:graphic>
                    </wp:inline>
                  </w:drawing>
                </mc:Choice>
                <mc:Fallback>
                  <w:pict>
                    <v:group w14:anchorId="792EA997" id="Canvas 469" o:spid="_x0000_s1036" editas="canvas" style="width:18.3pt;height:22.35pt;mso-position-horizontal-relative:char;mso-position-vertical-relative:line" coordsize="232410,28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">
                      <v:shape id="_x0000_s1037" type="#_x0000_t75" style="position:absolute;width:232410;height:283845;visibility:visible;mso-wrap-style:square">
                        <v:fill o:detectmouseclick="t"/>
                        <v:path o:connecttype="none"/>
                      </v:shape>
                      <v:rect id="Rectangle 4" o:spid="_x0000_s1038" style="position:absolute;left:83820;top:10160;width:51435;height:1168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0OMAA&#10;AADbAAAADwAAAGRycy9kb3ducmV2LnhtbERP3WrCMBS+H/gO4QjezbQislaj6ECUgRf+PMChOTbV&#10;5qRLonZvv1wMdvnx/S9WvW3Fk3xoHCvIxxkI4srphmsFl/P2/QNEiMgaW8ek4IcCrJaDtwWW2r34&#10;SM9TrEUK4VCiAhNjV0oZKkMWw9h1xIm7Om8xJuhrqT2+Urht5STLZtJiw6nBYEefhqr76WEV0GZ3&#10;LG7rYA7S5yE/fM2K6e5bqdGwX89BROrjv/jPvdcKirQ+fUk/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T0OMAAAADbAAAADwAAAAAAAAAAAAAAAACYAgAAZHJzL2Rvd25y&#10;ZXYueG1sUEsFBgAAAAAEAAQA9QAAAIUDAAAAAA==&#10;" filled="f" stroked="f">
                        <v:textbox inset="0,0,0,0">
                          <w:txbxContent>
                            <w:p w14:paraId="1F47F894" w14:textId="77777777" w:rsidR="00F8313C" w:rsidRDefault="00F8313C" w:rsidP="00872C03">
                              <w:r w:rsidRPr="000A5860">
                                <w:rPr>
                                  <w:color w:val="000000"/>
                                  <w:position w:val="-12"/>
                                  <w:sz w:val="16"/>
                                  <w:szCs w:val="16"/>
                                  <w:lang w:val="en-US"/>
                                </w:rPr>
                                <w:t>1</w:t>
                              </w:r>
                            </w:p>
                          </w:txbxContent>
                        </v:textbox>
                      </v:rect>
                      <v:line id="Line 5" o:spid="_x0000_s1039" style="position:absolute;visibility:visible;mso-wrap-style:square" from="13970,139065" to="219075,13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ScQAAADbAAAADwAAAGRycy9kb3ducmV2LnhtbESPwW7CMBBE70j8g7WVegMHDi1NcaIK&#10;UTU9kuTCbRsvSdR4HdkupHx9XQmJ42hm3mi2+WQGcSbne8sKVssEBHFjdc+tgrp6X2xA+ICscbBM&#10;Cn7JQ57NZ1tMtb3wgc5laEWEsE9RQRfCmErpm44M+qUdiaN3ss5giNK1Uju8RLgZ5DpJnqTBnuNC&#10;hyPtOmq+yx+j4FpU+/pYfBy+6uux+rSld8+njVKPD9PbK4hAU7iHb+1CK3hZwf+X+AN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9EVJxAAAANsAAAAPAAAAAAAAAAAA&#10;AAAAAKECAABkcnMvZG93bnJldi54bWxQSwUGAAAAAAQABAD5AAAAkgMAAAAA&#10;" strokeweight="28e-5mm"/>
                      <v:rect id="Rectangle 6" o:spid="_x0000_s1040" style="position:absolute;top:166370;width:229235;height:1174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rP1MMA&#10;AADbAAAADwAAAGRycy9kb3ducmV2LnhtbESP0WoCMRRE3wX/IVyhb5pdKeJujaKFYhF8UPsBl811&#10;s7q52Sapbv/eFAo+DjNzhlmsetuKG/nQOFaQTzIQxJXTDdcKvk4f4zmIEJE1to5JwS8FWC2HgwWW&#10;2t35QLdjrEWCcChRgYmxK6UMlSGLYeI64uSdnbcYk/S11B7vCW5bOc2ymbTYcFow2NG7oep6/LEK&#10;aLM9FJd1MHvp85Dvd7Pidfut1MuoX7+BiNTHZ/i//akVFFP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rP1MMAAADbAAAADwAAAAAAAAAAAAAAAACYAgAAZHJzL2Rv&#10;d25yZXYueG1sUEsFBgAAAAAEAAQA9QAAAIgDAAAAAA==&#10;" filled="f" stroked="f">
                        <v:textbox inset="0,0,0,0">
                          <w:txbxContent>
                            <w:p w14:paraId="5F933C3E" w14:textId="77777777" w:rsidR="00F8313C" w:rsidRPr="000A5860" w:rsidRDefault="00F8313C" w:rsidP="00872C03">
                              <w:pPr>
                                <w:spacing w:line="276" w:lineRule="auto"/>
                                <w:rPr>
                                  <w:position w:val="-12"/>
                                  <w:sz w:val="16"/>
                                  <w:szCs w:val="16"/>
                                </w:rPr>
                              </w:pPr>
                              <w:r w:rsidRPr="000A5860">
                                <w:rPr>
                                  <w:color w:val="000000"/>
                                  <w:position w:val="-12"/>
                                  <w:sz w:val="16"/>
                                  <w:szCs w:val="16"/>
                                  <w:lang w:val="en-US"/>
                                </w:rPr>
                                <w:t>3.664</w:t>
                              </w:r>
                            </w:p>
                          </w:txbxContent>
                        </v:textbox>
                      </v:rect>
                      <w10:anchorlock/>
                    </v:group>
                  </w:pict>
                </mc:Fallback>
              </mc:AlternateContent>
            </w:r>
            <w:r w:rsidRPr="00883399">
              <w:rPr>
                <w:sz w:val="24"/>
              </w:rPr>
              <w:t xml:space="preserve"> for converting the mass of carbon dioxide to a mass of carbon.</w:t>
            </w:r>
          </w:p>
        </w:tc>
      </w:tr>
      <w:tr w:rsidR="00872C03" w:rsidRPr="00883399" w14:paraId="2AB23097" w14:textId="77777777" w:rsidTr="0031057E">
        <w:trPr>
          <w:cantSplit/>
          <w:trHeight w:val="1440"/>
        </w:trPr>
        <w:tc>
          <w:tcPr>
            <w:tcW w:w="882" w:type="dxa"/>
          </w:tcPr>
          <w:p w14:paraId="579D4DA0" w14:textId="77777777" w:rsidR="00872C03" w:rsidRPr="00883399" w:rsidRDefault="00872C03" w:rsidP="0031057E">
            <w:pPr>
              <w:spacing w:before="60" w:after="60"/>
              <w:rPr>
                <w:i/>
              </w:rPr>
            </w:pPr>
          </w:p>
        </w:tc>
        <w:tc>
          <w:tcPr>
            <w:tcW w:w="6678" w:type="dxa"/>
          </w:tcPr>
          <w:p w14:paraId="48B7C851" w14:textId="77777777" w:rsidR="00872C03" w:rsidRPr="00883399" w:rsidRDefault="00872C03" w:rsidP="0031057E">
            <w:pPr>
              <w:pStyle w:val="Definition0"/>
              <w:spacing w:before="60" w:after="60"/>
              <w:ind w:left="34"/>
              <w:rPr>
                <w:sz w:val="24"/>
              </w:rPr>
            </w:pPr>
            <w:r w:rsidRPr="00883399">
              <w:rPr>
                <w:b/>
                <w:i/>
                <w:sz w:val="24"/>
              </w:rPr>
              <w:t>γ</w:t>
            </w:r>
            <w:r w:rsidRPr="00883399">
              <w:rPr>
                <w:sz w:val="24"/>
              </w:rPr>
              <w:t xml:space="preserve"> is the factor 1.861 x 10</w:t>
            </w:r>
            <w:r w:rsidRPr="00883399">
              <w:rPr>
                <w:sz w:val="24"/>
                <w:vertAlign w:val="superscript"/>
              </w:rPr>
              <w:noBreakHyphen/>
              <w:t xml:space="preserve">3 </w:t>
            </w:r>
            <w:r w:rsidRPr="00883399">
              <w:rPr>
                <w:sz w:val="24"/>
              </w:rPr>
              <w:t>for converting a quantity of carbon dioxide from cubic metres at standard conditions of pressure and temperature to CO</w:t>
            </w:r>
            <w:r w:rsidRPr="00883399">
              <w:rPr>
                <w:sz w:val="24"/>
                <w:vertAlign w:val="subscript"/>
              </w:rPr>
              <w:t>2</w:t>
            </w:r>
            <w:r w:rsidRPr="00883399">
              <w:rPr>
                <w:sz w:val="24"/>
              </w:rPr>
              <w:noBreakHyphen/>
              <w:t>e tonnes.</w:t>
            </w:r>
          </w:p>
          <w:p w14:paraId="4D8CB96C" w14:textId="77777777" w:rsidR="00872C03" w:rsidRPr="00883399" w:rsidRDefault="00872C03" w:rsidP="0031057E">
            <w:pPr>
              <w:pStyle w:val="Definition0"/>
              <w:spacing w:before="60" w:after="60"/>
              <w:ind w:left="34"/>
              <w:rPr>
                <w:rFonts w:ascii="Symbol" w:hAnsi="Symbol"/>
                <w:b/>
                <w:i/>
                <w:sz w:val="24"/>
              </w:rPr>
            </w:pPr>
            <w:r w:rsidRPr="00883399">
              <w:rPr>
                <w:b/>
                <w:i/>
                <w:sz w:val="24"/>
              </w:rPr>
              <w:t>RCCS</w:t>
            </w:r>
            <w:r w:rsidRPr="00883399">
              <w:rPr>
                <w:b/>
                <w:i/>
                <w:sz w:val="24"/>
                <w:vertAlign w:val="subscript"/>
              </w:rPr>
              <w:t>CO</w:t>
            </w:r>
            <w:r w:rsidRPr="00883399">
              <w:rPr>
                <w:b/>
                <w:i/>
                <w:position w:val="-4"/>
                <w:sz w:val="28"/>
                <w:vertAlign w:val="subscript"/>
              </w:rPr>
              <w:t>2</w:t>
            </w:r>
            <w:r w:rsidRPr="00883399">
              <w:rPr>
                <w:b/>
                <w:i/>
                <w:sz w:val="24"/>
                <w:vertAlign w:val="subscript"/>
              </w:rPr>
              <w:t xml:space="preserve"> </w:t>
            </w:r>
            <w:r w:rsidRPr="00883399">
              <w:rPr>
                <w:sz w:val="24"/>
              </w:rPr>
              <w:t>is carbon dioxide captured for permanent storage measured in cubic metres in accordance with Division 1.2.3.</w:t>
            </w:r>
          </w:p>
        </w:tc>
      </w:tr>
    </w:tbl>
    <w:p w14:paraId="10FEC7DB" w14:textId="77777777" w:rsidR="00872C03" w:rsidRPr="00883399" w:rsidRDefault="00872C03" w:rsidP="00872C03"/>
    <w:p w14:paraId="1945DC7A" w14:textId="7DC4D3B8" w:rsidR="00872C03" w:rsidRPr="00883399" w:rsidRDefault="00872C03" w:rsidP="00872C03">
      <w:pPr>
        <w:pStyle w:val="ActHead2"/>
        <w:pageBreakBefore/>
        <w:rPr>
          <w:sz w:val="36"/>
        </w:rPr>
      </w:pPr>
      <w:bookmarkStart w:id="377" w:name="_Toc423516836"/>
      <w:bookmarkStart w:id="378" w:name="_Toc495652754"/>
      <w:r w:rsidRPr="00883399">
        <w:rPr>
          <w:rStyle w:val="CharPartNo"/>
          <w:sz w:val="36"/>
        </w:rPr>
        <w:lastRenderedPageBreak/>
        <w:t>Part 2.6</w:t>
      </w:r>
      <w:r w:rsidRPr="00883399">
        <w:rPr>
          <w:sz w:val="36"/>
        </w:rPr>
        <w:t>—</w:t>
      </w:r>
      <w:r w:rsidRPr="00883399">
        <w:rPr>
          <w:rStyle w:val="CharPartText"/>
          <w:sz w:val="36"/>
        </w:rPr>
        <w:t>Blended fuels</w:t>
      </w:r>
      <w:bookmarkEnd w:id="377"/>
      <w:bookmarkEnd w:id="378"/>
    </w:p>
    <w:p w14:paraId="2827E57A" w14:textId="77777777" w:rsidR="00872C03" w:rsidRPr="00883399" w:rsidRDefault="00872C03" w:rsidP="00872C03">
      <w:pPr>
        <w:pStyle w:val="Header"/>
        <w:rPr>
          <w:sz w:val="18"/>
        </w:rPr>
      </w:pPr>
      <w:r w:rsidRPr="00883399">
        <w:rPr>
          <w:rStyle w:val="CharDivNo"/>
          <w:sz w:val="18"/>
        </w:rPr>
        <w:t xml:space="preserve"> </w:t>
      </w:r>
      <w:r w:rsidRPr="00883399">
        <w:rPr>
          <w:rStyle w:val="CharDivText"/>
          <w:sz w:val="18"/>
        </w:rPr>
        <w:t xml:space="preserve"> </w:t>
      </w:r>
    </w:p>
    <w:p w14:paraId="1D9B32CB" w14:textId="058D8E04" w:rsidR="00872C03" w:rsidRPr="00883399" w:rsidRDefault="00872C03" w:rsidP="00872C03">
      <w:pPr>
        <w:pStyle w:val="ActHead5"/>
        <w:rPr>
          <w:sz w:val="28"/>
        </w:rPr>
      </w:pPr>
      <w:bookmarkStart w:id="379" w:name="_Toc423516837"/>
      <w:bookmarkStart w:id="380" w:name="_Toc495652755"/>
      <w:r w:rsidRPr="00883399">
        <w:rPr>
          <w:rStyle w:val="CharSectno"/>
          <w:sz w:val="28"/>
        </w:rPr>
        <w:t>2.64</w:t>
      </w:r>
      <w:r w:rsidRPr="00883399">
        <w:rPr>
          <w:sz w:val="28"/>
        </w:rPr>
        <w:t xml:space="preserve">  Purpose</w:t>
      </w:r>
      <w:bookmarkEnd w:id="379"/>
      <w:bookmarkEnd w:id="380"/>
    </w:p>
    <w:p w14:paraId="65F8556F" w14:textId="77777777" w:rsidR="00872C03" w:rsidRPr="00883399" w:rsidRDefault="00872C03" w:rsidP="00872C03">
      <w:pPr>
        <w:pStyle w:val="subsection"/>
        <w:rPr>
          <w:sz w:val="24"/>
        </w:rPr>
      </w:pPr>
      <w:r w:rsidRPr="00883399">
        <w:rPr>
          <w:sz w:val="24"/>
        </w:rPr>
        <w:tab/>
      </w:r>
      <w:r w:rsidRPr="00883399">
        <w:rPr>
          <w:sz w:val="24"/>
        </w:rPr>
        <w:tab/>
        <w:t>This Part sets out how to determine the amounts of each kind of fuel that is in a blended fuel.</w:t>
      </w:r>
    </w:p>
    <w:p w14:paraId="02F26C4E" w14:textId="41A2D76D" w:rsidR="00872C03" w:rsidRPr="00883399" w:rsidRDefault="00872C03" w:rsidP="00872C03">
      <w:pPr>
        <w:pStyle w:val="ActHead5"/>
        <w:rPr>
          <w:sz w:val="28"/>
        </w:rPr>
      </w:pPr>
      <w:bookmarkStart w:id="381" w:name="_Toc423516838"/>
      <w:bookmarkStart w:id="382" w:name="_Toc495652756"/>
      <w:r w:rsidRPr="00883399">
        <w:rPr>
          <w:rStyle w:val="CharSectno"/>
          <w:sz w:val="28"/>
        </w:rPr>
        <w:t>2.65</w:t>
      </w:r>
      <w:r w:rsidRPr="00883399">
        <w:rPr>
          <w:sz w:val="28"/>
        </w:rPr>
        <w:t xml:space="preserve">  Application</w:t>
      </w:r>
      <w:bookmarkEnd w:id="381"/>
      <w:bookmarkEnd w:id="382"/>
    </w:p>
    <w:p w14:paraId="29318BCF" w14:textId="77777777" w:rsidR="00872C03" w:rsidRPr="00883399" w:rsidRDefault="00872C03" w:rsidP="00872C03">
      <w:pPr>
        <w:pStyle w:val="subsection"/>
        <w:rPr>
          <w:sz w:val="24"/>
        </w:rPr>
      </w:pPr>
      <w:r w:rsidRPr="00883399">
        <w:rPr>
          <w:sz w:val="24"/>
        </w:rPr>
        <w:tab/>
      </w:r>
      <w:r w:rsidRPr="00883399">
        <w:rPr>
          <w:sz w:val="24"/>
        </w:rPr>
        <w:tab/>
        <w:t>This Part sets out how to determine the amount of each fuel type (</w:t>
      </w:r>
      <w:r w:rsidRPr="00883399">
        <w:rPr>
          <w:b/>
          <w:i/>
          <w:sz w:val="24"/>
        </w:rPr>
        <w:t>i</w:t>
      </w:r>
      <w:r w:rsidRPr="00883399">
        <w:rPr>
          <w:sz w:val="24"/>
        </w:rPr>
        <w:t>) that is in a blended fuel if that blended fuel is a solid fuel or a liquid fuel.</w:t>
      </w:r>
    </w:p>
    <w:p w14:paraId="6CCD42C4" w14:textId="1FE0099C" w:rsidR="00872C03" w:rsidRPr="00883399" w:rsidRDefault="00872C03" w:rsidP="00872C03">
      <w:pPr>
        <w:pStyle w:val="ActHead5"/>
        <w:rPr>
          <w:sz w:val="28"/>
        </w:rPr>
      </w:pPr>
      <w:bookmarkStart w:id="383" w:name="_Toc423516839"/>
      <w:bookmarkStart w:id="384" w:name="_Toc495652757"/>
      <w:r w:rsidRPr="00883399">
        <w:rPr>
          <w:rStyle w:val="CharSectno"/>
          <w:sz w:val="28"/>
        </w:rPr>
        <w:t>2.66</w:t>
      </w:r>
      <w:r w:rsidRPr="00883399">
        <w:rPr>
          <w:sz w:val="28"/>
        </w:rPr>
        <w:t xml:space="preserve">  Blended solid fuels</w:t>
      </w:r>
      <w:bookmarkEnd w:id="383"/>
      <w:bookmarkEnd w:id="384"/>
    </w:p>
    <w:p w14:paraId="19873D63" w14:textId="77777777" w:rsidR="00872C03" w:rsidRPr="00883399" w:rsidRDefault="00872C03" w:rsidP="00872C03">
      <w:pPr>
        <w:pStyle w:val="subsection"/>
        <w:rPr>
          <w:sz w:val="24"/>
        </w:rPr>
      </w:pPr>
      <w:r w:rsidRPr="00883399">
        <w:rPr>
          <w:sz w:val="24"/>
        </w:rPr>
        <w:tab/>
        <w:t>(1)</w:t>
      </w:r>
      <w:r w:rsidRPr="00883399">
        <w:rPr>
          <w:sz w:val="24"/>
        </w:rPr>
        <w:tab/>
        <w:t>In determining the amounts of each kind of fuel that is in a blended solid fuel, a person may adopt the outcome of the sampling and analysis done by the manufacturer of the fuel if:</w:t>
      </w:r>
    </w:p>
    <w:p w14:paraId="744AACE5" w14:textId="77777777" w:rsidR="00872C03" w:rsidRPr="00883399" w:rsidRDefault="00872C03" w:rsidP="00872C03">
      <w:pPr>
        <w:pStyle w:val="paragraph"/>
        <w:rPr>
          <w:sz w:val="24"/>
        </w:rPr>
      </w:pPr>
      <w:r w:rsidRPr="00883399">
        <w:rPr>
          <w:sz w:val="24"/>
        </w:rPr>
        <w:tab/>
        <w:t>(a)</w:t>
      </w:r>
      <w:r w:rsidRPr="00883399">
        <w:rPr>
          <w:sz w:val="24"/>
        </w:rPr>
        <w:tab/>
        <w:t>the sampling has been done in accordance with subsections 2.12(3) and (4); and</w:t>
      </w:r>
    </w:p>
    <w:p w14:paraId="6FD7B44A" w14:textId="77777777" w:rsidR="00872C03" w:rsidRPr="00883399" w:rsidRDefault="00872C03" w:rsidP="00872C03">
      <w:pPr>
        <w:pStyle w:val="paragraph"/>
        <w:rPr>
          <w:sz w:val="24"/>
        </w:rPr>
      </w:pPr>
      <w:r w:rsidRPr="00883399">
        <w:rPr>
          <w:sz w:val="24"/>
        </w:rPr>
        <w:tab/>
        <w:t>(b)</w:t>
      </w:r>
      <w:r w:rsidRPr="00883399">
        <w:rPr>
          <w:sz w:val="24"/>
        </w:rPr>
        <w:tab/>
        <w:t>the analysis has been done in accordance with one of the following standards or a standard that is equivalent to one of those standards:</w:t>
      </w:r>
    </w:p>
    <w:p w14:paraId="412C78B0" w14:textId="77777777" w:rsidR="00872C03" w:rsidRPr="00883399" w:rsidRDefault="00872C03" w:rsidP="00872C03">
      <w:pPr>
        <w:pStyle w:val="paragraphsub"/>
        <w:rPr>
          <w:sz w:val="24"/>
        </w:rPr>
      </w:pPr>
      <w:r w:rsidRPr="00883399">
        <w:rPr>
          <w:sz w:val="24"/>
        </w:rPr>
        <w:tab/>
        <w:t>(i)</w:t>
      </w:r>
      <w:r w:rsidRPr="00883399">
        <w:rPr>
          <w:sz w:val="24"/>
        </w:rPr>
        <w:tab/>
        <w:t>CEN/TS15440:2006;</w:t>
      </w:r>
    </w:p>
    <w:p w14:paraId="621ED0E0" w14:textId="77777777" w:rsidR="00872C03" w:rsidRPr="00883399" w:rsidRDefault="00872C03" w:rsidP="00872C03">
      <w:pPr>
        <w:pStyle w:val="paragraphsub"/>
        <w:rPr>
          <w:sz w:val="24"/>
        </w:rPr>
      </w:pPr>
      <w:r w:rsidRPr="00883399">
        <w:rPr>
          <w:sz w:val="24"/>
        </w:rPr>
        <w:tab/>
        <w:t>(ii)</w:t>
      </w:r>
      <w:r w:rsidRPr="00883399">
        <w:rPr>
          <w:sz w:val="24"/>
        </w:rPr>
        <w:tab/>
        <w:t>ASTM D6866—10.</w:t>
      </w:r>
    </w:p>
    <w:p w14:paraId="53401284" w14:textId="77777777" w:rsidR="00872C03" w:rsidRPr="00883399" w:rsidRDefault="00872C03" w:rsidP="00872C03">
      <w:pPr>
        <w:pStyle w:val="subsection"/>
        <w:rPr>
          <w:sz w:val="24"/>
        </w:rPr>
      </w:pPr>
      <w:r w:rsidRPr="00883399">
        <w:rPr>
          <w:sz w:val="24"/>
        </w:rPr>
        <w:tab/>
        <w:t>(2)</w:t>
      </w:r>
      <w:r w:rsidRPr="00883399">
        <w:rPr>
          <w:sz w:val="24"/>
        </w:rPr>
        <w:tab/>
        <w:t>The person may use his or her own sampling and analysis of the fuel if the sampling and analysis complies with the requirements of paragraphs (1)(a) and (b).</w:t>
      </w:r>
    </w:p>
    <w:p w14:paraId="5C13366E" w14:textId="7556148A" w:rsidR="00872C03" w:rsidRPr="00883399" w:rsidRDefault="00872C03" w:rsidP="00872C03">
      <w:pPr>
        <w:pStyle w:val="ActHead5"/>
        <w:rPr>
          <w:sz w:val="28"/>
        </w:rPr>
      </w:pPr>
      <w:bookmarkStart w:id="385" w:name="_Toc423516840"/>
      <w:bookmarkStart w:id="386" w:name="_Toc495652758"/>
      <w:r w:rsidRPr="00883399">
        <w:rPr>
          <w:rStyle w:val="CharSectno"/>
          <w:sz w:val="28"/>
        </w:rPr>
        <w:t>2.67</w:t>
      </w:r>
      <w:r w:rsidRPr="00883399">
        <w:rPr>
          <w:sz w:val="28"/>
        </w:rPr>
        <w:t xml:space="preserve">  Blended liquid fuels</w:t>
      </w:r>
      <w:bookmarkEnd w:id="385"/>
      <w:bookmarkEnd w:id="386"/>
    </w:p>
    <w:p w14:paraId="681C0A0D" w14:textId="77777777" w:rsidR="00872C03" w:rsidRPr="00883399" w:rsidRDefault="00872C03" w:rsidP="00872C03">
      <w:pPr>
        <w:pStyle w:val="subsection"/>
        <w:rPr>
          <w:sz w:val="24"/>
        </w:rPr>
      </w:pPr>
      <w:r w:rsidRPr="00883399">
        <w:rPr>
          <w:sz w:val="24"/>
        </w:rPr>
        <w:tab/>
      </w:r>
      <w:r w:rsidRPr="00883399">
        <w:rPr>
          <w:sz w:val="24"/>
        </w:rPr>
        <w:tab/>
        <w:t>The person may adopt the manufacturer’s determination of each kind of fuel that is in a blended liquid fuel or adopt the analysis arrived at after doing both of the following:</w:t>
      </w:r>
    </w:p>
    <w:p w14:paraId="16BA8ABD" w14:textId="77777777" w:rsidR="00872C03" w:rsidRPr="00883399" w:rsidRDefault="00872C03" w:rsidP="00872C03">
      <w:pPr>
        <w:pStyle w:val="paragraph"/>
        <w:rPr>
          <w:sz w:val="24"/>
        </w:rPr>
      </w:pPr>
      <w:r w:rsidRPr="00883399">
        <w:rPr>
          <w:sz w:val="24"/>
        </w:rPr>
        <w:tab/>
        <w:t>(a)</w:t>
      </w:r>
      <w:r w:rsidRPr="00883399">
        <w:rPr>
          <w:sz w:val="24"/>
        </w:rPr>
        <w:tab/>
        <w:t>sampling the fuel in accordance with a standard mentioned in subsections 2.47(3) and (4);</w:t>
      </w:r>
    </w:p>
    <w:p w14:paraId="0D692B5C" w14:textId="77777777" w:rsidR="00872C03" w:rsidRPr="00883399" w:rsidRDefault="00872C03" w:rsidP="00872C03">
      <w:pPr>
        <w:pStyle w:val="paragraph"/>
        <w:rPr>
          <w:sz w:val="24"/>
        </w:rPr>
      </w:pPr>
      <w:r w:rsidRPr="00883399">
        <w:rPr>
          <w:sz w:val="24"/>
        </w:rPr>
        <w:tab/>
        <w:t>(b)</w:t>
      </w:r>
      <w:r w:rsidRPr="00883399">
        <w:rPr>
          <w:sz w:val="24"/>
        </w:rPr>
        <w:tab/>
        <w:t>analysing the fuel in accordance with ASTM: D6866—10 or a standard that is equivalent to that standard.</w:t>
      </w:r>
    </w:p>
    <w:p w14:paraId="16B132D4" w14:textId="77777777" w:rsidR="00872C03" w:rsidRPr="00883399" w:rsidRDefault="00872C03" w:rsidP="00872C03">
      <w:pPr>
        <w:pStyle w:val="paragraph"/>
        <w:rPr>
          <w:sz w:val="24"/>
        </w:rPr>
      </w:pPr>
    </w:p>
    <w:p w14:paraId="26F7B0A8" w14:textId="77777777" w:rsidR="00872C03" w:rsidRPr="00883399" w:rsidRDefault="00872C03" w:rsidP="00872C03">
      <w:pPr>
        <w:spacing w:before="240" w:line="312" w:lineRule="auto"/>
        <w:rPr>
          <w:rFonts w:ascii="Arial" w:hAnsi="Arial" w:cs="Arial"/>
          <w:sz w:val="22"/>
          <w:szCs w:val="22"/>
        </w:rPr>
      </w:pPr>
      <w:r w:rsidRPr="00883399">
        <w:rPr>
          <w:rFonts w:ascii="Arial" w:hAnsi="Arial" w:cs="Arial"/>
          <w:sz w:val="22"/>
          <w:szCs w:val="22"/>
        </w:rPr>
        <w:t>These standards include the following approaches to quantification:</w:t>
      </w:r>
    </w:p>
    <w:p w14:paraId="0740D502" w14:textId="77777777" w:rsidR="00872C03" w:rsidRPr="00883399" w:rsidRDefault="00872C03" w:rsidP="00872C03">
      <w:pPr>
        <w:spacing w:before="240" w:line="312" w:lineRule="auto"/>
        <w:rPr>
          <w:rFonts w:ascii="Arial" w:hAnsi="Arial" w:cs="Arial"/>
          <w:i/>
          <w:sz w:val="22"/>
          <w:szCs w:val="22"/>
        </w:rPr>
      </w:pPr>
      <w:r w:rsidRPr="00883399">
        <w:rPr>
          <w:rFonts w:ascii="Arial" w:hAnsi="Arial" w:cs="Arial"/>
          <w:i/>
          <w:sz w:val="22"/>
          <w:szCs w:val="22"/>
        </w:rPr>
        <w:t>Manual sorting (CEN/TS 15440:2006)</w:t>
      </w:r>
    </w:p>
    <w:p w14:paraId="5D385523" w14:textId="77777777" w:rsidR="00872C03" w:rsidRPr="00883399" w:rsidRDefault="00872C03" w:rsidP="00872C03">
      <w:pPr>
        <w:spacing w:before="240" w:line="312" w:lineRule="auto"/>
        <w:rPr>
          <w:rFonts w:ascii="Arial" w:hAnsi="Arial" w:cs="Arial"/>
          <w:sz w:val="22"/>
          <w:szCs w:val="22"/>
        </w:rPr>
      </w:pPr>
      <w:r w:rsidRPr="00883399">
        <w:rPr>
          <w:rFonts w:ascii="Arial" w:hAnsi="Arial" w:cs="Arial"/>
          <w:sz w:val="22"/>
          <w:szCs w:val="22"/>
        </w:rPr>
        <w:lastRenderedPageBreak/>
        <w:t>The manual sorting technique involves a sample of the solid blended fuel being sorted by hand into sub-fractions of biomass and non-biomass matter.</w:t>
      </w:r>
    </w:p>
    <w:p w14:paraId="55270E62" w14:textId="77777777" w:rsidR="00872C03" w:rsidRPr="00883399" w:rsidRDefault="00872C03" w:rsidP="00872C03">
      <w:pPr>
        <w:spacing w:before="240" w:line="312" w:lineRule="auto"/>
        <w:rPr>
          <w:rFonts w:ascii="Arial" w:hAnsi="Arial" w:cs="Arial"/>
          <w:sz w:val="22"/>
          <w:szCs w:val="22"/>
        </w:rPr>
      </w:pPr>
      <w:r w:rsidRPr="00883399">
        <w:rPr>
          <w:rFonts w:ascii="Arial" w:hAnsi="Arial" w:cs="Arial"/>
          <w:sz w:val="22"/>
          <w:szCs w:val="22"/>
        </w:rPr>
        <w:t>This procedure however is limited to fuels with a minimum particle size greater than 1 cm and only applies to blends of solid fuels.</w:t>
      </w:r>
    </w:p>
    <w:p w14:paraId="565FAA4E" w14:textId="77777777" w:rsidR="00872C03" w:rsidRPr="00883399" w:rsidRDefault="00872C03" w:rsidP="00872C03">
      <w:pPr>
        <w:spacing w:before="240" w:line="312" w:lineRule="auto"/>
        <w:rPr>
          <w:rFonts w:ascii="Arial" w:hAnsi="Arial" w:cs="Arial"/>
          <w:i/>
          <w:sz w:val="22"/>
          <w:szCs w:val="22"/>
        </w:rPr>
      </w:pPr>
      <w:r w:rsidRPr="00883399">
        <w:rPr>
          <w:rFonts w:ascii="Arial" w:hAnsi="Arial" w:cs="Arial"/>
          <w:i/>
          <w:sz w:val="22"/>
          <w:szCs w:val="22"/>
        </w:rPr>
        <w:t>Selective dissolution (CEN/TS 15440:2006)</w:t>
      </w:r>
    </w:p>
    <w:p w14:paraId="2F1550F9" w14:textId="77777777" w:rsidR="00872C03" w:rsidRPr="00883399" w:rsidRDefault="00872C03" w:rsidP="00872C03">
      <w:pPr>
        <w:spacing w:before="240" w:line="312" w:lineRule="auto"/>
        <w:rPr>
          <w:rFonts w:ascii="Arial" w:hAnsi="Arial" w:cs="Arial"/>
          <w:sz w:val="22"/>
          <w:szCs w:val="22"/>
        </w:rPr>
      </w:pPr>
      <w:r w:rsidRPr="00883399">
        <w:rPr>
          <w:rFonts w:ascii="Arial" w:hAnsi="Arial" w:cs="Arial"/>
          <w:sz w:val="22"/>
          <w:szCs w:val="22"/>
        </w:rPr>
        <w:t>The selective dissolution method for the determination of the biomass content involves the treatment of a sample of blended solid fuel with concentrated sulphuric acid topped with hydrogen peroxide. The biomass in the solid recovered fuel will selectively dissolve and the non-biomass will remain in the residue.</w:t>
      </w:r>
    </w:p>
    <w:p w14:paraId="5FD023BE" w14:textId="77777777" w:rsidR="00872C03" w:rsidRPr="00883399" w:rsidRDefault="00872C03" w:rsidP="00872C03">
      <w:pPr>
        <w:spacing w:before="240" w:line="312" w:lineRule="auto"/>
        <w:rPr>
          <w:rFonts w:ascii="Arial" w:hAnsi="Arial" w:cs="Arial"/>
          <w:sz w:val="22"/>
          <w:szCs w:val="22"/>
        </w:rPr>
      </w:pPr>
      <w:r w:rsidRPr="00883399">
        <w:rPr>
          <w:rFonts w:ascii="Arial" w:hAnsi="Arial" w:cs="Arial"/>
          <w:sz w:val="22"/>
          <w:szCs w:val="22"/>
        </w:rPr>
        <w:t>This technique is not applicable to the following blended fuels:</w:t>
      </w:r>
    </w:p>
    <w:p w14:paraId="4EF80E35" w14:textId="77777777" w:rsidR="00872C03" w:rsidRPr="00883399" w:rsidRDefault="00872C03" w:rsidP="00C64E6B">
      <w:pPr>
        <w:numPr>
          <w:ilvl w:val="0"/>
          <w:numId w:val="22"/>
        </w:numPr>
        <w:spacing w:before="240" w:line="240" w:lineRule="auto"/>
        <w:rPr>
          <w:rFonts w:ascii="Arial" w:hAnsi="Arial" w:cs="Arial"/>
          <w:sz w:val="22"/>
          <w:szCs w:val="22"/>
        </w:rPr>
      </w:pPr>
      <w:r w:rsidRPr="00883399">
        <w:rPr>
          <w:rFonts w:ascii="Arial" w:hAnsi="Arial" w:cs="Arial"/>
          <w:sz w:val="22"/>
          <w:szCs w:val="22"/>
        </w:rPr>
        <w:t>charcoal, peat and solid fossil fuels like hard coal, coke, brown coal and lignite and to mixtures of these and solid recovered fuels;</w:t>
      </w:r>
    </w:p>
    <w:p w14:paraId="1D45ED75" w14:textId="77777777" w:rsidR="00872C03" w:rsidRPr="00883399" w:rsidRDefault="00872C03" w:rsidP="00C64E6B">
      <w:pPr>
        <w:numPr>
          <w:ilvl w:val="0"/>
          <w:numId w:val="23"/>
        </w:numPr>
        <w:spacing w:before="240" w:line="240" w:lineRule="auto"/>
        <w:rPr>
          <w:rFonts w:ascii="Arial" w:hAnsi="Arial" w:cs="Arial"/>
          <w:sz w:val="22"/>
          <w:szCs w:val="22"/>
        </w:rPr>
      </w:pPr>
      <w:r w:rsidRPr="00883399">
        <w:rPr>
          <w:rFonts w:ascii="Arial" w:hAnsi="Arial" w:cs="Arial"/>
          <w:sz w:val="22"/>
          <w:szCs w:val="22"/>
        </w:rPr>
        <w:t>solid recovered fuels that contain more than 10 % of natural and/or synthetic rubber residues;</w:t>
      </w:r>
    </w:p>
    <w:p w14:paraId="1EB3720E" w14:textId="77777777" w:rsidR="00872C03" w:rsidRPr="00883399" w:rsidRDefault="00872C03" w:rsidP="00C64E6B">
      <w:pPr>
        <w:numPr>
          <w:ilvl w:val="0"/>
          <w:numId w:val="24"/>
        </w:numPr>
        <w:spacing w:before="240" w:line="240" w:lineRule="auto"/>
        <w:rPr>
          <w:rFonts w:ascii="Arial" w:hAnsi="Arial" w:cs="Arial"/>
          <w:sz w:val="22"/>
          <w:szCs w:val="22"/>
        </w:rPr>
      </w:pPr>
      <w:r w:rsidRPr="00883399">
        <w:rPr>
          <w:rFonts w:ascii="Arial" w:hAnsi="Arial" w:cs="Arial"/>
          <w:sz w:val="22"/>
          <w:szCs w:val="22"/>
        </w:rPr>
        <w:t>solid recovered fuels that contain a combination of more than 5 % by weight of:</w:t>
      </w:r>
    </w:p>
    <w:p w14:paraId="652B40AD" w14:textId="77777777" w:rsidR="00872C03" w:rsidRPr="00883399" w:rsidRDefault="00872C03" w:rsidP="00C64E6B">
      <w:pPr>
        <w:numPr>
          <w:ilvl w:val="0"/>
          <w:numId w:val="26"/>
        </w:numPr>
        <w:spacing w:before="240" w:line="240" w:lineRule="auto"/>
        <w:rPr>
          <w:rFonts w:ascii="Arial" w:hAnsi="Arial" w:cs="Arial"/>
          <w:sz w:val="22"/>
          <w:szCs w:val="22"/>
        </w:rPr>
      </w:pPr>
      <w:r w:rsidRPr="00883399">
        <w:rPr>
          <w:rFonts w:ascii="Arial" w:hAnsi="Arial" w:cs="Arial"/>
          <w:sz w:val="22"/>
          <w:szCs w:val="22"/>
        </w:rPr>
        <w:t>nylon, polyurethane or other polymers containing molecular amino groups;</w:t>
      </w:r>
    </w:p>
    <w:p w14:paraId="475D1286" w14:textId="77777777" w:rsidR="00872C03" w:rsidRPr="00883399" w:rsidRDefault="00872C03" w:rsidP="00C64E6B">
      <w:pPr>
        <w:numPr>
          <w:ilvl w:val="0"/>
          <w:numId w:val="26"/>
        </w:numPr>
        <w:spacing w:before="240" w:line="240" w:lineRule="auto"/>
        <w:rPr>
          <w:rFonts w:ascii="Arial" w:hAnsi="Arial" w:cs="Arial"/>
          <w:sz w:val="22"/>
          <w:szCs w:val="22"/>
        </w:rPr>
      </w:pPr>
      <w:r w:rsidRPr="00883399">
        <w:rPr>
          <w:rFonts w:ascii="Arial" w:hAnsi="Arial" w:cs="Arial"/>
          <w:sz w:val="22"/>
          <w:szCs w:val="22"/>
        </w:rPr>
        <w:t>biodegradable plastics of fossil origin;</w:t>
      </w:r>
    </w:p>
    <w:p w14:paraId="589C8B2D" w14:textId="77777777" w:rsidR="00872C03" w:rsidRPr="00883399" w:rsidRDefault="00872C03" w:rsidP="00C64E6B">
      <w:pPr>
        <w:numPr>
          <w:ilvl w:val="0"/>
          <w:numId w:val="25"/>
        </w:numPr>
        <w:spacing w:before="240" w:line="240" w:lineRule="auto"/>
        <w:rPr>
          <w:rFonts w:ascii="Arial" w:hAnsi="Arial" w:cs="Arial"/>
          <w:sz w:val="22"/>
          <w:szCs w:val="22"/>
        </w:rPr>
      </w:pPr>
      <w:r w:rsidRPr="00883399">
        <w:rPr>
          <w:rFonts w:ascii="Arial" w:hAnsi="Arial" w:cs="Arial"/>
          <w:sz w:val="22"/>
          <w:szCs w:val="22"/>
        </w:rPr>
        <w:t>solid recovered fuels that contain a combination of more than 5 % by weight of:</w:t>
      </w:r>
    </w:p>
    <w:p w14:paraId="089417CA" w14:textId="77777777" w:rsidR="00872C03" w:rsidRPr="00883399" w:rsidRDefault="00872C03" w:rsidP="00C64E6B">
      <w:pPr>
        <w:numPr>
          <w:ilvl w:val="0"/>
          <w:numId w:val="27"/>
        </w:numPr>
        <w:spacing w:before="240" w:line="240" w:lineRule="auto"/>
        <w:rPr>
          <w:rFonts w:ascii="Arial" w:hAnsi="Arial" w:cs="Arial"/>
          <w:sz w:val="22"/>
          <w:szCs w:val="22"/>
        </w:rPr>
      </w:pPr>
      <w:r w:rsidRPr="00883399">
        <w:rPr>
          <w:rFonts w:ascii="Arial" w:hAnsi="Arial" w:cs="Arial"/>
          <w:sz w:val="22"/>
          <w:szCs w:val="22"/>
        </w:rPr>
        <w:t>wool or viscose;</w:t>
      </w:r>
    </w:p>
    <w:p w14:paraId="34615D13" w14:textId="77777777" w:rsidR="00872C03" w:rsidRPr="00883399" w:rsidRDefault="00872C03" w:rsidP="00C64E6B">
      <w:pPr>
        <w:numPr>
          <w:ilvl w:val="0"/>
          <w:numId w:val="27"/>
        </w:numPr>
        <w:spacing w:before="240" w:line="240" w:lineRule="auto"/>
        <w:rPr>
          <w:rFonts w:ascii="Arial" w:hAnsi="Arial" w:cs="Arial"/>
          <w:sz w:val="22"/>
          <w:szCs w:val="22"/>
        </w:rPr>
      </w:pPr>
      <w:r w:rsidRPr="00883399">
        <w:rPr>
          <w:rFonts w:ascii="Arial" w:hAnsi="Arial" w:cs="Arial"/>
          <w:sz w:val="22"/>
          <w:szCs w:val="22"/>
        </w:rPr>
        <w:t>non-biodegradable plastics of biogenic origin;</w:t>
      </w:r>
    </w:p>
    <w:p w14:paraId="163C80B1" w14:textId="77777777" w:rsidR="00872C03" w:rsidRPr="00883399" w:rsidRDefault="00872C03" w:rsidP="00C64E6B">
      <w:pPr>
        <w:numPr>
          <w:ilvl w:val="0"/>
          <w:numId w:val="27"/>
        </w:numPr>
        <w:spacing w:before="240" w:line="240" w:lineRule="auto"/>
        <w:rPr>
          <w:rFonts w:ascii="Arial" w:hAnsi="Arial" w:cs="Arial"/>
          <w:sz w:val="22"/>
          <w:szCs w:val="22"/>
        </w:rPr>
      </w:pPr>
      <w:r w:rsidRPr="00883399">
        <w:rPr>
          <w:rFonts w:ascii="Arial" w:hAnsi="Arial" w:cs="Arial"/>
          <w:sz w:val="22"/>
          <w:szCs w:val="22"/>
        </w:rPr>
        <w:t>oil or fat present as a constituent of biomass.</w:t>
      </w:r>
    </w:p>
    <w:p w14:paraId="2A21B129" w14:textId="77777777" w:rsidR="00872C03" w:rsidRPr="00883399" w:rsidRDefault="00872C03" w:rsidP="00872C03">
      <w:pPr>
        <w:spacing w:before="240" w:line="312" w:lineRule="auto"/>
        <w:outlineLvl w:val="0"/>
        <w:rPr>
          <w:rFonts w:ascii="Arial" w:hAnsi="Arial" w:cs="Arial"/>
          <w:sz w:val="22"/>
          <w:szCs w:val="22"/>
        </w:rPr>
      </w:pPr>
      <w:r w:rsidRPr="00883399">
        <w:rPr>
          <w:rFonts w:ascii="Arial" w:hAnsi="Arial" w:cs="Arial"/>
          <w:i/>
          <w:sz w:val="22"/>
          <w:szCs w:val="22"/>
        </w:rPr>
        <w:t>Radiocarbon Analysis</w:t>
      </w:r>
    </w:p>
    <w:p w14:paraId="699647D6" w14:textId="77777777" w:rsidR="00872C03" w:rsidRPr="00883399" w:rsidRDefault="00872C03" w:rsidP="00872C03">
      <w:pPr>
        <w:spacing w:before="240" w:line="312" w:lineRule="auto"/>
        <w:rPr>
          <w:rFonts w:ascii="Arial" w:hAnsi="Arial" w:cs="Arial"/>
          <w:sz w:val="22"/>
          <w:szCs w:val="22"/>
        </w:rPr>
      </w:pPr>
      <w:r w:rsidRPr="00883399">
        <w:rPr>
          <w:rFonts w:ascii="Arial" w:hAnsi="Arial" w:cs="Arial"/>
          <w:sz w:val="22"/>
          <w:szCs w:val="22"/>
        </w:rPr>
        <w:t>The ASTM D 6866-08 standard also provides for a radiocarbon analysis method. The standard describes techniques for determining the biogenic content of solid, liquid and gaseous samples using radiocarbon analysis. The basic premise is that Carbon-14 (</w:t>
      </w:r>
      <w:r w:rsidRPr="00883399">
        <w:rPr>
          <w:rFonts w:ascii="Arial" w:hAnsi="Arial" w:cs="Arial"/>
          <w:sz w:val="22"/>
          <w:szCs w:val="22"/>
          <w:vertAlign w:val="superscript"/>
        </w:rPr>
        <w:t>14</w:t>
      </w:r>
      <w:r w:rsidRPr="00883399">
        <w:rPr>
          <w:rFonts w:ascii="Arial" w:hAnsi="Arial" w:cs="Arial"/>
          <w:sz w:val="22"/>
          <w:szCs w:val="22"/>
        </w:rPr>
        <w:t xml:space="preserve">C), a radioactive isotope of carbon, has a half life of 5,730 years once it is no longer part of a living organism. This means that no </w:t>
      </w:r>
      <w:r w:rsidRPr="00883399">
        <w:rPr>
          <w:rFonts w:ascii="Arial" w:hAnsi="Arial" w:cs="Arial"/>
          <w:sz w:val="22"/>
          <w:szCs w:val="22"/>
          <w:vertAlign w:val="superscript"/>
        </w:rPr>
        <w:t>14</w:t>
      </w:r>
      <w:r w:rsidRPr="00883399">
        <w:rPr>
          <w:rFonts w:ascii="Arial" w:hAnsi="Arial" w:cs="Arial"/>
          <w:sz w:val="22"/>
          <w:szCs w:val="22"/>
        </w:rPr>
        <w:t xml:space="preserve">C will remain in fossil fuels because it has completely decayed, whereas in recent biomass, such as wood, a portion of </w:t>
      </w:r>
      <w:r w:rsidRPr="00883399">
        <w:rPr>
          <w:rFonts w:ascii="Arial" w:hAnsi="Arial" w:cs="Arial"/>
          <w:sz w:val="22"/>
          <w:szCs w:val="22"/>
          <w:vertAlign w:val="superscript"/>
        </w:rPr>
        <w:t>14</w:t>
      </w:r>
      <w:r w:rsidRPr="00883399">
        <w:rPr>
          <w:rFonts w:ascii="Arial" w:hAnsi="Arial" w:cs="Arial"/>
          <w:sz w:val="22"/>
          <w:szCs w:val="22"/>
        </w:rPr>
        <w:t xml:space="preserve">C still remains. </w:t>
      </w:r>
    </w:p>
    <w:p w14:paraId="454EC3B2" w14:textId="77777777" w:rsidR="00872C03" w:rsidRPr="00883399" w:rsidRDefault="00872C03" w:rsidP="00872C03">
      <w:pPr>
        <w:spacing w:before="240" w:line="312" w:lineRule="auto"/>
        <w:rPr>
          <w:rFonts w:ascii="Arial" w:hAnsi="Arial" w:cs="Arial"/>
          <w:sz w:val="22"/>
          <w:szCs w:val="22"/>
        </w:rPr>
      </w:pPr>
      <w:r w:rsidRPr="00883399">
        <w:rPr>
          <w:rFonts w:ascii="Arial" w:hAnsi="Arial" w:cs="Arial"/>
          <w:sz w:val="22"/>
          <w:szCs w:val="22"/>
        </w:rPr>
        <w:lastRenderedPageBreak/>
        <w:t>In effect, it is argued that biogenic matter contains a well characterized amount of carbon-14 that is easily distinguished from other materials such as fossil fuels that do not contain any carbon-14.  Since the amount of carbon-14 in biomass is well known, a percentage of biogenic carbon can be calculated easily from the overall carbon atoms in the sample.</w:t>
      </w:r>
    </w:p>
    <w:p w14:paraId="79B64D2A" w14:textId="77777777" w:rsidR="00872C03" w:rsidRPr="00883399" w:rsidRDefault="00872C03" w:rsidP="00872C03">
      <w:pPr>
        <w:spacing w:before="240" w:line="312" w:lineRule="auto"/>
        <w:rPr>
          <w:rFonts w:ascii="Arial" w:hAnsi="Arial" w:cs="Arial"/>
          <w:sz w:val="22"/>
          <w:szCs w:val="22"/>
        </w:rPr>
      </w:pPr>
      <w:r w:rsidRPr="00883399">
        <w:rPr>
          <w:rFonts w:ascii="Arial" w:hAnsi="Arial" w:cs="Arial"/>
          <w:sz w:val="22"/>
          <w:szCs w:val="22"/>
        </w:rPr>
        <w:t>This technique may be applied to any type of blended fuel including gaseous, liquid and solid fuels. The technique may be used to analyse the fuels directly or can be used to analyse the combustion gases once the fuel has being burned. The latter technique may be useful where direct emissions monitoring systems are already in place to measure CO</w:t>
      </w:r>
      <w:r w:rsidRPr="00883399">
        <w:rPr>
          <w:rFonts w:ascii="Arial" w:hAnsi="Arial" w:cs="Arial"/>
          <w:sz w:val="22"/>
          <w:szCs w:val="22"/>
          <w:vertAlign w:val="subscript"/>
        </w:rPr>
        <w:t>2</w:t>
      </w:r>
      <w:r w:rsidRPr="00883399">
        <w:rPr>
          <w:rFonts w:ascii="Arial" w:hAnsi="Arial" w:cs="Arial"/>
          <w:sz w:val="22"/>
          <w:szCs w:val="22"/>
        </w:rPr>
        <w:t xml:space="preserve"> emissions and where sampling fuels can be difficult.</w:t>
      </w:r>
    </w:p>
    <w:p w14:paraId="61BB4BBA" w14:textId="77777777" w:rsidR="00872C03" w:rsidRPr="00883399" w:rsidRDefault="00872C03" w:rsidP="00872C03">
      <w:pPr>
        <w:pStyle w:val="paragraph"/>
        <w:rPr>
          <w:sz w:val="24"/>
        </w:rPr>
      </w:pPr>
    </w:p>
    <w:p w14:paraId="695507FE" w14:textId="1713B7C6" w:rsidR="00872C03" w:rsidRPr="00883399" w:rsidRDefault="00872C03" w:rsidP="00872C03">
      <w:pPr>
        <w:pStyle w:val="ActHead2"/>
        <w:pageBreakBefore/>
        <w:rPr>
          <w:sz w:val="36"/>
        </w:rPr>
      </w:pPr>
      <w:bookmarkStart w:id="387" w:name="_Toc423516841"/>
      <w:bookmarkStart w:id="388" w:name="_Toc495652759"/>
      <w:r w:rsidRPr="00883399">
        <w:rPr>
          <w:rStyle w:val="CharPartNo"/>
          <w:sz w:val="36"/>
        </w:rPr>
        <w:lastRenderedPageBreak/>
        <w:t>Part 2.7</w:t>
      </w:r>
      <w:r w:rsidRPr="00883399">
        <w:rPr>
          <w:sz w:val="36"/>
        </w:rPr>
        <w:t>—</w:t>
      </w:r>
      <w:r w:rsidRPr="00883399">
        <w:rPr>
          <w:rStyle w:val="CharPartText"/>
          <w:sz w:val="36"/>
        </w:rPr>
        <w:t>Estimation of energy for certain purposes</w:t>
      </w:r>
      <w:bookmarkEnd w:id="387"/>
      <w:bookmarkEnd w:id="388"/>
    </w:p>
    <w:p w14:paraId="7E208AEA" w14:textId="77777777" w:rsidR="00872C03" w:rsidRPr="00883399" w:rsidRDefault="00872C03" w:rsidP="00872C03">
      <w:pPr>
        <w:pStyle w:val="Header"/>
        <w:rPr>
          <w:sz w:val="18"/>
        </w:rPr>
      </w:pPr>
      <w:r w:rsidRPr="00883399">
        <w:rPr>
          <w:rStyle w:val="CharDivNo"/>
          <w:sz w:val="18"/>
        </w:rPr>
        <w:t xml:space="preserve"> </w:t>
      </w:r>
      <w:r w:rsidRPr="00883399">
        <w:rPr>
          <w:rStyle w:val="CharDivText"/>
          <w:sz w:val="18"/>
        </w:rPr>
        <w:t xml:space="preserve"> </w:t>
      </w:r>
    </w:p>
    <w:p w14:paraId="417E2593" w14:textId="3A1D4F17" w:rsidR="00872C03" w:rsidRPr="00883399" w:rsidRDefault="00872C03" w:rsidP="00872C03">
      <w:pPr>
        <w:pStyle w:val="ActHead5"/>
        <w:rPr>
          <w:sz w:val="28"/>
        </w:rPr>
      </w:pPr>
      <w:bookmarkStart w:id="389" w:name="_Toc423516842"/>
      <w:bookmarkStart w:id="390" w:name="_Toc495652760"/>
      <w:r w:rsidRPr="00883399">
        <w:rPr>
          <w:rStyle w:val="CharSectno"/>
          <w:sz w:val="28"/>
        </w:rPr>
        <w:t>2.68</w:t>
      </w:r>
      <w:r w:rsidRPr="00883399">
        <w:rPr>
          <w:sz w:val="28"/>
        </w:rPr>
        <w:t xml:space="preserve">  Amount of energy consumed without combustion</w:t>
      </w:r>
      <w:bookmarkEnd w:id="389"/>
      <w:bookmarkEnd w:id="390"/>
    </w:p>
    <w:p w14:paraId="1F7447E7" w14:textId="77777777" w:rsidR="00872C03" w:rsidRPr="00883399" w:rsidRDefault="00872C03" w:rsidP="00872C03">
      <w:pPr>
        <w:pStyle w:val="subsection"/>
        <w:rPr>
          <w:sz w:val="24"/>
        </w:rPr>
      </w:pPr>
      <w:r w:rsidRPr="00883399">
        <w:rPr>
          <w:sz w:val="24"/>
        </w:rPr>
        <w:tab/>
      </w:r>
      <w:r w:rsidRPr="00883399">
        <w:rPr>
          <w:sz w:val="24"/>
        </w:rPr>
        <w:tab/>
        <w:t>For paragraph 4.22(1)(b) of the Regulations:</w:t>
      </w:r>
    </w:p>
    <w:p w14:paraId="4AF7380B" w14:textId="77777777" w:rsidR="00872C03" w:rsidRPr="00883399" w:rsidRDefault="00872C03" w:rsidP="00872C03">
      <w:pPr>
        <w:pStyle w:val="paragraph"/>
        <w:rPr>
          <w:sz w:val="24"/>
        </w:rPr>
      </w:pPr>
      <w:r w:rsidRPr="00883399">
        <w:rPr>
          <w:sz w:val="24"/>
        </w:rPr>
        <w:tab/>
        <w:t>(a)</w:t>
      </w:r>
      <w:r w:rsidRPr="00883399">
        <w:rPr>
          <w:sz w:val="24"/>
        </w:rPr>
        <w:tab/>
        <w:t>the energy is to be measured:</w:t>
      </w:r>
    </w:p>
    <w:p w14:paraId="092DD0A5" w14:textId="77777777" w:rsidR="00872C03" w:rsidRPr="00883399" w:rsidRDefault="00872C03" w:rsidP="00872C03">
      <w:pPr>
        <w:pStyle w:val="paragraphsub"/>
        <w:rPr>
          <w:sz w:val="24"/>
        </w:rPr>
      </w:pPr>
      <w:r w:rsidRPr="00883399">
        <w:rPr>
          <w:sz w:val="24"/>
        </w:rPr>
        <w:tab/>
        <w:t>(i)</w:t>
      </w:r>
      <w:r w:rsidRPr="00883399">
        <w:rPr>
          <w:sz w:val="24"/>
        </w:rPr>
        <w:tab/>
        <w:t>for solid fuel—in tonnes estimated under Division 2.2.5; or</w:t>
      </w:r>
    </w:p>
    <w:p w14:paraId="3DAA0AD4" w14:textId="77777777" w:rsidR="00872C03" w:rsidRPr="00883399" w:rsidRDefault="00872C03" w:rsidP="00872C03">
      <w:pPr>
        <w:pStyle w:val="paragraphsub"/>
        <w:rPr>
          <w:sz w:val="24"/>
        </w:rPr>
      </w:pPr>
      <w:r w:rsidRPr="00883399">
        <w:rPr>
          <w:sz w:val="24"/>
        </w:rPr>
        <w:tab/>
        <w:t>(ii)</w:t>
      </w:r>
      <w:r w:rsidRPr="00883399">
        <w:rPr>
          <w:sz w:val="24"/>
        </w:rPr>
        <w:tab/>
        <w:t>for gaseous fuel—in cubic metres estimated under Division 2.3.6; or</w:t>
      </w:r>
    </w:p>
    <w:p w14:paraId="3F6E4C65" w14:textId="77777777" w:rsidR="00872C03" w:rsidRPr="00883399" w:rsidRDefault="00872C03" w:rsidP="00872C03">
      <w:pPr>
        <w:pStyle w:val="paragraphsub"/>
        <w:rPr>
          <w:sz w:val="24"/>
        </w:rPr>
      </w:pPr>
      <w:r w:rsidRPr="00883399">
        <w:rPr>
          <w:sz w:val="24"/>
        </w:rPr>
        <w:tab/>
        <w:t>(iii)</w:t>
      </w:r>
      <w:r w:rsidRPr="00883399">
        <w:rPr>
          <w:sz w:val="24"/>
        </w:rPr>
        <w:tab/>
        <w:t>for liquid fuel—in kilolitres estimated under Division 2.4.6; and</w:t>
      </w:r>
    </w:p>
    <w:p w14:paraId="05758F51" w14:textId="77777777" w:rsidR="00872C03" w:rsidRPr="00883399" w:rsidRDefault="00872C03" w:rsidP="00872C03">
      <w:pPr>
        <w:pStyle w:val="paragraphsub"/>
        <w:rPr>
          <w:sz w:val="24"/>
        </w:rPr>
      </w:pPr>
      <w:r w:rsidRPr="00883399">
        <w:rPr>
          <w:sz w:val="24"/>
        </w:rPr>
        <w:tab/>
        <w:t>(iv)</w:t>
      </w:r>
      <w:r w:rsidRPr="00883399">
        <w:rPr>
          <w:sz w:val="24"/>
        </w:rPr>
        <w:tab/>
        <w:t>for electricity—in kilowatt hours:</w:t>
      </w:r>
    </w:p>
    <w:p w14:paraId="0A07DAFD" w14:textId="77777777" w:rsidR="00872C03" w:rsidRPr="00883399" w:rsidRDefault="00872C03" w:rsidP="00872C03">
      <w:pPr>
        <w:pStyle w:val="paragraphsub-sub"/>
        <w:rPr>
          <w:sz w:val="24"/>
        </w:rPr>
      </w:pPr>
      <w:r w:rsidRPr="00883399">
        <w:rPr>
          <w:sz w:val="24"/>
        </w:rPr>
        <w:tab/>
        <w:t>(A)</w:t>
      </w:r>
      <w:r w:rsidRPr="00883399">
        <w:rPr>
          <w:sz w:val="24"/>
        </w:rPr>
        <w:tab/>
        <w:t>worked out using the evidence mentioned in paragraph 6.5(2)(a); or</w:t>
      </w:r>
    </w:p>
    <w:p w14:paraId="6A68D71A" w14:textId="77777777" w:rsidR="00872C03" w:rsidRPr="00883399" w:rsidRDefault="00872C03" w:rsidP="00872C03">
      <w:pPr>
        <w:pStyle w:val="paragraphsub-sub"/>
        <w:rPr>
          <w:sz w:val="24"/>
        </w:rPr>
      </w:pPr>
      <w:r w:rsidRPr="00883399">
        <w:rPr>
          <w:sz w:val="24"/>
        </w:rPr>
        <w:tab/>
        <w:t>(B)</w:t>
      </w:r>
      <w:r w:rsidRPr="00883399">
        <w:rPr>
          <w:sz w:val="24"/>
        </w:rPr>
        <w:tab/>
        <w:t>if the evidence mentioned in paragraph 6.5(2)(a) is unavailable—estimated in accordance with paragraph 6.5(2)(b).</w:t>
      </w:r>
    </w:p>
    <w:p w14:paraId="5310ED51" w14:textId="77777777" w:rsidR="00872C03" w:rsidRPr="00883399" w:rsidRDefault="00872C03" w:rsidP="00872C03">
      <w:pPr>
        <w:pStyle w:val="paragraph"/>
        <w:rPr>
          <w:sz w:val="24"/>
        </w:rPr>
      </w:pPr>
      <w:r w:rsidRPr="00883399">
        <w:rPr>
          <w:sz w:val="24"/>
        </w:rPr>
        <w:tab/>
        <w:t>(b)</w:t>
      </w:r>
      <w:r w:rsidRPr="00883399">
        <w:rPr>
          <w:sz w:val="24"/>
        </w:rPr>
        <w:tab/>
        <w:t>the reporting threshold is:</w:t>
      </w:r>
    </w:p>
    <w:p w14:paraId="4B6D1358" w14:textId="77777777" w:rsidR="00872C03" w:rsidRPr="00883399" w:rsidRDefault="00872C03" w:rsidP="00872C03">
      <w:pPr>
        <w:pStyle w:val="paragraphsub"/>
        <w:rPr>
          <w:sz w:val="24"/>
        </w:rPr>
      </w:pPr>
      <w:r w:rsidRPr="00883399">
        <w:rPr>
          <w:sz w:val="24"/>
        </w:rPr>
        <w:tab/>
        <w:t>(i)</w:t>
      </w:r>
      <w:r w:rsidRPr="00883399">
        <w:rPr>
          <w:sz w:val="24"/>
        </w:rPr>
        <w:tab/>
        <w:t>for solid fuel—20 tonnes; or</w:t>
      </w:r>
    </w:p>
    <w:p w14:paraId="328BE56B" w14:textId="77777777" w:rsidR="00872C03" w:rsidRPr="00883399" w:rsidRDefault="00872C03" w:rsidP="00872C03">
      <w:pPr>
        <w:pStyle w:val="paragraphsub"/>
        <w:rPr>
          <w:sz w:val="24"/>
        </w:rPr>
      </w:pPr>
      <w:r w:rsidRPr="00883399">
        <w:rPr>
          <w:sz w:val="24"/>
        </w:rPr>
        <w:tab/>
        <w:t>(ii)</w:t>
      </w:r>
      <w:r w:rsidRPr="00883399">
        <w:rPr>
          <w:sz w:val="24"/>
        </w:rPr>
        <w:tab/>
        <w:t>for gaseous fuel—13 000 cubic metres; or</w:t>
      </w:r>
    </w:p>
    <w:p w14:paraId="3BED1A87" w14:textId="77777777" w:rsidR="00872C03" w:rsidRPr="00883399" w:rsidRDefault="00872C03" w:rsidP="00872C03">
      <w:pPr>
        <w:pStyle w:val="paragraphsub"/>
        <w:rPr>
          <w:sz w:val="24"/>
        </w:rPr>
      </w:pPr>
      <w:r w:rsidRPr="00883399">
        <w:rPr>
          <w:sz w:val="24"/>
        </w:rPr>
        <w:tab/>
        <w:t>(iii)</w:t>
      </w:r>
      <w:r w:rsidRPr="00883399">
        <w:rPr>
          <w:sz w:val="24"/>
        </w:rPr>
        <w:tab/>
        <w:t>for liquid fuel—15 kilolitres; or</w:t>
      </w:r>
    </w:p>
    <w:p w14:paraId="121F9306" w14:textId="77777777" w:rsidR="00872C03" w:rsidRPr="00883399" w:rsidRDefault="00872C03" w:rsidP="00872C03">
      <w:pPr>
        <w:pStyle w:val="paragraphsub"/>
        <w:rPr>
          <w:sz w:val="24"/>
        </w:rPr>
      </w:pPr>
      <w:r w:rsidRPr="00883399">
        <w:rPr>
          <w:sz w:val="24"/>
        </w:rPr>
        <w:tab/>
        <w:t>(iv)</w:t>
      </w:r>
      <w:r w:rsidRPr="00883399">
        <w:rPr>
          <w:sz w:val="24"/>
        </w:rPr>
        <w:tab/>
        <w:t>for electricity consumed from a generating unit with a maximum capacity to produce less than 0.5 megawatts of electricity—100 000 kilowatt hours; or</w:t>
      </w:r>
    </w:p>
    <w:p w14:paraId="605808D2" w14:textId="77777777" w:rsidR="00872C03" w:rsidRPr="00883399" w:rsidRDefault="00872C03" w:rsidP="00872C03">
      <w:pPr>
        <w:pStyle w:val="paragraphsub"/>
        <w:rPr>
          <w:sz w:val="24"/>
        </w:rPr>
      </w:pPr>
      <w:r w:rsidRPr="00883399">
        <w:rPr>
          <w:sz w:val="24"/>
        </w:rPr>
        <w:tab/>
        <w:t>(v)</w:t>
      </w:r>
      <w:r w:rsidRPr="00883399">
        <w:rPr>
          <w:sz w:val="24"/>
        </w:rPr>
        <w:tab/>
        <w:t>for all other electricity consumption—20 000 kilowatt hours.</w:t>
      </w:r>
    </w:p>
    <w:p w14:paraId="2C57509C" w14:textId="77777777" w:rsidR="00872C03" w:rsidRPr="00883399" w:rsidRDefault="00872C03" w:rsidP="00872C03">
      <w:pPr>
        <w:pStyle w:val="notetext"/>
        <w:rPr>
          <w:sz w:val="20"/>
        </w:rPr>
      </w:pPr>
      <w:r w:rsidRPr="00883399">
        <w:rPr>
          <w:sz w:val="20"/>
        </w:rPr>
        <w:t>Example:</w:t>
      </w:r>
      <w:r w:rsidRPr="00883399">
        <w:rPr>
          <w:sz w:val="20"/>
        </w:rPr>
        <w:tab/>
        <w:t>A fuel is consumed without combustion when it is used as a solvent or a flocculent, or as an ingredient in the manufacture of products such as paints, solvents or explosives.</w:t>
      </w:r>
    </w:p>
    <w:p w14:paraId="2CBC2EDD" w14:textId="77777777" w:rsidR="00872C03" w:rsidRPr="00883399" w:rsidRDefault="00872C03" w:rsidP="00872C03">
      <w:pPr>
        <w:pStyle w:val="notetext"/>
        <w:rPr>
          <w:sz w:val="20"/>
        </w:rPr>
      </w:pPr>
    </w:p>
    <w:p w14:paraId="4A5EA4FC" w14:textId="77777777" w:rsidR="00872C03" w:rsidRPr="00883399" w:rsidRDefault="00872C03" w:rsidP="00872C03">
      <w:pPr>
        <w:pStyle w:val="HE"/>
        <w:ind w:left="0"/>
        <w:outlineLvl w:val="0"/>
        <w:rPr>
          <w:rFonts w:ascii="Arial" w:hAnsi="Arial" w:cs="Arial"/>
          <w:color w:val="000000"/>
          <w:sz w:val="22"/>
          <w:szCs w:val="22"/>
        </w:rPr>
      </w:pPr>
      <w:r w:rsidRPr="00883399">
        <w:rPr>
          <w:rFonts w:ascii="Arial" w:hAnsi="Arial" w:cs="Arial"/>
          <w:color w:val="000000"/>
          <w:sz w:val="22"/>
          <w:szCs w:val="22"/>
        </w:rPr>
        <w:t>Examples of non-combustive use of fuels</w:t>
      </w:r>
    </w:p>
    <w:p w14:paraId="2BEC2313" w14:textId="77777777" w:rsidR="00872C03" w:rsidRPr="00883399" w:rsidRDefault="00872C03" w:rsidP="00872C03">
      <w:pPr>
        <w:pStyle w:val="Text"/>
        <w:numPr>
          <w:ilvl w:val="0"/>
          <w:numId w:val="11"/>
        </w:numPr>
        <w:tabs>
          <w:tab w:val="clear" w:pos="720"/>
        </w:tabs>
        <w:ind w:left="426" w:hanging="426"/>
        <w:rPr>
          <w:rFonts w:ascii="Arial" w:hAnsi="Arial" w:cs="Arial"/>
          <w:sz w:val="22"/>
          <w:szCs w:val="22"/>
        </w:rPr>
      </w:pPr>
      <w:r w:rsidRPr="00883399">
        <w:rPr>
          <w:rFonts w:ascii="Arial" w:hAnsi="Arial" w:cs="Arial"/>
          <w:sz w:val="22"/>
          <w:szCs w:val="22"/>
        </w:rPr>
        <w:t>When used directly in a non-fuel manner – for example, fuels used directly as a solvent or a flocculent;</w:t>
      </w:r>
    </w:p>
    <w:p w14:paraId="1D0A6D57" w14:textId="77777777" w:rsidR="00872C03" w:rsidRPr="00883399" w:rsidRDefault="00872C03" w:rsidP="00872C03">
      <w:pPr>
        <w:pStyle w:val="Text"/>
        <w:numPr>
          <w:ilvl w:val="0"/>
          <w:numId w:val="11"/>
        </w:numPr>
        <w:tabs>
          <w:tab w:val="clear" w:pos="720"/>
        </w:tabs>
        <w:ind w:left="426" w:hanging="426"/>
        <w:rPr>
          <w:rFonts w:ascii="Arial" w:hAnsi="Arial" w:cs="Arial"/>
          <w:sz w:val="22"/>
          <w:szCs w:val="22"/>
        </w:rPr>
      </w:pPr>
      <w:r w:rsidRPr="00883399">
        <w:rPr>
          <w:rFonts w:ascii="Arial" w:hAnsi="Arial" w:cs="Arial"/>
          <w:sz w:val="22"/>
          <w:szCs w:val="22"/>
        </w:rPr>
        <w:t>When used as an ingredient in the manufacture of short-life products such as paints, cleaning agents and explosives manufactured for sale;</w:t>
      </w:r>
    </w:p>
    <w:p w14:paraId="3411697D" w14:textId="77777777" w:rsidR="00872C03" w:rsidRPr="00883399" w:rsidRDefault="00872C03" w:rsidP="00872C03">
      <w:pPr>
        <w:pStyle w:val="Text"/>
        <w:numPr>
          <w:ilvl w:val="0"/>
          <w:numId w:val="11"/>
        </w:numPr>
        <w:tabs>
          <w:tab w:val="clear" w:pos="720"/>
        </w:tabs>
        <w:ind w:left="426" w:hanging="426"/>
        <w:rPr>
          <w:rFonts w:ascii="Arial" w:hAnsi="Arial" w:cs="Arial"/>
          <w:sz w:val="22"/>
          <w:szCs w:val="22"/>
        </w:rPr>
      </w:pPr>
      <w:r w:rsidRPr="00883399">
        <w:rPr>
          <w:rFonts w:ascii="Arial" w:hAnsi="Arial" w:cs="Arial"/>
          <w:sz w:val="22"/>
          <w:szCs w:val="22"/>
        </w:rPr>
        <w:t xml:space="preserve">When packaged for non-internal combustion engine use (restricted to containers less than 20 litres and kerosene, mineral turpentine, white spirit, liquid aromatic </w:t>
      </w:r>
      <w:r w:rsidRPr="00883399">
        <w:rPr>
          <w:rFonts w:ascii="Arial" w:hAnsi="Arial" w:cs="Arial"/>
          <w:sz w:val="22"/>
          <w:szCs w:val="22"/>
        </w:rPr>
        <w:lastRenderedPageBreak/>
        <w:t>hydrocarbons and other petroleum products as defined in 10.28 of the schedule to the Excise Tariff Act);</w:t>
      </w:r>
    </w:p>
    <w:p w14:paraId="1B08B3CF" w14:textId="77777777" w:rsidR="00872C03" w:rsidRPr="00883399" w:rsidRDefault="00872C03" w:rsidP="00872C03">
      <w:pPr>
        <w:pStyle w:val="Text"/>
        <w:numPr>
          <w:ilvl w:val="0"/>
          <w:numId w:val="11"/>
        </w:numPr>
        <w:tabs>
          <w:tab w:val="clear" w:pos="720"/>
        </w:tabs>
        <w:ind w:left="426" w:hanging="426"/>
        <w:rPr>
          <w:rFonts w:ascii="Arial" w:hAnsi="Arial" w:cs="Arial"/>
          <w:sz w:val="22"/>
          <w:szCs w:val="22"/>
        </w:rPr>
      </w:pPr>
      <w:r w:rsidRPr="00883399">
        <w:rPr>
          <w:rFonts w:ascii="Arial" w:hAnsi="Arial" w:cs="Arial"/>
          <w:sz w:val="22"/>
          <w:szCs w:val="22"/>
        </w:rPr>
        <w:t>When blended with other products and then packaged for non-internal combustion engine use;</w:t>
      </w:r>
    </w:p>
    <w:p w14:paraId="37E6C60B" w14:textId="77777777" w:rsidR="00872C03" w:rsidRPr="00883399" w:rsidRDefault="00872C03" w:rsidP="00872C03">
      <w:pPr>
        <w:pStyle w:val="Text"/>
        <w:numPr>
          <w:ilvl w:val="0"/>
          <w:numId w:val="11"/>
        </w:numPr>
        <w:tabs>
          <w:tab w:val="clear" w:pos="720"/>
        </w:tabs>
        <w:ind w:left="426" w:hanging="426"/>
        <w:rPr>
          <w:rFonts w:ascii="Arial" w:hAnsi="Arial" w:cs="Arial"/>
          <w:sz w:val="22"/>
          <w:szCs w:val="22"/>
        </w:rPr>
      </w:pPr>
      <w:r w:rsidRPr="00883399">
        <w:rPr>
          <w:rFonts w:ascii="Arial" w:hAnsi="Arial" w:cs="Arial"/>
          <w:sz w:val="22"/>
          <w:szCs w:val="22"/>
        </w:rPr>
        <w:t>When unprocessed natural gas is consumed to create natural gas distributed in a pipeline.</w:t>
      </w:r>
    </w:p>
    <w:p w14:paraId="2B487687" w14:textId="77777777" w:rsidR="00872C03" w:rsidRPr="00883399" w:rsidRDefault="00872C03" w:rsidP="00872C03">
      <w:pPr>
        <w:pStyle w:val="Text"/>
        <w:numPr>
          <w:ilvl w:val="0"/>
          <w:numId w:val="11"/>
        </w:numPr>
        <w:tabs>
          <w:tab w:val="clear" w:pos="720"/>
        </w:tabs>
        <w:ind w:left="426" w:hanging="426"/>
        <w:rPr>
          <w:rFonts w:ascii="Arial" w:hAnsi="Arial" w:cs="Arial"/>
          <w:sz w:val="22"/>
          <w:szCs w:val="22"/>
        </w:rPr>
      </w:pPr>
      <w:r w:rsidRPr="00883399">
        <w:rPr>
          <w:rFonts w:ascii="Arial" w:hAnsi="Arial" w:cs="Arial"/>
          <w:sz w:val="22"/>
          <w:szCs w:val="22"/>
        </w:rPr>
        <w:t>Some uses of petroleum based oils and greases. Division 2.4.5A provides more guidance on the reporting of petroleum based oils and greases.</w:t>
      </w:r>
    </w:p>
    <w:p w14:paraId="15F7ED6A" w14:textId="77777777" w:rsidR="00872C03" w:rsidRPr="00883399" w:rsidRDefault="00872C03" w:rsidP="00C64E6B">
      <w:pPr>
        <w:pStyle w:val="ExampleBody"/>
        <w:keepLines w:val="0"/>
        <w:spacing w:before="240" w:line="312" w:lineRule="auto"/>
        <w:ind w:left="0"/>
        <w:jc w:val="left"/>
      </w:pPr>
      <w:r w:rsidRPr="00883399">
        <w:rPr>
          <w:rFonts w:ascii="Arial" w:hAnsi="Arial" w:cs="Arial"/>
          <w:sz w:val="22"/>
          <w:szCs w:val="22"/>
        </w:rPr>
        <w:t xml:space="preserve">Note the reporting thresholds in 2.68 apply to each fuel type individually. For example, where a facility consumes 10 kL of diesel and 10 kL of solvents for non-combustion purposes this facility is not required to report under this provision. </w:t>
      </w:r>
    </w:p>
    <w:p w14:paraId="635BC336" w14:textId="5033BA27" w:rsidR="00872C03" w:rsidRPr="00883399" w:rsidRDefault="00872C03" w:rsidP="00872C03">
      <w:pPr>
        <w:pStyle w:val="ActHead5"/>
        <w:rPr>
          <w:sz w:val="28"/>
        </w:rPr>
      </w:pPr>
      <w:bookmarkStart w:id="391" w:name="_Toc423516843"/>
      <w:bookmarkStart w:id="392" w:name="_Toc495652761"/>
      <w:r w:rsidRPr="00883399">
        <w:rPr>
          <w:rStyle w:val="CharSectno"/>
          <w:sz w:val="28"/>
        </w:rPr>
        <w:t>2.69</w:t>
      </w:r>
      <w:r w:rsidRPr="00883399">
        <w:rPr>
          <w:sz w:val="28"/>
        </w:rPr>
        <w:t xml:space="preserve">  Apportionment of fuel consumed as carbon reductant or feedstock and energy</w:t>
      </w:r>
      <w:bookmarkEnd w:id="391"/>
      <w:bookmarkEnd w:id="392"/>
    </w:p>
    <w:p w14:paraId="525CE84D" w14:textId="77777777" w:rsidR="00872C03" w:rsidRPr="00883399" w:rsidRDefault="00872C03" w:rsidP="00872C03">
      <w:pPr>
        <w:pStyle w:val="subsection"/>
        <w:rPr>
          <w:sz w:val="24"/>
        </w:rPr>
      </w:pPr>
      <w:r w:rsidRPr="00883399">
        <w:rPr>
          <w:sz w:val="24"/>
        </w:rPr>
        <w:tab/>
        <w:t>(1)</w:t>
      </w:r>
      <w:r w:rsidRPr="00883399">
        <w:rPr>
          <w:sz w:val="24"/>
        </w:rPr>
        <w:tab/>
        <w:t>This section applies, other than for Division 2.5.3, if:</w:t>
      </w:r>
    </w:p>
    <w:p w14:paraId="5148AB36" w14:textId="77777777" w:rsidR="00872C03" w:rsidRPr="00883399" w:rsidRDefault="00872C03" w:rsidP="00872C03">
      <w:pPr>
        <w:pStyle w:val="paragraph"/>
        <w:rPr>
          <w:sz w:val="24"/>
        </w:rPr>
      </w:pPr>
      <w:r w:rsidRPr="00883399">
        <w:rPr>
          <w:sz w:val="24"/>
        </w:rPr>
        <w:tab/>
        <w:t>(a)</w:t>
      </w:r>
      <w:r w:rsidRPr="00883399">
        <w:rPr>
          <w:sz w:val="24"/>
        </w:rPr>
        <w:tab/>
        <w:t>a fuel type as provided for in a method is consumed from the operation of a facility as either a reductant or a feedstock; and</w:t>
      </w:r>
    </w:p>
    <w:p w14:paraId="6BDD1D44" w14:textId="77777777" w:rsidR="00872C03" w:rsidRPr="00883399" w:rsidRDefault="00872C03" w:rsidP="00872C03">
      <w:pPr>
        <w:pStyle w:val="paragraph"/>
        <w:rPr>
          <w:sz w:val="24"/>
        </w:rPr>
      </w:pPr>
      <w:r w:rsidRPr="00883399">
        <w:rPr>
          <w:sz w:val="24"/>
        </w:rPr>
        <w:tab/>
        <w:t>(b)</w:t>
      </w:r>
      <w:r w:rsidRPr="00883399">
        <w:rPr>
          <w:sz w:val="24"/>
        </w:rPr>
        <w:tab/>
        <w:t>the fuel is combusted for energy; and</w:t>
      </w:r>
    </w:p>
    <w:p w14:paraId="1CB8B410" w14:textId="77777777" w:rsidR="00872C03" w:rsidRPr="00883399" w:rsidRDefault="00872C03" w:rsidP="00872C03">
      <w:pPr>
        <w:pStyle w:val="paragraph"/>
        <w:rPr>
          <w:sz w:val="24"/>
        </w:rPr>
      </w:pPr>
      <w:r w:rsidRPr="00883399">
        <w:rPr>
          <w:sz w:val="24"/>
        </w:rPr>
        <w:tab/>
        <w:t>(c)</w:t>
      </w:r>
      <w:r w:rsidRPr="00883399">
        <w:rPr>
          <w:sz w:val="24"/>
        </w:rPr>
        <w:tab/>
        <w:t>the equipment used to measure the amount of the fuel for the relevant purpose was not calibrated to a measurement requirement.</w:t>
      </w:r>
    </w:p>
    <w:p w14:paraId="74E0951D" w14:textId="77777777" w:rsidR="00872C03" w:rsidRPr="00883399" w:rsidRDefault="00872C03" w:rsidP="00872C03">
      <w:pPr>
        <w:pStyle w:val="notetext"/>
        <w:rPr>
          <w:sz w:val="20"/>
        </w:rPr>
      </w:pPr>
      <w:r w:rsidRPr="00883399">
        <w:rPr>
          <w:sz w:val="20"/>
        </w:rPr>
        <w:t>Note:</w:t>
      </w:r>
      <w:r w:rsidRPr="00883399">
        <w:rPr>
          <w:sz w:val="20"/>
        </w:rPr>
        <w:tab/>
        <w:t>Division 2.5.3 deals with petrochemicals.</w:t>
      </w:r>
      <w:r w:rsidRPr="00883399">
        <w:rPr>
          <w:i/>
          <w:sz w:val="20"/>
        </w:rPr>
        <w:t xml:space="preserve"> </w:t>
      </w:r>
      <w:r w:rsidRPr="00883399">
        <w:rPr>
          <w:sz w:val="20"/>
        </w:rPr>
        <w:t>For petrochemicals, all fuels, whether used as a feedstock, a reductant or combusted as energy are reported as energy.</w:t>
      </w:r>
    </w:p>
    <w:p w14:paraId="66C5686D" w14:textId="77777777" w:rsidR="00872C03" w:rsidRPr="00883399" w:rsidRDefault="00872C03" w:rsidP="00872C03">
      <w:pPr>
        <w:pStyle w:val="subsection"/>
        <w:rPr>
          <w:sz w:val="24"/>
        </w:rPr>
      </w:pPr>
      <w:r w:rsidRPr="00883399">
        <w:rPr>
          <w:sz w:val="24"/>
        </w:rPr>
        <w:tab/>
        <w:t>(2)</w:t>
      </w:r>
      <w:r w:rsidRPr="00883399">
        <w:rPr>
          <w:sz w:val="24"/>
        </w:rPr>
        <w:tab/>
        <w:t>The amount of the fuel type consumed as a reductant or a feedstock may be estimated:</w:t>
      </w:r>
    </w:p>
    <w:p w14:paraId="3E441735" w14:textId="77777777" w:rsidR="00872C03" w:rsidRPr="00883399" w:rsidRDefault="00872C03" w:rsidP="00872C03">
      <w:pPr>
        <w:pStyle w:val="paragraph"/>
        <w:rPr>
          <w:sz w:val="24"/>
        </w:rPr>
      </w:pPr>
      <w:r w:rsidRPr="00883399">
        <w:rPr>
          <w:sz w:val="24"/>
        </w:rPr>
        <w:tab/>
        <w:t>(a)</w:t>
      </w:r>
      <w:r w:rsidRPr="00883399">
        <w:rPr>
          <w:sz w:val="24"/>
        </w:rPr>
        <w:tab/>
        <w:t>in accordance with industry measuring devices or industry practice; or</w:t>
      </w:r>
    </w:p>
    <w:p w14:paraId="553B1E86" w14:textId="77777777" w:rsidR="00872C03" w:rsidRPr="00883399" w:rsidRDefault="00872C03" w:rsidP="00872C03">
      <w:pPr>
        <w:pStyle w:val="paragraph"/>
        <w:rPr>
          <w:sz w:val="24"/>
        </w:rPr>
      </w:pPr>
      <w:r w:rsidRPr="00883399">
        <w:rPr>
          <w:sz w:val="24"/>
        </w:rPr>
        <w:tab/>
        <w:t>(b)</w:t>
      </w:r>
      <w:r w:rsidRPr="00883399">
        <w:rPr>
          <w:sz w:val="24"/>
        </w:rPr>
        <w:tab/>
        <w:t>if it is not practicable to estimate as provided for in paragraph (a)—to be the whole of the amount of the consumption of that fuel type from the operation of the facility.</w:t>
      </w:r>
    </w:p>
    <w:p w14:paraId="580EE574" w14:textId="77777777" w:rsidR="00872C03" w:rsidRPr="00883399" w:rsidRDefault="00872C03" w:rsidP="00872C03">
      <w:pPr>
        <w:pStyle w:val="subsection"/>
        <w:rPr>
          <w:sz w:val="24"/>
        </w:rPr>
      </w:pPr>
      <w:r w:rsidRPr="00883399">
        <w:rPr>
          <w:sz w:val="24"/>
        </w:rPr>
        <w:tab/>
        <w:t>(3)</w:t>
      </w:r>
      <w:r w:rsidRPr="00883399">
        <w:rPr>
          <w:sz w:val="24"/>
        </w:rPr>
        <w:tab/>
        <w:t>The amount of the fuel type combusted for energy may be estimated as the difference between the total amount of the fuel type consumed from the operation of the facility and the estimated amount worked out under subsection (2).</w:t>
      </w:r>
    </w:p>
    <w:p w14:paraId="4E8566C3" w14:textId="5C9A845C" w:rsidR="00872C03" w:rsidRPr="00883399" w:rsidRDefault="00872C03" w:rsidP="00872C03">
      <w:pPr>
        <w:pStyle w:val="ActHead5"/>
        <w:rPr>
          <w:sz w:val="28"/>
        </w:rPr>
      </w:pPr>
      <w:bookmarkStart w:id="393" w:name="_Toc423516844"/>
      <w:bookmarkStart w:id="394" w:name="_Toc495652762"/>
      <w:r w:rsidRPr="00883399">
        <w:rPr>
          <w:rStyle w:val="CharSectno"/>
          <w:sz w:val="28"/>
        </w:rPr>
        <w:lastRenderedPageBreak/>
        <w:t>2.70</w:t>
      </w:r>
      <w:r w:rsidRPr="00883399">
        <w:rPr>
          <w:sz w:val="28"/>
        </w:rPr>
        <w:t xml:space="preserve">  Amount of energy consumed in a cogeneration process</w:t>
      </w:r>
      <w:bookmarkEnd w:id="393"/>
      <w:bookmarkEnd w:id="394"/>
    </w:p>
    <w:p w14:paraId="6EC41596" w14:textId="77777777" w:rsidR="00872C03" w:rsidRPr="00883399" w:rsidRDefault="00872C03" w:rsidP="00872C03">
      <w:pPr>
        <w:pStyle w:val="subsection"/>
      </w:pPr>
    </w:p>
    <w:p w14:paraId="737D1805" w14:textId="77777777" w:rsidR="00872C03" w:rsidRPr="00883399" w:rsidRDefault="00872C03" w:rsidP="00872C03">
      <w:pPr>
        <w:pStyle w:val="R1"/>
        <w:keepLines w:val="0"/>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 xml:space="preserve">Cogeneration processes are situations where two products – electricity and another product – are produced from the consumption of a single quantity of fuel. </w:t>
      </w:r>
    </w:p>
    <w:p w14:paraId="210F73D3" w14:textId="77777777" w:rsidR="00872C03" w:rsidRPr="00883399" w:rsidRDefault="00872C03" w:rsidP="00872C03">
      <w:pPr>
        <w:pStyle w:val="R1"/>
        <w:keepLines w:val="0"/>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ab/>
        <w:t xml:space="preserve">This section specifies that for the purpose of complying with the </w:t>
      </w:r>
      <w:r w:rsidRPr="00883399">
        <w:rPr>
          <w:rFonts w:ascii="Arial" w:hAnsi="Arial" w:cs="Arial"/>
          <w:i/>
          <w:color w:val="000000"/>
          <w:sz w:val="22"/>
          <w:szCs w:val="22"/>
        </w:rPr>
        <w:t>National Greenhouse and Energy Reporting Regulations 2008</w:t>
      </w:r>
      <w:r w:rsidRPr="00883399">
        <w:rPr>
          <w:rFonts w:ascii="Arial" w:hAnsi="Arial" w:cs="Arial"/>
          <w:color w:val="000000"/>
          <w:sz w:val="22"/>
          <w:szCs w:val="22"/>
        </w:rPr>
        <w:t>, subregulation 4.23 (3), the quantity of fuel consumed and allocated to the production of electricity should be estimated using the efficiency method as described in the Allocation of Emissions from a Combined Heat and Power (CHP) Plant Guide to calculation worksheets (September 2006) v1.0 (the cogeneration guide) issued by World Resource Institute and World Business Council for Sustainable Development unless the heat is to be used for producing mechanical work when the work potential method described in the cogeneration guide may be used.</w:t>
      </w:r>
    </w:p>
    <w:p w14:paraId="68DB30CE" w14:textId="77777777" w:rsidR="00872C03" w:rsidRPr="00883399" w:rsidRDefault="00872C03" w:rsidP="00C64E6B">
      <w:pPr>
        <w:pStyle w:val="R1"/>
        <w:keepLines w:val="0"/>
        <w:spacing w:before="240" w:line="312" w:lineRule="auto"/>
        <w:ind w:left="0" w:firstLine="0"/>
        <w:jc w:val="left"/>
      </w:pPr>
      <w:r w:rsidRPr="00883399">
        <w:rPr>
          <w:rFonts w:ascii="Arial" w:hAnsi="Arial" w:cs="Arial"/>
          <w:color w:val="000000"/>
          <w:sz w:val="22"/>
          <w:szCs w:val="22"/>
        </w:rPr>
        <w:tab/>
        <w:t xml:space="preserve">The efficiency method is the preferred method of the World Resource Institute and World Business Council for Sustainable Development.  Limiting the approaches that can be used provides for more consistent interpretation of reported data and establishes well-understood boundaries for all data reported.  </w:t>
      </w:r>
    </w:p>
    <w:p w14:paraId="3BEC2FCB" w14:textId="77777777" w:rsidR="00872C03" w:rsidRPr="00883399" w:rsidRDefault="00872C03" w:rsidP="00872C03">
      <w:pPr>
        <w:pStyle w:val="subsection"/>
        <w:rPr>
          <w:sz w:val="24"/>
        </w:rPr>
      </w:pPr>
      <w:r w:rsidRPr="00883399">
        <w:rPr>
          <w:sz w:val="24"/>
        </w:rPr>
        <w:tab/>
        <w:t>(1)</w:t>
      </w:r>
      <w:r w:rsidRPr="00883399">
        <w:rPr>
          <w:sz w:val="24"/>
        </w:rPr>
        <w:tab/>
        <w:t>For subregulation 4.23(3) of the Regulations and subject to subsection (3), the method is the efficiency method.</w:t>
      </w:r>
    </w:p>
    <w:p w14:paraId="6EF25A3B" w14:textId="77777777" w:rsidR="00872C03" w:rsidRPr="00883399" w:rsidRDefault="00872C03" w:rsidP="00872C03">
      <w:pPr>
        <w:pStyle w:val="subsection"/>
        <w:rPr>
          <w:sz w:val="24"/>
        </w:rPr>
      </w:pPr>
      <w:r w:rsidRPr="00883399">
        <w:rPr>
          <w:sz w:val="24"/>
        </w:rPr>
        <w:tab/>
        <w:t>(2)</w:t>
      </w:r>
      <w:r w:rsidRPr="00883399">
        <w:rPr>
          <w:sz w:val="24"/>
        </w:rPr>
        <w:tab/>
        <w:t xml:space="preserve">The </w:t>
      </w:r>
      <w:r w:rsidRPr="00883399">
        <w:rPr>
          <w:b/>
          <w:i/>
          <w:sz w:val="24"/>
        </w:rPr>
        <w:t>efficiency method</w:t>
      </w:r>
      <w:r w:rsidRPr="00883399">
        <w:rPr>
          <w:sz w:val="24"/>
        </w:rPr>
        <w:t xml:space="preserve"> is as described in the publication entitled </w:t>
      </w:r>
      <w:r w:rsidRPr="00883399">
        <w:rPr>
          <w:rStyle w:val="Strong"/>
          <w:i/>
          <w:sz w:val="24"/>
        </w:rPr>
        <w:t>Allocation of Emissions from a Combined Heat and Power (CHP) Plant Guide to calculation worksheets (September 2006) v1</w:t>
      </w:r>
      <w:r w:rsidRPr="00883399">
        <w:rPr>
          <w:rStyle w:val="Strong"/>
          <w:sz w:val="24"/>
        </w:rPr>
        <w:t>.</w:t>
      </w:r>
      <w:r w:rsidRPr="00883399">
        <w:rPr>
          <w:rStyle w:val="Strong"/>
          <w:i/>
          <w:sz w:val="24"/>
        </w:rPr>
        <w:t>0</w:t>
      </w:r>
      <w:r w:rsidRPr="00883399">
        <w:rPr>
          <w:rStyle w:val="Strong"/>
          <w:sz w:val="24"/>
        </w:rPr>
        <w:t xml:space="preserve"> issued by the World Resource Institute and World Business Council for Sustainable Development</w:t>
      </w:r>
      <w:r w:rsidRPr="00883399">
        <w:rPr>
          <w:sz w:val="24"/>
        </w:rPr>
        <w:t>.</w:t>
      </w:r>
    </w:p>
    <w:p w14:paraId="627C8151" w14:textId="77777777" w:rsidR="00872C03" w:rsidRPr="00883399" w:rsidRDefault="00872C03" w:rsidP="00872C03">
      <w:pPr>
        <w:pStyle w:val="subsection"/>
        <w:rPr>
          <w:sz w:val="24"/>
        </w:rPr>
      </w:pPr>
      <w:r w:rsidRPr="00883399">
        <w:rPr>
          <w:sz w:val="24"/>
        </w:rPr>
        <w:tab/>
        <w:t>(3)</w:t>
      </w:r>
      <w:r w:rsidRPr="00883399">
        <w:rPr>
          <w:sz w:val="24"/>
        </w:rPr>
        <w:tab/>
        <w:t>Where heat is to be used mainly for producing mechanical work, the work potential method may be used.</w:t>
      </w:r>
    </w:p>
    <w:p w14:paraId="5D79F23E" w14:textId="77777777" w:rsidR="00872C03" w:rsidRPr="00883399" w:rsidRDefault="00872C03" w:rsidP="00872C03">
      <w:pPr>
        <w:pStyle w:val="subsection"/>
        <w:rPr>
          <w:rStyle w:val="Strong"/>
          <w:b w:val="0"/>
          <w:sz w:val="24"/>
        </w:rPr>
      </w:pPr>
      <w:r w:rsidRPr="00883399">
        <w:rPr>
          <w:sz w:val="24"/>
        </w:rPr>
        <w:tab/>
        <w:t>(4)</w:t>
      </w:r>
      <w:r w:rsidRPr="00883399">
        <w:rPr>
          <w:sz w:val="24"/>
        </w:rPr>
        <w:tab/>
        <w:t xml:space="preserve">The </w:t>
      </w:r>
      <w:r w:rsidRPr="00883399">
        <w:rPr>
          <w:b/>
          <w:i/>
          <w:sz w:val="24"/>
        </w:rPr>
        <w:t>work potential method</w:t>
      </w:r>
      <w:r w:rsidRPr="00883399">
        <w:rPr>
          <w:sz w:val="24"/>
        </w:rPr>
        <w:t xml:space="preserve"> is as described in the publication entitled </w:t>
      </w:r>
      <w:r w:rsidRPr="00883399">
        <w:rPr>
          <w:rStyle w:val="Strong"/>
          <w:i/>
          <w:sz w:val="24"/>
        </w:rPr>
        <w:t>Allocation of Emissions from a Combined Heat and Power (CHP) Plant Guide to calculation worksheets (September 2006) v1</w:t>
      </w:r>
      <w:r w:rsidRPr="00883399">
        <w:rPr>
          <w:rStyle w:val="Strong"/>
          <w:sz w:val="24"/>
        </w:rPr>
        <w:t>.</w:t>
      </w:r>
      <w:r w:rsidRPr="00883399">
        <w:rPr>
          <w:rStyle w:val="Strong"/>
          <w:i/>
          <w:sz w:val="24"/>
        </w:rPr>
        <w:t>0</w:t>
      </w:r>
      <w:r w:rsidRPr="00883399">
        <w:rPr>
          <w:rStyle w:val="Strong"/>
          <w:sz w:val="24"/>
        </w:rPr>
        <w:t xml:space="preserve"> issued by the World Resource Institute and World Business Council for Sustainable Development.</w:t>
      </w:r>
    </w:p>
    <w:p w14:paraId="2A4F0AFE" w14:textId="26148363" w:rsidR="00872C03" w:rsidRPr="00883399" w:rsidRDefault="00872C03" w:rsidP="00872C03">
      <w:pPr>
        <w:pStyle w:val="ActHead5"/>
        <w:rPr>
          <w:sz w:val="28"/>
        </w:rPr>
      </w:pPr>
      <w:bookmarkStart w:id="395" w:name="_Toc423516845"/>
      <w:bookmarkStart w:id="396" w:name="_Toc495652763"/>
      <w:r w:rsidRPr="00883399">
        <w:rPr>
          <w:rStyle w:val="CharSectno"/>
          <w:sz w:val="28"/>
        </w:rPr>
        <w:lastRenderedPageBreak/>
        <w:t>2.71</w:t>
      </w:r>
      <w:r w:rsidRPr="00883399">
        <w:rPr>
          <w:sz w:val="28"/>
        </w:rPr>
        <w:t xml:space="preserve">  Apportionment of energy consumed for electricity, transport and for stationary energy</w:t>
      </w:r>
      <w:bookmarkEnd w:id="395"/>
      <w:bookmarkEnd w:id="396"/>
    </w:p>
    <w:p w14:paraId="35657D47" w14:textId="77777777" w:rsidR="00872C03" w:rsidRPr="00883399" w:rsidRDefault="00872C03" w:rsidP="00872C03">
      <w:pPr>
        <w:pStyle w:val="R1"/>
        <w:keepLines w:val="0"/>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Apportionment of fuels consumed between various purposes is considered to be less critical than the overall estimate of fuel consumed for a facility.  Consequently, allocations of fuels consumed between purposes may be determined by facility records based on facility measurement techniques.</w:t>
      </w:r>
    </w:p>
    <w:p w14:paraId="1183DFD1" w14:textId="77777777" w:rsidR="00872C03" w:rsidRPr="00883399" w:rsidRDefault="00872C03" w:rsidP="00872C03">
      <w:pPr>
        <w:pStyle w:val="R2"/>
        <w:keepLines w:val="0"/>
        <w:spacing w:before="240" w:line="312" w:lineRule="auto"/>
        <w:ind w:left="0" w:firstLine="0"/>
        <w:jc w:val="left"/>
        <w:rPr>
          <w:rFonts w:ascii="Arial" w:hAnsi="Arial" w:cs="Arial"/>
          <w:sz w:val="22"/>
          <w:szCs w:val="22"/>
        </w:rPr>
      </w:pPr>
      <w:r w:rsidRPr="00883399">
        <w:rPr>
          <w:rFonts w:ascii="Arial" w:hAnsi="Arial" w:cs="Arial"/>
          <w:sz w:val="22"/>
          <w:szCs w:val="22"/>
        </w:rPr>
        <w:t xml:space="preserve">For the purpose of determining fuels consumed in transport, road transport means fuel consumed by a vehicle registered for road use. </w:t>
      </w:r>
    </w:p>
    <w:p w14:paraId="0B2E124C" w14:textId="77777777" w:rsidR="00872C03" w:rsidRPr="00883399" w:rsidRDefault="00872C03" w:rsidP="00872C03">
      <w:pPr>
        <w:pStyle w:val="subsection"/>
        <w:rPr>
          <w:sz w:val="24"/>
        </w:rPr>
      </w:pPr>
      <w:r w:rsidRPr="00883399">
        <w:rPr>
          <w:sz w:val="24"/>
        </w:rPr>
        <w:tab/>
      </w:r>
      <w:r w:rsidRPr="00883399">
        <w:rPr>
          <w:sz w:val="24"/>
        </w:rPr>
        <w:tab/>
        <w:t>Subject to section 2.70, the amount of fuel type (</w:t>
      </w:r>
      <w:r w:rsidRPr="00883399">
        <w:rPr>
          <w:b/>
          <w:i/>
          <w:sz w:val="24"/>
        </w:rPr>
        <w:t>i</w:t>
      </w:r>
      <w:r w:rsidRPr="00883399">
        <w:rPr>
          <w:sz w:val="24"/>
        </w:rPr>
        <w:t>) consumed by a reporting corporation or liable entity that is apportioned between electricity generation, transport (excluding international bunker fuels) and other stationary energy purposes may be determined using the records of the corporation or liable entity if the records are based on the measurement equipment used by the corporation or the liable entity to measure consumption of the fuel types.</w:t>
      </w:r>
    </w:p>
    <w:p w14:paraId="01809806" w14:textId="77777777" w:rsidR="00872C03" w:rsidRPr="00883399" w:rsidRDefault="00872C03" w:rsidP="00872C03">
      <w:pPr>
        <w:pStyle w:val="subsection"/>
        <w:rPr>
          <w:sz w:val="24"/>
        </w:rPr>
      </w:pPr>
    </w:p>
    <w:p w14:paraId="3D54CA50" w14:textId="09277FB6" w:rsidR="00872C03" w:rsidRPr="00883399" w:rsidRDefault="00872C03" w:rsidP="00872C03">
      <w:pPr>
        <w:pStyle w:val="HP"/>
        <w:pageBreakBefore/>
        <w:rPr>
          <w:color w:val="000000"/>
        </w:rPr>
      </w:pPr>
      <w:bookmarkStart w:id="397" w:name="_Toc227733755"/>
      <w:bookmarkStart w:id="398" w:name="_Toc265135263"/>
      <w:bookmarkStart w:id="399" w:name="_Toc495652764"/>
      <w:r w:rsidRPr="00883399">
        <w:rPr>
          <w:rStyle w:val="CharPartNo"/>
        </w:rPr>
        <w:lastRenderedPageBreak/>
        <w:t>Appendix 2A</w:t>
      </w:r>
      <w:r w:rsidRPr="00883399">
        <w:rPr>
          <w:color w:val="000000"/>
        </w:rPr>
        <w:tab/>
      </w:r>
      <w:r w:rsidRPr="00883399">
        <w:rPr>
          <w:rStyle w:val="CharPartText"/>
        </w:rPr>
        <w:t>Notes on Energy and Emission Factors</w:t>
      </w:r>
      <w:bookmarkEnd w:id="397"/>
      <w:bookmarkEnd w:id="398"/>
      <w:bookmarkEnd w:id="399"/>
    </w:p>
    <w:p w14:paraId="78E23860" w14:textId="77777777" w:rsidR="00872C03" w:rsidRPr="00883399" w:rsidRDefault="00872C03" w:rsidP="00872C03">
      <w:pPr>
        <w:pStyle w:val="R2"/>
        <w:tabs>
          <w:tab w:val="clear" w:pos="794"/>
          <w:tab w:val="right" w:pos="0"/>
        </w:tabs>
        <w:spacing w:after="180"/>
        <w:ind w:left="0" w:firstLine="0"/>
        <w:jc w:val="left"/>
        <w:rPr>
          <w:rFonts w:ascii="Arial" w:hAnsi="Arial" w:cs="Arial"/>
          <w:sz w:val="22"/>
          <w:szCs w:val="22"/>
        </w:rPr>
      </w:pPr>
      <w:r w:rsidRPr="00883399">
        <w:rPr>
          <w:rFonts w:ascii="Arial" w:hAnsi="Arial" w:cs="Arial"/>
          <w:sz w:val="22"/>
          <w:szCs w:val="22"/>
        </w:rPr>
        <w:t>The following notes apply to energy content and emission factors in the following tables:</w:t>
      </w:r>
    </w:p>
    <w:p w14:paraId="1999B3F6" w14:textId="77777777" w:rsidR="00872C03" w:rsidRPr="00883399" w:rsidRDefault="00872C03" w:rsidP="00872C03">
      <w:pPr>
        <w:pStyle w:val="R2"/>
        <w:numPr>
          <w:ilvl w:val="0"/>
          <w:numId w:val="13"/>
        </w:numPr>
        <w:tabs>
          <w:tab w:val="clear" w:pos="794"/>
          <w:tab w:val="clear" w:pos="1500"/>
          <w:tab w:val="right" w:pos="480"/>
          <w:tab w:val="num" w:pos="960"/>
        </w:tabs>
        <w:spacing w:before="0"/>
        <w:ind w:hanging="1500"/>
        <w:rPr>
          <w:rFonts w:ascii="Arial" w:hAnsi="Arial" w:cs="Arial"/>
          <w:sz w:val="22"/>
          <w:szCs w:val="22"/>
        </w:rPr>
      </w:pPr>
      <w:r w:rsidRPr="00883399">
        <w:rPr>
          <w:rFonts w:ascii="Arial" w:hAnsi="Arial" w:cs="Arial"/>
          <w:sz w:val="22"/>
          <w:szCs w:val="22"/>
        </w:rPr>
        <w:t>Table 2.2.2</w:t>
      </w:r>
    </w:p>
    <w:p w14:paraId="3899AC39" w14:textId="77777777" w:rsidR="00872C03" w:rsidRPr="00883399" w:rsidRDefault="00872C03" w:rsidP="00872C03">
      <w:pPr>
        <w:pStyle w:val="R2"/>
        <w:numPr>
          <w:ilvl w:val="0"/>
          <w:numId w:val="13"/>
        </w:numPr>
        <w:tabs>
          <w:tab w:val="clear" w:pos="794"/>
          <w:tab w:val="clear" w:pos="1500"/>
          <w:tab w:val="right" w:pos="480"/>
          <w:tab w:val="num" w:pos="960"/>
        </w:tabs>
        <w:spacing w:before="0"/>
        <w:ind w:hanging="1500"/>
        <w:rPr>
          <w:rFonts w:ascii="Arial" w:hAnsi="Arial" w:cs="Arial"/>
          <w:sz w:val="22"/>
          <w:szCs w:val="22"/>
        </w:rPr>
      </w:pPr>
      <w:r w:rsidRPr="00883399">
        <w:rPr>
          <w:rFonts w:ascii="Arial" w:hAnsi="Arial" w:cs="Arial"/>
          <w:sz w:val="22"/>
          <w:szCs w:val="22"/>
        </w:rPr>
        <w:t>Table 2.3.2</w:t>
      </w:r>
    </w:p>
    <w:p w14:paraId="7A70E7F6" w14:textId="77777777" w:rsidR="00872C03" w:rsidRPr="00883399" w:rsidRDefault="00872C03" w:rsidP="00872C03">
      <w:pPr>
        <w:pStyle w:val="R2"/>
        <w:numPr>
          <w:ilvl w:val="0"/>
          <w:numId w:val="13"/>
        </w:numPr>
        <w:tabs>
          <w:tab w:val="clear" w:pos="794"/>
          <w:tab w:val="clear" w:pos="1500"/>
          <w:tab w:val="right" w:pos="480"/>
          <w:tab w:val="num" w:pos="960"/>
        </w:tabs>
        <w:spacing w:before="0"/>
        <w:ind w:hanging="1500"/>
      </w:pPr>
      <w:r w:rsidRPr="00883399">
        <w:rPr>
          <w:rFonts w:ascii="Arial" w:hAnsi="Arial" w:cs="Arial"/>
          <w:sz w:val="22"/>
          <w:szCs w:val="22"/>
        </w:rPr>
        <w:t>Table 2.4.2A</w:t>
      </w:r>
    </w:p>
    <w:p w14:paraId="587FBFBA" w14:textId="77777777" w:rsidR="00872C03" w:rsidRPr="00883399" w:rsidRDefault="00872C03" w:rsidP="00872C03">
      <w:pPr>
        <w:pStyle w:val="R2"/>
        <w:numPr>
          <w:ilvl w:val="0"/>
          <w:numId w:val="13"/>
        </w:numPr>
        <w:tabs>
          <w:tab w:val="clear" w:pos="794"/>
          <w:tab w:val="clear" w:pos="1500"/>
          <w:tab w:val="right" w:pos="480"/>
          <w:tab w:val="num" w:pos="960"/>
        </w:tabs>
        <w:spacing w:before="0"/>
        <w:ind w:hanging="1500"/>
      </w:pPr>
      <w:r w:rsidRPr="00883399">
        <w:rPr>
          <w:rFonts w:ascii="Arial" w:hAnsi="Arial" w:cs="Arial"/>
          <w:sz w:val="22"/>
          <w:szCs w:val="22"/>
        </w:rPr>
        <w:t>Table 2.4.2B</w:t>
      </w:r>
    </w:p>
    <w:p w14:paraId="37EB2A0C" w14:textId="77777777" w:rsidR="00872C03" w:rsidRPr="00883399" w:rsidRDefault="00872C03" w:rsidP="00872C03">
      <w:pPr>
        <w:pStyle w:val="R2"/>
        <w:numPr>
          <w:ilvl w:val="0"/>
          <w:numId w:val="13"/>
        </w:numPr>
        <w:tabs>
          <w:tab w:val="clear" w:pos="794"/>
          <w:tab w:val="clear" w:pos="1500"/>
          <w:tab w:val="right" w:pos="480"/>
          <w:tab w:val="num" w:pos="960"/>
        </w:tabs>
        <w:spacing w:before="0"/>
        <w:ind w:hanging="1500"/>
        <w:rPr>
          <w:rFonts w:ascii="Arial" w:hAnsi="Arial" w:cs="Arial"/>
          <w:sz w:val="22"/>
          <w:szCs w:val="22"/>
        </w:rPr>
      </w:pPr>
      <w:r w:rsidRPr="00883399">
        <w:rPr>
          <w:rFonts w:ascii="Arial" w:hAnsi="Arial" w:cs="Arial"/>
          <w:sz w:val="22"/>
          <w:szCs w:val="22"/>
        </w:rPr>
        <w:t xml:space="preserve">Table 2.4.5A </w:t>
      </w:r>
    </w:p>
    <w:p w14:paraId="53B8E247" w14:textId="77777777" w:rsidR="00872C03" w:rsidRPr="00883399" w:rsidRDefault="00872C03" w:rsidP="00872C03">
      <w:pPr>
        <w:pStyle w:val="R2"/>
        <w:numPr>
          <w:ilvl w:val="0"/>
          <w:numId w:val="13"/>
        </w:numPr>
        <w:tabs>
          <w:tab w:val="clear" w:pos="794"/>
          <w:tab w:val="clear" w:pos="1500"/>
          <w:tab w:val="right" w:pos="480"/>
          <w:tab w:val="num" w:pos="960"/>
        </w:tabs>
        <w:spacing w:before="0"/>
        <w:ind w:hanging="1500"/>
      </w:pPr>
      <w:r w:rsidRPr="00883399">
        <w:rPr>
          <w:rFonts w:ascii="Arial" w:hAnsi="Arial" w:cs="Arial"/>
          <w:sz w:val="22"/>
          <w:szCs w:val="22"/>
        </w:rPr>
        <w:t>Table 2.4.5B</w:t>
      </w:r>
    </w:p>
    <w:p w14:paraId="76CDA86A" w14:textId="77777777" w:rsidR="00872C03" w:rsidRPr="00883399" w:rsidRDefault="00872C03" w:rsidP="00872C03">
      <w:pPr>
        <w:pStyle w:val="R2"/>
        <w:spacing w:before="0" w:after="0"/>
      </w:pPr>
    </w:p>
    <w:p w14:paraId="4AC2D68E" w14:textId="77777777" w:rsidR="00872C03" w:rsidRPr="00883399" w:rsidRDefault="00872C03" w:rsidP="00872C03">
      <w:pPr>
        <w:spacing w:after="0"/>
        <w:rPr>
          <w:sz w:val="20"/>
          <w:szCs w:val="20"/>
        </w:rPr>
      </w:pPr>
      <w:r w:rsidRPr="00883399">
        <w:rPr>
          <w:sz w:val="20"/>
          <w:szCs w:val="20"/>
        </w:rPr>
        <w:t>1.</w:t>
      </w:r>
      <w:r w:rsidRPr="00883399">
        <w:rPr>
          <w:sz w:val="20"/>
          <w:szCs w:val="20"/>
        </w:rPr>
        <w:tab/>
        <w:t>Energy value: Source – DCCEE analysis of NGER reporting data for reporting years 2008-09 to 2010-11 and industry advice.  CO</w:t>
      </w:r>
      <w:r w:rsidRPr="00883399">
        <w:rPr>
          <w:rFonts w:ascii="Times New (W1)" w:hAnsi="Times New (W1)"/>
          <w:sz w:val="20"/>
          <w:szCs w:val="20"/>
          <w:vertAlign w:val="subscript"/>
        </w:rPr>
        <w:t>2</w:t>
      </w:r>
      <w:r w:rsidRPr="00883399">
        <w:rPr>
          <w:sz w:val="20"/>
          <w:szCs w:val="20"/>
        </w:rPr>
        <w:t xml:space="preserve"> emission factor: Source - National Inventory Report 2006, Department of Climate Change.  .  Non-CO</w:t>
      </w:r>
      <w:r w:rsidRPr="00883399">
        <w:rPr>
          <w:rFonts w:ascii="Times New (W1)" w:hAnsi="Times New (W1)"/>
          <w:sz w:val="20"/>
          <w:szCs w:val="20"/>
          <w:vertAlign w:val="subscript"/>
        </w:rPr>
        <w:t>2</w:t>
      </w:r>
      <w:r w:rsidRPr="00883399">
        <w:rPr>
          <w:sz w:val="20"/>
          <w:szCs w:val="20"/>
        </w:rPr>
        <w:t xml:space="preserve"> factors:  Source: AGEIS database, Department of Climate Change and Energy Efficiency and Energy Efficiency.</w:t>
      </w:r>
    </w:p>
    <w:p w14:paraId="2FADDCBB" w14:textId="77777777" w:rsidR="00872C03" w:rsidRPr="00883399" w:rsidRDefault="00872C03" w:rsidP="00872C03">
      <w:pPr>
        <w:spacing w:after="0"/>
        <w:rPr>
          <w:sz w:val="20"/>
          <w:szCs w:val="20"/>
        </w:rPr>
      </w:pPr>
    </w:p>
    <w:p w14:paraId="3BF9AEED" w14:textId="77777777" w:rsidR="00872C03" w:rsidRPr="00883399" w:rsidRDefault="00872C03" w:rsidP="00872C03">
      <w:pPr>
        <w:spacing w:after="0"/>
        <w:rPr>
          <w:sz w:val="20"/>
          <w:szCs w:val="20"/>
        </w:rPr>
      </w:pPr>
      <w:r w:rsidRPr="00883399">
        <w:rPr>
          <w:sz w:val="20"/>
          <w:szCs w:val="20"/>
        </w:rPr>
        <w:t>1A.</w:t>
      </w:r>
      <w:r w:rsidRPr="00883399">
        <w:rPr>
          <w:sz w:val="20"/>
          <w:szCs w:val="20"/>
        </w:rPr>
        <w:tab/>
        <w:t>Energy value: Source – DCCEE analysis of NGER reporting data for reporting years 2008-09 to 2010-11 and industry advice.  CO</w:t>
      </w:r>
      <w:r w:rsidRPr="00883399">
        <w:rPr>
          <w:rFonts w:ascii="Times New (W1)" w:hAnsi="Times New (W1)"/>
          <w:sz w:val="20"/>
          <w:szCs w:val="20"/>
          <w:vertAlign w:val="subscript"/>
        </w:rPr>
        <w:t>2</w:t>
      </w:r>
      <w:r w:rsidRPr="00883399">
        <w:rPr>
          <w:sz w:val="20"/>
          <w:szCs w:val="20"/>
        </w:rPr>
        <w:t xml:space="preserve"> emission factor: Source - National Inventory Report 2006, Department of Climate Change.  .  Non-CO</w:t>
      </w:r>
      <w:r w:rsidRPr="00883399">
        <w:rPr>
          <w:rFonts w:ascii="Times New (W1)" w:hAnsi="Times New (W1)"/>
          <w:sz w:val="20"/>
          <w:szCs w:val="20"/>
          <w:vertAlign w:val="subscript"/>
        </w:rPr>
        <w:t>2</w:t>
      </w:r>
      <w:r w:rsidRPr="00883399">
        <w:rPr>
          <w:sz w:val="20"/>
          <w:szCs w:val="20"/>
        </w:rPr>
        <w:t xml:space="preserve"> factors:  Source: AGEIS database, Department of Climate Change and Energy Efficiency and Energy Efficiency.</w:t>
      </w:r>
    </w:p>
    <w:p w14:paraId="74B88E64" w14:textId="77777777" w:rsidR="00872C03" w:rsidRPr="00883399" w:rsidRDefault="00872C03" w:rsidP="00872C03">
      <w:pPr>
        <w:spacing w:after="0"/>
        <w:rPr>
          <w:sz w:val="20"/>
          <w:szCs w:val="20"/>
        </w:rPr>
      </w:pPr>
    </w:p>
    <w:p w14:paraId="673B796D" w14:textId="77777777" w:rsidR="00872C03" w:rsidRPr="00883399" w:rsidRDefault="00872C03" w:rsidP="00872C03">
      <w:pPr>
        <w:spacing w:after="0"/>
        <w:rPr>
          <w:sz w:val="20"/>
          <w:szCs w:val="20"/>
        </w:rPr>
      </w:pPr>
      <w:r w:rsidRPr="00883399">
        <w:rPr>
          <w:sz w:val="20"/>
          <w:szCs w:val="20"/>
        </w:rPr>
        <w:t>1B.</w:t>
      </w:r>
      <w:r w:rsidRPr="00883399">
        <w:rPr>
          <w:sz w:val="20"/>
          <w:szCs w:val="20"/>
        </w:rPr>
        <w:tab/>
        <w:t>Energy value: Source – DCCEE analysis of NGER reporting data for reporting years 2008-09 to 2010-11 and industry advice.  CO</w:t>
      </w:r>
      <w:r w:rsidRPr="00883399">
        <w:rPr>
          <w:rFonts w:ascii="Times New (W1)" w:hAnsi="Times New (W1)"/>
          <w:sz w:val="20"/>
          <w:szCs w:val="20"/>
          <w:vertAlign w:val="subscript"/>
        </w:rPr>
        <w:t>2</w:t>
      </w:r>
      <w:r w:rsidRPr="00883399">
        <w:rPr>
          <w:sz w:val="20"/>
          <w:szCs w:val="20"/>
        </w:rPr>
        <w:t xml:space="preserve"> emission factor: Source - National Inventory Report 2006, Department of Climate Change.  .  Non-CO</w:t>
      </w:r>
      <w:r w:rsidRPr="00883399">
        <w:rPr>
          <w:rFonts w:ascii="Times New (W1)" w:hAnsi="Times New (W1)"/>
          <w:sz w:val="20"/>
          <w:szCs w:val="20"/>
          <w:vertAlign w:val="subscript"/>
        </w:rPr>
        <w:t>2</w:t>
      </w:r>
      <w:r w:rsidRPr="00883399">
        <w:rPr>
          <w:sz w:val="20"/>
          <w:szCs w:val="20"/>
        </w:rPr>
        <w:t xml:space="preserve"> factors:  Source: AGEIS database, Department of Climate Change and Energy Efficiency and Energy Efficiency.</w:t>
      </w:r>
    </w:p>
    <w:p w14:paraId="6FAE4866" w14:textId="77777777" w:rsidR="00872C03" w:rsidRPr="00883399" w:rsidRDefault="00872C03" w:rsidP="00872C03">
      <w:pPr>
        <w:spacing w:after="0"/>
        <w:rPr>
          <w:sz w:val="20"/>
          <w:szCs w:val="20"/>
        </w:rPr>
      </w:pPr>
    </w:p>
    <w:p w14:paraId="0C1C7049" w14:textId="77777777" w:rsidR="00872C03" w:rsidRPr="00883399" w:rsidRDefault="00872C03" w:rsidP="00872C03">
      <w:pPr>
        <w:spacing w:after="0"/>
        <w:rPr>
          <w:sz w:val="20"/>
          <w:szCs w:val="20"/>
        </w:rPr>
      </w:pPr>
      <w:r w:rsidRPr="00883399">
        <w:rPr>
          <w:sz w:val="20"/>
          <w:szCs w:val="20"/>
        </w:rPr>
        <w:t>2.</w:t>
      </w:r>
      <w:r w:rsidRPr="00883399">
        <w:rPr>
          <w:sz w:val="20"/>
          <w:szCs w:val="20"/>
        </w:rPr>
        <w:tab/>
        <w:t>Energy value: Source – AGEIS database, Department of Climate Change and Energy Efficiency (based on facility reports).   CO</w:t>
      </w:r>
      <w:r w:rsidRPr="00883399">
        <w:rPr>
          <w:rFonts w:ascii="Times New (W1)" w:hAnsi="Times New (W1)"/>
          <w:sz w:val="20"/>
          <w:szCs w:val="20"/>
          <w:vertAlign w:val="subscript"/>
        </w:rPr>
        <w:t>2</w:t>
      </w:r>
      <w:r w:rsidRPr="00883399">
        <w:rPr>
          <w:sz w:val="20"/>
          <w:szCs w:val="20"/>
        </w:rPr>
        <w:t xml:space="preserve"> emission factor: Source - AGEIS database, Department of Climate Change and Energy Efficiency (based on facility reports).  Non-CO</w:t>
      </w:r>
      <w:r w:rsidRPr="00883399">
        <w:rPr>
          <w:rFonts w:ascii="Times New (W1)" w:hAnsi="Times New (W1)"/>
          <w:sz w:val="20"/>
          <w:szCs w:val="20"/>
          <w:vertAlign w:val="subscript"/>
        </w:rPr>
        <w:t>2</w:t>
      </w:r>
      <w:r w:rsidRPr="00883399">
        <w:rPr>
          <w:sz w:val="20"/>
          <w:szCs w:val="20"/>
        </w:rPr>
        <w:t xml:space="preserve"> factors:  Source: AGEIS database, Department of Climate Change and Energy Efficiency. </w:t>
      </w:r>
    </w:p>
    <w:p w14:paraId="3A0C647B" w14:textId="77777777" w:rsidR="00872C03" w:rsidRPr="00883399" w:rsidRDefault="00872C03" w:rsidP="00872C03">
      <w:pPr>
        <w:spacing w:after="0"/>
        <w:rPr>
          <w:sz w:val="20"/>
          <w:szCs w:val="20"/>
        </w:rPr>
      </w:pPr>
      <w:r w:rsidRPr="00883399">
        <w:rPr>
          <w:sz w:val="20"/>
          <w:szCs w:val="20"/>
        </w:rPr>
        <w:t>3.</w:t>
      </w:r>
      <w:r w:rsidRPr="00883399">
        <w:rPr>
          <w:sz w:val="20"/>
          <w:szCs w:val="20"/>
        </w:rPr>
        <w:tab/>
        <w:t>Energy value: Source – ABARE</w:t>
      </w:r>
      <w:r w:rsidRPr="00883399">
        <w:rPr>
          <w:rFonts w:ascii="Times New (W1)" w:hAnsi="Times New (W1)"/>
          <w:sz w:val="20"/>
          <w:szCs w:val="20"/>
          <w:vertAlign w:val="subscript"/>
        </w:rPr>
        <w:t>1</w:t>
      </w:r>
      <w:r w:rsidRPr="00883399">
        <w:rPr>
          <w:sz w:val="20"/>
          <w:szCs w:val="20"/>
        </w:rPr>
        <w:t xml:space="preserve"> (washed coking).   CO</w:t>
      </w:r>
      <w:r w:rsidRPr="00883399">
        <w:rPr>
          <w:rFonts w:ascii="Times New (W1)" w:hAnsi="Times New (W1)"/>
          <w:sz w:val="20"/>
          <w:szCs w:val="20"/>
          <w:vertAlign w:val="subscript"/>
        </w:rPr>
        <w:t>2</w:t>
      </w:r>
      <w:r w:rsidRPr="00883399">
        <w:rPr>
          <w:sz w:val="20"/>
          <w:szCs w:val="20"/>
        </w:rPr>
        <w:t xml:space="preserve"> emission factor: Source - National Inventory Report 2006, Department of Climate Change.  .  Non-CO</w:t>
      </w:r>
      <w:r w:rsidRPr="00883399">
        <w:rPr>
          <w:rFonts w:ascii="Times New (W1)" w:hAnsi="Times New (W1)"/>
          <w:sz w:val="20"/>
          <w:szCs w:val="20"/>
          <w:vertAlign w:val="subscript"/>
        </w:rPr>
        <w:t>2</w:t>
      </w:r>
      <w:r w:rsidRPr="00883399">
        <w:rPr>
          <w:sz w:val="20"/>
          <w:szCs w:val="20"/>
        </w:rPr>
        <w:t xml:space="preserve"> factors:  Source: AGEIS database, Department of Climate Change and Energy Efficiency. </w:t>
      </w:r>
    </w:p>
    <w:p w14:paraId="087792DC" w14:textId="77777777" w:rsidR="00872C03" w:rsidRPr="00883399" w:rsidRDefault="00872C03" w:rsidP="00872C03">
      <w:pPr>
        <w:spacing w:after="0"/>
        <w:rPr>
          <w:sz w:val="20"/>
          <w:szCs w:val="20"/>
        </w:rPr>
      </w:pPr>
    </w:p>
    <w:p w14:paraId="6E49C308" w14:textId="77777777" w:rsidR="00872C03" w:rsidRPr="00883399" w:rsidRDefault="00872C03" w:rsidP="00872C03">
      <w:pPr>
        <w:spacing w:after="0"/>
        <w:rPr>
          <w:sz w:val="20"/>
          <w:szCs w:val="20"/>
        </w:rPr>
      </w:pPr>
      <w:r w:rsidRPr="00883399">
        <w:rPr>
          <w:sz w:val="20"/>
          <w:szCs w:val="20"/>
        </w:rPr>
        <w:t>4.</w:t>
      </w:r>
      <w:r w:rsidRPr="00883399">
        <w:rPr>
          <w:sz w:val="20"/>
          <w:szCs w:val="20"/>
        </w:rPr>
        <w:tab/>
        <w:t>Energy value: Source – ABARE</w:t>
      </w:r>
      <w:r w:rsidRPr="00883399">
        <w:rPr>
          <w:rFonts w:ascii="Times New (W1)" w:hAnsi="Times New (W1)"/>
          <w:sz w:val="20"/>
          <w:szCs w:val="20"/>
          <w:vertAlign w:val="subscript"/>
        </w:rPr>
        <w:t>1</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 AGEIS database, Department of Climate Change and Energy Efficiency (based on facility reports).  .  Non-CO</w:t>
      </w:r>
      <w:r w:rsidRPr="00883399">
        <w:rPr>
          <w:rFonts w:ascii="Times New (W1)" w:hAnsi="Times New (W1)"/>
          <w:sz w:val="20"/>
          <w:szCs w:val="20"/>
          <w:vertAlign w:val="subscript"/>
        </w:rPr>
        <w:t>2</w:t>
      </w:r>
      <w:r w:rsidRPr="00883399">
        <w:rPr>
          <w:sz w:val="20"/>
          <w:szCs w:val="20"/>
        </w:rPr>
        <w:t xml:space="preserve"> factors:  Source: AGEIS database, Department of Climate Change and Energy Efficiency.</w:t>
      </w:r>
    </w:p>
    <w:p w14:paraId="1ECC0431" w14:textId="77777777" w:rsidR="00872C03" w:rsidRPr="00883399" w:rsidRDefault="00872C03" w:rsidP="00872C03">
      <w:pPr>
        <w:spacing w:after="0"/>
        <w:rPr>
          <w:sz w:val="20"/>
          <w:szCs w:val="20"/>
        </w:rPr>
      </w:pPr>
    </w:p>
    <w:p w14:paraId="13C99010" w14:textId="77777777" w:rsidR="00872C03" w:rsidRPr="00883399" w:rsidRDefault="00872C03" w:rsidP="00872C03">
      <w:pPr>
        <w:spacing w:after="0"/>
        <w:rPr>
          <w:sz w:val="20"/>
          <w:szCs w:val="20"/>
        </w:rPr>
      </w:pPr>
      <w:r w:rsidRPr="00883399">
        <w:rPr>
          <w:sz w:val="20"/>
          <w:szCs w:val="20"/>
        </w:rPr>
        <w:t>5.</w:t>
      </w:r>
      <w:r w:rsidRPr="00883399">
        <w:rPr>
          <w:sz w:val="20"/>
          <w:szCs w:val="20"/>
        </w:rPr>
        <w:tab/>
        <w:t>Energy value: Source – ABARE</w:t>
      </w:r>
      <w:r w:rsidRPr="00883399">
        <w:rPr>
          <w:rFonts w:ascii="Times New (W1)" w:hAnsi="Times New (W1)"/>
          <w:sz w:val="20"/>
          <w:szCs w:val="20"/>
          <w:vertAlign w:val="subscript"/>
        </w:rPr>
        <w:t>1</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 National Inventory Report 2006, Department of Climate Change.  .  Non-CO</w:t>
      </w:r>
      <w:r w:rsidRPr="00883399">
        <w:rPr>
          <w:rFonts w:ascii="Times New (W1)" w:hAnsi="Times New (W1)"/>
          <w:sz w:val="20"/>
          <w:szCs w:val="20"/>
          <w:vertAlign w:val="subscript"/>
        </w:rPr>
        <w:t>2</w:t>
      </w:r>
      <w:r w:rsidRPr="00883399">
        <w:rPr>
          <w:sz w:val="20"/>
          <w:szCs w:val="20"/>
        </w:rPr>
        <w:t xml:space="preserve"> factors:  Source: AGEIS database, Department of Climate Change and Energy Efficiency. </w:t>
      </w:r>
    </w:p>
    <w:p w14:paraId="36A87B7F" w14:textId="77777777" w:rsidR="00872C03" w:rsidRPr="00883399" w:rsidRDefault="00872C03" w:rsidP="00872C03">
      <w:pPr>
        <w:spacing w:after="0"/>
        <w:rPr>
          <w:sz w:val="20"/>
          <w:szCs w:val="20"/>
        </w:rPr>
      </w:pPr>
    </w:p>
    <w:p w14:paraId="78968E20" w14:textId="77777777" w:rsidR="00872C03" w:rsidRPr="00883399" w:rsidRDefault="00872C03" w:rsidP="00872C03">
      <w:pPr>
        <w:spacing w:after="0"/>
        <w:rPr>
          <w:sz w:val="20"/>
          <w:szCs w:val="20"/>
        </w:rPr>
      </w:pPr>
      <w:r w:rsidRPr="00883399">
        <w:rPr>
          <w:sz w:val="20"/>
          <w:szCs w:val="20"/>
        </w:rPr>
        <w:t>6.</w:t>
      </w:r>
      <w:r w:rsidRPr="00883399">
        <w:rPr>
          <w:sz w:val="20"/>
          <w:szCs w:val="20"/>
        </w:rPr>
        <w:tab/>
        <w:t>Energy value: Source – ABARE</w:t>
      </w:r>
      <w:r w:rsidRPr="00883399">
        <w:rPr>
          <w:rFonts w:ascii="Times New (W1)" w:hAnsi="Times New (W1)"/>
          <w:sz w:val="20"/>
          <w:szCs w:val="20"/>
          <w:vertAlign w:val="subscript"/>
        </w:rPr>
        <w:t>1</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 National Inventory Report 2006, Department of Climate Change (coal tar).  .  Non-CO2 factors:  Source: AGEIS database, Department of Climate Change and Energy Efficiency.</w:t>
      </w:r>
    </w:p>
    <w:p w14:paraId="42D75D68" w14:textId="77777777" w:rsidR="00872C03" w:rsidRPr="00883399" w:rsidRDefault="00872C03" w:rsidP="00872C03">
      <w:pPr>
        <w:spacing w:after="0"/>
        <w:rPr>
          <w:sz w:val="20"/>
          <w:szCs w:val="20"/>
        </w:rPr>
      </w:pPr>
    </w:p>
    <w:p w14:paraId="5B273B51" w14:textId="77777777" w:rsidR="00872C03" w:rsidRPr="00883399" w:rsidRDefault="00872C03" w:rsidP="00872C03">
      <w:pPr>
        <w:spacing w:after="0"/>
        <w:rPr>
          <w:sz w:val="20"/>
          <w:szCs w:val="20"/>
        </w:rPr>
      </w:pPr>
      <w:r w:rsidRPr="00883399">
        <w:rPr>
          <w:sz w:val="20"/>
          <w:szCs w:val="20"/>
        </w:rPr>
        <w:t>7.</w:t>
      </w:r>
      <w:r w:rsidRPr="00883399">
        <w:rPr>
          <w:sz w:val="20"/>
          <w:szCs w:val="20"/>
        </w:rPr>
        <w:tab/>
        <w:t>See (4)</w:t>
      </w:r>
    </w:p>
    <w:p w14:paraId="0B1B78C8" w14:textId="77777777" w:rsidR="00872C03" w:rsidRPr="00883399" w:rsidRDefault="00872C03" w:rsidP="00872C03">
      <w:pPr>
        <w:spacing w:after="0"/>
        <w:rPr>
          <w:sz w:val="20"/>
          <w:szCs w:val="20"/>
        </w:rPr>
      </w:pPr>
    </w:p>
    <w:p w14:paraId="37F548C7" w14:textId="77777777" w:rsidR="00872C03" w:rsidRPr="00883399" w:rsidRDefault="00872C03" w:rsidP="00872C03">
      <w:pPr>
        <w:spacing w:after="0"/>
        <w:rPr>
          <w:sz w:val="20"/>
          <w:szCs w:val="20"/>
        </w:rPr>
      </w:pPr>
      <w:r w:rsidRPr="00883399">
        <w:rPr>
          <w:sz w:val="20"/>
          <w:szCs w:val="20"/>
        </w:rPr>
        <w:t>8.</w:t>
      </w:r>
      <w:r w:rsidRPr="00883399">
        <w:rPr>
          <w:sz w:val="20"/>
          <w:szCs w:val="20"/>
        </w:rPr>
        <w:tab/>
        <w:t>Energy value: Source – GHD Review of Sectoral Models, Internal report to the AGO, 2006. CO</w:t>
      </w:r>
      <w:r w:rsidRPr="00883399">
        <w:rPr>
          <w:rFonts w:ascii="Times New (W1)" w:hAnsi="Times New (W1)"/>
          <w:sz w:val="20"/>
          <w:szCs w:val="20"/>
          <w:vertAlign w:val="subscript"/>
        </w:rPr>
        <w:t xml:space="preserve">2 </w:t>
      </w:r>
      <w:r w:rsidRPr="00883399">
        <w:rPr>
          <w:sz w:val="20"/>
          <w:szCs w:val="20"/>
        </w:rPr>
        <w:t>emission factor: Source – National Inventory Report 2006, Department of Climate Change.  .  Non-CO</w:t>
      </w:r>
      <w:r w:rsidRPr="00883399">
        <w:rPr>
          <w:rFonts w:ascii="Times New (W1)" w:hAnsi="Times New (W1)"/>
          <w:sz w:val="20"/>
          <w:szCs w:val="20"/>
          <w:vertAlign w:val="subscript"/>
        </w:rPr>
        <w:t>2</w:t>
      </w:r>
      <w:r w:rsidRPr="00883399">
        <w:rPr>
          <w:sz w:val="20"/>
          <w:szCs w:val="20"/>
        </w:rPr>
        <w:t xml:space="preserve"> factors:  Source: AGEIS database, Department of Climate Change and Energy Efficiency.</w:t>
      </w:r>
    </w:p>
    <w:p w14:paraId="57F5D601" w14:textId="77777777" w:rsidR="00872C03" w:rsidRPr="00883399" w:rsidRDefault="00872C03" w:rsidP="00872C03">
      <w:pPr>
        <w:spacing w:after="0"/>
        <w:rPr>
          <w:sz w:val="20"/>
          <w:szCs w:val="20"/>
        </w:rPr>
      </w:pPr>
      <w:r w:rsidRPr="00883399">
        <w:rPr>
          <w:sz w:val="20"/>
          <w:szCs w:val="20"/>
        </w:rPr>
        <w:t xml:space="preserve"> </w:t>
      </w:r>
    </w:p>
    <w:p w14:paraId="0D1FCACB" w14:textId="77777777" w:rsidR="00872C03" w:rsidRPr="00883399" w:rsidRDefault="00872C03" w:rsidP="00872C03">
      <w:pPr>
        <w:spacing w:after="0"/>
        <w:rPr>
          <w:sz w:val="20"/>
          <w:szCs w:val="20"/>
        </w:rPr>
      </w:pPr>
      <w:r w:rsidRPr="00883399">
        <w:rPr>
          <w:sz w:val="20"/>
          <w:szCs w:val="20"/>
        </w:rPr>
        <w:t>9.</w:t>
      </w:r>
      <w:r w:rsidRPr="00883399">
        <w:rPr>
          <w:sz w:val="20"/>
          <w:szCs w:val="20"/>
        </w:rPr>
        <w:tab/>
        <w:t>Energy value: Source – IPCC 2006. Derived from NCV using factor of 5% of gross calorific value. CO</w:t>
      </w:r>
      <w:r w:rsidRPr="00883399">
        <w:rPr>
          <w:rFonts w:ascii="Times New (W1)" w:hAnsi="Times New (W1)"/>
          <w:sz w:val="20"/>
          <w:szCs w:val="20"/>
          <w:vertAlign w:val="subscript"/>
        </w:rPr>
        <w:t>2</w:t>
      </w:r>
      <w:r w:rsidRPr="00883399">
        <w:rPr>
          <w:sz w:val="20"/>
          <w:szCs w:val="20"/>
        </w:rPr>
        <w:t xml:space="preserve"> emission factor: Source: IPCC 2006. Derived using conversion factor of 0.95.  .  Non-CO</w:t>
      </w:r>
      <w:r w:rsidRPr="00883399">
        <w:rPr>
          <w:rFonts w:ascii="Times New (W1)" w:hAnsi="Times New (W1)"/>
          <w:sz w:val="20"/>
          <w:szCs w:val="20"/>
          <w:vertAlign w:val="subscript"/>
        </w:rPr>
        <w:t>2</w:t>
      </w:r>
      <w:r w:rsidRPr="00883399">
        <w:rPr>
          <w:sz w:val="20"/>
          <w:szCs w:val="20"/>
        </w:rPr>
        <w:t xml:space="preserve"> factors:  Source: IPCC 2006. Derived using conversion factor of 0.95.</w:t>
      </w:r>
    </w:p>
    <w:p w14:paraId="17B38CD7" w14:textId="77777777" w:rsidR="00872C03" w:rsidRPr="00883399" w:rsidRDefault="00872C03" w:rsidP="00872C03">
      <w:pPr>
        <w:spacing w:after="0"/>
        <w:rPr>
          <w:sz w:val="20"/>
          <w:szCs w:val="20"/>
        </w:rPr>
      </w:pPr>
    </w:p>
    <w:p w14:paraId="5E2EC555" w14:textId="77777777" w:rsidR="00872C03" w:rsidRPr="00883399" w:rsidRDefault="00872C03" w:rsidP="00872C03">
      <w:pPr>
        <w:spacing w:after="0"/>
        <w:rPr>
          <w:sz w:val="20"/>
          <w:szCs w:val="20"/>
        </w:rPr>
      </w:pPr>
      <w:r w:rsidRPr="00883399">
        <w:rPr>
          <w:sz w:val="20"/>
          <w:szCs w:val="20"/>
        </w:rPr>
        <w:t>10.</w:t>
      </w:r>
      <w:r w:rsidRPr="00883399">
        <w:rPr>
          <w:sz w:val="20"/>
          <w:szCs w:val="20"/>
        </w:rPr>
        <w:tab/>
        <w:t>Energy value: Source: ABARE</w:t>
      </w:r>
      <w:r w:rsidRPr="00883399">
        <w:rPr>
          <w:rFonts w:ascii="Times New (W1)" w:hAnsi="Times New (W1)"/>
          <w:sz w:val="20"/>
          <w:szCs w:val="20"/>
          <w:vertAlign w:val="subscript"/>
        </w:rPr>
        <w:t>1</w:t>
      </w:r>
      <w:r w:rsidRPr="00883399">
        <w:rPr>
          <w:sz w:val="20"/>
          <w:szCs w:val="20"/>
        </w:rPr>
        <w:t xml:space="preserve"> (dry wood).  Non-CO</w:t>
      </w:r>
      <w:r w:rsidRPr="00883399">
        <w:rPr>
          <w:rFonts w:ascii="Times New (W1)" w:hAnsi="Times New (W1)"/>
          <w:sz w:val="20"/>
          <w:szCs w:val="20"/>
          <w:vertAlign w:val="subscript"/>
        </w:rPr>
        <w:t>2</w:t>
      </w:r>
      <w:r w:rsidRPr="00883399">
        <w:rPr>
          <w:sz w:val="20"/>
          <w:szCs w:val="20"/>
        </w:rPr>
        <w:t xml:space="preserve"> factors:  Source: AGEIS database, Department of Climate Change and Energy Efficiency.</w:t>
      </w:r>
    </w:p>
    <w:p w14:paraId="435534AE" w14:textId="77777777" w:rsidR="00872C03" w:rsidRPr="00883399" w:rsidRDefault="00872C03" w:rsidP="00872C03">
      <w:pPr>
        <w:spacing w:after="0"/>
        <w:rPr>
          <w:sz w:val="20"/>
          <w:szCs w:val="20"/>
        </w:rPr>
      </w:pPr>
    </w:p>
    <w:p w14:paraId="36D2D925" w14:textId="77777777" w:rsidR="00872C03" w:rsidRPr="00883399" w:rsidRDefault="00872C03" w:rsidP="00872C03">
      <w:pPr>
        <w:spacing w:after="0"/>
        <w:rPr>
          <w:sz w:val="20"/>
          <w:szCs w:val="20"/>
        </w:rPr>
      </w:pPr>
      <w:r w:rsidRPr="00883399">
        <w:rPr>
          <w:sz w:val="20"/>
          <w:szCs w:val="20"/>
        </w:rPr>
        <w:t>11.</w:t>
      </w:r>
      <w:r w:rsidRPr="00883399">
        <w:rPr>
          <w:sz w:val="20"/>
          <w:szCs w:val="20"/>
        </w:rPr>
        <w:tab/>
        <w:t>Energy value: Source: ABARE</w:t>
      </w:r>
      <w:r w:rsidRPr="00883399">
        <w:rPr>
          <w:rFonts w:ascii="Times New (W1)" w:hAnsi="Times New (W1)"/>
          <w:sz w:val="20"/>
          <w:szCs w:val="20"/>
          <w:vertAlign w:val="subscript"/>
        </w:rPr>
        <w:t>1</w:t>
      </w:r>
      <w:r w:rsidRPr="00883399">
        <w:rPr>
          <w:sz w:val="20"/>
          <w:szCs w:val="20"/>
        </w:rPr>
        <w:t xml:space="preserve"> (green wood).  Non-CO</w:t>
      </w:r>
      <w:r w:rsidRPr="00883399">
        <w:rPr>
          <w:rFonts w:ascii="Times New (W1)" w:hAnsi="Times New (W1)"/>
          <w:sz w:val="20"/>
          <w:szCs w:val="20"/>
          <w:vertAlign w:val="subscript"/>
        </w:rPr>
        <w:t>2</w:t>
      </w:r>
      <w:r w:rsidRPr="00883399">
        <w:rPr>
          <w:sz w:val="20"/>
          <w:szCs w:val="20"/>
        </w:rPr>
        <w:t xml:space="preserve"> factors:  Source: AGEIS database, Department of Climate Change and Energy Efficiency. </w:t>
      </w:r>
    </w:p>
    <w:p w14:paraId="51E1236D" w14:textId="77777777" w:rsidR="00872C03" w:rsidRPr="00883399" w:rsidRDefault="00872C03" w:rsidP="00872C03">
      <w:pPr>
        <w:spacing w:after="0"/>
        <w:rPr>
          <w:sz w:val="20"/>
          <w:szCs w:val="20"/>
        </w:rPr>
      </w:pPr>
    </w:p>
    <w:p w14:paraId="4518F546" w14:textId="77777777" w:rsidR="00872C03" w:rsidRPr="00883399" w:rsidRDefault="00872C03" w:rsidP="00872C03">
      <w:pPr>
        <w:spacing w:after="0"/>
        <w:rPr>
          <w:sz w:val="20"/>
          <w:szCs w:val="20"/>
        </w:rPr>
      </w:pPr>
      <w:r w:rsidRPr="00883399">
        <w:rPr>
          <w:sz w:val="20"/>
          <w:szCs w:val="20"/>
        </w:rPr>
        <w:t>12.</w:t>
      </w:r>
      <w:r w:rsidRPr="00883399">
        <w:rPr>
          <w:sz w:val="20"/>
          <w:szCs w:val="20"/>
        </w:rPr>
        <w:tab/>
        <w:t>Energy value: Source – IPCC 2006. Derived from NCV using factor of 5% of gross calorific value.  Non-CO</w:t>
      </w:r>
      <w:r w:rsidRPr="00883399">
        <w:rPr>
          <w:rFonts w:ascii="Times New (W1)" w:hAnsi="Times New (W1)"/>
          <w:sz w:val="20"/>
          <w:szCs w:val="20"/>
          <w:vertAlign w:val="subscript"/>
        </w:rPr>
        <w:t>2</w:t>
      </w:r>
      <w:r w:rsidRPr="00883399">
        <w:rPr>
          <w:sz w:val="20"/>
          <w:szCs w:val="20"/>
        </w:rPr>
        <w:t xml:space="preserve"> factors:  Source: IPCC 2006. Derived using conversion factor of 0.95.</w:t>
      </w:r>
    </w:p>
    <w:p w14:paraId="69864EC0" w14:textId="77777777" w:rsidR="00872C03" w:rsidRPr="00883399" w:rsidRDefault="00872C03" w:rsidP="00872C03">
      <w:pPr>
        <w:spacing w:after="0"/>
        <w:rPr>
          <w:sz w:val="20"/>
          <w:szCs w:val="20"/>
        </w:rPr>
      </w:pPr>
    </w:p>
    <w:p w14:paraId="60881129" w14:textId="77777777" w:rsidR="00872C03" w:rsidRPr="00883399" w:rsidRDefault="00872C03" w:rsidP="00872C03">
      <w:pPr>
        <w:spacing w:after="0"/>
        <w:rPr>
          <w:sz w:val="20"/>
          <w:szCs w:val="20"/>
        </w:rPr>
      </w:pPr>
      <w:r w:rsidRPr="00883399">
        <w:rPr>
          <w:sz w:val="20"/>
          <w:szCs w:val="20"/>
        </w:rPr>
        <w:t>13.</w:t>
      </w:r>
      <w:r w:rsidRPr="00883399">
        <w:rPr>
          <w:sz w:val="20"/>
          <w:szCs w:val="20"/>
        </w:rPr>
        <w:tab/>
        <w:t>Energy value: Source: ABARE</w:t>
      </w:r>
      <w:r w:rsidRPr="00883399">
        <w:rPr>
          <w:rFonts w:ascii="Times New (W1)" w:hAnsi="Times New (W1)"/>
          <w:sz w:val="20"/>
          <w:szCs w:val="20"/>
          <w:vertAlign w:val="subscript"/>
        </w:rPr>
        <w:t>1</w:t>
      </w:r>
      <w:r w:rsidRPr="00883399">
        <w:rPr>
          <w:sz w:val="20"/>
          <w:szCs w:val="20"/>
        </w:rPr>
        <w:t>.  Non-CO</w:t>
      </w:r>
      <w:r w:rsidRPr="00883399">
        <w:rPr>
          <w:rFonts w:ascii="Times New (W1)" w:hAnsi="Times New (W1)"/>
          <w:sz w:val="20"/>
          <w:szCs w:val="20"/>
          <w:vertAlign w:val="subscript"/>
        </w:rPr>
        <w:t>2</w:t>
      </w:r>
      <w:r w:rsidRPr="00883399">
        <w:rPr>
          <w:sz w:val="20"/>
          <w:szCs w:val="20"/>
        </w:rPr>
        <w:t xml:space="preserve"> factors:  Source: AGEIS database, Department of Climate Change and Energy Efficiency.</w:t>
      </w:r>
    </w:p>
    <w:p w14:paraId="5F0743EF" w14:textId="77777777" w:rsidR="00872C03" w:rsidRPr="00883399" w:rsidRDefault="00872C03" w:rsidP="00872C03">
      <w:pPr>
        <w:spacing w:after="0"/>
        <w:rPr>
          <w:sz w:val="20"/>
          <w:szCs w:val="20"/>
        </w:rPr>
      </w:pPr>
    </w:p>
    <w:p w14:paraId="34C61333" w14:textId="77777777" w:rsidR="00872C03" w:rsidRPr="00883399" w:rsidRDefault="00872C03" w:rsidP="00872C03">
      <w:pPr>
        <w:spacing w:after="0"/>
        <w:rPr>
          <w:sz w:val="20"/>
          <w:szCs w:val="20"/>
        </w:rPr>
      </w:pPr>
      <w:r w:rsidRPr="00883399">
        <w:rPr>
          <w:sz w:val="20"/>
          <w:szCs w:val="20"/>
        </w:rPr>
        <w:lastRenderedPageBreak/>
        <w:t>14.</w:t>
      </w:r>
      <w:r w:rsidRPr="00883399">
        <w:rPr>
          <w:sz w:val="20"/>
          <w:szCs w:val="20"/>
        </w:rPr>
        <w:tab/>
        <w:t>Energy value: Source – IPCC 2006. Derived from NCV using factor of 5% of gross calorific value.  Non-CO</w:t>
      </w:r>
      <w:r w:rsidRPr="00883399">
        <w:rPr>
          <w:rFonts w:ascii="Times New (W1)" w:hAnsi="Times New (W1)"/>
          <w:sz w:val="20"/>
          <w:szCs w:val="20"/>
          <w:vertAlign w:val="subscript"/>
        </w:rPr>
        <w:t>2</w:t>
      </w:r>
      <w:r w:rsidRPr="00883399">
        <w:rPr>
          <w:sz w:val="20"/>
          <w:szCs w:val="20"/>
        </w:rPr>
        <w:t xml:space="preserve"> factors:  Source: IPCC 2006. Derived using conversion factor of 0.95.</w:t>
      </w:r>
    </w:p>
    <w:p w14:paraId="2DDB4A2B" w14:textId="77777777" w:rsidR="00872C03" w:rsidRPr="00883399" w:rsidRDefault="00872C03" w:rsidP="00872C03">
      <w:pPr>
        <w:spacing w:after="0"/>
        <w:rPr>
          <w:sz w:val="20"/>
          <w:szCs w:val="20"/>
        </w:rPr>
      </w:pPr>
    </w:p>
    <w:p w14:paraId="50B927C4" w14:textId="77777777" w:rsidR="00872C03" w:rsidRPr="00883399" w:rsidRDefault="00872C03" w:rsidP="00872C03">
      <w:pPr>
        <w:spacing w:after="0"/>
        <w:rPr>
          <w:sz w:val="20"/>
          <w:szCs w:val="20"/>
        </w:rPr>
      </w:pPr>
      <w:r w:rsidRPr="00883399">
        <w:rPr>
          <w:sz w:val="20"/>
          <w:szCs w:val="20"/>
        </w:rPr>
        <w:t>15.</w:t>
      </w:r>
      <w:r w:rsidRPr="00883399">
        <w:rPr>
          <w:sz w:val="20"/>
          <w:szCs w:val="20"/>
        </w:rPr>
        <w:tab/>
        <w:t>Energy value: Source – IPCC 2006. Derived from NCV using factor of 5% of gross calorific value.  Non-CO</w:t>
      </w:r>
      <w:r w:rsidRPr="00883399">
        <w:rPr>
          <w:rFonts w:ascii="Times New (W1)" w:hAnsi="Times New (W1)"/>
          <w:sz w:val="20"/>
          <w:szCs w:val="20"/>
          <w:vertAlign w:val="subscript"/>
        </w:rPr>
        <w:t>2</w:t>
      </w:r>
      <w:r w:rsidRPr="00883399">
        <w:rPr>
          <w:sz w:val="20"/>
          <w:szCs w:val="20"/>
        </w:rPr>
        <w:t xml:space="preserve"> factors:  Source: IPCC 2006. Derived using conversion factor of 0.95. </w:t>
      </w:r>
    </w:p>
    <w:p w14:paraId="6A37635E" w14:textId="77777777" w:rsidR="00872C03" w:rsidRPr="00883399" w:rsidRDefault="00872C03" w:rsidP="00872C03">
      <w:pPr>
        <w:spacing w:after="0"/>
        <w:rPr>
          <w:sz w:val="20"/>
          <w:szCs w:val="20"/>
        </w:rPr>
      </w:pPr>
    </w:p>
    <w:p w14:paraId="69EBECD4" w14:textId="77777777" w:rsidR="00872C03" w:rsidRPr="00883399" w:rsidRDefault="00872C03" w:rsidP="00872C03">
      <w:pPr>
        <w:spacing w:after="0"/>
        <w:rPr>
          <w:sz w:val="20"/>
          <w:szCs w:val="20"/>
        </w:rPr>
      </w:pPr>
      <w:r w:rsidRPr="00883399">
        <w:rPr>
          <w:sz w:val="20"/>
          <w:szCs w:val="20"/>
        </w:rPr>
        <w:t>16.</w:t>
      </w:r>
      <w:r w:rsidRPr="00883399">
        <w:rPr>
          <w:sz w:val="20"/>
          <w:szCs w:val="20"/>
        </w:rPr>
        <w:tab/>
        <w:t>See (14)</w:t>
      </w:r>
    </w:p>
    <w:p w14:paraId="1AE97F7F" w14:textId="77777777" w:rsidR="00872C03" w:rsidRPr="00883399" w:rsidRDefault="00872C03" w:rsidP="00872C03">
      <w:pPr>
        <w:spacing w:after="0"/>
        <w:rPr>
          <w:sz w:val="20"/>
          <w:szCs w:val="20"/>
        </w:rPr>
      </w:pPr>
    </w:p>
    <w:p w14:paraId="0ACCF5FE" w14:textId="77777777" w:rsidR="00872C03" w:rsidRPr="00883399" w:rsidRDefault="00872C03" w:rsidP="00872C03">
      <w:pPr>
        <w:spacing w:after="0"/>
        <w:rPr>
          <w:sz w:val="20"/>
          <w:szCs w:val="20"/>
        </w:rPr>
      </w:pPr>
      <w:r w:rsidRPr="00883399">
        <w:rPr>
          <w:sz w:val="20"/>
          <w:szCs w:val="20"/>
        </w:rPr>
        <w:t>17.</w:t>
      </w:r>
      <w:r w:rsidRPr="00883399">
        <w:rPr>
          <w:sz w:val="20"/>
          <w:szCs w:val="20"/>
        </w:rPr>
        <w:tab/>
        <w:t>Energy value: Source: ABARE</w:t>
      </w:r>
      <w:r w:rsidRPr="00883399">
        <w:rPr>
          <w:rFonts w:ascii="Times New (W1)" w:hAnsi="Times New (W1)"/>
          <w:sz w:val="20"/>
          <w:szCs w:val="20"/>
          <w:vertAlign w:val="subscript"/>
        </w:rPr>
        <w:t>1</w:t>
      </w:r>
      <w:r w:rsidRPr="00883399">
        <w:rPr>
          <w:sz w:val="20"/>
          <w:szCs w:val="20"/>
        </w:rPr>
        <w:t xml:space="preserve"> (weighted average). CO</w:t>
      </w:r>
      <w:r w:rsidRPr="00883399">
        <w:rPr>
          <w:rFonts w:ascii="Times New (W1)" w:hAnsi="Times New (W1)"/>
          <w:sz w:val="20"/>
          <w:szCs w:val="20"/>
          <w:vertAlign w:val="subscript"/>
        </w:rPr>
        <w:t>2</w:t>
      </w:r>
      <w:r w:rsidRPr="00883399">
        <w:rPr>
          <w:sz w:val="20"/>
          <w:szCs w:val="20"/>
        </w:rPr>
        <w:t xml:space="preserve"> emission factor: Source - AGEIS database, Department of Climate Change and Energy Efficiency. Non-CO</w:t>
      </w:r>
      <w:r w:rsidRPr="00883399">
        <w:rPr>
          <w:rFonts w:ascii="Times New (W1)" w:hAnsi="Times New (W1)"/>
          <w:sz w:val="20"/>
          <w:szCs w:val="20"/>
          <w:vertAlign w:val="subscript"/>
        </w:rPr>
        <w:t>2</w:t>
      </w:r>
      <w:r w:rsidRPr="00883399">
        <w:rPr>
          <w:sz w:val="20"/>
          <w:szCs w:val="20"/>
        </w:rPr>
        <w:t xml:space="preserve"> factors:  Source: AGEIS database, Department of Climate Change and Energy Efficiency.</w:t>
      </w:r>
    </w:p>
    <w:p w14:paraId="7405D65B" w14:textId="77777777" w:rsidR="00872C03" w:rsidRPr="00883399" w:rsidRDefault="00872C03" w:rsidP="00872C03">
      <w:pPr>
        <w:spacing w:after="0"/>
        <w:rPr>
          <w:sz w:val="20"/>
          <w:szCs w:val="20"/>
        </w:rPr>
      </w:pPr>
    </w:p>
    <w:p w14:paraId="1EFD4D08" w14:textId="77777777" w:rsidR="00872C03" w:rsidRPr="00883399" w:rsidRDefault="00872C03" w:rsidP="00872C03">
      <w:pPr>
        <w:spacing w:after="0"/>
        <w:rPr>
          <w:sz w:val="20"/>
          <w:szCs w:val="20"/>
        </w:rPr>
      </w:pPr>
      <w:r w:rsidRPr="00883399">
        <w:rPr>
          <w:sz w:val="20"/>
          <w:szCs w:val="20"/>
        </w:rPr>
        <w:t>18.</w:t>
      </w:r>
      <w:r w:rsidRPr="00883399">
        <w:rPr>
          <w:sz w:val="20"/>
          <w:szCs w:val="20"/>
        </w:rPr>
        <w:tab/>
        <w:t>Energy value: Source: ABARE</w:t>
      </w:r>
      <w:r w:rsidRPr="00883399">
        <w:rPr>
          <w:rFonts w:ascii="Times New (W1)" w:hAnsi="Times New (W1)"/>
          <w:sz w:val="20"/>
          <w:szCs w:val="20"/>
          <w:vertAlign w:val="subscript"/>
        </w:rPr>
        <w:t>1</w:t>
      </w:r>
      <w:r w:rsidRPr="00883399">
        <w:rPr>
          <w:sz w:val="20"/>
          <w:szCs w:val="20"/>
        </w:rPr>
        <w:t xml:space="preserve"> (coal seam methane). CO</w:t>
      </w:r>
      <w:r w:rsidRPr="00883399">
        <w:rPr>
          <w:rFonts w:ascii="Times New (W1)" w:hAnsi="Times New (W1)"/>
          <w:sz w:val="20"/>
          <w:szCs w:val="20"/>
          <w:vertAlign w:val="subscript"/>
        </w:rPr>
        <w:t>2</w:t>
      </w:r>
      <w:r w:rsidRPr="00883399">
        <w:rPr>
          <w:sz w:val="20"/>
          <w:szCs w:val="20"/>
        </w:rPr>
        <w:t xml:space="preserve"> emission factor: Source - AGEIS database, Department of Climate Change and Energy Efficiency. Non-CO</w:t>
      </w:r>
      <w:r w:rsidRPr="00883399">
        <w:rPr>
          <w:rFonts w:ascii="Times New (W1)" w:hAnsi="Times New (W1)"/>
          <w:sz w:val="20"/>
          <w:szCs w:val="20"/>
          <w:vertAlign w:val="subscript"/>
        </w:rPr>
        <w:t>2</w:t>
      </w:r>
      <w:r w:rsidRPr="00883399">
        <w:rPr>
          <w:sz w:val="20"/>
          <w:szCs w:val="20"/>
        </w:rPr>
        <w:t xml:space="preserve"> factors:  Source: AGEIS database, Department of Climate Change and Energy Efficiency. </w:t>
      </w:r>
    </w:p>
    <w:p w14:paraId="7680FC00" w14:textId="77777777" w:rsidR="00872C03" w:rsidRPr="00883399" w:rsidRDefault="00872C03" w:rsidP="00872C03">
      <w:pPr>
        <w:spacing w:after="0"/>
        <w:rPr>
          <w:sz w:val="20"/>
          <w:szCs w:val="20"/>
        </w:rPr>
      </w:pPr>
    </w:p>
    <w:p w14:paraId="4D5092DF" w14:textId="77777777" w:rsidR="00872C03" w:rsidRPr="00883399" w:rsidRDefault="00872C03" w:rsidP="00872C03">
      <w:pPr>
        <w:spacing w:after="0"/>
        <w:rPr>
          <w:sz w:val="20"/>
          <w:szCs w:val="20"/>
        </w:rPr>
      </w:pPr>
      <w:r w:rsidRPr="00883399">
        <w:rPr>
          <w:sz w:val="20"/>
          <w:szCs w:val="20"/>
        </w:rPr>
        <w:t>19.</w:t>
      </w:r>
      <w:r w:rsidRPr="00883399">
        <w:rPr>
          <w:sz w:val="20"/>
          <w:szCs w:val="20"/>
        </w:rPr>
        <w:tab/>
        <w:t>Energy value: Source: ABARE</w:t>
      </w:r>
      <w:r w:rsidRPr="00883399">
        <w:rPr>
          <w:rFonts w:ascii="Times New (W1)" w:hAnsi="Times New (W1)"/>
          <w:sz w:val="20"/>
          <w:szCs w:val="20"/>
          <w:vertAlign w:val="subscript"/>
        </w:rPr>
        <w:t>1</w:t>
      </w:r>
      <w:r w:rsidRPr="00883399">
        <w:rPr>
          <w:sz w:val="20"/>
          <w:szCs w:val="20"/>
        </w:rPr>
        <w:t xml:space="preserve"> (coal seam methane). CO</w:t>
      </w:r>
      <w:r w:rsidRPr="00883399">
        <w:rPr>
          <w:rFonts w:ascii="Times New (W1)" w:hAnsi="Times New (W1)"/>
          <w:sz w:val="20"/>
          <w:szCs w:val="20"/>
          <w:vertAlign w:val="subscript"/>
        </w:rPr>
        <w:t>2</w:t>
      </w:r>
      <w:r w:rsidRPr="00883399">
        <w:rPr>
          <w:sz w:val="20"/>
          <w:szCs w:val="20"/>
        </w:rPr>
        <w:t xml:space="preserve"> emission factor: Source - AGEIS database, Department of Climate Change and Energy Efficiency. Non-CO</w:t>
      </w:r>
      <w:r w:rsidRPr="00883399">
        <w:rPr>
          <w:rFonts w:ascii="Times New (W1)" w:hAnsi="Times New (W1)"/>
          <w:sz w:val="20"/>
          <w:szCs w:val="20"/>
          <w:vertAlign w:val="subscript"/>
        </w:rPr>
        <w:t>2</w:t>
      </w:r>
      <w:r w:rsidRPr="00883399">
        <w:rPr>
          <w:sz w:val="20"/>
          <w:szCs w:val="20"/>
        </w:rPr>
        <w:t xml:space="preserve"> factors:  Source: AGEIS database, Department of Climate Change and Energy Efficiency.</w:t>
      </w:r>
    </w:p>
    <w:p w14:paraId="271F4D0E" w14:textId="77777777" w:rsidR="00872C03" w:rsidRPr="00883399" w:rsidRDefault="00872C03" w:rsidP="00872C03">
      <w:pPr>
        <w:spacing w:after="0"/>
        <w:rPr>
          <w:sz w:val="20"/>
          <w:szCs w:val="20"/>
        </w:rPr>
      </w:pPr>
    </w:p>
    <w:p w14:paraId="76DBD5F8" w14:textId="77777777" w:rsidR="00872C03" w:rsidRPr="00883399" w:rsidRDefault="00872C03" w:rsidP="00872C03">
      <w:pPr>
        <w:spacing w:after="0"/>
        <w:rPr>
          <w:sz w:val="20"/>
          <w:szCs w:val="20"/>
        </w:rPr>
      </w:pPr>
      <w:r w:rsidRPr="00883399">
        <w:rPr>
          <w:sz w:val="20"/>
          <w:szCs w:val="20"/>
        </w:rPr>
        <w:t>20.</w:t>
      </w:r>
      <w:r w:rsidRPr="00883399">
        <w:rPr>
          <w:sz w:val="20"/>
          <w:szCs w:val="20"/>
        </w:rPr>
        <w:tab/>
        <w:t>See (17)</w:t>
      </w:r>
    </w:p>
    <w:p w14:paraId="6AAC7AA9" w14:textId="77777777" w:rsidR="00872C03" w:rsidRPr="00883399" w:rsidRDefault="00872C03" w:rsidP="00872C03">
      <w:pPr>
        <w:spacing w:after="0"/>
        <w:rPr>
          <w:sz w:val="20"/>
          <w:szCs w:val="20"/>
        </w:rPr>
      </w:pPr>
    </w:p>
    <w:p w14:paraId="75EA9110" w14:textId="77777777" w:rsidR="00872C03" w:rsidRPr="00883399" w:rsidRDefault="00872C03" w:rsidP="00872C03">
      <w:pPr>
        <w:spacing w:after="0"/>
        <w:rPr>
          <w:sz w:val="20"/>
          <w:szCs w:val="20"/>
        </w:rPr>
      </w:pPr>
      <w:r w:rsidRPr="00883399">
        <w:rPr>
          <w:sz w:val="20"/>
          <w:szCs w:val="20"/>
        </w:rPr>
        <w:t>21.</w:t>
      </w:r>
      <w:r w:rsidRPr="00883399">
        <w:rPr>
          <w:sz w:val="20"/>
          <w:szCs w:val="20"/>
        </w:rPr>
        <w:tab/>
        <w:t>See (17)</w:t>
      </w:r>
    </w:p>
    <w:p w14:paraId="42CC13B0" w14:textId="77777777" w:rsidR="00872C03" w:rsidRPr="00883399" w:rsidRDefault="00872C03" w:rsidP="00872C03">
      <w:pPr>
        <w:spacing w:after="0"/>
        <w:rPr>
          <w:sz w:val="20"/>
          <w:szCs w:val="20"/>
        </w:rPr>
      </w:pPr>
    </w:p>
    <w:p w14:paraId="2A1C30F6" w14:textId="77777777" w:rsidR="00872C03" w:rsidRPr="00883399" w:rsidRDefault="00872C03" w:rsidP="00872C03">
      <w:pPr>
        <w:spacing w:after="0"/>
        <w:rPr>
          <w:sz w:val="20"/>
          <w:szCs w:val="20"/>
        </w:rPr>
      </w:pPr>
      <w:r w:rsidRPr="00883399">
        <w:rPr>
          <w:sz w:val="20"/>
          <w:szCs w:val="20"/>
        </w:rPr>
        <w:t>22.</w:t>
      </w:r>
      <w:r w:rsidRPr="00883399">
        <w:rPr>
          <w:sz w:val="20"/>
          <w:szCs w:val="20"/>
        </w:rPr>
        <w:tab/>
        <w:t>Energy value: Source: ABARE</w:t>
      </w:r>
      <w:r w:rsidRPr="00883399">
        <w:rPr>
          <w:rFonts w:ascii="Times New (W1)" w:hAnsi="Times New (W1)"/>
          <w:sz w:val="20"/>
          <w:szCs w:val="20"/>
          <w:vertAlign w:val="subscript"/>
        </w:rPr>
        <w:t>1</w:t>
      </w:r>
      <w:r w:rsidRPr="00883399">
        <w:rPr>
          <w:sz w:val="20"/>
          <w:szCs w:val="20"/>
        </w:rPr>
        <w:t xml:space="preserve"> (weighted average). CO</w:t>
      </w:r>
      <w:r w:rsidRPr="00883399">
        <w:rPr>
          <w:rFonts w:ascii="Times New (W1)" w:hAnsi="Times New (W1)"/>
          <w:sz w:val="20"/>
          <w:szCs w:val="20"/>
          <w:vertAlign w:val="subscript"/>
        </w:rPr>
        <w:t>2</w:t>
      </w:r>
      <w:r w:rsidRPr="00883399">
        <w:rPr>
          <w:sz w:val="20"/>
          <w:szCs w:val="20"/>
        </w:rPr>
        <w:t xml:space="preserve"> emission factor: Source – National Inventory Report 2006, Department of Climate Change.. Non-CO</w:t>
      </w:r>
      <w:r w:rsidRPr="00883399">
        <w:rPr>
          <w:rFonts w:ascii="Times New (W1)" w:hAnsi="Times New (W1)"/>
          <w:sz w:val="20"/>
          <w:szCs w:val="20"/>
          <w:vertAlign w:val="subscript"/>
        </w:rPr>
        <w:t>2</w:t>
      </w:r>
      <w:r w:rsidRPr="00883399">
        <w:rPr>
          <w:sz w:val="20"/>
          <w:szCs w:val="20"/>
        </w:rPr>
        <w:t xml:space="preserve"> factors:  Source: AGEIS database, Department of Climate Change and Energy Efficiency.</w:t>
      </w:r>
    </w:p>
    <w:p w14:paraId="168F2809" w14:textId="77777777" w:rsidR="00872C03" w:rsidRPr="00883399" w:rsidRDefault="00872C03" w:rsidP="00872C03">
      <w:pPr>
        <w:spacing w:after="0"/>
        <w:rPr>
          <w:sz w:val="20"/>
          <w:szCs w:val="20"/>
        </w:rPr>
      </w:pPr>
    </w:p>
    <w:p w14:paraId="0CFF8C82" w14:textId="77777777" w:rsidR="00872C03" w:rsidRPr="00883399" w:rsidRDefault="00872C03" w:rsidP="00872C03">
      <w:pPr>
        <w:spacing w:after="0"/>
        <w:rPr>
          <w:sz w:val="20"/>
          <w:szCs w:val="20"/>
        </w:rPr>
      </w:pPr>
      <w:r w:rsidRPr="00883399">
        <w:rPr>
          <w:sz w:val="20"/>
          <w:szCs w:val="20"/>
        </w:rPr>
        <w:t>23.</w:t>
      </w:r>
      <w:r w:rsidRPr="00883399">
        <w:rPr>
          <w:sz w:val="20"/>
          <w:szCs w:val="20"/>
        </w:rPr>
        <w:tab/>
        <w:t>Energy value: Source: ABARE</w:t>
      </w:r>
      <w:r w:rsidRPr="00883399">
        <w:rPr>
          <w:rFonts w:ascii="Times New (W1)" w:hAnsi="Times New (W1)"/>
          <w:sz w:val="20"/>
          <w:szCs w:val="20"/>
          <w:vertAlign w:val="subscript"/>
        </w:rPr>
        <w:t>1</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 National Inventory Report 2006, Department of Climate Change. Non-CO</w:t>
      </w:r>
      <w:r w:rsidRPr="00883399">
        <w:rPr>
          <w:rFonts w:ascii="Times New (W1)" w:hAnsi="Times New (W1)"/>
          <w:sz w:val="20"/>
          <w:szCs w:val="20"/>
          <w:vertAlign w:val="subscript"/>
        </w:rPr>
        <w:t>2</w:t>
      </w:r>
      <w:r w:rsidRPr="00883399">
        <w:rPr>
          <w:sz w:val="20"/>
          <w:szCs w:val="20"/>
        </w:rPr>
        <w:t xml:space="preserve"> factors:  Source: AGEIS database, Department of Climate Change and Energy Efficiency.</w:t>
      </w:r>
    </w:p>
    <w:p w14:paraId="42BE0349" w14:textId="77777777" w:rsidR="00872C03" w:rsidRPr="00883399" w:rsidRDefault="00872C03" w:rsidP="00872C03">
      <w:pPr>
        <w:spacing w:after="0"/>
        <w:rPr>
          <w:sz w:val="20"/>
          <w:szCs w:val="20"/>
        </w:rPr>
      </w:pPr>
    </w:p>
    <w:p w14:paraId="0E90D9DE" w14:textId="77777777" w:rsidR="00872C03" w:rsidRPr="00883399" w:rsidRDefault="00872C03" w:rsidP="00872C03">
      <w:pPr>
        <w:spacing w:after="0"/>
        <w:rPr>
          <w:sz w:val="20"/>
          <w:szCs w:val="20"/>
        </w:rPr>
      </w:pPr>
      <w:r w:rsidRPr="00883399">
        <w:rPr>
          <w:sz w:val="20"/>
          <w:szCs w:val="20"/>
        </w:rPr>
        <w:t>24.</w:t>
      </w:r>
      <w:r w:rsidRPr="00883399">
        <w:rPr>
          <w:sz w:val="20"/>
          <w:szCs w:val="20"/>
        </w:rPr>
        <w:tab/>
        <w:t>Energy value: Source – ABARE</w:t>
      </w:r>
      <w:r w:rsidRPr="00883399">
        <w:rPr>
          <w:rFonts w:ascii="Times New (W1)" w:hAnsi="Times New (W1)"/>
          <w:sz w:val="20"/>
          <w:szCs w:val="20"/>
          <w:vertAlign w:val="subscript"/>
        </w:rPr>
        <w:t>1</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IPCC 2006. Derived using conversion factor of 0.90.  .  Non-CO</w:t>
      </w:r>
      <w:r w:rsidRPr="00883399">
        <w:rPr>
          <w:rFonts w:ascii="Times New (W1)" w:hAnsi="Times New (W1)"/>
          <w:sz w:val="20"/>
          <w:szCs w:val="20"/>
          <w:vertAlign w:val="subscript"/>
        </w:rPr>
        <w:t>2</w:t>
      </w:r>
      <w:r w:rsidRPr="00883399">
        <w:rPr>
          <w:sz w:val="20"/>
          <w:szCs w:val="20"/>
        </w:rPr>
        <w:t xml:space="preserve"> factors:  Source: IPCC 2006. Derived using conversion factor of 0.90.</w:t>
      </w:r>
    </w:p>
    <w:p w14:paraId="6602E506" w14:textId="77777777" w:rsidR="00872C03" w:rsidRPr="00883399" w:rsidRDefault="00872C03" w:rsidP="00872C03">
      <w:pPr>
        <w:spacing w:after="0"/>
        <w:rPr>
          <w:sz w:val="20"/>
          <w:szCs w:val="20"/>
        </w:rPr>
      </w:pPr>
    </w:p>
    <w:p w14:paraId="18190D0B" w14:textId="77777777" w:rsidR="00872C03" w:rsidRPr="00883399" w:rsidRDefault="00872C03" w:rsidP="00872C03">
      <w:pPr>
        <w:spacing w:after="0"/>
        <w:rPr>
          <w:sz w:val="20"/>
          <w:szCs w:val="20"/>
        </w:rPr>
      </w:pPr>
      <w:r w:rsidRPr="00883399">
        <w:rPr>
          <w:sz w:val="20"/>
          <w:szCs w:val="20"/>
        </w:rPr>
        <w:lastRenderedPageBreak/>
        <w:t>25.</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xml:space="preserve"> (synthetic natural gas).  CO</w:t>
      </w:r>
      <w:r w:rsidRPr="00883399">
        <w:rPr>
          <w:rFonts w:ascii="Times New (W1)" w:hAnsi="Times New (W1)"/>
          <w:sz w:val="20"/>
          <w:szCs w:val="20"/>
          <w:vertAlign w:val="subscript"/>
        </w:rPr>
        <w:t>2</w:t>
      </w:r>
      <w:r w:rsidRPr="00883399">
        <w:rPr>
          <w:sz w:val="20"/>
          <w:szCs w:val="20"/>
        </w:rPr>
        <w:t xml:space="preserve"> emission factor: Source: National Inventory Report 2006, Department of Climate Change..  Non-CO</w:t>
      </w:r>
      <w:r w:rsidRPr="00883399">
        <w:rPr>
          <w:rFonts w:ascii="Times New (W1)" w:hAnsi="Times New (W1)"/>
          <w:sz w:val="20"/>
          <w:szCs w:val="20"/>
          <w:vertAlign w:val="subscript"/>
        </w:rPr>
        <w:t>2</w:t>
      </w:r>
      <w:r w:rsidRPr="00883399">
        <w:rPr>
          <w:sz w:val="20"/>
          <w:szCs w:val="20"/>
        </w:rPr>
        <w:t xml:space="preserve"> factors:  Source: AGEIS database.</w:t>
      </w:r>
    </w:p>
    <w:p w14:paraId="14162E20" w14:textId="77777777" w:rsidR="00872C03" w:rsidRPr="00883399" w:rsidRDefault="00872C03" w:rsidP="00872C03">
      <w:pPr>
        <w:spacing w:after="0"/>
        <w:rPr>
          <w:sz w:val="20"/>
          <w:szCs w:val="20"/>
        </w:rPr>
      </w:pPr>
    </w:p>
    <w:p w14:paraId="31F42DE9" w14:textId="77777777" w:rsidR="00872C03" w:rsidRPr="00883399" w:rsidRDefault="00872C03" w:rsidP="00872C03">
      <w:pPr>
        <w:spacing w:after="0"/>
        <w:rPr>
          <w:sz w:val="20"/>
          <w:szCs w:val="20"/>
        </w:rPr>
      </w:pPr>
      <w:r w:rsidRPr="00883399">
        <w:rPr>
          <w:sz w:val="20"/>
          <w:szCs w:val="20"/>
        </w:rPr>
        <w:t>26.</w:t>
      </w:r>
      <w:r w:rsidRPr="00883399">
        <w:rPr>
          <w:sz w:val="20"/>
          <w:szCs w:val="20"/>
        </w:rPr>
        <w:tab/>
        <w:t>Energy value: Source – ABARE</w:t>
      </w:r>
      <w:r w:rsidRPr="00883399">
        <w:rPr>
          <w:rFonts w:ascii="Times New (W1)" w:hAnsi="Times New (W1)"/>
          <w:sz w:val="20"/>
          <w:szCs w:val="20"/>
          <w:vertAlign w:val="subscript"/>
        </w:rPr>
        <w:t>1</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 AGEIS database, Department of Climate Change and Energy Efficiency. Non-CO</w:t>
      </w:r>
      <w:r w:rsidRPr="00883399">
        <w:rPr>
          <w:rFonts w:ascii="Times New (W1)" w:hAnsi="Times New (W1)"/>
          <w:sz w:val="20"/>
          <w:szCs w:val="20"/>
          <w:vertAlign w:val="subscript"/>
        </w:rPr>
        <w:t>2</w:t>
      </w:r>
      <w:r w:rsidRPr="00883399">
        <w:rPr>
          <w:sz w:val="20"/>
          <w:szCs w:val="20"/>
        </w:rPr>
        <w:t xml:space="preserve"> factors:  Source: AGEIS database, Department of Climate Change and Energy Efficiency.</w:t>
      </w:r>
    </w:p>
    <w:p w14:paraId="7F920487" w14:textId="77777777" w:rsidR="00872C03" w:rsidRPr="00883399" w:rsidRDefault="00872C03" w:rsidP="00872C03">
      <w:pPr>
        <w:spacing w:after="0"/>
        <w:rPr>
          <w:sz w:val="20"/>
          <w:szCs w:val="20"/>
        </w:rPr>
      </w:pPr>
    </w:p>
    <w:p w14:paraId="1FC4BAC9" w14:textId="77777777" w:rsidR="00872C03" w:rsidRPr="00883399" w:rsidRDefault="00872C03" w:rsidP="00872C03">
      <w:pPr>
        <w:spacing w:after="0"/>
        <w:rPr>
          <w:sz w:val="20"/>
          <w:szCs w:val="20"/>
        </w:rPr>
      </w:pPr>
      <w:r w:rsidRPr="00883399">
        <w:rPr>
          <w:sz w:val="20"/>
          <w:szCs w:val="20"/>
        </w:rPr>
        <w:t>27.</w:t>
      </w:r>
      <w:r w:rsidRPr="00883399">
        <w:rPr>
          <w:sz w:val="20"/>
          <w:szCs w:val="20"/>
        </w:rPr>
        <w:tab/>
        <w:t>See (17)</w:t>
      </w:r>
    </w:p>
    <w:p w14:paraId="593E81B7" w14:textId="77777777" w:rsidR="00872C03" w:rsidRPr="00883399" w:rsidRDefault="00872C03" w:rsidP="00872C03">
      <w:pPr>
        <w:spacing w:after="0"/>
        <w:rPr>
          <w:sz w:val="20"/>
          <w:szCs w:val="20"/>
        </w:rPr>
      </w:pPr>
    </w:p>
    <w:p w14:paraId="4E033B5F" w14:textId="77777777" w:rsidR="00872C03" w:rsidRPr="00883399" w:rsidRDefault="00872C03" w:rsidP="00872C03">
      <w:pPr>
        <w:spacing w:after="0"/>
        <w:rPr>
          <w:sz w:val="20"/>
          <w:szCs w:val="20"/>
        </w:rPr>
      </w:pPr>
      <w:r w:rsidRPr="00883399">
        <w:rPr>
          <w:sz w:val="20"/>
          <w:szCs w:val="20"/>
        </w:rPr>
        <w:t>28.</w:t>
      </w:r>
      <w:r w:rsidRPr="00883399">
        <w:rPr>
          <w:sz w:val="20"/>
          <w:szCs w:val="20"/>
        </w:rPr>
        <w:tab/>
        <w:t>Energy value: Source – ABARE</w:t>
      </w:r>
      <w:r w:rsidRPr="00883399">
        <w:rPr>
          <w:rFonts w:ascii="Times New (W1)" w:hAnsi="Times New (W1)"/>
          <w:sz w:val="20"/>
          <w:szCs w:val="20"/>
          <w:vertAlign w:val="subscript"/>
        </w:rPr>
        <w:t>1</w:t>
      </w:r>
      <w:r w:rsidRPr="00883399">
        <w:rPr>
          <w:sz w:val="20"/>
          <w:szCs w:val="20"/>
        </w:rPr>
        <w:t>.  Non-CO</w:t>
      </w:r>
      <w:r w:rsidRPr="00883399">
        <w:rPr>
          <w:rFonts w:ascii="Times New (W1)" w:hAnsi="Times New (W1)"/>
          <w:sz w:val="20"/>
          <w:szCs w:val="20"/>
          <w:vertAlign w:val="subscript"/>
        </w:rPr>
        <w:t>2</w:t>
      </w:r>
      <w:r w:rsidRPr="00883399">
        <w:rPr>
          <w:sz w:val="20"/>
          <w:szCs w:val="20"/>
        </w:rPr>
        <w:t xml:space="preserve"> factors:  Source: AGEIS database, Department of Climate Change and Energy Efficiency.</w:t>
      </w:r>
    </w:p>
    <w:p w14:paraId="6D0988F2" w14:textId="77777777" w:rsidR="00872C03" w:rsidRPr="00883399" w:rsidRDefault="00872C03" w:rsidP="00872C03">
      <w:pPr>
        <w:spacing w:after="0"/>
        <w:rPr>
          <w:sz w:val="20"/>
          <w:szCs w:val="20"/>
        </w:rPr>
      </w:pPr>
    </w:p>
    <w:p w14:paraId="21D79929" w14:textId="77777777" w:rsidR="00872C03" w:rsidRPr="00883399" w:rsidRDefault="00872C03" w:rsidP="00872C03">
      <w:pPr>
        <w:spacing w:after="0"/>
        <w:rPr>
          <w:sz w:val="20"/>
          <w:szCs w:val="20"/>
        </w:rPr>
      </w:pPr>
      <w:r w:rsidRPr="00883399">
        <w:rPr>
          <w:sz w:val="20"/>
          <w:szCs w:val="20"/>
        </w:rPr>
        <w:t>29.</w:t>
      </w:r>
      <w:r w:rsidRPr="00883399">
        <w:rPr>
          <w:sz w:val="20"/>
          <w:szCs w:val="20"/>
        </w:rPr>
        <w:tab/>
        <w:t>Energy value: Source – ABARE</w:t>
      </w:r>
      <w:r w:rsidRPr="00883399">
        <w:rPr>
          <w:rFonts w:ascii="Times New (W1)" w:hAnsi="Times New (W1)"/>
          <w:sz w:val="20"/>
          <w:szCs w:val="20"/>
          <w:vertAlign w:val="subscript"/>
        </w:rPr>
        <w:t>1</w:t>
      </w:r>
      <w:r w:rsidRPr="00883399">
        <w:rPr>
          <w:sz w:val="20"/>
          <w:szCs w:val="20"/>
        </w:rPr>
        <w:t>.  Non-CO</w:t>
      </w:r>
      <w:r w:rsidRPr="00883399">
        <w:rPr>
          <w:rFonts w:ascii="Times New (W1)" w:hAnsi="Times New (W1)"/>
          <w:sz w:val="20"/>
          <w:szCs w:val="20"/>
          <w:vertAlign w:val="subscript"/>
        </w:rPr>
        <w:t>2</w:t>
      </w:r>
      <w:r w:rsidRPr="00883399">
        <w:rPr>
          <w:sz w:val="20"/>
          <w:szCs w:val="20"/>
        </w:rPr>
        <w:t xml:space="preserve"> factors:  Source: AGEIS database, Department of Climate Change and Energy Efficiency.</w:t>
      </w:r>
    </w:p>
    <w:p w14:paraId="671B8D70" w14:textId="77777777" w:rsidR="00872C03" w:rsidRPr="00883399" w:rsidRDefault="00872C03" w:rsidP="00872C03">
      <w:pPr>
        <w:spacing w:after="0"/>
        <w:rPr>
          <w:sz w:val="20"/>
          <w:szCs w:val="20"/>
        </w:rPr>
      </w:pPr>
    </w:p>
    <w:p w14:paraId="270DEFD5" w14:textId="77777777" w:rsidR="00872C03" w:rsidRPr="00883399" w:rsidRDefault="00872C03" w:rsidP="00872C03">
      <w:pPr>
        <w:spacing w:after="0"/>
        <w:rPr>
          <w:sz w:val="20"/>
          <w:szCs w:val="20"/>
        </w:rPr>
      </w:pPr>
      <w:r w:rsidRPr="00883399">
        <w:rPr>
          <w:sz w:val="20"/>
          <w:szCs w:val="20"/>
        </w:rPr>
        <w:t>30.</w:t>
      </w:r>
      <w:r w:rsidRPr="00883399">
        <w:rPr>
          <w:sz w:val="20"/>
          <w:szCs w:val="20"/>
        </w:rPr>
        <w:tab/>
        <w:t xml:space="preserve">See (28) </w:t>
      </w:r>
    </w:p>
    <w:p w14:paraId="5CB698AB" w14:textId="77777777" w:rsidR="00872C03" w:rsidRPr="00883399" w:rsidRDefault="00872C03" w:rsidP="00872C03">
      <w:pPr>
        <w:spacing w:after="0"/>
        <w:rPr>
          <w:sz w:val="20"/>
          <w:szCs w:val="20"/>
        </w:rPr>
      </w:pPr>
    </w:p>
    <w:p w14:paraId="640BAD3D" w14:textId="77777777" w:rsidR="00872C03" w:rsidRPr="00883399" w:rsidRDefault="00872C03" w:rsidP="00872C03">
      <w:pPr>
        <w:spacing w:after="0"/>
        <w:rPr>
          <w:sz w:val="20"/>
          <w:szCs w:val="20"/>
        </w:rPr>
      </w:pPr>
      <w:r w:rsidRPr="00883399">
        <w:rPr>
          <w:sz w:val="20"/>
          <w:szCs w:val="20"/>
        </w:rPr>
        <w:t>31.</w:t>
      </w:r>
      <w:r w:rsidRPr="00883399">
        <w:rPr>
          <w:sz w:val="20"/>
          <w:szCs w:val="20"/>
        </w:rPr>
        <w:tab/>
        <w:t>Energy value: Source – ABARE</w:t>
      </w:r>
      <w:r w:rsidRPr="00883399">
        <w:rPr>
          <w:rFonts w:ascii="Times New (W1)" w:hAnsi="Times New (W1)"/>
          <w:sz w:val="20"/>
          <w:szCs w:val="20"/>
          <w:vertAlign w:val="subscript"/>
        </w:rPr>
        <w:t>2</w:t>
      </w:r>
      <w:r w:rsidRPr="00883399">
        <w:rPr>
          <w:rFonts w:ascii="Times New (W1)" w:hAnsi="Times New (W1)"/>
          <w:sz w:val="20"/>
          <w:szCs w:val="20"/>
        </w:rPr>
        <w:t xml:space="preserve"> (lubricants and greases)</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National Inventory Report 2006, Department of Climate Change </w:t>
      </w:r>
      <w:r w:rsidRPr="00883399">
        <w:rPr>
          <w:rFonts w:ascii="Times New (W1)" w:hAnsi="Times New (W1)"/>
          <w:sz w:val="20"/>
          <w:szCs w:val="20"/>
        </w:rPr>
        <w:t>(lubricants)</w:t>
      </w:r>
      <w:r w:rsidRPr="00883399">
        <w:rPr>
          <w:sz w:val="20"/>
          <w:szCs w:val="20"/>
        </w:rPr>
        <w:t>. Oxidation factor 0.</w:t>
      </w:r>
      <w:r w:rsidR="0037070D" w:rsidRPr="00883399">
        <w:rPr>
          <w:sz w:val="20"/>
          <w:szCs w:val="20"/>
        </w:rPr>
        <w:t>2</w:t>
      </w:r>
      <w:r w:rsidRPr="00883399">
        <w:rPr>
          <w:sz w:val="20"/>
          <w:szCs w:val="20"/>
        </w:rPr>
        <w:t>.  Non-CO</w:t>
      </w:r>
      <w:r w:rsidRPr="00883399">
        <w:rPr>
          <w:rFonts w:ascii="Times New (W1)" w:hAnsi="Times New (W1)"/>
          <w:sz w:val="20"/>
          <w:szCs w:val="20"/>
          <w:vertAlign w:val="subscript"/>
        </w:rPr>
        <w:t>2</w:t>
      </w:r>
      <w:r w:rsidRPr="00883399">
        <w:rPr>
          <w:sz w:val="20"/>
          <w:szCs w:val="20"/>
        </w:rPr>
        <w:t xml:space="preserve"> factors:  nil.</w:t>
      </w:r>
    </w:p>
    <w:p w14:paraId="2F01E430" w14:textId="77777777" w:rsidR="00872C03" w:rsidRPr="00883399" w:rsidRDefault="00872C03" w:rsidP="00872C03">
      <w:pPr>
        <w:spacing w:after="0"/>
        <w:rPr>
          <w:sz w:val="20"/>
          <w:szCs w:val="20"/>
        </w:rPr>
      </w:pPr>
    </w:p>
    <w:p w14:paraId="769BD5E8" w14:textId="77777777" w:rsidR="00872C03" w:rsidRPr="00883399" w:rsidRDefault="00872C03" w:rsidP="00872C03">
      <w:pPr>
        <w:spacing w:after="0"/>
        <w:rPr>
          <w:sz w:val="20"/>
          <w:szCs w:val="20"/>
        </w:rPr>
      </w:pPr>
      <w:r w:rsidRPr="00883399">
        <w:rPr>
          <w:sz w:val="20"/>
          <w:szCs w:val="20"/>
        </w:rPr>
        <w:t>32.</w:t>
      </w:r>
      <w:r w:rsidRPr="00883399">
        <w:rPr>
          <w:sz w:val="20"/>
          <w:szCs w:val="20"/>
        </w:rPr>
        <w:tab/>
        <w:t>Energy value: Source – ABARE</w:t>
      </w:r>
      <w:r w:rsidRPr="00883399">
        <w:rPr>
          <w:rFonts w:ascii="Times New (W1)" w:hAnsi="Times New (W1)"/>
          <w:sz w:val="20"/>
          <w:szCs w:val="20"/>
          <w:vertAlign w:val="subscript"/>
        </w:rPr>
        <w:t>2</w:t>
      </w:r>
      <w:r w:rsidRPr="00883399">
        <w:rPr>
          <w:rFonts w:ascii="Times New (W1)" w:hAnsi="Times New (W1)"/>
          <w:sz w:val="20"/>
          <w:szCs w:val="20"/>
        </w:rPr>
        <w:t xml:space="preserve"> (lubricants and greases)</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National Inventory Report 2006, Department of Climate Change </w:t>
      </w:r>
      <w:r w:rsidRPr="00883399">
        <w:rPr>
          <w:rFonts w:ascii="Times New (W1)" w:hAnsi="Times New (W1)"/>
          <w:sz w:val="20"/>
          <w:szCs w:val="20"/>
        </w:rPr>
        <w:t>(lubricants)</w:t>
      </w:r>
      <w:r w:rsidRPr="00883399">
        <w:rPr>
          <w:sz w:val="20"/>
          <w:szCs w:val="20"/>
        </w:rPr>
        <w:t>. Oxidation factor 0.</w:t>
      </w:r>
      <w:r w:rsidR="0037070D" w:rsidRPr="00883399">
        <w:rPr>
          <w:sz w:val="20"/>
          <w:szCs w:val="20"/>
        </w:rPr>
        <w:t>2</w:t>
      </w:r>
      <w:r w:rsidRPr="00883399">
        <w:rPr>
          <w:sz w:val="20"/>
          <w:szCs w:val="20"/>
        </w:rPr>
        <w:t>.  Non-CO</w:t>
      </w:r>
      <w:r w:rsidRPr="00883399">
        <w:rPr>
          <w:rFonts w:ascii="Times New (W1)" w:hAnsi="Times New (W1)"/>
          <w:sz w:val="20"/>
          <w:szCs w:val="20"/>
          <w:vertAlign w:val="subscript"/>
        </w:rPr>
        <w:t>2</w:t>
      </w:r>
      <w:r w:rsidRPr="00883399">
        <w:rPr>
          <w:sz w:val="20"/>
          <w:szCs w:val="20"/>
        </w:rPr>
        <w:t xml:space="preserve"> factors:  nil.</w:t>
      </w:r>
    </w:p>
    <w:p w14:paraId="536A28A1" w14:textId="77777777" w:rsidR="00872C03" w:rsidRPr="00883399" w:rsidRDefault="00872C03" w:rsidP="00872C03">
      <w:pPr>
        <w:spacing w:after="0"/>
        <w:rPr>
          <w:sz w:val="20"/>
          <w:szCs w:val="20"/>
        </w:rPr>
      </w:pPr>
    </w:p>
    <w:p w14:paraId="2AA5925D" w14:textId="77777777" w:rsidR="00872C03" w:rsidRPr="00883399" w:rsidRDefault="00872C03" w:rsidP="00872C03">
      <w:pPr>
        <w:spacing w:after="0"/>
        <w:rPr>
          <w:sz w:val="20"/>
          <w:szCs w:val="20"/>
        </w:rPr>
      </w:pPr>
    </w:p>
    <w:p w14:paraId="2CECC683" w14:textId="77777777" w:rsidR="00872C03" w:rsidRPr="00883399" w:rsidRDefault="00872C03" w:rsidP="00872C03">
      <w:pPr>
        <w:spacing w:after="0"/>
        <w:rPr>
          <w:sz w:val="20"/>
          <w:szCs w:val="20"/>
        </w:rPr>
      </w:pPr>
      <w:r w:rsidRPr="00883399">
        <w:rPr>
          <w:sz w:val="20"/>
          <w:szCs w:val="20"/>
        </w:rPr>
        <w:t>33.</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xml:space="preserve"> (weighted average).  CO</w:t>
      </w:r>
      <w:r w:rsidRPr="00883399">
        <w:rPr>
          <w:rFonts w:ascii="Times New (W1)" w:hAnsi="Times New (W1)"/>
          <w:sz w:val="20"/>
          <w:szCs w:val="20"/>
          <w:vertAlign w:val="subscript"/>
        </w:rPr>
        <w:t>2</w:t>
      </w:r>
      <w:r w:rsidRPr="00883399">
        <w:rPr>
          <w:sz w:val="20"/>
          <w:szCs w:val="20"/>
        </w:rPr>
        <w:t xml:space="preserve"> emission factor: Source: IPCC 2006. Derived using conversion factor of 0.95.  .  Non-CO</w:t>
      </w:r>
      <w:r w:rsidRPr="00883399">
        <w:rPr>
          <w:rFonts w:ascii="Times New (W1)" w:hAnsi="Times New (W1)"/>
          <w:sz w:val="20"/>
          <w:szCs w:val="20"/>
          <w:vertAlign w:val="subscript"/>
        </w:rPr>
        <w:t>2</w:t>
      </w:r>
      <w:r w:rsidRPr="00883399">
        <w:rPr>
          <w:sz w:val="20"/>
          <w:szCs w:val="20"/>
        </w:rPr>
        <w:t xml:space="preserve"> factors:  IPCC 2006 (Energy Industries).  Derived using conversion factor of 0.95.</w:t>
      </w:r>
    </w:p>
    <w:p w14:paraId="1288696F" w14:textId="77777777" w:rsidR="00872C03" w:rsidRPr="00883399" w:rsidRDefault="00872C03" w:rsidP="00872C03">
      <w:pPr>
        <w:spacing w:after="0"/>
        <w:rPr>
          <w:sz w:val="20"/>
          <w:szCs w:val="20"/>
        </w:rPr>
      </w:pPr>
    </w:p>
    <w:p w14:paraId="164172A3" w14:textId="77777777" w:rsidR="00872C03" w:rsidRPr="00883399" w:rsidRDefault="00872C03" w:rsidP="00872C03">
      <w:pPr>
        <w:spacing w:after="0"/>
        <w:rPr>
          <w:sz w:val="20"/>
          <w:szCs w:val="20"/>
        </w:rPr>
      </w:pPr>
      <w:r w:rsidRPr="00883399">
        <w:rPr>
          <w:sz w:val="20"/>
          <w:szCs w:val="20"/>
        </w:rPr>
        <w:t>34.</w:t>
      </w:r>
      <w:r w:rsidRPr="00883399">
        <w:rPr>
          <w:sz w:val="20"/>
          <w:szCs w:val="20"/>
        </w:rPr>
        <w:tab/>
        <w:t>Energy value: Source – IPCC 2006. Derived from NCV using factor of 5% of gross calorific value. CO</w:t>
      </w:r>
      <w:r w:rsidRPr="00883399">
        <w:rPr>
          <w:rFonts w:ascii="Times New (W1)" w:hAnsi="Times New (W1)"/>
          <w:sz w:val="20"/>
          <w:szCs w:val="20"/>
          <w:vertAlign w:val="subscript"/>
        </w:rPr>
        <w:t>2</w:t>
      </w:r>
      <w:r w:rsidRPr="00883399">
        <w:rPr>
          <w:sz w:val="20"/>
          <w:szCs w:val="20"/>
        </w:rPr>
        <w:t xml:space="preserve"> emission factor: Source: IPCC 2006. Derived using conversion factor of 0.95.  .  Non-CO</w:t>
      </w:r>
      <w:r w:rsidRPr="00883399">
        <w:rPr>
          <w:rFonts w:ascii="Times New (W1)" w:hAnsi="Times New (W1)"/>
          <w:sz w:val="20"/>
          <w:szCs w:val="20"/>
          <w:vertAlign w:val="subscript"/>
        </w:rPr>
        <w:t>2</w:t>
      </w:r>
      <w:r w:rsidRPr="00883399">
        <w:rPr>
          <w:sz w:val="20"/>
          <w:szCs w:val="20"/>
        </w:rPr>
        <w:t xml:space="preserve"> factors:  IPCC 2006 (Energy Industries).  Derived using conversion factor of 0.95.</w:t>
      </w:r>
    </w:p>
    <w:p w14:paraId="67D78A3D" w14:textId="77777777" w:rsidR="00872C03" w:rsidRPr="00883399" w:rsidRDefault="00872C03" w:rsidP="00872C03">
      <w:pPr>
        <w:spacing w:after="0"/>
        <w:rPr>
          <w:sz w:val="20"/>
          <w:szCs w:val="20"/>
        </w:rPr>
      </w:pPr>
    </w:p>
    <w:p w14:paraId="52DF3ABF" w14:textId="77777777" w:rsidR="00872C03" w:rsidRPr="00883399" w:rsidRDefault="00872C03" w:rsidP="00872C03">
      <w:pPr>
        <w:spacing w:after="0"/>
        <w:rPr>
          <w:sz w:val="20"/>
          <w:szCs w:val="20"/>
        </w:rPr>
      </w:pPr>
      <w:r w:rsidRPr="00883399">
        <w:rPr>
          <w:sz w:val="20"/>
          <w:szCs w:val="20"/>
        </w:rPr>
        <w:lastRenderedPageBreak/>
        <w:t>35.</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National Inventory Report 2006, Department of Climate Change..  Non-CO</w:t>
      </w:r>
      <w:r w:rsidRPr="00883399">
        <w:rPr>
          <w:rFonts w:ascii="Times New (W1)" w:hAnsi="Times New (W1)"/>
          <w:sz w:val="20"/>
          <w:szCs w:val="20"/>
          <w:vertAlign w:val="subscript"/>
        </w:rPr>
        <w:t>2</w:t>
      </w:r>
      <w:r w:rsidRPr="00883399">
        <w:rPr>
          <w:sz w:val="20"/>
          <w:szCs w:val="20"/>
        </w:rPr>
        <w:t xml:space="preserve"> factors:  AGEIS database, Department of Climate Change and Energy Efficiency.</w:t>
      </w:r>
    </w:p>
    <w:p w14:paraId="58DDA380" w14:textId="77777777" w:rsidR="00872C03" w:rsidRPr="00883399" w:rsidRDefault="00872C03" w:rsidP="00872C03">
      <w:pPr>
        <w:spacing w:after="0"/>
        <w:rPr>
          <w:sz w:val="20"/>
          <w:szCs w:val="20"/>
        </w:rPr>
      </w:pPr>
    </w:p>
    <w:p w14:paraId="49D657D7" w14:textId="77777777" w:rsidR="00872C03" w:rsidRPr="00883399" w:rsidRDefault="00872C03" w:rsidP="00872C03">
      <w:pPr>
        <w:spacing w:after="0"/>
        <w:rPr>
          <w:sz w:val="20"/>
          <w:szCs w:val="20"/>
        </w:rPr>
      </w:pPr>
      <w:r w:rsidRPr="00883399">
        <w:rPr>
          <w:sz w:val="20"/>
          <w:szCs w:val="20"/>
        </w:rPr>
        <w:t>36.</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National Inventory Report 2006, Department of Climate Change.  Non-CO</w:t>
      </w:r>
      <w:r w:rsidRPr="00883399">
        <w:rPr>
          <w:rFonts w:ascii="Times New (W1)" w:hAnsi="Times New (W1)"/>
          <w:sz w:val="20"/>
          <w:szCs w:val="20"/>
          <w:vertAlign w:val="subscript"/>
        </w:rPr>
        <w:t>2</w:t>
      </w:r>
      <w:r w:rsidRPr="00883399">
        <w:rPr>
          <w:sz w:val="20"/>
          <w:szCs w:val="20"/>
        </w:rPr>
        <w:t xml:space="preserve"> factors:  AGEIS database, Department of Climate Change and Energy Efficiency.</w:t>
      </w:r>
    </w:p>
    <w:p w14:paraId="3EF4B3FD" w14:textId="77777777" w:rsidR="00872C03" w:rsidRPr="00883399" w:rsidRDefault="00872C03" w:rsidP="00872C03">
      <w:pPr>
        <w:spacing w:after="0"/>
        <w:rPr>
          <w:sz w:val="20"/>
          <w:szCs w:val="20"/>
        </w:rPr>
      </w:pPr>
    </w:p>
    <w:p w14:paraId="4CA9C56E" w14:textId="77777777" w:rsidR="00872C03" w:rsidRPr="00883399" w:rsidRDefault="00872C03" w:rsidP="00872C03">
      <w:pPr>
        <w:spacing w:after="0"/>
        <w:rPr>
          <w:sz w:val="20"/>
          <w:szCs w:val="20"/>
        </w:rPr>
      </w:pPr>
      <w:r w:rsidRPr="00883399">
        <w:rPr>
          <w:sz w:val="20"/>
          <w:szCs w:val="20"/>
        </w:rPr>
        <w:t>37.</w:t>
      </w:r>
      <w:r w:rsidRPr="00883399">
        <w:rPr>
          <w:sz w:val="20"/>
          <w:szCs w:val="20"/>
        </w:rPr>
        <w:tab/>
        <w:t>Energy value: Source – ABARE</w:t>
      </w:r>
      <w:r w:rsidRPr="00883399">
        <w:rPr>
          <w:rFonts w:ascii="Times New (W1)" w:hAnsi="Times New (W1)"/>
          <w:sz w:val="20"/>
          <w:szCs w:val="20"/>
          <w:vertAlign w:val="subscript"/>
        </w:rPr>
        <w:t>2</w:t>
      </w:r>
      <w:r w:rsidRPr="00883399">
        <w:rPr>
          <w:rFonts w:ascii="Times New (W1)" w:hAnsi="Times New (W1)"/>
          <w:sz w:val="20"/>
          <w:szCs w:val="20"/>
        </w:rPr>
        <w:t xml:space="preserve"> (power kerosene)</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National Inventory Report 2006, Department of Climate Change.  Non-CO</w:t>
      </w:r>
      <w:r w:rsidRPr="00883399">
        <w:rPr>
          <w:rFonts w:ascii="Times New (W1)" w:hAnsi="Times New (W1)"/>
          <w:sz w:val="20"/>
          <w:szCs w:val="20"/>
          <w:vertAlign w:val="subscript"/>
        </w:rPr>
        <w:t>2</w:t>
      </w:r>
      <w:r w:rsidRPr="00883399">
        <w:rPr>
          <w:sz w:val="20"/>
          <w:szCs w:val="20"/>
        </w:rPr>
        <w:t xml:space="preserve"> factors:  AGEIS database, Department of Climate Change and Energy Efficiency.</w:t>
      </w:r>
    </w:p>
    <w:p w14:paraId="2807E29B" w14:textId="77777777" w:rsidR="00872C03" w:rsidRPr="00883399" w:rsidRDefault="00872C03" w:rsidP="00872C03">
      <w:pPr>
        <w:spacing w:after="0"/>
        <w:rPr>
          <w:sz w:val="20"/>
          <w:szCs w:val="20"/>
        </w:rPr>
      </w:pPr>
    </w:p>
    <w:p w14:paraId="518D1F63" w14:textId="77777777" w:rsidR="00872C03" w:rsidRPr="00883399" w:rsidRDefault="00872C03" w:rsidP="00872C03">
      <w:pPr>
        <w:spacing w:after="0"/>
        <w:rPr>
          <w:sz w:val="20"/>
          <w:szCs w:val="20"/>
        </w:rPr>
      </w:pPr>
      <w:r w:rsidRPr="00883399">
        <w:rPr>
          <w:sz w:val="20"/>
          <w:szCs w:val="20"/>
        </w:rPr>
        <w:t>38.</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National Inventory Report 2006, Department of Climate Change..  Non-CO</w:t>
      </w:r>
      <w:r w:rsidRPr="00883399">
        <w:rPr>
          <w:rFonts w:ascii="Times New (W1)" w:hAnsi="Times New (W1)"/>
          <w:sz w:val="20"/>
          <w:szCs w:val="20"/>
          <w:vertAlign w:val="subscript"/>
        </w:rPr>
        <w:t xml:space="preserve">2 </w:t>
      </w:r>
      <w:r w:rsidRPr="00883399">
        <w:rPr>
          <w:sz w:val="20"/>
          <w:szCs w:val="20"/>
        </w:rPr>
        <w:t>factors:  AGEIS database, Department of Climate Change and Energy Efficiency.</w:t>
      </w:r>
    </w:p>
    <w:p w14:paraId="2DF9F2F5" w14:textId="77777777" w:rsidR="00872C03" w:rsidRPr="00883399" w:rsidRDefault="00872C03" w:rsidP="00872C03">
      <w:pPr>
        <w:spacing w:after="0"/>
        <w:rPr>
          <w:sz w:val="20"/>
          <w:szCs w:val="20"/>
        </w:rPr>
      </w:pPr>
    </w:p>
    <w:p w14:paraId="68EA5A3F" w14:textId="77777777" w:rsidR="00872C03" w:rsidRPr="00883399" w:rsidRDefault="00872C03" w:rsidP="00872C03">
      <w:pPr>
        <w:spacing w:after="0"/>
        <w:rPr>
          <w:sz w:val="20"/>
          <w:szCs w:val="20"/>
        </w:rPr>
      </w:pPr>
      <w:r w:rsidRPr="00883399">
        <w:rPr>
          <w:sz w:val="20"/>
          <w:szCs w:val="20"/>
        </w:rPr>
        <w:t>39.</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National Inventory Report 2006, Department of Climate Change..  Non-CO</w:t>
      </w:r>
      <w:r w:rsidRPr="00883399">
        <w:rPr>
          <w:rFonts w:ascii="Times New (W1)" w:hAnsi="Times New (W1)"/>
          <w:sz w:val="20"/>
          <w:szCs w:val="20"/>
          <w:vertAlign w:val="subscript"/>
        </w:rPr>
        <w:t>2</w:t>
      </w:r>
      <w:r w:rsidRPr="00883399">
        <w:rPr>
          <w:sz w:val="20"/>
          <w:szCs w:val="20"/>
        </w:rPr>
        <w:t xml:space="preserve"> factors:  AGEIS database, Department of Climate Change and Energy Efficiency.</w:t>
      </w:r>
    </w:p>
    <w:p w14:paraId="01951A67" w14:textId="77777777" w:rsidR="00872C03" w:rsidRPr="00883399" w:rsidRDefault="00872C03" w:rsidP="00872C03">
      <w:pPr>
        <w:spacing w:after="0"/>
        <w:rPr>
          <w:sz w:val="20"/>
          <w:szCs w:val="20"/>
        </w:rPr>
      </w:pPr>
    </w:p>
    <w:p w14:paraId="50228A07" w14:textId="77777777" w:rsidR="00872C03" w:rsidRPr="00883399" w:rsidRDefault="00872C03" w:rsidP="00872C03">
      <w:pPr>
        <w:spacing w:after="0"/>
        <w:rPr>
          <w:sz w:val="20"/>
          <w:szCs w:val="20"/>
        </w:rPr>
      </w:pPr>
      <w:r w:rsidRPr="00883399">
        <w:rPr>
          <w:sz w:val="20"/>
          <w:szCs w:val="20"/>
        </w:rPr>
        <w:t>40.</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National Inventory Report 2006, Department of Climate Change..  Non-CO</w:t>
      </w:r>
      <w:r w:rsidRPr="00883399">
        <w:rPr>
          <w:rFonts w:ascii="Times New (W1)" w:hAnsi="Times New (W1)"/>
          <w:sz w:val="20"/>
          <w:szCs w:val="20"/>
          <w:vertAlign w:val="subscript"/>
        </w:rPr>
        <w:t>2</w:t>
      </w:r>
      <w:r w:rsidRPr="00883399">
        <w:rPr>
          <w:sz w:val="20"/>
          <w:szCs w:val="20"/>
        </w:rPr>
        <w:t xml:space="preserve"> factors:  AGEIS database, Department of Climate Change and Energy Efficiency.</w:t>
      </w:r>
    </w:p>
    <w:p w14:paraId="5816199E" w14:textId="77777777" w:rsidR="00872C03" w:rsidRPr="00883399" w:rsidRDefault="00872C03" w:rsidP="00872C03">
      <w:pPr>
        <w:spacing w:after="0"/>
        <w:rPr>
          <w:sz w:val="20"/>
          <w:szCs w:val="20"/>
        </w:rPr>
      </w:pPr>
    </w:p>
    <w:p w14:paraId="62E196FE" w14:textId="77777777" w:rsidR="00872C03" w:rsidRPr="00883399" w:rsidRDefault="00872C03" w:rsidP="00872C03">
      <w:pPr>
        <w:spacing w:after="0"/>
        <w:rPr>
          <w:sz w:val="20"/>
          <w:szCs w:val="20"/>
        </w:rPr>
      </w:pPr>
      <w:r w:rsidRPr="00883399">
        <w:rPr>
          <w:sz w:val="20"/>
          <w:szCs w:val="20"/>
        </w:rPr>
        <w:t>41.</w:t>
      </w:r>
      <w:r w:rsidRPr="00883399">
        <w:rPr>
          <w:sz w:val="20"/>
          <w:szCs w:val="20"/>
        </w:rPr>
        <w:tab/>
        <w:t>Energy value: Source – ABARE</w:t>
      </w:r>
      <w:r w:rsidRPr="00883399">
        <w:rPr>
          <w:rFonts w:ascii="Times New (W1)" w:hAnsi="Times New (W1)"/>
          <w:sz w:val="20"/>
          <w:szCs w:val="20"/>
          <w:vertAlign w:val="subscript"/>
        </w:rPr>
        <w:t>2</w:t>
      </w:r>
      <w:r w:rsidRPr="00883399">
        <w:rPr>
          <w:rFonts w:ascii="Times New (W1)" w:hAnsi="Times New (W1)"/>
          <w:sz w:val="20"/>
          <w:szCs w:val="20"/>
        </w:rPr>
        <w:t xml:space="preserve"> (low sulphur)</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National Inventory Report 2006, Department of Climate Change. Derived using conversion factor of 0.95.  .  Non-CO</w:t>
      </w:r>
      <w:r w:rsidRPr="00883399">
        <w:rPr>
          <w:rFonts w:ascii="Times New (W1)" w:hAnsi="Times New (W1)"/>
          <w:sz w:val="20"/>
          <w:szCs w:val="20"/>
          <w:vertAlign w:val="subscript"/>
        </w:rPr>
        <w:t>2</w:t>
      </w:r>
      <w:r w:rsidRPr="00883399">
        <w:rPr>
          <w:sz w:val="20"/>
          <w:szCs w:val="20"/>
        </w:rPr>
        <w:t xml:space="preserve"> factors:  AGEIS database, Department of Climate Change and Energy Efficiency.</w:t>
      </w:r>
    </w:p>
    <w:p w14:paraId="036A6AE4" w14:textId="77777777" w:rsidR="00872C03" w:rsidRPr="00883399" w:rsidRDefault="00872C03" w:rsidP="00872C03">
      <w:pPr>
        <w:spacing w:after="0"/>
        <w:rPr>
          <w:sz w:val="20"/>
          <w:szCs w:val="20"/>
        </w:rPr>
      </w:pPr>
    </w:p>
    <w:p w14:paraId="24934D6D" w14:textId="77777777" w:rsidR="00872C03" w:rsidRPr="00883399" w:rsidRDefault="00872C03" w:rsidP="00872C03">
      <w:pPr>
        <w:spacing w:after="0"/>
        <w:rPr>
          <w:sz w:val="20"/>
          <w:szCs w:val="20"/>
        </w:rPr>
      </w:pPr>
      <w:r w:rsidRPr="00883399">
        <w:rPr>
          <w:sz w:val="20"/>
          <w:szCs w:val="20"/>
        </w:rPr>
        <w:t>42.</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Given same energy content as solvents. CO</w:t>
      </w:r>
      <w:r w:rsidRPr="00883399">
        <w:rPr>
          <w:rFonts w:ascii="Times New (W1)" w:hAnsi="Times New (W1)"/>
          <w:sz w:val="20"/>
          <w:szCs w:val="20"/>
          <w:vertAlign w:val="subscript"/>
        </w:rPr>
        <w:t xml:space="preserve">2 </w:t>
      </w:r>
      <w:r w:rsidRPr="00883399">
        <w:rPr>
          <w:sz w:val="20"/>
          <w:szCs w:val="20"/>
        </w:rPr>
        <w:t>emission factor: Source: National Inventory Report 2006, Department of Climate Change (assumed same as solvents)..  Non-CO</w:t>
      </w:r>
      <w:r w:rsidRPr="00883399">
        <w:rPr>
          <w:rFonts w:ascii="Times New (W1)" w:hAnsi="Times New (W1)"/>
          <w:sz w:val="20"/>
          <w:szCs w:val="20"/>
          <w:vertAlign w:val="subscript"/>
        </w:rPr>
        <w:t>2</w:t>
      </w:r>
      <w:r w:rsidRPr="00883399">
        <w:rPr>
          <w:sz w:val="20"/>
          <w:szCs w:val="20"/>
        </w:rPr>
        <w:t xml:space="preserve"> factors:  AGEIS database, Department of Climate Change and Energy Efficiency.</w:t>
      </w:r>
    </w:p>
    <w:p w14:paraId="420E0299" w14:textId="77777777" w:rsidR="00872C03" w:rsidRPr="00883399" w:rsidRDefault="00872C03" w:rsidP="00872C03">
      <w:pPr>
        <w:spacing w:after="0"/>
        <w:rPr>
          <w:sz w:val="20"/>
          <w:szCs w:val="20"/>
        </w:rPr>
      </w:pPr>
    </w:p>
    <w:p w14:paraId="2E8683AC" w14:textId="77777777" w:rsidR="00872C03" w:rsidRPr="00883399" w:rsidRDefault="00872C03" w:rsidP="00872C03">
      <w:pPr>
        <w:spacing w:after="0"/>
        <w:rPr>
          <w:sz w:val="20"/>
          <w:szCs w:val="20"/>
        </w:rPr>
      </w:pPr>
      <w:r w:rsidRPr="00883399">
        <w:rPr>
          <w:sz w:val="20"/>
          <w:szCs w:val="20"/>
        </w:rPr>
        <w:t>43.</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National Inventory Report 2006, Department of Climate Change. Derived using conversion factor of 0.95..  Non-CO</w:t>
      </w:r>
      <w:r w:rsidRPr="00883399">
        <w:rPr>
          <w:sz w:val="20"/>
          <w:szCs w:val="20"/>
          <w:vertAlign w:val="subscript"/>
        </w:rPr>
        <w:t>2</w:t>
      </w:r>
      <w:r w:rsidRPr="00883399">
        <w:rPr>
          <w:sz w:val="20"/>
          <w:szCs w:val="20"/>
        </w:rPr>
        <w:t xml:space="preserve"> factors:  AGEIS database, Department of Climate Change and Energy Efficiency.</w:t>
      </w:r>
    </w:p>
    <w:p w14:paraId="79761A06" w14:textId="77777777" w:rsidR="00872C03" w:rsidRPr="00883399" w:rsidRDefault="00872C03" w:rsidP="00872C03">
      <w:pPr>
        <w:spacing w:after="0"/>
        <w:rPr>
          <w:sz w:val="20"/>
          <w:szCs w:val="20"/>
        </w:rPr>
      </w:pPr>
    </w:p>
    <w:p w14:paraId="42D14F64" w14:textId="77777777" w:rsidR="00872C03" w:rsidRPr="00883399" w:rsidRDefault="00872C03" w:rsidP="00872C03">
      <w:pPr>
        <w:spacing w:after="0"/>
        <w:rPr>
          <w:sz w:val="20"/>
          <w:szCs w:val="20"/>
        </w:rPr>
      </w:pPr>
      <w:r w:rsidRPr="00883399">
        <w:rPr>
          <w:sz w:val="20"/>
          <w:szCs w:val="20"/>
        </w:rPr>
        <w:lastRenderedPageBreak/>
        <w:t>44.</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National Inventory Report 2006, Department of Climate Change.. Non-CO</w:t>
      </w:r>
      <w:r w:rsidRPr="00883399">
        <w:rPr>
          <w:rFonts w:ascii="Times New (W1)" w:hAnsi="Times New (W1)"/>
          <w:sz w:val="20"/>
          <w:szCs w:val="20"/>
          <w:vertAlign w:val="subscript"/>
        </w:rPr>
        <w:t>2</w:t>
      </w:r>
      <w:r w:rsidRPr="00883399">
        <w:rPr>
          <w:sz w:val="20"/>
          <w:szCs w:val="20"/>
        </w:rPr>
        <w:t xml:space="preserve"> factors:  AGEIS database, Department of Climate Change and Energy Efficiency.</w:t>
      </w:r>
    </w:p>
    <w:p w14:paraId="72DF88DD" w14:textId="77777777" w:rsidR="00872C03" w:rsidRPr="00883399" w:rsidRDefault="00872C03" w:rsidP="00872C03">
      <w:pPr>
        <w:spacing w:after="0"/>
        <w:rPr>
          <w:sz w:val="20"/>
          <w:szCs w:val="20"/>
        </w:rPr>
      </w:pPr>
    </w:p>
    <w:p w14:paraId="049288D0" w14:textId="77777777" w:rsidR="00872C03" w:rsidRPr="00883399" w:rsidRDefault="00872C03" w:rsidP="00872C03">
      <w:pPr>
        <w:spacing w:after="0"/>
        <w:rPr>
          <w:sz w:val="20"/>
          <w:szCs w:val="20"/>
        </w:rPr>
      </w:pPr>
      <w:r w:rsidRPr="00883399">
        <w:rPr>
          <w:sz w:val="20"/>
          <w:szCs w:val="20"/>
        </w:rPr>
        <w:t>45.</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National Inventory Report 2006, Department of Climate Change.. Non-CO</w:t>
      </w:r>
      <w:r w:rsidRPr="00883399">
        <w:rPr>
          <w:rFonts w:ascii="Times New (W1)" w:hAnsi="Times New (W1)"/>
          <w:sz w:val="20"/>
          <w:szCs w:val="20"/>
          <w:vertAlign w:val="subscript"/>
        </w:rPr>
        <w:t>2</w:t>
      </w:r>
      <w:r w:rsidRPr="00883399">
        <w:rPr>
          <w:sz w:val="20"/>
          <w:szCs w:val="20"/>
        </w:rPr>
        <w:t xml:space="preserve"> factors:  AGEIS database, Department of Climate Change and Energy Efficiency.</w:t>
      </w:r>
    </w:p>
    <w:p w14:paraId="0497573A" w14:textId="77777777" w:rsidR="00872C03" w:rsidRPr="00883399" w:rsidRDefault="00872C03" w:rsidP="00872C03">
      <w:pPr>
        <w:spacing w:after="0"/>
        <w:rPr>
          <w:sz w:val="20"/>
          <w:szCs w:val="20"/>
        </w:rPr>
      </w:pPr>
    </w:p>
    <w:p w14:paraId="3CFA005F" w14:textId="77777777" w:rsidR="00872C03" w:rsidRPr="00883399" w:rsidRDefault="00872C03" w:rsidP="00872C03">
      <w:pPr>
        <w:spacing w:after="0"/>
        <w:rPr>
          <w:sz w:val="20"/>
          <w:szCs w:val="20"/>
        </w:rPr>
      </w:pPr>
      <w:r w:rsidRPr="00883399">
        <w:rPr>
          <w:sz w:val="20"/>
          <w:szCs w:val="20"/>
        </w:rPr>
        <w:t>46.</w:t>
      </w:r>
      <w:r w:rsidRPr="00883399">
        <w:rPr>
          <w:sz w:val="20"/>
          <w:szCs w:val="20"/>
        </w:rPr>
        <w:tab/>
        <w:t>Energy value: Source – IPCC 2006. CO</w:t>
      </w:r>
      <w:r w:rsidRPr="00883399">
        <w:rPr>
          <w:rFonts w:ascii="Times New (W1)" w:hAnsi="Times New (W1)"/>
          <w:sz w:val="20"/>
          <w:szCs w:val="20"/>
          <w:vertAlign w:val="subscript"/>
        </w:rPr>
        <w:t>2</w:t>
      </w:r>
      <w:r w:rsidRPr="00883399">
        <w:rPr>
          <w:sz w:val="20"/>
          <w:szCs w:val="20"/>
        </w:rPr>
        <w:t xml:space="preserve"> emission factor: Source: IPCC 2006. Derived using conversion factor of 0.95.. Non-CO</w:t>
      </w:r>
      <w:r w:rsidRPr="00883399">
        <w:rPr>
          <w:rFonts w:ascii="Times New (W1)" w:hAnsi="Times New (W1)"/>
          <w:sz w:val="20"/>
          <w:szCs w:val="20"/>
          <w:vertAlign w:val="subscript"/>
        </w:rPr>
        <w:t>2</w:t>
      </w:r>
      <w:r w:rsidRPr="00883399">
        <w:rPr>
          <w:sz w:val="20"/>
          <w:szCs w:val="20"/>
        </w:rPr>
        <w:t xml:space="preserve"> factors:  IPCC 2006, Manufacturing category. Derived using conversion factor 0.95.</w:t>
      </w:r>
    </w:p>
    <w:p w14:paraId="5DED0E1B" w14:textId="77777777" w:rsidR="00872C03" w:rsidRPr="00883399" w:rsidRDefault="00872C03" w:rsidP="00872C03">
      <w:pPr>
        <w:spacing w:after="0"/>
        <w:rPr>
          <w:sz w:val="20"/>
          <w:szCs w:val="20"/>
        </w:rPr>
      </w:pPr>
    </w:p>
    <w:p w14:paraId="6A431A97" w14:textId="77777777" w:rsidR="00872C03" w:rsidRPr="00883399" w:rsidRDefault="00872C03" w:rsidP="00872C03">
      <w:pPr>
        <w:spacing w:after="0"/>
        <w:rPr>
          <w:sz w:val="20"/>
          <w:szCs w:val="20"/>
        </w:rPr>
      </w:pPr>
      <w:r w:rsidRPr="00883399">
        <w:rPr>
          <w:sz w:val="20"/>
          <w:szCs w:val="20"/>
        </w:rPr>
        <w:t>47.</w:t>
      </w:r>
      <w:r w:rsidRPr="00883399">
        <w:rPr>
          <w:sz w:val="20"/>
          <w:szCs w:val="20"/>
        </w:rPr>
        <w:tab/>
        <w:t>Energy value: Source – ABARE</w:t>
      </w:r>
      <w:r w:rsidRPr="00883399">
        <w:rPr>
          <w:rFonts w:ascii="Times New (W1)" w:hAnsi="Times New (W1)"/>
          <w:sz w:val="20"/>
          <w:szCs w:val="20"/>
          <w:vertAlign w:val="subscript"/>
        </w:rPr>
        <w:t>1</w:t>
      </w:r>
      <w:r w:rsidRPr="00883399">
        <w:rPr>
          <w:sz w:val="20"/>
          <w:szCs w:val="20"/>
        </w:rPr>
        <w:t xml:space="preserve"> (refinery fuel). CO</w:t>
      </w:r>
      <w:r w:rsidRPr="00883399">
        <w:rPr>
          <w:rFonts w:ascii="Times New (W1)" w:hAnsi="Times New (W1)"/>
          <w:sz w:val="20"/>
          <w:szCs w:val="20"/>
          <w:vertAlign w:val="subscript"/>
        </w:rPr>
        <w:t>2</w:t>
      </w:r>
      <w:r w:rsidRPr="00883399">
        <w:rPr>
          <w:sz w:val="20"/>
          <w:szCs w:val="20"/>
        </w:rPr>
        <w:t xml:space="preserve"> emission factor: Source: IPCC 2006. Derived using conversion factor of 0.95.. Non-CO</w:t>
      </w:r>
      <w:r w:rsidRPr="00883399">
        <w:rPr>
          <w:rFonts w:ascii="Times New (W1)" w:hAnsi="Times New (W1)"/>
          <w:sz w:val="20"/>
          <w:szCs w:val="20"/>
          <w:vertAlign w:val="subscript"/>
        </w:rPr>
        <w:t>2</w:t>
      </w:r>
      <w:r w:rsidRPr="00883399">
        <w:rPr>
          <w:sz w:val="20"/>
          <w:szCs w:val="20"/>
        </w:rPr>
        <w:t xml:space="preserve"> factors:  IPCC 2006. Derived using conversion factor 0.95.</w:t>
      </w:r>
    </w:p>
    <w:p w14:paraId="2B600B91" w14:textId="77777777" w:rsidR="00872C03" w:rsidRPr="00883399" w:rsidRDefault="00872C03" w:rsidP="00872C03">
      <w:pPr>
        <w:spacing w:after="0"/>
        <w:rPr>
          <w:sz w:val="20"/>
          <w:szCs w:val="20"/>
        </w:rPr>
      </w:pPr>
    </w:p>
    <w:p w14:paraId="1EA8850E" w14:textId="77777777" w:rsidR="00872C03" w:rsidRPr="00883399" w:rsidRDefault="00872C03" w:rsidP="00872C03">
      <w:pPr>
        <w:spacing w:after="0"/>
        <w:rPr>
          <w:sz w:val="20"/>
          <w:szCs w:val="20"/>
        </w:rPr>
      </w:pPr>
      <w:r w:rsidRPr="00883399">
        <w:rPr>
          <w:sz w:val="20"/>
          <w:szCs w:val="20"/>
        </w:rPr>
        <w:t>48.</w:t>
      </w:r>
      <w:r w:rsidRPr="00883399">
        <w:rPr>
          <w:sz w:val="20"/>
          <w:szCs w:val="20"/>
        </w:rPr>
        <w:tab/>
        <w:t>See (46)</w:t>
      </w:r>
    </w:p>
    <w:p w14:paraId="42053996" w14:textId="77777777" w:rsidR="00872C03" w:rsidRPr="00883399" w:rsidRDefault="00872C03" w:rsidP="00872C03">
      <w:pPr>
        <w:spacing w:after="0"/>
        <w:rPr>
          <w:sz w:val="20"/>
          <w:szCs w:val="20"/>
        </w:rPr>
      </w:pPr>
    </w:p>
    <w:p w14:paraId="5D7EFE9D" w14:textId="77777777" w:rsidR="00872C03" w:rsidRPr="00883399" w:rsidRDefault="00872C03" w:rsidP="00872C03">
      <w:pPr>
        <w:spacing w:after="0"/>
        <w:rPr>
          <w:sz w:val="20"/>
          <w:szCs w:val="20"/>
        </w:rPr>
      </w:pPr>
      <w:r w:rsidRPr="00883399">
        <w:rPr>
          <w:sz w:val="20"/>
          <w:szCs w:val="20"/>
        </w:rPr>
        <w:t>49.</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Based on IPCC 2006, given same energy content as solvents. CO</w:t>
      </w:r>
      <w:r w:rsidRPr="00883399">
        <w:rPr>
          <w:rFonts w:ascii="Times New (W1)" w:hAnsi="Times New (W1)"/>
          <w:sz w:val="20"/>
          <w:szCs w:val="20"/>
          <w:vertAlign w:val="subscript"/>
        </w:rPr>
        <w:t>2</w:t>
      </w:r>
      <w:r w:rsidRPr="00883399">
        <w:rPr>
          <w:sz w:val="20"/>
          <w:szCs w:val="20"/>
        </w:rPr>
        <w:t xml:space="preserve"> emission factor: Source National Inventory Report 2006, Department of Climate Change (set same as solvents). Oxidation factor 0.99.  Non-CO</w:t>
      </w:r>
      <w:r w:rsidRPr="00883399">
        <w:rPr>
          <w:sz w:val="20"/>
          <w:szCs w:val="20"/>
          <w:vertAlign w:val="subscript"/>
        </w:rPr>
        <w:t>2</w:t>
      </w:r>
      <w:r w:rsidRPr="00883399">
        <w:rPr>
          <w:sz w:val="20"/>
          <w:szCs w:val="20"/>
        </w:rPr>
        <w:t xml:space="preserve"> factors:  AGEIS database, Department of Climate Change and Energy Efficiency.</w:t>
      </w:r>
    </w:p>
    <w:p w14:paraId="6BFAC60B" w14:textId="77777777" w:rsidR="00872C03" w:rsidRPr="00883399" w:rsidRDefault="00872C03" w:rsidP="00872C03">
      <w:pPr>
        <w:spacing w:after="0"/>
        <w:rPr>
          <w:sz w:val="20"/>
          <w:szCs w:val="20"/>
        </w:rPr>
      </w:pPr>
    </w:p>
    <w:p w14:paraId="0E8C7B40" w14:textId="77777777" w:rsidR="00872C03" w:rsidRPr="00883399" w:rsidRDefault="00872C03" w:rsidP="00872C03">
      <w:pPr>
        <w:spacing w:after="0"/>
        <w:rPr>
          <w:sz w:val="20"/>
          <w:szCs w:val="20"/>
        </w:rPr>
      </w:pPr>
      <w:r w:rsidRPr="00883399">
        <w:rPr>
          <w:sz w:val="20"/>
          <w:szCs w:val="20"/>
        </w:rPr>
        <w:t>50.</w:t>
      </w:r>
      <w:r w:rsidRPr="00883399">
        <w:rPr>
          <w:sz w:val="20"/>
          <w:szCs w:val="20"/>
        </w:rPr>
        <w:tab/>
        <w:t>Energy value: Source – Derived from US Department of Energy. Non-CO</w:t>
      </w:r>
      <w:r w:rsidRPr="00883399">
        <w:rPr>
          <w:rFonts w:ascii="Times New (W1)" w:hAnsi="Times New (W1)"/>
          <w:sz w:val="20"/>
          <w:szCs w:val="20"/>
          <w:vertAlign w:val="subscript"/>
        </w:rPr>
        <w:t>2</w:t>
      </w:r>
      <w:r w:rsidRPr="00883399">
        <w:rPr>
          <w:sz w:val="20"/>
          <w:szCs w:val="20"/>
        </w:rPr>
        <w:t xml:space="preserve"> factors:  IPCC 2006. Derived using conversion factor 0.95.</w:t>
      </w:r>
    </w:p>
    <w:p w14:paraId="3E61056A" w14:textId="77777777" w:rsidR="00872C03" w:rsidRPr="00883399" w:rsidRDefault="00872C03" w:rsidP="00872C03">
      <w:pPr>
        <w:spacing w:after="0"/>
        <w:rPr>
          <w:sz w:val="20"/>
          <w:szCs w:val="20"/>
        </w:rPr>
      </w:pPr>
    </w:p>
    <w:p w14:paraId="2B199212" w14:textId="77777777" w:rsidR="00872C03" w:rsidRPr="00883399" w:rsidRDefault="00872C03" w:rsidP="00872C03">
      <w:pPr>
        <w:spacing w:after="0"/>
        <w:rPr>
          <w:sz w:val="20"/>
          <w:szCs w:val="20"/>
        </w:rPr>
      </w:pPr>
      <w:r w:rsidRPr="00883399">
        <w:rPr>
          <w:sz w:val="20"/>
          <w:szCs w:val="20"/>
        </w:rPr>
        <w:t>51.</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Non-CO</w:t>
      </w:r>
      <w:r w:rsidRPr="00883399">
        <w:rPr>
          <w:rFonts w:ascii="Times New (W1)" w:hAnsi="Times New (W1)"/>
          <w:sz w:val="20"/>
          <w:szCs w:val="20"/>
          <w:vertAlign w:val="subscript"/>
        </w:rPr>
        <w:t>2</w:t>
      </w:r>
      <w:r w:rsidRPr="00883399">
        <w:rPr>
          <w:sz w:val="20"/>
          <w:szCs w:val="20"/>
        </w:rPr>
        <w:t xml:space="preserve"> factors:  IPCC 2006. Derived using conversion factor 0.95.</w:t>
      </w:r>
    </w:p>
    <w:p w14:paraId="0F0578DC" w14:textId="77777777" w:rsidR="00872C03" w:rsidRPr="00883399" w:rsidRDefault="00872C03" w:rsidP="00872C03">
      <w:pPr>
        <w:spacing w:after="0"/>
        <w:rPr>
          <w:sz w:val="20"/>
          <w:szCs w:val="20"/>
        </w:rPr>
      </w:pPr>
    </w:p>
    <w:p w14:paraId="5FFA4BDD" w14:textId="77777777" w:rsidR="00872C03" w:rsidRPr="00883399" w:rsidRDefault="00872C03" w:rsidP="00872C03">
      <w:pPr>
        <w:spacing w:after="0"/>
        <w:rPr>
          <w:sz w:val="20"/>
          <w:szCs w:val="20"/>
        </w:rPr>
      </w:pPr>
      <w:r w:rsidRPr="00883399">
        <w:rPr>
          <w:sz w:val="20"/>
          <w:szCs w:val="20"/>
        </w:rPr>
        <w:t>52.</w:t>
      </w:r>
      <w:r w:rsidRPr="00883399">
        <w:rPr>
          <w:sz w:val="20"/>
          <w:szCs w:val="20"/>
        </w:rPr>
        <w:tab/>
        <w:t xml:space="preserve">See (51). </w:t>
      </w:r>
    </w:p>
    <w:p w14:paraId="203D431D" w14:textId="77777777" w:rsidR="00872C03" w:rsidRPr="00883399" w:rsidRDefault="00872C03" w:rsidP="00872C03">
      <w:pPr>
        <w:spacing w:after="0"/>
        <w:rPr>
          <w:sz w:val="20"/>
          <w:szCs w:val="20"/>
        </w:rPr>
      </w:pPr>
    </w:p>
    <w:p w14:paraId="6944839A" w14:textId="77777777" w:rsidR="00872C03" w:rsidRPr="00883399" w:rsidRDefault="00872C03" w:rsidP="00872C03">
      <w:pPr>
        <w:spacing w:after="0"/>
        <w:rPr>
          <w:sz w:val="20"/>
          <w:szCs w:val="20"/>
        </w:rPr>
      </w:pPr>
    </w:p>
    <w:p w14:paraId="0479A382" w14:textId="77777777" w:rsidR="00872C03" w:rsidRPr="00883399" w:rsidRDefault="00872C03" w:rsidP="00872C03">
      <w:pPr>
        <w:spacing w:after="0"/>
        <w:rPr>
          <w:sz w:val="20"/>
          <w:szCs w:val="20"/>
        </w:rPr>
      </w:pPr>
      <w:r w:rsidRPr="00883399">
        <w:rPr>
          <w:sz w:val="20"/>
          <w:szCs w:val="20"/>
        </w:rPr>
        <w:t>53.</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National Inventory Report 2006, Department of Climate Change..  Non-CO</w:t>
      </w:r>
      <w:r w:rsidRPr="00883399">
        <w:rPr>
          <w:rFonts w:ascii="Times New (W1)" w:hAnsi="Times New (W1)"/>
          <w:sz w:val="20"/>
          <w:szCs w:val="20"/>
          <w:vertAlign w:val="subscript"/>
        </w:rPr>
        <w:t xml:space="preserve">2 </w:t>
      </w:r>
      <w:r w:rsidRPr="00883399">
        <w:rPr>
          <w:sz w:val="20"/>
          <w:szCs w:val="20"/>
        </w:rPr>
        <w:t>factors:  AGEIS database Department of Climate Change and Energy Efficiency.</w:t>
      </w:r>
    </w:p>
    <w:p w14:paraId="49826FAB" w14:textId="77777777" w:rsidR="00872C03" w:rsidRPr="00883399" w:rsidRDefault="00872C03" w:rsidP="00872C03">
      <w:pPr>
        <w:spacing w:after="0"/>
        <w:rPr>
          <w:sz w:val="20"/>
          <w:szCs w:val="20"/>
        </w:rPr>
      </w:pPr>
    </w:p>
    <w:p w14:paraId="2C02CADD" w14:textId="77777777" w:rsidR="00872C03" w:rsidRPr="00883399" w:rsidRDefault="00872C03" w:rsidP="00872C03">
      <w:pPr>
        <w:spacing w:after="0"/>
        <w:rPr>
          <w:sz w:val="20"/>
          <w:szCs w:val="20"/>
        </w:rPr>
      </w:pPr>
      <w:r w:rsidRPr="00883399">
        <w:rPr>
          <w:sz w:val="20"/>
          <w:szCs w:val="20"/>
        </w:rPr>
        <w:lastRenderedPageBreak/>
        <w:t>54.</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National Inventory Report 2006, Department of Climate Change..  Non-CO</w:t>
      </w:r>
      <w:r w:rsidRPr="00883399">
        <w:rPr>
          <w:rFonts w:ascii="Times New (W1)" w:hAnsi="Times New (W1)"/>
          <w:sz w:val="20"/>
          <w:szCs w:val="20"/>
          <w:vertAlign w:val="subscript"/>
        </w:rPr>
        <w:t>2</w:t>
      </w:r>
      <w:r w:rsidRPr="00883399">
        <w:rPr>
          <w:sz w:val="20"/>
          <w:szCs w:val="20"/>
        </w:rPr>
        <w:t xml:space="preserve"> factors:  AGEIS database Department of Climate Change and Energy Efficiency.</w:t>
      </w:r>
    </w:p>
    <w:p w14:paraId="022D4EAA" w14:textId="77777777" w:rsidR="00872C03" w:rsidRPr="00883399" w:rsidRDefault="00872C03" w:rsidP="00872C03">
      <w:pPr>
        <w:spacing w:after="0"/>
        <w:rPr>
          <w:sz w:val="20"/>
          <w:szCs w:val="20"/>
        </w:rPr>
      </w:pPr>
    </w:p>
    <w:p w14:paraId="1F2F8316" w14:textId="77777777" w:rsidR="00872C03" w:rsidRPr="00883399" w:rsidRDefault="00872C03" w:rsidP="00872C03">
      <w:pPr>
        <w:spacing w:after="0"/>
        <w:rPr>
          <w:sz w:val="20"/>
          <w:szCs w:val="20"/>
        </w:rPr>
      </w:pPr>
      <w:r w:rsidRPr="00883399">
        <w:rPr>
          <w:sz w:val="20"/>
          <w:szCs w:val="20"/>
        </w:rPr>
        <w:t>55.</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National Inventory Report 2006, Department of Climate Change..  Non-CO</w:t>
      </w:r>
      <w:r w:rsidRPr="00883399">
        <w:rPr>
          <w:rFonts w:ascii="Times New (W1)" w:hAnsi="Times New (W1)"/>
          <w:sz w:val="20"/>
          <w:szCs w:val="20"/>
          <w:vertAlign w:val="subscript"/>
        </w:rPr>
        <w:t>2</w:t>
      </w:r>
      <w:r w:rsidRPr="00883399">
        <w:rPr>
          <w:sz w:val="20"/>
          <w:szCs w:val="20"/>
        </w:rPr>
        <w:t xml:space="preserve"> factors:  AGEIS database, Department of Climate Change and Energy Efficiency.</w:t>
      </w:r>
    </w:p>
    <w:p w14:paraId="7CC4A6BA" w14:textId="77777777" w:rsidR="00872C03" w:rsidRPr="00883399" w:rsidRDefault="00872C03" w:rsidP="00872C03">
      <w:pPr>
        <w:spacing w:after="0"/>
        <w:rPr>
          <w:sz w:val="20"/>
          <w:szCs w:val="20"/>
        </w:rPr>
      </w:pPr>
    </w:p>
    <w:p w14:paraId="1F3D2635" w14:textId="77777777" w:rsidR="00872C03" w:rsidRPr="00883399" w:rsidRDefault="00872C03" w:rsidP="00872C03">
      <w:pPr>
        <w:spacing w:after="0"/>
        <w:rPr>
          <w:sz w:val="20"/>
          <w:szCs w:val="20"/>
        </w:rPr>
      </w:pPr>
      <w:r w:rsidRPr="00883399">
        <w:rPr>
          <w:sz w:val="20"/>
          <w:szCs w:val="20"/>
        </w:rPr>
        <w:t>56.</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National Inventory Report 2006, Department of Climate Change..  Non-CO</w:t>
      </w:r>
      <w:r w:rsidRPr="00883399">
        <w:rPr>
          <w:rFonts w:ascii="Times New (W1)" w:hAnsi="Times New (W1)"/>
          <w:sz w:val="20"/>
          <w:szCs w:val="20"/>
          <w:vertAlign w:val="subscript"/>
        </w:rPr>
        <w:t>2</w:t>
      </w:r>
      <w:r w:rsidRPr="00883399">
        <w:rPr>
          <w:sz w:val="20"/>
          <w:szCs w:val="20"/>
        </w:rPr>
        <w:t xml:space="preserve"> factors:  AGEIS database Department of Climate Change and Energy Efficiency.</w:t>
      </w:r>
    </w:p>
    <w:p w14:paraId="07EF83D1" w14:textId="77777777" w:rsidR="00872C03" w:rsidRPr="00883399" w:rsidRDefault="00872C03" w:rsidP="00872C03">
      <w:pPr>
        <w:spacing w:after="0"/>
        <w:rPr>
          <w:sz w:val="20"/>
          <w:szCs w:val="20"/>
        </w:rPr>
      </w:pPr>
    </w:p>
    <w:p w14:paraId="0AA0A41F" w14:textId="77777777" w:rsidR="00872C03" w:rsidRPr="00883399" w:rsidRDefault="00872C03" w:rsidP="00872C03">
      <w:pPr>
        <w:spacing w:after="0"/>
        <w:rPr>
          <w:sz w:val="20"/>
          <w:szCs w:val="20"/>
        </w:rPr>
      </w:pPr>
      <w:r w:rsidRPr="00883399">
        <w:rPr>
          <w:sz w:val="20"/>
          <w:szCs w:val="20"/>
        </w:rPr>
        <w:t>57.</w:t>
      </w:r>
      <w:r w:rsidRPr="00883399">
        <w:rPr>
          <w:sz w:val="20"/>
          <w:szCs w:val="20"/>
        </w:rPr>
        <w:tab/>
        <w:t>Energy value: Source – ABARE</w:t>
      </w:r>
      <w:r w:rsidRPr="00883399">
        <w:rPr>
          <w:rFonts w:ascii="Times New (W1)" w:hAnsi="Times New (W1)"/>
          <w:sz w:val="20"/>
          <w:szCs w:val="20"/>
          <w:vertAlign w:val="subscript"/>
        </w:rPr>
        <w:t>2</w:t>
      </w:r>
      <w:r w:rsidRPr="00883399">
        <w:rPr>
          <w:rFonts w:ascii="Times New (W1)" w:hAnsi="Times New (W1)"/>
          <w:sz w:val="20"/>
          <w:szCs w:val="20"/>
        </w:rPr>
        <w:t xml:space="preserve"> (low sulphur)</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National Inventory Report 2006, Department of Climate Change. Derived using conversion factor of 0.95.  .  Non-CO</w:t>
      </w:r>
      <w:r w:rsidRPr="00883399">
        <w:rPr>
          <w:rFonts w:ascii="Times New (W1)" w:hAnsi="Times New (W1)"/>
          <w:sz w:val="20"/>
          <w:szCs w:val="20"/>
          <w:vertAlign w:val="subscript"/>
        </w:rPr>
        <w:t>2</w:t>
      </w:r>
      <w:r w:rsidRPr="00883399">
        <w:rPr>
          <w:sz w:val="20"/>
          <w:szCs w:val="20"/>
        </w:rPr>
        <w:t xml:space="preserve"> factors:  AGEIS database Department of Climate Change and Energy Efficiency.</w:t>
      </w:r>
    </w:p>
    <w:p w14:paraId="4FC4FFC5" w14:textId="77777777" w:rsidR="00872C03" w:rsidRPr="00883399" w:rsidRDefault="00872C03" w:rsidP="00872C03">
      <w:pPr>
        <w:spacing w:after="0"/>
        <w:rPr>
          <w:sz w:val="20"/>
          <w:szCs w:val="20"/>
        </w:rPr>
      </w:pPr>
    </w:p>
    <w:p w14:paraId="5394FF7B" w14:textId="77777777" w:rsidR="00872C03" w:rsidRPr="00883399" w:rsidRDefault="00872C03" w:rsidP="00872C03">
      <w:pPr>
        <w:spacing w:after="0"/>
        <w:rPr>
          <w:sz w:val="20"/>
          <w:szCs w:val="20"/>
        </w:rPr>
      </w:pPr>
      <w:r w:rsidRPr="00883399">
        <w:rPr>
          <w:sz w:val="20"/>
          <w:szCs w:val="20"/>
        </w:rPr>
        <w:t>58.</w:t>
      </w:r>
      <w:r w:rsidRPr="00883399">
        <w:rPr>
          <w:sz w:val="20"/>
          <w:szCs w:val="20"/>
        </w:rPr>
        <w:tab/>
        <w:t>Energy value: Source – Derived from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National Inventory Report 2006, Department of Climate Change..  Non-CO</w:t>
      </w:r>
      <w:r w:rsidRPr="00883399">
        <w:rPr>
          <w:rFonts w:ascii="Times New (W1)" w:hAnsi="Times New (W1)"/>
          <w:sz w:val="20"/>
          <w:szCs w:val="20"/>
          <w:vertAlign w:val="subscript"/>
        </w:rPr>
        <w:t>2</w:t>
      </w:r>
      <w:r w:rsidRPr="00883399">
        <w:rPr>
          <w:sz w:val="20"/>
          <w:szCs w:val="20"/>
        </w:rPr>
        <w:t xml:space="preserve"> factors:  AGEIS database Department of Climate Change and Energy Efficiency.</w:t>
      </w:r>
    </w:p>
    <w:p w14:paraId="161A0680" w14:textId="77777777" w:rsidR="00872C03" w:rsidRPr="00883399" w:rsidRDefault="00872C03" w:rsidP="00872C03">
      <w:pPr>
        <w:spacing w:after="0"/>
        <w:rPr>
          <w:sz w:val="20"/>
          <w:szCs w:val="20"/>
        </w:rPr>
      </w:pPr>
    </w:p>
    <w:p w14:paraId="7F7816CA" w14:textId="77777777" w:rsidR="00872C03" w:rsidRPr="00883399" w:rsidRDefault="00872C03" w:rsidP="00872C03">
      <w:pPr>
        <w:spacing w:after="0"/>
        <w:rPr>
          <w:sz w:val="20"/>
          <w:szCs w:val="20"/>
        </w:rPr>
      </w:pPr>
      <w:r w:rsidRPr="00883399">
        <w:rPr>
          <w:sz w:val="20"/>
          <w:szCs w:val="20"/>
        </w:rPr>
        <w:t>59.</w:t>
      </w:r>
      <w:r w:rsidRPr="00883399">
        <w:rPr>
          <w:sz w:val="20"/>
          <w:szCs w:val="20"/>
        </w:rPr>
        <w:tab/>
        <w:t>Energy value: Source – Derived from US Department of Energy, 2006. Non-CO</w:t>
      </w:r>
      <w:r w:rsidRPr="00883399">
        <w:rPr>
          <w:rFonts w:ascii="Times New (W1)" w:hAnsi="Times New (W1)"/>
          <w:sz w:val="20"/>
          <w:szCs w:val="20"/>
          <w:vertAlign w:val="subscript"/>
        </w:rPr>
        <w:t>2</w:t>
      </w:r>
      <w:r w:rsidRPr="00883399">
        <w:rPr>
          <w:sz w:val="20"/>
          <w:szCs w:val="20"/>
        </w:rPr>
        <w:t xml:space="preserve"> factors: IPCC 2006. Derived using conversion factor 0.95.</w:t>
      </w:r>
    </w:p>
    <w:p w14:paraId="3D0F4FB9" w14:textId="77777777" w:rsidR="00872C03" w:rsidRPr="00883399" w:rsidRDefault="00872C03" w:rsidP="00872C03">
      <w:pPr>
        <w:spacing w:after="0"/>
        <w:rPr>
          <w:sz w:val="20"/>
          <w:szCs w:val="20"/>
        </w:rPr>
      </w:pPr>
    </w:p>
    <w:p w14:paraId="0F724E4B" w14:textId="77777777" w:rsidR="00872C03" w:rsidRPr="00883399" w:rsidRDefault="00872C03" w:rsidP="00872C03">
      <w:pPr>
        <w:spacing w:after="0"/>
        <w:rPr>
          <w:sz w:val="20"/>
          <w:szCs w:val="20"/>
        </w:rPr>
      </w:pPr>
      <w:r w:rsidRPr="00883399">
        <w:rPr>
          <w:sz w:val="20"/>
          <w:szCs w:val="20"/>
        </w:rPr>
        <w:t>60.</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Non-CO</w:t>
      </w:r>
      <w:r w:rsidRPr="00883399">
        <w:rPr>
          <w:rFonts w:ascii="Times New (W1)" w:hAnsi="Times New (W1)"/>
          <w:sz w:val="20"/>
          <w:szCs w:val="20"/>
          <w:vertAlign w:val="subscript"/>
        </w:rPr>
        <w:t>2</w:t>
      </w:r>
      <w:r w:rsidRPr="00883399">
        <w:rPr>
          <w:sz w:val="20"/>
          <w:szCs w:val="20"/>
        </w:rPr>
        <w:t xml:space="preserve"> factors: IPCC 2006. Derived using conversion factor 0.95.</w:t>
      </w:r>
    </w:p>
    <w:p w14:paraId="2F323DCF" w14:textId="77777777" w:rsidR="00872C03" w:rsidRPr="00883399" w:rsidRDefault="00872C03" w:rsidP="00872C03">
      <w:pPr>
        <w:spacing w:after="0"/>
        <w:rPr>
          <w:sz w:val="20"/>
          <w:szCs w:val="20"/>
        </w:rPr>
      </w:pPr>
    </w:p>
    <w:p w14:paraId="3579E845" w14:textId="77777777" w:rsidR="00872C03" w:rsidRPr="00883399" w:rsidRDefault="00872C03" w:rsidP="00872C03">
      <w:pPr>
        <w:spacing w:after="0"/>
        <w:rPr>
          <w:sz w:val="20"/>
          <w:szCs w:val="20"/>
        </w:rPr>
      </w:pPr>
      <w:r w:rsidRPr="00883399">
        <w:rPr>
          <w:sz w:val="20"/>
          <w:szCs w:val="20"/>
        </w:rPr>
        <w:t>61.</w:t>
      </w:r>
      <w:r w:rsidRPr="00883399">
        <w:rPr>
          <w:sz w:val="20"/>
          <w:szCs w:val="20"/>
        </w:rPr>
        <w:tab/>
        <w:t>See (60)</w:t>
      </w:r>
    </w:p>
    <w:p w14:paraId="20D07024" w14:textId="77777777" w:rsidR="00872C03" w:rsidRPr="00883399" w:rsidRDefault="00872C03" w:rsidP="00872C03">
      <w:pPr>
        <w:spacing w:after="0"/>
        <w:rPr>
          <w:sz w:val="20"/>
          <w:szCs w:val="20"/>
        </w:rPr>
      </w:pPr>
    </w:p>
    <w:p w14:paraId="776ADD15" w14:textId="77777777" w:rsidR="00872C03" w:rsidRPr="00883399" w:rsidRDefault="00872C03" w:rsidP="00872C03">
      <w:pPr>
        <w:spacing w:after="0"/>
        <w:rPr>
          <w:sz w:val="20"/>
          <w:szCs w:val="20"/>
        </w:rPr>
      </w:pPr>
      <w:r w:rsidRPr="00883399">
        <w:rPr>
          <w:sz w:val="20"/>
          <w:szCs w:val="20"/>
        </w:rPr>
        <w:t>62.</w:t>
      </w:r>
      <w:r w:rsidRPr="00883399">
        <w:rPr>
          <w:sz w:val="20"/>
          <w:szCs w:val="20"/>
        </w:rPr>
        <w:tab/>
        <w:t>Energy value: Source: ABARE</w:t>
      </w:r>
      <w:r w:rsidRPr="00883399">
        <w:rPr>
          <w:rFonts w:ascii="Times New (W1)" w:hAnsi="Times New (W1)"/>
          <w:sz w:val="20"/>
          <w:szCs w:val="20"/>
          <w:vertAlign w:val="subscript"/>
        </w:rPr>
        <w:t>1</w:t>
      </w:r>
      <w:r w:rsidRPr="00883399">
        <w:rPr>
          <w:sz w:val="20"/>
          <w:szCs w:val="20"/>
        </w:rPr>
        <w:t xml:space="preserve"> (weighted average). CO</w:t>
      </w:r>
      <w:r w:rsidRPr="00883399">
        <w:rPr>
          <w:rFonts w:ascii="Times New (W1)" w:hAnsi="Times New (W1)"/>
          <w:sz w:val="20"/>
          <w:szCs w:val="20"/>
          <w:vertAlign w:val="subscript"/>
        </w:rPr>
        <w:t>2</w:t>
      </w:r>
      <w:r w:rsidRPr="00883399">
        <w:rPr>
          <w:sz w:val="20"/>
          <w:szCs w:val="20"/>
        </w:rPr>
        <w:t xml:space="preserve"> emission factor: Source - AGEIS database, Department of Climate Change and Energy Efficiency.  Non-CO</w:t>
      </w:r>
      <w:r w:rsidRPr="00883399">
        <w:rPr>
          <w:rFonts w:ascii="Times New (W1)" w:hAnsi="Times New (W1)"/>
          <w:sz w:val="20"/>
          <w:szCs w:val="20"/>
          <w:vertAlign w:val="subscript"/>
        </w:rPr>
        <w:t>2</w:t>
      </w:r>
      <w:r w:rsidRPr="00883399">
        <w:rPr>
          <w:sz w:val="20"/>
          <w:szCs w:val="20"/>
        </w:rPr>
        <w:t xml:space="preserve"> factors:  AGEIS database, Department of Climate Change and Energy Efficiency.</w:t>
      </w:r>
    </w:p>
    <w:p w14:paraId="59B05DD2" w14:textId="77777777" w:rsidR="00872C03" w:rsidRPr="00883399" w:rsidRDefault="00872C03" w:rsidP="00872C03">
      <w:pPr>
        <w:spacing w:after="0"/>
        <w:rPr>
          <w:sz w:val="20"/>
          <w:szCs w:val="20"/>
        </w:rPr>
      </w:pPr>
    </w:p>
    <w:p w14:paraId="5E0C3068" w14:textId="77777777" w:rsidR="00872C03" w:rsidRPr="00883399" w:rsidRDefault="00872C03" w:rsidP="00872C03">
      <w:pPr>
        <w:spacing w:after="0"/>
        <w:rPr>
          <w:sz w:val="20"/>
          <w:szCs w:val="20"/>
        </w:rPr>
      </w:pPr>
      <w:r w:rsidRPr="00883399">
        <w:rPr>
          <w:sz w:val="20"/>
          <w:szCs w:val="20"/>
        </w:rPr>
        <w:t>63.</w:t>
      </w:r>
      <w:r w:rsidRPr="00883399">
        <w:rPr>
          <w:sz w:val="20"/>
          <w:szCs w:val="20"/>
        </w:rPr>
        <w:tab/>
        <w:t>Energy value: Source: ABARE</w:t>
      </w:r>
      <w:r w:rsidRPr="00883399">
        <w:rPr>
          <w:rFonts w:ascii="Times New (W1)" w:hAnsi="Times New (W1)"/>
          <w:sz w:val="20"/>
          <w:szCs w:val="20"/>
          <w:vertAlign w:val="subscript"/>
        </w:rPr>
        <w:t>1</w:t>
      </w:r>
      <w:r w:rsidRPr="00883399">
        <w:rPr>
          <w:sz w:val="20"/>
          <w:szCs w:val="20"/>
        </w:rPr>
        <w:t xml:space="preserve"> (weighted average). CO</w:t>
      </w:r>
      <w:r w:rsidRPr="00883399">
        <w:rPr>
          <w:rFonts w:ascii="Times New (W1)" w:hAnsi="Times New (W1)"/>
          <w:sz w:val="20"/>
          <w:szCs w:val="20"/>
          <w:vertAlign w:val="subscript"/>
        </w:rPr>
        <w:t>2</w:t>
      </w:r>
      <w:r w:rsidRPr="00883399">
        <w:rPr>
          <w:sz w:val="20"/>
          <w:szCs w:val="20"/>
        </w:rPr>
        <w:t xml:space="preserve"> emission factor: Source - AGEIS database, Department of Climate Change and Energy Efficiency.   Non-CO</w:t>
      </w:r>
      <w:r w:rsidRPr="00883399">
        <w:rPr>
          <w:rFonts w:ascii="Times New (W1)" w:hAnsi="Times New (W1)"/>
          <w:sz w:val="20"/>
          <w:szCs w:val="20"/>
          <w:vertAlign w:val="subscript"/>
        </w:rPr>
        <w:t>2</w:t>
      </w:r>
      <w:r w:rsidRPr="00883399">
        <w:rPr>
          <w:sz w:val="20"/>
          <w:szCs w:val="20"/>
        </w:rPr>
        <w:t xml:space="preserve"> factors: AGEIS database, Department of Climate Change and Energy Efficiency.</w:t>
      </w:r>
    </w:p>
    <w:p w14:paraId="14A9EDEF" w14:textId="77777777" w:rsidR="00872C03" w:rsidRPr="00883399" w:rsidRDefault="00872C03" w:rsidP="00872C03">
      <w:pPr>
        <w:spacing w:after="0"/>
        <w:rPr>
          <w:sz w:val="20"/>
          <w:szCs w:val="20"/>
        </w:rPr>
      </w:pPr>
    </w:p>
    <w:p w14:paraId="5619AFBB" w14:textId="77777777" w:rsidR="00872C03" w:rsidRPr="00883399" w:rsidRDefault="00872C03" w:rsidP="00872C03">
      <w:pPr>
        <w:spacing w:after="0"/>
        <w:rPr>
          <w:sz w:val="20"/>
          <w:szCs w:val="20"/>
        </w:rPr>
      </w:pPr>
      <w:r w:rsidRPr="00883399">
        <w:rPr>
          <w:sz w:val="20"/>
          <w:szCs w:val="20"/>
        </w:rPr>
        <w:lastRenderedPageBreak/>
        <w:t>63A</w:t>
      </w:r>
      <w:r w:rsidRPr="00883399">
        <w:rPr>
          <w:sz w:val="20"/>
          <w:szCs w:val="20"/>
        </w:rPr>
        <w:tab/>
        <w:t>Energy value: Source – ABARE</w:t>
      </w:r>
      <w:r w:rsidRPr="00883399">
        <w:rPr>
          <w:rFonts w:ascii="Times New (W1)" w:hAnsi="Times New (W1)"/>
          <w:sz w:val="20"/>
          <w:szCs w:val="20"/>
          <w:vertAlign w:val="subscript"/>
        </w:rPr>
        <w:t>1</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 AGEIS database, Department of Climate Change and Energy Efficiency. Non-CO</w:t>
      </w:r>
      <w:r w:rsidRPr="00883399">
        <w:rPr>
          <w:rFonts w:ascii="Times New (W1)" w:hAnsi="Times New (W1)"/>
          <w:sz w:val="20"/>
          <w:szCs w:val="20"/>
          <w:vertAlign w:val="subscript"/>
        </w:rPr>
        <w:t>2</w:t>
      </w:r>
      <w:r w:rsidRPr="00883399">
        <w:rPr>
          <w:sz w:val="20"/>
          <w:szCs w:val="20"/>
        </w:rPr>
        <w:t xml:space="preserve"> factors:  Source: AGEIS database, Department of Climate Change and Energy Efficiency</w:t>
      </w:r>
    </w:p>
    <w:p w14:paraId="327784D5" w14:textId="77777777" w:rsidR="00872C03" w:rsidRPr="00883399" w:rsidRDefault="00872C03" w:rsidP="00872C03">
      <w:pPr>
        <w:spacing w:after="0"/>
        <w:rPr>
          <w:sz w:val="20"/>
          <w:szCs w:val="20"/>
        </w:rPr>
      </w:pPr>
    </w:p>
    <w:p w14:paraId="2E2FA86F" w14:textId="77777777" w:rsidR="00872C03" w:rsidRPr="00883399" w:rsidRDefault="00872C03" w:rsidP="00872C03">
      <w:pPr>
        <w:spacing w:after="0"/>
        <w:rPr>
          <w:sz w:val="20"/>
          <w:szCs w:val="20"/>
        </w:rPr>
      </w:pPr>
      <w:r w:rsidRPr="00883399">
        <w:rPr>
          <w:sz w:val="20"/>
          <w:szCs w:val="20"/>
        </w:rPr>
        <w:t>64B</w:t>
      </w:r>
      <w:r w:rsidRPr="00883399">
        <w:rPr>
          <w:sz w:val="20"/>
          <w:szCs w:val="20"/>
        </w:rPr>
        <w:tab/>
        <w:t>Energy value: Source – ABARE</w:t>
      </w:r>
      <w:r w:rsidRPr="00883399">
        <w:rPr>
          <w:rFonts w:ascii="Times New (W1)" w:hAnsi="Times New (W1)"/>
          <w:sz w:val="20"/>
          <w:szCs w:val="20"/>
          <w:vertAlign w:val="subscript"/>
        </w:rPr>
        <w:t>1</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 AGEIS database, Department of Climate Change and Energy Efficiency. Non-CO</w:t>
      </w:r>
      <w:r w:rsidRPr="00883399">
        <w:rPr>
          <w:rFonts w:ascii="Times New (W1)" w:hAnsi="Times New (W1)"/>
          <w:sz w:val="20"/>
          <w:szCs w:val="20"/>
          <w:vertAlign w:val="subscript"/>
        </w:rPr>
        <w:t>2</w:t>
      </w:r>
      <w:r w:rsidRPr="00883399">
        <w:rPr>
          <w:sz w:val="20"/>
          <w:szCs w:val="20"/>
        </w:rPr>
        <w:t xml:space="preserve"> factors:  Source: AGEIS database, Department of Climate Change and Energy Efficiency</w:t>
      </w:r>
    </w:p>
    <w:p w14:paraId="755D87FB" w14:textId="77777777" w:rsidR="00872C03" w:rsidRPr="00883399" w:rsidRDefault="00872C03" w:rsidP="00872C03">
      <w:pPr>
        <w:spacing w:after="0"/>
        <w:rPr>
          <w:sz w:val="20"/>
          <w:szCs w:val="20"/>
        </w:rPr>
      </w:pPr>
    </w:p>
    <w:p w14:paraId="2036AA56" w14:textId="77777777" w:rsidR="00872C03" w:rsidRPr="00883399" w:rsidRDefault="00872C03" w:rsidP="00872C03">
      <w:pPr>
        <w:spacing w:after="0"/>
        <w:rPr>
          <w:sz w:val="20"/>
          <w:szCs w:val="20"/>
        </w:rPr>
      </w:pPr>
      <w:r w:rsidRPr="00883399">
        <w:rPr>
          <w:sz w:val="20"/>
          <w:szCs w:val="20"/>
        </w:rPr>
        <w:t>64.</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National Inventory Report 2006, Department of Climate Change..   Non-CO</w:t>
      </w:r>
      <w:r w:rsidRPr="00883399">
        <w:rPr>
          <w:rFonts w:ascii="Times New (W1)" w:hAnsi="Times New (W1)"/>
          <w:sz w:val="20"/>
          <w:szCs w:val="20"/>
          <w:vertAlign w:val="subscript"/>
        </w:rPr>
        <w:t>2</w:t>
      </w:r>
      <w:r w:rsidRPr="00883399">
        <w:rPr>
          <w:sz w:val="20"/>
          <w:szCs w:val="20"/>
        </w:rPr>
        <w:t xml:space="preserve"> factors: Derived from AGEIS database, Department of Climate Change and Energy Efficiency.</w:t>
      </w:r>
    </w:p>
    <w:p w14:paraId="6C316C59" w14:textId="77777777" w:rsidR="00872C03" w:rsidRPr="00883399" w:rsidRDefault="00872C03" w:rsidP="00872C03">
      <w:pPr>
        <w:spacing w:after="0"/>
        <w:rPr>
          <w:sz w:val="20"/>
          <w:szCs w:val="20"/>
        </w:rPr>
      </w:pPr>
    </w:p>
    <w:p w14:paraId="3F167AA2" w14:textId="77777777" w:rsidR="00872C03" w:rsidRPr="00883399" w:rsidRDefault="00872C03" w:rsidP="00872C03">
      <w:pPr>
        <w:spacing w:after="0"/>
        <w:rPr>
          <w:sz w:val="20"/>
          <w:szCs w:val="20"/>
        </w:rPr>
      </w:pPr>
      <w:r w:rsidRPr="00883399">
        <w:rPr>
          <w:sz w:val="20"/>
          <w:szCs w:val="20"/>
        </w:rPr>
        <w:t>65.</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National Inventory Report 2006, Department of Climate Change.. Non-CO</w:t>
      </w:r>
      <w:r w:rsidRPr="00883399">
        <w:rPr>
          <w:rFonts w:ascii="Times New (W1)" w:hAnsi="Times New (W1)"/>
          <w:sz w:val="20"/>
          <w:szCs w:val="20"/>
          <w:vertAlign w:val="subscript"/>
        </w:rPr>
        <w:t>2</w:t>
      </w:r>
      <w:r w:rsidRPr="00883399">
        <w:rPr>
          <w:sz w:val="20"/>
          <w:szCs w:val="20"/>
        </w:rPr>
        <w:t xml:space="preserve"> factors:  Derived from AGEIS database, Department of Climate Change and Energy Efficiency.</w:t>
      </w:r>
    </w:p>
    <w:p w14:paraId="5C6B6CB2" w14:textId="77777777" w:rsidR="00872C03" w:rsidRPr="00883399" w:rsidRDefault="00872C03" w:rsidP="00872C03">
      <w:pPr>
        <w:tabs>
          <w:tab w:val="num" w:pos="0"/>
        </w:tabs>
        <w:spacing w:after="0"/>
        <w:rPr>
          <w:sz w:val="20"/>
          <w:szCs w:val="20"/>
        </w:rPr>
      </w:pPr>
    </w:p>
    <w:p w14:paraId="2035CC52" w14:textId="77777777" w:rsidR="00872C03" w:rsidRPr="00883399" w:rsidRDefault="00872C03" w:rsidP="00872C03">
      <w:pPr>
        <w:spacing w:after="0"/>
        <w:rPr>
          <w:sz w:val="20"/>
          <w:szCs w:val="20"/>
        </w:rPr>
      </w:pPr>
      <w:r w:rsidRPr="00883399">
        <w:rPr>
          <w:sz w:val="20"/>
          <w:szCs w:val="20"/>
        </w:rPr>
        <w:t>66.</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National Inventory Report 2006, Department of Climate Change..  Non-CO</w:t>
      </w:r>
      <w:r w:rsidRPr="00883399">
        <w:rPr>
          <w:rFonts w:ascii="Times New (W1)" w:hAnsi="Times New (W1)"/>
          <w:sz w:val="20"/>
          <w:szCs w:val="20"/>
          <w:vertAlign w:val="subscript"/>
        </w:rPr>
        <w:t>2</w:t>
      </w:r>
      <w:r w:rsidRPr="00883399">
        <w:rPr>
          <w:sz w:val="20"/>
          <w:szCs w:val="20"/>
        </w:rPr>
        <w:t xml:space="preserve"> factors:  Derived from AGEIS database, Department of Climate Change and Energy Efficiency.</w:t>
      </w:r>
    </w:p>
    <w:p w14:paraId="4AEC2F98" w14:textId="77777777" w:rsidR="00872C03" w:rsidRPr="00883399" w:rsidRDefault="00872C03" w:rsidP="00872C03">
      <w:pPr>
        <w:spacing w:after="0"/>
        <w:rPr>
          <w:sz w:val="20"/>
          <w:szCs w:val="20"/>
        </w:rPr>
      </w:pPr>
    </w:p>
    <w:p w14:paraId="61EAB0D6" w14:textId="77777777" w:rsidR="00872C03" w:rsidRPr="00883399" w:rsidRDefault="00872C03" w:rsidP="00872C03">
      <w:pPr>
        <w:spacing w:after="0"/>
        <w:rPr>
          <w:sz w:val="20"/>
          <w:szCs w:val="20"/>
        </w:rPr>
      </w:pPr>
      <w:r w:rsidRPr="00883399">
        <w:rPr>
          <w:sz w:val="20"/>
          <w:szCs w:val="20"/>
        </w:rPr>
        <w:t>67.</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Non-CO</w:t>
      </w:r>
      <w:r w:rsidRPr="00883399">
        <w:rPr>
          <w:rFonts w:ascii="Times New (W1)" w:hAnsi="Times New (W1)"/>
          <w:sz w:val="20"/>
          <w:szCs w:val="20"/>
          <w:vertAlign w:val="subscript"/>
        </w:rPr>
        <w:t>2</w:t>
      </w:r>
      <w:r w:rsidRPr="00883399">
        <w:rPr>
          <w:sz w:val="20"/>
          <w:szCs w:val="20"/>
        </w:rPr>
        <w:t xml:space="preserve"> factors:  Derived from AGEIS database, Department of Climate Change and Energy Efficiency.</w:t>
      </w:r>
    </w:p>
    <w:p w14:paraId="038EDAB0" w14:textId="77777777" w:rsidR="00872C03" w:rsidRPr="00883399" w:rsidRDefault="00872C03" w:rsidP="00872C03">
      <w:pPr>
        <w:spacing w:after="0"/>
        <w:rPr>
          <w:sz w:val="20"/>
          <w:szCs w:val="20"/>
        </w:rPr>
      </w:pPr>
    </w:p>
    <w:p w14:paraId="1A68365B" w14:textId="77777777" w:rsidR="00872C03" w:rsidRPr="00883399" w:rsidRDefault="00872C03" w:rsidP="00872C03">
      <w:pPr>
        <w:spacing w:after="0"/>
        <w:rPr>
          <w:sz w:val="20"/>
          <w:szCs w:val="20"/>
        </w:rPr>
      </w:pPr>
      <w:r w:rsidRPr="00883399">
        <w:rPr>
          <w:sz w:val="20"/>
          <w:szCs w:val="20"/>
        </w:rPr>
        <w:t>68.</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National Inventory Report 2006, Department of Climate Change.. Non-CO</w:t>
      </w:r>
      <w:r w:rsidRPr="00883399">
        <w:rPr>
          <w:rFonts w:ascii="Times New (W1)" w:hAnsi="Times New (W1)"/>
          <w:sz w:val="20"/>
          <w:szCs w:val="20"/>
          <w:vertAlign w:val="subscript"/>
        </w:rPr>
        <w:t>2</w:t>
      </w:r>
      <w:r w:rsidRPr="00883399">
        <w:rPr>
          <w:sz w:val="20"/>
          <w:szCs w:val="20"/>
        </w:rPr>
        <w:t xml:space="preserve"> factors: Derived from AGEIS database, Department of Climate Change and Energy Efficiency.</w:t>
      </w:r>
    </w:p>
    <w:p w14:paraId="2AF9FF2D" w14:textId="77777777" w:rsidR="00872C03" w:rsidRPr="00883399" w:rsidRDefault="00872C03" w:rsidP="00872C03">
      <w:pPr>
        <w:spacing w:after="0"/>
        <w:rPr>
          <w:sz w:val="20"/>
          <w:szCs w:val="20"/>
        </w:rPr>
      </w:pPr>
    </w:p>
    <w:p w14:paraId="53BF2B14" w14:textId="77777777" w:rsidR="00872C03" w:rsidRPr="00883399" w:rsidRDefault="00872C03" w:rsidP="00872C03">
      <w:pPr>
        <w:spacing w:after="0"/>
        <w:rPr>
          <w:sz w:val="20"/>
          <w:szCs w:val="20"/>
        </w:rPr>
      </w:pPr>
      <w:r w:rsidRPr="00883399">
        <w:rPr>
          <w:sz w:val="20"/>
          <w:szCs w:val="20"/>
        </w:rPr>
        <w:t>69.</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National Inventory Report 2006, Department of Climate Change. Non-CO</w:t>
      </w:r>
      <w:r w:rsidRPr="00883399">
        <w:rPr>
          <w:rFonts w:ascii="Times New (W1)" w:hAnsi="Times New (W1)"/>
          <w:sz w:val="20"/>
          <w:szCs w:val="20"/>
          <w:vertAlign w:val="subscript"/>
        </w:rPr>
        <w:t>2</w:t>
      </w:r>
      <w:r w:rsidRPr="00883399">
        <w:rPr>
          <w:sz w:val="20"/>
          <w:szCs w:val="20"/>
        </w:rPr>
        <w:t xml:space="preserve"> factors:  Derived from AGEIS database, Department of Climate Change and Energy Efficiency. </w:t>
      </w:r>
    </w:p>
    <w:p w14:paraId="67E46DEA" w14:textId="77777777" w:rsidR="00872C03" w:rsidRPr="00883399" w:rsidRDefault="00872C03" w:rsidP="00872C03">
      <w:pPr>
        <w:spacing w:after="0"/>
        <w:rPr>
          <w:sz w:val="20"/>
          <w:szCs w:val="20"/>
        </w:rPr>
      </w:pPr>
    </w:p>
    <w:p w14:paraId="41598712" w14:textId="77777777" w:rsidR="00872C03" w:rsidRPr="00883399" w:rsidRDefault="00872C03" w:rsidP="00872C03">
      <w:pPr>
        <w:spacing w:after="0"/>
        <w:rPr>
          <w:sz w:val="20"/>
          <w:szCs w:val="20"/>
        </w:rPr>
      </w:pPr>
      <w:r w:rsidRPr="00883399">
        <w:rPr>
          <w:sz w:val="20"/>
          <w:szCs w:val="20"/>
        </w:rPr>
        <w:t>70.</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National Inventory Report 2006, Department of Climate Change.. Non-CO</w:t>
      </w:r>
      <w:r w:rsidRPr="00883399">
        <w:rPr>
          <w:rFonts w:ascii="Times New (W1)" w:hAnsi="Times New (W1)"/>
          <w:sz w:val="20"/>
          <w:szCs w:val="20"/>
          <w:vertAlign w:val="subscript"/>
        </w:rPr>
        <w:t>2</w:t>
      </w:r>
      <w:r w:rsidRPr="00883399">
        <w:rPr>
          <w:sz w:val="20"/>
          <w:szCs w:val="20"/>
        </w:rPr>
        <w:t xml:space="preserve"> factors:  Derived from AGEIS database, Department of Climate Change and Energy Efficiency.</w:t>
      </w:r>
    </w:p>
    <w:p w14:paraId="229F87F2" w14:textId="77777777" w:rsidR="00872C03" w:rsidRPr="00883399" w:rsidRDefault="00872C03" w:rsidP="00872C03">
      <w:pPr>
        <w:pStyle w:val="subsection"/>
        <w:rPr>
          <w:sz w:val="24"/>
        </w:rPr>
      </w:pPr>
    </w:p>
    <w:p w14:paraId="5D2F108D" w14:textId="62083586" w:rsidR="00872C03" w:rsidRPr="00883399" w:rsidRDefault="00872C03" w:rsidP="00872C03">
      <w:pPr>
        <w:pStyle w:val="ActHead1"/>
        <w:pageBreakBefore/>
        <w:rPr>
          <w:sz w:val="40"/>
        </w:rPr>
      </w:pPr>
      <w:bookmarkStart w:id="400" w:name="_Toc423516846"/>
      <w:bookmarkStart w:id="401" w:name="_Toc495652765"/>
      <w:r w:rsidRPr="00883399">
        <w:rPr>
          <w:rStyle w:val="CharChapNo"/>
          <w:sz w:val="40"/>
        </w:rPr>
        <w:lastRenderedPageBreak/>
        <w:t>Chapter 3</w:t>
      </w:r>
      <w:r w:rsidRPr="00883399">
        <w:rPr>
          <w:sz w:val="40"/>
        </w:rPr>
        <w:t>—</w:t>
      </w:r>
      <w:r w:rsidRPr="00883399">
        <w:rPr>
          <w:rStyle w:val="CharChapText"/>
          <w:sz w:val="40"/>
        </w:rPr>
        <w:t>Fugitive emissions</w:t>
      </w:r>
      <w:bookmarkEnd w:id="400"/>
      <w:bookmarkEnd w:id="401"/>
    </w:p>
    <w:p w14:paraId="719ACF8E" w14:textId="64147AD0" w:rsidR="00872C03" w:rsidRPr="00883399" w:rsidRDefault="00872C03" w:rsidP="00872C03">
      <w:pPr>
        <w:pStyle w:val="ActHead2"/>
        <w:rPr>
          <w:sz w:val="36"/>
        </w:rPr>
      </w:pPr>
      <w:bookmarkStart w:id="402" w:name="_Toc423516847"/>
      <w:bookmarkStart w:id="403" w:name="_Toc495652766"/>
      <w:r w:rsidRPr="00883399">
        <w:rPr>
          <w:rStyle w:val="CharPartNo"/>
          <w:sz w:val="36"/>
        </w:rPr>
        <w:t>Part 3.1</w:t>
      </w:r>
      <w:r w:rsidRPr="00883399">
        <w:rPr>
          <w:sz w:val="36"/>
        </w:rPr>
        <w:t>—</w:t>
      </w:r>
      <w:r w:rsidRPr="00883399">
        <w:rPr>
          <w:rStyle w:val="CharPartText"/>
          <w:sz w:val="36"/>
        </w:rPr>
        <w:t>Preliminary</w:t>
      </w:r>
      <w:bookmarkEnd w:id="402"/>
      <w:bookmarkEnd w:id="403"/>
    </w:p>
    <w:p w14:paraId="5B196EB9" w14:textId="77777777" w:rsidR="00872C03" w:rsidRPr="00883399" w:rsidRDefault="00872C03" w:rsidP="00872C03">
      <w:pPr>
        <w:pStyle w:val="Header"/>
        <w:rPr>
          <w:sz w:val="18"/>
        </w:rPr>
      </w:pPr>
      <w:r w:rsidRPr="00883399">
        <w:rPr>
          <w:rStyle w:val="CharDivNo"/>
          <w:sz w:val="18"/>
        </w:rPr>
        <w:t xml:space="preserve"> </w:t>
      </w:r>
      <w:r w:rsidRPr="00883399">
        <w:rPr>
          <w:rStyle w:val="CharDivText"/>
          <w:sz w:val="18"/>
        </w:rPr>
        <w:t xml:space="preserve"> </w:t>
      </w:r>
    </w:p>
    <w:p w14:paraId="79B99E06" w14:textId="524DECE1" w:rsidR="00872C03" w:rsidRPr="00883399" w:rsidRDefault="00872C03" w:rsidP="00872C03">
      <w:pPr>
        <w:pStyle w:val="ActHead5"/>
        <w:rPr>
          <w:sz w:val="28"/>
        </w:rPr>
      </w:pPr>
      <w:bookmarkStart w:id="404" w:name="_Toc423516848"/>
      <w:bookmarkStart w:id="405" w:name="_Toc495652767"/>
      <w:r w:rsidRPr="00883399">
        <w:rPr>
          <w:rStyle w:val="CharSectno"/>
          <w:sz w:val="28"/>
        </w:rPr>
        <w:t>3.1</w:t>
      </w:r>
      <w:r w:rsidRPr="00883399">
        <w:rPr>
          <w:sz w:val="28"/>
        </w:rPr>
        <w:t xml:space="preserve">  Outline of Chapter</w:t>
      </w:r>
      <w:bookmarkEnd w:id="404"/>
      <w:bookmarkEnd w:id="405"/>
    </w:p>
    <w:p w14:paraId="60F03ED1" w14:textId="77777777" w:rsidR="00872C03" w:rsidRPr="00883399" w:rsidRDefault="00872C03" w:rsidP="00872C03">
      <w:pPr>
        <w:pStyle w:val="subsection"/>
        <w:rPr>
          <w:sz w:val="24"/>
        </w:rPr>
      </w:pPr>
      <w:r w:rsidRPr="00883399">
        <w:rPr>
          <w:sz w:val="24"/>
        </w:rPr>
        <w:tab/>
      </w:r>
      <w:r w:rsidRPr="00883399">
        <w:rPr>
          <w:sz w:val="24"/>
        </w:rPr>
        <w:tab/>
        <w:t>This Chapter provides for fugitive emissions from the following:</w:t>
      </w:r>
    </w:p>
    <w:p w14:paraId="7BA6D4D4" w14:textId="77777777" w:rsidR="00872C03" w:rsidRPr="00883399" w:rsidRDefault="00872C03" w:rsidP="00872C03">
      <w:pPr>
        <w:pStyle w:val="paragraph"/>
        <w:rPr>
          <w:sz w:val="24"/>
        </w:rPr>
      </w:pPr>
      <w:r w:rsidRPr="00883399">
        <w:rPr>
          <w:sz w:val="24"/>
        </w:rPr>
        <w:tab/>
        <w:t>(a)</w:t>
      </w:r>
      <w:r w:rsidRPr="00883399">
        <w:rPr>
          <w:sz w:val="24"/>
        </w:rPr>
        <w:tab/>
        <w:t>coal mining (see Part 3.2);</w:t>
      </w:r>
    </w:p>
    <w:p w14:paraId="4A3FC15A" w14:textId="77777777" w:rsidR="00872C03" w:rsidRPr="00883399" w:rsidRDefault="00872C03" w:rsidP="00872C03">
      <w:pPr>
        <w:pStyle w:val="paragraph"/>
        <w:rPr>
          <w:sz w:val="24"/>
        </w:rPr>
      </w:pPr>
      <w:r w:rsidRPr="00883399">
        <w:rPr>
          <w:sz w:val="24"/>
        </w:rPr>
        <w:tab/>
        <w:t>(b)</w:t>
      </w:r>
      <w:r w:rsidRPr="00883399">
        <w:rPr>
          <w:sz w:val="24"/>
        </w:rPr>
        <w:tab/>
        <w:t>oil and natural gas (see Part 3.3);</w:t>
      </w:r>
    </w:p>
    <w:p w14:paraId="0AE968C0" w14:textId="77777777" w:rsidR="00872C03" w:rsidRPr="00883399" w:rsidRDefault="00872C03" w:rsidP="00872C03">
      <w:pPr>
        <w:pStyle w:val="paragraph"/>
        <w:rPr>
          <w:sz w:val="24"/>
        </w:rPr>
      </w:pPr>
      <w:r w:rsidRPr="00883399">
        <w:rPr>
          <w:sz w:val="24"/>
        </w:rPr>
        <w:tab/>
        <w:t>(c)</w:t>
      </w:r>
      <w:r w:rsidRPr="00883399">
        <w:rPr>
          <w:sz w:val="24"/>
        </w:rPr>
        <w:tab/>
        <w:t>carbon capture and storage (see Part 3.4).</w:t>
      </w:r>
    </w:p>
    <w:p w14:paraId="37643311" w14:textId="77777777" w:rsidR="00C335B2" w:rsidRPr="00883399" w:rsidRDefault="00C335B2" w:rsidP="00C335B2">
      <w:pPr>
        <w:pStyle w:val="paragraph"/>
        <w:rPr>
          <w:rStyle w:val="CharPartNo"/>
          <w:sz w:val="36"/>
        </w:rPr>
      </w:pPr>
      <w:bookmarkStart w:id="406" w:name="_Toc423516849"/>
    </w:p>
    <w:p w14:paraId="1A07D830" w14:textId="294BB979" w:rsidR="00872C03" w:rsidRPr="00883399" w:rsidRDefault="00872C03" w:rsidP="00C335B2">
      <w:pPr>
        <w:pStyle w:val="ActHead2"/>
        <w:rPr>
          <w:rStyle w:val="CharPartNo"/>
        </w:rPr>
      </w:pPr>
      <w:bookmarkStart w:id="407" w:name="_Toc495652768"/>
      <w:r w:rsidRPr="00883399">
        <w:rPr>
          <w:rStyle w:val="CharPartNo"/>
          <w:sz w:val="36"/>
        </w:rPr>
        <w:t>Part 3.2</w:t>
      </w:r>
      <w:r w:rsidRPr="00883399">
        <w:rPr>
          <w:rStyle w:val="CharPartNo"/>
        </w:rPr>
        <w:t>—Coal mining—fugitive emissions</w:t>
      </w:r>
      <w:bookmarkEnd w:id="406"/>
      <w:bookmarkEnd w:id="407"/>
    </w:p>
    <w:p w14:paraId="39FD6814" w14:textId="72C662EE" w:rsidR="00872C03" w:rsidRPr="00883399" w:rsidRDefault="00872C03" w:rsidP="00872C03">
      <w:pPr>
        <w:pStyle w:val="ActHead3"/>
        <w:rPr>
          <w:rStyle w:val="CharDivText"/>
          <w:sz w:val="32"/>
        </w:rPr>
      </w:pPr>
      <w:bookmarkStart w:id="408" w:name="_Toc423516850"/>
      <w:bookmarkStart w:id="409" w:name="_Toc495652769"/>
      <w:r w:rsidRPr="00883399">
        <w:rPr>
          <w:rStyle w:val="CharDivNo"/>
          <w:sz w:val="32"/>
        </w:rPr>
        <w:t>Division 3.2.1</w:t>
      </w:r>
      <w:r w:rsidRPr="00883399">
        <w:rPr>
          <w:sz w:val="32"/>
        </w:rPr>
        <w:t>—</w:t>
      </w:r>
      <w:r w:rsidRPr="00883399">
        <w:rPr>
          <w:rStyle w:val="CharDivText"/>
          <w:sz w:val="32"/>
        </w:rPr>
        <w:t>Preliminary</w:t>
      </w:r>
      <w:bookmarkEnd w:id="408"/>
      <w:bookmarkEnd w:id="409"/>
    </w:p>
    <w:p w14:paraId="498E9B69" w14:textId="77777777" w:rsidR="00872C03" w:rsidRPr="00883399" w:rsidRDefault="00872C03" w:rsidP="00872C03">
      <w:pPr>
        <w:tabs>
          <w:tab w:val="left" w:pos="-120"/>
        </w:tabs>
        <w:spacing w:before="240" w:line="312" w:lineRule="auto"/>
        <w:rPr>
          <w:rFonts w:ascii="Arial" w:hAnsi="Arial" w:cs="Arial"/>
          <w:sz w:val="22"/>
          <w:szCs w:val="22"/>
        </w:rPr>
      </w:pPr>
      <w:r w:rsidRPr="00883399">
        <w:rPr>
          <w:rFonts w:ascii="Arial" w:hAnsi="Arial" w:cs="Arial"/>
          <w:sz w:val="22"/>
          <w:szCs w:val="22"/>
        </w:rPr>
        <w:t>The principal sources of fugitive greenhouse gases from coal mining include emissions from underground and open cut mining activities and emissions from decommissioned mines. A small amount of emissions are also associated with flaring coal mine waste gas and post-mining activities such as from the stockpiling of coal. This chapter describes the methods for estimating emissions from each of these sources.</w:t>
      </w:r>
    </w:p>
    <w:p w14:paraId="7EECE44E" w14:textId="77777777" w:rsidR="00872C03" w:rsidRPr="00883399" w:rsidRDefault="00872C03" w:rsidP="00872C03">
      <w:pPr>
        <w:tabs>
          <w:tab w:val="left" w:pos="-120"/>
        </w:tabs>
        <w:spacing w:before="240" w:line="312" w:lineRule="auto"/>
        <w:rPr>
          <w:rFonts w:ascii="Arial" w:hAnsi="Arial" w:cs="Arial"/>
          <w:sz w:val="22"/>
          <w:szCs w:val="22"/>
        </w:rPr>
      </w:pPr>
      <w:r w:rsidRPr="00883399">
        <w:rPr>
          <w:rFonts w:ascii="Arial" w:hAnsi="Arial" w:cs="Arial"/>
          <w:sz w:val="22"/>
          <w:szCs w:val="22"/>
        </w:rPr>
        <w:t>Other sources of emissions arising from the coal production process, such as from the combustion of fuels for energy (e.g. electricity production), are not described in this chapter and must be estimated using the Methods described in other chapters.</w:t>
      </w:r>
    </w:p>
    <w:p w14:paraId="60FF8A62" w14:textId="292B52FF" w:rsidR="00872C03" w:rsidRPr="00883399" w:rsidRDefault="00872C03" w:rsidP="00872C03">
      <w:pPr>
        <w:pStyle w:val="ActHead5"/>
        <w:rPr>
          <w:sz w:val="28"/>
        </w:rPr>
      </w:pPr>
      <w:bookmarkStart w:id="410" w:name="_Toc423516851"/>
      <w:bookmarkStart w:id="411" w:name="_Toc495652770"/>
      <w:r w:rsidRPr="00883399">
        <w:rPr>
          <w:rStyle w:val="CharSectno"/>
          <w:sz w:val="28"/>
        </w:rPr>
        <w:t>3.2</w:t>
      </w:r>
      <w:r w:rsidRPr="00883399">
        <w:rPr>
          <w:sz w:val="28"/>
        </w:rPr>
        <w:t xml:space="preserve">  Outline of Part</w:t>
      </w:r>
      <w:bookmarkEnd w:id="410"/>
      <w:bookmarkEnd w:id="411"/>
    </w:p>
    <w:p w14:paraId="466CA9CB" w14:textId="77777777" w:rsidR="00872C03" w:rsidRPr="00883399" w:rsidRDefault="00872C03" w:rsidP="00872C03">
      <w:pPr>
        <w:pStyle w:val="subsection"/>
        <w:rPr>
          <w:sz w:val="24"/>
        </w:rPr>
      </w:pPr>
      <w:r w:rsidRPr="00883399">
        <w:rPr>
          <w:sz w:val="24"/>
        </w:rPr>
        <w:tab/>
      </w:r>
      <w:r w:rsidRPr="00883399">
        <w:rPr>
          <w:sz w:val="24"/>
        </w:rPr>
        <w:tab/>
        <w:t>This Part provides for fugitive emissions from coal mining, as follows:</w:t>
      </w:r>
    </w:p>
    <w:p w14:paraId="51BAA291" w14:textId="77777777" w:rsidR="00872C03" w:rsidRPr="00883399" w:rsidRDefault="00872C03" w:rsidP="00872C03">
      <w:pPr>
        <w:pStyle w:val="paragraph"/>
        <w:rPr>
          <w:sz w:val="24"/>
        </w:rPr>
      </w:pPr>
      <w:r w:rsidRPr="00883399">
        <w:rPr>
          <w:sz w:val="24"/>
        </w:rPr>
        <w:tab/>
        <w:t>(a)</w:t>
      </w:r>
      <w:r w:rsidRPr="00883399">
        <w:rPr>
          <w:sz w:val="24"/>
        </w:rPr>
        <w:tab/>
        <w:t>underground mining activities (see Division 3.2.2);</w:t>
      </w:r>
    </w:p>
    <w:p w14:paraId="7FFB7C00" w14:textId="77777777" w:rsidR="00872C03" w:rsidRPr="00883399" w:rsidRDefault="00872C03" w:rsidP="00872C03">
      <w:pPr>
        <w:pStyle w:val="paragraph"/>
        <w:rPr>
          <w:sz w:val="24"/>
        </w:rPr>
      </w:pPr>
      <w:r w:rsidRPr="00883399">
        <w:rPr>
          <w:sz w:val="24"/>
        </w:rPr>
        <w:tab/>
        <w:t>(b)</w:t>
      </w:r>
      <w:r w:rsidRPr="00883399">
        <w:rPr>
          <w:sz w:val="24"/>
        </w:rPr>
        <w:tab/>
        <w:t>open cut mining activities (see Division 3.2.3);</w:t>
      </w:r>
    </w:p>
    <w:p w14:paraId="6DD0F858" w14:textId="77777777" w:rsidR="00872C03" w:rsidRPr="00883399" w:rsidRDefault="00872C03" w:rsidP="00872C03">
      <w:pPr>
        <w:pStyle w:val="paragraph"/>
        <w:rPr>
          <w:sz w:val="24"/>
        </w:rPr>
      </w:pPr>
      <w:r w:rsidRPr="00883399">
        <w:rPr>
          <w:sz w:val="24"/>
        </w:rPr>
        <w:tab/>
        <w:t>(c)</w:t>
      </w:r>
      <w:r w:rsidRPr="00883399">
        <w:rPr>
          <w:sz w:val="24"/>
        </w:rPr>
        <w:tab/>
        <w:t>decommissioned underground mines (see Division 3.2.4).</w:t>
      </w:r>
    </w:p>
    <w:p w14:paraId="04D43AFD" w14:textId="53C5DF62" w:rsidR="00872C03" w:rsidRPr="00883399" w:rsidRDefault="00872C03" w:rsidP="00872C03">
      <w:pPr>
        <w:pStyle w:val="ActHead3"/>
        <w:pageBreakBefore/>
        <w:rPr>
          <w:sz w:val="32"/>
        </w:rPr>
      </w:pPr>
      <w:bookmarkStart w:id="412" w:name="_Toc423516852"/>
      <w:bookmarkStart w:id="413" w:name="_Toc495652771"/>
      <w:r w:rsidRPr="00883399">
        <w:rPr>
          <w:rStyle w:val="CharDivNo"/>
          <w:sz w:val="32"/>
        </w:rPr>
        <w:lastRenderedPageBreak/>
        <w:t>Division 3.2.2</w:t>
      </w:r>
      <w:r w:rsidRPr="00883399">
        <w:rPr>
          <w:sz w:val="32"/>
        </w:rPr>
        <w:t>—</w:t>
      </w:r>
      <w:r w:rsidRPr="00883399">
        <w:rPr>
          <w:rStyle w:val="CharDivText"/>
          <w:sz w:val="32"/>
        </w:rPr>
        <w:t>Underground mines</w:t>
      </w:r>
      <w:bookmarkEnd w:id="412"/>
      <w:bookmarkEnd w:id="413"/>
    </w:p>
    <w:p w14:paraId="5CE7A87E" w14:textId="4F4481EB" w:rsidR="00872C03" w:rsidRPr="00883399" w:rsidRDefault="00872C03" w:rsidP="00872C03">
      <w:pPr>
        <w:pStyle w:val="ActHead4"/>
        <w:rPr>
          <w:rStyle w:val="CharSubdText"/>
          <w:sz w:val="28"/>
        </w:rPr>
      </w:pPr>
      <w:bookmarkStart w:id="414" w:name="_Toc423516853"/>
      <w:bookmarkStart w:id="415" w:name="_Toc495652772"/>
      <w:r w:rsidRPr="00883399">
        <w:rPr>
          <w:rStyle w:val="CharSubdNo"/>
          <w:sz w:val="28"/>
        </w:rPr>
        <w:t>Subdivision 3.2.2.1</w:t>
      </w:r>
      <w:r w:rsidRPr="00883399">
        <w:rPr>
          <w:sz w:val="28"/>
        </w:rPr>
        <w:t>—</w:t>
      </w:r>
      <w:r w:rsidRPr="00883399">
        <w:rPr>
          <w:rStyle w:val="CharSubdText"/>
          <w:sz w:val="28"/>
        </w:rPr>
        <w:t>Preliminary</w:t>
      </w:r>
      <w:bookmarkEnd w:id="414"/>
      <w:bookmarkEnd w:id="415"/>
    </w:p>
    <w:p w14:paraId="3E37C689" w14:textId="77777777" w:rsidR="00872C03" w:rsidRPr="00883399" w:rsidRDefault="00872C03" w:rsidP="00872C03">
      <w:pPr>
        <w:pStyle w:val="Text"/>
        <w:spacing w:before="0" w:line="240" w:lineRule="auto"/>
        <w:rPr>
          <w:rFonts w:ascii="Arial" w:hAnsi="Arial" w:cs="Arial"/>
          <w:sz w:val="22"/>
          <w:szCs w:val="22"/>
        </w:rPr>
      </w:pPr>
    </w:p>
    <w:p w14:paraId="7CC84AA9" w14:textId="77777777" w:rsidR="00872C03" w:rsidRPr="00883399" w:rsidRDefault="00872C03" w:rsidP="00872C03">
      <w:pPr>
        <w:pStyle w:val="Text"/>
      </w:pPr>
      <w:r w:rsidRPr="00883399">
        <w:rPr>
          <w:rFonts w:ascii="Arial" w:hAnsi="Arial" w:cs="Arial"/>
          <w:sz w:val="22"/>
          <w:szCs w:val="22"/>
        </w:rPr>
        <w:t xml:space="preserve">Fugitive emissions from underground mines involve the release of methane and carbon dioxide during the mining process due to the fracturing of coal seams, overburden and underburden strata. Emissions also arise from post mining activities such as the stockpiling of coal from the release of residual gases within the coal not released during the mining process. Emissions also occur when coal mine waste gas is flared. </w:t>
      </w:r>
    </w:p>
    <w:p w14:paraId="2AE52DE1" w14:textId="1B85EC18" w:rsidR="00872C03" w:rsidRPr="00883399" w:rsidRDefault="00872C03" w:rsidP="00872C03">
      <w:pPr>
        <w:pStyle w:val="ActHead5"/>
        <w:rPr>
          <w:sz w:val="28"/>
        </w:rPr>
      </w:pPr>
      <w:bookmarkStart w:id="416" w:name="_Toc423516854"/>
      <w:bookmarkStart w:id="417" w:name="_Toc495652773"/>
      <w:r w:rsidRPr="00883399">
        <w:rPr>
          <w:rStyle w:val="CharSectno"/>
          <w:sz w:val="28"/>
        </w:rPr>
        <w:t>3.3</w:t>
      </w:r>
      <w:r w:rsidRPr="00883399">
        <w:rPr>
          <w:sz w:val="28"/>
        </w:rPr>
        <w:t xml:space="preserve">  Application</w:t>
      </w:r>
      <w:bookmarkEnd w:id="416"/>
      <w:bookmarkEnd w:id="417"/>
    </w:p>
    <w:p w14:paraId="351DED93" w14:textId="77777777" w:rsidR="00872C03" w:rsidRPr="00883399" w:rsidRDefault="00872C03" w:rsidP="00872C03">
      <w:pPr>
        <w:pStyle w:val="subsection"/>
        <w:rPr>
          <w:sz w:val="24"/>
        </w:rPr>
      </w:pPr>
      <w:r w:rsidRPr="00883399">
        <w:rPr>
          <w:sz w:val="24"/>
        </w:rPr>
        <w:tab/>
      </w:r>
      <w:r w:rsidRPr="00883399">
        <w:rPr>
          <w:sz w:val="24"/>
        </w:rPr>
        <w:tab/>
        <w:t>This Division applies to fugitive emissions from underground mining activities (other than decommissioned underground mines).</w:t>
      </w:r>
    </w:p>
    <w:p w14:paraId="582FFC43" w14:textId="1EC1E6F1" w:rsidR="00872C03" w:rsidRPr="00883399" w:rsidRDefault="00872C03" w:rsidP="00872C03">
      <w:pPr>
        <w:pStyle w:val="ActHead5"/>
        <w:rPr>
          <w:sz w:val="28"/>
        </w:rPr>
      </w:pPr>
      <w:bookmarkStart w:id="418" w:name="_Toc423516855"/>
      <w:bookmarkStart w:id="419" w:name="_Toc495652774"/>
      <w:r w:rsidRPr="00883399">
        <w:rPr>
          <w:rStyle w:val="CharSectno"/>
          <w:sz w:val="28"/>
        </w:rPr>
        <w:t>3.4</w:t>
      </w:r>
      <w:r w:rsidRPr="00883399">
        <w:rPr>
          <w:sz w:val="28"/>
        </w:rPr>
        <w:t xml:space="preserve">  Available methods</w:t>
      </w:r>
      <w:bookmarkEnd w:id="418"/>
      <w:bookmarkEnd w:id="419"/>
    </w:p>
    <w:p w14:paraId="43ED8AB4" w14:textId="77777777" w:rsidR="00872C03" w:rsidRPr="00883399" w:rsidRDefault="00872C03" w:rsidP="00872C03">
      <w:pPr>
        <w:pStyle w:val="subsection"/>
        <w:rPr>
          <w:sz w:val="24"/>
        </w:rPr>
      </w:pPr>
      <w:r w:rsidRPr="00883399">
        <w:rPr>
          <w:sz w:val="24"/>
        </w:rPr>
        <w:tab/>
        <w:t>(1)</w:t>
      </w:r>
      <w:r w:rsidRPr="00883399">
        <w:rPr>
          <w:sz w:val="24"/>
        </w:rPr>
        <w:tab/>
        <w:t>Subject to section 1.18, for estimating emissions released during a year from the operation of a facility that is constituted by underground mining activities (other than decommissioned underground mines) the methods as set out in this section must be used.</w:t>
      </w:r>
    </w:p>
    <w:p w14:paraId="0AEEF89B" w14:textId="77777777" w:rsidR="00872C03" w:rsidRPr="00883399" w:rsidRDefault="00872C03" w:rsidP="00872C03">
      <w:pPr>
        <w:pStyle w:val="SubsectionHead"/>
        <w:rPr>
          <w:sz w:val="24"/>
        </w:rPr>
      </w:pPr>
      <w:r w:rsidRPr="00883399">
        <w:rPr>
          <w:sz w:val="24"/>
        </w:rPr>
        <w:t>Methane from extraction of coal</w:t>
      </w:r>
    </w:p>
    <w:p w14:paraId="0CC4044A" w14:textId="77777777" w:rsidR="00872C03" w:rsidRPr="00883399" w:rsidRDefault="00872C03" w:rsidP="00872C03">
      <w:pPr>
        <w:pStyle w:val="subsection"/>
        <w:rPr>
          <w:sz w:val="24"/>
        </w:rPr>
      </w:pPr>
      <w:r w:rsidRPr="00883399">
        <w:rPr>
          <w:sz w:val="24"/>
        </w:rPr>
        <w:tab/>
        <w:t>(2)</w:t>
      </w:r>
      <w:r w:rsidRPr="00883399">
        <w:rPr>
          <w:sz w:val="24"/>
        </w:rPr>
        <w:tab/>
        <w:t>Method 4 under section 3.6 must be used for estimating fugitive emissions of methane that result from the extraction of coal from the underground mine.</w:t>
      </w:r>
    </w:p>
    <w:p w14:paraId="56E54447" w14:textId="77777777" w:rsidR="00872C03" w:rsidRPr="00883399" w:rsidRDefault="00872C03" w:rsidP="00872C03">
      <w:pPr>
        <w:pStyle w:val="notetext"/>
        <w:rPr>
          <w:sz w:val="20"/>
        </w:rPr>
      </w:pPr>
      <w:r w:rsidRPr="00883399">
        <w:rPr>
          <w:sz w:val="20"/>
        </w:rPr>
        <w:t>Note:</w:t>
      </w:r>
      <w:r w:rsidRPr="00883399">
        <w:rPr>
          <w:sz w:val="20"/>
        </w:rPr>
        <w:tab/>
        <w:t>There is no method 1, 2 or 3 for subsection (2).</w:t>
      </w:r>
    </w:p>
    <w:p w14:paraId="347936E1" w14:textId="77777777" w:rsidR="00872C03" w:rsidRPr="00883399" w:rsidRDefault="00872C03" w:rsidP="00872C03">
      <w:pPr>
        <w:pStyle w:val="SubsectionHead"/>
        <w:rPr>
          <w:sz w:val="24"/>
        </w:rPr>
      </w:pPr>
      <w:r w:rsidRPr="00883399">
        <w:rPr>
          <w:sz w:val="24"/>
        </w:rPr>
        <w:t>Carbon dioxide from extraction of coal</w:t>
      </w:r>
    </w:p>
    <w:p w14:paraId="293B1C79" w14:textId="77777777" w:rsidR="00872C03" w:rsidRPr="00883399" w:rsidRDefault="00872C03" w:rsidP="00872C03">
      <w:pPr>
        <w:pStyle w:val="subsection"/>
        <w:rPr>
          <w:sz w:val="24"/>
        </w:rPr>
      </w:pPr>
      <w:r w:rsidRPr="00883399">
        <w:rPr>
          <w:sz w:val="24"/>
        </w:rPr>
        <w:tab/>
        <w:t>(3)</w:t>
      </w:r>
      <w:r w:rsidRPr="00883399">
        <w:rPr>
          <w:sz w:val="24"/>
        </w:rPr>
        <w:tab/>
        <w:t xml:space="preserve">Method 4 under section 3.6 must be used for estimating fugitive emissions of carbon dioxide that result from the extraction of coal from the underground mine. </w:t>
      </w:r>
    </w:p>
    <w:p w14:paraId="5BC0136A" w14:textId="77777777" w:rsidR="00872C03" w:rsidRPr="00883399" w:rsidRDefault="00872C03" w:rsidP="00872C03">
      <w:pPr>
        <w:pStyle w:val="notetext"/>
        <w:rPr>
          <w:sz w:val="20"/>
        </w:rPr>
      </w:pPr>
      <w:r w:rsidRPr="00883399">
        <w:rPr>
          <w:sz w:val="20"/>
        </w:rPr>
        <w:t>Note:</w:t>
      </w:r>
      <w:r w:rsidRPr="00883399">
        <w:rPr>
          <w:sz w:val="20"/>
        </w:rPr>
        <w:tab/>
        <w:t>There is no method 1, 2 or 3 for subsection (3).</w:t>
      </w:r>
    </w:p>
    <w:p w14:paraId="72B5B1F5" w14:textId="77777777" w:rsidR="00872C03" w:rsidRPr="00883399" w:rsidRDefault="00872C03" w:rsidP="00872C03">
      <w:pPr>
        <w:pStyle w:val="SubsectionHead"/>
        <w:rPr>
          <w:sz w:val="24"/>
        </w:rPr>
      </w:pPr>
      <w:r w:rsidRPr="00883399">
        <w:rPr>
          <w:sz w:val="24"/>
        </w:rPr>
        <w:t>Flaring</w:t>
      </w:r>
    </w:p>
    <w:p w14:paraId="3F78E5C9" w14:textId="77777777" w:rsidR="00872C03" w:rsidRPr="00883399" w:rsidRDefault="00872C03" w:rsidP="00872C03">
      <w:pPr>
        <w:pStyle w:val="subsection"/>
        <w:rPr>
          <w:sz w:val="24"/>
        </w:rPr>
      </w:pPr>
      <w:r w:rsidRPr="00883399">
        <w:rPr>
          <w:sz w:val="24"/>
        </w:rPr>
        <w:tab/>
        <w:t>(4)</w:t>
      </w:r>
      <w:r w:rsidRPr="00883399">
        <w:rPr>
          <w:sz w:val="24"/>
        </w:rPr>
        <w:tab/>
        <w:t>For estimating emissions released from coal mine waste gas flared from the underground mine:</w:t>
      </w:r>
    </w:p>
    <w:p w14:paraId="1C142B82" w14:textId="77777777" w:rsidR="00872C03" w:rsidRPr="00883399" w:rsidRDefault="00872C03" w:rsidP="00872C03">
      <w:pPr>
        <w:pStyle w:val="paragraph"/>
        <w:rPr>
          <w:sz w:val="24"/>
        </w:rPr>
      </w:pPr>
      <w:r w:rsidRPr="00883399">
        <w:rPr>
          <w:sz w:val="24"/>
        </w:rPr>
        <w:tab/>
        <w:t>(a)</w:t>
      </w:r>
      <w:r w:rsidRPr="00883399">
        <w:rPr>
          <w:sz w:val="24"/>
        </w:rPr>
        <w:tab/>
        <w:t>one of the following methods must be used for estimating emissions of carbon dioxide released:</w:t>
      </w:r>
    </w:p>
    <w:p w14:paraId="4CD5EBC0" w14:textId="77777777" w:rsidR="00872C03" w:rsidRPr="00883399" w:rsidRDefault="00872C03" w:rsidP="00872C03">
      <w:pPr>
        <w:pStyle w:val="paragraphsub"/>
        <w:rPr>
          <w:sz w:val="24"/>
        </w:rPr>
      </w:pPr>
      <w:r w:rsidRPr="00883399">
        <w:rPr>
          <w:sz w:val="24"/>
        </w:rPr>
        <w:lastRenderedPageBreak/>
        <w:tab/>
        <w:t>(i)</w:t>
      </w:r>
      <w:r w:rsidRPr="00883399">
        <w:rPr>
          <w:sz w:val="24"/>
        </w:rPr>
        <w:tab/>
        <w:t>method 1 under section 3.14;</w:t>
      </w:r>
    </w:p>
    <w:p w14:paraId="45C1F034" w14:textId="77777777" w:rsidR="00872C03" w:rsidRPr="00883399" w:rsidRDefault="00872C03" w:rsidP="00872C03">
      <w:pPr>
        <w:pStyle w:val="paragraphsub"/>
        <w:rPr>
          <w:sz w:val="24"/>
        </w:rPr>
      </w:pPr>
      <w:r w:rsidRPr="00883399">
        <w:rPr>
          <w:sz w:val="24"/>
        </w:rPr>
        <w:tab/>
        <w:t>(ii)</w:t>
      </w:r>
      <w:r w:rsidRPr="00883399">
        <w:rPr>
          <w:sz w:val="24"/>
        </w:rPr>
        <w:tab/>
        <w:t>method 2 under section 3.15;</w:t>
      </w:r>
    </w:p>
    <w:p w14:paraId="3C28D15C" w14:textId="77777777" w:rsidR="00872C03" w:rsidRPr="00883399" w:rsidRDefault="00872C03" w:rsidP="00872C03">
      <w:pPr>
        <w:pStyle w:val="paragraphsub"/>
        <w:rPr>
          <w:sz w:val="24"/>
        </w:rPr>
      </w:pPr>
      <w:r w:rsidRPr="00883399">
        <w:rPr>
          <w:sz w:val="24"/>
        </w:rPr>
        <w:tab/>
        <w:t>(iii)</w:t>
      </w:r>
      <w:r w:rsidRPr="00883399">
        <w:rPr>
          <w:sz w:val="24"/>
        </w:rPr>
        <w:tab/>
        <w:t>method 3 under section 3.16; and</w:t>
      </w:r>
    </w:p>
    <w:p w14:paraId="04F4816E" w14:textId="77777777" w:rsidR="00872C03" w:rsidRPr="00883399" w:rsidRDefault="00872C03" w:rsidP="00872C03">
      <w:pPr>
        <w:pStyle w:val="paragraph"/>
        <w:rPr>
          <w:sz w:val="24"/>
        </w:rPr>
      </w:pPr>
      <w:r w:rsidRPr="00883399">
        <w:rPr>
          <w:sz w:val="24"/>
        </w:rPr>
        <w:tab/>
        <w:t>(b)</w:t>
      </w:r>
      <w:r w:rsidRPr="00883399">
        <w:rPr>
          <w:sz w:val="24"/>
        </w:rPr>
        <w:tab/>
        <w:t>one of the following methods must be used for estimating emissions of methane released:</w:t>
      </w:r>
    </w:p>
    <w:p w14:paraId="3316059F" w14:textId="77777777" w:rsidR="00872C03" w:rsidRPr="00883399" w:rsidRDefault="00872C03" w:rsidP="00872C03">
      <w:pPr>
        <w:pStyle w:val="paragraphsub"/>
        <w:rPr>
          <w:sz w:val="24"/>
        </w:rPr>
      </w:pPr>
      <w:r w:rsidRPr="00883399">
        <w:rPr>
          <w:sz w:val="24"/>
        </w:rPr>
        <w:tab/>
        <w:t>(i)</w:t>
      </w:r>
      <w:r w:rsidRPr="00883399">
        <w:rPr>
          <w:sz w:val="24"/>
        </w:rPr>
        <w:tab/>
        <w:t>method 1 under section 3.14;</w:t>
      </w:r>
    </w:p>
    <w:p w14:paraId="6EE26220" w14:textId="77777777" w:rsidR="00872C03" w:rsidRPr="00883399" w:rsidRDefault="00872C03" w:rsidP="00872C03">
      <w:pPr>
        <w:pStyle w:val="paragraphsub"/>
        <w:rPr>
          <w:sz w:val="24"/>
        </w:rPr>
      </w:pPr>
      <w:r w:rsidRPr="00883399">
        <w:rPr>
          <w:sz w:val="24"/>
        </w:rPr>
        <w:tab/>
        <w:t>(ii)</w:t>
      </w:r>
      <w:r w:rsidRPr="00883399">
        <w:rPr>
          <w:sz w:val="24"/>
        </w:rPr>
        <w:tab/>
        <w:t>method 2 under section 3.15A; and</w:t>
      </w:r>
    </w:p>
    <w:p w14:paraId="7DDB5CC2" w14:textId="77777777" w:rsidR="00872C03" w:rsidRPr="00883399" w:rsidRDefault="00872C03" w:rsidP="00872C03">
      <w:pPr>
        <w:pStyle w:val="paragraph"/>
        <w:rPr>
          <w:sz w:val="24"/>
        </w:rPr>
      </w:pPr>
      <w:r w:rsidRPr="00883399">
        <w:rPr>
          <w:sz w:val="24"/>
        </w:rPr>
        <w:tab/>
        <w:t>(c)</w:t>
      </w:r>
      <w:r w:rsidRPr="00883399">
        <w:rPr>
          <w:sz w:val="24"/>
        </w:rPr>
        <w:tab/>
        <w:t>one of the following methods must be used for estimating emissions of nitrous oxide released:</w:t>
      </w:r>
    </w:p>
    <w:p w14:paraId="6382777C" w14:textId="77777777" w:rsidR="00872C03" w:rsidRPr="00883399" w:rsidRDefault="00872C03" w:rsidP="00872C03">
      <w:pPr>
        <w:pStyle w:val="paragraphsub"/>
        <w:rPr>
          <w:sz w:val="24"/>
        </w:rPr>
      </w:pPr>
      <w:r w:rsidRPr="00883399">
        <w:rPr>
          <w:sz w:val="24"/>
        </w:rPr>
        <w:tab/>
        <w:t>(i)</w:t>
      </w:r>
      <w:r w:rsidRPr="00883399">
        <w:rPr>
          <w:sz w:val="24"/>
        </w:rPr>
        <w:tab/>
        <w:t>method 1 under section 3.14;</w:t>
      </w:r>
    </w:p>
    <w:p w14:paraId="1F2EB760" w14:textId="77777777" w:rsidR="00872C03" w:rsidRPr="00883399" w:rsidRDefault="00872C03" w:rsidP="00872C03">
      <w:pPr>
        <w:pStyle w:val="paragraphsub"/>
        <w:rPr>
          <w:sz w:val="24"/>
        </w:rPr>
      </w:pPr>
      <w:r w:rsidRPr="00883399">
        <w:rPr>
          <w:sz w:val="24"/>
        </w:rPr>
        <w:tab/>
        <w:t>(ii)</w:t>
      </w:r>
      <w:r w:rsidRPr="00883399">
        <w:rPr>
          <w:sz w:val="24"/>
        </w:rPr>
        <w:tab/>
        <w:t>method 2 under section 3.15A.</w:t>
      </w:r>
    </w:p>
    <w:p w14:paraId="5E3DA3DB" w14:textId="77777777" w:rsidR="00872C03" w:rsidRPr="00883399" w:rsidRDefault="00872C03" w:rsidP="00872C03">
      <w:pPr>
        <w:pStyle w:val="notetext"/>
        <w:rPr>
          <w:sz w:val="20"/>
        </w:rPr>
      </w:pPr>
      <w:r w:rsidRPr="00883399">
        <w:rPr>
          <w:sz w:val="20"/>
        </w:rPr>
        <w:t>Note:</w:t>
      </w:r>
      <w:r w:rsidRPr="00883399">
        <w:rPr>
          <w:sz w:val="20"/>
        </w:rPr>
        <w:tab/>
        <w:t>The flaring of coal mine waste gas releases emissions of carbon dioxide, methane and nitrous oxide. The reference to gas type (</w:t>
      </w:r>
      <w:r w:rsidRPr="00883399">
        <w:rPr>
          <w:b/>
          <w:i/>
          <w:sz w:val="20"/>
        </w:rPr>
        <w:t>j</w:t>
      </w:r>
      <w:r w:rsidRPr="00883399">
        <w:rPr>
          <w:sz w:val="20"/>
        </w:rPr>
        <w:t>) in method 1 under section 3.14 or method 2 under section 3.15A is a reference to these gases. The same formula in Method 1 is used to estimate emissions of each of these gases. There is no method 4 for emissions of carbon dioxide and no method 3 or 4 for emissions of methane or nitrous oxide.</w:t>
      </w:r>
    </w:p>
    <w:p w14:paraId="7DC3FB6C" w14:textId="77777777" w:rsidR="00872C03" w:rsidRPr="00883399" w:rsidRDefault="00872C03" w:rsidP="00872C03">
      <w:pPr>
        <w:pStyle w:val="SubsectionHead"/>
        <w:rPr>
          <w:sz w:val="24"/>
        </w:rPr>
      </w:pPr>
      <w:r w:rsidRPr="00883399">
        <w:rPr>
          <w:sz w:val="24"/>
        </w:rPr>
        <w:t>Venting or other fugitive release before extraction of coal</w:t>
      </w:r>
    </w:p>
    <w:p w14:paraId="62914988" w14:textId="77777777" w:rsidR="00872C03" w:rsidRPr="00883399" w:rsidRDefault="00872C03" w:rsidP="00872C03">
      <w:pPr>
        <w:pStyle w:val="subsection"/>
        <w:rPr>
          <w:sz w:val="24"/>
        </w:rPr>
      </w:pPr>
      <w:r w:rsidRPr="00883399">
        <w:rPr>
          <w:sz w:val="24"/>
        </w:rPr>
        <w:tab/>
        <w:t>(5)</w:t>
      </w:r>
      <w:r w:rsidRPr="00883399">
        <w:rPr>
          <w:sz w:val="24"/>
        </w:rPr>
        <w:tab/>
        <w:t>Method 4 under Part 1.3 must be used for estimating fugitive emissions of each gas type, being carbon dioxide and methane, that result from venting or other fugitive release of gas from the underground mine before coal is extracted from the mine.</w:t>
      </w:r>
    </w:p>
    <w:p w14:paraId="7ABEC470" w14:textId="77777777" w:rsidR="00872C03" w:rsidRPr="00883399" w:rsidRDefault="00872C03" w:rsidP="00872C03">
      <w:pPr>
        <w:pStyle w:val="notetext"/>
        <w:rPr>
          <w:sz w:val="20"/>
        </w:rPr>
      </w:pPr>
      <w:r w:rsidRPr="00883399">
        <w:rPr>
          <w:sz w:val="20"/>
        </w:rPr>
        <w:t>Note:</w:t>
      </w:r>
      <w:r w:rsidRPr="00883399">
        <w:rPr>
          <w:sz w:val="20"/>
        </w:rPr>
        <w:tab/>
        <w:t>There is no method 1, 2 or 3 for subsection (5).</w:t>
      </w:r>
    </w:p>
    <w:p w14:paraId="0382FB52" w14:textId="77777777" w:rsidR="00872C03" w:rsidRPr="00883399" w:rsidRDefault="00872C03" w:rsidP="00872C03">
      <w:pPr>
        <w:pStyle w:val="SubsectionHead"/>
        <w:rPr>
          <w:sz w:val="24"/>
        </w:rPr>
      </w:pPr>
      <w:r w:rsidRPr="00883399">
        <w:rPr>
          <w:sz w:val="24"/>
        </w:rPr>
        <w:t>Post</w:t>
      </w:r>
      <w:r w:rsidRPr="00883399">
        <w:rPr>
          <w:sz w:val="24"/>
        </w:rPr>
        <w:noBreakHyphen/>
        <w:t>mining activities</w:t>
      </w:r>
    </w:p>
    <w:p w14:paraId="52F02B5D" w14:textId="77777777" w:rsidR="00872C03" w:rsidRPr="00883399" w:rsidRDefault="00872C03" w:rsidP="00872C03">
      <w:pPr>
        <w:pStyle w:val="subsection"/>
        <w:rPr>
          <w:sz w:val="24"/>
        </w:rPr>
      </w:pPr>
      <w:r w:rsidRPr="00883399">
        <w:rPr>
          <w:sz w:val="24"/>
        </w:rPr>
        <w:tab/>
        <w:t>(6)</w:t>
      </w:r>
      <w:r w:rsidRPr="00883399">
        <w:rPr>
          <w:sz w:val="24"/>
        </w:rPr>
        <w:tab/>
        <w:t>Method 1 under section 3.17 must be used for estimating fugitive emissions of methane that result from post</w:t>
      </w:r>
      <w:r w:rsidRPr="00883399">
        <w:rPr>
          <w:sz w:val="24"/>
        </w:rPr>
        <w:noBreakHyphen/>
        <w:t>mining activities related to a gassy mine.</w:t>
      </w:r>
    </w:p>
    <w:p w14:paraId="62BC7FED" w14:textId="77777777" w:rsidR="00872C03" w:rsidRPr="00883399" w:rsidRDefault="00872C03" w:rsidP="00872C03">
      <w:pPr>
        <w:pStyle w:val="notetext"/>
        <w:rPr>
          <w:sz w:val="20"/>
        </w:rPr>
      </w:pPr>
      <w:r w:rsidRPr="00883399">
        <w:rPr>
          <w:sz w:val="20"/>
        </w:rPr>
        <w:t>Note:</w:t>
      </w:r>
      <w:r w:rsidRPr="00883399">
        <w:rPr>
          <w:sz w:val="20"/>
        </w:rPr>
        <w:tab/>
        <w:t>There is no method 2, 3 or 4 for subsection (6).</w:t>
      </w:r>
    </w:p>
    <w:p w14:paraId="74848B93" w14:textId="77777777" w:rsidR="00872C03" w:rsidRPr="00883399" w:rsidRDefault="00872C03" w:rsidP="00872C03">
      <w:pPr>
        <w:pStyle w:val="subsection"/>
        <w:rPr>
          <w:sz w:val="24"/>
        </w:rPr>
      </w:pPr>
      <w:r w:rsidRPr="00883399">
        <w:rPr>
          <w:sz w:val="24"/>
        </w:rPr>
        <w:tab/>
        <w:t>(7)</w:t>
      </w:r>
      <w:r w:rsidRPr="00883399">
        <w:rPr>
          <w:sz w:val="24"/>
        </w:rPr>
        <w:tab/>
        <w:t>However, for incidental emissions, another method may be used that is consistent with the principles in section 1.13.</w:t>
      </w:r>
    </w:p>
    <w:p w14:paraId="1BEB767F" w14:textId="77777777" w:rsidR="00C335B2" w:rsidRPr="00883399" w:rsidRDefault="00C335B2" w:rsidP="00872C03">
      <w:pPr>
        <w:pStyle w:val="subsection"/>
        <w:rPr>
          <w:sz w:val="24"/>
        </w:rPr>
      </w:pPr>
    </w:p>
    <w:p w14:paraId="332DB5C9" w14:textId="77777777" w:rsidR="00C335B2" w:rsidRPr="00883399" w:rsidRDefault="00C335B2" w:rsidP="00872C03">
      <w:pPr>
        <w:pStyle w:val="subsection"/>
        <w:rPr>
          <w:sz w:val="24"/>
        </w:rPr>
      </w:pPr>
    </w:p>
    <w:p w14:paraId="7BA3BD14" w14:textId="77777777" w:rsidR="00C335B2" w:rsidRPr="00883399" w:rsidRDefault="00C335B2" w:rsidP="00872C03">
      <w:pPr>
        <w:pStyle w:val="subsection"/>
        <w:rPr>
          <w:sz w:val="24"/>
        </w:rPr>
      </w:pPr>
    </w:p>
    <w:p w14:paraId="53999908" w14:textId="77777777" w:rsidR="00C335B2" w:rsidRPr="00883399" w:rsidRDefault="00C335B2" w:rsidP="00872C03">
      <w:pPr>
        <w:pStyle w:val="subsection"/>
        <w:rPr>
          <w:sz w:val="24"/>
        </w:rPr>
      </w:pPr>
    </w:p>
    <w:p w14:paraId="4690AFFB" w14:textId="77777777" w:rsidR="00872C03" w:rsidRPr="00883399" w:rsidRDefault="00872C03" w:rsidP="00872C03">
      <w:pPr>
        <w:pStyle w:val="R2"/>
        <w:ind w:left="792" w:firstLine="0"/>
        <w:rPr>
          <w:b/>
        </w:rPr>
      </w:pPr>
      <w:r w:rsidRPr="00883399">
        <w:rPr>
          <w:b/>
        </w:rPr>
        <w:t>Summary of available methods, for estimating emissions from underground mines, by emissions of gas type (j)</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7"/>
        <w:gridCol w:w="1635"/>
        <w:gridCol w:w="1408"/>
        <w:gridCol w:w="1535"/>
      </w:tblGrid>
      <w:tr w:rsidR="00872C03" w:rsidRPr="00883399" w14:paraId="12C19F21" w14:textId="77777777" w:rsidTr="0031057E">
        <w:tc>
          <w:tcPr>
            <w:tcW w:w="2880" w:type="dxa"/>
            <w:shd w:val="clear" w:color="auto" w:fill="E6E6E6"/>
          </w:tcPr>
          <w:p w14:paraId="37BC157D" w14:textId="77777777" w:rsidR="00872C03" w:rsidRPr="00883399" w:rsidRDefault="00872C03" w:rsidP="0031057E">
            <w:pPr>
              <w:pStyle w:val="Text"/>
            </w:pPr>
          </w:p>
        </w:tc>
        <w:tc>
          <w:tcPr>
            <w:tcW w:w="1680" w:type="dxa"/>
            <w:shd w:val="clear" w:color="auto" w:fill="E6E6E6"/>
          </w:tcPr>
          <w:p w14:paraId="45912611" w14:textId="77777777" w:rsidR="00872C03" w:rsidRPr="00883399" w:rsidRDefault="00872C03" w:rsidP="0031057E">
            <w:pPr>
              <w:pStyle w:val="Text"/>
            </w:pPr>
            <w:r w:rsidRPr="00883399">
              <w:t>CO</w:t>
            </w:r>
            <w:r w:rsidRPr="00883399">
              <w:rPr>
                <w:vertAlign w:val="subscript"/>
              </w:rPr>
              <w:t>2</w:t>
            </w:r>
          </w:p>
        </w:tc>
        <w:tc>
          <w:tcPr>
            <w:tcW w:w="1440" w:type="dxa"/>
            <w:shd w:val="clear" w:color="auto" w:fill="E6E6E6"/>
          </w:tcPr>
          <w:p w14:paraId="6C6E22DB" w14:textId="77777777" w:rsidR="00872C03" w:rsidRPr="00883399" w:rsidRDefault="00872C03" w:rsidP="0031057E">
            <w:pPr>
              <w:pStyle w:val="Text"/>
            </w:pPr>
            <w:r w:rsidRPr="00883399">
              <w:t>CH</w:t>
            </w:r>
            <w:r w:rsidRPr="00883399">
              <w:rPr>
                <w:vertAlign w:val="subscript"/>
              </w:rPr>
              <w:t>4</w:t>
            </w:r>
          </w:p>
        </w:tc>
        <w:tc>
          <w:tcPr>
            <w:tcW w:w="1574" w:type="dxa"/>
            <w:shd w:val="clear" w:color="auto" w:fill="E6E6E6"/>
          </w:tcPr>
          <w:p w14:paraId="583C0CBD" w14:textId="77777777" w:rsidR="00872C03" w:rsidRPr="00883399" w:rsidRDefault="00872C03" w:rsidP="0031057E">
            <w:pPr>
              <w:pStyle w:val="Text"/>
            </w:pPr>
            <w:r w:rsidRPr="00883399">
              <w:t>N</w:t>
            </w:r>
            <w:r w:rsidRPr="00883399">
              <w:rPr>
                <w:vertAlign w:val="subscript"/>
              </w:rPr>
              <w:t>2</w:t>
            </w:r>
            <w:r w:rsidRPr="00883399">
              <w:t>O</w:t>
            </w:r>
          </w:p>
        </w:tc>
      </w:tr>
      <w:tr w:rsidR="00872C03" w:rsidRPr="00883399" w14:paraId="6020245A" w14:textId="77777777" w:rsidTr="0031057E">
        <w:tc>
          <w:tcPr>
            <w:tcW w:w="7574" w:type="dxa"/>
            <w:gridSpan w:val="4"/>
          </w:tcPr>
          <w:p w14:paraId="2902811E" w14:textId="77777777" w:rsidR="00872C03" w:rsidRPr="00883399" w:rsidRDefault="00872C03" w:rsidP="0031057E">
            <w:pPr>
              <w:pStyle w:val="Text"/>
              <w:spacing w:before="120"/>
            </w:pPr>
            <w:r w:rsidRPr="00883399">
              <w:rPr>
                <w:i/>
              </w:rPr>
              <w:t>Underground mining activities</w:t>
            </w:r>
          </w:p>
        </w:tc>
      </w:tr>
      <w:tr w:rsidR="00872C03" w:rsidRPr="00883399" w14:paraId="696DDEAE" w14:textId="77777777" w:rsidTr="0031057E">
        <w:tc>
          <w:tcPr>
            <w:tcW w:w="2880" w:type="dxa"/>
          </w:tcPr>
          <w:p w14:paraId="4C1F8356" w14:textId="77777777" w:rsidR="00872C03" w:rsidRPr="00883399" w:rsidRDefault="00872C03" w:rsidP="0031057E">
            <w:pPr>
              <w:pStyle w:val="Text"/>
              <w:spacing w:before="120"/>
            </w:pPr>
            <w:r w:rsidRPr="00883399">
              <w:t>Method 1</w:t>
            </w:r>
          </w:p>
        </w:tc>
        <w:tc>
          <w:tcPr>
            <w:tcW w:w="1680" w:type="dxa"/>
          </w:tcPr>
          <w:p w14:paraId="6FFE50A2" w14:textId="77777777" w:rsidR="00872C03" w:rsidRPr="00883399" w:rsidRDefault="00872C03" w:rsidP="0031057E">
            <w:pPr>
              <w:pStyle w:val="Text"/>
              <w:spacing w:before="120"/>
            </w:pPr>
            <w:r w:rsidRPr="00883399">
              <w:t>NA</w:t>
            </w:r>
          </w:p>
        </w:tc>
        <w:tc>
          <w:tcPr>
            <w:tcW w:w="1440" w:type="dxa"/>
          </w:tcPr>
          <w:p w14:paraId="0A684141" w14:textId="77777777" w:rsidR="00872C03" w:rsidRPr="00883399" w:rsidRDefault="00872C03" w:rsidP="0031057E">
            <w:pPr>
              <w:pStyle w:val="Text"/>
              <w:spacing w:before="120"/>
            </w:pPr>
            <w:r w:rsidRPr="00883399">
              <w:t>NA</w:t>
            </w:r>
          </w:p>
        </w:tc>
        <w:tc>
          <w:tcPr>
            <w:tcW w:w="1574" w:type="dxa"/>
          </w:tcPr>
          <w:p w14:paraId="5C9C0B64" w14:textId="77777777" w:rsidR="00872C03" w:rsidRPr="00883399" w:rsidRDefault="00872C03" w:rsidP="0031057E">
            <w:pPr>
              <w:pStyle w:val="Text"/>
              <w:spacing w:before="120"/>
            </w:pPr>
            <w:r w:rsidRPr="00883399">
              <w:t>NO</w:t>
            </w:r>
          </w:p>
        </w:tc>
      </w:tr>
      <w:tr w:rsidR="00872C03" w:rsidRPr="00883399" w14:paraId="598B12EE" w14:textId="77777777" w:rsidTr="0031057E">
        <w:tc>
          <w:tcPr>
            <w:tcW w:w="2880" w:type="dxa"/>
          </w:tcPr>
          <w:p w14:paraId="3704B3DF" w14:textId="77777777" w:rsidR="00872C03" w:rsidRPr="00883399" w:rsidRDefault="00872C03" w:rsidP="0031057E">
            <w:pPr>
              <w:pStyle w:val="Text"/>
              <w:spacing w:before="120"/>
            </w:pPr>
            <w:r w:rsidRPr="00883399">
              <w:t>Method 2, 3</w:t>
            </w:r>
          </w:p>
        </w:tc>
        <w:tc>
          <w:tcPr>
            <w:tcW w:w="1680" w:type="dxa"/>
          </w:tcPr>
          <w:p w14:paraId="4A7532C0" w14:textId="77777777" w:rsidR="00872C03" w:rsidRPr="00883399" w:rsidRDefault="00872C03" w:rsidP="0031057E">
            <w:pPr>
              <w:pStyle w:val="Text"/>
              <w:spacing w:before="120"/>
            </w:pPr>
            <w:r w:rsidRPr="00883399">
              <w:t>NA</w:t>
            </w:r>
          </w:p>
        </w:tc>
        <w:tc>
          <w:tcPr>
            <w:tcW w:w="1440" w:type="dxa"/>
          </w:tcPr>
          <w:p w14:paraId="0D28C732" w14:textId="77777777" w:rsidR="00872C03" w:rsidRPr="00883399" w:rsidRDefault="00872C03" w:rsidP="0031057E">
            <w:pPr>
              <w:pStyle w:val="Text"/>
              <w:spacing w:before="120"/>
            </w:pPr>
            <w:r w:rsidRPr="00883399">
              <w:t>NA</w:t>
            </w:r>
          </w:p>
        </w:tc>
        <w:tc>
          <w:tcPr>
            <w:tcW w:w="1574" w:type="dxa"/>
          </w:tcPr>
          <w:p w14:paraId="706E7BAA" w14:textId="77777777" w:rsidR="00872C03" w:rsidRPr="00883399" w:rsidRDefault="00872C03" w:rsidP="0031057E">
            <w:pPr>
              <w:pStyle w:val="Text"/>
              <w:spacing w:before="120"/>
            </w:pPr>
            <w:r w:rsidRPr="00883399">
              <w:t>NO</w:t>
            </w:r>
          </w:p>
        </w:tc>
      </w:tr>
      <w:tr w:rsidR="00872C03" w:rsidRPr="00883399" w14:paraId="23A989A0" w14:textId="77777777" w:rsidTr="0031057E">
        <w:tc>
          <w:tcPr>
            <w:tcW w:w="2880" w:type="dxa"/>
          </w:tcPr>
          <w:p w14:paraId="47621D23" w14:textId="77777777" w:rsidR="00872C03" w:rsidRPr="00883399" w:rsidRDefault="00872C03" w:rsidP="0031057E">
            <w:pPr>
              <w:pStyle w:val="Text"/>
              <w:spacing w:before="120"/>
            </w:pPr>
            <w:r w:rsidRPr="00883399">
              <w:t>Method 4</w:t>
            </w:r>
          </w:p>
        </w:tc>
        <w:tc>
          <w:tcPr>
            <w:tcW w:w="1680" w:type="dxa"/>
          </w:tcPr>
          <w:p w14:paraId="1A04980A" w14:textId="77777777" w:rsidR="00872C03" w:rsidRPr="00883399" w:rsidRDefault="00872C03" w:rsidP="0031057E">
            <w:pPr>
              <w:pStyle w:val="Text"/>
              <w:spacing w:before="120"/>
            </w:pPr>
            <w:r w:rsidRPr="00883399">
              <w:t>Section 3.6</w:t>
            </w:r>
          </w:p>
        </w:tc>
        <w:tc>
          <w:tcPr>
            <w:tcW w:w="1440" w:type="dxa"/>
          </w:tcPr>
          <w:p w14:paraId="3D4986AF" w14:textId="77777777" w:rsidR="00872C03" w:rsidRPr="00883399" w:rsidRDefault="00872C03" w:rsidP="0031057E">
            <w:pPr>
              <w:pStyle w:val="Text"/>
              <w:spacing w:before="120"/>
            </w:pPr>
            <w:r w:rsidRPr="00883399">
              <w:t>Section 3.6</w:t>
            </w:r>
          </w:p>
        </w:tc>
        <w:tc>
          <w:tcPr>
            <w:tcW w:w="1574" w:type="dxa"/>
          </w:tcPr>
          <w:p w14:paraId="48C0B340" w14:textId="77777777" w:rsidR="00872C03" w:rsidRPr="00883399" w:rsidRDefault="00872C03" w:rsidP="0031057E">
            <w:pPr>
              <w:pStyle w:val="Text"/>
              <w:spacing w:before="120"/>
            </w:pPr>
            <w:r w:rsidRPr="00883399">
              <w:t>NO</w:t>
            </w:r>
          </w:p>
        </w:tc>
      </w:tr>
      <w:tr w:rsidR="00872C03" w:rsidRPr="00883399" w14:paraId="4C129C59" w14:textId="77777777" w:rsidTr="0031057E">
        <w:tc>
          <w:tcPr>
            <w:tcW w:w="7574" w:type="dxa"/>
            <w:gridSpan w:val="4"/>
          </w:tcPr>
          <w:p w14:paraId="3A117DC4" w14:textId="77777777" w:rsidR="00872C03" w:rsidRPr="00883399" w:rsidRDefault="00872C03" w:rsidP="0031057E">
            <w:pPr>
              <w:pStyle w:val="Text"/>
              <w:spacing w:before="120"/>
            </w:pPr>
            <w:r w:rsidRPr="00883399">
              <w:rPr>
                <w:i/>
              </w:rPr>
              <w:t>Post-mining Activities</w:t>
            </w:r>
          </w:p>
        </w:tc>
      </w:tr>
      <w:tr w:rsidR="00872C03" w:rsidRPr="00883399" w14:paraId="6B736C8F" w14:textId="77777777" w:rsidTr="0031057E">
        <w:tc>
          <w:tcPr>
            <w:tcW w:w="2880" w:type="dxa"/>
          </w:tcPr>
          <w:p w14:paraId="0104DB80" w14:textId="77777777" w:rsidR="00872C03" w:rsidRPr="00883399" w:rsidRDefault="00872C03" w:rsidP="0031057E">
            <w:pPr>
              <w:pStyle w:val="Text"/>
              <w:spacing w:before="120"/>
            </w:pPr>
            <w:r w:rsidRPr="00883399">
              <w:t>Method 1</w:t>
            </w:r>
          </w:p>
        </w:tc>
        <w:tc>
          <w:tcPr>
            <w:tcW w:w="1680" w:type="dxa"/>
          </w:tcPr>
          <w:p w14:paraId="326576D2" w14:textId="77777777" w:rsidR="00872C03" w:rsidRPr="00883399" w:rsidRDefault="00872C03" w:rsidP="0031057E">
            <w:pPr>
              <w:pStyle w:val="Text"/>
              <w:spacing w:before="120"/>
            </w:pPr>
            <w:r w:rsidRPr="00883399">
              <w:t>NA</w:t>
            </w:r>
          </w:p>
        </w:tc>
        <w:tc>
          <w:tcPr>
            <w:tcW w:w="1440" w:type="dxa"/>
          </w:tcPr>
          <w:p w14:paraId="798C2E67" w14:textId="77777777" w:rsidR="00872C03" w:rsidRPr="00883399" w:rsidRDefault="00872C03" w:rsidP="0031057E">
            <w:pPr>
              <w:pStyle w:val="Text"/>
              <w:spacing w:before="120"/>
            </w:pPr>
            <w:r w:rsidRPr="00883399">
              <w:t>Section 3.17</w:t>
            </w:r>
          </w:p>
        </w:tc>
        <w:tc>
          <w:tcPr>
            <w:tcW w:w="1574" w:type="dxa"/>
          </w:tcPr>
          <w:p w14:paraId="11DD2224" w14:textId="77777777" w:rsidR="00872C03" w:rsidRPr="00883399" w:rsidRDefault="00872C03" w:rsidP="0031057E">
            <w:pPr>
              <w:pStyle w:val="Text"/>
              <w:spacing w:before="120"/>
            </w:pPr>
            <w:r w:rsidRPr="00883399">
              <w:t>NO</w:t>
            </w:r>
          </w:p>
        </w:tc>
      </w:tr>
      <w:tr w:rsidR="00872C03" w:rsidRPr="00883399" w14:paraId="7085025A" w14:textId="77777777" w:rsidTr="0031057E">
        <w:tc>
          <w:tcPr>
            <w:tcW w:w="2880" w:type="dxa"/>
          </w:tcPr>
          <w:p w14:paraId="46188D9B" w14:textId="77777777" w:rsidR="00872C03" w:rsidRPr="00883399" w:rsidRDefault="00872C03" w:rsidP="0031057E">
            <w:pPr>
              <w:pStyle w:val="Text"/>
              <w:spacing w:before="120"/>
            </w:pPr>
            <w:r w:rsidRPr="00883399">
              <w:t>Methods 2, 3 and 4</w:t>
            </w:r>
          </w:p>
        </w:tc>
        <w:tc>
          <w:tcPr>
            <w:tcW w:w="1680" w:type="dxa"/>
          </w:tcPr>
          <w:p w14:paraId="36FD3D44" w14:textId="77777777" w:rsidR="00872C03" w:rsidRPr="00883399" w:rsidRDefault="00872C03" w:rsidP="0031057E">
            <w:pPr>
              <w:pStyle w:val="Text"/>
              <w:spacing w:before="120"/>
            </w:pPr>
            <w:r w:rsidRPr="00883399">
              <w:t>NA</w:t>
            </w:r>
          </w:p>
        </w:tc>
        <w:tc>
          <w:tcPr>
            <w:tcW w:w="1440" w:type="dxa"/>
          </w:tcPr>
          <w:p w14:paraId="2C2417E5" w14:textId="77777777" w:rsidR="00872C03" w:rsidRPr="00883399" w:rsidRDefault="00872C03" w:rsidP="0031057E">
            <w:pPr>
              <w:pStyle w:val="Text"/>
              <w:spacing w:before="120"/>
            </w:pPr>
            <w:r w:rsidRPr="00883399">
              <w:t>NA</w:t>
            </w:r>
          </w:p>
        </w:tc>
        <w:tc>
          <w:tcPr>
            <w:tcW w:w="1574" w:type="dxa"/>
          </w:tcPr>
          <w:p w14:paraId="7FB57CE3" w14:textId="77777777" w:rsidR="00872C03" w:rsidRPr="00883399" w:rsidRDefault="00872C03" w:rsidP="0031057E">
            <w:pPr>
              <w:pStyle w:val="Text"/>
              <w:spacing w:before="120"/>
            </w:pPr>
            <w:r w:rsidRPr="00883399">
              <w:t>NO</w:t>
            </w:r>
          </w:p>
        </w:tc>
      </w:tr>
      <w:tr w:rsidR="00872C03" w:rsidRPr="00883399" w14:paraId="6BA8E117" w14:textId="77777777" w:rsidTr="0031057E">
        <w:tc>
          <w:tcPr>
            <w:tcW w:w="7574" w:type="dxa"/>
            <w:gridSpan w:val="4"/>
          </w:tcPr>
          <w:p w14:paraId="39B83A7F" w14:textId="77777777" w:rsidR="00872C03" w:rsidRPr="00883399" w:rsidRDefault="00872C03" w:rsidP="0031057E">
            <w:pPr>
              <w:pStyle w:val="Text"/>
              <w:spacing w:before="120"/>
            </w:pPr>
            <w:r w:rsidRPr="00883399">
              <w:rPr>
                <w:i/>
              </w:rPr>
              <w:t>Flaring</w:t>
            </w:r>
          </w:p>
        </w:tc>
      </w:tr>
      <w:tr w:rsidR="00872C03" w:rsidRPr="00883399" w14:paraId="2BD1EF40" w14:textId="77777777" w:rsidTr="0031057E">
        <w:tc>
          <w:tcPr>
            <w:tcW w:w="2880" w:type="dxa"/>
          </w:tcPr>
          <w:p w14:paraId="48D03015" w14:textId="77777777" w:rsidR="00872C03" w:rsidRPr="00883399" w:rsidRDefault="00872C03" w:rsidP="0031057E">
            <w:pPr>
              <w:pStyle w:val="Text"/>
              <w:spacing w:before="120"/>
            </w:pPr>
            <w:r w:rsidRPr="00883399">
              <w:t>Method 1</w:t>
            </w:r>
          </w:p>
        </w:tc>
        <w:tc>
          <w:tcPr>
            <w:tcW w:w="1680" w:type="dxa"/>
          </w:tcPr>
          <w:p w14:paraId="75D171DD" w14:textId="77777777" w:rsidR="00872C03" w:rsidRPr="00883399" w:rsidRDefault="00872C03" w:rsidP="0031057E">
            <w:pPr>
              <w:pStyle w:val="Text"/>
              <w:spacing w:before="120"/>
            </w:pPr>
            <w:r w:rsidRPr="00883399">
              <w:t>Section 3.14</w:t>
            </w:r>
          </w:p>
        </w:tc>
        <w:tc>
          <w:tcPr>
            <w:tcW w:w="1440" w:type="dxa"/>
          </w:tcPr>
          <w:p w14:paraId="7F0A1C20" w14:textId="77777777" w:rsidR="00872C03" w:rsidRPr="00883399" w:rsidRDefault="00872C03" w:rsidP="0031057E">
            <w:pPr>
              <w:pStyle w:val="Text"/>
              <w:spacing w:before="120"/>
            </w:pPr>
            <w:r w:rsidRPr="00883399">
              <w:t>Section 3.14</w:t>
            </w:r>
          </w:p>
        </w:tc>
        <w:tc>
          <w:tcPr>
            <w:tcW w:w="1574" w:type="dxa"/>
          </w:tcPr>
          <w:p w14:paraId="41E5E6BE" w14:textId="77777777" w:rsidR="00872C03" w:rsidRPr="00883399" w:rsidRDefault="00872C03" w:rsidP="0031057E">
            <w:pPr>
              <w:pStyle w:val="Text"/>
              <w:spacing w:before="120"/>
            </w:pPr>
            <w:r w:rsidRPr="00883399">
              <w:t>Section 3.14</w:t>
            </w:r>
          </w:p>
        </w:tc>
      </w:tr>
      <w:tr w:rsidR="00872C03" w:rsidRPr="00883399" w14:paraId="4FB39BA3" w14:textId="77777777" w:rsidTr="0031057E">
        <w:tc>
          <w:tcPr>
            <w:tcW w:w="2880" w:type="dxa"/>
          </w:tcPr>
          <w:p w14:paraId="2FD43721" w14:textId="77777777" w:rsidR="00872C03" w:rsidRPr="00883399" w:rsidRDefault="00872C03" w:rsidP="0031057E">
            <w:pPr>
              <w:pStyle w:val="Text"/>
              <w:spacing w:before="120"/>
            </w:pPr>
            <w:r w:rsidRPr="00883399">
              <w:t>Method 2</w:t>
            </w:r>
          </w:p>
        </w:tc>
        <w:tc>
          <w:tcPr>
            <w:tcW w:w="1680" w:type="dxa"/>
          </w:tcPr>
          <w:p w14:paraId="7B53AE66" w14:textId="77777777" w:rsidR="00872C03" w:rsidRPr="00883399" w:rsidRDefault="00872C03" w:rsidP="0031057E">
            <w:pPr>
              <w:pStyle w:val="Text"/>
              <w:spacing w:before="120"/>
            </w:pPr>
            <w:r w:rsidRPr="00883399">
              <w:t>Section 3.15</w:t>
            </w:r>
          </w:p>
        </w:tc>
        <w:tc>
          <w:tcPr>
            <w:tcW w:w="1440" w:type="dxa"/>
          </w:tcPr>
          <w:p w14:paraId="54566ED9" w14:textId="77777777" w:rsidR="00872C03" w:rsidRPr="00883399" w:rsidRDefault="00872C03" w:rsidP="0031057E">
            <w:pPr>
              <w:pStyle w:val="Text"/>
              <w:spacing w:before="120"/>
            </w:pPr>
            <w:r w:rsidRPr="00883399">
              <w:t>Section 3.15A</w:t>
            </w:r>
          </w:p>
        </w:tc>
        <w:tc>
          <w:tcPr>
            <w:tcW w:w="1574" w:type="dxa"/>
          </w:tcPr>
          <w:p w14:paraId="12E754F9" w14:textId="77777777" w:rsidR="00872C03" w:rsidRPr="00883399" w:rsidRDefault="00872C03" w:rsidP="0031057E">
            <w:pPr>
              <w:pStyle w:val="Text"/>
              <w:spacing w:before="120"/>
            </w:pPr>
            <w:r w:rsidRPr="00883399">
              <w:t>Section 3.15A</w:t>
            </w:r>
            <w:r w:rsidRPr="00883399" w:rsidDel="00554848">
              <w:t xml:space="preserve"> </w:t>
            </w:r>
          </w:p>
        </w:tc>
      </w:tr>
      <w:tr w:rsidR="00872C03" w:rsidRPr="00883399" w14:paraId="72E50DA8" w14:textId="77777777" w:rsidTr="0031057E">
        <w:tc>
          <w:tcPr>
            <w:tcW w:w="2880" w:type="dxa"/>
          </w:tcPr>
          <w:p w14:paraId="3866AB7C" w14:textId="77777777" w:rsidR="00872C03" w:rsidRPr="00883399" w:rsidRDefault="00872C03" w:rsidP="0031057E">
            <w:pPr>
              <w:pStyle w:val="Text"/>
              <w:spacing w:before="120"/>
            </w:pPr>
            <w:r w:rsidRPr="00883399">
              <w:t>Method 3</w:t>
            </w:r>
          </w:p>
        </w:tc>
        <w:tc>
          <w:tcPr>
            <w:tcW w:w="1680" w:type="dxa"/>
          </w:tcPr>
          <w:p w14:paraId="55CD83C5" w14:textId="77777777" w:rsidR="00872C03" w:rsidRPr="00883399" w:rsidRDefault="00872C03" w:rsidP="0031057E">
            <w:pPr>
              <w:pStyle w:val="Text"/>
              <w:spacing w:before="120"/>
            </w:pPr>
            <w:r w:rsidRPr="00883399">
              <w:t>Section 3.16</w:t>
            </w:r>
          </w:p>
        </w:tc>
        <w:tc>
          <w:tcPr>
            <w:tcW w:w="1440" w:type="dxa"/>
          </w:tcPr>
          <w:p w14:paraId="48450098" w14:textId="77777777" w:rsidR="00872C03" w:rsidRPr="00883399" w:rsidRDefault="00872C03" w:rsidP="0031057E">
            <w:pPr>
              <w:pStyle w:val="Text"/>
              <w:spacing w:before="120"/>
            </w:pPr>
            <w:r w:rsidRPr="00883399">
              <w:t>NA</w:t>
            </w:r>
          </w:p>
        </w:tc>
        <w:tc>
          <w:tcPr>
            <w:tcW w:w="1574" w:type="dxa"/>
          </w:tcPr>
          <w:p w14:paraId="1A34B3DE" w14:textId="77777777" w:rsidR="00872C03" w:rsidRPr="00883399" w:rsidRDefault="00872C03" w:rsidP="0031057E">
            <w:pPr>
              <w:pStyle w:val="Text"/>
              <w:spacing w:before="120"/>
            </w:pPr>
            <w:r w:rsidRPr="00883399">
              <w:t>NA</w:t>
            </w:r>
          </w:p>
        </w:tc>
      </w:tr>
      <w:tr w:rsidR="00872C03" w:rsidRPr="00883399" w14:paraId="4BF6597B" w14:textId="77777777" w:rsidTr="0031057E">
        <w:tc>
          <w:tcPr>
            <w:tcW w:w="2880" w:type="dxa"/>
          </w:tcPr>
          <w:p w14:paraId="5849E735" w14:textId="77777777" w:rsidR="00872C03" w:rsidRPr="00883399" w:rsidRDefault="00872C03" w:rsidP="0031057E">
            <w:pPr>
              <w:pStyle w:val="Text"/>
              <w:spacing w:before="120"/>
            </w:pPr>
            <w:r w:rsidRPr="00883399">
              <w:t>Method 4</w:t>
            </w:r>
          </w:p>
        </w:tc>
        <w:tc>
          <w:tcPr>
            <w:tcW w:w="1680" w:type="dxa"/>
          </w:tcPr>
          <w:p w14:paraId="2637BBCA" w14:textId="77777777" w:rsidR="00872C03" w:rsidRPr="00883399" w:rsidRDefault="00872C03" w:rsidP="0031057E">
            <w:pPr>
              <w:pStyle w:val="Text"/>
              <w:spacing w:before="120"/>
            </w:pPr>
            <w:r w:rsidRPr="00883399">
              <w:t>NA</w:t>
            </w:r>
          </w:p>
        </w:tc>
        <w:tc>
          <w:tcPr>
            <w:tcW w:w="1440" w:type="dxa"/>
          </w:tcPr>
          <w:p w14:paraId="432BFE90" w14:textId="77777777" w:rsidR="00872C03" w:rsidRPr="00883399" w:rsidRDefault="00872C03" w:rsidP="0031057E">
            <w:pPr>
              <w:pStyle w:val="Text"/>
              <w:spacing w:before="120"/>
            </w:pPr>
            <w:r w:rsidRPr="00883399">
              <w:t>NA</w:t>
            </w:r>
          </w:p>
        </w:tc>
        <w:tc>
          <w:tcPr>
            <w:tcW w:w="1574" w:type="dxa"/>
          </w:tcPr>
          <w:p w14:paraId="09D1AD69" w14:textId="77777777" w:rsidR="00872C03" w:rsidRPr="00883399" w:rsidRDefault="00872C03" w:rsidP="0031057E">
            <w:pPr>
              <w:pStyle w:val="Text"/>
              <w:spacing w:before="120"/>
            </w:pPr>
            <w:r w:rsidRPr="00883399">
              <w:t>NA</w:t>
            </w:r>
          </w:p>
        </w:tc>
      </w:tr>
      <w:tr w:rsidR="00872C03" w:rsidRPr="00883399" w14:paraId="0355061E" w14:textId="77777777" w:rsidTr="0031057E">
        <w:tc>
          <w:tcPr>
            <w:tcW w:w="7574" w:type="dxa"/>
            <w:gridSpan w:val="4"/>
          </w:tcPr>
          <w:p w14:paraId="44D39056" w14:textId="77777777" w:rsidR="00872C03" w:rsidRPr="00883399" w:rsidRDefault="00872C03" w:rsidP="0031057E">
            <w:pPr>
              <w:pStyle w:val="Text"/>
              <w:spacing w:before="120"/>
            </w:pPr>
            <w:r w:rsidRPr="00883399">
              <w:rPr>
                <w:i/>
              </w:rPr>
              <w:t>Venting</w:t>
            </w:r>
          </w:p>
        </w:tc>
      </w:tr>
      <w:tr w:rsidR="00872C03" w:rsidRPr="00883399" w14:paraId="018B957A" w14:textId="77777777" w:rsidTr="0031057E">
        <w:tc>
          <w:tcPr>
            <w:tcW w:w="2880" w:type="dxa"/>
          </w:tcPr>
          <w:p w14:paraId="6FD85C53" w14:textId="77777777" w:rsidR="00872C03" w:rsidRPr="00883399" w:rsidRDefault="00872C03" w:rsidP="0031057E">
            <w:pPr>
              <w:pStyle w:val="Text"/>
              <w:spacing w:before="120"/>
            </w:pPr>
            <w:r w:rsidRPr="00883399">
              <w:t>Methods 1, 2 and 3</w:t>
            </w:r>
          </w:p>
        </w:tc>
        <w:tc>
          <w:tcPr>
            <w:tcW w:w="1680" w:type="dxa"/>
          </w:tcPr>
          <w:p w14:paraId="5A5ADB88" w14:textId="77777777" w:rsidR="00872C03" w:rsidRPr="00883399" w:rsidRDefault="00872C03" w:rsidP="0031057E">
            <w:pPr>
              <w:pStyle w:val="Text"/>
              <w:spacing w:before="120"/>
            </w:pPr>
            <w:r w:rsidRPr="00883399">
              <w:t>NA</w:t>
            </w:r>
          </w:p>
        </w:tc>
        <w:tc>
          <w:tcPr>
            <w:tcW w:w="1440" w:type="dxa"/>
          </w:tcPr>
          <w:p w14:paraId="6AA4D93B" w14:textId="77777777" w:rsidR="00872C03" w:rsidRPr="00883399" w:rsidRDefault="00872C03" w:rsidP="0031057E">
            <w:pPr>
              <w:pStyle w:val="Text"/>
              <w:spacing w:before="120"/>
            </w:pPr>
            <w:r w:rsidRPr="00883399">
              <w:t>NA</w:t>
            </w:r>
          </w:p>
        </w:tc>
        <w:tc>
          <w:tcPr>
            <w:tcW w:w="1574" w:type="dxa"/>
          </w:tcPr>
          <w:p w14:paraId="512E8AB1" w14:textId="77777777" w:rsidR="00872C03" w:rsidRPr="00883399" w:rsidRDefault="00872C03" w:rsidP="0031057E">
            <w:pPr>
              <w:pStyle w:val="Text"/>
              <w:spacing w:before="120"/>
            </w:pPr>
            <w:r w:rsidRPr="00883399">
              <w:t>NO</w:t>
            </w:r>
          </w:p>
        </w:tc>
      </w:tr>
      <w:tr w:rsidR="00872C03" w:rsidRPr="00883399" w14:paraId="36B57756" w14:textId="77777777" w:rsidTr="0031057E">
        <w:tc>
          <w:tcPr>
            <w:tcW w:w="2880" w:type="dxa"/>
          </w:tcPr>
          <w:p w14:paraId="62F20F62" w14:textId="77777777" w:rsidR="00872C03" w:rsidRPr="00883399" w:rsidRDefault="00872C03" w:rsidP="0031057E">
            <w:pPr>
              <w:pStyle w:val="Text"/>
              <w:spacing w:before="120"/>
            </w:pPr>
            <w:r w:rsidRPr="00883399">
              <w:t>Method 4</w:t>
            </w:r>
          </w:p>
        </w:tc>
        <w:tc>
          <w:tcPr>
            <w:tcW w:w="1680" w:type="dxa"/>
          </w:tcPr>
          <w:p w14:paraId="7B4506EE" w14:textId="77777777" w:rsidR="00872C03" w:rsidRPr="00883399" w:rsidRDefault="00872C03" w:rsidP="0031057E">
            <w:pPr>
              <w:pStyle w:val="Text"/>
              <w:spacing w:before="120"/>
            </w:pPr>
            <w:r w:rsidRPr="00883399">
              <w:t>Part 1.3</w:t>
            </w:r>
          </w:p>
        </w:tc>
        <w:tc>
          <w:tcPr>
            <w:tcW w:w="1440" w:type="dxa"/>
          </w:tcPr>
          <w:p w14:paraId="2227C615" w14:textId="77777777" w:rsidR="00872C03" w:rsidRPr="00883399" w:rsidRDefault="00872C03" w:rsidP="0031057E">
            <w:pPr>
              <w:pStyle w:val="Text"/>
              <w:spacing w:before="120"/>
            </w:pPr>
            <w:r w:rsidRPr="00883399">
              <w:t>Part 1.3</w:t>
            </w:r>
          </w:p>
        </w:tc>
        <w:tc>
          <w:tcPr>
            <w:tcW w:w="1574" w:type="dxa"/>
          </w:tcPr>
          <w:p w14:paraId="6AE6E393" w14:textId="77777777" w:rsidR="00872C03" w:rsidRPr="00883399" w:rsidRDefault="00872C03" w:rsidP="0031057E">
            <w:pPr>
              <w:pStyle w:val="Text"/>
              <w:spacing w:before="120"/>
            </w:pPr>
            <w:r w:rsidRPr="00883399">
              <w:t>NO</w:t>
            </w:r>
          </w:p>
        </w:tc>
      </w:tr>
    </w:tbl>
    <w:p w14:paraId="6AAFFEAC" w14:textId="77777777" w:rsidR="00872C03" w:rsidRPr="00883399" w:rsidRDefault="00872C03" w:rsidP="00872C03">
      <w:pPr>
        <w:pStyle w:val="Text"/>
        <w:ind w:left="840"/>
      </w:pPr>
      <w:r w:rsidRPr="00883399">
        <w:t>NA = Not available.  NO = Not occurring</w:t>
      </w:r>
      <w:r w:rsidRPr="00883399">
        <w:tab/>
      </w:r>
    </w:p>
    <w:p w14:paraId="7CCA03EB" w14:textId="77777777" w:rsidR="00872C03" w:rsidRPr="00883399" w:rsidRDefault="00872C03" w:rsidP="00872C03">
      <w:pPr>
        <w:pStyle w:val="subsection"/>
        <w:rPr>
          <w:sz w:val="24"/>
        </w:rPr>
      </w:pPr>
    </w:p>
    <w:p w14:paraId="6D053CBD" w14:textId="77777777" w:rsidR="00C335B2" w:rsidRPr="00883399" w:rsidRDefault="00C335B2" w:rsidP="00872C03">
      <w:pPr>
        <w:pStyle w:val="ActHead4"/>
        <w:rPr>
          <w:rStyle w:val="CharSubdNo"/>
          <w:sz w:val="28"/>
        </w:rPr>
      </w:pPr>
      <w:bookmarkStart w:id="420" w:name="_Toc423516856"/>
    </w:p>
    <w:p w14:paraId="7CF80DED" w14:textId="688781B6" w:rsidR="00872C03" w:rsidRPr="00883399" w:rsidRDefault="00872C03" w:rsidP="00872C03">
      <w:pPr>
        <w:pStyle w:val="ActHead4"/>
        <w:rPr>
          <w:sz w:val="28"/>
        </w:rPr>
      </w:pPr>
      <w:bookmarkStart w:id="421" w:name="_Toc495652775"/>
      <w:r w:rsidRPr="00883399">
        <w:rPr>
          <w:rStyle w:val="CharSubdNo"/>
          <w:sz w:val="28"/>
        </w:rPr>
        <w:t>Subdivision 3.2.2.2</w:t>
      </w:r>
      <w:r w:rsidRPr="00883399">
        <w:rPr>
          <w:sz w:val="28"/>
        </w:rPr>
        <w:t>—</w:t>
      </w:r>
      <w:r w:rsidRPr="00883399">
        <w:rPr>
          <w:rStyle w:val="CharSubdText"/>
          <w:sz w:val="28"/>
        </w:rPr>
        <w:t>Fugitive emissions from extraction of coal</w:t>
      </w:r>
      <w:bookmarkEnd w:id="420"/>
      <w:bookmarkEnd w:id="421"/>
    </w:p>
    <w:p w14:paraId="533B3342" w14:textId="3209E8AC" w:rsidR="00872C03" w:rsidRPr="00883399" w:rsidRDefault="00872C03" w:rsidP="00872C03">
      <w:pPr>
        <w:pStyle w:val="ActHead5"/>
        <w:rPr>
          <w:sz w:val="28"/>
        </w:rPr>
      </w:pPr>
      <w:bookmarkStart w:id="422" w:name="_Toc423516857"/>
      <w:bookmarkStart w:id="423" w:name="_Toc495652776"/>
      <w:r w:rsidRPr="00883399">
        <w:rPr>
          <w:rStyle w:val="CharSectno"/>
          <w:sz w:val="28"/>
        </w:rPr>
        <w:t>3.5</w:t>
      </w:r>
      <w:r w:rsidRPr="00883399">
        <w:rPr>
          <w:sz w:val="28"/>
        </w:rPr>
        <w:t xml:space="preserve">  Method 1—extraction of coal</w:t>
      </w:r>
      <w:bookmarkEnd w:id="422"/>
      <w:bookmarkEnd w:id="423"/>
    </w:p>
    <w:p w14:paraId="212A560D" w14:textId="77777777" w:rsidR="00872C03" w:rsidRPr="00883399" w:rsidRDefault="00872C03" w:rsidP="00872C03">
      <w:pPr>
        <w:pStyle w:val="subsection"/>
        <w:rPr>
          <w:sz w:val="24"/>
        </w:rPr>
      </w:pPr>
      <w:r w:rsidRPr="00883399">
        <w:rPr>
          <w:sz w:val="24"/>
        </w:rPr>
        <w:tab/>
      </w:r>
      <w:r w:rsidRPr="00883399">
        <w:rPr>
          <w:sz w:val="24"/>
        </w:rPr>
        <w:tab/>
        <w:t>For subsection 3.32(1), method 1 is:</w:t>
      </w:r>
    </w:p>
    <w:p w14:paraId="7033F9DA" w14:textId="7B2341D4" w:rsidR="00872C03" w:rsidRPr="00883399" w:rsidRDefault="00872C03" w:rsidP="00872C03">
      <w:pPr>
        <w:pStyle w:val="subsection"/>
        <w:spacing w:before="120" w:after="120"/>
        <w:rPr>
          <w:sz w:val="24"/>
        </w:rPr>
      </w:pPr>
      <w:r w:rsidRPr="00883399">
        <w:rPr>
          <w:sz w:val="24"/>
        </w:rPr>
        <w:lastRenderedPageBreak/>
        <w:tab/>
      </w:r>
      <w:r w:rsidRPr="00883399">
        <w:rPr>
          <w:sz w:val="24"/>
        </w:rPr>
        <w:tab/>
      </w:r>
      <w:r w:rsidRPr="00883399">
        <w:rPr>
          <w:noProof/>
          <w:sz w:val="24"/>
        </w:rPr>
        <w:drawing>
          <wp:inline distT="0" distB="0" distL="0" distR="0" wp14:anchorId="6C858ADA" wp14:editId="5A2CBC3D">
            <wp:extent cx="923925" cy="238125"/>
            <wp:effectExtent l="0" t="0" r="0" b="9525"/>
            <wp:docPr id="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p w14:paraId="150504D4" w14:textId="77777777" w:rsidR="00872C03" w:rsidRPr="00883399" w:rsidRDefault="00872C03" w:rsidP="00872C03">
      <w:pPr>
        <w:pStyle w:val="subsection2"/>
        <w:rPr>
          <w:sz w:val="24"/>
        </w:rPr>
      </w:pPr>
      <w:r w:rsidRPr="00883399">
        <w:rPr>
          <w:sz w:val="24"/>
        </w:rPr>
        <w:t>where:</w:t>
      </w:r>
    </w:p>
    <w:p w14:paraId="7C96EA64" w14:textId="77777777" w:rsidR="00872C03" w:rsidRPr="00883399" w:rsidRDefault="00872C03" w:rsidP="00872C03">
      <w:pPr>
        <w:pStyle w:val="Definition0"/>
        <w:rPr>
          <w:sz w:val="24"/>
        </w:rPr>
      </w:pPr>
      <w:r w:rsidRPr="00883399">
        <w:rPr>
          <w:b/>
          <w:i/>
          <w:sz w:val="24"/>
        </w:rPr>
        <w:t>E</w:t>
      </w:r>
      <w:r w:rsidRPr="00883399">
        <w:rPr>
          <w:b/>
          <w:i/>
          <w:sz w:val="24"/>
          <w:vertAlign w:val="subscript"/>
        </w:rPr>
        <w:t>j</w:t>
      </w:r>
      <w:r w:rsidRPr="00883399">
        <w:rPr>
          <w:b/>
          <w:i/>
          <w:sz w:val="24"/>
        </w:rPr>
        <w:t xml:space="preserve"> </w:t>
      </w:r>
      <w:r w:rsidRPr="00883399">
        <w:rPr>
          <w:sz w:val="24"/>
        </w:rPr>
        <w:t>is the fugitive emissions of methane (</w:t>
      </w:r>
      <w:r w:rsidRPr="00883399">
        <w:rPr>
          <w:b/>
          <w:i/>
          <w:sz w:val="24"/>
        </w:rPr>
        <w:t>j</w:t>
      </w:r>
      <w:r w:rsidRPr="00883399">
        <w:rPr>
          <w:sz w:val="24"/>
        </w:rPr>
        <w:t>) that result from the extraction of coal from the mine during the year measured in CO</w:t>
      </w:r>
      <w:r w:rsidRPr="00883399">
        <w:rPr>
          <w:rStyle w:val="charSubscript"/>
          <w:iCs/>
          <w:sz w:val="22"/>
        </w:rPr>
        <w:t>2</w:t>
      </w:r>
      <w:r w:rsidRPr="00883399">
        <w:rPr>
          <w:sz w:val="24"/>
        </w:rPr>
        <w:noBreakHyphen/>
        <w:t>e tonnes.</w:t>
      </w:r>
    </w:p>
    <w:p w14:paraId="44AAF311" w14:textId="77777777" w:rsidR="00872C03" w:rsidRPr="00883399" w:rsidRDefault="00872C03" w:rsidP="00872C03">
      <w:pPr>
        <w:pStyle w:val="Definition0"/>
        <w:rPr>
          <w:sz w:val="24"/>
        </w:rPr>
      </w:pPr>
      <w:r w:rsidRPr="00883399">
        <w:rPr>
          <w:b/>
          <w:i/>
          <w:sz w:val="24"/>
        </w:rPr>
        <w:t xml:space="preserve">Q </w:t>
      </w:r>
      <w:r w:rsidRPr="00883399">
        <w:rPr>
          <w:sz w:val="24"/>
        </w:rPr>
        <w:t>is the quantity of run</w:t>
      </w:r>
      <w:r w:rsidRPr="00883399">
        <w:rPr>
          <w:sz w:val="24"/>
        </w:rPr>
        <w:noBreakHyphen/>
        <w:t>of</w:t>
      </w:r>
      <w:r w:rsidRPr="00883399">
        <w:rPr>
          <w:sz w:val="24"/>
        </w:rPr>
        <w:noBreakHyphen/>
        <w:t>mine coal extracted from the mine during the year measured in tonnes.</w:t>
      </w:r>
    </w:p>
    <w:p w14:paraId="6D3BAD03" w14:textId="77777777" w:rsidR="00872C03" w:rsidRPr="00883399" w:rsidRDefault="00872C03" w:rsidP="00872C03">
      <w:pPr>
        <w:pStyle w:val="Definition0"/>
        <w:rPr>
          <w:sz w:val="24"/>
        </w:rPr>
      </w:pPr>
      <w:r w:rsidRPr="00883399">
        <w:rPr>
          <w:b/>
          <w:i/>
          <w:sz w:val="24"/>
        </w:rPr>
        <w:t>EF</w:t>
      </w:r>
      <w:r w:rsidRPr="00883399">
        <w:rPr>
          <w:b/>
          <w:i/>
          <w:sz w:val="24"/>
          <w:vertAlign w:val="subscript"/>
        </w:rPr>
        <w:t>j</w:t>
      </w:r>
      <w:r w:rsidRPr="00883399">
        <w:rPr>
          <w:b/>
          <w:i/>
          <w:sz w:val="24"/>
        </w:rPr>
        <w:t xml:space="preserve"> </w:t>
      </w:r>
      <w:r w:rsidRPr="00883399">
        <w:rPr>
          <w:sz w:val="24"/>
        </w:rPr>
        <w:t>is the emission factor for methane (</w:t>
      </w:r>
      <w:r w:rsidRPr="00883399">
        <w:rPr>
          <w:b/>
          <w:i/>
          <w:sz w:val="24"/>
        </w:rPr>
        <w:t>j</w:t>
      </w:r>
      <w:r w:rsidRPr="00883399">
        <w:rPr>
          <w:sz w:val="24"/>
        </w:rPr>
        <w:t>), measured in CO</w:t>
      </w:r>
      <w:r w:rsidRPr="00883399">
        <w:rPr>
          <w:rStyle w:val="charSubscript"/>
          <w:sz w:val="22"/>
        </w:rPr>
        <w:t>2</w:t>
      </w:r>
      <w:r w:rsidRPr="00883399">
        <w:rPr>
          <w:sz w:val="24"/>
        </w:rPr>
        <w:noBreakHyphen/>
        <w:t>e tonnes per tonne of run</w:t>
      </w:r>
      <w:r w:rsidRPr="00883399">
        <w:rPr>
          <w:sz w:val="24"/>
        </w:rPr>
        <w:noBreakHyphen/>
        <w:t>of</w:t>
      </w:r>
      <w:r w:rsidRPr="00883399">
        <w:rPr>
          <w:sz w:val="24"/>
        </w:rPr>
        <w:noBreakHyphen/>
        <w:t>mine coal extracted from the mine, as follows:</w:t>
      </w:r>
    </w:p>
    <w:p w14:paraId="25694420" w14:textId="77777777" w:rsidR="00872C03" w:rsidRPr="00883399" w:rsidRDefault="00872C03" w:rsidP="00872C03">
      <w:pPr>
        <w:pStyle w:val="paragraph"/>
        <w:rPr>
          <w:sz w:val="24"/>
        </w:rPr>
      </w:pPr>
      <w:r w:rsidRPr="00883399">
        <w:rPr>
          <w:sz w:val="24"/>
        </w:rPr>
        <w:tab/>
        <w:t>(a)</w:t>
      </w:r>
      <w:r w:rsidRPr="00883399">
        <w:rPr>
          <w:sz w:val="24"/>
        </w:rPr>
        <w:tab/>
        <w:t>for a gassy mine—0.363;</w:t>
      </w:r>
    </w:p>
    <w:p w14:paraId="5267592A" w14:textId="77777777" w:rsidR="00872C03" w:rsidRPr="00883399" w:rsidRDefault="00872C03" w:rsidP="00872C03">
      <w:pPr>
        <w:pStyle w:val="paragraph"/>
        <w:rPr>
          <w:sz w:val="24"/>
        </w:rPr>
      </w:pPr>
      <w:r w:rsidRPr="00883399">
        <w:rPr>
          <w:sz w:val="24"/>
        </w:rPr>
        <w:tab/>
        <w:t>(b)</w:t>
      </w:r>
      <w:r w:rsidRPr="00883399">
        <w:rPr>
          <w:sz w:val="24"/>
        </w:rPr>
        <w:tab/>
        <w:t>for a non</w:t>
      </w:r>
      <w:r w:rsidRPr="00883399">
        <w:rPr>
          <w:sz w:val="24"/>
        </w:rPr>
        <w:noBreakHyphen/>
        <w:t>gassy mine—0.010.</w:t>
      </w:r>
    </w:p>
    <w:p w14:paraId="61D47C6B" w14:textId="2B4828E6" w:rsidR="00872C03" w:rsidRPr="00883399" w:rsidRDefault="00872C03" w:rsidP="00872C03">
      <w:pPr>
        <w:pStyle w:val="ActHead5"/>
        <w:rPr>
          <w:sz w:val="28"/>
        </w:rPr>
      </w:pPr>
      <w:bookmarkStart w:id="424" w:name="_Toc423516858"/>
      <w:bookmarkStart w:id="425" w:name="_Toc495652777"/>
      <w:r w:rsidRPr="00883399">
        <w:rPr>
          <w:rStyle w:val="CharSectno"/>
          <w:sz w:val="28"/>
        </w:rPr>
        <w:t>3.6</w:t>
      </w:r>
      <w:r w:rsidRPr="00883399">
        <w:rPr>
          <w:sz w:val="28"/>
        </w:rPr>
        <w:t xml:space="preserve">  Method 4—extraction of coal</w:t>
      </w:r>
      <w:bookmarkEnd w:id="424"/>
      <w:bookmarkEnd w:id="425"/>
    </w:p>
    <w:p w14:paraId="2FB5FEBF" w14:textId="77777777" w:rsidR="00872C03" w:rsidRPr="00883399" w:rsidRDefault="00872C03" w:rsidP="00872C03">
      <w:pPr>
        <w:pStyle w:val="R1"/>
        <w:keepLines w:val="0"/>
        <w:spacing w:before="240" w:line="312" w:lineRule="auto"/>
        <w:ind w:left="0" w:firstLine="0"/>
        <w:jc w:val="left"/>
        <w:rPr>
          <w:rFonts w:ascii="Arial" w:hAnsi="Arial" w:cs="Arial"/>
          <w:sz w:val="22"/>
          <w:szCs w:val="22"/>
        </w:rPr>
      </w:pPr>
      <w:r w:rsidRPr="00883399">
        <w:rPr>
          <w:rFonts w:ascii="Arial" w:hAnsi="Arial" w:cs="Arial"/>
          <w:sz w:val="22"/>
          <w:szCs w:val="22"/>
        </w:rPr>
        <w:t>Method 4 for estimating emissions associated with underground mining operations involves directly measuring emissions within ventilation shafts and degasification systems. This Method is dealt with in detail in Part 1.3 of Chapter 1.</w:t>
      </w:r>
      <w:r w:rsidRPr="00883399">
        <w:rPr>
          <w:rFonts w:ascii="Arial" w:hAnsi="Arial" w:cs="Arial"/>
          <w:sz w:val="22"/>
          <w:szCs w:val="22"/>
        </w:rPr>
        <w:tab/>
      </w:r>
    </w:p>
    <w:p w14:paraId="73FAB21C" w14:textId="77777777" w:rsidR="00872C03" w:rsidRPr="00883399" w:rsidRDefault="00872C03" w:rsidP="00872C03">
      <w:pPr>
        <w:pStyle w:val="R1"/>
        <w:keepLines w:val="0"/>
        <w:spacing w:before="240" w:line="312" w:lineRule="auto"/>
        <w:ind w:left="0" w:firstLine="0"/>
        <w:jc w:val="left"/>
        <w:rPr>
          <w:rFonts w:ascii="Arial" w:hAnsi="Arial" w:cs="Arial"/>
          <w:i/>
          <w:sz w:val="22"/>
          <w:szCs w:val="22"/>
        </w:rPr>
      </w:pPr>
      <w:r w:rsidRPr="00883399">
        <w:rPr>
          <w:rFonts w:ascii="Arial" w:hAnsi="Arial" w:cs="Arial"/>
          <w:i/>
          <w:sz w:val="22"/>
          <w:szCs w:val="22"/>
        </w:rPr>
        <w:t>Estimation methods under current applicable state or territory legislation</w:t>
      </w:r>
    </w:p>
    <w:p w14:paraId="738FDC5F" w14:textId="77777777" w:rsidR="00872C03" w:rsidRPr="00883399" w:rsidRDefault="00872C03" w:rsidP="00872C03">
      <w:pPr>
        <w:pStyle w:val="R1"/>
        <w:keepLines w:val="0"/>
        <w:spacing w:before="240" w:line="312" w:lineRule="auto"/>
        <w:ind w:left="0" w:firstLine="0"/>
        <w:jc w:val="left"/>
        <w:rPr>
          <w:rFonts w:ascii="Arial" w:hAnsi="Arial" w:cs="Arial"/>
          <w:i/>
          <w:sz w:val="22"/>
          <w:szCs w:val="22"/>
        </w:rPr>
      </w:pPr>
      <w:r w:rsidRPr="00883399">
        <w:rPr>
          <w:rFonts w:ascii="Arial" w:hAnsi="Arial" w:cs="Arial"/>
          <w:sz w:val="22"/>
          <w:szCs w:val="22"/>
        </w:rPr>
        <w:t>In addition to the methods outlined in Part 1.3, Reporters may also directly measure emissions using periodic emissions measurement (PEM) in accordance with elements of relevant State Government legislation. This legislation includes the following:</w:t>
      </w:r>
    </w:p>
    <w:p w14:paraId="7106209E" w14:textId="77777777" w:rsidR="00872C03" w:rsidRPr="00883399" w:rsidRDefault="00872C03" w:rsidP="00872C03">
      <w:pPr>
        <w:pStyle w:val="R1"/>
        <w:keepLines w:val="0"/>
        <w:spacing w:before="240" w:line="312" w:lineRule="auto"/>
        <w:ind w:left="0" w:firstLine="0"/>
        <w:jc w:val="left"/>
        <w:rPr>
          <w:rFonts w:ascii="Arial" w:hAnsi="Arial" w:cs="Arial"/>
          <w:i/>
          <w:sz w:val="22"/>
          <w:szCs w:val="22"/>
        </w:rPr>
      </w:pPr>
      <w:r w:rsidRPr="00883399">
        <w:rPr>
          <w:rFonts w:ascii="Arial" w:hAnsi="Arial" w:cs="Arial"/>
          <w:i/>
          <w:sz w:val="22"/>
          <w:szCs w:val="22"/>
        </w:rPr>
        <w:t>Coal Mine Health and Safety Act 2002</w:t>
      </w:r>
      <w:r w:rsidRPr="00883399">
        <w:rPr>
          <w:rFonts w:ascii="Arial" w:hAnsi="Arial" w:cs="Arial"/>
          <w:sz w:val="22"/>
          <w:szCs w:val="22"/>
        </w:rPr>
        <w:t xml:space="preserve"> (NSW) and the Coal Mine Health and Safety Regulation 2006 (NSW)</w:t>
      </w:r>
    </w:p>
    <w:p w14:paraId="131E5433" w14:textId="77777777" w:rsidR="00872C03" w:rsidRPr="00883399" w:rsidRDefault="00872C03" w:rsidP="00872C03">
      <w:pPr>
        <w:pStyle w:val="R1"/>
        <w:keepLines w:val="0"/>
        <w:spacing w:before="240" w:line="312" w:lineRule="auto"/>
        <w:ind w:left="0" w:firstLine="0"/>
        <w:jc w:val="left"/>
        <w:rPr>
          <w:rFonts w:ascii="Arial" w:hAnsi="Arial" w:cs="Arial"/>
          <w:i/>
          <w:sz w:val="22"/>
          <w:szCs w:val="22"/>
        </w:rPr>
      </w:pPr>
      <w:r w:rsidRPr="00883399">
        <w:rPr>
          <w:rFonts w:ascii="Arial" w:hAnsi="Arial" w:cs="Arial"/>
          <w:i/>
          <w:sz w:val="22"/>
          <w:szCs w:val="22"/>
        </w:rPr>
        <w:t>Coal Mining Safety and Health Act 1999</w:t>
      </w:r>
      <w:r w:rsidRPr="00883399">
        <w:rPr>
          <w:rFonts w:ascii="Arial" w:hAnsi="Arial" w:cs="Arial"/>
          <w:sz w:val="22"/>
          <w:szCs w:val="22"/>
        </w:rPr>
        <w:t xml:space="preserve"> (Qld) and the Coal Mining Safety and Health Regulation 2001 (Qld).</w:t>
      </w:r>
    </w:p>
    <w:p w14:paraId="0D90D351" w14:textId="77777777" w:rsidR="00872C03" w:rsidRPr="00883399" w:rsidRDefault="00872C03" w:rsidP="00C335B2">
      <w:pPr>
        <w:pStyle w:val="R1"/>
        <w:keepLines w:val="0"/>
        <w:spacing w:before="240" w:line="312" w:lineRule="auto"/>
        <w:ind w:left="0" w:firstLine="0"/>
        <w:jc w:val="left"/>
      </w:pPr>
      <w:r w:rsidRPr="00883399">
        <w:rPr>
          <w:rFonts w:ascii="Arial" w:hAnsi="Arial" w:cs="Arial"/>
          <w:sz w:val="22"/>
          <w:szCs w:val="22"/>
        </w:rPr>
        <w:t>It is intended that, as a minimum, existing practices for the monitoring of gases at underground mines may be maintained as input into the emissions estimation process under Method 4.</w:t>
      </w:r>
    </w:p>
    <w:p w14:paraId="0807730A" w14:textId="77777777" w:rsidR="00872C03" w:rsidRPr="00883399" w:rsidRDefault="00872C03" w:rsidP="00872C03">
      <w:pPr>
        <w:pStyle w:val="subsection"/>
        <w:rPr>
          <w:sz w:val="24"/>
        </w:rPr>
      </w:pPr>
      <w:r w:rsidRPr="00883399">
        <w:rPr>
          <w:sz w:val="24"/>
        </w:rPr>
        <w:tab/>
        <w:t>(1)</w:t>
      </w:r>
      <w:r w:rsidRPr="00883399">
        <w:rPr>
          <w:sz w:val="24"/>
        </w:rPr>
        <w:tab/>
        <w:t>For subsections 3.4(2) and (3), method 4 is:</w:t>
      </w:r>
    </w:p>
    <w:p w14:paraId="20D50B58" w14:textId="55607FDF"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013E517F" wp14:editId="4EC926BD">
            <wp:extent cx="2828925" cy="2762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28925" cy="276225"/>
                    </a:xfrm>
                    <a:prstGeom prst="rect">
                      <a:avLst/>
                    </a:prstGeom>
                    <a:noFill/>
                    <a:ln>
                      <a:noFill/>
                    </a:ln>
                  </pic:spPr>
                </pic:pic>
              </a:graphicData>
            </a:graphic>
          </wp:inline>
        </w:drawing>
      </w:r>
    </w:p>
    <w:p w14:paraId="2820F81A" w14:textId="77777777" w:rsidR="00872C03" w:rsidRPr="00883399" w:rsidRDefault="00872C03" w:rsidP="00872C03">
      <w:pPr>
        <w:pStyle w:val="subsection2"/>
        <w:rPr>
          <w:sz w:val="24"/>
        </w:rPr>
      </w:pPr>
      <w:r w:rsidRPr="00883399">
        <w:rPr>
          <w:sz w:val="24"/>
        </w:rPr>
        <w:t>where:</w:t>
      </w:r>
    </w:p>
    <w:p w14:paraId="13DABBB7" w14:textId="77777777" w:rsidR="00872C03" w:rsidRPr="00883399" w:rsidRDefault="00872C03" w:rsidP="00872C03">
      <w:pPr>
        <w:pStyle w:val="Definition0"/>
        <w:rPr>
          <w:sz w:val="24"/>
        </w:rPr>
      </w:pPr>
      <w:r w:rsidRPr="00883399">
        <w:rPr>
          <w:b/>
          <w:i/>
          <w:sz w:val="24"/>
        </w:rPr>
        <w:lastRenderedPageBreak/>
        <w:t>E</w:t>
      </w:r>
      <w:r w:rsidRPr="00883399">
        <w:rPr>
          <w:b/>
          <w:i/>
          <w:sz w:val="24"/>
          <w:vertAlign w:val="subscript"/>
        </w:rPr>
        <w:t>j</w:t>
      </w:r>
      <w:r w:rsidRPr="00883399">
        <w:rPr>
          <w:b/>
          <w:i/>
          <w:sz w:val="24"/>
        </w:rPr>
        <w:t xml:space="preserve"> </w:t>
      </w:r>
      <w:r w:rsidRPr="00883399">
        <w:rPr>
          <w:sz w:val="24"/>
        </w:rPr>
        <w:t>is the fugitive emissions of gas type (</w:t>
      </w:r>
      <w:r w:rsidRPr="00883399">
        <w:rPr>
          <w:b/>
          <w:i/>
          <w:sz w:val="24"/>
        </w:rPr>
        <w:t>j</w:t>
      </w:r>
      <w:r w:rsidRPr="00883399">
        <w:rPr>
          <w:sz w:val="24"/>
        </w:rPr>
        <w:t>) that result from the extraction of coal from the mine during the year, measured in CO</w:t>
      </w:r>
      <w:r w:rsidRPr="00883399">
        <w:rPr>
          <w:sz w:val="24"/>
          <w:vertAlign w:val="subscript"/>
        </w:rPr>
        <w:t>2</w:t>
      </w:r>
      <w:r w:rsidRPr="00883399">
        <w:rPr>
          <w:sz w:val="24"/>
        </w:rPr>
        <w:noBreakHyphen/>
        <w:t>e tonnes.</w:t>
      </w:r>
    </w:p>
    <w:p w14:paraId="49600CC8" w14:textId="77777777" w:rsidR="00872C03" w:rsidRPr="00883399" w:rsidRDefault="00872C03" w:rsidP="00872C03">
      <w:pPr>
        <w:pStyle w:val="Definition0"/>
        <w:rPr>
          <w:sz w:val="24"/>
        </w:rPr>
      </w:pPr>
      <w:r w:rsidRPr="00883399">
        <w:rPr>
          <w:b/>
          <w:i/>
          <w:sz w:val="24"/>
        </w:rPr>
        <w:t>CO</w:t>
      </w:r>
      <w:r w:rsidRPr="00883399">
        <w:rPr>
          <w:b/>
          <w:i/>
          <w:sz w:val="24"/>
          <w:vertAlign w:val="subscript"/>
        </w:rPr>
        <w:t>2</w:t>
      </w:r>
      <w:r w:rsidRPr="00883399">
        <w:rPr>
          <w:b/>
          <w:i/>
          <w:sz w:val="24"/>
        </w:rPr>
        <w:noBreakHyphen/>
        <w:t xml:space="preserve">e </w:t>
      </w:r>
      <w:r w:rsidRPr="00883399">
        <w:rPr>
          <w:b/>
          <w:i/>
          <w:sz w:val="24"/>
          <w:vertAlign w:val="subscript"/>
        </w:rPr>
        <w:t xml:space="preserve">j gen, total </w:t>
      </w:r>
      <w:r w:rsidRPr="00883399">
        <w:rPr>
          <w:sz w:val="24"/>
        </w:rPr>
        <w:t>is the total mass of gas type (</w:t>
      </w:r>
      <w:r w:rsidRPr="00883399">
        <w:rPr>
          <w:b/>
          <w:i/>
          <w:sz w:val="24"/>
        </w:rPr>
        <w:t>j</w:t>
      </w:r>
      <w:r w:rsidRPr="00883399">
        <w:rPr>
          <w:sz w:val="24"/>
        </w:rPr>
        <w:t>) generated from the mine during the year before capture and flaring is undertaken at the mine, measured in CO</w:t>
      </w:r>
      <w:r w:rsidRPr="00883399">
        <w:rPr>
          <w:sz w:val="24"/>
          <w:vertAlign w:val="subscript"/>
        </w:rPr>
        <w:t>2</w:t>
      </w:r>
      <w:r w:rsidRPr="00883399">
        <w:rPr>
          <w:sz w:val="24"/>
        </w:rPr>
        <w:noBreakHyphen/>
        <w:t>e tonnes and estimated using the direct measurement of emissions in accordance with subsection (2).</w:t>
      </w:r>
    </w:p>
    <w:p w14:paraId="04D7426E" w14:textId="77777777" w:rsidR="00872C03" w:rsidRPr="00883399" w:rsidRDefault="00872C03" w:rsidP="00872C03">
      <w:pPr>
        <w:pStyle w:val="Definition0"/>
        <w:rPr>
          <w:sz w:val="24"/>
        </w:rPr>
      </w:pPr>
      <w:r w:rsidRPr="00883399">
        <w:rPr>
          <w:b/>
          <w:i/>
          <w:sz w:val="24"/>
        </w:rPr>
        <w:t>γ</w:t>
      </w:r>
      <w:r w:rsidRPr="00883399">
        <w:rPr>
          <w:b/>
          <w:i/>
          <w:sz w:val="24"/>
          <w:vertAlign w:val="subscript"/>
        </w:rPr>
        <w:t>j</w:t>
      </w:r>
      <w:r w:rsidRPr="00883399">
        <w:rPr>
          <w:b/>
          <w:i/>
          <w:sz w:val="24"/>
        </w:rPr>
        <w:t xml:space="preserve"> </w:t>
      </w:r>
      <w:r w:rsidRPr="00883399">
        <w:rPr>
          <w:sz w:val="24"/>
        </w:rPr>
        <w:t>is the factor for converting a quantity of gas type (</w:t>
      </w:r>
      <w:r w:rsidRPr="00883399">
        <w:rPr>
          <w:b/>
          <w:i/>
          <w:sz w:val="24"/>
        </w:rPr>
        <w:t>j</w:t>
      </w:r>
      <w:r w:rsidRPr="00883399">
        <w:rPr>
          <w:sz w:val="24"/>
        </w:rPr>
        <w:t>) from cubic metres at standard conditions of pressure and temperature to CO</w:t>
      </w:r>
      <w:r w:rsidRPr="00883399">
        <w:rPr>
          <w:sz w:val="24"/>
          <w:vertAlign w:val="subscript"/>
        </w:rPr>
        <w:t>2</w:t>
      </w:r>
      <w:r w:rsidRPr="00883399">
        <w:rPr>
          <w:sz w:val="24"/>
        </w:rPr>
        <w:noBreakHyphen/>
        <w:t>e tonnes, being:</w:t>
      </w:r>
    </w:p>
    <w:p w14:paraId="511C2D68" w14:textId="77777777" w:rsidR="00872C03" w:rsidRPr="00883399" w:rsidRDefault="00872C03" w:rsidP="00872C03">
      <w:pPr>
        <w:pStyle w:val="paragraph"/>
        <w:rPr>
          <w:sz w:val="24"/>
        </w:rPr>
      </w:pPr>
      <w:r w:rsidRPr="00883399">
        <w:rPr>
          <w:sz w:val="24"/>
        </w:rPr>
        <w:tab/>
        <w:t>(a)</w:t>
      </w:r>
      <w:r w:rsidRPr="00883399">
        <w:rPr>
          <w:sz w:val="24"/>
        </w:rPr>
        <w:tab/>
        <w:t>for methane—6.784 × 10</w:t>
      </w:r>
      <w:r w:rsidRPr="00883399">
        <w:rPr>
          <w:sz w:val="24"/>
          <w:vertAlign w:val="superscript"/>
        </w:rPr>
        <w:noBreakHyphen/>
        <w:t xml:space="preserve">4 </w:t>
      </w:r>
      <w:r w:rsidRPr="00883399">
        <w:rPr>
          <w:sz w:val="24"/>
        </w:rPr>
        <w:t>× 25; and</w:t>
      </w:r>
    </w:p>
    <w:p w14:paraId="4106D881" w14:textId="77777777" w:rsidR="00872C03" w:rsidRPr="00883399" w:rsidRDefault="00872C03" w:rsidP="00872C03">
      <w:pPr>
        <w:pStyle w:val="paragraph"/>
        <w:rPr>
          <w:sz w:val="24"/>
        </w:rPr>
      </w:pPr>
      <w:r w:rsidRPr="00883399">
        <w:rPr>
          <w:sz w:val="24"/>
        </w:rPr>
        <w:tab/>
        <w:t>(b)</w:t>
      </w:r>
      <w:r w:rsidRPr="00883399">
        <w:rPr>
          <w:sz w:val="24"/>
        </w:rPr>
        <w:tab/>
        <w:t>for carbon dioxide—1.861 × 10</w:t>
      </w:r>
      <w:r w:rsidRPr="00883399">
        <w:rPr>
          <w:sz w:val="24"/>
          <w:vertAlign w:val="superscript"/>
        </w:rPr>
        <w:noBreakHyphen/>
        <w:t>3</w:t>
      </w:r>
      <w:r w:rsidRPr="00883399">
        <w:rPr>
          <w:sz w:val="24"/>
        </w:rPr>
        <w:t>.</w:t>
      </w:r>
    </w:p>
    <w:p w14:paraId="3EACB204" w14:textId="77777777" w:rsidR="00872C03" w:rsidRPr="00883399" w:rsidRDefault="00872C03" w:rsidP="00872C03">
      <w:pPr>
        <w:pStyle w:val="Definition0"/>
        <w:rPr>
          <w:sz w:val="24"/>
        </w:rPr>
      </w:pPr>
      <w:r w:rsidRPr="00883399">
        <w:rPr>
          <w:b/>
          <w:i/>
          <w:sz w:val="24"/>
        </w:rPr>
        <w:t>Q</w:t>
      </w:r>
      <w:r w:rsidRPr="00883399">
        <w:rPr>
          <w:b/>
          <w:i/>
          <w:sz w:val="24"/>
          <w:vertAlign w:val="subscript"/>
        </w:rPr>
        <w:t>ij,</w:t>
      </w:r>
      <w:r w:rsidRPr="00883399">
        <w:rPr>
          <w:rStyle w:val="charSubscript"/>
          <w:b/>
          <w:i/>
          <w:sz w:val="22"/>
        </w:rPr>
        <w:t>cap</w:t>
      </w:r>
      <w:r w:rsidRPr="00883399">
        <w:rPr>
          <w:b/>
          <w:i/>
          <w:sz w:val="24"/>
          <w:vertAlign w:val="subscript"/>
        </w:rPr>
        <w:t xml:space="preserve"> </w:t>
      </w:r>
      <w:r w:rsidRPr="00883399">
        <w:rPr>
          <w:sz w:val="24"/>
        </w:rPr>
        <w:t>is the quantity of gas type (</w:t>
      </w:r>
      <w:r w:rsidRPr="00883399">
        <w:rPr>
          <w:b/>
          <w:i/>
          <w:sz w:val="24"/>
        </w:rPr>
        <w:t>j</w:t>
      </w:r>
      <w:r w:rsidRPr="00883399">
        <w:rPr>
          <w:sz w:val="24"/>
        </w:rPr>
        <w:t>) in coal mine waste gas type (</w:t>
      </w:r>
      <w:r w:rsidRPr="00883399">
        <w:rPr>
          <w:b/>
          <w:i/>
          <w:sz w:val="24"/>
        </w:rPr>
        <w:t>i</w:t>
      </w:r>
      <w:r w:rsidRPr="00883399">
        <w:rPr>
          <w:sz w:val="24"/>
        </w:rPr>
        <w:t>) captured for combustion from the mine and used during the year, measured in cubic metres and estimated in accordance with Division 2.3.6.</w:t>
      </w:r>
    </w:p>
    <w:p w14:paraId="0236258A" w14:textId="77777777" w:rsidR="00872C03" w:rsidRPr="00883399" w:rsidRDefault="00872C03" w:rsidP="00872C03">
      <w:pPr>
        <w:pStyle w:val="Definition0"/>
        <w:rPr>
          <w:sz w:val="24"/>
        </w:rPr>
      </w:pPr>
      <w:r w:rsidRPr="00883399">
        <w:rPr>
          <w:b/>
          <w:i/>
          <w:sz w:val="24"/>
        </w:rPr>
        <w:t>Q</w:t>
      </w:r>
      <w:r w:rsidRPr="00883399">
        <w:rPr>
          <w:b/>
          <w:i/>
          <w:sz w:val="24"/>
          <w:vertAlign w:val="subscript"/>
        </w:rPr>
        <w:t xml:space="preserve">ij,flared </w:t>
      </w:r>
      <w:r w:rsidRPr="00883399">
        <w:rPr>
          <w:sz w:val="24"/>
        </w:rPr>
        <w:t>is the quantity of gas type (</w:t>
      </w:r>
      <w:r w:rsidRPr="00883399">
        <w:rPr>
          <w:b/>
          <w:i/>
          <w:sz w:val="24"/>
        </w:rPr>
        <w:t>j</w:t>
      </w:r>
      <w:r w:rsidRPr="00883399">
        <w:rPr>
          <w:sz w:val="24"/>
        </w:rPr>
        <w:t>) in coal mine waste gas type (</w:t>
      </w:r>
      <w:r w:rsidRPr="00883399">
        <w:rPr>
          <w:b/>
          <w:i/>
          <w:sz w:val="24"/>
        </w:rPr>
        <w:t>i</w:t>
      </w:r>
      <w:r w:rsidRPr="00883399">
        <w:rPr>
          <w:sz w:val="24"/>
        </w:rPr>
        <w:t>) flared from the mine during the year, measured in cubic metres and estimated in accordance with Division 2.3.6.</w:t>
      </w:r>
    </w:p>
    <w:p w14:paraId="724AC9B0" w14:textId="77777777" w:rsidR="00872C03" w:rsidRPr="00883399" w:rsidRDefault="00872C03" w:rsidP="00872C03">
      <w:pPr>
        <w:pStyle w:val="Definition0"/>
        <w:rPr>
          <w:sz w:val="24"/>
        </w:rPr>
      </w:pPr>
      <w:r w:rsidRPr="00883399">
        <w:rPr>
          <w:b/>
          <w:i/>
          <w:sz w:val="24"/>
        </w:rPr>
        <w:t>Q</w:t>
      </w:r>
      <w:r w:rsidRPr="00883399">
        <w:rPr>
          <w:b/>
          <w:i/>
          <w:sz w:val="24"/>
          <w:vertAlign w:val="subscript"/>
        </w:rPr>
        <w:t>ijtr</w:t>
      </w:r>
      <w:r w:rsidRPr="00883399">
        <w:rPr>
          <w:b/>
          <w:i/>
          <w:sz w:val="24"/>
        </w:rPr>
        <w:t xml:space="preserve"> </w:t>
      </w:r>
      <w:r w:rsidRPr="00883399">
        <w:rPr>
          <w:sz w:val="24"/>
        </w:rPr>
        <w:t>is the quantity of gas type (</w:t>
      </w:r>
      <w:r w:rsidRPr="00883399">
        <w:rPr>
          <w:b/>
          <w:i/>
          <w:sz w:val="24"/>
        </w:rPr>
        <w:t>j</w:t>
      </w:r>
      <w:r w:rsidRPr="00883399">
        <w:rPr>
          <w:sz w:val="24"/>
        </w:rPr>
        <w:t>) in coal mine waste gas type (</w:t>
      </w:r>
      <w:r w:rsidRPr="00883399">
        <w:rPr>
          <w:b/>
          <w:i/>
          <w:sz w:val="24"/>
        </w:rPr>
        <w:t>i</w:t>
      </w:r>
      <w:r w:rsidRPr="00883399">
        <w:rPr>
          <w:sz w:val="24"/>
        </w:rPr>
        <w:t xml:space="preserve">) transferred out of the mining activities during the year measured in cubic metres. </w:t>
      </w:r>
    </w:p>
    <w:p w14:paraId="3A286BBD" w14:textId="77777777" w:rsidR="00872C03" w:rsidRPr="00883399" w:rsidRDefault="00872C03" w:rsidP="00872C03">
      <w:pPr>
        <w:pStyle w:val="subsection"/>
        <w:rPr>
          <w:sz w:val="24"/>
        </w:rPr>
      </w:pPr>
      <w:r w:rsidRPr="00883399">
        <w:rPr>
          <w:sz w:val="24"/>
        </w:rPr>
        <w:tab/>
        <w:t>(2)</w:t>
      </w:r>
      <w:r w:rsidRPr="00883399">
        <w:rPr>
          <w:sz w:val="24"/>
        </w:rPr>
        <w:tab/>
        <w:t>The direct measurement of emissions released from the extraction of coal from an underground mine during a year by monitoring the gas stream at the underground mine may be undertaken by one of the following:</w:t>
      </w:r>
    </w:p>
    <w:p w14:paraId="3BB9F35F" w14:textId="77777777" w:rsidR="00872C03" w:rsidRPr="00883399" w:rsidRDefault="00872C03" w:rsidP="00872C03">
      <w:pPr>
        <w:pStyle w:val="paragraph"/>
        <w:rPr>
          <w:sz w:val="24"/>
        </w:rPr>
      </w:pPr>
      <w:r w:rsidRPr="00883399">
        <w:rPr>
          <w:sz w:val="24"/>
        </w:rPr>
        <w:tab/>
        <w:t>(a)</w:t>
      </w:r>
      <w:r w:rsidRPr="00883399">
        <w:rPr>
          <w:sz w:val="24"/>
        </w:rPr>
        <w:tab/>
        <w:t>continuous emissions monitoring (</w:t>
      </w:r>
      <w:r w:rsidRPr="00883399">
        <w:rPr>
          <w:b/>
          <w:i/>
          <w:sz w:val="24"/>
        </w:rPr>
        <w:t>CEM</w:t>
      </w:r>
      <w:r w:rsidRPr="00883399">
        <w:rPr>
          <w:sz w:val="24"/>
        </w:rPr>
        <w:t xml:space="preserve">) in accordance with Part 1.3; </w:t>
      </w:r>
    </w:p>
    <w:p w14:paraId="67BA68D0" w14:textId="77777777" w:rsidR="00872C03" w:rsidRPr="00883399" w:rsidRDefault="00872C03" w:rsidP="00872C03">
      <w:pPr>
        <w:pStyle w:val="paragraph"/>
        <w:rPr>
          <w:sz w:val="24"/>
        </w:rPr>
      </w:pPr>
      <w:r w:rsidRPr="00883399">
        <w:rPr>
          <w:sz w:val="24"/>
        </w:rPr>
        <w:tab/>
        <w:t>(b)</w:t>
      </w:r>
      <w:r w:rsidRPr="00883399">
        <w:rPr>
          <w:sz w:val="24"/>
        </w:rPr>
        <w:tab/>
        <w:t>periodic emissions monitoring (</w:t>
      </w:r>
      <w:r w:rsidRPr="00883399">
        <w:rPr>
          <w:b/>
          <w:i/>
          <w:sz w:val="24"/>
        </w:rPr>
        <w:t>PEM</w:t>
      </w:r>
      <w:r w:rsidRPr="00883399">
        <w:rPr>
          <w:sz w:val="24"/>
        </w:rPr>
        <w:t>) in accordance with sections 3.7 to 3.13.</w:t>
      </w:r>
    </w:p>
    <w:p w14:paraId="7553E394" w14:textId="77777777" w:rsidR="00872C03" w:rsidRPr="00883399" w:rsidRDefault="00872C03" w:rsidP="00872C03">
      <w:pPr>
        <w:pStyle w:val="notetext"/>
        <w:rPr>
          <w:sz w:val="20"/>
        </w:rPr>
      </w:pPr>
      <w:r w:rsidRPr="00883399">
        <w:rPr>
          <w:sz w:val="20"/>
        </w:rPr>
        <w:t>Note:</w:t>
      </w:r>
      <w:r w:rsidRPr="00883399">
        <w:rPr>
          <w:sz w:val="20"/>
        </w:rPr>
        <w:tab/>
        <w:t>Any estimates of emissions must be consistent with the principles in section 1.13.</w:t>
      </w:r>
    </w:p>
    <w:p w14:paraId="2E4E93D0" w14:textId="77777777" w:rsidR="00872C03" w:rsidRPr="00883399" w:rsidRDefault="00872C03" w:rsidP="00872C03">
      <w:pPr>
        <w:pStyle w:val="subsection"/>
        <w:rPr>
          <w:sz w:val="24"/>
        </w:rPr>
      </w:pPr>
      <w:r w:rsidRPr="00883399">
        <w:rPr>
          <w:sz w:val="24"/>
        </w:rPr>
        <w:tab/>
        <w:t>(3)</w:t>
      </w:r>
      <w:r w:rsidRPr="00883399">
        <w:rPr>
          <w:sz w:val="24"/>
        </w:rPr>
        <w:tab/>
        <w:t xml:space="preserve">For </w:t>
      </w:r>
      <w:r w:rsidRPr="00883399">
        <w:rPr>
          <w:b/>
          <w:i/>
          <w:sz w:val="24"/>
        </w:rPr>
        <w:t>Q</w:t>
      </w:r>
      <w:r w:rsidRPr="00883399">
        <w:rPr>
          <w:b/>
          <w:i/>
          <w:sz w:val="24"/>
          <w:vertAlign w:val="subscript"/>
        </w:rPr>
        <w:t>ijtr</w:t>
      </w:r>
      <w:r w:rsidRPr="00883399">
        <w:rPr>
          <w:sz w:val="24"/>
        </w:rPr>
        <w:t xml:space="preserve"> in subsection (1), the quantity of gas type (</w:t>
      </w:r>
      <w:r w:rsidRPr="00883399">
        <w:rPr>
          <w:b/>
          <w:i/>
          <w:sz w:val="24"/>
        </w:rPr>
        <w:t>j</w:t>
      </w:r>
      <w:r w:rsidRPr="00883399">
        <w:rPr>
          <w:sz w:val="24"/>
        </w:rPr>
        <w:t>) must be estimated in accordance with Division 2.3.6 as if a reference in that Division to quantities of gaseous fuels combusted from the operation of a facility was a reference to quantities of gaseous fuels transferred out of the operation of a facility.</w:t>
      </w:r>
    </w:p>
    <w:p w14:paraId="17894D89" w14:textId="77777777" w:rsidR="00872C03" w:rsidRPr="00883399" w:rsidRDefault="00872C03" w:rsidP="00872C03">
      <w:pPr>
        <w:pStyle w:val="definition"/>
        <w:ind w:left="0"/>
        <w:rPr>
          <w:rFonts w:ascii="Arial" w:hAnsi="Arial" w:cs="Arial"/>
          <w:b/>
          <w:i/>
          <w:sz w:val="22"/>
          <w:szCs w:val="22"/>
        </w:rPr>
      </w:pPr>
    </w:p>
    <w:p w14:paraId="09703260" w14:textId="77777777" w:rsidR="00872C03" w:rsidRPr="00883399" w:rsidRDefault="00872C03" w:rsidP="00872C03">
      <w:pPr>
        <w:pStyle w:val="definition"/>
        <w:ind w:left="0"/>
        <w:rPr>
          <w:rFonts w:ascii="Arial" w:hAnsi="Arial" w:cs="Arial"/>
          <w:b/>
          <w:i/>
          <w:sz w:val="22"/>
          <w:szCs w:val="22"/>
        </w:rPr>
      </w:pPr>
      <w:r w:rsidRPr="00883399">
        <w:rPr>
          <w:rFonts w:ascii="Arial" w:hAnsi="Arial" w:cs="Arial"/>
          <w:b/>
          <w:i/>
          <w:sz w:val="22"/>
          <w:szCs w:val="22"/>
        </w:rPr>
        <w:t>Emissions from diesel combustion emissions and the ambient CO</w:t>
      </w:r>
      <w:r w:rsidRPr="00883399">
        <w:rPr>
          <w:rFonts w:ascii="Arial" w:hAnsi="Arial" w:cs="Arial"/>
          <w:b/>
          <w:i/>
          <w:sz w:val="22"/>
          <w:szCs w:val="22"/>
          <w:vertAlign w:val="subscript"/>
        </w:rPr>
        <w:t>2</w:t>
      </w:r>
      <w:r w:rsidRPr="00883399">
        <w:rPr>
          <w:rFonts w:ascii="Arial" w:hAnsi="Arial" w:cs="Arial"/>
          <w:b/>
          <w:i/>
          <w:sz w:val="22"/>
          <w:szCs w:val="22"/>
        </w:rPr>
        <w:t xml:space="preserve"> in air</w:t>
      </w:r>
    </w:p>
    <w:p w14:paraId="304949CB" w14:textId="77777777" w:rsidR="00872C03" w:rsidRPr="00883399" w:rsidRDefault="00872C03" w:rsidP="00872C03">
      <w:pPr>
        <w:pStyle w:val="definition"/>
        <w:spacing w:line="312" w:lineRule="auto"/>
        <w:ind w:left="0"/>
        <w:rPr>
          <w:rFonts w:ascii="Arial" w:hAnsi="Arial" w:cs="Arial"/>
          <w:sz w:val="22"/>
          <w:szCs w:val="22"/>
        </w:rPr>
      </w:pPr>
      <w:r w:rsidRPr="00883399">
        <w:rPr>
          <w:rFonts w:ascii="Arial" w:hAnsi="Arial" w:cs="Arial"/>
          <w:sz w:val="22"/>
          <w:szCs w:val="22"/>
        </w:rPr>
        <w:t xml:space="preserve">When estimating fugitive emissions from underground mine, it is important be mindful that Ej in paragraph (1) above represents the </w:t>
      </w:r>
      <w:r w:rsidRPr="00883399">
        <w:rPr>
          <w:rFonts w:ascii="Arial" w:hAnsi="Arial" w:cs="Arial"/>
          <w:b/>
          <w:sz w:val="22"/>
          <w:szCs w:val="22"/>
        </w:rPr>
        <w:t>fugitive</w:t>
      </w:r>
      <w:r w:rsidRPr="00883399">
        <w:rPr>
          <w:rFonts w:ascii="Arial" w:hAnsi="Arial" w:cs="Arial"/>
          <w:sz w:val="22"/>
          <w:szCs w:val="22"/>
        </w:rPr>
        <w:t xml:space="preserve"> emissions that result from the </w:t>
      </w:r>
      <w:r w:rsidRPr="00883399">
        <w:rPr>
          <w:rFonts w:ascii="Arial" w:hAnsi="Arial" w:cs="Arial"/>
          <w:sz w:val="22"/>
          <w:szCs w:val="22"/>
        </w:rPr>
        <w:lastRenderedPageBreak/>
        <w:t>extraction of coal from the mine. Volumetric flow within underground coal mine ventilation systems may also include gases that arise from sources other than fugitive emissions such as;</w:t>
      </w:r>
    </w:p>
    <w:p w14:paraId="06A0BE13" w14:textId="77777777" w:rsidR="00872C03" w:rsidRPr="00883399" w:rsidRDefault="00872C03" w:rsidP="00872C03">
      <w:pPr>
        <w:pStyle w:val="definition"/>
        <w:numPr>
          <w:ilvl w:val="0"/>
          <w:numId w:val="52"/>
        </w:numPr>
        <w:spacing w:line="312" w:lineRule="auto"/>
        <w:rPr>
          <w:rFonts w:ascii="Arial" w:hAnsi="Arial" w:cs="Arial"/>
          <w:sz w:val="22"/>
          <w:szCs w:val="22"/>
        </w:rPr>
      </w:pPr>
      <w:r w:rsidRPr="00883399">
        <w:rPr>
          <w:rFonts w:ascii="Arial" w:hAnsi="Arial" w:cs="Arial"/>
          <w:sz w:val="22"/>
          <w:szCs w:val="22"/>
        </w:rPr>
        <w:t>fuel combustion diesel emissions arising from the use of machinery, while the machinery is in the underground mine, and</w:t>
      </w:r>
    </w:p>
    <w:p w14:paraId="5FA8A3C3" w14:textId="77777777" w:rsidR="00872C03" w:rsidRPr="00883399" w:rsidRDefault="00872C03" w:rsidP="00872C03">
      <w:pPr>
        <w:pStyle w:val="definition"/>
        <w:numPr>
          <w:ilvl w:val="0"/>
          <w:numId w:val="52"/>
        </w:numPr>
        <w:spacing w:line="312" w:lineRule="auto"/>
        <w:rPr>
          <w:rFonts w:ascii="Arial" w:hAnsi="Arial" w:cs="Arial"/>
          <w:sz w:val="22"/>
          <w:szCs w:val="22"/>
        </w:rPr>
      </w:pPr>
      <w:r w:rsidRPr="00883399">
        <w:rPr>
          <w:rFonts w:ascii="Arial" w:hAnsi="Arial" w:cs="Arial"/>
          <w:sz w:val="22"/>
          <w:szCs w:val="22"/>
        </w:rPr>
        <w:t xml:space="preserve">ambient carbon dioxide present in the air that was drawn into the mine ventilation intake.  </w:t>
      </w:r>
    </w:p>
    <w:p w14:paraId="639F46E8" w14:textId="77777777" w:rsidR="00872C03" w:rsidRPr="00883399" w:rsidRDefault="00872C03" w:rsidP="00872C03">
      <w:pPr>
        <w:pStyle w:val="R2"/>
        <w:spacing w:line="312" w:lineRule="auto"/>
        <w:ind w:left="0" w:firstLine="0"/>
        <w:rPr>
          <w:rFonts w:ascii="Arial" w:hAnsi="Arial" w:cs="Arial"/>
          <w:sz w:val="22"/>
          <w:szCs w:val="22"/>
        </w:rPr>
      </w:pPr>
      <w:r w:rsidRPr="00883399">
        <w:rPr>
          <w:rFonts w:ascii="Arial" w:hAnsi="Arial" w:cs="Arial"/>
          <w:sz w:val="22"/>
          <w:szCs w:val="22"/>
        </w:rPr>
        <w:t>To ensure accurate emission estimation it may be necessary to make a deduction of these non-fugitive source gasses from the gas volumes measured in mine ventilation systems.</w:t>
      </w:r>
    </w:p>
    <w:p w14:paraId="70700EAA" w14:textId="77777777" w:rsidR="00872C03" w:rsidRPr="00883399" w:rsidRDefault="00872C03" w:rsidP="00872C03">
      <w:pPr>
        <w:pStyle w:val="R2"/>
        <w:spacing w:line="312" w:lineRule="auto"/>
        <w:ind w:left="0" w:firstLine="0"/>
        <w:rPr>
          <w:rFonts w:ascii="Arial" w:hAnsi="Arial" w:cs="Arial"/>
          <w:sz w:val="22"/>
          <w:szCs w:val="22"/>
        </w:rPr>
      </w:pPr>
      <w:r w:rsidRPr="00883399">
        <w:rPr>
          <w:rFonts w:ascii="Arial" w:hAnsi="Arial" w:cs="Arial"/>
          <w:sz w:val="22"/>
          <w:szCs w:val="22"/>
        </w:rPr>
        <w:t>The Determination provides methods for estimating fuel combustion emissions from diesel under Part 2.4, however no specific guidance is given on avoiding any double counting of those emissions entrained in mine ventilation measurements. To ensure accuracy, fuel combustion emissions arising from the use of machinery in the underground mine should be deducted from mine ventilation volumes.</w:t>
      </w:r>
    </w:p>
    <w:p w14:paraId="15EF8E8A" w14:textId="77777777" w:rsidR="00872C03" w:rsidRPr="00883399" w:rsidRDefault="00872C03" w:rsidP="00872C03">
      <w:pPr>
        <w:pStyle w:val="R2"/>
        <w:spacing w:line="312" w:lineRule="auto"/>
        <w:ind w:left="0" w:firstLine="0"/>
        <w:rPr>
          <w:rFonts w:ascii="Arial" w:hAnsi="Arial" w:cs="Arial"/>
          <w:sz w:val="22"/>
          <w:szCs w:val="22"/>
        </w:rPr>
      </w:pPr>
      <w:r w:rsidRPr="00883399">
        <w:rPr>
          <w:rFonts w:ascii="Arial" w:hAnsi="Arial" w:cs="Arial"/>
          <w:sz w:val="22"/>
          <w:szCs w:val="22"/>
        </w:rPr>
        <w:t>Any deductions of fuel combustion emissions arising from the use of machinery in the underground mine must be done in accordance with the general principles in 1.13 of the Determination.</w:t>
      </w:r>
    </w:p>
    <w:p w14:paraId="223C0480" w14:textId="77777777" w:rsidR="00872C03" w:rsidRPr="00883399" w:rsidRDefault="00872C03" w:rsidP="00872C03">
      <w:pPr>
        <w:pStyle w:val="R2"/>
        <w:spacing w:line="312" w:lineRule="auto"/>
        <w:ind w:left="0" w:firstLine="0"/>
        <w:rPr>
          <w:rFonts w:ascii="Arial" w:hAnsi="Arial" w:cs="Arial"/>
          <w:sz w:val="22"/>
          <w:szCs w:val="22"/>
        </w:rPr>
      </w:pPr>
      <w:r w:rsidRPr="00883399">
        <w:rPr>
          <w:rFonts w:ascii="Arial" w:hAnsi="Arial" w:cs="Arial"/>
          <w:sz w:val="22"/>
          <w:szCs w:val="22"/>
        </w:rPr>
        <w:t>The Determination also provides no specific guidance on the deduction of ambient carbon dioxide from mine ventilation air. However, as in the case above for diesel combustion emissions, the estimation must be done in accordance with the general principles in 1.13 of the Determination.</w:t>
      </w:r>
    </w:p>
    <w:p w14:paraId="73855719" w14:textId="77777777" w:rsidR="00C335B2" w:rsidRPr="00883399" w:rsidRDefault="00C335B2" w:rsidP="00872C03">
      <w:pPr>
        <w:pStyle w:val="R2"/>
        <w:spacing w:line="312" w:lineRule="auto"/>
        <w:ind w:left="0" w:firstLine="0"/>
        <w:rPr>
          <w:rFonts w:ascii="Arial" w:hAnsi="Arial" w:cs="Arial"/>
          <w:sz w:val="22"/>
          <w:szCs w:val="22"/>
        </w:rPr>
      </w:pPr>
    </w:p>
    <w:p w14:paraId="5D6B478D" w14:textId="57E6E29A" w:rsidR="00872C03" w:rsidRPr="00883399" w:rsidRDefault="00872C03" w:rsidP="00872C03">
      <w:pPr>
        <w:pStyle w:val="ActHead5"/>
        <w:rPr>
          <w:sz w:val="28"/>
        </w:rPr>
      </w:pPr>
      <w:bookmarkStart w:id="426" w:name="_Toc423516859"/>
      <w:bookmarkStart w:id="427" w:name="_Toc495652778"/>
      <w:r w:rsidRPr="00883399">
        <w:rPr>
          <w:rStyle w:val="CharSectno"/>
          <w:sz w:val="28"/>
        </w:rPr>
        <w:t>3.7</w:t>
      </w:r>
      <w:r w:rsidRPr="00883399">
        <w:rPr>
          <w:sz w:val="28"/>
        </w:rPr>
        <w:t xml:space="preserve">  Estimation of emissions</w:t>
      </w:r>
      <w:bookmarkEnd w:id="426"/>
      <w:bookmarkEnd w:id="427"/>
    </w:p>
    <w:p w14:paraId="77A4D498" w14:textId="77777777" w:rsidR="00872C03" w:rsidRPr="00883399" w:rsidRDefault="00872C03" w:rsidP="00872C03">
      <w:pPr>
        <w:pStyle w:val="R2"/>
        <w:spacing w:line="312" w:lineRule="auto"/>
        <w:ind w:left="0" w:firstLine="0"/>
        <w:rPr>
          <w:rFonts w:ascii="Arial" w:hAnsi="Arial" w:cs="Arial"/>
          <w:sz w:val="22"/>
          <w:szCs w:val="22"/>
        </w:rPr>
      </w:pPr>
    </w:p>
    <w:p w14:paraId="097CCC66" w14:textId="77777777" w:rsidR="00872C03" w:rsidRPr="00883399" w:rsidRDefault="00872C03" w:rsidP="00872C03">
      <w:pPr>
        <w:pStyle w:val="R2"/>
        <w:spacing w:line="312" w:lineRule="auto"/>
        <w:ind w:left="0" w:firstLine="0"/>
        <w:rPr>
          <w:rFonts w:ascii="Arial" w:hAnsi="Arial" w:cs="Arial"/>
          <w:sz w:val="22"/>
          <w:szCs w:val="22"/>
        </w:rPr>
      </w:pPr>
      <w:r w:rsidRPr="00883399">
        <w:rPr>
          <w:rFonts w:ascii="Arial" w:hAnsi="Arial" w:cs="Arial"/>
          <w:sz w:val="22"/>
          <w:szCs w:val="22"/>
        </w:rPr>
        <w:t>This section describes how measurements of gas flow rates and concentrations are converted from volumetric flow rates to mass emission estimates.</w:t>
      </w:r>
    </w:p>
    <w:p w14:paraId="13BA1E3A" w14:textId="77777777" w:rsidR="00872C03" w:rsidRPr="00883399" w:rsidRDefault="00872C03" w:rsidP="00872C03">
      <w:pPr>
        <w:pStyle w:val="subsection"/>
        <w:rPr>
          <w:sz w:val="24"/>
        </w:rPr>
      </w:pPr>
      <w:r w:rsidRPr="00883399">
        <w:rPr>
          <w:sz w:val="24"/>
        </w:rPr>
        <w:tab/>
        <w:t>(1)</w:t>
      </w:r>
      <w:r w:rsidRPr="00883399">
        <w:rPr>
          <w:sz w:val="24"/>
        </w:rPr>
        <w:tab/>
        <w:t>To obtain an estimate of the mass emissions rate of gas (</w:t>
      </w:r>
      <w:r w:rsidRPr="00883399">
        <w:rPr>
          <w:b/>
          <w:i/>
          <w:sz w:val="24"/>
        </w:rPr>
        <w:t>j</w:t>
      </w:r>
      <w:r w:rsidRPr="00883399">
        <w:rPr>
          <w:sz w:val="24"/>
        </w:rPr>
        <w:t>), being methane and carbon dioxide, at the time of measurement at the underground mine, the formula in subsection 1.21(1) must be applied.</w:t>
      </w:r>
    </w:p>
    <w:p w14:paraId="6626613F" w14:textId="77777777" w:rsidR="00872C03" w:rsidRPr="00883399" w:rsidRDefault="00872C03" w:rsidP="00872C03">
      <w:pPr>
        <w:pStyle w:val="subsection"/>
        <w:rPr>
          <w:sz w:val="24"/>
        </w:rPr>
      </w:pPr>
      <w:r w:rsidRPr="00883399">
        <w:rPr>
          <w:sz w:val="24"/>
        </w:rPr>
        <w:lastRenderedPageBreak/>
        <w:tab/>
        <w:t>(2)</w:t>
      </w:r>
      <w:r w:rsidRPr="00883399">
        <w:rPr>
          <w:sz w:val="24"/>
        </w:rPr>
        <w:tab/>
        <w:t>The mass of emissions estimated under the formula must be converted into CO</w:t>
      </w:r>
      <w:r w:rsidRPr="00883399">
        <w:rPr>
          <w:sz w:val="24"/>
          <w:vertAlign w:val="subscript"/>
        </w:rPr>
        <w:t>2</w:t>
      </w:r>
      <w:r w:rsidRPr="00883399">
        <w:rPr>
          <w:sz w:val="24"/>
        </w:rPr>
        <w:noBreakHyphen/>
        <w:t>e tonnes.</w:t>
      </w:r>
    </w:p>
    <w:p w14:paraId="696DA758" w14:textId="77777777" w:rsidR="00872C03" w:rsidRPr="00883399" w:rsidRDefault="00872C03" w:rsidP="00872C03">
      <w:pPr>
        <w:pStyle w:val="subsection"/>
        <w:rPr>
          <w:sz w:val="24"/>
        </w:rPr>
      </w:pPr>
      <w:r w:rsidRPr="00883399">
        <w:rPr>
          <w:sz w:val="24"/>
        </w:rPr>
        <w:tab/>
        <w:t>(3)</w:t>
      </w:r>
      <w:r w:rsidRPr="00883399">
        <w:rPr>
          <w:sz w:val="24"/>
        </w:rPr>
        <w:tab/>
        <w:t>The average mass emission rate for gas type (</w:t>
      </w:r>
      <w:r w:rsidRPr="00883399">
        <w:rPr>
          <w:b/>
          <w:i/>
          <w:sz w:val="24"/>
        </w:rPr>
        <w:t>j</w:t>
      </w:r>
      <w:r w:rsidRPr="00883399">
        <w:rPr>
          <w:sz w:val="24"/>
        </w:rPr>
        <w:t>) measured in CO</w:t>
      </w:r>
      <w:r w:rsidRPr="00883399">
        <w:rPr>
          <w:sz w:val="24"/>
          <w:vertAlign w:val="subscript"/>
        </w:rPr>
        <w:t>2</w:t>
      </w:r>
      <w:r w:rsidRPr="00883399">
        <w:rPr>
          <w:sz w:val="24"/>
        </w:rPr>
        <w:t>–e tonnes per hour for a year must be calculated from the estimates obtained under subsections (1) and (2).</w:t>
      </w:r>
    </w:p>
    <w:p w14:paraId="2EB9C5AB" w14:textId="77777777" w:rsidR="00872C03" w:rsidRPr="00883399" w:rsidRDefault="00872C03" w:rsidP="00872C03">
      <w:pPr>
        <w:pStyle w:val="subsection"/>
        <w:rPr>
          <w:sz w:val="24"/>
        </w:rPr>
      </w:pPr>
      <w:r w:rsidRPr="00883399">
        <w:rPr>
          <w:sz w:val="24"/>
        </w:rPr>
        <w:tab/>
        <w:t>(4)</w:t>
      </w:r>
      <w:r w:rsidRPr="00883399">
        <w:rPr>
          <w:sz w:val="24"/>
        </w:rPr>
        <w:tab/>
        <w:t>The total mass of emissions of gas type (</w:t>
      </w:r>
      <w:r w:rsidRPr="00883399">
        <w:rPr>
          <w:b/>
          <w:i/>
          <w:sz w:val="24"/>
        </w:rPr>
        <w:t>j</w:t>
      </w:r>
      <w:r w:rsidRPr="00883399">
        <w:rPr>
          <w:sz w:val="24"/>
        </w:rPr>
        <w:t>) from the underground mine for the year is calculated by multiplying the average emissions rate obtained under subsection (3) by the number of hours during the year.</w:t>
      </w:r>
    </w:p>
    <w:p w14:paraId="27E0FDC6" w14:textId="51150843" w:rsidR="00872C03" w:rsidRPr="00883399" w:rsidRDefault="00872C03" w:rsidP="00872C03">
      <w:pPr>
        <w:pStyle w:val="ActHead5"/>
        <w:rPr>
          <w:sz w:val="28"/>
        </w:rPr>
      </w:pPr>
      <w:bookmarkStart w:id="428" w:name="_Toc423516860"/>
      <w:bookmarkStart w:id="429" w:name="_Toc495652779"/>
      <w:r w:rsidRPr="00883399">
        <w:rPr>
          <w:rStyle w:val="CharSectno"/>
          <w:sz w:val="28"/>
        </w:rPr>
        <w:t>3.8</w:t>
      </w:r>
      <w:r w:rsidRPr="00883399">
        <w:rPr>
          <w:sz w:val="28"/>
        </w:rPr>
        <w:t xml:space="preserve">  Overview—use of equipment</w:t>
      </w:r>
      <w:bookmarkEnd w:id="428"/>
      <w:bookmarkEnd w:id="429"/>
    </w:p>
    <w:p w14:paraId="7D7467CC" w14:textId="77777777" w:rsidR="00872C03" w:rsidRPr="00883399" w:rsidRDefault="00872C03" w:rsidP="00872C03">
      <w:pPr>
        <w:pStyle w:val="subsection"/>
        <w:rPr>
          <w:sz w:val="24"/>
        </w:rPr>
      </w:pPr>
      <w:r w:rsidRPr="00883399">
        <w:rPr>
          <w:sz w:val="24"/>
        </w:rPr>
        <w:tab/>
      </w:r>
      <w:r w:rsidRPr="00883399">
        <w:rPr>
          <w:sz w:val="24"/>
        </w:rPr>
        <w:tab/>
        <w:t>The following requirements apply to the use of PEM equipment:</w:t>
      </w:r>
    </w:p>
    <w:p w14:paraId="75BEF943" w14:textId="77777777" w:rsidR="00872C03" w:rsidRPr="00883399" w:rsidRDefault="00872C03" w:rsidP="00872C03">
      <w:pPr>
        <w:pStyle w:val="paragraph"/>
        <w:rPr>
          <w:sz w:val="24"/>
        </w:rPr>
      </w:pPr>
      <w:r w:rsidRPr="00883399">
        <w:rPr>
          <w:sz w:val="24"/>
        </w:rPr>
        <w:tab/>
        <w:t>(a)</w:t>
      </w:r>
      <w:r w:rsidRPr="00883399">
        <w:rPr>
          <w:sz w:val="24"/>
        </w:rPr>
        <w:tab/>
        <w:t xml:space="preserve">the requirements in section 3.9 about location of the sampling positions for the PEM equipment; </w:t>
      </w:r>
    </w:p>
    <w:p w14:paraId="3A6D7ECB" w14:textId="77777777" w:rsidR="00872C03" w:rsidRPr="00883399" w:rsidRDefault="00872C03" w:rsidP="00872C03">
      <w:pPr>
        <w:pStyle w:val="paragraph"/>
        <w:rPr>
          <w:sz w:val="24"/>
        </w:rPr>
      </w:pPr>
      <w:r w:rsidRPr="00883399">
        <w:rPr>
          <w:sz w:val="24"/>
        </w:rPr>
        <w:tab/>
        <w:t>(b)</w:t>
      </w:r>
      <w:r w:rsidRPr="00883399">
        <w:rPr>
          <w:sz w:val="24"/>
        </w:rPr>
        <w:tab/>
        <w:t xml:space="preserve">the requirements in section 3.10 about measurement of volumetric flow rates in a gas stream; </w:t>
      </w:r>
    </w:p>
    <w:p w14:paraId="15A60A8A" w14:textId="77777777" w:rsidR="00872C03" w:rsidRPr="00883399" w:rsidRDefault="00872C03" w:rsidP="00872C03">
      <w:pPr>
        <w:pStyle w:val="paragraph"/>
        <w:rPr>
          <w:sz w:val="24"/>
        </w:rPr>
      </w:pPr>
      <w:r w:rsidRPr="00883399">
        <w:rPr>
          <w:sz w:val="24"/>
        </w:rPr>
        <w:tab/>
        <w:t>(c)</w:t>
      </w:r>
      <w:r w:rsidRPr="00883399">
        <w:rPr>
          <w:sz w:val="24"/>
        </w:rPr>
        <w:tab/>
        <w:t>the requirements in section 3.11 about measurement of the concentrations of gas type (</w:t>
      </w:r>
      <w:r w:rsidRPr="00883399">
        <w:rPr>
          <w:b/>
          <w:i/>
          <w:sz w:val="24"/>
        </w:rPr>
        <w:t>j</w:t>
      </w:r>
      <w:r w:rsidRPr="00883399">
        <w:rPr>
          <w:sz w:val="24"/>
        </w:rPr>
        <w:t xml:space="preserve">) in the gas stream; </w:t>
      </w:r>
    </w:p>
    <w:p w14:paraId="1DEF0CFA" w14:textId="77777777" w:rsidR="00872C03" w:rsidRPr="00883399" w:rsidRDefault="00872C03" w:rsidP="00872C03">
      <w:pPr>
        <w:pStyle w:val="paragraph"/>
        <w:rPr>
          <w:sz w:val="24"/>
        </w:rPr>
      </w:pPr>
      <w:r w:rsidRPr="00883399">
        <w:rPr>
          <w:sz w:val="24"/>
        </w:rPr>
        <w:tab/>
        <w:t>(d)</w:t>
      </w:r>
      <w:r w:rsidRPr="00883399">
        <w:rPr>
          <w:sz w:val="24"/>
        </w:rPr>
        <w:tab/>
        <w:t>the requirements in section 3.12 about representative data.</w:t>
      </w:r>
    </w:p>
    <w:p w14:paraId="76D1992D" w14:textId="77777777" w:rsidR="00872C03" w:rsidRPr="00883399" w:rsidRDefault="00872C03" w:rsidP="00872C03">
      <w:pPr>
        <w:pStyle w:val="paragraph"/>
        <w:rPr>
          <w:sz w:val="24"/>
        </w:rPr>
      </w:pPr>
      <w:r w:rsidRPr="00883399">
        <w:rPr>
          <w:sz w:val="24"/>
        </w:rPr>
        <w:tab/>
        <w:t>(e)</w:t>
      </w:r>
      <w:r w:rsidRPr="00883399">
        <w:rPr>
          <w:sz w:val="24"/>
        </w:rPr>
        <w:tab/>
        <w:t>the requirements in section 3.13 about performance characteristics of equipment.</w:t>
      </w:r>
    </w:p>
    <w:p w14:paraId="61EE42B0" w14:textId="243D8579" w:rsidR="00872C03" w:rsidRPr="00883399" w:rsidRDefault="00872C03" w:rsidP="00872C03">
      <w:pPr>
        <w:pStyle w:val="ActHead5"/>
        <w:rPr>
          <w:sz w:val="28"/>
        </w:rPr>
      </w:pPr>
      <w:bookmarkStart w:id="430" w:name="_Toc423516861"/>
      <w:bookmarkStart w:id="431" w:name="_Toc495652780"/>
      <w:r w:rsidRPr="00883399">
        <w:rPr>
          <w:rStyle w:val="CharSectno"/>
          <w:sz w:val="28"/>
        </w:rPr>
        <w:t>3.9</w:t>
      </w:r>
      <w:r w:rsidRPr="00883399">
        <w:rPr>
          <w:sz w:val="28"/>
        </w:rPr>
        <w:t xml:space="preserve">  Selection of sampling positions for PEM</w:t>
      </w:r>
      <w:bookmarkEnd w:id="430"/>
      <w:bookmarkEnd w:id="431"/>
    </w:p>
    <w:p w14:paraId="0C815725" w14:textId="77777777" w:rsidR="00872C03" w:rsidRPr="00883399" w:rsidRDefault="00872C03" w:rsidP="00872C03">
      <w:pPr>
        <w:pStyle w:val="subsection"/>
        <w:rPr>
          <w:sz w:val="24"/>
        </w:rPr>
      </w:pPr>
      <w:r w:rsidRPr="00883399">
        <w:rPr>
          <w:sz w:val="24"/>
        </w:rPr>
        <w:tab/>
      </w:r>
      <w:r w:rsidRPr="00883399">
        <w:rPr>
          <w:sz w:val="24"/>
        </w:rPr>
        <w:tab/>
        <w:t>For paragraph 3.8(a), an appropriate standard or applicable State or Territory legislation must be complied with for the location of sampling positions for PEM equipment.</w:t>
      </w:r>
    </w:p>
    <w:p w14:paraId="58F8EDEC" w14:textId="77777777" w:rsidR="00872C03" w:rsidRPr="00883399" w:rsidRDefault="00872C03" w:rsidP="00872C03">
      <w:pPr>
        <w:pStyle w:val="notetext"/>
        <w:rPr>
          <w:sz w:val="20"/>
        </w:rPr>
      </w:pPr>
      <w:r w:rsidRPr="00883399">
        <w:rPr>
          <w:sz w:val="20"/>
        </w:rPr>
        <w:t>Note:</w:t>
      </w:r>
      <w:r w:rsidRPr="00883399">
        <w:rPr>
          <w:sz w:val="20"/>
        </w:rPr>
        <w:tab/>
        <w:t>Appropriate standards include:</w:t>
      </w:r>
    </w:p>
    <w:p w14:paraId="60CC5B83" w14:textId="77777777" w:rsidR="00872C03" w:rsidRPr="00883399" w:rsidRDefault="00872C03" w:rsidP="00872C03">
      <w:pPr>
        <w:pStyle w:val="notepara1"/>
        <w:rPr>
          <w:sz w:val="20"/>
        </w:rPr>
      </w:pPr>
      <w:r w:rsidRPr="00883399">
        <w:rPr>
          <w:sz w:val="20"/>
        </w:rPr>
        <w:sym w:font="Symbol" w:char="F0B7"/>
      </w:r>
      <w:r w:rsidRPr="00883399">
        <w:rPr>
          <w:sz w:val="20"/>
        </w:rPr>
        <w:tab/>
        <w:t>AS 4323.1—1995/Amdt 1</w:t>
      </w:r>
      <w:r w:rsidRPr="00883399">
        <w:rPr>
          <w:sz w:val="20"/>
        </w:rPr>
        <w:noBreakHyphen/>
        <w:t xml:space="preserve">1995, </w:t>
      </w:r>
      <w:r w:rsidRPr="00883399">
        <w:rPr>
          <w:i/>
          <w:sz w:val="20"/>
        </w:rPr>
        <w:t>Stationary source emissions—Selection of sampling positions</w:t>
      </w:r>
    </w:p>
    <w:p w14:paraId="1ADF9632" w14:textId="77777777" w:rsidR="00872C03" w:rsidRPr="00883399" w:rsidRDefault="00872C03" w:rsidP="00872C03">
      <w:pPr>
        <w:pStyle w:val="notepara1"/>
        <w:rPr>
          <w:sz w:val="20"/>
        </w:rPr>
      </w:pPr>
      <w:r w:rsidRPr="00883399">
        <w:rPr>
          <w:sz w:val="20"/>
        </w:rPr>
        <w:sym w:font="Symbol" w:char="F0B7"/>
      </w:r>
      <w:r w:rsidRPr="00883399">
        <w:rPr>
          <w:sz w:val="20"/>
        </w:rPr>
        <w:tab/>
        <w:t>USEPA Method 1—</w:t>
      </w:r>
      <w:r w:rsidRPr="00883399">
        <w:rPr>
          <w:i/>
          <w:sz w:val="20"/>
        </w:rPr>
        <w:t>Sample and velocity traverses for stationary sources (2000)</w:t>
      </w:r>
    </w:p>
    <w:p w14:paraId="0E91BB55" w14:textId="248B1C2D" w:rsidR="00872C03" w:rsidRPr="00883399" w:rsidRDefault="00872C03" w:rsidP="00872C03">
      <w:pPr>
        <w:pStyle w:val="ActHead5"/>
        <w:rPr>
          <w:sz w:val="28"/>
        </w:rPr>
      </w:pPr>
      <w:bookmarkStart w:id="432" w:name="_Toc423516862"/>
      <w:bookmarkStart w:id="433" w:name="_Toc495652781"/>
      <w:r w:rsidRPr="00883399">
        <w:rPr>
          <w:rStyle w:val="CharSectno"/>
          <w:sz w:val="28"/>
        </w:rPr>
        <w:t>3.10</w:t>
      </w:r>
      <w:r w:rsidRPr="00883399">
        <w:rPr>
          <w:sz w:val="28"/>
        </w:rPr>
        <w:t xml:space="preserve">  Measurement of volumetric flow rates by PEM</w:t>
      </w:r>
      <w:bookmarkEnd w:id="432"/>
      <w:bookmarkEnd w:id="433"/>
    </w:p>
    <w:p w14:paraId="07CC6414" w14:textId="77777777" w:rsidR="00872C03" w:rsidRPr="00883399" w:rsidRDefault="00872C03" w:rsidP="00872C03">
      <w:pPr>
        <w:pStyle w:val="subsection"/>
        <w:rPr>
          <w:sz w:val="24"/>
        </w:rPr>
      </w:pPr>
      <w:r w:rsidRPr="00883399">
        <w:rPr>
          <w:sz w:val="24"/>
        </w:rPr>
        <w:tab/>
      </w:r>
      <w:r w:rsidRPr="00883399">
        <w:rPr>
          <w:sz w:val="24"/>
        </w:rPr>
        <w:tab/>
        <w:t xml:space="preserve">For paragraph 3.8(b), the measurement of the volumetric flow rates by PEM of the gas stream must be undertaken in accordance with an appropriate standard or applicable State or Territory legislation. </w:t>
      </w:r>
    </w:p>
    <w:p w14:paraId="47280F95" w14:textId="77777777" w:rsidR="00872C03" w:rsidRPr="00883399" w:rsidRDefault="00872C03" w:rsidP="00872C03">
      <w:pPr>
        <w:pStyle w:val="notetext"/>
        <w:rPr>
          <w:sz w:val="20"/>
        </w:rPr>
      </w:pPr>
      <w:r w:rsidRPr="00883399">
        <w:rPr>
          <w:sz w:val="20"/>
        </w:rPr>
        <w:t>Note:</w:t>
      </w:r>
      <w:r w:rsidRPr="00883399">
        <w:rPr>
          <w:sz w:val="20"/>
        </w:rPr>
        <w:tab/>
        <w:t>Appropriate standards include:</w:t>
      </w:r>
    </w:p>
    <w:p w14:paraId="66EAA96F" w14:textId="77777777" w:rsidR="00872C03" w:rsidRPr="00883399" w:rsidRDefault="00872C03" w:rsidP="00872C03">
      <w:pPr>
        <w:pStyle w:val="notepara1"/>
        <w:rPr>
          <w:sz w:val="20"/>
        </w:rPr>
      </w:pPr>
      <w:r w:rsidRPr="00883399">
        <w:rPr>
          <w:sz w:val="20"/>
        </w:rPr>
        <w:sym w:font="Symbol" w:char="F0B7"/>
      </w:r>
      <w:r w:rsidRPr="00883399">
        <w:rPr>
          <w:sz w:val="20"/>
        </w:rPr>
        <w:tab/>
        <w:t xml:space="preserve">ISO 14164:1999 </w:t>
      </w:r>
      <w:r w:rsidRPr="00883399">
        <w:rPr>
          <w:i/>
          <w:sz w:val="20"/>
        </w:rPr>
        <w:t>Stationary source emissions. Determination of the volume flowrate of gas streams in ducts – automated method</w:t>
      </w:r>
    </w:p>
    <w:p w14:paraId="5372ED27" w14:textId="77777777" w:rsidR="00872C03" w:rsidRPr="00883399" w:rsidRDefault="00872C03" w:rsidP="00872C03">
      <w:pPr>
        <w:pStyle w:val="notepara1"/>
        <w:rPr>
          <w:sz w:val="20"/>
        </w:rPr>
      </w:pPr>
      <w:r w:rsidRPr="00883399">
        <w:rPr>
          <w:sz w:val="20"/>
        </w:rPr>
        <w:sym w:font="Symbol" w:char="F0B7"/>
      </w:r>
      <w:r w:rsidRPr="00883399">
        <w:rPr>
          <w:sz w:val="20"/>
        </w:rPr>
        <w:tab/>
        <w:t xml:space="preserve">ISO 10780:1994 </w:t>
      </w:r>
      <w:r w:rsidRPr="00883399">
        <w:rPr>
          <w:i/>
          <w:sz w:val="20"/>
        </w:rPr>
        <w:t>Stationary source emissions. Measurement of velocity and volume flowrate of gas streams in ducts</w:t>
      </w:r>
    </w:p>
    <w:p w14:paraId="7B00C53C" w14:textId="77777777" w:rsidR="00872C03" w:rsidRPr="00883399" w:rsidRDefault="00872C03" w:rsidP="00872C03">
      <w:pPr>
        <w:pStyle w:val="notepara1"/>
        <w:rPr>
          <w:sz w:val="20"/>
        </w:rPr>
      </w:pPr>
      <w:r w:rsidRPr="00883399">
        <w:rPr>
          <w:sz w:val="20"/>
        </w:rPr>
        <w:lastRenderedPageBreak/>
        <w:sym w:font="Symbol" w:char="F0B7"/>
      </w:r>
      <w:r w:rsidRPr="00883399">
        <w:rPr>
          <w:sz w:val="20"/>
        </w:rPr>
        <w:tab/>
        <w:t>USEPA Method 2—</w:t>
      </w:r>
      <w:r w:rsidRPr="00883399">
        <w:rPr>
          <w:i/>
          <w:sz w:val="20"/>
        </w:rPr>
        <w:t>Determination of stack gas velocity and volumetric flow rate (Type S Pitot tube) (2000)</w:t>
      </w:r>
    </w:p>
    <w:p w14:paraId="679B875B" w14:textId="77777777" w:rsidR="00872C03" w:rsidRPr="00883399" w:rsidRDefault="00872C03" w:rsidP="00872C03">
      <w:pPr>
        <w:pStyle w:val="notepara1"/>
        <w:rPr>
          <w:sz w:val="20"/>
        </w:rPr>
      </w:pPr>
      <w:r w:rsidRPr="00883399">
        <w:rPr>
          <w:sz w:val="20"/>
        </w:rPr>
        <w:sym w:font="Symbol" w:char="F0B7"/>
      </w:r>
      <w:r w:rsidRPr="00883399">
        <w:rPr>
          <w:sz w:val="20"/>
        </w:rPr>
        <w:tab/>
        <w:t>USEPA Method 2A—</w:t>
      </w:r>
      <w:r w:rsidRPr="00883399">
        <w:rPr>
          <w:i/>
          <w:sz w:val="20"/>
        </w:rPr>
        <w:t>Direct measurement of gas volume through pipes and small ducts (2000)</w:t>
      </w:r>
      <w:r w:rsidRPr="00883399">
        <w:rPr>
          <w:sz w:val="20"/>
        </w:rPr>
        <w:t>.</w:t>
      </w:r>
    </w:p>
    <w:p w14:paraId="54A491F0" w14:textId="4F12262B" w:rsidR="00872C03" w:rsidRPr="00883399" w:rsidRDefault="00872C03" w:rsidP="00872C03">
      <w:pPr>
        <w:pStyle w:val="ActHead5"/>
        <w:rPr>
          <w:sz w:val="28"/>
        </w:rPr>
      </w:pPr>
      <w:bookmarkStart w:id="434" w:name="_Toc423516863"/>
      <w:bookmarkStart w:id="435" w:name="_Toc495652782"/>
      <w:r w:rsidRPr="00883399">
        <w:rPr>
          <w:rStyle w:val="CharSectno"/>
          <w:sz w:val="28"/>
        </w:rPr>
        <w:t>3.11</w:t>
      </w:r>
      <w:r w:rsidRPr="00883399">
        <w:rPr>
          <w:sz w:val="28"/>
        </w:rPr>
        <w:t xml:space="preserve">  Measurement of concentrations by PEM</w:t>
      </w:r>
      <w:bookmarkEnd w:id="434"/>
      <w:bookmarkEnd w:id="435"/>
    </w:p>
    <w:p w14:paraId="487F82E6" w14:textId="77777777" w:rsidR="00872C03" w:rsidRPr="00883399" w:rsidRDefault="00872C03" w:rsidP="00872C03">
      <w:pPr>
        <w:pStyle w:val="subsection"/>
        <w:rPr>
          <w:sz w:val="24"/>
        </w:rPr>
      </w:pPr>
      <w:r w:rsidRPr="00883399">
        <w:rPr>
          <w:sz w:val="24"/>
        </w:rPr>
        <w:tab/>
      </w:r>
      <w:r w:rsidRPr="00883399">
        <w:rPr>
          <w:sz w:val="24"/>
        </w:rPr>
        <w:tab/>
        <w:t>For paragraph 3.8(c), the measurement of the concentrations of gas type (</w:t>
      </w:r>
      <w:r w:rsidRPr="00883399">
        <w:rPr>
          <w:b/>
          <w:i/>
          <w:sz w:val="24"/>
        </w:rPr>
        <w:t>j</w:t>
      </w:r>
      <w:r w:rsidRPr="00883399">
        <w:rPr>
          <w:sz w:val="24"/>
        </w:rPr>
        <w:t xml:space="preserve">) in the gas stream by PEM must be undertaken in accordance with an appropriate standard or applicable State or Territory legislation. </w:t>
      </w:r>
    </w:p>
    <w:p w14:paraId="5ECD7BCF" w14:textId="77777777" w:rsidR="00872C03" w:rsidRPr="00883399" w:rsidRDefault="00872C03" w:rsidP="00872C03">
      <w:pPr>
        <w:pStyle w:val="notetext"/>
        <w:rPr>
          <w:sz w:val="20"/>
        </w:rPr>
      </w:pPr>
      <w:r w:rsidRPr="00883399">
        <w:rPr>
          <w:sz w:val="20"/>
        </w:rPr>
        <w:t>Note:</w:t>
      </w:r>
      <w:r w:rsidRPr="00883399">
        <w:rPr>
          <w:sz w:val="20"/>
        </w:rPr>
        <w:tab/>
        <w:t>Appropriate standards include USEPA—Method 3C—</w:t>
      </w:r>
      <w:r w:rsidRPr="00883399">
        <w:rPr>
          <w:i/>
          <w:sz w:val="20"/>
        </w:rPr>
        <w:t>Determination of carbon dioxide, methane, nitrogen and oxygen from stationary sources (1996)</w:t>
      </w:r>
      <w:r w:rsidRPr="00883399">
        <w:rPr>
          <w:sz w:val="20"/>
        </w:rPr>
        <w:t>.</w:t>
      </w:r>
    </w:p>
    <w:p w14:paraId="0C138E44" w14:textId="33CBD4F7" w:rsidR="00872C03" w:rsidRPr="00883399" w:rsidRDefault="00872C03" w:rsidP="00872C03">
      <w:pPr>
        <w:pStyle w:val="ActHead5"/>
        <w:rPr>
          <w:sz w:val="28"/>
        </w:rPr>
      </w:pPr>
      <w:bookmarkStart w:id="436" w:name="_Toc423516864"/>
      <w:bookmarkStart w:id="437" w:name="_Toc495652783"/>
      <w:r w:rsidRPr="00883399">
        <w:rPr>
          <w:rStyle w:val="CharSectno"/>
          <w:sz w:val="28"/>
        </w:rPr>
        <w:t>3.12</w:t>
      </w:r>
      <w:r w:rsidRPr="00883399">
        <w:rPr>
          <w:sz w:val="28"/>
        </w:rPr>
        <w:t xml:space="preserve">  Representative data for PEM</w:t>
      </w:r>
      <w:bookmarkEnd w:id="436"/>
      <w:bookmarkEnd w:id="437"/>
    </w:p>
    <w:p w14:paraId="654586EA" w14:textId="77777777" w:rsidR="00872C03" w:rsidRPr="00883399" w:rsidRDefault="00872C03" w:rsidP="00872C03">
      <w:pPr>
        <w:pStyle w:val="subsection"/>
        <w:rPr>
          <w:sz w:val="24"/>
        </w:rPr>
      </w:pPr>
      <w:r w:rsidRPr="00883399">
        <w:rPr>
          <w:sz w:val="24"/>
        </w:rPr>
        <w:tab/>
        <w:t>(1)</w:t>
      </w:r>
      <w:r w:rsidRPr="00883399">
        <w:rPr>
          <w:sz w:val="24"/>
        </w:rPr>
        <w:tab/>
        <w:t>For paragraph 3.8(d), sampling by PEM must be undertaken during the year for a sufficient duration to produce representative data that may be reliably extrapolated to provide estimates of emissions across the full range of operating conditions for that year.</w:t>
      </w:r>
    </w:p>
    <w:p w14:paraId="3755B266" w14:textId="77777777" w:rsidR="00872C03" w:rsidRPr="00883399" w:rsidRDefault="00872C03" w:rsidP="00872C03">
      <w:pPr>
        <w:pStyle w:val="subsection"/>
        <w:rPr>
          <w:sz w:val="24"/>
        </w:rPr>
      </w:pPr>
      <w:r w:rsidRPr="00883399">
        <w:rPr>
          <w:sz w:val="24"/>
        </w:rPr>
        <w:tab/>
        <w:t>(2)</w:t>
      </w:r>
      <w:r w:rsidRPr="00883399">
        <w:rPr>
          <w:sz w:val="24"/>
        </w:rPr>
        <w:tab/>
        <w:t>Emission estimates of PEM equipment must also be consistent with the principles in section 1.13.</w:t>
      </w:r>
    </w:p>
    <w:p w14:paraId="6DA9C267" w14:textId="634E1FE5" w:rsidR="00872C03" w:rsidRPr="00883399" w:rsidRDefault="00872C03" w:rsidP="00872C03">
      <w:pPr>
        <w:pStyle w:val="ActHead5"/>
        <w:rPr>
          <w:sz w:val="28"/>
        </w:rPr>
      </w:pPr>
      <w:bookmarkStart w:id="438" w:name="_Toc423516865"/>
      <w:bookmarkStart w:id="439" w:name="_Toc495652784"/>
      <w:r w:rsidRPr="00883399">
        <w:rPr>
          <w:rStyle w:val="CharSectno"/>
          <w:sz w:val="28"/>
        </w:rPr>
        <w:t>3.13</w:t>
      </w:r>
      <w:r w:rsidRPr="00883399">
        <w:rPr>
          <w:sz w:val="28"/>
        </w:rPr>
        <w:t xml:space="preserve">  Performance characteristics of equipment</w:t>
      </w:r>
      <w:bookmarkEnd w:id="438"/>
      <w:bookmarkEnd w:id="439"/>
    </w:p>
    <w:p w14:paraId="2493D0F9" w14:textId="77777777" w:rsidR="00872C03" w:rsidRPr="00883399" w:rsidRDefault="00872C03" w:rsidP="00872C03">
      <w:pPr>
        <w:pStyle w:val="subsection"/>
        <w:rPr>
          <w:sz w:val="24"/>
        </w:rPr>
      </w:pPr>
      <w:r w:rsidRPr="00883399">
        <w:rPr>
          <w:sz w:val="24"/>
        </w:rPr>
        <w:tab/>
      </w:r>
      <w:r w:rsidRPr="00883399">
        <w:rPr>
          <w:sz w:val="24"/>
        </w:rPr>
        <w:tab/>
        <w:t>For paragraph 3.8(e), the performance characteristics of PEM equipment must be consistent with an appropriate standard or applicable State or Territory legislation.</w:t>
      </w:r>
    </w:p>
    <w:p w14:paraId="55C49521" w14:textId="77777777" w:rsidR="00872C03" w:rsidRPr="00883399" w:rsidRDefault="00872C03" w:rsidP="00872C03">
      <w:pPr>
        <w:pStyle w:val="notetext"/>
        <w:rPr>
          <w:sz w:val="20"/>
        </w:rPr>
      </w:pPr>
      <w:r w:rsidRPr="00883399">
        <w:rPr>
          <w:sz w:val="20"/>
        </w:rPr>
        <w:t>Note:</w:t>
      </w:r>
      <w:r w:rsidRPr="00883399">
        <w:rPr>
          <w:sz w:val="20"/>
        </w:rPr>
        <w:tab/>
        <w:t>The performance characteristics of PEM equipment includes calibration.</w:t>
      </w:r>
    </w:p>
    <w:p w14:paraId="719A076D" w14:textId="4A5A7870" w:rsidR="00872C03" w:rsidRPr="00883399" w:rsidRDefault="00872C03" w:rsidP="00872C03">
      <w:pPr>
        <w:pStyle w:val="ActHead4"/>
        <w:rPr>
          <w:sz w:val="28"/>
        </w:rPr>
      </w:pPr>
      <w:bookmarkStart w:id="440" w:name="_Toc423516866"/>
      <w:bookmarkStart w:id="441" w:name="_Toc495652785"/>
      <w:r w:rsidRPr="00883399">
        <w:rPr>
          <w:rStyle w:val="CharSubdNo"/>
          <w:sz w:val="28"/>
        </w:rPr>
        <w:t>Subdivision 3.2.2.3</w:t>
      </w:r>
      <w:r w:rsidRPr="00883399">
        <w:rPr>
          <w:sz w:val="28"/>
        </w:rPr>
        <w:t>—</w:t>
      </w:r>
      <w:r w:rsidRPr="00883399">
        <w:rPr>
          <w:rStyle w:val="CharSubdText"/>
          <w:sz w:val="28"/>
        </w:rPr>
        <w:t>Emissions released from coal mine waste gas flared</w:t>
      </w:r>
      <w:bookmarkEnd w:id="440"/>
      <w:bookmarkEnd w:id="441"/>
    </w:p>
    <w:p w14:paraId="3D1BC4C7" w14:textId="65FBFC7B" w:rsidR="00872C03" w:rsidRPr="00883399" w:rsidRDefault="00872C03" w:rsidP="00872C03">
      <w:pPr>
        <w:pStyle w:val="ActHead5"/>
        <w:rPr>
          <w:sz w:val="28"/>
        </w:rPr>
      </w:pPr>
      <w:bookmarkStart w:id="442" w:name="_Toc423516867"/>
      <w:bookmarkStart w:id="443" w:name="_Toc495652786"/>
      <w:r w:rsidRPr="00883399">
        <w:rPr>
          <w:rStyle w:val="CharSectno"/>
          <w:sz w:val="28"/>
        </w:rPr>
        <w:t>3.14</w:t>
      </w:r>
      <w:r w:rsidRPr="00883399">
        <w:rPr>
          <w:sz w:val="28"/>
        </w:rPr>
        <w:t xml:space="preserve">  Method 1—coal mine waste gas flared</w:t>
      </w:r>
      <w:bookmarkEnd w:id="442"/>
      <w:bookmarkEnd w:id="443"/>
    </w:p>
    <w:p w14:paraId="6D58DA96" w14:textId="77777777" w:rsidR="00872C03" w:rsidRPr="00883399" w:rsidRDefault="00872C03" w:rsidP="00872C03">
      <w:pPr>
        <w:pStyle w:val="subsection"/>
      </w:pPr>
    </w:p>
    <w:p w14:paraId="04C69399" w14:textId="77777777" w:rsidR="00872C03" w:rsidRPr="00883399" w:rsidRDefault="00872C03" w:rsidP="00872C03">
      <w:pPr>
        <w:pStyle w:val="R2"/>
        <w:spacing w:line="312" w:lineRule="auto"/>
        <w:ind w:left="0" w:firstLine="0"/>
      </w:pPr>
      <w:r w:rsidRPr="00883399">
        <w:rPr>
          <w:rStyle w:val="CharSectno"/>
          <w:rFonts w:ascii="Arial" w:hAnsi="Arial" w:cs="Arial"/>
          <w:sz w:val="22"/>
          <w:szCs w:val="22"/>
        </w:rPr>
        <w:t>Method 1 describes how to estimate greenhouse gas emissions from the flaring of coal mine waste gas - by multiplying the quantity of coal mine waste gas flared by the energy content and emission factor for each gas type. The quantity of coal mine waste gas flared is estimated in accordance with Division 2.3.6. The energy content and emission factors are obtained from Division 2.3.2 in Chapter 2.</w:t>
      </w:r>
    </w:p>
    <w:p w14:paraId="511905A9" w14:textId="77777777" w:rsidR="00872C03" w:rsidRPr="00883399" w:rsidRDefault="00872C03" w:rsidP="00872C03">
      <w:pPr>
        <w:pStyle w:val="subsection"/>
        <w:rPr>
          <w:sz w:val="24"/>
        </w:rPr>
      </w:pPr>
      <w:r w:rsidRPr="00883399">
        <w:rPr>
          <w:sz w:val="24"/>
        </w:rPr>
        <w:tab/>
      </w:r>
      <w:r w:rsidRPr="00883399">
        <w:rPr>
          <w:sz w:val="24"/>
        </w:rPr>
        <w:tab/>
        <w:t>For subparagraph 3.4(4)(a)(i) and paragraphs 3.4(4)(b) and (c), method 1 is:</w:t>
      </w:r>
    </w:p>
    <w:p w14:paraId="47FAFD42" w14:textId="6F93D3D4" w:rsidR="00872C03" w:rsidRPr="00883399" w:rsidRDefault="00872C03" w:rsidP="00872C03">
      <w:pPr>
        <w:pStyle w:val="subsection"/>
        <w:spacing w:before="120" w:after="120"/>
        <w:rPr>
          <w:sz w:val="24"/>
        </w:rPr>
      </w:pPr>
      <w:r w:rsidRPr="00883399">
        <w:rPr>
          <w:sz w:val="24"/>
        </w:rPr>
        <w:lastRenderedPageBreak/>
        <w:tab/>
      </w:r>
      <w:r w:rsidRPr="00883399">
        <w:rPr>
          <w:sz w:val="24"/>
        </w:rPr>
        <w:tab/>
      </w:r>
      <w:r w:rsidRPr="00883399">
        <w:rPr>
          <w:noProof/>
          <w:sz w:val="24"/>
        </w:rPr>
        <w:drawing>
          <wp:inline distT="0" distB="0" distL="0" distR="0" wp14:anchorId="15E003F2" wp14:editId="4E040D57">
            <wp:extent cx="2305050" cy="4095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05050" cy="409575"/>
                    </a:xfrm>
                    <a:prstGeom prst="rect">
                      <a:avLst/>
                    </a:prstGeom>
                    <a:noFill/>
                    <a:ln>
                      <a:noFill/>
                    </a:ln>
                  </pic:spPr>
                </pic:pic>
              </a:graphicData>
            </a:graphic>
          </wp:inline>
        </w:drawing>
      </w:r>
    </w:p>
    <w:p w14:paraId="02D2B727" w14:textId="77777777" w:rsidR="00872C03" w:rsidRPr="00883399" w:rsidRDefault="00872C03" w:rsidP="00872C03">
      <w:pPr>
        <w:pStyle w:val="subsection2"/>
        <w:rPr>
          <w:sz w:val="24"/>
        </w:rPr>
      </w:pPr>
      <w:r w:rsidRPr="00883399">
        <w:rPr>
          <w:sz w:val="24"/>
        </w:rPr>
        <w:t>where:</w:t>
      </w:r>
    </w:p>
    <w:p w14:paraId="68C91567" w14:textId="77777777" w:rsidR="00872C03" w:rsidRPr="00883399" w:rsidRDefault="00872C03" w:rsidP="00872C03">
      <w:pPr>
        <w:pStyle w:val="Definition0"/>
        <w:rPr>
          <w:sz w:val="24"/>
        </w:rPr>
      </w:pPr>
      <w:r w:rsidRPr="00883399">
        <w:rPr>
          <w:b/>
          <w:i/>
          <w:sz w:val="24"/>
        </w:rPr>
        <w:t>E</w:t>
      </w:r>
      <w:r w:rsidRPr="00883399">
        <w:rPr>
          <w:b/>
          <w:i/>
          <w:sz w:val="24"/>
          <w:vertAlign w:val="subscript"/>
        </w:rPr>
        <w:t xml:space="preserve">(fl)ij </w:t>
      </w:r>
      <w:r w:rsidRPr="00883399">
        <w:rPr>
          <w:sz w:val="24"/>
        </w:rPr>
        <w:t>is the emissions of gas type (</w:t>
      </w:r>
      <w:r w:rsidRPr="00883399">
        <w:rPr>
          <w:b/>
          <w:i/>
          <w:sz w:val="24"/>
        </w:rPr>
        <w:t>j</w:t>
      </w:r>
      <w:r w:rsidRPr="00883399">
        <w:rPr>
          <w:sz w:val="24"/>
        </w:rPr>
        <w:t>) released from coal mine waste gas (</w:t>
      </w:r>
      <w:r w:rsidRPr="00883399">
        <w:rPr>
          <w:b/>
          <w:i/>
          <w:sz w:val="24"/>
        </w:rPr>
        <w:t>i</w:t>
      </w:r>
      <w:r w:rsidRPr="00883399">
        <w:rPr>
          <w:sz w:val="24"/>
        </w:rPr>
        <w:t>) flared from the mine during the year, measured in CO</w:t>
      </w:r>
      <w:r w:rsidRPr="00883399">
        <w:rPr>
          <w:sz w:val="24"/>
          <w:vertAlign w:val="subscript"/>
        </w:rPr>
        <w:t>2</w:t>
      </w:r>
      <w:r w:rsidRPr="00883399">
        <w:rPr>
          <w:sz w:val="24"/>
        </w:rPr>
        <w:noBreakHyphen/>
        <w:t>e tonnes.</w:t>
      </w:r>
    </w:p>
    <w:p w14:paraId="05470024" w14:textId="77777777" w:rsidR="00872C03" w:rsidRPr="00883399" w:rsidRDefault="00872C03" w:rsidP="00872C03">
      <w:pPr>
        <w:pStyle w:val="Definition0"/>
        <w:rPr>
          <w:sz w:val="24"/>
        </w:rPr>
      </w:pPr>
      <w:r w:rsidRPr="00883399">
        <w:rPr>
          <w:b/>
          <w:i/>
          <w:sz w:val="24"/>
        </w:rPr>
        <w:t>Q</w:t>
      </w:r>
      <w:r w:rsidRPr="00883399">
        <w:rPr>
          <w:b/>
          <w:i/>
          <w:sz w:val="24"/>
          <w:vertAlign w:val="subscript"/>
        </w:rPr>
        <w:t xml:space="preserve">i,flared </w:t>
      </w:r>
      <w:r w:rsidRPr="00883399">
        <w:rPr>
          <w:sz w:val="24"/>
        </w:rPr>
        <w:t>is the quantity of coal mine waste gas (</w:t>
      </w:r>
      <w:r w:rsidRPr="00883399">
        <w:rPr>
          <w:b/>
          <w:i/>
          <w:sz w:val="24"/>
        </w:rPr>
        <w:t>i</w:t>
      </w:r>
      <w:r w:rsidRPr="00883399">
        <w:rPr>
          <w:sz w:val="24"/>
        </w:rPr>
        <w:t>) flared from the mine during the year, measured in cubic metres and estimated under Division 2.3.6.</w:t>
      </w:r>
    </w:p>
    <w:p w14:paraId="0FDD28E4" w14:textId="77777777" w:rsidR="00872C03" w:rsidRPr="00883399" w:rsidRDefault="00872C03" w:rsidP="00872C03">
      <w:pPr>
        <w:pStyle w:val="Definition0"/>
        <w:rPr>
          <w:sz w:val="24"/>
          <w:vertAlign w:val="subscript"/>
        </w:rPr>
      </w:pPr>
      <w:r w:rsidRPr="00883399">
        <w:rPr>
          <w:b/>
          <w:i/>
          <w:sz w:val="24"/>
        </w:rPr>
        <w:t>EC</w:t>
      </w:r>
      <w:r w:rsidRPr="00883399">
        <w:rPr>
          <w:b/>
          <w:i/>
          <w:sz w:val="24"/>
          <w:vertAlign w:val="subscript"/>
        </w:rPr>
        <w:t xml:space="preserve">i </w:t>
      </w:r>
      <w:r w:rsidRPr="00883399">
        <w:rPr>
          <w:sz w:val="24"/>
        </w:rPr>
        <w:t>is the energy content factor of coal mine waste gas (</w:t>
      </w:r>
      <w:r w:rsidRPr="00883399">
        <w:rPr>
          <w:b/>
          <w:i/>
          <w:sz w:val="24"/>
        </w:rPr>
        <w:t>i</w:t>
      </w:r>
      <w:r w:rsidRPr="00883399">
        <w:rPr>
          <w:sz w:val="24"/>
        </w:rPr>
        <w:t>) mentioned in item 19 of Schedule 1, measured in gigajoules per cubic metre.</w:t>
      </w:r>
    </w:p>
    <w:p w14:paraId="32767511" w14:textId="77777777" w:rsidR="00872C03" w:rsidRPr="00883399" w:rsidRDefault="00872C03" w:rsidP="00872C03">
      <w:pPr>
        <w:pStyle w:val="Definition0"/>
        <w:rPr>
          <w:sz w:val="24"/>
        </w:rPr>
      </w:pPr>
      <w:r w:rsidRPr="00883399">
        <w:rPr>
          <w:b/>
          <w:i/>
          <w:sz w:val="24"/>
        </w:rPr>
        <w:t>EF</w:t>
      </w:r>
      <w:r w:rsidRPr="00883399">
        <w:rPr>
          <w:b/>
          <w:i/>
          <w:sz w:val="24"/>
          <w:vertAlign w:val="subscript"/>
        </w:rPr>
        <w:t xml:space="preserve">ij </w:t>
      </w:r>
      <w:r w:rsidRPr="00883399">
        <w:rPr>
          <w:sz w:val="24"/>
        </w:rPr>
        <w:t>is the emission factor for gas type (</w:t>
      </w:r>
      <w:r w:rsidRPr="00883399">
        <w:rPr>
          <w:b/>
          <w:i/>
          <w:sz w:val="24"/>
        </w:rPr>
        <w:t>j</w:t>
      </w:r>
      <w:r w:rsidRPr="00883399">
        <w:rPr>
          <w:sz w:val="24"/>
        </w:rPr>
        <w:t>) and coal mine waste gas (</w:t>
      </w:r>
      <w:r w:rsidRPr="00883399">
        <w:rPr>
          <w:b/>
          <w:i/>
          <w:sz w:val="24"/>
        </w:rPr>
        <w:t>i</w:t>
      </w:r>
      <w:r w:rsidRPr="00883399">
        <w:rPr>
          <w:sz w:val="24"/>
        </w:rPr>
        <w:t>) mentioned in item 19 of Schedule 1, measured in CO</w:t>
      </w:r>
      <w:r w:rsidRPr="00883399">
        <w:rPr>
          <w:sz w:val="24"/>
          <w:vertAlign w:val="subscript"/>
        </w:rPr>
        <w:t>2</w:t>
      </w:r>
      <w:r w:rsidRPr="00883399">
        <w:rPr>
          <w:sz w:val="24"/>
        </w:rPr>
        <w:noBreakHyphen/>
        <w:t>e kilograms per gigajoule.</w:t>
      </w:r>
    </w:p>
    <w:p w14:paraId="0575D689" w14:textId="77777777" w:rsidR="00872C03" w:rsidRPr="00883399" w:rsidRDefault="00872C03" w:rsidP="00872C03">
      <w:pPr>
        <w:pStyle w:val="Definition0"/>
        <w:rPr>
          <w:sz w:val="24"/>
        </w:rPr>
      </w:pPr>
      <w:r w:rsidRPr="00883399">
        <w:rPr>
          <w:b/>
          <w:i/>
          <w:sz w:val="24"/>
        </w:rPr>
        <w:t>OF</w:t>
      </w:r>
      <w:r w:rsidRPr="00883399">
        <w:rPr>
          <w:b/>
          <w:i/>
          <w:sz w:val="24"/>
          <w:vertAlign w:val="subscript"/>
        </w:rPr>
        <w:t>if</w:t>
      </w:r>
      <w:r w:rsidRPr="00883399">
        <w:rPr>
          <w:sz w:val="24"/>
        </w:rPr>
        <w:t xml:space="preserve"> is 0.98, which is the destruction efficiency of coal mine waste gas (</w:t>
      </w:r>
      <w:r w:rsidRPr="00883399">
        <w:rPr>
          <w:b/>
          <w:i/>
          <w:sz w:val="24"/>
        </w:rPr>
        <w:t>i</w:t>
      </w:r>
      <w:r w:rsidRPr="00883399">
        <w:rPr>
          <w:sz w:val="24"/>
        </w:rPr>
        <w:t>) flared.</w:t>
      </w:r>
    </w:p>
    <w:p w14:paraId="14B3F294" w14:textId="5D57976D" w:rsidR="00872C03" w:rsidRPr="00883399" w:rsidRDefault="00872C03" w:rsidP="00872C03">
      <w:pPr>
        <w:pStyle w:val="ActHead5"/>
        <w:rPr>
          <w:sz w:val="28"/>
        </w:rPr>
      </w:pPr>
      <w:bookmarkStart w:id="444" w:name="_Toc423516868"/>
      <w:bookmarkStart w:id="445" w:name="_Toc495652787"/>
      <w:r w:rsidRPr="00883399">
        <w:rPr>
          <w:rStyle w:val="CharSectno"/>
          <w:sz w:val="28"/>
        </w:rPr>
        <w:t>3.15</w:t>
      </w:r>
      <w:r w:rsidRPr="00883399">
        <w:rPr>
          <w:sz w:val="28"/>
        </w:rPr>
        <w:t xml:space="preserve">  Method 2—emissions of carbon dioxide from coal mine waste gas flared</w:t>
      </w:r>
      <w:bookmarkEnd w:id="444"/>
      <w:bookmarkEnd w:id="445"/>
    </w:p>
    <w:p w14:paraId="566DE311" w14:textId="77777777" w:rsidR="00872C03" w:rsidRPr="00883399" w:rsidRDefault="00872C03" w:rsidP="00872C03">
      <w:pPr>
        <w:pStyle w:val="R2"/>
        <w:spacing w:line="312" w:lineRule="auto"/>
        <w:ind w:left="0" w:firstLine="0"/>
        <w:rPr>
          <w:rFonts w:ascii="Arial" w:hAnsi="Arial" w:cs="Arial"/>
          <w:sz w:val="22"/>
          <w:szCs w:val="22"/>
        </w:rPr>
      </w:pPr>
      <w:r w:rsidRPr="00883399">
        <w:rPr>
          <w:rFonts w:ascii="Arial" w:hAnsi="Arial" w:cs="Arial"/>
          <w:sz w:val="22"/>
          <w:szCs w:val="22"/>
        </w:rPr>
        <w:t>Method 2 requires representative and unbiased samples of coal mine waste gas consumed and the analysis of the coal mine waste gas to determine gas composition. The methane and carbon dioxide content should be analysed and accounted for independently in accordance with Australian or equivalent international standards.  The quantity of methane determined within the coal mine waste gas stream to be flared is applied to Section 3.15 to estimate carbon dioxide emissions and Section 3.15A to estimate methane and nitrous oxide emissions.</w:t>
      </w:r>
    </w:p>
    <w:p w14:paraId="50ACF212" w14:textId="77777777" w:rsidR="00C335B2" w:rsidRPr="00883399" w:rsidRDefault="00C335B2" w:rsidP="00872C03">
      <w:pPr>
        <w:pStyle w:val="R2"/>
        <w:spacing w:line="312" w:lineRule="auto"/>
        <w:ind w:left="0" w:firstLine="0"/>
        <w:rPr>
          <w:rFonts w:ascii="Arial" w:hAnsi="Arial" w:cs="Arial"/>
          <w:sz w:val="22"/>
          <w:szCs w:val="22"/>
        </w:rPr>
      </w:pPr>
    </w:p>
    <w:p w14:paraId="15CF6FCA" w14:textId="77777777" w:rsidR="00872C03" w:rsidRPr="00883399" w:rsidRDefault="00872C03" w:rsidP="00872C03">
      <w:pPr>
        <w:pStyle w:val="subsection"/>
        <w:rPr>
          <w:sz w:val="24"/>
        </w:rPr>
      </w:pPr>
    </w:p>
    <w:p w14:paraId="5200444A" w14:textId="77777777" w:rsidR="00872C03" w:rsidRPr="00883399" w:rsidRDefault="00872C03" w:rsidP="00872C03">
      <w:pPr>
        <w:pStyle w:val="subsection"/>
        <w:rPr>
          <w:sz w:val="24"/>
        </w:rPr>
      </w:pPr>
      <w:r w:rsidRPr="00883399">
        <w:rPr>
          <w:sz w:val="24"/>
        </w:rPr>
        <w:tab/>
      </w:r>
      <w:r w:rsidRPr="00883399">
        <w:rPr>
          <w:sz w:val="24"/>
        </w:rPr>
        <w:tab/>
        <w:t>For subparagraph 3.4(4)(a)(ii), method 2 is:</w:t>
      </w:r>
    </w:p>
    <w:bookmarkStart w:id="446" w:name="BKCheck15B_18"/>
    <w:bookmarkEnd w:id="446"/>
    <w:p w14:paraId="6F48B5A7" w14:textId="77777777" w:rsidR="00872C03" w:rsidRPr="00883399" w:rsidRDefault="00872C03" w:rsidP="00872C03">
      <w:pPr>
        <w:pStyle w:val="subsection2"/>
        <w:rPr>
          <w:sz w:val="24"/>
        </w:rPr>
      </w:pPr>
      <w:r w:rsidRPr="00883399">
        <w:rPr>
          <w:position w:val="-32"/>
          <w:sz w:val="24"/>
        </w:rPr>
        <w:object w:dxaOrig="3620" w:dyaOrig="780" w14:anchorId="0C80A5D0">
          <v:shape id="_x0000_i1036" type="#_x0000_t75" style="width:180.75pt;height:38.25pt" o:ole="">
            <v:imagedata r:id="rId85" o:title=""/>
          </v:shape>
          <o:OLEObject Type="Embed" ProgID="Equation.DSMT4" ShapeID="_x0000_i1036" DrawAspect="Content" ObjectID="_1594105927" r:id="rId86"/>
        </w:object>
      </w:r>
    </w:p>
    <w:p w14:paraId="536DC1A6" w14:textId="77777777" w:rsidR="00872C03" w:rsidRPr="00883399" w:rsidRDefault="00872C03" w:rsidP="00872C03">
      <w:pPr>
        <w:pStyle w:val="subsection2"/>
        <w:rPr>
          <w:sz w:val="24"/>
        </w:rPr>
      </w:pPr>
      <w:r w:rsidRPr="00883399">
        <w:rPr>
          <w:sz w:val="24"/>
        </w:rPr>
        <w:t>where:</w:t>
      </w:r>
    </w:p>
    <w:p w14:paraId="34AAF26B" w14:textId="77777777" w:rsidR="00872C03" w:rsidRPr="00883399" w:rsidRDefault="00872C03" w:rsidP="00872C03">
      <w:pPr>
        <w:pStyle w:val="Definition0"/>
        <w:rPr>
          <w:sz w:val="24"/>
        </w:rPr>
      </w:pPr>
      <w:r w:rsidRPr="00883399">
        <w:rPr>
          <w:b/>
          <w:i/>
          <w:sz w:val="24"/>
        </w:rPr>
        <w:t>E</w:t>
      </w:r>
      <w:r w:rsidRPr="00883399">
        <w:rPr>
          <w:b/>
          <w:i/>
          <w:iCs/>
          <w:sz w:val="24"/>
          <w:vertAlign w:val="subscript"/>
        </w:rPr>
        <w:t>iCO</w:t>
      </w:r>
      <w:r w:rsidRPr="00883399">
        <w:rPr>
          <w:b/>
          <w:i/>
          <w:position w:val="-6"/>
          <w:sz w:val="24"/>
          <w:vertAlign w:val="subscript"/>
        </w:rPr>
        <w:t>2</w:t>
      </w:r>
      <w:r w:rsidRPr="00883399">
        <w:rPr>
          <w:sz w:val="24"/>
        </w:rPr>
        <w:t xml:space="preserve"> is the emissions of CO</w:t>
      </w:r>
      <w:r w:rsidRPr="00883399">
        <w:rPr>
          <w:sz w:val="24"/>
          <w:vertAlign w:val="subscript"/>
        </w:rPr>
        <w:t>2</w:t>
      </w:r>
      <w:r w:rsidRPr="00883399">
        <w:rPr>
          <w:sz w:val="24"/>
        </w:rPr>
        <w:t xml:space="preserve"> released from coal mine waste gas (</w:t>
      </w:r>
      <w:r w:rsidRPr="00883399">
        <w:rPr>
          <w:b/>
          <w:i/>
          <w:sz w:val="24"/>
        </w:rPr>
        <w:t>i</w:t>
      </w:r>
      <w:r w:rsidRPr="00883399">
        <w:rPr>
          <w:sz w:val="24"/>
        </w:rPr>
        <w:t>) flared from the mine during the year, measured in CO</w:t>
      </w:r>
      <w:r w:rsidRPr="00883399">
        <w:rPr>
          <w:sz w:val="24"/>
          <w:vertAlign w:val="subscript"/>
        </w:rPr>
        <w:t>2</w:t>
      </w:r>
      <w:r w:rsidRPr="00883399">
        <w:rPr>
          <w:sz w:val="24"/>
        </w:rPr>
        <w:noBreakHyphen/>
        <w:t>e tonnes.</w:t>
      </w:r>
    </w:p>
    <w:p w14:paraId="1D22C90B" w14:textId="77777777" w:rsidR="00872C03" w:rsidRPr="00883399" w:rsidRDefault="00872C03" w:rsidP="00872C03">
      <w:pPr>
        <w:pStyle w:val="Definition0"/>
        <w:rPr>
          <w:sz w:val="24"/>
        </w:rPr>
      </w:pPr>
      <w:r w:rsidRPr="00883399">
        <w:rPr>
          <w:b/>
          <w:i/>
          <w:sz w:val="24"/>
        </w:rPr>
        <w:lastRenderedPageBreak/>
        <w:t>EC</w:t>
      </w:r>
      <w:r w:rsidRPr="00883399">
        <w:rPr>
          <w:b/>
          <w:i/>
          <w:sz w:val="24"/>
          <w:vertAlign w:val="subscript"/>
        </w:rPr>
        <w:t>i</w:t>
      </w:r>
      <w:r w:rsidRPr="00883399">
        <w:rPr>
          <w:b/>
          <w:i/>
          <w:sz w:val="24"/>
        </w:rPr>
        <w:t xml:space="preserve"> </w:t>
      </w:r>
      <w:r w:rsidRPr="00883399">
        <w:rPr>
          <w:sz w:val="24"/>
        </w:rPr>
        <w:t>is the energy content factor of the methane (</w:t>
      </w:r>
      <w:r w:rsidRPr="00883399">
        <w:rPr>
          <w:b/>
          <w:i/>
          <w:sz w:val="24"/>
        </w:rPr>
        <w:t>k</w:t>
      </w:r>
      <w:r w:rsidRPr="00883399">
        <w:rPr>
          <w:sz w:val="24"/>
        </w:rPr>
        <w:t>) within coal mine waste gas (</w:t>
      </w:r>
      <w:r w:rsidRPr="00883399">
        <w:rPr>
          <w:b/>
          <w:i/>
          <w:sz w:val="24"/>
        </w:rPr>
        <w:t>i</w:t>
      </w:r>
      <w:r w:rsidRPr="00883399">
        <w:rPr>
          <w:sz w:val="24"/>
        </w:rPr>
        <w:t>) mentioned in item 19 of Schedule 1, measured in gigajoules per cubic metre.</w:t>
      </w:r>
    </w:p>
    <w:p w14:paraId="5A875A20" w14:textId="77777777" w:rsidR="00872C03" w:rsidRPr="00883399" w:rsidRDefault="00872C03" w:rsidP="00872C03">
      <w:pPr>
        <w:pStyle w:val="Definition0"/>
        <w:rPr>
          <w:sz w:val="24"/>
        </w:rPr>
      </w:pPr>
      <w:r w:rsidRPr="00883399">
        <w:rPr>
          <w:b/>
          <w:i/>
          <w:sz w:val="24"/>
        </w:rPr>
        <w:t>EF</w:t>
      </w:r>
      <w:r w:rsidRPr="00883399">
        <w:rPr>
          <w:b/>
          <w:i/>
          <w:sz w:val="24"/>
          <w:vertAlign w:val="subscript"/>
        </w:rPr>
        <w:t>k</w:t>
      </w:r>
      <w:r w:rsidRPr="00883399">
        <w:rPr>
          <w:sz w:val="24"/>
        </w:rPr>
        <w:t xml:space="preserve"> is the emission factor for the methane (</w:t>
      </w:r>
      <w:r w:rsidRPr="00883399">
        <w:rPr>
          <w:b/>
          <w:i/>
          <w:sz w:val="24"/>
        </w:rPr>
        <w:t>k</w:t>
      </w:r>
      <w:r w:rsidRPr="00883399">
        <w:rPr>
          <w:sz w:val="24"/>
        </w:rPr>
        <w:t>) within the fuel type from the mine during the year, measured in kilograms of CO</w:t>
      </w:r>
      <w:r w:rsidRPr="00883399">
        <w:rPr>
          <w:sz w:val="24"/>
          <w:vertAlign w:val="subscript"/>
        </w:rPr>
        <w:t>2</w:t>
      </w:r>
      <w:r w:rsidRPr="00883399">
        <w:rPr>
          <w:sz w:val="24"/>
        </w:rPr>
        <w:noBreakHyphen/>
        <w:t>e per gigajoule, estimated in accordance with Division 2.3.3.</w:t>
      </w:r>
    </w:p>
    <w:p w14:paraId="15996122" w14:textId="77777777" w:rsidR="00872C03" w:rsidRPr="00883399" w:rsidRDefault="00872C03" w:rsidP="00872C03">
      <w:pPr>
        <w:pStyle w:val="Definition0"/>
        <w:rPr>
          <w:sz w:val="24"/>
        </w:rPr>
      </w:pPr>
      <w:r w:rsidRPr="00883399">
        <w:rPr>
          <w:b/>
          <w:i/>
          <w:sz w:val="24"/>
        </w:rPr>
        <w:t>OF</w:t>
      </w:r>
      <w:r w:rsidRPr="00883399">
        <w:rPr>
          <w:b/>
          <w:i/>
          <w:sz w:val="24"/>
          <w:vertAlign w:val="subscript"/>
        </w:rPr>
        <w:t>i</w:t>
      </w:r>
      <w:r w:rsidRPr="00883399">
        <w:rPr>
          <w:sz w:val="24"/>
        </w:rPr>
        <w:t xml:space="preserve"> is 0.98, which is the destruction efficiency of coal mine waste gas (</w:t>
      </w:r>
      <w:r w:rsidRPr="00883399">
        <w:rPr>
          <w:b/>
          <w:i/>
          <w:sz w:val="24"/>
        </w:rPr>
        <w:t>i</w:t>
      </w:r>
      <w:r w:rsidRPr="00883399">
        <w:rPr>
          <w:sz w:val="24"/>
        </w:rPr>
        <w:t>) flared.</w:t>
      </w:r>
    </w:p>
    <w:p w14:paraId="38301138" w14:textId="77777777" w:rsidR="00872C03" w:rsidRPr="00883399" w:rsidRDefault="00872C03" w:rsidP="00872C03">
      <w:pPr>
        <w:pStyle w:val="Definition0"/>
        <w:rPr>
          <w:sz w:val="24"/>
        </w:rPr>
      </w:pPr>
      <w:r w:rsidRPr="00883399">
        <w:rPr>
          <w:b/>
          <w:i/>
          <w:sz w:val="24"/>
        </w:rPr>
        <w:t>Q</w:t>
      </w:r>
      <w:r w:rsidRPr="00883399">
        <w:rPr>
          <w:b/>
          <w:i/>
          <w:sz w:val="24"/>
          <w:vertAlign w:val="subscript"/>
        </w:rPr>
        <w:t>k</w:t>
      </w:r>
      <w:r w:rsidRPr="00883399">
        <w:rPr>
          <w:sz w:val="24"/>
        </w:rPr>
        <w:t xml:space="preserve"> is the quantity of methane (</w:t>
      </w:r>
      <w:r w:rsidRPr="00883399">
        <w:rPr>
          <w:b/>
          <w:i/>
          <w:sz w:val="24"/>
        </w:rPr>
        <w:t>k</w:t>
      </w:r>
      <w:r w:rsidRPr="00883399">
        <w:rPr>
          <w:sz w:val="24"/>
        </w:rPr>
        <w:t>) within the fuel type from the mine during the year, measured in cubic metres in accordance with Division 2.3.6.</w:t>
      </w:r>
    </w:p>
    <w:p w14:paraId="27117034" w14:textId="77777777" w:rsidR="00872C03" w:rsidRPr="00883399" w:rsidRDefault="00872C03" w:rsidP="00872C03">
      <w:pPr>
        <w:pStyle w:val="Definition0"/>
        <w:rPr>
          <w:sz w:val="24"/>
        </w:rPr>
      </w:pPr>
      <w:r w:rsidRPr="00883399">
        <w:rPr>
          <w:b/>
          <w:i/>
          <w:sz w:val="24"/>
        </w:rPr>
        <w:t>QCO</w:t>
      </w:r>
      <w:r w:rsidRPr="00883399">
        <w:rPr>
          <w:b/>
          <w:i/>
          <w:sz w:val="24"/>
          <w:vertAlign w:val="subscript"/>
        </w:rPr>
        <w:t>2</w:t>
      </w:r>
      <w:r w:rsidRPr="00883399">
        <w:rPr>
          <w:sz w:val="24"/>
        </w:rPr>
        <w:t xml:space="preserve"> is the quantity of carbon dioxide within the coal mine waste gas emitted from the mine during the year, measured in CO</w:t>
      </w:r>
      <w:r w:rsidRPr="00883399">
        <w:rPr>
          <w:sz w:val="24"/>
          <w:vertAlign w:val="subscript"/>
        </w:rPr>
        <w:t>2</w:t>
      </w:r>
      <w:r w:rsidRPr="00883399">
        <w:rPr>
          <w:sz w:val="24"/>
        </w:rPr>
        <w:noBreakHyphen/>
        <w:t>e tonnes in accordance with Division 2.3.3.</w:t>
      </w:r>
    </w:p>
    <w:p w14:paraId="630A5314" w14:textId="313DF684" w:rsidR="00872C03" w:rsidRPr="00883399" w:rsidRDefault="00872C03" w:rsidP="00872C03">
      <w:pPr>
        <w:pStyle w:val="ActHead5"/>
        <w:rPr>
          <w:sz w:val="28"/>
        </w:rPr>
      </w:pPr>
      <w:bookmarkStart w:id="447" w:name="_Toc423516869"/>
      <w:bookmarkStart w:id="448" w:name="_Toc495652788"/>
      <w:r w:rsidRPr="00883399">
        <w:rPr>
          <w:rStyle w:val="CharSectno"/>
          <w:sz w:val="28"/>
        </w:rPr>
        <w:t>3.15A</w:t>
      </w:r>
      <w:r w:rsidRPr="00883399">
        <w:rPr>
          <w:sz w:val="28"/>
        </w:rPr>
        <w:t xml:space="preserve">  Method 2—emissions of methane and nitrous oxide from coal mine waste gas flared</w:t>
      </w:r>
      <w:bookmarkEnd w:id="447"/>
      <w:bookmarkEnd w:id="448"/>
    </w:p>
    <w:p w14:paraId="1E221E74" w14:textId="77777777" w:rsidR="00872C03" w:rsidRPr="00883399" w:rsidRDefault="00872C03" w:rsidP="00872C03">
      <w:pPr>
        <w:pStyle w:val="subsection"/>
        <w:rPr>
          <w:sz w:val="24"/>
        </w:rPr>
      </w:pPr>
      <w:r w:rsidRPr="00883399">
        <w:rPr>
          <w:sz w:val="24"/>
        </w:rPr>
        <w:tab/>
      </w:r>
      <w:r w:rsidRPr="00883399">
        <w:rPr>
          <w:sz w:val="24"/>
        </w:rPr>
        <w:tab/>
        <w:t>For subparagraphs 3.4(4)(b)(ii) and (c)(ii), method 2 is:</w:t>
      </w:r>
    </w:p>
    <w:bookmarkStart w:id="449" w:name="BKCheck15B_19"/>
    <w:bookmarkEnd w:id="449"/>
    <w:p w14:paraId="1DF7091B" w14:textId="77777777" w:rsidR="00872C03" w:rsidRPr="00883399" w:rsidRDefault="00872C03" w:rsidP="00872C03">
      <w:pPr>
        <w:pStyle w:val="subsection2"/>
        <w:rPr>
          <w:sz w:val="24"/>
        </w:rPr>
      </w:pPr>
      <w:r w:rsidRPr="00883399">
        <w:rPr>
          <w:position w:val="-32"/>
          <w:sz w:val="24"/>
        </w:rPr>
        <w:object w:dxaOrig="2659" w:dyaOrig="800" w14:anchorId="3E65E2EC">
          <v:shape id="_x0000_i1037" type="#_x0000_t75" style="width:132pt;height:39pt" o:ole="">
            <v:imagedata r:id="rId87" o:title=""/>
          </v:shape>
          <o:OLEObject Type="Embed" ProgID="Equation.DSMT4" ShapeID="_x0000_i1037" DrawAspect="Content" ObjectID="_1594105928" r:id="rId88"/>
        </w:object>
      </w:r>
    </w:p>
    <w:p w14:paraId="292516CB" w14:textId="77777777" w:rsidR="00872C03" w:rsidRPr="00883399" w:rsidRDefault="00872C03" w:rsidP="00872C03">
      <w:pPr>
        <w:pStyle w:val="subsection2"/>
        <w:rPr>
          <w:sz w:val="24"/>
        </w:rPr>
      </w:pPr>
      <w:r w:rsidRPr="00883399">
        <w:rPr>
          <w:sz w:val="24"/>
        </w:rPr>
        <w:t>where:</w:t>
      </w:r>
    </w:p>
    <w:p w14:paraId="0EE83640" w14:textId="77777777" w:rsidR="00872C03" w:rsidRPr="00883399" w:rsidRDefault="00872C03" w:rsidP="00872C03">
      <w:pPr>
        <w:pStyle w:val="Definition0"/>
        <w:rPr>
          <w:sz w:val="24"/>
        </w:rPr>
      </w:pPr>
      <w:r w:rsidRPr="00883399">
        <w:rPr>
          <w:b/>
          <w:i/>
          <w:sz w:val="24"/>
        </w:rPr>
        <w:t>E</w:t>
      </w:r>
      <w:r w:rsidRPr="00883399">
        <w:rPr>
          <w:b/>
          <w:i/>
          <w:sz w:val="24"/>
          <w:vertAlign w:val="subscript"/>
        </w:rPr>
        <w:t>ij</w:t>
      </w:r>
      <w:r w:rsidRPr="00883399">
        <w:rPr>
          <w:sz w:val="24"/>
        </w:rPr>
        <w:t xml:space="preserve"> is the emissions of gas type (</w:t>
      </w:r>
      <w:r w:rsidRPr="00883399">
        <w:rPr>
          <w:b/>
          <w:i/>
          <w:sz w:val="24"/>
        </w:rPr>
        <w:t>j</w:t>
      </w:r>
      <w:r w:rsidRPr="00883399">
        <w:rPr>
          <w:sz w:val="24"/>
        </w:rPr>
        <w:t>), being methane or nitrous oxide, released from coal mine waste gas (</w:t>
      </w:r>
      <w:r w:rsidRPr="00883399">
        <w:rPr>
          <w:b/>
          <w:i/>
          <w:sz w:val="24"/>
        </w:rPr>
        <w:t>i</w:t>
      </w:r>
      <w:r w:rsidRPr="00883399">
        <w:rPr>
          <w:sz w:val="24"/>
        </w:rPr>
        <w:t>) flared from the mine during the year, measured in CO</w:t>
      </w:r>
      <w:r w:rsidRPr="00883399">
        <w:rPr>
          <w:sz w:val="24"/>
          <w:vertAlign w:val="subscript"/>
        </w:rPr>
        <w:t>2</w:t>
      </w:r>
      <w:r w:rsidRPr="00883399">
        <w:rPr>
          <w:sz w:val="24"/>
        </w:rPr>
        <w:noBreakHyphen/>
        <w:t>e tonnes.</w:t>
      </w:r>
    </w:p>
    <w:p w14:paraId="7D75FA2E" w14:textId="77777777" w:rsidR="00872C03" w:rsidRPr="00883399" w:rsidRDefault="00872C03" w:rsidP="00872C03">
      <w:pPr>
        <w:pStyle w:val="Definition0"/>
        <w:rPr>
          <w:sz w:val="24"/>
        </w:rPr>
      </w:pPr>
      <w:r w:rsidRPr="00883399">
        <w:rPr>
          <w:b/>
          <w:i/>
          <w:sz w:val="24"/>
        </w:rPr>
        <w:t>EC</w:t>
      </w:r>
      <w:r w:rsidRPr="00883399">
        <w:rPr>
          <w:b/>
          <w:i/>
          <w:sz w:val="24"/>
          <w:vertAlign w:val="subscript"/>
        </w:rPr>
        <w:t>i</w:t>
      </w:r>
      <w:r w:rsidRPr="00883399">
        <w:rPr>
          <w:b/>
          <w:i/>
          <w:sz w:val="24"/>
        </w:rPr>
        <w:t xml:space="preserve"> </w:t>
      </w:r>
      <w:r w:rsidRPr="00883399">
        <w:rPr>
          <w:sz w:val="24"/>
        </w:rPr>
        <w:t>is the energy content factor of methane (</w:t>
      </w:r>
      <w:r w:rsidRPr="00883399">
        <w:rPr>
          <w:b/>
          <w:i/>
          <w:sz w:val="24"/>
        </w:rPr>
        <w:t>k</w:t>
      </w:r>
      <w:r w:rsidRPr="00883399">
        <w:rPr>
          <w:sz w:val="24"/>
        </w:rPr>
        <w:t>) within coal mine waste gas (</w:t>
      </w:r>
      <w:r w:rsidRPr="00883399">
        <w:rPr>
          <w:b/>
          <w:i/>
          <w:sz w:val="24"/>
        </w:rPr>
        <w:t>i</w:t>
      </w:r>
      <w:r w:rsidRPr="00883399">
        <w:rPr>
          <w:sz w:val="24"/>
        </w:rPr>
        <w:t>) mentioned in item 19 of Schedule 1, measured in gigajoules per cubic metre.</w:t>
      </w:r>
    </w:p>
    <w:p w14:paraId="320BBB1C" w14:textId="77777777" w:rsidR="00872C03" w:rsidRPr="00883399" w:rsidRDefault="00872C03" w:rsidP="00872C03">
      <w:pPr>
        <w:pStyle w:val="Definition0"/>
        <w:rPr>
          <w:sz w:val="24"/>
        </w:rPr>
      </w:pPr>
      <w:r w:rsidRPr="00883399">
        <w:rPr>
          <w:b/>
          <w:i/>
          <w:sz w:val="24"/>
        </w:rPr>
        <w:t>EF</w:t>
      </w:r>
      <w:r w:rsidRPr="00883399">
        <w:rPr>
          <w:b/>
          <w:i/>
          <w:sz w:val="24"/>
          <w:vertAlign w:val="subscript"/>
        </w:rPr>
        <w:t>kj</w:t>
      </w:r>
      <w:r w:rsidRPr="00883399">
        <w:rPr>
          <w:sz w:val="24"/>
        </w:rPr>
        <w:t xml:space="preserve"> is the emission factor of gas type (</w:t>
      </w:r>
      <w:r w:rsidRPr="00883399">
        <w:rPr>
          <w:b/>
          <w:i/>
          <w:sz w:val="24"/>
        </w:rPr>
        <w:t>j</w:t>
      </w:r>
      <w:r w:rsidRPr="00883399">
        <w:rPr>
          <w:sz w:val="24"/>
        </w:rPr>
        <w:t>), being methane or nitrous oxide, for the quantity of methane (</w:t>
      </w:r>
      <w:r w:rsidRPr="00883399">
        <w:rPr>
          <w:b/>
          <w:i/>
          <w:sz w:val="24"/>
        </w:rPr>
        <w:t>k</w:t>
      </w:r>
      <w:r w:rsidRPr="00883399">
        <w:rPr>
          <w:sz w:val="24"/>
        </w:rPr>
        <w:t>) within coal mine waste gas (</w:t>
      </w:r>
      <w:r w:rsidRPr="00883399">
        <w:rPr>
          <w:b/>
          <w:i/>
          <w:sz w:val="24"/>
        </w:rPr>
        <w:t>i</w:t>
      </w:r>
      <w:r w:rsidRPr="00883399">
        <w:rPr>
          <w:sz w:val="24"/>
        </w:rPr>
        <w:t>) flared, mentioned in item 19 of Schedule 1 and measured in kilograms of CO</w:t>
      </w:r>
      <w:r w:rsidRPr="00883399">
        <w:rPr>
          <w:sz w:val="24"/>
          <w:vertAlign w:val="subscript"/>
        </w:rPr>
        <w:t>2</w:t>
      </w:r>
      <w:r w:rsidRPr="00883399">
        <w:rPr>
          <w:sz w:val="24"/>
        </w:rPr>
        <w:noBreakHyphen/>
        <w:t>e per gigajoule.</w:t>
      </w:r>
    </w:p>
    <w:p w14:paraId="0715F984" w14:textId="77777777" w:rsidR="00872C03" w:rsidRPr="00883399" w:rsidRDefault="00872C03" w:rsidP="00872C03">
      <w:pPr>
        <w:pStyle w:val="Definition0"/>
        <w:rPr>
          <w:sz w:val="24"/>
        </w:rPr>
      </w:pPr>
      <w:r w:rsidRPr="00883399">
        <w:rPr>
          <w:b/>
          <w:i/>
          <w:sz w:val="24"/>
        </w:rPr>
        <w:t>OF</w:t>
      </w:r>
      <w:r w:rsidRPr="00883399">
        <w:rPr>
          <w:b/>
          <w:i/>
          <w:sz w:val="24"/>
          <w:vertAlign w:val="subscript"/>
        </w:rPr>
        <w:t>i</w:t>
      </w:r>
      <w:r w:rsidRPr="00883399">
        <w:rPr>
          <w:sz w:val="24"/>
        </w:rPr>
        <w:t xml:space="preserve"> is 0.98, which is the destruction efficiency of coal mine waste gas (</w:t>
      </w:r>
      <w:r w:rsidRPr="00883399">
        <w:rPr>
          <w:b/>
          <w:i/>
          <w:sz w:val="24"/>
        </w:rPr>
        <w:t>i</w:t>
      </w:r>
      <w:r w:rsidRPr="00883399">
        <w:rPr>
          <w:sz w:val="24"/>
        </w:rPr>
        <w:t>) flared.</w:t>
      </w:r>
    </w:p>
    <w:p w14:paraId="7111F658" w14:textId="77777777" w:rsidR="00872C03" w:rsidRPr="00883399" w:rsidRDefault="00872C03" w:rsidP="00872C03">
      <w:pPr>
        <w:pStyle w:val="Definition0"/>
        <w:rPr>
          <w:sz w:val="24"/>
        </w:rPr>
      </w:pPr>
      <w:r w:rsidRPr="00883399">
        <w:rPr>
          <w:b/>
          <w:i/>
          <w:sz w:val="24"/>
        </w:rPr>
        <w:t>Q</w:t>
      </w:r>
      <w:r w:rsidRPr="00883399">
        <w:rPr>
          <w:b/>
          <w:i/>
          <w:sz w:val="24"/>
          <w:vertAlign w:val="subscript"/>
        </w:rPr>
        <w:t>k</w:t>
      </w:r>
      <w:r w:rsidRPr="00883399">
        <w:rPr>
          <w:sz w:val="24"/>
        </w:rPr>
        <w:t xml:space="preserve"> is the quantity of methane (</w:t>
      </w:r>
      <w:r w:rsidRPr="00883399">
        <w:rPr>
          <w:b/>
          <w:i/>
          <w:sz w:val="24"/>
        </w:rPr>
        <w:t>k</w:t>
      </w:r>
      <w:r w:rsidRPr="00883399">
        <w:rPr>
          <w:sz w:val="24"/>
        </w:rPr>
        <w:t>) within the coal mine waste gas (</w:t>
      </w:r>
      <w:r w:rsidRPr="00883399">
        <w:rPr>
          <w:b/>
          <w:i/>
          <w:sz w:val="24"/>
        </w:rPr>
        <w:t>i</w:t>
      </w:r>
      <w:r w:rsidRPr="00883399">
        <w:rPr>
          <w:sz w:val="24"/>
        </w:rPr>
        <w:t>) flared from the mine during the year, measured in cubic metres in accordance with Division 2.3.3.</w:t>
      </w:r>
    </w:p>
    <w:p w14:paraId="5924936A" w14:textId="3C98B29F" w:rsidR="00872C03" w:rsidRPr="00883399" w:rsidRDefault="00872C03" w:rsidP="00872C03">
      <w:pPr>
        <w:pStyle w:val="ActHead5"/>
        <w:rPr>
          <w:sz w:val="28"/>
        </w:rPr>
      </w:pPr>
      <w:bookmarkStart w:id="450" w:name="_Toc423516870"/>
      <w:bookmarkStart w:id="451" w:name="_Toc495652789"/>
      <w:r w:rsidRPr="00883399">
        <w:rPr>
          <w:rStyle w:val="CharSectno"/>
          <w:sz w:val="28"/>
        </w:rPr>
        <w:lastRenderedPageBreak/>
        <w:t>3.16</w:t>
      </w:r>
      <w:r w:rsidRPr="00883399">
        <w:rPr>
          <w:sz w:val="28"/>
        </w:rPr>
        <w:t xml:space="preserve">  Method 3—coal mine waste gas flared</w:t>
      </w:r>
      <w:bookmarkEnd w:id="450"/>
      <w:bookmarkEnd w:id="451"/>
    </w:p>
    <w:p w14:paraId="6B3836AD" w14:textId="77777777" w:rsidR="00872C03" w:rsidRPr="00883399" w:rsidRDefault="00872C03" w:rsidP="00872C03">
      <w:pPr>
        <w:pStyle w:val="subsection"/>
      </w:pPr>
    </w:p>
    <w:p w14:paraId="66967DA3" w14:textId="77777777" w:rsidR="00872C03" w:rsidRPr="00883399" w:rsidRDefault="00872C03" w:rsidP="00872C03">
      <w:pPr>
        <w:pStyle w:val="subsection"/>
        <w:rPr>
          <w:rStyle w:val="CharSectno"/>
          <w:rFonts w:ascii="Arial" w:hAnsi="Arial" w:cs="Arial"/>
          <w:szCs w:val="22"/>
        </w:rPr>
      </w:pPr>
      <w:r w:rsidRPr="00883399">
        <w:rPr>
          <w:rStyle w:val="CharSectno"/>
          <w:rFonts w:ascii="Arial" w:hAnsi="Arial" w:cs="Arial"/>
          <w:szCs w:val="22"/>
        </w:rPr>
        <w:t xml:space="preserve">Method 3 is the same as for Method 2 except that it requires samples to be obtained in accordance with Australian or equivalent international standards.  </w:t>
      </w:r>
    </w:p>
    <w:p w14:paraId="365EBA8B" w14:textId="77777777" w:rsidR="00872C03" w:rsidRPr="00883399" w:rsidRDefault="00872C03" w:rsidP="00872C03">
      <w:pPr>
        <w:pStyle w:val="subsection"/>
        <w:rPr>
          <w:rStyle w:val="CharSectno"/>
          <w:rFonts w:ascii="Arial" w:hAnsi="Arial" w:cs="Arial"/>
          <w:szCs w:val="22"/>
        </w:rPr>
      </w:pPr>
    </w:p>
    <w:p w14:paraId="6B2748A6" w14:textId="77777777" w:rsidR="00872C03" w:rsidRPr="00883399" w:rsidRDefault="00872C03" w:rsidP="00872C03">
      <w:pPr>
        <w:pStyle w:val="subsection"/>
        <w:rPr>
          <w:sz w:val="24"/>
        </w:rPr>
      </w:pPr>
      <w:r w:rsidRPr="00883399">
        <w:rPr>
          <w:sz w:val="24"/>
        </w:rPr>
        <w:tab/>
        <w:t>(1)</w:t>
      </w:r>
      <w:r w:rsidRPr="00883399">
        <w:rPr>
          <w:sz w:val="24"/>
        </w:rPr>
        <w:tab/>
        <w:t>For subparagraph 3.4(4)(a)(iii), method 3 is the same as method 2 under section 3.15.</w:t>
      </w:r>
    </w:p>
    <w:p w14:paraId="5D1B068F" w14:textId="77777777" w:rsidR="00872C03" w:rsidRPr="00883399" w:rsidRDefault="00872C03" w:rsidP="00C335B2">
      <w:pPr>
        <w:tabs>
          <w:tab w:val="right" w:pos="993"/>
        </w:tabs>
        <w:spacing w:before="80"/>
        <w:ind w:left="1134" w:hanging="1134"/>
        <w:jc w:val="both"/>
      </w:pPr>
      <w:r w:rsidRPr="00883399">
        <w:tab/>
        <w:t>(2)</w:t>
      </w:r>
      <w:r w:rsidRPr="00883399">
        <w:tab/>
        <w:t xml:space="preserve">In applying method 2 under section 3.15, the facility specific emission factor </w:t>
      </w:r>
      <w:r w:rsidRPr="00883399">
        <w:rPr>
          <w:b/>
          <w:i/>
        </w:rPr>
        <w:t>EF</w:t>
      </w:r>
      <w:r w:rsidRPr="00883399">
        <w:rPr>
          <w:b/>
          <w:i/>
          <w:vertAlign w:val="subscript"/>
        </w:rPr>
        <w:t>k</w:t>
      </w:r>
      <w:r w:rsidRPr="00883399">
        <w:t xml:space="preserve"> must be determined in accordance with the procedure for determining </w:t>
      </w:r>
      <w:r w:rsidRPr="00883399">
        <w:rPr>
          <w:b/>
          <w:i/>
        </w:rPr>
        <w:t>EF</w:t>
      </w:r>
      <w:r w:rsidRPr="00883399">
        <w:rPr>
          <w:b/>
          <w:i/>
          <w:vertAlign w:val="subscript"/>
        </w:rPr>
        <w:t>iCO</w:t>
      </w:r>
      <w:r w:rsidRPr="00883399">
        <w:rPr>
          <w:b/>
          <w:i/>
          <w:position w:val="-6"/>
          <w:vertAlign w:val="subscript"/>
        </w:rPr>
        <w:t>2</w:t>
      </w:r>
      <w:r w:rsidRPr="00883399">
        <w:rPr>
          <w:b/>
          <w:i/>
          <w:vertAlign w:val="subscript"/>
        </w:rPr>
        <w:t>oxec</w:t>
      </w:r>
      <w:r w:rsidRPr="00883399">
        <w:t xml:space="preserve"> in Division 2.3.4.</w:t>
      </w:r>
    </w:p>
    <w:p w14:paraId="70D77855"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b/>
          <w:sz w:val="23"/>
          <w:szCs w:val="23"/>
          <w:lang w:eastAsia="en-US"/>
        </w:rPr>
      </w:pPr>
      <w:bookmarkStart w:id="452" w:name="_Toc423516871"/>
      <w:r w:rsidRPr="00883399">
        <w:rPr>
          <w:b/>
          <w:sz w:val="23"/>
          <w:szCs w:val="23"/>
          <w:lang w:eastAsia="en-US"/>
        </w:rPr>
        <w:t>Estimating Carbon dioxide emissions from Coal mine waste gas flaring using Method 2</w:t>
      </w:r>
    </w:p>
    <w:p w14:paraId="153053A9"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sz w:val="23"/>
          <w:szCs w:val="23"/>
          <w:lang w:eastAsia="en-US"/>
        </w:rPr>
        <w:t>Coal mining operations often involve the flaring of coal mine waste gas. In this example a facility flares a coal mine waste gas stream from pre-drainage activities of 1,000,000 cubic meters (at standard pressure and temperature) during the year. The gas stream is predominantly methane, but also contains some carbon dioxide and nitrogen. The reporters have chosen to use method 2 to estimate emissions as this approach provides the opportunity to develop a carbon dioxide emission factor that better reflects the methane present in the gas stream, as well as account for the in-situ carbon dioxide quantity which is emitted, but not combusted in the flare. The relevant data for the flaring of coal mine waste gas are as follows in the table below:</w:t>
      </w:r>
    </w:p>
    <w:p w14:paraId="7A063AC1"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sz w:val="23"/>
          <w:szCs w:val="23"/>
          <w:lang w:eastAsia="en-US"/>
        </w:rPr>
        <w:t>Data inputs for carbon dioxide emissions from coal mine waste gas flaring example.</w:t>
      </w:r>
    </w:p>
    <w:p w14:paraId="5C08FF70"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noProof/>
          <w:sz w:val="23"/>
          <w:szCs w:val="23"/>
        </w:rPr>
        <w:lastRenderedPageBreak/>
        <w:drawing>
          <wp:anchor distT="0" distB="0" distL="114300" distR="114300" simplePos="0" relativeHeight="251658253" behindDoc="0" locked="0" layoutInCell="1" allowOverlap="1" wp14:anchorId="65BF40B6" wp14:editId="7522832B">
            <wp:simplePos x="0" y="0"/>
            <wp:positionH relativeFrom="column">
              <wp:posOffset>770255</wp:posOffset>
            </wp:positionH>
            <wp:positionV relativeFrom="paragraph">
              <wp:posOffset>3392170</wp:posOffset>
            </wp:positionV>
            <wp:extent cx="3198495" cy="434975"/>
            <wp:effectExtent l="19050" t="0" r="1905" b="0"/>
            <wp:wrapNone/>
            <wp:docPr id="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198495" cy="434975"/>
                    </a:xfrm>
                    <a:prstGeom prst="rect">
                      <a:avLst/>
                    </a:prstGeom>
                    <a:noFill/>
                    <a:ln>
                      <a:noFill/>
                    </a:ln>
                  </pic:spPr>
                </pic:pic>
              </a:graphicData>
            </a:graphic>
          </wp:anchor>
        </w:drawing>
      </w:r>
      <w:r w:rsidRPr="00883399">
        <w:rPr>
          <w:sz w:val="23"/>
          <w:szCs w:val="23"/>
          <w:lang w:eastAsia="en-US"/>
        </w:rPr>
        <w:object w:dxaOrig="8349" w:dyaOrig="4385" w14:anchorId="480F0EE4">
          <v:shape id="_x0000_i1038" type="#_x0000_t75" style="width:417pt;height:219pt" o:ole="">
            <v:imagedata r:id="rId90" o:title=""/>
          </v:shape>
          <o:OLEObject Type="Embed" ProgID="Word.Document.12" ShapeID="_x0000_i1038" DrawAspect="Content" ObjectID="_1594105929" r:id="rId91">
            <o:FieldCodes>\s</o:FieldCodes>
          </o:OLEObject>
        </w:object>
      </w:r>
      <w:r w:rsidRPr="00883399">
        <w:rPr>
          <w:sz w:val="23"/>
          <w:szCs w:val="23"/>
        </w:rPr>
        <w:t xml:space="preserve"> </w:t>
      </w:r>
      <w:r w:rsidRPr="00883399">
        <w:rPr>
          <w:sz w:val="23"/>
          <w:szCs w:val="23"/>
          <w:lang w:eastAsia="en-US"/>
        </w:rPr>
        <w:t>Calculate the carbon dioxide emissions using Method 2 in section 3.15  of NGER (Measurement) Determination</w:t>
      </w:r>
    </w:p>
    <w:p w14:paraId="603C594E"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p>
    <w:p w14:paraId="063AFB94"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sz w:val="23"/>
          <w:szCs w:val="23"/>
          <w:lang w:eastAsia="en-US"/>
        </w:rPr>
        <w:tab/>
      </w:r>
    </w:p>
    <w:p w14:paraId="1FD20202"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sz w:val="23"/>
          <w:szCs w:val="23"/>
          <w:lang w:eastAsia="en-US"/>
        </w:rPr>
        <w:t>Where:</w:t>
      </w:r>
      <w:r w:rsidRPr="00883399">
        <w:rPr>
          <w:sz w:val="23"/>
          <w:szCs w:val="23"/>
          <w:lang w:eastAsia="en-US"/>
        </w:rPr>
        <w:tab/>
      </w:r>
    </w:p>
    <w:p w14:paraId="56A3C4C4"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i/>
          <w:sz w:val="23"/>
          <w:szCs w:val="23"/>
          <w:lang w:eastAsia="en-US"/>
        </w:rPr>
        <w:t>EiCO</w:t>
      </w:r>
      <w:r w:rsidRPr="00883399">
        <w:rPr>
          <w:i/>
          <w:sz w:val="23"/>
          <w:szCs w:val="23"/>
          <w:vertAlign w:val="subscript"/>
          <w:lang w:eastAsia="en-US"/>
        </w:rPr>
        <w:t>2</w:t>
      </w:r>
      <w:r w:rsidRPr="00883399">
        <w:rPr>
          <w:sz w:val="23"/>
          <w:szCs w:val="23"/>
          <w:lang w:eastAsia="en-US"/>
        </w:rPr>
        <w:t xml:space="preserve"> is the emissions of CO2 released from coal mine waste gas (i) flared from the mine during the year, measured in CO2-e tonnes. </w:t>
      </w:r>
    </w:p>
    <w:p w14:paraId="63C07C53"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i/>
          <w:sz w:val="23"/>
          <w:szCs w:val="23"/>
          <w:lang w:eastAsia="en-US"/>
        </w:rPr>
        <w:t xml:space="preserve">Qk </w:t>
      </w:r>
      <w:r w:rsidRPr="00883399">
        <w:rPr>
          <w:sz w:val="23"/>
          <w:szCs w:val="23"/>
          <w:lang w:eastAsia="en-US"/>
        </w:rPr>
        <w:t xml:space="preserve">is the quantity of methane (k) within the coal mine waste gas from the mine during the year, measured in cubic metres in accordance with Division 2.3.3. </w:t>
      </w:r>
    </w:p>
    <w:p w14:paraId="6A6E7648"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sz w:val="23"/>
          <w:szCs w:val="23"/>
          <w:lang w:eastAsia="en-US"/>
        </w:rPr>
        <w:t>•</w:t>
      </w:r>
      <w:r w:rsidRPr="00883399">
        <w:rPr>
          <w:sz w:val="23"/>
          <w:szCs w:val="23"/>
          <w:lang w:eastAsia="en-US"/>
        </w:rPr>
        <w:tab/>
        <w:t xml:space="preserve">This was determined by gas composition analysis of the coal mine waste gas (in accordance with Division 2.3.3) </w:t>
      </w:r>
    </w:p>
    <w:p w14:paraId="2ABCAB35"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sz w:val="23"/>
          <w:szCs w:val="23"/>
          <w:lang w:eastAsia="en-US"/>
        </w:rPr>
        <w:t>•</w:t>
      </w:r>
      <w:r w:rsidRPr="00883399">
        <w:rPr>
          <w:sz w:val="23"/>
          <w:szCs w:val="23"/>
          <w:lang w:eastAsia="en-US"/>
        </w:rPr>
        <w:tab/>
        <w:t>The average methane composition of the coal mine waste gas being flared during the year was estimated to be 91%.</w:t>
      </w:r>
    </w:p>
    <w:p w14:paraId="2300DE2E"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sz w:val="23"/>
          <w:szCs w:val="23"/>
          <w:lang w:eastAsia="en-US"/>
        </w:rPr>
        <w:t>•</w:t>
      </w:r>
      <w:r w:rsidRPr="00883399">
        <w:rPr>
          <w:sz w:val="23"/>
          <w:szCs w:val="23"/>
          <w:lang w:eastAsia="en-US"/>
        </w:rPr>
        <w:tab/>
        <w:t>Therefore, to calculate the volume of methane within the coal mine waste gas:</w:t>
      </w:r>
    </w:p>
    <w:p w14:paraId="735860F3"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line="240" w:lineRule="auto"/>
        <w:rPr>
          <w:sz w:val="23"/>
          <w:szCs w:val="23"/>
          <w:lang w:eastAsia="en-US"/>
        </w:rPr>
      </w:pPr>
      <w:r w:rsidRPr="00883399">
        <w:rPr>
          <w:sz w:val="23"/>
          <w:szCs w:val="23"/>
          <w:lang w:eastAsia="en-US"/>
        </w:rPr>
        <w:lastRenderedPageBreak/>
        <w:t>Coal mine waste gas volume = 1,000,000</w:t>
      </w:r>
    </w:p>
    <w:p w14:paraId="208C4D1B"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line="240" w:lineRule="auto"/>
        <w:rPr>
          <w:sz w:val="23"/>
          <w:szCs w:val="23"/>
          <w:lang w:eastAsia="en-US"/>
        </w:rPr>
      </w:pPr>
      <w:r w:rsidRPr="00883399">
        <w:rPr>
          <w:sz w:val="23"/>
          <w:szCs w:val="23"/>
          <w:lang w:eastAsia="en-US"/>
        </w:rPr>
        <w:t>Methane composition = 91%</w:t>
      </w:r>
    </w:p>
    <w:p w14:paraId="4176BDFB"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line="240" w:lineRule="auto"/>
        <w:rPr>
          <w:sz w:val="23"/>
          <w:szCs w:val="23"/>
          <w:lang w:eastAsia="en-US"/>
        </w:rPr>
      </w:pPr>
      <w:r w:rsidRPr="00883399">
        <w:rPr>
          <w:sz w:val="23"/>
          <w:szCs w:val="23"/>
          <w:lang w:eastAsia="en-US"/>
        </w:rPr>
        <w:t>Total volume of methane (Qk) = 1,000,000 x 91/100 = 910,000 m3</w:t>
      </w:r>
    </w:p>
    <w:p w14:paraId="0363105E"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p>
    <w:p w14:paraId="0A7792E2"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i/>
          <w:sz w:val="23"/>
          <w:szCs w:val="23"/>
          <w:lang w:eastAsia="en-US"/>
        </w:rPr>
        <w:t>QCO</w:t>
      </w:r>
      <w:r w:rsidRPr="00883399">
        <w:rPr>
          <w:i/>
          <w:sz w:val="23"/>
          <w:szCs w:val="23"/>
          <w:vertAlign w:val="subscript"/>
          <w:lang w:eastAsia="en-US"/>
        </w:rPr>
        <w:t>2</w:t>
      </w:r>
      <w:r w:rsidRPr="00883399">
        <w:rPr>
          <w:sz w:val="23"/>
          <w:szCs w:val="23"/>
          <w:lang w:eastAsia="en-US"/>
        </w:rPr>
        <w:t xml:space="preserve"> is the quantity of carbon dioxide within the coal mine waste gas emitted from the mine during the year, measured in CO2-e tonnes in accordance with Division 2.3.3. </w:t>
      </w:r>
    </w:p>
    <w:p w14:paraId="284AAC70"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sz w:val="23"/>
          <w:szCs w:val="23"/>
          <w:lang w:eastAsia="en-US"/>
        </w:rPr>
        <w:t>This was also determined by gas composition analysis of the coal mine waste gas(in accordance with Division 2.3.3).</w:t>
      </w:r>
    </w:p>
    <w:p w14:paraId="53C61157"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sz w:val="23"/>
          <w:szCs w:val="23"/>
          <w:lang w:eastAsia="en-US"/>
        </w:rPr>
        <w:t>The average carbon dioxide composition of the coal mine waste gas being flared during the year was 7%.</w:t>
      </w:r>
    </w:p>
    <w:p w14:paraId="70940979"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sz w:val="23"/>
          <w:szCs w:val="23"/>
          <w:lang w:eastAsia="en-US"/>
        </w:rPr>
        <w:t>Therefore, to calculate the volume of carbon dioxide within the coal mine waste gas:</w:t>
      </w:r>
    </w:p>
    <w:p w14:paraId="7A3C631C"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ind w:firstLine="720"/>
        <w:rPr>
          <w:sz w:val="23"/>
          <w:szCs w:val="23"/>
          <w:lang w:eastAsia="en-US"/>
        </w:rPr>
      </w:pPr>
      <w:r w:rsidRPr="00883399">
        <w:rPr>
          <w:sz w:val="23"/>
          <w:szCs w:val="23"/>
          <w:lang w:eastAsia="en-US"/>
        </w:rPr>
        <w:t>Coal mine waste gas volume = 1,000,000</w:t>
      </w:r>
    </w:p>
    <w:p w14:paraId="79B3289F"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ind w:firstLine="720"/>
        <w:rPr>
          <w:sz w:val="23"/>
          <w:szCs w:val="23"/>
          <w:lang w:eastAsia="en-US"/>
        </w:rPr>
      </w:pPr>
      <w:r w:rsidRPr="00883399">
        <w:rPr>
          <w:sz w:val="23"/>
          <w:szCs w:val="23"/>
          <w:lang w:eastAsia="en-US"/>
        </w:rPr>
        <w:t>Carbon dioxide composition = 7%</w:t>
      </w:r>
    </w:p>
    <w:p w14:paraId="692A5AEA"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ind w:firstLine="720"/>
        <w:rPr>
          <w:sz w:val="23"/>
          <w:szCs w:val="23"/>
          <w:lang w:eastAsia="en-US"/>
        </w:rPr>
      </w:pPr>
      <w:r w:rsidRPr="00883399">
        <w:rPr>
          <w:sz w:val="23"/>
          <w:szCs w:val="23"/>
          <w:lang w:eastAsia="en-US"/>
        </w:rPr>
        <w:t>Total volume of carbon dioxide = 1,000,000 x 7/100 = 70,000 m3</w:t>
      </w:r>
    </w:p>
    <w:p w14:paraId="18EEA64A"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sz w:val="23"/>
          <w:szCs w:val="23"/>
          <w:lang w:eastAsia="en-US"/>
        </w:rPr>
        <w:t>Carbon dioxide m3 to tonnes conversion factor at standard pressure and temperature (see Determination Section 3.21)  = 1.861 x 10-3</w:t>
      </w:r>
    </w:p>
    <w:p w14:paraId="166E3236"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sz w:val="23"/>
          <w:szCs w:val="23"/>
          <w:lang w:eastAsia="en-US"/>
        </w:rPr>
        <w:t>Therefore:</w:t>
      </w:r>
    </w:p>
    <w:p w14:paraId="1C89067B"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ind w:firstLine="720"/>
        <w:rPr>
          <w:sz w:val="23"/>
          <w:szCs w:val="23"/>
          <w:lang w:eastAsia="en-US"/>
        </w:rPr>
      </w:pPr>
      <w:r w:rsidRPr="00883399">
        <w:rPr>
          <w:sz w:val="23"/>
          <w:szCs w:val="23"/>
          <w:lang w:eastAsia="en-US"/>
        </w:rPr>
        <w:t>QCO2  = 70,000 x 1.861 x 10-3</w:t>
      </w:r>
    </w:p>
    <w:p w14:paraId="4FCA4D63"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ind w:firstLine="720"/>
        <w:rPr>
          <w:sz w:val="23"/>
          <w:szCs w:val="23"/>
          <w:lang w:eastAsia="en-US"/>
        </w:rPr>
      </w:pPr>
      <w:r w:rsidRPr="00883399">
        <w:rPr>
          <w:sz w:val="23"/>
          <w:szCs w:val="23"/>
          <w:lang w:eastAsia="en-US"/>
        </w:rPr>
        <w:t>QCO2  = 130.27 tonnes of carbon dioxide</w:t>
      </w:r>
    </w:p>
    <w:p w14:paraId="1F07AB5B"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sz w:val="23"/>
          <w:szCs w:val="23"/>
          <w:lang w:eastAsia="en-US"/>
        </w:rPr>
        <w:t xml:space="preserve">EFj is the emission factor for carbon dioxide resulting from the flaring of the methane component (j) within the coal mine waste gas from the mine during the year, measured in kilograms of CO2-e per gigajoule.. </w:t>
      </w:r>
    </w:p>
    <w:p w14:paraId="0445741D"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sz w:val="23"/>
          <w:szCs w:val="23"/>
          <w:lang w:eastAsia="en-US"/>
        </w:rPr>
        <w:t>This is determined using Section 2.22, where in;</w:t>
      </w:r>
    </w:p>
    <w:p w14:paraId="77843CE5"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ind w:firstLine="720"/>
        <w:rPr>
          <w:sz w:val="23"/>
          <w:szCs w:val="23"/>
          <w:lang w:eastAsia="en-US"/>
        </w:rPr>
      </w:pPr>
      <w:r w:rsidRPr="00883399">
        <w:rPr>
          <w:sz w:val="23"/>
          <w:szCs w:val="23"/>
          <w:lang w:eastAsia="en-US"/>
        </w:rPr>
        <w:lastRenderedPageBreak/>
        <w:t>Section 2.22 (1) the mol% will be 100% methane as the EF is specifically for methane only, and</w:t>
      </w:r>
    </w:p>
    <w:p w14:paraId="27211E85"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sz w:val="23"/>
          <w:szCs w:val="23"/>
          <w:lang w:eastAsia="en-US"/>
        </w:rPr>
        <w:t>o</w:t>
      </w:r>
      <w:r w:rsidRPr="00883399">
        <w:rPr>
          <w:sz w:val="23"/>
          <w:szCs w:val="23"/>
          <w:lang w:eastAsia="en-US"/>
        </w:rPr>
        <w:tab/>
        <w:t>Section2.22 (4) the carbon dioxide emission factor for the flared methane has been converted to kilograms of CO2-e per gigajoule, using:</w:t>
      </w:r>
    </w:p>
    <w:p w14:paraId="3C9C9B93"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sz w:val="23"/>
          <w:szCs w:val="23"/>
          <w:lang w:eastAsia="en-US"/>
        </w:rPr>
        <w:t>The energy content of coal mine waste gas mentioned in item 19 of Schedule 1 of the Determination.</w:t>
      </w:r>
    </w:p>
    <w:p w14:paraId="5F092646"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sz w:val="23"/>
          <w:szCs w:val="23"/>
          <w:lang w:eastAsia="en-US"/>
        </w:rPr>
        <w:t>The density of methane as calculated using its molecular weight in Section 2.22 (2)</w:t>
      </w:r>
    </w:p>
    <w:p w14:paraId="7D0E3D64"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sz w:val="23"/>
          <w:szCs w:val="23"/>
          <w:lang w:eastAsia="en-US"/>
        </w:rPr>
        <w:t>•</w:t>
      </w:r>
      <w:r w:rsidRPr="00883399">
        <w:rPr>
          <w:sz w:val="23"/>
          <w:szCs w:val="23"/>
          <w:lang w:eastAsia="en-US"/>
        </w:rPr>
        <w:tab/>
        <w:t>In this example it was estimated  that the carbon dioxide emission factor for the methane within the coal mine waste gas = 49.12525 kg CO2-e/GJ</w:t>
      </w:r>
    </w:p>
    <w:p w14:paraId="26563019"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sz w:val="23"/>
          <w:szCs w:val="23"/>
          <w:lang w:eastAsia="en-US"/>
        </w:rPr>
        <w:t xml:space="preserve">ECi is the energy content factor of methane within the coal mine waste gas (i), taken to be equivalent to  item 19 of Schedule 1 of the Determination, measured in gigajoules per cubic metre. </w:t>
      </w:r>
    </w:p>
    <w:p w14:paraId="537FF1D8"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sz w:val="23"/>
          <w:szCs w:val="23"/>
          <w:lang w:eastAsia="en-US"/>
        </w:rPr>
        <w:t>•</w:t>
      </w:r>
      <w:r w:rsidRPr="00883399">
        <w:rPr>
          <w:sz w:val="23"/>
          <w:szCs w:val="23"/>
          <w:lang w:eastAsia="en-US"/>
        </w:rPr>
        <w:tab/>
        <w:t>In this example the energy content for coal mine waste gas in Schedule 1 of the NGER (Measurement) Determination = 37.7 x 10-3 GJ/m3</w:t>
      </w:r>
    </w:p>
    <w:p w14:paraId="6E6DBF3C"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sz w:val="23"/>
          <w:szCs w:val="23"/>
          <w:lang w:eastAsia="en-US"/>
        </w:rPr>
        <w:t xml:space="preserve">OFi = 0.98, which is the flaring efficiency factor of coal mine waste gas (i) flared. </w:t>
      </w:r>
    </w:p>
    <w:p w14:paraId="034E63DA"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sz w:val="23"/>
          <w:szCs w:val="23"/>
          <w:lang w:eastAsia="en-US"/>
        </w:rPr>
        <w:t>Therefore, to calculate the CO2 emissions from coal mine waste gas flared:</w:t>
      </w:r>
    </w:p>
    <w:p w14:paraId="715949D4"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ind w:firstLine="720"/>
        <w:rPr>
          <w:sz w:val="23"/>
          <w:szCs w:val="23"/>
          <w:lang w:eastAsia="en-US"/>
        </w:rPr>
      </w:pPr>
      <w:r w:rsidRPr="00883399">
        <w:rPr>
          <w:sz w:val="23"/>
          <w:szCs w:val="23"/>
          <w:lang w:eastAsia="en-US"/>
        </w:rPr>
        <w:t>Qj = 910,000 m3 of methane</w:t>
      </w:r>
    </w:p>
    <w:p w14:paraId="09724D99"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ind w:firstLine="720"/>
        <w:rPr>
          <w:sz w:val="23"/>
          <w:szCs w:val="23"/>
          <w:lang w:eastAsia="en-US"/>
        </w:rPr>
      </w:pPr>
      <w:r w:rsidRPr="00883399">
        <w:rPr>
          <w:sz w:val="23"/>
          <w:szCs w:val="23"/>
          <w:lang w:eastAsia="en-US"/>
        </w:rPr>
        <w:t>ECi =37.7 x 10-3 GJ/m3</w:t>
      </w:r>
    </w:p>
    <w:p w14:paraId="01178947"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ind w:firstLine="720"/>
        <w:rPr>
          <w:sz w:val="23"/>
          <w:szCs w:val="23"/>
          <w:lang w:eastAsia="en-US"/>
        </w:rPr>
      </w:pPr>
      <w:r w:rsidRPr="00883399">
        <w:rPr>
          <w:sz w:val="23"/>
          <w:szCs w:val="23"/>
          <w:lang w:eastAsia="en-US"/>
        </w:rPr>
        <w:t>EFj = 49.12525 kg CO2-e/GJ</w:t>
      </w:r>
    </w:p>
    <w:p w14:paraId="7EFA2016"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ind w:firstLine="720"/>
        <w:rPr>
          <w:sz w:val="23"/>
          <w:szCs w:val="23"/>
          <w:lang w:eastAsia="en-US"/>
        </w:rPr>
      </w:pPr>
      <w:r w:rsidRPr="00883399">
        <w:rPr>
          <w:sz w:val="23"/>
          <w:szCs w:val="23"/>
          <w:lang w:eastAsia="en-US"/>
        </w:rPr>
        <w:t>OFi = 0.98</w:t>
      </w:r>
    </w:p>
    <w:p w14:paraId="5CADEE24"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ind w:firstLine="720"/>
        <w:rPr>
          <w:sz w:val="23"/>
          <w:szCs w:val="23"/>
          <w:lang w:eastAsia="en-US"/>
        </w:rPr>
      </w:pPr>
      <w:r w:rsidRPr="00883399">
        <w:rPr>
          <w:sz w:val="23"/>
          <w:szCs w:val="23"/>
          <w:lang w:eastAsia="en-US"/>
        </w:rPr>
        <w:t>QCO2  = 130.27 tonnes of carbon dioxide</w:t>
      </w:r>
    </w:p>
    <w:p w14:paraId="1795D417"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ind w:firstLine="720"/>
        <w:rPr>
          <w:sz w:val="23"/>
          <w:szCs w:val="23"/>
          <w:lang w:eastAsia="en-US"/>
        </w:rPr>
      </w:pPr>
      <w:r w:rsidRPr="00883399">
        <w:rPr>
          <w:sz w:val="23"/>
          <w:szCs w:val="23"/>
          <w:lang w:eastAsia="en-US"/>
        </w:rPr>
        <w:t>= ((910,000 x 37.7 x 10-3 x 49.12525)/1000 x 0.98) + 130.27</w:t>
      </w:r>
    </w:p>
    <w:p w14:paraId="69F6373E"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ind w:firstLine="720"/>
        <w:rPr>
          <w:sz w:val="23"/>
          <w:szCs w:val="23"/>
          <w:lang w:eastAsia="en-US"/>
        </w:rPr>
      </w:pPr>
      <w:r w:rsidRPr="00883399">
        <w:rPr>
          <w:sz w:val="23"/>
          <w:szCs w:val="23"/>
          <w:lang w:eastAsia="en-US"/>
        </w:rPr>
        <w:lastRenderedPageBreak/>
        <w:t>=  1781.90325819221</w:t>
      </w:r>
    </w:p>
    <w:p w14:paraId="25B22AE7" w14:textId="77777777" w:rsidR="00000AEA" w:rsidRPr="00883399" w:rsidRDefault="00000AEA" w:rsidP="00000AEA">
      <w:pPr>
        <w:pBdr>
          <w:top w:val="single" w:sz="4" w:space="1" w:color="auto"/>
          <w:left w:val="single" w:sz="4" w:space="4" w:color="auto"/>
          <w:bottom w:val="single" w:sz="4" w:space="1" w:color="auto"/>
          <w:right w:val="single" w:sz="4" w:space="4" w:color="auto"/>
        </w:pBdr>
        <w:spacing w:after="240"/>
        <w:rPr>
          <w:lang w:eastAsia="en-US"/>
        </w:rPr>
      </w:pPr>
      <w:r w:rsidRPr="00883399">
        <w:rPr>
          <w:sz w:val="23"/>
          <w:szCs w:val="23"/>
          <w:lang w:eastAsia="en-US"/>
        </w:rPr>
        <w:t>Therefore, the total CO2 emissions from the flaring of coal seam waste gas = 1,781.90 tonnes.</w:t>
      </w:r>
    </w:p>
    <w:p w14:paraId="3F24B08B" w14:textId="09830EA4" w:rsidR="00872C03" w:rsidRPr="00883399" w:rsidRDefault="00872C03" w:rsidP="00872C03">
      <w:pPr>
        <w:pStyle w:val="ActHead4"/>
        <w:rPr>
          <w:rStyle w:val="CharSubdText"/>
          <w:sz w:val="28"/>
        </w:rPr>
      </w:pPr>
      <w:bookmarkStart w:id="453" w:name="_Toc495652790"/>
      <w:r w:rsidRPr="00883399">
        <w:rPr>
          <w:rStyle w:val="CharSubdNo"/>
          <w:sz w:val="28"/>
        </w:rPr>
        <w:t>Subdivision 3.2.2.4</w:t>
      </w:r>
      <w:r w:rsidRPr="00883399">
        <w:rPr>
          <w:sz w:val="28"/>
        </w:rPr>
        <w:t>—</w:t>
      </w:r>
      <w:r w:rsidRPr="00883399">
        <w:rPr>
          <w:rStyle w:val="CharSubdText"/>
          <w:sz w:val="28"/>
        </w:rPr>
        <w:t>Fugitive emissions from post</w:t>
      </w:r>
      <w:r w:rsidRPr="00883399">
        <w:rPr>
          <w:rStyle w:val="CharSubdText"/>
          <w:sz w:val="28"/>
        </w:rPr>
        <w:noBreakHyphen/>
        <w:t>mining activities</w:t>
      </w:r>
      <w:bookmarkEnd w:id="452"/>
      <w:bookmarkEnd w:id="453"/>
    </w:p>
    <w:p w14:paraId="7D95890D" w14:textId="77777777" w:rsidR="00872C03" w:rsidRPr="00883399" w:rsidRDefault="00872C03" w:rsidP="00872C03">
      <w:pPr>
        <w:pStyle w:val="Text"/>
        <w:rPr>
          <w:rFonts w:ascii="Arial" w:hAnsi="Arial" w:cs="Arial"/>
          <w:b/>
          <w:sz w:val="22"/>
          <w:szCs w:val="22"/>
        </w:rPr>
      </w:pPr>
      <w:r w:rsidRPr="00883399">
        <w:rPr>
          <w:rFonts w:ascii="Arial" w:hAnsi="Arial" w:cs="Arial"/>
          <w:sz w:val="22"/>
          <w:szCs w:val="22"/>
        </w:rPr>
        <w:t>Most fugitive greenhouse gas emissions are released from coal during the mining process. However some residual gas remains trapped within the coal after extraction, and is slowly released during, handling, transportation and stockpiling of the coal</w:t>
      </w:r>
      <w:r w:rsidRPr="00883399">
        <w:rPr>
          <w:rFonts w:ascii="Arial" w:hAnsi="Arial" w:cs="Arial"/>
          <w:b/>
          <w:sz w:val="22"/>
          <w:szCs w:val="22"/>
        </w:rPr>
        <w:t>.</w:t>
      </w:r>
    </w:p>
    <w:p w14:paraId="6CB7BFA4" w14:textId="77777777" w:rsidR="00C335B2" w:rsidRPr="00883399" w:rsidRDefault="00C335B2" w:rsidP="00872C03">
      <w:pPr>
        <w:pStyle w:val="Text"/>
        <w:rPr>
          <w:rFonts w:ascii="Arial" w:hAnsi="Arial" w:cs="Arial"/>
          <w:b/>
          <w:sz w:val="22"/>
          <w:szCs w:val="22"/>
        </w:rPr>
      </w:pPr>
    </w:p>
    <w:p w14:paraId="603FE399" w14:textId="77777777" w:rsidR="00C335B2" w:rsidRPr="00883399" w:rsidRDefault="00C335B2" w:rsidP="00872C03">
      <w:pPr>
        <w:pStyle w:val="Text"/>
        <w:rPr>
          <w:rFonts w:ascii="Arial" w:hAnsi="Arial" w:cs="Arial"/>
          <w:b/>
          <w:sz w:val="22"/>
          <w:szCs w:val="22"/>
        </w:rPr>
      </w:pPr>
    </w:p>
    <w:p w14:paraId="0E0B4984" w14:textId="04998C19" w:rsidR="00872C03" w:rsidRPr="00883399" w:rsidRDefault="00872C03" w:rsidP="00872C03">
      <w:pPr>
        <w:pStyle w:val="ActHead5"/>
        <w:rPr>
          <w:sz w:val="28"/>
        </w:rPr>
      </w:pPr>
      <w:bookmarkStart w:id="454" w:name="_Toc423516872"/>
      <w:bookmarkStart w:id="455" w:name="_Toc495652791"/>
      <w:r w:rsidRPr="00883399">
        <w:rPr>
          <w:rStyle w:val="CharSectno"/>
          <w:sz w:val="28"/>
        </w:rPr>
        <w:t>3.17</w:t>
      </w:r>
      <w:r w:rsidRPr="00883399">
        <w:rPr>
          <w:sz w:val="28"/>
        </w:rPr>
        <w:t xml:space="preserve">  Method 1—post</w:t>
      </w:r>
      <w:r w:rsidRPr="00883399">
        <w:rPr>
          <w:sz w:val="28"/>
        </w:rPr>
        <w:noBreakHyphen/>
        <w:t>mining activities related to gassy mines</w:t>
      </w:r>
      <w:bookmarkEnd w:id="454"/>
      <w:bookmarkEnd w:id="455"/>
    </w:p>
    <w:p w14:paraId="620FF3C4" w14:textId="77777777" w:rsidR="00872C03" w:rsidRPr="00883399" w:rsidRDefault="00872C03" w:rsidP="00872C03">
      <w:pPr>
        <w:pStyle w:val="subsection"/>
      </w:pPr>
    </w:p>
    <w:p w14:paraId="1907837E" w14:textId="77777777" w:rsidR="00872C03" w:rsidRPr="00883399" w:rsidRDefault="00872C03" w:rsidP="00872C03">
      <w:pPr>
        <w:pStyle w:val="R1"/>
        <w:keepLines w:val="0"/>
        <w:spacing w:before="240" w:line="312" w:lineRule="auto"/>
        <w:ind w:left="0" w:firstLine="0"/>
        <w:jc w:val="left"/>
        <w:rPr>
          <w:rFonts w:ascii="Arial" w:hAnsi="Arial" w:cs="Arial"/>
          <w:sz w:val="22"/>
          <w:szCs w:val="22"/>
        </w:rPr>
      </w:pPr>
      <w:r w:rsidRPr="00883399">
        <w:rPr>
          <w:rFonts w:ascii="Arial" w:hAnsi="Arial" w:cs="Arial"/>
          <w:sz w:val="22"/>
          <w:szCs w:val="22"/>
        </w:rPr>
        <w:t xml:space="preserve">Method 1 for estimating emissions from post-mining activities, with the source as described in IPCC 2006, is associated with gassy underground mines only. </w:t>
      </w:r>
    </w:p>
    <w:p w14:paraId="504C31B8" w14:textId="77777777" w:rsidR="00872C03" w:rsidRPr="00883399" w:rsidRDefault="00872C03" w:rsidP="00872C03">
      <w:pPr>
        <w:pStyle w:val="R1"/>
        <w:keepLines w:val="0"/>
        <w:spacing w:before="240" w:line="312" w:lineRule="auto"/>
        <w:ind w:left="0" w:firstLine="0"/>
        <w:jc w:val="left"/>
        <w:rPr>
          <w:rFonts w:ascii="Arial" w:hAnsi="Arial" w:cs="Arial"/>
          <w:sz w:val="22"/>
          <w:szCs w:val="22"/>
        </w:rPr>
      </w:pPr>
      <w:r w:rsidRPr="00883399">
        <w:rPr>
          <w:rFonts w:ascii="Arial" w:hAnsi="Arial" w:cs="Arial"/>
          <w:sz w:val="22"/>
          <w:szCs w:val="22"/>
        </w:rPr>
        <w:tab/>
        <w:t xml:space="preserve">The method is derived from the </w:t>
      </w:r>
      <w:r w:rsidRPr="00883399">
        <w:rPr>
          <w:rFonts w:ascii="Arial" w:hAnsi="Arial" w:cs="Arial"/>
          <w:i/>
          <w:sz w:val="22"/>
          <w:szCs w:val="22"/>
        </w:rPr>
        <w:t xml:space="preserve">National Greenhouse Account </w:t>
      </w:r>
      <w:r w:rsidRPr="00883399">
        <w:rPr>
          <w:rFonts w:ascii="Arial" w:hAnsi="Arial" w:cs="Arial"/>
          <w:sz w:val="22"/>
          <w:szCs w:val="22"/>
        </w:rPr>
        <w:t xml:space="preserve">national methodology as published in the </w:t>
      </w:r>
      <w:r w:rsidRPr="00883399">
        <w:rPr>
          <w:rFonts w:ascii="Arial" w:hAnsi="Arial" w:cs="Arial"/>
          <w:i/>
          <w:sz w:val="22"/>
          <w:szCs w:val="22"/>
        </w:rPr>
        <w:t>National Inventory Report</w:t>
      </w:r>
      <w:r w:rsidRPr="00883399">
        <w:rPr>
          <w:rFonts w:ascii="Arial" w:hAnsi="Arial" w:cs="Arial"/>
          <w:sz w:val="22"/>
          <w:szCs w:val="22"/>
        </w:rPr>
        <w:t xml:space="preserve">. Emissions are estimated by multiplying a (physical) quantity of run-of-mine coal extracted by an emission factor. </w:t>
      </w:r>
    </w:p>
    <w:p w14:paraId="161C3B7C" w14:textId="77777777" w:rsidR="00872C03" w:rsidRPr="00883399" w:rsidRDefault="00872C03" w:rsidP="00872C03">
      <w:pPr>
        <w:pStyle w:val="R1"/>
        <w:keepLines w:val="0"/>
        <w:spacing w:before="240" w:line="312" w:lineRule="auto"/>
        <w:ind w:left="0" w:firstLine="0"/>
        <w:jc w:val="left"/>
      </w:pPr>
      <w:r w:rsidRPr="00883399">
        <w:rPr>
          <w:rFonts w:ascii="Arial" w:hAnsi="Arial" w:cs="Arial"/>
          <w:sz w:val="22"/>
          <w:szCs w:val="22"/>
        </w:rPr>
        <w:tab/>
        <w:t>It is intended that consideration will be given to the development of additional higher order methods for this source in future</w:t>
      </w:r>
      <w:r w:rsidRPr="00883399">
        <w:t xml:space="preserve">. </w:t>
      </w:r>
    </w:p>
    <w:p w14:paraId="5422BD24" w14:textId="77777777" w:rsidR="00872C03" w:rsidRPr="00883399" w:rsidRDefault="00872C03" w:rsidP="00872C03">
      <w:pPr>
        <w:pStyle w:val="subsection"/>
        <w:rPr>
          <w:sz w:val="24"/>
        </w:rPr>
      </w:pPr>
      <w:r w:rsidRPr="00883399">
        <w:rPr>
          <w:sz w:val="24"/>
        </w:rPr>
        <w:tab/>
        <w:t>(1)</w:t>
      </w:r>
      <w:r w:rsidRPr="00883399">
        <w:rPr>
          <w:sz w:val="24"/>
        </w:rPr>
        <w:tab/>
        <w:t>For subsection 3.4(6), method 1 is the same as method 1 under section 3.5.</w:t>
      </w:r>
    </w:p>
    <w:p w14:paraId="53BEF7A7" w14:textId="77777777" w:rsidR="00872C03" w:rsidRPr="00883399" w:rsidRDefault="00872C03" w:rsidP="00872C03">
      <w:pPr>
        <w:pStyle w:val="subsection"/>
        <w:rPr>
          <w:sz w:val="24"/>
        </w:rPr>
      </w:pPr>
      <w:r w:rsidRPr="00883399">
        <w:rPr>
          <w:sz w:val="24"/>
        </w:rPr>
        <w:tab/>
        <w:t>(2)</w:t>
      </w:r>
      <w:r w:rsidRPr="00883399">
        <w:rPr>
          <w:sz w:val="24"/>
        </w:rPr>
        <w:tab/>
        <w:t xml:space="preserve">In applying method 1 under section 3.5, </w:t>
      </w:r>
      <w:r w:rsidRPr="00883399">
        <w:rPr>
          <w:b/>
          <w:i/>
          <w:sz w:val="24"/>
        </w:rPr>
        <w:t>EF</w:t>
      </w:r>
      <w:r w:rsidRPr="00883399">
        <w:rPr>
          <w:b/>
          <w:i/>
          <w:sz w:val="24"/>
          <w:vertAlign w:val="subscript"/>
        </w:rPr>
        <w:t>j</w:t>
      </w:r>
      <w:r w:rsidRPr="00883399">
        <w:rPr>
          <w:sz w:val="24"/>
        </w:rPr>
        <w:t xml:space="preserve"> is taken to be 0.017, which is the emission factor for methane (</w:t>
      </w:r>
      <w:r w:rsidRPr="00883399">
        <w:rPr>
          <w:b/>
          <w:i/>
          <w:sz w:val="24"/>
        </w:rPr>
        <w:t>j</w:t>
      </w:r>
      <w:r w:rsidRPr="00883399">
        <w:rPr>
          <w:sz w:val="24"/>
        </w:rPr>
        <w:t>), measured in CO</w:t>
      </w:r>
      <w:r w:rsidRPr="00883399">
        <w:rPr>
          <w:rStyle w:val="charSubscript"/>
          <w:sz w:val="24"/>
        </w:rPr>
        <w:t>2</w:t>
      </w:r>
      <w:r w:rsidRPr="00883399">
        <w:rPr>
          <w:sz w:val="24"/>
        </w:rPr>
        <w:noBreakHyphen/>
        <w:t>e tonnes per tonne of run</w:t>
      </w:r>
      <w:r w:rsidRPr="00883399">
        <w:rPr>
          <w:sz w:val="24"/>
        </w:rPr>
        <w:noBreakHyphen/>
        <w:t>of</w:t>
      </w:r>
      <w:r w:rsidRPr="00883399">
        <w:rPr>
          <w:sz w:val="24"/>
        </w:rPr>
        <w:noBreakHyphen/>
        <w:t>mine coal extracted from the mine.</w:t>
      </w:r>
    </w:p>
    <w:p w14:paraId="602F98E2" w14:textId="183E8D48" w:rsidR="00872C03" w:rsidRPr="00883399" w:rsidRDefault="00872C03" w:rsidP="00872C03">
      <w:pPr>
        <w:pStyle w:val="ActHead3"/>
        <w:pageBreakBefore/>
        <w:rPr>
          <w:rStyle w:val="CharDivText"/>
          <w:sz w:val="32"/>
        </w:rPr>
      </w:pPr>
      <w:bookmarkStart w:id="456" w:name="_Toc423516873"/>
      <w:bookmarkStart w:id="457" w:name="_Toc495652792"/>
      <w:r w:rsidRPr="00883399">
        <w:rPr>
          <w:rStyle w:val="CharDivNo"/>
          <w:sz w:val="32"/>
        </w:rPr>
        <w:lastRenderedPageBreak/>
        <w:t>Division 3.2.3</w:t>
      </w:r>
      <w:r w:rsidRPr="00883399">
        <w:rPr>
          <w:sz w:val="32"/>
        </w:rPr>
        <w:t>—</w:t>
      </w:r>
      <w:r w:rsidRPr="00883399">
        <w:rPr>
          <w:rStyle w:val="CharDivText"/>
          <w:sz w:val="32"/>
        </w:rPr>
        <w:t>Open cut mines</w:t>
      </w:r>
      <w:bookmarkEnd w:id="456"/>
      <w:bookmarkEnd w:id="457"/>
    </w:p>
    <w:p w14:paraId="1D09006D"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Fugitive emissions from open cut mines involve the release of methane and carbon dioxide during the mining process due to the fracturing of coal seams, overburden and underburden strata. Emissions also occur when coal mine waste gas is flared or is vented during degasification of the coal seams prior to the commencement of coal extraction. </w:t>
      </w:r>
    </w:p>
    <w:p w14:paraId="7D6225C4" w14:textId="21C8182B" w:rsidR="00872C03" w:rsidRPr="00883399" w:rsidRDefault="00872C03" w:rsidP="00872C03">
      <w:pPr>
        <w:pStyle w:val="ActHead4"/>
        <w:rPr>
          <w:sz w:val="28"/>
        </w:rPr>
      </w:pPr>
      <w:bookmarkStart w:id="458" w:name="_Toc423516874"/>
      <w:bookmarkStart w:id="459" w:name="_Toc495652793"/>
      <w:r w:rsidRPr="00883399">
        <w:rPr>
          <w:rStyle w:val="CharSubdNo"/>
          <w:sz w:val="28"/>
        </w:rPr>
        <w:t>Subdivision 3.2.3.1</w:t>
      </w:r>
      <w:r w:rsidRPr="00883399">
        <w:rPr>
          <w:sz w:val="28"/>
        </w:rPr>
        <w:t>—</w:t>
      </w:r>
      <w:r w:rsidRPr="00883399">
        <w:rPr>
          <w:rStyle w:val="CharSubdText"/>
          <w:sz w:val="28"/>
        </w:rPr>
        <w:t>Preliminary</w:t>
      </w:r>
      <w:bookmarkEnd w:id="458"/>
      <w:bookmarkEnd w:id="459"/>
    </w:p>
    <w:p w14:paraId="394FDE0B" w14:textId="79174AED" w:rsidR="00872C03" w:rsidRPr="00883399" w:rsidRDefault="00872C03" w:rsidP="00872C03">
      <w:pPr>
        <w:pStyle w:val="ActHead5"/>
        <w:rPr>
          <w:sz w:val="28"/>
        </w:rPr>
      </w:pPr>
      <w:bookmarkStart w:id="460" w:name="_Toc423516875"/>
      <w:bookmarkStart w:id="461" w:name="_Toc495652794"/>
      <w:r w:rsidRPr="00883399">
        <w:rPr>
          <w:rStyle w:val="CharSectno"/>
          <w:sz w:val="28"/>
        </w:rPr>
        <w:t>3.18</w:t>
      </w:r>
      <w:r w:rsidRPr="00883399">
        <w:rPr>
          <w:sz w:val="28"/>
        </w:rPr>
        <w:t xml:space="preserve">  Application</w:t>
      </w:r>
      <w:bookmarkEnd w:id="460"/>
      <w:bookmarkEnd w:id="461"/>
    </w:p>
    <w:p w14:paraId="48061FFE" w14:textId="77777777" w:rsidR="00872C03" w:rsidRPr="00883399" w:rsidRDefault="00872C03" w:rsidP="00872C03">
      <w:pPr>
        <w:pStyle w:val="subsection"/>
        <w:rPr>
          <w:sz w:val="24"/>
        </w:rPr>
      </w:pPr>
      <w:r w:rsidRPr="00883399">
        <w:rPr>
          <w:sz w:val="24"/>
        </w:rPr>
        <w:tab/>
      </w:r>
      <w:r w:rsidRPr="00883399">
        <w:rPr>
          <w:sz w:val="24"/>
        </w:rPr>
        <w:tab/>
        <w:t>This Division applies to fugitive emissions from open cut mining activities.</w:t>
      </w:r>
    </w:p>
    <w:p w14:paraId="2E061E81" w14:textId="67830A3B" w:rsidR="00872C03" w:rsidRPr="00883399" w:rsidRDefault="00872C03" w:rsidP="00872C03">
      <w:pPr>
        <w:pStyle w:val="ActHead5"/>
        <w:rPr>
          <w:sz w:val="28"/>
        </w:rPr>
      </w:pPr>
      <w:bookmarkStart w:id="462" w:name="_Toc423516876"/>
      <w:bookmarkStart w:id="463" w:name="_Toc495652795"/>
      <w:r w:rsidRPr="00883399">
        <w:rPr>
          <w:rStyle w:val="CharSectno"/>
          <w:sz w:val="28"/>
        </w:rPr>
        <w:t>3.19</w:t>
      </w:r>
      <w:r w:rsidRPr="00883399">
        <w:rPr>
          <w:sz w:val="28"/>
        </w:rPr>
        <w:t xml:space="preserve">  Available methods</w:t>
      </w:r>
      <w:bookmarkEnd w:id="462"/>
      <w:bookmarkEnd w:id="463"/>
    </w:p>
    <w:p w14:paraId="3BCCFC6D" w14:textId="77777777" w:rsidR="00872C03" w:rsidRPr="00883399" w:rsidRDefault="00872C03" w:rsidP="00872C03">
      <w:pPr>
        <w:pStyle w:val="subsection"/>
        <w:rPr>
          <w:sz w:val="24"/>
        </w:rPr>
      </w:pPr>
      <w:r w:rsidRPr="00883399">
        <w:rPr>
          <w:sz w:val="24"/>
        </w:rPr>
        <w:tab/>
        <w:t>(1)</w:t>
      </w:r>
      <w:r w:rsidRPr="00883399">
        <w:rPr>
          <w:sz w:val="24"/>
        </w:rPr>
        <w:tab/>
        <w:t>Subject to section 1.18, for estimating emissions released during a year from the operation of a facility that is constituted by an open cut mine the methods as set out in this section must be used.</w:t>
      </w:r>
    </w:p>
    <w:p w14:paraId="41FCB8F7" w14:textId="77777777" w:rsidR="00872C03" w:rsidRPr="00883399" w:rsidRDefault="00872C03" w:rsidP="00872C03">
      <w:pPr>
        <w:pStyle w:val="SubsectionHead"/>
        <w:rPr>
          <w:sz w:val="24"/>
        </w:rPr>
      </w:pPr>
      <w:r w:rsidRPr="00883399">
        <w:rPr>
          <w:sz w:val="24"/>
        </w:rPr>
        <w:t>Methane from extraction of coal</w:t>
      </w:r>
    </w:p>
    <w:p w14:paraId="1750ADA1" w14:textId="77777777" w:rsidR="00872C03" w:rsidRPr="00883399" w:rsidRDefault="00872C03" w:rsidP="00872C03">
      <w:pPr>
        <w:pStyle w:val="subsection"/>
        <w:rPr>
          <w:sz w:val="24"/>
        </w:rPr>
      </w:pPr>
      <w:r w:rsidRPr="00883399">
        <w:rPr>
          <w:sz w:val="24"/>
        </w:rPr>
        <w:tab/>
        <w:t>(2)</w:t>
      </w:r>
      <w:r w:rsidRPr="00883399">
        <w:rPr>
          <w:sz w:val="24"/>
        </w:rPr>
        <w:tab/>
        <w:t>Subject to subsection (7), one of the following methods must be used for estimating fugitive emissions of methane that result from the extraction of coal from the mine:</w:t>
      </w:r>
    </w:p>
    <w:p w14:paraId="0D21C16C" w14:textId="77777777" w:rsidR="00872C03" w:rsidRPr="00883399" w:rsidRDefault="00872C03" w:rsidP="00872C03">
      <w:pPr>
        <w:pStyle w:val="paragraph"/>
        <w:rPr>
          <w:sz w:val="24"/>
        </w:rPr>
      </w:pPr>
      <w:r w:rsidRPr="00883399">
        <w:rPr>
          <w:sz w:val="24"/>
        </w:rPr>
        <w:tab/>
        <w:t>(a)</w:t>
      </w:r>
      <w:r w:rsidRPr="00883399">
        <w:rPr>
          <w:sz w:val="24"/>
        </w:rPr>
        <w:tab/>
        <w:t>method 1 under section 3.20;</w:t>
      </w:r>
    </w:p>
    <w:p w14:paraId="63060E18" w14:textId="77777777" w:rsidR="00872C03" w:rsidRPr="00883399" w:rsidRDefault="00872C03" w:rsidP="00872C03">
      <w:pPr>
        <w:pStyle w:val="paragraph"/>
        <w:rPr>
          <w:sz w:val="24"/>
        </w:rPr>
      </w:pPr>
      <w:r w:rsidRPr="00883399">
        <w:rPr>
          <w:sz w:val="24"/>
        </w:rPr>
        <w:tab/>
        <w:t>(b)</w:t>
      </w:r>
      <w:r w:rsidRPr="00883399">
        <w:rPr>
          <w:sz w:val="24"/>
        </w:rPr>
        <w:tab/>
        <w:t>method 2 under section 3.21;</w:t>
      </w:r>
    </w:p>
    <w:p w14:paraId="7A57A1F5" w14:textId="77777777" w:rsidR="00872C03" w:rsidRPr="00883399" w:rsidRDefault="00872C03" w:rsidP="00872C03">
      <w:pPr>
        <w:pStyle w:val="paragraph"/>
        <w:rPr>
          <w:sz w:val="24"/>
        </w:rPr>
      </w:pPr>
      <w:r w:rsidRPr="00883399">
        <w:rPr>
          <w:sz w:val="24"/>
        </w:rPr>
        <w:tab/>
        <w:t>(c)</w:t>
      </w:r>
      <w:r w:rsidRPr="00883399">
        <w:rPr>
          <w:sz w:val="24"/>
        </w:rPr>
        <w:tab/>
        <w:t>method 3 under section 3.26.</w:t>
      </w:r>
    </w:p>
    <w:p w14:paraId="0EED1BC8" w14:textId="77777777" w:rsidR="00872C03" w:rsidRPr="00883399" w:rsidRDefault="00872C03" w:rsidP="00872C03">
      <w:pPr>
        <w:pStyle w:val="notetext"/>
        <w:rPr>
          <w:sz w:val="20"/>
        </w:rPr>
      </w:pPr>
      <w:r w:rsidRPr="00883399">
        <w:rPr>
          <w:sz w:val="20"/>
        </w:rPr>
        <w:t>Note:</w:t>
      </w:r>
      <w:r w:rsidRPr="00883399">
        <w:rPr>
          <w:sz w:val="20"/>
        </w:rPr>
        <w:tab/>
        <w:t>There is no method 4 for subsection (2).</w:t>
      </w:r>
    </w:p>
    <w:p w14:paraId="394F9129" w14:textId="77777777" w:rsidR="00872C03" w:rsidRPr="00883399" w:rsidRDefault="00872C03" w:rsidP="00872C03">
      <w:pPr>
        <w:pStyle w:val="SubsectionHead"/>
        <w:rPr>
          <w:sz w:val="24"/>
        </w:rPr>
      </w:pPr>
      <w:r w:rsidRPr="00883399">
        <w:rPr>
          <w:sz w:val="24"/>
        </w:rPr>
        <w:t>Carbon dioxide from extraction of coal</w:t>
      </w:r>
    </w:p>
    <w:p w14:paraId="3C80B301" w14:textId="77777777" w:rsidR="00872C03" w:rsidRPr="00883399" w:rsidRDefault="00872C03" w:rsidP="00872C03">
      <w:pPr>
        <w:pStyle w:val="subsection"/>
        <w:rPr>
          <w:sz w:val="24"/>
        </w:rPr>
      </w:pPr>
      <w:r w:rsidRPr="00883399">
        <w:rPr>
          <w:sz w:val="24"/>
        </w:rPr>
        <w:tab/>
        <w:t>(3)</w:t>
      </w:r>
      <w:r w:rsidRPr="00883399">
        <w:rPr>
          <w:sz w:val="24"/>
        </w:rPr>
        <w:tab/>
        <w:t>If method 2 under section 3.21 is used under subsection (2), that method must be used for estimating fugitive emissions of carbon dioxide that result from the extraction of coal from the open cut mine.</w:t>
      </w:r>
    </w:p>
    <w:p w14:paraId="305FF06D" w14:textId="77777777" w:rsidR="00872C03" w:rsidRPr="00883399" w:rsidRDefault="00872C03" w:rsidP="00872C03">
      <w:pPr>
        <w:pStyle w:val="subsection"/>
        <w:rPr>
          <w:sz w:val="24"/>
        </w:rPr>
      </w:pPr>
      <w:r w:rsidRPr="00883399">
        <w:rPr>
          <w:sz w:val="24"/>
        </w:rPr>
        <w:tab/>
        <w:t>(4)</w:t>
      </w:r>
      <w:r w:rsidRPr="00883399">
        <w:rPr>
          <w:sz w:val="24"/>
        </w:rPr>
        <w:tab/>
        <w:t>If method 3 under section 3.26 is used under subsection (2), that method must be used for estimating fugitive emissions of carbon dioxide that result from the extraction of coal from the open cut mine.</w:t>
      </w:r>
    </w:p>
    <w:p w14:paraId="6B974EE0" w14:textId="77777777" w:rsidR="00872C03" w:rsidRPr="00883399" w:rsidRDefault="00872C03" w:rsidP="00872C03">
      <w:pPr>
        <w:pStyle w:val="notetext"/>
        <w:rPr>
          <w:sz w:val="20"/>
        </w:rPr>
      </w:pPr>
      <w:r w:rsidRPr="00883399">
        <w:rPr>
          <w:sz w:val="20"/>
        </w:rPr>
        <w:t>Note:</w:t>
      </w:r>
      <w:r w:rsidRPr="00883399">
        <w:rPr>
          <w:sz w:val="20"/>
        </w:rPr>
        <w:tab/>
        <w:t>There is no method 1 or 4 for estimating fugitive emissions of carbon dioxide that result from the extraction of coal from an open cut mine.</w:t>
      </w:r>
    </w:p>
    <w:p w14:paraId="26B9D9F1" w14:textId="77777777" w:rsidR="00872C03" w:rsidRPr="00883399" w:rsidRDefault="00872C03" w:rsidP="00872C03">
      <w:pPr>
        <w:pStyle w:val="SubsectionHead"/>
        <w:rPr>
          <w:sz w:val="24"/>
        </w:rPr>
      </w:pPr>
      <w:r w:rsidRPr="00883399">
        <w:rPr>
          <w:sz w:val="24"/>
        </w:rPr>
        <w:lastRenderedPageBreak/>
        <w:t>Flaring</w:t>
      </w:r>
    </w:p>
    <w:p w14:paraId="42EAC20D" w14:textId="77777777" w:rsidR="00872C03" w:rsidRPr="00883399" w:rsidRDefault="00872C03" w:rsidP="00872C03">
      <w:pPr>
        <w:pStyle w:val="subsection"/>
        <w:rPr>
          <w:sz w:val="24"/>
        </w:rPr>
      </w:pPr>
      <w:r w:rsidRPr="00883399">
        <w:rPr>
          <w:sz w:val="24"/>
        </w:rPr>
        <w:tab/>
        <w:t>(5)</w:t>
      </w:r>
      <w:r w:rsidRPr="00883399">
        <w:rPr>
          <w:sz w:val="24"/>
        </w:rPr>
        <w:tab/>
        <w:t>For estimating emissions released from coal mine waste gas flared from the open cut mine:</w:t>
      </w:r>
    </w:p>
    <w:p w14:paraId="43233BD9" w14:textId="77777777" w:rsidR="00872C03" w:rsidRPr="00883399" w:rsidRDefault="00872C03" w:rsidP="00872C03">
      <w:pPr>
        <w:pStyle w:val="paragraph"/>
        <w:rPr>
          <w:sz w:val="24"/>
        </w:rPr>
      </w:pPr>
      <w:r w:rsidRPr="00883399">
        <w:rPr>
          <w:sz w:val="24"/>
        </w:rPr>
        <w:tab/>
        <w:t>(a)</w:t>
      </w:r>
      <w:r w:rsidRPr="00883399">
        <w:rPr>
          <w:sz w:val="24"/>
        </w:rPr>
        <w:tab/>
        <w:t>one of the following methods must be used for estimating emissions of carbon dioxide released:</w:t>
      </w:r>
    </w:p>
    <w:p w14:paraId="39BBC67B" w14:textId="77777777" w:rsidR="00872C03" w:rsidRPr="00883399" w:rsidRDefault="00872C03" w:rsidP="00872C03">
      <w:pPr>
        <w:pStyle w:val="paragraphsub"/>
        <w:rPr>
          <w:sz w:val="24"/>
        </w:rPr>
      </w:pPr>
      <w:r w:rsidRPr="00883399">
        <w:rPr>
          <w:sz w:val="24"/>
        </w:rPr>
        <w:tab/>
        <w:t>(i)</w:t>
      </w:r>
      <w:r w:rsidRPr="00883399">
        <w:rPr>
          <w:sz w:val="24"/>
        </w:rPr>
        <w:tab/>
        <w:t>method 1 under section 3.27;</w:t>
      </w:r>
    </w:p>
    <w:p w14:paraId="73BA1D92" w14:textId="77777777" w:rsidR="00872C03" w:rsidRPr="00883399" w:rsidRDefault="00872C03" w:rsidP="00872C03">
      <w:pPr>
        <w:pStyle w:val="paragraphsub"/>
        <w:rPr>
          <w:sz w:val="24"/>
        </w:rPr>
      </w:pPr>
      <w:r w:rsidRPr="00883399">
        <w:rPr>
          <w:sz w:val="24"/>
        </w:rPr>
        <w:tab/>
        <w:t>(ii)</w:t>
      </w:r>
      <w:r w:rsidRPr="00883399">
        <w:rPr>
          <w:sz w:val="24"/>
        </w:rPr>
        <w:tab/>
        <w:t>method 2 under section 3.28;</w:t>
      </w:r>
    </w:p>
    <w:p w14:paraId="460D4F6B" w14:textId="77777777" w:rsidR="00872C03" w:rsidRPr="00883399" w:rsidRDefault="00872C03" w:rsidP="00872C03">
      <w:pPr>
        <w:pStyle w:val="paragraphsub"/>
        <w:rPr>
          <w:sz w:val="24"/>
        </w:rPr>
      </w:pPr>
      <w:r w:rsidRPr="00883399">
        <w:rPr>
          <w:sz w:val="24"/>
        </w:rPr>
        <w:tab/>
        <w:t>(iii)</w:t>
      </w:r>
      <w:r w:rsidRPr="00883399">
        <w:rPr>
          <w:sz w:val="24"/>
        </w:rPr>
        <w:tab/>
        <w:t>method 3 under section 3.29; and</w:t>
      </w:r>
    </w:p>
    <w:p w14:paraId="07AC8C93" w14:textId="77777777" w:rsidR="00872C03" w:rsidRPr="00883399" w:rsidRDefault="00872C03" w:rsidP="00872C03">
      <w:pPr>
        <w:pStyle w:val="paragraph"/>
        <w:rPr>
          <w:sz w:val="24"/>
        </w:rPr>
      </w:pPr>
      <w:r w:rsidRPr="00883399">
        <w:rPr>
          <w:sz w:val="24"/>
        </w:rPr>
        <w:tab/>
        <w:t>(b)</w:t>
      </w:r>
      <w:r w:rsidRPr="00883399">
        <w:rPr>
          <w:sz w:val="24"/>
        </w:rPr>
        <w:tab/>
        <w:t>method 1 under section 3.27 must be used for estimating emissions of methane released; and</w:t>
      </w:r>
    </w:p>
    <w:p w14:paraId="01998892" w14:textId="77777777" w:rsidR="00872C03" w:rsidRPr="00883399" w:rsidRDefault="00872C03" w:rsidP="00872C03">
      <w:pPr>
        <w:pStyle w:val="paragraph"/>
        <w:rPr>
          <w:sz w:val="24"/>
        </w:rPr>
      </w:pPr>
      <w:r w:rsidRPr="00883399">
        <w:rPr>
          <w:sz w:val="24"/>
        </w:rPr>
        <w:tab/>
        <w:t>(c)</w:t>
      </w:r>
      <w:r w:rsidRPr="00883399">
        <w:rPr>
          <w:sz w:val="24"/>
        </w:rPr>
        <w:tab/>
        <w:t>method 1 under section 3.27 must be used for estimating emissions of nitrous oxide released.</w:t>
      </w:r>
    </w:p>
    <w:p w14:paraId="7A19001C" w14:textId="77777777" w:rsidR="00872C03" w:rsidRPr="00883399" w:rsidRDefault="00872C03" w:rsidP="00872C03">
      <w:pPr>
        <w:pStyle w:val="notetext"/>
        <w:rPr>
          <w:sz w:val="20"/>
        </w:rPr>
      </w:pPr>
      <w:r w:rsidRPr="00883399">
        <w:rPr>
          <w:sz w:val="20"/>
        </w:rPr>
        <w:t>Note:</w:t>
      </w:r>
      <w:r w:rsidRPr="00883399">
        <w:rPr>
          <w:sz w:val="20"/>
        </w:rPr>
        <w:tab/>
        <w:t xml:space="preserve">The flaring of coal mine waste gas releases emissions of carbon dioxide, methane and nitrous oxide. The same formula is used to estimate emissions of each of these gases. There is no method 4 for emissions of carbon dioxide, no method 2, 3 or 4 for emissions of methane and no method 2, 3 or 4 for emissions of nitrous oxide. </w:t>
      </w:r>
    </w:p>
    <w:p w14:paraId="2C261F6C" w14:textId="77777777" w:rsidR="00872C03" w:rsidRPr="00883399" w:rsidRDefault="00872C03" w:rsidP="00872C03">
      <w:pPr>
        <w:pStyle w:val="SubsectionHead"/>
        <w:rPr>
          <w:sz w:val="24"/>
        </w:rPr>
      </w:pPr>
      <w:r w:rsidRPr="00883399">
        <w:rPr>
          <w:sz w:val="24"/>
        </w:rPr>
        <w:t>Venting or other fugitive release before extraction of coal</w:t>
      </w:r>
    </w:p>
    <w:p w14:paraId="4D902ACE" w14:textId="77777777" w:rsidR="00872C03" w:rsidRPr="00883399" w:rsidRDefault="00872C03" w:rsidP="00872C03">
      <w:pPr>
        <w:pStyle w:val="subsection"/>
        <w:rPr>
          <w:sz w:val="24"/>
        </w:rPr>
      </w:pPr>
      <w:r w:rsidRPr="00883399">
        <w:rPr>
          <w:sz w:val="24"/>
        </w:rPr>
        <w:tab/>
        <w:t>(6)</w:t>
      </w:r>
      <w:r w:rsidRPr="00883399">
        <w:rPr>
          <w:sz w:val="24"/>
        </w:rPr>
        <w:tab/>
        <w:t>Method 4 under Part 1.3 must be used for estimating fugitive emissions of each gas type, being carbon dioxide and methane, that result from venting or other fugitive release of gas from the mine before coal is extracted from the mine.</w:t>
      </w:r>
    </w:p>
    <w:p w14:paraId="2EC6FFFF" w14:textId="77777777" w:rsidR="00872C03" w:rsidRPr="00883399" w:rsidRDefault="00872C03" w:rsidP="00872C03">
      <w:pPr>
        <w:pStyle w:val="notetext"/>
        <w:rPr>
          <w:sz w:val="20"/>
        </w:rPr>
      </w:pPr>
      <w:r w:rsidRPr="00883399">
        <w:rPr>
          <w:sz w:val="20"/>
        </w:rPr>
        <w:t>Note:</w:t>
      </w:r>
      <w:r w:rsidRPr="00883399">
        <w:rPr>
          <w:sz w:val="20"/>
        </w:rPr>
        <w:tab/>
        <w:t>There is no method 1, 2 or 3 for subsection (6).</w:t>
      </w:r>
    </w:p>
    <w:p w14:paraId="2357A757" w14:textId="77777777" w:rsidR="00872C03" w:rsidRPr="00883399" w:rsidRDefault="00872C03" w:rsidP="00872C03">
      <w:pPr>
        <w:pStyle w:val="subsection"/>
        <w:rPr>
          <w:sz w:val="24"/>
        </w:rPr>
      </w:pPr>
      <w:r w:rsidRPr="00883399">
        <w:rPr>
          <w:sz w:val="24"/>
        </w:rPr>
        <w:tab/>
        <w:t>(7)</w:t>
      </w:r>
      <w:r w:rsidRPr="00883399">
        <w:rPr>
          <w:sz w:val="24"/>
        </w:rPr>
        <w:tab/>
        <w:t>However, for incidental emissions another method may be used that is consistent with the principles in section 1.13.</w:t>
      </w:r>
    </w:p>
    <w:p w14:paraId="74BB75F1" w14:textId="77777777" w:rsidR="00C335B2" w:rsidRPr="00883399" w:rsidRDefault="00C335B2" w:rsidP="00872C03">
      <w:pPr>
        <w:pStyle w:val="subsection"/>
        <w:rPr>
          <w:sz w:val="24"/>
        </w:rPr>
      </w:pPr>
    </w:p>
    <w:p w14:paraId="56A88760" w14:textId="77777777" w:rsidR="00C335B2" w:rsidRPr="00883399" w:rsidRDefault="00C335B2" w:rsidP="00872C03">
      <w:pPr>
        <w:pStyle w:val="subsection"/>
        <w:rPr>
          <w:sz w:val="24"/>
        </w:rPr>
      </w:pPr>
    </w:p>
    <w:p w14:paraId="1A5E4C36" w14:textId="77777777" w:rsidR="00C335B2" w:rsidRPr="00883399" w:rsidRDefault="00C335B2" w:rsidP="00872C03">
      <w:pPr>
        <w:pStyle w:val="subsection"/>
        <w:rPr>
          <w:sz w:val="24"/>
        </w:rPr>
      </w:pPr>
    </w:p>
    <w:p w14:paraId="2E9E8165" w14:textId="77777777" w:rsidR="00C335B2" w:rsidRPr="00883399" w:rsidRDefault="00C335B2" w:rsidP="00872C03">
      <w:pPr>
        <w:pStyle w:val="subsection"/>
        <w:rPr>
          <w:sz w:val="24"/>
        </w:rPr>
      </w:pPr>
    </w:p>
    <w:p w14:paraId="11D6C800" w14:textId="77777777" w:rsidR="00C335B2" w:rsidRPr="00883399" w:rsidRDefault="00C335B2" w:rsidP="00872C03">
      <w:pPr>
        <w:pStyle w:val="subsection"/>
        <w:rPr>
          <w:sz w:val="24"/>
        </w:rPr>
      </w:pPr>
    </w:p>
    <w:p w14:paraId="77C36656" w14:textId="77777777" w:rsidR="00C335B2" w:rsidRPr="00883399" w:rsidRDefault="00C335B2" w:rsidP="00872C03">
      <w:pPr>
        <w:pStyle w:val="subsection"/>
        <w:rPr>
          <w:sz w:val="24"/>
        </w:rPr>
      </w:pPr>
    </w:p>
    <w:p w14:paraId="1E39F63E" w14:textId="77777777" w:rsidR="00C335B2" w:rsidRPr="00883399" w:rsidRDefault="00C335B2" w:rsidP="00872C03">
      <w:pPr>
        <w:pStyle w:val="subsection"/>
        <w:rPr>
          <w:sz w:val="24"/>
        </w:rPr>
      </w:pPr>
    </w:p>
    <w:p w14:paraId="30A86BE3" w14:textId="77777777" w:rsidR="00C335B2" w:rsidRPr="00883399" w:rsidRDefault="00C335B2" w:rsidP="00872C03">
      <w:pPr>
        <w:pStyle w:val="subsection"/>
        <w:rPr>
          <w:sz w:val="24"/>
        </w:rPr>
      </w:pPr>
    </w:p>
    <w:p w14:paraId="483FA241" w14:textId="77777777" w:rsidR="00872C03" w:rsidRPr="00883399" w:rsidRDefault="00872C03" w:rsidP="00872C03">
      <w:pPr>
        <w:pStyle w:val="subsection"/>
        <w:rPr>
          <w:sz w:val="24"/>
        </w:rPr>
      </w:pPr>
    </w:p>
    <w:p w14:paraId="4C4079B2" w14:textId="77777777" w:rsidR="00872C03" w:rsidRPr="00883399" w:rsidRDefault="00872C03" w:rsidP="00872C03">
      <w:pPr>
        <w:pStyle w:val="R2"/>
        <w:ind w:left="907" w:firstLine="0"/>
        <w:rPr>
          <w:b/>
        </w:rPr>
      </w:pPr>
      <w:r w:rsidRPr="00883399">
        <w:rPr>
          <w:b/>
        </w:rPr>
        <w:lastRenderedPageBreak/>
        <w:t>Summary of available methods for estimating emissions from open cut mines, by emissions of gas type (j)</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1635"/>
        <w:gridCol w:w="1521"/>
        <w:gridCol w:w="1648"/>
      </w:tblGrid>
      <w:tr w:rsidR="00872C03" w:rsidRPr="00883399" w14:paraId="751EED1A" w14:textId="77777777" w:rsidTr="0031057E">
        <w:tc>
          <w:tcPr>
            <w:tcW w:w="2640" w:type="dxa"/>
            <w:shd w:val="clear" w:color="auto" w:fill="E6E6E6"/>
          </w:tcPr>
          <w:p w14:paraId="60897296" w14:textId="77777777" w:rsidR="00872C03" w:rsidRPr="00883399" w:rsidRDefault="00872C03" w:rsidP="0031057E">
            <w:pPr>
              <w:pStyle w:val="Text"/>
              <w:keepNext/>
              <w:rPr>
                <w:b/>
              </w:rPr>
            </w:pPr>
          </w:p>
        </w:tc>
        <w:tc>
          <w:tcPr>
            <w:tcW w:w="1680" w:type="dxa"/>
            <w:shd w:val="clear" w:color="auto" w:fill="E6E6E6"/>
          </w:tcPr>
          <w:p w14:paraId="13FDC4EE" w14:textId="77777777" w:rsidR="00872C03" w:rsidRPr="00883399" w:rsidRDefault="00872C03" w:rsidP="0031057E">
            <w:pPr>
              <w:pStyle w:val="Text"/>
              <w:keepNext/>
              <w:rPr>
                <w:b/>
              </w:rPr>
            </w:pPr>
            <w:r w:rsidRPr="00883399">
              <w:rPr>
                <w:b/>
              </w:rPr>
              <w:t>CO</w:t>
            </w:r>
            <w:r w:rsidRPr="00883399">
              <w:rPr>
                <w:b/>
                <w:vertAlign w:val="subscript"/>
              </w:rPr>
              <w:t>2</w:t>
            </w:r>
          </w:p>
        </w:tc>
        <w:tc>
          <w:tcPr>
            <w:tcW w:w="1560" w:type="dxa"/>
            <w:shd w:val="clear" w:color="auto" w:fill="E6E6E6"/>
          </w:tcPr>
          <w:p w14:paraId="0978892C" w14:textId="77777777" w:rsidR="00872C03" w:rsidRPr="00883399" w:rsidRDefault="00872C03" w:rsidP="0031057E">
            <w:pPr>
              <w:pStyle w:val="Text"/>
              <w:keepNext/>
              <w:rPr>
                <w:b/>
              </w:rPr>
            </w:pPr>
            <w:r w:rsidRPr="00883399">
              <w:rPr>
                <w:b/>
              </w:rPr>
              <w:t>CH</w:t>
            </w:r>
            <w:r w:rsidRPr="00883399">
              <w:rPr>
                <w:b/>
                <w:vertAlign w:val="subscript"/>
              </w:rPr>
              <w:t>4</w:t>
            </w:r>
          </w:p>
        </w:tc>
        <w:tc>
          <w:tcPr>
            <w:tcW w:w="1694" w:type="dxa"/>
            <w:shd w:val="clear" w:color="auto" w:fill="E6E6E6"/>
          </w:tcPr>
          <w:p w14:paraId="703324FD" w14:textId="77777777" w:rsidR="00872C03" w:rsidRPr="00883399" w:rsidRDefault="00872C03" w:rsidP="0031057E">
            <w:pPr>
              <w:pStyle w:val="Text"/>
              <w:keepNext/>
              <w:rPr>
                <w:b/>
              </w:rPr>
            </w:pPr>
            <w:r w:rsidRPr="00883399">
              <w:rPr>
                <w:b/>
              </w:rPr>
              <w:t>N</w:t>
            </w:r>
            <w:r w:rsidRPr="00883399">
              <w:rPr>
                <w:b/>
                <w:vertAlign w:val="subscript"/>
              </w:rPr>
              <w:t>2</w:t>
            </w:r>
            <w:r w:rsidRPr="00883399">
              <w:rPr>
                <w:b/>
              </w:rPr>
              <w:t>O</w:t>
            </w:r>
          </w:p>
        </w:tc>
      </w:tr>
      <w:tr w:rsidR="00872C03" w:rsidRPr="00883399" w14:paraId="0CF8958B" w14:textId="77777777" w:rsidTr="0031057E">
        <w:tc>
          <w:tcPr>
            <w:tcW w:w="7574" w:type="dxa"/>
            <w:gridSpan w:val="4"/>
          </w:tcPr>
          <w:p w14:paraId="3E7AED90" w14:textId="77777777" w:rsidR="00872C03" w:rsidRPr="00883399" w:rsidRDefault="00872C03" w:rsidP="0031057E">
            <w:pPr>
              <w:pStyle w:val="Text"/>
              <w:keepNext/>
              <w:spacing w:before="120"/>
            </w:pPr>
            <w:r w:rsidRPr="00883399">
              <w:rPr>
                <w:i/>
              </w:rPr>
              <w:t>Open cut  mining activities</w:t>
            </w:r>
          </w:p>
        </w:tc>
      </w:tr>
      <w:tr w:rsidR="00872C03" w:rsidRPr="00883399" w14:paraId="72E5E638" w14:textId="77777777" w:rsidTr="0031057E">
        <w:tc>
          <w:tcPr>
            <w:tcW w:w="2640" w:type="dxa"/>
          </w:tcPr>
          <w:p w14:paraId="378D9C03" w14:textId="77777777" w:rsidR="00872C03" w:rsidRPr="00883399" w:rsidRDefault="00872C03" w:rsidP="0031057E">
            <w:pPr>
              <w:pStyle w:val="Text"/>
              <w:keepNext/>
              <w:spacing w:before="120"/>
            </w:pPr>
            <w:r w:rsidRPr="00883399">
              <w:t>Method 1</w:t>
            </w:r>
          </w:p>
        </w:tc>
        <w:tc>
          <w:tcPr>
            <w:tcW w:w="1680" w:type="dxa"/>
          </w:tcPr>
          <w:p w14:paraId="4EA6E080" w14:textId="77777777" w:rsidR="00872C03" w:rsidRPr="00883399" w:rsidRDefault="00872C03" w:rsidP="0031057E">
            <w:pPr>
              <w:pStyle w:val="Text"/>
              <w:keepNext/>
              <w:spacing w:before="120"/>
            </w:pPr>
            <w:r w:rsidRPr="00883399">
              <w:t>NA</w:t>
            </w:r>
          </w:p>
        </w:tc>
        <w:tc>
          <w:tcPr>
            <w:tcW w:w="1560" w:type="dxa"/>
          </w:tcPr>
          <w:p w14:paraId="72FF7E4A" w14:textId="77777777" w:rsidR="00872C03" w:rsidRPr="00883399" w:rsidRDefault="00872C03" w:rsidP="0031057E">
            <w:pPr>
              <w:pStyle w:val="Text"/>
              <w:keepNext/>
              <w:spacing w:before="120"/>
            </w:pPr>
            <w:r w:rsidRPr="00883399">
              <w:t>Section 3.20</w:t>
            </w:r>
          </w:p>
        </w:tc>
        <w:tc>
          <w:tcPr>
            <w:tcW w:w="1694" w:type="dxa"/>
          </w:tcPr>
          <w:p w14:paraId="4E9CDD62" w14:textId="77777777" w:rsidR="00872C03" w:rsidRPr="00883399" w:rsidRDefault="00872C03" w:rsidP="0031057E">
            <w:pPr>
              <w:pStyle w:val="Text"/>
              <w:keepNext/>
              <w:spacing w:before="120"/>
            </w:pPr>
            <w:r w:rsidRPr="00883399">
              <w:t>NO</w:t>
            </w:r>
          </w:p>
        </w:tc>
      </w:tr>
      <w:tr w:rsidR="00872C03" w:rsidRPr="00883399" w14:paraId="5ACCCD37" w14:textId="77777777" w:rsidTr="0031057E">
        <w:tc>
          <w:tcPr>
            <w:tcW w:w="2640" w:type="dxa"/>
          </w:tcPr>
          <w:p w14:paraId="78BDE894" w14:textId="77777777" w:rsidR="00872C03" w:rsidRPr="00883399" w:rsidRDefault="00872C03" w:rsidP="0031057E">
            <w:pPr>
              <w:pStyle w:val="Text"/>
              <w:keepNext/>
              <w:spacing w:before="120"/>
            </w:pPr>
            <w:r w:rsidRPr="00883399">
              <w:t>Method 2</w:t>
            </w:r>
          </w:p>
        </w:tc>
        <w:tc>
          <w:tcPr>
            <w:tcW w:w="1680" w:type="dxa"/>
          </w:tcPr>
          <w:p w14:paraId="289067E2" w14:textId="77777777" w:rsidR="00872C03" w:rsidRPr="00883399" w:rsidRDefault="00872C03" w:rsidP="0031057E">
            <w:pPr>
              <w:pStyle w:val="Text"/>
              <w:keepNext/>
              <w:spacing w:before="120"/>
            </w:pPr>
            <w:r w:rsidRPr="00883399">
              <w:t>Section 3.21</w:t>
            </w:r>
          </w:p>
        </w:tc>
        <w:tc>
          <w:tcPr>
            <w:tcW w:w="1560" w:type="dxa"/>
          </w:tcPr>
          <w:p w14:paraId="46EE1527" w14:textId="77777777" w:rsidR="00872C03" w:rsidRPr="00883399" w:rsidRDefault="00872C03" w:rsidP="0031057E">
            <w:pPr>
              <w:pStyle w:val="Text"/>
              <w:keepNext/>
              <w:spacing w:before="120"/>
            </w:pPr>
            <w:r w:rsidRPr="00883399">
              <w:t>Section 3.21</w:t>
            </w:r>
          </w:p>
        </w:tc>
        <w:tc>
          <w:tcPr>
            <w:tcW w:w="1694" w:type="dxa"/>
          </w:tcPr>
          <w:p w14:paraId="36AE6105" w14:textId="77777777" w:rsidR="00872C03" w:rsidRPr="00883399" w:rsidRDefault="00872C03" w:rsidP="0031057E">
            <w:pPr>
              <w:pStyle w:val="Text"/>
              <w:keepNext/>
              <w:spacing w:before="120"/>
            </w:pPr>
            <w:r w:rsidRPr="00883399">
              <w:t>NO</w:t>
            </w:r>
          </w:p>
        </w:tc>
      </w:tr>
      <w:tr w:rsidR="00872C03" w:rsidRPr="00883399" w14:paraId="34C38A37" w14:textId="77777777" w:rsidTr="0031057E">
        <w:tc>
          <w:tcPr>
            <w:tcW w:w="2640" w:type="dxa"/>
          </w:tcPr>
          <w:p w14:paraId="7DE98CFF" w14:textId="77777777" w:rsidR="00872C03" w:rsidRPr="00883399" w:rsidRDefault="00872C03" w:rsidP="0031057E">
            <w:pPr>
              <w:pStyle w:val="Text"/>
              <w:keepNext/>
              <w:spacing w:before="120"/>
            </w:pPr>
            <w:r w:rsidRPr="00883399">
              <w:t>Method 3</w:t>
            </w:r>
          </w:p>
        </w:tc>
        <w:tc>
          <w:tcPr>
            <w:tcW w:w="1680" w:type="dxa"/>
          </w:tcPr>
          <w:p w14:paraId="03D3008F" w14:textId="77777777" w:rsidR="00872C03" w:rsidRPr="00883399" w:rsidRDefault="00872C03" w:rsidP="0031057E">
            <w:pPr>
              <w:pStyle w:val="Text"/>
              <w:keepNext/>
              <w:spacing w:before="120"/>
            </w:pPr>
            <w:r w:rsidRPr="00883399">
              <w:t>Section 3.26</w:t>
            </w:r>
          </w:p>
        </w:tc>
        <w:tc>
          <w:tcPr>
            <w:tcW w:w="1560" w:type="dxa"/>
          </w:tcPr>
          <w:p w14:paraId="50C93368" w14:textId="77777777" w:rsidR="00872C03" w:rsidRPr="00883399" w:rsidRDefault="00872C03" w:rsidP="0031057E">
            <w:pPr>
              <w:pStyle w:val="Text"/>
              <w:keepNext/>
              <w:spacing w:before="120"/>
            </w:pPr>
            <w:r w:rsidRPr="00883399">
              <w:t>Section 3.26</w:t>
            </w:r>
          </w:p>
        </w:tc>
        <w:tc>
          <w:tcPr>
            <w:tcW w:w="1694" w:type="dxa"/>
          </w:tcPr>
          <w:p w14:paraId="51C6053B" w14:textId="77777777" w:rsidR="00872C03" w:rsidRPr="00883399" w:rsidRDefault="00872C03" w:rsidP="0031057E">
            <w:pPr>
              <w:pStyle w:val="Text"/>
              <w:keepNext/>
              <w:spacing w:before="120"/>
            </w:pPr>
            <w:r w:rsidRPr="00883399">
              <w:t>NO</w:t>
            </w:r>
          </w:p>
        </w:tc>
      </w:tr>
      <w:tr w:rsidR="00872C03" w:rsidRPr="00883399" w14:paraId="15F2ABE5" w14:textId="77777777" w:rsidTr="0031057E">
        <w:tc>
          <w:tcPr>
            <w:tcW w:w="2640" w:type="dxa"/>
          </w:tcPr>
          <w:p w14:paraId="4C9A3B64" w14:textId="77777777" w:rsidR="00872C03" w:rsidRPr="00883399" w:rsidRDefault="00872C03" w:rsidP="0031057E">
            <w:pPr>
              <w:pStyle w:val="Text"/>
              <w:keepNext/>
              <w:spacing w:before="120"/>
            </w:pPr>
            <w:r w:rsidRPr="00883399">
              <w:t>Method 4</w:t>
            </w:r>
          </w:p>
        </w:tc>
        <w:tc>
          <w:tcPr>
            <w:tcW w:w="1680" w:type="dxa"/>
          </w:tcPr>
          <w:p w14:paraId="53E55C3F" w14:textId="77777777" w:rsidR="00872C03" w:rsidRPr="00883399" w:rsidRDefault="00872C03" w:rsidP="0031057E">
            <w:pPr>
              <w:pStyle w:val="Text"/>
              <w:keepNext/>
              <w:spacing w:before="120"/>
            </w:pPr>
            <w:r w:rsidRPr="00883399">
              <w:t>NA</w:t>
            </w:r>
          </w:p>
        </w:tc>
        <w:tc>
          <w:tcPr>
            <w:tcW w:w="1560" w:type="dxa"/>
          </w:tcPr>
          <w:p w14:paraId="2110AC76" w14:textId="77777777" w:rsidR="00872C03" w:rsidRPr="00883399" w:rsidRDefault="00872C03" w:rsidP="0031057E">
            <w:pPr>
              <w:pStyle w:val="Text"/>
              <w:keepNext/>
              <w:spacing w:before="120"/>
            </w:pPr>
            <w:r w:rsidRPr="00883399">
              <w:t>NA</w:t>
            </w:r>
          </w:p>
        </w:tc>
        <w:tc>
          <w:tcPr>
            <w:tcW w:w="1694" w:type="dxa"/>
          </w:tcPr>
          <w:p w14:paraId="17B500F6" w14:textId="77777777" w:rsidR="00872C03" w:rsidRPr="00883399" w:rsidRDefault="00872C03" w:rsidP="0031057E">
            <w:pPr>
              <w:pStyle w:val="Text"/>
              <w:keepNext/>
              <w:spacing w:before="120"/>
            </w:pPr>
            <w:r w:rsidRPr="00883399">
              <w:t>NO</w:t>
            </w:r>
          </w:p>
        </w:tc>
      </w:tr>
      <w:tr w:rsidR="00872C03" w:rsidRPr="00883399" w14:paraId="70AB10FF" w14:textId="77777777" w:rsidTr="0031057E">
        <w:tc>
          <w:tcPr>
            <w:tcW w:w="7574" w:type="dxa"/>
            <w:gridSpan w:val="4"/>
          </w:tcPr>
          <w:p w14:paraId="19B93175" w14:textId="77777777" w:rsidR="00872C03" w:rsidRPr="00883399" w:rsidRDefault="00872C03" w:rsidP="0031057E">
            <w:pPr>
              <w:pStyle w:val="Text"/>
              <w:keepNext/>
              <w:spacing w:before="120"/>
            </w:pPr>
            <w:r w:rsidRPr="00883399">
              <w:rPr>
                <w:i/>
              </w:rPr>
              <w:t>Flaring</w:t>
            </w:r>
          </w:p>
        </w:tc>
      </w:tr>
      <w:tr w:rsidR="00872C03" w:rsidRPr="00883399" w14:paraId="50364A75" w14:textId="77777777" w:rsidTr="0031057E">
        <w:tc>
          <w:tcPr>
            <w:tcW w:w="2640" w:type="dxa"/>
          </w:tcPr>
          <w:p w14:paraId="6DB7E904" w14:textId="77777777" w:rsidR="00872C03" w:rsidRPr="00883399" w:rsidRDefault="00872C03" w:rsidP="0031057E">
            <w:pPr>
              <w:pStyle w:val="Text"/>
              <w:keepNext/>
              <w:spacing w:before="120"/>
            </w:pPr>
            <w:r w:rsidRPr="00883399">
              <w:t>Method 1</w:t>
            </w:r>
          </w:p>
        </w:tc>
        <w:tc>
          <w:tcPr>
            <w:tcW w:w="1680" w:type="dxa"/>
          </w:tcPr>
          <w:p w14:paraId="43732B53" w14:textId="77777777" w:rsidR="00872C03" w:rsidRPr="00883399" w:rsidRDefault="00872C03" w:rsidP="0031057E">
            <w:pPr>
              <w:pStyle w:val="Text"/>
              <w:keepNext/>
              <w:spacing w:before="120"/>
            </w:pPr>
            <w:r w:rsidRPr="00883399">
              <w:t>Section 3.27</w:t>
            </w:r>
          </w:p>
        </w:tc>
        <w:tc>
          <w:tcPr>
            <w:tcW w:w="1560" w:type="dxa"/>
          </w:tcPr>
          <w:p w14:paraId="3451E625" w14:textId="77777777" w:rsidR="00872C03" w:rsidRPr="00883399" w:rsidRDefault="00872C03" w:rsidP="0031057E">
            <w:pPr>
              <w:pStyle w:val="Text"/>
              <w:keepNext/>
              <w:spacing w:before="120"/>
            </w:pPr>
            <w:r w:rsidRPr="00883399">
              <w:t>Section 3.27</w:t>
            </w:r>
          </w:p>
        </w:tc>
        <w:tc>
          <w:tcPr>
            <w:tcW w:w="1694" w:type="dxa"/>
          </w:tcPr>
          <w:p w14:paraId="44F6EEDC" w14:textId="77777777" w:rsidR="00872C03" w:rsidRPr="00883399" w:rsidRDefault="00872C03" w:rsidP="0031057E">
            <w:pPr>
              <w:pStyle w:val="Text"/>
              <w:keepNext/>
              <w:spacing w:before="120"/>
            </w:pPr>
            <w:r w:rsidRPr="00883399">
              <w:t>Section 3.27</w:t>
            </w:r>
          </w:p>
        </w:tc>
      </w:tr>
      <w:tr w:rsidR="00872C03" w:rsidRPr="00883399" w14:paraId="743B0129" w14:textId="77777777" w:rsidTr="0031057E">
        <w:tc>
          <w:tcPr>
            <w:tcW w:w="2640" w:type="dxa"/>
          </w:tcPr>
          <w:p w14:paraId="4DD350DB" w14:textId="77777777" w:rsidR="00872C03" w:rsidRPr="00883399" w:rsidRDefault="00872C03" w:rsidP="0031057E">
            <w:pPr>
              <w:pStyle w:val="Text"/>
              <w:keepNext/>
              <w:spacing w:before="120"/>
            </w:pPr>
            <w:r w:rsidRPr="00883399">
              <w:t>Method 2</w:t>
            </w:r>
          </w:p>
        </w:tc>
        <w:tc>
          <w:tcPr>
            <w:tcW w:w="1680" w:type="dxa"/>
          </w:tcPr>
          <w:p w14:paraId="3ED1C00B" w14:textId="77777777" w:rsidR="00872C03" w:rsidRPr="00883399" w:rsidRDefault="00872C03" w:rsidP="0031057E">
            <w:pPr>
              <w:pStyle w:val="Text"/>
              <w:keepNext/>
              <w:spacing w:before="120"/>
            </w:pPr>
            <w:r w:rsidRPr="00883399">
              <w:t>Section 3.28</w:t>
            </w:r>
          </w:p>
        </w:tc>
        <w:tc>
          <w:tcPr>
            <w:tcW w:w="1560" w:type="dxa"/>
          </w:tcPr>
          <w:p w14:paraId="0FC141B6" w14:textId="77777777" w:rsidR="00872C03" w:rsidRPr="00883399" w:rsidRDefault="00872C03" w:rsidP="0031057E">
            <w:pPr>
              <w:pStyle w:val="Text"/>
              <w:keepNext/>
              <w:spacing w:before="120"/>
            </w:pPr>
            <w:r w:rsidRPr="00883399">
              <w:t>NA</w:t>
            </w:r>
          </w:p>
        </w:tc>
        <w:tc>
          <w:tcPr>
            <w:tcW w:w="1694" w:type="dxa"/>
          </w:tcPr>
          <w:p w14:paraId="0402A32F" w14:textId="77777777" w:rsidR="00872C03" w:rsidRPr="00883399" w:rsidRDefault="00872C03" w:rsidP="0031057E">
            <w:pPr>
              <w:pStyle w:val="Text"/>
              <w:keepNext/>
              <w:spacing w:before="120"/>
            </w:pPr>
            <w:r w:rsidRPr="00883399">
              <w:t>NA</w:t>
            </w:r>
          </w:p>
        </w:tc>
      </w:tr>
      <w:tr w:rsidR="00872C03" w:rsidRPr="00883399" w14:paraId="5051A73D" w14:textId="77777777" w:rsidTr="0031057E">
        <w:tc>
          <w:tcPr>
            <w:tcW w:w="2640" w:type="dxa"/>
          </w:tcPr>
          <w:p w14:paraId="16A87FDA" w14:textId="77777777" w:rsidR="00872C03" w:rsidRPr="00883399" w:rsidRDefault="00872C03" w:rsidP="0031057E">
            <w:pPr>
              <w:pStyle w:val="Text"/>
              <w:keepNext/>
              <w:spacing w:before="120"/>
            </w:pPr>
            <w:r w:rsidRPr="00883399">
              <w:t>Method 3</w:t>
            </w:r>
          </w:p>
        </w:tc>
        <w:tc>
          <w:tcPr>
            <w:tcW w:w="1680" w:type="dxa"/>
          </w:tcPr>
          <w:p w14:paraId="593D8EB5" w14:textId="77777777" w:rsidR="00872C03" w:rsidRPr="00883399" w:rsidRDefault="00872C03" w:rsidP="0031057E">
            <w:pPr>
              <w:pStyle w:val="Text"/>
              <w:keepNext/>
              <w:spacing w:before="120"/>
            </w:pPr>
            <w:r w:rsidRPr="00883399">
              <w:t>Section 3.29</w:t>
            </w:r>
          </w:p>
        </w:tc>
        <w:tc>
          <w:tcPr>
            <w:tcW w:w="1560" w:type="dxa"/>
          </w:tcPr>
          <w:p w14:paraId="29989EA8" w14:textId="77777777" w:rsidR="00872C03" w:rsidRPr="00883399" w:rsidRDefault="00872C03" w:rsidP="0031057E">
            <w:pPr>
              <w:pStyle w:val="Text"/>
              <w:keepNext/>
              <w:spacing w:before="120"/>
            </w:pPr>
            <w:r w:rsidRPr="00883399">
              <w:t>NA</w:t>
            </w:r>
          </w:p>
        </w:tc>
        <w:tc>
          <w:tcPr>
            <w:tcW w:w="1694" w:type="dxa"/>
          </w:tcPr>
          <w:p w14:paraId="5F0B51E5" w14:textId="77777777" w:rsidR="00872C03" w:rsidRPr="00883399" w:rsidRDefault="00872C03" w:rsidP="0031057E">
            <w:pPr>
              <w:pStyle w:val="Text"/>
              <w:keepNext/>
              <w:spacing w:before="120"/>
            </w:pPr>
            <w:r w:rsidRPr="00883399">
              <w:t>NA</w:t>
            </w:r>
          </w:p>
        </w:tc>
      </w:tr>
      <w:tr w:rsidR="00872C03" w:rsidRPr="00883399" w14:paraId="6B12A291" w14:textId="77777777" w:rsidTr="0031057E">
        <w:tc>
          <w:tcPr>
            <w:tcW w:w="2640" w:type="dxa"/>
          </w:tcPr>
          <w:p w14:paraId="6789C253" w14:textId="77777777" w:rsidR="00872C03" w:rsidRPr="00883399" w:rsidRDefault="00872C03" w:rsidP="0031057E">
            <w:pPr>
              <w:pStyle w:val="Text"/>
              <w:keepNext/>
              <w:spacing w:before="120"/>
            </w:pPr>
            <w:r w:rsidRPr="00883399">
              <w:t>Method 4</w:t>
            </w:r>
          </w:p>
        </w:tc>
        <w:tc>
          <w:tcPr>
            <w:tcW w:w="1680" w:type="dxa"/>
          </w:tcPr>
          <w:p w14:paraId="2AF0CAF6" w14:textId="77777777" w:rsidR="00872C03" w:rsidRPr="00883399" w:rsidRDefault="00872C03" w:rsidP="0031057E">
            <w:pPr>
              <w:pStyle w:val="Text"/>
              <w:keepNext/>
              <w:spacing w:before="120"/>
            </w:pPr>
            <w:r w:rsidRPr="00883399">
              <w:t>NA</w:t>
            </w:r>
          </w:p>
        </w:tc>
        <w:tc>
          <w:tcPr>
            <w:tcW w:w="1560" w:type="dxa"/>
          </w:tcPr>
          <w:p w14:paraId="72A70CEA" w14:textId="77777777" w:rsidR="00872C03" w:rsidRPr="00883399" w:rsidRDefault="00872C03" w:rsidP="0031057E">
            <w:pPr>
              <w:pStyle w:val="Text"/>
              <w:keepNext/>
              <w:spacing w:before="120"/>
            </w:pPr>
            <w:r w:rsidRPr="00883399">
              <w:t>NA</w:t>
            </w:r>
          </w:p>
        </w:tc>
        <w:tc>
          <w:tcPr>
            <w:tcW w:w="1694" w:type="dxa"/>
          </w:tcPr>
          <w:p w14:paraId="0DA76D23" w14:textId="77777777" w:rsidR="00872C03" w:rsidRPr="00883399" w:rsidRDefault="00872C03" w:rsidP="0031057E">
            <w:pPr>
              <w:pStyle w:val="Text"/>
              <w:keepNext/>
              <w:spacing w:before="120"/>
            </w:pPr>
            <w:r w:rsidRPr="00883399">
              <w:t>NA</w:t>
            </w:r>
          </w:p>
        </w:tc>
      </w:tr>
      <w:tr w:rsidR="00872C03" w:rsidRPr="00883399" w14:paraId="4C871162" w14:textId="77777777" w:rsidTr="0031057E">
        <w:tc>
          <w:tcPr>
            <w:tcW w:w="7574" w:type="dxa"/>
            <w:gridSpan w:val="4"/>
          </w:tcPr>
          <w:p w14:paraId="44F3801F" w14:textId="77777777" w:rsidR="00872C03" w:rsidRPr="00883399" w:rsidRDefault="00872C03" w:rsidP="0031057E">
            <w:pPr>
              <w:pStyle w:val="Text"/>
              <w:keepNext/>
              <w:spacing w:before="120"/>
            </w:pPr>
            <w:r w:rsidRPr="00883399">
              <w:rPr>
                <w:i/>
              </w:rPr>
              <w:t>Venting</w:t>
            </w:r>
          </w:p>
        </w:tc>
      </w:tr>
      <w:tr w:rsidR="00872C03" w:rsidRPr="00883399" w14:paraId="47176723" w14:textId="77777777" w:rsidTr="0031057E">
        <w:tc>
          <w:tcPr>
            <w:tcW w:w="2640" w:type="dxa"/>
          </w:tcPr>
          <w:p w14:paraId="74B2BA8F" w14:textId="77777777" w:rsidR="00872C03" w:rsidRPr="00883399" w:rsidRDefault="00872C03" w:rsidP="0031057E">
            <w:pPr>
              <w:pStyle w:val="Text"/>
              <w:keepNext/>
              <w:spacing w:before="120"/>
            </w:pPr>
            <w:r w:rsidRPr="00883399">
              <w:t>Methods 1, 2 and 3</w:t>
            </w:r>
          </w:p>
        </w:tc>
        <w:tc>
          <w:tcPr>
            <w:tcW w:w="1680" w:type="dxa"/>
          </w:tcPr>
          <w:p w14:paraId="07ABF79D" w14:textId="77777777" w:rsidR="00872C03" w:rsidRPr="00883399" w:rsidRDefault="00872C03" w:rsidP="0031057E">
            <w:pPr>
              <w:pStyle w:val="Text"/>
              <w:keepNext/>
              <w:spacing w:before="120"/>
            </w:pPr>
            <w:r w:rsidRPr="00883399">
              <w:t>NA</w:t>
            </w:r>
          </w:p>
        </w:tc>
        <w:tc>
          <w:tcPr>
            <w:tcW w:w="1560" w:type="dxa"/>
          </w:tcPr>
          <w:p w14:paraId="6B46F8A8" w14:textId="77777777" w:rsidR="00872C03" w:rsidRPr="00883399" w:rsidRDefault="00872C03" w:rsidP="0031057E">
            <w:pPr>
              <w:pStyle w:val="Text"/>
              <w:keepNext/>
              <w:spacing w:before="120"/>
            </w:pPr>
            <w:r w:rsidRPr="00883399">
              <w:t>NA</w:t>
            </w:r>
          </w:p>
        </w:tc>
        <w:tc>
          <w:tcPr>
            <w:tcW w:w="1694" w:type="dxa"/>
          </w:tcPr>
          <w:p w14:paraId="1CBE2ED5" w14:textId="77777777" w:rsidR="00872C03" w:rsidRPr="00883399" w:rsidRDefault="00872C03" w:rsidP="0031057E">
            <w:pPr>
              <w:pStyle w:val="Text"/>
              <w:keepNext/>
              <w:spacing w:before="120"/>
            </w:pPr>
            <w:r w:rsidRPr="00883399">
              <w:t>NO</w:t>
            </w:r>
          </w:p>
        </w:tc>
      </w:tr>
      <w:tr w:rsidR="00872C03" w:rsidRPr="00883399" w14:paraId="19981CED" w14:textId="77777777" w:rsidTr="0031057E">
        <w:tc>
          <w:tcPr>
            <w:tcW w:w="2640" w:type="dxa"/>
          </w:tcPr>
          <w:p w14:paraId="67DC87AC" w14:textId="77777777" w:rsidR="00872C03" w:rsidRPr="00883399" w:rsidRDefault="00872C03" w:rsidP="0031057E">
            <w:pPr>
              <w:pStyle w:val="Text"/>
              <w:keepNext/>
              <w:spacing w:before="120"/>
            </w:pPr>
            <w:r w:rsidRPr="00883399">
              <w:t>Method 4</w:t>
            </w:r>
          </w:p>
        </w:tc>
        <w:tc>
          <w:tcPr>
            <w:tcW w:w="1680" w:type="dxa"/>
          </w:tcPr>
          <w:p w14:paraId="124DC926" w14:textId="77777777" w:rsidR="00872C03" w:rsidRPr="00883399" w:rsidRDefault="00872C03" w:rsidP="0031057E">
            <w:pPr>
              <w:pStyle w:val="Text"/>
              <w:keepNext/>
              <w:spacing w:before="120"/>
            </w:pPr>
            <w:r w:rsidRPr="00883399">
              <w:t>Part 1.3</w:t>
            </w:r>
          </w:p>
        </w:tc>
        <w:tc>
          <w:tcPr>
            <w:tcW w:w="1560" w:type="dxa"/>
          </w:tcPr>
          <w:p w14:paraId="4D2A6D5A" w14:textId="77777777" w:rsidR="00872C03" w:rsidRPr="00883399" w:rsidRDefault="00872C03" w:rsidP="0031057E">
            <w:pPr>
              <w:pStyle w:val="Text"/>
              <w:keepNext/>
              <w:spacing w:before="120"/>
            </w:pPr>
            <w:r w:rsidRPr="00883399">
              <w:t>Part 1.3</w:t>
            </w:r>
          </w:p>
        </w:tc>
        <w:tc>
          <w:tcPr>
            <w:tcW w:w="1694" w:type="dxa"/>
          </w:tcPr>
          <w:p w14:paraId="6FB1F886" w14:textId="77777777" w:rsidR="00872C03" w:rsidRPr="00883399" w:rsidRDefault="00872C03" w:rsidP="0031057E">
            <w:pPr>
              <w:pStyle w:val="Text"/>
              <w:keepNext/>
              <w:spacing w:before="120"/>
            </w:pPr>
            <w:r w:rsidRPr="00883399">
              <w:t>NO</w:t>
            </w:r>
          </w:p>
        </w:tc>
      </w:tr>
    </w:tbl>
    <w:p w14:paraId="7B9A6777" w14:textId="77777777" w:rsidR="00872C03" w:rsidRPr="00883399" w:rsidRDefault="00872C03" w:rsidP="00872C03">
      <w:pPr>
        <w:pStyle w:val="subsection"/>
        <w:rPr>
          <w:sz w:val="24"/>
        </w:rPr>
      </w:pPr>
      <w:r w:rsidRPr="00883399">
        <w:t>NA = Not available.  NO = Not occurring</w:t>
      </w:r>
    </w:p>
    <w:p w14:paraId="6D804959" w14:textId="77777777" w:rsidR="00872C03" w:rsidRPr="00883399" w:rsidRDefault="00872C03" w:rsidP="00872C03">
      <w:pPr>
        <w:pStyle w:val="subsection"/>
        <w:rPr>
          <w:sz w:val="24"/>
        </w:rPr>
      </w:pPr>
    </w:p>
    <w:p w14:paraId="6D8AC4C1" w14:textId="03A108E7" w:rsidR="00872C03" w:rsidRPr="00883399" w:rsidRDefault="00872C03" w:rsidP="00872C03">
      <w:pPr>
        <w:pStyle w:val="ActHead4"/>
        <w:rPr>
          <w:rStyle w:val="CharSubdText"/>
          <w:sz w:val="28"/>
        </w:rPr>
      </w:pPr>
      <w:bookmarkStart w:id="464" w:name="_Toc423516877"/>
      <w:bookmarkStart w:id="465" w:name="_Toc495652796"/>
      <w:r w:rsidRPr="00883399">
        <w:rPr>
          <w:rStyle w:val="CharSubdNo"/>
          <w:sz w:val="28"/>
        </w:rPr>
        <w:t>Subdivision 3.2.3.2</w:t>
      </w:r>
      <w:r w:rsidRPr="00883399">
        <w:rPr>
          <w:sz w:val="28"/>
        </w:rPr>
        <w:t>—</w:t>
      </w:r>
      <w:r w:rsidRPr="00883399">
        <w:rPr>
          <w:rStyle w:val="CharSubdText"/>
          <w:sz w:val="28"/>
        </w:rPr>
        <w:t>Fugitive emissions from extraction of coal</w:t>
      </w:r>
      <w:bookmarkEnd w:id="464"/>
      <w:bookmarkEnd w:id="465"/>
    </w:p>
    <w:p w14:paraId="7FAB0FD4" w14:textId="77777777" w:rsidR="00872C03" w:rsidRPr="00883399" w:rsidRDefault="00872C03" w:rsidP="00872C03">
      <w:pPr>
        <w:pStyle w:val="Text"/>
        <w:rPr>
          <w:rStyle w:val="CharSectno"/>
          <w:rFonts w:ascii="Arial" w:hAnsi="Arial" w:cs="Arial"/>
          <w:sz w:val="22"/>
          <w:szCs w:val="22"/>
        </w:rPr>
      </w:pPr>
      <w:r w:rsidRPr="00883399">
        <w:rPr>
          <w:rStyle w:val="CharSectno"/>
          <w:rFonts w:ascii="Arial" w:hAnsi="Arial" w:cs="Arial"/>
          <w:sz w:val="22"/>
          <w:szCs w:val="22"/>
        </w:rPr>
        <w:t xml:space="preserve">Method 1 for open cut mining operations associated with the extraction of coal is derived from the </w:t>
      </w:r>
      <w:r w:rsidRPr="00883399">
        <w:rPr>
          <w:rStyle w:val="CharSectno"/>
          <w:rFonts w:ascii="Arial" w:hAnsi="Arial" w:cs="Arial"/>
          <w:i/>
          <w:sz w:val="22"/>
          <w:szCs w:val="22"/>
        </w:rPr>
        <w:t>National Greenhouse Account</w:t>
      </w:r>
      <w:r w:rsidRPr="00883399">
        <w:rPr>
          <w:rStyle w:val="CharSectno"/>
          <w:rFonts w:ascii="Arial" w:hAnsi="Arial" w:cs="Arial"/>
          <w:sz w:val="22"/>
          <w:szCs w:val="22"/>
        </w:rPr>
        <w:t xml:space="preserve"> national methodology as published in the </w:t>
      </w:r>
      <w:r w:rsidRPr="00883399">
        <w:rPr>
          <w:rStyle w:val="CharSectno"/>
          <w:rFonts w:ascii="Arial" w:hAnsi="Arial" w:cs="Arial"/>
          <w:i/>
          <w:sz w:val="22"/>
          <w:szCs w:val="22"/>
        </w:rPr>
        <w:t>National Inventory Report</w:t>
      </w:r>
      <w:r w:rsidRPr="00883399">
        <w:rPr>
          <w:rStyle w:val="CharSectno"/>
          <w:rFonts w:ascii="Arial" w:hAnsi="Arial" w:cs="Arial"/>
          <w:sz w:val="22"/>
          <w:szCs w:val="22"/>
        </w:rPr>
        <w:t xml:space="preserve">. Emissions are estimated for a particular location of the mine by multiplying a (physical) quantity of run-of-mine coal extracted by an emission factor.  </w:t>
      </w:r>
    </w:p>
    <w:p w14:paraId="608B319F" w14:textId="77777777" w:rsidR="00872C03" w:rsidRPr="00883399" w:rsidRDefault="00872C03" w:rsidP="00872C03">
      <w:pPr>
        <w:pStyle w:val="subsection"/>
      </w:pPr>
    </w:p>
    <w:p w14:paraId="56FB9978" w14:textId="44550C49" w:rsidR="00872C03" w:rsidRPr="00883399" w:rsidRDefault="00872C03" w:rsidP="00872C03">
      <w:pPr>
        <w:pStyle w:val="ActHead5"/>
        <w:rPr>
          <w:sz w:val="28"/>
        </w:rPr>
      </w:pPr>
      <w:bookmarkStart w:id="466" w:name="_Toc423516878"/>
      <w:bookmarkStart w:id="467" w:name="_Toc495652797"/>
      <w:r w:rsidRPr="00883399">
        <w:rPr>
          <w:rStyle w:val="CharSectno"/>
          <w:sz w:val="28"/>
        </w:rPr>
        <w:lastRenderedPageBreak/>
        <w:t>3.20</w:t>
      </w:r>
      <w:r w:rsidRPr="00883399">
        <w:rPr>
          <w:sz w:val="28"/>
        </w:rPr>
        <w:t xml:space="preserve">  Method 1—extraction of coal</w:t>
      </w:r>
      <w:bookmarkEnd w:id="466"/>
      <w:bookmarkEnd w:id="467"/>
    </w:p>
    <w:p w14:paraId="0D3B8257" w14:textId="77777777" w:rsidR="00872C03" w:rsidRPr="00883399" w:rsidRDefault="00872C03" w:rsidP="00872C03">
      <w:pPr>
        <w:pStyle w:val="subsection"/>
        <w:rPr>
          <w:sz w:val="24"/>
        </w:rPr>
      </w:pPr>
      <w:r w:rsidRPr="00883399">
        <w:rPr>
          <w:sz w:val="24"/>
        </w:rPr>
        <w:tab/>
      </w:r>
      <w:r w:rsidRPr="00883399">
        <w:rPr>
          <w:sz w:val="24"/>
        </w:rPr>
        <w:tab/>
        <w:t>For paragraph 3.19(2)(a), method 1 is:</w:t>
      </w:r>
    </w:p>
    <w:p w14:paraId="3F03ECBE" w14:textId="5A25DD7A"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04BB2DDA" wp14:editId="1BDAC2B0">
            <wp:extent cx="923925" cy="2381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p w14:paraId="149E0427" w14:textId="77777777" w:rsidR="00872C03" w:rsidRPr="00883399" w:rsidRDefault="00872C03" w:rsidP="00872C03">
      <w:pPr>
        <w:pStyle w:val="subsection2"/>
        <w:rPr>
          <w:sz w:val="24"/>
        </w:rPr>
      </w:pPr>
      <w:r w:rsidRPr="00883399">
        <w:rPr>
          <w:sz w:val="24"/>
        </w:rPr>
        <w:t>where:</w:t>
      </w:r>
    </w:p>
    <w:p w14:paraId="0D11F874" w14:textId="77777777" w:rsidR="00872C03" w:rsidRPr="00883399" w:rsidRDefault="00872C03" w:rsidP="00872C03">
      <w:pPr>
        <w:pStyle w:val="Definition0"/>
        <w:rPr>
          <w:sz w:val="24"/>
        </w:rPr>
      </w:pPr>
      <w:r w:rsidRPr="00883399">
        <w:rPr>
          <w:b/>
          <w:i/>
          <w:sz w:val="24"/>
        </w:rPr>
        <w:t>E</w:t>
      </w:r>
      <w:r w:rsidRPr="00883399">
        <w:rPr>
          <w:b/>
          <w:i/>
          <w:sz w:val="24"/>
          <w:vertAlign w:val="subscript"/>
        </w:rPr>
        <w:t>j</w:t>
      </w:r>
      <w:r w:rsidRPr="00883399">
        <w:rPr>
          <w:b/>
          <w:i/>
          <w:sz w:val="24"/>
        </w:rPr>
        <w:t xml:space="preserve"> </w:t>
      </w:r>
      <w:r w:rsidRPr="00883399">
        <w:rPr>
          <w:sz w:val="24"/>
        </w:rPr>
        <w:t>is the fugitive emissions of methane (</w:t>
      </w:r>
      <w:r w:rsidRPr="00883399">
        <w:rPr>
          <w:b/>
          <w:i/>
          <w:sz w:val="24"/>
        </w:rPr>
        <w:t>j</w:t>
      </w:r>
      <w:r w:rsidRPr="00883399">
        <w:rPr>
          <w:sz w:val="24"/>
        </w:rPr>
        <w:t>) that result from the extraction of coal from the mine during the year measured in CO</w:t>
      </w:r>
      <w:r w:rsidRPr="00883399">
        <w:rPr>
          <w:rStyle w:val="charSubscript"/>
          <w:iCs/>
          <w:sz w:val="22"/>
        </w:rPr>
        <w:t>2</w:t>
      </w:r>
      <w:r w:rsidRPr="00883399">
        <w:rPr>
          <w:sz w:val="24"/>
        </w:rPr>
        <w:noBreakHyphen/>
        <w:t>e tonnes.</w:t>
      </w:r>
    </w:p>
    <w:p w14:paraId="05753B08" w14:textId="77777777" w:rsidR="00872C03" w:rsidRPr="00883399" w:rsidRDefault="00872C03" w:rsidP="00872C03">
      <w:pPr>
        <w:pStyle w:val="Definition0"/>
        <w:rPr>
          <w:sz w:val="24"/>
        </w:rPr>
      </w:pPr>
      <w:r w:rsidRPr="00883399">
        <w:rPr>
          <w:b/>
          <w:i/>
          <w:sz w:val="24"/>
        </w:rPr>
        <w:t xml:space="preserve">Q </w:t>
      </w:r>
      <w:r w:rsidRPr="00883399">
        <w:rPr>
          <w:sz w:val="24"/>
        </w:rPr>
        <w:t>is the quantity of run</w:t>
      </w:r>
      <w:r w:rsidRPr="00883399">
        <w:rPr>
          <w:sz w:val="24"/>
        </w:rPr>
        <w:noBreakHyphen/>
        <w:t>of</w:t>
      </w:r>
      <w:r w:rsidRPr="00883399">
        <w:rPr>
          <w:sz w:val="24"/>
        </w:rPr>
        <w:noBreakHyphen/>
        <w:t>mine coal extracted from the mine during the year measured in tonnes.</w:t>
      </w:r>
    </w:p>
    <w:p w14:paraId="7D6660EB" w14:textId="77777777" w:rsidR="00872C03" w:rsidRPr="00883399" w:rsidRDefault="00872C03" w:rsidP="00872C03">
      <w:pPr>
        <w:pStyle w:val="Definition0"/>
        <w:rPr>
          <w:sz w:val="24"/>
        </w:rPr>
      </w:pPr>
      <w:r w:rsidRPr="00883399">
        <w:rPr>
          <w:b/>
          <w:i/>
          <w:sz w:val="24"/>
        </w:rPr>
        <w:t>EF</w:t>
      </w:r>
      <w:r w:rsidRPr="00883399">
        <w:rPr>
          <w:b/>
          <w:i/>
          <w:sz w:val="24"/>
          <w:vertAlign w:val="subscript"/>
        </w:rPr>
        <w:t>j</w:t>
      </w:r>
      <w:r w:rsidRPr="00883399">
        <w:rPr>
          <w:b/>
          <w:i/>
          <w:sz w:val="24"/>
        </w:rPr>
        <w:t xml:space="preserve"> </w:t>
      </w:r>
      <w:r w:rsidRPr="00883399">
        <w:rPr>
          <w:sz w:val="24"/>
        </w:rPr>
        <w:t>is the emission factor for methane (</w:t>
      </w:r>
      <w:r w:rsidRPr="00883399">
        <w:rPr>
          <w:b/>
          <w:i/>
          <w:sz w:val="24"/>
        </w:rPr>
        <w:t>j</w:t>
      </w:r>
      <w:r w:rsidRPr="00883399">
        <w:rPr>
          <w:sz w:val="24"/>
        </w:rPr>
        <w:t>), measured in CO</w:t>
      </w:r>
      <w:r w:rsidRPr="00883399">
        <w:rPr>
          <w:rStyle w:val="charSubscript"/>
          <w:sz w:val="22"/>
        </w:rPr>
        <w:t>2</w:t>
      </w:r>
      <w:r w:rsidRPr="00883399">
        <w:rPr>
          <w:sz w:val="24"/>
        </w:rPr>
        <w:noBreakHyphen/>
        <w:t>e tonnes per tonne of run</w:t>
      </w:r>
      <w:r w:rsidRPr="00883399">
        <w:rPr>
          <w:sz w:val="24"/>
        </w:rPr>
        <w:noBreakHyphen/>
        <w:t>of</w:t>
      </w:r>
      <w:r w:rsidRPr="00883399">
        <w:rPr>
          <w:sz w:val="24"/>
        </w:rPr>
        <w:noBreakHyphen/>
        <w:t>mine coal extracted from the mine, taken to be the following:</w:t>
      </w:r>
    </w:p>
    <w:p w14:paraId="5BA10E5B" w14:textId="77777777" w:rsidR="007C214B" w:rsidRPr="00883399" w:rsidRDefault="007C214B" w:rsidP="00872C03">
      <w:pPr>
        <w:pStyle w:val="Definition0"/>
        <w:rPr>
          <w:sz w:val="24"/>
        </w:rPr>
      </w:pPr>
    </w:p>
    <w:p w14:paraId="4CB0A3FB" w14:textId="77777777" w:rsidR="007C214B" w:rsidRPr="00883399" w:rsidRDefault="00872C03" w:rsidP="007C214B">
      <w:pPr>
        <w:pStyle w:val="paragraph"/>
        <w:rPr>
          <w:sz w:val="24"/>
        </w:rPr>
      </w:pPr>
      <w:r w:rsidRPr="00883399">
        <w:rPr>
          <w:sz w:val="24"/>
        </w:rPr>
        <w:tab/>
      </w:r>
      <w:r w:rsidR="007C214B" w:rsidRPr="00883399">
        <w:rPr>
          <w:sz w:val="24"/>
        </w:rPr>
        <w:t>(a)</w:t>
      </w:r>
      <w:r w:rsidR="007C214B" w:rsidRPr="00883399">
        <w:rPr>
          <w:sz w:val="24"/>
        </w:rPr>
        <w:tab/>
        <w:t>for a mine in New South Wales — 0.054;</w:t>
      </w:r>
    </w:p>
    <w:p w14:paraId="2F8FB5BE" w14:textId="77777777" w:rsidR="007C214B" w:rsidRPr="00883399" w:rsidRDefault="007C214B" w:rsidP="007C214B">
      <w:pPr>
        <w:pStyle w:val="paragraph"/>
        <w:rPr>
          <w:sz w:val="24"/>
        </w:rPr>
      </w:pPr>
      <w:r w:rsidRPr="00883399">
        <w:rPr>
          <w:sz w:val="24"/>
        </w:rPr>
        <w:tab/>
        <w:t>(b)</w:t>
      </w:r>
      <w:r w:rsidRPr="00883399">
        <w:rPr>
          <w:sz w:val="24"/>
        </w:rPr>
        <w:tab/>
        <w:t>for a mine in Victoria — 0.00027;</w:t>
      </w:r>
    </w:p>
    <w:p w14:paraId="373C0088" w14:textId="77777777" w:rsidR="007C214B" w:rsidRPr="00883399" w:rsidRDefault="007C214B" w:rsidP="007C214B">
      <w:pPr>
        <w:pStyle w:val="paragraph"/>
        <w:rPr>
          <w:sz w:val="24"/>
        </w:rPr>
      </w:pPr>
      <w:r w:rsidRPr="00883399">
        <w:rPr>
          <w:sz w:val="24"/>
        </w:rPr>
        <w:tab/>
        <w:t>(c)</w:t>
      </w:r>
      <w:r w:rsidRPr="00883399">
        <w:rPr>
          <w:sz w:val="24"/>
        </w:rPr>
        <w:tab/>
        <w:t>for a mine in Queensland — 0.02;</w:t>
      </w:r>
    </w:p>
    <w:p w14:paraId="13ED3853" w14:textId="77777777" w:rsidR="007C214B" w:rsidRPr="00883399" w:rsidRDefault="007C214B" w:rsidP="007C214B">
      <w:pPr>
        <w:pStyle w:val="paragraph"/>
        <w:rPr>
          <w:sz w:val="24"/>
        </w:rPr>
      </w:pPr>
      <w:r w:rsidRPr="00883399">
        <w:rPr>
          <w:sz w:val="24"/>
        </w:rPr>
        <w:tab/>
        <w:t>(d)</w:t>
      </w:r>
      <w:r w:rsidRPr="00883399">
        <w:rPr>
          <w:sz w:val="24"/>
        </w:rPr>
        <w:tab/>
        <w:t>for a mine in Western Australia — 0.02;</w:t>
      </w:r>
    </w:p>
    <w:p w14:paraId="0E96969B" w14:textId="77777777" w:rsidR="007C214B" w:rsidRPr="00883399" w:rsidRDefault="007C214B" w:rsidP="007C214B">
      <w:pPr>
        <w:pStyle w:val="paragraph"/>
        <w:rPr>
          <w:sz w:val="24"/>
        </w:rPr>
      </w:pPr>
      <w:r w:rsidRPr="00883399">
        <w:rPr>
          <w:sz w:val="24"/>
        </w:rPr>
        <w:tab/>
        <w:t>(e)</w:t>
      </w:r>
      <w:r w:rsidRPr="00883399">
        <w:rPr>
          <w:sz w:val="24"/>
        </w:rPr>
        <w:tab/>
        <w:t>for a mine in South Australia — 0.00027;</w:t>
      </w:r>
    </w:p>
    <w:p w14:paraId="421C729A" w14:textId="77777777" w:rsidR="007C214B" w:rsidRPr="00883399" w:rsidRDefault="007C214B" w:rsidP="007C214B">
      <w:pPr>
        <w:pStyle w:val="paragraph"/>
        <w:rPr>
          <w:sz w:val="24"/>
        </w:rPr>
      </w:pPr>
      <w:r w:rsidRPr="00883399">
        <w:rPr>
          <w:sz w:val="24"/>
        </w:rPr>
        <w:tab/>
        <w:t>(f)</w:t>
      </w:r>
      <w:r w:rsidRPr="00883399">
        <w:rPr>
          <w:sz w:val="24"/>
        </w:rPr>
        <w:tab/>
        <w:t>for a mine in Tasmania — 0.017.</w:t>
      </w:r>
    </w:p>
    <w:p w14:paraId="586563EC" w14:textId="77777777" w:rsidR="00872C03" w:rsidRPr="00883399" w:rsidRDefault="00872C03" w:rsidP="007C214B">
      <w:pPr>
        <w:pStyle w:val="paragraph"/>
        <w:rPr>
          <w:sz w:val="24"/>
        </w:rPr>
      </w:pPr>
    </w:p>
    <w:p w14:paraId="44B736BE" w14:textId="77777777" w:rsidR="00872C03" w:rsidRPr="00883399" w:rsidRDefault="00872C03" w:rsidP="00872C03">
      <w:pPr>
        <w:pBdr>
          <w:top w:val="single" w:sz="4" w:space="1" w:color="auto"/>
          <w:left w:val="single" w:sz="4" w:space="4" w:color="auto"/>
          <w:bottom w:val="single" w:sz="4" w:space="1" w:color="auto"/>
          <w:right w:val="single" w:sz="4" w:space="4" w:color="auto"/>
        </w:pBdr>
        <w:ind w:left="900"/>
        <w:outlineLvl w:val="0"/>
        <w:rPr>
          <w:b/>
          <w:sz w:val="20"/>
          <w:szCs w:val="20"/>
        </w:rPr>
      </w:pPr>
      <w:r w:rsidRPr="00883399">
        <w:rPr>
          <w:b/>
          <w:sz w:val="20"/>
          <w:szCs w:val="20"/>
        </w:rPr>
        <w:t>Example</w:t>
      </w:r>
    </w:p>
    <w:p w14:paraId="43BBE0FA" w14:textId="77777777" w:rsidR="00872C03" w:rsidRPr="00883399" w:rsidRDefault="00872C03" w:rsidP="00872C03">
      <w:pPr>
        <w:pBdr>
          <w:top w:val="single" w:sz="4" w:space="1" w:color="auto"/>
          <w:left w:val="single" w:sz="4" w:space="4" w:color="auto"/>
          <w:bottom w:val="single" w:sz="4" w:space="1" w:color="auto"/>
          <w:right w:val="single" w:sz="4" w:space="4" w:color="auto"/>
        </w:pBdr>
        <w:ind w:left="900"/>
        <w:rPr>
          <w:sz w:val="20"/>
          <w:szCs w:val="20"/>
        </w:rPr>
      </w:pPr>
    </w:p>
    <w:p w14:paraId="19B2BB60" w14:textId="77777777" w:rsidR="00872C03" w:rsidRPr="00883399" w:rsidRDefault="00872C03" w:rsidP="00872C03">
      <w:pPr>
        <w:pBdr>
          <w:top w:val="single" w:sz="4" w:space="1" w:color="auto"/>
          <w:left w:val="single" w:sz="4" w:space="4" w:color="auto"/>
          <w:bottom w:val="single" w:sz="4" w:space="1" w:color="auto"/>
          <w:right w:val="single" w:sz="4" w:space="4" w:color="auto"/>
        </w:pBdr>
        <w:ind w:left="900"/>
        <w:jc w:val="both"/>
        <w:rPr>
          <w:sz w:val="20"/>
          <w:szCs w:val="20"/>
        </w:rPr>
      </w:pPr>
      <w:r w:rsidRPr="00883399">
        <w:rPr>
          <w:sz w:val="20"/>
          <w:szCs w:val="20"/>
        </w:rPr>
        <w:t>A facility constituted by an open cut coal mine in NSW extracts 2,554,000 tonnes of run-of-mine coal during the year.  The Reporter elects to use Method 1 (Section 3.20) to estimate fugitive emissions of methane. Emissions are estimated as follows:</w:t>
      </w:r>
    </w:p>
    <w:p w14:paraId="78CB2292" w14:textId="77777777" w:rsidR="00872C03" w:rsidRPr="00883399" w:rsidRDefault="00872C03" w:rsidP="00872C03">
      <w:pPr>
        <w:pBdr>
          <w:top w:val="single" w:sz="4" w:space="1" w:color="auto"/>
          <w:left w:val="single" w:sz="4" w:space="4" w:color="auto"/>
          <w:bottom w:val="single" w:sz="4" w:space="1" w:color="auto"/>
          <w:right w:val="single" w:sz="4" w:space="4" w:color="auto"/>
        </w:pBdr>
        <w:ind w:left="900"/>
        <w:jc w:val="both"/>
      </w:pPr>
    </w:p>
    <w:p w14:paraId="23FA2CEF" w14:textId="77777777" w:rsidR="00872C03" w:rsidRPr="00883399" w:rsidRDefault="00872C03" w:rsidP="00872C03">
      <w:pPr>
        <w:pBdr>
          <w:top w:val="single" w:sz="4" w:space="1" w:color="auto"/>
          <w:left w:val="single" w:sz="4" w:space="4" w:color="auto"/>
          <w:bottom w:val="single" w:sz="4" w:space="1" w:color="auto"/>
          <w:right w:val="single" w:sz="4" w:space="4" w:color="auto"/>
        </w:pBdr>
        <w:ind w:left="900"/>
        <w:jc w:val="center"/>
      </w:pPr>
      <w:r w:rsidRPr="00883399">
        <w:rPr>
          <w:position w:val="-14"/>
        </w:rPr>
        <w:object w:dxaOrig="1460" w:dyaOrig="380" w14:anchorId="326BA025">
          <v:shape id="_x0000_i1039" type="#_x0000_t75" style="width:1in;height:18pt" o:ole="">
            <v:imagedata r:id="rId93" o:title=""/>
          </v:shape>
          <o:OLEObject Type="Embed" ProgID="Equation.DSMT4" ShapeID="_x0000_i1039" DrawAspect="Content" ObjectID="_1594105930" r:id="rId94"/>
        </w:object>
      </w:r>
    </w:p>
    <w:p w14:paraId="4F9A83E5" w14:textId="77777777" w:rsidR="00872C03" w:rsidRPr="00883399" w:rsidRDefault="00872C03" w:rsidP="00872C03">
      <w:pPr>
        <w:pBdr>
          <w:top w:val="single" w:sz="4" w:space="1" w:color="auto"/>
          <w:left w:val="single" w:sz="4" w:space="4" w:color="auto"/>
          <w:bottom w:val="single" w:sz="4" w:space="1" w:color="auto"/>
          <w:right w:val="single" w:sz="4" w:space="4" w:color="auto"/>
        </w:pBdr>
        <w:ind w:left="900"/>
        <w:rPr>
          <w:sz w:val="20"/>
          <w:szCs w:val="20"/>
        </w:rPr>
      </w:pPr>
      <w:r w:rsidRPr="00883399">
        <w:rPr>
          <w:sz w:val="20"/>
          <w:szCs w:val="20"/>
        </w:rPr>
        <w:t>where:</w:t>
      </w:r>
    </w:p>
    <w:p w14:paraId="75C2D56F" w14:textId="77777777" w:rsidR="00872C03" w:rsidRPr="00883399" w:rsidRDefault="00872C03" w:rsidP="00872C03">
      <w:pPr>
        <w:pBdr>
          <w:top w:val="single" w:sz="4" w:space="1" w:color="auto"/>
          <w:left w:val="single" w:sz="4" w:space="4" w:color="auto"/>
          <w:bottom w:val="single" w:sz="4" w:space="1" w:color="auto"/>
          <w:right w:val="single" w:sz="4" w:space="4" w:color="auto"/>
        </w:pBdr>
        <w:ind w:left="900"/>
        <w:rPr>
          <w:sz w:val="20"/>
          <w:szCs w:val="20"/>
        </w:rPr>
      </w:pPr>
      <w:r w:rsidRPr="00883399">
        <w:rPr>
          <w:sz w:val="20"/>
          <w:szCs w:val="20"/>
        </w:rPr>
        <w:t>E</w:t>
      </w:r>
      <w:r w:rsidRPr="00883399">
        <w:rPr>
          <w:sz w:val="20"/>
          <w:szCs w:val="20"/>
          <w:vertAlign w:val="subscript"/>
        </w:rPr>
        <w:t>j</w:t>
      </w:r>
      <w:r w:rsidRPr="00883399">
        <w:rPr>
          <w:sz w:val="20"/>
          <w:szCs w:val="20"/>
        </w:rPr>
        <w:t xml:space="preserve"> is the emissions of methane (j) released from the extraction of coal from the mine during the year, measured in CO</w:t>
      </w:r>
      <w:r w:rsidRPr="00883399">
        <w:rPr>
          <w:sz w:val="20"/>
          <w:szCs w:val="20"/>
          <w:vertAlign w:val="subscript"/>
        </w:rPr>
        <w:t>2</w:t>
      </w:r>
      <w:r w:rsidRPr="00883399">
        <w:rPr>
          <w:sz w:val="20"/>
          <w:szCs w:val="20"/>
        </w:rPr>
        <w:t>-e tonnes.</w:t>
      </w:r>
    </w:p>
    <w:p w14:paraId="4E82FD15" w14:textId="77777777" w:rsidR="00872C03" w:rsidRPr="00883399" w:rsidRDefault="00872C03" w:rsidP="00872C03">
      <w:pPr>
        <w:pBdr>
          <w:top w:val="single" w:sz="4" w:space="1" w:color="auto"/>
          <w:left w:val="single" w:sz="4" w:space="4" w:color="auto"/>
          <w:bottom w:val="single" w:sz="4" w:space="1" w:color="auto"/>
          <w:right w:val="single" w:sz="4" w:space="4" w:color="auto"/>
        </w:pBdr>
        <w:ind w:left="900"/>
        <w:rPr>
          <w:sz w:val="20"/>
          <w:szCs w:val="20"/>
        </w:rPr>
      </w:pPr>
    </w:p>
    <w:p w14:paraId="1233EEEA" w14:textId="77777777" w:rsidR="00872C03" w:rsidRPr="00883399" w:rsidRDefault="00872C03" w:rsidP="00872C03">
      <w:pPr>
        <w:pBdr>
          <w:top w:val="single" w:sz="4" w:space="1" w:color="auto"/>
          <w:left w:val="single" w:sz="4" w:space="4" w:color="auto"/>
          <w:bottom w:val="single" w:sz="4" w:space="1" w:color="auto"/>
          <w:right w:val="single" w:sz="4" w:space="4" w:color="auto"/>
        </w:pBdr>
        <w:ind w:left="900"/>
        <w:rPr>
          <w:sz w:val="20"/>
          <w:szCs w:val="20"/>
        </w:rPr>
      </w:pPr>
      <w:r w:rsidRPr="00883399">
        <w:rPr>
          <w:sz w:val="20"/>
          <w:szCs w:val="20"/>
        </w:rPr>
        <w:lastRenderedPageBreak/>
        <w:t>Q is the quantity of run-of-mine coal extracted from the mine during the year, measured in tonnes. In this case being 2,554,000 tonnes of raw coal.</w:t>
      </w:r>
    </w:p>
    <w:p w14:paraId="6D614A24" w14:textId="77777777" w:rsidR="00872C03" w:rsidRPr="00883399" w:rsidRDefault="00872C03" w:rsidP="00872C03">
      <w:pPr>
        <w:pBdr>
          <w:top w:val="single" w:sz="4" w:space="1" w:color="auto"/>
          <w:left w:val="single" w:sz="4" w:space="4" w:color="auto"/>
          <w:bottom w:val="single" w:sz="4" w:space="1" w:color="auto"/>
          <w:right w:val="single" w:sz="4" w:space="4" w:color="auto"/>
        </w:pBdr>
        <w:ind w:left="900"/>
        <w:rPr>
          <w:sz w:val="20"/>
          <w:szCs w:val="20"/>
        </w:rPr>
      </w:pPr>
    </w:p>
    <w:p w14:paraId="48663DB0" w14:textId="77777777" w:rsidR="007C214B" w:rsidRPr="00883399" w:rsidRDefault="007C214B" w:rsidP="007C214B">
      <w:pPr>
        <w:pBdr>
          <w:top w:val="single" w:sz="4" w:space="1" w:color="auto"/>
          <w:left w:val="single" w:sz="4" w:space="4" w:color="auto"/>
          <w:bottom w:val="single" w:sz="4" w:space="1" w:color="auto"/>
          <w:right w:val="single" w:sz="4" w:space="4" w:color="auto"/>
        </w:pBdr>
        <w:ind w:left="900"/>
        <w:rPr>
          <w:sz w:val="20"/>
          <w:szCs w:val="20"/>
        </w:rPr>
      </w:pPr>
      <w:r w:rsidRPr="00883399">
        <w:rPr>
          <w:sz w:val="20"/>
          <w:szCs w:val="20"/>
        </w:rPr>
        <w:t>EF</w:t>
      </w:r>
      <w:r w:rsidRPr="00883399">
        <w:rPr>
          <w:sz w:val="20"/>
          <w:szCs w:val="20"/>
          <w:vertAlign w:val="subscript"/>
        </w:rPr>
        <w:t>j</w:t>
      </w:r>
      <w:r w:rsidRPr="00883399">
        <w:rPr>
          <w:sz w:val="20"/>
          <w:szCs w:val="20"/>
        </w:rPr>
        <w:t xml:space="preserve"> is the emission factor for methane (j), measured in CO</w:t>
      </w:r>
      <w:r w:rsidRPr="00883399">
        <w:rPr>
          <w:sz w:val="20"/>
          <w:szCs w:val="20"/>
          <w:vertAlign w:val="subscript"/>
        </w:rPr>
        <w:t>2</w:t>
      </w:r>
      <w:r w:rsidRPr="00883399">
        <w:rPr>
          <w:sz w:val="20"/>
          <w:szCs w:val="20"/>
        </w:rPr>
        <w:t xml:space="preserve"> e tonnes per tonne of raw coal extracted from the mine. In this case, for an open cut mine in NSW the emission factor is 0.054 tonnes CO</w:t>
      </w:r>
      <w:r w:rsidRPr="00883399">
        <w:rPr>
          <w:sz w:val="20"/>
          <w:szCs w:val="20"/>
          <w:vertAlign w:val="subscript"/>
        </w:rPr>
        <w:t>2</w:t>
      </w:r>
      <w:r w:rsidRPr="00883399">
        <w:rPr>
          <w:sz w:val="20"/>
          <w:szCs w:val="20"/>
        </w:rPr>
        <w:t>-e per tonne of raw coal extracted.</w:t>
      </w:r>
    </w:p>
    <w:p w14:paraId="15597776" w14:textId="77777777" w:rsidR="007C214B" w:rsidRPr="00883399" w:rsidRDefault="007C214B" w:rsidP="007C214B">
      <w:pPr>
        <w:pBdr>
          <w:top w:val="single" w:sz="4" w:space="1" w:color="auto"/>
          <w:left w:val="single" w:sz="4" w:space="4" w:color="auto"/>
          <w:bottom w:val="single" w:sz="4" w:space="1" w:color="auto"/>
          <w:right w:val="single" w:sz="4" w:space="4" w:color="auto"/>
        </w:pBdr>
        <w:ind w:left="900"/>
        <w:rPr>
          <w:sz w:val="20"/>
          <w:szCs w:val="20"/>
        </w:rPr>
      </w:pPr>
    </w:p>
    <w:p w14:paraId="24489A46" w14:textId="77777777" w:rsidR="007C214B" w:rsidRPr="00883399" w:rsidRDefault="007C214B" w:rsidP="007C214B">
      <w:pPr>
        <w:pBdr>
          <w:top w:val="single" w:sz="4" w:space="1" w:color="auto"/>
          <w:left w:val="single" w:sz="4" w:space="4" w:color="auto"/>
          <w:bottom w:val="single" w:sz="4" w:space="1" w:color="auto"/>
          <w:right w:val="single" w:sz="4" w:space="4" w:color="auto"/>
        </w:pBdr>
        <w:ind w:left="900"/>
        <w:rPr>
          <w:sz w:val="20"/>
          <w:szCs w:val="20"/>
        </w:rPr>
      </w:pPr>
      <w:r w:rsidRPr="00883399">
        <w:rPr>
          <w:sz w:val="20"/>
          <w:szCs w:val="20"/>
        </w:rPr>
        <w:t>Therefore, the estimate of methane emissions in CO</w:t>
      </w:r>
      <w:r w:rsidRPr="00883399">
        <w:rPr>
          <w:sz w:val="20"/>
          <w:szCs w:val="20"/>
          <w:vertAlign w:val="subscript"/>
        </w:rPr>
        <w:t>2</w:t>
      </w:r>
      <w:r w:rsidRPr="00883399">
        <w:rPr>
          <w:sz w:val="20"/>
          <w:szCs w:val="20"/>
        </w:rPr>
        <w:t>-e tonnes:</w:t>
      </w:r>
    </w:p>
    <w:p w14:paraId="10532FF2" w14:textId="77777777" w:rsidR="007C214B" w:rsidRPr="00883399" w:rsidRDefault="007C214B" w:rsidP="007C214B">
      <w:pPr>
        <w:pBdr>
          <w:top w:val="single" w:sz="4" w:space="1" w:color="auto"/>
          <w:left w:val="single" w:sz="4" w:space="4" w:color="auto"/>
          <w:bottom w:val="single" w:sz="4" w:space="1" w:color="auto"/>
          <w:right w:val="single" w:sz="4" w:space="4" w:color="auto"/>
        </w:pBdr>
        <w:ind w:left="900"/>
        <w:rPr>
          <w:sz w:val="20"/>
          <w:szCs w:val="20"/>
        </w:rPr>
      </w:pPr>
      <w:r w:rsidRPr="00883399">
        <w:rPr>
          <w:sz w:val="20"/>
          <w:szCs w:val="20"/>
        </w:rPr>
        <w:t xml:space="preserve"> </w:t>
      </w:r>
    </w:p>
    <w:p w14:paraId="62631973" w14:textId="77777777" w:rsidR="007C214B" w:rsidRPr="00883399" w:rsidRDefault="007C214B" w:rsidP="007C214B">
      <w:pPr>
        <w:pBdr>
          <w:top w:val="single" w:sz="4" w:space="1" w:color="auto"/>
          <w:left w:val="single" w:sz="4" w:space="4" w:color="auto"/>
          <w:bottom w:val="single" w:sz="4" w:space="1" w:color="auto"/>
          <w:right w:val="single" w:sz="4" w:space="4" w:color="auto"/>
        </w:pBdr>
        <w:ind w:left="900" w:firstLine="540"/>
        <w:outlineLvl w:val="0"/>
        <w:rPr>
          <w:sz w:val="20"/>
          <w:szCs w:val="20"/>
        </w:rPr>
      </w:pPr>
      <w:r w:rsidRPr="00883399">
        <w:rPr>
          <w:sz w:val="20"/>
          <w:szCs w:val="20"/>
        </w:rPr>
        <w:t>E</w:t>
      </w:r>
      <w:r w:rsidRPr="00883399">
        <w:rPr>
          <w:sz w:val="20"/>
          <w:szCs w:val="20"/>
          <w:vertAlign w:val="subscript"/>
        </w:rPr>
        <w:t>j</w:t>
      </w:r>
      <w:r w:rsidRPr="00883399">
        <w:rPr>
          <w:sz w:val="20"/>
          <w:szCs w:val="20"/>
        </w:rPr>
        <w:t xml:space="preserve"> = (2,554,000 x 0.054)</w:t>
      </w:r>
    </w:p>
    <w:p w14:paraId="0ED43602" w14:textId="77777777" w:rsidR="007C214B" w:rsidRPr="00883399" w:rsidRDefault="007C214B" w:rsidP="007C214B">
      <w:pPr>
        <w:pBdr>
          <w:top w:val="single" w:sz="4" w:space="1" w:color="auto"/>
          <w:left w:val="single" w:sz="4" w:space="4" w:color="auto"/>
          <w:bottom w:val="single" w:sz="4" w:space="1" w:color="auto"/>
          <w:right w:val="single" w:sz="4" w:space="4" w:color="auto"/>
        </w:pBdr>
        <w:ind w:left="900"/>
        <w:rPr>
          <w:sz w:val="20"/>
          <w:szCs w:val="20"/>
        </w:rPr>
      </w:pPr>
    </w:p>
    <w:p w14:paraId="7E28AD69" w14:textId="77777777" w:rsidR="007C214B" w:rsidRPr="00883399" w:rsidRDefault="007C214B" w:rsidP="007C214B">
      <w:pPr>
        <w:pBdr>
          <w:top w:val="single" w:sz="4" w:space="1" w:color="auto"/>
          <w:left w:val="single" w:sz="4" w:space="4" w:color="auto"/>
          <w:bottom w:val="single" w:sz="4" w:space="1" w:color="auto"/>
          <w:right w:val="single" w:sz="4" w:space="4" w:color="auto"/>
        </w:pBdr>
        <w:ind w:left="900" w:firstLine="540"/>
        <w:outlineLvl w:val="0"/>
        <w:rPr>
          <w:sz w:val="20"/>
          <w:szCs w:val="20"/>
        </w:rPr>
      </w:pPr>
      <w:r w:rsidRPr="00883399">
        <w:rPr>
          <w:sz w:val="20"/>
          <w:szCs w:val="20"/>
        </w:rPr>
        <w:t>Total emissions of methane  = 137,916 t CO</w:t>
      </w:r>
      <w:r w:rsidRPr="00883399">
        <w:rPr>
          <w:sz w:val="20"/>
          <w:szCs w:val="20"/>
          <w:vertAlign w:val="subscript"/>
        </w:rPr>
        <w:t>2</w:t>
      </w:r>
      <w:r w:rsidRPr="00883399">
        <w:rPr>
          <w:sz w:val="20"/>
          <w:szCs w:val="20"/>
        </w:rPr>
        <w:t>-e</w:t>
      </w:r>
    </w:p>
    <w:p w14:paraId="7991884E" w14:textId="77777777" w:rsidR="00872C03" w:rsidRPr="00883399" w:rsidRDefault="00872C03" w:rsidP="00872C03">
      <w:pPr>
        <w:pBdr>
          <w:top w:val="single" w:sz="4" w:space="1" w:color="auto"/>
          <w:left w:val="single" w:sz="4" w:space="4" w:color="auto"/>
          <w:bottom w:val="single" w:sz="4" w:space="1" w:color="auto"/>
          <w:right w:val="single" w:sz="4" w:space="4" w:color="auto"/>
        </w:pBdr>
        <w:ind w:left="900"/>
        <w:rPr>
          <w:rStyle w:val="CharSectno"/>
        </w:rPr>
      </w:pPr>
    </w:p>
    <w:p w14:paraId="5F271F94" w14:textId="77777777" w:rsidR="00872C03" w:rsidRPr="00883399" w:rsidRDefault="00872C03" w:rsidP="00872C03">
      <w:pPr>
        <w:pStyle w:val="paragraph"/>
        <w:rPr>
          <w:sz w:val="24"/>
        </w:rPr>
      </w:pPr>
    </w:p>
    <w:p w14:paraId="7AF36BB8" w14:textId="353681D0" w:rsidR="00872C03" w:rsidRPr="00883399" w:rsidRDefault="00872C03" w:rsidP="00872C03">
      <w:pPr>
        <w:pStyle w:val="ActHead5"/>
        <w:rPr>
          <w:sz w:val="28"/>
        </w:rPr>
      </w:pPr>
      <w:bookmarkStart w:id="468" w:name="_Toc423516879"/>
      <w:bookmarkStart w:id="469" w:name="_Toc495652798"/>
      <w:r w:rsidRPr="00883399">
        <w:rPr>
          <w:rStyle w:val="CharSectno"/>
          <w:sz w:val="28"/>
        </w:rPr>
        <w:t>3.21</w:t>
      </w:r>
      <w:r w:rsidRPr="00883399">
        <w:rPr>
          <w:sz w:val="28"/>
        </w:rPr>
        <w:t xml:space="preserve">  Method 2—extraction of coal</w:t>
      </w:r>
      <w:bookmarkEnd w:id="468"/>
      <w:bookmarkEnd w:id="469"/>
    </w:p>
    <w:p w14:paraId="677874D1" w14:textId="77777777" w:rsidR="00872C03" w:rsidRPr="00883399" w:rsidRDefault="00872C03" w:rsidP="00872C03">
      <w:pPr>
        <w:pStyle w:val="subsection"/>
      </w:pPr>
    </w:p>
    <w:p w14:paraId="13266340" w14:textId="77777777" w:rsidR="00872C03" w:rsidRPr="00883399" w:rsidRDefault="00872C03" w:rsidP="00872C03">
      <w:pPr>
        <w:pStyle w:val="R2"/>
        <w:keepLines w:val="0"/>
        <w:tabs>
          <w:tab w:val="clear" w:pos="794"/>
          <w:tab w:val="right" w:pos="-12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Method 2 for estimating emissions from open cut mining requires the estimation of the total in-situ stock of gas held within the mine’s gas bearing strata. </w:t>
      </w:r>
    </w:p>
    <w:p w14:paraId="42BA4240" w14:textId="77777777" w:rsidR="00872C03" w:rsidRPr="00883399" w:rsidRDefault="00872C03" w:rsidP="00872C03">
      <w:pPr>
        <w:pStyle w:val="R2"/>
        <w:keepLines w:val="0"/>
        <w:tabs>
          <w:tab w:val="clear" w:pos="794"/>
          <w:tab w:val="right" w:pos="-120"/>
        </w:tabs>
        <w:spacing w:before="240" w:line="312" w:lineRule="auto"/>
        <w:ind w:left="0" w:firstLine="0"/>
        <w:jc w:val="left"/>
        <w:rPr>
          <w:rFonts w:ascii="Arial" w:hAnsi="Arial" w:cs="Arial"/>
          <w:sz w:val="22"/>
          <w:szCs w:val="22"/>
        </w:rPr>
      </w:pPr>
      <w:r w:rsidRPr="00883399">
        <w:rPr>
          <w:rFonts w:ascii="Arial" w:hAnsi="Arial" w:cs="Arial"/>
          <w:sz w:val="22"/>
          <w:szCs w:val="22"/>
        </w:rPr>
        <w:t>The framework for the method is based on the following ACARP project:</w:t>
      </w:r>
    </w:p>
    <w:p w14:paraId="7E8C6D55" w14:textId="77777777" w:rsidR="00872C03" w:rsidRPr="00883399" w:rsidRDefault="00872C03" w:rsidP="00872C03">
      <w:pPr>
        <w:pStyle w:val="R2"/>
        <w:keepLines w:val="0"/>
        <w:tabs>
          <w:tab w:val="clear" w:pos="794"/>
          <w:tab w:val="right" w:pos="-12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Saghafi, A. (2008), </w:t>
      </w:r>
      <w:r w:rsidRPr="00883399">
        <w:rPr>
          <w:rFonts w:ascii="Arial" w:hAnsi="Arial" w:cs="Arial"/>
          <w:i/>
          <w:sz w:val="22"/>
          <w:szCs w:val="22"/>
        </w:rPr>
        <w:t xml:space="preserve">Evaluating a tier 3 method for estimating fugitive emissions from open cut mining, </w:t>
      </w:r>
      <w:r w:rsidRPr="00883399">
        <w:rPr>
          <w:rFonts w:ascii="Arial" w:hAnsi="Arial" w:cs="Arial"/>
          <w:sz w:val="22"/>
          <w:szCs w:val="22"/>
        </w:rPr>
        <w:t xml:space="preserve"> Joint Research Project ACARP (C15076) and CSIRO. CSIRO Investigation Report ET/IR 1011. This report can be obtained from: http://www.acarp.com.au/reports.aspx. </w:t>
      </w:r>
    </w:p>
    <w:p w14:paraId="6C4B5F25" w14:textId="77777777" w:rsidR="00872C03" w:rsidRPr="00883399" w:rsidRDefault="00872C03" w:rsidP="00872C03">
      <w:pPr>
        <w:pStyle w:val="R2"/>
        <w:keepLines w:val="0"/>
        <w:tabs>
          <w:tab w:val="clear" w:pos="794"/>
          <w:tab w:val="right" w:pos="-120"/>
        </w:tabs>
        <w:spacing w:before="240" w:line="312" w:lineRule="auto"/>
        <w:ind w:left="0" w:firstLine="0"/>
        <w:jc w:val="left"/>
        <w:rPr>
          <w:rFonts w:ascii="Arial" w:hAnsi="Arial" w:cs="Arial"/>
          <w:sz w:val="22"/>
          <w:szCs w:val="22"/>
        </w:rPr>
      </w:pPr>
      <w:r w:rsidRPr="00883399">
        <w:rPr>
          <w:rFonts w:ascii="Arial" w:hAnsi="Arial" w:cs="Arial"/>
          <w:sz w:val="22"/>
          <w:szCs w:val="22"/>
        </w:rPr>
        <w:t>To facilitate the practical application of Method 2/3, an elaboration of the method through amendments to the Determination were introduced for the 2012/13 reporting year.</w:t>
      </w:r>
    </w:p>
    <w:p w14:paraId="228E05A8" w14:textId="77777777" w:rsidR="00872C03" w:rsidRPr="00883399" w:rsidRDefault="00872C03" w:rsidP="00872C03">
      <w:pPr>
        <w:pStyle w:val="R2"/>
        <w:keepLines w:val="0"/>
        <w:tabs>
          <w:tab w:val="clear" w:pos="794"/>
          <w:tab w:val="right" w:pos="-12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In parallel to these latest amendments, ACARP published an industry guideline on December 2011 as </w:t>
      </w:r>
      <w:r w:rsidRPr="00883399">
        <w:rPr>
          <w:rFonts w:ascii="Arial" w:hAnsi="Arial" w:cs="Arial"/>
          <w:i/>
          <w:sz w:val="22"/>
          <w:szCs w:val="22"/>
        </w:rPr>
        <w:t>Project C20005:</w:t>
      </w:r>
      <w:r w:rsidRPr="00883399">
        <w:rPr>
          <w:rFonts w:ascii="Arial" w:hAnsi="Arial" w:cs="Arial"/>
          <w:sz w:val="22"/>
          <w:szCs w:val="22"/>
        </w:rPr>
        <w:t xml:space="preserve"> </w:t>
      </w:r>
      <w:r w:rsidRPr="00883399">
        <w:rPr>
          <w:rFonts w:ascii="Arial" w:hAnsi="Arial" w:cs="Arial"/>
          <w:i/>
          <w:sz w:val="22"/>
          <w:szCs w:val="22"/>
        </w:rPr>
        <w:t xml:space="preserve">Guidelines for the Implementation of NGER </w:t>
      </w:r>
      <w:r w:rsidRPr="00883399">
        <w:rPr>
          <w:rFonts w:ascii="Arial" w:hAnsi="Arial" w:cs="Arial"/>
          <w:i/>
          <w:sz w:val="22"/>
          <w:szCs w:val="22"/>
        </w:rPr>
        <w:lastRenderedPageBreak/>
        <w:t>Method 2 or 3 for Open Cut Coal Mine Fugitive GHG Emissions Reporting</w:t>
      </w:r>
      <w:r w:rsidRPr="00883399">
        <w:rPr>
          <w:rFonts w:ascii="Arial" w:hAnsi="Arial" w:cs="Arial"/>
          <w:sz w:val="22"/>
          <w:szCs w:val="22"/>
        </w:rPr>
        <w:t>. The document contains guidance for the measurement, estimation and reporting of fugitive emissions from open cut mines and is available at: www.acarp.com.au/abstracts.aspx?repId=C20005</w:t>
      </w:r>
    </w:p>
    <w:p w14:paraId="3D7BB135" w14:textId="77777777" w:rsidR="00872C03" w:rsidRPr="00883399" w:rsidRDefault="00872C03" w:rsidP="00872C03">
      <w:pPr>
        <w:pStyle w:val="R2"/>
        <w:keepLines w:val="0"/>
        <w:tabs>
          <w:tab w:val="clear" w:pos="794"/>
          <w:tab w:val="right" w:pos="-120"/>
        </w:tabs>
        <w:spacing w:before="240" w:line="312" w:lineRule="auto"/>
        <w:ind w:left="0" w:firstLine="0"/>
        <w:jc w:val="left"/>
        <w:rPr>
          <w:rFonts w:ascii="Arial" w:hAnsi="Arial" w:cs="Arial"/>
          <w:sz w:val="22"/>
          <w:szCs w:val="22"/>
        </w:rPr>
      </w:pPr>
      <w:r w:rsidRPr="00883399">
        <w:rPr>
          <w:rFonts w:ascii="Arial" w:hAnsi="Arial" w:cs="Arial"/>
          <w:sz w:val="22"/>
          <w:szCs w:val="22"/>
        </w:rPr>
        <w:t>The Determination amendments incorporate the ACARP guidelines through the referencing of specific sections of the guidelines. The ACARP Guidelines should be read in conjunction with the Determination. In cases of apparent inconsistency between the ACARP Guidelines and the Determination, the Determination takes precedence.</w:t>
      </w:r>
    </w:p>
    <w:p w14:paraId="4D4A1A6A" w14:textId="77777777" w:rsidR="00872C03" w:rsidRPr="00883399" w:rsidRDefault="00872C03" w:rsidP="00872C03">
      <w:pPr>
        <w:pStyle w:val="R2"/>
        <w:keepLines w:val="0"/>
        <w:tabs>
          <w:tab w:val="clear" w:pos="794"/>
          <w:tab w:val="right" w:pos="-120"/>
        </w:tabs>
        <w:spacing w:before="240" w:line="312" w:lineRule="auto"/>
        <w:ind w:left="0" w:firstLine="0"/>
        <w:jc w:val="left"/>
        <w:rPr>
          <w:rFonts w:ascii="Arial" w:hAnsi="Arial" w:cs="Arial"/>
          <w:sz w:val="22"/>
          <w:szCs w:val="22"/>
        </w:rPr>
      </w:pPr>
      <w:r w:rsidRPr="00883399">
        <w:rPr>
          <w:rFonts w:ascii="Arial" w:hAnsi="Arial" w:cs="Arial"/>
          <w:sz w:val="22"/>
          <w:szCs w:val="22"/>
        </w:rPr>
        <w:t>The Technical Guidelines have been updated to include the  amendments to open cut mine methods 2/3. Key changes include:</w:t>
      </w:r>
    </w:p>
    <w:p w14:paraId="2EE43E62" w14:textId="77777777" w:rsidR="00872C03" w:rsidRPr="00883399" w:rsidRDefault="00872C03" w:rsidP="00C335B2">
      <w:pPr>
        <w:pStyle w:val="R2"/>
        <w:keepLines w:val="0"/>
        <w:numPr>
          <w:ilvl w:val="0"/>
          <w:numId w:val="54"/>
        </w:numPr>
        <w:tabs>
          <w:tab w:val="clear" w:pos="794"/>
          <w:tab w:val="right" w:pos="-120"/>
        </w:tabs>
        <w:spacing w:before="240" w:line="240" w:lineRule="auto"/>
        <w:ind w:left="714" w:hanging="357"/>
        <w:jc w:val="left"/>
        <w:rPr>
          <w:rFonts w:ascii="Arial" w:hAnsi="Arial" w:cs="Arial"/>
          <w:sz w:val="22"/>
          <w:szCs w:val="22"/>
        </w:rPr>
      </w:pPr>
      <w:r w:rsidRPr="00883399">
        <w:rPr>
          <w:rFonts w:ascii="Arial" w:hAnsi="Arial" w:cs="Arial"/>
          <w:sz w:val="22"/>
          <w:szCs w:val="22"/>
        </w:rPr>
        <w:t>The introduction of a low gas zone approach, for which methods for defining a low gas zone and an emission factor are provided.</w:t>
      </w:r>
    </w:p>
    <w:p w14:paraId="053A0255" w14:textId="77777777" w:rsidR="00872C03" w:rsidRPr="00883399" w:rsidRDefault="00872C03" w:rsidP="00C335B2">
      <w:pPr>
        <w:pStyle w:val="R2"/>
        <w:keepLines w:val="0"/>
        <w:numPr>
          <w:ilvl w:val="0"/>
          <w:numId w:val="54"/>
        </w:numPr>
        <w:tabs>
          <w:tab w:val="clear" w:pos="794"/>
          <w:tab w:val="right" w:pos="-120"/>
        </w:tabs>
        <w:spacing w:before="240" w:line="240" w:lineRule="auto"/>
        <w:ind w:left="714" w:hanging="357"/>
        <w:jc w:val="left"/>
        <w:rPr>
          <w:rFonts w:ascii="Arial" w:hAnsi="Arial" w:cs="Arial"/>
          <w:sz w:val="22"/>
          <w:szCs w:val="22"/>
        </w:rPr>
      </w:pPr>
      <w:r w:rsidRPr="00883399">
        <w:rPr>
          <w:rFonts w:ascii="Arial" w:hAnsi="Arial" w:cs="Arial"/>
          <w:sz w:val="22"/>
          <w:szCs w:val="22"/>
        </w:rPr>
        <w:t>The introduction of the Estimator, along with setting minimum qualification for the Estimator.</w:t>
      </w:r>
    </w:p>
    <w:p w14:paraId="1D782A5B" w14:textId="77777777" w:rsidR="00872C03" w:rsidRPr="00883399" w:rsidRDefault="00872C03" w:rsidP="00C335B2">
      <w:pPr>
        <w:pStyle w:val="R2"/>
        <w:keepLines w:val="0"/>
        <w:numPr>
          <w:ilvl w:val="0"/>
          <w:numId w:val="54"/>
        </w:numPr>
        <w:tabs>
          <w:tab w:val="clear" w:pos="794"/>
          <w:tab w:val="right" w:pos="-120"/>
        </w:tabs>
        <w:spacing w:before="240" w:line="240" w:lineRule="auto"/>
        <w:ind w:left="714" w:hanging="357"/>
        <w:jc w:val="left"/>
        <w:rPr>
          <w:rFonts w:ascii="Arial" w:hAnsi="Arial" w:cs="Arial"/>
          <w:sz w:val="22"/>
          <w:szCs w:val="22"/>
        </w:rPr>
      </w:pPr>
      <w:r w:rsidRPr="00883399">
        <w:rPr>
          <w:rFonts w:ascii="Arial" w:hAnsi="Arial" w:cs="Arial"/>
          <w:sz w:val="22"/>
          <w:szCs w:val="22"/>
        </w:rPr>
        <w:t>Guidance on sampling, analysis, data validation and gas distribution modelling are provided through references within the Determination to relevant sections of the ACARP Guidelines.</w:t>
      </w:r>
    </w:p>
    <w:p w14:paraId="25FDB6BB" w14:textId="77777777" w:rsidR="00872C03" w:rsidRPr="00883399" w:rsidRDefault="00872C03" w:rsidP="00872C03">
      <w:pPr>
        <w:pStyle w:val="R2"/>
        <w:keepLines w:val="0"/>
        <w:tabs>
          <w:tab w:val="clear" w:pos="794"/>
          <w:tab w:val="right" w:pos="-120"/>
        </w:tabs>
        <w:spacing w:before="240" w:line="312" w:lineRule="auto"/>
        <w:ind w:left="0" w:firstLine="0"/>
        <w:jc w:val="left"/>
        <w:rPr>
          <w:rFonts w:ascii="Arial" w:hAnsi="Arial" w:cs="Arial"/>
          <w:sz w:val="22"/>
          <w:szCs w:val="22"/>
        </w:rPr>
      </w:pPr>
      <w:r w:rsidRPr="00883399">
        <w:rPr>
          <w:rFonts w:ascii="Arial" w:hAnsi="Arial" w:cs="Arial"/>
          <w:sz w:val="22"/>
          <w:szCs w:val="22"/>
        </w:rPr>
        <w:t>A number of new definitions were introduced as part of the set of amendments associated with the elaboration of methods 2/3 for open cut mines. Definitions are listed in section 1.8 of the Determination. Those related to methods 2/3 for open cut mines include the following;</w:t>
      </w:r>
    </w:p>
    <w:p w14:paraId="1157FD54" w14:textId="77777777" w:rsidR="00872C03" w:rsidRPr="00883399" w:rsidRDefault="00872C03" w:rsidP="00872C03">
      <w:pPr>
        <w:pStyle w:val="A2S"/>
      </w:pPr>
    </w:p>
    <w:p w14:paraId="779E2760" w14:textId="77777777" w:rsidR="00872C03" w:rsidRPr="00883399" w:rsidRDefault="00872C03" w:rsidP="00872C03">
      <w:pPr>
        <w:pStyle w:val="definition"/>
      </w:pPr>
      <w:r w:rsidRPr="00883399">
        <w:rPr>
          <w:b/>
          <w:i/>
        </w:rPr>
        <w:t>ACARP Guidelines</w:t>
      </w:r>
      <w:r w:rsidRPr="00883399">
        <w:t xml:space="preserve"> means the document entitled </w:t>
      </w:r>
      <w:r w:rsidRPr="00883399">
        <w:rPr>
          <w:i/>
        </w:rPr>
        <w:t xml:space="preserve">Guidelines for the Implementation of NGER Method 2 or 3 for Open Cut Coal Mine Fugitive GHG Emissions Reporting </w:t>
      </w:r>
      <w:r w:rsidRPr="00883399">
        <w:t>(C20005), published by the Australian Coal Association Research Program in December 2011.</w:t>
      </w:r>
    </w:p>
    <w:p w14:paraId="09597FFF" w14:textId="77777777" w:rsidR="00872C03" w:rsidRPr="00883399" w:rsidRDefault="00872C03" w:rsidP="00872C03">
      <w:pPr>
        <w:pStyle w:val="definition"/>
        <w:rPr>
          <w:b/>
          <w:i/>
        </w:rPr>
      </w:pPr>
    </w:p>
    <w:p w14:paraId="498FFF53" w14:textId="77777777" w:rsidR="00872C03" w:rsidRPr="00883399" w:rsidRDefault="00872C03" w:rsidP="00872C03">
      <w:pPr>
        <w:pStyle w:val="definition"/>
      </w:pPr>
      <w:r w:rsidRPr="00883399">
        <w:rPr>
          <w:b/>
          <w:i/>
        </w:rPr>
        <w:t>base of the low gas zone</w:t>
      </w:r>
      <w:r w:rsidRPr="00883399">
        <w:rPr>
          <w:b/>
        </w:rPr>
        <w:t xml:space="preserve"> </w:t>
      </w:r>
      <w:r w:rsidRPr="00883399">
        <w:t>means the part of the low gas zone worked out in accordance with section 3.25A.</w:t>
      </w:r>
    </w:p>
    <w:p w14:paraId="3442FB01" w14:textId="77777777" w:rsidR="00872C03" w:rsidRPr="00883399" w:rsidRDefault="00872C03" w:rsidP="00872C03">
      <w:pPr>
        <w:pStyle w:val="definition"/>
        <w:rPr>
          <w:b/>
          <w:bCs/>
          <w:i/>
          <w:iCs/>
        </w:rPr>
      </w:pPr>
    </w:p>
    <w:p w14:paraId="08A425C4" w14:textId="77777777" w:rsidR="00872C03" w:rsidRPr="00883399" w:rsidRDefault="00872C03" w:rsidP="00872C03">
      <w:pPr>
        <w:pStyle w:val="definition"/>
      </w:pPr>
      <w:r w:rsidRPr="00883399">
        <w:rPr>
          <w:b/>
          <w:bCs/>
          <w:i/>
          <w:iCs/>
        </w:rPr>
        <w:t>domain</w:t>
      </w:r>
      <w:r w:rsidRPr="00883399">
        <w:t>, of an open cut mine, means an area, volume or coal seam in which the variability of gas content and the variability of gas composition in the open cut mine have a consistent relationship with other geological, geophysical or spatial parameters located in the area, volume or coal seam.</w:t>
      </w:r>
    </w:p>
    <w:p w14:paraId="1C497FDC" w14:textId="77777777" w:rsidR="00872C03" w:rsidRPr="00883399" w:rsidRDefault="00872C03" w:rsidP="00872C03">
      <w:pPr>
        <w:pStyle w:val="definition"/>
      </w:pPr>
    </w:p>
    <w:p w14:paraId="4ABAE27A" w14:textId="77777777" w:rsidR="00872C03" w:rsidRPr="00883399" w:rsidRDefault="00872C03" w:rsidP="00872C03">
      <w:pPr>
        <w:pStyle w:val="Zdefinition"/>
      </w:pPr>
      <w:r w:rsidRPr="00883399">
        <w:rPr>
          <w:b/>
          <w:i/>
        </w:rPr>
        <w:t>estimator</w:t>
      </w:r>
      <w:r w:rsidRPr="00883399">
        <w:t>, of fugitive emissions from an open cut mine using method 2 under section 3.21 or method 3 under section 3.26, means:</w:t>
      </w:r>
    </w:p>
    <w:p w14:paraId="7E8F4E10" w14:textId="77777777" w:rsidR="00872C03" w:rsidRPr="00883399" w:rsidRDefault="00872C03" w:rsidP="00872C03">
      <w:pPr>
        <w:pStyle w:val="P1"/>
      </w:pPr>
      <w:r w:rsidRPr="00883399">
        <w:tab/>
        <w:t>(a)</w:t>
      </w:r>
      <w:r w:rsidRPr="00883399">
        <w:tab/>
        <w:t>an individual who has the minimum qualifications of an estimator set out in the ACARP Guidelines; or</w:t>
      </w:r>
    </w:p>
    <w:p w14:paraId="5AB2C3A8" w14:textId="77777777" w:rsidR="00872C03" w:rsidRPr="00883399" w:rsidRDefault="00872C03" w:rsidP="00872C03">
      <w:pPr>
        <w:pStyle w:val="P1"/>
      </w:pPr>
      <w:r w:rsidRPr="00883399">
        <w:tab/>
        <w:t>(b)</w:t>
      </w:r>
      <w:r w:rsidRPr="00883399">
        <w:tab/>
        <w:t>individuals who jointly have those minimum qualifications.</w:t>
      </w:r>
    </w:p>
    <w:p w14:paraId="1708EA03" w14:textId="77777777" w:rsidR="00872C03" w:rsidRPr="00883399" w:rsidRDefault="00872C03" w:rsidP="00872C03">
      <w:pPr>
        <w:pStyle w:val="definition"/>
      </w:pPr>
    </w:p>
    <w:p w14:paraId="4C0630BB" w14:textId="77777777" w:rsidR="00872C03" w:rsidRPr="00883399" w:rsidRDefault="00872C03" w:rsidP="00872C03">
      <w:pPr>
        <w:pStyle w:val="Zdefinition"/>
      </w:pPr>
      <w:r w:rsidRPr="00883399">
        <w:rPr>
          <w:b/>
          <w:i/>
        </w:rPr>
        <w:t>gas bearing strata</w:t>
      </w:r>
      <w:r w:rsidRPr="00883399">
        <w:t xml:space="preserve"> is coal and carbonaceous rock strata:</w:t>
      </w:r>
    </w:p>
    <w:p w14:paraId="24886641" w14:textId="77777777" w:rsidR="00872C03" w:rsidRPr="00883399" w:rsidRDefault="00872C03" w:rsidP="00872C03">
      <w:pPr>
        <w:pStyle w:val="P1"/>
      </w:pPr>
      <w:r w:rsidRPr="00883399">
        <w:tab/>
        <w:t>(a)</w:t>
      </w:r>
      <w:r w:rsidRPr="00883399">
        <w:tab/>
        <w:t>located in an open cut mine; and</w:t>
      </w:r>
    </w:p>
    <w:p w14:paraId="1FC789CE" w14:textId="77777777" w:rsidR="00872C03" w:rsidRPr="00883399" w:rsidRDefault="00872C03" w:rsidP="00872C03">
      <w:pPr>
        <w:pStyle w:val="P1"/>
      </w:pPr>
      <w:r w:rsidRPr="00883399">
        <w:tab/>
        <w:t>(b)</w:t>
      </w:r>
      <w:r w:rsidRPr="00883399">
        <w:tab/>
        <w:t>that has a relative density of less than 1.95 g/cm</w:t>
      </w:r>
      <w:r w:rsidRPr="00883399">
        <w:rPr>
          <w:vertAlign w:val="superscript"/>
        </w:rPr>
        <w:t>3</w:t>
      </w:r>
      <w:r w:rsidRPr="00883399">
        <w:t>.</w:t>
      </w:r>
    </w:p>
    <w:p w14:paraId="44FE7489" w14:textId="77777777" w:rsidR="00872C03" w:rsidRPr="00883399" w:rsidRDefault="00872C03" w:rsidP="00872C03">
      <w:pPr>
        <w:pStyle w:val="Zdefinition"/>
        <w:rPr>
          <w:b/>
          <w:i/>
        </w:rPr>
      </w:pPr>
    </w:p>
    <w:p w14:paraId="70C9774B" w14:textId="77777777" w:rsidR="00872C03" w:rsidRPr="00883399" w:rsidRDefault="00872C03" w:rsidP="00872C03">
      <w:pPr>
        <w:pStyle w:val="Zdefinition"/>
      </w:pPr>
      <w:r w:rsidRPr="00883399">
        <w:rPr>
          <w:b/>
          <w:i/>
        </w:rPr>
        <w:t xml:space="preserve">low gas zone </w:t>
      </w:r>
      <w:r w:rsidRPr="00883399">
        <w:t>means the part of the gas bearing strata of an open cut mine:</w:t>
      </w:r>
    </w:p>
    <w:p w14:paraId="7BF27C0B" w14:textId="77777777" w:rsidR="00872C03" w:rsidRPr="00883399" w:rsidRDefault="00872C03" w:rsidP="00872C03">
      <w:pPr>
        <w:pStyle w:val="P1"/>
      </w:pPr>
      <w:r w:rsidRPr="00883399">
        <w:tab/>
        <w:t>(a)</w:t>
      </w:r>
      <w:r w:rsidRPr="00883399">
        <w:tab/>
        <w:t>that is located immediately below the original surface of the mine and above the base of the low gas zone; and</w:t>
      </w:r>
    </w:p>
    <w:p w14:paraId="208D9F52" w14:textId="77777777" w:rsidR="00872C03" w:rsidRPr="00883399" w:rsidRDefault="00872C03" w:rsidP="00872C03">
      <w:pPr>
        <w:pStyle w:val="P1"/>
      </w:pPr>
      <w:r w:rsidRPr="00883399">
        <w:tab/>
        <w:t>(b)</w:t>
      </w:r>
      <w:r w:rsidRPr="00883399">
        <w:tab/>
        <w:t>the area of which is worked out by working out the base of the low gas zone.</w:t>
      </w:r>
    </w:p>
    <w:p w14:paraId="7425C0DD" w14:textId="77777777" w:rsidR="00872C03" w:rsidRPr="00883399" w:rsidRDefault="00872C03" w:rsidP="00872C03">
      <w:pPr>
        <w:pStyle w:val="Zdefinition"/>
      </w:pPr>
      <w:r w:rsidRPr="00883399">
        <w:rPr>
          <w:b/>
          <w:i/>
        </w:rPr>
        <w:t>open cut mine</w:t>
      </w:r>
      <w:r w:rsidRPr="00883399">
        <w:t>:</w:t>
      </w:r>
    </w:p>
    <w:p w14:paraId="6764C157" w14:textId="77777777" w:rsidR="00872C03" w:rsidRPr="00883399" w:rsidRDefault="00872C03" w:rsidP="00872C03">
      <w:pPr>
        <w:pStyle w:val="P1"/>
      </w:pPr>
      <w:r w:rsidRPr="00883399">
        <w:tab/>
        <w:t>(a)</w:t>
      </w:r>
      <w:r w:rsidRPr="00883399">
        <w:tab/>
        <w:t>means a mine in which the overburden is removed from coal seams to allow coal extraction by mining that is not underground mining; and</w:t>
      </w:r>
    </w:p>
    <w:p w14:paraId="1F5A058B" w14:textId="77777777" w:rsidR="00872C03" w:rsidRPr="00883399" w:rsidRDefault="00872C03" w:rsidP="00872C03">
      <w:pPr>
        <w:pStyle w:val="ZP1"/>
      </w:pPr>
      <w:r w:rsidRPr="00883399">
        <w:tab/>
        <w:t>(b)</w:t>
      </w:r>
      <w:r w:rsidRPr="00883399">
        <w:tab/>
        <w:t>for method 2 in section 3.21 or method 3 in section 3.26—includes a mine of the kind mentioned in paragraph (a):</w:t>
      </w:r>
    </w:p>
    <w:p w14:paraId="5B935E4A" w14:textId="77777777" w:rsidR="00872C03" w:rsidRPr="00883399" w:rsidRDefault="00872C03" w:rsidP="00872C03">
      <w:pPr>
        <w:pStyle w:val="P2"/>
      </w:pPr>
      <w:r w:rsidRPr="00883399">
        <w:tab/>
        <w:t>(i)</w:t>
      </w:r>
      <w:r w:rsidRPr="00883399">
        <w:tab/>
        <w:t>for which an area has been established but coal production has not commenced; or</w:t>
      </w:r>
    </w:p>
    <w:p w14:paraId="3F9530F2" w14:textId="77777777" w:rsidR="00872C03" w:rsidRPr="00883399" w:rsidRDefault="00872C03" w:rsidP="00872C03">
      <w:pPr>
        <w:pStyle w:val="P2"/>
      </w:pPr>
      <w:r w:rsidRPr="00883399">
        <w:tab/>
        <w:t>(ii)</w:t>
      </w:r>
      <w:r w:rsidRPr="00883399">
        <w:tab/>
        <w:t>in which coal production has commenced.</w:t>
      </w:r>
    </w:p>
    <w:p w14:paraId="59839B9D" w14:textId="77777777" w:rsidR="00872C03" w:rsidRPr="00883399" w:rsidRDefault="00872C03" w:rsidP="00872C03">
      <w:pPr>
        <w:pStyle w:val="subsection"/>
      </w:pPr>
    </w:p>
    <w:p w14:paraId="28F5BEDD" w14:textId="77777777" w:rsidR="00872C03" w:rsidRPr="00883399" w:rsidRDefault="00872C03" w:rsidP="00872C03">
      <w:pPr>
        <w:pStyle w:val="subsection"/>
        <w:rPr>
          <w:sz w:val="24"/>
        </w:rPr>
      </w:pPr>
      <w:r w:rsidRPr="00883399">
        <w:rPr>
          <w:sz w:val="24"/>
        </w:rPr>
        <w:tab/>
        <w:t>(1)</w:t>
      </w:r>
      <w:r w:rsidRPr="00883399">
        <w:rPr>
          <w:sz w:val="24"/>
        </w:rPr>
        <w:tab/>
        <w:t>For paragraph 3.19(2)(b) and subsection 3.19(3), method 2 is:</w:t>
      </w:r>
    </w:p>
    <w:p w14:paraId="76A7DC2E" w14:textId="1B2B10FF"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65EB8CD9" wp14:editId="18873FC5">
            <wp:extent cx="1019175" cy="2762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19175" cy="276225"/>
                    </a:xfrm>
                    <a:prstGeom prst="rect">
                      <a:avLst/>
                    </a:prstGeom>
                    <a:noFill/>
                    <a:ln>
                      <a:noFill/>
                    </a:ln>
                  </pic:spPr>
                </pic:pic>
              </a:graphicData>
            </a:graphic>
          </wp:inline>
        </w:drawing>
      </w:r>
    </w:p>
    <w:p w14:paraId="20B6BDE2" w14:textId="77777777" w:rsidR="00872C03" w:rsidRPr="00883399" w:rsidRDefault="00872C03" w:rsidP="00872C03">
      <w:pPr>
        <w:pStyle w:val="subsection2"/>
        <w:rPr>
          <w:sz w:val="24"/>
        </w:rPr>
      </w:pPr>
      <w:r w:rsidRPr="00883399">
        <w:rPr>
          <w:sz w:val="24"/>
        </w:rPr>
        <w:t>where:</w:t>
      </w:r>
    </w:p>
    <w:p w14:paraId="1D9F539B" w14:textId="77777777" w:rsidR="00872C03" w:rsidRPr="00883399" w:rsidRDefault="00872C03" w:rsidP="00872C03">
      <w:pPr>
        <w:pStyle w:val="Definition0"/>
        <w:rPr>
          <w:sz w:val="24"/>
        </w:rPr>
      </w:pPr>
      <w:r w:rsidRPr="00883399">
        <w:rPr>
          <w:b/>
          <w:i/>
          <w:sz w:val="24"/>
        </w:rPr>
        <w:t>E</w:t>
      </w:r>
      <w:r w:rsidRPr="00883399">
        <w:rPr>
          <w:b/>
          <w:i/>
          <w:sz w:val="24"/>
          <w:vertAlign w:val="subscript"/>
        </w:rPr>
        <w:t>j</w:t>
      </w:r>
      <w:r w:rsidRPr="00883399">
        <w:rPr>
          <w:b/>
          <w:i/>
          <w:sz w:val="24"/>
        </w:rPr>
        <w:t xml:space="preserve"> </w:t>
      </w:r>
      <w:r w:rsidRPr="00883399">
        <w:rPr>
          <w:sz w:val="24"/>
        </w:rPr>
        <w:t>is the fugitive emissions of gas type (</w:t>
      </w:r>
      <w:r w:rsidRPr="00883399">
        <w:rPr>
          <w:b/>
          <w:i/>
          <w:sz w:val="24"/>
        </w:rPr>
        <w:t>j</w:t>
      </w:r>
      <w:r w:rsidRPr="00883399">
        <w:rPr>
          <w:sz w:val="24"/>
        </w:rPr>
        <w:t>) that result from the extraction of coal from the mine during the year, measured in CO</w:t>
      </w:r>
      <w:r w:rsidRPr="00883399">
        <w:rPr>
          <w:sz w:val="24"/>
          <w:vertAlign w:val="subscript"/>
        </w:rPr>
        <w:t>2</w:t>
      </w:r>
      <w:r w:rsidRPr="00883399">
        <w:rPr>
          <w:sz w:val="24"/>
        </w:rPr>
        <w:noBreakHyphen/>
        <w:t>e tonnes.</w:t>
      </w:r>
    </w:p>
    <w:p w14:paraId="0457263F" w14:textId="77777777" w:rsidR="00872C03" w:rsidRPr="00883399" w:rsidRDefault="00872C03" w:rsidP="00872C03">
      <w:pPr>
        <w:pStyle w:val="Definition0"/>
        <w:rPr>
          <w:sz w:val="24"/>
        </w:rPr>
      </w:pPr>
      <w:r w:rsidRPr="00883399">
        <w:rPr>
          <w:b/>
          <w:i/>
          <w:sz w:val="24"/>
        </w:rPr>
        <w:t>γ</w:t>
      </w:r>
      <w:r w:rsidRPr="00883399">
        <w:rPr>
          <w:b/>
          <w:i/>
          <w:sz w:val="24"/>
          <w:vertAlign w:val="subscript"/>
        </w:rPr>
        <w:t>j</w:t>
      </w:r>
      <w:r w:rsidRPr="00883399">
        <w:rPr>
          <w:b/>
          <w:i/>
          <w:sz w:val="24"/>
        </w:rPr>
        <w:t xml:space="preserve"> </w:t>
      </w:r>
      <w:r w:rsidRPr="00883399">
        <w:rPr>
          <w:sz w:val="24"/>
        </w:rPr>
        <w:t>is the factor for converting a quantity of gas type (</w:t>
      </w:r>
      <w:r w:rsidRPr="00883399">
        <w:rPr>
          <w:b/>
          <w:i/>
          <w:sz w:val="24"/>
        </w:rPr>
        <w:t>j</w:t>
      </w:r>
      <w:r w:rsidRPr="00883399">
        <w:rPr>
          <w:sz w:val="24"/>
        </w:rPr>
        <w:t>) from cubic metres at standard conditions of pressure and temperature to CO</w:t>
      </w:r>
      <w:r w:rsidRPr="00883399">
        <w:rPr>
          <w:sz w:val="24"/>
          <w:vertAlign w:val="subscript"/>
        </w:rPr>
        <w:t>2</w:t>
      </w:r>
      <w:r w:rsidRPr="00883399">
        <w:rPr>
          <w:sz w:val="24"/>
        </w:rPr>
        <w:noBreakHyphen/>
        <w:t>e tonnes, as follows:</w:t>
      </w:r>
    </w:p>
    <w:p w14:paraId="1E62F690" w14:textId="77777777" w:rsidR="00872C03" w:rsidRPr="00883399" w:rsidRDefault="00872C03" w:rsidP="00872C03">
      <w:pPr>
        <w:pStyle w:val="paragraph"/>
        <w:rPr>
          <w:sz w:val="24"/>
        </w:rPr>
      </w:pPr>
      <w:r w:rsidRPr="00883399">
        <w:rPr>
          <w:sz w:val="24"/>
        </w:rPr>
        <w:tab/>
        <w:t>(a)</w:t>
      </w:r>
      <w:r w:rsidRPr="00883399">
        <w:rPr>
          <w:sz w:val="24"/>
        </w:rPr>
        <w:tab/>
        <w:t>for methane—6.784 × 10</w:t>
      </w:r>
      <w:r w:rsidRPr="00883399">
        <w:rPr>
          <w:sz w:val="24"/>
          <w:vertAlign w:val="superscript"/>
        </w:rPr>
        <w:noBreakHyphen/>
        <w:t xml:space="preserve">4 </w:t>
      </w:r>
      <w:r w:rsidRPr="00883399">
        <w:rPr>
          <w:sz w:val="24"/>
        </w:rPr>
        <w:t>× 25;</w:t>
      </w:r>
    </w:p>
    <w:p w14:paraId="5599A437" w14:textId="77777777" w:rsidR="00872C03" w:rsidRPr="00883399" w:rsidRDefault="00872C03" w:rsidP="00872C03">
      <w:pPr>
        <w:pStyle w:val="paragraph"/>
        <w:rPr>
          <w:sz w:val="24"/>
        </w:rPr>
      </w:pPr>
      <w:r w:rsidRPr="00883399">
        <w:rPr>
          <w:sz w:val="24"/>
        </w:rPr>
        <w:lastRenderedPageBreak/>
        <w:tab/>
        <w:t>(b)</w:t>
      </w:r>
      <w:r w:rsidRPr="00883399">
        <w:rPr>
          <w:sz w:val="24"/>
        </w:rPr>
        <w:tab/>
        <w:t>for carbon dioxide—1.861 × 10</w:t>
      </w:r>
      <w:r w:rsidRPr="00883399">
        <w:rPr>
          <w:sz w:val="24"/>
          <w:vertAlign w:val="superscript"/>
        </w:rPr>
        <w:noBreakHyphen/>
        <w:t>3</w:t>
      </w:r>
      <w:r w:rsidRPr="00883399">
        <w:rPr>
          <w:sz w:val="24"/>
        </w:rPr>
        <w:t>.</w:t>
      </w:r>
    </w:p>
    <w:p w14:paraId="023DAAC6" w14:textId="77777777" w:rsidR="00872C03" w:rsidRPr="00883399" w:rsidRDefault="00872C03" w:rsidP="00872C03">
      <w:pPr>
        <w:pStyle w:val="Definition0"/>
        <w:rPr>
          <w:sz w:val="24"/>
        </w:rPr>
      </w:pPr>
      <w:r w:rsidRPr="00883399">
        <w:rPr>
          <w:b/>
          <w:i/>
          <w:sz w:val="24"/>
        </w:rPr>
        <w:t>∑</w:t>
      </w:r>
      <w:r w:rsidRPr="00883399">
        <w:rPr>
          <w:b/>
          <w:i/>
          <w:sz w:val="24"/>
          <w:vertAlign w:val="subscript"/>
        </w:rPr>
        <w:t xml:space="preserve">z </w:t>
      </w:r>
      <w:r w:rsidRPr="00883399">
        <w:rPr>
          <w:b/>
          <w:i/>
          <w:sz w:val="24"/>
        </w:rPr>
        <w:t>(S</w:t>
      </w:r>
      <w:r w:rsidRPr="00883399">
        <w:rPr>
          <w:b/>
          <w:i/>
          <w:sz w:val="24"/>
          <w:vertAlign w:val="subscript"/>
        </w:rPr>
        <w:t>j,z</w:t>
      </w:r>
      <w:r w:rsidRPr="00883399">
        <w:rPr>
          <w:b/>
          <w:i/>
          <w:sz w:val="24"/>
        </w:rPr>
        <w:t xml:space="preserve">) </w:t>
      </w:r>
      <w:r w:rsidRPr="00883399">
        <w:rPr>
          <w:sz w:val="24"/>
        </w:rPr>
        <w:t>is the total of gas type (</w:t>
      </w:r>
      <w:r w:rsidRPr="00883399">
        <w:rPr>
          <w:b/>
          <w:i/>
          <w:sz w:val="24"/>
        </w:rPr>
        <w:t>j</w:t>
      </w:r>
      <w:r w:rsidRPr="00883399">
        <w:rPr>
          <w:sz w:val="24"/>
        </w:rPr>
        <w:t>) in all gas bearing strata (</w:t>
      </w:r>
      <w:r w:rsidRPr="00883399">
        <w:rPr>
          <w:b/>
          <w:i/>
          <w:sz w:val="24"/>
        </w:rPr>
        <w:t>z</w:t>
      </w:r>
      <w:r w:rsidRPr="00883399">
        <w:rPr>
          <w:sz w:val="24"/>
        </w:rPr>
        <w:t>) under the extraction area of the mine during the year, measured in cubic metres, where the gas in each strata is estimated under section 3.22.</w:t>
      </w:r>
    </w:p>
    <w:p w14:paraId="12CD2AC6" w14:textId="77777777" w:rsidR="00872C03" w:rsidRPr="00883399" w:rsidRDefault="00872C03" w:rsidP="00872C03">
      <w:pPr>
        <w:pStyle w:val="subsection"/>
        <w:rPr>
          <w:sz w:val="24"/>
        </w:rPr>
      </w:pPr>
      <w:r w:rsidRPr="00883399">
        <w:rPr>
          <w:sz w:val="24"/>
        </w:rPr>
        <w:tab/>
        <w:t>(2)</w:t>
      </w:r>
      <w:r w:rsidRPr="00883399">
        <w:rPr>
          <w:sz w:val="24"/>
        </w:rPr>
        <w:tab/>
        <w:t>Method 2 requires each gas in a gas bearing strata to be sampled and analysed in accordance with the requirements in sections 3.24, 3.25 and 3.25A.</w:t>
      </w:r>
    </w:p>
    <w:p w14:paraId="63EEB44A" w14:textId="1E093DDE" w:rsidR="00872C03" w:rsidRPr="00883399" w:rsidRDefault="00872C03" w:rsidP="00872C03">
      <w:pPr>
        <w:pStyle w:val="ActHead5"/>
        <w:rPr>
          <w:sz w:val="28"/>
        </w:rPr>
      </w:pPr>
      <w:bookmarkStart w:id="470" w:name="_Toc423516880"/>
      <w:bookmarkStart w:id="471" w:name="_Toc495652799"/>
      <w:r w:rsidRPr="00883399">
        <w:rPr>
          <w:rStyle w:val="CharSectno"/>
          <w:sz w:val="28"/>
        </w:rPr>
        <w:t>3.22</w:t>
      </w:r>
      <w:r w:rsidRPr="00883399">
        <w:rPr>
          <w:sz w:val="28"/>
        </w:rPr>
        <w:t xml:space="preserve">  Total gas contained by gas bearing strata</w:t>
      </w:r>
      <w:bookmarkEnd w:id="470"/>
      <w:bookmarkEnd w:id="471"/>
    </w:p>
    <w:p w14:paraId="57875ADD" w14:textId="77777777" w:rsidR="00872C03" w:rsidRPr="00883399" w:rsidRDefault="00872C03" w:rsidP="00872C03">
      <w:pPr>
        <w:pStyle w:val="subsection"/>
        <w:rPr>
          <w:sz w:val="24"/>
        </w:rPr>
      </w:pPr>
      <w:r w:rsidRPr="00883399">
        <w:rPr>
          <w:sz w:val="24"/>
        </w:rPr>
        <w:tab/>
        <w:t>(1)</w:t>
      </w:r>
      <w:r w:rsidRPr="00883399">
        <w:rPr>
          <w:sz w:val="24"/>
        </w:rPr>
        <w:tab/>
        <w:t xml:space="preserve">For method 2 under subsection 3.21(1), </w:t>
      </w:r>
      <w:r w:rsidRPr="00883399">
        <w:rPr>
          <w:b/>
          <w:i/>
          <w:sz w:val="24"/>
        </w:rPr>
        <w:t>S</w:t>
      </w:r>
      <w:r w:rsidRPr="00883399">
        <w:rPr>
          <w:b/>
          <w:i/>
          <w:sz w:val="24"/>
          <w:vertAlign w:val="subscript"/>
        </w:rPr>
        <w:t>j,z</w:t>
      </w:r>
      <w:r w:rsidRPr="00883399">
        <w:rPr>
          <w:sz w:val="24"/>
        </w:rPr>
        <w:t xml:space="preserve"> for gas type (</w:t>
      </w:r>
      <w:r w:rsidRPr="00883399">
        <w:rPr>
          <w:b/>
          <w:i/>
          <w:sz w:val="24"/>
        </w:rPr>
        <w:t>j</w:t>
      </w:r>
      <w:r w:rsidRPr="00883399">
        <w:rPr>
          <w:sz w:val="24"/>
        </w:rPr>
        <w:t>) contained in a gas bearing strata (</w:t>
      </w:r>
      <w:r w:rsidRPr="00883399">
        <w:rPr>
          <w:b/>
          <w:i/>
          <w:sz w:val="24"/>
        </w:rPr>
        <w:t>z</w:t>
      </w:r>
      <w:r w:rsidRPr="00883399">
        <w:rPr>
          <w:sz w:val="24"/>
        </w:rPr>
        <w:t>) under the extraction area of the mine during the year, measured in cubic metres, is:</w:t>
      </w:r>
    </w:p>
    <w:p w14:paraId="7EB5C445" w14:textId="2BFA1D92"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17A6215D" wp14:editId="5B5ABA7C">
            <wp:extent cx="4500880" cy="237490"/>
            <wp:effectExtent l="1905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96"/>
                    <a:srcRect/>
                    <a:stretch>
                      <a:fillRect/>
                    </a:stretch>
                  </pic:blipFill>
                  <pic:spPr bwMode="auto">
                    <a:xfrm>
                      <a:off x="0" y="0"/>
                      <a:ext cx="4500880" cy="237490"/>
                    </a:xfrm>
                    <a:prstGeom prst="rect">
                      <a:avLst/>
                    </a:prstGeom>
                    <a:noFill/>
                    <a:ln w="9525">
                      <a:noFill/>
                      <a:miter lim="800000"/>
                      <a:headEnd/>
                      <a:tailEnd/>
                    </a:ln>
                  </pic:spPr>
                </pic:pic>
              </a:graphicData>
            </a:graphic>
          </wp:inline>
        </w:drawing>
      </w:r>
    </w:p>
    <w:p w14:paraId="1E37922A" w14:textId="77777777" w:rsidR="00872C03" w:rsidRPr="00883399" w:rsidRDefault="00872C03" w:rsidP="00872C03">
      <w:pPr>
        <w:pStyle w:val="subsection2"/>
        <w:rPr>
          <w:sz w:val="24"/>
        </w:rPr>
      </w:pPr>
      <w:r w:rsidRPr="00883399">
        <w:rPr>
          <w:sz w:val="24"/>
        </w:rPr>
        <w:t>where:</w:t>
      </w:r>
    </w:p>
    <w:p w14:paraId="54EF1BEA" w14:textId="77777777" w:rsidR="00872C03" w:rsidRPr="00883399" w:rsidRDefault="00872C03" w:rsidP="00872C03">
      <w:pPr>
        <w:pStyle w:val="Definition0"/>
        <w:rPr>
          <w:sz w:val="24"/>
        </w:rPr>
      </w:pPr>
      <w:r w:rsidRPr="00883399">
        <w:rPr>
          <w:b/>
          <w:i/>
          <w:sz w:val="24"/>
        </w:rPr>
        <w:t>M</w:t>
      </w:r>
      <w:r w:rsidRPr="00883399">
        <w:rPr>
          <w:b/>
          <w:i/>
          <w:sz w:val="24"/>
          <w:vertAlign w:val="subscript"/>
        </w:rPr>
        <w:t>z</w:t>
      </w:r>
      <w:r w:rsidRPr="00883399">
        <w:rPr>
          <w:b/>
          <w:i/>
          <w:sz w:val="24"/>
        </w:rPr>
        <w:t xml:space="preserve"> </w:t>
      </w:r>
      <w:r w:rsidRPr="00883399">
        <w:rPr>
          <w:sz w:val="24"/>
        </w:rPr>
        <w:t>is the mass of the gas bearing strata (</w:t>
      </w:r>
      <w:r w:rsidRPr="00883399">
        <w:rPr>
          <w:b/>
          <w:i/>
          <w:sz w:val="24"/>
        </w:rPr>
        <w:t>z</w:t>
      </w:r>
      <w:r w:rsidRPr="00883399">
        <w:rPr>
          <w:sz w:val="24"/>
        </w:rPr>
        <w:t>) under the extraction area of the mine during the year, measured in tonnes.</w:t>
      </w:r>
    </w:p>
    <w:p w14:paraId="740EC4DC" w14:textId="77777777" w:rsidR="00872C03" w:rsidRPr="00883399" w:rsidRDefault="00872C03" w:rsidP="00872C03">
      <w:pPr>
        <w:pStyle w:val="Definition0"/>
        <w:rPr>
          <w:sz w:val="24"/>
        </w:rPr>
      </w:pPr>
      <w:r w:rsidRPr="00883399">
        <w:rPr>
          <w:b/>
          <w:i/>
          <w:sz w:val="24"/>
        </w:rPr>
        <w:t>β</w:t>
      </w:r>
      <w:r w:rsidRPr="00883399">
        <w:rPr>
          <w:b/>
          <w:i/>
          <w:sz w:val="24"/>
          <w:vertAlign w:val="subscript"/>
        </w:rPr>
        <w:t>z</w:t>
      </w:r>
      <w:r w:rsidRPr="00883399">
        <w:rPr>
          <w:b/>
          <w:i/>
          <w:sz w:val="24"/>
        </w:rPr>
        <w:t xml:space="preserve"> </w:t>
      </w:r>
      <w:r w:rsidRPr="00883399">
        <w:rPr>
          <w:sz w:val="24"/>
        </w:rPr>
        <w:t>is the proportion of the gas content of the gas bearing strata (</w:t>
      </w:r>
      <w:r w:rsidRPr="00883399">
        <w:rPr>
          <w:b/>
          <w:i/>
          <w:sz w:val="24"/>
        </w:rPr>
        <w:t>z</w:t>
      </w:r>
      <w:r w:rsidRPr="00883399">
        <w:rPr>
          <w:sz w:val="24"/>
        </w:rPr>
        <w:t>) that is released by extracting coal from the extraction area of the mine during the year, as follows:</w:t>
      </w:r>
    </w:p>
    <w:p w14:paraId="75A3187D" w14:textId="77777777" w:rsidR="00872C03" w:rsidRPr="00883399" w:rsidRDefault="00872C03" w:rsidP="00872C03">
      <w:pPr>
        <w:pStyle w:val="paragraph"/>
        <w:rPr>
          <w:sz w:val="24"/>
        </w:rPr>
      </w:pPr>
      <w:r w:rsidRPr="00883399">
        <w:rPr>
          <w:sz w:val="24"/>
        </w:rPr>
        <w:tab/>
        <w:t>(a)</w:t>
      </w:r>
      <w:r w:rsidRPr="00883399">
        <w:rPr>
          <w:sz w:val="24"/>
        </w:rPr>
        <w:tab/>
        <w:t>if the gas bearing strata is at or above the pit floor—1;</w:t>
      </w:r>
    </w:p>
    <w:p w14:paraId="0CEF7B42" w14:textId="77777777" w:rsidR="00872C03" w:rsidRPr="00883399" w:rsidRDefault="00872C03" w:rsidP="00872C03">
      <w:pPr>
        <w:pStyle w:val="paragraph"/>
        <w:rPr>
          <w:sz w:val="24"/>
        </w:rPr>
      </w:pPr>
      <w:r w:rsidRPr="00883399">
        <w:rPr>
          <w:sz w:val="24"/>
        </w:rPr>
        <w:tab/>
        <w:t>(b)</w:t>
      </w:r>
      <w:r w:rsidRPr="00883399">
        <w:rPr>
          <w:sz w:val="24"/>
        </w:rPr>
        <w:tab/>
        <w:t xml:space="preserve">in any other case—as estimated under section 3.23. </w:t>
      </w:r>
    </w:p>
    <w:p w14:paraId="5A585297" w14:textId="77777777" w:rsidR="00872C03" w:rsidRPr="00883399" w:rsidRDefault="00872C03" w:rsidP="00872C03">
      <w:pPr>
        <w:pStyle w:val="Definition0"/>
        <w:rPr>
          <w:sz w:val="24"/>
        </w:rPr>
      </w:pPr>
      <w:r w:rsidRPr="00883399">
        <w:rPr>
          <w:b/>
          <w:i/>
          <w:sz w:val="24"/>
        </w:rPr>
        <w:t>GC</w:t>
      </w:r>
      <w:r w:rsidRPr="00883399">
        <w:rPr>
          <w:b/>
          <w:i/>
          <w:sz w:val="24"/>
          <w:vertAlign w:val="subscript"/>
        </w:rPr>
        <w:t>jz</w:t>
      </w:r>
      <w:r w:rsidRPr="00883399">
        <w:rPr>
          <w:b/>
          <w:i/>
          <w:sz w:val="24"/>
        </w:rPr>
        <w:t xml:space="preserve"> </w:t>
      </w:r>
      <w:r w:rsidRPr="00883399">
        <w:rPr>
          <w:sz w:val="24"/>
        </w:rPr>
        <w:t>is the content of gas type (</w:t>
      </w:r>
      <w:r w:rsidRPr="00883399">
        <w:rPr>
          <w:b/>
          <w:i/>
          <w:sz w:val="24"/>
        </w:rPr>
        <w:t>j</w:t>
      </w:r>
      <w:r w:rsidRPr="00883399">
        <w:rPr>
          <w:sz w:val="24"/>
        </w:rPr>
        <w:t>) contained by the gas bearing strata (</w:t>
      </w:r>
      <w:r w:rsidRPr="00883399">
        <w:rPr>
          <w:b/>
          <w:i/>
          <w:sz w:val="24"/>
        </w:rPr>
        <w:t>z</w:t>
      </w:r>
      <w:r w:rsidRPr="00883399">
        <w:rPr>
          <w:sz w:val="24"/>
        </w:rPr>
        <w:t>) before gas capture, flaring or venting is undertaken at the extraction area of the mine during the year, measured in cubic metres per tonne of gas bearing strata at standard conditions.</w:t>
      </w:r>
    </w:p>
    <w:p w14:paraId="09654CDE" w14:textId="77777777" w:rsidR="00872C03" w:rsidRPr="00883399" w:rsidRDefault="00872C03" w:rsidP="00872C03">
      <w:pPr>
        <w:pStyle w:val="Definition0"/>
        <w:rPr>
          <w:sz w:val="24"/>
        </w:rPr>
      </w:pPr>
      <w:r w:rsidRPr="00883399">
        <w:rPr>
          <w:sz w:val="24"/>
        </w:rPr>
        <w:t>∑</w:t>
      </w:r>
      <w:r w:rsidRPr="00883399">
        <w:rPr>
          <w:b/>
          <w:i/>
          <w:sz w:val="24"/>
        </w:rPr>
        <w:t>Q</w:t>
      </w:r>
      <w:r w:rsidRPr="00883399">
        <w:rPr>
          <w:b/>
          <w:i/>
          <w:sz w:val="24"/>
          <w:vertAlign w:val="subscript"/>
        </w:rPr>
        <w:t xml:space="preserve">ij,cap,z </w:t>
      </w:r>
      <w:r w:rsidRPr="00883399">
        <w:rPr>
          <w:sz w:val="24"/>
        </w:rPr>
        <w:t>is the total quantity of gas type (</w:t>
      </w:r>
      <w:r w:rsidRPr="00883399">
        <w:rPr>
          <w:b/>
          <w:i/>
          <w:sz w:val="24"/>
        </w:rPr>
        <w:t>j</w:t>
      </w:r>
      <w:r w:rsidRPr="00883399">
        <w:rPr>
          <w:sz w:val="24"/>
        </w:rPr>
        <w:t>) in coal mine waste gas (</w:t>
      </w:r>
      <w:r w:rsidRPr="00883399">
        <w:rPr>
          <w:b/>
          <w:i/>
          <w:sz w:val="24"/>
        </w:rPr>
        <w:t>i</w:t>
      </w:r>
      <w:r w:rsidRPr="00883399">
        <w:rPr>
          <w:sz w:val="24"/>
        </w:rPr>
        <w:t>) captured for combustion from the gas bearing strata (</w:t>
      </w:r>
      <w:r w:rsidRPr="00883399">
        <w:rPr>
          <w:b/>
          <w:i/>
          <w:sz w:val="24"/>
        </w:rPr>
        <w:t>z</w:t>
      </w:r>
      <w:r w:rsidRPr="00883399">
        <w:rPr>
          <w:sz w:val="24"/>
        </w:rPr>
        <w:t>) at any time before coal is extracted from the extraction area of the mine during the year, measured in cubic metres.</w:t>
      </w:r>
    </w:p>
    <w:p w14:paraId="0E42843E" w14:textId="77777777" w:rsidR="00872C03" w:rsidRPr="00883399" w:rsidRDefault="00872C03" w:rsidP="00872C03">
      <w:pPr>
        <w:pStyle w:val="Definition0"/>
        <w:rPr>
          <w:sz w:val="24"/>
        </w:rPr>
      </w:pPr>
      <w:r w:rsidRPr="00883399">
        <w:rPr>
          <w:b/>
          <w:i/>
          <w:sz w:val="24"/>
        </w:rPr>
        <w:t>∑Q</w:t>
      </w:r>
      <w:r w:rsidRPr="00883399">
        <w:rPr>
          <w:b/>
          <w:i/>
          <w:sz w:val="24"/>
          <w:vertAlign w:val="subscript"/>
        </w:rPr>
        <w:t xml:space="preserve">ij,flared,z </w:t>
      </w:r>
      <w:r w:rsidRPr="00883399">
        <w:rPr>
          <w:sz w:val="24"/>
        </w:rPr>
        <w:t>is the total quantity of gas type (</w:t>
      </w:r>
      <w:r w:rsidRPr="00883399">
        <w:rPr>
          <w:b/>
          <w:i/>
          <w:sz w:val="24"/>
        </w:rPr>
        <w:t>j</w:t>
      </w:r>
      <w:r w:rsidRPr="00883399">
        <w:rPr>
          <w:sz w:val="24"/>
        </w:rPr>
        <w:t>) in coal mine waste gas (</w:t>
      </w:r>
      <w:r w:rsidRPr="00883399">
        <w:rPr>
          <w:b/>
          <w:i/>
          <w:sz w:val="24"/>
        </w:rPr>
        <w:t>i</w:t>
      </w:r>
      <w:r w:rsidRPr="00883399">
        <w:rPr>
          <w:sz w:val="24"/>
        </w:rPr>
        <w:t>) flared from the gas bearing strata (</w:t>
      </w:r>
      <w:r w:rsidRPr="00883399">
        <w:rPr>
          <w:b/>
          <w:i/>
          <w:sz w:val="24"/>
        </w:rPr>
        <w:t>z</w:t>
      </w:r>
      <w:r w:rsidRPr="00883399">
        <w:rPr>
          <w:sz w:val="24"/>
        </w:rPr>
        <w:t>) at any time before coal is extracted from the extraction area of the mine during the year, measured in cubic metres.</w:t>
      </w:r>
    </w:p>
    <w:p w14:paraId="28D7FCB7" w14:textId="77777777" w:rsidR="00872C03" w:rsidRPr="00883399" w:rsidRDefault="00872C03" w:rsidP="00872C03">
      <w:pPr>
        <w:pStyle w:val="Definition0"/>
        <w:rPr>
          <w:sz w:val="24"/>
        </w:rPr>
      </w:pPr>
      <w:r w:rsidRPr="00883399">
        <w:rPr>
          <w:b/>
          <w:i/>
          <w:sz w:val="24"/>
        </w:rPr>
        <w:t>∑Q</w:t>
      </w:r>
      <w:r w:rsidRPr="00883399">
        <w:rPr>
          <w:b/>
          <w:i/>
          <w:sz w:val="24"/>
          <w:vertAlign w:val="subscript"/>
        </w:rPr>
        <w:t>ijtr</w:t>
      </w:r>
      <w:r w:rsidRPr="00883399">
        <w:rPr>
          <w:b/>
          <w:i/>
          <w:sz w:val="24"/>
        </w:rPr>
        <w:t xml:space="preserve"> </w:t>
      </w:r>
      <w:r w:rsidRPr="00883399">
        <w:rPr>
          <w:sz w:val="24"/>
        </w:rPr>
        <w:t>is the total quantity of gas type (</w:t>
      </w:r>
      <w:r w:rsidRPr="00883399">
        <w:rPr>
          <w:b/>
          <w:i/>
          <w:sz w:val="24"/>
        </w:rPr>
        <w:t>j</w:t>
      </w:r>
      <w:r w:rsidRPr="00883399">
        <w:rPr>
          <w:sz w:val="24"/>
        </w:rPr>
        <w:t>) in coal mine waste gas (</w:t>
      </w:r>
      <w:r w:rsidRPr="00883399">
        <w:rPr>
          <w:b/>
          <w:i/>
          <w:sz w:val="24"/>
        </w:rPr>
        <w:t>i</w:t>
      </w:r>
      <w:r w:rsidRPr="00883399">
        <w:rPr>
          <w:sz w:val="24"/>
        </w:rPr>
        <w:t>) transferred out of the mining activities at any time before coal is extracted from the extraction area of the mine during the year, measured in cubic metres.</w:t>
      </w:r>
    </w:p>
    <w:p w14:paraId="0106C92F" w14:textId="77777777" w:rsidR="00872C03" w:rsidRPr="00883399" w:rsidRDefault="00872C03" w:rsidP="00872C03">
      <w:pPr>
        <w:pStyle w:val="Definition0"/>
        <w:rPr>
          <w:sz w:val="24"/>
        </w:rPr>
      </w:pPr>
      <w:r w:rsidRPr="00883399">
        <w:rPr>
          <w:b/>
          <w:i/>
          <w:sz w:val="24"/>
        </w:rPr>
        <w:lastRenderedPageBreak/>
        <w:t>∑E</w:t>
      </w:r>
      <w:r w:rsidRPr="00883399">
        <w:rPr>
          <w:b/>
          <w:i/>
          <w:sz w:val="24"/>
          <w:vertAlign w:val="subscript"/>
        </w:rPr>
        <w:t xml:space="preserve">j,vented,z </w:t>
      </w:r>
      <w:r w:rsidRPr="00883399">
        <w:rPr>
          <w:sz w:val="24"/>
        </w:rPr>
        <w:t>is the total emissions of gas type (</w:t>
      </w:r>
      <w:r w:rsidRPr="00883399">
        <w:rPr>
          <w:b/>
          <w:i/>
          <w:sz w:val="24"/>
        </w:rPr>
        <w:t>j</w:t>
      </w:r>
      <w:r w:rsidRPr="00883399">
        <w:rPr>
          <w:sz w:val="24"/>
        </w:rPr>
        <w:t>) vented from the gas bearing strata (</w:t>
      </w:r>
      <w:r w:rsidRPr="00883399">
        <w:rPr>
          <w:b/>
          <w:i/>
          <w:sz w:val="24"/>
        </w:rPr>
        <w:t>z</w:t>
      </w:r>
      <w:r w:rsidRPr="00883399">
        <w:rPr>
          <w:sz w:val="24"/>
        </w:rPr>
        <w:t>) at any time before coal is extracted from the extraction area of the mine during the year, measured in cubic metres and estimated under subsection 3.19 (6).</w:t>
      </w:r>
    </w:p>
    <w:p w14:paraId="7C60B53C" w14:textId="77777777" w:rsidR="00872C03" w:rsidRPr="00883399" w:rsidRDefault="00872C03" w:rsidP="00872C03">
      <w:pPr>
        <w:pStyle w:val="subsection"/>
        <w:rPr>
          <w:sz w:val="24"/>
        </w:rPr>
      </w:pPr>
      <w:r w:rsidRPr="00883399">
        <w:rPr>
          <w:sz w:val="24"/>
        </w:rPr>
        <w:tab/>
        <w:t>(2)</w:t>
      </w:r>
      <w:r w:rsidRPr="00883399">
        <w:rPr>
          <w:sz w:val="24"/>
        </w:rPr>
        <w:tab/>
        <w:t>For ∑</w:t>
      </w:r>
      <w:r w:rsidRPr="00883399">
        <w:rPr>
          <w:b/>
          <w:i/>
          <w:sz w:val="24"/>
        </w:rPr>
        <w:t>Q</w:t>
      </w:r>
      <w:r w:rsidRPr="00883399">
        <w:rPr>
          <w:b/>
          <w:i/>
          <w:sz w:val="24"/>
          <w:vertAlign w:val="subscript"/>
        </w:rPr>
        <w:t>ij,cap,z</w:t>
      </w:r>
      <w:r w:rsidRPr="00883399">
        <w:rPr>
          <w:sz w:val="24"/>
        </w:rPr>
        <w:t xml:space="preserve">, </w:t>
      </w:r>
      <w:r w:rsidRPr="00883399">
        <w:rPr>
          <w:b/>
          <w:i/>
          <w:sz w:val="24"/>
        </w:rPr>
        <w:t>∑Q</w:t>
      </w:r>
      <w:r w:rsidRPr="00883399">
        <w:rPr>
          <w:b/>
          <w:i/>
          <w:sz w:val="24"/>
          <w:vertAlign w:val="subscript"/>
        </w:rPr>
        <w:t>ij,flared,z</w:t>
      </w:r>
      <w:r w:rsidRPr="00883399">
        <w:rPr>
          <w:sz w:val="24"/>
        </w:rPr>
        <w:t xml:space="preserve"> and </w:t>
      </w:r>
      <w:r w:rsidRPr="00883399">
        <w:rPr>
          <w:b/>
          <w:i/>
          <w:sz w:val="24"/>
        </w:rPr>
        <w:t>∑Q</w:t>
      </w:r>
      <w:r w:rsidRPr="00883399">
        <w:rPr>
          <w:b/>
          <w:i/>
          <w:sz w:val="24"/>
          <w:vertAlign w:val="subscript"/>
        </w:rPr>
        <w:t>ijtr</w:t>
      </w:r>
      <w:r w:rsidRPr="00883399">
        <w:rPr>
          <w:sz w:val="24"/>
        </w:rPr>
        <w:t xml:space="preserve"> in subsection (1), the quantity of gas type (</w:t>
      </w:r>
      <w:r w:rsidRPr="00883399">
        <w:rPr>
          <w:b/>
          <w:i/>
          <w:sz w:val="24"/>
        </w:rPr>
        <w:t>j</w:t>
      </w:r>
      <w:r w:rsidRPr="00883399">
        <w:rPr>
          <w:sz w:val="24"/>
        </w:rPr>
        <w:t>) must be estimated in accordance with Division 2.3.6 as if a reference in that Division to quantities of gaseous fuels combusted from the operation of a facility was a reference to the following:</w:t>
      </w:r>
    </w:p>
    <w:p w14:paraId="2515C299" w14:textId="77777777" w:rsidR="00872C03" w:rsidRPr="00883399" w:rsidRDefault="00872C03" w:rsidP="00872C03">
      <w:pPr>
        <w:pStyle w:val="paragraph"/>
        <w:rPr>
          <w:sz w:val="24"/>
        </w:rPr>
      </w:pPr>
      <w:r w:rsidRPr="00883399">
        <w:rPr>
          <w:sz w:val="24"/>
        </w:rPr>
        <w:tab/>
        <w:t>(a)</w:t>
      </w:r>
      <w:r w:rsidRPr="00883399">
        <w:rPr>
          <w:sz w:val="24"/>
        </w:rPr>
        <w:tab/>
        <w:t>for ∑</w:t>
      </w:r>
      <w:r w:rsidRPr="00883399">
        <w:rPr>
          <w:b/>
          <w:i/>
          <w:sz w:val="24"/>
        </w:rPr>
        <w:t>Q</w:t>
      </w:r>
      <w:r w:rsidRPr="00883399">
        <w:rPr>
          <w:b/>
          <w:i/>
          <w:sz w:val="24"/>
          <w:vertAlign w:val="subscript"/>
        </w:rPr>
        <w:t>ij,cap,z—</w:t>
      </w:r>
      <w:r w:rsidRPr="00883399">
        <w:rPr>
          <w:sz w:val="24"/>
        </w:rPr>
        <w:t>quantities of gaseous fuels captured from the operation of a facility;</w:t>
      </w:r>
    </w:p>
    <w:p w14:paraId="4ED73A14" w14:textId="77777777" w:rsidR="00872C03" w:rsidRPr="00883399" w:rsidRDefault="00872C03" w:rsidP="00872C03">
      <w:pPr>
        <w:pStyle w:val="paragraph"/>
        <w:rPr>
          <w:sz w:val="24"/>
        </w:rPr>
      </w:pPr>
      <w:r w:rsidRPr="00883399">
        <w:rPr>
          <w:sz w:val="24"/>
        </w:rPr>
        <w:tab/>
        <w:t>(b)</w:t>
      </w:r>
      <w:r w:rsidRPr="00883399">
        <w:rPr>
          <w:sz w:val="24"/>
        </w:rPr>
        <w:tab/>
        <w:t xml:space="preserve">for </w:t>
      </w:r>
      <w:r w:rsidRPr="00883399">
        <w:rPr>
          <w:b/>
          <w:i/>
          <w:sz w:val="24"/>
        </w:rPr>
        <w:t>∑</w:t>
      </w:r>
      <w:r w:rsidRPr="00883399">
        <w:rPr>
          <w:b/>
          <w:i/>
          <w:sz w:val="24"/>
          <w:vertAlign w:val="subscript"/>
        </w:rPr>
        <w:t>t</w:t>
      </w:r>
      <w:r w:rsidRPr="00883399">
        <w:rPr>
          <w:b/>
          <w:i/>
          <w:sz w:val="24"/>
        </w:rPr>
        <w:t>Q</w:t>
      </w:r>
      <w:r w:rsidRPr="00883399">
        <w:rPr>
          <w:b/>
          <w:i/>
          <w:sz w:val="24"/>
          <w:vertAlign w:val="subscript"/>
        </w:rPr>
        <w:t>ij,flared,z—</w:t>
      </w:r>
      <w:r w:rsidRPr="00883399">
        <w:rPr>
          <w:sz w:val="24"/>
        </w:rPr>
        <w:t>quantities of gaseous fuels flared from the operation of a facility;</w:t>
      </w:r>
    </w:p>
    <w:p w14:paraId="31DBEA95" w14:textId="77777777" w:rsidR="00872C03" w:rsidRPr="00883399" w:rsidRDefault="00872C03" w:rsidP="00872C03">
      <w:pPr>
        <w:pStyle w:val="paragraph"/>
        <w:rPr>
          <w:sz w:val="24"/>
        </w:rPr>
      </w:pPr>
      <w:r w:rsidRPr="00883399">
        <w:rPr>
          <w:sz w:val="24"/>
        </w:rPr>
        <w:tab/>
        <w:t>(c)</w:t>
      </w:r>
      <w:r w:rsidRPr="00883399">
        <w:rPr>
          <w:sz w:val="24"/>
        </w:rPr>
        <w:tab/>
        <w:t xml:space="preserve">for </w:t>
      </w:r>
      <w:r w:rsidRPr="00883399">
        <w:rPr>
          <w:b/>
          <w:i/>
          <w:sz w:val="24"/>
        </w:rPr>
        <w:t>∑Q</w:t>
      </w:r>
      <w:r w:rsidRPr="00883399">
        <w:rPr>
          <w:b/>
          <w:i/>
          <w:sz w:val="24"/>
          <w:vertAlign w:val="subscript"/>
        </w:rPr>
        <w:t>ijtr</w:t>
      </w:r>
      <w:r w:rsidRPr="00883399">
        <w:rPr>
          <w:b/>
          <w:i/>
          <w:sz w:val="24"/>
        </w:rPr>
        <w:t>—</w:t>
      </w:r>
      <w:r w:rsidRPr="00883399">
        <w:rPr>
          <w:sz w:val="24"/>
        </w:rPr>
        <w:t>quantities of gaseous fuels transferred out of the operation of a facility.</w:t>
      </w:r>
    </w:p>
    <w:p w14:paraId="5CC31D62" w14:textId="77777777" w:rsidR="00872C03" w:rsidRPr="00883399" w:rsidRDefault="00872C03" w:rsidP="00872C03">
      <w:pPr>
        <w:pStyle w:val="subsection"/>
        <w:rPr>
          <w:sz w:val="24"/>
        </w:rPr>
      </w:pPr>
      <w:r w:rsidRPr="00883399">
        <w:rPr>
          <w:sz w:val="24"/>
        </w:rPr>
        <w:tab/>
        <w:t>(3)</w:t>
      </w:r>
      <w:r w:rsidRPr="00883399">
        <w:rPr>
          <w:sz w:val="24"/>
        </w:rPr>
        <w:tab/>
        <w:t>In subsection (1), ∑Q</w:t>
      </w:r>
      <w:r w:rsidRPr="00883399">
        <w:rPr>
          <w:sz w:val="24"/>
          <w:vertAlign w:val="subscript"/>
        </w:rPr>
        <w:t xml:space="preserve">ijtr </w:t>
      </w:r>
      <w:r w:rsidRPr="00883399">
        <w:rPr>
          <w:sz w:val="24"/>
        </w:rPr>
        <w:t>applies to carbon dioxide only if the carbon dioxide is captured for permanent storage.</w:t>
      </w:r>
    </w:p>
    <w:p w14:paraId="444B2ED7" w14:textId="77777777" w:rsidR="00872C03" w:rsidRPr="00883399" w:rsidRDefault="00872C03" w:rsidP="00872C03">
      <w:pPr>
        <w:pStyle w:val="notetext"/>
        <w:rPr>
          <w:sz w:val="20"/>
        </w:rPr>
      </w:pPr>
      <w:r w:rsidRPr="00883399">
        <w:rPr>
          <w:sz w:val="20"/>
        </w:rPr>
        <w:t>Note:</w:t>
      </w:r>
      <w:r w:rsidRPr="00883399">
        <w:rPr>
          <w:sz w:val="20"/>
        </w:rPr>
        <w:tab/>
        <w:t>Division 1.2.3 contains a number of requirements in relation to deductions of carbon dioxide captured for permanent storage.</w:t>
      </w:r>
    </w:p>
    <w:p w14:paraId="1350B9B6" w14:textId="77777777" w:rsidR="00872C03" w:rsidRPr="00883399" w:rsidRDefault="00872C03" w:rsidP="00872C03">
      <w:pPr>
        <w:pStyle w:val="subsection"/>
        <w:rPr>
          <w:sz w:val="24"/>
        </w:rPr>
      </w:pPr>
      <w:r w:rsidRPr="00883399">
        <w:rPr>
          <w:sz w:val="24"/>
        </w:rPr>
        <w:tab/>
        <w:t>(4)</w:t>
      </w:r>
      <w:r w:rsidRPr="00883399">
        <w:rPr>
          <w:sz w:val="24"/>
        </w:rPr>
        <w:tab/>
        <w:t xml:space="preserve">For </w:t>
      </w:r>
      <w:r w:rsidRPr="00883399">
        <w:rPr>
          <w:b/>
          <w:i/>
          <w:sz w:val="24"/>
        </w:rPr>
        <w:t>GC</w:t>
      </w:r>
      <w:r w:rsidRPr="00883399">
        <w:rPr>
          <w:b/>
          <w:i/>
          <w:sz w:val="24"/>
          <w:vertAlign w:val="subscript"/>
        </w:rPr>
        <w:t>jz</w:t>
      </w:r>
      <w:r w:rsidRPr="00883399">
        <w:rPr>
          <w:sz w:val="24"/>
          <w:vertAlign w:val="subscript"/>
        </w:rPr>
        <w:t xml:space="preserve"> </w:t>
      </w:r>
      <w:r w:rsidRPr="00883399">
        <w:rPr>
          <w:sz w:val="24"/>
        </w:rPr>
        <w:t>in subsection (1), the content of gas type (</w:t>
      </w:r>
      <w:r w:rsidRPr="00883399">
        <w:rPr>
          <w:b/>
          <w:i/>
          <w:sz w:val="24"/>
        </w:rPr>
        <w:t>j</w:t>
      </w:r>
      <w:r w:rsidRPr="00883399">
        <w:rPr>
          <w:sz w:val="24"/>
        </w:rPr>
        <w:t>) contained by the gas bearing strata (</w:t>
      </w:r>
      <w:r w:rsidRPr="00883399">
        <w:rPr>
          <w:b/>
          <w:i/>
          <w:sz w:val="24"/>
        </w:rPr>
        <w:t>z</w:t>
      </w:r>
      <w:r w:rsidRPr="00883399">
        <w:rPr>
          <w:sz w:val="24"/>
        </w:rPr>
        <w:t>) must be estimated in accordance with sections 3.24, 3.25, 3.25A and 3.25B.</w:t>
      </w:r>
    </w:p>
    <w:p w14:paraId="1AF13929" w14:textId="28C21B90" w:rsidR="00872C03" w:rsidRPr="00883399" w:rsidRDefault="00872C03" w:rsidP="00872C03">
      <w:pPr>
        <w:pStyle w:val="ActHead5"/>
        <w:rPr>
          <w:sz w:val="28"/>
        </w:rPr>
      </w:pPr>
      <w:bookmarkStart w:id="472" w:name="_Toc423516881"/>
      <w:bookmarkStart w:id="473" w:name="_Toc495652800"/>
      <w:r w:rsidRPr="00883399">
        <w:rPr>
          <w:rStyle w:val="CharSectno"/>
          <w:sz w:val="28"/>
        </w:rPr>
        <w:t>3.23</w:t>
      </w:r>
      <w:r w:rsidRPr="00883399">
        <w:rPr>
          <w:sz w:val="28"/>
        </w:rPr>
        <w:t xml:space="preserve">  Estimate of proportion of gas content released below pit floor</w:t>
      </w:r>
      <w:bookmarkEnd w:id="472"/>
      <w:bookmarkEnd w:id="473"/>
    </w:p>
    <w:p w14:paraId="332A9CA8" w14:textId="77777777" w:rsidR="00872C03" w:rsidRPr="00883399" w:rsidRDefault="00872C03" w:rsidP="00872C03">
      <w:pPr>
        <w:pStyle w:val="subsection"/>
        <w:rPr>
          <w:sz w:val="24"/>
        </w:rPr>
      </w:pPr>
      <w:r w:rsidRPr="00883399">
        <w:rPr>
          <w:sz w:val="24"/>
        </w:rPr>
        <w:tab/>
      </w:r>
      <w:r w:rsidRPr="00883399">
        <w:rPr>
          <w:sz w:val="24"/>
        </w:rPr>
        <w:tab/>
        <w:t xml:space="preserve">For paragraph (b) of the factor </w:t>
      </w:r>
      <w:r w:rsidRPr="00883399">
        <w:rPr>
          <w:b/>
          <w:i/>
          <w:sz w:val="24"/>
        </w:rPr>
        <w:t>β</w:t>
      </w:r>
      <w:r w:rsidRPr="00883399">
        <w:rPr>
          <w:b/>
          <w:i/>
          <w:sz w:val="24"/>
          <w:vertAlign w:val="subscript"/>
        </w:rPr>
        <w:t>z</w:t>
      </w:r>
      <w:r w:rsidRPr="00883399">
        <w:rPr>
          <w:sz w:val="24"/>
        </w:rPr>
        <w:t xml:space="preserve"> in subsection 3.22(1), estimate </w:t>
      </w:r>
      <w:r w:rsidRPr="00883399">
        <w:rPr>
          <w:b/>
          <w:i/>
          <w:sz w:val="24"/>
        </w:rPr>
        <w:t>β</w:t>
      </w:r>
      <w:r w:rsidRPr="00883399">
        <w:rPr>
          <w:b/>
          <w:i/>
          <w:sz w:val="24"/>
          <w:vertAlign w:val="subscript"/>
        </w:rPr>
        <w:t xml:space="preserve">z </w:t>
      </w:r>
      <w:r w:rsidRPr="00883399">
        <w:rPr>
          <w:sz w:val="24"/>
        </w:rPr>
        <w:t>using one of the following equations:</w:t>
      </w:r>
    </w:p>
    <w:p w14:paraId="04C8ACCE" w14:textId="77777777" w:rsidR="00872C03" w:rsidRPr="00883399" w:rsidRDefault="00872C03" w:rsidP="00872C03">
      <w:pPr>
        <w:pStyle w:val="paragraph"/>
        <w:rPr>
          <w:sz w:val="24"/>
        </w:rPr>
      </w:pPr>
      <w:r w:rsidRPr="00883399">
        <w:rPr>
          <w:sz w:val="24"/>
        </w:rPr>
        <w:tab/>
        <w:t>(a)</w:t>
      </w:r>
      <w:r w:rsidRPr="00883399">
        <w:rPr>
          <w:sz w:val="24"/>
        </w:rPr>
        <w:tab/>
        <w:t>equation 1:</w:t>
      </w:r>
    </w:p>
    <w:p w14:paraId="219A1129" w14:textId="77777777" w:rsidR="00872C03" w:rsidRPr="00883399" w:rsidRDefault="00872C03" w:rsidP="00872C03">
      <w:pPr>
        <w:pStyle w:val="paragraph"/>
        <w:spacing w:before="120" w:after="120"/>
        <w:rPr>
          <w:sz w:val="24"/>
        </w:rPr>
      </w:pPr>
      <w:r w:rsidRPr="00883399">
        <w:rPr>
          <w:position w:val="-24"/>
          <w:sz w:val="24"/>
        </w:rPr>
        <w:tab/>
      </w:r>
      <w:r w:rsidRPr="00883399">
        <w:rPr>
          <w:position w:val="-24"/>
          <w:sz w:val="24"/>
        </w:rPr>
        <w:tab/>
      </w:r>
      <w:r w:rsidRPr="00883399">
        <w:rPr>
          <w:noProof/>
          <w:position w:val="-24"/>
          <w:sz w:val="24"/>
        </w:rPr>
        <w:drawing>
          <wp:inline distT="0" distB="0" distL="0" distR="0" wp14:anchorId="42B10EBF" wp14:editId="1D8F9E37">
            <wp:extent cx="1128395" cy="41592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97"/>
                    <a:srcRect/>
                    <a:stretch>
                      <a:fillRect/>
                    </a:stretch>
                  </pic:blipFill>
                  <pic:spPr bwMode="auto">
                    <a:xfrm>
                      <a:off x="0" y="0"/>
                      <a:ext cx="1128395" cy="415925"/>
                    </a:xfrm>
                    <a:prstGeom prst="rect">
                      <a:avLst/>
                    </a:prstGeom>
                    <a:noFill/>
                    <a:ln w="9525">
                      <a:noFill/>
                      <a:miter lim="800000"/>
                      <a:headEnd/>
                      <a:tailEnd/>
                    </a:ln>
                  </pic:spPr>
                </pic:pic>
              </a:graphicData>
            </a:graphic>
          </wp:inline>
        </w:drawing>
      </w:r>
      <w:r w:rsidRPr="00883399">
        <w:rPr>
          <w:sz w:val="24"/>
        </w:rPr>
        <w:t>;</w:t>
      </w:r>
    </w:p>
    <w:p w14:paraId="2E911FD2" w14:textId="77777777" w:rsidR="00872C03" w:rsidRPr="00883399" w:rsidRDefault="00872C03" w:rsidP="00872C03">
      <w:pPr>
        <w:pStyle w:val="paragraph"/>
        <w:rPr>
          <w:sz w:val="24"/>
        </w:rPr>
      </w:pPr>
      <w:r w:rsidRPr="00883399">
        <w:rPr>
          <w:sz w:val="24"/>
        </w:rPr>
        <w:tab/>
        <w:t>(b)</w:t>
      </w:r>
      <w:r w:rsidRPr="00883399">
        <w:rPr>
          <w:sz w:val="24"/>
        </w:rPr>
        <w:tab/>
        <w:t>equation 2:</w:t>
      </w:r>
    </w:p>
    <w:p w14:paraId="107E9189" w14:textId="77777777" w:rsidR="00872C03" w:rsidRPr="00883399" w:rsidRDefault="00872C03" w:rsidP="00872C03">
      <w:pPr>
        <w:pStyle w:val="paragraph"/>
        <w:spacing w:before="120" w:after="120"/>
        <w:rPr>
          <w:sz w:val="24"/>
        </w:rPr>
      </w:pPr>
      <w:r w:rsidRPr="00883399">
        <w:rPr>
          <w:position w:val="-10"/>
          <w:sz w:val="24"/>
        </w:rPr>
        <w:tab/>
      </w:r>
      <w:r w:rsidRPr="00883399">
        <w:rPr>
          <w:position w:val="-10"/>
          <w:sz w:val="24"/>
        </w:rPr>
        <w:tab/>
      </w:r>
      <w:r w:rsidRPr="00883399">
        <w:rPr>
          <w:noProof/>
          <w:position w:val="-10"/>
          <w:sz w:val="24"/>
        </w:rPr>
        <w:drawing>
          <wp:inline distT="0" distB="0" distL="0" distR="0" wp14:anchorId="29B55BE1" wp14:editId="2D928D8C">
            <wp:extent cx="593725" cy="213995"/>
            <wp:effectExtent l="1905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98"/>
                    <a:srcRect/>
                    <a:stretch>
                      <a:fillRect/>
                    </a:stretch>
                  </pic:blipFill>
                  <pic:spPr bwMode="auto">
                    <a:xfrm>
                      <a:off x="0" y="0"/>
                      <a:ext cx="593725" cy="213995"/>
                    </a:xfrm>
                    <a:prstGeom prst="rect">
                      <a:avLst/>
                    </a:prstGeom>
                    <a:noFill/>
                    <a:ln w="9525">
                      <a:noFill/>
                      <a:miter lim="800000"/>
                      <a:headEnd/>
                      <a:tailEnd/>
                    </a:ln>
                  </pic:spPr>
                </pic:pic>
              </a:graphicData>
            </a:graphic>
          </wp:inline>
        </w:drawing>
      </w:r>
      <w:r w:rsidRPr="00883399">
        <w:rPr>
          <w:sz w:val="24"/>
        </w:rPr>
        <w:t>.</w:t>
      </w:r>
    </w:p>
    <w:p w14:paraId="62A1EADE" w14:textId="77777777" w:rsidR="00872C03" w:rsidRPr="00883399" w:rsidRDefault="00872C03" w:rsidP="00872C03">
      <w:pPr>
        <w:pStyle w:val="subsection2"/>
        <w:rPr>
          <w:sz w:val="24"/>
        </w:rPr>
      </w:pPr>
      <w:r w:rsidRPr="00883399">
        <w:rPr>
          <w:sz w:val="24"/>
        </w:rPr>
        <w:t>where:</w:t>
      </w:r>
    </w:p>
    <w:p w14:paraId="78BC2607" w14:textId="77777777" w:rsidR="00872C03" w:rsidRPr="00883399" w:rsidRDefault="00872C03" w:rsidP="00872C03">
      <w:pPr>
        <w:pStyle w:val="Definition0"/>
        <w:rPr>
          <w:sz w:val="24"/>
        </w:rPr>
      </w:pPr>
      <w:r w:rsidRPr="00883399">
        <w:rPr>
          <w:b/>
          <w:i/>
          <w:sz w:val="24"/>
        </w:rPr>
        <w:t xml:space="preserve">x </w:t>
      </w:r>
      <w:r w:rsidRPr="00883399">
        <w:rPr>
          <w:sz w:val="24"/>
        </w:rPr>
        <w:t>is the depth in metres of the floor of the gas bearing strata (</w:t>
      </w:r>
      <w:r w:rsidRPr="00883399">
        <w:rPr>
          <w:b/>
          <w:i/>
          <w:sz w:val="24"/>
        </w:rPr>
        <w:t>z</w:t>
      </w:r>
      <w:r w:rsidRPr="00883399">
        <w:rPr>
          <w:sz w:val="24"/>
        </w:rPr>
        <w:t>) measured from ground level.</w:t>
      </w:r>
    </w:p>
    <w:p w14:paraId="650BE383" w14:textId="77777777" w:rsidR="00872C03" w:rsidRPr="00883399" w:rsidRDefault="00872C03" w:rsidP="00872C03">
      <w:pPr>
        <w:pStyle w:val="Definition0"/>
        <w:rPr>
          <w:sz w:val="24"/>
        </w:rPr>
      </w:pPr>
      <w:r w:rsidRPr="00883399">
        <w:rPr>
          <w:b/>
          <w:i/>
          <w:sz w:val="24"/>
        </w:rPr>
        <w:t xml:space="preserve">h </w:t>
      </w:r>
      <w:r w:rsidRPr="00883399">
        <w:rPr>
          <w:sz w:val="24"/>
        </w:rPr>
        <w:t>is the depth in metres of the pit floor of the mine measured from ground level.</w:t>
      </w:r>
    </w:p>
    <w:p w14:paraId="1423F3EE" w14:textId="77777777" w:rsidR="00872C03" w:rsidRPr="00883399" w:rsidRDefault="00872C03" w:rsidP="00872C03">
      <w:pPr>
        <w:pStyle w:val="Definition0"/>
        <w:rPr>
          <w:sz w:val="24"/>
        </w:rPr>
      </w:pPr>
      <w:r w:rsidRPr="00883399">
        <w:rPr>
          <w:b/>
          <w:i/>
          <w:sz w:val="24"/>
        </w:rPr>
        <w:lastRenderedPageBreak/>
        <w:t xml:space="preserve">dh </w:t>
      </w:r>
      <w:r w:rsidRPr="00883399">
        <w:rPr>
          <w:sz w:val="24"/>
        </w:rPr>
        <w:t>is 20, being representative of the depth in metres of the gas bearing strata below the pit floor that releases gas.</w:t>
      </w:r>
    </w:p>
    <w:p w14:paraId="4251B50C" w14:textId="1C3898CD" w:rsidR="00872C03" w:rsidRPr="00883399" w:rsidRDefault="00872C03" w:rsidP="00872C03">
      <w:pPr>
        <w:pStyle w:val="ActHead5"/>
        <w:rPr>
          <w:sz w:val="28"/>
        </w:rPr>
      </w:pPr>
      <w:bookmarkStart w:id="474" w:name="_Toc423516882"/>
      <w:bookmarkStart w:id="475" w:name="_Toc495652801"/>
      <w:r w:rsidRPr="00883399">
        <w:rPr>
          <w:rStyle w:val="CharSectno"/>
          <w:sz w:val="28"/>
        </w:rPr>
        <w:t>3.24</w:t>
      </w:r>
      <w:r w:rsidRPr="00883399">
        <w:rPr>
          <w:sz w:val="28"/>
        </w:rPr>
        <w:t xml:space="preserve">  General requirements for sampling</w:t>
      </w:r>
      <w:bookmarkEnd w:id="474"/>
      <w:bookmarkEnd w:id="475"/>
    </w:p>
    <w:p w14:paraId="539B610E" w14:textId="77777777" w:rsidR="00872C03" w:rsidRPr="00883399" w:rsidRDefault="00872C03" w:rsidP="00872C03">
      <w:pPr>
        <w:pStyle w:val="subsection"/>
        <w:rPr>
          <w:sz w:val="24"/>
        </w:rPr>
      </w:pPr>
      <w:r w:rsidRPr="00883399">
        <w:rPr>
          <w:sz w:val="24"/>
        </w:rPr>
        <w:tab/>
        <w:t>(1)</w:t>
      </w:r>
      <w:r w:rsidRPr="00883399">
        <w:rPr>
          <w:sz w:val="24"/>
        </w:rPr>
        <w:tab/>
        <w:t>Core samples of a gas bearing strata must be collected to produce estimates of gas content that are representative of the gas bearing strata in the extraction area of the mine during the year.</w:t>
      </w:r>
    </w:p>
    <w:p w14:paraId="0AE72BCF" w14:textId="77777777" w:rsidR="00872C03" w:rsidRPr="00883399" w:rsidRDefault="00872C03" w:rsidP="00872C03">
      <w:pPr>
        <w:pStyle w:val="subsection"/>
        <w:rPr>
          <w:sz w:val="24"/>
        </w:rPr>
      </w:pPr>
      <w:r w:rsidRPr="00883399">
        <w:rPr>
          <w:sz w:val="24"/>
        </w:rPr>
        <w:tab/>
        <w:t>(2)</w:t>
      </w:r>
      <w:r w:rsidRPr="00883399">
        <w:rPr>
          <w:sz w:val="24"/>
        </w:rPr>
        <w:tab/>
        <w:t>The sampling process must also be free of bias so that any estimates are neither over nor under estimates of the true value.</w:t>
      </w:r>
    </w:p>
    <w:p w14:paraId="61884FE1" w14:textId="77777777" w:rsidR="00872C03" w:rsidRPr="00883399" w:rsidRDefault="00872C03" w:rsidP="00872C03">
      <w:pPr>
        <w:pStyle w:val="subsection"/>
        <w:rPr>
          <w:sz w:val="24"/>
        </w:rPr>
      </w:pPr>
      <w:r w:rsidRPr="00883399">
        <w:rPr>
          <w:sz w:val="24"/>
        </w:rPr>
        <w:tab/>
        <w:t>(3)</w:t>
      </w:r>
      <w:r w:rsidRPr="00883399">
        <w:rPr>
          <w:sz w:val="24"/>
        </w:rPr>
        <w:tab/>
        <w:t>Bias must be tested in accordance with an appropriate standard (if any).</w:t>
      </w:r>
    </w:p>
    <w:p w14:paraId="456D66F8" w14:textId="77777777" w:rsidR="00872C03" w:rsidRPr="00883399" w:rsidRDefault="00872C03" w:rsidP="00872C03">
      <w:pPr>
        <w:pStyle w:val="subsection"/>
        <w:rPr>
          <w:sz w:val="24"/>
        </w:rPr>
      </w:pPr>
      <w:r w:rsidRPr="00883399">
        <w:rPr>
          <w:sz w:val="24"/>
        </w:rPr>
        <w:tab/>
        <w:t>(4)</w:t>
      </w:r>
      <w:r w:rsidRPr="00883399">
        <w:rPr>
          <w:sz w:val="24"/>
        </w:rPr>
        <w:tab/>
        <w:t xml:space="preserve">The value obtained from the samples must only be used for the open cut mine from which it was intended to be representative. </w:t>
      </w:r>
    </w:p>
    <w:p w14:paraId="11141815" w14:textId="77777777" w:rsidR="00872C03" w:rsidRPr="00883399" w:rsidRDefault="00872C03" w:rsidP="00872C03">
      <w:pPr>
        <w:pStyle w:val="subsection"/>
        <w:rPr>
          <w:sz w:val="24"/>
        </w:rPr>
      </w:pPr>
      <w:r w:rsidRPr="00883399">
        <w:rPr>
          <w:sz w:val="24"/>
        </w:rPr>
        <w:tab/>
        <w:t>(5)</w:t>
      </w:r>
      <w:r w:rsidRPr="00883399">
        <w:rPr>
          <w:sz w:val="24"/>
        </w:rPr>
        <w:tab/>
        <w:t>Sampling must be carried out in accordance with:</w:t>
      </w:r>
    </w:p>
    <w:p w14:paraId="4AEC84E4" w14:textId="77777777" w:rsidR="00872C03" w:rsidRPr="00883399" w:rsidRDefault="00872C03" w:rsidP="00872C03">
      <w:pPr>
        <w:pStyle w:val="paragraph"/>
        <w:rPr>
          <w:sz w:val="24"/>
        </w:rPr>
      </w:pPr>
      <w:r w:rsidRPr="00883399">
        <w:rPr>
          <w:sz w:val="24"/>
        </w:rPr>
        <w:tab/>
        <w:t>(a)</w:t>
      </w:r>
      <w:r w:rsidRPr="00883399">
        <w:rPr>
          <w:sz w:val="24"/>
        </w:rPr>
        <w:tab/>
        <w:t>the minimum requirements for data collection and gas testing mentioned in section 2 of the ACARP Guidelines; and</w:t>
      </w:r>
    </w:p>
    <w:p w14:paraId="6EB2FF8F" w14:textId="77777777" w:rsidR="00872C03" w:rsidRPr="00883399" w:rsidRDefault="00872C03" w:rsidP="00872C03">
      <w:pPr>
        <w:pStyle w:val="paragraph"/>
        <w:rPr>
          <w:sz w:val="24"/>
        </w:rPr>
      </w:pPr>
      <w:r w:rsidRPr="00883399">
        <w:rPr>
          <w:sz w:val="24"/>
        </w:rPr>
        <w:tab/>
        <w:t>(b)</w:t>
      </w:r>
      <w:r w:rsidRPr="00883399">
        <w:rPr>
          <w:sz w:val="24"/>
        </w:rPr>
        <w:tab/>
        <w:t>the data validation, analysis and interpretation processes mentioned in section 3 of the ACARP Guidelines.</w:t>
      </w:r>
    </w:p>
    <w:p w14:paraId="6402FDE5" w14:textId="45BFE68B" w:rsidR="00872C03" w:rsidRPr="00883399" w:rsidRDefault="00872C03" w:rsidP="00872C03">
      <w:pPr>
        <w:pStyle w:val="ActHead5"/>
        <w:rPr>
          <w:sz w:val="28"/>
        </w:rPr>
      </w:pPr>
      <w:bookmarkStart w:id="476" w:name="_Toc423516883"/>
      <w:bookmarkStart w:id="477" w:name="_Toc495652802"/>
      <w:r w:rsidRPr="00883399">
        <w:rPr>
          <w:rStyle w:val="CharSectno"/>
          <w:sz w:val="28"/>
        </w:rPr>
        <w:t>3.25</w:t>
      </w:r>
      <w:r w:rsidRPr="00883399">
        <w:rPr>
          <w:sz w:val="28"/>
        </w:rPr>
        <w:t xml:space="preserve">  General requirements for analysis of gas and gas bearing strata</w:t>
      </w:r>
      <w:bookmarkEnd w:id="476"/>
      <w:bookmarkEnd w:id="477"/>
    </w:p>
    <w:p w14:paraId="61D3183A" w14:textId="77777777" w:rsidR="00872C03" w:rsidRPr="00883399" w:rsidRDefault="00872C03" w:rsidP="00872C03">
      <w:pPr>
        <w:pStyle w:val="R2"/>
        <w:keepLines w:val="0"/>
        <w:tabs>
          <w:tab w:val="clear" w:pos="794"/>
          <w:tab w:val="right" w:pos="-120"/>
        </w:tabs>
        <w:spacing w:before="240" w:line="312" w:lineRule="auto"/>
        <w:ind w:left="0" w:firstLine="0"/>
        <w:jc w:val="left"/>
        <w:rPr>
          <w:rFonts w:ascii="Arial" w:hAnsi="Arial" w:cs="Arial"/>
          <w:sz w:val="22"/>
          <w:szCs w:val="22"/>
        </w:rPr>
      </w:pPr>
      <w:r w:rsidRPr="00883399">
        <w:rPr>
          <w:rFonts w:ascii="Arial" w:hAnsi="Arial" w:cs="Arial"/>
          <w:sz w:val="22"/>
          <w:szCs w:val="22"/>
        </w:rPr>
        <w:t>Measurement of the gas content from coal and other gas bearing strata layers requires use of borecores. Geological characteristics can help to identify possible gas bearing areas based on previous evidence of gas content in a region and to infer gas content of coal and rock strata between actual borecore measurements. However knowledge of geological characteristics of a site, with no specific borecore measurements, would not be able to adequately predict gas content (Saghafi, 2008).</w:t>
      </w:r>
    </w:p>
    <w:p w14:paraId="7A554155" w14:textId="77777777" w:rsidR="00872C03" w:rsidRPr="00883399" w:rsidRDefault="00872C03" w:rsidP="00872C03">
      <w:pPr>
        <w:pStyle w:val="subsection"/>
        <w:rPr>
          <w:sz w:val="24"/>
        </w:rPr>
      </w:pPr>
      <w:r w:rsidRPr="00883399">
        <w:rPr>
          <w:sz w:val="24"/>
        </w:rPr>
        <w:tab/>
      </w:r>
      <w:r w:rsidRPr="00883399">
        <w:rPr>
          <w:sz w:val="24"/>
        </w:rPr>
        <w:tab/>
        <w:t xml:space="preserve">Analysis of a gas and a gas bearing strata, including the mass and gas content of the strata, must be done in accordance with: </w:t>
      </w:r>
    </w:p>
    <w:p w14:paraId="33B85909" w14:textId="77777777" w:rsidR="00872C03" w:rsidRPr="00883399" w:rsidRDefault="00872C03" w:rsidP="00872C03">
      <w:pPr>
        <w:pStyle w:val="paragraph"/>
        <w:rPr>
          <w:sz w:val="24"/>
        </w:rPr>
      </w:pPr>
      <w:r w:rsidRPr="00883399">
        <w:rPr>
          <w:sz w:val="24"/>
        </w:rPr>
        <w:tab/>
        <w:t>(a)</w:t>
      </w:r>
      <w:r w:rsidRPr="00883399">
        <w:rPr>
          <w:sz w:val="24"/>
        </w:rPr>
        <w:tab/>
        <w:t>the minimum requirements for data collection and gas testing mentioned in section 2 of the ACARP Guidelines; and</w:t>
      </w:r>
    </w:p>
    <w:p w14:paraId="423C6B30" w14:textId="77777777" w:rsidR="00872C03" w:rsidRPr="00883399" w:rsidRDefault="00872C03" w:rsidP="00872C03">
      <w:pPr>
        <w:pStyle w:val="paragraph"/>
        <w:rPr>
          <w:sz w:val="24"/>
        </w:rPr>
      </w:pPr>
      <w:r w:rsidRPr="00883399">
        <w:rPr>
          <w:sz w:val="24"/>
        </w:rPr>
        <w:tab/>
        <w:t>(b)</w:t>
      </w:r>
      <w:r w:rsidRPr="00883399">
        <w:rPr>
          <w:sz w:val="24"/>
        </w:rPr>
        <w:tab/>
        <w:t>the data validation, analysis and interpretation processes mentioned in section 3 of the ACARP Guidelines; and</w:t>
      </w:r>
    </w:p>
    <w:p w14:paraId="22E8DDC4" w14:textId="77777777" w:rsidR="00872C03" w:rsidRPr="00883399" w:rsidRDefault="00872C03" w:rsidP="00872C03">
      <w:pPr>
        <w:pStyle w:val="paragraph"/>
        <w:rPr>
          <w:sz w:val="24"/>
        </w:rPr>
      </w:pPr>
      <w:r w:rsidRPr="00883399">
        <w:rPr>
          <w:sz w:val="24"/>
        </w:rPr>
        <w:tab/>
        <w:t>(c)</w:t>
      </w:r>
      <w:r w:rsidRPr="00883399">
        <w:rPr>
          <w:sz w:val="24"/>
        </w:rPr>
        <w:tab/>
        <w:t>the method of applying the gas distribution model to develop an emissions estimate for an open cut mine mentioned in section 4 of the ACARP Guidelines.</w:t>
      </w:r>
    </w:p>
    <w:p w14:paraId="5A906D10" w14:textId="77C5BE23" w:rsidR="00872C03" w:rsidRPr="00883399" w:rsidRDefault="00872C03" w:rsidP="00872C03">
      <w:pPr>
        <w:pStyle w:val="ActHead5"/>
        <w:rPr>
          <w:sz w:val="28"/>
        </w:rPr>
      </w:pPr>
      <w:bookmarkStart w:id="478" w:name="_Toc423516884"/>
      <w:bookmarkStart w:id="479" w:name="_Toc495652803"/>
      <w:r w:rsidRPr="00883399">
        <w:rPr>
          <w:rStyle w:val="CharSectno"/>
          <w:sz w:val="28"/>
        </w:rPr>
        <w:lastRenderedPageBreak/>
        <w:t>3.25A</w:t>
      </w:r>
      <w:r w:rsidRPr="00883399">
        <w:rPr>
          <w:sz w:val="28"/>
        </w:rPr>
        <w:t xml:space="preserve">  Method of working out base of the low gas zone</w:t>
      </w:r>
      <w:bookmarkEnd w:id="478"/>
      <w:bookmarkEnd w:id="479"/>
    </w:p>
    <w:p w14:paraId="71B4D5E0" w14:textId="77777777" w:rsidR="00872C03" w:rsidRPr="00883399" w:rsidRDefault="00872C03" w:rsidP="00872C03">
      <w:pPr>
        <w:pStyle w:val="subsection"/>
        <w:rPr>
          <w:sz w:val="24"/>
        </w:rPr>
      </w:pPr>
      <w:r w:rsidRPr="00883399">
        <w:rPr>
          <w:sz w:val="24"/>
        </w:rPr>
        <w:tab/>
        <w:t>(1)</w:t>
      </w:r>
      <w:r w:rsidRPr="00883399">
        <w:rPr>
          <w:sz w:val="24"/>
        </w:rPr>
        <w:tab/>
        <w:t>The estimator must:</w:t>
      </w:r>
    </w:p>
    <w:p w14:paraId="417DF520" w14:textId="77777777" w:rsidR="00872C03" w:rsidRPr="00883399" w:rsidRDefault="00872C03" w:rsidP="00872C03">
      <w:pPr>
        <w:pStyle w:val="paragraph"/>
        <w:rPr>
          <w:sz w:val="24"/>
        </w:rPr>
      </w:pPr>
      <w:r w:rsidRPr="00883399">
        <w:rPr>
          <w:sz w:val="24"/>
        </w:rPr>
        <w:tab/>
        <w:t>(a)</w:t>
      </w:r>
      <w:r w:rsidRPr="00883399">
        <w:rPr>
          <w:sz w:val="24"/>
        </w:rPr>
        <w:tab/>
        <w:t>take all reasonable steps to ensure that samples of gas taken from the gas bearing strata of the open cut mine are taken in accordance with the minimum requirements for data collection and gas testing mentioned in section 2 of the ACARP Guidelines; and</w:t>
      </w:r>
    </w:p>
    <w:p w14:paraId="1831A51E" w14:textId="77777777" w:rsidR="00872C03" w:rsidRPr="00883399" w:rsidRDefault="00872C03" w:rsidP="00872C03">
      <w:pPr>
        <w:pStyle w:val="paragraph"/>
        <w:rPr>
          <w:sz w:val="24"/>
        </w:rPr>
      </w:pPr>
      <w:r w:rsidRPr="00883399">
        <w:rPr>
          <w:sz w:val="24"/>
        </w:rPr>
        <w:tab/>
        <w:t>(b)</w:t>
      </w:r>
      <w:r w:rsidRPr="00883399">
        <w:rPr>
          <w:sz w:val="24"/>
        </w:rPr>
        <w:tab/>
        <w:t>take all reasonable steps to ensure that samples of gas taken from boreholes are taken in accordance with the requirements for:</w:t>
      </w:r>
    </w:p>
    <w:p w14:paraId="4398373B" w14:textId="77777777" w:rsidR="00872C03" w:rsidRPr="00883399" w:rsidRDefault="00872C03" w:rsidP="00872C03">
      <w:pPr>
        <w:pStyle w:val="paragraphsub"/>
        <w:rPr>
          <w:sz w:val="24"/>
        </w:rPr>
      </w:pPr>
      <w:r w:rsidRPr="00883399">
        <w:rPr>
          <w:sz w:val="24"/>
        </w:rPr>
        <w:tab/>
        <w:t>(i)</w:t>
      </w:r>
      <w:r w:rsidRPr="00883399">
        <w:rPr>
          <w:sz w:val="24"/>
        </w:rPr>
        <w:tab/>
        <w:t>the number of boreholes mentioned in sections 2 and 3 of the ACARP Guidelines; and</w:t>
      </w:r>
    </w:p>
    <w:p w14:paraId="418BA947" w14:textId="77777777" w:rsidR="00872C03" w:rsidRPr="00883399" w:rsidRDefault="00872C03" w:rsidP="00872C03">
      <w:pPr>
        <w:pStyle w:val="paragraphsub"/>
        <w:rPr>
          <w:sz w:val="24"/>
        </w:rPr>
      </w:pPr>
      <w:r w:rsidRPr="00883399">
        <w:rPr>
          <w:sz w:val="24"/>
        </w:rPr>
        <w:tab/>
        <w:t>(ii)</w:t>
      </w:r>
      <w:r w:rsidRPr="00883399">
        <w:rPr>
          <w:sz w:val="24"/>
        </w:rPr>
        <w:tab/>
        <w:t>borehole spacing mentioned in section 2 of the ACARP Guidelines; and</w:t>
      </w:r>
    </w:p>
    <w:p w14:paraId="25E9D047" w14:textId="77777777" w:rsidR="00872C03" w:rsidRPr="00883399" w:rsidRDefault="00872C03" w:rsidP="00872C03">
      <w:pPr>
        <w:pStyle w:val="paragraphsub"/>
        <w:rPr>
          <w:sz w:val="24"/>
        </w:rPr>
      </w:pPr>
      <w:r w:rsidRPr="00883399">
        <w:rPr>
          <w:sz w:val="24"/>
        </w:rPr>
        <w:tab/>
        <w:t>(iii)</w:t>
      </w:r>
      <w:r w:rsidRPr="00883399">
        <w:rPr>
          <w:sz w:val="24"/>
        </w:rPr>
        <w:tab/>
        <w:t>sample selection mentioned in section 2 of the ACARP Guidelines; and</w:t>
      </w:r>
    </w:p>
    <w:p w14:paraId="15E7F236" w14:textId="77777777" w:rsidR="00872C03" w:rsidRPr="00883399" w:rsidRDefault="00872C03" w:rsidP="00872C03">
      <w:pPr>
        <w:pStyle w:val="paragraph"/>
        <w:rPr>
          <w:sz w:val="24"/>
        </w:rPr>
      </w:pPr>
      <w:r w:rsidRPr="00883399">
        <w:rPr>
          <w:sz w:val="24"/>
        </w:rPr>
        <w:tab/>
        <w:t>(c)</w:t>
      </w:r>
      <w:r w:rsidRPr="00883399">
        <w:rPr>
          <w:sz w:val="24"/>
        </w:rPr>
        <w:tab/>
        <w:t>work out the base of the low gas zone by using the method mentioned in subsection (2); and</w:t>
      </w:r>
    </w:p>
    <w:p w14:paraId="7E43C0DA" w14:textId="77777777" w:rsidR="00872C03" w:rsidRPr="00883399" w:rsidRDefault="00872C03" w:rsidP="00872C03">
      <w:pPr>
        <w:pStyle w:val="paragraph"/>
        <w:rPr>
          <w:sz w:val="24"/>
        </w:rPr>
      </w:pPr>
      <w:r w:rsidRPr="00883399">
        <w:rPr>
          <w:sz w:val="24"/>
        </w:rPr>
        <w:tab/>
        <w:t>(d)</w:t>
      </w:r>
      <w:r w:rsidRPr="00883399">
        <w:rPr>
          <w:sz w:val="24"/>
        </w:rPr>
        <w:tab/>
        <w:t>if the base of the low gas zone worked out in accordance with subsection (2) varies, in a vertical plane, within:</w:t>
      </w:r>
    </w:p>
    <w:p w14:paraId="084A7717" w14:textId="77777777" w:rsidR="00872C03" w:rsidRPr="00883399" w:rsidRDefault="00872C03" w:rsidP="00872C03">
      <w:pPr>
        <w:pStyle w:val="paragraphsub"/>
        <w:rPr>
          <w:sz w:val="24"/>
        </w:rPr>
      </w:pPr>
      <w:r w:rsidRPr="00883399">
        <w:rPr>
          <w:sz w:val="24"/>
        </w:rPr>
        <w:tab/>
        <w:t>(i)</w:t>
      </w:r>
      <w:r w:rsidRPr="00883399">
        <w:rPr>
          <w:sz w:val="24"/>
        </w:rPr>
        <w:tab/>
        <w:t>a range of 20 metres between boreholes located in the same domain of the open cut mine—work out the base of the low gas zone using the method mentioned in subsection (3); or</w:t>
      </w:r>
    </w:p>
    <w:p w14:paraId="2BC765A1" w14:textId="77777777" w:rsidR="00872C03" w:rsidRPr="00883399" w:rsidRDefault="00872C03" w:rsidP="00872C03">
      <w:pPr>
        <w:pStyle w:val="paragraphsub"/>
        <w:rPr>
          <w:sz w:val="24"/>
        </w:rPr>
      </w:pPr>
      <w:r w:rsidRPr="00883399">
        <w:rPr>
          <w:sz w:val="24"/>
        </w:rPr>
        <w:tab/>
        <w:t>(ii)</w:t>
      </w:r>
      <w:r w:rsidRPr="00883399">
        <w:rPr>
          <w:sz w:val="24"/>
        </w:rPr>
        <w:tab/>
        <w:t>a range of greater than 20 metres between boreholes located in the same domain of the open cut mine—the method mentioned in subsection (4).</w:t>
      </w:r>
    </w:p>
    <w:p w14:paraId="1B9294C7" w14:textId="77777777" w:rsidR="00872C03" w:rsidRPr="00883399" w:rsidRDefault="00872C03" w:rsidP="00872C03">
      <w:pPr>
        <w:pStyle w:val="SubsectionHead"/>
        <w:rPr>
          <w:sz w:val="24"/>
        </w:rPr>
      </w:pPr>
      <w:r w:rsidRPr="00883399">
        <w:rPr>
          <w:sz w:val="24"/>
        </w:rPr>
        <w:t>Preliminary method of working out base of low gas zone</w:t>
      </w:r>
    </w:p>
    <w:p w14:paraId="61624E1D" w14:textId="77777777" w:rsidR="00872C03" w:rsidRPr="00883399" w:rsidRDefault="00872C03" w:rsidP="00872C03">
      <w:pPr>
        <w:pStyle w:val="subsection"/>
        <w:spacing w:after="60"/>
        <w:rPr>
          <w:sz w:val="24"/>
        </w:rPr>
      </w:pPr>
      <w:r w:rsidRPr="00883399">
        <w:rPr>
          <w:sz w:val="24"/>
        </w:rPr>
        <w:tab/>
        <w:t>(2)</w:t>
      </w:r>
      <w:r w:rsidRPr="00883399">
        <w:rPr>
          <w:sz w:val="24"/>
        </w:rPr>
        <w:tab/>
        <w:t>For paragraph (1)(c), the method is that the estimator must perform the following steps:</w:t>
      </w:r>
    </w:p>
    <w:tbl>
      <w:tblPr>
        <w:tblW w:w="0" w:type="auto"/>
        <w:tblInd w:w="948" w:type="dxa"/>
        <w:tblLayout w:type="fixed"/>
        <w:tblLook w:val="04A0" w:firstRow="1" w:lastRow="0" w:firstColumn="1" w:lastColumn="0" w:noHBand="0" w:noVBand="1"/>
      </w:tblPr>
      <w:tblGrid>
        <w:gridCol w:w="861"/>
        <w:gridCol w:w="6699"/>
      </w:tblGrid>
      <w:tr w:rsidR="00872C03" w:rsidRPr="00883399" w14:paraId="439814F5" w14:textId="77777777" w:rsidTr="0031057E">
        <w:trPr>
          <w:cantSplit/>
          <w:trHeight w:val="80"/>
        </w:trPr>
        <w:tc>
          <w:tcPr>
            <w:tcW w:w="861" w:type="dxa"/>
            <w:hideMark/>
          </w:tcPr>
          <w:p w14:paraId="135B94BE" w14:textId="77777777" w:rsidR="00872C03" w:rsidRPr="00883399" w:rsidRDefault="00872C03" w:rsidP="0031057E">
            <w:pPr>
              <w:pStyle w:val="Tabletext0"/>
              <w:rPr>
                <w:sz w:val="24"/>
                <w:szCs w:val="22"/>
              </w:rPr>
            </w:pPr>
            <w:r w:rsidRPr="00883399">
              <w:rPr>
                <w:sz w:val="24"/>
                <w:szCs w:val="22"/>
              </w:rPr>
              <w:t>Step 1</w:t>
            </w:r>
          </w:p>
        </w:tc>
        <w:tc>
          <w:tcPr>
            <w:tcW w:w="6699" w:type="dxa"/>
            <w:hideMark/>
          </w:tcPr>
          <w:p w14:paraId="3B65E735" w14:textId="77777777" w:rsidR="00872C03" w:rsidRPr="00883399" w:rsidRDefault="00872C03" w:rsidP="0031057E">
            <w:pPr>
              <w:pStyle w:val="TableText"/>
              <w:keepLines/>
              <w:rPr>
                <w:sz w:val="24"/>
                <w:szCs w:val="22"/>
              </w:rPr>
            </w:pPr>
            <w:r w:rsidRPr="00883399">
              <w:rPr>
                <w:sz w:val="24"/>
                <w:szCs w:val="22"/>
              </w:rPr>
              <w:t>For each borehole, identify the depth at which:</w:t>
            </w:r>
          </w:p>
          <w:p w14:paraId="4F63C035" w14:textId="77777777" w:rsidR="00872C03" w:rsidRPr="00883399" w:rsidRDefault="00872C03" w:rsidP="0031057E">
            <w:pPr>
              <w:pStyle w:val="TableP1a"/>
              <w:keepLines/>
              <w:rPr>
                <w:sz w:val="24"/>
                <w:szCs w:val="22"/>
              </w:rPr>
            </w:pPr>
            <w:r w:rsidRPr="00883399">
              <w:rPr>
                <w:sz w:val="24"/>
                <w:szCs w:val="22"/>
              </w:rPr>
              <w:tab/>
              <w:t>(a)</w:t>
            </w:r>
            <w:r w:rsidRPr="00883399">
              <w:rPr>
                <w:sz w:val="24"/>
                <w:szCs w:val="22"/>
              </w:rPr>
              <w:tab/>
              <w:t>the results of greater than 3 consecutive samples taken in the borehole indicate that the gas content of the gas bearing strata is greater than 0.5 m</w:t>
            </w:r>
            <w:r w:rsidRPr="00883399">
              <w:rPr>
                <w:sz w:val="24"/>
                <w:szCs w:val="22"/>
                <w:vertAlign w:val="superscript"/>
              </w:rPr>
              <w:t>3</w:t>
            </w:r>
            <w:r w:rsidRPr="00883399">
              <w:rPr>
                <w:sz w:val="24"/>
                <w:szCs w:val="22"/>
              </w:rPr>
              <w:t>/t; or</w:t>
            </w:r>
          </w:p>
          <w:p w14:paraId="40D196EF" w14:textId="77777777" w:rsidR="00872C03" w:rsidRPr="00883399" w:rsidRDefault="00872C03" w:rsidP="0031057E">
            <w:pPr>
              <w:pStyle w:val="TableP1a"/>
              <w:keepLines/>
              <w:rPr>
                <w:sz w:val="24"/>
                <w:szCs w:val="22"/>
              </w:rPr>
            </w:pPr>
            <w:r w:rsidRPr="00883399">
              <w:rPr>
                <w:sz w:val="24"/>
                <w:szCs w:val="22"/>
              </w:rPr>
              <w:tab/>
              <w:t>(b)</w:t>
            </w:r>
            <w:r w:rsidRPr="00883399">
              <w:rPr>
                <w:sz w:val="24"/>
                <w:szCs w:val="22"/>
              </w:rPr>
              <w:tab/>
              <w:t>the results of 3 consecutive samples taken in the borehole indicate that the methane composition of the gas bearing strata is greater than 50% of total gas composition by volume.</w:t>
            </w:r>
          </w:p>
        </w:tc>
      </w:tr>
      <w:tr w:rsidR="00872C03" w:rsidRPr="00883399" w14:paraId="12ECA572" w14:textId="77777777" w:rsidTr="0031057E">
        <w:trPr>
          <w:cantSplit/>
          <w:trHeight w:val="80"/>
        </w:trPr>
        <w:tc>
          <w:tcPr>
            <w:tcW w:w="861" w:type="dxa"/>
            <w:hideMark/>
          </w:tcPr>
          <w:p w14:paraId="3C68D571" w14:textId="77777777" w:rsidR="00872C03" w:rsidRPr="00883399" w:rsidRDefault="00872C03" w:rsidP="0031057E">
            <w:pPr>
              <w:pStyle w:val="Tabletext0"/>
              <w:rPr>
                <w:sz w:val="24"/>
                <w:szCs w:val="22"/>
              </w:rPr>
            </w:pPr>
            <w:r w:rsidRPr="00883399">
              <w:rPr>
                <w:sz w:val="24"/>
                <w:szCs w:val="22"/>
              </w:rPr>
              <w:lastRenderedPageBreak/>
              <w:t>Step 2</w:t>
            </w:r>
          </w:p>
        </w:tc>
        <w:tc>
          <w:tcPr>
            <w:tcW w:w="6699" w:type="dxa"/>
            <w:hideMark/>
          </w:tcPr>
          <w:p w14:paraId="1CD1331C" w14:textId="77777777" w:rsidR="00872C03" w:rsidRPr="00883399" w:rsidRDefault="00872C03" w:rsidP="0031057E">
            <w:pPr>
              <w:pStyle w:val="TableText"/>
              <w:keepLines/>
              <w:rPr>
                <w:sz w:val="24"/>
                <w:szCs w:val="22"/>
              </w:rPr>
            </w:pPr>
            <w:r w:rsidRPr="00883399">
              <w:rPr>
                <w:sz w:val="24"/>
                <w:szCs w:val="22"/>
              </w:rPr>
              <w:t>If paragraph (a) or (b) of step 1 applies, identify, for each borehole, the depth of the top of the gas bearing strata at which the first of the 3 consecutive samples in the borehole was taken.</w:t>
            </w:r>
          </w:p>
          <w:p w14:paraId="20A27198" w14:textId="77777777" w:rsidR="00872C03" w:rsidRPr="00883399" w:rsidRDefault="00872C03" w:rsidP="0031057E">
            <w:r w:rsidRPr="00883399">
              <w:t>Note   The depth of the top of the gas bearing strata worked out under step 2 is the same as the depth of the base of the low gas zone.</w:t>
            </w:r>
          </w:p>
        </w:tc>
      </w:tr>
    </w:tbl>
    <w:p w14:paraId="1B93B5FF" w14:textId="77777777" w:rsidR="00872C03" w:rsidRPr="00883399" w:rsidRDefault="00872C03" w:rsidP="00872C03">
      <w:pPr>
        <w:pStyle w:val="SubsectionHead"/>
        <w:rPr>
          <w:sz w:val="24"/>
        </w:rPr>
      </w:pPr>
      <w:r w:rsidRPr="00883399">
        <w:rPr>
          <w:sz w:val="24"/>
        </w:rPr>
        <w:t>Method of working out base of low gas zone for subparagraph (1)(d)(i)</w:t>
      </w:r>
    </w:p>
    <w:p w14:paraId="0CB9B83A" w14:textId="77777777" w:rsidR="00872C03" w:rsidRPr="00883399" w:rsidRDefault="00872C03" w:rsidP="00872C03">
      <w:pPr>
        <w:pStyle w:val="subsection"/>
        <w:rPr>
          <w:sz w:val="24"/>
        </w:rPr>
      </w:pPr>
      <w:r w:rsidRPr="00883399">
        <w:rPr>
          <w:sz w:val="24"/>
        </w:rPr>
        <w:tab/>
        <w:t>(3)</w:t>
      </w:r>
      <w:r w:rsidRPr="00883399">
        <w:rPr>
          <w:sz w:val="24"/>
        </w:rPr>
        <w:tab/>
        <w:t>For subparagraph (1)(d)(i), the method is that the estimator must work out the average depth at which step 2 of the method in subsection (2) applies.</w:t>
      </w:r>
    </w:p>
    <w:p w14:paraId="4BDD5293" w14:textId="77777777" w:rsidR="00872C03" w:rsidRPr="00883399" w:rsidRDefault="00872C03" w:rsidP="00872C03">
      <w:pPr>
        <w:pStyle w:val="SubsectionHead"/>
        <w:rPr>
          <w:sz w:val="24"/>
        </w:rPr>
      </w:pPr>
      <w:r w:rsidRPr="00883399">
        <w:rPr>
          <w:sz w:val="24"/>
        </w:rPr>
        <w:t>Method of working out base of low gas zone for subparagraph (1)(d)(ii)</w:t>
      </w:r>
    </w:p>
    <w:p w14:paraId="04B5B283" w14:textId="77777777" w:rsidR="00872C03" w:rsidRPr="00883399" w:rsidRDefault="00872C03" w:rsidP="00872C03">
      <w:pPr>
        <w:pStyle w:val="subsection"/>
        <w:rPr>
          <w:sz w:val="24"/>
        </w:rPr>
      </w:pPr>
      <w:r w:rsidRPr="00883399">
        <w:rPr>
          <w:sz w:val="24"/>
        </w:rPr>
        <w:tab/>
        <w:t>(4)</w:t>
      </w:r>
      <w:r w:rsidRPr="00883399">
        <w:rPr>
          <w:sz w:val="24"/>
        </w:rPr>
        <w:tab/>
        <w:t>For subparagraph (1)(d)(ii), the method is that the estimator must construct a 3</w:t>
      </w:r>
      <w:r w:rsidRPr="00883399">
        <w:rPr>
          <w:sz w:val="24"/>
        </w:rPr>
        <w:noBreakHyphen/>
        <w:t>dimensional model of the surface of the low gas zone using a triangulation algorithm or a gridding algorithm.</w:t>
      </w:r>
    </w:p>
    <w:p w14:paraId="498E0EA7" w14:textId="4F63CFFA" w:rsidR="00872C03" w:rsidRPr="00883399" w:rsidRDefault="00872C03" w:rsidP="00872C03">
      <w:pPr>
        <w:pStyle w:val="ActHead5"/>
        <w:rPr>
          <w:sz w:val="28"/>
        </w:rPr>
      </w:pPr>
      <w:bookmarkStart w:id="480" w:name="_Toc423516885"/>
      <w:bookmarkStart w:id="481" w:name="_Toc495652804"/>
      <w:r w:rsidRPr="00883399">
        <w:rPr>
          <w:rStyle w:val="CharSectno"/>
          <w:sz w:val="28"/>
        </w:rPr>
        <w:t>3.25B</w:t>
      </w:r>
      <w:r w:rsidRPr="00883399">
        <w:rPr>
          <w:sz w:val="28"/>
        </w:rPr>
        <w:t xml:space="preserve">  Further requirements for estimator</w:t>
      </w:r>
      <w:bookmarkEnd w:id="480"/>
      <w:bookmarkEnd w:id="481"/>
    </w:p>
    <w:p w14:paraId="69D4E5F2" w14:textId="77777777" w:rsidR="00872C03" w:rsidRPr="00883399" w:rsidRDefault="00872C03" w:rsidP="00872C03">
      <w:pPr>
        <w:pStyle w:val="subsection"/>
        <w:rPr>
          <w:sz w:val="24"/>
        </w:rPr>
      </w:pPr>
      <w:r w:rsidRPr="00883399">
        <w:rPr>
          <w:sz w:val="24"/>
        </w:rPr>
        <w:tab/>
        <w:t>(1)</w:t>
      </w:r>
      <w:r w:rsidRPr="00883399">
        <w:rPr>
          <w:sz w:val="24"/>
        </w:rPr>
        <w:tab/>
        <w:t>This section applies if:</w:t>
      </w:r>
    </w:p>
    <w:p w14:paraId="2786677B" w14:textId="77777777" w:rsidR="00872C03" w:rsidRPr="00883399" w:rsidRDefault="00872C03" w:rsidP="00872C03">
      <w:pPr>
        <w:pStyle w:val="paragraph"/>
        <w:rPr>
          <w:sz w:val="24"/>
        </w:rPr>
      </w:pPr>
      <w:r w:rsidRPr="00883399">
        <w:rPr>
          <w:sz w:val="24"/>
        </w:rPr>
        <w:tab/>
        <w:t>(a)</w:t>
      </w:r>
      <w:r w:rsidRPr="00883399">
        <w:rPr>
          <w:sz w:val="24"/>
        </w:rPr>
        <w:tab/>
        <w:t>the estimator constructs a 3</w:t>
      </w:r>
      <w:r w:rsidRPr="00883399">
        <w:rPr>
          <w:sz w:val="24"/>
        </w:rPr>
        <w:noBreakHyphen/>
        <w:t>dimensional model of the surface of the base of the low gas zone in accordance with the method mentioned in subsection 3.25A(4); and</w:t>
      </w:r>
    </w:p>
    <w:p w14:paraId="6A3CA91B" w14:textId="77777777" w:rsidR="00872C03" w:rsidRPr="00883399" w:rsidRDefault="00872C03" w:rsidP="00872C03">
      <w:pPr>
        <w:pStyle w:val="paragraph"/>
        <w:rPr>
          <w:sz w:val="24"/>
        </w:rPr>
      </w:pPr>
      <w:r w:rsidRPr="00883399">
        <w:rPr>
          <w:sz w:val="24"/>
        </w:rPr>
        <w:tab/>
        <w:t>(b)</w:t>
      </w:r>
      <w:r w:rsidRPr="00883399">
        <w:rPr>
          <w:sz w:val="24"/>
        </w:rPr>
        <w:tab/>
        <w:t>the 3</w:t>
      </w:r>
      <w:r w:rsidRPr="00883399">
        <w:rPr>
          <w:sz w:val="24"/>
        </w:rPr>
        <w:noBreakHyphen/>
        <w:t>dimensional model of the surface of the low gas zone is extrapolated beyond the area modelled directly from boreholes in the domain.</w:t>
      </w:r>
    </w:p>
    <w:p w14:paraId="34305F54" w14:textId="77777777" w:rsidR="00872C03" w:rsidRPr="00883399" w:rsidRDefault="00872C03" w:rsidP="00872C03">
      <w:pPr>
        <w:pStyle w:val="subsection"/>
        <w:rPr>
          <w:sz w:val="24"/>
        </w:rPr>
      </w:pPr>
      <w:r w:rsidRPr="00883399">
        <w:rPr>
          <w:sz w:val="24"/>
        </w:rPr>
        <w:tab/>
        <w:t>(2)</w:t>
      </w:r>
      <w:r w:rsidRPr="00883399">
        <w:rPr>
          <w:sz w:val="24"/>
        </w:rPr>
        <w:tab/>
        <w:t>The estimator must:</w:t>
      </w:r>
    </w:p>
    <w:p w14:paraId="3EC5F048" w14:textId="77777777" w:rsidR="00872C03" w:rsidRPr="00883399" w:rsidRDefault="00872C03" w:rsidP="00872C03">
      <w:pPr>
        <w:pStyle w:val="paragraph"/>
        <w:rPr>
          <w:sz w:val="24"/>
        </w:rPr>
      </w:pPr>
      <w:r w:rsidRPr="00883399">
        <w:rPr>
          <w:sz w:val="24"/>
        </w:rPr>
        <w:tab/>
        <w:t>(a)</w:t>
      </w:r>
      <w:r w:rsidRPr="00883399">
        <w:rPr>
          <w:sz w:val="24"/>
        </w:rPr>
        <w:tab/>
        <w:t>ensure that the extrapolated surface:</w:t>
      </w:r>
    </w:p>
    <w:p w14:paraId="4A9FE108" w14:textId="77777777" w:rsidR="00872C03" w:rsidRPr="00883399" w:rsidRDefault="00872C03" w:rsidP="00872C03">
      <w:pPr>
        <w:pStyle w:val="paragraphsub"/>
        <w:rPr>
          <w:sz w:val="24"/>
        </w:rPr>
      </w:pPr>
      <w:r w:rsidRPr="00883399">
        <w:rPr>
          <w:sz w:val="24"/>
        </w:rPr>
        <w:tab/>
        <w:t>(i)</w:t>
      </w:r>
      <w:r w:rsidRPr="00883399">
        <w:rPr>
          <w:sz w:val="24"/>
        </w:rPr>
        <w:tab/>
        <w:t>applies the same geological modelling rules that were applied in the generation of the surface of the base of the low gas zone from the boreholes; and</w:t>
      </w:r>
    </w:p>
    <w:p w14:paraId="7288D8CE" w14:textId="77777777" w:rsidR="00872C03" w:rsidRPr="00883399" w:rsidRDefault="00872C03" w:rsidP="00872C03">
      <w:pPr>
        <w:pStyle w:val="paragraphsub"/>
        <w:rPr>
          <w:sz w:val="24"/>
        </w:rPr>
      </w:pPr>
      <w:r w:rsidRPr="00883399">
        <w:rPr>
          <w:sz w:val="24"/>
        </w:rPr>
        <w:tab/>
        <w:t>(ii)</w:t>
      </w:r>
      <w:r w:rsidRPr="00883399">
        <w:rPr>
          <w:sz w:val="24"/>
        </w:rPr>
        <w:tab/>
        <w:t>represents the base of the low gas zone in relation to the geological structures located within the domain; and</w:t>
      </w:r>
    </w:p>
    <w:p w14:paraId="06F23C11" w14:textId="77777777" w:rsidR="00872C03" w:rsidRPr="00883399" w:rsidRDefault="00872C03" w:rsidP="00872C03">
      <w:pPr>
        <w:pStyle w:val="paragraphsub"/>
        <w:rPr>
          <w:sz w:val="24"/>
        </w:rPr>
      </w:pPr>
      <w:r w:rsidRPr="00883399">
        <w:rPr>
          <w:sz w:val="24"/>
        </w:rPr>
        <w:tab/>
        <w:t>(iii)</w:t>
      </w:r>
      <w:r w:rsidRPr="00883399">
        <w:rPr>
          <w:sz w:val="24"/>
        </w:rPr>
        <w:tab/>
        <w:t>is generated using a modelling methodology that is consistent with the geological model used to estimate the coal resource; and</w:t>
      </w:r>
    </w:p>
    <w:p w14:paraId="15F71AF1" w14:textId="77777777" w:rsidR="00872C03" w:rsidRPr="00883399" w:rsidRDefault="00872C03" w:rsidP="00872C03">
      <w:pPr>
        <w:pStyle w:val="paragraphsub"/>
        <w:rPr>
          <w:sz w:val="24"/>
        </w:rPr>
      </w:pPr>
      <w:r w:rsidRPr="00883399">
        <w:rPr>
          <w:sz w:val="24"/>
        </w:rPr>
        <w:tab/>
        <w:t>(iv)</w:t>
      </w:r>
      <w:r w:rsidRPr="00883399">
        <w:rPr>
          <w:sz w:val="24"/>
        </w:rPr>
        <w:tab/>
        <w:t>the geological model used to estimate the coal resource meets the minimum requirements and the standard of quality mentioned in section 1 of the ACARP Guidelines.</w:t>
      </w:r>
    </w:p>
    <w:p w14:paraId="43D13CF5" w14:textId="77777777" w:rsidR="00872C03" w:rsidRPr="00883399" w:rsidRDefault="00872C03" w:rsidP="00872C03">
      <w:pPr>
        <w:pStyle w:val="paragraph"/>
        <w:rPr>
          <w:sz w:val="24"/>
        </w:rPr>
      </w:pPr>
      <w:r w:rsidRPr="00883399">
        <w:rPr>
          <w:sz w:val="24"/>
        </w:rPr>
        <w:tab/>
        <w:t>(b)</w:t>
      </w:r>
      <w:r w:rsidRPr="00883399">
        <w:rPr>
          <w:sz w:val="24"/>
        </w:rPr>
        <w:tab/>
        <w:t>make and retain a record:</w:t>
      </w:r>
    </w:p>
    <w:p w14:paraId="4D1C5FB1" w14:textId="77777777" w:rsidR="00872C03" w:rsidRPr="00883399" w:rsidRDefault="00872C03" w:rsidP="00872C03">
      <w:pPr>
        <w:pStyle w:val="paragraphsub"/>
        <w:rPr>
          <w:sz w:val="24"/>
        </w:rPr>
      </w:pPr>
      <w:r w:rsidRPr="00883399">
        <w:rPr>
          <w:sz w:val="24"/>
        </w:rPr>
        <w:lastRenderedPageBreak/>
        <w:tab/>
        <w:t>(i)</w:t>
      </w:r>
      <w:r w:rsidRPr="00883399">
        <w:rPr>
          <w:sz w:val="24"/>
        </w:rPr>
        <w:tab/>
        <w:t>of the data and assumptions incorporated into the generation of the 3</w:t>
      </w:r>
      <w:r w:rsidRPr="00883399">
        <w:rPr>
          <w:sz w:val="24"/>
        </w:rPr>
        <w:noBreakHyphen/>
        <w:t>dimensional surface; and</w:t>
      </w:r>
    </w:p>
    <w:p w14:paraId="548FD73A" w14:textId="77777777" w:rsidR="00872C03" w:rsidRPr="00883399" w:rsidRDefault="00872C03" w:rsidP="00872C03">
      <w:pPr>
        <w:pStyle w:val="paragraphsub"/>
        <w:rPr>
          <w:sz w:val="24"/>
        </w:rPr>
      </w:pPr>
      <w:r w:rsidRPr="00883399">
        <w:rPr>
          <w:sz w:val="24"/>
        </w:rPr>
        <w:tab/>
        <w:t>(ii)</w:t>
      </w:r>
      <w:r w:rsidRPr="00883399">
        <w:rPr>
          <w:sz w:val="24"/>
        </w:rPr>
        <w:tab/>
        <w:t>that demonstrates that the delineation of the 3</w:t>
      </w:r>
      <w:r w:rsidRPr="00883399">
        <w:rPr>
          <w:sz w:val="24"/>
        </w:rPr>
        <w:noBreakHyphen/>
        <w:t>dimensional surface complies with sections 1.13 and 3.24.</w:t>
      </w:r>
    </w:p>
    <w:p w14:paraId="2D40A250" w14:textId="61785A39" w:rsidR="00872C03" w:rsidRPr="00883399" w:rsidRDefault="00872C03" w:rsidP="00872C03">
      <w:pPr>
        <w:pStyle w:val="ActHead5"/>
        <w:rPr>
          <w:sz w:val="28"/>
        </w:rPr>
      </w:pPr>
      <w:bookmarkStart w:id="482" w:name="_Toc423516886"/>
      <w:bookmarkStart w:id="483" w:name="_Toc495652805"/>
      <w:r w:rsidRPr="00883399">
        <w:rPr>
          <w:rStyle w:val="CharSectno"/>
          <w:sz w:val="28"/>
        </w:rPr>
        <w:t>3.25C</w:t>
      </w:r>
      <w:r w:rsidRPr="00883399">
        <w:rPr>
          <w:sz w:val="28"/>
        </w:rPr>
        <w:t xml:space="preserve">  Default gas content for gas bearing strata in low gas zone</w:t>
      </w:r>
      <w:bookmarkEnd w:id="482"/>
      <w:bookmarkEnd w:id="483"/>
    </w:p>
    <w:p w14:paraId="239FB387" w14:textId="77777777" w:rsidR="00872C03" w:rsidRPr="00883399" w:rsidRDefault="00872C03" w:rsidP="00872C03">
      <w:pPr>
        <w:pStyle w:val="subsection"/>
        <w:rPr>
          <w:sz w:val="24"/>
        </w:rPr>
      </w:pPr>
      <w:r w:rsidRPr="00883399">
        <w:rPr>
          <w:sz w:val="24"/>
        </w:rPr>
        <w:tab/>
      </w:r>
      <w:r w:rsidRPr="00883399">
        <w:rPr>
          <w:sz w:val="24"/>
        </w:rPr>
        <w:tab/>
        <w:t>A default gas content of 0.00023 tonnes of carbon dioxide per tonne of gas bearing strata must be assigned to all gas bearing strata located in the low gas zone.</w:t>
      </w:r>
    </w:p>
    <w:p w14:paraId="40B6FB10" w14:textId="2C62583C" w:rsidR="00872C03" w:rsidRPr="00883399" w:rsidRDefault="00872C03" w:rsidP="00872C03">
      <w:pPr>
        <w:pStyle w:val="ActHead5"/>
        <w:rPr>
          <w:sz w:val="28"/>
        </w:rPr>
      </w:pPr>
      <w:bookmarkStart w:id="484" w:name="_Toc423516887"/>
      <w:bookmarkStart w:id="485" w:name="_Toc495652806"/>
      <w:r w:rsidRPr="00883399">
        <w:rPr>
          <w:rStyle w:val="CharSectno"/>
          <w:sz w:val="28"/>
        </w:rPr>
        <w:t>3.25D</w:t>
      </w:r>
      <w:r w:rsidRPr="00883399">
        <w:rPr>
          <w:sz w:val="28"/>
        </w:rPr>
        <w:t xml:space="preserve">  Requirements for estimating total gas contained in gas bearing strata</w:t>
      </w:r>
      <w:bookmarkEnd w:id="484"/>
      <w:bookmarkEnd w:id="485"/>
    </w:p>
    <w:p w14:paraId="46CA776B" w14:textId="77777777" w:rsidR="00872C03" w:rsidRPr="00883399" w:rsidRDefault="00872C03" w:rsidP="00872C03">
      <w:pPr>
        <w:pStyle w:val="subsection"/>
        <w:rPr>
          <w:sz w:val="24"/>
        </w:rPr>
      </w:pPr>
      <w:r w:rsidRPr="00883399">
        <w:rPr>
          <w:sz w:val="24"/>
        </w:rPr>
        <w:tab/>
        <w:t>(1)</w:t>
      </w:r>
      <w:r w:rsidRPr="00883399">
        <w:rPr>
          <w:sz w:val="24"/>
        </w:rPr>
        <w:tab/>
        <w:t>The total gas contained in gas bearing strata for an open cut coal mine must be estimated in accordance with the emissions estimation process mentioned in section 1 of the ACARP Guidelines.</w:t>
      </w:r>
    </w:p>
    <w:p w14:paraId="60541F35" w14:textId="77777777" w:rsidR="00872C03" w:rsidRPr="00883399" w:rsidRDefault="00872C03" w:rsidP="00872C03">
      <w:pPr>
        <w:pStyle w:val="subsection"/>
        <w:rPr>
          <w:sz w:val="24"/>
        </w:rPr>
      </w:pPr>
      <w:r w:rsidRPr="00883399">
        <w:rPr>
          <w:sz w:val="24"/>
        </w:rPr>
        <w:tab/>
        <w:t>(2)</w:t>
      </w:r>
      <w:r w:rsidRPr="00883399">
        <w:rPr>
          <w:sz w:val="24"/>
        </w:rPr>
        <w:tab/>
        <w:t>The gas distribution model used for estimating emissions must be applied in accordance with section 4.1 of the ACARP Guidelines; and</w:t>
      </w:r>
    </w:p>
    <w:p w14:paraId="163E1E35" w14:textId="77777777" w:rsidR="00872C03" w:rsidRPr="00883399" w:rsidRDefault="00872C03" w:rsidP="00872C03">
      <w:pPr>
        <w:pStyle w:val="subsection"/>
        <w:rPr>
          <w:sz w:val="24"/>
        </w:rPr>
      </w:pPr>
      <w:r w:rsidRPr="00883399">
        <w:rPr>
          <w:sz w:val="24"/>
        </w:rPr>
        <w:tab/>
        <w:t>(3)</w:t>
      </w:r>
      <w:r w:rsidRPr="00883399">
        <w:rPr>
          <w:sz w:val="24"/>
        </w:rPr>
        <w:tab/>
        <w:t>The modelling bias must be assessed in accordance with section 4.2 of the ACARP Guidelines.</w:t>
      </w:r>
    </w:p>
    <w:p w14:paraId="68198495" w14:textId="77777777" w:rsidR="00872C03" w:rsidRPr="00883399" w:rsidRDefault="00872C03" w:rsidP="00872C03">
      <w:pPr>
        <w:pStyle w:val="subsection"/>
        <w:rPr>
          <w:sz w:val="24"/>
        </w:rPr>
      </w:pPr>
      <w:r w:rsidRPr="00883399">
        <w:rPr>
          <w:sz w:val="24"/>
        </w:rPr>
        <w:tab/>
        <w:t>(4)</w:t>
      </w:r>
      <w:r w:rsidRPr="00883399">
        <w:rPr>
          <w:sz w:val="24"/>
        </w:rPr>
        <w:tab/>
        <w:t>The gas distribution model must be applied to the geology model in accordance with section 4.3 of the ACARP Guidelines.</w:t>
      </w:r>
    </w:p>
    <w:p w14:paraId="36004436" w14:textId="05B29566" w:rsidR="00872C03" w:rsidRPr="00883399" w:rsidRDefault="00872C03" w:rsidP="00872C03">
      <w:pPr>
        <w:pStyle w:val="ActHead5"/>
        <w:rPr>
          <w:sz w:val="28"/>
        </w:rPr>
      </w:pPr>
      <w:bookmarkStart w:id="486" w:name="_Toc423516888"/>
      <w:bookmarkStart w:id="487" w:name="_Toc495652807"/>
      <w:r w:rsidRPr="00883399">
        <w:rPr>
          <w:rStyle w:val="CharSectno"/>
          <w:sz w:val="28"/>
        </w:rPr>
        <w:t>3.26</w:t>
      </w:r>
      <w:r w:rsidRPr="00883399">
        <w:rPr>
          <w:sz w:val="28"/>
        </w:rPr>
        <w:t xml:space="preserve">  Method 3—extraction of coal</w:t>
      </w:r>
      <w:bookmarkEnd w:id="486"/>
      <w:bookmarkEnd w:id="487"/>
    </w:p>
    <w:p w14:paraId="43459DAA" w14:textId="77777777" w:rsidR="00872C03" w:rsidRPr="00883399" w:rsidRDefault="00872C03" w:rsidP="00872C03">
      <w:pPr>
        <w:pStyle w:val="subsection"/>
        <w:rPr>
          <w:sz w:val="24"/>
        </w:rPr>
      </w:pPr>
      <w:r w:rsidRPr="00883399">
        <w:rPr>
          <w:sz w:val="24"/>
        </w:rPr>
        <w:tab/>
        <w:t>(1)</w:t>
      </w:r>
      <w:r w:rsidRPr="00883399">
        <w:rPr>
          <w:sz w:val="24"/>
        </w:rPr>
        <w:tab/>
        <w:t>For paragraph 3.19(2)(c) and subsection 3.19(4), method 3 is the same as method 2 under section 3.21</w:t>
      </w:r>
    </w:p>
    <w:p w14:paraId="60BE58A0" w14:textId="77777777" w:rsidR="00872C03" w:rsidRPr="00883399" w:rsidRDefault="00872C03" w:rsidP="00872C03">
      <w:pPr>
        <w:pStyle w:val="subsection"/>
        <w:rPr>
          <w:sz w:val="24"/>
        </w:rPr>
      </w:pPr>
      <w:r w:rsidRPr="00883399">
        <w:rPr>
          <w:sz w:val="24"/>
        </w:rPr>
        <w:tab/>
        <w:t>(2)</w:t>
      </w:r>
      <w:r w:rsidRPr="00883399">
        <w:rPr>
          <w:sz w:val="24"/>
        </w:rPr>
        <w:tab/>
        <w:t>In applying method 2 under section 3.21 a sample of gas bearing strata must be collected in accordance with an appropriate standard, including:</w:t>
      </w:r>
    </w:p>
    <w:p w14:paraId="015AD21D" w14:textId="77777777" w:rsidR="00872C03" w:rsidRPr="00883399" w:rsidRDefault="00872C03" w:rsidP="00872C03">
      <w:pPr>
        <w:pStyle w:val="paragraph"/>
        <w:rPr>
          <w:sz w:val="24"/>
        </w:rPr>
      </w:pPr>
      <w:r w:rsidRPr="00883399">
        <w:rPr>
          <w:sz w:val="24"/>
        </w:rPr>
        <w:tab/>
        <w:t>(a)</w:t>
      </w:r>
      <w:r w:rsidRPr="00883399">
        <w:rPr>
          <w:sz w:val="24"/>
        </w:rPr>
        <w:tab/>
        <w:t xml:space="preserve">AS 2617—1996 </w:t>
      </w:r>
      <w:r w:rsidRPr="00883399">
        <w:rPr>
          <w:i/>
          <w:sz w:val="24"/>
        </w:rPr>
        <w:t xml:space="preserve">Sampling from coal seams </w:t>
      </w:r>
      <w:r w:rsidRPr="00883399">
        <w:rPr>
          <w:sz w:val="24"/>
        </w:rPr>
        <w:t>or an equivalent standard; and</w:t>
      </w:r>
    </w:p>
    <w:p w14:paraId="143B49CD" w14:textId="77777777" w:rsidR="00872C03" w:rsidRPr="00883399" w:rsidRDefault="00872C03" w:rsidP="00872C03">
      <w:pPr>
        <w:pStyle w:val="paragraph"/>
        <w:rPr>
          <w:sz w:val="24"/>
        </w:rPr>
      </w:pPr>
      <w:r w:rsidRPr="00883399">
        <w:rPr>
          <w:sz w:val="24"/>
        </w:rPr>
        <w:tab/>
        <w:t>(b)</w:t>
      </w:r>
      <w:r w:rsidRPr="00883399">
        <w:rPr>
          <w:sz w:val="24"/>
        </w:rPr>
        <w:tab/>
        <w:t xml:space="preserve">AS 2519—1993 </w:t>
      </w:r>
      <w:r w:rsidRPr="00883399">
        <w:rPr>
          <w:i/>
          <w:sz w:val="24"/>
        </w:rPr>
        <w:t xml:space="preserve">Guide to the technical evaluation of higher rank coal deposits </w:t>
      </w:r>
      <w:r w:rsidRPr="00883399">
        <w:rPr>
          <w:sz w:val="24"/>
        </w:rPr>
        <w:t>or an equivalent standard.</w:t>
      </w:r>
    </w:p>
    <w:p w14:paraId="418AF7D8" w14:textId="0451DF27" w:rsidR="00872C03" w:rsidRPr="00883399" w:rsidRDefault="00872C03" w:rsidP="00872C03">
      <w:pPr>
        <w:pStyle w:val="ActHead4"/>
        <w:rPr>
          <w:sz w:val="28"/>
        </w:rPr>
      </w:pPr>
      <w:bookmarkStart w:id="488" w:name="_Toc423516889"/>
      <w:bookmarkStart w:id="489" w:name="_Toc495652808"/>
      <w:r w:rsidRPr="00883399">
        <w:rPr>
          <w:rStyle w:val="CharSubdNo"/>
          <w:sz w:val="28"/>
        </w:rPr>
        <w:lastRenderedPageBreak/>
        <w:t>Subdivision 3.2.3.3</w:t>
      </w:r>
      <w:r w:rsidRPr="00883399">
        <w:rPr>
          <w:sz w:val="28"/>
        </w:rPr>
        <w:t>—</w:t>
      </w:r>
      <w:r w:rsidRPr="00883399">
        <w:rPr>
          <w:rStyle w:val="CharSubdText"/>
          <w:sz w:val="28"/>
        </w:rPr>
        <w:t>Emissions released from coal mine waste gas flared</w:t>
      </w:r>
      <w:bookmarkEnd w:id="488"/>
      <w:bookmarkEnd w:id="489"/>
    </w:p>
    <w:p w14:paraId="0B52EB8E" w14:textId="4038A9A5" w:rsidR="00872C03" w:rsidRPr="00883399" w:rsidRDefault="00872C03" w:rsidP="00872C03">
      <w:pPr>
        <w:pStyle w:val="ActHead5"/>
        <w:rPr>
          <w:sz w:val="28"/>
        </w:rPr>
      </w:pPr>
      <w:bookmarkStart w:id="490" w:name="_Toc423516890"/>
      <w:bookmarkStart w:id="491" w:name="_Toc495652809"/>
      <w:r w:rsidRPr="00883399">
        <w:rPr>
          <w:rStyle w:val="CharSectno"/>
          <w:sz w:val="28"/>
        </w:rPr>
        <w:t>3.27</w:t>
      </w:r>
      <w:r w:rsidRPr="00883399">
        <w:rPr>
          <w:sz w:val="28"/>
        </w:rPr>
        <w:t xml:space="preserve">  Method 1—coal mine waste gas flared</w:t>
      </w:r>
      <w:bookmarkEnd w:id="490"/>
      <w:bookmarkEnd w:id="491"/>
    </w:p>
    <w:p w14:paraId="07236CB9" w14:textId="77777777" w:rsidR="00872C03" w:rsidRPr="00883399" w:rsidRDefault="00872C03" w:rsidP="00872C03">
      <w:pPr>
        <w:pStyle w:val="subsection"/>
        <w:rPr>
          <w:sz w:val="24"/>
        </w:rPr>
      </w:pPr>
      <w:r w:rsidRPr="00883399">
        <w:rPr>
          <w:sz w:val="24"/>
        </w:rPr>
        <w:tab/>
        <w:t>(1)</w:t>
      </w:r>
      <w:r w:rsidRPr="00883399">
        <w:rPr>
          <w:sz w:val="24"/>
        </w:rPr>
        <w:tab/>
        <w:t>For subparagraph 3.19(5)(a)(i) and paragraph 3.19(5)(b) and paragraph (5)(c), method 1 is the same as method 1 under section 3.14.</w:t>
      </w:r>
    </w:p>
    <w:p w14:paraId="750EA947" w14:textId="77777777" w:rsidR="00872C03" w:rsidRPr="00883399" w:rsidRDefault="00872C03" w:rsidP="00872C03">
      <w:pPr>
        <w:pStyle w:val="subsection"/>
        <w:rPr>
          <w:sz w:val="24"/>
        </w:rPr>
      </w:pPr>
      <w:r w:rsidRPr="00883399">
        <w:rPr>
          <w:sz w:val="24"/>
        </w:rPr>
        <w:tab/>
        <w:t>(2)</w:t>
      </w:r>
      <w:r w:rsidRPr="00883399">
        <w:rPr>
          <w:sz w:val="24"/>
        </w:rPr>
        <w:tab/>
        <w:t>In applying method 1 under section 3.14, a reference to an underground mine is taken to be a reference to an open cut mine.</w:t>
      </w:r>
    </w:p>
    <w:p w14:paraId="4E811236" w14:textId="4A77354E" w:rsidR="00872C03" w:rsidRPr="00883399" w:rsidRDefault="00872C03" w:rsidP="00872C03">
      <w:pPr>
        <w:pStyle w:val="ActHead5"/>
        <w:rPr>
          <w:sz w:val="28"/>
        </w:rPr>
      </w:pPr>
      <w:bookmarkStart w:id="492" w:name="_Toc423516891"/>
      <w:bookmarkStart w:id="493" w:name="_Toc495652810"/>
      <w:r w:rsidRPr="00883399">
        <w:rPr>
          <w:rStyle w:val="CharSectno"/>
          <w:sz w:val="28"/>
        </w:rPr>
        <w:t>3.28</w:t>
      </w:r>
      <w:r w:rsidRPr="00883399">
        <w:rPr>
          <w:sz w:val="28"/>
        </w:rPr>
        <w:t xml:space="preserve">  Method 2—coal mine waste gas flared</w:t>
      </w:r>
      <w:bookmarkEnd w:id="492"/>
      <w:bookmarkEnd w:id="493"/>
    </w:p>
    <w:p w14:paraId="48A4808D" w14:textId="77777777" w:rsidR="00872C03" w:rsidRPr="00883399" w:rsidRDefault="00872C03" w:rsidP="00872C03">
      <w:pPr>
        <w:pStyle w:val="subsection"/>
        <w:rPr>
          <w:sz w:val="24"/>
        </w:rPr>
      </w:pPr>
      <w:r w:rsidRPr="00883399">
        <w:rPr>
          <w:sz w:val="24"/>
        </w:rPr>
        <w:tab/>
      </w:r>
      <w:r w:rsidRPr="00883399">
        <w:rPr>
          <w:sz w:val="24"/>
        </w:rPr>
        <w:tab/>
      </w:r>
    </w:p>
    <w:p w14:paraId="69E48061" w14:textId="77777777" w:rsidR="00872C03" w:rsidRPr="00883399" w:rsidRDefault="00872C03" w:rsidP="00872C03">
      <w:pPr>
        <w:pStyle w:val="R2"/>
        <w:keepLines w:val="0"/>
        <w:tabs>
          <w:tab w:val="clear" w:pos="794"/>
          <w:tab w:val="right" w:pos="-120"/>
        </w:tabs>
        <w:spacing w:before="240" w:line="312" w:lineRule="auto"/>
        <w:ind w:left="0" w:firstLine="0"/>
        <w:jc w:val="left"/>
        <w:rPr>
          <w:rFonts w:ascii="Arial" w:hAnsi="Arial" w:cs="Arial"/>
          <w:sz w:val="22"/>
          <w:szCs w:val="22"/>
        </w:rPr>
      </w:pPr>
      <w:r w:rsidRPr="00883399">
        <w:rPr>
          <w:rFonts w:ascii="Arial" w:hAnsi="Arial" w:cs="Arial"/>
          <w:sz w:val="22"/>
          <w:szCs w:val="22"/>
        </w:rPr>
        <w:t>Method 2 is the same as method 2 under section 3.15. Method 2 requires representative and unbiased samples of coal mine waste gas consumed and analysis of the coal mine waste gas to determine gas composition and must be done in accordance with Australian or equivalent international standards and as set out for Division 2.3.3</w:t>
      </w:r>
    </w:p>
    <w:p w14:paraId="7E1DFD4C" w14:textId="77777777" w:rsidR="00872C03" w:rsidRPr="00883399" w:rsidRDefault="00872C03" w:rsidP="00872C03">
      <w:pPr>
        <w:pStyle w:val="subsection"/>
        <w:rPr>
          <w:sz w:val="24"/>
        </w:rPr>
      </w:pPr>
      <w:r w:rsidRPr="00883399">
        <w:rPr>
          <w:sz w:val="24"/>
        </w:rPr>
        <w:t>For subparagraph 3.19(5)(a)(ii), method 2 is the same as method 2 under section 3.15.</w:t>
      </w:r>
    </w:p>
    <w:p w14:paraId="5F8B5AAC" w14:textId="52B4AD51" w:rsidR="00872C03" w:rsidRPr="00883399" w:rsidRDefault="00872C03" w:rsidP="00872C03">
      <w:pPr>
        <w:pStyle w:val="ActHead5"/>
        <w:rPr>
          <w:sz w:val="28"/>
        </w:rPr>
      </w:pPr>
      <w:bookmarkStart w:id="494" w:name="_Toc423516892"/>
      <w:bookmarkStart w:id="495" w:name="_Toc495652811"/>
      <w:r w:rsidRPr="00883399">
        <w:rPr>
          <w:rStyle w:val="CharSectno"/>
          <w:sz w:val="28"/>
        </w:rPr>
        <w:t>3.29</w:t>
      </w:r>
      <w:r w:rsidRPr="00883399">
        <w:rPr>
          <w:sz w:val="28"/>
        </w:rPr>
        <w:t xml:space="preserve">  Method 3—coal mine waste gas flared</w:t>
      </w:r>
      <w:bookmarkEnd w:id="494"/>
      <w:bookmarkEnd w:id="495"/>
    </w:p>
    <w:p w14:paraId="00226150" w14:textId="77777777" w:rsidR="00872C03" w:rsidRPr="00883399" w:rsidRDefault="00872C03" w:rsidP="00872C03">
      <w:pPr>
        <w:pStyle w:val="Text"/>
        <w:rPr>
          <w:rFonts w:ascii="Arial" w:hAnsi="Arial" w:cs="Arial"/>
          <w:sz w:val="22"/>
          <w:szCs w:val="22"/>
        </w:rPr>
      </w:pPr>
      <w:r w:rsidRPr="00883399">
        <w:rPr>
          <w:rStyle w:val="CharSectno"/>
          <w:rFonts w:ascii="Arial" w:hAnsi="Arial" w:cs="Arial"/>
          <w:sz w:val="22"/>
          <w:szCs w:val="22"/>
        </w:rPr>
        <w:t>Method 3 is the same as for Method 2 except that it requires samples to be obtained in accordance with Australian or equivalent international standards and as set out in Division 2.3.4.</w:t>
      </w:r>
    </w:p>
    <w:p w14:paraId="41FBF1F6" w14:textId="77777777" w:rsidR="00872C03" w:rsidRPr="00883399" w:rsidRDefault="00872C03" w:rsidP="00872C03">
      <w:pPr>
        <w:pStyle w:val="subsection"/>
        <w:rPr>
          <w:sz w:val="24"/>
        </w:rPr>
      </w:pPr>
      <w:r w:rsidRPr="00883399">
        <w:rPr>
          <w:sz w:val="24"/>
        </w:rPr>
        <w:tab/>
        <w:t>For subparagraph 3.19(5)(a)(iii), method 3 is the same as method 3 under section 3.16.</w:t>
      </w:r>
    </w:p>
    <w:p w14:paraId="797E312C" w14:textId="1750C66D" w:rsidR="00872C03" w:rsidRPr="00883399" w:rsidRDefault="00872C03" w:rsidP="00872C03">
      <w:pPr>
        <w:pStyle w:val="ActHead3"/>
        <w:pageBreakBefore/>
        <w:rPr>
          <w:sz w:val="32"/>
        </w:rPr>
      </w:pPr>
      <w:bookmarkStart w:id="496" w:name="_Toc423516893"/>
      <w:bookmarkStart w:id="497" w:name="_Toc495652812"/>
      <w:r w:rsidRPr="00883399">
        <w:rPr>
          <w:rStyle w:val="CharDivNo"/>
          <w:sz w:val="32"/>
        </w:rPr>
        <w:lastRenderedPageBreak/>
        <w:t>Division 3.2.4</w:t>
      </w:r>
      <w:r w:rsidRPr="00883399">
        <w:rPr>
          <w:sz w:val="32"/>
        </w:rPr>
        <w:t>—</w:t>
      </w:r>
      <w:r w:rsidRPr="00883399">
        <w:rPr>
          <w:rStyle w:val="CharDivText"/>
          <w:sz w:val="32"/>
        </w:rPr>
        <w:t>Decommissioned underground mines</w:t>
      </w:r>
      <w:bookmarkEnd w:id="496"/>
      <w:bookmarkEnd w:id="497"/>
    </w:p>
    <w:p w14:paraId="79316628" w14:textId="77777777" w:rsidR="00872C03" w:rsidRPr="00883399" w:rsidRDefault="00872C03" w:rsidP="00872C03">
      <w:pPr>
        <w:pStyle w:val="Text"/>
        <w:rPr>
          <w:rFonts w:ascii="Arial" w:hAnsi="Arial" w:cs="Arial"/>
          <w:sz w:val="22"/>
          <w:szCs w:val="22"/>
        </w:rPr>
      </w:pPr>
      <w:bookmarkStart w:id="498" w:name="_Toc423516894"/>
      <w:r w:rsidRPr="00883399">
        <w:rPr>
          <w:rFonts w:ascii="Arial" w:hAnsi="Arial" w:cs="Arial"/>
          <w:sz w:val="22"/>
          <w:szCs w:val="22"/>
        </w:rPr>
        <w:t>Greenhouse gas emissions are known to occur following the closure of coal mines. Leakages to the atmosphere occur through fractured rock strata, open vents and seals over daily to decadal timescales. However, emissions will be reduced by flooding of the mine, which prevents desorption of gases from the remaining coal strata and non-coal strata layers in the closed mine.</w:t>
      </w:r>
    </w:p>
    <w:p w14:paraId="7729126D" w14:textId="3E4D1CFD" w:rsidR="00872C03" w:rsidRPr="00883399" w:rsidRDefault="00872C03" w:rsidP="00872C03">
      <w:pPr>
        <w:pStyle w:val="ActHead4"/>
        <w:rPr>
          <w:sz w:val="28"/>
        </w:rPr>
      </w:pPr>
      <w:bookmarkStart w:id="499" w:name="_Toc495652813"/>
      <w:r w:rsidRPr="00883399">
        <w:rPr>
          <w:rStyle w:val="CharSubdNo"/>
          <w:sz w:val="28"/>
        </w:rPr>
        <w:t>Subdivision 3.2.4.1</w:t>
      </w:r>
      <w:r w:rsidRPr="00883399">
        <w:rPr>
          <w:sz w:val="28"/>
        </w:rPr>
        <w:t>—</w:t>
      </w:r>
      <w:r w:rsidRPr="00883399">
        <w:rPr>
          <w:rStyle w:val="CharSubdText"/>
          <w:sz w:val="28"/>
        </w:rPr>
        <w:t>Preliminary</w:t>
      </w:r>
      <w:bookmarkEnd w:id="498"/>
      <w:bookmarkEnd w:id="499"/>
    </w:p>
    <w:p w14:paraId="7DB4D036" w14:textId="476EB2FE" w:rsidR="00872C03" w:rsidRPr="00883399" w:rsidRDefault="00872C03" w:rsidP="00872C03">
      <w:pPr>
        <w:pStyle w:val="ActHead5"/>
        <w:rPr>
          <w:sz w:val="28"/>
        </w:rPr>
      </w:pPr>
      <w:bookmarkStart w:id="500" w:name="_Toc423516895"/>
      <w:bookmarkStart w:id="501" w:name="_Toc495652814"/>
      <w:r w:rsidRPr="00883399">
        <w:rPr>
          <w:rStyle w:val="CharSectno"/>
          <w:sz w:val="28"/>
        </w:rPr>
        <w:t>3.30</w:t>
      </w:r>
      <w:r w:rsidRPr="00883399">
        <w:rPr>
          <w:sz w:val="28"/>
        </w:rPr>
        <w:t xml:space="preserve">  Application</w:t>
      </w:r>
      <w:bookmarkEnd w:id="500"/>
      <w:bookmarkEnd w:id="501"/>
    </w:p>
    <w:p w14:paraId="1CA4A81F" w14:textId="77777777" w:rsidR="00872C03" w:rsidRPr="00883399" w:rsidRDefault="00872C03" w:rsidP="00872C03">
      <w:pPr>
        <w:pStyle w:val="subsection"/>
        <w:rPr>
          <w:sz w:val="24"/>
        </w:rPr>
      </w:pPr>
      <w:r w:rsidRPr="00883399">
        <w:rPr>
          <w:sz w:val="24"/>
        </w:rPr>
        <w:tab/>
      </w:r>
      <w:r w:rsidRPr="00883399">
        <w:rPr>
          <w:sz w:val="24"/>
        </w:rPr>
        <w:tab/>
        <w:t>This Division applies to fugitive emissions from decommissioned underground mines that have been closed for a continuous period of at least 1 year but less than 20 years.</w:t>
      </w:r>
    </w:p>
    <w:p w14:paraId="73D27484" w14:textId="70116E25" w:rsidR="00872C03" w:rsidRPr="00883399" w:rsidRDefault="00872C03" w:rsidP="00872C03">
      <w:pPr>
        <w:pStyle w:val="ActHead5"/>
        <w:rPr>
          <w:sz w:val="28"/>
        </w:rPr>
      </w:pPr>
      <w:bookmarkStart w:id="502" w:name="_Toc423516896"/>
      <w:bookmarkStart w:id="503" w:name="_Toc495652815"/>
      <w:r w:rsidRPr="00883399">
        <w:rPr>
          <w:rStyle w:val="CharSectno"/>
          <w:sz w:val="28"/>
        </w:rPr>
        <w:t>3.31</w:t>
      </w:r>
      <w:r w:rsidRPr="00883399">
        <w:rPr>
          <w:sz w:val="28"/>
        </w:rPr>
        <w:t xml:space="preserve">  Available methods</w:t>
      </w:r>
      <w:bookmarkEnd w:id="502"/>
      <w:bookmarkEnd w:id="503"/>
    </w:p>
    <w:p w14:paraId="6BCCE230" w14:textId="77777777" w:rsidR="00872C03" w:rsidRPr="00883399" w:rsidRDefault="00872C03" w:rsidP="00872C03">
      <w:pPr>
        <w:pStyle w:val="subsection"/>
        <w:rPr>
          <w:sz w:val="24"/>
        </w:rPr>
      </w:pPr>
      <w:r w:rsidRPr="00883399">
        <w:rPr>
          <w:sz w:val="24"/>
        </w:rPr>
        <w:tab/>
        <w:t>(1)</w:t>
      </w:r>
      <w:r w:rsidRPr="00883399">
        <w:rPr>
          <w:sz w:val="24"/>
        </w:rPr>
        <w:tab/>
        <w:t>Subject to section 1.18, for estimating emissions released during a year from the operation of a facility that is constituted by a decommissioned underground mine that has been closed for a continuous period of at least 1 year but less than 20 years the methods as set out in this section must be used.</w:t>
      </w:r>
    </w:p>
    <w:p w14:paraId="2E0E3D8E" w14:textId="77777777" w:rsidR="00872C03" w:rsidRPr="00883399" w:rsidRDefault="00872C03" w:rsidP="00872C03">
      <w:pPr>
        <w:pStyle w:val="SubsectionHead"/>
        <w:rPr>
          <w:sz w:val="24"/>
        </w:rPr>
      </w:pPr>
      <w:r w:rsidRPr="00883399">
        <w:rPr>
          <w:sz w:val="24"/>
        </w:rPr>
        <w:t>Methane from decommissioned mines</w:t>
      </w:r>
    </w:p>
    <w:p w14:paraId="735C3CA3" w14:textId="77777777" w:rsidR="00872C03" w:rsidRPr="00883399" w:rsidRDefault="00872C03" w:rsidP="00872C03">
      <w:pPr>
        <w:pStyle w:val="subsection"/>
        <w:rPr>
          <w:sz w:val="24"/>
        </w:rPr>
      </w:pPr>
      <w:r w:rsidRPr="00883399">
        <w:rPr>
          <w:sz w:val="24"/>
        </w:rPr>
        <w:tab/>
        <w:t>(2)</w:t>
      </w:r>
      <w:r w:rsidRPr="00883399">
        <w:rPr>
          <w:sz w:val="24"/>
        </w:rPr>
        <w:tab/>
        <w:t>One of the following methods must be used for estimating fugitive emissions of methane that result from the mine:</w:t>
      </w:r>
    </w:p>
    <w:p w14:paraId="348F2111" w14:textId="77777777" w:rsidR="00872C03" w:rsidRPr="00883399" w:rsidRDefault="00872C03" w:rsidP="00872C03">
      <w:pPr>
        <w:pStyle w:val="paragraph"/>
        <w:rPr>
          <w:sz w:val="24"/>
        </w:rPr>
      </w:pPr>
      <w:r w:rsidRPr="00883399">
        <w:rPr>
          <w:sz w:val="24"/>
        </w:rPr>
        <w:tab/>
        <w:t>(a)</w:t>
      </w:r>
      <w:r w:rsidRPr="00883399">
        <w:rPr>
          <w:sz w:val="24"/>
        </w:rPr>
        <w:tab/>
        <w:t>subject to subsection (6), method 1 under section 3.32;</w:t>
      </w:r>
    </w:p>
    <w:p w14:paraId="71F459B9" w14:textId="77777777" w:rsidR="00872C03" w:rsidRPr="00883399" w:rsidRDefault="00872C03" w:rsidP="00872C03">
      <w:pPr>
        <w:pStyle w:val="paragraph"/>
        <w:rPr>
          <w:sz w:val="24"/>
        </w:rPr>
      </w:pPr>
      <w:r w:rsidRPr="00883399">
        <w:rPr>
          <w:sz w:val="24"/>
        </w:rPr>
        <w:tab/>
        <w:t>(b)</w:t>
      </w:r>
      <w:r w:rsidRPr="00883399">
        <w:rPr>
          <w:sz w:val="24"/>
        </w:rPr>
        <w:tab/>
        <w:t>method 4 under section 3.37.</w:t>
      </w:r>
    </w:p>
    <w:p w14:paraId="4622F229" w14:textId="77777777" w:rsidR="00872C03" w:rsidRPr="00883399" w:rsidRDefault="00872C03" w:rsidP="00872C03">
      <w:pPr>
        <w:pStyle w:val="notetext"/>
        <w:rPr>
          <w:sz w:val="20"/>
        </w:rPr>
      </w:pPr>
      <w:r w:rsidRPr="00883399">
        <w:rPr>
          <w:sz w:val="20"/>
        </w:rPr>
        <w:t>Note:</w:t>
      </w:r>
      <w:r w:rsidRPr="00883399">
        <w:rPr>
          <w:sz w:val="20"/>
        </w:rPr>
        <w:tab/>
        <w:t>There is no method 2 or 3 for subsection (2).</w:t>
      </w:r>
    </w:p>
    <w:p w14:paraId="45B0F4B9" w14:textId="77777777" w:rsidR="00872C03" w:rsidRPr="00883399" w:rsidRDefault="00872C03" w:rsidP="00872C03">
      <w:pPr>
        <w:pStyle w:val="SubsectionHead"/>
        <w:rPr>
          <w:sz w:val="24"/>
        </w:rPr>
      </w:pPr>
      <w:r w:rsidRPr="00883399">
        <w:rPr>
          <w:sz w:val="24"/>
        </w:rPr>
        <w:t>Carbon dioxide from decommissioned mines</w:t>
      </w:r>
    </w:p>
    <w:p w14:paraId="30A93147" w14:textId="77777777" w:rsidR="00872C03" w:rsidRPr="00883399" w:rsidRDefault="00872C03" w:rsidP="00872C03">
      <w:pPr>
        <w:pStyle w:val="subsection"/>
        <w:rPr>
          <w:sz w:val="24"/>
        </w:rPr>
      </w:pPr>
      <w:r w:rsidRPr="00883399">
        <w:rPr>
          <w:sz w:val="24"/>
        </w:rPr>
        <w:tab/>
        <w:t>(3)</w:t>
      </w:r>
      <w:r w:rsidRPr="00883399">
        <w:rPr>
          <w:sz w:val="24"/>
        </w:rPr>
        <w:tab/>
        <w:t>If method 4 under section 3.37 is used under subsection (2), that method must be used for estimating fugitive emissions of carbon dioxide that result from the mine.</w:t>
      </w:r>
    </w:p>
    <w:p w14:paraId="65D442FD" w14:textId="77777777" w:rsidR="00872C03" w:rsidRPr="00883399" w:rsidRDefault="00872C03" w:rsidP="00872C03">
      <w:pPr>
        <w:pStyle w:val="notetext"/>
        <w:rPr>
          <w:sz w:val="20"/>
        </w:rPr>
      </w:pPr>
      <w:r w:rsidRPr="00883399">
        <w:rPr>
          <w:sz w:val="20"/>
        </w:rPr>
        <w:t>Note:</w:t>
      </w:r>
      <w:r w:rsidRPr="00883399">
        <w:rPr>
          <w:sz w:val="20"/>
        </w:rPr>
        <w:tab/>
        <w:t>There is no method 1, 2 or 3 for subsection (3).</w:t>
      </w:r>
    </w:p>
    <w:p w14:paraId="1B1AC7B8" w14:textId="77777777" w:rsidR="00872C03" w:rsidRPr="00883399" w:rsidRDefault="00872C03" w:rsidP="00872C03">
      <w:pPr>
        <w:pStyle w:val="SubsectionHead"/>
        <w:rPr>
          <w:sz w:val="24"/>
        </w:rPr>
      </w:pPr>
      <w:r w:rsidRPr="00883399">
        <w:rPr>
          <w:sz w:val="24"/>
        </w:rPr>
        <w:t>Flaring</w:t>
      </w:r>
    </w:p>
    <w:p w14:paraId="6D6C8F38" w14:textId="77777777" w:rsidR="00872C03" w:rsidRPr="00883399" w:rsidRDefault="00872C03" w:rsidP="00872C03">
      <w:pPr>
        <w:pStyle w:val="subsection"/>
        <w:rPr>
          <w:sz w:val="24"/>
        </w:rPr>
      </w:pPr>
      <w:r w:rsidRPr="00883399">
        <w:rPr>
          <w:sz w:val="24"/>
        </w:rPr>
        <w:tab/>
        <w:t>(4)</w:t>
      </w:r>
      <w:r w:rsidRPr="00883399">
        <w:rPr>
          <w:sz w:val="24"/>
        </w:rPr>
        <w:tab/>
        <w:t>For estimating emissions released from coal mine waste gas flared from the mine:</w:t>
      </w:r>
    </w:p>
    <w:p w14:paraId="78BF4C14" w14:textId="77777777" w:rsidR="00872C03" w:rsidRPr="00883399" w:rsidRDefault="00872C03" w:rsidP="00872C03">
      <w:pPr>
        <w:pStyle w:val="paragraph"/>
        <w:rPr>
          <w:sz w:val="24"/>
        </w:rPr>
      </w:pPr>
      <w:r w:rsidRPr="00883399">
        <w:rPr>
          <w:sz w:val="24"/>
        </w:rPr>
        <w:lastRenderedPageBreak/>
        <w:tab/>
        <w:t>(a)</w:t>
      </w:r>
      <w:r w:rsidRPr="00883399">
        <w:rPr>
          <w:sz w:val="24"/>
        </w:rPr>
        <w:tab/>
        <w:t>one of the following methods must be used for estimating emissions of carbon dioxide released:</w:t>
      </w:r>
    </w:p>
    <w:p w14:paraId="5DD69B77" w14:textId="77777777" w:rsidR="00872C03" w:rsidRPr="00883399" w:rsidRDefault="00872C03" w:rsidP="00872C03">
      <w:pPr>
        <w:pStyle w:val="paragraphsub"/>
        <w:rPr>
          <w:sz w:val="24"/>
        </w:rPr>
      </w:pPr>
      <w:r w:rsidRPr="00883399">
        <w:rPr>
          <w:sz w:val="24"/>
        </w:rPr>
        <w:tab/>
        <w:t>(i)</w:t>
      </w:r>
      <w:r w:rsidRPr="00883399">
        <w:rPr>
          <w:sz w:val="24"/>
        </w:rPr>
        <w:tab/>
        <w:t>method 1 under section 3.38;</w:t>
      </w:r>
    </w:p>
    <w:p w14:paraId="0D171C58" w14:textId="77777777" w:rsidR="00872C03" w:rsidRPr="00883399" w:rsidRDefault="00872C03" w:rsidP="00872C03">
      <w:pPr>
        <w:pStyle w:val="paragraphsub"/>
        <w:rPr>
          <w:sz w:val="24"/>
        </w:rPr>
      </w:pPr>
      <w:r w:rsidRPr="00883399">
        <w:rPr>
          <w:sz w:val="24"/>
        </w:rPr>
        <w:tab/>
        <w:t>(ii)</w:t>
      </w:r>
      <w:r w:rsidRPr="00883399">
        <w:rPr>
          <w:sz w:val="24"/>
        </w:rPr>
        <w:tab/>
        <w:t>method 2 under section 3.39;</w:t>
      </w:r>
    </w:p>
    <w:p w14:paraId="4AA715F7" w14:textId="77777777" w:rsidR="00872C03" w:rsidRPr="00883399" w:rsidRDefault="00872C03" w:rsidP="00872C03">
      <w:pPr>
        <w:pStyle w:val="paragraphsub"/>
        <w:rPr>
          <w:sz w:val="24"/>
        </w:rPr>
      </w:pPr>
      <w:r w:rsidRPr="00883399">
        <w:rPr>
          <w:sz w:val="24"/>
        </w:rPr>
        <w:tab/>
        <w:t>(iii)</w:t>
      </w:r>
      <w:r w:rsidRPr="00883399">
        <w:rPr>
          <w:sz w:val="24"/>
        </w:rPr>
        <w:tab/>
        <w:t>method 3 under section 3.40; and</w:t>
      </w:r>
    </w:p>
    <w:p w14:paraId="07026ED7" w14:textId="77777777" w:rsidR="00872C03" w:rsidRPr="00883399" w:rsidRDefault="00872C03" w:rsidP="00872C03">
      <w:pPr>
        <w:pStyle w:val="paragraph"/>
        <w:rPr>
          <w:sz w:val="24"/>
        </w:rPr>
      </w:pPr>
      <w:r w:rsidRPr="00883399">
        <w:rPr>
          <w:sz w:val="24"/>
        </w:rPr>
        <w:tab/>
        <w:t>(b)</w:t>
      </w:r>
      <w:r w:rsidRPr="00883399">
        <w:rPr>
          <w:sz w:val="24"/>
        </w:rPr>
        <w:tab/>
        <w:t>method 1 under section 3.38 must be used for estimating emissions of methane released.</w:t>
      </w:r>
    </w:p>
    <w:p w14:paraId="0362D3E0" w14:textId="77777777" w:rsidR="00872C03" w:rsidRPr="00883399" w:rsidRDefault="00872C03" w:rsidP="00872C03">
      <w:pPr>
        <w:pStyle w:val="paragraph"/>
        <w:rPr>
          <w:sz w:val="24"/>
        </w:rPr>
      </w:pPr>
      <w:r w:rsidRPr="00883399">
        <w:rPr>
          <w:sz w:val="24"/>
        </w:rPr>
        <w:tab/>
        <w:t>(c)</w:t>
      </w:r>
      <w:r w:rsidRPr="00883399">
        <w:rPr>
          <w:sz w:val="24"/>
        </w:rPr>
        <w:tab/>
        <w:t>method 1 under section 3.38 must be used for estimating emissions of nitrous oxide released.</w:t>
      </w:r>
    </w:p>
    <w:p w14:paraId="0166DA79" w14:textId="77777777" w:rsidR="00872C03" w:rsidRPr="00883399" w:rsidRDefault="00872C03" w:rsidP="00872C03">
      <w:pPr>
        <w:pStyle w:val="notetext"/>
        <w:rPr>
          <w:sz w:val="20"/>
        </w:rPr>
      </w:pPr>
      <w:r w:rsidRPr="00883399">
        <w:rPr>
          <w:sz w:val="20"/>
        </w:rPr>
        <w:t>Note:</w:t>
      </w:r>
      <w:r w:rsidRPr="00883399">
        <w:rPr>
          <w:sz w:val="20"/>
        </w:rPr>
        <w:tab/>
        <w:t xml:space="preserve">The flaring of coal mine waste gas releases emissions of carbon dioxide, methane and nitrous oxide. The same formula is used to estimate emissions of each of these gases. There is no method 4 for emissions of carbon dioxide, no method 2, 3 or 4 for emissions of methane and no method 2, 3 or 4 for nitrous oxide. </w:t>
      </w:r>
    </w:p>
    <w:p w14:paraId="61D7F9DE" w14:textId="77777777" w:rsidR="00872C03" w:rsidRPr="00883399" w:rsidRDefault="00872C03" w:rsidP="00872C03">
      <w:pPr>
        <w:pStyle w:val="subsection"/>
        <w:rPr>
          <w:sz w:val="24"/>
        </w:rPr>
      </w:pPr>
      <w:r w:rsidRPr="00883399">
        <w:rPr>
          <w:sz w:val="24"/>
        </w:rPr>
        <w:tab/>
        <w:t>(5)</w:t>
      </w:r>
      <w:r w:rsidRPr="00883399">
        <w:rPr>
          <w:sz w:val="24"/>
        </w:rPr>
        <w:tab/>
        <w:t>However, for incidental emissions another method may be used that is consistent with the principles in section 1.13.</w:t>
      </w:r>
    </w:p>
    <w:p w14:paraId="3599B668" w14:textId="77777777" w:rsidR="00872C03" w:rsidRPr="00883399" w:rsidRDefault="00872C03" w:rsidP="00872C03">
      <w:pPr>
        <w:pStyle w:val="subsection"/>
        <w:rPr>
          <w:sz w:val="24"/>
        </w:rPr>
      </w:pPr>
      <w:r w:rsidRPr="00883399">
        <w:rPr>
          <w:sz w:val="24"/>
        </w:rPr>
        <w:tab/>
        <w:t>(6)</w:t>
      </w:r>
      <w:r w:rsidRPr="00883399">
        <w:rPr>
          <w:sz w:val="24"/>
        </w:rPr>
        <w:tab/>
        <w:t>If coal mine waste gas from the decommissioned underground mine is captured for combustion during the year, method 1 in subsection (2) must not be used.</w:t>
      </w:r>
    </w:p>
    <w:p w14:paraId="64F78347" w14:textId="77777777" w:rsidR="00872C03" w:rsidRPr="00883399" w:rsidRDefault="00872C03" w:rsidP="00872C03">
      <w:pPr>
        <w:pStyle w:val="R2"/>
        <w:keepNext/>
        <w:tabs>
          <w:tab w:val="clear" w:pos="794"/>
          <w:tab w:val="right" w:pos="720"/>
        </w:tabs>
        <w:ind w:left="907" w:firstLine="0"/>
        <w:rPr>
          <w:b/>
        </w:rPr>
      </w:pPr>
      <w:r w:rsidRPr="00883399">
        <w:rPr>
          <w:b/>
        </w:rPr>
        <w:lastRenderedPageBreak/>
        <w:t>Summary of available methods for estimating emissions from decommissioned mines, by emissions of gas type (j)</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634"/>
        <w:gridCol w:w="1861"/>
        <w:gridCol w:w="1647"/>
      </w:tblGrid>
      <w:tr w:rsidR="00872C03" w:rsidRPr="00883399" w14:paraId="3C7CC41E" w14:textId="77777777" w:rsidTr="0031057E">
        <w:tc>
          <w:tcPr>
            <w:tcW w:w="2160" w:type="dxa"/>
            <w:shd w:val="clear" w:color="auto" w:fill="E6E6E6"/>
          </w:tcPr>
          <w:p w14:paraId="06743049" w14:textId="77777777" w:rsidR="00872C03" w:rsidRPr="00883399" w:rsidRDefault="00872C03" w:rsidP="0031057E">
            <w:pPr>
              <w:pStyle w:val="R2"/>
              <w:keepNext/>
              <w:ind w:left="0" w:firstLine="0"/>
              <w:rPr>
                <w:sz w:val="20"/>
                <w:szCs w:val="20"/>
              </w:rPr>
            </w:pPr>
          </w:p>
        </w:tc>
        <w:tc>
          <w:tcPr>
            <w:tcW w:w="1680" w:type="dxa"/>
            <w:shd w:val="clear" w:color="auto" w:fill="E6E6E6"/>
          </w:tcPr>
          <w:p w14:paraId="326D0CCE" w14:textId="77777777" w:rsidR="00872C03" w:rsidRPr="00883399" w:rsidRDefault="00872C03" w:rsidP="0031057E">
            <w:pPr>
              <w:pStyle w:val="R2"/>
              <w:keepNext/>
              <w:ind w:left="0" w:firstLine="0"/>
              <w:jc w:val="center"/>
              <w:rPr>
                <w:sz w:val="20"/>
                <w:szCs w:val="20"/>
              </w:rPr>
            </w:pPr>
            <w:r w:rsidRPr="00883399">
              <w:rPr>
                <w:sz w:val="20"/>
                <w:szCs w:val="20"/>
              </w:rPr>
              <w:t>CO</w:t>
            </w:r>
            <w:r w:rsidRPr="00883399">
              <w:rPr>
                <w:sz w:val="20"/>
                <w:szCs w:val="20"/>
                <w:vertAlign w:val="subscript"/>
              </w:rPr>
              <w:t>2</w:t>
            </w:r>
          </w:p>
        </w:tc>
        <w:tc>
          <w:tcPr>
            <w:tcW w:w="1920" w:type="dxa"/>
            <w:shd w:val="clear" w:color="auto" w:fill="E6E6E6"/>
          </w:tcPr>
          <w:p w14:paraId="1C90FBBA" w14:textId="77777777" w:rsidR="00872C03" w:rsidRPr="00883399" w:rsidRDefault="00872C03" w:rsidP="0031057E">
            <w:pPr>
              <w:pStyle w:val="R2"/>
              <w:keepNext/>
              <w:ind w:left="0" w:firstLine="0"/>
              <w:jc w:val="center"/>
              <w:rPr>
                <w:sz w:val="20"/>
                <w:szCs w:val="20"/>
              </w:rPr>
            </w:pPr>
            <w:r w:rsidRPr="00883399">
              <w:rPr>
                <w:sz w:val="20"/>
                <w:szCs w:val="20"/>
              </w:rPr>
              <w:t>CH</w:t>
            </w:r>
            <w:r w:rsidRPr="00883399">
              <w:rPr>
                <w:sz w:val="20"/>
                <w:szCs w:val="20"/>
                <w:vertAlign w:val="subscript"/>
              </w:rPr>
              <w:t>4</w:t>
            </w:r>
          </w:p>
        </w:tc>
        <w:tc>
          <w:tcPr>
            <w:tcW w:w="1694" w:type="dxa"/>
            <w:shd w:val="clear" w:color="auto" w:fill="E6E6E6"/>
          </w:tcPr>
          <w:p w14:paraId="0115CD97" w14:textId="77777777" w:rsidR="00872C03" w:rsidRPr="00883399" w:rsidRDefault="00872C03" w:rsidP="0031057E">
            <w:pPr>
              <w:pStyle w:val="R2"/>
              <w:keepNext/>
              <w:ind w:left="0" w:firstLine="0"/>
              <w:jc w:val="center"/>
              <w:rPr>
                <w:sz w:val="20"/>
                <w:szCs w:val="20"/>
              </w:rPr>
            </w:pPr>
            <w:r w:rsidRPr="00883399">
              <w:rPr>
                <w:sz w:val="20"/>
                <w:szCs w:val="20"/>
              </w:rPr>
              <w:t>N</w:t>
            </w:r>
            <w:r w:rsidRPr="00883399">
              <w:rPr>
                <w:sz w:val="20"/>
                <w:szCs w:val="20"/>
                <w:vertAlign w:val="subscript"/>
              </w:rPr>
              <w:t>2</w:t>
            </w:r>
            <w:r w:rsidRPr="00883399">
              <w:rPr>
                <w:sz w:val="20"/>
                <w:szCs w:val="20"/>
              </w:rPr>
              <w:t>O</w:t>
            </w:r>
          </w:p>
        </w:tc>
      </w:tr>
      <w:tr w:rsidR="00872C03" w:rsidRPr="00883399" w14:paraId="56FFB086" w14:textId="77777777" w:rsidTr="0031057E">
        <w:tc>
          <w:tcPr>
            <w:tcW w:w="7454" w:type="dxa"/>
            <w:gridSpan w:val="4"/>
          </w:tcPr>
          <w:p w14:paraId="197C7776" w14:textId="77777777" w:rsidR="00872C03" w:rsidRPr="00883399" w:rsidRDefault="00872C03" w:rsidP="0031057E">
            <w:pPr>
              <w:pStyle w:val="R2"/>
              <w:keepNext/>
              <w:spacing w:before="120"/>
              <w:ind w:left="0" w:firstLine="0"/>
              <w:jc w:val="left"/>
              <w:rPr>
                <w:sz w:val="20"/>
                <w:szCs w:val="20"/>
              </w:rPr>
            </w:pPr>
            <w:r w:rsidRPr="00883399">
              <w:rPr>
                <w:i/>
                <w:sz w:val="20"/>
                <w:szCs w:val="20"/>
              </w:rPr>
              <w:t>Underground decommissioned mines</w:t>
            </w:r>
          </w:p>
        </w:tc>
      </w:tr>
      <w:tr w:rsidR="00872C03" w:rsidRPr="00883399" w14:paraId="4FA02786" w14:textId="77777777" w:rsidTr="0031057E">
        <w:tc>
          <w:tcPr>
            <w:tcW w:w="2160" w:type="dxa"/>
          </w:tcPr>
          <w:p w14:paraId="2A23E989" w14:textId="77777777" w:rsidR="00872C03" w:rsidRPr="00883399" w:rsidRDefault="00872C03" w:rsidP="0031057E">
            <w:pPr>
              <w:pStyle w:val="R2"/>
              <w:keepNext/>
              <w:spacing w:before="120"/>
              <w:ind w:left="0" w:firstLine="0"/>
              <w:rPr>
                <w:sz w:val="20"/>
                <w:szCs w:val="20"/>
              </w:rPr>
            </w:pPr>
            <w:r w:rsidRPr="00883399">
              <w:rPr>
                <w:sz w:val="20"/>
                <w:szCs w:val="20"/>
              </w:rPr>
              <w:t>Method 1</w:t>
            </w:r>
          </w:p>
        </w:tc>
        <w:tc>
          <w:tcPr>
            <w:tcW w:w="1680" w:type="dxa"/>
          </w:tcPr>
          <w:p w14:paraId="3EC2F2FA" w14:textId="77777777" w:rsidR="00872C03" w:rsidRPr="00883399" w:rsidRDefault="00872C03" w:rsidP="0031057E">
            <w:pPr>
              <w:pStyle w:val="R2"/>
              <w:keepNext/>
              <w:spacing w:before="120"/>
              <w:ind w:left="0" w:firstLine="0"/>
              <w:jc w:val="center"/>
              <w:rPr>
                <w:sz w:val="20"/>
                <w:szCs w:val="20"/>
              </w:rPr>
            </w:pPr>
            <w:r w:rsidRPr="00883399">
              <w:rPr>
                <w:sz w:val="20"/>
                <w:szCs w:val="20"/>
              </w:rPr>
              <w:t>NA</w:t>
            </w:r>
          </w:p>
        </w:tc>
        <w:tc>
          <w:tcPr>
            <w:tcW w:w="1920" w:type="dxa"/>
          </w:tcPr>
          <w:p w14:paraId="57F0423A" w14:textId="77777777" w:rsidR="00872C03" w:rsidRPr="00883399" w:rsidRDefault="00872C03" w:rsidP="0031057E">
            <w:pPr>
              <w:pStyle w:val="R2"/>
              <w:keepNext/>
              <w:spacing w:before="120"/>
              <w:ind w:left="0" w:firstLine="0"/>
              <w:jc w:val="center"/>
              <w:rPr>
                <w:sz w:val="20"/>
                <w:szCs w:val="20"/>
              </w:rPr>
            </w:pPr>
            <w:r w:rsidRPr="00883399">
              <w:rPr>
                <w:sz w:val="20"/>
                <w:szCs w:val="20"/>
              </w:rPr>
              <w:t>Section 3.32</w:t>
            </w:r>
          </w:p>
        </w:tc>
        <w:tc>
          <w:tcPr>
            <w:tcW w:w="1694" w:type="dxa"/>
          </w:tcPr>
          <w:p w14:paraId="37298A01" w14:textId="77777777" w:rsidR="00872C03" w:rsidRPr="00883399" w:rsidRDefault="00872C03" w:rsidP="0031057E">
            <w:pPr>
              <w:pStyle w:val="R2"/>
              <w:keepNext/>
              <w:spacing w:before="120"/>
              <w:ind w:left="0" w:firstLine="0"/>
              <w:jc w:val="center"/>
              <w:rPr>
                <w:sz w:val="20"/>
                <w:szCs w:val="20"/>
              </w:rPr>
            </w:pPr>
            <w:r w:rsidRPr="00883399">
              <w:rPr>
                <w:sz w:val="20"/>
                <w:szCs w:val="20"/>
              </w:rPr>
              <w:t>NO</w:t>
            </w:r>
          </w:p>
        </w:tc>
      </w:tr>
      <w:tr w:rsidR="00872C03" w:rsidRPr="00883399" w14:paraId="356E5D81" w14:textId="77777777" w:rsidTr="0031057E">
        <w:tc>
          <w:tcPr>
            <w:tcW w:w="2160" w:type="dxa"/>
          </w:tcPr>
          <w:p w14:paraId="4E190D61" w14:textId="77777777" w:rsidR="00872C03" w:rsidRPr="00883399" w:rsidRDefault="00872C03" w:rsidP="0031057E">
            <w:pPr>
              <w:pStyle w:val="R2"/>
              <w:keepNext/>
              <w:spacing w:before="120"/>
              <w:ind w:left="0" w:firstLine="0"/>
              <w:rPr>
                <w:sz w:val="20"/>
                <w:szCs w:val="20"/>
              </w:rPr>
            </w:pPr>
            <w:r w:rsidRPr="00883399">
              <w:rPr>
                <w:sz w:val="20"/>
                <w:szCs w:val="20"/>
              </w:rPr>
              <w:t>Methods 2, 3</w:t>
            </w:r>
          </w:p>
        </w:tc>
        <w:tc>
          <w:tcPr>
            <w:tcW w:w="1680" w:type="dxa"/>
          </w:tcPr>
          <w:p w14:paraId="322329F1" w14:textId="77777777" w:rsidR="00872C03" w:rsidRPr="00883399" w:rsidRDefault="00872C03" w:rsidP="0031057E">
            <w:pPr>
              <w:pStyle w:val="R2"/>
              <w:keepNext/>
              <w:spacing w:before="120"/>
              <w:ind w:left="0" w:firstLine="0"/>
              <w:jc w:val="center"/>
              <w:rPr>
                <w:sz w:val="20"/>
                <w:szCs w:val="20"/>
              </w:rPr>
            </w:pPr>
            <w:r w:rsidRPr="00883399">
              <w:rPr>
                <w:sz w:val="20"/>
                <w:szCs w:val="20"/>
              </w:rPr>
              <w:t>NA</w:t>
            </w:r>
          </w:p>
        </w:tc>
        <w:tc>
          <w:tcPr>
            <w:tcW w:w="1920" w:type="dxa"/>
          </w:tcPr>
          <w:p w14:paraId="0A0CC504" w14:textId="77777777" w:rsidR="00872C03" w:rsidRPr="00883399" w:rsidRDefault="00872C03" w:rsidP="0031057E">
            <w:pPr>
              <w:pStyle w:val="R2"/>
              <w:keepNext/>
              <w:spacing w:before="120"/>
              <w:ind w:left="0" w:firstLine="0"/>
              <w:jc w:val="center"/>
              <w:rPr>
                <w:sz w:val="20"/>
                <w:szCs w:val="20"/>
              </w:rPr>
            </w:pPr>
            <w:r w:rsidRPr="00883399">
              <w:rPr>
                <w:sz w:val="20"/>
                <w:szCs w:val="20"/>
              </w:rPr>
              <w:t>NA</w:t>
            </w:r>
          </w:p>
        </w:tc>
        <w:tc>
          <w:tcPr>
            <w:tcW w:w="1694" w:type="dxa"/>
          </w:tcPr>
          <w:p w14:paraId="26EEE25A" w14:textId="77777777" w:rsidR="00872C03" w:rsidRPr="00883399" w:rsidRDefault="00872C03" w:rsidP="0031057E">
            <w:pPr>
              <w:pStyle w:val="R2"/>
              <w:keepNext/>
              <w:spacing w:before="120"/>
              <w:ind w:left="0" w:firstLine="0"/>
              <w:jc w:val="center"/>
              <w:rPr>
                <w:sz w:val="20"/>
                <w:szCs w:val="20"/>
              </w:rPr>
            </w:pPr>
            <w:r w:rsidRPr="00883399">
              <w:rPr>
                <w:sz w:val="20"/>
                <w:szCs w:val="20"/>
              </w:rPr>
              <w:t>NO</w:t>
            </w:r>
          </w:p>
        </w:tc>
      </w:tr>
      <w:tr w:rsidR="00872C03" w:rsidRPr="00883399" w14:paraId="5FE65D99" w14:textId="77777777" w:rsidTr="0031057E">
        <w:tc>
          <w:tcPr>
            <w:tcW w:w="2160" w:type="dxa"/>
          </w:tcPr>
          <w:p w14:paraId="6605EA4A" w14:textId="77777777" w:rsidR="00872C03" w:rsidRPr="00883399" w:rsidRDefault="00872C03" w:rsidP="0031057E">
            <w:pPr>
              <w:pStyle w:val="R2"/>
              <w:keepNext/>
              <w:spacing w:before="120"/>
              <w:ind w:left="0" w:firstLine="0"/>
              <w:rPr>
                <w:sz w:val="20"/>
                <w:szCs w:val="20"/>
              </w:rPr>
            </w:pPr>
            <w:r w:rsidRPr="00883399">
              <w:rPr>
                <w:sz w:val="20"/>
                <w:szCs w:val="20"/>
              </w:rPr>
              <w:t>Method 4</w:t>
            </w:r>
          </w:p>
        </w:tc>
        <w:tc>
          <w:tcPr>
            <w:tcW w:w="1680" w:type="dxa"/>
          </w:tcPr>
          <w:p w14:paraId="0BF9FD37" w14:textId="77777777" w:rsidR="00872C03" w:rsidRPr="00883399" w:rsidRDefault="00872C03" w:rsidP="0031057E">
            <w:pPr>
              <w:pStyle w:val="R2"/>
              <w:keepNext/>
              <w:spacing w:before="120"/>
              <w:ind w:left="0" w:firstLine="0"/>
              <w:jc w:val="center"/>
              <w:rPr>
                <w:sz w:val="20"/>
                <w:szCs w:val="20"/>
              </w:rPr>
            </w:pPr>
            <w:r w:rsidRPr="00883399">
              <w:rPr>
                <w:sz w:val="20"/>
                <w:szCs w:val="20"/>
              </w:rPr>
              <w:t>Section 3.37</w:t>
            </w:r>
          </w:p>
        </w:tc>
        <w:tc>
          <w:tcPr>
            <w:tcW w:w="1920" w:type="dxa"/>
          </w:tcPr>
          <w:p w14:paraId="1073E2C7" w14:textId="77777777" w:rsidR="00872C03" w:rsidRPr="00883399" w:rsidRDefault="00872C03" w:rsidP="0031057E">
            <w:pPr>
              <w:pStyle w:val="R2"/>
              <w:keepNext/>
              <w:spacing w:before="120"/>
              <w:ind w:left="0" w:firstLine="0"/>
              <w:jc w:val="center"/>
              <w:rPr>
                <w:sz w:val="20"/>
                <w:szCs w:val="20"/>
              </w:rPr>
            </w:pPr>
            <w:r w:rsidRPr="00883399">
              <w:rPr>
                <w:sz w:val="20"/>
                <w:szCs w:val="20"/>
              </w:rPr>
              <w:t>Section 3.37</w:t>
            </w:r>
          </w:p>
        </w:tc>
        <w:tc>
          <w:tcPr>
            <w:tcW w:w="1694" w:type="dxa"/>
          </w:tcPr>
          <w:p w14:paraId="48CF9DD2" w14:textId="77777777" w:rsidR="00872C03" w:rsidRPr="00883399" w:rsidRDefault="00872C03" w:rsidP="0031057E">
            <w:pPr>
              <w:pStyle w:val="R2"/>
              <w:keepNext/>
              <w:spacing w:before="120"/>
              <w:ind w:left="0" w:firstLine="0"/>
              <w:jc w:val="center"/>
              <w:rPr>
                <w:sz w:val="20"/>
                <w:szCs w:val="20"/>
              </w:rPr>
            </w:pPr>
            <w:r w:rsidRPr="00883399">
              <w:rPr>
                <w:sz w:val="20"/>
                <w:szCs w:val="20"/>
              </w:rPr>
              <w:t>NO</w:t>
            </w:r>
          </w:p>
        </w:tc>
      </w:tr>
      <w:tr w:rsidR="00872C03" w:rsidRPr="00883399" w14:paraId="0CAC1D2E" w14:textId="77777777" w:rsidTr="0031057E">
        <w:tc>
          <w:tcPr>
            <w:tcW w:w="7454" w:type="dxa"/>
            <w:gridSpan w:val="4"/>
          </w:tcPr>
          <w:p w14:paraId="23A1AE65" w14:textId="77777777" w:rsidR="00872C03" w:rsidRPr="00883399" w:rsidRDefault="00872C03" w:rsidP="0031057E">
            <w:pPr>
              <w:pStyle w:val="R2"/>
              <w:keepNext/>
              <w:spacing w:before="120"/>
              <w:ind w:left="0" w:firstLine="0"/>
              <w:jc w:val="left"/>
              <w:rPr>
                <w:sz w:val="20"/>
                <w:szCs w:val="20"/>
              </w:rPr>
            </w:pPr>
            <w:r w:rsidRPr="00883399">
              <w:rPr>
                <w:i/>
                <w:sz w:val="20"/>
                <w:szCs w:val="20"/>
              </w:rPr>
              <w:t>Flaring</w:t>
            </w:r>
          </w:p>
        </w:tc>
      </w:tr>
      <w:tr w:rsidR="00872C03" w:rsidRPr="00883399" w14:paraId="547A2C1D" w14:textId="77777777" w:rsidTr="0031057E">
        <w:tc>
          <w:tcPr>
            <w:tcW w:w="2160" w:type="dxa"/>
          </w:tcPr>
          <w:p w14:paraId="41E821F0" w14:textId="77777777" w:rsidR="00872C03" w:rsidRPr="00883399" w:rsidRDefault="00872C03" w:rsidP="0031057E">
            <w:pPr>
              <w:pStyle w:val="R2"/>
              <w:keepNext/>
              <w:spacing w:before="120"/>
              <w:ind w:left="0" w:firstLine="0"/>
              <w:rPr>
                <w:sz w:val="20"/>
                <w:szCs w:val="20"/>
              </w:rPr>
            </w:pPr>
            <w:r w:rsidRPr="00883399">
              <w:rPr>
                <w:sz w:val="20"/>
                <w:szCs w:val="20"/>
              </w:rPr>
              <w:t>Method 1</w:t>
            </w:r>
          </w:p>
        </w:tc>
        <w:tc>
          <w:tcPr>
            <w:tcW w:w="1680" w:type="dxa"/>
          </w:tcPr>
          <w:p w14:paraId="016ABED2" w14:textId="77777777" w:rsidR="00872C03" w:rsidRPr="00883399" w:rsidRDefault="00872C03" w:rsidP="0031057E">
            <w:pPr>
              <w:pStyle w:val="R2"/>
              <w:keepNext/>
              <w:spacing w:before="120"/>
              <w:ind w:left="0" w:firstLine="0"/>
              <w:jc w:val="center"/>
              <w:rPr>
                <w:sz w:val="20"/>
                <w:szCs w:val="20"/>
              </w:rPr>
            </w:pPr>
            <w:r w:rsidRPr="00883399">
              <w:rPr>
                <w:sz w:val="20"/>
                <w:szCs w:val="20"/>
              </w:rPr>
              <w:t>Section 3.38</w:t>
            </w:r>
          </w:p>
        </w:tc>
        <w:tc>
          <w:tcPr>
            <w:tcW w:w="1920" w:type="dxa"/>
          </w:tcPr>
          <w:p w14:paraId="77272E77" w14:textId="77777777" w:rsidR="00872C03" w:rsidRPr="00883399" w:rsidRDefault="00872C03" w:rsidP="0031057E">
            <w:pPr>
              <w:pStyle w:val="R2"/>
              <w:keepNext/>
              <w:spacing w:before="120"/>
              <w:ind w:left="0" w:firstLine="0"/>
              <w:jc w:val="center"/>
              <w:rPr>
                <w:sz w:val="20"/>
                <w:szCs w:val="20"/>
              </w:rPr>
            </w:pPr>
            <w:r w:rsidRPr="00883399">
              <w:rPr>
                <w:sz w:val="20"/>
                <w:szCs w:val="20"/>
              </w:rPr>
              <w:t>Section 3.38</w:t>
            </w:r>
          </w:p>
        </w:tc>
        <w:tc>
          <w:tcPr>
            <w:tcW w:w="1694" w:type="dxa"/>
          </w:tcPr>
          <w:p w14:paraId="352E8391" w14:textId="77777777" w:rsidR="00872C03" w:rsidRPr="00883399" w:rsidRDefault="00872C03" w:rsidP="0031057E">
            <w:pPr>
              <w:pStyle w:val="R2"/>
              <w:keepNext/>
              <w:spacing w:before="120"/>
              <w:ind w:left="0" w:firstLine="0"/>
              <w:jc w:val="center"/>
              <w:rPr>
                <w:sz w:val="20"/>
                <w:szCs w:val="20"/>
              </w:rPr>
            </w:pPr>
            <w:r w:rsidRPr="00883399">
              <w:rPr>
                <w:sz w:val="20"/>
                <w:szCs w:val="20"/>
              </w:rPr>
              <w:t>Section 3.38</w:t>
            </w:r>
          </w:p>
        </w:tc>
      </w:tr>
      <w:tr w:rsidR="00872C03" w:rsidRPr="00883399" w14:paraId="139BAF5A" w14:textId="77777777" w:rsidTr="0031057E">
        <w:tc>
          <w:tcPr>
            <w:tcW w:w="2160" w:type="dxa"/>
          </w:tcPr>
          <w:p w14:paraId="6DFB3796" w14:textId="77777777" w:rsidR="00872C03" w:rsidRPr="00883399" w:rsidRDefault="00872C03" w:rsidP="0031057E">
            <w:pPr>
              <w:pStyle w:val="R2"/>
              <w:keepNext/>
              <w:spacing w:before="120"/>
              <w:ind w:left="0" w:firstLine="0"/>
              <w:rPr>
                <w:sz w:val="20"/>
                <w:szCs w:val="20"/>
              </w:rPr>
            </w:pPr>
            <w:r w:rsidRPr="00883399">
              <w:rPr>
                <w:sz w:val="20"/>
                <w:szCs w:val="20"/>
              </w:rPr>
              <w:t>Method 2</w:t>
            </w:r>
          </w:p>
        </w:tc>
        <w:tc>
          <w:tcPr>
            <w:tcW w:w="1680" w:type="dxa"/>
          </w:tcPr>
          <w:p w14:paraId="59907AA3" w14:textId="77777777" w:rsidR="00872C03" w:rsidRPr="00883399" w:rsidRDefault="00872C03" w:rsidP="0031057E">
            <w:pPr>
              <w:pStyle w:val="R2"/>
              <w:keepNext/>
              <w:spacing w:before="120"/>
              <w:ind w:left="0" w:firstLine="0"/>
              <w:jc w:val="center"/>
              <w:rPr>
                <w:sz w:val="20"/>
                <w:szCs w:val="20"/>
              </w:rPr>
            </w:pPr>
            <w:r w:rsidRPr="00883399">
              <w:rPr>
                <w:sz w:val="20"/>
                <w:szCs w:val="20"/>
              </w:rPr>
              <w:t>Section 3.39</w:t>
            </w:r>
          </w:p>
        </w:tc>
        <w:tc>
          <w:tcPr>
            <w:tcW w:w="1920" w:type="dxa"/>
          </w:tcPr>
          <w:p w14:paraId="16BDB6E1" w14:textId="77777777" w:rsidR="00872C03" w:rsidRPr="00883399" w:rsidRDefault="00872C03" w:rsidP="0031057E">
            <w:pPr>
              <w:pStyle w:val="R2"/>
              <w:keepNext/>
              <w:spacing w:before="120"/>
              <w:ind w:left="0" w:firstLine="0"/>
              <w:jc w:val="center"/>
              <w:rPr>
                <w:sz w:val="20"/>
                <w:szCs w:val="20"/>
              </w:rPr>
            </w:pPr>
            <w:r w:rsidRPr="00883399">
              <w:rPr>
                <w:sz w:val="20"/>
                <w:szCs w:val="20"/>
              </w:rPr>
              <w:t>NA</w:t>
            </w:r>
          </w:p>
        </w:tc>
        <w:tc>
          <w:tcPr>
            <w:tcW w:w="1694" w:type="dxa"/>
          </w:tcPr>
          <w:p w14:paraId="071D8C4A" w14:textId="77777777" w:rsidR="00872C03" w:rsidRPr="00883399" w:rsidRDefault="00872C03" w:rsidP="0031057E">
            <w:pPr>
              <w:pStyle w:val="R2"/>
              <w:keepNext/>
              <w:spacing w:before="120"/>
              <w:ind w:left="0" w:firstLine="0"/>
              <w:jc w:val="center"/>
              <w:rPr>
                <w:sz w:val="20"/>
                <w:szCs w:val="20"/>
              </w:rPr>
            </w:pPr>
            <w:r w:rsidRPr="00883399">
              <w:rPr>
                <w:sz w:val="20"/>
                <w:szCs w:val="20"/>
              </w:rPr>
              <w:t>NA</w:t>
            </w:r>
          </w:p>
        </w:tc>
      </w:tr>
      <w:tr w:rsidR="00872C03" w:rsidRPr="00883399" w14:paraId="3117E4F3" w14:textId="77777777" w:rsidTr="0031057E">
        <w:tc>
          <w:tcPr>
            <w:tcW w:w="2160" w:type="dxa"/>
          </w:tcPr>
          <w:p w14:paraId="56A2D993" w14:textId="77777777" w:rsidR="00872C03" w:rsidRPr="00883399" w:rsidRDefault="00872C03" w:rsidP="0031057E">
            <w:pPr>
              <w:pStyle w:val="R2"/>
              <w:keepNext/>
              <w:spacing w:before="120"/>
              <w:ind w:left="0" w:firstLine="0"/>
              <w:rPr>
                <w:sz w:val="20"/>
                <w:szCs w:val="20"/>
              </w:rPr>
            </w:pPr>
            <w:r w:rsidRPr="00883399">
              <w:rPr>
                <w:sz w:val="20"/>
                <w:szCs w:val="20"/>
              </w:rPr>
              <w:t>Method 3</w:t>
            </w:r>
          </w:p>
        </w:tc>
        <w:tc>
          <w:tcPr>
            <w:tcW w:w="1680" w:type="dxa"/>
          </w:tcPr>
          <w:p w14:paraId="4081B9FD" w14:textId="77777777" w:rsidR="00872C03" w:rsidRPr="00883399" w:rsidRDefault="00872C03" w:rsidP="0031057E">
            <w:pPr>
              <w:pStyle w:val="R2"/>
              <w:keepNext/>
              <w:spacing w:before="120"/>
              <w:ind w:left="0" w:firstLine="0"/>
              <w:jc w:val="center"/>
              <w:rPr>
                <w:sz w:val="20"/>
                <w:szCs w:val="20"/>
              </w:rPr>
            </w:pPr>
            <w:r w:rsidRPr="00883399">
              <w:rPr>
                <w:sz w:val="20"/>
                <w:szCs w:val="20"/>
              </w:rPr>
              <w:t>Section 3.40</w:t>
            </w:r>
          </w:p>
        </w:tc>
        <w:tc>
          <w:tcPr>
            <w:tcW w:w="1920" w:type="dxa"/>
          </w:tcPr>
          <w:p w14:paraId="4BC8F3BB" w14:textId="77777777" w:rsidR="00872C03" w:rsidRPr="00883399" w:rsidRDefault="00872C03" w:rsidP="0031057E">
            <w:pPr>
              <w:pStyle w:val="R2"/>
              <w:keepNext/>
              <w:spacing w:before="120"/>
              <w:ind w:left="0" w:firstLine="0"/>
              <w:jc w:val="center"/>
              <w:rPr>
                <w:sz w:val="20"/>
                <w:szCs w:val="20"/>
              </w:rPr>
            </w:pPr>
            <w:r w:rsidRPr="00883399">
              <w:rPr>
                <w:sz w:val="20"/>
                <w:szCs w:val="20"/>
              </w:rPr>
              <w:t>NA</w:t>
            </w:r>
          </w:p>
        </w:tc>
        <w:tc>
          <w:tcPr>
            <w:tcW w:w="1694" w:type="dxa"/>
          </w:tcPr>
          <w:p w14:paraId="773B1815" w14:textId="77777777" w:rsidR="00872C03" w:rsidRPr="00883399" w:rsidRDefault="00872C03" w:rsidP="0031057E">
            <w:pPr>
              <w:pStyle w:val="R2"/>
              <w:keepNext/>
              <w:spacing w:before="120"/>
              <w:ind w:left="0" w:firstLine="0"/>
              <w:jc w:val="center"/>
              <w:rPr>
                <w:sz w:val="20"/>
                <w:szCs w:val="20"/>
              </w:rPr>
            </w:pPr>
            <w:r w:rsidRPr="00883399">
              <w:rPr>
                <w:sz w:val="20"/>
                <w:szCs w:val="20"/>
              </w:rPr>
              <w:t>NA</w:t>
            </w:r>
          </w:p>
        </w:tc>
      </w:tr>
      <w:tr w:rsidR="00872C03" w:rsidRPr="00883399" w14:paraId="7AE415D3" w14:textId="77777777" w:rsidTr="0031057E">
        <w:tc>
          <w:tcPr>
            <w:tcW w:w="2160" w:type="dxa"/>
          </w:tcPr>
          <w:p w14:paraId="7CB719E9" w14:textId="77777777" w:rsidR="00872C03" w:rsidRPr="00883399" w:rsidRDefault="00872C03" w:rsidP="0031057E">
            <w:pPr>
              <w:pStyle w:val="R2"/>
              <w:keepNext/>
              <w:spacing w:before="120"/>
              <w:ind w:left="0" w:firstLine="0"/>
              <w:rPr>
                <w:sz w:val="20"/>
                <w:szCs w:val="20"/>
              </w:rPr>
            </w:pPr>
            <w:r w:rsidRPr="00883399">
              <w:rPr>
                <w:sz w:val="20"/>
                <w:szCs w:val="20"/>
              </w:rPr>
              <w:t>Method 4</w:t>
            </w:r>
          </w:p>
        </w:tc>
        <w:tc>
          <w:tcPr>
            <w:tcW w:w="1680" w:type="dxa"/>
          </w:tcPr>
          <w:p w14:paraId="176A0578" w14:textId="77777777" w:rsidR="00872C03" w:rsidRPr="00883399" w:rsidRDefault="00872C03" w:rsidP="0031057E">
            <w:pPr>
              <w:pStyle w:val="R2"/>
              <w:keepNext/>
              <w:spacing w:before="120"/>
              <w:ind w:left="0" w:firstLine="0"/>
              <w:jc w:val="center"/>
              <w:rPr>
                <w:sz w:val="20"/>
                <w:szCs w:val="20"/>
              </w:rPr>
            </w:pPr>
            <w:r w:rsidRPr="00883399">
              <w:rPr>
                <w:sz w:val="20"/>
                <w:szCs w:val="20"/>
              </w:rPr>
              <w:t>NA</w:t>
            </w:r>
          </w:p>
        </w:tc>
        <w:tc>
          <w:tcPr>
            <w:tcW w:w="1920" w:type="dxa"/>
          </w:tcPr>
          <w:p w14:paraId="59608FF4" w14:textId="77777777" w:rsidR="00872C03" w:rsidRPr="00883399" w:rsidRDefault="00872C03" w:rsidP="0031057E">
            <w:pPr>
              <w:pStyle w:val="R2"/>
              <w:keepNext/>
              <w:spacing w:before="120"/>
              <w:ind w:left="0" w:firstLine="0"/>
              <w:jc w:val="center"/>
              <w:rPr>
                <w:sz w:val="20"/>
                <w:szCs w:val="20"/>
              </w:rPr>
            </w:pPr>
            <w:r w:rsidRPr="00883399">
              <w:rPr>
                <w:sz w:val="20"/>
                <w:szCs w:val="20"/>
              </w:rPr>
              <w:t>NA</w:t>
            </w:r>
          </w:p>
        </w:tc>
        <w:tc>
          <w:tcPr>
            <w:tcW w:w="1694" w:type="dxa"/>
          </w:tcPr>
          <w:p w14:paraId="687F68CB" w14:textId="77777777" w:rsidR="00872C03" w:rsidRPr="00883399" w:rsidRDefault="00872C03" w:rsidP="0031057E">
            <w:pPr>
              <w:pStyle w:val="R2"/>
              <w:keepNext/>
              <w:spacing w:before="120"/>
              <w:ind w:left="0" w:firstLine="0"/>
              <w:jc w:val="center"/>
              <w:rPr>
                <w:sz w:val="20"/>
                <w:szCs w:val="20"/>
              </w:rPr>
            </w:pPr>
            <w:r w:rsidRPr="00883399">
              <w:rPr>
                <w:sz w:val="20"/>
                <w:szCs w:val="20"/>
              </w:rPr>
              <w:t>NA</w:t>
            </w:r>
          </w:p>
        </w:tc>
      </w:tr>
    </w:tbl>
    <w:p w14:paraId="1B2636F1" w14:textId="77777777" w:rsidR="00872C03" w:rsidRPr="00883399" w:rsidRDefault="00872C03" w:rsidP="00872C03">
      <w:pPr>
        <w:pStyle w:val="Text"/>
        <w:keepNext/>
        <w:ind w:left="960"/>
      </w:pPr>
      <w:r w:rsidRPr="00883399">
        <w:t>NA = Not available.  NO = Not occurring</w:t>
      </w:r>
    </w:p>
    <w:p w14:paraId="2416759F" w14:textId="77777777" w:rsidR="00872C03" w:rsidRPr="00883399" w:rsidRDefault="00872C03" w:rsidP="00872C03">
      <w:pPr>
        <w:pStyle w:val="subsection"/>
        <w:rPr>
          <w:sz w:val="24"/>
        </w:rPr>
      </w:pPr>
    </w:p>
    <w:p w14:paraId="0CAB25D6" w14:textId="119392EA" w:rsidR="00872C03" w:rsidRPr="00883399" w:rsidRDefault="00872C03" w:rsidP="00872C03">
      <w:pPr>
        <w:pStyle w:val="ActHead4"/>
        <w:rPr>
          <w:sz w:val="28"/>
        </w:rPr>
      </w:pPr>
      <w:bookmarkStart w:id="504" w:name="_Toc423516897"/>
      <w:bookmarkStart w:id="505" w:name="_Toc495652816"/>
      <w:r w:rsidRPr="00883399">
        <w:rPr>
          <w:rStyle w:val="CharSubdNo"/>
          <w:sz w:val="28"/>
        </w:rPr>
        <w:t>Subdivision 3.2.4.2</w:t>
      </w:r>
      <w:r w:rsidRPr="00883399">
        <w:rPr>
          <w:sz w:val="28"/>
        </w:rPr>
        <w:t>—</w:t>
      </w:r>
      <w:r w:rsidRPr="00883399">
        <w:rPr>
          <w:rStyle w:val="CharSubdText"/>
          <w:sz w:val="28"/>
        </w:rPr>
        <w:t>Fugitive emissions from decommissioned underground mines</w:t>
      </w:r>
      <w:bookmarkEnd w:id="504"/>
      <w:bookmarkEnd w:id="505"/>
    </w:p>
    <w:p w14:paraId="1CD74AC0" w14:textId="77777777" w:rsidR="00872C03" w:rsidRPr="00883399" w:rsidRDefault="00872C03" w:rsidP="00872C03">
      <w:pPr>
        <w:spacing w:before="240" w:line="312" w:lineRule="auto"/>
      </w:pPr>
      <w:bookmarkStart w:id="506" w:name="_Toc423516898"/>
      <w:r w:rsidRPr="00883399">
        <w:rPr>
          <w:rFonts w:ascii="Arial" w:hAnsi="Arial" w:cs="Arial"/>
          <w:sz w:val="22"/>
          <w:szCs w:val="22"/>
        </w:rPr>
        <w:t xml:space="preserve">Method 1 for emissions from decommissioned mines is derived from the </w:t>
      </w:r>
      <w:r w:rsidRPr="00883399">
        <w:rPr>
          <w:rFonts w:ascii="Arial" w:hAnsi="Arial" w:cs="Arial"/>
          <w:i/>
          <w:sz w:val="22"/>
          <w:szCs w:val="22"/>
        </w:rPr>
        <w:t>National Greenhouse Account</w:t>
      </w:r>
      <w:r w:rsidRPr="00883399">
        <w:rPr>
          <w:rFonts w:ascii="Arial" w:hAnsi="Arial" w:cs="Arial"/>
          <w:sz w:val="22"/>
          <w:szCs w:val="22"/>
        </w:rPr>
        <w:t xml:space="preserve"> national methodology as published in the </w:t>
      </w:r>
      <w:r w:rsidRPr="00883399">
        <w:rPr>
          <w:rFonts w:ascii="Arial" w:hAnsi="Arial" w:cs="Arial"/>
          <w:i/>
          <w:sz w:val="22"/>
          <w:szCs w:val="22"/>
        </w:rPr>
        <w:t>National Inventory Report</w:t>
      </w:r>
      <w:r w:rsidRPr="00883399">
        <w:t xml:space="preserve">. </w:t>
      </w:r>
    </w:p>
    <w:p w14:paraId="0A5B7095" w14:textId="4EE16587" w:rsidR="00872C03" w:rsidRPr="00883399" w:rsidRDefault="00872C03" w:rsidP="00872C03">
      <w:pPr>
        <w:pStyle w:val="ActHead5"/>
        <w:rPr>
          <w:sz w:val="28"/>
        </w:rPr>
      </w:pPr>
      <w:bookmarkStart w:id="507" w:name="_Toc495652817"/>
      <w:r w:rsidRPr="00883399">
        <w:rPr>
          <w:rStyle w:val="CharSectno"/>
          <w:sz w:val="28"/>
        </w:rPr>
        <w:t>3.32</w:t>
      </w:r>
      <w:r w:rsidRPr="00883399">
        <w:rPr>
          <w:sz w:val="28"/>
        </w:rPr>
        <w:t xml:space="preserve">  Method 1—decommissioned underground mines</w:t>
      </w:r>
      <w:bookmarkEnd w:id="506"/>
      <w:bookmarkEnd w:id="507"/>
    </w:p>
    <w:p w14:paraId="70FACCE2" w14:textId="77777777" w:rsidR="00872C03" w:rsidRPr="00883399" w:rsidRDefault="00872C03" w:rsidP="00872C03">
      <w:pPr>
        <w:pStyle w:val="subsection"/>
        <w:rPr>
          <w:sz w:val="24"/>
        </w:rPr>
      </w:pPr>
      <w:r w:rsidRPr="00883399">
        <w:rPr>
          <w:sz w:val="24"/>
        </w:rPr>
        <w:tab/>
        <w:t>(1)</w:t>
      </w:r>
      <w:r w:rsidRPr="00883399">
        <w:rPr>
          <w:sz w:val="24"/>
        </w:rPr>
        <w:tab/>
        <w:t>For paragraph 3.31(2)(a), method 1 is:</w:t>
      </w:r>
    </w:p>
    <w:p w14:paraId="6092E240" w14:textId="4ED206F1"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6A4D0049" wp14:editId="2710D4DA">
            <wp:extent cx="2152650" cy="2381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52650" cy="238125"/>
                    </a:xfrm>
                    <a:prstGeom prst="rect">
                      <a:avLst/>
                    </a:prstGeom>
                    <a:noFill/>
                    <a:ln>
                      <a:noFill/>
                    </a:ln>
                  </pic:spPr>
                </pic:pic>
              </a:graphicData>
            </a:graphic>
          </wp:inline>
        </w:drawing>
      </w:r>
    </w:p>
    <w:p w14:paraId="7DFE9DAB" w14:textId="77777777" w:rsidR="00872C03" w:rsidRPr="00883399" w:rsidRDefault="00872C03" w:rsidP="00872C03">
      <w:pPr>
        <w:pStyle w:val="subsection2"/>
        <w:rPr>
          <w:sz w:val="24"/>
        </w:rPr>
      </w:pPr>
      <w:r w:rsidRPr="00883399">
        <w:rPr>
          <w:sz w:val="24"/>
        </w:rPr>
        <w:t>where:</w:t>
      </w:r>
    </w:p>
    <w:p w14:paraId="2BF3A2F5" w14:textId="77777777" w:rsidR="00872C03" w:rsidRPr="00883399" w:rsidRDefault="00872C03" w:rsidP="00872C03">
      <w:pPr>
        <w:pStyle w:val="Definition0"/>
        <w:rPr>
          <w:sz w:val="24"/>
        </w:rPr>
      </w:pPr>
      <w:r w:rsidRPr="00883399">
        <w:rPr>
          <w:b/>
          <w:i/>
          <w:sz w:val="24"/>
        </w:rPr>
        <w:t>E</w:t>
      </w:r>
      <w:r w:rsidRPr="00883399">
        <w:rPr>
          <w:rStyle w:val="charSubscript"/>
          <w:b/>
          <w:i/>
          <w:sz w:val="22"/>
        </w:rPr>
        <w:t>dm</w:t>
      </w:r>
      <w:r w:rsidRPr="00883399">
        <w:rPr>
          <w:b/>
          <w:i/>
          <w:sz w:val="24"/>
        </w:rPr>
        <w:t xml:space="preserve"> </w:t>
      </w:r>
      <w:r w:rsidRPr="00883399">
        <w:rPr>
          <w:sz w:val="24"/>
        </w:rPr>
        <w:t>is the fugitive emissions of methane from the mine during the year measured in CO</w:t>
      </w:r>
      <w:r w:rsidRPr="00883399">
        <w:rPr>
          <w:rStyle w:val="charSubscript"/>
          <w:sz w:val="22"/>
        </w:rPr>
        <w:t>2</w:t>
      </w:r>
      <w:r w:rsidRPr="00883399">
        <w:rPr>
          <w:sz w:val="24"/>
        </w:rPr>
        <w:noBreakHyphen/>
        <w:t>e tonnes.</w:t>
      </w:r>
    </w:p>
    <w:p w14:paraId="3CBF51F8" w14:textId="77777777" w:rsidR="00872C03" w:rsidRPr="00883399" w:rsidRDefault="00872C03" w:rsidP="00872C03">
      <w:pPr>
        <w:pStyle w:val="Definition0"/>
        <w:rPr>
          <w:sz w:val="24"/>
        </w:rPr>
      </w:pPr>
      <w:r w:rsidRPr="00883399">
        <w:rPr>
          <w:b/>
          <w:i/>
          <w:sz w:val="24"/>
        </w:rPr>
        <w:lastRenderedPageBreak/>
        <w:t>E</w:t>
      </w:r>
      <w:r w:rsidRPr="00883399">
        <w:rPr>
          <w:rStyle w:val="charSubscript"/>
          <w:b/>
          <w:i/>
          <w:sz w:val="22"/>
        </w:rPr>
        <w:t>tdm</w:t>
      </w:r>
      <w:r w:rsidRPr="00883399">
        <w:rPr>
          <w:b/>
          <w:i/>
          <w:sz w:val="24"/>
        </w:rPr>
        <w:t xml:space="preserve"> </w:t>
      </w:r>
      <w:r w:rsidRPr="00883399">
        <w:rPr>
          <w:sz w:val="24"/>
        </w:rPr>
        <w:t>is the emissions from the mine for the last full year that the mine was in operation measured in CO</w:t>
      </w:r>
      <w:r w:rsidRPr="00883399">
        <w:rPr>
          <w:rStyle w:val="charSubscript"/>
          <w:sz w:val="22"/>
        </w:rPr>
        <w:t>2</w:t>
      </w:r>
      <w:r w:rsidRPr="00883399">
        <w:rPr>
          <w:sz w:val="24"/>
        </w:rPr>
        <w:noBreakHyphen/>
        <w:t>e tonnes and estimated under section 3.5 or 3.6.</w:t>
      </w:r>
    </w:p>
    <w:p w14:paraId="12B85D14" w14:textId="77777777" w:rsidR="00872C03" w:rsidRPr="00883399" w:rsidRDefault="00872C03" w:rsidP="00872C03">
      <w:pPr>
        <w:pStyle w:val="Definition0"/>
        <w:rPr>
          <w:sz w:val="24"/>
        </w:rPr>
      </w:pPr>
      <w:r w:rsidRPr="00883399">
        <w:rPr>
          <w:b/>
          <w:i/>
          <w:sz w:val="24"/>
        </w:rPr>
        <w:t>EF</w:t>
      </w:r>
      <w:r w:rsidRPr="00883399">
        <w:rPr>
          <w:rStyle w:val="charSubscript"/>
          <w:b/>
          <w:i/>
          <w:sz w:val="22"/>
        </w:rPr>
        <w:t>dm</w:t>
      </w:r>
      <w:r w:rsidRPr="00883399">
        <w:rPr>
          <w:b/>
          <w:i/>
          <w:sz w:val="24"/>
        </w:rPr>
        <w:t xml:space="preserve"> </w:t>
      </w:r>
      <w:r w:rsidRPr="00883399">
        <w:rPr>
          <w:sz w:val="24"/>
        </w:rPr>
        <w:t>is the emission factor for the mine calculated under section 3.33.</w:t>
      </w:r>
    </w:p>
    <w:p w14:paraId="45D794C4" w14:textId="77777777" w:rsidR="00872C03" w:rsidRPr="00883399" w:rsidRDefault="00872C03" w:rsidP="00872C03">
      <w:pPr>
        <w:pStyle w:val="Definition0"/>
        <w:rPr>
          <w:sz w:val="24"/>
        </w:rPr>
      </w:pPr>
      <w:r w:rsidRPr="00883399">
        <w:rPr>
          <w:b/>
          <w:i/>
          <w:sz w:val="24"/>
        </w:rPr>
        <w:t>F</w:t>
      </w:r>
      <w:r w:rsidRPr="00883399">
        <w:rPr>
          <w:b/>
          <w:i/>
          <w:sz w:val="24"/>
          <w:vertAlign w:val="subscript"/>
        </w:rPr>
        <w:t>dm</w:t>
      </w:r>
      <w:r w:rsidRPr="00883399">
        <w:rPr>
          <w:b/>
          <w:i/>
          <w:sz w:val="24"/>
        </w:rPr>
        <w:t xml:space="preserve"> </w:t>
      </w:r>
      <w:r w:rsidRPr="00883399">
        <w:rPr>
          <w:sz w:val="24"/>
        </w:rPr>
        <w:t>is the proportion of the mine flooded at the end of the year, as estimated under section 3.34, and must not be greater than 1.</w:t>
      </w:r>
    </w:p>
    <w:p w14:paraId="7A730E7F" w14:textId="77777777" w:rsidR="00872C03" w:rsidRPr="00883399" w:rsidRDefault="00872C03" w:rsidP="00872C03">
      <w:pPr>
        <w:pStyle w:val="subsection"/>
        <w:rPr>
          <w:sz w:val="24"/>
        </w:rPr>
      </w:pPr>
      <w:r w:rsidRPr="00883399">
        <w:rPr>
          <w:sz w:val="24"/>
        </w:rPr>
        <w:tab/>
        <w:t>(2)</w:t>
      </w:r>
      <w:r w:rsidRPr="00883399">
        <w:rPr>
          <w:sz w:val="24"/>
        </w:rPr>
        <w:tab/>
        <w:t>However, if, under subsection (1), the estimated emissions in CO</w:t>
      </w:r>
      <w:r w:rsidRPr="00883399">
        <w:rPr>
          <w:rStyle w:val="charSubscript"/>
          <w:sz w:val="24"/>
        </w:rPr>
        <w:t>2</w:t>
      </w:r>
      <w:r w:rsidRPr="00883399">
        <w:rPr>
          <w:sz w:val="24"/>
        </w:rPr>
        <w:noBreakHyphen/>
        <w:t xml:space="preserve">e tonnes for the mine during the year is less than 0.02 </w:t>
      </w:r>
      <w:r w:rsidRPr="00883399">
        <w:rPr>
          <w:sz w:val="24"/>
        </w:rPr>
        <w:sym w:font="Symbol" w:char="F0B4"/>
      </w:r>
      <w:r w:rsidRPr="00883399">
        <w:rPr>
          <w:sz w:val="24"/>
        </w:rPr>
        <w:t xml:space="preserve"> </w:t>
      </w:r>
      <w:r w:rsidRPr="00883399">
        <w:rPr>
          <w:iCs/>
          <w:sz w:val="24"/>
        </w:rPr>
        <w:t>E</w:t>
      </w:r>
      <w:r w:rsidRPr="00883399">
        <w:rPr>
          <w:rStyle w:val="charSubscript"/>
          <w:sz w:val="24"/>
        </w:rPr>
        <w:t>tdm</w:t>
      </w:r>
      <w:r w:rsidRPr="00883399">
        <w:rPr>
          <w:sz w:val="24"/>
        </w:rPr>
        <w:t xml:space="preserve">, the estimated emissions for the mine during the year is taken to be </w:t>
      </w:r>
      <w:r w:rsidRPr="00883399">
        <w:rPr>
          <w:iCs/>
          <w:sz w:val="24"/>
        </w:rPr>
        <w:t xml:space="preserve">0.02 </w:t>
      </w:r>
      <w:r w:rsidRPr="00883399">
        <w:rPr>
          <w:sz w:val="24"/>
        </w:rPr>
        <w:sym w:font="Symbol" w:char="F0B4"/>
      </w:r>
      <w:r w:rsidRPr="00883399">
        <w:rPr>
          <w:sz w:val="24"/>
        </w:rPr>
        <w:t xml:space="preserve"> </w:t>
      </w:r>
      <w:r w:rsidRPr="00883399">
        <w:rPr>
          <w:iCs/>
          <w:sz w:val="24"/>
        </w:rPr>
        <w:t>E</w:t>
      </w:r>
      <w:r w:rsidRPr="00883399">
        <w:rPr>
          <w:rStyle w:val="charSubscript"/>
          <w:sz w:val="24"/>
        </w:rPr>
        <w:t>tdm</w:t>
      </w:r>
      <w:r w:rsidRPr="00883399">
        <w:rPr>
          <w:sz w:val="24"/>
        </w:rPr>
        <w:t>.</w:t>
      </w:r>
    </w:p>
    <w:p w14:paraId="2B002289" w14:textId="329C591C" w:rsidR="00872C03" w:rsidRPr="00883399" w:rsidRDefault="00872C03" w:rsidP="00872C03">
      <w:pPr>
        <w:pStyle w:val="ActHead5"/>
        <w:rPr>
          <w:sz w:val="28"/>
        </w:rPr>
      </w:pPr>
      <w:bookmarkStart w:id="508" w:name="_Toc423516899"/>
      <w:bookmarkStart w:id="509" w:name="_Toc495652818"/>
      <w:r w:rsidRPr="00883399">
        <w:rPr>
          <w:rStyle w:val="CharSectno"/>
          <w:sz w:val="28"/>
        </w:rPr>
        <w:t>3.33</w:t>
      </w:r>
      <w:r w:rsidRPr="00883399">
        <w:rPr>
          <w:sz w:val="28"/>
        </w:rPr>
        <w:t xml:space="preserve">  Emission factor for decommissioned underground mines</w:t>
      </w:r>
      <w:bookmarkEnd w:id="508"/>
      <w:bookmarkEnd w:id="509"/>
    </w:p>
    <w:p w14:paraId="3F39BA1C" w14:textId="77777777" w:rsidR="00872C03" w:rsidRPr="00883399" w:rsidRDefault="00872C03" w:rsidP="00872C03">
      <w:pPr>
        <w:spacing w:before="240" w:line="312" w:lineRule="auto"/>
        <w:rPr>
          <w:rFonts w:ascii="Arial" w:hAnsi="Arial" w:cs="Arial"/>
          <w:sz w:val="22"/>
          <w:szCs w:val="22"/>
        </w:rPr>
      </w:pPr>
      <w:r w:rsidRPr="00883399">
        <w:rPr>
          <w:rFonts w:ascii="Arial" w:hAnsi="Arial" w:cs="Arial"/>
          <w:sz w:val="22"/>
          <w:szCs w:val="22"/>
        </w:rPr>
        <w:t>The emission factor for Method 1 is derived from an emission decay curve (EDC). The EDC describes the decline in fugitive methane emissions overtime following mine closure. Hyperbolic curves have been found to function best in portraying the rapid decline in emissions in the first few years, followed by a slow decline over time of the remaining emissions (</w:t>
      </w:r>
      <w:r w:rsidRPr="00883399">
        <w:rPr>
          <w:rFonts w:ascii="Arial" w:hAnsi="Arial" w:cs="Arial"/>
          <w:i/>
          <w:sz w:val="22"/>
          <w:szCs w:val="22"/>
        </w:rPr>
        <w:t>National Inventory Report</w:t>
      </w:r>
      <w:r w:rsidRPr="00883399">
        <w:rPr>
          <w:rFonts w:ascii="Arial" w:hAnsi="Arial" w:cs="Arial"/>
          <w:sz w:val="22"/>
          <w:szCs w:val="22"/>
        </w:rPr>
        <w:t xml:space="preserve">). </w:t>
      </w:r>
    </w:p>
    <w:p w14:paraId="24A5A3EF" w14:textId="77777777" w:rsidR="00872C03" w:rsidRPr="00883399" w:rsidRDefault="00872C03" w:rsidP="00872C03">
      <w:pPr>
        <w:spacing w:before="240" w:line="312" w:lineRule="auto"/>
        <w:jc w:val="both"/>
        <w:rPr>
          <w:rFonts w:ascii="Arial" w:hAnsi="Arial" w:cs="Arial"/>
          <w:sz w:val="22"/>
          <w:szCs w:val="22"/>
        </w:rPr>
      </w:pPr>
      <w:r w:rsidRPr="00883399">
        <w:rPr>
          <w:rFonts w:ascii="Arial" w:hAnsi="Arial" w:cs="Arial"/>
          <w:sz w:val="22"/>
          <w:szCs w:val="22"/>
        </w:rPr>
        <w:t xml:space="preserve">Australian-specific EDCs developed for the national inventory have being utilized for both gassy and non-gassy mines. </w:t>
      </w:r>
    </w:p>
    <w:p w14:paraId="018EC08D" w14:textId="77777777" w:rsidR="00872C03" w:rsidRPr="00883399" w:rsidRDefault="00872C03" w:rsidP="00872C03">
      <w:pPr>
        <w:pStyle w:val="subsection"/>
        <w:rPr>
          <w:sz w:val="24"/>
        </w:rPr>
      </w:pPr>
    </w:p>
    <w:p w14:paraId="5C7D8197" w14:textId="77777777" w:rsidR="00872C03" w:rsidRPr="00883399" w:rsidRDefault="00872C03" w:rsidP="00872C03">
      <w:pPr>
        <w:pStyle w:val="subsection"/>
        <w:rPr>
          <w:sz w:val="24"/>
        </w:rPr>
      </w:pPr>
      <w:r w:rsidRPr="00883399">
        <w:rPr>
          <w:sz w:val="24"/>
        </w:rPr>
        <w:tab/>
        <w:t xml:space="preserve">For section 3.32, </w:t>
      </w:r>
      <w:r w:rsidRPr="00883399">
        <w:rPr>
          <w:b/>
          <w:i/>
          <w:sz w:val="24"/>
        </w:rPr>
        <w:t>EF</w:t>
      </w:r>
      <w:r w:rsidRPr="00883399">
        <w:rPr>
          <w:rStyle w:val="charSubscript"/>
          <w:b/>
          <w:i/>
          <w:sz w:val="24"/>
        </w:rPr>
        <w:t>dm</w:t>
      </w:r>
      <w:r w:rsidRPr="00883399">
        <w:rPr>
          <w:sz w:val="24"/>
        </w:rPr>
        <w:t xml:space="preserve"> is the integral under the curve of:</w:t>
      </w:r>
    </w:p>
    <w:p w14:paraId="55E169AD" w14:textId="6D161401"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4BC26AFD" wp14:editId="7C8F43CC">
            <wp:extent cx="1076325" cy="2190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76325" cy="219075"/>
                    </a:xfrm>
                    <a:prstGeom prst="rect">
                      <a:avLst/>
                    </a:prstGeom>
                    <a:noFill/>
                    <a:ln>
                      <a:noFill/>
                    </a:ln>
                  </pic:spPr>
                </pic:pic>
              </a:graphicData>
            </a:graphic>
          </wp:inline>
        </w:drawing>
      </w:r>
    </w:p>
    <w:p w14:paraId="43A005C3" w14:textId="77777777" w:rsidR="00872C03" w:rsidRPr="00883399" w:rsidRDefault="00872C03" w:rsidP="00872C03">
      <w:pPr>
        <w:pStyle w:val="subsection2"/>
        <w:rPr>
          <w:sz w:val="24"/>
        </w:rPr>
      </w:pPr>
      <w:r w:rsidRPr="00883399">
        <w:rPr>
          <w:sz w:val="24"/>
        </w:rPr>
        <w:t xml:space="preserve">for the period between </w:t>
      </w:r>
      <w:r w:rsidRPr="00883399">
        <w:rPr>
          <w:b/>
          <w:i/>
          <w:sz w:val="24"/>
        </w:rPr>
        <w:t>T</w:t>
      </w:r>
      <w:r w:rsidRPr="00883399">
        <w:rPr>
          <w:sz w:val="24"/>
        </w:rPr>
        <w:t xml:space="preserve"> and </w:t>
      </w:r>
      <w:r w:rsidRPr="00883399">
        <w:rPr>
          <w:b/>
          <w:i/>
          <w:sz w:val="24"/>
        </w:rPr>
        <w:t>T</w:t>
      </w:r>
      <w:r w:rsidRPr="00883399">
        <w:rPr>
          <w:sz w:val="24"/>
        </w:rPr>
        <w:noBreakHyphen/>
        <w:t>1,</w:t>
      </w:r>
    </w:p>
    <w:p w14:paraId="6D09E39A" w14:textId="77777777" w:rsidR="00872C03" w:rsidRPr="00883399" w:rsidRDefault="00872C03" w:rsidP="00872C03">
      <w:pPr>
        <w:pStyle w:val="subsection2"/>
        <w:rPr>
          <w:sz w:val="24"/>
        </w:rPr>
      </w:pPr>
      <w:r w:rsidRPr="00883399">
        <w:rPr>
          <w:sz w:val="24"/>
        </w:rPr>
        <w:t>where:</w:t>
      </w:r>
    </w:p>
    <w:p w14:paraId="2F6D7C03" w14:textId="77777777" w:rsidR="00872C03" w:rsidRPr="00883399" w:rsidRDefault="00872C03" w:rsidP="00872C03">
      <w:pPr>
        <w:pStyle w:val="Definition0"/>
        <w:rPr>
          <w:sz w:val="24"/>
        </w:rPr>
      </w:pPr>
      <w:r w:rsidRPr="00883399">
        <w:rPr>
          <w:b/>
          <w:i/>
          <w:sz w:val="24"/>
        </w:rPr>
        <w:t xml:space="preserve">A </w:t>
      </w:r>
      <w:r w:rsidRPr="00883399">
        <w:rPr>
          <w:sz w:val="24"/>
        </w:rPr>
        <w:t>is:</w:t>
      </w:r>
    </w:p>
    <w:p w14:paraId="163B5CAE" w14:textId="77777777" w:rsidR="00872C03" w:rsidRPr="00883399" w:rsidRDefault="00872C03" w:rsidP="00872C03">
      <w:pPr>
        <w:pStyle w:val="paragraph"/>
        <w:rPr>
          <w:sz w:val="24"/>
        </w:rPr>
      </w:pPr>
      <w:r w:rsidRPr="00883399">
        <w:rPr>
          <w:sz w:val="24"/>
        </w:rPr>
        <w:tab/>
        <w:t>(a)</w:t>
      </w:r>
      <w:r w:rsidRPr="00883399">
        <w:rPr>
          <w:sz w:val="24"/>
        </w:rPr>
        <w:tab/>
        <w:t>for a gassy mine—0.23; or</w:t>
      </w:r>
    </w:p>
    <w:p w14:paraId="7E5F2DAA" w14:textId="77777777" w:rsidR="00872C03" w:rsidRPr="00883399" w:rsidRDefault="00872C03" w:rsidP="00872C03">
      <w:pPr>
        <w:pStyle w:val="paragraph"/>
        <w:rPr>
          <w:sz w:val="24"/>
        </w:rPr>
      </w:pPr>
      <w:r w:rsidRPr="00883399">
        <w:rPr>
          <w:sz w:val="24"/>
        </w:rPr>
        <w:tab/>
        <w:t>(b)</w:t>
      </w:r>
      <w:r w:rsidRPr="00883399">
        <w:rPr>
          <w:sz w:val="24"/>
        </w:rPr>
        <w:tab/>
        <w:t>for a non</w:t>
      </w:r>
      <w:r w:rsidRPr="00883399">
        <w:rPr>
          <w:sz w:val="24"/>
        </w:rPr>
        <w:noBreakHyphen/>
        <w:t>gassy mine—0.35.</w:t>
      </w:r>
    </w:p>
    <w:p w14:paraId="2467C447" w14:textId="77777777" w:rsidR="00872C03" w:rsidRPr="00883399" w:rsidRDefault="00872C03" w:rsidP="00872C03">
      <w:pPr>
        <w:pStyle w:val="Definition0"/>
        <w:rPr>
          <w:sz w:val="24"/>
        </w:rPr>
      </w:pPr>
      <w:r w:rsidRPr="00883399">
        <w:rPr>
          <w:b/>
          <w:i/>
          <w:sz w:val="24"/>
        </w:rPr>
        <w:t xml:space="preserve">T </w:t>
      </w:r>
      <w:r w:rsidRPr="00883399">
        <w:rPr>
          <w:sz w:val="24"/>
        </w:rPr>
        <w:t>is the number of years since the mine was decommissioned.</w:t>
      </w:r>
    </w:p>
    <w:p w14:paraId="3BE19276" w14:textId="77777777" w:rsidR="00872C03" w:rsidRPr="00883399" w:rsidRDefault="00872C03" w:rsidP="00872C03">
      <w:pPr>
        <w:pStyle w:val="Definition0"/>
        <w:rPr>
          <w:sz w:val="24"/>
        </w:rPr>
      </w:pPr>
      <w:r w:rsidRPr="00883399">
        <w:rPr>
          <w:b/>
          <w:i/>
          <w:sz w:val="24"/>
        </w:rPr>
        <w:t xml:space="preserve">b </w:t>
      </w:r>
      <w:r w:rsidRPr="00883399">
        <w:rPr>
          <w:sz w:val="24"/>
        </w:rPr>
        <w:t>is:</w:t>
      </w:r>
    </w:p>
    <w:p w14:paraId="57BC9B52" w14:textId="77777777" w:rsidR="00872C03" w:rsidRPr="00883399" w:rsidRDefault="00872C03" w:rsidP="00872C03">
      <w:pPr>
        <w:pStyle w:val="paragraph"/>
        <w:rPr>
          <w:sz w:val="24"/>
        </w:rPr>
      </w:pPr>
      <w:r w:rsidRPr="00883399">
        <w:rPr>
          <w:sz w:val="24"/>
        </w:rPr>
        <w:tab/>
        <w:t>(a)</w:t>
      </w:r>
      <w:r w:rsidRPr="00883399">
        <w:rPr>
          <w:sz w:val="24"/>
        </w:rPr>
        <w:tab/>
        <w:t>for a gassy mine—</w:t>
      </w:r>
      <w:r w:rsidRPr="00883399">
        <w:rPr>
          <w:sz w:val="24"/>
        </w:rPr>
        <w:noBreakHyphen/>
        <w:t>1.45; or</w:t>
      </w:r>
    </w:p>
    <w:p w14:paraId="799F8C8D" w14:textId="77777777" w:rsidR="00872C03" w:rsidRPr="00883399" w:rsidRDefault="00872C03" w:rsidP="00872C03">
      <w:pPr>
        <w:pStyle w:val="paragraph"/>
        <w:rPr>
          <w:sz w:val="24"/>
        </w:rPr>
      </w:pPr>
      <w:r w:rsidRPr="00883399">
        <w:rPr>
          <w:sz w:val="24"/>
        </w:rPr>
        <w:tab/>
        <w:t>(b)</w:t>
      </w:r>
      <w:r w:rsidRPr="00883399">
        <w:rPr>
          <w:sz w:val="24"/>
        </w:rPr>
        <w:tab/>
        <w:t>for a non</w:t>
      </w:r>
      <w:r w:rsidRPr="00883399">
        <w:rPr>
          <w:sz w:val="24"/>
        </w:rPr>
        <w:noBreakHyphen/>
        <w:t>gassy mine—</w:t>
      </w:r>
      <w:r w:rsidRPr="00883399">
        <w:rPr>
          <w:sz w:val="24"/>
        </w:rPr>
        <w:noBreakHyphen/>
        <w:t>1.01.</w:t>
      </w:r>
    </w:p>
    <w:p w14:paraId="78DFEF69" w14:textId="77777777" w:rsidR="00872C03" w:rsidRPr="00883399" w:rsidRDefault="00872C03" w:rsidP="00872C03">
      <w:pPr>
        <w:pStyle w:val="Definition0"/>
        <w:rPr>
          <w:sz w:val="24"/>
        </w:rPr>
      </w:pPr>
      <w:r w:rsidRPr="00883399">
        <w:rPr>
          <w:b/>
          <w:i/>
          <w:sz w:val="24"/>
        </w:rPr>
        <w:t xml:space="preserve">C </w:t>
      </w:r>
      <w:r w:rsidRPr="00883399">
        <w:rPr>
          <w:sz w:val="24"/>
        </w:rPr>
        <w:t>is:</w:t>
      </w:r>
    </w:p>
    <w:p w14:paraId="41F08874" w14:textId="77777777" w:rsidR="00872C03" w:rsidRPr="00883399" w:rsidRDefault="00872C03" w:rsidP="00872C03">
      <w:pPr>
        <w:pStyle w:val="paragraph"/>
        <w:rPr>
          <w:sz w:val="24"/>
        </w:rPr>
      </w:pPr>
      <w:r w:rsidRPr="00883399">
        <w:rPr>
          <w:sz w:val="24"/>
        </w:rPr>
        <w:tab/>
        <w:t>(a)</w:t>
      </w:r>
      <w:r w:rsidRPr="00883399">
        <w:rPr>
          <w:sz w:val="24"/>
        </w:rPr>
        <w:tab/>
        <w:t>for a gassy mine—0.024; or</w:t>
      </w:r>
    </w:p>
    <w:p w14:paraId="43AFA6FA" w14:textId="77777777" w:rsidR="00872C03" w:rsidRPr="00883399" w:rsidRDefault="00872C03" w:rsidP="00872C03">
      <w:pPr>
        <w:pStyle w:val="paragraph"/>
        <w:rPr>
          <w:sz w:val="24"/>
        </w:rPr>
      </w:pPr>
      <w:r w:rsidRPr="00883399">
        <w:rPr>
          <w:sz w:val="24"/>
        </w:rPr>
        <w:tab/>
        <w:t>(b)</w:t>
      </w:r>
      <w:r w:rsidRPr="00883399">
        <w:rPr>
          <w:sz w:val="24"/>
        </w:rPr>
        <w:tab/>
        <w:t>for a non</w:t>
      </w:r>
      <w:r w:rsidRPr="00883399">
        <w:rPr>
          <w:sz w:val="24"/>
        </w:rPr>
        <w:noBreakHyphen/>
        <w:t>gassy mine—0.088.</w:t>
      </w:r>
    </w:p>
    <w:p w14:paraId="44A5A0AF" w14:textId="02652B68" w:rsidR="00872C03" w:rsidRPr="00883399" w:rsidRDefault="00872C03" w:rsidP="00872C03">
      <w:pPr>
        <w:pStyle w:val="ActHead5"/>
        <w:rPr>
          <w:sz w:val="28"/>
        </w:rPr>
      </w:pPr>
      <w:bookmarkStart w:id="510" w:name="_Toc423516900"/>
      <w:bookmarkStart w:id="511" w:name="_Toc495652819"/>
      <w:r w:rsidRPr="00883399">
        <w:rPr>
          <w:rStyle w:val="CharSectno"/>
          <w:sz w:val="28"/>
        </w:rPr>
        <w:lastRenderedPageBreak/>
        <w:t>3.34</w:t>
      </w:r>
      <w:r w:rsidRPr="00883399">
        <w:rPr>
          <w:sz w:val="28"/>
        </w:rPr>
        <w:t xml:space="preserve">  Measurement of proportion of mine that is flooded</w:t>
      </w:r>
      <w:bookmarkEnd w:id="510"/>
      <w:bookmarkEnd w:id="511"/>
    </w:p>
    <w:p w14:paraId="21122794" w14:textId="77777777" w:rsidR="00872C03" w:rsidRPr="00883399" w:rsidRDefault="00872C03" w:rsidP="00C335B2">
      <w:pPr>
        <w:spacing w:before="240" w:line="312" w:lineRule="auto"/>
      </w:pPr>
      <w:r w:rsidRPr="00883399">
        <w:rPr>
          <w:rFonts w:ascii="Arial" w:hAnsi="Arial" w:cs="Arial"/>
          <w:sz w:val="22"/>
          <w:szCs w:val="22"/>
        </w:rPr>
        <w:t>Emissions from decommissioned mines are reduced as a mine floods due to the reduction of gas desorption from the coal remaining in the closed mine. The variables required to estimate the portion of the mine flooded at a point in time is the size of the void volume and the water inflow rate into the closed mine.</w:t>
      </w:r>
      <w:r w:rsidRPr="00883399">
        <w:tab/>
      </w:r>
    </w:p>
    <w:p w14:paraId="50850F9D" w14:textId="77777777" w:rsidR="00872C03" w:rsidRPr="00883399" w:rsidRDefault="00872C03" w:rsidP="00872C03">
      <w:pPr>
        <w:pStyle w:val="subsection"/>
        <w:rPr>
          <w:sz w:val="24"/>
        </w:rPr>
      </w:pPr>
      <w:r w:rsidRPr="00883399">
        <w:rPr>
          <w:sz w:val="24"/>
        </w:rPr>
        <w:t xml:space="preserve">For subsection 3.32(1), </w:t>
      </w:r>
      <w:r w:rsidRPr="00883399">
        <w:rPr>
          <w:b/>
          <w:i/>
          <w:sz w:val="24"/>
        </w:rPr>
        <w:t>F</w:t>
      </w:r>
      <w:r w:rsidRPr="00883399">
        <w:rPr>
          <w:rStyle w:val="charSubscript"/>
          <w:b/>
          <w:i/>
          <w:sz w:val="24"/>
        </w:rPr>
        <w:t>dm</w:t>
      </w:r>
      <w:r w:rsidRPr="00883399">
        <w:rPr>
          <w:sz w:val="24"/>
        </w:rPr>
        <w:t xml:space="preserve"> is:</w:t>
      </w:r>
    </w:p>
    <w:p w14:paraId="1BB4D261" w14:textId="1EE69D26"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1F28EBC9" wp14:editId="7FEA4F77">
            <wp:extent cx="866775" cy="427355"/>
            <wp:effectExtent l="1905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01"/>
                    <a:srcRect/>
                    <a:stretch>
                      <a:fillRect/>
                    </a:stretch>
                  </pic:blipFill>
                  <pic:spPr bwMode="auto">
                    <a:xfrm>
                      <a:off x="0" y="0"/>
                      <a:ext cx="866775" cy="427355"/>
                    </a:xfrm>
                    <a:prstGeom prst="rect">
                      <a:avLst/>
                    </a:prstGeom>
                    <a:noFill/>
                    <a:ln w="9525">
                      <a:noFill/>
                      <a:miter lim="800000"/>
                      <a:headEnd/>
                      <a:tailEnd/>
                    </a:ln>
                  </pic:spPr>
                </pic:pic>
              </a:graphicData>
            </a:graphic>
          </wp:inline>
        </w:drawing>
      </w:r>
    </w:p>
    <w:p w14:paraId="02F78CA3" w14:textId="77777777" w:rsidR="00872C03" w:rsidRPr="00883399" w:rsidRDefault="00872C03" w:rsidP="00872C03">
      <w:pPr>
        <w:pStyle w:val="subsection2"/>
        <w:rPr>
          <w:sz w:val="24"/>
        </w:rPr>
      </w:pPr>
      <w:r w:rsidRPr="00883399">
        <w:rPr>
          <w:sz w:val="24"/>
        </w:rPr>
        <w:t>where:</w:t>
      </w:r>
    </w:p>
    <w:p w14:paraId="6DDB01EF" w14:textId="77777777" w:rsidR="00872C03" w:rsidRPr="00883399" w:rsidRDefault="00872C03" w:rsidP="00872C03">
      <w:pPr>
        <w:pStyle w:val="Definition0"/>
        <w:rPr>
          <w:sz w:val="24"/>
        </w:rPr>
      </w:pPr>
      <w:r w:rsidRPr="00883399">
        <w:rPr>
          <w:b/>
          <w:i/>
          <w:sz w:val="24"/>
        </w:rPr>
        <w:t>M</w:t>
      </w:r>
      <w:r w:rsidRPr="00883399">
        <w:rPr>
          <w:b/>
          <w:i/>
          <w:sz w:val="24"/>
          <w:vertAlign w:val="subscript"/>
        </w:rPr>
        <w:t>WI</w:t>
      </w:r>
      <w:r w:rsidRPr="00883399">
        <w:rPr>
          <w:b/>
          <w:i/>
          <w:sz w:val="24"/>
        </w:rPr>
        <w:t xml:space="preserve"> </w:t>
      </w:r>
      <w:r w:rsidRPr="00883399">
        <w:rPr>
          <w:sz w:val="24"/>
        </w:rPr>
        <w:t>is the rate of water flow into the mine in cubic metres per year as measured under section 3.35.</w:t>
      </w:r>
    </w:p>
    <w:p w14:paraId="05E61AED" w14:textId="77777777" w:rsidR="00872C03" w:rsidRPr="00883399" w:rsidRDefault="00872C03" w:rsidP="00872C03">
      <w:pPr>
        <w:pStyle w:val="Definition0"/>
        <w:rPr>
          <w:sz w:val="24"/>
        </w:rPr>
      </w:pPr>
      <w:r w:rsidRPr="00883399">
        <w:rPr>
          <w:b/>
          <w:i/>
          <w:sz w:val="24"/>
        </w:rPr>
        <w:t>M</w:t>
      </w:r>
      <w:r w:rsidRPr="00883399">
        <w:rPr>
          <w:b/>
          <w:i/>
          <w:sz w:val="24"/>
          <w:vertAlign w:val="subscript"/>
        </w:rPr>
        <w:t>VV</w:t>
      </w:r>
      <w:r w:rsidRPr="00883399">
        <w:rPr>
          <w:b/>
          <w:i/>
          <w:sz w:val="24"/>
        </w:rPr>
        <w:t xml:space="preserve"> </w:t>
      </w:r>
      <w:r w:rsidRPr="00883399">
        <w:rPr>
          <w:sz w:val="24"/>
        </w:rPr>
        <w:t>is the mine void volume in cubic metres as measured under section 3.36.</w:t>
      </w:r>
    </w:p>
    <w:p w14:paraId="67A3AC45" w14:textId="77777777" w:rsidR="00872C03" w:rsidRPr="00883399" w:rsidRDefault="00872C03" w:rsidP="00872C03">
      <w:pPr>
        <w:pStyle w:val="Definition0"/>
        <w:rPr>
          <w:sz w:val="24"/>
        </w:rPr>
      </w:pPr>
      <w:r w:rsidRPr="00883399">
        <w:rPr>
          <w:b/>
          <w:i/>
          <w:sz w:val="24"/>
        </w:rPr>
        <w:t xml:space="preserve">years </w:t>
      </w:r>
      <w:r w:rsidRPr="00883399">
        <w:rPr>
          <w:sz w:val="24"/>
        </w:rPr>
        <w:t>is the number of years since the mine was decommissioned.</w:t>
      </w:r>
    </w:p>
    <w:p w14:paraId="0D14B96C" w14:textId="77777777" w:rsidR="00872C03" w:rsidRPr="00883399" w:rsidRDefault="00872C03" w:rsidP="00872C03">
      <w:pPr>
        <w:pStyle w:val="ActHead5"/>
        <w:rPr>
          <w:sz w:val="28"/>
        </w:rPr>
      </w:pPr>
      <w:bookmarkStart w:id="512" w:name="_Toc423516901"/>
      <w:bookmarkStart w:id="513" w:name="_Toc495652820"/>
      <w:r w:rsidRPr="00883399">
        <w:rPr>
          <w:rStyle w:val="CharSectno"/>
          <w:sz w:val="28"/>
        </w:rPr>
        <w:t>3.35</w:t>
      </w:r>
      <w:r w:rsidRPr="00883399">
        <w:rPr>
          <w:sz w:val="28"/>
        </w:rPr>
        <w:t xml:space="preserve">  Water flow into mine</w:t>
      </w:r>
      <w:bookmarkEnd w:id="512"/>
      <w:bookmarkEnd w:id="513"/>
      <w:r w:rsidRPr="00883399">
        <w:rPr>
          <w:sz w:val="28"/>
        </w:rPr>
        <w:t xml:space="preserve"> </w:t>
      </w:r>
    </w:p>
    <w:p w14:paraId="6F1A1C5A" w14:textId="77777777" w:rsidR="00872C03" w:rsidRPr="00883399" w:rsidRDefault="00872C03" w:rsidP="00872C03">
      <w:pPr>
        <w:pStyle w:val="subsection"/>
        <w:rPr>
          <w:sz w:val="24"/>
        </w:rPr>
      </w:pPr>
      <w:r w:rsidRPr="00883399">
        <w:rPr>
          <w:sz w:val="24"/>
        </w:rPr>
        <w:tab/>
      </w:r>
      <w:r w:rsidRPr="00883399">
        <w:rPr>
          <w:sz w:val="24"/>
        </w:rPr>
        <w:tab/>
        <w:t xml:space="preserve">For </w:t>
      </w:r>
      <w:r w:rsidRPr="00883399">
        <w:rPr>
          <w:b/>
          <w:i/>
          <w:sz w:val="24"/>
        </w:rPr>
        <w:t>M</w:t>
      </w:r>
      <w:r w:rsidRPr="00883399">
        <w:rPr>
          <w:b/>
          <w:i/>
          <w:sz w:val="24"/>
          <w:vertAlign w:val="subscript"/>
        </w:rPr>
        <w:t>WI</w:t>
      </w:r>
      <w:r w:rsidRPr="00883399">
        <w:rPr>
          <w:i/>
          <w:sz w:val="24"/>
        </w:rPr>
        <w:t xml:space="preserve"> </w:t>
      </w:r>
      <w:r w:rsidRPr="00883399">
        <w:rPr>
          <w:sz w:val="24"/>
        </w:rPr>
        <w:t>in section 3.34, the rate of water flow into the mine must be measured by:</w:t>
      </w:r>
    </w:p>
    <w:p w14:paraId="57BEAAC5" w14:textId="77777777" w:rsidR="00872C03" w:rsidRPr="00883399" w:rsidRDefault="00872C03" w:rsidP="00872C03">
      <w:pPr>
        <w:pStyle w:val="paragraph"/>
        <w:rPr>
          <w:sz w:val="24"/>
        </w:rPr>
      </w:pPr>
      <w:r w:rsidRPr="00883399">
        <w:rPr>
          <w:sz w:val="24"/>
        </w:rPr>
        <w:tab/>
        <w:t>(a)</w:t>
      </w:r>
      <w:r w:rsidRPr="00883399">
        <w:rPr>
          <w:sz w:val="24"/>
        </w:rPr>
        <w:tab/>
        <w:t>using water flow rates for the mine estimated in accordance with an appropriate standard; or</w:t>
      </w:r>
    </w:p>
    <w:p w14:paraId="48AA2DFE" w14:textId="77777777" w:rsidR="00872C03" w:rsidRPr="00883399" w:rsidRDefault="00872C03" w:rsidP="00872C03">
      <w:pPr>
        <w:pStyle w:val="paragraph"/>
        <w:rPr>
          <w:sz w:val="24"/>
        </w:rPr>
      </w:pPr>
      <w:r w:rsidRPr="00883399">
        <w:rPr>
          <w:sz w:val="24"/>
        </w:rPr>
        <w:tab/>
        <w:t>(b)</w:t>
      </w:r>
      <w:r w:rsidRPr="00883399">
        <w:rPr>
          <w:sz w:val="24"/>
        </w:rPr>
        <w:tab/>
        <w:t>using the following average water flow rates:</w:t>
      </w:r>
    </w:p>
    <w:p w14:paraId="43B34EBA" w14:textId="77777777" w:rsidR="00872C03" w:rsidRPr="00883399" w:rsidRDefault="00872C03" w:rsidP="00872C03">
      <w:pPr>
        <w:pStyle w:val="paragraphsub"/>
        <w:rPr>
          <w:sz w:val="24"/>
        </w:rPr>
      </w:pPr>
      <w:r w:rsidRPr="00883399">
        <w:rPr>
          <w:sz w:val="24"/>
        </w:rPr>
        <w:tab/>
        <w:t>(i)</w:t>
      </w:r>
      <w:r w:rsidRPr="00883399">
        <w:rPr>
          <w:sz w:val="24"/>
        </w:rPr>
        <w:tab/>
        <w:t>for a mine in the southern coalfield of New South Wales—913 000 cubic metres per year; or</w:t>
      </w:r>
    </w:p>
    <w:p w14:paraId="50E00D29" w14:textId="77777777" w:rsidR="00872C03" w:rsidRPr="00883399" w:rsidRDefault="00872C03" w:rsidP="00872C03">
      <w:pPr>
        <w:pStyle w:val="paragraphsub"/>
        <w:rPr>
          <w:sz w:val="24"/>
        </w:rPr>
      </w:pPr>
      <w:r w:rsidRPr="00883399">
        <w:rPr>
          <w:sz w:val="24"/>
        </w:rPr>
        <w:tab/>
        <w:t>(ii)</w:t>
      </w:r>
      <w:r w:rsidRPr="00883399">
        <w:rPr>
          <w:sz w:val="24"/>
        </w:rPr>
        <w:tab/>
        <w:t>for a mine in the Newcastle, Hunter, Western or Gunnedah coalfields in New South Wales—450 000 cubic metres per year; or</w:t>
      </w:r>
    </w:p>
    <w:p w14:paraId="3E65C4B2" w14:textId="77777777" w:rsidR="00872C03" w:rsidRPr="00883399" w:rsidRDefault="00872C03" w:rsidP="00872C03">
      <w:pPr>
        <w:pStyle w:val="paragraphsub"/>
        <w:rPr>
          <w:sz w:val="24"/>
        </w:rPr>
      </w:pPr>
      <w:r w:rsidRPr="00883399">
        <w:rPr>
          <w:sz w:val="24"/>
        </w:rPr>
        <w:tab/>
        <w:t>(iii)</w:t>
      </w:r>
      <w:r w:rsidRPr="00883399">
        <w:rPr>
          <w:sz w:val="24"/>
        </w:rPr>
        <w:tab/>
        <w:t>for a mine in Queensland—74 000 cubic metres per year.</w:t>
      </w:r>
    </w:p>
    <w:p w14:paraId="6137C298" w14:textId="77777777" w:rsidR="00872C03" w:rsidRPr="00883399" w:rsidRDefault="00872C03" w:rsidP="00872C03">
      <w:pPr>
        <w:pStyle w:val="notetext"/>
        <w:rPr>
          <w:sz w:val="20"/>
        </w:rPr>
      </w:pPr>
      <w:r w:rsidRPr="00883399">
        <w:rPr>
          <w:sz w:val="20"/>
        </w:rPr>
        <w:t>Note:</w:t>
      </w:r>
      <w:r w:rsidRPr="00883399">
        <w:rPr>
          <w:sz w:val="20"/>
        </w:rPr>
        <w:tab/>
        <w:t xml:space="preserve">An appropriate standard includes AS 2519—1993 </w:t>
      </w:r>
      <w:r w:rsidRPr="00883399">
        <w:rPr>
          <w:i/>
          <w:sz w:val="20"/>
        </w:rPr>
        <w:t>Guide to the technical evaluation of higher rank coal deposits</w:t>
      </w:r>
      <w:r w:rsidRPr="00883399">
        <w:rPr>
          <w:sz w:val="20"/>
        </w:rPr>
        <w:t>.</w:t>
      </w:r>
    </w:p>
    <w:p w14:paraId="33312A92" w14:textId="0DE84568" w:rsidR="00872C03" w:rsidRPr="00883399" w:rsidRDefault="00872C03" w:rsidP="00872C03">
      <w:pPr>
        <w:pStyle w:val="ActHead5"/>
        <w:rPr>
          <w:sz w:val="28"/>
        </w:rPr>
      </w:pPr>
      <w:bookmarkStart w:id="514" w:name="_Toc423516902"/>
      <w:bookmarkStart w:id="515" w:name="_Toc495652821"/>
      <w:r w:rsidRPr="00883399">
        <w:rPr>
          <w:rStyle w:val="CharSectno"/>
          <w:sz w:val="28"/>
        </w:rPr>
        <w:t>3.36</w:t>
      </w:r>
      <w:r w:rsidRPr="00883399">
        <w:rPr>
          <w:sz w:val="28"/>
        </w:rPr>
        <w:t xml:space="preserve">  Size of mine void volume</w:t>
      </w:r>
      <w:bookmarkEnd w:id="514"/>
      <w:bookmarkEnd w:id="515"/>
    </w:p>
    <w:p w14:paraId="003AE55B" w14:textId="77777777" w:rsidR="00872C03" w:rsidRPr="00883399" w:rsidRDefault="00872C03" w:rsidP="00872C03">
      <w:pPr>
        <w:pStyle w:val="subsection"/>
        <w:rPr>
          <w:sz w:val="24"/>
        </w:rPr>
      </w:pPr>
      <w:r w:rsidRPr="00883399">
        <w:rPr>
          <w:sz w:val="24"/>
        </w:rPr>
        <w:tab/>
      </w:r>
      <w:r w:rsidRPr="00883399">
        <w:rPr>
          <w:sz w:val="24"/>
        </w:rPr>
        <w:tab/>
        <w:t xml:space="preserve">For </w:t>
      </w:r>
      <w:r w:rsidRPr="00883399">
        <w:rPr>
          <w:b/>
          <w:i/>
          <w:sz w:val="24"/>
        </w:rPr>
        <w:t>M</w:t>
      </w:r>
      <w:r w:rsidRPr="00883399">
        <w:rPr>
          <w:b/>
          <w:i/>
          <w:sz w:val="24"/>
          <w:vertAlign w:val="subscript"/>
        </w:rPr>
        <w:t>VV</w:t>
      </w:r>
      <w:r w:rsidRPr="00883399">
        <w:rPr>
          <w:sz w:val="24"/>
        </w:rPr>
        <w:t xml:space="preserve"> in section 3.34, the size of the mine void volume must be measured by:</w:t>
      </w:r>
    </w:p>
    <w:p w14:paraId="6E7D7E04" w14:textId="77777777" w:rsidR="00872C03" w:rsidRPr="00883399" w:rsidRDefault="00872C03" w:rsidP="00872C03">
      <w:pPr>
        <w:pStyle w:val="paragraph"/>
        <w:rPr>
          <w:sz w:val="24"/>
        </w:rPr>
      </w:pPr>
      <w:r w:rsidRPr="00883399">
        <w:rPr>
          <w:sz w:val="24"/>
        </w:rPr>
        <w:tab/>
        <w:t>(a)</w:t>
      </w:r>
      <w:r w:rsidRPr="00883399">
        <w:rPr>
          <w:sz w:val="24"/>
        </w:rPr>
        <w:tab/>
        <w:t>using mine void volumes for the mine estimated in accordance with industry practice; or</w:t>
      </w:r>
    </w:p>
    <w:p w14:paraId="5F5854DE" w14:textId="77777777" w:rsidR="00872C03" w:rsidRPr="00883399" w:rsidRDefault="00872C03" w:rsidP="00872C03">
      <w:pPr>
        <w:pStyle w:val="paragraph"/>
        <w:rPr>
          <w:sz w:val="24"/>
        </w:rPr>
      </w:pPr>
      <w:r w:rsidRPr="00883399">
        <w:rPr>
          <w:sz w:val="24"/>
        </w:rPr>
        <w:lastRenderedPageBreak/>
        <w:tab/>
        <w:t>(b)</w:t>
      </w:r>
      <w:r w:rsidRPr="00883399">
        <w:rPr>
          <w:sz w:val="24"/>
        </w:rPr>
        <w:tab/>
        <w:t>dividing the total amount of run</w:t>
      </w:r>
      <w:r w:rsidRPr="00883399">
        <w:rPr>
          <w:sz w:val="24"/>
        </w:rPr>
        <w:noBreakHyphen/>
        <w:t>of</w:t>
      </w:r>
      <w:r w:rsidRPr="00883399">
        <w:rPr>
          <w:sz w:val="24"/>
        </w:rPr>
        <w:noBreakHyphen/>
        <w:t>mine coal extracted from the mine before the mine was decommissioned by 1.425.</w:t>
      </w:r>
    </w:p>
    <w:p w14:paraId="5ABCA2C9" w14:textId="6B973A1D" w:rsidR="00872C03" w:rsidRPr="00883399" w:rsidRDefault="00872C03" w:rsidP="00872C03">
      <w:pPr>
        <w:pStyle w:val="ActHead5"/>
        <w:rPr>
          <w:sz w:val="28"/>
        </w:rPr>
      </w:pPr>
      <w:bookmarkStart w:id="516" w:name="_Toc423516903"/>
      <w:bookmarkStart w:id="517" w:name="_Toc495652822"/>
      <w:r w:rsidRPr="00883399">
        <w:rPr>
          <w:rStyle w:val="CharSectno"/>
          <w:sz w:val="28"/>
        </w:rPr>
        <w:t>3.37</w:t>
      </w:r>
      <w:r w:rsidRPr="00883399">
        <w:rPr>
          <w:sz w:val="28"/>
        </w:rPr>
        <w:t xml:space="preserve">  Method 4—decommissioned underground mines</w:t>
      </w:r>
      <w:bookmarkEnd w:id="516"/>
      <w:bookmarkEnd w:id="517"/>
    </w:p>
    <w:p w14:paraId="11BDE691" w14:textId="77777777" w:rsidR="00872C03" w:rsidRPr="00883399" w:rsidRDefault="00872C03" w:rsidP="00872C03">
      <w:pPr>
        <w:pStyle w:val="subsection"/>
        <w:rPr>
          <w:sz w:val="24"/>
        </w:rPr>
      </w:pPr>
      <w:r w:rsidRPr="00883399">
        <w:rPr>
          <w:sz w:val="24"/>
        </w:rPr>
        <w:tab/>
        <w:t>(1)</w:t>
      </w:r>
      <w:r w:rsidRPr="00883399">
        <w:rPr>
          <w:sz w:val="24"/>
        </w:rPr>
        <w:tab/>
        <w:t>For paragraph 3.31(2)(b) and subsection 3.31(3), method 4 is the same as method 4 in section 3.6.</w:t>
      </w:r>
    </w:p>
    <w:p w14:paraId="3D431195" w14:textId="77777777" w:rsidR="00872C03" w:rsidRPr="00883399" w:rsidRDefault="00872C03" w:rsidP="00872C03">
      <w:pPr>
        <w:pStyle w:val="subsection"/>
        <w:rPr>
          <w:sz w:val="24"/>
        </w:rPr>
      </w:pPr>
      <w:r w:rsidRPr="00883399">
        <w:rPr>
          <w:sz w:val="24"/>
        </w:rPr>
        <w:tab/>
        <w:t>(2)</w:t>
      </w:r>
      <w:r w:rsidRPr="00883399">
        <w:rPr>
          <w:sz w:val="24"/>
        </w:rPr>
        <w:tab/>
        <w:t>In applying method 4 under section 3.6, a reference to an underground mine is taken to be a reference to a decommissioned underground mine.</w:t>
      </w:r>
    </w:p>
    <w:p w14:paraId="510650DA" w14:textId="2F70ABB1" w:rsidR="00872C03" w:rsidRPr="00883399" w:rsidRDefault="00872C03" w:rsidP="00872C03">
      <w:pPr>
        <w:pStyle w:val="ActHead4"/>
        <w:rPr>
          <w:sz w:val="28"/>
        </w:rPr>
      </w:pPr>
      <w:bookmarkStart w:id="518" w:name="_Toc423516904"/>
      <w:bookmarkStart w:id="519" w:name="_Toc495652823"/>
      <w:r w:rsidRPr="00883399">
        <w:rPr>
          <w:rStyle w:val="CharSubdNo"/>
          <w:sz w:val="28"/>
        </w:rPr>
        <w:t>Subdivision 3.2.4.3</w:t>
      </w:r>
      <w:r w:rsidRPr="00883399">
        <w:rPr>
          <w:sz w:val="28"/>
        </w:rPr>
        <w:t>—</w:t>
      </w:r>
      <w:r w:rsidRPr="00883399">
        <w:rPr>
          <w:rStyle w:val="CharSubdText"/>
          <w:sz w:val="28"/>
        </w:rPr>
        <w:t>Fugitive emissions from coal mine waste gas flared</w:t>
      </w:r>
      <w:bookmarkEnd w:id="518"/>
      <w:bookmarkEnd w:id="519"/>
    </w:p>
    <w:p w14:paraId="7A589F39" w14:textId="77777777" w:rsidR="00872C03" w:rsidRPr="00883399" w:rsidRDefault="00872C03" w:rsidP="00872C03">
      <w:pPr>
        <w:pStyle w:val="ActHead5"/>
        <w:rPr>
          <w:sz w:val="28"/>
        </w:rPr>
      </w:pPr>
      <w:bookmarkStart w:id="520" w:name="_Toc423516905"/>
      <w:bookmarkStart w:id="521" w:name="_Toc495652824"/>
      <w:r w:rsidRPr="00883399">
        <w:rPr>
          <w:rStyle w:val="CharSectno"/>
          <w:sz w:val="28"/>
        </w:rPr>
        <w:t>3.38</w:t>
      </w:r>
      <w:r w:rsidRPr="00883399">
        <w:rPr>
          <w:sz w:val="28"/>
        </w:rPr>
        <w:t xml:space="preserve">  Method 1—coal mine waste gas flared</w:t>
      </w:r>
      <w:bookmarkEnd w:id="520"/>
      <w:bookmarkEnd w:id="521"/>
      <w:r w:rsidRPr="00883399">
        <w:rPr>
          <w:sz w:val="28"/>
        </w:rPr>
        <w:t xml:space="preserve"> </w:t>
      </w:r>
    </w:p>
    <w:p w14:paraId="34E13A5B" w14:textId="77777777" w:rsidR="00872C03" w:rsidRPr="00883399" w:rsidRDefault="00872C03" w:rsidP="00872C03">
      <w:pPr>
        <w:pStyle w:val="Text"/>
        <w:rPr>
          <w:rStyle w:val="CharSchPTText"/>
          <w:rFonts w:ascii="Arial" w:hAnsi="Arial" w:cs="Arial"/>
          <w:sz w:val="22"/>
          <w:szCs w:val="22"/>
        </w:rPr>
      </w:pPr>
      <w:r w:rsidRPr="00883399">
        <w:rPr>
          <w:rStyle w:val="CharSchPTText"/>
          <w:rFonts w:ascii="Arial" w:hAnsi="Arial" w:cs="Arial"/>
          <w:sz w:val="22"/>
          <w:szCs w:val="22"/>
        </w:rPr>
        <w:t>Emissions using Method 1 are estimated by multiplying the quantity of gas flared by the energy content and emission factor for the coal mine waste gas. The quantity of coal mine waste gas flared should be estimated in accordance with Division 2.3.6. The energy content and emission factors are obtained from Division 2.3.2 of Chapter 2.</w:t>
      </w:r>
    </w:p>
    <w:p w14:paraId="3F887738" w14:textId="77777777" w:rsidR="00872C03" w:rsidRPr="00883399" w:rsidRDefault="00872C03" w:rsidP="00872C03">
      <w:pPr>
        <w:pStyle w:val="subsection"/>
        <w:rPr>
          <w:sz w:val="24"/>
        </w:rPr>
      </w:pPr>
      <w:r w:rsidRPr="00883399">
        <w:rPr>
          <w:sz w:val="24"/>
        </w:rPr>
        <w:tab/>
        <w:t>(1)</w:t>
      </w:r>
      <w:r w:rsidRPr="00883399">
        <w:rPr>
          <w:sz w:val="24"/>
        </w:rPr>
        <w:tab/>
        <w:t>For subparagraph 3.31(4)(a)(i) and paragraphs 3.31(4)(b) and (4)(c), method 1 is the same as method 1 under section 3.14.</w:t>
      </w:r>
    </w:p>
    <w:p w14:paraId="71528817" w14:textId="77777777" w:rsidR="00872C03" w:rsidRPr="00883399" w:rsidRDefault="00872C03" w:rsidP="00872C03">
      <w:pPr>
        <w:pStyle w:val="subsection"/>
        <w:rPr>
          <w:sz w:val="24"/>
        </w:rPr>
      </w:pPr>
      <w:r w:rsidRPr="00883399">
        <w:rPr>
          <w:sz w:val="24"/>
        </w:rPr>
        <w:tab/>
        <w:t>(2)</w:t>
      </w:r>
      <w:r w:rsidRPr="00883399">
        <w:rPr>
          <w:sz w:val="24"/>
        </w:rPr>
        <w:tab/>
        <w:t>In applying method 1 under section 3.14, a reference to an underground mine is taken to be a reference to a decommissioned underground mine.</w:t>
      </w:r>
    </w:p>
    <w:p w14:paraId="063BD804" w14:textId="07CACA05" w:rsidR="00872C03" w:rsidRPr="00883399" w:rsidRDefault="00872C03" w:rsidP="00872C03">
      <w:pPr>
        <w:pStyle w:val="ActHead5"/>
        <w:rPr>
          <w:sz w:val="28"/>
        </w:rPr>
      </w:pPr>
      <w:bookmarkStart w:id="522" w:name="_Toc423516906"/>
      <w:bookmarkStart w:id="523" w:name="_Toc495652825"/>
      <w:r w:rsidRPr="00883399">
        <w:rPr>
          <w:rStyle w:val="CharSectno"/>
          <w:sz w:val="28"/>
        </w:rPr>
        <w:t>3.39</w:t>
      </w:r>
      <w:r w:rsidRPr="00883399">
        <w:rPr>
          <w:sz w:val="28"/>
        </w:rPr>
        <w:t xml:space="preserve">  Method 2—coal mine waste gas flared</w:t>
      </w:r>
      <w:bookmarkEnd w:id="522"/>
      <w:bookmarkEnd w:id="523"/>
    </w:p>
    <w:p w14:paraId="40DAB618" w14:textId="77777777" w:rsidR="00872C03" w:rsidRPr="00883399" w:rsidRDefault="00872C03" w:rsidP="00872C03">
      <w:pPr>
        <w:pStyle w:val="subsection"/>
        <w:rPr>
          <w:sz w:val="24"/>
        </w:rPr>
      </w:pPr>
      <w:r w:rsidRPr="00883399">
        <w:rPr>
          <w:sz w:val="24"/>
        </w:rPr>
        <w:tab/>
      </w:r>
      <w:r w:rsidRPr="00883399">
        <w:rPr>
          <w:sz w:val="24"/>
        </w:rPr>
        <w:tab/>
        <w:t>For subparagraph 3.31(4)(a)(ii), method 2 is the same as method 2 under section 3.15.</w:t>
      </w:r>
    </w:p>
    <w:p w14:paraId="218889BE" w14:textId="1EEA6866" w:rsidR="00872C03" w:rsidRPr="00883399" w:rsidRDefault="00872C03" w:rsidP="00872C03">
      <w:pPr>
        <w:pStyle w:val="ActHead5"/>
        <w:rPr>
          <w:sz w:val="28"/>
        </w:rPr>
      </w:pPr>
      <w:bookmarkStart w:id="524" w:name="_Toc423516907"/>
      <w:bookmarkStart w:id="525" w:name="_Toc495652826"/>
      <w:r w:rsidRPr="00883399">
        <w:rPr>
          <w:rStyle w:val="CharSectno"/>
          <w:sz w:val="28"/>
        </w:rPr>
        <w:t>3.40</w:t>
      </w:r>
      <w:r w:rsidRPr="00883399">
        <w:rPr>
          <w:sz w:val="28"/>
        </w:rPr>
        <w:t xml:space="preserve">  Method 3—coal mine waste gas flared</w:t>
      </w:r>
      <w:bookmarkEnd w:id="524"/>
      <w:bookmarkEnd w:id="525"/>
    </w:p>
    <w:p w14:paraId="0E18FB65" w14:textId="77777777" w:rsidR="00872C03" w:rsidRPr="00883399" w:rsidRDefault="00872C03" w:rsidP="00872C03">
      <w:pPr>
        <w:pStyle w:val="subsection"/>
        <w:rPr>
          <w:sz w:val="24"/>
        </w:rPr>
      </w:pPr>
      <w:r w:rsidRPr="00883399">
        <w:rPr>
          <w:sz w:val="24"/>
        </w:rPr>
        <w:tab/>
      </w:r>
      <w:r w:rsidRPr="00883399">
        <w:rPr>
          <w:sz w:val="24"/>
        </w:rPr>
        <w:tab/>
        <w:t xml:space="preserve">For subparagraph 3.31(4)(a)(iii), method 3 is the same as method 3 under section 3.16. </w:t>
      </w:r>
    </w:p>
    <w:p w14:paraId="6F70FC19" w14:textId="0DAE6DB8" w:rsidR="00872C03" w:rsidRPr="00883399" w:rsidRDefault="00872C03" w:rsidP="00872C03">
      <w:pPr>
        <w:pStyle w:val="ActHead2"/>
        <w:pageBreakBefore/>
        <w:rPr>
          <w:sz w:val="36"/>
        </w:rPr>
      </w:pPr>
      <w:bookmarkStart w:id="526" w:name="_Toc423516908"/>
      <w:bookmarkStart w:id="527" w:name="_Toc495652827"/>
      <w:r w:rsidRPr="00883399">
        <w:rPr>
          <w:rStyle w:val="CharPartNo"/>
          <w:sz w:val="36"/>
        </w:rPr>
        <w:lastRenderedPageBreak/>
        <w:t>Part 3.3</w:t>
      </w:r>
      <w:r w:rsidRPr="00883399">
        <w:rPr>
          <w:sz w:val="36"/>
        </w:rPr>
        <w:t>—</w:t>
      </w:r>
      <w:r w:rsidRPr="00883399">
        <w:rPr>
          <w:rStyle w:val="CharPartText"/>
          <w:sz w:val="36"/>
        </w:rPr>
        <w:t>Oil and natural gas—fugitive emissions</w:t>
      </w:r>
      <w:bookmarkEnd w:id="526"/>
      <w:bookmarkEnd w:id="527"/>
    </w:p>
    <w:p w14:paraId="5C8443F1" w14:textId="7A2A629E" w:rsidR="00872C03" w:rsidRPr="00883399" w:rsidRDefault="00872C03" w:rsidP="00872C03">
      <w:pPr>
        <w:pStyle w:val="ActHead3"/>
        <w:rPr>
          <w:sz w:val="32"/>
        </w:rPr>
      </w:pPr>
      <w:bookmarkStart w:id="528" w:name="_Toc423516909"/>
      <w:bookmarkStart w:id="529" w:name="_Toc495652828"/>
      <w:r w:rsidRPr="00883399">
        <w:rPr>
          <w:rStyle w:val="CharDivNo"/>
          <w:sz w:val="32"/>
        </w:rPr>
        <w:t>Division 3.3.1</w:t>
      </w:r>
      <w:r w:rsidRPr="00883399">
        <w:rPr>
          <w:sz w:val="32"/>
        </w:rPr>
        <w:t>—</w:t>
      </w:r>
      <w:r w:rsidRPr="00883399">
        <w:rPr>
          <w:rStyle w:val="CharDivText"/>
          <w:sz w:val="32"/>
        </w:rPr>
        <w:t>Preliminary</w:t>
      </w:r>
      <w:bookmarkEnd w:id="528"/>
      <w:bookmarkEnd w:id="529"/>
    </w:p>
    <w:p w14:paraId="592F4DF0" w14:textId="77777777" w:rsidR="00872C03" w:rsidRPr="00883399" w:rsidRDefault="00872C03" w:rsidP="00872C03">
      <w:pPr>
        <w:pStyle w:val="R1"/>
        <w:keepLines w:val="0"/>
        <w:tabs>
          <w:tab w:val="clear" w:pos="794"/>
          <w:tab w:val="right" w:pos="0"/>
        </w:tabs>
        <w:spacing w:before="240" w:line="312" w:lineRule="auto"/>
        <w:ind w:left="0" w:firstLine="0"/>
        <w:jc w:val="left"/>
        <w:rPr>
          <w:rFonts w:ascii="Arial" w:hAnsi="Arial" w:cs="Arial"/>
          <w:sz w:val="22"/>
          <w:szCs w:val="22"/>
        </w:rPr>
      </w:pPr>
      <w:bookmarkStart w:id="530" w:name="_Toc423516910"/>
      <w:r w:rsidRPr="00883399">
        <w:rPr>
          <w:rFonts w:ascii="Arial" w:hAnsi="Arial" w:cs="Arial"/>
          <w:sz w:val="22"/>
          <w:szCs w:val="22"/>
        </w:rPr>
        <w:t xml:space="preserve">This part includes fugitive emissions from exploration, production, transport, storage, processing and refining of oil or gas. </w:t>
      </w:r>
    </w:p>
    <w:p w14:paraId="06CDE4C8" w14:textId="77777777" w:rsidR="00872C03" w:rsidRPr="00883399" w:rsidRDefault="00872C03" w:rsidP="00872C03">
      <w:pPr>
        <w:pStyle w:val="R1"/>
        <w:keepLines w:val="0"/>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Other sources of emissions arising from the production processes, such as from the combustion of fuels for energy, are not described in this chapter and must be estimated using the Methods described in other chapters.   </w:t>
      </w:r>
    </w:p>
    <w:p w14:paraId="23CE720C" w14:textId="77777777" w:rsidR="00872C03" w:rsidRPr="00883399" w:rsidRDefault="00872C03" w:rsidP="00872C03">
      <w:pPr>
        <w:pStyle w:val="R1"/>
        <w:keepLines w:val="0"/>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Fugitive emissions in the oil and gas sector can be largely classified as being either a vent, leak or a flare. A flare involves the combustion of a gas or liquid for a non-energy purpose. The distinction between leaks and vents was derived from the definition used by the American Petroleum Institute Compendium of Greenhouse Gas Emissions Methodologies for the Oil and Natural Gas Industry (API) and was developed for the application for the Determination in consultation with industry. </w:t>
      </w:r>
    </w:p>
    <w:p w14:paraId="41FA0256" w14:textId="77777777" w:rsidR="00872C03" w:rsidRPr="00883399" w:rsidRDefault="00872C03" w:rsidP="00872C03">
      <w:pPr>
        <w:pStyle w:val="R1"/>
        <w:keepLines w:val="0"/>
        <w:tabs>
          <w:tab w:val="clear" w:pos="794"/>
          <w:tab w:val="right" w:pos="0"/>
        </w:tabs>
        <w:spacing w:before="240" w:line="312" w:lineRule="auto"/>
        <w:ind w:left="0" w:firstLine="0"/>
        <w:jc w:val="left"/>
        <w:rPr>
          <w:rFonts w:ascii="Arial" w:hAnsi="Arial" w:cs="Arial"/>
          <w:sz w:val="22"/>
          <w:szCs w:val="22"/>
          <w:u w:val="single"/>
        </w:rPr>
      </w:pPr>
      <w:r w:rsidRPr="00883399">
        <w:rPr>
          <w:rFonts w:ascii="Arial" w:hAnsi="Arial" w:cs="Arial"/>
          <w:sz w:val="22"/>
          <w:szCs w:val="22"/>
          <w:u w:val="single"/>
        </w:rPr>
        <w:t>Vent</w:t>
      </w:r>
    </w:p>
    <w:p w14:paraId="2F387E20" w14:textId="77777777" w:rsidR="00872C03" w:rsidRPr="00883399" w:rsidRDefault="00872C03" w:rsidP="00872C03">
      <w:pPr>
        <w:pStyle w:val="R1"/>
        <w:keepLines w:val="0"/>
        <w:tabs>
          <w:tab w:val="clear" w:pos="794"/>
          <w:tab w:val="right" w:pos="0"/>
        </w:tabs>
        <w:spacing w:line="312" w:lineRule="auto"/>
        <w:ind w:left="0" w:firstLine="0"/>
        <w:jc w:val="left"/>
        <w:rPr>
          <w:rFonts w:ascii="Arial" w:hAnsi="Arial" w:cs="Arial"/>
          <w:sz w:val="22"/>
          <w:szCs w:val="22"/>
        </w:rPr>
      </w:pPr>
      <w:r w:rsidRPr="00883399">
        <w:rPr>
          <w:rFonts w:ascii="Arial" w:hAnsi="Arial" w:cs="Arial"/>
          <w:sz w:val="22"/>
          <w:szCs w:val="22"/>
        </w:rPr>
        <w:t>Vents are considered to be emissions that are the result of process or equipment design or operational practices; and;</w:t>
      </w:r>
    </w:p>
    <w:p w14:paraId="254B6625" w14:textId="77777777" w:rsidR="00872C03" w:rsidRPr="00883399" w:rsidRDefault="00872C03" w:rsidP="00872C03">
      <w:pPr>
        <w:pStyle w:val="R1"/>
        <w:keepLines w:val="0"/>
        <w:tabs>
          <w:tab w:val="clear" w:pos="794"/>
          <w:tab w:val="right" w:pos="0"/>
        </w:tabs>
        <w:spacing w:before="240" w:line="312" w:lineRule="auto"/>
        <w:ind w:left="0" w:firstLine="0"/>
        <w:jc w:val="left"/>
        <w:rPr>
          <w:rFonts w:ascii="Arial" w:hAnsi="Arial" w:cs="Arial"/>
          <w:sz w:val="22"/>
          <w:szCs w:val="22"/>
          <w:u w:val="single"/>
        </w:rPr>
      </w:pPr>
      <w:r w:rsidRPr="00883399">
        <w:rPr>
          <w:rFonts w:ascii="Arial" w:hAnsi="Arial" w:cs="Arial"/>
          <w:sz w:val="22"/>
          <w:szCs w:val="22"/>
          <w:u w:val="single"/>
        </w:rPr>
        <w:t>Leak</w:t>
      </w:r>
    </w:p>
    <w:p w14:paraId="589A6F15" w14:textId="77777777" w:rsidR="00872C03" w:rsidRPr="00883399" w:rsidRDefault="00872C03" w:rsidP="00872C03">
      <w:pPr>
        <w:pStyle w:val="R1"/>
        <w:keepLines w:val="0"/>
        <w:tabs>
          <w:tab w:val="clear" w:pos="794"/>
          <w:tab w:val="right" w:pos="0"/>
        </w:tabs>
        <w:spacing w:line="312" w:lineRule="auto"/>
        <w:ind w:left="0" w:firstLine="0"/>
        <w:jc w:val="left"/>
        <w:rPr>
          <w:rFonts w:ascii="Arial" w:hAnsi="Arial" w:cs="Arial"/>
          <w:sz w:val="22"/>
          <w:szCs w:val="22"/>
        </w:rPr>
      </w:pPr>
      <w:r w:rsidRPr="00883399">
        <w:rPr>
          <w:rFonts w:ascii="Arial" w:hAnsi="Arial" w:cs="Arial"/>
          <w:sz w:val="22"/>
          <w:szCs w:val="22"/>
        </w:rPr>
        <w:t>Leaks are considered to be emissions from unintentional equipment leaks from valves, flanges, pump seals, compressor seals, relief valves, sampling connections, process drains, process drains, open-ended lines, casing, tanks, casing leaks and other leakage sources from pressurised equipment not defined as a vent.</w:t>
      </w:r>
    </w:p>
    <w:p w14:paraId="37A46A12" w14:textId="77777777" w:rsidR="00872C03" w:rsidRPr="00883399" w:rsidRDefault="00872C03" w:rsidP="00872C03">
      <w:pPr>
        <w:pStyle w:val="R1"/>
        <w:keepLines w:val="0"/>
        <w:tabs>
          <w:tab w:val="clear" w:pos="794"/>
          <w:tab w:val="right" w:pos="0"/>
        </w:tabs>
        <w:spacing w:line="312" w:lineRule="auto"/>
        <w:ind w:left="0" w:firstLine="0"/>
        <w:jc w:val="left"/>
        <w:rPr>
          <w:rFonts w:ascii="Arial" w:hAnsi="Arial" w:cs="Arial"/>
          <w:sz w:val="22"/>
          <w:szCs w:val="22"/>
        </w:rPr>
      </w:pPr>
      <w:r w:rsidRPr="00883399">
        <w:rPr>
          <w:rFonts w:ascii="Arial" w:hAnsi="Arial" w:cs="Arial"/>
          <w:sz w:val="22"/>
          <w:szCs w:val="22"/>
        </w:rPr>
        <w:t>The Determination makes use of methods for estimating emissions from vents and leaks in the API Compendium. Amendments for July1 2012 have updated references from the 2004 API to the 2009 version of the API Compendium. The Determination refers to specific section of API 2009 for methods such as engineering approaches and activity or equipment type factors. Most sections of the API Compendium provide the gas content basis for the emission factors and note that the factors can be adjusted based on site-specific gas composition.</w:t>
      </w:r>
    </w:p>
    <w:p w14:paraId="39860E87" w14:textId="77777777" w:rsidR="00872C03" w:rsidRPr="00883399" w:rsidRDefault="00872C03" w:rsidP="00872C03">
      <w:pPr>
        <w:pStyle w:val="R1"/>
        <w:keepLines w:val="0"/>
        <w:tabs>
          <w:tab w:val="clear" w:pos="794"/>
          <w:tab w:val="right" w:pos="0"/>
        </w:tabs>
        <w:spacing w:before="240" w:line="312" w:lineRule="auto"/>
        <w:ind w:left="0" w:firstLine="0"/>
        <w:jc w:val="left"/>
        <w:rPr>
          <w:rFonts w:ascii="Arial" w:hAnsi="Arial" w:cs="Arial"/>
          <w:sz w:val="22"/>
          <w:szCs w:val="22"/>
          <w:u w:val="single"/>
        </w:rPr>
      </w:pPr>
      <w:r w:rsidRPr="00883399">
        <w:rPr>
          <w:rFonts w:ascii="Arial" w:hAnsi="Arial" w:cs="Arial"/>
          <w:sz w:val="22"/>
          <w:szCs w:val="22"/>
          <w:u w:val="single"/>
        </w:rPr>
        <w:t>Conversion flared cubic meters to flared tonnes</w:t>
      </w:r>
    </w:p>
    <w:p w14:paraId="66E830A6" w14:textId="77777777" w:rsidR="00872C03" w:rsidRPr="00883399" w:rsidRDefault="00872C03" w:rsidP="00872C03">
      <w:pPr>
        <w:pStyle w:val="R1"/>
        <w:keepLines w:val="0"/>
        <w:tabs>
          <w:tab w:val="clear" w:pos="794"/>
          <w:tab w:val="right" w:pos="0"/>
        </w:tabs>
        <w:spacing w:line="312" w:lineRule="auto"/>
        <w:ind w:left="0" w:firstLine="0"/>
        <w:jc w:val="left"/>
        <w:rPr>
          <w:rFonts w:ascii="Arial" w:hAnsi="Arial" w:cs="Arial"/>
          <w:sz w:val="22"/>
          <w:szCs w:val="22"/>
        </w:rPr>
      </w:pPr>
      <w:r w:rsidRPr="00883399">
        <w:rPr>
          <w:rFonts w:ascii="Arial" w:hAnsi="Arial" w:cs="Arial"/>
          <w:sz w:val="22"/>
          <w:szCs w:val="22"/>
        </w:rPr>
        <w:lastRenderedPageBreak/>
        <w:t>Depending on the original data units available to reporters, method 1 for estimating emissions from flaring may require a density conversion for the quantity of fuel type flared from cubic metres to tonnes. Rather than the Determination setting a default density, it is considered that the reporter would be best positioned to understand the characteristics of their flared gas stream. Considerable variability would be expected in the density of flare gas depending on plants and processes, and therefore a universal default figure is unlikely to be useful.</w:t>
      </w:r>
    </w:p>
    <w:p w14:paraId="749F47D0" w14:textId="77777777" w:rsidR="00872C03" w:rsidRPr="00883399" w:rsidRDefault="00872C03" w:rsidP="00872C03">
      <w:pPr>
        <w:pStyle w:val="R1"/>
        <w:keepLines w:val="0"/>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To complement the reporters understanding of their flared gas stream, various gas density values are available in national and international literature such as in the API 2009 Compendium or National Pollution Inventory manuals. Conversions are required to be estimated in standard conditions as specified in the Determination in 2.32 (7). Site specific density figures may also be derived using sampling and measurement approaches under section 2.24 of the Determination. Reporters are reminded of that the approach should be consistent with the general principles detailed in Section 1.13 of the Determination.</w:t>
      </w:r>
    </w:p>
    <w:p w14:paraId="1D92EBE7" w14:textId="666858ED" w:rsidR="00872C03" w:rsidRPr="00883399" w:rsidRDefault="00872C03" w:rsidP="00872C03">
      <w:pPr>
        <w:pStyle w:val="ActHead5"/>
        <w:rPr>
          <w:sz w:val="28"/>
        </w:rPr>
      </w:pPr>
      <w:bookmarkStart w:id="531" w:name="_Toc495652829"/>
      <w:r w:rsidRPr="00883399">
        <w:rPr>
          <w:rStyle w:val="CharSectno"/>
          <w:sz w:val="28"/>
        </w:rPr>
        <w:t>3.40A</w:t>
      </w:r>
      <w:r w:rsidRPr="00883399">
        <w:rPr>
          <w:sz w:val="28"/>
        </w:rPr>
        <w:t xml:space="preserve">  Definition of </w:t>
      </w:r>
      <w:r w:rsidRPr="00883399">
        <w:rPr>
          <w:i/>
          <w:sz w:val="28"/>
        </w:rPr>
        <w:t xml:space="preserve">natural gas </w:t>
      </w:r>
      <w:r w:rsidRPr="00883399">
        <w:rPr>
          <w:sz w:val="28"/>
        </w:rPr>
        <w:t>for Part 3.3</w:t>
      </w:r>
      <w:bookmarkEnd w:id="530"/>
      <w:bookmarkEnd w:id="531"/>
    </w:p>
    <w:p w14:paraId="2870C1C7" w14:textId="77777777" w:rsidR="0079015D" w:rsidRPr="00883399" w:rsidRDefault="00872C03" w:rsidP="0079015D">
      <w:pPr>
        <w:pStyle w:val="subsection"/>
        <w:rPr>
          <w:sz w:val="24"/>
        </w:rPr>
      </w:pPr>
      <w:r w:rsidRPr="00883399">
        <w:rPr>
          <w:b/>
          <w:i/>
          <w:sz w:val="24"/>
        </w:rPr>
        <w:tab/>
      </w:r>
      <w:r w:rsidRPr="00883399">
        <w:rPr>
          <w:sz w:val="24"/>
        </w:rPr>
        <w:tab/>
      </w:r>
      <w:bookmarkStart w:id="532" w:name="_Toc423516911"/>
      <w:r w:rsidR="0079015D" w:rsidRPr="00883399">
        <w:rPr>
          <w:sz w:val="24"/>
        </w:rPr>
        <w:tab/>
        <w:t>In this Part:</w:t>
      </w:r>
    </w:p>
    <w:p w14:paraId="08C6C65D" w14:textId="77777777" w:rsidR="0079015D" w:rsidRPr="00883399" w:rsidRDefault="0079015D" w:rsidP="0079015D">
      <w:pPr>
        <w:pStyle w:val="Definition0"/>
        <w:rPr>
          <w:sz w:val="24"/>
        </w:rPr>
      </w:pPr>
      <w:r w:rsidRPr="00883399">
        <w:rPr>
          <w:b/>
          <w:i/>
          <w:sz w:val="24"/>
        </w:rPr>
        <w:t>natural gas</w:t>
      </w:r>
      <w:r w:rsidRPr="00883399">
        <w:rPr>
          <w:sz w:val="24"/>
        </w:rPr>
        <w:t xml:space="preserve"> includes the following:</w:t>
      </w:r>
    </w:p>
    <w:p w14:paraId="4CB493CF" w14:textId="77777777" w:rsidR="0079015D" w:rsidRPr="00883399" w:rsidRDefault="0079015D" w:rsidP="0079015D">
      <w:pPr>
        <w:pStyle w:val="paragraph"/>
        <w:rPr>
          <w:sz w:val="24"/>
        </w:rPr>
      </w:pPr>
      <w:r w:rsidRPr="00883399">
        <w:rPr>
          <w:sz w:val="24"/>
        </w:rPr>
        <w:tab/>
        <w:t>(a)</w:t>
      </w:r>
      <w:r w:rsidRPr="00883399">
        <w:rPr>
          <w:sz w:val="24"/>
        </w:rPr>
        <w:tab/>
        <w:t>shale gas;</w:t>
      </w:r>
    </w:p>
    <w:p w14:paraId="4697449D" w14:textId="77777777" w:rsidR="0079015D" w:rsidRPr="00883399" w:rsidRDefault="0079015D" w:rsidP="0079015D">
      <w:pPr>
        <w:pStyle w:val="paragraph"/>
        <w:rPr>
          <w:sz w:val="24"/>
        </w:rPr>
      </w:pPr>
      <w:r w:rsidRPr="00883399">
        <w:rPr>
          <w:sz w:val="24"/>
        </w:rPr>
        <w:tab/>
        <w:t>(b)</w:t>
      </w:r>
      <w:r w:rsidRPr="00883399">
        <w:rPr>
          <w:sz w:val="24"/>
        </w:rPr>
        <w:tab/>
        <w:t>tight gas;</w:t>
      </w:r>
    </w:p>
    <w:p w14:paraId="343021C3" w14:textId="77777777" w:rsidR="0079015D" w:rsidRPr="00883399" w:rsidRDefault="0079015D" w:rsidP="0079015D">
      <w:pPr>
        <w:pStyle w:val="paragraph"/>
        <w:rPr>
          <w:sz w:val="24"/>
        </w:rPr>
      </w:pPr>
      <w:r w:rsidRPr="00883399">
        <w:rPr>
          <w:sz w:val="24"/>
        </w:rPr>
        <w:tab/>
        <w:t>(c)</w:t>
      </w:r>
      <w:r w:rsidRPr="00883399">
        <w:rPr>
          <w:sz w:val="24"/>
        </w:rPr>
        <w:tab/>
        <w:t>coal seam methane.</w:t>
      </w:r>
    </w:p>
    <w:p w14:paraId="358C10CE" w14:textId="077B81D3" w:rsidR="00872C03" w:rsidRPr="00883399" w:rsidRDefault="00872C03" w:rsidP="0079015D">
      <w:pPr>
        <w:pStyle w:val="subsection"/>
        <w:rPr>
          <w:b/>
          <w:sz w:val="28"/>
        </w:rPr>
      </w:pPr>
      <w:r w:rsidRPr="00883399">
        <w:rPr>
          <w:rStyle w:val="CharSectno"/>
          <w:b/>
          <w:sz w:val="28"/>
        </w:rPr>
        <w:t>3.41</w:t>
      </w:r>
      <w:r w:rsidRPr="00883399">
        <w:rPr>
          <w:b/>
          <w:sz w:val="28"/>
        </w:rPr>
        <w:t xml:space="preserve">  Outline of Part</w:t>
      </w:r>
      <w:bookmarkEnd w:id="532"/>
    </w:p>
    <w:p w14:paraId="596D75F1" w14:textId="77777777" w:rsidR="00872C03" w:rsidRPr="00883399" w:rsidRDefault="00872C03" w:rsidP="00872C03">
      <w:pPr>
        <w:pStyle w:val="subsection"/>
        <w:rPr>
          <w:sz w:val="24"/>
        </w:rPr>
      </w:pPr>
      <w:r w:rsidRPr="00883399">
        <w:rPr>
          <w:sz w:val="24"/>
        </w:rPr>
        <w:tab/>
      </w:r>
      <w:r w:rsidRPr="00883399">
        <w:rPr>
          <w:sz w:val="24"/>
        </w:rPr>
        <w:tab/>
        <w:t>This Part provides for fugitive emissions from the following:</w:t>
      </w:r>
    </w:p>
    <w:p w14:paraId="575286DA" w14:textId="77777777" w:rsidR="00872C03" w:rsidRPr="00883399" w:rsidRDefault="00872C03" w:rsidP="00872C03">
      <w:pPr>
        <w:pStyle w:val="paragraph"/>
        <w:rPr>
          <w:sz w:val="24"/>
        </w:rPr>
      </w:pPr>
      <w:r w:rsidRPr="00883399">
        <w:rPr>
          <w:sz w:val="24"/>
        </w:rPr>
        <w:tab/>
        <w:t>(a)</w:t>
      </w:r>
      <w:r w:rsidRPr="00883399">
        <w:rPr>
          <w:sz w:val="24"/>
        </w:rPr>
        <w:tab/>
        <w:t>oil or gas exploration (see Division 3.3.2);</w:t>
      </w:r>
    </w:p>
    <w:p w14:paraId="140C2D0B" w14:textId="77777777" w:rsidR="00872C03" w:rsidRPr="00883399" w:rsidRDefault="00872C03" w:rsidP="00872C03">
      <w:pPr>
        <w:pStyle w:val="paragraph"/>
        <w:rPr>
          <w:sz w:val="24"/>
        </w:rPr>
      </w:pPr>
      <w:r w:rsidRPr="00883399">
        <w:rPr>
          <w:sz w:val="24"/>
        </w:rPr>
        <w:tab/>
        <w:t>(b)</w:t>
      </w:r>
      <w:r w:rsidRPr="00883399">
        <w:rPr>
          <w:sz w:val="24"/>
        </w:rPr>
        <w:tab/>
        <w:t>crude oil production (see Division 3.3.3);</w:t>
      </w:r>
    </w:p>
    <w:p w14:paraId="3228BC4A" w14:textId="77777777" w:rsidR="00872C03" w:rsidRPr="00883399" w:rsidRDefault="00872C03" w:rsidP="00872C03">
      <w:pPr>
        <w:pStyle w:val="paragraph"/>
        <w:rPr>
          <w:sz w:val="24"/>
        </w:rPr>
      </w:pPr>
      <w:r w:rsidRPr="00883399">
        <w:rPr>
          <w:sz w:val="24"/>
        </w:rPr>
        <w:tab/>
        <w:t>(c)</w:t>
      </w:r>
      <w:r w:rsidRPr="00883399">
        <w:rPr>
          <w:sz w:val="24"/>
        </w:rPr>
        <w:tab/>
        <w:t>crude oil transport (see Division 3.3.4);</w:t>
      </w:r>
    </w:p>
    <w:p w14:paraId="5FCC2CB0" w14:textId="77777777" w:rsidR="00872C03" w:rsidRPr="00883399" w:rsidRDefault="00872C03" w:rsidP="00872C03">
      <w:pPr>
        <w:pStyle w:val="paragraph"/>
        <w:rPr>
          <w:sz w:val="24"/>
        </w:rPr>
      </w:pPr>
      <w:r w:rsidRPr="00883399">
        <w:rPr>
          <w:sz w:val="24"/>
        </w:rPr>
        <w:tab/>
        <w:t xml:space="preserve">(d) </w:t>
      </w:r>
      <w:r w:rsidRPr="00883399">
        <w:rPr>
          <w:sz w:val="24"/>
        </w:rPr>
        <w:tab/>
        <w:t>crude oil refining (see Division 3.3.5);</w:t>
      </w:r>
    </w:p>
    <w:p w14:paraId="36DB328E" w14:textId="77777777" w:rsidR="00872C03" w:rsidRPr="00883399" w:rsidRDefault="00872C03" w:rsidP="00872C03">
      <w:pPr>
        <w:pStyle w:val="paragraph"/>
        <w:rPr>
          <w:sz w:val="24"/>
        </w:rPr>
      </w:pPr>
      <w:r w:rsidRPr="00883399">
        <w:rPr>
          <w:sz w:val="24"/>
        </w:rPr>
        <w:tab/>
        <w:t>(e)</w:t>
      </w:r>
      <w:r w:rsidRPr="00883399">
        <w:rPr>
          <w:sz w:val="24"/>
        </w:rPr>
        <w:tab/>
        <w:t>natural gas production or processing, other than emissions that are vented or flared (see Division 3.3.6);</w:t>
      </w:r>
    </w:p>
    <w:p w14:paraId="122F4A87" w14:textId="77777777" w:rsidR="00872C03" w:rsidRPr="00883399" w:rsidRDefault="00872C03" w:rsidP="00872C03">
      <w:pPr>
        <w:pStyle w:val="paragraph"/>
        <w:rPr>
          <w:sz w:val="24"/>
        </w:rPr>
      </w:pPr>
      <w:r w:rsidRPr="00883399">
        <w:rPr>
          <w:sz w:val="24"/>
        </w:rPr>
        <w:tab/>
        <w:t>(f)</w:t>
      </w:r>
      <w:r w:rsidRPr="00883399">
        <w:rPr>
          <w:sz w:val="24"/>
        </w:rPr>
        <w:tab/>
        <w:t>natural gas transmission (see Division 3.3.7);</w:t>
      </w:r>
    </w:p>
    <w:p w14:paraId="3B4AE7D2" w14:textId="77777777" w:rsidR="00872C03" w:rsidRPr="00883399" w:rsidRDefault="00872C03" w:rsidP="00872C03">
      <w:pPr>
        <w:pStyle w:val="paragraph"/>
        <w:rPr>
          <w:sz w:val="24"/>
        </w:rPr>
      </w:pPr>
      <w:r w:rsidRPr="00883399">
        <w:rPr>
          <w:sz w:val="24"/>
        </w:rPr>
        <w:tab/>
        <w:t>(g)</w:t>
      </w:r>
      <w:r w:rsidRPr="00883399">
        <w:rPr>
          <w:sz w:val="24"/>
        </w:rPr>
        <w:tab/>
        <w:t>natural gas distribution (see Division 3.3.8);</w:t>
      </w:r>
    </w:p>
    <w:p w14:paraId="43AC47C5" w14:textId="77777777" w:rsidR="00872C03" w:rsidRPr="00883399" w:rsidRDefault="00872C03" w:rsidP="00872C03">
      <w:pPr>
        <w:pStyle w:val="paragraph"/>
        <w:rPr>
          <w:sz w:val="24"/>
        </w:rPr>
      </w:pPr>
      <w:r w:rsidRPr="00883399">
        <w:rPr>
          <w:sz w:val="24"/>
        </w:rPr>
        <w:tab/>
        <w:t>(h)</w:t>
      </w:r>
      <w:r w:rsidRPr="00883399">
        <w:rPr>
          <w:sz w:val="24"/>
        </w:rPr>
        <w:tab/>
        <w:t>natural gas production or processing (emissions that are vented or flared) (see Division 3.3.9).</w:t>
      </w:r>
    </w:p>
    <w:p w14:paraId="434A1A4C" w14:textId="78EF0727" w:rsidR="00872C03" w:rsidRPr="00883399" w:rsidRDefault="00872C03" w:rsidP="00872C03">
      <w:pPr>
        <w:pStyle w:val="ActHead3"/>
        <w:pageBreakBefore/>
        <w:rPr>
          <w:sz w:val="32"/>
        </w:rPr>
      </w:pPr>
      <w:bookmarkStart w:id="533" w:name="_Toc423516912"/>
      <w:bookmarkStart w:id="534" w:name="_Toc495652830"/>
      <w:r w:rsidRPr="00883399">
        <w:rPr>
          <w:rStyle w:val="CharDivNo"/>
          <w:sz w:val="32"/>
        </w:rPr>
        <w:lastRenderedPageBreak/>
        <w:t>Division 3.3.2</w:t>
      </w:r>
      <w:r w:rsidRPr="00883399">
        <w:rPr>
          <w:sz w:val="32"/>
        </w:rPr>
        <w:t>—</w:t>
      </w:r>
      <w:r w:rsidRPr="00883399">
        <w:rPr>
          <w:rStyle w:val="CharDivText"/>
          <w:sz w:val="32"/>
        </w:rPr>
        <w:t>Oil or gas exploration</w:t>
      </w:r>
      <w:bookmarkEnd w:id="533"/>
      <w:bookmarkEnd w:id="534"/>
    </w:p>
    <w:p w14:paraId="0CDFA543" w14:textId="77777777" w:rsidR="00872C03" w:rsidRPr="00883399" w:rsidRDefault="00872C03" w:rsidP="00872C03">
      <w:pPr>
        <w:pStyle w:val="R2"/>
        <w:keepLines w:val="0"/>
        <w:spacing w:before="240" w:line="312" w:lineRule="auto"/>
        <w:ind w:left="0" w:firstLine="0"/>
        <w:jc w:val="left"/>
        <w:rPr>
          <w:rFonts w:ascii="Arial" w:hAnsi="Arial" w:cs="Arial"/>
          <w:sz w:val="22"/>
          <w:szCs w:val="22"/>
        </w:rPr>
      </w:pPr>
      <w:bookmarkStart w:id="535" w:name="_Toc423516913"/>
      <w:r w:rsidRPr="00883399">
        <w:rPr>
          <w:rFonts w:ascii="Arial" w:hAnsi="Arial" w:cs="Arial"/>
          <w:sz w:val="22"/>
          <w:szCs w:val="22"/>
        </w:rPr>
        <w:t>Emissions may occur during the process of drilling for oil or gas either during exploration or development drilling whenever gas or liquid hydrocarbons are encountered. CO</w:t>
      </w:r>
      <w:r w:rsidRPr="00883399">
        <w:rPr>
          <w:rFonts w:ascii="Arial" w:hAnsi="Arial" w:cs="Arial"/>
          <w:sz w:val="22"/>
          <w:szCs w:val="22"/>
          <w:vertAlign w:val="subscript"/>
        </w:rPr>
        <w:t>2</w:t>
      </w:r>
      <w:r w:rsidRPr="00883399">
        <w:rPr>
          <w:rFonts w:ascii="Arial" w:hAnsi="Arial" w:cs="Arial"/>
          <w:sz w:val="22"/>
          <w:szCs w:val="22"/>
        </w:rPr>
        <w:t>, some unburnt methane and N</w:t>
      </w:r>
      <w:r w:rsidRPr="00883399">
        <w:rPr>
          <w:rFonts w:ascii="Arial" w:hAnsi="Arial" w:cs="Arial"/>
          <w:sz w:val="22"/>
          <w:szCs w:val="22"/>
          <w:vertAlign w:val="subscript"/>
        </w:rPr>
        <w:t>2</w:t>
      </w:r>
      <w:r w:rsidRPr="00883399">
        <w:rPr>
          <w:rFonts w:ascii="Arial" w:hAnsi="Arial" w:cs="Arial"/>
          <w:sz w:val="22"/>
          <w:szCs w:val="22"/>
        </w:rPr>
        <w:t>O are released as a result of the flaring of oil or gas. Emissions may also occur as a result of venting and accidental releases such as blowouts.</w:t>
      </w:r>
    </w:p>
    <w:p w14:paraId="7AD3B209" w14:textId="693FDE34" w:rsidR="00872C03" w:rsidRPr="00883399" w:rsidRDefault="00872C03" w:rsidP="00872C03">
      <w:pPr>
        <w:pStyle w:val="ActHead4"/>
        <w:rPr>
          <w:sz w:val="28"/>
        </w:rPr>
      </w:pPr>
      <w:bookmarkStart w:id="536" w:name="_Toc495652831"/>
      <w:r w:rsidRPr="00883399">
        <w:rPr>
          <w:rStyle w:val="CharSubdNo"/>
          <w:sz w:val="28"/>
        </w:rPr>
        <w:t>Subdivision 3.3.2.1</w:t>
      </w:r>
      <w:r w:rsidRPr="00883399">
        <w:rPr>
          <w:sz w:val="28"/>
        </w:rPr>
        <w:t>—</w:t>
      </w:r>
      <w:r w:rsidRPr="00883399">
        <w:rPr>
          <w:rStyle w:val="CharSubdText"/>
          <w:sz w:val="28"/>
        </w:rPr>
        <w:t>Preliminary</w:t>
      </w:r>
      <w:bookmarkEnd w:id="535"/>
      <w:bookmarkEnd w:id="536"/>
    </w:p>
    <w:p w14:paraId="2661F40A" w14:textId="64F7714C" w:rsidR="00872C03" w:rsidRPr="00883399" w:rsidRDefault="00872C03" w:rsidP="00872C03">
      <w:pPr>
        <w:pStyle w:val="ActHead5"/>
        <w:rPr>
          <w:sz w:val="28"/>
        </w:rPr>
      </w:pPr>
      <w:bookmarkStart w:id="537" w:name="_Toc423516914"/>
      <w:bookmarkStart w:id="538" w:name="_Toc495652832"/>
      <w:r w:rsidRPr="00883399">
        <w:rPr>
          <w:rStyle w:val="CharSectno"/>
          <w:sz w:val="28"/>
        </w:rPr>
        <w:t>3.42</w:t>
      </w:r>
      <w:r w:rsidRPr="00883399">
        <w:rPr>
          <w:sz w:val="28"/>
        </w:rPr>
        <w:t xml:space="preserve">  Application</w:t>
      </w:r>
      <w:bookmarkEnd w:id="537"/>
      <w:bookmarkEnd w:id="538"/>
    </w:p>
    <w:p w14:paraId="16DBE559" w14:textId="77777777" w:rsidR="002A3053" w:rsidRPr="00883399" w:rsidRDefault="00872C03" w:rsidP="002A3053">
      <w:pPr>
        <w:pStyle w:val="subsection"/>
        <w:rPr>
          <w:sz w:val="24"/>
        </w:rPr>
      </w:pPr>
      <w:r w:rsidRPr="00883399">
        <w:rPr>
          <w:sz w:val="24"/>
        </w:rPr>
        <w:tab/>
      </w:r>
      <w:bookmarkStart w:id="539" w:name="_Toc423516915"/>
      <w:r w:rsidR="002A3053" w:rsidRPr="00883399">
        <w:rPr>
          <w:sz w:val="24"/>
        </w:rPr>
        <w:tab/>
        <w:t xml:space="preserve">This Division applies to fugitive emissions from venting or flaring from oil or gas exploration activities, including emissions from: </w:t>
      </w:r>
    </w:p>
    <w:p w14:paraId="0CFA4646" w14:textId="77777777" w:rsidR="002A3053" w:rsidRPr="00883399" w:rsidRDefault="002A3053" w:rsidP="002A3053">
      <w:pPr>
        <w:pStyle w:val="paragraph"/>
        <w:rPr>
          <w:sz w:val="24"/>
        </w:rPr>
      </w:pPr>
      <w:r w:rsidRPr="00883399">
        <w:rPr>
          <w:sz w:val="24"/>
        </w:rPr>
        <w:tab/>
        <w:t>(a)</w:t>
      </w:r>
      <w:r w:rsidRPr="00883399">
        <w:rPr>
          <w:sz w:val="24"/>
        </w:rPr>
        <w:tab/>
        <w:t>oil well drilling; and</w:t>
      </w:r>
    </w:p>
    <w:p w14:paraId="7866B515" w14:textId="77777777" w:rsidR="002A3053" w:rsidRPr="00883399" w:rsidRDefault="002A3053" w:rsidP="002A3053">
      <w:pPr>
        <w:pStyle w:val="paragraph"/>
        <w:rPr>
          <w:sz w:val="24"/>
        </w:rPr>
      </w:pPr>
      <w:r w:rsidRPr="00883399">
        <w:rPr>
          <w:sz w:val="24"/>
        </w:rPr>
        <w:tab/>
        <w:t>(b)</w:t>
      </w:r>
      <w:r w:rsidRPr="00883399">
        <w:rPr>
          <w:sz w:val="24"/>
        </w:rPr>
        <w:tab/>
        <w:t>gas well drilling; and</w:t>
      </w:r>
    </w:p>
    <w:p w14:paraId="173DD5AD" w14:textId="77777777" w:rsidR="002A3053" w:rsidRPr="00883399" w:rsidRDefault="002A3053" w:rsidP="002A3053">
      <w:pPr>
        <w:pStyle w:val="paragraph"/>
        <w:rPr>
          <w:sz w:val="24"/>
        </w:rPr>
      </w:pPr>
      <w:r w:rsidRPr="00883399">
        <w:rPr>
          <w:sz w:val="24"/>
        </w:rPr>
        <w:tab/>
        <w:t>(c)</w:t>
      </w:r>
      <w:r w:rsidRPr="00883399">
        <w:rPr>
          <w:sz w:val="24"/>
        </w:rPr>
        <w:tab/>
        <w:t xml:space="preserve">drill stem testing; and </w:t>
      </w:r>
    </w:p>
    <w:p w14:paraId="3A3B08D1" w14:textId="77777777" w:rsidR="002A3053" w:rsidRPr="00883399" w:rsidRDefault="002A3053" w:rsidP="002A3053">
      <w:pPr>
        <w:pStyle w:val="paragraph"/>
        <w:rPr>
          <w:sz w:val="24"/>
        </w:rPr>
      </w:pPr>
      <w:r w:rsidRPr="00883399">
        <w:rPr>
          <w:sz w:val="24"/>
        </w:rPr>
        <w:tab/>
        <w:t>(d)</w:t>
      </w:r>
      <w:r w:rsidRPr="00883399">
        <w:rPr>
          <w:sz w:val="24"/>
        </w:rPr>
        <w:tab/>
        <w:t>well completions; and</w:t>
      </w:r>
    </w:p>
    <w:p w14:paraId="05CE11E5" w14:textId="77777777" w:rsidR="002A3053" w:rsidRPr="00883399" w:rsidRDefault="002A3053" w:rsidP="002A3053">
      <w:pPr>
        <w:pStyle w:val="paragraph"/>
        <w:rPr>
          <w:sz w:val="24"/>
        </w:rPr>
      </w:pPr>
      <w:r w:rsidRPr="00883399">
        <w:rPr>
          <w:sz w:val="24"/>
        </w:rPr>
        <w:tab/>
        <w:t>(e)</w:t>
      </w:r>
      <w:r w:rsidRPr="00883399">
        <w:rPr>
          <w:sz w:val="24"/>
        </w:rPr>
        <w:tab/>
        <w:t>wellworkovers.</w:t>
      </w:r>
    </w:p>
    <w:p w14:paraId="4D913B1C" w14:textId="657E5902" w:rsidR="00872C03" w:rsidRPr="00883399" w:rsidRDefault="00872C03" w:rsidP="002A3053">
      <w:pPr>
        <w:pStyle w:val="subsection"/>
        <w:rPr>
          <w:b/>
          <w:sz w:val="28"/>
        </w:rPr>
      </w:pPr>
      <w:r w:rsidRPr="00883399">
        <w:rPr>
          <w:rStyle w:val="CharSubdNo"/>
          <w:b/>
          <w:sz w:val="28"/>
        </w:rPr>
        <w:t>Subdivision 3.3.2.2</w:t>
      </w:r>
      <w:r w:rsidRPr="00883399">
        <w:rPr>
          <w:b/>
          <w:sz w:val="28"/>
        </w:rPr>
        <w:t>—</w:t>
      </w:r>
      <w:r w:rsidRPr="00883399">
        <w:rPr>
          <w:rStyle w:val="CharSubdText"/>
          <w:b/>
          <w:sz w:val="28"/>
        </w:rPr>
        <w:t>Oil or gas exploration (flared) emissions</w:t>
      </w:r>
      <w:bookmarkEnd w:id="539"/>
    </w:p>
    <w:p w14:paraId="57956E7F" w14:textId="0B5DAB2B" w:rsidR="00872C03" w:rsidRPr="00883399" w:rsidRDefault="00872C03" w:rsidP="00872C03">
      <w:pPr>
        <w:pStyle w:val="ActHead5"/>
        <w:rPr>
          <w:sz w:val="28"/>
        </w:rPr>
      </w:pPr>
      <w:bookmarkStart w:id="540" w:name="_Toc423516916"/>
      <w:bookmarkStart w:id="541" w:name="_Toc495652833"/>
      <w:r w:rsidRPr="00883399">
        <w:rPr>
          <w:rStyle w:val="CharSectno"/>
          <w:sz w:val="28"/>
        </w:rPr>
        <w:t>3.43</w:t>
      </w:r>
      <w:r w:rsidRPr="00883399">
        <w:rPr>
          <w:sz w:val="28"/>
        </w:rPr>
        <w:t xml:space="preserve">  Available methods</w:t>
      </w:r>
      <w:bookmarkEnd w:id="540"/>
      <w:bookmarkEnd w:id="541"/>
    </w:p>
    <w:p w14:paraId="1ABCE95D" w14:textId="77777777" w:rsidR="00872C03" w:rsidRPr="00883399" w:rsidRDefault="00872C03" w:rsidP="00872C03">
      <w:pPr>
        <w:pStyle w:val="R1"/>
        <w:keepLines w:val="0"/>
        <w:tabs>
          <w:tab w:val="clear" w:pos="794"/>
          <w:tab w:val="right" w:pos="0"/>
        </w:tabs>
        <w:spacing w:before="240" w:line="312" w:lineRule="auto"/>
        <w:ind w:left="0" w:firstLine="0"/>
        <w:jc w:val="left"/>
      </w:pPr>
      <w:r w:rsidRPr="00883399">
        <w:rPr>
          <w:rFonts w:ascii="Arial" w:hAnsi="Arial" w:cs="Arial"/>
          <w:sz w:val="22"/>
          <w:szCs w:val="22"/>
        </w:rPr>
        <w:t>Methods 1, 2 and 3 are set out below for the estimation of emissions from flaring of fuel.  Flaring is the combustion of fuels for non-productive (non-commercial) reasons –for example for health and safety reasons.   Methods 2 and 3 rely on the sampling and analysis of the fuel to estimate the composition of the gases in the fuel in accordance with the provisions of chapter 2.</w:t>
      </w:r>
    </w:p>
    <w:p w14:paraId="5C51457D" w14:textId="77777777" w:rsidR="00872C03" w:rsidRPr="00883399" w:rsidRDefault="00872C03" w:rsidP="00872C03">
      <w:pPr>
        <w:pStyle w:val="subsection"/>
        <w:rPr>
          <w:sz w:val="24"/>
        </w:rPr>
      </w:pPr>
      <w:r w:rsidRPr="00883399">
        <w:rPr>
          <w:sz w:val="24"/>
        </w:rPr>
        <w:t>(1)</w:t>
      </w:r>
      <w:r w:rsidRPr="00883399">
        <w:rPr>
          <w:sz w:val="24"/>
        </w:rPr>
        <w:tab/>
        <w:t>Subject to section 1.18, for estimating emissions released by oil or gas flaring during the year from the operation of a facility that is constituted by oil or gas exploration:</w:t>
      </w:r>
    </w:p>
    <w:p w14:paraId="34E3A8CC" w14:textId="77777777" w:rsidR="00872C03" w:rsidRPr="00883399" w:rsidRDefault="00872C03" w:rsidP="00872C03">
      <w:pPr>
        <w:pStyle w:val="paragraph"/>
        <w:rPr>
          <w:sz w:val="24"/>
        </w:rPr>
      </w:pPr>
      <w:r w:rsidRPr="00883399">
        <w:rPr>
          <w:sz w:val="24"/>
        </w:rPr>
        <w:tab/>
        <w:t>(a)</w:t>
      </w:r>
      <w:r w:rsidRPr="00883399">
        <w:rPr>
          <w:sz w:val="24"/>
        </w:rPr>
        <w:tab/>
        <w:t>if estimating emissions of carbon dioxide released—one of the following methods must be used:</w:t>
      </w:r>
    </w:p>
    <w:p w14:paraId="1CCF7287" w14:textId="77777777" w:rsidR="00872C03" w:rsidRPr="00883399" w:rsidRDefault="00872C03" w:rsidP="00872C03">
      <w:pPr>
        <w:pStyle w:val="paragraphsub"/>
        <w:rPr>
          <w:sz w:val="24"/>
        </w:rPr>
      </w:pPr>
      <w:r w:rsidRPr="00883399">
        <w:rPr>
          <w:sz w:val="24"/>
        </w:rPr>
        <w:tab/>
        <w:t>(i)</w:t>
      </w:r>
      <w:r w:rsidRPr="00883399">
        <w:rPr>
          <w:sz w:val="24"/>
        </w:rPr>
        <w:tab/>
        <w:t>method 1 under section 3.44;</w:t>
      </w:r>
    </w:p>
    <w:p w14:paraId="5D696568" w14:textId="77777777" w:rsidR="00872C03" w:rsidRPr="00883399" w:rsidRDefault="00872C03" w:rsidP="00872C03">
      <w:pPr>
        <w:pStyle w:val="paragraphsub"/>
        <w:rPr>
          <w:sz w:val="24"/>
        </w:rPr>
      </w:pPr>
      <w:r w:rsidRPr="00883399">
        <w:rPr>
          <w:sz w:val="24"/>
        </w:rPr>
        <w:tab/>
        <w:t>(ii)</w:t>
      </w:r>
      <w:r w:rsidRPr="00883399">
        <w:rPr>
          <w:sz w:val="24"/>
        </w:rPr>
        <w:tab/>
        <w:t>method 2 under section 3.45;</w:t>
      </w:r>
    </w:p>
    <w:p w14:paraId="2F6421BF" w14:textId="77777777" w:rsidR="00872C03" w:rsidRPr="00883399" w:rsidRDefault="00872C03" w:rsidP="00872C03">
      <w:pPr>
        <w:pStyle w:val="paragraphsub"/>
        <w:rPr>
          <w:sz w:val="24"/>
        </w:rPr>
      </w:pPr>
      <w:r w:rsidRPr="00883399">
        <w:rPr>
          <w:sz w:val="24"/>
        </w:rPr>
        <w:tab/>
        <w:t>(iii)</w:t>
      </w:r>
      <w:r w:rsidRPr="00883399">
        <w:rPr>
          <w:sz w:val="24"/>
        </w:rPr>
        <w:tab/>
        <w:t>method 3 under section 3.46; and</w:t>
      </w:r>
    </w:p>
    <w:p w14:paraId="2F6F637F" w14:textId="77777777" w:rsidR="00872C03" w:rsidRPr="00883399" w:rsidRDefault="00872C03" w:rsidP="00872C03">
      <w:pPr>
        <w:pStyle w:val="paragraph"/>
        <w:rPr>
          <w:sz w:val="24"/>
        </w:rPr>
      </w:pPr>
      <w:r w:rsidRPr="00883399">
        <w:rPr>
          <w:sz w:val="24"/>
        </w:rPr>
        <w:tab/>
        <w:t>(b)</w:t>
      </w:r>
      <w:r w:rsidRPr="00883399">
        <w:rPr>
          <w:sz w:val="24"/>
        </w:rPr>
        <w:tab/>
        <w:t>if estimating emissions of methane released—one of the following methods must be used:</w:t>
      </w:r>
    </w:p>
    <w:p w14:paraId="5F48C112" w14:textId="77777777" w:rsidR="00872C03" w:rsidRPr="00883399" w:rsidRDefault="00872C03" w:rsidP="00872C03">
      <w:pPr>
        <w:pStyle w:val="paragraphsub"/>
        <w:rPr>
          <w:sz w:val="24"/>
        </w:rPr>
      </w:pPr>
      <w:r w:rsidRPr="00883399">
        <w:rPr>
          <w:sz w:val="24"/>
        </w:rPr>
        <w:tab/>
        <w:t>(i)</w:t>
      </w:r>
      <w:r w:rsidRPr="00883399">
        <w:rPr>
          <w:sz w:val="24"/>
        </w:rPr>
        <w:tab/>
        <w:t>method 1 under section 3.44;</w:t>
      </w:r>
    </w:p>
    <w:p w14:paraId="0523C9C0" w14:textId="77777777" w:rsidR="00872C03" w:rsidRPr="00883399" w:rsidRDefault="00872C03" w:rsidP="00872C03">
      <w:pPr>
        <w:pStyle w:val="paragraphsub"/>
        <w:rPr>
          <w:sz w:val="24"/>
        </w:rPr>
      </w:pPr>
      <w:r w:rsidRPr="00883399">
        <w:rPr>
          <w:sz w:val="24"/>
        </w:rPr>
        <w:lastRenderedPageBreak/>
        <w:tab/>
        <w:t>(ii)</w:t>
      </w:r>
      <w:r w:rsidRPr="00883399">
        <w:rPr>
          <w:sz w:val="24"/>
        </w:rPr>
        <w:tab/>
        <w:t>method 2A under section 3.45A; and</w:t>
      </w:r>
    </w:p>
    <w:p w14:paraId="48FF880B" w14:textId="77777777" w:rsidR="00872C03" w:rsidRPr="00883399" w:rsidRDefault="00872C03" w:rsidP="00872C03">
      <w:pPr>
        <w:pStyle w:val="paragraph"/>
        <w:rPr>
          <w:sz w:val="24"/>
        </w:rPr>
      </w:pPr>
      <w:r w:rsidRPr="00883399">
        <w:rPr>
          <w:sz w:val="24"/>
        </w:rPr>
        <w:tab/>
        <w:t>(c)</w:t>
      </w:r>
      <w:r w:rsidRPr="00883399">
        <w:rPr>
          <w:sz w:val="24"/>
        </w:rPr>
        <w:tab/>
        <w:t>if estimating emissions of nitrous oxide released—one of the following methods must be used:</w:t>
      </w:r>
    </w:p>
    <w:p w14:paraId="0E12D7CE" w14:textId="77777777" w:rsidR="00872C03" w:rsidRPr="00883399" w:rsidRDefault="00872C03" w:rsidP="00872C03">
      <w:pPr>
        <w:pStyle w:val="paragraphsub"/>
        <w:rPr>
          <w:sz w:val="24"/>
        </w:rPr>
      </w:pPr>
      <w:r w:rsidRPr="00883399">
        <w:rPr>
          <w:sz w:val="24"/>
        </w:rPr>
        <w:tab/>
        <w:t>(i)</w:t>
      </w:r>
      <w:r w:rsidRPr="00883399">
        <w:rPr>
          <w:sz w:val="24"/>
        </w:rPr>
        <w:tab/>
        <w:t>method 1 under section 3.44;</w:t>
      </w:r>
    </w:p>
    <w:p w14:paraId="03EDAA18" w14:textId="77777777" w:rsidR="00872C03" w:rsidRPr="00883399" w:rsidRDefault="00872C03" w:rsidP="00872C03">
      <w:pPr>
        <w:pStyle w:val="paragraphsub"/>
        <w:rPr>
          <w:sz w:val="24"/>
        </w:rPr>
      </w:pPr>
      <w:r w:rsidRPr="00883399">
        <w:rPr>
          <w:sz w:val="24"/>
        </w:rPr>
        <w:tab/>
        <w:t>(ii)</w:t>
      </w:r>
      <w:r w:rsidRPr="00883399">
        <w:rPr>
          <w:sz w:val="24"/>
        </w:rPr>
        <w:tab/>
        <w:t>method 2A under section 3.45A.</w:t>
      </w:r>
    </w:p>
    <w:p w14:paraId="4FA30D4B" w14:textId="77777777" w:rsidR="00872C03" w:rsidRPr="00883399" w:rsidRDefault="00872C03" w:rsidP="00872C03">
      <w:pPr>
        <w:pStyle w:val="notetext"/>
        <w:rPr>
          <w:sz w:val="20"/>
        </w:rPr>
      </w:pPr>
      <w:r w:rsidRPr="00883399">
        <w:rPr>
          <w:sz w:val="20"/>
        </w:rPr>
        <w:t>Note:</w:t>
      </w:r>
      <w:r w:rsidRPr="00883399">
        <w:rPr>
          <w:sz w:val="20"/>
        </w:rPr>
        <w:tab/>
        <w:t>There is no method 4 under paragraph (a) and no method 2, 3 or 4 under paragraph (b) or (c).</w:t>
      </w:r>
    </w:p>
    <w:p w14:paraId="3D41E763" w14:textId="77777777" w:rsidR="00872C03" w:rsidRPr="00883399" w:rsidRDefault="00872C03" w:rsidP="00872C03">
      <w:pPr>
        <w:pStyle w:val="subsection"/>
        <w:rPr>
          <w:sz w:val="24"/>
        </w:rPr>
      </w:pPr>
      <w:r w:rsidRPr="00883399">
        <w:rPr>
          <w:sz w:val="24"/>
        </w:rPr>
        <w:tab/>
        <w:t>(2)</w:t>
      </w:r>
      <w:r w:rsidRPr="00883399">
        <w:rPr>
          <w:sz w:val="24"/>
        </w:rPr>
        <w:tab/>
        <w:t>However, for incidental emissions another method may be used that is consistent with the principles in section 1.13.</w:t>
      </w:r>
    </w:p>
    <w:p w14:paraId="2456A572" w14:textId="77777777" w:rsidR="00872C03" w:rsidRPr="00883399" w:rsidRDefault="00872C03" w:rsidP="00872C03">
      <w:pPr>
        <w:pStyle w:val="R2"/>
        <w:ind w:left="965" w:hanging="58"/>
        <w:rPr>
          <w:b/>
        </w:rPr>
      </w:pPr>
      <w:r w:rsidRPr="00883399">
        <w:rPr>
          <w:b/>
        </w:rPr>
        <w:t>Summary of available methods, for estimating flaring emissions from oil and gas exploration, by emissions of gas type (j)</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8"/>
        <w:gridCol w:w="1748"/>
        <w:gridCol w:w="1635"/>
        <w:gridCol w:w="1534"/>
      </w:tblGrid>
      <w:tr w:rsidR="00872C03" w:rsidRPr="00883399" w14:paraId="49FB6A2C" w14:textId="77777777" w:rsidTr="0031057E">
        <w:tc>
          <w:tcPr>
            <w:tcW w:w="2400" w:type="dxa"/>
            <w:shd w:val="clear" w:color="auto" w:fill="E6E6E6"/>
          </w:tcPr>
          <w:p w14:paraId="2B15D025" w14:textId="77777777" w:rsidR="00872C03" w:rsidRPr="00883399" w:rsidRDefault="00872C03" w:rsidP="0031057E">
            <w:pPr>
              <w:pStyle w:val="Text"/>
            </w:pPr>
          </w:p>
        </w:tc>
        <w:tc>
          <w:tcPr>
            <w:tcW w:w="1800" w:type="dxa"/>
            <w:shd w:val="clear" w:color="auto" w:fill="E6E6E6"/>
          </w:tcPr>
          <w:p w14:paraId="7EDEEB16" w14:textId="77777777" w:rsidR="00872C03" w:rsidRPr="00883399" w:rsidRDefault="00872C03" w:rsidP="0031057E">
            <w:pPr>
              <w:pStyle w:val="Text"/>
            </w:pPr>
            <w:r w:rsidRPr="00883399">
              <w:t>CO</w:t>
            </w:r>
            <w:r w:rsidRPr="00883399">
              <w:rPr>
                <w:vertAlign w:val="subscript"/>
              </w:rPr>
              <w:t>2</w:t>
            </w:r>
          </w:p>
        </w:tc>
        <w:tc>
          <w:tcPr>
            <w:tcW w:w="1680" w:type="dxa"/>
            <w:shd w:val="clear" w:color="auto" w:fill="E6E6E6"/>
          </w:tcPr>
          <w:p w14:paraId="48EDAE6B" w14:textId="77777777" w:rsidR="00872C03" w:rsidRPr="00883399" w:rsidRDefault="00872C03" w:rsidP="0031057E">
            <w:pPr>
              <w:pStyle w:val="Text"/>
            </w:pPr>
            <w:r w:rsidRPr="00883399">
              <w:t>CH</w:t>
            </w:r>
            <w:r w:rsidRPr="00883399">
              <w:rPr>
                <w:vertAlign w:val="subscript"/>
              </w:rPr>
              <w:t>4</w:t>
            </w:r>
          </w:p>
        </w:tc>
        <w:tc>
          <w:tcPr>
            <w:tcW w:w="1574" w:type="dxa"/>
            <w:shd w:val="clear" w:color="auto" w:fill="E6E6E6"/>
          </w:tcPr>
          <w:p w14:paraId="6149096C" w14:textId="77777777" w:rsidR="00872C03" w:rsidRPr="00883399" w:rsidRDefault="00872C03" w:rsidP="0031057E">
            <w:pPr>
              <w:pStyle w:val="Text"/>
            </w:pPr>
            <w:r w:rsidRPr="00883399">
              <w:t>N</w:t>
            </w:r>
            <w:r w:rsidRPr="00883399">
              <w:rPr>
                <w:vertAlign w:val="subscript"/>
              </w:rPr>
              <w:t>2</w:t>
            </w:r>
            <w:r w:rsidRPr="00883399">
              <w:t>O</w:t>
            </w:r>
          </w:p>
        </w:tc>
      </w:tr>
      <w:tr w:rsidR="00872C03" w:rsidRPr="00883399" w14:paraId="5A0F3282" w14:textId="77777777" w:rsidTr="0031057E">
        <w:tc>
          <w:tcPr>
            <w:tcW w:w="2400" w:type="dxa"/>
          </w:tcPr>
          <w:p w14:paraId="4D24F014" w14:textId="77777777" w:rsidR="00872C03" w:rsidRPr="00883399" w:rsidRDefault="00872C03" w:rsidP="0031057E">
            <w:pPr>
              <w:pStyle w:val="Text"/>
              <w:spacing w:before="120" w:line="240" w:lineRule="auto"/>
              <w:rPr>
                <w:i/>
              </w:rPr>
            </w:pPr>
            <w:r w:rsidRPr="00883399">
              <w:t>Method 1</w:t>
            </w:r>
          </w:p>
        </w:tc>
        <w:tc>
          <w:tcPr>
            <w:tcW w:w="1800" w:type="dxa"/>
          </w:tcPr>
          <w:p w14:paraId="1D1AFDCB" w14:textId="77777777" w:rsidR="00872C03" w:rsidRPr="00883399" w:rsidRDefault="00872C03" w:rsidP="0031057E">
            <w:pPr>
              <w:pStyle w:val="Text"/>
              <w:spacing w:before="120" w:line="240" w:lineRule="auto"/>
            </w:pPr>
            <w:r w:rsidRPr="00883399">
              <w:t>Section 3.44</w:t>
            </w:r>
          </w:p>
        </w:tc>
        <w:tc>
          <w:tcPr>
            <w:tcW w:w="1680" w:type="dxa"/>
          </w:tcPr>
          <w:p w14:paraId="2F871603" w14:textId="77777777" w:rsidR="00872C03" w:rsidRPr="00883399" w:rsidRDefault="00872C03" w:rsidP="0031057E">
            <w:pPr>
              <w:pStyle w:val="Text"/>
              <w:spacing w:before="120" w:line="240" w:lineRule="auto"/>
            </w:pPr>
            <w:r w:rsidRPr="00883399">
              <w:t>Section 3.44</w:t>
            </w:r>
          </w:p>
        </w:tc>
        <w:tc>
          <w:tcPr>
            <w:tcW w:w="1574" w:type="dxa"/>
          </w:tcPr>
          <w:p w14:paraId="6C642C95" w14:textId="77777777" w:rsidR="00872C03" w:rsidRPr="00883399" w:rsidRDefault="00872C03" w:rsidP="0031057E">
            <w:pPr>
              <w:pStyle w:val="Text"/>
              <w:spacing w:before="120" w:line="240" w:lineRule="auto"/>
            </w:pPr>
            <w:r w:rsidRPr="00883399">
              <w:t>Section 3.44</w:t>
            </w:r>
          </w:p>
        </w:tc>
      </w:tr>
      <w:tr w:rsidR="00872C03" w:rsidRPr="00883399" w14:paraId="22F29DCE" w14:textId="77777777" w:rsidTr="0031057E">
        <w:tc>
          <w:tcPr>
            <w:tcW w:w="2400" w:type="dxa"/>
          </w:tcPr>
          <w:p w14:paraId="1411921A" w14:textId="77777777" w:rsidR="00872C03" w:rsidRPr="00883399" w:rsidRDefault="00872C03" w:rsidP="0031057E">
            <w:pPr>
              <w:pStyle w:val="Text"/>
              <w:spacing w:before="120" w:line="240" w:lineRule="auto"/>
            </w:pPr>
            <w:r w:rsidRPr="00883399">
              <w:t>Method 2</w:t>
            </w:r>
          </w:p>
        </w:tc>
        <w:tc>
          <w:tcPr>
            <w:tcW w:w="1800" w:type="dxa"/>
          </w:tcPr>
          <w:p w14:paraId="011EA001" w14:textId="77777777" w:rsidR="00872C03" w:rsidRPr="00883399" w:rsidRDefault="00872C03" w:rsidP="0031057E">
            <w:pPr>
              <w:pStyle w:val="Text"/>
              <w:spacing w:before="120" w:line="240" w:lineRule="auto"/>
            </w:pPr>
            <w:r w:rsidRPr="00883399">
              <w:t>Section 3.45</w:t>
            </w:r>
          </w:p>
        </w:tc>
        <w:tc>
          <w:tcPr>
            <w:tcW w:w="1680" w:type="dxa"/>
          </w:tcPr>
          <w:p w14:paraId="0EECEE74" w14:textId="77777777" w:rsidR="00872C03" w:rsidRPr="00883399" w:rsidRDefault="00872C03" w:rsidP="0031057E">
            <w:pPr>
              <w:pStyle w:val="Text"/>
              <w:spacing w:before="120" w:line="240" w:lineRule="auto"/>
            </w:pPr>
            <w:r w:rsidRPr="00883399">
              <w:t>NA</w:t>
            </w:r>
          </w:p>
        </w:tc>
        <w:tc>
          <w:tcPr>
            <w:tcW w:w="1574" w:type="dxa"/>
          </w:tcPr>
          <w:p w14:paraId="32849270" w14:textId="77777777" w:rsidR="00872C03" w:rsidRPr="00883399" w:rsidRDefault="00872C03" w:rsidP="0031057E">
            <w:pPr>
              <w:pStyle w:val="Text"/>
              <w:spacing w:before="120" w:line="240" w:lineRule="auto"/>
            </w:pPr>
            <w:r w:rsidRPr="00883399">
              <w:t>NA</w:t>
            </w:r>
          </w:p>
        </w:tc>
      </w:tr>
      <w:tr w:rsidR="00872C03" w:rsidRPr="00883399" w14:paraId="1E1FABD1" w14:textId="77777777" w:rsidTr="0031057E">
        <w:tc>
          <w:tcPr>
            <w:tcW w:w="2400" w:type="dxa"/>
          </w:tcPr>
          <w:p w14:paraId="509CB220" w14:textId="77777777" w:rsidR="00872C03" w:rsidRPr="00883399" w:rsidRDefault="00872C03" w:rsidP="0031057E">
            <w:pPr>
              <w:pStyle w:val="Text"/>
              <w:spacing w:before="120" w:line="240" w:lineRule="auto"/>
            </w:pPr>
            <w:r w:rsidRPr="00883399">
              <w:t>Method 3</w:t>
            </w:r>
          </w:p>
        </w:tc>
        <w:tc>
          <w:tcPr>
            <w:tcW w:w="1800" w:type="dxa"/>
          </w:tcPr>
          <w:p w14:paraId="266A665B" w14:textId="77777777" w:rsidR="00872C03" w:rsidRPr="00883399" w:rsidRDefault="00872C03" w:rsidP="0031057E">
            <w:pPr>
              <w:pStyle w:val="Text"/>
              <w:spacing w:before="120" w:line="240" w:lineRule="auto"/>
            </w:pPr>
            <w:r w:rsidRPr="00883399">
              <w:t>Section 3.46</w:t>
            </w:r>
          </w:p>
        </w:tc>
        <w:tc>
          <w:tcPr>
            <w:tcW w:w="1680" w:type="dxa"/>
          </w:tcPr>
          <w:p w14:paraId="5AE5826E" w14:textId="77777777" w:rsidR="00872C03" w:rsidRPr="00883399" w:rsidRDefault="00872C03" w:rsidP="0031057E">
            <w:pPr>
              <w:pStyle w:val="Text"/>
              <w:spacing w:before="120" w:line="240" w:lineRule="auto"/>
            </w:pPr>
            <w:r w:rsidRPr="00883399">
              <w:t>NA</w:t>
            </w:r>
          </w:p>
        </w:tc>
        <w:tc>
          <w:tcPr>
            <w:tcW w:w="1574" w:type="dxa"/>
          </w:tcPr>
          <w:p w14:paraId="31C999D7" w14:textId="77777777" w:rsidR="00872C03" w:rsidRPr="00883399" w:rsidRDefault="00872C03" w:rsidP="0031057E">
            <w:pPr>
              <w:pStyle w:val="Text"/>
              <w:spacing w:before="120" w:line="240" w:lineRule="auto"/>
            </w:pPr>
            <w:r w:rsidRPr="00883399">
              <w:t>NA</w:t>
            </w:r>
          </w:p>
        </w:tc>
      </w:tr>
      <w:tr w:rsidR="00872C03" w:rsidRPr="00883399" w14:paraId="4BB637F6" w14:textId="77777777" w:rsidTr="0031057E">
        <w:tc>
          <w:tcPr>
            <w:tcW w:w="2400" w:type="dxa"/>
          </w:tcPr>
          <w:p w14:paraId="400F3B2E" w14:textId="77777777" w:rsidR="00872C03" w:rsidRPr="00883399" w:rsidRDefault="00872C03" w:rsidP="0031057E">
            <w:pPr>
              <w:pStyle w:val="Text"/>
              <w:spacing w:before="120" w:line="240" w:lineRule="auto"/>
            </w:pPr>
            <w:r w:rsidRPr="00883399">
              <w:t>Method 4</w:t>
            </w:r>
          </w:p>
        </w:tc>
        <w:tc>
          <w:tcPr>
            <w:tcW w:w="1800" w:type="dxa"/>
          </w:tcPr>
          <w:p w14:paraId="235E2DC7" w14:textId="77777777" w:rsidR="00872C03" w:rsidRPr="00883399" w:rsidRDefault="00872C03" w:rsidP="0031057E">
            <w:pPr>
              <w:pStyle w:val="Text"/>
              <w:spacing w:before="120" w:line="240" w:lineRule="auto"/>
            </w:pPr>
            <w:r w:rsidRPr="00883399">
              <w:t>NA</w:t>
            </w:r>
          </w:p>
        </w:tc>
        <w:tc>
          <w:tcPr>
            <w:tcW w:w="1680" w:type="dxa"/>
          </w:tcPr>
          <w:p w14:paraId="6F0EEB81" w14:textId="77777777" w:rsidR="00872C03" w:rsidRPr="00883399" w:rsidRDefault="00872C03" w:rsidP="0031057E">
            <w:pPr>
              <w:pStyle w:val="Text"/>
              <w:spacing w:before="120" w:line="240" w:lineRule="auto"/>
            </w:pPr>
            <w:r w:rsidRPr="00883399">
              <w:t>NA</w:t>
            </w:r>
          </w:p>
        </w:tc>
        <w:tc>
          <w:tcPr>
            <w:tcW w:w="1574" w:type="dxa"/>
          </w:tcPr>
          <w:p w14:paraId="2A6DA741" w14:textId="77777777" w:rsidR="00872C03" w:rsidRPr="00883399" w:rsidRDefault="00872C03" w:rsidP="0031057E">
            <w:pPr>
              <w:pStyle w:val="Text"/>
              <w:spacing w:before="120" w:line="240" w:lineRule="auto"/>
            </w:pPr>
            <w:r w:rsidRPr="00883399">
              <w:t>NA</w:t>
            </w:r>
          </w:p>
        </w:tc>
      </w:tr>
    </w:tbl>
    <w:p w14:paraId="288DBFEB" w14:textId="77777777" w:rsidR="00872C03" w:rsidRPr="00883399" w:rsidRDefault="00872C03" w:rsidP="00872C03">
      <w:pPr>
        <w:pStyle w:val="Text"/>
        <w:ind w:left="960"/>
        <w:rPr>
          <w:sz w:val="24"/>
        </w:rPr>
      </w:pPr>
      <w:r w:rsidRPr="00883399">
        <w:t xml:space="preserve">NA = Not available.  </w:t>
      </w:r>
    </w:p>
    <w:p w14:paraId="61087542" w14:textId="292F2B70" w:rsidR="00872C03" w:rsidRPr="00883399" w:rsidRDefault="00872C03" w:rsidP="00872C03">
      <w:pPr>
        <w:pStyle w:val="ActHead5"/>
        <w:rPr>
          <w:sz w:val="28"/>
        </w:rPr>
      </w:pPr>
      <w:bookmarkStart w:id="542" w:name="_Toc423516917"/>
      <w:bookmarkStart w:id="543" w:name="_Toc495652834"/>
      <w:r w:rsidRPr="00883399">
        <w:rPr>
          <w:rStyle w:val="CharSectno"/>
          <w:sz w:val="28"/>
        </w:rPr>
        <w:t>3.44</w:t>
      </w:r>
      <w:r w:rsidRPr="00883399">
        <w:rPr>
          <w:sz w:val="28"/>
        </w:rPr>
        <w:t xml:space="preserve">  Method 1—oil or gas exploration</w:t>
      </w:r>
      <w:bookmarkEnd w:id="542"/>
      <w:bookmarkEnd w:id="543"/>
    </w:p>
    <w:p w14:paraId="1C874B7B" w14:textId="77777777" w:rsidR="00872C03" w:rsidRPr="00883399" w:rsidRDefault="00872C03" w:rsidP="00872C03">
      <w:pPr>
        <w:pStyle w:val="subsection"/>
        <w:rPr>
          <w:rFonts w:ascii="Arial" w:hAnsi="Arial" w:cs="Arial"/>
          <w:szCs w:val="22"/>
        </w:rPr>
      </w:pPr>
    </w:p>
    <w:p w14:paraId="0D6773BF" w14:textId="77777777" w:rsidR="00872C03" w:rsidRPr="00883399" w:rsidRDefault="00872C03" w:rsidP="00872C03">
      <w:pPr>
        <w:pStyle w:val="subsection"/>
        <w:rPr>
          <w:rFonts w:ascii="Arial" w:hAnsi="Arial" w:cs="Arial"/>
          <w:szCs w:val="22"/>
        </w:rPr>
      </w:pPr>
      <w:r w:rsidRPr="00883399">
        <w:rPr>
          <w:rFonts w:ascii="Arial" w:hAnsi="Arial" w:cs="Arial"/>
          <w:szCs w:val="22"/>
        </w:rPr>
        <w:t>Method 1 for oil exploration and gas exploration is derived from the National Greenhouse Accounts.</w:t>
      </w:r>
      <w:r w:rsidRPr="00883399">
        <w:rPr>
          <w:rFonts w:ascii="Arial" w:hAnsi="Arial" w:cs="Arial"/>
          <w:szCs w:val="22"/>
        </w:rPr>
        <w:tab/>
      </w:r>
    </w:p>
    <w:p w14:paraId="54D0137E" w14:textId="77777777" w:rsidR="00872C03" w:rsidRPr="00883399" w:rsidRDefault="00872C03" w:rsidP="00872C03">
      <w:pPr>
        <w:pStyle w:val="subsection"/>
        <w:rPr>
          <w:sz w:val="24"/>
        </w:rPr>
      </w:pPr>
      <w:r w:rsidRPr="00883399">
        <w:rPr>
          <w:sz w:val="24"/>
        </w:rPr>
        <w:t>(1)</w:t>
      </w:r>
      <w:r w:rsidRPr="00883399">
        <w:rPr>
          <w:sz w:val="24"/>
        </w:rPr>
        <w:tab/>
        <w:t>Method 1 is:</w:t>
      </w:r>
    </w:p>
    <w:p w14:paraId="4D88AFF3" w14:textId="1944EB5F"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5AF77314" wp14:editId="6206A101">
            <wp:extent cx="962025" cy="2381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62025" cy="238125"/>
                    </a:xfrm>
                    <a:prstGeom prst="rect">
                      <a:avLst/>
                    </a:prstGeom>
                    <a:noFill/>
                    <a:ln>
                      <a:noFill/>
                    </a:ln>
                  </pic:spPr>
                </pic:pic>
              </a:graphicData>
            </a:graphic>
          </wp:inline>
        </w:drawing>
      </w:r>
    </w:p>
    <w:p w14:paraId="0FD2DBB1" w14:textId="77777777" w:rsidR="00872C03" w:rsidRPr="00883399" w:rsidRDefault="00872C03" w:rsidP="00872C03">
      <w:pPr>
        <w:pStyle w:val="subsection2"/>
        <w:rPr>
          <w:sz w:val="24"/>
        </w:rPr>
      </w:pPr>
      <w:r w:rsidRPr="00883399">
        <w:rPr>
          <w:sz w:val="24"/>
        </w:rPr>
        <w:t>where:</w:t>
      </w:r>
    </w:p>
    <w:p w14:paraId="2742C3AF" w14:textId="77777777" w:rsidR="00872C03" w:rsidRPr="00883399" w:rsidRDefault="00872C03" w:rsidP="00872C03">
      <w:pPr>
        <w:pStyle w:val="Definition0"/>
        <w:rPr>
          <w:sz w:val="24"/>
        </w:rPr>
      </w:pPr>
      <w:r w:rsidRPr="00883399">
        <w:rPr>
          <w:b/>
          <w:i/>
          <w:sz w:val="24"/>
        </w:rPr>
        <w:t>E</w:t>
      </w:r>
      <w:r w:rsidRPr="00883399">
        <w:rPr>
          <w:rFonts w:ascii="Times New Roman Bold" w:hAnsi="Times New Roman Bold"/>
          <w:b/>
          <w:i/>
          <w:sz w:val="24"/>
          <w:vertAlign w:val="subscript"/>
        </w:rPr>
        <w:t>i</w:t>
      </w:r>
      <w:r w:rsidRPr="00883399">
        <w:rPr>
          <w:b/>
          <w:i/>
          <w:sz w:val="24"/>
          <w:vertAlign w:val="subscript"/>
        </w:rPr>
        <w:t>j</w:t>
      </w:r>
      <w:r w:rsidRPr="00883399">
        <w:rPr>
          <w:b/>
          <w:i/>
          <w:sz w:val="24"/>
        </w:rPr>
        <w:t xml:space="preserve"> </w:t>
      </w:r>
      <w:r w:rsidRPr="00883399">
        <w:rPr>
          <w:sz w:val="24"/>
        </w:rPr>
        <w:t>is the fugitive emissions of gas type (</w:t>
      </w:r>
      <w:r w:rsidRPr="00883399">
        <w:rPr>
          <w:b/>
          <w:i/>
          <w:sz w:val="24"/>
        </w:rPr>
        <w:t>j</w:t>
      </w:r>
      <w:r w:rsidRPr="00883399">
        <w:rPr>
          <w:sz w:val="24"/>
        </w:rPr>
        <w:t>) from a fuel type (</w:t>
      </w:r>
      <w:r w:rsidRPr="00883399">
        <w:rPr>
          <w:b/>
          <w:i/>
          <w:sz w:val="24"/>
        </w:rPr>
        <w:t>i</w:t>
      </w:r>
      <w:r w:rsidRPr="00883399">
        <w:rPr>
          <w:sz w:val="24"/>
        </w:rPr>
        <w:t>) flared in the oil or gas exploration during the year measured in CO</w:t>
      </w:r>
      <w:r w:rsidRPr="00883399">
        <w:rPr>
          <w:rStyle w:val="charSubscript"/>
          <w:iCs/>
          <w:sz w:val="22"/>
        </w:rPr>
        <w:t>2</w:t>
      </w:r>
      <w:r w:rsidRPr="00883399">
        <w:rPr>
          <w:sz w:val="24"/>
        </w:rPr>
        <w:noBreakHyphen/>
        <w:t>e tonnes.</w:t>
      </w:r>
    </w:p>
    <w:p w14:paraId="4759D4C2" w14:textId="77777777" w:rsidR="00872C03" w:rsidRPr="00883399" w:rsidRDefault="00872C03" w:rsidP="00872C03">
      <w:pPr>
        <w:pStyle w:val="Definition0"/>
        <w:rPr>
          <w:sz w:val="24"/>
        </w:rPr>
      </w:pPr>
      <w:r w:rsidRPr="00883399">
        <w:rPr>
          <w:b/>
          <w:i/>
          <w:sz w:val="24"/>
        </w:rPr>
        <w:t>Q</w:t>
      </w:r>
      <w:r w:rsidRPr="00883399">
        <w:rPr>
          <w:rFonts w:ascii="Times New Roman Bold" w:hAnsi="Times New Roman Bold"/>
          <w:b/>
          <w:i/>
          <w:sz w:val="24"/>
          <w:vertAlign w:val="subscript"/>
        </w:rPr>
        <w:t xml:space="preserve">i </w:t>
      </w:r>
      <w:r w:rsidRPr="00883399">
        <w:rPr>
          <w:sz w:val="24"/>
        </w:rPr>
        <w:t>is the quantity of fuel type (</w:t>
      </w:r>
      <w:r w:rsidRPr="00883399">
        <w:rPr>
          <w:b/>
          <w:i/>
          <w:sz w:val="24"/>
        </w:rPr>
        <w:t>i</w:t>
      </w:r>
      <w:r w:rsidRPr="00883399">
        <w:rPr>
          <w:sz w:val="24"/>
        </w:rPr>
        <w:t>) flared in the oil or gas exploration during the year measured in tonnes.</w:t>
      </w:r>
    </w:p>
    <w:p w14:paraId="5C43FB8E" w14:textId="77777777" w:rsidR="00872C03" w:rsidRPr="00883399" w:rsidRDefault="00872C03" w:rsidP="00872C03">
      <w:pPr>
        <w:pStyle w:val="Definition0"/>
        <w:rPr>
          <w:sz w:val="24"/>
        </w:rPr>
      </w:pPr>
      <w:r w:rsidRPr="00883399">
        <w:rPr>
          <w:b/>
          <w:i/>
          <w:sz w:val="24"/>
        </w:rPr>
        <w:t>EF</w:t>
      </w:r>
      <w:r w:rsidRPr="00883399">
        <w:rPr>
          <w:rFonts w:ascii="Times New Roman Bold" w:hAnsi="Times New Roman Bold"/>
          <w:b/>
          <w:i/>
          <w:sz w:val="24"/>
          <w:vertAlign w:val="subscript"/>
        </w:rPr>
        <w:t xml:space="preserve">ij </w:t>
      </w:r>
      <w:r w:rsidRPr="00883399">
        <w:rPr>
          <w:sz w:val="24"/>
        </w:rPr>
        <w:t>is the emission factor for gas type (</w:t>
      </w:r>
      <w:r w:rsidRPr="00883399">
        <w:rPr>
          <w:b/>
          <w:i/>
          <w:sz w:val="24"/>
        </w:rPr>
        <w:t>j</w:t>
      </w:r>
      <w:r w:rsidRPr="00883399">
        <w:rPr>
          <w:sz w:val="24"/>
        </w:rPr>
        <w:t>) measured in tonnes of CO</w:t>
      </w:r>
      <w:r w:rsidRPr="00883399">
        <w:rPr>
          <w:rStyle w:val="charSubscript"/>
          <w:iCs/>
          <w:sz w:val="22"/>
        </w:rPr>
        <w:t>2</w:t>
      </w:r>
      <w:r w:rsidRPr="00883399">
        <w:rPr>
          <w:sz w:val="24"/>
        </w:rPr>
        <w:noBreakHyphen/>
        <w:t>e emissions per tonne of the fuel type (</w:t>
      </w:r>
      <w:r w:rsidRPr="00883399">
        <w:rPr>
          <w:b/>
          <w:i/>
          <w:sz w:val="24"/>
        </w:rPr>
        <w:t>i</w:t>
      </w:r>
      <w:r w:rsidRPr="00883399">
        <w:rPr>
          <w:sz w:val="24"/>
        </w:rPr>
        <w:t>) flared.</w:t>
      </w:r>
    </w:p>
    <w:p w14:paraId="371651B3" w14:textId="77777777" w:rsidR="00872C03" w:rsidRPr="00883399" w:rsidRDefault="00872C03" w:rsidP="00872C03">
      <w:pPr>
        <w:pStyle w:val="subsection"/>
        <w:rPr>
          <w:sz w:val="24"/>
        </w:rPr>
      </w:pPr>
      <w:r w:rsidRPr="00883399">
        <w:rPr>
          <w:sz w:val="24"/>
        </w:rPr>
        <w:lastRenderedPageBreak/>
        <w:tab/>
        <w:t>(2)</w:t>
      </w:r>
      <w:r w:rsidRPr="00883399">
        <w:rPr>
          <w:sz w:val="24"/>
        </w:rPr>
        <w:tab/>
        <w:t xml:space="preserve">For </w:t>
      </w:r>
      <w:r w:rsidRPr="00883399">
        <w:rPr>
          <w:b/>
          <w:i/>
          <w:sz w:val="24"/>
        </w:rPr>
        <w:t>EF</w:t>
      </w:r>
      <w:r w:rsidRPr="00883399">
        <w:rPr>
          <w:b/>
          <w:i/>
          <w:sz w:val="24"/>
          <w:vertAlign w:val="subscript"/>
        </w:rPr>
        <w:t>ij</w:t>
      </w:r>
      <w:r w:rsidRPr="00883399">
        <w:rPr>
          <w:i/>
          <w:sz w:val="24"/>
          <w:vertAlign w:val="subscript"/>
        </w:rPr>
        <w:t xml:space="preserve"> </w:t>
      </w:r>
      <w:r w:rsidRPr="00883399">
        <w:rPr>
          <w:sz w:val="24"/>
        </w:rPr>
        <w:t>in subsection (1), columns 3, 4 and 5 of an item in the following table specify the emission factor, for gas type (</w:t>
      </w:r>
      <w:r w:rsidRPr="00883399">
        <w:rPr>
          <w:b/>
          <w:i/>
          <w:sz w:val="24"/>
        </w:rPr>
        <w:t>j</w:t>
      </w:r>
      <w:r w:rsidRPr="00883399">
        <w:rPr>
          <w:sz w:val="24"/>
        </w:rPr>
        <w:t>), for each fuel type (</w:t>
      </w:r>
      <w:r w:rsidRPr="00883399">
        <w:rPr>
          <w:b/>
          <w:i/>
          <w:sz w:val="24"/>
        </w:rPr>
        <w:t>i</w:t>
      </w:r>
      <w:r w:rsidRPr="00883399">
        <w:rPr>
          <w:sz w:val="24"/>
        </w:rPr>
        <w:t>) specified in column 2 of that item.</w:t>
      </w:r>
    </w:p>
    <w:p w14:paraId="6E491512" w14:textId="77777777" w:rsidR="00872C03" w:rsidRPr="00883399" w:rsidRDefault="00872C03" w:rsidP="00872C03">
      <w:pPr>
        <w:pStyle w:val="Tabletext0"/>
        <w:rPr>
          <w:sz w:val="22"/>
        </w:rPr>
      </w:pP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2280"/>
        <w:gridCol w:w="1320"/>
        <w:gridCol w:w="1320"/>
        <w:gridCol w:w="1320"/>
      </w:tblGrid>
      <w:tr w:rsidR="00872C03" w:rsidRPr="00883399" w14:paraId="4281BB41" w14:textId="77777777" w:rsidTr="0031057E">
        <w:trPr>
          <w:cantSplit/>
          <w:tblHeader/>
        </w:trPr>
        <w:tc>
          <w:tcPr>
            <w:tcW w:w="960" w:type="dxa"/>
            <w:tcBorders>
              <w:top w:val="single" w:sz="12" w:space="0" w:color="auto"/>
              <w:left w:val="nil"/>
              <w:bottom w:val="nil"/>
              <w:right w:val="nil"/>
            </w:tcBorders>
            <w:shd w:val="clear" w:color="auto" w:fill="auto"/>
          </w:tcPr>
          <w:p w14:paraId="04BA339A" w14:textId="77777777" w:rsidR="00872C03" w:rsidRPr="00883399" w:rsidRDefault="00872C03" w:rsidP="0031057E">
            <w:pPr>
              <w:pStyle w:val="TableHeading"/>
              <w:rPr>
                <w:sz w:val="22"/>
              </w:rPr>
            </w:pPr>
            <w:r w:rsidRPr="00883399">
              <w:rPr>
                <w:sz w:val="22"/>
              </w:rPr>
              <w:t>Item</w:t>
            </w:r>
          </w:p>
        </w:tc>
        <w:tc>
          <w:tcPr>
            <w:tcW w:w="2280" w:type="dxa"/>
            <w:vMerge w:val="restart"/>
            <w:tcBorders>
              <w:top w:val="single" w:sz="12" w:space="0" w:color="auto"/>
              <w:left w:val="nil"/>
              <w:bottom w:val="nil"/>
              <w:right w:val="nil"/>
            </w:tcBorders>
            <w:shd w:val="clear" w:color="auto" w:fill="auto"/>
          </w:tcPr>
          <w:p w14:paraId="765A4953" w14:textId="77777777" w:rsidR="00872C03" w:rsidRPr="00883399" w:rsidRDefault="00872C03" w:rsidP="0031057E">
            <w:pPr>
              <w:pStyle w:val="TableHeading"/>
              <w:rPr>
                <w:sz w:val="22"/>
              </w:rPr>
            </w:pPr>
            <w:r w:rsidRPr="00883399">
              <w:rPr>
                <w:sz w:val="22"/>
              </w:rPr>
              <w:t>Fuel type (</w:t>
            </w:r>
            <w:r w:rsidRPr="00883399">
              <w:rPr>
                <w:b w:val="0"/>
                <w:i/>
                <w:sz w:val="22"/>
              </w:rPr>
              <w:t>i</w:t>
            </w:r>
            <w:r w:rsidRPr="00883399">
              <w:rPr>
                <w:sz w:val="22"/>
              </w:rPr>
              <w:t>)</w:t>
            </w:r>
          </w:p>
        </w:tc>
        <w:tc>
          <w:tcPr>
            <w:tcW w:w="3960" w:type="dxa"/>
            <w:gridSpan w:val="3"/>
            <w:tcBorders>
              <w:top w:val="single" w:sz="12" w:space="0" w:color="auto"/>
              <w:left w:val="nil"/>
              <w:bottom w:val="single" w:sz="4" w:space="0" w:color="auto"/>
              <w:right w:val="nil"/>
            </w:tcBorders>
            <w:shd w:val="clear" w:color="auto" w:fill="auto"/>
          </w:tcPr>
          <w:p w14:paraId="00BBDFB4" w14:textId="77777777" w:rsidR="00872C03" w:rsidRPr="00883399" w:rsidRDefault="00872C03" w:rsidP="0031057E">
            <w:pPr>
              <w:pStyle w:val="TableHeading"/>
              <w:rPr>
                <w:sz w:val="22"/>
              </w:rPr>
            </w:pPr>
            <w:r w:rsidRPr="00883399">
              <w:rPr>
                <w:sz w:val="22"/>
              </w:rPr>
              <w:t>Emission factor for gas type (</w:t>
            </w:r>
            <w:r w:rsidRPr="00883399">
              <w:rPr>
                <w:i/>
                <w:sz w:val="22"/>
              </w:rPr>
              <w:t>j</w:t>
            </w:r>
            <w:r w:rsidRPr="00883399">
              <w:rPr>
                <w:sz w:val="22"/>
              </w:rPr>
              <w:t>) (tonnes CO</w:t>
            </w:r>
            <w:r w:rsidRPr="00883399">
              <w:rPr>
                <w:rStyle w:val="charSubscript"/>
                <w:b w:val="0"/>
                <w:bCs/>
                <w:sz w:val="22"/>
              </w:rPr>
              <w:t>2</w:t>
            </w:r>
            <w:r w:rsidRPr="00883399">
              <w:rPr>
                <w:sz w:val="22"/>
              </w:rPr>
              <w:noBreakHyphen/>
              <w:t>e/tonnes of fuel flared)</w:t>
            </w:r>
          </w:p>
        </w:tc>
      </w:tr>
      <w:tr w:rsidR="00872C03" w:rsidRPr="00883399" w14:paraId="5A2A63DC" w14:textId="77777777" w:rsidTr="0031057E">
        <w:trPr>
          <w:cantSplit/>
          <w:tblHeader/>
        </w:trPr>
        <w:tc>
          <w:tcPr>
            <w:tcW w:w="960" w:type="dxa"/>
            <w:tcBorders>
              <w:top w:val="nil"/>
              <w:left w:val="nil"/>
              <w:bottom w:val="single" w:sz="12" w:space="0" w:color="auto"/>
              <w:right w:val="nil"/>
            </w:tcBorders>
            <w:shd w:val="clear" w:color="auto" w:fill="auto"/>
          </w:tcPr>
          <w:p w14:paraId="05F995AB" w14:textId="77777777" w:rsidR="00872C03" w:rsidRPr="00883399" w:rsidRDefault="00872C03" w:rsidP="0031057E">
            <w:pPr>
              <w:pStyle w:val="TableHeading"/>
              <w:rPr>
                <w:sz w:val="22"/>
              </w:rPr>
            </w:pPr>
          </w:p>
        </w:tc>
        <w:tc>
          <w:tcPr>
            <w:tcW w:w="2280" w:type="dxa"/>
            <w:vMerge/>
            <w:tcBorders>
              <w:top w:val="nil"/>
              <w:left w:val="nil"/>
              <w:bottom w:val="single" w:sz="12" w:space="0" w:color="auto"/>
              <w:right w:val="nil"/>
            </w:tcBorders>
            <w:shd w:val="clear" w:color="auto" w:fill="auto"/>
          </w:tcPr>
          <w:p w14:paraId="52EF7306" w14:textId="77777777" w:rsidR="00872C03" w:rsidRPr="00883399" w:rsidRDefault="00872C03" w:rsidP="0031057E"/>
        </w:tc>
        <w:tc>
          <w:tcPr>
            <w:tcW w:w="1320" w:type="dxa"/>
            <w:tcBorders>
              <w:top w:val="single" w:sz="4" w:space="0" w:color="auto"/>
              <w:left w:val="nil"/>
              <w:bottom w:val="single" w:sz="12" w:space="0" w:color="auto"/>
              <w:right w:val="nil"/>
            </w:tcBorders>
            <w:shd w:val="clear" w:color="auto" w:fill="auto"/>
          </w:tcPr>
          <w:p w14:paraId="471C85F8" w14:textId="77777777" w:rsidR="00872C03" w:rsidRPr="00883399" w:rsidRDefault="00872C03" w:rsidP="0031057E">
            <w:pPr>
              <w:pStyle w:val="TableHeading"/>
              <w:rPr>
                <w:sz w:val="22"/>
              </w:rPr>
            </w:pPr>
            <w:r w:rsidRPr="00883399">
              <w:rPr>
                <w:sz w:val="22"/>
              </w:rPr>
              <w:t>CO</w:t>
            </w:r>
            <w:r w:rsidRPr="00883399">
              <w:rPr>
                <w:rStyle w:val="charSubscript"/>
                <w:b w:val="0"/>
                <w:bCs/>
                <w:sz w:val="22"/>
              </w:rPr>
              <w:t>2</w:t>
            </w:r>
          </w:p>
        </w:tc>
        <w:tc>
          <w:tcPr>
            <w:tcW w:w="1320" w:type="dxa"/>
            <w:tcBorders>
              <w:top w:val="single" w:sz="4" w:space="0" w:color="auto"/>
              <w:left w:val="nil"/>
              <w:bottom w:val="single" w:sz="12" w:space="0" w:color="auto"/>
              <w:right w:val="nil"/>
            </w:tcBorders>
            <w:shd w:val="clear" w:color="auto" w:fill="auto"/>
          </w:tcPr>
          <w:p w14:paraId="2C4C5E4D" w14:textId="77777777" w:rsidR="00872C03" w:rsidRPr="00883399" w:rsidRDefault="00872C03" w:rsidP="0031057E">
            <w:pPr>
              <w:pStyle w:val="TableHeading"/>
              <w:rPr>
                <w:sz w:val="22"/>
              </w:rPr>
            </w:pPr>
            <w:r w:rsidRPr="00883399">
              <w:rPr>
                <w:sz w:val="22"/>
              </w:rPr>
              <w:t>CH</w:t>
            </w:r>
            <w:r w:rsidRPr="00883399">
              <w:rPr>
                <w:rStyle w:val="charSubscript"/>
                <w:b w:val="0"/>
                <w:bCs/>
                <w:sz w:val="22"/>
              </w:rPr>
              <w:t>4</w:t>
            </w:r>
          </w:p>
        </w:tc>
        <w:tc>
          <w:tcPr>
            <w:tcW w:w="1320" w:type="dxa"/>
            <w:tcBorders>
              <w:top w:val="single" w:sz="4" w:space="0" w:color="auto"/>
              <w:left w:val="nil"/>
              <w:bottom w:val="single" w:sz="12" w:space="0" w:color="auto"/>
              <w:right w:val="nil"/>
            </w:tcBorders>
            <w:shd w:val="clear" w:color="auto" w:fill="auto"/>
          </w:tcPr>
          <w:p w14:paraId="08CA7656" w14:textId="77777777" w:rsidR="00872C03" w:rsidRPr="00883399" w:rsidRDefault="00872C03" w:rsidP="0031057E">
            <w:pPr>
              <w:pStyle w:val="TableHeading"/>
              <w:rPr>
                <w:sz w:val="22"/>
              </w:rPr>
            </w:pPr>
            <w:r w:rsidRPr="00883399">
              <w:rPr>
                <w:sz w:val="22"/>
              </w:rPr>
              <w:t>N</w:t>
            </w:r>
            <w:r w:rsidRPr="00883399">
              <w:rPr>
                <w:rStyle w:val="charSubscript"/>
                <w:b w:val="0"/>
                <w:bCs/>
                <w:sz w:val="22"/>
              </w:rPr>
              <w:t>2</w:t>
            </w:r>
            <w:r w:rsidRPr="00883399">
              <w:rPr>
                <w:sz w:val="22"/>
              </w:rPr>
              <w:t>O</w:t>
            </w:r>
          </w:p>
        </w:tc>
      </w:tr>
      <w:tr w:rsidR="00872C03" w:rsidRPr="00883399" w14:paraId="0F290B77" w14:textId="77777777" w:rsidTr="0031057E">
        <w:trPr>
          <w:cantSplit/>
        </w:trPr>
        <w:tc>
          <w:tcPr>
            <w:tcW w:w="960" w:type="dxa"/>
            <w:tcBorders>
              <w:top w:val="single" w:sz="12" w:space="0" w:color="auto"/>
              <w:left w:val="nil"/>
              <w:bottom w:val="single" w:sz="4" w:space="0" w:color="auto"/>
              <w:right w:val="nil"/>
            </w:tcBorders>
          </w:tcPr>
          <w:p w14:paraId="2745C59E" w14:textId="77777777" w:rsidR="00872C03" w:rsidRPr="00883399" w:rsidRDefault="00872C03" w:rsidP="0031057E">
            <w:pPr>
              <w:pStyle w:val="Tabletext0"/>
              <w:rPr>
                <w:sz w:val="22"/>
              </w:rPr>
            </w:pPr>
            <w:r w:rsidRPr="00883399">
              <w:rPr>
                <w:sz w:val="22"/>
              </w:rPr>
              <w:t>1</w:t>
            </w:r>
          </w:p>
        </w:tc>
        <w:tc>
          <w:tcPr>
            <w:tcW w:w="2280" w:type="dxa"/>
            <w:tcBorders>
              <w:top w:val="single" w:sz="12" w:space="0" w:color="auto"/>
              <w:left w:val="nil"/>
              <w:bottom w:val="single" w:sz="4" w:space="0" w:color="auto"/>
              <w:right w:val="nil"/>
            </w:tcBorders>
          </w:tcPr>
          <w:p w14:paraId="3ABAF7F2" w14:textId="77777777" w:rsidR="00872C03" w:rsidRPr="00883399" w:rsidRDefault="00872C03" w:rsidP="0031057E">
            <w:pPr>
              <w:pStyle w:val="Tabletext0"/>
              <w:rPr>
                <w:sz w:val="22"/>
              </w:rPr>
            </w:pPr>
            <w:r w:rsidRPr="00883399">
              <w:rPr>
                <w:sz w:val="22"/>
              </w:rPr>
              <w:t>Unprocessed gas flared</w:t>
            </w:r>
          </w:p>
        </w:tc>
        <w:tc>
          <w:tcPr>
            <w:tcW w:w="1320" w:type="dxa"/>
            <w:tcBorders>
              <w:top w:val="single" w:sz="12" w:space="0" w:color="auto"/>
              <w:left w:val="nil"/>
              <w:bottom w:val="single" w:sz="4" w:space="0" w:color="auto"/>
              <w:right w:val="nil"/>
            </w:tcBorders>
          </w:tcPr>
          <w:p w14:paraId="31C6C593" w14:textId="77777777" w:rsidR="00872C03" w:rsidRPr="00883399" w:rsidRDefault="00872C03" w:rsidP="0031057E">
            <w:pPr>
              <w:pStyle w:val="Tabletext0"/>
              <w:rPr>
                <w:sz w:val="22"/>
              </w:rPr>
            </w:pPr>
            <w:r w:rsidRPr="00883399">
              <w:rPr>
                <w:sz w:val="22"/>
              </w:rPr>
              <w:t>2.8</w:t>
            </w:r>
          </w:p>
        </w:tc>
        <w:tc>
          <w:tcPr>
            <w:tcW w:w="1320" w:type="dxa"/>
            <w:tcBorders>
              <w:top w:val="single" w:sz="12" w:space="0" w:color="auto"/>
              <w:left w:val="nil"/>
              <w:bottom w:val="single" w:sz="4" w:space="0" w:color="auto"/>
              <w:right w:val="nil"/>
            </w:tcBorders>
          </w:tcPr>
          <w:p w14:paraId="319656E5" w14:textId="77777777" w:rsidR="00872C03" w:rsidRPr="00883399" w:rsidRDefault="00872C03" w:rsidP="0031057E">
            <w:pPr>
              <w:pStyle w:val="Tabletext0"/>
              <w:rPr>
                <w:sz w:val="22"/>
              </w:rPr>
            </w:pPr>
            <w:r w:rsidRPr="00883399">
              <w:rPr>
                <w:sz w:val="22"/>
              </w:rPr>
              <w:t>0.8</w:t>
            </w:r>
          </w:p>
        </w:tc>
        <w:tc>
          <w:tcPr>
            <w:tcW w:w="1320" w:type="dxa"/>
            <w:tcBorders>
              <w:top w:val="single" w:sz="12" w:space="0" w:color="auto"/>
              <w:left w:val="nil"/>
              <w:bottom w:val="single" w:sz="4" w:space="0" w:color="auto"/>
              <w:right w:val="nil"/>
            </w:tcBorders>
          </w:tcPr>
          <w:p w14:paraId="6F905566" w14:textId="77777777" w:rsidR="00872C03" w:rsidRPr="00883399" w:rsidRDefault="00872C03" w:rsidP="0031057E">
            <w:pPr>
              <w:pStyle w:val="Tabletext0"/>
              <w:rPr>
                <w:sz w:val="22"/>
              </w:rPr>
            </w:pPr>
            <w:r w:rsidRPr="00883399">
              <w:rPr>
                <w:sz w:val="22"/>
              </w:rPr>
              <w:t>0.03</w:t>
            </w:r>
          </w:p>
        </w:tc>
      </w:tr>
      <w:tr w:rsidR="00872C03" w:rsidRPr="00883399" w14:paraId="0B274936" w14:textId="77777777" w:rsidTr="0031057E">
        <w:trPr>
          <w:cantSplit/>
        </w:trPr>
        <w:tc>
          <w:tcPr>
            <w:tcW w:w="960" w:type="dxa"/>
            <w:tcBorders>
              <w:top w:val="single" w:sz="4" w:space="0" w:color="auto"/>
              <w:left w:val="nil"/>
              <w:bottom w:val="single" w:sz="12" w:space="0" w:color="auto"/>
              <w:right w:val="nil"/>
            </w:tcBorders>
          </w:tcPr>
          <w:p w14:paraId="34A98CCD" w14:textId="77777777" w:rsidR="00872C03" w:rsidRPr="00883399" w:rsidRDefault="00872C03" w:rsidP="0031057E">
            <w:pPr>
              <w:pStyle w:val="Tabletext0"/>
              <w:rPr>
                <w:sz w:val="22"/>
              </w:rPr>
            </w:pPr>
            <w:r w:rsidRPr="00883399">
              <w:rPr>
                <w:sz w:val="22"/>
              </w:rPr>
              <w:t>2</w:t>
            </w:r>
          </w:p>
        </w:tc>
        <w:tc>
          <w:tcPr>
            <w:tcW w:w="2280" w:type="dxa"/>
            <w:tcBorders>
              <w:top w:val="single" w:sz="4" w:space="0" w:color="auto"/>
              <w:left w:val="nil"/>
              <w:bottom w:val="single" w:sz="12" w:space="0" w:color="auto"/>
              <w:right w:val="nil"/>
            </w:tcBorders>
          </w:tcPr>
          <w:p w14:paraId="678B73A1" w14:textId="77777777" w:rsidR="00872C03" w:rsidRPr="00883399" w:rsidRDefault="00872C03" w:rsidP="0031057E">
            <w:pPr>
              <w:pStyle w:val="Tabletext0"/>
              <w:rPr>
                <w:sz w:val="22"/>
              </w:rPr>
            </w:pPr>
            <w:r w:rsidRPr="00883399">
              <w:rPr>
                <w:sz w:val="22"/>
              </w:rPr>
              <w:t>Crude oil</w:t>
            </w:r>
          </w:p>
        </w:tc>
        <w:tc>
          <w:tcPr>
            <w:tcW w:w="1320" w:type="dxa"/>
            <w:tcBorders>
              <w:top w:val="single" w:sz="4" w:space="0" w:color="auto"/>
              <w:left w:val="nil"/>
              <w:bottom w:val="single" w:sz="12" w:space="0" w:color="auto"/>
              <w:right w:val="nil"/>
            </w:tcBorders>
          </w:tcPr>
          <w:p w14:paraId="6BDFDB8D" w14:textId="77777777" w:rsidR="00872C03" w:rsidRPr="00883399" w:rsidRDefault="00872C03" w:rsidP="0031057E">
            <w:pPr>
              <w:pStyle w:val="Tabletext0"/>
              <w:rPr>
                <w:sz w:val="22"/>
              </w:rPr>
            </w:pPr>
            <w:r w:rsidRPr="00883399">
              <w:rPr>
                <w:sz w:val="22"/>
              </w:rPr>
              <w:t>3.2</w:t>
            </w:r>
          </w:p>
        </w:tc>
        <w:tc>
          <w:tcPr>
            <w:tcW w:w="1320" w:type="dxa"/>
            <w:tcBorders>
              <w:top w:val="single" w:sz="4" w:space="0" w:color="auto"/>
              <w:left w:val="nil"/>
              <w:bottom w:val="single" w:sz="12" w:space="0" w:color="auto"/>
              <w:right w:val="nil"/>
            </w:tcBorders>
          </w:tcPr>
          <w:p w14:paraId="05F697ED" w14:textId="77777777" w:rsidR="00872C03" w:rsidRPr="00883399" w:rsidRDefault="00872C03" w:rsidP="0031057E">
            <w:pPr>
              <w:pStyle w:val="Tabletext0"/>
              <w:rPr>
                <w:sz w:val="22"/>
              </w:rPr>
            </w:pPr>
            <w:r w:rsidRPr="00883399">
              <w:rPr>
                <w:sz w:val="22"/>
              </w:rPr>
              <w:t>0.008</w:t>
            </w:r>
          </w:p>
        </w:tc>
        <w:tc>
          <w:tcPr>
            <w:tcW w:w="1320" w:type="dxa"/>
            <w:tcBorders>
              <w:top w:val="single" w:sz="4" w:space="0" w:color="auto"/>
              <w:left w:val="nil"/>
              <w:bottom w:val="single" w:sz="12" w:space="0" w:color="auto"/>
              <w:right w:val="nil"/>
            </w:tcBorders>
          </w:tcPr>
          <w:p w14:paraId="602F218F" w14:textId="77777777" w:rsidR="00872C03" w:rsidRPr="00883399" w:rsidRDefault="00872C03" w:rsidP="0031057E">
            <w:pPr>
              <w:pStyle w:val="Tabletext0"/>
              <w:rPr>
                <w:sz w:val="22"/>
              </w:rPr>
            </w:pPr>
            <w:r w:rsidRPr="00883399">
              <w:rPr>
                <w:sz w:val="22"/>
              </w:rPr>
              <w:t>0.07</w:t>
            </w:r>
          </w:p>
        </w:tc>
      </w:tr>
    </w:tbl>
    <w:p w14:paraId="7D30636C" w14:textId="0A352484" w:rsidR="00872C03" w:rsidRPr="00883399" w:rsidRDefault="00872C03" w:rsidP="00872C03">
      <w:pPr>
        <w:pStyle w:val="ActHead5"/>
        <w:rPr>
          <w:sz w:val="28"/>
        </w:rPr>
      </w:pPr>
      <w:bookmarkStart w:id="544" w:name="_Toc423516918"/>
      <w:bookmarkStart w:id="545" w:name="_Toc495652835"/>
      <w:r w:rsidRPr="00883399">
        <w:rPr>
          <w:rStyle w:val="CharSectno"/>
          <w:sz w:val="28"/>
        </w:rPr>
        <w:t>3.45</w:t>
      </w:r>
      <w:r w:rsidRPr="00883399">
        <w:rPr>
          <w:sz w:val="28"/>
        </w:rPr>
        <w:t xml:space="preserve">  Method 2—oil or gas exploration (flared carbon dioxide emissions)</w:t>
      </w:r>
      <w:bookmarkEnd w:id="544"/>
      <w:bookmarkEnd w:id="545"/>
    </w:p>
    <w:p w14:paraId="44631906" w14:textId="77777777" w:rsidR="00872C03" w:rsidRPr="00883399" w:rsidRDefault="00872C03" w:rsidP="00872C03">
      <w:pPr>
        <w:pStyle w:val="SubsectionHead"/>
        <w:rPr>
          <w:sz w:val="24"/>
        </w:rPr>
      </w:pPr>
      <w:r w:rsidRPr="00883399">
        <w:rPr>
          <w:sz w:val="24"/>
        </w:rPr>
        <w:t>Combustion of gaseous fuels (flared) emissions</w:t>
      </w:r>
    </w:p>
    <w:p w14:paraId="28C3DF83" w14:textId="77777777" w:rsidR="00872C03" w:rsidRPr="00883399" w:rsidRDefault="00872C03" w:rsidP="00872C03">
      <w:pPr>
        <w:pStyle w:val="subsection"/>
        <w:rPr>
          <w:sz w:val="24"/>
        </w:rPr>
      </w:pPr>
      <w:r w:rsidRPr="00883399">
        <w:rPr>
          <w:sz w:val="24"/>
        </w:rPr>
        <w:tab/>
        <w:t>(1)</w:t>
      </w:r>
      <w:r w:rsidRPr="00883399">
        <w:rPr>
          <w:sz w:val="24"/>
        </w:rPr>
        <w:tab/>
        <w:t>For subparagraph 3.43(1)(a)(ii), method 2 for combustion of gaseous fuels is:</w:t>
      </w:r>
    </w:p>
    <w:p w14:paraId="7D626061" w14:textId="65C62AA3"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335B7BEE" wp14:editId="57AE27C3">
            <wp:extent cx="2054225" cy="237490"/>
            <wp:effectExtent l="1905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03"/>
                    <a:srcRect/>
                    <a:stretch>
                      <a:fillRect/>
                    </a:stretch>
                  </pic:blipFill>
                  <pic:spPr bwMode="auto">
                    <a:xfrm>
                      <a:off x="0" y="0"/>
                      <a:ext cx="2054225" cy="237490"/>
                    </a:xfrm>
                    <a:prstGeom prst="rect">
                      <a:avLst/>
                    </a:prstGeom>
                    <a:noFill/>
                    <a:ln w="9525">
                      <a:noFill/>
                      <a:miter lim="800000"/>
                      <a:headEnd/>
                      <a:tailEnd/>
                    </a:ln>
                  </pic:spPr>
                </pic:pic>
              </a:graphicData>
            </a:graphic>
          </wp:inline>
        </w:drawing>
      </w:r>
    </w:p>
    <w:p w14:paraId="4218677E" w14:textId="77777777" w:rsidR="00872C03" w:rsidRPr="00883399" w:rsidRDefault="00872C03" w:rsidP="00872C03">
      <w:pPr>
        <w:pStyle w:val="subsection2"/>
        <w:rPr>
          <w:sz w:val="24"/>
        </w:rPr>
      </w:pPr>
      <w:r w:rsidRPr="00883399">
        <w:rPr>
          <w:sz w:val="24"/>
        </w:rPr>
        <w:t>where:</w:t>
      </w:r>
    </w:p>
    <w:p w14:paraId="3D472929" w14:textId="77777777" w:rsidR="00872C03" w:rsidRPr="00883399" w:rsidRDefault="00872C03" w:rsidP="00872C03">
      <w:pPr>
        <w:pStyle w:val="Definition0"/>
        <w:rPr>
          <w:sz w:val="24"/>
        </w:rPr>
      </w:pPr>
      <w:r w:rsidRPr="00883399">
        <w:rPr>
          <w:b/>
          <w:i/>
          <w:sz w:val="24"/>
        </w:rPr>
        <w:t>E</w:t>
      </w:r>
      <w:r w:rsidRPr="00883399">
        <w:rPr>
          <w:b/>
          <w:i/>
          <w:iCs/>
          <w:sz w:val="24"/>
          <w:vertAlign w:val="subscript"/>
        </w:rPr>
        <w:t>iCO</w:t>
      </w:r>
      <w:r w:rsidRPr="00883399">
        <w:rPr>
          <w:b/>
          <w:i/>
          <w:position w:val="-6"/>
          <w:sz w:val="24"/>
          <w:vertAlign w:val="subscript"/>
        </w:rPr>
        <w:t>2</w:t>
      </w:r>
      <w:r w:rsidRPr="00883399">
        <w:rPr>
          <w:iCs/>
        </w:rPr>
        <w:t xml:space="preserve"> </w:t>
      </w:r>
      <w:r w:rsidRPr="00883399">
        <w:rPr>
          <w:sz w:val="24"/>
        </w:rPr>
        <w:t>is the fugitive emissions of CO</w:t>
      </w:r>
      <w:r w:rsidRPr="00883399">
        <w:rPr>
          <w:sz w:val="24"/>
          <w:vertAlign w:val="subscript"/>
        </w:rPr>
        <w:t>2</w:t>
      </w:r>
      <w:r w:rsidRPr="00883399">
        <w:rPr>
          <w:sz w:val="24"/>
        </w:rPr>
        <w:t xml:space="preserve"> from fuel type (</w:t>
      </w:r>
      <w:r w:rsidRPr="00883399">
        <w:rPr>
          <w:b/>
          <w:i/>
          <w:sz w:val="24"/>
        </w:rPr>
        <w:t>i</w:t>
      </w:r>
      <w:r w:rsidRPr="00883399">
        <w:rPr>
          <w:sz w:val="24"/>
        </w:rPr>
        <w:t>) flared in oil or gas exploration during the year, measured in CO</w:t>
      </w:r>
      <w:r w:rsidRPr="00883399">
        <w:rPr>
          <w:sz w:val="24"/>
          <w:vertAlign w:val="subscript"/>
        </w:rPr>
        <w:t>2</w:t>
      </w:r>
      <w:r w:rsidRPr="00883399">
        <w:rPr>
          <w:sz w:val="24"/>
        </w:rPr>
        <w:noBreakHyphen/>
        <w:t>e tonnes.</w:t>
      </w:r>
    </w:p>
    <w:p w14:paraId="6E02E24F" w14:textId="77777777" w:rsidR="00872C03" w:rsidRPr="00883399" w:rsidRDefault="00872C03" w:rsidP="00872C03">
      <w:pPr>
        <w:pStyle w:val="Definition0"/>
        <w:rPr>
          <w:sz w:val="24"/>
        </w:rPr>
      </w:pPr>
      <w:r w:rsidRPr="00883399">
        <w:rPr>
          <w:b/>
          <w:i/>
          <w:sz w:val="24"/>
        </w:rPr>
        <w:t>Q</w:t>
      </w:r>
      <w:r w:rsidRPr="00883399">
        <w:rPr>
          <w:b/>
          <w:i/>
          <w:sz w:val="24"/>
          <w:vertAlign w:val="subscript"/>
        </w:rPr>
        <w:t>h</w:t>
      </w:r>
      <w:r w:rsidRPr="00883399">
        <w:rPr>
          <w:i/>
          <w:sz w:val="24"/>
        </w:rPr>
        <w:t xml:space="preserve"> </w:t>
      </w:r>
      <w:r w:rsidRPr="00883399">
        <w:rPr>
          <w:sz w:val="24"/>
        </w:rPr>
        <w:t>is the total quantity of hydrocarbons (</w:t>
      </w:r>
      <w:r w:rsidRPr="00883399">
        <w:rPr>
          <w:b/>
          <w:i/>
          <w:sz w:val="24"/>
        </w:rPr>
        <w:t>h</w:t>
      </w:r>
      <w:r w:rsidRPr="00883399">
        <w:rPr>
          <w:sz w:val="24"/>
        </w:rPr>
        <w:t>) within the fuel type (</w:t>
      </w:r>
      <w:r w:rsidRPr="00883399">
        <w:rPr>
          <w:b/>
          <w:i/>
          <w:sz w:val="24"/>
        </w:rPr>
        <w:t>i</w:t>
      </w:r>
      <w:r w:rsidRPr="00883399">
        <w:rPr>
          <w:sz w:val="24"/>
        </w:rPr>
        <w:t>) in oil or gas exploration during the year, measured in tonnes in accordance with Division 2.3.3.</w:t>
      </w:r>
    </w:p>
    <w:p w14:paraId="7FB0D76C" w14:textId="77777777" w:rsidR="00872C03" w:rsidRPr="00883399" w:rsidRDefault="00872C03" w:rsidP="00872C03">
      <w:pPr>
        <w:pStyle w:val="Definition0"/>
        <w:rPr>
          <w:sz w:val="24"/>
        </w:rPr>
      </w:pPr>
      <w:r w:rsidRPr="00883399">
        <w:rPr>
          <w:b/>
          <w:i/>
          <w:sz w:val="24"/>
        </w:rPr>
        <w:t>EF</w:t>
      </w:r>
      <w:r w:rsidRPr="00883399">
        <w:rPr>
          <w:b/>
          <w:i/>
          <w:sz w:val="24"/>
          <w:vertAlign w:val="subscript"/>
        </w:rPr>
        <w:t>h</w:t>
      </w:r>
      <w:r w:rsidRPr="00883399">
        <w:rPr>
          <w:sz w:val="24"/>
        </w:rPr>
        <w:t xml:space="preserve"> is the emission factor for the total hydrocarbons (</w:t>
      </w:r>
      <w:r w:rsidRPr="00883399">
        <w:rPr>
          <w:b/>
          <w:i/>
          <w:sz w:val="24"/>
        </w:rPr>
        <w:t>h</w:t>
      </w:r>
      <w:r w:rsidRPr="00883399">
        <w:rPr>
          <w:sz w:val="24"/>
        </w:rPr>
        <w:t>) within the fuel type (</w:t>
      </w:r>
      <w:r w:rsidRPr="00883399">
        <w:rPr>
          <w:b/>
          <w:i/>
          <w:sz w:val="24"/>
        </w:rPr>
        <w:t>i</w:t>
      </w:r>
      <w:r w:rsidRPr="00883399">
        <w:rPr>
          <w:sz w:val="24"/>
        </w:rPr>
        <w:t>) in oil or gas exploration during the year, measured in CO</w:t>
      </w:r>
      <w:r w:rsidRPr="00883399">
        <w:rPr>
          <w:sz w:val="24"/>
          <w:vertAlign w:val="subscript"/>
        </w:rPr>
        <w:t>2</w:t>
      </w:r>
      <w:r w:rsidRPr="00883399">
        <w:rPr>
          <w:sz w:val="24"/>
        </w:rPr>
        <w:noBreakHyphen/>
        <w:t>e tonnes per tonne of the fuel type (</w:t>
      </w:r>
      <w:r w:rsidRPr="00883399">
        <w:rPr>
          <w:b/>
          <w:i/>
          <w:sz w:val="24"/>
        </w:rPr>
        <w:t>i</w:t>
      </w:r>
      <w:r w:rsidRPr="00883399">
        <w:rPr>
          <w:sz w:val="24"/>
        </w:rPr>
        <w:t>) flared</w:t>
      </w:r>
      <w:r w:rsidRPr="00883399">
        <w:rPr>
          <w:i/>
          <w:sz w:val="24"/>
        </w:rPr>
        <w:t xml:space="preserve">, </w:t>
      </w:r>
      <w:r w:rsidRPr="00883399">
        <w:rPr>
          <w:sz w:val="24"/>
        </w:rPr>
        <w:t>estimated in accordance with Division 2.3.3.</w:t>
      </w:r>
    </w:p>
    <w:p w14:paraId="3E454BA3" w14:textId="77777777" w:rsidR="00872C03" w:rsidRPr="00883399" w:rsidRDefault="00872C03" w:rsidP="00872C03">
      <w:pPr>
        <w:pStyle w:val="Definition0"/>
        <w:rPr>
          <w:sz w:val="24"/>
        </w:rPr>
      </w:pPr>
      <w:r w:rsidRPr="00883399">
        <w:rPr>
          <w:b/>
          <w:i/>
          <w:sz w:val="24"/>
        </w:rPr>
        <w:t>OF</w:t>
      </w:r>
      <w:r w:rsidRPr="00883399">
        <w:rPr>
          <w:b/>
          <w:i/>
          <w:sz w:val="24"/>
          <w:vertAlign w:val="subscript"/>
        </w:rPr>
        <w:t>i</w:t>
      </w:r>
      <w:r w:rsidRPr="00883399">
        <w:rPr>
          <w:sz w:val="24"/>
        </w:rPr>
        <w:t xml:space="preserve"> is 0.98, which is the destruction efficiency of fuel type (</w:t>
      </w:r>
      <w:r w:rsidRPr="00883399">
        <w:rPr>
          <w:b/>
          <w:i/>
          <w:sz w:val="24"/>
        </w:rPr>
        <w:t>i</w:t>
      </w:r>
      <w:r w:rsidRPr="00883399">
        <w:rPr>
          <w:sz w:val="24"/>
        </w:rPr>
        <w:t>) flared.</w:t>
      </w:r>
    </w:p>
    <w:p w14:paraId="03737A5E" w14:textId="77777777" w:rsidR="00872C03" w:rsidRPr="00883399" w:rsidRDefault="00872C03" w:rsidP="00872C03">
      <w:pPr>
        <w:pStyle w:val="Definition0"/>
        <w:rPr>
          <w:sz w:val="24"/>
        </w:rPr>
      </w:pPr>
      <w:r w:rsidRPr="00883399">
        <w:rPr>
          <w:b/>
          <w:i/>
          <w:sz w:val="24"/>
        </w:rPr>
        <w:t>QCO</w:t>
      </w:r>
      <w:r w:rsidRPr="00883399">
        <w:rPr>
          <w:b/>
          <w:i/>
          <w:sz w:val="24"/>
          <w:vertAlign w:val="subscript"/>
        </w:rPr>
        <w:t>2</w:t>
      </w:r>
      <w:r w:rsidRPr="00883399">
        <w:rPr>
          <w:sz w:val="24"/>
        </w:rPr>
        <w:t xml:space="preserve"> is the quantity of CO</w:t>
      </w:r>
      <w:r w:rsidRPr="00883399">
        <w:rPr>
          <w:sz w:val="24"/>
          <w:vertAlign w:val="subscript"/>
        </w:rPr>
        <w:t>2</w:t>
      </w:r>
      <w:r w:rsidRPr="00883399">
        <w:rPr>
          <w:sz w:val="24"/>
        </w:rPr>
        <w:t xml:space="preserve"> within fuel type (</w:t>
      </w:r>
      <w:r w:rsidRPr="00883399">
        <w:rPr>
          <w:b/>
          <w:i/>
          <w:sz w:val="24"/>
        </w:rPr>
        <w:t>i</w:t>
      </w:r>
      <w:r w:rsidRPr="00883399">
        <w:rPr>
          <w:sz w:val="24"/>
        </w:rPr>
        <w:t>) in oil or gas exploration during the year, measured in CO</w:t>
      </w:r>
      <w:r w:rsidRPr="00883399">
        <w:rPr>
          <w:sz w:val="24"/>
          <w:vertAlign w:val="subscript"/>
        </w:rPr>
        <w:t>2</w:t>
      </w:r>
      <w:r w:rsidRPr="00883399">
        <w:rPr>
          <w:sz w:val="24"/>
        </w:rPr>
        <w:noBreakHyphen/>
        <w:t>e tonnes in accordance with Division 2.3.3.</w:t>
      </w:r>
    </w:p>
    <w:p w14:paraId="002A2CF0" w14:textId="77777777" w:rsidR="00872C03" w:rsidRPr="00883399" w:rsidRDefault="00872C03" w:rsidP="00872C03">
      <w:pPr>
        <w:pStyle w:val="SubsectionHead"/>
        <w:rPr>
          <w:sz w:val="24"/>
        </w:rPr>
      </w:pPr>
      <w:r w:rsidRPr="00883399">
        <w:rPr>
          <w:sz w:val="24"/>
        </w:rPr>
        <w:t>Combustion of liquid fuels (flared) emissions</w:t>
      </w:r>
    </w:p>
    <w:p w14:paraId="6D0A9CEC" w14:textId="77777777" w:rsidR="00872C03" w:rsidRPr="00883399" w:rsidRDefault="00872C03" w:rsidP="00872C03">
      <w:pPr>
        <w:pStyle w:val="subsection"/>
        <w:rPr>
          <w:sz w:val="24"/>
        </w:rPr>
      </w:pPr>
      <w:r w:rsidRPr="00883399">
        <w:rPr>
          <w:sz w:val="24"/>
        </w:rPr>
        <w:tab/>
        <w:t>(2)</w:t>
      </w:r>
      <w:r w:rsidRPr="00883399">
        <w:rPr>
          <w:sz w:val="24"/>
        </w:rPr>
        <w:tab/>
        <w:t xml:space="preserve">For subparagraph 3.43(1)(a)(ii), method 2 for combustion of liquid fuels is the same as method 1 under section 3.44, but the carbon dioxide emissions factor </w:t>
      </w:r>
      <w:r w:rsidRPr="00883399">
        <w:rPr>
          <w:b/>
          <w:i/>
          <w:sz w:val="24"/>
        </w:rPr>
        <w:t>EF</w:t>
      </w:r>
      <w:r w:rsidRPr="00883399">
        <w:rPr>
          <w:b/>
          <w:i/>
          <w:sz w:val="24"/>
          <w:vertAlign w:val="subscript"/>
        </w:rPr>
        <w:t>ij</w:t>
      </w:r>
      <w:r w:rsidRPr="00883399">
        <w:rPr>
          <w:sz w:val="24"/>
        </w:rPr>
        <w:t xml:space="preserve"> must be determined in accordance with method 2 in Division 2.4.3.</w:t>
      </w:r>
    </w:p>
    <w:p w14:paraId="4B32EA3E" w14:textId="654C30A0" w:rsidR="00872C03" w:rsidRPr="00883399" w:rsidRDefault="00872C03" w:rsidP="00872C03">
      <w:pPr>
        <w:pStyle w:val="ActHead5"/>
        <w:rPr>
          <w:sz w:val="28"/>
        </w:rPr>
      </w:pPr>
      <w:bookmarkStart w:id="546" w:name="_Toc423516919"/>
      <w:bookmarkStart w:id="547" w:name="_Toc495652836"/>
      <w:r w:rsidRPr="00883399">
        <w:rPr>
          <w:rStyle w:val="CharSectno"/>
          <w:sz w:val="28"/>
        </w:rPr>
        <w:lastRenderedPageBreak/>
        <w:t>3.45A</w:t>
      </w:r>
      <w:r w:rsidRPr="00883399">
        <w:rPr>
          <w:sz w:val="28"/>
        </w:rPr>
        <w:t xml:space="preserve">  Method 2A—oil or gas exploration (flared methane or nitrous oxide emissions)</w:t>
      </w:r>
      <w:bookmarkEnd w:id="546"/>
      <w:bookmarkEnd w:id="547"/>
    </w:p>
    <w:p w14:paraId="7B5132F2" w14:textId="77777777" w:rsidR="00872C03" w:rsidRPr="00883399" w:rsidRDefault="00872C03" w:rsidP="00872C03">
      <w:pPr>
        <w:pStyle w:val="subsection"/>
        <w:rPr>
          <w:sz w:val="24"/>
        </w:rPr>
      </w:pPr>
      <w:r w:rsidRPr="00883399">
        <w:rPr>
          <w:sz w:val="24"/>
        </w:rPr>
        <w:tab/>
      </w:r>
      <w:r w:rsidRPr="00883399">
        <w:rPr>
          <w:sz w:val="24"/>
        </w:rPr>
        <w:tab/>
        <w:t>For subparagraphs 3.43(1)(b)(ii) and (c)(ii), method 2A is:</w:t>
      </w:r>
    </w:p>
    <w:p w14:paraId="751C79BA" w14:textId="77777777" w:rsidR="00872C03" w:rsidRPr="00883399" w:rsidRDefault="00872C03" w:rsidP="00872C03">
      <w:pPr>
        <w:pStyle w:val="subsection2"/>
        <w:rPr>
          <w:sz w:val="24"/>
        </w:rPr>
      </w:pPr>
      <w:r w:rsidRPr="00883399">
        <w:rPr>
          <w:sz w:val="24"/>
        </w:rPr>
        <w:object w:dxaOrig="2079" w:dyaOrig="440" w14:anchorId="4F38368F">
          <v:shape id="_x0000_i1040" type="#_x0000_t75" style="width:105.75pt;height:21.75pt" o:ole="">
            <v:imagedata r:id="rId104" o:title=""/>
          </v:shape>
          <o:OLEObject Type="Embed" ProgID="Equation.DSMT4" ShapeID="_x0000_i1040" DrawAspect="Content" ObjectID="_1594105931" r:id="rId105"/>
        </w:object>
      </w:r>
    </w:p>
    <w:p w14:paraId="6076D2AC" w14:textId="77777777" w:rsidR="00872C03" w:rsidRPr="00883399" w:rsidRDefault="00872C03" w:rsidP="00872C03">
      <w:pPr>
        <w:pStyle w:val="subsection2"/>
        <w:rPr>
          <w:sz w:val="24"/>
        </w:rPr>
      </w:pPr>
      <w:r w:rsidRPr="00883399">
        <w:rPr>
          <w:sz w:val="24"/>
        </w:rPr>
        <w:t>where:</w:t>
      </w:r>
    </w:p>
    <w:p w14:paraId="497D054C" w14:textId="77777777" w:rsidR="00872C03" w:rsidRPr="00883399" w:rsidRDefault="00872C03" w:rsidP="00872C03">
      <w:pPr>
        <w:pStyle w:val="Definition0"/>
        <w:rPr>
          <w:sz w:val="24"/>
        </w:rPr>
      </w:pPr>
      <w:r w:rsidRPr="00883399">
        <w:rPr>
          <w:b/>
          <w:i/>
          <w:sz w:val="24"/>
        </w:rPr>
        <w:t>EF</w:t>
      </w:r>
      <w:r w:rsidRPr="00883399">
        <w:rPr>
          <w:b/>
          <w:i/>
          <w:sz w:val="24"/>
          <w:vertAlign w:val="subscript"/>
        </w:rPr>
        <w:t>hij</w:t>
      </w:r>
      <w:r w:rsidRPr="00883399">
        <w:rPr>
          <w:sz w:val="24"/>
        </w:rPr>
        <w:t xml:space="preserve"> is the emission factor of gas type (</w:t>
      </w:r>
      <w:r w:rsidRPr="00883399">
        <w:rPr>
          <w:b/>
          <w:i/>
          <w:sz w:val="24"/>
        </w:rPr>
        <w:t>j</w:t>
      </w:r>
      <w:r w:rsidRPr="00883399">
        <w:rPr>
          <w:sz w:val="24"/>
        </w:rPr>
        <w:t>), being methane or nitrous oxide, for the total hydrocarbons (</w:t>
      </w:r>
      <w:r w:rsidRPr="00883399">
        <w:rPr>
          <w:b/>
          <w:i/>
          <w:sz w:val="24"/>
        </w:rPr>
        <w:t>h</w:t>
      </w:r>
      <w:r w:rsidRPr="00883399">
        <w:rPr>
          <w:sz w:val="24"/>
        </w:rPr>
        <w:t>) within the fuel type (</w:t>
      </w:r>
      <w:r w:rsidRPr="00883399">
        <w:rPr>
          <w:b/>
          <w:i/>
          <w:sz w:val="24"/>
        </w:rPr>
        <w:t>i</w:t>
      </w:r>
      <w:r w:rsidRPr="00883399">
        <w:rPr>
          <w:sz w:val="24"/>
        </w:rPr>
        <w:t>) in oil or gas exploration during the year, mentioned for the fuel type in the table in subsection 3.44(2) and measured in CO</w:t>
      </w:r>
      <w:r w:rsidRPr="00883399">
        <w:rPr>
          <w:sz w:val="24"/>
          <w:vertAlign w:val="subscript"/>
        </w:rPr>
        <w:t>2</w:t>
      </w:r>
      <w:r w:rsidRPr="00883399">
        <w:rPr>
          <w:sz w:val="24"/>
        </w:rPr>
        <w:noBreakHyphen/>
        <w:t>e tonnes per tonne of the fuel type (</w:t>
      </w:r>
      <w:r w:rsidRPr="00883399">
        <w:rPr>
          <w:b/>
          <w:i/>
          <w:sz w:val="24"/>
        </w:rPr>
        <w:t>i</w:t>
      </w:r>
      <w:r w:rsidRPr="00883399">
        <w:rPr>
          <w:sz w:val="24"/>
        </w:rPr>
        <w:t>) flared.</w:t>
      </w:r>
    </w:p>
    <w:p w14:paraId="5C411544" w14:textId="77777777" w:rsidR="00872C03" w:rsidRPr="00883399" w:rsidRDefault="00872C03" w:rsidP="00872C03">
      <w:pPr>
        <w:pStyle w:val="Definition0"/>
        <w:rPr>
          <w:sz w:val="24"/>
        </w:rPr>
      </w:pPr>
      <w:r w:rsidRPr="00883399">
        <w:rPr>
          <w:b/>
          <w:i/>
          <w:sz w:val="24"/>
        </w:rPr>
        <w:t>E</w:t>
      </w:r>
      <w:r w:rsidRPr="00883399">
        <w:rPr>
          <w:b/>
          <w:i/>
          <w:sz w:val="24"/>
          <w:vertAlign w:val="subscript"/>
        </w:rPr>
        <w:t>ij</w:t>
      </w:r>
      <w:r w:rsidRPr="00883399">
        <w:rPr>
          <w:sz w:val="24"/>
        </w:rPr>
        <w:t xml:space="preserve"> is the fugitive emissions of gas type (</w:t>
      </w:r>
      <w:r w:rsidRPr="00883399">
        <w:rPr>
          <w:b/>
          <w:i/>
          <w:sz w:val="24"/>
        </w:rPr>
        <w:t>j</w:t>
      </w:r>
      <w:r w:rsidRPr="00883399">
        <w:rPr>
          <w:sz w:val="24"/>
        </w:rPr>
        <w:t>), being methane or nitrous oxide, from fuel type (</w:t>
      </w:r>
      <w:r w:rsidRPr="00883399">
        <w:rPr>
          <w:b/>
          <w:i/>
          <w:sz w:val="24"/>
        </w:rPr>
        <w:t>i</w:t>
      </w:r>
      <w:r w:rsidRPr="00883399">
        <w:rPr>
          <w:sz w:val="24"/>
        </w:rPr>
        <w:t>) flared</w:t>
      </w:r>
      <w:r w:rsidRPr="00883399">
        <w:rPr>
          <w:i/>
          <w:sz w:val="24"/>
        </w:rPr>
        <w:t xml:space="preserve"> </w:t>
      </w:r>
      <w:r w:rsidRPr="00883399">
        <w:rPr>
          <w:sz w:val="24"/>
        </w:rPr>
        <w:t>from oil or gas exploration during the year, measured in CO</w:t>
      </w:r>
      <w:r w:rsidRPr="00883399">
        <w:rPr>
          <w:sz w:val="24"/>
          <w:vertAlign w:val="subscript"/>
        </w:rPr>
        <w:t>2</w:t>
      </w:r>
      <w:r w:rsidRPr="00883399">
        <w:rPr>
          <w:sz w:val="24"/>
        </w:rPr>
        <w:noBreakHyphen/>
        <w:t>e tonnes.</w:t>
      </w:r>
    </w:p>
    <w:p w14:paraId="47D9B7AE" w14:textId="77777777" w:rsidR="00872C03" w:rsidRPr="00883399" w:rsidRDefault="00872C03" w:rsidP="00872C03">
      <w:pPr>
        <w:pStyle w:val="Definition0"/>
        <w:rPr>
          <w:sz w:val="24"/>
        </w:rPr>
      </w:pPr>
      <w:r w:rsidRPr="00883399">
        <w:rPr>
          <w:b/>
          <w:i/>
          <w:sz w:val="24"/>
        </w:rPr>
        <w:t>OF</w:t>
      </w:r>
      <w:r w:rsidRPr="00883399">
        <w:rPr>
          <w:b/>
          <w:i/>
          <w:sz w:val="24"/>
          <w:vertAlign w:val="subscript"/>
        </w:rPr>
        <w:t>i</w:t>
      </w:r>
      <w:r w:rsidRPr="00883399">
        <w:rPr>
          <w:sz w:val="24"/>
        </w:rPr>
        <w:t xml:space="preserve"> is 0.98, which is the destruction efficiency of fuel type (</w:t>
      </w:r>
      <w:r w:rsidRPr="00883399">
        <w:rPr>
          <w:b/>
          <w:i/>
          <w:sz w:val="24"/>
        </w:rPr>
        <w:t>i</w:t>
      </w:r>
      <w:r w:rsidRPr="00883399">
        <w:rPr>
          <w:sz w:val="24"/>
        </w:rPr>
        <w:t>) flared.</w:t>
      </w:r>
    </w:p>
    <w:p w14:paraId="06687039" w14:textId="77777777" w:rsidR="00872C03" w:rsidRPr="00883399" w:rsidRDefault="00872C03" w:rsidP="00872C03">
      <w:pPr>
        <w:pStyle w:val="Definition0"/>
        <w:rPr>
          <w:sz w:val="24"/>
        </w:rPr>
      </w:pPr>
      <w:r w:rsidRPr="00883399">
        <w:rPr>
          <w:b/>
          <w:i/>
          <w:sz w:val="24"/>
        </w:rPr>
        <w:t>Q</w:t>
      </w:r>
      <w:r w:rsidRPr="00883399">
        <w:rPr>
          <w:b/>
          <w:i/>
          <w:sz w:val="24"/>
          <w:vertAlign w:val="subscript"/>
        </w:rPr>
        <w:t>h</w:t>
      </w:r>
      <w:r w:rsidRPr="00883399">
        <w:rPr>
          <w:sz w:val="24"/>
        </w:rPr>
        <w:t xml:space="preserve"> is the total quantity of hydrocarbons (</w:t>
      </w:r>
      <w:r w:rsidRPr="00883399">
        <w:rPr>
          <w:b/>
          <w:i/>
          <w:sz w:val="24"/>
        </w:rPr>
        <w:t>h</w:t>
      </w:r>
      <w:r w:rsidRPr="00883399">
        <w:rPr>
          <w:sz w:val="24"/>
        </w:rPr>
        <w:t>) within the fuel type (</w:t>
      </w:r>
      <w:r w:rsidRPr="00883399">
        <w:rPr>
          <w:b/>
          <w:i/>
          <w:sz w:val="24"/>
        </w:rPr>
        <w:t>i</w:t>
      </w:r>
      <w:r w:rsidRPr="00883399">
        <w:rPr>
          <w:sz w:val="24"/>
        </w:rPr>
        <w:t>) in oil or gas exploration during the year, measured in tonnes in accordance with Division 2.3.3 for gaseous fuels or Division 2.4.3 for liquid fuels.</w:t>
      </w:r>
    </w:p>
    <w:p w14:paraId="6FA5DE4C" w14:textId="533C1CD1" w:rsidR="00872C03" w:rsidRPr="00883399" w:rsidRDefault="00872C03" w:rsidP="00872C03">
      <w:pPr>
        <w:pStyle w:val="ActHead5"/>
        <w:rPr>
          <w:sz w:val="28"/>
        </w:rPr>
      </w:pPr>
      <w:bookmarkStart w:id="548" w:name="_Toc423516920"/>
      <w:bookmarkStart w:id="549" w:name="_Toc495652837"/>
      <w:r w:rsidRPr="00883399">
        <w:rPr>
          <w:rStyle w:val="CharSectno"/>
          <w:sz w:val="28"/>
        </w:rPr>
        <w:t>3.46</w:t>
      </w:r>
      <w:r w:rsidRPr="00883399">
        <w:rPr>
          <w:sz w:val="28"/>
        </w:rPr>
        <w:t xml:space="preserve">  Method 3—oil or gas exploration</w:t>
      </w:r>
      <w:bookmarkEnd w:id="548"/>
      <w:bookmarkEnd w:id="549"/>
    </w:p>
    <w:p w14:paraId="494DEE2A" w14:textId="77777777" w:rsidR="00872C03" w:rsidRPr="00883399" w:rsidRDefault="00872C03" w:rsidP="00872C03">
      <w:pPr>
        <w:pStyle w:val="SubsectionHead"/>
        <w:rPr>
          <w:sz w:val="24"/>
        </w:rPr>
      </w:pPr>
      <w:r w:rsidRPr="00883399">
        <w:rPr>
          <w:sz w:val="24"/>
        </w:rPr>
        <w:t>Combustion of gaseous fuels (flared) emissions</w:t>
      </w:r>
    </w:p>
    <w:p w14:paraId="4DB6921B" w14:textId="77777777" w:rsidR="00872C03" w:rsidRPr="00883399" w:rsidRDefault="00872C03" w:rsidP="00872C03">
      <w:pPr>
        <w:pStyle w:val="subsection"/>
        <w:rPr>
          <w:sz w:val="24"/>
        </w:rPr>
      </w:pPr>
      <w:r w:rsidRPr="00883399">
        <w:rPr>
          <w:sz w:val="24"/>
        </w:rPr>
        <w:tab/>
        <w:t>(1)</w:t>
      </w:r>
      <w:r w:rsidRPr="00883399">
        <w:rPr>
          <w:sz w:val="24"/>
        </w:rPr>
        <w:tab/>
        <w:t xml:space="preserve">For subparagraph 3.43(1)(a)(iii), method 3 for the combustion of gaseous fuels is the same as method 2, but the carbon dioxide emissions factor </w:t>
      </w:r>
      <w:r w:rsidRPr="00883399">
        <w:rPr>
          <w:b/>
          <w:i/>
          <w:sz w:val="24"/>
        </w:rPr>
        <w:t>EF</w:t>
      </w:r>
      <w:r w:rsidRPr="00883399">
        <w:rPr>
          <w:rStyle w:val="charSubscript"/>
          <w:b/>
          <w:i/>
          <w:sz w:val="24"/>
        </w:rPr>
        <w:t>h</w:t>
      </w:r>
      <w:r w:rsidRPr="00883399">
        <w:rPr>
          <w:sz w:val="24"/>
        </w:rPr>
        <w:t xml:space="preserve"> must be determined in accordance with method 3 in Division 2.3.4.</w:t>
      </w:r>
    </w:p>
    <w:p w14:paraId="700FEF45" w14:textId="77777777" w:rsidR="00872C03" w:rsidRPr="00883399" w:rsidRDefault="00872C03" w:rsidP="00872C03">
      <w:pPr>
        <w:pStyle w:val="SubsectionHead"/>
        <w:rPr>
          <w:sz w:val="24"/>
        </w:rPr>
      </w:pPr>
      <w:r w:rsidRPr="00883399">
        <w:rPr>
          <w:sz w:val="24"/>
        </w:rPr>
        <w:t>Combustion of liquid fuels (flared) emissions</w:t>
      </w:r>
    </w:p>
    <w:p w14:paraId="2E5B25A0" w14:textId="77777777" w:rsidR="00872C03" w:rsidRPr="00883399" w:rsidRDefault="00872C03" w:rsidP="00872C03">
      <w:pPr>
        <w:pStyle w:val="subsection"/>
        <w:rPr>
          <w:sz w:val="24"/>
        </w:rPr>
      </w:pPr>
      <w:r w:rsidRPr="00883399">
        <w:rPr>
          <w:sz w:val="24"/>
        </w:rPr>
        <w:tab/>
        <w:t>(2)</w:t>
      </w:r>
      <w:r w:rsidRPr="00883399">
        <w:rPr>
          <w:sz w:val="24"/>
        </w:rPr>
        <w:tab/>
        <w:t xml:space="preserve">For subparagraph 3.43(1)(a)(iii), method 3 for the combustion of liquid fuels is the same as method 2, but the carbon dioxide emissions factor </w:t>
      </w:r>
      <w:r w:rsidRPr="00883399">
        <w:rPr>
          <w:b/>
          <w:i/>
          <w:sz w:val="24"/>
        </w:rPr>
        <w:t>EF</w:t>
      </w:r>
      <w:r w:rsidRPr="00883399">
        <w:rPr>
          <w:rStyle w:val="charSubscript"/>
          <w:b/>
          <w:i/>
          <w:sz w:val="24"/>
        </w:rPr>
        <w:t>h</w:t>
      </w:r>
      <w:r w:rsidRPr="00883399">
        <w:rPr>
          <w:sz w:val="24"/>
        </w:rPr>
        <w:t xml:space="preserve"> must be determined in accordance with method 3 in Division 2.4.4.</w:t>
      </w:r>
    </w:p>
    <w:p w14:paraId="79BF32D4" w14:textId="7578BDF9" w:rsidR="00872C03" w:rsidRPr="00883399" w:rsidRDefault="00872C03" w:rsidP="00872C03">
      <w:pPr>
        <w:pStyle w:val="ActHead4"/>
        <w:rPr>
          <w:sz w:val="28"/>
        </w:rPr>
      </w:pPr>
      <w:bookmarkStart w:id="550" w:name="_Toc423516921"/>
      <w:bookmarkStart w:id="551" w:name="_Toc495652838"/>
      <w:r w:rsidRPr="00883399">
        <w:rPr>
          <w:rStyle w:val="CharSubdNo"/>
          <w:sz w:val="28"/>
        </w:rPr>
        <w:t>Subdivision 3.3.2.3</w:t>
      </w:r>
      <w:r w:rsidRPr="00883399">
        <w:rPr>
          <w:sz w:val="28"/>
        </w:rPr>
        <w:t>—</w:t>
      </w:r>
      <w:r w:rsidRPr="00883399">
        <w:rPr>
          <w:rStyle w:val="CharSubdText"/>
          <w:sz w:val="28"/>
        </w:rPr>
        <w:t>Oil or gas exploration—fugitive emissions from system upsets, accidents and deliberate releases from process vents</w:t>
      </w:r>
      <w:bookmarkEnd w:id="550"/>
      <w:bookmarkEnd w:id="551"/>
    </w:p>
    <w:p w14:paraId="370DE8B3" w14:textId="2D710B67" w:rsidR="00872C03" w:rsidRPr="00883399" w:rsidRDefault="00872C03" w:rsidP="00872C03">
      <w:pPr>
        <w:pStyle w:val="ActHead5"/>
        <w:rPr>
          <w:sz w:val="28"/>
        </w:rPr>
      </w:pPr>
      <w:bookmarkStart w:id="552" w:name="_Toc423516922"/>
      <w:bookmarkStart w:id="553" w:name="_Toc495652839"/>
      <w:r w:rsidRPr="00883399">
        <w:rPr>
          <w:rStyle w:val="CharSectno"/>
          <w:sz w:val="28"/>
        </w:rPr>
        <w:t>3.46A</w:t>
      </w:r>
      <w:r w:rsidRPr="00883399">
        <w:rPr>
          <w:sz w:val="28"/>
        </w:rPr>
        <w:t xml:space="preserve">  Available methods</w:t>
      </w:r>
      <w:bookmarkEnd w:id="552"/>
      <w:bookmarkEnd w:id="553"/>
    </w:p>
    <w:p w14:paraId="2BA4F445" w14:textId="77777777" w:rsidR="00872C03" w:rsidRPr="00883399" w:rsidRDefault="00872C03" w:rsidP="00872C03">
      <w:pPr>
        <w:pStyle w:val="subsection"/>
        <w:rPr>
          <w:sz w:val="24"/>
        </w:rPr>
      </w:pPr>
      <w:r w:rsidRPr="00883399">
        <w:rPr>
          <w:sz w:val="24"/>
        </w:rPr>
        <w:tab/>
        <w:t>(1)</w:t>
      </w:r>
      <w:r w:rsidRPr="00883399">
        <w:rPr>
          <w:sz w:val="24"/>
        </w:rPr>
        <w:tab/>
        <w:t xml:space="preserve">Subject to section 1.18, the methods mentioned in subsections (2) and (3) must be used for estimating fugitive emissions that result from system </w:t>
      </w:r>
      <w:r w:rsidRPr="00883399">
        <w:rPr>
          <w:sz w:val="24"/>
        </w:rPr>
        <w:lastRenderedPageBreak/>
        <w:t>upsets, accidents and deliberate releases from process vents during a reporting year from the operation of a facility that is constituted by oil or gas exploration.</w:t>
      </w:r>
    </w:p>
    <w:p w14:paraId="723BBB5A" w14:textId="77777777" w:rsidR="00872C03" w:rsidRPr="00883399" w:rsidRDefault="00872C03" w:rsidP="00872C03">
      <w:pPr>
        <w:pStyle w:val="subsection"/>
        <w:rPr>
          <w:sz w:val="24"/>
        </w:rPr>
      </w:pPr>
      <w:r w:rsidRPr="00883399">
        <w:rPr>
          <w:sz w:val="24"/>
        </w:rPr>
        <w:tab/>
        <w:t>(2)</w:t>
      </w:r>
      <w:r w:rsidRPr="00883399">
        <w:rPr>
          <w:sz w:val="24"/>
        </w:rPr>
        <w:tab/>
        <w:t>To estimate emissions that result from deliberate releases from process vents, systems upsets and accidents at a facility during a year, for each oil or gas exploration activity one of the following methods must be used:</w:t>
      </w:r>
    </w:p>
    <w:p w14:paraId="788F660D" w14:textId="77777777" w:rsidR="00872C03" w:rsidRPr="00883399" w:rsidRDefault="00872C03" w:rsidP="00872C03">
      <w:pPr>
        <w:pStyle w:val="paragraph"/>
        <w:rPr>
          <w:sz w:val="24"/>
        </w:rPr>
      </w:pPr>
      <w:r w:rsidRPr="00883399">
        <w:rPr>
          <w:sz w:val="24"/>
        </w:rPr>
        <w:tab/>
        <w:t>(a)</w:t>
      </w:r>
      <w:r w:rsidRPr="00883399">
        <w:rPr>
          <w:sz w:val="24"/>
        </w:rPr>
        <w:tab/>
        <w:t>method 1 under section 3.84;</w:t>
      </w:r>
    </w:p>
    <w:p w14:paraId="304AF264" w14:textId="77777777" w:rsidR="00872C03" w:rsidRPr="00883399" w:rsidRDefault="00872C03" w:rsidP="00872C03">
      <w:pPr>
        <w:pStyle w:val="paragraph"/>
        <w:rPr>
          <w:sz w:val="24"/>
        </w:rPr>
      </w:pPr>
      <w:r w:rsidRPr="00883399">
        <w:rPr>
          <w:sz w:val="24"/>
        </w:rPr>
        <w:tab/>
        <w:t>(b)</w:t>
      </w:r>
      <w:r w:rsidRPr="00883399">
        <w:rPr>
          <w:sz w:val="24"/>
        </w:rPr>
        <w:tab/>
        <w:t>method 4 under:</w:t>
      </w:r>
    </w:p>
    <w:p w14:paraId="4641AEEF" w14:textId="77777777" w:rsidR="00872C03" w:rsidRPr="00883399" w:rsidRDefault="00872C03" w:rsidP="00872C03">
      <w:pPr>
        <w:pStyle w:val="paragraphsub"/>
        <w:rPr>
          <w:sz w:val="24"/>
        </w:rPr>
      </w:pPr>
      <w:r w:rsidRPr="00883399">
        <w:rPr>
          <w:sz w:val="24"/>
        </w:rPr>
        <w:tab/>
        <w:t xml:space="preserve">(i) </w:t>
      </w:r>
      <w:r w:rsidRPr="00883399">
        <w:rPr>
          <w:sz w:val="24"/>
        </w:rPr>
        <w:tab/>
        <w:t>for emissions of methane and carbon dioxide from natural gas well completions or well workover activities—section 3.46B; or</w:t>
      </w:r>
    </w:p>
    <w:p w14:paraId="60E0E109" w14:textId="77777777" w:rsidR="00872C03" w:rsidRPr="00883399" w:rsidRDefault="00872C03" w:rsidP="00872C03">
      <w:pPr>
        <w:pStyle w:val="paragraphsub"/>
        <w:rPr>
          <w:sz w:val="24"/>
        </w:rPr>
      </w:pPr>
      <w:r w:rsidRPr="00883399">
        <w:rPr>
          <w:sz w:val="24"/>
        </w:rPr>
        <w:tab/>
        <w:t>(ii)</w:t>
      </w:r>
      <w:r w:rsidRPr="00883399">
        <w:rPr>
          <w:sz w:val="24"/>
        </w:rPr>
        <w:tab/>
        <w:t>for emissions and activities not mentioned in subparagraph (i)—Part 1.3.</w:t>
      </w:r>
    </w:p>
    <w:p w14:paraId="2E260AC9" w14:textId="77777777" w:rsidR="00872C03" w:rsidRPr="00883399" w:rsidRDefault="00872C03" w:rsidP="00872C03">
      <w:pPr>
        <w:pStyle w:val="subsection"/>
        <w:rPr>
          <w:sz w:val="24"/>
        </w:rPr>
      </w:pPr>
      <w:r w:rsidRPr="00883399">
        <w:rPr>
          <w:sz w:val="24"/>
        </w:rPr>
        <w:tab/>
        <w:t>(3)</w:t>
      </w:r>
      <w:r w:rsidRPr="00883399">
        <w:rPr>
          <w:sz w:val="24"/>
        </w:rPr>
        <w:tab/>
        <w:t>For estimating incidental emissions that result from deliberate releases from process vents, system upsets and accidents during a year from the operation of the facility, another method may be used that is consistent with the principles mentioned in section 1.13.</w:t>
      </w:r>
    </w:p>
    <w:p w14:paraId="047885CF" w14:textId="77777777" w:rsidR="00872C03" w:rsidRPr="00883399" w:rsidRDefault="00872C03" w:rsidP="00872C03">
      <w:pPr>
        <w:pStyle w:val="notetext"/>
        <w:rPr>
          <w:sz w:val="20"/>
        </w:rPr>
      </w:pPr>
      <w:r w:rsidRPr="00883399">
        <w:rPr>
          <w:sz w:val="20"/>
        </w:rPr>
        <w:t>Note:</w:t>
      </w:r>
      <w:r w:rsidRPr="00883399">
        <w:rPr>
          <w:sz w:val="20"/>
        </w:rPr>
        <w:tab/>
        <w:t>There is no method 2 or 3 for this Subdivision.</w:t>
      </w:r>
    </w:p>
    <w:p w14:paraId="1EB1FFF0" w14:textId="32444676" w:rsidR="00872C03" w:rsidRPr="00883399" w:rsidRDefault="00872C03" w:rsidP="00872C03">
      <w:pPr>
        <w:pStyle w:val="ActHead5"/>
        <w:rPr>
          <w:sz w:val="28"/>
        </w:rPr>
      </w:pPr>
      <w:bookmarkStart w:id="554" w:name="_Toc423516923"/>
      <w:bookmarkStart w:id="555" w:name="_Toc495652840"/>
      <w:r w:rsidRPr="00883399">
        <w:rPr>
          <w:rStyle w:val="CharSectno"/>
          <w:sz w:val="28"/>
        </w:rPr>
        <w:t>3.46B</w:t>
      </w:r>
      <w:r w:rsidRPr="00883399">
        <w:rPr>
          <w:sz w:val="28"/>
        </w:rPr>
        <w:t xml:space="preserve">  Method 4—vented emissions from well completions and well workovers</w:t>
      </w:r>
      <w:bookmarkEnd w:id="554"/>
      <w:bookmarkEnd w:id="555"/>
    </w:p>
    <w:p w14:paraId="2DB45455" w14:textId="77777777" w:rsidR="00872C03" w:rsidRPr="00883399" w:rsidRDefault="00872C03" w:rsidP="00872C03">
      <w:pPr>
        <w:pStyle w:val="SubsectionHead"/>
        <w:rPr>
          <w:sz w:val="24"/>
        </w:rPr>
      </w:pPr>
      <w:r w:rsidRPr="00883399">
        <w:rPr>
          <w:sz w:val="24"/>
        </w:rPr>
        <w:t>Vented volume measured for all wells and well types in a basin</w:t>
      </w:r>
    </w:p>
    <w:p w14:paraId="7A1418EB" w14:textId="77777777" w:rsidR="00872C03" w:rsidRPr="00883399" w:rsidRDefault="00872C03" w:rsidP="00872C03">
      <w:pPr>
        <w:autoSpaceDE w:val="0"/>
        <w:autoSpaceDN w:val="0"/>
        <w:adjustRightInd w:val="0"/>
        <w:spacing w:before="120"/>
        <w:ind w:left="720"/>
        <w:rPr>
          <w:rFonts w:ascii="Arial" w:hAnsi="Arial" w:cs="Arial"/>
          <w:iCs/>
          <w:color w:val="000000"/>
          <w:sz w:val="22"/>
          <w:szCs w:val="22"/>
        </w:rPr>
      </w:pPr>
      <w:r w:rsidRPr="00883399">
        <w:rPr>
          <w:rFonts w:ascii="Arial" w:hAnsi="Arial" w:cs="Arial"/>
          <w:iCs/>
          <w:color w:val="000000"/>
          <w:sz w:val="22"/>
          <w:szCs w:val="22"/>
        </w:rPr>
        <w:t>An optional method 4 has been introduced for estimating vented methane and carbon dioxide emissions from coal seam gas well completions and workovers. Two approaches are provided:</w:t>
      </w:r>
    </w:p>
    <w:p w14:paraId="700CD99E" w14:textId="77777777" w:rsidR="00872C03" w:rsidRPr="00883399" w:rsidRDefault="00872C03" w:rsidP="00872C03">
      <w:pPr>
        <w:pStyle w:val="ListParagraph"/>
        <w:numPr>
          <w:ilvl w:val="0"/>
          <w:numId w:val="65"/>
        </w:numPr>
        <w:autoSpaceDE w:val="0"/>
        <w:autoSpaceDN w:val="0"/>
        <w:adjustRightInd w:val="0"/>
        <w:spacing w:before="120"/>
        <w:rPr>
          <w:rFonts w:ascii="Arial" w:hAnsi="Arial" w:cs="Arial"/>
          <w:i/>
          <w:iCs/>
          <w:color w:val="000000"/>
          <w:sz w:val="22"/>
          <w:szCs w:val="22"/>
        </w:rPr>
      </w:pPr>
      <w:r w:rsidRPr="00883399">
        <w:rPr>
          <w:rFonts w:ascii="Arial" w:hAnsi="Arial" w:cs="Arial"/>
          <w:i/>
          <w:iCs/>
          <w:color w:val="000000"/>
          <w:sz w:val="22"/>
          <w:szCs w:val="22"/>
        </w:rPr>
        <w:t>Vented volume measured for all wells and well types in a basin;</w:t>
      </w:r>
    </w:p>
    <w:p w14:paraId="3805721E" w14:textId="77777777" w:rsidR="00872C03" w:rsidRPr="00883399" w:rsidRDefault="00872C03" w:rsidP="00872C03">
      <w:pPr>
        <w:autoSpaceDE w:val="0"/>
        <w:autoSpaceDN w:val="0"/>
        <w:adjustRightInd w:val="0"/>
        <w:spacing w:before="120"/>
        <w:ind w:left="1440"/>
        <w:rPr>
          <w:rFonts w:ascii="Arial" w:hAnsi="Arial" w:cs="Arial"/>
          <w:iCs/>
          <w:color w:val="000000"/>
          <w:sz w:val="22"/>
          <w:szCs w:val="22"/>
        </w:rPr>
      </w:pPr>
      <w:r w:rsidRPr="00883399">
        <w:rPr>
          <w:rFonts w:ascii="Arial" w:hAnsi="Arial" w:cs="Arial"/>
          <w:iCs/>
          <w:color w:val="000000"/>
          <w:sz w:val="22"/>
          <w:szCs w:val="22"/>
        </w:rPr>
        <w:t>where all vented volumes for well completions or workover are measured for all well types(vertical and horizontal); and</w:t>
      </w:r>
    </w:p>
    <w:p w14:paraId="43F7BC25" w14:textId="77777777" w:rsidR="00872C03" w:rsidRPr="00883399" w:rsidRDefault="00872C03" w:rsidP="00872C03">
      <w:pPr>
        <w:pStyle w:val="ListParagraph"/>
        <w:numPr>
          <w:ilvl w:val="0"/>
          <w:numId w:val="65"/>
        </w:numPr>
        <w:autoSpaceDE w:val="0"/>
        <w:autoSpaceDN w:val="0"/>
        <w:adjustRightInd w:val="0"/>
        <w:spacing w:before="120"/>
        <w:rPr>
          <w:rFonts w:ascii="Arial" w:hAnsi="Arial" w:cs="Arial"/>
          <w:i/>
          <w:iCs/>
          <w:color w:val="000000"/>
          <w:sz w:val="22"/>
          <w:szCs w:val="22"/>
        </w:rPr>
      </w:pPr>
      <w:r w:rsidRPr="00883399">
        <w:rPr>
          <w:rFonts w:ascii="Arial" w:hAnsi="Arial" w:cs="Arial"/>
          <w:i/>
          <w:iCs/>
          <w:color w:val="000000"/>
          <w:sz w:val="22"/>
          <w:szCs w:val="22"/>
        </w:rPr>
        <w:t>Vented volume measured for a sample of wells and well types in a basin;</w:t>
      </w:r>
    </w:p>
    <w:p w14:paraId="11F9A9B7" w14:textId="77777777" w:rsidR="00872C03" w:rsidRPr="00883399" w:rsidRDefault="00872C03" w:rsidP="00872C03">
      <w:pPr>
        <w:autoSpaceDE w:val="0"/>
        <w:autoSpaceDN w:val="0"/>
        <w:adjustRightInd w:val="0"/>
        <w:spacing w:before="120"/>
        <w:ind w:left="1440"/>
        <w:rPr>
          <w:rFonts w:ascii="Arial" w:hAnsi="Arial" w:cs="Arial"/>
          <w:iCs/>
          <w:color w:val="000000"/>
          <w:sz w:val="22"/>
          <w:szCs w:val="22"/>
        </w:rPr>
      </w:pPr>
      <w:r w:rsidRPr="00883399">
        <w:rPr>
          <w:rFonts w:ascii="Arial" w:hAnsi="Arial" w:cs="Arial"/>
          <w:iCs/>
          <w:color w:val="000000"/>
          <w:sz w:val="22"/>
          <w:szCs w:val="22"/>
        </w:rPr>
        <w:t xml:space="preserve">where the total emissions for well completions or workovers are estimated based on the measurement of flow rate taken from a sample of the well population during the year. </w:t>
      </w:r>
    </w:p>
    <w:p w14:paraId="31F095E4" w14:textId="77777777" w:rsidR="00872C03" w:rsidRPr="00883399" w:rsidRDefault="00872C03" w:rsidP="00872C03">
      <w:pPr>
        <w:autoSpaceDE w:val="0"/>
        <w:autoSpaceDN w:val="0"/>
        <w:adjustRightInd w:val="0"/>
        <w:spacing w:before="120"/>
        <w:ind w:left="720"/>
        <w:rPr>
          <w:rFonts w:ascii="Arial" w:hAnsi="Arial" w:cs="Arial"/>
          <w:i/>
          <w:iCs/>
          <w:color w:val="000000"/>
          <w:sz w:val="22"/>
          <w:szCs w:val="22"/>
        </w:rPr>
      </w:pPr>
      <w:r w:rsidRPr="00883399">
        <w:rPr>
          <w:rFonts w:ascii="Arial" w:hAnsi="Arial" w:cs="Arial"/>
          <w:i/>
          <w:iCs/>
          <w:color w:val="000000"/>
          <w:sz w:val="22"/>
          <w:szCs w:val="22"/>
        </w:rPr>
        <w:t>Conversion to standard conditions</w:t>
      </w:r>
    </w:p>
    <w:p w14:paraId="75B31F72" w14:textId="77777777" w:rsidR="00872C03" w:rsidRPr="00883399" w:rsidRDefault="00872C03" w:rsidP="00872C03">
      <w:pPr>
        <w:autoSpaceDE w:val="0"/>
        <w:autoSpaceDN w:val="0"/>
        <w:adjustRightInd w:val="0"/>
        <w:spacing w:before="120"/>
        <w:ind w:left="720"/>
        <w:rPr>
          <w:rFonts w:ascii="Arial" w:hAnsi="Arial" w:cs="Arial"/>
          <w:iCs/>
          <w:color w:val="000000"/>
          <w:sz w:val="22"/>
          <w:szCs w:val="22"/>
        </w:rPr>
      </w:pPr>
      <w:r w:rsidRPr="00883399">
        <w:rPr>
          <w:rFonts w:ascii="Arial" w:hAnsi="Arial" w:cs="Arial"/>
          <w:iCs/>
          <w:color w:val="000000"/>
          <w:sz w:val="22"/>
          <w:szCs w:val="22"/>
        </w:rPr>
        <w:lastRenderedPageBreak/>
        <w:t>All gas volumes are to be converted to standard conditions as set out in 2.32(7).</w:t>
      </w:r>
    </w:p>
    <w:p w14:paraId="73CA4D86" w14:textId="77777777" w:rsidR="00872C03" w:rsidRPr="00883399" w:rsidRDefault="00872C03" w:rsidP="00872C03">
      <w:pPr>
        <w:autoSpaceDE w:val="0"/>
        <w:autoSpaceDN w:val="0"/>
        <w:adjustRightInd w:val="0"/>
        <w:spacing w:before="120"/>
        <w:ind w:left="720"/>
        <w:rPr>
          <w:rFonts w:ascii="Arial" w:hAnsi="Arial" w:cs="Arial"/>
          <w:i/>
          <w:iCs/>
          <w:color w:val="000000"/>
          <w:sz w:val="22"/>
          <w:szCs w:val="22"/>
        </w:rPr>
      </w:pPr>
      <w:r w:rsidRPr="00883399">
        <w:rPr>
          <w:rFonts w:ascii="Arial" w:hAnsi="Arial" w:cs="Arial"/>
          <w:i/>
          <w:iCs/>
          <w:color w:val="000000"/>
          <w:sz w:val="22"/>
          <w:szCs w:val="22"/>
        </w:rPr>
        <w:t>Measurement of gaseous quantities.</w:t>
      </w:r>
    </w:p>
    <w:p w14:paraId="330D0A49" w14:textId="77777777" w:rsidR="00872C03" w:rsidRPr="00883399" w:rsidRDefault="00872C03" w:rsidP="00872C03">
      <w:pPr>
        <w:autoSpaceDE w:val="0"/>
        <w:autoSpaceDN w:val="0"/>
        <w:adjustRightInd w:val="0"/>
        <w:spacing w:before="120"/>
        <w:ind w:left="720"/>
        <w:rPr>
          <w:rFonts w:ascii="Arial" w:hAnsi="Arial" w:cs="Arial"/>
          <w:iCs/>
          <w:color w:val="000000"/>
          <w:sz w:val="22"/>
          <w:szCs w:val="22"/>
        </w:rPr>
      </w:pPr>
      <w:r w:rsidRPr="00883399">
        <w:rPr>
          <w:rFonts w:ascii="Arial" w:hAnsi="Arial" w:cs="Arial"/>
          <w:iCs/>
          <w:color w:val="000000"/>
          <w:sz w:val="22"/>
          <w:szCs w:val="22"/>
        </w:rPr>
        <w:t>Division 2.3.6  sets out requirements for the measurement of gaseous quantities, including criterion BBB - estimation in accordance with industry practice).</w:t>
      </w:r>
    </w:p>
    <w:p w14:paraId="16506F0F" w14:textId="77777777" w:rsidR="00872C03" w:rsidRPr="00883399" w:rsidRDefault="00872C03" w:rsidP="00872C03">
      <w:pPr>
        <w:autoSpaceDE w:val="0"/>
        <w:autoSpaceDN w:val="0"/>
        <w:adjustRightInd w:val="0"/>
        <w:spacing w:before="120"/>
        <w:ind w:left="720"/>
        <w:rPr>
          <w:rFonts w:ascii="Arial" w:hAnsi="Arial" w:cs="Arial"/>
          <w:b/>
          <w:i/>
          <w:iCs/>
          <w:color w:val="000000"/>
          <w:sz w:val="22"/>
          <w:szCs w:val="22"/>
        </w:rPr>
      </w:pPr>
      <w:r w:rsidRPr="00883399">
        <w:rPr>
          <w:rFonts w:ascii="Arial" w:hAnsi="Arial" w:cs="Arial"/>
          <w:b/>
          <w:i/>
          <w:iCs/>
          <w:sz w:val="22"/>
          <w:szCs w:val="22"/>
        </w:rPr>
        <w:t xml:space="preserve">Vented volume measured for all wells and well types in a basin </w:t>
      </w:r>
    </w:p>
    <w:p w14:paraId="26C15271" w14:textId="77777777" w:rsidR="00872C03" w:rsidRPr="00883399" w:rsidRDefault="00872C03" w:rsidP="00872C03">
      <w:pPr>
        <w:autoSpaceDE w:val="0"/>
        <w:autoSpaceDN w:val="0"/>
        <w:adjustRightInd w:val="0"/>
        <w:spacing w:before="120"/>
        <w:ind w:left="720"/>
        <w:rPr>
          <w:rFonts w:ascii="Arial" w:hAnsi="Arial" w:cs="Arial"/>
          <w:color w:val="000000"/>
          <w:sz w:val="22"/>
          <w:szCs w:val="22"/>
        </w:rPr>
      </w:pPr>
      <w:r w:rsidRPr="00883399">
        <w:rPr>
          <w:rFonts w:ascii="Arial" w:hAnsi="Arial" w:cs="Arial"/>
          <w:color w:val="000000"/>
          <w:sz w:val="22"/>
          <w:szCs w:val="22"/>
        </w:rPr>
        <w:t>Emissions arising from both strata and gas injected for each well are summed and converted to carbon dioxide equivalents in subsection (1).</w:t>
      </w:r>
    </w:p>
    <w:p w14:paraId="6184712C" w14:textId="77777777" w:rsidR="00872C03" w:rsidRPr="00883399" w:rsidRDefault="00872C03" w:rsidP="00872C03">
      <w:pPr>
        <w:autoSpaceDE w:val="0"/>
        <w:autoSpaceDN w:val="0"/>
        <w:adjustRightInd w:val="0"/>
        <w:spacing w:before="120"/>
        <w:ind w:left="720"/>
        <w:rPr>
          <w:rFonts w:ascii="Arial" w:hAnsi="Arial" w:cs="Arial"/>
          <w:color w:val="000000"/>
          <w:sz w:val="22"/>
          <w:szCs w:val="22"/>
        </w:rPr>
      </w:pPr>
      <w:r w:rsidRPr="00883399">
        <w:rPr>
          <w:rFonts w:ascii="Arial" w:hAnsi="Arial" w:cs="Arial"/>
          <w:color w:val="000000"/>
          <w:sz w:val="22"/>
          <w:szCs w:val="22"/>
        </w:rPr>
        <w:t>The volume of methane vented from the strata for each well (</w:t>
      </w:r>
      <w:r w:rsidRPr="00883399">
        <w:rPr>
          <w:rFonts w:ascii="Arial" w:hAnsi="Arial" w:cs="Arial"/>
          <w:b/>
          <w:i/>
          <w:color w:val="000000"/>
          <w:sz w:val="22"/>
          <w:szCs w:val="22"/>
        </w:rPr>
        <w:t>ES</w:t>
      </w:r>
      <w:r w:rsidRPr="00883399">
        <w:rPr>
          <w:rFonts w:ascii="Arial" w:hAnsi="Arial" w:cs="Arial"/>
          <w:b/>
          <w:i/>
          <w:color w:val="000000"/>
          <w:sz w:val="22"/>
          <w:szCs w:val="22"/>
          <w:vertAlign w:val="subscript"/>
        </w:rPr>
        <w:t>p</w:t>
      </w:r>
      <w:r w:rsidRPr="00883399">
        <w:rPr>
          <w:rFonts w:ascii="Arial" w:hAnsi="Arial" w:cs="Arial"/>
          <w:color w:val="000000"/>
          <w:sz w:val="22"/>
          <w:szCs w:val="22"/>
        </w:rPr>
        <w:t>) is estimated in subsection (2).  Methane volume from strata is estimated by subtracting the volume of gas measured on the vent line from the any volumes of gas injected during a completion or workover. This approach assumes that gas volumes from strata are methane and therefore gas compositional analysis under Division 2.3.3 is not required.</w:t>
      </w:r>
    </w:p>
    <w:p w14:paraId="30F680B3" w14:textId="77777777" w:rsidR="00872C03" w:rsidRPr="00883399" w:rsidRDefault="00872C03" w:rsidP="00872C03">
      <w:pPr>
        <w:autoSpaceDE w:val="0"/>
        <w:autoSpaceDN w:val="0"/>
        <w:adjustRightInd w:val="0"/>
        <w:spacing w:before="120"/>
        <w:ind w:left="720"/>
        <w:rPr>
          <w:rFonts w:ascii="Arial" w:hAnsi="Arial" w:cs="Arial"/>
          <w:color w:val="000000"/>
          <w:sz w:val="22"/>
          <w:szCs w:val="22"/>
        </w:rPr>
      </w:pPr>
      <w:r w:rsidRPr="00883399">
        <w:rPr>
          <w:rFonts w:ascii="Arial" w:hAnsi="Arial" w:cs="Arial"/>
          <w:color w:val="000000"/>
          <w:sz w:val="22"/>
          <w:szCs w:val="22"/>
        </w:rPr>
        <w:t>The volume of any injected methane and carbon dioxide (</w:t>
      </w:r>
      <w:r w:rsidRPr="00883399">
        <w:rPr>
          <w:rFonts w:ascii="Arial" w:hAnsi="Arial" w:cs="Arial"/>
          <w:b/>
          <w:i/>
          <w:color w:val="000000"/>
          <w:sz w:val="22"/>
          <w:szCs w:val="22"/>
        </w:rPr>
        <w:t xml:space="preserve">VIGG </w:t>
      </w:r>
      <w:r w:rsidRPr="00883399">
        <w:rPr>
          <w:rFonts w:ascii="Arial" w:hAnsi="Arial" w:cs="Arial"/>
          <w:b/>
          <w:i/>
          <w:color w:val="000000"/>
          <w:sz w:val="22"/>
          <w:szCs w:val="22"/>
          <w:vertAlign w:val="subscript"/>
        </w:rPr>
        <w:t>jp</w:t>
      </w:r>
      <w:r w:rsidRPr="00883399">
        <w:rPr>
          <w:rFonts w:ascii="Arial" w:hAnsi="Arial" w:cs="Arial"/>
          <w:color w:val="000000"/>
          <w:sz w:val="22"/>
          <w:szCs w:val="22"/>
        </w:rPr>
        <w:t>) is estimated in subsection (3). Compositional analysis of the gas under Division 2.3.3 is required to separate methane and carbon dioxide components of the injected gas.</w:t>
      </w:r>
    </w:p>
    <w:p w14:paraId="7BB41316" w14:textId="77777777" w:rsidR="00872C03" w:rsidRPr="00883399" w:rsidRDefault="00872C03" w:rsidP="00872C03">
      <w:pPr>
        <w:pStyle w:val="subsection"/>
        <w:rPr>
          <w:sz w:val="24"/>
        </w:rPr>
      </w:pPr>
      <w:r w:rsidRPr="00883399">
        <w:rPr>
          <w:sz w:val="24"/>
        </w:rPr>
        <w:tab/>
        <w:t>(1)</w:t>
      </w:r>
      <w:r w:rsidRPr="00883399">
        <w:rPr>
          <w:sz w:val="24"/>
        </w:rPr>
        <w:tab/>
        <w:t>For subparagraph 3.46A(2)(b)(i), where vented volume is measured for all wells and well types (horizontal or vertical) in a basin, method 4 is:</w:t>
      </w:r>
    </w:p>
    <w:bookmarkStart w:id="556" w:name="BKCheck15B_20"/>
    <w:bookmarkEnd w:id="556"/>
    <w:p w14:paraId="464D3ECF" w14:textId="77777777" w:rsidR="00872C03" w:rsidRPr="00883399" w:rsidRDefault="00872C03" w:rsidP="00872C03">
      <w:pPr>
        <w:pStyle w:val="subsection2"/>
        <w:rPr>
          <w:sz w:val="24"/>
        </w:rPr>
      </w:pPr>
      <w:r w:rsidRPr="00883399">
        <w:rPr>
          <w:position w:val="-30"/>
          <w:sz w:val="24"/>
        </w:rPr>
        <w:object w:dxaOrig="3360" w:dyaOrig="700" w14:anchorId="3A91FA2B">
          <v:shape id="_x0000_i1041" type="#_x0000_t75" style="width:168pt;height:35.25pt" o:ole="">
            <v:imagedata r:id="rId106" o:title=""/>
          </v:shape>
          <o:OLEObject Type="Embed" ProgID="Equation.DSMT4" ShapeID="_x0000_i1041" DrawAspect="Content" ObjectID="_1594105932" r:id="rId107"/>
        </w:object>
      </w:r>
    </w:p>
    <w:p w14:paraId="1C6F62F1" w14:textId="77777777" w:rsidR="00872C03" w:rsidRPr="00883399" w:rsidRDefault="00872C03" w:rsidP="00872C03">
      <w:pPr>
        <w:pStyle w:val="subsection2"/>
        <w:rPr>
          <w:sz w:val="24"/>
        </w:rPr>
      </w:pPr>
      <w:r w:rsidRPr="00883399">
        <w:rPr>
          <w:sz w:val="24"/>
        </w:rPr>
        <w:t>where:</w:t>
      </w:r>
    </w:p>
    <w:p w14:paraId="783385EC" w14:textId="77777777" w:rsidR="00872C03" w:rsidRPr="00883399" w:rsidRDefault="00872C03" w:rsidP="00872C03">
      <w:pPr>
        <w:pStyle w:val="Definition0"/>
        <w:rPr>
          <w:sz w:val="24"/>
        </w:rPr>
      </w:pPr>
      <w:r w:rsidRPr="00883399">
        <w:rPr>
          <w:b/>
          <w:i/>
          <w:sz w:val="24"/>
        </w:rPr>
        <w:t>Em</w:t>
      </w:r>
      <w:r w:rsidRPr="00883399">
        <w:rPr>
          <w:b/>
          <w:i/>
          <w:sz w:val="24"/>
          <w:vertAlign w:val="subscript"/>
        </w:rPr>
        <w:t>j</w:t>
      </w:r>
      <w:r w:rsidRPr="00883399">
        <w:rPr>
          <w:b/>
          <w:i/>
          <w:sz w:val="24"/>
        </w:rPr>
        <w:t xml:space="preserve"> </w:t>
      </w:r>
      <w:r w:rsidRPr="00883399">
        <w:rPr>
          <w:sz w:val="24"/>
        </w:rPr>
        <w:t>is total emissions for gas type (</w:t>
      </w:r>
      <w:r w:rsidRPr="00883399">
        <w:rPr>
          <w:b/>
          <w:i/>
          <w:sz w:val="24"/>
        </w:rPr>
        <w:t>j</w:t>
      </w:r>
      <w:r w:rsidRPr="00883399">
        <w:rPr>
          <w:sz w:val="24"/>
        </w:rPr>
        <w:t>), being methane and carbon dioxide from all well completions and well workovers during a year in a basin, measured in CO</w:t>
      </w:r>
      <w:r w:rsidRPr="00883399">
        <w:rPr>
          <w:sz w:val="24"/>
          <w:vertAlign w:val="subscript"/>
        </w:rPr>
        <w:t>2</w:t>
      </w:r>
      <w:r w:rsidRPr="00883399">
        <w:rPr>
          <w:sz w:val="24"/>
        </w:rPr>
        <w:noBreakHyphen/>
        <w:t>e tonnes.</w:t>
      </w:r>
    </w:p>
    <w:p w14:paraId="6BA5AEC9" w14:textId="77777777" w:rsidR="00872C03" w:rsidRPr="00883399" w:rsidRDefault="00872C03" w:rsidP="00872C03">
      <w:pPr>
        <w:pStyle w:val="Definition0"/>
        <w:rPr>
          <w:sz w:val="24"/>
        </w:rPr>
      </w:pPr>
      <w:r w:rsidRPr="00883399">
        <w:rPr>
          <w:b/>
          <w:i/>
          <w:sz w:val="24"/>
        </w:rPr>
        <w:t>ES</w:t>
      </w:r>
      <w:r w:rsidRPr="00883399">
        <w:rPr>
          <w:b/>
          <w:i/>
          <w:sz w:val="24"/>
          <w:vertAlign w:val="subscript"/>
        </w:rPr>
        <w:t>p</w:t>
      </w:r>
      <w:r w:rsidRPr="00883399">
        <w:rPr>
          <w:sz w:val="24"/>
        </w:rPr>
        <w:t xml:space="preserve"> is the volume of methane vented during a well completion or well workover from strata for each well (</w:t>
      </w:r>
      <w:r w:rsidRPr="00883399">
        <w:rPr>
          <w:b/>
          <w:i/>
          <w:sz w:val="24"/>
        </w:rPr>
        <w:t>p</w:t>
      </w:r>
      <w:r w:rsidRPr="00883399">
        <w:rPr>
          <w:sz w:val="24"/>
        </w:rPr>
        <w:t>) in cubic metres at standard conditions, worked out in accordance with subsection (2).</w:t>
      </w:r>
    </w:p>
    <w:p w14:paraId="4E2F3F31" w14:textId="77777777" w:rsidR="00872C03" w:rsidRPr="00883399" w:rsidRDefault="00872C03" w:rsidP="00872C03">
      <w:pPr>
        <w:pStyle w:val="Definition0"/>
        <w:rPr>
          <w:sz w:val="24"/>
        </w:rPr>
      </w:pPr>
      <w:r w:rsidRPr="00883399">
        <w:rPr>
          <w:b/>
          <w:i/>
          <w:sz w:val="24"/>
        </w:rPr>
        <w:lastRenderedPageBreak/>
        <w:t>VIGG</w:t>
      </w:r>
      <w:r w:rsidRPr="00883399">
        <w:rPr>
          <w:b/>
          <w:i/>
          <w:sz w:val="24"/>
          <w:vertAlign w:val="subscript"/>
        </w:rPr>
        <w:t>j,p</w:t>
      </w:r>
      <w:r w:rsidRPr="00883399">
        <w:rPr>
          <w:b/>
          <w:i/>
          <w:sz w:val="24"/>
        </w:rPr>
        <w:t xml:space="preserve"> </w:t>
      </w:r>
      <w:r w:rsidRPr="00883399">
        <w:rPr>
          <w:sz w:val="24"/>
        </w:rPr>
        <w:t>is the volume of gas type (</w:t>
      </w:r>
      <w:r w:rsidRPr="00883399">
        <w:rPr>
          <w:b/>
          <w:i/>
          <w:sz w:val="24"/>
        </w:rPr>
        <w:t>j</w:t>
      </w:r>
      <w:r w:rsidRPr="00883399">
        <w:rPr>
          <w:sz w:val="24"/>
        </w:rPr>
        <w:t>) in cubic metres at standard conditions, being methane and carbon dioxide, injected into the well during well completion or well workover, worked out in accordance with subsection (3).</w:t>
      </w:r>
    </w:p>
    <w:p w14:paraId="0598237B" w14:textId="77777777" w:rsidR="00872C03" w:rsidRPr="00883399" w:rsidRDefault="00872C03" w:rsidP="00872C03">
      <w:pPr>
        <w:pStyle w:val="Definition0"/>
        <w:rPr>
          <w:sz w:val="24"/>
        </w:rPr>
      </w:pPr>
      <w:r w:rsidRPr="00883399">
        <w:rPr>
          <w:b/>
          <w:i/>
          <w:sz w:val="24"/>
        </w:rPr>
        <w:t>W</w:t>
      </w:r>
      <w:r w:rsidRPr="00883399">
        <w:rPr>
          <w:sz w:val="24"/>
        </w:rPr>
        <w:t xml:space="preserve"> is the total number of well completions and well workovers in the basin during a year.</w:t>
      </w:r>
    </w:p>
    <w:p w14:paraId="3895CFA5" w14:textId="77777777" w:rsidR="00872C03" w:rsidRPr="00883399" w:rsidRDefault="00872C03" w:rsidP="00872C03">
      <w:pPr>
        <w:pStyle w:val="Definition0"/>
        <w:rPr>
          <w:sz w:val="24"/>
        </w:rPr>
      </w:pPr>
      <w:r w:rsidRPr="00883399">
        <w:rPr>
          <w:b/>
          <w:i/>
          <w:sz w:val="24"/>
        </w:rPr>
        <w:t>γ</w:t>
      </w:r>
      <w:r w:rsidRPr="00883399">
        <w:rPr>
          <w:b/>
          <w:i/>
          <w:sz w:val="24"/>
          <w:vertAlign w:val="subscript"/>
        </w:rPr>
        <w:t>j</w:t>
      </w:r>
      <w:r w:rsidRPr="00883399">
        <w:rPr>
          <w:sz w:val="24"/>
        </w:rPr>
        <w:t xml:space="preserve"> is the factor for converting a quantity of gas type (</w:t>
      </w:r>
      <w:r w:rsidRPr="00883399">
        <w:rPr>
          <w:b/>
          <w:i/>
          <w:sz w:val="24"/>
        </w:rPr>
        <w:t>j</w:t>
      </w:r>
      <w:r w:rsidRPr="00883399">
        <w:rPr>
          <w:sz w:val="24"/>
        </w:rPr>
        <w:t>) from cubic metres at standard conditions to CO</w:t>
      </w:r>
      <w:r w:rsidRPr="00883399">
        <w:rPr>
          <w:sz w:val="24"/>
          <w:vertAlign w:val="subscript"/>
        </w:rPr>
        <w:t>2</w:t>
      </w:r>
      <w:r w:rsidRPr="00883399">
        <w:rPr>
          <w:sz w:val="24"/>
        </w:rPr>
        <w:noBreakHyphen/>
        <w:t>e tonnes, being:</w:t>
      </w:r>
    </w:p>
    <w:p w14:paraId="664BBBFD" w14:textId="77777777" w:rsidR="00872C03" w:rsidRPr="00883399" w:rsidRDefault="00872C03" w:rsidP="00872C03">
      <w:pPr>
        <w:pStyle w:val="paragraph"/>
        <w:rPr>
          <w:sz w:val="24"/>
        </w:rPr>
      </w:pPr>
      <w:r w:rsidRPr="00883399">
        <w:rPr>
          <w:sz w:val="24"/>
        </w:rPr>
        <w:tab/>
        <w:t>(a)</w:t>
      </w:r>
      <w:r w:rsidRPr="00883399">
        <w:rPr>
          <w:sz w:val="24"/>
        </w:rPr>
        <w:tab/>
        <w:t>for methane—6.784 × 10</w:t>
      </w:r>
      <w:r w:rsidRPr="00883399">
        <w:rPr>
          <w:sz w:val="24"/>
          <w:vertAlign w:val="superscript"/>
        </w:rPr>
        <w:noBreakHyphen/>
        <w:t>4</w:t>
      </w:r>
      <w:r w:rsidRPr="00883399">
        <w:rPr>
          <w:sz w:val="24"/>
        </w:rPr>
        <w:t xml:space="preserve"> × 25; and</w:t>
      </w:r>
    </w:p>
    <w:p w14:paraId="0277CAF5" w14:textId="77777777" w:rsidR="00872C03" w:rsidRPr="00883399" w:rsidRDefault="00872C03" w:rsidP="00872C03">
      <w:pPr>
        <w:pStyle w:val="paragraph"/>
        <w:rPr>
          <w:sz w:val="24"/>
        </w:rPr>
      </w:pPr>
      <w:r w:rsidRPr="00883399">
        <w:rPr>
          <w:sz w:val="24"/>
        </w:rPr>
        <w:tab/>
        <w:t>(b)</w:t>
      </w:r>
      <w:r w:rsidRPr="00883399">
        <w:rPr>
          <w:sz w:val="24"/>
        </w:rPr>
        <w:tab/>
        <w:t>for carbon dioxide—1.861 × 10</w:t>
      </w:r>
      <w:r w:rsidRPr="00883399">
        <w:rPr>
          <w:sz w:val="24"/>
          <w:vertAlign w:val="superscript"/>
        </w:rPr>
        <w:noBreakHyphen/>
        <w:t>3</w:t>
      </w:r>
      <w:r w:rsidRPr="00883399">
        <w:rPr>
          <w:sz w:val="24"/>
        </w:rPr>
        <w:t>.</w:t>
      </w:r>
    </w:p>
    <w:p w14:paraId="48B1B7A6" w14:textId="77777777" w:rsidR="00872C03" w:rsidRPr="00883399" w:rsidRDefault="00872C03" w:rsidP="00872C03">
      <w:pPr>
        <w:pStyle w:val="Definition0"/>
        <w:rPr>
          <w:sz w:val="24"/>
        </w:rPr>
      </w:pPr>
      <w:r w:rsidRPr="00883399">
        <w:rPr>
          <w:b/>
          <w:i/>
          <w:sz w:val="24"/>
        </w:rPr>
        <w:t>Z</w:t>
      </w:r>
      <w:r w:rsidRPr="00883399">
        <w:rPr>
          <w:sz w:val="24"/>
        </w:rPr>
        <w:t xml:space="preserve"> is the total number of greenhouse gas types.</w:t>
      </w:r>
    </w:p>
    <w:p w14:paraId="64DF404F" w14:textId="77777777" w:rsidR="00872C03" w:rsidRPr="00883399" w:rsidRDefault="00872C03" w:rsidP="00872C03">
      <w:pPr>
        <w:pStyle w:val="subsection"/>
        <w:rPr>
          <w:sz w:val="24"/>
        </w:rPr>
      </w:pPr>
      <w:r w:rsidRPr="00883399">
        <w:rPr>
          <w:sz w:val="24"/>
        </w:rPr>
        <w:tab/>
        <w:t>(2)</w:t>
      </w:r>
      <w:r w:rsidRPr="00883399">
        <w:rPr>
          <w:sz w:val="24"/>
        </w:rPr>
        <w:tab/>
        <w:t xml:space="preserve">For subsection (1), the factor </w:t>
      </w:r>
      <w:r w:rsidRPr="00883399">
        <w:rPr>
          <w:b/>
          <w:i/>
          <w:sz w:val="24"/>
        </w:rPr>
        <w:t>ES</w:t>
      </w:r>
      <w:r w:rsidRPr="00883399">
        <w:rPr>
          <w:b/>
          <w:i/>
          <w:sz w:val="24"/>
          <w:vertAlign w:val="subscript"/>
        </w:rPr>
        <w:t>p</w:t>
      </w:r>
      <w:r w:rsidRPr="00883399">
        <w:rPr>
          <w:sz w:val="24"/>
        </w:rPr>
        <w:t xml:space="preserve"> is worked out using the formula:</w:t>
      </w:r>
    </w:p>
    <w:bookmarkStart w:id="557" w:name="BKCheck15B_21"/>
    <w:bookmarkEnd w:id="557"/>
    <w:p w14:paraId="63B301D8" w14:textId="77777777" w:rsidR="00872C03" w:rsidRPr="00883399" w:rsidRDefault="00872C03" w:rsidP="00872C03">
      <w:pPr>
        <w:pStyle w:val="subsection2"/>
        <w:rPr>
          <w:sz w:val="24"/>
        </w:rPr>
      </w:pPr>
      <w:r w:rsidRPr="00883399">
        <w:rPr>
          <w:position w:val="-12"/>
          <w:sz w:val="24"/>
        </w:rPr>
        <w:object w:dxaOrig="940" w:dyaOrig="320" w14:anchorId="0D3724E2">
          <v:shape id="_x0000_i1042" type="#_x0000_t75" style="width:48pt;height:15.75pt" o:ole="">
            <v:imagedata r:id="rId108" o:title=""/>
          </v:shape>
          <o:OLEObject Type="Embed" ProgID="Equation.DSMT4" ShapeID="_x0000_i1042" DrawAspect="Content" ObjectID="_1594105933" r:id="rId109"/>
        </w:object>
      </w:r>
    </w:p>
    <w:p w14:paraId="655AB1EE" w14:textId="77777777" w:rsidR="00872C03" w:rsidRPr="00883399" w:rsidRDefault="00872C03" w:rsidP="00872C03">
      <w:pPr>
        <w:pStyle w:val="subsection2"/>
        <w:rPr>
          <w:sz w:val="24"/>
        </w:rPr>
      </w:pPr>
      <w:r w:rsidRPr="00883399">
        <w:rPr>
          <w:sz w:val="24"/>
        </w:rPr>
        <w:t>where:</w:t>
      </w:r>
    </w:p>
    <w:p w14:paraId="6368D7F7" w14:textId="77777777" w:rsidR="00872C03" w:rsidRPr="00883399" w:rsidRDefault="00872C03" w:rsidP="00872C03">
      <w:pPr>
        <w:pStyle w:val="Definition0"/>
        <w:rPr>
          <w:sz w:val="24"/>
        </w:rPr>
      </w:pPr>
      <w:r w:rsidRPr="00883399">
        <w:rPr>
          <w:b/>
          <w:i/>
          <w:sz w:val="24"/>
        </w:rPr>
        <w:t>FV</w:t>
      </w:r>
      <w:r w:rsidRPr="00883399">
        <w:rPr>
          <w:b/>
          <w:i/>
          <w:sz w:val="24"/>
          <w:vertAlign w:val="subscript"/>
        </w:rPr>
        <w:t>p</w:t>
      </w:r>
      <w:r w:rsidRPr="00883399">
        <w:rPr>
          <w:sz w:val="24"/>
        </w:rPr>
        <w:t xml:space="preserve"> is the flow volume of each well (</w:t>
      </w:r>
      <w:r w:rsidRPr="00883399">
        <w:rPr>
          <w:b/>
          <w:i/>
          <w:sz w:val="24"/>
        </w:rPr>
        <w:t>p</w:t>
      </w:r>
      <w:r w:rsidRPr="00883399">
        <w:rPr>
          <w:sz w:val="24"/>
        </w:rPr>
        <w:t>) in cubic metres at standard conditions, measured using a digital or analog recording flow metre on the vent line to measure flowback during the well completion or well workover, estimated in accordance with Division 2.3.6.</w:t>
      </w:r>
    </w:p>
    <w:p w14:paraId="48321D22" w14:textId="77777777" w:rsidR="00872C03" w:rsidRPr="00883399" w:rsidRDefault="00872C03" w:rsidP="00872C03">
      <w:pPr>
        <w:pStyle w:val="Definition0"/>
        <w:rPr>
          <w:sz w:val="24"/>
        </w:rPr>
      </w:pPr>
      <w:r w:rsidRPr="00883399">
        <w:rPr>
          <w:b/>
          <w:i/>
          <w:sz w:val="24"/>
        </w:rPr>
        <w:t>VI</w:t>
      </w:r>
      <w:r w:rsidRPr="00883399">
        <w:rPr>
          <w:b/>
          <w:i/>
          <w:sz w:val="24"/>
          <w:vertAlign w:val="subscript"/>
        </w:rPr>
        <w:t>p</w:t>
      </w:r>
      <w:r w:rsidRPr="00883399">
        <w:rPr>
          <w:sz w:val="24"/>
        </w:rPr>
        <w:t xml:space="preserve"> is the volume of injected gas in cubic metres at standard conditions that is injected into the well during the well completion or well workover, estimated in accordance with Division 2.3.6.</w:t>
      </w:r>
    </w:p>
    <w:p w14:paraId="45948B9A" w14:textId="77777777" w:rsidR="00872C03" w:rsidRPr="00883399" w:rsidRDefault="00872C03" w:rsidP="00872C03">
      <w:pPr>
        <w:pStyle w:val="subsection"/>
        <w:rPr>
          <w:sz w:val="24"/>
        </w:rPr>
      </w:pPr>
      <w:r w:rsidRPr="00883399">
        <w:rPr>
          <w:sz w:val="24"/>
        </w:rPr>
        <w:tab/>
        <w:t>(3)</w:t>
      </w:r>
      <w:r w:rsidRPr="00883399">
        <w:rPr>
          <w:sz w:val="24"/>
        </w:rPr>
        <w:tab/>
        <w:t xml:space="preserve">For subsection (1), </w:t>
      </w:r>
      <w:r w:rsidRPr="00883399">
        <w:rPr>
          <w:b/>
          <w:i/>
          <w:sz w:val="24"/>
        </w:rPr>
        <w:t>VIGG</w:t>
      </w:r>
      <w:r w:rsidRPr="00883399">
        <w:rPr>
          <w:b/>
          <w:i/>
          <w:sz w:val="24"/>
          <w:vertAlign w:val="subscript"/>
        </w:rPr>
        <w:t>j,p</w:t>
      </w:r>
      <w:r w:rsidRPr="00883399">
        <w:rPr>
          <w:sz w:val="24"/>
        </w:rPr>
        <w:t xml:space="preserve"> is worked out using the following formula:</w:t>
      </w:r>
    </w:p>
    <w:bookmarkStart w:id="558" w:name="BKCheck15B_22"/>
    <w:bookmarkEnd w:id="558"/>
    <w:p w14:paraId="6EBC5C26" w14:textId="77777777" w:rsidR="00872C03" w:rsidRPr="00883399" w:rsidRDefault="00872C03" w:rsidP="00872C03">
      <w:pPr>
        <w:pStyle w:val="subsection2"/>
        <w:rPr>
          <w:sz w:val="24"/>
        </w:rPr>
      </w:pPr>
      <w:r w:rsidRPr="00883399">
        <w:rPr>
          <w:position w:val="-12"/>
          <w:sz w:val="24"/>
        </w:rPr>
        <w:object w:dxaOrig="1320" w:dyaOrig="320" w14:anchorId="178E9CBD">
          <v:shape id="_x0000_i1043" type="#_x0000_t75" style="width:65.25pt;height:15.75pt" o:ole="">
            <v:imagedata r:id="rId110" o:title=""/>
          </v:shape>
          <o:OLEObject Type="Embed" ProgID="Equation.DSMT4" ShapeID="_x0000_i1043" DrawAspect="Content" ObjectID="_1594105934" r:id="rId111"/>
        </w:object>
      </w:r>
    </w:p>
    <w:p w14:paraId="4B280967" w14:textId="77777777" w:rsidR="00872C03" w:rsidRPr="00883399" w:rsidRDefault="00872C03" w:rsidP="00872C03">
      <w:pPr>
        <w:pStyle w:val="subsection2"/>
        <w:rPr>
          <w:sz w:val="24"/>
        </w:rPr>
      </w:pPr>
      <w:r w:rsidRPr="00883399">
        <w:rPr>
          <w:sz w:val="24"/>
        </w:rPr>
        <w:t>where:</w:t>
      </w:r>
    </w:p>
    <w:p w14:paraId="59FD87F6" w14:textId="77777777" w:rsidR="00872C03" w:rsidRPr="00883399" w:rsidRDefault="00872C03" w:rsidP="00872C03">
      <w:pPr>
        <w:pStyle w:val="Definition0"/>
        <w:rPr>
          <w:sz w:val="24"/>
        </w:rPr>
      </w:pPr>
      <w:r w:rsidRPr="00883399">
        <w:rPr>
          <w:b/>
          <w:i/>
          <w:sz w:val="24"/>
        </w:rPr>
        <w:t>mol</w:t>
      </w:r>
      <w:r w:rsidRPr="00883399">
        <w:rPr>
          <w:b/>
          <w:i/>
          <w:sz w:val="24"/>
          <w:vertAlign w:val="subscript"/>
        </w:rPr>
        <w:t>j,p</w:t>
      </w:r>
      <w:r w:rsidRPr="00883399">
        <w:rPr>
          <w:b/>
          <w:i/>
          <w:sz w:val="24"/>
        </w:rPr>
        <w:t>%</w:t>
      </w:r>
      <w:r w:rsidRPr="00883399">
        <w:rPr>
          <w:sz w:val="24"/>
        </w:rPr>
        <w:t>, for each gas type (</w:t>
      </w:r>
      <w:r w:rsidRPr="00883399">
        <w:rPr>
          <w:b/>
          <w:i/>
          <w:sz w:val="24"/>
        </w:rPr>
        <w:t>j</w:t>
      </w:r>
      <w:r w:rsidRPr="00883399">
        <w:rPr>
          <w:sz w:val="24"/>
        </w:rPr>
        <w:t xml:space="preserve">), being methane and carbon dioxide, is the gas type’s share of one mole of </w:t>
      </w:r>
      <w:r w:rsidRPr="00883399">
        <w:rPr>
          <w:b/>
          <w:i/>
          <w:sz w:val="24"/>
        </w:rPr>
        <w:t>VI</w:t>
      </w:r>
      <w:r w:rsidRPr="00883399">
        <w:rPr>
          <w:b/>
          <w:i/>
          <w:sz w:val="24"/>
          <w:vertAlign w:val="subscript"/>
        </w:rPr>
        <w:t>p</w:t>
      </w:r>
      <w:r w:rsidRPr="00883399">
        <w:rPr>
          <w:sz w:val="24"/>
        </w:rPr>
        <w:t xml:space="preserve"> expressed as a percentage, estimated in accordance with Division 2.3.3.</w:t>
      </w:r>
    </w:p>
    <w:p w14:paraId="6E55D682" w14:textId="77777777" w:rsidR="00872C03" w:rsidRPr="00883399" w:rsidRDefault="00872C03" w:rsidP="00872C03">
      <w:pPr>
        <w:pStyle w:val="Definition0"/>
        <w:rPr>
          <w:sz w:val="24"/>
        </w:rPr>
      </w:pPr>
      <w:r w:rsidRPr="00883399">
        <w:rPr>
          <w:b/>
          <w:i/>
          <w:sz w:val="24"/>
        </w:rPr>
        <w:t>VI</w:t>
      </w:r>
      <w:r w:rsidRPr="00883399">
        <w:rPr>
          <w:b/>
          <w:i/>
          <w:sz w:val="24"/>
          <w:vertAlign w:val="subscript"/>
        </w:rPr>
        <w:t>p</w:t>
      </w:r>
      <w:r w:rsidRPr="00883399">
        <w:rPr>
          <w:sz w:val="24"/>
        </w:rPr>
        <w:t xml:space="preserve"> is the volume of injected gas in cubic metres at standard conditions that is injected into the well during the well completion or well workover, estimated in accordance with Division 2.3.6.</w:t>
      </w:r>
    </w:p>
    <w:p w14:paraId="6E1339E0" w14:textId="77777777" w:rsidR="00872C03" w:rsidRPr="00883399" w:rsidRDefault="00872C03" w:rsidP="00872C03">
      <w:pPr>
        <w:pStyle w:val="SubsectionHead"/>
        <w:rPr>
          <w:sz w:val="24"/>
        </w:rPr>
      </w:pPr>
      <w:r w:rsidRPr="00883399">
        <w:rPr>
          <w:sz w:val="24"/>
        </w:rPr>
        <w:t>Vented volume measured for a sample of wells and well types in a basin</w:t>
      </w:r>
    </w:p>
    <w:p w14:paraId="72A041EE" w14:textId="77777777" w:rsidR="00872C03" w:rsidRPr="00883399" w:rsidRDefault="00872C03" w:rsidP="00872C03">
      <w:pPr>
        <w:pStyle w:val="subsection"/>
      </w:pPr>
    </w:p>
    <w:p w14:paraId="090E3589" w14:textId="77777777" w:rsidR="00872C03" w:rsidRPr="00883399" w:rsidRDefault="00872C03" w:rsidP="00872C03">
      <w:pPr>
        <w:autoSpaceDE w:val="0"/>
        <w:autoSpaceDN w:val="0"/>
        <w:adjustRightInd w:val="0"/>
        <w:spacing w:before="120"/>
        <w:ind w:left="720"/>
        <w:rPr>
          <w:rFonts w:ascii="Arial" w:hAnsi="Arial" w:cs="Arial"/>
          <w:b/>
          <w:i/>
          <w:iCs/>
        </w:rPr>
      </w:pPr>
      <w:r w:rsidRPr="00883399">
        <w:rPr>
          <w:rFonts w:ascii="Arial" w:hAnsi="Arial" w:cs="Arial"/>
          <w:b/>
          <w:i/>
          <w:iCs/>
        </w:rPr>
        <w:t xml:space="preserve">Vented volume measured for a sample of wells and well types in a basin </w:t>
      </w:r>
    </w:p>
    <w:p w14:paraId="012875CE" w14:textId="77777777" w:rsidR="00872C03" w:rsidRPr="00883399" w:rsidRDefault="00872C03" w:rsidP="00872C03">
      <w:pPr>
        <w:autoSpaceDE w:val="0"/>
        <w:autoSpaceDN w:val="0"/>
        <w:adjustRightInd w:val="0"/>
        <w:spacing w:before="120"/>
        <w:ind w:left="720"/>
        <w:rPr>
          <w:rFonts w:ascii="Arial" w:hAnsi="Arial" w:cs="Arial"/>
          <w:color w:val="000000"/>
        </w:rPr>
      </w:pPr>
      <w:r w:rsidRPr="00883399">
        <w:rPr>
          <w:rFonts w:ascii="Arial" w:hAnsi="Arial" w:cs="Arial"/>
          <w:color w:val="000000"/>
        </w:rPr>
        <w:lastRenderedPageBreak/>
        <w:t xml:space="preserve">The vented volume is estimated in subsection (4) by using a sampling approach, where a subset of all the well completions/workers, by well type, are sampled during the year for a basin. Subsection (8) sets out the well sampling requirements where, for well completions or workovers,  a minimum of 10% of all well types in a basin are to be sampled. </w:t>
      </w:r>
    </w:p>
    <w:p w14:paraId="083C19AF" w14:textId="77777777" w:rsidR="00872C03" w:rsidRPr="00883399" w:rsidRDefault="00872C03" w:rsidP="00872C03">
      <w:pPr>
        <w:autoSpaceDE w:val="0"/>
        <w:autoSpaceDN w:val="0"/>
        <w:adjustRightInd w:val="0"/>
        <w:spacing w:before="120"/>
        <w:ind w:left="720"/>
        <w:rPr>
          <w:rFonts w:ascii="Arial" w:hAnsi="Arial" w:cs="Arial"/>
          <w:color w:val="000000"/>
        </w:rPr>
      </w:pPr>
      <w:r w:rsidRPr="00883399">
        <w:rPr>
          <w:rFonts w:ascii="Arial" w:hAnsi="Arial" w:cs="Arial"/>
          <w:color w:val="000000"/>
        </w:rPr>
        <w:t>Measurement is required of the flow rate for both the flowback and the first 30 day production, in accordance with Division 2.3.6, to derive average flow rates. These average flow rates are used in subsection (7) to derive the ratio of flowback to 30 day production rate (</w:t>
      </w:r>
      <w:r w:rsidRPr="00883399">
        <w:rPr>
          <w:rFonts w:ascii="Arial" w:hAnsi="Arial" w:cs="Arial"/>
          <w:b/>
          <w:i/>
          <w:color w:val="000000"/>
        </w:rPr>
        <w:t>FRM</w:t>
      </w:r>
      <w:r w:rsidRPr="00883399">
        <w:rPr>
          <w:rFonts w:ascii="Arial" w:hAnsi="Arial" w:cs="Arial"/>
          <w:b/>
          <w:i/>
          <w:color w:val="000000"/>
          <w:vertAlign w:val="subscript"/>
        </w:rPr>
        <w:t>bt</w:t>
      </w:r>
      <w:r w:rsidRPr="00883399">
        <w:rPr>
          <w:rFonts w:ascii="Arial" w:hAnsi="Arial" w:cs="Arial"/>
          <w:color w:val="000000"/>
        </w:rPr>
        <w:t>) for each well type sampled.</w:t>
      </w:r>
    </w:p>
    <w:p w14:paraId="04B20ABF" w14:textId="77777777" w:rsidR="00872C03" w:rsidRPr="00883399" w:rsidRDefault="00872C03" w:rsidP="00872C03">
      <w:pPr>
        <w:autoSpaceDE w:val="0"/>
        <w:autoSpaceDN w:val="0"/>
        <w:adjustRightInd w:val="0"/>
        <w:spacing w:before="120"/>
        <w:ind w:left="720"/>
        <w:rPr>
          <w:rFonts w:ascii="Arial" w:hAnsi="Arial" w:cs="Arial"/>
          <w:color w:val="000000"/>
        </w:rPr>
      </w:pPr>
      <w:r w:rsidRPr="00883399">
        <w:rPr>
          <w:rFonts w:ascii="Arial" w:hAnsi="Arial" w:cs="Arial"/>
          <w:color w:val="000000"/>
        </w:rPr>
        <w:t>In subsection (5), the ratio (</w:t>
      </w:r>
      <w:r w:rsidRPr="00883399">
        <w:rPr>
          <w:rFonts w:ascii="Arial" w:hAnsi="Arial" w:cs="Arial"/>
          <w:b/>
          <w:i/>
          <w:color w:val="000000"/>
        </w:rPr>
        <w:t>FRM</w:t>
      </w:r>
      <w:r w:rsidRPr="00883399">
        <w:rPr>
          <w:rFonts w:ascii="Arial" w:hAnsi="Arial" w:cs="Arial"/>
          <w:b/>
          <w:i/>
          <w:color w:val="000000"/>
          <w:vertAlign w:val="subscript"/>
        </w:rPr>
        <w:t>bt</w:t>
      </w:r>
      <w:r w:rsidRPr="00883399">
        <w:rPr>
          <w:rFonts w:ascii="Arial" w:hAnsi="Arial" w:cs="Arial"/>
          <w:color w:val="000000"/>
        </w:rPr>
        <w:t xml:space="preserve">) is extrapolated to all respective well completion/workovers in the basin during the year to give </w:t>
      </w:r>
      <w:r w:rsidRPr="00883399">
        <w:rPr>
          <w:rFonts w:ascii="Arial" w:hAnsi="Arial" w:cs="Arial"/>
          <w:b/>
          <w:i/>
          <w:color w:val="000000"/>
        </w:rPr>
        <w:t>EV</w:t>
      </w:r>
      <w:r w:rsidRPr="00883399">
        <w:rPr>
          <w:rFonts w:ascii="Arial" w:hAnsi="Arial" w:cs="Arial"/>
          <w:b/>
          <w:i/>
          <w:color w:val="000000"/>
          <w:vertAlign w:val="subscript"/>
        </w:rPr>
        <w:t>p</w:t>
      </w:r>
      <w:r w:rsidRPr="00883399">
        <w:rPr>
          <w:rFonts w:ascii="Arial" w:hAnsi="Arial" w:cs="Arial"/>
          <w:color w:val="000000"/>
        </w:rPr>
        <w:t>, being the estimated volume of methane flowback during well completions/workovers from strata, for each well.</w:t>
      </w:r>
    </w:p>
    <w:p w14:paraId="3D52FAE5" w14:textId="77777777" w:rsidR="00872C03" w:rsidRPr="00883399" w:rsidRDefault="00872C03" w:rsidP="00872C03">
      <w:pPr>
        <w:autoSpaceDE w:val="0"/>
        <w:autoSpaceDN w:val="0"/>
        <w:adjustRightInd w:val="0"/>
        <w:spacing w:before="120"/>
        <w:ind w:left="720"/>
        <w:rPr>
          <w:rFonts w:ascii="Arial" w:hAnsi="Arial" w:cs="Arial"/>
          <w:color w:val="000000"/>
        </w:rPr>
      </w:pPr>
      <w:r w:rsidRPr="00883399">
        <w:rPr>
          <w:rFonts w:ascii="Arial" w:hAnsi="Arial" w:cs="Arial"/>
          <w:color w:val="000000"/>
        </w:rPr>
        <w:t>Subection (4) estimates net vented emissions for each well by allowing for the subtraction of captured or flared gas type volumes and the addition of gas volume types injected, before finally summing emission net emissions across all wells.</w:t>
      </w:r>
    </w:p>
    <w:p w14:paraId="336FF98C" w14:textId="77777777" w:rsidR="00872C03" w:rsidRPr="00883399" w:rsidRDefault="00872C03" w:rsidP="00872C03">
      <w:pPr>
        <w:pStyle w:val="subsection"/>
      </w:pPr>
    </w:p>
    <w:p w14:paraId="69C543A1" w14:textId="77777777" w:rsidR="00872C03" w:rsidRPr="00883399" w:rsidRDefault="00872C03" w:rsidP="00872C03">
      <w:pPr>
        <w:pStyle w:val="subsection"/>
        <w:rPr>
          <w:sz w:val="24"/>
        </w:rPr>
      </w:pPr>
      <w:r w:rsidRPr="00883399">
        <w:rPr>
          <w:sz w:val="24"/>
        </w:rPr>
        <w:tab/>
        <w:t>(4)</w:t>
      </w:r>
      <w:r w:rsidRPr="00883399">
        <w:rPr>
          <w:sz w:val="24"/>
        </w:rPr>
        <w:tab/>
        <w:t>For subparagraph 3.46A(2)(b)(i), where vented volume is measured for a sample of wells and well types (horizontal or vertical) in a basin, method 4 is:</w:t>
      </w:r>
    </w:p>
    <w:bookmarkStart w:id="559" w:name="BKCheck15B_23"/>
    <w:bookmarkEnd w:id="559"/>
    <w:p w14:paraId="4FC0542D" w14:textId="77777777" w:rsidR="00872C03" w:rsidRPr="00883399" w:rsidRDefault="00872C03" w:rsidP="00872C03">
      <w:pPr>
        <w:pStyle w:val="subsection2"/>
        <w:rPr>
          <w:sz w:val="24"/>
        </w:rPr>
      </w:pPr>
      <w:r w:rsidRPr="00883399">
        <w:rPr>
          <w:position w:val="-28"/>
          <w:sz w:val="24"/>
        </w:rPr>
        <w:object w:dxaOrig="4020" w:dyaOrig="660" w14:anchorId="551FBFB2">
          <v:shape id="_x0000_i1044" type="#_x0000_t75" style="width:201pt;height:33pt" o:ole="">
            <v:imagedata r:id="rId112" o:title=""/>
          </v:shape>
          <o:OLEObject Type="Embed" ProgID="Equation.DSMT4" ShapeID="_x0000_i1044" DrawAspect="Content" ObjectID="_1594105935" r:id="rId113"/>
        </w:object>
      </w:r>
    </w:p>
    <w:p w14:paraId="206A1046" w14:textId="77777777" w:rsidR="00872C03" w:rsidRPr="00883399" w:rsidRDefault="00872C03" w:rsidP="00872C03">
      <w:pPr>
        <w:pStyle w:val="subsection2"/>
        <w:rPr>
          <w:sz w:val="24"/>
        </w:rPr>
      </w:pPr>
      <w:r w:rsidRPr="00883399">
        <w:rPr>
          <w:sz w:val="24"/>
        </w:rPr>
        <w:t>where:</w:t>
      </w:r>
    </w:p>
    <w:p w14:paraId="1FFF23AD" w14:textId="77777777" w:rsidR="00872C03" w:rsidRPr="00883399" w:rsidRDefault="00872C03" w:rsidP="00872C03">
      <w:pPr>
        <w:pStyle w:val="Definition0"/>
        <w:rPr>
          <w:sz w:val="24"/>
        </w:rPr>
      </w:pPr>
      <w:r w:rsidRPr="00883399">
        <w:rPr>
          <w:b/>
          <w:i/>
          <w:sz w:val="24"/>
        </w:rPr>
        <w:t>Em</w:t>
      </w:r>
      <w:r w:rsidRPr="00883399">
        <w:rPr>
          <w:b/>
          <w:i/>
          <w:sz w:val="24"/>
          <w:vertAlign w:val="subscript"/>
        </w:rPr>
        <w:t>j</w:t>
      </w:r>
      <w:r w:rsidRPr="00883399">
        <w:rPr>
          <w:b/>
          <w:i/>
          <w:sz w:val="24"/>
        </w:rPr>
        <w:t xml:space="preserve"> </w:t>
      </w:r>
      <w:r w:rsidRPr="00883399">
        <w:rPr>
          <w:sz w:val="24"/>
        </w:rPr>
        <w:t>is total emissions for gas type (</w:t>
      </w:r>
      <w:r w:rsidRPr="00883399">
        <w:rPr>
          <w:b/>
          <w:i/>
          <w:sz w:val="24"/>
        </w:rPr>
        <w:t>j</w:t>
      </w:r>
      <w:r w:rsidRPr="00883399">
        <w:rPr>
          <w:sz w:val="24"/>
        </w:rPr>
        <w:t>), being methane and carbon dioxide from all well completions and well workovers during a year in a basin, measured in CO</w:t>
      </w:r>
      <w:r w:rsidRPr="00883399">
        <w:rPr>
          <w:sz w:val="24"/>
          <w:vertAlign w:val="subscript"/>
        </w:rPr>
        <w:t>2</w:t>
      </w:r>
      <w:r w:rsidRPr="00883399">
        <w:rPr>
          <w:sz w:val="24"/>
        </w:rPr>
        <w:noBreakHyphen/>
        <w:t>e tonnes.</w:t>
      </w:r>
    </w:p>
    <w:p w14:paraId="1A0859F3" w14:textId="77777777" w:rsidR="00872C03" w:rsidRPr="00883399" w:rsidRDefault="00872C03" w:rsidP="00872C03">
      <w:pPr>
        <w:pStyle w:val="Definition0"/>
        <w:rPr>
          <w:sz w:val="24"/>
        </w:rPr>
      </w:pPr>
      <w:r w:rsidRPr="00883399">
        <w:rPr>
          <w:b/>
          <w:i/>
          <w:sz w:val="24"/>
        </w:rPr>
        <w:lastRenderedPageBreak/>
        <w:t>EV</w:t>
      </w:r>
      <w:r w:rsidRPr="00883399">
        <w:rPr>
          <w:b/>
          <w:i/>
          <w:sz w:val="24"/>
          <w:vertAlign w:val="subscript"/>
        </w:rPr>
        <w:t>p</w:t>
      </w:r>
      <w:r w:rsidRPr="00883399">
        <w:rPr>
          <w:sz w:val="24"/>
        </w:rPr>
        <w:t xml:space="preserve"> is the volume of methane flowback during a well completion or well workover from strata for each well (</w:t>
      </w:r>
      <w:r w:rsidRPr="00883399">
        <w:rPr>
          <w:b/>
          <w:i/>
          <w:sz w:val="24"/>
        </w:rPr>
        <w:t>p</w:t>
      </w:r>
      <w:r w:rsidRPr="00883399">
        <w:rPr>
          <w:sz w:val="24"/>
        </w:rPr>
        <w:t>) in cubic metres at standard conditions, worked out in accordance with subsection (5).</w:t>
      </w:r>
    </w:p>
    <w:p w14:paraId="4D6F784C" w14:textId="77777777" w:rsidR="00872C03" w:rsidRPr="00883399" w:rsidRDefault="00872C03" w:rsidP="00872C03">
      <w:pPr>
        <w:pStyle w:val="Definition0"/>
        <w:jc w:val="both"/>
        <w:rPr>
          <w:sz w:val="24"/>
        </w:rPr>
      </w:pPr>
      <w:r w:rsidRPr="00883399">
        <w:rPr>
          <w:b/>
          <w:i/>
          <w:sz w:val="24"/>
        </w:rPr>
        <w:t>SG</w:t>
      </w:r>
      <w:r w:rsidRPr="00883399">
        <w:rPr>
          <w:b/>
          <w:i/>
          <w:sz w:val="24"/>
          <w:vertAlign w:val="subscript"/>
        </w:rPr>
        <w:t>j,p</w:t>
      </w:r>
      <w:r w:rsidRPr="00883399">
        <w:rPr>
          <w:sz w:val="24"/>
          <w:vertAlign w:val="subscript"/>
        </w:rPr>
        <w:t xml:space="preserve"> </w:t>
      </w:r>
      <w:r w:rsidRPr="00883399">
        <w:rPr>
          <w:sz w:val="24"/>
        </w:rPr>
        <w:t>is the volume of gas type (</w:t>
      </w:r>
      <w:r w:rsidRPr="00883399">
        <w:rPr>
          <w:b/>
          <w:i/>
          <w:sz w:val="24"/>
        </w:rPr>
        <w:t>j</w:t>
      </w:r>
      <w:r w:rsidRPr="00883399">
        <w:rPr>
          <w:sz w:val="24"/>
        </w:rPr>
        <w:t>), being methane and carbon dioxide, in cubic metres at standard conditions that is captured or flared for each well (</w:t>
      </w:r>
      <w:r w:rsidRPr="00883399">
        <w:rPr>
          <w:b/>
          <w:i/>
          <w:sz w:val="24"/>
        </w:rPr>
        <w:t>p</w:t>
      </w:r>
      <w:r w:rsidRPr="00883399">
        <w:rPr>
          <w:sz w:val="24"/>
        </w:rPr>
        <w:t>) during the well completion or well workover, estimated in accordance with:</w:t>
      </w:r>
    </w:p>
    <w:p w14:paraId="4866DE37" w14:textId="77777777" w:rsidR="00872C03" w:rsidRPr="00883399" w:rsidRDefault="00872C03" w:rsidP="00872C03">
      <w:pPr>
        <w:pStyle w:val="paragraph"/>
        <w:rPr>
          <w:sz w:val="24"/>
        </w:rPr>
      </w:pPr>
      <w:r w:rsidRPr="00883399">
        <w:rPr>
          <w:sz w:val="24"/>
        </w:rPr>
        <w:tab/>
        <w:t>(a)</w:t>
      </w:r>
      <w:r w:rsidRPr="00883399">
        <w:rPr>
          <w:sz w:val="24"/>
        </w:rPr>
        <w:tab/>
        <w:t>for the volume of the gas—Division 2.3.6; and</w:t>
      </w:r>
    </w:p>
    <w:p w14:paraId="2D67BF52" w14:textId="77777777" w:rsidR="00872C03" w:rsidRPr="00883399" w:rsidRDefault="00872C03" w:rsidP="00872C03">
      <w:pPr>
        <w:pStyle w:val="paragraph"/>
        <w:rPr>
          <w:sz w:val="24"/>
        </w:rPr>
      </w:pPr>
      <w:r w:rsidRPr="00883399">
        <w:rPr>
          <w:sz w:val="24"/>
        </w:rPr>
        <w:tab/>
        <w:t>(b)</w:t>
      </w:r>
      <w:r w:rsidRPr="00883399">
        <w:rPr>
          <w:sz w:val="24"/>
        </w:rPr>
        <w:tab/>
        <w:t>for the gas composition—Division 2.3.3.</w:t>
      </w:r>
    </w:p>
    <w:p w14:paraId="00237061" w14:textId="77777777" w:rsidR="00872C03" w:rsidRPr="00883399" w:rsidRDefault="00872C03" w:rsidP="00872C03">
      <w:pPr>
        <w:pStyle w:val="Definition0"/>
        <w:rPr>
          <w:sz w:val="24"/>
        </w:rPr>
      </w:pPr>
      <w:r w:rsidRPr="00883399">
        <w:rPr>
          <w:b/>
          <w:i/>
          <w:sz w:val="24"/>
        </w:rPr>
        <w:t>VIGG</w:t>
      </w:r>
      <w:r w:rsidRPr="00883399">
        <w:rPr>
          <w:b/>
          <w:i/>
          <w:sz w:val="24"/>
          <w:vertAlign w:val="subscript"/>
        </w:rPr>
        <w:t>j,p</w:t>
      </w:r>
      <w:r w:rsidRPr="00883399">
        <w:rPr>
          <w:b/>
          <w:i/>
          <w:sz w:val="24"/>
        </w:rPr>
        <w:t xml:space="preserve"> </w:t>
      </w:r>
      <w:r w:rsidRPr="00883399">
        <w:rPr>
          <w:sz w:val="24"/>
        </w:rPr>
        <w:t>is the volume of gas type (</w:t>
      </w:r>
      <w:r w:rsidRPr="00883399">
        <w:rPr>
          <w:b/>
          <w:i/>
          <w:sz w:val="24"/>
        </w:rPr>
        <w:t>j</w:t>
      </w:r>
      <w:r w:rsidRPr="00883399">
        <w:rPr>
          <w:sz w:val="24"/>
        </w:rPr>
        <w:t>), being methane and carbon dioxide, injected into each well (</w:t>
      </w:r>
      <w:r w:rsidRPr="00883399">
        <w:rPr>
          <w:b/>
          <w:i/>
          <w:sz w:val="24"/>
        </w:rPr>
        <w:t>p</w:t>
      </w:r>
      <w:r w:rsidRPr="00883399">
        <w:rPr>
          <w:sz w:val="24"/>
        </w:rPr>
        <w:t>) during the well completion or well workover, worked out in accordance with subsection (6).</w:t>
      </w:r>
    </w:p>
    <w:p w14:paraId="6A9AE691" w14:textId="77777777" w:rsidR="00872C03" w:rsidRPr="00883399" w:rsidRDefault="00872C03" w:rsidP="00872C03">
      <w:pPr>
        <w:pStyle w:val="Definition0"/>
        <w:rPr>
          <w:sz w:val="24"/>
        </w:rPr>
      </w:pPr>
      <w:r w:rsidRPr="00883399">
        <w:rPr>
          <w:b/>
          <w:i/>
          <w:sz w:val="24"/>
        </w:rPr>
        <w:t>W</w:t>
      </w:r>
      <w:r w:rsidRPr="00883399">
        <w:rPr>
          <w:sz w:val="24"/>
        </w:rPr>
        <w:t xml:space="preserve"> is the total number of well completions and well workovers during a year in the basin.</w:t>
      </w:r>
    </w:p>
    <w:p w14:paraId="538C44C2" w14:textId="77777777" w:rsidR="00872C03" w:rsidRPr="00883399" w:rsidRDefault="00872C03" w:rsidP="00872C03">
      <w:pPr>
        <w:pStyle w:val="Definition0"/>
        <w:rPr>
          <w:sz w:val="24"/>
        </w:rPr>
      </w:pPr>
      <w:r w:rsidRPr="00883399">
        <w:rPr>
          <w:b/>
          <w:i/>
          <w:sz w:val="24"/>
        </w:rPr>
        <w:t>γ</w:t>
      </w:r>
      <w:r w:rsidRPr="00883399">
        <w:rPr>
          <w:b/>
          <w:i/>
          <w:sz w:val="24"/>
          <w:vertAlign w:val="subscript"/>
        </w:rPr>
        <w:t>j</w:t>
      </w:r>
      <w:r w:rsidRPr="00883399">
        <w:rPr>
          <w:sz w:val="24"/>
        </w:rPr>
        <w:t xml:space="preserve"> is the factor for converting a quantity of gas type (</w:t>
      </w:r>
      <w:r w:rsidRPr="00883399">
        <w:rPr>
          <w:b/>
          <w:i/>
          <w:sz w:val="24"/>
        </w:rPr>
        <w:t>j</w:t>
      </w:r>
      <w:r w:rsidRPr="00883399">
        <w:rPr>
          <w:sz w:val="24"/>
        </w:rPr>
        <w:t>) from cubic metres at standard conditions to CO</w:t>
      </w:r>
      <w:r w:rsidRPr="00883399">
        <w:rPr>
          <w:sz w:val="24"/>
          <w:vertAlign w:val="subscript"/>
        </w:rPr>
        <w:t>2</w:t>
      </w:r>
      <w:r w:rsidRPr="00883399">
        <w:rPr>
          <w:sz w:val="24"/>
        </w:rPr>
        <w:noBreakHyphen/>
        <w:t>e tonnes, being:</w:t>
      </w:r>
    </w:p>
    <w:p w14:paraId="4736A6E9" w14:textId="77777777" w:rsidR="00872C03" w:rsidRPr="00883399" w:rsidRDefault="00872C03" w:rsidP="00872C03">
      <w:pPr>
        <w:pStyle w:val="paragraph"/>
        <w:rPr>
          <w:sz w:val="24"/>
        </w:rPr>
      </w:pPr>
      <w:r w:rsidRPr="00883399">
        <w:rPr>
          <w:sz w:val="24"/>
        </w:rPr>
        <w:tab/>
        <w:t>(a)</w:t>
      </w:r>
      <w:r w:rsidRPr="00883399">
        <w:rPr>
          <w:sz w:val="24"/>
        </w:rPr>
        <w:tab/>
        <w:t>for methane—6.784 × 10</w:t>
      </w:r>
      <w:r w:rsidRPr="00883399">
        <w:rPr>
          <w:sz w:val="24"/>
          <w:vertAlign w:val="superscript"/>
        </w:rPr>
        <w:noBreakHyphen/>
        <w:t>4</w:t>
      </w:r>
      <w:r w:rsidRPr="00883399">
        <w:rPr>
          <w:sz w:val="24"/>
        </w:rPr>
        <w:t xml:space="preserve"> × 25; and</w:t>
      </w:r>
    </w:p>
    <w:p w14:paraId="16AE09B8" w14:textId="77777777" w:rsidR="00872C03" w:rsidRPr="00883399" w:rsidRDefault="00872C03" w:rsidP="00872C03">
      <w:pPr>
        <w:pStyle w:val="paragraph"/>
        <w:rPr>
          <w:sz w:val="24"/>
        </w:rPr>
      </w:pPr>
      <w:r w:rsidRPr="00883399">
        <w:rPr>
          <w:sz w:val="24"/>
        </w:rPr>
        <w:tab/>
        <w:t>(b)</w:t>
      </w:r>
      <w:r w:rsidRPr="00883399">
        <w:rPr>
          <w:sz w:val="24"/>
        </w:rPr>
        <w:tab/>
        <w:t>for carbon dioxide—1.861 × 10</w:t>
      </w:r>
      <w:r w:rsidRPr="00883399">
        <w:rPr>
          <w:sz w:val="24"/>
          <w:vertAlign w:val="superscript"/>
        </w:rPr>
        <w:noBreakHyphen/>
        <w:t>3</w:t>
      </w:r>
      <w:r w:rsidRPr="00883399">
        <w:rPr>
          <w:sz w:val="24"/>
        </w:rPr>
        <w:t>.</w:t>
      </w:r>
    </w:p>
    <w:p w14:paraId="2DB79FDA" w14:textId="77777777" w:rsidR="00872C03" w:rsidRPr="00883399" w:rsidRDefault="00872C03" w:rsidP="00872C03">
      <w:pPr>
        <w:pStyle w:val="Definition0"/>
        <w:rPr>
          <w:sz w:val="24"/>
        </w:rPr>
      </w:pPr>
      <w:r w:rsidRPr="00883399">
        <w:rPr>
          <w:b/>
          <w:i/>
          <w:sz w:val="24"/>
        </w:rPr>
        <w:t>Z</w:t>
      </w:r>
      <w:r w:rsidRPr="00883399">
        <w:rPr>
          <w:sz w:val="24"/>
        </w:rPr>
        <w:t xml:space="preserve"> is the total number of greenhouse gas types.</w:t>
      </w:r>
    </w:p>
    <w:p w14:paraId="787C3706" w14:textId="77777777" w:rsidR="00872C03" w:rsidRPr="00883399" w:rsidRDefault="00872C03" w:rsidP="00872C03">
      <w:pPr>
        <w:pStyle w:val="subsection"/>
        <w:rPr>
          <w:sz w:val="24"/>
        </w:rPr>
      </w:pPr>
      <w:r w:rsidRPr="00883399">
        <w:rPr>
          <w:sz w:val="24"/>
        </w:rPr>
        <w:tab/>
        <w:t>(5)</w:t>
      </w:r>
      <w:r w:rsidRPr="00883399">
        <w:rPr>
          <w:sz w:val="24"/>
        </w:rPr>
        <w:tab/>
        <w:t xml:space="preserve">For subsection (4), the factor </w:t>
      </w:r>
      <w:r w:rsidRPr="00883399">
        <w:rPr>
          <w:b/>
          <w:i/>
          <w:sz w:val="24"/>
        </w:rPr>
        <w:t>EV</w:t>
      </w:r>
      <w:r w:rsidRPr="00883399">
        <w:rPr>
          <w:b/>
          <w:i/>
          <w:sz w:val="24"/>
          <w:vertAlign w:val="subscript"/>
        </w:rPr>
        <w:t>p</w:t>
      </w:r>
      <w:r w:rsidRPr="00883399">
        <w:rPr>
          <w:sz w:val="24"/>
        </w:rPr>
        <w:t xml:space="preserve"> is worked out using the following formula:</w:t>
      </w:r>
    </w:p>
    <w:bookmarkStart w:id="560" w:name="BKCheck15B_24"/>
    <w:bookmarkEnd w:id="560"/>
    <w:p w14:paraId="5057D04C" w14:textId="77777777" w:rsidR="00872C03" w:rsidRPr="00883399" w:rsidRDefault="00872C03" w:rsidP="00872C03">
      <w:pPr>
        <w:pStyle w:val="subsection2"/>
        <w:rPr>
          <w:sz w:val="24"/>
        </w:rPr>
      </w:pPr>
      <w:r w:rsidRPr="00883399">
        <w:rPr>
          <w:position w:val="-12"/>
          <w:sz w:val="24"/>
        </w:rPr>
        <w:object w:dxaOrig="2299" w:dyaOrig="320" w14:anchorId="3E0A02FB">
          <v:shape id="_x0000_i1045" type="#_x0000_t75" style="width:116.25pt;height:15.75pt" o:ole="">
            <v:imagedata r:id="rId114" o:title=""/>
          </v:shape>
          <o:OLEObject Type="Embed" ProgID="Equation.DSMT4" ShapeID="_x0000_i1045" DrawAspect="Content" ObjectID="_1594105936" r:id="rId115"/>
        </w:object>
      </w:r>
    </w:p>
    <w:p w14:paraId="53DEDBD5" w14:textId="77777777" w:rsidR="00872C03" w:rsidRPr="00883399" w:rsidRDefault="00872C03" w:rsidP="00872C03">
      <w:pPr>
        <w:pStyle w:val="subsection2"/>
        <w:rPr>
          <w:sz w:val="24"/>
        </w:rPr>
      </w:pPr>
      <w:r w:rsidRPr="00883399">
        <w:rPr>
          <w:sz w:val="24"/>
        </w:rPr>
        <w:t>where:</w:t>
      </w:r>
    </w:p>
    <w:p w14:paraId="27A46D9F" w14:textId="77777777" w:rsidR="00872C03" w:rsidRPr="00883399" w:rsidRDefault="00872C03" w:rsidP="00872C03">
      <w:pPr>
        <w:pStyle w:val="Definition0"/>
        <w:rPr>
          <w:sz w:val="24"/>
        </w:rPr>
      </w:pPr>
      <w:r w:rsidRPr="00883399">
        <w:rPr>
          <w:b/>
          <w:i/>
          <w:sz w:val="24"/>
        </w:rPr>
        <w:t>FRM</w:t>
      </w:r>
      <w:r w:rsidRPr="00883399">
        <w:rPr>
          <w:b/>
          <w:i/>
          <w:sz w:val="24"/>
          <w:vertAlign w:val="subscript"/>
        </w:rPr>
        <w:t>bt</w:t>
      </w:r>
      <w:r w:rsidRPr="00883399">
        <w:rPr>
          <w:b/>
          <w:i/>
          <w:sz w:val="24"/>
        </w:rPr>
        <w:t xml:space="preserve"> </w:t>
      </w:r>
      <w:r w:rsidRPr="00883399">
        <w:rPr>
          <w:sz w:val="24"/>
        </w:rPr>
        <w:t>is the ratio of flowback during well completions and well workovers to the 30 day production rate for the basin (</w:t>
      </w:r>
      <w:r w:rsidRPr="00883399">
        <w:rPr>
          <w:b/>
          <w:i/>
          <w:sz w:val="24"/>
        </w:rPr>
        <w:t>b</w:t>
      </w:r>
      <w:r w:rsidRPr="00883399">
        <w:rPr>
          <w:sz w:val="24"/>
        </w:rPr>
        <w:t>) and the well type combination (</w:t>
      </w:r>
      <w:r w:rsidRPr="00883399">
        <w:rPr>
          <w:b/>
          <w:i/>
          <w:sz w:val="24"/>
        </w:rPr>
        <w:t>t</w:t>
      </w:r>
      <w:r w:rsidRPr="00883399">
        <w:rPr>
          <w:sz w:val="24"/>
        </w:rPr>
        <w:t>), as worked out in accordance with subsection (7).</w:t>
      </w:r>
    </w:p>
    <w:p w14:paraId="6A0E2E2C" w14:textId="77777777" w:rsidR="00872C03" w:rsidRPr="00883399" w:rsidRDefault="00872C03" w:rsidP="00872C03">
      <w:pPr>
        <w:pStyle w:val="Definition0"/>
        <w:rPr>
          <w:sz w:val="24"/>
        </w:rPr>
      </w:pPr>
      <w:r w:rsidRPr="00883399">
        <w:rPr>
          <w:b/>
          <w:i/>
          <w:sz w:val="24"/>
        </w:rPr>
        <w:t>PR</w:t>
      </w:r>
      <w:r w:rsidRPr="00883399">
        <w:rPr>
          <w:b/>
          <w:i/>
          <w:sz w:val="24"/>
          <w:vertAlign w:val="subscript"/>
        </w:rPr>
        <w:t>p</w:t>
      </w:r>
      <w:r w:rsidRPr="00883399">
        <w:rPr>
          <w:sz w:val="24"/>
        </w:rPr>
        <w:t xml:space="preserve"> is the first 30 days average production flow rate in cubic metres per hour at each well (</w:t>
      </w:r>
      <w:r w:rsidRPr="00883399">
        <w:rPr>
          <w:b/>
          <w:i/>
          <w:sz w:val="24"/>
        </w:rPr>
        <w:t>p</w:t>
      </w:r>
      <w:r w:rsidRPr="00883399">
        <w:rPr>
          <w:sz w:val="24"/>
        </w:rPr>
        <w:t>), estimated in accordance with Division 2.3.6.</w:t>
      </w:r>
    </w:p>
    <w:p w14:paraId="3D0E3DC7" w14:textId="77777777" w:rsidR="00872C03" w:rsidRPr="00883399" w:rsidRDefault="00872C03" w:rsidP="00872C03">
      <w:pPr>
        <w:pStyle w:val="Definition0"/>
        <w:rPr>
          <w:sz w:val="24"/>
        </w:rPr>
      </w:pPr>
      <w:r w:rsidRPr="00883399">
        <w:rPr>
          <w:b/>
          <w:i/>
          <w:sz w:val="24"/>
        </w:rPr>
        <w:t>T</w:t>
      </w:r>
      <w:r w:rsidRPr="00883399">
        <w:rPr>
          <w:b/>
          <w:i/>
          <w:sz w:val="24"/>
          <w:vertAlign w:val="subscript"/>
        </w:rPr>
        <w:t>p</w:t>
      </w:r>
      <w:r w:rsidRPr="00883399">
        <w:rPr>
          <w:sz w:val="24"/>
        </w:rPr>
        <w:t xml:space="preserve"> is the total number of hours for the reporting year of flowback for the well completion or well workover for each well (</w:t>
      </w:r>
      <w:r w:rsidRPr="00883399">
        <w:rPr>
          <w:b/>
          <w:i/>
          <w:sz w:val="24"/>
        </w:rPr>
        <w:t>p</w:t>
      </w:r>
      <w:r w:rsidRPr="00883399">
        <w:rPr>
          <w:sz w:val="24"/>
        </w:rPr>
        <w:t>) and well type (horizontal or vertical) in a basin.</w:t>
      </w:r>
    </w:p>
    <w:p w14:paraId="6664D56E" w14:textId="77777777" w:rsidR="00872C03" w:rsidRPr="00883399" w:rsidRDefault="00872C03" w:rsidP="00872C03">
      <w:pPr>
        <w:pStyle w:val="Definition0"/>
        <w:rPr>
          <w:sz w:val="24"/>
        </w:rPr>
      </w:pPr>
      <w:r w:rsidRPr="00883399">
        <w:rPr>
          <w:b/>
          <w:i/>
          <w:sz w:val="24"/>
        </w:rPr>
        <w:t>VI</w:t>
      </w:r>
      <w:r w:rsidRPr="00883399">
        <w:rPr>
          <w:b/>
          <w:i/>
          <w:sz w:val="24"/>
          <w:vertAlign w:val="subscript"/>
        </w:rPr>
        <w:t>p</w:t>
      </w:r>
      <w:r w:rsidRPr="00883399">
        <w:rPr>
          <w:sz w:val="24"/>
        </w:rPr>
        <w:t xml:space="preserve"> is the volume of injected gas in cubic metres at standard conditions that is injected into the well during the well completion or well workover, estimated in accordance with Division 2.3.6.</w:t>
      </w:r>
    </w:p>
    <w:p w14:paraId="455CCA82" w14:textId="77777777" w:rsidR="00872C03" w:rsidRPr="00883399" w:rsidRDefault="00872C03" w:rsidP="00872C03">
      <w:pPr>
        <w:pStyle w:val="subsection"/>
        <w:rPr>
          <w:sz w:val="24"/>
        </w:rPr>
      </w:pPr>
      <w:r w:rsidRPr="00883399">
        <w:rPr>
          <w:sz w:val="24"/>
        </w:rPr>
        <w:tab/>
        <w:t>(6)</w:t>
      </w:r>
      <w:r w:rsidRPr="00883399">
        <w:rPr>
          <w:sz w:val="24"/>
        </w:rPr>
        <w:tab/>
        <w:t xml:space="preserve">For subsection (4), </w:t>
      </w:r>
      <w:r w:rsidRPr="00883399">
        <w:rPr>
          <w:b/>
          <w:i/>
          <w:sz w:val="24"/>
        </w:rPr>
        <w:t>VIGG</w:t>
      </w:r>
      <w:r w:rsidRPr="00883399">
        <w:rPr>
          <w:b/>
          <w:i/>
          <w:sz w:val="24"/>
          <w:vertAlign w:val="subscript"/>
        </w:rPr>
        <w:t>j,p</w:t>
      </w:r>
      <w:r w:rsidRPr="00883399">
        <w:rPr>
          <w:b/>
          <w:i/>
          <w:sz w:val="24"/>
        </w:rPr>
        <w:t xml:space="preserve"> </w:t>
      </w:r>
      <w:r w:rsidRPr="00883399">
        <w:rPr>
          <w:sz w:val="24"/>
        </w:rPr>
        <w:t>is worked out using the following formula:</w:t>
      </w:r>
    </w:p>
    <w:bookmarkStart w:id="561" w:name="BKCheck15B_25"/>
    <w:bookmarkEnd w:id="561"/>
    <w:p w14:paraId="13D1A623" w14:textId="77777777" w:rsidR="00872C03" w:rsidRPr="00883399" w:rsidRDefault="00872C03" w:rsidP="00872C03">
      <w:pPr>
        <w:pStyle w:val="subsection2"/>
        <w:rPr>
          <w:sz w:val="24"/>
        </w:rPr>
      </w:pPr>
      <w:r w:rsidRPr="00883399">
        <w:rPr>
          <w:position w:val="-12"/>
          <w:sz w:val="24"/>
        </w:rPr>
        <w:object w:dxaOrig="1320" w:dyaOrig="320" w14:anchorId="21211F91">
          <v:shape id="_x0000_i1046" type="#_x0000_t75" style="width:65.25pt;height:15.75pt" o:ole="">
            <v:imagedata r:id="rId110" o:title=""/>
          </v:shape>
          <o:OLEObject Type="Embed" ProgID="Equation.DSMT4" ShapeID="_x0000_i1046" DrawAspect="Content" ObjectID="_1594105937" r:id="rId116"/>
        </w:object>
      </w:r>
    </w:p>
    <w:p w14:paraId="6CDF3613" w14:textId="77777777" w:rsidR="00872C03" w:rsidRPr="00883399" w:rsidRDefault="00872C03" w:rsidP="00872C03">
      <w:pPr>
        <w:pStyle w:val="subsection2"/>
        <w:rPr>
          <w:sz w:val="24"/>
        </w:rPr>
      </w:pPr>
      <w:r w:rsidRPr="00883399">
        <w:rPr>
          <w:sz w:val="24"/>
        </w:rPr>
        <w:lastRenderedPageBreak/>
        <w:t>where:</w:t>
      </w:r>
    </w:p>
    <w:p w14:paraId="4A2A5AEE" w14:textId="77777777" w:rsidR="00872C03" w:rsidRPr="00883399" w:rsidRDefault="00872C03" w:rsidP="00872C03">
      <w:pPr>
        <w:pStyle w:val="Definition0"/>
        <w:rPr>
          <w:sz w:val="24"/>
        </w:rPr>
      </w:pPr>
      <w:r w:rsidRPr="00883399">
        <w:rPr>
          <w:b/>
          <w:i/>
          <w:sz w:val="24"/>
        </w:rPr>
        <w:t>mol</w:t>
      </w:r>
      <w:r w:rsidRPr="00883399">
        <w:rPr>
          <w:b/>
          <w:i/>
          <w:sz w:val="24"/>
          <w:vertAlign w:val="subscript"/>
        </w:rPr>
        <w:t>j,p</w:t>
      </w:r>
      <w:r w:rsidRPr="00883399">
        <w:rPr>
          <w:b/>
          <w:i/>
          <w:sz w:val="24"/>
        </w:rPr>
        <w:t>%</w:t>
      </w:r>
      <w:r w:rsidRPr="00883399">
        <w:rPr>
          <w:sz w:val="24"/>
        </w:rPr>
        <w:t>, for each gas type (</w:t>
      </w:r>
      <w:r w:rsidRPr="00883399">
        <w:rPr>
          <w:b/>
          <w:i/>
          <w:sz w:val="24"/>
        </w:rPr>
        <w:t>j</w:t>
      </w:r>
      <w:r w:rsidRPr="00883399">
        <w:rPr>
          <w:sz w:val="24"/>
        </w:rPr>
        <w:t xml:space="preserve">), being methane and carbon dioxide, is the gas type’s share of one mole of </w:t>
      </w:r>
      <w:r w:rsidRPr="00883399">
        <w:rPr>
          <w:b/>
          <w:i/>
          <w:sz w:val="24"/>
        </w:rPr>
        <w:t>VI</w:t>
      </w:r>
      <w:r w:rsidRPr="00883399">
        <w:rPr>
          <w:b/>
          <w:i/>
          <w:sz w:val="24"/>
          <w:vertAlign w:val="subscript"/>
        </w:rPr>
        <w:t>p</w:t>
      </w:r>
      <w:r w:rsidRPr="00883399">
        <w:rPr>
          <w:sz w:val="24"/>
        </w:rPr>
        <w:t xml:space="preserve"> expressed as a percentage, estimated in accordance with Division 2.3.6.</w:t>
      </w:r>
    </w:p>
    <w:p w14:paraId="55EF492E" w14:textId="77777777" w:rsidR="00872C03" w:rsidRPr="00883399" w:rsidRDefault="00872C03" w:rsidP="00872C03">
      <w:pPr>
        <w:pStyle w:val="Definition0"/>
        <w:rPr>
          <w:sz w:val="24"/>
        </w:rPr>
      </w:pPr>
      <w:r w:rsidRPr="00883399">
        <w:rPr>
          <w:b/>
          <w:i/>
          <w:sz w:val="24"/>
        </w:rPr>
        <w:t>VI</w:t>
      </w:r>
      <w:r w:rsidRPr="00883399">
        <w:rPr>
          <w:b/>
          <w:i/>
          <w:sz w:val="24"/>
          <w:vertAlign w:val="subscript"/>
        </w:rPr>
        <w:t>p</w:t>
      </w:r>
      <w:r w:rsidRPr="00883399">
        <w:rPr>
          <w:sz w:val="24"/>
        </w:rPr>
        <w:t xml:space="preserve"> is the volume of injected gas in cubic metres at standard conditions that is injected into the well during the well completion or well workover, estimated in accordance with Division 2.3.6.</w:t>
      </w:r>
    </w:p>
    <w:p w14:paraId="57D7590E" w14:textId="77777777" w:rsidR="00872C03" w:rsidRPr="00883399" w:rsidRDefault="00872C03" w:rsidP="00872C03">
      <w:pPr>
        <w:pStyle w:val="subsection"/>
        <w:rPr>
          <w:sz w:val="24"/>
        </w:rPr>
      </w:pPr>
      <w:r w:rsidRPr="00883399">
        <w:rPr>
          <w:sz w:val="24"/>
        </w:rPr>
        <w:tab/>
        <w:t>(7)</w:t>
      </w:r>
      <w:r w:rsidRPr="00883399">
        <w:rPr>
          <w:sz w:val="24"/>
        </w:rPr>
        <w:tab/>
        <w:t xml:space="preserve">For subsection (5), the factor </w:t>
      </w:r>
      <w:r w:rsidRPr="00883399">
        <w:rPr>
          <w:b/>
          <w:i/>
          <w:sz w:val="24"/>
        </w:rPr>
        <w:t>FRM</w:t>
      </w:r>
      <w:r w:rsidRPr="00883399">
        <w:rPr>
          <w:b/>
          <w:i/>
          <w:sz w:val="24"/>
          <w:vertAlign w:val="subscript"/>
        </w:rPr>
        <w:t>bt</w:t>
      </w:r>
      <w:r w:rsidRPr="00883399">
        <w:rPr>
          <w:sz w:val="24"/>
          <w:vertAlign w:val="subscript"/>
        </w:rPr>
        <w:t xml:space="preserve"> </w:t>
      </w:r>
      <w:r w:rsidRPr="00883399">
        <w:rPr>
          <w:sz w:val="24"/>
        </w:rPr>
        <w:t>is worked out using the following formula:</w:t>
      </w:r>
    </w:p>
    <w:bookmarkStart w:id="562" w:name="BKCheck15B_26"/>
    <w:bookmarkEnd w:id="562"/>
    <w:p w14:paraId="7B8044C6" w14:textId="77777777" w:rsidR="00872C03" w:rsidRPr="00883399" w:rsidRDefault="00872C03" w:rsidP="00872C03">
      <w:pPr>
        <w:pStyle w:val="subsection2"/>
        <w:rPr>
          <w:sz w:val="24"/>
        </w:rPr>
      </w:pPr>
      <w:r w:rsidRPr="00883399">
        <w:rPr>
          <w:position w:val="-66"/>
          <w:sz w:val="24"/>
        </w:rPr>
        <w:object w:dxaOrig="859" w:dyaOrig="1420" w14:anchorId="0EC4C2FD">
          <v:shape id="_x0000_i1047" type="#_x0000_t75" style="width:44.25pt;height:71.25pt" o:ole="">
            <v:imagedata r:id="rId117" o:title=""/>
          </v:shape>
          <o:OLEObject Type="Embed" ProgID="Equation.DSMT4" ShapeID="_x0000_i1047" DrawAspect="Content" ObjectID="_1594105938" r:id="rId118"/>
        </w:object>
      </w:r>
    </w:p>
    <w:p w14:paraId="02DB6635" w14:textId="77777777" w:rsidR="00872C03" w:rsidRPr="00883399" w:rsidRDefault="00872C03" w:rsidP="00872C03">
      <w:pPr>
        <w:pStyle w:val="subsection2"/>
        <w:rPr>
          <w:sz w:val="24"/>
        </w:rPr>
      </w:pPr>
      <w:r w:rsidRPr="00883399">
        <w:rPr>
          <w:sz w:val="24"/>
        </w:rPr>
        <w:t>where:</w:t>
      </w:r>
    </w:p>
    <w:p w14:paraId="35EC9F8D" w14:textId="77777777" w:rsidR="00872C03" w:rsidRPr="00883399" w:rsidRDefault="00872C03" w:rsidP="00872C03">
      <w:pPr>
        <w:pStyle w:val="Definition0"/>
        <w:rPr>
          <w:sz w:val="24"/>
        </w:rPr>
      </w:pPr>
      <w:r w:rsidRPr="00883399">
        <w:rPr>
          <w:b/>
          <w:i/>
          <w:sz w:val="24"/>
        </w:rPr>
        <w:t>FR</w:t>
      </w:r>
      <w:r w:rsidRPr="00883399">
        <w:rPr>
          <w:b/>
          <w:i/>
          <w:sz w:val="24"/>
          <w:vertAlign w:val="subscript"/>
        </w:rPr>
        <w:t>p(bt)</w:t>
      </w:r>
      <w:r w:rsidRPr="00883399">
        <w:rPr>
          <w:sz w:val="24"/>
        </w:rPr>
        <w:t xml:space="preserve"> is the average flow rate for flowback during well completions and well workovers in cubic metres per hour at standard conditions for each basin (</w:t>
      </w:r>
      <w:r w:rsidRPr="00883399">
        <w:rPr>
          <w:b/>
          <w:i/>
          <w:sz w:val="24"/>
        </w:rPr>
        <w:t>b</w:t>
      </w:r>
      <w:r w:rsidRPr="00883399">
        <w:rPr>
          <w:sz w:val="24"/>
        </w:rPr>
        <w:t>) and well type combination (</w:t>
      </w:r>
      <w:r w:rsidRPr="00883399">
        <w:rPr>
          <w:b/>
          <w:i/>
          <w:sz w:val="24"/>
        </w:rPr>
        <w:t>t</w:t>
      </w:r>
      <w:r w:rsidRPr="00883399">
        <w:rPr>
          <w:sz w:val="24"/>
        </w:rPr>
        <w:t>), determined using a digital or analog recording flow metre on the vent line to measure flowback during the well completion or well workover, estimated in accordance with Division 2.3.6.</w:t>
      </w:r>
    </w:p>
    <w:p w14:paraId="51B1A2B7" w14:textId="77777777" w:rsidR="00872C03" w:rsidRPr="00883399" w:rsidRDefault="00872C03" w:rsidP="00872C03">
      <w:pPr>
        <w:pStyle w:val="Definition0"/>
        <w:rPr>
          <w:sz w:val="24"/>
        </w:rPr>
      </w:pPr>
      <w:r w:rsidRPr="00883399">
        <w:rPr>
          <w:b/>
          <w:i/>
          <w:sz w:val="24"/>
        </w:rPr>
        <w:t xml:space="preserve">N </w:t>
      </w:r>
      <w:r w:rsidRPr="00883399">
        <w:rPr>
          <w:sz w:val="24"/>
        </w:rPr>
        <w:t>is the number of measured well completions or well workovers in the basin.</w:t>
      </w:r>
    </w:p>
    <w:p w14:paraId="26BC23B1" w14:textId="77777777" w:rsidR="00872C03" w:rsidRPr="00883399" w:rsidRDefault="00872C03" w:rsidP="00872C03">
      <w:pPr>
        <w:pStyle w:val="Definition0"/>
        <w:rPr>
          <w:sz w:val="24"/>
        </w:rPr>
      </w:pPr>
      <w:r w:rsidRPr="00883399">
        <w:rPr>
          <w:b/>
          <w:i/>
          <w:sz w:val="24"/>
        </w:rPr>
        <w:t>PR</w:t>
      </w:r>
      <w:r w:rsidRPr="00883399">
        <w:rPr>
          <w:b/>
          <w:i/>
          <w:sz w:val="24"/>
          <w:vertAlign w:val="subscript"/>
        </w:rPr>
        <w:t>p(bt)</w:t>
      </w:r>
      <w:r w:rsidRPr="00883399">
        <w:rPr>
          <w:sz w:val="24"/>
        </w:rPr>
        <w:t xml:space="preserve"> is the first 30 days production flow rate in cubic metres per hour for each well (</w:t>
      </w:r>
      <w:r w:rsidRPr="00883399">
        <w:rPr>
          <w:b/>
          <w:i/>
          <w:sz w:val="24"/>
        </w:rPr>
        <w:t>p</w:t>
      </w:r>
      <w:r w:rsidRPr="00883399">
        <w:rPr>
          <w:sz w:val="24"/>
        </w:rPr>
        <w:t>) and well type (</w:t>
      </w:r>
      <w:r w:rsidRPr="00883399">
        <w:rPr>
          <w:b/>
          <w:i/>
          <w:sz w:val="24"/>
        </w:rPr>
        <w:t>t</w:t>
      </w:r>
      <w:r w:rsidRPr="00883399">
        <w:rPr>
          <w:sz w:val="24"/>
        </w:rPr>
        <w:t>) measured in a basin (</w:t>
      </w:r>
      <w:r w:rsidRPr="00883399">
        <w:rPr>
          <w:b/>
          <w:i/>
          <w:sz w:val="24"/>
        </w:rPr>
        <w:t>b</w:t>
      </w:r>
      <w:r w:rsidRPr="00883399">
        <w:rPr>
          <w:sz w:val="24"/>
        </w:rPr>
        <w:t>), estimated in accordance with Division 2.3.6.</w:t>
      </w:r>
    </w:p>
    <w:p w14:paraId="1AB215A5" w14:textId="77777777" w:rsidR="00872C03" w:rsidRPr="00883399" w:rsidRDefault="00872C03" w:rsidP="00872C03">
      <w:pPr>
        <w:pStyle w:val="subsection"/>
        <w:rPr>
          <w:sz w:val="24"/>
        </w:rPr>
      </w:pPr>
      <w:r w:rsidRPr="00883399">
        <w:rPr>
          <w:sz w:val="24"/>
        </w:rPr>
        <w:tab/>
        <w:t>(8)</w:t>
      </w:r>
      <w:r w:rsidRPr="00883399">
        <w:rPr>
          <w:sz w:val="24"/>
        </w:rPr>
        <w:tab/>
        <w:t>For subsection (7), the sampling requirements for the number of well completions or well workovers performed during a year for each basin and well type (horizontal or vertical) are as follows:</w:t>
      </w:r>
    </w:p>
    <w:p w14:paraId="3CF51456" w14:textId="77777777" w:rsidR="00872C03" w:rsidRPr="00883399" w:rsidRDefault="00872C03" w:rsidP="00872C03">
      <w:pPr>
        <w:pStyle w:val="paragraph"/>
        <w:rPr>
          <w:sz w:val="24"/>
        </w:rPr>
      </w:pPr>
      <w:r w:rsidRPr="00883399">
        <w:rPr>
          <w:sz w:val="24"/>
        </w:rPr>
        <w:tab/>
        <w:t>(a)</w:t>
      </w:r>
      <w:r w:rsidRPr="00883399">
        <w:rPr>
          <w:sz w:val="24"/>
        </w:rPr>
        <w:tab/>
        <w:t>if one to 5 well completions or workovers are performed during a year, all wells are to be measured;</w:t>
      </w:r>
    </w:p>
    <w:p w14:paraId="211A0654" w14:textId="77777777" w:rsidR="00872C03" w:rsidRPr="00883399" w:rsidRDefault="00872C03" w:rsidP="00872C03">
      <w:pPr>
        <w:pStyle w:val="paragraph"/>
        <w:rPr>
          <w:sz w:val="24"/>
        </w:rPr>
      </w:pPr>
      <w:r w:rsidRPr="00883399">
        <w:rPr>
          <w:sz w:val="24"/>
        </w:rPr>
        <w:tab/>
        <w:t>(b)</w:t>
      </w:r>
      <w:r w:rsidRPr="00883399">
        <w:rPr>
          <w:sz w:val="24"/>
        </w:rPr>
        <w:tab/>
        <w:t>if 6 to 50 well completions or workovers are performed during a year, a minimum of 5 wells are to be measured;</w:t>
      </w:r>
    </w:p>
    <w:p w14:paraId="7E718B3F" w14:textId="77777777" w:rsidR="00872C03" w:rsidRPr="00883399" w:rsidRDefault="00872C03" w:rsidP="00872C03">
      <w:pPr>
        <w:pStyle w:val="paragraph"/>
        <w:rPr>
          <w:sz w:val="24"/>
        </w:rPr>
      </w:pPr>
      <w:r w:rsidRPr="00883399">
        <w:rPr>
          <w:sz w:val="24"/>
        </w:rPr>
        <w:tab/>
        <w:t>(c)</w:t>
      </w:r>
      <w:r w:rsidRPr="00883399">
        <w:rPr>
          <w:sz w:val="24"/>
        </w:rPr>
        <w:tab/>
        <w:t>if more than 50 well completions or workovers are performed during a year, a minimum of 10% of wells are to be measured.</w:t>
      </w:r>
    </w:p>
    <w:p w14:paraId="64F7DBB5" w14:textId="77777777" w:rsidR="00872C03" w:rsidRPr="00883399" w:rsidRDefault="00872C03" w:rsidP="00872C03">
      <w:pPr>
        <w:pStyle w:val="paragraph"/>
        <w:rPr>
          <w:sz w:val="24"/>
        </w:rPr>
      </w:pPr>
    </w:p>
    <w:p w14:paraId="13B49748" w14:textId="77777777" w:rsidR="00872C03" w:rsidRPr="00883399" w:rsidRDefault="00872C03" w:rsidP="00872C03">
      <w:pPr>
        <w:pStyle w:val="R2"/>
        <w:tabs>
          <w:tab w:val="clear" w:pos="794"/>
          <w:tab w:val="right" w:pos="993"/>
        </w:tabs>
        <w:spacing w:before="120"/>
        <w:ind w:left="993" w:firstLine="0"/>
        <w:rPr>
          <w:color w:val="000000"/>
        </w:rPr>
      </w:pPr>
    </w:p>
    <w:p w14:paraId="121C678C" w14:textId="77777777" w:rsidR="00872C03" w:rsidRPr="00883399" w:rsidRDefault="00872C03" w:rsidP="00872C03">
      <w:pPr>
        <w:pStyle w:val="R2"/>
        <w:tabs>
          <w:tab w:val="clear" w:pos="794"/>
          <w:tab w:val="right" w:pos="993"/>
        </w:tabs>
        <w:spacing w:before="120"/>
        <w:rPr>
          <w:color w:val="000000"/>
        </w:rPr>
      </w:pPr>
    </w:p>
    <w:p w14:paraId="66BD16C9"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b/>
          <w:sz w:val="22"/>
          <w:szCs w:val="22"/>
        </w:rPr>
      </w:pPr>
      <w:r w:rsidRPr="00883399">
        <w:rPr>
          <w:noProof/>
          <w:lang w:eastAsia="en-AU"/>
        </w:rPr>
        <w:lastRenderedPageBreak/>
        <w:drawing>
          <wp:anchor distT="0" distB="0" distL="114300" distR="114300" simplePos="0" relativeHeight="251658245" behindDoc="0" locked="0" layoutInCell="1" allowOverlap="1" wp14:anchorId="2D791810" wp14:editId="199CE17A">
            <wp:simplePos x="0" y="0"/>
            <wp:positionH relativeFrom="column">
              <wp:posOffset>1597660</wp:posOffset>
            </wp:positionH>
            <wp:positionV relativeFrom="paragraph">
              <wp:posOffset>551815</wp:posOffset>
            </wp:positionV>
            <wp:extent cx="2964180" cy="624840"/>
            <wp:effectExtent l="0" t="0" r="7620" b="3810"/>
            <wp:wrapNone/>
            <wp:docPr id="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64180" cy="624840"/>
                    </a:xfrm>
                    <a:prstGeom prst="rect">
                      <a:avLst/>
                    </a:prstGeom>
                    <a:noFill/>
                    <a:ln>
                      <a:noFill/>
                    </a:ln>
                  </pic:spPr>
                </pic:pic>
              </a:graphicData>
            </a:graphic>
          </wp:anchor>
        </w:drawing>
      </w:r>
      <w:r w:rsidRPr="00883399">
        <w:rPr>
          <w:b/>
          <w:sz w:val="22"/>
          <w:szCs w:val="22"/>
        </w:rPr>
        <w:t xml:space="preserve">Example of estimating vented emissions from well completions and well workovers using method 4  - subsection (1) </w:t>
      </w:r>
      <w:r w:rsidRPr="00883399">
        <w:rPr>
          <w:b/>
          <w:i/>
          <w:sz w:val="22"/>
          <w:szCs w:val="22"/>
        </w:rPr>
        <w:t>Vented volume measured for all wells and well types in a basin</w:t>
      </w:r>
    </w:p>
    <w:p w14:paraId="7F200E4F"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22"/>
          <w:szCs w:val="22"/>
        </w:rPr>
      </w:pPr>
      <w:r w:rsidRPr="00883399">
        <w:rPr>
          <w:sz w:val="22"/>
          <w:szCs w:val="22"/>
        </w:rPr>
        <w:t>Where in subsection (1)</w:t>
      </w:r>
    </w:p>
    <w:p w14:paraId="0BD1DF1E"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22"/>
          <w:szCs w:val="22"/>
        </w:rPr>
      </w:pPr>
    </w:p>
    <w:p w14:paraId="0D694377"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b/>
          <w:sz w:val="22"/>
          <w:szCs w:val="22"/>
        </w:rPr>
      </w:pPr>
      <w:r w:rsidRPr="00883399">
        <w:rPr>
          <w:b/>
          <w:sz w:val="22"/>
          <w:szCs w:val="22"/>
        </w:rPr>
        <w:t>Input Data</w:t>
      </w:r>
    </w:p>
    <w:p w14:paraId="1A4DDD3C"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spacing w:before="120"/>
        <w:outlineLvl w:val="0"/>
        <w:rPr>
          <w:sz w:val="22"/>
          <w:szCs w:val="22"/>
        </w:rPr>
      </w:pPr>
      <w:r w:rsidRPr="00883399">
        <w:rPr>
          <w:sz w:val="22"/>
          <w:szCs w:val="22"/>
        </w:rPr>
        <w:t>An example is detailed in the table below of a company performing four well completions during the year in a basin. The company chooses to use the method 4 approach set out in subsection (1) where the vented volume is measured for all four wells. The volume of the flowback gas and gas injected were measured for each well and converted to standard conditions (columns B and C). The methane and carbon dioxide composition of the injected were determined (columns D and E)</w:t>
      </w:r>
    </w:p>
    <w:bookmarkStart w:id="563" w:name="_MON_1433248899"/>
    <w:bookmarkStart w:id="564" w:name="_MON_1433317717"/>
    <w:bookmarkStart w:id="565" w:name="_MON_1433667240"/>
    <w:bookmarkStart w:id="566" w:name="_MON_1433667295"/>
    <w:bookmarkStart w:id="567" w:name="_1433667298"/>
    <w:bookmarkStart w:id="568" w:name="_MON_1433669442"/>
    <w:bookmarkStart w:id="569" w:name="_MON_1433669485"/>
    <w:bookmarkStart w:id="570" w:name="_MON_1433670050"/>
    <w:bookmarkEnd w:id="563"/>
    <w:bookmarkEnd w:id="564"/>
    <w:bookmarkEnd w:id="565"/>
    <w:bookmarkEnd w:id="566"/>
    <w:bookmarkEnd w:id="567"/>
    <w:bookmarkEnd w:id="568"/>
    <w:bookmarkEnd w:id="569"/>
    <w:bookmarkEnd w:id="570"/>
    <w:bookmarkStart w:id="571" w:name="_MON_1433340494"/>
    <w:bookmarkEnd w:id="571"/>
    <w:p w14:paraId="382D18B2"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pPr>
      <w:r w:rsidRPr="00883399">
        <w:object w:dxaOrig="8259" w:dyaOrig="6403" w14:anchorId="3282B99F">
          <v:shape id="_x0000_i1048" type="#_x0000_t75" style="width:414pt;height:318pt" o:ole="">
            <v:imagedata r:id="rId120" o:title=""/>
          </v:shape>
          <o:OLEObject Type="Embed" ProgID="Word.Document.12" ShapeID="_x0000_i1048" DrawAspect="Content" ObjectID="_1594105939" r:id="rId121">
            <o:FieldCodes>\s</o:FieldCodes>
          </o:OLEObject>
        </w:object>
      </w:r>
    </w:p>
    <w:p w14:paraId="35192C99"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shd w:val="clear" w:color="auto" w:fill="BFBFBF" w:themeFill="background1" w:themeFillShade="BF"/>
        <w:outlineLvl w:val="0"/>
        <w:rPr>
          <w:sz w:val="22"/>
          <w:szCs w:val="22"/>
        </w:rPr>
      </w:pPr>
      <w:r w:rsidRPr="00883399">
        <w:rPr>
          <w:sz w:val="22"/>
          <w:szCs w:val="22"/>
        </w:rPr>
        <w:t xml:space="preserve">Step 1  Calculate </w:t>
      </w:r>
      <w:r w:rsidRPr="00883399">
        <w:rPr>
          <w:b/>
          <w:i/>
          <w:sz w:val="22"/>
          <w:szCs w:val="22"/>
        </w:rPr>
        <w:t>VIGG</w:t>
      </w:r>
      <w:r w:rsidRPr="00883399">
        <w:rPr>
          <w:b/>
          <w:i/>
          <w:sz w:val="22"/>
          <w:szCs w:val="22"/>
          <w:vertAlign w:val="subscript"/>
        </w:rPr>
        <w:t>jp</w:t>
      </w:r>
      <w:r w:rsidRPr="00883399">
        <w:rPr>
          <w:b/>
          <w:i/>
          <w:sz w:val="22"/>
          <w:szCs w:val="22"/>
        </w:rPr>
        <w:t xml:space="preserve"> </w:t>
      </w:r>
      <w:r w:rsidRPr="00883399">
        <w:rPr>
          <w:sz w:val="22"/>
          <w:szCs w:val="22"/>
        </w:rPr>
        <w:t>- the volume of CH</w:t>
      </w:r>
      <w:r w:rsidRPr="00883399">
        <w:rPr>
          <w:sz w:val="22"/>
          <w:szCs w:val="22"/>
          <w:vertAlign w:val="subscript"/>
        </w:rPr>
        <w:t>4</w:t>
      </w:r>
      <w:r w:rsidRPr="00883399">
        <w:rPr>
          <w:sz w:val="22"/>
          <w:szCs w:val="22"/>
        </w:rPr>
        <w:t xml:space="preserve"> and CO</w:t>
      </w:r>
      <w:r w:rsidRPr="00883399">
        <w:rPr>
          <w:sz w:val="22"/>
          <w:szCs w:val="22"/>
          <w:vertAlign w:val="subscript"/>
        </w:rPr>
        <w:t>2</w:t>
      </w:r>
      <w:r w:rsidRPr="00883399">
        <w:rPr>
          <w:sz w:val="22"/>
          <w:szCs w:val="22"/>
        </w:rPr>
        <w:t xml:space="preserve"> injected into each well.</w:t>
      </w:r>
    </w:p>
    <w:p w14:paraId="21D0AB72"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22"/>
          <w:szCs w:val="22"/>
        </w:rPr>
      </w:pPr>
      <w:r w:rsidRPr="00883399">
        <w:rPr>
          <w:b/>
          <w:i/>
          <w:sz w:val="22"/>
          <w:szCs w:val="22"/>
        </w:rPr>
        <w:t>VIGG</w:t>
      </w:r>
      <w:r w:rsidRPr="00883399">
        <w:rPr>
          <w:b/>
          <w:i/>
          <w:sz w:val="22"/>
          <w:szCs w:val="22"/>
          <w:vertAlign w:val="subscript"/>
        </w:rPr>
        <w:t>j,p</w:t>
      </w:r>
      <w:r w:rsidRPr="00883399">
        <w:rPr>
          <w:sz w:val="22"/>
          <w:szCs w:val="22"/>
          <w:vertAlign w:val="subscript"/>
        </w:rPr>
        <w:t xml:space="preserve"> </w:t>
      </w:r>
      <w:r w:rsidRPr="00883399">
        <w:rPr>
          <w:sz w:val="22"/>
          <w:szCs w:val="22"/>
        </w:rPr>
        <w:t>is worked in subsection (3) using the following formula:</w:t>
      </w:r>
    </w:p>
    <w:p w14:paraId="5D4E014A"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jc w:val="center"/>
        <w:outlineLvl w:val="0"/>
        <w:rPr>
          <w:sz w:val="22"/>
          <w:szCs w:val="22"/>
        </w:rPr>
      </w:pPr>
      <w:r w:rsidRPr="00883399">
        <w:rPr>
          <w:sz w:val="22"/>
          <w:szCs w:val="22"/>
        </w:rPr>
        <w:lastRenderedPageBreak/>
        <w:t>VI</w:t>
      </w:r>
      <w:r w:rsidRPr="00883399">
        <w:rPr>
          <w:sz w:val="22"/>
          <w:szCs w:val="22"/>
          <w:vertAlign w:val="subscript"/>
        </w:rPr>
        <w:t>p</w:t>
      </w:r>
      <w:r w:rsidRPr="00883399">
        <w:rPr>
          <w:sz w:val="22"/>
          <w:szCs w:val="22"/>
        </w:rPr>
        <w:t xml:space="preserve"> × mol</w:t>
      </w:r>
      <w:r w:rsidRPr="00883399">
        <w:rPr>
          <w:sz w:val="22"/>
          <w:szCs w:val="22"/>
          <w:vertAlign w:val="subscript"/>
        </w:rPr>
        <w:t xml:space="preserve">j,p </w:t>
      </w:r>
      <w:r w:rsidRPr="00883399">
        <w:rPr>
          <w:sz w:val="22"/>
          <w:szCs w:val="22"/>
        </w:rPr>
        <w:t>%</w:t>
      </w:r>
    </w:p>
    <w:p w14:paraId="14945BA9"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22"/>
          <w:szCs w:val="22"/>
        </w:rPr>
      </w:pPr>
      <w:r w:rsidRPr="00883399">
        <w:rPr>
          <w:sz w:val="22"/>
          <w:szCs w:val="22"/>
        </w:rPr>
        <w:t xml:space="preserve">Referring to the table above, </w:t>
      </w:r>
      <w:r w:rsidRPr="00883399">
        <w:rPr>
          <w:b/>
          <w:i/>
          <w:sz w:val="22"/>
          <w:szCs w:val="22"/>
        </w:rPr>
        <w:t>VIGG</w:t>
      </w:r>
      <w:r w:rsidRPr="00883399">
        <w:rPr>
          <w:b/>
          <w:i/>
          <w:sz w:val="22"/>
          <w:szCs w:val="22"/>
          <w:vertAlign w:val="subscript"/>
        </w:rPr>
        <w:t>p</w:t>
      </w:r>
      <w:r w:rsidRPr="00883399">
        <w:rPr>
          <w:sz w:val="22"/>
          <w:szCs w:val="22"/>
        </w:rPr>
        <w:t xml:space="preserve"> for methane and carbon dioxide have been worked out for each well in columns F and G respectively.</w:t>
      </w:r>
    </w:p>
    <w:p w14:paraId="1A8D2BD4"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shd w:val="clear" w:color="auto" w:fill="BFBFBF" w:themeFill="background1" w:themeFillShade="BF"/>
        <w:outlineLvl w:val="0"/>
        <w:rPr>
          <w:sz w:val="22"/>
          <w:szCs w:val="22"/>
        </w:rPr>
      </w:pPr>
      <w:r w:rsidRPr="00883399">
        <w:rPr>
          <w:sz w:val="22"/>
          <w:szCs w:val="22"/>
        </w:rPr>
        <w:t xml:space="preserve">Step 2  Calculate </w:t>
      </w:r>
      <w:r w:rsidRPr="00883399">
        <w:rPr>
          <w:b/>
          <w:i/>
          <w:sz w:val="22"/>
          <w:szCs w:val="22"/>
        </w:rPr>
        <w:t>ES</w:t>
      </w:r>
      <w:r w:rsidRPr="00883399">
        <w:rPr>
          <w:b/>
          <w:i/>
          <w:sz w:val="22"/>
          <w:szCs w:val="22"/>
          <w:vertAlign w:val="subscript"/>
        </w:rPr>
        <w:t>p</w:t>
      </w:r>
      <w:r w:rsidRPr="00883399">
        <w:rPr>
          <w:sz w:val="22"/>
          <w:szCs w:val="22"/>
        </w:rPr>
        <w:t xml:space="preserve"> ; the volume of CH</w:t>
      </w:r>
      <w:r w:rsidRPr="00883399">
        <w:rPr>
          <w:sz w:val="22"/>
          <w:szCs w:val="22"/>
          <w:vertAlign w:val="subscript"/>
        </w:rPr>
        <w:t>4</w:t>
      </w:r>
      <w:r w:rsidRPr="00883399">
        <w:rPr>
          <w:sz w:val="22"/>
          <w:szCs w:val="22"/>
        </w:rPr>
        <w:t xml:space="preserve"> vented from strata for each well.</w:t>
      </w:r>
    </w:p>
    <w:p w14:paraId="34D717CB"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22"/>
          <w:szCs w:val="22"/>
        </w:rPr>
      </w:pPr>
      <w:r w:rsidRPr="00883399">
        <w:rPr>
          <w:b/>
          <w:i/>
          <w:sz w:val="22"/>
          <w:szCs w:val="22"/>
        </w:rPr>
        <w:t>ES</w:t>
      </w:r>
      <w:r w:rsidRPr="00883399">
        <w:rPr>
          <w:b/>
          <w:i/>
          <w:sz w:val="22"/>
          <w:szCs w:val="22"/>
          <w:vertAlign w:val="subscript"/>
        </w:rPr>
        <w:t>p</w:t>
      </w:r>
      <w:r w:rsidRPr="00883399">
        <w:rPr>
          <w:sz w:val="22"/>
          <w:szCs w:val="22"/>
        </w:rPr>
        <w:t xml:space="preserve"> is worked in subsection (2) using the following formula:</w:t>
      </w:r>
    </w:p>
    <w:p w14:paraId="3AB88DEE"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jc w:val="center"/>
        <w:outlineLvl w:val="0"/>
        <w:rPr>
          <w:sz w:val="22"/>
          <w:szCs w:val="22"/>
        </w:rPr>
      </w:pPr>
      <w:r w:rsidRPr="00883399">
        <w:rPr>
          <w:sz w:val="22"/>
          <w:szCs w:val="22"/>
        </w:rPr>
        <w:t>FV</w:t>
      </w:r>
      <w:r w:rsidRPr="00883399">
        <w:rPr>
          <w:sz w:val="22"/>
          <w:szCs w:val="22"/>
          <w:vertAlign w:val="subscript"/>
        </w:rPr>
        <w:t>p</w:t>
      </w:r>
      <w:r w:rsidRPr="00883399">
        <w:rPr>
          <w:sz w:val="22"/>
          <w:szCs w:val="22"/>
        </w:rPr>
        <w:t xml:space="preserve"> - VI</w:t>
      </w:r>
      <w:r w:rsidRPr="00883399">
        <w:rPr>
          <w:sz w:val="22"/>
          <w:szCs w:val="22"/>
          <w:vertAlign w:val="subscript"/>
        </w:rPr>
        <w:t>p</w:t>
      </w:r>
    </w:p>
    <w:p w14:paraId="5529AC5D"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22"/>
          <w:szCs w:val="22"/>
        </w:rPr>
      </w:pPr>
      <w:r w:rsidRPr="00883399">
        <w:rPr>
          <w:sz w:val="22"/>
          <w:szCs w:val="22"/>
        </w:rPr>
        <w:t xml:space="preserve">Referring to the table above, </w:t>
      </w:r>
      <w:r w:rsidRPr="00883399">
        <w:rPr>
          <w:b/>
          <w:i/>
          <w:sz w:val="22"/>
          <w:szCs w:val="22"/>
        </w:rPr>
        <w:t>ES</w:t>
      </w:r>
      <w:r w:rsidRPr="00883399">
        <w:rPr>
          <w:b/>
          <w:i/>
          <w:sz w:val="22"/>
          <w:szCs w:val="22"/>
          <w:vertAlign w:val="subscript"/>
        </w:rPr>
        <w:t>p</w:t>
      </w:r>
      <w:r w:rsidRPr="00883399">
        <w:rPr>
          <w:sz w:val="22"/>
          <w:szCs w:val="22"/>
        </w:rPr>
        <w:t xml:space="preserve"> has been worked out for each well in column H.</w:t>
      </w:r>
    </w:p>
    <w:p w14:paraId="3AC661DF"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shd w:val="clear" w:color="auto" w:fill="BFBFBF" w:themeFill="background1" w:themeFillShade="BF"/>
        <w:outlineLvl w:val="0"/>
        <w:rPr>
          <w:sz w:val="22"/>
          <w:szCs w:val="22"/>
        </w:rPr>
      </w:pPr>
      <w:r w:rsidRPr="00883399">
        <w:rPr>
          <w:sz w:val="22"/>
          <w:szCs w:val="22"/>
        </w:rPr>
        <w:t xml:space="preserve">Step 3  Calculate total vented methane and carbon dioxide volumes for each well: </w:t>
      </w:r>
    </w:p>
    <w:p w14:paraId="67A58C0A"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22"/>
          <w:szCs w:val="22"/>
        </w:rPr>
      </w:pPr>
      <w:r w:rsidRPr="00883399">
        <w:rPr>
          <w:sz w:val="22"/>
          <w:szCs w:val="22"/>
        </w:rPr>
        <w:t xml:space="preserve">For methane (column I) = </w:t>
      </w:r>
      <w:r w:rsidRPr="00883399">
        <w:rPr>
          <w:b/>
          <w:i/>
          <w:sz w:val="22"/>
          <w:szCs w:val="22"/>
        </w:rPr>
        <w:t>ES</w:t>
      </w:r>
      <w:r w:rsidRPr="00883399">
        <w:rPr>
          <w:b/>
          <w:i/>
          <w:sz w:val="22"/>
          <w:szCs w:val="22"/>
          <w:vertAlign w:val="subscript"/>
        </w:rPr>
        <w:t>p</w:t>
      </w:r>
      <w:r w:rsidRPr="00883399">
        <w:rPr>
          <w:b/>
          <w:i/>
          <w:sz w:val="22"/>
          <w:szCs w:val="22"/>
        </w:rPr>
        <w:t xml:space="preserve"> </w:t>
      </w:r>
      <w:r w:rsidRPr="00883399">
        <w:rPr>
          <w:sz w:val="22"/>
          <w:szCs w:val="22"/>
        </w:rPr>
        <w:t>(column H)</w:t>
      </w:r>
      <w:r w:rsidRPr="00883399">
        <w:rPr>
          <w:b/>
          <w:i/>
          <w:sz w:val="22"/>
          <w:szCs w:val="22"/>
        </w:rPr>
        <w:t xml:space="preserve"> + VIGG</w:t>
      </w:r>
      <w:r w:rsidRPr="00883399">
        <w:rPr>
          <w:b/>
          <w:i/>
          <w:sz w:val="22"/>
          <w:szCs w:val="22"/>
          <w:vertAlign w:val="subscript"/>
        </w:rPr>
        <w:t>p</w:t>
      </w:r>
      <w:r w:rsidRPr="00883399">
        <w:rPr>
          <w:b/>
          <w:i/>
          <w:sz w:val="22"/>
          <w:szCs w:val="22"/>
        </w:rPr>
        <w:t xml:space="preserve"> </w:t>
      </w:r>
      <w:r w:rsidRPr="00883399">
        <w:rPr>
          <w:sz w:val="22"/>
          <w:szCs w:val="22"/>
        </w:rPr>
        <w:t>(column F)</w:t>
      </w:r>
    </w:p>
    <w:p w14:paraId="54FA4847"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22"/>
          <w:szCs w:val="22"/>
        </w:rPr>
      </w:pPr>
      <w:r w:rsidRPr="00883399">
        <w:rPr>
          <w:sz w:val="22"/>
          <w:szCs w:val="22"/>
        </w:rPr>
        <w:t xml:space="preserve">For carbon dioxide (column J) = </w:t>
      </w:r>
      <w:r w:rsidRPr="00883399">
        <w:rPr>
          <w:b/>
          <w:i/>
          <w:sz w:val="22"/>
          <w:szCs w:val="22"/>
        </w:rPr>
        <w:t>VIGG</w:t>
      </w:r>
      <w:r w:rsidRPr="00883399">
        <w:rPr>
          <w:b/>
          <w:i/>
          <w:sz w:val="22"/>
          <w:szCs w:val="22"/>
          <w:vertAlign w:val="subscript"/>
        </w:rPr>
        <w:t>p</w:t>
      </w:r>
      <w:r w:rsidRPr="00883399">
        <w:rPr>
          <w:b/>
          <w:i/>
          <w:sz w:val="22"/>
          <w:szCs w:val="22"/>
        </w:rPr>
        <w:t xml:space="preserve"> </w:t>
      </w:r>
      <w:r w:rsidRPr="00883399">
        <w:rPr>
          <w:sz w:val="22"/>
          <w:szCs w:val="22"/>
        </w:rPr>
        <w:t>(column G)</w:t>
      </w:r>
    </w:p>
    <w:bookmarkStart w:id="572" w:name="_1433669749"/>
    <w:bookmarkStart w:id="573" w:name="_MON_1433251072"/>
    <w:bookmarkEnd w:id="572"/>
    <w:bookmarkEnd w:id="573"/>
    <w:bookmarkStart w:id="574" w:name="_MON_1433317658"/>
    <w:bookmarkEnd w:id="574"/>
    <w:p w14:paraId="20B3B42C"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pPr>
      <w:r w:rsidRPr="00883399">
        <w:object w:dxaOrig="7269" w:dyaOrig="6545" w14:anchorId="5C17DA5B">
          <v:shape id="_x0000_i1049" type="#_x0000_t75" style="width:362.25pt;height:328.5pt" o:ole="">
            <v:imagedata r:id="rId122" o:title=""/>
          </v:shape>
          <o:OLEObject Type="Embed" ProgID="Word.Document.12" ShapeID="_x0000_i1049" DrawAspect="Content" ObjectID="_1594105940" r:id="rId123">
            <o:FieldCodes>\s</o:FieldCodes>
          </o:OLEObject>
        </w:object>
      </w:r>
    </w:p>
    <w:p w14:paraId="2913B070"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shd w:val="clear" w:color="auto" w:fill="BFBFBF" w:themeFill="background1" w:themeFillShade="BF"/>
        <w:outlineLvl w:val="0"/>
        <w:rPr>
          <w:sz w:val="22"/>
          <w:szCs w:val="22"/>
        </w:rPr>
      </w:pPr>
      <w:r w:rsidRPr="00883399">
        <w:rPr>
          <w:sz w:val="22"/>
          <w:szCs w:val="22"/>
        </w:rPr>
        <w:lastRenderedPageBreak/>
        <w:t xml:space="preserve">Step 4  Calculate final methane and carbon dioxide emissions for all wells: </w:t>
      </w:r>
    </w:p>
    <w:p w14:paraId="736471DB"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22"/>
          <w:szCs w:val="22"/>
        </w:rPr>
      </w:pPr>
      <w:r w:rsidRPr="00883399">
        <w:rPr>
          <w:sz w:val="22"/>
          <w:szCs w:val="22"/>
        </w:rPr>
        <w:t>Sum emissions for all wells by gas type and convert from cubic metres to tonnes CO</w:t>
      </w:r>
      <w:r w:rsidRPr="00883399">
        <w:rPr>
          <w:sz w:val="22"/>
          <w:szCs w:val="22"/>
          <w:vertAlign w:val="subscript"/>
        </w:rPr>
        <w:t>2</w:t>
      </w:r>
      <w:r w:rsidRPr="00883399">
        <w:rPr>
          <w:sz w:val="22"/>
          <w:szCs w:val="22"/>
        </w:rPr>
        <w:t>-e.</w:t>
      </w:r>
    </w:p>
    <w:p w14:paraId="6F70CF19"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426"/>
        <w:outlineLvl w:val="0"/>
        <w:rPr>
          <w:sz w:val="22"/>
          <w:szCs w:val="22"/>
          <w:u w:val="single"/>
        </w:rPr>
      </w:pPr>
      <w:r w:rsidRPr="00883399">
        <w:rPr>
          <w:sz w:val="22"/>
          <w:szCs w:val="22"/>
          <w:u w:val="single"/>
        </w:rPr>
        <w:t>For methane:</w:t>
      </w:r>
    </w:p>
    <w:p w14:paraId="55C5EBB1"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709"/>
        <w:outlineLvl w:val="0"/>
        <w:rPr>
          <w:sz w:val="22"/>
          <w:szCs w:val="22"/>
        </w:rPr>
      </w:pPr>
      <w:r w:rsidRPr="00883399">
        <w:rPr>
          <w:sz w:val="22"/>
          <w:szCs w:val="22"/>
        </w:rPr>
        <w:t>Sum column I</w:t>
      </w:r>
    </w:p>
    <w:p w14:paraId="24EFB7A6"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720"/>
        <w:outlineLvl w:val="0"/>
        <w:rPr>
          <w:sz w:val="22"/>
          <w:szCs w:val="22"/>
        </w:rPr>
      </w:pPr>
      <w:r w:rsidRPr="00883399">
        <w:rPr>
          <w:sz w:val="22"/>
          <w:szCs w:val="22"/>
        </w:rPr>
        <w:t>= 20.4 + 46.25 + 26.2 + 14.8</w:t>
      </w:r>
    </w:p>
    <w:p w14:paraId="1B6526AF"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firstLine="720"/>
        <w:outlineLvl w:val="0"/>
        <w:rPr>
          <w:sz w:val="22"/>
          <w:szCs w:val="22"/>
        </w:rPr>
      </w:pPr>
      <w:r w:rsidRPr="00883399">
        <w:rPr>
          <w:sz w:val="22"/>
          <w:szCs w:val="22"/>
        </w:rPr>
        <w:t>= 107.65 m</w:t>
      </w:r>
      <w:r w:rsidRPr="00883399">
        <w:rPr>
          <w:sz w:val="22"/>
          <w:szCs w:val="22"/>
          <w:vertAlign w:val="superscript"/>
        </w:rPr>
        <w:t>3</w:t>
      </w:r>
    </w:p>
    <w:p w14:paraId="1289D714"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ind w:firstLine="720"/>
        <w:outlineLvl w:val="0"/>
        <w:rPr>
          <w:sz w:val="22"/>
          <w:szCs w:val="22"/>
        </w:rPr>
      </w:pPr>
      <w:r w:rsidRPr="00883399">
        <w:rPr>
          <w:sz w:val="22"/>
          <w:szCs w:val="22"/>
        </w:rPr>
        <w:t xml:space="preserve">Methane conversion factor </w:t>
      </w:r>
      <w:r w:rsidRPr="00883399">
        <w:rPr>
          <w:b/>
          <w:bCs/>
          <w:i/>
          <w:iCs/>
          <w:sz w:val="22"/>
          <w:szCs w:val="22"/>
        </w:rPr>
        <w:t>γ</w:t>
      </w:r>
      <w:r w:rsidRPr="00883399">
        <w:rPr>
          <w:b/>
          <w:bCs/>
          <w:i/>
          <w:iCs/>
          <w:sz w:val="22"/>
          <w:szCs w:val="22"/>
          <w:vertAlign w:val="subscript"/>
        </w:rPr>
        <w:t xml:space="preserve">j </w:t>
      </w:r>
      <w:r w:rsidRPr="00883399">
        <w:rPr>
          <w:bCs/>
          <w:iCs/>
          <w:sz w:val="22"/>
          <w:szCs w:val="22"/>
        </w:rPr>
        <w:t>= 6.784 × 10</w:t>
      </w:r>
      <w:r w:rsidRPr="00883399">
        <w:rPr>
          <w:bCs/>
          <w:iCs/>
          <w:sz w:val="22"/>
          <w:szCs w:val="22"/>
          <w:vertAlign w:val="superscript"/>
        </w:rPr>
        <w:t>-4</w:t>
      </w:r>
      <w:r w:rsidRPr="00883399">
        <w:rPr>
          <w:bCs/>
          <w:iCs/>
          <w:sz w:val="22"/>
          <w:szCs w:val="22"/>
        </w:rPr>
        <w:t xml:space="preserve"> × 25</w:t>
      </w:r>
      <w:r w:rsidRPr="00883399">
        <w:rPr>
          <w:sz w:val="22"/>
          <w:szCs w:val="22"/>
        </w:rPr>
        <w:t xml:space="preserve"> </w:t>
      </w:r>
    </w:p>
    <w:p w14:paraId="4D0CC307"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ind w:firstLine="720"/>
        <w:outlineLvl w:val="0"/>
        <w:rPr>
          <w:bCs/>
          <w:iCs/>
          <w:sz w:val="22"/>
          <w:szCs w:val="22"/>
        </w:rPr>
      </w:pPr>
      <w:r w:rsidRPr="00883399">
        <w:rPr>
          <w:sz w:val="22"/>
          <w:szCs w:val="22"/>
        </w:rPr>
        <w:t xml:space="preserve">= 107.65 x </w:t>
      </w:r>
      <w:r w:rsidRPr="00883399">
        <w:rPr>
          <w:bCs/>
          <w:iCs/>
          <w:sz w:val="22"/>
          <w:szCs w:val="22"/>
        </w:rPr>
        <w:t>6.784 × 10</w:t>
      </w:r>
      <w:r w:rsidRPr="00883399">
        <w:rPr>
          <w:bCs/>
          <w:iCs/>
          <w:sz w:val="22"/>
          <w:szCs w:val="22"/>
          <w:vertAlign w:val="superscript"/>
        </w:rPr>
        <w:t>-4</w:t>
      </w:r>
      <w:r w:rsidRPr="00883399">
        <w:rPr>
          <w:bCs/>
          <w:iCs/>
          <w:sz w:val="22"/>
          <w:szCs w:val="22"/>
        </w:rPr>
        <w:t xml:space="preserve"> × 25</w:t>
      </w:r>
    </w:p>
    <w:p w14:paraId="7DA2B62F"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ind w:firstLine="720"/>
        <w:outlineLvl w:val="0"/>
        <w:rPr>
          <w:sz w:val="22"/>
          <w:szCs w:val="22"/>
        </w:rPr>
      </w:pPr>
      <w:r w:rsidRPr="00883399">
        <w:rPr>
          <w:bCs/>
          <w:iCs/>
          <w:sz w:val="22"/>
          <w:szCs w:val="22"/>
        </w:rPr>
        <w:t xml:space="preserve">= 1.8257 tonnes </w:t>
      </w:r>
      <w:r w:rsidRPr="00883399">
        <w:rPr>
          <w:sz w:val="22"/>
          <w:szCs w:val="22"/>
        </w:rPr>
        <w:t>CO</w:t>
      </w:r>
      <w:r w:rsidRPr="00883399">
        <w:rPr>
          <w:sz w:val="22"/>
          <w:szCs w:val="22"/>
          <w:vertAlign w:val="subscript"/>
        </w:rPr>
        <w:t>2</w:t>
      </w:r>
      <w:r w:rsidRPr="00883399">
        <w:rPr>
          <w:sz w:val="22"/>
          <w:szCs w:val="22"/>
        </w:rPr>
        <w:t>-e</w:t>
      </w:r>
    </w:p>
    <w:p w14:paraId="663436B0"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ind w:firstLine="426"/>
        <w:outlineLvl w:val="0"/>
        <w:rPr>
          <w:sz w:val="22"/>
          <w:szCs w:val="22"/>
          <w:u w:val="single"/>
        </w:rPr>
      </w:pPr>
      <w:r w:rsidRPr="00883399">
        <w:rPr>
          <w:sz w:val="22"/>
          <w:szCs w:val="22"/>
          <w:u w:val="single"/>
        </w:rPr>
        <w:t>For carbon dioxide:</w:t>
      </w:r>
    </w:p>
    <w:p w14:paraId="7C22E376"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ind w:firstLine="709"/>
        <w:outlineLvl w:val="0"/>
        <w:rPr>
          <w:sz w:val="22"/>
          <w:szCs w:val="22"/>
        </w:rPr>
      </w:pPr>
      <w:r w:rsidRPr="00883399">
        <w:rPr>
          <w:sz w:val="22"/>
          <w:szCs w:val="22"/>
        </w:rPr>
        <w:t>Sum column J</w:t>
      </w:r>
    </w:p>
    <w:p w14:paraId="617D2ACA"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ind w:firstLine="709"/>
        <w:outlineLvl w:val="0"/>
        <w:rPr>
          <w:sz w:val="22"/>
          <w:szCs w:val="22"/>
        </w:rPr>
      </w:pPr>
      <w:r w:rsidRPr="00883399">
        <w:rPr>
          <w:sz w:val="22"/>
          <w:szCs w:val="22"/>
        </w:rPr>
        <w:t>= 1.6 + 3.75 + 0.8 + 0.2</w:t>
      </w:r>
    </w:p>
    <w:p w14:paraId="19DF6A37"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ind w:firstLine="709"/>
        <w:outlineLvl w:val="0"/>
        <w:rPr>
          <w:sz w:val="22"/>
          <w:szCs w:val="22"/>
        </w:rPr>
      </w:pPr>
      <w:r w:rsidRPr="00883399">
        <w:rPr>
          <w:sz w:val="22"/>
          <w:szCs w:val="22"/>
        </w:rPr>
        <w:t>= 6.</w:t>
      </w:r>
      <w:r w:rsidR="003E74E4" w:rsidRPr="00883399">
        <w:rPr>
          <w:sz w:val="22"/>
          <w:szCs w:val="22"/>
        </w:rPr>
        <w:t>3</w:t>
      </w:r>
      <w:r w:rsidRPr="00883399">
        <w:rPr>
          <w:sz w:val="22"/>
          <w:szCs w:val="22"/>
        </w:rPr>
        <w:t>5 m</w:t>
      </w:r>
      <w:r w:rsidRPr="00883399">
        <w:rPr>
          <w:sz w:val="22"/>
          <w:szCs w:val="22"/>
          <w:vertAlign w:val="superscript"/>
        </w:rPr>
        <w:t>3</w:t>
      </w:r>
    </w:p>
    <w:p w14:paraId="2AFA89DD"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ind w:firstLine="709"/>
        <w:outlineLvl w:val="0"/>
        <w:rPr>
          <w:sz w:val="22"/>
          <w:szCs w:val="22"/>
        </w:rPr>
      </w:pPr>
      <w:r w:rsidRPr="00883399">
        <w:rPr>
          <w:sz w:val="22"/>
          <w:szCs w:val="22"/>
        </w:rPr>
        <w:t xml:space="preserve">Carbon dioxide conversion factor </w:t>
      </w:r>
      <w:r w:rsidRPr="00883399">
        <w:rPr>
          <w:b/>
          <w:bCs/>
          <w:i/>
          <w:iCs/>
          <w:sz w:val="22"/>
          <w:szCs w:val="22"/>
        </w:rPr>
        <w:t>γ</w:t>
      </w:r>
      <w:r w:rsidRPr="00883399">
        <w:rPr>
          <w:b/>
          <w:bCs/>
          <w:i/>
          <w:iCs/>
          <w:sz w:val="22"/>
          <w:szCs w:val="22"/>
          <w:vertAlign w:val="subscript"/>
        </w:rPr>
        <w:t xml:space="preserve">j </w:t>
      </w:r>
      <w:r w:rsidRPr="00883399">
        <w:rPr>
          <w:bCs/>
          <w:iCs/>
          <w:sz w:val="22"/>
          <w:szCs w:val="22"/>
        </w:rPr>
        <w:t xml:space="preserve">= </w:t>
      </w:r>
      <w:r w:rsidRPr="00883399">
        <w:rPr>
          <w:sz w:val="22"/>
          <w:szCs w:val="22"/>
        </w:rPr>
        <w:t xml:space="preserve"> </w:t>
      </w:r>
      <w:r w:rsidRPr="00883399">
        <w:rPr>
          <w:bCs/>
          <w:iCs/>
          <w:sz w:val="22"/>
          <w:szCs w:val="22"/>
        </w:rPr>
        <w:t>1.861 × 10</w:t>
      </w:r>
      <w:r w:rsidRPr="00883399">
        <w:rPr>
          <w:bCs/>
          <w:iCs/>
          <w:sz w:val="22"/>
          <w:szCs w:val="22"/>
          <w:vertAlign w:val="superscript"/>
        </w:rPr>
        <w:t>-3</w:t>
      </w:r>
    </w:p>
    <w:p w14:paraId="68879A81"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ind w:firstLine="709"/>
        <w:outlineLvl w:val="0"/>
        <w:rPr>
          <w:bCs/>
          <w:iCs/>
          <w:sz w:val="22"/>
          <w:szCs w:val="22"/>
        </w:rPr>
      </w:pPr>
      <w:r w:rsidRPr="00883399">
        <w:rPr>
          <w:sz w:val="22"/>
          <w:szCs w:val="22"/>
        </w:rPr>
        <w:t>= 6.</w:t>
      </w:r>
      <w:r w:rsidR="003E74E4" w:rsidRPr="00883399">
        <w:rPr>
          <w:sz w:val="22"/>
          <w:szCs w:val="22"/>
        </w:rPr>
        <w:t>3</w:t>
      </w:r>
      <w:r w:rsidRPr="00883399">
        <w:rPr>
          <w:sz w:val="22"/>
          <w:szCs w:val="22"/>
        </w:rPr>
        <w:t xml:space="preserve">5 x </w:t>
      </w:r>
      <w:r w:rsidRPr="00883399">
        <w:rPr>
          <w:bCs/>
          <w:iCs/>
          <w:sz w:val="22"/>
          <w:szCs w:val="22"/>
        </w:rPr>
        <w:t>1.861 × 10</w:t>
      </w:r>
      <w:r w:rsidRPr="00883399">
        <w:rPr>
          <w:bCs/>
          <w:iCs/>
          <w:sz w:val="22"/>
          <w:szCs w:val="22"/>
          <w:vertAlign w:val="superscript"/>
        </w:rPr>
        <w:t>-3</w:t>
      </w:r>
    </w:p>
    <w:p w14:paraId="353F420C"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ind w:firstLine="709"/>
        <w:outlineLvl w:val="0"/>
        <w:rPr>
          <w:sz w:val="22"/>
          <w:szCs w:val="22"/>
        </w:rPr>
      </w:pPr>
      <w:r w:rsidRPr="00883399">
        <w:rPr>
          <w:bCs/>
          <w:iCs/>
          <w:sz w:val="22"/>
          <w:szCs w:val="22"/>
        </w:rPr>
        <w:t xml:space="preserve">= 0.012 tonnes </w:t>
      </w:r>
      <w:r w:rsidRPr="00883399">
        <w:rPr>
          <w:sz w:val="22"/>
          <w:szCs w:val="22"/>
        </w:rPr>
        <w:t>CO</w:t>
      </w:r>
      <w:r w:rsidRPr="00883399">
        <w:rPr>
          <w:sz w:val="22"/>
          <w:szCs w:val="22"/>
          <w:vertAlign w:val="subscript"/>
        </w:rPr>
        <w:t>2</w:t>
      </w:r>
      <w:r w:rsidRPr="00883399">
        <w:rPr>
          <w:sz w:val="22"/>
          <w:szCs w:val="22"/>
        </w:rPr>
        <w:t>-e</w:t>
      </w:r>
    </w:p>
    <w:p w14:paraId="56D59183"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outlineLvl w:val="0"/>
        <w:rPr>
          <w:sz w:val="22"/>
          <w:szCs w:val="22"/>
        </w:rPr>
      </w:pPr>
      <w:r w:rsidRPr="00883399">
        <w:rPr>
          <w:sz w:val="22"/>
          <w:szCs w:val="22"/>
        </w:rPr>
        <w:t>Therefore: total vented emissions from well completions performed to the four wells during the year are:</w:t>
      </w:r>
    </w:p>
    <w:p w14:paraId="5A3C2F8C"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outlineLvl w:val="0"/>
        <w:rPr>
          <w:b/>
        </w:rPr>
      </w:pPr>
      <w:r w:rsidRPr="00883399">
        <w:rPr>
          <w:b/>
        </w:rPr>
        <w:t xml:space="preserve">Methane = </w:t>
      </w:r>
      <w:r w:rsidRPr="00883399">
        <w:rPr>
          <w:b/>
          <w:bCs/>
          <w:iCs/>
        </w:rPr>
        <w:t xml:space="preserve">1.8257 tonnes </w:t>
      </w:r>
      <w:r w:rsidRPr="00883399">
        <w:rPr>
          <w:b/>
        </w:rPr>
        <w:t>CO</w:t>
      </w:r>
      <w:r w:rsidRPr="00883399">
        <w:rPr>
          <w:b/>
          <w:vertAlign w:val="subscript"/>
        </w:rPr>
        <w:t>2</w:t>
      </w:r>
      <w:r w:rsidRPr="00883399">
        <w:rPr>
          <w:b/>
        </w:rPr>
        <w:t>-e</w:t>
      </w:r>
    </w:p>
    <w:p w14:paraId="51F8E959"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outlineLvl w:val="0"/>
        <w:rPr>
          <w:b/>
        </w:rPr>
      </w:pPr>
      <w:r w:rsidRPr="00883399">
        <w:rPr>
          <w:b/>
        </w:rPr>
        <w:t xml:space="preserve">Carbon dioxide = </w:t>
      </w:r>
      <w:r w:rsidRPr="00883399">
        <w:rPr>
          <w:b/>
          <w:bCs/>
          <w:iCs/>
        </w:rPr>
        <w:t xml:space="preserve">0.012 tonnes </w:t>
      </w:r>
      <w:r w:rsidRPr="00883399">
        <w:rPr>
          <w:b/>
        </w:rPr>
        <w:t>CO</w:t>
      </w:r>
      <w:r w:rsidRPr="00883399">
        <w:rPr>
          <w:b/>
          <w:vertAlign w:val="subscript"/>
        </w:rPr>
        <w:t>2</w:t>
      </w:r>
      <w:r w:rsidRPr="00883399">
        <w:rPr>
          <w:b/>
        </w:rPr>
        <w:t>-e</w:t>
      </w:r>
    </w:p>
    <w:p w14:paraId="551CCCDA" w14:textId="77777777" w:rsidR="00872C03" w:rsidRPr="00883399" w:rsidRDefault="00872C03" w:rsidP="00872C03">
      <w:r w:rsidRPr="00883399">
        <w:br w:type="page"/>
      </w:r>
    </w:p>
    <w:p w14:paraId="4CEBB903"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b/>
          <w:sz w:val="22"/>
          <w:szCs w:val="22"/>
        </w:rPr>
      </w:pPr>
      <w:r w:rsidRPr="00883399">
        <w:rPr>
          <w:b/>
          <w:sz w:val="22"/>
          <w:szCs w:val="22"/>
        </w:rPr>
        <w:lastRenderedPageBreak/>
        <w:t xml:space="preserve">Example of estimating vented emissions from well completions and well workovers using method 4  - subsection (1) </w:t>
      </w:r>
      <w:r w:rsidRPr="00883399">
        <w:rPr>
          <w:b/>
          <w:i/>
          <w:sz w:val="22"/>
          <w:szCs w:val="22"/>
        </w:rPr>
        <w:t>Vented volume measured for a sample of wells and well types in a basin</w:t>
      </w:r>
    </w:p>
    <w:p w14:paraId="0A257E90"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22"/>
          <w:szCs w:val="22"/>
        </w:rPr>
      </w:pPr>
      <w:r w:rsidRPr="00883399">
        <w:rPr>
          <w:sz w:val="22"/>
          <w:szCs w:val="22"/>
        </w:rPr>
        <w:t>Where in subsection (4)</w:t>
      </w:r>
    </w:p>
    <w:p w14:paraId="5B74FEF3"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jc w:val="center"/>
        <w:outlineLvl w:val="0"/>
        <w:rPr>
          <w:sz w:val="22"/>
          <w:szCs w:val="22"/>
        </w:rPr>
      </w:pPr>
      <w:r w:rsidRPr="00883399">
        <w:rPr>
          <w:position w:val="-28"/>
        </w:rPr>
        <w:object w:dxaOrig="4020" w:dyaOrig="660" w14:anchorId="1A20CDD8">
          <v:shape id="_x0000_i1050" type="#_x0000_t75" style="width:272.25pt;height:44.25pt" o:ole="">
            <v:imagedata r:id="rId112" o:title=""/>
          </v:shape>
          <o:OLEObject Type="Embed" ProgID="Equation.DSMT4" ShapeID="_x0000_i1050" DrawAspect="Content" ObjectID="_1594105941" r:id="rId124"/>
        </w:object>
      </w:r>
    </w:p>
    <w:p w14:paraId="3265A9AA"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22"/>
          <w:szCs w:val="22"/>
        </w:rPr>
      </w:pPr>
    </w:p>
    <w:p w14:paraId="012A9C21"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b/>
          <w:sz w:val="22"/>
          <w:szCs w:val="22"/>
        </w:rPr>
      </w:pPr>
      <w:r w:rsidRPr="00883399">
        <w:rPr>
          <w:b/>
          <w:sz w:val="22"/>
          <w:szCs w:val="22"/>
        </w:rPr>
        <w:t>Input Data</w:t>
      </w:r>
    </w:p>
    <w:p w14:paraId="5AB44865"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22"/>
          <w:szCs w:val="22"/>
        </w:rPr>
      </w:pPr>
      <w:r w:rsidRPr="00883399">
        <w:rPr>
          <w:sz w:val="22"/>
          <w:szCs w:val="22"/>
        </w:rPr>
        <w:t xml:space="preserve">An example is detailed in the table below of a company performing four well completions during the year in a basin. The company chooses to use the method 4 approach set out in subsection (4) where the vented volume is estimated using the measurement of flowback and production rate within a well sampling framework. </w:t>
      </w:r>
    </w:p>
    <w:p w14:paraId="514A438D"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22"/>
          <w:szCs w:val="22"/>
        </w:rPr>
      </w:pPr>
      <w:r w:rsidRPr="00883399">
        <w:rPr>
          <w:sz w:val="22"/>
          <w:szCs w:val="22"/>
        </w:rPr>
        <w:t>The average rate of flowback gas per well completion (</w:t>
      </w:r>
      <w:r w:rsidRPr="00883399">
        <w:rPr>
          <w:b/>
          <w:i/>
        </w:rPr>
        <w:t>FR</w:t>
      </w:r>
      <w:r w:rsidRPr="00883399">
        <w:rPr>
          <w:b/>
          <w:i/>
          <w:vertAlign w:val="subscript"/>
        </w:rPr>
        <w:t>p(bt)</w:t>
      </w:r>
      <w:r w:rsidRPr="00883399">
        <w:t xml:space="preserve"> ) </w:t>
      </w:r>
      <w:r w:rsidRPr="00883399">
        <w:rPr>
          <w:sz w:val="22"/>
          <w:szCs w:val="22"/>
        </w:rPr>
        <w:t>and the average 30 day production rate per well (</w:t>
      </w:r>
      <w:r w:rsidRPr="00883399">
        <w:rPr>
          <w:b/>
          <w:i/>
        </w:rPr>
        <w:t>PR</w:t>
      </w:r>
      <w:r w:rsidRPr="00883399">
        <w:rPr>
          <w:b/>
          <w:i/>
          <w:vertAlign w:val="subscript"/>
        </w:rPr>
        <w:t>p(bt)</w:t>
      </w:r>
      <w:r w:rsidRPr="00883399">
        <w:t xml:space="preserve"> ) </w:t>
      </w:r>
      <w:r w:rsidRPr="00883399">
        <w:rPr>
          <w:sz w:val="22"/>
          <w:szCs w:val="22"/>
        </w:rPr>
        <w:t xml:space="preserve">were deterimined by measurement (columns B and C). </w:t>
      </w:r>
    </w:p>
    <w:p w14:paraId="290E5D01"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22"/>
          <w:szCs w:val="22"/>
        </w:rPr>
      </w:pPr>
      <w:r w:rsidRPr="00883399">
        <w:rPr>
          <w:sz w:val="22"/>
          <w:szCs w:val="22"/>
        </w:rPr>
        <w:t>The total number of hours of flowback for the well completion (</w:t>
      </w:r>
      <w:r w:rsidRPr="00883399">
        <w:rPr>
          <w:b/>
          <w:i/>
        </w:rPr>
        <w:t>T</w:t>
      </w:r>
      <w:r w:rsidRPr="00883399">
        <w:rPr>
          <w:b/>
          <w:i/>
          <w:vertAlign w:val="subscript"/>
        </w:rPr>
        <w:t>p</w:t>
      </w:r>
      <w:r w:rsidRPr="00883399">
        <w:t xml:space="preserve"> ) </w:t>
      </w:r>
      <w:r w:rsidRPr="00883399">
        <w:rPr>
          <w:sz w:val="22"/>
          <w:szCs w:val="22"/>
        </w:rPr>
        <w:t>were recorded (column D).</w:t>
      </w:r>
    </w:p>
    <w:p w14:paraId="2712AE9B"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22"/>
          <w:szCs w:val="22"/>
        </w:rPr>
      </w:pPr>
      <w:r w:rsidRPr="00883399">
        <w:rPr>
          <w:sz w:val="22"/>
          <w:szCs w:val="22"/>
        </w:rPr>
        <w:t>The volumes of gas injected were measured for each well (</w:t>
      </w:r>
      <w:r w:rsidRPr="00883399">
        <w:rPr>
          <w:b/>
          <w:i/>
        </w:rPr>
        <w:t>VI</w:t>
      </w:r>
      <w:r w:rsidRPr="00883399">
        <w:rPr>
          <w:b/>
          <w:i/>
          <w:vertAlign w:val="subscript"/>
        </w:rPr>
        <w:t>p</w:t>
      </w:r>
      <w:r w:rsidRPr="00883399">
        <w:t xml:space="preserve"> ) </w:t>
      </w:r>
      <w:r w:rsidRPr="00883399">
        <w:rPr>
          <w:sz w:val="22"/>
          <w:szCs w:val="22"/>
        </w:rPr>
        <w:t>and converted to standard conditions (column E). The methane and carbon dioxide composition (</w:t>
      </w:r>
      <w:r w:rsidRPr="00883399">
        <w:rPr>
          <w:b/>
          <w:i/>
        </w:rPr>
        <w:t>mol</w:t>
      </w:r>
      <w:r w:rsidRPr="00883399">
        <w:rPr>
          <w:b/>
          <w:i/>
          <w:vertAlign w:val="subscript"/>
        </w:rPr>
        <w:t>j,p</w:t>
      </w:r>
      <w:r w:rsidRPr="00883399">
        <w:rPr>
          <w:b/>
          <w:i/>
        </w:rPr>
        <w:t xml:space="preserve">%) </w:t>
      </w:r>
      <w:r w:rsidRPr="00883399">
        <w:rPr>
          <w:sz w:val="22"/>
          <w:szCs w:val="22"/>
        </w:rPr>
        <w:t>of the injected gas were determined (columns F and G). Volumes of methane and carbon dioxide captured during well completions (</w:t>
      </w:r>
      <w:r w:rsidRPr="00883399">
        <w:rPr>
          <w:b/>
          <w:i/>
        </w:rPr>
        <w:t>SG</w:t>
      </w:r>
      <w:r w:rsidRPr="00883399">
        <w:rPr>
          <w:b/>
          <w:i/>
          <w:vertAlign w:val="subscript"/>
        </w:rPr>
        <w:t>j,p</w:t>
      </w:r>
      <w:r w:rsidRPr="00883399">
        <w:rPr>
          <w:vertAlign w:val="subscript"/>
        </w:rPr>
        <w:t xml:space="preserve"> </w:t>
      </w:r>
      <w:r w:rsidRPr="00883399">
        <w:t>)</w:t>
      </w:r>
      <w:r w:rsidRPr="00883399">
        <w:rPr>
          <w:vertAlign w:val="subscript"/>
        </w:rPr>
        <w:t xml:space="preserve">, </w:t>
      </w:r>
      <w:r w:rsidRPr="00883399">
        <w:rPr>
          <w:sz w:val="22"/>
          <w:szCs w:val="22"/>
        </w:rPr>
        <w:t xml:space="preserve">converted to standard conditions, were estimated for each well (columns J and K). </w:t>
      </w:r>
    </w:p>
    <w:bookmarkStart w:id="575" w:name="_MON_1433334433"/>
    <w:bookmarkStart w:id="576" w:name="_MON_1433334500"/>
    <w:bookmarkStart w:id="577" w:name="_MON_1433336444"/>
    <w:bookmarkStart w:id="578" w:name="_MON_1433337079"/>
    <w:bookmarkStart w:id="579" w:name="_MON_1433337098"/>
    <w:bookmarkStart w:id="580" w:name="_MON_1433337117"/>
    <w:bookmarkStart w:id="581" w:name="_MON_1433337790"/>
    <w:bookmarkStart w:id="582" w:name="_MON_1433330290"/>
    <w:bookmarkStart w:id="583" w:name="_MON_1433331461"/>
    <w:bookmarkStart w:id="584" w:name="_MON_1433331483"/>
    <w:bookmarkStart w:id="585" w:name="_1433333483"/>
    <w:bookmarkStart w:id="586" w:name="_MON_1433667377"/>
    <w:bookmarkStart w:id="587" w:name="_MON_1433668049"/>
    <w:bookmarkStart w:id="588" w:name="_MON_1433669457"/>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Start w:id="589" w:name="_MON_1433333596"/>
    <w:bookmarkEnd w:id="589"/>
    <w:p w14:paraId="12C12F7A"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pPr>
      <w:r w:rsidRPr="00883399">
        <w:object w:dxaOrig="8340" w:dyaOrig="7034" w14:anchorId="7785A9D0">
          <v:shape id="_x0000_i1051" type="#_x0000_t75" style="width:419.25pt;height:351.75pt" o:ole="">
            <v:imagedata r:id="rId125" o:title=""/>
          </v:shape>
          <o:OLEObject Type="Embed" ProgID="Word.Document.12" ShapeID="_x0000_i1051" DrawAspect="Content" ObjectID="_1594105942" r:id="rId126">
            <o:FieldCodes>\s</o:FieldCodes>
          </o:OLEObject>
        </w:object>
      </w:r>
    </w:p>
    <w:p w14:paraId="18471385"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shd w:val="clear" w:color="auto" w:fill="BFBFBF" w:themeFill="background1" w:themeFillShade="BF"/>
        <w:outlineLvl w:val="0"/>
        <w:rPr>
          <w:sz w:val="22"/>
          <w:szCs w:val="22"/>
        </w:rPr>
      </w:pPr>
      <w:r w:rsidRPr="00883399">
        <w:rPr>
          <w:sz w:val="22"/>
          <w:szCs w:val="22"/>
        </w:rPr>
        <w:t>Step 1  Determine the well sampling requirements:</w:t>
      </w:r>
    </w:p>
    <w:p w14:paraId="79C491A1"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pPr>
      <w:r w:rsidRPr="00883399">
        <w:rPr>
          <w:sz w:val="22"/>
          <w:szCs w:val="22"/>
        </w:rPr>
        <w:t xml:space="preserve">Sampling requirments are set out in subsection (8). In this example only four vertical well completions were performed in the basin during the year. Therefore, according to paragraph (8)(a), all four wells are required to be measured. </w:t>
      </w:r>
    </w:p>
    <w:p w14:paraId="0513D629"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pPr>
    </w:p>
    <w:p w14:paraId="650BA25B"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shd w:val="clear" w:color="auto" w:fill="BFBFBF" w:themeFill="background1" w:themeFillShade="BF"/>
        <w:outlineLvl w:val="0"/>
        <w:rPr>
          <w:sz w:val="22"/>
          <w:szCs w:val="22"/>
        </w:rPr>
      </w:pPr>
      <w:r w:rsidRPr="00883399">
        <w:rPr>
          <w:sz w:val="22"/>
          <w:szCs w:val="22"/>
        </w:rPr>
        <w:t xml:space="preserve">Step 2  Calculate </w:t>
      </w:r>
      <w:r w:rsidRPr="00883399">
        <w:rPr>
          <w:b/>
          <w:i/>
        </w:rPr>
        <w:t>FRM</w:t>
      </w:r>
      <w:r w:rsidRPr="00883399">
        <w:rPr>
          <w:b/>
          <w:i/>
          <w:vertAlign w:val="subscript"/>
        </w:rPr>
        <w:t>bt</w:t>
      </w:r>
      <w:r w:rsidRPr="00883399">
        <w:rPr>
          <w:b/>
          <w:i/>
        </w:rPr>
        <w:t xml:space="preserve"> </w:t>
      </w:r>
      <w:r w:rsidRPr="00883399">
        <w:t xml:space="preserve">; </w:t>
      </w:r>
      <w:r w:rsidRPr="00883399">
        <w:rPr>
          <w:sz w:val="22"/>
          <w:szCs w:val="22"/>
        </w:rPr>
        <w:t>the ratio of flowback during well completions to the 30 day production rate for each well.</w:t>
      </w:r>
    </w:p>
    <w:p w14:paraId="0A60777F"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22"/>
          <w:szCs w:val="22"/>
        </w:rPr>
      </w:pPr>
      <w:r w:rsidRPr="00883399">
        <w:rPr>
          <w:b/>
          <w:i/>
        </w:rPr>
        <w:t>FRM</w:t>
      </w:r>
      <w:r w:rsidRPr="00883399">
        <w:rPr>
          <w:b/>
          <w:i/>
          <w:vertAlign w:val="subscript"/>
        </w:rPr>
        <w:t>bt</w:t>
      </w:r>
      <w:r w:rsidRPr="00883399">
        <w:rPr>
          <w:sz w:val="22"/>
          <w:szCs w:val="22"/>
        </w:rPr>
        <w:t xml:space="preserve">  is worked in subsection (7) using the following formula:</w:t>
      </w:r>
    </w:p>
    <w:p w14:paraId="31D4EEF9"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jc w:val="center"/>
        <w:outlineLvl w:val="0"/>
      </w:pPr>
      <w:r w:rsidRPr="00883399">
        <w:rPr>
          <w:position w:val="-66"/>
        </w:rPr>
        <w:object w:dxaOrig="859" w:dyaOrig="1420" w14:anchorId="5DD0824D">
          <v:shape id="_x0000_i1052" type="#_x0000_t75" style="width:44.25pt;height:71.25pt" o:ole="">
            <v:imagedata r:id="rId117" o:title=""/>
          </v:shape>
          <o:OLEObject Type="Embed" ProgID="Equation.DSMT4" ShapeID="_x0000_i1052" DrawAspect="Content" ObjectID="_1594105943" r:id="rId127"/>
        </w:object>
      </w:r>
    </w:p>
    <w:p w14:paraId="50E083E6"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pPr>
      <w:r w:rsidRPr="00883399">
        <w:t xml:space="preserve">Therefore </w:t>
      </w:r>
      <w:r w:rsidRPr="00883399">
        <w:rPr>
          <w:b/>
          <w:i/>
        </w:rPr>
        <w:t>FRM</w:t>
      </w:r>
      <w:r w:rsidRPr="00883399">
        <w:rPr>
          <w:b/>
          <w:i/>
          <w:vertAlign w:val="subscript"/>
        </w:rPr>
        <w:t xml:space="preserve">bt </w:t>
      </w:r>
      <w:r w:rsidRPr="00883399">
        <w:t>is calculated for each well in column L of the following table:</w:t>
      </w:r>
    </w:p>
    <w:bookmarkStart w:id="590" w:name="_1433333685"/>
    <w:bookmarkStart w:id="591" w:name="_MON_1433333709"/>
    <w:bookmarkStart w:id="592" w:name="_MON_1433333641"/>
    <w:bookmarkStart w:id="593" w:name="_MON_1433667699"/>
    <w:bookmarkEnd w:id="590"/>
    <w:bookmarkEnd w:id="591"/>
    <w:bookmarkEnd w:id="592"/>
    <w:bookmarkEnd w:id="593"/>
    <w:bookmarkStart w:id="594" w:name="_MON_1433333671"/>
    <w:bookmarkEnd w:id="594"/>
    <w:p w14:paraId="5030E64C"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pPr>
      <w:r w:rsidRPr="00883399">
        <w:object w:dxaOrig="9252" w:dyaOrig="5801" w14:anchorId="2323B9FD">
          <v:shape id="_x0000_i1053" type="#_x0000_t75" style="width:461.25pt;height:289.5pt" o:ole="">
            <v:imagedata r:id="rId128" o:title=""/>
          </v:shape>
          <o:OLEObject Type="Embed" ProgID="Word.Document.12" ShapeID="_x0000_i1053" DrawAspect="Content" ObjectID="_1594105944" r:id="rId129">
            <o:FieldCodes>\s</o:FieldCodes>
          </o:OLEObject>
        </w:object>
      </w:r>
    </w:p>
    <w:p w14:paraId="7EFFBFFB"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shd w:val="clear" w:color="auto" w:fill="BFBFBF" w:themeFill="background1" w:themeFillShade="BF"/>
        <w:outlineLvl w:val="0"/>
        <w:rPr>
          <w:sz w:val="22"/>
          <w:szCs w:val="22"/>
        </w:rPr>
      </w:pPr>
      <w:r w:rsidRPr="00883399">
        <w:rPr>
          <w:sz w:val="22"/>
          <w:szCs w:val="22"/>
        </w:rPr>
        <w:t xml:space="preserve">Step 3  Calculate </w:t>
      </w:r>
      <w:r w:rsidRPr="00883399">
        <w:rPr>
          <w:b/>
          <w:i/>
        </w:rPr>
        <w:t>EV</w:t>
      </w:r>
      <w:r w:rsidRPr="00883399">
        <w:rPr>
          <w:b/>
          <w:i/>
          <w:vertAlign w:val="subscript"/>
        </w:rPr>
        <w:t>p</w:t>
      </w:r>
      <w:r w:rsidRPr="00883399">
        <w:t xml:space="preserve"> </w:t>
      </w:r>
      <w:r w:rsidRPr="00883399">
        <w:rPr>
          <w:sz w:val="22"/>
          <w:szCs w:val="22"/>
        </w:rPr>
        <w:t>; the volume of methane flowback during a well completion from strata for each well.</w:t>
      </w:r>
    </w:p>
    <w:p w14:paraId="3475003D"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22"/>
          <w:szCs w:val="22"/>
        </w:rPr>
      </w:pPr>
      <w:r w:rsidRPr="00883399">
        <w:rPr>
          <w:b/>
          <w:i/>
        </w:rPr>
        <w:t>EV</w:t>
      </w:r>
      <w:r w:rsidRPr="00883399">
        <w:rPr>
          <w:b/>
          <w:i/>
          <w:vertAlign w:val="subscript"/>
        </w:rPr>
        <w:t xml:space="preserve">p </w:t>
      </w:r>
      <w:r w:rsidRPr="00883399">
        <w:rPr>
          <w:sz w:val="22"/>
          <w:szCs w:val="22"/>
        </w:rPr>
        <w:t xml:space="preserve"> is worked in subsection (5) using the following formula:</w:t>
      </w:r>
    </w:p>
    <w:p w14:paraId="0796E7F9"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jc w:val="center"/>
        <w:outlineLvl w:val="0"/>
      </w:pPr>
      <w:r w:rsidRPr="00883399">
        <w:rPr>
          <w:position w:val="-12"/>
        </w:rPr>
        <w:object w:dxaOrig="2299" w:dyaOrig="320" w14:anchorId="2CA2D59C">
          <v:shape id="_x0000_i1054" type="#_x0000_t75" style="width:135.75pt;height:18.75pt" o:ole="">
            <v:imagedata r:id="rId114" o:title=""/>
          </v:shape>
          <o:OLEObject Type="Embed" ProgID="Equation.DSMT4" ShapeID="_x0000_i1054" DrawAspect="Content" ObjectID="_1594105945" r:id="rId130"/>
        </w:object>
      </w:r>
    </w:p>
    <w:p w14:paraId="434DFDB2"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pPr>
      <w:r w:rsidRPr="00883399">
        <w:t xml:space="preserve">Therefore </w:t>
      </w:r>
      <w:r w:rsidRPr="00883399">
        <w:rPr>
          <w:b/>
          <w:i/>
        </w:rPr>
        <w:t>EV</w:t>
      </w:r>
      <w:r w:rsidRPr="00883399">
        <w:rPr>
          <w:b/>
          <w:i/>
          <w:vertAlign w:val="subscript"/>
        </w:rPr>
        <w:t xml:space="preserve">p </w:t>
      </w:r>
      <w:r w:rsidRPr="00883399">
        <w:rPr>
          <w:sz w:val="22"/>
          <w:szCs w:val="22"/>
        </w:rPr>
        <w:t xml:space="preserve"> </w:t>
      </w:r>
      <w:r w:rsidRPr="00883399">
        <w:t>is calculated for each well in column M of the following table:</w:t>
      </w:r>
    </w:p>
    <w:bookmarkStart w:id="595" w:name="_MON_1433335125"/>
    <w:bookmarkStart w:id="596" w:name="_MON_1433667777"/>
    <w:bookmarkStart w:id="597" w:name="_MON_1433335445"/>
    <w:bookmarkStart w:id="598" w:name="_1433337738"/>
    <w:bookmarkStart w:id="599" w:name="_MON_1433334341"/>
    <w:bookmarkStart w:id="600" w:name="_MON_1433334351"/>
    <w:bookmarkStart w:id="601" w:name="_MON_1433335079"/>
    <w:bookmarkEnd w:id="595"/>
    <w:bookmarkEnd w:id="596"/>
    <w:bookmarkEnd w:id="597"/>
    <w:bookmarkEnd w:id="598"/>
    <w:bookmarkEnd w:id="599"/>
    <w:bookmarkEnd w:id="600"/>
    <w:bookmarkEnd w:id="601"/>
    <w:bookmarkStart w:id="602" w:name="_MON_1433335085"/>
    <w:bookmarkEnd w:id="602"/>
    <w:p w14:paraId="220A5F05"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pPr>
      <w:r w:rsidRPr="00883399">
        <w:object w:dxaOrig="9252" w:dyaOrig="6215" w14:anchorId="7DE98C12">
          <v:shape id="_x0000_i1055" type="#_x0000_t75" style="width:461.25pt;height:309.75pt" o:ole="">
            <v:imagedata r:id="rId131" o:title=""/>
          </v:shape>
          <o:OLEObject Type="Embed" ProgID="Word.Document.12" ShapeID="_x0000_i1055" DrawAspect="Content" ObjectID="_1594105946" r:id="rId132">
            <o:FieldCodes>\s</o:FieldCodes>
          </o:OLEObject>
        </w:object>
      </w:r>
    </w:p>
    <w:p w14:paraId="02EC15FE"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shd w:val="clear" w:color="auto" w:fill="BFBFBF" w:themeFill="background1" w:themeFillShade="BF"/>
        <w:outlineLvl w:val="0"/>
        <w:rPr>
          <w:sz w:val="22"/>
          <w:szCs w:val="22"/>
        </w:rPr>
      </w:pPr>
      <w:r w:rsidRPr="00883399">
        <w:rPr>
          <w:sz w:val="22"/>
          <w:szCs w:val="22"/>
        </w:rPr>
        <w:t xml:space="preserve">Step 4  Calculate </w:t>
      </w:r>
      <w:r w:rsidRPr="00883399">
        <w:rPr>
          <w:b/>
          <w:i/>
          <w:sz w:val="22"/>
          <w:szCs w:val="22"/>
        </w:rPr>
        <w:t>VIGG</w:t>
      </w:r>
      <w:r w:rsidRPr="00883399">
        <w:rPr>
          <w:b/>
          <w:i/>
          <w:sz w:val="22"/>
          <w:szCs w:val="22"/>
          <w:vertAlign w:val="subscript"/>
        </w:rPr>
        <w:t>jp</w:t>
      </w:r>
      <w:r w:rsidRPr="00883399">
        <w:rPr>
          <w:b/>
          <w:i/>
          <w:sz w:val="22"/>
          <w:szCs w:val="22"/>
        </w:rPr>
        <w:t xml:space="preserve"> </w:t>
      </w:r>
      <w:r w:rsidRPr="00883399">
        <w:rPr>
          <w:sz w:val="22"/>
          <w:szCs w:val="22"/>
        </w:rPr>
        <w:t>; the volume of CH</w:t>
      </w:r>
      <w:r w:rsidRPr="00883399">
        <w:rPr>
          <w:sz w:val="22"/>
          <w:szCs w:val="22"/>
          <w:vertAlign w:val="subscript"/>
        </w:rPr>
        <w:t>4</w:t>
      </w:r>
      <w:r w:rsidRPr="00883399">
        <w:rPr>
          <w:sz w:val="22"/>
          <w:szCs w:val="22"/>
        </w:rPr>
        <w:t xml:space="preserve"> and CO</w:t>
      </w:r>
      <w:r w:rsidRPr="00883399">
        <w:rPr>
          <w:sz w:val="22"/>
          <w:szCs w:val="22"/>
          <w:vertAlign w:val="subscript"/>
        </w:rPr>
        <w:t>2</w:t>
      </w:r>
      <w:r w:rsidRPr="00883399">
        <w:rPr>
          <w:sz w:val="22"/>
          <w:szCs w:val="22"/>
        </w:rPr>
        <w:t xml:space="preserve"> injected into each well.</w:t>
      </w:r>
    </w:p>
    <w:p w14:paraId="36145637"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22"/>
          <w:szCs w:val="22"/>
        </w:rPr>
      </w:pPr>
      <w:r w:rsidRPr="00883399">
        <w:rPr>
          <w:b/>
          <w:i/>
          <w:sz w:val="22"/>
          <w:szCs w:val="22"/>
        </w:rPr>
        <w:t>VIGGj,p</w:t>
      </w:r>
      <w:r w:rsidRPr="00883399">
        <w:rPr>
          <w:sz w:val="22"/>
          <w:szCs w:val="22"/>
        </w:rPr>
        <w:t xml:space="preserve"> is worked in subsection (6) using the following formula:</w:t>
      </w:r>
    </w:p>
    <w:p w14:paraId="453C4483"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jc w:val="center"/>
        <w:outlineLvl w:val="0"/>
        <w:rPr>
          <w:sz w:val="22"/>
          <w:szCs w:val="22"/>
        </w:rPr>
      </w:pPr>
      <w:r w:rsidRPr="00883399">
        <w:rPr>
          <w:sz w:val="22"/>
          <w:szCs w:val="22"/>
        </w:rPr>
        <w:t>VI</w:t>
      </w:r>
      <w:r w:rsidRPr="00883399">
        <w:rPr>
          <w:sz w:val="22"/>
          <w:szCs w:val="22"/>
          <w:vertAlign w:val="subscript"/>
        </w:rPr>
        <w:t>p</w:t>
      </w:r>
      <w:r w:rsidRPr="00883399">
        <w:rPr>
          <w:sz w:val="22"/>
          <w:szCs w:val="22"/>
        </w:rPr>
        <w:t xml:space="preserve"> × mol</w:t>
      </w:r>
      <w:r w:rsidRPr="00883399">
        <w:rPr>
          <w:sz w:val="22"/>
          <w:szCs w:val="22"/>
          <w:vertAlign w:val="subscript"/>
        </w:rPr>
        <w:t xml:space="preserve">j,p </w:t>
      </w:r>
      <w:r w:rsidRPr="00883399">
        <w:rPr>
          <w:sz w:val="22"/>
          <w:szCs w:val="22"/>
        </w:rPr>
        <w:t>%</w:t>
      </w:r>
    </w:p>
    <w:p w14:paraId="341D3FD7"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22"/>
          <w:szCs w:val="22"/>
        </w:rPr>
      </w:pPr>
      <w:r w:rsidRPr="00883399">
        <w:rPr>
          <w:sz w:val="22"/>
          <w:szCs w:val="22"/>
        </w:rPr>
        <w:t xml:space="preserve">Referring to the input data table, </w:t>
      </w:r>
      <w:r w:rsidRPr="00883399">
        <w:rPr>
          <w:b/>
          <w:i/>
          <w:sz w:val="22"/>
          <w:szCs w:val="22"/>
        </w:rPr>
        <w:t>VIGG</w:t>
      </w:r>
      <w:r w:rsidRPr="00883399">
        <w:rPr>
          <w:b/>
          <w:i/>
          <w:sz w:val="22"/>
          <w:szCs w:val="22"/>
          <w:vertAlign w:val="subscript"/>
        </w:rPr>
        <w:t xml:space="preserve"> j,p</w:t>
      </w:r>
      <w:r w:rsidRPr="00883399">
        <w:rPr>
          <w:sz w:val="22"/>
          <w:szCs w:val="22"/>
        </w:rPr>
        <w:t xml:space="preserve"> for methane and carbon dioxide have been worked out for each well in columns H and I respectively.</w:t>
      </w:r>
    </w:p>
    <w:p w14:paraId="6126E44F"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22"/>
          <w:szCs w:val="22"/>
        </w:rPr>
      </w:pPr>
    </w:p>
    <w:p w14:paraId="2C11964C"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shd w:val="clear" w:color="auto" w:fill="BFBFBF" w:themeFill="background1" w:themeFillShade="BF"/>
        <w:outlineLvl w:val="0"/>
        <w:rPr>
          <w:sz w:val="22"/>
          <w:szCs w:val="22"/>
        </w:rPr>
      </w:pPr>
      <w:r w:rsidRPr="00883399">
        <w:rPr>
          <w:sz w:val="22"/>
          <w:szCs w:val="22"/>
        </w:rPr>
        <w:t xml:space="preserve">Step 5  Calculate total vented methane and carbon dioxide volumes for each well: </w:t>
      </w:r>
    </w:p>
    <w:p w14:paraId="39BFB528"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22"/>
          <w:szCs w:val="22"/>
        </w:rPr>
      </w:pPr>
    </w:p>
    <w:p w14:paraId="0A958751"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pPr>
      <w:r w:rsidRPr="00883399">
        <w:rPr>
          <w:sz w:val="22"/>
          <w:szCs w:val="22"/>
        </w:rPr>
        <w:t xml:space="preserve">For methane (column N) = </w:t>
      </w:r>
      <w:r w:rsidRPr="00883399">
        <w:rPr>
          <w:b/>
          <w:i/>
          <w:sz w:val="22"/>
          <w:szCs w:val="22"/>
        </w:rPr>
        <w:t>EV</w:t>
      </w:r>
      <w:r w:rsidRPr="00883399">
        <w:rPr>
          <w:b/>
          <w:i/>
          <w:sz w:val="22"/>
          <w:szCs w:val="22"/>
          <w:vertAlign w:val="subscript"/>
        </w:rPr>
        <w:t>p</w:t>
      </w:r>
      <w:r w:rsidRPr="00883399">
        <w:rPr>
          <w:b/>
          <w:i/>
          <w:sz w:val="22"/>
          <w:szCs w:val="22"/>
        </w:rPr>
        <w:t xml:space="preserve"> </w:t>
      </w:r>
      <w:r w:rsidRPr="00883399">
        <w:rPr>
          <w:sz w:val="22"/>
          <w:szCs w:val="22"/>
        </w:rPr>
        <w:t>(column M)</w:t>
      </w:r>
      <w:r w:rsidRPr="00883399">
        <w:rPr>
          <w:b/>
          <w:i/>
          <w:sz w:val="22"/>
          <w:szCs w:val="22"/>
        </w:rPr>
        <w:t xml:space="preserve"> + VIGG</w:t>
      </w:r>
      <w:r w:rsidRPr="00883399">
        <w:rPr>
          <w:b/>
          <w:i/>
          <w:sz w:val="22"/>
          <w:szCs w:val="22"/>
          <w:vertAlign w:val="subscript"/>
        </w:rPr>
        <w:t xml:space="preserve">p </w:t>
      </w:r>
      <w:r w:rsidRPr="00883399">
        <w:rPr>
          <w:sz w:val="22"/>
          <w:szCs w:val="22"/>
        </w:rPr>
        <w:t xml:space="preserve">(column H) - </w:t>
      </w:r>
      <w:r w:rsidRPr="00883399">
        <w:rPr>
          <w:b/>
          <w:i/>
          <w:sz w:val="22"/>
          <w:szCs w:val="22"/>
        </w:rPr>
        <w:t>SG</w:t>
      </w:r>
      <w:r w:rsidRPr="00883399">
        <w:rPr>
          <w:b/>
          <w:i/>
          <w:sz w:val="22"/>
          <w:szCs w:val="22"/>
          <w:vertAlign w:val="subscript"/>
        </w:rPr>
        <w:t>p</w:t>
      </w:r>
      <w:r w:rsidRPr="00883399">
        <w:rPr>
          <w:b/>
          <w:i/>
          <w:sz w:val="18"/>
          <w:szCs w:val="18"/>
          <w:vertAlign w:val="subscript"/>
        </w:rPr>
        <w:t xml:space="preserve"> </w:t>
      </w:r>
      <w:r w:rsidRPr="00883399">
        <w:rPr>
          <w:sz w:val="22"/>
          <w:szCs w:val="22"/>
        </w:rPr>
        <w:t>(column J)</w:t>
      </w:r>
      <w:r w:rsidRPr="00883399">
        <w:t xml:space="preserve"> </w:t>
      </w:r>
    </w:p>
    <w:bookmarkStart w:id="603" w:name="_MON_1433668067"/>
    <w:bookmarkStart w:id="604" w:name="_1434202131"/>
    <w:bookmarkStart w:id="605" w:name="_MON_1434202138"/>
    <w:bookmarkStart w:id="606" w:name="_MON_1433670129"/>
    <w:bookmarkStart w:id="607" w:name="_MON_1433338386"/>
    <w:bookmarkEnd w:id="603"/>
    <w:bookmarkEnd w:id="604"/>
    <w:bookmarkEnd w:id="605"/>
    <w:bookmarkEnd w:id="606"/>
    <w:bookmarkEnd w:id="607"/>
    <w:bookmarkStart w:id="608" w:name="_MON_1433337743"/>
    <w:bookmarkEnd w:id="608"/>
    <w:p w14:paraId="2574E25A"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22"/>
          <w:szCs w:val="22"/>
        </w:rPr>
      </w:pPr>
      <w:r w:rsidRPr="00883399">
        <w:object w:dxaOrig="6781" w:dyaOrig="5826" w14:anchorId="03AF9CE8">
          <v:shape id="_x0000_i1056" type="#_x0000_t75" style="width:340.5pt;height:291.75pt" o:ole="">
            <v:imagedata r:id="rId133" o:title=""/>
          </v:shape>
          <o:OLEObject Type="Embed" ProgID="Word.Document.12" ShapeID="_x0000_i1056" DrawAspect="Content" ObjectID="_1594105947" r:id="rId134">
            <o:FieldCodes>\s</o:FieldCodes>
          </o:OLEObject>
        </w:object>
      </w:r>
    </w:p>
    <w:p w14:paraId="101C6BD1"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22"/>
          <w:szCs w:val="22"/>
        </w:rPr>
      </w:pPr>
      <w:r w:rsidRPr="00883399">
        <w:rPr>
          <w:sz w:val="22"/>
          <w:szCs w:val="22"/>
        </w:rPr>
        <w:t xml:space="preserve">For carbon dioxide (column O) = </w:t>
      </w:r>
      <w:r w:rsidRPr="00883399">
        <w:rPr>
          <w:b/>
          <w:i/>
          <w:sz w:val="22"/>
          <w:szCs w:val="22"/>
        </w:rPr>
        <w:t>VIGG</w:t>
      </w:r>
      <w:r w:rsidRPr="00883399">
        <w:rPr>
          <w:b/>
          <w:i/>
          <w:sz w:val="22"/>
          <w:szCs w:val="22"/>
          <w:vertAlign w:val="subscript"/>
        </w:rPr>
        <w:t>p</w:t>
      </w:r>
      <w:r w:rsidRPr="00883399">
        <w:rPr>
          <w:b/>
          <w:i/>
          <w:sz w:val="22"/>
          <w:szCs w:val="22"/>
        </w:rPr>
        <w:t xml:space="preserve"> </w:t>
      </w:r>
      <w:r w:rsidRPr="00883399">
        <w:rPr>
          <w:sz w:val="22"/>
          <w:szCs w:val="22"/>
        </w:rPr>
        <w:t>(column I) -</w:t>
      </w:r>
      <w:r w:rsidRPr="00883399">
        <w:rPr>
          <w:b/>
          <w:i/>
          <w:sz w:val="22"/>
          <w:szCs w:val="22"/>
        </w:rPr>
        <w:t xml:space="preserve"> SG</w:t>
      </w:r>
      <w:r w:rsidRPr="00883399">
        <w:rPr>
          <w:b/>
          <w:i/>
          <w:sz w:val="22"/>
          <w:szCs w:val="22"/>
          <w:vertAlign w:val="subscript"/>
        </w:rPr>
        <w:t>p</w:t>
      </w:r>
      <w:r w:rsidRPr="00883399">
        <w:rPr>
          <w:b/>
          <w:i/>
          <w:sz w:val="18"/>
          <w:szCs w:val="18"/>
        </w:rPr>
        <w:t xml:space="preserve"> </w:t>
      </w:r>
      <w:r w:rsidRPr="00883399">
        <w:rPr>
          <w:sz w:val="22"/>
          <w:szCs w:val="22"/>
        </w:rPr>
        <w:t>(column K)</w:t>
      </w:r>
    </w:p>
    <w:bookmarkStart w:id="609" w:name="_MON_1433336401"/>
    <w:bookmarkStart w:id="610" w:name="_MON_1433668572"/>
    <w:bookmarkStart w:id="611" w:name="_MON_1433336865"/>
    <w:bookmarkStart w:id="612" w:name="_MON_1433336878"/>
    <w:bookmarkStart w:id="613" w:name="_MON_1433336918"/>
    <w:bookmarkStart w:id="614" w:name="_MON_1433336927"/>
    <w:bookmarkStart w:id="615" w:name="_MON_1433336984"/>
    <w:bookmarkStart w:id="616" w:name="_1433338307"/>
    <w:bookmarkStart w:id="617" w:name="_MON_1433250240"/>
    <w:bookmarkStart w:id="618" w:name="_MON_1433318115"/>
    <w:bookmarkStart w:id="619" w:name="_MON_1433318417"/>
    <w:bookmarkEnd w:id="609"/>
    <w:bookmarkEnd w:id="610"/>
    <w:bookmarkEnd w:id="611"/>
    <w:bookmarkEnd w:id="612"/>
    <w:bookmarkEnd w:id="613"/>
    <w:bookmarkEnd w:id="614"/>
    <w:bookmarkEnd w:id="615"/>
    <w:bookmarkEnd w:id="616"/>
    <w:bookmarkEnd w:id="617"/>
    <w:bookmarkEnd w:id="618"/>
    <w:bookmarkEnd w:id="619"/>
    <w:bookmarkStart w:id="620" w:name="_MON_1433336250"/>
    <w:bookmarkEnd w:id="620"/>
    <w:p w14:paraId="2D60F197"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outlineLvl w:val="0"/>
        <w:rPr>
          <w:sz w:val="22"/>
          <w:szCs w:val="22"/>
        </w:rPr>
      </w:pPr>
      <w:r w:rsidRPr="00883399">
        <w:object w:dxaOrig="6654" w:dyaOrig="6386" w14:anchorId="03232842">
          <v:shape id="_x0000_i1057" type="#_x0000_t75" style="width:333.75pt;height:321pt" o:ole="">
            <v:imagedata r:id="rId135" o:title=""/>
          </v:shape>
          <o:OLEObject Type="Embed" ProgID="Word.Document.12" ShapeID="_x0000_i1057" DrawAspect="Content" ObjectID="_1594105948" r:id="rId136">
            <o:FieldCodes>\s</o:FieldCodes>
          </o:OLEObject>
        </w:object>
      </w:r>
      <w:r w:rsidRPr="00883399">
        <w:rPr>
          <w:sz w:val="22"/>
          <w:szCs w:val="22"/>
        </w:rPr>
        <w:t xml:space="preserve"> </w:t>
      </w:r>
    </w:p>
    <w:p w14:paraId="7B20FE53"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shd w:val="clear" w:color="auto" w:fill="BFBFBF" w:themeFill="background1" w:themeFillShade="BF"/>
        <w:outlineLvl w:val="0"/>
        <w:rPr>
          <w:sz w:val="22"/>
          <w:szCs w:val="22"/>
        </w:rPr>
      </w:pPr>
      <w:r w:rsidRPr="00883399">
        <w:rPr>
          <w:sz w:val="22"/>
          <w:szCs w:val="22"/>
        </w:rPr>
        <w:t xml:space="preserve">Step 6  Calculate final methane and carbon dioxide emissions for all wells: </w:t>
      </w:r>
    </w:p>
    <w:p w14:paraId="3BC9B981"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outlineLvl w:val="0"/>
      </w:pPr>
      <w:r w:rsidRPr="00883399">
        <w:t>Sum emissions for all wells by gas type and convert from cubic metres to tonnes CO2-e.</w:t>
      </w:r>
    </w:p>
    <w:p w14:paraId="44DE4D60"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ind w:firstLine="426"/>
        <w:outlineLvl w:val="0"/>
        <w:rPr>
          <w:u w:val="single"/>
        </w:rPr>
      </w:pPr>
      <w:r w:rsidRPr="00883399">
        <w:rPr>
          <w:u w:val="single"/>
        </w:rPr>
        <w:t>For methane</w:t>
      </w:r>
    </w:p>
    <w:p w14:paraId="1F4B289B"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ind w:firstLine="709"/>
        <w:outlineLvl w:val="0"/>
      </w:pPr>
      <w:r w:rsidRPr="00883399">
        <w:t>sum column N</w:t>
      </w:r>
    </w:p>
    <w:p w14:paraId="216175C9"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ind w:firstLine="720"/>
        <w:outlineLvl w:val="0"/>
      </w:pPr>
      <w:r w:rsidRPr="00883399">
        <w:t>= 100.4 + 188.25 + 73.2 + 513.8</w:t>
      </w:r>
    </w:p>
    <w:p w14:paraId="32F071B1"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ind w:firstLine="720"/>
        <w:outlineLvl w:val="0"/>
      </w:pPr>
      <w:r w:rsidRPr="00883399">
        <w:t>= 875.65 m3</w:t>
      </w:r>
    </w:p>
    <w:p w14:paraId="4D466CB1"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ind w:firstLine="720"/>
        <w:outlineLvl w:val="0"/>
      </w:pPr>
      <w:r w:rsidRPr="00883399">
        <w:t xml:space="preserve">Apply methane conversion factor </w:t>
      </w:r>
      <w:r w:rsidRPr="00883399">
        <w:rPr>
          <w:b/>
          <w:bCs/>
          <w:i/>
          <w:iCs/>
        </w:rPr>
        <w:t>γ</w:t>
      </w:r>
      <w:r w:rsidRPr="00883399">
        <w:rPr>
          <w:b/>
          <w:bCs/>
          <w:i/>
          <w:iCs/>
          <w:vertAlign w:val="subscript"/>
        </w:rPr>
        <w:t xml:space="preserve">j </w:t>
      </w:r>
      <w:r w:rsidRPr="00883399">
        <w:rPr>
          <w:bCs/>
          <w:iCs/>
        </w:rPr>
        <w:t>= 6.784 × 10-4 × 25</w:t>
      </w:r>
      <w:r w:rsidRPr="00883399">
        <w:t xml:space="preserve"> </w:t>
      </w:r>
    </w:p>
    <w:p w14:paraId="21C49087"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ind w:firstLine="720"/>
        <w:outlineLvl w:val="0"/>
        <w:rPr>
          <w:bCs/>
          <w:iCs/>
        </w:rPr>
      </w:pPr>
      <w:r w:rsidRPr="00883399">
        <w:t xml:space="preserve">= 875.65 x </w:t>
      </w:r>
      <w:r w:rsidRPr="00883399">
        <w:rPr>
          <w:bCs/>
          <w:iCs/>
        </w:rPr>
        <w:t>6.784 × 10-4 × 25</w:t>
      </w:r>
    </w:p>
    <w:p w14:paraId="0CE956CD"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ind w:firstLine="720"/>
        <w:outlineLvl w:val="0"/>
      </w:pPr>
      <w:r w:rsidRPr="00883399">
        <w:rPr>
          <w:bCs/>
          <w:iCs/>
        </w:rPr>
        <w:t xml:space="preserve">= 14.851 tonnes </w:t>
      </w:r>
      <w:r w:rsidRPr="00883399">
        <w:t>CO2-e</w:t>
      </w:r>
    </w:p>
    <w:p w14:paraId="6EB39C16"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ind w:firstLine="720"/>
        <w:outlineLvl w:val="0"/>
      </w:pPr>
    </w:p>
    <w:p w14:paraId="7B77D8DF"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ind w:firstLine="426"/>
        <w:outlineLvl w:val="0"/>
        <w:rPr>
          <w:u w:val="single"/>
        </w:rPr>
      </w:pPr>
      <w:r w:rsidRPr="00883399">
        <w:rPr>
          <w:u w:val="single"/>
        </w:rPr>
        <w:lastRenderedPageBreak/>
        <w:t>For carbon dioxide</w:t>
      </w:r>
    </w:p>
    <w:p w14:paraId="3FC7DDF8"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ind w:firstLine="709"/>
        <w:outlineLvl w:val="0"/>
      </w:pPr>
      <w:r w:rsidRPr="00883399">
        <w:t>Sum column O</w:t>
      </w:r>
    </w:p>
    <w:p w14:paraId="719B4FC7"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ind w:firstLine="709"/>
        <w:outlineLvl w:val="0"/>
      </w:pPr>
      <w:r w:rsidRPr="00883399">
        <w:t>= 1.1 + 2.75 + 0.8 + 0.2</w:t>
      </w:r>
    </w:p>
    <w:p w14:paraId="6E507994"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ind w:firstLine="709"/>
        <w:outlineLvl w:val="0"/>
      </w:pPr>
      <w:r w:rsidRPr="00883399">
        <w:t>= 4.85 m3</w:t>
      </w:r>
    </w:p>
    <w:p w14:paraId="20551F60"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ind w:firstLine="709"/>
        <w:outlineLvl w:val="0"/>
      </w:pPr>
      <w:r w:rsidRPr="00883399">
        <w:t xml:space="preserve">Apply carbon dioxide conversion factor </w:t>
      </w:r>
      <w:r w:rsidRPr="00883399">
        <w:rPr>
          <w:b/>
          <w:bCs/>
          <w:i/>
          <w:iCs/>
        </w:rPr>
        <w:t>γ</w:t>
      </w:r>
      <w:r w:rsidRPr="00883399">
        <w:rPr>
          <w:b/>
          <w:bCs/>
          <w:i/>
          <w:iCs/>
          <w:vertAlign w:val="subscript"/>
        </w:rPr>
        <w:t xml:space="preserve">j </w:t>
      </w:r>
      <w:r w:rsidRPr="00883399">
        <w:rPr>
          <w:bCs/>
          <w:iCs/>
        </w:rPr>
        <w:t xml:space="preserve">= </w:t>
      </w:r>
      <w:r w:rsidRPr="00883399">
        <w:t xml:space="preserve"> </w:t>
      </w:r>
      <w:r w:rsidRPr="00883399">
        <w:rPr>
          <w:bCs/>
          <w:iCs/>
        </w:rPr>
        <w:t>1.861 × 10</w:t>
      </w:r>
      <w:r w:rsidRPr="00883399">
        <w:rPr>
          <w:bCs/>
          <w:iCs/>
          <w:vertAlign w:val="superscript"/>
        </w:rPr>
        <w:t>-3</w:t>
      </w:r>
    </w:p>
    <w:p w14:paraId="7CA15C0B"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ind w:firstLine="709"/>
        <w:outlineLvl w:val="0"/>
        <w:rPr>
          <w:bCs/>
          <w:iCs/>
        </w:rPr>
      </w:pPr>
      <w:r w:rsidRPr="00883399">
        <w:t xml:space="preserve">= 4.85 x </w:t>
      </w:r>
      <w:r w:rsidRPr="00883399">
        <w:rPr>
          <w:bCs/>
          <w:iCs/>
        </w:rPr>
        <w:t>1.861 × 10</w:t>
      </w:r>
      <w:r w:rsidRPr="00883399">
        <w:rPr>
          <w:bCs/>
          <w:iCs/>
          <w:vertAlign w:val="superscript"/>
        </w:rPr>
        <w:t>-3</w:t>
      </w:r>
    </w:p>
    <w:p w14:paraId="55551EB6"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ind w:firstLine="709"/>
        <w:outlineLvl w:val="0"/>
      </w:pPr>
      <w:r w:rsidRPr="00883399">
        <w:rPr>
          <w:bCs/>
          <w:iCs/>
        </w:rPr>
        <w:t xml:space="preserve">= 0.009 tonnes </w:t>
      </w:r>
      <w:r w:rsidRPr="00883399">
        <w:t>CO2-e</w:t>
      </w:r>
    </w:p>
    <w:p w14:paraId="3D880AC1"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outlineLvl w:val="0"/>
      </w:pPr>
      <w:r w:rsidRPr="00883399">
        <w:t>Therefore: total vented emissions from well completions performed to the four wells during the year are:</w:t>
      </w:r>
    </w:p>
    <w:p w14:paraId="27115167"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outlineLvl w:val="0"/>
        <w:rPr>
          <w:b/>
        </w:rPr>
      </w:pPr>
      <w:r w:rsidRPr="00883399">
        <w:rPr>
          <w:b/>
        </w:rPr>
        <w:t xml:space="preserve">Methane = </w:t>
      </w:r>
      <w:r w:rsidRPr="00883399">
        <w:rPr>
          <w:b/>
          <w:bCs/>
          <w:iCs/>
        </w:rPr>
        <w:t xml:space="preserve">14.851 tonnes </w:t>
      </w:r>
      <w:r w:rsidRPr="00883399">
        <w:rPr>
          <w:b/>
        </w:rPr>
        <w:t>CO</w:t>
      </w:r>
      <w:r w:rsidRPr="00883399">
        <w:rPr>
          <w:b/>
          <w:vertAlign w:val="subscript"/>
        </w:rPr>
        <w:t>2</w:t>
      </w:r>
      <w:r w:rsidRPr="00883399">
        <w:rPr>
          <w:b/>
        </w:rPr>
        <w:t>-e</w:t>
      </w:r>
    </w:p>
    <w:p w14:paraId="5E6C943D" w14:textId="77777777" w:rsidR="00B45BEB" w:rsidRPr="00883399" w:rsidRDefault="00B45BEB" w:rsidP="00B45BEB">
      <w:pPr>
        <w:pStyle w:val="Text"/>
        <w:pBdr>
          <w:top w:val="single" w:sz="4" w:space="1" w:color="auto"/>
          <w:left w:val="single" w:sz="4" w:space="4" w:color="auto"/>
          <w:bottom w:val="single" w:sz="4" w:space="1" w:color="auto"/>
          <w:right w:val="single" w:sz="4" w:space="5" w:color="auto"/>
        </w:pBdr>
        <w:outlineLvl w:val="0"/>
        <w:rPr>
          <w:b/>
        </w:rPr>
      </w:pPr>
      <w:r w:rsidRPr="00883399">
        <w:rPr>
          <w:b/>
        </w:rPr>
        <w:t xml:space="preserve">Carbon dioxide = </w:t>
      </w:r>
      <w:r w:rsidRPr="00883399">
        <w:rPr>
          <w:b/>
          <w:bCs/>
          <w:iCs/>
        </w:rPr>
        <w:t xml:space="preserve">0.009 tonnes </w:t>
      </w:r>
      <w:r w:rsidRPr="00883399">
        <w:rPr>
          <w:b/>
        </w:rPr>
        <w:t>CO</w:t>
      </w:r>
      <w:r w:rsidRPr="00883399">
        <w:rPr>
          <w:b/>
          <w:vertAlign w:val="subscript"/>
        </w:rPr>
        <w:t>2</w:t>
      </w:r>
      <w:r w:rsidRPr="00883399">
        <w:rPr>
          <w:b/>
        </w:rPr>
        <w:t>-e</w:t>
      </w:r>
    </w:p>
    <w:p w14:paraId="067FCE5E" w14:textId="77777777" w:rsidR="00872C03" w:rsidRPr="00883399" w:rsidRDefault="00872C03" w:rsidP="00872C03">
      <w:pPr>
        <w:pStyle w:val="paragraph"/>
        <w:rPr>
          <w:sz w:val="24"/>
        </w:rPr>
      </w:pPr>
    </w:p>
    <w:p w14:paraId="701C9655" w14:textId="21F4A6DF" w:rsidR="00872C03" w:rsidRPr="00883399" w:rsidRDefault="00872C03" w:rsidP="00872C03">
      <w:pPr>
        <w:pStyle w:val="ActHead3"/>
        <w:pageBreakBefore/>
        <w:rPr>
          <w:sz w:val="32"/>
        </w:rPr>
      </w:pPr>
      <w:bookmarkStart w:id="621" w:name="_Toc423516924"/>
      <w:bookmarkStart w:id="622" w:name="_Toc495652841"/>
      <w:r w:rsidRPr="00883399">
        <w:rPr>
          <w:rStyle w:val="CharDivNo"/>
          <w:sz w:val="32"/>
        </w:rPr>
        <w:lastRenderedPageBreak/>
        <w:t>Division 3.3.3</w:t>
      </w:r>
      <w:r w:rsidRPr="00883399">
        <w:rPr>
          <w:sz w:val="32"/>
        </w:rPr>
        <w:t>—</w:t>
      </w:r>
      <w:r w:rsidRPr="00883399">
        <w:rPr>
          <w:rStyle w:val="CharDivText"/>
          <w:sz w:val="32"/>
        </w:rPr>
        <w:t>Crude oil production</w:t>
      </w:r>
      <w:bookmarkEnd w:id="621"/>
      <w:bookmarkEnd w:id="622"/>
    </w:p>
    <w:p w14:paraId="13C01ED6" w14:textId="77777777" w:rsidR="00872C03" w:rsidRPr="00883399" w:rsidRDefault="00872C03" w:rsidP="00872C03">
      <w:pPr>
        <w:pStyle w:val="R2"/>
        <w:keepLines w:val="0"/>
        <w:spacing w:before="240" w:line="312" w:lineRule="auto"/>
        <w:ind w:left="0" w:firstLine="0"/>
        <w:jc w:val="left"/>
        <w:rPr>
          <w:rFonts w:ascii="Arial" w:hAnsi="Arial" w:cs="Arial"/>
          <w:sz w:val="22"/>
          <w:szCs w:val="22"/>
        </w:rPr>
      </w:pPr>
      <w:bookmarkStart w:id="623" w:name="_Toc423516925"/>
      <w:r w:rsidRPr="00883399">
        <w:rPr>
          <w:rFonts w:ascii="Arial" w:hAnsi="Arial" w:cs="Arial"/>
          <w:sz w:val="22"/>
          <w:szCs w:val="22"/>
        </w:rPr>
        <w:t xml:space="preserve">Emissions arise for this category from fugitive sources such as leaks, accidental releases, vents, storage losses and from flaring of fuels (that is, the combustion of fuels for non-productive or non-commercial reasons) – for example for health and safety reasons.   </w:t>
      </w:r>
    </w:p>
    <w:p w14:paraId="4C6BB735" w14:textId="05251C0A" w:rsidR="00872C03" w:rsidRPr="00883399" w:rsidRDefault="00872C03" w:rsidP="00872C03">
      <w:pPr>
        <w:pStyle w:val="ActHead4"/>
        <w:rPr>
          <w:sz w:val="28"/>
        </w:rPr>
      </w:pPr>
      <w:bookmarkStart w:id="624" w:name="_Toc495652842"/>
      <w:r w:rsidRPr="00883399">
        <w:rPr>
          <w:rStyle w:val="CharSubdNo"/>
          <w:sz w:val="28"/>
        </w:rPr>
        <w:t>Subdivision 3.3.3.1</w:t>
      </w:r>
      <w:r w:rsidRPr="00883399">
        <w:rPr>
          <w:sz w:val="28"/>
        </w:rPr>
        <w:t>—</w:t>
      </w:r>
      <w:r w:rsidRPr="00883399">
        <w:rPr>
          <w:rStyle w:val="CharSubdText"/>
          <w:sz w:val="28"/>
        </w:rPr>
        <w:t>Preliminary</w:t>
      </w:r>
      <w:bookmarkEnd w:id="623"/>
      <w:bookmarkEnd w:id="624"/>
    </w:p>
    <w:p w14:paraId="5B604052" w14:textId="053A59BE" w:rsidR="00872C03" w:rsidRPr="00883399" w:rsidRDefault="00872C03" w:rsidP="00872C03">
      <w:pPr>
        <w:pStyle w:val="ActHead5"/>
        <w:rPr>
          <w:sz w:val="28"/>
        </w:rPr>
      </w:pPr>
      <w:bookmarkStart w:id="625" w:name="_Toc423516926"/>
      <w:bookmarkStart w:id="626" w:name="_Toc495652843"/>
      <w:r w:rsidRPr="00883399">
        <w:rPr>
          <w:rStyle w:val="CharSectno"/>
          <w:sz w:val="28"/>
        </w:rPr>
        <w:t>3.47</w:t>
      </w:r>
      <w:r w:rsidRPr="00883399">
        <w:rPr>
          <w:sz w:val="28"/>
        </w:rPr>
        <w:t xml:space="preserve">  Application</w:t>
      </w:r>
      <w:bookmarkEnd w:id="625"/>
      <w:bookmarkEnd w:id="626"/>
    </w:p>
    <w:p w14:paraId="1690825A" w14:textId="77777777" w:rsidR="00872C03" w:rsidRPr="00883399" w:rsidRDefault="00872C03" w:rsidP="00872C03">
      <w:pPr>
        <w:pStyle w:val="subsection"/>
        <w:rPr>
          <w:sz w:val="24"/>
        </w:rPr>
      </w:pPr>
      <w:r w:rsidRPr="00883399">
        <w:rPr>
          <w:sz w:val="24"/>
        </w:rPr>
        <w:tab/>
        <w:t>(1)</w:t>
      </w:r>
      <w:r w:rsidRPr="00883399">
        <w:rPr>
          <w:sz w:val="24"/>
        </w:rPr>
        <w:tab/>
        <w:t>This Division applies to fugitive emissions from crude oil production activities, including emissions from flaring, from:</w:t>
      </w:r>
    </w:p>
    <w:p w14:paraId="40E57423" w14:textId="77777777" w:rsidR="00872C03" w:rsidRPr="00883399" w:rsidRDefault="00872C03" w:rsidP="00872C03">
      <w:pPr>
        <w:pStyle w:val="paragraph"/>
        <w:rPr>
          <w:sz w:val="24"/>
        </w:rPr>
      </w:pPr>
      <w:r w:rsidRPr="00883399">
        <w:rPr>
          <w:sz w:val="24"/>
        </w:rPr>
        <w:tab/>
        <w:t>(a)</w:t>
      </w:r>
      <w:r w:rsidRPr="00883399">
        <w:rPr>
          <w:sz w:val="24"/>
        </w:rPr>
        <w:tab/>
        <w:t>an oil wellhead; and</w:t>
      </w:r>
    </w:p>
    <w:p w14:paraId="3DA53A75" w14:textId="77777777" w:rsidR="00872C03" w:rsidRPr="00883399" w:rsidRDefault="00872C03" w:rsidP="00872C03">
      <w:pPr>
        <w:pStyle w:val="paragraph"/>
        <w:rPr>
          <w:sz w:val="24"/>
        </w:rPr>
      </w:pPr>
      <w:r w:rsidRPr="00883399">
        <w:rPr>
          <w:sz w:val="24"/>
        </w:rPr>
        <w:tab/>
        <w:t>(b)</w:t>
      </w:r>
      <w:r w:rsidRPr="00883399">
        <w:rPr>
          <w:sz w:val="24"/>
        </w:rPr>
        <w:tab/>
        <w:t>well servicing; and</w:t>
      </w:r>
    </w:p>
    <w:p w14:paraId="06C068E2" w14:textId="77777777" w:rsidR="00872C03" w:rsidRPr="00883399" w:rsidRDefault="00872C03" w:rsidP="00872C03">
      <w:pPr>
        <w:pStyle w:val="paragraph"/>
        <w:rPr>
          <w:sz w:val="24"/>
        </w:rPr>
      </w:pPr>
      <w:r w:rsidRPr="00883399">
        <w:rPr>
          <w:sz w:val="24"/>
        </w:rPr>
        <w:tab/>
        <w:t>(c)</w:t>
      </w:r>
      <w:r w:rsidRPr="00883399">
        <w:rPr>
          <w:sz w:val="24"/>
        </w:rPr>
        <w:tab/>
        <w:t>oil sands mining; and</w:t>
      </w:r>
    </w:p>
    <w:p w14:paraId="1E84596E" w14:textId="77777777" w:rsidR="00872C03" w:rsidRPr="00883399" w:rsidRDefault="00872C03" w:rsidP="00872C03">
      <w:pPr>
        <w:pStyle w:val="paragraph"/>
        <w:rPr>
          <w:sz w:val="24"/>
        </w:rPr>
      </w:pPr>
      <w:r w:rsidRPr="00883399">
        <w:rPr>
          <w:sz w:val="24"/>
        </w:rPr>
        <w:tab/>
        <w:t>(d)</w:t>
      </w:r>
      <w:r w:rsidRPr="00883399">
        <w:rPr>
          <w:sz w:val="24"/>
        </w:rPr>
        <w:tab/>
        <w:t>shale oil mining; and</w:t>
      </w:r>
    </w:p>
    <w:p w14:paraId="566794B2" w14:textId="77777777" w:rsidR="00872C03" w:rsidRPr="00883399" w:rsidRDefault="00872C03" w:rsidP="00872C03">
      <w:pPr>
        <w:pStyle w:val="paragraph"/>
        <w:rPr>
          <w:sz w:val="24"/>
        </w:rPr>
      </w:pPr>
      <w:r w:rsidRPr="00883399">
        <w:rPr>
          <w:sz w:val="24"/>
        </w:rPr>
        <w:tab/>
        <w:t>(e)</w:t>
      </w:r>
      <w:r w:rsidRPr="00883399">
        <w:rPr>
          <w:sz w:val="24"/>
        </w:rPr>
        <w:tab/>
        <w:t>the transportation of untreated production to treating or extraction plants; and</w:t>
      </w:r>
    </w:p>
    <w:p w14:paraId="5EC0524B" w14:textId="77777777" w:rsidR="00872C03" w:rsidRPr="00883399" w:rsidRDefault="00872C03" w:rsidP="00872C03">
      <w:pPr>
        <w:pStyle w:val="paragraph"/>
        <w:rPr>
          <w:sz w:val="24"/>
        </w:rPr>
      </w:pPr>
      <w:r w:rsidRPr="00883399">
        <w:rPr>
          <w:sz w:val="24"/>
        </w:rPr>
        <w:tab/>
        <w:t>(f)</w:t>
      </w:r>
      <w:r w:rsidRPr="00883399">
        <w:rPr>
          <w:sz w:val="24"/>
        </w:rPr>
        <w:tab/>
        <w:t>activities at extraction plants or heavy oil upgrading plants, and gas reinjection systems and produced water disposal systems associated with the those plants; and</w:t>
      </w:r>
    </w:p>
    <w:p w14:paraId="1321FB17" w14:textId="77777777" w:rsidR="00872C03" w:rsidRPr="00883399" w:rsidRDefault="00872C03" w:rsidP="00872C03">
      <w:pPr>
        <w:pStyle w:val="paragraph"/>
        <w:rPr>
          <w:strike/>
          <w:sz w:val="24"/>
        </w:rPr>
      </w:pPr>
      <w:r w:rsidRPr="00883399">
        <w:rPr>
          <w:sz w:val="24"/>
        </w:rPr>
        <w:tab/>
        <w:t>(g)</w:t>
      </w:r>
      <w:r w:rsidRPr="00883399">
        <w:rPr>
          <w:sz w:val="24"/>
        </w:rPr>
        <w:tab/>
        <w:t>activities at upgrading plants and associated gas reinjection systems and produced water disposal systems.</w:t>
      </w:r>
    </w:p>
    <w:p w14:paraId="19AA4DCA" w14:textId="77777777" w:rsidR="00872C03" w:rsidRPr="00883399" w:rsidRDefault="00872C03" w:rsidP="00872C03">
      <w:pPr>
        <w:pStyle w:val="subsection"/>
        <w:rPr>
          <w:sz w:val="24"/>
        </w:rPr>
      </w:pPr>
      <w:r w:rsidRPr="00883399">
        <w:rPr>
          <w:sz w:val="24"/>
        </w:rPr>
        <w:tab/>
        <w:t>(2)</w:t>
      </w:r>
      <w:r w:rsidRPr="00883399">
        <w:rPr>
          <w:sz w:val="24"/>
        </w:rPr>
        <w:tab/>
        <w:t xml:space="preserve">For paragraph (1)(e), </w:t>
      </w:r>
      <w:r w:rsidRPr="00883399">
        <w:rPr>
          <w:b/>
          <w:i/>
          <w:sz w:val="24"/>
        </w:rPr>
        <w:t>untreated production</w:t>
      </w:r>
      <w:r w:rsidRPr="00883399">
        <w:rPr>
          <w:sz w:val="24"/>
        </w:rPr>
        <w:t xml:space="preserve"> includes:</w:t>
      </w:r>
    </w:p>
    <w:p w14:paraId="35770D35" w14:textId="77777777" w:rsidR="00872C03" w:rsidRPr="00883399" w:rsidRDefault="00872C03" w:rsidP="00872C03">
      <w:pPr>
        <w:pStyle w:val="paragraph"/>
        <w:rPr>
          <w:sz w:val="24"/>
        </w:rPr>
      </w:pPr>
      <w:r w:rsidRPr="00883399">
        <w:rPr>
          <w:sz w:val="24"/>
        </w:rPr>
        <w:tab/>
        <w:t>(a)</w:t>
      </w:r>
      <w:r w:rsidRPr="00883399">
        <w:rPr>
          <w:sz w:val="24"/>
        </w:rPr>
        <w:tab/>
        <w:t>well effluent; and</w:t>
      </w:r>
    </w:p>
    <w:p w14:paraId="33428764" w14:textId="77777777" w:rsidR="00872C03" w:rsidRPr="00883399" w:rsidRDefault="00872C03" w:rsidP="00872C03">
      <w:pPr>
        <w:pStyle w:val="paragraph"/>
        <w:rPr>
          <w:sz w:val="24"/>
        </w:rPr>
      </w:pPr>
      <w:r w:rsidRPr="00883399">
        <w:rPr>
          <w:sz w:val="24"/>
        </w:rPr>
        <w:tab/>
        <w:t>(b)</w:t>
      </w:r>
      <w:r w:rsidRPr="00883399">
        <w:rPr>
          <w:sz w:val="24"/>
        </w:rPr>
        <w:tab/>
        <w:t>emulsion; and</w:t>
      </w:r>
    </w:p>
    <w:p w14:paraId="1A50D8B4" w14:textId="77777777" w:rsidR="00872C03" w:rsidRPr="00883399" w:rsidRDefault="00872C03" w:rsidP="00872C03">
      <w:pPr>
        <w:pStyle w:val="paragraph"/>
        <w:rPr>
          <w:sz w:val="24"/>
        </w:rPr>
      </w:pPr>
      <w:r w:rsidRPr="00883399">
        <w:rPr>
          <w:sz w:val="24"/>
        </w:rPr>
        <w:tab/>
        <w:t>(c)</w:t>
      </w:r>
      <w:r w:rsidRPr="00883399">
        <w:rPr>
          <w:sz w:val="24"/>
        </w:rPr>
        <w:tab/>
        <w:t>oil shale; and</w:t>
      </w:r>
    </w:p>
    <w:p w14:paraId="2A962EE9" w14:textId="77777777" w:rsidR="00872C03" w:rsidRPr="00883399" w:rsidRDefault="00872C03" w:rsidP="00872C03">
      <w:pPr>
        <w:pStyle w:val="paragraph"/>
        <w:rPr>
          <w:sz w:val="24"/>
        </w:rPr>
      </w:pPr>
      <w:r w:rsidRPr="00883399">
        <w:rPr>
          <w:sz w:val="24"/>
        </w:rPr>
        <w:tab/>
        <w:t>(d)</w:t>
      </w:r>
      <w:r w:rsidRPr="00883399">
        <w:rPr>
          <w:sz w:val="24"/>
        </w:rPr>
        <w:tab/>
        <w:t>oil sands.</w:t>
      </w:r>
    </w:p>
    <w:p w14:paraId="5E9258FD" w14:textId="233C773A" w:rsidR="00872C03" w:rsidRPr="00883399" w:rsidRDefault="00872C03" w:rsidP="00872C03">
      <w:pPr>
        <w:pStyle w:val="ActHead4"/>
        <w:rPr>
          <w:sz w:val="28"/>
        </w:rPr>
      </w:pPr>
      <w:bookmarkStart w:id="627" w:name="_Toc423516927"/>
      <w:bookmarkStart w:id="628" w:name="_Toc495652844"/>
      <w:r w:rsidRPr="00883399">
        <w:rPr>
          <w:rStyle w:val="CharSubdNo"/>
          <w:sz w:val="28"/>
        </w:rPr>
        <w:t>Subdivision 3.3.3.2</w:t>
      </w:r>
      <w:r w:rsidRPr="00883399">
        <w:rPr>
          <w:sz w:val="28"/>
        </w:rPr>
        <w:t>—</w:t>
      </w:r>
      <w:r w:rsidRPr="00883399">
        <w:rPr>
          <w:rStyle w:val="CharSubdText"/>
          <w:sz w:val="28"/>
        </w:rPr>
        <w:t>Crude oil production (non</w:t>
      </w:r>
      <w:r w:rsidRPr="00883399">
        <w:rPr>
          <w:rStyle w:val="CharSubdText"/>
          <w:sz w:val="28"/>
        </w:rPr>
        <w:noBreakHyphen/>
        <w:t>flared)—fugitive leak emissions of methane</w:t>
      </w:r>
      <w:bookmarkEnd w:id="627"/>
      <w:bookmarkEnd w:id="628"/>
    </w:p>
    <w:p w14:paraId="2F6CD287" w14:textId="77777777" w:rsidR="00872C03" w:rsidRPr="00883399" w:rsidRDefault="00872C03" w:rsidP="00872C03">
      <w:pPr>
        <w:spacing w:before="240" w:line="312" w:lineRule="auto"/>
        <w:rPr>
          <w:rFonts w:ascii="Arial" w:hAnsi="Arial" w:cs="Arial"/>
          <w:sz w:val="22"/>
        </w:rPr>
      </w:pPr>
      <w:bookmarkStart w:id="629" w:name="_Toc265135339"/>
      <w:bookmarkStart w:id="630" w:name="_Toc423516928"/>
      <w:r w:rsidRPr="00883399">
        <w:rPr>
          <w:rFonts w:ascii="Arial" w:hAnsi="Arial" w:cs="Arial"/>
          <w:sz w:val="22"/>
        </w:rPr>
        <w:t>Fugitive leakage emissions of methane may occur in crude oil production from sources such as the unintentional equipment leaks from valves, flanges, pump seals, compressor seals, relief valves, sampling connections, process drains, open-ended lines, casing, tanks and other leakage sources from pressurised equipment not classed as a vent.</w:t>
      </w:r>
      <w:bookmarkEnd w:id="629"/>
    </w:p>
    <w:p w14:paraId="7CD55F1A" w14:textId="50E648E2" w:rsidR="00872C03" w:rsidRPr="00883399" w:rsidRDefault="00872C03" w:rsidP="00872C03">
      <w:pPr>
        <w:pStyle w:val="ActHead5"/>
        <w:rPr>
          <w:sz w:val="28"/>
        </w:rPr>
      </w:pPr>
      <w:bookmarkStart w:id="631" w:name="_Toc495652845"/>
      <w:r w:rsidRPr="00883399">
        <w:rPr>
          <w:rStyle w:val="CharSectno"/>
          <w:sz w:val="28"/>
        </w:rPr>
        <w:lastRenderedPageBreak/>
        <w:t>3.48</w:t>
      </w:r>
      <w:r w:rsidRPr="00883399">
        <w:rPr>
          <w:sz w:val="28"/>
        </w:rPr>
        <w:t xml:space="preserve">  Available methods</w:t>
      </w:r>
      <w:bookmarkEnd w:id="630"/>
      <w:bookmarkEnd w:id="631"/>
    </w:p>
    <w:p w14:paraId="20AE7563" w14:textId="77777777" w:rsidR="00872C03" w:rsidRPr="00883399" w:rsidRDefault="00872C03" w:rsidP="00872C03">
      <w:pPr>
        <w:pStyle w:val="subsection"/>
        <w:rPr>
          <w:sz w:val="24"/>
        </w:rPr>
      </w:pPr>
      <w:r w:rsidRPr="00883399">
        <w:rPr>
          <w:sz w:val="24"/>
        </w:rPr>
        <w:tab/>
        <w:t>(1)</w:t>
      </w:r>
      <w:r w:rsidRPr="00883399">
        <w:rPr>
          <w:sz w:val="24"/>
        </w:rPr>
        <w:tab/>
        <w:t>Subject to section 1.18, for estimating fugitive emissions of methane, other than fugitive emissions of methane specified in subsection (1A), during a year from the operation of a facility that is constituted by crude oil production, one of the following methods must be used:</w:t>
      </w:r>
    </w:p>
    <w:p w14:paraId="5FDA2410" w14:textId="77777777" w:rsidR="00872C03" w:rsidRPr="00883399" w:rsidRDefault="00872C03" w:rsidP="00872C03">
      <w:pPr>
        <w:pStyle w:val="paragraph"/>
        <w:rPr>
          <w:sz w:val="24"/>
        </w:rPr>
      </w:pPr>
      <w:r w:rsidRPr="00883399">
        <w:rPr>
          <w:sz w:val="24"/>
        </w:rPr>
        <w:tab/>
        <w:t>(a)</w:t>
      </w:r>
      <w:r w:rsidRPr="00883399">
        <w:rPr>
          <w:sz w:val="24"/>
        </w:rPr>
        <w:tab/>
        <w:t>method 1 under section 3.49;</w:t>
      </w:r>
    </w:p>
    <w:p w14:paraId="4EA6767E" w14:textId="77777777" w:rsidR="00872C03" w:rsidRPr="00883399" w:rsidRDefault="00872C03" w:rsidP="00872C03">
      <w:pPr>
        <w:pStyle w:val="paragraph"/>
        <w:rPr>
          <w:sz w:val="24"/>
        </w:rPr>
      </w:pPr>
      <w:r w:rsidRPr="00883399">
        <w:rPr>
          <w:sz w:val="24"/>
        </w:rPr>
        <w:tab/>
        <w:t>(b)</w:t>
      </w:r>
      <w:r w:rsidRPr="00883399">
        <w:rPr>
          <w:sz w:val="24"/>
        </w:rPr>
        <w:tab/>
        <w:t>method 2 under section 3.50;</w:t>
      </w:r>
    </w:p>
    <w:p w14:paraId="631CA334" w14:textId="77777777" w:rsidR="00872C03" w:rsidRPr="00883399" w:rsidRDefault="00872C03" w:rsidP="00872C03">
      <w:pPr>
        <w:pStyle w:val="notetext"/>
        <w:rPr>
          <w:sz w:val="20"/>
        </w:rPr>
      </w:pPr>
      <w:r w:rsidRPr="00883399">
        <w:rPr>
          <w:sz w:val="20"/>
        </w:rPr>
        <w:t>Note:</w:t>
      </w:r>
      <w:r w:rsidRPr="00883399">
        <w:rPr>
          <w:sz w:val="20"/>
        </w:rPr>
        <w:tab/>
        <w:t>There is no method 3 or 4 for this Division.</w:t>
      </w:r>
    </w:p>
    <w:p w14:paraId="5CADDD27" w14:textId="77777777" w:rsidR="00872C03" w:rsidRPr="00883399" w:rsidRDefault="00872C03" w:rsidP="00872C03">
      <w:pPr>
        <w:pStyle w:val="subsection"/>
        <w:rPr>
          <w:sz w:val="24"/>
        </w:rPr>
      </w:pPr>
      <w:r w:rsidRPr="00883399">
        <w:rPr>
          <w:sz w:val="24"/>
        </w:rPr>
        <w:tab/>
        <w:t>(1A)</w:t>
      </w:r>
      <w:r w:rsidRPr="00883399">
        <w:rPr>
          <w:sz w:val="24"/>
        </w:rPr>
        <w:tab/>
        <w:t>For subsection (1), the following fugitive emissions of methane are specified:</w:t>
      </w:r>
    </w:p>
    <w:p w14:paraId="150A0427" w14:textId="77777777" w:rsidR="00872C03" w:rsidRPr="00883399" w:rsidRDefault="00872C03" w:rsidP="00872C03">
      <w:pPr>
        <w:pStyle w:val="paragraph"/>
        <w:rPr>
          <w:sz w:val="24"/>
        </w:rPr>
      </w:pPr>
      <w:r w:rsidRPr="00883399">
        <w:rPr>
          <w:sz w:val="24"/>
        </w:rPr>
        <w:tab/>
        <w:t>(a)</w:t>
      </w:r>
      <w:r w:rsidRPr="00883399">
        <w:rPr>
          <w:sz w:val="24"/>
        </w:rPr>
        <w:tab/>
        <w:t>fugitive emissions from oil or gas flaring;</w:t>
      </w:r>
    </w:p>
    <w:p w14:paraId="3C4DFD9F" w14:textId="77777777" w:rsidR="00872C03" w:rsidRPr="00883399" w:rsidRDefault="00872C03" w:rsidP="00872C03">
      <w:pPr>
        <w:pStyle w:val="paragraph"/>
        <w:rPr>
          <w:sz w:val="24"/>
        </w:rPr>
      </w:pPr>
      <w:r w:rsidRPr="00883399">
        <w:rPr>
          <w:sz w:val="24"/>
        </w:rPr>
        <w:tab/>
        <w:t>(b)</w:t>
      </w:r>
      <w:r w:rsidRPr="00883399">
        <w:rPr>
          <w:sz w:val="24"/>
        </w:rPr>
        <w:tab/>
        <w:t>fugitive emissions that result from system upsets, accidents or deliberate releases from process vents.</w:t>
      </w:r>
    </w:p>
    <w:p w14:paraId="1707921C" w14:textId="77777777" w:rsidR="00872C03" w:rsidRPr="00883399" w:rsidRDefault="00872C03" w:rsidP="00872C03">
      <w:pPr>
        <w:pStyle w:val="subsection"/>
        <w:rPr>
          <w:sz w:val="24"/>
        </w:rPr>
      </w:pPr>
      <w:r w:rsidRPr="00883399">
        <w:rPr>
          <w:sz w:val="24"/>
        </w:rPr>
        <w:tab/>
        <w:t>(2)</w:t>
      </w:r>
      <w:r w:rsidRPr="00883399">
        <w:rPr>
          <w:sz w:val="24"/>
        </w:rPr>
        <w:tab/>
        <w:t>However, for incidental emissions another method may be used that is consistent with the principles in section 1.13.</w:t>
      </w:r>
    </w:p>
    <w:p w14:paraId="187CEB61" w14:textId="77777777" w:rsidR="00872C03" w:rsidRPr="00883399" w:rsidRDefault="00872C03" w:rsidP="00872C03">
      <w:pPr>
        <w:pStyle w:val="R2"/>
        <w:ind w:left="965" w:hanging="58"/>
        <w:rPr>
          <w:b/>
        </w:rPr>
      </w:pPr>
      <w:r w:rsidRPr="00883399">
        <w:rPr>
          <w:b/>
        </w:rPr>
        <w:t>Summary of available methods, for estimating fugitive leak emissions from crude oil production (non-flared), by emissions of gas type (j)</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7"/>
        <w:gridCol w:w="1742"/>
        <w:gridCol w:w="1639"/>
        <w:gridCol w:w="1527"/>
      </w:tblGrid>
      <w:tr w:rsidR="00872C03" w:rsidRPr="00883399" w14:paraId="3312D42B" w14:textId="77777777" w:rsidTr="0031057E">
        <w:tc>
          <w:tcPr>
            <w:tcW w:w="2400" w:type="dxa"/>
            <w:shd w:val="clear" w:color="auto" w:fill="E6E6E6"/>
          </w:tcPr>
          <w:p w14:paraId="0B5EAC5A" w14:textId="77777777" w:rsidR="00872C03" w:rsidRPr="00883399" w:rsidRDefault="00872C03" w:rsidP="0031057E">
            <w:pPr>
              <w:pStyle w:val="Text"/>
            </w:pPr>
          </w:p>
        </w:tc>
        <w:tc>
          <w:tcPr>
            <w:tcW w:w="1800" w:type="dxa"/>
            <w:shd w:val="clear" w:color="auto" w:fill="E6E6E6"/>
          </w:tcPr>
          <w:p w14:paraId="4A06B071" w14:textId="77777777" w:rsidR="00872C03" w:rsidRPr="00883399" w:rsidRDefault="00872C03" w:rsidP="0031057E">
            <w:pPr>
              <w:pStyle w:val="Text"/>
            </w:pPr>
            <w:r w:rsidRPr="00883399">
              <w:t>CO</w:t>
            </w:r>
            <w:r w:rsidRPr="00883399">
              <w:rPr>
                <w:vertAlign w:val="subscript"/>
              </w:rPr>
              <w:t>2</w:t>
            </w:r>
          </w:p>
        </w:tc>
        <w:tc>
          <w:tcPr>
            <w:tcW w:w="1680" w:type="dxa"/>
            <w:shd w:val="clear" w:color="auto" w:fill="E6E6E6"/>
          </w:tcPr>
          <w:p w14:paraId="7DABBE48" w14:textId="77777777" w:rsidR="00872C03" w:rsidRPr="00883399" w:rsidRDefault="00872C03" w:rsidP="0031057E">
            <w:pPr>
              <w:pStyle w:val="Text"/>
            </w:pPr>
            <w:r w:rsidRPr="00883399">
              <w:t>CH</w:t>
            </w:r>
            <w:r w:rsidRPr="00883399">
              <w:rPr>
                <w:vertAlign w:val="subscript"/>
              </w:rPr>
              <w:t>4</w:t>
            </w:r>
          </w:p>
        </w:tc>
        <w:tc>
          <w:tcPr>
            <w:tcW w:w="1574" w:type="dxa"/>
            <w:shd w:val="clear" w:color="auto" w:fill="E6E6E6"/>
          </w:tcPr>
          <w:p w14:paraId="40AFCB30" w14:textId="77777777" w:rsidR="00872C03" w:rsidRPr="00883399" w:rsidRDefault="00872C03" w:rsidP="0031057E">
            <w:pPr>
              <w:pStyle w:val="Text"/>
            </w:pPr>
            <w:r w:rsidRPr="00883399">
              <w:t>N</w:t>
            </w:r>
            <w:r w:rsidRPr="00883399">
              <w:rPr>
                <w:vertAlign w:val="subscript"/>
              </w:rPr>
              <w:t>2</w:t>
            </w:r>
            <w:r w:rsidRPr="00883399">
              <w:t>O</w:t>
            </w:r>
          </w:p>
        </w:tc>
      </w:tr>
      <w:tr w:rsidR="00872C03" w:rsidRPr="00883399" w14:paraId="38932626" w14:textId="77777777" w:rsidTr="0031057E">
        <w:tc>
          <w:tcPr>
            <w:tcW w:w="2400" w:type="dxa"/>
          </w:tcPr>
          <w:p w14:paraId="74624664" w14:textId="77777777" w:rsidR="00872C03" w:rsidRPr="00883399" w:rsidRDefault="00872C03" w:rsidP="0031057E">
            <w:pPr>
              <w:pStyle w:val="Text"/>
              <w:spacing w:before="120" w:line="240" w:lineRule="auto"/>
              <w:rPr>
                <w:i/>
              </w:rPr>
            </w:pPr>
            <w:r w:rsidRPr="00883399">
              <w:t>Method 1</w:t>
            </w:r>
          </w:p>
        </w:tc>
        <w:tc>
          <w:tcPr>
            <w:tcW w:w="1800" w:type="dxa"/>
          </w:tcPr>
          <w:p w14:paraId="7933632F" w14:textId="77777777" w:rsidR="00872C03" w:rsidRPr="00883399" w:rsidRDefault="00872C03" w:rsidP="0031057E">
            <w:pPr>
              <w:pStyle w:val="Text"/>
              <w:spacing w:before="120" w:line="240" w:lineRule="auto"/>
            </w:pPr>
            <w:r w:rsidRPr="00883399">
              <w:t>NO</w:t>
            </w:r>
          </w:p>
        </w:tc>
        <w:tc>
          <w:tcPr>
            <w:tcW w:w="1680" w:type="dxa"/>
          </w:tcPr>
          <w:p w14:paraId="437101D4" w14:textId="77777777" w:rsidR="00872C03" w:rsidRPr="00883399" w:rsidRDefault="00872C03" w:rsidP="0031057E">
            <w:pPr>
              <w:pStyle w:val="Text"/>
              <w:spacing w:before="120" w:line="240" w:lineRule="auto"/>
            </w:pPr>
            <w:r w:rsidRPr="00883399">
              <w:t>Section 3.49</w:t>
            </w:r>
          </w:p>
        </w:tc>
        <w:tc>
          <w:tcPr>
            <w:tcW w:w="1574" w:type="dxa"/>
          </w:tcPr>
          <w:p w14:paraId="615FF050" w14:textId="77777777" w:rsidR="00872C03" w:rsidRPr="00883399" w:rsidRDefault="00872C03" w:rsidP="0031057E">
            <w:pPr>
              <w:pStyle w:val="Text"/>
              <w:spacing w:before="120" w:line="240" w:lineRule="auto"/>
            </w:pPr>
            <w:r w:rsidRPr="00883399">
              <w:t>NO</w:t>
            </w:r>
          </w:p>
        </w:tc>
      </w:tr>
      <w:tr w:rsidR="00872C03" w:rsidRPr="00883399" w14:paraId="7F472810" w14:textId="77777777" w:rsidTr="0031057E">
        <w:tc>
          <w:tcPr>
            <w:tcW w:w="2400" w:type="dxa"/>
          </w:tcPr>
          <w:p w14:paraId="002B47AA" w14:textId="77777777" w:rsidR="00872C03" w:rsidRPr="00883399" w:rsidRDefault="00872C03" w:rsidP="0031057E">
            <w:pPr>
              <w:pStyle w:val="Text"/>
              <w:spacing w:before="120" w:line="240" w:lineRule="auto"/>
            </w:pPr>
            <w:r w:rsidRPr="00883399">
              <w:t>Method 2</w:t>
            </w:r>
          </w:p>
        </w:tc>
        <w:tc>
          <w:tcPr>
            <w:tcW w:w="1800" w:type="dxa"/>
          </w:tcPr>
          <w:p w14:paraId="1768FFA7" w14:textId="77777777" w:rsidR="00872C03" w:rsidRPr="00883399" w:rsidRDefault="00872C03" w:rsidP="0031057E">
            <w:pPr>
              <w:pStyle w:val="Text"/>
              <w:spacing w:before="120" w:line="240" w:lineRule="auto"/>
            </w:pPr>
            <w:r w:rsidRPr="00883399">
              <w:t>NO</w:t>
            </w:r>
          </w:p>
        </w:tc>
        <w:tc>
          <w:tcPr>
            <w:tcW w:w="1680" w:type="dxa"/>
          </w:tcPr>
          <w:p w14:paraId="32247AAB" w14:textId="77777777" w:rsidR="00872C03" w:rsidRPr="00883399" w:rsidRDefault="00872C03" w:rsidP="0031057E">
            <w:pPr>
              <w:pStyle w:val="Text"/>
              <w:spacing w:before="120" w:line="240" w:lineRule="auto"/>
            </w:pPr>
            <w:r w:rsidRPr="00883399">
              <w:t>Section 3.50</w:t>
            </w:r>
          </w:p>
        </w:tc>
        <w:tc>
          <w:tcPr>
            <w:tcW w:w="1574" w:type="dxa"/>
          </w:tcPr>
          <w:p w14:paraId="3C82C187" w14:textId="77777777" w:rsidR="00872C03" w:rsidRPr="00883399" w:rsidRDefault="00872C03" w:rsidP="0031057E">
            <w:pPr>
              <w:pStyle w:val="Text"/>
              <w:spacing w:before="120" w:line="240" w:lineRule="auto"/>
            </w:pPr>
            <w:r w:rsidRPr="00883399">
              <w:t>NO</w:t>
            </w:r>
          </w:p>
        </w:tc>
      </w:tr>
      <w:tr w:rsidR="00872C03" w:rsidRPr="00883399" w14:paraId="3B7B2EC4" w14:textId="77777777" w:rsidTr="0031057E">
        <w:tc>
          <w:tcPr>
            <w:tcW w:w="2400" w:type="dxa"/>
          </w:tcPr>
          <w:p w14:paraId="67D8EDB7" w14:textId="77777777" w:rsidR="00872C03" w:rsidRPr="00883399" w:rsidRDefault="00872C03" w:rsidP="0031057E">
            <w:pPr>
              <w:pStyle w:val="Text"/>
              <w:spacing w:before="120" w:line="240" w:lineRule="auto"/>
            </w:pPr>
            <w:r w:rsidRPr="00883399">
              <w:t>Method 3</w:t>
            </w:r>
          </w:p>
        </w:tc>
        <w:tc>
          <w:tcPr>
            <w:tcW w:w="1800" w:type="dxa"/>
          </w:tcPr>
          <w:p w14:paraId="082461B9" w14:textId="77777777" w:rsidR="00872C03" w:rsidRPr="00883399" w:rsidRDefault="00872C03" w:rsidP="0031057E">
            <w:pPr>
              <w:pStyle w:val="Text"/>
              <w:spacing w:before="120" w:line="240" w:lineRule="auto"/>
            </w:pPr>
            <w:r w:rsidRPr="00883399">
              <w:t>NO</w:t>
            </w:r>
          </w:p>
        </w:tc>
        <w:tc>
          <w:tcPr>
            <w:tcW w:w="1680" w:type="dxa"/>
          </w:tcPr>
          <w:p w14:paraId="76C59A52" w14:textId="77777777" w:rsidR="00872C03" w:rsidRPr="00883399" w:rsidRDefault="00872C03" w:rsidP="0031057E">
            <w:pPr>
              <w:pStyle w:val="Text"/>
              <w:spacing w:before="120" w:line="240" w:lineRule="auto"/>
            </w:pPr>
            <w:r w:rsidRPr="00883399">
              <w:t>NA</w:t>
            </w:r>
          </w:p>
        </w:tc>
        <w:tc>
          <w:tcPr>
            <w:tcW w:w="1574" w:type="dxa"/>
          </w:tcPr>
          <w:p w14:paraId="15BE2AC3" w14:textId="77777777" w:rsidR="00872C03" w:rsidRPr="00883399" w:rsidRDefault="00872C03" w:rsidP="0031057E">
            <w:pPr>
              <w:pStyle w:val="Text"/>
              <w:spacing w:before="120" w:line="240" w:lineRule="auto"/>
            </w:pPr>
            <w:r w:rsidRPr="00883399">
              <w:t>NO</w:t>
            </w:r>
          </w:p>
        </w:tc>
      </w:tr>
      <w:tr w:rsidR="00872C03" w:rsidRPr="00883399" w14:paraId="11234D53" w14:textId="77777777" w:rsidTr="0031057E">
        <w:tc>
          <w:tcPr>
            <w:tcW w:w="2400" w:type="dxa"/>
          </w:tcPr>
          <w:p w14:paraId="7FBDEA51" w14:textId="77777777" w:rsidR="00872C03" w:rsidRPr="00883399" w:rsidRDefault="00872C03" w:rsidP="0031057E">
            <w:pPr>
              <w:pStyle w:val="Text"/>
              <w:spacing w:before="120" w:line="240" w:lineRule="auto"/>
            </w:pPr>
            <w:r w:rsidRPr="00883399">
              <w:t>Method 4</w:t>
            </w:r>
          </w:p>
        </w:tc>
        <w:tc>
          <w:tcPr>
            <w:tcW w:w="1800" w:type="dxa"/>
          </w:tcPr>
          <w:p w14:paraId="33D332D1" w14:textId="77777777" w:rsidR="00872C03" w:rsidRPr="00883399" w:rsidRDefault="00872C03" w:rsidP="0031057E">
            <w:pPr>
              <w:pStyle w:val="Text"/>
              <w:spacing w:before="120" w:line="240" w:lineRule="auto"/>
            </w:pPr>
            <w:r w:rsidRPr="00883399">
              <w:t>NO</w:t>
            </w:r>
          </w:p>
        </w:tc>
        <w:tc>
          <w:tcPr>
            <w:tcW w:w="1680" w:type="dxa"/>
          </w:tcPr>
          <w:p w14:paraId="48514C79" w14:textId="77777777" w:rsidR="00872C03" w:rsidRPr="00883399" w:rsidRDefault="00872C03" w:rsidP="0031057E">
            <w:pPr>
              <w:pStyle w:val="Text"/>
              <w:spacing w:before="120" w:line="240" w:lineRule="auto"/>
            </w:pPr>
            <w:r w:rsidRPr="00883399">
              <w:t>NA</w:t>
            </w:r>
          </w:p>
        </w:tc>
        <w:tc>
          <w:tcPr>
            <w:tcW w:w="1574" w:type="dxa"/>
          </w:tcPr>
          <w:p w14:paraId="71EFA1E9" w14:textId="77777777" w:rsidR="00872C03" w:rsidRPr="00883399" w:rsidRDefault="00872C03" w:rsidP="0031057E">
            <w:pPr>
              <w:pStyle w:val="Text"/>
              <w:spacing w:before="120" w:line="240" w:lineRule="auto"/>
            </w:pPr>
            <w:r w:rsidRPr="00883399">
              <w:t>NO</w:t>
            </w:r>
          </w:p>
        </w:tc>
      </w:tr>
    </w:tbl>
    <w:p w14:paraId="125A2F5D" w14:textId="77777777" w:rsidR="00872C03" w:rsidRPr="00883399" w:rsidRDefault="00872C03" w:rsidP="00872C03">
      <w:pPr>
        <w:pStyle w:val="Text"/>
        <w:ind w:left="960"/>
        <w:rPr>
          <w:rStyle w:val="CharSectno"/>
        </w:rPr>
      </w:pPr>
      <w:r w:rsidRPr="00883399">
        <w:t>NA = Not available.  NO = Not occurring</w:t>
      </w:r>
    </w:p>
    <w:p w14:paraId="28D7BDD5" w14:textId="6BD0DF9D" w:rsidR="00872C03" w:rsidRPr="00883399" w:rsidRDefault="00872C03" w:rsidP="00872C03">
      <w:pPr>
        <w:pStyle w:val="ActHead5"/>
        <w:rPr>
          <w:sz w:val="28"/>
        </w:rPr>
      </w:pPr>
      <w:bookmarkStart w:id="632" w:name="_Toc423516929"/>
      <w:bookmarkStart w:id="633" w:name="_Toc495652846"/>
      <w:r w:rsidRPr="00883399">
        <w:rPr>
          <w:rStyle w:val="CharSectno"/>
          <w:sz w:val="28"/>
        </w:rPr>
        <w:t>3.49</w:t>
      </w:r>
      <w:r w:rsidRPr="00883399">
        <w:rPr>
          <w:sz w:val="28"/>
        </w:rPr>
        <w:t xml:space="preserve">  Method 1—crude oil production (non</w:t>
      </w:r>
      <w:r w:rsidRPr="00883399">
        <w:rPr>
          <w:sz w:val="28"/>
        </w:rPr>
        <w:noBreakHyphen/>
        <w:t>flared) emissions of methane</w:t>
      </w:r>
      <w:bookmarkEnd w:id="632"/>
      <w:bookmarkEnd w:id="633"/>
    </w:p>
    <w:p w14:paraId="779A4CF2" w14:textId="77777777" w:rsidR="00872C03" w:rsidRPr="00883399" w:rsidRDefault="00872C03" w:rsidP="00872C03">
      <w:pPr>
        <w:pStyle w:val="subsection"/>
        <w:rPr>
          <w:sz w:val="24"/>
        </w:rPr>
      </w:pPr>
      <w:r w:rsidRPr="00883399">
        <w:rPr>
          <w:sz w:val="24"/>
        </w:rPr>
        <w:tab/>
        <w:t>(1)</w:t>
      </w:r>
      <w:r w:rsidRPr="00883399">
        <w:rPr>
          <w:sz w:val="24"/>
        </w:rPr>
        <w:tab/>
        <w:t>Method 1 is:</w:t>
      </w:r>
    </w:p>
    <w:p w14:paraId="7586E56F" w14:textId="476B656D"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76CC1363" wp14:editId="0E10ABA4">
            <wp:extent cx="2609850" cy="2381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609850" cy="238125"/>
                    </a:xfrm>
                    <a:prstGeom prst="rect">
                      <a:avLst/>
                    </a:prstGeom>
                    <a:noFill/>
                    <a:ln>
                      <a:noFill/>
                    </a:ln>
                  </pic:spPr>
                </pic:pic>
              </a:graphicData>
            </a:graphic>
          </wp:inline>
        </w:drawing>
      </w:r>
    </w:p>
    <w:p w14:paraId="531CC78A" w14:textId="77777777" w:rsidR="00872C03" w:rsidRPr="00883399" w:rsidRDefault="00872C03" w:rsidP="00872C03">
      <w:pPr>
        <w:pStyle w:val="subsection2"/>
        <w:rPr>
          <w:sz w:val="24"/>
        </w:rPr>
      </w:pPr>
      <w:r w:rsidRPr="00883399">
        <w:rPr>
          <w:sz w:val="24"/>
        </w:rPr>
        <w:t>where:</w:t>
      </w:r>
    </w:p>
    <w:p w14:paraId="121FC87C" w14:textId="77777777" w:rsidR="00872C03" w:rsidRPr="00883399" w:rsidRDefault="00872C03" w:rsidP="00872C03">
      <w:pPr>
        <w:pStyle w:val="Definition0"/>
        <w:rPr>
          <w:sz w:val="24"/>
        </w:rPr>
      </w:pPr>
      <w:r w:rsidRPr="00883399">
        <w:rPr>
          <w:b/>
          <w:i/>
          <w:sz w:val="24"/>
        </w:rPr>
        <w:t>E</w:t>
      </w:r>
      <w:r w:rsidRPr="00883399">
        <w:rPr>
          <w:b/>
          <w:i/>
          <w:sz w:val="24"/>
          <w:vertAlign w:val="subscript"/>
        </w:rPr>
        <w:t>ij</w:t>
      </w:r>
      <w:r w:rsidRPr="00883399">
        <w:rPr>
          <w:b/>
          <w:i/>
          <w:sz w:val="24"/>
        </w:rPr>
        <w:t xml:space="preserve"> </w:t>
      </w:r>
      <w:r w:rsidRPr="00883399">
        <w:rPr>
          <w:sz w:val="24"/>
        </w:rPr>
        <w:t>is the fugitive emissions of methane (</w:t>
      </w:r>
      <w:r w:rsidRPr="00883399">
        <w:rPr>
          <w:b/>
          <w:i/>
          <w:sz w:val="24"/>
        </w:rPr>
        <w:t>j</w:t>
      </w:r>
      <w:r w:rsidRPr="00883399">
        <w:rPr>
          <w:sz w:val="24"/>
        </w:rPr>
        <w:t>) from the crude oil production during the year measured in CO</w:t>
      </w:r>
      <w:r w:rsidRPr="00883399">
        <w:rPr>
          <w:rStyle w:val="charSubscript"/>
          <w:iCs/>
          <w:sz w:val="22"/>
        </w:rPr>
        <w:t>2</w:t>
      </w:r>
      <w:r w:rsidRPr="00883399">
        <w:rPr>
          <w:sz w:val="24"/>
        </w:rPr>
        <w:noBreakHyphen/>
        <w:t>e tonnes.</w:t>
      </w:r>
    </w:p>
    <w:p w14:paraId="685AFE3B" w14:textId="77777777" w:rsidR="00872C03" w:rsidRPr="00883399" w:rsidRDefault="00872C03" w:rsidP="00872C03">
      <w:pPr>
        <w:pStyle w:val="Definition0"/>
        <w:rPr>
          <w:sz w:val="24"/>
        </w:rPr>
      </w:pPr>
      <w:r w:rsidRPr="00883399">
        <w:rPr>
          <w:b/>
          <w:i/>
          <w:sz w:val="24"/>
        </w:rPr>
        <w:lastRenderedPageBreak/>
        <w:t>Σ</w:t>
      </w:r>
      <w:r w:rsidRPr="00883399">
        <w:rPr>
          <w:b/>
          <w:i/>
          <w:sz w:val="24"/>
          <w:vertAlign w:val="subscript"/>
        </w:rPr>
        <w:t xml:space="preserve">k </w:t>
      </w:r>
      <w:r w:rsidRPr="00883399">
        <w:rPr>
          <w:sz w:val="24"/>
        </w:rPr>
        <w:t>is the emissions of methane (</w:t>
      </w:r>
      <w:r w:rsidRPr="00883399">
        <w:rPr>
          <w:b/>
          <w:i/>
          <w:sz w:val="24"/>
        </w:rPr>
        <w:t>j</w:t>
      </w:r>
      <w:r w:rsidRPr="00883399">
        <w:rPr>
          <w:sz w:val="24"/>
        </w:rPr>
        <w:t>) measured in tonnes of CO</w:t>
      </w:r>
      <w:r w:rsidRPr="00883399">
        <w:rPr>
          <w:rStyle w:val="charSubscript"/>
          <w:iCs/>
          <w:sz w:val="22"/>
        </w:rPr>
        <w:t>2</w:t>
      </w:r>
      <w:r w:rsidRPr="00883399">
        <w:rPr>
          <w:sz w:val="24"/>
        </w:rPr>
        <w:noBreakHyphen/>
        <w:t>e and estimated by summing up the emissions released from all of the equipment of type (</w:t>
      </w:r>
      <w:r w:rsidRPr="00883399">
        <w:rPr>
          <w:b/>
          <w:i/>
          <w:sz w:val="24"/>
        </w:rPr>
        <w:t>k</w:t>
      </w:r>
      <w:r w:rsidRPr="00883399">
        <w:rPr>
          <w:sz w:val="24"/>
        </w:rPr>
        <w:t>) specified in column 2 of the table in subsection (2), if the equipment is used in the crude oil production.</w:t>
      </w:r>
    </w:p>
    <w:p w14:paraId="05D81EB0" w14:textId="77777777" w:rsidR="00872C03" w:rsidRPr="00883399" w:rsidRDefault="00872C03" w:rsidP="00872C03">
      <w:pPr>
        <w:pStyle w:val="Definition0"/>
        <w:rPr>
          <w:sz w:val="24"/>
        </w:rPr>
      </w:pPr>
      <w:r w:rsidRPr="00883399">
        <w:rPr>
          <w:b/>
          <w:i/>
          <w:sz w:val="24"/>
        </w:rPr>
        <w:t>Q</w:t>
      </w:r>
      <w:r w:rsidRPr="00883399">
        <w:rPr>
          <w:b/>
          <w:i/>
          <w:sz w:val="24"/>
          <w:vertAlign w:val="subscript"/>
        </w:rPr>
        <w:t xml:space="preserve">ik </w:t>
      </w:r>
      <w:r w:rsidRPr="00883399">
        <w:rPr>
          <w:sz w:val="24"/>
        </w:rPr>
        <w:t>is the total of the quantities of crude oil measured in tonnes that pass through each equipment of type (</w:t>
      </w:r>
      <w:r w:rsidRPr="00883399">
        <w:rPr>
          <w:b/>
          <w:i/>
          <w:sz w:val="24"/>
        </w:rPr>
        <w:t>k</w:t>
      </w:r>
      <w:r w:rsidRPr="00883399">
        <w:rPr>
          <w:sz w:val="24"/>
        </w:rPr>
        <w:t>) specified in column 2 of the table in subsection (2) during the year, if the equipment is used in the crude oil production.</w:t>
      </w:r>
    </w:p>
    <w:p w14:paraId="4F1E0613" w14:textId="77777777" w:rsidR="00872C03" w:rsidRPr="00883399" w:rsidRDefault="00872C03" w:rsidP="00872C03">
      <w:pPr>
        <w:pStyle w:val="Definition0"/>
        <w:rPr>
          <w:sz w:val="24"/>
        </w:rPr>
      </w:pPr>
      <w:r w:rsidRPr="00883399">
        <w:rPr>
          <w:b/>
          <w:i/>
          <w:sz w:val="24"/>
        </w:rPr>
        <w:t>EF</w:t>
      </w:r>
      <w:r w:rsidRPr="00883399">
        <w:rPr>
          <w:b/>
          <w:i/>
          <w:sz w:val="24"/>
          <w:vertAlign w:val="subscript"/>
        </w:rPr>
        <w:t>ijk</w:t>
      </w:r>
      <w:r w:rsidRPr="00883399">
        <w:rPr>
          <w:b/>
          <w:i/>
          <w:sz w:val="24"/>
        </w:rPr>
        <w:t xml:space="preserve"> </w:t>
      </w:r>
      <w:r w:rsidRPr="00883399">
        <w:rPr>
          <w:sz w:val="24"/>
        </w:rPr>
        <w:t>is the emission factor for methane (</w:t>
      </w:r>
      <w:r w:rsidRPr="00883399">
        <w:rPr>
          <w:b/>
          <w:i/>
          <w:sz w:val="24"/>
        </w:rPr>
        <w:t>j</w:t>
      </w:r>
      <w:r w:rsidRPr="00883399">
        <w:rPr>
          <w:sz w:val="24"/>
        </w:rPr>
        <w:t>) measured in tonnes of CO</w:t>
      </w:r>
      <w:r w:rsidRPr="00883399">
        <w:rPr>
          <w:rStyle w:val="charSubscript"/>
          <w:iCs/>
          <w:sz w:val="22"/>
        </w:rPr>
        <w:t>2</w:t>
      </w:r>
      <w:r w:rsidRPr="00883399">
        <w:rPr>
          <w:sz w:val="24"/>
        </w:rPr>
        <w:noBreakHyphen/>
        <w:t>e per tonne of crude oil that passes through each equipment of type (</w:t>
      </w:r>
      <w:r w:rsidRPr="00883399">
        <w:rPr>
          <w:b/>
          <w:i/>
          <w:sz w:val="24"/>
        </w:rPr>
        <w:t>k</w:t>
      </w:r>
      <w:r w:rsidRPr="00883399">
        <w:rPr>
          <w:sz w:val="24"/>
        </w:rPr>
        <w:t>) specified in column 2 of the table in subsection (2) during the year, if the equipment is used in the crude oil production.</w:t>
      </w:r>
    </w:p>
    <w:p w14:paraId="4DDBF353" w14:textId="77777777" w:rsidR="00872C03" w:rsidRPr="00883399" w:rsidRDefault="00872C03" w:rsidP="00872C03">
      <w:pPr>
        <w:pStyle w:val="Definition0"/>
        <w:rPr>
          <w:sz w:val="24"/>
        </w:rPr>
      </w:pPr>
      <w:r w:rsidRPr="00883399">
        <w:rPr>
          <w:b/>
          <w:i/>
          <w:sz w:val="24"/>
        </w:rPr>
        <w:t>Q</w:t>
      </w:r>
      <w:r w:rsidRPr="00883399">
        <w:rPr>
          <w:b/>
          <w:i/>
          <w:sz w:val="24"/>
          <w:vertAlign w:val="subscript"/>
        </w:rPr>
        <w:t>i</w:t>
      </w:r>
      <w:r w:rsidRPr="00883399">
        <w:rPr>
          <w:b/>
          <w:i/>
          <w:sz w:val="24"/>
        </w:rPr>
        <w:t xml:space="preserve"> </w:t>
      </w:r>
      <w:r w:rsidRPr="00883399">
        <w:rPr>
          <w:sz w:val="24"/>
        </w:rPr>
        <w:t>is the total quantity of crude oil (</w:t>
      </w:r>
      <w:r w:rsidRPr="00883399">
        <w:rPr>
          <w:b/>
          <w:i/>
          <w:sz w:val="24"/>
        </w:rPr>
        <w:t>i</w:t>
      </w:r>
      <w:r w:rsidRPr="00883399">
        <w:rPr>
          <w:sz w:val="24"/>
        </w:rPr>
        <w:t>) measured in tonnes that passes through the crude oil production.</w:t>
      </w:r>
    </w:p>
    <w:p w14:paraId="0A128AA0" w14:textId="77777777" w:rsidR="00872C03" w:rsidRPr="00883399" w:rsidRDefault="00872C03" w:rsidP="00872C03">
      <w:pPr>
        <w:pStyle w:val="Definition0"/>
        <w:rPr>
          <w:sz w:val="24"/>
        </w:rPr>
      </w:pPr>
      <w:r w:rsidRPr="00883399">
        <w:rPr>
          <w:b/>
          <w:i/>
          <w:sz w:val="24"/>
        </w:rPr>
        <w:t>EF</w:t>
      </w:r>
      <w:r w:rsidRPr="00883399">
        <w:rPr>
          <w:b/>
          <w:i/>
          <w:sz w:val="24"/>
          <w:vertAlign w:val="subscript"/>
        </w:rPr>
        <w:t xml:space="preserve">(l) ij </w:t>
      </w:r>
      <w:r w:rsidRPr="00883399">
        <w:rPr>
          <w:sz w:val="24"/>
        </w:rPr>
        <w:t>is 1.4 x 10</w:t>
      </w:r>
      <w:r w:rsidRPr="00883399">
        <w:rPr>
          <w:rStyle w:val="charSuperscript"/>
          <w:sz w:val="24"/>
        </w:rPr>
        <w:noBreakHyphen/>
        <w:t>3</w:t>
      </w:r>
      <w:r w:rsidRPr="00883399">
        <w:rPr>
          <w:sz w:val="24"/>
        </w:rPr>
        <w:t>, which is the emission factor for methane (</w:t>
      </w:r>
      <w:r w:rsidRPr="00883399">
        <w:rPr>
          <w:b/>
          <w:i/>
          <w:sz w:val="24"/>
        </w:rPr>
        <w:t>j</w:t>
      </w:r>
      <w:r w:rsidRPr="00883399">
        <w:rPr>
          <w:sz w:val="24"/>
        </w:rPr>
        <w:t xml:space="preserve">) from general leaks in the crude oil production, measured in </w:t>
      </w:r>
      <w:r w:rsidRPr="00883399">
        <w:rPr>
          <w:bCs/>
          <w:sz w:val="24"/>
        </w:rPr>
        <w:t>CO</w:t>
      </w:r>
      <w:r w:rsidRPr="00883399">
        <w:rPr>
          <w:rStyle w:val="charSubscript"/>
          <w:bCs/>
          <w:sz w:val="22"/>
        </w:rPr>
        <w:t>2</w:t>
      </w:r>
      <w:r w:rsidRPr="00883399">
        <w:rPr>
          <w:bCs/>
          <w:sz w:val="24"/>
        </w:rPr>
        <w:noBreakHyphen/>
        <w:t xml:space="preserve">e </w:t>
      </w:r>
      <w:r w:rsidRPr="00883399">
        <w:rPr>
          <w:sz w:val="24"/>
        </w:rPr>
        <w:t>tonnes per tonne of crude oil that passes through the crude oil production.</w:t>
      </w:r>
    </w:p>
    <w:p w14:paraId="045CDCF1" w14:textId="77777777" w:rsidR="00872C03" w:rsidRPr="00883399" w:rsidRDefault="00872C03" w:rsidP="00872C03">
      <w:pPr>
        <w:pStyle w:val="subsection"/>
        <w:rPr>
          <w:sz w:val="24"/>
        </w:rPr>
      </w:pPr>
      <w:r w:rsidRPr="00883399">
        <w:rPr>
          <w:sz w:val="24"/>
        </w:rPr>
        <w:tab/>
        <w:t>(2)</w:t>
      </w:r>
      <w:r w:rsidRPr="00883399">
        <w:rPr>
          <w:sz w:val="24"/>
        </w:rPr>
        <w:tab/>
        <w:t xml:space="preserve">For </w:t>
      </w:r>
      <w:r w:rsidRPr="00883399">
        <w:rPr>
          <w:b/>
          <w:i/>
          <w:sz w:val="24"/>
        </w:rPr>
        <w:t>EF</w:t>
      </w:r>
      <w:r w:rsidRPr="00883399">
        <w:rPr>
          <w:b/>
          <w:i/>
          <w:sz w:val="24"/>
          <w:vertAlign w:val="subscript"/>
        </w:rPr>
        <w:t>ijk</w:t>
      </w:r>
      <w:r w:rsidRPr="00883399">
        <w:rPr>
          <w:i/>
          <w:sz w:val="24"/>
          <w:vertAlign w:val="subscript"/>
        </w:rPr>
        <w:t xml:space="preserve"> </w:t>
      </w:r>
      <w:r w:rsidRPr="00883399">
        <w:rPr>
          <w:sz w:val="24"/>
        </w:rPr>
        <w:t>mentioned in subsection (1), column 3 of an item in the following table specifies the emission factor for an equipment of type (</w:t>
      </w:r>
      <w:r w:rsidRPr="00883399">
        <w:rPr>
          <w:b/>
          <w:i/>
          <w:sz w:val="24"/>
        </w:rPr>
        <w:t>k</w:t>
      </w:r>
      <w:r w:rsidRPr="00883399">
        <w:rPr>
          <w:sz w:val="24"/>
        </w:rPr>
        <w:t>) specified in column 2 of that item:</w:t>
      </w:r>
    </w:p>
    <w:p w14:paraId="7994C198" w14:textId="77777777" w:rsidR="00872C03" w:rsidRPr="00883399" w:rsidRDefault="00872C03" w:rsidP="00872C03">
      <w:pPr>
        <w:pStyle w:val="Tabletext0"/>
        <w:rPr>
          <w:sz w:val="22"/>
        </w:rPr>
      </w:pPr>
    </w:p>
    <w:tbl>
      <w:tblPr>
        <w:tblW w:w="7440" w:type="dxa"/>
        <w:tblInd w:w="1068" w:type="dxa"/>
        <w:tblLook w:val="0000" w:firstRow="0" w:lastRow="0" w:firstColumn="0" w:lastColumn="0" w:noHBand="0" w:noVBand="0"/>
      </w:tblPr>
      <w:tblGrid>
        <w:gridCol w:w="1560"/>
        <w:gridCol w:w="2160"/>
        <w:gridCol w:w="3720"/>
      </w:tblGrid>
      <w:tr w:rsidR="00872C03" w:rsidRPr="00883399" w14:paraId="09CA2DD1" w14:textId="77777777" w:rsidTr="0031057E">
        <w:trPr>
          <w:cantSplit/>
          <w:tblHeader/>
        </w:trPr>
        <w:tc>
          <w:tcPr>
            <w:tcW w:w="1560" w:type="dxa"/>
            <w:tcBorders>
              <w:top w:val="single" w:sz="12" w:space="0" w:color="auto"/>
            </w:tcBorders>
            <w:shd w:val="clear" w:color="auto" w:fill="auto"/>
          </w:tcPr>
          <w:p w14:paraId="5AD3DF53" w14:textId="77777777" w:rsidR="00872C03" w:rsidRPr="00883399" w:rsidRDefault="00872C03" w:rsidP="0031057E">
            <w:pPr>
              <w:pStyle w:val="TableHeading"/>
              <w:rPr>
                <w:sz w:val="22"/>
              </w:rPr>
            </w:pPr>
            <w:r w:rsidRPr="00883399">
              <w:rPr>
                <w:sz w:val="22"/>
              </w:rPr>
              <w:t>Item</w:t>
            </w:r>
          </w:p>
        </w:tc>
        <w:tc>
          <w:tcPr>
            <w:tcW w:w="2160" w:type="dxa"/>
            <w:vMerge w:val="restart"/>
            <w:tcBorders>
              <w:top w:val="single" w:sz="12" w:space="0" w:color="auto"/>
            </w:tcBorders>
            <w:shd w:val="clear" w:color="auto" w:fill="auto"/>
          </w:tcPr>
          <w:p w14:paraId="0D2B5DC7" w14:textId="77777777" w:rsidR="00872C03" w:rsidRPr="00883399" w:rsidRDefault="00872C03" w:rsidP="0031057E">
            <w:pPr>
              <w:pStyle w:val="TableHeading"/>
              <w:rPr>
                <w:sz w:val="22"/>
              </w:rPr>
            </w:pPr>
            <w:r w:rsidRPr="00883399">
              <w:rPr>
                <w:sz w:val="22"/>
              </w:rPr>
              <w:t>Equipment type (k)</w:t>
            </w:r>
          </w:p>
        </w:tc>
        <w:tc>
          <w:tcPr>
            <w:tcW w:w="3720" w:type="dxa"/>
            <w:tcBorders>
              <w:top w:val="single" w:sz="12" w:space="0" w:color="auto"/>
              <w:bottom w:val="single" w:sz="4" w:space="0" w:color="auto"/>
            </w:tcBorders>
            <w:shd w:val="clear" w:color="auto" w:fill="auto"/>
          </w:tcPr>
          <w:p w14:paraId="53B960FA" w14:textId="77777777" w:rsidR="00872C03" w:rsidRPr="00883399" w:rsidRDefault="00872C03" w:rsidP="0031057E">
            <w:pPr>
              <w:pStyle w:val="TableHeading"/>
              <w:rPr>
                <w:sz w:val="22"/>
              </w:rPr>
            </w:pPr>
            <w:r w:rsidRPr="00883399">
              <w:rPr>
                <w:sz w:val="22"/>
              </w:rPr>
              <w:t>Emission factor for gas type (j) (tonnes CO</w:t>
            </w:r>
            <w:r w:rsidRPr="00883399">
              <w:rPr>
                <w:sz w:val="22"/>
                <w:vertAlign w:val="subscript"/>
              </w:rPr>
              <w:t>2</w:t>
            </w:r>
            <w:r w:rsidRPr="00883399">
              <w:rPr>
                <w:sz w:val="22"/>
              </w:rPr>
              <w:noBreakHyphen/>
              <w:t>e/tonnes fuel throughput)</w:t>
            </w:r>
          </w:p>
        </w:tc>
      </w:tr>
      <w:tr w:rsidR="00872C03" w:rsidRPr="00883399" w14:paraId="3DBA0FA6" w14:textId="77777777" w:rsidTr="0031057E">
        <w:trPr>
          <w:cantSplit/>
          <w:tblHeader/>
        </w:trPr>
        <w:tc>
          <w:tcPr>
            <w:tcW w:w="1560" w:type="dxa"/>
            <w:tcBorders>
              <w:bottom w:val="single" w:sz="12" w:space="0" w:color="auto"/>
            </w:tcBorders>
            <w:shd w:val="clear" w:color="auto" w:fill="auto"/>
          </w:tcPr>
          <w:p w14:paraId="2C4C59FB" w14:textId="77777777" w:rsidR="00872C03" w:rsidRPr="00883399" w:rsidRDefault="00872C03" w:rsidP="0031057E">
            <w:pPr>
              <w:pStyle w:val="TableHeading"/>
              <w:rPr>
                <w:sz w:val="22"/>
              </w:rPr>
            </w:pPr>
          </w:p>
        </w:tc>
        <w:tc>
          <w:tcPr>
            <w:tcW w:w="2160" w:type="dxa"/>
            <w:vMerge/>
            <w:tcBorders>
              <w:bottom w:val="single" w:sz="12" w:space="0" w:color="auto"/>
            </w:tcBorders>
            <w:shd w:val="clear" w:color="auto" w:fill="auto"/>
          </w:tcPr>
          <w:p w14:paraId="0824CEB9" w14:textId="77777777" w:rsidR="00872C03" w:rsidRPr="00883399" w:rsidRDefault="00872C03" w:rsidP="0031057E">
            <w:pPr>
              <w:pStyle w:val="TableHeading"/>
              <w:rPr>
                <w:sz w:val="22"/>
              </w:rPr>
            </w:pPr>
          </w:p>
        </w:tc>
        <w:tc>
          <w:tcPr>
            <w:tcW w:w="3720" w:type="dxa"/>
            <w:tcBorders>
              <w:top w:val="single" w:sz="4" w:space="0" w:color="auto"/>
              <w:bottom w:val="single" w:sz="12" w:space="0" w:color="auto"/>
            </w:tcBorders>
            <w:shd w:val="clear" w:color="auto" w:fill="auto"/>
          </w:tcPr>
          <w:p w14:paraId="071B4F33" w14:textId="77777777" w:rsidR="00872C03" w:rsidRPr="00883399" w:rsidRDefault="00872C03" w:rsidP="0031057E">
            <w:pPr>
              <w:pStyle w:val="TableHeading"/>
              <w:rPr>
                <w:sz w:val="22"/>
              </w:rPr>
            </w:pPr>
            <w:r w:rsidRPr="00883399">
              <w:rPr>
                <w:sz w:val="22"/>
              </w:rPr>
              <w:t>CH</w:t>
            </w:r>
            <w:r w:rsidRPr="00883399">
              <w:rPr>
                <w:sz w:val="22"/>
                <w:vertAlign w:val="subscript"/>
              </w:rPr>
              <w:t>4</w:t>
            </w:r>
          </w:p>
        </w:tc>
      </w:tr>
      <w:tr w:rsidR="00872C03" w:rsidRPr="00883399" w14:paraId="7338DA64" w14:textId="77777777" w:rsidTr="0031057E">
        <w:trPr>
          <w:cantSplit/>
        </w:trPr>
        <w:tc>
          <w:tcPr>
            <w:tcW w:w="1560" w:type="dxa"/>
            <w:tcBorders>
              <w:top w:val="single" w:sz="6" w:space="0" w:color="auto"/>
              <w:bottom w:val="single" w:sz="6" w:space="0" w:color="auto"/>
            </w:tcBorders>
          </w:tcPr>
          <w:p w14:paraId="25F72F05" w14:textId="77777777" w:rsidR="00872C03" w:rsidRPr="00883399" w:rsidRDefault="00872C03" w:rsidP="0031057E">
            <w:pPr>
              <w:pStyle w:val="Tabletext0"/>
              <w:rPr>
                <w:sz w:val="22"/>
              </w:rPr>
            </w:pPr>
            <w:r w:rsidRPr="00883399">
              <w:rPr>
                <w:sz w:val="22"/>
              </w:rPr>
              <w:t>1</w:t>
            </w:r>
          </w:p>
        </w:tc>
        <w:tc>
          <w:tcPr>
            <w:tcW w:w="2160" w:type="dxa"/>
            <w:tcBorders>
              <w:top w:val="single" w:sz="6" w:space="0" w:color="auto"/>
              <w:bottom w:val="single" w:sz="6" w:space="0" w:color="auto"/>
            </w:tcBorders>
          </w:tcPr>
          <w:p w14:paraId="16D392E2" w14:textId="77777777" w:rsidR="00872C03" w:rsidRPr="00883399" w:rsidRDefault="00872C03" w:rsidP="0031057E">
            <w:pPr>
              <w:pStyle w:val="Tabletext0"/>
              <w:rPr>
                <w:sz w:val="22"/>
              </w:rPr>
            </w:pPr>
            <w:r w:rsidRPr="00883399">
              <w:rPr>
                <w:sz w:val="22"/>
              </w:rPr>
              <w:t>Internal floating tank</w:t>
            </w:r>
          </w:p>
        </w:tc>
        <w:tc>
          <w:tcPr>
            <w:tcW w:w="3720" w:type="dxa"/>
            <w:tcBorders>
              <w:top w:val="single" w:sz="6" w:space="0" w:color="auto"/>
              <w:bottom w:val="single" w:sz="6" w:space="0" w:color="auto"/>
            </w:tcBorders>
          </w:tcPr>
          <w:p w14:paraId="4DB6A731" w14:textId="77777777" w:rsidR="00872C03" w:rsidRPr="00883399" w:rsidRDefault="00872C03" w:rsidP="0031057E">
            <w:pPr>
              <w:pStyle w:val="Tabletext0"/>
              <w:rPr>
                <w:sz w:val="22"/>
              </w:rPr>
            </w:pPr>
            <w:r w:rsidRPr="00883399">
              <w:rPr>
                <w:position w:val="-10"/>
                <w:sz w:val="22"/>
              </w:rPr>
              <w:object w:dxaOrig="900" w:dyaOrig="320" w14:anchorId="3095618F">
                <v:shape id="_x0000_i1058" type="#_x0000_t75" style="width:45pt;height:15.75pt" o:ole="">
                  <v:imagedata r:id="rId138" o:title=""/>
                </v:shape>
                <o:OLEObject Type="Embed" ProgID="Equation.DSMT4" ShapeID="_x0000_i1058" DrawAspect="Content" ObjectID="_1594105949" r:id="rId139"/>
              </w:object>
            </w:r>
          </w:p>
        </w:tc>
      </w:tr>
      <w:tr w:rsidR="00872C03" w:rsidRPr="00883399" w14:paraId="122D2F86" w14:textId="77777777" w:rsidTr="0031057E">
        <w:trPr>
          <w:cantSplit/>
        </w:trPr>
        <w:tc>
          <w:tcPr>
            <w:tcW w:w="1560" w:type="dxa"/>
            <w:tcBorders>
              <w:top w:val="single" w:sz="6" w:space="0" w:color="auto"/>
              <w:bottom w:val="single" w:sz="6" w:space="0" w:color="auto"/>
            </w:tcBorders>
          </w:tcPr>
          <w:p w14:paraId="671F1521" w14:textId="77777777" w:rsidR="00872C03" w:rsidRPr="00883399" w:rsidRDefault="00872C03" w:rsidP="0031057E">
            <w:pPr>
              <w:pStyle w:val="Tabletext0"/>
              <w:rPr>
                <w:sz w:val="22"/>
              </w:rPr>
            </w:pPr>
            <w:r w:rsidRPr="00883399">
              <w:rPr>
                <w:sz w:val="22"/>
              </w:rPr>
              <w:t>2</w:t>
            </w:r>
          </w:p>
        </w:tc>
        <w:tc>
          <w:tcPr>
            <w:tcW w:w="2160" w:type="dxa"/>
            <w:tcBorders>
              <w:top w:val="single" w:sz="6" w:space="0" w:color="auto"/>
              <w:bottom w:val="single" w:sz="6" w:space="0" w:color="auto"/>
            </w:tcBorders>
          </w:tcPr>
          <w:p w14:paraId="2E7A74EC" w14:textId="77777777" w:rsidR="00872C03" w:rsidRPr="00883399" w:rsidRDefault="00872C03" w:rsidP="0031057E">
            <w:pPr>
              <w:pStyle w:val="Tabletext0"/>
              <w:rPr>
                <w:sz w:val="22"/>
              </w:rPr>
            </w:pPr>
            <w:r w:rsidRPr="00883399">
              <w:rPr>
                <w:sz w:val="22"/>
              </w:rPr>
              <w:t>Fixed roof tank</w:t>
            </w:r>
          </w:p>
        </w:tc>
        <w:tc>
          <w:tcPr>
            <w:tcW w:w="3720" w:type="dxa"/>
            <w:tcBorders>
              <w:top w:val="single" w:sz="6" w:space="0" w:color="auto"/>
              <w:bottom w:val="single" w:sz="6" w:space="0" w:color="auto"/>
            </w:tcBorders>
          </w:tcPr>
          <w:p w14:paraId="2AE444B9" w14:textId="77777777" w:rsidR="00872C03" w:rsidRPr="00883399" w:rsidRDefault="00872C03" w:rsidP="0031057E">
            <w:pPr>
              <w:pStyle w:val="Tabletext0"/>
              <w:rPr>
                <w:sz w:val="22"/>
              </w:rPr>
            </w:pPr>
            <w:r w:rsidRPr="00883399">
              <w:rPr>
                <w:sz w:val="22"/>
              </w:rPr>
              <w:object w:dxaOrig="920" w:dyaOrig="320" w14:anchorId="6DCC8084">
                <v:shape id="_x0000_i1059" type="#_x0000_t75" style="width:45.75pt;height:15.75pt" o:ole="">
                  <v:imagedata r:id="rId140" o:title=""/>
                </v:shape>
                <o:OLEObject Type="Embed" ProgID="Equation.DSMT4" ShapeID="_x0000_i1059" DrawAspect="Content" ObjectID="_1594105950" r:id="rId141"/>
              </w:object>
            </w:r>
          </w:p>
        </w:tc>
      </w:tr>
      <w:tr w:rsidR="00872C03" w:rsidRPr="00883399" w14:paraId="1518F9A2" w14:textId="77777777" w:rsidTr="0031057E">
        <w:trPr>
          <w:cantSplit/>
        </w:trPr>
        <w:tc>
          <w:tcPr>
            <w:tcW w:w="1560" w:type="dxa"/>
            <w:tcBorders>
              <w:top w:val="single" w:sz="6" w:space="0" w:color="auto"/>
              <w:bottom w:val="single" w:sz="12" w:space="0" w:color="auto"/>
            </w:tcBorders>
          </w:tcPr>
          <w:p w14:paraId="6A84D1A3" w14:textId="77777777" w:rsidR="00872C03" w:rsidRPr="00883399" w:rsidRDefault="00872C03" w:rsidP="0031057E">
            <w:pPr>
              <w:pStyle w:val="Tabletext0"/>
              <w:rPr>
                <w:sz w:val="22"/>
              </w:rPr>
            </w:pPr>
            <w:r w:rsidRPr="00883399">
              <w:rPr>
                <w:sz w:val="22"/>
              </w:rPr>
              <w:t>3</w:t>
            </w:r>
          </w:p>
        </w:tc>
        <w:tc>
          <w:tcPr>
            <w:tcW w:w="2160" w:type="dxa"/>
            <w:tcBorders>
              <w:top w:val="single" w:sz="6" w:space="0" w:color="auto"/>
              <w:bottom w:val="single" w:sz="12" w:space="0" w:color="auto"/>
            </w:tcBorders>
          </w:tcPr>
          <w:p w14:paraId="046B4FA2" w14:textId="77777777" w:rsidR="00872C03" w:rsidRPr="00883399" w:rsidRDefault="00872C03" w:rsidP="0031057E">
            <w:pPr>
              <w:pStyle w:val="Tabletext0"/>
              <w:rPr>
                <w:sz w:val="22"/>
              </w:rPr>
            </w:pPr>
            <w:r w:rsidRPr="00883399">
              <w:rPr>
                <w:sz w:val="22"/>
              </w:rPr>
              <w:t>Floating tank</w:t>
            </w:r>
          </w:p>
        </w:tc>
        <w:tc>
          <w:tcPr>
            <w:tcW w:w="3720" w:type="dxa"/>
            <w:tcBorders>
              <w:top w:val="single" w:sz="6" w:space="0" w:color="auto"/>
              <w:bottom w:val="single" w:sz="12" w:space="0" w:color="auto"/>
            </w:tcBorders>
          </w:tcPr>
          <w:p w14:paraId="23DA9F2B" w14:textId="77777777" w:rsidR="00872C03" w:rsidRPr="00883399" w:rsidRDefault="00872C03" w:rsidP="0031057E">
            <w:pPr>
              <w:pStyle w:val="Tabletext0"/>
              <w:rPr>
                <w:sz w:val="22"/>
              </w:rPr>
            </w:pPr>
            <w:r w:rsidRPr="00883399">
              <w:rPr>
                <w:sz w:val="22"/>
              </w:rPr>
              <w:object w:dxaOrig="920" w:dyaOrig="320" w14:anchorId="596B326D">
                <v:shape id="_x0000_i1060" type="#_x0000_t75" style="width:45.75pt;height:15.75pt" o:ole="">
                  <v:imagedata r:id="rId142" o:title=""/>
                </v:shape>
                <o:OLEObject Type="Embed" ProgID="Equation.DSMT4" ShapeID="_x0000_i1060" DrawAspect="Content" ObjectID="_1594105951" r:id="rId143"/>
              </w:object>
            </w:r>
          </w:p>
        </w:tc>
      </w:tr>
    </w:tbl>
    <w:p w14:paraId="7A2D7A7D" w14:textId="77777777" w:rsidR="00872C03" w:rsidRPr="00883399" w:rsidRDefault="00872C03" w:rsidP="00872C03">
      <w:pPr>
        <w:pStyle w:val="subsection"/>
        <w:rPr>
          <w:sz w:val="24"/>
        </w:rPr>
      </w:pPr>
      <w:r w:rsidRPr="00883399">
        <w:rPr>
          <w:sz w:val="24"/>
        </w:rPr>
        <w:tab/>
        <w:t>(3)</w:t>
      </w:r>
      <w:r w:rsidRPr="00883399">
        <w:rPr>
          <w:sz w:val="24"/>
        </w:rPr>
        <w:tab/>
        <w:t xml:space="preserve">For </w:t>
      </w:r>
      <w:r w:rsidRPr="00883399">
        <w:rPr>
          <w:b/>
          <w:i/>
          <w:sz w:val="24"/>
        </w:rPr>
        <w:t>EF</w:t>
      </w:r>
      <w:r w:rsidRPr="00883399">
        <w:rPr>
          <w:b/>
          <w:i/>
          <w:sz w:val="24"/>
          <w:vertAlign w:val="subscript"/>
        </w:rPr>
        <w:t xml:space="preserve">(l) ij </w:t>
      </w:r>
      <w:r w:rsidRPr="00883399">
        <w:rPr>
          <w:sz w:val="24"/>
        </w:rPr>
        <w:t>in subsection (1), general leaks in the crude oil production comprise the emissions (other than vent emissions) from equipment listed in sections 5.4.3, 5.6.4, 5.6.5 and 6.1.2 of the API Compendium, if the equipment is used in the crude oil production.</w:t>
      </w:r>
    </w:p>
    <w:p w14:paraId="3DC107EB" w14:textId="77777777" w:rsidR="00872C03" w:rsidRPr="00883399" w:rsidRDefault="00872C03" w:rsidP="00872C03">
      <w:pPr>
        <w:pStyle w:val="subsection"/>
        <w:rPr>
          <w:sz w:val="24"/>
        </w:rPr>
      </w:pPr>
    </w:p>
    <w:p w14:paraId="31599B9D" w14:textId="15901521" w:rsidR="00872C03" w:rsidRPr="00883399" w:rsidRDefault="00872C03" w:rsidP="00872C03">
      <w:pPr>
        <w:pStyle w:val="ActHead5"/>
        <w:rPr>
          <w:sz w:val="28"/>
        </w:rPr>
      </w:pPr>
      <w:bookmarkStart w:id="634" w:name="_Toc423516930"/>
      <w:bookmarkStart w:id="635" w:name="_Toc495652847"/>
      <w:r w:rsidRPr="00883399">
        <w:rPr>
          <w:rStyle w:val="CharSectno"/>
          <w:sz w:val="28"/>
        </w:rPr>
        <w:lastRenderedPageBreak/>
        <w:t>3.50</w:t>
      </w:r>
      <w:r w:rsidRPr="00883399">
        <w:rPr>
          <w:sz w:val="28"/>
        </w:rPr>
        <w:t xml:space="preserve">  Method 2—crude oil production (non</w:t>
      </w:r>
      <w:r w:rsidRPr="00883399">
        <w:rPr>
          <w:sz w:val="28"/>
        </w:rPr>
        <w:noBreakHyphen/>
        <w:t>flared) emissions of methane</w:t>
      </w:r>
      <w:bookmarkEnd w:id="634"/>
      <w:bookmarkEnd w:id="635"/>
    </w:p>
    <w:p w14:paraId="55B39653" w14:textId="77777777" w:rsidR="00872C03" w:rsidRPr="00883399" w:rsidRDefault="00872C03" w:rsidP="00872C03">
      <w:pPr>
        <w:pStyle w:val="Text"/>
        <w:rPr>
          <w:sz w:val="24"/>
        </w:rPr>
      </w:pPr>
      <w:r w:rsidRPr="00883399">
        <w:rPr>
          <w:rFonts w:ascii="Arial" w:hAnsi="Arial" w:cs="Arial"/>
          <w:sz w:val="22"/>
          <w:szCs w:val="22"/>
        </w:rPr>
        <w:t xml:space="preserve">Method 2 requires the use of equipment-specific emission factors and more detail on the types of equipment used at the facility. The Method is intended to be as specified in the American Petroleum Institute’s </w:t>
      </w:r>
      <w:r w:rsidRPr="00883399">
        <w:rPr>
          <w:rFonts w:ascii="Arial" w:hAnsi="Arial" w:cs="Arial"/>
          <w:i/>
          <w:sz w:val="22"/>
          <w:szCs w:val="22"/>
        </w:rPr>
        <w:t>Compendium of Greenhouse Gas Emissions Estimation Methodologies for the Oil and Natural Gas Industry 2009</w:t>
      </w:r>
      <w:r w:rsidRPr="00883399">
        <w:rPr>
          <w:rFonts w:ascii="Arial" w:hAnsi="Arial" w:cs="Arial"/>
          <w:sz w:val="22"/>
          <w:szCs w:val="22"/>
        </w:rPr>
        <w:t xml:space="preserve">, sections 5 and 6.1.2.   </w:t>
      </w:r>
      <w:r w:rsidRPr="00883399">
        <w:rPr>
          <w:sz w:val="24"/>
        </w:rPr>
        <w:tab/>
      </w:r>
    </w:p>
    <w:p w14:paraId="659AC225" w14:textId="77777777" w:rsidR="00872C03" w:rsidRPr="00883399" w:rsidRDefault="00872C03" w:rsidP="00872C03">
      <w:pPr>
        <w:pStyle w:val="subsection"/>
        <w:rPr>
          <w:sz w:val="24"/>
        </w:rPr>
      </w:pPr>
      <w:r w:rsidRPr="00883399">
        <w:rPr>
          <w:sz w:val="24"/>
        </w:rPr>
        <w:tab/>
        <w:t>(1)</w:t>
      </w:r>
      <w:r w:rsidRPr="00883399">
        <w:rPr>
          <w:sz w:val="24"/>
        </w:rPr>
        <w:tab/>
        <w:t>Method 2 is:</w:t>
      </w:r>
    </w:p>
    <w:p w14:paraId="7D16F707" w14:textId="67E8DECE"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007A5DC9" wp14:editId="716CA7DB">
            <wp:extent cx="1476375" cy="2286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p>
    <w:p w14:paraId="750FD5D4" w14:textId="77777777" w:rsidR="00872C03" w:rsidRPr="00883399" w:rsidRDefault="00872C03" w:rsidP="00872C03">
      <w:pPr>
        <w:pStyle w:val="subsection2"/>
        <w:rPr>
          <w:sz w:val="24"/>
        </w:rPr>
      </w:pPr>
      <w:r w:rsidRPr="00883399">
        <w:rPr>
          <w:sz w:val="24"/>
        </w:rPr>
        <w:t>where:</w:t>
      </w:r>
    </w:p>
    <w:p w14:paraId="7B8B23D1" w14:textId="77777777" w:rsidR="00872C03" w:rsidRPr="00883399" w:rsidRDefault="00872C03" w:rsidP="00872C03">
      <w:pPr>
        <w:pStyle w:val="Definition0"/>
        <w:rPr>
          <w:sz w:val="24"/>
        </w:rPr>
      </w:pPr>
      <w:r w:rsidRPr="00883399">
        <w:rPr>
          <w:b/>
          <w:i/>
          <w:sz w:val="24"/>
        </w:rPr>
        <w:t>E</w:t>
      </w:r>
      <w:r w:rsidRPr="00883399">
        <w:rPr>
          <w:b/>
          <w:i/>
          <w:sz w:val="24"/>
          <w:vertAlign w:val="subscript"/>
        </w:rPr>
        <w:t>ij</w:t>
      </w:r>
      <w:r w:rsidRPr="00883399">
        <w:rPr>
          <w:b/>
          <w:i/>
          <w:sz w:val="24"/>
        </w:rPr>
        <w:t xml:space="preserve"> </w:t>
      </w:r>
      <w:r w:rsidRPr="00883399">
        <w:rPr>
          <w:sz w:val="24"/>
        </w:rPr>
        <w:t>is the fugitive emissions of methane (</w:t>
      </w:r>
      <w:r w:rsidRPr="00883399">
        <w:rPr>
          <w:b/>
          <w:i/>
          <w:sz w:val="24"/>
        </w:rPr>
        <w:t>j</w:t>
      </w:r>
      <w:r w:rsidRPr="00883399">
        <w:rPr>
          <w:sz w:val="24"/>
        </w:rPr>
        <w:t>) from the crude oil production during the year measured in CO</w:t>
      </w:r>
      <w:r w:rsidRPr="00883399">
        <w:rPr>
          <w:rStyle w:val="charSubscript"/>
          <w:iCs/>
          <w:sz w:val="22"/>
        </w:rPr>
        <w:t>2</w:t>
      </w:r>
      <w:r w:rsidRPr="00883399">
        <w:rPr>
          <w:sz w:val="24"/>
        </w:rPr>
        <w:noBreakHyphen/>
        <w:t>e tonnes.</w:t>
      </w:r>
    </w:p>
    <w:p w14:paraId="23EA083B" w14:textId="77777777" w:rsidR="00872C03" w:rsidRPr="00883399" w:rsidRDefault="00872C03" w:rsidP="00872C03">
      <w:pPr>
        <w:pStyle w:val="Definition0"/>
        <w:rPr>
          <w:sz w:val="24"/>
        </w:rPr>
      </w:pPr>
      <w:r w:rsidRPr="00883399">
        <w:rPr>
          <w:b/>
          <w:i/>
          <w:sz w:val="24"/>
        </w:rPr>
        <w:t>Σ</w:t>
      </w:r>
      <w:r w:rsidRPr="00883399">
        <w:rPr>
          <w:b/>
          <w:i/>
          <w:sz w:val="24"/>
          <w:vertAlign w:val="subscript"/>
        </w:rPr>
        <w:t xml:space="preserve">k </w:t>
      </w:r>
      <w:r w:rsidRPr="00883399">
        <w:rPr>
          <w:sz w:val="24"/>
        </w:rPr>
        <w:t>is the emissions of methane (</w:t>
      </w:r>
      <w:r w:rsidRPr="00883399">
        <w:rPr>
          <w:b/>
          <w:i/>
          <w:sz w:val="24"/>
        </w:rPr>
        <w:t>j</w:t>
      </w:r>
      <w:r w:rsidRPr="00883399">
        <w:rPr>
          <w:sz w:val="24"/>
        </w:rPr>
        <w:t>) measured in tonnes of CO</w:t>
      </w:r>
      <w:r w:rsidRPr="00883399">
        <w:rPr>
          <w:rStyle w:val="charSubscript"/>
          <w:iCs/>
          <w:sz w:val="22"/>
        </w:rPr>
        <w:t>2</w:t>
      </w:r>
      <w:r w:rsidRPr="00883399">
        <w:rPr>
          <w:sz w:val="24"/>
        </w:rPr>
        <w:noBreakHyphen/>
        <w:t>e and estimated by summing up the emissions released from each equipment type (</w:t>
      </w:r>
      <w:r w:rsidRPr="00883399">
        <w:rPr>
          <w:b/>
          <w:i/>
          <w:sz w:val="24"/>
        </w:rPr>
        <w:t>k</w:t>
      </w:r>
      <w:r w:rsidRPr="00883399">
        <w:rPr>
          <w:sz w:val="24"/>
        </w:rPr>
        <w:t>) listed in sections 5.4.1, 5.4.2, 5.4.3, 5.6.4, 5.6.5 and 6.1.2 of the API Compendium, if the equipment type is used in the crude oil production.</w:t>
      </w:r>
    </w:p>
    <w:p w14:paraId="644A8A49" w14:textId="77777777" w:rsidR="00872C03" w:rsidRPr="00883399" w:rsidRDefault="00872C03" w:rsidP="00872C03">
      <w:pPr>
        <w:pStyle w:val="Definition0"/>
        <w:rPr>
          <w:sz w:val="24"/>
        </w:rPr>
      </w:pPr>
      <w:r w:rsidRPr="00883399">
        <w:rPr>
          <w:b/>
          <w:i/>
          <w:sz w:val="24"/>
        </w:rPr>
        <w:t>Q</w:t>
      </w:r>
      <w:r w:rsidRPr="00883399">
        <w:rPr>
          <w:b/>
          <w:i/>
          <w:sz w:val="24"/>
          <w:vertAlign w:val="subscript"/>
        </w:rPr>
        <w:t xml:space="preserve">ik </w:t>
      </w:r>
      <w:r w:rsidRPr="00883399">
        <w:rPr>
          <w:sz w:val="24"/>
        </w:rPr>
        <w:t>is the total of the quantities of crude oil that pass through each equipment type (</w:t>
      </w:r>
      <w:r w:rsidRPr="00883399">
        <w:rPr>
          <w:b/>
          <w:i/>
          <w:sz w:val="24"/>
        </w:rPr>
        <w:t>k</w:t>
      </w:r>
      <w:r w:rsidRPr="00883399">
        <w:rPr>
          <w:sz w:val="24"/>
        </w:rPr>
        <w:t>), or the number of equipment units of type (</w:t>
      </w:r>
      <w:r w:rsidRPr="00883399">
        <w:rPr>
          <w:b/>
          <w:i/>
          <w:sz w:val="24"/>
        </w:rPr>
        <w:t>k</w:t>
      </w:r>
      <w:r w:rsidRPr="00883399">
        <w:rPr>
          <w:sz w:val="24"/>
        </w:rPr>
        <w:t>), listed in sections 5.4.1, 5.4.2, 5.4.3, 5.6.4, 5.6.5 and 6.1.2 of the API Compendium, if the equipment is used in the crude oil production, measured in tonnes.</w:t>
      </w:r>
    </w:p>
    <w:p w14:paraId="1AA7FDF8" w14:textId="77777777" w:rsidR="00872C03" w:rsidRPr="00883399" w:rsidRDefault="00872C03" w:rsidP="00872C03">
      <w:pPr>
        <w:pStyle w:val="Definition0"/>
        <w:rPr>
          <w:sz w:val="24"/>
        </w:rPr>
      </w:pPr>
      <w:r w:rsidRPr="00883399">
        <w:rPr>
          <w:b/>
          <w:i/>
          <w:sz w:val="24"/>
        </w:rPr>
        <w:t>EF</w:t>
      </w:r>
      <w:r w:rsidRPr="00883399">
        <w:rPr>
          <w:b/>
          <w:i/>
          <w:sz w:val="24"/>
          <w:vertAlign w:val="subscript"/>
        </w:rPr>
        <w:t>ijk</w:t>
      </w:r>
      <w:r w:rsidRPr="00883399">
        <w:rPr>
          <w:b/>
          <w:i/>
          <w:sz w:val="24"/>
        </w:rPr>
        <w:t xml:space="preserve"> </w:t>
      </w:r>
      <w:r w:rsidRPr="00883399">
        <w:rPr>
          <w:sz w:val="24"/>
        </w:rPr>
        <w:t>is the emission factor of methane (</w:t>
      </w:r>
      <w:r w:rsidRPr="00883399">
        <w:rPr>
          <w:b/>
          <w:i/>
          <w:sz w:val="24"/>
        </w:rPr>
        <w:t>j</w:t>
      </w:r>
      <w:r w:rsidRPr="00883399">
        <w:rPr>
          <w:sz w:val="24"/>
        </w:rPr>
        <w:t>) measured in tonnes of CO</w:t>
      </w:r>
      <w:r w:rsidRPr="00883399">
        <w:rPr>
          <w:rStyle w:val="charSubscript"/>
          <w:iCs/>
          <w:sz w:val="22"/>
        </w:rPr>
        <w:t>2</w:t>
      </w:r>
      <w:r w:rsidRPr="00883399">
        <w:rPr>
          <w:sz w:val="24"/>
        </w:rPr>
        <w:noBreakHyphen/>
        <w:t>e per tonne of crude oil that passes through each equipment type (</w:t>
      </w:r>
      <w:r w:rsidRPr="00883399">
        <w:rPr>
          <w:b/>
          <w:i/>
          <w:sz w:val="24"/>
        </w:rPr>
        <w:t>k</w:t>
      </w:r>
      <w:r w:rsidRPr="00883399">
        <w:rPr>
          <w:sz w:val="24"/>
        </w:rPr>
        <w:t>) listed in sections 5.4.1, 5.4.2, 5.4.3, 5.6.4, 5.6.5 and 6.1.2 of the API Compendium, if the equipment is used in the crude oil production.</w:t>
      </w:r>
    </w:p>
    <w:p w14:paraId="39C6D8B4" w14:textId="77777777" w:rsidR="00872C03" w:rsidRPr="00883399" w:rsidRDefault="00872C03" w:rsidP="00872C03">
      <w:pPr>
        <w:pStyle w:val="subsection"/>
        <w:rPr>
          <w:sz w:val="24"/>
        </w:rPr>
      </w:pPr>
      <w:r w:rsidRPr="00883399">
        <w:rPr>
          <w:sz w:val="24"/>
        </w:rPr>
        <w:tab/>
        <w:t>(2)</w:t>
      </w:r>
      <w:r w:rsidRPr="00883399">
        <w:rPr>
          <w:sz w:val="24"/>
        </w:rPr>
        <w:tab/>
        <w:t xml:space="preserve">For </w:t>
      </w:r>
      <w:r w:rsidRPr="00883399">
        <w:rPr>
          <w:b/>
          <w:i/>
          <w:sz w:val="24"/>
        </w:rPr>
        <w:t>EF</w:t>
      </w:r>
      <w:r w:rsidRPr="00883399">
        <w:rPr>
          <w:b/>
          <w:i/>
          <w:sz w:val="24"/>
          <w:vertAlign w:val="subscript"/>
        </w:rPr>
        <w:t>ijk</w:t>
      </w:r>
      <w:r w:rsidRPr="00883399">
        <w:rPr>
          <w:sz w:val="24"/>
        </w:rPr>
        <w:t>, the emission factors for methane (</w:t>
      </w:r>
      <w:r w:rsidRPr="00883399">
        <w:rPr>
          <w:b/>
          <w:i/>
          <w:sz w:val="24"/>
        </w:rPr>
        <w:t>j</w:t>
      </w:r>
      <w:r w:rsidRPr="00883399">
        <w:rPr>
          <w:sz w:val="24"/>
        </w:rPr>
        <w:t>), as crude oil passes through an equipment type (</w:t>
      </w:r>
      <w:r w:rsidRPr="00883399">
        <w:rPr>
          <w:b/>
          <w:i/>
          <w:sz w:val="24"/>
        </w:rPr>
        <w:t>k</w:t>
      </w:r>
      <w:r w:rsidRPr="00883399">
        <w:rPr>
          <w:sz w:val="24"/>
        </w:rPr>
        <w:t>), are:</w:t>
      </w:r>
    </w:p>
    <w:p w14:paraId="1C74416B" w14:textId="77777777" w:rsidR="00872C03" w:rsidRPr="00883399" w:rsidRDefault="00872C03" w:rsidP="00872C03">
      <w:pPr>
        <w:pStyle w:val="paragraph"/>
        <w:rPr>
          <w:sz w:val="24"/>
        </w:rPr>
      </w:pPr>
      <w:r w:rsidRPr="00883399">
        <w:rPr>
          <w:sz w:val="24"/>
        </w:rPr>
        <w:tab/>
        <w:t>(a)</w:t>
      </w:r>
      <w:r w:rsidRPr="00883399">
        <w:rPr>
          <w:sz w:val="24"/>
        </w:rPr>
        <w:tab/>
        <w:t>as listed in sections 5.4.1, 5.4.2, 5.4.3, 5.6.4, 5.6.5 and 6.1.2 of the API Compendium, for the equipment type; or</w:t>
      </w:r>
    </w:p>
    <w:p w14:paraId="32FE590C" w14:textId="77777777" w:rsidR="00872C03" w:rsidRPr="00883399" w:rsidRDefault="00872C03" w:rsidP="00872C03">
      <w:pPr>
        <w:pStyle w:val="paragraph"/>
        <w:rPr>
          <w:sz w:val="24"/>
        </w:rPr>
      </w:pPr>
      <w:r w:rsidRPr="00883399">
        <w:rPr>
          <w:sz w:val="24"/>
        </w:rPr>
        <w:tab/>
        <w:t>(b)</w:t>
      </w:r>
      <w:r w:rsidRPr="00883399">
        <w:rPr>
          <w:sz w:val="24"/>
        </w:rPr>
        <w:tab/>
        <w:t>if the manufacturer of the equipment supplies equipment</w:t>
      </w:r>
      <w:r w:rsidRPr="00883399">
        <w:rPr>
          <w:sz w:val="24"/>
        </w:rPr>
        <w:noBreakHyphen/>
        <w:t>specific emission factors for the equipment type—those factors.</w:t>
      </w:r>
    </w:p>
    <w:p w14:paraId="62AAFD85" w14:textId="5F0F092B" w:rsidR="00872C03" w:rsidRPr="00883399" w:rsidRDefault="00872C03" w:rsidP="00872C03">
      <w:pPr>
        <w:pStyle w:val="ActHead4"/>
        <w:rPr>
          <w:sz w:val="28"/>
        </w:rPr>
      </w:pPr>
      <w:bookmarkStart w:id="636" w:name="_Toc423516931"/>
      <w:bookmarkStart w:id="637" w:name="_Toc495652848"/>
      <w:r w:rsidRPr="00883399">
        <w:rPr>
          <w:rStyle w:val="CharSubdNo"/>
          <w:sz w:val="28"/>
        </w:rPr>
        <w:lastRenderedPageBreak/>
        <w:t>Subdivision 3.3.3.3</w:t>
      </w:r>
      <w:r w:rsidRPr="00883399">
        <w:rPr>
          <w:sz w:val="28"/>
        </w:rPr>
        <w:t>—</w:t>
      </w:r>
      <w:r w:rsidRPr="00883399">
        <w:rPr>
          <w:rStyle w:val="CharSubdText"/>
          <w:sz w:val="28"/>
        </w:rPr>
        <w:t>Crude oil production (flared)—fugitive emissions of carbon dioxide, methane and nitrous oxide</w:t>
      </w:r>
      <w:bookmarkEnd w:id="636"/>
      <w:bookmarkEnd w:id="637"/>
    </w:p>
    <w:p w14:paraId="54CCC130" w14:textId="77777777" w:rsidR="00872C03" w:rsidRPr="00883399" w:rsidRDefault="00872C03" w:rsidP="00872C03">
      <w:pPr>
        <w:pStyle w:val="Text"/>
        <w:rPr>
          <w:sz w:val="24"/>
          <w:szCs w:val="24"/>
        </w:rPr>
      </w:pPr>
      <w:bookmarkStart w:id="638" w:name="_Toc423516932"/>
      <w:r w:rsidRPr="00883399">
        <w:rPr>
          <w:rFonts w:ascii="Arial" w:hAnsi="Arial" w:cs="Arial"/>
          <w:sz w:val="22"/>
          <w:szCs w:val="22"/>
        </w:rPr>
        <w:t>Methods 1, 2 and 3 are provided for flaring of fuels.  Methods 2 and 3 rely on the sampling and analysis of the fuel to estimate the composition of the gases in the fuel in accordance with the provisions of chapter 2</w:t>
      </w:r>
      <w:r w:rsidRPr="00883399">
        <w:rPr>
          <w:sz w:val="24"/>
          <w:szCs w:val="24"/>
        </w:rPr>
        <w:t>.</w:t>
      </w:r>
    </w:p>
    <w:p w14:paraId="4E1C4187" w14:textId="2765A2A3" w:rsidR="00872C03" w:rsidRPr="00883399" w:rsidRDefault="00872C03" w:rsidP="00872C03">
      <w:pPr>
        <w:pStyle w:val="ActHead5"/>
        <w:rPr>
          <w:sz w:val="28"/>
        </w:rPr>
      </w:pPr>
      <w:bookmarkStart w:id="639" w:name="_Toc495652849"/>
      <w:r w:rsidRPr="00883399">
        <w:rPr>
          <w:rStyle w:val="CharSectno"/>
          <w:sz w:val="28"/>
        </w:rPr>
        <w:t>3.51</w:t>
      </w:r>
      <w:r w:rsidRPr="00883399">
        <w:rPr>
          <w:sz w:val="28"/>
        </w:rPr>
        <w:t xml:space="preserve">  Available methods</w:t>
      </w:r>
      <w:bookmarkEnd w:id="638"/>
      <w:bookmarkEnd w:id="639"/>
    </w:p>
    <w:p w14:paraId="2D0AB1E2" w14:textId="77777777" w:rsidR="00872C03" w:rsidRPr="00883399" w:rsidRDefault="00872C03" w:rsidP="00872C03">
      <w:pPr>
        <w:pStyle w:val="subsection"/>
        <w:rPr>
          <w:sz w:val="24"/>
        </w:rPr>
      </w:pPr>
      <w:r w:rsidRPr="00883399">
        <w:rPr>
          <w:sz w:val="24"/>
        </w:rPr>
        <w:tab/>
        <w:t>(1)</w:t>
      </w:r>
      <w:r w:rsidRPr="00883399">
        <w:rPr>
          <w:sz w:val="24"/>
        </w:rPr>
        <w:tab/>
        <w:t>Subject to section 1.18, for estimating emissions released by oil or gas flaring during a year from the operation of a facility that is constituted by crude oil production:</w:t>
      </w:r>
    </w:p>
    <w:p w14:paraId="0E56FCC7" w14:textId="77777777" w:rsidR="00872C03" w:rsidRPr="00883399" w:rsidRDefault="00872C03" w:rsidP="00872C03">
      <w:pPr>
        <w:pStyle w:val="paragraph"/>
        <w:rPr>
          <w:sz w:val="24"/>
        </w:rPr>
      </w:pPr>
      <w:r w:rsidRPr="00883399">
        <w:rPr>
          <w:sz w:val="24"/>
        </w:rPr>
        <w:tab/>
        <w:t>(a)</w:t>
      </w:r>
      <w:r w:rsidRPr="00883399">
        <w:rPr>
          <w:sz w:val="24"/>
        </w:rPr>
        <w:tab/>
        <w:t>if estimating emissions of carbon dioxide released—one of the following methods must be used:</w:t>
      </w:r>
    </w:p>
    <w:p w14:paraId="3A2C1152" w14:textId="77777777" w:rsidR="00872C03" w:rsidRPr="00883399" w:rsidRDefault="00872C03" w:rsidP="00872C03">
      <w:pPr>
        <w:pStyle w:val="paragraphsub"/>
        <w:rPr>
          <w:sz w:val="24"/>
        </w:rPr>
      </w:pPr>
      <w:r w:rsidRPr="00883399">
        <w:rPr>
          <w:sz w:val="24"/>
        </w:rPr>
        <w:tab/>
        <w:t>(i)</w:t>
      </w:r>
      <w:r w:rsidRPr="00883399">
        <w:rPr>
          <w:sz w:val="24"/>
        </w:rPr>
        <w:tab/>
        <w:t>method 1 under section 3.52;</w:t>
      </w:r>
    </w:p>
    <w:p w14:paraId="47A14504" w14:textId="77777777" w:rsidR="00872C03" w:rsidRPr="00883399" w:rsidRDefault="00872C03" w:rsidP="00872C03">
      <w:pPr>
        <w:pStyle w:val="paragraphsub"/>
        <w:rPr>
          <w:sz w:val="24"/>
        </w:rPr>
      </w:pPr>
      <w:r w:rsidRPr="00883399">
        <w:rPr>
          <w:sz w:val="24"/>
        </w:rPr>
        <w:tab/>
        <w:t>(ii)</w:t>
      </w:r>
      <w:r w:rsidRPr="00883399">
        <w:rPr>
          <w:sz w:val="24"/>
        </w:rPr>
        <w:tab/>
        <w:t>method 2 under section 3.53;</w:t>
      </w:r>
    </w:p>
    <w:p w14:paraId="10E17635" w14:textId="77777777" w:rsidR="00872C03" w:rsidRPr="00883399" w:rsidRDefault="00872C03" w:rsidP="00872C03">
      <w:pPr>
        <w:pStyle w:val="paragraphsub"/>
        <w:rPr>
          <w:sz w:val="24"/>
        </w:rPr>
      </w:pPr>
      <w:r w:rsidRPr="00883399">
        <w:rPr>
          <w:sz w:val="24"/>
        </w:rPr>
        <w:tab/>
        <w:t>(iii)</w:t>
      </w:r>
      <w:r w:rsidRPr="00883399">
        <w:rPr>
          <w:sz w:val="24"/>
        </w:rPr>
        <w:tab/>
        <w:t>method 3 under section 3.54; and</w:t>
      </w:r>
    </w:p>
    <w:p w14:paraId="34809B3B" w14:textId="77777777" w:rsidR="00872C03" w:rsidRPr="00883399" w:rsidRDefault="00872C03" w:rsidP="00872C03">
      <w:pPr>
        <w:pStyle w:val="paragraph"/>
        <w:rPr>
          <w:sz w:val="24"/>
        </w:rPr>
      </w:pPr>
      <w:r w:rsidRPr="00883399">
        <w:rPr>
          <w:sz w:val="24"/>
        </w:rPr>
        <w:tab/>
        <w:t>(b)</w:t>
      </w:r>
      <w:r w:rsidRPr="00883399">
        <w:rPr>
          <w:sz w:val="24"/>
        </w:rPr>
        <w:tab/>
        <w:t>if estimating emissions of methane released—one of the following methods must be used:</w:t>
      </w:r>
    </w:p>
    <w:p w14:paraId="44D00751" w14:textId="77777777" w:rsidR="00872C03" w:rsidRPr="00883399" w:rsidRDefault="00872C03" w:rsidP="00872C03">
      <w:pPr>
        <w:pStyle w:val="paragraphsub"/>
        <w:rPr>
          <w:sz w:val="24"/>
        </w:rPr>
      </w:pPr>
      <w:r w:rsidRPr="00883399">
        <w:rPr>
          <w:sz w:val="24"/>
        </w:rPr>
        <w:tab/>
        <w:t>(i)</w:t>
      </w:r>
      <w:r w:rsidRPr="00883399">
        <w:rPr>
          <w:sz w:val="24"/>
        </w:rPr>
        <w:tab/>
        <w:t>method 1 under section 3.52;</w:t>
      </w:r>
    </w:p>
    <w:p w14:paraId="7BB582F1" w14:textId="77777777" w:rsidR="00872C03" w:rsidRPr="00883399" w:rsidRDefault="00872C03" w:rsidP="00872C03">
      <w:pPr>
        <w:pStyle w:val="paragraphsub"/>
        <w:rPr>
          <w:sz w:val="24"/>
        </w:rPr>
      </w:pPr>
      <w:r w:rsidRPr="00883399">
        <w:rPr>
          <w:sz w:val="24"/>
        </w:rPr>
        <w:tab/>
        <w:t>(ii)</w:t>
      </w:r>
      <w:r w:rsidRPr="00883399">
        <w:rPr>
          <w:sz w:val="24"/>
        </w:rPr>
        <w:tab/>
        <w:t>method 2A under section 3.53A; and</w:t>
      </w:r>
    </w:p>
    <w:p w14:paraId="7D6D538E" w14:textId="77777777" w:rsidR="00872C03" w:rsidRPr="00883399" w:rsidRDefault="00872C03" w:rsidP="00872C03">
      <w:pPr>
        <w:pStyle w:val="paragraph"/>
        <w:rPr>
          <w:sz w:val="24"/>
        </w:rPr>
      </w:pPr>
      <w:r w:rsidRPr="00883399">
        <w:rPr>
          <w:sz w:val="24"/>
        </w:rPr>
        <w:tab/>
        <w:t>(c)</w:t>
      </w:r>
      <w:r w:rsidRPr="00883399">
        <w:rPr>
          <w:sz w:val="24"/>
        </w:rPr>
        <w:tab/>
        <w:t>if estimating emissions of nitrous oxide released—one of the following methods must be used:</w:t>
      </w:r>
    </w:p>
    <w:p w14:paraId="662B601A" w14:textId="77777777" w:rsidR="00872C03" w:rsidRPr="00883399" w:rsidRDefault="00872C03" w:rsidP="00872C03">
      <w:pPr>
        <w:pStyle w:val="paragraphsub"/>
        <w:rPr>
          <w:sz w:val="24"/>
        </w:rPr>
      </w:pPr>
      <w:r w:rsidRPr="00883399">
        <w:rPr>
          <w:sz w:val="24"/>
        </w:rPr>
        <w:tab/>
        <w:t>(i)</w:t>
      </w:r>
      <w:r w:rsidRPr="00883399">
        <w:rPr>
          <w:sz w:val="24"/>
        </w:rPr>
        <w:tab/>
        <w:t>method 1 under section 3.52;</w:t>
      </w:r>
    </w:p>
    <w:p w14:paraId="2912A67B" w14:textId="77777777" w:rsidR="00872C03" w:rsidRPr="00883399" w:rsidRDefault="00872C03" w:rsidP="00872C03">
      <w:pPr>
        <w:pStyle w:val="paragraphsub"/>
        <w:rPr>
          <w:sz w:val="24"/>
        </w:rPr>
      </w:pPr>
      <w:r w:rsidRPr="00883399">
        <w:rPr>
          <w:sz w:val="24"/>
        </w:rPr>
        <w:tab/>
        <w:t>(ii)</w:t>
      </w:r>
      <w:r w:rsidRPr="00883399">
        <w:rPr>
          <w:sz w:val="24"/>
        </w:rPr>
        <w:tab/>
        <w:t>method 2A under section 3.53A.</w:t>
      </w:r>
    </w:p>
    <w:p w14:paraId="4B8978C7" w14:textId="77777777" w:rsidR="00872C03" w:rsidRPr="00883399" w:rsidRDefault="00872C03" w:rsidP="00872C03">
      <w:pPr>
        <w:pStyle w:val="notetext"/>
        <w:rPr>
          <w:sz w:val="20"/>
        </w:rPr>
      </w:pPr>
      <w:r w:rsidRPr="00883399">
        <w:rPr>
          <w:sz w:val="20"/>
        </w:rPr>
        <w:t>Note:</w:t>
      </w:r>
      <w:r w:rsidRPr="00883399">
        <w:rPr>
          <w:sz w:val="20"/>
        </w:rPr>
        <w:tab/>
        <w:t>There is no method 4 under paragraph (a) and no method 2, 3 or 4 under paragraph (b) or (c).</w:t>
      </w:r>
    </w:p>
    <w:p w14:paraId="73EB37B1" w14:textId="77777777" w:rsidR="00872C03" w:rsidRPr="00883399" w:rsidRDefault="00872C03" w:rsidP="00872C03">
      <w:pPr>
        <w:pStyle w:val="subsection"/>
        <w:rPr>
          <w:sz w:val="24"/>
        </w:rPr>
      </w:pPr>
      <w:r w:rsidRPr="00883399">
        <w:rPr>
          <w:sz w:val="24"/>
        </w:rPr>
        <w:tab/>
        <w:t>(2)</w:t>
      </w:r>
      <w:r w:rsidRPr="00883399">
        <w:rPr>
          <w:sz w:val="24"/>
        </w:rPr>
        <w:tab/>
        <w:t>However, for incidental emissions another method may be used that is consistent with the principles in section 1.13.</w:t>
      </w:r>
    </w:p>
    <w:p w14:paraId="21C4737E" w14:textId="77777777" w:rsidR="00C335B2" w:rsidRPr="00883399" w:rsidRDefault="00C335B2" w:rsidP="00872C03">
      <w:pPr>
        <w:pStyle w:val="subsection"/>
        <w:rPr>
          <w:sz w:val="24"/>
        </w:rPr>
      </w:pPr>
    </w:p>
    <w:p w14:paraId="088F7BB9" w14:textId="77777777" w:rsidR="00C335B2" w:rsidRPr="00883399" w:rsidRDefault="00C335B2" w:rsidP="00872C03">
      <w:pPr>
        <w:pStyle w:val="subsection"/>
        <w:rPr>
          <w:sz w:val="24"/>
        </w:rPr>
      </w:pPr>
    </w:p>
    <w:p w14:paraId="038A1E9C" w14:textId="77777777" w:rsidR="00C335B2" w:rsidRPr="00883399" w:rsidRDefault="00C335B2" w:rsidP="00872C03">
      <w:pPr>
        <w:pStyle w:val="subsection"/>
        <w:rPr>
          <w:sz w:val="24"/>
        </w:rPr>
      </w:pPr>
    </w:p>
    <w:p w14:paraId="64C4F533" w14:textId="77777777" w:rsidR="00C335B2" w:rsidRPr="00883399" w:rsidRDefault="00C335B2" w:rsidP="00872C03">
      <w:pPr>
        <w:pStyle w:val="subsection"/>
        <w:rPr>
          <w:sz w:val="24"/>
        </w:rPr>
      </w:pPr>
    </w:p>
    <w:p w14:paraId="72FF9E02" w14:textId="77777777" w:rsidR="00C335B2" w:rsidRPr="00883399" w:rsidRDefault="00C335B2" w:rsidP="00872C03">
      <w:pPr>
        <w:pStyle w:val="subsection"/>
        <w:rPr>
          <w:sz w:val="24"/>
        </w:rPr>
      </w:pPr>
    </w:p>
    <w:p w14:paraId="535DB5ED" w14:textId="77777777" w:rsidR="00C335B2" w:rsidRPr="00883399" w:rsidRDefault="00C335B2" w:rsidP="00872C03">
      <w:pPr>
        <w:pStyle w:val="subsection"/>
        <w:rPr>
          <w:sz w:val="24"/>
        </w:rPr>
      </w:pPr>
    </w:p>
    <w:p w14:paraId="4D192109" w14:textId="77777777" w:rsidR="00C335B2" w:rsidRPr="00883399" w:rsidRDefault="00C335B2" w:rsidP="00872C03">
      <w:pPr>
        <w:pStyle w:val="subsection"/>
        <w:rPr>
          <w:sz w:val="24"/>
        </w:rPr>
      </w:pPr>
    </w:p>
    <w:p w14:paraId="58152B3D" w14:textId="77777777" w:rsidR="00872C03" w:rsidRPr="00883399" w:rsidRDefault="00872C03" w:rsidP="00872C03">
      <w:pPr>
        <w:pStyle w:val="R2"/>
        <w:ind w:left="965" w:hanging="58"/>
        <w:rPr>
          <w:b/>
        </w:rPr>
      </w:pPr>
      <w:r w:rsidRPr="00883399">
        <w:rPr>
          <w:b/>
        </w:rPr>
        <w:lastRenderedPageBreak/>
        <w:t>Available methods, for estimating emissions from crude oil production (flared), by emissions of gas type (j)</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8"/>
        <w:gridCol w:w="1748"/>
        <w:gridCol w:w="1635"/>
        <w:gridCol w:w="1534"/>
      </w:tblGrid>
      <w:tr w:rsidR="00872C03" w:rsidRPr="00883399" w14:paraId="655F1202" w14:textId="77777777" w:rsidTr="0031057E">
        <w:tc>
          <w:tcPr>
            <w:tcW w:w="2400" w:type="dxa"/>
            <w:shd w:val="clear" w:color="auto" w:fill="E6E6E6"/>
          </w:tcPr>
          <w:p w14:paraId="3F289C40" w14:textId="77777777" w:rsidR="00872C03" w:rsidRPr="00883399" w:rsidRDefault="00872C03" w:rsidP="0031057E">
            <w:pPr>
              <w:pStyle w:val="Text"/>
            </w:pPr>
          </w:p>
        </w:tc>
        <w:tc>
          <w:tcPr>
            <w:tcW w:w="1800" w:type="dxa"/>
            <w:shd w:val="clear" w:color="auto" w:fill="E6E6E6"/>
          </w:tcPr>
          <w:p w14:paraId="13FF1BF8" w14:textId="77777777" w:rsidR="00872C03" w:rsidRPr="00883399" w:rsidRDefault="00872C03" w:rsidP="0031057E">
            <w:pPr>
              <w:pStyle w:val="Text"/>
            </w:pPr>
            <w:r w:rsidRPr="00883399">
              <w:t>CO</w:t>
            </w:r>
            <w:r w:rsidRPr="00883399">
              <w:rPr>
                <w:vertAlign w:val="subscript"/>
              </w:rPr>
              <w:t>2</w:t>
            </w:r>
          </w:p>
        </w:tc>
        <w:tc>
          <w:tcPr>
            <w:tcW w:w="1680" w:type="dxa"/>
            <w:shd w:val="clear" w:color="auto" w:fill="E6E6E6"/>
          </w:tcPr>
          <w:p w14:paraId="3CE0AEF8" w14:textId="77777777" w:rsidR="00872C03" w:rsidRPr="00883399" w:rsidRDefault="00872C03" w:rsidP="0031057E">
            <w:pPr>
              <w:pStyle w:val="Text"/>
            </w:pPr>
            <w:r w:rsidRPr="00883399">
              <w:t>CH</w:t>
            </w:r>
            <w:r w:rsidRPr="00883399">
              <w:rPr>
                <w:vertAlign w:val="subscript"/>
              </w:rPr>
              <w:t>4</w:t>
            </w:r>
          </w:p>
        </w:tc>
        <w:tc>
          <w:tcPr>
            <w:tcW w:w="1574" w:type="dxa"/>
            <w:shd w:val="clear" w:color="auto" w:fill="E6E6E6"/>
          </w:tcPr>
          <w:p w14:paraId="12A52A93" w14:textId="77777777" w:rsidR="00872C03" w:rsidRPr="00883399" w:rsidRDefault="00872C03" w:rsidP="0031057E">
            <w:pPr>
              <w:pStyle w:val="Text"/>
            </w:pPr>
            <w:r w:rsidRPr="00883399">
              <w:t>N</w:t>
            </w:r>
            <w:r w:rsidRPr="00883399">
              <w:rPr>
                <w:vertAlign w:val="subscript"/>
              </w:rPr>
              <w:t>2</w:t>
            </w:r>
            <w:r w:rsidRPr="00883399">
              <w:t>O</w:t>
            </w:r>
          </w:p>
        </w:tc>
      </w:tr>
      <w:tr w:rsidR="00872C03" w:rsidRPr="00883399" w14:paraId="3A9500EC" w14:textId="77777777" w:rsidTr="0031057E">
        <w:tc>
          <w:tcPr>
            <w:tcW w:w="2400" w:type="dxa"/>
          </w:tcPr>
          <w:p w14:paraId="0B42B0F2" w14:textId="77777777" w:rsidR="00872C03" w:rsidRPr="00883399" w:rsidRDefault="00872C03" w:rsidP="0031057E">
            <w:pPr>
              <w:pStyle w:val="Text"/>
              <w:spacing w:before="120" w:line="240" w:lineRule="auto"/>
              <w:rPr>
                <w:i/>
              </w:rPr>
            </w:pPr>
            <w:r w:rsidRPr="00883399">
              <w:t>Method 1</w:t>
            </w:r>
          </w:p>
        </w:tc>
        <w:tc>
          <w:tcPr>
            <w:tcW w:w="1800" w:type="dxa"/>
          </w:tcPr>
          <w:p w14:paraId="188ADBB4" w14:textId="77777777" w:rsidR="00872C03" w:rsidRPr="00883399" w:rsidRDefault="00872C03" w:rsidP="0031057E">
            <w:pPr>
              <w:pStyle w:val="Text"/>
              <w:spacing w:before="120" w:line="240" w:lineRule="auto"/>
            </w:pPr>
            <w:r w:rsidRPr="00883399">
              <w:t>Section 3.52</w:t>
            </w:r>
          </w:p>
        </w:tc>
        <w:tc>
          <w:tcPr>
            <w:tcW w:w="1680" w:type="dxa"/>
          </w:tcPr>
          <w:p w14:paraId="221B4D2D" w14:textId="77777777" w:rsidR="00872C03" w:rsidRPr="00883399" w:rsidRDefault="00872C03" w:rsidP="0031057E">
            <w:pPr>
              <w:pStyle w:val="Text"/>
              <w:spacing w:before="120" w:line="240" w:lineRule="auto"/>
            </w:pPr>
            <w:r w:rsidRPr="00883399">
              <w:t>Section 3.55</w:t>
            </w:r>
          </w:p>
        </w:tc>
        <w:tc>
          <w:tcPr>
            <w:tcW w:w="1574" w:type="dxa"/>
          </w:tcPr>
          <w:p w14:paraId="0C6C8773" w14:textId="77777777" w:rsidR="00872C03" w:rsidRPr="00883399" w:rsidRDefault="00872C03" w:rsidP="0031057E">
            <w:pPr>
              <w:pStyle w:val="Text"/>
              <w:spacing w:before="120" w:line="240" w:lineRule="auto"/>
            </w:pPr>
            <w:r w:rsidRPr="00883399">
              <w:t>Section 3.55</w:t>
            </w:r>
          </w:p>
        </w:tc>
      </w:tr>
      <w:tr w:rsidR="00872C03" w:rsidRPr="00883399" w14:paraId="4783DDF7" w14:textId="77777777" w:rsidTr="0031057E">
        <w:tc>
          <w:tcPr>
            <w:tcW w:w="2400" w:type="dxa"/>
          </w:tcPr>
          <w:p w14:paraId="015135C7" w14:textId="77777777" w:rsidR="00872C03" w:rsidRPr="00883399" w:rsidRDefault="00872C03" w:rsidP="0031057E">
            <w:pPr>
              <w:pStyle w:val="Text"/>
              <w:spacing w:before="120" w:line="240" w:lineRule="auto"/>
            </w:pPr>
            <w:r w:rsidRPr="00883399">
              <w:t>Method 2</w:t>
            </w:r>
          </w:p>
        </w:tc>
        <w:tc>
          <w:tcPr>
            <w:tcW w:w="1800" w:type="dxa"/>
          </w:tcPr>
          <w:p w14:paraId="2388D72E" w14:textId="77777777" w:rsidR="00872C03" w:rsidRPr="00883399" w:rsidRDefault="00872C03" w:rsidP="0031057E">
            <w:pPr>
              <w:pStyle w:val="Text"/>
              <w:spacing w:before="120" w:line="240" w:lineRule="auto"/>
            </w:pPr>
            <w:r w:rsidRPr="00883399">
              <w:t>Section 3.53</w:t>
            </w:r>
          </w:p>
        </w:tc>
        <w:tc>
          <w:tcPr>
            <w:tcW w:w="1680" w:type="dxa"/>
          </w:tcPr>
          <w:p w14:paraId="53B3C8EB" w14:textId="77777777" w:rsidR="00872C03" w:rsidRPr="00883399" w:rsidRDefault="00872C03" w:rsidP="0031057E">
            <w:pPr>
              <w:pStyle w:val="Text"/>
              <w:spacing w:before="120" w:line="240" w:lineRule="auto"/>
            </w:pPr>
            <w:r w:rsidRPr="00883399">
              <w:t>NA</w:t>
            </w:r>
          </w:p>
        </w:tc>
        <w:tc>
          <w:tcPr>
            <w:tcW w:w="1574" w:type="dxa"/>
          </w:tcPr>
          <w:p w14:paraId="332FB01C" w14:textId="77777777" w:rsidR="00872C03" w:rsidRPr="00883399" w:rsidRDefault="00872C03" w:rsidP="0031057E">
            <w:pPr>
              <w:pStyle w:val="Text"/>
              <w:spacing w:before="120" w:line="240" w:lineRule="auto"/>
            </w:pPr>
            <w:r w:rsidRPr="00883399">
              <w:t>NA</w:t>
            </w:r>
          </w:p>
        </w:tc>
      </w:tr>
      <w:tr w:rsidR="00872C03" w:rsidRPr="00883399" w14:paraId="2479AA4D" w14:textId="77777777" w:rsidTr="0031057E">
        <w:tc>
          <w:tcPr>
            <w:tcW w:w="2400" w:type="dxa"/>
          </w:tcPr>
          <w:p w14:paraId="28E724A0" w14:textId="77777777" w:rsidR="00872C03" w:rsidRPr="00883399" w:rsidRDefault="00872C03" w:rsidP="0031057E">
            <w:pPr>
              <w:pStyle w:val="Text"/>
              <w:spacing w:before="120" w:line="240" w:lineRule="auto"/>
            </w:pPr>
            <w:r w:rsidRPr="00883399">
              <w:t>Method 3</w:t>
            </w:r>
          </w:p>
        </w:tc>
        <w:tc>
          <w:tcPr>
            <w:tcW w:w="1800" w:type="dxa"/>
          </w:tcPr>
          <w:p w14:paraId="4674C413" w14:textId="77777777" w:rsidR="00872C03" w:rsidRPr="00883399" w:rsidRDefault="00872C03" w:rsidP="0031057E">
            <w:pPr>
              <w:pStyle w:val="Text"/>
              <w:spacing w:before="120" w:line="240" w:lineRule="auto"/>
            </w:pPr>
            <w:r w:rsidRPr="00883399">
              <w:t>Section 3.54</w:t>
            </w:r>
          </w:p>
        </w:tc>
        <w:tc>
          <w:tcPr>
            <w:tcW w:w="1680" w:type="dxa"/>
          </w:tcPr>
          <w:p w14:paraId="0892DE5A" w14:textId="77777777" w:rsidR="00872C03" w:rsidRPr="00883399" w:rsidRDefault="00872C03" w:rsidP="0031057E">
            <w:pPr>
              <w:pStyle w:val="Text"/>
              <w:spacing w:before="120" w:line="240" w:lineRule="auto"/>
            </w:pPr>
            <w:r w:rsidRPr="00883399">
              <w:t>NA</w:t>
            </w:r>
          </w:p>
        </w:tc>
        <w:tc>
          <w:tcPr>
            <w:tcW w:w="1574" w:type="dxa"/>
          </w:tcPr>
          <w:p w14:paraId="0568E72F" w14:textId="77777777" w:rsidR="00872C03" w:rsidRPr="00883399" w:rsidRDefault="00872C03" w:rsidP="0031057E">
            <w:pPr>
              <w:pStyle w:val="Text"/>
              <w:spacing w:before="120" w:line="240" w:lineRule="auto"/>
            </w:pPr>
            <w:r w:rsidRPr="00883399">
              <w:t>NA</w:t>
            </w:r>
          </w:p>
        </w:tc>
      </w:tr>
      <w:tr w:rsidR="00872C03" w:rsidRPr="00883399" w14:paraId="5956159A" w14:textId="77777777" w:rsidTr="0031057E">
        <w:tc>
          <w:tcPr>
            <w:tcW w:w="2400" w:type="dxa"/>
          </w:tcPr>
          <w:p w14:paraId="6A871699" w14:textId="77777777" w:rsidR="00872C03" w:rsidRPr="00883399" w:rsidRDefault="00872C03" w:rsidP="0031057E">
            <w:pPr>
              <w:pStyle w:val="Text"/>
              <w:spacing w:before="120" w:line="240" w:lineRule="auto"/>
            </w:pPr>
            <w:r w:rsidRPr="00883399">
              <w:t>Method 4</w:t>
            </w:r>
          </w:p>
        </w:tc>
        <w:tc>
          <w:tcPr>
            <w:tcW w:w="1800" w:type="dxa"/>
          </w:tcPr>
          <w:p w14:paraId="5B7AE87C" w14:textId="77777777" w:rsidR="00872C03" w:rsidRPr="00883399" w:rsidRDefault="00872C03" w:rsidP="0031057E">
            <w:pPr>
              <w:pStyle w:val="Text"/>
              <w:spacing w:before="120" w:line="240" w:lineRule="auto"/>
            </w:pPr>
            <w:r w:rsidRPr="00883399">
              <w:t>NA</w:t>
            </w:r>
          </w:p>
        </w:tc>
        <w:tc>
          <w:tcPr>
            <w:tcW w:w="1680" w:type="dxa"/>
          </w:tcPr>
          <w:p w14:paraId="1535D562" w14:textId="77777777" w:rsidR="00872C03" w:rsidRPr="00883399" w:rsidRDefault="00872C03" w:rsidP="0031057E">
            <w:pPr>
              <w:pStyle w:val="Text"/>
              <w:spacing w:before="120" w:line="240" w:lineRule="auto"/>
            </w:pPr>
            <w:r w:rsidRPr="00883399">
              <w:t>NA</w:t>
            </w:r>
          </w:p>
        </w:tc>
        <w:tc>
          <w:tcPr>
            <w:tcW w:w="1574" w:type="dxa"/>
          </w:tcPr>
          <w:p w14:paraId="4D47DF80" w14:textId="77777777" w:rsidR="00872C03" w:rsidRPr="00883399" w:rsidRDefault="00872C03" w:rsidP="0031057E">
            <w:pPr>
              <w:pStyle w:val="Text"/>
              <w:spacing w:before="120" w:line="240" w:lineRule="auto"/>
            </w:pPr>
            <w:r w:rsidRPr="00883399">
              <w:t>NA</w:t>
            </w:r>
          </w:p>
        </w:tc>
      </w:tr>
    </w:tbl>
    <w:p w14:paraId="5687A88F" w14:textId="77777777" w:rsidR="00872C03" w:rsidRPr="00883399" w:rsidRDefault="00872C03" w:rsidP="00C335B2">
      <w:pPr>
        <w:pStyle w:val="Text"/>
        <w:ind w:left="960"/>
        <w:rPr>
          <w:sz w:val="24"/>
        </w:rPr>
      </w:pPr>
      <w:r w:rsidRPr="00883399">
        <w:t>NA = Not available.  NO = Not occurring</w:t>
      </w:r>
    </w:p>
    <w:p w14:paraId="2D5A5A34" w14:textId="754120E1" w:rsidR="00872C03" w:rsidRPr="00883399" w:rsidRDefault="00872C03" w:rsidP="00872C03">
      <w:pPr>
        <w:pStyle w:val="ActHead5"/>
        <w:rPr>
          <w:sz w:val="28"/>
        </w:rPr>
      </w:pPr>
      <w:bookmarkStart w:id="640" w:name="_Toc423516933"/>
      <w:bookmarkStart w:id="641" w:name="_Toc495652850"/>
      <w:r w:rsidRPr="00883399">
        <w:rPr>
          <w:rStyle w:val="CharSectno"/>
          <w:sz w:val="28"/>
        </w:rPr>
        <w:t>3.52</w:t>
      </w:r>
      <w:r w:rsidRPr="00883399">
        <w:rPr>
          <w:sz w:val="28"/>
        </w:rPr>
        <w:t xml:space="preserve">  Method 1—crude oil production (flared) emissions</w:t>
      </w:r>
      <w:bookmarkEnd w:id="640"/>
      <w:bookmarkEnd w:id="641"/>
    </w:p>
    <w:p w14:paraId="7E435813" w14:textId="77777777" w:rsidR="00872C03" w:rsidRPr="00883399" w:rsidRDefault="00872C03" w:rsidP="00872C03">
      <w:pPr>
        <w:pStyle w:val="subsection"/>
        <w:rPr>
          <w:sz w:val="24"/>
        </w:rPr>
      </w:pPr>
      <w:r w:rsidRPr="00883399">
        <w:rPr>
          <w:sz w:val="24"/>
        </w:rPr>
        <w:tab/>
        <w:t>(1)</w:t>
      </w:r>
      <w:r w:rsidRPr="00883399">
        <w:rPr>
          <w:sz w:val="24"/>
        </w:rPr>
        <w:tab/>
        <w:t>For subparagraph 3.51(a)(i), method 1 is:</w:t>
      </w:r>
    </w:p>
    <w:p w14:paraId="7896D346" w14:textId="3FA92E3B"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70707378" wp14:editId="250AB22A">
            <wp:extent cx="1019175" cy="219075"/>
            <wp:effectExtent l="0" t="0" r="9525" b="9525"/>
            <wp:docPr id="1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19175" cy="219075"/>
                    </a:xfrm>
                    <a:prstGeom prst="rect">
                      <a:avLst/>
                    </a:prstGeom>
                    <a:noFill/>
                    <a:ln>
                      <a:noFill/>
                    </a:ln>
                  </pic:spPr>
                </pic:pic>
              </a:graphicData>
            </a:graphic>
          </wp:inline>
        </w:drawing>
      </w:r>
    </w:p>
    <w:p w14:paraId="4D3426BB" w14:textId="77777777" w:rsidR="00872C03" w:rsidRPr="00883399" w:rsidRDefault="00872C03" w:rsidP="00872C03">
      <w:pPr>
        <w:pStyle w:val="subsection2"/>
        <w:rPr>
          <w:sz w:val="24"/>
        </w:rPr>
      </w:pPr>
      <w:r w:rsidRPr="00883399">
        <w:rPr>
          <w:sz w:val="24"/>
        </w:rPr>
        <w:t>where:</w:t>
      </w:r>
    </w:p>
    <w:p w14:paraId="64BEA8FA" w14:textId="77777777" w:rsidR="00872C03" w:rsidRPr="00883399" w:rsidRDefault="00872C03" w:rsidP="00872C03">
      <w:pPr>
        <w:pStyle w:val="Definition0"/>
        <w:rPr>
          <w:sz w:val="24"/>
        </w:rPr>
      </w:pPr>
      <w:r w:rsidRPr="00883399">
        <w:rPr>
          <w:b/>
          <w:i/>
          <w:sz w:val="24"/>
        </w:rPr>
        <w:t>E</w:t>
      </w:r>
      <w:r w:rsidRPr="00883399">
        <w:rPr>
          <w:rFonts w:ascii="Times New Roman Bold" w:hAnsi="Times New Roman Bold"/>
          <w:b/>
          <w:i/>
          <w:sz w:val="24"/>
          <w:vertAlign w:val="subscript"/>
        </w:rPr>
        <w:t>i</w:t>
      </w:r>
      <w:r w:rsidRPr="00883399">
        <w:rPr>
          <w:b/>
          <w:i/>
          <w:sz w:val="24"/>
          <w:vertAlign w:val="subscript"/>
        </w:rPr>
        <w:t>j</w:t>
      </w:r>
      <w:r w:rsidRPr="00883399">
        <w:rPr>
          <w:b/>
          <w:i/>
          <w:sz w:val="24"/>
        </w:rPr>
        <w:t xml:space="preserve"> </w:t>
      </w:r>
      <w:r w:rsidRPr="00883399">
        <w:rPr>
          <w:sz w:val="24"/>
        </w:rPr>
        <w:t>is the emissions of gas type (</w:t>
      </w:r>
      <w:r w:rsidRPr="00883399">
        <w:rPr>
          <w:b/>
          <w:i/>
          <w:sz w:val="24"/>
        </w:rPr>
        <w:t>j</w:t>
      </w:r>
      <w:r w:rsidRPr="00883399">
        <w:rPr>
          <w:sz w:val="24"/>
        </w:rPr>
        <w:t>) measured in CO</w:t>
      </w:r>
      <w:r w:rsidRPr="00883399">
        <w:rPr>
          <w:rStyle w:val="charSubscript"/>
          <w:iCs/>
          <w:sz w:val="22"/>
        </w:rPr>
        <w:t>2</w:t>
      </w:r>
      <w:r w:rsidRPr="00883399">
        <w:rPr>
          <w:sz w:val="24"/>
        </w:rPr>
        <w:noBreakHyphen/>
        <w:t>e tonnes from a fuel type (</w:t>
      </w:r>
      <w:r w:rsidRPr="00883399">
        <w:rPr>
          <w:b/>
          <w:i/>
          <w:sz w:val="24"/>
        </w:rPr>
        <w:t>i</w:t>
      </w:r>
      <w:r w:rsidRPr="00883399">
        <w:rPr>
          <w:sz w:val="24"/>
        </w:rPr>
        <w:t>) flared in crude oil production during the year.</w:t>
      </w:r>
    </w:p>
    <w:p w14:paraId="01655EE2" w14:textId="77777777" w:rsidR="00872C03" w:rsidRPr="00883399" w:rsidRDefault="00872C03" w:rsidP="00872C03">
      <w:pPr>
        <w:pStyle w:val="Definition0"/>
        <w:rPr>
          <w:sz w:val="24"/>
        </w:rPr>
      </w:pPr>
      <w:r w:rsidRPr="00883399">
        <w:rPr>
          <w:b/>
          <w:i/>
          <w:sz w:val="24"/>
        </w:rPr>
        <w:t>Q</w:t>
      </w:r>
      <w:r w:rsidRPr="00883399">
        <w:rPr>
          <w:rFonts w:ascii="Times New Roman Bold" w:hAnsi="Times New Roman Bold"/>
          <w:b/>
          <w:i/>
          <w:sz w:val="24"/>
          <w:vertAlign w:val="subscript"/>
        </w:rPr>
        <w:t>i</w:t>
      </w:r>
      <w:r w:rsidRPr="00883399">
        <w:rPr>
          <w:b/>
          <w:i/>
          <w:sz w:val="24"/>
        </w:rPr>
        <w:t xml:space="preserve"> </w:t>
      </w:r>
      <w:r w:rsidRPr="00883399">
        <w:rPr>
          <w:sz w:val="24"/>
        </w:rPr>
        <w:t>is the quantity of fuel type (</w:t>
      </w:r>
      <w:r w:rsidRPr="00883399">
        <w:rPr>
          <w:b/>
          <w:i/>
          <w:sz w:val="24"/>
        </w:rPr>
        <w:t>i</w:t>
      </w:r>
      <w:r w:rsidRPr="00883399">
        <w:rPr>
          <w:sz w:val="24"/>
        </w:rPr>
        <w:t>) measured in tonnes flared in crude oil production during the year.</w:t>
      </w:r>
    </w:p>
    <w:p w14:paraId="28F5B256" w14:textId="77777777" w:rsidR="00872C03" w:rsidRPr="00883399" w:rsidRDefault="00872C03" w:rsidP="00872C03">
      <w:pPr>
        <w:pStyle w:val="Definition0"/>
        <w:rPr>
          <w:sz w:val="24"/>
        </w:rPr>
      </w:pPr>
      <w:r w:rsidRPr="00883399">
        <w:rPr>
          <w:b/>
          <w:i/>
          <w:sz w:val="24"/>
        </w:rPr>
        <w:t>EF</w:t>
      </w:r>
      <w:r w:rsidRPr="00883399">
        <w:rPr>
          <w:rFonts w:ascii="Times New Roman Bold" w:hAnsi="Times New Roman Bold"/>
          <w:b/>
          <w:i/>
          <w:sz w:val="24"/>
          <w:vertAlign w:val="subscript"/>
        </w:rPr>
        <w:t>i</w:t>
      </w:r>
      <w:r w:rsidRPr="00883399">
        <w:rPr>
          <w:b/>
          <w:i/>
          <w:sz w:val="24"/>
          <w:vertAlign w:val="subscript"/>
        </w:rPr>
        <w:t>j</w:t>
      </w:r>
      <w:r w:rsidRPr="00883399">
        <w:rPr>
          <w:b/>
          <w:i/>
          <w:sz w:val="24"/>
        </w:rPr>
        <w:t xml:space="preserve"> </w:t>
      </w:r>
      <w:r w:rsidRPr="00883399">
        <w:rPr>
          <w:sz w:val="24"/>
        </w:rPr>
        <w:t>is the emission factor for gas type (</w:t>
      </w:r>
      <w:r w:rsidRPr="00883399">
        <w:rPr>
          <w:b/>
          <w:i/>
          <w:sz w:val="24"/>
        </w:rPr>
        <w:t>j</w:t>
      </w:r>
      <w:r w:rsidRPr="00883399">
        <w:rPr>
          <w:sz w:val="24"/>
        </w:rPr>
        <w:t>) measured in tonnes of CO</w:t>
      </w:r>
      <w:r w:rsidRPr="00883399">
        <w:rPr>
          <w:rStyle w:val="charSubscript"/>
          <w:iCs/>
          <w:sz w:val="22"/>
        </w:rPr>
        <w:t>2</w:t>
      </w:r>
      <w:r w:rsidRPr="00883399">
        <w:rPr>
          <w:sz w:val="24"/>
        </w:rPr>
        <w:noBreakHyphen/>
        <w:t>e emissions per tonne of the fuel type (</w:t>
      </w:r>
      <w:r w:rsidRPr="00883399">
        <w:rPr>
          <w:b/>
          <w:i/>
          <w:sz w:val="24"/>
        </w:rPr>
        <w:t>i</w:t>
      </w:r>
      <w:r w:rsidRPr="00883399">
        <w:rPr>
          <w:sz w:val="24"/>
        </w:rPr>
        <w:t>) flared.</w:t>
      </w:r>
    </w:p>
    <w:p w14:paraId="74C7437D" w14:textId="77777777" w:rsidR="00872C03" w:rsidRPr="00883399" w:rsidRDefault="00872C03" w:rsidP="00872C03">
      <w:pPr>
        <w:pStyle w:val="subsection"/>
        <w:rPr>
          <w:sz w:val="24"/>
        </w:rPr>
      </w:pPr>
      <w:r w:rsidRPr="00883399">
        <w:rPr>
          <w:sz w:val="24"/>
        </w:rPr>
        <w:tab/>
        <w:t>(2)</w:t>
      </w:r>
      <w:r w:rsidRPr="00883399">
        <w:rPr>
          <w:sz w:val="24"/>
        </w:rPr>
        <w:tab/>
        <w:t xml:space="preserve">For </w:t>
      </w:r>
      <w:r w:rsidRPr="00883399">
        <w:rPr>
          <w:b/>
          <w:i/>
          <w:sz w:val="24"/>
        </w:rPr>
        <w:t>EF</w:t>
      </w:r>
      <w:r w:rsidRPr="00883399">
        <w:rPr>
          <w:b/>
          <w:i/>
          <w:sz w:val="24"/>
          <w:vertAlign w:val="subscript"/>
        </w:rPr>
        <w:t>ij</w:t>
      </w:r>
      <w:r w:rsidRPr="00883399">
        <w:rPr>
          <w:i/>
          <w:sz w:val="24"/>
          <w:vertAlign w:val="subscript"/>
        </w:rPr>
        <w:t xml:space="preserve"> </w:t>
      </w:r>
      <w:r w:rsidRPr="00883399">
        <w:rPr>
          <w:sz w:val="24"/>
        </w:rPr>
        <w:t>mentioned in subsection (1), columns 3, 4 and 5 of an item in following table specify the emission factor for each fuel type (</w:t>
      </w:r>
      <w:r w:rsidRPr="00883399">
        <w:rPr>
          <w:b/>
          <w:i/>
          <w:sz w:val="24"/>
        </w:rPr>
        <w:t>i</w:t>
      </w:r>
      <w:r w:rsidRPr="00883399">
        <w:rPr>
          <w:sz w:val="24"/>
        </w:rPr>
        <w:t>) specified in column 2 of that item.</w:t>
      </w:r>
    </w:p>
    <w:p w14:paraId="1B750B3C" w14:textId="77777777" w:rsidR="00872C03" w:rsidRPr="00883399" w:rsidRDefault="00872C03" w:rsidP="00872C03">
      <w:pPr>
        <w:pStyle w:val="Tabletext0"/>
        <w:rPr>
          <w:sz w:val="22"/>
        </w:rPr>
      </w:pP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2280"/>
        <w:gridCol w:w="1320"/>
        <w:gridCol w:w="1320"/>
        <w:gridCol w:w="1320"/>
      </w:tblGrid>
      <w:tr w:rsidR="00872C03" w:rsidRPr="00883399" w14:paraId="379B0613" w14:textId="77777777" w:rsidTr="0031057E">
        <w:trPr>
          <w:cantSplit/>
          <w:tblHeader/>
        </w:trPr>
        <w:tc>
          <w:tcPr>
            <w:tcW w:w="960" w:type="dxa"/>
            <w:tcBorders>
              <w:top w:val="single" w:sz="12" w:space="0" w:color="auto"/>
              <w:left w:val="nil"/>
              <w:bottom w:val="nil"/>
              <w:right w:val="nil"/>
            </w:tcBorders>
            <w:shd w:val="clear" w:color="auto" w:fill="auto"/>
          </w:tcPr>
          <w:p w14:paraId="743CBF8E" w14:textId="77777777" w:rsidR="00872C03" w:rsidRPr="00883399" w:rsidRDefault="00872C03" w:rsidP="0031057E">
            <w:pPr>
              <w:pStyle w:val="TableHeading"/>
              <w:rPr>
                <w:sz w:val="22"/>
              </w:rPr>
            </w:pPr>
            <w:r w:rsidRPr="00883399">
              <w:rPr>
                <w:sz w:val="22"/>
              </w:rPr>
              <w:t>Item</w:t>
            </w:r>
          </w:p>
        </w:tc>
        <w:tc>
          <w:tcPr>
            <w:tcW w:w="2280" w:type="dxa"/>
            <w:vMerge w:val="restart"/>
            <w:tcBorders>
              <w:top w:val="single" w:sz="12" w:space="0" w:color="auto"/>
              <w:left w:val="nil"/>
              <w:bottom w:val="nil"/>
              <w:right w:val="nil"/>
            </w:tcBorders>
            <w:shd w:val="clear" w:color="auto" w:fill="auto"/>
          </w:tcPr>
          <w:p w14:paraId="598DA4B8" w14:textId="77777777" w:rsidR="00872C03" w:rsidRPr="00883399" w:rsidRDefault="00872C03" w:rsidP="0031057E">
            <w:pPr>
              <w:pStyle w:val="TableHeading"/>
              <w:rPr>
                <w:sz w:val="22"/>
              </w:rPr>
            </w:pPr>
            <w:r w:rsidRPr="00883399">
              <w:rPr>
                <w:sz w:val="22"/>
              </w:rPr>
              <w:t>Fuel type (i)</w:t>
            </w:r>
          </w:p>
        </w:tc>
        <w:tc>
          <w:tcPr>
            <w:tcW w:w="3960" w:type="dxa"/>
            <w:gridSpan w:val="3"/>
            <w:tcBorders>
              <w:top w:val="single" w:sz="12" w:space="0" w:color="auto"/>
              <w:left w:val="nil"/>
              <w:bottom w:val="single" w:sz="4" w:space="0" w:color="auto"/>
              <w:right w:val="nil"/>
            </w:tcBorders>
            <w:shd w:val="clear" w:color="auto" w:fill="auto"/>
          </w:tcPr>
          <w:p w14:paraId="29F503AE" w14:textId="77777777" w:rsidR="00872C03" w:rsidRPr="00883399" w:rsidRDefault="00872C03" w:rsidP="0031057E">
            <w:pPr>
              <w:pStyle w:val="TableHeading"/>
              <w:rPr>
                <w:sz w:val="22"/>
              </w:rPr>
            </w:pPr>
            <w:r w:rsidRPr="00883399">
              <w:rPr>
                <w:sz w:val="22"/>
              </w:rPr>
              <w:t>Emission factor for gas type (j) (tonnes CO</w:t>
            </w:r>
            <w:r w:rsidRPr="00883399">
              <w:rPr>
                <w:sz w:val="22"/>
                <w:vertAlign w:val="subscript"/>
              </w:rPr>
              <w:t>2</w:t>
            </w:r>
            <w:r w:rsidRPr="00883399">
              <w:rPr>
                <w:sz w:val="22"/>
              </w:rPr>
              <w:noBreakHyphen/>
              <w:t>e/tonnes of fuel flared)</w:t>
            </w:r>
          </w:p>
        </w:tc>
      </w:tr>
      <w:tr w:rsidR="00872C03" w:rsidRPr="00883399" w14:paraId="7F3241AF" w14:textId="77777777" w:rsidTr="0031057E">
        <w:trPr>
          <w:cantSplit/>
          <w:tblHeader/>
        </w:trPr>
        <w:tc>
          <w:tcPr>
            <w:tcW w:w="960" w:type="dxa"/>
            <w:tcBorders>
              <w:top w:val="nil"/>
              <w:left w:val="nil"/>
              <w:bottom w:val="single" w:sz="12" w:space="0" w:color="auto"/>
              <w:right w:val="nil"/>
            </w:tcBorders>
            <w:shd w:val="clear" w:color="auto" w:fill="auto"/>
          </w:tcPr>
          <w:p w14:paraId="5144D4E7" w14:textId="77777777" w:rsidR="00872C03" w:rsidRPr="00883399" w:rsidRDefault="00872C03" w:rsidP="0031057E">
            <w:pPr>
              <w:pStyle w:val="TableHeading"/>
              <w:rPr>
                <w:sz w:val="22"/>
              </w:rPr>
            </w:pPr>
          </w:p>
        </w:tc>
        <w:tc>
          <w:tcPr>
            <w:tcW w:w="2280" w:type="dxa"/>
            <w:vMerge/>
            <w:tcBorders>
              <w:top w:val="nil"/>
              <w:left w:val="nil"/>
              <w:bottom w:val="single" w:sz="12" w:space="0" w:color="auto"/>
              <w:right w:val="nil"/>
            </w:tcBorders>
            <w:shd w:val="clear" w:color="auto" w:fill="auto"/>
          </w:tcPr>
          <w:p w14:paraId="58A87F21" w14:textId="77777777" w:rsidR="00872C03" w:rsidRPr="00883399" w:rsidRDefault="00872C03" w:rsidP="0031057E">
            <w:pPr>
              <w:pStyle w:val="TableHeading"/>
              <w:rPr>
                <w:sz w:val="22"/>
              </w:rPr>
            </w:pPr>
          </w:p>
        </w:tc>
        <w:tc>
          <w:tcPr>
            <w:tcW w:w="1320" w:type="dxa"/>
            <w:tcBorders>
              <w:top w:val="single" w:sz="4" w:space="0" w:color="auto"/>
              <w:left w:val="nil"/>
              <w:bottom w:val="single" w:sz="12" w:space="0" w:color="auto"/>
              <w:right w:val="nil"/>
            </w:tcBorders>
            <w:shd w:val="clear" w:color="auto" w:fill="auto"/>
          </w:tcPr>
          <w:p w14:paraId="5321ED54" w14:textId="77777777" w:rsidR="00872C03" w:rsidRPr="00883399" w:rsidRDefault="00872C03" w:rsidP="0031057E">
            <w:pPr>
              <w:pStyle w:val="TableHeading"/>
              <w:rPr>
                <w:sz w:val="22"/>
              </w:rPr>
            </w:pPr>
            <w:r w:rsidRPr="00883399">
              <w:rPr>
                <w:sz w:val="22"/>
              </w:rPr>
              <w:t>CO</w:t>
            </w:r>
            <w:r w:rsidRPr="00883399">
              <w:rPr>
                <w:sz w:val="22"/>
                <w:vertAlign w:val="subscript"/>
              </w:rPr>
              <w:t>2</w:t>
            </w:r>
          </w:p>
        </w:tc>
        <w:tc>
          <w:tcPr>
            <w:tcW w:w="1320" w:type="dxa"/>
            <w:tcBorders>
              <w:top w:val="single" w:sz="4" w:space="0" w:color="auto"/>
              <w:left w:val="nil"/>
              <w:bottom w:val="single" w:sz="12" w:space="0" w:color="auto"/>
              <w:right w:val="nil"/>
            </w:tcBorders>
            <w:shd w:val="clear" w:color="auto" w:fill="auto"/>
          </w:tcPr>
          <w:p w14:paraId="579A8F46" w14:textId="77777777" w:rsidR="00872C03" w:rsidRPr="00883399" w:rsidRDefault="00872C03" w:rsidP="0031057E">
            <w:pPr>
              <w:pStyle w:val="TableHeading"/>
              <w:rPr>
                <w:sz w:val="22"/>
              </w:rPr>
            </w:pPr>
            <w:r w:rsidRPr="00883399">
              <w:rPr>
                <w:sz w:val="22"/>
              </w:rPr>
              <w:t>CH</w:t>
            </w:r>
            <w:r w:rsidRPr="00883399">
              <w:rPr>
                <w:sz w:val="22"/>
                <w:vertAlign w:val="subscript"/>
              </w:rPr>
              <w:t>4</w:t>
            </w:r>
          </w:p>
        </w:tc>
        <w:tc>
          <w:tcPr>
            <w:tcW w:w="1320" w:type="dxa"/>
            <w:tcBorders>
              <w:top w:val="single" w:sz="4" w:space="0" w:color="auto"/>
              <w:left w:val="nil"/>
              <w:bottom w:val="single" w:sz="12" w:space="0" w:color="auto"/>
              <w:right w:val="nil"/>
            </w:tcBorders>
            <w:shd w:val="clear" w:color="auto" w:fill="auto"/>
          </w:tcPr>
          <w:p w14:paraId="5F774F83" w14:textId="77777777" w:rsidR="00872C03" w:rsidRPr="00883399" w:rsidRDefault="00872C03" w:rsidP="0031057E">
            <w:pPr>
              <w:pStyle w:val="TableHeading"/>
              <w:rPr>
                <w:sz w:val="22"/>
              </w:rPr>
            </w:pPr>
            <w:r w:rsidRPr="00883399">
              <w:rPr>
                <w:sz w:val="22"/>
              </w:rPr>
              <w:t>N</w:t>
            </w:r>
            <w:r w:rsidRPr="00883399">
              <w:rPr>
                <w:sz w:val="22"/>
                <w:vertAlign w:val="subscript"/>
              </w:rPr>
              <w:t>2</w:t>
            </w:r>
            <w:r w:rsidRPr="00883399">
              <w:rPr>
                <w:sz w:val="22"/>
              </w:rPr>
              <w:t>O</w:t>
            </w:r>
          </w:p>
        </w:tc>
      </w:tr>
      <w:tr w:rsidR="00872C03" w:rsidRPr="00883399" w14:paraId="3B0EB00E" w14:textId="77777777" w:rsidTr="0031057E">
        <w:trPr>
          <w:cantSplit/>
        </w:trPr>
        <w:tc>
          <w:tcPr>
            <w:tcW w:w="960" w:type="dxa"/>
            <w:tcBorders>
              <w:top w:val="single" w:sz="12" w:space="0" w:color="auto"/>
              <w:left w:val="nil"/>
              <w:bottom w:val="single" w:sz="4" w:space="0" w:color="auto"/>
              <w:right w:val="nil"/>
            </w:tcBorders>
          </w:tcPr>
          <w:p w14:paraId="460EC265" w14:textId="77777777" w:rsidR="00872C03" w:rsidRPr="00883399" w:rsidRDefault="00872C03" w:rsidP="0031057E">
            <w:pPr>
              <w:pStyle w:val="Tabletext0"/>
              <w:rPr>
                <w:sz w:val="22"/>
              </w:rPr>
            </w:pPr>
            <w:r w:rsidRPr="00883399">
              <w:rPr>
                <w:sz w:val="22"/>
              </w:rPr>
              <w:t>1</w:t>
            </w:r>
          </w:p>
        </w:tc>
        <w:tc>
          <w:tcPr>
            <w:tcW w:w="2280" w:type="dxa"/>
            <w:tcBorders>
              <w:top w:val="single" w:sz="12" w:space="0" w:color="auto"/>
              <w:left w:val="nil"/>
              <w:bottom w:val="single" w:sz="4" w:space="0" w:color="auto"/>
              <w:right w:val="nil"/>
            </w:tcBorders>
          </w:tcPr>
          <w:p w14:paraId="3F448537" w14:textId="77777777" w:rsidR="00872C03" w:rsidRPr="00883399" w:rsidRDefault="00872C03" w:rsidP="0031057E">
            <w:pPr>
              <w:pStyle w:val="Tabletext0"/>
              <w:rPr>
                <w:sz w:val="22"/>
              </w:rPr>
            </w:pPr>
            <w:r w:rsidRPr="00883399">
              <w:rPr>
                <w:sz w:val="22"/>
              </w:rPr>
              <w:t>Unprocessed gas flared</w:t>
            </w:r>
          </w:p>
        </w:tc>
        <w:tc>
          <w:tcPr>
            <w:tcW w:w="1320" w:type="dxa"/>
            <w:tcBorders>
              <w:top w:val="single" w:sz="12" w:space="0" w:color="auto"/>
              <w:left w:val="nil"/>
              <w:bottom w:val="single" w:sz="4" w:space="0" w:color="auto"/>
              <w:right w:val="nil"/>
            </w:tcBorders>
          </w:tcPr>
          <w:p w14:paraId="42B777BB" w14:textId="77777777" w:rsidR="00872C03" w:rsidRPr="00883399" w:rsidRDefault="00872C03" w:rsidP="0031057E">
            <w:pPr>
              <w:pStyle w:val="Tabletext0"/>
              <w:rPr>
                <w:sz w:val="22"/>
              </w:rPr>
            </w:pPr>
            <w:r w:rsidRPr="00883399">
              <w:rPr>
                <w:sz w:val="22"/>
              </w:rPr>
              <w:t>2.8</w:t>
            </w:r>
          </w:p>
        </w:tc>
        <w:tc>
          <w:tcPr>
            <w:tcW w:w="1320" w:type="dxa"/>
            <w:tcBorders>
              <w:top w:val="single" w:sz="12" w:space="0" w:color="auto"/>
              <w:left w:val="nil"/>
              <w:bottom w:val="single" w:sz="4" w:space="0" w:color="auto"/>
              <w:right w:val="nil"/>
            </w:tcBorders>
          </w:tcPr>
          <w:p w14:paraId="1379183A" w14:textId="77777777" w:rsidR="00872C03" w:rsidRPr="00883399" w:rsidRDefault="00872C03" w:rsidP="0031057E">
            <w:pPr>
              <w:pStyle w:val="Tabletext0"/>
              <w:rPr>
                <w:sz w:val="22"/>
              </w:rPr>
            </w:pPr>
            <w:r w:rsidRPr="00883399">
              <w:rPr>
                <w:sz w:val="22"/>
              </w:rPr>
              <w:t>0.8</w:t>
            </w:r>
          </w:p>
        </w:tc>
        <w:tc>
          <w:tcPr>
            <w:tcW w:w="1320" w:type="dxa"/>
            <w:tcBorders>
              <w:top w:val="single" w:sz="12" w:space="0" w:color="auto"/>
              <w:left w:val="nil"/>
              <w:bottom w:val="single" w:sz="4" w:space="0" w:color="auto"/>
              <w:right w:val="nil"/>
            </w:tcBorders>
          </w:tcPr>
          <w:p w14:paraId="27A33400" w14:textId="77777777" w:rsidR="00872C03" w:rsidRPr="00883399" w:rsidRDefault="00872C03" w:rsidP="0031057E">
            <w:pPr>
              <w:pStyle w:val="Tabletext0"/>
              <w:rPr>
                <w:sz w:val="22"/>
              </w:rPr>
            </w:pPr>
            <w:r w:rsidRPr="00883399">
              <w:rPr>
                <w:sz w:val="22"/>
              </w:rPr>
              <w:t>0.03</w:t>
            </w:r>
          </w:p>
        </w:tc>
      </w:tr>
      <w:tr w:rsidR="00872C03" w:rsidRPr="00883399" w14:paraId="684B25D2" w14:textId="77777777" w:rsidTr="0031057E">
        <w:trPr>
          <w:cantSplit/>
        </w:trPr>
        <w:tc>
          <w:tcPr>
            <w:tcW w:w="960" w:type="dxa"/>
            <w:tcBorders>
              <w:top w:val="single" w:sz="4" w:space="0" w:color="auto"/>
              <w:left w:val="nil"/>
              <w:bottom w:val="single" w:sz="12" w:space="0" w:color="auto"/>
              <w:right w:val="nil"/>
            </w:tcBorders>
          </w:tcPr>
          <w:p w14:paraId="3D84CA93" w14:textId="77777777" w:rsidR="00872C03" w:rsidRPr="00883399" w:rsidRDefault="00872C03" w:rsidP="0031057E">
            <w:pPr>
              <w:pStyle w:val="Tabletext0"/>
              <w:rPr>
                <w:sz w:val="22"/>
              </w:rPr>
            </w:pPr>
            <w:r w:rsidRPr="00883399">
              <w:rPr>
                <w:sz w:val="22"/>
              </w:rPr>
              <w:t>2</w:t>
            </w:r>
          </w:p>
        </w:tc>
        <w:tc>
          <w:tcPr>
            <w:tcW w:w="2280" w:type="dxa"/>
            <w:tcBorders>
              <w:top w:val="single" w:sz="4" w:space="0" w:color="auto"/>
              <w:left w:val="nil"/>
              <w:bottom w:val="single" w:sz="12" w:space="0" w:color="auto"/>
              <w:right w:val="nil"/>
            </w:tcBorders>
          </w:tcPr>
          <w:p w14:paraId="2A5C39CD" w14:textId="77777777" w:rsidR="00872C03" w:rsidRPr="00883399" w:rsidRDefault="00872C03" w:rsidP="0031057E">
            <w:pPr>
              <w:pStyle w:val="Tabletext0"/>
              <w:rPr>
                <w:sz w:val="22"/>
              </w:rPr>
            </w:pPr>
            <w:r w:rsidRPr="00883399">
              <w:rPr>
                <w:sz w:val="22"/>
              </w:rPr>
              <w:t>Crude oil</w:t>
            </w:r>
          </w:p>
        </w:tc>
        <w:tc>
          <w:tcPr>
            <w:tcW w:w="1320" w:type="dxa"/>
            <w:tcBorders>
              <w:top w:val="single" w:sz="4" w:space="0" w:color="auto"/>
              <w:left w:val="nil"/>
              <w:bottom w:val="single" w:sz="12" w:space="0" w:color="auto"/>
              <w:right w:val="nil"/>
            </w:tcBorders>
          </w:tcPr>
          <w:p w14:paraId="2F22437E" w14:textId="77777777" w:rsidR="00872C03" w:rsidRPr="00883399" w:rsidRDefault="00872C03" w:rsidP="0031057E">
            <w:pPr>
              <w:pStyle w:val="Tabletext0"/>
              <w:rPr>
                <w:sz w:val="22"/>
              </w:rPr>
            </w:pPr>
            <w:r w:rsidRPr="00883399">
              <w:rPr>
                <w:sz w:val="22"/>
              </w:rPr>
              <w:t>3.2</w:t>
            </w:r>
          </w:p>
        </w:tc>
        <w:tc>
          <w:tcPr>
            <w:tcW w:w="1320" w:type="dxa"/>
            <w:tcBorders>
              <w:top w:val="single" w:sz="4" w:space="0" w:color="auto"/>
              <w:left w:val="nil"/>
              <w:bottom w:val="single" w:sz="12" w:space="0" w:color="auto"/>
              <w:right w:val="nil"/>
            </w:tcBorders>
          </w:tcPr>
          <w:p w14:paraId="50840054" w14:textId="77777777" w:rsidR="00872C03" w:rsidRPr="00883399" w:rsidRDefault="00872C03" w:rsidP="0031057E">
            <w:pPr>
              <w:pStyle w:val="Tabletext0"/>
              <w:rPr>
                <w:sz w:val="22"/>
              </w:rPr>
            </w:pPr>
            <w:r w:rsidRPr="00883399">
              <w:rPr>
                <w:sz w:val="22"/>
              </w:rPr>
              <w:t>0.008</w:t>
            </w:r>
          </w:p>
        </w:tc>
        <w:tc>
          <w:tcPr>
            <w:tcW w:w="1320" w:type="dxa"/>
            <w:tcBorders>
              <w:top w:val="single" w:sz="4" w:space="0" w:color="auto"/>
              <w:left w:val="nil"/>
              <w:bottom w:val="single" w:sz="12" w:space="0" w:color="auto"/>
              <w:right w:val="nil"/>
            </w:tcBorders>
          </w:tcPr>
          <w:p w14:paraId="730D8242" w14:textId="77777777" w:rsidR="00872C03" w:rsidRPr="00883399" w:rsidRDefault="00872C03" w:rsidP="0031057E">
            <w:pPr>
              <w:pStyle w:val="Tabletext0"/>
              <w:rPr>
                <w:sz w:val="22"/>
              </w:rPr>
            </w:pPr>
            <w:r w:rsidRPr="00883399">
              <w:rPr>
                <w:sz w:val="22"/>
              </w:rPr>
              <w:t>0.07</w:t>
            </w:r>
          </w:p>
        </w:tc>
      </w:tr>
    </w:tbl>
    <w:p w14:paraId="25F6CF45" w14:textId="2819589A" w:rsidR="00872C03" w:rsidRPr="00883399" w:rsidRDefault="00872C03" w:rsidP="00872C03">
      <w:pPr>
        <w:pStyle w:val="ActHead5"/>
        <w:rPr>
          <w:sz w:val="28"/>
        </w:rPr>
      </w:pPr>
      <w:bookmarkStart w:id="642" w:name="_Toc423516934"/>
      <w:bookmarkStart w:id="643" w:name="_Toc495652851"/>
      <w:r w:rsidRPr="00883399">
        <w:rPr>
          <w:rStyle w:val="CharSectno"/>
          <w:sz w:val="28"/>
        </w:rPr>
        <w:lastRenderedPageBreak/>
        <w:t>3.53</w:t>
      </w:r>
      <w:r w:rsidRPr="00883399">
        <w:rPr>
          <w:sz w:val="28"/>
        </w:rPr>
        <w:t xml:space="preserve">  Method 2—crude oil production</w:t>
      </w:r>
      <w:bookmarkEnd w:id="642"/>
      <w:bookmarkEnd w:id="643"/>
    </w:p>
    <w:p w14:paraId="087A45B7" w14:textId="77777777" w:rsidR="00872C03" w:rsidRPr="00883399" w:rsidRDefault="00872C03" w:rsidP="00872C03">
      <w:pPr>
        <w:pStyle w:val="SubsectionHead"/>
        <w:rPr>
          <w:sz w:val="24"/>
        </w:rPr>
      </w:pPr>
      <w:r w:rsidRPr="00883399">
        <w:rPr>
          <w:sz w:val="24"/>
        </w:rPr>
        <w:t>Combustion of gaseous fuels (flared) emissions of carbon dioxide</w:t>
      </w:r>
    </w:p>
    <w:p w14:paraId="55D12112" w14:textId="77777777" w:rsidR="00872C03" w:rsidRPr="00883399" w:rsidRDefault="00872C03" w:rsidP="00872C03">
      <w:pPr>
        <w:pStyle w:val="subsection"/>
        <w:rPr>
          <w:sz w:val="24"/>
        </w:rPr>
      </w:pPr>
      <w:r w:rsidRPr="00883399">
        <w:rPr>
          <w:sz w:val="24"/>
        </w:rPr>
        <w:tab/>
        <w:t>(1)</w:t>
      </w:r>
      <w:r w:rsidRPr="00883399">
        <w:rPr>
          <w:sz w:val="24"/>
        </w:rPr>
        <w:tab/>
        <w:t>For subparagraph 3.51(1)(a)(ii), method 2 for combustion of gaseous fuels is:</w:t>
      </w:r>
    </w:p>
    <w:p w14:paraId="52EE9418" w14:textId="1702D2AA"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2661BA92" wp14:editId="0E3F2731">
            <wp:extent cx="2018665" cy="332740"/>
            <wp:effectExtent l="19050" t="0" r="63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46"/>
                    <a:srcRect/>
                    <a:stretch>
                      <a:fillRect/>
                    </a:stretch>
                  </pic:blipFill>
                  <pic:spPr bwMode="auto">
                    <a:xfrm>
                      <a:off x="0" y="0"/>
                      <a:ext cx="2018665" cy="332740"/>
                    </a:xfrm>
                    <a:prstGeom prst="rect">
                      <a:avLst/>
                    </a:prstGeom>
                    <a:noFill/>
                    <a:ln w="9525">
                      <a:noFill/>
                      <a:miter lim="800000"/>
                      <a:headEnd/>
                      <a:tailEnd/>
                    </a:ln>
                  </pic:spPr>
                </pic:pic>
              </a:graphicData>
            </a:graphic>
          </wp:inline>
        </w:drawing>
      </w:r>
    </w:p>
    <w:p w14:paraId="25B42D6B" w14:textId="77777777" w:rsidR="00872C03" w:rsidRPr="00883399" w:rsidRDefault="00872C03" w:rsidP="00872C03">
      <w:pPr>
        <w:pStyle w:val="subsection2"/>
        <w:rPr>
          <w:sz w:val="24"/>
        </w:rPr>
      </w:pPr>
      <w:r w:rsidRPr="00883399">
        <w:rPr>
          <w:sz w:val="24"/>
        </w:rPr>
        <w:t>where:</w:t>
      </w:r>
    </w:p>
    <w:p w14:paraId="0C3F2D67" w14:textId="77777777" w:rsidR="00872C03" w:rsidRPr="00883399" w:rsidRDefault="00872C03" w:rsidP="00872C03">
      <w:pPr>
        <w:pStyle w:val="Definition0"/>
        <w:rPr>
          <w:sz w:val="24"/>
        </w:rPr>
      </w:pPr>
      <w:r w:rsidRPr="00883399">
        <w:rPr>
          <w:b/>
          <w:i/>
          <w:sz w:val="24"/>
        </w:rPr>
        <w:t>E</w:t>
      </w:r>
      <w:r w:rsidRPr="00883399">
        <w:rPr>
          <w:b/>
          <w:i/>
          <w:sz w:val="24"/>
          <w:vertAlign w:val="subscript"/>
        </w:rPr>
        <w:t>iCO</w:t>
      </w:r>
      <w:r w:rsidRPr="00883399">
        <w:rPr>
          <w:b/>
          <w:i/>
          <w:position w:val="-4"/>
          <w:sz w:val="24"/>
          <w:vertAlign w:val="subscript"/>
        </w:rPr>
        <w:t>2</w:t>
      </w:r>
      <w:r w:rsidRPr="00883399">
        <w:rPr>
          <w:sz w:val="24"/>
        </w:rPr>
        <w:t xml:space="preserve"> is the fugitive emissions of CO</w:t>
      </w:r>
      <w:r w:rsidRPr="00883399">
        <w:rPr>
          <w:sz w:val="24"/>
          <w:vertAlign w:val="subscript"/>
        </w:rPr>
        <w:t>2</w:t>
      </w:r>
      <w:r w:rsidRPr="00883399">
        <w:rPr>
          <w:sz w:val="24"/>
        </w:rPr>
        <w:t xml:space="preserve"> from fuel type (</w:t>
      </w:r>
      <w:r w:rsidRPr="00883399">
        <w:rPr>
          <w:b/>
          <w:i/>
          <w:sz w:val="24"/>
        </w:rPr>
        <w:t>i</w:t>
      </w:r>
      <w:r w:rsidRPr="00883399">
        <w:rPr>
          <w:sz w:val="24"/>
        </w:rPr>
        <w:t>) flared in crude oil production during the year, measured in CO</w:t>
      </w:r>
      <w:r w:rsidRPr="00883399">
        <w:rPr>
          <w:sz w:val="24"/>
          <w:vertAlign w:val="subscript"/>
        </w:rPr>
        <w:t>2</w:t>
      </w:r>
      <w:r w:rsidRPr="00883399">
        <w:rPr>
          <w:sz w:val="24"/>
        </w:rPr>
        <w:noBreakHyphen/>
        <w:t>e tonnes.</w:t>
      </w:r>
    </w:p>
    <w:p w14:paraId="6EBD7F7D" w14:textId="77777777" w:rsidR="00872C03" w:rsidRPr="00883399" w:rsidRDefault="00872C03" w:rsidP="00872C03">
      <w:pPr>
        <w:pStyle w:val="Definition0"/>
        <w:rPr>
          <w:sz w:val="24"/>
        </w:rPr>
      </w:pPr>
      <w:r w:rsidRPr="00883399">
        <w:rPr>
          <w:b/>
          <w:i/>
          <w:sz w:val="24"/>
        </w:rPr>
        <w:t>Q</w:t>
      </w:r>
      <w:r w:rsidRPr="00883399">
        <w:rPr>
          <w:b/>
          <w:i/>
          <w:sz w:val="24"/>
          <w:vertAlign w:val="subscript"/>
        </w:rPr>
        <w:t>h</w:t>
      </w:r>
      <w:r w:rsidRPr="00883399">
        <w:rPr>
          <w:i/>
          <w:sz w:val="24"/>
        </w:rPr>
        <w:t xml:space="preserve"> </w:t>
      </w:r>
      <w:r w:rsidRPr="00883399">
        <w:rPr>
          <w:sz w:val="24"/>
        </w:rPr>
        <w:t>is the total quantity of hydrocarbons (</w:t>
      </w:r>
      <w:r w:rsidRPr="00883399">
        <w:rPr>
          <w:b/>
          <w:i/>
          <w:sz w:val="24"/>
        </w:rPr>
        <w:t>h</w:t>
      </w:r>
      <w:r w:rsidRPr="00883399">
        <w:rPr>
          <w:sz w:val="24"/>
        </w:rPr>
        <w:t>) within the fuel type (</w:t>
      </w:r>
      <w:r w:rsidRPr="00883399">
        <w:rPr>
          <w:b/>
          <w:i/>
          <w:sz w:val="24"/>
        </w:rPr>
        <w:t>i</w:t>
      </w:r>
      <w:r w:rsidRPr="00883399">
        <w:rPr>
          <w:sz w:val="24"/>
        </w:rPr>
        <w:t>) in crude oil production during the year, measured in tonnes in accordance with Division 2.3.3.</w:t>
      </w:r>
    </w:p>
    <w:p w14:paraId="76D0CBA7" w14:textId="77777777" w:rsidR="00872C03" w:rsidRPr="00883399" w:rsidRDefault="00872C03" w:rsidP="00872C03">
      <w:pPr>
        <w:pStyle w:val="Definition0"/>
        <w:rPr>
          <w:sz w:val="24"/>
        </w:rPr>
      </w:pPr>
      <w:r w:rsidRPr="00883399">
        <w:rPr>
          <w:b/>
          <w:i/>
          <w:sz w:val="24"/>
        </w:rPr>
        <w:t>EF</w:t>
      </w:r>
      <w:r w:rsidRPr="00883399">
        <w:rPr>
          <w:b/>
          <w:i/>
          <w:sz w:val="24"/>
          <w:vertAlign w:val="subscript"/>
        </w:rPr>
        <w:t>h</w:t>
      </w:r>
      <w:r w:rsidRPr="00883399">
        <w:rPr>
          <w:sz w:val="24"/>
        </w:rPr>
        <w:t xml:space="preserve"> is the emission factor for the total hydrocarbons (</w:t>
      </w:r>
      <w:r w:rsidRPr="00883399">
        <w:rPr>
          <w:b/>
          <w:i/>
          <w:sz w:val="24"/>
        </w:rPr>
        <w:t>h</w:t>
      </w:r>
      <w:r w:rsidRPr="00883399">
        <w:rPr>
          <w:sz w:val="24"/>
        </w:rPr>
        <w:t>) within the fuel type (</w:t>
      </w:r>
      <w:r w:rsidRPr="00883399">
        <w:rPr>
          <w:b/>
          <w:i/>
          <w:sz w:val="24"/>
        </w:rPr>
        <w:t>i</w:t>
      </w:r>
      <w:r w:rsidRPr="00883399">
        <w:rPr>
          <w:sz w:val="24"/>
        </w:rPr>
        <w:t>) in crude oil production during the year, measured in CO</w:t>
      </w:r>
      <w:r w:rsidRPr="00883399">
        <w:rPr>
          <w:sz w:val="24"/>
          <w:vertAlign w:val="subscript"/>
        </w:rPr>
        <w:t>2</w:t>
      </w:r>
      <w:r w:rsidRPr="00883399">
        <w:rPr>
          <w:sz w:val="24"/>
        </w:rPr>
        <w:noBreakHyphen/>
        <w:t>e tonnes per tonne of fuel type (</w:t>
      </w:r>
      <w:r w:rsidRPr="00883399">
        <w:rPr>
          <w:b/>
          <w:i/>
          <w:sz w:val="24"/>
        </w:rPr>
        <w:t>i</w:t>
      </w:r>
      <w:r w:rsidRPr="00883399">
        <w:rPr>
          <w:sz w:val="24"/>
        </w:rPr>
        <w:t>) flared</w:t>
      </w:r>
      <w:r w:rsidRPr="00883399">
        <w:rPr>
          <w:i/>
          <w:sz w:val="24"/>
        </w:rPr>
        <w:t xml:space="preserve">, </w:t>
      </w:r>
      <w:r w:rsidRPr="00883399">
        <w:rPr>
          <w:sz w:val="24"/>
        </w:rPr>
        <w:t>estimated in accordance with method 2 in Division 2.3.3.</w:t>
      </w:r>
    </w:p>
    <w:p w14:paraId="4321BF94" w14:textId="77777777" w:rsidR="00872C03" w:rsidRPr="00883399" w:rsidRDefault="00872C03" w:rsidP="00872C03">
      <w:pPr>
        <w:pStyle w:val="Definition0"/>
        <w:rPr>
          <w:sz w:val="24"/>
        </w:rPr>
      </w:pPr>
      <w:r w:rsidRPr="00883399">
        <w:rPr>
          <w:b/>
          <w:i/>
          <w:sz w:val="24"/>
        </w:rPr>
        <w:t>OF</w:t>
      </w:r>
      <w:r w:rsidRPr="00883399">
        <w:rPr>
          <w:b/>
          <w:i/>
          <w:sz w:val="24"/>
          <w:vertAlign w:val="subscript"/>
        </w:rPr>
        <w:t>i</w:t>
      </w:r>
      <w:r w:rsidRPr="00883399">
        <w:rPr>
          <w:sz w:val="24"/>
        </w:rPr>
        <w:t xml:space="preserve"> is 0.98, which is the destruction efficiency of fuel type (</w:t>
      </w:r>
      <w:r w:rsidRPr="00883399">
        <w:rPr>
          <w:b/>
          <w:i/>
          <w:sz w:val="24"/>
        </w:rPr>
        <w:t>i</w:t>
      </w:r>
      <w:r w:rsidRPr="00883399">
        <w:rPr>
          <w:sz w:val="24"/>
        </w:rPr>
        <w:t>) flared.</w:t>
      </w:r>
    </w:p>
    <w:p w14:paraId="00BF58A0" w14:textId="77777777" w:rsidR="00872C03" w:rsidRPr="00883399" w:rsidRDefault="00872C03" w:rsidP="00872C03">
      <w:pPr>
        <w:pStyle w:val="Definition0"/>
        <w:rPr>
          <w:sz w:val="24"/>
        </w:rPr>
      </w:pPr>
      <w:r w:rsidRPr="00883399">
        <w:rPr>
          <w:b/>
          <w:i/>
          <w:sz w:val="24"/>
        </w:rPr>
        <w:t>QCO</w:t>
      </w:r>
      <w:r w:rsidRPr="00883399">
        <w:rPr>
          <w:b/>
          <w:i/>
          <w:sz w:val="24"/>
          <w:vertAlign w:val="subscript"/>
        </w:rPr>
        <w:t>2</w:t>
      </w:r>
      <w:r w:rsidRPr="00883399">
        <w:rPr>
          <w:sz w:val="24"/>
        </w:rPr>
        <w:t xml:space="preserve"> is the quantity of CO</w:t>
      </w:r>
      <w:r w:rsidRPr="00883399">
        <w:rPr>
          <w:sz w:val="24"/>
          <w:vertAlign w:val="subscript"/>
        </w:rPr>
        <w:t>2</w:t>
      </w:r>
      <w:r w:rsidRPr="00883399">
        <w:rPr>
          <w:sz w:val="24"/>
        </w:rPr>
        <w:t xml:space="preserve"> within the fuel type (</w:t>
      </w:r>
      <w:r w:rsidRPr="00883399">
        <w:rPr>
          <w:b/>
          <w:i/>
          <w:sz w:val="24"/>
        </w:rPr>
        <w:t>i</w:t>
      </w:r>
      <w:r w:rsidRPr="00883399">
        <w:rPr>
          <w:sz w:val="24"/>
        </w:rPr>
        <w:t>) in crude oil production during the year, measured in CO</w:t>
      </w:r>
      <w:r w:rsidRPr="00883399">
        <w:rPr>
          <w:sz w:val="24"/>
          <w:vertAlign w:val="subscript"/>
        </w:rPr>
        <w:t>2</w:t>
      </w:r>
      <w:r w:rsidRPr="00883399">
        <w:rPr>
          <w:sz w:val="24"/>
        </w:rPr>
        <w:noBreakHyphen/>
        <w:t>e tonnes in accordance with Division 2.3.3.</w:t>
      </w:r>
    </w:p>
    <w:p w14:paraId="47B7AD05" w14:textId="77777777" w:rsidR="00872C03" w:rsidRPr="00883399" w:rsidRDefault="00872C03" w:rsidP="00872C03">
      <w:pPr>
        <w:pStyle w:val="SubsectionHead"/>
        <w:rPr>
          <w:sz w:val="24"/>
        </w:rPr>
      </w:pPr>
      <w:r w:rsidRPr="00883399">
        <w:rPr>
          <w:sz w:val="24"/>
        </w:rPr>
        <w:t>Combustion of liquid fuels (flared) emissions of carbon dioxide</w:t>
      </w:r>
    </w:p>
    <w:p w14:paraId="6C7569D0" w14:textId="77777777" w:rsidR="00872C03" w:rsidRPr="00883399" w:rsidRDefault="00872C03" w:rsidP="00872C03">
      <w:pPr>
        <w:pStyle w:val="subsection"/>
        <w:rPr>
          <w:sz w:val="24"/>
        </w:rPr>
      </w:pPr>
      <w:r w:rsidRPr="00883399">
        <w:rPr>
          <w:sz w:val="24"/>
        </w:rPr>
        <w:tab/>
        <w:t>(2)</w:t>
      </w:r>
      <w:r w:rsidRPr="00883399">
        <w:rPr>
          <w:sz w:val="24"/>
        </w:rPr>
        <w:tab/>
        <w:t xml:space="preserve">For subparagraph 3.51(1)(a)(ii), method 2 for combustion of liquid fuels is the same as method 1, but the carbon dioxide emissions factor </w:t>
      </w:r>
      <w:r w:rsidRPr="00883399">
        <w:rPr>
          <w:b/>
          <w:i/>
          <w:sz w:val="24"/>
        </w:rPr>
        <w:t>EF</w:t>
      </w:r>
      <w:r w:rsidRPr="00883399">
        <w:rPr>
          <w:rStyle w:val="charSubscript"/>
          <w:b/>
          <w:i/>
          <w:sz w:val="24"/>
        </w:rPr>
        <w:t>h</w:t>
      </w:r>
      <w:r w:rsidRPr="00883399">
        <w:rPr>
          <w:sz w:val="24"/>
        </w:rPr>
        <w:t xml:space="preserve"> must be determined in accordance with method 2 in Division 2.4.3.</w:t>
      </w:r>
    </w:p>
    <w:p w14:paraId="6F69436D" w14:textId="3D7686D2" w:rsidR="00872C03" w:rsidRPr="00883399" w:rsidRDefault="00872C03" w:rsidP="00872C03">
      <w:pPr>
        <w:pStyle w:val="ActHead5"/>
        <w:rPr>
          <w:sz w:val="28"/>
        </w:rPr>
      </w:pPr>
      <w:bookmarkStart w:id="644" w:name="_Toc423516935"/>
      <w:bookmarkStart w:id="645" w:name="_Toc495652852"/>
      <w:r w:rsidRPr="00883399">
        <w:rPr>
          <w:rStyle w:val="CharSectno"/>
          <w:sz w:val="28"/>
        </w:rPr>
        <w:t>3.53A</w:t>
      </w:r>
      <w:r w:rsidRPr="00883399">
        <w:rPr>
          <w:sz w:val="28"/>
        </w:rPr>
        <w:t xml:space="preserve">  Method 2A—crude oil production (flared methane or nitrous oxide emissions)</w:t>
      </w:r>
      <w:bookmarkEnd w:id="644"/>
      <w:bookmarkEnd w:id="645"/>
    </w:p>
    <w:p w14:paraId="344C97F9" w14:textId="77777777" w:rsidR="00872C03" w:rsidRPr="00883399" w:rsidRDefault="00872C03" w:rsidP="00872C03">
      <w:pPr>
        <w:pStyle w:val="subsection"/>
        <w:rPr>
          <w:sz w:val="24"/>
        </w:rPr>
      </w:pPr>
      <w:r w:rsidRPr="00883399">
        <w:rPr>
          <w:sz w:val="24"/>
        </w:rPr>
        <w:tab/>
      </w:r>
      <w:r w:rsidRPr="00883399">
        <w:rPr>
          <w:sz w:val="24"/>
        </w:rPr>
        <w:tab/>
        <w:t>For subparagraphs 3.51(1)(b)(ii) and (c)(ii), method 2A is:</w:t>
      </w:r>
    </w:p>
    <w:p w14:paraId="796EEA2B" w14:textId="77777777" w:rsidR="00872C03" w:rsidRPr="00883399" w:rsidRDefault="00872C03" w:rsidP="00872C03">
      <w:pPr>
        <w:pStyle w:val="subsection2"/>
        <w:rPr>
          <w:sz w:val="24"/>
        </w:rPr>
      </w:pPr>
      <w:r w:rsidRPr="00883399">
        <w:rPr>
          <w:sz w:val="24"/>
        </w:rPr>
        <w:object w:dxaOrig="2079" w:dyaOrig="440" w14:anchorId="27CF4676">
          <v:shape id="_x0000_i1061" type="#_x0000_t75" style="width:105.75pt;height:21.75pt" o:ole="">
            <v:imagedata r:id="rId147" o:title=""/>
          </v:shape>
          <o:OLEObject Type="Embed" ProgID="Equation.DSMT4" ShapeID="_x0000_i1061" DrawAspect="Content" ObjectID="_1594105952" r:id="rId148"/>
        </w:object>
      </w:r>
    </w:p>
    <w:p w14:paraId="2F1A7519" w14:textId="77777777" w:rsidR="00872C03" w:rsidRPr="00883399" w:rsidRDefault="00872C03" w:rsidP="00872C03">
      <w:pPr>
        <w:pStyle w:val="subsection2"/>
        <w:rPr>
          <w:sz w:val="24"/>
        </w:rPr>
      </w:pPr>
      <w:r w:rsidRPr="00883399">
        <w:rPr>
          <w:sz w:val="24"/>
        </w:rPr>
        <w:t>where:</w:t>
      </w:r>
    </w:p>
    <w:p w14:paraId="250B1521" w14:textId="77777777" w:rsidR="00872C03" w:rsidRPr="00883399" w:rsidRDefault="00872C03" w:rsidP="00872C03">
      <w:pPr>
        <w:pStyle w:val="Definition0"/>
        <w:rPr>
          <w:sz w:val="24"/>
        </w:rPr>
      </w:pPr>
      <w:r w:rsidRPr="00883399">
        <w:rPr>
          <w:b/>
          <w:i/>
          <w:sz w:val="24"/>
        </w:rPr>
        <w:t>EF</w:t>
      </w:r>
      <w:r w:rsidRPr="00883399">
        <w:rPr>
          <w:b/>
          <w:i/>
          <w:sz w:val="24"/>
          <w:vertAlign w:val="subscript"/>
        </w:rPr>
        <w:t>hij</w:t>
      </w:r>
      <w:r w:rsidRPr="00883399">
        <w:rPr>
          <w:sz w:val="24"/>
        </w:rPr>
        <w:t xml:space="preserve"> is the emission factor of gas type (</w:t>
      </w:r>
      <w:r w:rsidRPr="00883399">
        <w:rPr>
          <w:b/>
          <w:i/>
          <w:sz w:val="24"/>
        </w:rPr>
        <w:t>j</w:t>
      </w:r>
      <w:r w:rsidRPr="00883399">
        <w:rPr>
          <w:sz w:val="24"/>
        </w:rPr>
        <w:t>), being methane or nitrous oxide, for the total hydrocarbons (</w:t>
      </w:r>
      <w:r w:rsidRPr="00883399">
        <w:rPr>
          <w:b/>
          <w:i/>
          <w:sz w:val="24"/>
        </w:rPr>
        <w:t>h</w:t>
      </w:r>
      <w:r w:rsidRPr="00883399">
        <w:rPr>
          <w:sz w:val="24"/>
        </w:rPr>
        <w:t>) within the fuel type (</w:t>
      </w:r>
      <w:r w:rsidRPr="00883399">
        <w:rPr>
          <w:b/>
          <w:i/>
          <w:sz w:val="24"/>
        </w:rPr>
        <w:t>i</w:t>
      </w:r>
      <w:r w:rsidRPr="00883399">
        <w:rPr>
          <w:sz w:val="24"/>
        </w:rPr>
        <w:t xml:space="preserve">) in crude oil production during the year, mentioned for the fuel type in the table in </w:t>
      </w:r>
      <w:r w:rsidRPr="00883399">
        <w:rPr>
          <w:sz w:val="24"/>
        </w:rPr>
        <w:lastRenderedPageBreak/>
        <w:t>subsection 3.52(2) and measured in CO</w:t>
      </w:r>
      <w:r w:rsidRPr="00883399">
        <w:rPr>
          <w:sz w:val="24"/>
          <w:vertAlign w:val="subscript"/>
        </w:rPr>
        <w:t>2</w:t>
      </w:r>
      <w:r w:rsidRPr="00883399">
        <w:rPr>
          <w:sz w:val="24"/>
        </w:rPr>
        <w:noBreakHyphen/>
        <w:t>e tonnes per tonne of the fuel type (</w:t>
      </w:r>
      <w:r w:rsidRPr="00883399">
        <w:rPr>
          <w:b/>
          <w:i/>
          <w:sz w:val="24"/>
        </w:rPr>
        <w:t>i</w:t>
      </w:r>
      <w:r w:rsidRPr="00883399">
        <w:rPr>
          <w:sz w:val="24"/>
        </w:rPr>
        <w:t>) flared.</w:t>
      </w:r>
    </w:p>
    <w:p w14:paraId="35364CAF" w14:textId="77777777" w:rsidR="00872C03" w:rsidRPr="00883399" w:rsidRDefault="00872C03" w:rsidP="00872C03">
      <w:pPr>
        <w:pStyle w:val="Definition0"/>
        <w:rPr>
          <w:sz w:val="24"/>
        </w:rPr>
      </w:pPr>
      <w:r w:rsidRPr="00883399">
        <w:rPr>
          <w:b/>
          <w:i/>
          <w:sz w:val="24"/>
        </w:rPr>
        <w:t>E</w:t>
      </w:r>
      <w:r w:rsidRPr="00883399">
        <w:rPr>
          <w:b/>
          <w:i/>
          <w:sz w:val="24"/>
          <w:vertAlign w:val="subscript"/>
        </w:rPr>
        <w:t>ij</w:t>
      </w:r>
      <w:r w:rsidRPr="00883399">
        <w:rPr>
          <w:sz w:val="24"/>
        </w:rPr>
        <w:t xml:space="preserve"> is the fugitive emissions of gas type (</w:t>
      </w:r>
      <w:r w:rsidRPr="00883399">
        <w:rPr>
          <w:b/>
          <w:i/>
          <w:sz w:val="24"/>
        </w:rPr>
        <w:t>j</w:t>
      </w:r>
      <w:r w:rsidRPr="00883399">
        <w:rPr>
          <w:sz w:val="24"/>
        </w:rPr>
        <w:t>), being methane or nitrous oxide, from fuel type (</w:t>
      </w:r>
      <w:r w:rsidRPr="00883399">
        <w:rPr>
          <w:b/>
          <w:i/>
          <w:sz w:val="24"/>
        </w:rPr>
        <w:t>i</w:t>
      </w:r>
      <w:r w:rsidRPr="00883399">
        <w:rPr>
          <w:sz w:val="24"/>
        </w:rPr>
        <w:t>) flared</w:t>
      </w:r>
      <w:r w:rsidRPr="00883399">
        <w:rPr>
          <w:i/>
          <w:sz w:val="24"/>
        </w:rPr>
        <w:t xml:space="preserve"> </w:t>
      </w:r>
      <w:r w:rsidRPr="00883399">
        <w:rPr>
          <w:sz w:val="24"/>
        </w:rPr>
        <w:t>from crude oil production during the year, measured in CO</w:t>
      </w:r>
      <w:r w:rsidRPr="00883399">
        <w:rPr>
          <w:sz w:val="24"/>
          <w:vertAlign w:val="subscript"/>
        </w:rPr>
        <w:t>2</w:t>
      </w:r>
      <w:r w:rsidRPr="00883399">
        <w:rPr>
          <w:sz w:val="24"/>
        </w:rPr>
        <w:noBreakHyphen/>
        <w:t>e tonnes.</w:t>
      </w:r>
    </w:p>
    <w:p w14:paraId="7F28AA2A" w14:textId="77777777" w:rsidR="00872C03" w:rsidRPr="00883399" w:rsidRDefault="00872C03" w:rsidP="00872C03">
      <w:pPr>
        <w:pStyle w:val="Definition0"/>
        <w:rPr>
          <w:sz w:val="24"/>
        </w:rPr>
      </w:pPr>
      <w:r w:rsidRPr="00883399">
        <w:rPr>
          <w:b/>
          <w:i/>
          <w:sz w:val="24"/>
        </w:rPr>
        <w:t>OF</w:t>
      </w:r>
      <w:r w:rsidRPr="00883399">
        <w:rPr>
          <w:b/>
          <w:i/>
          <w:sz w:val="24"/>
          <w:vertAlign w:val="subscript"/>
        </w:rPr>
        <w:t>i</w:t>
      </w:r>
      <w:r w:rsidRPr="00883399">
        <w:rPr>
          <w:sz w:val="24"/>
        </w:rPr>
        <w:t xml:space="preserve"> is 0.98, which is the destruction efficiency of fuel type (</w:t>
      </w:r>
      <w:r w:rsidRPr="00883399">
        <w:rPr>
          <w:b/>
          <w:i/>
          <w:sz w:val="24"/>
        </w:rPr>
        <w:t>i</w:t>
      </w:r>
      <w:r w:rsidRPr="00883399">
        <w:rPr>
          <w:sz w:val="24"/>
        </w:rPr>
        <w:t>) flared.</w:t>
      </w:r>
    </w:p>
    <w:p w14:paraId="5615103B" w14:textId="77777777" w:rsidR="00872C03" w:rsidRPr="00883399" w:rsidRDefault="00872C03" w:rsidP="00872C03">
      <w:pPr>
        <w:pStyle w:val="Definition0"/>
        <w:rPr>
          <w:sz w:val="24"/>
        </w:rPr>
      </w:pPr>
      <w:r w:rsidRPr="00883399">
        <w:rPr>
          <w:b/>
          <w:i/>
          <w:sz w:val="24"/>
        </w:rPr>
        <w:t>Q</w:t>
      </w:r>
      <w:r w:rsidRPr="00883399">
        <w:rPr>
          <w:b/>
          <w:i/>
          <w:sz w:val="24"/>
          <w:vertAlign w:val="subscript"/>
        </w:rPr>
        <w:t>h</w:t>
      </w:r>
      <w:r w:rsidRPr="00883399">
        <w:rPr>
          <w:sz w:val="24"/>
        </w:rPr>
        <w:t xml:space="preserve"> is the total quantity of hydrocarbons (</w:t>
      </w:r>
      <w:r w:rsidRPr="00883399">
        <w:rPr>
          <w:b/>
          <w:i/>
          <w:sz w:val="24"/>
        </w:rPr>
        <w:t>h</w:t>
      </w:r>
      <w:r w:rsidRPr="00883399">
        <w:rPr>
          <w:sz w:val="24"/>
        </w:rPr>
        <w:t>) within the fuel type (</w:t>
      </w:r>
      <w:r w:rsidRPr="00883399">
        <w:rPr>
          <w:b/>
          <w:i/>
          <w:sz w:val="24"/>
        </w:rPr>
        <w:t>i</w:t>
      </w:r>
      <w:r w:rsidRPr="00883399">
        <w:rPr>
          <w:sz w:val="24"/>
        </w:rPr>
        <w:t>) in crude oil production during the year, measured in tonnes in accordance with Division 2.3.3 for gaseous fuels or Division 2.4.3 for liquid fuels.</w:t>
      </w:r>
    </w:p>
    <w:p w14:paraId="011C94C2" w14:textId="64AEEED8" w:rsidR="00872C03" w:rsidRPr="00883399" w:rsidRDefault="00872C03" w:rsidP="00872C03">
      <w:pPr>
        <w:pStyle w:val="ActHead5"/>
        <w:rPr>
          <w:sz w:val="28"/>
        </w:rPr>
      </w:pPr>
      <w:bookmarkStart w:id="646" w:name="_Toc423516936"/>
      <w:bookmarkStart w:id="647" w:name="_Toc495652853"/>
      <w:r w:rsidRPr="00883399">
        <w:rPr>
          <w:rStyle w:val="CharSectno"/>
          <w:sz w:val="28"/>
        </w:rPr>
        <w:t>3.54</w:t>
      </w:r>
      <w:r w:rsidRPr="00883399">
        <w:rPr>
          <w:sz w:val="28"/>
        </w:rPr>
        <w:t xml:space="preserve">  Method 3—crude oil production</w:t>
      </w:r>
      <w:bookmarkEnd w:id="646"/>
      <w:bookmarkEnd w:id="647"/>
    </w:p>
    <w:p w14:paraId="40838A7A" w14:textId="77777777" w:rsidR="00872C03" w:rsidRPr="00883399" w:rsidRDefault="00872C03" w:rsidP="00872C03">
      <w:pPr>
        <w:pStyle w:val="SubsectionHead"/>
        <w:rPr>
          <w:sz w:val="24"/>
        </w:rPr>
      </w:pPr>
      <w:r w:rsidRPr="00883399">
        <w:rPr>
          <w:sz w:val="24"/>
        </w:rPr>
        <w:t>Combustion of gaseous fuels (flared) emissions of carbon dioxide</w:t>
      </w:r>
    </w:p>
    <w:p w14:paraId="11644669" w14:textId="77777777" w:rsidR="00872C03" w:rsidRPr="00883399" w:rsidRDefault="00872C03" w:rsidP="00872C03">
      <w:pPr>
        <w:pStyle w:val="subsection"/>
        <w:rPr>
          <w:sz w:val="24"/>
        </w:rPr>
      </w:pPr>
      <w:r w:rsidRPr="00883399">
        <w:rPr>
          <w:sz w:val="24"/>
        </w:rPr>
        <w:tab/>
        <w:t>(1)</w:t>
      </w:r>
      <w:r w:rsidRPr="00883399">
        <w:rPr>
          <w:sz w:val="24"/>
        </w:rPr>
        <w:tab/>
        <w:t xml:space="preserve">For subparagraph 3.51(1)(a)(iii), method 3 for the combustion of gaseous fuels is the same as method 2, but the carbon dioxide emissions factor </w:t>
      </w:r>
      <w:r w:rsidRPr="00883399">
        <w:rPr>
          <w:b/>
          <w:i/>
          <w:sz w:val="24"/>
        </w:rPr>
        <w:t>EF</w:t>
      </w:r>
      <w:r w:rsidRPr="00883399">
        <w:rPr>
          <w:rStyle w:val="charSubscript"/>
          <w:b/>
          <w:i/>
          <w:sz w:val="24"/>
        </w:rPr>
        <w:t>h</w:t>
      </w:r>
      <w:r w:rsidRPr="00883399">
        <w:rPr>
          <w:sz w:val="24"/>
        </w:rPr>
        <w:t xml:space="preserve"> must be determined in accordance with method 3 in Division 2.3.4.</w:t>
      </w:r>
    </w:p>
    <w:p w14:paraId="4EEDF226" w14:textId="77777777" w:rsidR="00872C03" w:rsidRPr="00883399" w:rsidRDefault="00872C03" w:rsidP="00872C03">
      <w:pPr>
        <w:pStyle w:val="SubsectionHead"/>
        <w:rPr>
          <w:sz w:val="24"/>
        </w:rPr>
      </w:pPr>
      <w:r w:rsidRPr="00883399">
        <w:rPr>
          <w:sz w:val="24"/>
        </w:rPr>
        <w:t>Combustion of liquid fuels (flared) emissions of carbon dioxide</w:t>
      </w:r>
    </w:p>
    <w:p w14:paraId="196F8B00" w14:textId="77777777" w:rsidR="00872C03" w:rsidRPr="00883399" w:rsidRDefault="00872C03" w:rsidP="00872C03">
      <w:pPr>
        <w:pStyle w:val="subsection"/>
        <w:rPr>
          <w:sz w:val="24"/>
        </w:rPr>
      </w:pPr>
      <w:r w:rsidRPr="00883399">
        <w:rPr>
          <w:sz w:val="24"/>
        </w:rPr>
        <w:tab/>
        <w:t>(2)</w:t>
      </w:r>
      <w:r w:rsidRPr="00883399">
        <w:rPr>
          <w:sz w:val="24"/>
        </w:rPr>
        <w:tab/>
        <w:t xml:space="preserve">For subparagraph 3.51(1)(a)(iii), method 3 for the combustion of liquid fuels is the same as method 2, but the carbon dioxide emissions factor </w:t>
      </w:r>
      <w:r w:rsidRPr="00883399">
        <w:rPr>
          <w:b/>
          <w:i/>
          <w:sz w:val="24"/>
        </w:rPr>
        <w:t>EF</w:t>
      </w:r>
      <w:r w:rsidRPr="00883399">
        <w:rPr>
          <w:rStyle w:val="charSubscript"/>
          <w:b/>
          <w:i/>
          <w:sz w:val="24"/>
        </w:rPr>
        <w:t>h</w:t>
      </w:r>
      <w:r w:rsidRPr="00883399">
        <w:rPr>
          <w:sz w:val="24"/>
        </w:rPr>
        <w:t xml:space="preserve"> must be determined in accordance with method 3 in Division 2.4.4.</w:t>
      </w:r>
    </w:p>
    <w:p w14:paraId="673447C1" w14:textId="0FF86ADF" w:rsidR="00872C03" w:rsidRPr="00883399" w:rsidRDefault="00872C03" w:rsidP="00872C03">
      <w:pPr>
        <w:pStyle w:val="ActHead4"/>
        <w:rPr>
          <w:sz w:val="28"/>
        </w:rPr>
      </w:pPr>
      <w:bookmarkStart w:id="648" w:name="_Toc423516937"/>
      <w:bookmarkStart w:id="649" w:name="_Toc495652854"/>
      <w:r w:rsidRPr="00883399">
        <w:rPr>
          <w:rStyle w:val="CharSubdNo"/>
          <w:sz w:val="28"/>
        </w:rPr>
        <w:t>Subdivision 3.3.3.4</w:t>
      </w:r>
      <w:r w:rsidRPr="00883399">
        <w:rPr>
          <w:sz w:val="28"/>
        </w:rPr>
        <w:t>—</w:t>
      </w:r>
      <w:r w:rsidRPr="00883399">
        <w:rPr>
          <w:rStyle w:val="CharSubdText"/>
          <w:sz w:val="28"/>
        </w:rPr>
        <w:t>Crude oil production (non</w:t>
      </w:r>
      <w:r w:rsidRPr="00883399">
        <w:rPr>
          <w:rStyle w:val="CharSubdText"/>
          <w:sz w:val="28"/>
        </w:rPr>
        <w:noBreakHyphen/>
        <w:t>flared)—fugitive vent emissions of methane and carbon dioxide</w:t>
      </w:r>
      <w:bookmarkEnd w:id="648"/>
      <w:bookmarkEnd w:id="649"/>
    </w:p>
    <w:p w14:paraId="5BB19F43" w14:textId="6995BA48" w:rsidR="00872C03" w:rsidRPr="00883399" w:rsidRDefault="00872C03" w:rsidP="00872C03">
      <w:pPr>
        <w:pStyle w:val="ActHead5"/>
        <w:rPr>
          <w:sz w:val="28"/>
        </w:rPr>
      </w:pPr>
      <w:bookmarkStart w:id="650" w:name="_Toc423516938"/>
      <w:bookmarkStart w:id="651" w:name="_Toc495652855"/>
      <w:r w:rsidRPr="00883399">
        <w:rPr>
          <w:rStyle w:val="CharSectno"/>
          <w:sz w:val="28"/>
        </w:rPr>
        <w:t>3.56A</w:t>
      </w:r>
      <w:r w:rsidRPr="00883399">
        <w:rPr>
          <w:sz w:val="28"/>
        </w:rPr>
        <w:t xml:space="preserve">  Available methods</w:t>
      </w:r>
      <w:bookmarkEnd w:id="650"/>
      <w:bookmarkEnd w:id="651"/>
    </w:p>
    <w:p w14:paraId="4837B99C" w14:textId="77777777" w:rsidR="00872C03" w:rsidRPr="00883399" w:rsidRDefault="00872C03" w:rsidP="00872C03">
      <w:pPr>
        <w:pStyle w:val="subsection"/>
        <w:rPr>
          <w:sz w:val="24"/>
        </w:rPr>
      </w:pPr>
      <w:r w:rsidRPr="00883399">
        <w:rPr>
          <w:sz w:val="24"/>
        </w:rPr>
        <w:tab/>
        <w:t>(1)</w:t>
      </w:r>
      <w:r w:rsidRPr="00883399">
        <w:rPr>
          <w:sz w:val="24"/>
        </w:rPr>
        <w:tab/>
        <w:t>Subject to section 1.18, the methods mentioned in subsections (2) and (3) must be used for estimating fugitive emissions that result from system upsets, accidents and deliberate releases from process vents during a year from the operation of a facility that is constituted by crude oil production.</w:t>
      </w:r>
    </w:p>
    <w:p w14:paraId="1CD88192" w14:textId="77777777" w:rsidR="00872C03" w:rsidRPr="00883399" w:rsidRDefault="00872C03" w:rsidP="00872C03">
      <w:pPr>
        <w:pStyle w:val="subsection"/>
        <w:rPr>
          <w:sz w:val="24"/>
        </w:rPr>
      </w:pPr>
      <w:r w:rsidRPr="00883399">
        <w:rPr>
          <w:sz w:val="24"/>
        </w:rPr>
        <w:tab/>
        <w:t>(2)</w:t>
      </w:r>
      <w:r w:rsidRPr="00883399">
        <w:rPr>
          <w:sz w:val="24"/>
        </w:rPr>
        <w:tab/>
        <w:t>To estimate emissions that result from deliberate releases from process vents, system upsets and accidents during a year from the operation of the facility, one of the following methods must be used:</w:t>
      </w:r>
    </w:p>
    <w:p w14:paraId="38EF8718" w14:textId="77777777" w:rsidR="00872C03" w:rsidRPr="00883399" w:rsidRDefault="00872C03" w:rsidP="00872C03">
      <w:pPr>
        <w:pStyle w:val="paragraph"/>
        <w:rPr>
          <w:sz w:val="24"/>
        </w:rPr>
      </w:pPr>
      <w:r w:rsidRPr="00883399">
        <w:rPr>
          <w:sz w:val="24"/>
        </w:rPr>
        <w:tab/>
        <w:t>(a)</w:t>
      </w:r>
      <w:r w:rsidRPr="00883399">
        <w:rPr>
          <w:sz w:val="24"/>
        </w:rPr>
        <w:tab/>
        <w:t>method 1 under section 3.84;</w:t>
      </w:r>
    </w:p>
    <w:p w14:paraId="581E8161" w14:textId="77777777" w:rsidR="00872C03" w:rsidRPr="00883399" w:rsidRDefault="00872C03" w:rsidP="00872C03">
      <w:pPr>
        <w:pStyle w:val="paragraph"/>
        <w:rPr>
          <w:sz w:val="24"/>
        </w:rPr>
      </w:pPr>
      <w:r w:rsidRPr="00883399">
        <w:rPr>
          <w:sz w:val="24"/>
        </w:rPr>
        <w:tab/>
        <w:t>(b)</w:t>
      </w:r>
      <w:r w:rsidRPr="00883399">
        <w:rPr>
          <w:sz w:val="24"/>
        </w:rPr>
        <w:tab/>
        <w:t>method 4 under Part 1.3.</w:t>
      </w:r>
    </w:p>
    <w:p w14:paraId="25564207" w14:textId="77777777" w:rsidR="00872C03" w:rsidRPr="00883399" w:rsidRDefault="00872C03" w:rsidP="00872C03">
      <w:pPr>
        <w:pStyle w:val="subsection"/>
        <w:rPr>
          <w:sz w:val="24"/>
        </w:rPr>
      </w:pPr>
      <w:r w:rsidRPr="00883399">
        <w:rPr>
          <w:sz w:val="24"/>
        </w:rPr>
        <w:tab/>
        <w:t>(3)</w:t>
      </w:r>
      <w:r w:rsidRPr="00883399">
        <w:rPr>
          <w:sz w:val="24"/>
        </w:rPr>
        <w:tab/>
        <w:t xml:space="preserve">For estimating incidental emissions that result from deliberate releases from process vents, system upsets and accidents during a year from the </w:t>
      </w:r>
      <w:r w:rsidRPr="00883399">
        <w:rPr>
          <w:sz w:val="24"/>
        </w:rPr>
        <w:lastRenderedPageBreak/>
        <w:t>operation of the facility, another method may be used that is consistent with the principles mentioned in section 1.13.</w:t>
      </w:r>
    </w:p>
    <w:p w14:paraId="792FCD92" w14:textId="77777777" w:rsidR="00872C03" w:rsidRPr="00883399" w:rsidRDefault="00872C03" w:rsidP="00872C03">
      <w:pPr>
        <w:pStyle w:val="notetext"/>
        <w:rPr>
          <w:sz w:val="20"/>
        </w:rPr>
      </w:pPr>
      <w:r w:rsidRPr="00883399">
        <w:rPr>
          <w:sz w:val="20"/>
        </w:rPr>
        <w:t>Note:</w:t>
      </w:r>
      <w:r w:rsidRPr="00883399">
        <w:rPr>
          <w:sz w:val="20"/>
        </w:rPr>
        <w:tab/>
        <w:t>There is no method 2 or 3 for this Subdivision.</w:t>
      </w:r>
    </w:p>
    <w:p w14:paraId="39EE61BC" w14:textId="77777777" w:rsidR="00872C03" w:rsidRPr="00883399" w:rsidRDefault="00872C03" w:rsidP="00872C03">
      <w:pPr>
        <w:pStyle w:val="R2"/>
        <w:ind w:left="965" w:hanging="58"/>
        <w:rPr>
          <w:b/>
        </w:rPr>
      </w:pPr>
      <w:r w:rsidRPr="00883399">
        <w:rPr>
          <w:b/>
        </w:rPr>
        <w:t>Summary of available methods, for estimating fugitive vent emissions from crude oil production (non-flared), by emissions of gas type (j)</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1751"/>
        <w:gridCol w:w="1637"/>
        <w:gridCol w:w="1524"/>
      </w:tblGrid>
      <w:tr w:rsidR="00872C03" w:rsidRPr="00883399" w14:paraId="6C02026A" w14:textId="77777777" w:rsidTr="0031057E">
        <w:tc>
          <w:tcPr>
            <w:tcW w:w="2400" w:type="dxa"/>
            <w:shd w:val="clear" w:color="auto" w:fill="E6E6E6"/>
          </w:tcPr>
          <w:p w14:paraId="09284157" w14:textId="77777777" w:rsidR="00872C03" w:rsidRPr="00883399" w:rsidRDefault="00872C03" w:rsidP="0031057E">
            <w:pPr>
              <w:pStyle w:val="Text"/>
            </w:pPr>
          </w:p>
        </w:tc>
        <w:tc>
          <w:tcPr>
            <w:tcW w:w="1800" w:type="dxa"/>
            <w:shd w:val="clear" w:color="auto" w:fill="E6E6E6"/>
          </w:tcPr>
          <w:p w14:paraId="685F6A7D" w14:textId="77777777" w:rsidR="00872C03" w:rsidRPr="00883399" w:rsidRDefault="00872C03" w:rsidP="0031057E">
            <w:pPr>
              <w:pStyle w:val="Text"/>
            </w:pPr>
            <w:r w:rsidRPr="00883399">
              <w:t>CO</w:t>
            </w:r>
            <w:r w:rsidRPr="00883399">
              <w:rPr>
                <w:vertAlign w:val="subscript"/>
              </w:rPr>
              <w:t>2</w:t>
            </w:r>
          </w:p>
        </w:tc>
        <w:tc>
          <w:tcPr>
            <w:tcW w:w="1680" w:type="dxa"/>
            <w:shd w:val="clear" w:color="auto" w:fill="E6E6E6"/>
          </w:tcPr>
          <w:p w14:paraId="2F852CFB" w14:textId="77777777" w:rsidR="00872C03" w:rsidRPr="00883399" w:rsidRDefault="00872C03" w:rsidP="0031057E">
            <w:pPr>
              <w:pStyle w:val="Text"/>
            </w:pPr>
            <w:r w:rsidRPr="00883399">
              <w:t>CH</w:t>
            </w:r>
            <w:r w:rsidRPr="00883399">
              <w:rPr>
                <w:vertAlign w:val="subscript"/>
              </w:rPr>
              <w:t>4</w:t>
            </w:r>
          </w:p>
        </w:tc>
        <w:tc>
          <w:tcPr>
            <w:tcW w:w="1574" w:type="dxa"/>
            <w:shd w:val="clear" w:color="auto" w:fill="E6E6E6"/>
          </w:tcPr>
          <w:p w14:paraId="231B5E6B" w14:textId="77777777" w:rsidR="00872C03" w:rsidRPr="00883399" w:rsidRDefault="00872C03" w:rsidP="0031057E">
            <w:pPr>
              <w:pStyle w:val="Text"/>
            </w:pPr>
            <w:r w:rsidRPr="00883399">
              <w:t>N</w:t>
            </w:r>
            <w:r w:rsidRPr="00883399">
              <w:rPr>
                <w:vertAlign w:val="subscript"/>
              </w:rPr>
              <w:t>2</w:t>
            </w:r>
            <w:r w:rsidRPr="00883399">
              <w:t>O</w:t>
            </w:r>
          </w:p>
        </w:tc>
      </w:tr>
      <w:tr w:rsidR="00872C03" w:rsidRPr="00883399" w14:paraId="406270C4" w14:textId="77777777" w:rsidTr="0031057E">
        <w:tc>
          <w:tcPr>
            <w:tcW w:w="2400" w:type="dxa"/>
          </w:tcPr>
          <w:p w14:paraId="24238AA8" w14:textId="77777777" w:rsidR="00872C03" w:rsidRPr="00883399" w:rsidRDefault="00872C03" w:rsidP="0031057E">
            <w:pPr>
              <w:pStyle w:val="Text"/>
              <w:spacing w:before="120" w:line="240" w:lineRule="auto"/>
              <w:rPr>
                <w:i/>
              </w:rPr>
            </w:pPr>
            <w:r w:rsidRPr="00883399">
              <w:t>Method 1</w:t>
            </w:r>
          </w:p>
        </w:tc>
        <w:tc>
          <w:tcPr>
            <w:tcW w:w="1800" w:type="dxa"/>
          </w:tcPr>
          <w:p w14:paraId="028B031C" w14:textId="77777777" w:rsidR="00872C03" w:rsidRPr="00883399" w:rsidRDefault="00872C03" w:rsidP="0031057E">
            <w:pPr>
              <w:pStyle w:val="Text"/>
              <w:spacing w:before="120" w:line="240" w:lineRule="auto"/>
            </w:pPr>
            <w:r w:rsidRPr="00883399">
              <w:t>Section 3.56A</w:t>
            </w:r>
          </w:p>
        </w:tc>
        <w:tc>
          <w:tcPr>
            <w:tcW w:w="1680" w:type="dxa"/>
          </w:tcPr>
          <w:p w14:paraId="2A0305DE" w14:textId="77777777" w:rsidR="00872C03" w:rsidRPr="00883399" w:rsidRDefault="00872C03" w:rsidP="0031057E">
            <w:pPr>
              <w:pStyle w:val="Text"/>
              <w:spacing w:before="120" w:line="240" w:lineRule="auto"/>
            </w:pPr>
            <w:r w:rsidRPr="00883399">
              <w:t>Section 3.56A</w:t>
            </w:r>
          </w:p>
        </w:tc>
        <w:tc>
          <w:tcPr>
            <w:tcW w:w="1574" w:type="dxa"/>
          </w:tcPr>
          <w:p w14:paraId="5104CE12" w14:textId="77777777" w:rsidR="00872C03" w:rsidRPr="00883399" w:rsidRDefault="00872C03" w:rsidP="0031057E">
            <w:pPr>
              <w:pStyle w:val="Text"/>
              <w:spacing w:before="120" w:line="240" w:lineRule="auto"/>
            </w:pPr>
            <w:r w:rsidRPr="00883399">
              <w:t>NO</w:t>
            </w:r>
          </w:p>
        </w:tc>
      </w:tr>
      <w:tr w:rsidR="00872C03" w:rsidRPr="00883399" w14:paraId="045072D9" w14:textId="77777777" w:rsidTr="0031057E">
        <w:tc>
          <w:tcPr>
            <w:tcW w:w="2400" w:type="dxa"/>
          </w:tcPr>
          <w:p w14:paraId="1B8CDC15" w14:textId="77777777" w:rsidR="00872C03" w:rsidRPr="00883399" w:rsidRDefault="00872C03" w:rsidP="0031057E">
            <w:pPr>
              <w:pStyle w:val="Text"/>
              <w:spacing w:before="120" w:line="240" w:lineRule="auto"/>
            </w:pPr>
            <w:r w:rsidRPr="00883399">
              <w:t>Method 2</w:t>
            </w:r>
          </w:p>
        </w:tc>
        <w:tc>
          <w:tcPr>
            <w:tcW w:w="1800" w:type="dxa"/>
          </w:tcPr>
          <w:p w14:paraId="05E3D30C" w14:textId="77777777" w:rsidR="00872C03" w:rsidRPr="00883399" w:rsidRDefault="00872C03" w:rsidP="0031057E">
            <w:pPr>
              <w:pStyle w:val="Text"/>
              <w:spacing w:before="120" w:line="240" w:lineRule="auto"/>
            </w:pPr>
            <w:r w:rsidRPr="00883399">
              <w:t>NA</w:t>
            </w:r>
          </w:p>
        </w:tc>
        <w:tc>
          <w:tcPr>
            <w:tcW w:w="1680" w:type="dxa"/>
          </w:tcPr>
          <w:p w14:paraId="1024166E" w14:textId="77777777" w:rsidR="00872C03" w:rsidRPr="00883399" w:rsidRDefault="00872C03" w:rsidP="0031057E">
            <w:pPr>
              <w:pStyle w:val="Text"/>
              <w:spacing w:before="120" w:line="240" w:lineRule="auto"/>
            </w:pPr>
            <w:r w:rsidRPr="00883399">
              <w:t>NA</w:t>
            </w:r>
          </w:p>
        </w:tc>
        <w:tc>
          <w:tcPr>
            <w:tcW w:w="1574" w:type="dxa"/>
          </w:tcPr>
          <w:p w14:paraId="537D2DBC" w14:textId="77777777" w:rsidR="00872C03" w:rsidRPr="00883399" w:rsidRDefault="00872C03" w:rsidP="0031057E">
            <w:pPr>
              <w:pStyle w:val="Text"/>
              <w:spacing w:before="120" w:line="240" w:lineRule="auto"/>
            </w:pPr>
            <w:r w:rsidRPr="00883399">
              <w:t>NO</w:t>
            </w:r>
          </w:p>
        </w:tc>
      </w:tr>
      <w:tr w:rsidR="00872C03" w:rsidRPr="00883399" w14:paraId="4F7A78CD" w14:textId="77777777" w:rsidTr="0031057E">
        <w:tc>
          <w:tcPr>
            <w:tcW w:w="2400" w:type="dxa"/>
          </w:tcPr>
          <w:p w14:paraId="1D529160" w14:textId="77777777" w:rsidR="00872C03" w:rsidRPr="00883399" w:rsidRDefault="00872C03" w:rsidP="0031057E">
            <w:pPr>
              <w:pStyle w:val="Text"/>
              <w:spacing w:before="120" w:line="240" w:lineRule="auto"/>
            </w:pPr>
            <w:r w:rsidRPr="00883399">
              <w:t>Method 3</w:t>
            </w:r>
          </w:p>
        </w:tc>
        <w:tc>
          <w:tcPr>
            <w:tcW w:w="1800" w:type="dxa"/>
          </w:tcPr>
          <w:p w14:paraId="039FDF9A" w14:textId="77777777" w:rsidR="00872C03" w:rsidRPr="00883399" w:rsidRDefault="00872C03" w:rsidP="0031057E">
            <w:pPr>
              <w:pStyle w:val="Text"/>
              <w:spacing w:before="120" w:line="240" w:lineRule="auto"/>
            </w:pPr>
            <w:r w:rsidRPr="00883399">
              <w:t>NA</w:t>
            </w:r>
          </w:p>
        </w:tc>
        <w:tc>
          <w:tcPr>
            <w:tcW w:w="1680" w:type="dxa"/>
          </w:tcPr>
          <w:p w14:paraId="2751D49D" w14:textId="77777777" w:rsidR="00872C03" w:rsidRPr="00883399" w:rsidRDefault="00872C03" w:rsidP="0031057E">
            <w:pPr>
              <w:pStyle w:val="Text"/>
              <w:spacing w:before="120" w:line="240" w:lineRule="auto"/>
            </w:pPr>
            <w:r w:rsidRPr="00883399">
              <w:t>NA</w:t>
            </w:r>
          </w:p>
        </w:tc>
        <w:tc>
          <w:tcPr>
            <w:tcW w:w="1574" w:type="dxa"/>
          </w:tcPr>
          <w:p w14:paraId="09565152" w14:textId="77777777" w:rsidR="00872C03" w:rsidRPr="00883399" w:rsidRDefault="00872C03" w:rsidP="0031057E">
            <w:pPr>
              <w:pStyle w:val="Text"/>
              <w:spacing w:before="120" w:line="240" w:lineRule="auto"/>
            </w:pPr>
            <w:r w:rsidRPr="00883399">
              <w:t>NO</w:t>
            </w:r>
          </w:p>
        </w:tc>
      </w:tr>
      <w:tr w:rsidR="00872C03" w:rsidRPr="00883399" w14:paraId="3370F9CF" w14:textId="77777777" w:rsidTr="0031057E">
        <w:tc>
          <w:tcPr>
            <w:tcW w:w="2400" w:type="dxa"/>
          </w:tcPr>
          <w:p w14:paraId="28792B4A" w14:textId="77777777" w:rsidR="00872C03" w:rsidRPr="00883399" w:rsidRDefault="00872C03" w:rsidP="0031057E">
            <w:pPr>
              <w:pStyle w:val="Text"/>
              <w:spacing w:before="120" w:line="240" w:lineRule="auto"/>
            </w:pPr>
            <w:r w:rsidRPr="00883399">
              <w:t>Method 4</w:t>
            </w:r>
          </w:p>
        </w:tc>
        <w:tc>
          <w:tcPr>
            <w:tcW w:w="1800" w:type="dxa"/>
          </w:tcPr>
          <w:p w14:paraId="4B7E6F0D" w14:textId="77777777" w:rsidR="00872C03" w:rsidRPr="00883399" w:rsidRDefault="00872C03" w:rsidP="0031057E">
            <w:pPr>
              <w:pStyle w:val="Text"/>
              <w:spacing w:before="120" w:line="240" w:lineRule="auto"/>
            </w:pPr>
            <w:r w:rsidRPr="00883399">
              <w:t>Part 1.3</w:t>
            </w:r>
          </w:p>
        </w:tc>
        <w:tc>
          <w:tcPr>
            <w:tcW w:w="1680" w:type="dxa"/>
          </w:tcPr>
          <w:p w14:paraId="4C773644" w14:textId="77777777" w:rsidR="00872C03" w:rsidRPr="00883399" w:rsidRDefault="00872C03" w:rsidP="0031057E">
            <w:pPr>
              <w:pStyle w:val="Text"/>
              <w:spacing w:before="120" w:line="240" w:lineRule="auto"/>
            </w:pPr>
            <w:r w:rsidRPr="00883399">
              <w:t>Part 1.3</w:t>
            </w:r>
          </w:p>
        </w:tc>
        <w:tc>
          <w:tcPr>
            <w:tcW w:w="1574" w:type="dxa"/>
          </w:tcPr>
          <w:p w14:paraId="1469A1CD" w14:textId="77777777" w:rsidR="00872C03" w:rsidRPr="00883399" w:rsidRDefault="00872C03" w:rsidP="0031057E">
            <w:pPr>
              <w:pStyle w:val="Text"/>
              <w:spacing w:before="120" w:line="240" w:lineRule="auto"/>
            </w:pPr>
            <w:r w:rsidRPr="00883399">
              <w:t>NO</w:t>
            </w:r>
          </w:p>
        </w:tc>
      </w:tr>
    </w:tbl>
    <w:p w14:paraId="102C46DB" w14:textId="77777777" w:rsidR="00872C03" w:rsidRPr="00883399" w:rsidRDefault="00872C03" w:rsidP="00872C03">
      <w:pPr>
        <w:pStyle w:val="Text"/>
        <w:ind w:left="960"/>
        <w:rPr>
          <w:rStyle w:val="CharSectno"/>
        </w:rPr>
      </w:pPr>
      <w:r w:rsidRPr="00883399">
        <w:t>NA = Not available.  NO = Not occurring</w:t>
      </w:r>
    </w:p>
    <w:p w14:paraId="0DA6EC12"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outlineLvl w:val="0"/>
        <w:rPr>
          <w:b/>
        </w:rPr>
      </w:pPr>
      <w:r w:rsidRPr="00883399">
        <w:rPr>
          <w:b/>
        </w:rPr>
        <w:t>Example</w:t>
      </w:r>
    </w:p>
    <w:p w14:paraId="57BB1DF8"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pPr>
      <w:r w:rsidRPr="00883399">
        <w:t xml:space="preserve">A crude oil production platform has a throughput of 710,400 tonnes of crude oil during the year.  It has an equipment type constituting a floating tank in which 685,000 tonnes of crude oil throughput occurred during the year. 400 tonnes of crude oil were flared during the year. </w:t>
      </w:r>
    </w:p>
    <w:p w14:paraId="40798C1C"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pPr>
      <w:r w:rsidRPr="00883399">
        <w:t>The Reporter elects to use Method 1 to calculate fugitive emissions from crude oil production and flaring, for each of the greenhouse emission gases (</w:t>
      </w:r>
      <w:r w:rsidRPr="00883399">
        <w:rPr>
          <w:i/>
        </w:rPr>
        <w:t>j</w:t>
      </w:r>
      <w:r w:rsidRPr="00883399">
        <w:t>) (carbon dioxide, methane and nitrous oxide). Emissions are estimated as follows:</w:t>
      </w:r>
    </w:p>
    <w:p w14:paraId="1200DFEC"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outlineLvl w:val="0"/>
        <w:rPr>
          <w:b/>
          <w:i/>
        </w:rPr>
      </w:pPr>
      <w:r w:rsidRPr="00883399">
        <w:rPr>
          <w:b/>
          <w:i/>
        </w:rPr>
        <w:t>Part A: Crude oil production (non flared component)</w:t>
      </w:r>
    </w:p>
    <w:p w14:paraId="469B1ABB" w14:textId="6AFE0950" w:rsidR="00872C03" w:rsidRPr="00883399" w:rsidRDefault="00C66508" w:rsidP="00872C03">
      <w:pPr>
        <w:pStyle w:val="Text"/>
        <w:pBdr>
          <w:top w:val="single" w:sz="4" w:space="1" w:color="auto"/>
          <w:left w:val="single" w:sz="4" w:space="4" w:color="auto"/>
          <w:bottom w:val="single" w:sz="4" w:space="1" w:color="auto"/>
          <w:right w:val="single" w:sz="4" w:space="5" w:color="auto"/>
        </w:pBdr>
        <w:ind w:left="960"/>
        <w:rPr>
          <w:sz w:val="18"/>
          <w:szCs w:val="18"/>
        </w:rPr>
      </w:pPr>
      <w:r w:rsidRPr="00883399">
        <w:rPr>
          <w:noProof/>
          <w:lang w:eastAsia="en-AU"/>
        </w:rPr>
        <mc:AlternateContent>
          <mc:Choice Requires="wps">
            <w:drawing>
              <wp:anchor distT="0" distB="0" distL="114300" distR="114300" simplePos="0" relativeHeight="251658246" behindDoc="0" locked="0" layoutInCell="0" allowOverlap="1" wp14:anchorId="55CEF788" wp14:editId="7FFAEE00">
                <wp:simplePos x="0" y="0"/>
                <wp:positionH relativeFrom="column">
                  <wp:posOffset>1524000</wp:posOffset>
                </wp:positionH>
                <wp:positionV relativeFrom="paragraph">
                  <wp:posOffset>147320</wp:posOffset>
                </wp:positionV>
                <wp:extent cx="2400300" cy="457200"/>
                <wp:effectExtent l="0" t="0" r="0" b="0"/>
                <wp:wrapNone/>
                <wp:docPr id="2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24AA9" w14:textId="77777777" w:rsidR="00F8313C" w:rsidRDefault="00F8313C" w:rsidP="00872C03">
                            <w:pPr>
                              <w:pStyle w:val="Formula"/>
                            </w:pPr>
                            <w:r>
                              <w:t>E</w:t>
                            </w:r>
                            <w:r>
                              <w:rPr>
                                <w:vertAlign w:val="subscript"/>
                              </w:rPr>
                              <w:t>ij</w:t>
                            </w:r>
                            <w:r>
                              <w:t xml:space="preserve"> = Σ</w:t>
                            </w:r>
                            <w:r>
                              <w:rPr>
                                <w:vertAlign w:val="subscript"/>
                              </w:rPr>
                              <w:t>k</w:t>
                            </w:r>
                            <w:r>
                              <w:t xml:space="preserve"> (Q</w:t>
                            </w:r>
                            <w:r>
                              <w:rPr>
                                <w:vertAlign w:val="subscript"/>
                              </w:rPr>
                              <w:t>ik</w:t>
                            </w:r>
                            <w:r>
                              <w:t xml:space="preserve"> </w:t>
                            </w:r>
                            <w:r>
                              <w:sym w:font="Symbol" w:char="F0B4"/>
                            </w:r>
                            <w:r>
                              <w:t xml:space="preserve"> EF</w:t>
                            </w:r>
                            <w:r>
                              <w:rPr>
                                <w:vertAlign w:val="subscript"/>
                              </w:rPr>
                              <w:t>ijk</w:t>
                            </w:r>
                            <w:r>
                              <w:t>) +  Q</w:t>
                            </w:r>
                            <w:r>
                              <w:rPr>
                                <w:vertAlign w:val="subscript"/>
                              </w:rPr>
                              <w:t>i</w:t>
                            </w:r>
                            <w:r>
                              <w:t xml:space="preserve"> </w:t>
                            </w:r>
                            <w:r>
                              <w:sym w:font="Symbol" w:char="F0B4"/>
                            </w:r>
                            <w:r>
                              <w:t xml:space="preserve"> EF</w:t>
                            </w:r>
                            <w:r>
                              <w:rPr>
                                <w:vertAlign w:val="subscript"/>
                              </w:rPr>
                              <w:t>(l) ij</w:t>
                            </w:r>
                            <w:r>
                              <w:t xml:space="preserve"> </w:t>
                            </w:r>
                          </w:p>
                          <w:p w14:paraId="78B70617" w14:textId="77777777" w:rsidR="00F8313C" w:rsidRDefault="00F8313C" w:rsidP="00872C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EF788" id="_x0000_t202" coordsize="21600,21600" o:spt="202" path="m,l,21600r21600,l21600,xe">
                <v:stroke joinstyle="miter"/>
                <v:path gradientshapeok="t" o:connecttype="rect"/>
              </v:shapetype>
              <v:shape id="Text Box 7" o:spid="_x0000_s1041" type="#_x0000_t202" style="position:absolute;left:0;text-align:left;margin-left:120pt;margin-top:11.6pt;width:189pt;height:3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Ydgw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" o:allowincell="f" stroked="f">
                <v:textbox>
                  <w:txbxContent>
                    <w:p w14:paraId="40C24AA9" w14:textId="77777777" w:rsidR="00F8313C" w:rsidRDefault="00F8313C" w:rsidP="00872C03">
                      <w:pPr>
                        <w:pStyle w:val="Formula"/>
                      </w:pPr>
                      <w:r>
                        <w:t>E</w:t>
                      </w:r>
                      <w:r>
                        <w:rPr>
                          <w:vertAlign w:val="subscript"/>
                        </w:rPr>
                        <w:t>ij</w:t>
                      </w:r>
                      <w:r>
                        <w:t xml:space="preserve"> = Σ</w:t>
                      </w:r>
                      <w:r>
                        <w:rPr>
                          <w:vertAlign w:val="subscript"/>
                        </w:rPr>
                        <w:t>k</w:t>
                      </w:r>
                      <w:r>
                        <w:t xml:space="preserve"> (Q</w:t>
                      </w:r>
                      <w:r>
                        <w:rPr>
                          <w:vertAlign w:val="subscript"/>
                        </w:rPr>
                        <w:t>ik</w:t>
                      </w:r>
                      <w:r>
                        <w:t xml:space="preserve"> </w:t>
                      </w:r>
                      <w:r>
                        <w:sym w:font="Symbol" w:char="F0B4"/>
                      </w:r>
                      <w:r>
                        <w:t xml:space="preserve"> EF</w:t>
                      </w:r>
                      <w:r>
                        <w:rPr>
                          <w:vertAlign w:val="subscript"/>
                        </w:rPr>
                        <w:t>ijk</w:t>
                      </w:r>
                      <w:r>
                        <w:t>) +  Q</w:t>
                      </w:r>
                      <w:r>
                        <w:rPr>
                          <w:vertAlign w:val="subscript"/>
                        </w:rPr>
                        <w:t>i</w:t>
                      </w:r>
                      <w:r>
                        <w:t xml:space="preserve"> </w:t>
                      </w:r>
                      <w:r>
                        <w:sym w:font="Symbol" w:char="F0B4"/>
                      </w:r>
                      <w:r>
                        <w:t xml:space="preserve"> EF</w:t>
                      </w:r>
                      <w:r>
                        <w:rPr>
                          <w:vertAlign w:val="subscript"/>
                        </w:rPr>
                        <w:t>(l) ij</w:t>
                      </w:r>
                      <w:r>
                        <w:t xml:space="preserve"> </w:t>
                      </w:r>
                    </w:p>
                    <w:p w14:paraId="78B70617" w14:textId="77777777" w:rsidR="00F8313C" w:rsidRDefault="00F8313C" w:rsidP="00872C03"/>
                  </w:txbxContent>
                </v:textbox>
              </v:shape>
            </w:pict>
          </mc:Fallback>
        </mc:AlternateContent>
      </w:r>
    </w:p>
    <w:p w14:paraId="475D420A"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rPr>
          <w:sz w:val="18"/>
          <w:szCs w:val="18"/>
        </w:rPr>
      </w:pPr>
    </w:p>
    <w:p w14:paraId="5FBB45C2"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rPr>
          <w:sz w:val="18"/>
          <w:szCs w:val="18"/>
        </w:rPr>
      </w:pPr>
      <w:r w:rsidRPr="00883399">
        <w:rPr>
          <w:sz w:val="18"/>
          <w:szCs w:val="18"/>
        </w:rPr>
        <w:t>where:</w:t>
      </w:r>
    </w:p>
    <w:p w14:paraId="2E70124C"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rPr>
          <w:sz w:val="18"/>
          <w:szCs w:val="18"/>
        </w:rPr>
      </w:pPr>
      <w:r w:rsidRPr="00883399">
        <w:rPr>
          <w:sz w:val="18"/>
          <w:szCs w:val="18"/>
        </w:rPr>
        <w:t>E</w:t>
      </w:r>
      <w:r w:rsidRPr="00883399">
        <w:rPr>
          <w:sz w:val="18"/>
          <w:szCs w:val="18"/>
          <w:vertAlign w:val="subscript"/>
        </w:rPr>
        <w:t>ij</w:t>
      </w:r>
      <w:r w:rsidRPr="00883399">
        <w:rPr>
          <w:sz w:val="18"/>
          <w:szCs w:val="18"/>
        </w:rPr>
        <w:t xml:space="preserve"> is the emissions measured in CO</w:t>
      </w:r>
      <w:r w:rsidRPr="00883399">
        <w:rPr>
          <w:sz w:val="18"/>
          <w:szCs w:val="18"/>
          <w:vertAlign w:val="subscript"/>
        </w:rPr>
        <w:t>2</w:t>
      </w:r>
      <w:r w:rsidRPr="00883399">
        <w:rPr>
          <w:sz w:val="18"/>
          <w:szCs w:val="18"/>
        </w:rPr>
        <w:t xml:space="preserve"> e tonnes of methane (j), released from the crude oil production during the year.</w:t>
      </w:r>
    </w:p>
    <w:p w14:paraId="1C7AB9E4"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rPr>
          <w:sz w:val="18"/>
          <w:szCs w:val="18"/>
        </w:rPr>
      </w:pPr>
      <w:r w:rsidRPr="00883399">
        <w:rPr>
          <w:sz w:val="18"/>
          <w:szCs w:val="18"/>
        </w:rPr>
        <w:t>Σ</w:t>
      </w:r>
      <w:r w:rsidRPr="00883399">
        <w:rPr>
          <w:sz w:val="18"/>
          <w:szCs w:val="18"/>
          <w:vertAlign w:val="subscript"/>
        </w:rPr>
        <w:t>k</w:t>
      </w:r>
      <w:r w:rsidRPr="00883399">
        <w:rPr>
          <w:sz w:val="18"/>
          <w:szCs w:val="18"/>
        </w:rPr>
        <w:t xml:space="preserve"> is the sum of emissions of methane (j) (tonnes of CO</w:t>
      </w:r>
      <w:r w:rsidRPr="00883399">
        <w:rPr>
          <w:sz w:val="18"/>
          <w:szCs w:val="18"/>
          <w:vertAlign w:val="subscript"/>
        </w:rPr>
        <w:t>2</w:t>
      </w:r>
      <w:r w:rsidRPr="00883399">
        <w:rPr>
          <w:sz w:val="18"/>
          <w:szCs w:val="18"/>
        </w:rPr>
        <w:t>-e) arising from equipment of types (k) listed in the table in section 3.49.</w:t>
      </w:r>
    </w:p>
    <w:p w14:paraId="2B3A0FDC"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rPr>
          <w:sz w:val="18"/>
          <w:szCs w:val="18"/>
        </w:rPr>
      </w:pPr>
      <w:r w:rsidRPr="00883399">
        <w:rPr>
          <w:sz w:val="18"/>
          <w:szCs w:val="18"/>
        </w:rPr>
        <w:lastRenderedPageBreak/>
        <w:t>Q</w:t>
      </w:r>
      <w:r w:rsidRPr="00883399">
        <w:rPr>
          <w:sz w:val="18"/>
          <w:szCs w:val="18"/>
          <w:vertAlign w:val="subscript"/>
        </w:rPr>
        <w:t>ik</w:t>
      </w:r>
      <w:r w:rsidRPr="00883399">
        <w:rPr>
          <w:sz w:val="18"/>
          <w:szCs w:val="18"/>
        </w:rPr>
        <w:t xml:space="preserve"> is the total of the quantities of crude oil (tonnes) that pass through each equipment of type (k) listed in the table in section 3.49 . </w:t>
      </w:r>
      <w:r w:rsidRPr="00883399">
        <w:rPr>
          <w:b/>
          <w:sz w:val="18"/>
          <w:szCs w:val="18"/>
        </w:rPr>
        <w:t>In this case it is the crude oil throughput for the floating tank is 685,000 tonnes</w:t>
      </w:r>
      <w:r w:rsidRPr="00883399">
        <w:rPr>
          <w:sz w:val="18"/>
          <w:szCs w:val="18"/>
        </w:rPr>
        <w:t>.</w:t>
      </w:r>
    </w:p>
    <w:p w14:paraId="6D7F2EF4"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rPr>
          <w:b/>
          <w:sz w:val="18"/>
          <w:szCs w:val="18"/>
        </w:rPr>
      </w:pPr>
      <w:r w:rsidRPr="00883399">
        <w:rPr>
          <w:sz w:val="18"/>
          <w:szCs w:val="18"/>
        </w:rPr>
        <w:t>EF</w:t>
      </w:r>
      <w:r w:rsidRPr="00883399">
        <w:rPr>
          <w:sz w:val="18"/>
          <w:szCs w:val="18"/>
          <w:vertAlign w:val="subscript"/>
        </w:rPr>
        <w:t>ijk</w:t>
      </w:r>
      <w:r w:rsidRPr="00883399">
        <w:rPr>
          <w:sz w:val="18"/>
          <w:szCs w:val="18"/>
        </w:rPr>
        <w:t xml:space="preserve"> is the emission factor for methane (j) measured as tonnes of CO</w:t>
      </w:r>
      <w:r w:rsidRPr="00883399">
        <w:rPr>
          <w:sz w:val="18"/>
          <w:szCs w:val="18"/>
          <w:vertAlign w:val="subscript"/>
        </w:rPr>
        <w:t>2</w:t>
      </w:r>
      <w:r w:rsidRPr="00883399">
        <w:rPr>
          <w:sz w:val="18"/>
          <w:szCs w:val="18"/>
        </w:rPr>
        <w:t xml:space="preserve">-e per tonne of crude oil that passes through each equipment of type (k).  </w:t>
      </w:r>
      <w:r w:rsidRPr="00883399">
        <w:rPr>
          <w:b/>
          <w:sz w:val="18"/>
          <w:szCs w:val="18"/>
        </w:rPr>
        <w:t>In this case the emission factor  for  the  floating tank is 3.2 x 10</w:t>
      </w:r>
      <w:r w:rsidRPr="00883399">
        <w:rPr>
          <w:rStyle w:val="Superscript"/>
          <w:b/>
          <w:sz w:val="18"/>
          <w:szCs w:val="18"/>
        </w:rPr>
        <w:noBreakHyphen/>
        <w:t xml:space="preserve">6 </w:t>
      </w:r>
      <w:r w:rsidRPr="00883399">
        <w:rPr>
          <w:b/>
          <w:sz w:val="18"/>
          <w:szCs w:val="18"/>
        </w:rPr>
        <w:t>CO</w:t>
      </w:r>
      <w:r w:rsidRPr="00883399">
        <w:rPr>
          <w:rStyle w:val="Subscript"/>
          <w:b/>
          <w:bCs/>
          <w:sz w:val="18"/>
          <w:szCs w:val="18"/>
        </w:rPr>
        <w:t>2</w:t>
      </w:r>
      <w:r w:rsidRPr="00883399">
        <w:rPr>
          <w:b/>
          <w:sz w:val="18"/>
          <w:szCs w:val="18"/>
        </w:rPr>
        <w:noBreakHyphen/>
        <w:t>e/tonnes fuel throughput.</w:t>
      </w:r>
    </w:p>
    <w:p w14:paraId="43394425"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rPr>
          <w:sz w:val="18"/>
          <w:szCs w:val="18"/>
        </w:rPr>
      </w:pPr>
      <w:r w:rsidRPr="00883399">
        <w:rPr>
          <w:sz w:val="18"/>
          <w:szCs w:val="18"/>
        </w:rPr>
        <w:t>Q</w:t>
      </w:r>
      <w:r w:rsidRPr="00883399">
        <w:rPr>
          <w:sz w:val="18"/>
          <w:szCs w:val="18"/>
          <w:vertAlign w:val="subscript"/>
        </w:rPr>
        <w:t>i</w:t>
      </w:r>
      <w:r w:rsidRPr="00883399">
        <w:rPr>
          <w:sz w:val="18"/>
          <w:szCs w:val="18"/>
        </w:rPr>
        <w:t xml:space="preserve"> is the total quantity of crude oil (i) measured in tonnes of crude oil production. </w:t>
      </w:r>
      <w:r w:rsidRPr="00883399">
        <w:rPr>
          <w:b/>
          <w:sz w:val="18"/>
          <w:szCs w:val="18"/>
        </w:rPr>
        <w:t>In this case the crude oil production throughput is 710,400 tonnes</w:t>
      </w:r>
      <w:r w:rsidRPr="00883399">
        <w:rPr>
          <w:sz w:val="18"/>
          <w:szCs w:val="18"/>
        </w:rPr>
        <w:t>.</w:t>
      </w:r>
    </w:p>
    <w:p w14:paraId="06F822E0"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rPr>
          <w:sz w:val="18"/>
          <w:szCs w:val="18"/>
        </w:rPr>
      </w:pPr>
      <w:r w:rsidRPr="00883399">
        <w:rPr>
          <w:sz w:val="18"/>
          <w:szCs w:val="18"/>
        </w:rPr>
        <w:t>EF</w:t>
      </w:r>
      <w:r w:rsidRPr="00883399">
        <w:rPr>
          <w:sz w:val="18"/>
          <w:szCs w:val="18"/>
          <w:vertAlign w:val="subscript"/>
        </w:rPr>
        <w:t>(l) ij</w:t>
      </w:r>
      <w:r w:rsidRPr="00883399">
        <w:rPr>
          <w:sz w:val="18"/>
          <w:szCs w:val="18"/>
        </w:rPr>
        <w:t xml:space="preserve">  </w:t>
      </w:r>
      <w:r w:rsidRPr="00883399">
        <w:rPr>
          <w:b/>
          <w:sz w:val="18"/>
          <w:szCs w:val="18"/>
        </w:rPr>
        <w:t>1.</w:t>
      </w:r>
      <w:r w:rsidR="00C27344" w:rsidRPr="00883399">
        <w:rPr>
          <w:b/>
          <w:sz w:val="18"/>
          <w:szCs w:val="18"/>
        </w:rPr>
        <w:t>4</w:t>
      </w:r>
      <w:r w:rsidRPr="00883399">
        <w:rPr>
          <w:b/>
          <w:sz w:val="18"/>
          <w:szCs w:val="18"/>
        </w:rPr>
        <w:t xml:space="preserve"> x 10</w:t>
      </w:r>
      <w:r w:rsidRPr="00883399">
        <w:rPr>
          <w:b/>
          <w:sz w:val="18"/>
          <w:szCs w:val="18"/>
          <w:vertAlign w:val="superscript"/>
        </w:rPr>
        <w:t>-3</w:t>
      </w:r>
      <w:r w:rsidRPr="00883399">
        <w:rPr>
          <w:sz w:val="18"/>
          <w:szCs w:val="18"/>
        </w:rPr>
        <w:t>, is the emission factor for methane (j) from general leaks in the crude oil production, measured in CO</w:t>
      </w:r>
      <w:r w:rsidRPr="00883399">
        <w:rPr>
          <w:sz w:val="18"/>
          <w:szCs w:val="18"/>
          <w:vertAlign w:val="subscript"/>
        </w:rPr>
        <w:t>2</w:t>
      </w:r>
      <w:r w:rsidRPr="00883399">
        <w:rPr>
          <w:sz w:val="18"/>
          <w:szCs w:val="18"/>
        </w:rPr>
        <w:t xml:space="preserve"> e tonnes per tonne of crude oil production.</w:t>
      </w:r>
    </w:p>
    <w:p w14:paraId="785EA045"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pPr>
      <w:r w:rsidRPr="00883399">
        <w:t>Therefore, the estimate of methane emissions in CO</w:t>
      </w:r>
      <w:r w:rsidRPr="00883399">
        <w:rPr>
          <w:vertAlign w:val="subscript"/>
        </w:rPr>
        <w:t>2</w:t>
      </w:r>
      <w:r w:rsidRPr="00883399">
        <w:t>-e tonnes :</w:t>
      </w:r>
    </w:p>
    <w:p w14:paraId="61378069"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spacing w:before="120"/>
        <w:ind w:left="960"/>
        <w:jc w:val="center"/>
      </w:pPr>
      <w:r w:rsidRPr="00883399">
        <w:t xml:space="preserve">= (685,000 x </w:t>
      </w:r>
      <w:r w:rsidR="00C27344" w:rsidRPr="00883399">
        <w:t>4.0</w:t>
      </w:r>
      <w:r w:rsidRPr="00883399">
        <w:t xml:space="preserve"> x10</w:t>
      </w:r>
      <w:r w:rsidRPr="00883399">
        <w:rPr>
          <w:rStyle w:val="Superscript"/>
        </w:rPr>
        <w:noBreakHyphen/>
        <w:t>6</w:t>
      </w:r>
      <w:r w:rsidRPr="00883399">
        <w:t>) + (710,400 x 1.</w:t>
      </w:r>
      <w:r w:rsidR="00C27344" w:rsidRPr="00883399">
        <w:t>4</w:t>
      </w:r>
      <w:r w:rsidRPr="00883399">
        <w:t xml:space="preserve"> x 10</w:t>
      </w:r>
      <w:r w:rsidRPr="00883399">
        <w:rPr>
          <w:vertAlign w:val="superscript"/>
        </w:rPr>
        <w:t>-3</w:t>
      </w:r>
      <w:r w:rsidRPr="00883399">
        <w:t>)</w:t>
      </w:r>
    </w:p>
    <w:p w14:paraId="2946140A"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pPr>
      <w:r w:rsidRPr="00883399">
        <w:t xml:space="preserve">Total emissions of methane  = </w:t>
      </w:r>
      <w:r w:rsidR="00C27344" w:rsidRPr="00883399">
        <w:t>997</w:t>
      </w:r>
      <w:r w:rsidRPr="00883399">
        <w:t xml:space="preserve"> t CO</w:t>
      </w:r>
      <w:r w:rsidRPr="00883399">
        <w:rPr>
          <w:vertAlign w:val="subscript"/>
        </w:rPr>
        <w:t>2</w:t>
      </w:r>
      <w:r w:rsidRPr="00883399">
        <w:t>-e</w:t>
      </w:r>
    </w:p>
    <w:p w14:paraId="007B7996"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outlineLvl w:val="0"/>
        <w:rPr>
          <w:b/>
          <w:i/>
        </w:rPr>
      </w:pPr>
      <w:r w:rsidRPr="00883399">
        <w:rPr>
          <w:b/>
          <w:i/>
        </w:rPr>
        <w:t>Part B: Crude oil production (flared component)</w:t>
      </w:r>
    </w:p>
    <w:p w14:paraId="1BF41A94" w14:textId="016C2357" w:rsidR="00872C03" w:rsidRPr="00883399" w:rsidRDefault="00C66508" w:rsidP="00872C03">
      <w:pPr>
        <w:pStyle w:val="Text"/>
        <w:pBdr>
          <w:top w:val="single" w:sz="4" w:space="1" w:color="auto"/>
          <w:left w:val="single" w:sz="4" w:space="4" w:color="auto"/>
          <w:bottom w:val="single" w:sz="4" w:space="1" w:color="auto"/>
          <w:right w:val="single" w:sz="4" w:space="5" w:color="auto"/>
        </w:pBdr>
        <w:ind w:left="960"/>
        <w:outlineLvl w:val="0"/>
        <w:rPr>
          <w:sz w:val="18"/>
          <w:szCs w:val="18"/>
        </w:rPr>
      </w:pPr>
      <w:r w:rsidRPr="00883399">
        <w:rPr>
          <w:noProof/>
          <w:lang w:eastAsia="en-AU"/>
        </w:rPr>
        <mc:AlternateContent>
          <mc:Choice Requires="wps">
            <w:drawing>
              <wp:anchor distT="0" distB="0" distL="114300" distR="114300" simplePos="0" relativeHeight="251658247" behindDoc="0" locked="0" layoutInCell="0" allowOverlap="1" wp14:anchorId="58896EC9" wp14:editId="2B6BE75E">
                <wp:simplePos x="0" y="0"/>
                <wp:positionH relativeFrom="column">
                  <wp:posOffset>1419225</wp:posOffset>
                </wp:positionH>
                <wp:positionV relativeFrom="paragraph">
                  <wp:posOffset>65405</wp:posOffset>
                </wp:positionV>
                <wp:extent cx="2400300" cy="457200"/>
                <wp:effectExtent l="0" t="0" r="0" b="0"/>
                <wp:wrapNone/>
                <wp:docPr id="8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0045853" w14:textId="77777777" w:rsidR="00F8313C" w:rsidRDefault="00F8313C" w:rsidP="00872C03">
                            <w:pPr>
                              <w:pStyle w:val="Formula"/>
                            </w:pPr>
                            <w:r>
                              <w:t>E</w:t>
                            </w:r>
                            <w:r>
                              <w:rPr>
                                <w:vertAlign w:val="subscript"/>
                              </w:rPr>
                              <w:t>ij</w:t>
                            </w:r>
                            <w:r>
                              <w:t xml:space="preserve"> = Q</w:t>
                            </w:r>
                            <w:r>
                              <w:rPr>
                                <w:vertAlign w:val="subscript"/>
                              </w:rPr>
                              <w:t xml:space="preserve">i </w:t>
                            </w:r>
                            <w:r>
                              <w:sym w:font="Symbol" w:char="F0B4"/>
                            </w:r>
                            <w:r>
                              <w:t xml:space="preserve"> EF</w:t>
                            </w:r>
                            <w:r>
                              <w:rPr>
                                <w:vertAlign w:val="subscript"/>
                              </w:rPr>
                              <w:t>ij</w:t>
                            </w:r>
                          </w:p>
                          <w:p w14:paraId="01BD2F0A" w14:textId="77777777" w:rsidR="00F8313C" w:rsidRDefault="00F8313C" w:rsidP="00872C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96EC9" id="Text Box 8" o:spid="_x0000_s1042" type="#_x0000_t202" style="position:absolute;left:0;text-align:left;margin-left:111.75pt;margin-top:5.15pt;width:189pt;height:3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" o:allowincell="f" filled="f" stroked="f" strokeweight="0">
                <v:textbox>
                  <w:txbxContent>
                    <w:p w14:paraId="40045853" w14:textId="77777777" w:rsidR="00F8313C" w:rsidRDefault="00F8313C" w:rsidP="00872C03">
                      <w:pPr>
                        <w:pStyle w:val="Formula"/>
                      </w:pPr>
                      <w:r>
                        <w:t>E</w:t>
                      </w:r>
                      <w:r>
                        <w:rPr>
                          <w:vertAlign w:val="subscript"/>
                        </w:rPr>
                        <w:t>ij</w:t>
                      </w:r>
                      <w:r>
                        <w:t xml:space="preserve"> = Q</w:t>
                      </w:r>
                      <w:r>
                        <w:rPr>
                          <w:vertAlign w:val="subscript"/>
                        </w:rPr>
                        <w:t xml:space="preserve">i </w:t>
                      </w:r>
                      <w:r>
                        <w:sym w:font="Symbol" w:char="F0B4"/>
                      </w:r>
                      <w:r>
                        <w:t xml:space="preserve"> EF</w:t>
                      </w:r>
                      <w:r>
                        <w:rPr>
                          <w:vertAlign w:val="subscript"/>
                        </w:rPr>
                        <w:t>ij</w:t>
                      </w:r>
                    </w:p>
                    <w:p w14:paraId="01BD2F0A" w14:textId="77777777" w:rsidR="00F8313C" w:rsidRDefault="00F8313C" w:rsidP="00872C03"/>
                  </w:txbxContent>
                </v:textbox>
              </v:shape>
            </w:pict>
          </mc:Fallback>
        </mc:AlternateContent>
      </w:r>
    </w:p>
    <w:p w14:paraId="7EAC643F"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rPr>
          <w:sz w:val="18"/>
          <w:szCs w:val="18"/>
        </w:rPr>
      </w:pPr>
      <w:r w:rsidRPr="00883399">
        <w:rPr>
          <w:sz w:val="18"/>
          <w:szCs w:val="18"/>
        </w:rPr>
        <w:t>where:</w:t>
      </w:r>
    </w:p>
    <w:p w14:paraId="368ED157"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rPr>
          <w:sz w:val="18"/>
          <w:szCs w:val="18"/>
        </w:rPr>
      </w:pPr>
      <w:r w:rsidRPr="00883399">
        <w:rPr>
          <w:sz w:val="18"/>
          <w:szCs w:val="18"/>
        </w:rPr>
        <w:t>E</w:t>
      </w:r>
      <w:r w:rsidRPr="00883399">
        <w:rPr>
          <w:sz w:val="18"/>
          <w:szCs w:val="18"/>
          <w:vertAlign w:val="subscript"/>
        </w:rPr>
        <w:t>ij</w:t>
      </w:r>
      <w:r w:rsidRPr="00883399">
        <w:rPr>
          <w:sz w:val="18"/>
          <w:szCs w:val="18"/>
        </w:rPr>
        <w:t xml:space="preserve"> is the emissions of gas type (j)  (CO</w:t>
      </w:r>
      <w:r w:rsidRPr="00883399">
        <w:rPr>
          <w:sz w:val="18"/>
          <w:szCs w:val="18"/>
          <w:vertAlign w:val="subscript"/>
        </w:rPr>
        <w:t>2</w:t>
      </w:r>
      <w:r w:rsidRPr="00883399">
        <w:rPr>
          <w:sz w:val="18"/>
          <w:szCs w:val="18"/>
        </w:rPr>
        <w:t>-e tonnes) released from a fuel type (i) flared.</w:t>
      </w:r>
    </w:p>
    <w:p w14:paraId="2001CFFF"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rPr>
          <w:sz w:val="18"/>
          <w:szCs w:val="18"/>
        </w:rPr>
      </w:pPr>
      <w:r w:rsidRPr="00883399">
        <w:rPr>
          <w:sz w:val="18"/>
          <w:szCs w:val="18"/>
        </w:rPr>
        <w:t>Q</w:t>
      </w:r>
      <w:r w:rsidRPr="00883399">
        <w:rPr>
          <w:sz w:val="18"/>
          <w:szCs w:val="18"/>
          <w:vertAlign w:val="subscript"/>
        </w:rPr>
        <w:t>i</w:t>
      </w:r>
      <w:r w:rsidRPr="00883399">
        <w:rPr>
          <w:sz w:val="18"/>
          <w:szCs w:val="18"/>
        </w:rPr>
        <w:t xml:space="preserve"> is the quantity of fuel type flared (i) (tonnes). </w:t>
      </w:r>
      <w:r w:rsidRPr="00883399">
        <w:rPr>
          <w:b/>
          <w:sz w:val="18"/>
          <w:szCs w:val="18"/>
        </w:rPr>
        <w:t>In this case  the quantity of crude oil flared is 400 tonnes</w:t>
      </w:r>
      <w:r w:rsidRPr="00883399">
        <w:rPr>
          <w:sz w:val="18"/>
          <w:szCs w:val="18"/>
        </w:rPr>
        <w:t>.</w:t>
      </w:r>
    </w:p>
    <w:p w14:paraId="009537DE"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rPr>
          <w:sz w:val="18"/>
          <w:szCs w:val="18"/>
        </w:rPr>
      </w:pPr>
      <w:r w:rsidRPr="00883399">
        <w:rPr>
          <w:sz w:val="18"/>
          <w:szCs w:val="18"/>
        </w:rPr>
        <w:t>EF</w:t>
      </w:r>
      <w:r w:rsidRPr="00883399">
        <w:rPr>
          <w:sz w:val="18"/>
          <w:szCs w:val="18"/>
          <w:vertAlign w:val="subscript"/>
        </w:rPr>
        <w:t>ij</w:t>
      </w:r>
      <w:r w:rsidRPr="00883399">
        <w:rPr>
          <w:sz w:val="18"/>
          <w:szCs w:val="18"/>
        </w:rPr>
        <w:t xml:space="preserve"> is the emission factor for gas type (j) in tonnes of CO</w:t>
      </w:r>
      <w:r w:rsidRPr="00883399">
        <w:rPr>
          <w:sz w:val="18"/>
          <w:szCs w:val="18"/>
          <w:vertAlign w:val="subscript"/>
        </w:rPr>
        <w:t>2</w:t>
      </w:r>
      <w:r w:rsidRPr="00883399">
        <w:rPr>
          <w:sz w:val="18"/>
          <w:szCs w:val="18"/>
        </w:rPr>
        <w:t xml:space="preserve">-e emissions per tonne of the fuel type (i) flared. </w:t>
      </w:r>
      <w:r w:rsidRPr="00883399">
        <w:rPr>
          <w:b/>
          <w:sz w:val="18"/>
          <w:szCs w:val="18"/>
        </w:rPr>
        <w:t>The emission factors are obtained from Method 1, section 3.52</w:t>
      </w:r>
    </w:p>
    <w:p w14:paraId="778CE509"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pPr>
      <w:r w:rsidRPr="00883399">
        <w:t>Therefore, the estimate of greenhouse gas emissions (from carbon dioxide, methane and nitrous oxide (j)) in CO</w:t>
      </w:r>
      <w:r w:rsidRPr="00883399">
        <w:rPr>
          <w:vertAlign w:val="subscript"/>
        </w:rPr>
        <w:t>2</w:t>
      </w:r>
      <w:r w:rsidRPr="00883399">
        <w:t>-e tonnes:</w:t>
      </w:r>
    </w:p>
    <w:p w14:paraId="733B7C9C"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pPr>
      <w:r w:rsidRPr="00883399">
        <w:t>For carbon dioxide</w:t>
      </w:r>
    </w:p>
    <w:p w14:paraId="4C285918"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spacing w:before="120"/>
        <w:ind w:left="960"/>
        <w:jc w:val="center"/>
      </w:pPr>
      <w:r w:rsidRPr="00883399">
        <w:t>=400 x 3.2</w:t>
      </w:r>
    </w:p>
    <w:p w14:paraId="42EEC144"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spacing w:before="120"/>
        <w:ind w:left="960"/>
      </w:pPr>
      <w:r w:rsidRPr="00883399">
        <w:t>Total emissions of carbon dioxide  = 1280 t CO</w:t>
      </w:r>
      <w:r w:rsidRPr="00883399">
        <w:rPr>
          <w:vertAlign w:val="subscript"/>
        </w:rPr>
        <w:t>2</w:t>
      </w:r>
      <w:r w:rsidRPr="00883399">
        <w:t>-e</w:t>
      </w:r>
    </w:p>
    <w:p w14:paraId="5C79157C"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pPr>
      <w:r w:rsidRPr="00883399">
        <w:t>For methane</w:t>
      </w:r>
    </w:p>
    <w:p w14:paraId="2C3A1056"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spacing w:before="120"/>
        <w:ind w:left="960"/>
        <w:jc w:val="center"/>
      </w:pPr>
      <w:r w:rsidRPr="00883399">
        <w:t>=400 x 0.00</w:t>
      </w:r>
      <w:r w:rsidR="004C295F" w:rsidRPr="00883399">
        <w:t>8</w:t>
      </w:r>
    </w:p>
    <w:p w14:paraId="4A91885C"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spacing w:before="120"/>
        <w:ind w:left="960"/>
      </w:pPr>
      <w:r w:rsidRPr="00883399">
        <w:t>Total emissions of methane  = 3 t CO</w:t>
      </w:r>
      <w:r w:rsidRPr="00883399">
        <w:rPr>
          <w:vertAlign w:val="subscript"/>
        </w:rPr>
        <w:t>2</w:t>
      </w:r>
      <w:r w:rsidRPr="00883399">
        <w:t>-e</w:t>
      </w:r>
    </w:p>
    <w:p w14:paraId="4C291873"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pPr>
      <w:r w:rsidRPr="00883399">
        <w:lastRenderedPageBreak/>
        <w:t>For nitrous oxide</w:t>
      </w:r>
    </w:p>
    <w:p w14:paraId="5F9BC440"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spacing w:before="120"/>
        <w:ind w:left="960"/>
        <w:jc w:val="center"/>
      </w:pPr>
      <w:r w:rsidRPr="00883399">
        <w:t>=400 x 0.07</w:t>
      </w:r>
    </w:p>
    <w:p w14:paraId="75C4A83C"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spacing w:before="120"/>
        <w:ind w:left="960"/>
      </w:pPr>
      <w:r w:rsidRPr="00883399">
        <w:t>Total emissions of nitrous oxide  = 28 t CO</w:t>
      </w:r>
      <w:r w:rsidRPr="00883399">
        <w:rPr>
          <w:vertAlign w:val="subscript"/>
        </w:rPr>
        <w:t>2</w:t>
      </w:r>
      <w:r w:rsidRPr="00883399">
        <w:t>-e</w:t>
      </w:r>
    </w:p>
    <w:p w14:paraId="1476EF99"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outlineLvl w:val="0"/>
        <w:rPr>
          <w:sz w:val="22"/>
          <w:szCs w:val="22"/>
        </w:rPr>
      </w:pPr>
      <w:r w:rsidRPr="00883399">
        <w:rPr>
          <w:b/>
          <w:i/>
        </w:rPr>
        <w:t>Part C: Crude oil production (vented emissions component)</w:t>
      </w:r>
    </w:p>
    <w:p w14:paraId="31D28657"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spacing w:before="120"/>
        <w:ind w:left="960"/>
      </w:pPr>
      <w:r w:rsidRPr="00883399">
        <w:t xml:space="preserve">The Reporter is directed to section 3.84 which specifies the applicable sections of the American Petroleum Institute’s </w:t>
      </w:r>
      <w:r w:rsidRPr="00883399">
        <w:rPr>
          <w:i/>
        </w:rPr>
        <w:t>Compendium of Greenhouse Gas Emissions Estimation Methodologies for the Oil and Natural Gas Industry 2009</w:t>
      </w:r>
      <w:r w:rsidRPr="00883399">
        <w:t>(API Compendium). The reporter estimates their vented emissions in accordance with those methods detailed in the API Compendium, producing the following results:</w:t>
      </w:r>
    </w:p>
    <w:p w14:paraId="74789590"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spacing w:before="120"/>
        <w:ind w:left="960"/>
      </w:pPr>
      <w:r w:rsidRPr="00883399">
        <w:t>Total emissions of carbon dioxide  = 380 t CO</w:t>
      </w:r>
      <w:r w:rsidRPr="00883399">
        <w:rPr>
          <w:vertAlign w:val="subscript"/>
        </w:rPr>
        <w:t>2</w:t>
      </w:r>
      <w:r w:rsidRPr="00883399">
        <w:t>-e</w:t>
      </w:r>
    </w:p>
    <w:p w14:paraId="510EACF9"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spacing w:before="120"/>
        <w:ind w:left="960"/>
      </w:pPr>
      <w:r w:rsidRPr="00883399">
        <w:t>Total emissions of methane  = 980 t CO</w:t>
      </w:r>
      <w:r w:rsidRPr="00883399">
        <w:rPr>
          <w:vertAlign w:val="subscript"/>
        </w:rPr>
        <w:t>2</w:t>
      </w:r>
      <w:r w:rsidRPr="00883399">
        <w:t>-e</w:t>
      </w:r>
    </w:p>
    <w:p w14:paraId="3B0EA972" w14:textId="77777777" w:rsidR="00872C03" w:rsidRPr="00883399" w:rsidRDefault="00872C03" w:rsidP="00872C03">
      <w:pPr>
        <w:pStyle w:val="notetext"/>
        <w:rPr>
          <w:sz w:val="20"/>
        </w:rPr>
      </w:pPr>
    </w:p>
    <w:p w14:paraId="3C873DDA" w14:textId="77777777" w:rsidR="00872C03" w:rsidRPr="00883399" w:rsidRDefault="00872C03" w:rsidP="00872C03">
      <w:pPr>
        <w:pStyle w:val="notetext"/>
        <w:rPr>
          <w:sz w:val="20"/>
        </w:rPr>
      </w:pPr>
    </w:p>
    <w:p w14:paraId="2B5C99F5" w14:textId="132EFC1A" w:rsidR="00872C03" w:rsidRPr="00883399" w:rsidRDefault="00872C03" w:rsidP="00872C03">
      <w:pPr>
        <w:pStyle w:val="ActHead3"/>
        <w:rPr>
          <w:sz w:val="32"/>
        </w:rPr>
      </w:pPr>
      <w:bookmarkStart w:id="652" w:name="_Toc423516939"/>
      <w:bookmarkStart w:id="653" w:name="_Toc495652856"/>
      <w:r w:rsidRPr="00883399">
        <w:rPr>
          <w:rStyle w:val="CharDivNo"/>
          <w:sz w:val="32"/>
        </w:rPr>
        <w:t>Division 3.3.4</w:t>
      </w:r>
      <w:r w:rsidRPr="00883399">
        <w:rPr>
          <w:sz w:val="32"/>
        </w:rPr>
        <w:t>—</w:t>
      </w:r>
      <w:r w:rsidRPr="00883399">
        <w:rPr>
          <w:rStyle w:val="CharDivText"/>
          <w:sz w:val="32"/>
        </w:rPr>
        <w:t>Crude oil transport</w:t>
      </w:r>
      <w:bookmarkEnd w:id="652"/>
      <w:bookmarkEnd w:id="653"/>
    </w:p>
    <w:p w14:paraId="1A8B039A" w14:textId="77777777" w:rsidR="00872C03" w:rsidRPr="00883399" w:rsidRDefault="00872C03" w:rsidP="00872C03">
      <w:pPr>
        <w:pStyle w:val="Text"/>
        <w:rPr>
          <w:rStyle w:val="CharSectno"/>
          <w:sz w:val="24"/>
          <w:szCs w:val="24"/>
        </w:rPr>
      </w:pPr>
      <w:bookmarkStart w:id="654" w:name="_Toc423516940"/>
      <w:r w:rsidRPr="00883399">
        <w:rPr>
          <w:rFonts w:ascii="Arial" w:hAnsi="Arial" w:cs="Arial"/>
          <w:sz w:val="22"/>
          <w:szCs w:val="22"/>
        </w:rPr>
        <w:t>The crude oil transport subsector includes fugitive methane emissions associated with the marine, road and rail transport of crude oil. Emissions result largely from three types of activities: loading, transit, and ballasting</w:t>
      </w:r>
      <w:r w:rsidRPr="00883399">
        <w:rPr>
          <w:sz w:val="24"/>
          <w:szCs w:val="24"/>
        </w:rPr>
        <w:t xml:space="preserve">. </w:t>
      </w:r>
    </w:p>
    <w:p w14:paraId="6215FC3E" w14:textId="3826C783" w:rsidR="00872C03" w:rsidRPr="00883399" w:rsidRDefault="00872C03" w:rsidP="00872C03">
      <w:pPr>
        <w:pStyle w:val="ActHead5"/>
        <w:rPr>
          <w:sz w:val="28"/>
        </w:rPr>
      </w:pPr>
      <w:bookmarkStart w:id="655" w:name="_Toc495652857"/>
      <w:r w:rsidRPr="00883399">
        <w:rPr>
          <w:rStyle w:val="CharSectno"/>
          <w:sz w:val="28"/>
        </w:rPr>
        <w:t>3.57</w:t>
      </w:r>
      <w:r w:rsidRPr="00883399">
        <w:rPr>
          <w:sz w:val="28"/>
        </w:rPr>
        <w:t xml:space="preserve">  Application</w:t>
      </w:r>
      <w:bookmarkEnd w:id="654"/>
      <w:bookmarkEnd w:id="655"/>
    </w:p>
    <w:p w14:paraId="007AB370" w14:textId="77777777" w:rsidR="00872C03" w:rsidRPr="00883399" w:rsidRDefault="00872C03" w:rsidP="00872C03">
      <w:pPr>
        <w:pStyle w:val="subsection"/>
        <w:rPr>
          <w:sz w:val="24"/>
        </w:rPr>
      </w:pPr>
      <w:r w:rsidRPr="00883399">
        <w:rPr>
          <w:sz w:val="24"/>
        </w:rPr>
        <w:tab/>
      </w:r>
      <w:r w:rsidRPr="00883399">
        <w:rPr>
          <w:sz w:val="24"/>
        </w:rPr>
        <w:tab/>
        <w:t xml:space="preserve">This Division applies to fugitive emissions from crude oil transport activities, other than emissions that are flared. </w:t>
      </w:r>
    </w:p>
    <w:p w14:paraId="7E428C27" w14:textId="6DAC3EE1" w:rsidR="00872C03" w:rsidRPr="00883399" w:rsidRDefault="00872C03" w:rsidP="00872C03">
      <w:pPr>
        <w:pStyle w:val="ActHead5"/>
        <w:rPr>
          <w:sz w:val="28"/>
        </w:rPr>
      </w:pPr>
      <w:bookmarkStart w:id="656" w:name="_Toc423516941"/>
      <w:bookmarkStart w:id="657" w:name="_Toc495652858"/>
      <w:r w:rsidRPr="00883399">
        <w:rPr>
          <w:rStyle w:val="CharSectno"/>
          <w:sz w:val="28"/>
        </w:rPr>
        <w:t>3.58</w:t>
      </w:r>
      <w:r w:rsidRPr="00883399">
        <w:rPr>
          <w:sz w:val="28"/>
        </w:rPr>
        <w:t xml:space="preserve">  Available methods</w:t>
      </w:r>
      <w:bookmarkEnd w:id="656"/>
      <w:bookmarkEnd w:id="657"/>
    </w:p>
    <w:p w14:paraId="5A07A469" w14:textId="77777777" w:rsidR="00872C03" w:rsidRPr="00883399" w:rsidRDefault="00872C03" w:rsidP="00872C03">
      <w:pPr>
        <w:pStyle w:val="subsection"/>
        <w:rPr>
          <w:sz w:val="24"/>
        </w:rPr>
      </w:pPr>
      <w:r w:rsidRPr="00883399">
        <w:rPr>
          <w:sz w:val="24"/>
        </w:rPr>
        <w:tab/>
        <w:t>(1)</w:t>
      </w:r>
      <w:r w:rsidRPr="00883399">
        <w:rPr>
          <w:sz w:val="24"/>
        </w:rPr>
        <w:tab/>
        <w:t>Subject to section 1.18, one of the following methods must</w:t>
      </w:r>
      <w:r w:rsidRPr="00883399">
        <w:rPr>
          <w:i/>
          <w:sz w:val="24"/>
        </w:rPr>
        <w:t xml:space="preserve"> </w:t>
      </w:r>
      <w:r w:rsidRPr="00883399">
        <w:rPr>
          <w:sz w:val="24"/>
        </w:rPr>
        <w:t>be used for estimating fugitive emissions of methane released during a year from the operation of a facility that is constituted by crude oil transport:</w:t>
      </w:r>
    </w:p>
    <w:p w14:paraId="723B3944" w14:textId="77777777" w:rsidR="00872C03" w:rsidRPr="00883399" w:rsidRDefault="00872C03" w:rsidP="00872C03">
      <w:pPr>
        <w:pStyle w:val="paragraph"/>
        <w:rPr>
          <w:sz w:val="24"/>
        </w:rPr>
      </w:pPr>
      <w:r w:rsidRPr="00883399">
        <w:rPr>
          <w:sz w:val="24"/>
        </w:rPr>
        <w:tab/>
        <w:t>(a)</w:t>
      </w:r>
      <w:r w:rsidRPr="00883399">
        <w:rPr>
          <w:sz w:val="24"/>
        </w:rPr>
        <w:tab/>
        <w:t>method 1 under section 3.59;</w:t>
      </w:r>
    </w:p>
    <w:p w14:paraId="6510DFD6" w14:textId="77777777" w:rsidR="00872C03" w:rsidRPr="00883399" w:rsidRDefault="00872C03" w:rsidP="00872C03">
      <w:pPr>
        <w:pStyle w:val="paragraph"/>
        <w:rPr>
          <w:sz w:val="24"/>
        </w:rPr>
      </w:pPr>
      <w:r w:rsidRPr="00883399">
        <w:rPr>
          <w:sz w:val="24"/>
        </w:rPr>
        <w:tab/>
        <w:t>(b)</w:t>
      </w:r>
      <w:r w:rsidRPr="00883399">
        <w:rPr>
          <w:sz w:val="24"/>
        </w:rPr>
        <w:tab/>
        <w:t>method 2 under section 3.60.</w:t>
      </w:r>
    </w:p>
    <w:p w14:paraId="5367F194" w14:textId="77777777" w:rsidR="00872C03" w:rsidRPr="00883399" w:rsidRDefault="00872C03" w:rsidP="00872C03">
      <w:pPr>
        <w:pStyle w:val="notetext"/>
        <w:rPr>
          <w:sz w:val="20"/>
        </w:rPr>
      </w:pPr>
      <w:r w:rsidRPr="00883399">
        <w:rPr>
          <w:sz w:val="20"/>
        </w:rPr>
        <w:t>Note:</w:t>
      </w:r>
      <w:r w:rsidRPr="00883399">
        <w:rPr>
          <w:sz w:val="20"/>
        </w:rPr>
        <w:tab/>
        <w:t>There is no method 3 or 4 for this Division.</w:t>
      </w:r>
    </w:p>
    <w:p w14:paraId="55AB96A0" w14:textId="77777777" w:rsidR="00872C03" w:rsidRPr="00883399" w:rsidRDefault="00872C03" w:rsidP="00872C03">
      <w:pPr>
        <w:pStyle w:val="subsection"/>
        <w:rPr>
          <w:sz w:val="24"/>
        </w:rPr>
      </w:pPr>
      <w:r w:rsidRPr="00883399">
        <w:rPr>
          <w:sz w:val="24"/>
        </w:rPr>
        <w:tab/>
        <w:t>(2)</w:t>
      </w:r>
      <w:r w:rsidRPr="00883399">
        <w:rPr>
          <w:sz w:val="24"/>
        </w:rPr>
        <w:tab/>
        <w:t>However, for incidental emissions another method may be used that is consistent with the principles in section 1.13.</w:t>
      </w:r>
    </w:p>
    <w:p w14:paraId="32BE6C7D" w14:textId="77777777" w:rsidR="00872C03" w:rsidRPr="00883399" w:rsidRDefault="00872C03" w:rsidP="00872C03">
      <w:pPr>
        <w:pStyle w:val="R2"/>
        <w:keepNext/>
        <w:ind w:left="965" w:hanging="58"/>
        <w:rPr>
          <w:b/>
        </w:rPr>
      </w:pPr>
      <w:r w:rsidRPr="00883399">
        <w:rPr>
          <w:b/>
        </w:rPr>
        <w:lastRenderedPageBreak/>
        <w:t>Available methods, for estimating emissions from crude oil transport), by emissions of gas type (j)</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7"/>
        <w:gridCol w:w="1742"/>
        <w:gridCol w:w="1639"/>
        <w:gridCol w:w="1527"/>
      </w:tblGrid>
      <w:tr w:rsidR="00872C03" w:rsidRPr="00883399" w14:paraId="2609BF8E" w14:textId="77777777" w:rsidTr="0031057E">
        <w:tc>
          <w:tcPr>
            <w:tcW w:w="2400" w:type="dxa"/>
            <w:shd w:val="clear" w:color="auto" w:fill="E6E6E6"/>
          </w:tcPr>
          <w:p w14:paraId="4E54D49F" w14:textId="77777777" w:rsidR="00872C03" w:rsidRPr="00883399" w:rsidRDefault="00872C03" w:rsidP="0031057E">
            <w:pPr>
              <w:pStyle w:val="Text"/>
              <w:keepNext/>
            </w:pPr>
          </w:p>
        </w:tc>
        <w:tc>
          <w:tcPr>
            <w:tcW w:w="1800" w:type="dxa"/>
            <w:shd w:val="clear" w:color="auto" w:fill="E6E6E6"/>
          </w:tcPr>
          <w:p w14:paraId="276DB01B" w14:textId="77777777" w:rsidR="00872C03" w:rsidRPr="00883399" w:rsidRDefault="00872C03" w:rsidP="0031057E">
            <w:pPr>
              <w:pStyle w:val="Text"/>
              <w:keepNext/>
            </w:pPr>
            <w:r w:rsidRPr="00883399">
              <w:t>CO</w:t>
            </w:r>
            <w:r w:rsidRPr="00883399">
              <w:rPr>
                <w:vertAlign w:val="subscript"/>
              </w:rPr>
              <w:t>2</w:t>
            </w:r>
          </w:p>
        </w:tc>
        <w:tc>
          <w:tcPr>
            <w:tcW w:w="1680" w:type="dxa"/>
            <w:shd w:val="clear" w:color="auto" w:fill="E6E6E6"/>
          </w:tcPr>
          <w:p w14:paraId="3609B534" w14:textId="77777777" w:rsidR="00872C03" w:rsidRPr="00883399" w:rsidRDefault="00872C03" w:rsidP="0031057E">
            <w:pPr>
              <w:pStyle w:val="Text"/>
              <w:keepNext/>
            </w:pPr>
            <w:r w:rsidRPr="00883399">
              <w:t>CH</w:t>
            </w:r>
            <w:r w:rsidRPr="00883399">
              <w:rPr>
                <w:vertAlign w:val="subscript"/>
              </w:rPr>
              <w:t>4</w:t>
            </w:r>
          </w:p>
        </w:tc>
        <w:tc>
          <w:tcPr>
            <w:tcW w:w="1574" w:type="dxa"/>
            <w:shd w:val="clear" w:color="auto" w:fill="E6E6E6"/>
          </w:tcPr>
          <w:p w14:paraId="2D796AFA" w14:textId="77777777" w:rsidR="00872C03" w:rsidRPr="00883399" w:rsidRDefault="00872C03" w:rsidP="0031057E">
            <w:pPr>
              <w:pStyle w:val="Text"/>
              <w:keepNext/>
            </w:pPr>
            <w:r w:rsidRPr="00883399">
              <w:t>N</w:t>
            </w:r>
            <w:r w:rsidRPr="00883399">
              <w:rPr>
                <w:vertAlign w:val="subscript"/>
              </w:rPr>
              <w:t>2</w:t>
            </w:r>
            <w:r w:rsidRPr="00883399">
              <w:t>O</w:t>
            </w:r>
          </w:p>
        </w:tc>
      </w:tr>
      <w:tr w:rsidR="00872C03" w:rsidRPr="00883399" w14:paraId="45297252" w14:textId="77777777" w:rsidTr="0031057E">
        <w:tc>
          <w:tcPr>
            <w:tcW w:w="2400" w:type="dxa"/>
          </w:tcPr>
          <w:p w14:paraId="5F06700B" w14:textId="77777777" w:rsidR="00872C03" w:rsidRPr="00883399" w:rsidRDefault="00872C03" w:rsidP="0031057E">
            <w:pPr>
              <w:pStyle w:val="Text"/>
              <w:keepNext/>
              <w:spacing w:before="120" w:line="240" w:lineRule="auto"/>
              <w:rPr>
                <w:i/>
              </w:rPr>
            </w:pPr>
            <w:r w:rsidRPr="00883399">
              <w:t>Method 1</w:t>
            </w:r>
          </w:p>
        </w:tc>
        <w:tc>
          <w:tcPr>
            <w:tcW w:w="1800" w:type="dxa"/>
          </w:tcPr>
          <w:p w14:paraId="15053E73" w14:textId="77777777" w:rsidR="00872C03" w:rsidRPr="00883399" w:rsidRDefault="00872C03" w:rsidP="0031057E">
            <w:pPr>
              <w:pStyle w:val="Text"/>
              <w:keepNext/>
              <w:spacing w:before="120" w:line="240" w:lineRule="auto"/>
            </w:pPr>
            <w:r w:rsidRPr="00883399">
              <w:t>NO</w:t>
            </w:r>
          </w:p>
        </w:tc>
        <w:tc>
          <w:tcPr>
            <w:tcW w:w="1680" w:type="dxa"/>
          </w:tcPr>
          <w:p w14:paraId="05397D33" w14:textId="77777777" w:rsidR="00872C03" w:rsidRPr="00883399" w:rsidRDefault="00872C03" w:rsidP="0031057E">
            <w:pPr>
              <w:pStyle w:val="Text"/>
              <w:keepNext/>
              <w:spacing w:before="120" w:line="240" w:lineRule="auto"/>
            </w:pPr>
            <w:r w:rsidRPr="00883399">
              <w:t>Section 3.59</w:t>
            </w:r>
          </w:p>
        </w:tc>
        <w:tc>
          <w:tcPr>
            <w:tcW w:w="1574" w:type="dxa"/>
          </w:tcPr>
          <w:p w14:paraId="0984C295" w14:textId="77777777" w:rsidR="00872C03" w:rsidRPr="00883399" w:rsidRDefault="00872C03" w:rsidP="0031057E">
            <w:pPr>
              <w:pStyle w:val="Text"/>
              <w:keepNext/>
              <w:spacing w:before="120" w:line="240" w:lineRule="auto"/>
            </w:pPr>
            <w:r w:rsidRPr="00883399">
              <w:t>NO</w:t>
            </w:r>
          </w:p>
        </w:tc>
      </w:tr>
      <w:tr w:rsidR="00872C03" w:rsidRPr="00883399" w14:paraId="20D37497" w14:textId="77777777" w:rsidTr="0031057E">
        <w:tc>
          <w:tcPr>
            <w:tcW w:w="2400" w:type="dxa"/>
          </w:tcPr>
          <w:p w14:paraId="6213835C" w14:textId="77777777" w:rsidR="00872C03" w:rsidRPr="00883399" w:rsidRDefault="00872C03" w:rsidP="0031057E">
            <w:pPr>
              <w:pStyle w:val="Text"/>
              <w:keepNext/>
              <w:spacing w:before="120" w:line="240" w:lineRule="auto"/>
            </w:pPr>
            <w:r w:rsidRPr="00883399">
              <w:t>Method 2</w:t>
            </w:r>
          </w:p>
        </w:tc>
        <w:tc>
          <w:tcPr>
            <w:tcW w:w="1800" w:type="dxa"/>
          </w:tcPr>
          <w:p w14:paraId="21A35CE1" w14:textId="77777777" w:rsidR="00872C03" w:rsidRPr="00883399" w:rsidRDefault="00872C03" w:rsidP="0031057E">
            <w:pPr>
              <w:pStyle w:val="Text"/>
              <w:keepNext/>
              <w:spacing w:before="120" w:line="240" w:lineRule="auto"/>
            </w:pPr>
            <w:r w:rsidRPr="00883399">
              <w:t>NO</w:t>
            </w:r>
          </w:p>
        </w:tc>
        <w:tc>
          <w:tcPr>
            <w:tcW w:w="1680" w:type="dxa"/>
          </w:tcPr>
          <w:p w14:paraId="132EF244" w14:textId="77777777" w:rsidR="00872C03" w:rsidRPr="00883399" w:rsidRDefault="00872C03" w:rsidP="0031057E">
            <w:pPr>
              <w:pStyle w:val="Text"/>
              <w:keepNext/>
              <w:spacing w:before="120" w:line="240" w:lineRule="auto"/>
            </w:pPr>
            <w:r w:rsidRPr="00883399">
              <w:t>Section 3.60</w:t>
            </w:r>
          </w:p>
        </w:tc>
        <w:tc>
          <w:tcPr>
            <w:tcW w:w="1574" w:type="dxa"/>
          </w:tcPr>
          <w:p w14:paraId="0B10DBF8" w14:textId="77777777" w:rsidR="00872C03" w:rsidRPr="00883399" w:rsidRDefault="00872C03" w:rsidP="0031057E">
            <w:pPr>
              <w:pStyle w:val="Text"/>
              <w:keepNext/>
              <w:spacing w:before="120" w:line="240" w:lineRule="auto"/>
            </w:pPr>
            <w:r w:rsidRPr="00883399">
              <w:t>NO</w:t>
            </w:r>
          </w:p>
        </w:tc>
      </w:tr>
      <w:tr w:rsidR="00872C03" w:rsidRPr="00883399" w14:paraId="24CCA729" w14:textId="77777777" w:rsidTr="0031057E">
        <w:tc>
          <w:tcPr>
            <w:tcW w:w="2400" w:type="dxa"/>
          </w:tcPr>
          <w:p w14:paraId="6B2C80DF" w14:textId="77777777" w:rsidR="00872C03" w:rsidRPr="00883399" w:rsidRDefault="00872C03" w:rsidP="0031057E">
            <w:pPr>
              <w:pStyle w:val="Text"/>
              <w:keepNext/>
              <w:spacing w:before="120" w:line="240" w:lineRule="auto"/>
            </w:pPr>
            <w:r w:rsidRPr="00883399">
              <w:t>Method 3</w:t>
            </w:r>
          </w:p>
        </w:tc>
        <w:tc>
          <w:tcPr>
            <w:tcW w:w="1800" w:type="dxa"/>
          </w:tcPr>
          <w:p w14:paraId="2558D7CF" w14:textId="77777777" w:rsidR="00872C03" w:rsidRPr="00883399" w:rsidRDefault="00872C03" w:rsidP="0031057E">
            <w:pPr>
              <w:pStyle w:val="Text"/>
              <w:keepNext/>
              <w:spacing w:before="120" w:line="240" w:lineRule="auto"/>
            </w:pPr>
            <w:r w:rsidRPr="00883399">
              <w:t>NO</w:t>
            </w:r>
          </w:p>
        </w:tc>
        <w:tc>
          <w:tcPr>
            <w:tcW w:w="1680" w:type="dxa"/>
          </w:tcPr>
          <w:p w14:paraId="5C5BF025" w14:textId="77777777" w:rsidR="00872C03" w:rsidRPr="00883399" w:rsidRDefault="00872C03" w:rsidP="0031057E">
            <w:pPr>
              <w:pStyle w:val="Text"/>
              <w:keepNext/>
              <w:spacing w:before="120" w:line="240" w:lineRule="auto"/>
            </w:pPr>
            <w:r w:rsidRPr="00883399">
              <w:t>NA</w:t>
            </w:r>
          </w:p>
        </w:tc>
        <w:tc>
          <w:tcPr>
            <w:tcW w:w="1574" w:type="dxa"/>
          </w:tcPr>
          <w:p w14:paraId="4E18B460" w14:textId="77777777" w:rsidR="00872C03" w:rsidRPr="00883399" w:rsidRDefault="00872C03" w:rsidP="0031057E">
            <w:pPr>
              <w:pStyle w:val="Text"/>
              <w:keepNext/>
              <w:spacing w:before="120" w:line="240" w:lineRule="auto"/>
            </w:pPr>
            <w:r w:rsidRPr="00883399">
              <w:t>NO</w:t>
            </w:r>
          </w:p>
        </w:tc>
      </w:tr>
      <w:tr w:rsidR="00872C03" w:rsidRPr="00883399" w14:paraId="3A8F9C61" w14:textId="77777777" w:rsidTr="0031057E">
        <w:tc>
          <w:tcPr>
            <w:tcW w:w="2400" w:type="dxa"/>
          </w:tcPr>
          <w:p w14:paraId="5A359307" w14:textId="77777777" w:rsidR="00872C03" w:rsidRPr="00883399" w:rsidRDefault="00872C03" w:rsidP="0031057E">
            <w:pPr>
              <w:pStyle w:val="Text"/>
              <w:keepNext/>
              <w:spacing w:before="120" w:line="240" w:lineRule="auto"/>
            </w:pPr>
            <w:r w:rsidRPr="00883399">
              <w:t>Method 4</w:t>
            </w:r>
          </w:p>
        </w:tc>
        <w:tc>
          <w:tcPr>
            <w:tcW w:w="1800" w:type="dxa"/>
          </w:tcPr>
          <w:p w14:paraId="54566A27" w14:textId="77777777" w:rsidR="00872C03" w:rsidRPr="00883399" w:rsidRDefault="00872C03" w:rsidP="0031057E">
            <w:pPr>
              <w:pStyle w:val="Text"/>
              <w:keepNext/>
              <w:spacing w:before="120" w:line="240" w:lineRule="auto"/>
            </w:pPr>
            <w:r w:rsidRPr="00883399">
              <w:t>NO</w:t>
            </w:r>
          </w:p>
        </w:tc>
        <w:tc>
          <w:tcPr>
            <w:tcW w:w="1680" w:type="dxa"/>
          </w:tcPr>
          <w:p w14:paraId="1233489E" w14:textId="77777777" w:rsidR="00872C03" w:rsidRPr="00883399" w:rsidRDefault="00872C03" w:rsidP="0031057E">
            <w:pPr>
              <w:pStyle w:val="Text"/>
              <w:keepNext/>
              <w:spacing w:before="120" w:line="240" w:lineRule="auto"/>
            </w:pPr>
            <w:r w:rsidRPr="00883399">
              <w:t>NA</w:t>
            </w:r>
          </w:p>
        </w:tc>
        <w:tc>
          <w:tcPr>
            <w:tcW w:w="1574" w:type="dxa"/>
          </w:tcPr>
          <w:p w14:paraId="54757ED5" w14:textId="77777777" w:rsidR="00872C03" w:rsidRPr="00883399" w:rsidRDefault="00872C03" w:rsidP="0031057E">
            <w:pPr>
              <w:pStyle w:val="Text"/>
              <w:keepNext/>
              <w:spacing w:before="120" w:line="240" w:lineRule="auto"/>
            </w:pPr>
            <w:r w:rsidRPr="00883399">
              <w:t>NO</w:t>
            </w:r>
          </w:p>
        </w:tc>
      </w:tr>
    </w:tbl>
    <w:p w14:paraId="326EF767" w14:textId="77777777" w:rsidR="00872C03" w:rsidRPr="00883399" w:rsidRDefault="00872C03" w:rsidP="00872C03">
      <w:pPr>
        <w:pStyle w:val="Text"/>
        <w:keepNext/>
        <w:ind w:left="960"/>
      </w:pPr>
      <w:r w:rsidRPr="00883399">
        <w:t>NA = Not available. NO = Not occurring</w:t>
      </w:r>
    </w:p>
    <w:p w14:paraId="6615ECCD" w14:textId="77777777" w:rsidR="00872C03" w:rsidRPr="00883399" w:rsidRDefault="00872C03" w:rsidP="00872C03">
      <w:pPr>
        <w:pStyle w:val="subsection"/>
        <w:rPr>
          <w:sz w:val="24"/>
        </w:rPr>
      </w:pPr>
    </w:p>
    <w:p w14:paraId="722A7220" w14:textId="333CC9AA" w:rsidR="00872C03" w:rsidRPr="00883399" w:rsidRDefault="00872C03" w:rsidP="00872C03">
      <w:pPr>
        <w:pStyle w:val="ActHead5"/>
        <w:rPr>
          <w:sz w:val="28"/>
        </w:rPr>
      </w:pPr>
      <w:bookmarkStart w:id="658" w:name="_Toc423516942"/>
      <w:bookmarkStart w:id="659" w:name="_Toc495652859"/>
      <w:r w:rsidRPr="00883399">
        <w:rPr>
          <w:rStyle w:val="CharSectno"/>
          <w:sz w:val="28"/>
        </w:rPr>
        <w:t>3.59</w:t>
      </w:r>
      <w:r w:rsidRPr="00883399">
        <w:rPr>
          <w:sz w:val="28"/>
        </w:rPr>
        <w:t xml:space="preserve">  Method 1—crude oil transport</w:t>
      </w:r>
      <w:bookmarkEnd w:id="658"/>
      <w:bookmarkEnd w:id="659"/>
    </w:p>
    <w:p w14:paraId="616926EA" w14:textId="77777777" w:rsidR="00872C03" w:rsidRPr="00883399" w:rsidRDefault="00872C03" w:rsidP="00872C03">
      <w:pPr>
        <w:pStyle w:val="R1"/>
        <w:keepLines w:val="0"/>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Method 1 for crude oil transport for fugitive emissions is derived from the </w:t>
      </w:r>
      <w:r w:rsidRPr="00883399">
        <w:rPr>
          <w:rFonts w:ascii="Arial" w:hAnsi="Arial" w:cs="Arial"/>
          <w:i/>
          <w:sz w:val="22"/>
          <w:szCs w:val="22"/>
        </w:rPr>
        <w:t>National Greenhouse Accounts</w:t>
      </w:r>
      <w:r w:rsidRPr="00883399">
        <w:rPr>
          <w:rFonts w:ascii="Arial" w:hAnsi="Arial" w:cs="Arial"/>
          <w:sz w:val="22"/>
          <w:szCs w:val="22"/>
        </w:rPr>
        <w:t>.</w:t>
      </w:r>
    </w:p>
    <w:p w14:paraId="1A06D16D" w14:textId="77777777" w:rsidR="00872C03" w:rsidRPr="00883399" w:rsidRDefault="00872C03" w:rsidP="00872C03">
      <w:pPr>
        <w:pStyle w:val="subsection"/>
        <w:rPr>
          <w:sz w:val="24"/>
        </w:rPr>
      </w:pPr>
      <w:r w:rsidRPr="00883399">
        <w:rPr>
          <w:sz w:val="24"/>
        </w:rPr>
        <w:t>Method 1 is:</w:t>
      </w:r>
    </w:p>
    <w:p w14:paraId="129D0417" w14:textId="41BC1761"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6597CC86" wp14:editId="0B8E268C">
            <wp:extent cx="1057275" cy="257175"/>
            <wp:effectExtent l="0" t="0" r="9525" b="9525"/>
            <wp:docPr id="1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p>
    <w:p w14:paraId="2CB29064" w14:textId="77777777" w:rsidR="00872C03" w:rsidRPr="00883399" w:rsidRDefault="00872C03" w:rsidP="00872C03">
      <w:pPr>
        <w:pStyle w:val="subsection2"/>
        <w:rPr>
          <w:sz w:val="24"/>
        </w:rPr>
      </w:pPr>
      <w:r w:rsidRPr="00883399">
        <w:rPr>
          <w:sz w:val="24"/>
        </w:rPr>
        <w:t>where:</w:t>
      </w:r>
    </w:p>
    <w:p w14:paraId="595A2258" w14:textId="77777777" w:rsidR="00872C03" w:rsidRPr="00883399" w:rsidRDefault="00872C03" w:rsidP="00872C03">
      <w:pPr>
        <w:pStyle w:val="Definition0"/>
        <w:rPr>
          <w:sz w:val="24"/>
        </w:rPr>
      </w:pPr>
      <w:r w:rsidRPr="00883399">
        <w:rPr>
          <w:b/>
          <w:i/>
          <w:sz w:val="24"/>
        </w:rPr>
        <w:t>E</w:t>
      </w:r>
      <w:r w:rsidRPr="00883399">
        <w:rPr>
          <w:b/>
          <w:i/>
          <w:sz w:val="24"/>
          <w:vertAlign w:val="subscript"/>
        </w:rPr>
        <w:t>ij</w:t>
      </w:r>
      <w:r w:rsidRPr="00883399">
        <w:rPr>
          <w:b/>
          <w:i/>
          <w:sz w:val="24"/>
        </w:rPr>
        <w:t xml:space="preserve"> </w:t>
      </w:r>
      <w:r w:rsidRPr="00883399">
        <w:rPr>
          <w:sz w:val="24"/>
        </w:rPr>
        <w:t>is the fugitive emissions of methane (</w:t>
      </w:r>
      <w:r w:rsidRPr="00883399">
        <w:rPr>
          <w:b/>
          <w:i/>
          <w:sz w:val="24"/>
        </w:rPr>
        <w:t>j</w:t>
      </w:r>
      <w:r w:rsidRPr="00883399">
        <w:rPr>
          <w:sz w:val="24"/>
        </w:rPr>
        <w:t>) from the crude oil transport during the year measured in CO</w:t>
      </w:r>
      <w:r w:rsidRPr="00883399">
        <w:rPr>
          <w:rStyle w:val="charSubscript"/>
          <w:iCs/>
          <w:sz w:val="22"/>
        </w:rPr>
        <w:t>2</w:t>
      </w:r>
      <w:r w:rsidRPr="00883399">
        <w:rPr>
          <w:sz w:val="24"/>
        </w:rPr>
        <w:noBreakHyphen/>
        <w:t>e tonnes.</w:t>
      </w:r>
    </w:p>
    <w:p w14:paraId="71E477E3" w14:textId="77777777" w:rsidR="00872C03" w:rsidRPr="00883399" w:rsidRDefault="00872C03" w:rsidP="00872C03">
      <w:pPr>
        <w:pStyle w:val="Definition0"/>
        <w:rPr>
          <w:sz w:val="24"/>
        </w:rPr>
      </w:pPr>
      <w:r w:rsidRPr="00883399">
        <w:rPr>
          <w:b/>
          <w:i/>
          <w:sz w:val="24"/>
        </w:rPr>
        <w:t>Q</w:t>
      </w:r>
      <w:r w:rsidRPr="00883399">
        <w:rPr>
          <w:b/>
          <w:i/>
          <w:sz w:val="24"/>
          <w:vertAlign w:val="subscript"/>
        </w:rPr>
        <w:t>i</w:t>
      </w:r>
      <w:r w:rsidRPr="00883399">
        <w:rPr>
          <w:i/>
          <w:sz w:val="24"/>
        </w:rPr>
        <w:t xml:space="preserve"> </w:t>
      </w:r>
      <w:r w:rsidRPr="00883399">
        <w:rPr>
          <w:sz w:val="24"/>
        </w:rPr>
        <w:t>is the quantity of crude oil (</w:t>
      </w:r>
      <w:r w:rsidRPr="00883399">
        <w:rPr>
          <w:b/>
          <w:i/>
          <w:sz w:val="24"/>
        </w:rPr>
        <w:t>i</w:t>
      </w:r>
      <w:r w:rsidRPr="00883399">
        <w:rPr>
          <w:sz w:val="24"/>
        </w:rPr>
        <w:t>) measured in tonnes and transported during the year.</w:t>
      </w:r>
    </w:p>
    <w:p w14:paraId="64D82B36" w14:textId="77777777" w:rsidR="00872C03" w:rsidRPr="00883399" w:rsidRDefault="00872C03" w:rsidP="00872C03">
      <w:pPr>
        <w:pStyle w:val="Definition0"/>
        <w:rPr>
          <w:sz w:val="24"/>
        </w:rPr>
      </w:pPr>
      <w:r w:rsidRPr="00883399">
        <w:rPr>
          <w:b/>
          <w:i/>
          <w:sz w:val="24"/>
        </w:rPr>
        <w:t>EF</w:t>
      </w:r>
      <w:r w:rsidRPr="00883399">
        <w:rPr>
          <w:b/>
          <w:i/>
          <w:sz w:val="24"/>
          <w:vertAlign w:val="subscript"/>
        </w:rPr>
        <w:t>ij</w:t>
      </w:r>
      <w:r w:rsidRPr="00883399">
        <w:rPr>
          <w:b/>
          <w:i/>
          <w:sz w:val="24"/>
        </w:rPr>
        <w:t xml:space="preserve"> </w:t>
      </w:r>
      <w:r w:rsidRPr="00883399">
        <w:rPr>
          <w:sz w:val="24"/>
        </w:rPr>
        <w:t>is the emission factor for methane (</w:t>
      </w:r>
      <w:r w:rsidRPr="00883399">
        <w:rPr>
          <w:b/>
          <w:i/>
          <w:sz w:val="24"/>
        </w:rPr>
        <w:t>j</w:t>
      </w:r>
      <w:r w:rsidRPr="00883399">
        <w:rPr>
          <w:sz w:val="24"/>
        </w:rPr>
        <w:t>), which is 8.7 x 10</w:t>
      </w:r>
      <w:r w:rsidRPr="00883399">
        <w:rPr>
          <w:sz w:val="24"/>
          <w:vertAlign w:val="superscript"/>
        </w:rPr>
        <w:noBreakHyphen/>
        <w:t xml:space="preserve">4 </w:t>
      </w:r>
      <w:r w:rsidRPr="00883399">
        <w:rPr>
          <w:bCs/>
          <w:sz w:val="24"/>
        </w:rPr>
        <w:t>tonnes CO</w:t>
      </w:r>
      <w:r w:rsidRPr="00883399">
        <w:rPr>
          <w:rStyle w:val="charSubscript"/>
          <w:bCs/>
          <w:sz w:val="22"/>
        </w:rPr>
        <w:t>2</w:t>
      </w:r>
      <w:r w:rsidRPr="00883399">
        <w:rPr>
          <w:bCs/>
          <w:sz w:val="24"/>
        </w:rPr>
        <w:noBreakHyphen/>
        <w:t>e per tonnes of crude oil transported during the year</w:t>
      </w:r>
      <w:r w:rsidRPr="00883399">
        <w:rPr>
          <w:sz w:val="24"/>
        </w:rPr>
        <w:t>.</w:t>
      </w:r>
    </w:p>
    <w:p w14:paraId="53FE983F" w14:textId="29088E93" w:rsidR="00872C03" w:rsidRPr="00883399" w:rsidRDefault="00872C03" w:rsidP="00872C03">
      <w:pPr>
        <w:pStyle w:val="ActHead5"/>
        <w:rPr>
          <w:sz w:val="28"/>
        </w:rPr>
      </w:pPr>
      <w:bookmarkStart w:id="660" w:name="_Toc423516943"/>
      <w:bookmarkStart w:id="661" w:name="_Toc495652860"/>
      <w:r w:rsidRPr="00883399">
        <w:rPr>
          <w:rStyle w:val="CharSectno"/>
          <w:sz w:val="28"/>
        </w:rPr>
        <w:t>3.60</w:t>
      </w:r>
      <w:r w:rsidRPr="00883399">
        <w:rPr>
          <w:sz w:val="28"/>
        </w:rPr>
        <w:t xml:space="preserve">  Method 2—fugitive emissions from crude oil transport</w:t>
      </w:r>
      <w:bookmarkEnd w:id="660"/>
      <w:bookmarkEnd w:id="661"/>
    </w:p>
    <w:p w14:paraId="69239CB9" w14:textId="77777777" w:rsidR="00872C03" w:rsidRPr="00883399" w:rsidRDefault="00872C03" w:rsidP="00872C03">
      <w:pPr>
        <w:pStyle w:val="R1"/>
        <w:keepLines w:val="0"/>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Method 2 requires the use of equipment-specific emission factors and more detail on the types of equipment used at the facility. The Method is intended to be as specified in the American Petroleum Institute’s </w:t>
      </w:r>
      <w:r w:rsidRPr="00883399">
        <w:rPr>
          <w:rFonts w:ascii="Arial" w:hAnsi="Arial" w:cs="Arial"/>
          <w:i/>
          <w:sz w:val="22"/>
          <w:szCs w:val="22"/>
        </w:rPr>
        <w:t>Compendium of Greenhouse Gas Emissions Estimation Methodologies for the Oil and Natural Gas Industry 2009</w:t>
      </w:r>
      <w:r w:rsidRPr="00883399">
        <w:rPr>
          <w:rFonts w:ascii="Arial" w:hAnsi="Arial" w:cs="Arial"/>
          <w:sz w:val="22"/>
          <w:szCs w:val="22"/>
        </w:rPr>
        <w:t xml:space="preserve">sections 5 and 6.1.2.   </w:t>
      </w:r>
    </w:p>
    <w:p w14:paraId="16405E5E" w14:textId="77777777" w:rsidR="00872C03" w:rsidRPr="00883399" w:rsidRDefault="00872C03" w:rsidP="00872C03">
      <w:pPr>
        <w:pStyle w:val="subsection"/>
        <w:rPr>
          <w:sz w:val="24"/>
        </w:rPr>
      </w:pPr>
      <w:r w:rsidRPr="00883399">
        <w:rPr>
          <w:sz w:val="24"/>
        </w:rPr>
        <w:tab/>
        <w:t xml:space="preserve"> (1)</w:t>
      </w:r>
      <w:r w:rsidRPr="00883399">
        <w:rPr>
          <w:sz w:val="24"/>
        </w:rPr>
        <w:tab/>
        <w:t>Method 2 is:</w:t>
      </w:r>
    </w:p>
    <w:p w14:paraId="3E710AF9" w14:textId="2C9FDA46" w:rsidR="00872C03" w:rsidRPr="00883399" w:rsidRDefault="00872C03" w:rsidP="00872C03">
      <w:pPr>
        <w:pStyle w:val="subsection"/>
        <w:spacing w:before="120" w:after="120"/>
        <w:rPr>
          <w:sz w:val="24"/>
        </w:rPr>
      </w:pPr>
      <w:r w:rsidRPr="00883399">
        <w:rPr>
          <w:sz w:val="24"/>
        </w:rPr>
        <w:lastRenderedPageBreak/>
        <w:tab/>
      </w:r>
      <w:r w:rsidRPr="00883399">
        <w:rPr>
          <w:sz w:val="24"/>
        </w:rPr>
        <w:tab/>
      </w:r>
      <w:r w:rsidRPr="00883399">
        <w:rPr>
          <w:noProof/>
          <w:sz w:val="24"/>
        </w:rPr>
        <w:drawing>
          <wp:inline distT="0" distB="0" distL="0" distR="0" wp14:anchorId="6769719E" wp14:editId="5338B368">
            <wp:extent cx="1476375" cy="228600"/>
            <wp:effectExtent l="0" t="0" r="9525" b="0"/>
            <wp:docPr id="1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p>
    <w:p w14:paraId="11BECF99" w14:textId="77777777" w:rsidR="00872C03" w:rsidRPr="00883399" w:rsidRDefault="00872C03" w:rsidP="00872C03">
      <w:pPr>
        <w:pStyle w:val="subsection2"/>
        <w:rPr>
          <w:sz w:val="24"/>
        </w:rPr>
      </w:pPr>
      <w:r w:rsidRPr="00883399">
        <w:rPr>
          <w:sz w:val="24"/>
        </w:rPr>
        <w:t>where:</w:t>
      </w:r>
    </w:p>
    <w:p w14:paraId="602ECB97" w14:textId="77777777" w:rsidR="00872C03" w:rsidRPr="00883399" w:rsidRDefault="00872C03" w:rsidP="00872C03">
      <w:pPr>
        <w:pStyle w:val="Definition0"/>
        <w:rPr>
          <w:sz w:val="24"/>
        </w:rPr>
      </w:pPr>
      <w:r w:rsidRPr="00883399">
        <w:rPr>
          <w:b/>
          <w:i/>
          <w:sz w:val="24"/>
        </w:rPr>
        <w:t>E</w:t>
      </w:r>
      <w:r w:rsidRPr="00883399">
        <w:rPr>
          <w:b/>
          <w:i/>
          <w:sz w:val="24"/>
          <w:vertAlign w:val="subscript"/>
        </w:rPr>
        <w:t>ij</w:t>
      </w:r>
      <w:r w:rsidRPr="00883399">
        <w:rPr>
          <w:b/>
          <w:i/>
          <w:sz w:val="24"/>
        </w:rPr>
        <w:t xml:space="preserve"> </w:t>
      </w:r>
      <w:r w:rsidRPr="00883399">
        <w:rPr>
          <w:sz w:val="24"/>
        </w:rPr>
        <w:t>is the fugitive emissions of methane (</w:t>
      </w:r>
      <w:r w:rsidRPr="00883399">
        <w:rPr>
          <w:b/>
          <w:i/>
          <w:sz w:val="24"/>
        </w:rPr>
        <w:t>j</w:t>
      </w:r>
      <w:r w:rsidRPr="00883399">
        <w:rPr>
          <w:sz w:val="24"/>
        </w:rPr>
        <w:t>) from the crude oil transport during the year measured in CO</w:t>
      </w:r>
      <w:r w:rsidRPr="00883399">
        <w:rPr>
          <w:rStyle w:val="charSubscript"/>
          <w:iCs/>
          <w:sz w:val="22"/>
        </w:rPr>
        <w:t>2</w:t>
      </w:r>
      <w:r w:rsidRPr="00883399">
        <w:rPr>
          <w:sz w:val="24"/>
        </w:rPr>
        <w:noBreakHyphen/>
        <w:t>e tonnes.</w:t>
      </w:r>
    </w:p>
    <w:p w14:paraId="7E4543BB" w14:textId="77777777" w:rsidR="00872C03" w:rsidRPr="00883399" w:rsidRDefault="00872C03" w:rsidP="00872C03">
      <w:pPr>
        <w:pStyle w:val="Definition0"/>
        <w:rPr>
          <w:sz w:val="24"/>
        </w:rPr>
      </w:pPr>
      <w:r w:rsidRPr="00883399">
        <w:rPr>
          <w:b/>
          <w:i/>
          <w:sz w:val="24"/>
        </w:rPr>
        <w:t>Σ</w:t>
      </w:r>
      <w:r w:rsidRPr="00883399">
        <w:rPr>
          <w:b/>
          <w:i/>
          <w:sz w:val="24"/>
          <w:vertAlign w:val="subscript"/>
        </w:rPr>
        <w:t xml:space="preserve">k </w:t>
      </w:r>
      <w:r w:rsidRPr="00883399">
        <w:rPr>
          <w:sz w:val="24"/>
        </w:rPr>
        <w:t>is the emissions of methane (</w:t>
      </w:r>
      <w:r w:rsidRPr="00883399">
        <w:rPr>
          <w:b/>
          <w:i/>
          <w:sz w:val="24"/>
        </w:rPr>
        <w:t>j</w:t>
      </w:r>
      <w:r w:rsidRPr="00883399">
        <w:rPr>
          <w:sz w:val="24"/>
        </w:rPr>
        <w:t>) measured in tonnes of CO</w:t>
      </w:r>
      <w:r w:rsidRPr="00883399">
        <w:rPr>
          <w:rStyle w:val="charSubscript"/>
          <w:iCs/>
          <w:sz w:val="22"/>
        </w:rPr>
        <w:t>2</w:t>
      </w:r>
      <w:r w:rsidRPr="00883399">
        <w:rPr>
          <w:sz w:val="24"/>
        </w:rPr>
        <w:noBreakHyphen/>
        <w:t>e and estimated by summing up the emissions from each equipment type (</w:t>
      </w:r>
      <w:r w:rsidRPr="00883399">
        <w:rPr>
          <w:b/>
          <w:i/>
          <w:sz w:val="24"/>
        </w:rPr>
        <w:t>k</w:t>
      </w:r>
      <w:r w:rsidRPr="00883399">
        <w:rPr>
          <w:sz w:val="24"/>
        </w:rPr>
        <w:t>) listed in sections 5 and 6.1.2 of the API Compendium, if the equipment is used in the crude oil transport.</w:t>
      </w:r>
    </w:p>
    <w:p w14:paraId="42446202" w14:textId="77777777" w:rsidR="00872C03" w:rsidRPr="00883399" w:rsidRDefault="00872C03" w:rsidP="00872C03">
      <w:pPr>
        <w:pStyle w:val="Definition0"/>
        <w:rPr>
          <w:sz w:val="24"/>
        </w:rPr>
      </w:pPr>
      <w:r w:rsidRPr="00883399">
        <w:rPr>
          <w:b/>
          <w:i/>
          <w:sz w:val="24"/>
        </w:rPr>
        <w:t>Q</w:t>
      </w:r>
      <w:r w:rsidRPr="00883399">
        <w:rPr>
          <w:i/>
          <w:sz w:val="24"/>
          <w:vertAlign w:val="subscript"/>
        </w:rPr>
        <w:t>ik</w:t>
      </w:r>
      <w:r w:rsidRPr="00883399">
        <w:rPr>
          <w:sz w:val="24"/>
          <w:vertAlign w:val="subscript"/>
        </w:rPr>
        <w:t xml:space="preserve"> </w:t>
      </w:r>
      <w:r w:rsidRPr="00883399">
        <w:rPr>
          <w:sz w:val="24"/>
        </w:rPr>
        <w:t>is the total of the quantities of crude oil measured in tonnes that pass through each equipment type (</w:t>
      </w:r>
      <w:r w:rsidRPr="00883399">
        <w:rPr>
          <w:b/>
          <w:i/>
          <w:sz w:val="24"/>
        </w:rPr>
        <w:t>k</w:t>
      </w:r>
      <w:r w:rsidRPr="00883399">
        <w:rPr>
          <w:sz w:val="24"/>
        </w:rPr>
        <w:t>) listed in sections 5 and 6.1.2 of the API Compendium, if the equipment is used in the crude oil transport.</w:t>
      </w:r>
    </w:p>
    <w:p w14:paraId="5470B0FB" w14:textId="77777777" w:rsidR="00872C03" w:rsidRPr="00883399" w:rsidRDefault="00872C03" w:rsidP="00872C03">
      <w:pPr>
        <w:pStyle w:val="Definition0"/>
        <w:rPr>
          <w:sz w:val="24"/>
        </w:rPr>
      </w:pPr>
      <w:r w:rsidRPr="00883399">
        <w:rPr>
          <w:b/>
          <w:i/>
          <w:sz w:val="24"/>
        </w:rPr>
        <w:t>EF</w:t>
      </w:r>
      <w:r w:rsidRPr="00883399">
        <w:rPr>
          <w:b/>
          <w:i/>
          <w:sz w:val="24"/>
          <w:vertAlign w:val="subscript"/>
        </w:rPr>
        <w:t>ijk</w:t>
      </w:r>
      <w:r w:rsidRPr="00883399">
        <w:rPr>
          <w:b/>
          <w:i/>
          <w:sz w:val="24"/>
        </w:rPr>
        <w:t xml:space="preserve"> </w:t>
      </w:r>
      <w:r w:rsidRPr="00883399">
        <w:rPr>
          <w:sz w:val="24"/>
        </w:rPr>
        <w:t>is the emission factor of methane (</w:t>
      </w:r>
      <w:r w:rsidRPr="00883399">
        <w:rPr>
          <w:b/>
          <w:i/>
          <w:sz w:val="24"/>
        </w:rPr>
        <w:t>j</w:t>
      </w:r>
      <w:r w:rsidRPr="00883399">
        <w:rPr>
          <w:sz w:val="24"/>
        </w:rPr>
        <w:t>) measured in tonnes of CO</w:t>
      </w:r>
      <w:r w:rsidRPr="00883399">
        <w:rPr>
          <w:rStyle w:val="charSubscript"/>
          <w:iCs/>
          <w:sz w:val="22"/>
        </w:rPr>
        <w:t>2</w:t>
      </w:r>
      <w:r w:rsidRPr="00883399">
        <w:rPr>
          <w:sz w:val="24"/>
        </w:rPr>
        <w:noBreakHyphen/>
        <w:t>e per tonne of crude oil that passes though each equipment type (</w:t>
      </w:r>
      <w:r w:rsidRPr="00883399">
        <w:rPr>
          <w:b/>
          <w:i/>
          <w:sz w:val="24"/>
        </w:rPr>
        <w:t>k</w:t>
      </w:r>
      <w:r w:rsidRPr="00883399">
        <w:rPr>
          <w:sz w:val="24"/>
        </w:rPr>
        <w:t>) listed in sections 5 and 6.1.2 of the API Compendium, if the equipment is used in the crude oil transport.</w:t>
      </w:r>
    </w:p>
    <w:p w14:paraId="02426740" w14:textId="77777777" w:rsidR="00872C03" w:rsidRPr="00883399" w:rsidRDefault="00872C03" w:rsidP="00872C03">
      <w:pPr>
        <w:pStyle w:val="subsection"/>
        <w:rPr>
          <w:sz w:val="24"/>
        </w:rPr>
      </w:pPr>
      <w:r w:rsidRPr="00883399">
        <w:rPr>
          <w:sz w:val="24"/>
        </w:rPr>
        <w:tab/>
        <w:t>(2)</w:t>
      </w:r>
      <w:r w:rsidRPr="00883399">
        <w:rPr>
          <w:sz w:val="24"/>
        </w:rPr>
        <w:tab/>
        <w:t xml:space="preserve">For </w:t>
      </w:r>
      <w:r w:rsidRPr="00883399">
        <w:rPr>
          <w:b/>
          <w:i/>
          <w:sz w:val="24"/>
        </w:rPr>
        <w:t>EF</w:t>
      </w:r>
      <w:r w:rsidRPr="00883399">
        <w:rPr>
          <w:b/>
          <w:i/>
          <w:sz w:val="24"/>
          <w:vertAlign w:val="subscript"/>
        </w:rPr>
        <w:t>ijk</w:t>
      </w:r>
      <w:r w:rsidRPr="00883399">
        <w:rPr>
          <w:b/>
          <w:i/>
          <w:sz w:val="24"/>
        </w:rPr>
        <w:t xml:space="preserve">, </w:t>
      </w:r>
      <w:r w:rsidRPr="00883399">
        <w:rPr>
          <w:sz w:val="24"/>
        </w:rPr>
        <w:t>the emission factors for methane (</w:t>
      </w:r>
      <w:r w:rsidRPr="00883399">
        <w:rPr>
          <w:b/>
          <w:i/>
          <w:sz w:val="24"/>
        </w:rPr>
        <w:t>j</w:t>
      </w:r>
      <w:r w:rsidRPr="00883399">
        <w:rPr>
          <w:sz w:val="24"/>
        </w:rPr>
        <w:t>), as crude oil passes through equipment type (</w:t>
      </w:r>
      <w:r w:rsidRPr="00883399">
        <w:rPr>
          <w:b/>
          <w:i/>
          <w:sz w:val="24"/>
        </w:rPr>
        <w:t>k</w:t>
      </w:r>
      <w:r w:rsidRPr="00883399">
        <w:rPr>
          <w:sz w:val="24"/>
        </w:rPr>
        <w:t>), are:</w:t>
      </w:r>
    </w:p>
    <w:p w14:paraId="487FC277" w14:textId="77777777" w:rsidR="00872C03" w:rsidRPr="00883399" w:rsidRDefault="00872C03" w:rsidP="00872C03">
      <w:pPr>
        <w:pStyle w:val="paragraph"/>
        <w:rPr>
          <w:sz w:val="24"/>
        </w:rPr>
      </w:pPr>
      <w:r w:rsidRPr="00883399">
        <w:rPr>
          <w:sz w:val="24"/>
        </w:rPr>
        <w:tab/>
        <w:t>(a)</w:t>
      </w:r>
      <w:r w:rsidRPr="00883399">
        <w:rPr>
          <w:sz w:val="24"/>
        </w:rPr>
        <w:tab/>
        <w:t>as listed in sections 5 and 6.1.2 of the API Compendium, for the equipment type; or</w:t>
      </w:r>
    </w:p>
    <w:p w14:paraId="68541C42" w14:textId="77777777" w:rsidR="00872C03" w:rsidRPr="00883399" w:rsidRDefault="00872C03" w:rsidP="00872C03">
      <w:pPr>
        <w:pStyle w:val="paragraph"/>
        <w:rPr>
          <w:sz w:val="24"/>
        </w:rPr>
      </w:pPr>
      <w:r w:rsidRPr="00883399">
        <w:rPr>
          <w:sz w:val="24"/>
        </w:rPr>
        <w:tab/>
        <w:t>(b)</w:t>
      </w:r>
      <w:r w:rsidRPr="00883399">
        <w:rPr>
          <w:sz w:val="24"/>
        </w:rPr>
        <w:tab/>
        <w:t>if the manufacturer of the equipment supplies equipment</w:t>
      </w:r>
      <w:r w:rsidRPr="00883399">
        <w:rPr>
          <w:sz w:val="24"/>
        </w:rPr>
        <w:noBreakHyphen/>
        <w:t>specific emission factors for the equipment type—those factors.</w:t>
      </w:r>
    </w:p>
    <w:p w14:paraId="7DCCF653" w14:textId="31B2B052" w:rsidR="00872C03" w:rsidRPr="00883399" w:rsidRDefault="00872C03" w:rsidP="00872C03">
      <w:pPr>
        <w:pStyle w:val="ActHead3"/>
        <w:pageBreakBefore/>
        <w:rPr>
          <w:sz w:val="32"/>
        </w:rPr>
      </w:pPr>
      <w:bookmarkStart w:id="662" w:name="_Toc423516944"/>
      <w:bookmarkStart w:id="663" w:name="_Toc495652861"/>
      <w:r w:rsidRPr="00883399">
        <w:rPr>
          <w:rStyle w:val="CharDivNo"/>
          <w:sz w:val="32"/>
        </w:rPr>
        <w:lastRenderedPageBreak/>
        <w:t>Division 3.3.5</w:t>
      </w:r>
      <w:r w:rsidRPr="00883399">
        <w:rPr>
          <w:sz w:val="32"/>
        </w:rPr>
        <w:t>—</w:t>
      </w:r>
      <w:r w:rsidRPr="00883399">
        <w:rPr>
          <w:rStyle w:val="CharDivText"/>
          <w:sz w:val="32"/>
        </w:rPr>
        <w:t>Crude oil refining</w:t>
      </w:r>
      <w:bookmarkEnd w:id="662"/>
      <w:bookmarkEnd w:id="663"/>
    </w:p>
    <w:p w14:paraId="3B12D300" w14:textId="77777777" w:rsidR="00872C03" w:rsidRPr="00883399" w:rsidRDefault="00872C03" w:rsidP="00872C03">
      <w:pPr>
        <w:pStyle w:val="Text"/>
        <w:rPr>
          <w:rFonts w:ascii="Arial" w:hAnsi="Arial" w:cs="Arial"/>
          <w:sz w:val="22"/>
          <w:szCs w:val="22"/>
        </w:rPr>
      </w:pPr>
      <w:bookmarkStart w:id="664" w:name="_Toc423516945"/>
      <w:r w:rsidRPr="00883399">
        <w:rPr>
          <w:rFonts w:ascii="Arial" w:hAnsi="Arial" w:cs="Arial"/>
          <w:sz w:val="22"/>
          <w:szCs w:val="22"/>
        </w:rPr>
        <w:t xml:space="preserve">Emissions arise for this category from fugitive sources (for example gas leaks), flaring and from the process vents, system upsets and accidents, including the combustion of catalyst coke for non-energy purposes.  </w:t>
      </w:r>
    </w:p>
    <w:p w14:paraId="5C3582C9"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Other sources of emissions arising from the crude oil refining, such as from the combustion of fuels for energy or from the production of hydrogen, are not described in this chapter and must be estimated using the Methods described in other chapters.  </w:t>
      </w:r>
    </w:p>
    <w:p w14:paraId="0BE7466B" w14:textId="2EB65B63" w:rsidR="00872C03" w:rsidRPr="00883399" w:rsidRDefault="00872C03" w:rsidP="00872C03">
      <w:pPr>
        <w:pStyle w:val="ActHead5"/>
        <w:rPr>
          <w:sz w:val="28"/>
        </w:rPr>
      </w:pPr>
      <w:bookmarkStart w:id="665" w:name="_Toc495652862"/>
      <w:r w:rsidRPr="00883399">
        <w:rPr>
          <w:rStyle w:val="CharSectno"/>
          <w:sz w:val="28"/>
        </w:rPr>
        <w:t>3.61</w:t>
      </w:r>
      <w:r w:rsidRPr="00883399">
        <w:rPr>
          <w:sz w:val="28"/>
        </w:rPr>
        <w:t xml:space="preserve">  Application</w:t>
      </w:r>
      <w:bookmarkEnd w:id="664"/>
      <w:bookmarkEnd w:id="665"/>
    </w:p>
    <w:p w14:paraId="428531D7" w14:textId="77777777" w:rsidR="00872C03" w:rsidRPr="00883399" w:rsidRDefault="00872C03" w:rsidP="00872C03">
      <w:pPr>
        <w:pStyle w:val="subsection"/>
        <w:rPr>
          <w:sz w:val="24"/>
        </w:rPr>
      </w:pPr>
      <w:r w:rsidRPr="00883399">
        <w:rPr>
          <w:sz w:val="24"/>
        </w:rPr>
        <w:tab/>
      </w:r>
      <w:r w:rsidRPr="00883399">
        <w:rPr>
          <w:sz w:val="24"/>
        </w:rPr>
        <w:tab/>
        <w:t>This Division applies to fugitive emissions from crude oil refining activities, including emissions from flaring at petroleum refineries.</w:t>
      </w:r>
    </w:p>
    <w:p w14:paraId="0AD5DD13" w14:textId="009DACED" w:rsidR="00872C03" w:rsidRPr="00883399" w:rsidRDefault="00872C03" w:rsidP="00872C03">
      <w:pPr>
        <w:pStyle w:val="ActHead5"/>
        <w:rPr>
          <w:sz w:val="28"/>
        </w:rPr>
      </w:pPr>
      <w:bookmarkStart w:id="666" w:name="_Toc423516946"/>
      <w:bookmarkStart w:id="667" w:name="_Toc495652863"/>
      <w:r w:rsidRPr="00883399">
        <w:rPr>
          <w:rStyle w:val="CharSectno"/>
          <w:sz w:val="28"/>
        </w:rPr>
        <w:t>3.62</w:t>
      </w:r>
      <w:r w:rsidRPr="00883399">
        <w:rPr>
          <w:sz w:val="28"/>
        </w:rPr>
        <w:t xml:space="preserve">  Available methods</w:t>
      </w:r>
      <w:bookmarkEnd w:id="666"/>
      <w:bookmarkEnd w:id="667"/>
    </w:p>
    <w:p w14:paraId="498EDED2" w14:textId="77777777" w:rsidR="00872C03" w:rsidRPr="00883399" w:rsidRDefault="00872C03" w:rsidP="00872C03">
      <w:pPr>
        <w:pStyle w:val="subsection"/>
        <w:rPr>
          <w:sz w:val="24"/>
        </w:rPr>
      </w:pPr>
      <w:r w:rsidRPr="00883399">
        <w:rPr>
          <w:sz w:val="24"/>
        </w:rPr>
        <w:tab/>
        <w:t>(1)</w:t>
      </w:r>
      <w:r w:rsidRPr="00883399">
        <w:rPr>
          <w:sz w:val="24"/>
        </w:rPr>
        <w:tab/>
        <w:t>Subject to section 1.18, for estimating emissions released during a year from the operation of a facility that is constituted by crude oil refining the methods as set out in this section must be used.</w:t>
      </w:r>
    </w:p>
    <w:p w14:paraId="0906EB9E" w14:textId="77777777" w:rsidR="00872C03" w:rsidRPr="00883399" w:rsidRDefault="00872C03" w:rsidP="00872C03">
      <w:pPr>
        <w:pStyle w:val="SubsectionHead"/>
        <w:rPr>
          <w:sz w:val="24"/>
        </w:rPr>
      </w:pPr>
      <w:r w:rsidRPr="00883399">
        <w:rPr>
          <w:sz w:val="24"/>
        </w:rPr>
        <w:t>Crude oil refining and storage tanks</w:t>
      </w:r>
    </w:p>
    <w:p w14:paraId="6989D141" w14:textId="77777777" w:rsidR="00872C03" w:rsidRPr="00883399" w:rsidRDefault="00872C03" w:rsidP="00872C03">
      <w:pPr>
        <w:pStyle w:val="subsection"/>
        <w:rPr>
          <w:sz w:val="24"/>
        </w:rPr>
      </w:pPr>
      <w:r w:rsidRPr="00883399">
        <w:rPr>
          <w:sz w:val="24"/>
        </w:rPr>
        <w:tab/>
        <w:t>(2)</w:t>
      </w:r>
      <w:r w:rsidRPr="00883399">
        <w:rPr>
          <w:sz w:val="24"/>
        </w:rPr>
        <w:tab/>
        <w:t>One of the following methods must be used for estimating fugitive emissions of methane that result from crude oil refining and from storage tanks for crude oil:</w:t>
      </w:r>
    </w:p>
    <w:p w14:paraId="672DA80B" w14:textId="77777777" w:rsidR="00872C03" w:rsidRPr="00883399" w:rsidRDefault="00872C03" w:rsidP="00872C03">
      <w:pPr>
        <w:pStyle w:val="paragraph"/>
        <w:rPr>
          <w:sz w:val="24"/>
        </w:rPr>
      </w:pPr>
      <w:r w:rsidRPr="00883399">
        <w:rPr>
          <w:sz w:val="24"/>
        </w:rPr>
        <w:tab/>
        <w:t>(a)</w:t>
      </w:r>
      <w:r w:rsidRPr="00883399">
        <w:rPr>
          <w:sz w:val="24"/>
        </w:rPr>
        <w:tab/>
        <w:t>method 1 under section 3.63;</w:t>
      </w:r>
    </w:p>
    <w:p w14:paraId="5D948A62" w14:textId="77777777" w:rsidR="00872C03" w:rsidRPr="00883399" w:rsidRDefault="00872C03" w:rsidP="00872C03">
      <w:pPr>
        <w:pStyle w:val="paragraph"/>
        <w:rPr>
          <w:sz w:val="24"/>
        </w:rPr>
      </w:pPr>
      <w:r w:rsidRPr="00883399">
        <w:rPr>
          <w:sz w:val="24"/>
        </w:rPr>
        <w:tab/>
        <w:t>(b)</w:t>
      </w:r>
      <w:r w:rsidRPr="00883399">
        <w:rPr>
          <w:sz w:val="24"/>
        </w:rPr>
        <w:tab/>
        <w:t>method 2 under section 3.64.</w:t>
      </w:r>
    </w:p>
    <w:p w14:paraId="268DAA05" w14:textId="77777777" w:rsidR="00872C03" w:rsidRPr="00883399" w:rsidRDefault="00872C03" w:rsidP="00872C03">
      <w:pPr>
        <w:pStyle w:val="notetext"/>
        <w:rPr>
          <w:sz w:val="20"/>
        </w:rPr>
      </w:pPr>
      <w:r w:rsidRPr="00883399">
        <w:rPr>
          <w:sz w:val="20"/>
        </w:rPr>
        <w:t>Note:</w:t>
      </w:r>
      <w:r w:rsidRPr="00883399">
        <w:rPr>
          <w:sz w:val="20"/>
        </w:rPr>
        <w:tab/>
        <w:t>There is no method 3 or 4 for subsection (2).</w:t>
      </w:r>
    </w:p>
    <w:p w14:paraId="23C0422F" w14:textId="77777777" w:rsidR="00872C03" w:rsidRPr="00883399" w:rsidRDefault="00872C03" w:rsidP="00872C03">
      <w:pPr>
        <w:pStyle w:val="SubsectionHead"/>
        <w:rPr>
          <w:sz w:val="24"/>
        </w:rPr>
      </w:pPr>
      <w:r w:rsidRPr="00883399">
        <w:rPr>
          <w:sz w:val="24"/>
        </w:rPr>
        <w:t>Process vents, system upsets and accidents</w:t>
      </w:r>
    </w:p>
    <w:p w14:paraId="21B7B9AD" w14:textId="77777777" w:rsidR="00872C03" w:rsidRPr="00883399" w:rsidRDefault="00872C03" w:rsidP="00872C03">
      <w:pPr>
        <w:pStyle w:val="subsection"/>
        <w:rPr>
          <w:sz w:val="24"/>
        </w:rPr>
      </w:pPr>
      <w:r w:rsidRPr="00883399">
        <w:rPr>
          <w:sz w:val="24"/>
        </w:rPr>
        <w:tab/>
        <w:t>(3)</w:t>
      </w:r>
      <w:r w:rsidRPr="00883399">
        <w:rPr>
          <w:sz w:val="24"/>
        </w:rPr>
        <w:tab/>
        <w:t>One of the following methods must be used for estimating fugitive emissions of each type of gas, being carbon dioxide, methane and nitrous oxide, that result from deliberate releases from process vents, system upsets and accidents:</w:t>
      </w:r>
    </w:p>
    <w:p w14:paraId="205AE8F5" w14:textId="77777777" w:rsidR="00872C03" w:rsidRPr="00883399" w:rsidRDefault="00872C03" w:rsidP="00872C03">
      <w:pPr>
        <w:pStyle w:val="paragraph"/>
        <w:rPr>
          <w:sz w:val="24"/>
        </w:rPr>
      </w:pPr>
      <w:r w:rsidRPr="00883399">
        <w:rPr>
          <w:sz w:val="24"/>
        </w:rPr>
        <w:tab/>
        <w:t>(a)</w:t>
      </w:r>
      <w:r w:rsidRPr="00883399">
        <w:rPr>
          <w:sz w:val="24"/>
        </w:rPr>
        <w:tab/>
        <w:t>method 1 under section 3.65;</w:t>
      </w:r>
    </w:p>
    <w:p w14:paraId="5AA7C0F1" w14:textId="77777777" w:rsidR="00872C03" w:rsidRPr="00883399" w:rsidRDefault="00872C03" w:rsidP="00872C03">
      <w:pPr>
        <w:pStyle w:val="paragraph"/>
        <w:rPr>
          <w:sz w:val="24"/>
        </w:rPr>
      </w:pPr>
      <w:r w:rsidRPr="00883399">
        <w:rPr>
          <w:sz w:val="24"/>
        </w:rPr>
        <w:tab/>
        <w:t>(b)</w:t>
      </w:r>
      <w:r w:rsidRPr="00883399">
        <w:rPr>
          <w:sz w:val="24"/>
        </w:rPr>
        <w:tab/>
        <w:t>method 4 under section 3.66.</w:t>
      </w:r>
    </w:p>
    <w:p w14:paraId="70A1B165" w14:textId="77777777" w:rsidR="00872C03" w:rsidRPr="00883399" w:rsidRDefault="00872C03" w:rsidP="00872C03">
      <w:pPr>
        <w:pStyle w:val="notetext"/>
        <w:rPr>
          <w:sz w:val="20"/>
        </w:rPr>
      </w:pPr>
      <w:r w:rsidRPr="00883399">
        <w:rPr>
          <w:sz w:val="20"/>
        </w:rPr>
        <w:t>Note:</w:t>
      </w:r>
      <w:r w:rsidRPr="00883399">
        <w:rPr>
          <w:sz w:val="20"/>
        </w:rPr>
        <w:tab/>
        <w:t>There is no method 2 or 3 for subsection (3).</w:t>
      </w:r>
    </w:p>
    <w:p w14:paraId="061F535A" w14:textId="77777777" w:rsidR="00872C03" w:rsidRPr="00883399" w:rsidRDefault="00872C03" w:rsidP="00872C03">
      <w:pPr>
        <w:pStyle w:val="SubsectionHead"/>
        <w:rPr>
          <w:sz w:val="24"/>
        </w:rPr>
      </w:pPr>
      <w:r w:rsidRPr="00883399">
        <w:rPr>
          <w:sz w:val="24"/>
        </w:rPr>
        <w:t>Flaring</w:t>
      </w:r>
    </w:p>
    <w:p w14:paraId="7ACD4748" w14:textId="77777777" w:rsidR="00872C03" w:rsidRPr="00883399" w:rsidRDefault="00872C03" w:rsidP="00872C03">
      <w:pPr>
        <w:pStyle w:val="subsection"/>
        <w:rPr>
          <w:sz w:val="24"/>
        </w:rPr>
      </w:pPr>
      <w:r w:rsidRPr="00883399">
        <w:rPr>
          <w:sz w:val="24"/>
        </w:rPr>
        <w:tab/>
        <w:t>(4)</w:t>
      </w:r>
      <w:r w:rsidRPr="00883399">
        <w:rPr>
          <w:sz w:val="24"/>
        </w:rPr>
        <w:tab/>
        <w:t>For estimating emissions released from gas flared from crude oil refining:</w:t>
      </w:r>
    </w:p>
    <w:p w14:paraId="3034A013" w14:textId="77777777" w:rsidR="00872C03" w:rsidRPr="00883399" w:rsidRDefault="00872C03" w:rsidP="00872C03">
      <w:pPr>
        <w:pStyle w:val="paragraph"/>
        <w:rPr>
          <w:sz w:val="24"/>
        </w:rPr>
      </w:pPr>
      <w:r w:rsidRPr="00883399">
        <w:rPr>
          <w:sz w:val="24"/>
        </w:rPr>
        <w:lastRenderedPageBreak/>
        <w:tab/>
        <w:t>(a)</w:t>
      </w:r>
      <w:r w:rsidRPr="00883399">
        <w:rPr>
          <w:sz w:val="24"/>
        </w:rPr>
        <w:tab/>
        <w:t>one of the following methods must be used for estimating emissions of carbon dioxide released:</w:t>
      </w:r>
    </w:p>
    <w:p w14:paraId="6DEDC9BF" w14:textId="77777777" w:rsidR="00872C03" w:rsidRPr="00883399" w:rsidRDefault="00872C03" w:rsidP="00872C03">
      <w:pPr>
        <w:pStyle w:val="paragraphsub"/>
        <w:rPr>
          <w:sz w:val="24"/>
        </w:rPr>
      </w:pPr>
      <w:r w:rsidRPr="00883399">
        <w:rPr>
          <w:sz w:val="24"/>
        </w:rPr>
        <w:tab/>
        <w:t>(i)</w:t>
      </w:r>
      <w:r w:rsidRPr="00883399">
        <w:rPr>
          <w:sz w:val="24"/>
        </w:rPr>
        <w:tab/>
        <w:t>method 1 under section 3.67;</w:t>
      </w:r>
    </w:p>
    <w:p w14:paraId="5661A437" w14:textId="77777777" w:rsidR="00872C03" w:rsidRPr="00883399" w:rsidRDefault="00872C03" w:rsidP="00872C03">
      <w:pPr>
        <w:pStyle w:val="paragraphsub"/>
        <w:rPr>
          <w:sz w:val="24"/>
        </w:rPr>
      </w:pPr>
      <w:r w:rsidRPr="00883399">
        <w:rPr>
          <w:sz w:val="24"/>
        </w:rPr>
        <w:tab/>
        <w:t>(ii)</w:t>
      </w:r>
      <w:r w:rsidRPr="00883399">
        <w:rPr>
          <w:sz w:val="24"/>
        </w:rPr>
        <w:tab/>
        <w:t>method 2 under section 3.68;</w:t>
      </w:r>
    </w:p>
    <w:p w14:paraId="7AE5A752" w14:textId="77777777" w:rsidR="00872C03" w:rsidRPr="00883399" w:rsidRDefault="00872C03" w:rsidP="00872C03">
      <w:pPr>
        <w:pStyle w:val="paragraphsub"/>
        <w:rPr>
          <w:sz w:val="24"/>
        </w:rPr>
      </w:pPr>
      <w:r w:rsidRPr="00883399">
        <w:rPr>
          <w:sz w:val="24"/>
        </w:rPr>
        <w:tab/>
        <w:t>(iii)</w:t>
      </w:r>
      <w:r w:rsidRPr="00883399">
        <w:rPr>
          <w:sz w:val="24"/>
        </w:rPr>
        <w:tab/>
        <w:t>method 3 under section 3.69; and</w:t>
      </w:r>
    </w:p>
    <w:p w14:paraId="5750F0B8" w14:textId="77777777" w:rsidR="00872C03" w:rsidRPr="00883399" w:rsidRDefault="00872C03" w:rsidP="00872C03">
      <w:pPr>
        <w:pStyle w:val="paragraph"/>
        <w:rPr>
          <w:sz w:val="24"/>
        </w:rPr>
      </w:pPr>
      <w:r w:rsidRPr="00883399">
        <w:rPr>
          <w:sz w:val="24"/>
        </w:rPr>
        <w:tab/>
        <w:t>(b)</w:t>
      </w:r>
      <w:r w:rsidRPr="00883399">
        <w:rPr>
          <w:sz w:val="24"/>
        </w:rPr>
        <w:tab/>
        <w:t>if estimating emissions of methane released—one of the following methods must be used:</w:t>
      </w:r>
    </w:p>
    <w:p w14:paraId="572FAD77" w14:textId="77777777" w:rsidR="00872C03" w:rsidRPr="00883399" w:rsidRDefault="00872C03" w:rsidP="00872C03">
      <w:pPr>
        <w:pStyle w:val="paragraphsub"/>
        <w:rPr>
          <w:sz w:val="24"/>
        </w:rPr>
      </w:pPr>
      <w:r w:rsidRPr="00883399">
        <w:rPr>
          <w:sz w:val="24"/>
        </w:rPr>
        <w:tab/>
        <w:t>(i)</w:t>
      </w:r>
      <w:r w:rsidRPr="00883399">
        <w:rPr>
          <w:sz w:val="24"/>
        </w:rPr>
        <w:tab/>
        <w:t>method 1 under section 3.67;</w:t>
      </w:r>
    </w:p>
    <w:p w14:paraId="5B1E9A47" w14:textId="77777777" w:rsidR="00872C03" w:rsidRPr="00883399" w:rsidRDefault="00872C03" w:rsidP="00872C03">
      <w:pPr>
        <w:pStyle w:val="paragraphsub"/>
        <w:rPr>
          <w:sz w:val="24"/>
        </w:rPr>
      </w:pPr>
      <w:r w:rsidRPr="00883399">
        <w:rPr>
          <w:sz w:val="24"/>
        </w:rPr>
        <w:tab/>
        <w:t>(ii)</w:t>
      </w:r>
      <w:r w:rsidRPr="00883399">
        <w:rPr>
          <w:sz w:val="24"/>
        </w:rPr>
        <w:tab/>
        <w:t>method 2A under section 3.68A; and</w:t>
      </w:r>
    </w:p>
    <w:p w14:paraId="40116CC9" w14:textId="77777777" w:rsidR="00872C03" w:rsidRPr="00883399" w:rsidRDefault="00872C03" w:rsidP="00872C03">
      <w:pPr>
        <w:pStyle w:val="paragraph"/>
        <w:rPr>
          <w:sz w:val="24"/>
        </w:rPr>
      </w:pPr>
      <w:r w:rsidRPr="00883399">
        <w:rPr>
          <w:sz w:val="24"/>
        </w:rPr>
        <w:tab/>
        <w:t>(c)</w:t>
      </w:r>
      <w:r w:rsidRPr="00883399">
        <w:rPr>
          <w:sz w:val="24"/>
        </w:rPr>
        <w:tab/>
        <w:t>if estimating emissions of nitrous oxide released—one of the following methods must be used:</w:t>
      </w:r>
    </w:p>
    <w:p w14:paraId="7787306F" w14:textId="77777777" w:rsidR="00872C03" w:rsidRPr="00883399" w:rsidRDefault="00872C03" w:rsidP="00872C03">
      <w:pPr>
        <w:pStyle w:val="paragraphsub"/>
        <w:rPr>
          <w:sz w:val="24"/>
        </w:rPr>
      </w:pPr>
      <w:r w:rsidRPr="00883399">
        <w:rPr>
          <w:sz w:val="24"/>
        </w:rPr>
        <w:tab/>
        <w:t>(i)</w:t>
      </w:r>
      <w:r w:rsidRPr="00883399">
        <w:rPr>
          <w:sz w:val="24"/>
        </w:rPr>
        <w:tab/>
        <w:t>method 1 under section 3.67;</w:t>
      </w:r>
    </w:p>
    <w:p w14:paraId="185A153A" w14:textId="77777777" w:rsidR="00872C03" w:rsidRPr="00883399" w:rsidRDefault="00872C03" w:rsidP="00872C03">
      <w:pPr>
        <w:pStyle w:val="paragraphsub"/>
        <w:rPr>
          <w:sz w:val="24"/>
        </w:rPr>
      </w:pPr>
      <w:r w:rsidRPr="00883399">
        <w:rPr>
          <w:sz w:val="24"/>
        </w:rPr>
        <w:tab/>
        <w:t>(ii)</w:t>
      </w:r>
      <w:r w:rsidRPr="00883399">
        <w:rPr>
          <w:sz w:val="24"/>
        </w:rPr>
        <w:tab/>
        <w:t>method 2A under section 3.68A.</w:t>
      </w:r>
    </w:p>
    <w:p w14:paraId="52ED1222" w14:textId="77777777" w:rsidR="00872C03" w:rsidRPr="00883399" w:rsidRDefault="00872C03" w:rsidP="00872C03">
      <w:pPr>
        <w:pStyle w:val="notetext"/>
        <w:rPr>
          <w:sz w:val="20"/>
        </w:rPr>
      </w:pPr>
      <w:r w:rsidRPr="00883399">
        <w:rPr>
          <w:sz w:val="20"/>
        </w:rPr>
        <w:t>Note:</w:t>
      </w:r>
      <w:r w:rsidRPr="00883399">
        <w:rPr>
          <w:sz w:val="20"/>
        </w:rPr>
        <w:tab/>
        <w:t>The flaring of gas from crude oil refining releases emissions of carbon dioxide, methane and nitrous oxide. The reference to gas type (</w:t>
      </w:r>
      <w:r w:rsidRPr="00883399">
        <w:rPr>
          <w:b/>
          <w:i/>
          <w:sz w:val="20"/>
        </w:rPr>
        <w:t>j</w:t>
      </w:r>
      <w:r w:rsidRPr="00883399">
        <w:rPr>
          <w:sz w:val="20"/>
        </w:rPr>
        <w:t>) in method 1 under section 3.67 is a reference to these gases. The same formula is used to estimate emissions of each of these gases. There is no method 4 for emissions of carbon dioxide and no method 2, 3 or 4 for emissions of nitrous oxide or methane.</w:t>
      </w:r>
    </w:p>
    <w:p w14:paraId="6BDD87CD" w14:textId="77777777" w:rsidR="00872C03" w:rsidRPr="00883399" w:rsidRDefault="00872C03" w:rsidP="00872C03">
      <w:pPr>
        <w:pStyle w:val="subsection"/>
        <w:rPr>
          <w:sz w:val="24"/>
        </w:rPr>
      </w:pPr>
      <w:r w:rsidRPr="00883399">
        <w:rPr>
          <w:sz w:val="24"/>
        </w:rPr>
        <w:tab/>
        <w:t>(5)</w:t>
      </w:r>
      <w:r w:rsidRPr="00883399">
        <w:rPr>
          <w:sz w:val="24"/>
        </w:rPr>
        <w:tab/>
        <w:t>However, for incidental emissions another method may be used that is consistent with the principles in section 1.13.</w:t>
      </w:r>
    </w:p>
    <w:p w14:paraId="2CAFC16E" w14:textId="77777777" w:rsidR="00872C03" w:rsidRPr="00883399" w:rsidRDefault="00872C03" w:rsidP="00872C03">
      <w:pPr>
        <w:pStyle w:val="subsection"/>
        <w:rPr>
          <w:sz w:val="24"/>
        </w:rPr>
      </w:pPr>
    </w:p>
    <w:p w14:paraId="6D9C5979" w14:textId="77777777" w:rsidR="00872C03" w:rsidRPr="00883399" w:rsidRDefault="00872C03" w:rsidP="00872C03">
      <w:pPr>
        <w:pStyle w:val="R2"/>
        <w:ind w:left="965" w:hanging="58"/>
        <w:rPr>
          <w:b/>
        </w:rPr>
      </w:pPr>
      <w:r w:rsidRPr="00883399">
        <w:rPr>
          <w:b/>
        </w:rPr>
        <w:t>Summary of available methods, for estimating emissions from crude oil refining, by emissions of gas type (j)</w:t>
      </w:r>
    </w:p>
    <w:tbl>
      <w:tblPr>
        <w:tblpPr w:leftFromText="180" w:rightFromText="180" w:vertAnchor="text" w:tblpX="106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1800"/>
        <w:gridCol w:w="1680"/>
        <w:gridCol w:w="1574"/>
      </w:tblGrid>
      <w:tr w:rsidR="00872C03" w:rsidRPr="00883399" w14:paraId="38D83228" w14:textId="77777777" w:rsidTr="0031057E">
        <w:tc>
          <w:tcPr>
            <w:tcW w:w="2400" w:type="dxa"/>
            <w:shd w:val="clear" w:color="auto" w:fill="E6E6E6"/>
          </w:tcPr>
          <w:p w14:paraId="22215FDC" w14:textId="77777777" w:rsidR="00872C03" w:rsidRPr="00883399" w:rsidRDefault="00872C03" w:rsidP="0031057E">
            <w:pPr>
              <w:pStyle w:val="Text"/>
            </w:pPr>
          </w:p>
        </w:tc>
        <w:tc>
          <w:tcPr>
            <w:tcW w:w="1800" w:type="dxa"/>
            <w:shd w:val="clear" w:color="auto" w:fill="E6E6E6"/>
          </w:tcPr>
          <w:p w14:paraId="756739C9" w14:textId="77777777" w:rsidR="00872C03" w:rsidRPr="00883399" w:rsidRDefault="00872C03" w:rsidP="0031057E">
            <w:pPr>
              <w:pStyle w:val="Text"/>
            </w:pPr>
            <w:r w:rsidRPr="00883399">
              <w:t>CO</w:t>
            </w:r>
            <w:r w:rsidRPr="00883399">
              <w:rPr>
                <w:vertAlign w:val="subscript"/>
              </w:rPr>
              <w:t>2</w:t>
            </w:r>
          </w:p>
        </w:tc>
        <w:tc>
          <w:tcPr>
            <w:tcW w:w="1680" w:type="dxa"/>
            <w:shd w:val="clear" w:color="auto" w:fill="E6E6E6"/>
          </w:tcPr>
          <w:p w14:paraId="1420BD12" w14:textId="77777777" w:rsidR="00872C03" w:rsidRPr="00883399" w:rsidRDefault="00872C03" w:rsidP="0031057E">
            <w:pPr>
              <w:pStyle w:val="Text"/>
            </w:pPr>
            <w:r w:rsidRPr="00883399">
              <w:t>CH</w:t>
            </w:r>
            <w:r w:rsidRPr="00883399">
              <w:rPr>
                <w:vertAlign w:val="subscript"/>
              </w:rPr>
              <w:t>4</w:t>
            </w:r>
          </w:p>
        </w:tc>
        <w:tc>
          <w:tcPr>
            <w:tcW w:w="1574" w:type="dxa"/>
            <w:shd w:val="clear" w:color="auto" w:fill="E6E6E6"/>
          </w:tcPr>
          <w:p w14:paraId="4702287E" w14:textId="77777777" w:rsidR="00872C03" w:rsidRPr="00883399" w:rsidRDefault="00872C03" w:rsidP="0031057E">
            <w:pPr>
              <w:pStyle w:val="Text"/>
            </w:pPr>
            <w:r w:rsidRPr="00883399">
              <w:t>N</w:t>
            </w:r>
            <w:r w:rsidRPr="00883399">
              <w:rPr>
                <w:vertAlign w:val="subscript"/>
              </w:rPr>
              <w:t>2</w:t>
            </w:r>
            <w:r w:rsidRPr="00883399">
              <w:t>O</w:t>
            </w:r>
          </w:p>
        </w:tc>
      </w:tr>
      <w:tr w:rsidR="00872C03" w:rsidRPr="00883399" w14:paraId="46992B9E" w14:textId="77777777" w:rsidTr="0031057E">
        <w:tc>
          <w:tcPr>
            <w:tcW w:w="7454" w:type="dxa"/>
            <w:gridSpan w:val="4"/>
          </w:tcPr>
          <w:p w14:paraId="5908EDD7" w14:textId="77777777" w:rsidR="00872C03" w:rsidRPr="00883399" w:rsidRDefault="00872C03" w:rsidP="0031057E">
            <w:pPr>
              <w:pStyle w:val="Text"/>
              <w:spacing w:before="120"/>
              <w:rPr>
                <w:i/>
              </w:rPr>
            </w:pPr>
            <w:r w:rsidRPr="00883399">
              <w:rPr>
                <w:i/>
              </w:rPr>
              <w:t>Crude oil refining and storage tanks</w:t>
            </w:r>
          </w:p>
        </w:tc>
      </w:tr>
      <w:tr w:rsidR="00872C03" w:rsidRPr="00883399" w14:paraId="3F567CDB" w14:textId="77777777" w:rsidTr="0031057E">
        <w:tc>
          <w:tcPr>
            <w:tcW w:w="2400" w:type="dxa"/>
          </w:tcPr>
          <w:p w14:paraId="7D2B366B" w14:textId="77777777" w:rsidR="00872C03" w:rsidRPr="00883399" w:rsidRDefault="00872C03" w:rsidP="0031057E">
            <w:pPr>
              <w:pStyle w:val="Text"/>
              <w:spacing w:before="120"/>
            </w:pPr>
            <w:r w:rsidRPr="00883399">
              <w:t>Method 1</w:t>
            </w:r>
          </w:p>
        </w:tc>
        <w:tc>
          <w:tcPr>
            <w:tcW w:w="1800" w:type="dxa"/>
          </w:tcPr>
          <w:p w14:paraId="7DD3A7E5" w14:textId="77777777" w:rsidR="00872C03" w:rsidRPr="00883399" w:rsidRDefault="00872C03" w:rsidP="0031057E">
            <w:pPr>
              <w:pStyle w:val="Text"/>
              <w:spacing w:before="120"/>
            </w:pPr>
            <w:r w:rsidRPr="00883399">
              <w:t>NO</w:t>
            </w:r>
          </w:p>
        </w:tc>
        <w:tc>
          <w:tcPr>
            <w:tcW w:w="1680" w:type="dxa"/>
          </w:tcPr>
          <w:p w14:paraId="3BDCF44D" w14:textId="77777777" w:rsidR="00872C03" w:rsidRPr="00883399" w:rsidRDefault="00872C03" w:rsidP="0031057E">
            <w:pPr>
              <w:pStyle w:val="Text"/>
              <w:spacing w:before="120"/>
            </w:pPr>
            <w:r w:rsidRPr="00883399">
              <w:t>Section 3.63</w:t>
            </w:r>
          </w:p>
        </w:tc>
        <w:tc>
          <w:tcPr>
            <w:tcW w:w="1574" w:type="dxa"/>
          </w:tcPr>
          <w:p w14:paraId="26950E68" w14:textId="77777777" w:rsidR="00872C03" w:rsidRPr="00883399" w:rsidRDefault="00872C03" w:rsidP="0031057E">
            <w:pPr>
              <w:pStyle w:val="Text"/>
              <w:spacing w:before="120"/>
            </w:pPr>
            <w:r w:rsidRPr="00883399">
              <w:t>NO</w:t>
            </w:r>
          </w:p>
        </w:tc>
      </w:tr>
      <w:tr w:rsidR="00872C03" w:rsidRPr="00883399" w14:paraId="24EBD927" w14:textId="77777777" w:rsidTr="0031057E">
        <w:tc>
          <w:tcPr>
            <w:tcW w:w="2400" w:type="dxa"/>
          </w:tcPr>
          <w:p w14:paraId="7400A590" w14:textId="77777777" w:rsidR="00872C03" w:rsidRPr="00883399" w:rsidRDefault="00872C03" w:rsidP="0031057E">
            <w:pPr>
              <w:pStyle w:val="Text"/>
              <w:spacing w:before="120"/>
            </w:pPr>
            <w:r w:rsidRPr="00883399">
              <w:t>Method 2</w:t>
            </w:r>
          </w:p>
        </w:tc>
        <w:tc>
          <w:tcPr>
            <w:tcW w:w="1800" w:type="dxa"/>
          </w:tcPr>
          <w:p w14:paraId="57DC7481" w14:textId="77777777" w:rsidR="00872C03" w:rsidRPr="00883399" w:rsidRDefault="00872C03" w:rsidP="0031057E">
            <w:pPr>
              <w:pStyle w:val="Text"/>
              <w:spacing w:before="120"/>
            </w:pPr>
            <w:r w:rsidRPr="00883399">
              <w:t>NO</w:t>
            </w:r>
          </w:p>
        </w:tc>
        <w:tc>
          <w:tcPr>
            <w:tcW w:w="1680" w:type="dxa"/>
          </w:tcPr>
          <w:p w14:paraId="3F6E67FB" w14:textId="77777777" w:rsidR="00872C03" w:rsidRPr="00883399" w:rsidRDefault="00872C03" w:rsidP="0031057E">
            <w:pPr>
              <w:pStyle w:val="Text"/>
              <w:spacing w:before="120"/>
            </w:pPr>
            <w:r w:rsidRPr="00883399">
              <w:t>Section 3.64</w:t>
            </w:r>
          </w:p>
        </w:tc>
        <w:tc>
          <w:tcPr>
            <w:tcW w:w="1574" w:type="dxa"/>
          </w:tcPr>
          <w:p w14:paraId="0997F056" w14:textId="77777777" w:rsidR="00872C03" w:rsidRPr="00883399" w:rsidRDefault="00872C03" w:rsidP="0031057E">
            <w:pPr>
              <w:pStyle w:val="Text"/>
              <w:spacing w:before="120"/>
            </w:pPr>
            <w:r w:rsidRPr="00883399">
              <w:t>NO</w:t>
            </w:r>
          </w:p>
        </w:tc>
      </w:tr>
      <w:tr w:rsidR="00872C03" w:rsidRPr="00883399" w14:paraId="0CE65856" w14:textId="77777777" w:rsidTr="0031057E">
        <w:tc>
          <w:tcPr>
            <w:tcW w:w="2400" w:type="dxa"/>
          </w:tcPr>
          <w:p w14:paraId="06F672B5" w14:textId="77777777" w:rsidR="00872C03" w:rsidRPr="00883399" w:rsidRDefault="00872C03" w:rsidP="0031057E">
            <w:pPr>
              <w:pStyle w:val="Text"/>
              <w:spacing w:before="120"/>
            </w:pPr>
            <w:r w:rsidRPr="00883399">
              <w:t>Methods 3, 4</w:t>
            </w:r>
          </w:p>
        </w:tc>
        <w:tc>
          <w:tcPr>
            <w:tcW w:w="1800" w:type="dxa"/>
          </w:tcPr>
          <w:p w14:paraId="379B2C72" w14:textId="77777777" w:rsidR="00872C03" w:rsidRPr="00883399" w:rsidRDefault="00872C03" w:rsidP="0031057E">
            <w:pPr>
              <w:pStyle w:val="Text"/>
              <w:spacing w:before="120"/>
            </w:pPr>
            <w:r w:rsidRPr="00883399">
              <w:t>NO</w:t>
            </w:r>
          </w:p>
        </w:tc>
        <w:tc>
          <w:tcPr>
            <w:tcW w:w="1680" w:type="dxa"/>
          </w:tcPr>
          <w:p w14:paraId="5704EF13" w14:textId="77777777" w:rsidR="00872C03" w:rsidRPr="00883399" w:rsidRDefault="00872C03" w:rsidP="0031057E">
            <w:pPr>
              <w:pStyle w:val="Text"/>
              <w:spacing w:before="120"/>
            </w:pPr>
            <w:r w:rsidRPr="00883399">
              <w:t>NA</w:t>
            </w:r>
          </w:p>
        </w:tc>
        <w:tc>
          <w:tcPr>
            <w:tcW w:w="1574" w:type="dxa"/>
          </w:tcPr>
          <w:p w14:paraId="735487B0" w14:textId="77777777" w:rsidR="00872C03" w:rsidRPr="00883399" w:rsidRDefault="00872C03" w:rsidP="0031057E">
            <w:pPr>
              <w:pStyle w:val="Text"/>
              <w:spacing w:before="120"/>
            </w:pPr>
            <w:r w:rsidRPr="00883399">
              <w:t>NO</w:t>
            </w:r>
          </w:p>
        </w:tc>
      </w:tr>
      <w:tr w:rsidR="00872C03" w:rsidRPr="00883399" w14:paraId="18AA6D96" w14:textId="77777777" w:rsidTr="0031057E">
        <w:tc>
          <w:tcPr>
            <w:tcW w:w="7454" w:type="dxa"/>
            <w:gridSpan w:val="4"/>
          </w:tcPr>
          <w:p w14:paraId="7BD79635" w14:textId="77777777" w:rsidR="00872C03" w:rsidRPr="00883399" w:rsidRDefault="00872C03" w:rsidP="0031057E">
            <w:pPr>
              <w:pStyle w:val="Text"/>
              <w:spacing w:before="120"/>
              <w:rPr>
                <w:i/>
              </w:rPr>
            </w:pPr>
            <w:r w:rsidRPr="00883399">
              <w:rPr>
                <w:i/>
              </w:rPr>
              <w:t>Process vents, system upsets and accidents</w:t>
            </w:r>
          </w:p>
        </w:tc>
      </w:tr>
      <w:tr w:rsidR="00872C03" w:rsidRPr="00883399" w14:paraId="4ECA3666" w14:textId="77777777" w:rsidTr="0031057E">
        <w:tc>
          <w:tcPr>
            <w:tcW w:w="2400" w:type="dxa"/>
          </w:tcPr>
          <w:p w14:paraId="5D3AD08F" w14:textId="77777777" w:rsidR="00872C03" w:rsidRPr="00883399" w:rsidRDefault="00872C03" w:rsidP="0031057E">
            <w:pPr>
              <w:pStyle w:val="Text"/>
              <w:spacing w:before="120"/>
            </w:pPr>
            <w:r w:rsidRPr="00883399">
              <w:t>Method 1</w:t>
            </w:r>
          </w:p>
        </w:tc>
        <w:tc>
          <w:tcPr>
            <w:tcW w:w="1800" w:type="dxa"/>
          </w:tcPr>
          <w:p w14:paraId="345FD937" w14:textId="77777777" w:rsidR="00872C03" w:rsidRPr="00883399" w:rsidRDefault="00872C03" w:rsidP="0031057E">
            <w:pPr>
              <w:pStyle w:val="Text"/>
              <w:spacing w:before="120"/>
            </w:pPr>
            <w:r w:rsidRPr="00883399">
              <w:t>Section 3.65</w:t>
            </w:r>
          </w:p>
        </w:tc>
        <w:tc>
          <w:tcPr>
            <w:tcW w:w="1680" w:type="dxa"/>
          </w:tcPr>
          <w:p w14:paraId="5C1CCF99" w14:textId="77777777" w:rsidR="00872C03" w:rsidRPr="00883399" w:rsidRDefault="00872C03" w:rsidP="0031057E">
            <w:pPr>
              <w:pStyle w:val="Text"/>
              <w:spacing w:before="120"/>
            </w:pPr>
            <w:r w:rsidRPr="00883399">
              <w:t>Section 3.65</w:t>
            </w:r>
          </w:p>
        </w:tc>
        <w:tc>
          <w:tcPr>
            <w:tcW w:w="1574" w:type="dxa"/>
          </w:tcPr>
          <w:p w14:paraId="5854F866" w14:textId="77777777" w:rsidR="00872C03" w:rsidRPr="00883399" w:rsidRDefault="00872C03" w:rsidP="0031057E">
            <w:pPr>
              <w:pStyle w:val="Text"/>
              <w:spacing w:before="120"/>
            </w:pPr>
            <w:r w:rsidRPr="00883399">
              <w:t>Section 3.65</w:t>
            </w:r>
          </w:p>
        </w:tc>
      </w:tr>
      <w:tr w:rsidR="00872C03" w:rsidRPr="00883399" w14:paraId="0682F8A0" w14:textId="77777777" w:rsidTr="0031057E">
        <w:tc>
          <w:tcPr>
            <w:tcW w:w="2400" w:type="dxa"/>
          </w:tcPr>
          <w:p w14:paraId="3E95BCA0" w14:textId="77777777" w:rsidR="00872C03" w:rsidRPr="00883399" w:rsidRDefault="00872C03" w:rsidP="0031057E">
            <w:pPr>
              <w:pStyle w:val="Text"/>
              <w:spacing w:before="120"/>
            </w:pPr>
            <w:r w:rsidRPr="00883399">
              <w:t>Methods 2, 3</w:t>
            </w:r>
          </w:p>
        </w:tc>
        <w:tc>
          <w:tcPr>
            <w:tcW w:w="1800" w:type="dxa"/>
          </w:tcPr>
          <w:p w14:paraId="11720A3D" w14:textId="77777777" w:rsidR="00872C03" w:rsidRPr="00883399" w:rsidRDefault="00872C03" w:rsidP="0031057E">
            <w:pPr>
              <w:pStyle w:val="Text"/>
              <w:spacing w:before="120"/>
            </w:pPr>
            <w:r w:rsidRPr="00883399">
              <w:t>NA</w:t>
            </w:r>
          </w:p>
        </w:tc>
        <w:tc>
          <w:tcPr>
            <w:tcW w:w="1680" w:type="dxa"/>
          </w:tcPr>
          <w:p w14:paraId="5EFF7DE8" w14:textId="77777777" w:rsidR="00872C03" w:rsidRPr="00883399" w:rsidRDefault="00872C03" w:rsidP="0031057E">
            <w:pPr>
              <w:pStyle w:val="Text"/>
              <w:spacing w:before="120"/>
            </w:pPr>
            <w:r w:rsidRPr="00883399">
              <w:t>NA</w:t>
            </w:r>
          </w:p>
        </w:tc>
        <w:tc>
          <w:tcPr>
            <w:tcW w:w="1574" w:type="dxa"/>
          </w:tcPr>
          <w:p w14:paraId="0A8E0C85" w14:textId="77777777" w:rsidR="00872C03" w:rsidRPr="00883399" w:rsidRDefault="00872C03" w:rsidP="0031057E">
            <w:pPr>
              <w:pStyle w:val="Text"/>
              <w:spacing w:before="120"/>
            </w:pPr>
            <w:r w:rsidRPr="00883399">
              <w:t>NA</w:t>
            </w:r>
          </w:p>
        </w:tc>
      </w:tr>
      <w:tr w:rsidR="00872C03" w:rsidRPr="00883399" w14:paraId="1E6BF565" w14:textId="77777777" w:rsidTr="0031057E">
        <w:tc>
          <w:tcPr>
            <w:tcW w:w="2400" w:type="dxa"/>
          </w:tcPr>
          <w:p w14:paraId="6988CF57" w14:textId="77777777" w:rsidR="00872C03" w:rsidRPr="00883399" w:rsidRDefault="00872C03" w:rsidP="0031057E">
            <w:pPr>
              <w:pStyle w:val="Text"/>
              <w:spacing w:before="120"/>
            </w:pPr>
            <w:r w:rsidRPr="00883399">
              <w:lastRenderedPageBreak/>
              <w:t>Method 4</w:t>
            </w:r>
          </w:p>
        </w:tc>
        <w:tc>
          <w:tcPr>
            <w:tcW w:w="1800" w:type="dxa"/>
          </w:tcPr>
          <w:p w14:paraId="408725CE" w14:textId="77777777" w:rsidR="00872C03" w:rsidRPr="00883399" w:rsidRDefault="00872C03" w:rsidP="0031057E">
            <w:pPr>
              <w:pStyle w:val="Text"/>
              <w:spacing w:before="120"/>
            </w:pPr>
            <w:r w:rsidRPr="00883399">
              <w:t>Section 3.66</w:t>
            </w:r>
          </w:p>
        </w:tc>
        <w:tc>
          <w:tcPr>
            <w:tcW w:w="1680" w:type="dxa"/>
          </w:tcPr>
          <w:p w14:paraId="1BC22A94" w14:textId="77777777" w:rsidR="00872C03" w:rsidRPr="00883399" w:rsidRDefault="00872C03" w:rsidP="0031057E">
            <w:pPr>
              <w:pStyle w:val="Text"/>
              <w:spacing w:before="120"/>
            </w:pPr>
            <w:r w:rsidRPr="00883399">
              <w:t>Section 3.66</w:t>
            </w:r>
          </w:p>
        </w:tc>
        <w:tc>
          <w:tcPr>
            <w:tcW w:w="1574" w:type="dxa"/>
          </w:tcPr>
          <w:p w14:paraId="02E821F9" w14:textId="77777777" w:rsidR="00872C03" w:rsidRPr="00883399" w:rsidRDefault="00872C03" w:rsidP="0031057E">
            <w:pPr>
              <w:pStyle w:val="Text"/>
              <w:spacing w:before="120"/>
            </w:pPr>
            <w:r w:rsidRPr="00883399">
              <w:t>Section 3.66</w:t>
            </w:r>
          </w:p>
        </w:tc>
      </w:tr>
      <w:tr w:rsidR="00872C03" w:rsidRPr="00883399" w14:paraId="7C471F5D" w14:textId="77777777" w:rsidTr="0031057E">
        <w:tc>
          <w:tcPr>
            <w:tcW w:w="7454" w:type="dxa"/>
            <w:gridSpan w:val="4"/>
          </w:tcPr>
          <w:p w14:paraId="2EB1F66A" w14:textId="77777777" w:rsidR="00872C03" w:rsidRPr="00883399" w:rsidRDefault="00872C03" w:rsidP="0031057E">
            <w:pPr>
              <w:pStyle w:val="Text"/>
              <w:spacing w:before="120"/>
              <w:rPr>
                <w:i/>
              </w:rPr>
            </w:pPr>
            <w:r w:rsidRPr="00883399">
              <w:rPr>
                <w:i/>
              </w:rPr>
              <w:t>Flaring</w:t>
            </w:r>
          </w:p>
        </w:tc>
      </w:tr>
      <w:tr w:rsidR="00872C03" w:rsidRPr="00883399" w14:paraId="1A168856" w14:textId="77777777" w:rsidTr="0031057E">
        <w:tc>
          <w:tcPr>
            <w:tcW w:w="2400" w:type="dxa"/>
          </w:tcPr>
          <w:p w14:paraId="4F8B3157" w14:textId="77777777" w:rsidR="00872C03" w:rsidRPr="00883399" w:rsidRDefault="00872C03" w:rsidP="0031057E">
            <w:pPr>
              <w:pStyle w:val="Text"/>
              <w:spacing w:before="120"/>
            </w:pPr>
            <w:r w:rsidRPr="00883399">
              <w:t>Method 1</w:t>
            </w:r>
          </w:p>
        </w:tc>
        <w:tc>
          <w:tcPr>
            <w:tcW w:w="1800" w:type="dxa"/>
          </w:tcPr>
          <w:p w14:paraId="29F0A881" w14:textId="77777777" w:rsidR="00872C03" w:rsidRPr="00883399" w:rsidRDefault="00872C03" w:rsidP="0031057E">
            <w:pPr>
              <w:pStyle w:val="Text"/>
              <w:spacing w:before="120"/>
            </w:pPr>
            <w:r w:rsidRPr="00883399">
              <w:t>Section 3.67</w:t>
            </w:r>
          </w:p>
        </w:tc>
        <w:tc>
          <w:tcPr>
            <w:tcW w:w="1680" w:type="dxa"/>
          </w:tcPr>
          <w:p w14:paraId="107D24CC" w14:textId="77777777" w:rsidR="00872C03" w:rsidRPr="00883399" w:rsidRDefault="00872C03" w:rsidP="0031057E">
            <w:pPr>
              <w:pStyle w:val="Text"/>
              <w:spacing w:before="120"/>
            </w:pPr>
            <w:r w:rsidRPr="00883399">
              <w:t>Section 3.67</w:t>
            </w:r>
          </w:p>
        </w:tc>
        <w:tc>
          <w:tcPr>
            <w:tcW w:w="1574" w:type="dxa"/>
          </w:tcPr>
          <w:p w14:paraId="2BF967F9" w14:textId="77777777" w:rsidR="00872C03" w:rsidRPr="00883399" w:rsidRDefault="00872C03" w:rsidP="0031057E">
            <w:pPr>
              <w:pStyle w:val="Text"/>
              <w:spacing w:before="120"/>
            </w:pPr>
            <w:r w:rsidRPr="00883399">
              <w:t>Section 3.67</w:t>
            </w:r>
          </w:p>
        </w:tc>
      </w:tr>
      <w:tr w:rsidR="00872C03" w:rsidRPr="00883399" w14:paraId="7274C58C" w14:textId="77777777" w:rsidTr="0031057E">
        <w:tc>
          <w:tcPr>
            <w:tcW w:w="2400" w:type="dxa"/>
          </w:tcPr>
          <w:p w14:paraId="6D790CA7" w14:textId="77777777" w:rsidR="00872C03" w:rsidRPr="00883399" w:rsidRDefault="00872C03" w:rsidP="0031057E">
            <w:pPr>
              <w:pStyle w:val="Text"/>
              <w:spacing w:before="120"/>
            </w:pPr>
            <w:r w:rsidRPr="00883399">
              <w:t>Method 2</w:t>
            </w:r>
          </w:p>
        </w:tc>
        <w:tc>
          <w:tcPr>
            <w:tcW w:w="1800" w:type="dxa"/>
          </w:tcPr>
          <w:p w14:paraId="57E75276" w14:textId="77777777" w:rsidR="00872C03" w:rsidRPr="00883399" w:rsidRDefault="00872C03" w:rsidP="0031057E">
            <w:pPr>
              <w:pStyle w:val="Text"/>
              <w:spacing w:before="120"/>
            </w:pPr>
            <w:r w:rsidRPr="00883399">
              <w:t>Section 3.68</w:t>
            </w:r>
          </w:p>
        </w:tc>
        <w:tc>
          <w:tcPr>
            <w:tcW w:w="1680" w:type="dxa"/>
          </w:tcPr>
          <w:p w14:paraId="60535301" w14:textId="77777777" w:rsidR="00872C03" w:rsidRPr="00883399" w:rsidRDefault="00872C03" w:rsidP="0031057E">
            <w:pPr>
              <w:pStyle w:val="Text"/>
              <w:spacing w:before="120"/>
            </w:pPr>
            <w:r w:rsidRPr="00883399">
              <w:t>NA</w:t>
            </w:r>
          </w:p>
        </w:tc>
        <w:tc>
          <w:tcPr>
            <w:tcW w:w="1574" w:type="dxa"/>
          </w:tcPr>
          <w:p w14:paraId="77A43AE8" w14:textId="77777777" w:rsidR="00872C03" w:rsidRPr="00883399" w:rsidRDefault="00872C03" w:rsidP="0031057E">
            <w:pPr>
              <w:pStyle w:val="Text"/>
              <w:spacing w:before="120"/>
            </w:pPr>
            <w:r w:rsidRPr="00883399">
              <w:t>NA</w:t>
            </w:r>
          </w:p>
        </w:tc>
      </w:tr>
      <w:tr w:rsidR="00872C03" w:rsidRPr="00883399" w14:paraId="04F7AC99" w14:textId="77777777" w:rsidTr="0031057E">
        <w:tc>
          <w:tcPr>
            <w:tcW w:w="2400" w:type="dxa"/>
          </w:tcPr>
          <w:p w14:paraId="04CB8206" w14:textId="77777777" w:rsidR="00872C03" w:rsidRPr="00883399" w:rsidRDefault="00872C03" w:rsidP="0031057E">
            <w:pPr>
              <w:pStyle w:val="Text"/>
              <w:spacing w:before="120"/>
            </w:pPr>
            <w:r w:rsidRPr="00883399">
              <w:t>Method 3</w:t>
            </w:r>
          </w:p>
        </w:tc>
        <w:tc>
          <w:tcPr>
            <w:tcW w:w="1800" w:type="dxa"/>
          </w:tcPr>
          <w:p w14:paraId="0E47E4E4" w14:textId="77777777" w:rsidR="00872C03" w:rsidRPr="00883399" w:rsidRDefault="00872C03" w:rsidP="0031057E">
            <w:pPr>
              <w:pStyle w:val="Text"/>
              <w:spacing w:before="120"/>
            </w:pPr>
            <w:r w:rsidRPr="00883399">
              <w:t>Section 3.69</w:t>
            </w:r>
          </w:p>
        </w:tc>
        <w:tc>
          <w:tcPr>
            <w:tcW w:w="1680" w:type="dxa"/>
          </w:tcPr>
          <w:p w14:paraId="7724C7F5" w14:textId="77777777" w:rsidR="00872C03" w:rsidRPr="00883399" w:rsidRDefault="00872C03" w:rsidP="0031057E">
            <w:pPr>
              <w:pStyle w:val="Text"/>
              <w:spacing w:before="120"/>
            </w:pPr>
            <w:r w:rsidRPr="00883399">
              <w:t>NA</w:t>
            </w:r>
          </w:p>
        </w:tc>
        <w:tc>
          <w:tcPr>
            <w:tcW w:w="1574" w:type="dxa"/>
          </w:tcPr>
          <w:p w14:paraId="5917E6A2" w14:textId="77777777" w:rsidR="00872C03" w:rsidRPr="00883399" w:rsidRDefault="00872C03" w:rsidP="0031057E">
            <w:pPr>
              <w:pStyle w:val="Text"/>
              <w:spacing w:before="120"/>
            </w:pPr>
            <w:r w:rsidRPr="00883399">
              <w:t>NA</w:t>
            </w:r>
          </w:p>
        </w:tc>
      </w:tr>
      <w:tr w:rsidR="00872C03" w:rsidRPr="00883399" w14:paraId="1D11597D" w14:textId="77777777" w:rsidTr="0031057E">
        <w:tc>
          <w:tcPr>
            <w:tcW w:w="2400" w:type="dxa"/>
          </w:tcPr>
          <w:p w14:paraId="2CA51198" w14:textId="77777777" w:rsidR="00872C03" w:rsidRPr="00883399" w:rsidRDefault="00872C03" w:rsidP="0031057E">
            <w:pPr>
              <w:pStyle w:val="Text"/>
              <w:spacing w:before="120"/>
            </w:pPr>
            <w:r w:rsidRPr="00883399">
              <w:t>Method 4</w:t>
            </w:r>
          </w:p>
        </w:tc>
        <w:tc>
          <w:tcPr>
            <w:tcW w:w="1800" w:type="dxa"/>
          </w:tcPr>
          <w:p w14:paraId="53A0CDE8" w14:textId="77777777" w:rsidR="00872C03" w:rsidRPr="00883399" w:rsidRDefault="00872C03" w:rsidP="0031057E">
            <w:pPr>
              <w:pStyle w:val="Text"/>
              <w:spacing w:before="120"/>
            </w:pPr>
            <w:r w:rsidRPr="00883399">
              <w:t>NA</w:t>
            </w:r>
          </w:p>
        </w:tc>
        <w:tc>
          <w:tcPr>
            <w:tcW w:w="1680" w:type="dxa"/>
          </w:tcPr>
          <w:p w14:paraId="5B082761" w14:textId="77777777" w:rsidR="00872C03" w:rsidRPr="00883399" w:rsidRDefault="00872C03" w:rsidP="0031057E">
            <w:pPr>
              <w:pStyle w:val="Text"/>
              <w:spacing w:before="120"/>
            </w:pPr>
            <w:r w:rsidRPr="00883399">
              <w:t>NA</w:t>
            </w:r>
          </w:p>
        </w:tc>
        <w:tc>
          <w:tcPr>
            <w:tcW w:w="1574" w:type="dxa"/>
          </w:tcPr>
          <w:p w14:paraId="62DB95DE" w14:textId="77777777" w:rsidR="00872C03" w:rsidRPr="00883399" w:rsidRDefault="00872C03" w:rsidP="0031057E">
            <w:pPr>
              <w:pStyle w:val="Text"/>
              <w:spacing w:before="120"/>
            </w:pPr>
            <w:r w:rsidRPr="00883399">
              <w:t>NA</w:t>
            </w:r>
          </w:p>
        </w:tc>
      </w:tr>
    </w:tbl>
    <w:p w14:paraId="3DA2E335" w14:textId="77777777" w:rsidR="00872C03" w:rsidRPr="00883399" w:rsidRDefault="00872C03" w:rsidP="00872C03"/>
    <w:p w14:paraId="2CF33714" w14:textId="77777777" w:rsidR="00872C03" w:rsidRPr="00883399" w:rsidRDefault="00872C03" w:rsidP="00872C03"/>
    <w:p w14:paraId="0994D768" w14:textId="77777777" w:rsidR="00872C03" w:rsidRPr="00883399" w:rsidRDefault="00872C03" w:rsidP="00872C03">
      <w:pPr>
        <w:ind w:left="993"/>
        <w:outlineLvl w:val="0"/>
      </w:pPr>
      <w:r w:rsidRPr="00883399">
        <w:t xml:space="preserve">NA = Not available. NO = Not occurring </w:t>
      </w:r>
    </w:p>
    <w:p w14:paraId="2E185BCB" w14:textId="77777777" w:rsidR="00872C03" w:rsidRPr="00883399" w:rsidRDefault="00872C03" w:rsidP="00872C03">
      <w:pPr>
        <w:pStyle w:val="subsection"/>
        <w:rPr>
          <w:sz w:val="24"/>
        </w:rPr>
      </w:pPr>
    </w:p>
    <w:p w14:paraId="77863842" w14:textId="001C0E74" w:rsidR="00872C03" w:rsidRPr="00883399" w:rsidRDefault="00872C03" w:rsidP="00872C03">
      <w:pPr>
        <w:pStyle w:val="ActHead4"/>
        <w:rPr>
          <w:sz w:val="28"/>
        </w:rPr>
      </w:pPr>
      <w:bookmarkStart w:id="668" w:name="_Toc423516947"/>
      <w:bookmarkStart w:id="669" w:name="_Toc495652864"/>
      <w:r w:rsidRPr="00883399">
        <w:rPr>
          <w:rStyle w:val="CharSubdNo"/>
          <w:sz w:val="28"/>
        </w:rPr>
        <w:t>Subdivision 3.3.5.1</w:t>
      </w:r>
      <w:r w:rsidRPr="00883399">
        <w:rPr>
          <w:sz w:val="28"/>
        </w:rPr>
        <w:t>—</w:t>
      </w:r>
      <w:r w:rsidRPr="00883399">
        <w:rPr>
          <w:rStyle w:val="CharSubdText"/>
          <w:sz w:val="28"/>
        </w:rPr>
        <w:t>Fugitive emissions from crude oil refining and from storage tanks for crude oil</w:t>
      </w:r>
      <w:bookmarkEnd w:id="668"/>
      <w:bookmarkEnd w:id="669"/>
    </w:p>
    <w:p w14:paraId="7329410C" w14:textId="7716B689" w:rsidR="00872C03" w:rsidRPr="00883399" w:rsidRDefault="00872C03" w:rsidP="00872C03">
      <w:pPr>
        <w:pStyle w:val="ActHead5"/>
        <w:rPr>
          <w:sz w:val="28"/>
        </w:rPr>
      </w:pPr>
      <w:bookmarkStart w:id="670" w:name="_Toc423516948"/>
      <w:bookmarkStart w:id="671" w:name="_Toc495652865"/>
      <w:r w:rsidRPr="00883399">
        <w:rPr>
          <w:rStyle w:val="CharSectno"/>
          <w:sz w:val="28"/>
        </w:rPr>
        <w:t>3.63</w:t>
      </w:r>
      <w:r w:rsidRPr="00883399">
        <w:rPr>
          <w:sz w:val="28"/>
        </w:rPr>
        <w:t xml:space="preserve">  Method 1—crude oil refining and storage tanks for crude oil</w:t>
      </w:r>
      <w:bookmarkEnd w:id="670"/>
      <w:bookmarkEnd w:id="671"/>
    </w:p>
    <w:p w14:paraId="10B159FB" w14:textId="77777777" w:rsidR="00872C03" w:rsidRPr="00883399" w:rsidRDefault="00872C03" w:rsidP="00872C03">
      <w:pPr>
        <w:pStyle w:val="R1"/>
        <w:keepLines w:val="0"/>
        <w:tabs>
          <w:tab w:val="clear" w:pos="794"/>
          <w:tab w:val="right" w:pos="0"/>
        </w:tabs>
        <w:spacing w:before="240" w:line="312" w:lineRule="auto"/>
        <w:ind w:left="0" w:firstLine="0"/>
        <w:jc w:val="left"/>
      </w:pPr>
      <w:r w:rsidRPr="00883399">
        <w:rPr>
          <w:rFonts w:ascii="Arial" w:hAnsi="Arial" w:cs="Arial"/>
          <w:sz w:val="22"/>
          <w:szCs w:val="22"/>
        </w:rPr>
        <w:t xml:space="preserve">Method 1 for fugitive emissions from crude oil refining is derived from the </w:t>
      </w:r>
      <w:r w:rsidRPr="00883399">
        <w:rPr>
          <w:rFonts w:ascii="Arial" w:hAnsi="Arial" w:cs="Arial"/>
          <w:i/>
          <w:sz w:val="22"/>
          <w:szCs w:val="22"/>
        </w:rPr>
        <w:t>National Greenhouse Accounts</w:t>
      </w:r>
      <w:r w:rsidRPr="00883399">
        <w:t>.</w:t>
      </w:r>
    </w:p>
    <w:p w14:paraId="7ED5A5F5" w14:textId="77777777" w:rsidR="00872C03" w:rsidRPr="00883399" w:rsidRDefault="00872C03" w:rsidP="00872C03">
      <w:pPr>
        <w:pStyle w:val="subsection"/>
        <w:rPr>
          <w:sz w:val="24"/>
        </w:rPr>
      </w:pPr>
      <w:r w:rsidRPr="00883399">
        <w:rPr>
          <w:sz w:val="24"/>
        </w:rPr>
        <w:tab/>
        <w:t>Method 1 is:</w:t>
      </w:r>
    </w:p>
    <w:p w14:paraId="654C958C" w14:textId="554AD1E0"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41478408" wp14:editId="6FA10C48">
            <wp:extent cx="1276350" cy="219075"/>
            <wp:effectExtent l="0" t="0" r="0" b="9525"/>
            <wp:docPr id="1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76350" cy="219075"/>
                    </a:xfrm>
                    <a:prstGeom prst="rect">
                      <a:avLst/>
                    </a:prstGeom>
                    <a:noFill/>
                    <a:ln>
                      <a:noFill/>
                    </a:ln>
                  </pic:spPr>
                </pic:pic>
              </a:graphicData>
            </a:graphic>
          </wp:inline>
        </w:drawing>
      </w:r>
    </w:p>
    <w:p w14:paraId="46120B47" w14:textId="77777777" w:rsidR="00872C03" w:rsidRPr="00883399" w:rsidRDefault="00872C03" w:rsidP="00872C03">
      <w:pPr>
        <w:pStyle w:val="subsection2"/>
        <w:rPr>
          <w:sz w:val="24"/>
        </w:rPr>
      </w:pPr>
      <w:r w:rsidRPr="00883399">
        <w:rPr>
          <w:sz w:val="24"/>
        </w:rPr>
        <w:t>where:</w:t>
      </w:r>
    </w:p>
    <w:p w14:paraId="3D478074" w14:textId="77777777" w:rsidR="00872C03" w:rsidRPr="00883399" w:rsidRDefault="00872C03" w:rsidP="00872C03">
      <w:pPr>
        <w:pStyle w:val="Definition0"/>
        <w:rPr>
          <w:sz w:val="24"/>
        </w:rPr>
      </w:pPr>
      <w:r w:rsidRPr="00883399">
        <w:rPr>
          <w:b/>
          <w:i/>
          <w:sz w:val="24"/>
        </w:rPr>
        <w:t>E</w:t>
      </w:r>
      <w:r w:rsidRPr="00883399">
        <w:rPr>
          <w:b/>
          <w:i/>
          <w:sz w:val="24"/>
          <w:vertAlign w:val="subscript"/>
        </w:rPr>
        <w:t xml:space="preserve">ij </w:t>
      </w:r>
      <w:r w:rsidRPr="00883399">
        <w:rPr>
          <w:sz w:val="24"/>
        </w:rPr>
        <w:t>is the fugitive emissions of methane (</w:t>
      </w:r>
      <w:r w:rsidRPr="00883399">
        <w:rPr>
          <w:b/>
          <w:i/>
          <w:sz w:val="24"/>
        </w:rPr>
        <w:t>j</w:t>
      </w:r>
      <w:r w:rsidRPr="00883399">
        <w:rPr>
          <w:sz w:val="24"/>
        </w:rPr>
        <w:t>) from fuel type (</w:t>
      </w:r>
      <w:r w:rsidRPr="00883399">
        <w:rPr>
          <w:b/>
          <w:i/>
          <w:sz w:val="24"/>
        </w:rPr>
        <w:t>i</w:t>
      </w:r>
      <w:r w:rsidRPr="00883399">
        <w:rPr>
          <w:sz w:val="24"/>
        </w:rPr>
        <w:t>) being crude oil refined or stored in tanks during the year measured in CO</w:t>
      </w:r>
      <w:r w:rsidRPr="00883399">
        <w:rPr>
          <w:rStyle w:val="charSubscript"/>
          <w:iCs/>
          <w:sz w:val="22"/>
        </w:rPr>
        <w:t>2</w:t>
      </w:r>
      <w:r w:rsidRPr="00883399">
        <w:rPr>
          <w:sz w:val="24"/>
        </w:rPr>
        <w:noBreakHyphen/>
        <w:t>e tonnes.</w:t>
      </w:r>
    </w:p>
    <w:p w14:paraId="7B17BDED" w14:textId="77777777" w:rsidR="00872C03" w:rsidRPr="00883399" w:rsidRDefault="00872C03" w:rsidP="00872C03">
      <w:pPr>
        <w:pStyle w:val="Definition0"/>
        <w:rPr>
          <w:sz w:val="24"/>
        </w:rPr>
      </w:pPr>
      <w:r w:rsidRPr="00883399">
        <w:rPr>
          <w:b/>
          <w:i/>
          <w:sz w:val="24"/>
        </w:rPr>
        <w:t>∑</w:t>
      </w:r>
      <w:r w:rsidRPr="00883399">
        <w:rPr>
          <w:b/>
          <w:i/>
          <w:sz w:val="24"/>
          <w:vertAlign w:val="subscript"/>
        </w:rPr>
        <w:t>I</w:t>
      </w:r>
      <w:r w:rsidRPr="00883399">
        <w:rPr>
          <w:rFonts w:ascii="Arial (W1)" w:hAnsi="Arial (W1)"/>
          <w:b/>
          <w:i/>
          <w:sz w:val="24"/>
          <w:vertAlign w:val="subscript"/>
        </w:rPr>
        <w:t xml:space="preserve"> </w:t>
      </w:r>
      <w:r w:rsidRPr="00883399">
        <w:rPr>
          <w:sz w:val="24"/>
        </w:rPr>
        <w:t>is the sum of emissions of methane (</w:t>
      </w:r>
      <w:r w:rsidRPr="00883399">
        <w:rPr>
          <w:b/>
          <w:i/>
          <w:sz w:val="24"/>
        </w:rPr>
        <w:t>j</w:t>
      </w:r>
      <w:r w:rsidRPr="00883399">
        <w:rPr>
          <w:sz w:val="24"/>
        </w:rPr>
        <w:t>) released during refining and from storage tanks during the year.</w:t>
      </w:r>
    </w:p>
    <w:p w14:paraId="58DE1A7E" w14:textId="77777777" w:rsidR="00872C03" w:rsidRPr="00883399" w:rsidRDefault="00872C03" w:rsidP="00872C03">
      <w:pPr>
        <w:pStyle w:val="Definition0"/>
        <w:rPr>
          <w:sz w:val="24"/>
        </w:rPr>
      </w:pPr>
      <w:r w:rsidRPr="00883399">
        <w:rPr>
          <w:b/>
          <w:i/>
          <w:sz w:val="24"/>
        </w:rPr>
        <w:t>Q</w:t>
      </w:r>
      <w:r w:rsidRPr="00883399">
        <w:rPr>
          <w:sz w:val="24"/>
          <w:vertAlign w:val="subscript"/>
        </w:rPr>
        <w:t xml:space="preserve">i </w:t>
      </w:r>
      <w:r w:rsidRPr="00883399">
        <w:rPr>
          <w:sz w:val="24"/>
        </w:rPr>
        <w:t>is the quantity of crude oil (</w:t>
      </w:r>
      <w:r w:rsidRPr="00883399">
        <w:rPr>
          <w:b/>
          <w:i/>
          <w:sz w:val="24"/>
        </w:rPr>
        <w:t>i</w:t>
      </w:r>
      <w:r w:rsidRPr="00883399">
        <w:rPr>
          <w:sz w:val="24"/>
        </w:rPr>
        <w:t>) refined or stored in tanks during the year measured in tonnes.</w:t>
      </w:r>
    </w:p>
    <w:p w14:paraId="5BAB351B" w14:textId="77777777" w:rsidR="00872C03" w:rsidRPr="00883399" w:rsidRDefault="00872C03" w:rsidP="00872C03">
      <w:pPr>
        <w:pStyle w:val="Definition0"/>
        <w:rPr>
          <w:i/>
          <w:sz w:val="24"/>
        </w:rPr>
      </w:pPr>
      <w:r w:rsidRPr="00883399">
        <w:rPr>
          <w:b/>
          <w:i/>
          <w:sz w:val="24"/>
        </w:rPr>
        <w:t>EF</w:t>
      </w:r>
      <w:r w:rsidRPr="00883399">
        <w:rPr>
          <w:b/>
          <w:i/>
          <w:sz w:val="24"/>
          <w:vertAlign w:val="subscript"/>
        </w:rPr>
        <w:t>ij</w:t>
      </w:r>
      <w:r w:rsidRPr="00883399">
        <w:rPr>
          <w:b/>
          <w:i/>
          <w:sz w:val="24"/>
        </w:rPr>
        <w:t xml:space="preserve"> </w:t>
      </w:r>
      <w:r w:rsidRPr="00883399">
        <w:rPr>
          <w:sz w:val="24"/>
        </w:rPr>
        <w:t>is the emission factor for methane (</w:t>
      </w:r>
      <w:r w:rsidRPr="00883399">
        <w:rPr>
          <w:b/>
          <w:i/>
          <w:sz w:val="24"/>
        </w:rPr>
        <w:t>j</w:t>
      </w:r>
      <w:r w:rsidRPr="00883399">
        <w:rPr>
          <w:sz w:val="24"/>
        </w:rPr>
        <w:t>) being 8.5 x 10</w:t>
      </w:r>
      <w:r w:rsidRPr="00883399">
        <w:rPr>
          <w:sz w:val="24"/>
          <w:vertAlign w:val="superscript"/>
        </w:rPr>
        <w:noBreakHyphen/>
        <w:t xml:space="preserve">4 </w:t>
      </w:r>
      <w:r w:rsidRPr="00883399">
        <w:rPr>
          <w:sz w:val="24"/>
        </w:rPr>
        <w:t>tonnes CO</w:t>
      </w:r>
      <w:r w:rsidRPr="00883399">
        <w:rPr>
          <w:rStyle w:val="charSubscript"/>
          <w:sz w:val="22"/>
        </w:rPr>
        <w:t>2</w:t>
      </w:r>
      <w:r w:rsidRPr="00883399">
        <w:rPr>
          <w:sz w:val="24"/>
        </w:rPr>
        <w:noBreakHyphen/>
        <w:t>e per tonne of crude oil refined and 1.5 x 10</w:t>
      </w:r>
      <w:r w:rsidRPr="00883399">
        <w:rPr>
          <w:sz w:val="24"/>
          <w:vertAlign w:val="superscript"/>
        </w:rPr>
        <w:noBreakHyphen/>
        <w:t xml:space="preserve">4 </w:t>
      </w:r>
      <w:r w:rsidRPr="00883399">
        <w:rPr>
          <w:sz w:val="24"/>
        </w:rPr>
        <w:t>tonnes CO</w:t>
      </w:r>
      <w:r w:rsidRPr="00883399">
        <w:rPr>
          <w:rStyle w:val="charSubscript"/>
          <w:sz w:val="22"/>
        </w:rPr>
        <w:t>2</w:t>
      </w:r>
      <w:r w:rsidRPr="00883399">
        <w:rPr>
          <w:sz w:val="24"/>
        </w:rPr>
        <w:noBreakHyphen/>
        <w:t>e per tonne of crude oil stored in tanks</w:t>
      </w:r>
      <w:r w:rsidRPr="00883399">
        <w:rPr>
          <w:i/>
          <w:sz w:val="24"/>
        </w:rPr>
        <w:t>.</w:t>
      </w:r>
    </w:p>
    <w:p w14:paraId="522124C6" w14:textId="46FC9EDC" w:rsidR="00872C03" w:rsidRPr="00883399" w:rsidRDefault="00872C03" w:rsidP="00872C03">
      <w:pPr>
        <w:pStyle w:val="ActHead5"/>
        <w:rPr>
          <w:sz w:val="28"/>
        </w:rPr>
      </w:pPr>
      <w:bookmarkStart w:id="672" w:name="_Toc423516949"/>
      <w:bookmarkStart w:id="673" w:name="_Toc495652866"/>
      <w:r w:rsidRPr="00883399">
        <w:rPr>
          <w:rStyle w:val="CharSectno"/>
          <w:sz w:val="28"/>
        </w:rPr>
        <w:lastRenderedPageBreak/>
        <w:t>3.64</w:t>
      </w:r>
      <w:r w:rsidRPr="00883399">
        <w:rPr>
          <w:sz w:val="28"/>
        </w:rPr>
        <w:t xml:space="preserve">  Method 2—crude oil refining and storage tanks for crude oil</w:t>
      </w:r>
      <w:bookmarkEnd w:id="672"/>
      <w:bookmarkEnd w:id="673"/>
    </w:p>
    <w:p w14:paraId="5C8CA335" w14:textId="77777777" w:rsidR="00872C03" w:rsidRPr="00883399" w:rsidRDefault="00872C03" w:rsidP="00872C03">
      <w:pPr>
        <w:pStyle w:val="R1"/>
        <w:keepLines w:val="0"/>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Method 2 for fugitive emissions from crude oil refining requires the use of equipment-specific emission factors and more detail on the types of equipment used at the facility. The Method is intended to be as specified in the American Petroleum Institute’s </w:t>
      </w:r>
      <w:r w:rsidRPr="00883399">
        <w:rPr>
          <w:rFonts w:ascii="Arial" w:hAnsi="Arial" w:cs="Arial"/>
          <w:i/>
          <w:sz w:val="22"/>
          <w:szCs w:val="22"/>
        </w:rPr>
        <w:t xml:space="preserve">Compendium of Greenhouse Gas Emissions Estimation Methodologies for the Oil and Natural Gas Industry 2009 </w:t>
      </w:r>
      <w:r w:rsidRPr="00883399">
        <w:rPr>
          <w:rFonts w:ascii="Arial" w:hAnsi="Arial" w:cs="Arial"/>
          <w:sz w:val="22"/>
          <w:szCs w:val="22"/>
        </w:rPr>
        <w:t>sections 5 and 6.1.2.</w:t>
      </w:r>
    </w:p>
    <w:p w14:paraId="1A5E1BF2" w14:textId="77777777" w:rsidR="00872C03" w:rsidRPr="00883399" w:rsidRDefault="00872C03" w:rsidP="00872C03">
      <w:pPr>
        <w:pStyle w:val="subsection"/>
        <w:rPr>
          <w:sz w:val="24"/>
        </w:rPr>
      </w:pPr>
      <w:r w:rsidRPr="00883399">
        <w:rPr>
          <w:sz w:val="24"/>
        </w:rPr>
        <w:tab/>
        <w:t xml:space="preserve"> (1)</w:t>
      </w:r>
      <w:r w:rsidRPr="00883399">
        <w:rPr>
          <w:sz w:val="24"/>
        </w:rPr>
        <w:tab/>
        <w:t>Method 2 is:</w:t>
      </w:r>
    </w:p>
    <w:p w14:paraId="2762D7C6" w14:textId="41EF39EF"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10611D25" wp14:editId="78A7D8FF">
            <wp:extent cx="1495425" cy="2571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p>
    <w:p w14:paraId="15FC9E00" w14:textId="77777777" w:rsidR="00872C03" w:rsidRPr="00883399" w:rsidRDefault="00872C03" w:rsidP="00872C03">
      <w:pPr>
        <w:pStyle w:val="subsection2"/>
        <w:rPr>
          <w:sz w:val="24"/>
        </w:rPr>
      </w:pPr>
      <w:r w:rsidRPr="00883399">
        <w:rPr>
          <w:sz w:val="24"/>
        </w:rPr>
        <w:t>where:</w:t>
      </w:r>
    </w:p>
    <w:p w14:paraId="17461C07" w14:textId="77777777" w:rsidR="00872C03" w:rsidRPr="00883399" w:rsidRDefault="00872C03" w:rsidP="00872C03">
      <w:pPr>
        <w:pStyle w:val="Definition0"/>
        <w:rPr>
          <w:sz w:val="24"/>
        </w:rPr>
      </w:pPr>
      <w:r w:rsidRPr="00883399">
        <w:rPr>
          <w:b/>
          <w:i/>
          <w:sz w:val="24"/>
        </w:rPr>
        <w:t>E</w:t>
      </w:r>
      <w:r w:rsidRPr="00883399">
        <w:rPr>
          <w:b/>
          <w:i/>
          <w:sz w:val="24"/>
          <w:vertAlign w:val="subscript"/>
        </w:rPr>
        <w:t>ij</w:t>
      </w:r>
      <w:r w:rsidRPr="00883399">
        <w:rPr>
          <w:b/>
          <w:i/>
          <w:sz w:val="24"/>
        </w:rPr>
        <w:t xml:space="preserve"> </w:t>
      </w:r>
      <w:r w:rsidRPr="00883399">
        <w:rPr>
          <w:sz w:val="24"/>
        </w:rPr>
        <w:t>is the fugitive emissions of methane (</w:t>
      </w:r>
      <w:r w:rsidRPr="00883399">
        <w:rPr>
          <w:b/>
          <w:i/>
          <w:sz w:val="24"/>
        </w:rPr>
        <w:t>j</w:t>
      </w:r>
      <w:r w:rsidRPr="00883399">
        <w:rPr>
          <w:sz w:val="24"/>
        </w:rPr>
        <w:t>) from the crude oil refining and from storage tanks during the year measured in CO</w:t>
      </w:r>
      <w:r w:rsidRPr="00883399">
        <w:rPr>
          <w:rStyle w:val="charSubscript"/>
          <w:iCs/>
          <w:sz w:val="22"/>
        </w:rPr>
        <w:t>2</w:t>
      </w:r>
      <w:r w:rsidRPr="00883399">
        <w:rPr>
          <w:sz w:val="24"/>
        </w:rPr>
        <w:noBreakHyphen/>
        <w:t>e tonnes.</w:t>
      </w:r>
    </w:p>
    <w:p w14:paraId="77ADEA98" w14:textId="77777777" w:rsidR="00872C03" w:rsidRPr="00883399" w:rsidRDefault="00872C03" w:rsidP="00872C03">
      <w:pPr>
        <w:pStyle w:val="Definition0"/>
        <w:rPr>
          <w:sz w:val="24"/>
        </w:rPr>
      </w:pPr>
      <w:r w:rsidRPr="00883399">
        <w:rPr>
          <w:b/>
          <w:i/>
          <w:sz w:val="24"/>
        </w:rPr>
        <w:t>Σ</w:t>
      </w:r>
      <w:r w:rsidRPr="00883399">
        <w:rPr>
          <w:b/>
          <w:i/>
          <w:sz w:val="24"/>
          <w:vertAlign w:val="subscript"/>
        </w:rPr>
        <w:t xml:space="preserve">k </w:t>
      </w:r>
      <w:r w:rsidRPr="00883399">
        <w:rPr>
          <w:sz w:val="24"/>
        </w:rPr>
        <w:t>is the emissions of methane (</w:t>
      </w:r>
      <w:r w:rsidRPr="00883399">
        <w:rPr>
          <w:b/>
          <w:i/>
          <w:sz w:val="24"/>
        </w:rPr>
        <w:t>j</w:t>
      </w:r>
      <w:r w:rsidRPr="00883399">
        <w:rPr>
          <w:sz w:val="24"/>
        </w:rPr>
        <w:t>) measured in tonnes of CO</w:t>
      </w:r>
      <w:r w:rsidRPr="00883399">
        <w:rPr>
          <w:rStyle w:val="charSubscript"/>
          <w:iCs/>
          <w:sz w:val="22"/>
        </w:rPr>
        <w:t>2</w:t>
      </w:r>
      <w:r w:rsidRPr="00883399">
        <w:rPr>
          <w:sz w:val="24"/>
        </w:rPr>
        <w:noBreakHyphen/>
        <w:t>e estimated by summing up the emissions released from each equipment types (</w:t>
      </w:r>
      <w:r w:rsidRPr="00883399">
        <w:rPr>
          <w:b/>
          <w:i/>
          <w:sz w:val="24"/>
        </w:rPr>
        <w:t>k</w:t>
      </w:r>
      <w:r w:rsidRPr="00883399">
        <w:rPr>
          <w:sz w:val="24"/>
        </w:rPr>
        <w:t>) listed in sections 5 and 6.1.2 of the API Compendium, if the equipment is used in the crude oil refining and in the storage tanks.</w:t>
      </w:r>
    </w:p>
    <w:p w14:paraId="660DAFF2" w14:textId="77777777" w:rsidR="00872C03" w:rsidRPr="00883399" w:rsidRDefault="00872C03" w:rsidP="00872C03">
      <w:pPr>
        <w:pStyle w:val="Definition0"/>
        <w:rPr>
          <w:sz w:val="24"/>
        </w:rPr>
      </w:pPr>
      <w:r w:rsidRPr="00883399">
        <w:rPr>
          <w:b/>
          <w:i/>
          <w:sz w:val="24"/>
        </w:rPr>
        <w:t>Q</w:t>
      </w:r>
      <w:r w:rsidRPr="00883399">
        <w:rPr>
          <w:b/>
          <w:i/>
          <w:sz w:val="24"/>
          <w:vertAlign w:val="subscript"/>
        </w:rPr>
        <w:t xml:space="preserve">ik </w:t>
      </w:r>
      <w:r w:rsidRPr="00883399">
        <w:rPr>
          <w:sz w:val="24"/>
        </w:rPr>
        <w:t>is the total of the quantities of crude oil measured in tonnes that pass through each equipment type (</w:t>
      </w:r>
      <w:r w:rsidRPr="00883399">
        <w:rPr>
          <w:b/>
          <w:i/>
          <w:sz w:val="24"/>
        </w:rPr>
        <w:t>k</w:t>
      </w:r>
      <w:r w:rsidRPr="00883399">
        <w:rPr>
          <w:sz w:val="24"/>
        </w:rPr>
        <w:t>) listed in sections 5 and 6.1.2 of the API Compendium, if the equipment is used in the crude oil refining and in the storage tanks.</w:t>
      </w:r>
    </w:p>
    <w:p w14:paraId="3623B1F4" w14:textId="77777777" w:rsidR="00872C03" w:rsidRPr="00883399" w:rsidRDefault="00872C03" w:rsidP="00872C03">
      <w:pPr>
        <w:pStyle w:val="Definition0"/>
        <w:rPr>
          <w:sz w:val="24"/>
        </w:rPr>
      </w:pPr>
      <w:r w:rsidRPr="00883399">
        <w:rPr>
          <w:b/>
          <w:i/>
          <w:sz w:val="24"/>
        </w:rPr>
        <w:t>EF</w:t>
      </w:r>
      <w:r w:rsidRPr="00883399">
        <w:rPr>
          <w:b/>
          <w:i/>
          <w:sz w:val="24"/>
          <w:vertAlign w:val="subscript"/>
        </w:rPr>
        <w:t>ijk</w:t>
      </w:r>
      <w:r w:rsidRPr="00883399">
        <w:rPr>
          <w:b/>
          <w:i/>
          <w:sz w:val="24"/>
        </w:rPr>
        <w:t xml:space="preserve"> </w:t>
      </w:r>
      <w:r w:rsidRPr="00883399">
        <w:rPr>
          <w:sz w:val="24"/>
        </w:rPr>
        <w:t>is the emission factor for methane (</w:t>
      </w:r>
      <w:r w:rsidRPr="00883399">
        <w:rPr>
          <w:b/>
          <w:i/>
          <w:sz w:val="24"/>
        </w:rPr>
        <w:t>j</w:t>
      </w:r>
      <w:r w:rsidRPr="00883399">
        <w:rPr>
          <w:sz w:val="24"/>
        </w:rPr>
        <w:t>) measured in tonnes of CO</w:t>
      </w:r>
      <w:r w:rsidRPr="00883399">
        <w:rPr>
          <w:rStyle w:val="charSubscript"/>
          <w:iCs/>
          <w:sz w:val="22"/>
        </w:rPr>
        <w:t>2</w:t>
      </w:r>
      <w:r w:rsidRPr="00883399">
        <w:rPr>
          <w:sz w:val="24"/>
        </w:rPr>
        <w:noBreakHyphen/>
        <w:t>e per tonne of crude oil that passes though each equipment type (</w:t>
      </w:r>
      <w:r w:rsidRPr="00883399">
        <w:rPr>
          <w:b/>
          <w:i/>
          <w:sz w:val="24"/>
        </w:rPr>
        <w:t>k</w:t>
      </w:r>
      <w:r w:rsidRPr="00883399">
        <w:rPr>
          <w:sz w:val="24"/>
        </w:rPr>
        <w:t>) listed in sections 5 and 6.1.2 of the API Compendium, if the equipment is used in the crude oil refining and in the storage tanks.</w:t>
      </w:r>
    </w:p>
    <w:p w14:paraId="126EABB8" w14:textId="77777777" w:rsidR="00872C03" w:rsidRPr="00883399" w:rsidRDefault="00872C03" w:rsidP="00872C03">
      <w:pPr>
        <w:pStyle w:val="subsection"/>
        <w:rPr>
          <w:sz w:val="24"/>
        </w:rPr>
      </w:pPr>
      <w:r w:rsidRPr="00883399">
        <w:rPr>
          <w:sz w:val="24"/>
        </w:rPr>
        <w:tab/>
        <w:t>(2)</w:t>
      </w:r>
      <w:r w:rsidRPr="00883399">
        <w:rPr>
          <w:sz w:val="24"/>
        </w:rPr>
        <w:tab/>
        <w:t xml:space="preserve">For </w:t>
      </w:r>
      <w:r w:rsidRPr="00883399">
        <w:rPr>
          <w:b/>
          <w:i/>
          <w:sz w:val="24"/>
        </w:rPr>
        <w:t>EF</w:t>
      </w:r>
      <w:r w:rsidRPr="00883399">
        <w:rPr>
          <w:b/>
          <w:i/>
          <w:sz w:val="24"/>
          <w:vertAlign w:val="subscript"/>
        </w:rPr>
        <w:t>ijk</w:t>
      </w:r>
      <w:r w:rsidRPr="00883399">
        <w:rPr>
          <w:sz w:val="24"/>
        </w:rPr>
        <w:t>, the emission factors for methane (</w:t>
      </w:r>
      <w:r w:rsidRPr="00883399">
        <w:rPr>
          <w:b/>
          <w:i/>
          <w:sz w:val="24"/>
        </w:rPr>
        <w:t>j</w:t>
      </w:r>
      <w:r w:rsidRPr="00883399">
        <w:rPr>
          <w:sz w:val="24"/>
        </w:rPr>
        <w:t>) as the crude oil passes through an equipment type (</w:t>
      </w:r>
      <w:r w:rsidRPr="00883399">
        <w:rPr>
          <w:b/>
          <w:i/>
          <w:sz w:val="24"/>
        </w:rPr>
        <w:t>k</w:t>
      </w:r>
      <w:r w:rsidRPr="00883399">
        <w:rPr>
          <w:sz w:val="24"/>
        </w:rPr>
        <w:t>) are:</w:t>
      </w:r>
    </w:p>
    <w:p w14:paraId="3ABE6FA9" w14:textId="77777777" w:rsidR="00872C03" w:rsidRPr="00883399" w:rsidRDefault="00872C03" w:rsidP="00872C03">
      <w:pPr>
        <w:pStyle w:val="paragraph"/>
        <w:rPr>
          <w:sz w:val="24"/>
        </w:rPr>
      </w:pPr>
      <w:r w:rsidRPr="00883399">
        <w:rPr>
          <w:sz w:val="24"/>
        </w:rPr>
        <w:tab/>
        <w:t>(a)</w:t>
      </w:r>
      <w:r w:rsidRPr="00883399">
        <w:rPr>
          <w:sz w:val="24"/>
        </w:rPr>
        <w:tab/>
        <w:t>as listed in sections 5 and 6.1.2 of the API Compendium, for the equipment type; or</w:t>
      </w:r>
    </w:p>
    <w:p w14:paraId="36CE7A9D" w14:textId="77777777" w:rsidR="00872C03" w:rsidRPr="00883399" w:rsidRDefault="00872C03" w:rsidP="00872C03">
      <w:pPr>
        <w:pStyle w:val="paragraph"/>
        <w:rPr>
          <w:sz w:val="24"/>
        </w:rPr>
      </w:pPr>
      <w:r w:rsidRPr="00883399">
        <w:rPr>
          <w:sz w:val="24"/>
        </w:rPr>
        <w:tab/>
        <w:t>(b)</w:t>
      </w:r>
      <w:r w:rsidRPr="00883399">
        <w:rPr>
          <w:sz w:val="24"/>
        </w:rPr>
        <w:tab/>
        <w:t>if the manufacturer of the equipment supplies equipment</w:t>
      </w:r>
      <w:r w:rsidRPr="00883399">
        <w:rPr>
          <w:sz w:val="24"/>
        </w:rPr>
        <w:noBreakHyphen/>
        <w:t>specific emission factors for the equipment type—those factors.</w:t>
      </w:r>
    </w:p>
    <w:p w14:paraId="2A42B92B" w14:textId="2BF496D1" w:rsidR="00872C03" w:rsidRPr="00883399" w:rsidRDefault="00872C03" w:rsidP="00872C03">
      <w:pPr>
        <w:pStyle w:val="ActHead4"/>
        <w:rPr>
          <w:sz w:val="28"/>
        </w:rPr>
      </w:pPr>
      <w:bookmarkStart w:id="674" w:name="_Toc423516950"/>
      <w:bookmarkStart w:id="675" w:name="_Toc495652867"/>
      <w:r w:rsidRPr="00883399">
        <w:rPr>
          <w:rStyle w:val="CharSubdNo"/>
          <w:sz w:val="28"/>
        </w:rPr>
        <w:lastRenderedPageBreak/>
        <w:t>Subdivision 3.3.5.2</w:t>
      </w:r>
      <w:r w:rsidRPr="00883399">
        <w:rPr>
          <w:sz w:val="28"/>
        </w:rPr>
        <w:t>—</w:t>
      </w:r>
      <w:r w:rsidRPr="00883399">
        <w:rPr>
          <w:rStyle w:val="CharSubdText"/>
          <w:sz w:val="28"/>
        </w:rPr>
        <w:t>Fugitive emissions from deliberate releases from process vents, system upsets and accidents</w:t>
      </w:r>
      <w:bookmarkEnd w:id="674"/>
      <w:bookmarkEnd w:id="675"/>
    </w:p>
    <w:p w14:paraId="5CC6822F" w14:textId="00485286" w:rsidR="00872C03" w:rsidRPr="00883399" w:rsidRDefault="00872C03" w:rsidP="00872C03">
      <w:pPr>
        <w:pStyle w:val="ActHead5"/>
        <w:rPr>
          <w:sz w:val="28"/>
        </w:rPr>
      </w:pPr>
      <w:bookmarkStart w:id="676" w:name="_Toc423516951"/>
      <w:bookmarkStart w:id="677" w:name="_Toc495652868"/>
      <w:r w:rsidRPr="00883399">
        <w:rPr>
          <w:rStyle w:val="CharSectno"/>
          <w:sz w:val="28"/>
        </w:rPr>
        <w:t>3.65</w:t>
      </w:r>
      <w:r w:rsidRPr="00883399">
        <w:rPr>
          <w:sz w:val="28"/>
        </w:rPr>
        <w:t xml:space="preserve">  Method 1—fugitive emissions from deliberate releases from process vents, system upsets and accidents</w:t>
      </w:r>
      <w:bookmarkEnd w:id="676"/>
      <w:bookmarkEnd w:id="677"/>
    </w:p>
    <w:p w14:paraId="467D1D91" w14:textId="77777777" w:rsidR="00872C03" w:rsidRPr="00883399" w:rsidRDefault="00872C03" w:rsidP="00872C03">
      <w:pPr>
        <w:pStyle w:val="R1"/>
        <w:keepLines w:val="0"/>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Method 1 for the estimation of emissions from the burning of catalyst coke for non-energy purposes is derived from the American Petroleum Institute’s </w:t>
      </w:r>
      <w:r w:rsidRPr="00883399">
        <w:rPr>
          <w:rFonts w:ascii="Arial" w:hAnsi="Arial" w:cs="Arial"/>
          <w:i/>
          <w:sz w:val="22"/>
          <w:szCs w:val="22"/>
        </w:rPr>
        <w:t>Compendium of Greenhouse Gas Emissions Estimation Methodologies for the Oil and Natural Gas Industry 2009</w:t>
      </w:r>
      <w:r w:rsidRPr="00883399">
        <w:rPr>
          <w:rFonts w:ascii="Arial" w:hAnsi="Arial" w:cs="Arial"/>
          <w:sz w:val="22"/>
          <w:szCs w:val="22"/>
        </w:rPr>
        <w:t xml:space="preserve"> sections 5.2.  </w:t>
      </w:r>
    </w:p>
    <w:p w14:paraId="48E40B02" w14:textId="77777777" w:rsidR="00872C03" w:rsidRPr="00883399" w:rsidRDefault="00872C03" w:rsidP="00872C03">
      <w:pPr>
        <w:pStyle w:val="R1"/>
        <w:keepLines w:val="0"/>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It is intended that there should be no double count or omissions of emissions from the estimation of emissions from the combustion of the catalyst coke. Where it is difficult to distinguish between the emissions from combustion of catalyst coke for non-energy purposes from its use as an energy source, it is intended that all emissions should be attributed to the combustion of fuels for energy.</w:t>
      </w:r>
    </w:p>
    <w:p w14:paraId="6F872291" w14:textId="77777777" w:rsidR="00872C03" w:rsidRPr="00883399" w:rsidRDefault="00872C03" w:rsidP="00872C03">
      <w:pPr>
        <w:pStyle w:val="subsection"/>
        <w:rPr>
          <w:sz w:val="24"/>
        </w:rPr>
      </w:pPr>
      <w:r w:rsidRPr="00883399">
        <w:rPr>
          <w:sz w:val="24"/>
        </w:rPr>
        <w:tab/>
      </w:r>
      <w:r w:rsidRPr="00883399">
        <w:rPr>
          <w:sz w:val="24"/>
        </w:rPr>
        <w:tab/>
        <w:t>Method 1 is:</w:t>
      </w:r>
    </w:p>
    <w:p w14:paraId="2E460286" w14:textId="0D5BBF7B"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5A3CB68E" wp14:editId="6634529B">
            <wp:extent cx="1609725" cy="2381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09725" cy="238125"/>
                    </a:xfrm>
                    <a:prstGeom prst="rect">
                      <a:avLst/>
                    </a:prstGeom>
                    <a:noFill/>
                    <a:ln>
                      <a:noFill/>
                    </a:ln>
                  </pic:spPr>
                </pic:pic>
              </a:graphicData>
            </a:graphic>
          </wp:inline>
        </w:drawing>
      </w:r>
    </w:p>
    <w:p w14:paraId="4EDB8D3F" w14:textId="77777777" w:rsidR="00872C03" w:rsidRPr="00883399" w:rsidRDefault="00872C03" w:rsidP="00872C03">
      <w:pPr>
        <w:pStyle w:val="subsection2"/>
        <w:rPr>
          <w:sz w:val="24"/>
        </w:rPr>
      </w:pPr>
      <w:r w:rsidRPr="00883399">
        <w:rPr>
          <w:sz w:val="24"/>
        </w:rPr>
        <w:t>where:</w:t>
      </w:r>
    </w:p>
    <w:p w14:paraId="57C67710" w14:textId="77777777" w:rsidR="00872C03" w:rsidRPr="00883399" w:rsidRDefault="00872C03" w:rsidP="00872C03">
      <w:pPr>
        <w:pStyle w:val="Definition0"/>
        <w:rPr>
          <w:sz w:val="24"/>
        </w:rPr>
      </w:pPr>
      <w:r w:rsidRPr="00883399">
        <w:rPr>
          <w:b/>
          <w:i/>
          <w:sz w:val="24"/>
        </w:rPr>
        <w:t>E</w:t>
      </w:r>
      <w:r w:rsidRPr="00883399">
        <w:rPr>
          <w:b/>
          <w:i/>
          <w:sz w:val="24"/>
          <w:vertAlign w:val="subscript"/>
        </w:rPr>
        <w:t>i</w:t>
      </w:r>
      <w:r w:rsidRPr="00883399">
        <w:rPr>
          <w:b/>
          <w:i/>
          <w:sz w:val="24"/>
        </w:rPr>
        <w:t xml:space="preserve"> </w:t>
      </w:r>
      <w:r w:rsidRPr="00883399">
        <w:rPr>
          <w:sz w:val="24"/>
        </w:rPr>
        <w:t>is the fugitive emissions of carbon dioxide during the year from deliberate releases from process vents, system upsets and accidents in the crude oil refining measured in CO</w:t>
      </w:r>
      <w:r w:rsidRPr="00883399">
        <w:rPr>
          <w:sz w:val="24"/>
          <w:vertAlign w:val="subscript"/>
        </w:rPr>
        <w:t>2</w:t>
      </w:r>
      <w:r w:rsidRPr="00883399">
        <w:rPr>
          <w:sz w:val="24"/>
        </w:rPr>
        <w:noBreakHyphen/>
        <w:t>e tonnes.</w:t>
      </w:r>
    </w:p>
    <w:p w14:paraId="73D27E18" w14:textId="77777777" w:rsidR="00872C03" w:rsidRPr="00883399" w:rsidRDefault="00872C03" w:rsidP="00872C03">
      <w:pPr>
        <w:pStyle w:val="Definition0"/>
        <w:rPr>
          <w:sz w:val="24"/>
        </w:rPr>
      </w:pPr>
      <w:r w:rsidRPr="00883399">
        <w:rPr>
          <w:b/>
          <w:i/>
          <w:sz w:val="24"/>
        </w:rPr>
        <w:t>Q</w:t>
      </w:r>
      <w:r w:rsidRPr="00883399">
        <w:rPr>
          <w:b/>
          <w:i/>
          <w:sz w:val="24"/>
          <w:vertAlign w:val="subscript"/>
        </w:rPr>
        <w:t>i</w:t>
      </w:r>
      <w:r w:rsidRPr="00883399">
        <w:rPr>
          <w:b/>
          <w:i/>
          <w:sz w:val="24"/>
        </w:rPr>
        <w:t xml:space="preserve"> </w:t>
      </w:r>
      <w:r w:rsidRPr="00883399">
        <w:rPr>
          <w:sz w:val="24"/>
        </w:rPr>
        <w:t>is the quantity of refinery coke (</w:t>
      </w:r>
      <w:r w:rsidRPr="00883399">
        <w:rPr>
          <w:b/>
          <w:i/>
          <w:sz w:val="24"/>
        </w:rPr>
        <w:t>i</w:t>
      </w:r>
      <w:r w:rsidRPr="00883399">
        <w:rPr>
          <w:sz w:val="24"/>
        </w:rPr>
        <w:t>) burnt to restore the activity of the catalyst of the crude oil refinery (and not used for energy) during the year measured in tonnes.</w:t>
      </w:r>
    </w:p>
    <w:p w14:paraId="6D3C6463" w14:textId="77777777" w:rsidR="00872C03" w:rsidRPr="00883399" w:rsidRDefault="00872C03" w:rsidP="00872C03">
      <w:pPr>
        <w:pStyle w:val="Definition0"/>
        <w:rPr>
          <w:sz w:val="24"/>
        </w:rPr>
      </w:pPr>
      <w:r w:rsidRPr="00883399">
        <w:rPr>
          <w:b/>
          <w:i/>
          <w:sz w:val="24"/>
        </w:rPr>
        <w:t>CCF</w:t>
      </w:r>
      <w:r w:rsidRPr="00883399">
        <w:rPr>
          <w:rFonts w:ascii="Helvetica" w:hAnsi="Helvetica"/>
          <w:b/>
          <w:i/>
          <w:sz w:val="24"/>
          <w:vertAlign w:val="subscript"/>
        </w:rPr>
        <w:t>i</w:t>
      </w:r>
      <w:r w:rsidRPr="00883399">
        <w:rPr>
          <w:b/>
          <w:i/>
          <w:sz w:val="24"/>
        </w:rPr>
        <w:t xml:space="preserve"> </w:t>
      </w:r>
      <w:r w:rsidRPr="00883399">
        <w:rPr>
          <w:sz w:val="24"/>
        </w:rPr>
        <w:t>is the carbon content factor for refinery coke (</w:t>
      </w:r>
      <w:r w:rsidRPr="00883399">
        <w:rPr>
          <w:b/>
          <w:i/>
          <w:sz w:val="24"/>
        </w:rPr>
        <w:t>i</w:t>
      </w:r>
      <w:r w:rsidRPr="00883399">
        <w:rPr>
          <w:sz w:val="24"/>
        </w:rPr>
        <w:t>) as mentioned in Schedule 3.</w:t>
      </w:r>
    </w:p>
    <w:p w14:paraId="40E42BF7" w14:textId="77777777" w:rsidR="00872C03" w:rsidRPr="00883399" w:rsidRDefault="00872C03" w:rsidP="00872C03">
      <w:pPr>
        <w:pStyle w:val="Definition0"/>
        <w:rPr>
          <w:sz w:val="24"/>
        </w:rPr>
      </w:pPr>
      <w:r w:rsidRPr="00883399">
        <w:rPr>
          <w:b/>
          <w:i/>
          <w:sz w:val="24"/>
        </w:rPr>
        <w:t>3</w:t>
      </w:r>
      <w:r w:rsidRPr="00883399">
        <w:rPr>
          <w:b/>
          <w:sz w:val="24"/>
        </w:rPr>
        <w:t>.</w:t>
      </w:r>
      <w:r w:rsidRPr="00883399">
        <w:rPr>
          <w:b/>
          <w:i/>
          <w:sz w:val="24"/>
        </w:rPr>
        <w:t xml:space="preserve">664 </w:t>
      </w:r>
      <w:r w:rsidRPr="00883399">
        <w:rPr>
          <w:sz w:val="24"/>
        </w:rPr>
        <w:t>is the conversion factor to convert an amount of carbon in tonnes to an amount of carbon dioxide in tonnes.</w:t>
      </w:r>
    </w:p>
    <w:p w14:paraId="0C778244" w14:textId="5A306027" w:rsidR="00872C03" w:rsidRPr="00883399" w:rsidRDefault="00872C03" w:rsidP="00872C03">
      <w:pPr>
        <w:pStyle w:val="ActHead5"/>
        <w:rPr>
          <w:sz w:val="28"/>
        </w:rPr>
      </w:pPr>
      <w:bookmarkStart w:id="678" w:name="_Toc423516952"/>
      <w:bookmarkStart w:id="679" w:name="_Toc495652869"/>
      <w:r w:rsidRPr="00883399">
        <w:rPr>
          <w:rStyle w:val="CharSectno"/>
          <w:sz w:val="28"/>
        </w:rPr>
        <w:t>3.66</w:t>
      </w:r>
      <w:r w:rsidRPr="00883399">
        <w:rPr>
          <w:sz w:val="28"/>
        </w:rPr>
        <w:t xml:space="preserve">  Method 4—deliberate releases from process vents, system upsets and accidents</w:t>
      </w:r>
      <w:bookmarkEnd w:id="678"/>
      <w:bookmarkEnd w:id="679"/>
    </w:p>
    <w:p w14:paraId="5FCD34E1" w14:textId="77777777" w:rsidR="00872C03" w:rsidRPr="00883399" w:rsidRDefault="00872C03" w:rsidP="00872C03">
      <w:pPr>
        <w:pStyle w:val="R1"/>
        <w:keepLines w:val="0"/>
        <w:spacing w:before="240" w:line="312" w:lineRule="auto"/>
        <w:ind w:left="0" w:firstLine="0"/>
        <w:jc w:val="left"/>
      </w:pPr>
      <w:r w:rsidRPr="00883399">
        <w:tab/>
      </w:r>
      <w:r w:rsidRPr="00883399">
        <w:rPr>
          <w:rFonts w:ascii="Arial" w:hAnsi="Arial" w:cs="Arial"/>
          <w:sz w:val="22"/>
          <w:szCs w:val="22"/>
        </w:rPr>
        <w:t xml:space="preserve">Method 4 is provided as an additional option and is taken from the American Petroleum Institute’s </w:t>
      </w:r>
      <w:r w:rsidRPr="00883399">
        <w:rPr>
          <w:rFonts w:ascii="Arial" w:hAnsi="Arial" w:cs="Arial"/>
          <w:i/>
          <w:sz w:val="22"/>
          <w:szCs w:val="22"/>
        </w:rPr>
        <w:t xml:space="preserve">Compendium of Greenhouse Gas Emissions Estimation Methodologies for the Oil and Natural Gas Industry 2009 </w:t>
      </w:r>
      <w:r w:rsidRPr="00883399">
        <w:rPr>
          <w:rFonts w:ascii="Arial" w:hAnsi="Arial" w:cs="Arial"/>
          <w:sz w:val="22"/>
          <w:szCs w:val="22"/>
        </w:rPr>
        <w:t xml:space="preserve">sections 5 and 6.1.2.  Consistent with the American Petroleum Institute methodology, emissions of carbon </w:t>
      </w:r>
      <w:r w:rsidRPr="00883399">
        <w:rPr>
          <w:rFonts w:ascii="Arial" w:hAnsi="Arial" w:cs="Arial"/>
          <w:sz w:val="22"/>
          <w:szCs w:val="22"/>
        </w:rPr>
        <w:lastRenderedPageBreak/>
        <w:t>monoxide must be treated as if they fully oxidise to carbon dioxide and estimated accordingly</w:t>
      </w:r>
      <w:r w:rsidRPr="00883399">
        <w:t xml:space="preserve">. </w:t>
      </w:r>
    </w:p>
    <w:p w14:paraId="5E729532" w14:textId="77777777" w:rsidR="00872C03" w:rsidRPr="00883399" w:rsidRDefault="00872C03" w:rsidP="00872C03">
      <w:pPr>
        <w:pStyle w:val="subsection"/>
        <w:rPr>
          <w:sz w:val="24"/>
        </w:rPr>
      </w:pPr>
      <w:r w:rsidRPr="00883399">
        <w:rPr>
          <w:sz w:val="24"/>
        </w:rPr>
        <w:t xml:space="preserve"> </w:t>
      </w:r>
      <w:r w:rsidRPr="00883399">
        <w:rPr>
          <w:sz w:val="24"/>
        </w:rPr>
        <w:tab/>
        <w:t>(1)</w:t>
      </w:r>
      <w:r w:rsidRPr="00883399">
        <w:rPr>
          <w:sz w:val="24"/>
        </w:rPr>
        <w:tab/>
        <w:t>Method 4 is:</w:t>
      </w:r>
    </w:p>
    <w:p w14:paraId="6CD289DC" w14:textId="77777777" w:rsidR="00872C03" w:rsidRPr="00883399" w:rsidRDefault="00872C03" w:rsidP="00872C03">
      <w:pPr>
        <w:pStyle w:val="paragraph"/>
        <w:rPr>
          <w:sz w:val="24"/>
        </w:rPr>
      </w:pPr>
      <w:r w:rsidRPr="00883399">
        <w:rPr>
          <w:sz w:val="24"/>
        </w:rPr>
        <w:tab/>
        <w:t>(a)</w:t>
      </w:r>
      <w:r w:rsidRPr="00883399">
        <w:rPr>
          <w:sz w:val="24"/>
        </w:rPr>
        <w:tab/>
        <w:t>is as set out in Part 1.3; or</w:t>
      </w:r>
    </w:p>
    <w:p w14:paraId="63FFAFEF" w14:textId="77777777" w:rsidR="00872C03" w:rsidRPr="00883399" w:rsidRDefault="00872C03" w:rsidP="00872C03">
      <w:pPr>
        <w:pStyle w:val="paragraph"/>
        <w:rPr>
          <w:sz w:val="24"/>
        </w:rPr>
      </w:pPr>
      <w:r w:rsidRPr="00883399">
        <w:rPr>
          <w:sz w:val="24"/>
        </w:rPr>
        <w:tab/>
        <w:t>(b)</w:t>
      </w:r>
      <w:r w:rsidRPr="00883399">
        <w:rPr>
          <w:sz w:val="24"/>
        </w:rPr>
        <w:tab/>
        <w:t xml:space="preserve">uses the process calculation approach in section 5.2 of the API Compendium. </w:t>
      </w:r>
    </w:p>
    <w:p w14:paraId="630D5D22" w14:textId="77777777" w:rsidR="00872C03" w:rsidRPr="00883399" w:rsidRDefault="00872C03" w:rsidP="00872C03">
      <w:pPr>
        <w:pStyle w:val="subsection"/>
        <w:rPr>
          <w:sz w:val="24"/>
        </w:rPr>
      </w:pPr>
      <w:r w:rsidRPr="00883399">
        <w:rPr>
          <w:sz w:val="24"/>
        </w:rPr>
        <w:tab/>
        <w:t>(2)</w:t>
      </w:r>
      <w:r w:rsidRPr="00883399">
        <w:rPr>
          <w:sz w:val="24"/>
        </w:rPr>
        <w:tab/>
        <w:t>For paragraph (1)(b), all carbon monoxide is taken to fully oxidise to carbon dioxide and must be included in the calculation.</w:t>
      </w:r>
    </w:p>
    <w:p w14:paraId="12BABE1E" w14:textId="05BEF38D" w:rsidR="00872C03" w:rsidRPr="00883399" w:rsidRDefault="00872C03" w:rsidP="00872C03">
      <w:pPr>
        <w:pStyle w:val="ActHead4"/>
        <w:rPr>
          <w:sz w:val="28"/>
        </w:rPr>
      </w:pPr>
      <w:bookmarkStart w:id="680" w:name="_Toc423516953"/>
      <w:bookmarkStart w:id="681" w:name="_Toc495652870"/>
      <w:r w:rsidRPr="00883399">
        <w:rPr>
          <w:rStyle w:val="CharSubdNo"/>
          <w:sz w:val="28"/>
        </w:rPr>
        <w:t>Subdivision 3.3.5.3</w:t>
      </w:r>
      <w:r w:rsidRPr="00883399">
        <w:rPr>
          <w:sz w:val="28"/>
        </w:rPr>
        <w:t>—</w:t>
      </w:r>
      <w:r w:rsidRPr="00883399">
        <w:rPr>
          <w:rStyle w:val="CharSubdText"/>
          <w:sz w:val="28"/>
        </w:rPr>
        <w:t>Fugitive emissions released from gas flared from the oil refinery</w:t>
      </w:r>
      <w:bookmarkEnd w:id="680"/>
      <w:bookmarkEnd w:id="681"/>
    </w:p>
    <w:p w14:paraId="211C336E" w14:textId="77777777" w:rsidR="00872C03" w:rsidRPr="00883399" w:rsidRDefault="00872C03" w:rsidP="00872C03">
      <w:pPr>
        <w:pStyle w:val="Text"/>
        <w:rPr>
          <w:rFonts w:ascii="Arial" w:hAnsi="Arial" w:cs="Arial"/>
          <w:sz w:val="22"/>
          <w:szCs w:val="22"/>
        </w:rPr>
      </w:pPr>
      <w:bookmarkStart w:id="682" w:name="_Toc423516954"/>
      <w:r w:rsidRPr="00883399">
        <w:rPr>
          <w:rFonts w:ascii="Arial" w:hAnsi="Arial" w:cs="Arial"/>
          <w:sz w:val="22"/>
          <w:szCs w:val="22"/>
        </w:rPr>
        <w:t>Flares are commonly used at refineries for the disposal of vented waste gases. The flaring of refinery gases results in the emission of CO</w:t>
      </w:r>
      <w:r w:rsidRPr="00883399">
        <w:rPr>
          <w:rFonts w:ascii="Arial" w:hAnsi="Arial" w:cs="Arial"/>
          <w:sz w:val="22"/>
          <w:szCs w:val="22"/>
          <w:vertAlign w:val="subscript"/>
        </w:rPr>
        <w:t>2</w:t>
      </w:r>
      <w:r w:rsidRPr="00883399">
        <w:rPr>
          <w:rFonts w:ascii="Arial" w:hAnsi="Arial" w:cs="Arial"/>
          <w:sz w:val="22"/>
          <w:szCs w:val="22"/>
        </w:rPr>
        <w:t>, methane, nitrous oxide and products of incomplete combustion. Method 1 is derived from the methods used for the National Greenhouse Accounts.  Methods 2 and 3 rely on the sampling and analysis of the fuel to estimate the composition of the gases in the fuel in accordance with the provisions of chapter 2.</w:t>
      </w:r>
    </w:p>
    <w:p w14:paraId="51EDD515" w14:textId="75186854" w:rsidR="00872C03" w:rsidRPr="00883399" w:rsidRDefault="00872C03" w:rsidP="00872C03">
      <w:pPr>
        <w:pStyle w:val="ActHead5"/>
        <w:rPr>
          <w:sz w:val="28"/>
        </w:rPr>
      </w:pPr>
      <w:bookmarkStart w:id="683" w:name="_Toc495652871"/>
      <w:r w:rsidRPr="00883399">
        <w:rPr>
          <w:rStyle w:val="CharSectno"/>
          <w:sz w:val="28"/>
        </w:rPr>
        <w:t>3.67</w:t>
      </w:r>
      <w:r w:rsidRPr="00883399">
        <w:rPr>
          <w:sz w:val="28"/>
        </w:rPr>
        <w:t xml:space="preserve">  Method 1—gas flared from crude oil refining</w:t>
      </w:r>
      <w:bookmarkEnd w:id="682"/>
      <w:bookmarkEnd w:id="683"/>
    </w:p>
    <w:p w14:paraId="2C146377" w14:textId="77777777" w:rsidR="00872C03" w:rsidRPr="00883399" w:rsidRDefault="00872C03" w:rsidP="00872C03">
      <w:pPr>
        <w:pStyle w:val="subsection"/>
        <w:rPr>
          <w:sz w:val="24"/>
        </w:rPr>
      </w:pPr>
      <w:r w:rsidRPr="00883399">
        <w:rPr>
          <w:sz w:val="24"/>
        </w:rPr>
        <w:tab/>
        <w:t>(1)</w:t>
      </w:r>
      <w:r w:rsidRPr="00883399">
        <w:rPr>
          <w:sz w:val="24"/>
        </w:rPr>
        <w:tab/>
        <w:t>Method 1 is:</w:t>
      </w:r>
    </w:p>
    <w:p w14:paraId="2538A818" w14:textId="7899EE4E"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0051E92B" wp14:editId="616AB677">
            <wp:extent cx="1009650" cy="2571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09650" cy="257175"/>
                    </a:xfrm>
                    <a:prstGeom prst="rect">
                      <a:avLst/>
                    </a:prstGeom>
                    <a:noFill/>
                    <a:ln>
                      <a:noFill/>
                    </a:ln>
                  </pic:spPr>
                </pic:pic>
              </a:graphicData>
            </a:graphic>
          </wp:inline>
        </w:drawing>
      </w:r>
    </w:p>
    <w:p w14:paraId="09956EB9" w14:textId="77777777" w:rsidR="00872C03" w:rsidRPr="00883399" w:rsidRDefault="00872C03" w:rsidP="00872C03">
      <w:pPr>
        <w:pStyle w:val="subsection2"/>
        <w:rPr>
          <w:sz w:val="24"/>
        </w:rPr>
      </w:pPr>
      <w:r w:rsidRPr="00883399">
        <w:rPr>
          <w:sz w:val="24"/>
        </w:rPr>
        <w:t>where:</w:t>
      </w:r>
    </w:p>
    <w:p w14:paraId="44C5660E" w14:textId="77777777" w:rsidR="00872C03" w:rsidRPr="00883399" w:rsidRDefault="00872C03" w:rsidP="00872C03">
      <w:pPr>
        <w:pStyle w:val="Definition0"/>
        <w:rPr>
          <w:sz w:val="24"/>
        </w:rPr>
      </w:pPr>
      <w:r w:rsidRPr="00883399">
        <w:rPr>
          <w:b/>
          <w:i/>
          <w:sz w:val="24"/>
        </w:rPr>
        <w:t>E</w:t>
      </w:r>
      <w:r w:rsidRPr="00883399">
        <w:rPr>
          <w:b/>
          <w:i/>
          <w:sz w:val="24"/>
          <w:vertAlign w:val="subscript"/>
        </w:rPr>
        <w:t>ij</w:t>
      </w:r>
      <w:r w:rsidRPr="00883399">
        <w:rPr>
          <w:b/>
          <w:i/>
          <w:sz w:val="24"/>
        </w:rPr>
        <w:t xml:space="preserve"> </w:t>
      </w:r>
      <w:r w:rsidRPr="00883399">
        <w:rPr>
          <w:sz w:val="24"/>
        </w:rPr>
        <w:t>is the emissions of gas type (</w:t>
      </w:r>
      <w:r w:rsidRPr="00883399">
        <w:rPr>
          <w:b/>
          <w:i/>
          <w:sz w:val="24"/>
        </w:rPr>
        <w:t>j</w:t>
      </w:r>
      <w:r w:rsidRPr="00883399">
        <w:rPr>
          <w:sz w:val="24"/>
        </w:rPr>
        <w:t>) released from the gas flared in the crude oil refining during the year measured in CO</w:t>
      </w:r>
      <w:r w:rsidRPr="00883399">
        <w:rPr>
          <w:rStyle w:val="charSubscript"/>
          <w:iCs/>
          <w:sz w:val="22"/>
        </w:rPr>
        <w:t>2</w:t>
      </w:r>
      <w:r w:rsidRPr="00883399">
        <w:rPr>
          <w:sz w:val="24"/>
        </w:rPr>
        <w:noBreakHyphen/>
        <w:t>e tonnes.</w:t>
      </w:r>
    </w:p>
    <w:p w14:paraId="63E8FF6D" w14:textId="77777777" w:rsidR="00872C03" w:rsidRPr="00883399" w:rsidRDefault="00872C03" w:rsidP="00872C03">
      <w:pPr>
        <w:pStyle w:val="Definition0"/>
        <w:rPr>
          <w:sz w:val="24"/>
        </w:rPr>
      </w:pPr>
      <w:r w:rsidRPr="00883399">
        <w:rPr>
          <w:b/>
          <w:i/>
          <w:sz w:val="24"/>
        </w:rPr>
        <w:t>Q</w:t>
      </w:r>
      <w:r w:rsidRPr="00883399">
        <w:rPr>
          <w:b/>
          <w:i/>
          <w:sz w:val="24"/>
          <w:vertAlign w:val="subscript"/>
        </w:rPr>
        <w:t>i</w:t>
      </w:r>
      <w:r w:rsidRPr="00883399">
        <w:rPr>
          <w:b/>
          <w:i/>
          <w:sz w:val="24"/>
        </w:rPr>
        <w:t xml:space="preserve"> </w:t>
      </w:r>
      <w:r w:rsidRPr="00883399">
        <w:rPr>
          <w:sz w:val="24"/>
        </w:rPr>
        <w:t>is the quantity of gas type (</w:t>
      </w:r>
      <w:r w:rsidRPr="00883399">
        <w:rPr>
          <w:b/>
          <w:i/>
          <w:sz w:val="24"/>
        </w:rPr>
        <w:t>i</w:t>
      </w:r>
      <w:r w:rsidRPr="00883399">
        <w:rPr>
          <w:sz w:val="24"/>
        </w:rPr>
        <w:t>) flared during the year measured in tonnes.</w:t>
      </w:r>
    </w:p>
    <w:p w14:paraId="7C9BD85A" w14:textId="77777777" w:rsidR="00872C03" w:rsidRPr="00883399" w:rsidRDefault="00872C03" w:rsidP="00872C03">
      <w:pPr>
        <w:pStyle w:val="Definition0"/>
        <w:rPr>
          <w:i/>
          <w:sz w:val="24"/>
        </w:rPr>
      </w:pPr>
      <w:r w:rsidRPr="00883399">
        <w:rPr>
          <w:b/>
          <w:i/>
          <w:sz w:val="24"/>
        </w:rPr>
        <w:t>EF</w:t>
      </w:r>
      <w:r w:rsidRPr="00883399">
        <w:rPr>
          <w:b/>
          <w:i/>
          <w:sz w:val="24"/>
          <w:vertAlign w:val="subscript"/>
        </w:rPr>
        <w:t>ij</w:t>
      </w:r>
      <w:r w:rsidRPr="00883399">
        <w:rPr>
          <w:b/>
          <w:i/>
          <w:sz w:val="24"/>
        </w:rPr>
        <w:t xml:space="preserve"> </w:t>
      </w:r>
      <w:r w:rsidRPr="00883399">
        <w:rPr>
          <w:sz w:val="24"/>
        </w:rPr>
        <w:t>is the emission factor for gas type (</w:t>
      </w:r>
      <w:r w:rsidRPr="00883399">
        <w:rPr>
          <w:b/>
          <w:i/>
          <w:sz w:val="24"/>
        </w:rPr>
        <w:t>j</w:t>
      </w:r>
      <w:r w:rsidRPr="00883399">
        <w:rPr>
          <w:sz w:val="24"/>
        </w:rPr>
        <w:t>) measured in tonnes of CO</w:t>
      </w:r>
      <w:r w:rsidRPr="00883399">
        <w:rPr>
          <w:rStyle w:val="charSubscript"/>
          <w:iCs/>
          <w:sz w:val="22"/>
        </w:rPr>
        <w:t>2</w:t>
      </w:r>
      <w:r w:rsidRPr="00883399">
        <w:rPr>
          <w:sz w:val="24"/>
        </w:rPr>
        <w:noBreakHyphen/>
        <w:t>e emissions per tonne of gas type (</w:t>
      </w:r>
      <w:r w:rsidRPr="00883399">
        <w:rPr>
          <w:b/>
          <w:i/>
          <w:sz w:val="24"/>
        </w:rPr>
        <w:t>i</w:t>
      </w:r>
      <w:r w:rsidRPr="00883399">
        <w:rPr>
          <w:sz w:val="24"/>
        </w:rPr>
        <w:t>) flared in the crude oil refining during the year</w:t>
      </w:r>
      <w:r w:rsidRPr="00883399">
        <w:rPr>
          <w:i/>
          <w:sz w:val="24"/>
        </w:rPr>
        <w:t>.</w:t>
      </w:r>
    </w:p>
    <w:p w14:paraId="01C7FA26" w14:textId="77777777" w:rsidR="00872C03" w:rsidRPr="00883399" w:rsidRDefault="00872C03" w:rsidP="00872C03">
      <w:pPr>
        <w:pStyle w:val="subsection"/>
        <w:rPr>
          <w:sz w:val="24"/>
        </w:rPr>
      </w:pPr>
      <w:r w:rsidRPr="00883399">
        <w:rPr>
          <w:sz w:val="24"/>
        </w:rPr>
        <w:tab/>
        <w:t>(2)</w:t>
      </w:r>
      <w:r w:rsidRPr="00883399">
        <w:rPr>
          <w:sz w:val="24"/>
        </w:rPr>
        <w:tab/>
        <w:t xml:space="preserve">For </w:t>
      </w:r>
      <w:r w:rsidRPr="00883399">
        <w:rPr>
          <w:b/>
          <w:i/>
          <w:sz w:val="24"/>
        </w:rPr>
        <w:t>EF</w:t>
      </w:r>
      <w:r w:rsidRPr="00883399">
        <w:rPr>
          <w:b/>
          <w:i/>
          <w:sz w:val="24"/>
          <w:vertAlign w:val="subscript"/>
        </w:rPr>
        <w:t xml:space="preserve">ij </w:t>
      </w:r>
      <w:r w:rsidRPr="00883399">
        <w:rPr>
          <w:sz w:val="24"/>
        </w:rPr>
        <w:t>in subsection (1), columns 3, 4 and 5 of an item in the following table specify the emission factor for gas type (</w:t>
      </w:r>
      <w:r w:rsidRPr="00883399">
        <w:rPr>
          <w:b/>
          <w:i/>
          <w:sz w:val="24"/>
        </w:rPr>
        <w:t>j</w:t>
      </w:r>
      <w:r w:rsidRPr="00883399">
        <w:rPr>
          <w:sz w:val="24"/>
        </w:rPr>
        <w:t>) for the fuel type (</w:t>
      </w:r>
      <w:r w:rsidRPr="00883399">
        <w:rPr>
          <w:b/>
          <w:i/>
          <w:sz w:val="24"/>
        </w:rPr>
        <w:t>i</w:t>
      </w:r>
      <w:r w:rsidRPr="00883399">
        <w:rPr>
          <w:sz w:val="24"/>
        </w:rPr>
        <w:t>) specified in column 2 of that item:</w:t>
      </w:r>
    </w:p>
    <w:p w14:paraId="6FD4243F" w14:textId="77777777" w:rsidR="00872C03" w:rsidRPr="00883399" w:rsidRDefault="00872C03" w:rsidP="00872C03">
      <w:pPr>
        <w:pStyle w:val="Tabletext0"/>
        <w:rPr>
          <w:sz w:val="22"/>
        </w:rPr>
      </w:pP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3"/>
        <w:gridCol w:w="1399"/>
        <w:gridCol w:w="1513"/>
        <w:gridCol w:w="1627"/>
        <w:gridCol w:w="1533"/>
      </w:tblGrid>
      <w:tr w:rsidR="00872C03" w:rsidRPr="00883399" w14:paraId="34F51F14" w14:textId="77777777" w:rsidTr="0031057E">
        <w:trPr>
          <w:cantSplit/>
          <w:tblHeader/>
        </w:trPr>
        <w:tc>
          <w:tcPr>
            <w:tcW w:w="1200" w:type="dxa"/>
            <w:tcBorders>
              <w:top w:val="single" w:sz="12" w:space="0" w:color="auto"/>
              <w:left w:val="nil"/>
              <w:bottom w:val="nil"/>
              <w:right w:val="nil"/>
            </w:tcBorders>
            <w:shd w:val="clear" w:color="auto" w:fill="auto"/>
          </w:tcPr>
          <w:p w14:paraId="387F77AE" w14:textId="77777777" w:rsidR="00872C03" w:rsidRPr="00883399" w:rsidRDefault="00872C03" w:rsidP="0031057E">
            <w:pPr>
              <w:pStyle w:val="TableHeading"/>
              <w:rPr>
                <w:sz w:val="22"/>
              </w:rPr>
            </w:pPr>
            <w:r w:rsidRPr="00883399">
              <w:rPr>
                <w:sz w:val="22"/>
              </w:rPr>
              <w:lastRenderedPageBreak/>
              <w:t>Item</w:t>
            </w:r>
          </w:p>
        </w:tc>
        <w:tc>
          <w:tcPr>
            <w:tcW w:w="1440" w:type="dxa"/>
            <w:vMerge w:val="restart"/>
            <w:tcBorders>
              <w:top w:val="single" w:sz="12" w:space="0" w:color="auto"/>
              <w:left w:val="nil"/>
              <w:bottom w:val="nil"/>
              <w:right w:val="nil"/>
            </w:tcBorders>
            <w:shd w:val="clear" w:color="auto" w:fill="auto"/>
          </w:tcPr>
          <w:p w14:paraId="0D1F2342" w14:textId="77777777" w:rsidR="00872C03" w:rsidRPr="00883399" w:rsidRDefault="00872C03" w:rsidP="0031057E">
            <w:pPr>
              <w:pStyle w:val="TableHeading"/>
              <w:rPr>
                <w:sz w:val="22"/>
              </w:rPr>
            </w:pPr>
            <w:r w:rsidRPr="00883399">
              <w:rPr>
                <w:sz w:val="22"/>
              </w:rPr>
              <w:t>fuel type (i)</w:t>
            </w:r>
          </w:p>
        </w:tc>
        <w:tc>
          <w:tcPr>
            <w:tcW w:w="4821" w:type="dxa"/>
            <w:gridSpan w:val="3"/>
            <w:tcBorders>
              <w:top w:val="single" w:sz="12" w:space="0" w:color="auto"/>
              <w:left w:val="nil"/>
              <w:bottom w:val="single" w:sz="4" w:space="0" w:color="auto"/>
              <w:right w:val="nil"/>
            </w:tcBorders>
            <w:shd w:val="clear" w:color="auto" w:fill="auto"/>
          </w:tcPr>
          <w:p w14:paraId="7E9854AB" w14:textId="77777777" w:rsidR="00872C03" w:rsidRPr="00883399" w:rsidRDefault="00872C03" w:rsidP="0031057E">
            <w:pPr>
              <w:pStyle w:val="TableHeading"/>
              <w:rPr>
                <w:sz w:val="22"/>
              </w:rPr>
            </w:pPr>
            <w:r w:rsidRPr="00883399">
              <w:rPr>
                <w:sz w:val="22"/>
              </w:rPr>
              <w:t>Emission factor of gas type (j) (tonnes CO</w:t>
            </w:r>
            <w:r w:rsidRPr="00883399">
              <w:rPr>
                <w:sz w:val="22"/>
                <w:vertAlign w:val="subscript"/>
              </w:rPr>
              <w:t>2</w:t>
            </w:r>
            <w:r w:rsidRPr="00883399">
              <w:rPr>
                <w:sz w:val="22"/>
              </w:rPr>
              <w:noBreakHyphen/>
              <w:t>e/tonnes fuel flared)</w:t>
            </w:r>
          </w:p>
        </w:tc>
      </w:tr>
      <w:tr w:rsidR="00872C03" w:rsidRPr="00883399" w14:paraId="17662657" w14:textId="77777777" w:rsidTr="0031057E">
        <w:trPr>
          <w:cantSplit/>
          <w:tblHeader/>
        </w:trPr>
        <w:tc>
          <w:tcPr>
            <w:tcW w:w="1200" w:type="dxa"/>
            <w:tcBorders>
              <w:top w:val="nil"/>
              <w:left w:val="nil"/>
              <w:bottom w:val="single" w:sz="12" w:space="0" w:color="auto"/>
              <w:right w:val="nil"/>
            </w:tcBorders>
            <w:shd w:val="clear" w:color="auto" w:fill="auto"/>
          </w:tcPr>
          <w:p w14:paraId="3AB61EF4" w14:textId="77777777" w:rsidR="00872C03" w:rsidRPr="00883399" w:rsidRDefault="00872C03" w:rsidP="0031057E">
            <w:pPr>
              <w:pStyle w:val="TableHeading"/>
              <w:rPr>
                <w:sz w:val="22"/>
              </w:rPr>
            </w:pPr>
          </w:p>
        </w:tc>
        <w:tc>
          <w:tcPr>
            <w:tcW w:w="1440" w:type="dxa"/>
            <w:vMerge/>
            <w:tcBorders>
              <w:top w:val="nil"/>
              <w:left w:val="nil"/>
              <w:bottom w:val="single" w:sz="12" w:space="0" w:color="auto"/>
              <w:right w:val="nil"/>
            </w:tcBorders>
            <w:shd w:val="clear" w:color="auto" w:fill="auto"/>
          </w:tcPr>
          <w:p w14:paraId="77CE4490" w14:textId="77777777" w:rsidR="00872C03" w:rsidRPr="00883399" w:rsidRDefault="00872C03" w:rsidP="0031057E">
            <w:pPr>
              <w:pStyle w:val="TableHeading"/>
              <w:rPr>
                <w:sz w:val="22"/>
              </w:rPr>
            </w:pPr>
          </w:p>
        </w:tc>
        <w:tc>
          <w:tcPr>
            <w:tcW w:w="1560" w:type="dxa"/>
            <w:tcBorders>
              <w:top w:val="single" w:sz="4" w:space="0" w:color="auto"/>
              <w:left w:val="nil"/>
              <w:bottom w:val="single" w:sz="12" w:space="0" w:color="auto"/>
              <w:right w:val="nil"/>
            </w:tcBorders>
            <w:shd w:val="clear" w:color="auto" w:fill="auto"/>
          </w:tcPr>
          <w:p w14:paraId="3F2944EB" w14:textId="77777777" w:rsidR="00872C03" w:rsidRPr="00883399" w:rsidRDefault="00872C03" w:rsidP="0031057E">
            <w:pPr>
              <w:pStyle w:val="TableHeading"/>
              <w:rPr>
                <w:sz w:val="22"/>
              </w:rPr>
            </w:pPr>
            <w:r w:rsidRPr="00883399">
              <w:rPr>
                <w:sz w:val="22"/>
              </w:rPr>
              <w:t>CO</w:t>
            </w:r>
            <w:r w:rsidRPr="00883399">
              <w:rPr>
                <w:sz w:val="22"/>
                <w:vertAlign w:val="subscript"/>
              </w:rPr>
              <w:t>2</w:t>
            </w:r>
          </w:p>
        </w:tc>
        <w:tc>
          <w:tcPr>
            <w:tcW w:w="1680" w:type="dxa"/>
            <w:tcBorders>
              <w:top w:val="single" w:sz="4" w:space="0" w:color="auto"/>
              <w:left w:val="nil"/>
              <w:bottom w:val="single" w:sz="12" w:space="0" w:color="auto"/>
              <w:right w:val="nil"/>
            </w:tcBorders>
            <w:shd w:val="clear" w:color="auto" w:fill="auto"/>
          </w:tcPr>
          <w:p w14:paraId="2D45C7E9" w14:textId="77777777" w:rsidR="00872C03" w:rsidRPr="00883399" w:rsidRDefault="00872C03" w:rsidP="0031057E">
            <w:pPr>
              <w:pStyle w:val="TableHeading"/>
              <w:rPr>
                <w:sz w:val="22"/>
              </w:rPr>
            </w:pPr>
            <w:r w:rsidRPr="00883399">
              <w:rPr>
                <w:sz w:val="22"/>
              </w:rPr>
              <w:t>CH</w:t>
            </w:r>
            <w:r w:rsidRPr="00883399">
              <w:rPr>
                <w:sz w:val="22"/>
                <w:vertAlign w:val="subscript"/>
              </w:rPr>
              <w:t>4</w:t>
            </w:r>
          </w:p>
        </w:tc>
        <w:tc>
          <w:tcPr>
            <w:tcW w:w="1581" w:type="dxa"/>
            <w:tcBorders>
              <w:top w:val="single" w:sz="4" w:space="0" w:color="auto"/>
              <w:left w:val="nil"/>
              <w:bottom w:val="single" w:sz="12" w:space="0" w:color="auto"/>
              <w:right w:val="nil"/>
            </w:tcBorders>
            <w:shd w:val="clear" w:color="auto" w:fill="auto"/>
          </w:tcPr>
          <w:p w14:paraId="6912F5A2" w14:textId="77777777" w:rsidR="00872C03" w:rsidRPr="00883399" w:rsidRDefault="00872C03" w:rsidP="0031057E">
            <w:pPr>
              <w:pStyle w:val="TableHeading"/>
              <w:rPr>
                <w:sz w:val="22"/>
              </w:rPr>
            </w:pPr>
            <w:r w:rsidRPr="00883399">
              <w:rPr>
                <w:sz w:val="22"/>
              </w:rPr>
              <w:t>N</w:t>
            </w:r>
            <w:r w:rsidRPr="00883399">
              <w:rPr>
                <w:sz w:val="22"/>
                <w:vertAlign w:val="subscript"/>
              </w:rPr>
              <w:t>2</w:t>
            </w:r>
            <w:r w:rsidRPr="00883399">
              <w:rPr>
                <w:sz w:val="22"/>
              </w:rPr>
              <w:t>O</w:t>
            </w:r>
          </w:p>
        </w:tc>
      </w:tr>
      <w:tr w:rsidR="00872C03" w:rsidRPr="00883399" w14:paraId="4C2A8BFA" w14:textId="77777777" w:rsidTr="0031057E">
        <w:tc>
          <w:tcPr>
            <w:tcW w:w="1200" w:type="dxa"/>
            <w:tcBorders>
              <w:top w:val="single" w:sz="12" w:space="0" w:color="auto"/>
              <w:left w:val="nil"/>
              <w:bottom w:val="single" w:sz="12" w:space="0" w:color="auto"/>
              <w:right w:val="nil"/>
            </w:tcBorders>
          </w:tcPr>
          <w:p w14:paraId="44D98CF4" w14:textId="77777777" w:rsidR="00872C03" w:rsidRPr="00883399" w:rsidRDefault="00872C03" w:rsidP="0031057E">
            <w:pPr>
              <w:pStyle w:val="Tabletext0"/>
              <w:rPr>
                <w:sz w:val="22"/>
              </w:rPr>
            </w:pPr>
            <w:r w:rsidRPr="00883399">
              <w:rPr>
                <w:sz w:val="22"/>
              </w:rPr>
              <w:t>1</w:t>
            </w:r>
          </w:p>
        </w:tc>
        <w:tc>
          <w:tcPr>
            <w:tcW w:w="1440" w:type="dxa"/>
            <w:tcBorders>
              <w:top w:val="single" w:sz="12" w:space="0" w:color="auto"/>
              <w:left w:val="nil"/>
              <w:bottom w:val="single" w:sz="12" w:space="0" w:color="auto"/>
              <w:right w:val="nil"/>
            </w:tcBorders>
          </w:tcPr>
          <w:p w14:paraId="69015311" w14:textId="77777777" w:rsidR="00872C03" w:rsidRPr="00883399" w:rsidRDefault="00872C03" w:rsidP="0031057E">
            <w:pPr>
              <w:pStyle w:val="Tabletext0"/>
              <w:rPr>
                <w:sz w:val="22"/>
              </w:rPr>
            </w:pPr>
            <w:r w:rsidRPr="00883399">
              <w:rPr>
                <w:sz w:val="22"/>
              </w:rPr>
              <w:t xml:space="preserve">gas </w:t>
            </w:r>
          </w:p>
        </w:tc>
        <w:tc>
          <w:tcPr>
            <w:tcW w:w="1560" w:type="dxa"/>
            <w:tcBorders>
              <w:top w:val="single" w:sz="12" w:space="0" w:color="auto"/>
              <w:left w:val="nil"/>
              <w:bottom w:val="single" w:sz="12" w:space="0" w:color="auto"/>
              <w:right w:val="nil"/>
            </w:tcBorders>
          </w:tcPr>
          <w:p w14:paraId="72DC98A0" w14:textId="77777777" w:rsidR="00872C03" w:rsidRPr="00883399" w:rsidRDefault="00872C03" w:rsidP="0031057E">
            <w:pPr>
              <w:pStyle w:val="Tabletext0"/>
              <w:rPr>
                <w:sz w:val="22"/>
              </w:rPr>
            </w:pPr>
            <w:r w:rsidRPr="00883399">
              <w:rPr>
                <w:sz w:val="22"/>
              </w:rPr>
              <w:t>2.7</w:t>
            </w:r>
          </w:p>
        </w:tc>
        <w:tc>
          <w:tcPr>
            <w:tcW w:w="1680" w:type="dxa"/>
            <w:tcBorders>
              <w:top w:val="single" w:sz="12" w:space="0" w:color="auto"/>
              <w:left w:val="nil"/>
              <w:bottom w:val="single" w:sz="12" w:space="0" w:color="auto"/>
              <w:right w:val="nil"/>
            </w:tcBorders>
          </w:tcPr>
          <w:p w14:paraId="13D83015" w14:textId="77777777" w:rsidR="00872C03" w:rsidRPr="00883399" w:rsidRDefault="00872C03" w:rsidP="0031057E">
            <w:pPr>
              <w:pStyle w:val="Tabletext0"/>
              <w:rPr>
                <w:sz w:val="22"/>
              </w:rPr>
            </w:pPr>
            <w:r w:rsidRPr="00883399">
              <w:rPr>
                <w:sz w:val="22"/>
              </w:rPr>
              <w:t>0.1</w:t>
            </w:r>
          </w:p>
        </w:tc>
        <w:tc>
          <w:tcPr>
            <w:tcW w:w="1581" w:type="dxa"/>
            <w:tcBorders>
              <w:top w:val="single" w:sz="12" w:space="0" w:color="auto"/>
              <w:left w:val="nil"/>
              <w:bottom w:val="single" w:sz="12" w:space="0" w:color="auto"/>
              <w:right w:val="nil"/>
            </w:tcBorders>
          </w:tcPr>
          <w:p w14:paraId="67B95624" w14:textId="77777777" w:rsidR="00872C03" w:rsidRPr="00883399" w:rsidRDefault="00872C03" w:rsidP="0031057E">
            <w:pPr>
              <w:pStyle w:val="Tabletext0"/>
              <w:rPr>
                <w:sz w:val="22"/>
              </w:rPr>
            </w:pPr>
            <w:r w:rsidRPr="00883399">
              <w:rPr>
                <w:sz w:val="22"/>
              </w:rPr>
              <w:t>0.03</w:t>
            </w:r>
          </w:p>
        </w:tc>
      </w:tr>
    </w:tbl>
    <w:p w14:paraId="1748DB0D" w14:textId="617AC419" w:rsidR="00872C03" w:rsidRPr="00883399" w:rsidRDefault="00872C03" w:rsidP="00872C03">
      <w:pPr>
        <w:pStyle w:val="ActHead5"/>
        <w:rPr>
          <w:sz w:val="28"/>
        </w:rPr>
      </w:pPr>
      <w:bookmarkStart w:id="684" w:name="_Toc423516955"/>
      <w:bookmarkStart w:id="685" w:name="_Toc495652872"/>
      <w:r w:rsidRPr="00883399">
        <w:rPr>
          <w:rStyle w:val="CharSectno"/>
          <w:sz w:val="28"/>
        </w:rPr>
        <w:t>3.68</w:t>
      </w:r>
      <w:r w:rsidRPr="00883399">
        <w:rPr>
          <w:sz w:val="28"/>
        </w:rPr>
        <w:t xml:space="preserve">  Method 2—gas flared from crude oil refining</w:t>
      </w:r>
      <w:bookmarkEnd w:id="684"/>
      <w:bookmarkEnd w:id="685"/>
    </w:p>
    <w:p w14:paraId="61084468" w14:textId="77777777" w:rsidR="00872C03" w:rsidRPr="00883399" w:rsidRDefault="00872C03" w:rsidP="00872C03">
      <w:pPr>
        <w:pStyle w:val="subsection"/>
        <w:rPr>
          <w:sz w:val="24"/>
        </w:rPr>
      </w:pPr>
      <w:r w:rsidRPr="00883399">
        <w:rPr>
          <w:sz w:val="24"/>
        </w:rPr>
        <w:tab/>
      </w:r>
      <w:r w:rsidRPr="00883399">
        <w:rPr>
          <w:sz w:val="24"/>
        </w:rPr>
        <w:tab/>
        <w:t>For subparagraph 3.62(4)(a)(ii), method 2 is:</w:t>
      </w:r>
    </w:p>
    <w:p w14:paraId="15353CF3" w14:textId="651D7839"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55E6D4A3" wp14:editId="13785E8A">
            <wp:extent cx="2054225" cy="237490"/>
            <wp:effectExtent l="19050" t="0" r="317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55"/>
                    <a:srcRect/>
                    <a:stretch>
                      <a:fillRect/>
                    </a:stretch>
                  </pic:blipFill>
                  <pic:spPr bwMode="auto">
                    <a:xfrm>
                      <a:off x="0" y="0"/>
                      <a:ext cx="2054225" cy="237490"/>
                    </a:xfrm>
                    <a:prstGeom prst="rect">
                      <a:avLst/>
                    </a:prstGeom>
                    <a:noFill/>
                    <a:ln w="9525">
                      <a:noFill/>
                      <a:miter lim="800000"/>
                      <a:headEnd/>
                      <a:tailEnd/>
                    </a:ln>
                  </pic:spPr>
                </pic:pic>
              </a:graphicData>
            </a:graphic>
          </wp:inline>
        </w:drawing>
      </w:r>
    </w:p>
    <w:p w14:paraId="366FF0B9" w14:textId="77777777" w:rsidR="00872C03" w:rsidRPr="00883399" w:rsidRDefault="00872C03" w:rsidP="00872C03">
      <w:pPr>
        <w:pStyle w:val="subsection2"/>
        <w:rPr>
          <w:sz w:val="24"/>
        </w:rPr>
      </w:pPr>
      <w:r w:rsidRPr="00883399">
        <w:rPr>
          <w:sz w:val="24"/>
        </w:rPr>
        <w:t>where:</w:t>
      </w:r>
    </w:p>
    <w:p w14:paraId="7F72B6C1" w14:textId="77777777" w:rsidR="00872C03" w:rsidRPr="00883399" w:rsidRDefault="00872C03" w:rsidP="00872C03">
      <w:pPr>
        <w:pStyle w:val="Definition0"/>
        <w:rPr>
          <w:sz w:val="24"/>
        </w:rPr>
      </w:pPr>
      <w:r w:rsidRPr="00883399">
        <w:rPr>
          <w:b/>
          <w:i/>
          <w:sz w:val="24"/>
        </w:rPr>
        <w:t>E</w:t>
      </w:r>
      <w:r w:rsidRPr="00883399">
        <w:rPr>
          <w:b/>
          <w:i/>
          <w:sz w:val="24"/>
          <w:vertAlign w:val="subscript"/>
        </w:rPr>
        <w:t>iCO</w:t>
      </w:r>
      <w:r w:rsidRPr="00883399">
        <w:rPr>
          <w:b/>
          <w:i/>
          <w:position w:val="-4"/>
          <w:sz w:val="24"/>
          <w:vertAlign w:val="subscript"/>
        </w:rPr>
        <w:t>2</w:t>
      </w:r>
      <w:r w:rsidRPr="00883399">
        <w:rPr>
          <w:sz w:val="24"/>
        </w:rPr>
        <w:t xml:space="preserve"> is the fugitive emissions of CO</w:t>
      </w:r>
      <w:r w:rsidRPr="00883399">
        <w:rPr>
          <w:sz w:val="24"/>
          <w:vertAlign w:val="subscript"/>
        </w:rPr>
        <w:t>2</w:t>
      </w:r>
      <w:r w:rsidRPr="00883399">
        <w:rPr>
          <w:sz w:val="24"/>
        </w:rPr>
        <w:t xml:space="preserve"> from fuel type (</w:t>
      </w:r>
      <w:r w:rsidRPr="00883399">
        <w:rPr>
          <w:b/>
          <w:i/>
          <w:sz w:val="24"/>
        </w:rPr>
        <w:t>i</w:t>
      </w:r>
      <w:r w:rsidRPr="00883399">
        <w:rPr>
          <w:sz w:val="24"/>
        </w:rPr>
        <w:t>) flared in crude oil refining during the year, measured in CO</w:t>
      </w:r>
      <w:r w:rsidRPr="00883399">
        <w:rPr>
          <w:sz w:val="24"/>
          <w:vertAlign w:val="subscript"/>
        </w:rPr>
        <w:t>2</w:t>
      </w:r>
      <w:r w:rsidRPr="00883399">
        <w:rPr>
          <w:sz w:val="24"/>
        </w:rPr>
        <w:noBreakHyphen/>
        <w:t>e tonnes.</w:t>
      </w:r>
    </w:p>
    <w:p w14:paraId="6EDA0A3D" w14:textId="77777777" w:rsidR="00872C03" w:rsidRPr="00883399" w:rsidRDefault="00872C03" w:rsidP="00872C03">
      <w:pPr>
        <w:pStyle w:val="Definition0"/>
        <w:rPr>
          <w:sz w:val="24"/>
        </w:rPr>
      </w:pPr>
      <w:r w:rsidRPr="00883399">
        <w:rPr>
          <w:b/>
          <w:i/>
          <w:sz w:val="24"/>
        </w:rPr>
        <w:t>Q</w:t>
      </w:r>
      <w:r w:rsidRPr="00883399">
        <w:rPr>
          <w:b/>
          <w:i/>
          <w:sz w:val="24"/>
          <w:vertAlign w:val="subscript"/>
        </w:rPr>
        <w:t>h</w:t>
      </w:r>
      <w:r w:rsidRPr="00883399">
        <w:rPr>
          <w:i/>
          <w:sz w:val="24"/>
        </w:rPr>
        <w:t xml:space="preserve"> </w:t>
      </w:r>
      <w:r w:rsidRPr="00883399">
        <w:rPr>
          <w:sz w:val="24"/>
        </w:rPr>
        <w:t>is the total quantity of hydrocarbons (</w:t>
      </w:r>
      <w:r w:rsidRPr="00883399">
        <w:rPr>
          <w:b/>
          <w:i/>
          <w:sz w:val="24"/>
        </w:rPr>
        <w:t>h</w:t>
      </w:r>
      <w:r w:rsidRPr="00883399">
        <w:rPr>
          <w:sz w:val="24"/>
        </w:rPr>
        <w:t>) within the fuel type (</w:t>
      </w:r>
      <w:r w:rsidRPr="00883399">
        <w:rPr>
          <w:b/>
          <w:i/>
          <w:sz w:val="24"/>
        </w:rPr>
        <w:t>i</w:t>
      </w:r>
      <w:r w:rsidRPr="00883399">
        <w:rPr>
          <w:sz w:val="24"/>
        </w:rPr>
        <w:t>) in crude oil refining during the year, measured in tonnes in accordance with Division 2.3.3.</w:t>
      </w:r>
    </w:p>
    <w:p w14:paraId="3DC7B761" w14:textId="77777777" w:rsidR="00872C03" w:rsidRPr="00883399" w:rsidRDefault="00872C03" w:rsidP="00872C03">
      <w:pPr>
        <w:pStyle w:val="Definition0"/>
        <w:rPr>
          <w:sz w:val="24"/>
        </w:rPr>
      </w:pPr>
      <w:r w:rsidRPr="00883399">
        <w:rPr>
          <w:b/>
          <w:i/>
          <w:sz w:val="24"/>
        </w:rPr>
        <w:t>EF</w:t>
      </w:r>
      <w:r w:rsidRPr="00883399">
        <w:rPr>
          <w:b/>
          <w:i/>
          <w:sz w:val="24"/>
          <w:vertAlign w:val="subscript"/>
        </w:rPr>
        <w:t>h</w:t>
      </w:r>
      <w:r w:rsidRPr="00883399">
        <w:rPr>
          <w:sz w:val="24"/>
        </w:rPr>
        <w:t xml:space="preserve"> is the emission factor for the total hydrocarbons (</w:t>
      </w:r>
      <w:r w:rsidRPr="00883399">
        <w:rPr>
          <w:b/>
          <w:i/>
          <w:sz w:val="24"/>
        </w:rPr>
        <w:t>h</w:t>
      </w:r>
      <w:r w:rsidRPr="00883399">
        <w:rPr>
          <w:sz w:val="24"/>
        </w:rPr>
        <w:t>) within the fuel type (</w:t>
      </w:r>
      <w:r w:rsidRPr="00883399">
        <w:rPr>
          <w:b/>
          <w:i/>
          <w:sz w:val="24"/>
        </w:rPr>
        <w:t>i</w:t>
      </w:r>
      <w:r w:rsidRPr="00883399">
        <w:rPr>
          <w:sz w:val="24"/>
        </w:rPr>
        <w:t>) in the crude oil refining during the year, measured in CO</w:t>
      </w:r>
      <w:r w:rsidRPr="00883399">
        <w:rPr>
          <w:sz w:val="24"/>
          <w:vertAlign w:val="subscript"/>
        </w:rPr>
        <w:t>2</w:t>
      </w:r>
      <w:r w:rsidRPr="00883399">
        <w:rPr>
          <w:sz w:val="24"/>
        </w:rPr>
        <w:noBreakHyphen/>
        <w:t>e tonnes per tonne of fuel type (</w:t>
      </w:r>
      <w:r w:rsidRPr="00883399">
        <w:rPr>
          <w:b/>
          <w:i/>
          <w:sz w:val="24"/>
        </w:rPr>
        <w:t>i</w:t>
      </w:r>
      <w:r w:rsidRPr="00883399">
        <w:rPr>
          <w:sz w:val="24"/>
        </w:rPr>
        <w:t>) flared, estimated in accordance with method 2 in Division 2.3.3.</w:t>
      </w:r>
    </w:p>
    <w:p w14:paraId="31D2C966" w14:textId="77777777" w:rsidR="00872C03" w:rsidRPr="00883399" w:rsidRDefault="00872C03" w:rsidP="00872C03">
      <w:pPr>
        <w:pStyle w:val="Definition0"/>
        <w:rPr>
          <w:sz w:val="24"/>
        </w:rPr>
      </w:pPr>
      <w:r w:rsidRPr="00883399">
        <w:rPr>
          <w:b/>
          <w:i/>
          <w:sz w:val="24"/>
        </w:rPr>
        <w:t>OF</w:t>
      </w:r>
      <w:r w:rsidRPr="00883399">
        <w:rPr>
          <w:b/>
          <w:i/>
          <w:sz w:val="24"/>
          <w:vertAlign w:val="subscript"/>
        </w:rPr>
        <w:t>i</w:t>
      </w:r>
      <w:r w:rsidRPr="00883399">
        <w:rPr>
          <w:sz w:val="24"/>
        </w:rPr>
        <w:t xml:space="preserve"> is 0.98, which is the destruction efficiency of fuel type (</w:t>
      </w:r>
      <w:r w:rsidRPr="00883399">
        <w:rPr>
          <w:b/>
          <w:i/>
          <w:sz w:val="24"/>
        </w:rPr>
        <w:t>i</w:t>
      </w:r>
      <w:r w:rsidRPr="00883399">
        <w:rPr>
          <w:sz w:val="24"/>
        </w:rPr>
        <w:t>) flared.</w:t>
      </w:r>
    </w:p>
    <w:p w14:paraId="7E851AA1" w14:textId="77777777" w:rsidR="00872C03" w:rsidRPr="00883399" w:rsidRDefault="00872C03" w:rsidP="00872C03">
      <w:pPr>
        <w:pStyle w:val="Definition0"/>
        <w:rPr>
          <w:sz w:val="24"/>
        </w:rPr>
      </w:pPr>
      <w:r w:rsidRPr="00883399">
        <w:rPr>
          <w:b/>
          <w:i/>
          <w:sz w:val="24"/>
        </w:rPr>
        <w:t>QCO</w:t>
      </w:r>
      <w:r w:rsidRPr="00883399">
        <w:rPr>
          <w:b/>
          <w:i/>
          <w:sz w:val="24"/>
          <w:vertAlign w:val="subscript"/>
        </w:rPr>
        <w:t>2</w:t>
      </w:r>
      <w:r w:rsidRPr="00883399">
        <w:rPr>
          <w:sz w:val="24"/>
        </w:rPr>
        <w:t xml:space="preserve"> is the quantity of CO</w:t>
      </w:r>
      <w:r w:rsidRPr="00883399">
        <w:rPr>
          <w:sz w:val="24"/>
          <w:vertAlign w:val="subscript"/>
        </w:rPr>
        <w:t>2</w:t>
      </w:r>
      <w:r w:rsidRPr="00883399">
        <w:rPr>
          <w:sz w:val="24"/>
        </w:rPr>
        <w:t xml:space="preserve"> within the fuel type (</w:t>
      </w:r>
      <w:r w:rsidRPr="00883399">
        <w:rPr>
          <w:b/>
          <w:i/>
          <w:sz w:val="24"/>
        </w:rPr>
        <w:t>i</w:t>
      </w:r>
      <w:r w:rsidRPr="00883399">
        <w:rPr>
          <w:sz w:val="24"/>
        </w:rPr>
        <w:t>) in the crude oil refining during the year, measured in CO</w:t>
      </w:r>
      <w:r w:rsidRPr="00883399">
        <w:rPr>
          <w:sz w:val="24"/>
          <w:vertAlign w:val="subscript"/>
        </w:rPr>
        <w:t>2</w:t>
      </w:r>
      <w:r w:rsidRPr="00883399">
        <w:rPr>
          <w:sz w:val="24"/>
        </w:rPr>
        <w:noBreakHyphen/>
        <w:t>e tonnes in accordance with Division 2.3.3.</w:t>
      </w:r>
    </w:p>
    <w:p w14:paraId="535B84C1" w14:textId="4E456A82" w:rsidR="00872C03" w:rsidRPr="00883399" w:rsidRDefault="00872C03" w:rsidP="00872C03">
      <w:pPr>
        <w:pStyle w:val="ActHead5"/>
        <w:rPr>
          <w:sz w:val="28"/>
        </w:rPr>
      </w:pPr>
      <w:bookmarkStart w:id="686" w:name="_Toc423516956"/>
      <w:bookmarkStart w:id="687" w:name="_Toc495652873"/>
      <w:r w:rsidRPr="00883399">
        <w:rPr>
          <w:rStyle w:val="CharSectno"/>
          <w:sz w:val="28"/>
        </w:rPr>
        <w:t>3.68A</w:t>
      </w:r>
      <w:r w:rsidRPr="00883399">
        <w:rPr>
          <w:sz w:val="28"/>
        </w:rPr>
        <w:t xml:space="preserve">   Method 2A—crude oil refining (flared methane or nitrous oxide emissions)</w:t>
      </w:r>
      <w:bookmarkEnd w:id="686"/>
      <w:bookmarkEnd w:id="687"/>
    </w:p>
    <w:p w14:paraId="7900BA19" w14:textId="77777777" w:rsidR="00872C03" w:rsidRPr="00883399" w:rsidRDefault="00872C03" w:rsidP="00872C03">
      <w:pPr>
        <w:pStyle w:val="subsection"/>
        <w:rPr>
          <w:sz w:val="24"/>
        </w:rPr>
      </w:pPr>
      <w:r w:rsidRPr="00883399">
        <w:rPr>
          <w:sz w:val="24"/>
        </w:rPr>
        <w:tab/>
      </w:r>
      <w:r w:rsidRPr="00883399">
        <w:rPr>
          <w:sz w:val="24"/>
        </w:rPr>
        <w:tab/>
        <w:t>For subparagraphs 3.62(4)(b)(ii) and (c)(ii), method 2A is:</w:t>
      </w:r>
    </w:p>
    <w:p w14:paraId="2BF0570E" w14:textId="77777777" w:rsidR="00872C03" w:rsidRPr="00883399" w:rsidRDefault="00872C03" w:rsidP="00872C03">
      <w:pPr>
        <w:pStyle w:val="subsection2"/>
        <w:rPr>
          <w:sz w:val="24"/>
        </w:rPr>
      </w:pPr>
      <w:r w:rsidRPr="00883399">
        <w:rPr>
          <w:sz w:val="24"/>
        </w:rPr>
        <w:object w:dxaOrig="2079" w:dyaOrig="440" w14:anchorId="0BCF8823">
          <v:shape id="_x0000_i1062" type="#_x0000_t75" style="width:105.75pt;height:21.75pt" o:ole="">
            <v:imagedata r:id="rId156" o:title=""/>
          </v:shape>
          <o:OLEObject Type="Embed" ProgID="Equation.DSMT4" ShapeID="_x0000_i1062" DrawAspect="Content" ObjectID="_1594105953" r:id="rId157"/>
        </w:object>
      </w:r>
    </w:p>
    <w:p w14:paraId="3E48853C" w14:textId="77777777" w:rsidR="00872C03" w:rsidRPr="00883399" w:rsidRDefault="00872C03" w:rsidP="00872C03">
      <w:pPr>
        <w:pStyle w:val="subsection2"/>
        <w:rPr>
          <w:sz w:val="24"/>
        </w:rPr>
      </w:pPr>
      <w:r w:rsidRPr="00883399">
        <w:rPr>
          <w:sz w:val="24"/>
        </w:rPr>
        <w:t>where:</w:t>
      </w:r>
    </w:p>
    <w:p w14:paraId="7F2C1DC5" w14:textId="77777777" w:rsidR="00872C03" w:rsidRPr="00883399" w:rsidRDefault="00872C03" w:rsidP="00872C03">
      <w:pPr>
        <w:pStyle w:val="Definition0"/>
        <w:rPr>
          <w:sz w:val="24"/>
        </w:rPr>
      </w:pPr>
      <w:r w:rsidRPr="00883399">
        <w:rPr>
          <w:b/>
          <w:i/>
          <w:sz w:val="24"/>
        </w:rPr>
        <w:t>EF</w:t>
      </w:r>
      <w:r w:rsidRPr="00883399">
        <w:rPr>
          <w:b/>
          <w:i/>
          <w:sz w:val="24"/>
          <w:vertAlign w:val="subscript"/>
        </w:rPr>
        <w:t>hij</w:t>
      </w:r>
      <w:r w:rsidRPr="00883399">
        <w:rPr>
          <w:sz w:val="24"/>
        </w:rPr>
        <w:t xml:space="preserve"> is the emission factor of gas type (</w:t>
      </w:r>
      <w:r w:rsidRPr="00883399">
        <w:rPr>
          <w:b/>
          <w:i/>
          <w:sz w:val="24"/>
        </w:rPr>
        <w:t>j</w:t>
      </w:r>
      <w:r w:rsidRPr="00883399">
        <w:rPr>
          <w:sz w:val="24"/>
        </w:rPr>
        <w:t>), being methane or nitrous oxide, for the total hydrocarbons (</w:t>
      </w:r>
      <w:r w:rsidRPr="00883399">
        <w:rPr>
          <w:b/>
          <w:i/>
          <w:sz w:val="24"/>
        </w:rPr>
        <w:t>h</w:t>
      </w:r>
      <w:r w:rsidRPr="00883399">
        <w:rPr>
          <w:sz w:val="24"/>
        </w:rPr>
        <w:t>) within the fuel type (</w:t>
      </w:r>
      <w:r w:rsidRPr="00883399">
        <w:rPr>
          <w:b/>
          <w:i/>
          <w:sz w:val="24"/>
        </w:rPr>
        <w:t>i</w:t>
      </w:r>
      <w:r w:rsidRPr="00883399">
        <w:rPr>
          <w:sz w:val="24"/>
        </w:rPr>
        <w:t>) in crude oil refining during the year, mentioned for the fuel type in the table in subsection 3.67(2) and measured in CO</w:t>
      </w:r>
      <w:r w:rsidRPr="00883399">
        <w:rPr>
          <w:sz w:val="24"/>
          <w:vertAlign w:val="subscript"/>
        </w:rPr>
        <w:t>2</w:t>
      </w:r>
      <w:r w:rsidRPr="00883399">
        <w:rPr>
          <w:sz w:val="24"/>
        </w:rPr>
        <w:noBreakHyphen/>
        <w:t>e tonnes per tonne of the fuel type (</w:t>
      </w:r>
      <w:r w:rsidRPr="00883399">
        <w:rPr>
          <w:b/>
          <w:i/>
          <w:sz w:val="24"/>
        </w:rPr>
        <w:t>i</w:t>
      </w:r>
      <w:r w:rsidRPr="00883399">
        <w:rPr>
          <w:sz w:val="24"/>
        </w:rPr>
        <w:t>) flared.</w:t>
      </w:r>
    </w:p>
    <w:p w14:paraId="5A7EF9A3" w14:textId="77777777" w:rsidR="00872C03" w:rsidRPr="00883399" w:rsidRDefault="00872C03" w:rsidP="00872C03">
      <w:pPr>
        <w:pStyle w:val="Definition0"/>
        <w:rPr>
          <w:sz w:val="24"/>
        </w:rPr>
      </w:pPr>
      <w:r w:rsidRPr="00883399">
        <w:rPr>
          <w:b/>
          <w:i/>
          <w:sz w:val="24"/>
        </w:rPr>
        <w:lastRenderedPageBreak/>
        <w:t>E</w:t>
      </w:r>
      <w:r w:rsidRPr="00883399">
        <w:rPr>
          <w:b/>
          <w:i/>
          <w:sz w:val="24"/>
          <w:vertAlign w:val="subscript"/>
        </w:rPr>
        <w:t>ij</w:t>
      </w:r>
      <w:r w:rsidRPr="00883399">
        <w:rPr>
          <w:sz w:val="24"/>
        </w:rPr>
        <w:t xml:space="preserve"> is the fugitive emissions of gas type (</w:t>
      </w:r>
      <w:r w:rsidRPr="00883399">
        <w:rPr>
          <w:b/>
          <w:i/>
          <w:sz w:val="24"/>
        </w:rPr>
        <w:t>j</w:t>
      </w:r>
      <w:r w:rsidRPr="00883399">
        <w:rPr>
          <w:sz w:val="24"/>
        </w:rPr>
        <w:t>), being methane or nitrous oxide, from fuel type (</w:t>
      </w:r>
      <w:r w:rsidRPr="00883399">
        <w:rPr>
          <w:b/>
          <w:i/>
          <w:sz w:val="24"/>
        </w:rPr>
        <w:t>i</w:t>
      </w:r>
      <w:r w:rsidRPr="00883399">
        <w:rPr>
          <w:sz w:val="24"/>
        </w:rPr>
        <w:t>) flared</w:t>
      </w:r>
      <w:r w:rsidRPr="00883399">
        <w:rPr>
          <w:i/>
          <w:sz w:val="24"/>
        </w:rPr>
        <w:t xml:space="preserve"> </w:t>
      </w:r>
      <w:r w:rsidRPr="00883399">
        <w:rPr>
          <w:sz w:val="24"/>
        </w:rPr>
        <w:t>from crude oil refining during the year, measured in CO</w:t>
      </w:r>
      <w:r w:rsidRPr="00883399">
        <w:rPr>
          <w:sz w:val="24"/>
          <w:vertAlign w:val="subscript"/>
        </w:rPr>
        <w:t>2</w:t>
      </w:r>
      <w:r w:rsidRPr="00883399">
        <w:rPr>
          <w:sz w:val="24"/>
        </w:rPr>
        <w:noBreakHyphen/>
        <w:t>e tonnes.</w:t>
      </w:r>
    </w:p>
    <w:p w14:paraId="543BD1C8" w14:textId="77777777" w:rsidR="00872C03" w:rsidRPr="00883399" w:rsidRDefault="00872C03" w:rsidP="00872C03">
      <w:pPr>
        <w:pStyle w:val="Definition0"/>
        <w:rPr>
          <w:sz w:val="24"/>
        </w:rPr>
      </w:pPr>
      <w:r w:rsidRPr="00883399">
        <w:rPr>
          <w:b/>
          <w:i/>
          <w:sz w:val="24"/>
        </w:rPr>
        <w:t>OF</w:t>
      </w:r>
      <w:r w:rsidRPr="00883399">
        <w:rPr>
          <w:b/>
          <w:i/>
          <w:sz w:val="24"/>
          <w:vertAlign w:val="subscript"/>
        </w:rPr>
        <w:t>i</w:t>
      </w:r>
      <w:r w:rsidRPr="00883399">
        <w:rPr>
          <w:sz w:val="24"/>
        </w:rPr>
        <w:t xml:space="preserve"> is 0.98, which is the destruction efficiency of fuel type (</w:t>
      </w:r>
      <w:r w:rsidRPr="00883399">
        <w:rPr>
          <w:b/>
          <w:i/>
          <w:sz w:val="24"/>
        </w:rPr>
        <w:t>i</w:t>
      </w:r>
      <w:r w:rsidRPr="00883399">
        <w:rPr>
          <w:sz w:val="24"/>
        </w:rPr>
        <w:t>) flared.</w:t>
      </w:r>
    </w:p>
    <w:p w14:paraId="15EBD142" w14:textId="77777777" w:rsidR="00872C03" w:rsidRPr="00883399" w:rsidRDefault="00872C03" w:rsidP="00872C03">
      <w:pPr>
        <w:pStyle w:val="Definition0"/>
        <w:rPr>
          <w:sz w:val="24"/>
        </w:rPr>
      </w:pPr>
      <w:r w:rsidRPr="00883399">
        <w:rPr>
          <w:b/>
          <w:i/>
          <w:sz w:val="24"/>
        </w:rPr>
        <w:t>Q</w:t>
      </w:r>
      <w:r w:rsidRPr="00883399">
        <w:rPr>
          <w:b/>
          <w:i/>
          <w:sz w:val="24"/>
          <w:vertAlign w:val="subscript"/>
        </w:rPr>
        <w:t>h</w:t>
      </w:r>
      <w:r w:rsidRPr="00883399">
        <w:rPr>
          <w:sz w:val="24"/>
        </w:rPr>
        <w:t xml:space="preserve"> is the total quantity of hydrocarbons (</w:t>
      </w:r>
      <w:r w:rsidRPr="00883399">
        <w:rPr>
          <w:b/>
          <w:i/>
          <w:sz w:val="24"/>
        </w:rPr>
        <w:t>h</w:t>
      </w:r>
      <w:r w:rsidRPr="00883399">
        <w:rPr>
          <w:sz w:val="24"/>
        </w:rPr>
        <w:t>) within the fuel type (</w:t>
      </w:r>
      <w:r w:rsidRPr="00883399">
        <w:rPr>
          <w:b/>
          <w:i/>
          <w:sz w:val="24"/>
        </w:rPr>
        <w:t>i</w:t>
      </w:r>
      <w:r w:rsidRPr="00883399">
        <w:rPr>
          <w:sz w:val="24"/>
        </w:rPr>
        <w:t>) in crude oil refining during the year, measured in tonnes in accordance with Division 2.3.3.</w:t>
      </w:r>
    </w:p>
    <w:p w14:paraId="12C77E29" w14:textId="01A39DB3" w:rsidR="00872C03" w:rsidRPr="00883399" w:rsidRDefault="00872C03" w:rsidP="00872C03">
      <w:pPr>
        <w:pStyle w:val="ActHead5"/>
        <w:rPr>
          <w:sz w:val="28"/>
        </w:rPr>
      </w:pPr>
      <w:bookmarkStart w:id="688" w:name="_Toc423516957"/>
      <w:bookmarkStart w:id="689" w:name="_Toc495652874"/>
      <w:r w:rsidRPr="00883399">
        <w:rPr>
          <w:sz w:val="28"/>
        </w:rPr>
        <w:t>3.69  Method 3—gas flared from crude oil refining</w:t>
      </w:r>
      <w:bookmarkEnd w:id="688"/>
      <w:bookmarkEnd w:id="689"/>
    </w:p>
    <w:p w14:paraId="0A3FB2AE" w14:textId="77777777" w:rsidR="00872C03" w:rsidRPr="00883399" w:rsidRDefault="00872C03" w:rsidP="00872C03">
      <w:pPr>
        <w:pStyle w:val="subsection"/>
        <w:rPr>
          <w:sz w:val="24"/>
        </w:rPr>
      </w:pPr>
      <w:r w:rsidRPr="00883399">
        <w:rPr>
          <w:sz w:val="24"/>
        </w:rPr>
        <w:tab/>
      </w:r>
      <w:r w:rsidRPr="00883399">
        <w:rPr>
          <w:sz w:val="24"/>
        </w:rPr>
        <w:tab/>
        <w:t xml:space="preserve">For subparagraph 3.62(4)(a)(iii), method 3 is the same as method 2 under section 3.68, but the emission factor </w:t>
      </w:r>
      <w:r w:rsidRPr="00883399">
        <w:rPr>
          <w:b/>
          <w:i/>
          <w:sz w:val="24"/>
        </w:rPr>
        <w:t>EF</w:t>
      </w:r>
      <w:r w:rsidRPr="00883399">
        <w:rPr>
          <w:b/>
          <w:i/>
          <w:sz w:val="24"/>
          <w:vertAlign w:val="subscript"/>
        </w:rPr>
        <w:t>ij</w:t>
      </w:r>
      <w:r w:rsidRPr="00883399">
        <w:rPr>
          <w:sz w:val="24"/>
        </w:rPr>
        <w:t xml:space="preserve"> must be determined in accordance with method 3 for the consumption of gaseous fuels as specified in Division 2.3.4.</w:t>
      </w:r>
    </w:p>
    <w:p w14:paraId="48B67123" w14:textId="77777777" w:rsidR="00872C03" w:rsidRPr="00883399" w:rsidRDefault="00872C03" w:rsidP="00872C03">
      <w:pPr>
        <w:pStyle w:val="R2"/>
      </w:pPr>
    </w:p>
    <w:p w14:paraId="1A1F20D6"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b/>
          <w:lang w:eastAsia="en-US"/>
        </w:rPr>
      </w:pPr>
      <w:r w:rsidRPr="00883399">
        <w:rPr>
          <w:b/>
          <w:lang w:eastAsia="en-US"/>
        </w:rPr>
        <w:t>Estimating carbon dioxide emissions from crude oil refining flaring using Method 2</w:t>
      </w:r>
    </w:p>
    <w:p w14:paraId="373B7268"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lang w:eastAsia="en-US"/>
        </w:rPr>
      </w:pPr>
      <w:r w:rsidRPr="00883399">
        <w:rPr>
          <w:lang w:eastAsia="en-US"/>
        </w:rPr>
        <w:t>Crude oil refining usually involves some flaring of a waste gas stream. In this example a facility flares a waste gas stream of 10,000 tonnes during the year, which contains a relatively high content of carbon dioxide in addition to some hydrogen sulphide and hydrocarbons. The reporters have chosen to use method 2 as this approach provides the opportunity to develop a carbon dioxide emission factor that better reflects the hydrocarbons present in the gas stream, as well as account for the in-situ carbon dioxide quantity which is emitted, but not combusted in the flare.</w:t>
      </w:r>
    </w:p>
    <w:p w14:paraId="7EA0D040" w14:textId="77777777" w:rsidR="00872C03" w:rsidRPr="00883399" w:rsidRDefault="00872C03" w:rsidP="00872C03">
      <w:pPr>
        <w:pBdr>
          <w:top w:val="single" w:sz="4" w:space="1" w:color="auto"/>
          <w:left w:val="single" w:sz="4" w:space="4" w:color="auto"/>
          <w:bottom w:val="single" w:sz="4" w:space="1" w:color="auto"/>
          <w:right w:val="single" w:sz="4" w:space="4" w:color="auto"/>
        </w:pBdr>
        <w:shd w:val="clear" w:color="auto" w:fill="D9D9D9"/>
        <w:spacing w:after="240"/>
        <w:rPr>
          <w:i/>
          <w:lang w:eastAsia="en-US"/>
        </w:rPr>
      </w:pPr>
      <w:r w:rsidRPr="00883399">
        <w:rPr>
          <w:i/>
          <w:lang w:eastAsia="en-US"/>
        </w:rPr>
        <w:t>Calculate the carbon dioxide emissions using Method 2 in section 3.68 of NGER (Measurement) Determination</w:t>
      </w:r>
    </w:p>
    <w:p w14:paraId="7A622A99"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lang w:eastAsia="en-US"/>
        </w:rPr>
      </w:pPr>
      <w:r w:rsidRPr="00883399">
        <w:rPr>
          <w:lang w:eastAsia="en-US"/>
        </w:rPr>
        <w:tab/>
      </w:r>
    </w:p>
    <w:p w14:paraId="23091975"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jc w:val="center"/>
        <w:rPr>
          <w:sz w:val="28"/>
          <w:szCs w:val="28"/>
          <w:lang w:eastAsia="en-US"/>
        </w:rPr>
      </w:pPr>
      <w:r w:rsidRPr="00883399">
        <w:rPr>
          <w:sz w:val="28"/>
          <w:szCs w:val="28"/>
          <w:lang w:eastAsia="en-US"/>
        </w:rPr>
        <w:t>E</w:t>
      </w:r>
      <w:r w:rsidRPr="00883399">
        <w:rPr>
          <w:sz w:val="28"/>
          <w:szCs w:val="28"/>
          <w:vertAlign w:val="subscript"/>
          <w:lang w:eastAsia="en-US"/>
        </w:rPr>
        <w:t>ico2</w:t>
      </w:r>
      <w:r w:rsidRPr="00883399">
        <w:rPr>
          <w:sz w:val="28"/>
          <w:szCs w:val="28"/>
          <w:lang w:eastAsia="en-US"/>
        </w:rPr>
        <w:t xml:space="preserve"> = (Q</w:t>
      </w:r>
      <w:r w:rsidRPr="00883399">
        <w:rPr>
          <w:sz w:val="28"/>
          <w:szCs w:val="28"/>
          <w:vertAlign w:val="subscript"/>
          <w:lang w:eastAsia="en-US"/>
        </w:rPr>
        <w:t>h</w:t>
      </w:r>
      <w:r w:rsidRPr="00883399">
        <w:rPr>
          <w:sz w:val="28"/>
          <w:szCs w:val="28"/>
          <w:lang w:eastAsia="en-US"/>
        </w:rPr>
        <w:t xml:space="preserve"> × EF</w:t>
      </w:r>
      <w:r w:rsidRPr="00883399">
        <w:rPr>
          <w:sz w:val="28"/>
          <w:szCs w:val="28"/>
          <w:vertAlign w:val="subscript"/>
          <w:lang w:eastAsia="en-US"/>
        </w:rPr>
        <w:t>h</w:t>
      </w:r>
      <w:r w:rsidRPr="00883399">
        <w:rPr>
          <w:sz w:val="28"/>
          <w:szCs w:val="28"/>
          <w:lang w:eastAsia="en-US"/>
        </w:rPr>
        <w:t xml:space="preserve"> × OF</w:t>
      </w:r>
      <w:r w:rsidRPr="00883399">
        <w:rPr>
          <w:sz w:val="28"/>
          <w:szCs w:val="28"/>
          <w:vertAlign w:val="subscript"/>
          <w:lang w:eastAsia="en-US"/>
        </w:rPr>
        <w:t xml:space="preserve">i </w:t>
      </w:r>
      <w:r w:rsidRPr="00883399">
        <w:rPr>
          <w:sz w:val="28"/>
          <w:szCs w:val="28"/>
          <w:lang w:eastAsia="en-US"/>
        </w:rPr>
        <w:t>) + QCO</w:t>
      </w:r>
      <w:r w:rsidRPr="00883399">
        <w:rPr>
          <w:sz w:val="28"/>
          <w:szCs w:val="28"/>
          <w:vertAlign w:val="subscript"/>
          <w:lang w:eastAsia="en-US"/>
        </w:rPr>
        <w:t>2</w:t>
      </w:r>
    </w:p>
    <w:p w14:paraId="2F226A4F"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720"/>
          <w:tab w:val="left" w:pos="1440"/>
          <w:tab w:val="left" w:pos="1848"/>
        </w:tabs>
        <w:spacing w:after="240"/>
        <w:rPr>
          <w:lang w:eastAsia="en-US"/>
        </w:rPr>
      </w:pPr>
      <w:r w:rsidRPr="00883399">
        <w:rPr>
          <w:lang w:eastAsia="en-US"/>
        </w:rPr>
        <w:tab/>
        <w:t>Where:</w:t>
      </w:r>
      <w:r w:rsidRPr="00883399">
        <w:rPr>
          <w:lang w:eastAsia="en-US"/>
        </w:rPr>
        <w:tab/>
      </w:r>
    </w:p>
    <w:p w14:paraId="56551324"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b/>
          <w:bCs/>
          <w:i/>
          <w:iCs/>
          <w:sz w:val="23"/>
          <w:szCs w:val="23"/>
          <w:lang w:eastAsia="en-US"/>
        </w:rPr>
        <w:lastRenderedPageBreak/>
        <w:t>E</w:t>
      </w:r>
      <w:r w:rsidRPr="00883399">
        <w:rPr>
          <w:b/>
          <w:bCs/>
          <w:i/>
          <w:iCs/>
          <w:sz w:val="16"/>
          <w:szCs w:val="16"/>
          <w:lang w:eastAsia="en-US"/>
        </w:rPr>
        <w:t>iCO</w:t>
      </w:r>
      <w:r w:rsidRPr="00883399">
        <w:rPr>
          <w:b/>
          <w:bCs/>
          <w:i/>
          <w:iCs/>
          <w:sz w:val="22"/>
          <w:szCs w:val="22"/>
          <w:vertAlign w:val="subscript"/>
          <w:lang w:eastAsia="en-US"/>
        </w:rPr>
        <w:t>2</w:t>
      </w:r>
      <w:r w:rsidRPr="00883399">
        <w:rPr>
          <w:b/>
          <w:bCs/>
          <w:i/>
          <w:iCs/>
          <w:sz w:val="16"/>
          <w:szCs w:val="16"/>
          <w:lang w:eastAsia="en-US"/>
        </w:rPr>
        <w:t xml:space="preserve"> </w:t>
      </w:r>
      <w:r w:rsidRPr="00883399">
        <w:rPr>
          <w:sz w:val="23"/>
          <w:szCs w:val="23"/>
          <w:lang w:eastAsia="en-US"/>
        </w:rPr>
        <w:t>is the fugitive emissions of CO</w:t>
      </w:r>
      <w:r w:rsidRPr="00883399">
        <w:rPr>
          <w:sz w:val="22"/>
          <w:szCs w:val="22"/>
          <w:vertAlign w:val="subscript"/>
          <w:lang w:eastAsia="en-US"/>
        </w:rPr>
        <w:t>2</w:t>
      </w:r>
      <w:r w:rsidRPr="00883399">
        <w:rPr>
          <w:sz w:val="16"/>
          <w:szCs w:val="16"/>
          <w:lang w:eastAsia="en-US"/>
        </w:rPr>
        <w:t xml:space="preserve"> </w:t>
      </w:r>
      <w:r w:rsidRPr="00883399">
        <w:rPr>
          <w:sz w:val="23"/>
          <w:szCs w:val="23"/>
          <w:lang w:eastAsia="en-US"/>
        </w:rPr>
        <w:t>from fuel type (</w:t>
      </w:r>
      <w:r w:rsidRPr="00883399">
        <w:rPr>
          <w:b/>
          <w:bCs/>
          <w:i/>
          <w:iCs/>
          <w:sz w:val="23"/>
          <w:szCs w:val="23"/>
          <w:lang w:eastAsia="en-US"/>
        </w:rPr>
        <w:t>i</w:t>
      </w:r>
      <w:r w:rsidRPr="00883399">
        <w:rPr>
          <w:sz w:val="23"/>
          <w:szCs w:val="23"/>
          <w:lang w:eastAsia="en-US"/>
        </w:rPr>
        <w:t xml:space="preserve">) flared in </w:t>
      </w:r>
      <w:r w:rsidRPr="00883399">
        <w:rPr>
          <w:lang w:eastAsia="en-US"/>
        </w:rPr>
        <w:t>crude oil refining</w:t>
      </w:r>
      <w:r w:rsidRPr="00883399">
        <w:rPr>
          <w:sz w:val="23"/>
          <w:szCs w:val="23"/>
          <w:lang w:eastAsia="en-US"/>
        </w:rPr>
        <w:t xml:space="preserve"> during the year, measured in CO</w:t>
      </w:r>
      <w:r w:rsidRPr="00883399">
        <w:rPr>
          <w:sz w:val="22"/>
          <w:szCs w:val="22"/>
          <w:vertAlign w:val="subscript"/>
          <w:lang w:eastAsia="en-US"/>
        </w:rPr>
        <w:t>2</w:t>
      </w:r>
      <w:r w:rsidRPr="00883399">
        <w:rPr>
          <w:sz w:val="23"/>
          <w:szCs w:val="23"/>
          <w:lang w:eastAsia="en-US"/>
        </w:rPr>
        <w:t>-e tonnes.</w:t>
      </w:r>
    </w:p>
    <w:p w14:paraId="18CC3FFF"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b/>
          <w:bCs/>
          <w:i/>
          <w:iCs/>
          <w:sz w:val="23"/>
          <w:szCs w:val="23"/>
          <w:lang w:eastAsia="en-US"/>
        </w:rPr>
        <w:t>Q</w:t>
      </w:r>
      <w:r w:rsidRPr="00883399">
        <w:rPr>
          <w:b/>
          <w:bCs/>
          <w:i/>
          <w:iCs/>
          <w:sz w:val="16"/>
          <w:szCs w:val="16"/>
          <w:lang w:eastAsia="en-US"/>
        </w:rPr>
        <w:t xml:space="preserve">h </w:t>
      </w:r>
      <w:r w:rsidRPr="00883399">
        <w:rPr>
          <w:sz w:val="23"/>
          <w:szCs w:val="23"/>
          <w:lang w:eastAsia="en-US"/>
        </w:rPr>
        <w:t>is the total quantity of hydrocarbons (</w:t>
      </w:r>
      <w:r w:rsidRPr="00883399">
        <w:rPr>
          <w:b/>
          <w:bCs/>
          <w:i/>
          <w:iCs/>
          <w:sz w:val="23"/>
          <w:szCs w:val="23"/>
          <w:lang w:eastAsia="en-US"/>
        </w:rPr>
        <w:t>h</w:t>
      </w:r>
      <w:r w:rsidRPr="00883399">
        <w:rPr>
          <w:sz w:val="23"/>
          <w:szCs w:val="23"/>
          <w:lang w:eastAsia="en-US"/>
        </w:rPr>
        <w:t>) within the fuel type (</w:t>
      </w:r>
      <w:r w:rsidRPr="00883399">
        <w:rPr>
          <w:b/>
          <w:bCs/>
          <w:i/>
          <w:iCs/>
          <w:sz w:val="23"/>
          <w:szCs w:val="23"/>
          <w:lang w:eastAsia="en-US"/>
        </w:rPr>
        <w:t>i</w:t>
      </w:r>
      <w:r w:rsidRPr="00883399">
        <w:rPr>
          <w:sz w:val="23"/>
          <w:szCs w:val="23"/>
          <w:lang w:eastAsia="en-US"/>
        </w:rPr>
        <w:t xml:space="preserve">) in </w:t>
      </w:r>
      <w:r w:rsidRPr="00883399">
        <w:rPr>
          <w:lang w:eastAsia="en-US"/>
        </w:rPr>
        <w:t xml:space="preserve">crude oil refining </w:t>
      </w:r>
      <w:r w:rsidRPr="00883399">
        <w:rPr>
          <w:sz w:val="23"/>
          <w:szCs w:val="23"/>
          <w:lang w:eastAsia="en-US"/>
        </w:rPr>
        <w:t>during the year, measured in tonnes in accordance with Division 2.3.3.</w:t>
      </w:r>
    </w:p>
    <w:p w14:paraId="6EBFCD09"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b/>
          <w:bCs/>
          <w:i/>
          <w:iCs/>
          <w:sz w:val="23"/>
          <w:szCs w:val="23"/>
          <w:lang w:eastAsia="en-US"/>
        </w:rPr>
        <w:t>QCO</w:t>
      </w:r>
      <w:r w:rsidRPr="00883399">
        <w:rPr>
          <w:b/>
          <w:bCs/>
          <w:i/>
          <w:iCs/>
          <w:sz w:val="22"/>
          <w:szCs w:val="22"/>
          <w:vertAlign w:val="subscript"/>
          <w:lang w:eastAsia="en-US"/>
        </w:rPr>
        <w:t>2</w:t>
      </w:r>
      <w:r w:rsidRPr="00883399">
        <w:rPr>
          <w:b/>
          <w:bCs/>
          <w:i/>
          <w:iCs/>
          <w:sz w:val="16"/>
          <w:szCs w:val="16"/>
          <w:lang w:eastAsia="en-US"/>
        </w:rPr>
        <w:t xml:space="preserve"> </w:t>
      </w:r>
      <w:r w:rsidRPr="00883399">
        <w:rPr>
          <w:sz w:val="23"/>
          <w:szCs w:val="23"/>
          <w:lang w:eastAsia="en-US"/>
        </w:rPr>
        <w:t>is the quantity of CO</w:t>
      </w:r>
      <w:r w:rsidRPr="00883399">
        <w:rPr>
          <w:sz w:val="22"/>
          <w:szCs w:val="22"/>
          <w:vertAlign w:val="subscript"/>
          <w:lang w:eastAsia="en-US"/>
        </w:rPr>
        <w:t>2</w:t>
      </w:r>
      <w:r w:rsidRPr="00883399">
        <w:rPr>
          <w:sz w:val="16"/>
          <w:szCs w:val="16"/>
          <w:lang w:eastAsia="en-US"/>
        </w:rPr>
        <w:t xml:space="preserve"> </w:t>
      </w:r>
      <w:r w:rsidRPr="00883399">
        <w:rPr>
          <w:sz w:val="23"/>
          <w:szCs w:val="23"/>
          <w:lang w:eastAsia="en-US"/>
        </w:rPr>
        <w:t>within the fuel type (</w:t>
      </w:r>
      <w:r w:rsidRPr="00883399">
        <w:rPr>
          <w:b/>
          <w:bCs/>
          <w:i/>
          <w:iCs/>
          <w:sz w:val="23"/>
          <w:szCs w:val="23"/>
          <w:lang w:eastAsia="en-US"/>
        </w:rPr>
        <w:t>i</w:t>
      </w:r>
      <w:r w:rsidRPr="00883399">
        <w:rPr>
          <w:sz w:val="23"/>
          <w:szCs w:val="23"/>
          <w:lang w:eastAsia="en-US"/>
        </w:rPr>
        <w:t xml:space="preserve">) in </w:t>
      </w:r>
      <w:r w:rsidRPr="00883399">
        <w:rPr>
          <w:lang w:eastAsia="en-US"/>
        </w:rPr>
        <w:t>crude oil refining</w:t>
      </w:r>
      <w:r w:rsidRPr="00883399">
        <w:rPr>
          <w:sz w:val="23"/>
          <w:szCs w:val="23"/>
          <w:lang w:eastAsia="en-US"/>
        </w:rPr>
        <w:t xml:space="preserve"> during the year, measured in CO</w:t>
      </w:r>
      <w:r w:rsidRPr="00883399">
        <w:rPr>
          <w:sz w:val="22"/>
          <w:szCs w:val="22"/>
          <w:vertAlign w:val="subscript"/>
          <w:lang w:eastAsia="en-US"/>
        </w:rPr>
        <w:t>2</w:t>
      </w:r>
      <w:r w:rsidRPr="00883399">
        <w:rPr>
          <w:sz w:val="23"/>
          <w:szCs w:val="23"/>
          <w:lang w:eastAsia="en-US"/>
        </w:rPr>
        <w:t>-e tonnes in accordance with Division 2.3.3.</w:t>
      </w:r>
    </w:p>
    <w:p w14:paraId="4F29C356"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b/>
          <w:bCs/>
          <w:i/>
          <w:iCs/>
          <w:sz w:val="23"/>
          <w:szCs w:val="23"/>
          <w:lang w:eastAsia="en-US"/>
        </w:rPr>
      </w:pPr>
      <w:r w:rsidRPr="00883399">
        <w:rPr>
          <w:b/>
          <w:bCs/>
          <w:i/>
          <w:iCs/>
          <w:sz w:val="23"/>
          <w:szCs w:val="23"/>
          <w:lang w:eastAsia="en-US"/>
        </w:rPr>
        <w:t>In this example it was determined (in accordance with Division 2.3.3) that the average composition of the waste gas stream being flared during the year is as follows:</w:t>
      </w:r>
    </w:p>
    <w:p w14:paraId="103797D5"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bCs/>
          <w:iCs/>
          <w:sz w:val="23"/>
          <w:szCs w:val="23"/>
          <w:lang w:eastAsia="en-US"/>
        </w:rPr>
      </w:pPr>
      <w:r w:rsidRPr="00883399">
        <w:rPr>
          <w:b/>
          <w:bCs/>
          <w:i/>
          <w:iCs/>
          <w:sz w:val="23"/>
          <w:szCs w:val="23"/>
          <w:lang w:eastAsia="en-US"/>
        </w:rPr>
        <w:tab/>
      </w:r>
      <w:r w:rsidRPr="00883399">
        <w:rPr>
          <w:bCs/>
          <w:iCs/>
          <w:sz w:val="23"/>
          <w:szCs w:val="23"/>
          <w:lang w:eastAsia="en-US"/>
        </w:rPr>
        <w:t>Hydrocarbons C1 to C5 = 0.87 tonnes/ tonne of waste gas stream</w:t>
      </w:r>
    </w:p>
    <w:p w14:paraId="3FC874D6"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bCs/>
          <w:iCs/>
          <w:sz w:val="23"/>
          <w:szCs w:val="23"/>
          <w:lang w:eastAsia="en-US"/>
        </w:rPr>
      </w:pPr>
      <w:r w:rsidRPr="00883399">
        <w:rPr>
          <w:bCs/>
          <w:iCs/>
          <w:sz w:val="23"/>
          <w:szCs w:val="23"/>
          <w:lang w:eastAsia="en-US"/>
        </w:rPr>
        <w:tab/>
        <w:t>Hydrogen sulphide  = 0.05 tonnes/ tonne of waste gas stream</w:t>
      </w:r>
    </w:p>
    <w:p w14:paraId="083700E6"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ind w:firstLine="720"/>
        <w:rPr>
          <w:bCs/>
          <w:iCs/>
          <w:sz w:val="23"/>
          <w:szCs w:val="23"/>
          <w:lang w:eastAsia="en-US"/>
        </w:rPr>
      </w:pPr>
      <w:r w:rsidRPr="00883399">
        <w:rPr>
          <w:bCs/>
          <w:iCs/>
          <w:sz w:val="23"/>
          <w:szCs w:val="23"/>
          <w:lang w:eastAsia="en-US"/>
        </w:rPr>
        <w:t>Nitrogen = 0.02 tonnes/ tonne of waste gas stream</w:t>
      </w:r>
    </w:p>
    <w:p w14:paraId="412A3226"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ind w:firstLine="720"/>
        <w:rPr>
          <w:bCs/>
          <w:iCs/>
          <w:sz w:val="23"/>
          <w:szCs w:val="23"/>
          <w:lang w:eastAsia="en-US"/>
        </w:rPr>
      </w:pPr>
      <w:r w:rsidRPr="00883399">
        <w:rPr>
          <w:bCs/>
          <w:iCs/>
          <w:sz w:val="23"/>
          <w:szCs w:val="23"/>
          <w:lang w:eastAsia="en-US"/>
        </w:rPr>
        <w:t>Carbon dioxide  = 0.06 tonnes/ tonne of waste gas stream</w:t>
      </w:r>
    </w:p>
    <w:p w14:paraId="0AD2B74C"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bCs/>
          <w:iCs/>
          <w:sz w:val="23"/>
          <w:szCs w:val="23"/>
          <w:lang w:eastAsia="en-US"/>
        </w:rPr>
      </w:pPr>
      <w:r w:rsidRPr="00883399">
        <w:rPr>
          <w:bCs/>
          <w:iCs/>
          <w:sz w:val="23"/>
          <w:szCs w:val="23"/>
          <w:lang w:eastAsia="en-US"/>
        </w:rPr>
        <w:t>Therefore:</w:t>
      </w:r>
    </w:p>
    <w:p w14:paraId="50CE89C4"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bCs/>
          <w:iCs/>
          <w:sz w:val="23"/>
          <w:szCs w:val="23"/>
          <w:lang w:eastAsia="en-US"/>
        </w:rPr>
      </w:pPr>
      <w:r w:rsidRPr="00883399">
        <w:rPr>
          <w:bCs/>
          <w:iCs/>
          <w:sz w:val="23"/>
          <w:szCs w:val="23"/>
          <w:lang w:eastAsia="en-US"/>
        </w:rPr>
        <w:tab/>
      </w:r>
      <w:r w:rsidRPr="00883399">
        <w:rPr>
          <w:b/>
          <w:bCs/>
          <w:i/>
          <w:iCs/>
          <w:sz w:val="23"/>
          <w:szCs w:val="23"/>
          <w:lang w:eastAsia="en-US"/>
        </w:rPr>
        <w:t>Q</w:t>
      </w:r>
      <w:r w:rsidRPr="00883399">
        <w:rPr>
          <w:b/>
          <w:bCs/>
          <w:i/>
          <w:iCs/>
          <w:sz w:val="16"/>
          <w:szCs w:val="16"/>
          <w:lang w:eastAsia="en-US"/>
        </w:rPr>
        <w:t xml:space="preserve">h </w:t>
      </w:r>
      <w:r w:rsidRPr="00883399">
        <w:rPr>
          <w:sz w:val="23"/>
          <w:szCs w:val="23"/>
          <w:lang w:eastAsia="en-US"/>
        </w:rPr>
        <w:t xml:space="preserve"> = </w:t>
      </w:r>
      <w:r w:rsidRPr="00883399">
        <w:rPr>
          <w:bCs/>
          <w:iCs/>
          <w:sz w:val="23"/>
          <w:szCs w:val="23"/>
          <w:lang w:eastAsia="en-US"/>
        </w:rPr>
        <w:t>0.87  x 10,000 t of waste gas stream flared during the year</w:t>
      </w:r>
    </w:p>
    <w:p w14:paraId="1E881606"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ind w:firstLine="720"/>
        <w:rPr>
          <w:b/>
          <w:sz w:val="23"/>
          <w:szCs w:val="23"/>
          <w:lang w:eastAsia="en-US"/>
        </w:rPr>
      </w:pPr>
      <w:r w:rsidRPr="00883399">
        <w:rPr>
          <w:b/>
          <w:bCs/>
          <w:i/>
          <w:iCs/>
          <w:sz w:val="23"/>
          <w:szCs w:val="23"/>
          <w:lang w:eastAsia="en-US"/>
        </w:rPr>
        <w:t>Q</w:t>
      </w:r>
      <w:r w:rsidRPr="00883399">
        <w:rPr>
          <w:b/>
          <w:bCs/>
          <w:i/>
          <w:iCs/>
          <w:sz w:val="16"/>
          <w:szCs w:val="16"/>
          <w:lang w:eastAsia="en-US"/>
        </w:rPr>
        <w:t xml:space="preserve">h </w:t>
      </w:r>
      <w:r w:rsidRPr="00883399">
        <w:rPr>
          <w:b/>
          <w:sz w:val="23"/>
          <w:szCs w:val="23"/>
          <w:lang w:eastAsia="en-US"/>
        </w:rPr>
        <w:t xml:space="preserve"> = </w:t>
      </w:r>
      <w:r w:rsidRPr="00883399">
        <w:rPr>
          <w:b/>
          <w:bCs/>
          <w:iCs/>
          <w:sz w:val="23"/>
          <w:szCs w:val="23"/>
          <w:lang w:eastAsia="en-US"/>
        </w:rPr>
        <w:t xml:space="preserve">8700 tonnes  </w:t>
      </w:r>
    </w:p>
    <w:p w14:paraId="65C19448"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ind w:firstLine="720"/>
        <w:rPr>
          <w:bCs/>
          <w:iCs/>
          <w:sz w:val="23"/>
          <w:szCs w:val="23"/>
          <w:lang w:eastAsia="en-US"/>
        </w:rPr>
      </w:pPr>
      <w:r w:rsidRPr="00883399">
        <w:rPr>
          <w:b/>
          <w:bCs/>
          <w:i/>
          <w:iCs/>
          <w:sz w:val="23"/>
          <w:szCs w:val="23"/>
          <w:lang w:eastAsia="en-US"/>
        </w:rPr>
        <w:t>QCO</w:t>
      </w:r>
      <w:r w:rsidRPr="00883399">
        <w:rPr>
          <w:b/>
          <w:bCs/>
          <w:i/>
          <w:iCs/>
          <w:sz w:val="22"/>
          <w:szCs w:val="22"/>
          <w:vertAlign w:val="subscript"/>
          <w:lang w:eastAsia="en-US"/>
        </w:rPr>
        <w:t>2</w:t>
      </w:r>
      <w:r w:rsidRPr="00883399">
        <w:rPr>
          <w:b/>
          <w:bCs/>
          <w:i/>
          <w:iCs/>
          <w:sz w:val="16"/>
          <w:szCs w:val="16"/>
          <w:lang w:eastAsia="en-US"/>
        </w:rPr>
        <w:t xml:space="preserve"> </w:t>
      </w:r>
      <w:r w:rsidRPr="00883399">
        <w:rPr>
          <w:sz w:val="23"/>
          <w:szCs w:val="23"/>
          <w:lang w:eastAsia="en-US"/>
        </w:rPr>
        <w:t xml:space="preserve">= </w:t>
      </w:r>
      <w:r w:rsidRPr="00883399">
        <w:rPr>
          <w:bCs/>
          <w:iCs/>
          <w:sz w:val="23"/>
          <w:szCs w:val="23"/>
          <w:lang w:eastAsia="en-US"/>
        </w:rPr>
        <w:t>0.06  x 10,000 t of waste gas stream flared during the year</w:t>
      </w:r>
    </w:p>
    <w:p w14:paraId="4E627F86"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ind w:firstLine="720"/>
        <w:rPr>
          <w:b/>
          <w:lang w:eastAsia="en-US"/>
        </w:rPr>
      </w:pPr>
      <w:r w:rsidRPr="00883399">
        <w:rPr>
          <w:b/>
          <w:bCs/>
          <w:i/>
          <w:iCs/>
          <w:sz w:val="23"/>
          <w:szCs w:val="23"/>
          <w:lang w:eastAsia="en-US"/>
        </w:rPr>
        <w:t>QCO</w:t>
      </w:r>
      <w:r w:rsidRPr="00883399">
        <w:rPr>
          <w:b/>
          <w:bCs/>
          <w:i/>
          <w:iCs/>
          <w:sz w:val="22"/>
          <w:szCs w:val="22"/>
          <w:vertAlign w:val="subscript"/>
          <w:lang w:eastAsia="en-US"/>
        </w:rPr>
        <w:t xml:space="preserve">2 </w:t>
      </w:r>
      <w:r w:rsidRPr="00883399">
        <w:rPr>
          <w:b/>
          <w:sz w:val="23"/>
          <w:szCs w:val="23"/>
          <w:lang w:eastAsia="en-US"/>
        </w:rPr>
        <w:t>= 600 tonnes</w:t>
      </w:r>
    </w:p>
    <w:p w14:paraId="33C30AB4"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b/>
          <w:bCs/>
          <w:i/>
          <w:iCs/>
          <w:sz w:val="23"/>
          <w:szCs w:val="23"/>
          <w:lang w:eastAsia="en-US"/>
        </w:rPr>
        <w:t>EF</w:t>
      </w:r>
      <w:r w:rsidRPr="00883399">
        <w:rPr>
          <w:b/>
          <w:bCs/>
          <w:i/>
          <w:iCs/>
          <w:sz w:val="16"/>
          <w:szCs w:val="16"/>
          <w:lang w:eastAsia="en-US"/>
        </w:rPr>
        <w:t xml:space="preserve">h </w:t>
      </w:r>
      <w:r w:rsidRPr="00883399">
        <w:rPr>
          <w:sz w:val="23"/>
          <w:szCs w:val="23"/>
          <w:lang w:eastAsia="en-US"/>
        </w:rPr>
        <w:t>is the emission factor for the total hydrocarbons (</w:t>
      </w:r>
      <w:r w:rsidRPr="00883399">
        <w:rPr>
          <w:b/>
          <w:bCs/>
          <w:i/>
          <w:iCs/>
          <w:sz w:val="23"/>
          <w:szCs w:val="23"/>
          <w:lang w:eastAsia="en-US"/>
        </w:rPr>
        <w:t>h</w:t>
      </w:r>
      <w:r w:rsidRPr="00883399">
        <w:rPr>
          <w:sz w:val="23"/>
          <w:szCs w:val="23"/>
          <w:lang w:eastAsia="en-US"/>
        </w:rPr>
        <w:t>) within the fuel type (</w:t>
      </w:r>
      <w:r w:rsidRPr="00883399">
        <w:rPr>
          <w:b/>
          <w:bCs/>
          <w:i/>
          <w:iCs/>
          <w:sz w:val="23"/>
          <w:szCs w:val="23"/>
          <w:lang w:eastAsia="en-US"/>
        </w:rPr>
        <w:t>i</w:t>
      </w:r>
      <w:r w:rsidRPr="00883399">
        <w:rPr>
          <w:sz w:val="23"/>
          <w:szCs w:val="23"/>
          <w:lang w:eastAsia="en-US"/>
        </w:rPr>
        <w:t xml:space="preserve">) in </w:t>
      </w:r>
      <w:r w:rsidRPr="00883399">
        <w:rPr>
          <w:lang w:eastAsia="en-US"/>
        </w:rPr>
        <w:t>crude oil refining</w:t>
      </w:r>
      <w:r w:rsidRPr="00883399">
        <w:rPr>
          <w:sz w:val="23"/>
          <w:szCs w:val="23"/>
          <w:lang w:eastAsia="en-US"/>
        </w:rPr>
        <w:t xml:space="preserve"> during the year, measured in CO</w:t>
      </w:r>
      <w:r w:rsidRPr="00883399">
        <w:rPr>
          <w:sz w:val="22"/>
          <w:szCs w:val="22"/>
          <w:vertAlign w:val="subscript"/>
          <w:lang w:eastAsia="en-US"/>
        </w:rPr>
        <w:t>2</w:t>
      </w:r>
      <w:r w:rsidRPr="00883399">
        <w:rPr>
          <w:sz w:val="23"/>
          <w:szCs w:val="23"/>
          <w:lang w:eastAsia="en-US"/>
        </w:rPr>
        <w:t>-e tonnes per tonne of fuel type (</w:t>
      </w:r>
      <w:r w:rsidRPr="00883399">
        <w:rPr>
          <w:b/>
          <w:bCs/>
          <w:i/>
          <w:iCs/>
          <w:sz w:val="23"/>
          <w:szCs w:val="23"/>
          <w:lang w:eastAsia="en-US"/>
        </w:rPr>
        <w:t>i</w:t>
      </w:r>
      <w:r w:rsidRPr="00883399">
        <w:rPr>
          <w:sz w:val="23"/>
          <w:szCs w:val="23"/>
          <w:lang w:eastAsia="en-US"/>
        </w:rPr>
        <w:t>) flared</w:t>
      </w:r>
      <w:r w:rsidRPr="00883399">
        <w:rPr>
          <w:i/>
          <w:iCs/>
          <w:sz w:val="23"/>
          <w:szCs w:val="23"/>
          <w:lang w:eastAsia="en-US"/>
        </w:rPr>
        <w:t xml:space="preserve">, </w:t>
      </w:r>
      <w:r w:rsidRPr="00883399">
        <w:rPr>
          <w:sz w:val="23"/>
          <w:szCs w:val="23"/>
          <w:lang w:eastAsia="en-US"/>
        </w:rPr>
        <w:t>estimated in accordance with method 2 in Division 2.3.3.</w:t>
      </w:r>
    </w:p>
    <w:p w14:paraId="5C7E58C1"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b/>
          <w:bCs/>
          <w:i/>
          <w:iCs/>
          <w:sz w:val="23"/>
          <w:szCs w:val="23"/>
          <w:lang w:eastAsia="en-US"/>
        </w:rPr>
      </w:pPr>
      <w:r w:rsidRPr="00883399">
        <w:rPr>
          <w:b/>
          <w:bCs/>
          <w:i/>
          <w:iCs/>
          <w:sz w:val="23"/>
          <w:szCs w:val="23"/>
          <w:lang w:eastAsia="en-US"/>
        </w:rPr>
        <w:lastRenderedPageBreak/>
        <w:t>In this example it was determined (in accordance with Division 2.3.3) that the emission factor derived from the average hydrocarbon composition of the waste gas stream being flared during the year was:</w:t>
      </w:r>
    </w:p>
    <w:p w14:paraId="761FDB3F" w14:textId="77777777" w:rsidR="00A83D4F" w:rsidRPr="00883399" w:rsidRDefault="00A83D4F" w:rsidP="00A83D4F">
      <w:pPr>
        <w:pBdr>
          <w:top w:val="single" w:sz="4" w:space="1" w:color="auto"/>
          <w:left w:val="single" w:sz="4" w:space="4" w:color="auto"/>
          <w:bottom w:val="single" w:sz="4" w:space="1" w:color="auto"/>
          <w:right w:val="single" w:sz="4" w:space="4" w:color="auto"/>
        </w:pBdr>
        <w:spacing w:after="240"/>
        <w:rPr>
          <w:bCs/>
          <w:iCs/>
          <w:sz w:val="23"/>
          <w:szCs w:val="23"/>
          <w:lang w:eastAsia="en-US"/>
        </w:rPr>
      </w:pPr>
      <w:r w:rsidRPr="00883399">
        <w:rPr>
          <w:bCs/>
          <w:iCs/>
          <w:sz w:val="23"/>
          <w:szCs w:val="23"/>
          <w:lang w:eastAsia="en-US"/>
        </w:rPr>
        <w:t>2.4 tonnes of CO</w:t>
      </w:r>
      <w:r w:rsidRPr="00883399">
        <w:rPr>
          <w:sz w:val="22"/>
          <w:szCs w:val="22"/>
          <w:vertAlign w:val="subscript"/>
          <w:lang w:eastAsia="en-US"/>
        </w:rPr>
        <w:t>2</w:t>
      </w:r>
      <w:r w:rsidRPr="00883399">
        <w:rPr>
          <w:bCs/>
          <w:iCs/>
          <w:sz w:val="23"/>
          <w:szCs w:val="23"/>
          <w:lang w:eastAsia="en-US"/>
        </w:rPr>
        <w:t xml:space="preserve"> per tonne of waste gas stream flared</w:t>
      </w:r>
    </w:p>
    <w:p w14:paraId="3F2AF8BF" w14:textId="77777777" w:rsidR="00A83D4F" w:rsidRPr="00883399" w:rsidRDefault="00A83D4F" w:rsidP="00A83D4F">
      <w:pPr>
        <w:pBdr>
          <w:top w:val="single" w:sz="4" w:space="1" w:color="auto"/>
          <w:left w:val="single" w:sz="4" w:space="4" w:color="auto"/>
          <w:bottom w:val="single" w:sz="4" w:space="1" w:color="auto"/>
          <w:right w:val="single" w:sz="4" w:space="4" w:color="auto"/>
        </w:pBdr>
        <w:spacing w:after="240"/>
        <w:ind w:firstLine="720"/>
        <w:rPr>
          <w:bCs/>
          <w:iCs/>
          <w:sz w:val="23"/>
          <w:szCs w:val="23"/>
          <w:lang w:eastAsia="en-US"/>
        </w:rPr>
      </w:pPr>
      <w:r w:rsidRPr="00883399">
        <w:rPr>
          <w:bCs/>
          <w:iCs/>
          <w:sz w:val="23"/>
          <w:szCs w:val="23"/>
          <w:lang w:eastAsia="en-US"/>
        </w:rPr>
        <w:t>Therefore:</w:t>
      </w:r>
    </w:p>
    <w:p w14:paraId="6E9590C6" w14:textId="77777777" w:rsidR="00A83D4F" w:rsidRPr="00883399" w:rsidRDefault="00A83D4F" w:rsidP="00A83D4F">
      <w:pPr>
        <w:pBdr>
          <w:top w:val="single" w:sz="4" w:space="1" w:color="auto"/>
          <w:left w:val="single" w:sz="4" w:space="4" w:color="auto"/>
          <w:bottom w:val="single" w:sz="4" w:space="1" w:color="auto"/>
          <w:right w:val="single" w:sz="4" w:space="4" w:color="auto"/>
        </w:pBdr>
        <w:spacing w:after="240"/>
        <w:ind w:firstLine="720"/>
        <w:rPr>
          <w:b/>
          <w:bCs/>
          <w:iCs/>
          <w:sz w:val="23"/>
          <w:szCs w:val="23"/>
          <w:lang w:eastAsia="en-US"/>
        </w:rPr>
      </w:pPr>
      <w:r w:rsidRPr="00883399">
        <w:rPr>
          <w:b/>
          <w:bCs/>
          <w:i/>
          <w:iCs/>
          <w:sz w:val="23"/>
          <w:szCs w:val="23"/>
          <w:lang w:eastAsia="en-US"/>
        </w:rPr>
        <w:t>EF</w:t>
      </w:r>
      <w:r w:rsidRPr="00883399">
        <w:rPr>
          <w:b/>
          <w:bCs/>
          <w:i/>
          <w:iCs/>
          <w:sz w:val="16"/>
          <w:szCs w:val="16"/>
          <w:lang w:eastAsia="en-US"/>
        </w:rPr>
        <w:t xml:space="preserve">h = </w:t>
      </w:r>
      <w:r w:rsidRPr="00883399">
        <w:rPr>
          <w:b/>
          <w:sz w:val="23"/>
          <w:szCs w:val="23"/>
          <w:lang w:eastAsia="en-US"/>
        </w:rPr>
        <w:t>2.4</w:t>
      </w:r>
    </w:p>
    <w:p w14:paraId="7ADFF084" w14:textId="77777777" w:rsidR="00A83D4F" w:rsidRPr="00883399" w:rsidRDefault="00A83D4F" w:rsidP="00A83D4F">
      <w:pPr>
        <w:pBdr>
          <w:top w:val="single" w:sz="4" w:space="1" w:color="auto"/>
          <w:left w:val="single" w:sz="4" w:space="4" w:color="auto"/>
          <w:bottom w:val="single" w:sz="4" w:space="1" w:color="auto"/>
          <w:right w:val="single" w:sz="4" w:space="4" w:color="auto"/>
        </w:pBdr>
        <w:spacing w:after="240"/>
        <w:ind w:left="709" w:hanging="709"/>
        <w:rPr>
          <w:bCs/>
          <w:iCs/>
          <w:sz w:val="23"/>
          <w:szCs w:val="23"/>
          <w:lang w:eastAsia="en-US"/>
        </w:rPr>
      </w:pPr>
      <w:r w:rsidRPr="00883399">
        <w:rPr>
          <w:b/>
          <w:bCs/>
          <w:i/>
          <w:iCs/>
          <w:sz w:val="23"/>
          <w:szCs w:val="23"/>
          <w:lang w:eastAsia="en-US"/>
        </w:rPr>
        <w:tab/>
        <w:t>OF</w:t>
      </w:r>
      <w:r w:rsidRPr="00883399">
        <w:rPr>
          <w:b/>
          <w:bCs/>
          <w:i/>
          <w:iCs/>
          <w:sz w:val="16"/>
          <w:szCs w:val="16"/>
          <w:lang w:eastAsia="en-US"/>
        </w:rPr>
        <w:t xml:space="preserve">i </w:t>
      </w:r>
      <w:r w:rsidRPr="00883399">
        <w:rPr>
          <w:sz w:val="23"/>
          <w:szCs w:val="23"/>
          <w:lang w:eastAsia="en-US"/>
        </w:rPr>
        <w:t>is 0.98, which is the correction factor for the oxidation of fuel type (</w:t>
      </w:r>
      <w:r w:rsidRPr="00883399">
        <w:rPr>
          <w:b/>
          <w:bCs/>
          <w:i/>
          <w:iCs/>
          <w:sz w:val="23"/>
          <w:szCs w:val="23"/>
          <w:lang w:eastAsia="en-US"/>
        </w:rPr>
        <w:t>i</w:t>
      </w:r>
      <w:r w:rsidRPr="00883399">
        <w:rPr>
          <w:sz w:val="23"/>
          <w:szCs w:val="23"/>
          <w:lang w:eastAsia="en-US"/>
        </w:rPr>
        <w:t>) flared.</w:t>
      </w:r>
    </w:p>
    <w:p w14:paraId="7C1AEA11" w14:textId="77777777" w:rsidR="00A83D4F" w:rsidRPr="00883399" w:rsidRDefault="00A83D4F" w:rsidP="00A83D4F">
      <w:pPr>
        <w:pBdr>
          <w:top w:val="single" w:sz="4" w:space="1" w:color="auto"/>
          <w:left w:val="single" w:sz="4" w:space="4" w:color="auto"/>
          <w:bottom w:val="single" w:sz="4" w:space="1" w:color="auto"/>
          <w:right w:val="single" w:sz="4" w:space="4" w:color="auto"/>
        </w:pBdr>
        <w:spacing w:after="240"/>
        <w:rPr>
          <w:b/>
          <w:lang w:eastAsia="en-US"/>
        </w:rPr>
      </w:pPr>
      <w:r w:rsidRPr="00883399">
        <w:rPr>
          <w:b/>
          <w:lang w:eastAsia="en-US"/>
        </w:rPr>
        <w:t>To calculate the CO</w:t>
      </w:r>
      <w:r w:rsidRPr="00883399">
        <w:rPr>
          <w:b/>
          <w:vertAlign w:val="subscript"/>
          <w:lang w:eastAsia="en-US"/>
        </w:rPr>
        <w:t>2</w:t>
      </w:r>
      <w:r w:rsidRPr="00883399">
        <w:rPr>
          <w:b/>
          <w:lang w:eastAsia="en-US"/>
        </w:rPr>
        <w:t xml:space="preserve"> emissions from waste gas flared:</w:t>
      </w:r>
    </w:p>
    <w:p w14:paraId="2F928098" w14:textId="77777777" w:rsidR="00A83D4F" w:rsidRPr="00883399" w:rsidRDefault="00A83D4F" w:rsidP="00A83D4F">
      <w:pPr>
        <w:pBdr>
          <w:top w:val="single" w:sz="4" w:space="1" w:color="auto"/>
          <w:left w:val="single" w:sz="4" w:space="4" w:color="auto"/>
          <w:bottom w:val="single" w:sz="4" w:space="1" w:color="auto"/>
          <w:right w:val="single" w:sz="4" w:space="4" w:color="auto"/>
        </w:pBdr>
        <w:spacing w:after="240"/>
        <w:rPr>
          <w:b/>
          <w:bdr w:val="single" w:sz="4" w:space="0" w:color="auto"/>
          <w:lang w:eastAsia="en-US"/>
        </w:rPr>
      </w:pPr>
      <w:r w:rsidRPr="00883399">
        <w:rPr>
          <w:b/>
          <w:lang w:eastAsia="en-US"/>
        </w:rPr>
        <w:tab/>
      </w:r>
      <w:r w:rsidRPr="00883399">
        <w:rPr>
          <w:bdr w:val="single" w:sz="4" w:space="0" w:color="auto"/>
          <w:lang w:eastAsia="en-US"/>
        </w:rPr>
        <w:t xml:space="preserve"> = (8700 x 2.4 x 0.98) + 600 </w:t>
      </w:r>
      <w:r w:rsidRPr="00883399">
        <w:rPr>
          <w:b/>
          <w:bdr w:val="single" w:sz="4" w:space="0" w:color="auto"/>
          <w:lang w:eastAsia="en-US"/>
        </w:rPr>
        <w:t xml:space="preserve">= </w:t>
      </w:r>
      <w:r w:rsidRPr="00883399">
        <w:rPr>
          <w:bdr w:val="single" w:sz="4" w:space="0" w:color="auto"/>
          <w:lang w:eastAsia="en-US"/>
        </w:rPr>
        <w:t>21,062.4</w:t>
      </w:r>
      <w:r w:rsidRPr="00883399">
        <w:rPr>
          <w:b/>
          <w:bdr w:val="single" w:sz="4" w:space="0" w:color="auto"/>
          <w:lang w:eastAsia="en-US"/>
        </w:rPr>
        <w:t xml:space="preserve"> </w:t>
      </w:r>
    </w:p>
    <w:p w14:paraId="225C08C8" w14:textId="77777777" w:rsidR="00A83D4F" w:rsidRPr="00883399" w:rsidRDefault="00A83D4F" w:rsidP="00A83D4F">
      <w:pPr>
        <w:pBdr>
          <w:top w:val="single" w:sz="4" w:space="1" w:color="auto"/>
          <w:left w:val="single" w:sz="4" w:space="4" w:color="auto"/>
          <w:bottom w:val="single" w:sz="4" w:space="1" w:color="auto"/>
          <w:right w:val="single" w:sz="4" w:space="4" w:color="auto"/>
        </w:pBdr>
        <w:spacing w:after="240"/>
        <w:rPr>
          <w:b/>
          <w:bdr w:val="single" w:sz="4" w:space="0" w:color="auto"/>
          <w:shd w:val="clear" w:color="auto" w:fill="C4BC96"/>
          <w:lang w:eastAsia="en-US"/>
        </w:rPr>
      </w:pPr>
      <w:r w:rsidRPr="00883399">
        <w:rPr>
          <w:b/>
          <w:bdr w:val="single" w:sz="4" w:space="0" w:color="auto"/>
          <w:lang w:eastAsia="en-US"/>
        </w:rPr>
        <w:t>Therefore, the total emissions from the source = 21,062 tonnes of CO</w:t>
      </w:r>
      <w:r w:rsidRPr="00883399">
        <w:rPr>
          <w:b/>
          <w:bdr w:val="single" w:sz="4" w:space="0" w:color="auto"/>
          <w:vertAlign w:val="subscript"/>
          <w:lang w:eastAsia="en-US"/>
        </w:rPr>
        <w:t>2</w:t>
      </w:r>
      <w:r w:rsidRPr="00883399">
        <w:rPr>
          <w:b/>
          <w:bdr w:val="single" w:sz="4" w:space="0" w:color="auto"/>
          <w:shd w:val="clear" w:color="auto" w:fill="C4BC96"/>
          <w:lang w:eastAsia="en-US"/>
        </w:rPr>
        <w:t xml:space="preserve"> </w:t>
      </w:r>
    </w:p>
    <w:p w14:paraId="3FC9B806" w14:textId="77777777" w:rsidR="00872C03" w:rsidRPr="00883399" w:rsidRDefault="00872C03" w:rsidP="00872C03">
      <w:pPr>
        <w:pStyle w:val="R2"/>
      </w:pPr>
    </w:p>
    <w:p w14:paraId="38A59014" w14:textId="77777777" w:rsidR="00872C03" w:rsidRPr="00883399" w:rsidRDefault="00872C03" w:rsidP="00872C03">
      <w:pPr>
        <w:pStyle w:val="subsection"/>
        <w:rPr>
          <w:sz w:val="24"/>
        </w:rPr>
      </w:pPr>
    </w:p>
    <w:p w14:paraId="42951732" w14:textId="56F4586A" w:rsidR="00872C03" w:rsidRPr="00883399" w:rsidRDefault="00872C03" w:rsidP="00872C03">
      <w:pPr>
        <w:pStyle w:val="ActHead3"/>
        <w:pageBreakBefore/>
        <w:rPr>
          <w:sz w:val="32"/>
        </w:rPr>
      </w:pPr>
      <w:bookmarkStart w:id="690" w:name="_Toc423516958"/>
      <w:bookmarkStart w:id="691" w:name="_Toc495652875"/>
      <w:r w:rsidRPr="00883399">
        <w:rPr>
          <w:rStyle w:val="CharDivNo"/>
          <w:sz w:val="32"/>
        </w:rPr>
        <w:lastRenderedPageBreak/>
        <w:t>Division 3.3.6</w:t>
      </w:r>
      <w:r w:rsidRPr="00883399">
        <w:rPr>
          <w:sz w:val="32"/>
        </w:rPr>
        <w:t>—</w:t>
      </w:r>
      <w:r w:rsidRPr="00883399">
        <w:rPr>
          <w:rStyle w:val="CharDivText"/>
          <w:sz w:val="32"/>
        </w:rPr>
        <w:t>Natural gas production or processing, other than emissions that are vented or flared</w:t>
      </w:r>
      <w:bookmarkEnd w:id="690"/>
      <w:bookmarkEnd w:id="691"/>
    </w:p>
    <w:p w14:paraId="6CA7C163" w14:textId="77777777" w:rsidR="00872C03" w:rsidRPr="00883399" w:rsidRDefault="00872C03" w:rsidP="00872C03">
      <w:pPr>
        <w:spacing w:before="240" w:line="312" w:lineRule="auto"/>
        <w:rPr>
          <w:rFonts w:ascii="Arial" w:hAnsi="Arial" w:cs="Arial"/>
          <w:sz w:val="22"/>
        </w:rPr>
      </w:pPr>
      <w:bookmarkStart w:id="692" w:name="_Toc265135371"/>
      <w:bookmarkStart w:id="693" w:name="_Toc423516959"/>
      <w:r w:rsidRPr="00883399">
        <w:rPr>
          <w:rFonts w:ascii="Arial" w:hAnsi="Arial" w:cs="Arial"/>
          <w:sz w:val="22"/>
          <w:lang w:eastAsia="en-US"/>
        </w:rPr>
        <w:t>Fugitive leakage emissions of methane may occur in natural gas production from sources such as the unintentional equipment leaks from valves, flanges, pump seals, compressor seals, relief valves, sampling connections, process drains, open-ended lines, casing, tanks and other leakage sources from pressurised equipment not classed as a vent.</w:t>
      </w:r>
      <w:bookmarkEnd w:id="692"/>
    </w:p>
    <w:p w14:paraId="7AB2E634"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The venting of CO</w:t>
      </w:r>
      <w:r w:rsidRPr="00883399">
        <w:rPr>
          <w:rFonts w:ascii="Arial" w:hAnsi="Arial" w:cs="Arial"/>
          <w:sz w:val="22"/>
          <w:szCs w:val="22"/>
          <w:vertAlign w:val="subscript"/>
        </w:rPr>
        <w:t>2</w:t>
      </w:r>
      <w:r w:rsidRPr="00883399">
        <w:rPr>
          <w:rFonts w:ascii="Arial" w:hAnsi="Arial" w:cs="Arial"/>
          <w:sz w:val="22"/>
          <w:szCs w:val="22"/>
        </w:rPr>
        <w:t xml:space="preserve"> and methane extracted from raw gas and flaring of unusable gas produced at various stages of processing are separately accounted for under venting and flaring.</w:t>
      </w:r>
    </w:p>
    <w:p w14:paraId="3C3640D1" w14:textId="77777777" w:rsidR="00872C03" w:rsidRPr="00883399" w:rsidRDefault="00872C03" w:rsidP="00872C03">
      <w:pPr>
        <w:spacing w:before="240" w:line="312" w:lineRule="auto"/>
        <w:rPr>
          <w:rFonts w:ascii="Arial" w:hAnsi="Arial" w:cs="Arial"/>
          <w:sz w:val="22"/>
          <w:szCs w:val="20"/>
        </w:rPr>
      </w:pPr>
      <w:r w:rsidRPr="00883399">
        <w:rPr>
          <w:rFonts w:ascii="Arial" w:hAnsi="Arial" w:cs="Arial"/>
          <w:sz w:val="22"/>
          <w:szCs w:val="22"/>
        </w:rPr>
        <w:t xml:space="preserve">Other sources of emissions arising </w:t>
      </w:r>
      <w:r w:rsidRPr="00883399">
        <w:rPr>
          <w:rFonts w:ascii="Arial" w:hAnsi="Arial" w:cs="Arial"/>
          <w:sz w:val="22"/>
          <w:szCs w:val="20"/>
        </w:rPr>
        <w:t xml:space="preserve">from natural gas production and processing, such as from the combustion of fuels for energy, are not described in this chapter and must be estimated using the Methods described in other chapters.  </w:t>
      </w:r>
    </w:p>
    <w:p w14:paraId="0861695F" w14:textId="77777777" w:rsidR="00872C03" w:rsidRPr="00883399" w:rsidRDefault="00872C03" w:rsidP="00872C03">
      <w:pPr>
        <w:spacing w:before="240" w:line="312" w:lineRule="auto"/>
        <w:rPr>
          <w:rFonts w:ascii="Arial" w:hAnsi="Arial" w:cs="Arial"/>
          <w:sz w:val="22"/>
          <w:szCs w:val="20"/>
        </w:rPr>
      </w:pPr>
      <w:r w:rsidRPr="00883399">
        <w:rPr>
          <w:rFonts w:ascii="Arial" w:hAnsi="Arial" w:cs="Arial"/>
          <w:sz w:val="22"/>
          <w:szCs w:val="20"/>
        </w:rPr>
        <w:t>Note that in this part the definition of natural gas is as follows:</w:t>
      </w:r>
    </w:p>
    <w:p w14:paraId="1C141404" w14:textId="77777777" w:rsidR="00872C03" w:rsidRPr="00883399" w:rsidRDefault="00872C03" w:rsidP="00872C03">
      <w:pPr>
        <w:spacing w:before="240" w:line="312" w:lineRule="auto"/>
        <w:ind w:left="720"/>
      </w:pPr>
      <w:r w:rsidRPr="00883399">
        <w:rPr>
          <w:b/>
          <w:i/>
        </w:rPr>
        <w:t>natural gas</w:t>
      </w:r>
      <w:r w:rsidRPr="00883399">
        <w:t xml:space="preserve"> includes coal seam methane that is captured for combustion where the production of coal is not intended to occur</w:t>
      </w:r>
    </w:p>
    <w:p w14:paraId="4950A143" w14:textId="0951732B" w:rsidR="00872C03" w:rsidRPr="00883399" w:rsidRDefault="00872C03" w:rsidP="00872C03">
      <w:pPr>
        <w:pStyle w:val="ActHead5"/>
        <w:rPr>
          <w:sz w:val="28"/>
        </w:rPr>
      </w:pPr>
      <w:bookmarkStart w:id="694" w:name="_Toc495652876"/>
      <w:r w:rsidRPr="00883399">
        <w:rPr>
          <w:rStyle w:val="CharSectno"/>
          <w:sz w:val="28"/>
        </w:rPr>
        <w:t>3.70</w:t>
      </w:r>
      <w:r w:rsidRPr="00883399">
        <w:rPr>
          <w:sz w:val="28"/>
        </w:rPr>
        <w:t xml:space="preserve">  Application</w:t>
      </w:r>
      <w:bookmarkEnd w:id="693"/>
      <w:bookmarkEnd w:id="694"/>
    </w:p>
    <w:p w14:paraId="35476FF1" w14:textId="77777777" w:rsidR="00872C03" w:rsidRPr="00883399" w:rsidRDefault="00872C03" w:rsidP="00872C03">
      <w:pPr>
        <w:pStyle w:val="subsection"/>
        <w:rPr>
          <w:sz w:val="24"/>
        </w:rPr>
      </w:pPr>
      <w:r w:rsidRPr="00883399">
        <w:rPr>
          <w:sz w:val="24"/>
        </w:rPr>
        <w:tab/>
      </w:r>
      <w:r w:rsidRPr="00883399">
        <w:rPr>
          <w:sz w:val="24"/>
        </w:rPr>
        <w:tab/>
        <w:t>This Division applies to fugitive emissions from natural gas production or processing activities, other than emissions that are vented or flared, including emissions from:</w:t>
      </w:r>
    </w:p>
    <w:p w14:paraId="109E39E9" w14:textId="77777777" w:rsidR="00872C03" w:rsidRPr="00883399" w:rsidRDefault="00872C03" w:rsidP="00872C03">
      <w:pPr>
        <w:pStyle w:val="paragraph"/>
        <w:rPr>
          <w:sz w:val="24"/>
        </w:rPr>
      </w:pPr>
      <w:r w:rsidRPr="00883399">
        <w:rPr>
          <w:sz w:val="24"/>
        </w:rPr>
        <w:tab/>
        <w:t>(a)</w:t>
      </w:r>
      <w:r w:rsidRPr="00883399">
        <w:rPr>
          <w:sz w:val="24"/>
        </w:rPr>
        <w:tab/>
        <w:t>a gas wellhead through to the inlet of gas processing plants; and</w:t>
      </w:r>
    </w:p>
    <w:p w14:paraId="21204C74" w14:textId="77777777" w:rsidR="00872C03" w:rsidRPr="00883399" w:rsidRDefault="00872C03" w:rsidP="00872C03">
      <w:pPr>
        <w:pStyle w:val="paragraph"/>
        <w:rPr>
          <w:sz w:val="24"/>
        </w:rPr>
      </w:pPr>
      <w:r w:rsidRPr="00883399">
        <w:rPr>
          <w:sz w:val="24"/>
        </w:rPr>
        <w:tab/>
        <w:t>(b)</w:t>
      </w:r>
      <w:r w:rsidRPr="00883399">
        <w:rPr>
          <w:sz w:val="24"/>
        </w:rPr>
        <w:tab/>
        <w:t>a gas wellhead through to the tie</w:t>
      </w:r>
      <w:r w:rsidRPr="00883399">
        <w:rPr>
          <w:sz w:val="24"/>
        </w:rPr>
        <w:noBreakHyphen/>
        <w:t>in points on gas transmission systems, if processing of natural gas is not required; and</w:t>
      </w:r>
    </w:p>
    <w:p w14:paraId="6F21C971" w14:textId="77777777" w:rsidR="00872C03" w:rsidRPr="00883399" w:rsidRDefault="00872C03" w:rsidP="00872C03">
      <w:pPr>
        <w:pStyle w:val="paragraph"/>
        <w:rPr>
          <w:sz w:val="24"/>
        </w:rPr>
      </w:pPr>
      <w:r w:rsidRPr="00883399">
        <w:rPr>
          <w:sz w:val="24"/>
        </w:rPr>
        <w:tab/>
        <w:t>(c)</w:t>
      </w:r>
      <w:r w:rsidRPr="00883399">
        <w:rPr>
          <w:sz w:val="24"/>
        </w:rPr>
        <w:tab/>
        <w:t>gas processing plants; and</w:t>
      </w:r>
    </w:p>
    <w:p w14:paraId="7E39E2F1" w14:textId="77777777" w:rsidR="00872C03" w:rsidRPr="00883399" w:rsidRDefault="00872C03" w:rsidP="00872C03">
      <w:pPr>
        <w:pStyle w:val="paragraph"/>
        <w:rPr>
          <w:sz w:val="24"/>
        </w:rPr>
      </w:pPr>
      <w:r w:rsidRPr="00883399">
        <w:rPr>
          <w:sz w:val="24"/>
        </w:rPr>
        <w:tab/>
        <w:t>(d)</w:t>
      </w:r>
      <w:r w:rsidRPr="00883399">
        <w:rPr>
          <w:sz w:val="24"/>
        </w:rPr>
        <w:tab/>
        <w:t>well servicing; and</w:t>
      </w:r>
    </w:p>
    <w:p w14:paraId="0DC4312A" w14:textId="77777777" w:rsidR="00872C03" w:rsidRPr="00883399" w:rsidRDefault="00872C03" w:rsidP="00872C03">
      <w:pPr>
        <w:pStyle w:val="paragraph"/>
        <w:rPr>
          <w:sz w:val="24"/>
        </w:rPr>
      </w:pPr>
      <w:r w:rsidRPr="00883399">
        <w:rPr>
          <w:sz w:val="24"/>
        </w:rPr>
        <w:tab/>
        <w:t>(e)</w:t>
      </w:r>
      <w:r w:rsidRPr="00883399">
        <w:rPr>
          <w:sz w:val="24"/>
        </w:rPr>
        <w:tab/>
        <w:t>gas gathering; and</w:t>
      </w:r>
    </w:p>
    <w:p w14:paraId="3A9EC43E" w14:textId="77777777" w:rsidR="00872C03" w:rsidRPr="00883399" w:rsidRDefault="00872C03" w:rsidP="00872C03">
      <w:pPr>
        <w:pStyle w:val="paragraph"/>
        <w:rPr>
          <w:sz w:val="24"/>
        </w:rPr>
      </w:pPr>
      <w:r w:rsidRPr="00883399">
        <w:rPr>
          <w:sz w:val="24"/>
        </w:rPr>
        <w:tab/>
        <w:t>(f)</w:t>
      </w:r>
      <w:r w:rsidRPr="00883399">
        <w:rPr>
          <w:sz w:val="24"/>
        </w:rPr>
        <w:tab/>
        <w:t>gas processing and associated waste water disposal and acid gas disposal activities.</w:t>
      </w:r>
    </w:p>
    <w:p w14:paraId="77DB49E6" w14:textId="4D5BC67C" w:rsidR="00872C03" w:rsidRPr="00883399" w:rsidRDefault="00872C03" w:rsidP="00872C03">
      <w:pPr>
        <w:pStyle w:val="ActHead5"/>
        <w:rPr>
          <w:sz w:val="28"/>
        </w:rPr>
      </w:pPr>
      <w:bookmarkStart w:id="695" w:name="_Toc423516960"/>
      <w:bookmarkStart w:id="696" w:name="_Toc495652877"/>
      <w:r w:rsidRPr="00883399">
        <w:rPr>
          <w:rStyle w:val="CharSectno"/>
          <w:sz w:val="28"/>
        </w:rPr>
        <w:t>3.71</w:t>
      </w:r>
      <w:r w:rsidRPr="00883399">
        <w:rPr>
          <w:sz w:val="28"/>
        </w:rPr>
        <w:t xml:space="preserve">  Available methods</w:t>
      </w:r>
      <w:bookmarkEnd w:id="695"/>
      <w:bookmarkEnd w:id="696"/>
    </w:p>
    <w:p w14:paraId="32AEF26B" w14:textId="77777777" w:rsidR="00872C03" w:rsidRPr="00883399" w:rsidRDefault="00872C03" w:rsidP="00872C03">
      <w:pPr>
        <w:pStyle w:val="subsection"/>
        <w:rPr>
          <w:sz w:val="24"/>
        </w:rPr>
      </w:pPr>
      <w:r w:rsidRPr="00883399">
        <w:rPr>
          <w:sz w:val="24"/>
        </w:rPr>
        <w:tab/>
        <w:t>(1)</w:t>
      </w:r>
      <w:r w:rsidRPr="00883399">
        <w:rPr>
          <w:sz w:val="24"/>
        </w:rPr>
        <w:tab/>
        <w:t>Subject to section 1.18, one of the following methods must</w:t>
      </w:r>
      <w:r w:rsidRPr="00883399">
        <w:rPr>
          <w:i/>
          <w:sz w:val="24"/>
        </w:rPr>
        <w:t xml:space="preserve"> </w:t>
      </w:r>
      <w:r w:rsidRPr="00883399">
        <w:rPr>
          <w:sz w:val="24"/>
        </w:rPr>
        <w:t xml:space="preserve">be used for estimating fugitive emissions of methane (other than emissions that are </w:t>
      </w:r>
      <w:r w:rsidRPr="00883399">
        <w:rPr>
          <w:sz w:val="24"/>
        </w:rPr>
        <w:lastRenderedPageBreak/>
        <w:t>vented or flared) released during a year from the operation of a facility that is constituted by natural gas production and processing:</w:t>
      </w:r>
    </w:p>
    <w:p w14:paraId="7C96C211" w14:textId="77777777" w:rsidR="00872C03" w:rsidRPr="00883399" w:rsidRDefault="00872C03" w:rsidP="00872C03">
      <w:pPr>
        <w:pStyle w:val="paragraph"/>
        <w:rPr>
          <w:sz w:val="24"/>
        </w:rPr>
      </w:pPr>
      <w:r w:rsidRPr="00883399">
        <w:rPr>
          <w:sz w:val="24"/>
        </w:rPr>
        <w:tab/>
        <w:t>(a)</w:t>
      </w:r>
      <w:r w:rsidRPr="00883399">
        <w:rPr>
          <w:sz w:val="24"/>
        </w:rPr>
        <w:tab/>
        <w:t>method 1 under section 3.72;</w:t>
      </w:r>
    </w:p>
    <w:p w14:paraId="3EA00627" w14:textId="77777777" w:rsidR="00872C03" w:rsidRPr="00883399" w:rsidRDefault="00872C03" w:rsidP="00872C03">
      <w:pPr>
        <w:pStyle w:val="paragraph"/>
        <w:rPr>
          <w:sz w:val="24"/>
        </w:rPr>
      </w:pPr>
      <w:r w:rsidRPr="00883399">
        <w:rPr>
          <w:sz w:val="24"/>
        </w:rPr>
        <w:tab/>
        <w:t>(b)</w:t>
      </w:r>
      <w:r w:rsidRPr="00883399">
        <w:rPr>
          <w:sz w:val="24"/>
        </w:rPr>
        <w:tab/>
        <w:t>method 2 under section 3.73.</w:t>
      </w:r>
    </w:p>
    <w:p w14:paraId="1C18E94D" w14:textId="77777777" w:rsidR="00872C03" w:rsidRPr="00883399" w:rsidRDefault="00872C03" w:rsidP="00872C03">
      <w:pPr>
        <w:pStyle w:val="notetext"/>
        <w:rPr>
          <w:sz w:val="20"/>
        </w:rPr>
      </w:pPr>
      <w:r w:rsidRPr="00883399">
        <w:rPr>
          <w:sz w:val="20"/>
        </w:rPr>
        <w:t>Note:</w:t>
      </w:r>
      <w:r w:rsidRPr="00883399">
        <w:rPr>
          <w:sz w:val="20"/>
        </w:rPr>
        <w:tab/>
        <w:t>There is no method 3 or 4 for this Division.</w:t>
      </w:r>
    </w:p>
    <w:p w14:paraId="02BAEE5E" w14:textId="77777777" w:rsidR="00872C03" w:rsidRPr="00883399" w:rsidRDefault="00872C03" w:rsidP="00872C03">
      <w:pPr>
        <w:pStyle w:val="subsection"/>
        <w:rPr>
          <w:sz w:val="24"/>
        </w:rPr>
      </w:pPr>
      <w:r w:rsidRPr="00883399">
        <w:rPr>
          <w:sz w:val="24"/>
        </w:rPr>
        <w:tab/>
        <w:t>(2)</w:t>
      </w:r>
      <w:r w:rsidRPr="00883399">
        <w:rPr>
          <w:sz w:val="24"/>
        </w:rPr>
        <w:tab/>
        <w:t>However, for incidental emissions another method may be used that is consistent with the principles in section 1.13.</w:t>
      </w:r>
    </w:p>
    <w:p w14:paraId="585732E3" w14:textId="77777777" w:rsidR="00872C03" w:rsidRPr="00883399" w:rsidRDefault="00872C03" w:rsidP="00872C03">
      <w:pPr>
        <w:pStyle w:val="R2"/>
        <w:ind w:left="965" w:hanging="58"/>
        <w:rPr>
          <w:b/>
        </w:rPr>
      </w:pPr>
      <w:r w:rsidRPr="00883399">
        <w:rPr>
          <w:b/>
        </w:rPr>
        <w:t>Summary of available methods, for estimating emissions from natural gas production and processing (other than emissions that are vented or flared), by emissions of gas type (j)</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7"/>
        <w:gridCol w:w="1742"/>
        <w:gridCol w:w="1639"/>
        <w:gridCol w:w="1527"/>
      </w:tblGrid>
      <w:tr w:rsidR="00872C03" w:rsidRPr="00883399" w14:paraId="7839FC3A" w14:textId="77777777" w:rsidTr="0031057E">
        <w:tc>
          <w:tcPr>
            <w:tcW w:w="2400" w:type="dxa"/>
            <w:shd w:val="clear" w:color="auto" w:fill="E6E6E6"/>
          </w:tcPr>
          <w:p w14:paraId="244804C9" w14:textId="77777777" w:rsidR="00872C03" w:rsidRPr="00883399" w:rsidRDefault="00872C03" w:rsidP="0031057E">
            <w:pPr>
              <w:pStyle w:val="Text"/>
            </w:pPr>
          </w:p>
        </w:tc>
        <w:tc>
          <w:tcPr>
            <w:tcW w:w="1800" w:type="dxa"/>
            <w:shd w:val="clear" w:color="auto" w:fill="E6E6E6"/>
          </w:tcPr>
          <w:p w14:paraId="79EC6716" w14:textId="77777777" w:rsidR="00872C03" w:rsidRPr="00883399" w:rsidRDefault="00872C03" w:rsidP="0031057E">
            <w:pPr>
              <w:pStyle w:val="Text"/>
            </w:pPr>
            <w:r w:rsidRPr="00883399">
              <w:t>CO</w:t>
            </w:r>
            <w:r w:rsidRPr="00883399">
              <w:rPr>
                <w:vertAlign w:val="subscript"/>
              </w:rPr>
              <w:t>2</w:t>
            </w:r>
          </w:p>
        </w:tc>
        <w:tc>
          <w:tcPr>
            <w:tcW w:w="1680" w:type="dxa"/>
            <w:shd w:val="clear" w:color="auto" w:fill="E6E6E6"/>
          </w:tcPr>
          <w:p w14:paraId="7D3BAF8C" w14:textId="77777777" w:rsidR="00872C03" w:rsidRPr="00883399" w:rsidRDefault="00872C03" w:rsidP="0031057E">
            <w:pPr>
              <w:pStyle w:val="Text"/>
            </w:pPr>
            <w:r w:rsidRPr="00883399">
              <w:t>CH</w:t>
            </w:r>
            <w:r w:rsidRPr="00883399">
              <w:rPr>
                <w:vertAlign w:val="subscript"/>
              </w:rPr>
              <w:t>4</w:t>
            </w:r>
          </w:p>
        </w:tc>
        <w:tc>
          <w:tcPr>
            <w:tcW w:w="1574" w:type="dxa"/>
            <w:shd w:val="clear" w:color="auto" w:fill="E6E6E6"/>
          </w:tcPr>
          <w:p w14:paraId="75CA9819" w14:textId="77777777" w:rsidR="00872C03" w:rsidRPr="00883399" w:rsidRDefault="00872C03" w:rsidP="0031057E">
            <w:pPr>
              <w:pStyle w:val="Text"/>
            </w:pPr>
            <w:r w:rsidRPr="00883399">
              <w:t>N</w:t>
            </w:r>
            <w:r w:rsidRPr="00883399">
              <w:rPr>
                <w:vertAlign w:val="subscript"/>
              </w:rPr>
              <w:t>2</w:t>
            </w:r>
            <w:r w:rsidRPr="00883399">
              <w:t>O</w:t>
            </w:r>
          </w:p>
        </w:tc>
      </w:tr>
      <w:tr w:rsidR="00872C03" w:rsidRPr="00883399" w14:paraId="0D87E710" w14:textId="77777777" w:rsidTr="0031057E">
        <w:tc>
          <w:tcPr>
            <w:tcW w:w="2400" w:type="dxa"/>
          </w:tcPr>
          <w:p w14:paraId="638E34BB" w14:textId="77777777" w:rsidR="00872C03" w:rsidRPr="00883399" w:rsidRDefault="00872C03" w:rsidP="0031057E">
            <w:pPr>
              <w:pStyle w:val="Text"/>
              <w:spacing w:before="120" w:line="240" w:lineRule="auto"/>
              <w:rPr>
                <w:i/>
              </w:rPr>
            </w:pPr>
            <w:r w:rsidRPr="00883399">
              <w:t>Method 1</w:t>
            </w:r>
          </w:p>
        </w:tc>
        <w:tc>
          <w:tcPr>
            <w:tcW w:w="1800" w:type="dxa"/>
          </w:tcPr>
          <w:p w14:paraId="6189C6EB" w14:textId="77777777" w:rsidR="00872C03" w:rsidRPr="00883399" w:rsidRDefault="00872C03" w:rsidP="0031057E">
            <w:pPr>
              <w:pStyle w:val="Text"/>
              <w:spacing w:before="120" w:line="240" w:lineRule="auto"/>
            </w:pPr>
            <w:r w:rsidRPr="00883399">
              <w:t>NO</w:t>
            </w:r>
          </w:p>
        </w:tc>
        <w:tc>
          <w:tcPr>
            <w:tcW w:w="1680" w:type="dxa"/>
          </w:tcPr>
          <w:p w14:paraId="7DA10F2B" w14:textId="77777777" w:rsidR="00872C03" w:rsidRPr="00883399" w:rsidRDefault="00872C03" w:rsidP="0031057E">
            <w:pPr>
              <w:pStyle w:val="Text"/>
              <w:spacing w:before="120" w:line="240" w:lineRule="auto"/>
            </w:pPr>
            <w:r w:rsidRPr="00883399">
              <w:t>Section 3.72</w:t>
            </w:r>
          </w:p>
        </w:tc>
        <w:tc>
          <w:tcPr>
            <w:tcW w:w="1574" w:type="dxa"/>
          </w:tcPr>
          <w:p w14:paraId="26CFD0BF" w14:textId="77777777" w:rsidR="00872C03" w:rsidRPr="00883399" w:rsidRDefault="00872C03" w:rsidP="0031057E">
            <w:pPr>
              <w:pStyle w:val="Text"/>
              <w:spacing w:before="120" w:line="240" w:lineRule="auto"/>
            </w:pPr>
            <w:r w:rsidRPr="00883399">
              <w:t>NO</w:t>
            </w:r>
          </w:p>
        </w:tc>
      </w:tr>
      <w:tr w:rsidR="00872C03" w:rsidRPr="00883399" w14:paraId="5457EA5D" w14:textId="77777777" w:rsidTr="0031057E">
        <w:tc>
          <w:tcPr>
            <w:tcW w:w="2400" w:type="dxa"/>
          </w:tcPr>
          <w:p w14:paraId="31B802B7" w14:textId="77777777" w:rsidR="00872C03" w:rsidRPr="00883399" w:rsidRDefault="00872C03" w:rsidP="0031057E">
            <w:pPr>
              <w:pStyle w:val="Text"/>
              <w:spacing w:before="120" w:line="240" w:lineRule="auto"/>
            </w:pPr>
            <w:r w:rsidRPr="00883399">
              <w:t>Method 2</w:t>
            </w:r>
          </w:p>
        </w:tc>
        <w:tc>
          <w:tcPr>
            <w:tcW w:w="1800" w:type="dxa"/>
          </w:tcPr>
          <w:p w14:paraId="7B4CFF44" w14:textId="77777777" w:rsidR="00872C03" w:rsidRPr="00883399" w:rsidRDefault="00872C03" w:rsidP="0031057E">
            <w:pPr>
              <w:pStyle w:val="Text"/>
              <w:spacing w:before="120" w:line="240" w:lineRule="auto"/>
            </w:pPr>
            <w:r w:rsidRPr="00883399">
              <w:t>NO</w:t>
            </w:r>
          </w:p>
        </w:tc>
        <w:tc>
          <w:tcPr>
            <w:tcW w:w="1680" w:type="dxa"/>
          </w:tcPr>
          <w:p w14:paraId="53E9DD45" w14:textId="77777777" w:rsidR="00872C03" w:rsidRPr="00883399" w:rsidRDefault="00872C03" w:rsidP="0031057E">
            <w:pPr>
              <w:pStyle w:val="Text"/>
              <w:spacing w:before="120" w:line="240" w:lineRule="auto"/>
            </w:pPr>
            <w:r w:rsidRPr="00883399">
              <w:t>Section 3.73</w:t>
            </w:r>
          </w:p>
        </w:tc>
        <w:tc>
          <w:tcPr>
            <w:tcW w:w="1574" w:type="dxa"/>
          </w:tcPr>
          <w:p w14:paraId="4DDA8CC9" w14:textId="77777777" w:rsidR="00872C03" w:rsidRPr="00883399" w:rsidRDefault="00872C03" w:rsidP="0031057E">
            <w:pPr>
              <w:pStyle w:val="Text"/>
              <w:spacing w:before="120" w:line="240" w:lineRule="auto"/>
            </w:pPr>
            <w:r w:rsidRPr="00883399">
              <w:t>NO</w:t>
            </w:r>
          </w:p>
        </w:tc>
      </w:tr>
      <w:tr w:rsidR="00872C03" w:rsidRPr="00883399" w14:paraId="272A96D4" w14:textId="77777777" w:rsidTr="0031057E">
        <w:tc>
          <w:tcPr>
            <w:tcW w:w="2400" w:type="dxa"/>
          </w:tcPr>
          <w:p w14:paraId="4BC6C87A" w14:textId="77777777" w:rsidR="00872C03" w:rsidRPr="00883399" w:rsidRDefault="00872C03" w:rsidP="0031057E">
            <w:pPr>
              <w:pStyle w:val="Text"/>
              <w:spacing w:before="120" w:line="240" w:lineRule="auto"/>
            </w:pPr>
            <w:r w:rsidRPr="00883399">
              <w:t>Method 3</w:t>
            </w:r>
          </w:p>
        </w:tc>
        <w:tc>
          <w:tcPr>
            <w:tcW w:w="1800" w:type="dxa"/>
          </w:tcPr>
          <w:p w14:paraId="2405D03B" w14:textId="77777777" w:rsidR="00872C03" w:rsidRPr="00883399" w:rsidRDefault="00872C03" w:rsidP="0031057E">
            <w:pPr>
              <w:pStyle w:val="Text"/>
              <w:spacing w:before="120" w:line="240" w:lineRule="auto"/>
            </w:pPr>
            <w:r w:rsidRPr="00883399">
              <w:t>NO</w:t>
            </w:r>
          </w:p>
        </w:tc>
        <w:tc>
          <w:tcPr>
            <w:tcW w:w="1680" w:type="dxa"/>
          </w:tcPr>
          <w:p w14:paraId="0E122E18" w14:textId="77777777" w:rsidR="00872C03" w:rsidRPr="00883399" w:rsidRDefault="00872C03" w:rsidP="0031057E">
            <w:pPr>
              <w:pStyle w:val="Text"/>
              <w:spacing w:before="120" w:line="240" w:lineRule="auto"/>
            </w:pPr>
            <w:r w:rsidRPr="00883399">
              <w:t>NA</w:t>
            </w:r>
          </w:p>
        </w:tc>
        <w:tc>
          <w:tcPr>
            <w:tcW w:w="1574" w:type="dxa"/>
          </w:tcPr>
          <w:p w14:paraId="6A7F0D35" w14:textId="77777777" w:rsidR="00872C03" w:rsidRPr="00883399" w:rsidRDefault="00872C03" w:rsidP="0031057E">
            <w:pPr>
              <w:pStyle w:val="Text"/>
              <w:spacing w:before="120" w:line="240" w:lineRule="auto"/>
            </w:pPr>
            <w:r w:rsidRPr="00883399">
              <w:t>NO</w:t>
            </w:r>
          </w:p>
        </w:tc>
      </w:tr>
      <w:tr w:rsidR="00872C03" w:rsidRPr="00883399" w14:paraId="6CE735D5" w14:textId="77777777" w:rsidTr="0031057E">
        <w:tc>
          <w:tcPr>
            <w:tcW w:w="2400" w:type="dxa"/>
          </w:tcPr>
          <w:p w14:paraId="27E8FE10" w14:textId="77777777" w:rsidR="00872C03" w:rsidRPr="00883399" w:rsidRDefault="00872C03" w:rsidP="0031057E">
            <w:pPr>
              <w:pStyle w:val="Text"/>
              <w:spacing w:before="120" w:line="240" w:lineRule="auto"/>
            </w:pPr>
            <w:r w:rsidRPr="00883399">
              <w:t>Method 4</w:t>
            </w:r>
          </w:p>
        </w:tc>
        <w:tc>
          <w:tcPr>
            <w:tcW w:w="1800" w:type="dxa"/>
          </w:tcPr>
          <w:p w14:paraId="30676462" w14:textId="77777777" w:rsidR="00872C03" w:rsidRPr="00883399" w:rsidRDefault="00872C03" w:rsidP="0031057E">
            <w:pPr>
              <w:pStyle w:val="Text"/>
              <w:spacing w:before="120" w:line="240" w:lineRule="auto"/>
            </w:pPr>
            <w:r w:rsidRPr="00883399">
              <w:t>NO</w:t>
            </w:r>
          </w:p>
        </w:tc>
        <w:tc>
          <w:tcPr>
            <w:tcW w:w="1680" w:type="dxa"/>
          </w:tcPr>
          <w:p w14:paraId="0982E2C4" w14:textId="77777777" w:rsidR="00872C03" w:rsidRPr="00883399" w:rsidRDefault="00872C03" w:rsidP="0031057E">
            <w:pPr>
              <w:pStyle w:val="Text"/>
              <w:spacing w:before="120" w:line="240" w:lineRule="auto"/>
            </w:pPr>
            <w:r w:rsidRPr="00883399">
              <w:t>NA</w:t>
            </w:r>
          </w:p>
        </w:tc>
        <w:tc>
          <w:tcPr>
            <w:tcW w:w="1574" w:type="dxa"/>
          </w:tcPr>
          <w:p w14:paraId="7D422089" w14:textId="77777777" w:rsidR="00872C03" w:rsidRPr="00883399" w:rsidRDefault="00872C03" w:rsidP="0031057E">
            <w:pPr>
              <w:pStyle w:val="Text"/>
              <w:spacing w:before="120" w:line="240" w:lineRule="auto"/>
            </w:pPr>
            <w:r w:rsidRPr="00883399">
              <w:t>NO</w:t>
            </w:r>
          </w:p>
        </w:tc>
      </w:tr>
    </w:tbl>
    <w:p w14:paraId="7D091533" w14:textId="77777777" w:rsidR="00872C03" w:rsidRPr="00883399" w:rsidRDefault="00872C03" w:rsidP="00872C03">
      <w:pPr>
        <w:pStyle w:val="Text"/>
        <w:ind w:left="960"/>
      </w:pPr>
      <w:r w:rsidRPr="00883399">
        <w:t>NA = Not available. NO = Not occurring</w:t>
      </w:r>
    </w:p>
    <w:p w14:paraId="607F4A39" w14:textId="2017A380" w:rsidR="00872C03" w:rsidRPr="00883399" w:rsidRDefault="00872C03" w:rsidP="00872C03">
      <w:pPr>
        <w:pStyle w:val="ActHead5"/>
        <w:rPr>
          <w:sz w:val="28"/>
        </w:rPr>
      </w:pPr>
      <w:bookmarkStart w:id="697" w:name="_Toc423516961"/>
      <w:bookmarkStart w:id="698" w:name="_Toc495652878"/>
      <w:r w:rsidRPr="00883399">
        <w:rPr>
          <w:rStyle w:val="CharSectno"/>
          <w:sz w:val="28"/>
        </w:rPr>
        <w:t>3.72</w:t>
      </w:r>
      <w:r w:rsidRPr="00883399">
        <w:rPr>
          <w:sz w:val="28"/>
        </w:rPr>
        <w:t xml:space="preserve">  Method 1—natural gas production and processing (other than emissions that are vented or flared)</w:t>
      </w:r>
      <w:bookmarkEnd w:id="697"/>
      <w:bookmarkEnd w:id="698"/>
    </w:p>
    <w:p w14:paraId="0E4F60ED" w14:textId="77777777" w:rsidR="00872C03" w:rsidRPr="00883399" w:rsidRDefault="00872C03" w:rsidP="00872C03">
      <w:pPr>
        <w:pStyle w:val="subsection"/>
        <w:rPr>
          <w:sz w:val="24"/>
        </w:rPr>
      </w:pPr>
      <w:r w:rsidRPr="00883399">
        <w:rPr>
          <w:sz w:val="24"/>
        </w:rPr>
        <w:tab/>
        <w:t>(1)</w:t>
      </w:r>
      <w:r w:rsidRPr="00883399">
        <w:rPr>
          <w:sz w:val="24"/>
        </w:rPr>
        <w:tab/>
        <w:t>Method 1 is:</w:t>
      </w:r>
    </w:p>
    <w:p w14:paraId="16460D03" w14:textId="63E88375"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33A65C71" wp14:editId="10351799">
            <wp:extent cx="2581275" cy="2571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581275" cy="257175"/>
                    </a:xfrm>
                    <a:prstGeom prst="rect">
                      <a:avLst/>
                    </a:prstGeom>
                    <a:noFill/>
                    <a:ln>
                      <a:noFill/>
                    </a:ln>
                  </pic:spPr>
                </pic:pic>
              </a:graphicData>
            </a:graphic>
          </wp:inline>
        </w:drawing>
      </w:r>
    </w:p>
    <w:p w14:paraId="186DE650" w14:textId="77777777" w:rsidR="00872C03" w:rsidRPr="00883399" w:rsidRDefault="00872C03" w:rsidP="00872C03">
      <w:pPr>
        <w:pStyle w:val="subsection2"/>
        <w:rPr>
          <w:sz w:val="24"/>
        </w:rPr>
      </w:pPr>
      <w:r w:rsidRPr="00883399">
        <w:rPr>
          <w:sz w:val="24"/>
        </w:rPr>
        <w:t>where:</w:t>
      </w:r>
    </w:p>
    <w:p w14:paraId="4B2943B5" w14:textId="77777777" w:rsidR="00872C03" w:rsidRPr="00883399" w:rsidRDefault="00872C03" w:rsidP="00872C03">
      <w:pPr>
        <w:pStyle w:val="Definition0"/>
        <w:rPr>
          <w:sz w:val="24"/>
        </w:rPr>
      </w:pPr>
      <w:r w:rsidRPr="00883399">
        <w:rPr>
          <w:b/>
          <w:i/>
          <w:sz w:val="24"/>
        </w:rPr>
        <w:t>E</w:t>
      </w:r>
      <w:r w:rsidRPr="00883399">
        <w:rPr>
          <w:b/>
          <w:i/>
          <w:sz w:val="24"/>
          <w:vertAlign w:val="subscript"/>
        </w:rPr>
        <w:t>ij</w:t>
      </w:r>
      <w:r w:rsidRPr="00883399">
        <w:rPr>
          <w:b/>
          <w:i/>
          <w:sz w:val="24"/>
        </w:rPr>
        <w:t xml:space="preserve"> </w:t>
      </w:r>
      <w:r w:rsidRPr="00883399">
        <w:rPr>
          <w:sz w:val="24"/>
        </w:rPr>
        <w:t>is the fugitive emissions of methane (</w:t>
      </w:r>
      <w:r w:rsidRPr="00883399">
        <w:rPr>
          <w:b/>
          <w:i/>
          <w:sz w:val="24"/>
        </w:rPr>
        <w:t>j</w:t>
      </w:r>
      <w:r w:rsidRPr="00883399">
        <w:rPr>
          <w:sz w:val="24"/>
        </w:rPr>
        <w:t>) (other than emissions that are vented or flared) from the natural gas production and processing during the year measured in CO</w:t>
      </w:r>
      <w:r w:rsidRPr="00883399">
        <w:rPr>
          <w:rStyle w:val="charSubscript"/>
          <w:iCs/>
          <w:sz w:val="22"/>
        </w:rPr>
        <w:t>2</w:t>
      </w:r>
      <w:r w:rsidRPr="00883399">
        <w:rPr>
          <w:sz w:val="24"/>
        </w:rPr>
        <w:noBreakHyphen/>
        <w:t>e tonnes.</w:t>
      </w:r>
    </w:p>
    <w:p w14:paraId="09175CE3" w14:textId="77777777" w:rsidR="00872C03" w:rsidRPr="00883399" w:rsidRDefault="00872C03" w:rsidP="00872C03">
      <w:pPr>
        <w:pStyle w:val="Definition0"/>
        <w:rPr>
          <w:sz w:val="24"/>
        </w:rPr>
      </w:pPr>
      <w:r w:rsidRPr="00883399">
        <w:rPr>
          <w:b/>
          <w:i/>
          <w:sz w:val="24"/>
        </w:rPr>
        <w:t>Σ</w:t>
      </w:r>
      <w:r w:rsidRPr="00883399">
        <w:rPr>
          <w:b/>
          <w:i/>
          <w:sz w:val="24"/>
          <w:vertAlign w:val="subscript"/>
        </w:rPr>
        <w:t xml:space="preserve">k </w:t>
      </w:r>
      <w:r w:rsidRPr="00883399">
        <w:rPr>
          <w:sz w:val="24"/>
        </w:rPr>
        <w:t>is the total emissions of methane (</w:t>
      </w:r>
      <w:r w:rsidRPr="00883399">
        <w:rPr>
          <w:b/>
          <w:i/>
          <w:sz w:val="24"/>
        </w:rPr>
        <w:t>j</w:t>
      </w:r>
      <w:r w:rsidRPr="00883399">
        <w:rPr>
          <w:sz w:val="24"/>
        </w:rPr>
        <w:t>), measured in CO</w:t>
      </w:r>
      <w:r w:rsidRPr="00883399">
        <w:rPr>
          <w:rStyle w:val="charSubscript"/>
          <w:iCs/>
          <w:sz w:val="22"/>
        </w:rPr>
        <w:t>2</w:t>
      </w:r>
      <w:r w:rsidRPr="00883399">
        <w:rPr>
          <w:sz w:val="24"/>
        </w:rPr>
        <w:noBreakHyphen/>
        <w:t>e tonnes and estimated by summing up the emissions released from each equipment type (</w:t>
      </w:r>
      <w:r w:rsidRPr="00883399">
        <w:rPr>
          <w:b/>
          <w:i/>
          <w:sz w:val="24"/>
        </w:rPr>
        <w:t>k</w:t>
      </w:r>
      <w:r w:rsidRPr="00883399">
        <w:rPr>
          <w:sz w:val="24"/>
        </w:rPr>
        <w:t>) specified in column 2 of an item in the table in subsection (2), if the equipment is used in the natural gas production and processing.</w:t>
      </w:r>
    </w:p>
    <w:p w14:paraId="605313AE" w14:textId="77777777" w:rsidR="00872C03" w:rsidRPr="00883399" w:rsidRDefault="00872C03" w:rsidP="00872C03">
      <w:pPr>
        <w:pStyle w:val="Definition0"/>
        <w:rPr>
          <w:sz w:val="24"/>
        </w:rPr>
      </w:pPr>
      <w:r w:rsidRPr="00883399">
        <w:rPr>
          <w:b/>
          <w:i/>
          <w:sz w:val="24"/>
        </w:rPr>
        <w:t>Q</w:t>
      </w:r>
      <w:r w:rsidRPr="00883399">
        <w:rPr>
          <w:b/>
          <w:i/>
          <w:sz w:val="24"/>
          <w:vertAlign w:val="subscript"/>
        </w:rPr>
        <w:t xml:space="preserve">ik </w:t>
      </w:r>
      <w:r w:rsidRPr="00883399">
        <w:rPr>
          <w:sz w:val="24"/>
        </w:rPr>
        <w:t>is the total of the quantities of natural gas that pass through each equipment type (</w:t>
      </w:r>
      <w:r w:rsidRPr="00883399">
        <w:rPr>
          <w:b/>
          <w:i/>
          <w:sz w:val="24"/>
        </w:rPr>
        <w:t>k</w:t>
      </w:r>
      <w:r w:rsidRPr="00883399">
        <w:rPr>
          <w:sz w:val="24"/>
        </w:rPr>
        <w:t>), or the number of equipment units of type (</w:t>
      </w:r>
      <w:r w:rsidRPr="00883399">
        <w:rPr>
          <w:b/>
          <w:i/>
          <w:sz w:val="24"/>
        </w:rPr>
        <w:t>k</w:t>
      </w:r>
      <w:r w:rsidRPr="00883399">
        <w:rPr>
          <w:sz w:val="24"/>
        </w:rPr>
        <w:t>) specified in column 2 of the table in subsection (2), measured in tonnes.</w:t>
      </w:r>
    </w:p>
    <w:p w14:paraId="6E26E249" w14:textId="77777777" w:rsidR="00872C03" w:rsidRPr="00883399" w:rsidRDefault="00872C03" w:rsidP="00872C03">
      <w:pPr>
        <w:pStyle w:val="Definition0"/>
        <w:rPr>
          <w:sz w:val="24"/>
        </w:rPr>
      </w:pPr>
      <w:r w:rsidRPr="00883399">
        <w:rPr>
          <w:b/>
          <w:i/>
          <w:sz w:val="24"/>
        </w:rPr>
        <w:lastRenderedPageBreak/>
        <w:t>EF</w:t>
      </w:r>
      <w:r w:rsidRPr="00883399">
        <w:rPr>
          <w:b/>
          <w:i/>
          <w:sz w:val="24"/>
          <w:vertAlign w:val="subscript"/>
        </w:rPr>
        <w:t>ijk</w:t>
      </w:r>
      <w:r w:rsidRPr="00883399">
        <w:rPr>
          <w:b/>
          <w:i/>
          <w:sz w:val="24"/>
        </w:rPr>
        <w:t xml:space="preserve"> </w:t>
      </w:r>
      <w:r w:rsidRPr="00883399">
        <w:rPr>
          <w:sz w:val="24"/>
        </w:rPr>
        <w:t>is the emission factor for methane (</w:t>
      </w:r>
      <w:r w:rsidRPr="00883399">
        <w:rPr>
          <w:b/>
          <w:i/>
          <w:sz w:val="24"/>
        </w:rPr>
        <w:t>j</w:t>
      </w:r>
      <w:r w:rsidRPr="00883399">
        <w:rPr>
          <w:sz w:val="24"/>
        </w:rPr>
        <w:t>) measured in CO</w:t>
      </w:r>
      <w:r w:rsidRPr="00883399">
        <w:rPr>
          <w:rStyle w:val="charSubscript"/>
          <w:iCs/>
          <w:sz w:val="22"/>
        </w:rPr>
        <w:t>2</w:t>
      </w:r>
      <w:r w:rsidRPr="00883399">
        <w:rPr>
          <w:sz w:val="24"/>
        </w:rPr>
        <w:noBreakHyphen/>
        <w:t>e tonnes per tonne of natural gas that passes through each equipment type (</w:t>
      </w:r>
      <w:r w:rsidRPr="00883399">
        <w:rPr>
          <w:b/>
          <w:i/>
          <w:sz w:val="24"/>
        </w:rPr>
        <w:t>k</w:t>
      </w:r>
      <w:r w:rsidRPr="00883399">
        <w:rPr>
          <w:sz w:val="24"/>
        </w:rPr>
        <w:t>) during the year if the equipment is used in the natural gas production and processing.</w:t>
      </w:r>
    </w:p>
    <w:p w14:paraId="64C3EFD2" w14:textId="77777777" w:rsidR="00872C03" w:rsidRPr="00883399" w:rsidRDefault="00872C03" w:rsidP="00872C03">
      <w:pPr>
        <w:pStyle w:val="Definition0"/>
        <w:rPr>
          <w:sz w:val="24"/>
        </w:rPr>
      </w:pPr>
      <w:r w:rsidRPr="00883399">
        <w:rPr>
          <w:b/>
          <w:i/>
          <w:sz w:val="24"/>
        </w:rPr>
        <w:t>Q</w:t>
      </w:r>
      <w:r w:rsidRPr="00883399">
        <w:rPr>
          <w:b/>
          <w:i/>
          <w:sz w:val="24"/>
          <w:vertAlign w:val="subscript"/>
        </w:rPr>
        <w:t>i</w:t>
      </w:r>
      <w:r w:rsidRPr="00883399">
        <w:rPr>
          <w:b/>
          <w:i/>
          <w:sz w:val="24"/>
        </w:rPr>
        <w:t xml:space="preserve"> </w:t>
      </w:r>
      <w:r w:rsidRPr="00883399">
        <w:rPr>
          <w:sz w:val="24"/>
        </w:rPr>
        <w:t>is the total quantity of natural gas (</w:t>
      </w:r>
      <w:r w:rsidRPr="00883399">
        <w:rPr>
          <w:b/>
          <w:i/>
          <w:sz w:val="24"/>
        </w:rPr>
        <w:t>i</w:t>
      </w:r>
      <w:r w:rsidRPr="00883399">
        <w:rPr>
          <w:sz w:val="24"/>
        </w:rPr>
        <w:t>) that passes through the natural gas production and processing measured in tonnes.</w:t>
      </w:r>
    </w:p>
    <w:p w14:paraId="4BD43B4E" w14:textId="77777777" w:rsidR="00872C03" w:rsidRPr="00883399" w:rsidRDefault="00872C03" w:rsidP="00872C03">
      <w:pPr>
        <w:pStyle w:val="Definition0"/>
        <w:rPr>
          <w:sz w:val="24"/>
        </w:rPr>
      </w:pPr>
      <w:r w:rsidRPr="00883399">
        <w:rPr>
          <w:b/>
          <w:i/>
          <w:sz w:val="24"/>
        </w:rPr>
        <w:t>EF</w:t>
      </w:r>
      <w:r w:rsidRPr="00883399">
        <w:rPr>
          <w:b/>
          <w:i/>
          <w:sz w:val="24"/>
          <w:vertAlign w:val="subscript"/>
        </w:rPr>
        <w:t xml:space="preserve">(l) ij </w:t>
      </w:r>
      <w:r w:rsidRPr="00883399">
        <w:rPr>
          <w:sz w:val="24"/>
        </w:rPr>
        <w:t>is 1.2 x 10</w:t>
      </w:r>
      <w:r w:rsidRPr="00883399">
        <w:rPr>
          <w:rStyle w:val="charSuperscript"/>
          <w:sz w:val="24"/>
        </w:rPr>
        <w:noBreakHyphen/>
        <w:t>3</w:t>
      </w:r>
      <w:r w:rsidRPr="00883399">
        <w:rPr>
          <w:sz w:val="24"/>
        </w:rPr>
        <w:t>, which is the emission factor for methane (</w:t>
      </w:r>
      <w:r w:rsidRPr="00883399">
        <w:rPr>
          <w:b/>
          <w:i/>
          <w:sz w:val="24"/>
        </w:rPr>
        <w:t>j</w:t>
      </w:r>
      <w:r w:rsidRPr="00883399">
        <w:rPr>
          <w:sz w:val="24"/>
        </w:rPr>
        <w:t xml:space="preserve">) from general leaks in the natural gas production and processing, measured in </w:t>
      </w:r>
      <w:r w:rsidRPr="00883399">
        <w:rPr>
          <w:bCs/>
          <w:sz w:val="24"/>
        </w:rPr>
        <w:t>CO</w:t>
      </w:r>
      <w:r w:rsidRPr="00883399">
        <w:rPr>
          <w:rStyle w:val="charSubscript"/>
          <w:bCs/>
          <w:sz w:val="22"/>
        </w:rPr>
        <w:t>2</w:t>
      </w:r>
      <w:r w:rsidRPr="00883399">
        <w:rPr>
          <w:bCs/>
          <w:sz w:val="24"/>
        </w:rPr>
        <w:noBreakHyphen/>
        <w:t xml:space="preserve">e </w:t>
      </w:r>
      <w:r w:rsidRPr="00883399">
        <w:rPr>
          <w:sz w:val="24"/>
        </w:rPr>
        <w:t>tonnes per tonne of natural gas that passes through the natural gas production and processing.</w:t>
      </w:r>
    </w:p>
    <w:p w14:paraId="27F40E62" w14:textId="77777777" w:rsidR="00872C03" w:rsidRPr="00883399" w:rsidRDefault="00872C03" w:rsidP="00872C03">
      <w:pPr>
        <w:pStyle w:val="subsection"/>
        <w:rPr>
          <w:sz w:val="24"/>
        </w:rPr>
      </w:pPr>
      <w:r w:rsidRPr="00883399">
        <w:rPr>
          <w:sz w:val="24"/>
        </w:rPr>
        <w:tab/>
        <w:t>(2)</w:t>
      </w:r>
      <w:r w:rsidRPr="00883399">
        <w:rPr>
          <w:sz w:val="24"/>
        </w:rPr>
        <w:tab/>
        <w:t xml:space="preserve">For </w:t>
      </w:r>
      <w:r w:rsidRPr="00883399">
        <w:rPr>
          <w:b/>
          <w:i/>
          <w:sz w:val="24"/>
        </w:rPr>
        <w:t>EF</w:t>
      </w:r>
      <w:r w:rsidRPr="00883399">
        <w:rPr>
          <w:b/>
          <w:i/>
          <w:sz w:val="24"/>
          <w:vertAlign w:val="subscript"/>
        </w:rPr>
        <w:t>ijk</w:t>
      </w:r>
      <w:r w:rsidRPr="00883399">
        <w:rPr>
          <w:i/>
          <w:sz w:val="24"/>
        </w:rPr>
        <w:t xml:space="preserve"> </w:t>
      </w:r>
      <w:r w:rsidRPr="00883399">
        <w:rPr>
          <w:sz w:val="24"/>
        </w:rPr>
        <w:t>in subsection (1), column 3 of an item in the following table specifies the emission factor for methane (</w:t>
      </w:r>
      <w:r w:rsidRPr="00883399">
        <w:rPr>
          <w:b/>
          <w:i/>
          <w:sz w:val="24"/>
        </w:rPr>
        <w:t>j</w:t>
      </w:r>
      <w:r w:rsidRPr="00883399">
        <w:rPr>
          <w:sz w:val="24"/>
        </w:rPr>
        <w:t>) for an equipment type (</w:t>
      </w:r>
      <w:r w:rsidRPr="00883399">
        <w:rPr>
          <w:b/>
          <w:i/>
          <w:sz w:val="24"/>
        </w:rPr>
        <w:t>k</w:t>
      </w:r>
      <w:r w:rsidRPr="00883399">
        <w:rPr>
          <w:sz w:val="24"/>
        </w:rPr>
        <w:t>) specified in column 2 of that item:</w:t>
      </w:r>
    </w:p>
    <w:p w14:paraId="58D8806B" w14:textId="77777777" w:rsidR="00872C03" w:rsidRPr="00883399" w:rsidRDefault="00872C03" w:rsidP="00872C03">
      <w:pPr>
        <w:pStyle w:val="Tabletext0"/>
        <w:rPr>
          <w:sz w:val="22"/>
        </w:rPr>
      </w:pPr>
    </w:p>
    <w:tbl>
      <w:tblPr>
        <w:tblW w:w="7320" w:type="dxa"/>
        <w:tblInd w:w="1068" w:type="dxa"/>
        <w:tblBorders>
          <w:top w:val="single" w:sz="4" w:space="0" w:color="auto"/>
          <w:bottom w:val="single" w:sz="2" w:space="0" w:color="auto"/>
          <w:insideH w:val="single" w:sz="4" w:space="0" w:color="auto"/>
        </w:tblBorders>
        <w:tblLook w:val="0000" w:firstRow="0" w:lastRow="0" w:firstColumn="0" w:lastColumn="0" w:noHBand="0" w:noVBand="0"/>
      </w:tblPr>
      <w:tblGrid>
        <w:gridCol w:w="960"/>
        <w:gridCol w:w="2400"/>
        <w:gridCol w:w="3960"/>
      </w:tblGrid>
      <w:tr w:rsidR="00872C03" w:rsidRPr="00883399" w14:paraId="57D8A630" w14:textId="77777777" w:rsidTr="0031057E">
        <w:tc>
          <w:tcPr>
            <w:tcW w:w="960" w:type="dxa"/>
            <w:tcBorders>
              <w:top w:val="single" w:sz="12" w:space="0" w:color="auto"/>
              <w:bottom w:val="single" w:sz="12" w:space="0" w:color="auto"/>
            </w:tcBorders>
            <w:shd w:val="clear" w:color="auto" w:fill="auto"/>
          </w:tcPr>
          <w:p w14:paraId="04C37944" w14:textId="77777777" w:rsidR="00872C03" w:rsidRPr="00883399" w:rsidRDefault="00872C03" w:rsidP="0031057E">
            <w:pPr>
              <w:pStyle w:val="TableHeading"/>
              <w:rPr>
                <w:sz w:val="22"/>
              </w:rPr>
            </w:pPr>
            <w:r w:rsidRPr="00883399">
              <w:rPr>
                <w:sz w:val="22"/>
              </w:rPr>
              <w:t>Item</w:t>
            </w:r>
          </w:p>
        </w:tc>
        <w:tc>
          <w:tcPr>
            <w:tcW w:w="2400" w:type="dxa"/>
            <w:tcBorders>
              <w:top w:val="single" w:sz="12" w:space="0" w:color="auto"/>
              <w:bottom w:val="single" w:sz="12" w:space="0" w:color="auto"/>
            </w:tcBorders>
            <w:shd w:val="clear" w:color="auto" w:fill="auto"/>
          </w:tcPr>
          <w:p w14:paraId="5A0FEADC" w14:textId="77777777" w:rsidR="00872C03" w:rsidRPr="00883399" w:rsidRDefault="00872C03" w:rsidP="0031057E">
            <w:pPr>
              <w:pStyle w:val="TableHeading"/>
              <w:rPr>
                <w:sz w:val="22"/>
              </w:rPr>
            </w:pPr>
            <w:r w:rsidRPr="00883399">
              <w:rPr>
                <w:sz w:val="22"/>
              </w:rPr>
              <w:t>Equipment type (k)</w:t>
            </w:r>
          </w:p>
        </w:tc>
        <w:tc>
          <w:tcPr>
            <w:tcW w:w="3960" w:type="dxa"/>
            <w:tcBorders>
              <w:top w:val="single" w:sz="12" w:space="0" w:color="auto"/>
              <w:bottom w:val="single" w:sz="12" w:space="0" w:color="auto"/>
            </w:tcBorders>
            <w:shd w:val="clear" w:color="auto" w:fill="auto"/>
          </w:tcPr>
          <w:p w14:paraId="2FB1ECDD" w14:textId="77777777" w:rsidR="00872C03" w:rsidRPr="00883399" w:rsidRDefault="00872C03" w:rsidP="0031057E">
            <w:pPr>
              <w:pStyle w:val="TableHeading"/>
              <w:rPr>
                <w:sz w:val="22"/>
              </w:rPr>
            </w:pPr>
            <w:r w:rsidRPr="00883399">
              <w:rPr>
                <w:sz w:val="22"/>
              </w:rPr>
              <w:t xml:space="preserve">Emission factor for methane (j) </w:t>
            </w:r>
            <w:r w:rsidRPr="00883399">
              <w:rPr>
                <w:sz w:val="22"/>
              </w:rPr>
              <w:br/>
              <w:t>(tonnes CO</w:t>
            </w:r>
            <w:r w:rsidRPr="00883399">
              <w:rPr>
                <w:rStyle w:val="charSubscript"/>
                <w:bCs/>
                <w:sz w:val="22"/>
              </w:rPr>
              <w:t>2</w:t>
            </w:r>
            <w:r w:rsidRPr="00883399">
              <w:rPr>
                <w:rStyle w:val="charSubscript"/>
                <w:bCs/>
                <w:sz w:val="22"/>
              </w:rPr>
              <w:noBreakHyphen/>
              <w:t>e</w:t>
            </w:r>
            <w:r w:rsidRPr="00883399">
              <w:rPr>
                <w:rStyle w:val="charSubscript"/>
                <w:b w:val="0"/>
                <w:bCs/>
                <w:sz w:val="22"/>
              </w:rPr>
              <w:t>/</w:t>
            </w:r>
            <w:r w:rsidRPr="00883399">
              <w:rPr>
                <w:sz w:val="22"/>
              </w:rPr>
              <w:t>tonnes fuel throughput)</w:t>
            </w:r>
          </w:p>
        </w:tc>
      </w:tr>
      <w:tr w:rsidR="00872C03" w:rsidRPr="00883399" w14:paraId="4BDBC230" w14:textId="77777777" w:rsidTr="0031057E">
        <w:trPr>
          <w:trHeight w:val="315"/>
        </w:trPr>
        <w:tc>
          <w:tcPr>
            <w:tcW w:w="960" w:type="dxa"/>
            <w:shd w:val="clear" w:color="auto" w:fill="auto"/>
          </w:tcPr>
          <w:p w14:paraId="2D6C595A" w14:textId="77777777" w:rsidR="00872C03" w:rsidRPr="00883399" w:rsidRDefault="00872C03" w:rsidP="0031057E">
            <w:pPr>
              <w:pStyle w:val="Tabletext0"/>
              <w:rPr>
                <w:sz w:val="22"/>
              </w:rPr>
            </w:pPr>
            <w:r w:rsidRPr="00883399">
              <w:rPr>
                <w:sz w:val="22"/>
              </w:rPr>
              <w:t>1</w:t>
            </w:r>
          </w:p>
        </w:tc>
        <w:tc>
          <w:tcPr>
            <w:tcW w:w="2400" w:type="dxa"/>
            <w:shd w:val="clear" w:color="auto" w:fill="auto"/>
          </w:tcPr>
          <w:p w14:paraId="30ACAA56" w14:textId="77777777" w:rsidR="00872C03" w:rsidRPr="00883399" w:rsidRDefault="00872C03" w:rsidP="0031057E">
            <w:pPr>
              <w:pStyle w:val="Tabletext0"/>
              <w:rPr>
                <w:sz w:val="22"/>
              </w:rPr>
            </w:pPr>
            <w:r w:rsidRPr="00883399">
              <w:rPr>
                <w:sz w:val="22"/>
              </w:rPr>
              <w:t>Internal floating tank</w:t>
            </w:r>
          </w:p>
        </w:tc>
        <w:tc>
          <w:tcPr>
            <w:tcW w:w="3960" w:type="dxa"/>
            <w:shd w:val="clear" w:color="auto" w:fill="auto"/>
          </w:tcPr>
          <w:p w14:paraId="6B0F7A82" w14:textId="77777777" w:rsidR="00872C03" w:rsidRPr="00883399" w:rsidRDefault="00872C03" w:rsidP="0031057E">
            <w:pPr>
              <w:pStyle w:val="Tabletext0"/>
              <w:rPr>
                <w:sz w:val="22"/>
              </w:rPr>
            </w:pPr>
            <w:r w:rsidRPr="00883399">
              <w:rPr>
                <w:position w:val="-10"/>
                <w:sz w:val="22"/>
              </w:rPr>
              <w:object w:dxaOrig="900" w:dyaOrig="320" w14:anchorId="5FD6F311">
                <v:shape id="_x0000_i1063" type="#_x0000_t75" style="width:45pt;height:15.75pt" o:ole="">
                  <v:imagedata r:id="rId159" o:title=""/>
                </v:shape>
                <o:OLEObject Type="Embed" ProgID="Equation.DSMT4" ShapeID="_x0000_i1063" DrawAspect="Content" ObjectID="_1594105954" r:id="rId160"/>
              </w:object>
            </w:r>
          </w:p>
        </w:tc>
      </w:tr>
      <w:tr w:rsidR="00872C03" w:rsidRPr="00883399" w14:paraId="543C666E" w14:textId="77777777" w:rsidTr="0031057E">
        <w:tc>
          <w:tcPr>
            <w:tcW w:w="960" w:type="dxa"/>
            <w:shd w:val="clear" w:color="auto" w:fill="auto"/>
          </w:tcPr>
          <w:p w14:paraId="48B59A1B" w14:textId="77777777" w:rsidR="00872C03" w:rsidRPr="00883399" w:rsidRDefault="00872C03" w:rsidP="0031057E">
            <w:pPr>
              <w:pStyle w:val="Tabletext0"/>
              <w:rPr>
                <w:sz w:val="22"/>
              </w:rPr>
            </w:pPr>
            <w:r w:rsidRPr="00883399">
              <w:rPr>
                <w:sz w:val="22"/>
              </w:rPr>
              <w:t>2</w:t>
            </w:r>
          </w:p>
        </w:tc>
        <w:tc>
          <w:tcPr>
            <w:tcW w:w="2400" w:type="dxa"/>
            <w:shd w:val="clear" w:color="auto" w:fill="auto"/>
          </w:tcPr>
          <w:p w14:paraId="79E5E282" w14:textId="77777777" w:rsidR="00872C03" w:rsidRPr="00883399" w:rsidRDefault="00872C03" w:rsidP="0031057E">
            <w:pPr>
              <w:pStyle w:val="Tabletext0"/>
              <w:rPr>
                <w:sz w:val="22"/>
              </w:rPr>
            </w:pPr>
            <w:r w:rsidRPr="00883399">
              <w:rPr>
                <w:sz w:val="22"/>
              </w:rPr>
              <w:t>Fixed roof tank</w:t>
            </w:r>
          </w:p>
        </w:tc>
        <w:tc>
          <w:tcPr>
            <w:tcW w:w="3960" w:type="dxa"/>
            <w:shd w:val="clear" w:color="auto" w:fill="auto"/>
          </w:tcPr>
          <w:p w14:paraId="032F9A3A" w14:textId="77777777" w:rsidR="00872C03" w:rsidRPr="00883399" w:rsidRDefault="00872C03" w:rsidP="0031057E">
            <w:pPr>
              <w:pStyle w:val="Tabletext0"/>
              <w:rPr>
                <w:sz w:val="22"/>
              </w:rPr>
            </w:pPr>
            <w:r w:rsidRPr="00883399">
              <w:rPr>
                <w:sz w:val="22"/>
              </w:rPr>
              <w:object w:dxaOrig="920" w:dyaOrig="320" w14:anchorId="5437ACA4">
                <v:shape id="_x0000_i1064" type="#_x0000_t75" style="width:45.75pt;height:15.75pt" o:ole="">
                  <v:imagedata r:id="rId140" o:title=""/>
                </v:shape>
                <o:OLEObject Type="Embed" ProgID="Equation.DSMT4" ShapeID="_x0000_i1064" DrawAspect="Content" ObjectID="_1594105955" r:id="rId161"/>
              </w:object>
            </w:r>
          </w:p>
        </w:tc>
      </w:tr>
      <w:tr w:rsidR="00872C03" w:rsidRPr="00883399" w14:paraId="1F8CA1A8" w14:textId="77777777" w:rsidTr="0031057E">
        <w:tc>
          <w:tcPr>
            <w:tcW w:w="960" w:type="dxa"/>
            <w:tcBorders>
              <w:bottom w:val="single" w:sz="12" w:space="0" w:color="auto"/>
            </w:tcBorders>
            <w:shd w:val="clear" w:color="auto" w:fill="auto"/>
          </w:tcPr>
          <w:p w14:paraId="2C326F1E" w14:textId="77777777" w:rsidR="00872C03" w:rsidRPr="00883399" w:rsidRDefault="00872C03" w:rsidP="0031057E">
            <w:pPr>
              <w:pStyle w:val="Tabletext0"/>
              <w:rPr>
                <w:sz w:val="22"/>
              </w:rPr>
            </w:pPr>
            <w:r w:rsidRPr="00883399">
              <w:rPr>
                <w:sz w:val="22"/>
              </w:rPr>
              <w:t>3</w:t>
            </w:r>
          </w:p>
        </w:tc>
        <w:tc>
          <w:tcPr>
            <w:tcW w:w="2400" w:type="dxa"/>
            <w:tcBorders>
              <w:bottom w:val="single" w:sz="12" w:space="0" w:color="auto"/>
            </w:tcBorders>
            <w:shd w:val="clear" w:color="auto" w:fill="auto"/>
          </w:tcPr>
          <w:p w14:paraId="25DDA49F" w14:textId="77777777" w:rsidR="00872C03" w:rsidRPr="00883399" w:rsidRDefault="00872C03" w:rsidP="0031057E">
            <w:pPr>
              <w:pStyle w:val="Tabletext0"/>
              <w:rPr>
                <w:sz w:val="22"/>
              </w:rPr>
            </w:pPr>
            <w:r w:rsidRPr="00883399">
              <w:rPr>
                <w:sz w:val="22"/>
              </w:rPr>
              <w:t>Floating tank</w:t>
            </w:r>
          </w:p>
        </w:tc>
        <w:tc>
          <w:tcPr>
            <w:tcW w:w="3960" w:type="dxa"/>
            <w:tcBorders>
              <w:bottom w:val="single" w:sz="12" w:space="0" w:color="auto"/>
            </w:tcBorders>
            <w:shd w:val="clear" w:color="auto" w:fill="auto"/>
          </w:tcPr>
          <w:p w14:paraId="43012F9E" w14:textId="77777777" w:rsidR="00872C03" w:rsidRPr="00883399" w:rsidRDefault="00872C03" w:rsidP="0031057E">
            <w:pPr>
              <w:pStyle w:val="Tabletext0"/>
              <w:rPr>
                <w:sz w:val="22"/>
              </w:rPr>
            </w:pPr>
            <w:r w:rsidRPr="00883399">
              <w:rPr>
                <w:position w:val="-10"/>
                <w:sz w:val="22"/>
              </w:rPr>
              <w:object w:dxaOrig="920" w:dyaOrig="320" w14:anchorId="76E6E4C5">
                <v:shape id="_x0000_i1065" type="#_x0000_t75" style="width:45.75pt;height:15.75pt" o:ole="">
                  <v:imagedata r:id="rId162" o:title=""/>
                </v:shape>
                <o:OLEObject Type="Embed" ProgID="Equation.DSMT4" ShapeID="_x0000_i1065" DrawAspect="Content" ObjectID="_1594105956" r:id="rId163"/>
              </w:object>
            </w:r>
          </w:p>
        </w:tc>
      </w:tr>
    </w:tbl>
    <w:p w14:paraId="71227B07" w14:textId="77777777" w:rsidR="00872C03" w:rsidRPr="00883399" w:rsidRDefault="00872C03" w:rsidP="00872C03">
      <w:pPr>
        <w:pStyle w:val="subsection"/>
        <w:rPr>
          <w:sz w:val="24"/>
        </w:rPr>
      </w:pPr>
      <w:r w:rsidRPr="00883399">
        <w:rPr>
          <w:sz w:val="24"/>
        </w:rPr>
        <w:tab/>
        <w:t>(3)</w:t>
      </w:r>
      <w:r w:rsidRPr="00883399">
        <w:rPr>
          <w:sz w:val="24"/>
        </w:rPr>
        <w:tab/>
        <w:t xml:space="preserve">For </w:t>
      </w:r>
      <w:r w:rsidRPr="00883399">
        <w:rPr>
          <w:b/>
          <w:i/>
          <w:sz w:val="24"/>
        </w:rPr>
        <w:t>EF</w:t>
      </w:r>
      <w:r w:rsidRPr="00883399">
        <w:rPr>
          <w:b/>
          <w:i/>
          <w:sz w:val="24"/>
          <w:vertAlign w:val="subscript"/>
        </w:rPr>
        <w:t xml:space="preserve">(l) ij </w:t>
      </w:r>
      <w:r w:rsidRPr="00883399">
        <w:rPr>
          <w:sz w:val="24"/>
        </w:rPr>
        <w:t>in subsection (1), general leaks in the natural gas production and processing comprise the emissions (other than vent emissions) from equipment listed in sections 5.4.3, 5.6.4, 5.6.5 and 6.1.2 of the API Compendium, if the equipment is used in the natural gas production and processing.</w:t>
      </w:r>
    </w:p>
    <w:p w14:paraId="52D6A2F1" w14:textId="3D3F167F" w:rsidR="00872C03" w:rsidRPr="00883399" w:rsidRDefault="00872C03" w:rsidP="00872C03">
      <w:pPr>
        <w:pStyle w:val="ActHead5"/>
        <w:rPr>
          <w:sz w:val="28"/>
        </w:rPr>
      </w:pPr>
      <w:bookmarkStart w:id="699" w:name="_Toc423516962"/>
      <w:bookmarkStart w:id="700" w:name="_Toc495652879"/>
      <w:r w:rsidRPr="00883399">
        <w:rPr>
          <w:rStyle w:val="CharSectno"/>
          <w:sz w:val="28"/>
        </w:rPr>
        <w:t>3.73</w:t>
      </w:r>
      <w:r w:rsidRPr="00883399">
        <w:rPr>
          <w:sz w:val="28"/>
        </w:rPr>
        <w:t xml:space="preserve">  Method 2—natural gas production and processing (other than venting and flaring)</w:t>
      </w:r>
      <w:bookmarkEnd w:id="699"/>
      <w:bookmarkEnd w:id="700"/>
    </w:p>
    <w:p w14:paraId="0F35EADE" w14:textId="77777777" w:rsidR="00872C03" w:rsidRPr="00883399" w:rsidRDefault="00872C03" w:rsidP="00872C03">
      <w:pPr>
        <w:pStyle w:val="R1"/>
        <w:keepLines w:val="0"/>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Method 2 for fugitive emissions from natural gas production and processing requires the use of equipment-specific emission factors and more detail on the types of equipment used at the facility. The Method is intended to be as specified in the American Petroleum Institute’s Compendium of Greenhouse Gas Emissions Estimation Methodologies for the Oil and Natural Gas Industry 2009 sections 5 and 6.1.2.   </w:t>
      </w:r>
    </w:p>
    <w:p w14:paraId="22800F08" w14:textId="77777777" w:rsidR="00872C03" w:rsidRPr="00883399" w:rsidRDefault="00872C03" w:rsidP="00872C03">
      <w:pPr>
        <w:pStyle w:val="subsection"/>
        <w:rPr>
          <w:sz w:val="24"/>
        </w:rPr>
      </w:pPr>
      <w:r w:rsidRPr="00883399">
        <w:rPr>
          <w:sz w:val="24"/>
        </w:rPr>
        <w:tab/>
        <w:t>(1)</w:t>
      </w:r>
      <w:r w:rsidRPr="00883399">
        <w:rPr>
          <w:sz w:val="24"/>
        </w:rPr>
        <w:tab/>
        <w:t>Method 2 is:</w:t>
      </w:r>
    </w:p>
    <w:p w14:paraId="25CD6B38" w14:textId="5B7F6B4E"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12E34790" wp14:editId="343D2BAA">
            <wp:extent cx="1628775" cy="2571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p>
    <w:p w14:paraId="5496F77E" w14:textId="77777777" w:rsidR="00872C03" w:rsidRPr="00883399" w:rsidRDefault="00872C03" w:rsidP="00872C03">
      <w:pPr>
        <w:pStyle w:val="subsection2"/>
        <w:rPr>
          <w:sz w:val="24"/>
        </w:rPr>
      </w:pPr>
      <w:r w:rsidRPr="00883399">
        <w:rPr>
          <w:sz w:val="24"/>
        </w:rPr>
        <w:lastRenderedPageBreak/>
        <w:t>where:</w:t>
      </w:r>
    </w:p>
    <w:p w14:paraId="3EA186CC" w14:textId="77777777" w:rsidR="00872C03" w:rsidRPr="00883399" w:rsidRDefault="00872C03" w:rsidP="00872C03">
      <w:pPr>
        <w:pStyle w:val="Definition0"/>
        <w:rPr>
          <w:sz w:val="24"/>
        </w:rPr>
      </w:pPr>
      <w:r w:rsidRPr="00883399">
        <w:rPr>
          <w:b/>
          <w:i/>
          <w:sz w:val="24"/>
        </w:rPr>
        <w:t>E</w:t>
      </w:r>
      <w:r w:rsidRPr="00883399">
        <w:rPr>
          <w:b/>
          <w:i/>
          <w:sz w:val="24"/>
          <w:vertAlign w:val="subscript"/>
        </w:rPr>
        <w:t>ij</w:t>
      </w:r>
      <w:r w:rsidRPr="00883399">
        <w:rPr>
          <w:b/>
          <w:i/>
          <w:sz w:val="24"/>
        </w:rPr>
        <w:t xml:space="preserve"> </w:t>
      </w:r>
      <w:r w:rsidRPr="00883399">
        <w:rPr>
          <w:sz w:val="24"/>
        </w:rPr>
        <w:t>is the fugitive emissions of methane (</w:t>
      </w:r>
      <w:r w:rsidRPr="00883399">
        <w:rPr>
          <w:b/>
          <w:i/>
          <w:sz w:val="24"/>
        </w:rPr>
        <w:t>j</w:t>
      </w:r>
      <w:r w:rsidRPr="00883399">
        <w:rPr>
          <w:sz w:val="24"/>
        </w:rPr>
        <w:t>) from the natural gas production and processing during the year measured in CO</w:t>
      </w:r>
      <w:r w:rsidRPr="00883399">
        <w:rPr>
          <w:rStyle w:val="charSubscript"/>
          <w:iCs/>
          <w:sz w:val="22"/>
        </w:rPr>
        <w:t>2</w:t>
      </w:r>
      <w:r w:rsidRPr="00883399">
        <w:rPr>
          <w:sz w:val="24"/>
        </w:rPr>
        <w:noBreakHyphen/>
        <w:t>e tonnes.</w:t>
      </w:r>
    </w:p>
    <w:p w14:paraId="55BD1AC6" w14:textId="77777777" w:rsidR="00872C03" w:rsidRPr="00883399" w:rsidRDefault="00872C03" w:rsidP="00872C03">
      <w:pPr>
        <w:pStyle w:val="Definition0"/>
        <w:rPr>
          <w:sz w:val="24"/>
        </w:rPr>
      </w:pPr>
      <w:r w:rsidRPr="00883399">
        <w:rPr>
          <w:b/>
          <w:i/>
          <w:sz w:val="24"/>
        </w:rPr>
        <w:t>Σ</w:t>
      </w:r>
      <w:r w:rsidRPr="00883399">
        <w:rPr>
          <w:b/>
          <w:i/>
          <w:sz w:val="24"/>
          <w:vertAlign w:val="subscript"/>
        </w:rPr>
        <w:t xml:space="preserve">k </w:t>
      </w:r>
      <w:r w:rsidRPr="00883399">
        <w:rPr>
          <w:sz w:val="24"/>
        </w:rPr>
        <w:t>is the emissions of methane (</w:t>
      </w:r>
      <w:r w:rsidRPr="00883399">
        <w:rPr>
          <w:b/>
          <w:i/>
          <w:sz w:val="24"/>
        </w:rPr>
        <w:t>j</w:t>
      </w:r>
      <w:r w:rsidRPr="00883399">
        <w:rPr>
          <w:sz w:val="24"/>
        </w:rPr>
        <w:t>) measured in CO</w:t>
      </w:r>
      <w:r w:rsidRPr="00883399">
        <w:rPr>
          <w:rStyle w:val="charSubscript"/>
          <w:iCs/>
          <w:sz w:val="22"/>
        </w:rPr>
        <w:t>2</w:t>
      </w:r>
      <w:r w:rsidRPr="00883399">
        <w:rPr>
          <w:sz w:val="24"/>
        </w:rPr>
        <w:noBreakHyphen/>
        <w:t>e tonnes and estimated by summing up the emissions released from each equipment type (</w:t>
      </w:r>
      <w:r w:rsidRPr="00883399">
        <w:rPr>
          <w:b/>
          <w:i/>
          <w:sz w:val="24"/>
        </w:rPr>
        <w:t>k</w:t>
      </w:r>
      <w:r w:rsidRPr="00883399">
        <w:rPr>
          <w:sz w:val="24"/>
        </w:rPr>
        <w:t>) listed in sections 5.4.1, 5.4.2, 5.4.3, 5.6.4, 5.6.5 and 6.1.2 of the API Compendium, if the equipment is used in the natural gas production and processing.</w:t>
      </w:r>
    </w:p>
    <w:p w14:paraId="52B8EF87" w14:textId="77777777" w:rsidR="00872C03" w:rsidRPr="00883399" w:rsidRDefault="00872C03" w:rsidP="00872C03">
      <w:pPr>
        <w:pStyle w:val="Definition0"/>
        <w:rPr>
          <w:sz w:val="24"/>
        </w:rPr>
      </w:pPr>
      <w:r w:rsidRPr="00883399">
        <w:rPr>
          <w:b/>
          <w:i/>
          <w:sz w:val="24"/>
        </w:rPr>
        <w:t>Q</w:t>
      </w:r>
      <w:r w:rsidRPr="00883399">
        <w:rPr>
          <w:b/>
          <w:i/>
          <w:sz w:val="24"/>
          <w:vertAlign w:val="subscript"/>
        </w:rPr>
        <w:t xml:space="preserve">ik </w:t>
      </w:r>
      <w:r w:rsidRPr="00883399">
        <w:rPr>
          <w:sz w:val="24"/>
        </w:rPr>
        <w:t>is the total of the quantities of natural gas measured in tonnes that pass through each equipment type (</w:t>
      </w:r>
      <w:r w:rsidRPr="00883399">
        <w:rPr>
          <w:b/>
          <w:i/>
          <w:sz w:val="24"/>
        </w:rPr>
        <w:t>k</w:t>
      </w:r>
      <w:r w:rsidRPr="00883399">
        <w:rPr>
          <w:sz w:val="24"/>
        </w:rPr>
        <w:t>) listed in sections 5.4.1, 5.4.2, 5.4.3, 5.6.4, 5.6.5 and 6.1.2 of the API Compendium, if the equipment is used in the natural gas production and processing.</w:t>
      </w:r>
    </w:p>
    <w:p w14:paraId="1BC9E077" w14:textId="77777777" w:rsidR="00872C03" w:rsidRPr="00883399" w:rsidRDefault="00872C03" w:rsidP="00872C03">
      <w:pPr>
        <w:pStyle w:val="Definition0"/>
        <w:rPr>
          <w:sz w:val="24"/>
        </w:rPr>
      </w:pPr>
      <w:r w:rsidRPr="00883399">
        <w:rPr>
          <w:b/>
          <w:i/>
          <w:sz w:val="24"/>
        </w:rPr>
        <w:t>EF</w:t>
      </w:r>
      <w:r w:rsidRPr="00883399">
        <w:rPr>
          <w:b/>
          <w:i/>
          <w:sz w:val="24"/>
          <w:vertAlign w:val="subscript"/>
        </w:rPr>
        <w:t>ijk</w:t>
      </w:r>
      <w:r w:rsidRPr="00883399">
        <w:rPr>
          <w:b/>
          <w:i/>
          <w:sz w:val="24"/>
        </w:rPr>
        <w:t xml:space="preserve"> </w:t>
      </w:r>
      <w:r w:rsidRPr="00883399">
        <w:rPr>
          <w:sz w:val="24"/>
        </w:rPr>
        <w:t>is the emission factor of methane (</w:t>
      </w:r>
      <w:r w:rsidRPr="00883399">
        <w:rPr>
          <w:b/>
          <w:i/>
          <w:sz w:val="24"/>
        </w:rPr>
        <w:t>j</w:t>
      </w:r>
      <w:r w:rsidRPr="00883399">
        <w:rPr>
          <w:sz w:val="24"/>
        </w:rPr>
        <w:t>) measured in tonnes of CO</w:t>
      </w:r>
      <w:r w:rsidRPr="00883399">
        <w:rPr>
          <w:rStyle w:val="charSubscript"/>
          <w:iCs/>
          <w:sz w:val="22"/>
        </w:rPr>
        <w:t>2</w:t>
      </w:r>
      <w:r w:rsidRPr="00883399">
        <w:rPr>
          <w:sz w:val="24"/>
        </w:rPr>
        <w:noBreakHyphen/>
        <w:t>e per tonne of natural gas that passes through each equipment type (</w:t>
      </w:r>
      <w:r w:rsidRPr="00883399">
        <w:rPr>
          <w:b/>
          <w:i/>
          <w:sz w:val="24"/>
        </w:rPr>
        <w:t>k</w:t>
      </w:r>
      <w:r w:rsidRPr="00883399">
        <w:rPr>
          <w:sz w:val="24"/>
        </w:rPr>
        <w:t>) listed in sections 5.4.1, 5.4.2, 5.4.3, 5.6.4, 5.6.5 and 6.1.2 of the API Compendium, if the equipment is used in the natural gas production and processing.</w:t>
      </w:r>
    </w:p>
    <w:p w14:paraId="2AB50794" w14:textId="77777777" w:rsidR="00872C03" w:rsidRPr="00883399" w:rsidRDefault="00872C03" w:rsidP="00872C03">
      <w:pPr>
        <w:pStyle w:val="subsection"/>
        <w:rPr>
          <w:sz w:val="24"/>
        </w:rPr>
      </w:pPr>
      <w:r w:rsidRPr="00883399">
        <w:rPr>
          <w:sz w:val="24"/>
        </w:rPr>
        <w:tab/>
        <w:t>(2)</w:t>
      </w:r>
      <w:r w:rsidRPr="00883399">
        <w:rPr>
          <w:sz w:val="24"/>
        </w:rPr>
        <w:tab/>
        <w:t xml:space="preserve">For </w:t>
      </w:r>
      <w:r w:rsidRPr="00883399">
        <w:rPr>
          <w:b/>
          <w:i/>
          <w:sz w:val="24"/>
        </w:rPr>
        <w:t>EF</w:t>
      </w:r>
      <w:r w:rsidRPr="00883399">
        <w:rPr>
          <w:b/>
          <w:i/>
          <w:sz w:val="24"/>
          <w:vertAlign w:val="subscript"/>
        </w:rPr>
        <w:t>ijk</w:t>
      </w:r>
      <w:r w:rsidRPr="00883399">
        <w:rPr>
          <w:sz w:val="24"/>
        </w:rPr>
        <w:t>, the emission factors for methane (</w:t>
      </w:r>
      <w:r w:rsidRPr="00883399">
        <w:rPr>
          <w:b/>
          <w:i/>
          <w:sz w:val="24"/>
        </w:rPr>
        <w:t>j</w:t>
      </w:r>
      <w:r w:rsidRPr="00883399">
        <w:rPr>
          <w:sz w:val="24"/>
        </w:rPr>
        <w:t>) as the natural gas passes through the equipment types (</w:t>
      </w:r>
      <w:r w:rsidRPr="00883399">
        <w:rPr>
          <w:b/>
          <w:i/>
          <w:sz w:val="24"/>
        </w:rPr>
        <w:t>k</w:t>
      </w:r>
      <w:r w:rsidRPr="00883399">
        <w:rPr>
          <w:sz w:val="24"/>
        </w:rPr>
        <w:t>) are:</w:t>
      </w:r>
    </w:p>
    <w:p w14:paraId="7DF08424" w14:textId="77777777" w:rsidR="00872C03" w:rsidRPr="00883399" w:rsidRDefault="00872C03" w:rsidP="00872C03">
      <w:pPr>
        <w:pStyle w:val="paragraph"/>
        <w:rPr>
          <w:sz w:val="24"/>
        </w:rPr>
      </w:pPr>
      <w:r w:rsidRPr="00883399">
        <w:rPr>
          <w:sz w:val="24"/>
        </w:rPr>
        <w:tab/>
        <w:t>(a)</w:t>
      </w:r>
      <w:r w:rsidRPr="00883399">
        <w:rPr>
          <w:sz w:val="24"/>
        </w:rPr>
        <w:tab/>
        <w:t>as listed in sections 5.4.1, 5.4.2, 5.4.3, 5.6.4, 5.6.5 and 6.1.2 of the API Compendium, for the equipment type; or</w:t>
      </w:r>
    </w:p>
    <w:p w14:paraId="0F0A4EF2" w14:textId="77777777" w:rsidR="00872C03" w:rsidRPr="00883399" w:rsidRDefault="00872C03" w:rsidP="00872C03">
      <w:pPr>
        <w:pStyle w:val="paragraph"/>
        <w:rPr>
          <w:sz w:val="24"/>
        </w:rPr>
      </w:pPr>
      <w:r w:rsidRPr="00883399">
        <w:rPr>
          <w:sz w:val="24"/>
        </w:rPr>
        <w:tab/>
        <w:t>(b)</w:t>
      </w:r>
      <w:r w:rsidRPr="00883399">
        <w:rPr>
          <w:sz w:val="24"/>
        </w:rPr>
        <w:tab/>
        <w:t>if the manufacturer of the equipment supplies equipment</w:t>
      </w:r>
      <w:r w:rsidRPr="00883399">
        <w:rPr>
          <w:sz w:val="24"/>
        </w:rPr>
        <w:noBreakHyphen/>
        <w:t>specific emission factors for the equipment type—those factors.</w:t>
      </w:r>
    </w:p>
    <w:p w14:paraId="198342C1" w14:textId="451F29FF" w:rsidR="00872C03" w:rsidRPr="00883399" w:rsidRDefault="00872C03" w:rsidP="00872C03">
      <w:pPr>
        <w:pStyle w:val="ActHead3"/>
        <w:pageBreakBefore/>
        <w:rPr>
          <w:sz w:val="32"/>
        </w:rPr>
      </w:pPr>
      <w:bookmarkStart w:id="701" w:name="_Toc423516963"/>
      <w:bookmarkStart w:id="702" w:name="_Toc495652880"/>
      <w:r w:rsidRPr="00883399">
        <w:rPr>
          <w:rStyle w:val="CharDivNo"/>
          <w:sz w:val="32"/>
        </w:rPr>
        <w:lastRenderedPageBreak/>
        <w:t>Division 3.3.7</w:t>
      </w:r>
      <w:r w:rsidRPr="00883399">
        <w:rPr>
          <w:sz w:val="32"/>
        </w:rPr>
        <w:t>—</w:t>
      </w:r>
      <w:r w:rsidRPr="00883399">
        <w:rPr>
          <w:rStyle w:val="CharDivText"/>
          <w:sz w:val="32"/>
        </w:rPr>
        <w:t>Natural gas transmission</w:t>
      </w:r>
      <w:bookmarkEnd w:id="701"/>
      <w:bookmarkEnd w:id="702"/>
    </w:p>
    <w:p w14:paraId="5BA4995D" w14:textId="77777777" w:rsidR="00872C03" w:rsidRPr="00883399" w:rsidRDefault="00872C03" w:rsidP="00872C03">
      <w:pPr>
        <w:pStyle w:val="Text"/>
        <w:rPr>
          <w:rFonts w:ascii="Arial" w:hAnsi="Arial" w:cs="Arial"/>
          <w:sz w:val="22"/>
          <w:szCs w:val="22"/>
        </w:rPr>
      </w:pPr>
      <w:bookmarkStart w:id="703" w:name="_Toc423516964"/>
      <w:r w:rsidRPr="00883399">
        <w:rPr>
          <w:rFonts w:ascii="Arial" w:hAnsi="Arial" w:cs="Arial"/>
          <w:sz w:val="22"/>
          <w:szCs w:val="22"/>
        </w:rPr>
        <w:t>Emissions may occur as a result of compressor blow downs for maintenance at compressor stations, maintenance on pipelines, leakage and accidents.</w:t>
      </w:r>
    </w:p>
    <w:p w14:paraId="549C67EA"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Transmission mains are defined as high-pressure pipelines greater than 1050 kilopascals, as used in the Energy Supply Association of Australia natural gas statistics. </w:t>
      </w:r>
    </w:p>
    <w:p w14:paraId="0F4B61C4"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Note that in this part the definition of natural gas is as follows:</w:t>
      </w:r>
    </w:p>
    <w:p w14:paraId="59F242F1" w14:textId="77777777" w:rsidR="00872C03" w:rsidRPr="00883399" w:rsidRDefault="00872C03" w:rsidP="00872C03">
      <w:pPr>
        <w:ind w:left="720"/>
        <w:rPr>
          <w:rFonts w:ascii="Arial" w:hAnsi="Arial" w:cs="Arial"/>
          <w:sz w:val="22"/>
          <w:szCs w:val="22"/>
        </w:rPr>
      </w:pPr>
      <w:r w:rsidRPr="00883399">
        <w:rPr>
          <w:b/>
          <w:bCs/>
          <w:i/>
          <w:iCs/>
        </w:rPr>
        <w:t xml:space="preserve">natural gas </w:t>
      </w:r>
      <w:r w:rsidRPr="00883399">
        <w:t>includes coal seam methane that is captured for combustion where the production of coal is not intended to occur</w:t>
      </w:r>
    </w:p>
    <w:p w14:paraId="3DFEEDDE" w14:textId="3501C5ED" w:rsidR="00872C03" w:rsidRPr="00883399" w:rsidRDefault="00872C03" w:rsidP="00872C03">
      <w:pPr>
        <w:pStyle w:val="ActHead5"/>
        <w:rPr>
          <w:sz w:val="28"/>
        </w:rPr>
      </w:pPr>
      <w:bookmarkStart w:id="704" w:name="_Toc495652881"/>
      <w:r w:rsidRPr="00883399">
        <w:rPr>
          <w:rStyle w:val="CharSectno"/>
          <w:sz w:val="28"/>
        </w:rPr>
        <w:t>3.74</w:t>
      </w:r>
      <w:r w:rsidRPr="00883399">
        <w:rPr>
          <w:sz w:val="28"/>
        </w:rPr>
        <w:t xml:space="preserve">  Application</w:t>
      </w:r>
      <w:bookmarkEnd w:id="703"/>
      <w:bookmarkEnd w:id="704"/>
    </w:p>
    <w:p w14:paraId="77F84113" w14:textId="77777777" w:rsidR="00872C03" w:rsidRPr="00883399" w:rsidRDefault="00872C03" w:rsidP="00872C03">
      <w:pPr>
        <w:pStyle w:val="subsection"/>
        <w:rPr>
          <w:sz w:val="24"/>
        </w:rPr>
      </w:pPr>
      <w:r w:rsidRPr="00883399">
        <w:rPr>
          <w:sz w:val="24"/>
        </w:rPr>
        <w:tab/>
      </w:r>
      <w:r w:rsidRPr="00883399">
        <w:rPr>
          <w:sz w:val="24"/>
        </w:rPr>
        <w:tab/>
        <w:t>This Division applies to fugitive emissions from natural gas transmission activities.</w:t>
      </w:r>
    </w:p>
    <w:p w14:paraId="09E57788" w14:textId="22AE43A6" w:rsidR="00872C03" w:rsidRPr="00883399" w:rsidRDefault="00872C03" w:rsidP="00872C03">
      <w:pPr>
        <w:pStyle w:val="ActHead5"/>
        <w:rPr>
          <w:sz w:val="28"/>
        </w:rPr>
      </w:pPr>
      <w:bookmarkStart w:id="705" w:name="_Toc423516965"/>
      <w:bookmarkStart w:id="706" w:name="_Toc495652882"/>
      <w:r w:rsidRPr="00883399">
        <w:rPr>
          <w:rStyle w:val="CharSectno"/>
          <w:sz w:val="28"/>
        </w:rPr>
        <w:t>3.75</w:t>
      </w:r>
      <w:r w:rsidRPr="00883399">
        <w:rPr>
          <w:sz w:val="28"/>
        </w:rPr>
        <w:t xml:space="preserve">  Available methods</w:t>
      </w:r>
      <w:bookmarkEnd w:id="705"/>
      <w:bookmarkEnd w:id="706"/>
    </w:p>
    <w:p w14:paraId="4327592C" w14:textId="77777777" w:rsidR="00872C03" w:rsidRPr="00883399" w:rsidRDefault="00872C03" w:rsidP="00872C03">
      <w:pPr>
        <w:pStyle w:val="subsection"/>
        <w:rPr>
          <w:sz w:val="24"/>
        </w:rPr>
      </w:pPr>
      <w:r w:rsidRPr="00883399">
        <w:rPr>
          <w:sz w:val="24"/>
        </w:rPr>
        <w:tab/>
        <w:t>(1)</w:t>
      </w:r>
      <w:r w:rsidRPr="00883399">
        <w:rPr>
          <w:sz w:val="24"/>
        </w:rPr>
        <w:tab/>
        <w:t>Subject to section 1.18 and subsection (2), one of the following methods must</w:t>
      </w:r>
      <w:r w:rsidRPr="00883399">
        <w:rPr>
          <w:i/>
          <w:sz w:val="24"/>
        </w:rPr>
        <w:t xml:space="preserve"> </w:t>
      </w:r>
      <w:r w:rsidRPr="00883399">
        <w:rPr>
          <w:sz w:val="24"/>
        </w:rPr>
        <w:t>be used for estimating fugitive emissions of each gas type, being carbon dioxide and methane, released from the operation of a facility that is constituted by natural gas transmission through a system of pipelines during a year:</w:t>
      </w:r>
    </w:p>
    <w:p w14:paraId="5794D2BC" w14:textId="77777777" w:rsidR="00872C03" w:rsidRPr="00883399" w:rsidRDefault="00872C03" w:rsidP="00872C03">
      <w:pPr>
        <w:pStyle w:val="paragraph"/>
        <w:rPr>
          <w:sz w:val="24"/>
        </w:rPr>
      </w:pPr>
      <w:r w:rsidRPr="00883399">
        <w:rPr>
          <w:sz w:val="24"/>
        </w:rPr>
        <w:tab/>
        <w:t>(a)</w:t>
      </w:r>
      <w:r w:rsidRPr="00883399">
        <w:rPr>
          <w:sz w:val="24"/>
        </w:rPr>
        <w:tab/>
        <w:t>method 1 under section 3.76;</w:t>
      </w:r>
    </w:p>
    <w:p w14:paraId="036569C4" w14:textId="77777777" w:rsidR="00872C03" w:rsidRPr="00883399" w:rsidRDefault="00872C03" w:rsidP="00872C03">
      <w:pPr>
        <w:pStyle w:val="paragraph"/>
        <w:rPr>
          <w:sz w:val="24"/>
        </w:rPr>
      </w:pPr>
      <w:r w:rsidRPr="00883399">
        <w:rPr>
          <w:sz w:val="24"/>
        </w:rPr>
        <w:tab/>
        <w:t>(b)</w:t>
      </w:r>
      <w:r w:rsidRPr="00883399">
        <w:rPr>
          <w:sz w:val="24"/>
        </w:rPr>
        <w:tab/>
        <w:t>method 2 under section 3.77.</w:t>
      </w:r>
    </w:p>
    <w:p w14:paraId="64973428" w14:textId="77777777" w:rsidR="00872C03" w:rsidRPr="00883399" w:rsidRDefault="00872C03" w:rsidP="00872C03">
      <w:pPr>
        <w:pStyle w:val="notetext"/>
        <w:rPr>
          <w:sz w:val="20"/>
        </w:rPr>
      </w:pPr>
      <w:r w:rsidRPr="00883399">
        <w:rPr>
          <w:sz w:val="20"/>
        </w:rPr>
        <w:t>Note:</w:t>
      </w:r>
      <w:r w:rsidRPr="00883399">
        <w:rPr>
          <w:sz w:val="20"/>
        </w:rPr>
        <w:tab/>
        <w:t>There is no method 3 or 4 for this Division.</w:t>
      </w:r>
    </w:p>
    <w:p w14:paraId="17B8C5F7" w14:textId="77777777" w:rsidR="00872C03" w:rsidRPr="00883399" w:rsidRDefault="00872C03" w:rsidP="00872C03">
      <w:pPr>
        <w:pStyle w:val="subsection"/>
        <w:rPr>
          <w:sz w:val="24"/>
        </w:rPr>
      </w:pPr>
      <w:r w:rsidRPr="00883399">
        <w:rPr>
          <w:sz w:val="24"/>
        </w:rPr>
        <w:tab/>
        <w:t>(2)</w:t>
      </w:r>
      <w:r w:rsidRPr="00883399">
        <w:rPr>
          <w:sz w:val="24"/>
        </w:rPr>
        <w:tab/>
        <w:t>However, for incidental emissions another method may be used that is consistent with the principles in section 1.13.</w:t>
      </w:r>
    </w:p>
    <w:p w14:paraId="268F49A2" w14:textId="77777777" w:rsidR="00872C03" w:rsidRPr="00883399" w:rsidRDefault="00872C03" w:rsidP="00872C03">
      <w:pPr>
        <w:pStyle w:val="subsection"/>
        <w:rPr>
          <w:sz w:val="24"/>
        </w:rPr>
      </w:pPr>
    </w:p>
    <w:p w14:paraId="62088878" w14:textId="77777777" w:rsidR="00C335B2" w:rsidRPr="00883399" w:rsidRDefault="00C335B2" w:rsidP="00872C03">
      <w:pPr>
        <w:pStyle w:val="subsection"/>
        <w:rPr>
          <w:sz w:val="24"/>
        </w:rPr>
      </w:pPr>
    </w:p>
    <w:p w14:paraId="7C683B68" w14:textId="77777777" w:rsidR="00C335B2" w:rsidRPr="00883399" w:rsidRDefault="00C335B2" w:rsidP="00872C03">
      <w:pPr>
        <w:pStyle w:val="subsection"/>
        <w:rPr>
          <w:sz w:val="24"/>
        </w:rPr>
      </w:pPr>
    </w:p>
    <w:p w14:paraId="45BC007D" w14:textId="77777777" w:rsidR="00C335B2" w:rsidRPr="00883399" w:rsidRDefault="00C335B2" w:rsidP="00872C03">
      <w:pPr>
        <w:pStyle w:val="subsection"/>
        <w:rPr>
          <w:sz w:val="24"/>
        </w:rPr>
      </w:pPr>
    </w:p>
    <w:p w14:paraId="586B910D" w14:textId="77777777" w:rsidR="00C335B2" w:rsidRPr="00883399" w:rsidRDefault="00C335B2" w:rsidP="00872C03">
      <w:pPr>
        <w:pStyle w:val="subsection"/>
        <w:rPr>
          <w:sz w:val="24"/>
        </w:rPr>
      </w:pPr>
    </w:p>
    <w:p w14:paraId="31A8912A" w14:textId="77777777" w:rsidR="00872C03" w:rsidRPr="00883399" w:rsidRDefault="00872C03" w:rsidP="00872C03">
      <w:pPr>
        <w:pStyle w:val="R2"/>
        <w:ind w:left="965" w:hanging="58"/>
        <w:rPr>
          <w:b/>
        </w:rPr>
      </w:pPr>
      <w:r w:rsidRPr="00883399">
        <w:rPr>
          <w:b/>
        </w:rPr>
        <w:t>Summary of available methods, for estimating emissions from natural gas transmission, by emissions of gas type (j)</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1751"/>
        <w:gridCol w:w="1637"/>
        <w:gridCol w:w="1524"/>
      </w:tblGrid>
      <w:tr w:rsidR="00872C03" w:rsidRPr="00883399" w14:paraId="554E92FF" w14:textId="77777777" w:rsidTr="0031057E">
        <w:tc>
          <w:tcPr>
            <w:tcW w:w="2400" w:type="dxa"/>
            <w:shd w:val="clear" w:color="auto" w:fill="E6E6E6"/>
          </w:tcPr>
          <w:p w14:paraId="2AD5D240" w14:textId="77777777" w:rsidR="00872C03" w:rsidRPr="00883399" w:rsidRDefault="00872C03" w:rsidP="0031057E">
            <w:pPr>
              <w:pStyle w:val="Text"/>
            </w:pPr>
          </w:p>
        </w:tc>
        <w:tc>
          <w:tcPr>
            <w:tcW w:w="1800" w:type="dxa"/>
            <w:shd w:val="clear" w:color="auto" w:fill="E6E6E6"/>
          </w:tcPr>
          <w:p w14:paraId="67EF9A7E" w14:textId="77777777" w:rsidR="00872C03" w:rsidRPr="00883399" w:rsidRDefault="00872C03" w:rsidP="0031057E">
            <w:pPr>
              <w:pStyle w:val="Text"/>
            </w:pPr>
            <w:r w:rsidRPr="00883399">
              <w:t>CO</w:t>
            </w:r>
            <w:r w:rsidRPr="00883399">
              <w:rPr>
                <w:vertAlign w:val="subscript"/>
              </w:rPr>
              <w:t>2</w:t>
            </w:r>
          </w:p>
        </w:tc>
        <w:tc>
          <w:tcPr>
            <w:tcW w:w="1680" w:type="dxa"/>
            <w:shd w:val="clear" w:color="auto" w:fill="E6E6E6"/>
          </w:tcPr>
          <w:p w14:paraId="6E06CB48" w14:textId="77777777" w:rsidR="00872C03" w:rsidRPr="00883399" w:rsidRDefault="00872C03" w:rsidP="0031057E">
            <w:pPr>
              <w:pStyle w:val="Text"/>
            </w:pPr>
            <w:r w:rsidRPr="00883399">
              <w:t>CH</w:t>
            </w:r>
            <w:r w:rsidRPr="00883399">
              <w:rPr>
                <w:vertAlign w:val="subscript"/>
              </w:rPr>
              <w:t>4</w:t>
            </w:r>
          </w:p>
        </w:tc>
        <w:tc>
          <w:tcPr>
            <w:tcW w:w="1574" w:type="dxa"/>
            <w:shd w:val="clear" w:color="auto" w:fill="E6E6E6"/>
          </w:tcPr>
          <w:p w14:paraId="15B17E7F" w14:textId="77777777" w:rsidR="00872C03" w:rsidRPr="00883399" w:rsidRDefault="00872C03" w:rsidP="0031057E">
            <w:pPr>
              <w:pStyle w:val="Text"/>
            </w:pPr>
            <w:r w:rsidRPr="00883399">
              <w:t>N</w:t>
            </w:r>
            <w:r w:rsidRPr="00883399">
              <w:rPr>
                <w:vertAlign w:val="subscript"/>
              </w:rPr>
              <w:t>2</w:t>
            </w:r>
            <w:r w:rsidRPr="00883399">
              <w:t>O</w:t>
            </w:r>
          </w:p>
        </w:tc>
      </w:tr>
      <w:tr w:rsidR="00872C03" w:rsidRPr="00883399" w14:paraId="109BE1A6" w14:textId="77777777" w:rsidTr="0031057E">
        <w:tc>
          <w:tcPr>
            <w:tcW w:w="2400" w:type="dxa"/>
          </w:tcPr>
          <w:p w14:paraId="426A17B4" w14:textId="77777777" w:rsidR="00872C03" w:rsidRPr="00883399" w:rsidRDefault="00872C03" w:rsidP="0031057E">
            <w:pPr>
              <w:pStyle w:val="Text"/>
              <w:spacing w:before="120" w:line="240" w:lineRule="auto"/>
              <w:rPr>
                <w:i/>
              </w:rPr>
            </w:pPr>
            <w:r w:rsidRPr="00883399">
              <w:t>Method 1</w:t>
            </w:r>
          </w:p>
        </w:tc>
        <w:tc>
          <w:tcPr>
            <w:tcW w:w="1800" w:type="dxa"/>
          </w:tcPr>
          <w:p w14:paraId="7B1C30C6" w14:textId="77777777" w:rsidR="00872C03" w:rsidRPr="00883399" w:rsidRDefault="00872C03" w:rsidP="0031057E">
            <w:pPr>
              <w:pStyle w:val="Text"/>
              <w:spacing w:before="120" w:line="240" w:lineRule="auto"/>
            </w:pPr>
            <w:r w:rsidRPr="00883399">
              <w:t>Section 3.76</w:t>
            </w:r>
          </w:p>
        </w:tc>
        <w:tc>
          <w:tcPr>
            <w:tcW w:w="1680" w:type="dxa"/>
          </w:tcPr>
          <w:p w14:paraId="03881AB6" w14:textId="77777777" w:rsidR="00872C03" w:rsidRPr="00883399" w:rsidRDefault="00872C03" w:rsidP="0031057E">
            <w:pPr>
              <w:pStyle w:val="Text"/>
              <w:spacing w:before="120" w:line="240" w:lineRule="auto"/>
            </w:pPr>
            <w:r w:rsidRPr="00883399">
              <w:t>Section 3.76</w:t>
            </w:r>
          </w:p>
        </w:tc>
        <w:tc>
          <w:tcPr>
            <w:tcW w:w="1574" w:type="dxa"/>
          </w:tcPr>
          <w:p w14:paraId="1775787C" w14:textId="77777777" w:rsidR="00872C03" w:rsidRPr="00883399" w:rsidRDefault="00872C03" w:rsidP="0031057E">
            <w:pPr>
              <w:pStyle w:val="Text"/>
              <w:spacing w:before="120" w:line="240" w:lineRule="auto"/>
            </w:pPr>
            <w:r w:rsidRPr="00883399">
              <w:t>NO</w:t>
            </w:r>
          </w:p>
        </w:tc>
      </w:tr>
      <w:tr w:rsidR="00872C03" w:rsidRPr="00883399" w14:paraId="159F24CF" w14:textId="77777777" w:rsidTr="0031057E">
        <w:tc>
          <w:tcPr>
            <w:tcW w:w="2400" w:type="dxa"/>
          </w:tcPr>
          <w:p w14:paraId="472C6469" w14:textId="77777777" w:rsidR="00872C03" w:rsidRPr="00883399" w:rsidRDefault="00872C03" w:rsidP="0031057E">
            <w:pPr>
              <w:pStyle w:val="Text"/>
              <w:spacing w:before="120" w:line="240" w:lineRule="auto"/>
            </w:pPr>
            <w:r w:rsidRPr="00883399">
              <w:t>Method 2</w:t>
            </w:r>
          </w:p>
        </w:tc>
        <w:tc>
          <w:tcPr>
            <w:tcW w:w="1800" w:type="dxa"/>
          </w:tcPr>
          <w:p w14:paraId="0D14F873" w14:textId="77777777" w:rsidR="00872C03" w:rsidRPr="00883399" w:rsidRDefault="00872C03" w:rsidP="0031057E">
            <w:pPr>
              <w:pStyle w:val="Text"/>
              <w:spacing w:before="120" w:line="240" w:lineRule="auto"/>
            </w:pPr>
            <w:r w:rsidRPr="00883399">
              <w:t>Section 3.77</w:t>
            </w:r>
          </w:p>
        </w:tc>
        <w:tc>
          <w:tcPr>
            <w:tcW w:w="1680" w:type="dxa"/>
          </w:tcPr>
          <w:p w14:paraId="788C0141" w14:textId="77777777" w:rsidR="00872C03" w:rsidRPr="00883399" w:rsidRDefault="00872C03" w:rsidP="0031057E">
            <w:pPr>
              <w:pStyle w:val="Text"/>
              <w:spacing w:before="120" w:line="240" w:lineRule="auto"/>
            </w:pPr>
            <w:r w:rsidRPr="00883399">
              <w:t>Section 3.77</w:t>
            </w:r>
          </w:p>
        </w:tc>
        <w:tc>
          <w:tcPr>
            <w:tcW w:w="1574" w:type="dxa"/>
          </w:tcPr>
          <w:p w14:paraId="2E1924A2" w14:textId="77777777" w:rsidR="00872C03" w:rsidRPr="00883399" w:rsidRDefault="00872C03" w:rsidP="0031057E">
            <w:pPr>
              <w:pStyle w:val="Text"/>
              <w:spacing w:before="120" w:line="240" w:lineRule="auto"/>
            </w:pPr>
            <w:r w:rsidRPr="00883399">
              <w:t>NO</w:t>
            </w:r>
          </w:p>
        </w:tc>
      </w:tr>
      <w:tr w:rsidR="00872C03" w:rsidRPr="00883399" w14:paraId="191050B5" w14:textId="77777777" w:rsidTr="0031057E">
        <w:tc>
          <w:tcPr>
            <w:tcW w:w="2400" w:type="dxa"/>
          </w:tcPr>
          <w:p w14:paraId="1553D765" w14:textId="77777777" w:rsidR="00872C03" w:rsidRPr="00883399" w:rsidRDefault="00872C03" w:rsidP="0031057E">
            <w:pPr>
              <w:pStyle w:val="Text"/>
              <w:spacing w:before="120" w:line="240" w:lineRule="auto"/>
            </w:pPr>
            <w:r w:rsidRPr="00883399">
              <w:t>Method 3</w:t>
            </w:r>
          </w:p>
        </w:tc>
        <w:tc>
          <w:tcPr>
            <w:tcW w:w="1800" w:type="dxa"/>
          </w:tcPr>
          <w:p w14:paraId="4C7AE807" w14:textId="77777777" w:rsidR="00872C03" w:rsidRPr="00883399" w:rsidRDefault="00872C03" w:rsidP="0031057E">
            <w:pPr>
              <w:pStyle w:val="Text"/>
              <w:spacing w:before="120" w:line="240" w:lineRule="auto"/>
            </w:pPr>
            <w:r w:rsidRPr="00883399">
              <w:t>NO</w:t>
            </w:r>
          </w:p>
        </w:tc>
        <w:tc>
          <w:tcPr>
            <w:tcW w:w="1680" w:type="dxa"/>
          </w:tcPr>
          <w:p w14:paraId="22242013" w14:textId="77777777" w:rsidR="00872C03" w:rsidRPr="00883399" w:rsidRDefault="00872C03" w:rsidP="0031057E">
            <w:pPr>
              <w:pStyle w:val="Text"/>
              <w:spacing w:before="120" w:line="240" w:lineRule="auto"/>
            </w:pPr>
            <w:r w:rsidRPr="00883399">
              <w:t>NA</w:t>
            </w:r>
          </w:p>
        </w:tc>
        <w:tc>
          <w:tcPr>
            <w:tcW w:w="1574" w:type="dxa"/>
          </w:tcPr>
          <w:p w14:paraId="5EEF2FF9" w14:textId="77777777" w:rsidR="00872C03" w:rsidRPr="00883399" w:rsidRDefault="00872C03" w:rsidP="0031057E">
            <w:pPr>
              <w:pStyle w:val="Text"/>
              <w:spacing w:before="120" w:line="240" w:lineRule="auto"/>
            </w:pPr>
            <w:r w:rsidRPr="00883399">
              <w:t>NO</w:t>
            </w:r>
          </w:p>
        </w:tc>
      </w:tr>
      <w:tr w:rsidR="00872C03" w:rsidRPr="00883399" w14:paraId="33863548" w14:textId="77777777" w:rsidTr="0031057E">
        <w:tc>
          <w:tcPr>
            <w:tcW w:w="2400" w:type="dxa"/>
          </w:tcPr>
          <w:p w14:paraId="21F4DCCA" w14:textId="77777777" w:rsidR="00872C03" w:rsidRPr="00883399" w:rsidRDefault="00872C03" w:rsidP="0031057E">
            <w:pPr>
              <w:pStyle w:val="Text"/>
              <w:spacing w:before="120" w:line="240" w:lineRule="auto"/>
            </w:pPr>
            <w:r w:rsidRPr="00883399">
              <w:t>Method 4</w:t>
            </w:r>
          </w:p>
        </w:tc>
        <w:tc>
          <w:tcPr>
            <w:tcW w:w="1800" w:type="dxa"/>
          </w:tcPr>
          <w:p w14:paraId="49C6EB3A" w14:textId="77777777" w:rsidR="00872C03" w:rsidRPr="00883399" w:rsidRDefault="00872C03" w:rsidP="0031057E">
            <w:pPr>
              <w:pStyle w:val="Text"/>
              <w:spacing w:before="120" w:line="240" w:lineRule="auto"/>
            </w:pPr>
            <w:r w:rsidRPr="00883399">
              <w:t>NO</w:t>
            </w:r>
          </w:p>
        </w:tc>
        <w:tc>
          <w:tcPr>
            <w:tcW w:w="1680" w:type="dxa"/>
          </w:tcPr>
          <w:p w14:paraId="6F3AF299" w14:textId="77777777" w:rsidR="00872C03" w:rsidRPr="00883399" w:rsidRDefault="00872C03" w:rsidP="0031057E">
            <w:pPr>
              <w:pStyle w:val="Text"/>
              <w:spacing w:before="120" w:line="240" w:lineRule="auto"/>
            </w:pPr>
            <w:r w:rsidRPr="00883399">
              <w:t>NA</w:t>
            </w:r>
          </w:p>
        </w:tc>
        <w:tc>
          <w:tcPr>
            <w:tcW w:w="1574" w:type="dxa"/>
          </w:tcPr>
          <w:p w14:paraId="4379D251" w14:textId="77777777" w:rsidR="00872C03" w:rsidRPr="00883399" w:rsidRDefault="00872C03" w:rsidP="0031057E">
            <w:pPr>
              <w:pStyle w:val="Text"/>
              <w:spacing w:before="120" w:line="240" w:lineRule="auto"/>
            </w:pPr>
            <w:r w:rsidRPr="00883399">
              <w:t>NO</w:t>
            </w:r>
          </w:p>
        </w:tc>
      </w:tr>
    </w:tbl>
    <w:p w14:paraId="3EB6EC6A" w14:textId="77777777" w:rsidR="00872C03" w:rsidRPr="00883399" w:rsidRDefault="00872C03" w:rsidP="00C335B2">
      <w:pPr>
        <w:pStyle w:val="Text"/>
        <w:ind w:left="960"/>
        <w:rPr>
          <w:sz w:val="24"/>
        </w:rPr>
      </w:pPr>
      <w:r w:rsidRPr="00883399">
        <w:t>NA = Not available.  NO = Not occurring</w:t>
      </w:r>
    </w:p>
    <w:p w14:paraId="0A986F82" w14:textId="31851621" w:rsidR="00872C03" w:rsidRPr="00883399" w:rsidRDefault="00872C03" w:rsidP="00872C03">
      <w:pPr>
        <w:pStyle w:val="ActHead5"/>
        <w:rPr>
          <w:sz w:val="28"/>
        </w:rPr>
      </w:pPr>
      <w:bookmarkStart w:id="707" w:name="_Toc423516966"/>
      <w:bookmarkStart w:id="708" w:name="_Toc495652883"/>
      <w:r w:rsidRPr="00883399">
        <w:rPr>
          <w:rStyle w:val="CharSectno"/>
          <w:sz w:val="28"/>
        </w:rPr>
        <w:t>3.76</w:t>
      </w:r>
      <w:r w:rsidRPr="00883399">
        <w:rPr>
          <w:sz w:val="28"/>
        </w:rPr>
        <w:t xml:space="preserve">  Method 1—natural gas transmission</w:t>
      </w:r>
      <w:bookmarkEnd w:id="707"/>
      <w:bookmarkEnd w:id="708"/>
    </w:p>
    <w:p w14:paraId="14FA8F44" w14:textId="77777777" w:rsidR="00872C03" w:rsidRPr="00883399" w:rsidRDefault="00872C03" w:rsidP="00872C03">
      <w:pPr>
        <w:pStyle w:val="subsection"/>
        <w:rPr>
          <w:sz w:val="24"/>
        </w:rPr>
      </w:pPr>
      <w:r w:rsidRPr="00883399">
        <w:rPr>
          <w:sz w:val="24"/>
        </w:rPr>
        <w:tab/>
      </w:r>
      <w:r w:rsidRPr="00883399">
        <w:rPr>
          <w:sz w:val="24"/>
        </w:rPr>
        <w:tab/>
        <w:t>Method 1 is:</w:t>
      </w:r>
    </w:p>
    <w:p w14:paraId="6B56F0A7" w14:textId="223A1FF4"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29C0F61F" wp14:editId="6AAEC32C">
            <wp:extent cx="1057275" cy="2571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p>
    <w:p w14:paraId="015B256B" w14:textId="77777777" w:rsidR="00872C03" w:rsidRPr="00883399" w:rsidRDefault="00872C03" w:rsidP="00872C03">
      <w:pPr>
        <w:pStyle w:val="subsection2"/>
        <w:rPr>
          <w:sz w:val="24"/>
        </w:rPr>
      </w:pPr>
      <w:r w:rsidRPr="00883399">
        <w:rPr>
          <w:sz w:val="24"/>
        </w:rPr>
        <w:t>where:</w:t>
      </w:r>
    </w:p>
    <w:p w14:paraId="20B718F8" w14:textId="77777777" w:rsidR="00872C03" w:rsidRPr="00883399" w:rsidRDefault="00872C03" w:rsidP="00872C03">
      <w:pPr>
        <w:pStyle w:val="Definition0"/>
        <w:rPr>
          <w:sz w:val="24"/>
        </w:rPr>
      </w:pPr>
      <w:r w:rsidRPr="00883399">
        <w:rPr>
          <w:b/>
          <w:i/>
          <w:sz w:val="24"/>
        </w:rPr>
        <w:t>E</w:t>
      </w:r>
      <w:r w:rsidRPr="00883399">
        <w:rPr>
          <w:b/>
          <w:i/>
          <w:sz w:val="24"/>
          <w:vertAlign w:val="subscript"/>
        </w:rPr>
        <w:t xml:space="preserve">ij </w:t>
      </w:r>
      <w:r w:rsidRPr="00883399">
        <w:rPr>
          <w:sz w:val="24"/>
        </w:rPr>
        <w:t>is the fugitive emissions of gas type (</w:t>
      </w:r>
      <w:r w:rsidRPr="00883399">
        <w:rPr>
          <w:b/>
          <w:i/>
          <w:sz w:val="24"/>
        </w:rPr>
        <w:t>j</w:t>
      </w:r>
      <w:r w:rsidRPr="00883399">
        <w:rPr>
          <w:sz w:val="24"/>
        </w:rPr>
        <w:t>) from natural gas transmission through a system of pipelines of length (</w:t>
      </w:r>
      <w:r w:rsidRPr="00883399">
        <w:rPr>
          <w:rFonts w:ascii="Times" w:hAnsi="Times"/>
          <w:b/>
          <w:i/>
          <w:sz w:val="24"/>
        </w:rPr>
        <w:t>i</w:t>
      </w:r>
      <w:r w:rsidRPr="00883399">
        <w:rPr>
          <w:rFonts w:ascii="Times" w:hAnsi="Times"/>
          <w:i/>
          <w:sz w:val="24"/>
        </w:rPr>
        <w:t xml:space="preserve">) </w:t>
      </w:r>
      <w:r w:rsidRPr="00883399">
        <w:rPr>
          <w:sz w:val="24"/>
        </w:rPr>
        <w:t>during the year measured in CO</w:t>
      </w:r>
      <w:r w:rsidRPr="00883399">
        <w:rPr>
          <w:rStyle w:val="charSubscript"/>
          <w:iCs/>
          <w:sz w:val="22"/>
        </w:rPr>
        <w:t>2</w:t>
      </w:r>
      <w:r w:rsidRPr="00883399">
        <w:rPr>
          <w:sz w:val="24"/>
        </w:rPr>
        <w:noBreakHyphen/>
        <w:t>e tonnes.</w:t>
      </w:r>
    </w:p>
    <w:p w14:paraId="2B45A42F" w14:textId="77777777" w:rsidR="00872C03" w:rsidRPr="00883399" w:rsidRDefault="00872C03" w:rsidP="00872C03">
      <w:pPr>
        <w:pStyle w:val="Definition0"/>
        <w:rPr>
          <w:sz w:val="24"/>
        </w:rPr>
      </w:pPr>
      <w:r w:rsidRPr="00883399">
        <w:rPr>
          <w:b/>
          <w:i/>
          <w:sz w:val="24"/>
        </w:rPr>
        <w:t>Q</w:t>
      </w:r>
      <w:r w:rsidRPr="00883399">
        <w:rPr>
          <w:b/>
          <w:i/>
          <w:sz w:val="24"/>
          <w:vertAlign w:val="subscript"/>
        </w:rPr>
        <w:t xml:space="preserve">i </w:t>
      </w:r>
      <w:r w:rsidRPr="00883399">
        <w:rPr>
          <w:sz w:val="24"/>
        </w:rPr>
        <w:t>is the length of the system of pipelines (</w:t>
      </w:r>
      <w:r w:rsidRPr="00883399">
        <w:rPr>
          <w:rFonts w:ascii="Times" w:hAnsi="Times"/>
          <w:b/>
          <w:i/>
          <w:sz w:val="24"/>
        </w:rPr>
        <w:t>i</w:t>
      </w:r>
      <w:r w:rsidRPr="00883399">
        <w:rPr>
          <w:rFonts w:ascii="Times" w:hAnsi="Times"/>
          <w:i/>
          <w:sz w:val="24"/>
        </w:rPr>
        <w:t>)</w:t>
      </w:r>
      <w:r w:rsidRPr="00883399">
        <w:rPr>
          <w:i/>
          <w:sz w:val="24"/>
        </w:rPr>
        <w:t xml:space="preserve"> </w:t>
      </w:r>
      <w:r w:rsidRPr="00883399">
        <w:rPr>
          <w:sz w:val="24"/>
        </w:rPr>
        <w:t>measured in kilometres.</w:t>
      </w:r>
    </w:p>
    <w:p w14:paraId="29B865FF" w14:textId="77777777" w:rsidR="00872C03" w:rsidRPr="00883399" w:rsidRDefault="00872C03" w:rsidP="00872C03">
      <w:pPr>
        <w:pStyle w:val="Definition0"/>
        <w:rPr>
          <w:sz w:val="24"/>
        </w:rPr>
      </w:pPr>
      <w:r w:rsidRPr="00883399">
        <w:rPr>
          <w:b/>
          <w:i/>
          <w:sz w:val="24"/>
        </w:rPr>
        <w:t>EF</w:t>
      </w:r>
      <w:r w:rsidRPr="00883399">
        <w:rPr>
          <w:b/>
          <w:i/>
          <w:sz w:val="24"/>
          <w:vertAlign w:val="subscript"/>
        </w:rPr>
        <w:t>ij</w:t>
      </w:r>
      <w:r w:rsidRPr="00883399">
        <w:rPr>
          <w:b/>
          <w:i/>
          <w:sz w:val="24"/>
        </w:rPr>
        <w:t xml:space="preserve"> </w:t>
      </w:r>
      <w:r w:rsidRPr="00883399">
        <w:rPr>
          <w:sz w:val="24"/>
        </w:rPr>
        <w:t>is the emission factor for gas type (</w:t>
      </w:r>
      <w:r w:rsidRPr="00883399">
        <w:rPr>
          <w:b/>
          <w:i/>
          <w:sz w:val="24"/>
        </w:rPr>
        <w:t>j</w:t>
      </w:r>
      <w:r w:rsidRPr="00883399">
        <w:rPr>
          <w:sz w:val="24"/>
        </w:rPr>
        <w:t xml:space="preserve">), which is 0.02 for </w:t>
      </w:r>
      <w:r w:rsidRPr="00883399">
        <w:rPr>
          <w:bCs/>
          <w:sz w:val="24"/>
        </w:rPr>
        <w:t xml:space="preserve">carbon dioxide </w:t>
      </w:r>
      <w:r w:rsidRPr="00883399">
        <w:rPr>
          <w:sz w:val="24"/>
        </w:rPr>
        <w:t>and 10.4 for methane, measured in tonnes of CO</w:t>
      </w:r>
      <w:r w:rsidRPr="00883399">
        <w:rPr>
          <w:rStyle w:val="charSubscript"/>
          <w:iCs/>
          <w:sz w:val="22"/>
        </w:rPr>
        <w:t>2</w:t>
      </w:r>
      <w:r w:rsidRPr="00883399">
        <w:rPr>
          <w:sz w:val="24"/>
        </w:rPr>
        <w:noBreakHyphen/>
        <w:t>e emissions per kilometre of pipeline (</w:t>
      </w:r>
      <w:r w:rsidRPr="00883399">
        <w:rPr>
          <w:rFonts w:ascii="Times" w:hAnsi="Times"/>
          <w:b/>
          <w:i/>
          <w:sz w:val="24"/>
        </w:rPr>
        <w:t>i</w:t>
      </w:r>
      <w:r w:rsidRPr="00883399">
        <w:rPr>
          <w:rFonts w:ascii="Times" w:hAnsi="Times"/>
          <w:i/>
          <w:sz w:val="24"/>
        </w:rPr>
        <w:t>)</w:t>
      </w:r>
      <w:r w:rsidRPr="00883399">
        <w:rPr>
          <w:sz w:val="24"/>
        </w:rPr>
        <w:t>.</w:t>
      </w:r>
    </w:p>
    <w:p w14:paraId="222DAB56"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outlineLvl w:val="0"/>
        <w:rPr>
          <w:b/>
        </w:rPr>
      </w:pPr>
      <w:r w:rsidRPr="00883399">
        <w:rPr>
          <w:b/>
        </w:rPr>
        <w:t>Example</w:t>
      </w:r>
    </w:p>
    <w:p w14:paraId="4D12CD35"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pPr>
      <w:r w:rsidRPr="00883399">
        <w:t>A company has a network of natural gas transmission pipelines with a total length of 3600 km, over a year. The Reporter elects to use Method 1 to calculate fugitive emissions from natural gas transmission, for carbon dioxide and methane. Emissions are estimated as follows:</w:t>
      </w:r>
    </w:p>
    <w:p w14:paraId="65574CF8" w14:textId="77777777" w:rsidR="00872C03" w:rsidRPr="00883399" w:rsidRDefault="00C66508" w:rsidP="008E5A09">
      <w:pPr>
        <w:pStyle w:val="Text"/>
        <w:pBdr>
          <w:top w:val="single" w:sz="4" w:space="1" w:color="auto"/>
          <w:left w:val="single" w:sz="4" w:space="4" w:color="auto"/>
          <w:bottom w:val="single" w:sz="4" w:space="1" w:color="auto"/>
          <w:right w:val="single" w:sz="4" w:space="5" w:color="auto"/>
        </w:pBdr>
        <w:tabs>
          <w:tab w:val="left" w:pos="2900"/>
        </w:tabs>
        <w:ind w:left="960"/>
        <w:rPr>
          <w:sz w:val="22"/>
          <w:szCs w:val="22"/>
        </w:rPr>
      </w:pPr>
      <w:r w:rsidRPr="00883399">
        <w:rPr>
          <w:noProof/>
          <w:lang w:eastAsia="en-AU"/>
        </w:rPr>
        <mc:AlternateContent>
          <mc:Choice Requires="wps">
            <w:drawing>
              <wp:anchor distT="0" distB="0" distL="114300" distR="114300" simplePos="0" relativeHeight="251658248" behindDoc="0" locked="0" layoutInCell="1" allowOverlap="1" wp14:anchorId="4D826CDD" wp14:editId="1F973A1F">
                <wp:simplePos x="0" y="0"/>
                <wp:positionH relativeFrom="column">
                  <wp:posOffset>1371600</wp:posOffset>
                </wp:positionH>
                <wp:positionV relativeFrom="paragraph">
                  <wp:posOffset>41910</wp:posOffset>
                </wp:positionV>
                <wp:extent cx="2400300" cy="457200"/>
                <wp:effectExtent l="0" t="0" r="0" b="0"/>
                <wp:wrapNone/>
                <wp:docPr id="8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13CF8" w14:textId="77777777" w:rsidR="00F8313C" w:rsidRDefault="00F8313C" w:rsidP="00872C03">
                            <w:pPr>
                              <w:pStyle w:val="Formula"/>
                            </w:pPr>
                            <w:r>
                              <w:t>E</w:t>
                            </w:r>
                            <w:r>
                              <w:rPr>
                                <w:vertAlign w:val="subscript"/>
                              </w:rPr>
                              <w:t>ij</w:t>
                            </w:r>
                            <w:r>
                              <w:t xml:space="preserve"> = Q</w:t>
                            </w:r>
                            <w:r>
                              <w:rPr>
                                <w:vertAlign w:val="subscript"/>
                              </w:rPr>
                              <w:t xml:space="preserve">i </w:t>
                            </w:r>
                            <w:r>
                              <w:sym w:font="Symbol" w:char="F0B4"/>
                            </w:r>
                            <w:r>
                              <w:t xml:space="preserve"> EF</w:t>
                            </w:r>
                            <w:r>
                              <w:rPr>
                                <w:vertAlign w:val="subscript"/>
                              </w:rPr>
                              <w:t>ij</w:t>
                            </w:r>
                          </w:p>
                          <w:p w14:paraId="445CC944" w14:textId="77777777" w:rsidR="00F8313C" w:rsidRDefault="00F8313C" w:rsidP="00872C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26CDD" id="Text Box 9" o:spid="_x0000_s1043" type="#_x0000_t202" style="position:absolute;left:0;text-align:left;margin-left:108pt;margin-top:3.3pt;width:189pt;height:3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" stroked="f">
                <v:textbox>
                  <w:txbxContent>
                    <w:p w14:paraId="24113CF8" w14:textId="77777777" w:rsidR="00F8313C" w:rsidRDefault="00F8313C" w:rsidP="00872C03">
                      <w:pPr>
                        <w:pStyle w:val="Formula"/>
                      </w:pPr>
                      <w:r>
                        <w:t>E</w:t>
                      </w:r>
                      <w:r>
                        <w:rPr>
                          <w:vertAlign w:val="subscript"/>
                        </w:rPr>
                        <w:t>ij</w:t>
                      </w:r>
                      <w:r>
                        <w:t xml:space="preserve"> = Q</w:t>
                      </w:r>
                      <w:r>
                        <w:rPr>
                          <w:vertAlign w:val="subscript"/>
                        </w:rPr>
                        <w:t xml:space="preserve">i </w:t>
                      </w:r>
                      <w:r>
                        <w:sym w:font="Symbol" w:char="F0B4"/>
                      </w:r>
                      <w:r>
                        <w:t xml:space="preserve"> EF</w:t>
                      </w:r>
                      <w:r>
                        <w:rPr>
                          <w:vertAlign w:val="subscript"/>
                        </w:rPr>
                        <w:t>ij</w:t>
                      </w:r>
                    </w:p>
                    <w:p w14:paraId="445CC944" w14:textId="77777777" w:rsidR="00F8313C" w:rsidRDefault="00F8313C" w:rsidP="00872C03"/>
                  </w:txbxContent>
                </v:textbox>
              </v:shape>
            </w:pict>
          </mc:Fallback>
        </mc:AlternateContent>
      </w:r>
      <w:r w:rsidR="008E5A09" w:rsidRPr="00883399">
        <w:rPr>
          <w:sz w:val="22"/>
          <w:szCs w:val="22"/>
        </w:rPr>
        <w:tab/>
      </w:r>
    </w:p>
    <w:p w14:paraId="6130BF07"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rPr>
          <w:sz w:val="18"/>
          <w:szCs w:val="18"/>
        </w:rPr>
      </w:pPr>
      <w:r w:rsidRPr="00883399">
        <w:rPr>
          <w:sz w:val="18"/>
          <w:szCs w:val="18"/>
        </w:rPr>
        <w:t>where:</w:t>
      </w:r>
    </w:p>
    <w:p w14:paraId="261D4FD4"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rPr>
          <w:sz w:val="18"/>
          <w:szCs w:val="18"/>
        </w:rPr>
      </w:pPr>
      <w:r w:rsidRPr="00883399">
        <w:rPr>
          <w:sz w:val="18"/>
          <w:szCs w:val="18"/>
        </w:rPr>
        <w:t>E</w:t>
      </w:r>
      <w:r w:rsidRPr="00883399">
        <w:rPr>
          <w:sz w:val="18"/>
          <w:szCs w:val="18"/>
          <w:vertAlign w:val="subscript"/>
        </w:rPr>
        <w:t xml:space="preserve">ij </w:t>
      </w:r>
      <w:r w:rsidRPr="00883399">
        <w:rPr>
          <w:sz w:val="18"/>
          <w:szCs w:val="18"/>
        </w:rPr>
        <w:t>is the emissions measured in CO</w:t>
      </w:r>
      <w:r w:rsidRPr="00883399">
        <w:rPr>
          <w:sz w:val="18"/>
          <w:szCs w:val="18"/>
          <w:vertAlign w:val="subscript"/>
        </w:rPr>
        <w:t>2</w:t>
      </w:r>
      <w:r w:rsidRPr="00883399">
        <w:rPr>
          <w:sz w:val="18"/>
          <w:szCs w:val="18"/>
        </w:rPr>
        <w:t xml:space="preserve"> e tonnes of gas type (j), being either carbon dioxide or methane, released from natural gas transmission through a system of pipelines of length (i) during the year measured in CO</w:t>
      </w:r>
      <w:r w:rsidRPr="00883399">
        <w:rPr>
          <w:sz w:val="18"/>
          <w:szCs w:val="18"/>
          <w:vertAlign w:val="subscript"/>
        </w:rPr>
        <w:t>2</w:t>
      </w:r>
      <w:r w:rsidRPr="00883399">
        <w:rPr>
          <w:sz w:val="18"/>
          <w:szCs w:val="18"/>
        </w:rPr>
        <w:t>-e tonnes.</w:t>
      </w:r>
    </w:p>
    <w:p w14:paraId="4D8C3B27"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rPr>
          <w:sz w:val="18"/>
          <w:szCs w:val="18"/>
        </w:rPr>
      </w:pPr>
      <w:r w:rsidRPr="00883399">
        <w:rPr>
          <w:sz w:val="18"/>
          <w:szCs w:val="18"/>
        </w:rPr>
        <w:lastRenderedPageBreak/>
        <w:t>Q</w:t>
      </w:r>
      <w:r w:rsidRPr="00883399">
        <w:rPr>
          <w:sz w:val="18"/>
          <w:szCs w:val="18"/>
          <w:vertAlign w:val="subscript"/>
        </w:rPr>
        <w:t>i</w:t>
      </w:r>
      <w:r w:rsidRPr="00883399">
        <w:rPr>
          <w:sz w:val="18"/>
          <w:szCs w:val="18"/>
        </w:rPr>
        <w:t xml:space="preserve"> is the length of the system of pipelines (i) measured in kilometres. </w:t>
      </w:r>
      <w:r w:rsidRPr="00883399">
        <w:rPr>
          <w:b/>
          <w:sz w:val="18"/>
          <w:szCs w:val="18"/>
        </w:rPr>
        <w:t>In this case pipeline length is 3600 km</w:t>
      </w:r>
      <w:r w:rsidRPr="00883399">
        <w:rPr>
          <w:sz w:val="18"/>
          <w:szCs w:val="18"/>
        </w:rPr>
        <w:t>.</w:t>
      </w:r>
    </w:p>
    <w:p w14:paraId="17C6176B"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rPr>
          <w:sz w:val="18"/>
          <w:szCs w:val="18"/>
        </w:rPr>
      </w:pPr>
      <w:r w:rsidRPr="00883399">
        <w:rPr>
          <w:sz w:val="18"/>
          <w:szCs w:val="18"/>
        </w:rPr>
        <w:t>EF</w:t>
      </w:r>
      <w:r w:rsidRPr="00883399">
        <w:rPr>
          <w:sz w:val="18"/>
          <w:szCs w:val="18"/>
          <w:vertAlign w:val="subscript"/>
        </w:rPr>
        <w:t xml:space="preserve">ij </w:t>
      </w:r>
      <w:r w:rsidRPr="00883399">
        <w:rPr>
          <w:sz w:val="18"/>
          <w:szCs w:val="18"/>
        </w:rPr>
        <w:t>is the emission factor for gas type (j) being 0.02 for carbon dioxide and 8.7 for methane measured in tonnes of CO</w:t>
      </w:r>
      <w:r w:rsidRPr="00883399">
        <w:rPr>
          <w:sz w:val="18"/>
          <w:szCs w:val="18"/>
          <w:vertAlign w:val="subscript"/>
        </w:rPr>
        <w:t>2</w:t>
      </w:r>
      <w:r w:rsidRPr="00883399">
        <w:rPr>
          <w:sz w:val="18"/>
          <w:szCs w:val="18"/>
        </w:rPr>
        <w:t xml:space="preserve"> e emissions per kilometre of pipeline (i).</w:t>
      </w:r>
    </w:p>
    <w:p w14:paraId="257D2BF4"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pPr>
      <w:r w:rsidRPr="00883399">
        <w:t>Therefore, to estimate greenhouse gas emissions (from carbon dioxide and methane) in CO</w:t>
      </w:r>
      <w:r w:rsidRPr="00883399">
        <w:rPr>
          <w:vertAlign w:val="subscript"/>
        </w:rPr>
        <w:t>2</w:t>
      </w:r>
      <w:r w:rsidRPr="00883399">
        <w:t>-e tonnes:</w:t>
      </w:r>
    </w:p>
    <w:p w14:paraId="4E0BFF70"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firstLine="720"/>
      </w:pPr>
      <w:r w:rsidRPr="00883399">
        <w:t>For carbon dioxide</w:t>
      </w:r>
    </w:p>
    <w:p w14:paraId="3D5356B0"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jc w:val="center"/>
      </w:pPr>
      <w:r w:rsidRPr="00883399">
        <w:t>=3600 x 0.02</w:t>
      </w:r>
    </w:p>
    <w:p w14:paraId="41316019"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jc w:val="center"/>
      </w:pPr>
      <w:r w:rsidRPr="00883399">
        <w:t>Total emissions of carbon dioxide  = 72 t CO</w:t>
      </w:r>
      <w:r w:rsidRPr="00883399">
        <w:rPr>
          <w:vertAlign w:val="subscript"/>
        </w:rPr>
        <w:t>2</w:t>
      </w:r>
      <w:r w:rsidRPr="00883399">
        <w:t>-e</w:t>
      </w:r>
    </w:p>
    <w:p w14:paraId="1E4087D6"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firstLine="720"/>
      </w:pPr>
      <w:r w:rsidRPr="00883399">
        <w:t>For methane</w:t>
      </w:r>
    </w:p>
    <w:p w14:paraId="2CA7CDAC"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jc w:val="center"/>
      </w:pPr>
      <w:r w:rsidRPr="00883399">
        <w:t xml:space="preserve">=3600 x </w:t>
      </w:r>
      <w:r w:rsidR="008E5A09" w:rsidRPr="00883399">
        <w:t>10.4</w:t>
      </w:r>
    </w:p>
    <w:p w14:paraId="3C8A0A6A" w14:textId="77777777" w:rsidR="00872C03" w:rsidRPr="00883399" w:rsidRDefault="00872C03" w:rsidP="00872C03">
      <w:pPr>
        <w:pStyle w:val="Text"/>
        <w:pBdr>
          <w:top w:val="single" w:sz="4" w:space="1" w:color="auto"/>
          <w:left w:val="single" w:sz="4" w:space="4" w:color="auto"/>
          <w:bottom w:val="single" w:sz="4" w:space="1" w:color="auto"/>
          <w:right w:val="single" w:sz="4" w:space="5" w:color="auto"/>
        </w:pBdr>
        <w:ind w:left="960"/>
        <w:jc w:val="center"/>
      </w:pPr>
      <w:r w:rsidRPr="00883399">
        <w:t xml:space="preserve">Total emissions of methane  = </w:t>
      </w:r>
      <w:r w:rsidR="008E5A09" w:rsidRPr="00883399">
        <w:t xml:space="preserve">37,440 </w:t>
      </w:r>
      <w:r w:rsidRPr="00883399">
        <w:t xml:space="preserve"> t CO</w:t>
      </w:r>
      <w:r w:rsidRPr="00883399">
        <w:rPr>
          <w:vertAlign w:val="subscript"/>
        </w:rPr>
        <w:t>2</w:t>
      </w:r>
      <w:r w:rsidRPr="00883399">
        <w:t>-e</w:t>
      </w:r>
    </w:p>
    <w:p w14:paraId="16BE5090" w14:textId="77777777" w:rsidR="00872C03" w:rsidRPr="00883399" w:rsidRDefault="00872C03" w:rsidP="00872C03">
      <w:pPr>
        <w:pStyle w:val="Definition0"/>
        <w:rPr>
          <w:sz w:val="24"/>
        </w:rPr>
      </w:pPr>
    </w:p>
    <w:p w14:paraId="1E2565CD" w14:textId="123E0F9F" w:rsidR="00872C03" w:rsidRPr="00883399" w:rsidRDefault="00872C03" w:rsidP="00872C03">
      <w:pPr>
        <w:pStyle w:val="ActHead5"/>
        <w:rPr>
          <w:sz w:val="28"/>
        </w:rPr>
      </w:pPr>
      <w:bookmarkStart w:id="709" w:name="_Toc423516967"/>
      <w:bookmarkStart w:id="710" w:name="_Toc495652884"/>
      <w:r w:rsidRPr="00883399">
        <w:rPr>
          <w:rStyle w:val="CharSectno"/>
          <w:sz w:val="28"/>
        </w:rPr>
        <w:t>3.77</w:t>
      </w:r>
      <w:r w:rsidRPr="00883399">
        <w:rPr>
          <w:sz w:val="28"/>
        </w:rPr>
        <w:t xml:space="preserve">  Method 2—natural gas transmission</w:t>
      </w:r>
      <w:bookmarkEnd w:id="709"/>
      <w:bookmarkEnd w:id="710"/>
    </w:p>
    <w:p w14:paraId="1BBF39E0" w14:textId="77777777" w:rsidR="00872C03" w:rsidRPr="00883399" w:rsidRDefault="00872C03" w:rsidP="00872C03">
      <w:pPr>
        <w:pStyle w:val="R1"/>
        <w:keepLines w:val="0"/>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Method 2 for fugitive emissions from natural gas transmission requires the use of equipment-specific emission factors and more detail on the types of equipment used at the facility. The Method is intended to be as specified in the American Petroleum Institute’s </w:t>
      </w:r>
      <w:r w:rsidRPr="00883399">
        <w:rPr>
          <w:rFonts w:ascii="Arial" w:hAnsi="Arial" w:cs="Arial"/>
          <w:i/>
          <w:sz w:val="22"/>
          <w:szCs w:val="22"/>
        </w:rPr>
        <w:t xml:space="preserve">Compendium of Greenhouse Gas Emissions Estimation Methodologies for the Oil and Natural Gas Industry 2009 </w:t>
      </w:r>
      <w:r w:rsidRPr="00883399">
        <w:rPr>
          <w:rFonts w:ascii="Arial" w:hAnsi="Arial" w:cs="Arial"/>
          <w:sz w:val="22"/>
          <w:szCs w:val="22"/>
        </w:rPr>
        <w:t>sections 5 and 6.1.2.   The option is also provided to refine the emission factors from information on the composition of the gases,</w:t>
      </w:r>
      <w:r w:rsidRPr="00883399">
        <w:t xml:space="preserve"> </w:t>
      </w:r>
      <w:r w:rsidRPr="00883399">
        <w:rPr>
          <w:rFonts w:ascii="Arial" w:hAnsi="Arial" w:cs="Arial"/>
          <w:sz w:val="22"/>
          <w:szCs w:val="22"/>
        </w:rPr>
        <w:t xml:space="preserve">using the engineering calculations and from information on the leakage rates for specific pipeline materials for the industry. </w:t>
      </w:r>
    </w:p>
    <w:p w14:paraId="121BF608" w14:textId="77777777" w:rsidR="00872C03" w:rsidRPr="00883399" w:rsidRDefault="00872C03" w:rsidP="00872C03">
      <w:pPr>
        <w:pStyle w:val="subsection"/>
        <w:rPr>
          <w:sz w:val="24"/>
        </w:rPr>
      </w:pPr>
      <w:r w:rsidRPr="00883399">
        <w:rPr>
          <w:sz w:val="24"/>
        </w:rPr>
        <w:tab/>
        <w:t xml:space="preserve"> (1)</w:t>
      </w:r>
      <w:r w:rsidRPr="00883399">
        <w:rPr>
          <w:sz w:val="24"/>
        </w:rPr>
        <w:tab/>
        <w:t>Method 2 is:</w:t>
      </w:r>
    </w:p>
    <w:p w14:paraId="55BA5876" w14:textId="07BF0805"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079D76F4" wp14:editId="3EE93141">
            <wp:extent cx="1476375" cy="257175"/>
            <wp:effectExtent l="0" t="0" r="0" b="9525"/>
            <wp:docPr id="2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76375" cy="257175"/>
                    </a:xfrm>
                    <a:prstGeom prst="rect">
                      <a:avLst/>
                    </a:prstGeom>
                    <a:noFill/>
                    <a:ln>
                      <a:noFill/>
                    </a:ln>
                  </pic:spPr>
                </pic:pic>
              </a:graphicData>
            </a:graphic>
          </wp:inline>
        </w:drawing>
      </w:r>
    </w:p>
    <w:p w14:paraId="68E0929D" w14:textId="77777777" w:rsidR="00872C03" w:rsidRPr="00883399" w:rsidRDefault="00872C03" w:rsidP="00872C03">
      <w:pPr>
        <w:pStyle w:val="subsection2"/>
        <w:rPr>
          <w:sz w:val="24"/>
        </w:rPr>
      </w:pPr>
      <w:r w:rsidRPr="00883399">
        <w:rPr>
          <w:sz w:val="24"/>
        </w:rPr>
        <w:t>where:</w:t>
      </w:r>
    </w:p>
    <w:p w14:paraId="0A657285" w14:textId="77777777" w:rsidR="00872C03" w:rsidRPr="00883399" w:rsidRDefault="00872C03" w:rsidP="00872C03">
      <w:pPr>
        <w:pStyle w:val="Definition0"/>
        <w:rPr>
          <w:sz w:val="24"/>
        </w:rPr>
      </w:pPr>
      <w:r w:rsidRPr="00883399">
        <w:rPr>
          <w:b/>
          <w:i/>
          <w:sz w:val="24"/>
        </w:rPr>
        <w:t>E</w:t>
      </w:r>
      <w:r w:rsidRPr="00883399">
        <w:rPr>
          <w:b/>
          <w:i/>
          <w:sz w:val="24"/>
          <w:vertAlign w:val="subscript"/>
        </w:rPr>
        <w:t>j</w:t>
      </w:r>
      <w:r w:rsidRPr="00883399">
        <w:rPr>
          <w:b/>
          <w:i/>
          <w:sz w:val="24"/>
        </w:rPr>
        <w:t xml:space="preserve"> </w:t>
      </w:r>
      <w:r w:rsidRPr="00883399">
        <w:rPr>
          <w:sz w:val="24"/>
        </w:rPr>
        <w:t>is the fugitive emissions of gas type (</w:t>
      </w:r>
      <w:r w:rsidRPr="00883399">
        <w:rPr>
          <w:b/>
          <w:i/>
          <w:sz w:val="24"/>
        </w:rPr>
        <w:t>j</w:t>
      </w:r>
      <w:r w:rsidRPr="00883399">
        <w:rPr>
          <w:sz w:val="24"/>
        </w:rPr>
        <w:t>) measured in CO</w:t>
      </w:r>
      <w:r w:rsidRPr="00883399">
        <w:rPr>
          <w:rStyle w:val="charSubscript"/>
          <w:iCs/>
          <w:sz w:val="22"/>
        </w:rPr>
        <w:t>2</w:t>
      </w:r>
      <w:r w:rsidRPr="00883399">
        <w:rPr>
          <w:sz w:val="24"/>
        </w:rPr>
        <w:noBreakHyphen/>
        <w:t>e tonnes from the natural gas transmission through the system of pipelines during the year.</w:t>
      </w:r>
    </w:p>
    <w:p w14:paraId="70E717DA" w14:textId="77777777" w:rsidR="00872C03" w:rsidRPr="00883399" w:rsidRDefault="00872C03" w:rsidP="00872C03">
      <w:pPr>
        <w:pStyle w:val="Definition0"/>
        <w:rPr>
          <w:sz w:val="24"/>
        </w:rPr>
      </w:pPr>
      <w:r w:rsidRPr="00883399">
        <w:rPr>
          <w:b/>
          <w:i/>
          <w:sz w:val="24"/>
        </w:rPr>
        <w:lastRenderedPageBreak/>
        <w:t>Σ</w:t>
      </w:r>
      <w:r w:rsidRPr="00883399">
        <w:rPr>
          <w:b/>
          <w:i/>
          <w:sz w:val="24"/>
          <w:vertAlign w:val="subscript"/>
        </w:rPr>
        <w:t xml:space="preserve">k </w:t>
      </w:r>
      <w:r w:rsidRPr="00883399">
        <w:rPr>
          <w:sz w:val="24"/>
        </w:rPr>
        <w:t>is the total of emissions of gas type (</w:t>
      </w:r>
      <w:r w:rsidRPr="00883399">
        <w:rPr>
          <w:b/>
          <w:i/>
          <w:sz w:val="24"/>
        </w:rPr>
        <w:t>j</w:t>
      </w:r>
      <w:r w:rsidRPr="00883399">
        <w:rPr>
          <w:sz w:val="24"/>
        </w:rPr>
        <w:t>) measured in CO</w:t>
      </w:r>
      <w:r w:rsidRPr="00883399">
        <w:rPr>
          <w:rStyle w:val="charSubscript"/>
          <w:iCs/>
          <w:sz w:val="22"/>
        </w:rPr>
        <w:t>2</w:t>
      </w:r>
      <w:r w:rsidRPr="00883399">
        <w:rPr>
          <w:sz w:val="24"/>
        </w:rPr>
        <w:noBreakHyphen/>
        <w:t>e tonnes and estimated by summing up the emissions released from each equipment type (</w:t>
      </w:r>
      <w:r w:rsidRPr="00883399">
        <w:rPr>
          <w:b/>
          <w:i/>
          <w:sz w:val="24"/>
        </w:rPr>
        <w:t>k</w:t>
      </w:r>
      <w:r w:rsidRPr="00883399">
        <w:rPr>
          <w:sz w:val="24"/>
        </w:rPr>
        <w:t>) listed in sections 5 and 6.1.2 of the API Compendium, if the equipment is used in the natural gas transmission.</w:t>
      </w:r>
    </w:p>
    <w:p w14:paraId="6C8B0798" w14:textId="77777777" w:rsidR="00872C03" w:rsidRPr="00883399" w:rsidRDefault="00872C03" w:rsidP="00872C03">
      <w:pPr>
        <w:pStyle w:val="Definition0"/>
        <w:rPr>
          <w:sz w:val="24"/>
        </w:rPr>
      </w:pPr>
      <w:r w:rsidRPr="00883399">
        <w:rPr>
          <w:b/>
          <w:i/>
          <w:sz w:val="24"/>
        </w:rPr>
        <w:t>Q</w:t>
      </w:r>
      <w:r w:rsidRPr="00883399">
        <w:rPr>
          <w:sz w:val="24"/>
          <w:vertAlign w:val="subscript"/>
        </w:rPr>
        <w:t xml:space="preserve">k </w:t>
      </w:r>
      <w:r w:rsidRPr="00883399">
        <w:rPr>
          <w:sz w:val="24"/>
        </w:rPr>
        <w:t>is the total of the quantities of natural gas measured in tonnes that pass through each equipment type (</w:t>
      </w:r>
      <w:r w:rsidRPr="00883399">
        <w:rPr>
          <w:b/>
          <w:i/>
          <w:sz w:val="24"/>
        </w:rPr>
        <w:t>k</w:t>
      </w:r>
      <w:r w:rsidRPr="00883399">
        <w:rPr>
          <w:sz w:val="24"/>
        </w:rPr>
        <w:t>) or the number of equipment units of type (</w:t>
      </w:r>
      <w:r w:rsidRPr="00883399">
        <w:rPr>
          <w:b/>
          <w:i/>
          <w:sz w:val="24"/>
        </w:rPr>
        <w:t>k</w:t>
      </w:r>
      <w:r w:rsidRPr="00883399">
        <w:rPr>
          <w:sz w:val="24"/>
        </w:rPr>
        <w:t>) listed in sections 5 and 6.1.2 of the API Compendium, if the equipment is used in the natural gas transmission.</w:t>
      </w:r>
    </w:p>
    <w:p w14:paraId="2CAF46BC" w14:textId="77777777" w:rsidR="00872C03" w:rsidRPr="00883399" w:rsidRDefault="00872C03" w:rsidP="00872C03">
      <w:pPr>
        <w:pStyle w:val="Definition0"/>
        <w:rPr>
          <w:sz w:val="24"/>
        </w:rPr>
      </w:pPr>
      <w:r w:rsidRPr="00883399">
        <w:rPr>
          <w:b/>
          <w:i/>
          <w:sz w:val="24"/>
        </w:rPr>
        <w:t>EF</w:t>
      </w:r>
      <w:r w:rsidRPr="00883399">
        <w:rPr>
          <w:b/>
          <w:i/>
          <w:sz w:val="24"/>
          <w:vertAlign w:val="subscript"/>
        </w:rPr>
        <w:t>jk</w:t>
      </w:r>
      <w:r w:rsidRPr="00883399">
        <w:rPr>
          <w:b/>
          <w:i/>
          <w:sz w:val="24"/>
        </w:rPr>
        <w:t xml:space="preserve"> </w:t>
      </w:r>
      <w:r w:rsidRPr="00883399">
        <w:rPr>
          <w:sz w:val="24"/>
        </w:rPr>
        <w:t>is the emission factor of gas type (</w:t>
      </w:r>
      <w:r w:rsidRPr="00883399">
        <w:rPr>
          <w:b/>
          <w:i/>
          <w:sz w:val="24"/>
        </w:rPr>
        <w:t>j</w:t>
      </w:r>
      <w:r w:rsidRPr="00883399">
        <w:rPr>
          <w:sz w:val="24"/>
        </w:rPr>
        <w:t>) measured in CO</w:t>
      </w:r>
      <w:r w:rsidRPr="00883399">
        <w:rPr>
          <w:rStyle w:val="charSubscript"/>
          <w:iCs/>
          <w:sz w:val="22"/>
        </w:rPr>
        <w:t>2</w:t>
      </w:r>
      <w:r w:rsidRPr="00883399">
        <w:rPr>
          <w:sz w:val="24"/>
        </w:rPr>
        <w:noBreakHyphen/>
        <w:t>e tonnes for each equipment type (</w:t>
      </w:r>
      <w:r w:rsidRPr="00883399">
        <w:rPr>
          <w:b/>
          <w:i/>
          <w:sz w:val="24"/>
        </w:rPr>
        <w:t>k</w:t>
      </w:r>
      <w:r w:rsidRPr="00883399">
        <w:rPr>
          <w:sz w:val="24"/>
        </w:rPr>
        <w:t>) listed in sections 5 and 6.1.2 of the API Compendium, where the equipment is used in the natural gas transmission.</w:t>
      </w:r>
    </w:p>
    <w:p w14:paraId="5B395F28" w14:textId="77777777" w:rsidR="00872C03" w:rsidRPr="00883399" w:rsidRDefault="00872C03" w:rsidP="00872C03">
      <w:pPr>
        <w:pStyle w:val="subsection"/>
        <w:rPr>
          <w:sz w:val="24"/>
        </w:rPr>
      </w:pPr>
      <w:r w:rsidRPr="00883399">
        <w:rPr>
          <w:sz w:val="24"/>
        </w:rPr>
        <w:tab/>
        <w:t>(2)</w:t>
      </w:r>
      <w:r w:rsidRPr="00883399">
        <w:rPr>
          <w:sz w:val="24"/>
        </w:rPr>
        <w:tab/>
        <w:t xml:space="preserve">For </w:t>
      </w:r>
      <w:r w:rsidRPr="00883399">
        <w:rPr>
          <w:b/>
          <w:i/>
          <w:sz w:val="24"/>
        </w:rPr>
        <w:t>EF</w:t>
      </w:r>
      <w:r w:rsidRPr="00883399">
        <w:rPr>
          <w:b/>
          <w:i/>
          <w:sz w:val="24"/>
          <w:vertAlign w:val="subscript"/>
        </w:rPr>
        <w:t>jk</w:t>
      </w:r>
      <w:r w:rsidRPr="00883399">
        <w:rPr>
          <w:sz w:val="24"/>
        </w:rPr>
        <w:t>, the emission factors for a gas type (</w:t>
      </w:r>
      <w:r w:rsidRPr="00883399">
        <w:rPr>
          <w:b/>
          <w:i/>
          <w:sz w:val="24"/>
        </w:rPr>
        <w:t>j</w:t>
      </w:r>
      <w:r w:rsidRPr="00883399">
        <w:rPr>
          <w:sz w:val="24"/>
        </w:rPr>
        <w:t>) as the natural gas passes through the equipment type (</w:t>
      </w:r>
      <w:r w:rsidRPr="00883399">
        <w:rPr>
          <w:b/>
          <w:i/>
          <w:sz w:val="24"/>
        </w:rPr>
        <w:t>k</w:t>
      </w:r>
      <w:r w:rsidRPr="00883399">
        <w:rPr>
          <w:sz w:val="24"/>
        </w:rPr>
        <w:t>) are:</w:t>
      </w:r>
    </w:p>
    <w:p w14:paraId="43045899" w14:textId="77777777" w:rsidR="00872C03" w:rsidRPr="00883399" w:rsidRDefault="00872C03" w:rsidP="00872C03">
      <w:pPr>
        <w:pStyle w:val="paragraph"/>
        <w:rPr>
          <w:sz w:val="24"/>
        </w:rPr>
      </w:pPr>
      <w:r w:rsidRPr="00883399">
        <w:rPr>
          <w:sz w:val="24"/>
        </w:rPr>
        <w:tab/>
        <w:t>(a)</w:t>
      </w:r>
      <w:r w:rsidRPr="00883399">
        <w:rPr>
          <w:sz w:val="24"/>
        </w:rPr>
        <w:tab/>
        <w:t>as listed in sections 5 and 6.1.2 of the API Compendium, for the equipment type; or</w:t>
      </w:r>
    </w:p>
    <w:p w14:paraId="18C7C1F9" w14:textId="77777777" w:rsidR="00872C03" w:rsidRPr="00883399" w:rsidRDefault="00872C03" w:rsidP="00872C03">
      <w:pPr>
        <w:pStyle w:val="paragraph"/>
        <w:rPr>
          <w:sz w:val="24"/>
        </w:rPr>
      </w:pPr>
      <w:r w:rsidRPr="00883399">
        <w:rPr>
          <w:sz w:val="24"/>
        </w:rPr>
        <w:tab/>
        <w:t>(b)</w:t>
      </w:r>
      <w:r w:rsidRPr="00883399">
        <w:rPr>
          <w:sz w:val="24"/>
        </w:rPr>
        <w:tab/>
        <w:t>as listed in that Compendium for the equipment type with emission factors adjusted for variations in estimated gas composition, in accordance with that Compendium’s sections 5 and 6.1.2, and the requirements of Division 2.3.3; or</w:t>
      </w:r>
    </w:p>
    <w:p w14:paraId="42691F82" w14:textId="77777777" w:rsidR="00872C03" w:rsidRPr="00883399" w:rsidRDefault="00872C03" w:rsidP="00872C03">
      <w:pPr>
        <w:pStyle w:val="paragraph"/>
        <w:rPr>
          <w:sz w:val="24"/>
        </w:rPr>
      </w:pPr>
      <w:r w:rsidRPr="00883399">
        <w:rPr>
          <w:sz w:val="24"/>
        </w:rPr>
        <w:tab/>
        <w:t>(c)</w:t>
      </w:r>
      <w:r w:rsidRPr="00883399">
        <w:rPr>
          <w:sz w:val="24"/>
        </w:rPr>
        <w:tab/>
        <w:t>as listed in that Compendium for the equipment type with emission factors adjusted for variations in the type of equipment material estimated in accordance with the results of published research for the crude oil industry and the principles of section 1.13; or</w:t>
      </w:r>
    </w:p>
    <w:p w14:paraId="55EAA4F4" w14:textId="77777777" w:rsidR="00872C03" w:rsidRPr="00883399" w:rsidRDefault="00872C03" w:rsidP="00872C03">
      <w:pPr>
        <w:pStyle w:val="paragraph"/>
        <w:rPr>
          <w:sz w:val="24"/>
        </w:rPr>
      </w:pPr>
      <w:r w:rsidRPr="00883399">
        <w:rPr>
          <w:sz w:val="24"/>
        </w:rPr>
        <w:tab/>
        <w:t>(d)</w:t>
      </w:r>
      <w:r w:rsidRPr="00883399">
        <w:rPr>
          <w:sz w:val="24"/>
        </w:rPr>
        <w:tab/>
        <w:t>if the manufacturer of the equipment supplies equipment</w:t>
      </w:r>
      <w:r w:rsidRPr="00883399">
        <w:rPr>
          <w:sz w:val="24"/>
        </w:rPr>
        <w:noBreakHyphen/>
        <w:t>specific emission factors for the equipment type—those factors; or</w:t>
      </w:r>
    </w:p>
    <w:p w14:paraId="25C6FF9B" w14:textId="77777777" w:rsidR="00872C03" w:rsidRPr="00883399" w:rsidRDefault="00872C03" w:rsidP="00872C03">
      <w:pPr>
        <w:pStyle w:val="paragraph"/>
        <w:rPr>
          <w:sz w:val="24"/>
        </w:rPr>
      </w:pPr>
      <w:r w:rsidRPr="00883399">
        <w:rPr>
          <w:sz w:val="24"/>
        </w:rPr>
        <w:tab/>
        <w:t>(e)</w:t>
      </w:r>
      <w:r w:rsidRPr="00883399">
        <w:rPr>
          <w:sz w:val="24"/>
        </w:rPr>
        <w:tab/>
        <w:t>estimated using the engineering calculation approach in accordance with sections 5 and 6.1.2 of the API Compendium.</w:t>
      </w:r>
    </w:p>
    <w:p w14:paraId="5E48A46A" w14:textId="77777777" w:rsidR="00872C03" w:rsidRPr="00883399" w:rsidRDefault="00872C03" w:rsidP="00872C03">
      <w:pPr>
        <w:pStyle w:val="notetext"/>
        <w:rPr>
          <w:sz w:val="20"/>
        </w:rPr>
      </w:pPr>
      <w:r w:rsidRPr="00883399">
        <w:rPr>
          <w:sz w:val="20"/>
        </w:rPr>
        <w:t>Note:</w:t>
      </w:r>
      <w:r w:rsidRPr="00883399">
        <w:rPr>
          <w:sz w:val="20"/>
        </w:rPr>
        <w:tab/>
        <w:t xml:space="preserve">The API Compendium is available at </w:t>
      </w:r>
      <w:r w:rsidRPr="00883399">
        <w:rPr>
          <w:sz w:val="20"/>
          <w:u w:val="single"/>
        </w:rPr>
        <w:t>www.api.org</w:t>
      </w:r>
      <w:r w:rsidRPr="00883399">
        <w:rPr>
          <w:sz w:val="20"/>
        </w:rPr>
        <w:t>.</w:t>
      </w:r>
    </w:p>
    <w:p w14:paraId="23D85ECF" w14:textId="47096EDC" w:rsidR="00872C03" w:rsidRPr="00883399" w:rsidRDefault="00872C03" w:rsidP="00872C03">
      <w:pPr>
        <w:pStyle w:val="ActHead3"/>
        <w:pageBreakBefore/>
        <w:rPr>
          <w:sz w:val="32"/>
        </w:rPr>
      </w:pPr>
      <w:bookmarkStart w:id="711" w:name="_Toc423516968"/>
      <w:bookmarkStart w:id="712" w:name="_Toc495652885"/>
      <w:r w:rsidRPr="00883399">
        <w:rPr>
          <w:rStyle w:val="CharDivNo"/>
          <w:sz w:val="32"/>
        </w:rPr>
        <w:lastRenderedPageBreak/>
        <w:t>Division 3.3.8</w:t>
      </w:r>
      <w:r w:rsidRPr="00883399">
        <w:rPr>
          <w:sz w:val="32"/>
        </w:rPr>
        <w:t>—</w:t>
      </w:r>
      <w:r w:rsidRPr="00883399">
        <w:rPr>
          <w:rStyle w:val="CharDivText"/>
          <w:sz w:val="32"/>
        </w:rPr>
        <w:t>Natural gas distribution</w:t>
      </w:r>
      <w:bookmarkEnd w:id="711"/>
      <w:bookmarkEnd w:id="712"/>
    </w:p>
    <w:p w14:paraId="3EB9FF0B" w14:textId="77777777" w:rsidR="00872C03" w:rsidRPr="00883399" w:rsidRDefault="00872C03" w:rsidP="00872C03">
      <w:pPr>
        <w:pStyle w:val="Text"/>
        <w:rPr>
          <w:rFonts w:ascii="Arial" w:hAnsi="Arial" w:cs="Arial"/>
          <w:sz w:val="22"/>
          <w:szCs w:val="22"/>
        </w:rPr>
      </w:pPr>
      <w:bookmarkStart w:id="713" w:name="_Toc423516969"/>
      <w:r w:rsidRPr="00883399">
        <w:rPr>
          <w:rFonts w:ascii="Arial" w:hAnsi="Arial" w:cs="Arial"/>
          <w:sz w:val="22"/>
          <w:szCs w:val="22"/>
        </w:rPr>
        <w:t>Emissions arise for this category from fugitive sources (for example gas leaks, accidental releases).  The boundary between natural gas transmission and distribution is generally taken to be the city gate regulator stations at which gas pressures are reduced from transmission pressures to sub-transmission pressures. For the purposes of this methodology, natural gas distribution comprises low, medium and high-pressure reticulation ≤ 1050 kilopascals.</w:t>
      </w:r>
    </w:p>
    <w:p w14:paraId="007A2CA8"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Other sources of emissions arising from the natural gas distribution, such as from the combustion of fuels for energy, are not described in this chapter and must be estimated using the Methods described in other chapters.  </w:t>
      </w:r>
    </w:p>
    <w:p w14:paraId="6A0FCC78"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Note that in this part the definition of natural gas is as follows:</w:t>
      </w:r>
    </w:p>
    <w:p w14:paraId="7B241492" w14:textId="77777777" w:rsidR="00872C03" w:rsidRPr="00883399" w:rsidRDefault="00872C03" w:rsidP="00872C03">
      <w:pPr>
        <w:ind w:left="720"/>
        <w:rPr>
          <w:rFonts w:ascii="Arial" w:hAnsi="Arial" w:cs="Arial"/>
          <w:sz w:val="22"/>
          <w:szCs w:val="22"/>
        </w:rPr>
      </w:pPr>
      <w:r w:rsidRPr="00883399">
        <w:rPr>
          <w:b/>
          <w:bCs/>
          <w:i/>
          <w:iCs/>
        </w:rPr>
        <w:t xml:space="preserve">natural gas </w:t>
      </w:r>
      <w:r w:rsidRPr="00883399">
        <w:t>includes coal seam methane that is captured for combustion where the production of coal is not intended to occur</w:t>
      </w:r>
    </w:p>
    <w:p w14:paraId="32362FCF" w14:textId="0153F096" w:rsidR="00872C03" w:rsidRPr="00883399" w:rsidRDefault="00872C03" w:rsidP="00872C03">
      <w:pPr>
        <w:pStyle w:val="ActHead5"/>
        <w:rPr>
          <w:sz w:val="28"/>
        </w:rPr>
      </w:pPr>
      <w:bookmarkStart w:id="714" w:name="_Toc495652886"/>
      <w:r w:rsidRPr="00883399">
        <w:rPr>
          <w:rStyle w:val="CharSectno"/>
          <w:sz w:val="28"/>
        </w:rPr>
        <w:t>3.78</w:t>
      </w:r>
      <w:r w:rsidRPr="00883399">
        <w:rPr>
          <w:sz w:val="28"/>
        </w:rPr>
        <w:t xml:space="preserve">  Application</w:t>
      </w:r>
      <w:bookmarkEnd w:id="713"/>
      <w:bookmarkEnd w:id="714"/>
    </w:p>
    <w:p w14:paraId="63D4DAF5" w14:textId="77777777" w:rsidR="00872C03" w:rsidRPr="00883399" w:rsidRDefault="00872C03" w:rsidP="00872C03">
      <w:pPr>
        <w:pStyle w:val="subsection"/>
        <w:rPr>
          <w:sz w:val="24"/>
        </w:rPr>
      </w:pPr>
      <w:r w:rsidRPr="00883399">
        <w:rPr>
          <w:sz w:val="24"/>
        </w:rPr>
        <w:tab/>
      </w:r>
      <w:r w:rsidRPr="00883399">
        <w:rPr>
          <w:sz w:val="24"/>
        </w:rPr>
        <w:tab/>
        <w:t xml:space="preserve">This Division applies to </w:t>
      </w:r>
      <w:r w:rsidRPr="00883399">
        <w:rPr>
          <w:bCs/>
          <w:sz w:val="24"/>
        </w:rPr>
        <w:t>fugitive emissions from natural gas distribution activities</w:t>
      </w:r>
      <w:r w:rsidRPr="00883399">
        <w:rPr>
          <w:sz w:val="24"/>
        </w:rPr>
        <w:t>.</w:t>
      </w:r>
    </w:p>
    <w:p w14:paraId="77E0E322" w14:textId="26DABF35" w:rsidR="00872C03" w:rsidRPr="00883399" w:rsidRDefault="00872C03" w:rsidP="00872C03">
      <w:pPr>
        <w:pStyle w:val="ActHead5"/>
        <w:rPr>
          <w:sz w:val="28"/>
        </w:rPr>
      </w:pPr>
      <w:bookmarkStart w:id="715" w:name="_Toc423516970"/>
      <w:bookmarkStart w:id="716" w:name="_Toc495652887"/>
      <w:r w:rsidRPr="00883399">
        <w:rPr>
          <w:rStyle w:val="CharSectno"/>
          <w:sz w:val="28"/>
        </w:rPr>
        <w:t>3.79</w:t>
      </w:r>
      <w:r w:rsidRPr="00883399">
        <w:rPr>
          <w:sz w:val="28"/>
        </w:rPr>
        <w:t xml:space="preserve">  Available methods</w:t>
      </w:r>
      <w:bookmarkEnd w:id="715"/>
      <w:bookmarkEnd w:id="716"/>
    </w:p>
    <w:p w14:paraId="09769268" w14:textId="77777777" w:rsidR="00872C03" w:rsidRPr="00883399" w:rsidRDefault="00872C03" w:rsidP="00872C03">
      <w:pPr>
        <w:pStyle w:val="subsection"/>
        <w:rPr>
          <w:sz w:val="24"/>
        </w:rPr>
      </w:pPr>
      <w:r w:rsidRPr="00883399">
        <w:rPr>
          <w:sz w:val="24"/>
        </w:rPr>
        <w:tab/>
        <w:t>(1)</w:t>
      </w:r>
      <w:r w:rsidRPr="00883399">
        <w:rPr>
          <w:sz w:val="24"/>
        </w:rPr>
        <w:tab/>
        <w:t>Subject to section 1.18 and subsection (2), one of the following methods must</w:t>
      </w:r>
      <w:r w:rsidRPr="00883399">
        <w:rPr>
          <w:i/>
          <w:sz w:val="24"/>
        </w:rPr>
        <w:t xml:space="preserve"> </w:t>
      </w:r>
      <w:r w:rsidRPr="00883399">
        <w:rPr>
          <w:sz w:val="24"/>
        </w:rPr>
        <w:t>be used for estimating fugitive emissions of each gas type, being carbon dioxide and methane, released during a year from the operation of a facility that is constituted by natural gas distribution through a system of pipelines:</w:t>
      </w:r>
    </w:p>
    <w:p w14:paraId="24DB476C" w14:textId="77777777" w:rsidR="00872C03" w:rsidRPr="00883399" w:rsidRDefault="00872C03" w:rsidP="00872C03">
      <w:pPr>
        <w:pStyle w:val="paragraph"/>
        <w:rPr>
          <w:sz w:val="24"/>
        </w:rPr>
      </w:pPr>
      <w:r w:rsidRPr="00883399">
        <w:rPr>
          <w:sz w:val="24"/>
        </w:rPr>
        <w:tab/>
        <w:t>(a)</w:t>
      </w:r>
      <w:r w:rsidRPr="00883399">
        <w:rPr>
          <w:sz w:val="24"/>
        </w:rPr>
        <w:tab/>
        <w:t>method 1 under section 3.80;</w:t>
      </w:r>
    </w:p>
    <w:p w14:paraId="0B4FB116" w14:textId="77777777" w:rsidR="00872C03" w:rsidRPr="00883399" w:rsidRDefault="00872C03" w:rsidP="00872C03">
      <w:pPr>
        <w:pStyle w:val="paragraph"/>
        <w:rPr>
          <w:sz w:val="24"/>
        </w:rPr>
      </w:pPr>
      <w:r w:rsidRPr="00883399">
        <w:rPr>
          <w:sz w:val="24"/>
        </w:rPr>
        <w:tab/>
        <w:t>(b)</w:t>
      </w:r>
      <w:r w:rsidRPr="00883399">
        <w:rPr>
          <w:sz w:val="24"/>
        </w:rPr>
        <w:tab/>
        <w:t>method 2 under section 3.81.</w:t>
      </w:r>
    </w:p>
    <w:p w14:paraId="0B494AF9" w14:textId="77777777" w:rsidR="00872C03" w:rsidRPr="00883399" w:rsidRDefault="00872C03" w:rsidP="00872C03">
      <w:pPr>
        <w:pStyle w:val="notetext"/>
        <w:rPr>
          <w:sz w:val="20"/>
        </w:rPr>
      </w:pPr>
      <w:r w:rsidRPr="00883399">
        <w:rPr>
          <w:sz w:val="20"/>
        </w:rPr>
        <w:t>Note:</w:t>
      </w:r>
      <w:r w:rsidRPr="00883399">
        <w:rPr>
          <w:sz w:val="20"/>
        </w:rPr>
        <w:tab/>
        <w:t>There is no method 3 or 4 for this Division.</w:t>
      </w:r>
    </w:p>
    <w:p w14:paraId="15CDEBDB" w14:textId="77777777" w:rsidR="00872C03" w:rsidRPr="00883399" w:rsidRDefault="00872C03" w:rsidP="00872C03">
      <w:pPr>
        <w:pStyle w:val="subsection"/>
        <w:rPr>
          <w:sz w:val="24"/>
        </w:rPr>
      </w:pPr>
      <w:r w:rsidRPr="00883399">
        <w:rPr>
          <w:sz w:val="24"/>
        </w:rPr>
        <w:tab/>
        <w:t>(2)</w:t>
      </w:r>
      <w:r w:rsidRPr="00883399">
        <w:rPr>
          <w:sz w:val="24"/>
        </w:rPr>
        <w:tab/>
        <w:t>However, for incidental emissions another method may be used that is consistent with the principles in section 1.13.</w:t>
      </w:r>
    </w:p>
    <w:p w14:paraId="17DDE948" w14:textId="77777777" w:rsidR="00872C03" w:rsidRPr="00883399" w:rsidRDefault="00872C03" w:rsidP="00872C03">
      <w:pPr>
        <w:pStyle w:val="subsection"/>
        <w:rPr>
          <w:sz w:val="24"/>
        </w:rPr>
      </w:pPr>
    </w:p>
    <w:p w14:paraId="374B35E4" w14:textId="77777777" w:rsidR="00872C03" w:rsidRPr="00883399" w:rsidRDefault="00872C03" w:rsidP="00872C03">
      <w:pPr>
        <w:pStyle w:val="subsection"/>
        <w:rPr>
          <w:sz w:val="24"/>
        </w:rPr>
      </w:pPr>
    </w:p>
    <w:p w14:paraId="5B5F3149" w14:textId="77777777" w:rsidR="00872C03" w:rsidRPr="00883399" w:rsidRDefault="00872C03" w:rsidP="00872C03">
      <w:pPr>
        <w:pStyle w:val="subsection"/>
        <w:rPr>
          <w:sz w:val="24"/>
        </w:rPr>
      </w:pPr>
    </w:p>
    <w:p w14:paraId="6DF2A5F8" w14:textId="77777777" w:rsidR="00872C03" w:rsidRPr="00883399" w:rsidRDefault="00872C03" w:rsidP="00872C03">
      <w:pPr>
        <w:pStyle w:val="subsection"/>
        <w:rPr>
          <w:sz w:val="24"/>
        </w:rPr>
      </w:pPr>
    </w:p>
    <w:p w14:paraId="10D5FCE1" w14:textId="77777777" w:rsidR="00872C03" w:rsidRPr="00883399" w:rsidRDefault="00872C03" w:rsidP="00872C03">
      <w:pPr>
        <w:pStyle w:val="R2"/>
        <w:ind w:left="965" w:hanging="58"/>
        <w:rPr>
          <w:b/>
        </w:rPr>
      </w:pPr>
      <w:r w:rsidRPr="00883399">
        <w:rPr>
          <w:b/>
        </w:rPr>
        <w:t>Summary of available methods, for estimating emissions from natural gas distribution, by emissions of gas type (j)</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1751"/>
        <w:gridCol w:w="1637"/>
        <w:gridCol w:w="1524"/>
      </w:tblGrid>
      <w:tr w:rsidR="00872C03" w:rsidRPr="00883399" w14:paraId="3DB9C5B8" w14:textId="77777777" w:rsidTr="0031057E">
        <w:tc>
          <w:tcPr>
            <w:tcW w:w="2400" w:type="dxa"/>
            <w:shd w:val="clear" w:color="auto" w:fill="E6E6E6"/>
          </w:tcPr>
          <w:p w14:paraId="7C52F8DC" w14:textId="77777777" w:rsidR="00872C03" w:rsidRPr="00883399" w:rsidRDefault="00872C03" w:rsidP="0031057E">
            <w:pPr>
              <w:pStyle w:val="Text"/>
            </w:pPr>
          </w:p>
        </w:tc>
        <w:tc>
          <w:tcPr>
            <w:tcW w:w="1800" w:type="dxa"/>
            <w:shd w:val="clear" w:color="auto" w:fill="E6E6E6"/>
          </w:tcPr>
          <w:p w14:paraId="162207CF" w14:textId="77777777" w:rsidR="00872C03" w:rsidRPr="00883399" w:rsidRDefault="00872C03" w:rsidP="0031057E">
            <w:pPr>
              <w:pStyle w:val="Text"/>
            </w:pPr>
            <w:r w:rsidRPr="00883399">
              <w:t>CO</w:t>
            </w:r>
            <w:r w:rsidRPr="00883399">
              <w:rPr>
                <w:vertAlign w:val="subscript"/>
              </w:rPr>
              <w:t>2</w:t>
            </w:r>
          </w:p>
        </w:tc>
        <w:tc>
          <w:tcPr>
            <w:tcW w:w="1680" w:type="dxa"/>
            <w:shd w:val="clear" w:color="auto" w:fill="E6E6E6"/>
          </w:tcPr>
          <w:p w14:paraId="32925BA7" w14:textId="77777777" w:rsidR="00872C03" w:rsidRPr="00883399" w:rsidRDefault="00872C03" w:rsidP="0031057E">
            <w:pPr>
              <w:pStyle w:val="Text"/>
            </w:pPr>
            <w:r w:rsidRPr="00883399">
              <w:t>CH</w:t>
            </w:r>
            <w:r w:rsidRPr="00883399">
              <w:rPr>
                <w:vertAlign w:val="subscript"/>
              </w:rPr>
              <w:t>4</w:t>
            </w:r>
          </w:p>
        </w:tc>
        <w:tc>
          <w:tcPr>
            <w:tcW w:w="1574" w:type="dxa"/>
            <w:shd w:val="clear" w:color="auto" w:fill="E6E6E6"/>
          </w:tcPr>
          <w:p w14:paraId="33D2EC23" w14:textId="77777777" w:rsidR="00872C03" w:rsidRPr="00883399" w:rsidRDefault="00872C03" w:rsidP="0031057E">
            <w:pPr>
              <w:pStyle w:val="Text"/>
            </w:pPr>
            <w:r w:rsidRPr="00883399">
              <w:t>N</w:t>
            </w:r>
            <w:r w:rsidRPr="00883399">
              <w:rPr>
                <w:vertAlign w:val="subscript"/>
              </w:rPr>
              <w:t>2</w:t>
            </w:r>
            <w:r w:rsidRPr="00883399">
              <w:t>O</w:t>
            </w:r>
          </w:p>
        </w:tc>
      </w:tr>
      <w:tr w:rsidR="00872C03" w:rsidRPr="00883399" w14:paraId="01EA44FF" w14:textId="77777777" w:rsidTr="0031057E">
        <w:tc>
          <w:tcPr>
            <w:tcW w:w="2400" w:type="dxa"/>
          </w:tcPr>
          <w:p w14:paraId="1AE2F6DE" w14:textId="77777777" w:rsidR="00872C03" w:rsidRPr="00883399" w:rsidRDefault="00872C03" w:rsidP="0031057E">
            <w:pPr>
              <w:pStyle w:val="Text"/>
              <w:spacing w:before="120" w:line="240" w:lineRule="auto"/>
              <w:rPr>
                <w:i/>
              </w:rPr>
            </w:pPr>
            <w:r w:rsidRPr="00883399">
              <w:t>Method 1</w:t>
            </w:r>
          </w:p>
        </w:tc>
        <w:tc>
          <w:tcPr>
            <w:tcW w:w="1800" w:type="dxa"/>
          </w:tcPr>
          <w:p w14:paraId="10256005" w14:textId="77777777" w:rsidR="00872C03" w:rsidRPr="00883399" w:rsidRDefault="00872C03" w:rsidP="0031057E">
            <w:pPr>
              <w:pStyle w:val="Text"/>
              <w:spacing w:before="120" w:line="240" w:lineRule="auto"/>
            </w:pPr>
            <w:r w:rsidRPr="00883399">
              <w:t>Section 3.80</w:t>
            </w:r>
          </w:p>
        </w:tc>
        <w:tc>
          <w:tcPr>
            <w:tcW w:w="1680" w:type="dxa"/>
          </w:tcPr>
          <w:p w14:paraId="04E14A3B" w14:textId="77777777" w:rsidR="00872C03" w:rsidRPr="00883399" w:rsidRDefault="00872C03" w:rsidP="0031057E">
            <w:pPr>
              <w:pStyle w:val="Text"/>
              <w:spacing w:before="120" w:line="240" w:lineRule="auto"/>
            </w:pPr>
            <w:r w:rsidRPr="00883399">
              <w:t>Section 3.80</w:t>
            </w:r>
          </w:p>
        </w:tc>
        <w:tc>
          <w:tcPr>
            <w:tcW w:w="1574" w:type="dxa"/>
          </w:tcPr>
          <w:p w14:paraId="51E96591" w14:textId="77777777" w:rsidR="00872C03" w:rsidRPr="00883399" w:rsidRDefault="00872C03" w:rsidP="0031057E">
            <w:pPr>
              <w:pStyle w:val="Text"/>
              <w:spacing w:before="120" w:line="240" w:lineRule="auto"/>
            </w:pPr>
            <w:r w:rsidRPr="00883399">
              <w:t>NO</w:t>
            </w:r>
          </w:p>
        </w:tc>
      </w:tr>
      <w:tr w:rsidR="00872C03" w:rsidRPr="00883399" w14:paraId="35A8684C" w14:textId="77777777" w:rsidTr="0031057E">
        <w:tc>
          <w:tcPr>
            <w:tcW w:w="2400" w:type="dxa"/>
          </w:tcPr>
          <w:p w14:paraId="13658B89" w14:textId="77777777" w:rsidR="00872C03" w:rsidRPr="00883399" w:rsidRDefault="00872C03" w:rsidP="0031057E">
            <w:pPr>
              <w:pStyle w:val="Text"/>
              <w:spacing w:before="120" w:line="240" w:lineRule="auto"/>
            </w:pPr>
            <w:r w:rsidRPr="00883399">
              <w:t>Method 2</w:t>
            </w:r>
          </w:p>
        </w:tc>
        <w:tc>
          <w:tcPr>
            <w:tcW w:w="1800" w:type="dxa"/>
          </w:tcPr>
          <w:p w14:paraId="39A6B048" w14:textId="77777777" w:rsidR="00872C03" w:rsidRPr="00883399" w:rsidRDefault="00872C03" w:rsidP="0031057E">
            <w:pPr>
              <w:pStyle w:val="Text"/>
              <w:spacing w:before="120" w:line="240" w:lineRule="auto"/>
            </w:pPr>
            <w:r w:rsidRPr="00883399">
              <w:t>Section 3.81</w:t>
            </w:r>
          </w:p>
        </w:tc>
        <w:tc>
          <w:tcPr>
            <w:tcW w:w="1680" w:type="dxa"/>
          </w:tcPr>
          <w:p w14:paraId="4AC59CC3" w14:textId="77777777" w:rsidR="00872C03" w:rsidRPr="00883399" w:rsidRDefault="00872C03" w:rsidP="0031057E">
            <w:pPr>
              <w:pStyle w:val="Text"/>
              <w:spacing w:before="120" w:line="240" w:lineRule="auto"/>
            </w:pPr>
            <w:r w:rsidRPr="00883399">
              <w:t>Section 3.81</w:t>
            </w:r>
          </w:p>
        </w:tc>
        <w:tc>
          <w:tcPr>
            <w:tcW w:w="1574" w:type="dxa"/>
          </w:tcPr>
          <w:p w14:paraId="1A1BC02E" w14:textId="77777777" w:rsidR="00872C03" w:rsidRPr="00883399" w:rsidRDefault="00872C03" w:rsidP="0031057E">
            <w:pPr>
              <w:pStyle w:val="Text"/>
              <w:spacing w:before="120" w:line="240" w:lineRule="auto"/>
            </w:pPr>
            <w:r w:rsidRPr="00883399">
              <w:t>NO</w:t>
            </w:r>
          </w:p>
        </w:tc>
      </w:tr>
      <w:tr w:rsidR="00872C03" w:rsidRPr="00883399" w14:paraId="197B0A54" w14:textId="77777777" w:rsidTr="0031057E">
        <w:tc>
          <w:tcPr>
            <w:tcW w:w="2400" w:type="dxa"/>
          </w:tcPr>
          <w:p w14:paraId="18B5FF4F" w14:textId="77777777" w:rsidR="00872C03" w:rsidRPr="00883399" w:rsidRDefault="00872C03" w:rsidP="0031057E">
            <w:pPr>
              <w:pStyle w:val="Text"/>
              <w:spacing w:before="120" w:line="240" w:lineRule="auto"/>
            </w:pPr>
            <w:r w:rsidRPr="00883399">
              <w:t>Method 3</w:t>
            </w:r>
          </w:p>
        </w:tc>
        <w:tc>
          <w:tcPr>
            <w:tcW w:w="1800" w:type="dxa"/>
          </w:tcPr>
          <w:p w14:paraId="1910290E" w14:textId="77777777" w:rsidR="00872C03" w:rsidRPr="00883399" w:rsidRDefault="00872C03" w:rsidP="0031057E">
            <w:pPr>
              <w:pStyle w:val="Text"/>
              <w:spacing w:before="120" w:line="240" w:lineRule="auto"/>
            </w:pPr>
            <w:r w:rsidRPr="00883399">
              <w:t>NA</w:t>
            </w:r>
          </w:p>
        </w:tc>
        <w:tc>
          <w:tcPr>
            <w:tcW w:w="1680" w:type="dxa"/>
          </w:tcPr>
          <w:p w14:paraId="1C03D023" w14:textId="77777777" w:rsidR="00872C03" w:rsidRPr="00883399" w:rsidRDefault="00872C03" w:rsidP="0031057E">
            <w:pPr>
              <w:pStyle w:val="Text"/>
              <w:spacing w:before="120" w:line="240" w:lineRule="auto"/>
            </w:pPr>
            <w:r w:rsidRPr="00883399">
              <w:t>NA</w:t>
            </w:r>
          </w:p>
        </w:tc>
        <w:tc>
          <w:tcPr>
            <w:tcW w:w="1574" w:type="dxa"/>
          </w:tcPr>
          <w:p w14:paraId="59547E38" w14:textId="77777777" w:rsidR="00872C03" w:rsidRPr="00883399" w:rsidRDefault="00872C03" w:rsidP="0031057E">
            <w:pPr>
              <w:pStyle w:val="Text"/>
              <w:spacing w:before="120" w:line="240" w:lineRule="auto"/>
            </w:pPr>
            <w:r w:rsidRPr="00883399">
              <w:t>NO</w:t>
            </w:r>
          </w:p>
        </w:tc>
      </w:tr>
      <w:tr w:rsidR="00872C03" w:rsidRPr="00883399" w14:paraId="4304C6D8" w14:textId="77777777" w:rsidTr="0031057E">
        <w:tc>
          <w:tcPr>
            <w:tcW w:w="2400" w:type="dxa"/>
          </w:tcPr>
          <w:p w14:paraId="20480625" w14:textId="77777777" w:rsidR="00872C03" w:rsidRPr="00883399" w:rsidRDefault="00872C03" w:rsidP="0031057E">
            <w:pPr>
              <w:pStyle w:val="Text"/>
              <w:spacing w:before="120" w:line="240" w:lineRule="auto"/>
            </w:pPr>
            <w:r w:rsidRPr="00883399">
              <w:t>Method 4</w:t>
            </w:r>
          </w:p>
        </w:tc>
        <w:tc>
          <w:tcPr>
            <w:tcW w:w="1800" w:type="dxa"/>
          </w:tcPr>
          <w:p w14:paraId="062073D0" w14:textId="77777777" w:rsidR="00872C03" w:rsidRPr="00883399" w:rsidRDefault="00872C03" w:rsidP="0031057E">
            <w:pPr>
              <w:pStyle w:val="Text"/>
              <w:spacing w:before="120" w:line="240" w:lineRule="auto"/>
            </w:pPr>
            <w:r w:rsidRPr="00883399">
              <w:t>NA</w:t>
            </w:r>
          </w:p>
        </w:tc>
        <w:tc>
          <w:tcPr>
            <w:tcW w:w="1680" w:type="dxa"/>
          </w:tcPr>
          <w:p w14:paraId="2607B926" w14:textId="77777777" w:rsidR="00872C03" w:rsidRPr="00883399" w:rsidRDefault="00872C03" w:rsidP="0031057E">
            <w:pPr>
              <w:pStyle w:val="Text"/>
              <w:spacing w:before="120" w:line="240" w:lineRule="auto"/>
            </w:pPr>
            <w:r w:rsidRPr="00883399">
              <w:t>NA</w:t>
            </w:r>
          </w:p>
        </w:tc>
        <w:tc>
          <w:tcPr>
            <w:tcW w:w="1574" w:type="dxa"/>
          </w:tcPr>
          <w:p w14:paraId="11569E54" w14:textId="77777777" w:rsidR="00872C03" w:rsidRPr="00883399" w:rsidRDefault="00872C03" w:rsidP="0031057E">
            <w:pPr>
              <w:pStyle w:val="Text"/>
              <w:spacing w:before="120" w:line="240" w:lineRule="auto"/>
            </w:pPr>
            <w:r w:rsidRPr="00883399">
              <w:t>NO</w:t>
            </w:r>
          </w:p>
        </w:tc>
      </w:tr>
    </w:tbl>
    <w:p w14:paraId="294D2D81" w14:textId="77777777" w:rsidR="00872C03" w:rsidRPr="00883399" w:rsidRDefault="00872C03" w:rsidP="00872C03">
      <w:pPr>
        <w:pStyle w:val="Text"/>
        <w:ind w:left="960"/>
      </w:pPr>
      <w:r w:rsidRPr="00883399">
        <w:t>NA = Not available.  NO = Not occurring</w:t>
      </w:r>
    </w:p>
    <w:p w14:paraId="10D769F5" w14:textId="77777777" w:rsidR="00872C03" w:rsidRPr="00883399" w:rsidRDefault="00872C03" w:rsidP="00872C03">
      <w:pPr>
        <w:pStyle w:val="subsection"/>
        <w:rPr>
          <w:sz w:val="24"/>
        </w:rPr>
      </w:pPr>
    </w:p>
    <w:p w14:paraId="3308A968" w14:textId="5653B494" w:rsidR="00872C03" w:rsidRPr="00883399" w:rsidRDefault="00872C03" w:rsidP="00872C03">
      <w:pPr>
        <w:pStyle w:val="ActHead5"/>
        <w:rPr>
          <w:sz w:val="28"/>
        </w:rPr>
      </w:pPr>
      <w:bookmarkStart w:id="717" w:name="_Toc423516971"/>
      <w:bookmarkStart w:id="718" w:name="_Toc495652888"/>
      <w:r w:rsidRPr="00883399">
        <w:rPr>
          <w:rStyle w:val="CharSectno"/>
          <w:sz w:val="28"/>
        </w:rPr>
        <w:t>3.80</w:t>
      </w:r>
      <w:r w:rsidRPr="00883399">
        <w:rPr>
          <w:sz w:val="28"/>
        </w:rPr>
        <w:t xml:space="preserve">  Method 1—natural gas distribution</w:t>
      </w:r>
      <w:bookmarkEnd w:id="717"/>
      <w:bookmarkEnd w:id="718"/>
    </w:p>
    <w:p w14:paraId="6E57C69B" w14:textId="77777777" w:rsidR="00872C03" w:rsidRPr="00883399" w:rsidRDefault="00872C03" w:rsidP="00872C03">
      <w:pPr>
        <w:pStyle w:val="R1"/>
        <w:keepLines w:val="0"/>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Method 1 for fugitive emissions from natural gas distribution is derived from the </w:t>
      </w:r>
      <w:r w:rsidRPr="00883399">
        <w:rPr>
          <w:rFonts w:ascii="Arial" w:hAnsi="Arial" w:cs="Arial"/>
          <w:i/>
          <w:sz w:val="22"/>
          <w:szCs w:val="22"/>
        </w:rPr>
        <w:t>National Greenhouse Accounts</w:t>
      </w:r>
      <w:r w:rsidRPr="00883399">
        <w:rPr>
          <w:rFonts w:ascii="Arial" w:hAnsi="Arial" w:cs="Arial"/>
          <w:sz w:val="22"/>
          <w:szCs w:val="22"/>
        </w:rPr>
        <w:t>.</w:t>
      </w:r>
    </w:p>
    <w:p w14:paraId="386B219E" w14:textId="77777777" w:rsidR="00872C03" w:rsidRPr="00883399" w:rsidRDefault="00872C03" w:rsidP="00872C03">
      <w:pPr>
        <w:pStyle w:val="subsection"/>
        <w:rPr>
          <w:sz w:val="24"/>
        </w:rPr>
      </w:pPr>
      <w:r w:rsidRPr="00883399">
        <w:rPr>
          <w:sz w:val="24"/>
        </w:rPr>
        <w:tab/>
        <w:t xml:space="preserve"> (1)</w:t>
      </w:r>
      <w:r w:rsidRPr="00883399">
        <w:rPr>
          <w:sz w:val="24"/>
        </w:rPr>
        <w:tab/>
        <w:t>Method 1 is:</w:t>
      </w:r>
    </w:p>
    <w:p w14:paraId="00F5873D" w14:textId="1DFDBAF7"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13135073" wp14:editId="67020A57">
            <wp:extent cx="2280285" cy="237490"/>
            <wp:effectExtent l="0" t="0" r="571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67"/>
                    <a:srcRect/>
                    <a:stretch>
                      <a:fillRect/>
                    </a:stretch>
                  </pic:blipFill>
                  <pic:spPr bwMode="auto">
                    <a:xfrm>
                      <a:off x="0" y="0"/>
                      <a:ext cx="2280285" cy="237490"/>
                    </a:xfrm>
                    <a:prstGeom prst="rect">
                      <a:avLst/>
                    </a:prstGeom>
                    <a:noFill/>
                    <a:ln w="9525">
                      <a:noFill/>
                      <a:miter lim="800000"/>
                      <a:headEnd/>
                      <a:tailEnd/>
                    </a:ln>
                  </pic:spPr>
                </pic:pic>
              </a:graphicData>
            </a:graphic>
          </wp:inline>
        </w:drawing>
      </w:r>
    </w:p>
    <w:p w14:paraId="6651E4A8" w14:textId="77777777" w:rsidR="00872C03" w:rsidRPr="00883399" w:rsidRDefault="00872C03" w:rsidP="00872C03">
      <w:pPr>
        <w:pStyle w:val="subsection2"/>
        <w:rPr>
          <w:sz w:val="24"/>
        </w:rPr>
      </w:pPr>
      <w:r w:rsidRPr="00883399">
        <w:rPr>
          <w:sz w:val="24"/>
        </w:rPr>
        <w:t>where:</w:t>
      </w:r>
    </w:p>
    <w:p w14:paraId="6EBDF565" w14:textId="77777777" w:rsidR="00872C03" w:rsidRPr="00883399" w:rsidRDefault="00872C03" w:rsidP="00872C03">
      <w:pPr>
        <w:pStyle w:val="Definition0"/>
        <w:rPr>
          <w:sz w:val="24"/>
        </w:rPr>
      </w:pPr>
      <w:r w:rsidRPr="00883399">
        <w:rPr>
          <w:b/>
          <w:i/>
          <w:sz w:val="24"/>
        </w:rPr>
        <w:t>E</w:t>
      </w:r>
      <w:r w:rsidRPr="00883399">
        <w:rPr>
          <w:rStyle w:val="charSubscript"/>
          <w:b/>
          <w:i/>
          <w:sz w:val="22"/>
        </w:rPr>
        <w:t>jp</w:t>
      </w:r>
      <w:r w:rsidRPr="00883399">
        <w:rPr>
          <w:sz w:val="24"/>
        </w:rPr>
        <w:t xml:space="preserve"> is the fugitive emissions of gas type (</w:t>
      </w:r>
      <w:r w:rsidRPr="00883399">
        <w:rPr>
          <w:b/>
          <w:i/>
          <w:sz w:val="24"/>
        </w:rPr>
        <w:t>j</w:t>
      </w:r>
      <w:r w:rsidRPr="00883399">
        <w:rPr>
          <w:sz w:val="24"/>
        </w:rPr>
        <w:t>) that result from natural gas distribution through a system of pipelines with sales of gas in a State or Territory (</w:t>
      </w:r>
      <w:r w:rsidRPr="00883399">
        <w:rPr>
          <w:b/>
          <w:i/>
          <w:sz w:val="24"/>
        </w:rPr>
        <w:t>p</w:t>
      </w:r>
      <w:r w:rsidRPr="00883399">
        <w:rPr>
          <w:sz w:val="24"/>
        </w:rPr>
        <w:t>) during the year, measured in CO</w:t>
      </w:r>
      <w:r w:rsidRPr="00883399">
        <w:rPr>
          <w:sz w:val="24"/>
          <w:vertAlign w:val="subscript"/>
        </w:rPr>
        <w:t>2</w:t>
      </w:r>
      <w:r w:rsidRPr="00883399">
        <w:rPr>
          <w:sz w:val="24"/>
        </w:rPr>
        <w:noBreakHyphen/>
        <w:t>e tonnes.</w:t>
      </w:r>
    </w:p>
    <w:p w14:paraId="087C0C5F" w14:textId="77777777" w:rsidR="00872C03" w:rsidRPr="00883399" w:rsidRDefault="00872C03" w:rsidP="00872C03">
      <w:pPr>
        <w:pStyle w:val="Definition0"/>
        <w:rPr>
          <w:sz w:val="24"/>
        </w:rPr>
      </w:pPr>
      <w:r w:rsidRPr="00883399">
        <w:rPr>
          <w:b/>
          <w:i/>
          <w:sz w:val="24"/>
        </w:rPr>
        <w:t>S</w:t>
      </w:r>
      <w:r w:rsidRPr="00883399">
        <w:rPr>
          <w:rStyle w:val="charSubscript"/>
          <w:b/>
          <w:i/>
          <w:sz w:val="22"/>
        </w:rPr>
        <w:t>p</w:t>
      </w:r>
      <w:r w:rsidRPr="00883399">
        <w:rPr>
          <w:b/>
          <w:i/>
          <w:sz w:val="24"/>
        </w:rPr>
        <w:t xml:space="preserve"> </w:t>
      </w:r>
      <w:r w:rsidRPr="00883399">
        <w:rPr>
          <w:sz w:val="24"/>
        </w:rPr>
        <w:t>is the total sales during the year from the pipeline system in a State or Territory (</w:t>
      </w:r>
      <w:r w:rsidRPr="00883399">
        <w:rPr>
          <w:b/>
          <w:i/>
          <w:sz w:val="24"/>
        </w:rPr>
        <w:t>p</w:t>
      </w:r>
      <w:r w:rsidRPr="00883399">
        <w:rPr>
          <w:sz w:val="24"/>
        </w:rPr>
        <w:t>), measured in terajoules.</w:t>
      </w:r>
    </w:p>
    <w:p w14:paraId="19F3428D" w14:textId="77777777" w:rsidR="00872C03" w:rsidRPr="00883399" w:rsidRDefault="00872C03" w:rsidP="00872C03">
      <w:pPr>
        <w:pStyle w:val="Definition0"/>
        <w:rPr>
          <w:sz w:val="24"/>
        </w:rPr>
      </w:pPr>
      <w:r w:rsidRPr="00883399">
        <w:rPr>
          <w:b/>
          <w:i/>
          <w:sz w:val="24"/>
        </w:rPr>
        <w:t>%UAG</w:t>
      </w:r>
      <w:r w:rsidRPr="00883399">
        <w:rPr>
          <w:rStyle w:val="charSubscript"/>
          <w:i/>
          <w:sz w:val="22"/>
        </w:rPr>
        <w:t>p</w:t>
      </w:r>
      <w:r w:rsidRPr="00883399">
        <w:rPr>
          <w:i/>
          <w:sz w:val="24"/>
        </w:rPr>
        <w:t xml:space="preserve"> </w:t>
      </w:r>
      <w:r w:rsidRPr="00883399">
        <w:rPr>
          <w:sz w:val="24"/>
        </w:rPr>
        <w:t>is the percentage of unaccounted for gas in the pipeline system in a State or Territory, relative to the amount of gas issued annually by gas utilities in that State or Territory.</w:t>
      </w:r>
    </w:p>
    <w:p w14:paraId="244CCAE1" w14:textId="77777777" w:rsidR="00872C03" w:rsidRPr="00883399" w:rsidRDefault="00872C03" w:rsidP="00872C03">
      <w:pPr>
        <w:pStyle w:val="notetext"/>
        <w:rPr>
          <w:sz w:val="20"/>
        </w:rPr>
      </w:pPr>
      <w:r w:rsidRPr="00883399">
        <w:rPr>
          <w:sz w:val="20"/>
        </w:rPr>
        <w:t>Note:</w:t>
      </w:r>
      <w:r w:rsidRPr="00883399">
        <w:rPr>
          <w:sz w:val="20"/>
        </w:rPr>
        <w:tab/>
        <w:t>The value 0.55 following the variable %UAGp in method 1 represents the proportion of gas that is unaccounted for and released as emissions.</w:t>
      </w:r>
    </w:p>
    <w:p w14:paraId="310FE14C" w14:textId="77777777" w:rsidR="00872C03" w:rsidRPr="00883399" w:rsidRDefault="00872C03" w:rsidP="00872C03">
      <w:pPr>
        <w:pStyle w:val="Definition0"/>
        <w:rPr>
          <w:sz w:val="24"/>
        </w:rPr>
      </w:pPr>
      <w:r w:rsidRPr="00883399">
        <w:rPr>
          <w:b/>
          <w:i/>
          <w:sz w:val="24"/>
        </w:rPr>
        <w:t>C</w:t>
      </w:r>
      <w:r w:rsidRPr="00883399">
        <w:rPr>
          <w:rStyle w:val="charSubscript"/>
          <w:b/>
          <w:i/>
          <w:sz w:val="22"/>
        </w:rPr>
        <w:t>jp</w:t>
      </w:r>
      <w:r w:rsidRPr="00883399">
        <w:rPr>
          <w:sz w:val="24"/>
        </w:rPr>
        <w:t xml:space="preserve"> is the natural gas composition factor for gas type (</w:t>
      </w:r>
      <w:r w:rsidRPr="00883399">
        <w:rPr>
          <w:b/>
          <w:i/>
          <w:sz w:val="24"/>
        </w:rPr>
        <w:t>j)</w:t>
      </w:r>
      <w:r w:rsidRPr="00883399">
        <w:rPr>
          <w:sz w:val="24"/>
        </w:rPr>
        <w:t xml:space="preserve"> for the natural gas supplied from the pipeline system in a State or Territory (</w:t>
      </w:r>
      <w:r w:rsidRPr="00883399">
        <w:rPr>
          <w:b/>
          <w:i/>
          <w:sz w:val="24"/>
        </w:rPr>
        <w:t>p</w:t>
      </w:r>
      <w:r w:rsidRPr="00883399">
        <w:rPr>
          <w:sz w:val="24"/>
        </w:rPr>
        <w:t>), measured in CO</w:t>
      </w:r>
      <w:r w:rsidRPr="00883399">
        <w:rPr>
          <w:sz w:val="24"/>
          <w:vertAlign w:val="subscript"/>
        </w:rPr>
        <w:t>2</w:t>
      </w:r>
      <w:r w:rsidRPr="00883399">
        <w:rPr>
          <w:sz w:val="24"/>
        </w:rPr>
        <w:noBreakHyphen/>
        <w:t>e tonnes per terajoule.</w:t>
      </w:r>
    </w:p>
    <w:p w14:paraId="4942E5FE" w14:textId="77777777" w:rsidR="00872C03" w:rsidRPr="00883399" w:rsidRDefault="00872C03" w:rsidP="00872C03">
      <w:pPr>
        <w:pStyle w:val="subsection"/>
        <w:rPr>
          <w:sz w:val="24"/>
        </w:rPr>
      </w:pPr>
      <w:r w:rsidRPr="00883399">
        <w:rPr>
          <w:sz w:val="24"/>
        </w:rPr>
        <w:lastRenderedPageBreak/>
        <w:tab/>
        <w:t>(2)</w:t>
      </w:r>
      <w:r w:rsidRPr="00883399">
        <w:rPr>
          <w:sz w:val="24"/>
        </w:rPr>
        <w:tab/>
        <w:t>For %UAGp in subsection (1), column 3 of an item in the following table specifies the percentage of unaccounted for gas in the pipeline system in a State or Territory specified in column 2 of that item.</w:t>
      </w:r>
    </w:p>
    <w:p w14:paraId="267E22C2" w14:textId="77777777" w:rsidR="00872C03" w:rsidRPr="00883399" w:rsidRDefault="00872C03" w:rsidP="00872C03">
      <w:pPr>
        <w:pStyle w:val="subsection"/>
        <w:rPr>
          <w:sz w:val="24"/>
        </w:rPr>
      </w:pPr>
      <w:r w:rsidRPr="00883399">
        <w:rPr>
          <w:sz w:val="24"/>
        </w:rPr>
        <w:tab/>
        <w:t>(3)</w:t>
      </w:r>
      <w:r w:rsidRPr="00883399">
        <w:rPr>
          <w:sz w:val="24"/>
        </w:rPr>
        <w:tab/>
        <w:t xml:space="preserve">For </w:t>
      </w:r>
      <w:r w:rsidRPr="00883399">
        <w:rPr>
          <w:b/>
          <w:i/>
          <w:sz w:val="24"/>
        </w:rPr>
        <w:t>C</w:t>
      </w:r>
      <w:r w:rsidRPr="00883399">
        <w:rPr>
          <w:rStyle w:val="charSubscript"/>
          <w:b/>
          <w:i/>
          <w:sz w:val="24"/>
        </w:rPr>
        <w:t>jp</w:t>
      </w:r>
      <w:r w:rsidRPr="00883399">
        <w:rPr>
          <w:sz w:val="24"/>
        </w:rPr>
        <w:t xml:space="preserve"> in subsection (1), columns 4 and 5 of an item in the following table specify the natural gas composition factor for carbon dioxide and methane for a pipeline system in a State or Territory specified in column 2.</w:t>
      </w:r>
    </w:p>
    <w:p w14:paraId="50082C04" w14:textId="77777777" w:rsidR="00872C03" w:rsidRPr="00883399" w:rsidRDefault="00872C03" w:rsidP="00872C03">
      <w:pPr>
        <w:pStyle w:val="Tabletext0"/>
        <w:rPr>
          <w:sz w:val="22"/>
        </w:rPr>
      </w:pP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1728"/>
        <w:gridCol w:w="1777"/>
        <w:gridCol w:w="1616"/>
        <w:gridCol w:w="1296"/>
      </w:tblGrid>
      <w:tr w:rsidR="00872C03" w:rsidRPr="00883399" w14:paraId="2080CDD6" w14:textId="77777777" w:rsidTr="0031057E">
        <w:trPr>
          <w:cantSplit/>
          <w:tblHeader/>
        </w:trPr>
        <w:tc>
          <w:tcPr>
            <w:tcW w:w="840" w:type="dxa"/>
            <w:tcBorders>
              <w:top w:val="single" w:sz="12" w:space="0" w:color="auto"/>
              <w:left w:val="nil"/>
              <w:bottom w:val="nil"/>
              <w:right w:val="nil"/>
            </w:tcBorders>
            <w:shd w:val="clear" w:color="auto" w:fill="auto"/>
          </w:tcPr>
          <w:p w14:paraId="648D707D" w14:textId="77777777" w:rsidR="00872C03" w:rsidRPr="00883399" w:rsidRDefault="00872C03" w:rsidP="0031057E">
            <w:pPr>
              <w:pStyle w:val="TableHeading"/>
              <w:rPr>
                <w:sz w:val="22"/>
              </w:rPr>
            </w:pPr>
            <w:r w:rsidRPr="00883399">
              <w:rPr>
                <w:sz w:val="22"/>
              </w:rPr>
              <w:t>Item</w:t>
            </w:r>
          </w:p>
        </w:tc>
        <w:tc>
          <w:tcPr>
            <w:tcW w:w="1800" w:type="dxa"/>
            <w:vMerge w:val="restart"/>
            <w:tcBorders>
              <w:top w:val="single" w:sz="12" w:space="0" w:color="auto"/>
              <w:left w:val="nil"/>
              <w:bottom w:val="nil"/>
              <w:right w:val="nil"/>
            </w:tcBorders>
            <w:shd w:val="clear" w:color="auto" w:fill="auto"/>
          </w:tcPr>
          <w:p w14:paraId="21215FDA" w14:textId="77777777" w:rsidR="00872C03" w:rsidRPr="00883399" w:rsidRDefault="00872C03" w:rsidP="0031057E">
            <w:pPr>
              <w:pStyle w:val="TableHeading"/>
              <w:rPr>
                <w:sz w:val="22"/>
              </w:rPr>
            </w:pPr>
            <w:r w:rsidRPr="00883399">
              <w:rPr>
                <w:sz w:val="22"/>
              </w:rPr>
              <w:t>State</w:t>
            </w:r>
          </w:p>
        </w:tc>
        <w:tc>
          <w:tcPr>
            <w:tcW w:w="1800" w:type="dxa"/>
            <w:tcBorders>
              <w:top w:val="single" w:sz="12" w:space="0" w:color="auto"/>
              <w:left w:val="nil"/>
              <w:bottom w:val="single" w:sz="4" w:space="0" w:color="auto"/>
              <w:right w:val="nil"/>
            </w:tcBorders>
            <w:shd w:val="clear" w:color="auto" w:fill="auto"/>
          </w:tcPr>
          <w:p w14:paraId="1866EC04" w14:textId="77777777" w:rsidR="00872C03" w:rsidRPr="00883399" w:rsidRDefault="00872C03" w:rsidP="0031057E">
            <w:pPr>
              <w:pStyle w:val="TableHeading"/>
              <w:rPr>
                <w:sz w:val="22"/>
              </w:rPr>
            </w:pPr>
            <w:r w:rsidRPr="00883399">
              <w:rPr>
                <w:sz w:val="22"/>
              </w:rPr>
              <w:t>Unaccounted for gas (a)%</w:t>
            </w:r>
          </w:p>
        </w:tc>
        <w:tc>
          <w:tcPr>
            <w:tcW w:w="3021" w:type="dxa"/>
            <w:gridSpan w:val="2"/>
            <w:tcBorders>
              <w:top w:val="single" w:sz="12" w:space="0" w:color="auto"/>
              <w:left w:val="nil"/>
              <w:bottom w:val="single" w:sz="4" w:space="0" w:color="auto"/>
              <w:right w:val="nil"/>
            </w:tcBorders>
            <w:shd w:val="clear" w:color="auto" w:fill="auto"/>
          </w:tcPr>
          <w:p w14:paraId="3F79034F" w14:textId="77777777" w:rsidR="00872C03" w:rsidRPr="00883399" w:rsidRDefault="00872C03" w:rsidP="0031057E">
            <w:pPr>
              <w:pStyle w:val="TableHeading"/>
              <w:rPr>
                <w:sz w:val="22"/>
              </w:rPr>
            </w:pPr>
            <w:r w:rsidRPr="00883399">
              <w:rPr>
                <w:sz w:val="22"/>
              </w:rPr>
              <w:t>Natural gas composition factor (a)(tonnes CO</w:t>
            </w:r>
            <w:r w:rsidRPr="00883399">
              <w:rPr>
                <w:rStyle w:val="charSubscript"/>
                <w:iCs/>
                <w:sz w:val="22"/>
              </w:rPr>
              <w:t>2</w:t>
            </w:r>
            <w:r w:rsidRPr="00883399">
              <w:rPr>
                <w:rStyle w:val="charSubscript"/>
                <w:iCs/>
                <w:sz w:val="22"/>
              </w:rPr>
              <w:noBreakHyphen/>
              <w:t>e</w:t>
            </w:r>
            <w:r w:rsidRPr="00883399">
              <w:rPr>
                <w:sz w:val="22"/>
              </w:rPr>
              <w:t>/TJ)</w:t>
            </w:r>
          </w:p>
        </w:tc>
      </w:tr>
      <w:tr w:rsidR="00872C03" w:rsidRPr="00883399" w14:paraId="0007B1B3" w14:textId="77777777" w:rsidTr="0031057E">
        <w:trPr>
          <w:cantSplit/>
          <w:tblHeader/>
        </w:trPr>
        <w:tc>
          <w:tcPr>
            <w:tcW w:w="840" w:type="dxa"/>
            <w:tcBorders>
              <w:top w:val="nil"/>
              <w:left w:val="nil"/>
              <w:bottom w:val="single" w:sz="12" w:space="0" w:color="auto"/>
              <w:right w:val="nil"/>
            </w:tcBorders>
            <w:shd w:val="clear" w:color="auto" w:fill="auto"/>
          </w:tcPr>
          <w:p w14:paraId="08653FF2" w14:textId="77777777" w:rsidR="00872C03" w:rsidRPr="00883399" w:rsidRDefault="00872C03" w:rsidP="0031057E">
            <w:pPr>
              <w:pStyle w:val="TableHeading"/>
              <w:rPr>
                <w:sz w:val="22"/>
              </w:rPr>
            </w:pPr>
          </w:p>
        </w:tc>
        <w:tc>
          <w:tcPr>
            <w:tcW w:w="1800" w:type="dxa"/>
            <w:vMerge/>
            <w:tcBorders>
              <w:top w:val="nil"/>
              <w:left w:val="nil"/>
              <w:bottom w:val="single" w:sz="12" w:space="0" w:color="auto"/>
              <w:right w:val="nil"/>
            </w:tcBorders>
            <w:shd w:val="clear" w:color="auto" w:fill="auto"/>
          </w:tcPr>
          <w:p w14:paraId="2F52D90B" w14:textId="77777777" w:rsidR="00872C03" w:rsidRPr="00883399" w:rsidRDefault="00872C03" w:rsidP="0031057E">
            <w:pPr>
              <w:pStyle w:val="TableHeading"/>
              <w:rPr>
                <w:sz w:val="22"/>
              </w:rPr>
            </w:pPr>
          </w:p>
        </w:tc>
        <w:tc>
          <w:tcPr>
            <w:tcW w:w="1800" w:type="dxa"/>
            <w:tcBorders>
              <w:top w:val="single" w:sz="4" w:space="0" w:color="auto"/>
              <w:left w:val="nil"/>
              <w:bottom w:val="single" w:sz="12" w:space="0" w:color="auto"/>
              <w:right w:val="nil"/>
            </w:tcBorders>
            <w:shd w:val="clear" w:color="auto" w:fill="auto"/>
          </w:tcPr>
          <w:p w14:paraId="185D4255" w14:textId="77777777" w:rsidR="00872C03" w:rsidRPr="00883399" w:rsidRDefault="00872C03" w:rsidP="0031057E">
            <w:pPr>
              <w:pStyle w:val="TableHeading"/>
              <w:rPr>
                <w:sz w:val="22"/>
              </w:rPr>
            </w:pPr>
            <w:r w:rsidRPr="00883399">
              <w:rPr>
                <w:sz w:val="22"/>
              </w:rPr>
              <w:t>UAGp</w:t>
            </w:r>
          </w:p>
        </w:tc>
        <w:tc>
          <w:tcPr>
            <w:tcW w:w="1680" w:type="dxa"/>
            <w:tcBorders>
              <w:top w:val="single" w:sz="4" w:space="0" w:color="auto"/>
              <w:left w:val="nil"/>
              <w:bottom w:val="single" w:sz="12" w:space="0" w:color="auto"/>
              <w:right w:val="nil"/>
            </w:tcBorders>
            <w:shd w:val="clear" w:color="auto" w:fill="auto"/>
          </w:tcPr>
          <w:p w14:paraId="4CC6675B" w14:textId="77777777" w:rsidR="00872C03" w:rsidRPr="00883399" w:rsidRDefault="00872C03" w:rsidP="0031057E">
            <w:pPr>
              <w:pStyle w:val="TableHeading"/>
              <w:rPr>
                <w:sz w:val="22"/>
              </w:rPr>
            </w:pPr>
            <w:r w:rsidRPr="00883399">
              <w:rPr>
                <w:sz w:val="22"/>
              </w:rPr>
              <w:t>CO</w:t>
            </w:r>
            <w:r w:rsidRPr="00883399">
              <w:rPr>
                <w:sz w:val="22"/>
                <w:vertAlign w:val="subscript"/>
              </w:rPr>
              <w:t>2</w:t>
            </w:r>
          </w:p>
        </w:tc>
        <w:tc>
          <w:tcPr>
            <w:tcW w:w="1341" w:type="dxa"/>
            <w:tcBorders>
              <w:top w:val="single" w:sz="4" w:space="0" w:color="auto"/>
              <w:left w:val="nil"/>
              <w:bottom w:val="single" w:sz="12" w:space="0" w:color="auto"/>
              <w:right w:val="nil"/>
            </w:tcBorders>
            <w:shd w:val="clear" w:color="auto" w:fill="auto"/>
          </w:tcPr>
          <w:p w14:paraId="7277FBE7" w14:textId="77777777" w:rsidR="00872C03" w:rsidRPr="00883399" w:rsidRDefault="00872C03" w:rsidP="0031057E">
            <w:pPr>
              <w:pStyle w:val="TableHeading"/>
              <w:rPr>
                <w:sz w:val="22"/>
              </w:rPr>
            </w:pPr>
            <w:r w:rsidRPr="00883399">
              <w:rPr>
                <w:sz w:val="22"/>
              </w:rPr>
              <w:t>CH</w:t>
            </w:r>
            <w:r w:rsidRPr="00883399">
              <w:rPr>
                <w:sz w:val="22"/>
                <w:vertAlign w:val="subscript"/>
              </w:rPr>
              <w:t>4</w:t>
            </w:r>
          </w:p>
        </w:tc>
      </w:tr>
      <w:tr w:rsidR="00872C03" w:rsidRPr="00883399" w14:paraId="7156CFA0" w14:textId="77777777" w:rsidTr="0031057E">
        <w:tc>
          <w:tcPr>
            <w:tcW w:w="840" w:type="dxa"/>
            <w:tcBorders>
              <w:top w:val="nil"/>
              <w:left w:val="nil"/>
              <w:bottom w:val="nil"/>
              <w:right w:val="nil"/>
            </w:tcBorders>
          </w:tcPr>
          <w:p w14:paraId="4238DF58" w14:textId="77777777" w:rsidR="00872C03" w:rsidRPr="00883399" w:rsidRDefault="00872C03" w:rsidP="0031057E">
            <w:pPr>
              <w:pStyle w:val="Tabletext0"/>
              <w:rPr>
                <w:sz w:val="22"/>
              </w:rPr>
            </w:pPr>
            <w:r w:rsidRPr="00883399">
              <w:rPr>
                <w:sz w:val="22"/>
              </w:rPr>
              <w:t>1</w:t>
            </w:r>
          </w:p>
        </w:tc>
        <w:tc>
          <w:tcPr>
            <w:tcW w:w="1800" w:type="dxa"/>
            <w:tcBorders>
              <w:top w:val="nil"/>
              <w:left w:val="nil"/>
              <w:bottom w:val="nil"/>
              <w:right w:val="nil"/>
            </w:tcBorders>
          </w:tcPr>
          <w:p w14:paraId="1ADCF91B" w14:textId="77777777" w:rsidR="00872C03" w:rsidRPr="00883399" w:rsidRDefault="00872C03" w:rsidP="0031057E">
            <w:pPr>
              <w:pStyle w:val="Tabletext0"/>
              <w:rPr>
                <w:sz w:val="22"/>
              </w:rPr>
            </w:pPr>
            <w:r w:rsidRPr="00883399">
              <w:rPr>
                <w:sz w:val="22"/>
              </w:rPr>
              <w:t>NSW and ACT</w:t>
            </w:r>
          </w:p>
        </w:tc>
        <w:tc>
          <w:tcPr>
            <w:tcW w:w="1800" w:type="dxa"/>
            <w:tcBorders>
              <w:top w:val="nil"/>
              <w:left w:val="nil"/>
              <w:bottom w:val="nil"/>
              <w:right w:val="nil"/>
            </w:tcBorders>
          </w:tcPr>
          <w:p w14:paraId="2A4D4286" w14:textId="77777777" w:rsidR="00872C03" w:rsidRPr="00883399" w:rsidRDefault="00872C03" w:rsidP="0031057E">
            <w:pPr>
              <w:pStyle w:val="Tabletext0"/>
              <w:rPr>
                <w:sz w:val="22"/>
              </w:rPr>
            </w:pPr>
            <w:r w:rsidRPr="00883399">
              <w:rPr>
                <w:sz w:val="22"/>
              </w:rPr>
              <w:t>2.2</w:t>
            </w:r>
          </w:p>
        </w:tc>
        <w:tc>
          <w:tcPr>
            <w:tcW w:w="1680" w:type="dxa"/>
            <w:tcBorders>
              <w:top w:val="nil"/>
              <w:left w:val="nil"/>
              <w:bottom w:val="nil"/>
              <w:right w:val="nil"/>
            </w:tcBorders>
          </w:tcPr>
          <w:p w14:paraId="70FDCD9E" w14:textId="77777777" w:rsidR="00872C03" w:rsidRPr="00883399" w:rsidRDefault="00872C03" w:rsidP="0031057E">
            <w:pPr>
              <w:pStyle w:val="Tabletext0"/>
              <w:rPr>
                <w:sz w:val="22"/>
              </w:rPr>
            </w:pPr>
            <w:r w:rsidRPr="00883399">
              <w:rPr>
                <w:sz w:val="22"/>
              </w:rPr>
              <w:t>0.8</w:t>
            </w:r>
          </w:p>
        </w:tc>
        <w:tc>
          <w:tcPr>
            <w:tcW w:w="1341" w:type="dxa"/>
            <w:tcBorders>
              <w:top w:val="nil"/>
              <w:left w:val="nil"/>
              <w:bottom w:val="nil"/>
              <w:right w:val="nil"/>
            </w:tcBorders>
          </w:tcPr>
          <w:p w14:paraId="53C6166A" w14:textId="77777777" w:rsidR="00872C03" w:rsidRPr="00883399" w:rsidRDefault="00872C03" w:rsidP="0031057E">
            <w:pPr>
              <w:pStyle w:val="Tabletext0"/>
              <w:rPr>
                <w:sz w:val="22"/>
              </w:rPr>
            </w:pPr>
            <w:r w:rsidRPr="00883399">
              <w:rPr>
                <w:sz w:val="22"/>
              </w:rPr>
              <w:t>390</w:t>
            </w:r>
          </w:p>
        </w:tc>
      </w:tr>
      <w:tr w:rsidR="00872C03" w:rsidRPr="00883399" w14:paraId="65C43952" w14:textId="77777777" w:rsidTr="0031057E">
        <w:tc>
          <w:tcPr>
            <w:tcW w:w="840" w:type="dxa"/>
            <w:tcBorders>
              <w:top w:val="nil"/>
              <w:left w:val="nil"/>
              <w:bottom w:val="nil"/>
              <w:right w:val="nil"/>
            </w:tcBorders>
          </w:tcPr>
          <w:p w14:paraId="2A681547" w14:textId="77777777" w:rsidR="00872C03" w:rsidRPr="00883399" w:rsidRDefault="00872C03" w:rsidP="0031057E">
            <w:pPr>
              <w:pStyle w:val="Tabletext0"/>
              <w:rPr>
                <w:sz w:val="22"/>
              </w:rPr>
            </w:pPr>
            <w:r w:rsidRPr="00883399">
              <w:rPr>
                <w:sz w:val="22"/>
              </w:rPr>
              <w:t>2</w:t>
            </w:r>
          </w:p>
        </w:tc>
        <w:tc>
          <w:tcPr>
            <w:tcW w:w="1800" w:type="dxa"/>
            <w:tcBorders>
              <w:top w:val="nil"/>
              <w:left w:val="nil"/>
              <w:bottom w:val="nil"/>
              <w:right w:val="nil"/>
            </w:tcBorders>
          </w:tcPr>
          <w:p w14:paraId="76050AD9" w14:textId="77777777" w:rsidR="00872C03" w:rsidRPr="00883399" w:rsidRDefault="00872C03" w:rsidP="0031057E">
            <w:pPr>
              <w:pStyle w:val="Tabletext0"/>
              <w:rPr>
                <w:sz w:val="22"/>
              </w:rPr>
            </w:pPr>
            <w:r w:rsidRPr="00883399">
              <w:rPr>
                <w:sz w:val="22"/>
              </w:rPr>
              <w:t>VIC</w:t>
            </w:r>
          </w:p>
        </w:tc>
        <w:tc>
          <w:tcPr>
            <w:tcW w:w="1800" w:type="dxa"/>
            <w:tcBorders>
              <w:top w:val="nil"/>
              <w:left w:val="nil"/>
              <w:bottom w:val="nil"/>
              <w:right w:val="nil"/>
            </w:tcBorders>
          </w:tcPr>
          <w:p w14:paraId="3A7E20AB" w14:textId="77777777" w:rsidR="00872C03" w:rsidRPr="00883399" w:rsidRDefault="00872C03" w:rsidP="0031057E">
            <w:pPr>
              <w:pStyle w:val="Tabletext0"/>
              <w:rPr>
                <w:sz w:val="22"/>
              </w:rPr>
            </w:pPr>
            <w:r w:rsidRPr="00883399">
              <w:rPr>
                <w:sz w:val="22"/>
              </w:rPr>
              <w:t>3.0</w:t>
            </w:r>
          </w:p>
        </w:tc>
        <w:tc>
          <w:tcPr>
            <w:tcW w:w="1680" w:type="dxa"/>
            <w:tcBorders>
              <w:top w:val="nil"/>
              <w:left w:val="nil"/>
              <w:bottom w:val="nil"/>
              <w:right w:val="nil"/>
            </w:tcBorders>
          </w:tcPr>
          <w:p w14:paraId="13B80116" w14:textId="77777777" w:rsidR="00872C03" w:rsidRPr="00883399" w:rsidRDefault="00872C03" w:rsidP="0031057E">
            <w:pPr>
              <w:pStyle w:val="Tabletext0"/>
              <w:rPr>
                <w:sz w:val="22"/>
              </w:rPr>
            </w:pPr>
            <w:r w:rsidRPr="00883399">
              <w:rPr>
                <w:sz w:val="22"/>
              </w:rPr>
              <w:t>0.9</w:t>
            </w:r>
          </w:p>
        </w:tc>
        <w:tc>
          <w:tcPr>
            <w:tcW w:w="1341" w:type="dxa"/>
            <w:tcBorders>
              <w:top w:val="nil"/>
              <w:left w:val="nil"/>
              <w:bottom w:val="nil"/>
              <w:right w:val="nil"/>
            </w:tcBorders>
          </w:tcPr>
          <w:p w14:paraId="150E6EFA" w14:textId="77777777" w:rsidR="00872C03" w:rsidRPr="00883399" w:rsidRDefault="00872C03" w:rsidP="0031057E">
            <w:pPr>
              <w:pStyle w:val="Tabletext0"/>
              <w:rPr>
                <w:sz w:val="22"/>
              </w:rPr>
            </w:pPr>
            <w:r w:rsidRPr="00883399">
              <w:rPr>
                <w:sz w:val="22"/>
              </w:rPr>
              <w:t>388</w:t>
            </w:r>
          </w:p>
        </w:tc>
      </w:tr>
      <w:tr w:rsidR="00872C03" w:rsidRPr="00883399" w14:paraId="3F53770A" w14:textId="77777777" w:rsidTr="0031057E">
        <w:tc>
          <w:tcPr>
            <w:tcW w:w="840" w:type="dxa"/>
            <w:tcBorders>
              <w:top w:val="nil"/>
              <w:left w:val="nil"/>
              <w:bottom w:val="nil"/>
              <w:right w:val="nil"/>
            </w:tcBorders>
          </w:tcPr>
          <w:p w14:paraId="33D7EA16" w14:textId="77777777" w:rsidR="00872C03" w:rsidRPr="00883399" w:rsidRDefault="00872C03" w:rsidP="0031057E">
            <w:pPr>
              <w:pStyle w:val="Tabletext0"/>
              <w:rPr>
                <w:sz w:val="22"/>
              </w:rPr>
            </w:pPr>
            <w:r w:rsidRPr="00883399">
              <w:rPr>
                <w:sz w:val="22"/>
              </w:rPr>
              <w:t>3</w:t>
            </w:r>
          </w:p>
        </w:tc>
        <w:tc>
          <w:tcPr>
            <w:tcW w:w="1800" w:type="dxa"/>
            <w:tcBorders>
              <w:top w:val="nil"/>
              <w:left w:val="nil"/>
              <w:bottom w:val="nil"/>
              <w:right w:val="nil"/>
            </w:tcBorders>
          </w:tcPr>
          <w:p w14:paraId="7D3C2C06" w14:textId="77777777" w:rsidR="00872C03" w:rsidRPr="00883399" w:rsidRDefault="00872C03" w:rsidP="0031057E">
            <w:pPr>
              <w:pStyle w:val="Tabletext0"/>
              <w:rPr>
                <w:sz w:val="22"/>
              </w:rPr>
            </w:pPr>
            <w:r w:rsidRPr="00883399">
              <w:rPr>
                <w:sz w:val="22"/>
              </w:rPr>
              <w:t>QLD</w:t>
            </w:r>
          </w:p>
        </w:tc>
        <w:tc>
          <w:tcPr>
            <w:tcW w:w="1800" w:type="dxa"/>
            <w:tcBorders>
              <w:top w:val="nil"/>
              <w:left w:val="nil"/>
              <w:bottom w:val="nil"/>
              <w:right w:val="nil"/>
            </w:tcBorders>
          </w:tcPr>
          <w:p w14:paraId="0871E0D0" w14:textId="77777777" w:rsidR="00872C03" w:rsidRPr="00883399" w:rsidRDefault="00872C03" w:rsidP="0031057E">
            <w:pPr>
              <w:pStyle w:val="Tabletext0"/>
              <w:rPr>
                <w:sz w:val="22"/>
              </w:rPr>
            </w:pPr>
            <w:r w:rsidRPr="00883399">
              <w:rPr>
                <w:sz w:val="22"/>
              </w:rPr>
              <w:t>1.7</w:t>
            </w:r>
          </w:p>
        </w:tc>
        <w:tc>
          <w:tcPr>
            <w:tcW w:w="1680" w:type="dxa"/>
            <w:tcBorders>
              <w:top w:val="nil"/>
              <w:left w:val="nil"/>
              <w:bottom w:val="nil"/>
              <w:right w:val="nil"/>
            </w:tcBorders>
          </w:tcPr>
          <w:p w14:paraId="13CA3E24" w14:textId="77777777" w:rsidR="00872C03" w:rsidRPr="00883399" w:rsidRDefault="00872C03" w:rsidP="0031057E">
            <w:pPr>
              <w:pStyle w:val="Tabletext0"/>
              <w:rPr>
                <w:sz w:val="22"/>
              </w:rPr>
            </w:pPr>
            <w:r w:rsidRPr="00883399">
              <w:rPr>
                <w:sz w:val="22"/>
              </w:rPr>
              <w:t>0.8</w:t>
            </w:r>
          </w:p>
        </w:tc>
        <w:tc>
          <w:tcPr>
            <w:tcW w:w="1341" w:type="dxa"/>
            <w:tcBorders>
              <w:top w:val="nil"/>
              <w:left w:val="nil"/>
              <w:bottom w:val="nil"/>
              <w:right w:val="nil"/>
            </w:tcBorders>
          </w:tcPr>
          <w:p w14:paraId="50BEB5DB" w14:textId="77777777" w:rsidR="00872C03" w:rsidRPr="00883399" w:rsidRDefault="00872C03" w:rsidP="0031057E">
            <w:pPr>
              <w:pStyle w:val="Tabletext0"/>
              <w:rPr>
                <w:sz w:val="22"/>
              </w:rPr>
            </w:pPr>
            <w:r w:rsidRPr="00883399">
              <w:rPr>
                <w:sz w:val="22"/>
              </w:rPr>
              <w:t>377</w:t>
            </w:r>
          </w:p>
        </w:tc>
      </w:tr>
      <w:tr w:rsidR="00872C03" w:rsidRPr="00883399" w14:paraId="679B5C3D" w14:textId="77777777" w:rsidTr="0031057E">
        <w:tc>
          <w:tcPr>
            <w:tcW w:w="840" w:type="dxa"/>
            <w:tcBorders>
              <w:top w:val="nil"/>
              <w:left w:val="nil"/>
              <w:bottom w:val="nil"/>
              <w:right w:val="nil"/>
            </w:tcBorders>
          </w:tcPr>
          <w:p w14:paraId="000A845E" w14:textId="77777777" w:rsidR="00872C03" w:rsidRPr="00883399" w:rsidRDefault="00872C03" w:rsidP="0031057E">
            <w:pPr>
              <w:pStyle w:val="Tabletext0"/>
              <w:rPr>
                <w:sz w:val="22"/>
              </w:rPr>
            </w:pPr>
            <w:r w:rsidRPr="00883399">
              <w:rPr>
                <w:sz w:val="22"/>
              </w:rPr>
              <w:t>4</w:t>
            </w:r>
          </w:p>
        </w:tc>
        <w:tc>
          <w:tcPr>
            <w:tcW w:w="1800" w:type="dxa"/>
            <w:tcBorders>
              <w:top w:val="nil"/>
              <w:left w:val="nil"/>
              <w:bottom w:val="nil"/>
              <w:right w:val="nil"/>
            </w:tcBorders>
          </w:tcPr>
          <w:p w14:paraId="2E84B36F" w14:textId="77777777" w:rsidR="00872C03" w:rsidRPr="00883399" w:rsidRDefault="00872C03" w:rsidP="0031057E">
            <w:pPr>
              <w:pStyle w:val="Tabletext0"/>
              <w:rPr>
                <w:sz w:val="22"/>
              </w:rPr>
            </w:pPr>
            <w:r w:rsidRPr="00883399">
              <w:rPr>
                <w:sz w:val="22"/>
              </w:rPr>
              <w:t>WA</w:t>
            </w:r>
          </w:p>
        </w:tc>
        <w:tc>
          <w:tcPr>
            <w:tcW w:w="1800" w:type="dxa"/>
            <w:tcBorders>
              <w:top w:val="nil"/>
              <w:left w:val="nil"/>
              <w:bottom w:val="nil"/>
              <w:right w:val="nil"/>
            </w:tcBorders>
          </w:tcPr>
          <w:p w14:paraId="33E48663" w14:textId="77777777" w:rsidR="00872C03" w:rsidRPr="00883399" w:rsidRDefault="00872C03" w:rsidP="0031057E">
            <w:pPr>
              <w:pStyle w:val="Tabletext0"/>
              <w:rPr>
                <w:sz w:val="22"/>
              </w:rPr>
            </w:pPr>
            <w:r w:rsidRPr="00883399">
              <w:rPr>
                <w:sz w:val="22"/>
              </w:rPr>
              <w:t>2.9</w:t>
            </w:r>
          </w:p>
        </w:tc>
        <w:tc>
          <w:tcPr>
            <w:tcW w:w="1680" w:type="dxa"/>
            <w:tcBorders>
              <w:top w:val="nil"/>
              <w:left w:val="nil"/>
              <w:bottom w:val="nil"/>
              <w:right w:val="nil"/>
            </w:tcBorders>
          </w:tcPr>
          <w:p w14:paraId="61045C01" w14:textId="77777777" w:rsidR="00872C03" w:rsidRPr="00883399" w:rsidRDefault="00872C03" w:rsidP="0031057E">
            <w:pPr>
              <w:pStyle w:val="Tabletext0"/>
              <w:rPr>
                <w:sz w:val="22"/>
              </w:rPr>
            </w:pPr>
            <w:r w:rsidRPr="00883399">
              <w:rPr>
                <w:sz w:val="22"/>
              </w:rPr>
              <w:t>1.1</w:t>
            </w:r>
          </w:p>
        </w:tc>
        <w:tc>
          <w:tcPr>
            <w:tcW w:w="1341" w:type="dxa"/>
            <w:tcBorders>
              <w:top w:val="nil"/>
              <w:left w:val="nil"/>
              <w:bottom w:val="nil"/>
              <w:right w:val="nil"/>
            </w:tcBorders>
          </w:tcPr>
          <w:p w14:paraId="7F4A7C9C" w14:textId="77777777" w:rsidR="00872C03" w:rsidRPr="00883399" w:rsidRDefault="00872C03" w:rsidP="0031057E">
            <w:pPr>
              <w:pStyle w:val="Tabletext0"/>
              <w:rPr>
                <w:sz w:val="22"/>
              </w:rPr>
            </w:pPr>
            <w:r w:rsidRPr="00883399">
              <w:rPr>
                <w:sz w:val="22"/>
              </w:rPr>
              <w:t>364</w:t>
            </w:r>
          </w:p>
        </w:tc>
      </w:tr>
      <w:tr w:rsidR="00872C03" w:rsidRPr="00883399" w14:paraId="2F3E4ABD" w14:textId="77777777" w:rsidTr="0031057E">
        <w:tc>
          <w:tcPr>
            <w:tcW w:w="840" w:type="dxa"/>
            <w:tcBorders>
              <w:top w:val="nil"/>
              <w:left w:val="nil"/>
              <w:bottom w:val="nil"/>
              <w:right w:val="nil"/>
            </w:tcBorders>
          </w:tcPr>
          <w:p w14:paraId="4E2E7BD5" w14:textId="77777777" w:rsidR="00872C03" w:rsidRPr="00883399" w:rsidRDefault="00872C03" w:rsidP="0031057E">
            <w:pPr>
              <w:pStyle w:val="Tabletext0"/>
              <w:rPr>
                <w:sz w:val="22"/>
              </w:rPr>
            </w:pPr>
            <w:r w:rsidRPr="00883399">
              <w:rPr>
                <w:sz w:val="22"/>
              </w:rPr>
              <w:t>5</w:t>
            </w:r>
          </w:p>
        </w:tc>
        <w:tc>
          <w:tcPr>
            <w:tcW w:w="1800" w:type="dxa"/>
            <w:tcBorders>
              <w:top w:val="nil"/>
              <w:left w:val="nil"/>
              <w:bottom w:val="nil"/>
              <w:right w:val="nil"/>
            </w:tcBorders>
          </w:tcPr>
          <w:p w14:paraId="685174E4" w14:textId="77777777" w:rsidR="00872C03" w:rsidRPr="00883399" w:rsidRDefault="00872C03" w:rsidP="0031057E">
            <w:pPr>
              <w:pStyle w:val="Tabletext0"/>
              <w:rPr>
                <w:sz w:val="22"/>
              </w:rPr>
            </w:pPr>
            <w:r w:rsidRPr="00883399">
              <w:rPr>
                <w:sz w:val="22"/>
              </w:rPr>
              <w:t>SA</w:t>
            </w:r>
          </w:p>
        </w:tc>
        <w:tc>
          <w:tcPr>
            <w:tcW w:w="1800" w:type="dxa"/>
            <w:tcBorders>
              <w:top w:val="nil"/>
              <w:left w:val="nil"/>
              <w:bottom w:val="nil"/>
              <w:right w:val="nil"/>
            </w:tcBorders>
          </w:tcPr>
          <w:p w14:paraId="17FE38DB" w14:textId="77777777" w:rsidR="00872C03" w:rsidRPr="00883399" w:rsidRDefault="00872C03" w:rsidP="0031057E">
            <w:pPr>
              <w:pStyle w:val="Tabletext0"/>
              <w:rPr>
                <w:sz w:val="22"/>
              </w:rPr>
            </w:pPr>
            <w:r w:rsidRPr="00883399">
              <w:rPr>
                <w:sz w:val="22"/>
              </w:rPr>
              <w:t>4.9</w:t>
            </w:r>
          </w:p>
        </w:tc>
        <w:tc>
          <w:tcPr>
            <w:tcW w:w="1680" w:type="dxa"/>
            <w:tcBorders>
              <w:top w:val="nil"/>
              <w:left w:val="nil"/>
              <w:bottom w:val="nil"/>
              <w:right w:val="nil"/>
            </w:tcBorders>
          </w:tcPr>
          <w:p w14:paraId="0ED7DDDD" w14:textId="77777777" w:rsidR="00872C03" w:rsidRPr="00883399" w:rsidRDefault="00872C03" w:rsidP="0031057E">
            <w:pPr>
              <w:pStyle w:val="Tabletext0"/>
              <w:rPr>
                <w:sz w:val="22"/>
              </w:rPr>
            </w:pPr>
            <w:r w:rsidRPr="00883399">
              <w:rPr>
                <w:sz w:val="22"/>
              </w:rPr>
              <w:t>0.8</w:t>
            </w:r>
          </w:p>
        </w:tc>
        <w:tc>
          <w:tcPr>
            <w:tcW w:w="1341" w:type="dxa"/>
            <w:tcBorders>
              <w:top w:val="nil"/>
              <w:left w:val="nil"/>
              <w:bottom w:val="nil"/>
              <w:right w:val="nil"/>
            </w:tcBorders>
          </w:tcPr>
          <w:p w14:paraId="0A671286" w14:textId="77777777" w:rsidR="00872C03" w:rsidRPr="00883399" w:rsidRDefault="00872C03" w:rsidP="0031057E">
            <w:pPr>
              <w:pStyle w:val="Tabletext0"/>
              <w:rPr>
                <w:sz w:val="22"/>
              </w:rPr>
            </w:pPr>
            <w:r w:rsidRPr="00883399">
              <w:rPr>
                <w:sz w:val="22"/>
              </w:rPr>
              <w:t>390</w:t>
            </w:r>
          </w:p>
        </w:tc>
      </w:tr>
      <w:tr w:rsidR="00872C03" w:rsidRPr="00883399" w14:paraId="616B3EDC" w14:textId="77777777" w:rsidTr="0031057E">
        <w:tc>
          <w:tcPr>
            <w:tcW w:w="840" w:type="dxa"/>
            <w:tcBorders>
              <w:top w:val="nil"/>
              <w:left w:val="nil"/>
              <w:bottom w:val="nil"/>
              <w:right w:val="nil"/>
            </w:tcBorders>
          </w:tcPr>
          <w:p w14:paraId="03C60703" w14:textId="77777777" w:rsidR="00872C03" w:rsidRPr="00883399" w:rsidRDefault="00872C03" w:rsidP="0031057E">
            <w:pPr>
              <w:pStyle w:val="Tabletext0"/>
              <w:rPr>
                <w:sz w:val="22"/>
              </w:rPr>
            </w:pPr>
            <w:r w:rsidRPr="00883399">
              <w:rPr>
                <w:sz w:val="22"/>
              </w:rPr>
              <w:t>6</w:t>
            </w:r>
          </w:p>
        </w:tc>
        <w:tc>
          <w:tcPr>
            <w:tcW w:w="1800" w:type="dxa"/>
            <w:tcBorders>
              <w:top w:val="nil"/>
              <w:left w:val="nil"/>
              <w:bottom w:val="nil"/>
              <w:right w:val="nil"/>
            </w:tcBorders>
          </w:tcPr>
          <w:p w14:paraId="5F07A31A" w14:textId="77777777" w:rsidR="00872C03" w:rsidRPr="00883399" w:rsidRDefault="00872C03" w:rsidP="0031057E">
            <w:pPr>
              <w:pStyle w:val="Tabletext0"/>
              <w:rPr>
                <w:sz w:val="22"/>
              </w:rPr>
            </w:pPr>
            <w:r w:rsidRPr="00883399">
              <w:rPr>
                <w:sz w:val="22"/>
              </w:rPr>
              <w:t>TAS</w:t>
            </w:r>
          </w:p>
        </w:tc>
        <w:tc>
          <w:tcPr>
            <w:tcW w:w="1800" w:type="dxa"/>
            <w:tcBorders>
              <w:top w:val="nil"/>
              <w:left w:val="nil"/>
              <w:bottom w:val="nil"/>
              <w:right w:val="nil"/>
            </w:tcBorders>
          </w:tcPr>
          <w:p w14:paraId="4309124F" w14:textId="77777777" w:rsidR="00872C03" w:rsidRPr="00883399" w:rsidRDefault="00872C03" w:rsidP="0031057E">
            <w:pPr>
              <w:pStyle w:val="Tabletext0"/>
              <w:rPr>
                <w:sz w:val="22"/>
              </w:rPr>
            </w:pPr>
            <w:r w:rsidRPr="00883399">
              <w:rPr>
                <w:sz w:val="22"/>
              </w:rPr>
              <w:t>0.2</w:t>
            </w:r>
          </w:p>
        </w:tc>
        <w:tc>
          <w:tcPr>
            <w:tcW w:w="1680" w:type="dxa"/>
            <w:tcBorders>
              <w:top w:val="nil"/>
              <w:left w:val="nil"/>
              <w:bottom w:val="nil"/>
              <w:right w:val="nil"/>
            </w:tcBorders>
          </w:tcPr>
          <w:p w14:paraId="4E102FD3" w14:textId="77777777" w:rsidR="00872C03" w:rsidRPr="00883399" w:rsidRDefault="00872C03" w:rsidP="0031057E">
            <w:pPr>
              <w:pStyle w:val="Tabletext0"/>
              <w:rPr>
                <w:sz w:val="22"/>
              </w:rPr>
            </w:pPr>
            <w:r w:rsidRPr="00883399">
              <w:rPr>
                <w:sz w:val="22"/>
              </w:rPr>
              <w:t>0.9</w:t>
            </w:r>
          </w:p>
        </w:tc>
        <w:tc>
          <w:tcPr>
            <w:tcW w:w="1341" w:type="dxa"/>
            <w:tcBorders>
              <w:top w:val="nil"/>
              <w:left w:val="nil"/>
              <w:bottom w:val="nil"/>
              <w:right w:val="nil"/>
            </w:tcBorders>
          </w:tcPr>
          <w:p w14:paraId="5E07844C" w14:textId="77777777" w:rsidR="00872C03" w:rsidRPr="00883399" w:rsidRDefault="00872C03" w:rsidP="0031057E">
            <w:pPr>
              <w:pStyle w:val="Tabletext0"/>
              <w:rPr>
                <w:sz w:val="22"/>
              </w:rPr>
            </w:pPr>
            <w:r w:rsidRPr="00883399">
              <w:rPr>
                <w:sz w:val="22"/>
              </w:rPr>
              <w:t>388</w:t>
            </w:r>
          </w:p>
        </w:tc>
      </w:tr>
      <w:tr w:rsidR="00872C03" w:rsidRPr="00883399" w14:paraId="2BBF67DE" w14:textId="77777777" w:rsidTr="0031057E">
        <w:tc>
          <w:tcPr>
            <w:tcW w:w="840" w:type="dxa"/>
            <w:tcBorders>
              <w:top w:val="nil"/>
              <w:left w:val="nil"/>
              <w:bottom w:val="single" w:sz="12" w:space="0" w:color="auto"/>
              <w:right w:val="nil"/>
            </w:tcBorders>
          </w:tcPr>
          <w:p w14:paraId="6A57634C" w14:textId="77777777" w:rsidR="00872C03" w:rsidRPr="00883399" w:rsidRDefault="00872C03" w:rsidP="0031057E">
            <w:pPr>
              <w:pStyle w:val="Tabletext0"/>
              <w:rPr>
                <w:sz w:val="22"/>
              </w:rPr>
            </w:pPr>
            <w:r w:rsidRPr="00883399">
              <w:rPr>
                <w:sz w:val="22"/>
              </w:rPr>
              <w:t>7</w:t>
            </w:r>
          </w:p>
        </w:tc>
        <w:tc>
          <w:tcPr>
            <w:tcW w:w="1800" w:type="dxa"/>
            <w:tcBorders>
              <w:top w:val="nil"/>
              <w:left w:val="nil"/>
              <w:bottom w:val="single" w:sz="12" w:space="0" w:color="auto"/>
              <w:right w:val="nil"/>
            </w:tcBorders>
          </w:tcPr>
          <w:p w14:paraId="35895199" w14:textId="77777777" w:rsidR="00872C03" w:rsidRPr="00883399" w:rsidRDefault="00872C03" w:rsidP="0031057E">
            <w:pPr>
              <w:pStyle w:val="Tabletext0"/>
              <w:rPr>
                <w:sz w:val="22"/>
              </w:rPr>
            </w:pPr>
            <w:r w:rsidRPr="00883399">
              <w:rPr>
                <w:sz w:val="22"/>
              </w:rPr>
              <w:t>NT</w:t>
            </w:r>
          </w:p>
        </w:tc>
        <w:tc>
          <w:tcPr>
            <w:tcW w:w="1800" w:type="dxa"/>
            <w:tcBorders>
              <w:top w:val="nil"/>
              <w:left w:val="nil"/>
              <w:bottom w:val="single" w:sz="12" w:space="0" w:color="auto"/>
              <w:right w:val="nil"/>
            </w:tcBorders>
          </w:tcPr>
          <w:p w14:paraId="700C1F24" w14:textId="77777777" w:rsidR="00872C03" w:rsidRPr="00883399" w:rsidRDefault="00872C03" w:rsidP="0031057E">
            <w:pPr>
              <w:pStyle w:val="Tabletext0"/>
              <w:rPr>
                <w:sz w:val="22"/>
              </w:rPr>
            </w:pPr>
            <w:r w:rsidRPr="00883399">
              <w:rPr>
                <w:sz w:val="22"/>
              </w:rPr>
              <w:t>2.2</w:t>
            </w:r>
          </w:p>
        </w:tc>
        <w:tc>
          <w:tcPr>
            <w:tcW w:w="1680" w:type="dxa"/>
            <w:tcBorders>
              <w:top w:val="nil"/>
              <w:left w:val="nil"/>
              <w:bottom w:val="single" w:sz="12" w:space="0" w:color="auto"/>
              <w:right w:val="nil"/>
            </w:tcBorders>
          </w:tcPr>
          <w:p w14:paraId="1C1389A3" w14:textId="77777777" w:rsidR="00872C03" w:rsidRPr="00883399" w:rsidRDefault="00872C03" w:rsidP="0031057E">
            <w:pPr>
              <w:pStyle w:val="Tabletext0"/>
              <w:rPr>
                <w:sz w:val="22"/>
              </w:rPr>
            </w:pPr>
            <w:r w:rsidRPr="00883399">
              <w:rPr>
                <w:sz w:val="22"/>
              </w:rPr>
              <w:t>0.0</w:t>
            </w:r>
          </w:p>
        </w:tc>
        <w:tc>
          <w:tcPr>
            <w:tcW w:w="1341" w:type="dxa"/>
            <w:tcBorders>
              <w:top w:val="nil"/>
              <w:left w:val="nil"/>
              <w:bottom w:val="single" w:sz="12" w:space="0" w:color="auto"/>
              <w:right w:val="nil"/>
            </w:tcBorders>
          </w:tcPr>
          <w:p w14:paraId="3493F8E0" w14:textId="77777777" w:rsidR="00872C03" w:rsidRPr="00883399" w:rsidRDefault="00872C03" w:rsidP="0031057E">
            <w:pPr>
              <w:pStyle w:val="Tabletext0"/>
              <w:rPr>
                <w:sz w:val="22"/>
              </w:rPr>
            </w:pPr>
            <w:r w:rsidRPr="00883399">
              <w:rPr>
                <w:sz w:val="22"/>
              </w:rPr>
              <w:t>314</w:t>
            </w:r>
          </w:p>
        </w:tc>
      </w:tr>
    </w:tbl>
    <w:p w14:paraId="690075DB" w14:textId="6A77851E" w:rsidR="00872C03" w:rsidRPr="00883399" w:rsidRDefault="00872C03" w:rsidP="00872C03">
      <w:pPr>
        <w:pStyle w:val="ActHead5"/>
        <w:rPr>
          <w:sz w:val="28"/>
        </w:rPr>
      </w:pPr>
      <w:bookmarkStart w:id="719" w:name="_Toc423516972"/>
      <w:bookmarkStart w:id="720" w:name="_Toc495652889"/>
      <w:r w:rsidRPr="00883399">
        <w:rPr>
          <w:rStyle w:val="CharSectno"/>
          <w:sz w:val="28"/>
        </w:rPr>
        <w:t>3.81</w:t>
      </w:r>
      <w:r w:rsidRPr="00883399">
        <w:rPr>
          <w:sz w:val="28"/>
        </w:rPr>
        <w:t xml:space="preserve">  Method 2—natural gas distribution</w:t>
      </w:r>
      <w:bookmarkEnd w:id="719"/>
      <w:bookmarkEnd w:id="720"/>
    </w:p>
    <w:p w14:paraId="51B633F7" w14:textId="77777777" w:rsidR="00872C03" w:rsidRPr="00883399" w:rsidRDefault="00872C03" w:rsidP="00872C03">
      <w:pPr>
        <w:pStyle w:val="R1"/>
        <w:keepLines w:val="0"/>
        <w:spacing w:before="240" w:line="312" w:lineRule="auto"/>
        <w:ind w:left="0" w:firstLine="0"/>
        <w:jc w:val="left"/>
        <w:rPr>
          <w:rFonts w:ascii="Arial" w:hAnsi="Arial" w:cs="Arial"/>
          <w:sz w:val="22"/>
          <w:szCs w:val="22"/>
        </w:rPr>
      </w:pPr>
      <w:r w:rsidRPr="00883399">
        <w:rPr>
          <w:rFonts w:ascii="Arial" w:hAnsi="Arial" w:cs="Arial"/>
          <w:sz w:val="22"/>
          <w:szCs w:val="22"/>
        </w:rPr>
        <w:t xml:space="preserve">Method 2 for fugitive emissions from natural gas distribution requires the use of equipment-specific emission factors and more detail on the types of equipment used at the facility. The Method is intended to be as specified in the American Petroleum Institute’s </w:t>
      </w:r>
      <w:r w:rsidRPr="00883399">
        <w:rPr>
          <w:rFonts w:ascii="Arial" w:hAnsi="Arial" w:cs="Arial"/>
          <w:i/>
          <w:sz w:val="22"/>
          <w:szCs w:val="22"/>
        </w:rPr>
        <w:t xml:space="preserve">Compendium of Greenhouse Gas Emissions Estimation Methodologies for the Oil and Natural Gas Industry 2009 </w:t>
      </w:r>
      <w:r w:rsidRPr="00883399">
        <w:rPr>
          <w:rFonts w:ascii="Arial" w:hAnsi="Arial" w:cs="Arial"/>
          <w:sz w:val="22"/>
          <w:szCs w:val="22"/>
        </w:rPr>
        <w:t>sections 5 and 6.1.2.   The option is also provided to refine the emission factors from information on the composition of the gases and from information on the leakage rates for specific pipeline materials for the industry.</w:t>
      </w:r>
    </w:p>
    <w:p w14:paraId="55F469AA" w14:textId="77777777" w:rsidR="00872C03" w:rsidRPr="00883399" w:rsidRDefault="00872C03" w:rsidP="00872C03">
      <w:pPr>
        <w:pStyle w:val="subsection"/>
        <w:rPr>
          <w:sz w:val="24"/>
        </w:rPr>
      </w:pPr>
      <w:r w:rsidRPr="00883399">
        <w:rPr>
          <w:sz w:val="24"/>
        </w:rPr>
        <w:tab/>
        <w:t>(1)</w:t>
      </w:r>
      <w:r w:rsidRPr="00883399">
        <w:rPr>
          <w:sz w:val="24"/>
        </w:rPr>
        <w:tab/>
        <w:t>Method 2 is:</w:t>
      </w:r>
    </w:p>
    <w:p w14:paraId="1C867DEB" w14:textId="6F7D35E8"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54539F25" wp14:editId="270D2BBB">
            <wp:extent cx="1476375" cy="2571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476375" cy="257175"/>
                    </a:xfrm>
                    <a:prstGeom prst="rect">
                      <a:avLst/>
                    </a:prstGeom>
                    <a:noFill/>
                    <a:ln>
                      <a:noFill/>
                    </a:ln>
                  </pic:spPr>
                </pic:pic>
              </a:graphicData>
            </a:graphic>
          </wp:inline>
        </w:drawing>
      </w:r>
    </w:p>
    <w:p w14:paraId="6E996E12" w14:textId="77777777" w:rsidR="00872C03" w:rsidRPr="00883399" w:rsidRDefault="00872C03" w:rsidP="00872C03">
      <w:pPr>
        <w:pStyle w:val="subsection2"/>
        <w:rPr>
          <w:sz w:val="24"/>
        </w:rPr>
      </w:pPr>
      <w:r w:rsidRPr="00883399">
        <w:rPr>
          <w:sz w:val="24"/>
        </w:rPr>
        <w:t>where:</w:t>
      </w:r>
    </w:p>
    <w:p w14:paraId="0F20903E" w14:textId="77777777" w:rsidR="00872C03" w:rsidRPr="00883399" w:rsidRDefault="00872C03" w:rsidP="00872C03">
      <w:pPr>
        <w:pStyle w:val="Definition0"/>
        <w:rPr>
          <w:sz w:val="24"/>
        </w:rPr>
      </w:pPr>
      <w:r w:rsidRPr="00883399">
        <w:rPr>
          <w:b/>
          <w:i/>
          <w:sz w:val="24"/>
        </w:rPr>
        <w:t>E</w:t>
      </w:r>
      <w:r w:rsidRPr="00883399">
        <w:rPr>
          <w:b/>
          <w:i/>
          <w:sz w:val="24"/>
          <w:vertAlign w:val="subscript"/>
        </w:rPr>
        <w:t>j</w:t>
      </w:r>
      <w:r w:rsidRPr="00883399">
        <w:rPr>
          <w:b/>
          <w:i/>
          <w:sz w:val="24"/>
        </w:rPr>
        <w:t xml:space="preserve"> </w:t>
      </w:r>
      <w:r w:rsidRPr="00883399">
        <w:rPr>
          <w:sz w:val="24"/>
        </w:rPr>
        <w:t>is the fugitive emissions of gas type (</w:t>
      </w:r>
      <w:r w:rsidRPr="00883399">
        <w:rPr>
          <w:b/>
          <w:i/>
          <w:sz w:val="24"/>
        </w:rPr>
        <w:t>j</w:t>
      </w:r>
      <w:r w:rsidRPr="00883399">
        <w:rPr>
          <w:sz w:val="24"/>
        </w:rPr>
        <w:t>) that result from the natural gas distribution during the year measured in CO</w:t>
      </w:r>
      <w:r w:rsidRPr="00883399">
        <w:rPr>
          <w:rStyle w:val="charSubscript"/>
          <w:iCs/>
          <w:sz w:val="22"/>
        </w:rPr>
        <w:t>2</w:t>
      </w:r>
      <w:r w:rsidRPr="00883399">
        <w:rPr>
          <w:sz w:val="24"/>
        </w:rPr>
        <w:noBreakHyphen/>
        <w:t>e tonnes.</w:t>
      </w:r>
    </w:p>
    <w:p w14:paraId="6F4A5CFB" w14:textId="77777777" w:rsidR="00872C03" w:rsidRPr="00883399" w:rsidRDefault="00872C03" w:rsidP="00872C03">
      <w:pPr>
        <w:pStyle w:val="Definition0"/>
        <w:rPr>
          <w:sz w:val="24"/>
        </w:rPr>
      </w:pPr>
      <w:r w:rsidRPr="00883399">
        <w:rPr>
          <w:b/>
          <w:i/>
          <w:sz w:val="24"/>
        </w:rPr>
        <w:t>Σ</w:t>
      </w:r>
      <w:r w:rsidRPr="00883399">
        <w:rPr>
          <w:b/>
          <w:i/>
          <w:sz w:val="24"/>
          <w:vertAlign w:val="subscript"/>
        </w:rPr>
        <w:t xml:space="preserve">k </w:t>
      </w:r>
      <w:r w:rsidRPr="00883399">
        <w:rPr>
          <w:sz w:val="24"/>
        </w:rPr>
        <w:t>is the total of emissions of gas type (</w:t>
      </w:r>
      <w:r w:rsidRPr="00883399">
        <w:rPr>
          <w:b/>
          <w:i/>
          <w:sz w:val="24"/>
        </w:rPr>
        <w:t>j</w:t>
      </w:r>
      <w:r w:rsidRPr="00883399">
        <w:rPr>
          <w:sz w:val="24"/>
        </w:rPr>
        <w:t>) measured in CO</w:t>
      </w:r>
      <w:r w:rsidRPr="00883399">
        <w:rPr>
          <w:rStyle w:val="charSubscript"/>
          <w:iCs/>
          <w:sz w:val="22"/>
        </w:rPr>
        <w:t>2</w:t>
      </w:r>
      <w:r w:rsidRPr="00883399">
        <w:rPr>
          <w:sz w:val="24"/>
        </w:rPr>
        <w:noBreakHyphen/>
        <w:t>e tonnes and estimated by summing up the emissions from each equipment type (</w:t>
      </w:r>
      <w:r w:rsidRPr="00883399">
        <w:rPr>
          <w:b/>
          <w:i/>
          <w:sz w:val="24"/>
        </w:rPr>
        <w:t>k</w:t>
      </w:r>
      <w:r w:rsidRPr="00883399">
        <w:rPr>
          <w:sz w:val="24"/>
        </w:rPr>
        <w:t xml:space="preserve">) </w:t>
      </w:r>
      <w:r w:rsidRPr="00883399">
        <w:rPr>
          <w:sz w:val="24"/>
        </w:rPr>
        <w:lastRenderedPageBreak/>
        <w:t>listed in sections 5 and 6.1.2 of the API Compendium, if the equipment is used in the natural gas distribution.</w:t>
      </w:r>
    </w:p>
    <w:p w14:paraId="12DE0DCF" w14:textId="77777777" w:rsidR="00872C03" w:rsidRPr="00883399" w:rsidRDefault="00872C03" w:rsidP="00872C03">
      <w:pPr>
        <w:pStyle w:val="Definition0"/>
        <w:rPr>
          <w:sz w:val="24"/>
        </w:rPr>
      </w:pPr>
      <w:r w:rsidRPr="00883399">
        <w:rPr>
          <w:b/>
          <w:i/>
          <w:sz w:val="24"/>
        </w:rPr>
        <w:t>Q</w:t>
      </w:r>
      <w:r w:rsidRPr="00883399">
        <w:rPr>
          <w:b/>
          <w:i/>
          <w:sz w:val="24"/>
          <w:vertAlign w:val="subscript"/>
        </w:rPr>
        <w:t xml:space="preserve">k </w:t>
      </w:r>
      <w:r w:rsidRPr="00883399">
        <w:rPr>
          <w:sz w:val="24"/>
        </w:rPr>
        <w:t>is the total of the quantities of natural gas measured in tonnes that pass through each equipment type (</w:t>
      </w:r>
      <w:r w:rsidRPr="00883399">
        <w:rPr>
          <w:b/>
          <w:i/>
          <w:sz w:val="24"/>
        </w:rPr>
        <w:t>k</w:t>
      </w:r>
      <w:r w:rsidRPr="00883399">
        <w:rPr>
          <w:sz w:val="24"/>
        </w:rPr>
        <w:t>) or the number of equipment units of type (</w:t>
      </w:r>
      <w:r w:rsidRPr="00883399">
        <w:rPr>
          <w:b/>
          <w:i/>
          <w:sz w:val="24"/>
        </w:rPr>
        <w:t>k</w:t>
      </w:r>
      <w:r w:rsidRPr="00883399">
        <w:rPr>
          <w:sz w:val="24"/>
        </w:rPr>
        <w:t>) listed in sections 5 and 6.1.2 of the API Compendium, if the equipment is used in the natural gas distribution.</w:t>
      </w:r>
    </w:p>
    <w:p w14:paraId="6BC48527" w14:textId="77777777" w:rsidR="00872C03" w:rsidRPr="00883399" w:rsidRDefault="00872C03" w:rsidP="00872C03">
      <w:pPr>
        <w:pStyle w:val="Definition0"/>
        <w:rPr>
          <w:sz w:val="24"/>
        </w:rPr>
      </w:pPr>
      <w:r w:rsidRPr="00883399">
        <w:rPr>
          <w:b/>
          <w:i/>
          <w:sz w:val="24"/>
        </w:rPr>
        <w:t>EF</w:t>
      </w:r>
      <w:r w:rsidRPr="00883399">
        <w:rPr>
          <w:b/>
          <w:i/>
          <w:sz w:val="24"/>
          <w:vertAlign w:val="subscript"/>
        </w:rPr>
        <w:t>jk</w:t>
      </w:r>
      <w:r w:rsidRPr="00883399">
        <w:rPr>
          <w:b/>
          <w:i/>
          <w:sz w:val="24"/>
        </w:rPr>
        <w:t xml:space="preserve"> </w:t>
      </w:r>
      <w:r w:rsidRPr="00883399">
        <w:rPr>
          <w:sz w:val="24"/>
        </w:rPr>
        <w:t>is the emission factor for gas type (</w:t>
      </w:r>
      <w:r w:rsidRPr="00883399">
        <w:rPr>
          <w:b/>
          <w:i/>
          <w:sz w:val="24"/>
        </w:rPr>
        <w:t>j</w:t>
      </w:r>
      <w:r w:rsidRPr="00883399">
        <w:rPr>
          <w:sz w:val="24"/>
        </w:rPr>
        <w:t>) measured in CO</w:t>
      </w:r>
      <w:r w:rsidRPr="00883399">
        <w:rPr>
          <w:rStyle w:val="charSubscript"/>
          <w:iCs/>
          <w:sz w:val="22"/>
        </w:rPr>
        <w:t>2</w:t>
      </w:r>
      <w:r w:rsidRPr="00883399">
        <w:rPr>
          <w:sz w:val="24"/>
        </w:rPr>
        <w:noBreakHyphen/>
        <w:t>e tonnes for each equipment type (</w:t>
      </w:r>
      <w:r w:rsidRPr="00883399">
        <w:rPr>
          <w:b/>
          <w:i/>
          <w:sz w:val="24"/>
        </w:rPr>
        <w:t>k</w:t>
      </w:r>
      <w:r w:rsidRPr="00883399">
        <w:rPr>
          <w:sz w:val="24"/>
        </w:rPr>
        <w:t>) listed in sections 5 and 6.1.2 of the API Compendium, if the equipment is used in the natural gas distribution.</w:t>
      </w:r>
    </w:p>
    <w:p w14:paraId="6D3529E4" w14:textId="77777777" w:rsidR="00872C03" w:rsidRPr="00883399" w:rsidRDefault="00872C03" w:rsidP="00872C03">
      <w:pPr>
        <w:pStyle w:val="subsection"/>
        <w:rPr>
          <w:sz w:val="24"/>
        </w:rPr>
      </w:pPr>
      <w:r w:rsidRPr="00883399">
        <w:rPr>
          <w:sz w:val="24"/>
        </w:rPr>
        <w:tab/>
        <w:t>(2)</w:t>
      </w:r>
      <w:r w:rsidRPr="00883399">
        <w:rPr>
          <w:sz w:val="24"/>
        </w:rPr>
        <w:tab/>
        <w:t xml:space="preserve">For </w:t>
      </w:r>
      <w:r w:rsidRPr="00883399">
        <w:rPr>
          <w:b/>
          <w:i/>
          <w:sz w:val="24"/>
        </w:rPr>
        <w:t>EF</w:t>
      </w:r>
      <w:r w:rsidRPr="00883399">
        <w:rPr>
          <w:b/>
          <w:i/>
          <w:sz w:val="24"/>
          <w:vertAlign w:val="subscript"/>
        </w:rPr>
        <w:t>jk</w:t>
      </w:r>
      <w:r w:rsidRPr="00883399">
        <w:rPr>
          <w:sz w:val="24"/>
        </w:rPr>
        <w:t>, the emission factors for gas type (</w:t>
      </w:r>
      <w:r w:rsidRPr="00883399">
        <w:rPr>
          <w:b/>
          <w:i/>
          <w:sz w:val="24"/>
        </w:rPr>
        <w:t>j</w:t>
      </w:r>
      <w:r w:rsidRPr="00883399">
        <w:rPr>
          <w:sz w:val="24"/>
        </w:rPr>
        <w:t>) as the natural gas passes through the equipment type (</w:t>
      </w:r>
      <w:r w:rsidRPr="00883399">
        <w:rPr>
          <w:b/>
          <w:i/>
          <w:sz w:val="24"/>
        </w:rPr>
        <w:t>k</w:t>
      </w:r>
      <w:r w:rsidRPr="00883399">
        <w:rPr>
          <w:sz w:val="24"/>
        </w:rPr>
        <w:t>) are:</w:t>
      </w:r>
    </w:p>
    <w:p w14:paraId="2B95126E" w14:textId="77777777" w:rsidR="00872C03" w:rsidRPr="00883399" w:rsidRDefault="00872C03" w:rsidP="00872C03">
      <w:pPr>
        <w:pStyle w:val="paragraph"/>
        <w:rPr>
          <w:sz w:val="24"/>
        </w:rPr>
      </w:pPr>
      <w:r w:rsidRPr="00883399">
        <w:rPr>
          <w:sz w:val="24"/>
        </w:rPr>
        <w:tab/>
        <w:t>(a)</w:t>
      </w:r>
      <w:r w:rsidRPr="00883399">
        <w:rPr>
          <w:sz w:val="24"/>
        </w:rPr>
        <w:tab/>
        <w:t>as listed in sections 5 and 6.1.2 of the API Compendium; or</w:t>
      </w:r>
    </w:p>
    <w:p w14:paraId="10F0D085" w14:textId="77777777" w:rsidR="00872C03" w:rsidRPr="00883399" w:rsidRDefault="00872C03" w:rsidP="00872C03">
      <w:pPr>
        <w:pStyle w:val="paragraph"/>
        <w:rPr>
          <w:sz w:val="24"/>
        </w:rPr>
      </w:pPr>
      <w:r w:rsidRPr="00883399">
        <w:rPr>
          <w:sz w:val="24"/>
        </w:rPr>
        <w:tab/>
        <w:t>(b)</w:t>
      </w:r>
      <w:r w:rsidRPr="00883399">
        <w:rPr>
          <w:sz w:val="24"/>
        </w:rPr>
        <w:tab/>
        <w:t>as listed in that Compendium for the equipment type with emission factors adjusted for variations in estimated gas composition, in accordance with that Compendium’s Sections 5 and 6.1.2, and the requirements of Division 2.3.3; or</w:t>
      </w:r>
    </w:p>
    <w:p w14:paraId="017C2788" w14:textId="77777777" w:rsidR="00872C03" w:rsidRPr="00883399" w:rsidRDefault="00872C03" w:rsidP="00872C03">
      <w:pPr>
        <w:pStyle w:val="paragraph"/>
        <w:rPr>
          <w:sz w:val="24"/>
        </w:rPr>
      </w:pPr>
      <w:r w:rsidRPr="00883399">
        <w:rPr>
          <w:sz w:val="24"/>
        </w:rPr>
        <w:tab/>
        <w:t>(c)</w:t>
      </w:r>
      <w:r w:rsidRPr="00883399">
        <w:rPr>
          <w:sz w:val="24"/>
        </w:rPr>
        <w:tab/>
        <w:t>as listed in that Compendium for the equipment type with emission factors adjusted for variations in the type of equipment material using adjusted factors; or</w:t>
      </w:r>
    </w:p>
    <w:p w14:paraId="13053C23" w14:textId="77777777" w:rsidR="00872C03" w:rsidRPr="00883399" w:rsidRDefault="00872C03" w:rsidP="00872C03">
      <w:pPr>
        <w:pStyle w:val="paragraph"/>
        <w:rPr>
          <w:sz w:val="24"/>
        </w:rPr>
      </w:pPr>
      <w:r w:rsidRPr="00883399">
        <w:rPr>
          <w:sz w:val="24"/>
        </w:rPr>
        <w:tab/>
        <w:t>(d)</w:t>
      </w:r>
      <w:r w:rsidRPr="00883399">
        <w:rPr>
          <w:sz w:val="24"/>
        </w:rPr>
        <w:tab/>
        <w:t>if the manufacturer of the equipment supplies equipment</w:t>
      </w:r>
      <w:r w:rsidRPr="00883399">
        <w:rPr>
          <w:sz w:val="24"/>
        </w:rPr>
        <w:noBreakHyphen/>
        <w:t>specific emission factors for the equipment type—those factors.</w:t>
      </w:r>
    </w:p>
    <w:p w14:paraId="4AE0D93E" w14:textId="77777777" w:rsidR="00872C03" w:rsidRPr="00883399" w:rsidRDefault="00872C03" w:rsidP="00872C03">
      <w:pPr>
        <w:pStyle w:val="subsection"/>
        <w:rPr>
          <w:sz w:val="24"/>
        </w:rPr>
      </w:pPr>
      <w:r w:rsidRPr="00883399">
        <w:rPr>
          <w:sz w:val="24"/>
        </w:rPr>
        <w:tab/>
        <w:t>(3)</w:t>
      </w:r>
      <w:r w:rsidRPr="00883399">
        <w:rPr>
          <w:sz w:val="24"/>
        </w:rPr>
        <w:tab/>
        <w:t xml:space="preserve">In paragraph 3.81(2)(c), a reference to </w:t>
      </w:r>
      <w:r w:rsidRPr="00883399">
        <w:rPr>
          <w:b/>
          <w:i/>
          <w:sz w:val="24"/>
        </w:rPr>
        <w:t>factors adjusted</w:t>
      </w:r>
      <w:r w:rsidRPr="00883399">
        <w:rPr>
          <w:sz w:val="24"/>
        </w:rPr>
        <w:t xml:space="preserve"> is a reference to the factors in Table 5</w:t>
      </w:r>
      <w:r w:rsidRPr="00883399">
        <w:rPr>
          <w:sz w:val="24"/>
        </w:rPr>
        <w:noBreakHyphen/>
        <w:t xml:space="preserve">3 of the publication entitled </w:t>
      </w:r>
      <w:r w:rsidRPr="00883399">
        <w:rPr>
          <w:i/>
          <w:sz w:val="24"/>
        </w:rPr>
        <w:t>Greenhouse Gas Emission Estimation Methodologies, Procedures and Guidelines for the Natural Gas Distribution Sector</w:t>
      </w:r>
      <w:r w:rsidRPr="00883399">
        <w:rPr>
          <w:sz w:val="24"/>
        </w:rPr>
        <w:t>, American Gas Association, April 2008, that are adjusted for variations in estimated gas composition in accordance with:</w:t>
      </w:r>
    </w:p>
    <w:p w14:paraId="2EFAEC4A" w14:textId="77777777" w:rsidR="00872C03" w:rsidRPr="00883399" w:rsidRDefault="00872C03" w:rsidP="00872C03">
      <w:pPr>
        <w:pStyle w:val="paragraph"/>
        <w:rPr>
          <w:sz w:val="24"/>
        </w:rPr>
      </w:pPr>
      <w:r w:rsidRPr="00883399">
        <w:rPr>
          <w:sz w:val="24"/>
        </w:rPr>
        <w:tab/>
        <w:t>(a)</w:t>
      </w:r>
      <w:r w:rsidRPr="00883399">
        <w:rPr>
          <w:sz w:val="24"/>
        </w:rPr>
        <w:tab/>
        <w:t>section 5.2.1 of that publication; and</w:t>
      </w:r>
    </w:p>
    <w:p w14:paraId="6B479D0F" w14:textId="77777777" w:rsidR="00872C03" w:rsidRPr="00883399" w:rsidRDefault="00872C03" w:rsidP="00872C03">
      <w:pPr>
        <w:pStyle w:val="paragraph"/>
        <w:rPr>
          <w:sz w:val="24"/>
        </w:rPr>
      </w:pPr>
      <w:r w:rsidRPr="00883399">
        <w:rPr>
          <w:sz w:val="24"/>
        </w:rPr>
        <w:tab/>
        <w:t>(b)</w:t>
      </w:r>
      <w:r w:rsidRPr="00883399">
        <w:rPr>
          <w:sz w:val="24"/>
        </w:rPr>
        <w:tab/>
        <w:t>Division 2.3.3.</w:t>
      </w:r>
    </w:p>
    <w:p w14:paraId="356141E9" w14:textId="77777777" w:rsidR="00872C03" w:rsidRPr="00883399" w:rsidRDefault="00872C03" w:rsidP="00872C03">
      <w:pPr>
        <w:spacing w:before="240" w:line="312" w:lineRule="auto"/>
        <w:rPr>
          <w:rFonts w:ascii="Arial" w:hAnsi="Arial" w:cs="Arial"/>
          <w:sz w:val="22"/>
          <w:szCs w:val="22"/>
        </w:rPr>
      </w:pPr>
      <w:r w:rsidRPr="00883399">
        <w:rPr>
          <w:rFonts w:ascii="Arial" w:hAnsi="Arial" w:cs="Arial"/>
          <w:sz w:val="22"/>
          <w:szCs w:val="22"/>
        </w:rPr>
        <w:t>Note that 3.81 (2) (c) allows adjustment of emission factors for variations in the type of material from which the equipment is made. This adjustment is made using Table 5-3 and section 5.2.1 of the publication entitled Greenhouse Gas Emission Estimation Methodologies, Procedures and Guidelines for the Natural Gas Distribution Sector, American Gas Association, April 2008. Table 5-3 includes the emission factors for equipment made from different materials, for example, cast iron pipelines or plastic pipelines. Section 5.2.1 provides a description of how to apply the information in Table 5-3.</w:t>
      </w:r>
    </w:p>
    <w:p w14:paraId="6F2A4C0D" w14:textId="77777777" w:rsidR="00872C03" w:rsidRPr="00883399" w:rsidRDefault="00872C03" w:rsidP="00872C03">
      <w:pPr>
        <w:spacing w:before="240" w:line="312" w:lineRule="auto"/>
      </w:pPr>
      <w:r w:rsidRPr="00883399">
        <w:rPr>
          <w:rFonts w:ascii="Arial" w:hAnsi="Arial" w:cs="Arial"/>
          <w:sz w:val="22"/>
          <w:szCs w:val="22"/>
        </w:rPr>
        <w:lastRenderedPageBreak/>
        <w:t xml:space="preserve">The publication entitled Greenhouse Gas Emission Estimation Methodologies, Procedures and Guidelines for the Natural Gas Distribution Sector, American Gas Association, April 2008, is available from: </w:t>
      </w:r>
      <w:hyperlink r:id="rId169" w:history="1">
        <w:r w:rsidRPr="00883399">
          <w:rPr>
            <w:rStyle w:val="Hyperlink"/>
            <w:rFonts w:ascii="Arial" w:hAnsi="Arial" w:cs="Arial"/>
            <w:color w:val="auto"/>
            <w:sz w:val="22"/>
            <w:szCs w:val="22"/>
          </w:rPr>
          <w:t>http://www.aga.org/legislative/legislative+advocacy/environmentalinformation/publicenviro/2008/aga+greenhouse+gas+emission+estimation+guidelines+for+the+natural+gas+distribution+sector.htm</w:t>
        </w:r>
      </w:hyperlink>
    </w:p>
    <w:p w14:paraId="44B488B5" w14:textId="77777777" w:rsidR="00C335B2" w:rsidRPr="00883399" w:rsidRDefault="00C335B2" w:rsidP="00872C03">
      <w:pPr>
        <w:spacing w:before="240" w:line="312" w:lineRule="auto"/>
      </w:pPr>
    </w:p>
    <w:p w14:paraId="5CED5681" w14:textId="6CCDE71A" w:rsidR="00872C03" w:rsidRPr="00883399" w:rsidRDefault="00C335B2" w:rsidP="00C335B2">
      <w:pPr>
        <w:pStyle w:val="ActHead3"/>
        <w:pageBreakBefore/>
        <w:rPr>
          <w:rStyle w:val="CharDivNo"/>
          <w:sz w:val="32"/>
        </w:rPr>
      </w:pPr>
      <w:bookmarkStart w:id="721" w:name="_Toc423516973"/>
      <w:bookmarkStart w:id="722" w:name="_Toc495652890"/>
      <w:r w:rsidRPr="00883399">
        <w:rPr>
          <w:rStyle w:val="CharDivNo"/>
          <w:sz w:val="32"/>
        </w:rPr>
        <w:lastRenderedPageBreak/>
        <w:t>D</w:t>
      </w:r>
      <w:r w:rsidR="00872C03" w:rsidRPr="00883399">
        <w:rPr>
          <w:rStyle w:val="CharDivNo"/>
          <w:sz w:val="32"/>
        </w:rPr>
        <w:t>ivision 3.3.9—Natural gas production or processing (emissions that are vented or flared)</w:t>
      </w:r>
      <w:bookmarkEnd w:id="721"/>
      <w:bookmarkEnd w:id="722"/>
    </w:p>
    <w:p w14:paraId="181C6909" w14:textId="35983585" w:rsidR="00872C03" w:rsidRPr="00883399" w:rsidRDefault="00872C03" w:rsidP="00872C03">
      <w:pPr>
        <w:pStyle w:val="ActHead5"/>
        <w:rPr>
          <w:sz w:val="28"/>
        </w:rPr>
      </w:pPr>
      <w:bookmarkStart w:id="723" w:name="_Toc423516974"/>
      <w:bookmarkStart w:id="724" w:name="_Toc495652891"/>
      <w:r w:rsidRPr="00883399">
        <w:rPr>
          <w:rStyle w:val="CharSectno"/>
          <w:sz w:val="28"/>
        </w:rPr>
        <w:t>3.82</w:t>
      </w:r>
      <w:r w:rsidRPr="00883399">
        <w:rPr>
          <w:sz w:val="28"/>
        </w:rPr>
        <w:t xml:space="preserve">  Application</w:t>
      </w:r>
      <w:bookmarkEnd w:id="723"/>
      <w:bookmarkEnd w:id="724"/>
    </w:p>
    <w:p w14:paraId="14F62D67" w14:textId="77777777" w:rsidR="00872C03" w:rsidRPr="00883399" w:rsidRDefault="00872C03" w:rsidP="00872C03">
      <w:pPr>
        <w:pStyle w:val="subsection"/>
        <w:rPr>
          <w:sz w:val="24"/>
        </w:rPr>
      </w:pPr>
      <w:r w:rsidRPr="00883399">
        <w:rPr>
          <w:sz w:val="24"/>
        </w:rPr>
        <w:tab/>
      </w:r>
      <w:r w:rsidRPr="00883399">
        <w:rPr>
          <w:sz w:val="24"/>
        </w:rPr>
        <w:tab/>
        <w:t>This Division applies to fugitive emissions from venting or flaring from natural gas production or processing activities, including emissions from:</w:t>
      </w:r>
    </w:p>
    <w:p w14:paraId="4338858F" w14:textId="77777777" w:rsidR="00872C03" w:rsidRPr="00883399" w:rsidRDefault="00872C03" w:rsidP="00872C03">
      <w:pPr>
        <w:pStyle w:val="paragraph"/>
        <w:rPr>
          <w:sz w:val="24"/>
        </w:rPr>
      </w:pPr>
      <w:r w:rsidRPr="00883399">
        <w:rPr>
          <w:sz w:val="24"/>
        </w:rPr>
        <w:tab/>
        <w:t xml:space="preserve">(a) </w:t>
      </w:r>
      <w:r w:rsidRPr="00883399">
        <w:rPr>
          <w:sz w:val="24"/>
        </w:rPr>
        <w:tab/>
        <w:t>the venting of natural gas; and</w:t>
      </w:r>
    </w:p>
    <w:p w14:paraId="6A68A12E" w14:textId="77777777" w:rsidR="00872C03" w:rsidRPr="00883399" w:rsidRDefault="00872C03" w:rsidP="00872C03">
      <w:pPr>
        <w:pStyle w:val="paragraph"/>
        <w:rPr>
          <w:sz w:val="24"/>
        </w:rPr>
      </w:pPr>
      <w:r w:rsidRPr="00883399">
        <w:rPr>
          <w:sz w:val="24"/>
        </w:rPr>
        <w:tab/>
        <w:t>(b)</w:t>
      </w:r>
      <w:r w:rsidRPr="00883399">
        <w:rPr>
          <w:sz w:val="24"/>
        </w:rPr>
        <w:tab/>
        <w:t>the venting of waste gas and vapour streams at facilities that are constituted by natural gas production or processing; and</w:t>
      </w:r>
    </w:p>
    <w:p w14:paraId="4AFC4092" w14:textId="77777777" w:rsidR="00872C03" w:rsidRPr="00883399" w:rsidRDefault="00872C03" w:rsidP="00872C03">
      <w:pPr>
        <w:pStyle w:val="paragraph"/>
        <w:rPr>
          <w:sz w:val="24"/>
        </w:rPr>
      </w:pPr>
      <w:r w:rsidRPr="00883399">
        <w:rPr>
          <w:sz w:val="24"/>
        </w:rPr>
        <w:tab/>
        <w:t>(c)</w:t>
      </w:r>
      <w:r w:rsidRPr="00883399">
        <w:rPr>
          <w:sz w:val="24"/>
        </w:rPr>
        <w:tab/>
        <w:t>the flaring of natural gas, waste gas and waste vapour streams at those facilities.</w:t>
      </w:r>
    </w:p>
    <w:p w14:paraId="4A45F93B"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Note that in this part the definition of natural gas is as follows:</w:t>
      </w:r>
    </w:p>
    <w:p w14:paraId="79771E41" w14:textId="77777777" w:rsidR="00872C03" w:rsidRPr="00883399" w:rsidRDefault="00872C03" w:rsidP="00C335B2">
      <w:pPr>
        <w:ind w:left="720"/>
      </w:pPr>
      <w:r w:rsidRPr="00883399">
        <w:rPr>
          <w:b/>
          <w:bCs/>
          <w:i/>
          <w:iCs/>
        </w:rPr>
        <w:t xml:space="preserve">natural gas </w:t>
      </w:r>
      <w:r w:rsidRPr="00883399">
        <w:t>includes coal seam methane that is captured for combustion where the production of coal is not intended to occur</w:t>
      </w:r>
    </w:p>
    <w:p w14:paraId="69D08AF0" w14:textId="032E69DA" w:rsidR="00872C03" w:rsidRPr="00883399" w:rsidRDefault="00872C03" w:rsidP="00872C03">
      <w:pPr>
        <w:pStyle w:val="ActHead5"/>
        <w:rPr>
          <w:sz w:val="28"/>
        </w:rPr>
      </w:pPr>
      <w:bookmarkStart w:id="725" w:name="_Toc423516975"/>
      <w:bookmarkStart w:id="726" w:name="_Toc495652892"/>
      <w:r w:rsidRPr="00883399">
        <w:rPr>
          <w:rStyle w:val="CharSectno"/>
          <w:sz w:val="28"/>
        </w:rPr>
        <w:t>3.83</w:t>
      </w:r>
      <w:r w:rsidRPr="00883399">
        <w:rPr>
          <w:sz w:val="28"/>
        </w:rPr>
        <w:t xml:space="preserve">  Available methods</w:t>
      </w:r>
      <w:bookmarkEnd w:id="725"/>
      <w:bookmarkEnd w:id="726"/>
    </w:p>
    <w:p w14:paraId="006F059D" w14:textId="77777777" w:rsidR="00872C03" w:rsidRPr="00883399" w:rsidRDefault="00872C03" w:rsidP="00872C03">
      <w:pPr>
        <w:pStyle w:val="subsection"/>
        <w:rPr>
          <w:sz w:val="24"/>
        </w:rPr>
      </w:pPr>
      <w:r w:rsidRPr="00883399">
        <w:rPr>
          <w:sz w:val="24"/>
        </w:rPr>
        <w:tab/>
        <w:t>(1)</w:t>
      </w:r>
      <w:r w:rsidRPr="00883399">
        <w:rPr>
          <w:sz w:val="24"/>
        </w:rPr>
        <w:tab/>
        <w:t>Subject to section 1.18, for estimating emissions (emissions that are vented or flared) released during a year from the operation of a facility that is constituted by natural gas production and processing the methods as set out in this section must be used.</w:t>
      </w:r>
    </w:p>
    <w:p w14:paraId="3E370524" w14:textId="77777777" w:rsidR="00872C03" w:rsidRPr="00883399" w:rsidRDefault="00872C03" w:rsidP="00872C03">
      <w:pPr>
        <w:pStyle w:val="subsection"/>
        <w:rPr>
          <w:sz w:val="24"/>
        </w:rPr>
      </w:pPr>
      <w:r w:rsidRPr="00883399">
        <w:rPr>
          <w:sz w:val="24"/>
        </w:rPr>
        <w:tab/>
        <w:t>(2)</w:t>
      </w:r>
      <w:r w:rsidRPr="00883399">
        <w:rPr>
          <w:sz w:val="24"/>
        </w:rPr>
        <w:tab/>
        <w:t>One of the following methods must be used for estimating fugitive emissions that result from deliberate releases from process vents, system upsets and accidents:</w:t>
      </w:r>
    </w:p>
    <w:p w14:paraId="5FCD1D41" w14:textId="77777777" w:rsidR="00872C03" w:rsidRPr="00883399" w:rsidRDefault="00872C03" w:rsidP="00872C03">
      <w:pPr>
        <w:pStyle w:val="paragraphsub"/>
        <w:rPr>
          <w:sz w:val="24"/>
        </w:rPr>
      </w:pPr>
      <w:r w:rsidRPr="00883399">
        <w:rPr>
          <w:sz w:val="24"/>
        </w:rPr>
        <w:tab/>
        <w:t>(i)</w:t>
      </w:r>
      <w:r w:rsidRPr="00883399">
        <w:rPr>
          <w:sz w:val="24"/>
        </w:rPr>
        <w:tab/>
        <w:t>method 1 under section 3.84; and</w:t>
      </w:r>
    </w:p>
    <w:p w14:paraId="5AE8307C" w14:textId="77777777" w:rsidR="00872C03" w:rsidRPr="00883399" w:rsidRDefault="00872C03" w:rsidP="00872C03">
      <w:pPr>
        <w:pStyle w:val="paragraphsub"/>
        <w:rPr>
          <w:sz w:val="24"/>
        </w:rPr>
      </w:pPr>
      <w:r w:rsidRPr="00883399">
        <w:rPr>
          <w:sz w:val="24"/>
        </w:rPr>
        <w:tab/>
        <w:t>(ii)</w:t>
      </w:r>
      <w:r w:rsidRPr="00883399">
        <w:rPr>
          <w:sz w:val="24"/>
        </w:rPr>
        <w:tab/>
        <w:t>method 4 under Part 1.3.</w:t>
      </w:r>
    </w:p>
    <w:p w14:paraId="1898F824" w14:textId="77777777" w:rsidR="00872C03" w:rsidRPr="00883399" w:rsidRDefault="00872C03" w:rsidP="00872C03">
      <w:pPr>
        <w:pStyle w:val="notetext"/>
        <w:rPr>
          <w:sz w:val="20"/>
        </w:rPr>
      </w:pPr>
      <w:r w:rsidRPr="00883399">
        <w:rPr>
          <w:sz w:val="20"/>
        </w:rPr>
        <w:t>Note:</w:t>
      </w:r>
      <w:r w:rsidRPr="00883399">
        <w:rPr>
          <w:sz w:val="20"/>
        </w:rPr>
        <w:tab/>
        <w:t>There is no method 2 or 3 for subsection (2).</w:t>
      </w:r>
    </w:p>
    <w:p w14:paraId="3F74308E" w14:textId="77777777" w:rsidR="00872C03" w:rsidRPr="00883399" w:rsidRDefault="00872C03" w:rsidP="00872C03">
      <w:pPr>
        <w:pStyle w:val="subsection"/>
        <w:rPr>
          <w:sz w:val="24"/>
        </w:rPr>
      </w:pPr>
      <w:r w:rsidRPr="00883399">
        <w:rPr>
          <w:sz w:val="24"/>
        </w:rPr>
        <w:tab/>
        <w:t>(3)</w:t>
      </w:r>
      <w:r w:rsidRPr="00883399">
        <w:rPr>
          <w:sz w:val="24"/>
        </w:rPr>
        <w:tab/>
        <w:t>For estimating emissions released from gas flared from natural gas production and processing:</w:t>
      </w:r>
    </w:p>
    <w:p w14:paraId="67778941" w14:textId="77777777" w:rsidR="00872C03" w:rsidRPr="00883399" w:rsidRDefault="00872C03" w:rsidP="00872C03">
      <w:pPr>
        <w:pStyle w:val="paragraph"/>
        <w:rPr>
          <w:sz w:val="24"/>
        </w:rPr>
      </w:pPr>
      <w:r w:rsidRPr="00883399">
        <w:rPr>
          <w:sz w:val="24"/>
        </w:rPr>
        <w:tab/>
        <w:t>(a)</w:t>
      </w:r>
      <w:r w:rsidRPr="00883399">
        <w:rPr>
          <w:sz w:val="24"/>
        </w:rPr>
        <w:tab/>
        <w:t>one of the following methods must be used for estimating emissions of carbon dioxide released:</w:t>
      </w:r>
    </w:p>
    <w:p w14:paraId="6FD9825D" w14:textId="77777777" w:rsidR="00872C03" w:rsidRPr="00883399" w:rsidRDefault="00872C03" w:rsidP="00872C03">
      <w:pPr>
        <w:pStyle w:val="paragraphsub"/>
        <w:rPr>
          <w:sz w:val="24"/>
        </w:rPr>
      </w:pPr>
      <w:r w:rsidRPr="00883399">
        <w:rPr>
          <w:sz w:val="24"/>
        </w:rPr>
        <w:tab/>
        <w:t>(i)</w:t>
      </w:r>
      <w:r w:rsidRPr="00883399">
        <w:rPr>
          <w:sz w:val="24"/>
        </w:rPr>
        <w:tab/>
        <w:t>method 1 under section 3.85;</w:t>
      </w:r>
    </w:p>
    <w:p w14:paraId="066B1E61" w14:textId="77777777" w:rsidR="00872C03" w:rsidRPr="00883399" w:rsidRDefault="00872C03" w:rsidP="00872C03">
      <w:pPr>
        <w:pStyle w:val="paragraphsub"/>
        <w:rPr>
          <w:sz w:val="24"/>
        </w:rPr>
      </w:pPr>
      <w:r w:rsidRPr="00883399">
        <w:rPr>
          <w:sz w:val="24"/>
        </w:rPr>
        <w:tab/>
        <w:t>(ii)</w:t>
      </w:r>
      <w:r w:rsidRPr="00883399">
        <w:rPr>
          <w:sz w:val="24"/>
        </w:rPr>
        <w:tab/>
        <w:t>method 2 under section 3.86;</w:t>
      </w:r>
    </w:p>
    <w:p w14:paraId="567914A0" w14:textId="77777777" w:rsidR="00872C03" w:rsidRPr="00883399" w:rsidRDefault="00872C03" w:rsidP="00872C03">
      <w:pPr>
        <w:pStyle w:val="paragraphsub"/>
        <w:rPr>
          <w:sz w:val="24"/>
        </w:rPr>
      </w:pPr>
      <w:r w:rsidRPr="00883399">
        <w:rPr>
          <w:sz w:val="24"/>
        </w:rPr>
        <w:tab/>
        <w:t>(iii)</w:t>
      </w:r>
      <w:r w:rsidRPr="00883399">
        <w:rPr>
          <w:sz w:val="24"/>
        </w:rPr>
        <w:tab/>
        <w:t>method 3 under section 3.87; and</w:t>
      </w:r>
    </w:p>
    <w:p w14:paraId="7E193076" w14:textId="77777777" w:rsidR="00872C03" w:rsidRPr="00883399" w:rsidRDefault="00872C03" w:rsidP="00872C03">
      <w:pPr>
        <w:pStyle w:val="paragraph"/>
        <w:rPr>
          <w:sz w:val="24"/>
        </w:rPr>
      </w:pPr>
      <w:r w:rsidRPr="00883399">
        <w:rPr>
          <w:sz w:val="24"/>
        </w:rPr>
        <w:tab/>
        <w:t>(b)</w:t>
      </w:r>
      <w:r w:rsidRPr="00883399">
        <w:rPr>
          <w:sz w:val="24"/>
        </w:rPr>
        <w:tab/>
        <w:t>if estimating emissions of methane released—one of the following methods must be used:</w:t>
      </w:r>
    </w:p>
    <w:p w14:paraId="2765261D" w14:textId="77777777" w:rsidR="00872C03" w:rsidRPr="00883399" w:rsidRDefault="00872C03" w:rsidP="00872C03">
      <w:pPr>
        <w:pStyle w:val="paragraphsub"/>
        <w:rPr>
          <w:sz w:val="24"/>
        </w:rPr>
      </w:pPr>
      <w:r w:rsidRPr="00883399">
        <w:rPr>
          <w:sz w:val="24"/>
        </w:rPr>
        <w:tab/>
        <w:t>(i)</w:t>
      </w:r>
      <w:r w:rsidRPr="00883399">
        <w:rPr>
          <w:sz w:val="24"/>
        </w:rPr>
        <w:tab/>
        <w:t>method 1 under section 3.85;</w:t>
      </w:r>
    </w:p>
    <w:p w14:paraId="6E73FB20" w14:textId="77777777" w:rsidR="00872C03" w:rsidRPr="00883399" w:rsidRDefault="00872C03" w:rsidP="00872C03">
      <w:pPr>
        <w:pStyle w:val="paragraphsub"/>
        <w:rPr>
          <w:sz w:val="24"/>
        </w:rPr>
      </w:pPr>
      <w:r w:rsidRPr="00883399">
        <w:rPr>
          <w:sz w:val="24"/>
        </w:rPr>
        <w:lastRenderedPageBreak/>
        <w:tab/>
        <w:t>(ii)</w:t>
      </w:r>
      <w:r w:rsidRPr="00883399">
        <w:rPr>
          <w:sz w:val="24"/>
        </w:rPr>
        <w:tab/>
        <w:t>method 2A under section 3.86A; and</w:t>
      </w:r>
    </w:p>
    <w:p w14:paraId="7275FD99" w14:textId="77777777" w:rsidR="00872C03" w:rsidRPr="00883399" w:rsidRDefault="00872C03" w:rsidP="00872C03">
      <w:pPr>
        <w:pStyle w:val="paragraph"/>
        <w:rPr>
          <w:sz w:val="24"/>
        </w:rPr>
      </w:pPr>
      <w:r w:rsidRPr="00883399">
        <w:rPr>
          <w:sz w:val="24"/>
        </w:rPr>
        <w:tab/>
        <w:t>(c)</w:t>
      </w:r>
      <w:r w:rsidRPr="00883399">
        <w:rPr>
          <w:sz w:val="24"/>
        </w:rPr>
        <w:tab/>
        <w:t>if estimating emissions of nitrous oxide released—one of the following methods must be used:</w:t>
      </w:r>
    </w:p>
    <w:p w14:paraId="338EC3E7" w14:textId="77777777" w:rsidR="00872C03" w:rsidRPr="00883399" w:rsidRDefault="00872C03" w:rsidP="00872C03">
      <w:pPr>
        <w:pStyle w:val="paragraphsub"/>
        <w:rPr>
          <w:sz w:val="24"/>
        </w:rPr>
      </w:pPr>
      <w:r w:rsidRPr="00883399">
        <w:rPr>
          <w:sz w:val="24"/>
        </w:rPr>
        <w:tab/>
        <w:t>(i)</w:t>
      </w:r>
      <w:r w:rsidRPr="00883399">
        <w:rPr>
          <w:sz w:val="24"/>
        </w:rPr>
        <w:tab/>
        <w:t>method 1 under section 3.85;</w:t>
      </w:r>
    </w:p>
    <w:p w14:paraId="06FE4F5C" w14:textId="77777777" w:rsidR="00872C03" w:rsidRPr="00883399" w:rsidRDefault="00872C03" w:rsidP="00872C03">
      <w:pPr>
        <w:pStyle w:val="paragraphsub"/>
        <w:rPr>
          <w:sz w:val="24"/>
        </w:rPr>
      </w:pPr>
      <w:r w:rsidRPr="00883399">
        <w:rPr>
          <w:sz w:val="24"/>
        </w:rPr>
        <w:tab/>
        <w:t>(ii)</w:t>
      </w:r>
      <w:r w:rsidRPr="00883399">
        <w:rPr>
          <w:sz w:val="24"/>
        </w:rPr>
        <w:tab/>
        <w:t>method 2A under section 3.86A.</w:t>
      </w:r>
    </w:p>
    <w:p w14:paraId="6537391D" w14:textId="77777777" w:rsidR="00872C03" w:rsidRPr="00883399" w:rsidRDefault="00872C03" w:rsidP="00872C03">
      <w:pPr>
        <w:pStyle w:val="notetext"/>
        <w:rPr>
          <w:sz w:val="20"/>
        </w:rPr>
      </w:pPr>
      <w:r w:rsidRPr="00883399">
        <w:rPr>
          <w:sz w:val="20"/>
        </w:rPr>
        <w:t>Note:</w:t>
      </w:r>
      <w:r w:rsidRPr="00883399">
        <w:rPr>
          <w:sz w:val="20"/>
        </w:rPr>
        <w:tab/>
        <w:t>The flaring of gas from natural gas production and processing releases emissions of carbon dioxide, methane and nitrous oxide. The reference to gas type (</w:t>
      </w:r>
      <w:r w:rsidRPr="00883399">
        <w:rPr>
          <w:b/>
          <w:i/>
          <w:sz w:val="20"/>
        </w:rPr>
        <w:t>j</w:t>
      </w:r>
      <w:r w:rsidRPr="00883399">
        <w:rPr>
          <w:sz w:val="20"/>
        </w:rPr>
        <w:t>) in method 1 in section 3.85 is a reference to these gases. The same formula is used to estimate emissions of each of these gases. There is no method 4 for emissions of carbon dioxide and no method 2, 3 or 4 for emissions of nitrous oxide or methane.</w:t>
      </w:r>
    </w:p>
    <w:p w14:paraId="1296EC53" w14:textId="77777777" w:rsidR="00872C03" w:rsidRPr="00883399" w:rsidRDefault="00872C03" w:rsidP="00872C03">
      <w:pPr>
        <w:pStyle w:val="subsection"/>
        <w:rPr>
          <w:sz w:val="24"/>
        </w:rPr>
      </w:pPr>
      <w:r w:rsidRPr="00883399">
        <w:rPr>
          <w:sz w:val="24"/>
        </w:rPr>
        <w:tab/>
        <w:t>(4)</w:t>
      </w:r>
      <w:r w:rsidRPr="00883399">
        <w:rPr>
          <w:sz w:val="24"/>
        </w:rPr>
        <w:tab/>
        <w:t>However, for incidental emissions another method may be used that is consistent with the principles in section 1.13.</w:t>
      </w:r>
    </w:p>
    <w:p w14:paraId="42F4D703" w14:textId="77777777" w:rsidR="00872C03" w:rsidRPr="00883399" w:rsidRDefault="00872C03" w:rsidP="00872C03">
      <w:pPr>
        <w:pStyle w:val="R2"/>
        <w:ind w:left="965" w:hanging="58"/>
        <w:rPr>
          <w:b/>
        </w:rPr>
      </w:pPr>
      <w:r w:rsidRPr="00883399">
        <w:rPr>
          <w:b/>
        </w:rPr>
        <w:t>Summary of available methods, for estimating emissions from natural gas production and processing (emissions that are vented or flared), by emissions of gas type (j)</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1749"/>
        <w:gridCol w:w="1635"/>
        <w:gridCol w:w="1534"/>
      </w:tblGrid>
      <w:tr w:rsidR="00872C03" w:rsidRPr="00883399" w14:paraId="08C72AD2" w14:textId="77777777" w:rsidTr="0031057E">
        <w:tc>
          <w:tcPr>
            <w:tcW w:w="2400" w:type="dxa"/>
            <w:shd w:val="clear" w:color="auto" w:fill="E6E6E6"/>
          </w:tcPr>
          <w:p w14:paraId="45E96408" w14:textId="77777777" w:rsidR="00872C03" w:rsidRPr="00883399" w:rsidRDefault="00872C03" w:rsidP="0031057E">
            <w:pPr>
              <w:pStyle w:val="Text"/>
            </w:pPr>
          </w:p>
        </w:tc>
        <w:tc>
          <w:tcPr>
            <w:tcW w:w="1800" w:type="dxa"/>
            <w:shd w:val="clear" w:color="auto" w:fill="E6E6E6"/>
          </w:tcPr>
          <w:p w14:paraId="25AF6DDC" w14:textId="77777777" w:rsidR="00872C03" w:rsidRPr="00883399" w:rsidRDefault="00872C03" w:rsidP="0031057E">
            <w:pPr>
              <w:pStyle w:val="Text"/>
            </w:pPr>
            <w:r w:rsidRPr="00883399">
              <w:t>CO</w:t>
            </w:r>
            <w:r w:rsidRPr="00883399">
              <w:rPr>
                <w:vertAlign w:val="subscript"/>
              </w:rPr>
              <w:t>2</w:t>
            </w:r>
          </w:p>
        </w:tc>
        <w:tc>
          <w:tcPr>
            <w:tcW w:w="1680" w:type="dxa"/>
            <w:shd w:val="clear" w:color="auto" w:fill="E6E6E6"/>
          </w:tcPr>
          <w:p w14:paraId="56165A6D" w14:textId="77777777" w:rsidR="00872C03" w:rsidRPr="00883399" w:rsidRDefault="00872C03" w:rsidP="0031057E">
            <w:pPr>
              <w:pStyle w:val="Text"/>
            </w:pPr>
            <w:r w:rsidRPr="00883399">
              <w:t>CH</w:t>
            </w:r>
            <w:r w:rsidRPr="00883399">
              <w:rPr>
                <w:vertAlign w:val="subscript"/>
              </w:rPr>
              <w:t>4</w:t>
            </w:r>
          </w:p>
        </w:tc>
        <w:tc>
          <w:tcPr>
            <w:tcW w:w="1574" w:type="dxa"/>
            <w:shd w:val="clear" w:color="auto" w:fill="E6E6E6"/>
          </w:tcPr>
          <w:p w14:paraId="3297E8B5" w14:textId="77777777" w:rsidR="00872C03" w:rsidRPr="00883399" w:rsidRDefault="00872C03" w:rsidP="0031057E">
            <w:pPr>
              <w:pStyle w:val="Text"/>
            </w:pPr>
            <w:r w:rsidRPr="00883399">
              <w:t>N</w:t>
            </w:r>
            <w:r w:rsidRPr="00883399">
              <w:rPr>
                <w:vertAlign w:val="subscript"/>
              </w:rPr>
              <w:t>2</w:t>
            </w:r>
            <w:r w:rsidRPr="00883399">
              <w:t>O</w:t>
            </w:r>
          </w:p>
        </w:tc>
      </w:tr>
      <w:tr w:rsidR="00872C03" w:rsidRPr="00883399" w14:paraId="4A7E8675" w14:textId="77777777" w:rsidTr="0031057E">
        <w:tc>
          <w:tcPr>
            <w:tcW w:w="7454" w:type="dxa"/>
            <w:gridSpan w:val="4"/>
          </w:tcPr>
          <w:p w14:paraId="5BC25D34" w14:textId="77777777" w:rsidR="00872C03" w:rsidRPr="00883399" w:rsidRDefault="00872C03" w:rsidP="0031057E">
            <w:pPr>
              <w:pStyle w:val="Text"/>
              <w:spacing w:before="120" w:line="240" w:lineRule="auto"/>
              <w:rPr>
                <w:i/>
              </w:rPr>
            </w:pPr>
            <w:r w:rsidRPr="00883399">
              <w:rPr>
                <w:i/>
              </w:rPr>
              <w:t>Deliberate releases from process vents, system upsets and accidents</w:t>
            </w:r>
          </w:p>
        </w:tc>
      </w:tr>
      <w:tr w:rsidR="00872C03" w:rsidRPr="00883399" w14:paraId="7F2F8823" w14:textId="77777777" w:rsidTr="0031057E">
        <w:tc>
          <w:tcPr>
            <w:tcW w:w="2400" w:type="dxa"/>
          </w:tcPr>
          <w:p w14:paraId="72F905ED" w14:textId="77777777" w:rsidR="00872C03" w:rsidRPr="00883399" w:rsidRDefault="00872C03" w:rsidP="0031057E">
            <w:pPr>
              <w:pStyle w:val="Text"/>
              <w:spacing w:before="120" w:line="240" w:lineRule="auto"/>
            </w:pPr>
            <w:r w:rsidRPr="00883399">
              <w:t>Method 1</w:t>
            </w:r>
          </w:p>
        </w:tc>
        <w:tc>
          <w:tcPr>
            <w:tcW w:w="1800" w:type="dxa"/>
          </w:tcPr>
          <w:p w14:paraId="5665439E" w14:textId="77777777" w:rsidR="00872C03" w:rsidRPr="00883399" w:rsidRDefault="00872C03" w:rsidP="0031057E">
            <w:pPr>
              <w:pStyle w:val="Text"/>
              <w:spacing w:before="120" w:line="240" w:lineRule="auto"/>
            </w:pPr>
            <w:r w:rsidRPr="00883399">
              <w:t>Section 3.84</w:t>
            </w:r>
          </w:p>
        </w:tc>
        <w:tc>
          <w:tcPr>
            <w:tcW w:w="1680" w:type="dxa"/>
          </w:tcPr>
          <w:p w14:paraId="05DFDB3F" w14:textId="77777777" w:rsidR="00872C03" w:rsidRPr="00883399" w:rsidRDefault="00872C03" w:rsidP="0031057E">
            <w:pPr>
              <w:pStyle w:val="Text"/>
              <w:spacing w:before="120" w:line="240" w:lineRule="auto"/>
            </w:pPr>
            <w:r w:rsidRPr="00883399">
              <w:t>Section 3.84</w:t>
            </w:r>
          </w:p>
        </w:tc>
        <w:tc>
          <w:tcPr>
            <w:tcW w:w="1574" w:type="dxa"/>
          </w:tcPr>
          <w:p w14:paraId="77EAA100" w14:textId="77777777" w:rsidR="00872C03" w:rsidRPr="00883399" w:rsidRDefault="00872C03" w:rsidP="0031057E">
            <w:pPr>
              <w:pStyle w:val="Text"/>
              <w:spacing w:before="120" w:line="240" w:lineRule="auto"/>
            </w:pPr>
            <w:r w:rsidRPr="00883399">
              <w:t>NO</w:t>
            </w:r>
          </w:p>
        </w:tc>
      </w:tr>
      <w:tr w:rsidR="00872C03" w:rsidRPr="00883399" w14:paraId="1DDC5E0F" w14:textId="77777777" w:rsidTr="0031057E">
        <w:tc>
          <w:tcPr>
            <w:tcW w:w="2400" w:type="dxa"/>
          </w:tcPr>
          <w:p w14:paraId="5D86B2C1" w14:textId="77777777" w:rsidR="00872C03" w:rsidRPr="00883399" w:rsidRDefault="00872C03" w:rsidP="0031057E">
            <w:pPr>
              <w:pStyle w:val="Text"/>
              <w:spacing w:before="120" w:line="240" w:lineRule="auto"/>
            </w:pPr>
            <w:r w:rsidRPr="00883399">
              <w:t>Method 2</w:t>
            </w:r>
          </w:p>
        </w:tc>
        <w:tc>
          <w:tcPr>
            <w:tcW w:w="1800" w:type="dxa"/>
          </w:tcPr>
          <w:p w14:paraId="138482B0" w14:textId="77777777" w:rsidR="00872C03" w:rsidRPr="00883399" w:rsidRDefault="00872C03" w:rsidP="0031057E">
            <w:pPr>
              <w:pStyle w:val="Text"/>
              <w:spacing w:before="120" w:line="240" w:lineRule="auto"/>
            </w:pPr>
            <w:r w:rsidRPr="00883399">
              <w:t>NA</w:t>
            </w:r>
          </w:p>
        </w:tc>
        <w:tc>
          <w:tcPr>
            <w:tcW w:w="1680" w:type="dxa"/>
          </w:tcPr>
          <w:p w14:paraId="5D9654FB" w14:textId="77777777" w:rsidR="00872C03" w:rsidRPr="00883399" w:rsidRDefault="00872C03" w:rsidP="0031057E">
            <w:pPr>
              <w:pStyle w:val="Text"/>
              <w:spacing w:before="120" w:line="240" w:lineRule="auto"/>
            </w:pPr>
            <w:r w:rsidRPr="00883399">
              <w:t>NA</w:t>
            </w:r>
          </w:p>
        </w:tc>
        <w:tc>
          <w:tcPr>
            <w:tcW w:w="1574" w:type="dxa"/>
          </w:tcPr>
          <w:p w14:paraId="6B47001E" w14:textId="77777777" w:rsidR="00872C03" w:rsidRPr="00883399" w:rsidRDefault="00872C03" w:rsidP="0031057E">
            <w:pPr>
              <w:pStyle w:val="Text"/>
              <w:spacing w:before="120" w:line="240" w:lineRule="auto"/>
            </w:pPr>
            <w:r w:rsidRPr="00883399">
              <w:t>NO</w:t>
            </w:r>
          </w:p>
        </w:tc>
      </w:tr>
      <w:tr w:rsidR="00872C03" w:rsidRPr="00883399" w14:paraId="429C04F2" w14:textId="77777777" w:rsidTr="0031057E">
        <w:tc>
          <w:tcPr>
            <w:tcW w:w="2400" w:type="dxa"/>
          </w:tcPr>
          <w:p w14:paraId="2A11334D" w14:textId="77777777" w:rsidR="00872C03" w:rsidRPr="00883399" w:rsidRDefault="00872C03" w:rsidP="0031057E">
            <w:pPr>
              <w:pStyle w:val="Text"/>
              <w:spacing w:before="120" w:line="240" w:lineRule="auto"/>
            </w:pPr>
            <w:r w:rsidRPr="00883399">
              <w:t>Method 3</w:t>
            </w:r>
          </w:p>
        </w:tc>
        <w:tc>
          <w:tcPr>
            <w:tcW w:w="1800" w:type="dxa"/>
          </w:tcPr>
          <w:p w14:paraId="70E9E03E" w14:textId="77777777" w:rsidR="00872C03" w:rsidRPr="00883399" w:rsidRDefault="00872C03" w:rsidP="0031057E">
            <w:pPr>
              <w:pStyle w:val="Text"/>
              <w:spacing w:before="120" w:line="240" w:lineRule="auto"/>
            </w:pPr>
            <w:r w:rsidRPr="00883399">
              <w:t>NA</w:t>
            </w:r>
          </w:p>
        </w:tc>
        <w:tc>
          <w:tcPr>
            <w:tcW w:w="1680" w:type="dxa"/>
          </w:tcPr>
          <w:p w14:paraId="574CB178" w14:textId="77777777" w:rsidR="00872C03" w:rsidRPr="00883399" w:rsidRDefault="00872C03" w:rsidP="0031057E">
            <w:pPr>
              <w:pStyle w:val="Text"/>
              <w:spacing w:before="120" w:line="240" w:lineRule="auto"/>
            </w:pPr>
            <w:r w:rsidRPr="00883399">
              <w:t>NA</w:t>
            </w:r>
          </w:p>
        </w:tc>
        <w:tc>
          <w:tcPr>
            <w:tcW w:w="1574" w:type="dxa"/>
          </w:tcPr>
          <w:p w14:paraId="344127AE" w14:textId="77777777" w:rsidR="00872C03" w:rsidRPr="00883399" w:rsidRDefault="00872C03" w:rsidP="0031057E">
            <w:pPr>
              <w:pStyle w:val="Text"/>
              <w:spacing w:before="120" w:line="240" w:lineRule="auto"/>
            </w:pPr>
            <w:r w:rsidRPr="00883399">
              <w:t>NO</w:t>
            </w:r>
          </w:p>
        </w:tc>
      </w:tr>
      <w:tr w:rsidR="00872C03" w:rsidRPr="00883399" w14:paraId="0E0DF3AF" w14:textId="77777777" w:rsidTr="0031057E">
        <w:tc>
          <w:tcPr>
            <w:tcW w:w="2400" w:type="dxa"/>
          </w:tcPr>
          <w:p w14:paraId="76767D5F" w14:textId="77777777" w:rsidR="00872C03" w:rsidRPr="00883399" w:rsidRDefault="00872C03" w:rsidP="0031057E">
            <w:pPr>
              <w:pStyle w:val="Text"/>
              <w:spacing w:before="120" w:line="240" w:lineRule="auto"/>
            </w:pPr>
            <w:r w:rsidRPr="00883399">
              <w:t>Method 4</w:t>
            </w:r>
          </w:p>
        </w:tc>
        <w:tc>
          <w:tcPr>
            <w:tcW w:w="1800" w:type="dxa"/>
          </w:tcPr>
          <w:p w14:paraId="3AB48DF6" w14:textId="77777777" w:rsidR="00872C03" w:rsidRPr="00883399" w:rsidRDefault="00872C03" w:rsidP="0031057E">
            <w:pPr>
              <w:pStyle w:val="Text"/>
              <w:spacing w:before="120" w:line="240" w:lineRule="auto"/>
            </w:pPr>
            <w:r w:rsidRPr="00883399">
              <w:t>Method 4 under Part 1.3</w:t>
            </w:r>
          </w:p>
        </w:tc>
        <w:tc>
          <w:tcPr>
            <w:tcW w:w="1680" w:type="dxa"/>
          </w:tcPr>
          <w:p w14:paraId="3BB6F84D" w14:textId="77777777" w:rsidR="00872C03" w:rsidRPr="00883399" w:rsidRDefault="00872C03" w:rsidP="0031057E">
            <w:pPr>
              <w:pStyle w:val="Text"/>
              <w:spacing w:before="120" w:line="240" w:lineRule="auto"/>
            </w:pPr>
            <w:r w:rsidRPr="00883399">
              <w:t>Method 4 under Part 1.3</w:t>
            </w:r>
          </w:p>
        </w:tc>
        <w:tc>
          <w:tcPr>
            <w:tcW w:w="1574" w:type="dxa"/>
          </w:tcPr>
          <w:p w14:paraId="756064F5" w14:textId="77777777" w:rsidR="00872C03" w:rsidRPr="00883399" w:rsidRDefault="00872C03" w:rsidP="0031057E">
            <w:pPr>
              <w:pStyle w:val="Text"/>
              <w:spacing w:before="120" w:line="240" w:lineRule="auto"/>
            </w:pPr>
            <w:r w:rsidRPr="00883399">
              <w:t>NO</w:t>
            </w:r>
          </w:p>
        </w:tc>
      </w:tr>
      <w:tr w:rsidR="00872C03" w:rsidRPr="00883399" w14:paraId="605178B0" w14:textId="77777777" w:rsidTr="0031057E">
        <w:tc>
          <w:tcPr>
            <w:tcW w:w="7454" w:type="dxa"/>
            <w:gridSpan w:val="4"/>
          </w:tcPr>
          <w:p w14:paraId="484A2A9C" w14:textId="77777777" w:rsidR="00872C03" w:rsidRPr="00883399" w:rsidRDefault="00872C03" w:rsidP="0031057E">
            <w:pPr>
              <w:pStyle w:val="Text"/>
              <w:spacing w:before="120" w:line="240" w:lineRule="auto"/>
              <w:rPr>
                <w:i/>
              </w:rPr>
            </w:pPr>
            <w:r w:rsidRPr="00883399">
              <w:rPr>
                <w:i/>
              </w:rPr>
              <w:t>Flaring</w:t>
            </w:r>
          </w:p>
        </w:tc>
      </w:tr>
      <w:tr w:rsidR="00872C03" w:rsidRPr="00883399" w14:paraId="57E71A0D" w14:textId="77777777" w:rsidTr="0031057E">
        <w:tc>
          <w:tcPr>
            <w:tcW w:w="2400" w:type="dxa"/>
          </w:tcPr>
          <w:p w14:paraId="308FE5DC" w14:textId="77777777" w:rsidR="00872C03" w:rsidRPr="00883399" w:rsidRDefault="00872C03" w:rsidP="0031057E">
            <w:pPr>
              <w:pStyle w:val="Text"/>
              <w:spacing w:before="120" w:line="240" w:lineRule="auto"/>
            </w:pPr>
            <w:r w:rsidRPr="00883399">
              <w:t>Method 1</w:t>
            </w:r>
          </w:p>
        </w:tc>
        <w:tc>
          <w:tcPr>
            <w:tcW w:w="1800" w:type="dxa"/>
          </w:tcPr>
          <w:p w14:paraId="1B71EE4F" w14:textId="77777777" w:rsidR="00872C03" w:rsidRPr="00883399" w:rsidRDefault="00872C03" w:rsidP="0031057E">
            <w:pPr>
              <w:pStyle w:val="Text"/>
              <w:spacing w:before="120" w:line="240" w:lineRule="auto"/>
            </w:pPr>
            <w:r w:rsidRPr="00883399">
              <w:t>Section 3.85</w:t>
            </w:r>
          </w:p>
        </w:tc>
        <w:tc>
          <w:tcPr>
            <w:tcW w:w="1680" w:type="dxa"/>
          </w:tcPr>
          <w:p w14:paraId="7CD007D0" w14:textId="77777777" w:rsidR="00872C03" w:rsidRPr="00883399" w:rsidRDefault="00872C03" w:rsidP="0031057E">
            <w:pPr>
              <w:pStyle w:val="Text"/>
              <w:spacing w:before="120" w:line="240" w:lineRule="auto"/>
            </w:pPr>
            <w:r w:rsidRPr="00883399">
              <w:t>Section 3.85</w:t>
            </w:r>
          </w:p>
        </w:tc>
        <w:tc>
          <w:tcPr>
            <w:tcW w:w="1574" w:type="dxa"/>
          </w:tcPr>
          <w:p w14:paraId="53C8C2D4" w14:textId="77777777" w:rsidR="00872C03" w:rsidRPr="00883399" w:rsidRDefault="00872C03" w:rsidP="0031057E">
            <w:pPr>
              <w:pStyle w:val="Text"/>
              <w:spacing w:before="120" w:line="240" w:lineRule="auto"/>
            </w:pPr>
            <w:r w:rsidRPr="00883399">
              <w:t>Section 3.85</w:t>
            </w:r>
          </w:p>
        </w:tc>
      </w:tr>
      <w:tr w:rsidR="00872C03" w:rsidRPr="00883399" w14:paraId="7ACCFA40" w14:textId="77777777" w:rsidTr="0031057E">
        <w:tc>
          <w:tcPr>
            <w:tcW w:w="2400" w:type="dxa"/>
          </w:tcPr>
          <w:p w14:paraId="57DF5929" w14:textId="77777777" w:rsidR="00872C03" w:rsidRPr="00883399" w:rsidRDefault="00872C03" w:rsidP="0031057E">
            <w:pPr>
              <w:pStyle w:val="Text"/>
              <w:spacing w:before="120" w:line="240" w:lineRule="auto"/>
            </w:pPr>
            <w:r w:rsidRPr="00883399">
              <w:t>Method 2</w:t>
            </w:r>
          </w:p>
        </w:tc>
        <w:tc>
          <w:tcPr>
            <w:tcW w:w="1800" w:type="dxa"/>
          </w:tcPr>
          <w:p w14:paraId="2E6C5E13" w14:textId="77777777" w:rsidR="00872C03" w:rsidRPr="00883399" w:rsidRDefault="00872C03" w:rsidP="0031057E">
            <w:pPr>
              <w:pStyle w:val="Text"/>
              <w:spacing w:before="120" w:line="240" w:lineRule="auto"/>
            </w:pPr>
            <w:r w:rsidRPr="00883399">
              <w:t>Section 3.86</w:t>
            </w:r>
          </w:p>
        </w:tc>
        <w:tc>
          <w:tcPr>
            <w:tcW w:w="1680" w:type="dxa"/>
          </w:tcPr>
          <w:p w14:paraId="0E61D320" w14:textId="77777777" w:rsidR="00872C03" w:rsidRPr="00883399" w:rsidRDefault="00872C03" w:rsidP="0031057E">
            <w:pPr>
              <w:pStyle w:val="Text"/>
              <w:spacing w:before="120" w:line="240" w:lineRule="auto"/>
            </w:pPr>
            <w:r w:rsidRPr="00883399">
              <w:t>NA</w:t>
            </w:r>
          </w:p>
        </w:tc>
        <w:tc>
          <w:tcPr>
            <w:tcW w:w="1574" w:type="dxa"/>
          </w:tcPr>
          <w:p w14:paraId="59ED2C65" w14:textId="77777777" w:rsidR="00872C03" w:rsidRPr="00883399" w:rsidRDefault="00872C03" w:rsidP="0031057E">
            <w:pPr>
              <w:pStyle w:val="Text"/>
              <w:spacing w:before="120" w:line="240" w:lineRule="auto"/>
            </w:pPr>
            <w:r w:rsidRPr="00883399">
              <w:t>NA</w:t>
            </w:r>
          </w:p>
        </w:tc>
      </w:tr>
      <w:tr w:rsidR="00872C03" w:rsidRPr="00883399" w14:paraId="0C8E3DF7" w14:textId="77777777" w:rsidTr="0031057E">
        <w:tc>
          <w:tcPr>
            <w:tcW w:w="2400" w:type="dxa"/>
          </w:tcPr>
          <w:p w14:paraId="24A9681B" w14:textId="77777777" w:rsidR="00872C03" w:rsidRPr="00883399" w:rsidRDefault="00872C03" w:rsidP="0031057E">
            <w:pPr>
              <w:pStyle w:val="Text"/>
              <w:spacing w:before="120" w:line="240" w:lineRule="auto"/>
            </w:pPr>
            <w:r w:rsidRPr="00883399">
              <w:t>Method 3</w:t>
            </w:r>
          </w:p>
        </w:tc>
        <w:tc>
          <w:tcPr>
            <w:tcW w:w="1800" w:type="dxa"/>
          </w:tcPr>
          <w:p w14:paraId="120B9B38" w14:textId="77777777" w:rsidR="00872C03" w:rsidRPr="00883399" w:rsidRDefault="00872C03" w:rsidP="0031057E">
            <w:pPr>
              <w:pStyle w:val="Text"/>
              <w:spacing w:before="120" w:line="240" w:lineRule="auto"/>
            </w:pPr>
            <w:r w:rsidRPr="00883399">
              <w:t>Section 3.87</w:t>
            </w:r>
          </w:p>
        </w:tc>
        <w:tc>
          <w:tcPr>
            <w:tcW w:w="1680" w:type="dxa"/>
          </w:tcPr>
          <w:p w14:paraId="624E6ACA" w14:textId="77777777" w:rsidR="00872C03" w:rsidRPr="00883399" w:rsidRDefault="00872C03" w:rsidP="0031057E">
            <w:pPr>
              <w:pStyle w:val="Text"/>
              <w:spacing w:before="120" w:line="240" w:lineRule="auto"/>
            </w:pPr>
            <w:r w:rsidRPr="00883399">
              <w:t>NA</w:t>
            </w:r>
          </w:p>
        </w:tc>
        <w:tc>
          <w:tcPr>
            <w:tcW w:w="1574" w:type="dxa"/>
          </w:tcPr>
          <w:p w14:paraId="7563B11B" w14:textId="77777777" w:rsidR="00872C03" w:rsidRPr="00883399" w:rsidRDefault="00872C03" w:rsidP="0031057E">
            <w:pPr>
              <w:pStyle w:val="Text"/>
              <w:spacing w:before="120" w:line="240" w:lineRule="auto"/>
            </w:pPr>
            <w:r w:rsidRPr="00883399">
              <w:t>NA</w:t>
            </w:r>
          </w:p>
        </w:tc>
      </w:tr>
    </w:tbl>
    <w:p w14:paraId="47EBE899" w14:textId="77777777" w:rsidR="00872C03" w:rsidRPr="00883399" w:rsidRDefault="00872C03" w:rsidP="00872C03">
      <w:pPr>
        <w:pStyle w:val="subsection"/>
        <w:rPr>
          <w:sz w:val="24"/>
        </w:rPr>
      </w:pPr>
      <w:r w:rsidRPr="00883399">
        <w:t>NA = Not available.  NO = Not occurring</w:t>
      </w:r>
    </w:p>
    <w:p w14:paraId="40471471" w14:textId="77777777" w:rsidR="00872C03" w:rsidRPr="00883399" w:rsidRDefault="00872C03" w:rsidP="00872C03">
      <w:pPr>
        <w:pStyle w:val="ActHead4"/>
        <w:rPr>
          <w:sz w:val="28"/>
        </w:rPr>
      </w:pPr>
      <w:bookmarkStart w:id="727" w:name="_Toc423516976"/>
      <w:bookmarkStart w:id="728" w:name="_Toc495652893"/>
      <w:r w:rsidRPr="00883399">
        <w:rPr>
          <w:rStyle w:val="CharSubdNo"/>
          <w:sz w:val="28"/>
        </w:rPr>
        <w:t>Subdivision 3.3.9.1</w:t>
      </w:r>
      <w:r w:rsidRPr="00883399">
        <w:rPr>
          <w:sz w:val="28"/>
        </w:rPr>
        <w:t>—</w:t>
      </w:r>
      <w:r w:rsidRPr="00883399">
        <w:rPr>
          <w:rStyle w:val="CharSubdText"/>
          <w:sz w:val="28"/>
        </w:rPr>
        <w:t>Fugitive emissions that result from deliberate releases from process vents, system upsets and accidents</w:t>
      </w:r>
      <w:bookmarkEnd w:id="727"/>
      <w:bookmarkEnd w:id="728"/>
      <w:r w:rsidRPr="00883399">
        <w:rPr>
          <w:rStyle w:val="CharSubdText"/>
          <w:sz w:val="28"/>
        </w:rPr>
        <w:t xml:space="preserve"> </w:t>
      </w:r>
    </w:p>
    <w:p w14:paraId="01E80B3F" w14:textId="77777777" w:rsidR="00872C03" w:rsidRPr="00883399" w:rsidRDefault="00872C03" w:rsidP="00872C03">
      <w:pPr>
        <w:pStyle w:val="Text"/>
        <w:rPr>
          <w:rFonts w:ascii="Arial" w:hAnsi="Arial" w:cs="Arial"/>
          <w:sz w:val="22"/>
          <w:szCs w:val="22"/>
        </w:rPr>
      </w:pPr>
      <w:bookmarkStart w:id="729" w:name="_Toc423516977"/>
      <w:r w:rsidRPr="00883399">
        <w:rPr>
          <w:rFonts w:ascii="Arial" w:hAnsi="Arial" w:cs="Arial"/>
          <w:sz w:val="22"/>
          <w:szCs w:val="22"/>
        </w:rPr>
        <w:t xml:space="preserve">Venting refers to emissions that are the result of processes or equipment design or operational practices. Venting at oil or gas processing facilities is mainly associated </w:t>
      </w:r>
      <w:r w:rsidRPr="00883399">
        <w:rPr>
          <w:rFonts w:ascii="Arial" w:hAnsi="Arial" w:cs="Arial"/>
          <w:sz w:val="22"/>
          <w:szCs w:val="22"/>
        </w:rPr>
        <w:lastRenderedPageBreak/>
        <w:t>with the release of CO</w:t>
      </w:r>
      <w:r w:rsidRPr="00883399">
        <w:rPr>
          <w:rFonts w:ascii="Arial" w:hAnsi="Arial" w:cs="Arial"/>
          <w:sz w:val="22"/>
          <w:szCs w:val="22"/>
          <w:vertAlign w:val="subscript"/>
        </w:rPr>
        <w:t>2</w:t>
      </w:r>
      <w:r w:rsidRPr="00883399">
        <w:rPr>
          <w:rFonts w:ascii="Arial" w:hAnsi="Arial" w:cs="Arial"/>
          <w:sz w:val="22"/>
          <w:szCs w:val="22"/>
        </w:rPr>
        <w:t>, which is extracted from the raw gas stream in the course of gas processing. Because separation of the other components of the gas stream from the CO</w:t>
      </w:r>
      <w:r w:rsidRPr="00883399">
        <w:rPr>
          <w:rFonts w:ascii="Arial" w:hAnsi="Arial" w:cs="Arial"/>
          <w:sz w:val="22"/>
          <w:szCs w:val="22"/>
          <w:vertAlign w:val="subscript"/>
        </w:rPr>
        <w:t>2</w:t>
      </w:r>
      <w:r w:rsidRPr="00883399">
        <w:rPr>
          <w:rFonts w:ascii="Arial" w:hAnsi="Arial" w:cs="Arial"/>
          <w:sz w:val="22"/>
          <w:szCs w:val="22"/>
        </w:rPr>
        <w:t xml:space="preserve"> is incomplete, the vented CO</w:t>
      </w:r>
      <w:r w:rsidRPr="00883399">
        <w:rPr>
          <w:rFonts w:ascii="Arial" w:hAnsi="Arial" w:cs="Arial"/>
          <w:sz w:val="22"/>
          <w:szCs w:val="22"/>
          <w:vertAlign w:val="subscript"/>
        </w:rPr>
        <w:t>2</w:t>
      </w:r>
      <w:r w:rsidRPr="00883399">
        <w:rPr>
          <w:rFonts w:ascii="Arial" w:hAnsi="Arial" w:cs="Arial"/>
          <w:sz w:val="22"/>
          <w:szCs w:val="22"/>
        </w:rPr>
        <w:t xml:space="preserve"> contains small quantities of methane. </w:t>
      </w:r>
    </w:p>
    <w:p w14:paraId="3E041B58" w14:textId="11044F79" w:rsidR="00872C03" w:rsidRPr="00883399" w:rsidRDefault="00872C03" w:rsidP="00872C03">
      <w:pPr>
        <w:pStyle w:val="ActHead5"/>
        <w:rPr>
          <w:sz w:val="28"/>
        </w:rPr>
      </w:pPr>
      <w:bookmarkStart w:id="730" w:name="_Toc495652894"/>
      <w:r w:rsidRPr="00883399">
        <w:rPr>
          <w:rStyle w:val="CharSectno"/>
          <w:sz w:val="28"/>
        </w:rPr>
        <w:t>3.84</w:t>
      </w:r>
      <w:r w:rsidRPr="00883399">
        <w:rPr>
          <w:sz w:val="28"/>
        </w:rPr>
        <w:t xml:space="preserve">  Method 1—emissions from system upsets, accidents and deliberate releases from process vents</w:t>
      </w:r>
      <w:bookmarkEnd w:id="729"/>
      <w:bookmarkEnd w:id="730"/>
    </w:p>
    <w:p w14:paraId="3E99E64C" w14:textId="77777777" w:rsidR="00872C03" w:rsidRPr="00883399" w:rsidRDefault="00872C03" w:rsidP="00872C03">
      <w:pPr>
        <w:pStyle w:val="subsection"/>
        <w:rPr>
          <w:sz w:val="24"/>
        </w:rPr>
      </w:pPr>
      <w:r w:rsidRPr="00883399">
        <w:rPr>
          <w:sz w:val="24"/>
        </w:rPr>
        <w:tab/>
      </w:r>
      <w:r w:rsidRPr="00883399">
        <w:rPr>
          <w:sz w:val="24"/>
        </w:rPr>
        <w:tab/>
        <w:t>Method 1 is, for a process mentioned in column 2 of an item in the following table, as described in the section of the API Compendium mentioned in column 3 for the item.</w:t>
      </w:r>
    </w:p>
    <w:p w14:paraId="3124CE99" w14:textId="77777777" w:rsidR="00872C03" w:rsidRPr="00883399" w:rsidRDefault="00872C03" w:rsidP="00872C03">
      <w:pPr>
        <w:pStyle w:val="Tabletext0"/>
        <w:rPr>
          <w:sz w:val="22"/>
        </w:rPr>
      </w:pPr>
    </w:p>
    <w:tbl>
      <w:tblPr>
        <w:tblW w:w="0" w:type="auto"/>
        <w:tblInd w:w="-32" w:type="dxa"/>
        <w:tblBorders>
          <w:top w:val="single" w:sz="4" w:space="0" w:color="auto"/>
          <w:bottom w:val="single" w:sz="2" w:space="0" w:color="auto"/>
          <w:insideH w:val="single" w:sz="4" w:space="0" w:color="auto"/>
        </w:tblBorders>
        <w:tblLook w:val="04A0" w:firstRow="1" w:lastRow="0" w:firstColumn="1" w:lastColumn="0" w:noHBand="0" w:noVBand="1"/>
      </w:tblPr>
      <w:tblGrid>
        <w:gridCol w:w="685"/>
        <w:gridCol w:w="5915"/>
        <w:gridCol w:w="1745"/>
      </w:tblGrid>
      <w:tr w:rsidR="00872C03" w:rsidRPr="00883399" w14:paraId="137FE1F5" w14:textId="77777777" w:rsidTr="0031057E">
        <w:trPr>
          <w:tblHeader/>
        </w:trPr>
        <w:tc>
          <w:tcPr>
            <w:tcW w:w="686" w:type="dxa"/>
            <w:tcBorders>
              <w:top w:val="single" w:sz="12" w:space="0" w:color="auto"/>
              <w:bottom w:val="single" w:sz="12" w:space="0" w:color="auto"/>
            </w:tcBorders>
            <w:shd w:val="clear" w:color="auto" w:fill="auto"/>
          </w:tcPr>
          <w:p w14:paraId="6C168704" w14:textId="77777777" w:rsidR="00872C03" w:rsidRPr="00883399" w:rsidRDefault="00872C03" w:rsidP="0031057E">
            <w:pPr>
              <w:pStyle w:val="TableHeading"/>
              <w:rPr>
                <w:sz w:val="22"/>
                <w:szCs w:val="18"/>
              </w:rPr>
            </w:pPr>
            <w:r w:rsidRPr="00883399">
              <w:rPr>
                <w:sz w:val="22"/>
                <w:szCs w:val="18"/>
              </w:rPr>
              <w:t>Item</w:t>
            </w:r>
          </w:p>
        </w:tc>
        <w:tc>
          <w:tcPr>
            <w:tcW w:w="6119" w:type="dxa"/>
            <w:tcBorders>
              <w:top w:val="single" w:sz="12" w:space="0" w:color="auto"/>
              <w:bottom w:val="single" w:sz="12" w:space="0" w:color="auto"/>
            </w:tcBorders>
            <w:shd w:val="clear" w:color="auto" w:fill="auto"/>
          </w:tcPr>
          <w:p w14:paraId="37469093" w14:textId="77777777" w:rsidR="00872C03" w:rsidRPr="00883399" w:rsidRDefault="00872C03" w:rsidP="0031057E">
            <w:pPr>
              <w:pStyle w:val="TableHeading"/>
              <w:rPr>
                <w:sz w:val="22"/>
                <w:szCs w:val="18"/>
              </w:rPr>
            </w:pPr>
            <w:r w:rsidRPr="00883399">
              <w:rPr>
                <w:sz w:val="22"/>
                <w:szCs w:val="18"/>
              </w:rPr>
              <w:t>Emission process</w:t>
            </w:r>
          </w:p>
        </w:tc>
        <w:tc>
          <w:tcPr>
            <w:tcW w:w="1756" w:type="dxa"/>
            <w:tcBorders>
              <w:top w:val="single" w:sz="12" w:space="0" w:color="auto"/>
              <w:bottom w:val="single" w:sz="12" w:space="0" w:color="auto"/>
            </w:tcBorders>
            <w:shd w:val="clear" w:color="auto" w:fill="auto"/>
          </w:tcPr>
          <w:p w14:paraId="29253570" w14:textId="77777777" w:rsidR="00872C03" w:rsidRPr="00883399" w:rsidRDefault="00872C03" w:rsidP="0031057E">
            <w:pPr>
              <w:pStyle w:val="TableHeading"/>
              <w:rPr>
                <w:sz w:val="22"/>
                <w:szCs w:val="18"/>
              </w:rPr>
            </w:pPr>
            <w:r w:rsidRPr="00883399">
              <w:rPr>
                <w:sz w:val="22"/>
                <w:szCs w:val="18"/>
              </w:rPr>
              <w:t>API Compendium section</w:t>
            </w:r>
          </w:p>
        </w:tc>
      </w:tr>
      <w:tr w:rsidR="00872C03" w:rsidRPr="00883399" w14:paraId="5176B62A" w14:textId="77777777" w:rsidTr="0031057E">
        <w:tc>
          <w:tcPr>
            <w:tcW w:w="686" w:type="dxa"/>
            <w:tcBorders>
              <w:top w:val="single" w:sz="12" w:space="0" w:color="auto"/>
            </w:tcBorders>
            <w:shd w:val="clear" w:color="auto" w:fill="auto"/>
          </w:tcPr>
          <w:p w14:paraId="2C0C266F" w14:textId="77777777" w:rsidR="00872C03" w:rsidRPr="00883399" w:rsidRDefault="00872C03" w:rsidP="0031057E">
            <w:pPr>
              <w:pStyle w:val="Tabletext0"/>
              <w:rPr>
                <w:sz w:val="22"/>
              </w:rPr>
            </w:pPr>
            <w:r w:rsidRPr="00883399">
              <w:rPr>
                <w:sz w:val="22"/>
              </w:rPr>
              <w:t>1</w:t>
            </w:r>
          </w:p>
        </w:tc>
        <w:tc>
          <w:tcPr>
            <w:tcW w:w="6119" w:type="dxa"/>
            <w:tcBorders>
              <w:top w:val="single" w:sz="12" w:space="0" w:color="auto"/>
            </w:tcBorders>
            <w:shd w:val="clear" w:color="auto" w:fill="auto"/>
          </w:tcPr>
          <w:p w14:paraId="692B2D2A" w14:textId="77777777" w:rsidR="00872C03" w:rsidRPr="00883399" w:rsidRDefault="00872C03" w:rsidP="0031057E">
            <w:pPr>
              <w:pStyle w:val="Tabletext0"/>
              <w:rPr>
                <w:sz w:val="22"/>
              </w:rPr>
            </w:pPr>
            <w:r w:rsidRPr="00883399">
              <w:rPr>
                <w:sz w:val="22"/>
              </w:rPr>
              <w:t>Gas treatment processes</w:t>
            </w:r>
          </w:p>
        </w:tc>
        <w:tc>
          <w:tcPr>
            <w:tcW w:w="1756" w:type="dxa"/>
            <w:tcBorders>
              <w:top w:val="single" w:sz="12" w:space="0" w:color="auto"/>
            </w:tcBorders>
            <w:shd w:val="clear" w:color="auto" w:fill="auto"/>
          </w:tcPr>
          <w:p w14:paraId="387090FB" w14:textId="77777777" w:rsidR="00872C03" w:rsidRPr="00883399" w:rsidRDefault="00872C03" w:rsidP="0031057E">
            <w:pPr>
              <w:pStyle w:val="Tabletext0"/>
              <w:rPr>
                <w:sz w:val="22"/>
              </w:rPr>
            </w:pPr>
            <w:r w:rsidRPr="00883399">
              <w:rPr>
                <w:sz w:val="22"/>
              </w:rPr>
              <w:t>Section 5.1</w:t>
            </w:r>
          </w:p>
        </w:tc>
      </w:tr>
      <w:tr w:rsidR="00872C03" w:rsidRPr="00883399" w14:paraId="0CC2EA93" w14:textId="77777777" w:rsidTr="0031057E">
        <w:tc>
          <w:tcPr>
            <w:tcW w:w="686" w:type="dxa"/>
            <w:shd w:val="clear" w:color="auto" w:fill="auto"/>
          </w:tcPr>
          <w:p w14:paraId="52373FF3" w14:textId="77777777" w:rsidR="00872C03" w:rsidRPr="00883399" w:rsidRDefault="00872C03" w:rsidP="0031057E">
            <w:pPr>
              <w:pStyle w:val="Tabletext0"/>
              <w:rPr>
                <w:sz w:val="22"/>
              </w:rPr>
            </w:pPr>
            <w:r w:rsidRPr="00883399">
              <w:rPr>
                <w:sz w:val="22"/>
              </w:rPr>
              <w:t>2</w:t>
            </w:r>
          </w:p>
        </w:tc>
        <w:tc>
          <w:tcPr>
            <w:tcW w:w="6119" w:type="dxa"/>
            <w:shd w:val="clear" w:color="auto" w:fill="auto"/>
          </w:tcPr>
          <w:p w14:paraId="2C9D2D30" w14:textId="77777777" w:rsidR="00872C03" w:rsidRPr="00883399" w:rsidRDefault="00872C03" w:rsidP="0031057E">
            <w:pPr>
              <w:pStyle w:val="Tabletext0"/>
              <w:rPr>
                <w:sz w:val="22"/>
              </w:rPr>
            </w:pPr>
            <w:r w:rsidRPr="00883399">
              <w:rPr>
                <w:sz w:val="22"/>
              </w:rPr>
              <w:t>Cold process vents</w:t>
            </w:r>
          </w:p>
        </w:tc>
        <w:tc>
          <w:tcPr>
            <w:tcW w:w="1756" w:type="dxa"/>
            <w:shd w:val="clear" w:color="auto" w:fill="auto"/>
          </w:tcPr>
          <w:p w14:paraId="24DB5119" w14:textId="77777777" w:rsidR="00872C03" w:rsidRPr="00883399" w:rsidRDefault="00872C03" w:rsidP="0031057E">
            <w:pPr>
              <w:pStyle w:val="Tabletext0"/>
              <w:rPr>
                <w:sz w:val="22"/>
              </w:rPr>
            </w:pPr>
            <w:r w:rsidRPr="00883399">
              <w:rPr>
                <w:sz w:val="22"/>
              </w:rPr>
              <w:t>Section 5.3</w:t>
            </w:r>
          </w:p>
        </w:tc>
      </w:tr>
      <w:tr w:rsidR="00872C03" w:rsidRPr="00883399" w14:paraId="631B06AF" w14:textId="77777777" w:rsidTr="0031057E">
        <w:tc>
          <w:tcPr>
            <w:tcW w:w="686" w:type="dxa"/>
            <w:shd w:val="clear" w:color="auto" w:fill="auto"/>
          </w:tcPr>
          <w:p w14:paraId="2CADCF9D" w14:textId="77777777" w:rsidR="00872C03" w:rsidRPr="00883399" w:rsidRDefault="00872C03" w:rsidP="0031057E">
            <w:pPr>
              <w:pStyle w:val="Tabletext0"/>
              <w:rPr>
                <w:sz w:val="22"/>
              </w:rPr>
            </w:pPr>
            <w:r w:rsidRPr="00883399">
              <w:rPr>
                <w:sz w:val="22"/>
              </w:rPr>
              <w:t>3</w:t>
            </w:r>
          </w:p>
        </w:tc>
        <w:tc>
          <w:tcPr>
            <w:tcW w:w="6119" w:type="dxa"/>
            <w:shd w:val="clear" w:color="auto" w:fill="auto"/>
          </w:tcPr>
          <w:p w14:paraId="23027515" w14:textId="77777777" w:rsidR="00872C03" w:rsidRPr="00883399" w:rsidRDefault="00872C03" w:rsidP="0031057E">
            <w:pPr>
              <w:pStyle w:val="Tabletext0"/>
              <w:rPr>
                <w:sz w:val="22"/>
              </w:rPr>
            </w:pPr>
            <w:r w:rsidRPr="00883399">
              <w:rPr>
                <w:sz w:val="22"/>
              </w:rPr>
              <w:t>Natural gas blanketed tank emissions</w:t>
            </w:r>
          </w:p>
        </w:tc>
        <w:tc>
          <w:tcPr>
            <w:tcW w:w="1756" w:type="dxa"/>
            <w:shd w:val="clear" w:color="auto" w:fill="auto"/>
          </w:tcPr>
          <w:p w14:paraId="30525F33" w14:textId="77777777" w:rsidR="00872C03" w:rsidRPr="00883399" w:rsidRDefault="00872C03" w:rsidP="0031057E">
            <w:pPr>
              <w:pStyle w:val="Tabletext0"/>
              <w:rPr>
                <w:sz w:val="22"/>
              </w:rPr>
            </w:pPr>
            <w:r w:rsidRPr="00883399">
              <w:rPr>
                <w:sz w:val="22"/>
              </w:rPr>
              <w:t>Section 5.4.4</w:t>
            </w:r>
          </w:p>
        </w:tc>
      </w:tr>
      <w:tr w:rsidR="00872C03" w:rsidRPr="00883399" w14:paraId="6848F9A3" w14:textId="77777777" w:rsidTr="0031057E">
        <w:tc>
          <w:tcPr>
            <w:tcW w:w="686" w:type="dxa"/>
            <w:shd w:val="clear" w:color="auto" w:fill="auto"/>
          </w:tcPr>
          <w:p w14:paraId="1EDC5BA4" w14:textId="77777777" w:rsidR="00872C03" w:rsidRPr="00883399" w:rsidRDefault="00872C03" w:rsidP="0031057E">
            <w:pPr>
              <w:pStyle w:val="Tabletext0"/>
              <w:rPr>
                <w:sz w:val="22"/>
              </w:rPr>
            </w:pPr>
            <w:r w:rsidRPr="00883399">
              <w:rPr>
                <w:sz w:val="22"/>
              </w:rPr>
              <w:t>4</w:t>
            </w:r>
          </w:p>
        </w:tc>
        <w:tc>
          <w:tcPr>
            <w:tcW w:w="6119" w:type="dxa"/>
            <w:shd w:val="clear" w:color="auto" w:fill="auto"/>
          </w:tcPr>
          <w:p w14:paraId="06B463EB" w14:textId="77777777" w:rsidR="00872C03" w:rsidRPr="00883399" w:rsidRDefault="00872C03" w:rsidP="0031057E">
            <w:pPr>
              <w:pStyle w:val="Tabletext0"/>
              <w:rPr>
                <w:sz w:val="22"/>
              </w:rPr>
            </w:pPr>
            <w:r w:rsidRPr="00883399">
              <w:rPr>
                <w:sz w:val="22"/>
              </w:rPr>
              <w:t>Other venting sources—gas driven pneumatic devices</w:t>
            </w:r>
          </w:p>
        </w:tc>
        <w:tc>
          <w:tcPr>
            <w:tcW w:w="1756" w:type="dxa"/>
            <w:shd w:val="clear" w:color="auto" w:fill="auto"/>
          </w:tcPr>
          <w:p w14:paraId="5169F0D5" w14:textId="77777777" w:rsidR="00872C03" w:rsidRPr="00883399" w:rsidRDefault="00872C03" w:rsidP="0031057E">
            <w:pPr>
              <w:pStyle w:val="Tabletext0"/>
              <w:rPr>
                <w:sz w:val="22"/>
              </w:rPr>
            </w:pPr>
            <w:r w:rsidRPr="00883399">
              <w:rPr>
                <w:sz w:val="22"/>
              </w:rPr>
              <w:t>Section 5.6.1</w:t>
            </w:r>
          </w:p>
        </w:tc>
      </w:tr>
      <w:tr w:rsidR="00872C03" w:rsidRPr="00883399" w:rsidDel="00BE02E0" w14:paraId="289FAC30" w14:textId="77777777" w:rsidTr="0031057E">
        <w:tc>
          <w:tcPr>
            <w:tcW w:w="686" w:type="dxa"/>
            <w:shd w:val="clear" w:color="auto" w:fill="auto"/>
          </w:tcPr>
          <w:p w14:paraId="529DCF62" w14:textId="77777777" w:rsidR="00872C03" w:rsidRPr="00883399" w:rsidDel="00BE02E0" w:rsidRDefault="00872C03" w:rsidP="0031057E">
            <w:pPr>
              <w:pStyle w:val="Tabletext0"/>
              <w:rPr>
                <w:sz w:val="22"/>
              </w:rPr>
            </w:pPr>
            <w:r w:rsidRPr="00883399">
              <w:rPr>
                <w:sz w:val="22"/>
              </w:rPr>
              <w:t>5</w:t>
            </w:r>
          </w:p>
        </w:tc>
        <w:tc>
          <w:tcPr>
            <w:tcW w:w="6119" w:type="dxa"/>
            <w:shd w:val="clear" w:color="auto" w:fill="auto"/>
          </w:tcPr>
          <w:p w14:paraId="0B29D565" w14:textId="77777777" w:rsidR="00872C03" w:rsidRPr="00883399" w:rsidDel="00BE02E0" w:rsidRDefault="00872C03" w:rsidP="0031057E">
            <w:pPr>
              <w:pStyle w:val="Tabletext0"/>
              <w:rPr>
                <w:sz w:val="22"/>
              </w:rPr>
            </w:pPr>
            <w:r w:rsidRPr="00883399">
              <w:rPr>
                <w:sz w:val="22"/>
              </w:rPr>
              <w:t>Other venting sources—gas driven chemical injection pumps</w:t>
            </w:r>
          </w:p>
        </w:tc>
        <w:tc>
          <w:tcPr>
            <w:tcW w:w="1756" w:type="dxa"/>
            <w:shd w:val="clear" w:color="auto" w:fill="auto"/>
          </w:tcPr>
          <w:p w14:paraId="5EEC41A8" w14:textId="77777777" w:rsidR="00872C03" w:rsidRPr="00883399" w:rsidDel="00BE02E0" w:rsidRDefault="00872C03" w:rsidP="0031057E">
            <w:pPr>
              <w:pStyle w:val="Tabletext0"/>
              <w:rPr>
                <w:sz w:val="22"/>
              </w:rPr>
            </w:pPr>
            <w:r w:rsidRPr="00883399">
              <w:rPr>
                <w:sz w:val="22"/>
              </w:rPr>
              <w:t>Section 5.6.2</w:t>
            </w:r>
          </w:p>
        </w:tc>
      </w:tr>
      <w:tr w:rsidR="00872C03" w:rsidRPr="00883399" w:rsidDel="00BE02E0" w14:paraId="38B532B7" w14:textId="77777777" w:rsidTr="0031057E">
        <w:tc>
          <w:tcPr>
            <w:tcW w:w="686" w:type="dxa"/>
            <w:shd w:val="clear" w:color="auto" w:fill="auto"/>
          </w:tcPr>
          <w:p w14:paraId="109D8555" w14:textId="77777777" w:rsidR="00872C03" w:rsidRPr="00883399" w:rsidDel="00BE02E0" w:rsidRDefault="00872C03" w:rsidP="0031057E">
            <w:pPr>
              <w:pStyle w:val="Tabletext0"/>
              <w:rPr>
                <w:sz w:val="22"/>
              </w:rPr>
            </w:pPr>
            <w:r w:rsidRPr="00883399">
              <w:rPr>
                <w:sz w:val="22"/>
              </w:rPr>
              <w:t>6</w:t>
            </w:r>
          </w:p>
        </w:tc>
        <w:tc>
          <w:tcPr>
            <w:tcW w:w="6119" w:type="dxa"/>
            <w:shd w:val="clear" w:color="auto" w:fill="auto"/>
          </w:tcPr>
          <w:p w14:paraId="0610C3D5" w14:textId="77777777" w:rsidR="00872C03" w:rsidRPr="00883399" w:rsidDel="00BE02E0" w:rsidRDefault="00872C03" w:rsidP="0031057E">
            <w:pPr>
              <w:pStyle w:val="Tabletext0"/>
              <w:rPr>
                <w:sz w:val="22"/>
              </w:rPr>
            </w:pPr>
            <w:r w:rsidRPr="00883399">
              <w:rPr>
                <w:sz w:val="22"/>
              </w:rPr>
              <w:t>Other venting sources—coal seam exploratory drilling, well testing and mud degassing</w:t>
            </w:r>
          </w:p>
        </w:tc>
        <w:tc>
          <w:tcPr>
            <w:tcW w:w="1756" w:type="dxa"/>
            <w:shd w:val="clear" w:color="auto" w:fill="auto"/>
          </w:tcPr>
          <w:p w14:paraId="4C356D76" w14:textId="77777777" w:rsidR="00872C03" w:rsidRPr="00883399" w:rsidDel="00BE02E0" w:rsidRDefault="00872C03" w:rsidP="0031057E">
            <w:pPr>
              <w:pStyle w:val="Tabletext0"/>
              <w:rPr>
                <w:sz w:val="22"/>
              </w:rPr>
            </w:pPr>
            <w:r w:rsidRPr="00883399">
              <w:rPr>
                <w:sz w:val="22"/>
              </w:rPr>
              <w:t>Section 5.6.3 and 5.6.6</w:t>
            </w:r>
          </w:p>
        </w:tc>
      </w:tr>
      <w:tr w:rsidR="00872C03" w:rsidRPr="00883399" w14:paraId="36839F3B" w14:textId="77777777" w:rsidTr="0031057E">
        <w:tc>
          <w:tcPr>
            <w:tcW w:w="686" w:type="dxa"/>
            <w:tcBorders>
              <w:bottom w:val="single" w:sz="4" w:space="0" w:color="auto"/>
            </w:tcBorders>
            <w:shd w:val="clear" w:color="auto" w:fill="auto"/>
          </w:tcPr>
          <w:p w14:paraId="1A677112" w14:textId="77777777" w:rsidR="00872C03" w:rsidRPr="00883399" w:rsidRDefault="00872C03" w:rsidP="0031057E">
            <w:pPr>
              <w:pStyle w:val="Tabletext0"/>
              <w:rPr>
                <w:sz w:val="22"/>
              </w:rPr>
            </w:pPr>
            <w:r w:rsidRPr="00883399">
              <w:rPr>
                <w:sz w:val="22"/>
              </w:rPr>
              <w:t>7</w:t>
            </w:r>
          </w:p>
        </w:tc>
        <w:tc>
          <w:tcPr>
            <w:tcW w:w="6119" w:type="dxa"/>
            <w:tcBorders>
              <w:bottom w:val="single" w:sz="4" w:space="0" w:color="auto"/>
            </w:tcBorders>
            <w:shd w:val="clear" w:color="auto" w:fill="auto"/>
          </w:tcPr>
          <w:p w14:paraId="0D698A2C" w14:textId="77777777" w:rsidR="00872C03" w:rsidRPr="00883399" w:rsidRDefault="00872C03" w:rsidP="0031057E">
            <w:pPr>
              <w:pStyle w:val="Tabletext0"/>
              <w:rPr>
                <w:sz w:val="22"/>
              </w:rPr>
            </w:pPr>
            <w:r w:rsidRPr="00883399">
              <w:rPr>
                <w:sz w:val="22"/>
              </w:rPr>
              <w:t>Non</w:t>
            </w:r>
            <w:r w:rsidRPr="00883399">
              <w:rPr>
                <w:sz w:val="22"/>
              </w:rPr>
              <w:noBreakHyphen/>
              <w:t>routine activities—production related non</w:t>
            </w:r>
            <w:r w:rsidRPr="00883399">
              <w:rPr>
                <w:sz w:val="22"/>
              </w:rPr>
              <w:noBreakHyphen/>
              <w:t>routine emissions</w:t>
            </w:r>
          </w:p>
        </w:tc>
        <w:tc>
          <w:tcPr>
            <w:tcW w:w="1756" w:type="dxa"/>
            <w:tcBorders>
              <w:bottom w:val="single" w:sz="4" w:space="0" w:color="auto"/>
            </w:tcBorders>
            <w:shd w:val="clear" w:color="auto" w:fill="auto"/>
          </w:tcPr>
          <w:p w14:paraId="24E66A2A" w14:textId="77777777" w:rsidR="00872C03" w:rsidRPr="00883399" w:rsidRDefault="00872C03" w:rsidP="0031057E">
            <w:pPr>
              <w:pStyle w:val="Tabletext0"/>
              <w:rPr>
                <w:sz w:val="22"/>
              </w:rPr>
            </w:pPr>
            <w:r w:rsidRPr="00883399">
              <w:rPr>
                <w:sz w:val="22"/>
              </w:rPr>
              <w:t>Section 5.7.1 or 5.7.2</w:t>
            </w:r>
          </w:p>
        </w:tc>
      </w:tr>
      <w:tr w:rsidR="00872C03" w:rsidRPr="00883399" w14:paraId="29B2735D" w14:textId="77777777" w:rsidTr="0031057E">
        <w:tc>
          <w:tcPr>
            <w:tcW w:w="686" w:type="dxa"/>
            <w:tcBorders>
              <w:bottom w:val="single" w:sz="12" w:space="0" w:color="auto"/>
            </w:tcBorders>
            <w:shd w:val="clear" w:color="auto" w:fill="auto"/>
          </w:tcPr>
          <w:p w14:paraId="72806955" w14:textId="77777777" w:rsidR="00872C03" w:rsidRPr="00883399" w:rsidRDefault="00872C03" w:rsidP="0031057E">
            <w:pPr>
              <w:pStyle w:val="Tabletext0"/>
              <w:rPr>
                <w:sz w:val="22"/>
              </w:rPr>
            </w:pPr>
            <w:r w:rsidRPr="00883399">
              <w:rPr>
                <w:sz w:val="22"/>
              </w:rPr>
              <w:t>8</w:t>
            </w:r>
          </w:p>
        </w:tc>
        <w:tc>
          <w:tcPr>
            <w:tcW w:w="6119" w:type="dxa"/>
            <w:tcBorders>
              <w:bottom w:val="single" w:sz="12" w:space="0" w:color="auto"/>
            </w:tcBorders>
            <w:shd w:val="clear" w:color="auto" w:fill="auto"/>
          </w:tcPr>
          <w:p w14:paraId="4355C5FC" w14:textId="77777777" w:rsidR="00872C03" w:rsidRPr="00883399" w:rsidRDefault="00872C03" w:rsidP="0031057E">
            <w:pPr>
              <w:pStyle w:val="Tabletext0"/>
              <w:rPr>
                <w:sz w:val="22"/>
              </w:rPr>
            </w:pPr>
            <w:r w:rsidRPr="00883399">
              <w:rPr>
                <w:sz w:val="22"/>
              </w:rPr>
              <w:t>Non</w:t>
            </w:r>
            <w:r w:rsidRPr="00883399">
              <w:rPr>
                <w:sz w:val="22"/>
              </w:rPr>
              <w:noBreakHyphen/>
              <w:t>routine activities—gas processing related non</w:t>
            </w:r>
            <w:r w:rsidRPr="00883399">
              <w:rPr>
                <w:sz w:val="22"/>
              </w:rPr>
              <w:noBreakHyphen/>
              <w:t>routine emissions</w:t>
            </w:r>
          </w:p>
        </w:tc>
        <w:tc>
          <w:tcPr>
            <w:tcW w:w="1756" w:type="dxa"/>
            <w:tcBorders>
              <w:bottom w:val="single" w:sz="12" w:space="0" w:color="auto"/>
            </w:tcBorders>
            <w:shd w:val="clear" w:color="auto" w:fill="auto"/>
          </w:tcPr>
          <w:p w14:paraId="4C9921CC" w14:textId="77777777" w:rsidR="00872C03" w:rsidRPr="00883399" w:rsidRDefault="00872C03" w:rsidP="0031057E">
            <w:pPr>
              <w:pStyle w:val="Tabletext0"/>
              <w:rPr>
                <w:sz w:val="22"/>
              </w:rPr>
            </w:pPr>
            <w:r w:rsidRPr="00883399">
              <w:rPr>
                <w:sz w:val="22"/>
              </w:rPr>
              <w:t>Section 5.7.1 or 5.7.3</w:t>
            </w:r>
          </w:p>
        </w:tc>
      </w:tr>
    </w:tbl>
    <w:p w14:paraId="3E0091F9" w14:textId="6767580D" w:rsidR="00872C03" w:rsidRPr="00883399" w:rsidRDefault="00872C03" w:rsidP="00872C03">
      <w:pPr>
        <w:pStyle w:val="ActHead4"/>
        <w:rPr>
          <w:sz w:val="28"/>
        </w:rPr>
      </w:pPr>
      <w:bookmarkStart w:id="731" w:name="_Toc423516978"/>
      <w:bookmarkStart w:id="732" w:name="_Toc495652895"/>
      <w:r w:rsidRPr="00883399">
        <w:rPr>
          <w:rStyle w:val="CharSubdNo"/>
          <w:sz w:val="28"/>
        </w:rPr>
        <w:t>Subdivision 3.3.9.2</w:t>
      </w:r>
      <w:r w:rsidRPr="00883399">
        <w:rPr>
          <w:sz w:val="28"/>
        </w:rPr>
        <w:t>—</w:t>
      </w:r>
      <w:r w:rsidRPr="00883399">
        <w:rPr>
          <w:rStyle w:val="CharSubdText"/>
          <w:sz w:val="28"/>
        </w:rPr>
        <w:t>Emissions released from gas flared from natural gas production and processing</w:t>
      </w:r>
      <w:bookmarkEnd w:id="731"/>
      <w:bookmarkEnd w:id="732"/>
    </w:p>
    <w:p w14:paraId="36ECD978" w14:textId="77777777" w:rsidR="00872C03" w:rsidRPr="00883399" w:rsidRDefault="00872C03" w:rsidP="00872C03">
      <w:pPr>
        <w:pStyle w:val="Text"/>
        <w:rPr>
          <w:rFonts w:ascii="Arial" w:hAnsi="Arial" w:cs="Arial"/>
          <w:sz w:val="22"/>
          <w:szCs w:val="22"/>
        </w:rPr>
      </w:pPr>
      <w:bookmarkStart w:id="733" w:name="_Toc423516979"/>
      <w:r w:rsidRPr="00883399">
        <w:rPr>
          <w:rFonts w:ascii="Arial" w:hAnsi="Arial" w:cs="Arial"/>
          <w:sz w:val="22"/>
          <w:szCs w:val="22"/>
        </w:rPr>
        <w:t>Flaring refers to the controlled release to combustion of a mixed flammable gas stream. At gas processing plants, flared gas may arise from natural gas processing. Where there is no market for gas separated from the wellhead production stream, the gas is reinjected or flared.</w:t>
      </w:r>
    </w:p>
    <w:p w14:paraId="375FAC88"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This subsector does not include flaring from petroleum refining activities, which should be reported separately under 1.B.2a.iv Crude Oil refining and storage.</w:t>
      </w:r>
    </w:p>
    <w:p w14:paraId="6C6AB25F"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Method 1 is derived from the methods used for the </w:t>
      </w:r>
      <w:r w:rsidRPr="00883399">
        <w:rPr>
          <w:rFonts w:ascii="Arial" w:hAnsi="Arial" w:cs="Arial"/>
          <w:i/>
          <w:sz w:val="22"/>
          <w:szCs w:val="22"/>
        </w:rPr>
        <w:t>National Greenhouse Accounts</w:t>
      </w:r>
      <w:r w:rsidRPr="00883399">
        <w:rPr>
          <w:rFonts w:ascii="Arial" w:hAnsi="Arial" w:cs="Arial"/>
          <w:sz w:val="22"/>
          <w:szCs w:val="22"/>
        </w:rPr>
        <w:t>.  Methods 2 and 3 for carbon dioxide rely on the sampling and analysis of the fuel to estimate the composition of the gases in the fuel in accordance with the provisions of chapter 2.</w:t>
      </w:r>
    </w:p>
    <w:p w14:paraId="5449E5F7" w14:textId="44BB3EB9" w:rsidR="00872C03" w:rsidRPr="00883399" w:rsidRDefault="00872C03" w:rsidP="00872C03">
      <w:pPr>
        <w:pStyle w:val="ActHead5"/>
        <w:rPr>
          <w:sz w:val="28"/>
        </w:rPr>
      </w:pPr>
      <w:bookmarkStart w:id="734" w:name="_Toc495652896"/>
      <w:r w:rsidRPr="00883399">
        <w:rPr>
          <w:rStyle w:val="CharSectno"/>
          <w:sz w:val="28"/>
        </w:rPr>
        <w:lastRenderedPageBreak/>
        <w:t>3.85</w:t>
      </w:r>
      <w:r w:rsidRPr="00883399">
        <w:rPr>
          <w:sz w:val="28"/>
        </w:rPr>
        <w:t xml:space="preserve">  Method 1—gas flared from natural gas production and processing</w:t>
      </w:r>
      <w:bookmarkEnd w:id="733"/>
      <w:bookmarkEnd w:id="734"/>
    </w:p>
    <w:p w14:paraId="32080D86" w14:textId="77777777" w:rsidR="00872C03" w:rsidRPr="00883399" w:rsidRDefault="00872C03" w:rsidP="00872C03">
      <w:pPr>
        <w:pStyle w:val="subsection"/>
        <w:rPr>
          <w:sz w:val="24"/>
        </w:rPr>
      </w:pPr>
      <w:r w:rsidRPr="00883399">
        <w:rPr>
          <w:sz w:val="24"/>
        </w:rPr>
        <w:tab/>
        <w:t>(1)</w:t>
      </w:r>
      <w:r w:rsidRPr="00883399">
        <w:rPr>
          <w:sz w:val="24"/>
        </w:rPr>
        <w:tab/>
        <w:t>Method 1 is:</w:t>
      </w:r>
    </w:p>
    <w:p w14:paraId="79FB8A85" w14:textId="325A2FCB"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3F535DE1" wp14:editId="7C455C5F">
            <wp:extent cx="1009650" cy="2571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009650" cy="257175"/>
                    </a:xfrm>
                    <a:prstGeom prst="rect">
                      <a:avLst/>
                    </a:prstGeom>
                    <a:noFill/>
                    <a:ln>
                      <a:noFill/>
                    </a:ln>
                  </pic:spPr>
                </pic:pic>
              </a:graphicData>
            </a:graphic>
          </wp:inline>
        </w:drawing>
      </w:r>
    </w:p>
    <w:p w14:paraId="41FDFD0A" w14:textId="77777777" w:rsidR="00872C03" w:rsidRPr="00883399" w:rsidRDefault="00872C03" w:rsidP="00872C03">
      <w:pPr>
        <w:pStyle w:val="subsection2"/>
        <w:rPr>
          <w:sz w:val="24"/>
        </w:rPr>
      </w:pPr>
      <w:r w:rsidRPr="00883399">
        <w:rPr>
          <w:sz w:val="24"/>
        </w:rPr>
        <w:t>where:</w:t>
      </w:r>
    </w:p>
    <w:p w14:paraId="47E131B0" w14:textId="77777777" w:rsidR="00872C03" w:rsidRPr="00883399" w:rsidRDefault="00872C03" w:rsidP="00872C03">
      <w:pPr>
        <w:pStyle w:val="Definition0"/>
        <w:rPr>
          <w:sz w:val="24"/>
        </w:rPr>
      </w:pPr>
      <w:r w:rsidRPr="00883399">
        <w:rPr>
          <w:b/>
          <w:i/>
          <w:sz w:val="24"/>
        </w:rPr>
        <w:t>E</w:t>
      </w:r>
      <w:r w:rsidRPr="00883399">
        <w:rPr>
          <w:rFonts w:ascii="Times New Roman Bold" w:hAnsi="Times New Roman Bold"/>
          <w:b/>
          <w:i/>
          <w:sz w:val="24"/>
          <w:vertAlign w:val="subscript"/>
        </w:rPr>
        <w:t>i</w:t>
      </w:r>
      <w:r w:rsidRPr="00883399">
        <w:rPr>
          <w:b/>
          <w:i/>
          <w:sz w:val="24"/>
          <w:vertAlign w:val="subscript"/>
        </w:rPr>
        <w:t>j</w:t>
      </w:r>
      <w:r w:rsidRPr="00883399">
        <w:rPr>
          <w:b/>
          <w:i/>
          <w:sz w:val="24"/>
        </w:rPr>
        <w:t xml:space="preserve"> </w:t>
      </w:r>
      <w:r w:rsidRPr="00883399">
        <w:rPr>
          <w:sz w:val="24"/>
        </w:rPr>
        <w:t>is the emissions of gas type (</w:t>
      </w:r>
      <w:r w:rsidRPr="00883399">
        <w:rPr>
          <w:b/>
          <w:i/>
          <w:sz w:val="24"/>
        </w:rPr>
        <w:t>j</w:t>
      </w:r>
      <w:r w:rsidRPr="00883399">
        <w:rPr>
          <w:sz w:val="24"/>
        </w:rPr>
        <w:t>) measured in CO</w:t>
      </w:r>
      <w:r w:rsidRPr="00883399">
        <w:rPr>
          <w:rStyle w:val="charSubscript"/>
          <w:iCs/>
          <w:sz w:val="22"/>
        </w:rPr>
        <w:t>2</w:t>
      </w:r>
      <w:r w:rsidRPr="00883399">
        <w:rPr>
          <w:sz w:val="24"/>
        </w:rPr>
        <w:noBreakHyphen/>
        <w:t>e tonnes that result from a fuel type (</w:t>
      </w:r>
      <w:r w:rsidRPr="00883399">
        <w:rPr>
          <w:b/>
          <w:i/>
          <w:sz w:val="24"/>
        </w:rPr>
        <w:t>i</w:t>
      </w:r>
      <w:r w:rsidRPr="00883399">
        <w:rPr>
          <w:sz w:val="24"/>
        </w:rPr>
        <w:t>) flared in the natural gas production and processing during the year.</w:t>
      </w:r>
    </w:p>
    <w:p w14:paraId="253C0A9A" w14:textId="77777777" w:rsidR="00872C03" w:rsidRPr="00883399" w:rsidRDefault="00872C03" w:rsidP="00872C03">
      <w:pPr>
        <w:pStyle w:val="Definition0"/>
        <w:rPr>
          <w:sz w:val="24"/>
        </w:rPr>
      </w:pPr>
      <w:r w:rsidRPr="00883399">
        <w:rPr>
          <w:b/>
          <w:i/>
          <w:sz w:val="24"/>
        </w:rPr>
        <w:t>Q</w:t>
      </w:r>
      <w:r w:rsidRPr="00883399">
        <w:rPr>
          <w:b/>
          <w:i/>
          <w:sz w:val="24"/>
          <w:vertAlign w:val="subscript"/>
        </w:rPr>
        <w:t>i</w:t>
      </w:r>
      <w:r w:rsidRPr="00883399">
        <w:rPr>
          <w:b/>
          <w:i/>
          <w:sz w:val="24"/>
        </w:rPr>
        <w:t xml:space="preserve"> </w:t>
      </w:r>
      <w:r w:rsidRPr="00883399">
        <w:rPr>
          <w:sz w:val="24"/>
        </w:rPr>
        <w:t>is the quantity measured in tonnes of gas flared during the year.</w:t>
      </w:r>
    </w:p>
    <w:p w14:paraId="0B6F6B5F" w14:textId="77777777" w:rsidR="00872C03" w:rsidRPr="00883399" w:rsidRDefault="00872C03" w:rsidP="00872C03">
      <w:pPr>
        <w:pStyle w:val="Definition0"/>
        <w:rPr>
          <w:i/>
          <w:sz w:val="24"/>
        </w:rPr>
      </w:pPr>
      <w:r w:rsidRPr="00883399">
        <w:rPr>
          <w:b/>
          <w:i/>
          <w:sz w:val="24"/>
        </w:rPr>
        <w:t>EF</w:t>
      </w:r>
      <w:r w:rsidRPr="00883399">
        <w:rPr>
          <w:b/>
          <w:i/>
          <w:sz w:val="24"/>
          <w:vertAlign w:val="subscript"/>
        </w:rPr>
        <w:t>ij</w:t>
      </w:r>
      <w:r w:rsidRPr="00883399">
        <w:rPr>
          <w:b/>
          <w:i/>
          <w:sz w:val="24"/>
        </w:rPr>
        <w:t xml:space="preserve"> </w:t>
      </w:r>
      <w:r w:rsidRPr="00883399">
        <w:rPr>
          <w:sz w:val="24"/>
        </w:rPr>
        <w:t>is the emission factor for gas type (</w:t>
      </w:r>
      <w:r w:rsidRPr="00883399">
        <w:rPr>
          <w:b/>
          <w:i/>
          <w:sz w:val="24"/>
        </w:rPr>
        <w:t>j</w:t>
      </w:r>
      <w:r w:rsidRPr="00883399">
        <w:rPr>
          <w:sz w:val="24"/>
        </w:rPr>
        <w:t>) measured in CO</w:t>
      </w:r>
      <w:r w:rsidRPr="00883399">
        <w:rPr>
          <w:rStyle w:val="charSubscript"/>
          <w:iCs/>
          <w:sz w:val="22"/>
        </w:rPr>
        <w:t>2</w:t>
      </w:r>
      <w:r w:rsidRPr="00883399">
        <w:rPr>
          <w:sz w:val="24"/>
        </w:rPr>
        <w:noBreakHyphen/>
        <w:t>e tonnes of emissions per tonne of gas flared (</w:t>
      </w:r>
      <w:r w:rsidRPr="00883399">
        <w:rPr>
          <w:b/>
          <w:i/>
          <w:sz w:val="24"/>
        </w:rPr>
        <w:t>i</w:t>
      </w:r>
      <w:r w:rsidRPr="00883399">
        <w:rPr>
          <w:sz w:val="24"/>
        </w:rPr>
        <w:t>) in the natural gas production and processing during the year</w:t>
      </w:r>
      <w:r w:rsidRPr="00883399">
        <w:rPr>
          <w:i/>
          <w:sz w:val="24"/>
        </w:rPr>
        <w:t>.</w:t>
      </w:r>
    </w:p>
    <w:p w14:paraId="4C76E28B" w14:textId="77777777" w:rsidR="00872C03" w:rsidRPr="00883399" w:rsidRDefault="00872C03" w:rsidP="00872C03">
      <w:pPr>
        <w:pStyle w:val="subsection"/>
        <w:rPr>
          <w:sz w:val="24"/>
        </w:rPr>
      </w:pPr>
      <w:r w:rsidRPr="00883399">
        <w:rPr>
          <w:sz w:val="24"/>
        </w:rPr>
        <w:tab/>
        <w:t>(2)</w:t>
      </w:r>
      <w:r w:rsidRPr="00883399">
        <w:rPr>
          <w:sz w:val="24"/>
        </w:rPr>
        <w:tab/>
        <w:t xml:space="preserve">For </w:t>
      </w:r>
      <w:r w:rsidRPr="00883399">
        <w:rPr>
          <w:b/>
          <w:i/>
          <w:sz w:val="24"/>
        </w:rPr>
        <w:t>EF</w:t>
      </w:r>
      <w:r w:rsidRPr="00883399">
        <w:rPr>
          <w:b/>
          <w:i/>
          <w:sz w:val="24"/>
          <w:vertAlign w:val="subscript"/>
        </w:rPr>
        <w:t>ij</w:t>
      </w:r>
      <w:r w:rsidRPr="00883399">
        <w:rPr>
          <w:i/>
          <w:sz w:val="24"/>
          <w:vertAlign w:val="subscript"/>
        </w:rPr>
        <w:t xml:space="preserve"> </w:t>
      </w:r>
      <w:r w:rsidRPr="00883399">
        <w:rPr>
          <w:sz w:val="24"/>
        </w:rPr>
        <w:t>mentioned in subsection (1), columns 3, 4 and 5 of an item in the following table specify the emission factor for fuel type (</w:t>
      </w:r>
      <w:r w:rsidRPr="00883399">
        <w:rPr>
          <w:b/>
          <w:i/>
          <w:sz w:val="24"/>
        </w:rPr>
        <w:t>i</w:t>
      </w:r>
      <w:r w:rsidRPr="00883399">
        <w:rPr>
          <w:sz w:val="24"/>
        </w:rPr>
        <w:t>) specified in column 2 of that item.</w:t>
      </w:r>
    </w:p>
    <w:p w14:paraId="07DDCFD5" w14:textId="77777777" w:rsidR="00872C03" w:rsidRPr="00883399" w:rsidRDefault="00872C03" w:rsidP="00872C03">
      <w:pPr>
        <w:pStyle w:val="Tabletext0"/>
        <w:rPr>
          <w:sz w:val="22"/>
        </w:rPr>
      </w:pPr>
    </w:p>
    <w:tbl>
      <w:tblPr>
        <w:tblW w:w="0" w:type="auto"/>
        <w:tblInd w:w="1068" w:type="dxa"/>
        <w:tblBorders>
          <w:top w:val="single" w:sz="12" w:space="0" w:color="auto"/>
          <w:bottom w:val="single" w:sz="12" w:space="0" w:color="auto"/>
        </w:tblBorders>
        <w:tblLook w:val="0000" w:firstRow="0" w:lastRow="0" w:firstColumn="0" w:lastColumn="0" w:noHBand="0" w:noVBand="0"/>
      </w:tblPr>
      <w:tblGrid>
        <w:gridCol w:w="831"/>
        <w:gridCol w:w="1399"/>
        <w:gridCol w:w="1627"/>
        <w:gridCol w:w="1627"/>
        <w:gridCol w:w="1761"/>
      </w:tblGrid>
      <w:tr w:rsidR="00872C03" w:rsidRPr="00883399" w14:paraId="249397CF" w14:textId="77777777" w:rsidTr="0031057E">
        <w:trPr>
          <w:cantSplit/>
        </w:trPr>
        <w:tc>
          <w:tcPr>
            <w:tcW w:w="840" w:type="dxa"/>
            <w:shd w:val="clear" w:color="auto" w:fill="auto"/>
          </w:tcPr>
          <w:p w14:paraId="637ACFFB" w14:textId="77777777" w:rsidR="00872C03" w:rsidRPr="00883399" w:rsidRDefault="00872C03" w:rsidP="0031057E">
            <w:pPr>
              <w:pStyle w:val="TableHeading"/>
              <w:rPr>
                <w:sz w:val="22"/>
              </w:rPr>
            </w:pPr>
            <w:r w:rsidRPr="00883399">
              <w:rPr>
                <w:sz w:val="22"/>
              </w:rPr>
              <w:t>Item</w:t>
            </w:r>
          </w:p>
        </w:tc>
        <w:tc>
          <w:tcPr>
            <w:tcW w:w="1440" w:type="dxa"/>
            <w:vMerge w:val="restart"/>
            <w:shd w:val="clear" w:color="auto" w:fill="auto"/>
          </w:tcPr>
          <w:p w14:paraId="7989B376" w14:textId="77777777" w:rsidR="00872C03" w:rsidRPr="00883399" w:rsidRDefault="00872C03" w:rsidP="0031057E">
            <w:pPr>
              <w:pStyle w:val="TableHeading"/>
              <w:rPr>
                <w:sz w:val="22"/>
              </w:rPr>
            </w:pPr>
            <w:r w:rsidRPr="00883399">
              <w:rPr>
                <w:sz w:val="22"/>
              </w:rPr>
              <w:t>fuel type (i)</w:t>
            </w:r>
          </w:p>
        </w:tc>
        <w:tc>
          <w:tcPr>
            <w:tcW w:w="5181" w:type="dxa"/>
            <w:gridSpan w:val="3"/>
            <w:shd w:val="clear" w:color="auto" w:fill="auto"/>
          </w:tcPr>
          <w:p w14:paraId="32B6A98F" w14:textId="77777777" w:rsidR="00872C03" w:rsidRPr="00883399" w:rsidRDefault="00872C03" w:rsidP="0031057E">
            <w:pPr>
              <w:pStyle w:val="TableHeading"/>
              <w:rPr>
                <w:sz w:val="22"/>
              </w:rPr>
            </w:pPr>
            <w:r w:rsidRPr="00883399">
              <w:rPr>
                <w:sz w:val="22"/>
              </w:rPr>
              <w:t>Emission factor of gas type (j) (tonnes CO</w:t>
            </w:r>
            <w:r w:rsidRPr="00883399">
              <w:rPr>
                <w:sz w:val="22"/>
                <w:vertAlign w:val="subscript"/>
              </w:rPr>
              <w:t>2</w:t>
            </w:r>
            <w:r w:rsidRPr="00883399">
              <w:rPr>
                <w:sz w:val="22"/>
              </w:rPr>
              <w:noBreakHyphen/>
              <w:t>e/tonnes fuel flared)</w:t>
            </w:r>
          </w:p>
        </w:tc>
      </w:tr>
      <w:tr w:rsidR="00872C03" w:rsidRPr="00883399" w14:paraId="58E2DCB9" w14:textId="77777777" w:rsidTr="0031057E">
        <w:trPr>
          <w:cantSplit/>
        </w:trPr>
        <w:tc>
          <w:tcPr>
            <w:tcW w:w="840" w:type="dxa"/>
            <w:tcBorders>
              <w:bottom w:val="single" w:sz="12" w:space="0" w:color="auto"/>
            </w:tcBorders>
            <w:shd w:val="clear" w:color="auto" w:fill="auto"/>
          </w:tcPr>
          <w:p w14:paraId="4D33B744" w14:textId="77777777" w:rsidR="00872C03" w:rsidRPr="00883399" w:rsidRDefault="00872C03" w:rsidP="0031057E">
            <w:pPr>
              <w:pStyle w:val="TableHeading"/>
              <w:rPr>
                <w:sz w:val="22"/>
              </w:rPr>
            </w:pPr>
          </w:p>
        </w:tc>
        <w:tc>
          <w:tcPr>
            <w:tcW w:w="1440" w:type="dxa"/>
            <w:vMerge/>
            <w:tcBorders>
              <w:bottom w:val="single" w:sz="12" w:space="0" w:color="auto"/>
            </w:tcBorders>
            <w:shd w:val="clear" w:color="auto" w:fill="auto"/>
          </w:tcPr>
          <w:p w14:paraId="540A8817" w14:textId="77777777" w:rsidR="00872C03" w:rsidRPr="00883399" w:rsidRDefault="00872C03" w:rsidP="0031057E">
            <w:pPr>
              <w:pStyle w:val="TableHeading"/>
              <w:rPr>
                <w:sz w:val="22"/>
              </w:rPr>
            </w:pPr>
          </w:p>
        </w:tc>
        <w:tc>
          <w:tcPr>
            <w:tcW w:w="1680" w:type="dxa"/>
            <w:tcBorders>
              <w:bottom w:val="single" w:sz="12" w:space="0" w:color="auto"/>
            </w:tcBorders>
            <w:shd w:val="clear" w:color="auto" w:fill="auto"/>
          </w:tcPr>
          <w:p w14:paraId="3313B2C6" w14:textId="77777777" w:rsidR="00872C03" w:rsidRPr="00883399" w:rsidRDefault="00872C03" w:rsidP="0031057E">
            <w:pPr>
              <w:pStyle w:val="TableHeading"/>
              <w:rPr>
                <w:sz w:val="22"/>
              </w:rPr>
            </w:pPr>
            <w:r w:rsidRPr="00883399">
              <w:rPr>
                <w:sz w:val="22"/>
              </w:rPr>
              <w:t>CO</w:t>
            </w:r>
            <w:r w:rsidRPr="00883399">
              <w:rPr>
                <w:sz w:val="22"/>
                <w:vertAlign w:val="subscript"/>
              </w:rPr>
              <w:t>2</w:t>
            </w:r>
          </w:p>
        </w:tc>
        <w:tc>
          <w:tcPr>
            <w:tcW w:w="1680" w:type="dxa"/>
            <w:tcBorders>
              <w:bottom w:val="single" w:sz="12" w:space="0" w:color="auto"/>
            </w:tcBorders>
            <w:shd w:val="clear" w:color="auto" w:fill="auto"/>
          </w:tcPr>
          <w:p w14:paraId="15BE164C" w14:textId="77777777" w:rsidR="00872C03" w:rsidRPr="00883399" w:rsidRDefault="00872C03" w:rsidP="0031057E">
            <w:pPr>
              <w:pStyle w:val="TableHeading"/>
              <w:rPr>
                <w:sz w:val="22"/>
              </w:rPr>
            </w:pPr>
            <w:r w:rsidRPr="00883399">
              <w:rPr>
                <w:sz w:val="22"/>
              </w:rPr>
              <w:t>CH</w:t>
            </w:r>
            <w:r w:rsidRPr="00883399">
              <w:rPr>
                <w:sz w:val="22"/>
                <w:vertAlign w:val="subscript"/>
              </w:rPr>
              <w:t>4</w:t>
            </w:r>
          </w:p>
        </w:tc>
        <w:tc>
          <w:tcPr>
            <w:tcW w:w="1821" w:type="dxa"/>
            <w:tcBorders>
              <w:bottom w:val="single" w:sz="12" w:space="0" w:color="auto"/>
            </w:tcBorders>
            <w:shd w:val="clear" w:color="auto" w:fill="auto"/>
          </w:tcPr>
          <w:p w14:paraId="386A1636" w14:textId="77777777" w:rsidR="00872C03" w:rsidRPr="00883399" w:rsidRDefault="00872C03" w:rsidP="0031057E">
            <w:pPr>
              <w:pStyle w:val="TableHeading"/>
              <w:rPr>
                <w:sz w:val="22"/>
              </w:rPr>
            </w:pPr>
            <w:r w:rsidRPr="00883399">
              <w:rPr>
                <w:sz w:val="22"/>
              </w:rPr>
              <w:t>N</w:t>
            </w:r>
            <w:r w:rsidRPr="00883399">
              <w:rPr>
                <w:sz w:val="22"/>
                <w:vertAlign w:val="subscript"/>
              </w:rPr>
              <w:t>2</w:t>
            </w:r>
            <w:r w:rsidRPr="00883399">
              <w:rPr>
                <w:sz w:val="22"/>
              </w:rPr>
              <w:t>O</w:t>
            </w:r>
          </w:p>
        </w:tc>
      </w:tr>
      <w:tr w:rsidR="00872C03" w:rsidRPr="00883399" w14:paraId="0AA087B6" w14:textId="77777777" w:rsidTr="0031057E">
        <w:tc>
          <w:tcPr>
            <w:tcW w:w="840" w:type="dxa"/>
            <w:tcBorders>
              <w:top w:val="single" w:sz="12" w:space="0" w:color="auto"/>
              <w:bottom w:val="single" w:sz="12" w:space="0" w:color="auto"/>
            </w:tcBorders>
          </w:tcPr>
          <w:p w14:paraId="123A8D83" w14:textId="77777777" w:rsidR="00872C03" w:rsidRPr="00883399" w:rsidRDefault="00872C03" w:rsidP="0031057E">
            <w:pPr>
              <w:pStyle w:val="Tabletext0"/>
              <w:rPr>
                <w:sz w:val="22"/>
              </w:rPr>
            </w:pPr>
            <w:r w:rsidRPr="00883399">
              <w:rPr>
                <w:sz w:val="22"/>
              </w:rPr>
              <w:t>1</w:t>
            </w:r>
          </w:p>
        </w:tc>
        <w:tc>
          <w:tcPr>
            <w:tcW w:w="1440" w:type="dxa"/>
            <w:tcBorders>
              <w:top w:val="single" w:sz="12" w:space="0" w:color="auto"/>
              <w:bottom w:val="single" w:sz="12" w:space="0" w:color="auto"/>
            </w:tcBorders>
          </w:tcPr>
          <w:p w14:paraId="6B538812" w14:textId="77777777" w:rsidR="00872C03" w:rsidRPr="00883399" w:rsidRDefault="00872C03" w:rsidP="0031057E">
            <w:pPr>
              <w:pStyle w:val="Tabletext0"/>
              <w:rPr>
                <w:sz w:val="22"/>
              </w:rPr>
            </w:pPr>
            <w:r w:rsidRPr="00883399">
              <w:rPr>
                <w:sz w:val="22"/>
              </w:rPr>
              <w:t xml:space="preserve">gas </w:t>
            </w:r>
          </w:p>
        </w:tc>
        <w:tc>
          <w:tcPr>
            <w:tcW w:w="1680" w:type="dxa"/>
            <w:tcBorders>
              <w:top w:val="single" w:sz="12" w:space="0" w:color="auto"/>
              <w:bottom w:val="single" w:sz="12" w:space="0" w:color="auto"/>
            </w:tcBorders>
          </w:tcPr>
          <w:p w14:paraId="7E97FE31" w14:textId="77777777" w:rsidR="00872C03" w:rsidRPr="00883399" w:rsidRDefault="00872C03" w:rsidP="0031057E">
            <w:pPr>
              <w:pStyle w:val="Tabletext0"/>
              <w:rPr>
                <w:sz w:val="22"/>
              </w:rPr>
            </w:pPr>
            <w:r w:rsidRPr="00883399">
              <w:rPr>
                <w:sz w:val="22"/>
              </w:rPr>
              <w:t>2.7</w:t>
            </w:r>
          </w:p>
        </w:tc>
        <w:tc>
          <w:tcPr>
            <w:tcW w:w="1680" w:type="dxa"/>
            <w:tcBorders>
              <w:top w:val="single" w:sz="12" w:space="0" w:color="auto"/>
              <w:bottom w:val="single" w:sz="12" w:space="0" w:color="auto"/>
            </w:tcBorders>
          </w:tcPr>
          <w:p w14:paraId="27FF8E1F" w14:textId="77777777" w:rsidR="00872C03" w:rsidRPr="00883399" w:rsidRDefault="00872C03" w:rsidP="0031057E">
            <w:pPr>
              <w:pStyle w:val="Tabletext0"/>
              <w:rPr>
                <w:sz w:val="22"/>
              </w:rPr>
            </w:pPr>
            <w:r w:rsidRPr="00883399">
              <w:rPr>
                <w:sz w:val="22"/>
              </w:rPr>
              <w:t>0.1</w:t>
            </w:r>
          </w:p>
        </w:tc>
        <w:tc>
          <w:tcPr>
            <w:tcW w:w="1821" w:type="dxa"/>
            <w:tcBorders>
              <w:top w:val="single" w:sz="12" w:space="0" w:color="auto"/>
              <w:bottom w:val="single" w:sz="12" w:space="0" w:color="auto"/>
            </w:tcBorders>
          </w:tcPr>
          <w:p w14:paraId="11FBF988" w14:textId="77777777" w:rsidR="00872C03" w:rsidRPr="00883399" w:rsidRDefault="00872C03" w:rsidP="0031057E">
            <w:pPr>
              <w:pStyle w:val="Tabletext0"/>
              <w:rPr>
                <w:sz w:val="22"/>
              </w:rPr>
            </w:pPr>
            <w:r w:rsidRPr="00883399">
              <w:rPr>
                <w:sz w:val="22"/>
              </w:rPr>
              <w:t>0.03</w:t>
            </w:r>
          </w:p>
        </w:tc>
      </w:tr>
    </w:tbl>
    <w:p w14:paraId="4B831886" w14:textId="050B9371" w:rsidR="00872C03" w:rsidRPr="00883399" w:rsidRDefault="00872C03" w:rsidP="00872C03">
      <w:pPr>
        <w:pStyle w:val="ActHead5"/>
        <w:rPr>
          <w:sz w:val="28"/>
        </w:rPr>
      </w:pPr>
      <w:bookmarkStart w:id="735" w:name="_Toc423516980"/>
      <w:bookmarkStart w:id="736" w:name="_Toc495652897"/>
      <w:r w:rsidRPr="00883399">
        <w:rPr>
          <w:rStyle w:val="CharSectno"/>
          <w:sz w:val="28"/>
        </w:rPr>
        <w:t>3.86</w:t>
      </w:r>
      <w:r w:rsidRPr="00883399">
        <w:rPr>
          <w:sz w:val="28"/>
        </w:rPr>
        <w:t xml:space="preserve">  Method 2—gas flared from natural gas production and processing</w:t>
      </w:r>
      <w:bookmarkEnd w:id="735"/>
      <w:bookmarkEnd w:id="736"/>
    </w:p>
    <w:p w14:paraId="7F50AA7D" w14:textId="77777777" w:rsidR="00872C03" w:rsidRPr="00883399" w:rsidRDefault="00872C03" w:rsidP="00872C03">
      <w:pPr>
        <w:pStyle w:val="subsection"/>
        <w:rPr>
          <w:sz w:val="24"/>
        </w:rPr>
      </w:pPr>
      <w:r w:rsidRPr="00883399">
        <w:rPr>
          <w:sz w:val="24"/>
        </w:rPr>
        <w:tab/>
      </w:r>
      <w:r w:rsidRPr="00883399">
        <w:rPr>
          <w:sz w:val="24"/>
        </w:rPr>
        <w:tab/>
        <w:t>For subparagraph 3.83(3)(a)(ii), method 2 is:</w:t>
      </w:r>
    </w:p>
    <w:p w14:paraId="54A96722" w14:textId="77777777" w:rsidR="00872C03" w:rsidRPr="00883399" w:rsidRDefault="00872C03" w:rsidP="00872C03">
      <w:pPr>
        <w:pStyle w:val="subsection2"/>
        <w:rPr>
          <w:sz w:val="24"/>
        </w:rPr>
      </w:pPr>
      <w:r w:rsidRPr="00883399">
        <w:rPr>
          <w:sz w:val="24"/>
        </w:rPr>
        <w:object w:dxaOrig="3019" w:dyaOrig="460" w14:anchorId="0BF5AE56">
          <v:shape id="_x0000_i1066" type="#_x0000_t75" style="width:150.75pt;height:23.25pt" o:ole="">
            <v:imagedata r:id="rId171" o:title=""/>
          </v:shape>
          <o:OLEObject Type="Embed" ProgID="Equation.DSMT4" ShapeID="_x0000_i1066" DrawAspect="Content" ObjectID="_1594105957" r:id="rId172"/>
        </w:object>
      </w:r>
    </w:p>
    <w:p w14:paraId="01E66895" w14:textId="77777777" w:rsidR="00872C03" w:rsidRPr="00883399" w:rsidRDefault="00872C03" w:rsidP="00872C03">
      <w:pPr>
        <w:pStyle w:val="subsection2"/>
        <w:rPr>
          <w:sz w:val="24"/>
        </w:rPr>
      </w:pPr>
      <w:r w:rsidRPr="00883399">
        <w:rPr>
          <w:sz w:val="24"/>
        </w:rPr>
        <w:t>where:</w:t>
      </w:r>
    </w:p>
    <w:p w14:paraId="7F46DED0" w14:textId="77777777" w:rsidR="00872C03" w:rsidRPr="00883399" w:rsidRDefault="00872C03" w:rsidP="00872C03">
      <w:pPr>
        <w:pStyle w:val="Definition0"/>
        <w:rPr>
          <w:sz w:val="24"/>
        </w:rPr>
      </w:pPr>
      <w:r w:rsidRPr="00883399">
        <w:rPr>
          <w:b/>
          <w:i/>
          <w:sz w:val="24"/>
        </w:rPr>
        <w:t>E</w:t>
      </w:r>
      <w:r w:rsidRPr="00883399">
        <w:rPr>
          <w:rStyle w:val="charSubscript"/>
          <w:b/>
          <w:i/>
          <w:sz w:val="22"/>
        </w:rPr>
        <w:t>i</w:t>
      </w:r>
      <w:r w:rsidRPr="00883399">
        <w:rPr>
          <w:b/>
          <w:i/>
          <w:sz w:val="24"/>
          <w:vertAlign w:val="subscript"/>
        </w:rPr>
        <w:t>CO</w:t>
      </w:r>
      <w:r w:rsidRPr="00883399">
        <w:rPr>
          <w:b/>
          <w:i/>
          <w:position w:val="-4"/>
          <w:sz w:val="24"/>
          <w:vertAlign w:val="subscript"/>
        </w:rPr>
        <w:t>2</w:t>
      </w:r>
      <w:r w:rsidRPr="00883399">
        <w:rPr>
          <w:sz w:val="24"/>
        </w:rPr>
        <w:t xml:space="preserve"> is the fugitive emissions of CO</w:t>
      </w:r>
      <w:r w:rsidRPr="00883399">
        <w:rPr>
          <w:sz w:val="24"/>
          <w:vertAlign w:val="subscript"/>
        </w:rPr>
        <w:t>2</w:t>
      </w:r>
      <w:r w:rsidRPr="00883399">
        <w:rPr>
          <w:sz w:val="24"/>
        </w:rPr>
        <w:t xml:space="preserve"> from fuel type (</w:t>
      </w:r>
      <w:r w:rsidRPr="00883399">
        <w:rPr>
          <w:b/>
          <w:i/>
          <w:sz w:val="24"/>
        </w:rPr>
        <w:t>i</w:t>
      </w:r>
      <w:r w:rsidRPr="00883399">
        <w:rPr>
          <w:sz w:val="24"/>
        </w:rPr>
        <w:t>) flared in the natural gas production and processing during the year, measured in CO</w:t>
      </w:r>
      <w:r w:rsidRPr="00883399">
        <w:rPr>
          <w:sz w:val="24"/>
          <w:vertAlign w:val="subscript"/>
        </w:rPr>
        <w:t>2</w:t>
      </w:r>
      <w:r w:rsidRPr="00883399">
        <w:rPr>
          <w:sz w:val="24"/>
        </w:rPr>
        <w:noBreakHyphen/>
        <w:t>e tonnes.</w:t>
      </w:r>
    </w:p>
    <w:p w14:paraId="5CDEC4BA" w14:textId="77777777" w:rsidR="00872C03" w:rsidRPr="00883399" w:rsidRDefault="00872C03" w:rsidP="00872C03">
      <w:pPr>
        <w:pStyle w:val="Definition0"/>
        <w:rPr>
          <w:sz w:val="24"/>
        </w:rPr>
      </w:pPr>
      <w:r w:rsidRPr="00883399">
        <w:rPr>
          <w:b/>
          <w:i/>
          <w:sz w:val="24"/>
        </w:rPr>
        <w:t>Q</w:t>
      </w:r>
      <w:r w:rsidRPr="00883399">
        <w:rPr>
          <w:b/>
          <w:i/>
          <w:sz w:val="24"/>
          <w:vertAlign w:val="subscript"/>
        </w:rPr>
        <w:t>h</w:t>
      </w:r>
      <w:r w:rsidRPr="00883399">
        <w:rPr>
          <w:i/>
          <w:sz w:val="24"/>
        </w:rPr>
        <w:t xml:space="preserve"> </w:t>
      </w:r>
      <w:r w:rsidRPr="00883399">
        <w:rPr>
          <w:sz w:val="24"/>
        </w:rPr>
        <w:t>is the total quantity of hydrocarbons (</w:t>
      </w:r>
      <w:r w:rsidRPr="00883399">
        <w:rPr>
          <w:b/>
          <w:i/>
          <w:sz w:val="24"/>
        </w:rPr>
        <w:t>h</w:t>
      </w:r>
      <w:r w:rsidRPr="00883399">
        <w:rPr>
          <w:sz w:val="24"/>
        </w:rPr>
        <w:t>) within the fuel type (</w:t>
      </w:r>
      <w:r w:rsidRPr="00883399">
        <w:rPr>
          <w:b/>
          <w:i/>
          <w:sz w:val="24"/>
        </w:rPr>
        <w:t>i</w:t>
      </w:r>
      <w:r w:rsidRPr="00883399">
        <w:rPr>
          <w:sz w:val="24"/>
        </w:rPr>
        <w:t>) in the natural gas production and processing during the year, measured in tonnes in accordance with Division 2.3.3.</w:t>
      </w:r>
    </w:p>
    <w:p w14:paraId="692E0B61" w14:textId="77777777" w:rsidR="00872C03" w:rsidRPr="00883399" w:rsidRDefault="00872C03" w:rsidP="00872C03">
      <w:pPr>
        <w:pStyle w:val="Definition0"/>
        <w:rPr>
          <w:sz w:val="24"/>
        </w:rPr>
      </w:pPr>
      <w:r w:rsidRPr="00883399">
        <w:rPr>
          <w:b/>
          <w:i/>
          <w:sz w:val="24"/>
        </w:rPr>
        <w:t>EF</w:t>
      </w:r>
      <w:r w:rsidRPr="00883399">
        <w:rPr>
          <w:b/>
          <w:i/>
          <w:sz w:val="24"/>
          <w:vertAlign w:val="subscript"/>
        </w:rPr>
        <w:t>hi</w:t>
      </w:r>
      <w:r w:rsidRPr="00883399">
        <w:rPr>
          <w:sz w:val="24"/>
        </w:rPr>
        <w:t xml:space="preserve"> is the carbon dioxide emission factor for the total hydrocarbons (</w:t>
      </w:r>
      <w:r w:rsidRPr="00883399">
        <w:rPr>
          <w:b/>
          <w:i/>
          <w:sz w:val="24"/>
        </w:rPr>
        <w:t>h</w:t>
      </w:r>
      <w:r w:rsidRPr="00883399">
        <w:rPr>
          <w:sz w:val="24"/>
        </w:rPr>
        <w:t>) within the fuel type (</w:t>
      </w:r>
      <w:r w:rsidRPr="00883399">
        <w:rPr>
          <w:b/>
          <w:i/>
          <w:sz w:val="24"/>
        </w:rPr>
        <w:t>i</w:t>
      </w:r>
      <w:r w:rsidRPr="00883399">
        <w:rPr>
          <w:sz w:val="24"/>
        </w:rPr>
        <w:t xml:space="preserve">) in the natural gas production and processing during </w:t>
      </w:r>
      <w:r w:rsidRPr="00883399">
        <w:rPr>
          <w:sz w:val="24"/>
        </w:rPr>
        <w:lastRenderedPageBreak/>
        <w:t>the year, measured in CO</w:t>
      </w:r>
      <w:r w:rsidRPr="00883399">
        <w:rPr>
          <w:sz w:val="24"/>
          <w:vertAlign w:val="subscript"/>
        </w:rPr>
        <w:t>2</w:t>
      </w:r>
      <w:r w:rsidRPr="00883399">
        <w:rPr>
          <w:sz w:val="24"/>
        </w:rPr>
        <w:noBreakHyphen/>
        <w:t>e tonnes per tonne of fuel type (</w:t>
      </w:r>
      <w:r w:rsidRPr="00883399">
        <w:rPr>
          <w:b/>
          <w:i/>
          <w:sz w:val="24"/>
        </w:rPr>
        <w:t>i</w:t>
      </w:r>
      <w:r w:rsidRPr="00883399">
        <w:rPr>
          <w:sz w:val="24"/>
        </w:rPr>
        <w:t>) flared,</w:t>
      </w:r>
      <w:r w:rsidRPr="00883399">
        <w:rPr>
          <w:i/>
          <w:sz w:val="24"/>
        </w:rPr>
        <w:t xml:space="preserve"> </w:t>
      </w:r>
      <w:r w:rsidRPr="00883399">
        <w:rPr>
          <w:sz w:val="24"/>
        </w:rPr>
        <w:t>estimated in accordance with Division 2.3.3.</w:t>
      </w:r>
    </w:p>
    <w:p w14:paraId="26777317" w14:textId="77777777" w:rsidR="00872C03" w:rsidRPr="00883399" w:rsidRDefault="00872C03" w:rsidP="00872C03">
      <w:pPr>
        <w:pStyle w:val="Definition0"/>
        <w:rPr>
          <w:sz w:val="24"/>
        </w:rPr>
      </w:pPr>
      <w:r w:rsidRPr="00883399">
        <w:rPr>
          <w:b/>
          <w:i/>
          <w:sz w:val="24"/>
        </w:rPr>
        <w:t>OF</w:t>
      </w:r>
      <w:r w:rsidRPr="00883399">
        <w:rPr>
          <w:b/>
          <w:i/>
          <w:sz w:val="24"/>
          <w:vertAlign w:val="subscript"/>
        </w:rPr>
        <w:t>i</w:t>
      </w:r>
      <w:r w:rsidRPr="00883399">
        <w:rPr>
          <w:sz w:val="24"/>
        </w:rPr>
        <w:t xml:space="preserve"> is 0.98, which is the destruction efficiency of fuel type (</w:t>
      </w:r>
      <w:r w:rsidRPr="00883399">
        <w:rPr>
          <w:b/>
          <w:i/>
          <w:sz w:val="24"/>
        </w:rPr>
        <w:t>i</w:t>
      </w:r>
      <w:r w:rsidRPr="00883399">
        <w:rPr>
          <w:sz w:val="24"/>
        </w:rPr>
        <w:t>) flared.</w:t>
      </w:r>
    </w:p>
    <w:p w14:paraId="4F86ED94" w14:textId="77777777" w:rsidR="00872C03" w:rsidRPr="00883399" w:rsidRDefault="00872C03" w:rsidP="00872C03">
      <w:pPr>
        <w:pStyle w:val="Definition0"/>
        <w:rPr>
          <w:sz w:val="24"/>
        </w:rPr>
      </w:pPr>
      <w:r w:rsidRPr="00883399">
        <w:rPr>
          <w:b/>
          <w:i/>
          <w:sz w:val="24"/>
        </w:rPr>
        <w:t>QCO</w:t>
      </w:r>
      <w:r w:rsidRPr="00883399">
        <w:rPr>
          <w:b/>
          <w:i/>
          <w:sz w:val="24"/>
          <w:vertAlign w:val="subscript"/>
        </w:rPr>
        <w:t>2</w:t>
      </w:r>
      <w:r w:rsidRPr="00883399">
        <w:rPr>
          <w:sz w:val="24"/>
        </w:rPr>
        <w:t xml:space="preserve"> is the quantity of CO</w:t>
      </w:r>
      <w:r w:rsidRPr="00883399">
        <w:rPr>
          <w:sz w:val="24"/>
          <w:vertAlign w:val="subscript"/>
        </w:rPr>
        <w:t>2</w:t>
      </w:r>
      <w:r w:rsidRPr="00883399">
        <w:rPr>
          <w:sz w:val="24"/>
        </w:rPr>
        <w:t xml:space="preserve"> within the fuel type (</w:t>
      </w:r>
      <w:r w:rsidRPr="00883399">
        <w:rPr>
          <w:b/>
          <w:i/>
          <w:sz w:val="24"/>
        </w:rPr>
        <w:t>i</w:t>
      </w:r>
      <w:r w:rsidRPr="00883399">
        <w:rPr>
          <w:sz w:val="24"/>
        </w:rPr>
        <w:t>) in the natural gas production and processing during the year, measured in CO</w:t>
      </w:r>
      <w:r w:rsidRPr="00883399">
        <w:rPr>
          <w:sz w:val="24"/>
          <w:vertAlign w:val="subscript"/>
        </w:rPr>
        <w:t>2</w:t>
      </w:r>
      <w:r w:rsidRPr="00883399">
        <w:rPr>
          <w:sz w:val="24"/>
        </w:rPr>
        <w:noBreakHyphen/>
        <w:t>e tonnes in accordance with Division 2.3.3.</w:t>
      </w:r>
    </w:p>
    <w:p w14:paraId="065537C3" w14:textId="7817CF7A" w:rsidR="00872C03" w:rsidRPr="00883399" w:rsidRDefault="00872C03" w:rsidP="00872C03">
      <w:pPr>
        <w:pStyle w:val="ActHead5"/>
        <w:rPr>
          <w:sz w:val="28"/>
        </w:rPr>
      </w:pPr>
      <w:bookmarkStart w:id="737" w:name="_Toc423516981"/>
      <w:bookmarkStart w:id="738" w:name="_Toc495652898"/>
      <w:r w:rsidRPr="00883399">
        <w:rPr>
          <w:rStyle w:val="CharSectno"/>
          <w:sz w:val="28"/>
        </w:rPr>
        <w:t>3.86A</w:t>
      </w:r>
      <w:r w:rsidRPr="00883399">
        <w:rPr>
          <w:sz w:val="28"/>
        </w:rPr>
        <w:t xml:space="preserve">  Method 2A—natural gas production and processing (flared methane or nitrous oxide emissions)</w:t>
      </w:r>
      <w:bookmarkEnd w:id="737"/>
      <w:bookmarkEnd w:id="738"/>
    </w:p>
    <w:p w14:paraId="0E48E406" w14:textId="77777777" w:rsidR="00872C03" w:rsidRPr="00883399" w:rsidRDefault="00872C03" w:rsidP="00872C03">
      <w:pPr>
        <w:pStyle w:val="subsection"/>
        <w:keepNext/>
        <w:keepLines/>
        <w:rPr>
          <w:sz w:val="24"/>
        </w:rPr>
      </w:pPr>
      <w:r w:rsidRPr="00883399">
        <w:rPr>
          <w:sz w:val="24"/>
        </w:rPr>
        <w:tab/>
      </w:r>
      <w:r w:rsidRPr="00883399">
        <w:rPr>
          <w:sz w:val="24"/>
        </w:rPr>
        <w:tab/>
        <w:t>For subparagraphs 3.83(3)(b)(ii) and (c)(ii), method 2A is:</w:t>
      </w:r>
    </w:p>
    <w:p w14:paraId="1D6065CA" w14:textId="77777777" w:rsidR="00872C03" w:rsidRPr="00883399" w:rsidRDefault="00872C03" w:rsidP="00872C03">
      <w:pPr>
        <w:pStyle w:val="subsection2"/>
        <w:rPr>
          <w:sz w:val="24"/>
        </w:rPr>
      </w:pPr>
      <w:r w:rsidRPr="00883399">
        <w:rPr>
          <w:sz w:val="24"/>
        </w:rPr>
        <w:object w:dxaOrig="2079" w:dyaOrig="440" w14:anchorId="6B2DDC9A">
          <v:shape id="_x0000_i1067" type="#_x0000_t75" style="width:105.75pt;height:21.75pt" o:ole="">
            <v:imagedata r:id="rId156" o:title=""/>
          </v:shape>
          <o:OLEObject Type="Embed" ProgID="Equation.DSMT4" ShapeID="_x0000_i1067" DrawAspect="Content" ObjectID="_1594105958" r:id="rId173"/>
        </w:object>
      </w:r>
    </w:p>
    <w:p w14:paraId="162DC549" w14:textId="77777777" w:rsidR="00872C03" w:rsidRPr="00883399" w:rsidRDefault="00872C03" w:rsidP="00872C03">
      <w:pPr>
        <w:pStyle w:val="subsection2"/>
        <w:rPr>
          <w:sz w:val="24"/>
        </w:rPr>
      </w:pPr>
      <w:r w:rsidRPr="00883399">
        <w:rPr>
          <w:sz w:val="24"/>
        </w:rPr>
        <w:t>where:</w:t>
      </w:r>
    </w:p>
    <w:p w14:paraId="74F63F42" w14:textId="77777777" w:rsidR="00872C03" w:rsidRPr="00883399" w:rsidRDefault="00872C03" w:rsidP="00872C03">
      <w:pPr>
        <w:pStyle w:val="Definition0"/>
        <w:rPr>
          <w:sz w:val="24"/>
        </w:rPr>
      </w:pPr>
      <w:r w:rsidRPr="00883399">
        <w:rPr>
          <w:b/>
          <w:i/>
          <w:sz w:val="24"/>
        </w:rPr>
        <w:t>EF</w:t>
      </w:r>
      <w:r w:rsidRPr="00883399">
        <w:rPr>
          <w:b/>
          <w:i/>
          <w:sz w:val="24"/>
          <w:vertAlign w:val="subscript"/>
        </w:rPr>
        <w:t>hij</w:t>
      </w:r>
      <w:r w:rsidRPr="00883399">
        <w:rPr>
          <w:sz w:val="24"/>
        </w:rPr>
        <w:t xml:space="preserve"> is the emission factor of gas type (</w:t>
      </w:r>
      <w:r w:rsidRPr="00883399">
        <w:rPr>
          <w:b/>
          <w:i/>
          <w:sz w:val="24"/>
        </w:rPr>
        <w:t>j</w:t>
      </w:r>
      <w:r w:rsidRPr="00883399">
        <w:rPr>
          <w:sz w:val="24"/>
        </w:rPr>
        <w:t>), being methane or nitrous oxide, for the total hydrocarbons (</w:t>
      </w:r>
      <w:r w:rsidRPr="00883399">
        <w:rPr>
          <w:b/>
          <w:i/>
          <w:sz w:val="24"/>
        </w:rPr>
        <w:t>h</w:t>
      </w:r>
      <w:r w:rsidRPr="00883399">
        <w:rPr>
          <w:sz w:val="24"/>
        </w:rPr>
        <w:t>) within the fuel type (</w:t>
      </w:r>
      <w:r w:rsidRPr="00883399">
        <w:rPr>
          <w:b/>
          <w:i/>
          <w:sz w:val="24"/>
        </w:rPr>
        <w:t>i</w:t>
      </w:r>
      <w:r w:rsidRPr="00883399">
        <w:rPr>
          <w:sz w:val="24"/>
        </w:rPr>
        <w:t>) in natural gas production and processing during the year, mentioned for the fuel type in the table in subsection 3.85(2) and measured in CO</w:t>
      </w:r>
      <w:r w:rsidRPr="00883399">
        <w:rPr>
          <w:sz w:val="24"/>
          <w:vertAlign w:val="subscript"/>
        </w:rPr>
        <w:t>2</w:t>
      </w:r>
      <w:r w:rsidRPr="00883399">
        <w:rPr>
          <w:sz w:val="24"/>
        </w:rPr>
        <w:noBreakHyphen/>
        <w:t>e tonnes per tonne of the fuel type (</w:t>
      </w:r>
      <w:r w:rsidRPr="00883399">
        <w:rPr>
          <w:b/>
          <w:i/>
          <w:sz w:val="24"/>
        </w:rPr>
        <w:t>i</w:t>
      </w:r>
      <w:r w:rsidRPr="00883399">
        <w:rPr>
          <w:sz w:val="24"/>
        </w:rPr>
        <w:t>) flared.</w:t>
      </w:r>
    </w:p>
    <w:p w14:paraId="25E5BA98" w14:textId="77777777" w:rsidR="00872C03" w:rsidRPr="00883399" w:rsidRDefault="00872C03" w:rsidP="00872C03">
      <w:pPr>
        <w:pStyle w:val="Definition0"/>
        <w:rPr>
          <w:sz w:val="24"/>
        </w:rPr>
      </w:pPr>
      <w:r w:rsidRPr="00883399">
        <w:rPr>
          <w:b/>
          <w:i/>
          <w:sz w:val="24"/>
        </w:rPr>
        <w:t>E</w:t>
      </w:r>
      <w:r w:rsidRPr="00883399">
        <w:rPr>
          <w:b/>
          <w:i/>
          <w:sz w:val="24"/>
          <w:vertAlign w:val="subscript"/>
        </w:rPr>
        <w:t>ij</w:t>
      </w:r>
      <w:r w:rsidRPr="00883399">
        <w:rPr>
          <w:sz w:val="24"/>
        </w:rPr>
        <w:t xml:space="preserve"> is the fugitive emissions of gas type (</w:t>
      </w:r>
      <w:r w:rsidRPr="00883399">
        <w:rPr>
          <w:b/>
          <w:i/>
          <w:sz w:val="24"/>
        </w:rPr>
        <w:t>j</w:t>
      </w:r>
      <w:r w:rsidRPr="00883399">
        <w:rPr>
          <w:sz w:val="24"/>
        </w:rPr>
        <w:t>), being methane or nitrous oxide, from fuel type (</w:t>
      </w:r>
      <w:r w:rsidRPr="00883399">
        <w:rPr>
          <w:b/>
          <w:i/>
          <w:sz w:val="24"/>
        </w:rPr>
        <w:t>i</w:t>
      </w:r>
      <w:r w:rsidRPr="00883399">
        <w:rPr>
          <w:sz w:val="24"/>
        </w:rPr>
        <w:t>) flared</w:t>
      </w:r>
      <w:r w:rsidRPr="00883399">
        <w:rPr>
          <w:i/>
          <w:sz w:val="24"/>
        </w:rPr>
        <w:t xml:space="preserve"> </w:t>
      </w:r>
      <w:r w:rsidRPr="00883399">
        <w:rPr>
          <w:sz w:val="24"/>
        </w:rPr>
        <w:t>from natural gas production and processing during the year, measured in CO</w:t>
      </w:r>
      <w:r w:rsidRPr="00883399">
        <w:rPr>
          <w:sz w:val="24"/>
          <w:vertAlign w:val="subscript"/>
        </w:rPr>
        <w:t>2</w:t>
      </w:r>
      <w:r w:rsidRPr="00883399">
        <w:rPr>
          <w:sz w:val="24"/>
        </w:rPr>
        <w:noBreakHyphen/>
        <w:t>e tonnes.</w:t>
      </w:r>
    </w:p>
    <w:p w14:paraId="7934172E" w14:textId="77777777" w:rsidR="00872C03" w:rsidRPr="00883399" w:rsidRDefault="00872C03" w:rsidP="00872C03">
      <w:pPr>
        <w:pStyle w:val="Definition0"/>
        <w:rPr>
          <w:sz w:val="24"/>
        </w:rPr>
      </w:pPr>
      <w:r w:rsidRPr="00883399">
        <w:rPr>
          <w:b/>
          <w:i/>
          <w:sz w:val="24"/>
        </w:rPr>
        <w:t>OF</w:t>
      </w:r>
      <w:r w:rsidRPr="00883399">
        <w:rPr>
          <w:b/>
          <w:i/>
          <w:sz w:val="24"/>
          <w:vertAlign w:val="subscript"/>
        </w:rPr>
        <w:t>i</w:t>
      </w:r>
      <w:r w:rsidRPr="00883399">
        <w:rPr>
          <w:sz w:val="24"/>
        </w:rPr>
        <w:t xml:space="preserve"> is 0.98, which is the destruction efficiency of fuel type (</w:t>
      </w:r>
      <w:r w:rsidRPr="00883399">
        <w:rPr>
          <w:b/>
          <w:i/>
          <w:sz w:val="24"/>
        </w:rPr>
        <w:t>i</w:t>
      </w:r>
      <w:r w:rsidRPr="00883399">
        <w:rPr>
          <w:sz w:val="24"/>
        </w:rPr>
        <w:t>) flared.</w:t>
      </w:r>
    </w:p>
    <w:p w14:paraId="5E6A483B" w14:textId="77777777" w:rsidR="00872C03" w:rsidRPr="00883399" w:rsidRDefault="00872C03" w:rsidP="00872C03">
      <w:pPr>
        <w:pStyle w:val="Definition0"/>
        <w:rPr>
          <w:sz w:val="24"/>
        </w:rPr>
      </w:pPr>
      <w:r w:rsidRPr="00883399">
        <w:rPr>
          <w:b/>
          <w:i/>
          <w:sz w:val="24"/>
        </w:rPr>
        <w:t>Q</w:t>
      </w:r>
      <w:r w:rsidRPr="00883399">
        <w:rPr>
          <w:b/>
          <w:i/>
          <w:sz w:val="24"/>
          <w:vertAlign w:val="subscript"/>
        </w:rPr>
        <w:t>h</w:t>
      </w:r>
      <w:r w:rsidRPr="00883399">
        <w:rPr>
          <w:sz w:val="24"/>
        </w:rPr>
        <w:t xml:space="preserve"> is the total quantity of hydrocarbons (</w:t>
      </w:r>
      <w:r w:rsidRPr="00883399">
        <w:rPr>
          <w:b/>
          <w:i/>
          <w:sz w:val="24"/>
        </w:rPr>
        <w:t>h</w:t>
      </w:r>
      <w:r w:rsidRPr="00883399">
        <w:rPr>
          <w:sz w:val="24"/>
        </w:rPr>
        <w:t>) within the fuel type (</w:t>
      </w:r>
      <w:r w:rsidRPr="00883399">
        <w:rPr>
          <w:b/>
          <w:i/>
          <w:sz w:val="24"/>
        </w:rPr>
        <w:t>i</w:t>
      </w:r>
      <w:r w:rsidRPr="00883399">
        <w:rPr>
          <w:sz w:val="24"/>
        </w:rPr>
        <w:t>) in natural gas production and processing during the year, measured in tonnes in accordance with Division 2.3.3.</w:t>
      </w:r>
    </w:p>
    <w:p w14:paraId="2E61D77A" w14:textId="2D32A67B" w:rsidR="00872C03" w:rsidRPr="00883399" w:rsidRDefault="00872C03" w:rsidP="00872C03">
      <w:pPr>
        <w:pStyle w:val="ActHead5"/>
        <w:rPr>
          <w:sz w:val="28"/>
        </w:rPr>
      </w:pPr>
      <w:bookmarkStart w:id="739" w:name="_Toc423516982"/>
      <w:bookmarkStart w:id="740" w:name="_Toc495652899"/>
      <w:r w:rsidRPr="00883399">
        <w:rPr>
          <w:rStyle w:val="CharSectno"/>
          <w:sz w:val="28"/>
        </w:rPr>
        <w:t>3.87</w:t>
      </w:r>
      <w:r w:rsidRPr="00883399">
        <w:rPr>
          <w:sz w:val="28"/>
        </w:rPr>
        <w:t xml:space="preserve">  Method 3—gas flared from natural gas production and processing</w:t>
      </w:r>
      <w:bookmarkEnd w:id="739"/>
      <w:bookmarkEnd w:id="740"/>
    </w:p>
    <w:p w14:paraId="7A942734" w14:textId="77777777" w:rsidR="00872C03" w:rsidRPr="00883399" w:rsidRDefault="00872C03" w:rsidP="00872C03">
      <w:pPr>
        <w:pStyle w:val="subsection"/>
        <w:rPr>
          <w:sz w:val="24"/>
        </w:rPr>
      </w:pPr>
      <w:r w:rsidRPr="00883399">
        <w:rPr>
          <w:sz w:val="24"/>
        </w:rPr>
        <w:tab/>
      </w:r>
      <w:r w:rsidRPr="00883399">
        <w:rPr>
          <w:sz w:val="24"/>
        </w:rPr>
        <w:tab/>
        <w:t>For subparagraph 3.83(3)(a)(iii), method 3 is the same as method 2 under section 3.86, but the emission factor (</w:t>
      </w:r>
      <w:r w:rsidRPr="00883399">
        <w:rPr>
          <w:b/>
          <w:i/>
          <w:sz w:val="24"/>
        </w:rPr>
        <w:t>EF</w:t>
      </w:r>
      <w:r w:rsidRPr="00883399">
        <w:rPr>
          <w:b/>
          <w:i/>
          <w:sz w:val="24"/>
          <w:vertAlign w:val="subscript"/>
        </w:rPr>
        <w:t>ij</w:t>
      </w:r>
      <w:r w:rsidRPr="00883399">
        <w:rPr>
          <w:sz w:val="24"/>
        </w:rPr>
        <w:t>) must be determined in accordance with method 3 for the consumption of gaseous fuels as specified in Division 2.3.4.</w:t>
      </w:r>
    </w:p>
    <w:p w14:paraId="20B0E576"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b/>
          <w:lang w:eastAsia="en-US"/>
        </w:rPr>
      </w:pPr>
      <w:r w:rsidRPr="00883399">
        <w:rPr>
          <w:b/>
          <w:lang w:eastAsia="en-US"/>
        </w:rPr>
        <w:t>Estimating Carbon dioxide emissions from natural gas production and processing flaring using Method 2</w:t>
      </w:r>
    </w:p>
    <w:p w14:paraId="3D5FA52D"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lang w:eastAsia="en-US"/>
        </w:rPr>
      </w:pPr>
      <w:r w:rsidRPr="00883399">
        <w:rPr>
          <w:lang w:eastAsia="en-US"/>
        </w:rPr>
        <w:t xml:space="preserve">Natural gas production and processing generally involves some flaring of a waste gas stream. In this example a facility flares a waste gas stream of 1,000 tonnes during the </w:t>
      </w:r>
      <w:r w:rsidRPr="00883399">
        <w:rPr>
          <w:lang w:eastAsia="en-US"/>
        </w:rPr>
        <w:lastRenderedPageBreak/>
        <w:t>year, which contains a relatively high content of carbon dioxide in addition to some hydrogen sulphide and hydrocarbons. The reporters have chosen to use method 2 as this approach provides the opportunity to develop a carbon dioxide emission factor that better reflects the hydrocarbons present in the gas stream, as well as account for the in-situ carbon dioxide quantity which is emitted, but not combusted in the flare.</w:t>
      </w:r>
    </w:p>
    <w:p w14:paraId="195089DD" w14:textId="77777777" w:rsidR="00872C03" w:rsidRPr="00883399" w:rsidRDefault="00872C03" w:rsidP="00872C03">
      <w:pPr>
        <w:pBdr>
          <w:top w:val="single" w:sz="4" w:space="1" w:color="auto"/>
          <w:left w:val="single" w:sz="4" w:space="4" w:color="auto"/>
          <w:bottom w:val="single" w:sz="4" w:space="1" w:color="auto"/>
          <w:right w:val="single" w:sz="4" w:space="4" w:color="auto"/>
        </w:pBdr>
        <w:shd w:val="clear" w:color="auto" w:fill="D9D9D9"/>
        <w:spacing w:after="240"/>
        <w:rPr>
          <w:i/>
          <w:lang w:eastAsia="en-US"/>
        </w:rPr>
      </w:pPr>
      <w:r w:rsidRPr="00883399">
        <w:rPr>
          <w:i/>
          <w:lang w:eastAsia="en-US"/>
        </w:rPr>
        <w:t>Calculate the carbon dioxide emissions using Method 2 in section 3.86 of NGER (Measurement) Determination</w:t>
      </w:r>
    </w:p>
    <w:p w14:paraId="41C5A6F2"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jc w:val="center"/>
        <w:rPr>
          <w:sz w:val="28"/>
          <w:szCs w:val="28"/>
          <w:lang w:eastAsia="en-US"/>
        </w:rPr>
      </w:pPr>
      <w:r w:rsidRPr="00883399">
        <w:rPr>
          <w:sz w:val="28"/>
          <w:szCs w:val="28"/>
          <w:lang w:eastAsia="en-US"/>
        </w:rPr>
        <w:t>E</w:t>
      </w:r>
      <w:r w:rsidRPr="00883399">
        <w:rPr>
          <w:sz w:val="28"/>
          <w:szCs w:val="28"/>
          <w:vertAlign w:val="subscript"/>
          <w:lang w:eastAsia="en-US"/>
        </w:rPr>
        <w:t>ico2</w:t>
      </w:r>
      <w:r w:rsidRPr="00883399">
        <w:rPr>
          <w:sz w:val="28"/>
          <w:szCs w:val="28"/>
          <w:lang w:eastAsia="en-US"/>
        </w:rPr>
        <w:t xml:space="preserve"> = (Q</w:t>
      </w:r>
      <w:r w:rsidRPr="00883399">
        <w:rPr>
          <w:sz w:val="28"/>
          <w:szCs w:val="28"/>
          <w:vertAlign w:val="subscript"/>
          <w:lang w:eastAsia="en-US"/>
        </w:rPr>
        <w:t>h</w:t>
      </w:r>
      <w:r w:rsidRPr="00883399">
        <w:rPr>
          <w:sz w:val="28"/>
          <w:szCs w:val="28"/>
          <w:lang w:eastAsia="en-US"/>
        </w:rPr>
        <w:t xml:space="preserve"> × EF</w:t>
      </w:r>
      <w:r w:rsidRPr="00883399">
        <w:rPr>
          <w:sz w:val="28"/>
          <w:szCs w:val="28"/>
          <w:vertAlign w:val="subscript"/>
          <w:lang w:eastAsia="en-US"/>
        </w:rPr>
        <w:t>h</w:t>
      </w:r>
      <w:r w:rsidRPr="00883399">
        <w:rPr>
          <w:sz w:val="28"/>
          <w:szCs w:val="28"/>
          <w:lang w:eastAsia="en-US"/>
        </w:rPr>
        <w:t xml:space="preserve"> × OF</w:t>
      </w:r>
      <w:r w:rsidRPr="00883399">
        <w:rPr>
          <w:sz w:val="28"/>
          <w:szCs w:val="28"/>
          <w:vertAlign w:val="subscript"/>
          <w:lang w:eastAsia="en-US"/>
        </w:rPr>
        <w:t xml:space="preserve">i </w:t>
      </w:r>
      <w:r w:rsidRPr="00883399">
        <w:rPr>
          <w:sz w:val="28"/>
          <w:szCs w:val="28"/>
          <w:lang w:eastAsia="en-US"/>
        </w:rPr>
        <w:t>) + QCO</w:t>
      </w:r>
      <w:r w:rsidRPr="00883399">
        <w:rPr>
          <w:sz w:val="28"/>
          <w:szCs w:val="28"/>
          <w:vertAlign w:val="subscript"/>
          <w:lang w:eastAsia="en-US"/>
        </w:rPr>
        <w:t>2</w:t>
      </w:r>
    </w:p>
    <w:p w14:paraId="56A26C94"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720"/>
          <w:tab w:val="left" w:pos="1440"/>
          <w:tab w:val="left" w:pos="1848"/>
        </w:tabs>
        <w:spacing w:after="240"/>
        <w:rPr>
          <w:lang w:eastAsia="en-US"/>
        </w:rPr>
      </w:pPr>
      <w:r w:rsidRPr="00883399">
        <w:rPr>
          <w:lang w:eastAsia="en-US"/>
        </w:rPr>
        <w:tab/>
        <w:t>Where:</w:t>
      </w:r>
      <w:r w:rsidRPr="00883399">
        <w:rPr>
          <w:lang w:eastAsia="en-US"/>
        </w:rPr>
        <w:tab/>
      </w:r>
    </w:p>
    <w:p w14:paraId="302C3B5D"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b/>
          <w:bCs/>
          <w:i/>
          <w:iCs/>
          <w:sz w:val="23"/>
          <w:szCs w:val="23"/>
          <w:lang w:eastAsia="en-US"/>
        </w:rPr>
        <w:t>E</w:t>
      </w:r>
      <w:r w:rsidRPr="00883399">
        <w:rPr>
          <w:b/>
          <w:bCs/>
          <w:i/>
          <w:iCs/>
          <w:sz w:val="16"/>
          <w:szCs w:val="16"/>
          <w:lang w:eastAsia="en-US"/>
        </w:rPr>
        <w:t xml:space="preserve">iCO2 </w:t>
      </w:r>
      <w:r w:rsidRPr="00883399">
        <w:rPr>
          <w:sz w:val="23"/>
          <w:szCs w:val="23"/>
          <w:lang w:eastAsia="en-US"/>
        </w:rPr>
        <w:t>is the fugitive emissions of CO</w:t>
      </w:r>
      <w:r w:rsidRPr="00883399">
        <w:rPr>
          <w:sz w:val="16"/>
          <w:szCs w:val="16"/>
          <w:lang w:eastAsia="en-US"/>
        </w:rPr>
        <w:t xml:space="preserve">2 </w:t>
      </w:r>
      <w:r w:rsidRPr="00883399">
        <w:rPr>
          <w:sz w:val="23"/>
          <w:szCs w:val="23"/>
          <w:lang w:eastAsia="en-US"/>
        </w:rPr>
        <w:t>from fuel type (</w:t>
      </w:r>
      <w:r w:rsidRPr="00883399">
        <w:rPr>
          <w:b/>
          <w:bCs/>
          <w:i/>
          <w:iCs/>
          <w:sz w:val="23"/>
          <w:szCs w:val="23"/>
          <w:lang w:eastAsia="en-US"/>
        </w:rPr>
        <w:t>i</w:t>
      </w:r>
      <w:r w:rsidRPr="00883399">
        <w:rPr>
          <w:sz w:val="23"/>
          <w:szCs w:val="23"/>
          <w:lang w:eastAsia="en-US"/>
        </w:rPr>
        <w:t xml:space="preserve">) flared in </w:t>
      </w:r>
      <w:r w:rsidRPr="00883399">
        <w:rPr>
          <w:lang w:eastAsia="en-US"/>
        </w:rPr>
        <w:t>natural gas production and processing</w:t>
      </w:r>
      <w:r w:rsidRPr="00883399">
        <w:rPr>
          <w:sz w:val="23"/>
          <w:szCs w:val="23"/>
          <w:lang w:eastAsia="en-US"/>
        </w:rPr>
        <w:t xml:space="preserve"> during the year, measured in CO</w:t>
      </w:r>
      <w:r w:rsidRPr="00883399">
        <w:rPr>
          <w:sz w:val="16"/>
          <w:szCs w:val="16"/>
          <w:lang w:eastAsia="en-US"/>
        </w:rPr>
        <w:t>2</w:t>
      </w:r>
      <w:r w:rsidRPr="00883399">
        <w:rPr>
          <w:sz w:val="23"/>
          <w:szCs w:val="23"/>
          <w:lang w:eastAsia="en-US"/>
        </w:rPr>
        <w:t>-e tonnes.</w:t>
      </w:r>
    </w:p>
    <w:p w14:paraId="2BEE3135"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b/>
          <w:bCs/>
          <w:i/>
          <w:iCs/>
          <w:sz w:val="23"/>
          <w:szCs w:val="23"/>
          <w:lang w:eastAsia="en-US"/>
        </w:rPr>
        <w:t>Q</w:t>
      </w:r>
      <w:r w:rsidRPr="00883399">
        <w:rPr>
          <w:b/>
          <w:bCs/>
          <w:i/>
          <w:iCs/>
          <w:sz w:val="16"/>
          <w:szCs w:val="16"/>
          <w:lang w:eastAsia="en-US"/>
        </w:rPr>
        <w:t xml:space="preserve">h </w:t>
      </w:r>
      <w:r w:rsidRPr="00883399">
        <w:rPr>
          <w:sz w:val="23"/>
          <w:szCs w:val="23"/>
          <w:lang w:eastAsia="en-US"/>
        </w:rPr>
        <w:t>is the total quantity of hydrocarbons (</w:t>
      </w:r>
      <w:r w:rsidRPr="00883399">
        <w:rPr>
          <w:b/>
          <w:bCs/>
          <w:i/>
          <w:iCs/>
          <w:sz w:val="23"/>
          <w:szCs w:val="23"/>
          <w:lang w:eastAsia="en-US"/>
        </w:rPr>
        <w:t>h</w:t>
      </w:r>
      <w:r w:rsidRPr="00883399">
        <w:rPr>
          <w:sz w:val="23"/>
          <w:szCs w:val="23"/>
          <w:lang w:eastAsia="en-US"/>
        </w:rPr>
        <w:t>) within the fuel type (</w:t>
      </w:r>
      <w:r w:rsidRPr="00883399">
        <w:rPr>
          <w:b/>
          <w:bCs/>
          <w:i/>
          <w:iCs/>
          <w:sz w:val="23"/>
          <w:szCs w:val="23"/>
          <w:lang w:eastAsia="en-US"/>
        </w:rPr>
        <w:t>i</w:t>
      </w:r>
      <w:r w:rsidRPr="00883399">
        <w:rPr>
          <w:sz w:val="23"/>
          <w:szCs w:val="23"/>
          <w:lang w:eastAsia="en-US"/>
        </w:rPr>
        <w:t xml:space="preserve">) in </w:t>
      </w:r>
      <w:r w:rsidRPr="00883399">
        <w:rPr>
          <w:lang w:eastAsia="en-US"/>
        </w:rPr>
        <w:t>natural gas production and processing</w:t>
      </w:r>
      <w:r w:rsidRPr="00883399">
        <w:rPr>
          <w:sz w:val="23"/>
          <w:szCs w:val="23"/>
          <w:lang w:eastAsia="en-US"/>
        </w:rPr>
        <w:t xml:space="preserve"> during the year, measured in tonnes in accordance with Division 2.3.3.</w:t>
      </w:r>
    </w:p>
    <w:p w14:paraId="6BE29099"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sz w:val="23"/>
          <w:szCs w:val="23"/>
          <w:lang w:eastAsia="en-US"/>
        </w:rPr>
      </w:pPr>
      <w:r w:rsidRPr="00883399">
        <w:rPr>
          <w:b/>
          <w:bCs/>
          <w:i/>
          <w:iCs/>
          <w:sz w:val="23"/>
          <w:szCs w:val="23"/>
          <w:lang w:eastAsia="en-US"/>
        </w:rPr>
        <w:t>QCO</w:t>
      </w:r>
      <w:r w:rsidRPr="00883399">
        <w:rPr>
          <w:b/>
          <w:bCs/>
          <w:i/>
          <w:iCs/>
          <w:sz w:val="16"/>
          <w:szCs w:val="16"/>
          <w:lang w:eastAsia="en-US"/>
        </w:rPr>
        <w:t xml:space="preserve">2 </w:t>
      </w:r>
      <w:r w:rsidRPr="00883399">
        <w:rPr>
          <w:sz w:val="23"/>
          <w:szCs w:val="23"/>
          <w:lang w:eastAsia="en-US"/>
        </w:rPr>
        <w:t>is the quantity of CO</w:t>
      </w:r>
      <w:r w:rsidRPr="00883399">
        <w:rPr>
          <w:sz w:val="16"/>
          <w:szCs w:val="16"/>
          <w:lang w:eastAsia="en-US"/>
        </w:rPr>
        <w:t xml:space="preserve">2 </w:t>
      </w:r>
      <w:r w:rsidRPr="00883399">
        <w:rPr>
          <w:sz w:val="23"/>
          <w:szCs w:val="23"/>
          <w:lang w:eastAsia="en-US"/>
        </w:rPr>
        <w:t>within the fuel type (</w:t>
      </w:r>
      <w:r w:rsidRPr="00883399">
        <w:rPr>
          <w:b/>
          <w:bCs/>
          <w:i/>
          <w:iCs/>
          <w:sz w:val="23"/>
          <w:szCs w:val="23"/>
          <w:lang w:eastAsia="en-US"/>
        </w:rPr>
        <w:t>i</w:t>
      </w:r>
      <w:r w:rsidRPr="00883399">
        <w:rPr>
          <w:sz w:val="23"/>
          <w:szCs w:val="23"/>
          <w:lang w:eastAsia="en-US"/>
        </w:rPr>
        <w:t xml:space="preserve">) in </w:t>
      </w:r>
      <w:r w:rsidRPr="00883399">
        <w:rPr>
          <w:lang w:eastAsia="en-US"/>
        </w:rPr>
        <w:t>natural gas production and processing</w:t>
      </w:r>
      <w:r w:rsidRPr="00883399">
        <w:rPr>
          <w:sz w:val="23"/>
          <w:szCs w:val="23"/>
          <w:lang w:eastAsia="en-US"/>
        </w:rPr>
        <w:t xml:space="preserve"> during the year, measured in CO</w:t>
      </w:r>
      <w:r w:rsidRPr="00883399">
        <w:rPr>
          <w:sz w:val="16"/>
          <w:szCs w:val="16"/>
          <w:lang w:eastAsia="en-US"/>
        </w:rPr>
        <w:t>2</w:t>
      </w:r>
      <w:r w:rsidRPr="00883399">
        <w:rPr>
          <w:sz w:val="23"/>
          <w:szCs w:val="23"/>
          <w:lang w:eastAsia="en-US"/>
        </w:rPr>
        <w:t>-e tonnes in accordance with Division 2.3.3.</w:t>
      </w:r>
    </w:p>
    <w:p w14:paraId="6DD22F52"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b/>
          <w:bCs/>
          <w:i/>
          <w:iCs/>
          <w:sz w:val="23"/>
          <w:szCs w:val="23"/>
          <w:lang w:eastAsia="en-US"/>
        </w:rPr>
      </w:pPr>
      <w:r w:rsidRPr="00883399">
        <w:rPr>
          <w:b/>
          <w:bCs/>
          <w:i/>
          <w:iCs/>
          <w:sz w:val="23"/>
          <w:szCs w:val="23"/>
          <w:lang w:eastAsia="en-US"/>
        </w:rPr>
        <w:t>In this example it was determined (in accordance with Division 2.3.3) that the average composition of the waste gas stream being flared during the year is as follows:</w:t>
      </w:r>
    </w:p>
    <w:p w14:paraId="336E52CD"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bCs/>
          <w:iCs/>
          <w:sz w:val="23"/>
          <w:szCs w:val="23"/>
          <w:lang w:eastAsia="en-US"/>
        </w:rPr>
      </w:pPr>
      <w:r w:rsidRPr="00883399">
        <w:rPr>
          <w:b/>
          <w:bCs/>
          <w:i/>
          <w:iCs/>
          <w:sz w:val="23"/>
          <w:szCs w:val="23"/>
          <w:lang w:eastAsia="en-US"/>
        </w:rPr>
        <w:tab/>
      </w:r>
      <w:r w:rsidRPr="00883399">
        <w:rPr>
          <w:bCs/>
          <w:iCs/>
          <w:sz w:val="23"/>
          <w:szCs w:val="23"/>
          <w:lang w:eastAsia="en-US"/>
        </w:rPr>
        <w:t>Hydrocarbons C1 to C5 = 0.78 tonnes/ tonne of waste gas stream</w:t>
      </w:r>
    </w:p>
    <w:p w14:paraId="2A6B5F9C"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bCs/>
          <w:iCs/>
          <w:sz w:val="23"/>
          <w:szCs w:val="23"/>
          <w:lang w:eastAsia="en-US"/>
        </w:rPr>
      </w:pPr>
      <w:r w:rsidRPr="00883399">
        <w:rPr>
          <w:bCs/>
          <w:iCs/>
          <w:sz w:val="23"/>
          <w:szCs w:val="23"/>
          <w:lang w:eastAsia="en-US"/>
        </w:rPr>
        <w:tab/>
        <w:t>Hydrogen sulphide  = 0.0.04 tonnes/ tonne of waste gas stream</w:t>
      </w:r>
    </w:p>
    <w:p w14:paraId="743FB50B"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ind w:firstLine="720"/>
        <w:rPr>
          <w:bCs/>
          <w:iCs/>
          <w:sz w:val="23"/>
          <w:szCs w:val="23"/>
          <w:lang w:eastAsia="en-US"/>
        </w:rPr>
      </w:pPr>
      <w:r w:rsidRPr="00883399">
        <w:rPr>
          <w:bCs/>
          <w:iCs/>
          <w:sz w:val="23"/>
          <w:szCs w:val="23"/>
          <w:lang w:eastAsia="en-US"/>
        </w:rPr>
        <w:t>Nitrogen = 0.08 tonnes/ tonne of waste gas stream</w:t>
      </w:r>
    </w:p>
    <w:p w14:paraId="4B114AE0"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ind w:firstLine="720"/>
        <w:rPr>
          <w:bCs/>
          <w:iCs/>
          <w:sz w:val="23"/>
          <w:szCs w:val="23"/>
          <w:lang w:eastAsia="en-US"/>
        </w:rPr>
      </w:pPr>
      <w:r w:rsidRPr="00883399">
        <w:rPr>
          <w:bCs/>
          <w:iCs/>
          <w:sz w:val="23"/>
          <w:szCs w:val="23"/>
          <w:lang w:eastAsia="en-US"/>
        </w:rPr>
        <w:t>Carbon dioxide  = 0.10 tonnes/ tonne of waste gas stream</w:t>
      </w:r>
    </w:p>
    <w:p w14:paraId="71725228"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bCs/>
          <w:iCs/>
          <w:sz w:val="23"/>
          <w:szCs w:val="23"/>
          <w:lang w:eastAsia="en-US"/>
        </w:rPr>
      </w:pPr>
      <w:r w:rsidRPr="00883399">
        <w:rPr>
          <w:bCs/>
          <w:iCs/>
          <w:sz w:val="23"/>
          <w:szCs w:val="23"/>
          <w:lang w:eastAsia="en-US"/>
        </w:rPr>
        <w:t>Therefore:</w:t>
      </w:r>
    </w:p>
    <w:p w14:paraId="49C6C01E"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bCs/>
          <w:iCs/>
          <w:sz w:val="23"/>
          <w:szCs w:val="23"/>
          <w:lang w:eastAsia="en-US"/>
        </w:rPr>
      </w:pPr>
      <w:r w:rsidRPr="00883399">
        <w:rPr>
          <w:bCs/>
          <w:iCs/>
          <w:sz w:val="23"/>
          <w:szCs w:val="23"/>
          <w:lang w:eastAsia="en-US"/>
        </w:rPr>
        <w:lastRenderedPageBreak/>
        <w:tab/>
      </w:r>
      <w:r w:rsidRPr="00883399">
        <w:rPr>
          <w:b/>
          <w:bCs/>
          <w:i/>
          <w:iCs/>
          <w:sz w:val="23"/>
          <w:szCs w:val="23"/>
          <w:lang w:eastAsia="en-US"/>
        </w:rPr>
        <w:t>Q</w:t>
      </w:r>
      <w:r w:rsidRPr="00883399">
        <w:rPr>
          <w:b/>
          <w:bCs/>
          <w:i/>
          <w:iCs/>
          <w:sz w:val="16"/>
          <w:szCs w:val="16"/>
          <w:lang w:eastAsia="en-US"/>
        </w:rPr>
        <w:t xml:space="preserve">h </w:t>
      </w:r>
      <w:r w:rsidRPr="00883399">
        <w:rPr>
          <w:sz w:val="23"/>
          <w:szCs w:val="23"/>
          <w:lang w:eastAsia="en-US"/>
        </w:rPr>
        <w:t xml:space="preserve"> = </w:t>
      </w:r>
      <w:r w:rsidRPr="00883399">
        <w:rPr>
          <w:bCs/>
          <w:iCs/>
          <w:sz w:val="23"/>
          <w:szCs w:val="23"/>
          <w:lang w:eastAsia="en-US"/>
        </w:rPr>
        <w:t>0.78  x 1000 t of waste gas stream flared during the year</w:t>
      </w:r>
    </w:p>
    <w:p w14:paraId="68C514D7"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ind w:firstLine="720"/>
        <w:rPr>
          <w:b/>
          <w:sz w:val="23"/>
          <w:szCs w:val="23"/>
          <w:lang w:eastAsia="en-US"/>
        </w:rPr>
      </w:pPr>
      <w:r w:rsidRPr="00883399">
        <w:rPr>
          <w:b/>
          <w:bCs/>
          <w:i/>
          <w:iCs/>
          <w:sz w:val="23"/>
          <w:szCs w:val="23"/>
          <w:lang w:eastAsia="en-US"/>
        </w:rPr>
        <w:t>Q</w:t>
      </w:r>
      <w:r w:rsidRPr="00883399">
        <w:rPr>
          <w:b/>
          <w:bCs/>
          <w:i/>
          <w:iCs/>
          <w:sz w:val="16"/>
          <w:szCs w:val="16"/>
          <w:lang w:eastAsia="en-US"/>
        </w:rPr>
        <w:t xml:space="preserve">h </w:t>
      </w:r>
      <w:r w:rsidRPr="00883399">
        <w:rPr>
          <w:b/>
          <w:sz w:val="23"/>
          <w:szCs w:val="23"/>
          <w:lang w:eastAsia="en-US"/>
        </w:rPr>
        <w:t xml:space="preserve"> = </w:t>
      </w:r>
      <w:r w:rsidRPr="00883399">
        <w:rPr>
          <w:b/>
          <w:bCs/>
          <w:iCs/>
          <w:sz w:val="23"/>
          <w:szCs w:val="23"/>
          <w:lang w:eastAsia="en-US"/>
        </w:rPr>
        <w:t xml:space="preserve">780 tonnes  </w:t>
      </w:r>
    </w:p>
    <w:p w14:paraId="6BBD630E"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ind w:firstLine="720"/>
        <w:rPr>
          <w:bCs/>
          <w:iCs/>
          <w:sz w:val="23"/>
          <w:szCs w:val="23"/>
          <w:lang w:eastAsia="en-US"/>
        </w:rPr>
      </w:pPr>
      <w:r w:rsidRPr="00883399">
        <w:rPr>
          <w:b/>
          <w:bCs/>
          <w:i/>
          <w:iCs/>
          <w:sz w:val="23"/>
          <w:szCs w:val="23"/>
          <w:lang w:eastAsia="en-US"/>
        </w:rPr>
        <w:t>QCO</w:t>
      </w:r>
      <w:r w:rsidRPr="00883399">
        <w:rPr>
          <w:b/>
          <w:bCs/>
          <w:i/>
          <w:iCs/>
          <w:sz w:val="16"/>
          <w:szCs w:val="16"/>
          <w:lang w:eastAsia="en-US"/>
        </w:rPr>
        <w:t xml:space="preserve">2 </w:t>
      </w:r>
      <w:r w:rsidRPr="00883399">
        <w:rPr>
          <w:sz w:val="23"/>
          <w:szCs w:val="23"/>
          <w:lang w:eastAsia="en-US"/>
        </w:rPr>
        <w:t xml:space="preserve">= </w:t>
      </w:r>
      <w:r w:rsidRPr="00883399">
        <w:rPr>
          <w:bCs/>
          <w:iCs/>
          <w:sz w:val="23"/>
          <w:szCs w:val="23"/>
          <w:lang w:eastAsia="en-US"/>
        </w:rPr>
        <w:t>0.10  x 1000 t of waste gas stream flared during the year</w:t>
      </w:r>
    </w:p>
    <w:p w14:paraId="5B8DFFF4"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ind w:firstLine="720"/>
        <w:rPr>
          <w:b/>
          <w:lang w:eastAsia="en-US"/>
        </w:rPr>
      </w:pPr>
      <w:r w:rsidRPr="00883399">
        <w:rPr>
          <w:b/>
          <w:bCs/>
          <w:i/>
          <w:iCs/>
          <w:sz w:val="23"/>
          <w:szCs w:val="23"/>
          <w:lang w:eastAsia="en-US"/>
        </w:rPr>
        <w:t>QCO</w:t>
      </w:r>
      <w:r w:rsidRPr="00883399">
        <w:rPr>
          <w:b/>
          <w:bCs/>
          <w:i/>
          <w:iCs/>
          <w:sz w:val="16"/>
          <w:szCs w:val="16"/>
          <w:lang w:eastAsia="en-US"/>
        </w:rPr>
        <w:t xml:space="preserve">2 </w:t>
      </w:r>
      <w:r w:rsidRPr="00883399">
        <w:rPr>
          <w:b/>
          <w:sz w:val="23"/>
          <w:szCs w:val="23"/>
          <w:lang w:eastAsia="en-US"/>
        </w:rPr>
        <w:t>= 100 tonnes</w:t>
      </w:r>
    </w:p>
    <w:p w14:paraId="71A114D2" w14:textId="77777777" w:rsidR="00872C03" w:rsidRPr="00883399" w:rsidRDefault="00872C03" w:rsidP="00872C03">
      <w:pPr>
        <w:pBdr>
          <w:top w:val="single" w:sz="4" w:space="1" w:color="auto"/>
          <w:left w:val="single" w:sz="4" w:space="4" w:color="auto"/>
          <w:bottom w:val="single" w:sz="4" w:space="1" w:color="auto"/>
          <w:right w:val="single" w:sz="4" w:space="4" w:color="auto"/>
        </w:pBdr>
        <w:tabs>
          <w:tab w:val="left" w:pos="709"/>
        </w:tabs>
        <w:spacing w:after="240"/>
        <w:ind w:left="709" w:hanging="709"/>
        <w:rPr>
          <w:sz w:val="23"/>
          <w:szCs w:val="23"/>
          <w:lang w:eastAsia="en-US"/>
        </w:rPr>
      </w:pPr>
      <w:r w:rsidRPr="00883399">
        <w:rPr>
          <w:b/>
          <w:bCs/>
          <w:i/>
          <w:iCs/>
          <w:sz w:val="23"/>
          <w:szCs w:val="23"/>
          <w:lang w:eastAsia="en-US"/>
        </w:rPr>
        <w:tab/>
        <w:t>EF</w:t>
      </w:r>
      <w:r w:rsidRPr="00883399">
        <w:rPr>
          <w:b/>
          <w:bCs/>
          <w:i/>
          <w:iCs/>
          <w:sz w:val="16"/>
          <w:szCs w:val="16"/>
          <w:lang w:eastAsia="en-US"/>
        </w:rPr>
        <w:t xml:space="preserve">h </w:t>
      </w:r>
      <w:r w:rsidRPr="00883399">
        <w:rPr>
          <w:sz w:val="23"/>
          <w:szCs w:val="23"/>
          <w:lang w:eastAsia="en-US"/>
        </w:rPr>
        <w:t>is the emission factor for the total hydrocarbons (</w:t>
      </w:r>
      <w:r w:rsidRPr="00883399">
        <w:rPr>
          <w:b/>
          <w:bCs/>
          <w:i/>
          <w:iCs/>
          <w:sz w:val="23"/>
          <w:szCs w:val="23"/>
          <w:lang w:eastAsia="en-US"/>
        </w:rPr>
        <w:t>h</w:t>
      </w:r>
      <w:r w:rsidRPr="00883399">
        <w:rPr>
          <w:sz w:val="23"/>
          <w:szCs w:val="23"/>
          <w:lang w:eastAsia="en-US"/>
        </w:rPr>
        <w:t>) within the fuel type (</w:t>
      </w:r>
      <w:r w:rsidRPr="00883399">
        <w:rPr>
          <w:b/>
          <w:bCs/>
          <w:i/>
          <w:iCs/>
          <w:sz w:val="23"/>
          <w:szCs w:val="23"/>
          <w:lang w:eastAsia="en-US"/>
        </w:rPr>
        <w:t>i</w:t>
      </w:r>
      <w:r w:rsidRPr="00883399">
        <w:rPr>
          <w:sz w:val="23"/>
          <w:szCs w:val="23"/>
          <w:lang w:eastAsia="en-US"/>
        </w:rPr>
        <w:t xml:space="preserve">) in </w:t>
      </w:r>
      <w:r w:rsidRPr="00883399">
        <w:rPr>
          <w:lang w:eastAsia="en-US"/>
        </w:rPr>
        <w:t>natural gas production and processing</w:t>
      </w:r>
      <w:r w:rsidRPr="00883399">
        <w:rPr>
          <w:sz w:val="23"/>
          <w:szCs w:val="23"/>
          <w:lang w:eastAsia="en-US"/>
        </w:rPr>
        <w:t xml:space="preserve"> during the year, measured in CO</w:t>
      </w:r>
      <w:r w:rsidRPr="00883399">
        <w:rPr>
          <w:sz w:val="16"/>
          <w:szCs w:val="16"/>
          <w:lang w:eastAsia="en-US"/>
        </w:rPr>
        <w:t>2</w:t>
      </w:r>
      <w:r w:rsidRPr="00883399">
        <w:rPr>
          <w:sz w:val="23"/>
          <w:szCs w:val="23"/>
          <w:lang w:eastAsia="en-US"/>
        </w:rPr>
        <w:t>-e tonnes per tonne of fuel type (</w:t>
      </w:r>
      <w:r w:rsidRPr="00883399">
        <w:rPr>
          <w:b/>
          <w:bCs/>
          <w:i/>
          <w:iCs/>
          <w:sz w:val="23"/>
          <w:szCs w:val="23"/>
          <w:lang w:eastAsia="en-US"/>
        </w:rPr>
        <w:t>i</w:t>
      </w:r>
      <w:r w:rsidRPr="00883399">
        <w:rPr>
          <w:sz w:val="23"/>
          <w:szCs w:val="23"/>
          <w:lang w:eastAsia="en-US"/>
        </w:rPr>
        <w:t>) flared</w:t>
      </w:r>
      <w:r w:rsidRPr="00883399">
        <w:rPr>
          <w:i/>
          <w:iCs/>
          <w:sz w:val="23"/>
          <w:szCs w:val="23"/>
          <w:lang w:eastAsia="en-US"/>
        </w:rPr>
        <w:t xml:space="preserve">, </w:t>
      </w:r>
      <w:r w:rsidRPr="00883399">
        <w:rPr>
          <w:sz w:val="23"/>
          <w:szCs w:val="23"/>
          <w:lang w:eastAsia="en-US"/>
        </w:rPr>
        <w:t>estimated in accordance with method 2 in Division 2.3.3.</w:t>
      </w:r>
    </w:p>
    <w:p w14:paraId="4BA8ACAE"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b/>
          <w:bCs/>
          <w:i/>
          <w:iCs/>
          <w:sz w:val="23"/>
          <w:szCs w:val="23"/>
          <w:lang w:eastAsia="en-US"/>
        </w:rPr>
      </w:pPr>
      <w:r w:rsidRPr="00883399">
        <w:rPr>
          <w:b/>
          <w:bCs/>
          <w:i/>
          <w:iCs/>
          <w:sz w:val="23"/>
          <w:szCs w:val="23"/>
          <w:lang w:eastAsia="en-US"/>
        </w:rPr>
        <w:t>In this example it was determined (in accordance with Division 2.3.3) that the emission factor derived from the average hydrocarbon composition of the waste gas stream being flared during the year was:</w:t>
      </w:r>
    </w:p>
    <w:p w14:paraId="20F57ABC" w14:textId="77777777" w:rsidR="00872C03" w:rsidRPr="00883399" w:rsidRDefault="00872C03" w:rsidP="00872C03">
      <w:pPr>
        <w:pBdr>
          <w:top w:val="single" w:sz="4" w:space="1" w:color="auto"/>
          <w:left w:val="single" w:sz="4" w:space="4" w:color="auto"/>
          <w:bottom w:val="single" w:sz="4" w:space="1" w:color="auto"/>
          <w:right w:val="single" w:sz="4" w:space="4" w:color="auto"/>
        </w:pBdr>
        <w:spacing w:after="240"/>
        <w:rPr>
          <w:bCs/>
          <w:iCs/>
          <w:sz w:val="23"/>
          <w:szCs w:val="23"/>
          <w:lang w:eastAsia="en-US"/>
        </w:rPr>
      </w:pPr>
      <w:r w:rsidRPr="00883399">
        <w:rPr>
          <w:bCs/>
          <w:iCs/>
          <w:sz w:val="23"/>
          <w:szCs w:val="23"/>
          <w:lang w:eastAsia="en-US"/>
        </w:rPr>
        <w:t xml:space="preserve"> 2.2 tonnes of CO</w:t>
      </w:r>
      <w:r w:rsidRPr="00883399">
        <w:rPr>
          <w:bCs/>
          <w:iCs/>
          <w:sz w:val="23"/>
          <w:szCs w:val="23"/>
          <w:vertAlign w:val="subscript"/>
          <w:lang w:eastAsia="en-US"/>
        </w:rPr>
        <w:t>2</w:t>
      </w:r>
      <w:r w:rsidRPr="00883399">
        <w:rPr>
          <w:bCs/>
          <w:iCs/>
          <w:sz w:val="23"/>
          <w:szCs w:val="23"/>
          <w:lang w:eastAsia="en-US"/>
        </w:rPr>
        <w:t xml:space="preserve"> per tonne of waste gas stream flared</w:t>
      </w:r>
    </w:p>
    <w:p w14:paraId="04724AE1" w14:textId="77777777" w:rsidR="00A83D4F" w:rsidRPr="00883399" w:rsidRDefault="00A83D4F" w:rsidP="00A83D4F">
      <w:pPr>
        <w:pBdr>
          <w:top w:val="single" w:sz="4" w:space="1" w:color="auto"/>
          <w:left w:val="single" w:sz="4" w:space="4" w:color="auto"/>
          <w:bottom w:val="single" w:sz="4" w:space="1" w:color="auto"/>
          <w:right w:val="single" w:sz="4" w:space="4" w:color="auto"/>
        </w:pBdr>
        <w:tabs>
          <w:tab w:val="left" w:pos="3245"/>
        </w:tabs>
        <w:spacing w:after="240"/>
        <w:rPr>
          <w:bCs/>
          <w:iCs/>
          <w:sz w:val="23"/>
          <w:szCs w:val="23"/>
          <w:lang w:eastAsia="en-US"/>
        </w:rPr>
      </w:pPr>
      <w:bookmarkStart w:id="741" w:name="_Toc423516983"/>
      <w:r w:rsidRPr="00883399">
        <w:rPr>
          <w:bCs/>
          <w:iCs/>
          <w:sz w:val="23"/>
          <w:szCs w:val="23"/>
          <w:lang w:eastAsia="en-US"/>
        </w:rPr>
        <w:t>Therefore:</w:t>
      </w:r>
      <w:r w:rsidRPr="00883399">
        <w:rPr>
          <w:bCs/>
          <w:iCs/>
          <w:sz w:val="23"/>
          <w:szCs w:val="23"/>
          <w:lang w:eastAsia="en-US"/>
        </w:rPr>
        <w:tab/>
      </w:r>
    </w:p>
    <w:p w14:paraId="2FAF3F47" w14:textId="77777777" w:rsidR="00A83D4F" w:rsidRPr="00883399" w:rsidRDefault="00A83D4F" w:rsidP="00A83D4F">
      <w:pPr>
        <w:pBdr>
          <w:top w:val="single" w:sz="4" w:space="1" w:color="auto"/>
          <w:left w:val="single" w:sz="4" w:space="4" w:color="auto"/>
          <w:bottom w:val="single" w:sz="4" w:space="1" w:color="auto"/>
          <w:right w:val="single" w:sz="4" w:space="4" w:color="auto"/>
        </w:pBdr>
        <w:spacing w:after="240"/>
        <w:ind w:firstLine="720"/>
        <w:rPr>
          <w:b/>
          <w:bCs/>
          <w:iCs/>
          <w:sz w:val="23"/>
          <w:szCs w:val="23"/>
          <w:lang w:eastAsia="en-US"/>
        </w:rPr>
      </w:pPr>
      <w:r w:rsidRPr="00883399">
        <w:rPr>
          <w:b/>
          <w:bCs/>
          <w:i/>
          <w:iCs/>
          <w:sz w:val="23"/>
          <w:szCs w:val="23"/>
          <w:lang w:eastAsia="en-US"/>
        </w:rPr>
        <w:t>EF</w:t>
      </w:r>
      <w:r w:rsidRPr="00883399">
        <w:rPr>
          <w:b/>
          <w:bCs/>
          <w:i/>
          <w:iCs/>
          <w:sz w:val="16"/>
          <w:szCs w:val="16"/>
          <w:lang w:eastAsia="en-US"/>
        </w:rPr>
        <w:t xml:space="preserve">h = </w:t>
      </w:r>
      <w:r w:rsidRPr="00883399">
        <w:rPr>
          <w:b/>
          <w:sz w:val="23"/>
          <w:szCs w:val="23"/>
          <w:lang w:eastAsia="en-US"/>
        </w:rPr>
        <w:t>2.2</w:t>
      </w:r>
    </w:p>
    <w:p w14:paraId="711B60B4" w14:textId="77777777" w:rsidR="00A83D4F" w:rsidRPr="00883399" w:rsidRDefault="00A83D4F" w:rsidP="00A83D4F">
      <w:pPr>
        <w:pBdr>
          <w:top w:val="single" w:sz="4" w:space="1" w:color="auto"/>
          <w:left w:val="single" w:sz="4" w:space="4" w:color="auto"/>
          <w:bottom w:val="single" w:sz="4" w:space="1" w:color="auto"/>
          <w:right w:val="single" w:sz="4" w:space="4" w:color="auto"/>
        </w:pBdr>
        <w:spacing w:after="240"/>
        <w:ind w:left="709" w:hanging="709"/>
        <w:rPr>
          <w:bCs/>
          <w:iCs/>
          <w:sz w:val="23"/>
          <w:szCs w:val="23"/>
          <w:lang w:eastAsia="en-US"/>
        </w:rPr>
      </w:pPr>
      <w:r w:rsidRPr="00883399">
        <w:rPr>
          <w:b/>
          <w:bCs/>
          <w:i/>
          <w:iCs/>
          <w:sz w:val="23"/>
          <w:szCs w:val="23"/>
          <w:lang w:eastAsia="en-US"/>
        </w:rPr>
        <w:tab/>
        <w:t>OF</w:t>
      </w:r>
      <w:r w:rsidRPr="00883399">
        <w:rPr>
          <w:b/>
          <w:bCs/>
          <w:i/>
          <w:iCs/>
          <w:sz w:val="16"/>
          <w:szCs w:val="16"/>
          <w:lang w:eastAsia="en-US"/>
        </w:rPr>
        <w:t xml:space="preserve">i </w:t>
      </w:r>
      <w:r w:rsidRPr="00883399">
        <w:rPr>
          <w:sz w:val="23"/>
          <w:szCs w:val="23"/>
          <w:lang w:eastAsia="en-US"/>
        </w:rPr>
        <w:t>is 0.98, which is the correction factor for the oxidation of fuel type (</w:t>
      </w:r>
      <w:r w:rsidRPr="00883399">
        <w:rPr>
          <w:b/>
          <w:bCs/>
          <w:i/>
          <w:iCs/>
          <w:sz w:val="23"/>
          <w:szCs w:val="23"/>
          <w:lang w:eastAsia="en-US"/>
        </w:rPr>
        <w:t>i</w:t>
      </w:r>
      <w:r w:rsidRPr="00883399">
        <w:rPr>
          <w:sz w:val="23"/>
          <w:szCs w:val="23"/>
          <w:lang w:eastAsia="en-US"/>
        </w:rPr>
        <w:t>) flared.</w:t>
      </w:r>
    </w:p>
    <w:p w14:paraId="4259D865" w14:textId="77777777" w:rsidR="00A83D4F" w:rsidRPr="00883399" w:rsidRDefault="00A83D4F" w:rsidP="00A83D4F">
      <w:pPr>
        <w:pBdr>
          <w:top w:val="single" w:sz="4" w:space="1" w:color="auto"/>
          <w:left w:val="single" w:sz="4" w:space="4" w:color="auto"/>
          <w:bottom w:val="single" w:sz="4" w:space="1" w:color="auto"/>
          <w:right w:val="single" w:sz="4" w:space="4" w:color="auto"/>
        </w:pBdr>
        <w:spacing w:after="240"/>
        <w:rPr>
          <w:b/>
          <w:lang w:eastAsia="en-US"/>
        </w:rPr>
      </w:pPr>
      <w:r w:rsidRPr="00883399">
        <w:rPr>
          <w:b/>
          <w:lang w:eastAsia="en-US"/>
        </w:rPr>
        <w:t>To calculate the CO</w:t>
      </w:r>
      <w:r w:rsidRPr="00883399">
        <w:rPr>
          <w:b/>
          <w:vertAlign w:val="subscript"/>
          <w:lang w:eastAsia="en-US"/>
        </w:rPr>
        <w:t>2</w:t>
      </w:r>
      <w:r w:rsidRPr="00883399">
        <w:rPr>
          <w:b/>
          <w:lang w:eastAsia="en-US"/>
        </w:rPr>
        <w:t xml:space="preserve"> emissions from waste gas flared:</w:t>
      </w:r>
    </w:p>
    <w:p w14:paraId="0BCF700A" w14:textId="77777777" w:rsidR="00A83D4F" w:rsidRPr="00883399" w:rsidRDefault="00A83D4F" w:rsidP="00A83D4F">
      <w:pPr>
        <w:pBdr>
          <w:top w:val="single" w:sz="4" w:space="1" w:color="auto"/>
          <w:left w:val="single" w:sz="4" w:space="4" w:color="auto"/>
          <w:bottom w:val="single" w:sz="4" w:space="1" w:color="auto"/>
          <w:right w:val="single" w:sz="4" w:space="4" w:color="auto"/>
        </w:pBdr>
        <w:spacing w:after="240"/>
        <w:rPr>
          <w:bdr w:val="single" w:sz="4" w:space="0" w:color="auto"/>
          <w:lang w:eastAsia="en-US"/>
        </w:rPr>
      </w:pPr>
      <w:r w:rsidRPr="00883399">
        <w:rPr>
          <w:b/>
          <w:lang w:eastAsia="en-US"/>
        </w:rPr>
        <w:tab/>
      </w:r>
      <w:r w:rsidRPr="00883399">
        <w:rPr>
          <w:bdr w:val="single" w:sz="4" w:space="0" w:color="auto"/>
          <w:lang w:eastAsia="en-US"/>
        </w:rPr>
        <w:t xml:space="preserve"> = (780 x 2.2 x 0.98) + 100 </w:t>
      </w:r>
      <w:r w:rsidRPr="00883399">
        <w:rPr>
          <w:b/>
          <w:bdr w:val="single" w:sz="4" w:space="0" w:color="auto"/>
          <w:lang w:eastAsia="en-US"/>
        </w:rPr>
        <w:t xml:space="preserve">= </w:t>
      </w:r>
      <w:r w:rsidRPr="00883399">
        <w:rPr>
          <w:bdr w:val="single" w:sz="4" w:space="0" w:color="auto"/>
          <w:lang w:eastAsia="en-US"/>
        </w:rPr>
        <w:t>1,781.7</w:t>
      </w:r>
    </w:p>
    <w:p w14:paraId="3009DED7" w14:textId="77777777" w:rsidR="00A83D4F" w:rsidRPr="00883399" w:rsidRDefault="00A83D4F" w:rsidP="00A83D4F">
      <w:pPr>
        <w:pStyle w:val="subsection"/>
        <w:rPr>
          <w:sz w:val="24"/>
        </w:rPr>
      </w:pPr>
      <w:r w:rsidRPr="00883399">
        <w:rPr>
          <w:b/>
          <w:bdr w:val="single" w:sz="4" w:space="0" w:color="auto"/>
          <w:lang w:eastAsia="en-US"/>
        </w:rPr>
        <w:t>Therefore, the total emissions from the source = 1,782 tonnes</w:t>
      </w:r>
    </w:p>
    <w:p w14:paraId="05B6A238" w14:textId="0275734E" w:rsidR="00872C03" w:rsidRPr="00883399" w:rsidRDefault="00872C03" w:rsidP="00872C03">
      <w:pPr>
        <w:pStyle w:val="ActHead2"/>
        <w:pageBreakBefore/>
        <w:rPr>
          <w:sz w:val="36"/>
        </w:rPr>
      </w:pPr>
      <w:bookmarkStart w:id="742" w:name="_Toc495652900"/>
      <w:r w:rsidRPr="00883399">
        <w:rPr>
          <w:rStyle w:val="CharPartNo"/>
          <w:sz w:val="36"/>
        </w:rPr>
        <w:lastRenderedPageBreak/>
        <w:t>Part 3.4</w:t>
      </w:r>
      <w:r w:rsidRPr="00883399">
        <w:rPr>
          <w:sz w:val="36"/>
        </w:rPr>
        <w:t>—</w:t>
      </w:r>
      <w:r w:rsidRPr="00883399">
        <w:rPr>
          <w:rStyle w:val="CharPartText"/>
          <w:sz w:val="36"/>
        </w:rPr>
        <w:t>Carbon capture and storage—fugitive emissions</w:t>
      </w:r>
      <w:bookmarkEnd w:id="741"/>
      <w:bookmarkEnd w:id="742"/>
    </w:p>
    <w:p w14:paraId="4A79F617" w14:textId="77777777" w:rsidR="009D0AA9" w:rsidRPr="00883399" w:rsidRDefault="009D0AA9" w:rsidP="009D0AA9">
      <w:pPr>
        <w:spacing w:before="240" w:line="312" w:lineRule="auto"/>
        <w:rPr>
          <w:rFonts w:ascii="Arial" w:hAnsi="Arial" w:cs="Arial"/>
          <w:sz w:val="22"/>
          <w:szCs w:val="22"/>
        </w:rPr>
      </w:pPr>
      <w:bookmarkStart w:id="743" w:name="_Toc423516984"/>
      <w:r w:rsidRPr="00883399">
        <w:rPr>
          <w:rFonts w:ascii="Arial" w:hAnsi="Arial" w:cs="Arial"/>
          <w:sz w:val="22"/>
          <w:szCs w:val="22"/>
        </w:rPr>
        <w:t>This part provides for the fugitive emissions of greenhouse gases from carbon capture and storage activities, where greenhouse gases are captured for permanent storage underground in geological formations</w:t>
      </w:r>
    </w:p>
    <w:p w14:paraId="43E2AF97" w14:textId="77777777" w:rsidR="009D0AA9" w:rsidRPr="00883399" w:rsidRDefault="009D0AA9" w:rsidP="009D0AA9">
      <w:pPr>
        <w:spacing w:before="240" w:line="312" w:lineRule="auto"/>
        <w:rPr>
          <w:rFonts w:ascii="Arial" w:hAnsi="Arial" w:cs="Arial"/>
          <w:sz w:val="22"/>
          <w:szCs w:val="22"/>
        </w:rPr>
      </w:pPr>
      <w:r w:rsidRPr="00883399">
        <w:rPr>
          <w:rFonts w:ascii="Arial" w:hAnsi="Arial" w:cs="Arial"/>
          <w:sz w:val="22"/>
          <w:szCs w:val="22"/>
        </w:rPr>
        <w:t xml:space="preserve">Any leakage or deliberate venting of greenhouse gas substances are a source of greenhouse gas emissions.  Such fugitive emissions are considered to have the potential to occur at each of the 4 stages of the CCS process: </w:t>
      </w:r>
    </w:p>
    <w:p w14:paraId="6A770886" w14:textId="77777777" w:rsidR="009D0AA9" w:rsidRPr="00883399" w:rsidRDefault="009D0AA9" w:rsidP="009D0AA9">
      <w:pPr>
        <w:pStyle w:val="ListBullet"/>
        <w:numPr>
          <w:ilvl w:val="0"/>
          <w:numId w:val="74"/>
        </w:numPr>
        <w:spacing w:after="200" w:line="276" w:lineRule="auto"/>
        <w:rPr>
          <w:rFonts w:ascii="Arial" w:hAnsi="Arial" w:cs="Arial"/>
          <w:sz w:val="22"/>
          <w:szCs w:val="22"/>
        </w:rPr>
      </w:pPr>
      <w:r w:rsidRPr="00883399">
        <w:rPr>
          <w:rFonts w:ascii="Arial" w:hAnsi="Arial" w:cs="Arial"/>
          <w:sz w:val="22"/>
          <w:szCs w:val="22"/>
        </w:rPr>
        <w:t>Capture - the separation of greenhouse gases from other gases produced at large industrial process facilities has the potential for process leaks from pipes and equipment.</w:t>
      </w:r>
    </w:p>
    <w:p w14:paraId="738EE042" w14:textId="77777777" w:rsidR="009D0AA9" w:rsidRPr="00883399" w:rsidRDefault="009D0AA9" w:rsidP="009D0AA9">
      <w:pPr>
        <w:pStyle w:val="ListBullet"/>
        <w:numPr>
          <w:ilvl w:val="0"/>
          <w:numId w:val="74"/>
        </w:numPr>
        <w:spacing w:after="200" w:line="276" w:lineRule="auto"/>
        <w:rPr>
          <w:rFonts w:ascii="Arial" w:hAnsi="Arial" w:cs="Arial"/>
          <w:sz w:val="22"/>
          <w:szCs w:val="22"/>
        </w:rPr>
      </w:pPr>
      <w:r w:rsidRPr="00883399">
        <w:rPr>
          <w:rFonts w:ascii="Arial" w:hAnsi="Arial" w:cs="Arial"/>
          <w:sz w:val="22"/>
          <w:szCs w:val="22"/>
        </w:rPr>
        <w:t xml:space="preserve">Transport - compressed greenhouse gases transported by pipeline. </w:t>
      </w:r>
    </w:p>
    <w:p w14:paraId="4B3E2D2D" w14:textId="77777777" w:rsidR="009D0AA9" w:rsidRPr="00883399" w:rsidRDefault="009D0AA9" w:rsidP="009D0AA9">
      <w:pPr>
        <w:pStyle w:val="ListBullet"/>
        <w:numPr>
          <w:ilvl w:val="0"/>
          <w:numId w:val="74"/>
        </w:numPr>
        <w:spacing w:after="200" w:line="276" w:lineRule="auto"/>
        <w:rPr>
          <w:rFonts w:ascii="Arial" w:hAnsi="Arial" w:cs="Arial"/>
          <w:sz w:val="22"/>
          <w:szCs w:val="22"/>
        </w:rPr>
      </w:pPr>
      <w:r w:rsidRPr="00883399">
        <w:rPr>
          <w:rFonts w:ascii="Arial" w:hAnsi="Arial" w:cs="Arial"/>
          <w:sz w:val="22"/>
          <w:szCs w:val="22"/>
        </w:rPr>
        <w:t xml:space="preserve">Injection - greenhouse gases are injected using drilling and well head techniques similar to those used in the natural gas industry gas extraction. </w:t>
      </w:r>
    </w:p>
    <w:p w14:paraId="2B57F216" w14:textId="77777777" w:rsidR="009D0AA9" w:rsidRPr="00883399" w:rsidRDefault="009D0AA9" w:rsidP="009D0AA9">
      <w:pPr>
        <w:pStyle w:val="ListBullet"/>
        <w:numPr>
          <w:ilvl w:val="0"/>
          <w:numId w:val="74"/>
        </w:numPr>
        <w:spacing w:after="200" w:line="276" w:lineRule="auto"/>
        <w:rPr>
          <w:rFonts w:ascii="Arial" w:hAnsi="Arial" w:cs="Arial"/>
          <w:sz w:val="22"/>
          <w:szCs w:val="22"/>
        </w:rPr>
      </w:pPr>
      <w:r w:rsidRPr="00883399">
        <w:rPr>
          <w:rFonts w:ascii="Arial" w:hAnsi="Arial" w:cs="Arial"/>
          <w:sz w:val="22"/>
          <w:szCs w:val="22"/>
        </w:rPr>
        <w:t xml:space="preserve">Storage - CCS is intended to provide permanent geological storage of injected greenhouse gases – however there is a risk that stored greenhouse gases could subsequently leak from the storage formation to the atmosphere. </w:t>
      </w:r>
    </w:p>
    <w:p w14:paraId="67EF0E8E" w14:textId="77777777" w:rsidR="009D0AA9" w:rsidRPr="00883399" w:rsidRDefault="009D0AA9" w:rsidP="009D0AA9">
      <w:pPr>
        <w:spacing w:before="240" w:line="312" w:lineRule="auto"/>
        <w:rPr>
          <w:rFonts w:ascii="Arial" w:hAnsi="Arial" w:cs="Arial"/>
          <w:sz w:val="22"/>
          <w:szCs w:val="22"/>
        </w:rPr>
      </w:pPr>
      <w:r w:rsidRPr="00883399">
        <w:rPr>
          <w:rFonts w:ascii="Arial" w:hAnsi="Arial" w:cs="Arial"/>
          <w:sz w:val="22"/>
          <w:szCs w:val="22"/>
        </w:rPr>
        <w:t xml:space="preserve">Division 1.2.3 in Chapter 1 sets out the requirements for facilities that captures the carbon dioxide - which may only deduct from their estimate of greenhouse gases generated the amount of greenhouse gas substances that are either transferred to a regulated underground geological storage site or, if there is no transfer, injected into the regulated underground geological storage site. </w:t>
      </w:r>
    </w:p>
    <w:p w14:paraId="590E5240" w14:textId="77777777" w:rsidR="009D0AA9" w:rsidRPr="00883399" w:rsidRDefault="009D0AA9" w:rsidP="009D0AA9">
      <w:pPr>
        <w:spacing w:before="240" w:line="312" w:lineRule="auto"/>
        <w:rPr>
          <w:rFonts w:ascii="Arial" w:hAnsi="Arial" w:cs="Arial"/>
          <w:sz w:val="22"/>
          <w:szCs w:val="22"/>
        </w:rPr>
      </w:pPr>
      <w:r w:rsidRPr="00883399">
        <w:rPr>
          <w:rFonts w:ascii="Arial" w:hAnsi="Arial" w:cs="Arial"/>
          <w:sz w:val="22"/>
          <w:szCs w:val="22"/>
        </w:rPr>
        <w:t xml:space="preserve">The fugitive emissions of greenhouse gases from their transport up until the point of transfer are accounted for in the emission estimate for the facility that generates greenhouse gases and undertakes the capture. </w:t>
      </w:r>
    </w:p>
    <w:p w14:paraId="157633F9" w14:textId="77777777" w:rsidR="009D0AA9" w:rsidRPr="00883399" w:rsidRDefault="009D0AA9" w:rsidP="009D0AA9">
      <w:pPr>
        <w:spacing w:before="240" w:line="312" w:lineRule="auto"/>
        <w:rPr>
          <w:rFonts w:ascii="Arial" w:hAnsi="Arial" w:cs="Arial"/>
          <w:sz w:val="22"/>
          <w:szCs w:val="22"/>
        </w:rPr>
      </w:pPr>
      <w:r w:rsidRPr="00883399">
        <w:rPr>
          <w:rFonts w:ascii="Arial" w:hAnsi="Arial" w:cs="Arial"/>
          <w:sz w:val="22"/>
          <w:szCs w:val="22"/>
        </w:rPr>
        <w:t>Part 3.4 allows the fugitive emissions from the transport of greenhouse gases captured from the point of transfer to the point of injection to be estimated.</w:t>
      </w:r>
    </w:p>
    <w:p w14:paraId="72B49F4F" w14:textId="77777777" w:rsidR="009D0AA9" w:rsidRPr="00883399" w:rsidRDefault="009D0AA9" w:rsidP="00872C03">
      <w:pPr>
        <w:pStyle w:val="ActHead3"/>
        <w:rPr>
          <w:rStyle w:val="CharDivNo"/>
          <w:sz w:val="32"/>
        </w:rPr>
      </w:pPr>
    </w:p>
    <w:p w14:paraId="1650A153" w14:textId="77777777" w:rsidR="009D0AA9" w:rsidRPr="00883399" w:rsidRDefault="009D0AA9" w:rsidP="00872C03">
      <w:pPr>
        <w:pStyle w:val="ActHead3"/>
        <w:rPr>
          <w:rStyle w:val="CharDivNo"/>
          <w:sz w:val="32"/>
        </w:rPr>
      </w:pPr>
    </w:p>
    <w:p w14:paraId="2E4997F0" w14:textId="27C21746" w:rsidR="00872C03" w:rsidRPr="00883399" w:rsidRDefault="00872C03" w:rsidP="00872C03">
      <w:pPr>
        <w:pStyle w:val="ActHead3"/>
        <w:rPr>
          <w:sz w:val="32"/>
        </w:rPr>
      </w:pPr>
      <w:bookmarkStart w:id="744" w:name="_Toc495652901"/>
      <w:r w:rsidRPr="00883399">
        <w:rPr>
          <w:rStyle w:val="CharDivNo"/>
          <w:sz w:val="32"/>
        </w:rPr>
        <w:t>Division 3.4.1</w:t>
      </w:r>
      <w:r w:rsidRPr="00883399">
        <w:rPr>
          <w:sz w:val="32"/>
        </w:rPr>
        <w:t>—</w:t>
      </w:r>
      <w:r w:rsidRPr="00883399">
        <w:rPr>
          <w:rStyle w:val="CharDivText"/>
          <w:sz w:val="32"/>
        </w:rPr>
        <w:t>Preliminary</w:t>
      </w:r>
      <w:bookmarkEnd w:id="743"/>
      <w:bookmarkEnd w:id="744"/>
    </w:p>
    <w:p w14:paraId="5856A129" w14:textId="6E53D08E" w:rsidR="00872C03" w:rsidRPr="00883399" w:rsidRDefault="00872C03" w:rsidP="00872C03">
      <w:pPr>
        <w:pStyle w:val="ActHead5"/>
        <w:rPr>
          <w:sz w:val="28"/>
        </w:rPr>
      </w:pPr>
      <w:bookmarkStart w:id="745" w:name="_Toc423516985"/>
      <w:bookmarkStart w:id="746" w:name="_Toc495652902"/>
      <w:r w:rsidRPr="00883399">
        <w:rPr>
          <w:rStyle w:val="CharSectno"/>
          <w:sz w:val="28"/>
        </w:rPr>
        <w:t>3.88</w:t>
      </w:r>
      <w:r w:rsidRPr="00883399">
        <w:rPr>
          <w:sz w:val="28"/>
        </w:rPr>
        <w:t xml:space="preserve">  Outline of Part</w:t>
      </w:r>
      <w:bookmarkEnd w:id="745"/>
      <w:bookmarkEnd w:id="746"/>
    </w:p>
    <w:p w14:paraId="0E718CF8" w14:textId="77777777" w:rsidR="009D0AA9" w:rsidRPr="00883399" w:rsidRDefault="00872C03" w:rsidP="009D0AA9">
      <w:pPr>
        <w:pStyle w:val="subsection"/>
        <w:rPr>
          <w:sz w:val="24"/>
        </w:rPr>
      </w:pPr>
      <w:r w:rsidRPr="00883399">
        <w:rPr>
          <w:sz w:val="24"/>
        </w:rPr>
        <w:tab/>
      </w:r>
      <w:r w:rsidRPr="00883399">
        <w:rPr>
          <w:sz w:val="24"/>
        </w:rPr>
        <w:tab/>
        <w:t>This Part provides for fugitive emissions from carbon capture and storage.</w:t>
      </w:r>
      <w:bookmarkStart w:id="747" w:name="_Toc423516994"/>
    </w:p>
    <w:p w14:paraId="3539CF3A" w14:textId="77777777" w:rsidR="009D0AA9" w:rsidRPr="00883399" w:rsidRDefault="009D0AA9" w:rsidP="009D0AA9">
      <w:pPr>
        <w:pStyle w:val="subsection"/>
        <w:rPr>
          <w:sz w:val="24"/>
        </w:rPr>
      </w:pPr>
    </w:p>
    <w:p w14:paraId="05CFA257" w14:textId="77777777" w:rsidR="00C45987" w:rsidRPr="00883399" w:rsidRDefault="00C45987" w:rsidP="009D0AA9">
      <w:pPr>
        <w:pStyle w:val="ActHead3"/>
        <w:rPr>
          <w:rStyle w:val="CharDivNo"/>
        </w:rPr>
      </w:pPr>
      <w:bookmarkStart w:id="748" w:name="_Toc495652903"/>
      <w:r w:rsidRPr="00883399">
        <w:rPr>
          <w:rStyle w:val="CharDivNo"/>
          <w:sz w:val="32"/>
        </w:rPr>
        <w:t>Division 3.4.2</w:t>
      </w:r>
      <w:r w:rsidRPr="00883399">
        <w:rPr>
          <w:rStyle w:val="CharDivNo"/>
        </w:rPr>
        <w:t>—Transport of greenhouse gases</w:t>
      </w:r>
      <w:bookmarkEnd w:id="748"/>
    </w:p>
    <w:p w14:paraId="099394E9" w14:textId="77777777" w:rsidR="009D0AA9" w:rsidRPr="00883399" w:rsidRDefault="009D0AA9" w:rsidP="009D0AA9">
      <w:pPr>
        <w:spacing w:before="240" w:line="312" w:lineRule="auto"/>
        <w:rPr>
          <w:rFonts w:ascii="Arial" w:hAnsi="Arial" w:cs="Arial"/>
          <w:sz w:val="22"/>
          <w:szCs w:val="22"/>
        </w:rPr>
      </w:pPr>
      <w:bookmarkStart w:id="749" w:name="_Toc455152431"/>
      <w:r w:rsidRPr="00883399">
        <w:rPr>
          <w:rFonts w:ascii="Arial" w:hAnsi="Arial" w:cs="Arial"/>
          <w:sz w:val="22"/>
          <w:szCs w:val="22"/>
        </w:rPr>
        <w:t xml:space="preserve">Method 1 provides for a high level principles based approach, appropriate for use where monitoring data exists for the amount of greenhouse gas accepted into the transport system and the amount of greenhouse gas delivered to an injection operation – making it a matter of determining losses. </w:t>
      </w:r>
    </w:p>
    <w:p w14:paraId="7DC4760C" w14:textId="77777777" w:rsidR="009D0AA9" w:rsidRPr="00883399" w:rsidRDefault="009D0AA9" w:rsidP="009D0AA9">
      <w:pPr>
        <w:spacing w:before="240" w:line="312" w:lineRule="auto"/>
        <w:rPr>
          <w:rFonts w:ascii="Arial" w:hAnsi="Arial" w:cs="Arial"/>
          <w:sz w:val="22"/>
          <w:szCs w:val="22"/>
        </w:rPr>
      </w:pPr>
      <w:r w:rsidRPr="00883399">
        <w:rPr>
          <w:rFonts w:ascii="Arial" w:hAnsi="Arial" w:cs="Arial"/>
          <w:sz w:val="22"/>
          <w:szCs w:val="22"/>
        </w:rPr>
        <w:t>Where the monitoring arrangements of the project mean such an approach may not be practical, reporters may elect to apply an equipment level bottom up approach using Method 2 under section 3.77. This method is well established for the estimation of emissions from the transmission of natural gas, and is applied in relation to the greenhouse gas being transported for the purposes of CCS as if it were a type of natural gas.</w:t>
      </w:r>
    </w:p>
    <w:p w14:paraId="74F1AE88" w14:textId="77777777" w:rsidR="00C45987" w:rsidRPr="00883399" w:rsidRDefault="00C45987" w:rsidP="00C45987">
      <w:pPr>
        <w:pStyle w:val="ActHead4"/>
        <w:rPr>
          <w:sz w:val="28"/>
        </w:rPr>
      </w:pPr>
      <w:bookmarkStart w:id="750" w:name="_Toc495652904"/>
      <w:r w:rsidRPr="00883399">
        <w:rPr>
          <w:rStyle w:val="CharSubdNo"/>
          <w:sz w:val="28"/>
        </w:rPr>
        <w:t>Subdivision 3.4.2.1</w:t>
      </w:r>
      <w:r w:rsidRPr="00883399">
        <w:rPr>
          <w:sz w:val="28"/>
        </w:rPr>
        <w:t>—</w:t>
      </w:r>
      <w:r w:rsidRPr="00883399">
        <w:rPr>
          <w:rStyle w:val="CharSubdText"/>
          <w:sz w:val="28"/>
        </w:rPr>
        <w:t>Preliminary</w:t>
      </w:r>
      <w:bookmarkEnd w:id="749"/>
      <w:bookmarkEnd w:id="750"/>
    </w:p>
    <w:p w14:paraId="76C18121" w14:textId="77777777" w:rsidR="00C45987" w:rsidRPr="00883399" w:rsidRDefault="00C45987" w:rsidP="00C45987">
      <w:pPr>
        <w:pStyle w:val="ActHead5"/>
        <w:rPr>
          <w:sz w:val="28"/>
        </w:rPr>
      </w:pPr>
      <w:bookmarkStart w:id="751" w:name="_Toc455152432"/>
      <w:bookmarkStart w:id="752" w:name="_Toc495652905"/>
      <w:r w:rsidRPr="00883399">
        <w:rPr>
          <w:rStyle w:val="CharSectno"/>
          <w:sz w:val="28"/>
        </w:rPr>
        <w:t>3.89</w:t>
      </w:r>
      <w:r w:rsidRPr="00883399">
        <w:rPr>
          <w:sz w:val="28"/>
        </w:rPr>
        <w:t xml:space="preserve">  Application</w:t>
      </w:r>
      <w:bookmarkEnd w:id="751"/>
      <w:bookmarkEnd w:id="752"/>
    </w:p>
    <w:p w14:paraId="7883B437" w14:textId="77777777" w:rsidR="00C45987" w:rsidRPr="00883399" w:rsidRDefault="00C45987" w:rsidP="00C45987">
      <w:pPr>
        <w:pStyle w:val="subsection"/>
        <w:rPr>
          <w:sz w:val="24"/>
        </w:rPr>
      </w:pPr>
      <w:r w:rsidRPr="00883399">
        <w:rPr>
          <w:sz w:val="24"/>
        </w:rPr>
        <w:tab/>
      </w:r>
      <w:r w:rsidRPr="00883399">
        <w:rPr>
          <w:sz w:val="24"/>
        </w:rPr>
        <w:tab/>
        <w:t>This Division applies to fugitive emissions from the transport of a greenhouse gas captured for permanent storage.</w:t>
      </w:r>
    </w:p>
    <w:p w14:paraId="6FA58B1A" w14:textId="77777777" w:rsidR="00C45987" w:rsidRPr="00883399" w:rsidRDefault="00C45987" w:rsidP="00C45987">
      <w:pPr>
        <w:pStyle w:val="notetext"/>
        <w:rPr>
          <w:sz w:val="20"/>
        </w:rPr>
      </w:pPr>
      <w:r w:rsidRPr="00883399">
        <w:rPr>
          <w:sz w:val="20"/>
        </w:rPr>
        <w:t>Note:</w:t>
      </w:r>
      <w:r w:rsidRPr="00883399">
        <w:rPr>
          <w:sz w:val="20"/>
        </w:rPr>
        <w:tab/>
        <w:t>Section 1.19A defines when a greenhouse gas is captured for permanent storage.</w:t>
      </w:r>
    </w:p>
    <w:p w14:paraId="3CD65EA7" w14:textId="77777777" w:rsidR="00C45987" w:rsidRPr="00883399" w:rsidRDefault="00C45987" w:rsidP="00C45987">
      <w:pPr>
        <w:pStyle w:val="ActHead5"/>
        <w:rPr>
          <w:sz w:val="28"/>
        </w:rPr>
      </w:pPr>
      <w:bookmarkStart w:id="753" w:name="_Toc455152433"/>
      <w:bookmarkStart w:id="754" w:name="_Toc495652906"/>
      <w:r w:rsidRPr="00883399">
        <w:rPr>
          <w:rStyle w:val="CharSectno"/>
          <w:sz w:val="28"/>
        </w:rPr>
        <w:t>3.90</w:t>
      </w:r>
      <w:r w:rsidRPr="00883399">
        <w:rPr>
          <w:sz w:val="28"/>
        </w:rPr>
        <w:t xml:space="preserve">  Available methods</w:t>
      </w:r>
      <w:bookmarkEnd w:id="753"/>
      <w:bookmarkEnd w:id="754"/>
    </w:p>
    <w:p w14:paraId="06FA1067" w14:textId="77777777" w:rsidR="00C45987" w:rsidRPr="00883399" w:rsidRDefault="00C45987" w:rsidP="00C45987">
      <w:pPr>
        <w:pStyle w:val="subsection"/>
        <w:rPr>
          <w:sz w:val="24"/>
        </w:rPr>
      </w:pPr>
      <w:r w:rsidRPr="00883399">
        <w:rPr>
          <w:sz w:val="24"/>
        </w:rPr>
        <w:tab/>
        <w:t>(1)</w:t>
      </w:r>
      <w:r w:rsidRPr="00883399">
        <w:rPr>
          <w:sz w:val="24"/>
        </w:rPr>
        <w:tab/>
        <w:t>Subject to section 1.18, for estimating emissions released during a year from the operation of a facility that is constituted by the transport of a greenhouse gas captured for permanent storage the methods as set out in this section must be used.</w:t>
      </w:r>
    </w:p>
    <w:p w14:paraId="4253E9D4" w14:textId="77777777" w:rsidR="00C45987" w:rsidRPr="00883399" w:rsidRDefault="00C45987" w:rsidP="00C45987">
      <w:pPr>
        <w:pStyle w:val="SubsectionHead"/>
        <w:rPr>
          <w:sz w:val="24"/>
        </w:rPr>
      </w:pPr>
      <w:r w:rsidRPr="00883399">
        <w:rPr>
          <w:sz w:val="24"/>
        </w:rPr>
        <w:lastRenderedPageBreak/>
        <w:t>Emissions from transport of a greenhouse gas involving transfer</w:t>
      </w:r>
    </w:p>
    <w:p w14:paraId="283E3C83" w14:textId="77777777" w:rsidR="00C45987" w:rsidRPr="00883399" w:rsidRDefault="00C45987" w:rsidP="00C45987">
      <w:pPr>
        <w:pStyle w:val="subsection"/>
        <w:rPr>
          <w:sz w:val="24"/>
        </w:rPr>
      </w:pPr>
      <w:r w:rsidRPr="00883399">
        <w:rPr>
          <w:sz w:val="24"/>
        </w:rPr>
        <w:tab/>
        <w:t>(2)</w:t>
      </w:r>
      <w:r w:rsidRPr="00883399">
        <w:rPr>
          <w:sz w:val="24"/>
        </w:rPr>
        <w:tab/>
        <w:t>If the greenhouse gas is transferred to a relevant person for injection by the person in accordance with a licence, lease or approval mentioned in section 1.19A, one of the following methods must be used for estimating fugitive emissions of the greenhouse gas that result from the transport of the greenhouse gas stream for that injection:</w:t>
      </w:r>
    </w:p>
    <w:p w14:paraId="76A446E7" w14:textId="77777777" w:rsidR="00C45987" w:rsidRPr="00883399" w:rsidRDefault="00C45987" w:rsidP="00C45987">
      <w:pPr>
        <w:pStyle w:val="paragraph"/>
        <w:rPr>
          <w:sz w:val="24"/>
        </w:rPr>
      </w:pPr>
      <w:r w:rsidRPr="00883399">
        <w:rPr>
          <w:sz w:val="24"/>
        </w:rPr>
        <w:tab/>
        <w:t>(a)</w:t>
      </w:r>
      <w:r w:rsidRPr="00883399">
        <w:rPr>
          <w:sz w:val="24"/>
        </w:rPr>
        <w:tab/>
        <w:t>method 1 under section 3.91 (which deals with injection);</w:t>
      </w:r>
    </w:p>
    <w:p w14:paraId="1740F98A" w14:textId="77777777" w:rsidR="00C45987" w:rsidRPr="00883399" w:rsidRDefault="00C45987" w:rsidP="00C45987">
      <w:pPr>
        <w:pStyle w:val="paragraph"/>
        <w:rPr>
          <w:sz w:val="24"/>
        </w:rPr>
      </w:pPr>
      <w:r w:rsidRPr="00883399">
        <w:rPr>
          <w:sz w:val="24"/>
        </w:rPr>
        <w:tab/>
        <w:t>(b)</w:t>
      </w:r>
      <w:r w:rsidRPr="00883399">
        <w:rPr>
          <w:sz w:val="24"/>
        </w:rPr>
        <w:tab/>
        <w:t>method 2 under section 3.77 (which deals with transport), applied in relation to the greenhouse gas as if it were a type of natural gas.</w:t>
      </w:r>
    </w:p>
    <w:p w14:paraId="32B1F315" w14:textId="77777777" w:rsidR="00C45987" w:rsidRPr="00883399" w:rsidRDefault="00C45987" w:rsidP="00C45987">
      <w:pPr>
        <w:pStyle w:val="notetext"/>
        <w:rPr>
          <w:sz w:val="20"/>
        </w:rPr>
      </w:pPr>
      <w:r w:rsidRPr="00883399">
        <w:rPr>
          <w:sz w:val="20"/>
        </w:rPr>
        <w:t>Note 1:</w:t>
      </w:r>
      <w:r w:rsidRPr="00883399">
        <w:rPr>
          <w:sz w:val="20"/>
        </w:rPr>
        <w:tab/>
        <w:t>There is no method 3 or 4 for subsection (2).</w:t>
      </w:r>
    </w:p>
    <w:p w14:paraId="6FC73F33" w14:textId="77777777" w:rsidR="00C45987" w:rsidRPr="00883399" w:rsidRDefault="00C45987" w:rsidP="00C45987">
      <w:pPr>
        <w:pStyle w:val="notetext"/>
        <w:rPr>
          <w:i/>
          <w:sz w:val="20"/>
        </w:rPr>
      </w:pPr>
      <w:r w:rsidRPr="00883399">
        <w:rPr>
          <w:sz w:val="20"/>
        </w:rPr>
        <w:t>Note 2:</w:t>
      </w:r>
      <w:r w:rsidRPr="00883399">
        <w:rPr>
          <w:sz w:val="20"/>
        </w:rPr>
        <w:tab/>
        <w:t>The same emissions cannot be counted under both the method mentioned in paragraph (2)(a) (injection) and the method mentioned in paragraph (2)(b) (transport).</w:t>
      </w:r>
    </w:p>
    <w:p w14:paraId="49D067CF" w14:textId="77777777" w:rsidR="00C45987" w:rsidRPr="00883399" w:rsidRDefault="00C45987" w:rsidP="00C45987">
      <w:pPr>
        <w:pStyle w:val="SubsectionHead"/>
        <w:rPr>
          <w:sz w:val="24"/>
        </w:rPr>
      </w:pPr>
      <w:r w:rsidRPr="00883399">
        <w:rPr>
          <w:sz w:val="24"/>
        </w:rPr>
        <w:t>Emissions from transport of a greenhouse gas not involving transfer</w:t>
      </w:r>
    </w:p>
    <w:p w14:paraId="5B2B59C6" w14:textId="77777777" w:rsidR="00C45987" w:rsidRPr="00883399" w:rsidRDefault="00C45987" w:rsidP="00C45987">
      <w:pPr>
        <w:pStyle w:val="subsection"/>
        <w:rPr>
          <w:sz w:val="24"/>
        </w:rPr>
      </w:pPr>
      <w:r w:rsidRPr="00883399">
        <w:rPr>
          <w:sz w:val="24"/>
        </w:rPr>
        <w:tab/>
        <w:t>(2A)</w:t>
      </w:r>
      <w:r w:rsidRPr="00883399">
        <w:rPr>
          <w:sz w:val="24"/>
        </w:rPr>
        <w:tab/>
        <w:t>Subsection (3) applies if:</w:t>
      </w:r>
    </w:p>
    <w:p w14:paraId="291FD826" w14:textId="77777777" w:rsidR="00C45987" w:rsidRPr="00883399" w:rsidRDefault="00C45987" w:rsidP="00C45987">
      <w:pPr>
        <w:pStyle w:val="paragraph"/>
        <w:rPr>
          <w:sz w:val="24"/>
        </w:rPr>
      </w:pPr>
      <w:r w:rsidRPr="00883399">
        <w:rPr>
          <w:sz w:val="24"/>
        </w:rPr>
        <w:tab/>
        <w:t>(a)</w:t>
      </w:r>
      <w:r w:rsidRPr="00883399">
        <w:rPr>
          <w:sz w:val="24"/>
        </w:rPr>
        <w:tab/>
        <w:t>the greenhouse gas is captured by a relevant person for injection in accordance with a licence, lease or approval mentioned in section 1.19A; and</w:t>
      </w:r>
    </w:p>
    <w:p w14:paraId="45B3EDC4" w14:textId="77777777" w:rsidR="00C45987" w:rsidRPr="00883399" w:rsidRDefault="00C45987" w:rsidP="00C45987">
      <w:pPr>
        <w:pStyle w:val="paragraph"/>
        <w:rPr>
          <w:sz w:val="24"/>
        </w:rPr>
      </w:pPr>
      <w:r w:rsidRPr="00883399">
        <w:rPr>
          <w:sz w:val="24"/>
        </w:rPr>
        <w:tab/>
        <w:t>(b)</w:t>
      </w:r>
      <w:r w:rsidRPr="00883399">
        <w:rPr>
          <w:sz w:val="24"/>
        </w:rPr>
        <w:tab/>
        <w:t>the greenhouse gas is not transferred to another person for the purpose of injection.</w:t>
      </w:r>
    </w:p>
    <w:p w14:paraId="22B54861" w14:textId="77777777" w:rsidR="00C45987" w:rsidRPr="00883399" w:rsidRDefault="00C45987" w:rsidP="00C45987">
      <w:pPr>
        <w:pStyle w:val="subsection"/>
        <w:rPr>
          <w:sz w:val="24"/>
        </w:rPr>
      </w:pPr>
      <w:r w:rsidRPr="00883399">
        <w:rPr>
          <w:sz w:val="24"/>
        </w:rPr>
        <w:tab/>
        <w:t>(3)</w:t>
      </w:r>
      <w:r w:rsidRPr="00883399">
        <w:rPr>
          <w:sz w:val="24"/>
        </w:rPr>
        <w:tab/>
        <w:t>One of the following methods must be used for estimating fugitive emissions of the greenhouse gases that result from the transport of the greenhouse gas stream for that injection:</w:t>
      </w:r>
    </w:p>
    <w:p w14:paraId="1FA6725A" w14:textId="77777777" w:rsidR="00C45987" w:rsidRPr="00883399" w:rsidRDefault="00C45987" w:rsidP="00C45987">
      <w:pPr>
        <w:pStyle w:val="paragraph"/>
        <w:rPr>
          <w:sz w:val="24"/>
        </w:rPr>
      </w:pPr>
      <w:r w:rsidRPr="00883399">
        <w:rPr>
          <w:sz w:val="24"/>
        </w:rPr>
        <w:tab/>
        <w:t>(a)</w:t>
      </w:r>
      <w:r w:rsidRPr="00883399">
        <w:rPr>
          <w:sz w:val="24"/>
        </w:rPr>
        <w:tab/>
        <w:t>method 1 under section 3.92 (which deals with injection);</w:t>
      </w:r>
    </w:p>
    <w:p w14:paraId="4F7DBA9D" w14:textId="77777777" w:rsidR="00C45987" w:rsidRPr="00883399" w:rsidRDefault="00C45987" w:rsidP="00C45987">
      <w:pPr>
        <w:pStyle w:val="paragraph"/>
        <w:rPr>
          <w:sz w:val="24"/>
        </w:rPr>
      </w:pPr>
      <w:r w:rsidRPr="00883399">
        <w:rPr>
          <w:sz w:val="24"/>
        </w:rPr>
        <w:tab/>
        <w:t>(b)</w:t>
      </w:r>
      <w:r w:rsidRPr="00883399">
        <w:rPr>
          <w:sz w:val="24"/>
        </w:rPr>
        <w:tab/>
        <w:t>method 2 under section 3.77 (which deals with transport), applied in relation to the greenhouse gas as if it were a type of natural gas.</w:t>
      </w:r>
    </w:p>
    <w:p w14:paraId="256D03A9" w14:textId="77777777" w:rsidR="00C45987" w:rsidRPr="00883399" w:rsidRDefault="00C45987" w:rsidP="00C45987">
      <w:pPr>
        <w:pStyle w:val="notetext"/>
        <w:rPr>
          <w:sz w:val="20"/>
        </w:rPr>
      </w:pPr>
      <w:r w:rsidRPr="00883399">
        <w:rPr>
          <w:sz w:val="20"/>
        </w:rPr>
        <w:t>Note 1:</w:t>
      </w:r>
      <w:r w:rsidRPr="00883399">
        <w:rPr>
          <w:sz w:val="20"/>
        </w:rPr>
        <w:tab/>
        <w:t>There is no method 3 or 4 for subsection (3).</w:t>
      </w:r>
    </w:p>
    <w:p w14:paraId="62323013" w14:textId="77777777" w:rsidR="00C45987" w:rsidRPr="00883399" w:rsidRDefault="00C45987" w:rsidP="00C45987">
      <w:pPr>
        <w:pStyle w:val="notetext"/>
        <w:rPr>
          <w:sz w:val="20"/>
        </w:rPr>
      </w:pPr>
      <w:r w:rsidRPr="00883399">
        <w:rPr>
          <w:sz w:val="20"/>
        </w:rPr>
        <w:t>Note 2:</w:t>
      </w:r>
      <w:r w:rsidRPr="00883399">
        <w:rPr>
          <w:sz w:val="20"/>
        </w:rPr>
        <w:tab/>
        <w:t>The same emissions cannot be counted under both the method mentioned in paragraph (3)(a) (injection) and the method mentioned in paragraph (3)(b) (transport).</w:t>
      </w:r>
    </w:p>
    <w:p w14:paraId="3A6B4642" w14:textId="77777777" w:rsidR="00C45987" w:rsidRPr="00883399" w:rsidRDefault="00C45987" w:rsidP="00C45987">
      <w:pPr>
        <w:pStyle w:val="subsection"/>
        <w:rPr>
          <w:sz w:val="24"/>
        </w:rPr>
      </w:pPr>
      <w:r w:rsidRPr="00883399">
        <w:rPr>
          <w:sz w:val="24"/>
        </w:rPr>
        <w:tab/>
        <w:t>(4)</w:t>
      </w:r>
      <w:r w:rsidRPr="00883399">
        <w:rPr>
          <w:sz w:val="24"/>
        </w:rPr>
        <w:tab/>
        <w:t>However, for incidental emissions another method may be used that is consistent with the principles in section 1.13.</w:t>
      </w:r>
    </w:p>
    <w:p w14:paraId="40732765" w14:textId="77777777" w:rsidR="00C45987" w:rsidRPr="00883399" w:rsidRDefault="00C45987" w:rsidP="00C45987">
      <w:pPr>
        <w:pStyle w:val="ActHead4"/>
        <w:rPr>
          <w:sz w:val="28"/>
        </w:rPr>
      </w:pPr>
      <w:bookmarkStart w:id="755" w:name="_Toc455152434"/>
      <w:bookmarkStart w:id="756" w:name="_Toc495652907"/>
      <w:r w:rsidRPr="00883399">
        <w:rPr>
          <w:rStyle w:val="CharSubdNo"/>
          <w:sz w:val="28"/>
        </w:rPr>
        <w:lastRenderedPageBreak/>
        <w:t>Subdivision 3.4.2.2</w:t>
      </w:r>
      <w:r w:rsidRPr="00883399">
        <w:rPr>
          <w:sz w:val="28"/>
        </w:rPr>
        <w:t>—</w:t>
      </w:r>
      <w:r w:rsidRPr="00883399">
        <w:rPr>
          <w:rStyle w:val="CharSubdText"/>
          <w:sz w:val="28"/>
        </w:rPr>
        <w:t>Emissions from transport of greenhouse gases involving transfer</w:t>
      </w:r>
      <w:bookmarkEnd w:id="755"/>
      <w:bookmarkEnd w:id="756"/>
    </w:p>
    <w:p w14:paraId="1CBB2A3B" w14:textId="77777777" w:rsidR="00C45987" w:rsidRPr="00883399" w:rsidRDefault="00C45987" w:rsidP="00C45987">
      <w:pPr>
        <w:pStyle w:val="ActHead5"/>
        <w:rPr>
          <w:sz w:val="28"/>
        </w:rPr>
      </w:pPr>
      <w:bookmarkStart w:id="757" w:name="_Toc455152435"/>
      <w:bookmarkStart w:id="758" w:name="_Toc495652908"/>
      <w:r w:rsidRPr="00883399">
        <w:rPr>
          <w:rStyle w:val="CharSectno"/>
          <w:sz w:val="28"/>
        </w:rPr>
        <w:t>3.91</w:t>
      </w:r>
      <w:r w:rsidRPr="00883399">
        <w:rPr>
          <w:sz w:val="28"/>
        </w:rPr>
        <w:t xml:space="preserve">  Method 1—emissions from transport of greenhouse gases involving transfer</w:t>
      </w:r>
      <w:bookmarkEnd w:id="757"/>
      <w:bookmarkEnd w:id="758"/>
    </w:p>
    <w:p w14:paraId="534FD96C" w14:textId="77777777" w:rsidR="00C45987" w:rsidRPr="00883399" w:rsidRDefault="00C45987" w:rsidP="00C45987">
      <w:pPr>
        <w:pStyle w:val="subsection"/>
        <w:rPr>
          <w:sz w:val="24"/>
        </w:rPr>
      </w:pPr>
      <w:r w:rsidRPr="00883399">
        <w:rPr>
          <w:sz w:val="24"/>
        </w:rPr>
        <w:tab/>
      </w:r>
      <w:r w:rsidRPr="00883399">
        <w:rPr>
          <w:sz w:val="24"/>
        </w:rPr>
        <w:tab/>
        <w:t>For subsection 3.90(2), method 1 is:</w:t>
      </w:r>
    </w:p>
    <w:p w14:paraId="3954E2B8" w14:textId="77777777" w:rsidR="00C45987" w:rsidRPr="00883399" w:rsidRDefault="00C45987" w:rsidP="00C45987">
      <w:pPr>
        <w:pStyle w:val="subsection2"/>
        <w:rPr>
          <w:sz w:val="24"/>
        </w:rPr>
      </w:pPr>
      <w:r w:rsidRPr="00883399">
        <w:rPr>
          <w:position w:val="-24"/>
          <w:sz w:val="24"/>
        </w:rPr>
        <w:object w:dxaOrig="2160" w:dyaOrig="580" w14:anchorId="5974E519">
          <v:shape id="_x0000_i1068" type="#_x0000_t75" style="width:108.75pt;height:27.75pt" o:ole="">
            <v:imagedata r:id="rId174" o:title=""/>
          </v:shape>
          <o:OLEObject Type="Embed" ProgID="Equation.DSMT4" ShapeID="_x0000_i1068" DrawAspect="Content" ObjectID="_1594105959" r:id="rId175"/>
        </w:object>
      </w:r>
    </w:p>
    <w:p w14:paraId="088A888F" w14:textId="77777777" w:rsidR="00C45987" w:rsidRPr="00883399" w:rsidRDefault="00C45987" w:rsidP="00C45987">
      <w:pPr>
        <w:pStyle w:val="subsection2"/>
        <w:rPr>
          <w:sz w:val="24"/>
        </w:rPr>
      </w:pPr>
      <w:r w:rsidRPr="00883399">
        <w:rPr>
          <w:sz w:val="24"/>
        </w:rPr>
        <w:t>where:</w:t>
      </w:r>
    </w:p>
    <w:p w14:paraId="45A59603" w14:textId="77777777" w:rsidR="00C45987" w:rsidRPr="00883399" w:rsidRDefault="00C45987" w:rsidP="00C45987">
      <w:pPr>
        <w:pStyle w:val="Definition0"/>
        <w:rPr>
          <w:sz w:val="24"/>
        </w:rPr>
      </w:pPr>
      <w:r w:rsidRPr="00883399">
        <w:rPr>
          <w:b/>
          <w:i/>
          <w:sz w:val="24"/>
        </w:rPr>
        <w:t>E</w:t>
      </w:r>
      <w:r w:rsidRPr="00883399">
        <w:rPr>
          <w:b/>
          <w:i/>
          <w:sz w:val="24"/>
          <w:vertAlign w:val="subscript"/>
        </w:rPr>
        <w:t>j</w:t>
      </w:r>
      <w:r w:rsidRPr="00883399">
        <w:rPr>
          <w:b/>
          <w:i/>
          <w:sz w:val="24"/>
        </w:rPr>
        <w:t xml:space="preserve"> </w:t>
      </w:r>
      <w:r w:rsidRPr="00883399">
        <w:rPr>
          <w:sz w:val="24"/>
        </w:rPr>
        <w:t>is the emissions of gas type (</w:t>
      </w:r>
      <w:r w:rsidRPr="00883399">
        <w:rPr>
          <w:b/>
          <w:i/>
          <w:sz w:val="24"/>
        </w:rPr>
        <w:t>j</w:t>
      </w:r>
      <w:r w:rsidRPr="00883399">
        <w:rPr>
          <w:sz w:val="24"/>
        </w:rPr>
        <w:t>), during the year from transportation of greenhouse gas captured for permanent storage to the storage site, measured in CO</w:t>
      </w:r>
      <w:r w:rsidRPr="00883399">
        <w:rPr>
          <w:sz w:val="24"/>
          <w:vertAlign w:val="subscript"/>
        </w:rPr>
        <w:t>2</w:t>
      </w:r>
      <w:r w:rsidRPr="00883399">
        <w:rPr>
          <w:sz w:val="24"/>
        </w:rPr>
        <w:noBreakHyphen/>
        <w:t>e</w:t>
      </w:r>
      <w:r w:rsidRPr="00883399">
        <w:rPr>
          <w:rFonts w:ascii="TimesNewRoman" w:hAnsi="TimesNewRoman" w:cs="TimesNewRoman"/>
          <w:sz w:val="24"/>
        </w:rPr>
        <w:t xml:space="preserve"> </w:t>
      </w:r>
      <w:r w:rsidRPr="00883399">
        <w:rPr>
          <w:sz w:val="24"/>
        </w:rPr>
        <w:t>tonnes</w:t>
      </w:r>
      <w:r w:rsidRPr="00883399">
        <w:rPr>
          <w:rFonts w:ascii="TimesNewRoman" w:hAnsi="TimesNewRoman" w:cs="TimesNewRoman"/>
          <w:sz w:val="24"/>
        </w:rPr>
        <w:t>.</w:t>
      </w:r>
    </w:p>
    <w:p w14:paraId="7C78D68A" w14:textId="77777777" w:rsidR="00C45987" w:rsidRPr="00883399" w:rsidRDefault="00C45987" w:rsidP="00C45987">
      <w:pPr>
        <w:pStyle w:val="Definition0"/>
        <w:rPr>
          <w:sz w:val="24"/>
        </w:rPr>
      </w:pPr>
      <w:r w:rsidRPr="00883399">
        <w:rPr>
          <w:b/>
          <w:i/>
          <w:sz w:val="24"/>
        </w:rPr>
        <w:t>γ</w:t>
      </w:r>
      <w:r w:rsidRPr="00883399">
        <w:rPr>
          <w:rFonts w:ascii="Times New Roman Bold Italic" w:hAnsi="Times New Roman Bold Italic"/>
          <w:b/>
          <w:i/>
          <w:sz w:val="24"/>
          <w:vertAlign w:val="subscript"/>
        </w:rPr>
        <w:t>j</w:t>
      </w:r>
      <w:r w:rsidRPr="00883399">
        <w:rPr>
          <w:b/>
          <w:i/>
          <w:sz w:val="24"/>
        </w:rPr>
        <w:t xml:space="preserve"> </w:t>
      </w:r>
      <w:r w:rsidRPr="00883399">
        <w:rPr>
          <w:sz w:val="24"/>
        </w:rPr>
        <w:t>is the factor for converting a quantity of gas type (</w:t>
      </w:r>
      <w:r w:rsidRPr="00883399">
        <w:rPr>
          <w:b/>
          <w:i/>
          <w:sz w:val="24"/>
        </w:rPr>
        <w:t>j</w:t>
      </w:r>
      <w:r w:rsidRPr="00883399">
        <w:rPr>
          <w:sz w:val="24"/>
        </w:rPr>
        <w:t>) from cubic metres at standard conditions of pressure and temperature to CO</w:t>
      </w:r>
      <w:r w:rsidRPr="00883399">
        <w:rPr>
          <w:sz w:val="24"/>
          <w:vertAlign w:val="subscript"/>
        </w:rPr>
        <w:t>2</w:t>
      </w:r>
      <w:r w:rsidRPr="00883399">
        <w:rPr>
          <w:sz w:val="24"/>
        </w:rPr>
        <w:noBreakHyphen/>
        <w:t>e tonnes, being:</w:t>
      </w:r>
    </w:p>
    <w:p w14:paraId="42CB6A16" w14:textId="77777777" w:rsidR="00C45987" w:rsidRPr="00883399" w:rsidRDefault="00C45987" w:rsidP="00C45987">
      <w:pPr>
        <w:pStyle w:val="paragraph"/>
        <w:rPr>
          <w:sz w:val="24"/>
        </w:rPr>
      </w:pPr>
      <w:r w:rsidRPr="00883399">
        <w:rPr>
          <w:sz w:val="24"/>
        </w:rPr>
        <w:tab/>
        <w:t>(a)</w:t>
      </w:r>
      <w:r w:rsidRPr="00883399">
        <w:rPr>
          <w:sz w:val="24"/>
        </w:rPr>
        <w:tab/>
        <w:t>for methane—6.784 × 10</w:t>
      </w:r>
      <w:r w:rsidRPr="00883399">
        <w:rPr>
          <w:sz w:val="24"/>
          <w:vertAlign w:val="superscript"/>
        </w:rPr>
        <w:noBreakHyphen/>
        <w:t xml:space="preserve">4 </w:t>
      </w:r>
      <w:r w:rsidRPr="00883399">
        <w:rPr>
          <w:sz w:val="24"/>
        </w:rPr>
        <w:t>× 21; and</w:t>
      </w:r>
    </w:p>
    <w:p w14:paraId="10B1B4DF" w14:textId="77777777" w:rsidR="00C45987" w:rsidRPr="00883399" w:rsidRDefault="00C45987" w:rsidP="00C45987">
      <w:pPr>
        <w:pStyle w:val="paragraph"/>
        <w:rPr>
          <w:sz w:val="24"/>
        </w:rPr>
      </w:pPr>
      <w:r w:rsidRPr="00883399">
        <w:rPr>
          <w:sz w:val="24"/>
        </w:rPr>
        <w:tab/>
        <w:t>(b)</w:t>
      </w:r>
      <w:r w:rsidRPr="00883399">
        <w:rPr>
          <w:sz w:val="24"/>
        </w:rPr>
        <w:tab/>
        <w:t>for carbon dioxide—1.861 × 10</w:t>
      </w:r>
      <w:r w:rsidRPr="00883399">
        <w:rPr>
          <w:sz w:val="24"/>
          <w:vertAlign w:val="superscript"/>
        </w:rPr>
        <w:noBreakHyphen/>
        <w:t>3</w:t>
      </w:r>
      <w:r w:rsidRPr="00883399">
        <w:rPr>
          <w:sz w:val="24"/>
        </w:rPr>
        <w:t>; and</w:t>
      </w:r>
    </w:p>
    <w:p w14:paraId="0C74918D" w14:textId="77777777" w:rsidR="00C45987" w:rsidRPr="00883399" w:rsidRDefault="00C45987" w:rsidP="00C45987">
      <w:pPr>
        <w:pStyle w:val="paragraph"/>
        <w:rPr>
          <w:sz w:val="24"/>
        </w:rPr>
      </w:pPr>
      <w:r w:rsidRPr="00883399">
        <w:rPr>
          <w:sz w:val="24"/>
        </w:rPr>
        <w:tab/>
        <w:t>(c)</w:t>
      </w:r>
      <w:r w:rsidRPr="00883399">
        <w:rPr>
          <w:sz w:val="24"/>
        </w:rPr>
        <w:tab/>
        <w:t>for any other gas type—the appropriate conversion factor for the gas type.</w:t>
      </w:r>
    </w:p>
    <w:p w14:paraId="6F008D16" w14:textId="77777777" w:rsidR="00C45987" w:rsidRPr="00883399" w:rsidRDefault="00C45987" w:rsidP="00C45987">
      <w:pPr>
        <w:pStyle w:val="Definition0"/>
        <w:rPr>
          <w:rFonts w:eastAsiaTheme="minorHAnsi"/>
          <w:sz w:val="24"/>
        </w:rPr>
      </w:pPr>
      <w:r w:rsidRPr="00883399">
        <w:rPr>
          <w:rFonts w:eastAsiaTheme="minorHAnsi"/>
          <w:b/>
          <w:i/>
          <w:sz w:val="24"/>
        </w:rPr>
        <w:t>Q</w:t>
      </w:r>
      <w:r w:rsidRPr="00883399">
        <w:rPr>
          <w:rFonts w:eastAsiaTheme="minorHAnsi"/>
          <w:b/>
          <w:i/>
          <w:sz w:val="24"/>
          <w:vertAlign w:val="subscript"/>
        </w:rPr>
        <w:t>inj</w:t>
      </w:r>
      <w:r w:rsidRPr="00883399">
        <w:rPr>
          <w:rFonts w:eastAsiaTheme="minorHAnsi"/>
          <w:b/>
          <w:i/>
          <w:sz w:val="24"/>
        </w:rPr>
        <w:t xml:space="preserve"> </w:t>
      </w:r>
      <w:r w:rsidRPr="00883399">
        <w:rPr>
          <w:rFonts w:eastAsiaTheme="minorHAnsi"/>
          <w:sz w:val="24"/>
        </w:rPr>
        <w:t>is the quantity of greenhouse gas injected into the storage site during the year and measured in cubic metres at standard conditions of pressure and temperature.</w:t>
      </w:r>
    </w:p>
    <w:p w14:paraId="03316E0C" w14:textId="77777777" w:rsidR="00C45987" w:rsidRPr="00883399" w:rsidRDefault="00C45987" w:rsidP="00C45987">
      <w:pPr>
        <w:pStyle w:val="Definition0"/>
        <w:rPr>
          <w:sz w:val="24"/>
        </w:rPr>
      </w:pPr>
      <w:r w:rsidRPr="00883399">
        <w:rPr>
          <w:b/>
          <w:i/>
          <w:sz w:val="24"/>
        </w:rPr>
        <w:t>RCCS</w:t>
      </w:r>
      <w:r w:rsidRPr="00883399">
        <w:rPr>
          <w:b/>
          <w:i/>
          <w:sz w:val="24"/>
          <w:vertAlign w:val="subscript"/>
        </w:rPr>
        <w:t>j</w:t>
      </w:r>
      <w:r w:rsidRPr="00883399">
        <w:rPr>
          <w:b/>
          <w:i/>
          <w:sz w:val="24"/>
        </w:rPr>
        <w:t xml:space="preserve"> </w:t>
      </w:r>
      <w:r w:rsidRPr="00883399">
        <w:rPr>
          <w:sz w:val="24"/>
        </w:rPr>
        <w:t>is the quantity of gas type (</w:t>
      </w:r>
      <w:r w:rsidRPr="00883399">
        <w:rPr>
          <w:b/>
          <w:i/>
          <w:sz w:val="24"/>
        </w:rPr>
        <w:t>j</w:t>
      </w:r>
      <w:r w:rsidRPr="00883399">
        <w:rPr>
          <w:sz w:val="24"/>
        </w:rPr>
        <w:t>) captured during the year worked out under Division 1.2.3 and measured in cubic metres at standard conditions of pressure and temperature.</w:t>
      </w:r>
    </w:p>
    <w:p w14:paraId="1A5768F3" w14:textId="77777777" w:rsidR="00C45987" w:rsidRPr="00883399" w:rsidRDefault="00C45987" w:rsidP="00C45987">
      <w:pPr>
        <w:pStyle w:val="ActHead4"/>
        <w:rPr>
          <w:sz w:val="28"/>
        </w:rPr>
      </w:pPr>
      <w:bookmarkStart w:id="759" w:name="_Toc455152436"/>
      <w:bookmarkStart w:id="760" w:name="_Toc495652909"/>
      <w:r w:rsidRPr="00883399">
        <w:rPr>
          <w:rStyle w:val="CharSubdNo"/>
          <w:sz w:val="28"/>
        </w:rPr>
        <w:t>Subdivision 3.4.2.3</w:t>
      </w:r>
      <w:r w:rsidRPr="00883399">
        <w:rPr>
          <w:sz w:val="28"/>
        </w:rPr>
        <w:t>—</w:t>
      </w:r>
      <w:r w:rsidRPr="00883399">
        <w:rPr>
          <w:rStyle w:val="CharSubdText"/>
          <w:sz w:val="28"/>
        </w:rPr>
        <w:t>Emissions from transport of greenhouse gases not involving transfer</w:t>
      </w:r>
      <w:bookmarkEnd w:id="759"/>
      <w:bookmarkEnd w:id="760"/>
    </w:p>
    <w:p w14:paraId="2661FAAA" w14:textId="77777777" w:rsidR="00C45987" w:rsidRPr="00883399" w:rsidRDefault="00C45987" w:rsidP="00C45987">
      <w:pPr>
        <w:pStyle w:val="ActHead5"/>
        <w:rPr>
          <w:sz w:val="28"/>
        </w:rPr>
      </w:pPr>
      <w:bookmarkStart w:id="761" w:name="_Toc455152437"/>
      <w:bookmarkStart w:id="762" w:name="_Toc495652910"/>
      <w:r w:rsidRPr="00883399">
        <w:rPr>
          <w:rStyle w:val="CharSectno"/>
          <w:sz w:val="28"/>
        </w:rPr>
        <w:t>3.92</w:t>
      </w:r>
      <w:r w:rsidRPr="00883399">
        <w:rPr>
          <w:sz w:val="28"/>
        </w:rPr>
        <w:t xml:space="preserve">  Method 1—emissions from transport of greenhouse gases not involving transfer</w:t>
      </w:r>
      <w:bookmarkEnd w:id="761"/>
      <w:bookmarkEnd w:id="762"/>
    </w:p>
    <w:p w14:paraId="17DA01B5" w14:textId="77777777" w:rsidR="00C45987" w:rsidRPr="00883399" w:rsidRDefault="00C45987" w:rsidP="00C45987">
      <w:pPr>
        <w:pStyle w:val="subsection"/>
        <w:rPr>
          <w:sz w:val="24"/>
        </w:rPr>
      </w:pPr>
      <w:r w:rsidRPr="00883399">
        <w:rPr>
          <w:sz w:val="24"/>
        </w:rPr>
        <w:tab/>
      </w:r>
      <w:r w:rsidRPr="00883399">
        <w:rPr>
          <w:sz w:val="24"/>
        </w:rPr>
        <w:tab/>
        <w:t>For subsection 3.90(3), method 1 is:</w:t>
      </w:r>
    </w:p>
    <w:p w14:paraId="21804E34" w14:textId="77777777" w:rsidR="00C45987" w:rsidRPr="00883399" w:rsidRDefault="00C45987" w:rsidP="00C45987">
      <w:pPr>
        <w:pStyle w:val="subsection2"/>
        <w:rPr>
          <w:sz w:val="24"/>
        </w:rPr>
      </w:pPr>
      <w:r w:rsidRPr="00883399">
        <w:rPr>
          <w:position w:val="-24"/>
          <w:sz w:val="24"/>
        </w:rPr>
        <w:object w:dxaOrig="2260" w:dyaOrig="580" w14:anchorId="7485D24F">
          <v:shape id="_x0000_i1069" type="#_x0000_t75" style="width:111pt;height:27.75pt" o:ole="">
            <v:imagedata r:id="rId176" o:title=""/>
          </v:shape>
          <o:OLEObject Type="Embed" ProgID="Equation.DSMT4" ShapeID="_x0000_i1069" DrawAspect="Content" ObjectID="_1594105960" r:id="rId177"/>
        </w:object>
      </w:r>
    </w:p>
    <w:p w14:paraId="5244E560" w14:textId="77777777" w:rsidR="00C45987" w:rsidRPr="00883399" w:rsidRDefault="00C45987" w:rsidP="00C45987">
      <w:pPr>
        <w:pStyle w:val="subsection2"/>
        <w:rPr>
          <w:sz w:val="24"/>
        </w:rPr>
      </w:pPr>
      <w:r w:rsidRPr="00883399">
        <w:rPr>
          <w:sz w:val="24"/>
        </w:rPr>
        <w:t>where:</w:t>
      </w:r>
    </w:p>
    <w:p w14:paraId="38206E77" w14:textId="77777777" w:rsidR="00C45987" w:rsidRPr="00883399" w:rsidRDefault="00C45987" w:rsidP="00C45987">
      <w:pPr>
        <w:pStyle w:val="Definition0"/>
        <w:rPr>
          <w:sz w:val="24"/>
        </w:rPr>
      </w:pPr>
      <w:r w:rsidRPr="00883399">
        <w:rPr>
          <w:b/>
          <w:i/>
          <w:sz w:val="24"/>
        </w:rPr>
        <w:t>E</w:t>
      </w:r>
      <w:r w:rsidRPr="00883399">
        <w:rPr>
          <w:b/>
          <w:i/>
          <w:sz w:val="24"/>
          <w:vertAlign w:val="subscript"/>
        </w:rPr>
        <w:t>j</w:t>
      </w:r>
      <w:r w:rsidRPr="00883399">
        <w:rPr>
          <w:b/>
          <w:i/>
          <w:sz w:val="24"/>
        </w:rPr>
        <w:t xml:space="preserve"> </w:t>
      </w:r>
      <w:r w:rsidRPr="00883399">
        <w:rPr>
          <w:sz w:val="24"/>
        </w:rPr>
        <w:t>is the emissions of gas type (</w:t>
      </w:r>
      <w:r w:rsidRPr="00883399">
        <w:rPr>
          <w:b/>
          <w:i/>
          <w:sz w:val="24"/>
        </w:rPr>
        <w:t>j</w:t>
      </w:r>
      <w:r w:rsidRPr="00883399">
        <w:rPr>
          <w:sz w:val="24"/>
        </w:rPr>
        <w:t>), during the year from transportation of greenhouse gas captured for permanent storage to the storage site, measured in CO</w:t>
      </w:r>
      <w:r w:rsidRPr="00883399">
        <w:rPr>
          <w:sz w:val="24"/>
          <w:vertAlign w:val="subscript"/>
        </w:rPr>
        <w:t>2</w:t>
      </w:r>
      <w:r w:rsidRPr="00883399">
        <w:rPr>
          <w:sz w:val="24"/>
        </w:rPr>
        <w:noBreakHyphen/>
        <w:t>e</w:t>
      </w:r>
      <w:r w:rsidRPr="00883399">
        <w:rPr>
          <w:rFonts w:ascii="TimesNewRoman" w:hAnsi="TimesNewRoman" w:cs="TimesNewRoman"/>
          <w:sz w:val="24"/>
        </w:rPr>
        <w:t xml:space="preserve"> </w:t>
      </w:r>
      <w:r w:rsidRPr="00883399">
        <w:rPr>
          <w:sz w:val="24"/>
        </w:rPr>
        <w:t>tonnes</w:t>
      </w:r>
      <w:r w:rsidRPr="00883399">
        <w:rPr>
          <w:rFonts w:ascii="TimesNewRoman" w:hAnsi="TimesNewRoman" w:cs="TimesNewRoman"/>
          <w:sz w:val="24"/>
        </w:rPr>
        <w:t>.</w:t>
      </w:r>
    </w:p>
    <w:p w14:paraId="4F3A95DC" w14:textId="77777777" w:rsidR="00C45987" w:rsidRPr="00883399" w:rsidRDefault="00C45987" w:rsidP="00C45987">
      <w:pPr>
        <w:pStyle w:val="Definition0"/>
        <w:rPr>
          <w:sz w:val="24"/>
        </w:rPr>
      </w:pPr>
      <w:r w:rsidRPr="00883399">
        <w:rPr>
          <w:b/>
          <w:i/>
          <w:sz w:val="24"/>
        </w:rPr>
        <w:lastRenderedPageBreak/>
        <w:t>γ</w:t>
      </w:r>
      <w:r w:rsidRPr="00883399">
        <w:rPr>
          <w:rFonts w:ascii="Times New Roman Bold Italic" w:hAnsi="Times New Roman Bold Italic"/>
          <w:b/>
          <w:i/>
          <w:sz w:val="24"/>
          <w:vertAlign w:val="subscript"/>
        </w:rPr>
        <w:t>j</w:t>
      </w:r>
      <w:r w:rsidRPr="00883399">
        <w:rPr>
          <w:b/>
          <w:i/>
          <w:sz w:val="24"/>
        </w:rPr>
        <w:t xml:space="preserve"> </w:t>
      </w:r>
      <w:r w:rsidRPr="00883399">
        <w:rPr>
          <w:sz w:val="24"/>
        </w:rPr>
        <w:t>is the factor for converting a quantity of gas type (</w:t>
      </w:r>
      <w:r w:rsidRPr="00883399">
        <w:rPr>
          <w:b/>
          <w:i/>
          <w:sz w:val="24"/>
        </w:rPr>
        <w:t>j</w:t>
      </w:r>
      <w:r w:rsidRPr="00883399">
        <w:rPr>
          <w:sz w:val="24"/>
        </w:rPr>
        <w:t>) from cubic metres at standard conditions of pressure and temperature to CO</w:t>
      </w:r>
      <w:r w:rsidRPr="00883399">
        <w:rPr>
          <w:sz w:val="24"/>
          <w:vertAlign w:val="subscript"/>
        </w:rPr>
        <w:t>2</w:t>
      </w:r>
      <w:r w:rsidRPr="00883399">
        <w:rPr>
          <w:sz w:val="24"/>
        </w:rPr>
        <w:noBreakHyphen/>
        <w:t>e tonnes, being:</w:t>
      </w:r>
    </w:p>
    <w:p w14:paraId="1593EF78" w14:textId="77777777" w:rsidR="00C45987" w:rsidRPr="00883399" w:rsidRDefault="00C45987" w:rsidP="00C45987">
      <w:pPr>
        <w:pStyle w:val="paragraph"/>
        <w:rPr>
          <w:sz w:val="24"/>
        </w:rPr>
      </w:pPr>
      <w:r w:rsidRPr="00883399">
        <w:rPr>
          <w:sz w:val="24"/>
        </w:rPr>
        <w:tab/>
        <w:t>(a)</w:t>
      </w:r>
      <w:r w:rsidRPr="00883399">
        <w:rPr>
          <w:sz w:val="24"/>
        </w:rPr>
        <w:tab/>
        <w:t>for methane—6.784 × 10</w:t>
      </w:r>
      <w:r w:rsidRPr="00883399">
        <w:rPr>
          <w:sz w:val="24"/>
          <w:vertAlign w:val="superscript"/>
        </w:rPr>
        <w:noBreakHyphen/>
        <w:t xml:space="preserve">4 </w:t>
      </w:r>
      <w:r w:rsidRPr="00883399">
        <w:rPr>
          <w:sz w:val="24"/>
        </w:rPr>
        <w:t>× 21; and</w:t>
      </w:r>
    </w:p>
    <w:p w14:paraId="67567A33" w14:textId="77777777" w:rsidR="00C45987" w:rsidRPr="00883399" w:rsidRDefault="00C45987" w:rsidP="00C45987">
      <w:pPr>
        <w:pStyle w:val="paragraph"/>
        <w:rPr>
          <w:sz w:val="24"/>
        </w:rPr>
      </w:pPr>
      <w:r w:rsidRPr="00883399">
        <w:rPr>
          <w:sz w:val="24"/>
        </w:rPr>
        <w:tab/>
        <w:t>(b)</w:t>
      </w:r>
      <w:r w:rsidRPr="00883399">
        <w:rPr>
          <w:sz w:val="24"/>
        </w:rPr>
        <w:tab/>
        <w:t>for carbon dioxide—1.861 × 10</w:t>
      </w:r>
      <w:r w:rsidRPr="00883399">
        <w:rPr>
          <w:sz w:val="24"/>
          <w:vertAlign w:val="superscript"/>
        </w:rPr>
        <w:noBreakHyphen/>
        <w:t>3</w:t>
      </w:r>
      <w:r w:rsidRPr="00883399">
        <w:rPr>
          <w:sz w:val="24"/>
        </w:rPr>
        <w:t>; and</w:t>
      </w:r>
    </w:p>
    <w:p w14:paraId="7B9AEBC9" w14:textId="77777777" w:rsidR="00C45987" w:rsidRPr="00883399" w:rsidRDefault="00C45987" w:rsidP="00C45987">
      <w:pPr>
        <w:pStyle w:val="paragraph"/>
        <w:rPr>
          <w:sz w:val="24"/>
        </w:rPr>
      </w:pPr>
      <w:r w:rsidRPr="00883399">
        <w:rPr>
          <w:sz w:val="24"/>
        </w:rPr>
        <w:tab/>
        <w:t>(c)</w:t>
      </w:r>
      <w:r w:rsidRPr="00883399">
        <w:rPr>
          <w:sz w:val="24"/>
        </w:rPr>
        <w:tab/>
        <w:t>for any other gas type—the appropriate conversion factor for the gas type.</w:t>
      </w:r>
    </w:p>
    <w:p w14:paraId="0154887E" w14:textId="77777777" w:rsidR="00C45987" w:rsidRPr="00883399" w:rsidRDefault="00C45987" w:rsidP="00C45987">
      <w:pPr>
        <w:pStyle w:val="Definition0"/>
        <w:rPr>
          <w:rFonts w:eastAsiaTheme="minorHAnsi"/>
          <w:sz w:val="24"/>
        </w:rPr>
      </w:pPr>
      <w:r w:rsidRPr="00883399">
        <w:rPr>
          <w:rFonts w:eastAsiaTheme="minorHAnsi"/>
          <w:b/>
          <w:i/>
          <w:sz w:val="24"/>
        </w:rPr>
        <w:t>Q</w:t>
      </w:r>
      <w:r w:rsidRPr="00883399">
        <w:rPr>
          <w:rFonts w:eastAsiaTheme="minorHAnsi"/>
          <w:b/>
          <w:i/>
          <w:sz w:val="24"/>
          <w:vertAlign w:val="subscript"/>
        </w:rPr>
        <w:t>inj</w:t>
      </w:r>
      <w:r w:rsidRPr="00883399">
        <w:rPr>
          <w:rFonts w:eastAsiaTheme="minorHAnsi"/>
          <w:b/>
          <w:i/>
          <w:sz w:val="24"/>
        </w:rPr>
        <w:t xml:space="preserve"> </w:t>
      </w:r>
      <w:r w:rsidRPr="00883399">
        <w:rPr>
          <w:rFonts w:eastAsiaTheme="minorHAnsi"/>
          <w:sz w:val="24"/>
        </w:rPr>
        <w:t>is the quantity of greenhouse gas injected into the storage site during the year and measured in cubic metres at standard conditions of pressure and temperature.</w:t>
      </w:r>
    </w:p>
    <w:p w14:paraId="2304F0AA" w14:textId="77777777" w:rsidR="00C45987" w:rsidRPr="00883399" w:rsidRDefault="00C45987" w:rsidP="00C45987">
      <w:pPr>
        <w:pStyle w:val="Definition0"/>
        <w:rPr>
          <w:sz w:val="24"/>
        </w:rPr>
      </w:pPr>
      <w:r w:rsidRPr="00883399">
        <w:rPr>
          <w:b/>
          <w:i/>
          <w:sz w:val="24"/>
        </w:rPr>
        <w:t>RCCS</w:t>
      </w:r>
      <w:r w:rsidRPr="00883399">
        <w:rPr>
          <w:b/>
          <w:i/>
          <w:sz w:val="24"/>
          <w:vertAlign w:val="subscript"/>
        </w:rPr>
        <w:t>j</w:t>
      </w:r>
      <w:r w:rsidRPr="00883399">
        <w:rPr>
          <w:b/>
          <w:i/>
          <w:sz w:val="24"/>
        </w:rPr>
        <w:t xml:space="preserve"> </w:t>
      </w:r>
      <w:r w:rsidRPr="00883399">
        <w:rPr>
          <w:sz w:val="24"/>
        </w:rPr>
        <w:t>is the quantity of gas type (</w:t>
      </w:r>
      <w:r w:rsidRPr="00883399">
        <w:rPr>
          <w:b/>
          <w:i/>
          <w:sz w:val="24"/>
        </w:rPr>
        <w:t>j</w:t>
      </w:r>
      <w:r w:rsidRPr="00883399">
        <w:rPr>
          <w:sz w:val="24"/>
        </w:rPr>
        <w:t>) captured during the year worked out under Division 1.2.3 and measured in cubic metres at standard conditions of pressure and temperature.</w:t>
      </w:r>
    </w:p>
    <w:p w14:paraId="0F9167A7" w14:textId="77777777" w:rsidR="00C45987" w:rsidRPr="00883399" w:rsidRDefault="00C45987" w:rsidP="00C45987">
      <w:pPr>
        <w:pStyle w:val="ActHead3"/>
        <w:pageBreakBefore/>
        <w:rPr>
          <w:sz w:val="32"/>
        </w:rPr>
      </w:pPr>
      <w:bookmarkStart w:id="763" w:name="_Toc455152438"/>
      <w:bookmarkStart w:id="764" w:name="_Toc495652911"/>
      <w:r w:rsidRPr="00883399">
        <w:rPr>
          <w:rStyle w:val="CharDivNo"/>
          <w:sz w:val="32"/>
        </w:rPr>
        <w:lastRenderedPageBreak/>
        <w:t>Division 3.4.3</w:t>
      </w:r>
      <w:r w:rsidRPr="00883399">
        <w:rPr>
          <w:sz w:val="32"/>
        </w:rPr>
        <w:t>—</w:t>
      </w:r>
      <w:r w:rsidRPr="00883399">
        <w:rPr>
          <w:rStyle w:val="CharDivText"/>
          <w:sz w:val="32"/>
        </w:rPr>
        <w:t>Injection of greenhouse gases</w:t>
      </w:r>
      <w:bookmarkEnd w:id="763"/>
      <w:bookmarkEnd w:id="764"/>
    </w:p>
    <w:p w14:paraId="584231FE" w14:textId="77777777" w:rsidR="008708D9" w:rsidRPr="00883399" w:rsidRDefault="008708D9" w:rsidP="008708D9">
      <w:pPr>
        <w:spacing w:before="240" w:line="312" w:lineRule="auto"/>
        <w:rPr>
          <w:rFonts w:ascii="Arial" w:hAnsi="Arial" w:cs="Arial"/>
          <w:sz w:val="22"/>
          <w:szCs w:val="22"/>
        </w:rPr>
      </w:pPr>
      <w:bookmarkStart w:id="765" w:name="_Toc455152439"/>
      <w:r w:rsidRPr="00883399">
        <w:rPr>
          <w:rFonts w:ascii="Arial" w:hAnsi="Arial" w:cs="Arial"/>
          <w:sz w:val="22"/>
          <w:szCs w:val="22"/>
        </w:rPr>
        <w:t>As the processes and technologies involved with greenhouse gas injection are considered comparable with those for natural gas extraction, Division 3.4.3 mirrors existing provisions for natural gas production, where carbon dioxide is often injected into reservoirs as part of the normal operational practice of gas extraction.</w:t>
      </w:r>
    </w:p>
    <w:p w14:paraId="7E84C7EE" w14:textId="77777777" w:rsidR="008708D9" w:rsidRPr="00883399" w:rsidRDefault="008708D9" w:rsidP="008708D9">
      <w:pPr>
        <w:spacing w:before="240" w:line="312" w:lineRule="auto"/>
        <w:rPr>
          <w:rFonts w:ascii="Arial" w:hAnsi="Arial" w:cs="Arial"/>
          <w:sz w:val="22"/>
          <w:szCs w:val="22"/>
        </w:rPr>
      </w:pPr>
      <w:r w:rsidRPr="00883399">
        <w:rPr>
          <w:rFonts w:ascii="Arial" w:hAnsi="Arial" w:cs="Arial"/>
          <w:sz w:val="22"/>
          <w:szCs w:val="22"/>
        </w:rPr>
        <w:t>There is no Method 1, as there no appropriate default factors for CCS injection.</w:t>
      </w:r>
    </w:p>
    <w:p w14:paraId="46F6F823" w14:textId="77777777" w:rsidR="008708D9" w:rsidRPr="00883399" w:rsidRDefault="008708D9" w:rsidP="008708D9">
      <w:pPr>
        <w:spacing w:before="240" w:line="312" w:lineRule="auto"/>
        <w:rPr>
          <w:rFonts w:ascii="Arial" w:hAnsi="Arial" w:cs="Arial"/>
          <w:sz w:val="22"/>
          <w:szCs w:val="22"/>
        </w:rPr>
      </w:pPr>
      <w:r w:rsidRPr="00883399">
        <w:rPr>
          <w:rFonts w:ascii="Arial" w:hAnsi="Arial" w:cs="Arial"/>
          <w:sz w:val="22"/>
          <w:szCs w:val="22"/>
        </w:rPr>
        <w:t>Fugitive leakage emissions may occur during the injection of captured greenhouse gases into geological storage from sources such as the unintentional equipment leaks from valves, flanges, pump seals, compressor seals, relief valves, sampling connections, process drains, open-ended lines, casing, tanks and other leakage sources from pressurised equipment not classed as a vent.</w:t>
      </w:r>
    </w:p>
    <w:p w14:paraId="0B9A282A" w14:textId="77777777" w:rsidR="008708D9" w:rsidRPr="00883399" w:rsidRDefault="008708D9" w:rsidP="008708D9">
      <w:pPr>
        <w:spacing w:before="240" w:line="312" w:lineRule="auto"/>
        <w:rPr>
          <w:rFonts w:ascii="Arial" w:hAnsi="Arial" w:cs="Arial"/>
          <w:sz w:val="22"/>
          <w:szCs w:val="22"/>
        </w:rPr>
      </w:pPr>
      <w:r w:rsidRPr="00883399">
        <w:rPr>
          <w:rFonts w:ascii="Arial" w:hAnsi="Arial" w:cs="Arial"/>
          <w:sz w:val="22"/>
          <w:szCs w:val="22"/>
        </w:rPr>
        <w:t xml:space="preserve">Venting refers to emissions that are the result of processes or equipment design or operational practices. Venting during the injection phase of CCS operations is mainly associated with the release of CO2, which is extracted from the raw gas stream in the course of gas processing. It may also include release from actions such as deliberate backflow venting of injection wells for maintenance. </w:t>
      </w:r>
    </w:p>
    <w:p w14:paraId="340397BE" w14:textId="77777777" w:rsidR="00C45987" w:rsidRPr="00883399" w:rsidRDefault="00C45987" w:rsidP="00C45987">
      <w:pPr>
        <w:pStyle w:val="ActHead4"/>
        <w:rPr>
          <w:sz w:val="28"/>
        </w:rPr>
      </w:pPr>
      <w:bookmarkStart w:id="766" w:name="_Toc495652912"/>
      <w:r w:rsidRPr="00883399">
        <w:rPr>
          <w:rStyle w:val="CharSubdNo"/>
          <w:sz w:val="28"/>
        </w:rPr>
        <w:t>Subdivision 3.4.3.1</w:t>
      </w:r>
      <w:r w:rsidRPr="00883399">
        <w:rPr>
          <w:sz w:val="28"/>
        </w:rPr>
        <w:t>—</w:t>
      </w:r>
      <w:r w:rsidRPr="00883399">
        <w:rPr>
          <w:rStyle w:val="CharSubdText"/>
          <w:sz w:val="28"/>
        </w:rPr>
        <w:t>Preliminary</w:t>
      </w:r>
      <w:bookmarkEnd w:id="765"/>
      <w:bookmarkEnd w:id="766"/>
    </w:p>
    <w:p w14:paraId="08E12E9E" w14:textId="77777777" w:rsidR="00C45987" w:rsidRPr="00883399" w:rsidRDefault="00C45987" w:rsidP="00C45987">
      <w:pPr>
        <w:pStyle w:val="ActHead5"/>
        <w:rPr>
          <w:sz w:val="28"/>
        </w:rPr>
      </w:pPr>
      <w:bookmarkStart w:id="767" w:name="_Toc455152440"/>
      <w:bookmarkStart w:id="768" w:name="_Toc495652913"/>
      <w:r w:rsidRPr="00883399">
        <w:rPr>
          <w:rStyle w:val="CharSectno"/>
          <w:sz w:val="28"/>
        </w:rPr>
        <w:t>3.93</w:t>
      </w:r>
      <w:r w:rsidRPr="00883399">
        <w:rPr>
          <w:sz w:val="28"/>
        </w:rPr>
        <w:t xml:space="preserve">  Application</w:t>
      </w:r>
      <w:bookmarkEnd w:id="767"/>
      <w:bookmarkEnd w:id="768"/>
    </w:p>
    <w:p w14:paraId="41C607AA" w14:textId="77777777" w:rsidR="00C45987" w:rsidRPr="00883399" w:rsidRDefault="00C45987" w:rsidP="00C45987">
      <w:pPr>
        <w:pStyle w:val="subsection"/>
        <w:rPr>
          <w:sz w:val="24"/>
        </w:rPr>
      </w:pPr>
      <w:r w:rsidRPr="00883399">
        <w:rPr>
          <w:sz w:val="24"/>
        </w:rPr>
        <w:tab/>
      </w:r>
      <w:r w:rsidRPr="00883399">
        <w:rPr>
          <w:sz w:val="24"/>
        </w:rPr>
        <w:tab/>
        <w:t>This Division applies to fugitive emissions of greenhouse gases from the injection of a greenhouse gas captured for permanent storage into a geological formation.</w:t>
      </w:r>
    </w:p>
    <w:p w14:paraId="6520DB4C" w14:textId="77777777" w:rsidR="00C45987" w:rsidRPr="00883399" w:rsidRDefault="00C45987" w:rsidP="00C45987">
      <w:pPr>
        <w:pStyle w:val="notetext"/>
        <w:rPr>
          <w:sz w:val="20"/>
        </w:rPr>
      </w:pPr>
      <w:r w:rsidRPr="00883399">
        <w:rPr>
          <w:sz w:val="20"/>
        </w:rPr>
        <w:t>Note:</w:t>
      </w:r>
      <w:r w:rsidRPr="00883399">
        <w:rPr>
          <w:sz w:val="20"/>
        </w:rPr>
        <w:tab/>
        <w:t xml:space="preserve">A greenhouse gas is </w:t>
      </w:r>
      <w:r w:rsidRPr="00883399">
        <w:rPr>
          <w:b/>
          <w:i/>
          <w:sz w:val="20"/>
        </w:rPr>
        <w:t>captured for permanent storage</w:t>
      </w:r>
      <w:r w:rsidRPr="00883399">
        <w:rPr>
          <w:sz w:val="20"/>
        </w:rPr>
        <w:t xml:space="preserve"> in a geological formation if the gas is captured by, or transferred to, the holder of a licence, lease or approval mentioned in section 1.19A, under a law mentioned in that section, for the purpose of being injected into a geological formation (however described) under the licence, lease or approval.</w:t>
      </w:r>
    </w:p>
    <w:p w14:paraId="3889EAF2" w14:textId="77777777" w:rsidR="00C45987" w:rsidRPr="00883399" w:rsidRDefault="00C45987" w:rsidP="00C45987">
      <w:pPr>
        <w:pStyle w:val="ActHead5"/>
        <w:rPr>
          <w:sz w:val="28"/>
        </w:rPr>
      </w:pPr>
      <w:bookmarkStart w:id="769" w:name="_Toc455152441"/>
      <w:bookmarkStart w:id="770" w:name="_Toc495652914"/>
      <w:r w:rsidRPr="00883399">
        <w:rPr>
          <w:rStyle w:val="CharSectno"/>
          <w:sz w:val="28"/>
        </w:rPr>
        <w:t>3.94</w:t>
      </w:r>
      <w:r w:rsidRPr="00883399">
        <w:rPr>
          <w:sz w:val="28"/>
        </w:rPr>
        <w:t xml:space="preserve">  Available methods</w:t>
      </w:r>
      <w:bookmarkEnd w:id="769"/>
      <w:bookmarkEnd w:id="770"/>
    </w:p>
    <w:p w14:paraId="1E0714D1" w14:textId="77777777" w:rsidR="00C45987" w:rsidRPr="00883399" w:rsidRDefault="00C45987" w:rsidP="00C45987">
      <w:pPr>
        <w:pStyle w:val="subsection"/>
        <w:rPr>
          <w:sz w:val="24"/>
        </w:rPr>
      </w:pPr>
      <w:r w:rsidRPr="00883399">
        <w:rPr>
          <w:sz w:val="24"/>
        </w:rPr>
        <w:tab/>
        <w:t>(1)</w:t>
      </w:r>
      <w:r w:rsidRPr="00883399">
        <w:rPr>
          <w:sz w:val="24"/>
        </w:rPr>
        <w:tab/>
        <w:t>For estimating fugitive emissions of greenhouse gases released during a year from the injection of a greenhouse gas captured for permanent storage into a geological formation, the methods set out in this section must be used.</w:t>
      </w:r>
    </w:p>
    <w:p w14:paraId="10B653AB" w14:textId="77777777" w:rsidR="00C45987" w:rsidRPr="00883399" w:rsidRDefault="00C45987" w:rsidP="00C45987">
      <w:pPr>
        <w:pStyle w:val="SubsectionHead"/>
        <w:rPr>
          <w:sz w:val="24"/>
        </w:rPr>
      </w:pPr>
      <w:r w:rsidRPr="00883399">
        <w:rPr>
          <w:sz w:val="24"/>
        </w:rPr>
        <w:lastRenderedPageBreak/>
        <w:t>Process vents, system upsets and accidents</w:t>
      </w:r>
    </w:p>
    <w:p w14:paraId="3DB4945F" w14:textId="77777777" w:rsidR="00C45987" w:rsidRPr="00883399" w:rsidRDefault="00C45987" w:rsidP="00C45987">
      <w:pPr>
        <w:pStyle w:val="subsection"/>
        <w:rPr>
          <w:sz w:val="24"/>
        </w:rPr>
      </w:pPr>
      <w:r w:rsidRPr="00883399">
        <w:rPr>
          <w:sz w:val="24"/>
        </w:rPr>
        <w:tab/>
        <w:t>(2)</w:t>
      </w:r>
      <w:r w:rsidRPr="00883399">
        <w:rPr>
          <w:sz w:val="24"/>
        </w:rPr>
        <w:tab/>
        <w:t>Method 2 under section 3.95 must be used for estimating fugitive emissions of greenhouse gases that result from deliberate releases from process vents, system upsets and accidents.</w:t>
      </w:r>
    </w:p>
    <w:p w14:paraId="53ACE4C4" w14:textId="77777777" w:rsidR="00C45987" w:rsidRPr="00883399" w:rsidRDefault="00C45987" w:rsidP="00C45987">
      <w:pPr>
        <w:pStyle w:val="SubsectionHead"/>
        <w:rPr>
          <w:sz w:val="24"/>
        </w:rPr>
      </w:pPr>
      <w:r w:rsidRPr="00883399">
        <w:rPr>
          <w:sz w:val="24"/>
        </w:rPr>
        <w:t>Fugitive emissions of greenhouse gases other than from process vents, system upsets and accidents</w:t>
      </w:r>
    </w:p>
    <w:p w14:paraId="2AD10E64" w14:textId="77777777" w:rsidR="00C45987" w:rsidRPr="00883399" w:rsidRDefault="00C45987" w:rsidP="00C45987">
      <w:pPr>
        <w:pStyle w:val="subsection"/>
        <w:rPr>
          <w:sz w:val="24"/>
        </w:rPr>
      </w:pPr>
      <w:r w:rsidRPr="00883399">
        <w:rPr>
          <w:sz w:val="24"/>
        </w:rPr>
        <w:tab/>
        <w:t>(3)</w:t>
      </w:r>
      <w:r w:rsidRPr="00883399">
        <w:rPr>
          <w:sz w:val="24"/>
        </w:rPr>
        <w:tab/>
        <w:t>One of the following methods must be used for estimating fugitive emissions of greenhouse gases from the injection of a greenhouse gas captured for permanent storage into a geological formation that are not the result of deliberate releases from process vents, system upsets and accidents:</w:t>
      </w:r>
    </w:p>
    <w:p w14:paraId="3121EE57" w14:textId="77777777" w:rsidR="00C45987" w:rsidRPr="00883399" w:rsidRDefault="00C45987" w:rsidP="00C45987">
      <w:pPr>
        <w:pStyle w:val="paragraph"/>
        <w:rPr>
          <w:sz w:val="24"/>
        </w:rPr>
      </w:pPr>
      <w:r w:rsidRPr="00883399">
        <w:rPr>
          <w:sz w:val="24"/>
        </w:rPr>
        <w:tab/>
        <w:t>(a)</w:t>
      </w:r>
      <w:r w:rsidRPr="00883399">
        <w:rPr>
          <w:sz w:val="24"/>
        </w:rPr>
        <w:tab/>
        <w:t>method 2 under section 3.96;</w:t>
      </w:r>
    </w:p>
    <w:p w14:paraId="7DC15B8A" w14:textId="77777777" w:rsidR="00C45987" w:rsidRPr="00883399" w:rsidRDefault="00C45987" w:rsidP="00C45987">
      <w:pPr>
        <w:pStyle w:val="paragraph"/>
        <w:rPr>
          <w:sz w:val="24"/>
        </w:rPr>
      </w:pPr>
      <w:r w:rsidRPr="00883399">
        <w:rPr>
          <w:sz w:val="24"/>
        </w:rPr>
        <w:tab/>
        <w:t>(b)</w:t>
      </w:r>
      <w:r w:rsidRPr="00883399">
        <w:rPr>
          <w:sz w:val="24"/>
        </w:rPr>
        <w:tab/>
        <w:t>method 3 under section 3.97.</w:t>
      </w:r>
    </w:p>
    <w:p w14:paraId="7DE1B876" w14:textId="77777777" w:rsidR="00C45987" w:rsidRPr="00883399" w:rsidRDefault="00C45987" w:rsidP="00C45987">
      <w:pPr>
        <w:pStyle w:val="notetext"/>
        <w:rPr>
          <w:sz w:val="20"/>
        </w:rPr>
      </w:pPr>
      <w:r w:rsidRPr="00883399">
        <w:rPr>
          <w:sz w:val="20"/>
        </w:rPr>
        <w:t>Note:</w:t>
      </w:r>
      <w:r w:rsidRPr="00883399">
        <w:rPr>
          <w:sz w:val="20"/>
        </w:rPr>
        <w:tab/>
        <w:t>There is no method 1, 3 or 4 for subsection (2) and no method 1 or 4 for subsection (3).</w:t>
      </w:r>
    </w:p>
    <w:p w14:paraId="576E8678" w14:textId="77777777" w:rsidR="00C45987" w:rsidRPr="00883399" w:rsidRDefault="00C45987" w:rsidP="00C45987">
      <w:pPr>
        <w:pStyle w:val="ActHead4"/>
        <w:rPr>
          <w:sz w:val="28"/>
        </w:rPr>
      </w:pPr>
      <w:bookmarkStart w:id="771" w:name="_Toc455152442"/>
      <w:bookmarkStart w:id="772" w:name="_Toc495652915"/>
      <w:r w:rsidRPr="00883399">
        <w:rPr>
          <w:rStyle w:val="CharSubdNo"/>
          <w:sz w:val="28"/>
        </w:rPr>
        <w:t>Subdivision 3.4.3.2</w:t>
      </w:r>
      <w:r w:rsidRPr="00883399">
        <w:rPr>
          <w:sz w:val="28"/>
        </w:rPr>
        <w:t>—</w:t>
      </w:r>
      <w:r w:rsidRPr="00883399">
        <w:rPr>
          <w:rStyle w:val="CharSubdText"/>
          <w:sz w:val="28"/>
        </w:rPr>
        <w:t>Fugitive emissions from deliberate releases from process vents, system upsets and accidents</w:t>
      </w:r>
      <w:bookmarkEnd w:id="771"/>
      <w:bookmarkEnd w:id="772"/>
    </w:p>
    <w:p w14:paraId="46299052" w14:textId="77777777" w:rsidR="00C45987" w:rsidRPr="00883399" w:rsidRDefault="00C45987" w:rsidP="00C45987">
      <w:pPr>
        <w:pStyle w:val="ActHead5"/>
        <w:rPr>
          <w:sz w:val="28"/>
        </w:rPr>
      </w:pPr>
      <w:bookmarkStart w:id="773" w:name="_Toc455152443"/>
      <w:bookmarkStart w:id="774" w:name="_Toc495652916"/>
      <w:r w:rsidRPr="00883399">
        <w:rPr>
          <w:rStyle w:val="CharSectno"/>
          <w:sz w:val="28"/>
        </w:rPr>
        <w:t>3.95</w:t>
      </w:r>
      <w:r w:rsidRPr="00883399">
        <w:rPr>
          <w:sz w:val="28"/>
        </w:rPr>
        <w:t xml:space="preserve">  Method 2—fugitive emissions from deliberate releases from process vents, system upsets and accidents</w:t>
      </w:r>
      <w:bookmarkEnd w:id="773"/>
      <w:bookmarkEnd w:id="774"/>
    </w:p>
    <w:p w14:paraId="439274C1" w14:textId="77777777" w:rsidR="00C45987" w:rsidRPr="00883399" w:rsidRDefault="00C45987" w:rsidP="00C45987">
      <w:pPr>
        <w:pStyle w:val="subsection"/>
        <w:rPr>
          <w:sz w:val="24"/>
        </w:rPr>
      </w:pPr>
      <w:r w:rsidRPr="00883399">
        <w:rPr>
          <w:sz w:val="24"/>
        </w:rPr>
        <w:tab/>
      </w:r>
      <w:r w:rsidRPr="00883399">
        <w:rPr>
          <w:sz w:val="24"/>
        </w:rPr>
        <w:tab/>
        <w:t>Method 2 is the same as the approach mentioned in section 5.3 or 5.7.1 of the API Compendium.</w:t>
      </w:r>
    </w:p>
    <w:p w14:paraId="6495D738" w14:textId="77777777" w:rsidR="00C45987" w:rsidRPr="00883399" w:rsidRDefault="00C45987" w:rsidP="00C45987">
      <w:pPr>
        <w:pStyle w:val="ActHead4"/>
        <w:rPr>
          <w:sz w:val="28"/>
        </w:rPr>
      </w:pPr>
      <w:bookmarkStart w:id="775" w:name="_Toc455152444"/>
      <w:bookmarkStart w:id="776" w:name="_Toc495652917"/>
      <w:r w:rsidRPr="00883399">
        <w:rPr>
          <w:rStyle w:val="CharSubdNo"/>
          <w:sz w:val="28"/>
        </w:rPr>
        <w:t>Subdivision 3.4.3.3</w:t>
      </w:r>
      <w:r w:rsidRPr="00883399">
        <w:rPr>
          <w:sz w:val="28"/>
        </w:rPr>
        <w:t>—</w:t>
      </w:r>
      <w:r w:rsidRPr="00883399">
        <w:rPr>
          <w:rStyle w:val="CharSubdText"/>
          <w:sz w:val="28"/>
        </w:rPr>
        <w:t>Fugitive emissions from injection of greenhouse gases (other than emissions from deliberate releases from process vents, system upsets and accidents)</w:t>
      </w:r>
      <w:bookmarkEnd w:id="775"/>
      <w:bookmarkEnd w:id="776"/>
    </w:p>
    <w:p w14:paraId="636E67A4" w14:textId="77777777" w:rsidR="00C45987" w:rsidRPr="00883399" w:rsidRDefault="00C45987" w:rsidP="00C45987">
      <w:pPr>
        <w:pStyle w:val="ActHead5"/>
        <w:rPr>
          <w:sz w:val="28"/>
        </w:rPr>
      </w:pPr>
      <w:bookmarkStart w:id="777" w:name="_Toc455152445"/>
      <w:bookmarkStart w:id="778" w:name="_Toc495652918"/>
      <w:r w:rsidRPr="00883399">
        <w:rPr>
          <w:rStyle w:val="CharSectno"/>
          <w:sz w:val="28"/>
        </w:rPr>
        <w:t>3.96</w:t>
      </w:r>
      <w:r w:rsidRPr="00883399">
        <w:rPr>
          <w:sz w:val="28"/>
        </w:rPr>
        <w:t xml:space="preserve">  Method 2—fugitive emissions from injection of a greenhouse gas into a geological formation (other than deliberate releases from process vents, system upsets and accidents)</w:t>
      </w:r>
      <w:bookmarkEnd w:id="777"/>
      <w:bookmarkEnd w:id="778"/>
    </w:p>
    <w:p w14:paraId="1D8AF8CA" w14:textId="77777777" w:rsidR="00C45987" w:rsidRPr="00883399" w:rsidRDefault="00C45987" w:rsidP="00C45987">
      <w:pPr>
        <w:pStyle w:val="subsection"/>
        <w:rPr>
          <w:sz w:val="24"/>
        </w:rPr>
      </w:pPr>
      <w:r w:rsidRPr="00883399">
        <w:rPr>
          <w:sz w:val="24"/>
        </w:rPr>
        <w:tab/>
        <w:t>(1)</w:t>
      </w:r>
      <w:r w:rsidRPr="00883399">
        <w:rPr>
          <w:sz w:val="24"/>
        </w:rPr>
        <w:tab/>
        <w:t>Method 2 is:</w:t>
      </w:r>
    </w:p>
    <w:p w14:paraId="77771AAC" w14:textId="77777777" w:rsidR="00C45987" w:rsidRPr="00883399" w:rsidRDefault="00C45987" w:rsidP="00C45987">
      <w:pPr>
        <w:pStyle w:val="subsection2"/>
        <w:rPr>
          <w:sz w:val="24"/>
        </w:rPr>
      </w:pPr>
      <w:r w:rsidRPr="00883399">
        <w:rPr>
          <w:position w:val="-24"/>
          <w:sz w:val="24"/>
        </w:rPr>
        <w:object w:dxaOrig="2160" w:dyaOrig="580" w14:anchorId="4CE225EC">
          <v:shape id="_x0000_i1070" type="#_x0000_t75" style="width:108.75pt;height:27.75pt" o:ole="">
            <v:imagedata r:id="rId178" o:title=""/>
          </v:shape>
          <o:OLEObject Type="Embed" ProgID="Equation.DSMT4" ShapeID="_x0000_i1070" DrawAspect="Content" ObjectID="_1594105961" r:id="rId179"/>
        </w:object>
      </w:r>
    </w:p>
    <w:p w14:paraId="2F4728A7" w14:textId="77777777" w:rsidR="00C45987" w:rsidRPr="00883399" w:rsidRDefault="00C45987" w:rsidP="00C45987">
      <w:pPr>
        <w:pStyle w:val="subsection2"/>
        <w:rPr>
          <w:sz w:val="24"/>
        </w:rPr>
      </w:pPr>
      <w:r w:rsidRPr="00883399">
        <w:rPr>
          <w:sz w:val="24"/>
        </w:rPr>
        <w:t>where:</w:t>
      </w:r>
    </w:p>
    <w:p w14:paraId="57EF655C" w14:textId="77777777" w:rsidR="00C45987" w:rsidRPr="00883399" w:rsidRDefault="00C45987" w:rsidP="00C45987">
      <w:pPr>
        <w:pStyle w:val="Definition0"/>
        <w:rPr>
          <w:sz w:val="24"/>
        </w:rPr>
      </w:pPr>
      <w:r w:rsidRPr="00883399">
        <w:rPr>
          <w:b/>
          <w:i/>
          <w:sz w:val="24"/>
        </w:rPr>
        <w:t>EF</w:t>
      </w:r>
      <w:r w:rsidRPr="00883399">
        <w:rPr>
          <w:b/>
          <w:i/>
          <w:sz w:val="24"/>
          <w:vertAlign w:val="subscript"/>
        </w:rPr>
        <w:t>ijk</w:t>
      </w:r>
      <w:r w:rsidRPr="00883399">
        <w:rPr>
          <w:b/>
          <w:i/>
          <w:sz w:val="24"/>
        </w:rPr>
        <w:t xml:space="preserve"> </w:t>
      </w:r>
      <w:r w:rsidRPr="00883399">
        <w:rPr>
          <w:sz w:val="24"/>
        </w:rPr>
        <w:t>is the emission factor (</w:t>
      </w:r>
      <w:r w:rsidRPr="00883399">
        <w:rPr>
          <w:b/>
          <w:i/>
          <w:sz w:val="24"/>
        </w:rPr>
        <w:t>j</w:t>
      </w:r>
      <w:r w:rsidRPr="00883399">
        <w:rPr>
          <w:sz w:val="24"/>
        </w:rPr>
        <w:t>) measured in CO</w:t>
      </w:r>
      <w:r w:rsidRPr="00883399">
        <w:rPr>
          <w:sz w:val="24"/>
          <w:vertAlign w:val="subscript"/>
        </w:rPr>
        <w:t>2</w:t>
      </w:r>
      <w:r w:rsidRPr="00883399">
        <w:rPr>
          <w:sz w:val="24"/>
        </w:rPr>
        <w:noBreakHyphen/>
        <w:t>e tonnes that passes through each equipment type (</w:t>
      </w:r>
      <w:r w:rsidRPr="00883399">
        <w:rPr>
          <w:b/>
          <w:i/>
          <w:sz w:val="24"/>
        </w:rPr>
        <w:t>k</w:t>
      </w:r>
      <w:r w:rsidRPr="00883399">
        <w:rPr>
          <w:sz w:val="24"/>
        </w:rPr>
        <w:t xml:space="preserve">) mentioned in section 6.1 of the API </w:t>
      </w:r>
      <w:r w:rsidRPr="00883399">
        <w:rPr>
          <w:sz w:val="24"/>
        </w:rPr>
        <w:lastRenderedPageBreak/>
        <w:t>Compendium, if the equipment type was used in the injection of a greenhouse gas into the geological formation.</w:t>
      </w:r>
    </w:p>
    <w:p w14:paraId="16105A55" w14:textId="77777777" w:rsidR="00C45987" w:rsidRPr="00883399" w:rsidRDefault="00C45987" w:rsidP="00C45987">
      <w:pPr>
        <w:pStyle w:val="Definition0"/>
        <w:rPr>
          <w:sz w:val="24"/>
        </w:rPr>
      </w:pPr>
      <w:r w:rsidRPr="00883399">
        <w:rPr>
          <w:b/>
          <w:i/>
          <w:sz w:val="24"/>
        </w:rPr>
        <w:t>E</w:t>
      </w:r>
      <w:r w:rsidRPr="00883399">
        <w:rPr>
          <w:b/>
          <w:i/>
          <w:sz w:val="24"/>
          <w:vertAlign w:val="subscript"/>
        </w:rPr>
        <w:t>ij</w:t>
      </w:r>
      <w:r w:rsidRPr="00883399">
        <w:rPr>
          <w:b/>
          <w:i/>
          <w:sz w:val="24"/>
        </w:rPr>
        <w:t xml:space="preserve"> </w:t>
      </w:r>
      <w:r w:rsidRPr="00883399">
        <w:rPr>
          <w:sz w:val="24"/>
        </w:rPr>
        <w:t>is the fugitive emissions (</w:t>
      </w:r>
      <w:r w:rsidRPr="00883399">
        <w:rPr>
          <w:b/>
          <w:i/>
          <w:sz w:val="24"/>
        </w:rPr>
        <w:t>j</w:t>
      </w:r>
      <w:r w:rsidRPr="00883399">
        <w:rPr>
          <w:sz w:val="24"/>
        </w:rPr>
        <w:t>) from the injection of a greenhouse gas into a geological formation during the reporting year, measured in CO</w:t>
      </w:r>
      <w:r w:rsidRPr="00883399">
        <w:rPr>
          <w:sz w:val="24"/>
          <w:vertAlign w:val="subscript"/>
        </w:rPr>
        <w:t>2</w:t>
      </w:r>
      <w:r w:rsidRPr="00883399">
        <w:rPr>
          <w:sz w:val="24"/>
        </w:rPr>
        <w:noBreakHyphen/>
        <w:t>e tonnes.</w:t>
      </w:r>
    </w:p>
    <w:p w14:paraId="0C66358A" w14:textId="77777777" w:rsidR="00C45987" w:rsidRPr="00883399" w:rsidRDefault="00C45987" w:rsidP="00C45987">
      <w:pPr>
        <w:pStyle w:val="Definition0"/>
        <w:rPr>
          <w:sz w:val="24"/>
        </w:rPr>
      </w:pPr>
      <w:r w:rsidRPr="00883399">
        <w:rPr>
          <w:b/>
          <w:i/>
          <w:sz w:val="24"/>
        </w:rPr>
        <w:t>Σ</w:t>
      </w:r>
      <w:r w:rsidRPr="00883399">
        <w:rPr>
          <w:b/>
          <w:i/>
          <w:sz w:val="24"/>
          <w:vertAlign w:val="subscript"/>
        </w:rPr>
        <w:t xml:space="preserve">k </w:t>
      </w:r>
      <w:r w:rsidRPr="00883399">
        <w:rPr>
          <w:sz w:val="24"/>
        </w:rPr>
        <w:t>is the emissions (</w:t>
      </w:r>
      <w:r w:rsidRPr="00883399">
        <w:rPr>
          <w:b/>
          <w:i/>
          <w:sz w:val="24"/>
        </w:rPr>
        <w:t>j</w:t>
      </w:r>
      <w:r w:rsidRPr="00883399">
        <w:rPr>
          <w:sz w:val="24"/>
        </w:rPr>
        <w:t>) measured in CO</w:t>
      </w:r>
      <w:r w:rsidRPr="00883399">
        <w:rPr>
          <w:sz w:val="24"/>
          <w:vertAlign w:val="subscript"/>
        </w:rPr>
        <w:t>2</w:t>
      </w:r>
      <w:r w:rsidRPr="00883399">
        <w:rPr>
          <w:sz w:val="24"/>
        </w:rPr>
        <w:noBreakHyphen/>
        <w:t>e tonnes and estimated by summing up the emissions released from each equipment type (</w:t>
      </w:r>
      <w:r w:rsidRPr="00883399">
        <w:rPr>
          <w:b/>
          <w:i/>
          <w:sz w:val="24"/>
        </w:rPr>
        <w:t>k</w:t>
      </w:r>
      <w:r w:rsidRPr="00883399">
        <w:rPr>
          <w:sz w:val="24"/>
        </w:rPr>
        <w:t>) mentioned in section 6.1 of the API Compendium, if the equipment type was used in the injection of a greenhouse gas into the geological formation.</w:t>
      </w:r>
    </w:p>
    <w:p w14:paraId="4820AD9F" w14:textId="77777777" w:rsidR="00C45987" w:rsidRPr="00883399" w:rsidRDefault="00C45987" w:rsidP="00C45987">
      <w:pPr>
        <w:pStyle w:val="Definition0"/>
        <w:rPr>
          <w:sz w:val="24"/>
        </w:rPr>
      </w:pPr>
      <w:r w:rsidRPr="00883399">
        <w:rPr>
          <w:b/>
          <w:i/>
          <w:sz w:val="24"/>
        </w:rPr>
        <w:t>Q</w:t>
      </w:r>
      <w:r w:rsidRPr="00883399">
        <w:rPr>
          <w:b/>
          <w:i/>
          <w:sz w:val="24"/>
          <w:vertAlign w:val="subscript"/>
        </w:rPr>
        <w:t>ik</w:t>
      </w:r>
      <w:r w:rsidRPr="00883399">
        <w:rPr>
          <w:sz w:val="24"/>
          <w:vertAlign w:val="subscript"/>
        </w:rPr>
        <w:t xml:space="preserve"> </w:t>
      </w:r>
      <w:r w:rsidRPr="00883399">
        <w:rPr>
          <w:sz w:val="24"/>
        </w:rPr>
        <w:t>is the total of the quantities of greenhouse gas measured in tonnes that pass through each equipment type (</w:t>
      </w:r>
      <w:r w:rsidRPr="00883399">
        <w:rPr>
          <w:b/>
          <w:i/>
          <w:sz w:val="24"/>
        </w:rPr>
        <w:t>k</w:t>
      </w:r>
      <w:r w:rsidRPr="00883399">
        <w:rPr>
          <w:sz w:val="24"/>
        </w:rPr>
        <w:t>) mentioned in section 6.1 of the API Compendium, if the equipment type was used in the injection of a greenhouse gas into the geological formation.</w:t>
      </w:r>
    </w:p>
    <w:p w14:paraId="28B19956" w14:textId="77777777" w:rsidR="00C45987" w:rsidRPr="00883399" w:rsidRDefault="00C45987" w:rsidP="00C45987">
      <w:pPr>
        <w:pStyle w:val="subsection"/>
        <w:rPr>
          <w:sz w:val="24"/>
        </w:rPr>
      </w:pPr>
      <w:r w:rsidRPr="00883399">
        <w:rPr>
          <w:sz w:val="24"/>
        </w:rPr>
        <w:tab/>
        <w:t>(2)</w:t>
      </w:r>
      <w:r w:rsidRPr="00883399">
        <w:rPr>
          <w:sz w:val="24"/>
        </w:rPr>
        <w:tab/>
        <w:t xml:space="preserve">For </w:t>
      </w:r>
      <w:r w:rsidRPr="00883399">
        <w:rPr>
          <w:b/>
          <w:i/>
          <w:sz w:val="24"/>
        </w:rPr>
        <w:t>EF</w:t>
      </w:r>
      <w:r w:rsidRPr="00883399">
        <w:rPr>
          <w:b/>
          <w:i/>
          <w:sz w:val="24"/>
          <w:vertAlign w:val="subscript"/>
        </w:rPr>
        <w:t>ijk</w:t>
      </w:r>
      <w:r w:rsidRPr="00883399">
        <w:rPr>
          <w:b/>
          <w:sz w:val="24"/>
          <w:vertAlign w:val="subscript"/>
        </w:rPr>
        <w:t xml:space="preserve"> </w:t>
      </w:r>
      <w:r w:rsidRPr="00883399">
        <w:rPr>
          <w:sz w:val="24"/>
        </w:rPr>
        <w:t>in subsection (1), the emission factors are:</w:t>
      </w:r>
    </w:p>
    <w:p w14:paraId="40543349" w14:textId="77777777" w:rsidR="00C45987" w:rsidRPr="00883399" w:rsidRDefault="00C45987" w:rsidP="00C45987">
      <w:pPr>
        <w:pStyle w:val="paragraph"/>
        <w:rPr>
          <w:sz w:val="24"/>
        </w:rPr>
      </w:pPr>
      <w:r w:rsidRPr="00883399">
        <w:rPr>
          <w:sz w:val="24"/>
        </w:rPr>
        <w:tab/>
        <w:t>(a)</w:t>
      </w:r>
      <w:r w:rsidRPr="00883399">
        <w:rPr>
          <w:sz w:val="24"/>
        </w:rPr>
        <w:tab/>
        <w:t>the emission factors listed for the equipment type in section 6.1 of the API Compendium; or</w:t>
      </w:r>
    </w:p>
    <w:p w14:paraId="79405673" w14:textId="77777777" w:rsidR="00C45987" w:rsidRPr="00883399" w:rsidRDefault="00C45987" w:rsidP="00C45987">
      <w:pPr>
        <w:pStyle w:val="paragraph"/>
        <w:rPr>
          <w:sz w:val="24"/>
        </w:rPr>
      </w:pPr>
      <w:r w:rsidRPr="00883399">
        <w:rPr>
          <w:sz w:val="24"/>
        </w:rPr>
        <w:tab/>
        <w:t>(b)</w:t>
      </w:r>
      <w:r w:rsidRPr="00883399">
        <w:rPr>
          <w:sz w:val="24"/>
        </w:rPr>
        <w:tab/>
        <w:t>if the manufacturer of the equipment supplies equipment specific emissions factors for the equipment type—those factors.</w:t>
      </w:r>
    </w:p>
    <w:p w14:paraId="34417F4D" w14:textId="77777777" w:rsidR="00C45987" w:rsidRPr="00883399" w:rsidRDefault="00C45987" w:rsidP="00C45987">
      <w:pPr>
        <w:pStyle w:val="ActHead5"/>
        <w:rPr>
          <w:sz w:val="28"/>
        </w:rPr>
      </w:pPr>
      <w:bookmarkStart w:id="779" w:name="_Toc455152446"/>
      <w:bookmarkStart w:id="780" w:name="_Toc495652919"/>
      <w:r w:rsidRPr="00883399">
        <w:rPr>
          <w:rStyle w:val="CharSectno"/>
          <w:sz w:val="28"/>
        </w:rPr>
        <w:t>3.97</w:t>
      </w:r>
      <w:r w:rsidRPr="00883399">
        <w:rPr>
          <w:sz w:val="28"/>
        </w:rPr>
        <w:t xml:space="preserve">  Method 3—fugitive emissions from injection of greenhouse gases (other than deliberate releases from process vents, system upsets and accidents)</w:t>
      </w:r>
      <w:bookmarkEnd w:id="779"/>
      <w:bookmarkEnd w:id="780"/>
    </w:p>
    <w:p w14:paraId="4FBD7AD3" w14:textId="77777777" w:rsidR="00C45987" w:rsidRPr="00883399" w:rsidRDefault="00C45987" w:rsidP="00C45987">
      <w:pPr>
        <w:pStyle w:val="subsection"/>
        <w:rPr>
          <w:sz w:val="24"/>
        </w:rPr>
      </w:pPr>
      <w:r w:rsidRPr="00883399">
        <w:rPr>
          <w:sz w:val="24"/>
        </w:rPr>
        <w:tab/>
      </w:r>
      <w:r w:rsidRPr="00883399">
        <w:rPr>
          <w:sz w:val="24"/>
        </w:rPr>
        <w:tab/>
        <w:t>Method 3 is the same as an approach mentioned in Appendix C to the API Compendium.</w:t>
      </w:r>
    </w:p>
    <w:p w14:paraId="331DBFED" w14:textId="77777777" w:rsidR="00C45987" w:rsidRPr="00883399" w:rsidRDefault="00C45987" w:rsidP="00C45987">
      <w:pPr>
        <w:pStyle w:val="notetext"/>
        <w:rPr>
          <w:sz w:val="20"/>
        </w:rPr>
      </w:pPr>
      <w:r w:rsidRPr="00883399">
        <w:rPr>
          <w:sz w:val="20"/>
        </w:rPr>
        <w:t>Note:</w:t>
      </w:r>
      <w:r w:rsidRPr="00883399">
        <w:rPr>
          <w:sz w:val="20"/>
        </w:rPr>
        <w:tab/>
        <w:t>For this method, any approach mentioned in Appendix C to the API Compendium may be used.</w:t>
      </w:r>
    </w:p>
    <w:p w14:paraId="1758C7AF" w14:textId="77777777" w:rsidR="00C45987" w:rsidRPr="00883399" w:rsidRDefault="00C45987" w:rsidP="00C45987">
      <w:pPr>
        <w:pStyle w:val="ActHead3"/>
        <w:pageBreakBefore/>
        <w:rPr>
          <w:sz w:val="32"/>
        </w:rPr>
      </w:pPr>
      <w:bookmarkStart w:id="781" w:name="_Toc455152447"/>
      <w:bookmarkStart w:id="782" w:name="_Toc495652920"/>
      <w:r w:rsidRPr="00883399">
        <w:rPr>
          <w:rStyle w:val="CharDivNo"/>
          <w:sz w:val="32"/>
        </w:rPr>
        <w:lastRenderedPageBreak/>
        <w:t>Division 3.4.4</w:t>
      </w:r>
      <w:r w:rsidRPr="00883399">
        <w:rPr>
          <w:sz w:val="32"/>
        </w:rPr>
        <w:t>—</w:t>
      </w:r>
      <w:r w:rsidRPr="00883399">
        <w:rPr>
          <w:rStyle w:val="CharDivText"/>
          <w:sz w:val="32"/>
        </w:rPr>
        <w:t>Storage of greenhouse gases</w:t>
      </w:r>
      <w:bookmarkEnd w:id="781"/>
      <w:bookmarkEnd w:id="782"/>
    </w:p>
    <w:p w14:paraId="43F13D38" w14:textId="77777777" w:rsidR="008708D9" w:rsidRPr="00883399" w:rsidRDefault="008708D9" w:rsidP="008708D9">
      <w:pPr>
        <w:spacing w:before="240" w:line="312" w:lineRule="auto"/>
        <w:rPr>
          <w:rFonts w:ascii="Arial" w:hAnsi="Arial" w:cs="Arial"/>
          <w:sz w:val="22"/>
          <w:szCs w:val="22"/>
        </w:rPr>
      </w:pPr>
      <w:bookmarkStart w:id="783" w:name="_Toc455152448"/>
      <w:r w:rsidRPr="00883399">
        <w:rPr>
          <w:rFonts w:ascii="Arial" w:hAnsi="Arial" w:cs="Arial"/>
          <w:sz w:val="22"/>
          <w:szCs w:val="22"/>
        </w:rPr>
        <w:t>In Australia, a CCS project may only operate in accordance with approvals under one of a number of State and Commonwealth CCS legislative instruments. These instruments include:</w:t>
      </w:r>
    </w:p>
    <w:p w14:paraId="18C67379" w14:textId="77777777" w:rsidR="008708D9" w:rsidRPr="00883399" w:rsidRDefault="008708D9" w:rsidP="008708D9">
      <w:pPr>
        <w:spacing w:line="240" w:lineRule="auto"/>
        <w:ind w:left="1440" w:hanging="720"/>
        <w:rPr>
          <w:rFonts w:ascii="Arial" w:hAnsi="Arial" w:cs="Arial"/>
          <w:sz w:val="22"/>
          <w:szCs w:val="22"/>
        </w:rPr>
      </w:pPr>
      <w:r w:rsidRPr="00883399">
        <w:rPr>
          <w:rFonts w:ascii="Arial" w:hAnsi="Arial" w:cs="Arial"/>
          <w:sz w:val="22"/>
          <w:szCs w:val="22"/>
        </w:rPr>
        <w:t>(a)</w:t>
      </w:r>
      <w:r w:rsidRPr="00883399">
        <w:rPr>
          <w:rFonts w:ascii="Arial" w:hAnsi="Arial" w:cs="Arial"/>
          <w:sz w:val="22"/>
          <w:szCs w:val="22"/>
        </w:rPr>
        <w:tab/>
        <w:t xml:space="preserve">the Offshore Petroleum and Greenhouse Gas Storage Act 2006 (Cwlth) </w:t>
      </w:r>
    </w:p>
    <w:p w14:paraId="1048B28A" w14:textId="77777777" w:rsidR="008708D9" w:rsidRPr="00883399" w:rsidRDefault="008708D9" w:rsidP="008708D9">
      <w:pPr>
        <w:spacing w:line="240" w:lineRule="auto"/>
        <w:rPr>
          <w:rFonts w:ascii="Arial" w:hAnsi="Arial" w:cs="Arial"/>
          <w:sz w:val="22"/>
          <w:szCs w:val="22"/>
        </w:rPr>
      </w:pPr>
      <w:r w:rsidRPr="00883399">
        <w:rPr>
          <w:rFonts w:ascii="Arial" w:hAnsi="Arial" w:cs="Arial"/>
          <w:sz w:val="22"/>
          <w:szCs w:val="22"/>
        </w:rPr>
        <w:tab/>
        <w:t>(b)</w:t>
      </w:r>
      <w:r w:rsidRPr="00883399">
        <w:rPr>
          <w:rFonts w:ascii="Arial" w:hAnsi="Arial" w:cs="Arial"/>
          <w:sz w:val="22"/>
          <w:szCs w:val="22"/>
        </w:rPr>
        <w:tab/>
        <w:t>the Greenhouse Gas Geological Sequestration Act 2008 (Vic)</w:t>
      </w:r>
    </w:p>
    <w:p w14:paraId="4FF619D8" w14:textId="77777777" w:rsidR="008708D9" w:rsidRPr="00883399" w:rsidRDefault="008708D9" w:rsidP="008708D9">
      <w:pPr>
        <w:spacing w:line="240" w:lineRule="auto"/>
        <w:rPr>
          <w:rFonts w:ascii="Arial" w:hAnsi="Arial" w:cs="Arial"/>
          <w:sz w:val="22"/>
          <w:szCs w:val="22"/>
        </w:rPr>
      </w:pPr>
      <w:r w:rsidRPr="00883399">
        <w:rPr>
          <w:rFonts w:ascii="Arial" w:hAnsi="Arial" w:cs="Arial"/>
          <w:sz w:val="22"/>
          <w:szCs w:val="22"/>
        </w:rPr>
        <w:tab/>
        <w:t>(c)</w:t>
      </w:r>
      <w:r w:rsidRPr="00883399">
        <w:rPr>
          <w:rFonts w:ascii="Arial" w:hAnsi="Arial" w:cs="Arial"/>
          <w:sz w:val="22"/>
          <w:szCs w:val="22"/>
        </w:rPr>
        <w:tab/>
        <w:t xml:space="preserve">the Offshore Petroleum and Greenhouse Gas Storage Act 2010 (Vic) </w:t>
      </w:r>
    </w:p>
    <w:p w14:paraId="2F4A58C6" w14:textId="77777777" w:rsidR="008708D9" w:rsidRPr="00883399" w:rsidRDefault="008708D9" w:rsidP="008708D9">
      <w:pPr>
        <w:spacing w:line="240" w:lineRule="auto"/>
        <w:rPr>
          <w:rFonts w:ascii="Arial" w:hAnsi="Arial" w:cs="Arial"/>
          <w:sz w:val="22"/>
          <w:szCs w:val="22"/>
        </w:rPr>
      </w:pPr>
      <w:r w:rsidRPr="00883399">
        <w:rPr>
          <w:rFonts w:ascii="Arial" w:hAnsi="Arial" w:cs="Arial"/>
          <w:sz w:val="22"/>
          <w:szCs w:val="22"/>
        </w:rPr>
        <w:tab/>
        <w:t>(d)</w:t>
      </w:r>
      <w:r w:rsidRPr="00883399">
        <w:rPr>
          <w:rFonts w:ascii="Arial" w:hAnsi="Arial" w:cs="Arial"/>
          <w:sz w:val="22"/>
          <w:szCs w:val="22"/>
        </w:rPr>
        <w:tab/>
        <w:t>the Greenhouse Gas Storage Act 2009 (Qld)</w:t>
      </w:r>
    </w:p>
    <w:p w14:paraId="523C6D95" w14:textId="77777777" w:rsidR="008708D9" w:rsidRPr="00883399" w:rsidRDefault="008708D9" w:rsidP="008708D9">
      <w:pPr>
        <w:spacing w:line="240" w:lineRule="auto"/>
        <w:rPr>
          <w:rFonts w:ascii="Arial" w:hAnsi="Arial" w:cs="Arial"/>
          <w:sz w:val="22"/>
          <w:szCs w:val="22"/>
        </w:rPr>
      </w:pPr>
      <w:r w:rsidRPr="00883399">
        <w:rPr>
          <w:rFonts w:ascii="Arial" w:hAnsi="Arial" w:cs="Arial"/>
          <w:sz w:val="22"/>
          <w:szCs w:val="22"/>
        </w:rPr>
        <w:tab/>
        <w:t>(e)</w:t>
      </w:r>
      <w:r w:rsidRPr="00883399">
        <w:rPr>
          <w:rFonts w:ascii="Arial" w:hAnsi="Arial" w:cs="Arial"/>
          <w:sz w:val="22"/>
          <w:szCs w:val="22"/>
        </w:rPr>
        <w:tab/>
        <w:t xml:space="preserve">the Barrow Island Act 2003 (WA) </w:t>
      </w:r>
    </w:p>
    <w:p w14:paraId="7344DC2B" w14:textId="77777777" w:rsidR="008708D9" w:rsidRPr="00883399" w:rsidRDefault="008708D9" w:rsidP="008708D9">
      <w:pPr>
        <w:spacing w:line="240" w:lineRule="auto"/>
        <w:rPr>
          <w:rFonts w:ascii="Arial" w:hAnsi="Arial" w:cs="Arial"/>
          <w:sz w:val="22"/>
          <w:szCs w:val="22"/>
        </w:rPr>
      </w:pPr>
      <w:r w:rsidRPr="00883399">
        <w:rPr>
          <w:rFonts w:ascii="Arial" w:hAnsi="Arial" w:cs="Arial"/>
          <w:sz w:val="22"/>
          <w:szCs w:val="22"/>
        </w:rPr>
        <w:tab/>
        <w:t>(f)</w:t>
      </w:r>
      <w:r w:rsidRPr="00883399">
        <w:rPr>
          <w:rFonts w:ascii="Arial" w:hAnsi="Arial" w:cs="Arial"/>
          <w:sz w:val="22"/>
          <w:szCs w:val="22"/>
        </w:rPr>
        <w:tab/>
        <w:t>the Petroleum and Geothermal Energy Act 2000 (SA).</w:t>
      </w:r>
    </w:p>
    <w:p w14:paraId="33BF652B" w14:textId="77777777" w:rsidR="008708D9" w:rsidRPr="00883399" w:rsidRDefault="008708D9" w:rsidP="008708D9">
      <w:pPr>
        <w:spacing w:before="240" w:line="312" w:lineRule="auto"/>
        <w:rPr>
          <w:rFonts w:ascii="Arial" w:hAnsi="Arial" w:cs="Arial"/>
          <w:sz w:val="22"/>
          <w:szCs w:val="22"/>
        </w:rPr>
      </w:pPr>
      <w:r w:rsidRPr="00883399">
        <w:rPr>
          <w:rFonts w:ascii="Arial" w:hAnsi="Arial" w:cs="Arial"/>
          <w:sz w:val="22"/>
          <w:szCs w:val="22"/>
        </w:rPr>
        <w:t>CCS legislation provides for the regulation of CCS activities in Australia, and deals with matters of licensing (including approvals processes, the setting of operational and performance conditions and compliance/enforcement mechanisms), resource and environmental protection and liabilities.</w:t>
      </w:r>
    </w:p>
    <w:p w14:paraId="5098ECB9" w14:textId="77777777" w:rsidR="008708D9" w:rsidRPr="00883399" w:rsidRDefault="008708D9" w:rsidP="008708D9">
      <w:pPr>
        <w:spacing w:before="240" w:line="312" w:lineRule="auto"/>
        <w:rPr>
          <w:rFonts w:ascii="Arial" w:hAnsi="Arial" w:cs="Arial"/>
          <w:sz w:val="22"/>
          <w:szCs w:val="22"/>
        </w:rPr>
      </w:pPr>
      <w:r w:rsidRPr="00883399">
        <w:rPr>
          <w:rFonts w:ascii="Arial" w:hAnsi="Arial" w:cs="Arial"/>
          <w:sz w:val="22"/>
          <w:szCs w:val="22"/>
        </w:rPr>
        <w:t xml:space="preserve">A key feature of these instruments is the inclusion of monitoring, reporting and verification requirements focused on the early identification of any deviation from expected behaviour of stored greenhouse gases modelled during project approval processes. </w:t>
      </w:r>
    </w:p>
    <w:p w14:paraId="15BE67B3" w14:textId="77777777" w:rsidR="008708D9" w:rsidRPr="00883399" w:rsidRDefault="008708D9" w:rsidP="008708D9">
      <w:pPr>
        <w:spacing w:before="240" w:line="312" w:lineRule="auto"/>
        <w:rPr>
          <w:rFonts w:ascii="Arial" w:hAnsi="Arial" w:cs="Arial"/>
          <w:sz w:val="22"/>
          <w:szCs w:val="22"/>
        </w:rPr>
      </w:pPr>
      <w:r w:rsidRPr="00883399">
        <w:rPr>
          <w:rFonts w:ascii="Arial" w:hAnsi="Arial" w:cs="Arial"/>
          <w:sz w:val="22"/>
          <w:szCs w:val="22"/>
        </w:rPr>
        <w:t xml:space="preserve">NGER reporting under 3.4.4 is expected to mirror monitoring and reporting of CCS storage formations undertaken for these existing regulatory purposes, and allows for its use in providing an estimate of leakage from storage formations. </w:t>
      </w:r>
    </w:p>
    <w:p w14:paraId="449D067C" w14:textId="77777777" w:rsidR="00C45987" w:rsidRPr="00883399" w:rsidRDefault="00C45987" w:rsidP="00C45987">
      <w:pPr>
        <w:pStyle w:val="ActHead4"/>
        <w:rPr>
          <w:sz w:val="28"/>
        </w:rPr>
      </w:pPr>
      <w:bookmarkStart w:id="784" w:name="_Toc495652921"/>
      <w:r w:rsidRPr="00883399">
        <w:rPr>
          <w:rStyle w:val="CharSubdNo"/>
          <w:sz w:val="28"/>
        </w:rPr>
        <w:t>Subdivision 3.4.4.1</w:t>
      </w:r>
      <w:r w:rsidRPr="00883399">
        <w:rPr>
          <w:sz w:val="28"/>
        </w:rPr>
        <w:t>—</w:t>
      </w:r>
      <w:r w:rsidRPr="00883399">
        <w:rPr>
          <w:rStyle w:val="CharSubdText"/>
          <w:sz w:val="28"/>
        </w:rPr>
        <w:t>Preliminary</w:t>
      </w:r>
      <w:bookmarkEnd w:id="783"/>
      <w:bookmarkEnd w:id="784"/>
    </w:p>
    <w:p w14:paraId="570E8F53" w14:textId="77777777" w:rsidR="00C45987" w:rsidRPr="00883399" w:rsidRDefault="00C45987" w:rsidP="00C45987">
      <w:pPr>
        <w:pStyle w:val="ActHead5"/>
        <w:rPr>
          <w:sz w:val="28"/>
        </w:rPr>
      </w:pPr>
      <w:bookmarkStart w:id="785" w:name="_Toc455152449"/>
      <w:bookmarkStart w:id="786" w:name="_Toc495652922"/>
      <w:r w:rsidRPr="00883399">
        <w:rPr>
          <w:rStyle w:val="CharSectno"/>
          <w:sz w:val="28"/>
        </w:rPr>
        <w:t>3.98</w:t>
      </w:r>
      <w:r w:rsidRPr="00883399">
        <w:rPr>
          <w:sz w:val="28"/>
        </w:rPr>
        <w:t xml:space="preserve">  Application</w:t>
      </w:r>
      <w:bookmarkEnd w:id="785"/>
      <w:bookmarkEnd w:id="786"/>
    </w:p>
    <w:p w14:paraId="649D398B" w14:textId="77777777" w:rsidR="00C45987" w:rsidRPr="00883399" w:rsidRDefault="00C45987" w:rsidP="00C45987">
      <w:pPr>
        <w:pStyle w:val="subsection"/>
        <w:rPr>
          <w:sz w:val="24"/>
        </w:rPr>
      </w:pPr>
      <w:r w:rsidRPr="00883399">
        <w:rPr>
          <w:sz w:val="24"/>
        </w:rPr>
        <w:tab/>
      </w:r>
      <w:r w:rsidRPr="00883399">
        <w:rPr>
          <w:sz w:val="24"/>
        </w:rPr>
        <w:tab/>
        <w:t>This Division applies to fugitive emissions to the atmosphere of greenhouse gases from geological formations used for storage of a greenhouse gas captured for permanent storage.</w:t>
      </w:r>
    </w:p>
    <w:p w14:paraId="7EB573E4" w14:textId="77777777" w:rsidR="00C45987" w:rsidRPr="00883399" w:rsidRDefault="00C45987" w:rsidP="00C45987">
      <w:pPr>
        <w:pStyle w:val="notetext"/>
        <w:rPr>
          <w:sz w:val="20"/>
        </w:rPr>
      </w:pPr>
      <w:r w:rsidRPr="00883399">
        <w:rPr>
          <w:sz w:val="20"/>
        </w:rPr>
        <w:t>Note:</w:t>
      </w:r>
      <w:r w:rsidRPr="00883399">
        <w:rPr>
          <w:sz w:val="20"/>
        </w:rPr>
        <w:tab/>
        <w:t xml:space="preserve">A greenhouse gas is </w:t>
      </w:r>
      <w:r w:rsidRPr="00883399">
        <w:rPr>
          <w:b/>
          <w:i/>
          <w:sz w:val="20"/>
        </w:rPr>
        <w:t>captured for permanent storage</w:t>
      </w:r>
      <w:r w:rsidRPr="00883399">
        <w:rPr>
          <w:sz w:val="20"/>
        </w:rPr>
        <w:t xml:space="preserve"> in a geological formation if the gas is captured by, or transferred to, the holder of a licence, lease or approval mentioned in section 1.19A, under a law mentioned in that section, for the purpose of being injected into a geological formation (however described) under the licence, lease or approval.</w:t>
      </w:r>
    </w:p>
    <w:p w14:paraId="122BEF56" w14:textId="77777777" w:rsidR="00C45987" w:rsidRPr="00883399" w:rsidRDefault="00C45987" w:rsidP="00C45987">
      <w:pPr>
        <w:pStyle w:val="ActHead5"/>
        <w:rPr>
          <w:sz w:val="28"/>
        </w:rPr>
      </w:pPr>
      <w:bookmarkStart w:id="787" w:name="_Toc455152450"/>
      <w:bookmarkStart w:id="788" w:name="_Toc495652923"/>
      <w:r w:rsidRPr="00883399">
        <w:rPr>
          <w:rStyle w:val="CharSectno"/>
          <w:sz w:val="28"/>
        </w:rPr>
        <w:lastRenderedPageBreak/>
        <w:t>3.99</w:t>
      </w:r>
      <w:r w:rsidRPr="00883399">
        <w:rPr>
          <w:sz w:val="28"/>
        </w:rPr>
        <w:t xml:space="preserve">  Available method</w:t>
      </w:r>
      <w:bookmarkEnd w:id="787"/>
      <w:bookmarkEnd w:id="788"/>
    </w:p>
    <w:p w14:paraId="3A89734F" w14:textId="77777777" w:rsidR="00C45987" w:rsidRPr="00883399" w:rsidRDefault="00C45987" w:rsidP="00C45987">
      <w:pPr>
        <w:pStyle w:val="subsection"/>
        <w:rPr>
          <w:sz w:val="24"/>
        </w:rPr>
      </w:pPr>
      <w:r w:rsidRPr="00883399">
        <w:rPr>
          <w:sz w:val="24"/>
        </w:rPr>
        <w:tab/>
      </w:r>
      <w:r w:rsidRPr="00883399">
        <w:rPr>
          <w:sz w:val="24"/>
        </w:rPr>
        <w:tab/>
        <w:t>For estimating fugitive emissions of greenhouse gases released during a year from a geological formation used for the permanent storage of a greenhouse gas, method 2 set out in section 3.100 must be used.</w:t>
      </w:r>
    </w:p>
    <w:p w14:paraId="461978F6" w14:textId="77777777" w:rsidR="00C45987" w:rsidRPr="00883399" w:rsidRDefault="00C45987" w:rsidP="00C45987">
      <w:pPr>
        <w:pStyle w:val="notetext"/>
        <w:rPr>
          <w:sz w:val="20"/>
        </w:rPr>
      </w:pPr>
      <w:r w:rsidRPr="00883399">
        <w:rPr>
          <w:sz w:val="20"/>
        </w:rPr>
        <w:t>Note:</w:t>
      </w:r>
      <w:r w:rsidRPr="00883399">
        <w:rPr>
          <w:sz w:val="20"/>
        </w:rPr>
        <w:tab/>
        <w:t>There is no method 1, 3 or 4 for this Division.</w:t>
      </w:r>
    </w:p>
    <w:p w14:paraId="5A425859" w14:textId="77777777" w:rsidR="00C45987" w:rsidRPr="00883399" w:rsidRDefault="00C45987" w:rsidP="00C45987">
      <w:pPr>
        <w:pStyle w:val="ActHead4"/>
        <w:rPr>
          <w:sz w:val="28"/>
        </w:rPr>
      </w:pPr>
      <w:bookmarkStart w:id="789" w:name="_Toc455152451"/>
      <w:bookmarkStart w:id="790" w:name="_Toc495652924"/>
      <w:r w:rsidRPr="00883399">
        <w:rPr>
          <w:rStyle w:val="CharSubdNo"/>
          <w:sz w:val="28"/>
        </w:rPr>
        <w:t>Subdivision 3.4.4.2</w:t>
      </w:r>
      <w:r w:rsidRPr="00883399">
        <w:rPr>
          <w:sz w:val="28"/>
        </w:rPr>
        <w:t>—</w:t>
      </w:r>
      <w:r w:rsidRPr="00883399">
        <w:rPr>
          <w:rStyle w:val="CharSubdText"/>
          <w:sz w:val="28"/>
        </w:rPr>
        <w:t>Fugitive emissions from the storage of greenhouse gases</w:t>
      </w:r>
      <w:bookmarkEnd w:id="789"/>
      <w:bookmarkEnd w:id="790"/>
    </w:p>
    <w:p w14:paraId="3E442626" w14:textId="77777777" w:rsidR="00C45987" w:rsidRPr="00883399" w:rsidRDefault="00C45987" w:rsidP="00C45987">
      <w:pPr>
        <w:pStyle w:val="ActHead5"/>
        <w:rPr>
          <w:sz w:val="28"/>
        </w:rPr>
      </w:pPr>
      <w:bookmarkStart w:id="791" w:name="_Toc455152452"/>
      <w:bookmarkStart w:id="792" w:name="_Toc495652925"/>
      <w:r w:rsidRPr="00883399">
        <w:rPr>
          <w:rStyle w:val="CharSectno"/>
          <w:sz w:val="28"/>
        </w:rPr>
        <w:t>3.100</w:t>
      </w:r>
      <w:r w:rsidRPr="00883399">
        <w:rPr>
          <w:sz w:val="28"/>
        </w:rPr>
        <w:t xml:space="preserve">  Method 2—fugitive emissions from geological formations used for the storage of greenhouse gases</w:t>
      </w:r>
      <w:bookmarkEnd w:id="791"/>
      <w:bookmarkEnd w:id="792"/>
    </w:p>
    <w:p w14:paraId="57785526" w14:textId="77777777" w:rsidR="00C45987" w:rsidRPr="00883399" w:rsidRDefault="00C45987" w:rsidP="00C45987">
      <w:pPr>
        <w:pStyle w:val="subsection"/>
        <w:rPr>
          <w:sz w:val="24"/>
        </w:rPr>
      </w:pPr>
      <w:r w:rsidRPr="00883399">
        <w:rPr>
          <w:sz w:val="24"/>
        </w:rPr>
        <w:tab/>
        <w:t>(1)</w:t>
      </w:r>
      <w:r w:rsidRPr="00883399">
        <w:rPr>
          <w:sz w:val="24"/>
        </w:rPr>
        <w:tab/>
        <w:t>Method 2 is:</w:t>
      </w:r>
    </w:p>
    <w:p w14:paraId="3E676860" w14:textId="77777777" w:rsidR="00C45987" w:rsidRPr="00883399" w:rsidRDefault="00C45987" w:rsidP="00C45987">
      <w:pPr>
        <w:pStyle w:val="subsection2"/>
        <w:rPr>
          <w:sz w:val="24"/>
        </w:rPr>
      </w:pPr>
      <w:r w:rsidRPr="00883399">
        <w:rPr>
          <w:position w:val="-14"/>
          <w:sz w:val="24"/>
        </w:rPr>
        <w:object w:dxaOrig="2340" w:dyaOrig="460" w14:anchorId="1AD5A714">
          <v:shape id="_x0000_i1071" type="#_x0000_t75" style="width:117pt;height:23.25pt" o:ole="">
            <v:imagedata r:id="rId180" o:title=""/>
          </v:shape>
          <o:OLEObject Type="Embed" ProgID="Equation.DSMT4" ShapeID="_x0000_i1071" DrawAspect="Content" ObjectID="_1594105962" r:id="rId181"/>
        </w:object>
      </w:r>
    </w:p>
    <w:p w14:paraId="201BEEFD" w14:textId="77777777" w:rsidR="00C45987" w:rsidRPr="00883399" w:rsidRDefault="00C45987" w:rsidP="00C45987">
      <w:pPr>
        <w:pStyle w:val="Definition0"/>
        <w:rPr>
          <w:sz w:val="24"/>
        </w:rPr>
      </w:pPr>
      <w:r w:rsidRPr="00883399">
        <w:rPr>
          <w:sz w:val="24"/>
        </w:rPr>
        <w:t>where:</w:t>
      </w:r>
    </w:p>
    <w:p w14:paraId="6AAC17A8" w14:textId="77777777" w:rsidR="00C45987" w:rsidRPr="00883399" w:rsidRDefault="00C45987" w:rsidP="00C45987">
      <w:pPr>
        <w:pStyle w:val="Definition0"/>
        <w:rPr>
          <w:sz w:val="24"/>
        </w:rPr>
      </w:pPr>
      <w:r w:rsidRPr="00883399">
        <w:rPr>
          <w:b/>
          <w:i/>
          <w:sz w:val="24"/>
        </w:rPr>
        <w:t>C</w:t>
      </w:r>
      <w:r w:rsidRPr="00883399">
        <w:rPr>
          <w:b/>
          <w:i/>
          <w:sz w:val="24"/>
          <w:vertAlign w:val="subscript"/>
        </w:rPr>
        <w:t xml:space="preserve">cst </w:t>
      </w:r>
      <w:r w:rsidRPr="00883399">
        <w:rPr>
          <w:sz w:val="24"/>
        </w:rPr>
        <w:t>is the closing stock of a stored greenhouse gas at the storage site for the reporting year, measured in CO</w:t>
      </w:r>
      <w:r w:rsidRPr="00883399">
        <w:rPr>
          <w:sz w:val="24"/>
          <w:vertAlign w:val="subscript"/>
        </w:rPr>
        <w:t>2</w:t>
      </w:r>
      <w:r w:rsidRPr="00883399">
        <w:rPr>
          <w:sz w:val="24"/>
        </w:rPr>
        <w:noBreakHyphen/>
        <w:t>e tonnes.</w:t>
      </w:r>
    </w:p>
    <w:p w14:paraId="67146743" w14:textId="77777777" w:rsidR="00C45987" w:rsidRPr="00883399" w:rsidRDefault="00C45987" w:rsidP="00C45987">
      <w:pPr>
        <w:pStyle w:val="Definition0"/>
        <w:rPr>
          <w:sz w:val="24"/>
        </w:rPr>
      </w:pPr>
      <w:r w:rsidRPr="00883399">
        <w:rPr>
          <w:b/>
          <w:i/>
          <w:sz w:val="24"/>
        </w:rPr>
        <w:t>C</w:t>
      </w:r>
      <w:r w:rsidRPr="00883399">
        <w:rPr>
          <w:b/>
          <w:i/>
          <w:sz w:val="24"/>
          <w:vertAlign w:val="subscript"/>
        </w:rPr>
        <w:t>ost</w:t>
      </w:r>
      <w:r w:rsidRPr="00883399">
        <w:rPr>
          <w:sz w:val="24"/>
        </w:rPr>
        <w:t xml:space="preserve"> is the opening stock of a stored greenhouse gas at the storage site for the reporting year, determined in accordance with subsection (2), measured in CO</w:t>
      </w:r>
      <w:r w:rsidRPr="00883399">
        <w:rPr>
          <w:sz w:val="24"/>
          <w:vertAlign w:val="subscript"/>
        </w:rPr>
        <w:t>2</w:t>
      </w:r>
      <w:r w:rsidRPr="00883399">
        <w:rPr>
          <w:sz w:val="24"/>
        </w:rPr>
        <w:noBreakHyphen/>
        <w:t>e tonnes.</w:t>
      </w:r>
    </w:p>
    <w:p w14:paraId="14CA7060" w14:textId="77777777" w:rsidR="00C45987" w:rsidRPr="00883399" w:rsidRDefault="00C45987" w:rsidP="00C45987">
      <w:pPr>
        <w:pStyle w:val="Definition0"/>
        <w:rPr>
          <w:sz w:val="24"/>
        </w:rPr>
      </w:pPr>
      <w:r w:rsidRPr="00883399">
        <w:rPr>
          <w:b/>
          <w:i/>
          <w:sz w:val="24"/>
        </w:rPr>
        <w:t>E</w:t>
      </w:r>
      <w:r w:rsidRPr="00883399">
        <w:rPr>
          <w:b/>
          <w:i/>
          <w:sz w:val="24"/>
          <w:vertAlign w:val="subscript"/>
        </w:rPr>
        <w:t>CO</w:t>
      </w:r>
      <w:r w:rsidRPr="00883399">
        <w:rPr>
          <w:b/>
          <w:i/>
          <w:position w:val="-6"/>
          <w:sz w:val="24"/>
          <w:vertAlign w:val="subscript"/>
        </w:rPr>
        <w:t>2</w:t>
      </w:r>
      <w:r w:rsidRPr="00883399">
        <w:rPr>
          <w:sz w:val="24"/>
        </w:rPr>
        <w:t xml:space="preserve"> is the fugitive emissions to the atmosphere of greenhouse gas during the reporting year from the geological storage formation, determined in accordance with subsection (3), measured in CO</w:t>
      </w:r>
      <w:r w:rsidRPr="00883399">
        <w:rPr>
          <w:sz w:val="24"/>
          <w:vertAlign w:val="subscript"/>
        </w:rPr>
        <w:t>2</w:t>
      </w:r>
      <w:r w:rsidRPr="00883399">
        <w:rPr>
          <w:sz w:val="24"/>
        </w:rPr>
        <w:noBreakHyphen/>
        <w:t>e tonnes.</w:t>
      </w:r>
    </w:p>
    <w:p w14:paraId="3545D018" w14:textId="77777777" w:rsidR="00C45987" w:rsidRPr="00883399" w:rsidRDefault="00C45987" w:rsidP="00C45987">
      <w:pPr>
        <w:pStyle w:val="Definition0"/>
        <w:rPr>
          <w:sz w:val="24"/>
        </w:rPr>
      </w:pPr>
      <w:r w:rsidRPr="00883399">
        <w:rPr>
          <w:b/>
          <w:i/>
          <w:sz w:val="24"/>
        </w:rPr>
        <w:t>Q</w:t>
      </w:r>
      <w:r w:rsidRPr="00883399">
        <w:rPr>
          <w:b/>
          <w:i/>
          <w:sz w:val="24"/>
          <w:vertAlign w:val="subscript"/>
        </w:rPr>
        <w:t>inj</w:t>
      </w:r>
      <w:r w:rsidRPr="00883399">
        <w:rPr>
          <w:sz w:val="24"/>
        </w:rPr>
        <w:t xml:space="preserve"> is the quantity of a greenhouse gas injected into the geological formation during the reporting year, measured in CO</w:t>
      </w:r>
      <w:r w:rsidRPr="00883399">
        <w:rPr>
          <w:sz w:val="24"/>
          <w:vertAlign w:val="subscript"/>
        </w:rPr>
        <w:t>2</w:t>
      </w:r>
      <w:r w:rsidRPr="00883399">
        <w:rPr>
          <w:sz w:val="24"/>
        </w:rPr>
        <w:noBreakHyphen/>
        <w:t>e tonnes.</w:t>
      </w:r>
    </w:p>
    <w:p w14:paraId="524CEB8E" w14:textId="77777777" w:rsidR="00C45987" w:rsidRPr="00883399" w:rsidRDefault="00C45987" w:rsidP="00C45987">
      <w:pPr>
        <w:pStyle w:val="notetext"/>
        <w:rPr>
          <w:sz w:val="20"/>
        </w:rPr>
      </w:pPr>
      <w:r w:rsidRPr="00883399">
        <w:rPr>
          <w:sz w:val="20"/>
        </w:rPr>
        <w:t>Note:</w:t>
      </w:r>
      <w:r w:rsidRPr="00883399">
        <w:rPr>
          <w:sz w:val="20"/>
        </w:rPr>
        <w:tab/>
        <w:t>This formula represents C</w:t>
      </w:r>
      <w:r w:rsidRPr="00883399">
        <w:rPr>
          <w:sz w:val="20"/>
          <w:vertAlign w:val="subscript"/>
        </w:rPr>
        <w:t>cst</w:t>
      </w:r>
      <w:r w:rsidRPr="00883399">
        <w:rPr>
          <w:sz w:val="20"/>
        </w:rPr>
        <w:t xml:space="preserve"> (the closing stock) as the cumulative mass of a greenhouse gas injected into the geological formation in all years since the commencement of injection, less any fugitive emissions to the atmosphere.</w:t>
      </w:r>
    </w:p>
    <w:p w14:paraId="6BF58152" w14:textId="77777777" w:rsidR="00C45987" w:rsidRPr="00883399" w:rsidRDefault="00C45987" w:rsidP="00C45987">
      <w:pPr>
        <w:pStyle w:val="notetext"/>
        <w:rPr>
          <w:sz w:val="20"/>
        </w:rPr>
      </w:pPr>
      <w:r w:rsidRPr="00883399">
        <w:rPr>
          <w:sz w:val="20"/>
        </w:rPr>
        <w:tab/>
        <w:t>The closing stock of a greenhouse gas in the storage site for the reporting year is derived from the opening stock determined in accordance with subsection (2), the quantity injected into the geological formation during the reporting year, and estimates of fugitive emissions to the atmosphere determined in accordance with subsection (3).</w:t>
      </w:r>
    </w:p>
    <w:p w14:paraId="446F25B8" w14:textId="77777777" w:rsidR="00C45987" w:rsidRPr="00883399" w:rsidRDefault="00C45987" w:rsidP="00C45987">
      <w:pPr>
        <w:pStyle w:val="subsection"/>
        <w:rPr>
          <w:sz w:val="24"/>
        </w:rPr>
      </w:pPr>
      <w:r w:rsidRPr="00883399">
        <w:rPr>
          <w:sz w:val="24"/>
        </w:rPr>
        <w:tab/>
        <w:t>(2)</w:t>
      </w:r>
      <w:r w:rsidRPr="00883399">
        <w:rPr>
          <w:sz w:val="24"/>
        </w:rPr>
        <w:tab/>
        <w:t xml:space="preserve">For the factor </w:t>
      </w:r>
      <w:r w:rsidRPr="00883399">
        <w:rPr>
          <w:b/>
          <w:i/>
          <w:sz w:val="24"/>
        </w:rPr>
        <w:t>C</w:t>
      </w:r>
      <w:r w:rsidRPr="00883399">
        <w:rPr>
          <w:b/>
          <w:i/>
          <w:sz w:val="24"/>
          <w:vertAlign w:val="subscript"/>
        </w:rPr>
        <w:t>ost</w:t>
      </w:r>
      <w:r w:rsidRPr="00883399">
        <w:rPr>
          <w:sz w:val="24"/>
        </w:rPr>
        <w:t xml:space="preserve"> in subsection (1), the opening stock of a greenhouse gas in the storage site for the reporting year is:</w:t>
      </w:r>
    </w:p>
    <w:p w14:paraId="7706D24A" w14:textId="77777777" w:rsidR="00C45987" w:rsidRPr="00883399" w:rsidRDefault="00C45987" w:rsidP="00C45987">
      <w:pPr>
        <w:pStyle w:val="paragraph"/>
        <w:rPr>
          <w:sz w:val="24"/>
        </w:rPr>
      </w:pPr>
      <w:r w:rsidRPr="00883399">
        <w:rPr>
          <w:sz w:val="24"/>
        </w:rPr>
        <w:tab/>
        <w:t>(a)</w:t>
      </w:r>
      <w:r w:rsidRPr="00883399">
        <w:rPr>
          <w:sz w:val="24"/>
        </w:rPr>
        <w:tab/>
        <w:t>for the first reporting year in which this method is used to calculate fugitive emissions—zero; and</w:t>
      </w:r>
    </w:p>
    <w:p w14:paraId="5BBE67E7" w14:textId="77777777" w:rsidR="00C45987" w:rsidRPr="00883399" w:rsidRDefault="00C45987" w:rsidP="00C45987">
      <w:pPr>
        <w:pStyle w:val="paragraph"/>
        <w:rPr>
          <w:sz w:val="24"/>
        </w:rPr>
      </w:pPr>
      <w:r w:rsidRPr="00883399">
        <w:rPr>
          <w:sz w:val="24"/>
        </w:rPr>
        <w:lastRenderedPageBreak/>
        <w:tab/>
        <w:t>(b)</w:t>
      </w:r>
      <w:r w:rsidRPr="00883399">
        <w:rPr>
          <w:sz w:val="24"/>
        </w:rPr>
        <w:tab/>
        <w:t>for each reporting year other than the first reporting year—the closing stock of a greenhouse gas in the storage site for the previous reporting year, determined</w:t>
      </w:r>
      <w:r w:rsidRPr="00883399">
        <w:rPr>
          <w:i/>
          <w:sz w:val="24"/>
        </w:rPr>
        <w:t xml:space="preserve"> </w:t>
      </w:r>
      <w:r w:rsidRPr="00883399">
        <w:rPr>
          <w:sz w:val="24"/>
        </w:rPr>
        <w:t>in accordance with subsection (1).</w:t>
      </w:r>
    </w:p>
    <w:p w14:paraId="32A4EF0C" w14:textId="77777777" w:rsidR="00C45987" w:rsidRPr="00883399" w:rsidRDefault="00C45987" w:rsidP="00C45987">
      <w:pPr>
        <w:pStyle w:val="subsection"/>
        <w:rPr>
          <w:sz w:val="24"/>
        </w:rPr>
      </w:pPr>
      <w:r w:rsidRPr="00883399">
        <w:rPr>
          <w:sz w:val="24"/>
        </w:rPr>
        <w:tab/>
        <w:t>(3)</w:t>
      </w:r>
      <w:r w:rsidRPr="00883399">
        <w:rPr>
          <w:sz w:val="24"/>
        </w:rPr>
        <w:tab/>
        <w:t xml:space="preserve">For the factor </w:t>
      </w:r>
      <w:r w:rsidRPr="00883399">
        <w:rPr>
          <w:b/>
          <w:i/>
          <w:sz w:val="24"/>
        </w:rPr>
        <w:t>E</w:t>
      </w:r>
      <w:r w:rsidRPr="00883399">
        <w:rPr>
          <w:b/>
          <w:i/>
          <w:sz w:val="24"/>
          <w:vertAlign w:val="subscript"/>
        </w:rPr>
        <w:t>CO</w:t>
      </w:r>
      <w:r w:rsidRPr="00883399">
        <w:rPr>
          <w:b/>
          <w:i/>
          <w:position w:val="-6"/>
          <w:sz w:val="24"/>
          <w:vertAlign w:val="subscript"/>
        </w:rPr>
        <w:t>2</w:t>
      </w:r>
      <w:r w:rsidRPr="00883399">
        <w:rPr>
          <w:sz w:val="24"/>
        </w:rPr>
        <w:t>, fugitive</w:t>
      </w:r>
      <w:r w:rsidRPr="00883399">
        <w:rPr>
          <w:i/>
          <w:sz w:val="24"/>
        </w:rPr>
        <w:t xml:space="preserve"> </w:t>
      </w:r>
      <w:r w:rsidRPr="00883399">
        <w:rPr>
          <w:sz w:val="24"/>
        </w:rPr>
        <w:t>emissions to the atmosphere from geological formations used for the permanent</w:t>
      </w:r>
      <w:r w:rsidRPr="00883399">
        <w:rPr>
          <w:i/>
          <w:sz w:val="24"/>
        </w:rPr>
        <w:t xml:space="preserve"> </w:t>
      </w:r>
      <w:r w:rsidRPr="00883399">
        <w:rPr>
          <w:sz w:val="24"/>
        </w:rPr>
        <w:t>storage of a greenhouse gas are to be estimated from data obtained for monitoring and verification obligations under</w:t>
      </w:r>
      <w:r w:rsidRPr="00883399">
        <w:rPr>
          <w:i/>
          <w:sz w:val="24"/>
        </w:rPr>
        <w:t xml:space="preserve"> </w:t>
      </w:r>
      <w:r w:rsidRPr="00883399">
        <w:rPr>
          <w:sz w:val="24"/>
        </w:rPr>
        <w:t xml:space="preserve">a licence, lease or approval mentioned in section 1.19A (meaning of </w:t>
      </w:r>
      <w:r w:rsidRPr="00883399">
        <w:rPr>
          <w:b/>
          <w:i/>
          <w:sz w:val="24"/>
        </w:rPr>
        <w:t>captured for permanent storage</w:t>
      </w:r>
      <w:r w:rsidRPr="00883399">
        <w:rPr>
          <w:sz w:val="24"/>
        </w:rPr>
        <w:t>).</w:t>
      </w:r>
    </w:p>
    <w:p w14:paraId="7C7368F0" w14:textId="6A045E46" w:rsidR="00872C03" w:rsidRPr="00883399" w:rsidRDefault="00872C03" w:rsidP="00872C03">
      <w:pPr>
        <w:pStyle w:val="ActHead1"/>
        <w:pageBreakBefore/>
        <w:rPr>
          <w:sz w:val="40"/>
        </w:rPr>
      </w:pPr>
      <w:bookmarkStart w:id="793" w:name="_Toc495652926"/>
      <w:r w:rsidRPr="00883399">
        <w:rPr>
          <w:rStyle w:val="CharChapNo"/>
          <w:sz w:val="40"/>
        </w:rPr>
        <w:lastRenderedPageBreak/>
        <w:t>Chapter 4</w:t>
      </w:r>
      <w:r w:rsidRPr="00883399">
        <w:rPr>
          <w:sz w:val="40"/>
        </w:rPr>
        <w:t>—</w:t>
      </w:r>
      <w:r w:rsidRPr="00883399">
        <w:rPr>
          <w:rStyle w:val="CharChapText"/>
          <w:sz w:val="40"/>
        </w:rPr>
        <w:t>Industrial processes emissions</w:t>
      </w:r>
      <w:bookmarkEnd w:id="747"/>
      <w:bookmarkEnd w:id="793"/>
    </w:p>
    <w:p w14:paraId="728DA743" w14:textId="34D19DDC" w:rsidR="00872C03" w:rsidRPr="00883399" w:rsidRDefault="00872C03" w:rsidP="00872C03">
      <w:pPr>
        <w:pStyle w:val="ActHead2"/>
        <w:rPr>
          <w:sz w:val="36"/>
        </w:rPr>
      </w:pPr>
      <w:bookmarkStart w:id="794" w:name="_Toc423516995"/>
      <w:bookmarkStart w:id="795" w:name="_Toc495652927"/>
      <w:r w:rsidRPr="00883399">
        <w:rPr>
          <w:rStyle w:val="CharPartNo"/>
          <w:sz w:val="36"/>
        </w:rPr>
        <w:t>Part 4.1</w:t>
      </w:r>
      <w:r w:rsidRPr="00883399">
        <w:rPr>
          <w:sz w:val="36"/>
        </w:rPr>
        <w:t>—</w:t>
      </w:r>
      <w:r w:rsidRPr="00883399">
        <w:rPr>
          <w:rStyle w:val="CharPartText"/>
          <w:sz w:val="36"/>
        </w:rPr>
        <w:t>Preliminary</w:t>
      </w:r>
      <w:bookmarkEnd w:id="794"/>
      <w:bookmarkEnd w:id="795"/>
    </w:p>
    <w:p w14:paraId="3F569AB8" w14:textId="77777777" w:rsidR="00872C03" w:rsidRPr="00883399" w:rsidRDefault="00872C03" w:rsidP="00872C03">
      <w:pPr>
        <w:pStyle w:val="Header"/>
        <w:rPr>
          <w:sz w:val="18"/>
        </w:rPr>
      </w:pPr>
      <w:r w:rsidRPr="00883399">
        <w:rPr>
          <w:rStyle w:val="CharDivNo"/>
          <w:sz w:val="18"/>
        </w:rPr>
        <w:t xml:space="preserve"> </w:t>
      </w:r>
      <w:r w:rsidRPr="00883399">
        <w:rPr>
          <w:rStyle w:val="CharDivText"/>
          <w:sz w:val="18"/>
        </w:rPr>
        <w:t xml:space="preserve"> </w:t>
      </w:r>
    </w:p>
    <w:p w14:paraId="787A558A" w14:textId="77777777" w:rsidR="00872C03" w:rsidRPr="00883399" w:rsidRDefault="00872C03" w:rsidP="00872C03">
      <w:pPr>
        <w:pStyle w:val="Text"/>
        <w:rPr>
          <w:rFonts w:ascii="Arial" w:hAnsi="Arial" w:cs="Arial"/>
          <w:sz w:val="22"/>
          <w:szCs w:val="22"/>
        </w:rPr>
      </w:pPr>
      <w:bookmarkStart w:id="796" w:name="_Toc423516996"/>
      <w:r w:rsidRPr="00883399">
        <w:rPr>
          <w:rFonts w:ascii="Arial" w:hAnsi="Arial" w:cs="Arial"/>
          <w:sz w:val="22"/>
          <w:szCs w:val="22"/>
        </w:rPr>
        <w:t>Industrial process emissions are an important source of emissions in Australia and are generated from a wide variety of activities. The principal processes that lead to industrial process emissions include:</w:t>
      </w:r>
    </w:p>
    <w:p w14:paraId="08308107" w14:textId="77777777" w:rsidR="00872C03" w:rsidRPr="00883399" w:rsidRDefault="00872C03" w:rsidP="00872C03">
      <w:pPr>
        <w:pStyle w:val="Text"/>
        <w:ind w:left="709" w:hanging="283"/>
        <w:rPr>
          <w:rFonts w:ascii="Arial" w:hAnsi="Arial" w:cs="Arial"/>
          <w:sz w:val="22"/>
          <w:szCs w:val="22"/>
        </w:rPr>
      </w:pPr>
      <w:r w:rsidRPr="00883399">
        <w:rPr>
          <w:rFonts w:ascii="Arial" w:hAnsi="Arial" w:cs="Arial"/>
          <w:sz w:val="22"/>
          <w:szCs w:val="22"/>
        </w:rPr>
        <w:t>1.</w:t>
      </w:r>
      <w:r w:rsidRPr="00883399">
        <w:rPr>
          <w:rFonts w:ascii="Arial" w:hAnsi="Arial" w:cs="Arial"/>
          <w:sz w:val="22"/>
          <w:szCs w:val="22"/>
        </w:rPr>
        <w:tab/>
        <w:t>Mineral Products—generated mainly from the consumption (heating) of carbonate materials (such as limestone) and from within processes that generate carbon dioxide from the use of carbonates;</w:t>
      </w:r>
    </w:p>
    <w:p w14:paraId="47D2A09D" w14:textId="77777777" w:rsidR="00872C03" w:rsidRPr="00883399" w:rsidRDefault="00872C03" w:rsidP="00872C03">
      <w:pPr>
        <w:pStyle w:val="Text"/>
        <w:ind w:left="709" w:hanging="283"/>
        <w:rPr>
          <w:rFonts w:ascii="Arial" w:hAnsi="Arial" w:cs="Arial"/>
          <w:sz w:val="22"/>
          <w:szCs w:val="22"/>
        </w:rPr>
      </w:pPr>
      <w:r w:rsidRPr="00883399">
        <w:rPr>
          <w:rFonts w:ascii="Arial" w:hAnsi="Arial" w:cs="Arial"/>
          <w:sz w:val="22"/>
          <w:szCs w:val="22"/>
        </w:rPr>
        <w:t>2.</w:t>
      </w:r>
      <w:r w:rsidRPr="00883399">
        <w:rPr>
          <w:rFonts w:ascii="Arial" w:hAnsi="Arial" w:cs="Arial"/>
          <w:sz w:val="22"/>
          <w:szCs w:val="22"/>
        </w:rPr>
        <w:tab/>
        <w:t>Chemical Industry—generated mainly by the use of fuels as a feedstock or reductant;</w:t>
      </w:r>
    </w:p>
    <w:p w14:paraId="76689447" w14:textId="77777777" w:rsidR="00872C03" w:rsidRPr="00883399" w:rsidRDefault="00872C03" w:rsidP="00872C03">
      <w:pPr>
        <w:pStyle w:val="Text"/>
        <w:ind w:left="709" w:hanging="283"/>
        <w:rPr>
          <w:rFonts w:ascii="Arial" w:hAnsi="Arial" w:cs="Arial"/>
          <w:sz w:val="22"/>
          <w:szCs w:val="22"/>
        </w:rPr>
      </w:pPr>
      <w:r w:rsidRPr="00883399">
        <w:rPr>
          <w:rFonts w:ascii="Arial" w:hAnsi="Arial" w:cs="Arial"/>
          <w:sz w:val="22"/>
          <w:szCs w:val="22"/>
        </w:rPr>
        <w:t>3.</w:t>
      </w:r>
      <w:r w:rsidRPr="00883399">
        <w:rPr>
          <w:rFonts w:ascii="Arial" w:hAnsi="Arial" w:cs="Arial"/>
          <w:sz w:val="22"/>
          <w:szCs w:val="22"/>
        </w:rPr>
        <w:tab/>
        <w:t>Metal Products—generated principally from the use of fuels such as coke as carbon reductants and also including perfluorocarbons released from aluminium metal production;</w:t>
      </w:r>
    </w:p>
    <w:p w14:paraId="250D618E" w14:textId="77777777" w:rsidR="00872C03" w:rsidRPr="00883399" w:rsidRDefault="00872C03" w:rsidP="00872C03">
      <w:pPr>
        <w:pStyle w:val="Text"/>
        <w:ind w:left="709" w:hanging="283"/>
        <w:rPr>
          <w:rFonts w:ascii="Arial" w:hAnsi="Arial" w:cs="Arial"/>
          <w:sz w:val="22"/>
          <w:szCs w:val="22"/>
        </w:rPr>
      </w:pPr>
      <w:r w:rsidRPr="00883399">
        <w:rPr>
          <w:rFonts w:ascii="Arial" w:hAnsi="Arial" w:cs="Arial"/>
          <w:sz w:val="22"/>
          <w:szCs w:val="22"/>
        </w:rPr>
        <w:t>4.</w:t>
      </w:r>
      <w:r w:rsidRPr="00883399">
        <w:rPr>
          <w:rFonts w:ascii="Arial" w:hAnsi="Arial" w:cs="Arial"/>
          <w:sz w:val="22"/>
          <w:szCs w:val="22"/>
        </w:rPr>
        <w:tab/>
        <w:t>Synthetic gas emissions —the release of hydrofluorocarbons and sulphur hexafluoride either as fugitive emissions or leakages from the use of these gases as (for example) refrigerants.</w:t>
      </w:r>
    </w:p>
    <w:p w14:paraId="0D643E82"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Other sources of emissions released in the course of the production, such as from the combustion of fuels for energy, are not described in this chapter and must be estimated using the Methods described in other chapters.   </w:t>
      </w:r>
    </w:p>
    <w:p w14:paraId="59BEC45C" w14:textId="77777777" w:rsidR="00872C03" w:rsidRPr="00883399" w:rsidRDefault="00872C03" w:rsidP="00872C03">
      <w:pPr>
        <w:pStyle w:val="Text"/>
        <w:rPr>
          <w:sz w:val="24"/>
          <w:szCs w:val="24"/>
        </w:rPr>
      </w:pPr>
      <w:r w:rsidRPr="00883399">
        <w:rPr>
          <w:rFonts w:ascii="Arial" w:hAnsi="Arial" w:cs="Arial"/>
          <w:sz w:val="22"/>
          <w:szCs w:val="22"/>
        </w:rPr>
        <w:t>Full details of industries covered in this chapter are given in section 4.1</w:t>
      </w:r>
      <w:r w:rsidRPr="00883399">
        <w:rPr>
          <w:sz w:val="24"/>
          <w:szCs w:val="24"/>
        </w:rPr>
        <w:t>.</w:t>
      </w:r>
    </w:p>
    <w:p w14:paraId="067FF40A" w14:textId="1AC59888" w:rsidR="00872C03" w:rsidRPr="00883399" w:rsidRDefault="00872C03" w:rsidP="00872C03">
      <w:pPr>
        <w:pStyle w:val="ActHead5"/>
        <w:rPr>
          <w:sz w:val="28"/>
        </w:rPr>
      </w:pPr>
      <w:bookmarkStart w:id="797" w:name="_Toc495652928"/>
      <w:r w:rsidRPr="00883399">
        <w:rPr>
          <w:rStyle w:val="CharSectno"/>
          <w:sz w:val="28"/>
        </w:rPr>
        <w:t>4.1</w:t>
      </w:r>
      <w:r w:rsidRPr="00883399">
        <w:rPr>
          <w:sz w:val="28"/>
        </w:rPr>
        <w:t xml:space="preserve">  Outline of Chapter</w:t>
      </w:r>
      <w:bookmarkEnd w:id="796"/>
      <w:bookmarkEnd w:id="797"/>
    </w:p>
    <w:p w14:paraId="75C1C559" w14:textId="77777777" w:rsidR="00872C03" w:rsidRPr="00883399" w:rsidRDefault="00872C03" w:rsidP="00872C03">
      <w:pPr>
        <w:pStyle w:val="subsection"/>
        <w:rPr>
          <w:sz w:val="24"/>
        </w:rPr>
      </w:pPr>
      <w:r w:rsidRPr="00883399">
        <w:rPr>
          <w:sz w:val="24"/>
        </w:rPr>
        <w:tab/>
        <w:t>(1)</w:t>
      </w:r>
      <w:r w:rsidRPr="00883399">
        <w:rPr>
          <w:sz w:val="24"/>
        </w:rPr>
        <w:tab/>
        <w:t>This Chapter provides for emissions from:</w:t>
      </w:r>
    </w:p>
    <w:p w14:paraId="25BCDD7F" w14:textId="77777777" w:rsidR="00872C03" w:rsidRPr="00883399" w:rsidRDefault="00872C03" w:rsidP="00872C03">
      <w:pPr>
        <w:pStyle w:val="paragraph"/>
        <w:rPr>
          <w:sz w:val="24"/>
        </w:rPr>
      </w:pPr>
      <w:r w:rsidRPr="00883399">
        <w:rPr>
          <w:sz w:val="24"/>
        </w:rPr>
        <w:tab/>
        <w:t>(a)</w:t>
      </w:r>
      <w:r w:rsidRPr="00883399">
        <w:rPr>
          <w:sz w:val="24"/>
        </w:rPr>
        <w:tab/>
        <w:t>the consumption of carbonates; or</w:t>
      </w:r>
    </w:p>
    <w:p w14:paraId="598A15D8" w14:textId="77777777" w:rsidR="00872C03" w:rsidRPr="00883399" w:rsidRDefault="00872C03" w:rsidP="00872C03">
      <w:pPr>
        <w:pStyle w:val="paragraph"/>
        <w:rPr>
          <w:sz w:val="24"/>
        </w:rPr>
      </w:pPr>
      <w:r w:rsidRPr="00883399">
        <w:rPr>
          <w:sz w:val="24"/>
        </w:rPr>
        <w:tab/>
        <w:t>(b)</w:t>
      </w:r>
      <w:r w:rsidRPr="00883399">
        <w:rPr>
          <w:sz w:val="24"/>
        </w:rPr>
        <w:tab/>
        <w:t>the use of fuels as:</w:t>
      </w:r>
    </w:p>
    <w:p w14:paraId="2174EEF7" w14:textId="77777777" w:rsidR="00872C03" w:rsidRPr="00883399" w:rsidRDefault="00872C03" w:rsidP="00872C03">
      <w:pPr>
        <w:pStyle w:val="paragraphsub"/>
        <w:rPr>
          <w:sz w:val="24"/>
        </w:rPr>
      </w:pPr>
      <w:r w:rsidRPr="00883399">
        <w:rPr>
          <w:sz w:val="24"/>
        </w:rPr>
        <w:tab/>
        <w:t>(i)</w:t>
      </w:r>
      <w:r w:rsidRPr="00883399">
        <w:rPr>
          <w:sz w:val="24"/>
        </w:rPr>
        <w:tab/>
        <w:t>feedstock; or</w:t>
      </w:r>
    </w:p>
    <w:p w14:paraId="1E003800" w14:textId="77777777" w:rsidR="00872C03" w:rsidRPr="00883399" w:rsidRDefault="00872C03" w:rsidP="00872C03">
      <w:pPr>
        <w:pStyle w:val="paragraphsub"/>
        <w:rPr>
          <w:sz w:val="24"/>
        </w:rPr>
      </w:pPr>
      <w:r w:rsidRPr="00883399">
        <w:rPr>
          <w:sz w:val="24"/>
        </w:rPr>
        <w:tab/>
        <w:t>(ii)</w:t>
      </w:r>
      <w:r w:rsidRPr="00883399">
        <w:rPr>
          <w:sz w:val="24"/>
        </w:rPr>
        <w:tab/>
        <w:t>carbon reductants;</w:t>
      </w:r>
    </w:p>
    <w:p w14:paraId="0971094E" w14:textId="77777777" w:rsidR="00872C03" w:rsidRPr="00883399" w:rsidRDefault="00872C03" w:rsidP="00872C03">
      <w:pPr>
        <w:pStyle w:val="paragraph"/>
        <w:rPr>
          <w:sz w:val="24"/>
        </w:rPr>
      </w:pPr>
      <w:r w:rsidRPr="00883399">
        <w:rPr>
          <w:sz w:val="24"/>
        </w:rPr>
        <w:tab/>
      </w:r>
      <w:r w:rsidRPr="00883399">
        <w:rPr>
          <w:sz w:val="24"/>
        </w:rPr>
        <w:tab/>
        <w:t>from sources that are industrial processes mentioned in subsection (2).</w:t>
      </w:r>
    </w:p>
    <w:p w14:paraId="507EBCBE" w14:textId="77777777" w:rsidR="00872C03" w:rsidRPr="00883399" w:rsidRDefault="00872C03" w:rsidP="00872C03">
      <w:pPr>
        <w:pStyle w:val="subsection"/>
        <w:rPr>
          <w:sz w:val="24"/>
        </w:rPr>
      </w:pPr>
      <w:r w:rsidRPr="00883399">
        <w:rPr>
          <w:sz w:val="24"/>
        </w:rPr>
        <w:lastRenderedPageBreak/>
        <w:tab/>
        <w:t>(2)</w:t>
      </w:r>
      <w:r w:rsidRPr="00883399">
        <w:rPr>
          <w:sz w:val="24"/>
        </w:rPr>
        <w:tab/>
        <w:t>For subsection (1), the industrial processes are as follows:</w:t>
      </w:r>
    </w:p>
    <w:p w14:paraId="291BA2D6" w14:textId="77777777" w:rsidR="00872C03" w:rsidRPr="00883399" w:rsidRDefault="00872C03" w:rsidP="00872C03">
      <w:pPr>
        <w:pStyle w:val="paragraph"/>
        <w:rPr>
          <w:sz w:val="24"/>
        </w:rPr>
      </w:pPr>
      <w:r w:rsidRPr="00883399">
        <w:rPr>
          <w:sz w:val="24"/>
        </w:rPr>
        <w:tab/>
        <w:t>(a)</w:t>
      </w:r>
      <w:r w:rsidRPr="00883399">
        <w:rPr>
          <w:sz w:val="24"/>
        </w:rPr>
        <w:tab/>
        <w:t>in Part 4.2:</w:t>
      </w:r>
    </w:p>
    <w:p w14:paraId="2442AF1B" w14:textId="77777777" w:rsidR="00872C03" w:rsidRPr="00883399" w:rsidRDefault="00872C03" w:rsidP="00872C03">
      <w:pPr>
        <w:pStyle w:val="paragraphsub"/>
        <w:rPr>
          <w:sz w:val="24"/>
        </w:rPr>
      </w:pPr>
      <w:r w:rsidRPr="00883399">
        <w:rPr>
          <w:sz w:val="24"/>
        </w:rPr>
        <w:tab/>
        <w:t>(i)</w:t>
      </w:r>
      <w:r w:rsidRPr="00883399">
        <w:rPr>
          <w:sz w:val="24"/>
        </w:rPr>
        <w:tab/>
        <w:t>producing cement clinker (see Division 4.2.1);</w:t>
      </w:r>
    </w:p>
    <w:p w14:paraId="2D445D9A" w14:textId="77777777" w:rsidR="00872C03" w:rsidRPr="00883399" w:rsidRDefault="00872C03" w:rsidP="00872C03">
      <w:pPr>
        <w:pStyle w:val="paragraphsub"/>
        <w:rPr>
          <w:sz w:val="24"/>
        </w:rPr>
      </w:pPr>
      <w:r w:rsidRPr="00883399">
        <w:rPr>
          <w:sz w:val="24"/>
        </w:rPr>
        <w:tab/>
        <w:t>(ii)</w:t>
      </w:r>
      <w:r w:rsidRPr="00883399">
        <w:rPr>
          <w:sz w:val="24"/>
        </w:rPr>
        <w:tab/>
        <w:t>producing lime (see Division 4.2.2);</w:t>
      </w:r>
    </w:p>
    <w:p w14:paraId="32C798AA" w14:textId="77777777" w:rsidR="00872C03" w:rsidRPr="00883399" w:rsidRDefault="00872C03" w:rsidP="00872C03">
      <w:pPr>
        <w:pStyle w:val="paragraphsub"/>
        <w:rPr>
          <w:sz w:val="24"/>
        </w:rPr>
      </w:pPr>
      <w:r w:rsidRPr="00883399">
        <w:rPr>
          <w:sz w:val="24"/>
        </w:rPr>
        <w:tab/>
        <w:t>(iii)</w:t>
      </w:r>
      <w:r w:rsidRPr="00883399">
        <w:rPr>
          <w:sz w:val="24"/>
        </w:rPr>
        <w:tab/>
        <w:t>using carbonate for the production of a product other than cement clinker, lime or soda ash (see Division 4.2.3);</w:t>
      </w:r>
    </w:p>
    <w:p w14:paraId="2E3882AF" w14:textId="77777777" w:rsidR="00872C03" w:rsidRPr="00883399" w:rsidRDefault="00872C03" w:rsidP="00872C03">
      <w:pPr>
        <w:pStyle w:val="paragraphsub"/>
        <w:rPr>
          <w:sz w:val="24"/>
        </w:rPr>
      </w:pPr>
      <w:r w:rsidRPr="00883399">
        <w:rPr>
          <w:sz w:val="24"/>
        </w:rPr>
        <w:tab/>
        <w:t>(iv)</w:t>
      </w:r>
      <w:r w:rsidRPr="00883399">
        <w:rPr>
          <w:sz w:val="24"/>
        </w:rPr>
        <w:tab/>
        <w:t>using and producing soda ash (see Division 4.2.4);</w:t>
      </w:r>
    </w:p>
    <w:p w14:paraId="48FA2DA5" w14:textId="77777777" w:rsidR="00872C03" w:rsidRPr="00883399" w:rsidRDefault="00872C03" w:rsidP="00872C03">
      <w:pPr>
        <w:pStyle w:val="paragraph"/>
        <w:rPr>
          <w:sz w:val="24"/>
        </w:rPr>
      </w:pPr>
      <w:r w:rsidRPr="00883399">
        <w:rPr>
          <w:sz w:val="24"/>
        </w:rPr>
        <w:tab/>
        <w:t>(b)</w:t>
      </w:r>
      <w:r w:rsidRPr="00883399">
        <w:rPr>
          <w:sz w:val="24"/>
        </w:rPr>
        <w:tab/>
        <w:t>in Part 4.3—the production of:</w:t>
      </w:r>
    </w:p>
    <w:p w14:paraId="40B5E404" w14:textId="77777777" w:rsidR="00872C03" w:rsidRPr="00883399" w:rsidRDefault="00872C03" w:rsidP="00872C03">
      <w:pPr>
        <w:pStyle w:val="paragraphsub"/>
        <w:rPr>
          <w:sz w:val="24"/>
        </w:rPr>
      </w:pPr>
      <w:r w:rsidRPr="00883399">
        <w:rPr>
          <w:sz w:val="24"/>
        </w:rPr>
        <w:tab/>
        <w:t>(i)</w:t>
      </w:r>
      <w:r w:rsidRPr="00883399">
        <w:rPr>
          <w:sz w:val="24"/>
        </w:rPr>
        <w:tab/>
        <w:t>ammonia (see Division 4.3.1);</w:t>
      </w:r>
    </w:p>
    <w:p w14:paraId="1CF93576" w14:textId="77777777" w:rsidR="00872C03" w:rsidRPr="00883399" w:rsidRDefault="00872C03" w:rsidP="00872C03">
      <w:pPr>
        <w:pStyle w:val="paragraphsub"/>
        <w:rPr>
          <w:sz w:val="24"/>
        </w:rPr>
      </w:pPr>
      <w:r w:rsidRPr="00883399">
        <w:rPr>
          <w:sz w:val="24"/>
        </w:rPr>
        <w:tab/>
        <w:t>(ii)</w:t>
      </w:r>
      <w:r w:rsidRPr="00883399">
        <w:rPr>
          <w:sz w:val="24"/>
        </w:rPr>
        <w:tab/>
        <w:t>nitric acid (see Division 4.3.2);</w:t>
      </w:r>
    </w:p>
    <w:p w14:paraId="1F84B8B3" w14:textId="77777777" w:rsidR="00872C03" w:rsidRPr="00883399" w:rsidRDefault="00872C03" w:rsidP="00872C03">
      <w:pPr>
        <w:pStyle w:val="paragraphsub"/>
        <w:rPr>
          <w:sz w:val="24"/>
        </w:rPr>
      </w:pPr>
      <w:r w:rsidRPr="00883399">
        <w:rPr>
          <w:sz w:val="24"/>
        </w:rPr>
        <w:tab/>
        <w:t>(iii)</w:t>
      </w:r>
      <w:r w:rsidRPr="00883399">
        <w:rPr>
          <w:sz w:val="24"/>
        </w:rPr>
        <w:tab/>
        <w:t>adipic acid (see Division 4.3.3);</w:t>
      </w:r>
    </w:p>
    <w:p w14:paraId="41AE73C8" w14:textId="77777777" w:rsidR="00872C03" w:rsidRPr="00883399" w:rsidRDefault="00872C03" w:rsidP="00872C03">
      <w:pPr>
        <w:pStyle w:val="paragraphsub"/>
        <w:rPr>
          <w:sz w:val="24"/>
        </w:rPr>
      </w:pPr>
      <w:r w:rsidRPr="00883399">
        <w:rPr>
          <w:sz w:val="24"/>
        </w:rPr>
        <w:tab/>
        <w:t>(iv)</w:t>
      </w:r>
      <w:r w:rsidRPr="00883399">
        <w:rPr>
          <w:sz w:val="24"/>
        </w:rPr>
        <w:tab/>
        <w:t>carbide (see Division 4.3.4);</w:t>
      </w:r>
    </w:p>
    <w:p w14:paraId="5C9CA7CE" w14:textId="77777777" w:rsidR="00872C03" w:rsidRPr="00883399" w:rsidRDefault="00872C03" w:rsidP="00872C03">
      <w:pPr>
        <w:pStyle w:val="paragraphsub"/>
        <w:rPr>
          <w:sz w:val="24"/>
        </w:rPr>
      </w:pPr>
      <w:r w:rsidRPr="00883399">
        <w:rPr>
          <w:sz w:val="24"/>
        </w:rPr>
        <w:tab/>
        <w:t>(v)</w:t>
      </w:r>
      <w:r w:rsidRPr="00883399">
        <w:rPr>
          <w:sz w:val="24"/>
        </w:rPr>
        <w:tab/>
        <w:t>a chemical or mineral product other than carbide using a carbon reductant or carbon anode (see Division 4.3.5);</w:t>
      </w:r>
    </w:p>
    <w:p w14:paraId="00DE761D" w14:textId="77777777" w:rsidR="00872C03" w:rsidRPr="00883399" w:rsidRDefault="00872C03" w:rsidP="00872C03">
      <w:pPr>
        <w:pStyle w:val="paragraphsub"/>
        <w:rPr>
          <w:sz w:val="24"/>
        </w:rPr>
      </w:pPr>
      <w:r w:rsidRPr="00883399">
        <w:rPr>
          <w:sz w:val="24"/>
        </w:rPr>
        <w:tab/>
        <w:t>(vi)</w:t>
      </w:r>
      <w:r w:rsidRPr="00883399">
        <w:rPr>
          <w:sz w:val="24"/>
        </w:rPr>
        <w:tab/>
        <w:t>sodium cyanide (see Division 4.3.6);</w:t>
      </w:r>
    </w:p>
    <w:p w14:paraId="7165D5B4" w14:textId="77777777" w:rsidR="00872C03" w:rsidRPr="00883399" w:rsidRDefault="00872C03" w:rsidP="00872C03">
      <w:pPr>
        <w:pStyle w:val="paragraph"/>
        <w:rPr>
          <w:sz w:val="24"/>
        </w:rPr>
      </w:pPr>
      <w:r w:rsidRPr="00883399">
        <w:rPr>
          <w:sz w:val="24"/>
        </w:rPr>
        <w:tab/>
        <w:t>(c)</w:t>
      </w:r>
      <w:r w:rsidRPr="00883399">
        <w:rPr>
          <w:sz w:val="24"/>
        </w:rPr>
        <w:tab/>
        <w:t>in Part 4.4—the production of:</w:t>
      </w:r>
    </w:p>
    <w:p w14:paraId="6AC449CF" w14:textId="77777777" w:rsidR="00872C03" w:rsidRPr="00883399" w:rsidRDefault="00872C03" w:rsidP="00872C03">
      <w:pPr>
        <w:pStyle w:val="paragraphsub"/>
        <w:rPr>
          <w:sz w:val="24"/>
        </w:rPr>
      </w:pPr>
      <w:r w:rsidRPr="00883399">
        <w:rPr>
          <w:sz w:val="24"/>
        </w:rPr>
        <w:tab/>
        <w:t>(i)</w:t>
      </w:r>
      <w:r w:rsidRPr="00883399">
        <w:rPr>
          <w:sz w:val="24"/>
        </w:rPr>
        <w:tab/>
        <w:t>iron and steel (see Division 4.4.1);</w:t>
      </w:r>
    </w:p>
    <w:p w14:paraId="0750737A" w14:textId="77777777" w:rsidR="00872C03" w:rsidRPr="00883399" w:rsidRDefault="00872C03" w:rsidP="00872C03">
      <w:pPr>
        <w:pStyle w:val="paragraphsub"/>
        <w:rPr>
          <w:sz w:val="24"/>
        </w:rPr>
      </w:pPr>
      <w:r w:rsidRPr="00883399">
        <w:rPr>
          <w:sz w:val="24"/>
        </w:rPr>
        <w:tab/>
        <w:t>(ii)</w:t>
      </w:r>
      <w:r w:rsidRPr="00883399">
        <w:rPr>
          <w:sz w:val="24"/>
        </w:rPr>
        <w:tab/>
        <w:t>ferroalloy metals (see Division 4.4.2);</w:t>
      </w:r>
    </w:p>
    <w:p w14:paraId="346ACABD" w14:textId="77777777" w:rsidR="00872C03" w:rsidRPr="00883399" w:rsidRDefault="00872C03" w:rsidP="00872C03">
      <w:pPr>
        <w:pStyle w:val="paragraphsub"/>
        <w:rPr>
          <w:sz w:val="24"/>
        </w:rPr>
      </w:pPr>
      <w:r w:rsidRPr="00883399">
        <w:rPr>
          <w:sz w:val="24"/>
        </w:rPr>
        <w:tab/>
        <w:t>(iii)</w:t>
      </w:r>
      <w:r w:rsidRPr="00883399">
        <w:rPr>
          <w:sz w:val="24"/>
        </w:rPr>
        <w:tab/>
        <w:t>aluminium (see Divisions 4.4.3 and 4.4.4);</w:t>
      </w:r>
    </w:p>
    <w:p w14:paraId="7FF09012" w14:textId="77777777" w:rsidR="00872C03" w:rsidRPr="00883399" w:rsidRDefault="00872C03" w:rsidP="00872C03">
      <w:pPr>
        <w:pStyle w:val="paragraphsub"/>
        <w:rPr>
          <w:sz w:val="24"/>
        </w:rPr>
      </w:pPr>
      <w:r w:rsidRPr="00883399">
        <w:rPr>
          <w:sz w:val="24"/>
        </w:rPr>
        <w:tab/>
        <w:t>(iv)</w:t>
      </w:r>
      <w:r w:rsidRPr="00883399">
        <w:rPr>
          <w:sz w:val="24"/>
        </w:rPr>
        <w:tab/>
        <w:t>other metals (see Division 4.4.5).</w:t>
      </w:r>
    </w:p>
    <w:p w14:paraId="4AD3F375" w14:textId="77777777" w:rsidR="00872C03" w:rsidRPr="00883399" w:rsidRDefault="00872C03" w:rsidP="00872C03">
      <w:pPr>
        <w:pStyle w:val="subsection"/>
        <w:rPr>
          <w:sz w:val="24"/>
        </w:rPr>
      </w:pPr>
      <w:r w:rsidRPr="00883399">
        <w:rPr>
          <w:sz w:val="24"/>
        </w:rPr>
        <w:tab/>
        <w:t>(3)</w:t>
      </w:r>
      <w:r w:rsidRPr="00883399">
        <w:rPr>
          <w:sz w:val="24"/>
        </w:rPr>
        <w:tab/>
        <w:t>This Chapter, in Part 4.5, also applies to emissions released from the consumption of the following synthetic gases:</w:t>
      </w:r>
    </w:p>
    <w:p w14:paraId="402F9F27" w14:textId="77777777" w:rsidR="00872C03" w:rsidRPr="00883399" w:rsidRDefault="00872C03" w:rsidP="00872C03">
      <w:pPr>
        <w:pStyle w:val="paragraph"/>
        <w:rPr>
          <w:sz w:val="24"/>
        </w:rPr>
      </w:pPr>
      <w:r w:rsidRPr="00883399">
        <w:rPr>
          <w:sz w:val="24"/>
        </w:rPr>
        <w:tab/>
        <w:t>(a)</w:t>
      </w:r>
      <w:r w:rsidRPr="00883399">
        <w:rPr>
          <w:sz w:val="24"/>
        </w:rPr>
        <w:tab/>
        <w:t>hydrofluorocarbons;</w:t>
      </w:r>
    </w:p>
    <w:p w14:paraId="7DF9783A" w14:textId="77777777" w:rsidR="00872C03" w:rsidRPr="00883399" w:rsidRDefault="00872C03" w:rsidP="00872C03">
      <w:pPr>
        <w:pStyle w:val="paragraph"/>
        <w:rPr>
          <w:sz w:val="24"/>
        </w:rPr>
      </w:pPr>
      <w:r w:rsidRPr="00883399">
        <w:rPr>
          <w:sz w:val="24"/>
        </w:rPr>
        <w:tab/>
        <w:t>(b)</w:t>
      </w:r>
      <w:r w:rsidRPr="00883399">
        <w:rPr>
          <w:sz w:val="24"/>
        </w:rPr>
        <w:tab/>
        <w:t>sulphur hexafluoride.</w:t>
      </w:r>
    </w:p>
    <w:p w14:paraId="668639D6" w14:textId="77777777" w:rsidR="00872C03" w:rsidRPr="00883399" w:rsidRDefault="00872C03" w:rsidP="00872C03">
      <w:pPr>
        <w:pStyle w:val="subsection"/>
        <w:rPr>
          <w:sz w:val="24"/>
        </w:rPr>
      </w:pPr>
      <w:r w:rsidRPr="00883399">
        <w:rPr>
          <w:sz w:val="24"/>
        </w:rPr>
        <w:tab/>
        <w:t>(4)</w:t>
      </w:r>
      <w:r w:rsidRPr="00883399">
        <w:rPr>
          <w:sz w:val="24"/>
        </w:rPr>
        <w:tab/>
        <w:t>This Chapter does not apply to emissions from fuel combusted for energy production.</w:t>
      </w:r>
    </w:p>
    <w:p w14:paraId="4665AED1" w14:textId="33596382" w:rsidR="00872C03" w:rsidRPr="00883399" w:rsidRDefault="00872C03" w:rsidP="00872C03">
      <w:pPr>
        <w:pStyle w:val="ActHead2"/>
        <w:pageBreakBefore/>
        <w:rPr>
          <w:sz w:val="36"/>
        </w:rPr>
      </w:pPr>
      <w:bookmarkStart w:id="798" w:name="_Toc423516997"/>
      <w:bookmarkStart w:id="799" w:name="_Toc495652929"/>
      <w:r w:rsidRPr="00883399">
        <w:rPr>
          <w:rStyle w:val="CharPartNo"/>
          <w:sz w:val="36"/>
        </w:rPr>
        <w:lastRenderedPageBreak/>
        <w:t>Part 4.2</w:t>
      </w:r>
      <w:r w:rsidRPr="00883399">
        <w:rPr>
          <w:sz w:val="36"/>
        </w:rPr>
        <w:t>—</w:t>
      </w:r>
      <w:r w:rsidRPr="00883399">
        <w:rPr>
          <w:rStyle w:val="CharPartText"/>
          <w:sz w:val="36"/>
        </w:rPr>
        <w:t>Industrial processes—mineral products</w:t>
      </w:r>
      <w:bookmarkEnd w:id="798"/>
      <w:bookmarkEnd w:id="799"/>
    </w:p>
    <w:p w14:paraId="45F06D3B" w14:textId="77777777" w:rsidR="00872C03" w:rsidRPr="00883399" w:rsidRDefault="00872C03" w:rsidP="00872C03">
      <w:pPr>
        <w:pStyle w:val="Text"/>
        <w:rPr>
          <w:rStyle w:val="CharSectno"/>
          <w:rFonts w:ascii="Arial" w:hAnsi="Arial" w:cs="Arial"/>
          <w:sz w:val="22"/>
          <w:szCs w:val="22"/>
        </w:rPr>
      </w:pPr>
      <w:bookmarkStart w:id="800" w:name="_Toc423516998"/>
      <w:r w:rsidRPr="00883399">
        <w:rPr>
          <w:rStyle w:val="CharSectno"/>
          <w:rFonts w:ascii="Arial" w:hAnsi="Arial" w:cs="Arial"/>
          <w:sz w:val="22"/>
          <w:szCs w:val="22"/>
        </w:rPr>
        <w:t xml:space="preserve">This Part applies to any industry that generates emissions of carbon dioxide through the consumption of carbonates such as calcium carbonate (limestone) or magnesium carbonate. The consumption of carbonates that does not lead to carbon dioxide emissions (for example, when used as gravel) is not covered by the scope of these Guidelines.  </w:t>
      </w:r>
    </w:p>
    <w:p w14:paraId="339B3A17" w14:textId="77777777" w:rsidR="00872C03" w:rsidRPr="00883399" w:rsidRDefault="00872C03" w:rsidP="00872C03">
      <w:pPr>
        <w:spacing w:before="240" w:line="312" w:lineRule="auto"/>
        <w:rPr>
          <w:rFonts w:ascii="Arial" w:hAnsi="Arial" w:cs="Arial"/>
          <w:sz w:val="22"/>
        </w:rPr>
      </w:pPr>
      <w:bookmarkStart w:id="801" w:name="_Toc265135412"/>
      <w:r w:rsidRPr="00883399">
        <w:rPr>
          <w:rFonts w:ascii="Arial" w:hAnsi="Arial" w:cs="Arial"/>
          <w:sz w:val="22"/>
        </w:rPr>
        <w:t>In order to deduct carbon dioxide captured for permanent storage reporters are required to use Method 2 or higher. These higher order methods provide a more accurate estimate of the carbon dioxide emissions than under Method 1, the default method. As the carbon dioxide captured is deducted from the emissions estimate it is necessary to have a greater level of accuracy in the emissions estimate than is achieved using Method 1.</w:t>
      </w:r>
      <w:bookmarkEnd w:id="801"/>
      <w:r w:rsidRPr="00883399">
        <w:rPr>
          <w:rFonts w:ascii="Arial" w:hAnsi="Arial" w:cs="Arial"/>
          <w:sz w:val="22"/>
        </w:rPr>
        <w:t xml:space="preserve"> </w:t>
      </w:r>
    </w:p>
    <w:p w14:paraId="65104D09" w14:textId="2A96DD9C" w:rsidR="00872C03" w:rsidRPr="00883399" w:rsidRDefault="00872C03" w:rsidP="00872C03">
      <w:pPr>
        <w:pStyle w:val="ActHead3"/>
        <w:rPr>
          <w:sz w:val="32"/>
        </w:rPr>
      </w:pPr>
      <w:bookmarkStart w:id="802" w:name="_Toc495652930"/>
      <w:r w:rsidRPr="00883399">
        <w:rPr>
          <w:rStyle w:val="CharDivNo"/>
          <w:sz w:val="32"/>
        </w:rPr>
        <w:t>Division 4.2.1</w:t>
      </w:r>
      <w:r w:rsidRPr="00883399">
        <w:rPr>
          <w:sz w:val="32"/>
        </w:rPr>
        <w:t>—</w:t>
      </w:r>
      <w:r w:rsidRPr="00883399">
        <w:rPr>
          <w:rStyle w:val="CharDivText"/>
          <w:sz w:val="32"/>
        </w:rPr>
        <w:t>Cement clinker production</w:t>
      </w:r>
      <w:bookmarkEnd w:id="800"/>
      <w:bookmarkEnd w:id="802"/>
    </w:p>
    <w:p w14:paraId="3D683374" w14:textId="77777777" w:rsidR="00872C03" w:rsidRPr="00883399" w:rsidRDefault="00872C03" w:rsidP="00872C03">
      <w:pPr>
        <w:pStyle w:val="R2"/>
        <w:keepLines w:val="0"/>
        <w:spacing w:before="240" w:line="312" w:lineRule="auto"/>
        <w:ind w:left="0" w:firstLine="0"/>
        <w:jc w:val="left"/>
        <w:rPr>
          <w:rFonts w:ascii="Arial" w:hAnsi="Arial" w:cs="Arial"/>
          <w:sz w:val="22"/>
          <w:szCs w:val="22"/>
        </w:rPr>
      </w:pPr>
      <w:bookmarkStart w:id="803" w:name="_Toc423516999"/>
      <w:r w:rsidRPr="00883399">
        <w:rPr>
          <w:rFonts w:ascii="Arial" w:hAnsi="Arial" w:cs="Arial"/>
          <w:sz w:val="22"/>
          <w:szCs w:val="22"/>
        </w:rPr>
        <w:t>Carbon dioxide is generated during the production of clinker, an intermediate product from which cement is made. The manufacture of cement involves a multi-stage process whereby calcium carbonate (CaCO</w:t>
      </w:r>
      <w:r w:rsidRPr="00883399">
        <w:rPr>
          <w:rFonts w:ascii="Arial" w:hAnsi="Arial" w:cs="Arial"/>
          <w:sz w:val="22"/>
          <w:szCs w:val="22"/>
          <w:vertAlign w:val="subscript"/>
        </w:rPr>
        <w:t>3</w:t>
      </w:r>
      <w:r w:rsidRPr="00883399">
        <w:rPr>
          <w:rFonts w:ascii="Arial" w:hAnsi="Arial" w:cs="Arial"/>
          <w:sz w:val="22"/>
          <w:szCs w:val="22"/>
        </w:rPr>
        <w:t>) from calcium rich raw materials such as limestone, chalk and natural cement rock is heated at temperatures of approximately 1500 °C in cement kilns to form lime (CaO) and CO</w:t>
      </w:r>
      <w:r w:rsidRPr="00883399">
        <w:rPr>
          <w:rFonts w:ascii="Arial" w:hAnsi="Arial" w:cs="Arial"/>
          <w:sz w:val="22"/>
          <w:szCs w:val="22"/>
          <w:vertAlign w:val="subscript"/>
        </w:rPr>
        <w:t>2</w:t>
      </w:r>
      <w:r w:rsidRPr="00883399">
        <w:rPr>
          <w:rFonts w:ascii="Arial" w:hAnsi="Arial" w:cs="Arial"/>
          <w:sz w:val="22"/>
          <w:szCs w:val="22"/>
        </w:rPr>
        <w:t>. In addition to CaCO</w:t>
      </w:r>
      <w:r w:rsidRPr="00883399">
        <w:rPr>
          <w:rFonts w:ascii="Arial" w:hAnsi="Arial" w:cs="Arial"/>
          <w:sz w:val="22"/>
          <w:szCs w:val="22"/>
          <w:vertAlign w:val="subscript"/>
        </w:rPr>
        <w:t>3</w:t>
      </w:r>
      <w:r w:rsidRPr="00883399">
        <w:rPr>
          <w:rFonts w:ascii="Arial" w:hAnsi="Arial" w:cs="Arial"/>
          <w:sz w:val="22"/>
          <w:szCs w:val="22"/>
        </w:rPr>
        <w:t>, the raw materials used in cement production may also contain small quantities of magnesium carbonate (MgCO</w:t>
      </w:r>
      <w:r w:rsidRPr="00883399">
        <w:rPr>
          <w:rFonts w:ascii="Arial" w:hAnsi="Arial" w:cs="Arial"/>
          <w:sz w:val="22"/>
          <w:szCs w:val="22"/>
          <w:vertAlign w:val="subscript"/>
        </w:rPr>
        <w:t>3</w:t>
      </w:r>
      <w:r w:rsidRPr="00883399">
        <w:rPr>
          <w:rFonts w:ascii="Arial" w:hAnsi="Arial" w:cs="Arial"/>
          <w:sz w:val="22"/>
          <w:szCs w:val="22"/>
        </w:rPr>
        <w:t>). On heating, MgCO</w:t>
      </w:r>
      <w:r w:rsidRPr="00883399">
        <w:rPr>
          <w:rFonts w:ascii="Arial" w:hAnsi="Arial" w:cs="Arial"/>
          <w:sz w:val="22"/>
          <w:szCs w:val="22"/>
          <w:vertAlign w:val="subscript"/>
        </w:rPr>
        <w:t>3</w:t>
      </w:r>
      <w:r w:rsidRPr="00883399">
        <w:rPr>
          <w:rFonts w:ascii="Arial" w:hAnsi="Arial" w:cs="Arial"/>
          <w:sz w:val="22"/>
          <w:szCs w:val="22"/>
        </w:rPr>
        <w:t xml:space="preserve"> also decomposes to generate CO</w:t>
      </w:r>
      <w:r w:rsidRPr="00883399">
        <w:rPr>
          <w:rFonts w:ascii="Arial" w:hAnsi="Arial" w:cs="Arial"/>
          <w:sz w:val="22"/>
          <w:szCs w:val="22"/>
          <w:vertAlign w:val="subscript"/>
        </w:rPr>
        <w:t>2</w:t>
      </w:r>
      <w:r w:rsidRPr="00883399">
        <w:t xml:space="preserve">. </w:t>
      </w:r>
      <w:r w:rsidRPr="00883399">
        <w:rPr>
          <w:rFonts w:ascii="Arial" w:hAnsi="Arial" w:cs="Arial"/>
          <w:sz w:val="22"/>
          <w:szCs w:val="22"/>
        </w:rPr>
        <w:t>Some clinker manufacturers also use materials containing lime and magnesium oxide as inputs into their process which can reduce the amount of CO</w:t>
      </w:r>
      <w:r w:rsidRPr="00883399">
        <w:rPr>
          <w:rFonts w:ascii="Arial" w:hAnsi="Arial" w:cs="Arial"/>
          <w:sz w:val="22"/>
          <w:szCs w:val="22"/>
          <w:vertAlign w:val="subscript"/>
        </w:rPr>
        <w:t>2</w:t>
      </w:r>
      <w:r w:rsidRPr="00883399">
        <w:rPr>
          <w:rFonts w:ascii="Arial" w:hAnsi="Arial" w:cs="Arial"/>
          <w:sz w:val="22"/>
          <w:szCs w:val="22"/>
        </w:rPr>
        <w:t xml:space="preserve"> generated by that facility.</w:t>
      </w:r>
    </w:p>
    <w:p w14:paraId="618AB32B" w14:textId="77777777" w:rsidR="00872C03" w:rsidRPr="00883399" w:rsidRDefault="00872C03" w:rsidP="00872C03">
      <w:pPr>
        <w:pStyle w:val="R2"/>
        <w:keepLines w:val="0"/>
        <w:spacing w:before="240" w:line="312" w:lineRule="auto"/>
        <w:ind w:left="0" w:firstLine="0"/>
        <w:jc w:val="left"/>
        <w:rPr>
          <w:rStyle w:val="CharSectno"/>
          <w:rFonts w:ascii="Arial" w:hAnsi="Arial" w:cs="Arial"/>
          <w:b/>
          <w:sz w:val="22"/>
          <w:szCs w:val="22"/>
        </w:rPr>
      </w:pPr>
      <w:r w:rsidRPr="00883399">
        <w:rPr>
          <w:rFonts w:ascii="Arial" w:hAnsi="Arial" w:cs="Arial"/>
          <w:sz w:val="22"/>
          <w:szCs w:val="22"/>
        </w:rPr>
        <w:t xml:space="preserve">It is intended that the parameters </w:t>
      </w:r>
      <w:r w:rsidRPr="00883399">
        <w:rPr>
          <w:b/>
          <w:i/>
          <w:szCs w:val="22"/>
        </w:rPr>
        <w:t>F</w:t>
      </w:r>
      <w:r w:rsidRPr="00883399">
        <w:rPr>
          <w:rStyle w:val="Subscript"/>
          <w:b/>
          <w:i/>
          <w:szCs w:val="22"/>
        </w:rPr>
        <w:t>cal</w:t>
      </w:r>
      <w:r w:rsidRPr="00883399">
        <w:t xml:space="preserve"> and </w:t>
      </w:r>
      <w:r w:rsidRPr="00883399">
        <w:rPr>
          <w:b/>
          <w:i/>
          <w:szCs w:val="22"/>
        </w:rPr>
        <w:t>F</w:t>
      </w:r>
      <w:r w:rsidRPr="00883399">
        <w:rPr>
          <w:rStyle w:val="Subscript"/>
          <w:b/>
          <w:i/>
          <w:szCs w:val="22"/>
        </w:rPr>
        <w:t>ckd</w:t>
      </w:r>
      <w:r w:rsidRPr="00883399">
        <w:rPr>
          <w:rFonts w:ascii="Arial" w:hAnsi="Arial" w:cs="Arial"/>
          <w:sz w:val="22"/>
          <w:szCs w:val="22"/>
        </w:rPr>
        <w:t xml:space="preserve"> in methods 1, 2 and 3 in this division, be estimated by industry based on the principles of Section 1.13, namely transparency, comparability, accuracy and completeness. Where actual data for these is not available it is assumed that, at the temperatures and residence times achieved in cement (clinker) kilns, the degree of calcination achieved for all material incorporated in the clinker is 100 percent.</w:t>
      </w:r>
    </w:p>
    <w:p w14:paraId="21086425" w14:textId="195D3071" w:rsidR="00872C03" w:rsidRPr="00883399" w:rsidRDefault="00872C03" w:rsidP="00872C03">
      <w:pPr>
        <w:pStyle w:val="ActHead5"/>
        <w:rPr>
          <w:sz w:val="28"/>
        </w:rPr>
      </w:pPr>
      <w:bookmarkStart w:id="804" w:name="_Toc495652931"/>
      <w:r w:rsidRPr="00883399">
        <w:rPr>
          <w:rStyle w:val="CharSectno"/>
          <w:sz w:val="28"/>
        </w:rPr>
        <w:t>4.2</w:t>
      </w:r>
      <w:r w:rsidRPr="00883399">
        <w:rPr>
          <w:sz w:val="28"/>
        </w:rPr>
        <w:t xml:space="preserve">  Application</w:t>
      </w:r>
      <w:bookmarkEnd w:id="803"/>
      <w:bookmarkEnd w:id="804"/>
    </w:p>
    <w:p w14:paraId="59F6AC04" w14:textId="77777777" w:rsidR="00872C03" w:rsidRPr="00883399" w:rsidRDefault="00872C03" w:rsidP="00872C03">
      <w:pPr>
        <w:pStyle w:val="subsection"/>
        <w:rPr>
          <w:sz w:val="24"/>
        </w:rPr>
      </w:pPr>
      <w:r w:rsidRPr="00883399">
        <w:rPr>
          <w:sz w:val="24"/>
        </w:rPr>
        <w:tab/>
      </w:r>
      <w:r w:rsidRPr="00883399">
        <w:rPr>
          <w:sz w:val="24"/>
        </w:rPr>
        <w:tab/>
        <w:t>This Division applies to cement clinker production.</w:t>
      </w:r>
    </w:p>
    <w:p w14:paraId="673207B7" w14:textId="4EE4BCE1" w:rsidR="00872C03" w:rsidRPr="00883399" w:rsidRDefault="00872C03" w:rsidP="00872C03">
      <w:pPr>
        <w:pStyle w:val="ActHead5"/>
        <w:rPr>
          <w:sz w:val="28"/>
        </w:rPr>
      </w:pPr>
      <w:bookmarkStart w:id="805" w:name="_Toc423517000"/>
      <w:bookmarkStart w:id="806" w:name="_Toc495652932"/>
      <w:r w:rsidRPr="00883399">
        <w:rPr>
          <w:rStyle w:val="CharSectno"/>
          <w:sz w:val="28"/>
        </w:rPr>
        <w:lastRenderedPageBreak/>
        <w:t>4.3</w:t>
      </w:r>
      <w:r w:rsidRPr="00883399">
        <w:rPr>
          <w:sz w:val="28"/>
        </w:rPr>
        <w:t xml:space="preserve">  Available methods</w:t>
      </w:r>
      <w:bookmarkEnd w:id="805"/>
      <w:bookmarkEnd w:id="806"/>
    </w:p>
    <w:p w14:paraId="055EF7C3" w14:textId="77777777" w:rsidR="00872C03" w:rsidRPr="00883399" w:rsidRDefault="00872C03" w:rsidP="00872C03">
      <w:pPr>
        <w:pStyle w:val="subsection"/>
        <w:rPr>
          <w:sz w:val="24"/>
        </w:rPr>
      </w:pPr>
      <w:r w:rsidRPr="00883399">
        <w:rPr>
          <w:sz w:val="24"/>
        </w:rPr>
        <w:tab/>
        <w:t>(1)</w:t>
      </w:r>
      <w:r w:rsidRPr="00883399">
        <w:rPr>
          <w:sz w:val="24"/>
        </w:rPr>
        <w:tab/>
        <w:t>Subject to section 1.18, one of the following methods must be used for estimating emissions of carbon dioxide released during a year from the operation of a facility that is constituted by the production of cement clinker:</w:t>
      </w:r>
    </w:p>
    <w:p w14:paraId="2753A61E" w14:textId="77777777" w:rsidR="00872C03" w:rsidRPr="00883399" w:rsidRDefault="00872C03" w:rsidP="00872C03">
      <w:pPr>
        <w:pStyle w:val="paragraph"/>
        <w:rPr>
          <w:sz w:val="24"/>
        </w:rPr>
      </w:pPr>
      <w:r w:rsidRPr="00883399">
        <w:rPr>
          <w:sz w:val="24"/>
        </w:rPr>
        <w:tab/>
        <w:t>(a)</w:t>
      </w:r>
      <w:r w:rsidRPr="00883399">
        <w:rPr>
          <w:sz w:val="24"/>
        </w:rPr>
        <w:tab/>
        <w:t>method 1 under section 4.4;</w:t>
      </w:r>
    </w:p>
    <w:p w14:paraId="4F18A22B" w14:textId="77777777" w:rsidR="00872C03" w:rsidRPr="00883399" w:rsidRDefault="00872C03" w:rsidP="00872C03">
      <w:pPr>
        <w:pStyle w:val="paragraph"/>
        <w:rPr>
          <w:sz w:val="24"/>
        </w:rPr>
      </w:pPr>
      <w:r w:rsidRPr="00883399">
        <w:rPr>
          <w:sz w:val="24"/>
        </w:rPr>
        <w:tab/>
        <w:t>(b)</w:t>
      </w:r>
      <w:r w:rsidRPr="00883399">
        <w:rPr>
          <w:sz w:val="24"/>
        </w:rPr>
        <w:tab/>
        <w:t>method 2 under section 4.5;</w:t>
      </w:r>
    </w:p>
    <w:p w14:paraId="7F121A38" w14:textId="77777777" w:rsidR="00872C03" w:rsidRPr="00883399" w:rsidRDefault="00872C03" w:rsidP="00872C03">
      <w:pPr>
        <w:pStyle w:val="paragraph"/>
        <w:rPr>
          <w:sz w:val="24"/>
        </w:rPr>
      </w:pPr>
      <w:r w:rsidRPr="00883399">
        <w:rPr>
          <w:sz w:val="24"/>
        </w:rPr>
        <w:tab/>
        <w:t>(c)</w:t>
      </w:r>
      <w:r w:rsidRPr="00883399">
        <w:rPr>
          <w:sz w:val="24"/>
        </w:rPr>
        <w:tab/>
        <w:t>method 3 under section 4.8;</w:t>
      </w:r>
    </w:p>
    <w:p w14:paraId="7484C4EF" w14:textId="77777777" w:rsidR="00872C03" w:rsidRPr="00883399" w:rsidRDefault="00872C03" w:rsidP="00872C03">
      <w:pPr>
        <w:pStyle w:val="paragraph"/>
        <w:rPr>
          <w:sz w:val="24"/>
        </w:rPr>
      </w:pPr>
      <w:r w:rsidRPr="00883399">
        <w:rPr>
          <w:sz w:val="24"/>
        </w:rPr>
        <w:tab/>
        <w:t>(d)</w:t>
      </w:r>
      <w:r w:rsidRPr="00883399">
        <w:rPr>
          <w:sz w:val="24"/>
        </w:rPr>
        <w:tab/>
        <w:t>method 4 under Part 1.3.</w:t>
      </w:r>
    </w:p>
    <w:p w14:paraId="248408ED" w14:textId="77777777" w:rsidR="00872C03" w:rsidRPr="00883399" w:rsidRDefault="00872C03" w:rsidP="00872C03">
      <w:pPr>
        <w:pStyle w:val="subsection"/>
        <w:rPr>
          <w:sz w:val="24"/>
        </w:rPr>
      </w:pPr>
      <w:r w:rsidRPr="00883399">
        <w:rPr>
          <w:sz w:val="24"/>
        </w:rPr>
        <w:tab/>
        <w:t>(2)</w:t>
      </w:r>
      <w:r w:rsidRPr="00883399">
        <w:rPr>
          <w:sz w:val="24"/>
        </w:rPr>
        <w:tab/>
        <w:t>However, for incidental emissions, another method may be used that is consistent with the principles in section 1.13.</w:t>
      </w:r>
    </w:p>
    <w:p w14:paraId="78572890" w14:textId="77777777" w:rsidR="00872C03" w:rsidRPr="00883399" w:rsidRDefault="00872C03" w:rsidP="00872C03">
      <w:pPr>
        <w:pStyle w:val="R2"/>
        <w:keepNext/>
        <w:tabs>
          <w:tab w:val="clear" w:pos="794"/>
        </w:tabs>
        <w:ind w:hanging="62"/>
        <w:rPr>
          <w:b/>
        </w:rPr>
      </w:pPr>
      <w:bookmarkStart w:id="807" w:name="_Toc423517001"/>
      <w:r w:rsidRPr="00883399">
        <w:rPr>
          <w:b/>
        </w:rPr>
        <w:t>Summary of available methods, for estimating emissions from cement production, by emissions of gas type (j)</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1870"/>
        <w:gridCol w:w="1514"/>
        <w:gridCol w:w="1757"/>
      </w:tblGrid>
      <w:tr w:rsidR="00872C03" w:rsidRPr="00883399" w14:paraId="00A62147" w14:textId="77777777" w:rsidTr="0031057E">
        <w:tc>
          <w:tcPr>
            <w:tcW w:w="2280" w:type="dxa"/>
            <w:shd w:val="clear" w:color="auto" w:fill="E6E6E6"/>
          </w:tcPr>
          <w:p w14:paraId="42BC0C8E" w14:textId="77777777" w:rsidR="00872C03" w:rsidRPr="00883399" w:rsidRDefault="00872C03" w:rsidP="0031057E">
            <w:pPr>
              <w:pStyle w:val="Text"/>
              <w:keepNext/>
            </w:pPr>
          </w:p>
        </w:tc>
        <w:tc>
          <w:tcPr>
            <w:tcW w:w="1920" w:type="dxa"/>
            <w:shd w:val="clear" w:color="auto" w:fill="E6E6E6"/>
          </w:tcPr>
          <w:p w14:paraId="433A8152" w14:textId="77777777" w:rsidR="00872C03" w:rsidRPr="00883399" w:rsidRDefault="00872C03" w:rsidP="0031057E">
            <w:pPr>
              <w:pStyle w:val="Text"/>
              <w:keepNext/>
            </w:pPr>
            <w:r w:rsidRPr="00883399">
              <w:t>CO</w:t>
            </w:r>
            <w:r w:rsidRPr="00883399">
              <w:rPr>
                <w:vertAlign w:val="subscript"/>
              </w:rPr>
              <w:t>2</w:t>
            </w:r>
          </w:p>
        </w:tc>
        <w:tc>
          <w:tcPr>
            <w:tcW w:w="1560" w:type="dxa"/>
            <w:shd w:val="clear" w:color="auto" w:fill="E6E6E6"/>
          </w:tcPr>
          <w:p w14:paraId="3680098C" w14:textId="77777777" w:rsidR="00872C03" w:rsidRPr="00883399" w:rsidRDefault="00872C03" w:rsidP="0031057E">
            <w:pPr>
              <w:pStyle w:val="Text"/>
              <w:keepNext/>
            </w:pPr>
            <w:r w:rsidRPr="00883399">
              <w:t>CH</w:t>
            </w:r>
            <w:r w:rsidRPr="00883399">
              <w:rPr>
                <w:vertAlign w:val="subscript"/>
              </w:rPr>
              <w:t>4</w:t>
            </w:r>
          </w:p>
        </w:tc>
        <w:tc>
          <w:tcPr>
            <w:tcW w:w="1814" w:type="dxa"/>
            <w:shd w:val="clear" w:color="auto" w:fill="E6E6E6"/>
          </w:tcPr>
          <w:p w14:paraId="68FB02C5" w14:textId="77777777" w:rsidR="00872C03" w:rsidRPr="00883399" w:rsidRDefault="00872C03" w:rsidP="0031057E">
            <w:pPr>
              <w:pStyle w:val="Text"/>
              <w:keepNext/>
            </w:pPr>
            <w:r w:rsidRPr="00883399">
              <w:t>N</w:t>
            </w:r>
            <w:r w:rsidRPr="00883399">
              <w:rPr>
                <w:vertAlign w:val="subscript"/>
              </w:rPr>
              <w:t>2</w:t>
            </w:r>
            <w:r w:rsidRPr="00883399">
              <w:t>O</w:t>
            </w:r>
          </w:p>
        </w:tc>
      </w:tr>
      <w:tr w:rsidR="00872C03" w:rsidRPr="00883399" w14:paraId="6C9FFC67" w14:textId="77777777" w:rsidTr="0031057E">
        <w:tc>
          <w:tcPr>
            <w:tcW w:w="2280" w:type="dxa"/>
          </w:tcPr>
          <w:p w14:paraId="00574EE1" w14:textId="77777777" w:rsidR="00872C03" w:rsidRPr="00883399" w:rsidRDefault="00872C03" w:rsidP="0031057E">
            <w:pPr>
              <w:pStyle w:val="Text"/>
              <w:keepNext/>
              <w:spacing w:before="120" w:line="240" w:lineRule="auto"/>
            </w:pPr>
            <w:r w:rsidRPr="00883399">
              <w:t>Method 1</w:t>
            </w:r>
          </w:p>
        </w:tc>
        <w:tc>
          <w:tcPr>
            <w:tcW w:w="1920" w:type="dxa"/>
          </w:tcPr>
          <w:p w14:paraId="3079B60D" w14:textId="77777777" w:rsidR="00872C03" w:rsidRPr="00883399" w:rsidRDefault="00872C03" w:rsidP="0031057E">
            <w:pPr>
              <w:pStyle w:val="Text"/>
              <w:keepNext/>
              <w:spacing w:before="120" w:line="240" w:lineRule="auto"/>
            </w:pPr>
            <w:r w:rsidRPr="00883399">
              <w:t>Section 4.4</w:t>
            </w:r>
          </w:p>
        </w:tc>
        <w:tc>
          <w:tcPr>
            <w:tcW w:w="1560" w:type="dxa"/>
          </w:tcPr>
          <w:p w14:paraId="4849EB6C" w14:textId="77777777" w:rsidR="00872C03" w:rsidRPr="00883399" w:rsidRDefault="00872C03" w:rsidP="0031057E">
            <w:pPr>
              <w:pStyle w:val="Text"/>
              <w:keepNext/>
              <w:spacing w:before="120" w:line="240" w:lineRule="auto"/>
            </w:pPr>
            <w:r w:rsidRPr="00883399">
              <w:t>NO</w:t>
            </w:r>
          </w:p>
        </w:tc>
        <w:tc>
          <w:tcPr>
            <w:tcW w:w="1814" w:type="dxa"/>
          </w:tcPr>
          <w:p w14:paraId="56D96261" w14:textId="77777777" w:rsidR="00872C03" w:rsidRPr="00883399" w:rsidRDefault="00872C03" w:rsidP="0031057E">
            <w:pPr>
              <w:pStyle w:val="Text"/>
              <w:keepNext/>
              <w:spacing w:before="120" w:line="240" w:lineRule="auto"/>
            </w:pPr>
            <w:r w:rsidRPr="00883399">
              <w:t>NO</w:t>
            </w:r>
          </w:p>
        </w:tc>
      </w:tr>
      <w:tr w:rsidR="00872C03" w:rsidRPr="00883399" w14:paraId="7A9FE690" w14:textId="77777777" w:rsidTr="0031057E">
        <w:tc>
          <w:tcPr>
            <w:tcW w:w="2280" w:type="dxa"/>
          </w:tcPr>
          <w:p w14:paraId="50A2DB1A" w14:textId="77777777" w:rsidR="00872C03" w:rsidRPr="00883399" w:rsidRDefault="00872C03" w:rsidP="0031057E">
            <w:pPr>
              <w:pStyle w:val="Text"/>
              <w:spacing w:before="120" w:line="240" w:lineRule="auto"/>
            </w:pPr>
            <w:r w:rsidRPr="00883399">
              <w:t>Method 2</w:t>
            </w:r>
          </w:p>
        </w:tc>
        <w:tc>
          <w:tcPr>
            <w:tcW w:w="1920" w:type="dxa"/>
          </w:tcPr>
          <w:p w14:paraId="12BC4CA4" w14:textId="77777777" w:rsidR="00872C03" w:rsidRPr="00883399" w:rsidRDefault="00872C03" w:rsidP="0031057E">
            <w:pPr>
              <w:pStyle w:val="Text"/>
              <w:spacing w:before="120" w:line="240" w:lineRule="auto"/>
            </w:pPr>
            <w:r w:rsidRPr="00883399">
              <w:t>Section 4.5</w:t>
            </w:r>
          </w:p>
        </w:tc>
        <w:tc>
          <w:tcPr>
            <w:tcW w:w="1560" w:type="dxa"/>
          </w:tcPr>
          <w:p w14:paraId="5CD4DB09" w14:textId="77777777" w:rsidR="00872C03" w:rsidRPr="00883399" w:rsidRDefault="00872C03" w:rsidP="0031057E">
            <w:pPr>
              <w:pStyle w:val="Text"/>
              <w:spacing w:before="120" w:line="240" w:lineRule="auto"/>
            </w:pPr>
            <w:r w:rsidRPr="00883399">
              <w:t>NO</w:t>
            </w:r>
          </w:p>
        </w:tc>
        <w:tc>
          <w:tcPr>
            <w:tcW w:w="1814" w:type="dxa"/>
          </w:tcPr>
          <w:p w14:paraId="6CE3CF98" w14:textId="77777777" w:rsidR="00872C03" w:rsidRPr="00883399" w:rsidRDefault="00872C03" w:rsidP="0031057E">
            <w:pPr>
              <w:pStyle w:val="Text"/>
              <w:spacing w:before="120" w:line="240" w:lineRule="auto"/>
            </w:pPr>
            <w:r w:rsidRPr="00883399">
              <w:t>NO</w:t>
            </w:r>
          </w:p>
        </w:tc>
      </w:tr>
      <w:tr w:rsidR="00872C03" w:rsidRPr="00883399" w14:paraId="1F78D7BA" w14:textId="77777777" w:rsidTr="0031057E">
        <w:tc>
          <w:tcPr>
            <w:tcW w:w="2280" w:type="dxa"/>
          </w:tcPr>
          <w:p w14:paraId="635D1553" w14:textId="77777777" w:rsidR="00872C03" w:rsidRPr="00883399" w:rsidRDefault="00872C03" w:rsidP="0031057E">
            <w:pPr>
              <w:pStyle w:val="Text"/>
              <w:spacing w:before="120" w:line="240" w:lineRule="auto"/>
            </w:pPr>
            <w:r w:rsidRPr="00883399">
              <w:t>Method 3</w:t>
            </w:r>
          </w:p>
        </w:tc>
        <w:tc>
          <w:tcPr>
            <w:tcW w:w="1920" w:type="dxa"/>
          </w:tcPr>
          <w:p w14:paraId="05080A77" w14:textId="77777777" w:rsidR="00872C03" w:rsidRPr="00883399" w:rsidRDefault="00872C03" w:rsidP="0031057E">
            <w:pPr>
              <w:pStyle w:val="Text"/>
              <w:spacing w:before="120" w:line="240" w:lineRule="auto"/>
            </w:pPr>
            <w:r w:rsidRPr="00883399">
              <w:t>Section 4.8</w:t>
            </w:r>
          </w:p>
        </w:tc>
        <w:tc>
          <w:tcPr>
            <w:tcW w:w="1560" w:type="dxa"/>
          </w:tcPr>
          <w:p w14:paraId="20862DA1" w14:textId="77777777" w:rsidR="00872C03" w:rsidRPr="00883399" w:rsidRDefault="00872C03" w:rsidP="0031057E">
            <w:pPr>
              <w:pStyle w:val="Text"/>
              <w:spacing w:before="120" w:line="240" w:lineRule="auto"/>
            </w:pPr>
            <w:r w:rsidRPr="00883399">
              <w:t>NO</w:t>
            </w:r>
          </w:p>
        </w:tc>
        <w:tc>
          <w:tcPr>
            <w:tcW w:w="1814" w:type="dxa"/>
          </w:tcPr>
          <w:p w14:paraId="56914E62" w14:textId="77777777" w:rsidR="00872C03" w:rsidRPr="00883399" w:rsidRDefault="00872C03" w:rsidP="0031057E">
            <w:pPr>
              <w:pStyle w:val="Text"/>
              <w:spacing w:before="120" w:line="240" w:lineRule="auto"/>
            </w:pPr>
            <w:r w:rsidRPr="00883399">
              <w:t>NO</w:t>
            </w:r>
          </w:p>
        </w:tc>
      </w:tr>
      <w:tr w:rsidR="00872C03" w:rsidRPr="00883399" w14:paraId="0F8FB50A" w14:textId="77777777" w:rsidTr="0031057E">
        <w:tc>
          <w:tcPr>
            <w:tcW w:w="2280" w:type="dxa"/>
          </w:tcPr>
          <w:p w14:paraId="79F8B10A" w14:textId="77777777" w:rsidR="00872C03" w:rsidRPr="00883399" w:rsidRDefault="00872C03" w:rsidP="0031057E">
            <w:pPr>
              <w:pStyle w:val="Text"/>
              <w:spacing w:before="120" w:line="240" w:lineRule="auto"/>
            </w:pPr>
            <w:r w:rsidRPr="00883399">
              <w:t>Method 4</w:t>
            </w:r>
          </w:p>
        </w:tc>
        <w:tc>
          <w:tcPr>
            <w:tcW w:w="1920" w:type="dxa"/>
          </w:tcPr>
          <w:p w14:paraId="54ACCEDB" w14:textId="77777777" w:rsidR="00872C03" w:rsidRPr="00883399" w:rsidRDefault="00872C03" w:rsidP="0031057E">
            <w:pPr>
              <w:pStyle w:val="Text"/>
              <w:spacing w:before="120" w:line="240" w:lineRule="auto"/>
            </w:pPr>
            <w:r w:rsidRPr="00883399">
              <w:t>Part 1.3</w:t>
            </w:r>
          </w:p>
        </w:tc>
        <w:tc>
          <w:tcPr>
            <w:tcW w:w="1560" w:type="dxa"/>
          </w:tcPr>
          <w:p w14:paraId="04889C13" w14:textId="77777777" w:rsidR="00872C03" w:rsidRPr="00883399" w:rsidRDefault="00872C03" w:rsidP="0031057E">
            <w:pPr>
              <w:pStyle w:val="Text"/>
              <w:spacing w:before="120" w:line="240" w:lineRule="auto"/>
            </w:pPr>
            <w:r w:rsidRPr="00883399">
              <w:t>NO</w:t>
            </w:r>
          </w:p>
        </w:tc>
        <w:tc>
          <w:tcPr>
            <w:tcW w:w="1814" w:type="dxa"/>
          </w:tcPr>
          <w:p w14:paraId="07D849B1" w14:textId="77777777" w:rsidR="00872C03" w:rsidRPr="00883399" w:rsidRDefault="00872C03" w:rsidP="0031057E">
            <w:pPr>
              <w:pStyle w:val="Text"/>
              <w:spacing w:before="120" w:line="240" w:lineRule="auto"/>
            </w:pPr>
            <w:r w:rsidRPr="00883399">
              <w:t>NO</w:t>
            </w:r>
          </w:p>
        </w:tc>
      </w:tr>
    </w:tbl>
    <w:p w14:paraId="1720FAC8" w14:textId="77777777" w:rsidR="00872C03" w:rsidRPr="00883399" w:rsidRDefault="00872C03" w:rsidP="00872C03">
      <w:pPr>
        <w:pStyle w:val="Text"/>
        <w:ind w:left="840"/>
      </w:pPr>
      <w:r w:rsidRPr="00883399">
        <w:t>NO = Not occurring</w:t>
      </w:r>
      <w:r w:rsidRPr="00883399">
        <w:tab/>
      </w:r>
    </w:p>
    <w:p w14:paraId="67417C55" w14:textId="0DB7085E" w:rsidR="00872C03" w:rsidRPr="00883399" w:rsidRDefault="00872C03" w:rsidP="00872C03">
      <w:pPr>
        <w:pStyle w:val="ActHead5"/>
        <w:rPr>
          <w:sz w:val="28"/>
        </w:rPr>
      </w:pPr>
      <w:bookmarkStart w:id="808" w:name="_Toc495652933"/>
      <w:r w:rsidRPr="00883399">
        <w:rPr>
          <w:rStyle w:val="CharSectno"/>
          <w:sz w:val="28"/>
        </w:rPr>
        <w:t>4.4</w:t>
      </w:r>
      <w:r w:rsidRPr="00883399">
        <w:rPr>
          <w:sz w:val="28"/>
        </w:rPr>
        <w:t xml:space="preserve">  Method 1—cement clinker production</w:t>
      </w:r>
      <w:bookmarkEnd w:id="807"/>
      <w:bookmarkEnd w:id="808"/>
    </w:p>
    <w:p w14:paraId="564BB320" w14:textId="77777777" w:rsidR="00872C03" w:rsidRPr="00883399" w:rsidRDefault="00872C03" w:rsidP="00872C03">
      <w:pPr>
        <w:pStyle w:val="R1"/>
        <w:keepLines w:val="0"/>
        <w:spacing w:before="240" w:line="312" w:lineRule="auto"/>
        <w:ind w:left="0" w:firstLine="0"/>
        <w:jc w:val="left"/>
      </w:pPr>
      <w:r w:rsidRPr="00883399">
        <w:tab/>
      </w:r>
      <w:r w:rsidRPr="00883399">
        <w:rPr>
          <w:rFonts w:ascii="Arial" w:hAnsi="Arial" w:cs="Arial"/>
          <w:sz w:val="22"/>
          <w:szCs w:val="22"/>
        </w:rPr>
        <w:t xml:space="preserve">Method 1 for the production of cement clinker is derived from the </w:t>
      </w:r>
      <w:r w:rsidRPr="00883399">
        <w:rPr>
          <w:rFonts w:ascii="Arial" w:hAnsi="Arial" w:cs="Arial"/>
          <w:i/>
          <w:sz w:val="22"/>
          <w:szCs w:val="22"/>
        </w:rPr>
        <w:t>National Greenhouse Account</w:t>
      </w:r>
      <w:r w:rsidRPr="00883399">
        <w:rPr>
          <w:rFonts w:ascii="Arial" w:hAnsi="Arial" w:cs="Arial"/>
          <w:sz w:val="22"/>
          <w:szCs w:val="22"/>
        </w:rPr>
        <w:t xml:space="preserve"> national methodology as published in the </w:t>
      </w:r>
      <w:r w:rsidRPr="00883399">
        <w:rPr>
          <w:rFonts w:ascii="Arial" w:hAnsi="Arial" w:cs="Arial"/>
          <w:i/>
          <w:sz w:val="22"/>
          <w:szCs w:val="22"/>
        </w:rPr>
        <w:t>National Inventory Report</w:t>
      </w:r>
      <w:r w:rsidRPr="00883399">
        <w:rPr>
          <w:rFonts w:ascii="Arial" w:hAnsi="Arial" w:cs="Arial"/>
          <w:sz w:val="22"/>
          <w:szCs w:val="22"/>
        </w:rPr>
        <w:t xml:space="preserve">. </w:t>
      </w:r>
      <w:r w:rsidRPr="00883399">
        <w:rPr>
          <w:rStyle w:val="CharSectno"/>
          <w:rFonts w:ascii="Arial" w:hAnsi="Arial" w:cs="Arial"/>
          <w:sz w:val="22"/>
          <w:szCs w:val="22"/>
        </w:rPr>
        <w:t>It involves the collection of data on the quantities of cement clinker and cement kiln dust produced and the use of the specified emission factors for cement clinker and carbon-bearing non-fuel raw material</w:t>
      </w:r>
      <w:r w:rsidRPr="00883399">
        <w:rPr>
          <w:rStyle w:val="CharSectno"/>
        </w:rPr>
        <w:t>.</w:t>
      </w:r>
    </w:p>
    <w:p w14:paraId="3123C232" w14:textId="77777777" w:rsidR="00872C03" w:rsidRPr="00883399" w:rsidRDefault="00872C03" w:rsidP="00872C03">
      <w:pPr>
        <w:pStyle w:val="subsection"/>
        <w:rPr>
          <w:sz w:val="24"/>
        </w:rPr>
      </w:pPr>
      <w:r w:rsidRPr="00883399">
        <w:rPr>
          <w:sz w:val="24"/>
        </w:rPr>
        <w:tab/>
      </w:r>
      <w:r w:rsidRPr="00883399">
        <w:rPr>
          <w:sz w:val="24"/>
        </w:rPr>
        <w:tab/>
        <w:t>Method 1 is:</w:t>
      </w:r>
    </w:p>
    <w:p w14:paraId="43DDBD66" w14:textId="0790273B"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117763AA" wp14:editId="2C37297B">
            <wp:extent cx="2828925" cy="352425"/>
            <wp:effectExtent l="0" t="0" r="9525" b="0"/>
            <wp:docPr id="2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828925" cy="352425"/>
                    </a:xfrm>
                    <a:prstGeom prst="rect">
                      <a:avLst/>
                    </a:prstGeom>
                    <a:noFill/>
                    <a:ln>
                      <a:noFill/>
                    </a:ln>
                  </pic:spPr>
                </pic:pic>
              </a:graphicData>
            </a:graphic>
          </wp:inline>
        </w:drawing>
      </w:r>
    </w:p>
    <w:p w14:paraId="2CB7C59A" w14:textId="77777777" w:rsidR="00872C03" w:rsidRPr="00883399" w:rsidRDefault="00872C03" w:rsidP="00872C03">
      <w:pPr>
        <w:pStyle w:val="subsection2"/>
        <w:rPr>
          <w:sz w:val="24"/>
        </w:rPr>
      </w:pPr>
      <w:r w:rsidRPr="00883399">
        <w:rPr>
          <w:sz w:val="24"/>
        </w:rPr>
        <w:t>where:</w:t>
      </w:r>
    </w:p>
    <w:p w14:paraId="21246CBB" w14:textId="77777777" w:rsidR="00872C03" w:rsidRPr="00883399" w:rsidRDefault="00872C03" w:rsidP="00872C03">
      <w:pPr>
        <w:pStyle w:val="Definition0"/>
        <w:rPr>
          <w:sz w:val="24"/>
        </w:rPr>
      </w:pPr>
      <w:r w:rsidRPr="00883399">
        <w:rPr>
          <w:b/>
          <w:i/>
          <w:sz w:val="24"/>
        </w:rPr>
        <w:lastRenderedPageBreak/>
        <w:t>E</w:t>
      </w:r>
      <w:r w:rsidRPr="00883399">
        <w:rPr>
          <w:rStyle w:val="charSubscript"/>
          <w:b/>
          <w:i/>
          <w:sz w:val="18"/>
          <w:szCs w:val="16"/>
        </w:rPr>
        <w:t>ij</w:t>
      </w:r>
      <w:r w:rsidRPr="00883399">
        <w:rPr>
          <w:b/>
          <w:i/>
          <w:sz w:val="24"/>
        </w:rPr>
        <w:t xml:space="preserve"> </w:t>
      </w:r>
      <w:r w:rsidRPr="00883399">
        <w:rPr>
          <w:sz w:val="24"/>
        </w:rPr>
        <w:t>is the emissions of carbon dioxide (</w:t>
      </w:r>
      <w:r w:rsidRPr="00883399">
        <w:rPr>
          <w:b/>
          <w:i/>
          <w:sz w:val="24"/>
        </w:rPr>
        <w:t>j</w:t>
      </w:r>
      <w:r w:rsidRPr="00883399">
        <w:rPr>
          <w:sz w:val="24"/>
        </w:rPr>
        <w:t>) released from the production of cement clinker (</w:t>
      </w:r>
      <w:r w:rsidRPr="00883399">
        <w:rPr>
          <w:b/>
          <w:i/>
          <w:sz w:val="24"/>
        </w:rPr>
        <w:t>i</w:t>
      </w:r>
      <w:r w:rsidRPr="00883399">
        <w:rPr>
          <w:sz w:val="24"/>
        </w:rPr>
        <w:t>) during the year measured in CO</w:t>
      </w:r>
      <w:r w:rsidRPr="00883399">
        <w:rPr>
          <w:rStyle w:val="charSubscript"/>
          <w:iCs/>
          <w:sz w:val="22"/>
        </w:rPr>
        <w:t>2</w:t>
      </w:r>
      <w:r w:rsidRPr="00883399">
        <w:rPr>
          <w:sz w:val="24"/>
        </w:rPr>
        <w:noBreakHyphen/>
        <w:t>e tonnes.</w:t>
      </w:r>
    </w:p>
    <w:p w14:paraId="0D6BF5DD" w14:textId="77777777" w:rsidR="00872C03" w:rsidRPr="00883399" w:rsidRDefault="00872C03" w:rsidP="00872C03">
      <w:pPr>
        <w:pStyle w:val="Definition0"/>
        <w:rPr>
          <w:sz w:val="24"/>
        </w:rPr>
      </w:pPr>
      <w:r w:rsidRPr="00883399">
        <w:rPr>
          <w:b/>
          <w:i/>
          <w:sz w:val="24"/>
        </w:rPr>
        <w:t>EF</w:t>
      </w:r>
      <w:r w:rsidRPr="00883399">
        <w:rPr>
          <w:rStyle w:val="charSubscript"/>
          <w:b/>
          <w:i/>
          <w:sz w:val="22"/>
        </w:rPr>
        <w:t>ij</w:t>
      </w:r>
      <w:r w:rsidRPr="00883399">
        <w:rPr>
          <w:b/>
          <w:i/>
          <w:sz w:val="24"/>
        </w:rPr>
        <w:t xml:space="preserve"> </w:t>
      </w:r>
      <w:r w:rsidRPr="00883399">
        <w:rPr>
          <w:sz w:val="24"/>
        </w:rPr>
        <w:t>is 0.534, which is the carbon dioxide (</w:t>
      </w:r>
      <w:r w:rsidRPr="00883399">
        <w:rPr>
          <w:b/>
          <w:i/>
          <w:sz w:val="24"/>
        </w:rPr>
        <w:t>j</w:t>
      </w:r>
      <w:r w:rsidRPr="00883399">
        <w:rPr>
          <w:sz w:val="24"/>
        </w:rPr>
        <w:t>) emission factor for cement clinker (</w:t>
      </w:r>
      <w:r w:rsidRPr="00883399">
        <w:rPr>
          <w:b/>
          <w:i/>
          <w:sz w:val="24"/>
        </w:rPr>
        <w:t>i</w:t>
      </w:r>
      <w:r w:rsidRPr="00883399">
        <w:rPr>
          <w:sz w:val="24"/>
        </w:rPr>
        <w:t>), measured in tonnes of emissions of carbon dioxide per tonne of cement clinker produced.</w:t>
      </w:r>
    </w:p>
    <w:p w14:paraId="01C3CE0B" w14:textId="77777777" w:rsidR="00872C03" w:rsidRPr="00883399" w:rsidRDefault="00872C03" w:rsidP="00872C03">
      <w:pPr>
        <w:pStyle w:val="Definition0"/>
        <w:rPr>
          <w:sz w:val="24"/>
        </w:rPr>
      </w:pPr>
      <w:r w:rsidRPr="00883399">
        <w:rPr>
          <w:b/>
          <w:i/>
          <w:sz w:val="24"/>
        </w:rPr>
        <w:t>EF</w:t>
      </w:r>
      <w:r w:rsidRPr="00883399">
        <w:rPr>
          <w:b/>
          <w:i/>
          <w:sz w:val="24"/>
          <w:vertAlign w:val="subscript"/>
        </w:rPr>
        <w:t xml:space="preserve">toc,j </w:t>
      </w:r>
      <w:r w:rsidRPr="00883399">
        <w:rPr>
          <w:sz w:val="24"/>
        </w:rPr>
        <w:t>is 0.010, which is the carbon dioxide (</w:t>
      </w:r>
      <w:r w:rsidRPr="00883399">
        <w:rPr>
          <w:b/>
          <w:i/>
          <w:sz w:val="24"/>
        </w:rPr>
        <w:t>j</w:t>
      </w:r>
      <w:r w:rsidRPr="00883399">
        <w:rPr>
          <w:sz w:val="24"/>
        </w:rPr>
        <w:t>) emission factor for carbon</w:t>
      </w:r>
      <w:r w:rsidRPr="00883399">
        <w:rPr>
          <w:sz w:val="24"/>
        </w:rPr>
        <w:noBreakHyphen/>
        <w:t>bearing non</w:t>
      </w:r>
      <w:r w:rsidRPr="00883399">
        <w:rPr>
          <w:sz w:val="24"/>
        </w:rPr>
        <w:noBreakHyphen/>
        <w:t>fuel raw material, measured in tonnes of emissions of carbon dioxide per tonne of cement clinker produced.</w:t>
      </w:r>
    </w:p>
    <w:p w14:paraId="4FC43CA9" w14:textId="77777777" w:rsidR="00872C03" w:rsidRPr="00883399" w:rsidRDefault="00872C03" w:rsidP="00872C03">
      <w:pPr>
        <w:pStyle w:val="Definition0"/>
        <w:rPr>
          <w:sz w:val="24"/>
        </w:rPr>
      </w:pPr>
      <w:r w:rsidRPr="00883399">
        <w:rPr>
          <w:b/>
          <w:i/>
          <w:sz w:val="24"/>
        </w:rPr>
        <w:t>A</w:t>
      </w:r>
      <w:r w:rsidRPr="00883399">
        <w:rPr>
          <w:rStyle w:val="charSubscript"/>
          <w:b/>
          <w:i/>
          <w:sz w:val="22"/>
        </w:rPr>
        <w:t>i</w:t>
      </w:r>
      <w:r w:rsidRPr="00883399">
        <w:rPr>
          <w:b/>
          <w:i/>
          <w:sz w:val="24"/>
        </w:rPr>
        <w:t xml:space="preserve"> </w:t>
      </w:r>
      <w:r w:rsidRPr="00883399">
        <w:rPr>
          <w:sz w:val="24"/>
        </w:rPr>
        <w:t>is the quantity of cement clinker (</w:t>
      </w:r>
      <w:r w:rsidRPr="00883399">
        <w:rPr>
          <w:b/>
          <w:i/>
          <w:sz w:val="24"/>
        </w:rPr>
        <w:t>i</w:t>
      </w:r>
      <w:r w:rsidRPr="00883399">
        <w:rPr>
          <w:sz w:val="24"/>
        </w:rPr>
        <w:t>) produced during the year measured in tonnes and estimated under Division 4.2.5.</w:t>
      </w:r>
    </w:p>
    <w:p w14:paraId="3657EFDF" w14:textId="77777777" w:rsidR="00872C03" w:rsidRPr="00883399" w:rsidRDefault="00872C03" w:rsidP="00872C03">
      <w:pPr>
        <w:pStyle w:val="Definition0"/>
        <w:rPr>
          <w:sz w:val="24"/>
        </w:rPr>
      </w:pPr>
      <w:r w:rsidRPr="00883399">
        <w:rPr>
          <w:b/>
          <w:i/>
          <w:iCs/>
          <w:sz w:val="24"/>
        </w:rPr>
        <w:t>A</w:t>
      </w:r>
      <w:r w:rsidRPr="00883399">
        <w:rPr>
          <w:rStyle w:val="charSubscript"/>
          <w:b/>
          <w:i/>
          <w:sz w:val="22"/>
        </w:rPr>
        <w:t>ckd</w:t>
      </w:r>
      <w:r w:rsidRPr="00883399">
        <w:rPr>
          <w:b/>
          <w:i/>
          <w:iCs/>
          <w:sz w:val="24"/>
        </w:rPr>
        <w:t xml:space="preserve"> </w:t>
      </w:r>
      <w:r w:rsidRPr="00883399">
        <w:rPr>
          <w:iCs/>
          <w:sz w:val="24"/>
        </w:rPr>
        <w:t>is</w:t>
      </w:r>
      <w:r w:rsidRPr="00883399">
        <w:rPr>
          <w:sz w:val="24"/>
        </w:rPr>
        <w:t xml:space="preserve"> the quantity of cement kiln dust produced as a result of the production of cement clinker during the year, measured in tonnes and estimated under Division 4.2.5.</w:t>
      </w:r>
    </w:p>
    <w:p w14:paraId="669A0BA3" w14:textId="77777777" w:rsidR="00872C03" w:rsidRPr="00883399" w:rsidRDefault="00872C03" w:rsidP="00872C03">
      <w:pPr>
        <w:pStyle w:val="Definition0"/>
        <w:rPr>
          <w:sz w:val="24"/>
        </w:rPr>
      </w:pPr>
      <w:r w:rsidRPr="00883399">
        <w:rPr>
          <w:b/>
          <w:i/>
          <w:sz w:val="24"/>
        </w:rPr>
        <w:t>F</w:t>
      </w:r>
      <w:r w:rsidRPr="00883399">
        <w:rPr>
          <w:rStyle w:val="charSubscript"/>
          <w:b/>
          <w:i/>
          <w:sz w:val="22"/>
        </w:rPr>
        <w:t>ckd</w:t>
      </w:r>
      <w:r w:rsidRPr="00883399">
        <w:rPr>
          <w:b/>
          <w:i/>
          <w:sz w:val="24"/>
        </w:rPr>
        <w:t xml:space="preserve"> </w:t>
      </w:r>
      <w:r w:rsidRPr="00883399">
        <w:rPr>
          <w:sz w:val="24"/>
        </w:rPr>
        <w:t>is:</w:t>
      </w:r>
    </w:p>
    <w:p w14:paraId="3EBD4CF3" w14:textId="77777777" w:rsidR="00872C03" w:rsidRPr="00883399" w:rsidRDefault="00872C03" w:rsidP="00872C03">
      <w:pPr>
        <w:pStyle w:val="paragraph"/>
        <w:rPr>
          <w:sz w:val="24"/>
        </w:rPr>
      </w:pPr>
      <w:r w:rsidRPr="00883399">
        <w:rPr>
          <w:sz w:val="24"/>
        </w:rPr>
        <w:tab/>
        <w:t>(a)</w:t>
      </w:r>
      <w:r w:rsidRPr="00883399">
        <w:rPr>
          <w:sz w:val="24"/>
        </w:rPr>
        <w:tab/>
        <w:t>the degree of calcination of cement kiln dust produced as a result of the production of cement clinker during the year, expressed as a decimal fraction; or</w:t>
      </w:r>
    </w:p>
    <w:p w14:paraId="7F3DCCDB" w14:textId="77777777" w:rsidR="00872C03" w:rsidRPr="00883399" w:rsidRDefault="00872C03" w:rsidP="00872C03">
      <w:pPr>
        <w:pStyle w:val="paragraph"/>
        <w:rPr>
          <w:sz w:val="24"/>
        </w:rPr>
      </w:pPr>
      <w:r w:rsidRPr="00883399">
        <w:rPr>
          <w:sz w:val="24"/>
        </w:rPr>
        <w:tab/>
        <w:t>(b)</w:t>
      </w:r>
      <w:r w:rsidRPr="00883399">
        <w:rPr>
          <w:sz w:val="24"/>
        </w:rPr>
        <w:tab/>
        <w:t>if the information mentioned in paragraph (a) is not available—the value 1.</w:t>
      </w:r>
    </w:p>
    <w:p w14:paraId="00E8F1D0" w14:textId="3D37C00D" w:rsidR="00872C03" w:rsidRPr="00883399" w:rsidRDefault="00872C03" w:rsidP="00872C03">
      <w:pPr>
        <w:pStyle w:val="ActHead5"/>
        <w:rPr>
          <w:sz w:val="28"/>
        </w:rPr>
      </w:pPr>
      <w:bookmarkStart w:id="809" w:name="_Toc423517002"/>
      <w:bookmarkStart w:id="810" w:name="_Toc495652934"/>
      <w:r w:rsidRPr="00883399">
        <w:rPr>
          <w:rStyle w:val="CharSectno"/>
          <w:sz w:val="28"/>
        </w:rPr>
        <w:t>4.5</w:t>
      </w:r>
      <w:r w:rsidRPr="00883399">
        <w:rPr>
          <w:sz w:val="28"/>
        </w:rPr>
        <w:t xml:space="preserve">  Method 2—cement clinker production</w:t>
      </w:r>
      <w:bookmarkEnd w:id="809"/>
      <w:bookmarkEnd w:id="810"/>
    </w:p>
    <w:p w14:paraId="03915C9B" w14:textId="77777777" w:rsidR="00872C03" w:rsidRPr="00883399" w:rsidRDefault="00872C03" w:rsidP="00872C03">
      <w:pPr>
        <w:pStyle w:val="R1"/>
        <w:keepLines w:val="0"/>
        <w:spacing w:before="240" w:line="312" w:lineRule="auto"/>
        <w:ind w:left="0" w:firstLine="0"/>
        <w:jc w:val="left"/>
        <w:rPr>
          <w:rFonts w:ascii="Arial" w:hAnsi="Arial" w:cs="Arial"/>
          <w:sz w:val="22"/>
          <w:szCs w:val="22"/>
        </w:rPr>
      </w:pPr>
      <w:r w:rsidRPr="00883399">
        <w:tab/>
      </w:r>
      <w:r w:rsidRPr="00883399">
        <w:rPr>
          <w:rFonts w:ascii="Arial" w:hAnsi="Arial" w:cs="Arial"/>
          <w:sz w:val="22"/>
          <w:szCs w:val="22"/>
        </w:rPr>
        <w:t>Method 2 requires the derivation of more accurate, facility-specific emission factors to generate more accurate estimates of emissions of carbon dioxide from the production process. It utilises sampling and analysis of the clinker outputs to estimate the composition of its contents and, from an understanding of the chemical reactions involved in the calcination, the derivation of facility-specific emission factors. The fractions of calcium oxide and magnesium oxide in subsection (2) should not include the calcium oxide and magnesium oxide that enters the process in the raw materials.</w:t>
      </w:r>
    </w:p>
    <w:p w14:paraId="7A9A67F2" w14:textId="77777777" w:rsidR="00872C03" w:rsidRPr="00883399" w:rsidRDefault="00872C03" w:rsidP="00872C03">
      <w:pPr>
        <w:pStyle w:val="subsection"/>
        <w:rPr>
          <w:sz w:val="24"/>
        </w:rPr>
      </w:pPr>
      <w:r w:rsidRPr="00883399">
        <w:rPr>
          <w:sz w:val="24"/>
        </w:rPr>
        <w:t xml:space="preserve"> </w:t>
      </w:r>
      <w:r w:rsidRPr="00883399">
        <w:rPr>
          <w:sz w:val="24"/>
        </w:rPr>
        <w:tab/>
        <w:t>(1)</w:t>
      </w:r>
      <w:r w:rsidRPr="00883399">
        <w:rPr>
          <w:sz w:val="24"/>
        </w:rPr>
        <w:tab/>
        <w:t>Method 2 is:</w:t>
      </w:r>
    </w:p>
    <w:p w14:paraId="109298C0" w14:textId="0AB7F243"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5B3F1A6A" wp14:editId="1EE54055">
            <wp:extent cx="3016250" cy="273050"/>
            <wp:effectExtent l="1905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83"/>
                    <a:srcRect/>
                    <a:stretch>
                      <a:fillRect/>
                    </a:stretch>
                  </pic:blipFill>
                  <pic:spPr bwMode="auto">
                    <a:xfrm>
                      <a:off x="0" y="0"/>
                      <a:ext cx="3016250" cy="273050"/>
                    </a:xfrm>
                    <a:prstGeom prst="rect">
                      <a:avLst/>
                    </a:prstGeom>
                    <a:noFill/>
                    <a:ln w="9525">
                      <a:noFill/>
                      <a:miter lim="800000"/>
                      <a:headEnd/>
                      <a:tailEnd/>
                    </a:ln>
                  </pic:spPr>
                </pic:pic>
              </a:graphicData>
            </a:graphic>
          </wp:inline>
        </w:drawing>
      </w:r>
    </w:p>
    <w:p w14:paraId="62FAAC47" w14:textId="77777777" w:rsidR="00872C03" w:rsidRPr="00883399" w:rsidRDefault="00872C03" w:rsidP="00872C03">
      <w:pPr>
        <w:pStyle w:val="subsection2"/>
        <w:rPr>
          <w:sz w:val="24"/>
        </w:rPr>
      </w:pPr>
      <w:r w:rsidRPr="00883399">
        <w:rPr>
          <w:sz w:val="24"/>
        </w:rPr>
        <w:t>where:</w:t>
      </w:r>
    </w:p>
    <w:p w14:paraId="45B01847" w14:textId="77777777" w:rsidR="00872C03" w:rsidRPr="00883399" w:rsidRDefault="00872C03" w:rsidP="00872C03">
      <w:pPr>
        <w:pStyle w:val="Definition0"/>
        <w:rPr>
          <w:sz w:val="24"/>
        </w:rPr>
      </w:pPr>
      <w:r w:rsidRPr="00883399">
        <w:rPr>
          <w:b/>
          <w:i/>
          <w:sz w:val="24"/>
        </w:rPr>
        <w:t>E</w:t>
      </w:r>
      <w:r w:rsidRPr="00883399">
        <w:rPr>
          <w:rStyle w:val="charSubscript"/>
          <w:b/>
          <w:i/>
          <w:sz w:val="18"/>
          <w:szCs w:val="16"/>
        </w:rPr>
        <w:t>ij</w:t>
      </w:r>
      <w:r w:rsidRPr="00883399">
        <w:rPr>
          <w:b/>
          <w:i/>
          <w:sz w:val="24"/>
        </w:rPr>
        <w:t xml:space="preserve"> </w:t>
      </w:r>
      <w:r w:rsidRPr="00883399">
        <w:rPr>
          <w:sz w:val="24"/>
        </w:rPr>
        <w:t>is the emissions of carbon dioxide (</w:t>
      </w:r>
      <w:r w:rsidRPr="00883399">
        <w:rPr>
          <w:b/>
          <w:i/>
          <w:sz w:val="24"/>
        </w:rPr>
        <w:t>j</w:t>
      </w:r>
      <w:r w:rsidRPr="00883399">
        <w:rPr>
          <w:sz w:val="24"/>
        </w:rPr>
        <w:t>) released from the production of cement clinker (</w:t>
      </w:r>
      <w:r w:rsidRPr="00883399">
        <w:rPr>
          <w:b/>
          <w:i/>
          <w:sz w:val="24"/>
        </w:rPr>
        <w:t>i</w:t>
      </w:r>
      <w:r w:rsidRPr="00883399">
        <w:rPr>
          <w:sz w:val="24"/>
        </w:rPr>
        <w:t>) during the year measured in CO</w:t>
      </w:r>
      <w:r w:rsidRPr="00883399">
        <w:rPr>
          <w:rStyle w:val="charSubscript"/>
          <w:iCs/>
          <w:sz w:val="22"/>
        </w:rPr>
        <w:t>2</w:t>
      </w:r>
      <w:r w:rsidRPr="00883399">
        <w:rPr>
          <w:sz w:val="24"/>
        </w:rPr>
        <w:noBreakHyphen/>
        <w:t>e tonnes.</w:t>
      </w:r>
    </w:p>
    <w:p w14:paraId="0FA038A2" w14:textId="77777777" w:rsidR="00872C03" w:rsidRPr="00883399" w:rsidRDefault="00872C03" w:rsidP="00872C03">
      <w:pPr>
        <w:pStyle w:val="Definition0"/>
        <w:rPr>
          <w:sz w:val="24"/>
        </w:rPr>
      </w:pPr>
      <w:r w:rsidRPr="00883399">
        <w:rPr>
          <w:b/>
          <w:i/>
          <w:sz w:val="24"/>
        </w:rPr>
        <w:t>EF</w:t>
      </w:r>
      <w:r w:rsidRPr="00883399">
        <w:rPr>
          <w:rStyle w:val="charSubscript"/>
          <w:b/>
          <w:i/>
          <w:sz w:val="22"/>
        </w:rPr>
        <w:t>ij</w:t>
      </w:r>
      <w:r w:rsidRPr="00883399">
        <w:rPr>
          <w:b/>
          <w:i/>
          <w:sz w:val="24"/>
        </w:rPr>
        <w:t xml:space="preserve"> </w:t>
      </w:r>
      <w:r w:rsidRPr="00883399">
        <w:rPr>
          <w:sz w:val="24"/>
        </w:rPr>
        <w:t>is as set out in subsection (2).</w:t>
      </w:r>
    </w:p>
    <w:p w14:paraId="10A9545B" w14:textId="77777777" w:rsidR="00872C03" w:rsidRPr="00883399" w:rsidRDefault="00872C03" w:rsidP="00872C03">
      <w:pPr>
        <w:pStyle w:val="Definition0"/>
        <w:rPr>
          <w:sz w:val="24"/>
        </w:rPr>
      </w:pPr>
      <w:r w:rsidRPr="00883399">
        <w:rPr>
          <w:b/>
          <w:i/>
          <w:sz w:val="24"/>
        </w:rPr>
        <w:lastRenderedPageBreak/>
        <w:t>EF</w:t>
      </w:r>
      <w:r w:rsidRPr="00883399">
        <w:rPr>
          <w:b/>
          <w:i/>
          <w:sz w:val="24"/>
          <w:vertAlign w:val="subscript"/>
        </w:rPr>
        <w:t xml:space="preserve">toc,j </w:t>
      </w:r>
      <w:r w:rsidRPr="00883399">
        <w:rPr>
          <w:sz w:val="24"/>
        </w:rPr>
        <w:t>is 0.010, which is the carbon dioxide (</w:t>
      </w:r>
      <w:r w:rsidRPr="00883399">
        <w:rPr>
          <w:b/>
          <w:i/>
          <w:sz w:val="24"/>
        </w:rPr>
        <w:t>j</w:t>
      </w:r>
      <w:r w:rsidRPr="00883399">
        <w:rPr>
          <w:sz w:val="24"/>
        </w:rPr>
        <w:t>) emission factor for carbon</w:t>
      </w:r>
      <w:r w:rsidRPr="00883399">
        <w:rPr>
          <w:sz w:val="24"/>
        </w:rPr>
        <w:noBreakHyphen/>
        <w:t>bearing non</w:t>
      </w:r>
      <w:r w:rsidRPr="00883399">
        <w:rPr>
          <w:sz w:val="24"/>
        </w:rPr>
        <w:noBreakHyphen/>
        <w:t>fuel raw material, measured in tonnes of emissions of carbon dioxide per tonne of cement clinker produced.</w:t>
      </w:r>
    </w:p>
    <w:p w14:paraId="4B15CEB2" w14:textId="77777777" w:rsidR="00872C03" w:rsidRPr="00883399" w:rsidRDefault="00872C03" w:rsidP="00872C03">
      <w:pPr>
        <w:pStyle w:val="Definition0"/>
        <w:rPr>
          <w:sz w:val="24"/>
        </w:rPr>
      </w:pPr>
      <w:r w:rsidRPr="00883399">
        <w:rPr>
          <w:b/>
          <w:i/>
          <w:sz w:val="24"/>
        </w:rPr>
        <w:t>A</w:t>
      </w:r>
      <w:r w:rsidRPr="00883399">
        <w:rPr>
          <w:rStyle w:val="charSubscript"/>
          <w:b/>
          <w:i/>
          <w:sz w:val="22"/>
        </w:rPr>
        <w:t>i</w:t>
      </w:r>
      <w:r w:rsidRPr="00883399">
        <w:rPr>
          <w:b/>
          <w:i/>
          <w:sz w:val="24"/>
        </w:rPr>
        <w:t xml:space="preserve"> </w:t>
      </w:r>
      <w:r w:rsidRPr="00883399">
        <w:rPr>
          <w:sz w:val="24"/>
        </w:rPr>
        <w:t>is the quantity of cement clinker (</w:t>
      </w:r>
      <w:r w:rsidRPr="00883399">
        <w:rPr>
          <w:b/>
          <w:i/>
          <w:sz w:val="24"/>
        </w:rPr>
        <w:t>i</w:t>
      </w:r>
      <w:r w:rsidRPr="00883399">
        <w:rPr>
          <w:sz w:val="24"/>
        </w:rPr>
        <w:t>) produced during the year measured in tonnes and estimated under Division 4.2.5.</w:t>
      </w:r>
    </w:p>
    <w:p w14:paraId="1EA75FE1" w14:textId="77777777" w:rsidR="00872C03" w:rsidRPr="00883399" w:rsidRDefault="00872C03" w:rsidP="00872C03">
      <w:pPr>
        <w:pStyle w:val="Definition0"/>
        <w:rPr>
          <w:sz w:val="24"/>
        </w:rPr>
      </w:pPr>
      <w:r w:rsidRPr="00883399">
        <w:rPr>
          <w:b/>
          <w:i/>
          <w:iCs/>
          <w:sz w:val="24"/>
        </w:rPr>
        <w:t>A</w:t>
      </w:r>
      <w:r w:rsidRPr="00883399">
        <w:rPr>
          <w:rStyle w:val="charSubscript"/>
          <w:b/>
          <w:i/>
          <w:sz w:val="22"/>
        </w:rPr>
        <w:t>ckd</w:t>
      </w:r>
      <w:r w:rsidRPr="00883399">
        <w:rPr>
          <w:b/>
          <w:i/>
          <w:iCs/>
          <w:sz w:val="24"/>
        </w:rPr>
        <w:t xml:space="preserve"> </w:t>
      </w:r>
      <w:r w:rsidRPr="00883399">
        <w:rPr>
          <w:iCs/>
          <w:sz w:val="24"/>
        </w:rPr>
        <w:t>is</w:t>
      </w:r>
      <w:r w:rsidRPr="00883399">
        <w:rPr>
          <w:sz w:val="24"/>
        </w:rPr>
        <w:t xml:space="preserve"> the quantity of cement kiln dust produced as a result of the production of cement clinker during the year, measured in tonnes and estimated under Division 4.2.5.</w:t>
      </w:r>
    </w:p>
    <w:p w14:paraId="1615ECB8" w14:textId="77777777" w:rsidR="00872C03" w:rsidRPr="00883399" w:rsidRDefault="00872C03" w:rsidP="00872C03">
      <w:pPr>
        <w:pStyle w:val="Definition0"/>
        <w:rPr>
          <w:sz w:val="24"/>
        </w:rPr>
      </w:pPr>
      <w:r w:rsidRPr="00883399">
        <w:rPr>
          <w:b/>
          <w:i/>
          <w:sz w:val="24"/>
        </w:rPr>
        <w:t>F</w:t>
      </w:r>
      <w:r w:rsidRPr="00883399">
        <w:rPr>
          <w:rStyle w:val="charSubscript"/>
          <w:b/>
          <w:i/>
          <w:sz w:val="22"/>
        </w:rPr>
        <w:t>ckd</w:t>
      </w:r>
      <w:r w:rsidRPr="00883399">
        <w:rPr>
          <w:b/>
          <w:i/>
          <w:sz w:val="24"/>
        </w:rPr>
        <w:t xml:space="preserve"> </w:t>
      </w:r>
      <w:r w:rsidRPr="00883399">
        <w:rPr>
          <w:sz w:val="24"/>
        </w:rPr>
        <w:t>is:</w:t>
      </w:r>
    </w:p>
    <w:p w14:paraId="6227083D" w14:textId="77777777" w:rsidR="00872C03" w:rsidRPr="00883399" w:rsidRDefault="00872C03" w:rsidP="00872C03">
      <w:pPr>
        <w:pStyle w:val="paragraph"/>
        <w:rPr>
          <w:sz w:val="24"/>
        </w:rPr>
      </w:pPr>
      <w:r w:rsidRPr="00883399">
        <w:rPr>
          <w:sz w:val="24"/>
        </w:rPr>
        <w:tab/>
        <w:t>(a)</w:t>
      </w:r>
      <w:r w:rsidRPr="00883399">
        <w:rPr>
          <w:sz w:val="24"/>
        </w:rPr>
        <w:tab/>
        <w:t>the degree of calcination of cement kiln dust produced as a result of the production of cement clinker during the year, expressed as a decimal fraction; or</w:t>
      </w:r>
    </w:p>
    <w:p w14:paraId="0E73EB3F" w14:textId="77777777" w:rsidR="00872C03" w:rsidRPr="00883399" w:rsidRDefault="00872C03" w:rsidP="00872C03">
      <w:pPr>
        <w:pStyle w:val="paragraph"/>
        <w:rPr>
          <w:sz w:val="24"/>
        </w:rPr>
      </w:pPr>
      <w:r w:rsidRPr="00883399">
        <w:rPr>
          <w:sz w:val="24"/>
        </w:rPr>
        <w:tab/>
        <w:t>(b)</w:t>
      </w:r>
      <w:r w:rsidRPr="00883399">
        <w:rPr>
          <w:sz w:val="24"/>
        </w:rPr>
        <w:tab/>
        <w:t>if the information mentioned in paragraph (a) is not available—the value 1.</w:t>
      </w:r>
    </w:p>
    <w:p w14:paraId="1014969F" w14:textId="77777777" w:rsidR="00872C03" w:rsidRPr="00883399" w:rsidRDefault="00872C03" w:rsidP="00872C03">
      <w:pPr>
        <w:pStyle w:val="Definition0"/>
        <w:rPr>
          <w:sz w:val="24"/>
        </w:rPr>
      </w:pPr>
      <w:r w:rsidRPr="00883399">
        <w:rPr>
          <w:b/>
          <w:i/>
          <w:sz w:val="24"/>
        </w:rPr>
        <w:t xml:space="preserve">γ </w:t>
      </w:r>
      <w:r w:rsidRPr="00883399">
        <w:rPr>
          <w:sz w:val="24"/>
        </w:rPr>
        <w:t>is the factor 1.861 × 10</w:t>
      </w:r>
      <w:r w:rsidRPr="00883399">
        <w:rPr>
          <w:sz w:val="24"/>
          <w:vertAlign w:val="superscript"/>
        </w:rPr>
        <w:noBreakHyphen/>
        <w:t xml:space="preserve">3 </w:t>
      </w:r>
      <w:r w:rsidRPr="00883399">
        <w:rPr>
          <w:sz w:val="24"/>
        </w:rPr>
        <w:t>for converting a quantity of carbon dioxide from cubic metres at standard conditions of pressure and temperature to CO</w:t>
      </w:r>
      <w:r w:rsidRPr="00883399">
        <w:rPr>
          <w:sz w:val="24"/>
          <w:vertAlign w:val="subscript"/>
        </w:rPr>
        <w:t>2</w:t>
      </w:r>
      <w:r w:rsidRPr="00883399">
        <w:rPr>
          <w:sz w:val="24"/>
        </w:rPr>
        <w:noBreakHyphen/>
        <w:t>e tonnes.</w:t>
      </w:r>
    </w:p>
    <w:p w14:paraId="00E31739" w14:textId="77777777" w:rsidR="00872C03" w:rsidRPr="00883399" w:rsidRDefault="00872C03" w:rsidP="00872C03">
      <w:pPr>
        <w:pStyle w:val="Definition0"/>
        <w:rPr>
          <w:sz w:val="24"/>
        </w:rPr>
      </w:pPr>
      <w:r w:rsidRPr="00883399">
        <w:rPr>
          <w:b/>
          <w:i/>
          <w:sz w:val="24"/>
        </w:rPr>
        <w:t>RCCS</w:t>
      </w:r>
      <w:r w:rsidRPr="00883399">
        <w:rPr>
          <w:b/>
          <w:i/>
          <w:sz w:val="24"/>
          <w:vertAlign w:val="subscript"/>
        </w:rPr>
        <w:t>CO</w:t>
      </w:r>
      <w:r w:rsidRPr="00883399">
        <w:rPr>
          <w:b/>
          <w:i/>
          <w:position w:val="-4"/>
          <w:sz w:val="24"/>
          <w:vertAlign w:val="subscript"/>
        </w:rPr>
        <w:t>2</w:t>
      </w:r>
      <w:r w:rsidRPr="00883399">
        <w:rPr>
          <w:b/>
          <w:i/>
          <w:sz w:val="24"/>
          <w:vertAlign w:val="subscript"/>
        </w:rPr>
        <w:t xml:space="preserve"> </w:t>
      </w:r>
      <w:r w:rsidRPr="00883399">
        <w:rPr>
          <w:sz w:val="24"/>
        </w:rPr>
        <w:t>is carbon dioxide captured for permanent storage measured in cubic metres in accordance with Division 1.2.3.</w:t>
      </w:r>
    </w:p>
    <w:p w14:paraId="22FEA7CC" w14:textId="77777777" w:rsidR="00872C03" w:rsidRPr="00883399" w:rsidRDefault="00872C03" w:rsidP="00872C03">
      <w:pPr>
        <w:pStyle w:val="subsection"/>
        <w:rPr>
          <w:sz w:val="24"/>
        </w:rPr>
      </w:pPr>
      <w:r w:rsidRPr="00883399">
        <w:rPr>
          <w:sz w:val="24"/>
        </w:rPr>
        <w:tab/>
        <w:t>(2)</w:t>
      </w:r>
      <w:r w:rsidRPr="00883399">
        <w:rPr>
          <w:sz w:val="24"/>
        </w:rPr>
        <w:tab/>
        <w:t xml:space="preserve">For subsection (1), </w:t>
      </w:r>
      <w:r w:rsidRPr="00883399">
        <w:rPr>
          <w:b/>
          <w:i/>
          <w:sz w:val="24"/>
        </w:rPr>
        <w:t>EF</w:t>
      </w:r>
      <w:r w:rsidRPr="00883399">
        <w:rPr>
          <w:rStyle w:val="charSubscript"/>
          <w:b/>
          <w:i/>
          <w:sz w:val="24"/>
        </w:rPr>
        <w:t>ij</w:t>
      </w:r>
      <w:r w:rsidRPr="00883399">
        <w:rPr>
          <w:sz w:val="24"/>
        </w:rPr>
        <w:t xml:space="preserve"> is:</w:t>
      </w:r>
    </w:p>
    <w:p w14:paraId="1E77F888" w14:textId="455D32F1"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5BE1BEF7" wp14:editId="7E67EB82">
            <wp:extent cx="1686560" cy="237490"/>
            <wp:effectExtent l="1905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84"/>
                    <a:srcRect/>
                    <a:stretch>
                      <a:fillRect/>
                    </a:stretch>
                  </pic:blipFill>
                  <pic:spPr bwMode="auto">
                    <a:xfrm>
                      <a:off x="0" y="0"/>
                      <a:ext cx="1686560" cy="237490"/>
                    </a:xfrm>
                    <a:prstGeom prst="rect">
                      <a:avLst/>
                    </a:prstGeom>
                    <a:noFill/>
                    <a:ln w="9525">
                      <a:noFill/>
                      <a:miter lim="800000"/>
                      <a:headEnd/>
                      <a:tailEnd/>
                    </a:ln>
                  </pic:spPr>
                </pic:pic>
              </a:graphicData>
            </a:graphic>
          </wp:inline>
        </w:drawing>
      </w:r>
    </w:p>
    <w:p w14:paraId="7B8639F4" w14:textId="77777777" w:rsidR="00872C03" w:rsidRPr="00883399" w:rsidRDefault="00872C03" w:rsidP="00872C03">
      <w:pPr>
        <w:pStyle w:val="subsection2"/>
        <w:rPr>
          <w:sz w:val="24"/>
        </w:rPr>
      </w:pPr>
      <w:r w:rsidRPr="00883399">
        <w:rPr>
          <w:sz w:val="24"/>
        </w:rPr>
        <w:t>where:</w:t>
      </w:r>
    </w:p>
    <w:p w14:paraId="676A4534" w14:textId="77777777" w:rsidR="00872C03" w:rsidRPr="00883399" w:rsidRDefault="00872C03" w:rsidP="00872C03">
      <w:pPr>
        <w:pStyle w:val="Definition0"/>
        <w:rPr>
          <w:sz w:val="24"/>
        </w:rPr>
      </w:pPr>
      <w:r w:rsidRPr="00883399">
        <w:rPr>
          <w:b/>
          <w:i/>
          <w:sz w:val="24"/>
        </w:rPr>
        <w:t>F</w:t>
      </w:r>
      <w:r w:rsidRPr="00883399">
        <w:rPr>
          <w:rStyle w:val="charSubscript"/>
          <w:b/>
          <w:i/>
          <w:iCs/>
          <w:sz w:val="22"/>
        </w:rPr>
        <w:t>CaO</w:t>
      </w:r>
      <w:r w:rsidRPr="00883399">
        <w:rPr>
          <w:b/>
          <w:i/>
          <w:sz w:val="24"/>
        </w:rPr>
        <w:t xml:space="preserve"> </w:t>
      </w:r>
      <w:r w:rsidRPr="00883399">
        <w:rPr>
          <w:sz w:val="24"/>
        </w:rPr>
        <w:t>is the estimated fraction of cement clinker that is calcium oxide derived from carbonate sources and produced from the operation of the facility.</w:t>
      </w:r>
    </w:p>
    <w:p w14:paraId="72EDD259" w14:textId="77777777" w:rsidR="00872C03" w:rsidRPr="00883399" w:rsidRDefault="00872C03" w:rsidP="00872C03">
      <w:pPr>
        <w:pStyle w:val="Definition0"/>
        <w:rPr>
          <w:sz w:val="24"/>
        </w:rPr>
      </w:pPr>
      <w:r w:rsidRPr="00883399">
        <w:rPr>
          <w:b/>
          <w:i/>
          <w:sz w:val="24"/>
        </w:rPr>
        <w:t>F</w:t>
      </w:r>
      <w:r w:rsidRPr="00883399">
        <w:rPr>
          <w:rStyle w:val="charSubscript"/>
          <w:b/>
          <w:i/>
          <w:iCs/>
          <w:sz w:val="18"/>
        </w:rPr>
        <w:t>MgO</w:t>
      </w:r>
      <w:r w:rsidRPr="00883399">
        <w:rPr>
          <w:b/>
          <w:i/>
          <w:sz w:val="24"/>
        </w:rPr>
        <w:t xml:space="preserve"> </w:t>
      </w:r>
      <w:r w:rsidRPr="00883399">
        <w:rPr>
          <w:sz w:val="24"/>
        </w:rPr>
        <w:t>is the estimated fraction of cement clinker that is magnesium oxide derived from carbonate sources and produced from the operation of the facility.</w:t>
      </w:r>
    </w:p>
    <w:p w14:paraId="28ABA734" w14:textId="77777777" w:rsidR="00872C03" w:rsidRPr="00883399" w:rsidRDefault="00872C03" w:rsidP="00872C03">
      <w:pPr>
        <w:pStyle w:val="notetext"/>
        <w:rPr>
          <w:sz w:val="20"/>
        </w:rPr>
      </w:pPr>
      <w:r w:rsidRPr="00883399">
        <w:rPr>
          <w:sz w:val="20"/>
        </w:rPr>
        <w:t>Note:</w:t>
      </w:r>
      <w:r w:rsidRPr="00883399">
        <w:rPr>
          <w:sz w:val="20"/>
        </w:rPr>
        <w:tab/>
        <w:t>The molecular weight ratio of carbon dioxide to calcium oxide is 0.785, and the molecular weight ratio of carbon dioxide to magnesium oxide is 1.092.</w:t>
      </w:r>
    </w:p>
    <w:p w14:paraId="5C3A4DEE" w14:textId="77777777" w:rsidR="00872C03" w:rsidRPr="00883399" w:rsidRDefault="00872C03" w:rsidP="00872C03">
      <w:pPr>
        <w:pStyle w:val="subsection"/>
        <w:rPr>
          <w:sz w:val="24"/>
        </w:rPr>
      </w:pPr>
      <w:r w:rsidRPr="00883399">
        <w:rPr>
          <w:sz w:val="24"/>
        </w:rPr>
        <w:tab/>
        <w:t>(3)</w:t>
      </w:r>
      <w:r w:rsidRPr="00883399">
        <w:rPr>
          <w:sz w:val="24"/>
        </w:rPr>
        <w:tab/>
        <w:t>The cement clinker must be sampled and analysed in accordance with sections 4.6 and 4.7.</w:t>
      </w:r>
    </w:p>
    <w:p w14:paraId="43CC8DB6" w14:textId="2E7D68B7" w:rsidR="00872C03" w:rsidRPr="00883399" w:rsidRDefault="00872C03" w:rsidP="00872C03">
      <w:pPr>
        <w:pStyle w:val="ActHead5"/>
        <w:rPr>
          <w:sz w:val="28"/>
        </w:rPr>
      </w:pPr>
      <w:bookmarkStart w:id="811" w:name="_Toc423517003"/>
      <w:bookmarkStart w:id="812" w:name="_Toc495652935"/>
      <w:r w:rsidRPr="00883399">
        <w:rPr>
          <w:rStyle w:val="CharSectno"/>
          <w:sz w:val="28"/>
        </w:rPr>
        <w:t>4.6</w:t>
      </w:r>
      <w:r w:rsidRPr="00883399">
        <w:rPr>
          <w:sz w:val="28"/>
        </w:rPr>
        <w:t xml:space="preserve">  General requirements for sampling cement clinker</w:t>
      </w:r>
      <w:bookmarkEnd w:id="811"/>
      <w:bookmarkEnd w:id="812"/>
    </w:p>
    <w:p w14:paraId="19654853" w14:textId="77777777" w:rsidR="00872C03" w:rsidRPr="00883399" w:rsidRDefault="00872C03" w:rsidP="00872C03">
      <w:pPr>
        <w:pStyle w:val="subsection"/>
        <w:rPr>
          <w:sz w:val="24"/>
        </w:rPr>
      </w:pPr>
      <w:r w:rsidRPr="00883399">
        <w:rPr>
          <w:sz w:val="24"/>
        </w:rPr>
        <w:tab/>
        <w:t>(1)</w:t>
      </w:r>
      <w:r w:rsidRPr="00883399">
        <w:rPr>
          <w:sz w:val="24"/>
        </w:rPr>
        <w:tab/>
        <w:t>A sample of cement clinker must be derived from a composite of amounts of the cement clinker produced.</w:t>
      </w:r>
    </w:p>
    <w:p w14:paraId="5D945D62" w14:textId="77777777" w:rsidR="00872C03" w:rsidRPr="00883399" w:rsidRDefault="00872C03" w:rsidP="00872C03">
      <w:pPr>
        <w:pStyle w:val="subsection"/>
        <w:rPr>
          <w:sz w:val="24"/>
        </w:rPr>
      </w:pPr>
      <w:r w:rsidRPr="00883399">
        <w:rPr>
          <w:sz w:val="24"/>
        </w:rPr>
        <w:lastRenderedPageBreak/>
        <w:tab/>
        <w:t>(2)</w:t>
      </w:r>
      <w:r w:rsidRPr="00883399">
        <w:rPr>
          <w:sz w:val="24"/>
        </w:rPr>
        <w:tab/>
        <w:t>The samples must be collected on enough occasions to produce a representative sample.</w:t>
      </w:r>
    </w:p>
    <w:p w14:paraId="1FCF7283" w14:textId="77777777" w:rsidR="00872C03" w:rsidRPr="00883399" w:rsidRDefault="00872C03" w:rsidP="00872C03">
      <w:pPr>
        <w:pStyle w:val="subsection"/>
        <w:rPr>
          <w:sz w:val="24"/>
        </w:rPr>
      </w:pPr>
      <w:r w:rsidRPr="00883399">
        <w:rPr>
          <w:sz w:val="24"/>
        </w:rPr>
        <w:tab/>
        <w:t>(3)</w:t>
      </w:r>
      <w:r w:rsidRPr="00883399">
        <w:rPr>
          <w:sz w:val="24"/>
        </w:rPr>
        <w:tab/>
        <w:t>The samples must also be free of bias so that any estimates are neither over nor under estimates of the true value.</w:t>
      </w:r>
    </w:p>
    <w:p w14:paraId="7468D35E" w14:textId="77777777" w:rsidR="00872C03" w:rsidRPr="00883399" w:rsidRDefault="00872C03" w:rsidP="00872C03">
      <w:pPr>
        <w:pStyle w:val="subsection"/>
        <w:rPr>
          <w:sz w:val="24"/>
        </w:rPr>
      </w:pPr>
      <w:r w:rsidRPr="00883399">
        <w:rPr>
          <w:sz w:val="24"/>
        </w:rPr>
        <w:tab/>
        <w:t>(4)</w:t>
      </w:r>
      <w:r w:rsidRPr="00883399">
        <w:rPr>
          <w:sz w:val="24"/>
        </w:rPr>
        <w:tab/>
        <w:t>Bias must be tested in accordance with an appropriate standard.</w:t>
      </w:r>
    </w:p>
    <w:p w14:paraId="7481BDCC" w14:textId="77777777" w:rsidR="00872C03" w:rsidRPr="00883399" w:rsidRDefault="00872C03" w:rsidP="00872C03">
      <w:pPr>
        <w:pStyle w:val="notetext"/>
        <w:rPr>
          <w:sz w:val="20"/>
        </w:rPr>
      </w:pPr>
      <w:r w:rsidRPr="00883399">
        <w:rPr>
          <w:sz w:val="20"/>
        </w:rPr>
        <w:t>Note:</w:t>
      </w:r>
      <w:r w:rsidRPr="00883399">
        <w:rPr>
          <w:sz w:val="20"/>
        </w:rPr>
        <w:tab/>
        <w:t xml:space="preserve">An appropriate standard is AS 4264.4—1996, </w:t>
      </w:r>
      <w:r w:rsidRPr="00883399">
        <w:rPr>
          <w:i/>
          <w:sz w:val="20"/>
        </w:rPr>
        <w:t>Coal and coke – Sampling</w:t>
      </w:r>
      <w:r w:rsidRPr="00883399">
        <w:rPr>
          <w:sz w:val="20"/>
        </w:rPr>
        <w:t xml:space="preserve"> Part 4: </w:t>
      </w:r>
      <w:r w:rsidRPr="00883399">
        <w:rPr>
          <w:i/>
          <w:sz w:val="20"/>
        </w:rPr>
        <w:t>Determination of precision and bias</w:t>
      </w:r>
      <w:r w:rsidRPr="00883399">
        <w:rPr>
          <w:sz w:val="20"/>
        </w:rPr>
        <w:t>.</w:t>
      </w:r>
    </w:p>
    <w:p w14:paraId="305B36AB" w14:textId="77777777" w:rsidR="00872C03" w:rsidRPr="00883399" w:rsidRDefault="00872C03" w:rsidP="00872C03">
      <w:pPr>
        <w:pStyle w:val="subsection"/>
        <w:rPr>
          <w:sz w:val="24"/>
        </w:rPr>
      </w:pPr>
      <w:r w:rsidRPr="00883399">
        <w:rPr>
          <w:sz w:val="24"/>
        </w:rPr>
        <w:tab/>
        <w:t>(5)</w:t>
      </w:r>
      <w:r w:rsidRPr="00883399">
        <w:rPr>
          <w:sz w:val="24"/>
        </w:rPr>
        <w:tab/>
        <w:t>The value obtained from the sample must only be used for the production period for which it was intended to be representative.</w:t>
      </w:r>
    </w:p>
    <w:p w14:paraId="364D05D4" w14:textId="336F91D8" w:rsidR="00872C03" w:rsidRPr="00883399" w:rsidRDefault="00872C03" w:rsidP="00872C03">
      <w:pPr>
        <w:pStyle w:val="ActHead5"/>
        <w:rPr>
          <w:sz w:val="28"/>
        </w:rPr>
      </w:pPr>
      <w:bookmarkStart w:id="813" w:name="_Toc423517004"/>
      <w:bookmarkStart w:id="814" w:name="_Toc495652936"/>
      <w:r w:rsidRPr="00883399">
        <w:rPr>
          <w:rStyle w:val="CharSectno"/>
          <w:sz w:val="28"/>
        </w:rPr>
        <w:t>4.7</w:t>
      </w:r>
      <w:r w:rsidRPr="00883399">
        <w:rPr>
          <w:sz w:val="28"/>
        </w:rPr>
        <w:t xml:space="preserve">  General requirements for analysing cement clinker</w:t>
      </w:r>
      <w:bookmarkEnd w:id="813"/>
      <w:bookmarkEnd w:id="814"/>
    </w:p>
    <w:p w14:paraId="43E56956" w14:textId="77777777" w:rsidR="00872C03" w:rsidRPr="00883399" w:rsidRDefault="00872C03" w:rsidP="00872C03">
      <w:pPr>
        <w:pStyle w:val="subsection"/>
        <w:rPr>
          <w:sz w:val="24"/>
        </w:rPr>
      </w:pPr>
      <w:r w:rsidRPr="00883399">
        <w:rPr>
          <w:sz w:val="24"/>
        </w:rPr>
        <w:tab/>
        <w:t>(1)</w:t>
      </w:r>
      <w:r w:rsidRPr="00883399">
        <w:rPr>
          <w:sz w:val="24"/>
        </w:rPr>
        <w:tab/>
        <w:t>Analysis of a sample of cement clinker, including determining the fraction of the sample that is calcium oxide or magnesium oxide, must be done in accordance with industry practice and must be consistent with the principles in section 1.13.</w:t>
      </w:r>
    </w:p>
    <w:p w14:paraId="5306E17B" w14:textId="77777777" w:rsidR="00872C03" w:rsidRPr="00883399" w:rsidRDefault="00872C03" w:rsidP="00872C03">
      <w:pPr>
        <w:pStyle w:val="subsection"/>
        <w:rPr>
          <w:sz w:val="24"/>
        </w:rPr>
      </w:pPr>
      <w:r w:rsidRPr="00883399">
        <w:rPr>
          <w:sz w:val="24"/>
        </w:rPr>
        <w:tab/>
        <w:t>(2)</w:t>
      </w:r>
      <w:r w:rsidRPr="00883399">
        <w:rPr>
          <w:sz w:val="24"/>
        </w:rPr>
        <w:tab/>
        <w:t>The minimum frequency of analysis of samples of cement clinker must be in accordance with the Tier 3 method for cement clinker in section 2.2.1.1 in Chapter 2 of Volume 3 of the 2006 IPCC Guidelines.</w:t>
      </w:r>
    </w:p>
    <w:p w14:paraId="4A051256" w14:textId="2A695D83" w:rsidR="00872C03" w:rsidRPr="00883399" w:rsidRDefault="00872C03" w:rsidP="00872C03">
      <w:pPr>
        <w:pStyle w:val="ActHead5"/>
        <w:rPr>
          <w:sz w:val="28"/>
        </w:rPr>
      </w:pPr>
      <w:bookmarkStart w:id="815" w:name="_Toc423517005"/>
      <w:bookmarkStart w:id="816" w:name="_Toc495652937"/>
      <w:r w:rsidRPr="00883399">
        <w:rPr>
          <w:rStyle w:val="CharSectno"/>
          <w:sz w:val="28"/>
        </w:rPr>
        <w:t>4.8</w:t>
      </w:r>
      <w:r w:rsidRPr="00883399">
        <w:rPr>
          <w:sz w:val="28"/>
        </w:rPr>
        <w:t xml:space="preserve">  Method 3—cement clinker production</w:t>
      </w:r>
      <w:bookmarkEnd w:id="815"/>
      <w:bookmarkEnd w:id="816"/>
    </w:p>
    <w:p w14:paraId="3F9D413D" w14:textId="77777777" w:rsidR="00872C03" w:rsidRPr="00883399" w:rsidRDefault="00872C03" w:rsidP="00872C03">
      <w:pPr>
        <w:pStyle w:val="R1"/>
        <w:keepLines w:val="0"/>
        <w:spacing w:before="240" w:line="312" w:lineRule="auto"/>
        <w:ind w:left="0" w:firstLine="0"/>
        <w:jc w:val="left"/>
      </w:pPr>
      <w:r w:rsidRPr="00883399">
        <w:tab/>
      </w:r>
      <w:r w:rsidRPr="00883399">
        <w:rPr>
          <w:rFonts w:ascii="Arial" w:hAnsi="Arial" w:cs="Arial"/>
          <w:sz w:val="22"/>
          <w:szCs w:val="22"/>
        </w:rPr>
        <w:t xml:space="preserve">Method 3 is based on the Tier 3 approach in the </w:t>
      </w:r>
      <w:r w:rsidRPr="00883399">
        <w:rPr>
          <w:rFonts w:ascii="Arial" w:hAnsi="Arial" w:cs="Arial"/>
          <w:i/>
          <w:sz w:val="22"/>
          <w:szCs w:val="22"/>
        </w:rPr>
        <w:t>2006 IPCC Guidelines for National Greenhouse Inventories</w:t>
      </w:r>
      <w:r w:rsidRPr="00883399">
        <w:rPr>
          <w:rFonts w:ascii="Arial" w:hAnsi="Arial" w:cs="Arial"/>
          <w:sz w:val="22"/>
          <w:szCs w:val="22"/>
        </w:rPr>
        <w:t xml:space="preserve"> which utilises information on the purity of the carbonate inputs.  This method requires sampling and analysis of the raw materials to determine the qualities that affect emission levels such as the raw material’s pure carbonate content</w:t>
      </w:r>
      <w:r w:rsidRPr="00883399">
        <w:t xml:space="preserve">. </w:t>
      </w:r>
    </w:p>
    <w:p w14:paraId="0EDC8C64" w14:textId="77777777" w:rsidR="00872C03" w:rsidRPr="00883399" w:rsidRDefault="00872C03" w:rsidP="00872C03">
      <w:pPr>
        <w:pStyle w:val="subsection"/>
        <w:rPr>
          <w:sz w:val="24"/>
        </w:rPr>
      </w:pPr>
      <w:r w:rsidRPr="00883399">
        <w:rPr>
          <w:sz w:val="24"/>
        </w:rPr>
        <w:t xml:space="preserve"> </w:t>
      </w:r>
      <w:r w:rsidRPr="00883399">
        <w:rPr>
          <w:sz w:val="24"/>
        </w:rPr>
        <w:tab/>
        <w:t>(1)</w:t>
      </w:r>
      <w:r w:rsidRPr="00883399">
        <w:rPr>
          <w:sz w:val="24"/>
        </w:rPr>
        <w:tab/>
        <w:t>Method 3 is:</w:t>
      </w:r>
    </w:p>
    <w:tbl>
      <w:tblPr>
        <w:tblW w:w="0" w:type="auto"/>
        <w:tblInd w:w="948" w:type="dxa"/>
        <w:tblLayout w:type="fixed"/>
        <w:tblLook w:val="0000" w:firstRow="0" w:lastRow="0" w:firstColumn="0" w:lastColumn="0" w:noHBand="0" w:noVBand="0"/>
      </w:tblPr>
      <w:tblGrid>
        <w:gridCol w:w="882"/>
        <w:gridCol w:w="6678"/>
      </w:tblGrid>
      <w:tr w:rsidR="00872C03" w:rsidRPr="00883399" w14:paraId="5847CCBE" w14:textId="77777777" w:rsidTr="0031057E">
        <w:trPr>
          <w:cantSplit/>
          <w:trHeight w:val="80"/>
        </w:trPr>
        <w:tc>
          <w:tcPr>
            <w:tcW w:w="882" w:type="dxa"/>
            <w:vMerge w:val="restart"/>
          </w:tcPr>
          <w:p w14:paraId="3E0299E4" w14:textId="77777777" w:rsidR="00872C03" w:rsidRPr="00883399" w:rsidRDefault="00872C03" w:rsidP="0031057E">
            <w:pPr>
              <w:pStyle w:val="Tabletext0"/>
              <w:rPr>
                <w:sz w:val="24"/>
                <w:szCs w:val="22"/>
              </w:rPr>
            </w:pPr>
            <w:r w:rsidRPr="00883399">
              <w:rPr>
                <w:sz w:val="24"/>
                <w:szCs w:val="22"/>
              </w:rPr>
              <w:t>Step 1</w:t>
            </w:r>
          </w:p>
        </w:tc>
        <w:tc>
          <w:tcPr>
            <w:tcW w:w="6678" w:type="dxa"/>
          </w:tcPr>
          <w:p w14:paraId="04D69733" w14:textId="77777777" w:rsidR="00872C03" w:rsidRPr="00883399" w:rsidRDefault="00872C03" w:rsidP="0031057E">
            <w:pPr>
              <w:pStyle w:val="Tabletext0"/>
              <w:rPr>
                <w:sz w:val="24"/>
                <w:szCs w:val="22"/>
              </w:rPr>
            </w:pPr>
            <w:r w:rsidRPr="00883399">
              <w:rPr>
                <w:sz w:val="24"/>
                <w:szCs w:val="22"/>
              </w:rPr>
              <w:t>Measure the amount of emissions of carbon dioxide in CO</w:t>
            </w:r>
            <w:r w:rsidRPr="00883399">
              <w:rPr>
                <w:rStyle w:val="Subscript"/>
                <w:iCs/>
                <w:sz w:val="24"/>
                <w:szCs w:val="22"/>
              </w:rPr>
              <w:t>2</w:t>
            </w:r>
            <w:r w:rsidRPr="00883399">
              <w:rPr>
                <w:sz w:val="24"/>
                <w:szCs w:val="22"/>
              </w:rPr>
              <w:noBreakHyphen/>
              <w:t>e tonnes released from each pure carbonate calcined in the production of cement clinker during the year as follows:</w:t>
            </w:r>
          </w:p>
          <w:p w14:paraId="37732B10" w14:textId="3C222934" w:rsidR="00872C03" w:rsidRPr="00883399" w:rsidRDefault="00872C03" w:rsidP="0031057E">
            <w:pPr>
              <w:pStyle w:val="Formula"/>
              <w:spacing w:after="120"/>
              <w:ind w:left="11"/>
              <w:jc w:val="both"/>
              <w:rPr>
                <w:szCs w:val="22"/>
              </w:rPr>
            </w:pPr>
            <w:r w:rsidRPr="00883399">
              <w:rPr>
                <w:noProof/>
                <w:position w:val="-16"/>
                <w:szCs w:val="22"/>
              </w:rPr>
              <w:drawing>
                <wp:inline distT="0" distB="0" distL="0" distR="0" wp14:anchorId="73C2DC00" wp14:editId="157EDCEB">
                  <wp:extent cx="4097020" cy="225425"/>
                  <wp:effectExtent l="1905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85"/>
                          <a:srcRect/>
                          <a:stretch>
                            <a:fillRect/>
                          </a:stretch>
                        </pic:blipFill>
                        <pic:spPr bwMode="auto">
                          <a:xfrm>
                            <a:off x="0" y="0"/>
                            <a:ext cx="4097020" cy="225425"/>
                          </a:xfrm>
                          <a:prstGeom prst="rect">
                            <a:avLst/>
                          </a:prstGeom>
                          <a:noFill/>
                          <a:ln w="9525">
                            <a:noFill/>
                            <a:miter lim="800000"/>
                            <a:headEnd/>
                            <a:tailEnd/>
                          </a:ln>
                        </pic:spPr>
                      </pic:pic>
                    </a:graphicData>
                  </a:graphic>
                </wp:inline>
              </w:drawing>
            </w:r>
          </w:p>
        </w:tc>
      </w:tr>
      <w:tr w:rsidR="00872C03" w:rsidRPr="00883399" w14:paraId="3DCD34D9" w14:textId="77777777" w:rsidTr="0031057E">
        <w:trPr>
          <w:cantSplit/>
          <w:trHeight w:val="80"/>
        </w:trPr>
        <w:tc>
          <w:tcPr>
            <w:tcW w:w="882" w:type="dxa"/>
            <w:vMerge/>
          </w:tcPr>
          <w:p w14:paraId="55867D3F" w14:textId="77777777" w:rsidR="00872C03" w:rsidRPr="00883399" w:rsidRDefault="00872C03" w:rsidP="0031057E">
            <w:pPr>
              <w:spacing w:before="60" w:after="60"/>
              <w:rPr>
                <w:i/>
                <w:szCs w:val="22"/>
              </w:rPr>
            </w:pPr>
          </w:p>
        </w:tc>
        <w:tc>
          <w:tcPr>
            <w:tcW w:w="6678" w:type="dxa"/>
          </w:tcPr>
          <w:p w14:paraId="237FCD21" w14:textId="77777777" w:rsidR="00872C03" w:rsidRPr="00883399" w:rsidRDefault="00872C03" w:rsidP="0031057E">
            <w:pPr>
              <w:pStyle w:val="subsection2"/>
              <w:ind w:left="13"/>
              <w:rPr>
                <w:sz w:val="24"/>
              </w:rPr>
            </w:pPr>
            <w:r w:rsidRPr="00883399">
              <w:rPr>
                <w:sz w:val="24"/>
              </w:rPr>
              <w:t>where:</w:t>
            </w:r>
          </w:p>
          <w:p w14:paraId="78ED2C66" w14:textId="77777777" w:rsidR="00872C03" w:rsidRPr="00883399" w:rsidRDefault="00872C03" w:rsidP="0031057E">
            <w:pPr>
              <w:pStyle w:val="Definition0"/>
              <w:ind w:left="34"/>
              <w:rPr>
                <w:sz w:val="24"/>
                <w:szCs w:val="22"/>
              </w:rPr>
            </w:pPr>
            <w:r w:rsidRPr="00883399">
              <w:rPr>
                <w:b/>
                <w:i/>
                <w:sz w:val="24"/>
                <w:szCs w:val="22"/>
              </w:rPr>
              <w:t>E</w:t>
            </w:r>
            <w:r w:rsidRPr="00883399">
              <w:rPr>
                <w:rStyle w:val="Subscript"/>
                <w:b/>
                <w:i/>
                <w:sz w:val="22"/>
                <w:szCs w:val="22"/>
              </w:rPr>
              <w:t>ij</w:t>
            </w:r>
            <w:r w:rsidRPr="00883399">
              <w:rPr>
                <w:b/>
                <w:i/>
                <w:sz w:val="24"/>
                <w:szCs w:val="22"/>
              </w:rPr>
              <w:t xml:space="preserve"> </w:t>
            </w:r>
            <w:r w:rsidRPr="00883399">
              <w:rPr>
                <w:sz w:val="24"/>
                <w:szCs w:val="22"/>
              </w:rPr>
              <w:t>is the emissions of carbon dioxide (</w:t>
            </w:r>
            <w:r w:rsidRPr="00883399">
              <w:rPr>
                <w:b/>
                <w:i/>
                <w:sz w:val="24"/>
                <w:szCs w:val="22"/>
              </w:rPr>
              <w:t>j</w:t>
            </w:r>
            <w:r w:rsidRPr="00883399">
              <w:rPr>
                <w:sz w:val="24"/>
                <w:szCs w:val="22"/>
              </w:rPr>
              <w:t>) released from the carbonate (</w:t>
            </w:r>
            <w:r w:rsidRPr="00883399">
              <w:rPr>
                <w:b/>
                <w:i/>
                <w:sz w:val="24"/>
                <w:szCs w:val="22"/>
              </w:rPr>
              <w:t>i</w:t>
            </w:r>
            <w:r w:rsidRPr="00883399">
              <w:rPr>
                <w:sz w:val="24"/>
                <w:szCs w:val="22"/>
              </w:rPr>
              <w:t>) calcined in the production of cement clinker during the year measured in CO</w:t>
            </w:r>
            <w:r w:rsidRPr="00883399">
              <w:rPr>
                <w:rStyle w:val="Subscript"/>
                <w:iCs/>
                <w:sz w:val="22"/>
                <w:szCs w:val="22"/>
              </w:rPr>
              <w:t>2</w:t>
            </w:r>
            <w:r w:rsidRPr="00883399">
              <w:rPr>
                <w:sz w:val="24"/>
                <w:szCs w:val="22"/>
              </w:rPr>
              <w:noBreakHyphen/>
              <w:t>e tonnes.</w:t>
            </w:r>
          </w:p>
        </w:tc>
      </w:tr>
      <w:tr w:rsidR="00872C03" w:rsidRPr="00883399" w14:paraId="40C02B88" w14:textId="77777777" w:rsidTr="0031057E">
        <w:trPr>
          <w:cantSplit/>
          <w:trHeight w:val="80"/>
        </w:trPr>
        <w:tc>
          <w:tcPr>
            <w:tcW w:w="882" w:type="dxa"/>
            <w:vMerge w:val="restart"/>
          </w:tcPr>
          <w:p w14:paraId="047142FA" w14:textId="77777777" w:rsidR="00872C03" w:rsidRPr="00883399" w:rsidRDefault="00872C03" w:rsidP="0031057E">
            <w:pPr>
              <w:spacing w:before="60" w:after="60"/>
              <w:rPr>
                <w:i/>
                <w:szCs w:val="22"/>
              </w:rPr>
            </w:pPr>
          </w:p>
        </w:tc>
        <w:tc>
          <w:tcPr>
            <w:tcW w:w="6678" w:type="dxa"/>
          </w:tcPr>
          <w:p w14:paraId="082311A5" w14:textId="77777777" w:rsidR="00872C03" w:rsidRPr="00883399" w:rsidRDefault="00872C03" w:rsidP="0031057E">
            <w:pPr>
              <w:pStyle w:val="Definition0"/>
              <w:ind w:left="34"/>
              <w:rPr>
                <w:sz w:val="24"/>
                <w:szCs w:val="22"/>
              </w:rPr>
            </w:pPr>
            <w:r w:rsidRPr="00883399">
              <w:rPr>
                <w:b/>
                <w:i/>
                <w:sz w:val="24"/>
                <w:szCs w:val="22"/>
              </w:rPr>
              <w:t>EF</w:t>
            </w:r>
            <w:r w:rsidRPr="00883399">
              <w:rPr>
                <w:rStyle w:val="Subscript"/>
                <w:b/>
                <w:i/>
                <w:sz w:val="22"/>
                <w:szCs w:val="22"/>
              </w:rPr>
              <w:t>ij</w:t>
            </w:r>
            <w:r w:rsidRPr="00883399">
              <w:rPr>
                <w:b/>
                <w:i/>
                <w:sz w:val="24"/>
                <w:szCs w:val="22"/>
              </w:rPr>
              <w:t xml:space="preserve"> </w:t>
            </w:r>
            <w:r w:rsidRPr="00883399">
              <w:rPr>
                <w:sz w:val="24"/>
                <w:szCs w:val="22"/>
              </w:rPr>
              <w:t>is the carbon dioxide (</w:t>
            </w:r>
            <w:r w:rsidRPr="00883399">
              <w:rPr>
                <w:b/>
                <w:i/>
                <w:sz w:val="24"/>
                <w:szCs w:val="22"/>
              </w:rPr>
              <w:t>j</w:t>
            </w:r>
            <w:r w:rsidRPr="00883399">
              <w:rPr>
                <w:sz w:val="24"/>
                <w:szCs w:val="22"/>
              </w:rPr>
              <w:t>) emission factor for the carbonate (</w:t>
            </w:r>
            <w:r w:rsidRPr="00883399">
              <w:rPr>
                <w:b/>
                <w:i/>
                <w:sz w:val="24"/>
                <w:szCs w:val="22"/>
              </w:rPr>
              <w:t>i</w:t>
            </w:r>
            <w:r w:rsidRPr="00883399">
              <w:rPr>
                <w:sz w:val="24"/>
                <w:szCs w:val="22"/>
              </w:rPr>
              <w:t>) measured in tonnes of emissions of carbon dioxide per tonne of pure carbonate, as follows:</w:t>
            </w:r>
          </w:p>
          <w:p w14:paraId="4468897C" w14:textId="77777777" w:rsidR="00872C03" w:rsidRPr="00883399" w:rsidRDefault="00872C03" w:rsidP="0031057E">
            <w:pPr>
              <w:pStyle w:val="TableP1a"/>
              <w:rPr>
                <w:sz w:val="24"/>
                <w:szCs w:val="22"/>
              </w:rPr>
            </w:pPr>
            <w:r w:rsidRPr="00883399">
              <w:rPr>
                <w:sz w:val="24"/>
                <w:szCs w:val="22"/>
              </w:rPr>
              <w:tab/>
              <w:t>(a)</w:t>
            </w:r>
            <w:r w:rsidRPr="00883399">
              <w:rPr>
                <w:sz w:val="24"/>
                <w:szCs w:val="22"/>
              </w:rPr>
              <w:tab/>
              <w:t>for calcium carbonate—0.440; and</w:t>
            </w:r>
          </w:p>
          <w:p w14:paraId="796F29C4" w14:textId="77777777" w:rsidR="00872C03" w:rsidRPr="00883399" w:rsidRDefault="00872C03" w:rsidP="0031057E">
            <w:pPr>
              <w:pStyle w:val="TableP1a"/>
              <w:rPr>
                <w:sz w:val="24"/>
                <w:szCs w:val="22"/>
              </w:rPr>
            </w:pPr>
            <w:r w:rsidRPr="00883399">
              <w:rPr>
                <w:sz w:val="24"/>
                <w:szCs w:val="22"/>
              </w:rPr>
              <w:tab/>
              <w:t>(b)</w:t>
            </w:r>
            <w:r w:rsidRPr="00883399">
              <w:rPr>
                <w:sz w:val="24"/>
                <w:szCs w:val="22"/>
              </w:rPr>
              <w:tab/>
              <w:t>for magnesium carbonate—0.522; and</w:t>
            </w:r>
          </w:p>
          <w:p w14:paraId="38A24E99" w14:textId="77777777" w:rsidR="00872C03" w:rsidRPr="00883399" w:rsidRDefault="00872C03" w:rsidP="0031057E">
            <w:pPr>
              <w:pStyle w:val="TableP1a"/>
              <w:rPr>
                <w:sz w:val="24"/>
                <w:szCs w:val="22"/>
              </w:rPr>
            </w:pPr>
            <w:r w:rsidRPr="00883399">
              <w:rPr>
                <w:sz w:val="24"/>
                <w:szCs w:val="22"/>
              </w:rPr>
              <w:tab/>
              <w:t>(c)</w:t>
            </w:r>
            <w:r w:rsidRPr="00883399">
              <w:rPr>
                <w:sz w:val="24"/>
                <w:szCs w:val="22"/>
              </w:rPr>
              <w:tab/>
              <w:t>for dolomite—0.477; and</w:t>
            </w:r>
          </w:p>
          <w:p w14:paraId="45AE09F1" w14:textId="77777777" w:rsidR="00872C03" w:rsidRPr="00883399" w:rsidRDefault="00872C03" w:rsidP="0031057E">
            <w:pPr>
              <w:pStyle w:val="TableP1a"/>
              <w:rPr>
                <w:sz w:val="24"/>
                <w:szCs w:val="22"/>
              </w:rPr>
            </w:pPr>
            <w:r w:rsidRPr="00883399">
              <w:rPr>
                <w:sz w:val="24"/>
                <w:szCs w:val="22"/>
              </w:rPr>
              <w:tab/>
              <w:t>(d)</w:t>
            </w:r>
            <w:r w:rsidRPr="00883399">
              <w:rPr>
                <w:sz w:val="24"/>
                <w:szCs w:val="22"/>
              </w:rPr>
              <w:tab/>
              <w:t xml:space="preserve">for any other pure carbonate — the factor for the carbonate in accordance with section 2.1 of </w:t>
            </w:r>
            <w:r w:rsidRPr="00883399">
              <w:rPr>
                <w:sz w:val="24"/>
              </w:rPr>
              <w:t xml:space="preserve">Chapter 2 </w:t>
            </w:r>
            <w:r w:rsidRPr="00883399">
              <w:rPr>
                <w:sz w:val="24"/>
                <w:szCs w:val="22"/>
              </w:rPr>
              <w:t>of Volume 3 of the 2006 IPCC Guidelines.</w:t>
            </w:r>
          </w:p>
        </w:tc>
      </w:tr>
      <w:tr w:rsidR="00872C03" w:rsidRPr="00883399" w14:paraId="59760BEE" w14:textId="77777777" w:rsidTr="0031057E">
        <w:trPr>
          <w:cantSplit/>
          <w:trHeight w:val="80"/>
        </w:trPr>
        <w:tc>
          <w:tcPr>
            <w:tcW w:w="882" w:type="dxa"/>
            <w:vMerge/>
          </w:tcPr>
          <w:p w14:paraId="2752D71A" w14:textId="77777777" w:rsidR="00872C03" w:rsidRPr="00883399" w:rsidRDefault="00872C03" w:rsidP="0031057E">
            <w:pPr>
              <w:spacing w:before="60" w:after="60"/>
              <w:rPr>
                <w:i/>
                <w:szCs w:val="22"/>
              </w:rPr>
            </w:pPr>
          </w:p>
        </w:tc>
        <w:tc>
          <w:tcPr>
            <w:tcW w:w="6678" w:type="dxa"/>
          </w:tcPr>
          <w:p w14:paraId="3012B9FE" w14:textId="77777777" w:rsidR="00872C03" w:rsidRPr="00883399" w:rsidRDefault="00872C03" w:rsidP="0031057E">
            <w:pPr>
              <w:pStyle w:val="Definition0"/>
              <w:spacing w:before="60" w:after="60"/>
              <w:ind w:left="34"/>
              <w:rPr>
                <w:b/>
                <w:i/>
                <w:sz w:val="24"/>
                <w:szCs w:val="22"/>
              </w:rPr>
            </w:pPr>
            <w:r w:rsidRPr="00883399">
              <w:rPr>
                <w:b/>
                <w:i/>
                <w:sz w:val="24"/>
                <w:szCs w:val="22"/>
              </w:rPr>
              <w:t>Q</w:t>
            </w:r>
            <w:r w:rsidRPr="00883399">
              <w:rPr>
                <w:b/>
                <w:i/>
                <w:sz w:val="24"/>
                <w:szCs w:val="22"/>
                <w:vertAlign w:val="subscript"/>
              </w:rPr>
              <w:t>i</w:t>
            </w:r>
            <w:r w:rsidRPr="00883399">
              <w:rPr>
                <w:b/>
                <w:i/>
                <w:sz w:val="24"/>
                <w:szCs w:val="22"/>
              </w:rPr>
              <w:t xml:space="preserve"> </w:t>
            </w:r>
            <w:r w:rsidRPr="00883399">
              <w:rPr>
                <w:sz w:val="24"/>
                <w:szCs w:val="22"/>
              </w:rPr>
              <w:t>is the quantity of the pure carbonate (</w:t>
            </w:r>
            <w:r w:rsidRPr="00883399">
              <w:rPr>
                <w:b/>
                <w:i/>
                <w:sz w:val="24"/>
                <w:szCs w:val="22"/>
              </w:rPr>
              <w:t>i</w:t>
            </w:r>
            <w:r w:rsidRPr="00883399">
              <w:rPr>
                <w:sz w:val="24"/>
                <w:szCs w:val="22"/>
              </w:rPr>
              <w:t>) consumed in the calcining process for the production of cement clinker during the year measured in tonnes and estimated under Division 4.2.5.</w:t>
            </w:r>
          </w:p>
        </w:tc>
      </w:tr>
      <w:tr w:rsidR="00872C03" w:rsidRPr="00883399" w14:paraId="0B0326CF" w14:textId="77777777" w:rsidTr="0031057E">
        <w:trPr>
          <w:cantSplit/>
          <w:trHeight w:val="80"/>
        </w:trPr>
        <w:tc>
          <w:tcPr>
            <w:tcW w:w="882" w:type="dxa"/>
            <w:vMerge/>
          </w:tcPr>
          <w:p w14:paraId="20B48E51" w14:textId="77777777" w:rsidR="00872C03" w:rsidRPr="00883399" w:rsidRDefault="00872C03" w:rsidP="0031057E">
            <w:pPr>
              <w:spacing w:before="60" w:after="60"/>
              <w:rPr>
                <w:i/>
                <w:szCs w:val="22"/>
              </w:rPr>
            </w:pPr>
          </w:p>
        </w:tc>
        <w:tc>
          <w:tcPr>
            <w:tcW w:w="6678" w:type="dxa"/>
          </w:tcPr>
          <w:p w14:paraId="49C47FA2" w14:textId="77777777" w:rsidR="00872C03" w:rsidRPr="00883399" w:rsidRDefault="00872C03" w:rsidP="0031057E">
            <w:pPr>
              <w:pStyle w:val="Definition0"/>
              <w:spacing w:before="60" w:after="60"/>
              <w:ind w:left="34"/>
              <w:rPr>
                <w:sz w:val="24"/>
                <w:szCs w:val="22"/>
              </w:rPr>
            </w:pPr>
            <w:r w:rsidRPr="00883399">
              <w:rPr>
                <w:b/>
                <w:i/>
                <w:sz w:val="24"/>
                <w:szCs w:val="22"/>
              </w:rPr>
              <w:t>F</w:t>
            </w:r>
            <w:r w:rsidRPr="00883399">
              <w:rPr>
                <w:rStyle w:val="Subscript"/>
                <w:b/>
                <w:i/>
                <w:sz w:val="22"/>
                <w:szCs w:val="22"/>
              </w:rPr>
              <w:t>cal</w:t>
            </w:r>
            <w:r w:rsidRPr="00883399">
              <w:rPr>
                <w:sz w:val="24"/>
                <w:szCs w:val="22"/>
              </w:rPr>
              <w:t xml:space="preserve"> is:</w:t>
            </w:r>
          </w:p>
          <w:p w14:paraId="12614B43" w14:textId="77777777" w:rsidR="00872C03" w:rsidRPr="00883399" w:rsidRDefault="00872C03" w:rsidP="00872C03">
            <w:pPr>
              <w:pStyle w:val="TableP1a"/>
              <w:numPr>
                <w:ilvl w:val="0"/>
                <w:numId w:val="7"/>
              </w:numPr>
              <w:rPr>
                <w:sz w:val="24"/>
                <w:szCs w:val="22"/>
              </w:rPr>
            </w:pPr>
            <w:r w:rsidRPr="00883399">
              <w:rPr>
                <w:sz w:val="24"/>
                <w:szCs w:val="22"/>
              </w:rPr>
              <w:t>the amount of the carbonate calcined in the production of cement clinker during the year, expressed as a decimal fraction; or</w:t>
            </w:r>
          </w:p>
          <w:p w14:paraId="399101E9" w14:textId="77777777" w:rsidR="00872C03" w:rsidRPr="00883399" w:rsidRDefault="00872C03" w:rsidP="00872C03">
            <w:pPr>
              <w:pStyle w:val="TableP1a"/>
              <w:numPr>
                <w:ilvl w:val="0"/>
                <w:numId w:val="7"/>
              </w:numPr>
              <w:rPr>
                <w:sz w:val="24"/>
                <w:szCs w:val="22"/>
              </w:rPr>
            </w:pPr>
            <w:r w:rsidRPr="00883399">
              <w:rPr>
                <w:sz w:val="24"/>
                <w:szCs w:val="22"/>
              </w:rPr>
              <w:t>if the information mentioned in paragraph (a) is not available—the value 1.</w:t>
            </w:r>
          </w:p>
        </w:tc>
      </w:tr>
      <w:tr w:rsidR="00872C03" w:rsidRPr="00883399" w14:paraId="52C4016B" w14:textId="77777777" w:rsidTr="0031057E">
        <w:trPr>
          <w:cantSplit/>
          <w:trHeight w:val="80"/>
        </w:trPr>
        <w:tc>
          <w:tcPr>
            <w:tcW w:w="882" w:type="dxa"/>
            <w:vMerge/>
          </w:tcPr>
          <w:p w14:paraId="12F47A8A" w14:textId="77777777" w:rsidR="00872C03" w:rsidRPr="00883399" w:rsidRDefault="00872C03" w:rsidP="0031057E">
            <w:pPr>
              <w:spacing w:before="60" w:after="60"/>
              <w:rPr>
                <w:i/>
                <w:szCs w:val="22"/>
              </w:rPr>
            </w:pPr>
          </w:p>
        </w:tc>
        <w:tc>
          <w:tcPr>
            <w:tcW w:w="6678" w:type="dxa"/>
          </w:tcPr>
          <w:p w14:paraId="480DC178" w14:textId="77777777" w:rsidR="00872C03" w:rsidRPr="00883399" w:rsidRDefault="00872C03" w:rsidP="0031057E">
            <w:pPr>
              <w:pStyle w:val="Definition0"/>
              <w:spacing w:before="60" w:after="60"/>
              <w:ind w:left="34"/>
              <w:rPr>
                <w:b/>
                <w:i/>
                <w:sz w:val="24"/>
                <w:szCs w:val="22"/>
              </w:rPr>
            </w:pPr>
            <w:r w:rsidRPr="00883399">
              <w:rPr>
                <w:b/>
                <w:i/>
                <w:sz w:val="24"/>
                <w:szCs w:val="22"/>
              </w:rPr>
              <w:t>A</w:t>
            </w:r>
            <w:r w:rsidRPr="00883399">
              <w:rPr>
                <w:rStyle w:val="Subscript"/>
                <w:b/>
                <w:i/>
                <w:sz w:val="22"/>
                <w:szCs w:val="22"/>
              </w:rPr>
              <w:t>ckd</w:t>
            </w:r>
            <w:r w:rsidRPr="00883399">
              <w:rPr>
                <w:sz w:val="24"/>
                <w:szCs w:val="22"/>
              </w:rPr>
              <w:t xml:space="preserve"> is the quantity of cement kiln dust lost from the kiln in the production of cement clinker during the year</w:t>
            </w:r>
            <w:r w:rsidRPr="00883399">
              <w:rPr>
                <w:i/>
                <w:sz w:val="24"/>
                <w:szCs w:val="22"/>
              </w:rPr>
              <w:t xml:space="preserve"> </w:t>
            </w:r>
            <w:r w:rsidRPr="00883399">
              <w:rPr>
                <w:sz w:val="24"/>
                <w:szCs w:val="22"/>
              </w:rPr>
              <w:t>measured in tonnes and estimated under Division 4.2.5.</w:t>
            </w:r>
          </w:p>
        </w:tc>
      </w:tr>
      <w:tr w:rsidR="00872C03" w:rsidRPr="00883399" w14:paraId="22835853" w14:textId="77777777" w:rsidTr="0031057E">
        <w:trPr>
          <w:cantSplit/>
          <w:trHeight w:val="80"/>
        </w:trPr>
        <w:tc>
          <w:tcPr>
            <w:tcW w:w="882" w:type="dxa"/>
            <w:vMerge/>
          </w:tcPr>
          <w:p w14:paraId="44774422" w14:textId="77777777" w:rsidR="00872C03" w:rsidRPr="00883399" w:rsidRDefault="00872C03" w:rsidP="0031057E">
            <w:pPr>
              <w:spacing w:before="60" w:after="60"/>
              <w:rPr>
                <w:i/>
                <w:szCs w:val="22"/>
              </w:rPr>
            </w:pPr>
          </w:p>
        </w:tc>
        <w:tc>
          <w:tcPr>
            <w:tcW w:w="6678" w:type="dxa"/>
          </w:tcPr>
          <w:p w14:paraId="2E7D9329" w14:textId="77777777" w:rsidR="00872C03" w:rsidRPr="00883399" w:rsidRDefault="00872C03" w:rsidP="0031057E">
            <w:pPr>
              <w:pStyle w:val="Definition0"/>
              <w:spacing w:before="60" w:after="60"/>
              <w:ind w:left="34"/>
              <w:rPr>
                <w:b/>
                <w:i/>
                <w:sz w:val="24"/>
                <w:szCs w:val="22"/>
              </w:rPr>
            </w:pPr>
            <w:r w:rsidRPr="00883399">
              <w:rPr>
                <w:b/>
                <w:i/>
                <w:sz w:val="24"/>
                <w:szCs w:val="22"/>
              </w:rPr>
              <w:t>EF</w:t>
            </w:r>
            <w:r w:rsidRPr="00883399">
              <w:rPr>
                <w:rStyle w:val="Subscript"/>
                <w:b/>
                <w:i/>
                <w:sz w:val="22"/>
                <w:szCs w:val="22"/>
              </w:rPr>
              <w:t>ckd</w:t>
            </w:r>
            <w:r w:rsidRPr="00883399">
              <w:rPr>
                <w:sz w:val="24"/>
                <w:szCs w:val="22"/>
              </w:rPr>
              <w:t xml:space="preserve"> is 0.440, which is the carbon dioxide emission factor for calcined cement kiln dust lost from the kiln.</w:t>
            </w:r>
          </w:p>
        </w:tc>
      </w:tr>
      <w:tr w:rsidR="00872C03" w:rsidRPr="00883399" w14:paraId="11FE6BCD" w14:textId="77777777" w:rsidTr="0031057E">
        <w:trPr>
          <w:cantSplit/>
          <w:trHeight w:val="80"/>
        </w:trPr>
        <w:tc>
          <w:tcPr>
            <w:tcW w:w="882" w:type="dxa"/>
            <w:vMerge/>
          </w:tcPr>
          <w:p w14:paraId="23E0261F" w14:textId="77777777" w:rsidR="00872C03" w:rsidRPr="00883399" w:rsidRDefault="00872C03" w:rsidP="0031057E">
            <w:pPr>
              <w:spacing w:before="60" w:after="60"/>
              <w:rPr>
                <w:i/>
                <w:szCs w:val="22"/>
              </w:rPr>
            </w:pPr>
          </w:p>
        </w:tc>
        <w:tc>
          <w:tcPr>
            <w:tcW w:w="6678" w:type="dxa"/>
          </w:tcPr>
          <w:p w14:paraId="69232F0D" w14:textId="77777777" w:rsidR="00872C03" w:rsidRPr="00883399" w:rsidRDefault="00872C03" w:rsidP="0031057E">
            <w:pPr>
              <w:pStyle w:val="Definition0"/>
              <w:spacing w:before="60" w:after="60"/>
              <w:ind w:left="34"/>
              <w:rPr>
                <w:sz w:val="24"/>
                <w:szCs w:val="22"/>
              </w:rPr>
            </w:pPr>
            <w:r w:rsidRPr="00883399">
              <w:rPr>
                <w:b/>
                <w:i/>
                <w:sz w:val="24"/>
                <w:szCs w:val="22"/>
              </w:rPr>
              <w:t>F</w:t>
            </w:r>
            <w:r w:rsidRPr="00883399">
              <w:rPr>
                <w:rStyle w:val="Subscript"/>
                <w:b/>
                <w:i/>
                <w:sz w:val="22"/>
                <w:szCs w:val="22"/>
              </w:rPr>
              <w:t>ckd</w:t>
            </w:r>
            <w:r w:rsidRPr="00883399">
              <w:rPr>
                <w:sz w:val="24"/>
                <w:szCs w:val="22"/>
              </w:rPr>
              <w:t xml:space="preserve"> is:</w:t>
            </w:r>
          </w:p>
          <w:p w14:paraId="05D103FB" w14:textId="77777777" w:rsidR="00872C03" w:rsidRPr="00883399" w:rsidRDefault="00872C03" w:rsidP="0031057E">
            <w:pPr>
              <w:pStyle w:val="TableP1a"/>
              <w:rPr>
                <w:sz w:val="24"/>
                <w:szCs w:val="22"/>
              </w:rPr>
            </w:pPr>
            <w:r w:rsidRPr="00883399">
              <w:rPr>
                <w:sz w:val="24"/>
                <w:szCs w:val="22"/>
              </w:rPr>
              <w:tab/>
              <w:t>(a)</w:t>
            </w:r>
            <w:r w:rsidRPr="00883399">
              <w:rPr>
                <w:sz w:val="24"/>
                <w:szCs w:val="22"/>
              </w:rPr>
              <w:tab/>
              <w:t>the fraction of calcination achieved for cement kiln dust lost from the kiln in the production of cement clinker during the year; or</w:t>
            </w:r>
          </w:p>
          <w:p w14:paraId="3E926A22" w14:textId="77777777" w:rsidR="00872C03" w:rsidRPr="00883399" w:rsidRDefault="00872C03" w:rsidP="0031057E">
            <w:pPr>
              <w:pStyle w:val="TableP1a"/>
              <w:rPr>
                <w:b/>
                <w:i/>
                <w:sz w:val="24"/>
                <w:szCs w:val="22"/>
              </w:rPr>
            </w:pPr>
            <w:r w:rsidRPr="00883399">
              <w:rPr>
                <w:sz w:val="24"/>
                <w:szCs w:val="22"/>
              </w:rPr>
              <w:tab/>
              <w:t>(b)</w:t>
            </w:r>
            <w:r w:rsidRPr="00883399">
              <w:rPr>
                <w:sz w:val="24"/>
                <w:szCs w:val="22"/>
              </w:rPr>
              <w:tab/>
              <w:t>if the information mentioned in paragraph (a) is not available—the value 1.</w:t>
            </w:r>
          </w:p>
        </w:tc>
      </w:tr>
      <w:tr w:rsidR="00872C03" w:rsidRPr="00883399" w14:paraId="19EBB1DA" w14:textId="77777777" w:rsidTr="0031057E">
        <w:trPr>
          <w:cantSplit/>
          <w:trHeight w:val="80"/>
        </w:trPr>
        <w:tc>
          <w:tcPr>
            <w:tcW w:w="882" w:type="dxa"/>
            <w:vMerge/>
          </w:tcPr>
          <w:p w14:paraId="687A5BF4" w14:textId="77777777" w:rsidR="00872C03" w:rsidRPr="00883399" w:rsidRDefault="00872C03" w:rsidP="0031057E">
            <w:pPr>
              <w:spacing w:before="60" w:after="60"/>
              <w:rPr>
                <w:i/>
                <w:szCs w:val="22"/>
              </w:rPr>
            </w:pPr>
          </w:p>
        </w:tc>
        <w:tc>
          <w:tcPr>
            <w:tcW w:w="6678" w:type="dxa"/>
          </w:tcPr>
          <w:p w14:paraId="3926A098" w14:textId="77777777" w:rsidR="00872C03" w:rsidRPr="00883399" w:rsidRDefault="00872C03" w:rsidP="0031057E">
            <w:pPr>
              <w:pStyle w:val="Definition0"/>
              <w:spacing w:before="60" w:after="60"/>
              <w:ind w:left="34"/>
              <w:rPr>
                <w:b/>
                <w:i/>
                <w:sz w:val="24"/>
                <w:szCs w:val="22"/>
              </w:rPr>
            </w:pPr>
            <w:r w:rsidRPr="00883399">
              <w:rPr>
                <w:b/>
                <w:i/>
                <w:sz w:val="24"/>
                <w:szCs w:val="22"/>
              </w:rPr>
              <w:t>Q</w:t>
            </w:r>
            <w:r w:rsidRPr="00883399">
              <w:rPr>
                <w:rStyle w:val="Subscript"/>
                <w:b/>
                <w:i/>
                <w:sz w:val="22"/>
                <w:szCs w:val="22"/>
              </w:rPr>
              <w:t>toc</w:t>
            </w:r>
            <w:r w:rsidRPr="00883399">
              <w:rPr>
                <w:sz w:val="24"/>
                <w:szCs w:val="22"/>
              </w:rPr>
              <w:t xml:space="preserve"> is the quantity of total carbon</w:t>
            </w:r>
            <w:r w:rsidRPr="00883399">
              <w:rPr>
                <w:sz w:val="24"/>
                <w:szCs w:val="22"/>
              </w:rPr>
              <w:noBreakHyphen/>
              <w:t>bearing non</w:t>
            </w:r>
            <w:r w:rsidRPr="00883399">
              <w:rPr>
                <w:sz w:val="24"/>
                <w:szCs w:val="22"/>
              </w:rPr>
              <w:noBreakHyphen/>
              <w:t>fuel raw material consumed in the production of cement clinker during the year measured in tonnes and estimated under Division 4.2.5.</w:t>
            </w:r>
          </w:p>
        </w:tc>
      </w:tr>
      <w:tr w:rsidR="00872C03" w:rsidRPr="00883399" w14:paraId="3C751FBC" w14:textId="77777777" w:rsidTr="0031057E">
        <w:trPr>
          <w:cantSplit/>
          <w:trHeight w:val="80"/>
        </w:trPr>
        <w:tc>
          <w:tcPr>
            <w:tcW w:w="882" w:type="dxa"/>
            <w:vMerge/>
          </w:tcPr>
          <w:p w14:paraId="0212A861" w14:textId="77777777" w:rsidR="00872C03" w:rsidRPr="00883399" w:rsidRDefault="00872C03" w:rsidP="0031057E">
            <w:pPr>
              <w:spacing w:before="60" w:after="60"/>
              <w:rPr>
                <w:i/>
                <w:szCs w:val="22"/>
              </w:rPr>
            </w:pPr>
          </w:p>
        </w:tc>
        <w:tc>
          <w:tcPr>
            <w:tcW w:w="6678" w:type="dxa"/>
          </w:tcPr>
          <w:p w14:paraId="20D23CD9" w14:textId="77777777" w:rsidR="00872C03" w:rsidRPr="00883399" w:rsidRDefault="00872C03" w:rsidP="0031057E">
            <w:pPr>
              <w:pStyle w:val="Definition0"/>
              <w:spacing w:before="60" w:after="60"/>
              <w:ind w:left="34"/>
              <w:rPr>
                <w:b/>
                <w:i/>
                <w:sz w:val="24"/>
                <w:szCs w:val="22"/>
              </w:rPr>
            </w:pPr>
            <w:r w:rsidRPr="00883399">
              <w:rPr>
                <w:b/>
                <w:i/>
                <w:sz w:val="24"/>
                <w:szCs w:val="22"/>
              </w:rPr>
              <w:t>EF</w:t>
            </w:r>
            <w:r w:rsidRPr="00883399">
              <w:rPr>
                <w:rStyle w:val="Subscript"/>
                <w:b/>
                <w:i/>
                <w:sz w:val="22"/>
                <w:szCs w:val="22"/>
              </w:rPr>
              <w:t>toc</w:t>
            </w:r>
            <w:r w:rsidRPr="00883399">
              <w:rPr>
                <w:sz w:val="24"/>
                <w:szCs w:val="22"/>
              </w:rPr>
              <w:t xml:space="preserve"> is 0.010, which is the emission factor for carbon</w:t>
            </w:r>
            <w:r w:rsidRPr="00883399">
              <w:rPr>
                <w:sz w:val="24"/>
                <w:szCs w:val="22"/>
              </w:rPr>
              <w:noBreakHyphen/>
              <w:t>bearing non</w:t>
            </w:r>
            <w:r w:rsidRPr="00883399">
              <w:rPr>
                <w:sz w:val="24"/>
                <w:szCs w:val="22"/>
              </w:rPr>
              <w:noBreakHyphen/>
              <w:t>fuel raw material, measured in tonnes of carbon dioxide produced per tonne of carbon.</w:t>
            </w:r>
          </w:p>
        </w:tc>
      </w:tr>
      <w:tr w:rsidR="00872C03" w:rsidRPr="00883399" w14:paraId="267CAFF1" w14:textId="77777777" w:rsidTr="0031057E">
        <w:trPr>
          <w:cantSplit/>
          <w:trHeight w:val="80"/>
        </w:trPr>
        <w:tc>
          <w:tcPr>
            <w:tcW w:w="882" w:type="dxa"/>
          </w:tcPr>
          <w:p w14:paraId="744F440A" w14:textId="77777777" w:rsidR="00872C03" w:rsidRPr="00883399" w:rsidRDefault="00872C03" w:rsidP="0031057E">
            <w:pPr>
              <w:spacing w:before="60" w:after="60"/>
              <w:rPr>
                <w:i/>
                <w:szCs w:val="22"/>
              </w:rPr>
            </w:pPr>
          </w:p>
        </w:tc>
        <w:tc>
          <w:tcPr>
            <w:tcW w:w="6678" w:type="dxa"/>
          </w:tcPr>
          <w:p w14:paraId="1FF21E2F" w14:textId="77777777" w:rsidR="00872C03" w:rsidRPr="00883399" w:rsidRDefault="00872C03" w:rsidP="0031057E">
            <w:pPr>
              <w:pStyle w:val="Definition0"/>
              <w:spacing w:before="60" w:after="60"/>
              <w:ind w:left="34"/>
              <w:rPr>
                <w:b/>
                <w:i/>
                <w:sz w:val="24"/>
                <w:szCs w:val="22"/>
              </w:rPr>
            </w:pPr>
            <w:r w:rsidRPr="00883399">
              <w:rPr>
                <w:b/>
                <w:i/>
                <w:sz w:val="24"/>
              </w:rPr>
              <w:t>γ</w:t>
            </w:r>
            <w:r w:rsidRPr="00883399">
              <w:rPr>
                <w:sz w:val="24"/>
              </w:rPr>
              <w:t xml:space="preserve"> is the factor 1.861 × 10</w:t>
            </w:r>
            <w:r w:rsidRPr="00883399">
              <w:rPr>
                <w:sz w:val="24"/>
                <w:vertAlign w:val="superscript"/>
              </w:rPr>
              <w:noBreakHyphen/>
              <w:t xml:space="preserve">3 </w:t>
            </w:r>
            <w:r w:rsidRPr="00883399">
              <w:rPr>
                <w:sz w:val="24"/>
              </w:rPr>
              <w:t>for converting a quantity of carbon dioxide from cubic metres at standard conditions of pressure and temperature to CO</w:t>
            </w:r>
            <w:r w:rsidRPr="00883399">
              <w:rPr>
                <w:sz w:val="24"/>
                <w:vertAlign w:val="subscript"/>
              </w:rPr>
              <w:t>2</w:t>
            </w:r>
            <w:r w:rsidRPr="00883399">
              <w:rPr>
                <w:sz w:val="24"/>
              </w:rPr>
              <w:noBreakHyphen/>
              <w:t>e tonnes.</w:t>
            </w:r>
          </w:p>
        </w:tc>
      </w:tr>
      <w:tr w:rsidR="00872C03" w:rsidRPr="00883399" w14:paraId="28B1392D" w14:textId="77777777" w:rsidTr="0031057E">
        <w:trPr>
          <w:cantSplit/>
          <w:trHeight w:val="626"/>
        </w:trPr>
        <w:tc>
          <w:tcPr>
            <w:tcW w:w="882" w:type="dxa"/>
          </w:tcPr>
          <w:p w14:paraId="1876733D" w14:textId="77777777" w:rsidR="00872C03" w:rsidRPr="00883399" w:rsidRDefault="00872C03" w:rsidP="0031057E">
            <w:pPr>
              <w:spacing w:before="60" w:after="60"/>
              <w:rPr>
                <w:i/>
                <w:szCs w:val="22"/>
              </w:rPr>
            </w:pPr>
          </w:p>
        </w:tc>
        <w:tc>
          <w:tcPr>
            <w:tcW w:w="6678" w:type="dxa"/>
          </w:tcPr>
          <w:p w14:paraId="132FB7F7" w14:textId="77777777" w:rsidR="00872C03" w:rsidRPr="00883399" w:rsidRDefault="00872C03" w:rsidP="0031057E">
            <w:pPr>
              <w:pStyle w:val="Definition0"/>
              <w:spacing w:before="60" w:after="60"/>
              <w:ind w:left="34"/>
              <w:rPr>
                <w:b/>
                <w:i/>
                <w:sz w:val="24"/>
                <w:szCs w:val="22"/>
              </w:rPr>
            </w:pPr>
            <w:r w:rsidRPr="00883399">
              <w:rPr>
                <w:b/>
                <w:i/>
                <w:sz w:val="24"/>
                <w:szCs w:val="22"/>
              </w:rPr>
              <w:t>RCCS</w:t>
            </w:r>
            <w:r w:rsidRPr="00883399">
              <w:rPr>
                <w:b/>
                <w:i/>
                <w:sz w:val="24"/>
                <w:szCs w:val="22"/>
                <w:vertAlign w:val="subscript"/>
              </w:rPr>
              <w:t>CO</w:t>
            </w:r>
            <w:r w:rsidRPr="00883399">
              <w:rPr>
                <w:b/>
                <w:i/>
                <w:position w:val="-4"/>
                <w:sz w:val="24"/>
                <w:szCs w:val="22"/>
                <w:vertAlign w:val="subscript"/>
              </w:rPr>
              <w:t>2</w:t>
            </w:r>
            <w:r w:rsidRPr="00883399">
              <w:rPr>
                <w:sz w:val="24"/>
                <w:szCs w:val="22"/>
                <w:vertAlign w:val="subscript"/>
              </w:rPr>
              <w:t xml:space="preserve"> </w:t>
            </w:r>
            <w:r w:rsidRPr="00883399">
              <w:rPr>
                <w:sz w:val="24"/>
                <w:szCs w:val="22"/>
              </w:rPr>
              <w:t>is carbon dioxide captured for permanent storage measured in cubic metres in accordance with Division 1.2.3.</w:t>
            </w:r>
          </w:p>
        </w:tc>
      </w:tr>
      <w:tr w:rsidR="00872C03" w:rsidRPr="00883399" w14:paraId="2144C17F" w14:textId="77777777" w:rsidTr="0031057E">
        <w:trPr>
          <w:cantSplit/>
        </w:trPr>
        <w:tc>
          <w:tcPr>
            <w:tcW w:w="882" w:type="dxa"/>
          </w:tcPr>
          <w:p w14:paraId="31EB40E6" w14:textId="77777777" w:rsidR="00872C03" w:rsidRPr="00883399" w:rsidRDefault="00872C03" w:rsidP="0031057E">
            <w:pPr>
              <w:pStyle w:val="Tabletext0"/>
              <w:rPr>
                <w:sz w:val="24"/>
                <w:szCs w:val="22"/>
              </w:rPr>
            </w:pPr>
            <w:r w:rsidRPr="00883399">
              <w:rPr>
                <w:sz w:val="24"/>
                <w:szCs w:val="22"/>
              </w:rPr>
              <w:lastRenderedPageBreak/>
              <w:t>Step 2</w:t>
            </w:r>
          </w:p>
        </w:tc>
        <w:tc>
          <w:tcPr>
            <w:tcW w:w="6678" w:type="dxa"/>
          </w:tcPr>
          <w:p w14:paraId="29259152" w14:textId="77777777" w:rsidR="00872C03" w:rsidRPr="00883399" w:rsidRDefault="00872C03" w:rsidP="0031057E">
            <w:pPr>
              <w:pStyle w:val="Tabletext0"/>
              <w:rPr>
                <w:sz w:val="24"/>
                <w:szCs w:val="22"/>
              </w:rPr>
            </w:pPr>
            <w:r w:rsidRPr="00883399">
              <w:rPr>
                <w:sz w:val="24"/>
                <w:szCs w:val="22"/>
              </w:rPr>
              <w:t>Add together the amount of emissions of carbon dioxide as measured in CO</w:t>
            </w:r>
            <w:r w:rsidRPr="00883399">
              <w:rPr>
                <w:rStyle w:val="Subscript"/>
                <w:iCs/>
                <w:sz w:val="24"/>
                <w:szCs w:val="22"/>
              </w:rPr>
              <w:t>2</w:t>
            </w:r>
            <w:r w:rsidRPr="00883399">
              <w:rPr>
                <w:sz w:val="24"/>
                <w:szCs w:val="22"/>
              </w:rPr>
              <w:noBreakHyphen/>
              <w:t>e tonnes released for each pure carbonate calcined in the production of cement clinker during the year.</w:t>
            </w:r>
          </w:p>
        </w:tc>
      </w:tr>
    </w:tbl>
    <w:p w14:paraId="65BFDC48" w14:textId="77777777" w:rsidR="00872C03" w:rsidRPr="00883399" w:rsidRDefault="00872C03" w:rsidP="00872C03">
      <w:pPr>
        <w:pStyle w:val="Tabletext0"/>
        <w:rPr>
          <w:sz w:val="22"/>
        </w:rPr>
      </w:pPr>
    </w:p>
    <w:p w14:paraId="0C72AA60" w14:textId="77777777" w:rsidR="00872C03" w:rsidRPr="00883399" w:rsidRDefault="00872C03" w:rsidP="00872C03">
      <w:pPr>
        <w:pStyle w:val="subsection"/>
        <w:rPr>
          <w:sz w:val="24"/>
        </w:rPr>
      </w:pPr>
      <w:r w:rsidRPr="00883399">
        <w:rPr>
          <w:sz w:val="24"/>
        </w:rPr>
        <w:tab/>
        <w:t>(2)</w:t>
      </w:r>
      <w:r w:rsidRPr="00883399">
        <w:rPr>
          <w:sz w:val="24"/>
        </w:rPr>
        <w:tab/>
        <w:t xml:space="preserve">For the factor </w:t>
      </w:r>
      <w:r w:rsidRPr="00883399">
        <w:rPr>
          <w:b/>
          <w:i/>
          <w:sz w:val="24"/>
        </w:rPr>
        <w:t>EF</w:t>
      </w:r>
      <w:r w:rsidRPr="00883399">
        <w:rPr>
          <w:rStyle w:val="charSubscript"/>
          <w:b/>
          <w:i/>
          <w:sz w:val="24"/>
        </w:rPr>
        <w:t>ckd</w:t>
      </w:r>
      <w:r w:rsidRPr="00883399">
        <w:rPr>
          <w:sz w:val="24"/>
        </w:rPr>
        <w:t xml:space="preserve"> in subsection (1), the carbon dioxide emission factor for calcined cement kiln dust is assumed to be the same as the emission factor for calcium carbonate.</w:t>
      </w:r>
    </w:p>
    <w:p w14:paraId="25FECDCA" w14:textId="77777777" w:rsidR="00872C03" w:rsidRPr="00883399" w:rsidRDefault="00872C03" w:rsidP="00872C03">
      <w:pPr>
        <w:pStyle w:val="subsection"/>
        <w:rPr>
          <w:sz w:val="24"/>
        </w:rPr>
      </w:pPr>
      <w:r w:rsidRPr="00883399">
        <w:rPr>
          <w:sz w:val="24"/>
        </w:rPr>
        <w:tab/>
        <w:t>(3)</w:t>
      </w:r>
      <w:r w:rsidRPr="00883399">
        <w:rPr>
          <w:sz w:val="24"/>
        </w:rPr>
        <w:tab/>
        <w:t xml:space="preserve">For the factor </w:t>
      </w:r>
      <w:r w:rsidRPr="00883399">
        <w:rPr>
          <w:b/>
          <w:i/>
          <w:sz w:val="24"/>
        </w:rPr>
        <w:t>Q</w:t>
      </w:r>
      <w:r w:rsidRPr="00883399">
        <w:rPr>
          <w:rStyle w:val="charSubscript"/>
          <w:b/>
          <w:i/>
          <w:sz w:val="24"/>
        </w:rPr>
        <w:t>toc</w:t>
      </w:r>
      <w:r w:rsidRPr="00883399">
        <w:rPr>
          <w:sz w:val="24"/>
        </w:rPr>
        <w:t xml:space="preserve"> in subsection (1), the quantity of carbon</w:t>
      </w:r>
      <w:r w:rsidRPr="00883399">
        <w:rPr>
          <w:sz w:val="24"/>
        </w:rPr>
        <w:noBreakHyphen/>
        <w:t>bearing non</w:t>
      </w:r>
      <w:r w:rsidRPr="00883399">
        <w:rPr>
          <w:sz w:val="24"/>
        </w:rPr>
        <w:noBreakHyphen/>
        <w:t>fuel raw material must be estimated in accordance with Division 4.2.5 as if a reference to carbonates consumed from the activity was a reference to carbon</w:t>
      </w:r>
      <w:r w:rsidRPr="00883399">
        <w:rPr>
          <w:sz w:val="24"/>
        </w:rPr>
        <w:noBreakHyphen/>
        <w:t>bearing non</w:t>
      </w:r>
      <w:r w:rsidRPr="00883399">
        <w:rPr>
          <w:sz w:val="24"/>
        </w:rPr>
        <w:noBreakHyphen/>
        <w:t>fuel raw material consumed from the activity.</w:t>
      </w:r>
    </w:p>
    <w:p w14:paraId="3B29789A" w14:textId="77777777" w:rsidR="00872C03" w:rsidRPr="00883399" w:rsidRDefault="00872C03" w:rsidP="00872C03">
      <w:pPr>
        <w:pStyle w:val="subsection"/>
        <w:rPr>
          <w:sz w:val="24"/>
        </w:rPr>
      </w:pPr>
      <w:r w:rsidRPr="00883399">
        <w:rPr>
          <w:sz w:val="24"/>
        </w:rPr>
        <w:tab/>
        <w:t>(4)</w:t>
      </w:r>
      <w:r w:rsidRPr="00883399">
        <w:rPr>
          <w:sz w:val="24"/>
        </w:rPr>
        <w:tab/>
        <w:t>Method 3 requires carbonates to be sampled and analysed in accordance with sections 4.9 and 4.10.</w:t>
      </w:r>
    </w:p>
    <w:p w14:paraId="41048AF4" w14:textId="53030080" w:rsidR="00872C03" w:rsidRPr="00883399" w:rsidRDefault="00872C03" w:rsidP="00872C03">
      <w:pPr>
        <w:pStyle w:val="ActHead5"/>
        <w:rPr>
          <w:sz w:val="28"/>
        </w:rPr>
      </w:pPr>
      <w:bookmarkStart w:id="817" w:name="_Toc423517006"/>
      <w:bookmarkStart w:id="818" w:name="_Toc495652938"/>
      <w:r w:rsidRPr="00883399">
        <w:rPr>
          <w:rStyle w:val="CharSectno"/>
          <w:sz w:val="28"/>
        </w:rPr>
        <w:t>4.9</w:t>
      </w:r>
      <w:r w:rsidRPr="00883399">
        <w:rPr>
          <w:sz w:val="28"/>
        </w:rPr>
        <w:t xml:space="preserve">  General requirements for sampling carbonates</w:t>
      </w:r>
      <w:bookmarkEnd w:id="817"/>
      <w:bookmarkEnd w:id="818"/>
    </w:p>
    <w:p w14:paraId="665398C4" w14:textId="77777777" w:rsidR="00872C03" w:rsidRPr="00883399" w:rsidRDefault="00872C03" w:rsidP="00872C03">
      <w:pPr>
        <w:pStyle w:val="subsection"/>
        <w:rPr>
          <w:sz w:val="24"/>
        </w:rPr>
      </w:pPr>
      <w:r w:rsidRPr="00883399">
        <w:rPr>
          <w:sz w:val="24"/>
        </w:rPr>
        <w:tab/>
        <w:t>(1)</w:t>
      </w:r>
      <w:r w:rsidRPr="00883399">
        <w:rPr>
          <w:sz w:val="24"/>
        </w:rPr>
        <w:tab/>
        <w:t>Method 3 requires carbonates to be sampled in accordance with the procedure for sampling cement clinker specified under section 4.6 for method 2.</w:t>
      </w:r>
    </w:p>
    <w:p w14:paraId="30188726" w14:textId="77777777" w:rsidR="00872C03" w:rsidRPr="00883399" w:rsidRDefault="00872C03" w:rsidP="00872C03">
      <w:pPr>
        <w:pStyle w:val="subsection"/>
        <w:rPr>
          <w:sz w:val="24"/>
        </w:rPr>
      </w:pPr>
      <w:r w:rsidRPr="00883399">
        <w:rPr>
          <w:sz w:val="24"/>
        </w:rPr>
        <w:tab/>
        <w:t>(2)</w:t>
      </w:r>
      <w:r w:rsidRPr="00883399">
        <w:rPr>
          <w:sz w:val="24"/>
        </w:rPr>
        <w:tab/>
        <w:t>In applying section 4.6, a reference in that section to cement clinker is taken to be a reference to a carbonate.</w:t>
      </w:r>
    </w:p>
    <w:p w14:paraId="38057E85" w14:textId="3D7D7D0C" w:rsidR="00872C03" w:rsidRPr="00883399" w:rsidRDefault="00872C03" w:rsidP="00872C03">
      <w:pPr>
        <w:pStyle w:val="ActHead5"/>
        <w:rPr>
          <w:sz w:val="28"/>
        </w:rPr>
      </w:pPr>
      <w:bookmarkStart w:id="819" w:name="_Toc423517007"/>
      <w:bookmarkStart w:id="820" w:name="_Toc495652939"/>
      <w:r w:rsidRPr="00883399">
        <w:rPr>
          <w:rStyle w:val="CharSectno"/>
          <w:sz w:val="28"/>
        </w:rPr>
        <w:t>4.10</w:t>
      </w:r>
      <w:r w:rsidRPr="00883399">
        <w:rPr>
          <w:sz w:val="28"/>
        </w:rPr>
        <w:t xml:space="preserve">  General requirements for analysing carbonates</w:t>
      </w:r>
      <w:bookmarkEnd w:id="819"/>
      <w:bookmarkEnd w:id="820"/>
    </w:p>
    <w:p w14:paraId="45D37342" w14:textId="77777777" w:rsidR="00872C03" w:rsidRPr="00883399" w:rsidRDefault="00872C03" w:rsidP="00872C03">
      <w:pPr>
        <w:pStyle w:val="subsection"/>
        <w:rPr>
          <w:sz w:val="24"/>
        </w:rPr>
      </w:pPr>
      <w:r w:rsidRPr="00883399">
        <w:rPr>
          <w:sz w:val="24"/>
        </w:rPr>
        <w:tab/>
        <w:t>(1)</w:t>
      </w:r>
      <w:r w:rsidRPr="00883399">
        <w:rPr>
          <w:sz w:val="24"/>
        </w:rPr>
        <w:tab/>
        <w:t>Analysis of samples of carbonates, including determining the quantity (in tonnes) of pure carbonate, must be done in accordance with industry practice or standards, and must be consistent with the principles in section 1.13.</w:t>
      </w:r>
    </w:p>
    <w:p w14:paraId="5BF974A1" w14:textId="77777777" w:rsidR="00872C03" w:rsidRPr="00883399" w:rsidRDefault="00872C03" w:rsidP="00872C03">
      <w:pPr>
        <w:pStyle w:val="subsection"/>
        <w:rPr>
          <w:sz w:val="24"/>
        </w:rPr>
      </w:pPr>
      <w:r w:rsidRPr="00883399">
        <w:rPr>
          <w:sz w:val="24"/>
        </w:rPr>
        <w:tab/>
        <w:t>(2)</w:t>
      </w:r>
      <w:r w:rsidRPr="00883399">
        <w:rPr>
          <w:sz w:val="24"/>
        </w:rPr>
        <w:tab/>
        <w:t>The minimum frequency of analysis of samples of carbonates must be in accordance with the Tier 3 method in section 2.2.1.1 of Chapter 2 of Volume 3 of the 2006 IPCC Guidelines</w:t>
      </w:r>
      <w:r w:rsidRPr="00883399">
        <w:rPr>
          <w:i/>
          <w:sz w:val="24"/>
        </w:rPr>
        <w:t>.</w:t>
      </w:r>
    </w:p>
    <w:p w14:paraId="0BFC3389" w14:textId="6C575AB0" w:rsidR="00872C03" w:rsidRPr="00883399" w:rsidRDefault="00872C03" w:rsidP="00872C03">
      <w:pPr>
        <w:pStyle w:val="ActHead3"/>
        <w:pageBreakBefore/>
        <w:rPr>
          <w:sz w:val="32"/>
        </w:rPr>
      </w:pPr>
      <w:bookmarkStart w:id="821" w:name="_Toc423517008"/>
      <w:bookmarkStart w:id="822" w:name="_Toc495652940"/>
      <w:r w:rsidRPr="00883399">
        <w:rPr>
          <w:rStyle w:val="CharDivNo"/>
          <w:sz w:val="32"/>
        </w:rPr>
        <w:lastRenderedPageBreak/>
        <w:t>Division 4.2.2</w:t>
      </w:r>
      <w:r w:rsidRPr="00883399">
        <w:rPr>
          <w:sz w:val="32"/>
        </w:rPr>
        <w:t>—</w:t>
      </w:r>
      <w:r w:rsidRPr="00883399">
        <w:rPr>
          <w:rStyle w:val="CharDivText"/>
          <w:sz w:val="32"/>
        </w:rPr>
        <w:t>Lime production</w:t>
      </w:r>
      <w:bookmarkEnd w:id="821"/>
      <w:bookmarkEnd w:id="822"/>
    </w:p>
    <w:p w14:paraId="6551C996" w14:textId="77777777" w:rsidR="00872C03" w:rsidRPr="00883399" w:rsidRDefault="00872C03" w:rsidP="00872C03">
      <w:pPr>
        <w:pStyle w:val="Text"/>
        <w:rPr>
          <w:rStyle w:val="CharSectno"/>
          <w:rFonts w:ascii="Arial" w:hAnsi="Arial" w:cs="Arial"/>
          <w:sz w:val="22"/>
          <w:szCs w:val="22"/>
        </w:rPr>
      </w:pPr>
      <w:bookmarkStart w:id="823" w:name="_Toc423517009"/>
      <w:r w:rsidRPr="00883399">
        <w:rPr>
          <w:rStyle w:val="CharSchPTText"/>
          <w:rFonts w:ascii="Arial" w:hAnsi="Arial" w:cs="Arial"/>
          <w:sz w:val="22"/>
          <w:szCs w:val="22"/>
        </w:rPr>
        <w:t>Lime is a chemical having major uses in metallurgy and construction. Lime is produced by heating carbonate raw materials in a kiln. During this process, carbon dioxide is emitted</w:t>
      </w:r>
      <w:r w:rsidRPr="00883399">
        <w:rPr>
          <w:rStyle w:val="CharSectno"/>
          <w:rFonts w:ascii="Arial" w:hAnsi="Arial" w:cs="Arial"/>
          <w:sz w:val="22"/>
          <w:szCs w:val="22"/>
        </w:rPr>
        <w:t xml:space="preserve">. </w:t>
      </w:r>
    </w:p>
    <w:p w14:paraId="0DAF6FE3" w14:textId="77777777" w:rsidR="00872C03" w:rsidRPr="00883399" w:rsidRDefault="00872C03" w:rsidP="00872C03">
      <w:pPr>
        <w:pStyle w:val="Text"/>
        <w:rPr>
          <w:rStyle w:val="CharSectno"/>
          <w:rFonts w:ascii="Arial" w:hAnsi="Arial" w:cs="Arial"/>
          <w:sz w:val="22"/>
          <w:szCs w:val="22"/>
        </w:rPr>
      </w:pPr>
      <w:r w:rsidRPr="00883399">
        <w:rPr>
          <w:rFonts w:ascii="Arial" w:hAnsi="Arial" w:cs="Arial"/>
          <w:sz w:val="22"/>
          <w:szCs w:val="22"/>
        </w:rPr>
        <w:t>Lime kiln dust may be produced as part of the lime production process and can be recycled through the system. However at the end of the process some lime kiln dust may still remain. The quantity of kiln dust produced impacts on the emissions estimate and is included as part of the method,</w:t>
      </w:r>
    </w:p>
    <w:p w14:paraId="1E641CA0" w14:textId="77777777" w:rsidR="00872C03" w:rsidRPr="00883399" w:rsidRDefault="00872C03" w:rsidP="00872C03">
      <w:pPr>
        <w:pStyle w:val="Text"/>
        <w:rPr>
          <w:rStyle w:val="CharSectno"/>
          <w:rFonts w:ascii="Arial" w:hAnsi="Arial" w:cs="Arial"/>
          <w:sz w:val="22"/>
          <w:szCs w:val="22"/>
        </w:rPr>
      </w:pPr>
      <w:r w:rsidRPr="00883399">
        <w:rPr>
          <w:rStyle w:val="CharSectno"/>
          <w:rFonts w:ascii="Arial" w:hAnsi="Arial" w:cs="Arial"/>
          <w:sz w:val="22"/>
          <w:szCs w:val="22"/>
        </w:rPr>
        <w:t xml:space="preserve">Emissions from the in-house production of lime in the metals industry is estimated under Division 4.2.3. </w:t>
      </w:r>
    </w:p>
    <w:p w14:paraId="01AAF2B5" w14:textId="796F3070" w:rsidR="00872C03" w:rsidRPr="00883399" w:rsidRDefault="00872C03" w:rsidP="00872C03">
      <w:pPr>
        <w:pStyle w:val="ActHead5"/>
        <w:rPr>
          <w:sz w:val="28"/>
        </w:rPr>
      </w:pPr>
      <w:bookmarkStart w:id="824" w:name="_Toc495652941"/>
      <w:r w:rsidRPr="00883399">
        <w:rPr>
          <w:rStyle w:val="CharSectno"/>
          <w:sz w:val="28"/>
        </w:rPr>
        <w:t>4.11</w:t>
      </w:r>
      <w:r w:rsidRPr="00883399">
        <w:rPr>
          <w:sz w:val="28"/>
        </w:rPr>
        <w:t xml:space="preserve">  Application</w:t>
      </w:r>
      <w:bookmarkEnd w:id="823"/>
      <w:bookmarkEnd w:id="824"/>
    </w:p>
    <w:p w14:paraId="162DAF4C" w14:textId="77777777" w:rsidR="00872C03" w:rsidRPr="00883399" w:rsidRDefault="00872C03" w:rsidP="00872C03">
      <w:pPr>
        <w:pStyle w:val="subsection"/>
        <w:rPr>
          <w:sz w:val="24"/>
        </w:rPr>
      </w:pPr>
      <w:r w:rsidRPr="00883399">
        <w:rPr>
          <w:sz w:val="24"/>
        </w:rPr>
        <w:tab/>
      </w:r>
      <w:r w:rsidRPr="00883399">
        <w:rPr>
          <w:sz w:val="24"/>
        </w:rPr>
        <w:tab/>
        <w:t>This Division applies to lime production (other than the in</w:t>
      </w:r>
      <w:r w:rsidRPr="00883399">
        <w:rPr>
          <w:sz w:val="24"/>
        </w:rPr>
        <w:noBreakHyphen/>
        <w:t>house production of lime in the metals industry).</w:t>
      </w:r>
    </w:p>
    <w:p w14:paraId="71AAAA29" w14:textId="181E02B4" w:rsidR="00872C03" w:rsidRPr="00883399" w:rsidRDefault="00872C03" w:rsidP="00872C03">
      <w:pPr>
        <w:pStyle w:val="ActHead5"/>
        <w:rPr>
          <w:sz w:val="28"/>
        </w:rPr>
      </w:pPr>
      <w:bookmarkStart w:id="825" w:name="_Toc423517010"/>
      <w:bookmarkStart w:id="826" w:name="_Toc495652942"/>
      <w:r w:rsidRPr="00883399">
        <w:rPr>
          <w:rStyle w:val="CharSectno"/>
          <w:sz w:val="28"/>
        </w:rPr>
        <w:t>4.12</w:t>
      </w:r>
      <w:r w:rsidRPr="00883399">
        <w:rPr>
          <w:sz w:val="28"/>
        </w:rPr>
        <w:t xml:space="preserve">  Available methods</w:t>
      </w:r>
      <w:bookmarkEnd w:id="825"/>
      <w:bookmarkEnd w:id="826"/>
    </w:p>
    <w:p w14:paraId="3B4ED68A" w14:textId="77777777" w:rsidR="00872C03" w:rsidRPr="00883399" w:rsidRDefault="00872C03" w:rsidP="00872C03">
      <w:pPr>
        <w:pStyle w:val="subsection"/>
        <w:rPr>
          <w:sz w:val="24"/>
        </w:rPr>
      </w:pPr>
      <w:r w:rsidRPr="00883399">
        <w:rPr>
          <w:sz w:val="24"/>
        </w:rPr>
        <w:tab/>
        <w:t>(1)</w:t>
      </w:r>
      <w:r w:rsidRPr="00883399">
        <w:rPr>
          <w:sz w:val="24"/>
        </w:rPr>
        <w:tab/>
        <w:t>Subject to section 1.18, one of the following methods must be used for estimating emissions of carbon dioxide released during a year from the operation of a facility that is constituted by the production of lime (other than the in</w:t>
      </w:r>
      <w:r w:rsidRPr="00883399">
        <w:rPr>
          <w:sz w:val="24"/>
        </w:rPr>
        <w:noBreakHyphen/>
        <w:t>house production of lime in the ferrous metals industry):</w:t>
      </w:r>
    </w:p>
    <w:p w14:paraId="5A89387C" w14:textId="77777777" w:rsidR="00872C03" w:rsidRPr="00883399" w:rsidRDefault="00872C03" w:rsidP="00872C03">
      <w:pPr>
        <w:pStyle w:val="paragraph"/>
        <w:rPr>
          <w:sz w:val="24"/>
        </w:rPr>
      </w:pPr>
      <w:r w:rsidRPr="00883399">
        <w:rPr>
          <w:sz w:val="24"/>
        </w:rPr>
        <w:tab/>
        <w:t>(a)</w:t>
      </w:r>
      <w:r w:rsidRPr="00883399">
        <w:rPr>
          <w:sz w:val="24"/>
        </w:rPr>
        <w:tab/>
        <w:t>method 1 under section 4.13;</w:t>
      </w:r>
    </w:p>
    <w:p w14:paraId="5D48CA68" w14:textId="77777777" w:rsidR="00872C03" w:rsidRPr="00883399" w:rsidRDefault="00872C03" w:rsidP="00872C03">
      <w:pPr>
        <w:pStyle w:val="paragraph"/>
        <w:rPr>
          <w:sz w:val="24"/>
        </w:rPr>
      </w:pPr>
      <w:r w:rsidRPr="00883399">
        <w:rPr>
          <w:sz w:val="24"/>
        </w:rPr>
        <w:tab/>
        <w:t>(b)</w:t>
      </w:r>
      <w:r w:rsidRPr="00883399">
        <w:rPr>
          <w:sz w:val="24"/>
        </w:rPr>
        <w:tab/>
        <w:t>method 2 under section 4.14;</w:t>
      </w:r>
    </w:p>
    <w:p w14:paraId="4C89DE0F" w14:textId="77777777" w:rsidR="00872C03" w:rsidRPr="00883399" w:rsidRDefault="00872C03" w:rsidP="00872C03">
      <w:pPr>
        <w:pStyle w:val="paragraph"/>
        <w:rPr>
          <w:sz w:val="24"/>
        </w:rPr>
      </w:pPr>
      <w:r w:rsidRPr="00883399">
        <w:rPr>
          <w:sz w:val="24"/>
        </w:rPr>
        <w:tab/>
        <w:t>(c)</w:t>
      </w:r>
      <w:r w:rsidRPr="00883399">
        <w:rPr>
          <w:sz w:val="24"/>
        </w:rPr>
        <w:tab/>
        <w:t>method 3 under section 4.17;</w:t>
      </w:r>
    </w:p>
    <w:p w14:paraId="6018BCF7" w14:textId="77777777" w:rsidR="00872C03" w:rsidRPr="00883399" w:rsidRDefault="00872C03" w:rsidP="00872C03">
      <w:pPr>
        <w:pStyle w:val="paragraph"/>
        <w:rPr>
          <w:sz w:val="24"/>
        </w:rPr>
      </w:pPr>
      <w:r w:rsidRPr="00883399">
        <w:rPr>
          <w:sz w:val="24"/>
        </w:rPr>
        <w:tab/>
        <w:t>(d)</w:t>
      </w:r>
      <w:r w:rsidRPr="00883399">
        <w:rPr>
          <w:sz w:val="24"/>
        </w:rPr>
        <w:tab/>
        <w:t>method 4 under Part 1.3.</w:t>
      </w:r>
    </w:p>
    <w:p w14:paraId="30162F91" w14:textId="77777777" w:rsidR="00872C03" w:rsidRPr="00883399" w:rsidRDefault="00872C03" w:rsidP="00872C03">
      <w:pPr>
        <w:pStyle w:val="subsection"/>
        <w:rPr>
          <w:sz w:val="24"/>
        </w:rPr>
      </w:pPr>
      <w:r w:rsidRPr="00883399">
        <w:rPr>
          <w:sz w:val="24"/>
        </w:rPr>
        <w:tab/>
        <w:t>(2)</w:t>
      </w:r>
      <w:r w:rsidRPr="00883399">
        <w:rPr>
          <w:sz w:val="24"/>
        </w:rPr>
        <w:tab/>
        <w:t>However, for incidental emissions another method may be used that is consistent with the principles in section 1.13.</w:t>
      </w:r>
    </w:p>
    <w:p w14:paraId="5E2B8D5D" w14:textId="77777777" w:rsidR="005033AE" w:rsidRPr="00883399" w:rsidRDefault="005033AE" w:rsidP="00872C03">
      <w:pPr>
        <w:pStyle w:val="subsection"/>
        <w:rPr>
          <w:sz w:val="24"/>
        </w:rPr>
      </w:pPr>
    </w:p>
    <w:p w14:paraId="47DB11C2" w14:textId="77777777" w:rsidR="005033AE" w:rsidRPr="00883399" w:rsidRDefault="005033AE" w:rsidP="00872C03">
      <w:pPr>
        <w:pStyle w:val="subsection"/>
        <w:rPr>
          <w:sz w:val="24"/>
        </w:rPr>
      </w:pPr>
    </w:p>
    <w:p w14:paraId="3A452BAC" w14:textId="77777777" w:rsidR="005033AE" w:rsidRPr="00883399" w:rsidRDefault="005033AE" w:rsidP="00872C03">
      <w:pPr>
        <w:pStyle w:val="subsection"/>
        <w:rPr>
          <w:sz w:val="24"/>
        </w:rPr>
      </w:pPr>
    </w:p>
    <w:p w14:paraId="0AA94A6B" w14:textId="77777777" w:rsidR="005033AE" w:rsidRPr="00883399" w:rsidRDefault="005033AE" w:rsidP="00872C03">
      <w:pPr>
        <w:pStyle w:val="subsection"/>
        <w:rPr>
          <w:sz w:val="24"/>
        </w:rPr>
      </w:pPr>
    </w:p>
    <w:p w14:paraId="1B9891B0" w14:textId="77777777" w:rsidR="005033AE" w:rsidRPr="00883399" w:rsidRDefault="005033AE" w:rsidP="00872C03">
      <w:pPr>
        <w:pStyle w:val="subsection"/>
        <w:rPr>
          <w:sz w:val="24"/>
        </w:rPr>
      </w:pPr>
    </w:p>
    <w:p w14:paraId="4719C3DC" w14:textId="77777777" w:rsidR="00872C03" w:rsidRPr="00883399" w:rsidRDefault="00872C03" w:rsidP="00872C03">
      <w:pPr>
        <w:pStyle w:val="R2"/>
        <w:ind w:hanging="62"/>
        <w:rPr>
          <w:b/>
        </w:rPr>
      </w:pPr>
      <w:bookmarkStart w:id="827" w:name="_Toc423517011"/>
      <w:r w:rsidRPr="00883399">
        <w:rPr>
          <w:b/>
        </w:rPr>
        <w:t>Summary of available methods, for estimating emissions from lime production, by emissions of gas type (j)</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6"/>
        <w:gridCol w:w="1754"/>
        <w:gridCol w:w="1627"/>
        <w:gridCol w:w="1298"/>
      </w:tblGrid>
      <w:tr w:rsidR="00872C03" w:rsidRPr="00883399" w14:paraId="4DECF4E8" w14:textId="77777777" w:rsidTr="0031057E">
        <w:tc>
          <w:tcPr>
            <w:tcW w:w="2640" w:type="dxa"/>
            <w:shd w:val="clear" w:color="auto" w:fill="E6E6E6"/>
          </w:tcPr>
          <w:p w14:paraId="427BAE3B" w14:textId="77777777" w:rsidR="00872C03" w:rsidRPr="00883399" w:rsidRDefault="00872C03" w:rsidP="0031057E">
            <w:pPr>
              <w:pStyle w:val="Text"/>
            </w:pPr>
          </w:p>
        </w:tc>
        <w:tc>
          <w:tcPr>
            <w:tcW w:w="1800" w:type="dxa"/>
            <w:shd w:val="clear" w:color="auto" w:fill="E6E6E6"/>
          </w:tcPr>
          <w:p w14:paraId="1DD7E913" w14:textId="77777777" w:rsidR="00872C03" w:rsidRPr="00883399" w:rsidRDefault="00872C03" w:rsidP="0031057E">
            <w:pPr>
              <w:pStyle w:val="Text"/>
            </w:pPr>
            <w:r w:rsidRPr="00883399">
              <w:t>CO</w:t>
            </w:r>
            <w:r w:rsidRPr="00883399">
              <w:rPr>
                <w:vertAlign w:val="subscript"/>
              </w:rPr>
              <w:t>2</w:t>
            </w:r>
          </w:p>
        </w:tc>
        <w:tc>
          <w:tcPr>
            <w:tcW w:w="1680" w:type="dxa"/>
            <w:shd w:val="clear" w:color="auto" w:fill="E6E6E6"/>
          </w:tcPr>
          <w:p w14:paraId="7F1536FF" w14:textId="77777777" w:rsidR="00872C03" w:rsidRPr="00883399" w:rsidRDefault="00872C03" w:rsidP="0031057E">
            <w:pPr>
              <w:pStyle w:val="Text"/>
            </w:pPr>
            <w:r w:rsidRPr="00883399">
              <w:t>CH</w:t>
            </w:r>
            <w:r w:rsidRPr="00883399">
              <w:rPr>
                <w:vertAlign w:val="subscript"/>
              </w:rPr>
              <w:t>4</w:t>
            </w:r>
          </w:p>
        </w:tc>
        <w:tc>
          <w:tcPr>
            <w:tcW w:w="1334" w:type="dxa"/>
            <w:shd w:val="clear" w:color="auto" w:fill="E6E6E6"/>
          </w:tcPr>
          <w:p w14:paraId="6BEBBE35" w14:textId="77777777" w:rsidR="00872C03" w:rsidRPr="00883399" w:rsidRDefault="00872C03" w:rsidP="0031057E">
            <w:pPr>
              <w:pStyle w:val="Text"/>
            </w:pPr>
            <w:r w:rsidRPr="00883399">
              <w:t>N</w:t>
            </w:r>
            <w:r w:rsidRPr="00883399">
              <w:rPr>
                <w:vertAlign w:val="subscript"/>
              </w:rPr>
              <w:t>2</w:t>
            </w:r>
            <w:r w:rsidRPr="00883399">
              <w:t>O</w:t>
            </w:r>
          </w:p>
        </w:tc>
      </w:tr>
      <w:tr w:rsidR="00872C03" w:rsidRPr="00883399" w14:paraId="5708ED05" w14:textId="77777777" w:rsidTr="0031057E">
        <w:tc>
          <w:tcPr>
            <w:tcW w:w="2640" w:type="dxa"/>
          </w:tcPr>
          <w:p w14:paraId="167C59A7" w14:textId="77777777" w:rsidR="00872C03" w:rsidRPr="00883399" w:rsidRDefault="00872C03" w:rsidP="0031057E">
            <w:pPr>
              <w:pStyle w:val="Text"/>
              <w:spacing w:before="120" w:line="240" w:lineRule="auto"/>
            </w:pPr>
            <w:r w:rsidRPr="00883399">
              <w:t>Method 1</w:t>
            </w:r>
          </w:p>
        </w:tc>
        <w:tc>
          <w:tcPr>
            <w:tcW w:w="1800" w:type="dxa"/>
          </w:tcPr>
          <w:p w14:paraId="3B880853" w14:textId="77777777" w:rsidR="00872C03" w:rsidRPr="00883399" w:rsidRDefault="00872C03" w:rsidP="0031057E">
            <w:pPr>
              <w:pStyle w:val="Text"/>
              <w:spacing w:before="120" w:line="240" w:lineRule="auto"/>
            </w:pPr>
            <w:r w:rsidRPr="00883399">
              <w:t>Section 4.13</w:t>
            </w:r>
          </w:p>
        </w:tc>
        <w:tc>
          <w:tcPr>
            <w:tcW w:w="1680" w:type="dxa"/>
          </w:tcPr>
          <w:p w14:paraId="6CB43BE1" w14:textId="77777777" w:rsidR="00872C03" w:rsidRPr="00883399" w:rsidRDefault="00872C03" w:rsidP="0031057E">
            <w:pPr>
              <w:pStyle w:val="Text"/>
              <w:spacing w:before="120" w:line="240" w:lineRule="auto"/>
            </w:pPr>
            <w:r w:rsidRPr="00883399">
              <w:t>NO</w:t>
            </w:r>
          </w:p>
        </w:tc>
        <w:tc>
          <w:tcPr>
            <w:tcW w:w="1334" w:type="dxa"/>
          </w:tcPr>
          <w:p w14:paraId="596A1DE0" w14:textId="77777777" w:rsidR="00872C03" w:rsidRPr="00883399" w:rsidRDefault="00872C03" w:rsidP="0031057E">
            <w:pPr>
              <w:pStyle w:val="Text"/>
              <w:spacing w:before="120" w:line="240" w:lineRule="auto"/>
            </w:pPr>
            <w:r w:rsidRPr="00883399">
              <w:t>NO</w:t>
            </w:r>
          </w:p>
        </w:tc>
      </w:tr>
      <w:tr w:rsidR="00872C03" w:rsidRPr="00883399" w14:paraId="520758E7" w14:textId="77777777" w:rsidTr="0031057E">
        <w:tc>
          <w:tcPr>
            <w:tcW w:w="2640" w:type="dxa"/>
          </w:tcPr>
          <w:p w14:paraId="0C79C012" w14:textId="77777777" w:rsidR="00872C03" w:rsidRPr="00883399" w:rsidRDefault="00872C03" w:rsidP="0031057E">
            <w:pPr>
              <w:pStyle w:val="Text"/>
              <w:spacing w:before="120" w:line="240" w:lineRule="auto"/>
            </w:pPr>
            <w:r w:rsidRPr="00883399">
              <w:t>Method 2</w:t>
            </w:r>
          </w:p>
        </w:tc>
        <w:tc>
          <w:tcPr>
            <w:tcW w:w="1800" w:type="dxa"/>
          </w:tcPr>
          <w:p w14:paraId="35CA318E" w14:textId="77777777" w:rsidR="00872C03" w:rsidRPr="00883399" w:rsidRDefault="00872C03" w:rsidP="0031057E">
            <w:pPr>
              <w:pStyle w:val="Text"/>
              <w:spacing w:before="120" w:line="240" w:lineRule="auto"/>
            </w:pPr>
            <w:r w:rsidRPr="00883399">
              <w:t>Section 4.14</w:t>
            </w:r>
          </w:p>
        </w:tc>
        <w:tc>
          <w:tcPr>
            <w:tcW w:w="1680" w:type="dxa"/>
          </w:tcPr>
          <w:p w14:paraId="28DBE536" w14:textId="77777777" w:rsidR="00872C03" w:rsidRPr="00883399" w:rsidRDefault="00872C03" w:rsidP="0031057E">
            <w:pPr>
              <w:pStyle w:val="Text"/>
              <w:spacing w:before="120" w:line="240" w:lineRule="auto"/>
            </w:pPr>
            <w:r w:rsidRPr="00883399">
              <w:t>NO</w:t>
            </w:r>
          </w:p>
        </w:tc>
        <w:tc>
          <w:tcPr>
            <w:tcW w:w="1334" w:type="dxa"/>
          </w:tcPr>
          <w:p w14:paraId="16F50D2E" w14:textId="77777777" w:rsidR="00872C03" w:rsidRPr="00883399" w:rsidRDefault="00872C03" w:rsidP="0031057E">
            <w:pPr>
              <w:pStyle w:val="Text"/>
              <w:spacing w:before="120" w:line="240" w:lineRule="auto"/>
            </w:pPr>
            <w:r w:rsidRPr="00883399">
              <w:t>NO</w:t>
            </w:r>
          </w:p>
        </w:tc>
      </w:tr>
      <w:tr w:rsidR="00872C03" w:rsidRPr="00883399" w14:paraId="2D8649CF" w14:textId="77777777" w:rsidTr="0031057E">
        <w:tc>
          <w:tcPr>
            <w:tcW w:w="2640" w:type="dxa"/>
          </w:tcPr>
          <w:p w14:paraId="7EEA82C9" w14:textId="77777777" w:rsidR="00872C03" w:rsidRPr="00883399" w:rsidRDefault="00872C03" w:rsidP="0031057E">
            <w:pPr>
              <w:pStyle w:val="Text"/>
              <w:spacing w:before="120" w:line="240" w:lineRule="auto"/>
            </w:pPr>
            <w:r w:rsidRPr="00883399">
              <w:t>Method 3</w:t>
            </w:r>
          </w:p>
        </w:tc>
        <w:tc>
          <w:tcPr>
            <w:tcW w:w="1800" w:type="dxa"/>
          </w:tcPr>
          <w:p w14:paraId="05A8564E" w14:textId="77777777" w:rsidR="00872C03" w:rsidRPr="00883399" w:rsidRDefault="00872C03" w:rsidP="0031057E">
            <w:pPr>
              <w:pStyle w:val="Text"/>
              <w:spacing w:before="120" w:line="240" w:lineRule="auto"/>
            </w:pPr>
            <w:r w:rsidRPr="00883399">
              <w:t>Section 4.17</w:t>
            </w:r>
          </w:p>
        </w:tc>
        <w:tc>
          <w:tcPr>
            <w:tcW w:w="1680" w:type="dxa"/>
          </w:tcPr>
          <w:p w14:paraId="2603966D" w14:textId="77777777" w:rsidR="00872C03" w:rsidRPr="00883399" w:rsidRDefault="00872C03" w:rsidP="0031057E">
            <w:pPr>
              <w:pStyle w:val="Text"/>
              <w:spacing w:before="120" w:line="240" w:lineRule="auto"/>
            </w:pPr>
            <w:r w:rsidRPr="00883399">
              <w:t>NO</w:t>
            </w:r>
          </w:p>
        </w:tc>
        <w:tc>
          <w:tcPr>
            <w:tcW w:w="1334" w:type="dxa"/>
          </w:tcPr>
          <w:p w14:paraId="72AE8DE4" w14:textId="77777777" w:rsidR="00872C03" w:rsidRPr="00883399" w:rsidRDefault="00872C03" w:rsidP="0031057E">
            <w:pPr>
              <w:pStyle w:val="Text"/>
              <w:spacing w:before="120" w:line="240" w:lineRule="auto"/>
            </w:pPr>
            <w:r w:rsidRPr="00883399">
              <w:t>NO</w:t>
            </w:r>
          </w:p>
        </w:tc>
      </w:tr>
      <w:tr w:rsidR="00872C03" w:rsidRPr="00883399" w14:paraId="447DCEAD" w14:textId="77777777" w:rsidTr="0031057E">
        <w:tc>
          <w:tcPr>
            <w:tcW w:w="2640" w:type="dxa"/>
          </w:tcPr>
          <w:p w14:paraId="13CA45EC" w14:textId="77777777" w:rsidR="00872C03" w:rsidRPr="00883399" w:rsidRDefault="00872C03" w:rsidP="0031057E">
            <w:pPr>
              <w:pStyle w:val="Text"/>
              <w:spacing w:before="120" w:line="240" w:lineRule="auto"/>
            </w:pPr>
            <w:r w:rsidRPr="00883399">
              <w:t>Method 4</w:t>
            </w:r>
          </w:p>
        </w:tc>
        <w:tc>
          <w:tcPr>
            <w:tcW w:w="1800" w:type="dxa"/>
          </w:tcPr>
          <w:p w14:paraId="51E9194B" w14:textId="77777777" w:rsidR="00872C03" w:rsidRPr="00883399" w:rsidRDefault="00872C03" w:rsidP="0031057E">
            <w:pPr>
              <w:pStyle w:val="Text"/>
              <w:spacing w:before="120" w:line="240" w:lineRule="auto"/>
            </w:pPr>
            <w:r w:rsidRPr="00883399">
              <w:t>Part 1.3</w:t>
            </w:r>
          </w:p>
        </w:tc>
        <w:tc>
          <w:tcPr>
            <w:tcW w:w="1680" w:type="dxa"/>
          </w:tcPr>
          <w:p w14:paraId="767C32AD" w14:textId="77777777" w:rsidR="00872C03" w:rsidRPr="00883399" w:rsidRDefault="00872C03" w:rsidP="0031057E">
            <w:pPr>
              <w:pStyle w:val="Text"/>
              <w:spacing w:before="120" w:line="240" w:lineRule="auto"/>
            </w:pPr>
            <w:r w:rsidRPr="00883399">
              <w:t>NO</w:t>
            </w:r>
          </w:p>
        </w:tc>
        <w:tc>
          <w:tcPr>
            <w:tcW w:w="1334" w:type="dxa"/>
          </w:tcPr>
          <w:p w14:paraId="15B10E49" w14:textId="77777777" w:rsidR="00872C03" w:rsidRPr="00883399" w:rsidRDefault="00872C03" w:rsidP="0031057E">
            <w:pPr>
              <w:pStyle w:val="Text"/>
              <w:spacing w:before="120" w:line="240" w:lineRule="auto"/>
            </w:pPr>
            <w:r w:rsidRPr="00883399">
              <w:t>NO</w:t>
            </w:r>
          </w:p>
        </w:tc>
      </w:tr>
    </w:tbl>
    <w:p w14:paraId="296E999E" w14:textId="77777777" w:rsidR="00872C03" w:rsidRPr="00883399" w:rsidRDefault="00872C03" w:rsidP="00872C03">
      <w:pPr>
        <w:pStyle w:val="R2"/>
        <w:ind w:left="900" w:firstLine="0"/>
        <w:rPr>
          <w:sz w:val="20"/>
          <w:szCs w:val="20"/>
        </w:rPr>
      </w:pPr>
      <w:r w:rsidRPr="00883399">
        <w:rPr>
          <w:sz w:val="20"/>
          <w:szCs w:val="20"/>
        </w:rPr>
        <w:t>NO = Not occurring</w:t>
      </w:r>
    </w:p>
    <w:p w14:paraId="130802EA" w14:textId="7E0ECD3A" w:rsidR="00872C03" w:rsidRPr="00883399" w:rsidRDefault="00872C03" w:rsidP="00872C03">
      <w:pPr>
        <w:pStyle w:val="ActHead5"/>
        <w:rPr>
          <w:sz w:val="28"/>
        </w:rPr>
      </w:pPr>
      <w:bookmarkStart w:id="828" w:name="_Toc495652943"/>
      <w:r w:rsidRPr="00883399">
        <w:rPr>
          <w:rStyle w:val="CharSectno"/>
          <w:sz w:val="28"/>
        </w:rPr>
        <w:t>4.13</w:t>
      </w:r>
      <w:r w:rsidRPr="00883399">
        <w:rPr>
          <w:sz w:val="28"/>
        </w:rPr>
        <w:t xml:space="preserve">  Method 1—lime production</w:t>
      </w:r>
      <w:bookmarkEnd w:id="827"/>
      <w:bookmarkEnd w:id="828"/>
    </w:p>
    <w:p w14:paraId="35648D8C" w14:textId="77777777" w:rsidR="00872C03" w:rsidRPr="00883399" w:rsidRDefault="00872C03" w:rsidP="00872C03">
      <w:pPr>
        <w:pStyle w:val="R1"/>
        <w:keepLines w:val="0"/>
        <w:spacing w:before="240" w:line="312" w:lineRule="auto"/>
        <w:ind w:left="0" w:firstLine="0"/>
        <w:jc w:val="left"/>
        <w:rPr>
          <w:rStyle w:val="CharSectno"/>
          <w:rFonts w:ascii="Arial" w:hAnsi="Arial" w:cs="Arial"/>
          <w:sz w:val="22"/>
          <w:szCs w:val="22"/>
        </w:rPr>
      </w:pPr>
      <w:r w:rsidRPr="00883399">
        <w:tab/>
      </w:r>
      <w:r w:rsidRPr="00883399">
        <w:rPr>
          <w:rFonts w:ascii="Arial" w:hAnsi="Arial" w:cs="Arial"/>
          <w:sz w:val="22"/>
          <w:szCs w:val="22"/>
        </w:rPr>
        <w:t xml:space="preserve">Method 1 for the production of lime is derived from the </w:t>
      </w:r>
      <w:r w:rsidRPr="00883399">
        <w:rPr>
          <w:rFonts w:ascii="Arial" w:hAnsi="Arial" w:cs="Arial"/>
          <w:i/>
          <w:sz w:val="22"/>
          <w:szCs w:val="22"/>
        </w:rPr>
        <w:t>National Greenhouse Account</w:t>
      </w:r>
      <w:r w:rsidRPr="00883399">
        <w:rPr>
          <w:rFonts w:ascii="Arial" w:hAnsi="Arial" w:cs="Arial"/>
          <w:sz w:val="22"/>
          <w:szCs w:val="22"/>
        </w:rPr>
        <w:t xml:space="preserve"> national methodology as published in the </w:t>
      </w:r>
      <w:r w:rsidRPr="00883399">
        <w:rPr>
          <w:rFonts w:ascii="Arial" w:hAnsi="Arial" w:cs="Arial"/>
          <w:i/>
          <w:sz w:val="22"/>
          <w:szCs w:val="22"/>
        </w:rPr>
        <w:t>National Inventory Report</w:t>
      </w:r>
      <w:r w:rsidRPr="00883399">
        <w:rPr>
          <w:rFonts w:ascii="Arial" w:hAnsi="Arial" w:cs="Arial"/>
          <w:sz w:val="22"/>
          <w:szCs w:val="22"/>
        </w:rPr>
        <w:t xml:space="preserve">. </w:t>
      </w:r>
      <w:r w:rsidRPr="00883399">
        <w:rPr>
          <w:rStyle w:val="CharSectno"/>
          <w:rFonts w:ascii="Arial" w:hAnsi="Arial" w:cs="Arial"/>
          <w:sz w:val="22"/>
          <w:szCs w:val="22"/>
        </w:rPr>
        <w:t>It involves the multiplication of the quantity of lime produced by the emission factor for lime.</w:t>
      </w:r>
    </w:p>
    <w:p w14:paraId="6D96F2B9" w14:textId="77777777" w:rsidR="00872C03" w:rsidRPr="00883399" w:rsidRDefault="00872C03" w:rsidP="00872C03">
      <w:pPr>
        <w:pStyle w:val="R1"/>
        <w:keepLines w:val="0"/>
        <w:spacing w:before="240" w:line="312" w:lineRule="auto"/>
        <w:ind w:left="0" w:firstLine="0"/>
        <w:jc w:val="left"/>
      </w:pPr>
      <w:r w:rsidRPr="00883399">
        <w:rPr>
          <w:rFonts w:ascii="Arial" w:hAnsi="Arial" w:cs="Arial"/>
          <w:sz w:val="22"/>
          <w:szCs w:val="22"/>
        </w:rPr>
        <w:t>Lime kiln dust may be produced as part of the lime production process and can be recycled through the system. However at the end of the process some lime kiln dust may still remain. The quantity of kiln dust produced impacts on the emissions estimate and is included as part of the method,</w:t>
      </w:r>
    </w:p>
    <w:p w14:paraId="52EA8C41" w14:textId="77777777" w:rsidR="00872C03" w:rsidRPr="00883399" w:rsidRDefault="00872C03" w:rsidP="00872C03">
      <w:pPr>
        <w:pStyle w:val="R1"/>
        <w:keepLines w:val="0"/>
        <w:spacing w:before="240" w:line="312" w:lineRule="auto"/>
        <w:ind w:left="0" w:firstLine="0"/>
        <w:jc w:val="left"/>
        <w:rPr>
          <w:rFonts w:ascii="Arial" w:hAnsi="Arial" w:cs="Arial"/>
          <w:sz w:val="22"/>
          <w:szCs w:val="22"/>
        </w:rPr>
      </w:pPr>
      <w:r w:rsidRPr="00883399">
        <w:rPr>
          <w:rFonts w:ascii="Arial" w:hAnsi="Arial" w:cs="Arial"/>
          <w:sz w:val="22"/>
          <w:szCs w:val="22"/>
        </w:rPr>
        <w:t>Lime is also produced using varying grades of limestone which contain impurities  such as Magnesium Oxide (MgO). For Method 1 estimation, default emission factors have been provided for lime produced using limestone with higher concentrations of MgO.</w:t>
      </w:r>
    </w:p>
    <w:p w14:paraId="0B138CEE" w14:textId="77777777" w:rsidR="00872C03" w:rsidRPr="00883399" w:rsidRDefault="00872C03" w:rsidP="00872C03">
      <w:pPr>
        <w:pStyle w:val="subsection"/>
        <w:rPr>
          <w:sz w:val="24"/>
        </w:rPr>
      </w:pPr>
      <w:r w:rsidRPr="00883399">
        <w:rPr>
          <w:sz w:val="24"/>
        </w:rPr>
        <w:t xml:space="preserve"> </w:t>
      </w:r>
      <w:r w:rsidRPr="00883399">
        <w:rPr>
          <w:sz w:val="24"/>
        </w:rPr>
        <w:tab/>
        <w:t xml:space="preserve"> (1)</w:t>
      </w:r>
      <w:r w:rsidRPr="00883399">
        <w:rPr>
          <w:sz w:val="24"/>
        </w:rPr>
        <w:tab/>
        <w:t>Method 1 is:</w:t>
      </w:r>
    </w:p>
    <w:p w14:paraId="08124ED8" w14:textId="15601EB6"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3EEDF305" wp14:editId="4990E3E1">
            <wp:extent cx="2089785" cy="249555"/>
            <wp:effectExtent l="19050" t="0" r="571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86"/>
                    <a:srcRect/>
                    <a:stretch>
                      <a:fillRect/>
                    </a:stretch>
                  </pic:blipFill>
                  <pic:spPr bwMode="auto">
                    <a:xfrm>
                      <a:off x="0" y="0"/>
                      <a:ext cx="2089785" cy="249555"/>
                    </a:xfrm>
                    <a:prstGeom prst="rect">
                      <a:avLst/>
                    </a:prstGeom>
                    <a:noFill/>
                    <a:ln w="9525">
                      <a:noFill/>
                      <a:miter lim="800000"/>
                      <a:headEnd/>
                      <a:tailEnd/>
                    </a:ln>
                  </pic:spPr>
                </pic:pic>
              </a:graphicData>
            </a:graphic>
          </wp:inline>
        </w:drawing>
      </w:r>
    </w:p>
    <w:p w14:paraId="416779C7" w14:textId="77777777" w:rsidR="00872C03" w:rsidRPr="00883399" w:rsidRDefault="00872C03" w:rsidP="00872C03">
      <w:pPr>
        <w:pStyle w:val="subsection2"/>
        <w:rPr>
          <w:sz w:val="24"/>
        </w:rPr>
      </w:pPr>
      <w:r w:rsidRPr="00883399">
        <w:rPr>
          <w:sz w:val="24"/>
        </w:rPr>
        <w:t>where:</w:t>
      </w:r>
    </w:p>
    <w:p w14:paraId="39B7A1CF" w14:textId="77777777" w:rsidR="00872C03" w:rsidRPr="00883399" w:rsidRDefault="00872C03" w:rsidP="00872C03">
      <w:pPr>
        <w:pStyle w:val="Definition0"/>
        <w:rPr>
          <w:sz w:val="24"/>
        </w:rPr>
      </w:pPr>
      <w:r w:rsidRPr="00883399">
        <w:rPr>
          <w:b/>
          <w:i/>
          <w:sz w:val="24"/>
        </w:rPr>
        <w:t>E</w:t>
      </w:r>
      <w:r w:rsidRPr="00883399">
        <w:rPr>
          <w:rStyle w:val="charSubscript"/>
          <w:b/>
          <w:i/>
          <w:sz w:val="22"/>
        </w:rPr>
        <w:t>ij</w:t>
      </w:r>
      <w:r w:rsidRPr="00883399">
        <w:rPr>
          <w:sz w:val="24"/>
        </w:rPr>
        <w:t xml:space="preserve"> is the emissions of carbon dioxide (</w:t>
      </w:r>
      <w:r w:rsidRPr="00883399">
        <w:rPr>
          <w:b/>
          <w:i/>
          <w:sz w:val="24"/>
        </w:rPr>
        <w:t>j</w:t>
      </w:r>
      <w:r w:rsidRPr="00883399">
        <w:rPr>
          <w:sz w:val="24"/>
        </w:rPr>
        <w:t>) released from the production of lime (</w:t>
      </w:r>
      <w:r w:rsidRPr="00883399">
        <w:rPr>
          <w:b/>
          <w:i/>
          <w:sz w:val="24"/>
        </w:rPr>
        <w:t>i</w:t>
      </w:r>
      <w:r w:rsidRPr="00883399">
        <w:rPr>
          <w:sz w:val="24"/>
        </w:rPr>
        <w:t>) during the year, measured in CO</w:t>
      </w:r>
      <w:r w:rsidRPr="00883399">
        <w:rPr>
          <w:rStyle w:val="charSubscript"/>
          <w:sz w:val="22"/>
        </w:rPr>
        <w:t>2</w:t>
      </w:r>
      <w:r w:rsidRPr="00883399">
        <w:rPr>
          <w:sz w:val="24"/>
        </w:rPr>
        <w:noBreakHyphen/>
        <w:t>e tonnes.</w:t>
      </w:r>
    </w:p>
    <w:p w14:paraId="54C745DC" w14:textId="77777777" w:rsidR="00872C03" w:rsidRPr="00883399" w:rsidRDefault="00872C03" w:rsidP="00872C03">
      <w:pPr>
        <w:pStyle w:val="Definition0"/>
        <w:rPr>
          <w:sz w:val="24"/>
        </w:rPr>
      </w:pPr>
      <w:r w:rsidRPr="00883399">
        <w:rPr>
          <w:b/>
          <w:i/>
          <w:sz w:val="24"/>
        </w:rPr>
        <w:t>A</w:t>
      </w:r>
      <w:r w:rsidRPr="00883399">
        <w:rPr>
          <w:rStyle w:val="charSubscript"/>
          <w:b/>
          <w:i/>
          <w:sz w:val="22"/>
        </w:rPr>
        <w:t>i</w:t>
      </w:r>
      <w:r w:rsidRPr="00883399">
        <w:rPr>
          <w:b/>
          <w:i/>
          <w:sz w:val="24"/>
        </w:rPr>
        <w:t xml:space="preserve"> </w:t>
      </w:r>
      <w:r w:rsidRPr="00883399">
        <w:rPr>
          <w:sz w:val="24"/>
        </w:rPr>
        <w:t>is the quantity of lime produced during the year, measured in tonnes and estimated under Division 4.2.5.</w:t>
      </w:r>
    </w:p>
    <w:p w14:paraId="7BCFE395" w14:textId="77777777" w:rsidR="00872C03" w:rsidRPr="00883399" w:rsidRDefault="00872C03" w:rsidP="00872C03">
      <w:pPr>
        <w:pStyle w:val="Definition0"/>
        <w:rPr>
          <w:sz w:val="24"/>
        </w:rPr>
      </w:pPr>
      <w:r w:rsidRPr="00883399">
        <w:rPr>
          <w:b/>
          <w:i/>
          <w:sz w:val="24"/>
        </w:rPr>
        <w:t>A</w:t>
      </w:r>
      <w:r w:rsidRPr="00883399">
        <w:rPr>
          <w:b/>
          <w:i/>
          <w:sz w:val="24"/>
          <w:vertAlign w:val="subscript"/>
        </w:rPr>
        <w:t>lkd</w:t>
      </w:r>
      <w:r w:rsidRPr="00883399">
        <w:rPr>
          <w:sz w:val="24"/>
        </w:rPr>
        <w:t xml:space="preserve"> is the quantity of lime kiln dust lost as a result of the production of lime during the year, measured in tonnes and estimated under Division 4.2.5.</w:t>
      </w:r>
    </w:p>
    <w:p w14:paraId="715AC316" w14:textId="77777777" w:rsidR="00872C03" w:rsidRPr="00883399" w:rsidRDefault="00872C03" w:rsidP="00872C03">
      <w:pPr>
        <w:pStyle w:val="Definition0"/>
        <w:rPr>
          <w:sz w:val="24"/>
        </w:rPr>
      </w:pPr>
      <w:r w:rsidRPr="00883399">
        <w:rPr>
          <w:b/>
          <w:sz w:val="24"/>
        </w:rPr>
        <w:t>F</w:t>
      </w:r>
      <w:r w:rsidRPr="00883399">
        <w:rPr>
          <w:b/>
          <w:sz w:val="24"/>
          <w:vertAlign w:val="subscript"/>
        </w:rPr>
        <w:t>lkd</w:t>
      </w:r>
      <w:r w:rsidRPr="00883399">
        <w:rPr>
          <w:rFonts w:ascii="Times New Roman Bold" w:hAnsi="Times New Roman Bold"/>
          <w:sz w:val="24"/>
        </w:rPr>
        <w:t xml:space="preserve"> </w:t>
      </w:r>
      <w:r w:rsidRPr="00883399">
        <w:rPr>
          <w:sz w:val="24"/>
        </w:rPr>
        <w:t>is:</w:t>
      </w:r>
    </w:p>
    <w:p w14:paraId="41FB1BDA" w14:textId="77777777" w:rsidR="00872C03" w:rsidRPr="00883399" w:rsidRDefault="00872C03" w:rsidP="00872C03">
      <w:pPr>
        <w:pStyle w:val="paragraph"/>
        <w:rPr>
          <w:sz w:val="24"/>
        </w:rPr>
      </w:pPr>
      <w:r w:rsidRPr="00883399">
        <w:rPr>
          <w:sz w:val="24"/>
        </w:rPr>
        <w:lastRenderedPageBreak/>
        <w:tab/>
        <w:t>(a)</w:t>
      </w:r>
      <w:r w:rsidRPr="00883399">
        <w:rPr>
          <w:sz w:val="24"/>
        </w:rPr>
        <w:tab/>
        <w:t>the fraction of calcination achieved for lime kiln dust in the production of lime during the year; or</w:t>
      </w:r>
    </w:p>
    <w:p w14:paraId="59685395" w14:textId="77777777" w:rsidR="00872C03" w:rsidRPr="00883399" w:rsidRDefault="00872C03" w:rsidP="00872C03">
      <w:pPr>
        <w:pStyle w:val="paragraph"/>
        <w:rPr>
          <w:sz w:val="24"/>
        </w:rPr>
      </w:pPr>
      <w:r w:rsidRPr="00883399">
        <w:rPr>
          <w:sz w:val="24"/>
        </w:rPr>
        <w:tab/>
        <w:t>(b)</w:t>
      </w:r>
      <w:r w:rsidRPr="00883399">
        <w:rPr>
          <w:sz w:val="24"/>
        </w:rPr>
        <w:tab/>
        <w:t>if the data mentioned in paragraph (a) is not available—the value 1.</w:t>
      </w:r>
    </w:p>
    <w:p w14:paraId="125B6FB8" w14:textId="77777777" w:rsidR="00872C03" w:rsidRPr="00883399" w:rsidRDefault="00872C03" w:rsidP="00872C03">
      <w:pPr>
        <w:pStyle w:val="Definition0"/>
        <w:rPr>
          <w:sz w:val="24"/>
        </w:rPr>
      </w:pPr>
      <w:r w:rsidRPr="00883399">
        <w:rPr>
          <w:b/>
          <w:i/>
          <w:sz w:val="24"/>
        </w:rPr>
        <w:t>EF</w:t>
      </w:r>
      <w:r w:rsidRPr="00883399">
        <w:rPr>
          <w:rStyle w:val="charSubscript"/>
          <w:b/>
          <w:i/>
          <w:sz w:val="22"/>
        </w:rPr>
        <w:t>ij</w:t>
      </w:r>
      <w:r w:rsidRPr="00883399">
        <w:rPr>
          <w:sz w:val="24"/>
        </w:rPr>
        <w:t xml:space="preserve"> is the carbon dioxide (</w:t>
      </w:r>
      <w:r w:rsidRPr="00883399">
        <w:rPr>
          <w:b/>
          <w:i/>
          <w:sz w:val="24"/>
        </w:rPr>
        <w:t>j</w:t>
      </w:r>
      <w:r w:rsidRPr="00883399">
        <w:rPr>
          <w:sz w:val="24"/>
        </w:rPr>
        <w:t>) emission factor for lime, measured in tonnes of emission of carbon dioxide per tonne of lime produced, as follows:</w:t>
      </w:r>
    </w:p>
    <w:p w14:paraId="58D9B198" w14:textId="77777777" w:rsidR="00872C03" w:rsidRPr="00883399" w:rsidRDefault="00872C03" w:rsidP="00872C03">
      <w:pPr>
        <w:pStyle w:val="paragraph"/>
        <w:rPr>
          <w:sz w:val="24"/>
        </w:rPr>
      </w:pPr>
      <w:r w:rsidRPr="00883399">
        <w:rPr>
          <w:sz w:val="24"/>
        </w:rPr>
        <w:tab/>
        <w:t>(a)</w:t>
      </w:r>
      <w:r w:rsidRPr="00883399">
        <w:rPr>
          <w:sz w:val="24"/>
        </w:rPr>
        <w:tab/>
        <w:t>for commercial lime production—0.675;</w:t>
      </w:r>
    </w:p>
    <w:p w14:paraId="327F068F" w14:textId="77777777" w:rsidR="00872C03" w:rsidRPr="00883399" w:rsidRDefault="00872C03" w:rsidP="00872C03">
      <w:pPr>
        <w:pStyle w:val="paragraph"/>
        <w:rPr>
          <w:sz w:val="24"/>
        </w:rPr>
      </w:pPr>
      <w:r w:rsidRPr="00883399">
        <w:rPr>
          <w:sz w:val="24"/>
        </w:rPr>
        <w:tab/>
        <w:t>(b)</w:t>
      </w:r>
      <w:r w:rsidRPr="00883399">
        <w:rPr>
          <w:sz w:val="24"/>
        </w:rPr>
        <w:tab/>
        <w:t>for non</w:t>
      </w:r>
      <w:r w:rsidRPr="00883399">
        <w:rPr>
          <w:sz w:val="24"/>
        </w:rPr>
        <w:noBreakHyphen/>
        <w:t>commercial lime production—0.730;</w:t>
      </w:r>
    </w:p>
    <w:p w14:paraId="4E2B7CD5" w14:textId="77777777" w:rsidR="00872C03" w:rsidRPr="00883399" w:rsidRDefault="00872C03" w:rsidP="00872C03">
      <w:pPr>
        <w:pStyle w:val="paragraph"/>
        <w:rPr>
          <w:sz w:val="24"/>
        </w:rPr>
      </w:pPr>
      <w:r w:rsidRPr="00883399">
        <w:rPr>
          <w:sz w:val="24"/>
        </w:rPr>
        <w:tab/>
        <w:t>(c)</w:t>
      </w:r>
      <w:r w:rsidRPr="00883399">
        <w:rPr>
          <w:sz w:val="24"/>
        </w:rPr>
        <w:tab/>
        <w:t>for magnesian lime and dolomitic lime production—0.860.</w:t>
      </w:r>
    </w:p>
    <w:p w14:paraId="7560CBE5" w14:textId="77777777" w:rsidR="00872C03" w:rsidRPr="00883399" w:rsidRDefault="00872C03" w:rsidP="00872C03">
      <w:pPr>
        <w:pStyle w:val="subsection"/>
        <w:rPr>
          <w:sz w:val="24"/>
        </w:rPr>
      </w:pPr>
      <w:r w:rsidRPr="00883399">
        <w:rPr>
          <w:sz w:val="24"/>
        </w:rPr>
        <w:tab/>
        <w:t>(2)</w:t>
      </w:r>
      <w:r w:rsidRPr="00883399">
        <w:rPr>
          <w:sz w:val="24"/>
        </w:rPr>
        <w:tab/>
        <w:t>In this section:</w:t>
      </w:r>
    </w:p>
    <w:p w14:paraId="1D7B0C33" w14:textId="77777777" w:rsidR="00872C03" w:rsidRPr="00883399" w:rsidRDefault="00872C03" w:rsidP="00872C03">
      <w:pPr>
        <w:pStyle w:val="Definition0"/>
        <w:rPr>
          <w:sz w:val="24"/>
        </w:rPr>
      </w:pPr>
      <w:r w:rsidRPr="00883399">
        <w:rPr>
          <w:b/>
          <w:i/>
          <w:sz w:val="24"/>
        </w:rPr>
        <w:t xml:space="preserve">dolomitic lime </w:t>
      </w:r>
      <w:r w:rsidRPr="00883399">
        <w:rPr>
          <w:sz w:val="24"/>
        </w:rPr>
        <w:t>is lime formed from limestone containing more than 35% magnesium carbonate.</w:t>
      </w:r>
    </w:p>
    <w:p w14:paraId="148FCBAF" w14:textId="77777777" w:rsidR="00872C03" w:rsidRPr="00883399" w:rsidRDefault="00872C03" w:rsidP="00872C03">
      <w:pPr>
        <w:pStyle w:val="Definition0"/>
        <w:rPr>
          <w:sz w:val="24"/>
        </w:rPr>
      </w:pPr>
      <w:r w:rsidRPr="00883399">
        <w:rPr>
          <w:b/>
          <w:i/>
          <w:sz w:val="24"/>
        </w:rPr>
        <w:t xml:space="preserve">magnesian lime </w:t>
      </w:r>
      <w:r w:rsidRPr="00883399">
        <w:rPr>
          <w:sz w:val="24"/>
        </w:rPr>
        <w:t>is lime formed from limestone containing 5–35% magnesium carbonate.</w:t>
      </w:r>
    </w:p>
    <w:p w14:paraId="6B85B32A" w14:textId="14EFD7AC" w:rsidR="00872C03" w:rsidRPr="00883399" w:rsidRDefault="00872C03" w:rsidP="00872C03">
      <w:pPr>
        <w:pStyle w:val="ActHead5"/>
        <w:rPr>
          <w:sz w:val="28"/>
        </w:rPr>
      </w:pPr>
      <w:bookmarkStart w:id="829" w:name="_Toc423517012"/>
      <w:bookmarkStart w:id="830" w:name="_Toc495652944"/>
      <w:r w:rsidRPr="00883399">
        <w:rPr>
          <w:rStyle w:val="CharSectno"/>
          <w:sz w:val="28"/>
        </w:rPr>
        <w:t>4.14</w:t>
      </w:r>
      <w:r w:rsidRPr="00883399">
        <w:rPr>
          <w:sz w:val="28"/>
        </w:rPr>
        <w:t xml:space="preserve">  Method 2—lime production</w:t>
      </w:r>
      <w:bookmarkEnd w:id="829"/>
      <w:bookmarkEnd w:id="830"/>
    </w:p>
    <w:p w14:paraId="0337541D" w14:textId="77777777" w:rsidR="00872C03" w:rsidRPr="00883399" w:rsidRDefault="00872C03" w:rsidP="00872C03">
      <w:pPr>
        <w:pStyle w:val="R1"/>
        <w:keepLines w:val="0"/>
        <w:spacing w:before="240" w:line="312" w:lineRule="auto"/>
        <w:ind w:left="0" w:firstLine="0"/>
        <w:jc w:val="left"/>
      </w:pPr>
      <w:r w:rsidRPr="00883399">
        <w:tab/>
      </w:r>
      <w:r w:rsidRPr="00883399">
        <w:rPr>
          <w:rFonts w:ascii="Arial" w:hAnsi="Arial" w:cs="Arial"/>
          <w:sz w:val="22"/>
          <w:szCs w:val="22"/>
        </w:rPr>
        <w:t>Method 2 requires the derivation of more accurate, facility-specific emission factors to generate more accurate estimates of emissions of carbon dioxide from the production process. It utilises sampling and analysis of the lime outputs to estimate the composition of its contents and, from an understanding of the chemical reactions involved in the consumption of carbonate (calcination), the derivation of facility-specific emission factors.</w:t>
      </w:r>
      <w:r w:rsidRPr="00883399">
        <w:t xml:space="preserve"> </w:t>
      </w:r>
    </w:p>
    <w:p w14:paraId="7CA287C4" w14:textId="77777777" w:rsidR="00872C03" w:rsidRPr="00883399" w:rsidRDefault="00872C03" w:rsidP="00872C03">
      <w:pPr>
        <w:pStyle w:val="subsection"/>
        <w:rPr>
          <w:sz w:val="24"/>
        </w:rPr>
      </w:pPr>
      <w:r w:rsidRPr="00883399">
        <w:rPr>
          <w:sz w:val="24"/>
        </w:rPr>
        <w:tab/>
        <w:t>(1)</w:t>
      </w:r>
      <w:r w:rsidRPr="00883399">
        <w:rPr>
          <w:sz w:val="24"/>
        </w:rPr>
        <w:tab/>
        <w:t>Method 2 is:</w:t>
      </w:r>
    </w:p>
    <w:p w14:paraId="023F62FE" w14:textId="07DC3E3E"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5682F924" wp14:editId="799CC213">
            <wp:extent cx="2731135" cy="249555"/>
            <wp:effectExtent l="1905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87"/>
                    <a:srcRect/>
                    <a:stretch>
                      <a:fillRect/>
                    </a:stretch>
                  </pic:blipFill>
                  <pic:spPr bwMode="auto">
                    <a:xfrm>
                      <a:off x="0" y="0"/>
                      <a:ext cx="2731135" cy="249555"/>
                    </a:xfrm>
                    <a:prstGeom prst="rect">
                      <a:avLst/>
                    </a:prstGeom>
                    <a:noFill/>
                    <a:ln w="9525">
                      <a:noFill/>
                      <a:miter lim="800000"/>
                      <a:headEnd/>
                      <a:tailEnd/>
                    </a:ln>
                  </pic:spPr>
                </pic:pic>
              </a:graphicData>
            </a:graphic>
          </wp:inline>
        </w:drawing>
      </w:r>
    </w:p>
    <w:p w14:paraId="54C56D55" w14:textId="77777777" w:rsidR="00872C03" w:rsidRPr="00883399" w:rsidRDefault="00872C03" w:rsidP="00872C03">
      <w:pPr>
        <w:pStyle w:val="subsection2"/>
        <w:rPr>
          <w:sz w:val="24"/>
        </w:rPr>
      </w:pPr>
      <w:r w:rsidRPr="00883399">
        <w:rPr>
          <w:sz w:val="24"/>
        </w:rPr>
        <w:t>where:</w:t>
      </w:r>
    </w:p>
    <w:p w14:paraId="35004587" w14:textId="77777777" w:rsidR="00872C03" w:rsidRPr="00883399" w:rsidRDefault="00872C03" w:rsidP="00872C03">
      <w:pPr>
        <w:pStyle w:val="Definition0"/>
        <w:rPr>
          <w:sz w:val="24"/>
        </w:rPr>
      </w:pPr>
      <w:r w:rsidRPr="00883399">
        <w:rPr>
          <w:b/>
          <w:i/>
          <w:sz w:val="24"/>
        </w:rPr>
        <w:t>E</w:t>
      </w:r>
      <w:r w:rsidRPr="00883399">
        <w:rPr>
          <w:b/>
          <w:i/>
          <w:sz w:val="24"/>
          <w:vertAlign w:val="subscript"/>
        </w:rPr>
        <w:t>ij</w:t>
      </w:r>
      <w:r w:rsidRPr="00883399">
        <w:rPr>
          <w:sz w:val="24"/>
        </w:rPr>
        <w:t xml:space="preserve"> is the emissions of carbon dioxide (</w:t>
      </w:r>
      <w:r w:rsidRPr="00883399">
        <w:rPr>
          <w:b/>
          <w:i/>
          <w:sz w:val="24"/>
        </w:rPr>
        <w:t>j</w:t>
      </w:r>
      <w:r w:rsidRPr="00883399">
        <w:rPr>
          <w:sz w:val="24"/>
        </w:rPr>
        <w:t>) released from the production of lime (</w:t>
      </w:r>
      <w:r w:rsidRPr="00883399">
        <w:rPr>
          <w:b/>
          <w:i/>
          <w:sz w:val="24"/>
        </w:rPr>
        <w:t>i</w:t>
      </w:r>
      <w:r w:rsidRPr="00883399">
        <w:rPr>
          <w:sz w:val="24"/>
        </w:rPr>
        <w:t>) during the year, measured in CO</w:t>
      </w:r>
      <w:r w:rsidRPr="00883399">
        <w:rPr>
          <w:sz w:val="24"/>
          <w:vertAlign w:val="subscript"/>
        </w:rPr>
        <w:t>2</w:t>
      </w:r>
      <w:r w:rsidRPr="00883399">
        <w:rPr>
          <w:sz w:val="24"/>
        </w:rPr>
        <w:noBreakHyphen/>
        <w:t>e tonnes.</w:t>
      </w:r>
    </w:p>
    <w:p w14:paraId="667808E2" w14:textId="77777777" w:rsidR="00872C03" w:rsidRPr="00883399" w:rsidRDefault="00872C03" w:rsidP="00872C03">
      <w:pPr>
        <w:pStyle w:val="Definition0"/>
        <w:rPr>
          <w:sz w:val="24"/>
        </w:rPr>
      </w:pPr>
      <w:r w:rsidRPr="00883399">
        <w:rPr>
          <w:b/>
          <w:i/>
          <w:sz w:val="24"/>
        </w:rPr>
        <w:t>A</w:t>
      </w:r>
      <w:r w:rsidRPr="00883399">
        <w:rPr>
          <w:b/>
          <w:i/>
          <w:sz w:val="24"/>
          <w:vertAlign w:val="subscript"/>
        </w:rPr>
        <w:t>i</w:t>
      </w:r>
      <w:r w:rsidRPr="00883399">
        <w:rPr>
          <w:sz w:val="24"/>
        </w:rPr>
        <w:t xml:space="preserve"> is the quantity of lime produced during the year, measured in tonnes and estimated under Division 4.2.5.</w:t>
      </w:r>
    </w:p>
    <w:p w14:paraId="25F9B2D3" w14:textId="77777777" w:rsidR="00872C03" w:rsidRPr="00883399" w:rsidRDefault="00872C03" w:rsidP="00872C03">
      <w:pPr>
        <w:pStyle w:val="Definition0"/>
        <w:rPr>
          <w:sz w:val="24"/>
        </w:rPr>
      </w:pPr>
      <w:r w:rsidRPr="00883399">
        <w:rPr>
          <w:b/>
          <w:i/>
          <w:sz w:val="24"/>
        </w:rPr>
        <w:t>A</w:t>
      </w:r>
      <w:r w:rsidRPr="00883399">
        <w:rPr>
          <w:b/>
          <w:i/>
          <w:sz w:val="24"/>
          <w:vertAlign w:val="subscript"/>
        </w:rPr>
        <w:t>lkd</w:t>
      </w:r>
      <w:r w:rsidRPr="00883399">
        <w:rPr>
          <w:sz w:val="24"/>
        </w:rPr>
        <w:t xml:space="preserve"> is the quantity of lime kiln dust lost as a result of the production of lime during the year, measured in tonnes and estimated under Division 4.2.5.</w:t>
      </w:r>
    </w:p>
    <w:p w14:paraId="774E11A1" w14:textId="77777777" w:rsidR="00872C03" w:rsidRPr="00883399" w:rsidRDefault="00872C03" w:rsidP="00872C03">
      <w:pPr>
        <w:pStyle w:val="Definition0"/>
        <w:rPr>
          <w:sz w:val="24"/>
        </w:rPr>
      </w:pPr>
      <w:r w:rsidRPr="00883399">
        <w:rPr>
          <w:b/>
          <w:i/>
          <w:sz w:val="24"/>
        </w:rPr>
        <w:t>F</w:t>
      </w:r>
      <w:r w:rsidRPr="00883399">
        <w:rPr>
          <w:b/>
          <w:i/>
          <w:sz w:val="24"/>
          <w:vertAlign w:val="subscript"/>
        </w:rPr>
        <w:t>lkd</w:t>
      </w:r>
      <w:r w:rsidRPr="00883399">
        <w:rPr>
          <w:sz w:val="24"/>
        </w:rPr>
        <w:t xml:space="preserve"> is:</w:t>
      </w:r>
    </w:p>
    <w:p w14:paraId="09074A8C" w14:textId="77777777" w:rsidR="00872C03" w:rsidRPr="00883399" w:rsidRDefault="00872C03" w:rsidP="00872C03">
      <w:pPr>
        <w:pStyle w:val="paragraph"/>
        <w:rPr>
          <w:sz w:val="24"/>
        </w:rPr>
      </w:pPr>
      <w:r w:rsidRPr="00883399">
        <w:rPr>
          <w:sz w:val="24"/>
        </w:rPr>
        <w:tab/>
        <w:t>(a)</w:t>
      </w:r>
      <w:r w:rsidRPr="00883399">
        <w:rPr>
          <w:sz w:val="24"/>
        </w:rPr>
        <w:tab/>
        <w:t>the fraction of calcination achieved for lime kiln dust in the production of lime during the year; or</w:t>
      </w:r>
    </w:p>
    <w:p w14:paraId="77C3967A" w14:textId="77777777" w:rsidR="00872C03" w:rsidRPr="00883399" w:rsidRDefault="00872C03" w:rsidP="00872C03">
      <w:pPr>
        <w:pStyle w:val="paragraph"/>
        <w:rPr>
          <w:sz w:val="24"/>
        </w:rPr>
      </w:pPr>
      <w:r w:rsidRPr="00883399">
        <w:rPr>
          <w:sz w:val="24"/>
        </w:rPr>
        <w:lastRenderedPageBreak/>
        <w:tab/>
        <w:t>(b)</w:t>
      </w:r>
      <w:r w:rsidRPr="00883399">
        <w:rPr>
          <w:sz w:val="24"/>
        </w:rPr>
        <w:tab/>
        <w:t>if the data in paragraph (a) is not available—the value 1.</w:t>
      </w:r>
    </w:p>
    <w:p w14:paraId="2570BA50" w14:textId="77777777" w:rsidR="00872C03" w:rsidRPr="00883399" w:rsidRDefault="00872C03" w:rsidP="00872C03">
      <w:pPr>
        <w:pStyle w:val="Definition0"/>
        <w:rPr>
          <w:sz w:val="24"/>
        </w:rPr>
      </w:pPr>
      <w:r w:rsidRPr="00883399">
        <w:rPr>
          <w:b/>
          <w:i/>
          <w:sz w:val="24"/>
        </w:rPr>
        <w:t>EF</w:t>
      </w:r>
      <w:r w:rsidRPr="00883399">
        <w:rPr>
          <w:b/>
          <w:i/>
          <w:sz w:val="24"/>
          <w:vertAlign w:val="subscript"/>
        </w:rPr>
        <w:t>ij</w:t>
      </w:r>
      <w:r w:rsidRPr="00883399">
        <w:rPr>
          <w:sz w:val="24"/>
        </w:rPr>
        <w:t xml:space="preserve"> is worked out using the following formula:</w:t>
      </w:r>
    </w:p>
    <w:p w14:paraId="70A8496E" w14:textId="2E28AD11" w:rsidR="00872C03" w:rsidRPr="00883399" w:rsidRDefault="00872C03" w:rsidP="00872C03">
      <w:pPr>
        <w:pStyle w:val="subsection"/>
        <w:spacing w:before="120" w:after="120"/>
        <w:rPr>
          <w:sz w:val="24"/>
        </w:rPr>
      </w:pPr>
      <w:r w:rsidRPr="00883399">
        <w:rPr>
          <w:sz w:val="24"/>
        </w:rPr>
        <w:tab/>
      </w:r>
      <w:r w:rsidRPr="00883399">
        <w:rPr>
          <w:sz w:val="24"/>
        </w:rPr>
        <w:tab/>
      </w:r>
      <w:r w:rsidRPr="00883399">
        <w:rPr>
          <w:sz w:val="24"/>
        </w:rPr>
        <w:tab/>
      </w:r>
      <w:r w:rsidRPr="00883399">
        <w:rPr>
          <w:noProof/>
          <w:sz w:val="24"/>
        </w:rPr>
        <w:drawing>
          <wp:inline distT="0" distB="0" distL="0" distR="0" wp14:anchorId="0DCE579B" wp14:editId="40037CCC">
            <wp:extent cx="2493645" cy="237490"/>
            <wp:effectExtent l="1905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88"/>
                    <a:srcRect/>
                    <a:stretch>
                      <a:fillRect/>
                    </a:stretch>
                  </pic:blipFill>
                  <pic:spPr bwMode="auto">
                    <a:xfrm>
                      <a:off x="0" y="0"/>
                      <a:ext cx="2493645" cy="237490"/>
                    </a:xfrm>
                    <a:prstGeom prst="rect">
                      <a:avLst/>
                    </a:prstGeom>
                    <a:noFill/>
                    <a:ln w="9525">
                      <a:noFill/>
                      <a:miter lim="800000"/>
                      <a:headEnd/>
                      <a:tailEnd/>
                    </a:ln>
                  </pic:spPr>
                </pic:pic>
              </a:graphicData>
            </a:graphic>
          </wp:inline>
        </w:drawing>
      </w:r>
    </w:p>
    <w:p w14:paraId="0315EDE9" w14:textId="77777777" w:rsidR="00872C03" w:rsidRPr="00883399" w:rsidRDefault="00872C03" w:rsidP="00872C03">
      <w:pPr>
        <w:pStyle w:val="subsection2"/>
        <w:ind w:left="1560"/>
        <w:rPr>
          <w:sz w:val="24"/>
        </w:rPr>
      </w:pPr>
      <w:r w:rsidRPr="00883399">
        <w:rPr>
          <w:sz w:val="24"/>
        </w:rPr>
        <w:t>where:</w:t>
      </w:r>
    </w:p>
    <w:p w14:paraId="7B54BB50" w14:textId="77777777" w:rsidR="00872C03" w:rsidRPr="00883399" w:rsidRDefault="00872C03" w:rsidP="00872C03">
      <w:pPr>
        <w:pStyle w:val="Definition0"/>
        <w:ind w:left="1560"/>
        <w:rPr>
          <w:sz w:val="24"/>
        </w:rPr>
      </w:pPr>
      <w:r w:rsidRPr="00883399">
        <w:rPr>
          <w:b/>
          <w:i/>
          <w:sz w:val="24"/>
        </w:rPr>
        <w:t>F</w:t>
      </w:r>
      <w:r w:rsidRPr="00883399">
        <w:rPr>
          <w:b/>
          <w:i/>
          <w:sz w:val="24"/>
          <w:vertAlign w:val="subscript"/>
        </w:rPr>
        <w:t>CaO</w:t>
      </w:r>
      <w:r w:rsidRPr="00883399">
        <w:rPr>
          <w:sz w:val="24"/>
        </w:rPr>
        <w:t xml:space="preserve"> is the estimated fraction of lime that is calcium oxide derived from carbonate sources and produced from the operation of the facility.</w:t>
      </w:r>
    </w:p>
    <w:p w14:paraId="7CA2EAB1" w14:textId="77777777" w:rsidR="00872C03" w:rsidRPr="00883399" w:rsidRDefault="00872C03" w:rsidP="00872C03">
      <w:pPr>
        <w:pStyle w:val="Definition0"/>
        <w:ind w:left="1560"/>
        <w:rPr>
          <w:sz w:val="24"/>
        </w:rPr>
      </w:pPr>
      <w:r w:rsidRPr="00883399">
        <w:rPr>
          <w:b/>
          <w:i/>
          <w:sz w:val="24"/>
        </w:rPr>
        <w:t>F</w:t>
      </w:r>
      <w:r w:rsidRPr="00883399">
        <w:rPr>
          <w:b/>
          <w:i/>
          <w:sz w:val="24"/>
          <w:vertAlign w:val="subscript"/>
        </w:rPr>
        <w:t>MgO</w:t>
      </w:r>
      <w:r w:rsidRPr="00883399">
        <w:rPr>
          <w:sz w:val="24"/>
        </w:rPr>
        <w:t xml:space="preserve"> is the estimated fraction of lime that is magnesium oxide derived from carbonate sources and produced from the operation of the facility.</w:t>
      </w:r>
    </w:p>
    <w:p w14:paraId="1112782C" w14:textId="77777777" w:rsidR="00872C03" w:rsidRPr="00883399" w:rsidRDefault="00872C03" w:rsidP="00872C03">
      <w:pPr>
        <w:pStyle w:val="Definition0"/>
        <w:rPr>
          <w:sz w:val="24"/>
        </w:rPr>
      </w:pPr>
      <w:r w:rsidRPr="00883399">
        <w:rPr>
          <w:b/>
          <w:sz w:val="24"/>
        </w:rPr>
        <w:t xml:space="preserve">γ </w:t>
      </w:r>
      <w:r w:rsidRPr="00883399">
        <w:rPr>
          <w:sz w:val="24"/>
        </w:rPr>
        <w:t xml:space="preserve">is the factor 1.861 × </w:t>
      </w:r>
      <w:r w:rsidRPr="00883399">
        <w:rPr>
          <w:sz w:val="24"/>
          <w:szCs w:val="22"/>
        </w:rPr>
        <w:t>10</w:t>
      </w:r>
      <w:r w:rsidRPr="00883399">
        <w:rPr>
          <w:sz w:val="24"/>
          <w:szCs w:val="22"/>
          <w:vertAlign w:val="superscript"/>
        </w:rPr>
        <w:noBreakHyphen/>
        <w:t>3</w:t>
      </w:r>
      <w:r w:rsidRPr="00883399">
        <w:rPr>
          <w:sz w:val="24"/>
        </w:rPr>
        <w:t xml:space="preserve"> for converting a quantity of carbon dioxide from cubic metres at standard conditions of pressure and temperature to CO</w:t>
      </w:r>
      <w:r w:rsidRPr="00883399">
        <w:rPr>
          <w:sz w:val="24"/>
          <w:vertAlign w:val="subscript"/>
        </w:rPr>
        <w:t>2</w:t>
      </w:r>
      <w:r w:rsidRPr="00883399">
        <w:rPr>
          <w:sz w:val="24"/>
        </w:rPr>
        <w:noBreakHyphen/>
        <w:t>e tonnes.</w:t>
      </w:r>
    </w:p>
    <w:p w14:paraId="0C98EACE" w14:textId="77777777" w:rsidR="00872C03" w:rsidRPr="00883399" w:rsidRDefault="00872C03" w:rsidP="00872C03">
      <w:pPr>
        <w:pStyle w:val="Definition0"/>
        <w:rPr>
          <w:sz w:val="24"/>
        </w:rPr>
      </w:pPr>
      <w:r w:rsidRPr="00883399">
        <w:rPr>
          <w:b/>
          <w:i/>
          <w:sz w:val="24"/>
        </w:rPr>
        <w:t>RCCS</w:t>
      </w:r>
      <w:r w:rsidRPr="00883399">
        <w:rPr>
          <w:b/>
          <w:i/>
          <w:sz w:val="24"/>
          <w:vertAlign w:val="subscript"/>
        </w:rPr>
        <w:t>CO</w:t>
      </w:r>
      <w:r w:rsidRPr="00883399">
        <w:rPr>
          <w:b/>
          <w:i/>
          <w:position w:val="-4"/>
          <w:sz w:val="24"/>
          <w:vertAlign w:val="subscript"/>
        </w:rPr>
        <w:t>2</w:t>
      </w:r>
      <w:r w:rsidRPr="00883399">
        <w:rPr>
          <w:sz w:val="24"/>
        </w:rPr>
        <w:t xml:space="preserve"> is carbon dioxide captured for permanent storage, measured in cubic metres in accordance with Division 1.2.3.</w:t>
      </w:r>
    </w:p>
    <w:p w14:paraId="6174AADD" w14:textId="77777777" w:rsidR="00872C03" w:rsidRPr="00883399" w:rsidRDefault="00872C03" w:rsidP="00872C03">
      <w:pPr>
        <w:pStyle w:val="subsection"/>
        <w:rPr>
          <w:sz w:val="24"/>
        </w:rPr>
      </w:pPr>
      <w:r w:rsidRPr="00883399">
        <w:rPr>
          <w:sz w:val="24"/>
        </w:rPr>
        <w:tab/>
        <w:t>(2)</w:t>
      </w:r>
      <w:r w:rsidRPr="00883399">
        <w:rPr>
          <w:sz w:val="24"/>
        </w:rPr>
        <w:tab/>
        <w:t>Method 2 requires lime to be sampled and analysed in accordance with sections 4.15 and 4.16.</w:t>
      </w:r>
    </w:p>
    <w:p w14:paraId="53CBCBCE" w14:textId="5A723033" w:rsidR="00872C03" w:rsidRPr="00883399" w:rsidRDefault="00872C03" w:rsidP="00872C03">
      <w:pPr>
        <w:pStyle w:val="ActHead5"/>
        <w:rPr>
          <w:sz w:val="28"/>
        </w:rPr>
      </w:pPr>
      <w:bookmarkStart w:id="831" w:name="_Toc423517013"/>
      <w:bookmarkStart w:id="832" w:name="_Toc495652945"/>
      <w:r w:rsidRPr="00883399">
        <w:rPr>
          <w:rStyle w:val="CharSectno"/>
          <w:sz w:val="28"/>
        </w:rPr>
        <w:t>4.15</w:t>
      </w:r>
      <w:r w:rsidRPr="00883399">
        <w:rPr>
          <w:sz w:val="28"/>
        </w:rPr>
        <w:t xml:space="preserve">  General requirements for sampling</w:t>
      </w:r>
      <w:bookmarkEnd w:id="831"/>
      <w:bookmarkEnd w:id="832"/>
    </w:p>
    <w:p w14:paraId="4C5690C7" w14:textId="77777777" w:rsidR="00872C03" w:rsidRPr="00883399" w:rsidRDefault="00872C03" w:rsidP="00872C03">
      <w:pPr>
        <w:pStyle w:val="subsection"/>
        <w:rPr>
          <w:sz w:val="24"/>
        </w:rPr>
      </w:pPr>
      <w:r w:rsidRPr="00883399">
        <w:rPr>
          <w:sz w:val="24"/>
        </w:rPr>
        <w:tab/>
        <w:t>(1)</w:t>
      </w:r>
      <w:r w:rsidRPr="00883399">
        <w:rPr>
          <w:sz w:val="24"/>
        </w:rPr>
        <w:tab/>
        <w:t>A sample of lime must be derived from a composite of amounts of the lime produced.</w:t>
      </w:r>
    </w:p>
    <w:p w14:paraId="2FFCEE32" w14:textId="77777777" w:rsidR="00872C03" w:rsidRPr="00883399" w:rsidRDefault="00872C03" w:rsidP="00872C03">
      <w:pPr>
        <w:pStyle w:val="notetext"/>
        <w:rPr>
          <w:sz w:val="20"/>
        </w:rPr>
      </w:pPr>
      <w:r w:rsidRPr="00883399">
        <w:rPr>
          <w:sz w:val="20"/>
        </w:rPr>
        <w:t>Note:</w:t>
      </w:r>
      <w:r w:rsidRPr="00883399">
        <w:rPr>
          <w:sz w:val="20"/>
        </w:rPr>
        <w:tab/>
        <w:t>Appropriate standards for sampling are:</w:t>
      </w:r>
    </w:p>
    <w:p w14:paraId="154ACE15" w14:textId="77777777" w:rsidR="00872C03" w:rsidRPr="00883399" w:rsidRDefault="00872C03" w:rsidP="00872C03">
      <w:pPr>
        <w:pStyle w:val="notepara1"/>
        <w:rPr>
          <w:sz w:val="20"/>
        </w:rPr>
      </w:pPr>
      <w:r w:rsidRPr="00883399">
        <w:rPr>
          <w:sz w:val="20"/>
        </w:rPr>
        <w:sym w:font="Symbol" w:char="F0B7"/>
      </w:r>
      <w:r w:rsidRPr="00883399">
        <w:rPr>
          <w:sz w:val="20"/>
        </w:rPr>
        <w:tab/>
        <w:t>ASTM C25</w:t>
      </w:r>
      <w:r w:rsidRPr="00883399">
        <w:rPr>
          <w:sz w:val="20"/>
        </w:rPr>
        <w:noBreakHyphen/>
        <w:t xml:space="preserve">06, </w:t>
      </w:r>
      <w:r w:rsidRPr="00883399">
        <w:rPr>
          <w:i/>
          <w:sz w:val="20"/>
        </w:rPr>
        <w:t>Standard Test Methods for Chemical Analysis of Limestone, Quicklime, and Hydrated Lime</w:t>
      </w:r>
    </w:p>
    <w:p w14:paraId="71D0ADE7" w14:textId="77777777" w:rsidR="00872C03" w:rsidRPr="00883399" w:rsidRDefault="00872C03" w:rsidP="00872C03">
      <w:pPr>
        <w:pStyle w:val="notepara1"/>
        <w:rPr>
          <w:i/>
          <w:sz w:val="20"/>
        </w:rPr>
      </w:pPr>
      <w:r w:rsidRPr="00883399">
        <w:rPr>
          <w:sz w:val="20"/>
        </w:rPr>
        <w:sym w:font="Symbol" w:char="00B7"/>
      </w:r>
      <w:r w:rsidRPr="00883399">
        <w:rPr>
          <w:sz w:val="20"/>
        </w:rPr>
        <w:tab/>
        <w:t>ASTM C50</w:t>
      </w:r>
      <w:r w:rsidRPr="00883399">
        <w:rPr>
          <w:sz w:val="20"/>
        </w:rPr>
        <w:noBreakHyphen/>
        <w:t xml:space="preserve">00 (2006), </w:t>
      </w:r>
      <w:r w:rsidRPr="00883399">
        <w:rPr>
          <w:i/>
          <w:sz w:val="20"/>
        </w:rPr>
        <w:t>Standard Practice for Sampling, Sample Preparation, Packaging, and Marking of Lime and Limestone Products</w:t>
      </w:r>
    </w:p>
    <w:p w14:paraId="6DAC728C" w14:textId="77777777" w:rsidR="00872C03" w:rsidRPr="00883399" w:rsidRDefault="00872C03" w:rsidP="00872C03">
      <w:pPr>
        <w:pStyle w:val="notepara1"/>
        <w:rPr>
          <w:sz w:val="20"/>
        </w:rPr>
      </w:pPr>
      <w:r w:rsidRPr="00883399">
        <w:rPr>
          <w:sz w:val="20"/>
        </w:rPr>
        <w:sym w:font="Symbol" w:char="00B7"/>
      </w:r>
      <w:r w:rsidRPr="00883399">
        <w:rPr>
          <w:sz w:val="20"/>
        </w:rPr>
        <w:tab/>
        <w:t xml:space="preserve">AS 4489.0–1997 </w:t>
      </w:r>
      <w:r w:rsidRPr="00883399">
        <w:rPr>
          <w:i/>
          <w:sz w:val="20"/>
        </w:rPr>
        <w:t>Test methods for limes and limestones—General introduction and list of methods</w:t>
      </w:r>
      <w:r w:rsidRPr="00883399">
        <w:rPr>
          <w:sz w:val="20"/>
        </w:rPr>
        <w:t>.</w:t>
      </w:r>
    </w:p>
    <w:p w14:paraId="0BB359FA" w14:textId="77777777" w:rsidR="00872C03" w:rsidRPr="00883399" w:rsidRDefault="00872C03" w:rsidP="00872C03">
      <w:pPr>
        <w:pStyle w:val="subsection"/>
        <w:rPr>
          <w:sz w:val="24"/>
        </w:rPr>
      </w:pPr>
      <w:r w:rsidRPr="00883399">
        <w:rPr>
          <w:sz w:val="24"/>
        </w:rPr>
        <w:tab/>
        <w:t>(2)</w:t>
      </w:r>
      <w:r w:rsidRPr="00883399">
        <w:rPr>
          <w:sz w:val="24"/>
        </w:rPr>
        <w:tab/>
        <w:t>The samples must be collected on enough occasions to produce a representative sample.</w:t>
      </w:r>
    </w:p>
    <w:p w14:paraId="7A8F7BB2" w14:textId="77777777" w:rsidR="00872C03" w:rsidRPr="00883399" w:rsidRDefault="00872C03" w:rsidP="00872C03">
      <w:pPr>
        <w:pStyle w:val="subsection"/>
        <w:rPr>
          <w:sz w:val="24"/>
        </w:rPr>
      </w:pPr>
      <w:r w:rsidRPr="00883399">
        <w:rPr>
          <w:sz w:val="24"/>
        </w:rPr>
        <w:tab/>
        <w:t>(3)</w:t>
      </w:r>
      <w:r w:rsidRPr="00883399">
        <w:rPr>
          <w:sz w:val="24"/>
        </w:rPr>
        <w:tab/>
        <w:t>The samples must also be free of bias so that any estimates are neither over nor under estimates of the true value.</w:t>
      </w:r>
    </w:p>
    <w:p w14:paraId="6D895E7D" w14:textId="77777777" w:rsidR="00872C03" w:rsidRPr="00883399" w:rsidRDefault="00872C03" w:rsidP="00872C03">
      <w:pPr>
        <w:pStyle w:val="subsection"/>
        <w:rPr>
          <w:sz w:val="24"/>
        </w:rPr>
      </w:pPr>
      <w:r w:rsidRPr="00883399">
        <w:rPr>
          <w:sz w:val="24"/>
        </w:rPr>
        <w:tab/>
        <w:t>(4)</w:t>
      </w:r>
      <w:r w:rsidRPr="00883399">
        <w:rPr>
          <w:sz w:val="24"/>
        </w:rPr>
        <w:tab/>
        <w:t>Bias must be tested in accordance with an appropriate standard.</w:t>
      </w:r>
    </w:p>
    <w:p w14:paraId="49FAC0F2" w14:textId="77777777" w:rsidR="00872C03" w:rsidRPr="00883399" w:rsidRDefault="00872C03" w:rsidP="00872C03">
      <w:pPr>
        <w:pStyle w:val="notetext"/>
        <w:rPr>
          <w:sz w:val="20"/>
        </w:rPr>
      </w:pPr>
      <w:r w:rsidRPr="00883399">
        <w:rPr>
          <w:sz w:val="20"/>
        </w:rPr>
        <w:t>Note:</w:t>
      </w:r>
      <w:r w:rsidRPr="00883399">
        <w:rPr>
          <w:sz w:val="20"/>
        </w:rPr>
        <w:tab/>
        <w:t xml:space="preserve">An appropriate standard is AS 4264.4—1996 – </w:t>
      </w:r>
      <w:r w:rsidRPr="00883399">
        <w:rPr>
          <w:i/>
          <w:sz w:val="20"/>
        </w:rPr>
        <w:t>Coal and coke – sampling – Determination of precision and bias</w:t>
      </w:r>
      <w:r w:rsidRPr="00883399">
        <w:rPr>
          <w:sz w:val="20"/>
        </w:rPr>
        <w:t>.</w:t>
      </w:r>
    </w:p>
    <w:p w14:paraId="33C8CE2B" w14:textId="77777777" w:rsidR="00872C03" w:rsidRPr="00883399" w:rsidRDefault="00872C03" w:rsidP="00872C03">
      <w:pPr>
        <w:pStyle w:val="subsection"/>
        <w:rPr>
          <w:sz w:val="24"/>
        </w:rPr>
      </w:pPr>
      <w:r w:rsidRPr="00883399">
        <w:rPr>
          <w:sz w:val="24"/>
        </w:rPr>
        <w:lastRenderedPageBreak/>
        <w:tab/>
        <w:t>(5)</w:t>
      </w:r>
      <w:r w:rsidRPr="00883399">
        <w:rPr>
          <w:sz w:val="24"/>
        </w:rPr>
        <w:tab/>
        <w:t>The value obtained from the sample must only be used for the production period for which it was intended to be representative.</w:t>
      </w:r>
    </w:p>
    <w:p w14:paraId="399A21B0" w14:textId="7A8BC63E" w:rsidR="00872C03" w:rsidRPr="00883399" w:rsidRDefault="00872C03" w:rsidP="00872C03">
      <w:pPr>
        <w:pStyle w:val="ActHead5"/>
        <w:rPr>
          <w:sz w:val="28"/>
        </w:rPr>
      </w:pPr>
      <w:bookmarkStart w:id="833" w:name="_Toc423517014"/>
      <w:bookmarkStart w:id="834" w:name="_Toc495652946"/>
      <w:r w:rsidRPr="00883399">
        <w:rPr>
          <w:rStyle w:val="CharSectno"/>
          <w:sz w:val="28"/>
        </w:rPr>
        <w:t>4.16</w:t>
      </w:r>
      <w:r w:rsidRPr="00883399">
        <w:rPr>
          <w:sz w:val="28"/>
        </w:rPr>
        <w:t xml:space="preserve">  General requirements for analysis of lime</w:t>
      </w:r>
      <w:bookmarkEnd w:id="833"/>
      <w:bookmarkEnd w:id="834"/>
    </w:p>
    <w:p w14:paraId="690B1D26" w14:textId="77777777" w:rsidR="00872C03" w:rsidRPr="00883399" w:rsidRDefault="00872C03" w:rsidP="00872C03">
      <w:pPr>
        <w:pStyle w:val="subsection"/>
        <w:rPr>
          <w:sz w:val="24"/>
        </w:rPr>
      </w:pPr>
      <w:r w:rsidRPr="00883399">
        <w:rPr>
          <w:sz w:val="24"/>
        </w:rPr>
        <w:tab/>
        <w:t>(1)</w:t>
      </w:r>
      <w:r w:rsidRPr="00883399">
        <w:rPr>
          <w:sz w:val="24"/>
        </w:rPr>
        <w:tab/>
        <w:t>Analysis of a sample of lime, including determining the fractional purity of the sample, must be done in accordance with industry practice and must be consistent with the principles in section 1.13.</w:t>
      </w:r>
    </w:p>
    <w:p w14:paraId="6A6A2E31" w14:textId="77777777" w:rsidR="00872C03" w:rsidRPr="00883399" w:rsidRDefault="00872C03" w:rsidP="00872C03">
      <w:pPr>
        <w:pStyle w:val="subsection"/>
        <w:rPr>
          <w:sz w:val="24"/>
        </w:rPr>
      </w:pPr>
      <w:r w:rsidRPr="00883399">
        <w:rPr>
          <w:sz w:val="24"/>
        </w:rPr>
        <w:tab/>
        <w:t>(2)</w:t>
      </w:r>
      <w:r w:rsidRPr="00883399">
        <w:rPr>
          <w:sz w:val="24"/>
        </w:rPr>
        <w:tab/>
        <w:t>The minimum frequency of analysis of samples of lime must be in accordance with the Tier 3 method in section 2.2.1.1 of Chapter 2 of Volume 3 of the 2006 IPCC Guidelines</w:t>
      </w:r>
      <w:r w:rsidRPr="00883399">
        <w:rPr>
          <w:i/>
          <w:sz w:val="24"/>
        </w:rPr>
        <w:t>.</w:t>
      </w:r>
    </w:p>
    <w:p w14:paraId="067B0384" w14:textId="21FEDFB9" w:rsidR="00872C03" w:rsidRPr="00883399" w:rsidRDefault="00872C03" w:rsidP="00872C03">
      <w:pPr>
        <w:pStyle w:val="ActHead5"/>
        <w:rPr>
          <w:sz w:val="28"/>
        </w:rPr>
      </w:pPr>
      <w:bookmarkStart w:id="835" w:name="_Toc423517015"/>
      <w:bookmarkStart w:id="836" w:name="_Toc495652947"/>
      <w:r w:rsidRPr="00883399">
        <w:rPr>
          <w:rStyle w:val="CharSectno"/>
          <w:sz w:val="28"/>
        </w:rPr>
        <w:t>4.17</w:t>
      </w:r>
      <w:r w:rsidRPr="00883399">
        <w:rPr>
          <w:sz w:val="28"/>
        </w:rPr>
        <w:t xml:space="preserve">  Method 3—lime production</w:t>
      </w:r>
      <w:bookmarkEnd w:id="835"/>
      <w:bookmarkEnd w:id="836"/>
    </w:p>
    <w:p w14:paraId="3842A024" w14:textId="77777777" w:rsidR="00872C03" w:rsidRPr="00883399" w:rsidRDefault="00872C03" w:rsidP="00872C03">
      <w:pPr>
        <w:pStyle w:val="R1"/>
        <w:keepLines w:val="0"/>
        <w:spacing w:before="240" w:line="312" w:lineRule="auto"/>
        <w:ind w:left="0" w:firstLine="0"/>
        <w:jc w:val="left"/>
        <w:rPr>
          <w:rFonts w:ascii="Arial" w:hAnsi="Arial" w:cs="Arial"/>
          <w:sz w:val="22"/>
          <w:szCs w:val="22"/>
        </w:rPr>
      </w:pPr>
      <w:r w:rsidRPr="00883399">
        <w:tab/>
      </w:r>
      <w:r w:rsidRPr="00883399">
        <w:rPr>
          <w:rStyle w:val="CharSectno"/>
          <w:rFonts w:ascii="Arial" w:hAnsi="Arial" w:cs="Arial"/>
          <w:sz w:val="22"/>
          <w:szCs w:val="22"/>
        </w:rPr>
        <w:t>Method 3 is based on the Tier 3 approach in the IPCC Guidelines for National Greenhouse Inventories which utilises information on the purity of the carbonate inputs.  This method requires sampling and analysis of the raw materials for qualities that affect emission levels such as the material’s pure carbonate content.</w:t>
      </w:r>
      <w:r w:rsidRPr="00883399">
        <w:rPr>
          <w:rFonts w:ascii="Arial" w:hAnsi="Arial" w:cs="Arial"/>
          <w:sz w:val="22"/>
          <w:szCs w:val="22"/>
        </w:rPr>
        <w:t xml:space="preserve"> </w:t>
      </w:r>
    </w:p>
    <w:p w14:paraId="6F065FF7" w14:textId="77777777" w:rsidR="00872C03" w:rsidRPr="00883399" w:rsidRDefault="00872C03" w:rsidP="00872C03">
      <w:pPr>
        <w:pStyle w:val="subsection"/>
        <w:spacing w:after="60"/>
        <w:rPr>
          <w:sz w:val="24"/>
        </w:rPr>
      </w:pPr>
      <w:r w:rsidRPr="00883399">
        <w:rPr>
          <w:sz w:val="24"/>
        </w:rPr>
        <w:tab/>
        <w:t>(1)</w:t>
      </w:r>
      <w:r w:rsidRPr="00883399">
        <w:rPr>
          <w:sz w:val="24"/>
        </w:rPr>
        <w:tab/>
        <w:t>Method 3 is:</w:t>
      </w:r>
    </w:p>
    <w:tbl>
      <w:tblPr>
        <w:tblW w:w="0" w:type="auto"/>
        <w:tblInd w:w="948" w:type="dxa"/>
        <w:tblLayout w:type="fixed"/>
        <w:tblLook w:val="0000" w:firstRow="0" w:lastRow="0" w:firstColumn="0" w:lastColumn="0" w:noHBand="0" w:noVBand="0"/>
      </w:tblPr>
      <w:tblGrid>
        <w:gridCol w:w="861"/>
        <w:gridCol w:w="6663"/>
      </w:tblGrid>
      <w:tr w:rsidR="00872C03" w:rsidRPr="00883399" w14:paraId="7FCABF5B" w14:textId="77777777" w:rsidTr="0031057E">
        <w:trPr>
          <w:cantSplit/>
          <w:trHeight w:val="2610"/>
        </w:trPr>
        <w:tc>
          <w:tcPr>
            <w:tcW w:w="861" w:type="dxa"/>
          </w:tcPr>
          <w:p w14:paraId="629C6D3B" w14:textId="77777777" w:rsidR="00872C03" w:rsidRPr="00883399" w:rsidRDefault="00872C03" w:rsidP="0031057E">
            <w:pPr>
              <w:pStyle w:val="TableHeading"/>
              <w:keepNext w:val="0"/>
              <w:rPr>
                <w:sz w:val="22"/>
              </w:rPr>
            </w:pPr>
            <w:r w:rsidRPr="00883399">
              <w:rPr>
                <w:b w:val="0"/>
                <w:sz w:val="24"/>
                <w:szCs w:val="22"/>
              </w:rPr>
              <w:t>Step 1</w:t>
            </w:r>
          </w:p>
        </w:tc>
        <w:tc>
          <w:tcPr>
            <w:tcW w:w="6663" w:type="dxa"/>
          </w:tcPr>
          <w:p w14:paraId="26175CDB" w14:textId="77777777" w:rsidR="00872C03" w:rsidRPr="00883399" w:rsidRDefault="00872C03" w:rsidP="0031057E">
            <w:pPr>
              <w:pStyle w:val="TableHeading"/>
              <w:keepLines/>
              <w:rPr>
                <w:b w:val="0"/>
                <w:sz w:val="24"/>
                <w:szCs w:val="22"/>
              </w:rPr>
            </w:pPr>
            <w:r w:rsidRPr="00883399">
              <w:rPr>
                <w:b w:val="0"/>
                <w:sz w:val="24"/>
                <w:szCs w:val="22"/>
              </w:rPr>
              <w:t>Measure the amount of emissions of carbon dioxide in CO</w:t>
            </w:r>
            <w:r w:rsidRPr="00883399">
              <w:rPr>
                <w:rStyle w:val="Subscript"/>
                <w:b w:val="0"/>
                <w:iCs/>
                <w:sz w:val="24"/>
                <w:szCs w:val="22"/>
              </w:rPr>
              <w:t>2</w:t>
            </w:r>
            <w:r w:rsidRPr="00883399">
              <w:rPr>
                <w:b w:val="0"/>
                <w:sz w:val="24"/>
                <w:szCs w:val="22"/>
              </w:rPr>
              <w:noBreakHyphen/>
              <w:t>e tonnes released from each pure carbonate calcined in the production of lime during the year as follows:</w:t>
            </w:r>
          </w:p>
          <w:p w14:paraId="69521107" w14:textId="21292AFE" w:rsidR="00872C03" w:rsidRPr="00883399" w:rsidRDefault="00872C03" w:rsidP="0031057E">
            <w:pPr>
              <w:pStyle w:val="TableHeading"/>
              <w:rPr>
                <w:b w:val="0"/>
                <w:sz w:val="24"/>
                <w:szCs w:val="22"/>
              </w:rPr>
            </w:pPr>
            <w:r w:rsidRPr="00883399">
              <w:rPr>
                <w:b w:val="0"/>
                <w:noProof/>
                <w:sz w:val="24"/>
                <w:szCs w:val="22"/>
              </w:rPr>
              <w:drawing>
                <wp:inline distT="0" distB="0" distL="0" distR="0" wp14:anchorId="60D76D62" wp14:editId="438C292F">
                  <wp:extent cx="3810000" cy="228600"/>
                  <wp:effectExtent l="0" t="0" r="0" b="0"/>
                  <wp:docPr id="2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810000" cy="228600"/>
                          </a:xfrm>
                          <a:prstGeom prst="rect">
                            <a:avLst/>
                          </a:prstGeom>
                          <a:noFill/>
                          <a:ln>
                            <a:noFill/>
                          </a:ln>
                        </pic:spPr>
                      </pic:pic>
                    </a:graphicData>
                  </a:graphic>
                </wp:inline>
              </w:drawing>
            </w:r>
          </w:p>
          <w:p w14:paraId="0C6420B9" w14:textId="77777777" w:rsidR="00872C03" w:rsidRPr="00883399" w:rsidRDefault="00872C03" w:rsidP="0031057E">
            <w:pPr>
              <w:pStyle w:val="subsection2"/>
              <w:ind w:left="34"/>
              <w:rPr>
                <w:sz w:val="24"/>
              </w:rPr>
            </w:pPr>
            <w:r w:rsidRPr="00883399">
              <w:rPr>
                <w:sz w:val="24"/>
              </w:rPr>
              <w:t>where:</w:t>
            </w:r>
          </w:p>
          <w:p w14:paraId="78481140" w14:textId="77777777" w:rsidR="00872C03" w:rsidRPr="00883399" w:rsidRDefault="00872C03" w:rsidP="0031057E">
            <w:pPr>
              <w:pStyle w:val="Definition0"/>
              <w:spacing w:after="60"/>
              <w:ind w:left="34"/>
              <w:rPr>
                <w:sz w:val="24"/>
              </w:rPr>
            </w:pPr>
            <w:r w:rsidRPr="00883399">
              <w:rPr>
                <w:b/>
                <w:i/>
                <w:sz w:val="24"/>
              </w:rPr>
              <w:t>E</w:t>
            </w:r>
            <w:r w:rsidRPr="00883399">
              <w:rPr>
                <w:rStyle w:val="Subscript"/>
                <w:b/>
                <w:i/>
                <w:sz w:val="18"/>
                <w:szCs w:val="16"/>
              </w:rPr>
              <w:t>ij</w:t>
            </w:r>
            <w:r w:rsidRPr="00883399">
              <w:rPr>
                <w:b/>
                <w:i/>
                <w:sz w:val="24"/>
              </w:rPr>
              <w:t xml:space="preserve"> </w:t>
            </w:r>
            <w:r w:rsidRPr="00883399">
              <w:rPr>
                <w:sz w:val="24"/>
              </w:rPr>
              <w:t>is the emissions of carbon dioxide (</w:t>
            </w:r>
            <w:r w:rsidRPr="00883399">
              <w:rPr>
                <w:b/>
                <w:i/>
                <w:sz w:val="24"/>
              </w:rPr>
              <w:t>j</w:t>
            </w:r>
            <w:r w:rsidRPr="00883399">
              <w:rPr>
                <w:sz w:val="24"/>
              </w:rPr>
              <w:t>) released from a carbonate (</w:t>
            </w:r>
            <w:r w:rsidRPr="00883399">
              <w:rPr>
                <w:b/>
                <w:i/>
                <w:sz w:val="24"/>
              </w:rPr>
              <w:t>i</w:t>
            </w:r>
            <w:r w:rsidRPr="00883399">
              <w:rPr>
                <w:sz w:val="24"/>
              </w:rPr>
              <w:t xml:space="preserve">) calcined in the production of lime during the year measured in </w:t>
            </w:r>
            <w:r w:rsidRPr="00883399">
              <w:rPr>
                <w:sz w:val="24"/>
                <w:szCs w:val="22"/>
              </w:rPr>
              <w:t>CO</w:t>
            </w:r>
            <w:r w:rsidRPr="00883399">
              <w:rPr>
                <w:rStyle w:val="Subscript"/>
                <w:iCs/>
                <w:sz w:val="22"/>
                <w:szCs w:val="22"/>
              </w:rPr>
              <w:t>2</w:t>
            </w:r>
            <w:r w:rsidRPr="00883399">
              <w:rPr>
                <w:sz w:val="24"/>
                <w:szCs w:val="22"/>
              </w:rPr>
              <w:noBreakHyphen/>
              <w:t>e</w:t>
            </w:r>
            <w:r w:rsidRPr="00883399">
              <w:rPr>
                <w:sz w:val="24"/>
              </w:rPr>
              <w:t xml:space="preserve"> tonnes.</w:t>
            </w:r>
          </w:p>
        </w:tc>
      </w:tr>
      <w:tr w:rsidR="00872C03" w:rsidRPr="00883399" w14:paraId="101BCB9F" w14:textId="77777777" w:rsidTr="0031057E">
        <w:trPr>
          <w:cantSplit/>
          <w:trHeight w:val="2610"/>
        </w:trPr>
        <w:tc>
          <w:tcPr>
            <w:tcW w:w="861" w:type="dxa"/>
          </w:tcPr>
          <w:p w14:paraId="201BF0AF" w14:textId="77777777" w:rsidR="00872C03" w:rsidRPr="00883399" w:rsidRDefault="00872C03" w:rsidP="0031057E">
            <w:pPr>
              <w:spacing w:before="60" w:after="60"/>
              <w:rPr>
                <w:i/>
              </w:rPr>
            </w:pPr>
          </w:p>
        </w:tc>
        <w:tc>
          <w:tcPr>
            <w:tcW w:w="6663" w:type="dxa"/>
          </w:tcPr>
          <w:p w14:paraId="6AED2F55" w14:textId="77777777" w:rsidR="00872C03" w:rsidRPr="00883399" w:rsidRDefault="00872C03" w:rsidP="0031057E">
            <w:pPr>
              <w:pStyle w:val="Definition0"/>
              <w:spacing w:before="60" w:after="60"/>
              <w:ind w:left="34"/>
              <w:rPr>
                <w:sz w:val="24"/>
              </w:rPr>
            </w:pPr>
            <w:r w:rsidRPr="00883399">
              <w:rPr>
                <w:b/>
                <w:i/>
                <w:sz w:val="24"/>
              </w:rPr>
              <w:t>EF</w:t>
            </w:r>
            <w:r w:rsidRPr="00883399">
              <w:rPr>
                <w:rStyle w:val="Subscript"/>
                <w:b/>
                <w:i/>
                <w:sz w:val="22"/>
              </w:rPr>
              <w:t>ij</w:t>
            </w:r>
            <w:r w:rsidRPr="00883399">
              <w:rPr>
                <w:sz w:val="24"/>
              </w:rPr>
              <w:t xml:space="preserve"> is the carbon dioxide (</w:t>
            </w:r>
            <w:r w:rsidRPr="00883399">
              <w:rPr>
                <w:b/>
                <w:i/>
                <w:sz w:val="24"/>
              </w:rPr>
              <w:t>j</w:t>
            </w:r>
            <w:r w:rsidRPr="00883399">
              <w:rPr>
                <w:sz w:val="24"/>
              </w:rPr>
              <w:t>) emission factor for the carbonate (</w:t>
            </w:r>
            <w:r w:rsidRPr="00883399">
              <w:rPr>
                <w:b/>
                <w:i/>
                <w:sz w:val="24"/>
              </w:rPr>
              <w:t>i</w:t>
            </w:r>
            <w:r w:rsidRPr="00883399">
              <w:rPr>
                <w:sz w:val="24"/>
              </w:rPr>
              <w:t>), measured in tonnes of emissions of carbon dioxide per tonne of pure carbonate as follows:</w:t>
            </w:r>
          </w:p>
          <w:p w14:paraId="283DADD7" w14:textId="77777777" w:rsidR="00872C03" w:rsidRPr="00883399" w:rsidRDefault="00872C03" w:rsidP="0031057E">
            <w:pPr>
              <w:pStyle w:val="TableP1a"/>
              <w:rPr>
                <w:sz w:val="24"/>
              </w:rPr>
            </w:pPr>
            <w:r w:rsidRPr="00883399">
              <w:rPr>
                <w:sz w:val="24"/>
              </w:rPr>
              <w:tab/>
              <w:t>(a)</w:t>
            </w:r>
            <w:r w:rsidRPr="00883399">
              <w:rPr>
                <w:sz w:val="24"/>
              </w:rPr>
              <w:tab/>
              <w:t>for calcium carbonate—0.440;</w:t>
            </w:r>
          </w:p>
          <w:p w14:paraId="6142E28D" w14:textId="77777777" w:rsidR="00872C03" w:rsidRPr="00883399" w:rsidRDefault="00872C03" w:rsidP="0031057E">
            <w:pPr>
              <w:pStyle w:val="TableP1a"/>
              <w:rPr>
                <w:sz w:val="24"/>
              </w:rPr>
            </w:pPr>
            <w:r w:rsidRPr="00883399">
              <w:rPr>
                <w:sz w:val="24"/>
              </w:rPr>
              <w:tab/>
              <w:t>(b)</w:t>
            </w:r>
            <w:r w:rsidRPr="00883399">
              <w:rPr>
                <w:sz w:val="24"/>
              </w:rPr>
              <w:tab/>
              <w:t>for magnesium carbonate—0.522;</w:t>
            </w:r>
          </w:p>
          <w:p w14:paraId="5DFA2612" w14:textId="77777777" w:rsidR="00872C03" w:rsidRPr="00883399" w:rsidRDefault="00872C03" w:rsidP="0031057E">
            <w:pPr>
              <w:pStyle w:val="TableP1a"/>
              <w:rPr>
                <w:sz w:val="24"/>
              </w:rPr>
            </w:pPr>
            <w:r w:rsidRPr="00883399">
              <w:rPr>
                <w:sz w:val="24"/>
              </w:rPr>
              <w:tab/>
              <w:t>(c)</w:t>
            </w:r>
            <w:r w:rsidRPr="00883399">
              <w:rPr>
                <w:sz w:val="24"/>
              </w:rPr>
              <w:tab/>
              <w:t>for dolomite—0.477;</w:t>
            </w:r>
          </w:p>
          <w:p w14:paraId="60935B20" w14:textId="77777777" w:rsidR="00872C03" w:rsidRPr="00883399" w:rsidRDefault="00872C03" w:rsidP="0031057E">
            <w:pPr>
              <w:pStyle w:val="TableP1a"/>
              <w:rPr>
                <w:sz w:val="24"/>
              </w:rPr>
            </w:pPr>
            <w:r w:rsidRPr="00883399">
              <w:rPr>
                <w:sz w:val="24"/>
              </w:rPr>
              <w:tab/>
              <w:t>(d)</w:t>
            </w:r>
            <w:r w:rsidRPr="00883399">
              <w:rPr>
                <w:sz w:val="24"/>
              </w:rPr>
              <w:tab/>
              <w:t>for any other carbonate—the factor for the carbonate in accordance with section 2.1 of Chapter 2 of Volume 3 of the 2006 IPCC Guidelines.</w:t>
            </w:r>
          </w:p>
        </w:tc>
      </w:tr>
      <w:tr w:rsidR="00872C03" w:rsidRPr="00883399" w14:paraId="5BC369D7" w14:textId="77777777" w:rsidTr="0031057E">
        <w:trPr>
          <w:cantSplit/>
        </w:trPr>
        <w:tc>
          <w:tcPr>
            <w:tcW w:w="861" w:type="dxa"/>
          </w:tcPr>
          <w:p w14:paraId="155F42F2" w14:textId="77777777" w:rsidR="00872C03" w:rsidRPr="00883399" w:rsidRDefault="00872C03" w:rsidP="0031057E">
            <w:pPr>
              <w:spacing w:before="60" w:after="60"/>
              <w:rPr>
                <w:i/>
              </w:rPr>
            </w:pPr>
          </w:p>
        </w:tc>
        <w:tc>
          <w:tcPr>
            <w:tcW w:w="6663" w:type="dxa"/>
          </w:tcPr>
          <w:p w14:paraId="0297E987" w14:textId="77777777" w:rsidR="00872C03" w:rsidRPr="00883399" w:rsidRDefault="00872C03" w:rsidP="0031057E">
            <w:pPr>
              <w:pStyle w:val="Definition0"/>
              <w:spacing w:before="60" w:after="60"/>
              <w:ind w:left="34"/>
              <w:rPr>
                <w:sz w:val="24"/>
              </w:rPr>
            </w:pPr>
            <w:r w:rsidRPr="00883399">
              <w:rPr>
                <w:b/>
                <w:i/>
                <w:sz w:val="24"/>
              </w:rPr>
              <w:t>Q</w:t>
            </w:r>
            <w:r w:rsidRPr="00883399">
              <w:rPr>
                <w:rStyle w:val="Subscript"/>
                <w:b/>
                <w:i/>
                <w:sz w:val="22"/>
              </w:rPr>
              <w:t>i</w:t>
            </w:r>
            <w:r w:rsidRPr="00883399">
              <w:rPr>
                <w:sz w:val="24"/>
              </w:rPr>
              <w:t xml:space="preserve"> is the quantity of the pure carbonate (</w:t>
            </w:r>
            <w:r w:rsidRPr="00883399">
              <w:rPr>
                <w:b/>
                <w:i/>
                <w:sz w:val="24"/>
              </w:rPr>
              <w:t>i</w:t>
            </w:r>
            <w:r w:rsidRPr="00883399">
              <w:rPr>
                <w:sz w:val="24"/>
              </w:rPr>
              <w:t>) entering the calcining process in the production of lime during the year measured in tonnes and estimated under Division 4.2.5.</w:t>
            </w:r>
          </w:p>
          <w:p w14:paraId="18E68895" w14:textId="77777777" w:rsidR="00872C03" w:rsidRPr="00883399" w:rsidRDefault="00872C03" w:rsidP="0031057E">
            <w:pPr>
              <w:pStyle w:val="Definition0"/>
              <w:spacing w:before="60" w:after="60"/>
              <w:ind w:left="34"/>
              <w:rPr>
                <w:sz w:val="24"/>
              </w:rPr>
            </w:pPr>
            <w:r w:rsidRPr="00883399">
              <w:rPr>
                <w:b/>
                <w:i/>
                <w:sz w:val="24"/>
              </w:rPr>
              <w:t>F</w:t>
            </w:r>
            <w:r w:rsidRPr="00883399">
              <w:rPr>
                <w:rStyle w:val="Subscript"/>
                <w:b/>
                <w:i/>
                <w:sz w:val="22"/>
              </w:rPr>
              <w:t>cal</w:t>
            </w:r>
            <w:r w:rsidRPr="00883399">
              <w:rPr>
                <w:sz w:val="24"/>
              </w:rPr>
              <w:t xml:space="preserve"> is:</w:t>
            </w:r>
          </w:p>
          <w:p w14:paraId="5F1279DF" w14:textId="77777777" w:rsidR="00872C03" w:rsidRPr="00883399" w:rsidRDefault="00872C03" w:rsidP="00872C03">
            <w:pPr>
              <w:pStyle w:val="TableP1a"/>
              <w:numPr>
                <w:ilvl w:val="0"/>
                <w:numId w:val="8"/>
              </w:numPr>
              <w:rPr>
                <w:sz w:val="24"/>
              </w:rPr>
            </w:pPr>
            <w:r w:rsidRPr="00883399">
              <w:rPr>
                <w:sz w:val="24"/>
              </w:rPr>
              <w:t>the amount of the carbonate calcined in the production of lime during the year expressed as a decimal fraction; or</w:t>
            </w:r>
          </w:p>
          <w:p w14:paraId="62DA4444" w14:textId="77777777" w:rsidR="00872C03" w:rsidRPr="00883399" w:rsidRDefault="00872C03" w:rsidP="00872C03">
            <w:pPr>
              <w:pStyle w:val="TableP1a"/>
              <w:numPr>
                <w:ilvl w:val="0"/>
                <w:numId w:val="8"/>
              </w:numPr>
              <w:rPr>
                <w:sz w:val="24"/>
              </w:rPr>
            </w:pPr>
            <w:r w:rsidRPr="00883399">
              <w:rPr>
                <w:sz w:val="24"/>
              </w:rPr>
              <w:t>if the information mentioned in paragraph (a) is not available—the value 1.</w:t>
            </w:r>
          </w:p>
          <w:p w14:paraId="6A79BFE3" w14:textId="77777777" w:rsidR="00872C03" w:rsidRPr="00883399" w:rsidRDefault="00872C03" w:rsidP="0031057E">
            <w:pPr>
              <w:pStyle w:val="Definition0"/>
              <w:spacing w:before="60" w:after="60"/>
              <w:ind w:left="34"/>
              <w:rPr>
                <w:sz w:val="24"/>
              </w:rPr>
            </w:pPr>
            <w:r w:rsidRPr="00883399">
              <w:rPr>
                <w:b/>
                <w:i/>
                <w:sz w:val="24"/>
              </w:rPr>
              <w:t>A</w:t>
            </w:r>
            <w:r w:rsidRPr="00883399">
              <w:rPr>
                <w:rStyle w:val="Subscript"/>
                <w:b/>
                <w:i/>
                <w:sz w:val="22"/>
              </w:rPr>
              <w:t>lkd</w:t>
            </w:r>
            <w:r w:rsidRPr="00883399">
              <w:rPr>
                <w:sz w:val="24"/>
              </w:rPr>
              <w:t xml:space="preserve"> is the quantity of lime kiln dust lost in the production of lime during the year, measured in tonnes and estimated under Division 4.2.5.</w:t>
            </w:r>
          </w:p>
        </w:tc>
      </w:tr>
      <w:tr w:rsidR="00872C03" w:rsidRPr="00883399" w14:paraId="162CCCFF" w14:textId="77777777" w:rsidTr="0031057E">
        <w:trPr>
          <w:cantSplit/>
        </w:trPr>
        <w:tc>
          <w:tcPr>
            <w:tcW w:w="861" w:type="dxa"/>
          </w:tcPr>
          <w:p w14:paraId="72C0390A" w14:textId="77777777" w:rsidR="00872C03" w:rsidRPr="00883399" w:rsidRDefault="00872C03" w:rsidP="0031057E">
            <w:pPr>
              <w:spacing w:before="60" w:after="60"/>
              <w:rPr>
                <w:i/>
              </w:rPr>
            </w:pPr>
          </w:p>
        </w:tc>
        <w:tc>
          <w:tcPr>
            <w:tcW w:w="6663" w:type="dxa"/>
          </w:tcPr>
          <w:p w14:paraId="53592FF7" w14:textId="77777777" w:rsidR="00872C03" w:rsidRPr="00883399" w:rsidRDefault="00872C03" w:rsidP="0031057E">
            <w:pPr>
              <w:pStyle w:val="Definition0"/>
              <w:spacing w:before="60" w:after="60"/>
              <w:ind w:left="34"/>
              <w:rPr>
                <w:b/>
                <w:i/>
                <w:sz w:val="24"/>
              </w:rPr>
            </w:pPr>
            <w:r w:rsidRPr="00883399">
              <w:rPr>
                <w:b/>
                <w:i/>
                <w:sz w:val="24"/>
              </w:rPr>
              <w:t>EF</w:t>
            </w:r>
            <w:r w:rsidRPr="00883399">
              <w:rPr>
                <w:rStyle w:val="Subscript"/>
                <w:b/>
                <w:i/>
                <w:sz w:val="22"/>
              </w:rPr>
              <w:t>lkd</w:t>
            </w:r>
            <w:r w:rsidRPr="00883399">
              <w:rPr>
                <w:sz w:val="24"/>
              </w:rPr>
              <w:t xml:space="preserve"> is 0.440, which is the emission factor for calcined lime kiln dust lost from the kiln.</w:t>
            </w:r>
          </w:p>
          <w:p w14:paraId="1F91EFF9" w14:textId="77777777" w:rsidR="00872C03" w:rsidRPr="00883399" w:rsidRDefault="00872C03" w:rsidP="0031057E">
            <w:pPr>
              <w:pStyle w:val="Definition0"/>
              <w:spacing w:before="60" w:after="60"/>
              <w:ind w:left="34"/>
              <w:rPr>
                <w:sz w:val="24"/>
              </w:rPr>
            </w:pPr>
            <w:r w:rsidRPr="00883399">
              <w:rPr>
                <w:b/>
                <w:i/>
                <w:sz w:val="24"/>
              </w:rPr>
              <w:t>F</w:t>
            </w:r>
            <w:r w:rsidRPr="00883399">
              <w:rPr>
                <w:rStyle w:val="Subscript"/>
                <w:b/>
                <w:i/>
                <w:sz w:val="22"/>
              </w:rPr>
              <w:t>lkd</w:t>
            </w:r>
            <w:r w:rsidRPr="00883399">
              <w:rPr>
                <w:sz w:val="24"/>
              </w:rPr>
              <w:t xml:space="preserve"> is:</w:t>
            </w:r>
          </w:p>
          <w:p w14:paraId="3CAFE3BF" w14:textId="77777777" w:rsidR="00872C03" w:rsidRPr="00883399" w:rsidRDefault="00872C03" w:rsidP="0031057E">
            <w:pPr>
              <w:pStyle w:val="TableP1a"/>
              <w:rPr>
                <w:sz w:val="24"/>
              </w:rPr>
            </w:pPr>
            <w:r w:rsidRPr="00883399">
              <w:rPr>
                <w:sz w:val="24"/>
              </w:rPr>
              <w:tab/>
              <w:t>(a)</w:t>
            </w:r>
            <w:r w:rsidRPr="00883399">
              <w:rPr>
                <w:sz w:val="24"/>
              </w:rPr>
              <w:tab/>
              <w:t>the fraction of calcination achieved for lime kiln dust in the production of lime during the year; or</w:t>
            </w:r>
          </w:p>
          <w:p w14:paraId="42C0EA62" w14:textId="77777777" w:rsidR="00872C03" w:rsidRPr="00883399" w:rsidRDefault="00872C03" w:rsidP="0031057E">
            <w:pPr>
              <w:pStyle w:val="TableP1a"/>
              <w:rPr>
                <w:sz w:val="24"/>
              </w:rPr>
            </w:pPr>
            <w:r w:rsidRPr="00883399">
              <w:rPr>
                <w:sz w:val="24"/>
              </w:rPr>
              <w:tab/>
              <w:t>(b)</w:t>
            </w:r>
            <w:r w:rsidRPr="00883399">
              <w:rPr>
                <w:sz w:val="24"/>
              </w:rPr>
              <w:tab/>
              <w:t>if the data in paragraph (a) is not available—the value 1.</w:t>
            </w:r>
          </w:p>
          <w:p w14:paraId="7DEC7CD3" w14:textId="77777777" w:rsidR="00872C03" w:rsidRPr="00883399" w:rsidRDefault="00872C03" w:rsidP="0031057E">
            <w:pPr>
              <w:pStyle w:val="Definition0"/>
              <w:spacing w:before="120" w:after="60"/>
              <w:ind w:left="34"/>
              <w:rPr>
                <w:sz w:val="24"/>
              </w:rPr>
            </w:pPr>
            <w:r w:rsidRPr="00883399">
              <w:rPr>
                <w:b/>
                <w:i/>
                <w:sz w:val="24"/>
              </w:rPr>
              <w:t>γ</w:t>
            </w:r>
            <w:r w:rsidRPr="00883399">
              <w:rPr>
                <w:sz w:val="24"/>
              </w:rPr>
              <w:t xml:space="preserve"> is the factor 1.861 × 10</w:t>
            </w:r>
            <w:r w:rsidRPr="00883399">
              <w:rPr>
                <w:sz w:val="24"/>
                <w:vertAlign w:val="superscript"/>
              </w:rPr>
              <w:noBreakHyphen/>
              <w:t xml:space="preserve">3 </w:t>
            </w:r>
            <w:r w:rsidRPr="00883399">
              <w:rPr>
                <w:sz w:val="24"/>
              </w:rPr>
              <w:t>for converting a quantity of carbon dioxide from cubic metres at standard conditions of pressure and temperature to CO</w:t>
            </w:r>
            <w:r w:rsidRPr="00883399">
              <w:rPr>
                <w:sz w:val="24"/>
                <w:vertAlign w:val="subscript"/>
              </w:rPr>
              <w:t>2</w:t>
            </w:r>
            <w:r w:rsidRPr="00883399">
              <w:rPr>
                <w:sz w:val="24"/>
              </w:rPr>
              <w:noBreakHyphen/>
              <w:t>e tonnes.</w:t>
            </w:r>
          </w:p>
          <w:p w14:paraId="747DB8F0" w14:textId="77777777" w:rsidR="00872C03" w:rsidRPr="00883399" w:rsidRDefault="00872C03" w:rsidP="0031057E">
            <w:pPr>
              <w:pStyle w:val="Definition0"/>
              <w:spacing w:before="60" w:after="60"/>
              <w:ind w:left="34"/>
              <w:rPr>
                <w:b/>
                <w:i/>
                <w:sz w:val="24"/>
              </w:rPr>
            </w:pPr>
            <w:r w:rsidRPr="00883399">
              <w:rPr>
                <w:b/>
                <w:i/>
                <w:sz w:val="24"/>
                <w:szCs w:val="22"/>
              </w:rPr>
              <w:t>RCCS</w:t>
            </w:r>
            <w:r w:rsidRPr="00883399">
              <w:rPr>
                <w:b/>
                <w:i/>
                <w:sz w:val="24"/>
                <w:szCs w:val="22"/>
                <w:vertAlign w:val="subscript"/>
              </w:rPr>
              <w:t>CO</w:t>
            </w:r>
            <w:r w:rsidRPr="00883399">
              <w:rPr>
                <w:b/>
                <w:i/>
                <w:position w:val="-4"/>
                <w:sz w:val="24"/>
                <w:szCs w:val="22"/>
                <w:vertAlign w:val="subscript"/>
              </w:rPr>
              <w:t>2</w:t>
            </w:r>
            <w:r w:rsidRPr="00883399">
              <w:rPr>
                <w:sz w:val="24"/>
                <w:szCs w:val="22"/>
                <w:vertAlign w:val="subscript"/>
              </w:rPr>
              <w:t xml:space="preserve"> </w:t>
            </w:r>
            <w:r w:rsidRPr="00883399">
              <w:rPr>
                <w:sz w:val="24"/>
                <w:szCs w:val="22"/>
              </w:rPr>
              <w:t>is carbon dioxide captured for permanent storage measured in cubic metres in accordance with Division 1.2.3.</w:t>
            </w:r>
          </w:p>
        </w:tc>
      </w:tr>
      <w:tr w:rsidR="00872C03" w:rsidRPr="00883399" w14:paraId="6B3BCBF4" w14:textId="77777777" w:rsidTr="0031057E">
        <w:trPr>
          <w:cantSplit/>
        </w:trPr>
        <w:tc>
          <w:tcPr>
            <w:tcW w:w="861" w:type="dxa"/>
          </w:tcPr>
          <w:p w14:paraId="4FC10536" w14:textId="77777777" w:rsidR="00872C03" w:rsidRPr="00883399" w:rsidRDefault="00872C03" w:rsidP="0031057E">
            <w:pPr>
              <w:pStyle w:val="TableHeading"/>
              <w:keepLines/>
              <w:rPr>
                <w:sz w:val="22"/>
              </w:rPr>
            </w:pPr>
            <w:r w:rsidRPr="00883399">
              <w:rPr>
                <w:b w:val="0"/>
                <w:sz w:val="24"/>
                <w:szCs w:val="22"/>
              </w:rPr>
              <w:t>Step 2</w:t>
            </w:r>
          </w:p>
        </w:tc>
        <w:tc>
          <w:tcPr>
            <w:tcW w:w="6663" w:type="dxa"/>
          </w:tcPr>
          <w:p w14:paraId="3AF1D9C2" w14:textId="77777777" w:rsidR="00872C03" w:rsidRPr="00883399" w:rsidRDefault="00872C03" w:rsidP="0031057E">
            <w:pPr>
              <w:pStyle w:val="TableHeading"/>
              <w:keepLines/>
              <w:rPr>
                <w:b w:val="0"/>
                <w:sz w:val="24"/>
                <w:szCs w:val="22"/>
              </w:rPr>
            </w:pPr>
            <w:r w:rsidRPr="00883399">
              <w:rPr>
                <w:b w:val="0"/>
                <w:sz w:val="24"/>
                <w:szCs w:val="22"/>
              </w:rPr>
              <w:t>Add together the amount of emissions of carbon dioxide for each pure carbonate calcined in the production of lime during the year.</w:t>
            </w:r>
          </w:p>
        </w:tc>
      </w:tr>
    </w:tbl>
    <w:p w14:paraId="700C3FBB" w14:textId="77777777" w:rsidR="00872C03" w:rsidRPr="00883399" w:rsidRDefault="00872C03" w:rsidP="00872C03">
      <w:pPr>
        <w:pStyle w:val="subsection"/>
        <w:rPr>
          <w:sz w:val="24"/>
        </w:rPr>
      </w:pPr>
      <w:r w:rsidRPr="00883399">
        <w:rPr>
          <w:sz w:val="24"/>
        </w:rPr>
        <w:tab/>
        <w:t>(2)</w:t>
      </w:r>
      <w:r w:rsidRPr="00883399">
        <w:rPr>
          <w:sz w:val="24"/>
        </w:rPr>
        <w:tab/>
        <w:t xml:space="preserve">For the factor </w:t>
      </w:r>
      <w:r w:rsidRPr="00883399">
        <w:rPr>
          <w:b/>
          <w:i/>
          <w:sz w:val="24"/>
        </w:rPr>
        <w:t>EF</w:t>
      </w:r>
      <w:r w:rsidRPr="00883399">
        <w:rPr>
          <w:rStyle w:val="charSubscript"/>
          <w:b/>
          <w:i/>
          <w:sz w:val="24"/>
        </w:rPr>
        <w:t>lkd</w:t>
      </w:r>
      <w:r w:rsidRPr="00883399">
        <w:rPr>
          <w:b/>
          <w:sz w:val="24"/>
        </w:rPr>
        <w:t xml:space="preserve"> </w:t>
      </w:r>
      <w:r w:rsidRPr="00883399">
        <w:rPr>
          <w:sz w:val="24"/>
        </w:rPr>
        <w:t>in subsection (1), the emission factor for calcined lime kiln dust is assumed to be the same as the emission factor for calcium carbonate.</w:t>
      </w:r>
    </w:p>
    <w:p w14:paraId="20F5DEF3" w14:textId="77777777" w:rsidR="00872C03" w:rsidRPr="00883399" w:rsidRDefault="00872C03" w:rsidP="00872C03">
      <w:pPr>
        <w:pStyle w:val="subsection"/>
        <w:rPr>
          <w:sz w:val="24"/>
        </w:rPr>
      </w:pPr>
      <w:r w:rsidRPr="00883399">
        <w:rPr>
          <w:sz w:val="24"/>
        </w:rPr>
        <w:tab/>
        <w:t>(3)</w:t>
      </w:r>
      <w:r w:rsidRPr="00883399">
        <w:rPr>
          <w:sz w:val="24"/>
        </w:rPr>
        <w:tab/>
        <w:t>Method 3 requires each carbonate to be sampled and analysed in accordance with sections 4.18 and 4.19.</w:t>
      </w:r>
    </w:p>
    <w:p w14:paraId="1376C70E" w14:textId="20DA8809" w:rsidR="00872C03" w:rsidRPr="00883399" w:rsidRDefault="00872C03" w:rsidP="00872C03">
      <w:pPr>
        <w:pStyle w:val="ActHead5"/>
        <w:rPr>
          <w:sz w:val="28"/>
        </w:rPr>
      </w:pPr>
      <w:bookmarkStart w:id="837" w:name="_Toc423517016"/>
      <w:bookmarkStart w:id="838" w:name="_Toc495652948"/>
      <w:r w:rsidRPr="00883399">
        <w:rPr>
          <w:rStyle w:val="CharSectno"/>
          <w:sz w:val="28"/>
        </w:rPr>
        <w:t>4.18</w:t>
      </w:r>
      <w:r w:rsidRPr="00883399">
        <w:rPr>
          <w:sz w:val="28"/>
        </w:rPr>
        <w:t xml:space="preserve">  General requirements for sampling</w:t>
      </w:r>
      <w:bookmarkEnd w:id="837"/>
      <w:bookmarkEnd w:id="838"/>
    </w:p>
    <w:p w14:paraId="4EBF0F18" w14:textId="77777777" w:rsidR="00872C03" w:rsidRPr="00883399" w:rsidRDefault="00872C03" w:rsidP="00872C03">
      <w:pPr>
        <w:pStyle w:val="subsection"/>
        <w:rPr>
          <w:sz w:val="24"/>
        </w:rPr>
      </w:pPr>
      <w:r w:rsidRPr="00883399">
        <w:rPr>
          <w:sz w:val="24"/>
        </w:rPr>
        <w:tab/>
        <w:t>(1)</w:t>
      </w:r>
      <w:r w:rsidRPr="00883399">
        <w:rPr>
          <w:sz w:val="24"/>
        </w:rPr>
        <w:tab/>
        <w:t>For section 4.17, carbonates must be sampled in accordance with the procedure for sampling lime specified under section 4.15 for method 2.</w:t>
      </w:r>
    </w:p>
    <w:p w14:paraId="12B2EF9A" w14:textId="77777777" w:rsidR="00872C03" w:rsidRPr="00883399" w:rsidRDefault="00872C03" w:rsidP="00872C03">
      <w:pPr>
        <w:pStyle w:val="subsection"/>
        <w:rPr>
          <w:sz w:val="24"/>
        </w:rPr>
      </w:pPr>
      <w:r w:rsidRPr="00883399">
        <w:rPr>
          <w:sz w:val="24"/>
        </w:rPr>
        <w:tab/>
        <w:t>(2)</w:t>
      </w:r>
      <w:r w:rsidRPr="00883399">
        <w:rPr>
          <w:sz w:val="24"/>
        </w:rPr>
        <w:tab/>
        <w:t>In applying section 4.15, a reference in that section to lime is taken to be a reference to carbonates.</w:t>
      </w:r>
    </w:p>
    <w:p w14:paraId="759E9F4A" w14:textId="0E8F5D1D" w:rsidR="00872C03" w:rsidRPr="00883399" w:rsidRDefault="00872C03" w:rsidP="00872C03">
      <w:pPr>
        <w:pStyle w:val="ActHead5"/>
        <w:rPr>
          <w:sz w:val="28"/>
        </w:rPr>
      </w:pPr>
      <w:bookmarkStart w:id="839" w:name="_Toc423517017"/>
      <w:bookmarkStart w:id="840" w:name="_Toc495652949"/>
      <w:r w:rsidRPr="00883399">
        <w:rPr>
          <w:rStyle w:val="CharSectno"/>
          <w:sz w:val="28"/>
        </w:rPr>
        <w:lastRenderedPageBreak/>
        <w:t>4.19</w:t>
      </w:r>
      <w:r w:rsidRPr="00883399">
        <w:rPr>
          <w:sz w:val="28"/>
        </w:rPr>
        <w:t xml:space="preserve">  General requirements for analysis of carbonates</w:t>
      </w:r>
      <w:bookmarkEnd w:id="839"/>
      <w:bookmarkEnd w:id="840"/>
    </w:p>
    <w:p w14:paraId="6151CA80" w14:textId="77777777" w:rsidR="00872C03" w:rsidRPr="00883399" w:rsidRDefault="00872C03" w:rsidP="00872C03">
      <w:pPr>
        <w:pStyle w:val="subsection"/>
        <w:rPr>
          <w:sz w:val="24"/>
        </w:rPr>
      </w:pPr>
      <w:r w:rsidRPr="00883399">
        <w:rPr>
          <w:sz w:val="24"/>
        </w:rPr>
        <w:tab/>
        <w:t>(1)</w:t>
      </w:r>
      <w:r w:rsidRPr="00883399">
        <w:rPr>
          <w:sz w:val="24"/>
        </w:rPr>
        <w:tab/>
        <w:t>For section 4.17, samples must be analysed in accordance with the procedure for analysing lime specified under section 4.16 for method 2.</w:t>
      </w:r>
    </w:p>
    <w:p w14:paraId="19D26AA4" w14:textId="77777777" w:rsidR="00872C03" w:rsidRPr="00883399" w:rsidRDefault="00872C03" w:rsidP="00872C03">
      <w:pPr>
        <w:pStyle w:val="subsection"/>
        <w:rPr>
          <w:sz w:val="24"/>
        </w:rPr>
      </w:pPr>
      <w:r w:rsidRPr="00883399">
        <w:rPr>
          <w:sz w:val="24"/>
        </w:rPr>
        <w:tab/>
        <w:t>(2)</w:t>
      </w:r>
      <w:r w:rsidRPr="00883399">
        <w:rPr>
          <w:sz w:val="24"/>
        </w:rPr>
        <w:tab/>
        <w:t>In applying section 4.16, a reference in that section to lime is taken to be a reference to carbonates.</w:t>
      </w:r>
    </w:p>
    <w:p w14:paraId="3851DCC3" w14:textId="2B1CAA75" w:rsidR="00872C03" w:rsidRPr="00883399" w:rsidRDefault="00872C03" w:rsidP="00872C03">
      <w:pPr>
        <w:pStyle w:val="ActHead3"/>
        <w:pageBreakBefore/>
        <w:rPr>
          <w:sz w:val="32"/>
        </w:rPr>
      </w:pPr>
      <w:bookmarkStart w:id="841" w:name="_Toc423517018"/>
      <w:bookmarkStart w:id="842" w:name="_Toc495652950"/>
      <w:r w:rsidRPr="00883399">
        <w:rPr>
          <w:rStyle w:val="CharDivNo"/>
          <w:sz w:val="32"/>
        </w:rPr>
        <w:lastRenderedPageBreak/>
        <w:t>Division 4.2.3</w:t>
      </w:r>
      <w:r w:rsidRPr="00883399">
        <w:rPr>
          <w:sz w:val="32"/>
        </w:rPr>
        <w:t>—</w:t>
      </w:r>
      <w:r w:rsidRPr="00883399">
        <w:rPr>
          <w:rStyle w:val="CharDivText"/>
          <w:sz w:val="32"/>
        </w:rPr>
        <w:t>Use of carbonates for production of a product other than cement clinker, lime or soda ash</w:t>
      </w:r>
      <w:bookmarkEnd w:id="841"/>
      <w:bookmarkEnd w:id="842"/>
    </w:p>
    <w:p w14:paraId="378EEDBF" w14:textId="77777777" w:rsidR="00872C03" w:rsidRPr="00883399" w:rsidRDefault="00872C03" w:rsidP="00872C03">
      <w:pPr>
        <w:pStyle w:val="Text"/>
        <w:rPr>
          <w:rFonts w:ascii="Arial" w:hAnsi="Arial" w:cs="Arial"/>
          <w:sz w:val="22"/>
          <w:szCs w:val="22"/>
        </w:rPr>
      </w:pPr>
      <w:bookmarkStart w:id="843" w:name="_Toc423517019"/>
      <w:r w:rsidRPr="00883399">
        <w:rPr>
          <w:rFonts w:ascii="Arial" w:hAnsi="Arial" w:cs="Arial"/>
          <w:sz w:val="22"/>
          <w:szCs w:val="22"/>
        </w:rPr>
        <w:t xml:space="preserve">This division is concerned with the consumption or any other use of carbonates that generates carbon dioxide emissions regardless of the industry in which they are used.  Apart from the production of cement clinker and lime, addressed in Divisions 4.2.1 and 4.2.2, and soda ash, addressed in Division 4.2.4, activities that may be likely to use carbonates that generate emissions include the industries listed in Section 4.20. </w:t>
      </w:r>
    </w:p>
    <w:p w14:paraId="0143881D" w14:textId="77777777" w:rsidR="00872C03" w:rsidRPr="00883399" w:rsidRDefault="00872C03" w:rsidP="00872C03">
      <w:pPr>
        <w:pStyle w:val="Text"/>
        <w:rPr>
          <w:sz w:val="24"/>
          <w:szCs w:val="24"/>
        </w:rPr>
      </w:pPr>
      <w:r w:rsidRPr="00883399">
        <w:rPr>
          <w:rFonts w:ascii="Arial" w:hAnsi="Arial" w:cs="Arial"/>
          <w:sz w:val="22"/>
          <w:szCs w:val="22"/>
        </w:rPr>
        <w:t>Another process where limestone is consumed is the production of phosphoric acid from phosphate rock using the ‘wet process’. The carbon dioxide emissions result from a secondary reaction in which limestone present in the phosphate rock reacts with the acid. The emissions associated with the consumption of limestone during phosphoric acid production should be reported under this division. The quantity of limestone in the phosphate rock must be known to apply the methods outlined in this Division</w:t>
      </w:r>
      <w:r w:rsidRPr="00883399">
        <w:rPr>
          <w:sz w:val="24"/>
          <w:szCs w:val="24"/>
        </w:rPr>
        <w:t xml:space="preserve">.  </w:t>
      </w:r>
    </w:p>
    <w:p w14:paraId="16C97E34" w14:textId="2BFB97B7" w:rsidR="00872C03" w:rsidRPr="00883399" w:rsidRDefault="00872C03" w:rsidP="00872C03">
      <w:pPr>
        <w:pStyle w:val="ActHead5"/>
        <w:rPr>
          <w:sz w:val="28"/>
        </w:rPr>
      </w:pPr>
      <w:bookmarkStart w:id="844" w:name="_Toc495652951"/>
      <w:r w:rsidRPr="00883399">
        <w:rPr>
          <w:rStyle w:val="CharSectno"/>
          <w:sz w:val="28"/>
        </w:rPr>
        <w:t>4.20</w:t>
      </w:r>
      <w:r w:rsidRPr="00883399">
        <w:rPr>
          <w:sz w:val="28"/>
        </w:rPr>
        <w:t xml:space="preserve">  Application</w:t>
      </w:r>
      <w:bookmarkEnd w:id="843"/>
      <w:bookmarkEnd w:id="844"/>
    </w:p>
    <w:p w14:paraId="4AFB572D" w14:textId="77777777" w:rsidR="00872C03" w:rsidRPr="00883399" w:rsidRDefault="00872C03" w:rsidP="00872C03">
      <w:pPr>
        <w:pStyle w:val="subsection"/>
        <w:rPr>
          <w:sz w:val="24"/>
        </w:rPr>
      </w:pPr>
      <w:r w:rsidRPr="00883399">
        <w:rPr>
          <w:sz w:val="24"/>
        </w:rPr>
        <w:tab/>
      </w:r>
      <w:r w:rsidRPr="00883399">
        <w:rPr>
          <w:sz w:val="24"/>
        </w:rPr>
        <w:tab/>
        <w:t>This Division applies to emissions of carbon dioxide from the consumption of a carbonate (other than soda ash) but does not apply to:</w:t>
      </w:r>
    </w:p>
    <w:p w14:paraId="274C26DD" w14:textId="77777777" w:rsidR="00872C03" w:rsidRPr="00883399" w:rsidRDefault="00872C03" w:rsidP="00872C03">
      <w:pPr>
        <w:pStyle w:val="paragraph"/>
        <w:rPr>
          <w:sz w:val="24"/>
        </w:rPr>
      </w:pPr>
      <w:r w:rsidRPr="00883399">
        <w:rPr>
          <w:sz w:val="24"/>
        </w:rPr>
        <w:tab/>
        <w:t>(a)</w:t>
      </w:r>
      <w:r w:rsidRPr="00883399">
        <w:rPr>
          <w:sz w:val="24"/>
        </w:rPr>
        <w:tab/>
        <w:t>emissions of carbon dioxide from the calcination of a carbonate in the production of cement clinker; or</w:t>
      </w:r>
    </w:p>
    <w:p w14:paraId="2F7BAF6C" w14:textId="77777777" w:rsidR="00872C03" w:rsidRPr="00883399" w:rsidRDefault="00872C03" w:rsidP="00872C03">
      <w:pPr>
        <w:pStyle w:val="paragraph"/>
        <w:rPr>
          <w:sz w:val="24"/>
        </w:rPr>
      </w:pPr>
      <w:r w:rsidRPr="00883399">
        <w:rPr>
          <w:sz w:val="24"/>
        </w:rPr>
        <w:tab/>
        <w:t>(b)</w:t>
      </w:r>
      <w:r w:rsidRPr="00883399">
        <w:rPr>
          <w:sz w:val="24"/>
        </w:rPr>
        <w:tab/>
        <w:t>emissions of carbon dioxide from the calcination of a carbonate in the production of lime; or</w:t>
      </w:r>
    </w:p>
    <w:p w14:paraId="3705927C" w14:textId="77777777" w:rsidR="00872C03" w:rsidRPr="00883399" w:rsidRDefault="00872C03" w:rsidP="00872C03">
      <w:pPr>
        <w:pStyle w:val="paragraph"/>
        <w:rPr>
          <w:sz w:val="24"/>
        </w:rPr>
      </w:pPr>
      <w:r w:rsidRPr="00883399">
        <w:rPr>
          <w:sz w:val="24"/>
        </w:rPr>
        <w:tab/>
        <w:t>(c)</w:t>
      </w:r>
      <w:r w:rsidRPr="00883399">
        <w:rPr>
          <w:sz w:val="24"/>
        </w:rPr>
        <w:tab/>
        <w:t>emissions of carbon dioxide from the calcination of a carbonate in the process of production of soda ash; or</w:t>
      </w:r>
    </w:p>
    <w:p w14:paraId="6BD16720" w14:textId="77777777" w:rsidR="00872C03" w:rsidRPr="00883399" w:rsidRDefault="00872C03" w:rsidP="00872C03">
      <w:pPr>
        <w:pStyle w:val="paragraph"/>
        <w:rPr>
          <w:sz w:val="24"/>
        </w:rPr>
      </w:pPr>
      <w:r w:rsidRPr="00883399">
        <w:rPr>
          <w:sz w:val="24"/>
        </w:rPr>
        <w:tab/>
        <w:t>(d)</w:t>
      </w:r>
      <w:r w:rsidRPr="00883399">
        <w:rPr>
          <w:sz w:val="24"/>
        </w:rPr>
        <w:tab/>
        <w:t>emissions from the consumption of carbonates following their application to soil.</w:t>
      </w:r>
    </w:p>
    <w:p w14:paraId="5B6E2CC9" w14:textId="77777777" w:rsidR="00872C03" w:rsidRPr="00883399" w:rsidRDefault="00872C03" w:rsidP="00872C03">
      <w:pPr>
        <w:pStyle w:val="notetext"/>
        <w:rPr>
          <w:sz w:val="20"/>
        </w:rPr>
      </w:pPr>
      <w:r w:rsidRPr="00883399">
        <w:rPr>
          <w:iCs/>
          <w:sz w:val="20"/>
        </w:rPr>
        <w:t>Examples</w:t>
      </w:r>
      <w:r w:rsidRPr="00883399">
        <w:rPr>
          <w:sz w:val="20"/>
        </w:rPr>
        <w:t xml:space="preserve"> of activities involving the consumption of carbonates:</w:t>
      </w:r>
    </w:p>
    <w:p w14:paraId="2CB90618" w14:textId="77777777" w:rsidR="00872C03" w:rsidRPr="00883399" w:rsidRDefault="00872C03" w:rsidP="00872C03">
      <w:pPr>
        <w:pStyle w:val="Tablea"/>
        <w:ind w:left="1418"/>
        <w:rPr>
          <w:sz w:val="22"/>
        </w:rPr>
      </w:pPr>
      <w:r w:rsidRPr="00883399">
        <w:rPr>
          <w:sz w:val="22"/>
        </w:rPr>
        <w:t>1</w:t>
      </w:r>
      <w:r w:rsidRPr="00883399">
        <w:rPr>
          <w:sz w:val="22"/>
        </w:rPr>
        <w:tab/>
        <w:t>Metallurgy.</w:t>
      </w:r>
    </w:p>
    <w:p w14:paraId="512B8FD9" w14:textId="77777777" w:rsidR="00872C03" w:rsidRPr="00883399" w:rsidRDefault="00872C03" w:rsidP="00872C03">
      <w:pPr>
        <w:pStyle w:val="Tablea"/>
        <w:ind w:left="1418"/>
        <w:rPr>
          <w:sz w:val="22"/>
        </w:rPr>
      </w:pPr>
      <w:r w:rsidRPr="00883399">
        <w:rPr>
          <w:sz w:val="22"/>
        </w:rPr>
        <w:t>2</w:t>
      </w:r>
      <w:r w:rsidRPr="00883399">
        <w:rPr>
          <w:sz w:val="22"/>
        </w:rPr>
        <w:tab/>
        <w:t>Glass manufacture, including fibreglass and mineral wools.</w:t>
      </w:r>
    </w:p>
    <w:p w14:paraId="0F3A5C77" w14:textId="77777777" w:rsidR="00872C03" w:rsidRPr="00883399" w:rsidRDefault="00872C03" w:rsidP="00872C03">
      <w:pPr>
        <w:pStyle w:val="Tablea"/>
        <w:ind w:left="1418"/>
        <w:rPr>
          <w:sz w:val="22"/>
        </w:rPr>
      </w:pPr>
      <w:r w:rsidRPr="00883399">
        <w:rPr>
          <w:sz w:val="22"/>
        </w:rPr>
        <w:t>3</w:t>
      </w:r>
      <w:r w:rsidRPr="00883399">
        <w:rPr>
          <w:sz w:val="22"/>
        </w:rPr>
        <w:tab/>
        <w:t>Magnesia production.</w:t>
      </w:r>
    </w:p>
    <w:p w14:paraId="4CF9F288" w14:textId="77777777" w:rsidR="00872C03" w:rsidRPr="00883399" w:rsidRDefault="00872C03" w:rsidP="00872C03">
      <w:pPr>
        <w:pStyle w:val="Tablea"/>
        <w:ind w:left="1418"/>
        <w:rPr>
          <w:sz w:val="22"/>
        </w:rPr>
      </w:pPr>
      <w:r w:rsidRPr="00883399">
        <w:rPr>
          <w:sz w:val="22"/>
        </w:rPr>
        <w:t>4</w:t>
      </w:r>
      <w:r w:rsidRPr="00883399">
        <w:rPr>
          <w:sz w:val="22"/>
        </w:rPr>
        <w:tab/>
        <w:t>Construction.</w:t>
      </w:r>
    </w:p>
    <w:p w14:paraId="2BDA392E" w14:textId="77777777" w:rsidR="00872C03" w:rsidRPr="00883399" w:rsidRDefault="00872C03" w:rsidP="00872C03">
      <w:pPr>
        <w:pStyle w:val="Tablea"/>
        <w:ind w:left="1418"/>
        <w:rPr>
          <w:sz w:val="22"/>
        </w:rPr>
      </w:pPr>
      <w:r w:rsidRPr="00883399">
        <w:rPr>
          <w:sz w:val="22"/>
        </w:rPr>
        <w:t>5</w:t>
      </w:r>
      <w:r w:rsidRPr="00883399">
        <w:rPr>
          <w:sz w:val="22"/>
        </w:rPr>
        <w:tab/>
        <w:t>Environment pollution control.</w:t>
      </w:r>
    </w:p>
    <w:p w14:paraId="6DD05128" w14:textId="77777777" w:rsidR="00872C03" w:rsidRPr="00883399" w:rsidRDefault="00872C03" w:rsidP="00872C03">
      <w:pPr>
        <w:pStyle w:val="Tablea"/>
        <w:ind w:left="1418"/>
        <w:rPr>
          <w:sz w:val="22"/>
        </w:rPr>
      </w:pPr>
      <w:r w:rsidRPr="00883399">
        <w:rPr>
          <w:sz w:val="22"/>
        </w:rPr>
        <w:t>6</w:t>
      </w:r>
      <w:r w:rsidRPr="00883399">
        <w:rPr>
          <w:sz w:val="22"/>
        </w:rPr>
        <w:tab/>
        <w:t>Use as a flux or slagging agent.</w:t>
      </w:r>
    </w:p>
    <w:p w14:paraId="6BC65541" w14:textId="77777777" w:rsidR="00872C03" w:rsidRPr="00883399" w:rsidRDefault="00872C03" w:rsidP="00872C03">
      <w:pPr>
        <w:pStyle w:val="Tablea"/>
        <w:ind w:left="1418"/>
        <w:rPr>
          <w:sz w:val="22"/>
        </w:rPr>
      </w:pPr>
      <w:r w:rsidRPr="00883399">
        <w:rPr>
          <w:sz w:val="22"/>
        </w:rPr>
        <w:t>7</w:t>
      </w:r>
      <w:r w:rsidRPr="00883399">
        <w:rPr>
          <w:sz w:val="22"/>
        </w:rPr>
        <w:tab/>
        <w:t>In</w:t>
      </w:r>
      <w:r w:rsidRPr="00883399">
        <w:rPr>
          <w:sz w:val="22"/>
        </w:rPr>
        <w:noBreakHyphen/>
        <w:t>house production of lime in the metals industry.</w:t>
      </w:r>
    </w:p>
    <w:p w14:paraId="32C183D8" w14:textId="77777777" w:rsidR="00872C03" w:rsidRPr="00883399" w:rsidRDefault="00872C03" w:rsidP="00872C03">
      <w:pPr>
        <w:pStyle w:val="Tablea"/>
        <w:ind w:left="1418"/>
        <w:rPr>
          <w:sz w:val="22"/>
        </w:rPr>
      </w:pPr>
      <w:r w:rsidRPr="00883399">
        <w:rPr>
          <w:sz w:val="22"/>
        </w:rPr>
        <w:t>8</w:t>
      </w:r>
      <w:r w:rsidRPr="00883399">
        <w:rPr>
          <w:sz w:val="22"/>
        </w:rPr>
        <w:tab/>
        <w:t>Phosphoric acid production from phosphate rock containing carbonates.</w:t>
      </w:r>
    </w:p>
    <w:p w14:paraId="44EBB83B" w14:textId="77777777" w:rsidR="00872C03" w:rsidRPr="00883399" w:rsidRDefault="00872C03" w:rsidP="00872C03">
      <w:pPr>
        <w:pStyle w:val="Tablea"/>
        <w:ind w:left="1418"/>
        <w:rPr>
          <w:sz w:val="22"/>
        </w:rPr>
      </w:pPr>
      <w:r w:rsidRPr="00883399">
        <w:rPr>
          <w:sz w:val="22"/>
        </w:rPr>
        <w:lastRenderedPageBreak/>
        <w:t>9</w:t>
      </w:r>
      <w:r w:rsidRPr="00883399">
        <w:rPr>
          <w:sz w:val="22"/>
        </w:rPr>
        <w:tab/>
        <w:t>Brick production.</w:t>
      </w:r>
    </w:p>
    <w:p w14:paraId="22078335" w14:textId="77777777" w:rsidR="00872C03" w:rsidRPr="00883399" w:rsidRDefault="00872C03" w:rsidP="00872C03">
      <w:pPr>
        <w:pStyle w:val="Tablea"/>
        <w:ind w:left="1418"/>
        <w:rPr>
          <w:sz w:val="22"/>
        </w:rPr>
      </w:pPr>
      <w:r w:rsidRPr="00883399">
        <w:rPr>
          <w:sz w:val="22"/>
        </w:rPr>
        <w:t>10</w:t>
      </w:r>
      <w:r w:rsidRPr="00883399">
        <w:rPr>
          <w:sz w:val="22"/>
        </w:rPr>
        <w:tab/>
        <w:t>Ceramic production.</w:t>
      </w:r>
    </w:p>
    <w:p w14:paraId="15413E94" w14:textId="72290129" w:rsidR="00872C03" w:rsidRPr="00883399" w:rsidRDefault="00872C03" w:rsidP="00872C03">
      <w:pPr>
        <w:pStyle w:val="ActHead5"/>
        <w:rPr>
          <w:sz w:val="28"/>
        </w:rPr>
      </w:pPr>
      <w:bookmarkStart w:id="845" w:name="_Toc423517020"/>
      <w:bookmarkStart w:id="846" w:name="_Toc495652952"/>
      <w:r w:rsidRPr="00883399">
        <w:rPr>
          <w:rStyle w:val="CharSectno"/>
          <w:sz w:val="28"/>
        </w:rPr>
        <w:t>4.21</w:t>
      </w:r>
      <w:r w:rsidRPr="00883399">
        <w:rPr>
          <w:sz w:val="28"/>
        </w:rPr>
        <w:t xml:space="preserve">  Available methods</w:t>
      </w:r>
      <w:bookmarkEnd w:id="845"/>
      <w:bookmarkEnd w:id="846"/>
    </w:p>
    <w:p w14:paraId="030A81B2" w14:textId="77777777" w:rsidR="00872C03" w:rsidRPr="00883399" w:rsidRDefault="00872C03" w:rsidP="00872C03">
      <w:pPr>
        <w:pStyle w:val="subsection"/>
        <w:rPr>
          <w:sz w:val="24"/>
        </w:rPr>
      </w:pPr>
      <w:r w:rsidRPr="00883399">
        <w:rPr>
          <w:sz w:val="24"/>
        </w:rPr>
        <w:tab/>
        <w:t>(1)</w:t>
      </w:r>
      <w:r w:rsidRPr="00883399">
        <w:rPr>
          <w:sz w:val="24"/>
        </w:rPr>
        <w:tab/>
        <w:t xml:space="preserve">Subject to section 1.18 one of the following methods must be used for estimating emissions of carbon dioxide released during a year from the operation of a facility constituted by the calcination or any other use of carbonates that produces carbon dioxide (the </w:t>
      </w:r>
      <w:r w:rsidRPr="00883399">
        <w:rPr>
          <w:b/>
          <w:i/>
          <w:sz w:val="24"/>
        </w:rPr>
        <w:t>industrial process</w:t>
      </w:r>
      <w:r w:rsidRPr="00883399">
        <w:rPr>
          <w:sz w:val="24"/>
        </w:rPr>
        <w:t>) in an industrial process (other than cement clinker production or lime production):</w:t>
      </w:r>
    </w:p>
    <w:p w14:paraId="451E398B" w14:textId="77777777" w:rsidR="00872C03" w:rsidRPr="00883399" w:rsidRDefault="00872C03" w:rsidP="00872C03">
      <w:pPr>
        <w:pStyle w:val="paragraph"/>
        <w:rPr>
          <w:sz w:val="24"/>
        </w:rPr>
      </w:pPr>
      <w:r w:rsidRPr="00883399">
        <w:rPr>
          <w:sz w:val="24"/>
        </w:rPr>
        <w:tab/>
        <w:t>(a)</w:t>
      </w:r>
      <w:r w:rsidRPr="00883399">
        <w:rPr>
          <w:sz w:val="24"/>
        </w:rPr>
        <w:tab/>
        <w:t>method 1 under section 4.22;</w:t>
      </w:r>
    </w:p>
    <w:p w14:paraId="339265F6" w14:textId="77777777" w:rsidR="00872C03" w:rsidRPr="00883399" w:rsidRDefault="00872C03" w:rsidP="00872C03">
      <w:pPr>
        <w:pStyle w:val="paragraph"/>
        <w:rPr>
          <w:sz w:val="24"/>
        </w:rPr>
      </w:pPr>
      <w:r w:rsidRPr="00883399">
        <w:rPr>
          <w:sz w:val="24"/>
        </w:rPr>
        <w:tab/>
        <w:t>(aa)</w:t>
      </w:r>
      <w:r w:rsidRPr="00883399">
        <w:rPr>
          <w:sz w:val="24"/>
        </w:rPr>
        <w:tab/>
        <w:t>for use of carbonates in clay materials—method 1A under section 4.22A;</w:t>
      </w:r>
    </w:p>
    <w:p w14:paraId="125E5E65" w14:textId="77777777" w:rsidR="00872C03" w:rsidRPr="00883399" w:rsidRDefault="00872C03" w:rsidP="00872C03">
      <w:pPr>
        <w:pStyle w:val="paragraph"/>
        <w:rPr>
          <w:sz w:val="24"/>
        </w:rPr>
      </w:pPr>
      <w:r w:rsidRPr="00883399">
        <w:rPr>
          <w:sz w:val="24"/>
        </w:rPr>
        <w:tab/>
        <w:t>(b)</w:t>
      </w:r>
      <w:r w:rsidRPr="00883399">
        <w:rPr>
          <w:sz w:val="24"/>
        </w:rPr>
        <w:tab/>
        <w:t>method 3 under section 4.23;</w:t>
      </w:r>
    </w:p>
    <w:p w14:paraId="4957FBDE" w14:textId="77777777" w:rsidR="00872C03" w:rsidRPr="00883399" w:rsidRDefault="00872C03" w:rsidP="00872C03">
      <w:pPr>
        <w:pStyle w:val="paragraph"/>
        <w:rPr>
          <w:sz w:val="24"/>
        </w:rPr>
      </w:pPr>
      <w:r w:rsidRPr="00883399">
        <w:rPr>
          <w:sz w:val="24"/>
        </w:rPr>
        <w:tab/>
        <w:t>(ba)</w:t>
      </w:r>
      <w:r w:rsidRPr="00883399">
        <w:rPr>
          <w:sz w:val="24"/>
        </w:rPr>
        <w:tab/>
        <w:t>for use of carbonates in clay materials—method 3A under section 4.23A;</w:t>
      </w:r>
    </w:p>
    <w:p w14:paraId="4F664FCF" w14:textId="77777777" w:rsidR="00872C03" w:rsidRPr="00883399" w:rsidRDefault="00872C03" w:rsidP="00872C03">
      <w:pPr>
        <w:pStyle w:val="paragraph"/>
        <w:rPr>
          <w:sz w:val="24"/>
        </w:rPr>
      </w:pPr>
      <w:r w:rsidRPr="00883399">
        <w:rPr>
          <w:sz w:val="24"/>
        </w:rPr>
        <w:tab/>
        <w:t>(c)</w:t>
      </w:r>
      <w:r w:rsidRPr="00883399">
        <w:rPr>
          <w:sz w:val="24"/>
        </w:rPr>
        <w:tab/>
        <w:t>method 4 under Part 1.3.</w:t>
      </w:r>
    </w:p>
    <w:p w14:paraId="2310A213" w14:textId="77777777" w:rsidR="00872C03" w:rsidRPr="00883399" w:rsidRDefault="00872C03" w:rsidP="00872C03">
      <w:pPr>
        <w:pStyle w:val="notetext"/>
        <w:rPr>
          <w:sz w:val="20"/>
        </w:rPr>
      </w:pPr>
      <w:r w:rsidRPr="00883399">
        <w:rPr>
          <w:sz w:val="20"/>
        </w:rPr>
        <w:t>Note:</w:t>
      </w:r>
      <w:r w:rsidRPr="00883399">
        <w:rPr>
          <w:sz w:val="20"/>
        </w:rPr>
        <w:tab/>
        <w:t xml:space="preserve">There is no method 2 for this Division. </w:t>
      </w:r>
    </w:p>
    <w:p w14:paraId="50267FA1" w14:textId="77777777" w:rsidR="00872C03" w:rsidRPr="00883399" w:rsidRDefault="00872C03" w:rsidP="00872C03">
      <w:pPr>
        <w:pStyle w:val="subsection"/>
        <w:rPr>
          <w:sz w:val="24"/>
        </w:rPr>
      </w:pPr>
      <w:r w:rsidRPr="00883399">
        <w:rPr>
          <w:sz w:val="24"/>
        </w:rPr>
        <w:tab/>
        <w:t>(2)</w:t>
      </w:r>
      <w:r w:rsidRPr="00883399">
        <w:rPr>
          <w:sz w:val="24"/>
        </w:rPr>
        <w:tab/>
        <w:t>However, for incidental emissions another method may be used that is consistent with the principles in section 1.13.</w:t>
      </w:r>
    </w:p>
    <w:p w14:paraId="6FFB1D53" w14:textId="77777777" w:rsidR="00872C03" w:rsidRPr="00883399" w:rsidRDefault="00872C03" w:rsidP="00872C03">
      <w:pPr>
        <w:pStyle w:val="R2"/>
        <w:ind w:hanging="62"/>
        <w:rPr>
          <w:b/>
        </w:rPr>
      </w:pPr>
      <w:r w:rsidRPr="00883399">
        <w:tab/>
      </w:r>
      <w:r w:rsidRPr="00883399">
        <w:rPr>
          <w:b/>
        </w:rPr>
        <w:t>Summary of available methods, for estimating emissions from other uses of carbonates, by emissions of gas type (j)</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1754"/>
        <w:gridCol w:w="1742"/>
        <w:gridCol w:w="1413"/>
      </w:tblGrid>
      <w:tr w:rsidR="00872C03" w:rsidRPr="00883399" w14:paraId="3C106C2D" w14:textId="77777777" w:rsidTr="0031057E">
        <w:tc>
          <w:tcPr>
            <w:tcW w:w="2400" w:type="dxa"/>
            <w:shd w:val="clear" w:color="auto" w:fill="E6E6E6"/>
          </w:tcPr>
          <w:p w14:paraId="0FA0F131" w14:textId="77777777" w:rsidR="00872C03" w:rsidRPr="00883399" w:rsidRDefault="00872C03" w:rsidP="0031057E">
            <w:pPr>
              <w:pStyle w:val="Text"/>
            </w:pPr>
          </w:p>
        </w:tc>
        <w:tc>
          <w:tcPr>
            <w:tcW w:w="1800" w:type="dxa"/>
            <w:shd w:val="clear" w:color="auto" w:fill="E6E6E6"/>
          </w:tcPr>
          <w:p w14:paraId="2C5197FA" w14:textId="77777777" w:rsidR="00872C03" w:rsidRPr="00883399" w:rsidRDefault="00872C03" w:rsidP="0031057E">
            <w:pPr>
              <w:pStyle w:val="Text"/>
            </w:pPr>
            <w:r w:rsidRPr="00883399">
              <w:t>CO</w:t>
            </w:r>
            <w:r w:rsidRPr="00883399">
              <w:rPr>
                <w:vertAlign w:val="subscript"/>
              </w:rPr>
              <w:t>2</w:t>
            </w:r>
          </w:p>
        </w:tc>
        <w:tc>
          <w:tcPr>
            <w:tcW w:w="1800" w:type="dxa"/>
            <w:shd w:val="clear" w:color="auto" w:fill="E6E6E6"/>
          </w:tcPr>
          <w:p w14:paraId="51402DFB" w14:textId="77777777" w:rsidR="00872C03" w:rsidRPr="00883399" w:rsidRDefault="00872C03" w:rsidP="0031057E">
            <w:pPr>
              <w:pStyle w:val="Text"/>
            </w:pPr>
            <w:r w:rsidRPr="00883399">
              <w:t>CH</w:t>
            </w:r>
            <w:r w:rsidRPr="00883399">
              <w:rPr>
                <w:vertAlign w:val="subscript"/>
              </w:rPr>
              <w:t>4</w:t>
            </w:r>
          </w:p>
        </w:tc>
        <w:tc>
          <w:tcPr>
            <w:tcW w:w="1454" w:type="dxa"/>
            <w:shd w:val="clear" w:color="auto" w:fill="E6E6E6"/>
          </w:tcPr>
          <w:p w14:paraId="2630E00F" w14:textId="77777777" w:rsidR="00872C03" w:rsidRPr="00883399" w:rsidRDefault="00872C03" w:rsidP="0031057E">
            <w:pPr>
              <w:pStyle w:val="Text"/>
            </w:pPr>
            <w:r w:rsidRPr="00883399">
              <w:t>N</w:t>
            </w:r>
            <w:r w:rsidRPr="00883399">
              <w:rPr>
                <w:vertAlign w:val="subscript"/>
              </w:rPr>
              <w:t>2</w:t>
            </w:r>
            <w:r w:rsidRPr="00883399">
              <w:t>O</w:t>
            </w:r>
          </w:p>
        </w:tc>
      </w:tr>
      <w:tr w:rsidR="00872C03" w:rsidRPr="00883399" w14:paraId="4E12D9E3" w14:textId="77777777" w:rsidTr="0031057E">
        <w:tc>
          <w:tcPr>
            <w:tcW w:w="2400" w:type="dxa"/>
          </w:tcPr>
          <w:p w14:paraId="5D12D42F" w14:textId="77777777" w:rsidR="00872C03" w:rsidRPr="00883399" w:rsidRDefault="00872C03" w:rsidP="0031057E">
            <w:pPr>
              <w:pStyle w:val="Text"/>
              <w:spacing w:before="120" w:line="240" w:lineRule="auto"/>
            </w:pPr>
            <w:r w:rsidRPr="00883399">
              <w:t>Method 1</w:t>
            </w:r>
          </w:p>
        </w:tc>
        <w:tc>
          <w:tcPr>
            <w:tcW w:w="1800" w:type="dxa"/>
          </w:tcPr>
          <w:p w14:paraId="3663071C" w14:textId="77777777" w:rsidR="00872C03" w:rsidRPr="00883399" w:rsidRDefault="00872C03" w:rsidP="0031057E">
            <w:pPr>
              <w:pStyle w:val="Text"/>
              <w:spacing w:before="120" w:line="240" w:lineRule="auto"/>
            </w:pPr>
            <w:r w:rsidRPr="00883399">
              <w:t>Section 4.22</w:t>
            </w:r>
          </w:p>
        </w:tc>
        <w:tc>
          <w:tcPr>
            <w:tcW w:w="1800" w:type="dxa"/>
          </w:tcPr>
          <w:p w14:paraId="10149691" w14:textId="77777777" w:rsidR="00872C03" w:rsidRPr="00883399" w:rsidRDefault="00872C03" w:rsidP="0031057E">
            <w:pPr>
              <w:pStyle w:val="Text"/>
              <w:spacing w:before="120" w:line="240" w:lineRule="auto"/>
            </w:pPr>
            <w:r w:rsidRPr="00883399">
              <w:t>NO</w:t>
            </w:r>
          </w:p>
        </w:tc>
        <w:tc>
          <w:tcPr>
            <w:tcW w:w="1454" w:type="dxa"/>
          </w:tcPr>
          <w:p w14:paraId="00E0E08B" w14:textId="77777777" w:rsidR="00872C03" w:rsidRPr="00883399" w:rsidRDefault="00872C03" w:rsidP="0031057E">
            <w:pPr>
              <w:pStyle w:val="Text"/>
              <w:spacing w:before="120" w:line="240" w:lineRule="auto"/>
            </w:pPr>
            <w:r w:rsidRPr="00883399">
              <w:t>NO</w:t>
            </w:r>
          </w:p>
        </w:tc>
      </w:tr>
      <w:tr w:rsidR="00872C03" w:rsidRPr="00883399" w14:paraId="38F85F23" w14:textId="77777777" w:rsidTr="0031057E">
        <w:tc>
          <w:tcPr>
            <w:tcW w:w="2400" w:type="dxa"/>
          </w:tcPr>
          <w:p w14:paraId="443DA572" w14:textId="77777777" w:rsidR="00872C03" w:rsidRPr="00883399" w:rsidRDefault="00872C03" w:rsidP="0031057E">
            <w:pPr>
              <w:pStyle w:val="Text"/>
              <w:spacing w:before="120" w:line="240" w:lineRule="auto"/>
            </w:pPr>
            <w:r w:rsidRPr="00883399">
              <w:t>Method 2</w:t>
            </w:r>
          </w:p>
        </w:tc>
        <w:tc>
          <w:tcPr>
            <w:tcW w:w="1800" w:type="dxa"/>
          </w:tcPr>
          <w:p w14:paraId="0C00CC67" w14:textId="77777777" w:rsidR="00872C03" w:rsidRPr="00883399" w:rsidRDefault="00872C03" w:rsidP="0031057E">
            <w:pPr>
              <w:pStyle w:val="Text"/>
              <w:spacing w:before="120" w:line="240" w:lineRule="auto"/>
            </w:pPr>
            <w:r w:rsidRPr="00883399">
              <w:t>NA</w:t>
            </w:r>
          </w:p>
        </w:tc>
        <w:tc>
          <w:tcPr>
            <w:tcW w:w="1800" w:type="dxa"/>
          </w:tcPr>
          <w:p w14:paraId="15AE318F" w14:textId="77777777" w:rsidR="00872C03" w:rsidRPr="00883399" w:rsidRDefault="00872C03" w:rsidP="0031057E">
            <w:pPr>
              <w:pStyle w:val="Text"/>
              <w:spacing w:before="120" w:line="240" w:lineRule="auto"/>
            </w:pPr>
            <w:r w:rsidRPr="00883399">
              <w:t>NO</w:t>
            </w:r>
          </w:p>
        </w:tc>
        <w:tc>
          <w:tcPr>
            <w:tcW w:w="1454" w:type="dxa"/>
          </w:tcPr>
          <w:p w14:paraId="56AFFFE2" w14:textId="77777777" w:rsidR="00872C03" w:rsidRPr="00883399" w:rsidRDefault="00872C03" w:rsidP="0031057E">
            <w:pPr>
              <w:pStyle w:val="Text"/>
              <w:spacing w:before="120" w:line="240" w:lineRule="auto"/>
            </w:pPr>
            <w:r w:rsidRPr="00883399">
              <w:t>NO</w:t>
            </w:r>
          </w:p>
        </w:tc>
      </w:tr>
      <w:tr w:rsidR="00872C03" w:rsidRPr="00883399" w14:paraId="553DC4F4" w14:textId="77777777" w:rsidTr="0031057E">
        <w:tc>
          <w:tcPr>
            <w:tcW w:w="2400" w:type="dxa"/>
          </w:tcPr>
          <w:p w14:paraId="2B6699FB" w14:textId="77777777" w:rsidR="00872C03" w:rsidRPr="00883399" w:rsidRDefault="00872C03" w:rsidP="0031057E">
            <w:pPr>
              <w:pStyle w:val="Text"/>
              <w:spacing w:before="120" w:line="240" w:lineRule="auto"/>
            </w:pPr>
            <w:r w:rsidRPr="00883399">
              <w:t>Method 3</w:t>
            </w:r>
          </w:p>
        </w:tc>
        <w:tc>
          <w:tcPr>
            <w:tcW w:w="1800" w:type="dxa"/>
          </w:tcPr>
          <w:p w14:paraId="1A2E0AFA" w14:textId="77777777" w:rsidR="00872C03" w:rsidRPr="00883399" w:rsidRDefault="00872C03" w:rsidP="0031057E">
            <w:pPr>
              <w:pStyle w:val="Text"/>
              <w:spacing w:before="120" w:line="240" w:lineRule="auto"/>
            </w:pPr>
            <w:r w:rsidRPr="00883399">
              <w:t>Section 4.23</w:t>
            </w:r>
          </w:p>
        </w:tc>
        <w:tc>
          <w:tcPr>
            <w:tcW w:w="1800" w:type="dxa"/>
          </w:tcPr>
          <w:p w14:paraId="7367D5A9" w14:textId="77777777" w:rsidR="00872C03" w:rsidRPr="00883399" w:rsidRDefault="00872C03" w:rsidP="0031057E">
            <w:pPr>
              <w:pStyle w:val="Text"/>
              <w:spacing w:before="120" w:line="240" w:lineRule="auto"/>
            </w:pPr>
            <w:r w:rsidRPr="00883399">
              <w:t>NO</w:t>
            </w:r>
          </w:p>
        </w:tc>
        <w:tc>
          <w:tcPr>
            <w:tcW w:w="1454" w:type="dxa"/>
          </w:tcPr>
          <w:p w14:paraId="717CA11D" w14:textId="77777777" w:rsidR="00872C03" w:rsidRPr="00883399" w:rsidRDefault="00872C03" w:rsidP="0031057E">
            <w:pPr>
              <w:pStyle w:val="Text"/>
              <w:spacing w:before="120" w:line="240" w:lineRule="auto"/>
            </w:pPr>
            <w:r w:rsidRPr="00883399">
              <w:t>NO</w:t>
            </w:r>
          </w:p>
        </w:tc>
      </w:tr>
      <w:tr w:rsidR="00872C03" w:rsidRPr="00883399" w14:paraId="212DED4E" w14:textId="77777777" w:rsidTr="0031057E">
        <w:tc>
          <w:tcPr>
            <w:tcW w:w="2400" w:type="dxa"/>
          </w:tcPr>
          <w:p w14:paraId="3DB9A260" w14:textId="77777777" w:rsidR="00872C03" w:rsidRPr="00883399" w:rsidRDefault="00872C03" w:rsidP="0031057E">
            <w:pPr>
              <w:pStyle w:val="Text"/>
              <w:spacing w:before="120" w:line="240" w:lineRule="auto"/>
            </w:pPr>
            <w:r w:rsidRPr="00883399">
              <w:t>Method 4</w:t>
            </w:r>
          </w:p>
        </w:tc>
        <w:tc>
          <w:tcPr>
            <w:tcW w:w="1800" w:type="dxa"/>
          </w:tcPr>
          <w:p w14:paraId="15971FA2" w14:textId="77777777" w:rsidR="00872C03" w:rsidRPr="00883399" w:rsidRDefault="00872C03" w:rsidP="0031057E">
            <w:pPr>
              <w:pStyle w:val="Text"/>
              <w:spacing w:before="120" w:line="240" w:lineRule="auto"/>
            </w:pPr>
            <w:r w:rsidRPr="00883399">
              <w:t>Part 1.3</w:t>
            </w:r>
          </w:p>
        </w:tc>
        <w:tc>
          <w:tcPr>
            <w:tcW w:w="1800" w:type="dxa"/>
          </w:tcPr>
          <w:p w14:paraId="61A54CC3" w14:textId="77777777" w:rsidR="00872C03" w:rsidRPr="00883399" w:rsidRDefault="00872C03" w:rsidP="0031057E">
            <w:pPr>
              <w:pStyle w:val="Text"/>
              <w:spacing w:before="120" w:line="240" w:lineRule="auto"/>
            </w:pPr>
            <w:r w:rsidRPr="00883399">
              <w:t>NO</w:t>
            </w:r>
          </w:p>
        </w:tc>
        <w:tc>
          <w:tcPr>
            <w:tcW w:w="1454" w:type="dxa"/>
          </w:tcPr>
          <w:p w14:paraId="1D7EB68C" w14:textId="77777777" w:rsidR="00872C03" w:rsidRPr="00883399" w:rsidRDefault="00872C03" w:rsidP="0031057E">
            <w:pPr>
              <w:pStyle w:val="Text"/>
              <w:spacing w:before="120" w:line="240" w:lineRule="auto"/>
            </w:pPr>
            <w:r w:rsidRPr="00883399">
              <w:t>NO</w:t>
            </w:r>
          </w:p>
        </w:tc>
      </w:tr>
    </w:tbl>
    <w:p w14:paraId="79F59802" w14:textId="77777777" w:rsidR="00872C03" w:rsidRPr="00883399" w:rsidRDefault="00872C03" w:rsidP="00872C03">
      <w:pPr>
        <w:pStyle w:val="R2"/>
        <w:ind w:hanging="244"/>
        <w:rPr>
          <w:sz w:val="20"/>
          <w:szCs w:val="20"/>
        </w:rPr>
      </w:pPr>
      <w:r w:rsidRPr="00883399">
        <w:rPr>
          <w:b/>
        </w:rPr>
        <w:tab/>
      </w:r>
      <w:r w:rsidRPr="00883399">
        <w:t xml:space="preserve">   </w:t>
      </w:r>
      <w:r w:rsidRPr="00883399">
        <w:rPr>
          <w:sz w:val="20"/>
          <w:szCs w:val="20"/>
        </w:rPr>
        <w:t>NA = Not available.</w:t>
      </w:r>
      <w:r w:rsidRPr="00883399">
        <w:rPr>
          <w:b/>
          <w:sz w:val="20"/>
          <w:szCs w:val="20"/>
        </w:rPr>
        <w:t xml:space="preserve"> </w:t>
      </w:r>
      <w:r w:rsidRPr="00883399">
        <w:rPr>
          <w:sz w:val="20"/>
          <w:szCs w:val="20"/>
        </w:rPr>
        <w:t>NO = Not occurring</w:t>
      </w:r>
    </w:p>
    <w:p w14:paraId="5DD57A4A" w14:textId="77777777" w:rsidR="005033AE" w:rsidRPr="00883399" w:rsidRDefault="005033AE" w:rsidP="00872C03">
      <w:pPr>
        <w:pStyle w:val="R2"/>
        <w:ind w:hanging="244"/>
        <w:rPr>
          <w:sz w:val="20"/>
          <w:szCs w:val="20"/>
        </w:rPr>
      </w:pPr>
    </w:p>
    <w:p w14:paraId="61C14292" w14:textId="77777777" w:rsidR="005033AE" w:rsidRPr="00883399" w:rsidRDefault="005033AE" w:rsidP="00872C03">
      <w:pPr>
        <w:pStyle w:val="R2"/>
        <w:ind w:hanging="244"/>
        <w:rPr>
          <w:sz w:val="20"/>
          <w:szCs w:val="20"/>
        </w:rPr>
      </w:pPr>
    </w:p>
    <w:p w14:paraId="4E23C523" w14:textId="77777777" w:rsidR="00872C03" w:rsidRPr="00883399" w:rsidRDefault="00872C03" w:rsidP="00872C03">
      <w:pPr>
        <w:pStyle w:val="subsection"/>
        <w:rPr>
          <w:sz w:val="24"/>
        </w:rPr>
      </w:pPr>
    </w:p>
    <w:p w14:paraId="4D4EB159" w14:textId="76ED8D0E" w:rsidR="00872C03" w:rsidRPr="00883399" w:rsidRDefault="00872C03" w:rsidP="00872C03">
      <w:pPr>
        <w:pStyle w:val="ActHead5"/>
        <w:rPr>
          <w:sz w:val="28"/>
        </w:rPr>
      </w:pPr>
      <w:bookmarkStart w:id="847" w:name="_Toc423517021"/>
      <w:bookmarkStart w:id="848" w:name="_Toc495652953"/>
      <w:r w:rsidRPr="00883399">
        <w:rPr>
          <w:rStyle w:val="CharSectno"/>
          <w:sz w:val="28"/>
        </w:rPr>
        <w:lastRenderedPageBreak/>
        <w:t>4.22</w:t>
      </w:r>
      <w:r w:rsidRPr="00883399">
        <w:rPr>
          <w:sz w:val="28"/>
        </w:rPr>
        <w:t xml:space="preserve">  Method 1—product other than cement clinker, lime or soda ash</w:t>
      </w:r>
      <w:bookmarkEnd w:id="847"/>
      <w:bookmarkEnd w:id="848"/>
    </w:p>
    <w:p w14:paraId="5EF670CE" w14:textId="77777777" w:rsidR="00872C03" w:rsidRPr="00883399" w:rsidRDefault="00872C03" w:rsidP="00872C03">
      <w:pPr>
        <w:pStyle w:val="subsection"/>
        <w:spacing w:after="60"/>
        <w:rPr>
          <w:sz w:val="24"/>
        </w:rPr>
      </w:pPr>
      <w:r w:rsidRPr="00883399">
        <w:rPr>
          <w:sz w:val="24"/>
        </w:rPr>
        <w:tab/>
      </w:r>
      <w:r w:rsidRPr="00883399">
        <w:rPr>
          <w:sz w:val="24"/>
        </w:rPr>
        <w:tab/>
        <w:t>Method 1 is:</w:t>
      </w:r>
    </w:p>
    <w:tbl>
      <w:tblPr>
        <w:tblW w:w="0" w:type="auto"/>
        <w:tblInd w:w="948" w:type="dxa"/>
        <w:tblLayout w:type="fixed"/>
        <w:tblLook w:val="0000" w:firstRow="0" w:lastRow="0" w:firstColumn="0" w:lastColumn="0" w:noHBand="0" w:noVBand="0"/>
      </w:tblPr>
      <w:tblGrid>
        <w:gridCol w:w="861"/>
        <w:gridCol w:w="6663"/>
      </w:tblGrid>
      <w:tr w:rsidR="00872C03" w:rsidRPr="00883399" w14:paraId="6179072D" w14:textId="77777777" w:rsidTr="0031057E">
        <w:trPr>
          <w:cantSplit/>
        </w:trPr>
        <w:tc>
          <w:tcPr>
            <w:tcW w:w="861" w:type="dxa"/>
          </w:tcPr>
          <w:p w14:paraId="2F5287FF" w14:textId="77777777" w:rsidR="00872C03" w:rsidRPr="00883399" w:rsidRDefault="00872C03" w:rsidP="0031057E">
            <w:pPr>
              <w:pStyle w:val="Tabletext0"/>
              <w:rPr>
                <w:sz w:val="24"/>
                <w:szCs w:val="22"/>
              </w:rPr>
            </w:pPr>
            <w:r w:rsidRPr="00883399">
              <w:rPr>
                <w:sz w:val="24"/>
                <w:szCs w:val="22"/>
              </w:rPr>
              <w:t>Step 1</w:t>
            </w:r>
          </w:p>
        </w:tc>
        <w:tc>
          <w:tcPr>
            <w:tcW w:w="6663" w:type="dxa"/>
          </w:tcPr>
          <w:p w14:paraId="0C381077" w14:textId="77777777" w:rsidR="00872C03" w:rsidRPr="00883399" w:rsidRDefault="00872C03" w:rsidP="0031057E">
            <w:pPr>
              <w:pStyle w:val="Tabletext0"/>
              <w:rPr>
                <w:sz w:val="24"/>
                <w:szCs w:val="22"/>
              </w:rPr>
            </w:pPr>
            <w:r w:rsidRPr="00883399">
              <w:rPr>
                <w:sz w:val="24"/>
                <w:szCs w:val="22"/>
              </w:rPr>
              <w:t>Measure the amount of emissions of carbon dioxide in CO2</w:t>
            </w:r>
            <w:r w:rsidRPr="00883399">
              <w:rPr>
                <w:sz w:val="24"/>
                <w:szCs w:val="22"/>
              </w:rPr>
              <w:noBreakHyphen/>
              <w:t>e tonnes released from each raw carbonate material consumed in the industrial process during the year as follows:</w:t>
            </w:r>
          </w:p>
          <w:p w14:paraId="5DDC5C00" w14:textId="08F49214" w:rsidR="00872C03" w:rsidRPr="00883399" w:rsidRDefault="00872C03" w:rsidP="0031057E">
            <w:pPr>
              <w:pStyle w:val="TableText"/>
              <w:spacing w:before="360"/>
              <w:rPr>
                <w:sz w:val="24"/>
              </w:rPr>
            </w:pPr>
            <w:r w:rsidRPr="00883399">
              <w:rPr>
                <w:noProof/>
                <w:sz w:val="24"/>
              </w:rPr>
              <w:drawing>
                <wp:inline distT="0" distB="0" distL="0" distR="0" wp14:anchorId="7314CF15" wp14:editId="00593EC3">
                  <wp:extent cx="1600200" cy="2571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p>
          <w:p w14:paraId="69C263BC" w14:textId="77777777" w:rsidR="00872C03" w:rsidRPr="00883399" w:rsidRDefault="00872C03" w:rsidP="0031057E">
            <w:pPr>
              <w:pStyle w:val="subsection2"/>
              <w:ind w:left="34"/>
              <w:rPr>
                <w:sz w:val="24"/>
              </w:rPr>
            </w:pPr>
            <w:r w:rsidRPr="00883399">
              <w:rPr>
                <w:sz w:val="24"/>
              </w:rPr>
              <w:t>where:</w:t>
            </w:r>
          </w:p>
        </w:tc>
      </w:tr>
      <w:tr w:rsidR="00872C03" w:rsidRPr="00883399" w14:paraId="2AC7C188" w14:textId="77777777" w:rsidTr="0031057E">
        <w:trPr>
          <w:cantSplit/>
        </w:trPr>
        <w:tc>
          <w:tcPr>
            <w:tcW w:w="861" w:type="dxa"/>
          </w:tcPr>
          <w:p w14:paraId="7B15280E" w14:textId="77777777" w:rsidR="00872C03" w:rsidRPr="00883399" w:rsidRDefault="00872C03" w:rsidP="0031057E">
            <w:pPr>
              <w:spacing w:before="60" w:after="60"/>
              <w:rPr>
                <w:i/>
              </w:rPr>
            </w:pPr>
          </w:p>
        </w:tc>
        <w:tc>
          <w:tcPr>
            <w:tcW w:w="6663" w:type="dxa"/>
          </w:tcPr>
          <w:p w14:paraId="75AE91B3" w14:textId="77777777" w:rsidR="00872C03" w:rsidRPr="00883399" w:rsidRDefault="00872C03" w:rsidP="0031057E">
            <w:pPr>
              <w:pStyle w:val="Definition0"/>
              <w:spacing w:after="60"/>
              <w:ind w:left="0"/>
              <w:rPr>
                <w:sz w:val="24"/>
              </w:rPr>
            </w:pPr>
            <w:r w:rsidRPr="00883399">
              <w:rPr>
                <w:b/>
                <w:i/>
                <w:sz w:val="24"/>
              </w:rPr>
              <w:t>E</w:t>
            </w:r>
            <w:r w:rsidRPr="00883399">
              <w:rPr>
                <w:rStyle w:val="Subscript"/>
                <w:b/>
                <w:i/>
                <w:sz w:val="22"/>
              </w:rPr>
              <w:t>ij</w:t>
            </w:r>
            <w:r w:rsidRPr="00883399">
              <w:rPr>
                <w:b/>
                <w:i/>
                <w:sz w:val="24"/>
              </w:rPr>
              <w:t xml:space="preserve"> </w:t>
            </w:r>
            <w:r w:rsidRPr="00883399">
              <w:rPr>
                <w:sz w:val="24"/>
              </w:rPr>
              <w:t>is the emissions of carbon dioxide (</w:t>
            </w:r>
            <w:r w:rsidRPr="00883399">
              <w:rPr>
                <w:b/>
                <w:i/>
                <w:sz w:val="24"/>
              </w:rPr>
              <w:t>j</w:t>
            </w:r>
            <w:r w:rsidRPr="00883399">
              <w:rPr>
                <w:sz w:val="24"/>
              </w:rPr>
              <w:t>) released from raw carbonate material (</w:t>
            </w:r>
            <w:r w:rsidRPr="00883399">
              <w:rPr>
                <w:b/>
                <w:i/>
                <w:sz w:val="24"/>
              </w:rPr>
              <w:t>i</w:t>
            </w:r>
            <w:r w:rsidRPr="00883399">
              <w:rPr>
                <w:sz w:val="24"/>
              </w:rPr>
              <w:t xml:space="preserve">) consumed in the industrial process during the year measured in </w:t>
            </w:r>
            <w:r w:rsidRPr="00883399">
              <w:rPr>
                <w:sz w:val="24"/>
                <w:szCs w:val="22"/>
              </w:rPr>
              <w:t>CO</w:t>
            </w:r>
            <w:r w:rsidRPr="00883399">
              <w:rPr>
                <w:rStyle w:val="Subscript"/>
                <w:sz w:val="22"/>
                <w:szCs w:val="22"/>
              </w:rPr>
              <w:t>2</w:t>
            </w:r>
            <w:r w:rsidRPr="00883399">
              <w:rPr>
                <w:sz w:val="24"/>
                <w:szCs w:val="22"/>
              </w:rPr>
              <w:noBreakHyphen/>
              <w:t>e</w:t>
            </w:r>
            <w:r w:rsidRPr="00883399">
              <w:rPr>
                <w:sz w:val="24"/>
              </w:rPr>
              <w:t xml:space="preserve"> tonnes.</w:t>
            </w:r>
          </w:p>
          <w:p w14:paraId="45188088" w14:textId="77777777" w:rsidR="00872C03" w:rsidRPr="00883399" w:rsidRDefault="00872C03" w:rsidP="0031057E">
            <w:pPr>
              <w:pStyle w:val="Definition0"/>
              <w:spacing w:before="60" w:after="60"/>
              <w:ind w:left="0"/>
              <w:rPr>
                <w:sz w:val="24"/>
              </w:rPr>
            </w:pPr>
            <w:r w:rsidRPr="00883399">
              <w:rPr>
                <w:b/>
                <w:i/>
                <w:sz w:val="24"/>
              </w:rPr>
              <w:t>Q</w:t>
            </w:r>
            <w:r w:rsidRPr="00883399">
              <w:rPr>
                <w:rStyle w:val="Subscript"/>
                <w:b/>
                <w:i/>
                <w:sz w:val="22"/>
              </w:rPr>
              <w:t>i</w:t>
            </w:r>
            <w:r w:rsidRPr="00883399">
              <w:rPr>
                <w:b/>
                <w:i/>
                <w:sz w:val="24"/>
              </w:rPr>
              <w:t xml:space="preserve"> </w:t>
            </w:r>
            <w:r w:rsidRPr="00883399">
              <w:rPr>
                <w:sz w:val="24"/>
              </w:rPr>
              <w:t>is the quantity of the raw carbonate material (</w:t>
            </w:r>
            <w:r w:rsidRPr="00883399">
              <w:rPr>
                <w:b/>
                <w:i/>
                <w:sz w:val="24"/>
              </w:rPr>
              <w:t>i</w:t>
            </w:r>
            <w:r w:rsidRPr="00883399">
              <w:rPr>
                <w:sz w:val="24"/>
              </w:rPr>
              <w:t>) consumed in the calcining process for the industrial process during the year measured in tonnes and estimated under Division 4.2.5.</w:t>
            </w:r>
          </w:p>
          <w:p w14:paraId="5807A8A9" w14:textId="77777777" w:rsidR="00872C03" w:rsidRPr="00883399" w:rsidRDefault="00872C03" w:rsidP="0031057E">
            <w:pPr>
              <w:pStyle w:val="Definition0"/>
              <w:spacing w:before="60" w:after="60"/>
              <w:ind w:left="0"/>
              <w:rPr>
                <w:sz w:val="24"/>
              </w:rPr>
            </w:pPr>
            <w:r w:rsidRPr="00883399">
              <w:rPr>
                <w:b/>
                <w:i/>
                <w:sz w:val="24"/>
              </w:rPr>
              <w:t>EF</w:t>
            </w:r>
            <w:r w:rsidRPr="00883399">
              <w:rPr>
                <w:rStyle w:val="Subscript"/>
                <w:b/>
                <w:i/>
                <w:sz w:val="22"/>
              </w:rPr>
              <w:t xml:space="preserve">ij </w:t>
            </w:r>
            <w:r w:rsidRPr="00883399">
              <w:rPr>
                <w:sz w:val="24"/>
              </w:rPr>
              <w:t>is the carbon dioxide (</w:t>
            </w:r>
            <w:r w:rsidRPr="00883399">
              <w:rPr>
                <w:b/>
                <w:i/>
                <w:sz w:val="24"/>
              </w:rPr>
              <w:t>j</w:t>
            </w:r>
            <w:r w:rsidRPr="00883399">
              <w:rPr>
                <w:sz w:val="24"/>
              </w:rPr>
              <w:t>) emission factor for the raw carbonate material (</w:t>
            </w:r>
            <w:r w:rsidRPr="00883399">
              <w:rPr>
                <w:b/>
                <w:i/>
                <w:sz w:val="24"/>
              </w:rPr>
              <w:t>i</w:t>
            </w:r>
            <w:r w:rsidRPr="00883399">
              <w:rPr>
                <w:sz w:val="24"/>
              </w:rPr>
              <w:t>) measured in tonnes of emissions of carbon dioxide per tonne of carbonate, that is:</w:t>
            </w:r>
          </w:p>
          <w:p w14:paraId="38DE51A2" w14:textId="77777777" w:rsidR="00872C03" w:rsidRPr="00883399" w:rsidRDefault="00872C03" w:rsidP="0031057E">
            <w:pPr>
              <w:pStyle w:val="TableP1a"/>
              <w:rPr>
                <w:sz w:val="24"/>
              </w:rPr>
            </w:pPr>
            <w:r w:rsidRPr="00883399">
              <w:rPr>
                <w:sz w:val="24"/>
              </w:rPr>
              <w:tab/>
              <w:t>(a)</w:t>
            </w:r>
            <w:r w:rsidRPr="00883399">
              <w:rPr>
                <w:sz w:val="24"/>
              </w:rPr>
              <w:tab/>
              <w:t>for calcium carbonate—0.396; and</w:t>
            </w:r>
          </w:p>
          <w:p w14:paraId="43EE7F74" w14:textId="77777777" w:rsidR="00872C03" w:rsidRPr="00883399" w:rsidRDefault="00872C03" w:rsidP="0031057E">
            <w:pPr>
              <w:pStyle w:val="TableP1a"/>
              <w:rPr>
                <w:sz w:val="24"/>
              </w:rPr>
            </w:pPr>
            <w:r w:rsidRPr="00883399">
              <w:rPr>
                <w:sz w:val="24"/>
              </w:rPr>
              <w:tab/>
              <w:t>(b)</w:t>
            </w:r>
            <w:r w:rsidRPr="00883399">
              <w:rPr>
                <w:sz w:val="24"/>
              </w:rPr>
              <w:tab/>
              <w:t>for magnesium carbonate—0.522; and</w:t>
            </w:r>
          </w:p>
          <w:p w14:paraId="2F9C698C" w14:textId="77777777" w:rsidR="00872C03" w:rsidRPr="00883399" w:rsidRDefault="00872C03" w:rsidP="0031057E">
            <w:pPr>
              <w:pStyle w:val="TableP1a"/>
              <w:rPr>
                <w:sz w:val="24"/>
              </w:rPr>
            </w:pPr>
            <w:r w:rsidRPr="00883399">
              <w:rPr>
                <w:sz w:val="24"/>
              </w:rPr>
              <w:tab/>
              <w:t>(c)</w:t>
            </w:r>
            <w:r w:rsidRPr="00883399">
              <w:rPr>
                <w:sz w:val="24"/>
              </w:rPr>
              <w:tab/>
              <w:t>for dolomite—0.453; and</w:t>
            </w:r>
          </w:p>
          <w:p w14:paraId="1E89E29F" w14:textId="77777777" w:rsidR="00872C03" w:rsidRPr="00883399" w:rsidRDefault="00872C03" w:rsidP="0031057E">
            <w:pPr>
              <w:pStyle w:val="TableP1a"/>
              <w:rPr>
                <w:sz w:val="24"/>
              </w:rPr>
            </w:pPr>
            <w:r w:rsidRPr="00883399">
              <w:rPr>
                <w:sz w:val="24"/>
              </w:rPr>
              <w:tab/>
              <w:t>(d)</w:t>
            </w:r>
            <w:r w:rsidRPr="00883399">
              <w:rPr>
                <w:sz w:val="24"/>
              </w:rPr>
              <w:tab/>
              <w:t>for any other raw carbonate material—the factor for the raw carbonate material in accordance with section 2.1 of Chapter 2 of Volume 3 of the 2006 IPCC Guidelines.</w:t>
            </w:r>
          </w:p>
        </w:tc>
      </w:tr>
      <w:tr w:rsidR="00872C03" w:rsidRPr="00883399" w14:paraId="0B388B1A" w14:textId="77777777" w:rsidTr="0031057E">
        <w:trPr>
          <w:cantSplit/>
        </w:trPr>
        <w:tc>
          <w:tcPr>
            <w:tcW w:w="861" w:type="dxa"/>
          </w:tcPr>
          <w:p w14:paraId="4C585B18" w14:textId="77777777" w:rsidR="00872C03" w:rsidRPr="00883399" w:rsidRDefault="00872C03" w:rsidP="0031057E">
            <w:pPr>
              <w:spacing w:before="60" w:after="60"/>
              <w:rPr>
                <w:i/>
              </w:rPr>
            </w:pPr>
          </w:p>
        </w:tc>
        <w:tc>
          <w:tcPr>
            <w:tcW w:w="6663" w:type="dxa"/>
          </w:tcPr>
          <w:p w14:paraId="74AB75A4" w14:textId="77777777" w:rsidR="00872C03" w:rsidRPr="00883399" w:rsidRDefault="00872C03" w:rsidP="0031057E">
            <w:pPr>
              <w:pStyle w:val="Definition0"/>
              <w:spacing w:before="60" w:after="60"/>
              <w:ind w:left="0"/>
              <w:rPr>
                <w:sz w:val="24"/>
              </w:rPr>
            </w:pPr>
            <w:r w:rsidRPr="00883399">
              <w:rPr>
                <w:b/>
                <w:i/>
                <w:sz w:val="24"/>
              </w:rPr>
              <w:t>F</w:t>
            </w:r>
            <w:r w:rsidRPr="00883399">
              <w:rPr>
                <w:rStyle w:val="Subscript"/>
                <w:b/>
                <w:i/>
                <w:sz w:val="22"/>
              </w:rPr>
              <w:t>cal</w:t>
            </w:r>
            <w:r w:rsidRPr="00883399">
              <w:rPr>
                <w:sz w:val="24"/>
              </w:rPr>
              <w:t xml:space="preserve"> is:</w:t>
            </w:r>
          </w:p>
          <w:p w14:paraId="70CD112E" w14:textId="77777777" w:rsidR="00872C03" w:rsidRPr="00883399" w:rsidRDefault="00872C03" w:rsidP="0031057E">
            <w:pPr>
              <w:pStyle w:val="TableP1a"/>
              <w:rPr>
                <w:sz w:val="24"/>
              </w:rPr>
            </w:pPr>
            <w:r w:rsidRPr="00883399">
              <w:rPr>
                <w:sz w:val="24"/>
              </w:rPr>
              <w:tab/>
              <w:t>(a)</w:t>
            </w:r>
            <w:r w:rsidRPr="00883399">
              <w:rPr>
                <w:sz w:val="24"/>
              </w:rPr>
              <w:tab/>
              <w:t>the fraction of the raw carbonate material consumed in the industrial process during the year; or</w:t>
            </w:r>
          </w:p>
          <w:p w14:paraId="0619149D" w14:textId="77777777" w:rsidR="00872C03" w:rsidRPr="00883399" w:rsidRDefault="00872C03" w:rsidP="0031057E">
            <w:pPr>
              <w:pStyle w:val="TableP1a"/>
              <w:rPr>
                <w:sz w:val="24"/>
              </w:rPr>
            </w:pPr>
            <w:r w:rsidRPr="00883399">
              <w:rPr>
                <w:sz w:val="24"/>
              </w:rPr>
              <w:tab/>
              <w:t>(b)</w:t>
            </w:r>
            <w:r w:rsidRPr="00883399">
              <w:rPr>
                <w:sz w:val="24"/>
              </w:rPr>
              <w:tab/>
              <w:t>if the information in paragraph (a) is not available—the value 1.</w:t>
            </w:r>
          </w:p>
        </w:tc>
      </w:tr>
      <w:tr w:rsidR="00872C03" w:rsidRPr="00883399" w14:paraId="452BAE39" w14:textId="77777777" w:rsidTr="0031057E">
        <w:trPr>
          <w:cantSplit/>
        </w:trPr>
        <w:tc>
          <w:tcPr>
            <w:tcW w:w="861" w:type="dxa"/>
          </w:tcPr>
          <w:p w14:paraId="133D238A" w14:textId="77777777" w:rsidR="00872C03" w:rsidRPr="00883399" w:rsidRDefault="00872C03" w:rsidP="0031057E">
            <w:pPr>
              <w:pStyle w:val="Tabletext0"/>
              <w:rPr>
                <w:sz w:val="24"/>
                <w:szCs w:val="22"/>
              </w:rPr>
            </w:pPr>
            <w:r w:rsidRPr="00883399">
              <w:rPr>
                <w:sz w:val="24"/>
                <w:szCs w:val="22"/>
              </w:rPr>
              <w:t>Step 2</w:t>
            </w:r>
          </w:p>
        </w:tc>
        <w:tc>
          <w:tcPr>
            <w:tcW w:w="6663" w:type="dxa"/>
          </w:tcPr>
          <w:p w14:paraId="2B89165D" w14:textId="77777777" w:rsidR="00872C03" w:rsidRPr="00883399" w:rsidRDefault="00872C03" w:rsidP="0031057E">
            <w:pPr>
              <w:pStyle w:val="Tabletext0"/>
              <w:rPr>
                <w:sz w:val="24"/>
                <w:szCs w:val="22"/>
              </w:rPr>
            </w:pPr>
            <w:r w:rsidRPr="00883399">
              <w:rPr>
                <w:sz w:val="24"/>
                <w:szCs w:val="22"/>
              </w:rPr>
              <w:t>Add together the amount of emissions of carbon dioxide for each carbonate consumed in the industrial process during the year.</w:t>
            </w:r>
          </w:p>
        </w:tc>
      </w:tr>
    </w:tbl>
    <w:p w14:paraId="37C7A2A4" w14:textId="77777777" w:rsidR="00872C03" w:rsidRPr="00883399" w:rsidRDefault="00872C03" w:rsidP="00872C03">
      <w:pPr>
        <w:pStyle w:val="notetext"/>
        <w:rPr>
          <w:sz w:val="20"/>
        </w:rPr>
      </w:pPr>
      <w:r w:rsidRPr="00883399">
        <w:rPr>
          <w:sz w:val="20"/>
        </w:rPr>
        <w:t>Note:</w:t>
      </w:r>
      <w:r w:rsidRPr="00883399">
        <w:rPr>
          <w:sz w:val="20"/>
        </w:rPr>
        <w:tab/>
        <w:t xml:space="preserve">For the factor </w:t>
      </w:r>
      <w:r w:rsidRPr="00883399">
        <w:rPr>
          <w:b/>
          <w:i/>
          <w:sz w:val="20"/>
        </w:rPr>
        <w:t xml:space="preserve">Efij </w:t>
      </w:r>
      <w:r w:rsidRPr="00883399">
        <w:rPr>
          <w:sz w:val="20"/>
        </w:rPr>
        <w:t>in step 1, the emission factor value given for a raw carbonate material is based on a method of calculation that ascribed the following content to the material:</w:t>
      </w:r>
    </w:p>
    <w:p w14:paraId="00B73091" w14:textId="77777777" w:rsidR="00872C03" w:rsidRPr="00883399" w:rsidRDefault="00872C03" w:rsidP="00872C03">
      <w:pPr>
        <w:pStyle w:val="notepara1"/>
        <w:rPr>
          <w:sz w:val="20"/>
        </w:rPr>
      </w:pPr>
      <w:r w:rsidRPr="00883399">
        <w:rPr>
          <w:sz w:val="20"/>
        </w:rPr>
        <w:t>(a)</w:t>
      </w:r>
      <w:r w:rsidRPr="00883399">
        <w:rPr>
          <w:sz w:val="20"/>
        </w:rPr>
        <w:tab/>
        <w:t>for calcium carbonate—at least 90% calcium carbonate;</w:t>
      </w:r>
    </w:p>
    <w:p w14:paraId="0ECEECFE" w14:textId="77777777" w:rsidR="00872C03" w:rsidRPr="00883399" w:rsidRDefault="00872C03" w:rsidP="00872C03">
      <w:pPr>
        <w:pStyle w:val="notepara1"/>
        <w:rPr>
          <w:sz w:val="20"/>
        </w:rPr>
      </w:pPr>
      <w:r w:rsidRPr="00883399">
        <w:rPr>
          <w:sz w:val="20"/>
        </w:rPr>
        <w:t>(b)</w:t>
      </w:r>
      <w:r w:rsidRPr="00883399">
        <w:rPr>
          <w:sz w:val="20"/>
        </w:rPr>
        <w:tab/>
        <w:t>for magnesium carbonate—100% magnesium carbonate;</w:t>
      </w:r>
    </w:p>
    <w:p w14:paraId="3366763C" w14:textId="77777777" w:rsidR="00872C03" w:rsidRPr="00883399" w:rsidRDefault="00872C03" w:rsidP="00872C03">
      <w:pPr>
        <w:pStyle w:val="notepara1"/>
        <w:rPr>
          <w:sz w:val="20"/>
        </w:rPr>
      </w:pPr>
      <w:r w:rsidRPr="00883399">
        <w:rPr>
          <w:sz w:val="20"/>
        </w:rPr>
        <w:t>(c)</w:t>
      </w:r>
      <w:r w:rsidRPr="00883399">
        <w:rPr>
          <w:sz w:val="20"/>
        </w:rPr>
        <w:tab/>
        <w:t>for dolomite—at least 95% dolomite.</w:t>
      </w:r>
    </w:p>
    <w:p w14:paraId="7CD2B658" w14:textId="5425D9AB" w:rsidR="00872C03" w:rsidRPr="00883399" w:rsidRDefault="00872C03" w:rsidP="00872C03">
      <w:pPr>
        <w:pStyle w:val="ActHead5"/>
        <w:rPr>
          <w:sz w:val="28"/>
        </w:rPr>
      </w:pPr>
      <w:bookmarkStart w:id="849" w:name="_Toc423517022"/>
      <w:bookmarkStart w:id="850" w:name="_Toc495652954"/>
      <w:r w:rsidRPr="00883399">
        <w:rPr>
          <w:rStyle w:val="CharSectno"/>
          <w:sz w:val="28"/>
        </w:rPr>
        <w:lastRenderedPageBreak/>
        <w:t>4.22A</w:t>
      </w:r>
      <w:r w:rsidRPr="00883399">
        <w:rPr>
          <w:sz w:val="28"/>
        </w:rPr>
        <w:t xml:space="preserve">  Method 1A—product other than cement clinker, lime or soda ash for use of carbonates in clay materials</w:t>
      </w:r>
      <w:bookmarkEnd w:id="849"/>
      <w:bookmarkEnd w:id="850"/>
    </w:p>
    <w:p w14:paraId="3AAA4EA9" w14:textId="77777777" w:rsidR="00872C03" w:rsidRPr="00883399" w:rsidRDefault="00872C03" w:rsidP="00872C03">
      <w:pPr>
        <w:pStyle w:val="subsection"/>
        <w:rPr>
          <w:sz w:val="24"/>
        </w:rPr>
      </w:pPr>
      <w:r w:rsidRPr="00883399">
        <w:rPr>
          <w:sz w:val="24"/>
        </w:rPr>
        <w:tab/>
        <w:t>(1)</w:t>
      </w:r>
      <w:r w:rsidRPr="00883399">
        <w:rPr>
          <w:sz w:val="24"/>
        </w:rPr>
        <w:tab/>
        <w:t xml:space="preserve">Method 1A is measure the amount of emissions of carbon dioxide released from each clay material consumed in the industrial process during the reporting year, measured in </w:t>
      </w:r>
      <w:r w:rsidRPr="00883399">
        <w:rPr>
          <w:sz w:val="24"/>
          <w:szCs w:val="22"/>
        </w:rPr>
        <w:t>CO</w:t>
      </w:r>
      <w:r w:rsidRPr="00883399">
        <w:rPr>
          <w:rStyle w:val="charSubscript"/>
          <w:sz w:val="24"/>
          <w:szCs w:val="22"/>
        </w:rPr>
        <w:t>2</w:t>
      </w:r>
      <w:r w:rsidRPr="00883399">
        <w:rPr>
          <w:sz w:val="24"/>
          <w:szCs w:val="22"/>
        </w:rPr>
        <w:noBreakHyphen/>
        <w:t>e</w:t>
      </w:r>
      <w:r w:rsidRPr="00883399">
        <w:rPr>
          <w:sz w:val="24"/>
        </w:rPr>
        <w:t xml:space="preserve"> tonnes, using the following formula:</w:t>
      </w:r>
    </w:p>
    <w:p w14:paraId="32986EDB" w14:textId="4D75668B"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7AC96221" wp14:editId="1AC67B09">
            <wp:extent cx="1484630" cy="213995"/>
            <wp:effectExtent l="19050" t="0" r="127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91"/>
                    <a:srcRect/>
                    <a:stretch>
                      <a:fillRect/>
                    </a:stretch>
                  </pic:blipFill>
                  <pic:spPr bwMode="auto">
                    <a:xfrm>
                      <a:off x="0" y="0"/>
                      <a:ext cx="1484630" cy="213995"/>
                    </a:xfrm>
                    <a:prstGeom prst="rect">
                      <a:avLst/>
                    </a:prstGeom>
                    <a:noFill/>
                    <a:ln w="9525">
                      <a:noFill/>
                      <a:miter lim="800000"/>
                      <a:headEnd/>
                      <a:tailEnd/>
                    </a:ln>
                  </pic:spPr>
                </pic:pic>
              </a:graphicData>
            </a:graphic>
          </wp:inline>
        </w:drawing>
      </w:r>
    </w:p>
    <w:p w14:paraId="1CE189A6" w14:textId="77777777" w:rsidR="00872C03" w:rsidRPr="00883399" w:rsidRDefault="00872C03" w:rsidP="00872C03">
      <w:pPr>
        <w:pStyle w:val="subsection2"/>
        <w:rPr>
          <w:sz w:val="24"/>
        </w:rPr>
      </w:pPr>
      <w:r w:rsidRPr="00883399">
        <w:rPr>
          <w:sz w:val="24"/>
        </w:rPr>
        <w:t>where:</w:t>
      </w:r>
    </w:p>
    <w:p w14:paraId="136A60BA" w14:textId="77777777" w:rsidR="00872C03" w:rsidRPr="00883399" w:rsidRDefault="00872C03" w:rsidP="00872C03">
      <w:pPr>
        <w:pStyle w:val="Definition0"/>
        <w:rPr>
          <w:sz w:val="24"/>
        </w:rPr>
      </w:pPr>
      <w:r w:rsidRPr="00883399">
        <w:rPr>
          <w:b/>
          <w:i/>
          <w:sz w:val="24"/>
        </w:rPr>
        <w:t>E</w:t>
      </w:r>
      <w:r w:rsidRPr="00883399">
        <w:rPr>
          <w:rStyle w:val="charSubscript"/>
          <w:b/>
          <w:i/>
          <w:sz w:val="18"/>
          <w:szCs w:val="16"/>
        </w:rPr>
        <w:t>j</w:t>
      </w:r>
      <w:r w:rsidRPr="00883399">
        <w:rPr>
          <w:b/>
          <w:i/>
          <w:sz w:val="24"/>
        </w:rPr>
        <w:t xml:space="preserve"> </w:t>
      </w:r>
      <w:r w:rsidRPr="00883399">
        <w:rPr>
          <w:sz w:val="24"/>
        </w:rPr>
        <w:t>is the emissions of carbon dioxide released from the clay material consumed in the industrial process during the reporting year in a State or Territory (</w:t>
      </w:r>
      <w:r w:rsidRPr="00883399">
        <w:rPr>
          <w:b/>
          <w:i/>
          <w:sz w:val="24"/>
        </w:rPr>
        <w:t>j</w:t>
      </w:r>
      <w:r w:rsidRPr="00883399">
        <w:rPr>
          <w:sz w:val="24"/>
        </w:rPr>
        <w:t>) mentioned in column 2 of an item in the table in subsection (2), measured in CO</w:t>
      </w:r>
      <w:r w:rsidRPr="00883399">
        <w:rPr>
          <w:rStyle w:val="charSubscript"/>
          <w:sz w:val="22"/>
        </w:rPr>
        <w:t>2</w:t>
      </w:r>
      <w:r w:rsidRPr="00883399">
        <w:rPr>
          <w:sz w:val="24"/>
        </w:rPr>
        <w:noBreakHyphen/>
        <w:t>e tonnes.</w:t>
      </w:r>
    </w:p>
    <w:p w14:paraId="730D749E" w14:textId="77777777" w:rsidR="00872C03" w:rsidRPr="00883399" w:rsidRDefault="00872C03" w:rsidP="00872C03">
      <w:pPr>
        <w:pStyle w:val="Definition0"/>
        <w:rPr>
          <w:sz w:val="24"/>
        </w:rPr>
      </w:pPr>
      <w:r w:rsidRPr="00883399">
        <w:rPr>
          <w:b/>
          <w:i/>
          <w:sz w:val="24"/>
        </w:rPr>
        <w:t>Q</w:t>
      </w:r>
      <w:r w:rsidRPr="00883399">
        <w:rPr>
          <w:rStyle w:val="charSubscript"/>
          <w:b/>
          <w:i/>
          <w:sz w:val="18"/>
          <w:szCs w:val="16"/>
        </w:rPr>
        <w:t>j</w:t>
      </w:r>
      <w:r w:rsidRPr="00883399">
        <w:rPr>
          <w:b/>
          <w:i/>
          <w:sz w:val="24"/>
        </w:rPr>
        <w:t xml:space="preserve"> </w:t>
      </w:r>
      <w:r w:rsidRPr="00883399">
        <w:rPr>
          <w:sz w:val="24"/>
        </w:rPr>
        <w:t>is the quantity of clay material consumed in the industrial process during the reporting year in a State or Territory (</w:t>
      </w:r>
      <w:r w:rsidRPr="00883399">
        <w:rPr>
          <w:b/>
          <w:i/>
          <w:sz w:val="24"/>
        </w:rPr>
        <w:t>j</w:t>
      </w:r>
      <w:r w:rsidRPr="00883399">
        <w:rPr>
          <w:sz w:val="24"/>
        </w:rPr>
        <w:t>) mentioned in column 2 of an item in the table in subsection (2), measured in tonnes and estimated under Division 4.2.5.</w:t>
      </w:r>
    </w:p>
    <w:p w14:paraId="663FC250" w14:textId="77777777" w:rsidR="00872C03" w:rsidRPr="00883399" w:rsidRDefault="00872C03" w:rsidP="00872C03">
      <w:pPr>
        <w:pStyle w:val="Definition0"/>
        <w:rPr>
          <w:sz w:val="24"/>
        </w:rPr>
      </w:pPr>
      <w:r w:rsidRPr="00883399">
        <w:rPr>
          <w:b/>
          <w:i/>
          <w:sz w:val="24"/>
        </w:rPr>
        <w:t>ICC</w:t>
      </w:r>
      <w:r w:rsidRPr="00883399">
        <w:rPr>
          <w:rStyle w:val="charSubscript"/>
          <w:b/>
          <w:i/>
          <w:sz w:val="22"/>
        </w:rPr>
        <w:t>j</w:t>
      </w:r>
      <w:r w:rsidRPr="00883399">
        <w:rPr>
          <w:b/>
          <w:i/>
          <w:sz w:val="24"/>
        </w:rPr>
        <w:t xml:space="preserve"> </w:t>
      </w:r>
      <w:r w:rsidRPr="00883399">
        <w:rPr>
          <w:sz w:val="24"/>
        </w:rPr>
        <w:t>is the inorganic carbon content factor of clay material specified in column 3 of an item in the table in subsection (2) for each State or Territory (</w:t>
      </w:r>
      <w:r w:rsidRPr="00883399">
        <w:rPr>
          <w:b/>
          <w:i/>
          <w:sz w:val="24"/>
        </w:rPr>
        <w:t>j</w:t>
      </w:r>
      <w:r w:rsidRPr="00883399">
        <w:rPr>
          <w:sz w:val="24"/>
        </w:rPr>
        <w:t>) mentioned in column 2 of the item.</w:t>
      </w:r>
    </w:p>
    <w:p w14:paraId="370E6D13" w14:textId="77777777" w:rsidR="00872C03" w:rsidRPr="00883399" w:rsidRDefault="00872C03" w:rsidP="00872C03">
      <w:pPr>
        <w:pStyle w:val="subsection"/>
        <w:rPr>
          <w:sz w:val="24"/>
        </w:rPr>
      </w:pPr>
      <w:r w:rsidRPr="00883399">
        <w:rPr>
          <w:sz w:val="24"/>
        </w:rPr>
        <w:tab/>
        <w:t>(2)</w:t>
      </w:r>
      <w:r w:rsidRPr="00883399">
        <w:rPr>
          <w:sz w:val="24"/>
        </w:rPr>
        <w:tab/>
        <w:t xml:space="preserve">For </w:t>
      </w:r>
      <w:r w:rsidRPr="00883399">
        <w:rPr>
          <w:b/>
          <w:i/>
          <w:sz w:val="24"/>
        </w:rPr>
        <w:t>ICC</w:t>
      </w:r>
      <w:r w:rsidRPr="00883399">
        <w:rPr>
          <w:b/>
          <w:i/>
          <w:sz w:val="24"/>
          <w:vertAlign w:val="subscript"/>
        </w:rPr>
        <w:t>j</w:t>
      </w:r>
      <w:r w:rsidRPr="00883399">
        <w:rPr>
          <w:sz w:val="24"/>
        </w:rPr>
        <w:t xml:space="preserve"> in subsection (1), column 3 of an item in the following table specifies the inorganic carbon content factor for a State or Territory (</w:t>
      </w:r>
      <w:r w:rsidRPr="00883399">
        <w:rPr>
          <w:b/>
          <w:i/>
          <w:sz w:val="24"/>
        </w:rPr>
        <w:t>j</w:t>
      </w:r>
      <w:r w:rsidRPr="00883399">
        <w:rPr>
          <w:sz w:val="24"/>
        </w:rPr>
        <w:t>)</w:t>
      </w:r>
      <w:r w:rsidRPr="00883399">
        <w:rPr>
          <w:b/>
          <w:i/>
          <w:sz w:val="24"/>
        </w:rPr>
        <w:t xml:space="preserve"> </w:t>
      </w:r>
      <w:r w:rsidRPr="00883399">
        <w:rPr>
          <w:sz w:val="24"/>
        </w:rPr>
        <w:t>mentioned in column 2 of the item.</w:t>
      </w:r>
    </w:p>
    <w:p w14:paraId="3F7B4EF7" w14:textId="77777777" w:rsidR="00872C03" w:rsidRPr="00883399" w:rsidRDefault="00872C03" w:rsidP="00872C03">
      <w:pPr>
        <w:pStyle w:val="Tabletext0"/>
        <w:rPr>
          <w:sz w:val="22"/>
        </w:rPr>
      </w:pPr>
    </w:p>
    <w:tbl>
      <w:tblPr>
        <w:tblW w:w="0" w:type="auto"/>
        <w:tblInd w:w="1068" w:type="dxa"/>
        <w:tblBorders>
          <w:top w:val="single" w:sz="4" w:space="0" w:color="auto"/>
          <w:bottom w:val="single" w:sz="2" w:space="0" w:color="auto"/>
          <w:insideH w:val="single" w:sz="4" w:space="0" w:color="auto"/>
        </w:tblBorders>
        <w:tblLook w:val="0000" w:firstRow="0" w:lastRow="0" w:firstColumn="0" w:lastColumn="0" w:noHBand="0" w:noVBand="0"/>
      </w:tblPr>
      <w:tblGrid>
        <w:gridCol w:w="740"/>
        <w:gridCol w:w="3364"/>
        <w:gridCol w:w="3141"/>
      </w:tblGrid>
      <w:tr w:rsidR="00872C03" w:rsidRPr="00883399" w14:paraId="533AC3C2" w14:textId="77777777" w:rsidTr="0031057E">
        <w:trPr>
          <w:tblHeader/>
        </w:trPr>
        <w:tc>
          <w:tcPr>
            <w:tcW w:w="741" w:type="dxa"/>
            <w:tcBorders>
              <w:top w:val="single" w:sz="12" w:space="0" w:color="auto"/>
              <w:bottom w:val="single" w:sz="12" w:space="0" w:color="auto"/>
            </w:tcBorders>
            <w:shd w:val="clear" w:color="auto" w:fill="auto"/>
          </w:tcPr>
          <w:p w14:paraId="78912422" w14:textId="77777777" w:rsidR="00872C03" w:rsidRPr="00883399" w:rsidRDefault="00872C03" w:rsidP="0031057E">
            <w:pPr>
              <w:pStyle w:val="TableHeading"/>
              <w:rPr>
                <w:sz w:val="22"/>
              </w:rPr>
            </w:pPr>
            <w:r w:rsidRPr="00883399">
              <w:rPr>
                <w:sz w:val="22"/>
              </w:rPr>
              <w:t>Item</w:t>
            </w:r>
          </w:p>
        </w:tc>
        <w:tc>
          <w:tcPr>
            <w:tcW w:w="3402" w:type="dxa"/>
            <w:tcBorders>
              <w:top w:val="single" w:sz="12" w:space="0" w:color="auto"/>
              <w:bottom w:val="single" w:sz="12" w:space="0" w:color="auto"/>
            </w:tcBorders>
            <w:shd w:val="clear" w:color="auto" w:fill="auto"/>
          </w:tcPr>
          <w:p w14:paraId="73241459" w14:textId="77777777" w:rsidR="00872C03" w:rsidRPr="00883399" w:rsidRDefault="00872C03" w:rsidP="0031057E">
            <w:pPr>
              <w:pStyle w:val="TableHeading"/>
              <w:rPr>
                <w:sz w:val="22"/>
              </w:rPr>
            </w:pPr>
            <w:r w:rsidRPr="00883399">
              <w:rPr>
                <w:sz w:val="22"/>
              </w:rPr>
              <w:t>State or Territory (j)</w:t>
            </w:r>
          </w:p>
        </w:tc>
        <w:tc>
          <w:tcPr>
            <w:tcW w:w="3177" w:type="dxa"/>
            <w:tcBorders>
              <w:top w:val="single" w:sz="12" w:space="0" w:color="auto"/>
              <w:bottom w:val="single" w:sz="12" w:space="0" w:color="auto"/>
            </w:tcBorders>
            <w:shd w:val="clear" w:color="auto" w:fill="auto"/>
          </w:tcPr>
          <w:p w14:paraId="4A2D9F08" w14:textId="77777777" w:rsidR="00872C03" w:rsidRPr="00883399" w:rsidRDefault="00872C03" w:rsidP="0031057E">
            <w:pPr>
              <w:pStyle w:val="TableHeading"/>
              <w:rPr>
                <w:sz w:val="22"/>
              </w:rPr>
            </w:pPr>
            <w:r w:rsidRPr="00883399">
              <w:rPr>
                <w:sz w:val="22"/>
              </w:rPr>
              <w:t>Inorganic carbon content factor</w:t>
            </w:r>
          </w:p>
        </w:tc>
      </w:tr>
      <w:tr w:rsidR="00872C03" w:rsidRPr="00883399" w14:paraId="57C72797" w14:textId="77777777" w:rsidTr="0031057E">
        <w:tc>
          <w:tcPr>
            <w:tcW w:w="741" w:type="dxa"/>
            <w:tcBorders>
              <w:top w:val="single" w:sz="12" w:space="0" w:color="auto"/>
            </w:tcBorders>
            <w:shd w:val="clear" w:color="auto" w:fill="auto"/>
          </w:tcPr>
          <w:p w14:paraId="1074B8C1" w14:textId="77777777" w:rsidR="00872C03" w:rsidRPr="00883399" w:rsidRDefault="00872C03" w:rsidP="0031057E">
            <w:pPr>
              <w:pStyle w:val="Tabletext0"/>
              <w:rPr>
                <w:sz w:val="22"/>
              </w:rPr>
            </w:pPr>
            <w:r w:rsidRPr="00883399">
              <w:rPr>
                <w:sz w:val="22"/>
              </w:rPr>
              <w:t>1</w:t>
            </w:r>
          </w:p>
        </w:tc>
        <w:tc>
          <w:tcPr>
            <w:tcW w:w="3402" w:type="dxa"/>
            <w:tcBorders>
              <w:top w:val="single" w:sz="12" w:space="0" w:color="auto"/>
            </w:tcBorders>
            <w:shd w:val="clear" w:color="auto" w:fill="auto"/>
          </w:tcPr>
          <w:p w14:paraId="68E07E55" w14:textId="77777777" w:rsidR="00872C03" w:rsidRPr="00883399" w:rsidRDefault="00872C03" w:rsidP="0031057E">
            <w:pPr>
              <w:pStyle w:val="Tabletext0"/>
              <w:rPr>
                <w:sz w:val="22"/>
              </w:rPr>
            </w:pPr>
            <w:r w:rsidRPr="00883399">
              <w:rPr>
                <w:sz w:val="22"/>
              </w:rPr>
              <w:t>New South Wales</w:t>
            </w:r>
          </w:p>
        </w:tc>
        <w:tc>
          <w:tcPr>
            <w:tcW w:w="3177" w:type="dxa"/>
            <w:tcBorders>
              <w:top w:val="single" w:sz="12" w:space="0" w:color="auto"/>
            </w:tcBorders>
            <w:shd w:val="clear" w:color="auto" w:fill="auto"/>
          </w:tcPr>
          <w:p w14:paraId="075B61E4" w14:textId="77777777" w:rsidR="00872C03" w:rsidRPr="00883399" w:rsidRDefault="00872C03" w:rsidP="0031057E">
            <w:pPr>
              <w:pStyle w:val="Tabletext0"/>
              <w:rPr>
                <w:sz w:val="22"/>
              </w:rPr>
            </w:pPr>
            <w:r w:rsidRPr="00883399">
              <w:rPr>
                <w:sz w:val="22"/>
              </w:rPr>
              <w:t xml:space="preserve">6.068 </w:t>
            </w:r>
            <w:r w:rsidRPr="00883399">
              <w:rPr>
                <w:noProof/>
                <w:position w:val="-4"/>
                <w:sz w:val="22"/>
              </w:rPr>
              <w:drawing>
                <wp:inline distT="0" distB="0" distL="0" distR="0" wp14:anchorId="4B6AD179" wp14:editId="5BF2FA8D">
                  <wp:extent cx="118745" cy="118745"/>
                  <wp:effectExtent l="1905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92"/>
                          <a:srcRect/>
                          <a:stretch>
                            <a:fillRect/>
                          </a:stretch>
                        </pic:blipFill>
                        <pic:spPr bwMode="auto">
                          <a:xfrm>
                            <a:off x="0" y="0"/>
                            <a:ext cx="118745" cy="118745"/>
                          </a:xfrm>
                          <a:prstGeom prst="rect">
                            <a:avLst/>
                          </a:prstGeom>
                          <a:noFill/>
                          <a:ln w="9525">
                            <a:noFill/>
                            <a:miter lim="800000"/>
                            <a:headEnd/>
                            <a:tailEnd/>
                          </a:ln>
                        </pic:spPr>
                      </pic:pic>
                    </a:graphicData>
                  </a:graphic>
                </wp:inline>
              </w:drawing>
            </w:r>
            <w:r w:rsidRPr="00883399">
              <w:rPr>
                <w:sz w:val="22"/>
              </w:rPr>
              <w:t xml:space="preserve"> 10</w:t>
            </w:r>
            <w:r w:rsidRPr="00883399">
              <w:rPr>
                <w:sz w:val="22"/>
                <w:vertAlign w:val="superscript"/>
              </w:rPr>
              <w:noBreakHyphen/>
              <w:t>3</w:t>
            </w:r>
          </w:p>
        </w:tc>
      </w:tr>
      <w:tr w:rsidR="00872C03" w:rsidRPr="00883399" w14:paraId="05A7F3E6" w14:textId="77777777" w:rsidTr="0031057E">
        <w:tc>
          <w:tcPr>
            <w:tcW w:w="741" w:type="dxa"/>
            <w:shd w:val="clear" w:color="auto" w:fill="auto"/>
          </w:tcPr>
          <w:p w14:paraId="0E46BBCD" w14:textId="77777777" w:rsidR="00872C03" w:rsidRPr="00883399" w:rsidRDefault="00872C03" w:rsidP="0031057E">
            <w:pPr>
              <w:pStyle w:val="Tabletext0"/>
              <w:rPr>
                <w:sz w:val="22"/>
              </w:rPr>
            </w:pPr>
            <w:r w:rsidRPr="00883399">
              <w:rPr>
                <w:sz w:val="22"/>
              </w:rPr>
              <w:t>2</w:t>
            </w:r>
          </w:p>
        </w:tc>
        <w:tc>
          <w:tcPr>
            <w:tcW w:w="3402" w:type="dxa"/>
            <w:shd w:val="clear" w:color="auto" w:fill="auto"/>
          </w:tcPr>
          <w:p w14:paraId="4A9F692F" w14:textId="77777777" w:rsidR="00872C03" w:rsidRPr="00883399" w:rsidRDefault="00872C03" w:rsidP="0031057E">
            <w:pPr>
              <w:pStyle w:val="Tabletext0"/>
              <w:rPr>
                <w:sz w:val="22"/>
              </w:rPr>
            </w:pPr>
            <w:r w:rsidRPr="00883399">
              <w:rPr>
                <w:sz w:val="22"/>
              </w:rPr>
              <w:t>Victoria</w:t>
            </w:r>
          </w:p>
        </w:tc>
        <w:tc>
          <w:tcPr>
            <w:tcW w:w="3177" w:type="dxa"/>
            <w:shd w:val="clear" w:color="auto" w:fill="auto"/>
          </w:tcPr>
          <w:p w14:paraId="60931560" w14:textId="77777777" w:rsidR="00872C03" w:rsidRPr="00883399" w:rsidRDefault="00872C03" w:rsidP="0031057E">
            <w:pPr>
              <w:pStyle w:val="Tabletext0"/>
              <w:rPr>
                <w:sz w:val="22"/>
              </w:rPr>
            </w:pPr>
            <w:r w:rsidRPr="00883399">
              <w:rPr>
                <w:sz w:val="22"/>
              </w:rPr>
              <w:t xml:space="preserve">2.333 </w:t>
            </w:r>
            <w:r w:rsidRPr="00883399">
              <w:rPr>
                <w:noProof/>
                <w:position w:val="-4"/>
                <w:sz w:val="22"/>
              </w:rPr>
              <w:drawing>
                <wp:inline distT="0" distB="0" distL="0" distR="0" wp14:anchorId="1382ED22" wp14:editId="20CFF923">
                  <wp:extent cx="118745" cy="118745"/>
                  <wp:effectExtent l="1905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92"/>
                          <a:srcRect/>
                          <a:stretch>
                            <a:fillRect/>
                          </a:stretch>
                        </pic:blipFill>
                        <pic:spPr bwMode="auto">
                          <a:xfrm>
                            <a:off x="0" y="0"/>
                            <a:ext cx="118745" cy="118745"/>
                          </a:xfrm>
                          <a:prstGeom prst="rect">
                            <a:avLst/>
                          </a:prstGeom>
                          <a:noFill/>
                          <a:ln w="9525">
                            <a:noFill/>
                            <a:miter lim="800000"/>
                            <a:headEnd/>
                            <a:tailEnd/>
                          </a:ln>
                        </pic:spPr>
                      </pic:pic>
                    </a:graphicData>
                  </a:graphic>
                </wp:inline>
              </w:drawing>
            </w:r>
            <w:r w:rsidRPr="00883399">
              <w:rPr>
                <w:sz w:val="22"/>
              </w:rPr>
              <w:t xml:space="preserve"> 10</w:t>
            </w:r>
            <w:r w:rsidRPr="00883399">
              <w:rPr>
                <w:sz w:val="22"/>
                <w:vertAlign w:val="superscript"/>
              </w:rPr>
              <w:noBreakHyphen/>
              <w:t>4</w:t>
            </w:r>
          </w:p>
        </w:tc>
      </w:tr>
      <w:tr w:rsidR="00872C03" w:rsidRPr="00883399" w14:paraId="2CEDF753" w14:textId="77777777" w:rsidTr="0031057E">
        <w:tc>
          <w:tcPr>
            <w:tcW w:w="741" w:type="dxa"/>
            <w:shd w:val="clear" w:color="auto" w:fill="auto"/>
          </w:tcPr>
          <w:p w14:paraId="174460E0" w14:textId="77777777" w:rsidR="00872C03" w:rsidRPr="00883399" w:rsidRDefault="00872C03" w:rsidP="0031057E">
            <w:pPr>
              <w:pStyle w:val="Tabletext0"/>
              <w:rPr>
                <w:sz w:val="22"/>
              </w:rPr>
            </w:pPr>
            <w:r w:rsidRPr="00883399">
              <w:rPr>
                <w:sz w:val="22"/>
              </w:rPr>
              <w:t>3</w:t>
            </w:r>
          </w:p>
        </w:tc>
        <w:tc>
          <w:tcPr>
            <w:tcW w:w="3402" w:type="dxa"/>
            <w:shd w:val="clear" w:color="auto" w:fill="auto"/>
          </w:tcPr>
          <w:p w14:paraId="35452C32" w14:textId="77777777" w:rsidR="00872C03" w:rsidRPr="00883399" w:rsidRDefault="00872C03" w:rsidP="0031057E">
            <w:pPr>
              <w:pStyle w:val="Tabletext0"/>
              <w:rPr>
                <w:sz w:val="22"/>
              </w:rPr>
            </w:pPr>
            <w:r w:rsidRPr="00883399">
              <w:rPr>
                <w:sz w:val="22"/>
              </w:rPr>
              <w:t>Queensland</w:t>
            </w:r>
          </w:p>
        </w:tc>
        <w:tc>
          <w:tcPr>
            <w:tcW w:w="3177" w:type="dxa"/>
            <w:shd w:val="clear" w:color="auto" w:fill="auto"/>
          </w:tcPr>
          <w:p w14:paraId="39BD4432" w14:textId="77777777" w:rsidR="00872C03" w:rsidRPr="00883399" w:rsidRDefault="00872C03" w:rsidP="0031057E">
            <w:pPr>
              <w:pStyle w:val="Tabletext0"/>
              <w:rPr>
                <w:sz w:val="22"/>
              </w:rPr>
            </w:pPr>
            <w:r w:rsidRPr="00883399">
              <w:rPr>
                <w:sz w:val="22"/>
              </w:rPr>
              <w:t xml:space="preserve">2.509 </w:t>
            </w:r>
            <w:r w:rsidRPr="00883399">
              <w:rPr>
                <w:noProof/>
                <w:position w:val="-4"/>
                <w:sz w:val="22"/>
              </w:rPr>
              <w:drawing>
                <wp:inline distT="0" distB="0" distL="0" distR="0" wp14:anchorId="659567A3" wp14:editId="2FB5D3B3">
                  <wp:extent cx="118745" cy="118745"/>
                  <wp:effectExtent l="1905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92"/>
                          <a:srcRect/>
                          <a:stretch>
                            <a:fillRect/>
                          </a:stretch>
                        </pic:blipFill>
                        <pic:spPr bwMode="auto">
                          <a:xfrm>
                            <a:off x="0" y="0"/>
                            <a:ext cx="118745" cy="118745"/>
                          </a:xfrm>
                          <a:prstGeom prst="rect">
                            <a:avLst/>
                          </a:prstGeom>
                          <a:noFill/>
                          <a:ln w="9525">
                            <a:noFill/>
                            <a:miter lim="800000"/>
                            <a:headEnd/>
                            <a:tailEnd/>
                          </a:ln>
                        </pic:spPr>
                      </pic:pic>
                    </a:graphicData>
                  </a:graphic>
                </wp:inline>
              </w:drawing>
            </w:r>
            <w:r w:rsidRPr="00883399">
              <w:rPr>
                <w:sz w:val="22"/>
              </w:rPr>
              <w:t xml:space="preserve"> 10</w:t>
            </w:r>
            <w:r w:rsidRPr="00883399">
              <w:rPr>
                <w:sz w:val="22"/>
                <w:vertAlign w:val="superscript"/>
              </w:rPr>
              <w:noBreakHyphen/>
              <w:t>3</w:t>
            </w:r>
          </w:p>
        </w:tc>
      </w:tr>
      <w:tr w:rsidR="00872C03" w:rsidRPr="00883399" w14:paraId="08B850AD" w14:textId="77777777" w:rsidTr="0031057E">
        <w:tc>
          <w:tcPr>
            <w:tcW w:w="741" w:type="dxa"/>
            <w:shd w:val="clear" w:color="auto" w:fill="auto"/>
          </w:tcPr>
          <w:p w14:paraId="4035F7BB" w14:textId="77777777" w:rsidR="00872C03" w:rsidRPr="00883399" w:rsidRDefault="00872C03" w:rsidP="0031057E">
            <w:pPr>
              <w:pStyle w:val="Tabletext0"/>
              <w:rPr>
                <w:sz w:val="22"/>
              </w:rPr>
            </w:pPr>
            <w:r w:rsidRPr="00883399">
              <w:rPr>
                <w:sz w:val="22"/>
              </w:rPr>
              <w:t>4</w:t>
            </w:r>
          </w:p>
        </w:tc>
        <w:tc>
          <w:tcPr>
            <w:tcW w:w="3402" w:type="dxa"/>
            <w:shd w:val="clear" w:color="auto" w:fill="auto"/>
          </w:tcPr>
          <w:p w14:paraId="716D8CD5" w14:textId="77777777" w:rsidR="00872C03" w:rsidRPr="00883399" w:rsidRDefault="00872C03" w:rsidP="0031057E">
            <w:pPr>
              <w:pStyle w:val="Tabletext0"/>
              <w:rPr>
                <w:sz w:val="22"/>
              </w:rPr>
            </w:pPr>
            <w:r w:rsidRPr="00883399">
              <w:rPr>
                <w:sz w:val="22"/>
              </w:rPr>
              <w:t>Western Australia</w:t>
            </w:r>
          </w:p>
        </w:tc>
        <w:tc>
          <w:tcPr>
            <w:tcW w:w="3177" w:type="dxa"/>
            <w:shd w:val="clear" w:color="auto" w:fill="auto"/>
          </w:tcPr>
          <w:p w14:paraId="12C0C7A9" w14:textId="77777777" w:rsidR="00872C03" w:rsidRPr="00883399" w:rsidRDefault="00872C03" w:rsidP="0031057E">
            <w:pPr>
              <w:pStyle w:val="Tabletext0"/>
              <w:rPr>
                <w:sz w:val="22"/>
              </w:rPr>
            </w:pPr>
            <w:r w:rsidRPr="00883399">
              <w:rPr>
                <w:sz w:val="22"/>
              </w:rPr>
              <w:t xml:space="preserve">3.140 </w:t>
            </w:r>
            <w:r w:rsidRPr="00883399">
              <w:rPr>
                <w:noProof/>
                <w:position w:val="-4"/>
                <w:sz w:val="22"/>
              </w:rPr>
              <w:drawing>
                <wp:inline distT="0" distB="0" distL="0" distR="0" wp14:anchorId="6D873AB0" wp14:editId="77E368C5">
                  <wp:extent cx="118745" cy="118745"/>
                  <wp:effectExtent l="1905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92"/>
                          <a:srcRect/>
                          <a:stretch>
                            <a:fillRect/>
                          </a:stretch>
                        </pic:blipFill>
                        <pic:spPr bwMode="auto">
                          <a:xfrm>
                            <a:off x="0" y="0"/>
                            <a:ext cx="118745" cy="118745"/>
                          </a:xfrm>
                          <a:prstGeom prst="rect">
                            <a:avLst/>
                          </a:prstGeom>
                          <a:noFill/>
                          <a:ln w="9525">
                            <a:noFill/>
                            <a:miter lim="800000"/>
                            <a:headEnd/>
                            <a:tailEnd/>
                          </a:ln>
                        </pic:spPr>
                      </pic:pic>
                    </a:graphicData>
                  </a:graphic>
                </wp:inline>
              </w:drawing>
            </w:r>
            <w:r w:rsidRPr="00883399">
              <w:rPr>
                <w:sz w:val="22"/>
              </w:rPr>
              <w:t xml:space="preserve"> 10</w:t>
            </w:r>
            <w:r w:rsidRPr="00883399">
              <w:rPr>
                <w:sz w:val="22"/>
                <w:vertAlign w:val="superscript"/>
              </w:rPr>
              <w:noBreakHyphen/>
              <w:t>4</w:t>
            </w:r>
          </w:p>
        </w:tc>
      </w:tr>
      <w:tr w:rsidR="00872C03" w:rsidRPr="00883399" w14:paraId="111268DB" w14:textId="77777777" w:rsidTr="0031057E">
        <w:tc>
          <w:tcPr>
            <w:tcW w:w="741" w:type="dxa"/>
            <w:shd w:val="clear" w:color="auto" w:fill="auto"/>
          </w:tcPr>
          <w:p w14:paraId="21FBABC1" w14:textId="77777777" w:rsidR="00872C03" w:rsidRPr="00883399" w:rsidRDefault="00872C03" w:rsidP="0031057E">
            <w:pPr>
              <w:pStyle w:val="Tabletext0"/>
              <w:rPr>
                <w:sz w:val="22"/>
              </w:rPr>
            </w:pPr>
            <w:r w:rsidRPr="00883399">
              <w:rPr>
                <w:sz w:val="22"/>
              </w:rPr>
              <w:t>5</w:t>
            </w:r>
          </w:p>
        </w:tc>
        <w:tc>
          <w:tcPr>
            <w:tcW w:w="3402" w:type="dxa"/>
            <w:shd w:val="clear" w:color="auto" w:fill="auto"/>
          </w:tcPr>
          <w:p w14:paraId="4EF8D9B6" w14:textId="77777777" w:rsidR="00872C03" w:rsidRPr="00883399" w:rsidRDefault="00872C03" w:rsidP="0031057E">
            <w:pPr>
              <w:pStyle w:val="Tabletext0"/>
              <w:rPr>
                <w:sz w:val="22"/>
              </w:rPr>
            </w:pPr>
            <w:r w:rsidRPr="00883399">
              <w:rPr>
                <w:sz w:val="22"/>
              </w:rPr>
              <w:t>South Australia</w:t>
            </w:r>
          </w:p>
        </w:tc>
        <w:tc>
          <w:tcPr>
            <w:tcW w:w="3177" w:type="dxa"/>
            <w:shd w:val="clear" w:color="auto" w:fill="auto"/>
          </w:tcPr>
          <w:p w14:paraId="3BC509B6" w14:textId="77777777" w:rsidR="00872C03" w:rsidRPr="00883399" w:rsidRDefault="00872C03" w:rsidP="0031057E">
            <w:pPr>
              <w:pStyle w:val="Tabletext0"/>
              <w:rPr>
                <w:sz w:val="22"/>
              </w:rPr>
            </w:pPr>
            <w:r w:rsidRPr="00883399">
              <w:rPr>
                <w:sz w:val="22"/>
              </w:rPr>
              <w:t xml:space="preserve">5.170 </w:t>
            </w:r>
            <w:r w:rsidRPr="00883399">
              <w:rPr>
                <w:noProof/>
                <w:position w:val="-4"/>
                <w:sz w:val="22"/>
              </w:rPr>
              <w:drawing>
                <wp:inline distT="0" distB="0" distL="0" distR="0" wp14:anchorId="6A375110" wp14:editId="672DCA9F">
                  <wp:extent cx="118745" cy="118745"/>
                  <wp:effectExtent l="1905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92"/>
                          <a:srcRect/>
                          <a:stretch>
                            <a:fillRect/>
                          </a:stretch>
                        </pic:blipFill>
                        <pic:spPr bwMode="auto">
                          <a:xfrm>
                            <a:off x="0" y="0"/>
                            <a:ext cx="118745" cy="118745"/>
                          </a:xfrm>
                          <a:prstGeom prst="rect">
                            <a:avLst/>
                          </a:prstGeom>
                          <a:noFill/>
                          <a:ln w="9525">
                            <a:noFill/>
                            <a:miter lim="800000"/>
                            <a:headEnd/>
                            <a:tailEnd/>
                          </a:ln>
                        </pic:spPr>
                      </pic:pic>
                    </a:graphicData>
                  </a:graphic>
                </wp:inline>
              </w:drawing>
            </w:r>
            <w:r w:rsidRPr="00883399">
              <w:rPr>
                <w:sz w:val="22"/>
              </w:rPr>
              <w:t xml:space="preserve"> 10</w:t>
            </w:r>
            <w:r w:rsidRPr="00883399">
              <w:rPr>
                <w:sz w:val="22"/>
                <w:vertAlign w:val="superscript"/>
              </w:rPr>
              <w:noBreakHyphen/>
              <w:t>4</w:t>
            </w:r>
          </w:p>
        </w:tc>
      </w:tr>
      <w:tr w:rsidR="00872C03" w:rsidRPr="00883399" w14:paraId="60C30CE7" w14:textId="77777777" w:rsidTr="0031057E">
        <w:tc>
          <w:tcPr>
            <w:tcW w:w="741" w:type="dxa"/>
            <w:shd w:val="clear" w:color="auto" w:fill="auto"/>
          </w:tcPr>
          <w:p w14:paraId="0A4D55F4" w14:textId="77777777" w:rsidR="00872C03" w:rsidRPr="00883399" w:rsidRDefault="00872C03" w:rsidP="0031057E">
            <w:pPr>
              <w:pStyle w:val="Tabletext0"/>
              <w:rPr>
                <w:sz w:val="22"/>
              </w:rPr>
            </w:pPr>
            <w:r w:rsidRPr="00883399">
              <w:rPr>
                <w:sz w:val="22"/>
              </w:rPr>
              <w:t>6</w:t>
            </w:r>
          </w:p>
        </w:tc>
        <w:tc>
          <w:tcPr>
            <w:tcW w:w="3402" w:type="dxa"/>
            <w:shd w:val="clear" w:color="auto" w:fill="auto"/>
          </w:tcPr>
          <w:p w14:paraId="53E7348D" w14:textId="77777777" w:rsidR="00872C03" w:rsidRPr="00883399" w:rsidRDefault="00872C03" w:rsidP="0031057E">
            <w:pPr>
              <w:pStyle w:val="Tabletext0"/>
              <w:rPr>
                <w:sz w:val="22"/>
              </w:rPr>
            </w:pPr>
            <w:r w:rsidRPr="00883399">
              <w:rPr>
                <w:sz w:val="22"/>
              </w:rPr>
              <w:t>Tasmania</w:t>
            </w:r>
          </w:p>
        </w:tc>
        <w:tc>
          <w:tcPr>
            <w:tcW w:w="3177" w:type="dxa"/>
            <w:shd w:val="clear" w:color="auto" w:fill="auto"/>
          </w:tcPr>
          <w:p w14:paraId="67D7E6ED" w14:textId="77777777" w:rsidR="00872C03" w:rsidRPr="00883399" w:rsidRDefault="00872C03" w:rsidP="0031057E">
            <w:pPr>
              <w:pStyle w:val="Tabletext0"/>
              <w:rPr>
                <w:sz w:val="22"/>
              </w:rPr>
            </w:pPr>
            <w:r w:rsidRPr="00883399">
              <w:rPr>
                <w:sz w:val="22"/>
              </w:rPr>
              <w:t xml:space="preserve">1.050 </w:t>
            </w:r>
            <w:r w:rsidRPr="00883399">
              <w:rPr>
                <w:noProof/>
                <w:position w:val="-4"/>
                <w:sz w:val="22"/>
              </w:rPr>
              <w:drawing>
                <wp:inline distT="0" distB="0" distL="0" distR="0" wp14:anchorId="62C3209C" wp14:editId="72C6DB42">
                  <wp:extent cx="118745" cy="118745"/>
                  <wp:effectExtent l="1905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92"/>
                          <a:srcRect/>
                          <a:stretch>
                            <a:fillRect/>
                          </a:stretch>
                        </pic:blipFill>
                        <pic:spPr bwMode="auto">
                          <a:xfrm>
                            <a:off x="0" y="0"/>
                            <a:ext cx="118745" cy="118745"/>
                          </a:xfrm>
                          <a:prstGeom prst="rect">
                            <a:avLst/>
                          </a:prstGeom>
                          <a:noFill/>
                          <a:ln w="9525">
                            <a:noFill/>
                            <a:miter lim="800000"/>
                            <a:headEnd/>
                            <a:tailEnd/>
                          </a:ln>
                        </pic:spPr>
                      </pic:pic>
                    </a:graphicData>
                  </a:graphic>
                </wp:inline>
              </w:drawing>
            </w:r>
            <w:r w:rsidRPr="00883399">
              <w:rPr>
                <w:sz w:val="22"/>
              </w:rPr>
              <w:t xml:space="preserve"> 10</w:t>
            </w:r>
            <w:r w:rsidRPr="00883399">
              <w:rPr>
                <w:sz w:val="22"/>
                <w:vertAlign w:val="superscript"/>
              </w:rPr>
              <w:noBreakHyphen/>
              <w:t>3</w:t>
            </w:r>
          </w:p>
        </w:tc>
      </w:tr>
      <w:tr w:rsidR="00872C03" w:rsidRPr="00883399" w14:paraId="66D6A7FE" w14:textId="77777777" w:rsidTr="0031057E">
        <w:tc>
          <w:tcPr>
            <w:tcW w:w="741" w:type="dxa"/>
            <w:tcBorders>
              <w:bottom w:val="single" w:sz="4" w:space="0" w:color="auto"/>
            </w:tcBorders>
            <w:shd w:val="clear" w:color="auto" w:fill="auto"/>
          </w:tcPr>
          <w:p w14:paraId="35D2EEF5" w14:textId="77777777" w:rsidR="00872C03" w:rsidRPr="00883399" w:rsidRDefault="00872C03" w:rsidP="0031057E">
            <w:pPr>
              <w:pStyle w:val="Tabletext0"/>
              <w:rPr>
                <w:sz w:val="22"/>
              </w:rPr>
            </w:pPr>
            <w:r w:rsidRPr="00883399">
              <w:rPr>
                <w:sz w:val="22"/>
              </w:rPr>
              <w:t>7</w:t>
            </w:r>
          </w:p>
        </w:tc>
        <w:tc>
          <w:tcPr>
            <w:tcW w:w="3402" w:type="dxa"/>
            <w:tcBorders>
              <w:bottom w:val="single" w:sz="4" w:space="0" w:color="auto"/>
            </w:tcBorders>
            <w:shd w:val="clear" w:color="auto" w:fill="auto"/>
          </w:tcPr>
          <w:p w14:paraId="7825FC33" w14:textId="77777777" w:rsidR="00872C03" w:rsidRPr="00883399" w:rsidRDefault="00872C03" w:rsidP="0031057E">
            <w:pPr>
              <w:pStyle w:val="Tabletext0"/>
              <w:rPr>
                <w:sz w:val="22"/>
              </w:rPr>
            </w:pPr>
            <w:r w:rsidRPr="00883399">
              <w:rPr>
                <w:sz w:val="22"/>
              </w:rPr>
              <w:t>Australian Capital Territory</w:t>
            </w:r>
          </w:p>
        </w:tc>
        <w:tc>
          <w:tcPr>
            <w:tcW w:w="3177" w:type="dxa"/>
            <w:tcBorders>
              <w:bottom w:val="single" w:sz="4" w:space="0" w:color="auto"/>
            </w:tcBorders>
            <w:shd w:val="clear" w:color="auto" w:fill="auto"/>
          </w:tcPr>
          <w:p w14:paraId="64493081" w14:textId="77777777" w:rsidR="00872C03" w:rsidRPr="00883399" w:rsidRDefault="00872C03" w:rsidP="0031057E">
            <w:pPr>
              <w:pStyle w:val="Tabletext0"/>
              <w:rPr>
                <w:sz w:val="22"/>
              </w:rPr>
            </w:pPr>
            <w:r w:rsidRPr="00883399">
              <w:rPr>
                <w:sz w:val="22"/>
              </w:rPr>
              <w:t xml:space="preserve">6.068 </w:t>
            </w:r>
            <w:r w:rsidRPr="00883399">
              <w:rPr>
                <w:noProof/>
                <w:position w:val="-4"/>
                <w:sz w:val="22"/>
              </w:rPr>
              <w:drawing>
                <wp:inline distT="0" distB="0" distL="0" distR="0" wp14:anchorId="51D663F8" wp14:editId="28C5F7A3">
                  <wp:extent cx="118745" cy="118745"/>
                  <wp:effectExtent l="1905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92"/>
                          <a:srcRect/>
                          <a:stretch>
                            <a:fillRect/>
                          </a:stretch>
                        </pic:blipFill>
                        <pic:spPr bwMode="auto">
                          <a:xfrm>
                            <a:off x="0" y="0"/>
                            <a:ext cx="118745" cy="118745"/>
                          </a:xfrm>
                          <a:prstGeom prst="rect">
                            <a:avLst/>
                          </a:prstGeom>
                          <a:noFill/>
                          <a:ln w="9525">
                            <a:noFill/>
                            <a:miter lim="800000"/>
                            <a:headEnd/>
                            <a:tailEnd/>
                          </a:ln>
                        </pic:spPr>
                      </pic:pic>
                    </a:graphicData>
                  </a:graphic>
                </wp:inline>
              </w:drawing>
            </w:r>
            <w:r w:rsidRPr="00883399">
              <w:rPr>
                <w:sz w:val="22"/>
              </w:rPr>
              <w:t xml:space="preserve"> 10</w:t>
            </w:r>
            <w:r w:rsidRPr="00883399">
              <w:rPr>
                <w:sz w:val="22"/>
                <w:vertAlign w:val="superscript"/>
              </w:rPr>
              <w:noBreakHyphen/>
              <w:t>3</w:t>
            </w:r>
          </w:p>
        </w:tc>
      </w:tr>
      <w:tr w:rsidR="00872C03" w:rsidRPr="00883399" w14:paraId="35CE9D68" w14:textId="77777777" w:rsidTr="0031057E">
        <w:tc>
          <w:tcPr>
            <w:tcW w:w="741" w:type="dxa"/>
            <w:tcBorders>
              <w:bottom w:val="single" w:sz="12" w:space="0" w:color="auto"/>
            </w:tcBorders>
            <w:shd w:val="clear" w:color="auto" w:fill="auto"/>
          </w:tcPr>
          <w:p w14:paraId="53F7A106" w14:textId="77777777" w:rsidR="00872C03" w:rsidRPr="00883399" w:rsidRDefault="00872C03" w:rsidP="0031057E">
            <w:pPr>
              <w:pStyle w:val="Tabletext0"/>
              <w:rPr>
                <w:sz w:val="22"/>
              </w:rPr>
            </w:pPr>
            <w:r w:rsidRPr="00883399">
              <w:rPr>
                <w:sz w:val="22"/>
              </w:rPr>
              <w:t>8</w:t>
            </w:r>
          </w:p>
        </w:tc>
        <w:tc>
          <w:tcPr>
            <w:tcW w:w="3402" w:type="dxa"/>
            <w:tcBorders>
              <w:bottom w:val="single" w:sz="12" w:space="0" w:color="auto"/>
            </w:tcBorders>
            <w:shd w:val="clear" w:color="auto" w:fill="auto"/>
          </w:tcPr>
          <w:p w14:paraId="5DE956A5" w14:textId="77777777" w:rsidR="00872C03" w:rsidRPr="00883399" w:rsidRDefault="00872C03" w:rsidP="0031057E">
            <w:pPr>
              <w:pStyle w:val="Tabletext0"/>
              <w:rPr>
                <w:sz w:val="22"/>
              </w:rPr>
            </w:pPr>
            <w:r w:rsidRPr="00883399">
              <w:rPr>
                <w:sz w:val="22"/>
              </w:rPr>
              <w:t>Northern Territory</w:t>
            </w:r>
          </w:p>
        </w:tc>
        <w:tc>
          <w:tcPr>
            <w:tcW w:w="3177" w:type="dxa"/>
            <w:tcBorders>
              <w:bottom w:val="single" w:sz="12" w:space="0" w:color="auto"/>
            </w:tcBorders>
            <w:shd w:val="clear" w:color="auto" w:fill="auto"/>
          </w:tcPr>
          <w:p w14:paraId="5BADCE42" w14:textId="77777777" w:rsidR="00872C03" w:rsidRPr="00883399" w:rsidRDefault="00872C03" w:rsidP="0031057E">
            <w:pPr>
              <w:pStyle w:val="Tabletext0"/>
              <w:rPr>
                <w:sz w:val="22"/>
              </w:rPr>
            </w:pPr>
            <w:r w:rsidRPr="00883399">
              <w:rPr>
                <w:sz w:val="22"/>
              </w:rPr>
              <w:t xml:space="preserve">5.170 </w:t>
            </w:r>
            <w:r w:rsidRPr="00883399">
              <w:rPr>
                <w:noProof/>
                <w:position w:val="-4"/>
                <w:sz w:val="22"/>
              </w:rPr>
              <w:drawing>
                <wp:inline distT="0" distB="0" distL="0" distR="0" wp14:anchorId="4DB9FA30" wp14:editId="72BFD256">
                  <wp:extent cx="118745" cy="118745"/>
                  <wp:effectExtent l="1905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92"/>
                          <a:srcRect/>
                          <a:stretch>
                            <a:fillRect/>
                          </a:stretch>
                        </pic:blipFill>
                        <pic:spPr bwMode="auto">
                          <a:xfrm>
                            <a:off x="0" y="0"/>
                            <a:ext cx="118745" cy="118745"/>
                          </a:xfrm>
                          <a:prstGeom prst="rect">
                            <a:avLst/>
                          </a:prstGeom>
                          <a:noFill/>
                          <a:ln w="9525">
                            <a:noFill/>
                            <a:miter lim="800000"/>
                            <a:headEnd/>
                            <a:tailEnd/>
                          </a:ln>
                        </pic:spPr>
                      </pic:pic>
                    </a:graphicData>
                  </a:graphic>
                </wp:inline>
              </w:drawing>
            </w:r>
            <w:r w:rsidRPr="00883399">
              <w:rPr>
                <w:sz w:val="22"/>
              </w:rPr>
              <w:t xml:space="preserve"> 10</w:t>
            </w:r>
            <w:r w:rsidRPr="00883399">
              <w:rPr>
                <w:sz w:val="22"/>
                <w:vertAlign w:val="superscript"/>
              </w:rPr>
              <w:noBreakHyphen/>
              <w:t>4</w:t>
            </w:r>
          </w:p>
        </w:tc>
      </w:tr>
    </w:tbl>
    <w:p w14:paraId="52797A0B" w14:textId="77777777" w:rsidR="005033AE" w:rsidRPr="00883399" w:rsidRDefault="005033AE" w:rsidP="00872C03">
      <w:pPr>
        <w:pStyle w:val="ActHead5"/>
        <w:rPr>
          <w:rStyle w:val="CharSectno"/>
          <w:sz w:val="28"/>
        </w:rPr>
      </w:pPr>
      <w:bookmarkStart w:id="851" w:name="_Toc423517023"/>
    </w:p>
    <w:p w14:paraId="194BDAFB" w14:textId="77777777" w:rsidR="00872C03" w:rsidRPr="00883399" w:rsidRDefault="00872C03" w:rsidP="00872C03">
      <w:pPr>
        <w:pStyle w:val="ActHead5"/>
        <w:rPr>
          <w:sz w:val="28"/>
        </w:rPr>
      </w:pPr>
      <w:bookmarkStart w:id="852" w:name="_Toc495652955"/>
      <w:r w:rsidRPr="00883399">
        <w:rPr>
          <w:rStyle w:val="CharSectno"/>
          <w:sz w:val="28"/>
        </w:rPr>
        <w:t>4.23</w:t>
      </w:r>
      <w:r w:rsidRPr="00883399">
        <w:rPr>
          <w:sz w:val="28"/>
        </w:rPr>
        <w:t xml:space="preserve">  Method 3—product other than cement clinker, lime or soda ash</w:t>
      </w:r>
      <w:bookmarkEnd w:id="851"/>
      <w:bookmarkEnd w:id="852"/>
      <w:r w:rsidRPr="00883399">
        <w:rPr>
          <w:sz w:val="28"/>
        </w:rPr>
        <w:t xml:space="preserve"> </w:t>
      </w:r>
    </w:p>
    <w:p w14:paraId="0E1C80A4" w14:textId="77777777" w:rsidR="00872C03" w:rsidRPr="00883399" w:rsidRDefault="00872C03" w:rsidP="00872C03">
      <w:pPr>
        <w:pStyle w:val="R1"/>
        <w:keepLines w:val="0"/>
        <w:spacing w:before="240" w:line="312" w:lineRule="auto"/>
        <w:ind w:left="0" w:firstLine="0"/>
        <w:jc w:val="left"/>
        <w:rPr>
          <w:rFonts w:ascii="Arial" w:hAnsi="Arial" w:cs="Arial"/>
          <w:sz w:val="22"/>
          <w:szCs w:val="22"/>
        </w:rPr>
      </w:pPr>
      <w:r w:rsidRPr="00883399">
        <w:tab/>
      </w:r>
      <w:r w:rsidRPr="00883399">
        <w:rPr>
          <w:rFonts w:ascii="Arial" w:hAnsi="Arial" w:cs="Arial"/>
          <w:sz w:val="22"/>
          <w:szCs w:val="22"/>
        </w:rPr>
        <w:t xml:space="preserve">Method 3 is based on the Tier 3 approach in the </w:t>
      </w:r>
      <w:r w:rsidRPr="00883399">
        <w:rPr>
          <w:rFonts w:ascii="Arial" w:hAnsi="Arial" w:cs="Arial"/>
          <w:i/>
          <w:sz w:val="22"/>
          <w:szCs w:val="22"/>
        </w:rPr>
        <w:t>IPCC Guidelines for National Greenhouse Inventories</w:t>
      </w:r>
      <w:r w:rsidRPr="00883399">
        <w:rPr>
          <w:rFonts w:ascii="Arial" w:hAnsi="Arial" w:cs="Arial"/>
          <w:sz w:val="22"/>
          <w:szCs w:val="22"/>
        </w:rPr>
        <w:t xml:space="preserve"> which utilises information on the purity of the carbonate inputs.  This method requires sampling and analysis of the raw materials to determine the material’s pure carbonate content, which is then used in the estimation.  This estimation differs from Method 1, which utilises raw carbonate material with specified degrees of impurity as an input into the estimation.</w:t>
      </w:r>
    </w:p>
    <w:p w14:paraId="767FC28E" w14:textId="77777777" w:rsidR="00872C03" w:rsidRPr="00883399" w:rsidRDefault="00872C03" w:rsidP="00872C03">
      <w:pPr>
        <w:pStyle w:val="subsection"/>
        <w:spacing w:after="60"/>
        <w:rPr>
          <w:sz w:val="24"/>
        </w:rPr>
      </w:pPr>
      <w:r w:rsidRPr="00883399">
        <w:rPr>
          <w:sz w:val="24"/>
        </w:rPr>
        <w:t xml:space="preserve"> </w:t>
      </w:r>
      <w:r w:rsidRPr="00883399">
        <w:rPr>
          <w:sz w:val="24"/>
        </w:rPr>
        <w:tab/>
        <w:t>(1)</w:t>
      </w:r>
      <w:r w:rsidRPr="00883399">
        <w:rPr>
          <w:sz w:val="24"/>
        </w:rPr>
        <w:tab/>
        <w:t>Method 3 is:</w:t>
      </w:r>
    </w:p>
    <w:tbl>
      <w:tblPr>
        <w:tblW w:w="0" w:type="auto"/>
        <w:tblInd w:w="948" w:type="dxa"/>
        <w:tblLayout w:type="fixed"/>
        <w:tblLook w:val="0000" w:firstRow="0" w:lastRow="0" w:firstColumn="0" w:lastColumn="0" w:noHBand="0" w:noVBand="0"/>
      </w:tblPr>
      <w:tblGrid>
        <w:gridCol w:w="798"/>
        <w:gridCol w:w="6726"/>
      </w:tblGrid>
      <w:tr w:rsidR="00872C03" w:rsidRPr="00883399" w14:paraId="56B65DF4" w14:textId="77777777" w:rsidTr="0031057E">
        <w:trPr>
          <w:cantSplit/>
        </w:trPr>
        <w:tc>
          <w:tcPr>
            <w:tcW w:w="798" w:type="dxa"/>
          </w:tcPr>
          <w:p w14:paraId="1E57BD85" w14:textId="77777777" w:rsidR="00872C03" w:rsidRPr="00883399" w:rsidRDefault="00872C03" w:rsidP="0031057E">
            <w:pPr>
              <w:pStyle w:val="Tabletext0"/>
              <w:rPr>
                <w:sz w:val="22"/>
              </w:rPr>
            </w:pPr>
            <w:r w:rsidRPr="00883399">
              <w:rPr>
                <w:sz w:val="24"/>
                <w:szCs w:val="22"/>
              </w:rPr>
              <w:t>Step 1</w:t>
            </w:r>
          </w:p>
        </w:tc>
        <w:tc>
          <w:tcPr>
            <w:tcW w:w="6726" w:type="dxa"/>
          </w:tcPr>
          <w:p w14:paraId="270E5B94" w14:textId="77777777" w:rsidR="00872C03" w:rsidRPr="00883399" w:rsidRDefault="00872C03" w:rsidP="0031057E">
            <w:pPr>
              <w:pStyle w:val="Tabletext0"/>
              <w:rPr>
                <w:sz w:val="24"/>
                <w:szCs w:val="22"/>
              </w:rPr>
            </w:pPr>
            <w:r w:rsidRPr="00883399">
              <w:rPr>
                <w:sz w:val="24"/>
                <w:szCs w:val="22"/>
              </w:rPr>
              <w:t>Measure the amount of emissions of carbon dioxide in CO</w:t>
            </w:r>
            <w:r w:rsidRPr="00883399">
              <w:rPr>
                <w:sz w:val="24"/>
              </w:rPr>
              <w:t>2</w:t>
            </w:r>
            <w:r w:rsidRPr="00883399">
              <w:rPr>
                <w:sz w:val="24"/>
                <w:szCs w:val="22"/>
              </w:rPr>
              <w:noBreakHyphen/>
              <w:t>e tonnes released from each pure carbonate consumed in the industrial process during the year as follows:</w:t>
            </w:r>
          </w:p>
          <w:p w14:paraId="6CDC0272" w14:textId="77777777" w:rsidR="00872C03" w:rsidRPr="00883399" w:rsidRDefault="00872C03" w:rsidP="0031057E">
            <w:pPr>
              <w:pStyle w:val="TableText"/>
              <w:spacing w:before="180" w:after="120"/>
              <w:rPr>
                <w:sz w:val="24"/>
              </w:rPr>
            </w:pPr>
            <w:r w:rsidRPr="00883399">
              <w:rPr>
                <w:position w:val="-16"/>
                <w:sz w:val="24"/>
              </w:rPr>
              <w:object w:dxaOrig="3620" w:dyaOrig="400" w14:anchorId="43F51159">
                <v:shape id="_x0000_i1072" type="#_x0000_t75" style="width:180.75pt;height:19.5pt" o:ole="">
                  <v:imagedata r:id="rId193" o:title=""/>
                </v:shape>
                <o:OLEObject Type="Embed" ProgID="Equation.DSMT4" ShapeID="_x0000_i1072" DrawAspect="Content" ObjectID="_1594105963" r:id="rId194"/>
              </w:object>
            </w:r>
          </w:p>
          <w:p w14:paraId="4F56CCC5" w14:textId="77777777" w:rsidR="00872C03" w:rsidRPr="00883399" w:rsidRDefault="00872C03" w:rsidP="0031057E">
            <w:pPr>
              <w:pStyle w:val="subsection2"/>
              <w:ind w:left="0"/>
              <w:rPr>
                <w:sz w:val="24"/>
              </w:rPr>
            </w:pPr>
            <w:r w:rsidRPr="00883399">
              <w:rPr>
                <w:sz w:val="24"/>
              </w:rPr>
              <w:t>where:</w:t>
            </w:r>
          </w:p>
          <w:p w14:paraId="4FFA770F" w14:textId="77777777" w:rsidR="00872C03" w:rsidRPr="00883399" w:rsidRDefault="00872C03" w:rsidP="0031057E">
            <w:pPr>
              <w:pStyle w:val="Definition0"/>
              <w:spacing w:before="60" w:after="60"/>
              <w:ind w:left="0"/>
              <w:rPr>
                <w:sz w:val="24"/>
              </w:rPr>
            </w:pPr>
            <w:r w:rsidRPr="00883399">
              <w:rPr>
                <w:b/>
                <w:i/>
                <w:sz w:val="24"/>
              </w:rPr>
              <w:t>E</w:t>
            </w:r>
            <w:r w:rsidRPr="00883399">
              <w:rPr>
                <w:b/>
                <w:i/>
                <w:sz w:val="18"/>
                <w:szCs w:val="16"/>
                <w:vertAlign w:val="subscript"/>
              </w:rPr>
              <w:t>ij</w:t>
            </w:r>
            <w:r w:rsidRPr="00883399">
              <w:rPr>
                <w:b/>
                <w:i/>
                <w:sz w:val="24"/>
              </w:rPr>
              <w:t xml:space="preserve"> </w:t>
            </w:r>
            <w:r w:rsidRPr="00883399">
              <w:rPr>
                <w:sz w:val="24"/>
              </w:rPr>
              <w:t>is the emissions of carbon dioxide (</w:t>
            </w:r>
            <w:r w:rsidRPr="00883399">
              <w:rPr>
                <w:b/>
                <w:i/>
                <w:sz w:val="24"/>
              </w:rPr>
              <w:t>j</w:t>
            </w:r>
            <w:r w:rsidRPr="00883399">
              <w:rPr>
                <w:sz w:val="24"/>
              </w:rPr>
              <w:t>) from a pure carbonate (</w:t>
            </w:r>
            <w:r w:rsidRPr="00883399">
              <w:rPr>
                <w:b/>
                <w:i/>
                <w:sz w:val="24"/>
              </w:rPr>
              <w:t>i</w:t>
            </w:r>
            <w:r w:rsidRPr="00883399">
              <w:rPr>
                <w:sz w:val="24"/>
              </w:rPr>
              <w:t xml:space="preserve">) consumed in the industrial process during the year measured in </w:t>
            </w:r>
            <w:r w:rsidRPr="00883399">
              <w:rPr>
                <w:sz w:val="24"/>
                <w:szCs w:val="22"/>
              </w:rPr>
              <w:t>CO</w:t>
            </w:r>
            <w:r w:rsidRPr="00883399">
              <w:rPr>
                <w:rStyle w:val="Subscript"/>
                <w:sz w:val="22"/>
                <w:szCs w:val="22"/>
              </w:rPr>
              <w:t>2</w:t>
            </w:r>
            <w:r w:rsidRPr="00883399">
              <w:rPr>
                <w:sz w:val="24"/>
                <w:szCs w:val="22"/>
              </w:rPr>
              <w:noBreakHyphen/>
              <w:t>e</w:t>
            </w:r>
            <w:r w:rsidRPr="00883399">
              <w:rPr>
                <w:sz w:val="24"/>
              </w:rPr>
              <w:t xml:space="preserve"> tonnes.</w:t>
            </w:r>
          </w:p>
        </w:tc>
      </w:tr>
      <w:tr w:rsidR="00872C03" w:rsidRPr="00883399" w14:paraId="5EFEDA67" w14:textId="77777777" w:rsidTr="0031057E">
        <w:trPr>
          <w:cantSplit/>
        </w:trPr>
        <w:tc>
          <w:tcPr>
            <w:tcW w:w="798" w:type="dxa"/>
          </w:tcPr>
          <w:p w14:paraId="2D3F3BE0" w14:textId="77777777" w:rsidR="00872C03" w:rsidRPr="00883399" w:rsidRDefault="00872C03" w:rsidP="0031057E">
            <w:pPr>
              <w:spacing w:before="60" w:after="60"/>
              <w:rPr>
                <w:i/>
              </w:rPr>
            </w:pPr>
          </w:p>
        </w:tc>
        <w:tc>
          <w:tcPr>
            <w:tcW w:w="6726" w:type="dxa"/>
          </w:tcPr>
          <w:p w14:paraId="6DE8B8DE" w14:textId="77777777" w:rsidR="00872C03" w:rsidRPr="00883399" w:rsidRDefault="00872C03" w:rsidP="0031057E">
            <w:pPr>
              <w:pStyle w:val="Definition0"/>
              <w:spacing w:before="60" w:after="60"/>
              <w:ind w:left="0"/>
              <w:rPr>
                <w:sz w:val="24"/>
              </w:rPr>
            </w:pPr>
            <w:r w:rsidRPr="00883399">
              <w:rPr>
                <w:b/>
                <w:i/>
                <w:sz w:val="24"/>
              </w:rPr>
              <w:t>EF</w:t>
            </w:r>
            <w:r w:rsidRPr="00883399">
              <w:rPr>
                <w:rStyle w:val="Subscript"/>
                <w:b/>
                <w:i/>
                <w:sz w:val="22"/>
              </w:rPr>
              <w:t>ij</w:t>
            </w:r>
            <w:r w:rsidRPr="00883399">
              <w:rPr>
                <w:sz w:val="24"/>
              </w:rPr>
              <w:t xml:space="preserve"> is the carbon dioxide (</w:t>
            </w:r>
            <w:r w:rsidRPr="00883399">
              <w:rPr>
                <w:b/>
                <w:i/>
                <w:sz w:val="24"/>
              </w:rPr>
              <w:t>j</w:t>
            </w:r>
            <w:r w:rsidRPr="00883399">
              <w:rPr>
                <w:sz w:val="24"/>
              </w:rPr>
              <w:t>) emission factor for the pure carbonate (</w:t>
            </w:r>
            <w:r w:rsidRPr="00883399">
              <w:rPr>
                <w:b/>
                <w:i/>
                <w:sz w:val="24"/>
              </w:rPr>
              <w:t>i</w:t>
            </w:r>
            <w:r w:rsidRPr="00883399">
              <w:rPr>
                <w:sz w:val="24"/>
              </w:rPr>
              <w:t>) in tonnes of emissions of carbon dioxide per tonne of pure carbonate, that is:</w:t>
            </w:r>
          </w:p>
          <w:p w14:paraId="14091B35" w14:textId="77777777" w:rsidR="00872C03" w:rsidRPr="00883399" w:rsidRDefault="00872C03" w:rsidP="0031057E">
            <w:pPr>
              <w:pStyle w:val="TableP1a"/>
              <w:rPr>
                <w:sz w:val="24"/>
              </w:rPr>
            </w:pPr>
            <w:r w:rsidRPr="00883399">
              <w:rPr>
                <w:sz w:val="24"/>
              </w:rPr>
              <w:tab/>
              <w:t>(a)</w:t>
            </w:r>
            <w:r w:rsidRPr="00883399">
              <w:rPr>
                <w:sz w:val="24"/>
              </w:rPr>
              <w:tab/>
              <w:t>for calcium carbonate—0.440;</w:t>
            </w:r>
          </w:p>
          <w:p w14:paraId="3C656BCA" w14:textId="77777777" w:rsidR="00872C03" w:rsidRPr="00883399" w:rsidRDefault="00872C03" w:rsidP="0031057E">
            <w:pPr>
              <w:pStyle w:val="TableP1a"/>
              <w:rPr>
                <w:sz w:val="24"/>
              </w:rPr>
            </w:pPr>
            <w:r w:rsidRPr="00883399">
              <w:rPr>
                <w:sz w:val="24"/>
              </w:rPr>
              <w:tab/>
              <w:t>(b)</w:t>
            </w:r>
            <w:r w:rsidRPr="00883399">
              <w:rPr>
                <w:sz w:val="24"/>
              </w:rPr>
              <w:tab/>
              <w:t>for magnesium carbonate—0.522;</w:t>
            </w:r>
          </w:p>
          <w:p w14:paraId="19E4EC51" w14:textId="77777777" w:rsidR="00872C03" w:rsidRPr="00883399" w:rsidRDefault="00872C03" w:rsidP="0031057E">
            <w:pPr>
              <w:pStyle w:val="TableP1a"/>
              <w:rPr>
                <w:sz w:val="24"/>
              </w:rPr>
            </w:pPr>
            <w:r w:rsidRPr="00883399">
              <w:rPr>
                <w:sz w:val="24"/>
              </w:rPr>
              <w:tab/>
              <w:t>(c)</w:t>
            </w:r>
            <w:r w:rsidRPr="00883399">
              <w:rPr>
                <w:sz w:val="24"/>
              </w:rPr>
              <w:tab/>
              <w:t>for dolomite—0.477;</w:t>
            </w:r>
          </w:p>
          <w:p w14:paraId="7E4AA149" w14:textId="77777777" w:rsidR="00872C03" w:rsidRPr="00883399" w:rsidRDefault="00872C03" w:rsidP="0031057E">
            <w:pPr>
              <w:pStyle w:val="TableP1a"/>
              <w:rPr>
                <w:sz w:val="24"/>
              </w:rPr>
            </w:pPr>
            <w:r w:rsidRPr="00883399">
              <w:rPr>
                <w:sz w:val="24"/>
              </w:rPr>
              <w:tab/>
              <w:t>(d)</w:t>
            </w:r>
            <w:r w:rsidRPr="00883399">
              <w:rPr>
                <w:sz w:val="24"/>
              </w:rPr>
              <w:tab/>
              <w:t>for any other pure carbonate—the factor for the carbonate in accordance with Chapter 2 of Volume 3 of the 2006 IPCC Guidelines.</w:t>
            </w:r>
          </w:p>
          <w:p w14:paraId="101A60C3" w14:textId="77777777" w:rsidR="00872C03" w:rsidRPr="00883399" w:rsidRDefault="00872C03" w:rsidP="0031057E">
            <w:pPr>
              <w:pStyle w:val="Definition0"/>
              <w:spacing w:before="60" w:after="60"/>
              <w:ind w:left="0"/>
              <w:rPr>
                <w:sz w:val="24"/>
              </w:rPr>
            </w:pPr>
            <w:r w:rsidRPr="00883399">
              <w:rPr>
                <w:b/>
                <w:i/>
                <w:sz w:val="24"/>
              </w:rPr>
              <w:t>Q</w:t>
            </w:r>
            <w:r w:rsidRPr="00883399">
              <w:rPr>
                <w:rStyle w:val="Subscript"/>
                <w:b/>
                <w:i/>
                <w:sz w:val="22"/>
              </w:rPr>
              <w:t>i</w:t>
            </w:r>
            <w:r w:rsidRPr="00883399">
              <w:rPr>
                <w:sz w:val="24"/>
              </w:rPr>
              <w:t xml:space="preserve"> is the quantity of the pure carbonate (</w:t>
            </w:r>
            <w:r w:rsidRPr="00883399">
              <w:rPr>
                <w:b/>
                <w:i/>
                <w:sz w:val="24"/>
              </w:rPr>
              <w:t>i</w:t>
            </w:r>
            <w:r w:rsidRPr="00883399">
              <w:rPr>
                <w:sz w:val="24"/>
              </w:rPr>
              <w:t>) entering the industrial process during the year measured in tonnes and estimated under Division 4.2.5.</w:t>
            </w:r>
          </w:p>
        </w:tc>
      </w:tr>
      <w:tr w:rsidR="00872C03" w:rsidRPr="00883399" w14:paraId="0D87C41E" w14:textId="77777777" w:rsidTr="0031057E">
        <w:trPr>
          <w:cantSplit/>
        </w:trPr>
        <w:tc>
          <w:tcPr>
            <w:tcW w:w="798" w:type="dxa"/>
          </w:tcPr>
          <w:p w14:paraId="720D78C8" w14:textId="77777777" w:rsidR="00872C03" w:rsidRPr="00883399" w:rsidRDefault="00872C03" w:rsidP="0031057E">
            <w:pPr>
              <w:spacing w:before="60" w:after="60"/>
              <w:rPr>
                <w:i/>
              </w:rPr>
            </w:pPr>
          </w:p>
        </w:tc>
        <w:tc>
          <w:tcPr>
            <w:tcW w:w="6726" w:type="dxa"/>
          </w:tcPr>
          <w:p w14:paraId="09DF88EB" w14:textId="77777777" w:rsidR="00872C03" w:rsidRPr="00883399" w:rsidRDefault="00872C03" w:rsidP="0031057E">
            <w:pPr>
              <w:pStyle w:val="Definition0"/>
              <w:spacing w:before="60" w:after="60"/>
              <w:ind w:left="0"/>
              <w:rPr>
                <w:sz w:val="24"/>
              </w:rPr>
            </w:pPr>
            <w:r w:rsidRPr="00883399">
              <w:rPr>
                <w:b/>
                <w:i/>
                <w:sz w:val="24"/>
              </w:rPr>
              <w:t>F</w:t>
            </w:r>
            <w:r w:rsidRPr="00883399">
              <w:rPr>
                <w:rStyle w:val="Subscript"/>
                <w:b/>
                <w:i/>
                <w:sz w:val="22"/>
              </w:rPr>
              <w:t>cal</w:t>
            </w:r>
            <w:r w:rsidRPr="00883399">
              <w:rPr>
                <w:sz w:val="24"/>
              </w:rPr>
              <w:t xml:space="preserve"> is: </w:t>
            </w:r>
          </w:p>
          <w:p w14:paraId="5F946760" w14:textId="77777777" w:rsidR="00872C03" w:rsidRPr="00883399" w:rsidRDefault="00872C03" w:rsidP="0031057E">
            <w:pPr>
              <w:pStyle w:val="TableP1a"/>
              <w:rPr>
                <w:sz w:val="24"/>
              </w:rPr>
            </w:pPr>
            <w:r w:rsidRPr="00883399">
              <w:rPr>
                <w:sz w:val="24"/>
              </w:rPr>
              <w:tab/>
              <w:t>(a)</w:t>
            </w:r>
            <w:r w:rsidRPr="00883399">
              <w:rPr>
                <w:sz w:val="24"/>
              </w:rPr>
              <w:tab/>
              <w:t>the fraction of the pure carbonate consumed in the industrial process during the year; or</w:t>
            </w:r>
          </w:p>
          <w:p w14:paraId="5B4EBD11" w14:textId="77777777" w:rsidR="00872C03" w:rsidRPr="00883399" w:rsidRDefault="00872C03" w:rsidP="0031057E">
            <w:pPr>
              <w:pStyle w:val="TableP1a"/>
              <w:rPr>
                <w:sz w:val="24"/>
              </w:rPr>
            </w:pPr>
            <w:r w:rsidRPr="00883399">
              <w:rPr>
                <w:sz w:val="24"/>
              </w:rPr>
              <w:tab/>
              <w:t>(b)</w:t>
            </w:r>
            <w:r w:rsidRPr="00883399">
              <w:rPr>
                <w:sz w:val="24"/>
              </w:rPr>
              <w:tab/>
              <w:t>if the information in paragraph (a) is not available—the value 1.</w:t>
            </w:r>
          </w:p>
          <w:p w14:paraId="76B8244B" w14:textId="77777777" w:rsidR="00872C03" w:rsidRPr="00883399" w:rsidRDefault="00872C03" w:rsidP="0031057E">
            <w:pPr>
              <w:pStyle w:val="Definition0"/>
              <w:spacing w:before="60" w:after="60"/>
              <w:ind w:left="0"/>
              <w:rPr>
                <w:sz w:val="24"/>
              </w:rPr>
            </w:pPr>
            <w:r w:rsidRPr="00883399">
              <w:rPr>
                <w:b/>
                <w:i/>
                <w:sz w:val="24"/>
              </w:rPr>
              <w:t>γ</w:t>
            </w:r>
            <w:r w:rsidRPr="00883399">
              <w:rPr>
                <w:sz w:val="24"/>
              </w:rPr>
              <w:t xml:space="preserve"> is the factor 1.861 × 10</w:t>
            </w:r>
            <w:r w:rsidRPr="00883399">
              <w:rPr>
                <w:sz w:val="24"/>
                <w:vertAlign w:val="superscript"/>
              </w:rPr>
              <w:noBreakHyphen/>
              <w:t xml:space="preserve">3 </w:t>
            </w:r>
            <w:r w:rsidRPr="00883399">
              <w:rPr>
                <w:sz w:val="24"/>
              </w:rPr>
              <w:t>for converting a quantity of carbon dioxide from cubic metres at standard conditions of pressure and temperature to CO</w:t>
            </w:r>
            <w:r w:rsidRPr="00883399">
              <w:rPr>
                <w:sz w:val="24"/>
                <w:vertAlign w:val="subscript"/>
              </w:rPr>
              <w:t>2</w:t>
            </w:r>
            <w:r w:rsidRPr="00883399">
              <w:rPr>
                <w:sz w:val="24"/>
              </w:rPr>
              <w:noBreakHyphen/>
              <w:t>e tonnes.</w:t>
            </w:r>
          </w:p>
          <w:p w14:paraId="11553966" w14:textId="77777777" w:rsidR="00872C03" w:rsidRPr="00883399" w:rsidRDefault="00872C03" w:rsidP="0031057E">
            <w:pPr>
              <w:pStyle w:val="Definition0"/>
              <w:spacing w:before="60" w:after="60"/>
              <w:ind w:left="0"/>
              <w:rPr>
                <w:sz w:val="24"/>
                <w:szCs w:val="22"/>
              </w:rPr>
            </w:pPr>
            <w:r w:rsidRPr="00883399">
              <w:rPr>
                <w:b/>
                <w:i/>
                <w:sz w:val="24"/>
                <w:szCs w:val="22"/>
              </w:rPr>
              <w:t>RCCS</w:t>
            </w:r>
            <w:r w:rsidRPr="00883399">
              <w:rPr>
                <w:b/>
                <w:i/>
                <w:sz w:val="24"/>
                <w:szCs w:val="22"/>
                <w:vertAlign w:val="subscript"/>
              </w:rPr>
              <w:t>CO</w:t>
            </w:r>
            <w:r w:rsidRPr="00883399">
              <w:rPr>
                <w:b/>
                <w:i/>
                <w:position w:val="-4"/>
                <w:sz w:val="24"/>
                <w:szCs w:val="22"/>
                <w:vertAlign w:val="subscript"/>
              </w:rPr>
              <w:t>2</w:t>
            </w:r>
            <w:r w:rsidRPr="00883399">
              <w:rPr>
                <w:sz w:val="24"/>
                <w:szCs w:val="22"/>
                <w:vertAlign w:val="subscript"/>
              </w:rPr>
              <w:t xml:space="preserve"> </w:t>
            </w:r>
            <w:r w:rsidRPr="00883399">
              <w:rPr>
                <w:sz w:val="24"/>
                <w:szCs w:val="22"/>
              </w:rPr>
              <w:t>is carbon dioxide captured for permanent storage measured in cubic metres in accordance with Division 1.2.3.</w:t>
            </w:r>
          </w:p>
        </w:tc>
      </w:tr>
      <w:tr w:rsidR="00872C03" w:rsidRPr="00883399" w14:paraId="018BA58C" w14:textId="77777777" w:rsidTr="0031057E">
        <w:trPr>
          <w:cantSplit/>
        </w:trPr>
        <w:tc>
          <w:tcPr>
            <w:tcW w:w="798" w:type="dxa"/>
          </w:tcPr>
          <w:p w14:paraId="2C7B6002" w14:textId="77777777" w:rsidR="00872C03" w:rsidRPr="00883399" w:rsidRDefault="00872C03" w:rsidP="0031057E">
            <w:pPr>
              <w:pStyle w:val="Tabletext0"/>
              <w:rPr>
                <w:sz w:val="24"/>
                <w:szCs w:val="22"/>
              </w:rPr>
            </w:pPr>
            <w:r w:rsidRPr="00883399">
              <w:rPr>
                <w:sz w:val="24"/>
                <w:szCs w:val="22"/>
              </w:rPr>
              <w:t>Step 2</w:t>
            </w:r>
          </w:p>
        </w:tc>
        <w:tc>
          <w:tcPr>
            <w:tcW w:w="6726" w:type="dxa"/>
          </w:tcPr>
          <w:p w14:paraId="141EED8B" w14:textId="77777777" w:rsidR="00872C03" w:rsidRPr="00883399" w:rsidRDefault="00872C03" w:rsidP="0031057E">
            <w:pPr>
              <w:pStyle w:val="Tabletext0"/>
              <w:rPr>
                <w:sz w:val="24"/>
                <w:szCs w:val="22"/>
              </w:rPr>
            </w:pPr>
            <w:r w:rsidRPr="00883399">
              <w:rPr>
                <w:sz w:val="24"/>
                <w:szCs w:val="22"/>
              </w:rPr>
              <w:t>Add together the amount of emissions of carbon dioxide for each pure carbonate consumed in the industrial process during the year.</w:t>
            </w:r>
          </w:p>
        </w:tc>
      </w:tr>
    </w:tbl>
    <w:p w14:paraId="655A9A3D" w14:textId="77777777" w:rsidR="00872C03" w:rsidRPr="00883399" w:rsidRDefault="00872C03" w:rsidP="00872C03">
      <w:pPr>
        <w:pStyle w:val="subsection"/>
        <w:rPr>
          <w:sz w:val="24"/>
        </w:rPr>
      </w:pPr>
      <w:r w:rsidRPr="00883399">
        <w:rPr>
          <w:sz w:val="24"/>
        </w:rPr>
        <w:tab/>
        <w:t>(2)</w:t>
      </w:r>
      <w:r w:rsidRPr="00883399">
        <w:rPr>
          <w:sz w:val="24"/>
        </w:rPr>
        <w:tab/>
        <w:t>Method 3 requires each carbonate to be sampled and analysed in accordance with sections 4.24 and 4.25.</w:t>
      </w:r>
    </w:p>
    <w:p w14:paraId="5FDC00B5" w14:textId="349515EC" w:rsidR="00872C03" w:rsidRPr="00883399" w:rsidRDefault="00872C03" w:rsidP="00872C03">
      <w:pPr>
        <w:pStyle w:val="ActHead5"/>
        <w:rPr>
          <w:sz w:val="28"/>
        </w:rPr>
      </w:pPr>
      <w:bookmarkStart w:id="853" w:name="_Toc423517024"/>
      <w:bookmarkStart w:id="854" w:name="_Toc495652956"/>
      <w:r w:rsidRPr="00883399">
        <w:rPr>
          <w:rStyle w:val="CharSectno"/>
          <w:sz w:val="28"/>
        </w:rPr>
        <w:t>4.23A</w:t>
      </w:r>
      <w:r w:rsidRPr="00883399">
        <w:rPr>
          <w:sz w:val="28"/>
        </w:rPr>
        <w:t xml:space="preserve">  Method 3A—product other than cement clinker, lime or soda ash for use of carbonates in clay materials</w:t>
      </w:r>
      <w:bookmarkEnd w:id="853"/>
      <w:bookmarkEnd w:id="854"/>
    </w:p>
    <w:p w14:paraId="1614104D" w14:textId="77777777" w:rsidR="00872C03" w:rsidRPr="00883399" w:rsidRDefault="00872C03" w:rsidP="00872C03">
      <w:pPr>
        <w:pStyle w:val="subsection"/>
        <w:rPr>
          <w:sz w:val="24"/>
        </w:rPr>
      </w:pPr>
      <w:r w:rsidRPr="00883399">
        <w:rPr>
          <w:sz w:val="24"/>
        </w:rPr>
        <w:tab/>
      </w:r>
      <w:r w:rsidRPr="00883399">
        <w:rPr>
          <w:sz w:val="24"/>
        </w:rPr>
        <w:tab/>
        <w:t>Method 3A is:</w:t>
      </w:r>
    </w:p>
    <w:tbl>
      <w:tblPr>
        <w:tblW w:w="7665" w:type="dxa"/>
        <w:tblInd w:w="948" w:type="dxa"/>
        <w:tblLayout w:type="fixed"/>
        <w:tblLook w:val="0000" w:firstRow="0" w:lastRow="0" w:firstColumn="0" w:lastColumn="0" w:noHBand="0" w:noVBand="0"/>
      </w:tblPr>
      <w:tblGrid>
        <w:gridCol w:w="812"/>
        <w:gridCol w:w="6853"/>
      </w:tblGrid>
      <w:tr w:rsidR="00872C03" w:rsidRPr="00883399" w14:paraId="476E2499" w14:textId="77777777" w:rsidTr="0031057E">
        <w:trPr>
          <w:cantSplit/>
        </w:trPr>
        <w:tc>
          <w:tcPr>
            <w:tcW w:w="812" w:type="dxa"/>
          </w:tcPr>
          <w:p w14:paraId="1AC206B5" w14:textId="77777777" w:rsidR="00872C03" w:rsidRPr="00883399" w:rsidRDefault="00872C03" w:rsidP="0031057E">
            <w:pPr>
              <w:pStyle w:val="Tabletext0"/>
              <w:rPr>
                <w:sz w:val="24"/>
                <w:szCs w:val="22"/>
              </w:rPr>
            </w:pPr>
            <w:r w:rsidRPr="00883399">
              <w:rPr>
                <w:sz w:val="24"/>
                <w:szCs w:val="22"/>
              </w:rPr>
              <w:t>Step 1</w:t>
            </w:r>
          </w:p>
        </w:tc>
        <w:tc>
          <w:tcPr>
            <w:tcW w:w="6853" w:type="dxa"/>
          </w:tcPr>
          <w:p w14:paraId="20881217" w14:textId="77777777" w:rsidR="00872C03" w:rsidRPr="00883399" w:rsidRDefault="00872C03" w:rsidP="0031057E">
            <w:pPr>
              <w:pStyle w:val="Tabletext0"/>
              <w:rPr>
                <w:sz w:val="24"/>
                <w:szCs w:val="22"/>
              </w:rPr>
            </w:pPr>
            <w:r w:rsidRPr="00883399">
              <w:rPr>
                <w:sz w:val="24"/>
                <w:szCs w:val="22"/>
              </w:rPr>
              <w:t>Measure the amount of emissions of carbon dioxide released from each clay material consumed in the industrial process during the reporting year, measured in CO</w:t>
            </w:r>
            <w:r w:rsidRPr="00883399">
              <w:rPr>
                <w:sz w:val="24"/>
              </w:rPr>
              <w:t>2</w:t>
            </w:r>
            <w:r w:rsidRPr="00883399">
              <w:rPr>
                <w:sz w:val="24"/>
                <w:szCs w:val="22"/>
              </w:rPr>
              <w:noBreakHyphen/>
              <w:t>e tonnes, using the following formula:</w:t>
            </w:r>
          </w:p>
          <w:p w14:paraId="1F2AC902" w14:textId="77777777" w:rsidR="00872C03" w:rsidRPr="00883399" w:rsidRDefault="00872C03" w:rsidP="0031057E">
            <w:pPr>
              <w:pStyle w:val="TableText"/>
              <w:spacing w:before="180" w:after="120"/>
              <w:rPr>
                <w:sz w:val="24"/>
                <w:szCs w:val="22"/>
              </w:rPr>
            </w:pPr>
            <w:r w:rsidRPr="00883399">
              <w:rPr>
                <w:position w:val="-10"/>
                <w:sz w:val="24"/>
                <w:szCs w:val="22"/>
              </w:rPr>
              <w:object w:dxaOrig="3540" w:dyaOrig="320" w14:anchorId="2BA75096">
                <v:shape id="_x0000_i1073" type="#_x0000_t75" style="width:177.75pt;height:18pt" o:ole="">
                  <v:imagedata r:id="rId195" o:title=""/>
                </v:shape>
                <o:OLEObject Type="Embed" ProgID="Equation.DSMT4" ShapeID="_x0000_i1073" DrawAspect="Content" ObjectID="_1594105964" r:id="rId196"/>
              </w:object>
            </w:r>
          </w:p>
        </w:tc>
      </w:tr>
      <w:tr w:rsidR="00872C03" w:rsidRPr="00883399" w14:paraId="20C64B0B" w14:textId="77777777" w:rsidTr="0031057E">
        <w:trPr>
          <w:cantSplit/>
          <w:trHeight w:val="2355"/>
        </w:trPr>
        <w:tc>
          <w:tcPr>
            <w:tcW w:w="812" w:type="dxa"/>
          </w:tcPr>
          <w:p w14:paraId="677ED75F" w14:textId="77777777" w:rsidR="00872C03" w:rsidRPr="00883399" w:rsidRDefault="00872C03" w:rsidP="0031057E">
            <w:pPr>
              <w:pStyle w:val="TableText"/>
              <w:rPr>
                <w:i/>
                <w:sz w:val="24"/>
                <w:szCs w:val="22"/>
              </w:rPr>
            </w:pPr>
          </w:p>
        </w:tc>
        <w:tc>
          <w:tcPr>
            <w:tcW w:w="6853" w:type="dxa"/>
          </w:tcPr>
          <w:p w14:paraId="081956E5" w14:textId="77777777" w:rsidR="00872C03" w:rsidRPr="00883399" w:rsidRDefault="00872C03" w:rsidP="0031057E">
            <w:pPr>
              <w:pStyle w:val="subsection2"/>
              <w:ind w:left="34"/>
              <w:rPr>
                <w:sz w:val="24"/>
              </w:rPr>
            </w:pPr>
            <w:r w:rsidRPr="00883399">
              <w:rPr>
                <w:sz w:val="24"/>
              </w:rPr>
              <w:t>where:</w:t>
            </w:r>
          </w:p>
          <w:p w14:paraId="4F273A93" w14:textId="77777777" w:rsidR="00872C03" w:rsidRPr="00883399" w:rsidRDefault="00872C03" w:rsidP="0031057E">
            <w:pPr>
              <w:pStyle w:val="Definition0"/>
              <w:spacing w:before="60" w:after="60"/>
              <w:ind w:left="0"/>
              <w:rPr>
                <w:sz w:val="24"/>
                <w:szCs w:val="22"/>
              </w:rPr>
            </w:pPr>
            <w:r w:rsidRPr="00883399">
              <w:rPr>
                <w:b/>
                <w:i/>
                <w:sz w:val="24"/>
                <w:szCs w:val="22"/>
              </w:rPr>
              <w:t>E</w:t>
            </w:r>
            <w:r w:rsidRPr="00883399">
              <w:rPr>
                <w:sz w:val="24"/>
                <w:szCs w:val="22"/>
              </w:rPr>
              <w:t xml:space="preserve"> is the emissions of carbon dioxide released from the clay material consumed in the </w:t>
            </w:r>
            <w:r w:rsidRPr="00883399">
              <w:rPr>
                <w:sz w:val="24"/>
              </w:rPr>
              <w:t>industrial</w:t>
            </w:r>
            <w:r w:rsidRPr="00883399">
              <w:rPr>
                <w:sz w:val="24"/>
                <w:szCs w:val="22"/>
              </w:rPr>
              <w:t xml:space="preserve"> process during the reporting year, measured in CO</w:t>
            </w:r>
            <w:r w:rsidRPr="00883399">
              <w:rPr>
                <w:rStyle w:val="Subscript"/>
                <w:sz w:val="24"/>
                <w:szCs w:val="22"/>
              </w:rPr>
              <w:t>2</w:t>
            </w:r>
            <w:r w:rsidRPr="00883399">
              <w:rPr>
                <w:sz w:val="24"/>
                <w:szCs w:val="22"/>
              </w:rPr>
              <w:noBreakHyphen/>
              <w:t>e tonnes.</w:t>
            </w:r>
          </w:p>
          <w:p w14:paraId="2EFEF9C3" w14:textId="77777777" w:rsidR="00872C03" w:rsidRPr="00883399" w:rsidRDefault="00872C03" w:rsidP="0031057E">
            <w:pPr>
              <w:pStyle w:val="Definition0"/>
              <w:spacing w:before="60" w:after="60"/>
              <w:ind w:left="0"/>
              <w:rPr>
                <w:sz w:val="24"/>
                <w:szCs w:val="22"/>
              </w:rPr>
            </w:pPr>
            <w:r w:rsidRPr="00883399">
              <w:rPr>
                <w:b/>
                <w:i/>
                <w:sz w:val="24"/>
                <w:szCs w:val="22"/>
              </w:rPr>
              <w:t>Q</w:t>
            </w:r>
            <w:r w:rsidRPr="00883399">
              <w:rPr>
                <w:rStyle w:val="Subscript"/>
                <w:b/>
                <w:i/>
                <w:sz w:val="24"/>
                <w:szCs w:val="22"/>
              </w:rPr>
              <w:t xml:space="preserve"> </w:t>
            </w:r>
            <w:r w:rsidRPr="00883399">
              <w:rPr>
                <w:sz w:val="24"/>
                <w:szCs w:val="22"/>
              </w:rPr>
              <w:t xml:space="preserve">is the </w:t>
            </w:r>
            <w:r w:rsidRPr="00883399">
              <w:rPr>
                <w:sz w:val="24"/>
              </w:rPr>
              <w:t>quantity</w:t>
            </w:r>
            <w:r w:rsidRPr="00883399">
              <w:rPr>
                <w:sz w:val="24"/>
                <w:szCs w:val="22"/>
              </w:rPr>
              <w:t xml:space="preserve"> of clay material consumed in the industrial process during the reporting year, measured in tonnes and estimated under Division 4.2.5.</w:t>
            </w:r>
          </w:p>
          <w:p w14:paraId="06C077F3" w14:textId="77777777" w:rsidR="00872C03" w:rsidRPr="00883399" w:rsidRDefault="00872C03" w:rsidP="0031057E">
            <w:pPr>
              <w:pStyle w:val="Definition0"/>
              <w:spacing w:before="60" w:after="60"/>
              <w:ind w:left="0"/>
              <w:rPr>
                <w:b/>
                <w:i/>
                <w:sz w:val="24"/>
                <w:szCs w:val="22"/>
              </w:rPr>
            </w:pPr>
            <w:r w:rsidRPr="00883399">
              <w:rPr>
                <w:b/>
                <w:i/>
                <w:sz w:val="24"/>
                <w:szCs w:val="22"/>
              </w:rPr>
              <w:t>ICC</w:t>
            </w:r>
            <w:r w:rsidRPr="00883399">
              <w:rPr>
                <w:rStyle w:val="Subscript"/>
                <w:b/>
                <w:i/>
                <w:sz w:val="24"/>
                <w:szCs w:val="22"/>
              </w:rPr>
              <w:t xml:space="preserve"> </w:t>
            </w:r>
            <w:r w:rsidRPr="00883399">
              <w:rPr>
                <w:sz w:val="24"/>
                <w:szCs w:val="22"/>
              </w:rPr>
              <w:t>is the inorganic carbon content factor of the clay material.</w:t>
            </w:r>
          </w:p>
        </w:tc>
      </w:tr>
      <w:tr w:rsidR="00872C03" w:rsidRPr="00883399" w14:paraId="03A4367C" w14:textId="77777777" w:rsidTr="0031057E">
        <w:trPr>
          <w:cantSplit/>
          <w:trHeight w:val="1270"/>
        </w:trPr>
        <w:tc>
          <w:tcPr>
            <w:tcW w:w="812" w:type="dxa"/>
          </w:tcPr>
          <w:p w14:paraId="7239AD73" w14:textId="77777777" w:rsidR="00872C03" w:rsidRPr="00883399" w:rsidRDefault="00872C03" w:rsidP="0031057E">
            <w:pPr>
              <w:pStyle w:val="TableText"/>
              <w:rPr>
                <w:i/>
                <w:sz w:val="24"/>
                <w:szCs w:val="22"/>
              </w:rPr>
            </w:pPr>
          </w:p>
        </w:tc>
        <w:tc>
          <w:tcPr>
            <w:tcW w:w="6853" w:type="dxa"/>
          </w:tcPr>
          <w:p w14:paraId="29C0076B" w14:textId="77777777" w:rsidR="00872C03" w:rsidRPr="00883399" w:rsidRDefault="00872C03" w:rsidP="0031057E">
            <w:pPr>
              <w:pStyle w:val="Definition0"/>
              <w:spacing w:before="60" w:after="60"/>
              <w:ind w:left="0"/>
              <w:rPr>
                <w:sz w:val="24"/>
                <w:szCs w:val="22"/>
                <w:vertAlign w:val="superscript"/>
              </w:rPr>
            </w:pPr>
            <w:r w:rsidRPr="00883399">
              <w:rPr>
                <w:b/>
                <w:i/>
                <w:sz w:val="24"/>
                <w:szCs w:val="22"/>
              </w:rPr>
              <w:t>γ</w:t>
            </w:r>
            <w:r w:rsidRPr="00883399">
              <w:rPr>
                <w:sz w:val="24"/>
                <w:szCs w:val="22"/>
              </w:rPr>
              <w:t xml:space="preserve"> is the factor 1.861 </w:t>
            </w:r>
            <w:r w:rsidRPr="00883399">
              <w:rPr>
                <w:sz w:val="24"/>
                <w:szCs w:val="22"/>
              </w:rPr>
              <w:sym w:font="Wingdings 2" w:char="F0CD"/>
            </w:r>
            <w:r w:rsidRPr="00883399">
              <w:rPr>
                <w:sz w:val="24"/>
                <w:szCs w:val="22"/>
              </w:rPr>
              <w:t xml:space="preserve"> 10</w:t>
            </w:r>
            <w:r w:rsidRPr="00883399">
              <w:rPr>
                <w:sz w:val="24"/>
                <w:szCs w:val="22"/>
                <w:vertAlign w:val="superscript"/>
              </w:rPr>
              <w:noBreakHyphen/>
              <w:t xml:space="preserve">3 </w:t>
            </w:r>
            <w:r w:rsidRPr="00883399">
              <w:rPr>
                <w:sz w:val="24"/>
                <w:szCs w:val="22"/>
              </w:rPr>
              <w:t>for converting a quantity of carbon dioxide from cubic metres at standard conditions of pressure and temperature to CO</w:t>
            </w:r>
            <w:r w:rsidRPr="00883399">
              <w:rPr>
                <w:sz w:val="24"/>
                <w:szCs w:val="22"/>
                <w:vertAlign w:val="subscript"/>
              </w:rPr>
              <w:t>2</w:t>
            </w:r>
            <w:r w:rsidRPr="00883399">
              <w:rPr>
                <w:sz w:val="24"/>
                <w:szCs w:val="22"/>
              </w:rPr>
              <w:noBreakHyphen/>
              <w:t>e tonnes.</w:t>
            </w:r>
          </w:p>
          <w:p w14:paraId="46E96A6A" w14:textId="77777777" w:rsidR="00872C03" w:rsidRPr="00883399" w:rsidRDefault="00872C03" w:rsidP="0031057E">
            <w:pPr>
              <w:pStyle w:val="Definition0"/>
              <w:spacing w:before="60" w:after="60"/>
              <w:ind w:left="0"/>
              <w:rPr>
                <w:sz w:val="24"/>
                <w:szCs w:val="22"/>
              </w:rPr>
            </w:pPr>
            <w:r w:rsidRPr="00883399">
              <w:rPr>
                <w:b/>
                <w:i/>
                <w:sz w:val="24"/>
                <w:szCs w:val="22"/>
              </w:rPr>
              <w:t>RCCS</w:t>
            </w:r>
            <w:r w:rsidRPr="00883399">
              <w:rPr>
                <w:b/>
                <w:i/>
                <w:sz w:val="24"/>
                <w:szCs w:val="22"/>
                <w:vertAlign w:val="subscript"/>
              </w:rPr>
              <w:t>CO</w:t>
            </w:r>
            <w:r w:rsidRPr="00883399">
              <w:rPr>
                <w:b/>
                <w:i/>
                <w:position w:val="-4"/>
                <w:sz w:val="24"/>
                <w:szCs w:val="22"/>
                <w:vertAlign w:val="subscript"/>
              </w:rPr>
              <w:t>2</w:t>
            </w:r>
            <w:r w:rsidRPr="00883399">
              <w:rPr>
                <w:sz w:val="24"/>
                <w:szCs w:val="22"/>
              </w:rPr>
              <w:t>is carbon dioxide captured for permanent storage, measured in cubic metres in accordance with Division 1.2.3.</w:t>
            </w:r>
          </w:p>
        </w:tc>
      </w:tr>
      <w:tr w:rsidR="00872C03" w:rsidRPr="00883399" w14:paraId="6E26160C" w14:textId="77777777" w:rsidTr="0031057E">
        <w:trPr>
          <w:cantSplit/>
        </w:trPr>
        <w:tc>
          <w:tcPr>
            <w:tcW w:w="812" w:type="dxa"/>
          </w:tcPr>
          <w:p w14:paraId="4DCADB95" w14:textId="77777777" w:rsidR="00872C03" w:rsidRPr="00883399" w:rsidRDefault="00872C03" w:rsidP="0031057E">
            <w:pPr>
              <w:pStyle w:val="Tabletext0"/>
              <w:rPr>
                <w:sz w:val="24"/>
                <w:szCs w:val="22"/>
              </w:rPr>
            </w:pPr>
            <w:r w:rsidRPr="00883399">
              <w:rPr>
                <w:sz w:val="24"/>
                <w:szCs w:val="22"/>
              </w:rPr>
              <w:lastRenderedPageBreak/>
              <w:t>Step 2</w:t>
            </w:r>
          </w:p>
        </w:tc>
        <w:tc>
          <w:tcPr>
            <w:tcW w:w="6853" w:type="dxa"/>
          </w:tcPr>
          <w:p w14:paraId="7A56C73B" w14:textId="77777777" w:rsidR="00872C03" w:rsidRPr="00883399" w:rsidRDefault="00872C03" w:rsidP="0031057E">
            <w:pPr>
              <w:pStyle w:val="Tabletext0"/>
              <w:rPr>
                <w:sz w:val="24"/>
                <w:szCs w:val="22"/>
              </w:rPr>
            </w:pPr>
            <w:r w:rsidRPr="00883399">
              <w:rPr>
                <w:sz w:val="24"/>
                <w:szCs w:val="22"/>
              </w:rPr>
              <w:t>Identify the amount of emissions of carbon dioxide for each clay material consumed in the industrial process during the reporting year.</w:t>
            </w:r>
          </w:p>
        </w:tc>
      </w:tr>
      <w:tr w:rsidR="00872C03" w:rsidRPr="00883399" w14:paraId="3C88E87B" w14:textId="77777777" w:rsidTr="0031057E">
        <w:trPr>
          <w:cantSplit/>
        </w:trPr>
        <w:tc>
          <w:tcPr>
            <w:tcW w:w="812" w:type="dxa"/>
          </w:tcPr>
          <w:p w14:paraId="4628AEB0" w14:textId="77777777" w:rsidR="00872C03" w:rsidRPr="00883399" w:rsidRDefault="00872C03" w:rsidP="0031057E">
            <w:pPr>
              <w:pStyle w:val="Tabletext0"/>
              <w:rPr>
                <w:sz w:val="24"/>
                <w:szCs w:val="22"/>
              </w:rPr>
            </w:pPr>
            <w:r w:rsidRPr="00883399">
              <w:rPr>
                <w:sz w:val="24"/>
                <w:szCs w:val="22"/>
              </w:rPr>
              <w:t>Step 3</w:t>
            </w:r>
          </w:p>
        </w:tc>
        <w:tc>
          <w:tcPr>
            <w:tcW w:w="6853" w:type="dxa"/>
          </w:tcPr>
          <w:p w14:paraId="21C2782C" w14:textId="77777777" w:rsidR="00872C03" w:rsidRPr="00883399" w:rsidRDefault="00872C03" w:rsidP="0031057E">
            <w:pPr>
              <w:pStyle w:val="Tabletext0"/>
              <w:rPr>
                <w:sz w:val="24"/>
                <w:szCs w:val="22"/>
              </w:rPr>
            </w:pPr>
            <w:r w:rsidRPr="00883399">
              <w:rPr>
                <w:sz w:val="24"/>
                <w:szCs w:val="22"/>
              </w:rPr>
              <w:t>Add together each amount identified under step 2.</w:t>
            </w:r>
          </w:p>
        </w:tc>
      </w:tr>
    </w:tbl>
    <w:p w14:paraId="6B4B8EDF" w14:textId="622A1FBA" w:rsidR="00872C03" w:rsidRPr="00883399" w:rsidRDefault="00872C03" w:rsidP="00872C03">
      <w:pPr>
        <w:pStyle w:val="ActHead5"/>
        <w:rPr>
          <w:sz w:val="28"/>
        </w:rPr>
      </w:pPr>
      <w:bookmarkStart w:id="855" w:name="_Toc423517025"/>
      <w:bookmarkStart w:id="856" w:name="_Toc495652957"/>
      <w:r w:rsidRPr="00883399">
        <w:rPr>
          <w:rStyle w:val="CharSectno"/>
          <w:sz w:val="28"/>
        </w:rPr>
        <w:t>4.23B</w:t>
      </w:r>
      <w:r w:rsidRPr="00883399">
        <w:rPr>
          <w:sz w:val="28"/>
        </w:rPr>
        <w:t xml:space="preserve">  General requirements for sampling clay material</w:t>
      </w:r>
      <w:bookmarkEnd w:id="855"/>
      <w:bookmarkEnd w:id="856"/>
    </w:p>
    <w:p w14:paraId="4CB4F932" w14:textId="77777777" w:rsidR="00872C03" w:rsidRPr="00883399" w:rsidRDefault="00872C03" w:rsidP="00872C03">
      <w:pPr>
        <w:pStyle w:val="subsection"/>
        <w:rPr>
          <w:sz w:val="24"/>
        </w:rPr>
      </w:pPr>
      <w:r w:rsidRPr="00883399">
        <w:rPr>
          <w:sz w:val="24"/>
        </w:rPr>
        <w:tab/>
        <w:t>(1)</w:t>
      </w:r>
      <w:r w:rsidRPr="00883399">
        <w:rPr>
          <w:sz w:val="24"/>
        </w:rPr>
        <w:tab/>
        <w:t>A sample of clay material must:</w:t>
      </w:r>
    </w:p>
    <w:p w14:paraId="55C8DA7D" w14:textId="77777777" w:rsidR="00872C03" w:rsidRPr="00883399" w:rsidRDefault="00872C03" w:rsidP="00872C03">
      <w:pPr>
        <w:pStyle w:val="paragraph"/>
        <w:rPr>
          <w:sz w:val="24"/>
        </w:rPr>
      </w:pPr>
      <w:r w:rsidRPr="00883399">
        <w:rPr>
          <w:sz w:val="24"/>
        </w:rPr>
        <w:tab/>
        <w:t>(a)</w:t>
      </w:r>
      <w:r w:rsidRPr="00883399">
        <w:rPr>
          <w:sz w:val="24"/>
        </w:rPr>
        <w:tab/>
        <w:t>be derived from a composite of amounts of the clay material; and</w:t>
      </w:r>
    </w:p>
    <w:p w14:paraId="1572D9C2" w14:textId="77777777" w:rsidR="00872C03" w:rsidRPr="00883399" w:rsidRDefault="00872C03" w:rsidP="00872C03">
      <w:pPr>
        <w:pStyle w:val="paragraph"/>
        <w:rPr>
          <w:sz w:val="24"/>
        </w:rPr>
      </w:pPr>
      <w:r w:rsidRPr="00883399">
        <w:rPr>
          <w:sz w:val="24"/>
        </w:rPr>
        <w:tab/>
        <w:t>(b)</w:t>
      </w:r>
      <w:r w:rsidRPr="00883399">
        <w:rPr>
          <w:sz w:val="24"/>
        </w:rPr>
        <w:tab/>
        <w:t>be collected on enough occasions to produce a representative sample; and</w:t>
      </w:r>
    </w:p>
    <w:p w14:paraId="7218B3FA" w14:textId="77777777" w:rsidR="00872C03" w:rsidRPr="00883399" w:rsidRDefault="00872C03" w:rsidP="00872C03">
      <w:pPr>
        <w:pStyle w:val="paragraph"/>
        <w:rPr>
          <w:sz w:val="24"/>
        </w:rPr>
      </w:pPr>
      <w:r w:rsidRPr="00883399">
        <w:rPr>
          <w:sz w:val="24"/>
        </w:rPr>
        <w:tab/>
        <w:t>(c)</w:t>
      </w:r>
      <w:r w:rsidRPr="00883399">
        <w:rPr>
          <w:sz w:val="24"/>
        </w:rPr>
        <w:tab/>
        <w:t>be free from bias so that any estimates are neither over nor under estimates of the true value; and</w:t>
      </w:r>
    </w:p>
    <w:p w14:paraId="38BD691E" w14:textId="77777777" w:rsidR="00872C03" w:rsidRPr="00883399" w:rsidRDefault="00872C03" w:rsidP="00872C03">
      <w:pPr>
        <w:pStyle w:val="paragraph"/>
        <w:rPr>
          <w:sz w:val="24"/>
        </w:rPr>
      </w:pPr>
      <w:r w:rsidRPr="00883399">
        <w:rPr>
          <w:sz w:val="24"/>
        </w:rPr>
        <w:tab/>
        <w:t>(d)</w:t>
      </w:r>
      <w:r w:rsidRPr="00883399">
        <w:rPr>
          <w:sz w:val="24"/>
        </w:rPr>
        <w:tab/>
        <w:t>be tested for bias in accordance with an appropriate standard.</w:t>
      </w:r>
    </w:p>
    <w:p w14:paraId="557681EF" w14:textId="77777777" w:rsidR="00872C03" w:rsidRPr="00883399" w:rsidRDefault="00872C03" w:rsidP="00872C03">
      <w:pPr>
        <w:pStyle w:val="subsection"/>
        <w:rPr>
          <w:sz w:val="24"/>
        </w:rPr>
      </w:pPr>
      <w:r w:rsidRPr="00883399">
        <w:rPr>
          <w:sz w:val="24"/>
        </w:rPr>
        <w:tab/>
        <w:t>(2)</w:t>
      </w:r>
      <w:r w:rsidRPr="00883399">
        <w:rPr>
          <w:sz w:val="24"/>
        </w:rPr>
        <w:tab/>
        <w:t>The value obtained from the samples of the clay material must be used only for the delivery period or consignment of the clay material for which it was intended to be representative.</w:t>
      </w:r>
    </w:p>
    <w:p w14:paraId="3E638617" w14:textId="115A18D8" w:rsidR="00872C03" w:rsidRPr="00883399" w:rsidRDefault="00872C03" w:rsidP="00872C03">
      <w:pPr>
        <w:pStyle w:val="ActHead5"/>
        <w:rPr>
          <w:sz w:val="28"/>
        </w:rPr>
      </w:pPr>
      <w:bookmarkStart w:id="857" w:name="_Toc423517026"/>
      <w:bookmarkStart w:id="858" w:name="_Toc495652958"/>
      <w:r w:rsidRPr="00883399">
        <w:rPr>
          <w:rStyle w:val="CharSectno"/>
          <w:sz w:val="28"/>
        </w:rPr>
        <w:t>4.23C</w:t>
      </w:r>
      <w:r w:rsidRPr="00883399">
        <w:rPr>
          <w:sz w:val="28"/>
        </w:rPr>
        <w:t xml:space="preserve">  General requirements for analysing clay material</w:t>
      </w:r>
      <w:bookmarkEnd w:id="857"/>
      <w:bookmarkEnd w:id="858"/>
    </w:p>
    <w:p w14:paraId="0B1BF926" w14:textId="77777777" w:rsidR="00872C03" w:rsidRPr="00883399" w:rsidRDefault="00872C03" w:rsidP="00872C03">
      <w:pPr>
        <w:pStyle w:val="subsection"/>
        <w:rPr>
          <w:sz w:val="24"/>
        </w:rPr>
      </w:pPr>
      <w:r w:rsidRPr="00883399">
        <w:rPr>
          <w:sz w:val="24"/>
        </w:rPr>
        <w:tab/>
        <w:t>(1)</w:t>
      </w:r>
      <w:r w:rsidRPr="00883399">
        <w:rPr>
          <w:sz w:val="24"/>
        </w:rPr>
        <w:tab/>
        <w:t>Analysis of samples of the clay material must be performed in accordance with:</w:t>
      </w:r>
    </w:p>
    <w:p w14:paraId="4B31E3A5" w14:textId="77777777" w:rsidR="00872C03" w:rsidRPr="00883399" w:rsidRDefault="00872C03" w:rsidP="00872C03">
      <w:pPr>
        <w:pStyle w:val="paragraph"/>
        <w:rPr>
          <w:sz w:val="24"/>
        </w:rPr>
      </w:pPr>
      <w:r w:rsidRPr="00883399">
        <w:rPr>
          <w:sz w:val="24"/>
        </w:rPr>
        <w:tab/>
        <w:t>(a)</w:t>
      </w:r>
      <w:r w:rsidRPr="00883399">
        <w:rPr>
          <w:sz w:val="24"/>
        </w:rPr>
        <w:tab/>
        <w:t>industry practice; and</w:t>
      </w:r>
    </w:p>
    <w:p w14:paraId="53F71DA9" w14:textId="77777777" w:rsidR="00872C03" w:rsidRPr="00883399" w:rsidRDefault="00872C03" w:rsidP="00872C03">
      <w:pPr>
        <w:pStyle w:val="paragraph"/>
        <w:rPr>
          <w:sz w:val="24"/>
        </w:rPr>
      </w:pPr>
      <w:r w:rsidRPr="00883399">
        <w:rPr>
          <w:sz w:val="24"/>
        </w:rPr>
        <w:tab/>
        <w:t>(b)</w:t>
      </w:r>
      <w:r w:rsidRPr="00883399">
        <w:rPr>
          <w:sz w:val="24"/>
        </w:rPr>
        <w:tab/>
        <w:t>the general principles for measuring emissions mentioned in section 1.13.</w:t>
      </w:r>
    </w:p>
    <w:p w14:paraId="4A39CBBD" w14:textId="77777777" w:rsidR="00872C03" w:rsidRPr="00883399" w:rsidRDefault="00872C03" w:rsidP="00872C03">
      <w:pPr>
        <w:pStyle w:val="subsection"/>
        <w:rPr>
          <w:sz w:val="24"/>
        </w:rPr>
      </w:pPr>
      <w:r w:rsidRPr="00883399">
        <w:rPr>
          <w:sz w:val="24"/>
        </w:rPr>
        <w:tab/>
        <w:t>(2)</w:t>
      </w:r>
      <w:r w:rsidRPr="00883399">
        <w:rPr>
          <w:sz w:val="24"/>
        </w:rPr>
        <w:tab/>
        <w:t>The minimum frequency of analysis of samples of clay material must be in accordance with the Tier 3 method in section 2.2.1.1 of Chapter 2 of Volume 3 of the 2006 IPCC Guidelines</w:t>
      </w:r>
      <w:r w:rsidRPr="00883399">
        <w:rPr>
          <w:i/>
          <w:iCs/>
          <w:sz w:val="24"/>
        </w:rPr>
        <w:t>.</w:t>
      </w:r>
    </w:p>
    <w:p w14:paraId="2649E85B" w14:textId="7B65AAC1" w:rsidR="00872C03" w:rsidRPr="00883399" w:rsidRDefault="00872C03" w:rsidP="00872C03">
      <w:pPr>
        <w:pStyle w:val="ActHead5"/>
        <w:rPr>
          <w:sz w:val="28"/>
        </w:rPr>
      </w:pPr>
      <w:bookmarkStart w:id="859" w:name="_Toc423517027"/>
      <w:bookmarkStart w:id="860" w:name="_Toc495652959"/>
      <w:r w:rsidRPr="00883399">
        <w:rPr>
          <w:rStyle w:val="CharSectno"/>
          <w:sz w:val="28"/>
        </w:rPr>
        <w:t>4.24</w:t>
      </w:r>
      <w:r w:rsidRPr="00883399">
        <w:rPr>
          <w:sz w:val="28"/>
        </w:rPr>
        <w:t xml:space="preserve">  General requirements for sampling carbonates</w:t>
      </w:r>
      <w:bookmarkEnd w:id="859"/>
      <w:bookmarkEnd w:id="860"/>
    </w:p>
    <w:p w14:paraId="7C63A49A" w14:textId="77777777" w:rsidR="00872C03" w:rsidRPr="00883399" w:rsidRDefault="00872C03" w:rsidP="00872C03">
      <w:pPr>
        <w:pStyle w:val="subsection"/>
        <w:rPr>
          <w:sz w:val="24"/>
        </w:rPr>
      </w:pPr>
      <w:r w:rsidRPr="00883399">
        <w:rPr>
          <w:sz w:val="24"/>
        </w:rPr>
        <w:tab/>
        <w:t>(1)</w:t>
      </w:r>
      <w:r w:rsidRPr="00883399">
        <w:rPr>
          <w:sz w:val="24"/>
        </w:rPr>
        <w:tab/>
        <w:t>A sample of a carbonate must be derived from a composite of amounts of the carbonate consumed.</w:t>
      </w:r>
    </w:p>
    <w:p w14:paraId="15AE94F8" w14:textId="77777777" w:rsidR="00872C03" w:rsidRPr="00883399" w:rsidRDefault="00872C03" w:rsidP="00872C03">
      <w:pPr>
        <w:pStyle w:val="subsection"/>
        <w:rPr>
          <w:sz w:val="24"/>
        </w:rPr>
      </w:pPr>
      <w:r w:rsidRPr="00883399">
        <w:rPr>
          <w:sz w:val="24"/>
        </w:rPr>
        <w:tab/>
        <w:t>(2)</w:t>
      </w:r>
      <w:r w:rsidRPr="00883399">
        <w:rPr>
          <w:sz w:val="24"/>
        </w:rPr>
        <w:tab/>
        <w:t>The samples must be collected on enough occasions to produce a representative sample.</w:t>
      </w:r>
    </w:p>
    <w:p w14:paraId="6595ACA8" w14:textId="77777777" w:rsidR="00872C03" w:rsidRPr="00883399" w:rsidRDefault="00872C03" w:rsidP="00872C03">
      <w:pPr>
        <w:pStyle w:val="subsection"/>
        <w:rPr>
          <w:sz w:val="24"/>
        </w:rPr>
      </w:pPr>
      <w:r w:rsidRPr="00883399">
        <w:rPr>
          <w:sz w:val="24"/>
        </w:rPr>
        <w:tab/>
        <w:t>(3)</w:t>
      </w:r>
      <w:r w:rsidRPr="00883399">
        <w:rPr>
          <w:sz w:val="24"/>
        </w:rPr>
        <w:tab/>
        <w:t>The samples must also be free of bias so that any estimates are neither over nor under estimates of the true value.</w:t>
      </w:r>
    </w:p>
    <w:p w14:paraId="3A0D9C92" w14:textId="77777777" w:rsidR="00872C03" w:rsidRPr="00883399" w:rsidRDefault="00872C03" w:rsidP="00872C03">
      <w:pPr>
        <w:pStyle w:val="subsection"/>
        <w:rPr>
          <w:sz w:val="24"/>
        </w:rPr>
      </w:pPr>
      <w:r w:rsidRPr="00883399">
        <w:rPr>
          <w:sz w:val="24"/>
        </w:rPr>
        <w:tab/>
        <w:t>(4)</w:t>
      </w:r>
      <w:r w:rsidRPr="00883399">
        <w:rPr>
          <w:sz w:val="24"/>
        </w:rPr>
        <w:tab/>
        <w:t>Bias must be tested in accordance with an appropriate standard.</w:t>
      </w:r>
    </w:p>
    <w:p w14:paraId="373C6A53" w14:textId="77777777" w:rsidR="00872C03" w:rsidRPr="00883399" w:rsidRDefault="00872C03" w:rsidP="00872C03">
      <w:pPr>
        <w:pStyle w:val="notetext"/>
        <w:rPr>
          <w:sz w:val="20"/>
        </w:rPr>
      </w:pPr>
      <w:r w:rsidRPr="00883399">
        <w:rPr>
          <w:sz w:val="20"/>
        </w:rPr>
        <w:lastRenderedPageBreak/>
        <w:t>Note:</w:t>
      </w:r>
      <w:r w:rsidRPr="00883399">
        <w:rPr>
          <w:sz w:val="20"/>
        </w:rPr>
        <w:tab/>
        <w:t xml:space="preserve">An example of an appropriate standard is AS 4264.4—1996 – </w:t>
      </w:r>
      <w:r w:rsidRPr="00883399">
        <w:rPr>
          <w:i/>
          <w:sz w:val="20"/>
        </w:rPr>
        <w:t>Coal and coke – sampling – Determination of precision and bias</w:t>
      </w:r>
      <w:r w:rsidRPr="00883399">
        <w:rPr>
          <w:sz w:val="20"/>
        </w:rPr>
        <w:t>.</w:t>
      </w:r>
    </w:p>
    <w:p w14:paraId="23C7D177" w14:textId="77777777" w:rsidR="00872C03" w:rsidRPr="00883399" w:rsidRDefault="00872C03" w:rsidP="00872C03">
      <w:pPr>
        <w:pStyle w:val="subsection"/>
        <w:rPr>
          <w:sz w:val="24"/>
        </w:rPr>
      </w:pPr>
      <w:r w:rsidRPr="00883399">
        <w:rPr>
          <w:sz w:val="24"/>
        </w:rPr>
        <w:tab/>
        <w:t>(5)</w:t>
      </w:r>
      <w:r w:rsidRPr="00883399">
        <w:rPr>
          <w:sz w:val="24"/>
        </w:rPr>
        <w:tab/>
        <w:t>The value obtained from the samples must only be used for the delivery period or consignment of the carbonate for which it was intended to be representative.</w:t>
      </w:r>
    </w:p>
    <w:p w14:paraId="43BB7781" w14:textId="2ABA1381" w:rsidR="00872C03" w:rsidRPr="00883399" w:rsidRDefault="00872C03" w:rsidP="00872C03">
      <w:pPr>
        <w:pStyle w:val="ActHead5"/>
        <w:rPr>
          <w:sz w:val="28"/>
        </w:rPr>
      </w:pPr>
      <w:bookmarkStart w:id="861" w:name="_Toc423517028"/>
      <w:bookmarkStart w:id="862" w:name="_Toc495652960"/>
      <w:r w:rsidRPr="00883399">
        <w:rPr>
          <w:rStyle w:val="CharSectno"/>
          <w:sz w:val="28"/>
        </w:rPr>
        <w:t>4.25</w:t>
      </w:r>
      <w:r w:rsidRPr="00883399">
        <w:rPr>
          <w:sz w:val="28"/>
        </w:rPr>
        <w:t xml:space="preserve">  General requirements for analysis of carbonates</w:t>
      </w:r>
      <w:bookmarkEnd w:id="861"/>
      <w:bookmarkEnd w:id="862"/>
    </w:p>
    <w:p w14:paraId="09E46F53" w14:textId="77777777" w:rsidR="00872C03" w:rsidRPr="00883399" w:rsidRDefault="00872C03" w:rsidP="00872C03">
      <w:pPr>
        <w:pStyle w:val="subsection"/>
        <w:rPr>
          <w:sz w:val="24"/>
        </w:rPr>
      </w:pPr>
      <w:r w:rsidRPr="00883399">
        <w:rPr>
          <w:sz w:val="24"/>
        </w:rPr>
        <w:tab/>
        <w:t>(1)</w:t>
      </w:r>
      <w:r w:rsidRPr="00883399">
        <w:rPr>
          <w:sz w:val="24"/>
        </w:rPr>
        <w:tab/>
        <w:t>Analysis of samples of carbonates must be in accordance with industry practice and must be consistent with the principles in section 1.13.</w:t>
      </w:r>
    </w:p>
    <w:p w14:paraId="1B8F865E" w14:textId="77777777" w:rsidR="00872C03" w:rsidRPr="00883399" w:rsidRDefault="00872C03" w:rsidP="00872C03">
      <w:pPr>
        <w:pStyle w:val="subsection"/>
        <w:rPr>
          <w:i/>
          <w:sz w:val="24"/>
        </w:rPr>
      </w:pPr>
      <w:r w:rsidRPr="00883399">
        <w:rPr>
          <w:sz w:val="24"/>
        </w:rPr>
        <w:tab/>
        <w:t>(2)</w:t>
      </w:r>
      <w:r w:rsidRPr="00883399">
        <w:rPr>
          <w:sz w:val="24"/>
        </w:rPr>
        <w:tab/>
        <w:t>The minimum frequency of analysis of samples of carbonates must be in accordance with the Tier 3 method of section 2.2.1.1 of Chapter 2 of Volume 3 of the 2006 IPCC Guidelines</w:t>
      </w:r>
      <w:r w:rsidRPr="00883399">
        <w:rPr>
          <w:i/>
          <w:sz w:val="24"/>
        </w:rPr>
        <w:t>.</w:t>
      </w:r>
    </w:p>
    <w:p w14:paraId="6C227500" w14:textId="78290406" w:rsidR="00872C03" w:rsidRPr="00883399" w:rsidRDefault="00872C03" w:rsidP="005033AE">
      <w:pPr>
        <w:pStyle w:val="ActHead3"/>
        <w:pageBreakBefore/>
        <w:rPr>
          <w:rStyle w:val="CharDivNo"/>
          <w:sz w:val="32"/>
        </w:rPr>
      </w:pPr>
      <w:bookmarkStart w:id="863" w:name="_Toc423517029"/>
      <w:bookmarkStart w:id="864" w:name="_Toc495652961"/>
      <w:r w:rsidRPr="00883399">
        <w:rPr>
          <w:rStyle w:val="CharDivNo"/>
          <w:sz w:val="32"/>
        </w:rPr>
        <w:lastRenderedPageBreak/>
        <w:t>Division 4.2.4—Soda ash use and production</w:t>
      </w:r>
      <w:bookmarkEnd w:id="863"/>
      <w:bookmarkEnd w:id="864"/>
    </w:p>
    <w:p w14:paraId="00EF6B54" w14:textId="77777777" w:rsidR="00872C03" w:rsidRPr="00883399" w:rsidRDefault="00872C03" w:rsidP="00872C03">
      <w:pPr>
        <w:pStyle w:val="Text"/>
        <w:rPr>
          <w:sz w:val="24"/>
          <w:szCs w:val="24"/>
        </w:rPr>
      </w:pPr>
      <w:bookmarkStart w:id="865" w:name="_Toc423517030"/>
      <w:r w:rsidRPr="00883399">
        <w:rPr>
          <w:rFonts w:ascii="Arial" w:hAnsi="Arial" w:cs="Arial"/>
          <w:sz w:val="22"/>
          <w:szCs w:val="22"/>
        </w:rPr>
        <w:t>This Division addresses emissions from the consumption and also from the production of soda ash. The consumption of soda ash generates carbon dioxide emissions regardless of the industry that consumes the product.  Examples of industries that use soda ash are given in Section 4.26</w:t>
      </w:r>
      <w:r w:rsidRPr="00883399">
        <w:rPr>
          <w:sz w:val="24"/>
          <w:szCs w:val="24"/>
        </w:rPr>
        <w:t>.</w:t>
      </w:r>
    </w:p>
    <w:p w14:paraId="7BF51F66" w14:textId="162E150B" w:rsidR="00872C03" w:rsidRPr="00883399" w:rsidRDefault="00872C03" w:rsidP="00872C03">
      <w:pPr>
        <w:pStyle w:val="ActHead5"/>
        <w:rPr>
          <w:sz w:val="28"/>
        </w:rPr>
      </w:pPr>
      <w:bookmarkStart w:id="866" w:name="_Toc495652962"/>
      <w:r w:rsidRPr="00883399">
        <w:rPr>
          <w:rStyle w:val="CharSectno"/>
          <w:sz w:val="28"/>
        </w:rPr>
        <w:t>4.26</w:t>
      </w:r>
      <w:r w:rsidRPr="00883399">
        <w:rPr>
          <w:sz w:val="28"/>
        </w:rPr>
        <w:t xml:space="preserve">  Application</w:t>
      </w:r>
      <w:bookmarkEnd w:id="865"/>
      <w:bookmarkEnd w:id="866"/>
    </w:p>
    <w:p w14:paraId="05C27A81" w14:textId="77777777" w:rsidR="00872C03" w:rsidRPr="00883399" w:rsidRDefault="00872C03" w:rsidP="00872C03">
      <w:pPr>
        <w:pStyle w:val="subsection"/>
        <w:rPr>
          <w:sz w:val="24"/>
        </w:rPr>
      </w:pPr>
      <w:r w:rsidRPr="00883399">
        <w:rPr>
          <w:sz w:val="24"/>
        </w:rPr>
        <w:tab/>
      </w:r>
      <w:r w:rsidRPr="00883399">
        <w:rPr>
          <w:sz w:val="24"/>
        </w:rPr>
        <w:tab/>
        <w:t xml:space="preserve">This Division applies to emissions from the use of soda ash and emissions of carbon dioxide from the chemical </w:t>
      </w:r>
      <w:r w:rsidRPr="00883399">
        <w:rPr>
          <w:sz w:val="24"/>
          <w:szCs w:val="23"/>
        </w:rPr>
        <w:t>transformation of calcium carbonate, sodium chloride, ammonia and coke into sodium bicarbonate and soda ash.</w:t>
      </w:r>
    </w:p>
    <w:p w14:paraId="10E25BD7" w14:textId="77777777" w:rsidR="00872C03" w:rsidRPr="00883399" w:rsidRDefault="00872C03" w:rsidP="00872C03">
      <w:pPr>
        <w:pStyle w:val="notetext"/>
        <w:rPr>
          <w:sz w:val="20"/>
        </w:rPr>
      </w:pPr>
      <w:r w:rsidRPr="00883399">
        <w:rPr>
          <w:sz w:val="20"/>
        </w:rPr>
        <w:t>Examples of uses of soda ash in industrial processes:</w:t>
      </w:r>
    </w:p>
    <w:p w14:paraId="56EA0AB1" w14:textId="77777777" w:rsidR="00872C03" w:rsidRPr="00883399" w:rsidRDefault="00872C03" w:rsidP="00872C03">
      <w:pPr>
        <w:pStyle w:val="notepara1"/>
        <w:ind w:left="1503"/>
        <w:rPr>
          <w:sz w:val="20"/>
        </w:rPr>
      </w:pPr>
      <w:r w:rsidRPr="00883399">
        <w:rPr>
          <w:sz w:val="20"/>
        </w:rPr>
        <w:t>1</w:t>
      </w:r>
      <w:r w:rsidRPr="00883399">
        <w:rPr>
          <w:sz w:val="20"/>
        </w:rPr>
        <w:tab/>
        <w:t>Glass production.</w:t>
      </w:r>
    </w:p>
    <w:p w14:paraId="6BA8FBFE" w14:textId="77777777" w:rsidR="00872C03" w:rsidRPr="00883399" w:rsidRDefault="00872C03" w:rsidP="00872C03">
      <w:pPr>
        <w:pStyle w:val="notepara1"/>
        <w:ind w:left="1503"/>
        <w:rPr>
          <w:sz w:val="20"/>
        </w:rPr>
      </w:pPr>
      <w:r w:rsidRPr="00883399">
        <w:rPr>
          <w:sz w:val="20"/>
        </w:rPr>
        <w:t>2</w:t>
      </w:r>
      <w:r w:rsidRPr="00883399">
        <w:rPr>
          <w:sz w:val="20"/>
        </w:rPr>
        <w:tab/>
        <w:t>Soap and detergent production.</w:t>
      </w:r>
    </w:p>
    <w:p w14:paraId="4CD83B5B" w14:textId="77777777" w:rsidR="00872C03" w:rsidRPr="00883399" w:rsidRDefault="00872C03" w:rsidP="00872C03">
      <w:pPr>
        <w:pStyle w:val="notepara1"/>
        <w:ind w:left="1503"/>
        <w:rPr>
          <w:sz w:val="20"/>
        </w:rPr>
      </w:pPr>
      <w:r w:rsidRPr="00883399">
        <w:rPr>
          <w:sz w:val="20"/>
        </w:rPr>
        <w:t>3</w:t>
      </w:r>
      <w:r w:rsidRPr="00883399">
        <w:rPr>
          <w:sz w:val="20"/>
        </w:rPr>
        <w:tab/>
        <w:t>Flue gas desulphurisation.</w:t>
      </w:r>
    </w:p>
    <w:p w14:paraId="1E69E41C" w14:textId="77777777" w:rsidR="00872C03" w:rsidRPr="00883399" w:rsidRDefault="00872C03" w:rsidP="00872C03">
      <w:pPr>
        <w:pStyle w:val="notepara1"/>
        <w:ind w:left="1503"/>
        <w:rPr>
          <w:sz w:val="20"/>
        </w:rPr>
      </w:pPr>
      <w:r w:rsidRPr="00883399">
        <w:rPr>
          <w:sz w:val="20"/>
        </w:rPr>
        <w:t>4</w:t>
      </w:r>
      <w:r w:rsidRPr="00883399">
        <w:rPr>
          <w:sz w:val="20"/>
        </w:rPr>
        <w:tab/>
        <w:t>Pulp and paper production.</w:t>
      </w:r>
    </w:p>
    <w:p w14:paraId="5F60B5AD" w14:textId="4CF8D841" w:rsidR="00872C03" w:rsidRPr="00883399" w:rsidRDefault="00872C03" w:rsidP="00872C03">
      <w:pPr>
        <w:pStyle w:val="ActHead5"/>
        <w:rPr>
          <w:sz w:val="28"/>
        </w:rPr>
      </w:pPr>
      <w:bookmarkStart w:id="867" w:name="_Toc423517031"/>
      <w:bookmarkStart w:id="868" w:name="_Toc495652963"/>
      <w:r w:rsidRPr="00883399">
        <w:rPr>
          <w:rStyle w:val="CharSectno"/>
          <w:sz w:val="28"/>
        </w:rPr>
        <w:t>4.27</w:t>
      </w:r>
      <w:r w:rsidRPr="00883399">
        <w:rPr>
          <w:sz w:val="28"/>
        </w:rPr>
        <w:t xml:space="preserve">  Outline of Division</w:t>
      </w:r>
      <w:bookmarkEnd w:id="867"/>
      <w:bookmarkEnd w:id="868"/>
    </w:p>
    <w:p w14:paraId="1C268DD5" w14:textId="77777777" w:rsidR="00872C03" w:rsidRPr="00883399" w:rsidRDefault="00872C03" w:rsidP="00872C03">
      <w:pPr>
        <w:pStyle w:val="subsection"/>
        <w:rPr>
          <w:sz w:val="24"/>
        </w:rPr>
      </w:pPr>
      <w:r w:rsidRPr="00883399">
        <w:rPr>
          <w:sz w:val="24"/>
        </w:rPr>
        <w:tab/>
      </w:r>
      <w:r w:rsidRPr="00883399">
        <w:rPr>
          <w:sz w:val="24"/>
        </w:rPr>
        <w:tab/>
        <w:t>Emissions released from the use and production of soda ash must be estimated in accordance with:</w:t>
      </w:r>
    </w:p>
    <w:p w14:paraId="0E1BF202" w14:textId="77777777" w:rsidR="00872C03" w:rsidRPr="00883399" w:rsidRDefault="00872C03" w:rsidP="00872C03">
      <w:pPr>
        <w:pStyle w:val="paragraph"/>
        <w:rPr>
          <w:sz w:val="24"/>
        </w:rPr>
      </w:pPr>
      <w:r w:rsidRPr="00883399">
        <w:rPr>
          <w:sz w:val="24"/>
        </w:rPr>
        <w:tab/>
        <w:t>(a)</w:t>
      </w:r>
      <w:r w:rsidRPr="00883399">
        <w:rPr>
          <w:sz w:val="24"/>
        </w:rPr>
        <w:tab/>
        <w:t>for the use of soda ash in production processes—Subdivision 4.2.4.1; or</w:t>
      </w:r>
    </w:p>
    <w:p w14:paraId="611FF118" w14:textId="77777777" w:rsidR="00872C03" w:rsidRPr="00883399" w:rsidRDefault="00872C03" w:rsidP="00872C03">
      <w:pPr>
        <w:pStyle w:val="paragraph"/>
        <w:rPr>
          <w:sz w:val="24"/>
        </w:rPr>
      </w:pPr>
      <w:r w:rsidRPr="00883399">
        <w:rPr>
          <w:sz w:val="24"/>
        </w:rPr>
        <w:tab/>
        <w:t>(b)</w:t>
      </w:r>
      <w:r w:rsidRPr="00883399">
        <w:rPr>
          <w:sz w:val="24"/>
        </w:rPr>
        <w:tab/>
        <w:t>for the production of soda ash—Subdivision 4.2.4.2.</w:t>
      </w:r>
    </w:p>
    <w:p w14:paraId="217112AB" w14:textId="77777777" w:rsidR="00872C03" w:rsidRPr="00883399" w:rsidRDefault="00872C03" w:rsidP="00872C03">
      <w:pPr>
        <w:pStyle w:val="ActHead4"/>
        <w:rPr>
          <w:sz w:val="28"/>
        </w:rPr>
      </w:pPr>
      <w:bookmarkStart w:id="869" w:name="_Toc423517032"/>
      <w:bookmarkStart w:id="870" w:name="_Toc495652964"/>
      <w:r w:rsidRPr="00883399">
        <w:rPr>
          <w:rStyle w:val="CharSubdNo"/>
          <w:sz w:val="28"/>
        </w:rPr>
        <w:t>Subdivision 4.2.4.1</w:t>
      </w:r>
      <w:r w:rsidRPr="00883399">
        <w:rPr>
          <w:sz w:val="28"/>
        </w:rPr>
        <w:t>—</w:t>
      </w:r>
      <w:r w:rsidRPr="00883399">
        <w:rPr>
          <w:rStyle w:val="CharSubdText"/>
          <w:sz w:val="28"/>
        </w:rPr>
        <w:t>Soda ash use</w:t>
      </w:r>
      <w:bookmarkEnd w:id="869"/>
      <w:bookmarkEnd w:id="870"/>
      <w:r w:rsidRPr="00883399">
        <w:rPr>
          <w:rStyle w:val="CharSubdText"/>
          <w:sz w:val="28"/>
        </w:rPr>
        <w:t xml:space="preserve"> </w:t>
      </w:r>
    </w:p>
    <w:p w14:paraId="09E5E1A6" w14:textId="280F8539" w:rsidR="00872C03" w:rsidRPr="00883399" w:rsidRDefault="00872C03" w:rsidP="00872C03">
      <w:pPr>
        <w:pStyle w:val="ActHead5"/>
        <w:rPr>
          <w:sz w:val="28"/>
        </w:rPr>
      </w:pPr>
      <w:bookmarkStart w:id="871" w:name="_Toc423517033"/>
      <w:bookmarkStart w:id="872" w:name="_Toc495652965"/>
      <w:r w:rsidRPr="00883399">
        <w:rPr>
          <w:rStyle w:val="CharSectno"/>
          <w:sz w:val="28"/>
        </w:rPr>
        <w:t>4.28</w:t>
      </w:r>
      <w:r w:rsidRPr="00883399">
        <w:rPr>
          <w:sz w:val="28"/>
        </w:rPr>
        <w:t xml:space="preserve">  Available methods</w:t>
      </w:r>
      <w:bookmarkEnd w:id="871"/>
      <w:bookmarkEnd w:id="872"/>
    </w:p>
    <w:p w14:paraId="530E4145" w14:textId="77777777" w:rsidR="00872C03" w:rsidRPr="00883399" w:rsidRDefault="00872C03" w:rsidP="00872C03">
      <w:pPr>
        <w:pStyle w:val="subsection"/>
        <w:rPr>
          <w:sz w:val="24"/>
        </w:rPr>
      </w:pPr>
      <w:r w:rsidRPr="00883399">
        <w:rPr>
          <w:sz w:val="24"/>
        </w:rPr>
        <w:tab/>
        <w:t>(1)</w:t>
      </w:r>
      <w:r w:rsidRPr="00883399">
        <w:rPr>
          <w:sz w:val="24"/>
        </w:rPr>
        <w:tab/>
        <w:t>Subject to section 1.18, one of the following methods must be used for estimating emissions of carbon dioxide released during a year from the operation of a facility constituted by the use of soda ash in a production process:</w:t>
      </w:r>
    </w:p>
    <w:p w14:paraId="64EAD519" w14:textId="77777777" w:rsidR="00872C03" w:rsidRPr="00883399" w:rsidRDefault="00872C03" w:rsidP="00872C03">
      <w:pPr>
        <w:pStyle w:val="paragraph"/>
        <w:rPr>
          <w:sz w:val="24"/>
        </w:rPr>
      </w:pPr>
      <w:r w:rsidRPr="00883399">
        <w:rPr>
          <w:sz w:val="24"/>
        </w:rPr>
        <w:tab/>
        <w:t>(a)</w:t>
      </w:r>
      <w:r w:rsidRPr="00883399">
        <w:rPr>
          <w:sz w:val="24"/>
        </w:rPr>
        <w:tab/>
        <w:t>method 1 under section 4.29;</w:t>
      </w:r>
    </w:p>
    <w:p w14:paraId="1FFE028A" w14:textId="77777777" w:rsidR="00872C03" w:rsidRPr="00883399" w:rsidRDefault="00872C03" w:rsidP="00872C03">
      <w:pPr>
        <w:pStyle w:val="paragraph"/>
        <w:rPr>
          <w:sz w:val="24"/>
        </w:rPr>
      </w:pPr>
      <w:r w:rsidRPr="00883399">
        <w:rPr>
          <w:sz w:val="24"/>
        </w:rPr>
        <w:tab/>
        <w:t>(b)</w:t>
      </w:r>
      <w:r w:rsidRPr="00883399">
        <w:rPr>
          <w:sz w:val="24"/>
        </w:rPr>
        <w:tab/>
        <w:t>method 4 under Part 1.3.</w:t>
      </w:r>
    </w:p>
    <w:p w14:paraId="6EB43588" w14:textId="77777777" w:rsidR="00872C03" w:rsidRPr="00883399" w:rsidRDefault="00872C03" w:rsidP="00872C03">
      <w:pPr>
        <w:pStyle w:val="notepara1"/>
        <w:ind w:left="1503"/>
        <w:rPr>
          <w:sz w:val="20"/>
        </w:rPr>
      </w:pPr>
      <w:r w:rsidRPr="00883399">
        <w:rPr>
          <w:sz w:val="20"/>
        </w:rPr>
        <w:t>Note:</w:t>
      </w:r>
      <w:r w:rsidRPr="00883399">
        <w:rPr>
          <w:sz w:val="20"/>
        </w:rPr>
        <w:tab/>
        <w:t>There is no method 2 or 3 for this Division.</w:t>
      </w:r>
    </w:p>
    <w:p w14:paraId="1276949A" w14:textId="77777777" w:rsidR="00872C03" w:rsidRPr="00883399" w:rsidRDefault="00872C03" w:rsidP="00872C03">
      <w:pPr>
        <w:pStyle w:val="subsection"/>
        <w:rPr>
          <w:sz w:val="24"/>
        </w:rPr>
      </w:pPr>
      <w:r w:rsidRPr="00883399">
        <w:rPr>
          <w:sz w:val="24"/>
        </w:rPr>
        <w:tab/>
        <w:t>(2)</w:t>
      </w:r>
      <w:r w:rsidRPr="00883399">
        <w:rPr>
          <w:sz w:val="24"/>
        </w:rPr>
        <w:tab/>
        <w:t>However, for incidental emissions another method may be used that is consistent with the principles in section 1.13.</w:t>
      </w:r>
    </w:p>
    <w:p w14:paraId="6A2F8487" w14:textId="77777777" w:rsidR="00872C03" w:rsidRPr="00883399" w:rsidRDefault="00872C03" w:rsidP="00872C03">
      <w:pPr>
        <w:pStyle w:val="R2"/>
        <w:tabs>
          <w:tab w:val="clear" w:pos="794"/>
          <w:tab w:val="right" w:pos="-120"/>
        </w:tabs>
        <w:ind w:hanging="62"/>
        <w:rPr>
          <w:b/>
        </w:rPr>
      </w:pPr>
      <w:r w:rsidRPr="00883399">
        <w:rPr>
          <w:b/>
        </w:rPr>
        <w:t>Summary of available methods, for estimating emissions from soda ash use, by emissions of gas type (j)</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1547"/>
        <w:gridCol w:w="1627"/>
        <w:gridCol w:w="1755"/>
      </w:tblGrid>
      <w:tr w:rsidR="00872C03" w:rsidRPr="00883399" w14:paraId="406B4C99" w14:textId="77777777" w:rsidTr="0031057E">
        <w:tc>
          <w:tcPr>
            <w:tcW w:w="2376" w:type="dxa"/>
            <w:shd w:val="clear" w:color="auto" w:fill="E6E6E6"/>
          </w:tcPr>
          <w:p w14:paraId="3BFC0BCE" w14:textId="77777777" w:rsidR="00872C03" w:rsidRPr="00883399" w:rsidRDefault="00872C03" w:rsidP="0031057E">
            <w:pPr>
              <w:pStyle w:val="Text"/>
            </w:pPr>
          </w:p>
        </w:tc>
        <w:tc>
          <w:tcPr>
            <w:tcW w:w="1584" w:type="dxa"/>
            <w:shd w:val="clear" w:color="auto" w:fill="E6E6E6"/>
          </w:tcPr>
          <w:p w14:paraId="4F5DB2BB" w14:textId="77777777" w:rsidR="00872C03" w:rsidRPr="00883399" w:rsidRDefault="00872C03" w:rsidP="0031057E">
            <w:pPr>
              <w:pStyle w:val="Text"/>
            </w:pPr>
            <w:r w:rsidRPr="00883399">
              <w:t>CO</w:t>
            </w:r>
            <w:r w:rsidRPr="00883399">
              <w:rPr>
                <w:vertAlign w:val="subscript"/>
              </w:rPr>
              <w:t>2</w:t>
            </w:r>
          </w:p>
        </w:tc>
        <w:tc>
          <w:tcPr>
            <w:tcW w:w="1680" w:type="dxa"/>
            <w:shd w:val="clear" w:color="auto" w:fill="E6E6E6"/>
          </w:tcPr>
          <w:p w14:paraId="589E820E" w14:textId="77777777" w:rsidR="00872C03" w:rsidRPr="00883399" w:rsidRDefault="00872C03" w:rsidP="0031057E">
            <w:pPr>
              <w:pStyle w:val="Text"/>
            </w:pPr>
            <w:r w:rsidRPr="00883399">
              <w:t>CH</w:t>
            </w:r>
            <w:r w:rsidRPr="00883399">
              <w:rPr>
                <w:vertAlign w:val="subscript"/>
              </w:rPr>
              <w:t>4</w:t>
            </w:r>
          </w:p>
        </w:tc>
        <w:tc>
          <w:tcPr>
            <w:tcW w:w="1814" w:type="dxa"/>
            <w:shd w:val="clear" w:color="auto" w:fill="E6E6E6"/>
          </w:tcPr>
          <w:p w14:paraId="53F02FEC" w14:textId="77777777" w:rsidR="00872C03" w:rsidRPr="00883399" w:rsidRDefault="00872C03" w:rsidP="0031057E">
            <w:pPr>
              <w:pStyle w:val="Text"/>
            </w:pPr>
            <w:r w:rsidRPr="00883399">
              <w:t>N</w:t>
            </w:r>
            <w:r w:rsidRPr="00883399">
              <w:rPr>
                <w:vertAlign w:val="subscript"/>
              </w:rPr>
              <w:t>2</w:t>
            </w:r>
            <w:r w:rsidRPr="00883399">
              <w:t>O</w:t>
            </w:r>
          </w:p>
        </w:tc>
      </w:tr>
      <w:tr w:rsidR="00872C03" w:rsidRPr="00883399" w14:paraId="71270191" w14:textId="77777777" w:rsidTr="0031057E">
        <w:tc>
          <w:tcPr>
            <w:tcW w:w="2376" w:type="dxa"/>
          </w:tcPr>
          <w:p w14:paraId="6F665794" w14:textId="77777777" w:rsidR="00872C03" w:rsidRPr="00883399" w:rsidRDefault="00872C03" w:rsidP="0031057E">
            <w:pPr>
              <w:pStyle w:val="Text"/>
              <w:spacing w:before="120" w:line="240" w:lineRule="auto"/>
            </w:pPr>
            <w:r w:rsidRPr="00883399">
              <w:t>Method 1</w:t>
            </w:r>
          </w:p>
        </w:tc>
        <w:tc>
          <w:tcPr>
            <w:tcW w:w="1584" w:type="dxa"/>
          </w:tcPr>
          <w:p w14:paraId="443ACC57" w14:textId="77777777" w:rsidR="00872C03" w:rsidRPr="00883399" w:rsidRDefault="00872C03" w:rsidP="0031057E">
            <w:pPr>
              <w:pStyle w:val="Text"/>
              <w:spacing w:before="120" w:line="240" w:lineRule="auto"/>
            </w:pPr>
            <w:r w:rsidRPr="00883399">
              <w:t>Section 4.29</w:t>
            </w:r>
          </w:p>
        </w:tc>
        <w:tc>
          <w:tcPr>
            <w:tcW w:w="1680" w:type="dxa"/>
          </w:tcPr>
          <w:p w14:paraId="1EBDFDF3" w14:textId="77777777" w:rsidR="00872C03" w:rsidRPr="00883399" w:rsidRDefault="00872C03" w:rsidP="0031057E">
            <w:pPr>
              <w:pStyle w:val="Text"/>
              <w:spacing w:before="120" w:line="240" w:lineRule="auto"/>
            </w:pPr>
            <w:r w:rsidRPr="00883399">
              <w:t>NO</w:t>
            </w:r>
          </w:p>
        </w:tc>
        <w:tc>
          <w:tcPr>
            <w:tcW w:w="1814" w:type="dxa"/>
          </w:tcPr>
          <w:p w14:paraId="79C40CAB" w14:textId="77777777" w:rsidR="00872C03" w:rsidRPr="00883399" w:rsidRDefault="00872C03" w:rsidP="0031057E">
            <w:pPr>
              <w:pStyle w:val="Text"/>
              <w:spacing w:before="120" w:line="240" w:lineRule="auto"/>
            </w:pPr>
            <w:r w:rsidRPr="00883399">
              <w:t>NO</w:t>
            </w:r>
          </w:p>
        </w:tc>
      </w:tr>
      <w:tr w:rsidR="00872C03" w:rsidRPr="00883399" w14:paraId="2AC8A0F4" w14:textId="77777777" w:rsidTr="0031057E">
        <w:tc>
          <w:tcPr>
            <w:tcW w:w="2376" w:type="dxa"/>
          </w:tcPr>
          <w:p w14:paraId="007404DA" w14:textId="77777777" w:rsidR="00872C03" w:rsidRPr="00883399" w:rsidRDefault="00872C03" w:rsidP="0031057E">
            <w:pPr>
              <w:pStyle w:val="Text"/>
              <w:spacing w:before="120" w:line="240" w:lineRule="auto"/>
            </w:pPr>
            <w:r w:rsidRPr="00883399">
              <w:t>Methods 2, 3 and 4</w:t>
            </w:r>
          </w:p>
        </w:tc>
        <w:tc>
          <w:tcPr>
            <w:tcW w:w="1584" w:type="dxa"/>
          </w:tcPr>
          <w:p w14:paraId="7DEAC555" w14:textId="77777777" w:rsidR="00872C03" w:rsidRPr="00883399" w:rsidRDefault="00872C03" w:rsidP="0031057E">
            <w:pPr>
              <w:pStyle w:val="Text"/>
              <w:spacing w:before="120" w:line="240" w:lineRule="auto"/>
            </w:pPr>
            <w:r w:rsidRPr="00883399">
              <w:t>NA</w:t>
            </w:r>
          </w:p>
        </w:tc>
        <w:tc>
          <w:tcPr>
            <w:tcW w:w="1680" w:type="dxa"/>
          </w:tcPr>
          <w:p w14:paraId="32A1392E" w14:textId="77777777" w:rsidR="00872C03" w:rsidRPr="00883399" w:rsidRDefault="00872C03" w:rsidP="0031057E">
            <w:pPr>
              <w:pStyle w:val="Text"/>
              <w:spacing w:before="120" w:line="240" w:lineRule="auto"/>
            </w:pPr>
            <w:r w:rsidRPr="00883399">
              <w:t>NO</w:t>
            </w:r>
          </w:p>
        </w:tc>
        <w:tc>
          <w:tcPr>
            <w:tcW w:w="1814" w:type="dxa"/>
          </w:tcPr>
          <w:p w14:paraId="6E1B5CEB" w14:textId="77777777" w:rsidR="00872C03" w:rsidRPr="00883399" w:rsidRDefault="00872C03" w:rsidP="0031057E">
            <w:pPr>
              <w:pStyle w:val="Text"/>
              <w:spacing w:before="120" w:line="240" w:lineRule="auto"/>
            </w:pPr>
            <w:r w:rsidRPr="00883399">
              <w:t>NO</w:t>
            </w:r>
          </w:p>
        </w:tc>
      </w:tr>
    </w:tbl>
    <w:p w14:paraId="6DD37499" w14:textId="77777777" w:rsidR="00872C03" w:rsidRPr="00883399" w:rsidRDefault="00872C03" w:rsidP="00872C03">
      <w:pPr>
        <w:pStyle w:val="Text"/>
        <w:ind w:left="960"/>
      </w:pPr>
      <w:r w:rsidRPr="00883399">
        <w:t>NA = not available.  NO = Not occurring</w:t>
      </w:r>
    </w:p>
    <w:p w14:paraId="642D081E" w14:textId="6E3CCB16" w:rsidR="00872C03" w:rsidRPr="00883399" w:rsidRDefault="00872C03" w:rsidP="00872C03">
      <w:pPr>
        <w:pStyle w:val="ActHead5"/>
        <w:rPr>
          <w:sz w:val="28"/>
        </w:rPr>
      </w:pPr>
      <w:bookmarkStart w:id="873" w:name="_Toc423517034"/>
      <w:bookmarkStart w:id="874" w:name="_Toc495652966"/>
      <w:r w:rsidRPr="00883399">
        <w:rPr>
          <w:rStyle w:val="CharSectno"/>
          <w:sz w:val="28"/>
        </w:rPr>
        <w:t>4.29</w:t>
      </w:r>
      <w:r w:rsidRPr="00883399">
        <w:rPr>
          <w:sz w:val="28"/>
        </w:rPr>
        <w:t xml:space="preserve">  Method 1—use of soda ash</w:t>
      </w:r>
      <w:bookmarkEnd w:id="873"/>
      <w:bookmarkEnd w:id="874"/>
    </w:p>
    <w:p w14:paraId="2E9D4E87" w14:textId="77777777" w:rsidR="00872C03" w:rsidRPr="00883399" w:rsidRDefault="00872C03" w:rsidP="00872C03">
      <w:pPr>
        <w:pStyle w:val="Text"/>
      </w:pPr>
      <w:r w:rsidRPr="00883399">
        <w:rPr>
          <w:rFonts w:ascii="Arial" w:hAnsi="Arial" w:cs="Arial"/>
          <w:sz w:val="22"/>
          <w:szCs w:val="22"/>
        </w:rPr>
        <w:t>This Method is derived from the methodology used for the National Greenhouse Accounts. It involves the multiplication of the quantity of soda ash consumed in the production process by the emission factor for soda ash.</w:t>
      </w:r>
    </w:p>
    <w:p w14:paraId="63DA4C89" w14:textId="77777777" w:rsidR="00872C03" w:rsidRPr="00883399" w:rsidRDefault="00872C03" w:rsidP="00872C03">
      <w:pPr>
        <w:pStyle w:val="subsection"/>
        <w:rPr>
          <w:sz w:val="24"/>
        </w:rPr>
      </w:pPr>
      <w:r w:rsidRPr="00883399">
        <w:rPr>
          <w:sz w:val="24"/>
        </w:rPr>
        <w:tab/>
        <w:t>Method 1 is:</w:t>
      </w:r>
    </w:p>
    <w:p w14:paraId="48B70626" w14:textId="60E8EA1E"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4CCB4862" wp14:editId="2DA4B2CA">
            <wp:extent cx="1047750" cy="2190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p>
    <w:p w14:paraId="3073CC9A" w14:textId="77777777" w:rsidR="00872C03" w:rsidRPr="00883399" w:rsidRDefault="00872C03" w:rsidP="00872C03">
      <w:pPr>
        <w:pStyle w:val="subsection2"/>
        <w:rPr>
          <w:sz w:val="24"/>
        </w:rPr>
      </w:pPr>
      <w:r w:rsidRPr="00883399">
        <w:rPr>
          <w:sz w:val="24"/>
        </w:rPr>
        <w:t>where:</w:t>
      </w:r>
    </w:p>
    <w:p w14:paraId="657CFFE4" w14:textId="77777777" w:rsidR="00872C03" w:rsidRPr="00883399" w:rsidRDefault="00872C03" w:rsidP="00872C03">
      <w:pPr>
        <w:pStyle w:val="Definition0"/>
        <w:rPr>
          <w:sz w:val="24"/>
        </w:rPr>
      </w:pPr>
      <w:r w:rsidRPr="00883399">
        <w:rPr>
          <w:b/>
          <w:i/>
          <w:sz w:val="24"/>
        </w:rPr>
        <w:t>E</w:t>
      </w:r>
      <w:r w:rsidRPr="00883399">
        <w:rPr>
          <w:b/>
          <w:i/>
          <w:sz w:val="18"/>
          <w:szCs w:val="16"/>
          <w:vertAlign w:val="subscript"/>
        </w:rPr>
        <w:t>ij</w:t>
      </w:r>
      <w:r w:rsidRPr="00883399">
        <w:rPr>
          <w:b/>
          <w:i/>
          <w:sz w:val="24"/>
        </w:rPr>
        <w:t xml:space="preserve"> </w:t>
      </w:r>
      <w:r w:rsidRPr="00883399">
        <w:rPr>
          <w:sz w:val="24"/>
        </w:rPr>
        <w:t>is the emissions of carbon dioxide (</w:t>
      </w:r>
      <w:r w:rsidRPr="00883399">
        <w:rPr>
          <w:b/>
          <w:i/>
          <w:sz w:val="24"/>
        </w:rPr>
        <w:t>j</w:t>
      </w:r>
      <w:r w:rsidRPr="00883399">
        <w:rPr>
          <w:sz w:val="24"/>
        </w:rPr>
        <w:t>) from soda ash (</w:t>
      </w:r>
      <w:r w:rsidRPr="00883399">
        <w:rPr>
          <w:b/>
          <w:i/>
          <w:sz w:val="24"/>
        </w:rPr>
        <w:t>i</w:t>
      </w:r>
      <w:r w:rsidRPr="00883399">
        <w:rPr>
          <w:sz w:val="24"/>
        </w:rPr>
        <w:t>) consumed in the production process during the year measured in CO</w:t>
      </w:r>
      <w:r w:rsidRPr="00883399">
        <w:rPr>
          <w:rStyle w:val="charSubscript"/>
          <w:sz w:val="22"/>
        </w:rPr>
        <w:t>2</w:t>
      </w:r>
      <w:r w:rsidRPr="00883399">
        <w:rPr>
          <w:sz w:val="24"/>
        </w:rPr>
        <w:noBreakHyphen/>
        <w:t>e tonnes.</w:t>
      </w:r>
    </w:p>
    <w:p w14:paraId="0771C6C4" w14:textId="77777777" w:rsidR="00872C03" w:rsidRPr="00883399" w:rsidRDefault="00872C03" w:rsidP="00872C03">
      <w:pPr>
        <w:pStyle w:val="Definition0"/>
        <w:rPr>
          <w:sz w:val="24"/>
        </w:rPr>
      </w:pPr>
      <w:r w:rsidRPr="00883399">
        <w:rPr>
          <w:b/>
          <w:i/>
          <w:sz w:val="24"/>
        </w:rPr>
        <w:t>Q</w:t>
      </w:r>
      <w:r w:rsidRPr="00883399">
        <w:rPr>
          <w:b/>
          <w:i/>
          <w:sz w:val="24"/>
          <w:vertAlign w:val="subscript"/>
        </w:rPr>
        <w:t>i</w:t>
      </w:r>
      <w:r w:rsidRPr="00883399">
        <w:rPr>
          <w:b/>
          <w:i/>
          <w:sz w:val="24"/>
        </w:rPr>
        <w:t xml:space="preserve"> </w:t>
      </w:r>
      <w:r w:rsidRPr="00883399">
        <w:rPr>
          <w:sz w:val="24"/>
        </w:rPr>
        <w:t>is the quantity of soda ash (</w:t>
      </w:r>
      <w:r w:rsidRPr="00883399">
        <w:rPr>
          <w:b/>
          <w:i/>
          <w:sz w:val="24"/>
        </w:rPr>
        <w:t>i</w:t>
      </w:r>
      <w:r w:rsidRPr="00883399">
        <w:rPr>
          <w:sz w:val="24"/>
        </w:rPr>
        <w:t>) consumed in the production process during the year measured in tonnes and estimated under Division 4.2.5.</w:t>
      </w:r>
    </w:p>
    <w:p w14:paraId="32E30720" w14:textId="77777777" w:rsidR="00872C03" w:rsidRPr="00883399" w:rsidRDefault="00872C03" w:rsidP="00872C03">
      <w:pPr>
        <w:pStyle w:val="Definition0"/>
        <w:rPr>
          <w:sz w:val="24"/>
        </w:rPr>
      </w:pPr>
      <w:r w:rsidRPr="00883399">
        <w:rPr>
          <w:b/>
          <w:i/>
          <w:sz w:val="24"/>
        </w:rPr>
        <w:t>EF</w:t>
      </w:r>
      <w:r w:rsidRPr="00883399">
        <w:rPr>
          <w:b/>
          <w:i/>
          <w:sz w:val="24"/>
          <w:vertAlign w:val="subscript"/>
        </w:rPr>
        <w:t xml:space="preserve">ij </w:t>
      </w:r>
      <w:r w:rsidRPr="00883399">
        <w:rPr>
          <w:sz w:val="24"/>
        </w:rPr>
        <w:t>is 0.415, which is the carbon dioxide (</w:t>
      </w:r>
      <w:r w:rsidRPr="00883399">
        <w:rPr>
          <w:b/>
          <w:i/>
          <w:sz w:val="24"/>
        </w:rPr>
        <w:t>j</w:t>
      </w:r>
      <w:r w:rsidRPr="00883399">
        <w:rPr>
          <w:sz w:val="24"/>
        </w:rPr>
        <w:t>) emission factor for soda ash (</w:t>
      </w:r>
      <w:r w:rsidRPr="00883399">
        <w:rPr>
          <w:b/>
          <w:i/>
          <w:sz w:val="24"/>
        </w:rPr>
        <w:t>i</w:t>
      </w:r>
      <w:r w:rsidRPr="00883399">
        <w:rPr>
          <w:sz w:val="24"/>
        </w:rPr>
        <w:t>) measured in tonnes of carbon dioxide emissions per tonne of soda ash.</w:t>
      </w:r>
    </w:p>
    <w:p w14:paraId="4A9519C3" w14:textId="761BBDF7" w:rsidR="00872C03" w:rsidRPr="00883399" w:rsidRDefault="00872C03" w:rsidP="00872C03">
      <w:pPr>
        <w:pStyle w:val="ActHead4"/>
        <w:rPr>
          <w:sz w:val="28"/>
        </w:rPr>
      </w:pPr>
      <w:bookmarkStart w:id="875" w:name="_Toc423517035"/>
      <w:bookmarkStart w:id="876" w:name="_Toc495652967"/>
      <w:r w:rsidRPr="00883399">
        <w:rPr>
          <w:rStyle w:val="CharSubdNo"/>
          <w:sz w:val="28"/>
        </w:rPr>
        <w:t>Subdivision 4.2.4.2</w:t>
      </w:r>
      <w:r w:rsidRPr="00883399">
        <w:rPr>
          <w:sz w:val="28"/>
        </w:rPr>
        <w:t>—</w:t>
      </w:r>
      <w:r w:rsidRPr="00883399">
        <w:rPr>
          <w:rStyle w:val="CharSubdText"/>
          <w:sz w:val="28"/>
        </w:rPr>
        <w:t>Soda ash production</w:t>
      </w:r>
      <w:bookmarkEnd w:id="875"/>
      <w:bookmarkEnd w:id="876"/>
    </w:p>
    <w:p w14:paraId="550A1E16" w14:textId="77777777" w:rsidR="00872C03" w:rsidRPr="00883399" w:rsidRDefault="00872C03" w:rsidP="00872C03">
      <w:pPr>
        <w:pStyle w:val="R1"/>
        <w:keepLines w:val="0"/>
        <w:tabs>
          <w:tab w:val="clear" w:pos="794"/>
        </w:tabs>
        <w:spacing w:before="240" w:line="312" w:lineRule="auto"/>
        <w:ind w:left="0" w:firstLine="0"/>
        <w:jc w:val="left"/>
        <w:rPr>
          <w:rStyle w:val="CharSchPTText"/>
          <w:rFonts w:ascii="Arial" w:hAnsi="Arial" w:cs="Arial"/>
          <w:sz w:val="22"/>
          <w:szCs w:val="22"/>
        </w:rPr>
      </w:pPr>
      <w:bookmarkStart w:id="877" w:name="_Toc423517036"/>
      <w:r w:rsidRPr="00883399">
        <w:rPr>
          <w:rStyle w:val="CharSchPTText"/>
          <w:rFonts w:ascii="Arial" w:hAnsi="Arial" w:cs="Arial"/>
          <w:sz w:val="22"/>
          <w:szCs w:val="22"/>
        </w:rPr>
        <w:t>Emissions from soda ash production arise from the consumption of fuels for energy and from the calcination of limestone and sodium bicarbonate. The production of soda ash is a multi-step process involving the generation and reabsorption of carbon dioxide. To obtain a more accurate estimation of emissions from the consumption of fuels and calcination processes a carbon balance approach is taken.</w:t>
      </w:r>
    </w:p>
    <w:p w14:paraId="00312071" w14:textId="60C11440" w:rsidR="00872C03" w:rsidRPr="00883399" w:rsidRDefault="00872C03" w:rsidP="00872C03">
      <w:pPr>
        <w:pStyle w:val="ActHead5"/>
        <w:rPr>
          <w:sz w:val="28"/>
        </w:rPr>
      </w:pPr>
      <w:bookmarkStart w:id="878" w:name="_Toc495652968"/>
      <w:r w:rsidRPr="00883399">
        <w:rPr>
          <w:rStyle w:val="CharSectno"/>
          <w:sz w:val="28"/>
        </w:rPr>
        <w:t>4.30</w:t>
      </w:r>
      <w:r w:rsidRPr="00883399">
        <w:rPr>
          <w:sz w:val="28"/>
        </w:rPr>
        <w:t xml:space="preserve">  Available methods</w:t>
      </w:r>
      <w:bookmarkEnd w:id="877"/>
      <w:bookmarkEnd w:id="878"/>
    </w:p>
    <w:p w14:paraId="77B6387C" w14:textId="77777777" w:rsidR="00872C03" w:rsidRPr="00883399" w:rsidRDefault="00872C03" w:rsidP="00872C03">
      <w:pPr>
        <w:pStyle w:val="subsection"/>
        <w:rPr>
          <w:sz w:val="24"/>
        </w:rPr>
      </w:pPr>
      <w:r w:rsidRPr="00883399">
        <w:rPr>
          <w:sz w:val="24"/>
        </w:rPr>
        <w:tab/>
        <w:t>(1)</w:t>
      </w:r>
      <w:r w:rsidRPr="00883399">
        <w:rPr>
          <w:sz w:val="24"/>
        </w:rPr>
        <w:tab/>
        <w:t>Subject to section 1.18, one of the following methods must be used for estimating emissions released during a year from the operation of a facility that is constituted by an activity that produces soda ash:</w:t>
      </w:r>
    </w:p>
    <w:p w14:paraId="24A1D80C" w14:textId="77777777" w:rsidR="00872C03" w:rsidRPr="00883399" w:rsidRDefault="00872C03" w:rsidP="00872C03">
      <w:pPr>
        <w:pStyle w:val="paragraph"/>
        <w:rPr>
          <w:sz w:val="24"/>
        </w:rPr>
      </w:pPr>
      <w:r w:rsidRPr="00883399">
        <w:rPr>
          <w:sz w:val="24"/>
        </w:rPr>
        <w:tab/>
        <w:t>(a)</w:t>
      </w:r>
      <w:r w:rsidRPr="00883399">
        <w:rPr>
          <w:sz w:val="24"/>
        </w:rPr>
        <w:tab/>
        <w:t>method 1 under section 4.31;</w:t>
      </w:r>
    </w:p>
    <w:p w14:paraId="6FEA14E8" w14:textId="77777777" w:rsidR="00872C03" w:rsidRPr="00883399" w:rsidRDefault="00872C03" w:rsidP="00872C03">
      <w:pPr>
        <w:pStyle w:val="paragraph"/>
        <w:rPr>
          <w:sz w:val="24"/>
        </w:rPr>
      </w:pPr>
      <w:r w:rsidRPr="00883399">
        <w:rPr>
          <w:sz w:val="24"/>
        </w:rPr>
        <w:tab/>
        <w:t>(b)</w:t>
      </w:r>
      <w:r w:rsidRPr="00883399">
        <w:rPr>
          <w:sz w:val="24"/>
        </w:rPr>
        <w:tab/>
        <w:t>method 2 under section 4.32;</w:t>
      </w:r>
    </w:p>
    <w:p w14:paraId="0230EC3D" w14:textId="77777777" w:rsidR="00872C03" w:rsidRPr="00883399" w:rsidRDefault="00872C03" w:rsidP="00872C03">
      <w:pPr>
        <w:pStyle w:val="paragraph"/>
        <w:rPr>
          <w:sz w:val="24"/>
        </w:rPr>
      </w:pPr>
      <w:r w:rsidRPr="00883399">
        <w:rPr>
          <w:sz w:val="24"/>
        </w:rPr>
        <w:lastRenderedPageBreak/>
        <w:tab/>
        <w:t>(c)</w:t>
      </w:r>
      <w:r w:rsidRPr="00883399">
        <w:rPr>
          <w:sz w:val="24"/>
        </w:rPr>
        <w:tab/>
        <w:t>method 3 under section 4.33;</w:t>
      </w:r>
    </w:p>
    <w:p w14:paraId="29E39FA0" w14:textId="77777777" w:rsidR="00872C03" w:rsidRPr="00883399" w:rsidRDefault="00872C03" w:rsidP="00872C03">
      <w:pPr>
        <w:pStyle w:val="paragraph"/>
        <w:rPr>
          <w:sz w:val="24"/>
        </w:rPr>
      </w:pPr>
      <w:r w:rsidRPr="00883399">
        <w:rPr>
          <w:sz w:val="24"/>
        </w:rPr>
        <w:tab/>
        <w:t>(d)</w:t>
      </w:r>
      <w:r w:rsidRPr="00883399">
        <w:rPr>
          <w:sz w:val="24"/>
        </w:rPr>
        <w:tab/>
        <w:t>method 4 under Part 1.3.</w:t>
      </w:r>
    </w:p>
    <w:p w14:paraId="1C6F9133" w14:textId="77777777" w:rsidR="00872C03" w:rsidRPr="00883399" w:rsidRDefault="00872C03" w:rsidP="00872C03">
      <w:pPr>
        <w:pStyle w:val="subsection"/>
        <w:rPr>
          <w:sz w:val="24"/>
        </w:rPr>
      </w:pPr>
      <w:r w:rsidRPr="00883399">
        <w:rPr>
          <w:sz w:val="24"/>
        </w:rPr>
        <w:tab/>
        <w:t>(2)</w:t>
      </w:r>
      <w:r w:rsidRPr="00883399">
        <w:rPr>
          <w:sz w:val="24"/>
        </w:rPr>
        <w:tab/>
        <w:t>However, for incidental emissions another method may be used that is consistent with the principles in section 1.13.</w:t>
      </w:r>
    </w:p>
    <w:p w14:paraId="7F22145C" w14:textId="77777777" w:rsidR="00872C03" w:rsidRPr="00883399" w:rsidRDefault="00872C03" w:rsidP="00872C03">
      <w:pPr>
        <w:pStyle w:val="R2"/>
        <w:ind w:hanging="62"/>
        <w:rPr>
          <w:b/>
        </w:rPr>
      </w:pPr>
      <w:r w:rsidRPr="00883399">
        <w:tab/>
      </w:r>
      <w:r w:rsidRPr="00883399">
        <w:rPr>
          <w:b/>
        </w:rPr>
        <w:t>Summary of available methods, for estimating emissions from soda ash production, by emissions of gas type (j)</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0"/>
        <w:gridCol w:w="1750"/>
        <w:gridCol w:w="1750"/>
        <w:gridCol w:w="1535"/>
      </w:tblGrid>
      <w:tr w:rsidR="00872C03" w:rsidRPr="00883399" w14:paraId="306536F4" w14:textId="77777777" w:rsidTr="0031057E">
        <w:tc>
          <w:tcPr>
            <w:tcW w:w="2400" w:type="dxa"/>
            <w:shd w:val="clear" w:color="auto" w:fill="E6E6E6"/>
          </w:tcPr>
          <w:p w14:paraId="59740E86" w14:textId="77777777" w:rsidR="00872C03" w:rsidRPr="00883399" w:rsidRDefault="00872C03" w:rsidP="0031057E">
            <w:pPr>
              <w:pStyle w:val="Text"/>
            </w:pPr>
          </w:p>
        </w:tc>
        <w:tc>
          <w:tcPr>
            <w:tcW w:w="1800" w:type="dxa"/>
            <w:shd w:val="clear" w:color="auto" w:fill="E6E6E6"/>
          </w:tcPr>
          <w:p w14:paraId="545E0352" w14:textId="77777777" w:rsidR="00872C03" w:rsidRPr="00883399" w:rsidRDefault="00872C03" w:rsidP="0031057E">
            <w:pPr>
              <w:pStyle w:val="Text"/>
            </w:pPr>
            <w:r w:rsidRPr="00883399">
              <w:t>CO</w:t>
            </w:r>
            <w:r w:rsidRPr="00883399">
              <w:rPr>
                <w:vertAlign w:val="subscript"/>
              </w:rPr>
              <w:t>2</w:t>
            </w:r>
          </w:p>
        </w:tc>
        <w:tc>
          <w:tcPr>
            <w:tcW w:w="1800" w:type="dxa"/>
            <w:shd w:val="clear" w:color="auto" w:fill="E6E6E6"/>
          </w:tcPr>
          <w:p w14:paraId="35B2360F" w14:textId="77777777" w:rsidR="00872C03" w:rsidRPr="00883399" w:rsidRDefault="00872C03" w:rsidP="0031057E">
            <w:pPr>
              <w:pStyle w:val="Text"/>
            </w:pPr>
            <w:r w:rsidRPr="00883399">
              <w:t>CH</w:t>
            </w:r>
            <w:r w:rsidRPr="00883399">
              <w:rPr>
                <w:vertAlign w:val="subscript"/>
              </w:rPr>
              <w:t>4</w:t>
            </w:r>
          </w:p>
        </w:tc>
        <w:tc>
          <w:tcPr>
            <w:tcW w:w="1574" w:type="dxa"/>
            <w:shd w:val="clear" w:color="auto" w:fill="E6E6E6"/>
          </w:tcPr>
          <w:p w14:paraId="10D0AC0D" w14:textId="77777777" w:rsidR="00872C03" w:rsidRPr="00883399" w:rsidRDefault="00872C03" w:rsidP="0031057E">
            <w:pPr>
              <w:pStyle w:val="Text"/>
            </w:pPr>
            <w:r w:rsidRPr="00883399">
              <w:t>N</w:t>
            </w:r>
            <w:r w:rsidRPr="00883399">
              <w:rPr>
                <w:vertAlign w:val="subscript"/>
              </w:rPr>
              <w:t>2</w:t>
            </w:r>
            <w:r w:rsidRPr="00883399">
              <w:t>O</w:t>
            </w:r>
          </w:p>
        </w:tc>
      </w:tr>
      <w:tr w:rsidR="00872C03" w:rsidRPr="00883399" w14:paraId="786A774D" w14:textId="77777777" w:rsidTr="0031057E">
        <w:tc>
          <w:tcPr>
            <w:tcW w:w="2400" w:type="dxa"/>
          </w:tcPr>
          <w:p w14:paraId="35FA0C60" w14:textId="77777777" w:rsidR="00872C03" w:rsidRPr="00883399" w:rsidRDefault="00872C03" w:rsidP="0031057E">
            <w:pPr>
              <w:pStyle w:val="Text"/>
              <w:spacing w:before="120" w:line="240" w:lineRule="auto"/>
            </w:pPr>
            <w:r w:rsidRPr="00883399">
              <w:t>Method 1</w:t>
            </w:r>
          </w:p>
        </w:tc>
        <w:tc>
          <w:tcPr>
            <w:tcW w:w="1800" w:type="dxa"/>
          </w:tcPr>
          <w:p w14:paraId="54B9A1A1" w14:textId="77777777" w:rsidR="00872C03" w:rsidRPr="00883399" w:rsidRDefault="00872C03" w:rsidP="0031057E">
            <w:pPr>
              <w:pStyle w:val="Text"/>
              <w:spacing w:before="120" w:line="240" w:lineRule="auto"/>
            </w:pPr>
            <w:r w:rsidRPr="00883399">
              <w:t>Section 4.31</w:t>
            </w:r>
          </w:p>
        </w:tc>
        <w:tc>
          <w:tcPr>
            <w:tcW w:w="1800" w:type="dxa"/>
          </w:tcPr>
          <w:p w14:paraId="707A86C3" w14:textId="77777777" w:rsidR="00872C03" w:rsidRPr="00883399" w:rsidRDefault="00872C03" w:rsidP="0031057E">
            <w:pPr>
              <w:pStyle w:val="Text"/>
              <w:spacing w:before="120" w:line="240" w:lineRule="auto"/>
            </w:pPr>
            <w:r w:rsidRPr="00883399">
              <w:t>Section 4.31</w:t>
            </w:r>
          </w:p>
        </w:tc>
        <w:tc>
          <w:tcPr>
            <w:tcW w:w="1574" w:type="dxa"/>
          </w:tcPr>
          <w:p w14:paraId="2790C88C" w14:textId="77777777" w:rsidR="00872C03" w:rsidRPr="00883399" w:rsidRDefault="00872C03" w:rsidP="0031057E">
            <w:pPr>
              <w:pStyle w:val="Text"/>
              <w:spacing w:before="120" w:line="240" w:lineRule="auto"/>
            </w:pPr>
            <w:r w:rsidRPr="00883399">
              <w:t>Section 4.31</w:t>
            </w:r>
          </w:p>
        </w:tc>
      </w:tr>
      <w:tr w:rsidR="00872C03" w:rsidRPr="00883399" w14:paraId="6A04A9DC" w14:textId="77777777" w:rsidTr="0031057E">
        <w:tc>
          <w:tcPr>
            <w:tcW w:w="2400" w:type="dxa"/>
          </w:tcPr>
          <w:p w14:paraId="276FBA03" w14:textId="77777777" w:rsidR="00872C03" w:rsidRPr="00883399" w:rsidRDefault="00872C03" w:rsidP="0031057E">
            <w:pPr>
              <w:pStyle w:val="Text"/>
              <w:spacing w:before="120" w:line="240" w:lineRule="auto"/>
            </w:pPr>
            <w:r w:rsidRPr="00883399">
              <w:t>Method 2</w:t>
            </w:r>
          </w:p>
        </w:tc>
        <w:tc>
          <w:tcPr>
            <w:tcW w:w="1800" w:type="dxa"/>
          </w:tcPr>
          <w:p w14:paraId="043FD471" w14:textId="77777777" w:rsidR="00872C03" w:rsidRPr="00883399" w:rsidRDefault="00872C03" w:rsidP="0031057E">
            <w:pPr>
              <w:pStyle w:val="Text"/>
              <w:spacing w:before="120" w:line="240" w:lineRule="auto"/>
            </w:pPr>
            <w:r w:rsidRPr="00883399">
              <w:t>Section 4.32</w:t>
            </w:r>
          </w:p>
        </w:tc>
        <w:tc>
          <w:tcPr>
            <w:tcW w:w="1800" w:type="dxa"/>
          </w:tcPr>
          <w:p w14:paraId="1FC5B43E" w14:textId="77777777" w:rsidR="00872C03" w:rsidRPr="00883399" w:rsidRDefault="00872C03" w:rsidP="0031057E">
            <w:pPr>
              <w:pStyle w:val="Text"/>
              <w:spacing w:before="120" w:line="240" w:lineRule="auto"/>
            </w:pPr>
            <w:r w:rsidRPr="00883399">
              <w:t>NA</w:t>
            </w:r>
          </w:p>
        </w:tc>
        <w:tc>
          <w:tcPr>
            <w:tcW w:w="1574" w:type="dxa"/>
          </w:tcPr>
          <w:p w14:paraId="7EA0630B" w14:textId="77777777" w:rsidR="00872C03" w:rsidRPr="00883399" w:rsidRDefault="00872C03" w:rsidP="0031057E">
            <w:pPr>
              <w:pStyle w:val="Text"/>
              <w:spacing w:before="120" w:line="240" w:lineRule="auto"/>
            </w:pPr>
            <w:r w:rsidRPr="00883399">
              <w:t>NA</w:t>
            </w:r>
          </w:p>
        </w:tc>
      </w:tr>
      <w:tr w:rsidR="00872C03" w:rsidRPr="00883399" w14:paraId="7E3F1C68" w14:textId="77777777" w:rsidTr="0031057E">
        <w:tc>
          <w:tcPr>
            <w:tcW w:w="2400" w:type="dxa"/>
          </w:tcPr>
          <w:p w14:paraId="4FF54958" w14:textId="77777777" w:rsidR="00872C03" w:rsidRPr="00883399" w:rsidRDefault="00872C03" w:rsidP="0031057E">
            <w:pPr>
              <w:pStyle w:val="Text"/>
              <w:spacing w:before="120" w:line="240" w:lineRule="auto"/>
            </w:pPr>
            <w:r w:rsidRPr="00883399">
              <w:t>Method 3</w:t>
            </w:r>
          </w:p>
        </w:tc>
        <w:tc>
          <w:tcPr>
            <w:tcW w:w="1800" w:type="dxa"/>
          </w:tcPr>
          <w:p w14:paraId="100B8871" w14:textId="77777777" w:rsidR="00872C03" w:rsidRPr="00883399" w:rsidRDefault="00872C03" w:rsidP="0031057E">
            <w:pPr>
              <w:pStyle w:val="Text"/>
              <w:spacing w:before="120" w:line="240" w:lineRule="auto"/>
            </w:pPr>
            <w:r w:rsidRPr="00883399">
              <w:t>Section 4.33</w:t>
            </w:r>
          </w:p>
        </w:tc>
        <w:tc>
          <w:tcPr>
            <w:tcW w:w="1800" w:type="dxa"/>
          </w:tcPr>
          <w:p w14:paraId="257E17DE" w14:textId="77777777" w:rsidR="00872C03" w:rsidRPr="00883399" w:rsidRDefault="00872C03" w:rsidP="0031057E">
            <w:pPr>
              <w:pStyle w:val="Text"/>
              <w:spacing w:before="120" w:line="240" w:lineRule="auto"/>
            </w:pPr>
            <w:r w:rsidRPr="00883399">
              <w:t>NA</w:t>
            </w:r>
          </w:p>
        </w:tc>
        <w:tc>
          <w:tcPr>
            <w:tcW w:w="1574" w:type="dxa"/>
          </w:tcPr>
          <w:p w14:paraId="716657B1" w14:textId="77777777" w:rsidR="00872C03" w:rsidRPr="00883399" w:rsidRDefault="00872C03" w:rsidP="0031057E">
            <w:pPr>
              <w:pStyle w:val="Text"/>
              <w:spacing w:before="120" w:line="240" w:lineRule="auto"/>
            </w:pPr>
            <w:r w:rsidRPr="00883399">
              <w:t>NA</w:t>
            </w:r>
          </w:p>
        </w:tc>
      </w:tr>
      <w:tr w:rsidR="00872C03" w:rsidRPr="00883399" w14:paraId="6FDA175D" w14:textId="77777777" w:rsidTr="0031057E">
        <w:tc>
          <w:tcPr>
            <w:tcW w:w="2400" w:type="dxa"/>
          </w:tcPr>
          <w:p w14:paraId="5631AC67" w14:textId="77777777" w:rsidR="00872C03" w:rsidRPr="00883399" w:rsidRDefault="00872C03" w:rsidP="0031057E">
            <w:pPr>
              <w:pStyle w:val="Text"/>
              <w:spacing w:before="120" w:line="240" w:lineRule="auto"/>
            </w:pPr>
            <w:r w:rsidRPr="00883399">
              <w:t>Method 4</w:t>
            </w:r>
          </w:p>
        </w:tc>
        <w:tc>
          <w:tcPr>
            <w:tcW w:w="1800" w:type="dxa"/>
          </w:tcPr>
          <w:p w14:paraId="4AAFD78A" w14:textId="77777777" w:rsidR="00872C03" w:rsidRPr="00883399" w:rsidRDefault="00872C03" w:rsidP="0031057E">
            <w:pPr>
              <w:pStyle w:val="Text"/>
              <w:spacing w:before="120" w:line="240" w:lineRule="auto"/>
            </w:pPr>
            <w:r w:rsidRPr="00883399">
              <w:t>Part 1.3</w:t>
            </w:r>
          </w:p>
        </w:tc>
        <w:tc>
          <w:tcPr>
            <w:tcW w:w="1800" w:type="dxa"/>
          </w:tcPr>
          <w:p w14:paraId="56ECA718" w14:textId="77777777" w:rsidR="00872C03" w:rsidRPr="00883399" w:rsidRDefault="00872C03" w:rsidP="0031057E">
            <w:pPr>
              <w:pStyle w:val="Text"/>
              <w:spacing w:before="120" w:line="240" w:lineRule="auto"/>
            </w:pPr>
            <w:r w:rsidRPr="00883399">
              <w:t>NA</w:t>
            </w:r>
          </w:p>
        </w:tc>
        <w:tc>
          <w:tcPr>
            <w:tcW w:w="1574" w:type="dxa"/>
          </w:tcPr>
          <w:p w14:paraId="4FD31504" w14:textId="77777777" w:rsidR="00872C03" w:rsidRPr="00883399" w:rsidRDefault="00872C03" w:rsidP="0031057E">
            <w:pPr>
              <w:pStyle w:val="Text"/>
              <w:spacing w:before="120" w:line="240" w:lineRule="auto"/>
            </w:pPr>
            <w:r w:rsidRPr="00883399">
              <w:t>NA</w:t>
            </w:r>
          </w:p>
        </w:tc>
      </w:tr>
    </w:tbl>
    <w:p w14:paraId="1CBF2D9E" w14:textId="77777777" w:rsidR="00872C03" w:rsidRPr="00883399" w:rsidRDefault="00872C03" w:rsidP="00872C03">
      <w:pPr>
        <w:pStyle w:val="Text"/>
        <w:ind w:left="840"/>
      </w:pPr>
      <w:r w:rsidRPr="00883399">
        <w:t xml:space="preserve">  NA = Not available</w:t>
      </w:r>
    </w:p>
    <w:p w14:paraId="6D45D05A" w14:textId="6B1292A8" w:rsidR="00872C03" w:rsidRPr="00883399" w:rsidRDefault="00872C03" w:rsidP="00872C03">
      <w:pPr>
        <w:pStyle w:val="ActHead5"/>
        <w:rPr>
          <w:sz w:val="28"/>
        </w:rPr>
      </w:pPr>
      <w:bookmarkStart w:id="879" w:name="_Toc423517037"/>
      <w:bookmarkStart w:id="880" w:name="_Toc495652969"/>
      <w:r w:rsidRPr="00883399">
        <w:rPr>
          <w:rStyle w:val="CharSectno"/>
          <w:sz w:val="28"/>
        </w:rPr>
        <w:t>4.31</w:t>
      </w:r>
      <w:r w:rsidRPr="00883399">
        <w:rPr>
          <w:sz w:val="28"/>
        </w:rPr>
        <w:t xml:space="preserve">  Method 1—production of soda ash</w:t>
      </w:r>
      <w:bookmarkEnd w:id="879"/>
      <w:bookmarkEnd w:id="880"/>
    </w:p>
    <w:p w14:paraId="2A56F140" w14:textId="77777777" w:rsidR="00872C03" w:rsidRPr="00883399" w:rsidRDefault="00872C03" w:rsidP="00872C03">
      <w:pPr>
        <w:pStyle w:val="subsection"/>
        <w:rPr>
          <w:sz w:val="24"/>
        </w:rPr>
      </w:pPr>
      <w:r w:rsidRPr="00883399">
        <w:rPr>
          <w:sz w:val="24"/>
        </w:rPr>
        <w:tab/>
      </w:r>
      <w:r w:rsidRPr="00883399">
        <w:rPr>
          <w:sz w:val="24"/>
        </w:rPr>
        <w:tab/>
        <w:t>Method 1 is:</w:t>
      </w:r>
    </w:p>
    <w:tbl>
      <w:tblPr>
        <w:tblW w:w="7866" w:type="dxa"/>
        <w:tblInd w:w="878" w:type="dxa"/>
        <w:tblLayout w:type="fixed"/>
        <w:tblLook w:val="0000" w:firstRow="0" w:lastRow="0" w:firstColumn="0" w:lastColumn="0" w:noHBand="0" w:noVBand="0"/>
      </w:tblPr>
      <w:tblGrid>
        <w:gridCol w:w="790"/>
        <w:gridCol w:w="7076"/>
      </w:tblGrid>
      <w:tr w:rsidR="00872C03" w:rsidRPr="00883399" w14:paraId="501891B8" w14:textId="77777777" w:rsidTr="0031057E">
        <w:trPr>
          <w:cantSplit/>
          <w:trHeight w:val="80"/>
        </w:trPr>
        <w:tc>
          <w:tcPr>
            <w:tcW w:w="790" w:type="dxa"/>
          </w:tcPr>
          <w:p w14:paraId="6471F519" w14:textId="77777777" w:rsidR="00872C03" w:rsidRPr="00883399" w:rsidRDefault="00872C03" w:rsidP="0031057E">
            <w:pPr>
              <w:pStyle w:val="Tabletext0"/>
              <w:rPr>
                <w:sz w:val="22"/>
              </w:rPr>
            </w:pPr>
            <w:r w:rsidRPr="00883399">
              <w:rPr>
                <w:sz w:val="24"/>
                <w:szCs w:val="22"/>
              </w:rPr>
              <w:t>Step 1</w:t>
            </w:r>
          </w:p>
        </w:tc>
        <w:tc>
          <w:tcPr>
            <w:tcW w:w="7076" w:type="dxa"/>
          </w:tcPr>
          <w:p w14:paraId="02D4998D" w14:textId="77777777" w:rsidR="00872C03" w:rsidRPr="00883399" w:rsidRDefault="00872C03" w:rsidP="0031057E">
            <w:pPr>
              <w:pStyle w:val="Tabletext0"/>
              <w:rPr>
                <w:sz w:val="24"/>
                <w:szCs w:val="22"/>
              </w:rPr>
            </w:pPr>
            <w:r w:rsidRPr="00883399">
              <w:rPr>
                <w:sz w:val="24"/>
                <w:szCs w:val="22"/>
              </w:rPr>
              <w:t>Calculate the carbon content in fuel type (</w:t>
            </w:r>
            <w:r w:rsidRPr="00883399">
              <w:rPr>
                <w:b/>
                <w:bCs/>
                <w:i/>
                <w:iCs/>
                <w:sz w:val="24"/>
                <w:szCs w:val="22"/>
              </w:rPr>
              <w:t>i</w:t>
            </w:r>
            <w:r w:rsidRPr="00883399">
              <w:rPr>
                <w:sz w:val="24"/>
                <w:szCs w:val="22"/>
              </w:rPr>
              <w:t>) or carbonate material (</w:t>
            </w:r>
            <w:r w:rsidRPr="00883399">
              <w:rPr>
                <w:b/>
                <w:i/>
                <w:sz w:val="24"/>
                <w:szCs w:val="22"/>
              </w:rPr>
              <w:t>j</w:t>
            </w:r>
            <w:r w:rsidRPr="00883399">
              <w:rPr>
                <w:sz w:val="24"/>
                <w:szCs w:val="22"/>
              </w:rPr>
              <w:t>) delivered for the activity during the year measured in tonnes of carbon as follows:</w:t>
            </w:r>
          </w:p>
          <w:p w14:paraId="3113650E" w14:textId="6AFD27B8" w:rsidR="00872C03" w:rsidRPr="00883399" w:rsidRDefault="00872C03" w:rsidP="0031057E">
            <w:pPr>
              <w:pStyle w:val="Formula"/>
              <w:keepLines/>
              <w:ind w:left="13"/>
              <w:rPr>
                <w:position w:val="-14"/>
                <w:sz w:val="22"/>
              </w:rPr>
            </w:pPr>
            <w:r w:rsidRPr="00883399">
              <w:rPr>
                <w:noProof/>
                <w:position w:val="-14"/>
                <w:sz w:val="22"/>
              </w:rPr>
              <w:drawing>
                <wp:inline distT="0" distB="0" distL="0" distR="0" wp14:anchorId="226BCB66" wp14:editId="1C66BDA2">
                  <wp:extent cx="1899920" cy="237490"/>
                  <wp:effectExtent l="19050" t="0" r="508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98"/>
                          <a:srcRect/>
                          <a:stretch>
                            <a:fillRect/>
                          </a:stretch>
                        </pic:blipFill>
                        <pic:spPr bwMode="auto">
                          <a:xfrm>
                            <a:off x="0" y="0"/>
                            <a:ext cx="1899920" cy="237490"/>
                          </a:xfrm>
                          <a:prstGeom prst="rect">
                            <a:avLst/>
                          </a:prstGeom>
                          <a:noFill/>
                          <a:ln w="9525">
                            <a:noFill/>
                            <a:miter lim="800000"/>
                            <a:headEnd/>
                            <a:tailEnd/>
                          </a:ln>
                        </pic:spPr>
                      </pic:pic>
                    </a:graphicData>
                  </a:graphic>
                </wp:inline>
              </w:drawing>
            </w:r>
          </w:p>
        </w:tc>
      </w:tr>
      <w:tr w:rsidR="00872C03" w:rsidRPr="00883399" w14:paraId="077F5102" w14:textId="77777777" w:rsidTr="0031057E">
        <w:trPr>
          <w:cantSplit/>
          <w:trHeight w:val="80"/>
        </w:trPr>
        <w:tc>
          <w:tcPr>
            <w:tcW w:w="790" w:type="dxa"/>
          </w:tcPr>
          <w:p w14:paraId="599B2333" w14:textId="77777777" w:rsidR="00872C03" w:rsidRPr="00883399" w:rsidRDefault="00872C03" w:rsidP="0031057E">
            <w:pPr>
              <w:spacing w:before="60" w:after="60"/>
            </w:pPr>
          </w:p>
        </w:tc>
        <w:tc>
          <w:tcPr>
            <w:tcW w:w="7076" w:type="dxa"/>
          </w:tcPr>
          <w:p w14:paraId="2FA22FD3" w14:textId="77777777" w:rsidR="00872C03" w:rsidRPr="00883399" w:rsidRDefault="00872C03" w:rsidP="0031057E">
            <w:pPr>
              <w:pStyle w:val="subsection2"/>
              <w:ind w:left="13"/>
              <w:rPr>
                <w:sz w:val="24"/>
              </w:rPr>
            </w:pPr>
            <w:r w:rsidRPr="00883399">
              <w:rPr>
                <w:sz w:val="24"/>
              </w:rPr>
              <w:t>where:</w:t>
            </w:r>
          </w:p>
          <w:p w14:paraId="7C117263" w14:textId="77777777" w:rsidR="00872C03" w:rsidRPr="00883399" w:rsidRDefault="00872C03" w:rsidP="0031057E">
            <w:pPr>
              <w:pStyle w:val="Definition0"/>
              <w:spacing w:after="60"/>
              <w:ind w:left="0"/>
              <w:rPr>
                <w:sz w:val="24"/>
              </w:rPr>
            </w:pPr>
            <w:r w:rsidRPr="00883399">
              <w:rPr>
                <w:rFonts w:ascii="TimesNewRoman" w:hAnsi="TimesNewRoman" w:cs="TimesNewRoman"/>
                <w:i/>
                <w:sz w:val="24"/>
                <w:szCs w:val="22"/>
              </w:rPr>
              <w:t>∑</w:t>
            </w:r>
            <w:r w:rsidRPr="00883399">
              <w:rPr>
                <w:rFonts w:ascii="TimesNewRoman,BoldItalic" w:hAnsi="TimesNewRoman,BoldItalic" w:cs="TimesNewRoman,BoldItalic"/>
                <w:bCs/>
                <w:i/>
                <w:iCs/>
                <w:sz w:val="16"/>
                <w:szCs w:val="14"/>
              </w:rPr>
              <w:t>i</w:t>
            </w:r>
            <w:r w:rsidRPr="00883399">
              <w:rPr>
                <w:i/>
                <w:sz w:val="24"/>
                <w:vertAlign w:val="subscript"/>
              </w:rPr>
              <w:t xml:space="preserve"> </w:t>
            </w:r>
            <w:r w:rsidRPr="00883399">
              <w:rPr>
                <w:sz w:val="24"/>
              </w:rPr>
              <w:t>means sum the carbon content values obtained for all fuel types (</w:t>
            </w:r>
            <w:r w:rsidRPr="00883399">
              <w:rPr>
                <w:b/>
                <w:i/>
                <w:sz w:val="24"/>
              </w:rPr>
              <w:t>i</w:t>
            </w:r>
            <w:r w:rsidRPr="00883399">
              <w:rPr>
                <w:sz w:val="24"/>
              </w:rPr>
              <w:t>).</w:t>
            </w:r>
          </w:p>
          <w:p w14:paraId="445E3DC5" w14:textId="77777777" w:rsidR="00872C03" w:rsidRPr="00883399" w:rsidRDefault="00872C03" w:rsidP="0031057E">
            <w:pPr>
              <w:pStyle w:val="Definition0"/>
              <w:spacing w:before="60" w:after="60"/>
              <w:ind w:left="34"/>
              <w:rPr>
                <w:sz w:val="24"/>
              </w:rPr>
            </w:pPr>
            <w:r w:rsidRPr="00883399">
              <w:rPr>
                <w:b/>
                <w:i/>
                <w:sz w:val="24"/>
              </w:rPr>
              <w:t>CCF</w:t>
            </w:r>
            <w:r w:rsidRPr="00883399">
              <w:rPr>
                <w:i/>
                <w:sz w:val="24"/>
                <w:vertAlign w:val="subscript"/>
              </w:rPr>
              <w:t>i</w:t>
            </w:r>
            <w:r w:rsidRPr="00883399">
              <w:rPr>
                <w:sz w:val="24"/>
              </w:rPr>
              <w:t xml:space="preserve"> is the carbon content factor mentioned in Schedule 3 measured in tonnes of carbon for each appropriate unit of fuel type (i) consumed during the year from the operation of the activity.</w:t>
            </w:r>
          </w:p>
          <w:p w14:paraId="6E748781" w14:textId="77777777" w:rsidR="00872C03" w:rsidRPr="00883399" w:rsidRDefault="00872C03" w:rsidP="0031057E">
            <w:pPr>
              <w:pStyle w:val="Definition0"/>
              <w:spacing w:before="60" w:after="60"/>
              <w:ind w:left="34"/>
              <w:rPr>
                <w:rFonts w:ascii="TimesNewRoman" w:hAnsi="TimesNewRoman" w:cs="TimesNewRoman"/>
                <w:sz w:val="24"/>
                <w:szCs w:val="22"/>
              </w:rPr>
            </w:pPr>
            <w:r w:rsidRPr="00883399">
              <w:rPr>
                <w:b/>
                <w:i/>
                <w:sz w:val="24"/>
              </w:rPr>
              <w:t>Q</w:t>
            </w:r>
            <w:r w:rsidRPr="00883399">
              <w:rPr>
                <w:b/>
                <w:i/>
                <w:sz w:val="24"/>
                <w:vertAlign w:val="subscript"/>
              </w:rPr>
              <w:t xml:space="preserve">i </w:t>
            </w:r>
            <w:r w:rsidRPr="00883399">
              <w:rPr>
                <w:sz w:val="24"/>
                <w:szCs w:val="22"/>
              </w:rPr>
              <w:t>is the quantity of fuel type (</w:t>
            </w:r>
            <w:r w:rsidRPr="00883399">
              <w:rPr>
                <w:b/>
                <w:bCs/>
                <w:i/>
                <w:iCs/>
                <w:sz w:val="24"/>
                <w:szCs w:val="22"/>
              </w:rPr>
              <w:t>i</w:t>
            </w:r>
            <w:r w:rsidRPr="00883399">
              <w:rPr>
                <w:sz w:val="24"/>
                <w:szCs w:val="22"/>
              </w:rPr>
              <w:t>) delivered for the activity during the year measured in an appropriate unit and estimated in accordance with Division 2.2.5, 2.3.6 and 2.4.6.</w:t>
            </w:r>
          </w:p>
        </w:tc>
      </w:tr>
      <w:tr w:rsidR="00872C03" w:rsidRPr="00883399" w14:paraId="3E5C3EF5" w14:textId="77777777" w:rsidTr="0031057E">
        <w:trPr>
          <w:cantSplit/>
          <w:trHeight w:val="80"/>
        </w:trPr>
        <w:tc>
          <w:tcPr>
            <w:tcW w:w="790" w:type="dxa"/>
          </w:tcPr>
          <w:p w14:paraId="3A5377FE" w14:textId="77777777" w:rsidR="00872C03" w:rsidRPr="00883399" w:rsidRDefault="00872C03" w:rsidP="0031057E">
            <w:pPr>
              <w:spacing w:before="60" w:after="60"/>
            </w:pPr>
          </w:p>
        </w:tc>
        <w:tc>
          <w:tcPr>
            <w:tcW w:w="7076" w:type="dxa"/>
          </w:tcPr>
          <w:p w14:paraId="2F2F22F1" w14:textId="77777777" w:rsidR="00872C03" w:rsidRPr="00883399" w:rsidRDefault="00872C03" w:rsidP="0031057E">
            <w:pPr>
              <w:pStyle w:val="Definition0"/>
              <w:spacing w:before="60" w:after="60"/>
              <w:ind w:left="0"/>
              <w:rPr>
                <w:sz w:val="24"/>
                <w:szCs w:val="22"/>
              </w:rPr>
            </w:pPr>
            <w:r w:rsidRPr="00883399">
              <w:rPr>
                <w:i/>
                <w:sz w:val="24"/>
                <w:szCs w:val="22"/>
              </w:rPr>
              <w:t>∑</w:t>
            </w:r>
            <w:r w:rsidRPr="00883399">
              <w:rPr>
                <w:b/>
                <w:bCs/>
                <w:i/>
                <w:iCs/>
                <w:sz w:val="16"/>
                <w:szCs w:val="14"/>
              </w:rPr>
              <w:t>j</w:t>
            </w:r>
            <w:r w:rsidRPr="00883399">
              <w:rPr>
                <w:b/>
                <w:i/>
                <w:sz w:val="24"/>
              </w:rPr>
              <w:t xml:space="preserve"> </w:t>
            </w:r>
            <w:r w:rsidRPr="00883399">
              <w:rPr>
                <w:sz w:val="24"/>
                <w:szCs w:val="22"/>
              </w:rPr>
              <w:t>means sum the carbon content values obtained for all pure carbonate material (</w:t>
            </w:r>
            <w:r w:rsidRPr="00883399">
              <w:rPr>
                <w:b/>
                <w:i/>
                <w:sz w:val="24"/>
                <w:szCs w:val="22"/>
              </w:rPr>
              <w:t>j</w:t>
            </w:r>
            <w:r w:rsidRPr="00883399">
              <w:rPr>
                <w:sz w:val="24"/>
                <w:szCs w:val="22"/>
              </w:rPr>
              <w:t>).</w:t>
            </w:r>
          </w:p>
        </w:tc>
      </w:tr>
      <w:tr w:rsidR="00872C03" w:rsidRPr="00883399" w14:paraId="7692DD7C" w14:textId="77777777" w:rsidTr="0031057E">
        <w:trPr>
          <w:cantSplit/>
          <w:trHeight w:val="80"/>
        </w:trPr>
        <w:tc>
          <w:tcPr>
            <w:tcW w:w="790" w:type="dxa"/>
          </w:tcPr>
          <w:p w14:paraId="73E81AD0" w14:textId="77777777" w:rsidR="00872C03" w:rsidRPr="00883399" w:rsidRDefault="00872C03" w:rsidP="0031057E">
            <w:pPr>
              <w:spacing w:before="60" w:after="60"/>
            </w:pPr>
          </w:p>
        </w:tc>
        <w:tc>
          <w:tcPr>
            <w:tcW w:w="7076" w:type="dxa"/>
          </w:tcPr>
          <w:p w14:paraId="2A59874A" w14:textId="77777777" w:rsidR="00872C03" w:rsidRPr="00883399" w:rsidRDefault="00872C03" w:rsidP="0031057E">
            <w:pPr>
              <w:pStyle w:val="Definition0"/>
              <w:spacing w:before="60" w:after="60"/>
              <w:ind w:left="34"/>
              <w:rPr>
                <w:sz w:val="24"/>
                <w:szCs w:val="22"/>
              </w:rPr>
            </w:pPr>
            <w:r w:rsidRPr="00883399">
              <w:rPr>
                <w:b/>
                <w:bCs/>
                <w:i/>
                <w:iCs/>
                <w:sz w:val="24"/>
                <w:szCs w:val="22"/>
              </w:rPr>
              <w:t>CCF</w:t>
            </w:r>
            <w:r w:rsidRPr="00883399">
              <w:rPr>
                <w:b/>
                <w:bCs/>
                <w:i/>
                <w:iCs/>
                <w:sz w:val="16"/>
                <w:szCs w:val="14"/>
              </w:rPr>
              <w:t xml:space="preserve">j </w:t>
            </w:r>
            <w:r w:rsidRPr="00883399">
              <w:rPr>
                <w:sz w:val="24"/>
                <w:szCs w:val="22"/>
              </w:rPr>
              <w:t>is the carbon content factor mention</w:t>
            </w:r>
            <w:r w:rsidRPr="00883399">
              <w:rPr>
                <w:sz w:val="24"/>
              </w:rPr>
              <w:t>ed in Schedule 3 measured in tonnes of c</w:t>
            </w:r>
            <w:r w:rsidRPr="00883399">
              <w:rPr>
                <w:sz w:val="24"/>
                <w:szCs w:val="22"/>
              </w:rPr>
              <w:t>arbon for each tonne of pure carbonate material (</w:t>
            </w:r>
            <w:r w:rsidRPr="00883399">
              <w:rPr>
                <w:b/>
                <w:i/>
                <w:sz w:val="24"/>
                <w:szCs w:val="22"/>
              </w:rPr>
              <w:t>j</w:t>
            </w:r>
            <w:r w:rsidRPr="00883399">
              <w:rPr>
                <w:sz w:val="24"/>
                <w:szCs w:val="22"/>
              </w:rPr>
              <w:t>) consumed during the year from the operation of the activity.</w:t>
            </w:r>
          </w:p>
          <w:p w14:paraId="47A7E0BF" w14:textId="77777777" w:rsidR="00872C03" w:rsidRPr="00883399" w:rsidRDefault="00872C03" w:rsidP="0031057E">
            <w:pPr>
              <w:pStyle w:val="Definition0"/>
              <w:spacing w:before="60" w:after="60"/>
              <w:ind w:left="34"/>
              <w:rPr>
                <w:sz w:val="24"/>
                <w:szCs w:val="22"/>
              </w:rPr>
            </w:pPr>
            <w:r w:rsidRPr="00883399">
              <w:rPr>
                <w:b/>
                <w:i/>
                <w:sz w:val="24"/>
                <w:szCs w:val="22"/>
              </w:rPr>
              <w:t>F</w:t>
            </w:r>
            <w:r w:rsidRPr="00883399">
              <w:rPr>
                <w:b/>
                <w:i/>
                <w:sz w:val="16"/>
                <w:szCs w:val="18"/>
              </w:rPr>
              <w:t>j</w:t>
            </w:r>
            <w:r w:rsidRPr="00883399">
              <w:rPr>
                <w:b/>
                <w:i/>
                <w:sz w:val="24"/>
                <w:szCs w:val="22"/>
              </w:rPr>
              <w:t xml:space="preserve"> </w:t>
            </w:r>
            <w:r w:rsidRPr="00883399">
              <w:rPr>
                <w:sz w:val="24"/>
                <w:szCs w:val="22"/>
              </w:rPr>
              <w:t>is the fraction of pure carbonate material (</w:t>
            </w:r>
            <w:r w:rsidRPr="00883399">
              <w:rPr>
                <w:b/>
                <w:i/>
                <w:sz w:val="24"/>
                <w:szCs w:val="22"/>
              </w:rPr>
              <w:t>j</w:t>
            </w:r>
            <w:r w:rsidRPr="00883399">
              <w:rPr>
                <w:sz w:val="24"/>
                <w:szCs w:val="22"/>
              </w:rPr>
              <w:t>) in the raw carbonate input material and taken to be 0.97 for calcium carbonate and 0.018 for magnesium carbonate.</w:t>
            </w:r>
          </w:p>
          <w:p w14:paraId="0E65E871" w14:textId="77777777" w:rsidR="00872C03" w:rsidRPr="00883399" w:rsidRDefault="00872C03" w:rsidP="0031057E">
            <w:pPr>
              <w:pStyle w:val="Definition0"/>
              <w:spacing w:before="60" w:after="60"/>
              <w:ind w:left="34"/>
              <w:rPr>
                <w:sz w:val="24"/>
              </w:rPr>
            </w:pPr>
            <w:r w:rsidRPr="00883399">
              <w:rPr>
                <w:b/>
                <w:i/>
                <w:sz w:val="24"/>
                <w:szCs w:val="22"/>
              </w:rPr>
              <w:t>L</w:t>
            </w:r>
            <w:r w:rsidRPr="00883399">
              <w:rPr>
                <w:b/>
                <w:i/>
                <w:sz w:val="16"/>
                <w:szCs w:val="18"/>
              </w:rPr>
              <w:t xml:space="preserve"> j</w:t>
            </w:r>
            <w:r w:rsidRPr="00883399">
              <w:rPr>
                <w:i/>
                <w:sz w:val="20"/>
                <w:szCs w:val="18"/>
              </w:rPr>
              <w:t xml:space="preserve"> </w:t>
            </w:r>
            <w:r w:rsidRPr="00883399">
              <w:rPr>
                <w:sz w:val="24"/>
                <w:szCs w:val="18"/>
              </w:rPr>
              <w:t xml:space="preserve">is the quantity of raw carbonate input material </w:t>
            </w:r>
            <w:r w:rsidRPr="00883399">
              <w:rPr>
                <w:sz w:val="24"/>
                <w:szCs w:val="22"/>
              </w:rPr>
              <w:t>(</w:t>
            </w:r>
            <w:r w:rsidRPr="00883399">
              <w:rPr>
                <w:b/>
                <w:i/>
                <w:sz w:val="24"/>
                <w:szCs w:val="22"/>
              </w:rPr>
              <w:t>j</w:t>
            </w:r>
            <w:r w:rsidRPr="00883399">
              <w:rPr>
                <w:sz w:val="24"/>
                <w:szCs w:val="22"/>
              </w:rPr>
              <w:t xml:space="preserve">) </w:t>
            </w:r>
            <w:r w:rsidRPr="00883399">
              <w:rPr>
                <w:sz w:val="24"/>
                <w:szCs w:val="18"/>
              </w:rPr>
              <w:t xml:space="preserve">delivered for the activity during the year measured in tonnes and estimated </w:t>
            </w:r>
            <w:r w:rsidRPr="00883399">
              <w:rPr>
                <w:sz w:val="24"/>
                <w:szCs w:val="22"/>
              </w:rPr>
              <w:t>in accordance with Division 4.2.5.</w:t>
            </w:r>
          </w:p>
        </w:tc>
      </w:tr>
      <w:tr w:rsidR="00872C03" w:rsidRPr="00883399" w14:paraId="45B29594" w14:textId="77777777" w:rsidTr="0031057E">
        <w:trPr>
          <w:cantSplit/>
        </w:trPr>
        <w:tc>
          <w:tcPr>
            <w:tcW w:w="790" w:type="dxa"/>
          </w:tcPr>
          <w:p w14:paraId="7B47E537" w14:textId="77777777" w:rsidR="00872C03" w:rsidRPr="00883399" w:rsidRDefault="00872C03" w:rsidP="0031057E">
            <w:pPr>
              <w:pStyle w:val="Tabletext0"/>
              <w:rPr>
                <w:sz w:val="22"/>
              </w:rPr>
            </w:pPr>
            <w:r w:rsidRPr="00883399">
              <w:rPr>
                <w:sz w:val="24"/>
                <w:szCs w:val="22"/>
              </w:rPr>
              <w:t>Step 2</w:t>
            </w:r>
          </w:p>
        </w:tc>
        <w:tc>
          <w:tcPr>
            <w:tcW w:w="7076" w:type="dxa"/>
          </w:tcPr>
          <w:p w14:paraId="103162E6" w14:textId="77777777" w:rsidR="00872C03" w:rsidRPr="00883399" w:rsidRDefault="00872C03" w:rsidP="0031057E">
            <w:pPr>
              <w:pStyle w:val="Tabletext0"/>
              <w:rPr>
                <w:sz w:val="24"/>
                <w:szCs w:val="22"/>
              </w:rPr>
            </w:pPr>
            <w:r w:rsidRPr="00883399">
              <w:rPr>
                <w:sz w:val="24"/>
                <w:szCs w:val="22"/>
              </w:rPr>
              <w:t>Calculate the carbon content in products (</w:t>
            </w:r>
            <w:r w:rsidRPr="00883399">
              <w:rPr>
                <w:b/>
                <w:i/>
                <w:sz w:val="24"/>
                <w:szCs w:val="22"/>
              </w:rPr>
              <w:t>p</w:t>
            </w:r>
            <w:r w:rsidRPr="00883399">
              <w:rPr>
                <w:sz w:val="24"/>
                <w:szCs w:val="22"/>
              </w:rPr>
              <w:t>) leaving the activity during the year measured in tonnes of carbon as follows:</w:t>
            </w:r>
          </w:p>
          <w:p w14:paraId="51ABC508" w14:textId="5C9D4A80" w:rsidR="00872C03" w:rsidRPr="00883399" w:rsidRDefault="00872C03" w:rsidP="0031057E">
            <w:pPr>
              <w:pStyle w:val="Formula"/>
              <w:keepLines/>
              <w:ind w:left="13"/>
              <w:rPr>
                <w:szCs w:val="22"/>
              </w:rPr>
            </w:pPr>
            <w:r w:rsidRPr="00883399">
              <w:rPr>
                <w:noProof/>
                <w:position w:val="-14"/>
                <w:szCs w:val="22"/>
              </w:rPr>
              <w:drawing>
                <wp:inline distT="0" distB="0" distL="0" distR="0" wp14:anchorId="2C859E75" wp14:editId="1D1CC799">
                  <wp:extent cx="1116330" cy="237490"/>
                  <wp:effectExtent l="19050" t="0" r="762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99"/>
                          <a:srcRect/>
                          <a:stretch>
                            <a:fillRect/>
                          </a:stretch>
                        </pic:blipFill>
                        <pic:spPr bwMode="auto">
                          <a:xfrm>
                            <a:off x="0" y="0"/>
                            <a:ext cx="1116330" cy="237490"/>
                          </a:xfrm>
                          <a:prstGeom prst="rect">
                            <a:avLst/>
                          </a:prstGeom>
                          <a:noFill/>
                          <a:ln w="9525">
                            <a:noFill/>
                            <a:miter lim="800000"/>
                            <a:headEnd/>
                            <a:tailEnd/>
                          </a:ln>
                        </pic:spPr>
                      </pic:pic>
                    </a:graphicData>
                  </a:graphic>
                </wp:inline>
              </w:drawing>
            </w:r>
          </w:p>
        </w:tc>
      </w:tr>
      <w:tr w:rsidR="00872C03" w:rsidRPr="00883399" w14:paraId="72D7C606" w14:textId="77777777" w:rsidTr="0031057E">
        <w:trPr>
          <w:cantSplit/>
          <w:trHeight w:val="1128"/>
        </w:trPr>
        <w:tc>
          <w:tcPr>
            <w:tcW w:w="790" w:type="dxa"/>
            <w:vMerge w:val="restart"/>
          </w:tcPr>
          <w:p w14:paraId="6F212827" w14:textId="77777777" w:rsidR="00872C03" w:rsidRPr="00883399" w:rsidRDefault="00872C03" w:rsidP="0031057E">
            <w:pPr>
              <w:spacing w:before="60" w:after="60"/>
            </w:pPr>
          </w:p>
        </w:tc>
        <w:tc>
          <w:tcPr>
            <w:tcW w:w="7076" w:type="dxa"/>
          </w:tcPr>
          <w:p w14:paraId="660E54C1" w14:textId="77777777" w:rsidR="00872C03" w:rsidRPr="00883399" w:rsidRDefault="00872C03" w:rsidP="0031057E">
            <w:pPr>
              <w:pStyle w:val="subsection2"/>
              <w:ind w:left="13"/>
              <w:rPr>
                <w:sz w:val="24"/>
              </w:rPr>
            </w:pPr>
            <w:r w:rsidRPr="00883399">
              <w:rPr>
                <w:sz w:val="24"/>
              </w:rPr>
              <w:t>where:</w:t>
            </w:r>
          </w:p>
          <w:p w14:paraId="4ED6623A" w14:textId="77777777" w:rsidR="00872C03" w:rsidRPr="00883399" w:rsidRDefault="00872C03" w:rsidP="0031057E">
            <w:pPr>
              <w:pStyle w:val="Definition0"/>
              <w:spacing w:after="60"/>
              <w:ind w:left="0"/>
              <w:rPr>
                <w:sz w:val="24"/>
              </w:rPr>
            </w:pPr>
            <w:r w:rsidRPr="00883399">
              <w:rPr>
                <w:i/>
                <w:sz w:val="24"/>
                <w:szCs w:val="22"/>
              </w:rPr>
              <w:t>∑</w:t>
            </w:r>
            <w:r w:rsidRPr="00883399">
              <w:rPr>
                <w:b/>
                <w:bCs/>
                <w:i/>
                <w:iCs/>
                <w:sz w:val="16"/>
                <w:szCs w:val="14"/>
              </w:rPr>
              <w:t xml:space="preserve">p </w:t>
            </w:r>
            <w:r w:rsidRPr="00883399">
              <w:rPr>
                <w:sz w:val="24"/>
                <w:szCs w:val="22"/>
              </w:rPr>
              <w:t>means sum the carbon content values obtained for all product types (</w:t>
            </w:r>
            <w:r w:rsidRPr="00883399">
              <w:rPr>
                <w:b/>
                <w:bCs/>
                <w:i/>
                <w:iCs/>
                <w:sz w:val="24"/>
                <w:szCs w:val="22"/>
              </w:rPr>
              <w:t>p</w:t>
            </w:r>
            <w:r w:rsidRPr="00883399">
              <w:rPr>
                <w:sz w:val="24"/>
                <w:szCs w:val="22"/>
              </w:rPr>
              <w:t>).</w:t>
            </w:r>
          </w:p>
          <w:p w14:paraId="11833D6A" w14:textId="77777777" w:rsidR="00872C03" w:rsidRPr="00883399" w:rsidRDefault="00872C03" w:rsidP="0031057E">
            <w:pPr>
              <w:pStyle w:val="Definition0"/>
              <w:spacing w:before="60" w:after="60"/>
              <w:ind w:left="34"/>
              <w:rPr>
                <w:sz w:val="24"/>
              </w:rPr>
            </w:pPr>
            <w:r w:rsidRPr="00883399">
              <w:rPr>
                <w:b/>
                <w:bCs/>
                <w:i/>
                <w:iCs/>
                <w:sz w:val="24"/>
                <w:szCs w:val="22"/>
              </w:rPr>
              <w:t>CCF</w:t>
            </w:r>
            <w:r w:rsidRPr="00883399">
              <w:rPr>
                <w:b/>
                <w:bCs/>
                <w:i/>
                <w:iCs/>
                <w:sz w:val="16"/>
                <w:szCs w:val="14"/>
              </w:rPr>
              <w:t xml:space="preserve">p </w:t>
            </w:r>
            <w:r w:rsidRPr="00883399">
              <w:rPr>
                <w:sz w:val="24"/>
                <w:szCs w:val="22"/>
              </w:rPr>
              <w:t>is the carbon content factor mentioned in Schedule 3 and measured in tonnes of carbon for each tonne of product type (</w:t>
            </w:r>
            <w:r w:rsidRPr="00883399">
              <w:rPr>
                <w:b/>
                <w:bCs/>
                <w:i/>
                <w:iCs/>
                <w:sz w:val="24"/>
                <w:szCs w:val="22"/>
              </w:rPr>
              <w:t>p</w:t>
            </w:r>
            <w:r w:rsidRPr="00883399">
              <w:rPr>
                <w:sz w:val="24"/>
                <w:szCs w:val="22"/>
              </w:rPr>
              <w:t>) produced during the year.</w:t>
            </w:r>
          </w:p>
        </w:tc>
      </w:tr>
      <w:tr w:rsidR="00872C03" w:rsidRPr="00883399" w14:paraId="1CDDB31F" w14:textId="77777777" w:rsidTr="0031057E">
        <w:trPr>
          <w:cantSplit/>
          <w:trHeight w:val="1050"/>
        </w:trPr>
        <w:tc>
          <w:tcPr>
            <w:tcW w:w="790" w:type="dxa"/>
            <w:vMerge/>
          </w:tcPr>
          <w:p w14:paraId="5AD4CF10" w14:textId="77777777" w:rsidR="00872C03" w:rsidRPr="00883399" w:rsidRDefault="00872C03" w:rsidP="0031057E">
            <w:pPr>
              <w:spacing w:before="60" w:after="60"/>
            </w:pPr>
          </w:p>
        </w:tc>
        <w:tc>
          <w:tcPr>
            <w:tcW w:w="7076" w:type="dxa"/>
          </w:tcPr>
          <w:p w14:paraId="31186E75" w14:textId="77777777" w:rsidR="00872C03" w:rsidRPr="00883399" w:rsidRDefault="00872C03" w:rsidP="0031057E">
            <w:pPr>
              <w:pStyle w:val="Definition0"/>
              <w:spacing w:before="60" w:after="60"/>
              <w:ind w:left="0"/>
              <w:rPr>
                <w:iCs/>
                <w:sz w:val="24"/>
              </w:rPr>
            </w:pPr>
            <w:r w:rsidRPr="00883399">
              <w:rPr>
                <w:b/>
                <w:i/>
                <w:sz w:val="24"/>
                <w:szCs w:val="22"/>
              </w:rPr>
              <w:t>F</w:t>
            </w:r>
            <w:r w:rsidRPr="00883399">
              <w:rPr>
                <w:b/>
                <w:i/>
                <w:sz w:val="16"/>
                <w:szCs w:val="18"/>
              </w:rPr>
              <w:t>p</w:t>
            </w:r>
            <w:r w:rsidRPr="00883399">
              <w:rPr>
                <w:b/>
                <w:i/>
                <w:sz w:val="24"/>
                <w:szCs w:val="22"/>
              </w:rPr>
              <w:t xml:space="preserve"> </w:t>
            </w:r>
            <w:r w:rsidRPr="00883399">
              <w:rPr>
                <w:sz w:val="24"/>
                <w:szCs w:val="22"/>
              </w:rPr>
              <w:t>is the fraction of pure carbonate material in the product type (</w:t>
            </w:r>
            <w:r w:rsidRPr="00883399">
              <w:rPr>
                <w:b/>
                <w:i/>
                <w:sz w:val="24"/>
                <w:szCs w:val="22"/>
              </w:rPr>
              <w:t>p</w:t>
            </w:r>
            <w:r w:rsidRPr="00883399">
              <w:rPr>
                <w:sz w:val="24"/>
                <w:szCs w:val="22"/>
              </w:rPr>
              <w:t>).</w:t>
            </w:r>
          </w:p>
          <w:p w14:paraId="11524996" w14:textId="77777777" w:rsidR="00872C03" w:rsidRPr="00883399" w:rsidRDefault="00872C03" w:rsidP="0031057E">
            <w:pPr>
              <w:pStyle w:val="Definition0"/>
              <w:spacing w:before="60" w:after="60"/>
              <w:ind w:left="0"/>
              <w:rPr>
                <w:sz w:val="24"/>
              </w:rPr>
            </w:pPr>
            <w:r w:rsidRPr="00883399">
              <w:rPr>
                <w:b/>
                <w:bCs/>
                <w:i/>
                <w:iCs/>
                <w:sz w:val="24"/>
                <w:szCs w:val="22"/>
              </w:rPr>
              <w:t>A</w:t>
            </w:r>
            <w:r w:rsidRPr="00883399">
              <w:rPr>
                <w:b/>
                <w:bCs/>
                <w:i/>
                <w:iCs/>
                <w:sz w:val="16"/>
                <w:szCs w:val="14"/>
              </w:rPr>
              <w:t xml:space="preserve">p </w:t>
            </w:r>
            <w:r w:rsidRPr="00883399">
              <w:rPr>
                <w:sz w:val="24"/>
                <w:szCs w:val="22"/>
              </w:rPr>
              <w:t>is the quantity of product types (</w:t>
            </w:r>
            <w:r w:rsidRPr="00883399">
              <w:rPr>
                <w:b/>
                <w:bCs/>
                <w:i/>
                <w:iCs/>
                <w:sz w:val="24"/>
                <w:szCs w:val="22"/>
              </w:rPr>
              <w:t>p</w:t>
            </w:r>
            <w:r w:rsidRPr="00883399">
              <w:rPr>
                <w:sz w:val="24"/>
                <w:szCs w:val="22"/>
              </w:rPr>
              <w:t>) produced leaving the activity during the year measured in tonnes.</w:t>
            </w:r>
          </w:p>
        </w:tc>
      </w:tr>
      <w:tr w:rsidR="00872C03" w:rsidRPr="00883399" w14:paraId="0C96F04B" w14:textId="77777777" w:rsidTr="0031057E">
        <w:trPr>
          <w:cantSplit/>
        </w:trPr>
        <w:tc>
          <w:tcPr>
            <w:tcW w:w="790" w:type="dxa"/>
            <w:vMerge w:val="restart"/>
          </w:tcPr>
          <w:p w14:paraId="002D6583" w14:textId="77777777" w:rsidR="00872C03" w:rsidRPr="00883399" w:rsidRDefault="00872C03" w:rsidP="0031057E">
            <w:pPr>
              <w:pStyle w:val="Tabletext0"/>
              <w:rPr>
                <w:sz w:val="24"/>
                <w:szCs w:val="22"/>
              </w:rPr>
            </w:pPr>
            <w:r w:rsidRPr="00883399">
              <w:rPr>
                <w:sz w:val="24"/>
                <w:szCs w:val="22"/>
              </w:rPr>
              <w:t>Step 3</w:t>
            </w:r>
          </w:p>
        </w:tc>
        <w:tc>
          <w:tcPr>
            <w:tcW w:w="7076" w:type="dxa"/>
          </w:tcPr>
          <w:p w14:paraId="689BFD5F" w14:textId="77777777" w:rsidR="00872C03" w:rsidRPr="00883399" w:rsidRDefault="00872C03" w:rsidP="0031057E">
            <w:pPr>
              <w:pStyle w:val="Tabletext0"/>
              <w:rPr>
                <w:sz w:val="24"/>
                <w:szCs w:val="22"/>
              </w:rPr>
            </w:pPr>
            <w:r w:rsidRPr="00883399">
              <w:rPr>
                <w:sz w:val="24"/>
                <w:szCs w:val="22"/>
              </w:rPr>
              <w:t>Calculate the carbon content in waste by</w:t>
            </w:r>
            <w:r w:rsidRPr="00883399">
              <w:rPr>
                <w:sz w:val="24"/>
                <w:szCs w:val="22"/>
              </w:rPr>
              <w:noBreakHyphen/>
              <w:t>product types (r) leaving the activity, other than as an emission of greenhouse gas, during the year, measured in tonnes of carbon, as follows:</w:t>
            </w:r>
          </w:p>
          <w:p w14:paraId="43541ADA" w14:textId="371A3C17" w:rsidR="00872C03" w:rsidRPr="00883399" w:rsidRDefault="00872C03" w:rsidP="0031057E">
            <w:pPr>
              <w:pStyle w:val="Formula"/>
              <w:keepLines/>
              <w:ind w:left="13"/>
              <w:rPr>
                <w:sz w:val="22"/>
              </w:rPr>
            </w:pPr>
            <w:r w:rsidRPr="00883399">
              <w:rPr>
                <w:noProof/>
                <w:position w:val="-10"/>
                <w:sz w:val="22"/>
              </w:rPr>
              <w:drawing>
                <wp:inline distT="0" distB="0" distL="0" distR="0" wp14:anchorId="7421EAEE" wp14:editId="543EAF0F">
                  <wp:extent cx="1104265" cy="213995"/>
                  <wp:effectExtent l="19050" t="0" r="63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00"/>
                          <a:srcRect/>
                          <a:stretch>
                            <a:fillRect/>
                          </a:stretch>
                        </pic:blipFill>
                        <pic:spPr bwMode="auto">
                          <a:xfrm>
                            <a:off x="0" y="0"/>
                            <a:ext cx="1104265" cy="213995"/>
                          </a:xfrm>
                          <a:prstGeom prst="rect">
                            <a:avLst/>
                          </a:prstGeom>
                          <a:noFill/>
                          <a:ln w="9525">
                            <a:noFill/>
                            <a:miter lim="800000"/>
                            <a:headEnd/>
                            <a:tailEnd/>
                          </a:ln>
                        </pic:spPr>
                      </pic:pic>
                    </a:graphicData>
                  </a:graphic>
                </wp:inline>
              </w:drawing>
            </w:r>
          </w:p>
        </w:tc>
      </w:tr>
      <w:tr w:rsidR="00872C03" w:rsidRPr="00883399" w14:paraId="0A8B6D12" w14:textId="77777777" w:rsidTr="0031057E">
        <w:trPr>
          <w:cantSplit/>
        </w:trPr>
        <w:tc>
          <w:tcPr>
            <w:tcW w:w="790" w:type="dxa"/>
            <w:vMerge/>
          </w:tcPr>
          <w:p w14:paraId="158D3195" w14:textId="77777777" w:rsidR="00872C03" w:rsidRPr="00883399" w:rsidRDefault="00872C03" w:rsidP="0031057E">
            <w:pPr>
              <w:spacing w:before="60" w:after="60"/>
            </w:pPr>
          </w:p>
        </w:tc>
        <w:tc>
          <w:tcPr>
            <w:tcW w:w="7076" w:type="dxa"/>
          </w:tcPr>
          <w:p w14:paraId="64B3EDC7" w14:textId="77777777" w:rsidR="00872C03" w:rsidRPr="00883399" w:rsidRDefault="00872C03" w:rsidP="0031057E">
            <w:pPr>
              <w:pStyle w:val="subsection2"/>
              <w:ind w:left="13"/>
              <w:rPr>
                <w:sz w:val="24"/>
              </w:rPr>
            </w:pPr>
            <w:r w:rsidRPr="00883399">
              <w:rPr>
                <w:sz w:val="24"/>
              </w:rPr>
              <w:t>where:</w:t>
            </w:r>
          </w:p>
          <w:p w14:paraId="65B5E486" w14:textId="77777777" w:rsidR="00872C03" w:rsidRPr="00883399" w:rsidRDefault="00872C03" w:rsidP="0031057E">
            <w:pPr>
              <w:pStyle w:val="Definition0"/>
              <w:spacing w:after="60"/>
              <w:ind w:left="0"/>
              <w:rPr>
                <w:sz w:val="24"/>
              </w:rPr>
            </w:pPr>
            <w:r w:rsidRPr="00883399">
              <w:rPr>
                <w:rFonts w:ascii="Symbol" w:hAnsi="Symbol"/>
                <w:b/>
                <w:i/>
                <w:sz w:val="24"/>
              </w:rPr>
              <w:t></w:t>
            </w:r>
            <w:r w:rsidRPr="00883399">
              <w:rPr>
                <w:b/>
                <w:i/>
                <w:sz w:val="24"/>
                <w:vertAlign w:val="subscript"/>
              </w:rPr>
              <w:t xml:space="preserve">r </w:t>
            </w:r>
            <w:r w:rsidRPr="00883399">
              <w:rPr>
                <w:sz w:val="24"/>
              </w:rPr>
              <w:t>means sum the carbon content values obtained for all waste by</w:t>
            </w:r>
            <w:r w:rsidRPr="00883399">
              <w:rPr>
                <w:sz w:val="24"/>
              </w:rPr>
              <w:noBreakHyphen/>
              <w:t>product types (</w:t>
            </w:r>
            <w:r w:rsidRPr="00883399">
              <w:rPr>
                <w:b/>
                <w:i/>
                <w:sz w:val="24"/>
              </w:rPr>
              <w:t>r</w:t>
            </w:r>
            <w:r w:rsidRPr="00883399">
              <w:rPr>
                <w:sz w:val="24"/>
              </w:rPr>
              <w:t>).</w:t>
            </w:r>
          </w:p>
          <w:p w14:paraId="0E0CE4D7" w14:textId="77777777" w:rsidR="00872C03" w:rsidRPr="00883399" w:rsidRDefault="00872C03" w:rsidP="0031057E">
            <w:pPr>
              <w:pStyle w:val="Definition0"/>
              <w:spacing w:before="60" w:after="60"/>
              <w:ind w:left="0"/>
              <w:rPr>
                <w:iCs/>
                <w:sz w:val="24"/>
              </w:rPr>
            </w:pPr>
            <w:r w:rsidRPr="00883399">
              <w:rPr>
                <w:b/>
                <w:i/>
                <w:iCs/>
                <w:sz w:val="24"/>
              </w:rPr>
              <w:t>CCF</w:t>
            </w:r>
            <w:r w:rsidRPr="00883399">
              <w:rPr>
                <w:b/>
                <w:i/>
                <w:iCs/>
                <w:sz w:val="24"/>
                <w:vertAlign w:val="subscript"/>
              </w:rPr>
              <w:t>r</w:t>
            </w:r>
            <w:r w:rsidRPr="00883399">
              <w:rPr>
                <w:iCs/>
                <w:sz w:val="24"/>
              </w:rPr>
              <w:t xml:space="preserve"> is the carbon content factor mentioned in Schedule 3 measured in tonnes of carbon for each tonne of waste by</w:t>
            </w:r>
            <w:r w:rsidRPr="00883399">
              <w:rPr>
                <w:iCs/>
                <w:sz w:val="24"/>
              </w:rPr>
              <w:noBreakHyphen/>
              <w:t>product types</w:t>
            </w:r>
            <w:r w:rsidRPr="00883399">
              <w:rPr>
                <w:b/>
                <w:i/>
                <w:iCs/>
                <w:sz w:val="24"/>
              </w:rPr>
              <w:t xml:space="preserve"> </w:t>
            </w:r>
            <w:r w:rsidRPr="00883399">
              <w:rPr>
                <w:iCs/>
                <w:sz w:val="24"/>
              </w:rPr>
              <w:t>(</w:t>
            </w:r>
            <w:r w:rsidRPr="00883399">
              <w:rPr>
                <w:b/>
                <w:i/>
                <w:iCs/>
                <w:sz w:val="24"/>
              </w:rPr>
              <w:t>r</w:t>
            </w:r>
            <w:r w:rsidRPr="00883399">
              <w:rPr>
                <w:iCs/>
                <w:sz w:val="24"/>
              </w:rPr>
              <w:t>).</w:t>
            </w:r>
          </w:p>
          <w:p w14:paraId="1FB3BEC2" w14:textId="77777777" w:rsidR="00872C03" w:rsidRPr="00883399" w:rsidRDefault="00872C03" w:rsidP="0031057E">
            <w:pPr>
              <w:pStyle w:val="Definition0"/>
              <w:spacing w:before="60" w:after="60"/>
              <w:ind w:left="0"/>
              <w:rPr>
                <w:iCs/>
                <w:sz w:val="24"/>
              </w:rPr>
            </w:pPr>
            <w:r w:rsidRPr="00883399">
              <w:rPr>
                <w:b/>
                <w:i/>
                <w:iCs/>
                <w:sz w:val="24"/>
              </w:rPr>
              <w:t>F</w:t>
            </w:r>
            <w:r w:rsidRPr="00883399">
              <w:rPr>
                <w:b/>
                <w:i/>
                <w:iCs/>
                <w:sz w:val="24"/>
                <w:vertAlign w:val="subscript"/>
              </w:rPr>
              <w:t>r</w:t>
            </w:r>
            <w:r w:rsidRPr="00883399">
              <w:rPr>
                <w:iCs/>
                <w:sz w:val="24"/>
              </w:rPr>
              <w:t xml:space="preserve"> is the fraction of pure carbonate material in the waste by</w:t>
            </w:r>
            <w:r w:rsidRPr="00883399">
              <w:rPr>
                <w:iCs/>
                <w:sz w:val="24"/>
              </w:rPr>
              <w:noBreakHyphen/>
              <w:t>product types</w:t>
            </w:r>
            <w:r w:rsidRPr="00883399">
              <w:rPr>
                <w:b/>
                <w:i/>
                <w:iCs/>
                <w:sz w:val="24"/>
              </w:rPr>
              <w:t xml:space="preserve"> </w:t>
            </w:r>
            <w:r w:rsidRPr="00883399">
              <w:rPr>
                <w:iCs/>
                <w:sz w:val="24"/>
              </w:rPr>
              <w:t>(</w:t>
            </w:r>
            <w:r w:rsidRPr="00883399">
              <w:rPr>
                <w:b/>
                <w:i/>
                <w:iCs/>
                <w:sz w:val="24"/>
              </w:rPr>
              <w:t>r</w:t>
            </w:r>
            <w:r w:rsidRPr="00883399">
              <w:rPr>
                <w:iCs/>
                <w:sz w:val="24"/>
              </w:rPr>
              <w:t>).</w:t>
            </w:r>
          </w:p>
          <w:p w14:paraId="4DA9EA39" w14:textId="77777777" w:rsidR="00872C03" w:rsidRPr="00883399" w:rsidRDefault="00872C03" w:rsidP="0031057E">
            <w:pPr>
              <w:pStyle w:val="Definition0"/>
              <w:spacing w:before="60" w:after="60"/>
              <w:ind w:left="0"/>
              <w:rPr>
                <w:sz w:val="24"/>
              </w:rPr>
            </w:pPr>
            <w:r w:rsidRPr="00883399">
              <w:rPr>
                <w:b/>
                <w:i/>
                <w:sz w:val="24"/>
              </w:rPr>
              <w:t>Y</w:t>
            </w:r>
            <w:r w:rsidRPr="00883399">
              <w:rPr>
                <w:b/>
                <w:i/>
                <w:sz w:val="24"/>
                <w:vertAlign w:val="subscript"/>
              </w:rPr>
              <w:t xml:space="preserve">r </w:t>
            </w:r>
            <w:r w:rsidRPr="00883399">
              <w:rPr>
                <w:sz w:val="24"/>
              </w:rPr>
              <w:t>is the quantity of waste by</w:t>
            </w:r>
            <w:r w:rsidRPr="00883399">
              <w:rPr>
                <w:sz w:val="24"/>
              </w:rPr>
              <w:noBreakHyphen/>
              <w:t>product types (</w:t>
            </w:r>
            <w:r w:rsidRPr="00883399">
              <w:rPr>
                <w:b/>
                <w:i/>
                <w:sz w:val="24"/>
              </w:rPr>
              <w:t>r</w:t>
            </w:r>
            <w:r w:rsidRPr="00883399">
              <w:rPr>
                <w:sz w:val="24"/>
              </w:rPr>
              <w:t>) leaving the activity during the year measured in tonnes.</w:t>
            </w:r>
          </w:p>
        </w:tc>
      </w:tr>
      <w:tr w:rsidR="00872C03" w:rsidRPr="00883399" w14:paraId="4A8E8C19" w14:textId="77777777" w:rsidTr="0031057E">
        <w:trPr>
          <w:cantSplit/>
        </w:trPr>
        <w:tc>
          <w:tcPr>
            <w:tcW w:w="790" w:type="dxa"/>
            <w:vMerge w:val="restart"/>
          </w:tcPr>
          <w:p w14:paraId="21E3EF48" w14:textId="77777777" w:rsidR="00872C03" w:rsidRPr="00883399" w:rsidRDefault="00872C03" w:rsidP="0031057E">
            <w:pPr>
              <w:pStyle w:val="Tabletext0"/>
              <w:rPr>
                <w:sz w:val="22"/>
              </w:rPr>
            </w:pPr>
            <w:r w:rsidRPr="00883399">
              <w:rPr>
                <w:sz w:val="24"/>
                <w:szCs w:val="22"/>
              </w:rPr>
              <w:lastRenderedPageBreak/>
              <w:t>Step 4</w:t>
            </w:r>
          </w:p>
        </w:tc>
        <w:tc>
          <w:tcPr>
            <w:tcW w:w="7076" w:type="dxa"/>
          </w:tcPr>
          <w:p w14:paraId="405F6949" w14:textId="77777777" w:rsidR="00872C03" w:rsidRPr="00883399" w:rsidRDefault="00872C03" w:rsidP="0031057E">
            <w:pPr>
              <w:pStyle w:val="Tabletext0"/>
              <w:spacing w:after="120"/>
              <w:rPr>
                <w:sz w:val="24"/>
                <w:szCs w:val="22"/>
              </w:rPr>
            </w:pPr>
            <w:r w:rsidRPr="00883399">
              <w:rPr>
                <w:sz w:val="24"/>
                <w:szCs w:val="22"/>
              </w:rPr>
              <w:t>Calculate the carbon content in the amount of the change in stocks of inputs, products and waste by</w:t>
            </w:r>
            <w:r w:rsidRPr="00883399">
              <w:rPr>
                <w:sz w:val="24"/>
                <w:szCs w:val="22"/>
              </w:rPr>
              <w:noBreakHyphen/>
              <w:t>products held within the boundary of the activity during the year in tonnes of carbon as follows:</w:t>
            </w:r>
          </w:p>
          <w:p w14:paraId="2756DDFA" w14:textId="06F204BD" w:rsidR="00872C03" w:rsidRPr="00883399" w:rsidRDefault="00872C03" w:rsidP="0031057E">
            <w:pPr>
              <w:pStyle w:val="Formula"/>
              <w:keepLines/>
              <w:ind w:left="13"/>
              <w:rPr>
                <w:sz w:val="22"/>
              </w:rPr>
            </w:pPr>
            <w:r w:rsidRPr="00883399">
              <w:rPr>
                <w:noProof/>
                <w:sz w:val="22"/>
              </w:rPr>
              <w:drawing>
                <wp:inline distT="0" distB="0" distL="0" distR="0" wp14:anchorId="03CEC35F" wp14:editId="2E29BCB9">
                  <wp:extent cx="4109085" cy="189865"/>
                  <wp:effectExtent l="19050" t="0" r="571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01"/>
                          <a:srcRect/>
                          <a:stretch>
                            <a:fillRect/>
                          </a:stretch>
                        </pic:blipFill>
                        <pic:spPr bwMode="auto">
                          <a:xfrm>
                            <a:off x="0" y="0"/>
                            <a:ext cx="4109085" cy="189865"/>
                          </a:xfrm>
                          <a:prstGeom prst="rect">
                            <a:avLst/>
                          </a:prstGeom>
                          <a:noFill/>
                          <a:ln w="9525">
                            <a:noFill/>
                            <a:miter lim="800000"/>
                            <a:headEnd/>
                            <a:tailEnd/>
                          </a:ln>
                        </pic:spPr>
                      </pic:pic>
                    </a:graphicData>
                  </a:graphic>
                </wp:inline>
              </w:drawing>
            </w:r>
          </w:p>
        </w:tc>
      </w:tr>
      <w:tr w:rsidR="00872C03" w:rsidRPr="00883399" w14:paraId="31D253DB" w14:textId="77777777" w:rsidTr="0031057E">
        <w:trPr>
          <w:cantSplit/>
        </w:trPr>
        <w:tc>
          <w:tcPr>
            <w:tcW w:w="790" w:type="dxa"/>
            <w:vMerge/>
          </w:tcPr>
          <w:p w14:paraId="59A17179" w14:textId="77777777" w:rsidR="00872C03" w:rsidRPr="00883399" w:rsidRDefault="00872C03" w:rsidP="0031057E">
            <w:pPr>
              <w:spacing w:before="60" w:after="60"/>
            </w:pPr>
          </w:p>
        </w:tc>
        <w:tc>
          <w:tcPr>
            <w:tcW w:w="7076" w:type="dxa"/>
          </w:tcPr>
          <w:p w14:paraId="218B195B" w14:textId="77777777" w:rsidR="00872C03" w:rsidRPr="00883399" w:rsidRDefault="00872C03" w:rsidP="0031057E">
            <w:pPr>
              <w:pStyle w:val="subsection2"/>
              <w:ind w:left="13"/>
              <w:rPr>
                <w:sz w:val="24"/>
              </w:rPr>
            </w:pPr>
            <w:r w:rsidRPr="00883399">
              <w:rPr>
                <w:sz w:val="24"/>
              </w:rPr>
              <w:t>where:</w:t>
            </w:r>
          </w:p>
          <w:p w14:paraId="70588F33" w14:textId="77777777" w:rsidR="00872C03" w:rsidRPr="00883399" w:rsidRDefault="00872C03" w:rsidP="0031057E">
            <w:pPr>
              <w:pStyle w:val="Definition0"/>
              <w:spacing w:after="60"/>
              <w:ind w:left="0"/>
              <w:rPr>
                <w:b/>
                <w:i/>
                <w:sz w:val="24"/>
              </w:rPr>
            </w:pPr>
            <w:r w:rsidRPr="00883399">
              <w:rPr>
                <w:rFonts w:ascii="Symbol" w:hAnsi="Symbol"/>
                <w:b/>
                <w:i/>
                <w:sz w:val="24"/>
              </w:rPr>
              <w:t></w:t>
            </w:r>
            <w:r w:rsidRPr="00883399">
              <w:rPr>
                <w:b/>
                <w:i/>
                <w:sz w:val="24"/>
                <w:vertAlign w:val="subscript"/>
              </w:rPr>
              <w:t xml:space="preserve">i </w:t>
            </w:r>
            <w:r w:rsidRPr="00883399">
              <w:rPr>
                <w:sz w:val="24"/>
              </w:rPr>
              <w:t>has the same meaning as in step 1.</w:t>
            </w:r>
          </w:p>
          <w:p w14:paraId="107A7AE3" w14:textId="77777777" w:rsidR="00872C03" w:rsidRPr="00883399" w:rsidRDefault="00872C03" w:rsidP="0031057E">
            <w:pPr>
              <w:pStyle w:val="TableText"/>
              <w:rPr>
                <w:iCs/>
                <w:sz w:val="24"/>
              </w:rPr>
            </w:pPr>
            <w:r w:rsidRPr="00883399">
              <w:rPr>
                <w:b/>
                <w:i/>
                <w:sz w:val="24"/>
              </w:rPr>
              <w:t>CCF</w:t>
            </w:r>
            <w:r w:rsidRPr="00883399">
              <w:rPr>
                <w:b/>
                <w:i/>
                <w:sz w:val="24"/>
                <w:vertAlign w:val="subscript"/>
              </w:rPr>
              <w:t xml:space="preserve">i </w:t>
            </w:r>
            <w:r w:rsidRPr="00883399">
              <w:rPr>
                <w:sz w:val="24"/>
              </w:rPr>
              <w:t>has the same meaning as in step 1.</w:t>
            </w:r>
          </w:p>
          <w:p w14:paraId="45C9048C" w14:textId="77777777" w:rsidR="00872C03" w:rsidRPr="00883399" w:rsidRDefault="00872C03" w:rsidP="0031057E">
            <w:pPr>
              <w:pStyle w:val="Definition0"/>
              <w:spacing w:before="60" w:after="60"/>
              <w:ind w:left="0"/>
              <w:rPr>
                <w:rFonts w:ascii="TimesNewRoman" w:hAnsi="TimesNewRoman" w:cs="TimesNewRoman"/>
                <w:sz w:val="24"/>
                <w:szCs w:val="22"/>
              </w:rPr>
            </w:pPr>
            <w:r w:rsidRPr="00883399">
              <w:rPr>
                <w:rFonts w:ascii="TimesNewRoman,BoldItalic" w:hAnsi="TimesNewRoman,BoldItalic" w:cs="TimesNewRoman,BoldItalic"/>
                <w:b/>
                <w:bCs/>
                <w:i/>
                <w:iCs/>
                <w:sz w:val="24"/>
                <w:szCs w:val="22"/>
              </w:rPr>
              <w:t>Δs</w:t>
            </w:r>
            <w:r w:rsidRPr="00883399">
              <w:rPr>
                <w:rFonts w:ascii="TimesNewRoman,BoldItalic" w:hAnsi="TimesNewRoman,BoldItalic" w:cs="TimesNewRoman,BoldItalic"/>
                <w:b/>
                <w:bCs/>
                <w:i/>
                <w:iCs/>
                <w:sz w:val="16"/>
                <w:szCs w:val="14"/>
              </w:rPr>
              <w:t xml:space="preserve">qi </w:t>
            </w:r>
            <w:r w:rsidRPr="00883399">
              <w:rPr>
                <w:rFonts w:ascii="TimesNewRoman" w:hAnsi="TimesNewRoman" w:cs="TimesNewRoman"/>
                <w:sz w:val="24"/>
                <w:szCs w:val="22"/>
              </w:rPr>
              <w:t>is the</w:t>
            </w:r>
            <w:r w:rsidRPr="00883399">
              <w:rPr>
                <w:sz w:val="24"/>
              </w:rPr>
              <w:t xml:space="preserve"> change in stocks</w:t>
            </w:r>
            <w:r w:rsidRPr="00883399">
              <w:rPr>
                <w:rFonts w:ascii="TimesNewRoman" w:hAnsi="TimesNewRoman" w:cs="TimesNewRoman"/>
                <w:sz w:val="24"/>
                <w:szCs w:val="22"/>
              </w:rPr>
              <w:t xml:space="preserve"> of fuel type (</w:t>
            </w:r>
            <w:r w:rsidRPr="00883399">
              <w:rPr>
                <w:rFonts w:ascii="TimesNewRoman,BoldItalic" w:hAnsi="TimesNewRoman,BoldItalic" w:cs="TimesNewRoman,BoldItalic"/>
                <w:b/>
                <w:bCs/>
                <w:i/>
                <w:iCs/>
                <w:sz w:val="24"/>
                <w:szCs w:val="22"/>
              </w:rPr>
              <w:t>i</w:t>
            </w:r>
            <w:r w:rsidRPr="00883399">
              <w:rPr>
                <w:rFonts w:ascii="TimesNewRoman" w:hAnsi="TimesNewRoman" w:cs="TimesNewRoman"/>
                <w:sz w:val="24"/>
                <w:szCs w:val="22"/>
              </w:rPr>
              <w:t>) for the activity and held within the boundary of the activity during the year measured in tonnes.</w:t>
            </w:r>
          </w:p>
          <w:p w14:paraId="4BC03D89" w14:textId="77777777" w:rsidR="00872C03" w:rsidRPr="00883399" w:rsidRDefault="00872C03" w:rsidP="0031057E">
            <w:pPr>
              <w:pStyle w:val="Definition0"/>
              <w:spacing w:before="60" w:after="60"/>
              <w:ind w:left="0"/>
              <w:rPr>
                <w:rFonts w:ascii="TimesNewRoman" w:hAnsi="TimesNewRoman" w:cs="TimesNewRoman"/>
                <w:sz w:val="24"/>
                <w:szCs w:val="22"/>
              </w:rPr>
            </w:pPr>
            <w:r w:rsidRPr="00883399">
              <w:rPr>
                <w:rFonts w:ascii="Symbol" w:hAnsi="Symbol"/>
                <w:b/>
                <w:i/>
                <w:sz w:val="24"/>
              </w:rPr>
              <w:t></w:t>
            </w:r>
            <w:r w:rsidRPr="00883399">
              <w:rPr>
                <w:b/>
                <w:i/>
                <w:sz w:val="24"/>
                <w:vertAlign w:val="subscript"/>
              </w:rPr>
              <w:t xml:space="preserve">j </w:t>
            </w:r>
            <w:r w:rsidRPr="00883399">
              <w:rPr>
                <w:sz w:val="24"/>
              </w:rPr>
              <w:t>has the same meaning as in step 1.</w:t>
            </w:r>
          </w:p>
          <w:p w14:paraId="29057FF8" w14:textId="77777777" w:rsidR="00872C03" w:rsidRPr="00883399" w:rsidRDefault="00872C03" w:rsidP="0031057E">
            <w:pPr>
              <w:pStyle w:val="Definition0"/>
              <w:spacing w:before="60" w:after="60"/>
              <w:ind w:left="0"/>
              <w:rPr>
                <w:rFonts w:ascii="TimesNewRoman" w:hAnsi="TimesNewRoman" w:cs="TimesNewRoman"/>
                <w:sz w:val="24"/>
                <w:szCs w:val="22"/>
              </w:rPr>
            </w:pPr>
            <w:r w:rsidRPr="00883399">
              <w:rPr>
                <w:rFonts w:ascii="TimesNewRoman,BoldItalic" w:hAnsi="TimesNewRoman,BoldItalic" w:cs="TimesNewRoman,BoldItalic"/>
                <w:b/>
                <w:bCs/>
                <w:i/>
                <w:iCs/>
                <w:sz w:val="24"/>
                <w:szCs w:val="22"/>
              </w:rPr>
              <w:t>CCF</w:t>
            </w:r>
            <w:r w:rsidRPr="00883399">
              <w:rPr>
                <w:rFonts w:ascii="TimesNewRoman,BoldItalic" w:hAnsi="TimesNewRoman,BoldItalic" w:cs="TimesNewRoman,BoldItalic"/>
                <w:b/>
                <w:bCs/>
                <w:i/>
                <w:iCs/>
                <w:sz w:val="16"/>
                <w:szCs w:val="14"/>
              </w:rPr>
              <w:t xml:space="preserve">j </w:t>
            </w:r>
            <w:r w:rsidRPr="00883399">
              <w:rPr>
                <w:rFonts w:ascii="TimesNewRoman" w:hAnsi="TimesNewRoman" w:cs="TimesNewRoman"/>
                <w:sz w:val="24"/>
                <w:szCs w:val="22"/>
              </w:rPr>
              <w:t>has the same meaning as in step 1.</w:t>
            </w:r>
          </w:p>
          <w:p w14:paraId="530B26B5" w14:textId="77777777" w:rsidR="00872C03" w:rsidRPr="00883399" w:rsidRDefault="00872C03" w:rsidP="0031057E">
            <w:pPr>
              <w:pStyle w:val="Definition0"/>
              <w:spacing w:before="60" w:after="60"/>
              <w:ind w:left="0"/>
              <w:rPr>
                <w:iCs/>
                <w:sz w:val="24"/>
              </w:rPr>
            </w:pPr>
            <w:r w:rsidRPr="00883399">
              <w:rPr>
                <w:rFonts w:ascii="TimesNewRoman,BoldItalic" w:hAnsi="TimesNewRoman,BoldItalic" w:cs="TimesNewRoman,BoldItalic"/>
                <w:b/>
                <w:bCs/>
                <w:i/>
                <w:iCs/>
                <w:sz w:val="24"/>
                <w:szCs w:val="22"/>
              </w:rPr>
              <w:t>ΔS</w:t>
            </w:r>
            <w:r w:rsidRPr="00883399">
              <w:rPr>
                <w:rFonts w:ascii="TimesNewRoman,BoldItalic" w:hAnsi="TimesNewRoman,BoldItalic" w:cs="TimesNewRoman,BoldItalic"/>
                <w:b/>
                <w:bCs/>
                <w:i/>
                <w:iCs/>
                <w:sz w:val="16"/>
                <w:szCs w:val="14"/>
              </w:rPr>
              <w:t xml:space="preserve">qj </w:t>
            </w:r>
            <w:r w:rsidRPr="00883399">
              <w:rPr>
                <w:rFonts w:ascii="TimesNewRoman" w:hAnsi="TimesNewRoman" w:cs="TimesNewRoman"/>
                <w:sz w:val="24"/>
                <w:szCs w:val="22"/>
              </w:rPr>
              <w:t xml:space="preserve">is the </w:t>
            </w:r>
            <w:r w:rsidRPr="00883399">
              <w:rPr>
                <w:sz w:val="24"/>
              </w:rPr>
              <w:t>change in stocks</w:t>
            </w:r>
            <w:r w:rsidRPr="00883399">
              <w:rPr>
                <w:rFonts w:ascii="TimesNewRoman" w:hAnsi="TimesNewRoman" w:cs="TimesNewRoman"/>
                <w:sz w:val="24"/>
                <w:szCs w:val="22"/>
              </w:rPr>
              <w:t xml:space="preserve"> of pure carbonate material (</w:t>
            </w:r>
            <w:r w:rsidRPr="00883399">
              <w:rPr>
                <w:rFonts w:ascii="TimesNewRoman" w:hAnsi="TimesNewRoman" w:cs="TimesNewRoman"/>
                <w:b/>
                <w:i/>
                <w:sz w:val="24"/>
                <w:szCs w:val="22"/>
              </w:rPr>
              <w:t>j</w:t>
            </w:r>
            <w:r w:rsidRPr="00883399">
              <w:rPr>
                <w:rFonts w:ascii="TimesNewRoman" w:hAnsi="TimesNewRoman" w:cs="TimesNewRoman"/>
                <w:sz w:val="24"/>
                <w:szCs w:val="22"/>
              </w:rPr>
              <w:t>) for the activity and held within the boundary of the activity during the year measured in tonnes.</w:t>
            </w:r>
          </w:p>
          <w:p w14:paraId="6DD8D0E2" w14:textId="77777777" w:rsidR="00872C03" w:rsidRPr="00883399" w:rsidRDefault="00872C03" w:rsidP="0031057E">
            <w:pPr>
              <w:pStyle w:val="Definition0"/>
              <w:spacing w:before="60" w:after="60"/>
              <w:ind w:left="0"/>
              <w:rPr>
                <w:b/>
                <w:i/>
                <w:sz w:val="24"/>
              </w:rPr>
            </w:pPr>
            <w:r w:rsidRPr="00883399">
              <w:rPr>
                <w:rFonts w:ascii="Symbol" w:hAnsi="Symbol"/>
                <w:b/>
                <w:i/>
                <w:sz w:val="24"/>
              </w:rPr>
              <w:t></w:t>
            </w:r>
            <w:r w:rsidRPr="00883399">
              <w:rPr>
                <w:b/>
                <w:i/>
                <w:sz w:val="24"/>
                <w:vertAlign w:val="subscript"/>
              </w:rPr>
              <w:t xml:space="preserve">p </w:t>
            </w:r>
            <w:r w:rsidRPr="00883399">
              <w:rPr>
                <w:sz w:val="24"/>
              </w:rPr>
              <w:t>has the same meaning as in step 2.</w:t>
            </w:r>
          </w:p>
        </w:tc>
      </w:tr>
      <w:tr w:rsidR="00872C03" w:rsidRPr="00883399" w14:paraId="18128F7B" w14:textId="77777777" w:rsidTr="0031057E">
        <w:trPr>
          <w:cantSplit/>
        </w:trPr>
        <w:tc>
          <w:tcPr>
            <w:tcW w:w="790" w:type="dxa"/>
            <w:vMerge/>
          </w:tcPr>
          <w:p w14:paraId="6CE7C5CF" w14:textId="77777777" w:rsidR="00872C03" w:rsidRPr="00883399" w:rsidRDefault="00872C03" w:rsidP="0031057E">
            <w:pPr>
              <w:spacing w:before="60" w:after="60"/>
            </w:pPr>
          </w:p>
        </w:tc>
        <w:tc>
          <w:tcPr>
            <w:tcW w:w="7076" w:type="dxa"/>
          </w:tcPr>
          <w:p w14:paraId="129C7A75" w14:textId="77777777" w:rsidR="00872C03" w:rsidRPr="00883399" w:rsidRDefault="00872C03" w:rsidP="0031057E">
            <w:pPr>
              <w:pStyle w:val="Definition0"/>
              <w:spacing w:before="60" w:after="60"/>
              <w:ind w:left="0"/>
              <w:rPr>
                <w:b/>
                <w:i/>
                <w:iCs/>
                <w:sz w:val="24"/>
              </w:rPr>
            </w:pPr>
            <w:r w:rsidRPr="00883399">
              <w:rPr>
                <w:b/>
                <w:i/>
                <w:sz w:val="24"/>
              </w:rPr>
              <w:t>CCF</w:t>
            </w:r>
            <w:r w:rsidRPr="00883399">
              <w:rPr>
                <w:b/>
                <w:i/>
                <w:sz w:val="24"/>
                <w:vertAlign w:val="subscript"/>
              </w:rPr>
              <w:t xml:space="preserve">p </w:t>
            </w:r>
            <w:r w:rsidRPr="00883399">
              <w:rPr>
                <w:sz w:val="24"/>
              </w:rPr>
              <w:t>has the same meaning as in step 2.</w:t>
            </w:r>
          </w:p>
        </w:tc>
      </w:tr>
      <w:tr w:rsidR="00872C03" w:rsidRPr="00883399" w14:paraId="594D5D8E" w14:textId="77777777" w:rsidTr="0031057E">
        <w:trPr>
          <w:cantSplit/>
        </w:trPr>
        <w:tc>
          <w:tcPr>
            <w:tcW w:w="790" w:type="dxa"/>
            <w:vMerge/>
          </w:tcPr>
          <w:p w14:paraId="1B172546" w14:textId="77777777" w:rsidR="00872C03" w:rsidRPr="00883399" w:rsidRDefault="00872C03" w:rsidP="0031057E">
            <w:pPr>
              <w:spacing w:before="60" w:after="60"/>
            </w:pPr>
          </w:p>
        </w:tc>
        <w:tc>
          <w:tcPr>
            <w:tcW w:w="7076" w:type="dxa"/>
          </w:tcPr>
          <w:p w14:paraId="61FD9BC2" w14:textId="77777777" w:rsidR="00872C03" w:rsidRPr="00883399" w:rsidRDefault="00872C03" w:rsidP="0031057E">
            <w:pPr>
              <w:pStyle w:val="Definition0"/>
              <w:spacing w:before="60" w:after="60"/>
              <w:ind w:left="0"/>
              <w:rPr>
                <w:sz w:val="24"/>
              </w:rPr>
            </w:pPr>
            <w:r w:rsidRPr="00883399">
              <w:rPr>
                <w:rFonts w:ascii="TimesNewRoman,BoldItalic" w:hAnsi="TimesNewRoman,BoldItalic" w:cs="TimesNewRoman,BoldItalic"/>
                <w:b/>
                <w:bCs/>
                <w:i/>
                <w:iCs/>
                <w:sz w:val="24"/>
              </w:rPr>
              <w:t>Δs</w:t>
            </w:r>
            <w:r w:rsidRPr="00883399">
              <w:rPr>
                <w:rFonts w:ascii="TimesNewRoman,BoldItalic" w:hAnsi="TimesNewRoman,BoldItalic" w:cs="TimesNewRoman,BoldItalic"/>
                <w:b/>
                <w:bCs/>
                <w:i/>
                <w:iCs/>
                <w:sz w:val="16"/>
                <w:szCs w:val="14"/>
              </w:rPr>
              <w:t xml:space="preserve">ap </w:t>
            </w:r>
            <w:r w:rsidRPr="00883399">
              <w:rPr>
                <w:sz w:val="24"/>
              </w:rPr>
              <w:t>is the change in stocks of product types (</w:t>
            </w:r>
            <w:r w:rsidRPr="00883399">
              <w:rPr>
                <w:rFonts w:ascii="TimesNewRoman,BoldItalic" w:hAnsi="TimesNewRoman,BoldItalic" w:cs="TimesNewRoman,BoldItalic"/>
                <w:b/>
                <w:bCs/>
                <w:i/>
                <w:iCs/>
                <w:sz w:val="24"/>
              </w:rPr>
              <w:t xml:space="preserve">p) </w:t>
            </w:r>
            <w:r w:rsidRPr="00883399">
              <w:rPr>
                <w:sz w:val="24"/>
              </w:rPr>
              <w:t>produced by the activity and held within the boundary of the activity during the year measured in tonnes.</w:t>
            </w:r>
          </w:p>
        </w:tc>
      </w:tr>
      <w:tr w:rsidR="00872C03" w:rsidRPr="00883399" w14:paraId="6206CB3C" w14:textId="77777777" w:rsidTr="0031057E">
        <w:trPr>
          <w:cantSplit/>
        </w:trPr>
        <w:tc>
          <w:tcPr>
            <w:tcW w:w="790" w:type="dxa"/>
          </w:tcPr>
          <w:p w14:paraId="080B0900" w14:textId="77777777" w:rsidR="00872C03" w:rsidRPr="00883399" w:rsidRDefault="00872C03" w:rsidP="0031057E">
            <w:pPr>
              <w:spacing w:before="60" w:after="60"/>
            </w:pPr>
          </w:p>
        </w:tc>
        <w:tc>
          <w:tcPr>
            <w:tcW w:w="7076" w:type="dxa"/>
          </w:tcPr>
          <w:p w14:paraId="2A64F482" w14:textId="77777777" w:rsidR="00872C03" w:rsidRPr="00883399" w:rsidRDefault="00872C03" w:rsidP="0031057E">
            <w:pPr>
              <w:pStyle w:val="Definition0"/>
              <w:spacing w:before="60" w:after="60"/>
              <w:ind w:left="0"/>
              <w:rPr>
                <w:b/>
                <w:i/>
                <w:sz w:val="24"/>
              </w:rPr>
            </w:pPr>
            <w:r w:rsidRPr="00883399">
              <w:rPr>
                <w:rFonts w:ascii="Symbol" w:hAnsi="Symbol"/>
                <w:b/>
                <w:i/>
                <w:sz w:val="24"/>
              </w:rPr>
              <w:t></w:t>
            </w:r>
            <w:r w:rsidRPr="00883399">
              <w:rPr>
                <w:b/>
                <w:i/>
                <w:sz w:val="24"/>
                <w:vertAlign w:val="subscript"/>
              </w:rPr>
              <w:t xml:space="preserve">r </w:t>
            </w:r>
            <w:r w:rsidRPr="00883399">
              <w:rPr>
                <w:sz w:val="24"/>
              </w:rPr>
              <w:t>has the same meaning as in step 3.</w:t>
            </w:r>
          </w:p>
          <w:p w14:paraId="7E04D8D8" w14:textId="77777777" w:rsidR="00872C03" w:rsidRPr="00883399" w:rsidRDefault="00872C03" w:rsidP="0031057E">
            <w:pPr>
              <w:pStyle w:val="Definition0"/>
              <w:spacing w:before="60" w:after="60"/>
              <w:ind w:left="0"/>
              <w:rPr>
                <w:sz w:val="24"/>
                <w:szCs w:val="22"/>
              </w:rPr>
            </w:pPr>
            <w:r w:rsidRPr="00883399">
              <w:rPr>
                <w:b/>
                <w:i/>
                <w:sz w:val="24"/>
              </w:rPr>
              <w:t>CCF</w:t>
            </w:r>
            <w:r w:rsidRPr="00883399">
              <w:rPr>
                <w:b/>
                <w:i/>
                <w:sz w:val="24"/>
                <w:vertAlign w:val="subscript"/>
              </w:rPr>
              <w:t xml:space="preserve">r </w:t>
            </w:r>
            <w:r w:rsidRPr="00883399">
              <w:rPr>
                <w:sz w:val="24"/>
              </w:rPr>
              <w:t>has the same meaning as in step 3.</w:t>
            </w:r>
          </w:p>
          <w:p w14:paraId="1AFFCA76" w14:textId="77777777" w:rsidR="00872C03" w:rsidRPr="00883399" w:rsidRDefault="00872C03" w:rsidP="0031057E">
            <w:pPr>
              <w:pStyle w:val="Definition0"/>
              <w:spacing w:before="60" w:after="60"/>
              <w:ind w:left="0"/>
              <w:rPr>
                <w:sz w:val="24"/>
              </w:rPr>
            </w:pPr>
            <w:r w:rsidRPr="00883399">
              <w:rPr>
                <w:b/>
                <w:i/>
                <w:iCs/>
                <w:sz w:val="24"/>
              </w:rPr>
              <w:t>ΔS</w:t>
            </w:r>
            <w:r w:rsidRPr="00883399">
              <w:rPr>
                <w:b/>
                <w:i/>
                <w:iCs/>
                <w:sz w:val="24"/>
                <w:szCs w:val="18"/>
                <w:vertAlign w:val="subscript"/>
              </w:rPr>
              <w:t>y</w:t>
            </w:r>
            <w:r w:rsidRPr="00883399">
              <w:rPr>
                <w:b/>
                <w:i/>
                <w:iCs/>
                <w:sz w:val="24"/>
                <w:vertAlign w:val="subscript"/>
              </w:rPr>
              <w:t>r</w:t>
            </w:r>
            <w:r w:rsidRPr="00883399">
              <w:rPr>
                <w:iCs/>
                <w:sz w:val="24"/>
              </w:rPr>
              <w:t xml:space="preserve"> is the </w:t>
            </w:r>
            <w:r w:rsidRPr="00883399">
              <w:rPr>
                <w:sz w:val="24"/>
              </w:rPr>
              <w:t>change in stocks</w:t>
            </w:r>
            <w:r w:rsidRPr="00883399">
              <w:rPr>
                <w:iCs/>
                <w:sz w:val="24"/>
              </w:rPr>
              <w:t xml:space="preserve"> of waste by</w:t>
            </w:r>
            <w:r w:rsidRPr="00883399">
              <w:rPr>
                <w:iCs/>
                <w:sz w:val="24"/>
              </w:rPr>
              <w:noBreakHyphen/>
              <w:t>product types (</w:t>
            </w:r>
            <w:r w:rsidRPr="00883399">
              <w:rPr>
                <w:b/>
                <w:i/>
                <w:iCs/>
                <w:sz w:val="24"/>
              </w:rPr>
              <w:t>r</w:t>
            </w:r>
            <w:r w:rsidRPr="00883399">
              <w:rPr>
                <w:iCs/>
                <w:sz w:val="24"/>
              </w:rPr>
              <w:t xml:space="preserve">) produced from the operation of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872C03" w:rsidRPr="00883399" w14:paraId="3CC5EF62" w14:textId="77777777" w:rsidTr="0031057E">
        <w:trPr>
          <w:cantSplit/>
        </w:trPr>
        <w:tc>
          <w:tcPr>
            <w:tcW w:w="790" w:type="dxa"/>
          </w:tcPr>
          <w:p w14:paraId="39AFA9BE" w14:textId="77777777" w:rsidR="00872C03" w:rsidRPr="00883399" w:rsidRDefault="00872C03" w:rsidP="0031057E">
            <w:pPr>
              <w:pStyle w:val="Tabletext0"/>
              <w:rPr>
                <w:sz w:val="24"/>
                <w:szCs w:val="22"/>
              </w:rPr>
            </w:pPr>
            <w:r w:rsidRPr="00883399">
              <w:rPr>
                <w:sz w:val="24"/>
                <w:szCs w:val="22"/>
              </w:rPr>
              <w:t>Step 5</w:t>
            </w:r>
          </w:p>
        </w:tc>
        <w:tc>
          <w:tcPr>
            <w:tcW w:w="7076" w:type="dxa"/>
          </w:tcPr>
          <w:p w14:paraId="230FBBE9" w14:textId="77777777" w:rsidR="00872C03" w:rsidRPr="00883399" w:rsidRDefault="00872C03" w:rsidP="0031057E">
            <w:pPr>
              <w:pStyle w:val="Tabletext0"/>
              <w:rPr>
                <w:sz w:val="24"/>
                <w:szCs w:val="22"/>
              </w:rPr>
            </w:pPr>
            <w:r w:rsidRPr="00883399">
              <w:rPr>
                <w:sz w:val="24"/>
                <w:szCs w:val="22"/>
              </w:rPr>
              <w:t>Calculate the emissions of carbon dioxide released from the operation of the activity during the year measured in CO</w:t>
            </w:r>
            <w:r w:rsidRPr="00883399">
              <w:rPr>
                <w:sz w:val="24"/>
                <w:szCs w:val="22"/>
                <w:vertAlign w:val="subscript"/>
              </w:rPr>
              <w:t>2</w:t>
            </w:r>
            <w:r w:rsidRPr="00883399">
              <w:rPr>
                <w:sz w:val="24"/>
                <w:szCs w:val="22"/>
                <w:vertAlign w:val="subscript"/>
              </w:rPr>
              <w:noBreakHyphen/>
            </w:r>
            <w:r w:rsidRPr="00883399">
              <w:rPr>
                <w:sz w:val="24"/>
                <w:szCs w:val="22"/>
              </w:rPr>
              <w:t>e tonnes as follows:</w:t>
            </w:r>
          </w:p>
          <w:p w14:paraId="2DA8A3FA" w14:textId="77777777" w:rsidR="00872C03" w:rsidRPr="00883399" w:rsidRDefault="00872C03" w:rsidP="0031057E">
            <w:pPr>
              <w:pStyle w:val="TableP1a"/>
              <w:rPr>
                <w:sz w:val="24"/>
              </w:rPr>
            </w:pPr>
            <w:r w:rsidRPr="00883399">
              <w:rPr>
                <w:sz w:val="24"/>
              </w:rPr>
              <w:tab/>
              <w:t>(a)</w:t>
            </w:r>
            <w:r w:rsidRPr="00883399">
              <w:rPr>
                <w:sz w:val="24"/>
              </w:rPr>
              <w:tab/>
              <w:t>add the amounts worked out under steps 2, 3 and 4 to work out a new amount (</w:t>
            </w:r>
            <w:r w:rsidRPr="00883399">
              <w:rPr>
                <w:b/>
                <w:i/>
                <w:sz w:val="24"/>
              </w:rPr>
              <w:t>amount A</w:t>
            </w:r>
            <w:r w:rsidRPr="00883399">
              <w:rPr>
                <w:sz w:val="24"/>
              </w:rPr>
              <w:t>);</w:t>
            </w:r>
          </w:p>
          <w:p w14:paraId="39A7687D" w14:textId="77777777" w:rsidR="00872C03" w:rsidRPr="00883399" w:rsidRDefault="00872C03" w:rsidP="0031057E">
            <w:pPr>
              <w:pStyle w:val="TableP1a"/>
              <w:rPr>
                <w:sz w:val="24"/>
              </w:rPr>
            </w:pPr>
            <w:r w:rsidRPr="00883399">
              <w:rPr>
                <w:sz w:val="24"/>
              </w:rPr>
              <w:tab/>
              <w:t>(b)</w:t>
            </w:r>
            <w:r w:rsidRPr="00883399">
              <w:rPr>
                <w:sz w:val="24"/>
              </w:rPr>
              <w:tab/>
              <w:t>subtract amount A from the amount worked out under step 1 to work out a new amount (</w:t>
            </w:r>
            <w:r w:rsidRPr="00883399">
              <w:rPr>
                <w:b/>
                <w:i/>
                <w:sz w:val="24"/>
              </w:rPr>
              <w:t>amount B</w:t>
            </w:r>
            <w:r w:rsidRPr="00883399">
              <w:rPr>
                <w:sz w:val="24"/>
              </w:rPr>
              <w:t>);</w:t>
            </w:r>
          </w:p>
          <w:p w14:paraId="666065DD" w14:textId="77777777" w:rsidR="00872C03" w:rsidRPr="00883399" w:rsidRDefault="00872C03" w:rsidP="0031057E">
            <w:pPr>
              <w:pStyle w:val="TableP1a"/>
              <w:rPr>
                <w:sz w:val="24"/>
              </w:rPr>
            </w:pPr>
            <w:r w:rsidRPr="00883399">
              <w:rPr>
                <w:sz w:val="24"/>
              </w:rPr>
              <w:tab/>
              <w:t>(c)</w:t>
            </w:r>
            <w:r w:rsidRPr="00883399">
              <w:rPr>
                <w:sz w:val="24"/>
              </w:rPr>
              <w:tab/>
              <w:t>multiply amount B by 3.664 to work out the amount of emissions released from the operation of the activity during a year.</w:t>
            </w:r>
          </w:p>
          <w:p w14:paraId="1B30C30D" w14:textId="77777777" w:rsidR="005033AE" w:rsidRPr="00883399" w:rsidRDefault="005033AE" w:rsidP="0031057E">
            <w:pPr>
              <w:pStyle w:val="TableP1a"/>
              <w:rPr>
                <w:sz w:val="24"/>
              </w:rPr>
            </w:pPr>
          </w:p>
          <w:p w14:paraId="38B7958D" w14:textId="77777777" w:rsidR="005033AE" w:rsidRPr="00883399" w:rsidRDefault="005033AE" w:rsidP="0031057E">
            <w:pPr>
              <w:pStyle w:val="TableP1a"/>
              <w:rPr>
                <w:sz w:val="24"/>
              </w:rPr>
            </w:pPr>
          </w:p>
          <w:p w14:paraId="75F1152A" w14:textId="77777777" w:rsidR="005033AE" w:rsidRPr="00883399" w:rsidRDefault="005033AE" w:rsidP="0031057E">
            <w:pPr>
              <w:pStyle w:val="TableP1a"/>
              <w:rPr>
                <w:sz w:val="24"/>
              </w:rPr>
            </w:pPr>
          </w:p>
        </w:tc>
      </w:tr>
    </w:tbl>
    <w:p w14:paraId="107D57A6" w14:textId="41760C19" w:rsidR="00872C03" w:rsidRPr="00883399" w:rsidRDefault="00872C03" w:rsidP="00872C03">
      <w:pPr>
        <w:pStyle w:val="ActHead5"/>
        <w:rPr>
          <w:sz w:val="28"/>
        </w:rPr>
      </w:pPr>
      <w:bookmarkStart w:id="881" w:name="_Toc423517038"/>
      <w:bookmarkStart w:id="882" w:name="_Toc495652970"/>
      <w:r w:rsidRPr="00883399">
        <w:rPr>
          <w:rStyle w:val="CharSectno"/>
          <w:sz w:val="28"/>
        </w:rPr>
        <w:lastRenderedPageBreak/>
        <w:t>4.32</w:t>
      </w:r>
      <w:r w:rsidRPr="00883399">
        <w:rPr>
          <w:sz w:val="28"/>
        </w:rPr>
        <w:t xml:space="preserve">  Method 2—production of soda ash</w:t>
      </w:r>
      <w:bookmarkEnd w:id="881"/>
      <w:bookmarkEnd w:id="882"/>
    </w:p>
    <w:p w14:paraId="33983500" w14:textId="77777777" w:rsidR="00872C03" w:rsidRPr="00883399" w:rsidRDefault="00872C03" w:rsidP="00872C03">
      <w:pPr>
        <w:pStyle w:val="subsection"/>
        <w:spacing w:after="60"/>
        <w:rPr>
          <w:sz w:val="24"/>
        </w:rPr>
      </w:pPr>
      <w:r w:rsidRPr="00883399">
        <w:rPr>
          <w:sz w:val="24"/>
        </w:rPr>
        <w:tab/>
      </w:r>
      <w:r w:rsidRPr="00883399">
        <w:rPr>
          <w:sz w:val="24"/>
        </w:rPr>
        <w:tab/>
        <w:t>Method 2 is:</w:t>
      </w:r>
    </w:p>
    <w:tbl>
      <w:tblPr>
        <w:tblW w:w="0" w:type="auto"/>
        <w:tblInd w:w="948" w:type="dxa"/>
        <w:tblLayout w:type="fixed"/>
        <w:tblLook w:val="0000" w:firstRow="0" w:lastRow="0" w:firstColumn="0" w:lastColumn="0" w:noHBand="0" w:noVBand="0"/>
      </w:tblPr>
      <w:tblGrid>
        <w:gridCol w:w="882"/>
        <w:gridCol w:w="6678"/>
      </w:tblGrid>
      <w:tr w:rsidR="00872C03" w:rsidRPr="00883399" w14:paraId="1D8ACB9C" w14:textId="77777777" w:rsidTr="0031057E">
        <w:trPr>
          <w:cantSplit/>
          <w:trHeight w:val="80"/>
        </w:trPr>
        <w:tc>
          <w:tcPr>
            <w:tcW w:w="882" w:type="dxa"/>
          </w:tcPr>
          <w:p w14:paraId="71361597" w14:textId="77777777" w:rsidR="00872C03" w:rsidRPr="00883399" w:rsidRDefault="00872C03" w:rsidP="0031057E">
            <w:pPr>
              <w:pStyle w:val="Tabletext0"/>
              <w:rPr>
                <w:sz w:val="24"/>
                <w:szCs w:val="22"/>
              </w:rPr>
            </w:pPr>
            <w:r w:rsidRPr="00883399">
              <w:rPr>
                <w:sz w:val="24"/>
                <w:szCs w:val="22"/>
              </w:rPr>
              <w:t>Step 1</w:t>
            </w:r>
          </w:p>
        </w:tc>
        <w:tc>
          <w:tcPr>
            <w:tcW w:w="6678" w:type="dxa"/>
          </w:tcPr>
          <w:p w14:paraId="42E744D5" w14:textId="77777777" w:rsidR="00872C03" w:rsidRPr="00883399" w:rsidRDefault="00872C03" w:rsidP="0031057E">
            <w:pPr>
              <w:pStyle w:val="TableText"/>
              <w:keepNext/>
              <w:rPr>
                <w:sz w:val="24"/>
              </w:rPr>
            </w:pPr>
            <w:r w:rsidRPr="00883399">
              <w:rPr>
                <w:rFonts w:ascii="TimesNewRoman" w:hAnsi="TimesNewRoman" w:cs="TimesNewRoman"/>
                <w:sz w:val="24"/>
                <w:szCs w:val="22"/>
              </w:rPr>
              <w:t>Calculate the carbon content in fuel types (</w:t>
            </w:r>
            <w:r w:rsidRPr="00883399">
              <w:rPr>
                <w:rFonts w:ascii="TimesNewRoman,BoldItalic" w:hAnsi="TimesNewRoman,BoldItalic" w:cs="TimesNewRoman,BoldItalic"/>
                <w:b/>
                <w:bCs/>
                <w:i/>
                <w:iCs/>
                <w:sz w:val="24"/>
                <w:szCs w:val="22"/>
              </w:rPr>
              <w:t>i</w:t>
            </w:r>
            <w:r w:rsidRPr="00883399">
              <w:rPr>
                <w:rFonts w:ascii="TimesNewRoman" w:hAnsi="TimesNewRoman" w:cs="TimesNewRoman"/>
                <w:sz w:val="24"/>
                <w:szCs w:val="22"/>
              </w:rPr>
              <w:t>) or carbonate material (</w:t>
            </w:r>
            <w:r w:rsidRPr="00883399">
              <w:rPr>
                <w:rFonts w:ascii="TimesNewRoman" w:hAnsi="TimesNewRoman" w:cs="TimesNewRoman"/>
                <w:b/>
                <w:i/>
                <w:sz w:val="24"/>
                <w:szCs w:val="22"/>
              </w:rPr>
              <w:t>j</w:t>
            </w:r>
            <w:r w:rsidRPr="00883399">
              <w:rPr>
                <w:rFonts w:ascii="TimesNewRoman" w:hAnsi="TimesNewRoman" w:cs="TimesNewRoman"/>
                <w:sz w:val="24"/>
                <w:szCs w:val="22"/>
              </w:rPr>
              <w:t>) delivered for the activity during the year measured in tonnes of carbon as follows:</w:t>
            </w:r>
          </w:p>
          <w:p w14:paraId="3D486656" w14:textId="37085C8C" w:rsidR="00872C03" w:rsidRPr="00883399" w:rsidRDefault="00872C03" w:rsidP="0031057E">
            <w:pPr>
              <w:pStyle w:val="Formula"/>
              <w:keepNext/>
              <w:ind w:left="13"/>
              <w:rPr>
                <w:sz w:val="22"/>
              </w:rPr>
            </w:pPr>
            <w:r w:rsidRPr="00883399">
              <w:rPr>
                <w:noProof/>
                <w:position w:val="-14"/>
                <w:sz w:val="22"/>
              </w:rPr>
              <w:drawing>
                <wp:inline distT="0" distB="0" distL="0" distR="0" wp14:anchorId="1239DB4E" wp14:editId="509EE77F">
                  <wp:extent cx="1638935" cy="237490"/>
                  <wp:effectExtent l="1905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02"/>
                          <a:srcRect/>
                          <a:stretch>
                            <a:fillRect/>
                          </a:stretch>
                        </pic:blipFill>
                        <pic:spPr bwMode="auto">
                          <a:xfrm>
                            <a:off x="0" y="0"/>
                            <a:ext cx="1638935" cy="237490"/>
                          </a:xfrm>
                          <a:prstGeom prst="rect">
                            <a:avLst/>
                          </a:prstGeom>
                          <a:noFill/>
                          <a:ln w="9525">
                            <a:noFill/>
                            <a:miter lim="800000"/>
                            <a:headEnd/>
                            <a:tailEnd/>
                          </a:ln>
                        </pic:spPr>
                      </pic:pic>
                    </a:graphicData>
                  </a:graphic>
                </wp:inline>
              </w:drawing>
            </w:r>
          </w:p>
        </w:tc>
      </w:tr>
      <w:tr w:rsidR="00872C03" w:rsidRPr="00883399" w14:paraId="29DF7180" w14:textId="77777777" w:rsidTr="0031057E">
        <w:trPr>
          <w:cantSplit/>
          <w:trHeight w:val="80"/>
        </w:trPr>
        <w:tc>
          <w:tcPr>
            <w:tcW w:w="882" w:type="dxa"/>
          </w:tcPr>
          <w:p w14:paraId="70B1D565" w14:textId="77777777" w:rsidR="00872C03" w:rsidRPr="00883399" w:rsidRDefault="00872C03" w:rsidP="0031057E">
            <w:pPr>
              <w:spacing w:before="60" w:after="60"/>
            </w:pPr>
          </w:p>
        </w:tc>
        <w:tc>
          <w:tcPr>
            <w:tcW w:w="6678" w:type="dxa"/>
          </w:tcPr>
          <w:p w14:paraId="71546698" w14:textId="77777777" w:rsidR="00872C03" w:rsidRPr="00883399" w:rsidRDefault="00872C03" w:rsidP="0031057E">
            <w:pPr>
              <w:pStyle w:val="subsection2"/>
              <w:ind w:left="13"/>
              <w:rPr>
                <w:sz w:val="24"/>
              </w:rPr>
            </w:pPr>
            <w:r w:rsidRPr="00883399">
              <w:rPr>
                <w:sz w:val="24"/>
              </w:rPr>
              <w:t>where:</w:t>
            </w:r>
          </w:p>
          <w:p w14:paraId="4DF0CC6E" w14:textId="77777777" w:rsidR="00872C03" w:rsidRPr="00883399" w:rsidRDefault="00872C03" w:rsidP="0031057E">
            <w:pPr>
              <w:pStyle w:val="Definition0"/>
              <w:spacing w:before="60" w:after="60"/>
              <w:ind w:left="0"/>
              <w:rPr>
                <w:sz w:val="24"/>
              </w:rPr>
            </w:pPr>
            <w:r w:rsidRPr="00883399">
              <w:rPr>
                <w:rFonts w:ascii="TimesNewRoman" w:hAnsi="TimesNewRoman" w:cs="TimesNewRoman"/>
                <w:i/>
                <w:sz w:val="24"/>
                <w:szCs w:val="22"/>
              </w:rPr>
              <w:t>∑</w:t>
            </w:r>
            <w:r w:rsidRPr="00883399">
              <w:rPr>
                <w:rFonts w:ascii="TimesNewRoman,BoldItalic" w:hAnsi="TimesNewRoman,BoldItalic" w:cs="TimesNewRoman,BoldItalic"/>
                <w:b/>
                <w:bCs/>
                <w:i/>
                <w:iCs/>
                <w:sz w:val="16"/>
                <w:szCs w:val="14"/>
              </w:rPr>
              <w:t>i</w:t>
            </w:r>
            <w:r w:rsidRPr="00883399">
              <w:rPr>
                <w:b/>
                <w:i/>
                <w:sz w:val="24"/>
                <w:vertAlign w:val="subscript"/>
              </w:rPr>
              <w:t xml:space="preserve"> </w:t>
            </w:r>
            <w:r w:rsidRPr="00883399">
              <w:rPr>
                <w:sz w:val="24"/>
              </w:rPr>
              <w:t>means sum the carbon content values obtained for all fuel types (</w:t>
            </w:r>
            <w:r w:rsidRPr="00883399">
              <w:rPr>
                <w:b/>
                <w:i/>
                <w:sz w:val="24"/>
              </w:rPr>
              <w:t>i</w:t>
            </w:r>
            <w:r w:rsidRPr="00883399">
              <w:rPr>
                <w:sz w:val="24"/>
              </w:rPr>
              <w:t>).</w:t>
            </w:r>
          </w:p>
        </w:tc>
      </w:tr>
      <w:tr w:rsidR="00872C03" w:rsidRPr="00883399" w14:paraId="13385BDF" w14:textId="77777777" w:rsidTr="0031057E">
        <w:trPr>
          <w:cantSplit/>
          <w:trHeight w:val="80"/>
        </w:trPr>
        <w:tc>
          <w:tcPr>
            <w:tcW w:w="882" w:type="dxa"/>
          </w:tcPr>
          <w:p w14:paraId="7C1217A9" w14:textId="77777777" w:rsidR="00872C03" w:rsidRPr="00883399" w:rsidRDefault="00872C03" w:rsidP="0031057E">
            <w:pPr>
              <w:spacing w:before="60" w:after="60"/>
            </w:pPr>
          </w:p>
        </w:tc>
        <w:tc>
          <w:tcPr>
            <w:tcW w:w="6678" w:type="dxa"/>
          </w:tcPr>
          <w:p w14:paraId="5D229844" w14:textId="77777777" w:rsidR="00872C03" w:rsidRPr="00883399" w:rsidRDefault="00872C03" w:rsidP="0031057E">
            <w:pPr>
              <w:pStyle w:val="Definition0"/>
              <w:spacing w:before="60" w:after="60"/>
              <w:ind w:left="0"/>
              <w:rPr>
                <w:sz w:val="24"/>
              </w:rPr>
            </w:pPr>
            <w:r w:rsidRPr="00883399">
              <w:rPr>
                <w:rFonts w:ascii="TimesNewRoman,BoldItalic" w:hAnsi="TimesNewRoman,BoldItalic" w:cs="TimesNewRoman,BoldItalic"/>
                <w:b/>
                <w:bCs/>
                <w:i/>
                <w:iCs/>
                <w:sz w:val="24"/>
                <w:szCs w:val="22"/>
              </w:rPr>
              <w:t>CCF</w:t>
            </w:r>
            <w:r w:rsidRPr="00883399">
              <w:rPr>
                <w:rFonts w:ascii="TimesNewRoman,BoldItalic" w:hAnsi="TimesNewRoman,BoldItalic" w:cs="TimesNewRoman,BoldItalic"/>
                <w:b/>
                <w:bCs/>
                <w:i/>
                <w:iCs/>
                <w:sz w:val="16"/>
                <w:szCs w:val="14"/>
              </w:rPr>
              <w:t xml:space="preserve">i </w:t>
            </w:r>
            <w:r w:rsidRPr="00883399">
              <w:rPr>
                <w:rFonts w:ascii="TimesNewRoman" w:hAnsi="TimesNewRoman" w:cs="TimesNewRoman"/>
                <w:sz w:val="24"/>
                <w:szCs w:val="22"/>
              </w:rPr>
              <w:t>is the carbon content factor measured in tonnes of carbon for each appropriate unit of fuel type (</w:t>
            </w:r>
            <w:r w:rsidRPr="00883399">
              <w:rPr>
                <w:rFonts w:ascii="TimesNewRoman,BoldItalic" w:hAnsi="TimesNewRoman,BoldItalic" w:cs="TimesNewRoman,BoldItalic"/>
                <w:b/>
                <w:bCs/>
                <w:i/>
                <w:iCs/>
                <w:sz w:val="24"/>
                <w:szCs w:val="22"/>
              </w:rPr>
              <w:t>i</w:t>
            </w:r>
            <w:r w:rsidRPr="00883399">
              <w:rPr>
                <w:rFonts w:ascii="TimesNewRoman" w:hAnsi="TimesNewRoman" w:cs="TimesNewRoman"/>
                <w:sz w:val="24"/>
                <w:szCs w:val="22"/>
              </w:rPr>
              <w:t>) consumed during the year from the operation of the activity.</w:t>
            </w:r>
          </w:p>
        </w:tc>
      </w:tr>
      <w:tr w:rsidR="00872C03" w:rsidRPr="00883399" w14:paraId="619604EC" w14:textId="77777777" w:rsidTr="0031057E">
        <w:trPr>
          <w:cantSplit/>
          <w:trHeight w:val="80"/>
        </w:trPr>
        <w:tc>
          <w:tcPr>
            <w:tcW w:w="882" w:type="dxa"/>
          </w:tcPr>
          <w:p w14:paraId="74293474" w14:textId="77777777" w:rsidR="00872C03" w:rsidRPr="00883399" w:rsidRDefault="00872C03" w:rsidP="0031057E">
            <w:pPr>
              <w:spacing w:before="60" w:after="60"/>
            </w:pPr>
          </w:p>
        </w:tc>
        <w:tc>
          <w:tcPr>
            <w:tcW w:w="6678" w:type="dxa"/>
          </w:tcPr>
          <w:p w14:paraId="6BCE3A0D" w14:textId="77777777" w:rsidR="00872C03" w:rsidRPr="00883399" w:rsidRDefault="00872C03" w:rsidP="0031057E">
            <w:pPr>
              <w:pStyle w:val="Definition0"/>
              <w:spacing w:before="60" w:after="60"/>
              <w:ind w:left="0"/>
              <w:rPr>
                <w:rFonts w:ascii="TimesNewRoman" w:hAnsi="TimesNewRoman" w:cs="TimesNewRoman"/>
                <w:sz w:val="24"/>
                <w:szCs w:val="22"/>
              </w:rPr>
            </w:pPr>
            <w:r w:rsidRPr="00883399">
              <w:rPr>
                <w:rFonts w:ascii="TimesNewRoman,BoldItalic" w:hAnsi="TimesNewRoman,BoldItalic" w:cs="TimesNewRoman,BoldItalic"/>
                <w:b/>
                <w:bCs/>
                <w:i/>
                <w:iCs/>
                <w:sz w:val="24"/>
                <w:szCs w:val="22"/>
              </w:rPr>
              <w:t>Q</w:t>
            </w:r>
            <w:r w:rsidRPr="00883399">
              <w:rPr>
                <w:rFonts w:ascii="TimesNewRoman,BoldItalic" w:hAnsi="TimesNewRoman,BoldItalic" w:cs="TimesNewRoman,BoldItalic"/>
                <w:b/>
                <w:bCs/>
                <w:i/>
                <w:iCs/>
                <w:sz w:val="16"/>
                <w:szCs w:val="14"/>
              </w:rPr>
              <w:t xml:space="preserve">i </w:t>
            </w:r>
            <w:r w:rsidRPr="00883399">
              <w:rPr>
                <w:rFonts w:ascii="TimesNewRoman" w:hAnsi="TimesNewRoman" w:cs="TimesNewRoman"/>
                <w:sz w:val="24"/>
                <w:szCs w:val="22"/>
              </w:rPr>
              <w:t>is the quantity of fuel type (</w:t>
            </w:r>
            <w:r w:rsidRPr="00883399">
              <w:rPr>
                <w:rFonts w:ascii="TimesNewRoman,BoldItalic" w:hAnsi="TimesNewRoman,BoldItalic" w:cs="TimesNewRoman,BoldItalic"/>
                <w:b/>
                <w:bCs/>
                <w:i/>
                <w:iCs/>
                <w:sz w:val="24"/>
                <w:szCs w:val="22"/>
              </w:rPr>
              <w:t>i</w:t>
            </w:r>
            <w:r w:rsidRPr="00883399">
              <w:rPr>
                <w:rFonts w:ascii="TimesNewRoman" w:hAnsi="TimesNewRoman" w:cs="TimesNewRoman"/>
                <w:sz w:val="24"/>
                <w:szCs w:val="22"/>
              </w:rPr>
              <w:t>) delivered for the activity during the year measured in an appropriate unit and estimated in accordance with Divisions 2.2.5, 2.3.6 and 2.4.6.</w:t>
            </w:r>
          </w:p>
        </w:tc>
      </w:tr>
      <w:tr w:rsidR="00872C03" w:rsidRPr="00883399" w14:paraId="6D9367C8" w14:textId="77777777" w:rsidTr="0031057E">
        <w:trPr>
          <w:cantSplit/>
          <w:trHeight w:val="80"/>
        </w:trPr>
        <w:tc>
          <w:tcPr>
            <w:tcW w:w="882" w:type="dxa"/>
          </w:tcPr>
          <w:p w14:paraId="5347C9D8" w14:textId="77777777" w:rsidR="00872C03" w:rsidRPr="00883399" w:rsidRDefault="00872C03" w:rsidP="0031057E">
            <w:pPr>
              <w:spacing w:before="60" w:after="60"/>
            </w:pPr>
          </w:p>
        </w:tc>
        <w:tc>
          <w:tcPr>
            <w:tcW w:w="6678" w:type="dxa"/>
          </w:tcPr>
          <w:p w14:paraId="041743D5" w14:textId="77777777" w:rsidR="00872C03" w:rsidRPr="00883399" w:rsidRDefault="00872C03" w:rsidP="0031057E">
            <w:pPr>
              <w:pStyle w:val="Definition0"/>
              <w:spacing w:before="60" w:after="60"/>
              <w:ind w:left="0"/>
              <w:rPr>
                <w:rFonts w:ascii="TimesNewRoman" w:hAnsi="TimesNewRoman" w:cs="TimesNewRoman"/>
                <w:sz w:val="24"/>
                <w:szCs w:val="22"/>
              </w:rPr>
            </w:pPr>
            <w:r w:rsidRPr="00883399">
              <w:rPr>
                <w:rFonts w:ascii="TimesNewRoman" w:hAnsi="TimesNewRoman" w:cs="TimesNewRoman"/>
                <w:i/>
                <w:sz w:val="24"/>
                <w:szCs w:val="22"/>
              </w:rPr>
              <w:t>∑</w:t>
            </w:r>
            <w:r w:rsidRPr="00883399">
              <w:rPr>
                <w:rFonts w:ascii="TimesNewRoman,BoldItalic" w:hAnsi="TimesNewRoman,BoldItalic" w:cs="TimesNewRoman,BoldItalic"/>
                <w:b/>
                <w:bCs/>
                <w:i/>
                <w:iCs/>
                <w:sz w:val="16"/>
                <w:szCs w:val="14"/>
              </w:rPr>
              <w:t>j</w:t>
            </w:r>
            <w:r w:rsidRPr="00883399">
              <w:rPr>
                <w:b/>
                <w:i/>
                <w:sz w:val="24"/>
              </w:rPr>
              <w:t xml:space="preserve"> </w:t>
            </w:r>
            <w:r w:rsidRPr="00883399">
              <w:rPr>
                <w:rFonts w:ascii="TimesNewRoman" w:hAnsi="TimesNewRoman" w:cs="TimesNewRoman"/>
                <w:sz w:val="24"/>
                <w:szCs w:val="22"/>
              </w:rPr>
              <w:t>means sum the carbon content values obtained for all pure carbonate material (</w:t>
            </w:r>
            <w:r w:rsidRPr="00883399">
              <w:rPr>
                <w:rFonts w:ascii="TimesNewRoman" w:hAnsi="TimesNewRoman" w:cs="TimesNewRoman"/>
                <w:b/>
                <w:i/>
                <w:sz w:val="24"/>
                <w:szCs w:val="22"/>
              </w:rPr>
              <w:t>j</w:t>
            </w:r>
            <w:r w:rsidRPr="00883399">
              <w:rPr>
                <w:rFonts w:ascii="TimesNewRoman" w:hAnsi="TimesNewRoman" w:cs="TimesNewRoman"/>
                <w:sz w:val="24"/>
                <w:szCs w:val="22"/>
              </w:rPr>
              <w:t>).</w:t>
            </w:r>
          </w:p>
          <w:p w14:paraId="0B91E620" w14:textId="77777777" w:rsidR="00872C03" w:rsidRPr="00883399" w:rsidRDefault="00872C03" w:rsidP="0031057E">
            <w:pPr>
              <w:pStyle w:val="Definition0"/>
              <w:spacing w:before="60" w:after="60"/>
              <w:ind w:left="0"/>
              <w:rPr>
                <w:sz w:val="24"/>
                <w:szCs w:val="22"/>
              </w:rPr>
            </w:pPr>
            <w:r w:rsidRPr="00883399">
              <w:rPr>
                <w:rFonts w:ascii="TimesNewRoman,BoldItalic" w:hAnsi="TimesNewRoman,BoldItalic" w:cs="TimesNewRoman,BoldItalic"/>
                <w:b/>
                <w:bCs/>
                <w:i/>
                <w:iCs/>
                <w:sz w:val="24"/>
                <w:szCs w:val="22"/>
              </w:rPr>
              <w:t>CCF</w:t>
            </w:r>
            <w:r w:rsidRPr="00883399">
              <w:rPr>
                <w:rFonts w:ascii="TimesNewRoman,BoldItalic" w:hAnsi="TimesNewRoman,BoldItalic" w:cs="TimesNewRoman,BoldItalic"/>
                <w:b/>
                <w:bCs/>
                <w:i/>
                <w:iCs/>
                <w:sz w:val="16"/>
                <w:szCs w:val="14"/>
              </w:rPr>
              <w:t xml:space="preserve">j </w:t>
            </w:r>
            <w:r w:rsidRPr="00883399">
              <w:rPr>
                <w:rFonts w:ascii="TimesNewRoman" w:hAnsi="TimesNewRoman" w:cs="TimesNewRoman"/>
                <w:sz w:val="24"/>
                <w:szCs w:val="22"/>
              </w:rPr>
              <w:t>is the carbon content factor measured in tonnes of carbon for each pure carbonate material (</w:t>
            </w:r>
            <w:r w:rsidRPr="00883399">
              <w:rPr>
                <w:rFonts w:ascii="TimesNewRoman" w:hAnsi="TimesNewRoman" w:cs="TimesNewRoman"/>
                <w:b/>
                <w:i/>
                <w:sz w:val="24"/>
                <w:szCs w:val="22"/>
              </w:rPr>
              <w:t>j</w:t>
            </w:r>
            <w:r w:rsidRPr="00883399">
              <w:rPr>
                <w:rFonts w:ascii="TimesNewRoman" w:hAnsi="TimesNewRoman" w:cs="TimesNewRoman"/>
                <w:sz w:val="24"/>
                <w:szCs w:val="22"/>
              </w:rPr>
              <w:t>) consumed during the year from the operation of the activity.</w:t>
            </w:r>
          </w:p>
          <w:p w14:paraId="7735FF63" w14:textId="77777777" w:rsidR="00872C03" w:rsidRPr="00883399" w:rsidRDefault="00872C03" w:rsidP="0031057E">
            <w:pPr>
              <w:pStyle w:val="Definition0"/>
              <w:spacing w:before="60" w:after="60"/>
              <w:ind w:left="0"/>
              <w:rPr>
                <w:sz w:val="24"/>
              </w:rPr>
            </w:pPr>
            <w:r w:rsidRPr="00883399">
              <w:rPr>
                <w:rFonts w:ascii="TimesNewRoman" w:hAnsi="TimesNewRoman" w:cs="TimesNewRoman"/>
                <w:b/>
                <w:i/>
                <w:sz w:val="24"/>
                <w:szCs w:val="28"/>
              </w:rPr>
              <w:t>L</w:t>
            </w:r>
            <w:r w:rsidRPr="00883399">
              <w:rPr>
                <w:rFonts w:ascii="TimesNewRoman" w:hAnsi="TimesNewRoman" w:cs="TimesNewRoman"/>
                <w:b/>
                <w:i/>
                <w:sz w:val="16"/>
                <w:szCs w:val="18"/>
              </w:rPr>
              <w:t>j</w:t>
            </w:r>
            <w:r w:rsidRPr="00883399">
              <w:rPr>
                <w:rFonts w:ascii="TimesNewRoman" w:hAnsi="TimesNewRoman" w:cs="TimesNewRoman"/>
                <w:sz w:val="20"/>
                <w:szCs w:val="18"/>
              </w:rPr>
              <w:t xml:space="preserve"> </w:t>
            </w:r>
            <w:r w:rsidRPr="00883399">
              <w:rPr>
                <w:rFonts w:ascii="TimesNewRoman" w:hAnsi="TimesNewRoman" w:cs="TimesNewRoman"/>
                <w:sz w:val="24"/>
                <w:szCs w:val="18"/>
              </w:rPr>
              <w:t xml:space="preserve">is the quantity of pure carbonate material </w:t>
            </w:r>
            <w:r w:rsidRPr="00883399">
              <w:rPr>
                <w:rFonts w:ascii="TimesNewRoman" w:hAnsi="TimesNewRoman" w:cs="TimesNewRoman"/>
                <w:sz w:val="24"/>
                <w:szCs w:val="22"/>
              </w:rPr>
              <w:t>(</w:t>
            </w:r>
            <w:r w:rsidRPr="00883399">
              <w:rPr>
                <w:rFonts w:ascii="TimesNewRoman" w:hAnsi="TimesNewRoman" w:cs="TimesNewRoman"/>
                <w:b/>
                <w:i/>
                <w:sz w:val="24"/>
                <w:szCs w:val="22"/>
              </w:rPr>
              <w:t>j</w:t>
            </w:r>
            <w:r w:rsidRPr="00883399">
              <w:rPr>
                <w:rFonts w:ascii="TimesNewRoman" w:hAnsi="TimesNewRoman" w:cs="TimesNewRoman"/>
                <w:sz w:val="24"/>
                <w:szCs w:val="22"/>
              </w:rPr>
              <w:t xml:space="preserve">) </w:t>
            </w:r>
            <w:r w:rsidRPr="00883399">
              <w:rPr>
                <w:rFonts w:ascii="TimesNewRoman" w:hAnsi="TimesNewRoman" w:cs="TimesNewRoman"/>
                <w:sz w:val="24"/>
                <w:szCs w:val="18"/>
              </w:rPr>
              <w:t xml:space="preserve">delivered for the activity during the year measured in tonnes and estimated </w:t>
            </w:r>
            <w:r w:rsidRPr="00883399">
              <w:rPr>
                <w:rFonts w:ascii="TimesNewRoman" w:hAnsi="TimesNewRoman" w:cs="TimesNewRoman"/>
                <w:sz w:val="24"/>
                <w:szCs w:val="22"/>
              </w:rPr>
              <w:t>in accordance with Division 4.2.5.</w:t>
            </w:r>
          </w:p>
        </w:tc>
      </w:tr>
      <w:tr w:rsidR="00872C03" w:rsidRPr="00883399" w14:paraId="1E2A144B" w14:textId="77777777" w:rsidTr="0031057E">
        <w:trPr>
          <w:cantSplit/>
        </w:trPr>
        <w:tc>
          <w:tcPr>
            <w:tcW w:w="882" w:type="dxa"/>
            <w:vMerge w:val="restart"/>
          </w:tcPr>
          <w:p w14:paraId="4B01565F" w14:textId="77777777" w:rsidR="00872C03" w:rsidRPr="00883399" w:rsidRDefault="00872C03" w:rsidP="0031057E">
            <w:pPr>
              <w:pStyle w:val="Tabletext0"/>
              <w:rPr>
                <w:sz w:val="24"/>
                <w:szCs w:val="22"/>
              </w:rPr>
            </w:pPr>
            <w:r w:rsidRPr="00883399">
              <w:rPr>
                <w:sz w:val="24"/>
                <w:szCs w:val="22"/>
              </w:rPr>
              <w:t>Step 2</w:t>
            </w:r>
          </w:p>
        </w:tc>
        <w:tc>
          <w:tcPr>
            <w:tcW w:w="6678" w:type="dxa"/>
          </w:tcPr>
          <w:p w14:paraId="0D5B57F3" w14:textId="77777777" w:rsidR="00872C03" w:rsidRPr="00883399" w:rsidRDefault="00872C03" w:rsidP="0031057E">
            <w:pPr>
              <w:pStyle w:val="Tabletext0"/>
              <w:rPr>
                <w:sz w:val="24"/>
                <w:szCs w:val="22"/>
              </w:rPr>
            </w:pPr>
            <w:r w:rsidRPr="00883399">
              <w:rPr>
                <w:sz w:val="24"/>
                <w:szCs w:val="22"/>
              </w:rPr>
              <w:t>Calculate the carbon content in products (p) leaving the activity during the year measured in tonnes of carbon as follows:</w:t>
            </w:r>
          </w:p>
          <w:p w14:paraId="0449CC2A" w14:textId="6120942A" w:rsidR="00872C03" w:rsidRPr="00883399" w:rsidRDefault="00872C03" w:rsidP="0031057E">
            <w:pPr>
              <w:pStyle w:val="Tabletext0"/>
              <w:rPr>
                <w:sz w:val="24"/>
                <w:szCs w:val="22"/>
              </w:rPr>
            </w:pPr>
            <w:r w:rsidRPr="00883399">
              <w:rPr>
                <w:noProof/>
                <w:sz w:val="24"/>
                <w:szCs w:val="22"/>
              </w:rPr>
              <w:drawing>
                <wp:inline distT="0" distB="0" distL="0" distR="0" wp14:anchorId="7B23DAC2" wp14:editId="298C4CB3">
                  <wp:extent cx="866775" cy="237490"/>
                  <wp:effectExtent l="19050" t="0" r="952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03"/>
                          <a:srcRect/>
                          <a:stretch>
                            <a:fillRect/>
                          </a:stretch>
                        </pic:blipFill>
                        <pic:spPr bwMode="auto">
                          <a:xfrm>
                            <a:off x="0" y="0"/>
                            <a:ext cx="866775" cy="237490"/>
                          </a:xfrm>
                          <a:prstGeom prst="rect">
                            <a:avLst/>
                          </a:prstGeom>
                          <a:noFill/>
                          <a:ln w="9525">
                            <a:noFill/>
                            <a:miter lim="800000"/>
                            <a:headEnd/>
                            <a:tailEnd/>
                          </a:ln>
                        </pic:spPr>
                      </pic:pic>
                    </a:graphicData>
                  </a:graphic>
                </wp:inline>
              </w:drawing>
            </w:r>
          </w:p>
        </w:tc>
      </w:tr>
      <w:tr w:rsidR="00872C03" w:rsidRPr="00883399" w14:paraId="2E5BD753" w14:textId="77777777" w:rsidTr="0031057E">
        <w:trPr>
          <w:cantSplit/>
        </w:trPr>
        <w:tc>
          <w:tcPr>
            <w:tcW w:w="882" w:type="dxa"/>
            <w:vMerge/>
          </w:tcPr>
          <w:p w14:paraId="4F593B17" w14:textId="77777777" w:rsidR="00872C03" w:rsidRPr="00883399" w:rsidRDefault="00872C03" w:rsidP="0031057E">
            <w:pPr>
              <w:spacing w:before="60" w:after="60"/>
            </w:pPr>
          </w:p>
        </w:tc>
        <w:tc>
          <w:tcPr>
            <w:tcW w:w="6678" w:type="dxa"/>
          </w:tcPr>
          <w:p w14:paraId="2D3CC3E3" w14:textId="77777777" w:rsidR="00872C03" w:rsidRPr="00883399" w:rsidRDefault="00872C03" w:rsidP="0031057E">
            <w:pPr>
              <w:pStyle w:val="subsection2"/>
              <w:ind w:left="13"/>
              <w:rPr>
                <w:sz w:val="24"/>
              </w:rPr>
            </w:pPr>
            <w:r w:rsidRPr="00883399">
              <w:rPr>
                <w:sz w:val="24"/>
              </w:rPr>
              <w:t>where:</w:t>
            </w:r>
          </w:p>
          <w:p w14:paraId="0F33AFD6" w14:textId="77777777" w:rsidR="00872C03" w:rsidRPr="00883399" w:rsidRDefault="00872C03" w:rsidP="0031057E">
            <w:pPr>
              <w:pStyle w:val="Definition0"/>
              <w:spacing w:before="60" w:after="60"/>
              <w:ind w:left="0"/>
              <w:rPr>
                <w:sz w:val="24"/>
              </w:rPr>
            </w:pPr>
            <w:r w:rsidRPr="00883399">
              <w:rPr>
                <w:rFonts w:ascii="TimesNewRoman" w:hAnsi="TimesNewRoman" w:cs="TimesNewRoman"/>
                <w:b/>
                <w:i/>
                <w:sz w:val="24"/>
                <w:szCs w:val="22"/>
              </w:rPr>
              <w:t>∑</w:t>
            </w:r>
            <w:r w:rsidRPr="00883399">
              <w:rPr>
                <w:rFonts w:ascii="TimesNewRoman,BoldItalic" w:hAnsi="TimesNewRoman,BoldItalic" w:cs="TimesNewRoman,BoldItalic"/>
                <w:b/>
                <w:bCs/>
                <w:i/>
                <w:iCs/>
                <w:sz w:val="16"/>
                <w:szCs w:val="14"/>
              </w:rPr>
              <w:t xml:space="preserve">p </w:t>
            </w:r>
            <w:r w:rsidRPr="00883399">
              <w:rPr>
                <w:rFonts w:ascii="TimesNewRoman" w:hAnsi="TimesNewRoman" w:cs="TimesNewRoman"/>
                <w:sz w:val="24"/>
                <w:szCs w:val="22"/>
              </w:rPr>
              <w:t>means sum the carbon content values obtained for all product types (</w:t>
            </w:r>
            <w:r w:rsidRPr="00883399">
              <w:rPr>
                <w:rFonts w:ascii="TimesNewRoman,BoldItalic" w:hAnsi="TimesNewRoman,BoldItalic" w:cs="TimesNewRoman,BoldItalic"/>
                <w:b/>
                <w:bCs/>
                <w:i/>
                <w:iCs/>
                <w:sz w:val="24"/>
                <w:szCs w:val="22"/>
              </w:rPr>
              <w:t>p</w:t>
            </w:r>
            <w:r w:rsidRPr="00883399">
              <w:rPr>
                <w:rFonts w:ascii="TimesNewRoman" w:hAnsi="TimesNewRoman" w:cs="TimesNewRoman"/>
                <w:sz w:val="24"/>
                <w:szCs w:val="22"/>
              </w:rPr>
              <w:t>).</w:t>
            </w:r>
          </w:p>
          <w:p w14:paraId="4CED6C73" w14:textId="77777777" w:rsidR="00872C03" w:rsidRPr="00883399" w:rsidRDefault="00872C03" w:rsidP="0031057E">
            <w:pPr>
              <w:pStyle w:val="Definition0"/>
              <w:spacing w:before="60" w:after="60"/>
              <w:ind w:left="0"/>
              <w:rPr>
                <w:rFonts w:ascii="TimesNewRoman" w:hAnsi="TimesNewRoman" w:cs="TimesNewRoman"/>
                <w:sz w:val="24"/>
                <w:szCs w:val="22"/>
              </w:rPr>
            </w:pPr>
            <w:r w:rsidRPr="00883399">
              <w:rPr>
                <w:rFonts w:ascii="TimesNewRoman,BoldItalic" w:hAnsi="TimesNewRoman,BoldItalic" w:cs="TimesNewRoman,BoldItalic"/>
                <w:b/>
                <w:bCs/>
                <w:i/>
                <w:iCs/>
                <w:sz w:val="24"/>
                <w:szCs w:val="22"/>
              </w:rPr>
              <w:t>CCF</w:t>
            </w:r>
            <w:r w:rsidRPr="00883399">
              <w:rPr>
                <w:rFonts w:ascii="TimesNewRoman,BoldItalic" w:hAnsi="TimesNewRoman,BoldItalic" w:cs="TimesNewRoman,BoldItalic"/>
                <w:b/>
                <w:bCs/>
                <w:i/>
                <w:iCs/>
                <w:sz w:val="16"/>
                <w:szCs w:val="14"/>
              </w:rPr>
              <w:t xml:space="preserve">p </w:t>
            </w:r>
            <w:r w:rsidRPr="00883399">
              <w:rPr>
                <w:rFonts w:ascii="TimesNewRoman" w:hAnsi="TimesNewRoman" w:cs="TimesNewRoman"/>
                <w:sz w:val="24"/>
                <w:szCs w:val="22"/>
              </w:rPr>
              <w:t>is the carbon content factor measured in tonnes of carbon for each tonne of product type (</w:t>
            </w:r>
            <w:r w:rsidRPr="00883399">
              <w:rPr>
                <w:rFonts w:ascii="TimesNewRoman,BoldItalic" w:hAnsi="TimesNewRoman,BoldItalic" w:cs="TimesNewRoman,BoldItalic"/>
                <w:b/>
                <w:bCs/>
                <w:i/>
                <w:iCs/>
                <w:sz w:val="24"/>
                <w:szCs w:val="22"/>
              </w:rPr>
              <w:t>p</w:t>
            </w:r>
            <w:r w:rsidRPr="00883399">
              <w:rPr>
                <w:rFonts w:ascii="TimesNewRoman" w:hAnsi="TimesNewRoman" w:cs="TimesNewRoman"/>
                <w:sz w:val="24"/>
                <w:szCs w:val="22"/>
              </w:rPr>
              <w:t>) produced during the year.</w:t>
            </w:r>
          </w:p>
          <w:p w14:paraId="4B664B19" w14:textId="77777777" w:rsidR="00872C03" w:rsidRPr="00883399" w:rsidRDefault="00872C03" w:rsidP="0031057E">
            <w:pPr>
              <w:pStyle w:val="Definition0"/>
              <w:spacing w:before="60" w:after="60"/>
              <w:ind w:left="0"/>
              <w:rPr>
                <w:sz w:val="24"/>
              </w:rPr>
            </w:pPr>
            <w:r w:rsidRPr="00883399">
              <w:rPr>
                <w:rFonts w:ascii="TimesNewRoman,BoldItalic" w:hAnsi="TimesNewRoman,BoldItalic" w:cs="TimesNewRoman,BoldItalic"/>
                <w:b/>
                <w:bCs/>
                <w:i/>
                <w:iCs/>
                <w:sz w:val="24"/>
                <w:szCs w:val="22"/>
              </w:rPr>
              <w:t>A</w:t>
            </w:r>
            <w:r w:rsidRPr="00883399">
              <w:rPr>
                <w:rFonts w:ascii="TimesNewRoman,BoldItalic" w:hAnsi="TimesNewRoman,BoldItalic" w:cs="TimesNewRoman,BoldItalic"/>
                <w:b/>
                <w:bCs/>
                <w:i/>
                <w:iCs/>
                <w:sz w:val="16"/>
                <w:szCs w:val="14"/>
              </w:rPr>
              <w:t xml:space="preserve">p </w:t>
            </w:r>
            <w:r w:rsidRPr="00883399">
              <w:rPr>
                <w:rFonts w:ascii="TimesNewRoman" w:hAnsi="TimesNewRoman" w:cs="TimesNewRoman"/>
                <w:sz w:val="24"/>
                <w:szCs w:val="22"/>
              </w:rPr>
              <w:t>is the quantity of product types (</w:t>
            </w:r>
            <w:r w:rsidRPr="00883399">
              <w:rPr>
                <w:rFonts w:ascii="TimesNewRoman,BoldItalic" w:hAnsi="TimesNewRoman,BoldItalic" w:cs="TimesNewRoman,BoldItalic"/>
                <w:b/>
                <w:bCs/>
                <w:i/>
                <w:iCs/>
                <w:sz w:val="24"/>
                <w:szCs w:val="22"/>
              </w:rPr>
              <w:t>p</w:t>
            </w:r>
            <w:r w:rsidRPr="00883399">
              <w:rPr>
                <w:rFonts w:ascii="TimesNewRoman" w:hAnsi="TimesNewRoman" w:cs="TimesNewRoman"/>
                <w:sz w:val="24"/>
                <w:szCs w:val="22"/>
              </w:rPr>
              <w:t>) produced leaving the activity during the year measured in tonnes.</w:t>
            </w:r>
          </w:p>
        </w:tc>
      </w:tr>
      <w:tr w:rsidR="00872C03" w:rsidRPr="00883399" w14:paraId="4BA8CF6B" w14:textId="77777777" w:rsidTr="0031057E">
        <w:trPr>
          <w:cantSplit/>
        </w:trPr>
        <w:tc>
          <w:tcPr>
            <w:tcW w:w="882" w:type="dxa"/>
            <w:vMerge w:val="restart"/>
          </w:tcPr>
          <w:p w14:paraId="14604B72" w14:textId="77777777" w:rsidR="00872C03" w:rsidRPr="00883399" w:rsidRDefault="00872C03" w:rsidP="0031057E">
            <w:pPr>
              <w:pStyle w:val="Tabletext0"/>
              <w:rPr>
                <w:sz w:val="24"/>
                <w:szCs w:val="22"/>
              </w:rPr>
            </w:pPr>
            <w:r w:rsidRPr="00883399">
              <w:rPr>
                <w:sz w:val="24"/>
                <w:szCs w:val="22"/>
              </w:rPr>
              <w:lastRenderedPageBreak/>
              <w:t>Step 3</w:t>
            </w:r>
          </w:p>
        </w:tc>
        <w:tc>
          <w:tcPr>
            <w:tcW w:w="6678" w:type="dxa"/>
          </w:tcPr>
          <w:p w14:paraId="4D3B020B" w14:textId="77777777" w:rsidR="00872C03" w:rsidRPr="00883399" w:rsidRDefault="00872C03" w:rsidP="0031057E">
            <w:pPr>
              <w:pStyle w:val="TableText"/>
              <w:rPr>
                <w:iCs/>
                <w:sz w:val="24"/>
              </w:rPr>
            </w:pPr>
            <w:r w:rsidRPr="00883399">
              <w:rPr>
                <w:iCs/>
                <w:sz w:val="24"/>
              </w:rPr>
              <w:t xml:space="preserve">Calculate </w:t>
            </w:r>
            <w:r w:rsidRPr="00883399">
              <w:rPr>
                <w:sz w:val="24"/>
              </w:rPr>
              <w:t xml:space="preserve">the carbon content in </w:t>
            </w:r>
            <w:r w:rsidRPr="00883399">
              <w:rPr>
                <w:iCs/>
                <w:sz w:val="24"/>
              </w:rPr>
              <w:t>waste by</w:t>
            </w:r>
            <w:r w:rsidRPr="00883399">
              <w:rPr>
                <w:iCs/>
                <w:sz w:val="24"/>
              </w:rPr>
              <w:noBreakHyphen/>
              <w:t xml:space="preserve">product types </w:t>
            </w:r>
            <w:r w:rsidRPr="00883399">
              <w:rPr>
                <w:b/>
                <w:i/>
                <w:sz w:val="24"/>
              </w:rPr>
              <w:t xml:space="preserve">(r) </w:t>
            </w:r>
            <w:r w:rsidRPr="00883399">
              <w:rPr>
                <w:sz w:val="24"/>
              </w:rPr>
              <w:t>leaving the activity,</w:t>
            </w:r>
            <w:r w:rsidRPr="00883399">
              <w:rPr>
                <w:iCs/>
                <w:sz w:val="24"/>
              </w:rPr>
              <w:t xml:space="preserve"> other than as an emission of greenhouse gas, during the year, </w:t>
            </w:r>
            <w:r w:rsidRPr="00883399">
              <w:rPr>
                <w:sz w:val="24"/>
              </w:rPr>
              <w:t xml:space="preserve">measured in tonnes of carbon, </w:t>
            </w:r>
            <w:r w:rsidRPr="00883399">
              <w:rPr>
                <w:iCs/>
                <w:sz w:val="24"/>
              </w:rPr>
              <w:t>as follows:</w:t>
            </w:r>
          </w:p>
          <w:p w14:paraId="6BCA5196" w14:textId="3F3D320E" w:rsidR="00872C03" w:rsidRPr="00883399" w:rsidRDefault="00872C03" w:rsidP="0031057E">
            <w:pPr>
              <w:pStyle w:val="Formula"/>
              <w:ind w:left="13"/>
              <w:rPr>
                <w:sz w:val="22"/>
              </w:rPr>
            </w:pPr>
            <w:r w:rsidRPr="00883399">
              <w:rPr>
                <w:noProof/>
                <w:position w:val="-10"/>
                <w:sz w:val="22"/>
              </w:rPr>
              <w:drawing>
                <wp:inline distT="0" distB="0" distL="0" distR="0" wp14:anchorId="06672B33" wp14:editId="3EF0F189">
                  <wp:extent cx="795655" cy="213995"/>
                  <wp:effectExtent l="19050" t="0" r="444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04"/>
                          <a:srcRect/>
                          <a:stretch>
                            <a:fillRect/>
                          </a:stretch>
                        </pic:blipFill>
                        <pic:spPr bwMode="auto">
                          <a:xfrm>
                            <a:off x="0" y="0"/>
                            <a:ext cx="795655" cy="213995"/>
                          </a:xfrm>
                          <a:prstGeom prst="rect">
                            <a:avLst/>
                          </a:prstGeom>
                          <a:noFill/>
                          <a:ln w="9525">
                            <a:noFill/>
                            <a:miter lim="800000"/>
                            <a:headEnd/>
                            <a:tailEnd/>
                          </a:ln>
                        </pic:spPr>
                      </pic:pic>
                    </a:graphicData>
                  </a:graphic>
                </wp:inline>
              </w:drawing>
            </w:r>
          </w:p>
        </w:tc>
      </w:tr>
      <w:tr w:rsidR="00872C03" w:rsidRPr="00883399" w14:paraId="052F5992" w14:textId="77777777" w:rsidTr="0031057E">
        <w:trPr>
          <w:cantSplit/>
        </w:trPr>
        <w:tc>
          <w:tcPr>
            <w:tcW w:w="882" w:type="dxa"/>
            <w:vMerge/>
          </w:tcPr>
          <w:p w14:paraId="262A1350" w14:textId="77777777" w:rsidR="00872C03" w:rsidRPr="00883399" w:rsidRDefault="00872C03" w:rsidP="0031057E">
            <w:pPr>
              <w:spacing w:before="60" w:after="60"/>
            </w:pPr>
          </w:p>
        </w:tc>
        <w:tc>
          <w:tcPr>
            <w:tcW w:w="6678" w:type="dxa"/>
          </w:tcPr>
          <w:p w14:paraId="3733BCEE" w14:textId="77777777" w:rsidR="00872C03" w:rsidRPr="00883399" w:rsidRDefault="00872C03" w:rsidP="0031057E">
            <w:pPr>
              <w:pStyle w:val="subsection2"/>
              <w:ind w:left="13"/>
              <w:rPr>
                <w:sz w:val="24"/>
              </w:rPr>
            </w:pPr>
            <w:r w:rsidRPr="00883399">
              <w:rPr>
                <w:sz w:val="24"/>
              </w:rPr>
              <w:t>where:</w:t>
            </w:r>
          </w:p>
          <w:p w14:paraId="56E3BA45" w14:textId="77777777" w:rsidR="00872C03" w:rsidRPr="00883399" w:rsidRDefault="00872C03" w:rsidP="0031057E">
            <w:pPr>
              <w:pStyle w:val="TableText"/>
              <w:rPr>
                <w:sz w:val="24"/>
              </w:rPr>
            </w:pPr>
            <w:r w:rsidRPr="00883399">
              <w:rPr>
                <w:rFonts w:ascii="Symbol" w:hAnsi="Symbol"/>
                <w:b/>
                <w:i/>
                <w:sz w:val="24"/>
              </w:rPr>
              <w:t></w:t>
            </w:r>
            <w:r w:rsidRPr="00883399">
              <w:rPr>
                <w:b/>
                <w:i/>
                <w:sz w:val="24"/>
                <w:vertAlign w:val="subscript"/>
              </w:rPr>
              <w:t xml:space="preserve">r </w:t>
            </w:r>
            <w:r w:rsidRPr="00883399">
              <w:rPr>
                <w:sz w:val="24"/>
              </w:rPr>
              <w:t>means sum the carbon content values obtained for all waste by</w:t>
            </w:r>
            <w:r w:rsidRPr="00883399">
              <w:rPr>
                <w:sz w:val="24"/>
              </w:rPr>
              <w:noBreakHyphen/>
              <w:t>product types (</w:t>
            </w:r>
            <w:r w:rsidRPr="00883399">
              <w:rPr>
                <w:b/>
                <w:i/>
                <w:sz w:val="24"/>
              </w:rPr>
              <w:t>r</w:t>
            </w:r>
            <w:r w:rsidRPr="00883399">
              <w:rPr>
                <w:sz w:val="24"/>
              </w:rPr>
              <w:t>).</w:t>
            </w:r>
          </w:p>
          <w:p w14:paraId="796DD1AA" w14:textId="77777777" w:rsidR="00872C03" w:rsidRPr="00883399" w:rsidRDefault="00872C03" w:rsidP="0031057E">
            <w:pPr>
              <w:pStyle w:val="Definition0"/>
              <w:spacing w:before="60" w:after="60"/>
              <w:ind w:left="0"/>
              <w:rPr>
                <w:sz w:val="24"/>
                <w:szCs w:val="22"/>
              </w:rPr>
            </w:pPr>
            <w:r w:rsidRPr="00883399">
              <w:rPr>
                <w:b/>
                <w:i/>
                <w:iCs/>
                <w:sz w:val="24"/>
              </w:rPr>
              <w:t>CCF</w:t>
            </w:r>
            <w:r w:rsidRPr="00883399">
              <w:rPr>
                <w:b/>
                <w:i/>
                <w:iCs/>
                <w:sz w:val="24"/>
                <w:vertAlign w:val="subscript"/>
              </w:rPr>
              <w:t>r</w:t>
            </w:r>
            <w:r w:rsidRPr="00883399">
              <w:rPr>
                <w:iCs/>
                <w:sz w:val="24"/>
              </w:rPr>
              <w:t xml:space="preserve"> is the carbon content factor measured in tonnes of carbon for each tonne of waste by</w:t>
            </w:r>
            <w:r w:rsidRPr="00883399">
              <w:rPr>
                <w:iCs/>
                <w:sz w:val="24"/>
              </w:rPr>
              <w:noBreakHyphen/>
              <w:t>product types</w:t>
            </w:r>
            <w:r w:rsidRPr="00883399">
              <w:rPr>
                <w:b/>
                <w:i/>
                <w:iCs/>
                <w:sz w:val="24"/>
              </w:rPr>
              <w:t xml:space="preserve"> </w:t>
            </w:r>
            <w:r w:rsidRPr="00883399">
              <w:rPr>
                <w:iCs/>
                <w:sz w:val="24"/>
              </w:rPr>
              <w:t>(</w:t>
            </w:r>
            <w:r w:rsidRPr="00883399">
              <w:rPr>
                <w:b/>
                <w:i/>
                <w:iCs/>
                <w:sz w:val="24"/>
              </w:rPr>
              <w:t>r</w:t>
            </w:r>
            <w:r w:rsidRPr="00883399">
              <w:rPr>
                <w:iCs/>
                <w:sz w:val="24"/>
              </w:rPr>
              <w:t>).</w:t>
            </w:r>
          </w:p>
          <w:p w14:paraId="0511567B" w14:textId="77777777" w:rsidR="00872C03" w:rsidRPr="00883399" w:rsidRDefault="00872C03" w:rsidP="0031057E">
            <w:pPr>
              <w:pStyle w:val="Definition0"/>
              <w:spacing w:before="60" w:after="60"/>
              <w:ind w:left="0"/>
              <w:rPr>
                <w:sz w:val="24"/>
              </w:rPr>
            </w:pPr>
            <w:r w:rsidRPr="00883399">
              <w:rPr>
                <w:b/>
                <w:i/>
                <w:sz w:val="24"/>
              </w:rPr>
              <w:t>Y</w:t>
            </w:r>
            <w:r w:rsidRPr="00883399">
              <w:rPr>
                <w:b/>
                <w:i/>
                <w:sz w:val="24"/>
                <w:vertAlign w:val="subscript"/>
              </w:rPr>
              <w:t xml:space="preserve">r </w:t>
            </w:r>
            <w:r w:rsidRPr="00883399">
              <w:rPr>
                <w:sz w:val="24"/>
              </w:rPr>
              <w:t>is the quantity of waste by</w:t>
            </w:r>
            <w:r w:rsidRPr="00883399">
              <w:rPr>
                <w:sz w:val="24"/>
              </w:rPr>
              <w:noBreakHyphen/>
              <w:t>product types (</w:t>
            </w:r>
            <w:r w:rsidRPr="00883399">
              <w:rPr>
                <w:b/>
                <w:i/>
                <w:sz w:val="24"/>
              </w:rPr>
              <w:t>r</w:t>
            </w:r>
            <w:r w:rsidRPr="00883399">
              <w:rPr>
                <w:sz w:val="24"/>
              </w:rPr>
              <w:t>) leaving the activity during the year measured in tonnes.</w:t>
            </w:r>
          </w:p>
        </w:tc>
      </w:tr>
      <w:tr w:rsidR="00872C03" w:rsidRPr="00883399" w14:paraId="160846B4" w14:textId="77777777" w:rsidTr="0031057E">
        <w:trPr>
          <w:cantSplit/>
        </w:trPr>
        <w:tc>
          <w:tcPr>
            <w:tcW w:w="882" w:type="dxa"/>
            <w:vMerge w:val="restart"/>
          </w:tcPr>
          <w:p w14:paraId="048BE1F3" w14:textId="77777777" w:rsidR="00872C03" w:rsidRPr="00883399" w:rsidRDefault="00872C03" w:rsidP="0031057E">
            <w:pPr>
              <w:pStyle w:val="Tabletext0"/>
              <w:rPr>
                <w:sz w:val="24"/>
                <w:szCs w:val="22"/>
              </w:rPr>
            </w:pPr>
            <w:r w:rsidRPr="00883399">
              <w:rPr>
                <w:sz w:val="24"/>
                <w:szCs w:val="22"/>
              </w:rPr>
              <w:t>Step 4</w:t>
            </w:r>
          </w:p>
        </w:tc>
        <w:tc>
          <w:tcPr>
            <w:tcW w:w="6678" w:type="dxa"/>
          </w:tcPr>
          <w:p w14:paraId="0567EBB1" w14:textId="77777777" w:rsidR="00872C03" w:rsidRPr="00883399" w:rsidRDefault="00872C03" w:rsidP="0031057E">
            <w:pPr>
              <w:pStyle w:val="TableText"/>
              <w:rPr>
                <w:iCs/>
                <w:sz w:val="24"/>
              </w:rPr>
            </w:pPr>
            <w:r w:rsidRPr="00883399">
              <w:rPr>
                <w:sz w:val="24"/>
              </w:rPr>
              <w:t>Calculate the carbon content in the amount of the change in stocks</w:t>
            </w:r>
            <w:r w:rsidRPr="00883399">
              <w:rPr>
                <w:iCs/>
                <w:sz w:val="24"/>
              </w:rPr>
              <w:t xml:space="preserve"> of inputs, products and waste by</w:t>
            </w:r>
            <w:r w:rsidRPr="00883399">
              <w:rPr>
                <w:b/>
                <w:iCs/>
                <w:sz w:val="24"/>
              </w:rPr>
              <w:noBreakHyphen/>
            </w:r>
            <w:r w:rsidRPr="00883399">
              <w:rPr>
                <w:iCs/>
                <w:sz w:val="24"/>
              </w:rPr>
              <w:t>products held within the boundary of the activity during the year in tonnes of carbon as follows:</w:t>
            </w:r>
          </w:p>
          <w:p w14:paraId="7EC9928E" w14:textId="4B59DA80" w:rsidR="00872C03" w:rsidRPr="00883399" w:rsidRDefault="00872C03" w:rsidP="0031057E">
            <w:pPr>
              <w:pStyle w:val="Formula"/>
              <w:ind w:left="13"/>
              <w:rPr>
                <w:sz w:val="22"/>
              </w:rPr>
            </w:pPr>
            <w:r w:rsidRPr="00883399">
              <w:rPr>
                <w:noProof/>
                <w:position w:val="-12"/>
                <w:sz w:val="22"/>
              </w:rPr>
              <w:drawing>
                <wp:inline distT="0" distB="0" distL="0" distR="0" wp14:anchorId="3C6EDC7A" wp14:editId="040D07A5">
                  <wp:extent cx="4120515" cy="154305"/>
                  <wp:effectExtent l="1905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05"/>
                          <a:srcRect/>
                          <a:stretch>
                            <a:fillRect/>
                          </a:stretch>
                        </pic:blipFill>
                        <pic:spPr bwMode="auto">
                          <a:xfrm>
                            <a:off x="0" y="0"/>
                            <a:ext cx="4120515" cy="154305"/>
                          </a:xfrm>
                          <a:prstGeom prst="rect">
                            <a:avLst/>
                          </a:prstGeom>
                          <a:noFill/>
                          <a:ln w="9525">
                            <a:noFill/>
                            <a:miter lim="800000"/>
                            <a:headEnd/>
                            <a:tailEnd/>
                          </a:ln>
                        </pic:spPr>
                      </pic:pic>
                    </a:graphicData>
                  </a:graphic>
                </wp:inline>
              </w:drawing>
            </w:r>
          </w:p>
        </w:tc>
      </w:tr>
      <w:tr w:rsidR="00872C03" w:rsidRPr="00883399" w14:paraId="122D50CB" w14:textId="77777777" w:rsidTr="0031057E">
        <w:trPr>
          <w:cantSplit/>
        </w:trPr>
        <w:tc>
          <w:tcPr>
            <w:tcW w:w="882" w:type="dxa"/>
            <w:vMerge/>
          </w:tcPr>
          <w:p w14:paraId="568D1745" w14:textId="77777777" w:rsidR="00872C03" w:rsidRPr="00883399" w:rsidRDefault="00872C03" w:rsidP="0031057E">
            <w:pPr>
              <w:spacing w:before="60" w:after="60"/>
            </w:pPr>
          </w:p>
        </w:tc>
        <w:tc>
          <w:tcPr>
            <w:tcW w:w="6678" w:type="dxa"/>
          </w:tcPr>
          <w:p w14:paraId="7DC28E86" w14:textId="77777777" w:rsidR="00872C03" w:rsidRPr="00883399" w:rsidRDefault="00872C03" w:rsidP="0031057E">
            <w:pPr>
              <w:pStyle w:val="subsection2"/>
              <w:ind w:left="13"/>
              <w:rPr>
                <w:sz w:val="24"/>
              </w:rPr>
            </w:pPr>
            <w:r w:rsidRPr="00883399">
              <w:rPr>
                <w:sz w:val="24"/>
              </w:rPr>
              <w:t>where:</w:t>
            </w:r>
          </w:p>
          <w:p w14:paraId="2BE2B06E" w14:textId="77777777" w:rsidR="00872C03" w:rsidRPr="00883399" w:rsidRDefault="00872C03" w:rsidP="0031057E">
            <w:pPr>
              <w:pStyle w:val="Definition0"/>
              <w:spacing w:before="60" w:after="60"/>
              <w:ind w:left="0"/>
              <w:rPr>
                <w:b/>
                <w:i/>
                <w:sz w:val="24"/>
              </w:rPr>
            </w:pPr>
            <w:r w:rsidRPr="00883399">
              <w:rPr>
                <w:rFonts w:ascii="Symbol" w:hAnsi="Symbol"/>
                <w:b/>
                <w:i/>
                <w:sz w:val="24"/>
              </w:rPr>
              <w:t></w:t>
            </w:r>
            <w:r w:rsidRPr="00883399">
              <w:rPr>
                <w:b/>
                <w:i/>
                <w:sz w:val="24"/>
                <w:vertAlign w:val="subscript"/>
              </w:rPr>
              <w:t xml:space="preserve">i </w:t>
            </w:r>
            <w:r w:rsidRPr="00883399">
              <w:rPr>
                <w:sz w:val="24"/>
              </w:rPr>
              <w:t>has the same meaning as in step 1.</w:t>
            </w:r>
          </w:p>
          <w:p w14:paraId="32972848" w14:textId="77777777" w:rsidR="00872C03" w:rsidRPr="00883399" w:rsidRDefault="00872C03" w:rsidP="0031057E">
            <w:pPr>
              <w:pStyle w:val="Definition0"/>
              <w:spacing w:before="60" w:after="60"/>
              <w:ind w:left="0"/>
              <w:rPr>
                <w:iCs/>
                <w:sz w:val="24"/>
              </w:rPr>
            </w:pPr>
            <w:r w:rsidRPr="00883399">
              <w:rPr>
                <w:b/>
                <w:i/>
                <w:sz w:val="24"/>
              </w:rPr>
              <w:t>CCF</w:t>
            </w:r>
            <w:r w:rsidRPr="00883399">
              <w:rPr>
                <w:b/>
                <w:i/>
                <w:sz w:val="24"/>
                <w:vertAlign w:val="subscript"/>
              </w:rPr>
              <w:t xml:space="preserve">i </w:t>
            </w:r>
            <w:r w:rsidRPr="00883399">
              <w:rPr>
                <w:sz w:val="24"/>
              </w:rPr>
              <w:t>has the same meaning as in step 1.</w:t>
            </w:r>
          </w:p>
          <w:p w14:paraId="6BF10E19" w14:textId="77777777" w:rsidR="00872C03" w:rsidRPr="00883399" w:rsidRDefault="00872C03" w:rsidP="0031057E">
            <w:pPr>
              <w:pStyle w:val="Definition0"/>
              <w:spacing w:before="60" w:after="60"/>
              <w:ind w:left="0"/>
              <w:rPr>
                <w:sz w:val="24"/>
                <w:szCs w:val="22"/>
              </w:rPr>
            </w:pPr>
            <w:r w:rsidRPr="00883399">
              <w:rPr>
                <w:rFonts w:ascii="TimesNewRoman,BoldItalic" w:hAnsi="TimesNewRoman,BoldItalic" w:cs="TimesNewRoman,BoldItalic"/>
                <w:b/>
                <w:bCs/>
                <w:i/>
                <w:iCs/>
                <w:sz w:val="24"/>
                <w:szCs w:val="22"/>
              </w:rPr>
              <w:t>Δs</w:t>
            </w:r>
            <w:r w:rsidRPr="00883399">
              <w:rPr>
                <w:rFonts w:ascii="TimesNewRoman,BoldItalic" w:hAnsi="TimesNewRoman,BoldItalic" w:cs="TimesNewRoman,BoldItalic"/>
                <w:b/>
                <w:bCs/>
                <w:i/>
                <w:iCs/>
                <w:sz w:val="16"/>
                <w:szCs w:val="14"/>
              </w:rPr>
              <w:t xml:space="preserve">qi </w:t>
            </w:r>
            <w:r w:rsidRPr="00883399">
              <w:rPr>
                <w:rFonts w:ascii="TimesNewRoman" w:hAnsi="TimesNewRoman" w:cs="TimesNewRoman"/>
                <w:sz w:val="24"/>
                <w:szCs w:val="22"/>
              </w:rPr>
              <w:t xml:space="preserve">is the </w:t>
            </w:r>
            <w:r w:rsidRPr="00883399">
              <w:rPr>
                <w:sz w:val="24"/>
              </w:rPr>
              <w:t>change in stocks</w:t>
            </w:r>
            <w:r w:rsidRPr="00883399">
              <w:rPr>
                <w:rFonts w:ascii="TimesNewRoman" w:hAnsi="TimesNewRoman" w:cs="TimesNewRoman"/>
                <w:sz w:val="24"/>
                <w:szCs w:val="22"/>
              </w:rPr>
              <w:t xml:space="preserve"> of fuel type (</w:t>
            </w:r>
            <w:r w:rsidRPr="00883399">
              <w:rPr>
                <w:rFonts w:ascii="TimesNewRoman,BoldItalic" w:hAnsi="TimesNewRoman,BoldItalic" w:cs="TimesNewRoman,BoldItalic"/>
                <w:b/>
                <w:bCs/>
                <w:i/>
                <w:iCs/>
                <w:sz w:val="24"/>
                <w:szCs w:val="22"/>
              </w:rPr>
              <w:t>i</w:t>
            </w:r>
            <w:r w:rsidRPr="00883399">
              <w:rPr>
                <w:rFonts w:ascii="TimesNewRoman" w:hAnsi="TimesNewRoman" w:cs="TimesNewRoman"/>
                <w:sz w:val="24"/>
                <w:szCs w:val="22"/>
              </w:rPr>
              <w:t>) for the activity and held within the boundary of the activity during the year measured in tonnes.</w:t>
            </w:r>
          </w:p>
          <w:p w14:paraId="19B6BAEA" w14:textId="77777777" w:rsidR="00872C03" w:rsidRPr="00883399" w:rsidRDefault="00872C03" w:rsidP="0031057E">
            <w:pPr>
              <w:pStyle w:val="Definition0"/>
              <w:spacing w:before="60" w:after="60"/>
              <w:ind w:left="0"/>
              <w:rPr>
                <w:rFonts w:ascii="TimesNewRoman" w:hAnsi="TimesNewRoman" w:cs="TimesNewRoman"/>
                <w:sz w:val="24"/>
                <w:szCs w:val="22"/>
              </w:rPr>
            </w:pPr>
            <w:r w:rsidRPr="00883399">
              <w:rPr>
                <w:rFonts w:ascii="Symbol" w:hAnsi="Symbol"/>
                <w:b/>
                <w:i/>
                <w:sz w:val="24"/>
              </w:rPr>
              <w:t></w:t>
            </w:r>
            <w:r w:rsidRPr="00883399">
              <w:rPr>
                <w:b/>
                <w:i/>
                <w:sz w:val="24"/>
                <w:vertAlign w:val="subscript"/>
              </w:rPr>
              <w:t xml:space="preserve">j </w:t>
            </w:r>
            <w:r w:rsidRPr="00883399">
              <w:rPr>
                <w:sz w:val="24"/>
              </w:rPr>
              <w:t>has the same meaning as in step 1.</w:t>
            </w:r>
          </w:p>
        </w:tc>
      </w:tr>
      <w:tr w:rsidR="00872C03" w:rsidRPr="00883399" w14:paraId="310AA2CE" w14:textId="77777777" w:rsidTr="0031057E">
        <w:trPr>
          <w:cantSplit/>
        </w:trPr>
        <w:tc>
          <w:tcPr>
            <w:tcW w:w="882" w:type="dxa"/>
            <w:vMerge/>
          </w:tcPr>
          <w:p w14:paraId="6F812E8B" w14:textId="77777777" w:rsidR="00872C03" w:rsidRPr="00883399" w:rsidRDefault="00872C03" w:rsidP="0031057E">
            <w:pPr>
              <w:spacing w:before="60" w:after="60"/>
            </w:pPr>
          </w:p>
        </w:tc>
        <w:tc>
          <w:tcPr>
            <w:tcW w:w="6678" w:type="dxa"/>
          </w:tcPr>
          <w:p w14:paraId="49E3908B" w14:textId="77777777" w:rsidR="00872C03" w:rsidRPr="00883399" w:rsidRDefault="00872C03" w:rsidP="0031057E">
            <w:pPr>
              <w:pStyle w:val="TableText"/>
              <w:rPr>
                <w:rFonts w:ascii="TimesNewRoman" w:hAnsi="TimesNewRoman" w:cs="TimesNewRoman"/>
                <w:sz w:val="24"/>
                <w:szCs w:val="22"/>
              </w:rPr>
            </w:pPr>
            <w:r w:rsidRPr="00883399">
              <w:rPr>
                <w:rFonts w:ascii="TimesNewRoman,BoldItalic" w:hAnsi="TimesNewRoman,BoldItalic" w:cs="TimesNewRoman,BoldItalic"/>
                <w:b/>
                <w:bCs/>
                <w:i/>
                <w:iCs/>
                <w:sz w:val="24"/>
                <w:szCs w:val="22"/>
              </w:rPr>
              <w:t>CCF</w:t>
            </w:r>
            <w:r w:rsidRPr="00883399">
              <w:rPr>
                <w:rFonts w:ascii="TimesNewRoman,BoldItalic" w:hAnsi="TimesNewRoman,BoldItalic" w:cs="TimesNewRoman,BoldItalic"/>
                <w:b/>
                <w:bCs/>
                <w:i/>
                <w:iCs/>
                <w:sz w:val="16"/>
                <w:szCs w:val="14"/>
              </w:rPr>
              <w:t xml:space="preserve">j </w:t>
            </w:r>
            <w:r w:rsidRPr="00883399">
              <w:rPr>
                <w:rFonts w:ascii="TimesNewRoman" w:hAnsi="TimesNewRoman" w:cs="TimesNewRoman"/>
                <w:sz w:val="24"/>
                <w:szCs w:val="22"/>
              </w:rPr>
              <w:t>has the same meaning as in step 1.</w:t>
            </w:r>
          </w:p>
          <w:p w14:paraId="3A2CFCB0" w14:textId="77777777" w:rsidR="00872C03" w:rsidRPr="00883399" w:rsidRDefault="00872C03" w:rsidP="0031057E">
            <w:pPr>
              <w:pStyle w:val="TableText"/>
              <w:rPr>
                <w:iCs/>
                <w:sz w:val="24"/>
              </w:rPr>
            </w:pPr>
            <w:r w:rsidRPr="00883399">
              <w:rPr>
                <w:rFonts w:ascii="TimesNewRoman,BoldItalic" w:hAnsi="TimesNewRoman,BoldItalic" w:cs="TimesNewRoman,BoldItalic"/>
                <w:b/>
                <w:bCs/>
                <w:i/>
                <w:iCs/>
                <w:sz w:val="24"/>
                <w:szCs w:val="22"/>
              </w:rPr>
              <w:t>ΔS</w:t>
            </w:r>
            <w:r w:rsidRPr="00883399">
              <w:rPr>
                <w:rFonts w:ascii="TimesNewRoman,BoldItalic" w:hAnsi="TimesNewRoman,BoldItalic" w:cs="TimesNewRoman,BoldItalic"/>
                <w:b/>
                <w:bCs/>
                <w:i/>
                <w:iCs/>
                <w:sz w:val="16"/>
                <w:szCs w:val="14"/>
              </w:rPr>
              <w:t xml:space="preserve">qj </w:t>
            </w:r>
            <w:r w:rsidRPr="00883399">
              <w:rPr>
                <w:rFonts w:ascii="TimesNewRoman" w:hAnsi="TimesNewRoman" w:cs="TimesNewRoman"/>
                <w:sz w:val="24"/>
                <w:szCs w:val="22"/>
              </w:rPr>
              <w:t xml:space="preserve">is the </w:t>
            </w:r>
            <w:r w:rsidRPr="00883399">
              <w:rPr>
                <w:sz w:val="24"/>
              </w:rPr>
              <w:t>change in stocks</w:t>
            </w:r>
            <w:r w:rsidRPr="00883399">
              <w:rPr>
                <w:rFonts w:ascii="TimesNewRoman" w:hAnsi="TimesNewRoman" w:cs="TimesNewRoman"/>
                <w:sz w:val="24"/>
                <w:szCs w:val="22"/>
              </w:rPr>
              <w:t xml:space="preserve"> of pure carbonate material (</w:t>
            </w:r>
            <w:r w:rsidRPr="00883399">
              <w:rPr>
                <w:rFonts w:ascii="TimesNewRoman" w:hAnsi="TimesNewRoman" w:cs="TimesNewRoman"/>
                <w:b/>
                <w:i/>
                <w:sz w:val="24"/>
                <w:szCs w:val="22"/>
              </w:rPr>
              <w:t>j</w:t>
            </w:r>
            <w:r w:rsidRPr="00883399">
              <w:rPr>
                <w:rFonts w:ascii="TimesNewRoman" w:hAnsi="TimesNewRoman" w:cs="TimesNewRoman"/>
                <w:sz w:val="24"/>
                <w:szCs w:val="22"/>
              </w:rPr>
              <w:t>) for the activity and held within the boundary of the activity during the year measured in tonnes.</w:t>
            </w:r>
          </w:p>
          <w:p w14:paraId="6AE6BDC2" w14:textId="77777777" w:rsidR="00872C03" w:rsidRPr="00883399" w:rsidRDefault="00872C03" w:rsidP="0031057E">
            <w:pPr>
              <w:pStyle w:val="TableText"/>
              <w:rPr>
                <w:b/>
                <w:i/>
                <w:sz w:val="24"/>
              </w:rPr>
            </w:pPr>
            <w:r w:rsidRPr="00883399">
              <w:rPr>
                <w:rFonts w:ascii="Symbol" w:hAnsi="Symbol"/>
                <w:b/>
                <w:i/>
                <w:sz w:val="24"/>
              </w:rPr>
              <w:t></w:t>
            </w:r>
            <w:r w:rsidRPr="00883399">
              <w:rPr>
                <w:b/>
                <w:i/>
                <w:sz w:val="24"/>
                <w:vertAlign w:val="subscript"/>
              </w:rPr>
              <w:t xml:space="preserve">p </w:t>
            </w:r>
            <w:r w:rsidRPr="00883399">
              <w:rPr>
                <w:sz w:val="24"/>
              </w:rPr>
              <w:t>has the same meaning as in step 2.</w:t>
            </w:r>
          </w:p>
        </w:tc>
      </w:tr>
      <w:tr w:rsidR="00872C03" w:rsidRPr="00883399" w14:paraId="030F9917" w14:textId="77777777" w:rsidTr="0031057E">
        <w:trPr>
          <w:cantSplit/>
        </w:trPr>
        <w:tc>
          <w:tcPr>
            <w:tcW w:w="882" w:type="dxa"/>
            <w:vMerge/>
          </w:tcPr>
          <w:p w14:paraId="00147EE6" w14:textId="77777777" w:rsidR="00872C03" w:rsidRPr="00883399" w:rsidRDefault="00872C03" w:rsidP="0031057E">
            <w:pPr>
              <w:spacing w:before="60" w:after="60"/>
            </w:pPr>
          </w:p>
        </w:tc>
        <w:tc>
          <w:tcPr>
            <w:tcW w:w="6678" w:type="dxa"/>
          </w:tcPr>
          <w:p w14:paraId="2D54EAAA" w14:textId="77777777" w:rsidR="00872C03" w:rsidRPr="00883399" w:rsidRDefault="00872C03" w:rsidP="0031057E">
            <w:pPr>
              <w:pStyle w:val="TableText"/>
              <w:rPr>
                <w:b/>
                <w:i/>
                <w:iCs/>
                <w:sz w:val="24"/>
              </w:rPr>
            </w:pPr>
            <w:r w:rsidRPr="00883399">
              <w:rPr>
                <w:b/>
                <w:i/>
                <w:sz w:val="24"/>
              </w:rPr>
              <w:t>CCF</w:t>
            </w:r>
            <w:r w:rsidRPr="00883399">
              <w:rPr>
                <w:b/>
                <w:i/>
                <w:sz w:val="24"/>
                <w:vertAlign w:val="subscript"/>
              </w:rPr>
              <w:t xml:space="preserve">p </w:t>
            </w:r>
            <w:r w:rsidRPr="00883399">
              <w:rPr>
                <w:sz w:val="24"/>
              </w:rPr>
              <w:t>has the same meaning as in step 2.</w:t>
            </w:r>
          </w:p>
          <w:p w14:paraId="2DBB3C93" w14:textId="77777777" w:rsidR="00872C03" w:rsidRPr="00883399" w:rsidRDefault="00872C03" w:rsidP="0031057E">
            <w:pPr>
              <w:autoSpaceDE w:val="0"/>
              <w:autoSpaceDN w:val="0"/>
              <w:adjustRightInd w:val="0"/>
              <w:rPr>
                <w:rFonts w:ascii="TimesNewRoman" w:hAnsi="TimesNewRoman" w:cs="TimesNewRoman"/>
                <w:szCs w:val="22"/>
              </w:rPr>
            </w:pPr>
            <w:r w:rsidRPr="00883399">
              <w:rPr>
                <w:rFonts w:ascii="TimesNewRoman,BoldItalic" w:hAnsi="TimesNewRoman,BoldItalic" w:cs="TimesNewRoman,BoldItalic"/>
                <w:b/>
                <w:bCs/>
                <w:i/>
                <w:iCs/>
                <w:szCs w:val="22"/>
              </w:rPr>
              <w:t>Δs</w:t>
            </w:r>
            <w:r w:rsidRPr="00883399">
              <w:rPr>
                <w:rFonts w:ascii="TimesNewRoman,BoldItalic" w:hAnsi="TimesNewRoman,BoldItalic" w:cs="TimesNewRoman,BoldItalic"/>
                <w:b/>
                <w:bCs/>
                <w:i/>
                <w:iCs/>
                <w:sz w:val="16"/>
                <w:szCs w:val="14"/>
              </w:rPr>
              <w:t xml:space="preserve">ap </w:t>
            </w:r>
            <w:r w:rsidRPr="00883399">
              <w:rPr>
                <w:rFonts w:ascii="TimesNewRoman" w:hAnsi="TimesNewRoman" w:cs="TimesNewRoman"/>
                <w:szCs w:val="22"/>
              </w:rPr>
              <w:t xml:space="preserve">is the </w:t>
            </w:r>
            <w:r w:rsidRPr="00883399">
              <w:t>change in stocks</w:t>
            </w:r>
            <w:r w:rsidRPr="00883399">
              <w:rPr>
                <w:rFonts w:ascii="TimesNewRoman" w:hAnsi="TimesNewRoman" w:cs="TimesNewRoman"/>
                <w:szCs w:val="22"/>
              </w:rPr>
              <w:t xml:space="preserve"> of product types (</w:t>
            </w:r>
            <w:r w:rsidRPr="00883399">
              <w:rPr>
                <w:rFonts w:ascii="TimesNewRoman,BoldItalic" w:hAnsi="TimesNewRoman,BoldItalic" w:cs="TimesNewRoman,BoldItalic"/>
                <w:b/>
                <w:bCs/>
                <w:i/>
                <w:iCs/>
                <w:szCs w:val="22"/>
              </w:rPr>
              <w:t xml:space="preserve">p) </w:t>
            </w:r>
            <w:r w:rsidRPr="00883399">
              <w:rPr>
                <w:rFonts w:ascii="TimesNewRoman" w:hAnsi="TimesNewRoman" w:cs="TimesNewRoman"/>
                <w:szCs w:val="22"/>
              </w:rPr>
              <w:t>produced by the activity and held within the boundary of the activity during the year measured in tonnes.</w:t>
            </w:r>
          </w:p>
        </w:tc>
      </w:tr>
      <w:tr w:rsidR="00872C03" w:rsidRPr="00883399" w14:paraId="516FACD1" w14:textId="77777777" w:rsidTr="0031057E">
        <w:trPr>
          <w:cantSplit/>
          <w:trHeight w:val="1470"/>
        </w:trPr>
        <w:tc>
          <w:tcPr>
            <w:tcW w:w="882" w:type="dxa"/>
          </w:tcPr>
          <w:p w14:paraId="0870B7FD" w14:textId="77777777" w:rsidR="00872C03" w:rsidRPr="00883399" w:rsidRDefault="00872C03" w:rsidP="0031057E">
            <w:pPr>
              <w:spacing w:before="60" w:after="60"/>
            </w:pPr>
          </w:p>
        </w:tc>
        <w:tc>
          <w:tcPr>
            <w:tcW w:w="6678" w:type="dxa"/>
          </w:tcPr>
          <w:p w14:paraId="674F13F7" w14:textId="77777777" w:rsidR="00872C03" w:rsidRPr="00883399" w:rsidRDefault="00872C03" w:rsidP="0031057E">
            <w:pPr>
              <w:pStyle w:val="Definition0"/>
              <w:spacing w:before="60" w:after="60"/>
              <w:ind w:left="0"/>
              <w:rPr>
                <w:b/>
                <w:i/>
                <w:sz w:val="24"/>
              </w:rPr>
            </w:pPr>
            <w:r w:rsidRPr="00883399">
              <w:rPr>
                <w:rFonts w:ascii="Symbol" w:hAnsi="Symbol"/>
                <w:b/>
                <w:i/>
                <w:sz w:val="24"/>
              </w:rPr>
              <w:t></w:t>
            </w:r>
            <w:r w:rsidRPr="00883399">
              <w:rPr>
                <w:b/>
                <w:i/>
                <w:sz w:val="24"/>
                <w:vertAlign w:val="subscript"/>
              </w:rPr>
              <w:t xml:space="preserve">r </w:t>
            </w:r>
            <w:r w:rsidRPr="00883399">
              <w:rPr>
                <w:sz w:val="24"/>
              </w:rPr>
              <w:t>has the same meaning as in step 3.</w:t>
            </w:r>
          </w:p>
          <w:p w14:paraId="5FBDDE42" w14:textId="77777777" w:rsidR="00872C03" w:rsidRPr="00883399" w:rsidRDefault="00872C03" w:rsidP="0031057E">
            <w:pPr>
              <w:pStyle w:val="Definition0"/>
              <w:spacing w:before="60" w:after="60"/>
              <w:ind w:left="0"/>
              <w:rPr>
                <w:b/>
                <w:i/>
                <w:iCs/>
                <w:sz w:val="24"/>
              </w:rPr>
            </w:pPr>
            <w:r w:rsidRPr="00883399">
              <w:rPr>
                <w:b/>
                <w:i/>
                <w:sz w:val="24"/>
              </w:rPr>
              <w:t>CCF</w:t>
            </w:r>
            <w:r w:rsidRPr="00883399">
              <w:rPr>
                <w:b/>
                <w:i/>
                <w:sz w:val="24"/>
                <w:vertAlign w:val="subscript"/>
              </w:rPr>
              <w:t xml:space="preserve">r </w:t>
            </w:r>
            <w:r w:rsidRPr="00883399">
              <w:rPr>
                <w:sz w:val="24"/>
              </w:rPr>
              <w:t>has the same meaning as in step 3.</w:t>
            </w:r>
          </w:p>
          <w:p w14:paraId="12047E58" w14:textId="77777777" w:rsidR="00872C03" w:rsidRPr="00883399" w:rsidRDefault="00872C03" w:rsidP="0031057E">
            <w:pPr>
              <w:pStyle w:val="Definition0"/>
              <w:spacing w:before="60" w:after="60"/>
              <w:ind w:left="0"/>
              <w:rPr>
                <w:sz w:val="24"/>
              </w:rPr>
            </w:pPr>
            <w:r w:rsidRPr="00883399">
              <w:rPr>
                <w:rFonts w:ascii="TimesNewRoman,BoldItalic" w:hAnsi="TimesNewRoman,BoldItalic" w:cs="TimesNewRoman,BoldItalic"/>
                <w:b/>
                <w:bCs/>
                <w:i/>
                <w:iCs/>
                <w:sz w:val="24"/>
                <w:szCs w:val="22"/>
              </w:rPr>
              <w:t>Δs</w:t>
            </w:r>
            <w:r w:rsidRPr="00883399">
              <w:rPr>
                <w:rFonts w:ascii="TimesNewRoman,BoldItalic" w:hAnsi="TimesNewRoman,BoldItalic" w:cs="TimesNewRoman,BoldItalic"/>
                <w:b/>
                <w:bCs/>
                <w:i/>
                <w:iCs/>
                <w:sz w:val="16"/>
                <w:szCs w:val="14"/>
              </w:rPr>
              <w:t xml:space="preserve">yr </w:t>
            </w:r>
            <w:r w:rsidRPr="00883399">
              <w:rPr>
                <w:rFonts w:ascii="TimesNewRoman" w:hAnsi="TimesNewRoman" w:cs="TimesNewRoman"/>
                <w:sz w:val="24"/>
                <w:szCs w:val="22"/>
              </w:rPr>
              <w:t xml:space="preserve">is the </w:t>
            </w:r>
            <w:r w:rsidRPr="00883399">
              <w:rPr>
                <w:sz w:val="24"/>
              </w:rPr>
              <w:t>change in stocks</w:t>
            </w:r>
            <w:r w:rsidRPr="00883399">
              <w:rPr>
                <w:rFonts w:ascii="TimesNewRoman" w:hAnsi="TimesNewRoman" w:cs="TimesNewRoman"/>
                <w:sz w:val="24"/>
                <w:szCs w:val="22"/>
              </w:rPr>
              <w:t xml:space="preserve"> of waste by</w:t>
            </w:r>
            <w:r w:rsidRPr="00883399">
              <w:rPr>
                <w:rFonts w:ascii="TimesNewRoman" w:hAnsi="TimesNewRoman" w:cs="TimesNewRoman"/>
                <w:sz w:val="24"/>
                <w:szCs w:val="22"/>
              </w:rPr>
              <w:noBreakHyphen/>
              <w:t>product types (</w:t>
            </w:r>
            <w:r w:rsidRPr="00883399">
              <w:rPr>
                <w:rFonts w:ascii="TimesNewRoman,BoldItalic" w:hAnsi="TimesNewRoman,BoldItalic" w:cs="TimesNewRoman,BoldItalic"/>
                <w:b/>
                <w:bCs/>
                <w:i/>
                <w:iCs/>
                <w:sz w:val="24"/>
                <w:szCs w:val="22"/>
              </w:rPr>
              <w:t>r</w:t>
            </w:r>
            <w:r w:rsidRPr="00883399">
              <w:rPr>
                <w:rFonts w:ascii="TimesNewRoman" w:hAnsi="TimesNewRoman" w:cs="TimesNewRoman"/>
                <w:sz w:val="24"/>
                <w:szCs w:val="22"/>
              </w:rPr>
              <w:t>) produced from the operation of the activity and held within the boundary of the activity during the year measured in tonnes.</w:t>
            </w:r>
          </w:p>
        </w:tc>
      </w:tr>
      <w:tr w:rsidR="00872C03" w:rsidRPr="00883399" w14:paraId="3F1CB3F4" w14:textId="77777777" w:rsidTr="0031057E">
        <w:trPr>
          <w:cantSplit/>
        </w:trPr>
        <w:tc>
          <w:tcPr>
            <w:tcW w:w="882" w:type="dxa"/>
          </w:tcPr>
          <w:p w14:paraId="4445A644" w14:textId="77777777" w:rsidR="00872C03" w:rsidRPr="00883399" w:rsidRDefault="00872C03" w:rsidP="0031057E">
            <w:pPr>
              <w:spacing w:before="60" w:after="60"/>
              <w:rPr>
                <w:i/>
              </w:rPr>
            </w:pPr>
          </w:p>
        </w:tc>
        <w:tc>
          <w:tcPr>
            <w:tcW w:w="6678" w:type="dxa"/>
          </w:tcPr>
          <w:p w14:paraId="3F085E76" w14:textId="77777777" w:rsidR="00872C03" w:rsidRPr="00883399" w:rsidRDefault="00872C03" w:rsidP="0031057E">
            <w:pPr>
              <w:pStyle w:val="TableText"/>
              <w:rPr>
                <w:b/>
                <w:i/>
                <w:sz w:val="24"/>
              </w:rPr>
            </w:pPr>
            <w:r w:rsidRPr="00883399">
              <w:rPr>
                <w:b/>
                <w:i/>
                <w:sz w:val="24"/>
              </w:rPr>
              <w:t>α</w:t>
            </w:r>
            <w:r w:rsidRPr="00883399">
              <w:rPr>
                <w:sz w:val="24"/>
              </w:rPr>
              <w:t xml:space="preserve"> is the factor </w:t>
            </w:r>
            <w:r w:rsidR="00C66508" w:rsidRPr="00883399">
              <w:rPr>
                <w:noProof/>
                <w:sz w:val="24"/>
              </w:rPr>
              <mc:AlternateContent>
                <mc:Choice Requires="wpc">
                  <w:drawing>
                    <wp:inline distT="0" distB="0" distL="0" distR="0" wp14:anchorId="02EAF7D2" wp14:editId="0B31F395">
                      <wp:extent cx="232410" cy="283845"/>
                      <wp:effectExtent l="0" t="0" r="0" b="1905"/>
                      <wp:docPr id="87" name="Canvas 4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4"/>
                              <wps:cNvSpPr>
                                <a:spLocks noChangeArrowheads="1"/>
                              </wps:cNvSpPr>
                              <wps:spPr bwMode="auto">
                                <a:xfrm>
                                  <a:off x="83820" y="1016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D7243" w14:textId="77777777" w:rsidR="00F8313C" w:rsidRDefault="00F8313C" w:rsidP="00872C03">
                                    <w:r w:rsidRPr="000A5860">
                                      <w:rPr>
                                        <w:color w:val="000000"/>
                                        <w:position w:val="-12"/>
                                        <w:sz w:val="16"/>
                                        <w:szCs w:val="16"/>
                                        <w:lang w:val="en-US"/>
                                      </w:rPr>
                                      <w:t>1</w:t>
                                    </w:r>
                                  </w:p>
                                </w:txbxContent>
                              </wps:txbx>
                              <wps:bodyPr rot="0" vert="horz" wrap="none" lIns="0" tIns="0" rIns="0" bIns="0" anchor="t" anchorCtr="0" upright="1">
                                <a:noAutofit/>
                              </wps:bodyPr>
                            </wps:wsp>
                            <wps:wsp>
                              <wps:cNvPr id="85" name="Line 5"/>
                              <wps:cNvCnPr>
                                <a:cxnSpLocks noChangeShapeType="1"/>
                              </wps:cNvCnPr>
                              <wps:spPr bwMode="auto">
                                <a:xfrm>
                                  <a:off x="13970" y="139065"/>
                                  <a:ext cx="205105" cy="635"/>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86" name="Rectangle 6"/>
                              <wps:cNvSpPr>
                                <a:spLocks noChangeArrowheads="1"/>
                              </wps:cNvSpPr>
                              <wps:spPr bwMode="auto">
                                <a:xfrm>
                                  <a:off x="0" y="166370"/>
                                  <a:ext cx="2292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859FB" w14:textId="77777777" w:rsidR="00F8313C" w:rsidRPr="000A5860" w:rsidRDefault="00F8313C" w:rsidP="00872C03">
                                    <w:pPr>
                                      <w:spacing w:line="276" w:lineRule="auto"/>
                                      <w:rPr>
                                        <w:position w:val="-12"/>
                                        <w:sz w:val="16"/>
                                        <w:szCs w:val="16"/>
                                      </w:rPr>
                                    </w:pPr>
                                    <w:r w:rsidRPr="000A5860">
                                      <w:rPr>
                                        <w:color w:val="000000"/>
                                        <w:position w:val="-12"/>
                                        <w:sz w:val="16"/>
                                        <w:szCs w:val="16"/>
                                        <w:lang w:val="en-US"/>
                                      </w:rPr>
                                      <w:t>3.664</w:t>
                                    </w:r>
                                  </w:p>
                                </w:txbxContent>
                              </wps:txbx>
                              <wps:bodyPr rot="0" vert="horz" wrap="none" lIns="0" tIns="0" rIns="0" bIns="0" anchor="t" anchorCtr="0" upright="1">
                                <a:noAutofit/>
                              </wps:bodyPr>
                            </wps:wsp>
                          </wpc:wpc>
                        </a:graphicData>
                      </a:graphic>
                    </wp:inline>
                  </w:drawing>
                </mc:Choice>
                <mc:Fallback>
                  <w:pict>
                    <v:group w14:anchorId="02EAF7D2" id="Canvas 464" o:spid="_x0000_s1044" editas="canvas" style="width:18.3pt;height:22.35pt;mso-position-horizontal-relative:char;mso-position-vertical-relative:line" coordsize="232410,28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">
                      <v:shape id="_x0000_s1045" type="#_x0000_t75" style="position:absolute;width:232410;height:283845;visibility:visible;mso-wrap-style:square">
                        <v:fill o:detectmouseclick="t"/>
                        <v:path o:connecttype="none"/>
                      </v:shape>
                      <v:rect id="Rectangle 4" o:spid="_x0000_s1046" style="position:absolute;left:83820;top:10160;width:51435;height:1168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ZCcMA&#10;AADbAAAADwAAAGRycy9kb3ducmV2LnhtbESP0WoCMRRE3wv+Q7hC32p2pYhujWIFsQg+uPoBl83t&#10;ZnVzs01SXf/eCIU+DjNzhpkve9uKK/nQOFaQjzIQxJXTDdcKTsfN2xREiMgaW8ek4E4BlovByxwL&#10;7W58oGsZa5EgHApUYGLsCilDZchiGLmOOHnfzluMSfpaao+3BLetHGfZRFpsOC0Y7GhtqLqUv1YB&#10;fW4Ps/MqmL30ecj3u8nsffuj1OuwX32AiNTH//Bf+0srmI7h+S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NZCcMAAADbAAAADwAAAAAAAAAAAAAAAACYAgAAZHJzL2Rv&#10;d25yZXYueG1sUEsFBgAAAAAEAAQA9QAAAIgDAAAAAA==&#10;" filled="f" stroked="f">
                        <v:textbox inset="0,0,0,0">
                          <w:txbxContent>
                            <w:p w14:paraId="000D7243" w14:textId="77777777" w:rsidR="00F8313C" w:rsidRDefault="00F8313C" w:rsidP="00872C03">
                              <w:r w:rsidRPr="000A5860">
                                <w:rPr>
                                  <w:color w:val="000000"/>
                                  <w:position w:val="-12"/>
                                  <w:sz w:val="16"/>
                                  <w:szCs w:val="16"/>
                                  <w:lang w:val="en-US"/>
                                </w:rPr>
                                <w:t>1</w:t>
                              </w:r>
                            </w:p>
                          </w:txbxContent>
                        </v:textbox>
                      </v:rect>
                      <v:line id="Line 5" o:spid="_x0000_s1047" style="position:absolute;visibility:visible;mso-wrap-style:square" from="13970,139065" to="219075,13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bVl8QAAADbAAAADwAAAGRycy9kb3ducmV2LnhtbESPQWvCQBSE7wX/w/KE3upGoW1IXUXE&#10;0vRokou3Z/aZhGbfht1VU399VxB6HGbmG2a5Hk0vLuR8Z1nBfJaAIK6t7rhRUJWfLykIH5A19pZJ&#10;wS95WK8mT0vMtL3yni5FaESEsM9QQRvCkEnp65YM+pkdiKN3ss5giNI1Uju8Rrjp5SJJ3qTBjuNC&#10;iwNtW6p/irNRcMvLXXXIv/bH6nYov23h3fspVep5Om4+QAQaw3/40c61gvQV7l/iD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FtWXxAAAANsAAAAPAAAAAAAAAAAA&#10;AAAAAKECAABkcnMvZG93bnJldi54bWxQSwUGAAAAAAQABAD5AAAAkgMAAAAA&#10;" strokeweight="28e-5mm"/>
                      <v:rect id="Rectangle 6" o:spid="_x0000_s1048" style="position:absolute;top:166370;width:229235;height:1174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fCsMA&#10;AADbAAAADwAAAGRycy9kb3ducmV2LnhtbESP3WoCMRSE7wu+QzgF72p2iyy6GkULRRG88OcBDpvT&#10;zbabk20Sdfv2jSB4OczMN8x82dtWXMmHxrGCfJSBIK6cbrhWcD59vk1AhIissXVMCv4owHIxeJlj&#10;qd2ND3Q9xlokCIcSFZgYu1LKUBmyGEauI07el/MWY5K+ltrjLcFtK9+zrJAWG04LBjv6MFT9HC9W&#10;Aa03h+n3Kpi99HnI97tiOt78KjV87VczEJH6+Aw/2lutYFLA/Uv6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hfCsMAAADbAAAADwAAAAAAAAAAAAAAAACYAgAAZHJzL2Rv&#10;d25yZXYueG1sUEsFBgAAAAAEAAQA9QAAAIgDAAAAAA==&#10;" filled="f" stroked="f">
                        <v:textbox inset="0,0,0,0">
                          <w:txbxContent>
                            <w:p w14:paraId="573859FB" w14:textId="77777777" w:rsidR="00F8313C" w:rsidRPr="000A5860" w:rsidRDefault="00F8313C" w:rsidP="00872C03">
                              <w:pPr>
                                <w:spacing w:line="276" w:lineRule="auto"/>
                                <w:rPr>
                                  <w:position w:val="-12"/>
                                  <w:sz w:val="16"/>
                                  <w:szCs w:val="16"/>
                                </w:rPr>
                              </w:pPr>
                              <w:r w:rsidRPr="000A5860">
                                <w:rPr>
                                  <w:color w:val="000000"/>
                                  <w:position w:val="-12"/>
                                  <w:sz w:val="16"/>
                                  <w:szCs w:val="16"/>
                                  <w:lang w:val="en-US"/>
                                </w:rPr>
                                <w:t>3.664</w:t>
                              </w:r>
                            </w:p>
                          </w:txbxContent>
                        </v:textbox>
                      </v:rect>
                      <w10:anchorlock/>
                    </v:group>
                  </w:pict>
                </mc:Fallback>
              </mc:AlternateContent>
            </w:r>
            <w:r w:rsidRPr="00883399">
              <w:rPr>
                <w:sz w:val="24"/>
              </w:rPr>
              <w:t xml:space="preserve"> for converting the mass of carbon dioxide to a mass of carbon.</w:t>
            </w:r>
          </w:p>
        </w:tc>
      </w:tr>
      <w:tr w:rsidR="00872C03" w:rsidRPr="00883399" w14:paraId="2A24A74C" w14:textId="77777777" w:rsidTr="0031057E">
        <w:trPr>
          <w:cantSplit/>
          <w:trHeight w:val="1545"/>
        </w:trPr>
        <w:tc>
          <w:tcPr>
            <w:tcW w:w="882" w:type="dxa"/>
          </w:tcPr>
          <w:p w14:paraId="4B305E5F" w14:textId="77777777" w:rsidR="00872C03" w:rsidRPr="00883399" w:rsidRDefault="00872C03" w:rsidP="0031057E">
            <w:pPr>
              <w:spacing w:before="60" w:after="60"/>
            </w:pPr>
          </w:p>
        </w:tc>
        <w:tc>
          <w:tcPr>
            <w:tcW w:w="6678" w:type="dxa"/>
          </w:tcPr>
          <w:p w14:paraId="19A14E56" w14:textId="77777777" w:rsidR="00872C03" w:rsidRPr="00883399" w:rsidRDefault="00872C03" w:rsidP="0031057E">
            <w:pPr>
              <w:pStyle w:val="Definition0"/>
              <w:spacing w:before="60" w:after="60"/>
              <w:ind w:left="0"/>
              <w:rPr>
                <w:iCs/>
                <w:sz w:val="24"/>
                <w:szCs w:val="22"/>
              </w:rPr>
            </w:pPr>
            <w:r w:rsidRPr="00883399">
              <w:rPr>
                <w:b/>
                <w:i/>
                <w:sz w:val="24"/>
                <w:szCs w:val="22"/>
              </w:rPr>
              <w:t>γ</w:t>
            </w:r>
            <w:r w:rsidRPr="00883399">
              <w:rPr>
                <w:sz w:val="24"/>
                <w:szCs w:val="22"/>
              </w:rPr>
              <w:t xml:space="preserve"> is the factor 1.861 × 10</w:t>
            </w:r>
            <w:r w:rsidRPr="00883399">
              <w:rPr>
                <w:sz w:val="24"/>
                <w:szCs w:val="22"/>
                <w:vertAlign w:val="superscript"/>
              </w:rPr>
              <w:noBreakHyphen/>
              <w:t>3</w:t>
            </w:r>
            <w:r w:rsidRPr="00883399">
              <w:rPr>
                <w:sz w:val="24"/>
                <w:szCs w:val="22"/>
              </w:rPr>
              <w:t xml:space="preserve"> for converting a quantity of carbon dioxide from cubic metres at standard conditions of pressure and temperature to CO2</w:t>
            </w:r>
            <w:r w:rsidRPr="00883399">
              <w:rPr>
                <w:sz w:val="24"/>
                <w:szCs w:val="22"/>
              </w:rPr>
              <w:noBreakHyphen/>
              <w:t>e tonnes.</w:t>
            </w:r>
          </w:p>
          <w:p w14:paraId="5C46FB54" w14:textId="77777777" w:rsidR="00872C03" w:rsidRPr="00883399" w:rsidRDefault="00872C03" w:rsidP="0031057E">
            <w:pPr>
              <w:pStyle w:val="Definition0"/>
              <w:spacing w:before="60" w:after="60"/>
              <w:ind w:left="0"/>
              <w:rPr>
                <w:b/>
                <w:i/>
                <w:sz w:val="24"/>
              </w:rPr>
            </w:pPr>
            <w:r w:rsidRPr="00883399">
              <w:rPr>
                <w:b/>
                <w:bCs/>
                <w:i/>
                <w:iCs/>
                <w:sz w:val="24"/>
                <w:szCs w:val="22"/>
              </w:rPr>
              <w:t>RCCS</w:t>
            </w:r>
            <w:r w:rsidRPr="00883399">
              <w:rPr>
                <w:b/>
                <w:bCs/>
                <w:i/>
                <w:iCs/>
                <w:sz w:val="24"/>
                <w:szCs w:val="22"/>
                <w:vertAlign w:val="subscript"/>
              </w:rPr>
              <w:t>CO</w:t>
            </w:r>
            <w:r w:rsidRPr="00883399">
              <w:rPr>
                <w:b/>
                <w:bCs/>
                <w:i/>
                <w:iCs/>
                <w:position w:val="-4"/>
                <w:sz w:val="24"/>
                <w:szCs w:val="22"/>
                <w:vertAlign w:val="subscript"/>
              </w:rPr>
              <w:t>2</w:t>
            </w:r>
            <w:r w:rsidRPr="00883399">
              <w:rPr>
                <w:b/>
                <w:bCs/>
                <w:i/>
                <w:iCs/>
                <w:sz w:val="24"/>
                <w:szCs w:val="22"/>
              </w:rPr>
              <w:t xml:space="preserve"> </w:t>
            </w:r>
            <w:r w:rsidRPr="00883399">
              <w:rPr>
                <w:sz w:val="24"/>
                <w:szCs w:val="22"/>
              </w:rPr>
              <w:t xml:space="preserve">is carbon dioxide captured for permanent storage measured in cubic metres in accordance with </w:t>
            </w:r>
            <w:r w:rsidRPr="00883399">
              <w:rPr>
                <w:sz w:val="24"/>
              </w:rPr>
              <w:t>Division 1.2.3</w:t>
            </w:r>
            <w:r w:rsidRPr="00883399">
              <w:rPr>
                <w:sz w:val="24"/>
                <w:szCs w:val="22"/>
              </w:rPr>
              <w:t>.</w:t>
            </w:r>
          </w:p>
        </w:tc>
      </w:tr>
      <w:tr w:rsidR="00872C03" w:rsidRPr="00883399" w14:paraId="4FBF1881" w14:textId="77777777" w:rsidTr="0031057E">
        <w:trPr>
          <w:cantSplit/>
        </w:trPr>
        <w:tc>
          <w:tcPr>
            <w:tcW w:w="882" w:type="dxa"/>
          </w:tcPr>
          <w:p w14:paraId="5B32EA05" w14:textId="77777777" w:rsidR="00872C03" w:rsidRPr="00883399" w:rsidRDefault="00872C03" w:rsidP="0031057E">
            <w:pPr>
              <w:pStyle w:val="Tabletext0"/>
              <w:rPr>
                <w:sz w:val="24"/>
                <w:szCs w:val="22"/>
              </w:rPr>
            </w:pPr>
            <w:r w:rsidRPr="00883399">
              <w:rPr>
                <w:sz w:val="24"/>
                <w:szCs w:val="22"/>
              </w:rPr>
              <w:t>Step 5</w:t>
            </w:r>
          </w:p>
        </w:tc>
        <w:tc>
          <w:tcPr>
            <w:tcW w:w="6678" w:type="dxa"/>
          </w:tcPr>
          <w:p w14:paraId="4B48B2BC" w14:textId="77777777" w:rsidR="00872C03" w:rsidRPr="00883399" w:rsidRDefault="00872C03" w:rsidP="0031057E">
            <w:pPr>
              <w:pStyle w:val="TableText"/>
              <w:rPr>
                <w:sz w:val="24"/>
              </w:rPr>
            </w:pPr>
            <w:r w:rsidRPr="00883399">
              <w:rPr>
                <w:sz w:val="24"/>
              </w:rPr>
              <w:t xml:space="preserve">Calculate the emissions of carbon dioxide released from the operation of the activity during the year measured in </w:t>
            </w:r>
            <w:r w:rsidRPr="00883399">
              <w:rPr>
                <w:sz w:val="24"/>
                <w:szCs w:val="22"/>
              </w:rPr>
              <w:t>CO</w:t>
            </w:r>
            <w:r w:rsidRPr="00883399">
              <w:rPr>
                <w:sz w:val="24"/>
                <w:szCs w:val="22"/>
                <w:vertAlign w:val="subscript"/>
              </w:rPr>
              <w:t>2</w:t>
            </w:r>
            <w:r w:rsidRPr="00883399">
              <w:rPr>
                <w:sz w:val="24"/>
                <w:szCs w:val="22"/>
              </w:rPr>
              <w:noBreakHyphen/>
              <w:t>e</w:t>
            </w:r>
            <w:r w:rsidRPr="00883399">
              <w:rPr>
                <w:sz w:val="24"/>
              </w:rPr>
              <w:t xml:space="preserve"> tonnes as follows:</w:t>
            </w:r>
          </w:p>
          <w:p w14:paraId="3EFDA5DF" w14:textId="77777777" w:rsidR="00872C03" w:rsidRPr="00883399" w:rsidRDefault="00872C03" w:rsidP="0031057E">
            <w:pPr>
              <w:pStyle w:val="TableP1a"/>
              <w:rPr>
                <w:sz w:val="24"/>
              </w:rPr>
            </w:pPr>
            <w:r w:rsidRPr="00883399">
              <w:rPr>
                <w:sz w:val="24"/>
              </w:rPr>
              <w:tab/>
              <w:t>(a)</w:t>
            </w:r>
            <w:r w:rsidRPr="00883399">
              <w:rPr>
                <w:sz w:val="24"/>
              </w:rPr>
              <w:tab/>
              <w:t>add the amounts worked out under steps 2, 3 and 4 to work out a new amount (</w:t>
            </w:r>
            <w:r w:rsidRPr="00883399">
              <w:rPr>
                <w:b/>
                <w:i/>
                <w:sz w:val="24"/>
              </w:rPr>
              <w:t>amount A</w:t>
            </w:r>
            <w:r w:rsidRPr="00883399">
              <w:rPr>
                <w:sz w:val="24"/>
              </w:rPr>
              <w:t>);</w:t>
            </w:r>
          </w:p>
          <w:p w14:paraId="23D1321B" w14:textId="77777777" w:rsidR="00872C03" w:rsidRPr="00883399" w:rsidRDefault="00872C03" w:rsidP="0031057E">
            <w:pPr>
              <w:pStyle w:val="TableP1a"/>
              <w:rPr>
                <w:sz w:val="24"/>
              </w:rPr>
            </w:pPr>
            <w:r w:rsidRPr="00883399">
              <w:rPr>
                <w:sz w:val="24"/>
              </w:rPr>
              <w:tab/>
              <w:t>(b)</w:t>
            </w:r>
            <w:r w:rsidRPr="00883399">
              <w:rPr>
                <w:sz w:val="24"/>
              </w:rPr>
              <w:tab/>
              <w:t>subtract amount A from the amount worked out under step 1 to work out a new amount (</w:t>
            </w:r>
            <w:r w:rsidRPr="00883399">
              <w:rPr>
                <w:b/>
                <w:i/>
                <w:sz w:val="24"/>
              </w:rPr>
              <w:t>amount B</w:t>
            </w:r>
            <w:r w:rsidRPr="00883399">
              <w:rPr>
                <w:sz w:val="24"/>
              </w:rPr>
              <w:t>);</w:t>
            </w:r>
          </w:p>
          <w:p w14:paraId="2B7C0456" w14:textId="77777777" w:rsidR="00872C03" w:rsidRPr="00883399" w:rsidRDefault="00872C03" w:rsidP="0031057E">
            <w:pPr>
              <w:pStyle w:val="TableP1a"/>
              <w:rPr>
                <w:sz w:val="24"/>
              </w:rPr>
            </w:pPr>
            <w:r w:rsidRPr="00883399">
              <w:rPr>
                <w:sz w:val="24"/>
              </w:rPr>
              <w:tab/>
              <w:t>(c)</w:t>
            </w:r>
            <w:r w:rsidRPr="00883399">
              <w:rPr>
                <w:sz w:val="24"/>
              </w:rPr>
              <w:tab/>
              <w:t>multiply amount B by 3.664 to work out the amount of emissions released from the operation of the activity during a year.</w:t>
            </w:r>
          </w:p>
        </w:tc>
      </w:tr>
    </w:tbl>
    <w:p w14:paraId="711BEEB8" w14:textId="77777777" w:rsidR="00872C03" w:rsidRPr="00883399" w:rsidRDefault="00872C03" w:rsidP="00872C03">
      <w:pPr>
        <w:pStyle w:val="subsection"/>
        <w:rPr>
          <w:sz w:val="24"/>
        </w:rPr>
      </w:pPr>
      <w:r w:rsidRPr="00883399">
        <w:rPr>
          <w:sz w:val="24"/>
        </w:rPr>
        <w:tab/>
        <w:t>(2)</w:t>
      </w:r>
      <w:r w:rsidRPr="00883399">
        <w:rPr>
          <w:sz w:val="24"/>
        </w:rPr>
        <w:tab/>
        <w:t>If a fuel type (</w:t>
      </w:r>
      <w:r w:rsidRPr="00883399">
        <w:rPr>
          <w:b/>
          <w:bCs/>
          <w:i/>
          <w:iCs/>
          <w:sz w:val="24"/>
        </w:rPr>
        <w:t>i</w:t>
      </w:r>
      <w:r w:rsidRPr="00883399">
        <w:rPr>
          <w:sz w:val="24"/>
        </w:rPr>
        <w:t>) or carbonate material (</w:t>
      </w:r>
      <w:r w:rsidRPr="00883399">
        <w:rPr>
          <w:b/>
          <w:i/>
          <w:sz w:val="24"/>
        </w:rPr>
        <w:t>j</w:t>
      </w:r>
      <w:r w:rsidRPr="00883399">
        <w:rPr>
          <w:sz w:val="24"/>
        </w:rPr>
        <w:t xml:space="preserve">) delivered for the activity during the year accounts for more than 5% of total carbon input for the activity based on a calculation using the factors mentioned in Schedule 3, sampling and analysis of fuel type </w:t>
      </w:r>
      <w:r w:rsidRPr="00883399">
        <w:rPr>
          <w:b/>
          <w:bCs/>
          <w:i/>
          <w:iCs/>
          <w:sz w:val="24"/>
        </w:rPr>
        <w:t>(i)</w:t>
      </w:r>
      <w:r w:rsidRPr="00883399">
        <w:rPr>
          <w:bCs/>
          <w:iCs/>
          <w:sz w:val="24"/>
        </w:rPr>
        <w:t xml:space="preserve"> or carbonate material </w:t>
      </w:r>
      <w:r w:rsidRPr="00883399">
        <w:rPr>
          <w:sz w:val="24"/>
        </w:rPr>
        <w:t>(</w:t>
      </w:r>
      <w:r w:rsidRPr="00883399">
        <w:rPr>
          <w:b/>
          <w:i/>
          <w:sz w:val="24"/>
        </w:rPr>
        <w:t>j</w:t>
      </w:r>
      <w:r w:rsidRPr="00883399">
        <w:rPr>
          <w:sz w:val="24"/>
        </w:rPr>
        <w:t>) must be carried out to determine its carbon content.</w:t>
      </w:r>
    </w:p>
    <w:p w14:paraId="57A1EB39" w14:textId="77777777" w:rsidR="00872C03" w:rsidRPr="00883399" w:rsidRDefault="00872C03" w:rsidP="00872C03">
      <w:pPr>
        <w:pStyle w:val="subsection"/>
        <w:rPr>
          <w:sz w:val="24"/>
        </w:rPr>
      </w:pPr>
      <w:r w:rsidRPr="00883399">
        <w:rPr>
          <w:sz w:val="24"/>
        </w:rPr>
        <w:tab/>
        <w:t>(3)</w:t>
      </w:r>
      <w:r w:rsidRPr="00883399">
        <w:rPr>
          <w:sz w:val="24"/>
        </w:rPr>
        <w:tab/>
        <w:t>The sampling and analysis for fuel type (</w:t>
      </w:r>
      <w:r w:rsidRPr="00883399">
        <w:rPr>
          <w:b/>
          <w:bCs/>
          <w:i/>
          <w:iCs/>
          <w:sz w:val="24"/>
        </w:rPr>
        <w:t>i</w:t>
      </w:r>
      <w:r w:rsidRPr="00883399">
        <w:rPr>
          <w:sz w:val="24"/>
        </w:rPr>
        <w:t>) is to be carried out using the sampling and analysis provided for in Divisions 2.2.3, 2.3.3 and 2.4.3.</w:t>
      </w:r>
    </w:p>
    <w:p w14:paraId="79C9D693" w14:textId="77777777" w:rsidR="00872C03" w:rsidRPr="00883399" w:rsidRDefault="00872C03" w:rsidP="00872C03">
      <w:pPr>
        <w:pStyle w:val="subsection"/>
        <w:rPr>
          <w:sz w:val="24"/>
        </w:rPr>
      </w:pPr>
      <w:r w:rsidRPr="00883399">
        <w:rPr>
          <w:sz w:val="24"/>
        </w:rPr>
        <w:tab/>
        <w:t>(4)</w:t>
      </w:r>
      <w:r w:rsidRPr="00883399">
        <w:rPr>
          <w:sz w:val="24"/>
        </w:rPr>
        <w:tab/>
        <w:t>The sampling for carbonate materials (</w:t>
      </w:r>
      <w:r w:rsidRPr="00883399">
        <w:rPr>
          <w:b/>
          <w:i/>
          <w:sz w:val="24"/>
        </w:rPr>
        <w:t>j</w:t>
      </w:r>
      <w:r w:rsidRPr="00883399">
        <w:rPr>
          <w:sz w:val="24"/>
        </w:rPr>
        <w:t>) is to be carried out in accordance with section 4.24.</w:t>
      </w:r>
    </w:p>
    <w:p w14:paraId="4F39C2AF" w14:textId="77777777" w:rsidR="00872C03" w:rsidRPr="00883399" w:rsidRDefault="00872C03" w:rsidP="00872C03">
      <w:pPr>
        <w:pStyle w:val="subsection"/>
        <w:rPr>
          <w:sz w:val="24"/>
        </w:rPr>
      </w:pPr>
      <w:r w:rsidRPr="00883399">
        <w:rPr>
          <w:sz w:val="24"/>
        </w:rPr>
        <w:tab/>
        <w:t>(5)</w:t>
      </w:r>
      <w:r w:rsidRPr="00883399">
        <w:rPr>
          <w:sz w:val="24"/>
        </w:rPr>
        <w:tab/>
        <w:t>The analysis for carbonate materials (</w:t>
      </w:r>
      <w:r w:rsidRPr="00883399">
        <w:rPr>
          <w:b/>
          <w:i/>
          <w:sz w:val="24"/>
        </w:rPr>
        <w:t>j</w:t>
      </w:r>
      <w:r w:rsidRPr="00883399">
        <w:rPr>
          <w:sz w:val="24"/>
        </w:rPr>
        <w:t>) is to be carried out in accordance with ASTM C25</w:t>
      </w:r>
      <w:r w:rsidRPr="00883399">
        <w:rPr>
          <w:sz w:val="24"/>
        </w:rPr>
        <w:noBreakHyphen/>
        <w:t xml:space="preserve">06, </w:t>
      </w:r>
      <w:r w:rsidRPr="00883399">
        <w:rPr>
          <w:i/>
          <w:sz w:val="24"/>
        </w:rPr>
        <w:t xml:space="preserve">Standard Test Methods for Chemical Analysis of Limestone, Quicklime, and Hydrated Lime </w:t>
      </w:r>
      <w:r w:rsidRPr="00883399">
        <w:rPr>
          <w:sz w:val="24"/>
        </w:rPr>
        <w:t>or an equivalent standard.</w:t>
      </w:r>
    </w:p>
    <w:p w14:paraId="75EE8205" w14:textId="77777777" w:rsidR="005033AE" w:rsidRPr="00883399" w:rsidRDefault="005033AE" w:rsidP="00872C03">
      <w:pPr>
        <w:pStyle w:val="subsection"/>
        <w:rPr>
          <w:sz w:val="24"/>
        </w:rPr>
      </w:pPr>
    </w:p>
    <w:p w14:paraId="59FF00D6" w14:textId="77777777" w:rsidR="005033AE" w:rsidRPr="00883399" w:rsidRDefault="005033AE" w:rsidP="00872C03">
      <w:pPr>
        <w:pStyle w:val="subsection"/>
        <w:rPr>
          <w:sz w:val="24"/>
        </w:rPr>
      </w:pPr>
    </w:p>
    <w:p w14:paraId="26CFF7DF" w14:textId="11CB5569" w:rsidR="00872C03" w:rsidRPr="00883399" w:rsidRDefault="00872C03" w:rsidP="00872C03">
      <w:pPr>
        <w:pStyle w:val="ActHead5"/>
        <w:rPr>
          <w:sz w:val="28"/>
        </w:rPr>
      </w:pPr>
      <w:bookmarkStart w:id="883" w:name="_Toc423517039"/>
      <w:bookmarkStart w:id="884" w:name="_Toc495652971"/>
      <w:r w:rsidRPr="00883399">
        <w:rPr>
          <w:rStyle w:val="CharSectno"/>
          <w:sz w:val="28"/>
        </w:rPr>
        <w:lastRenderedPageBreak/>
        <w:t>4.33</w:t>
      </w:r>
      <w:r w:rsidRPr="00883399">
        <w:rPr>
          <w:sz w:val="28"/>
        </w:rPr>
        <w:t xml:space="preserve">  Method 3—production of soda ash</w:t>
      </w:r>
      <w:bookmarkEnd w:id="883"/>
      <w:bookmarkEnd w:id="884"/>
    </w:p>
    <w:p w14:paraId="1364EF98" w14:textId="77777777" w:rsidR="00872C03" w:rsidRPr="00883399" w:rsidRDefault="00872C03" w:rsidP="00872C03">
      <w:pPr>
        <w:pStyle w:val="subsection"/>
        <w:rPr>
          <w:sz w:val="24"/>
        </w:rPr>
      </w:pPr>
      <w:r w:rsidRPr="00883399">
        <w:rPr>
          <w:sz w:val="24"/>
        </w:rPr>
        <w:tab/>
        <w:t>(1)</w:t>
      </w:r>
      <w:r w:rsidRPr="00883399">
        <w:rPr>
          <w:sz w:val="24"/>
        </w:rPr>
        <w:tab/>
        <w:t>Subject to subsections (2) and (3), method 3 is the same as method 2.</w:t>
      </w:r>
    </w:p>
    <w:p w14:paraId="22485BEF" w14:textId="77777777" w:rsidR="00872C03" w:rsidRPr="00883399" w:rsidRDefault="00872C03" w:rsidP="00872C03">
      <w:pPr>
        <w:pStyle w:val="subsection"/>
        <w:rPr>
          <w:sz w:val="24"/>
        </w:rPr>
      </w:pPr>
      <w:r w:rsidRPr="00883399">
        <w:rPr>
          <w:sz w:val="24"/>
        </w:rPr>
        <w:tab/>
        <w:t>(2)</w:t>
      </w:r>
      <w:r w:rsidRPr="00883399">
        <w:rPr>
          <w:sz w:val="24"/>
        </w:rPr>
        <w:tab/>
        <w:t>The sampling and analysis for fuel type (</w:t>
      </w:r>
      <w:r w:rsidRPr="00883399">
        <w:rPr>
          <w:b/>
          <w:bCs/>
          <w:i/>
          <w:iCs/>
          <w:sz w:val="24"/>
        </w:rPr>
        <w:t>i</w:t>
      </w:r>
      <w:r w:rsidRPr="00883399">
        <w:rPr>
          <w:sz w:val="24"/>
        </w:rPr>
        <w:t>) is to be carried out using the sampling and analysis provided for in Divisions 2.2.4, 2.3.4 and 2.4.4 or an equivalent sampling and analysis method.</w:t>
      </w:r>
    </w:p>
    <w:p w14:paraId="4CFB9EC3" w14:textId="77777777" w:rsidR="00872C03" w:rsidRPr="00883399" w:rsidRDefault="00872C03" w:rsidP="00872C03">
      <w:pPr>
        <w:pStyle w:val="subsection"/>
        <w:rPr>
          <w:sz w:val="24"/>
        </w:rPr>
      </w:pPr>
      <w:r w:rsidRPr="00883399">
        <w:rPr>
          <w:sz w:val="24"/>
        </w:rPr>
        <w:tab/>
        <w:t>(3)</w:t>
      </w:r>
      <w:r w:rsidRPr="00883399">
        <w:rPr>
          <w:sz w:val="24"/>
        </w:rPr>
        <w:tab/>
        <w:t>The sampling for carbonate material (</w:t>
      </w:r>
      <w:r w:rsidRPr="00883399">
        <w:rPr>
          <w:b/>
          <w:bCs/>
          <w:iCs/>
          <w:sz w:val="24"/>
        </w:rPr>
        <w:t>j</w:t>
      </w:r>
      <w:r w:rsidRPr="00883399">
        <w:rPr>
          <w:sz w:val="24"/>
        </w:rPr>
        <w:t>) is to be carried out in accordance with ASTM C50</w:t>
      </w:r>
      <w:r w:rsidRPr="00883399">
        <w:rPr>
          <w:sz w:val="24"/>
        </w:rPr>
        <w:noBreakHyphen/>
        <w:t xml:space="preserve">00 (2006), </w:t>
      </w:r>
      <w:r w:rsidRPr="00883399">
        <w:rPr>
          <w:i/>
          <w:sz w:val="24"/>
        </w:rPr>
        <w:t xml:space="preserve"> Standard Practice for Sampling, Sample Preparation, Packaging, and Marking of Lime and Limestone Products</w:t>
      </w:r>
      <w:r w:rsidRPr="00883399">
        <w:rPr>
          <w:sz w:val="24"/>
        </w:rPr>
        <w:t>.</w:t>
      </w:r>
    </w:p>
    <w:p w14:paraId="6C068EDB" w14:textId="503830AD" w:rsidR="00872C03" w:rsidRPr="00883399" w:rsidRDefault="00872C03" w:rsidP="00872C03">
      <w:pPr>
        <w:pStyle w:val="ActHead3"/>
        <w:pageBreakBefore/>
        <w:rPr>
          <w:sz w:val="32"/>
        </w:rPr>
      </w:pPr>
      <w:bookmarkStart w:id="885" w:name="_Toc423517040"/>
      <w:bookmarkStart w:id="886" w:name="_Toc495652972"/>
      <w:r w:rsidRPr="00883399">
        <w:rPr>
          <w:rStyle w:val="CharDivNo"/>
          <w:sz w:val="32"/>
        </w:rPr>
        <w:lastRenderedPageBreak/>
        <w:t>Division 4.2.5</w:t>
      </w:r>
      <w:r w:rsidRPr="00883399">
        <w:rPr>
          <w:sz w:val="32"/>
        </w:rPr>
        <w:t>—</w:t>
      </w:r>
      <w:r w:rsidRPr="00883399">
        <w:rPr>
          <w:rStyle w:val="CharDivText"/>
          <w:sz w:val="32"/>
        </w:rPr>
        <w:t>Measurement of quantity of carbonates consumed and products derived from carbonates</w:t>
      </w:r>
      <w:bookmarkEnd w:id="885"/>
      <w:bookmarkEnd w:id="886"/>
    </w:p>
    <w:p w14:paraId="52A3569A" w14:textId="2007465F" w:rsidR="00872C03" w:rsidRPr="00883399" w:rsidRDefault="00872C03" w:rsidP="00872C03">
      <w:pPr>
        <w:pStyle w:val="ActHead5"/>
        <w:rPr>
          <w:sz w:val="28"/>
        </w:rPr>
      </w:pPr>
      <w:bookmarkStart w:id="887" w:name="_Toc423517041"/>
      <w:bookmarkStart w:id="888" w:name="_Toc495652973"/>
      <w:r w:rsidRPr="00883399">
        <w:rPr>
          <w:rStyle w:val="CharSectno"/>
          <w:sz w:val="28"/>
        </w:rPr>
        <w:t>4.34</w:t>
      </w:r>
      <w:r w:rsidRPr="00883399">
        <w:rPr>
          <w:sz w:val="28"/>
        </w:rPr>
        <w:t xml:space="preserve">  Purpose of Division</w:t>
      </w:r>
      <w:bookmarkEnd w:id="887"/>
      <w:bookmarkEnd w:id="888"/>
    </w:p>
    <w:p w14:paraId="5F3E3347" w14:textId="77777777" w:rsidR="00872C03" w:rsidRPr="00883399" w:rsidRDefault="00872C03" w:rsidP="00872C03">
      <w:pPr>
        <w:pStyle w:val="R1"/>
        <w:keepLines w:val="0"/>
        <w:spacing w:before="240" w:line="312" w:lineRule="auto"/>
        <w:ind w:left="0" w:firstLine="0"/>
        <w:jc w:val="left"/>
        <w:rPr>
          <w:rFonts w:ascii="Arial" w:hAnsi="Arial" w:cs="Arial"/>
          <w:i/>
          <w:color w:val="000000"/>
          <w:sz w:val="22"/>
          <w:szCs w:val="22"/>
        </w:rPr>
      </w:pPr>
      <w:r w:rsidRPr="00883399">
        <w:tab/>
      </w:r>
      <w:r w:rsidRPr="00883399">
        <w:rPr>
          <w:rFonts w:ascii="Arial" w:hAnsi="Arial" w:cs="Arial"/>
          <w:color w:val="000000"/>
          <w:sz w:val="22"/>
          <w:szCs w:val="22"/>
        </w:rPr>
        <w:t>This Division sets out how quantities of carbonates consumed from the operation of the activity and the quantities of products derived from carbonates produced from the operation of the activity are to be estimated for the purpose of working out the</w:t>
      </w:r>
      <w:r w:rsidRPr="00883399">
        <w:rPr>
          <w:rFonts w:ascii="Arial" w:hAnsi="Arial" w:cs="Arial"/>
          <w:strike/>
          <w:color w:val="000000"/>
          <w:sz w:val="22"/>
          <w:szCs w:val="22"/>
        </w:rPr>
        <w:t xml:space="preserve"> </w:t>
      </w:r>
      <w:r w:rsidRPr="00883399">
        <w:rPr>
          <w:rFonts w:ascii="Arial" w:hAnsi="Arial" w:cs="Arial"/>
          <w:color w:val="000000"/>
          <w:sz w:val="22"/>
          <w:szCs w:val="22"/>
        </w:rPr>
        <w:t>emissions released from the consumption and production of carbonates.</w:t>
      </w:r>
    </w:p>
    <w:p w14:paraId="704202C2" w14:textId="77777777" w:rsidR="00872C03" w:rsidRPr="00883399" w:rsidRDefault="00872C03" w:rsidP="00872C03">
      <w:pPr>
        <w:pStyle w:val="R2"/>
        <w:keepLines w:val="0"/>
        <w:spacing w:before="240" w:line="312" w:lineRule="auto"/>
        <w:ind w:left="0" w:firstLine="0"/>
        <w:jc w:val="left"/>
        <w:rPr>
          <w:rFonts w:ascii="Arial" w:hAnsi="Arial" w:cs="Arial"/>
          <w:sz w:val="22"/>
          <w:szCs w:val="22"/>
        </w:rPr>
      </w:pPr>
      <w:r w:rsidRPr="00883399">
        <w:rPr>
          <w:rFonts w:ascii="Arial" w:hAnsi="Arial" w:cs="Arial"/>
          <w:sz w:val="22"/>
          <w:szCs w:val="22"/>
        </w:rPr>
        <w:t xml:space="preserve">Division 4.2.5 specifies the criteria for the estimation of the amounts of carbonate consumed or produced during the operation of a facility during a year.  </w:t>
      </w:r>
    </w:p>
    <w:p w14:paraId="2F70AFC2" w14:textId="77777777" w:rsidR="00872C03" w:rsidRPr="00883399" w:rsidRDefault="00872C03" w:rsidP="00872C03">
      <w:pPr>
        <w:pStyle w:val="R2"/>
        <w:keepLines w:val="0"/>
        <w:spacing w:before="240" w:line="312" w:lineRule="auto"/>
        <w:ind w:left="0" w:firstLine="0"/>
        <w:jc w:val="left"/>
        <w:rPr>
          <w:rFonts w:ascii="Arial" w:hAnsi="Arial" w:cs="Arial"/>
          <w:sz w:val="22"/>
          <w:szCs w:val="22"/>
        </w:rPr>
      </w:pPr>
      <w:r w:rsidRPr="00883399">
        <w:rPr>
          <w:rFonts w:ascii="Arial" w:hAnsi="Arial" w:cs="Arial"/>
          <w:sz w:val="22"/>
          <w:szCs w:val="22"/>
        </w:rPr>
        <w:t xml:space="preserve">There are four criteria available for the estimation of the quantities of carbonates reflecting differing levels of measurement effort and precision.  </w:t>
      </w:r>
    </w:p>
    <w:p w14:paraId="111372E1" w14:textId="77777777" w:rsidR="00872C03" w:rsidRPr="00883399" w:rsidRDefault="00872C03" w:rsidP="00872C03">
      <w:pPr>
        <w:pStyle w:val="R2"/>
        <w:keepLines w:val="0"/>
        <w:spacing w:before="240" w:line="312" w:lineRule="auto"/>
        <w:ind w:left="0" w:firstLine="0"/>
        <w:jc w:val="left"/>
        <w:rPr>
          <w:rFonts w:ascii="Arial" w:hAnsi="Arial" w:cs="Arial"/>
          <w:sz w:val="22"/>
          <w:szCs w:val="22"/>
        </w:rPr>
      </w:pPr>
      <w:r w:rsidRPr="00883399">
        <w:rPr>
          <w:rFonts w:ascii="Arial" w:hAnsi="Arial" w:cs="Arial"/>
          <w:sz w:val="22"/>
          <w:szCs w:val="22"/>
        </w:rPr>
        <w:t xml:space="preserve">Under the National Greenhouse and Energy Reporting Regulations 2008, the criterion chosen by the Reporter to estimate carbonate inputs and outputs is required to be reported. Measuring equipment calibrated to a measurement requirement mentioned in Sections 4.37 and 4.38 refers to the standards required for measurement to support all commercial transactions covered by the National Measurement Act 1960 and associated instruments.  </w:t>
      </w:r>
    </w:p>
    <w:p w14:paraId="322AED91" w14:textId="77777777" w:rsidR="00872C03" w:rsidRPr="00883399" w:rsidRDefault="00872C03" w:rsidP="00872C03">
      <w:pPr>
        <w:pStyle w:val="R2"/>
        <w:keepLines w:val="0"/>
        <w:spacing w:before="240" w:line="312" w:lineRule="auto"/>
        <w:ind w:left="0" w:firstLine="0"/>
        <w:jc w:val="left"/>
        <w:rPr>
          <w:rFonts w:ascii="Arial" w:hAnsi="Arial" w:cs="Arial"/>
          <w:sz w:val="22"/>
          <w:szCs w:val="22"/>
        </w:rPr>
      </w:pPr>
      <w:r w:rsidRPr="00883399">
        <w:rPr>
          <w:rFonts w:ascii="Arial" w:hAnsi="Arial" w:cs="Arial"/>
          <w:sz w:val="22"/>
          <w:szCs w:val="22"/>
        </w:rPr>
        <w:t xml:space="preserve">In Section 4.37 it is intended that measured data for carbonates delivered (at the point of sale) would also meet the Criterion AAA under certain circumstances.  These circumstances are that stocks of the carbonate consumed at the facility are less than 5% of carbonate consumption for the facility during the year and that the stock changes by less than 1% during the year.  It is intended that the analysis may be conducted by the supplier. </w:t>
      </w:r>
    </w:p>
    <w:p w14:paraId="33E8A69F" w14:textId="77777777" w:rsidR="00872C03" w:rsidRPr="00883399" w:rsidRDefault="00872C03" w:rsidP="00872C03">
      <w:pPr>
        <w:pStyle w:val="R2"/>
        <w:keepLines w:val="0"/>
        <w:spacing w:before="240" w:line="312" w:lineRule="auto"/>
        <w:ind w:left="0" w:firstLine="0"/>
        <w:jc w:val="left"/>
        <w:rPr>
          <w:rFonts w:ascii="Arial" w:hAnsi="Arial" w:cs="Arial"/>
          <w:sz w:val="22"/>
          <w:szCs w:val="22"/>
        </w:rPr>
      </w:pPr>
      <w:r w:rsidRPr="00883399">
        <w:rPr>
          <w:rFonts w:ascii="Arial" w:hAnsi="Arial" w:cs="Arial"/>
          <w:sz w:val="22"/>
          <w:szCs w:val="22"/>
        </w:rPr>
        <w:t xml:space="preserve">The simplified measurement of consumption criterion is available in those cases where the Reporter does not purchase their carbonates and where the Reporter also does not have metering equipment installed that meets the requirements of criterion AAA.  In these cases, it is intended that Reporters should estimate consumption using metering devices or measurement techniques in practice in the industry.  Such measurements would need to meet the criteria set out in section 1.13 of transparency, comparability, accuracy and completeness.  Such data would be classified and reported as ‘BBB’ data.    </w:t>
      </w:r>
    </w:p>
    <w:p w14:paraId="7F4CFE85" w14:textId="77777777" w:rsidR="00872C03" w:rsidRPr="00883399" w:rsidRDefault="00872C03" w:rsidP="00872C03">
      <w:pPr>
        <w:pStyle w:val="R2"/>
        <w:keepLines w:val="0"/>
        <w:spacing w:before="240" w:line="312" w:lineRule="auto"/>
        <w:ind w:left="0" w:firstLine="0"/>
        <w:jc w:val="left"/>
        <w:rPr>
          <w:rFonts w:ascii="Arial" w:hAnsi="Arial" w:cs="Arial"/>
          <w:sz w:val="22"/>
          <w:szCs w:val="22"/>
        </w:rPr>
      </w:pPr>
      <w:r w:rsidRPr="00883399">
        <w:rPr>
          <w:rFonts w:ascii="Arial" w:hAnsi="Arial" w:cs="Arial"/>
          <w:color w:val="000000"/>
          <w:sz w:val="22"/>
          <w:szCs w:val="22"/>
        </w:rPr>
        <w:lastRenderedPageBreak/>
        <w:t>The restriction on the choice of criteria at 4.35 (3) is designed to ensure time series consistency of the measurements</w:t>
      </w:r>
      <w:r w:rsidRPr="00883399">
        <w:rPr>
          <w:color w:val="000000"/>
        </w:rPr>
        <w:t>.</w:t>
      </w:r>
    </w:p>
    <w:p w14:paraId="47CD2F93" w14:textId="77777777" w:rsidR="00872C03" w:rsidRPr="00883399" w:rsidRDefault="00872C03" w:rsidP="00872C03">
      <w:pPr>
        <w:pStyle w:val="subsection"/>
        <w:rPr>
          <w:sz w:val="24"/>
        </w:rPr>
      </w:pPr>
      <w:r w:rsidRPr="00883399">
        <w:rPr>
          <w:sz w:val="24"/>
        </w:rPr>
        <w:t xml:space="preserve"> </w:t>
      </w:r>
      <w:r w:rsidRPr="00883399">
        <w:rPr>
          <w:sz w:val="24"/>
        </w:rPr>
        <w:tab/>
        <w:t>(1)</w:t>
      </w:r>
      <w:r w:rsidRPr="00883399">
        <w:rPr>
          <w:sz w:val="24"/>
        </w:rPr>
        <w:tab/>
        <w:t xml:space="preserve">This Division applies to the operation of a facility (the </w:t>
      </w:r>
      <w:r w:rsidRPr="00883399">
        <w:rPr>
          <w:b/>
          <w:i/>
          <w:sz w:val="24"/>
        </w:rPr>
        <w:t>activity</w:t>
      </w:r>
      <w:r w:rsidRPr="00883399">
        <w:rPr>
          <w:sz w:val="24"/>
        </w:rPr>
        <w:t>) that is constituted by:</w:t>
      </w:r>
    </w:p>
    <w:p w14:paraId="25A6EC9A" w14:textId="77777777" w:rsidR="00872C03" w:rsidRPr="00883399" w:rsidRDefault="00872C03" w:rsidP="00872C03">
      <w:pPr>
        <w:pStyle w:val="paragraph"/>
        <w:rPr>
          <w:sz w:val="24"/>
        </w:rPr>
      </w:pPr>
      <w:r w:rsidRPr="00883399">
        <w:rPr>
          <w:sz w:val="24"/>
        </w:rPr>
        <w:tab/>
        <w:t>(a)</w:t>
      </w:r>
      <w:r w:rsidRPr="00883399">
        <w:rPr>
          <w:sz w:val="24"/>
        </w:rPr>
        <w:tab/>
        <w:t>the production of cement clinker; or</w:t>
      </w:r>
    </w:p>
    <w:p w14:paraId="0FCF8D64" w14:textId="77777777" w:rsidR="00872C03" w:rsidRPr="00883399" w:rsidRDefault="00872C03" w:rsidP="00872C03">
      <w:pPr>
        <w:pStyle w:val="paragraph"/>
        <w:rPr>
          <w:sz w:val="24"/>
        </w:rPr>
      </w:pPr>
      <w:r w:rsidRPr="00883399">
        <w:rPr>
          <w:sz w:val="24"/>
        </w:rPr>
        <w:tab/>
        <w:t>(b)</w:t>
      </w:r>
      <w:r w:rsidRPr="00883399">
        <w:rPr>
          <w:sz w:val="24"/>
        </w:rPr>
        <w:tab/>
        <w:t>the production of lime; or</w:t>
      </w:r>
    </w:p>
    <w:p w14:paraId="286FE6B5" w14:textId="77777777" w:rsidR="00872C03" w:rsidRPr="00883399" w:rsidRDefault="00872C03" w:rsidP="00872C03">
      <w:pPr>
        <w:pStyle w:val="paragraph"/>
        <w:rPr>
          <w:sz w:val="24"/>
        </w:rPr>
      </w:pPr>
      <w:r w:rsidRPr="00883399">
        <w:rPr>
          <w:sz w:val="24"/>
        </w:rPr>
        <w:tab/>
        <w:t>(c)</w:t>
      </w:r>
      <w:r w:rsidRPr="00883399">
        <w:rPr>
          <w:sz w:val="24"/>
        </w:rPr>
        <w:tab/>
        <w:t>the calcination of carbonates in an industrial process; or</w:t>
      </w:r>
    </w:p>
    <w:p w14:paraId="67F27C20" w14:textId="77777777" w:rsidR="00872C03" w:rsidRPr="00883399" w:rsidRDefault="00872C03" w:rsidP="00872C03">
      <w:pPr>
        <w:pStyle w:val="paragraph"/>
        <w:rPr>
          <w:sz w:val="24"/>
        </w:rPr>
      </w:pPr>
      <w:r w:rsidRPr="00883399">
        <w:rPr>
          <w:sz w:val="24"/>
        </w:rPr>
        <w:tab/>
        <w:t>(d)</w:t>
      </w:r>
      <w:r w:rsidRPr="00883399">
        <w:rPr>
          <w:sz w:val="24"/>
        </w:rPr>
        <w:tab/>
        <w:t>the use and production of soda ash.</w:t>
      </w:r>
    </w:p>
    <w:p w14:paraId="5C90D7AD" w14:textId="77777777" w:rsidR="00872C03" w:rsidRPr="00883399" w:rsidRDefault="00872C03" w:rsidP="00872C03">
      <w:pPr>
        <w:pStyle w:val="subsection"/>
        <w:rPr>
          <w:sz w:val="24"/>
        </w:rPr>
      </w:pPr>
      <w:r w:rsidRPr="00883399">
        <w:rPr>
          <w:sz w:val="24"/>
        </w:rPr>
        <w:tab/>
        <w:t>(2)</w:t>
      </w:r>
      <w:r w:rsidRPr="00883399">
        <w:rPr>
          <w:sz w:val="24"/>
        </w:rPr>
        <w:tab/>
        <w:t>This Division sets out how the quantities of carbonates consumed from the operation of the activity, and the quantities of products derived from carbonates produced from the operation of the activity, are to be estimated for the following:</w:t>
      </w:r>
    </w:p>
    <w:p w14:paraId="3BAEF1F2" w14:textId="77777777" w:rsidR="00872C03" w:rsidRPr="00883399" w:rsidRDefault="00872C03" w:rsidP="00872C03">
      <w:pPr>
        <w:pStyle w:val="paragraph"/>
        <w:rPr>
          <w:sz w:val="24"/>
        </w:rPr>
      </w:pPr>
      <w:r w:rsidRPr="00883399">
        <w:rPr>
          <w:sz w:val="24"/>
        </w:rPr>
        <w:tab/>
        <w:t>(a)</w:t>
      </w:r>
      <w:r w:rsidRPr="00883399">
        <w:rPr>
          <w:sz w:val="24"/>
        </w:rPr>
        <w:tab/>
        <w:t>Ai and Ackd in section 4.4;</w:t>
      </w:r>
    </w:p>
    <w:p w14:paraId="4184B28C" w14:textId="77777777" w:rsidR="00872C03" w:rsidRPr="00883399" w:rsidRDefault="00872C03" w:rsidP="00872C03">
      <w:pPr>
        <w:pStyle w:val="paragraph"/>
        <w:rPr>
          <w:sz w:val="24"/>
        </w:rPr>
      </w:pPr>
      <w:r w:rsidRPr="00883399">
        <w:rPr>
          <w:sz w:val="24"/>
        </w:rPr>
        <w:tab/>
        <w:t>(b)</w:t>
      </w:r>
      <w:r w:rsidRPr="00883399">
        <w:rPr>
          <w:sz w:val="24"/>
        </w:rPr>
        <w:tab/>
        <w:t>Qi and Qtoc in section 4.8;</w:t>
      </w:r>
    </w:p>
    <w:p w14:paraId="1AC27256" w14:textId="77777777" w:rsidR="00872C03" w:rsidRPr="00883399" w:rsidRDefault="00872C03" w:rsidP="00872C03">
      <w:pPr>
        <w:pStyle w:val="paragraph"/>
        <w:rPr>
          <w:sz w:val="24"/>
        </w:rPr>
      </w:pPr>
      <w:r w:rsidRPr="00883399">
        <w:rPr>
          <w:sz w:val="24"/>
        </w:rPr>
        <w:tab/>
        <w:t>(c)</w:t>
      </w:r>
      <w:r w:rsidRPr="00883399">
        <w:rPr>
          <w:sz w:val="24"/>
        </w:rPr>
        <w:tab/>
        <w:t>Ai in section 4.13;</w:t>
      </w:r>
    </w:p>
    <w:p w14:paraId="30A9200A" w14:textId="77777777" w:rsidR="00872C03" w:rsidRPr="00883399" w:rsidRDefault="00872C03" w:rsidP="00872C03">
      <w:pPr>
        <w:pStyle w:val="paragraph"/>
        <w:rPr>
          <w:sz w:val="24"/>
        </w:rPr>
      </w:pPr>
      <w:r w:rsidRPr="00883399">
        <w:rPr>
          <w:sz w:val="24"/>
        </w:rPr>
        <w:tab/>
        <w:t>(d)</w:t>
      </w:r>
      <w:r w:rsidRPr="00883399">
        <w:rPr>
          <w:sz w:val="24"/>
        </w:rPr>
        <w:tab/>
        <w:t>Qi and Alkd in section 4.17;</w:t>
      </w:r>
    </w:p>
    <w:p w14:paraId="633EEE75" w14:textId="77777777" w:rsidR="00872C03" w:rsidRPr="00883399" w:rsidRDefault="00872C03" w:rsidP="00872C03">
      <w:pPr>
        <w:pStyle w:val="paragraph"/>
        <w:rPr>
          <w:sz w:val="24"/>
        </w:rPr>
      </w:pPr>
      <w:r w:rsidRPr="00883399">
        <w:rPr>
          <w:sz w:val="24"/>
        </w:rPr>
        <w:tab/>
        <w:t>(e)</w:t>
      </w:r>
      <w:r w:rsidRPr="00883399">
        <w:rPr>
          <w:sz w:val="24"/>
        </w:rPr>
        <w:tab/>
        <w:t>Qj in sections 4.22, 4.22A, 4.23, 4.29, 4.55, 4.66, 4.71 and 4.94;</w:t>
      </w:r>
    </w:p>
    <w:p w14:paraId="004EDBA5" w14:textId="77777777" w:rsidR="00872C03" w:rsidRPr="00883399" w:rsidRDefault="00872C03" w:rsidP="00872C03">
      <w:pPr>
        <w:pStyle w:val="paragraph"/>
        <w:rPr>
          <w:sz w:val="24"/>
        </w:rPr>
      </w:pPr>
      <w:r w:rsidRPr="00883399">
        <w:rPr>
          <w:sz w:val="24"/>
        </w:rPr>
        <w:tab/>
        <w:t>(f)</w:t>
      </w:r>
      <w:r w:rsidRPr="00883399">
        <w:rPr>
          <w:sz w:val="24"/>
        </w:rPr>
        <w:tab/>
        <w:t>Q in section 4.23A;</w:t>
      </w:r>
    </w:p>
    <w:p w14:paraId="6C4CF3F3" w14:textId="77777777" w:rsidR="00872C03" w:rsidRPr="00883399" w:rsidRDefault="00872C03" w:rsidP="00872C03">
      <w:pPr>
        <w:pStyle w:val="paragraph"/>
        <w:rPr>
          <w:sz w:val="24"/>
        </w:rPr>
      </w:pPr>
      <w:r w:rsidRPr="00883399">
        <w:rPr>
          <w:sz w:val="24"/>
        </w:rPr>
        <w:tab/>
        <w:t>(g)</w:t>
      </w:r>
      <w:r w:rsidRPr="00883399">
        <w:rPr>
          <w:sz w:val="24"/>
        </w:rPr>
        <w:tab/>
        <w:t>Lj in sections 4.31 and 4.32.</w:t>
      </w:r>
    </w:p>
    <w:p w14:paraId="5F379528" w14:textId="289787B7" w:rsidR="00872C03" w:rsidRPr="00883399" w:rsidRDefault="00872C03" w:rsidP="00872C03">
      <w:pPr>
        <w:pStyle w:val="ActHead5"/>
        <w:rPr>
          <w:sz w:val="28"/>
        </w:rPr>
      </w:pPr>
      <w:bookmarkStart w:id="889" w:name="_Toc423517042"/>
      <w:bookmarkStart w:id="890" w:name="_Toc495652974"/>
      <w:r w:rsidRPr="00883399">
        <w:rPr>
          <w:rStyle w:val="CharSectno"/>
          <w:sz w:val="28"/>
        </w:rPr>
        <w:t>4.35</w:t>
      </w:r>
      <w:r w:rsidRPr="00883399">
        <w:rPr>
          <w:sz w:val="28"/>
        </w:rPr>
        <w:t xml:space="preserve">  Criteria for measurement</w:t>
      </w:r>
      <w:bookmarkEnd w:id="889"/>
      <w:bookmarkEnd w:id="890"/>
    </w:p>
    <w:p w14:paraId="72620CB3" w14:textId="77777777" w:rsidR="00872C03" w:rsidRPr="00883399" w:rsidRDefault="00872C03" w:rsidP="00872C03">
      <w:pPr>
        <w:pStyle w:val="subsection"/>
        <w:rPr>
          <w:sz w:val="24"/>
        </w:rPr>
      </w:pPr>
      <w:r w:rsidRPr="00883399">
        <w:rPr>
          <w:sz w:val="24"/>
        </w:rPr>
        <w:tab/>
        <w:t>(1)</w:t>
      </w:r>
      <w:r w:rsidRPr="00883399">
        <w:rPr>
          <w:sz w:val="24"/>
        </w:rPr>
        <w:tab/>
        <w:t>Quantities of carbonates consumed from the operation of the activity, or quantities of products derived from carbonates produced from the operation of the activity, must be estimated in accordance with this section.</w:t>
      </w:r>
    </w:p>
    <w:p w14:paraId="368E21D2" w14:textId="77777777" w:rsidR="00872C03" w:rsidRPr="00883399" w:rsidRDefault="00872C03" w:rsidP="00872C03">
      <w:pPr>
        <w:pStyle w:val="SubsectionHead"/>
        <w:rPr>
          <w:sz w:val="24"/>
        </w:rPr>
      </w:pPr>
      <w:r w:rsidRPr="00883399">
        <w:rPr>
          <w:sz w:val="24"/>
        </w:rPr>
        <w:t>Acquisition  involves commercial transaction</w:t>
      </w:r>
    </w:p>
    <w:p w14:paraId="05B43342" w14:textId="77777777" w:rsidR="00872C03" w:rsidRPr="00883399" w:rsidRDefault="00872C03" w:rsidP="00872C03">
      <w:pPr>
        <w:pStyle w:val="subsection"/>
        <w:rPr>
          <w:sz w:val="24"/>
        </w:rPr>
      </w:pPr>
      <w:r w:rsidRPr="00883399">
        <w:rPr>
          <w:sz w:val="24"/>
        </w:rPr>
        <w:tab/>
        <w:t>(2)</w:t>
      </w:r>
      <w:r w:rsidRPr="00883399">
        <w:rPr>
          <w:sz w:val="24"/>
        </w:rPr>
        <w:tab/>
        <w:t>If the acquisition of the carbonates, or the dispatch of the products derived from carbonates, involves a commercial transaction, the quantity of the carbonates or products must be estimated using one of the following criteria:</w:t>
      </w:r>
    </w:p>
    <w:p w14:paraId="6D1F26C4" w14:textId="77777777" w:rsidR="00872C03" w:rsidRPr="00883399" w:rsidRDefault="00872C03" w:rsidP="00872C03">
      <w:pPr>
        <w:pStyle w:val="paragraph"/>
        <w:rPr>
          <w:sz w:val="24"/>
        </w:rPr>
      </w:pPr>
      <w:r w:rsidRPr="00883399">
        <w:rPr>
          <w:sz w:val="24"/>
        </w:rPr>
        <w:tab/>
        <w:t>(a)</w:t>
      </w:r>
      <w:r w:rsidRPr="00883399">
        <w:rPr>
          <w:sz w:val="24"/>
        </w:rPr>
        <w:tab/>
        <w:t>the quantity of the carbonates acquired or products dispatched for the facility during the year as evidenced by invoices issued by the vendor of the carbonates or products (</w:t>
      </w:r>
      <w:r w:rsidRPr="00883399">
        <w:rPr>
          <w:b/>
          <w:bCs/>
          <w:i/>
          <w:iCs/>
          <w:sz w:val="24"/>
        </w:rPr>
        <w:t>criterion A</w:t>
      </w:r>
      <w:r w:rsidRPr="00883399">
        <w:rPr>
          <w:sz w:val="24"/>
        </w:rPr>
        <w:t>);</w:t>
      </w:r>
    </w:p>
    <w:p w14:paraId="5F1F2B75" w14:textId="77777777" w:rsidR="00872C03" w:rsidRPr="00883399" w:rsidRDefault="00872C03" w:rsidP="00872C03">
      <w:pPr>
        <w:pStyle w:val="paragraph"/>
        <w:rPr>
          <w:sz w:val="24"/>
        </w:rPr>
      </w:pPr>
      <w:r w:rsidRPr="00883399">
        <w:rPr>
          <w:sz w:val="24"/>
        </w:rPr>
        <w:tab/>
        <w:t>(b)</w:t>
      </w:r>
      <w:r w:rsidRPr="00883399">
        <w:rPr>
          <w:sz w:val="24"/>
        </w:rPr>
        <w:tab/>
        <w:t>as provided in section 4.36 (</w:t>
      </w:r>
      <w:r w:rsidRPr="00883399">
        <w:rPr>
          <w:b/>
          <w:bCs/>
          <w:i/>
          <w:iCs/>
          <w:sz w:val="24"/>
        </w:rPr>
        <w:t>criterion AA</w:t>
      </w:r>
      <w:r w:rsidRPr="00883399">
        <w:rPr>
          <w:sz w:val="24"/>
        </w:rPr>
        <w:t>);</w:t>
      </w:r>
    </w:p>
    <w:p w14:paraId="49D303E4" w14:textId="77777777" w:rsidR="00872C03" w:rsidRPr="00883399" w:rsidRDefault="00872C03" w:rsidP="00872C03">
      <w:pPr>
        <w:pStyle w:val="paragraph"/>
        <w:rPr>
          <w:sz w:val="24"/>
        </w:rPr>
      </w:pPr>
      <w:r w:rsidRPr="00883399">
        <w:rPr>
          <w:sz w:val="24"/>
        </w:rPr>
        <w:tab/>
        <w:t>(c)</w:t>
      </w:r>
      <w:r w:rsidRPr="00883399">
        <w:rPr>
          <w:sz w:val="24"/>
        </w:rPr>
        <w:tab/>
        <w:t>as provided in section 4.37 (</w:t>
      </w:r>
      <w:r w:rsidRPr="00883399">
        <w:rPr>
          <w:b/>
          <w:bCs/>
          <w:i/>
          <w:iCs/>
          <w:sz w:val="24"/>
        </w:rPr>
        <w:t>criterion AAA</w:t>
      </w:r>
      <w:r w:rsidRPr="00883399">
        <w:rPr>
          <w:sz w:val="24"/>
        </w:rPr>
        <w:t>).</w:t>
      </w:r>
    </w:p>
    <w:p w14:paraId="3F491A3E" w14:textId="77777777" w:rsidR="00872C03" w:rsidRPr="00883399" w:rsidRDefault="00872C03" w:rsidP="00872C03">
      <w:pPr>
        <w:pStyle w:val="subsection"/>
        <w:rPr>
          <w:sz w:val="24"/>
        </w:rPr>
      </w:pPr>
      <w:r w:rsidRPr="00883399">
        <w:rPr>
          <w:sz w:val="24"/>
        </w:rPr>
        <w:tab/>
        <w:t>(3)</w:t>
      </w:r>
      <w:r w:rsidRPr="00883399">
        <w:rPr>
          <w:sz w:val="24"/>
        </w:rPr>
        <w:tab/>
        <w:t xml:space="preserve">If, during a year, criterion AA, or criterion AAA using paragraph 4.37(2)(a), is used to estimate the quantity of carbonates </w:t>
      </w:r>
      <w:r w:rsidRPr="00883399">
        <w:rPr>
          <w:sz w:val="24"/>
        </w:rPr>
        <w:lastRenderedPageBreak/>
        <w:t>acquired or products dispatched, then, in each year following that year, only criterion AA, or criterion AAA using paragraph 4.37(2)(a), (respectively) is to be used.</w:t>
      </w:r>
    </w:p>
    <w:p w14:paraId="7280A33F" w14:textId="77777777" w:rsidR="00872C03" w:rsidRPr="00883399" w:rsidRDefault="00872C03" w:rsidP="00872C03">
      <w:pPr>
        <w:pStyle w:val="SubsectionHead"/>
        <w:rPr>
          <w:sz w:val="24"/>
        </w:rPr>
      </w:pPr>
      <w:r w:rsidRPr="00883399">
        <w:rPr>
          <w:sz w:val="24"/>
        </w:rPr>
        <w:t>Acquisition does not involve commercial transaction</w:t>
      </w:r>
    </w:p>
    <w:p w14:paraId="4C03A936" w14:textId="77777777" w:rsidR="00872C03" w:rsidRPr="00883399" w:rsidRDefault="00872C03" w:rsidP="00872C03">
      <w:pPr>
        <w:pStyle w:val="subsection"/>
        <w:rPr>
          <w:sz w:val="24"/>
        </w:rPr>
      </w:pPr>
      <w:r w:rsidRPr="00883399">
        <w:rPr>
          <w:sz w:val="24"/>
        </w:rPr>
        <w:tab/>
        <w:t>(4)</w:t>
      </w:r>
      <w:r w:rsidRPr="00883399">
        <w:rPr>
          <w:sz w:val="24"/>
        </w:rPr>
        <w:tab/>
        <w:t>If the acquisition of the carbonates or the dispatch of the products does not involve a commercial transaction, the quantity the carbonates or products must be estimated using one of the following criteria:</w:t>
      </w:r>
    </w:p>
    <w:p w14:paraId="437F6A3D" w14:textId="77777777" w:rsidR="00872C03" w:rsidRPr="00883399" w:rsidRDefault="00872C03" w:rsidP="00872C03">
      <w:pPr>
        <w:pStyle w:val="paragraph"/>
        <w:rPr>
          <w:sz w:val="24"/>
        </w:rPr>
      </w:pPr>
      <w:r w:rsidRPr="00883399">
        <w:rPr>
          <w:sz w:val="24"/>
        </w:rPr>
        <w:tab/>
        <w:t>(a)</w:t>
      </w:r>
      <w:r w:rsidRPr="00883399">
        <w:rPr>
          <w:sz w:val="24"/>
        </w:rPr>
        <w:tab/>
        <w:t>as provided in paragraph 4.37(2)(a) (</w:t>
      </w:r>
      <w:r w:rsidRPr="00883399">
        <w:rPr>
          <w:b/>
          <w:bCs/>
          <w:i/>
          <w:iCs/>
          <w:sz w:val="24"/>
        </w:rPr>
        <w:t>criterion AAA</w:t>
      </w:r>
      <w:r w:rsidRPr="00883399">
        <w:rPr>
          <w:sz w:val="24"/>
        </w:rPr>
        <w:t>);</w:t>
      </w:r>
    </w:p>
    <w:p w14:paraId="0A1B760A" w14:textId="77777777" w:rsidR="00872C03" w:rsidRPr="00883399" w:rsidRDefault="00872C03" w:rsidP="00872C03">
      <w:pPr>
        <w:pStyle w:val="paragraph"/>
        <w:rPr>
          <w:sz w:val="24"/>
        </w:rPr>
      </w:pPr>
      <w:r w:rsidRPr="00883399">
        <w:rPr>
          <w:sz w:val="24"/>
        </w:rPr>
        <w:tab/>
        <w:t>(b)</w:t>
      </w:r>
      <w:r w:rsidRPr="00883399">
        <w:rPr>
          <w:sz w:val="24"/>
        </w:rPr>
        <w:tab/>
        <w:t>as provided in section 4.38 (</w:t>
      </w:r>
      <w:r w:rsidRPr="00883399">
        <w:rPr>
          <w:b/>
          <w:i/>
          <w:sz w:val="24"/>
        </w:rPr>
        <w:t>criterion BBB</w:t>
      </w:r>
      <w:r w:rsidRPr="00883399">
        <w:rPr>
          <w:sz w:val="24"/>
        </w:rPr>
        <w:t>).</w:t>
      </w:r>
    </w:p>
    <w:p w14:paraId="5A8C02DF" w14:textId="1924999C" w:rsidR="00872C03" w:rsidRPr="00883399" w:rsidRDefault="00872C03" w:rsidP="00872C03">
      <w:pPr>
        <w:pStyle w:val="ActHead5"/>
        <w:rPr>
          <w:sz w:val="28"/>
        </w:rPr>
      </w:pPr>
      <w:bookmarkStart w:id="891" w:name="_Toc423517043"/>
      <w:bookmarkStart w:id="892" w:name="_Toc495652975"/>
      <w:r w:rsidRPr="00883399">
        <w:rPr>
          <w:rStyle w:val="CharSectno"/>
          <w:sz w:val="28"/>
        </w:rPr>
        <w:t>4.36</w:t>
      </w:r>
      <w:r w:rsidRPr="00883399">
        <w:rPr>
          <w:sz w:val="28"/>
        </w:rPr>
        <w:t xml:space="preserve">  Indirect measurement at point of consumption or production—criterion AA</w:t>
      </w:r>
      <w:bookmarkEnd w:id="891"/>
      <w:bookmarkEnd w:id="892"/>
    </w:p>
    <w:p w14:paraId="4857096A" w14:textId="77777777" w:rsidR="00872C03" w:rsidRPr="00883399" w:rsidRDefault="00872C03" w:rsidP="00872C03">
      <w:pPr>
        <w:pStyle w:val="subsection"/>
        <w:rPr>
          <w:sz w:val="24"/>
        </w:rPr>
      </w:pPr>
      <w:r w:rsidRPr="00883399">
        <w:rPr>
          <w:sz w:val="24"/>
        </w:rPr>
        <w:tab/>
        <w:t>(1)</w:t>
      </w:r>
      <w:r w:rsidRPr="00883399">
        <w:rPr>
          <w:sz w:val="24"/>
        </w:rPr>
        <w:tab/>
        <w:t>For paragraph 4.35(b), criterion AA is the amount of carbonates consumed from the operation of the activity, or the amount of products derived from carbonates produced from the operation of the activity, during the year based on amounts delivered or dispatched during the year:</w:t>
      </w:r>
    </w:p>
    <w:p w14:paraId="4E1110A2" w14:textId="77777777" w:rsidR="00872C03" w:rsidRPr="00883399" w:rsidRDefault="00872C03" w:rsidP="00872C03">
      <w:pPr>
        <w:pStyle w:val="paragraph"/>
        <w:rPr>
          <w:sz w:val="24"/>
        </w:rPr>
      </w:pPr>
      <w:r w:rsidRPr="00883399">
        <w:rPr>
          <w:sz w:val="24"/>
        </w:rPr>
        <w:tab/>
        <w:t>(a)</w:t>
      </w:r>
      <w:r w:rsidRPr="00883399">
        <w:rPr>
          <w:sz w:val="24"/>
        </w:rPr>
        <w:tab/>
        <w:t>as evidenced by invoices; and</w:t>
      </w:r>
    </w:p>
    <w:p w14:paraId="7FB7EA9E" w14:textId="77777777" w:rsidR="00872C03" w:rsidRPr="00883399" w:rsidRDefault="00872C03" w:rsidP="00872C03">
      <w:pPr>
        <w:pStyle w:val="paragraph"/>
        <w:rPr>
          <w:sz w:val="24"/>
        </w:rPr>
      </w:pPr>
      <w:r w:rsidRPr="00883399">
        <w:rPr>
          <w:sz w:val="24"/>
        </w:rPr>
        <w:tab/>
        <w:t>(b)</w:t>
      </w:r>
      <w:r w:rsidRPr="00883399">
        <w:rPr>
          <w:sz w:val="24"/>
        </w:rPr>
        <w:tab/>
        <w:t>as adjusted for the estimated change in the quantity of the stockpiles of carbonates or the quantity of the stockpiles of products derived from carbonates during the year.</w:t>
      </w:r>
    </w:p>
    <w:p w14:paraId="4DB0B273" w14:textId="77777777" w:rsidR="00872C03" w:rsidRPr="00883399" w:rsidRDefault="00872C03" w:rsidP="00872C03">
      <w:pPr>
        <w:pStyle w:val="subsection"/>
        <w:rPr>
          <w:sz w:val="24"/>
        </w:rPr>
      </w:pPr>
      <w:r w:rsidRPr="00883399">
        <w:rPr>
          <w:sz w:val="24"/>
        </w:rPr>
        <w:tab/>
        <w:t>(2)</w:t>
      </w:r>
      <w:r w:rsidRPr="00883399">
        <w:rPr>
          <w:sz w:val="24"/>
        </w:rPr>
        <w:tab/>
        <w:t>The volume of carbonates, or products derived from carbonates, in the stockpile for the activity must be measured in accordance with industry practice.</w:t>
      </w:r>
    </w:p>
    <w:p w14:paraId="0EBAB3C8" w14:textId="55E4B2DA" w:rsidR="00872C03" w:rsidRPr="00883399" w:rsidRDefault="00872C03" w:rsidP="00872C03">
      <w:pPr>
        <w:pStyle w:val="ActHead5"/>
        <w:rPr>
          <w:sz w:val="28"/>
        </w:rPr>
      </w:pPr>
      <w:bookmarkStart w:id="893" w:name="_Toc423517044"/>
      <w:bookmarkStart w:id="894" w:name="_Toc495652976"/>
      <w:r w:rsidRPr="00883399">
        <w:rPr>
          <w:rStyle w:val="CharSectno"/>
          <w:sz w:val="28"/>
        </w:rPr>
        <w:t>4.37</w:t>
      </w:r>
      <w:r w:rsidRPr="00883399">
        <w:rPr>
          <w:sz w:val="28"/>
        </w:rPr>
        <w:t xml:space="preserve">  Direct measurement at point of consumption or production—criterion AAA</w:t>
      </w:r>
      <w:bookmarkEnd w:id="893"/>
      <w:bookmarkEnd w:id="894"/>
    </w:p>
    <w:p w14:paraId="2B8FB681" w14:textId="77777777" w:rsidR="00872C03" w:rsidRPr="00883399" w:rsidRDefault="00872C03" w:rsidP="00872C03">
      <w:pPr>
        <w:pStyle w:val="subsection"/>
        <w:rPr>
          <w:sz w:val="24"/>
        </w:rPr>
      </w:pPr>
      <w:r w:rsidRPr="00883399">
        <w:rPr>
          <w:sz w:val="24"/>
        </w:rPr>
        <w:tab/>
        <w:t>(1)</w:t>
      </w:r>
      <w:r w:rsidRPr="00883399">
        <w:rPr>
          <w:sz w:val="24"/>
        </w:rPr>
        <w:tab/>
        <w:t>For paragraph 4.35(c), criterion AAA is the direct measurement during the year of:</w:t>
      </w:r>
    </w:p>
    <w:p w14:paraId="43594B34" w14:textId="77777777" w:rsidR="00872C03" w:rsidRPr="00883399" w:rsidRDefault="00872C03" w:rsidP="00872C03">
      <w:pPr>
        <w:pStyle w:val="paragraph"/>
        <w:rPr>
          <w:sz w:val="24"/>
        </w:rPr>
      </w:pPr>
      <w:r w:rsidRPr="00883399">
        <w:rPr>
          <w:sz w:val="24"/>
        </w:rPr>
        <w:tab/>
        <w:t>(a)</w:t>
      </w:r>
      <w:r w:rsidRPr="00883399">
        <w:rPr>
          <w:sz w:val="24"/>
        </w:rPr>
        <w:tab/>
        <w:t>the quantities of carbonates consumed from the operation of the activity; or</w:t>
      </w:r>
    </w:p>
    <w:p w14:paraId="53A6E9A6" w14:textId="77777777" w:rsidR="00872C03" w:rsidRPr="00883399" w:rsidRDefault="00872C03" w:rsidP="00872C03">
      <w:pPr>
        <w:pStyle w:val="paragraph"/>
        <w:rPr>
          <w:sz w:val="24"/>
        </w:rPr>
      </w:pPr>
      <w:r w:rsidRPr="00883399">
        <w:rPr>
          <w:sz w:val="24"/>
        </w:rPr>
        <w:tab/>
        <w:t>(b)</w:t>
      </w:r>
      <w:r w:rsidRPr="00883399">
        <w:rPr>
          <w:sz w:val="24"/>
        </w:rPr>
        <w:tab/>
        <w:t>the quantities of products derived from carbonates produced from the operation of the activity.</w:t>
      </w:r>
    </w:p>
    <w:p w14:paraId="455E6464" w14:textId="77777777" w:rsidR="00872C03" w:rsidRPr="00883399" w:rsidRDefault="00872C03" w:rsidP="00872C03">
      <w:pPr>
        <w:pStyle w:val="subsection"/>
        <w:rPr>
          <w:sz w:val="24"/>
        </w:rPr>
      </w:pPr>
      <w:r w:rsidRPr="00883399">
        <w:rPr>
          <w:sz w:val="24"/>
        </w:rPr>
        <w:tab/>
        <w:t>(2)</w:t>
      </w:r>
      <w:r w:rsidRPr="00883399">
        <w:rPr>
          <w:sz w:val="24"/>
        </w:rPr>
        <w:tab/>
        <w:t>The measurement must be:</w:t>
      </w:r>
    </w:p>
    <w:p w14:paraId="513E170F" w14:textId="77777777" w:rsidR="00872C03" w:rsidRPr="00883399" w:rsidRDefault="00872C03" w:rsidP="00872C03">
      <w:pPr>
        <w:pStyle w:val="paragraph"/>
        <w:rPr>
          <w:sz w:val="24"/>
        </w:rPr>
      </w:pPr>
      <w:r w:rsidRPr="00883399">
        <w:rPr>
          <w:sz w:val="24"/>
        </w:rPr>
        <w:tab/>
        <w:t>(a)</w:t>
      </w:r>
      <w:r w:rsidRPr="00883399">
        <w:rPr>
          <w:sz w:val="24"/>
        </w:rPr>
        <w:tab/>
        <w:t>carried out using measuring equipment calibrated to a measurement requirement; or</w:t>
      </w:r>
    </w:p>
    <w:p w14:paraId="56078645" w14:textId="77777777" w:rsidR="00872C03" w:rsidRPr="00883399" w:rsidRDefault="00872C03" w:rsidP="00872C03">
      <w:pPr>
        <w:pStyle w:val="paragraph"/>
        <w:rPr>
          <w:sz w:val="24"/>
        </w:rPr>
      </w:pPr>
      <w:r w:rsidRPr="00883399">
        <w:rPr>
          <w:sz w:val="24"/>
        </w:rPr>
        <w:tab/>
        <w:t>(b)</w:t>
      </w:r>
      <w:r w:rsidRPr="00883399">
        <w:rPr>
          <w:sz w:val="24"/>
        </w:rPr>
        <w:tab/>
        <w:t>for measurement of the quantities of carbonates consumed from the operation of the activity—carried out at the point of sale using measuring equipment calibrated to a measurement requirement.</w:t>
      </w:r>
    </w:p>
    <w:p w14:paraId="79B6ED83" w14:textId="77777777" w:rsidR="00872C03" w:rsidRPr="00883399" w:rsidRDefault="00872C03" w:rsidP="00872C03">
      <w:pPr>
        <w:pStyle w:val="subsection"/>
        <w:rPr>
          <w:sz w:val="24"/>
        </w:rPr>
      </w:pPr>
      <w:r w:rsidRPr="00883399">
        <w:rPr>
          <w:sz w:val="24"/>
        </w:rPr>
        <w:lastRenderedPageBreak/>
        <w:tab/>
        <w:t>(3)</w:t>
      </w:r>
      <w:r w:rsidRPr="00883399">
        <w:rPr>
          <w:sz w:val="24"/>
        </w:rPr>
        <w:tab/>
        <w:t>Paragraph (2)(b) only applies if:</w:t>
      </w:r>
    </w:p>
    <w:p w14:paraId="79C2C2BB" w14:textId="77777777" w:rsidR="00872C03" w:rsidRPr="00883399" w:rsidRDefault="00872C03" w:rsidP="00872C03">
      <w:pPr>
        <w:pStyle w:val="paragraph"/>
        <w:rPr>
          <w:sz w:val="24"/>
        </w:rPr>
      </w:pPr>
      <w:r w:rsidRPr="00883399">
        <w:rPr>
          <w:sz w:val="24"/>
        </w:rPr>
        <w:tab/>
        <w:t>(a)</w:t>
      </w:r>
      <w:r w:rsidRPr="00883399">
        <w:rPr>
          <w:sz w:val="24"/>
        </w:rPr>
        <w:tab/>
        <w:t>the change in the stockpile of the carbonates for the activity during the year is less than 1% of total consumption of the carbonates from the operation of the activity on average during the year; and</w:t>
      </w:r>
    </w:p>
    <w:p w14:paraId="3FB581C9" w14:textId="77777777" w:rsidR="00872C03" w:rsidRPr="00883399" w:rsidRDefault="00872C03" w:rsidP="00872C03">
      <w:pPr>
        <w:pStyle w:val="paragraph"/>
        <w:rPr>
          <w:sz w:val="24"/>
        </w:rPr>
      </w:pPr>
      <w:r w:rsidRPr="00883399">
        <w:rPr>
          <w:sz w:val="24"/>
        </w:rPr>
        <w:tab/>
        <w:t>(b)</w:t>
      </w:r>
      <w:r w:rsidRPr="00883399">
        <w:rPr>
          <w:sz w:val="24"/>
        </w:rPr>
        <w:tab/>
        <w:t>the stockpile of the carbonates for the activity at the beginning of the year is less than 5% of total consumption of the carbonates from the operation of the activity during the year.</w:t>
      </w:r>
    </w:p>
    <w:p w14:paraId="3140CD9E" w14:textId="208E5AEC" w:rsidR="00872C03" w:rsidRPr="00883399" w:rsidRDefault="00872C03" w:rsidP="00872C03">
      <w:pPr>
        <w:pStyle w:val="ActHead5"/>
        <w:rPr>
          <w:sz w:val="28"/>
        </w:rPr>
      </w:pPr>
      <w:bookmarkStart w:id="895" w:name="_Toc423517045"/>
      <w:bookmarkStart w:id="896" w:name="_Toc495652977"/>
      <w:r w:rsidRPr="00883399">
        <w:rPr>
          <w:rStyle w:val="CharSectno"/>
          <w:sz w:val="28"/>
        </w:rPr>
        <w:t>4.38</w:t>
      </w:r>
      <w:r w:rsidRPr="00883399">
        <w:rPr>
          <w:sz w:val="28"/>
        </w:rPr>
        <w:t xml:space="preserve">  Acquisition or use or disposal without commercial transaction—criterion BBB</w:t>
      </w:r>
      <w:bookmarkEnd w:id="895"/>
      <w:bookmarkEnd w:id="896"/>
    </w:p>
    <w:p w14:paraId="1E1CF8D2" w14:textId="77777777" w:rsidR="00872C03" w:rsidRPr="00883399" w:rsidRDefault="00872C03" w:rsidP="00872C03">
      <w:pPr>
        <w:pStyle w:val="subsection"/>
        <w:rPr>
          <w:sz w:val="24"/>
        </w:rPr>
      </w:pPr>
      <w:r w:rsidRPr="00883399">
        <w:rPr>
          <w:sz w:val="24"/>
        </w:rPr>
        <w:tab/>
      </w:r>
      <w:r w:rsidRPr="00883399">
        <w:rPr>
          <w:sz w:val="24"/>
        </w:rPr>
        <w:tab/>
        <w:t>For paragraph 4.35(d), criterion BBB is the estimation of the consumption of carbonates, or the products derived from carbonates, during the year in accordance with industry practice if the equipment used to measure consumption of the carbonates, or the products derived from carbonates, is not calibrated to a measurement requirement.</w:t>
      </w:r>
    </w:p>
    <w:p w14:paraId="588262A2" w14:textId="2562B435" w:rsidR="00872C03" w:rsidRPr="00883399" w:rsidRDefault="00872C03" w:rsidP="00872C03">
      <w:pPr>
        <w:pStyle w:val="ActHead5"/>
        <w:rPr>
          <w:sz w:val="28"/>
        </w:rPr>
      </w:pPr>
      <w:bookmarkStart w:id="897" w:name="_Toc423517046"/>
      <w:bookmarkStart w:id="898" w:name="_Toc495652978"/>
      <w:r w:rsidRPr="00883399">
        <w:rPr>
          <w:rStyle w:val="CharSectno"/>
          <w:sz w:val="28"/>
        </w:rPr>
        <w:t>4.39</w:t>
      </w:r>
      <w:r w:rsidRPr="00883399">
        <w:rPr>
          <w:sz w:val="28"/>
        </w:rPr>
        <w:t xml:space="preserve">  Units of measurement</w:t>
      </w:r>
      <w:bookmarkEnd w:id="897"/>
      <w:bookmarkEnd w:id="898"/>
    </w:p>
    <w:p w14:paraId="1D0ED298" w14:textId="77777777" w:rsidR="00872C03" w:rsidRPr="00883399" w:rsidRDefault="00872C03" w:rsidP="00872C03">
      <w:pPr>
        <w:pStyle w:val="subsection"/>
        <w:rPr>
          <w:sz w:val="24"/>
        </w:rPr>
      </w:pPr>
      <w:r w:rsidRPr="00883399">
        <w:rPr>
          <w:sz w:val="24"/>
        </w:rPr>
        <w:tab/>
      </w:r>
      <w:r w:rsidRPr="00883399">
        <w:rPr>
          <w:sz w:val="24"/>
        </w:rPr>
        <w:tab/>
        <w:t>Measurements of carbonates and products derived from carbonates must be converted to units of tonnes.</w:t>
      </w:r>
    </w:p>
    <w:p w14:paraId="5CB1E0B7" w14:textId="6CEEE976" w:rsidR="00872C03" w:rsidRPr="00883399" w:rsidRDefault="00872C03" w:rsidP="00872C03">
      <w:pPr>
        <w:pStyle w:val="ActHead2"/>
        <w:pageBreakBefore/>
        <w:rPr>
          <w:sz w:val="36"/>
        </w:rPr>
      </w:pPr>
      <w:bookmarkStart w:id="899" w:name="_Toc423517047"/>
      <w:bookmarkStart w:id="900" w:name="_Toc495652979"/>
      <w:r w:rsidRPr="00883399">
        <w:rPr>
          <w:rStyle w:val="CharPartNo"/>
          <w:sz w:val="36"/>
        </w:rPr>
        <w:lastRenderedPageBreak/>
        <w:t>Part 4.3</w:t>
      </w:r>
      <w:r w:rsidRPr="00883399">
        <w:rPr>
          <w:sz w:val="36"/>
        </w:rPr>
        <w:t>—</w:t>
      </w:r>
      <w:r w:rsidRPr="00883399">
        <w:rPr>
          <w:rStyle w:val="CharPartText"/>
          <w:sz w:val="36"/>
        </w:rPr>
        <w:t>Industrial processes—chemical industry</w:t>
      </w:r>
      <w:bookmarkEnd w:id="899"/>
      <w:bookmarkEnd w:id="900"/>
    </w:p>
    <w:p w14:paraId="2F06C1F8" w14:textId="77777777" w:rsidR="00872C03" w:rsidRPr="00883399" w:rsidRDefault="00872C03" w:rsidP="00872C03">
      <w:pPr>
        <w:pStyle w:val="Text"/>
        <w:rPr>
          <w:rFonts w:ascii="Arial" w:hAnsi="Arial" w:cs="Arial"/>
          <w:sz w:val="22"/>
          <w:szCs w:val="22"/>
        </w:rPr>
      </w:pPr>
      <w:bookmarkStart w:id="901" w:name="_Toc423517048"/>
      <w:r w:rsidRPr="00883399">
        <w:rPr>
          <w:rFonts w:ascii="Arial" w:hAnsi="Arial" w:cs="Arial"/>
          <w:sz w:val="22"/>
          <w:szCs w:val="22"/>
        </w:rPr>
        <w:t xml:space="preserve">This Part applies to any chemical industry that generates emissions of carbon dioxide through the use of fuels as feedstocks or as carbon reductants, as described below.  Nitric acid production is also addressed in this chapter.  </w:t>
      </w:r>
    </w:p>
    <w:p w14:paraId="314C19BE"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It is intended that the quantities of fuels consumed for industrial process purposes are to be estimated in accordance with the same criteria as has been set out for fuels consumption in Chapter 2.    </w:t>
      </w:r>
    </w:p>
    <w:p w14:paraId="4F844EE9" w14:textId="77777777" w:rsidR="00872C03" w:rsidRPr="00883399" w:rsidRDefault="00872C03" w:rsidP="00872C03">
      <w:pPr>
        <w:pStyle w:val="Text"/>
        <w:rPr>
          <w:rFonts w:ascii="Arial" w:hAnsi="Arial" w:cs="Arial"/>
          <w:sz w:val="22"/>
          <w:szCs w:val="22"/>
        </w:rPr>
      </w:pPr>
      <w:r w:rsidRPr="00883399">
        <w:rPr>
          <w:rFonts w:ascii="Arial" w:hAnsi="Arial" w:cs="Arial"/>
          <w:sz w:val="22"/>
          <w:szCs w:val="22"/>
        </w:rPr>
        <w:t xml:space="preserve">Other sources of emissions arising from the production of the products listed below, such as from the combustion of fuels for energy purposes, are not described in this chapter and must be estimated using the Methods described in other chapters.   </w:t>
      </w:r>
    </w:p>
    <w:p w14:paraId="21D42606" w14:textId="031ACC58" w:rsidR="00872C03" w:rsidRPr="00883399" w:rsidRDefault="00872C03" w:rsidP="00872C03">
      <w:pPr>
        <w:pStyle w:val="ActHead3"/>
        <w:rPr>
          <w:sz w:val="32"/>
        </w:rPr>
      </w:pPr>
      <w:bookmarkStart w:id="902" w:name="_Toc495652980"/>
      <w:r w:rsidRPr="00883399">
        <w:rPr>
          <w:rStyle w:val="CharDivNo"/>
          <w:sz w:val="32"/>
        </w:rPr>
        <w:t>Division 4.3.1</w:t>
      </w:r>
      <w:r w:rsidRPr="00883399">
        <w:rPr>
          <w:sz w:val="32"/>
        </w:rPr>
        <w:t>—</w:t>
      </w:r>
      <w:r w:rsidRPr="00883399">
        <w:rPr>
          <w:rStyle w:val="CharDivText"/>
          <w:sz w:val="32"/>
        </w:rPr>
        <w:t>Ammonia production</w:t>
      </w:r>
      <w:bookmarkEnd w:id="901"/>
      <w:bookmarkEnd w:id="902"/>
    </w:p>
    <w:p w14:paraId="62C384CD" w14:textId="77777777" w:rsidR="00872C03" w:rsidRPr="00883399" w:rsidRDefault="00872C03" w:rsidP="00872C03">
      <w:pPr>
        <w:pStyle w:val="Text"/>
        <w:rPr>
          <w:rStyle w:val="CharSchPTText"/>
          <w:rFonts w:ascii="Arial" w:hAnsi="Arial" w:cs="Arial"/>
          <w:sz w:val="22"/>
          <w:szCs w:val="22"/>
        </w:rPr>
      </w:pPr>
      <w:bookmarkStart w:id="903" w:name="_Toc423517049"/>
      <w:r w:rsidRPr="00883399">
        <w:rPr>
          <w:rStyle w:val="CharSchPTText"/>
          <w:rFonts w:ascii="Arial" w:hAnsi="Arial" w:cs="Arial"/>
          <w:sz w:val="22"/>
          <w:szCs w:val="22"/>
        </w:rPr>
        <w:t>Ammonia production involves the consumption of fossil fuel for both energy and non-energy purposes. CO</w:t>
      </w:r>
      <w:r w:rsidRPr="00883399">
        <w:rPr>
          <w:rStyle w:val="CharSchPTText"/>
          <w:rFonts w:ascii="Arial" w:hAnsi="Arial" w:cs="Arial"/>
          <w:sz w:val="22"/>
          <w:szCs w:val="22"/>
          <w:vertAlign w:val="subscript"/>
        </w:rPr>
        <w:t>2</w:t>
      </w:r>
      <w:r w:rsidRPr="00883399">
        <w:rPr>
          <w:rStyle w:val="CharSchPTText"/>
          <w:rFonts w:ascii="Arial" w:hAnsi="Arial" w:cs="Arial"/>
          <w:sz w:val="22"/>
          <w:szCs w:val="22"/>
        </w:rPr>
        <w:t xml:space="preserve"> emissions are generated in the primary steam reforming process in which the source of fuel, commonly natural gas, is used to derive hydrogen.</w:t>
      </w:r>
    </w:p>
    <w:p w14:paraId="01CA9766" w14:textId="77777777" w:rsidR="00872C03" w:rsidRPr="00883399" w:rsidRDefault="00872C03" w:rsidP="00872C03">
      <w:pPr>
        <w:pStyle w:val="Text"/>
        <w:rPr>
          <w:rStyle w:val="CharSchPTText"/>
          <w:rFonts w:ascii="Arial" w:hAnsi="Arial" w:cs="Arial"/>
          <w:sz w:val="22"/>
          <w:szCs w:val="22"/>
        </w:rPr>
      </w:pPr>
      <w:r w:rsidRPr="00883399">
        <w:rPr>
          <w:rStyle w:val="CharSchPTText"/>
          <w:rFonts w:ascii="Arial" w:hAnsi="Arial" w:cs="Arial"/>
          <w:sz w:val="22"/>
          <w:szCs w:val="22"/>
        </w:rPr>
        <w:t>Emissions from the use of natural gas for its energy value should be separated from its non-energy purposes, if possible.   Emissions and fuels consumed for energy should be estimated using Methods provided under Chapter 2. Emissions and fuel use as an input into ammonia production should be estimated using Methods provided in this Division.  If this separation cannot be completed then, in order to minimise the risk of duplication or omission, all emissions from the use of gas in ammonia production should be included within the industrial processes sector using methods detailed in this Division.</w:t>
      </w:r>
    </w:p>
    <w:p w14:paraId="541EDF3F" w14:textId="77777777" w:rsidR="00872C03" w:rsidRPr="00883399" w:rsidRDefault="00872C03" w:rsidP="00872C03">
      <w:pPr>
        <w:spacing w:before="240" w:line="312" w:lineRule="auto"/>
        <w:rPr>
          <w:rFonts w:ascii="Arial" w:hAnsi="Arial" w:cs="Arial"/>
          <w:sz w:val="22"/>
          <w:szCs w:val="22"/>
        </w:rPr>
      </w:pPr>
      <w:bookmarkStart w:id="904" w:name="_Toc265135461"/>
      <w:r w:rsidRPr="00883399">
        <w:rPr>
          <w:rFonts w:ascii="Arial" w:hAnsi="Arial" w:cs="Arial"/>
          <w:sz w:val="22"/>
          <w:szCs w:val="22"/>
        </w:rPr>
        <w:t>In order to deduct carbon dioxide captured for permanent storage reporters are required to use Method 2 or higher. These higher order methods provide a more accurate estimate of the carbon dioxide emissions than under Method 1, the default method. As the carbon dioxide captured is deducted from the emissions estimate it is necessary to have a greater level of accuracy in the emissions estimate than is achieved using Method 1.</w:t>
      </w:r>
      <w:bookmarkEnd w:id="904"/>
      <w:r w:rsidRPr="00883399">
        <w:rPr>
          <w:rFonts w:ascii="Arial" w:hAnsi="Arial" w:cs="Arial"/>
          <w:sz w:val="22"/>
          <w:szCs w:val="22"/>
        </w:rPr>
        <w:t xml:space="preserve"> </w:t>
      </w:r>
    </w:p>
    <w:p w14:paraId="3F6760C3" w14:textId="28BEE21D" w:rsidR="00872C03" w:rsidRPr="00883399" w:rsidRDefault="00872C03" w:rsidP="00872C03">
      <w:pPr>
        <w:pStyle w:val="ActHead5"/>
        <w:rPr>
          <w:sz w:val="28"/>
        </w:rPr>
      </w:pPr>
      <w:bookmarkStart w:id="905" w:name="_Toc495652981"/>
      <w:r w:rsidRPr="00883399">
        <w:rPr>
          <w:rStyle w:val="CharSectno"/>
          <w:sz w:val="28"/>
        </w:rPr>
        <w:lastRenderedPageBreak/>
        <w:t>4.40</w:t>
      </w:r>
      <w:r w:rsidRPr="00883399">
        <w:rPr>
          <w:sz w:val="28"/>
        </w:rPr>
        <w:t xml:space="preserve">  Application</w:t>
      </w:r>
      <w:bookmarkEnd w:id="903"/>
      <w:bookmarkEnd w:id="905"/>
    </w:p>
    <w:p w14:paraId="7BF7E065" w14:textId="77777777" w:rsidR="00872C03" w:rsidRPr="00883399" w:rsidRDefault="00872C03" w:rsidP="00872C03">
      <w:pPr>
        <w:pStyle w:val="subsection"/>
        <w:rPr>
          <w:sz w:val="24"/>
        </w:rPr>
      </w:pPr>
      <w:r w:rsidRPr="00883399">
        <w:rPr>
          <w:sz w:val="24"/>
        </w:rPr>
        <w:tab/>
      </w:r>
      <w:r w:rsidRPr="00883399">
        <w:rPr>
          <w:sz w:val="24"/>
        </w:rPr>
        <w:tab/>
        <w:t>This Division applies to chemical industry ammonia production.</w:t>
      </w:r>
    </w:p>
    <w:p w14:paraId="6F686E70" w14:textId="61DCD9A3" w:rsidR="00872C03" w:rsidRPr="00883399" w:rsidRDefault="00872C03" w:rsidP="00872C03">
      <w:pPr>
        <w:pStyle w:val="ActHead5"/>
        <w:rPr>
          <w:sz w:val="28"/>
        </w:rPr>
      </w:pPr>
      <w:bookmarkStart w:id="906" w:name="_Toc423517050"/>
      <w:bookmarkStart w:id="907" w:name="_Toc495652982"/>
      <w:r w:rsidRPr="00883399">
        <w:rPr>
          <w:rStyle w:val="CharSectno"/>
          <w:sz w:val="28"/>
        </w:rPr>
        <w:t>4.41</w:t>
      </w:r>
      <w:r w:rsidRPr="00883399">
        <w:rPr>
          <w:sz w:val="28"/>
        </w:rPr>
        <w:t xml:space="preserve">  Available methods</w:t>
      </w:r>
      <w:bookmarkEnd w:id="906"/>
      <w:bookmarkEnd w:id="907"/>
    </w:p>
    <w:p w14:paraId="1461A052" w14:textId="77777777" w:rsidR="00872C03" w:rsidRPr="00883399" w:rsidRDefault="00872C03" w:rsidP="00872C03">
      <w:pPr>
        <w:pStyle w:val="subsection"/>
        <w:rPr>
          <w:sz w:val="24"/>
        </w:rPr>
      </w:pPr>
      <w:r w:rsidRPr="00883399">
        <w:rPr>
          <w:sz w:val="24"/>
        </w:rPr>
        <w:tab/>
        <w:t>(1)</w:t>
      </w:r>
      <w:r w:rsidRPr="00883399">
        <w:rPr>
          <w:sz w:val="24"/>
        </w:rPr>
        <w:tab/>
        <w:t>Subject to section 1.18, one of the following methods must be used for estimating emissions released during a year from the operation of a facility that is constituted by the production of ammonia:</w:t>
      </w:r>
    </w:p>
    <w:p w14:paraId="00503758" w14:textId="77777777" w:rsidR="00872C03" w:rsidRPr="00883399" w:rsidRDefault="00872C03" w:rsidP="00872C03">
      <w:pPr>
        <w:pStyle w:val="paragraph"/>
        <w:rPr>
          <w:sz w:val="24"/>
        </w:rPr>
      </w:pPr>
      <w:r w:rsidRPr="00883399">
        <w:rPr>
          <w:sz w:val="24"/>
        </w:rPr>
        <w:tab/>
        <w:t>(a)</w:t>
      </w:r>
      <w:r w:rsidRPr="00883399">
        <w:rPr>
          <w:sz w:val="24"/>
        </w:rPr>
        <w:tab/>
        <w:t>method 1 under section 4.42;</w:t>
      </w:r>
    </w:p>
    <w:p w14:paraId="2067DE5F" w14:textId="77777777" w:rsidR="00872C03" w:rsidRPr="00883399" w:rsidRDefault="00872C03" w:rsidP="00872C03">
      <w:pPr>
        <w:pStyle w:val="paragraph"/>
        <w:rPr>
          <w:sz w:val="24"/>
        </w:rPr>
      </w:pPr>
      <w:r w:rsidRPr="00883399">
        <w:rPr>
          <w:sz w:val="24"/>
        </w:rPr>
        <w:tab/>
        <w:t>(b)</w:t>
      </w:r>
      <w:r w:rsidRPr="00883399">
        <w:rPr>
          <w:sz w:val="24"/>
        </w:rPr>
        <w:tab/>
        <w:t>method 2 under section 4.43;</w:t>
      </w:r>
    </w:p>
    <w:p w14:paraId="4BCAAD37" w14:textId="77777777" w:rsidR="00872C03" w:rsidRPr="00883399" w:rsidRDefault="00872C03" w:rsidP="00872C03">
      <w:pPr>
        <w:pStyle w:val="paragraph"/>
        <w:rPr>
          <w:sz w:val="24"/>
        </w:rPr>
      </w:pPr>
      <w:r w:rsidRPr="00883399">
        <w:rPr>
          <w:sz w:val="24"/>
        </w:rPr>
        <w:tab/>
        <w:t>(c)</w:t>
      </w:r>
      <w:r w:rsidRPr="00883399">
        <w:rPr>
          <w:sz w:val="24"/>
        </w:rPr>
        <w:tab/>
        <w:t>method 3 under section 4.44;</w:t>
      </w:r>
    </w:p>
    <w:p w14:paraId="396402E1" w14:textId="77777777" w:rsidR="00872C03" w:rsidRPr="00883399" w:rsidRDefault="00872C03" w:rsidP="00872C03">
      <w:pPr>
        <w:pStyle w:val="paragraph"/>
        <w:rPr>
          <w:sz w:val="24"/>
        </w:rPr>
      </w:pPr>
      <w:r w:rsidRPr="00883399">
        <w:rPr>
          <w:sz w:val="24"/>
        </w:rPr>
        <w:tab/>
        <w:t>(d)</w:t>
      </w:r>
      <w:r w:rsidRPr="00883399">
        <w:rPr>
          <w:sz w:val="24"/>
        </w:rPr>
        <w:tab/>
        <w:t>method 4 under Part 1.3.</w:t>
      </w:r>
    </w:p>
    <w:p w14:paraId="4CCF3ACB" w14:textId="77777777" w:rsidR="00872C03" w:rsidRPr="00883399" w:rsidRDefault="00872C03" w:rsidP="00872C03">
      <w:pPr>
        <w:pStyle w:val="subsection"/>
        <w:rPr>
          <w:sz w:val="24"/>
        </w:rPr>
      </w:pPr>
      <w:r w:rsidRPr="00883399">
        <w:rPr>
          <w:sz w:val="24"/>
        </w:rPr>
        <w:tab/>
        <w:t>(2)</w:t>
      </w:r>
      <w:r w:rsidRPr="00883399">
        <w:rPr>
          <w:sz w:val="24"/>
        </w:rPr>
        <w:tab/>
        <w:t>However, for incidental emissions another method may be used that is consistent with the principles in section 1.13.</w:t>
      </w:r>
    </w:p>
    <w:p w14:paraId="450F5B68" w14:textId="77777777" w:rsidR="00872C03" w:rsidRPr="00883399" w:rsidRDefault="00872C03" w:rsidP="00872C03">
      <w:pPr>
        <w:pStyle w:val="R2"/>
        <w:ind w:hanging="62"/>
        <w:rPr>
          <w:b/>
        </w:rPr>
      </w:pPr>
      <w:r w:rsidRPr="00883399">
        <w:rPr>
          <w:b/>
        </w:rPr>
        <w:t>Summary of available methods, for estimating emissions from ammonia production, by emissions of gas type (j)</w:t>
      </w:r>
    </w:p>
    <w:tbl>
      <w:tblPr>
        <w:tblpPr w:leftFromText="180" w:rightFromText="180" w:vertAnchor="text" w:tblpX="106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6"/>
        <w:gridCol w:w="1673"/>
        <w:gridCol w:w="1587"/>
        <w:gridCol w:w="1798"/>
      </w:tblGrid>
      <w:tr w:rsidR="00872C03" w:rsidRPr="00883399" w14:paraId="1B35871A" w14:textId="77777777" w:rsidTr="0031057E">
        <w:tc>
          <w:tcPr>
            <w:tcW w:w="2396" w:type="dxa"/>
            <w:shd w:val="clear" w:color="auto" w:fill="E6E6E6"/>
          </w:tcPr>
          <w:p w14:paraId="79328091" w14:textId="77777777" w:rsidR="00872C03" w:rsidRPr="00883399" w:rsidRDefault="00872C03" w:rsidP="0031057E">
            <w:pPr>
              <w:pStyle w:val="Text"/>
              <w:rPr>
                <w:sz w:val="24"/>
                <w:szCs w:val="24"/>
              </w:rPr>
            </w:pPr>
          </w:p>
        </w:tc>
        <w:tc>
          <w:tcPr>
            <w:tcW w:w="1673" w:type="dxa"/>
            <w:shd w:val="clear" w:color="auto" w:fill="E6E6E6"/>
          </w:tcPr>
          <w:p w14:paraId="217B2813" w14:textId="77777777" w:rsidR="00872C03" w:rsidRPr="00883399" w:rsidRDefault="00872C03" w:rsidP="0031057E">
            <w:pPr>
              <w:pStyle w:val="Text"/>
              <w:rPr>
                <w:sz w:val="24"/>
                <w:szCs w:val="24"/>
              </w:rPr>
            </w:pPr>
            <w:r w:rsidRPr="00883399">
              <w:t>CO</w:t>
            </w:r>
            <w:r w:rsidRPr="00883399">
              <w:rPr>
                <w:vertAlign w:val="subscript"/>
              </w:rPr>
              <w:t>2</w:t>
            </w:r>
          </w:p>
        </w:tc>
        <w:tc>
          <w:tcPr>
            <w:tcW w:w="1587" w:type="dxa"/>
            <w:shd w:val="clear" w:color="auto" w:fill="E6E6E6"/>
          </w:tcPr>
          <w:p w14:paraId="0CBD1BE0" w14:textId="77777777" w:rsidR="00872C03" w:rsidRPr="00883399" w:rsidRDefault="00872C03" w:rsidP="0031057E">
            <w:pPr>
              <w:pStyle w:val="Text"/>
              <w:rPr>
                <w:sz w:val="24"/>
                <w:szCs w:val="24"/>
              </w:rPr>
            </w:pPr>
            <w:r w:rsidRPr="00883399">
              <w:t>CH</w:t>
            </w:r>
            <w:r w:rsidRPr="00883399">
              <w:rPr>
                <w:vertAlign w:val="subscript"/>
              </w:rPr>
              <w:t>4</w:t>
            </w:r>
          </w:p>
        </w:tc>
        <w:tc>
          <w:tcPr>
            <w:tcW w:w="1798" w:type="dxa"/>
            <w:shd w:val="clear" w:color="auto" w:fill="E6E6E6"/>
          </w:tcPr>
          <w:p w14:paraId="4DE311FA" w14:textId="77777777" w:rsidR="00872C03" w:rsidRPr="00883399" w:rsidRDefault="00872C03" w:rsidP="0031057E">
            <w:pPr>
              <w:pStyle w:val="Text"/>
              <w:rPr>
                <w:sz w:val="24"/>
                <w:szCs w:val="24"/>
              </w:rPr>
            </w:pPr>
            <w:r w:rsidRPr="00883399">
              <w:t>N</w:t>
            </w:r>
            <w:r w:rsidRPr="00883399">
              <w:rPr>
                <w:vertAlign w:val="subscript"/>
              </w:rPr>
              <w:t>2</w:t>
            </w:r>
            <w:r w:rsidRPr="00883399">
              <w:t>O</w:t>
            </w:r>
          </w:p>
        </w:tc>
      </w:tr>
      <w:tr w:rsidR="00872C03" w:rsidRPr="00883399" w14:paraId="38A2BE91" w14:textId="77777777" w:rsidTr="0031057E">
        <w:tc>
          <w:tcPr>
            <w:tcW w:w="2396" w:type="dxa"/>
          </w:tcPr>
          <w:p w14:paraId="6F8CBDC5" w14:textId="77777777" w:rsidR="00872C03" w:rsidRPr="00883399" w:rsidRDefault="00872C03" w:rsidP="0031057E">
            <w:pPr>
              <w:pStyle w:val="Text"/>
              <w:spacing w:before="120" w:line="240" w:lineRule="auto"/>
              <w:rPr>
                <w:rFonts w:ascii="Arial" w:hAnsi="Arial"/>
                <w:b/>
                <w:i/>
                <w:sz w:val="32"/>
                <w:szCs w:val="24"/>
              </w:rPr>
            </w:pPr>
            <w:r w:rsidRPr="00883399">
              <w:t>Method 1</w:t>
            </w:r>
          </w:p>
        </w:tc>
        <w:tc>
          <w:tcPr>
            <w:tcW w:w="1673" w:type="dxa"/>
          </w:tcPr>
          <w:p w14:paraId="055919CB" w14:textId="77777777" w:rsidR="00872C03" w:rsidRPr="00883399" w:rsidRDefault="00872C03" w:rsidP="0031057E">
            <w:pPr>
              <w:pStyle w:val="Text"/>
              <w:spacing w:before="120" w:line="240" w:lineRule="auto"/>
              <w:rPr>
                <w:rFonts w:ascii="Arial" w:hAnsi="Arial"/>
                <w:b/>
                <w:sz w:val="32"/>
                <w:szCs w:val="24"/>
              </w:rPr>
            </w:pPr>
            <w:r w:rsidRPr="00883399">
              <w:t>Section 4.42</w:t>
            </w:r>
          </w:p>
        </w:tc>
        <w:tc>
          <w:tcPr>
            <w:tcW w:w="1587" w:type="dxa"/>
          </w:tcPr>
          <w:p w14:paraId="463F3186" w14:textId="77777777" w:rsidR="00872C03" w:rsidRPr="00883399" w:rsidRDefault="00872C03" w:rsidP="0031057E">
            <w:pPr>
              <w:pStyle w:val="Text"/>
              <w:spacing w:before="120" w:line="240" w:lineRule="auto"/>
              <w:rPr>
                <w:rFonts w:ascii="Arial" w:hAnsi="Arial"/>
                <w:b/>
                <w:sz w:val="32"/>
                <w:szCs w:val="24"/>
              </w:rPr>
            </w:pPr>
            <w:r w:rsidRPr="00883399">
              <w:t>NO</w:t>
            </w:r>
          </w:p>
        </w:tc>
        <w:tc>
          <w:tcPr>
            <w:tcW w:w="1798" w:type="dxa"/>
          </w:tcPr>
          <w:p w14:paraId="015BC50A" w14:textId="77777777" w:rsidR="00872C03" w:rsidRPr="00883399" w:rsidRDefault="00872C03" w:rsidP="0031057E">
            <w:pPr>
              <w:pStyle w:val="Text"/>
              <w:spacing w:before="120" w:line="240" w:lineRule="auto"/>
              <w:rPr>
                <w:rFonts w:ascii="Arial" w:hAnsi="Arial"/>
                <w:b/>
                <w:sz w:val="32"/>
                <w:szCs w:val="24"/>
              </w:rPr>
            </w:pPr>
            <w:r w:rsidRPr="00883399">
              <w:t>NO</w:t>
            </w:r>
          </w:p>
        </w:tc>
      </w:tr>
      <w:tr w:rsidR="00872C03" w:rsidRPr="00883399" w14:paraId="46278ABE" w14:textId="77777777" w:rsidTr="0031057E">
        <w:tc>
          <w:tcPr>
            <w:tcW w:w="2396" w:type="dxa"/>
          </w:tcPr>
          <w:p w14:paraId="5675816A" w14:textId="77777777" w:rsidR="00872C03" w:rsidRPr="00883399" w:rsidRDefault="00872C03" w:rsidP="0031057E">
            <w:pPr>
              <w:pStyle w:val="Text"/>
              <w:spacing w:before="120" w:line="240" w:lineRule="auto"/>
              <w:rPr>
                <w:rFonts w:ascii="Arial" w:hAnsi="Arial"/>
                <w:b/>
                <w:sz w:val="32"/>
                <w:szCs w:val="24"/>
              </w:rPr>
            </w:pPr>
            <w:r w:rsidRPr="00883399">
              <w:t>Method 2</w:t>
            </w:r>
          </w:p>
        </w:tc>
        <w:tc>
          <w:tcPr>
            <w:tcW w:w="1673" w:type="dxa"/>
          </w:tcPr>
          <w:p w14:paraId="74F2A269" w14:textId="77777777" w:rsidR="00872C03" w:rsidRPr="00883399" w:rsidRDefault="00872C03" w:rsidP="0031057E">
            <w:pPr>
              <w:pStyle w:val="Text"/>
              <w:spacing w:before="120" w:line="240" w:lineRule="auto"/>
              <w:rPr>
                <w:rFonts w:ascii="Arial" w:hAnsi="Arial"/>
                <w:b/>
                <w:sz w:val="32"/>
                <w:szCs w:val="24"/>
              </w:rPr>
            </w:pPr>
            <w:r w:rsidRPr="00883399">
              <w:t>Section 4.43</w:t>
            </w:r>
          </w:p>
        </w:tc>
        <w:tc>
          <w:tcPr>
            <w:tcW w:w="1587" w:type="dxa"/>
          </w:tcPr>
          <w:p w14:paraId="1B4D8D5C" w14:textId="77777777" w:rsidR="00872C03" w:rsidRPr="00883399" w:rsidRDefault="00872C03" w:rsidP="0031057E">
            <w:pPr>
              <w:pStyle w:val="Text"/>
              <w:spacing w:before="120" w:line="240" w:lineRule="auto"/>
              <w:rPr>
                <w:rFonts w:ascii="Arial" w:hAnsi="Arial"/>
                <w:b/>
                <w:sz w:val="32"/>
                <w:szCs w:val="24"/>
              </w:rPr>
            </w:pPr>
            <w:r w:rsidRPr="00883399">
              <w:t>NO</w:t>
            </w:r>
          </w:p>
        </w:tc>
        <w:tc>
          <w:tcPr>
            <w:tcW w:w="1798" w:type="dxa"/>
          </w:tcPr>
          <w:p w14:paraId="0934B59A" w14:textId="77777777" w:rsidR="00872C03" w:rsidRPr="00883399" w:rsidRDefault="00872C03" w:rsidP="0031057E">
            <w:pPr>
              <w:pStyle w:val="Text"/>
              <w:spacing w:before="120" w:line="240" w:lineRule="auto"/>
              <w:rPr>
                <w:rFonts w:ascii="Arial" w:hAnsi="Arial"/>
                <w:b/>
                <w:sz w:val="32"/>
                <w:szCs w:val="24"/>
              </w:rPr>
            </w:pPr>
            <w:r w:rsidRPr="00883399">
              <w:t>NO</w:t>
            </w:r>
          </w:p>
        </w:tc>
      </w:tr>
      <w:tr w:rsidR="00872C03" w:rsidRPr="00883399" w14:paraId="41EEAB3D" w14:textId="77777777" w:rsidTr="0031057E">
        <w:tc>
          <w:tcPr>
            <w:tcW w:w="2396" w:type="dxa"/>
          </w:tcPr>
          <w:p w14:paraId="760284E5" w14:textId="77777777" w:rsidR="00872C03" w:rsidRPr="00883399" w:rsidRDefault="00872C03" w:rsidP="0031057E">
            <w:pPr>
              <w:pStyle w:val="Text"/>
              <w:spacing w:before="120" w:line="240" w:lineRule="auto"/>
              <w:rPr>
                <w:rFonts w:ascii="Arial" w:hAnsi="Arial"/>
                <w:b/>
                <w:sz w:val="32"/>
                <w:szCs w:val="24"/>
              </w:rPr>
            </w:pPr>
            <w:r w:rsidRPr="00883399">
              <w:t>Method 3</w:t>
            </w:r>
          </w:p>
        </w:tc>
        <w:tc>
          <w:tcPr>
            <w:tcW w:w="1673" w:type="dxa"/>
          </w:tcPr>
          <w:p w14:paraId="59B13848" w14:textId="77777777" w:rsidR="00872C03" w:rsidRPr="00883399" w:rsidRDefault="00872C03" w:rsidP="0031057E">
            <w:pPr>
              <w:pStyle w:val="Text"/>
              <w:spacing w:before="120" w:line="240" w:lineRule="auto"/>
              <w:rPr>
                <w:rFonts w:ascii="Arial" w:hAnsi="Arial"/>
                <w:b/>
                <w:sz w:val="32"/>
                <w:szCs w:val="24"/>
              </w:rPr>
            </w:pPr>
            <w:r w:rsidRPr="00883399">
              <w:t>Section 4.44</w:t>
            </w:r>
          </w:p>
        </w:tc>
        <w:tc>
          <w:tcPr>
            <w:tcW w:w="1587" w:type="dxa"/>
          </w:tcPr>
          <w:p w14:paraId="7EC8FBFE" w14:textId="77777777" w:rsidR="00872C03" w:rsidRPr="00883399" w:rsidRDefault="00872C03" w:rsidP="0031057E">
            <w:pPr>
              <w:pStyle w:val="Text"/>
              <w:spacing w:before="120" w:line="240" w:lineRule="auto"/>
              <w:rPr>
                <w:rFonts w:ascii="Arial" w:hAnsi="Arial"/>
                <w:b/>
                <w:sz w:val="32"/>
                <w:szCs w:val="24"/>
              </w:rPr>
            </w:pPr>
            <w:r w:rsidRPr="00883399">
              <w:t>NO</w:t>
            </w:r>
          </w:p>
        </w:tc>
        <w:tc>
          <w:tcPr>
            <w:tcW w:w="1798" w:type="dxa"/>
          </w:tcPr>
          <w:p w14:paraId="7F78374E" w14:textId="77777777" w:rsidR="00872C03" w:rsidRPr="00883399" w:rsidRDefault="00872C03" w:rsidP="0031057E">
            <w:pPr>
              <w:pStyle w:val="Text"/>
              <w:spacing w:before="120" w:line="240" w:lineRule="auto"/>
              <w:rPr>
                <w:rFonts w:ascii="Arial" w:hAnsi="Arial"/>
                <w:b/>
                <w:sz w:val="32"/>
                <w:szCs w:val="24"/>
              </w:rPr>
            </w:pPr>
            <w:r w:rsidRPr="00883399">
              <w:t>NO</w:t>
            </w:r>
          </w:p>
        </w:tc>
      </w:tr>
      <w:tr w:rsidR="00872C03" w:rsidRPr="00883399" w14:paraId="10AABB4A" w14:textId="77777777" w:rsidTr="0031057E">
        <w:tc>
          <w:tcPr>
            <w:tcW w:w="2396" w:type="dxa"/>
          </w:tcPr>
          <w:p w14:paraId="7C2C1F65" w14:textId="77777777" w:rsidR="00872C03" w:rsidRPr="00883399" w:rsidRDefault="00872C03" w:rsidP="0031057E">
            <w:pPr>
              <w:pStyle w:val="Text"/>
              <w:spacing w:before="120" w:line="240" w:lineRule="auto"/>
              <w:rPr>
                <w:rFonts w:ascii="Arial" w:hAnsi="Arial"/>
                <w:b/>
                <w:sz w:val="32"/>
                <w:szCs w:val="24"/>
              </w:rPr>
            </w:pPr>
            <w:r w:rsidRPr="00883399">
              <w:t>Method 4</w:t>
            </w:r>
          </w:p>
        </w:tc>
        <w:tc>
          <w:tcPr>
            <w:tcW w:w="1673" w:type="dxa"/>
          </w:tcPr>
          <w:p w14:paraId="43BD5689" w14:textId="77777777" w:rsidR="00872C03" w:rsidRPr="00883399" w:rsidRDefault="00872C03" w:rsidP="0031057E">
            <w:pPr>
              <w:pStyle w:val="Text"/>
              <w:spacing w:before="120" w:line="240" w:lineRule="auto"/>
              <w:rPr>
                <w:rFonts w:ascii="Arial" w:hAnsi="Arial"/>
                <w:b/>
                <w:sz w:val="32"/>
                <w:szCs w:val="24"/>
              </w:rPr>
            </w:pPr>
            <w:r w:rsidRPr="00883399">
              <w:t>Method 4 under Part 1.3.</w:t>
            </w:r>
          </w:p>
        </w:tc>
        <w:tc>
          <w:tcPr>
            <w:tcW w:w="1587" w:type="dxa"/>
          </w:tcPr>
          <w:p w14:paraId="51AD8E86" w14:textId="77777777" w:rsidR="00872C03" w:rsidRPr="00883399" w:rsidRDefault="00872C03" w:rsidP="0031057E">
            <w:pPr>
              <w:pStyle w:val="Text"/>
              <w:spacing w:before="120" w:line="240" w:lineRule="auto"/>
              <w:rPr>
                <w:rFonts w:ascii="Arial" w:hAnsi="Arial"/>
                <w:b/>
                <w:sz w:val="32"/>
                <w:szCs w:val="24"/>
              </w:rPr>
            </w:pPr>
            <w:r w:rsidRPr="00883399">
              <w:t>NO</w:t>
            </w:r>
          </w:p>
        </w:tc>
        <w:tc>
          <w:tcPr>
            <w:tcW w:w="1798" w:type="dxa"/>
          </w:tcPr>
          <w:p w14:paraId="0A4192D5" w14:textId="77777777" w:rsidR="00872C03" w:rsidRPr="00883399" w:rsidRDefault="00872C03" w:rsidP="0031057E">
            <w:pPr>
              <w:pStyle w:val="Text"/>
              <w:spacing w:before="120" w:line="240" w:lineRule="auto"/>
              <w:rPr>
                <w:rFonts w:ascii="Arial" w:hAnsi="Arial"/>
                <w:b/>
                <w:sz w:val="32"/>
                <w:szCs w:val="24"/>
              </w:rPr>
            </w:pPr>
            <w:r w:rsidRPr="00883399">
              <w:t>NO</w:t>
            </w:r>
          </w:p>
        </w:tc>
      </w:tr>
    </w:tbl>
    <w:p w14:paraId="00DFCB6C" w14:textId="77777777" w:rsidR="00872C03" w:rsidRPr="00883399" w:rsidRDefault="00872C03" w:rsidP="00872C03">
      <w:pPr>
        <w:pStyle w:val="R2"/>
        <w:ind w:hanging="62"/>
        <w:rPr>
          <w:sz w:val="20"/>
          <w:szCs w:val="20"/>
        </w:rPr>
      </w:pPr>
      <w:r w:rsidRPr="00883399">
        <w:rPr>
          <w:sz w:val="20"/>
          <w:szCs w:val="20"/>
        </w:rPr>
        <w:t xml:space="preserve">NO = Not occurring. </w:t>
      </w:r>
    </w:p>
    <w:p w14:paraId="248B90EE" w14:textId="704265CE" w:rsidR="00872C03" w:rsidRPr="00883399" w:rsidRDefault="00872C03" w:rsidP="00872C03">
      <w:pPr>
        <w:pStyle w:val="ActHead5"/>
        <w:rPr>
          <w:sz w:val="28"/>
        </w:rPr>
      </w:pPr>
      <w:bookmarkStart w:id="908" w:name="_Toc423517051"/>
      <w:bookmarkStart w:id="909" w:name="_Toc495652983"/>
      <w:r w:rsidRPr="00883399">
        <w:rPr>
          <w:rStyle w:val="CharSectno"/>
          <w:sz w:val="28"/>
        </w:rPr>
        <w:t>4.42</w:t>
      </w:r>
      <w:r w:rsidRPr="00883399">
        <w:rPr>
          <w:sz w:val="28"/>
        </w:rPr>
        <w:t xml:space="preserve">  Method 1—ammonia production</w:t>
      </w:r>
      <w:bookmarkEnd w:id="908"/>
      <w:bookmarkEnd w:id="909"/>
    </w:p>
    <w:p w14:paraId="1943B1C3" w14:textId="77777777" w:rsidR="00872C03" w:rsidRPr="00883399" w:rsidRDefault="00872C03" w:rsidP="00872C03">
      <w:pPr>
        <w:pStyle w:val="R1"/>
        <w:keepLines w:val="0"/>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Method 1 for emissions of carbon dioxide released from the use of fuels as feedstocks in the production of ammonia is derived from the methodology used for the </w:t>
      </w:r>
      <w:r w:rsidRPr="00883399">
        <w:rPr>
          <w:rFonts w:ascii="Arial" w:hAnsi="Arial" w:cs="Arial"/>
          <w:i/>
          <w:sz w:val="22"/>
          <w:szCs w:val="22"/>
        </w:rPr>
        <w:t>National Greenhouse Accounts</w:t>
      </w:r>
      <w:r w:rsidRPr="00883399">
        <w:rPr>
          <w:rFonts w:ascii="Arial" w:hAnsi="Arial" w:cs="Arial"/>
          <w:sz w:val="22"/>
          <w:szCs w:val="22"/>
        </w:rPr>
        <w:t>.</w:t>
      </w:r>
    </w:p>
    <w:p w14:paraId="550746C4" w14:textId="77777777" w:rsidR="00872C03" w:rsidRPr="00883399" w:rsidRDefault="00872C03" w:rsidP="00872C03">
      <w:pPr>
        <w:pStyle w:val="subsection"/>
        <w:rPr>
          <w:sz w:val="24"/>
        </w:rPr>
      </w:pPr>
      <w:r w:rsidRPr="00883399">
        <w:rPr>
          <w:sz w:val="24"/>
        </w:rPr>
        <w:tab/>
        <w:t>(1)</w:t>
      </w:r>
      <w:r w:rsidRPr="00883399">
        <w:rPr>
          <w:sz w:val="24"/>
        </w:rPr>
        <w:tab/>
        <w:t>Method 1 is:</w:t>
      </w:r>
    </w:p>
    <w:p w14:paraId="1332A2E3" w14:textId="7CBC9E7D"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165A48C4" wp14:editId="20A64310">
            <wp:extent cx="1971675" cy="4095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971675" cy="409575"/>
                    </a:xfrm>
                    <a:prstGeom prst="rect">
                      <a:avLst/>
                    </a:prstGeom>
                    <a:noFill/>
                    <a:ln>
                      <a:noFill/>
                    </a:ln>
                  </pic:spPr>
                </pic:pic>
              </a:graphicData>
            </a:graphic>
          </wp:inline>
        </w:drawing>
      </w:r>
    </w:p>
    <w:p w14:paraId="189F99D0" w14:textId="77777777" w:rsidR="00872C03" w:rsidRPr="00883399" w:rsidRDefault="00872C03" w:rsidP="00872C03">
      <w:pPr>
        <w:pStyle w:val="subsection2"/>
        <w:rPr>
          <w:sz w:val="24"/>
        </w:rPr>
      </w:pPr>
      <w:r w:rsidRPr="00883399">
        <w:rPr>
          <w:sz w:val="24"/>
        </w:rPr>
        <w:t>where:</w:t>
      </w:r>
    </w:p>
    <w:p w14:paraId="3DDC6EA5" w14:textId="77777777" w:rsidR="00872C03" w:rsidRPr="00883399" w:rsidRDefault="00872C03" w:rsidP="00872C03">
      <w:pPr>
        <w:pStyle w:val="Definition0"/>
        <w:rPr>
          <w:sz w:val="24"/>
        </w:rPr>
      </w:pPr>
      <w:r w:rsidRPr="00883399">
        <w:rPr>
          <w:b/>
          <w:i/>
          <w:sz w:val="24"/>
        </w:rPr>
        <w:lastRenderedPageBreak/>
        <w:t>E</w:t>
      </w:r>
      <w:r w:rsidRPr="00883399">
        <w:rPr>
          <w:rStyle w:val="charSubscript"/>
          <w:b/>
          <w:i/>
          <w:sz w:val="22"/>
        </w:rPr>
        <w:t>ij</w:t>
      </w:r>
      <w:r w:rsidRPr="00883399">
        <w:rPr>
          <w:b/>
          <w:i/>
          <w:sz w:val="24"/>
        </w:rPr>
        <w:t xml:space="preserve"> </w:t>
      </w:r>
      <w:r w:rsidRPr="00883399">
        <w:rPr>
          <w:sz w:val="24"/>
        </w:rPr>
        <w:t>is the emissions of carbon dioxide</w:t>
      </w:r>
      <w:r w:rsidRPr="00883399">
        <w:rPr>
          <w:rStyle w:val="charSubscript"/>
          <w:sz w:val="22"/>
        </w:rPr>
        <w:t xml:space="preserve"> </w:t>
      </w:r>
      <w:r w:rsidRPr="00883399">
        <w:rPr>
          <w:sz w:val="24"/>
        </w:rPr>
        <w:t>released from the production of ammonia during the year measured in CO</w:t>
      </w:r>
      <w:r w:rsidRPr="00883399">
        <w:rPr>
          <w:sz w:val="24"/>
          <w:vertAlign w:val="subscript"/>
        </w:rPr>
        <w:t>2</w:t>
      </w:r>
      <w:r w:rsidRPr="00883399">
        <w:rPr>
          <w:sz w:val="24"/>
          <w:vertAlign w:val="subscript"/>
        </w:rPr>
        <w:noBreakHyphen/>
      </w:r>
      <w:r w:rsidRPr="00883399">
        <w:rPr>
          <w:sz w:val="24"/>
        </w:rPr>
        <w:t>e tonnes.</w:t>
      </w:r>
    </w:p>
    <w:p w14:paraId="4C8D7E9E" w14:textId="77777777" w:rsidR="00872C03" w:rsidRPr="00883399" w:rsidRDefault="00872C03" w:rsidP="00872C03">
      <w:pPr>
        <w:pStyle w:val="Definition0"/>
        <w:rPr>
          <w:sz w:val="24"/>
        </w:rPr>
      </w:pPr>
      <w:r w:rsidRPr="00883399">
        <w:rPr>
          <w:b/>
          <w:i/>
          <w:sz w:val="24"/>
        </w:rPr>
        <w:t>Q</w:t>
      </w:r>
      <w:r w:rsidRPr="00883399">
        <w:rPr>
          <w:b/>
          <w:i/>
          <w:sz w:val="24"/>
          <w:vertAlign w:val="subscript"/>
        </w:rPr>
        <w:t>i</w:t>
      </w:r>
      <w:r w:rsidRPr="00883399">
        <w:rPr>
          <w:b/>
          <w:i/>
          <w:sz w:val="24"/>
        </w:rPr>
        <w:t xml:space="preserve"> </w:t>
      </w:r>
      <w:r w:rsidRPr="00883399">
        <w:rPr>
          <w:sz w:val="24"/>
        </w:rPr>
        <w:t>is the quantity of each type of feedstock or type of fuel (</w:t>
      </w:r>
      <w:r w:rsidRPr="00883399">
        <w:rPr>
          <w:b/>
          <w:i/>
          <w:sz w:val="24"/>
        </w:rPr>
        <w:t>i</w:t>
      </w:r>
      <w:r w:rsidRPr="00883399">
        <w:rPr>
          <w:sz w:val="24"/>
        </w:rPr>
        <w:t>) consumed from the production of ammonia during the year, measured in the appropriate unit and estimated using a criterion in Division 2.3.6.</w:t>
      </w:r>
    </w:p>
    <w:p w14:paraId="6B3F4298" w14:textId="77777777" w:rsidR="00872C03" w:rsidRPr="00883399" w:rsidRDefault="00872C03" w:rsidP="00872C03">
      <w:pPr>
        <w:pStyle w:val="Definition0"/>
        <w:rPr>
          <w:sz w:val="24"/>
        </w:rPr>
      </w:pPr>
      <w:r w:rsidRPr="00883399">
        <w:rPr>
          <w:b/>
          <w:bCs/>
          <w:i/>
          <w:iCs/>
          <w:sz w:val="24"/>
        </w:rPr>
        <w:t>EC</w:t>
      </w:r>
      <w:r w:rsidRPr="00883399">
        <w:rPr>
          <w:rStyle w:val="charsubscript0"/>
          <w:b/>
          <w:bCs/>
          <w:i/>
          <w:iCs/>
        </w:rPr>
        <w:t xml:space="preserve">i </w:t>
      </w:r>
      <w:r w:rsidRPr="00883399">
        <w:rPr>
          <w:sz w:val="24"/>
        </w:rPr>
        <w:t xml:space="preserve">is the energy content factor for fuel type </w:t>
      </w:r>
      <w:r w:rsidRPr="00883399">
        <w:rPr>
          <w:b/>
          <w:i/>
          <w:sz w:val="24"/>
        </w:rPr>
        <w:t xml:space="preserve">(i) </w:t>
      </w:r>
      <w:r w:rsidRPr="00883399">
        <w:rPr>
          <w:sz w:val="24"/>
        </w:rPr>
        <w:t xml:space="preserve">used as a feedstock in the production of ammonia during the year, estimated under section 6.5. </w:t>
      </w:r>
    </w:p>
    <w:p w14:paraId="74EAC132" w14:textId="77777777" w:rsidR="00872C03" w:rsidRPr="00883399" w:rsidRDefault="00872C03" w:rsidP="00872C03">
      <w:pPr>
        <w:pStyle w:val="Definition0"/>
        <w:rPr>
          <w:sz w:val="24"/>
        </w:rPr>
      </w:pPr>
      <w:r w:rsidRPr="00883399">
        <w:rPr>
          <w:b/>
          <w:i/>
          <w:sz w:val="24"/>
        </w:rPr>
        <w:t>EF</w:t>
      </w:r>
      <w:r w:rsidRPr="00883399">
        <w:rPr>
          <w:b/>
          <w:i/>
          <w:sz w:val="24"/>
          <w:vertAlign w:val="subscript"/>
        </w:rPr>
        <w:t>ij</w:t>
      </w:r>
      <w:r w:rsidRPr="00883399">
        <w:rPr>
          <w:b/>
          <w:i/>
          <w:sz w:val="24"/>
        </w:rPr>
        <w:t xml:space="preserve"> </w:t>
      </w:r>
      <w:r w:rsidRPr="00883399">
        <w:rPr>
          <w:sz w:val="24"/>
        </w:rPr>
        <w:t>is the carbon dioxide emission factor for each type of feedstock or type of fuel (</w:t>
      </w:r>
      <w:r w:rsidRPr="00883399">
        <w:rPr>
          <w:b/>
          <w:i/>
          <w:sz w:val="24"/>
        </w:rPr>
        <w:t>i</w:t>
      </w:r>
      <w:r w:rsidRPr="00883399">
        <w:rPr>
          <w:sz w:val="24"/>
        </w:rPr>
        <w:t>) used in the production of ammonia during the year, including the effects of oxidation, measured in kilograms for each gigajoule according to source as mentioned in Part 2 of Schedule 1.</w:t>
      </w:r>
    </w:p>
    <w:p w14:paraId="6D027E4B" w14:textId="77777777" w:rsidR="00872C03" w:rsidRPr="00883399" w:rsidRDefault="00872C03" w:rsidP="00872C03">
      <w:pPr>
        <w:pStyle w:val="Definition0"/>
        <w:rPr>
          <w:sz w:val="24"/>
        </w:rPr>
      </w:pPr>
      <w:r w:rsidRPr="00883399">
        <w:rPr>
          <w:b/>
          <w:i/>
          <w:sz w:val="24"/>
        </w:rPr>
        <w:t xml:space="preserve">R </w:t>
      </w:r>
      <w:r w:rsidRPr="00883399">
        <w:rPr>
          <w:sz w:val="24"/>
        </w:rPr>
        <w:t>is the quantity of carbon dioxide measured in tonnes derived from the production of ammonia during the year, captured and transferred for use in the operation of another facility, estimated using an applicable criterion in Division 2.3.6 and in accordance with any other requirements of that Division.</w:t>
      </w:r>
    </w:p>
    <w:p w14:paraId="13B3E914" w14:textId="77777777" w:rsidR="00872C03" w:rsidRPr="00883399" w:rsidRDefault="00872C03" w:rsidP="00872C03">
      <w:pPr>
        <w:pStyle w:val="subsection"/>
        <w:rPr>
          <w:sz w:val="24"/>
        </w:rPr>
      </w:pPr>
      <w:r w:rsidRPr="00883399">
        <w:rPr>
          <w:sz w:val="24"/>
        </w:rPr>
        <w:tab/>
        <w:t>(2)</w:t>
      </w:r>
      <w:r w:rsidRPr="00883399">
        <w:rPr>
          <w:sz w:val="24"/>
        </w:rPr>
        <w:tab/>
        <w:t xml:space="preserve">For the purposes of calculating </w:t>
      </w:r>
      <w:r w:rsidRPr="00883399">
        <w:rPr>
          <w:b/>
          <w:i/>
          <w:sz w:val="24"/>
        </w:rPr>
        <w:t xml:space="preserve">R </w:t>
      </w:r>
      <w:r w:rsidRPr="00883399">
        <w:rPr>
          <w:sz w:val="24"/>
        </w:rPr>
        <w:t>in subsection (1), if:</w:t>
      </w:r>
    </w:p>
    <w:p w14:paraId="7801520B" w14:textId="77777777" w:rsidR="00872C03" w:rsidRPr="00883399" w:rsidRDefault="00872C03" w:rsidP="00872C03">
      <w:pPr>
        <w:pStyle w:val="paragraph"/>
        <w:rPr>
          <w:sz w:val="24"/>
        </w:rPr>
      </w:pPr>
      <w:r w:rsidRPr="00883399">
        <w:rPr>
          <w:sz w:val="24"/>
        </w:rPr>
        <w:tab/>
        <w:t>(a)</w:t>
      </w:r>
      <w:r w:rsidRPr="00883399">
        <w:rPr>
          <w:sz w:val="24"/>
        </w:rPr>
        <w:tab/>
        <w:t>more than one fuel is consumed in the production of ammonia; and</w:t>
      </w:r>
    </w:p>
    <w:p w14:paraId="65B56F86" w14:textId="77777777" w:rsidR="00872C03" w:rsidRPr="00883399" w:rsidRDefault="00872C03" w:rsidP="00872C03">
      <w:pPr>
        <w:pStyle w:val="paragraph"/>
        <w:rPr>
          <w:sz w:val="24"/>
        </w:rPr>
      </w:pPr>
      <w:r w:rsidRPr="00883399">
        <w:rPr>
          <w:sz w:val="24"/>
        </w:rPr>
        <w:tab/>
        <w:t>(b)</w:t>
      </w:r>
      <w:r w:rsidRPr="00883399">
        <w:rPr>
          <w:sz w:val="24"/>
        </w:rPr>
        <w:tab/>
        <w:t>the carbon dioxide generated from the production of ammonia is captured and transferred for use in the operation of another facility or captured for permanent storage;</w:t>
      </w:r>
    </w:p>
    <w:p w14:paraId="7C844782" w14:textId="77777777" w:rsidR="00872C03" w:rsidRPr="00883399" w:rsidRDefault="00872C03" w:rsidP="00872C03">
      <w:pPr>
        <w:pStyle w:val="subsection2"/>
        <w:rPr>
          <w:sz w:val="24"/>
        </w:rPr>
      </w:pPr>
      <w:r w:rsidRPr="00883399">
        <w:rPr>
          <w:sz w:val="24"/>
        </w:rPr>
        <w:t>the total amount of carbon dioxide that may be deducted in relation to the production of ammonia is to be attributed to each fuel consumed in proportion to the carbon content of the fuel relative to the total carbon content of all fuel consumed in the production of ammonia.</w:t>
      </w:r>
    </w:p>
    <w:p w14:paraId="79B852A4" w14:textId="2370EA0D" w:rsidR="00872C03" w:rsidRPr="00883399" w:rsidRDefault="00872C03" w:rsidP="00872C03">
      <w:pPr>
        <w:pStyle w:val="ActHead5"/>
        <w:rPr>
          <w:sz w:val="28"/>
        </w:rPr>
      </w:pPr>
      <w:bookmarkStart w:id="910" w:name="_Toc423517052"/>
      <w:bookmarkStart w:id="911" w:name="_Toc495652984"/>
      <w:r w:rsidRPr="00883399">
        <w:rPr>
          <w:rStyle w:val="CharSectno"/>
          <w:sz w:val="28"/>
        </w:rPr>
        <w:t>4.43</w:t>
      </w:r>
      <w:r w:rsidRPr="00883399">
        <w:rPr>
          <w:sz w:val="28"/>
        </w:rPr>
        <w:t xml:space="preserve">  Method 2—ammonia production</w:t>
      </w:r>
      <w:bookmarkEnd w:id="910"/>
      <w:bookmarkEnd w:id="911"/>
    </w:p>
    <w:p w14:paraId="2F4746B4" w14:textId="77777777" w:rsidR="00872C03" w:rsidRPr="00883399" w:rsidRDefault="00872C03" w:rsidP="00872C03">
      <w:pPr>
        <w:pStyle w:val="subsection"/>
        <w:rPr>
          <w:sz w:val="24"/>
        </w:rPr>
      </w:pPr>
      <w:r w:rsidRPr="00883399">
        <w:rPr>
          <w:sz w:val="24"/>
        </w:rPr>
        <w:tab/>
        <w:t>(1)</w:t>
      </w:r>
      <w:r w:rsidRPr="00883399">
        <w:rPr>
          <w:sz w:val="24"/>
        </w:rPr>
        <w:tab/>
        <w:t>Method 2 is:</w:t>
      </w:r>
    </w:p>
    <w:p w14:paraId="5C703B3C" w14:textId="458531BC"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25678C6D" wp14:editId="1082F7FF">
            <wp:extent cx="2422525" cy="415925"/>
            <wp:effectExtent l="1905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07"/>
                    <a:srcRect/>
                    <a:stretch>
                      <a:fillRect/>
                    </a:stretch>
                  </pic:blipFill>
                  <pic:spPr bwMode="auto">
                    <a:xfrm>
                      <a:off x="0" y="0"/>
                      <a:ext cx="2422525" cy="415925"/>
                    </a:xfrm>
                    <a:prstGeom prst="rect">
                      <a:avLst/>
                    </a:prstGeom>
                    <a:noFill/>
                    <a:ln w="9525">
                      <a:noFill/>
                      <a:miter lim="800000"/>
                      <a:headEnd/>
                      <a:tailEnd/>
                    </a:ln>
                  </pic:spPr>
                </pic:pic>
              </a:graphicData>
            </a:graphic>
          </wp:inline>
        </w:drawing>
      </w:r>
    </w:p>
    <w:p w14:paraId="589D5073" w14:textId="77777777" w:rsidR="00872C03" w:rsidRPr="00883399" w:rsidRDefault="00872C03" w:rsidP="00872C03">
      <w:pPr>
        <w:pStyle w:val="subsection2"/>
        <w:rPr>
          <w:sz w:val="24"/>
        </w:rPr>
      </w:pPr>
      <w:r w:rsidRPr="00883399">
        <w:rPr>
          <w:sz w:val="24"/>
        </w:rPr>
        <w:t>where:</w:t>
      </w:r>
    </w:p>
    <w:p w14:paraId="26243BF2" w14:textId="77777777" w:rsidR="00872C03" w:rsidRPr="00883399" w:rsidRDefault="00872C03" w:rsidP="00872C03">
      <w:pPr>
        <w:pStyle w:val="Definition0"/>
        <w:rPr>
          <w:sz w:val="24"/>
        </w:rPr>
      </w:pPr>
      <w:r w:rsidRPr="00883399">
        <w:rPr>
          <w:b/>
          <w:i/>
          <w:sz w:val="24"/>
        </w:rPr>
        <w:t>E</w:t>
      </w:r>
      <w:r w:rsidRPr="00883399">
        <w:rPr>
          <w:rStyle w:val="charSubscript"/>
          <w:b/>
          <w:i/>
          <w:sz w:val="22"/>
        </w:rPr>
        <w:t>ij</w:t>
      </w:r>
      <w:r w:rsidRPr="00883399">
        <w:rPr>
          <w:b/>
          <w:i/>
          <w:sz w:val="24"/>
        </w:rPr>
        <w:t xml:space="preserve"> </w:t>
      </w:r>
      <w:r w:rsidRPr="00883399">
        <w:rPr>
          <w:sz w:val="24"/>
        </w:rPr>
        <w:t>is the emissions of carbon dioxide</w:t>
      </w:r>
      <w:r w:rsidRPr="00883399">
        <w:rPr>
          <w:rStyle w:val="charSubscript"/>
          <w:sz w:val="22"/>
        </w:rPr>
        <w:t xml:space="preserve"> </w:t>
      </w:r>
      <w:r w:rsidRPr="00883399">
        <w:rPr>
          <w:sz w:val="24"/>
        </w:rPr>
        <w:t>released from the production of ammonia during the year measured in CO</w:t>
      </w:r>
      <w:r w:rsidRPr="00883399">
        <w:rPr>
          <w:sz w:val="24"/>
          <w:vertAlign w:val="subscript"/>
        </w:rPr>
        <w:t>2</w:t>
      </w:r>
      <w:r w:rsidRPr="00883399">
        <w:rPr>
          <w:sz w:val="24"/>
          <w:vertAlign w:val="subscript"/>
        </w:rPr>
        <w:noBreakHyphen/>
      </w:r>
      <w:r w:rsidRPr="00883399">
        <w:rPr>
          <w:sz w:val="24"/>
        </w:rPr>
        <w:t>e tonnes.</w:t>
      </w:r>
    </w:p>
    <w:p w14:paraId="571C8988" w14:textId="77777777" w:rsidR="00872C03" w:rsidRPr="00883399" w:rsidRDefault="00872C03" w:rsidP="00872C03">
      <w:pPr>
        <w:pStyle w:val="Definition0"/>
        <w:rPr>
          <w:sz w:val="24"/>
        </w:rPr>
      </w:pPr>
      <w:r w:rsidRPr="00883399">
        <w:rPr>
          <w:b/>
          <w:i/>
          <w:sz w:val="24"/>
        </w:rPr>
        <w:t>Q</w:t>
      </w:r>
      <w:r w:rsidRPr="00883399">
        <w:rPr>
          <w:b/>
          <w:i/>
          <w:sz w:val="24"/>
          <w:vertAlign w:val="subscript"/>
        </w:rPr>
        <w:t>i</w:t>
      </w:r>
      <w:r w:rsidRPr="00883399">
        <w:rPr>
          <w:b/>
          <w:i/>
          <w:sz w:val="24"/>
        </w:rPr>
        <w:t xml:space="preserve"> </w:t>
      </w:r>
      <w:r w:rsidRPr="00883399">
        <w:rPr>
          <w:sz w:val="24"/>
        </w:rPr>
        <w:t>is the quantity of each type of feedstock or type of fuel (</w:t>
      </w:r>
      <w:r w:rsidRPr="00883399">
        <w:rPr>
          <w:b/>
          <w:i/>
          <w:sz w:val="24"/>
        </w:rPr>
        <w:t>i</w:t>
      </w:r>
      <w:r w:rsidRPr="00883399">
        <w:rPr>
          <w:sz w:val="24"/>
        </w:rPr>
        <w:t>) consumed from the production of ammonia during the year, measured in the appropriate unit and estimated using an applicable criterion in Division 2.3.6.</w:t>
      </w:r>
    </w:p>
    <w:p w14:paraId="7CD4FF58" w14:textId="77777777" w:rsidR="00872C03" w:rsidRPr="00883399" w:rsidRDefault="00872C03" w:rsidP="00872C03">
      <w:pPr>
        <w:pStyle w:val="Definition0"/>
        <w:rPr>
          <w:sz w:val="24"/>
        </w:rPr>
      </w:pPr>
      <w:r w:rsidRPr="00883399">
        <w:rPr>
          <w:b/>
          <w:bCs/>
          <w:i/>
          <w:iCs/>
          <w:sz w:val="24"/>
        </w:rPr>
        <w:lastRenderedPageBreak/>
        <w:t>EC</w:t>
      </w:r>
      <w:r w:rsidRPr="00883399">
        <w:rPr>
          <w:rStyle w:val="charsubscript0"/>
          <w:b/>
          <w:bCs/>
          <w:i/>
          <w:iCs/>
        </w:rPr>
        <w:t xml:space="preserve">i </w:t>
      </w:r>
      <w:r w:rsidRPr="00883399">
        <w:rPr>
          <w:sz w:val="24"/>
        </w:rPr>
        <w:t xml:space="preserve">is the energy content factor for fuel type </w:t>
      </w:r>
      <w:r w:rsidRPr="00883399">
        <w:rPr>
          <w:b/>
          <w:i/>
          <w:sz w:val="24"/>
        </w:rPr>
        <w:t xml:space="preserve">(i) </w:t>
      </w:r>
      <w:r w:rsidRPr="00883399">
        <w:rPr>
          <w:sz w:val="24"/>
        </w:rPr>
        <w:t>used as a feedstock in the production of ammonia during the year, estimated under section 6.5.</w:t>
      </w:r>
    </w:p>
    <w:p w14:paraId="1254C41D" w14:textId="77777777" w:rsidR="00872C03" w:rsidRPr="00883399" w:rsidRDefault="00872C03" w:rsidP="00872C03">
      <w:pPr>
        <w:pStyle w:val="Definition0"/>
        <w:rPr>
          <w:sz w:val="24"/>
        </w:rPr>
      </w:pPr>
      <w:r w:rsidRPr="00883399">
        <w:rPr>
          <w:b/>
          <w:i/>
          <w:sz w:val="24"/>
        </w:rPr>
        <w:t>EF</w:t>
      </w:r>
      <w:r w:rsidRPr="00883399">
        <w:rPr>
          <w:b/>
          <w:i/>
          <w:sz w:val="24"/>
          <w:vertAlign w:val="subscript"/>
        </w:rPr>
        <w:t>ij</w:t>
      </w:r>
      <w:r w:rsidRPr="00883399">
        <w:rPr>
          <w:b/>
          <w:i/>
          <w:sz w:val="24"/>
        </w:rPr>
        <w:t xml:space="preserve"> </w:t>
      </w:r>
      <w:r w:rsidRPr="00883399">
        <w:rPr>
          <w:sz w:val="24"/>
        </w:rPr>
        <w:t>is the carbon dioxide emission factor for each type of feedstock or type of fuel (</w:t>
      </w:r>
      <w:r w:rsidRPr="00883399">
        <w:rPr>
          <w:b/>
          <w:i/>
          <w:sz w:val="24"/>
        </w:rPr>
        <w:t>i</w:t>
      </w:r>
      <w:r w:rsidRPr="00883399">
        <w:rPr>
          <w:sz w:val="24"/>
        </w:rPr>
        <w:t>) used in the production of ammonia during the year, including the effects of oxidation, measured in kilograms for each gigajoule according to source in accordance with subsection (2).</w:t>
      </w:r>
    </w:p>
    <w:p w14:paraId="58F44ACD" w14:textId="77777777" w:rsidR="00872C03" w:rsidRPr="00883399" w:rsidRDefault="00872C03" w:rsidP="00872C03">
      <w:pPr>
        <w:pStyle w:val="Definition0"/>
        <w:rPr>
          <w:sz w:val="24"/>
        </w:rPr>
      </w:pPr>
      <w:r w:rsidRPr="00883399">
        <w:rPr>
          <w:b/>
          <w:i/>
          <w:sz w:val="24"/>
        </w:rPr>
        <w:t xml:space="preserve">R </w:t>
      </w:r>
      <w:r w:rsidRPr="00883399">
        <w:rPr>
          <w:sz w:val="24"/>
        </w:rPr>
        <w:t>is the quantity of carbon dioxide measured in tonnes derived from the production of ammonia during the year, captured and transferred for use in the operation of another facility, estimated using an applicable criterion in Division 2.3.6 and in accordance with any other requirements of that Division.</w:t>
      </w:r>
    </w:p>
    <w:p w14:paraId="2EE67224" w14:textId="77777777" w:rsidR="00872C03" w:rsidRPr="00883399" w:rsidRDefault="00872C03" w:rsidP="00872C03">
      <w:pPr>
        <w:pStyle w:val="Definition0"/>
        <w:rPr>
          <w:sz w:val="24"/>
        </w:rPr>
      </w:pPr>
      <w:r w:rsidRPr="00883399">
        <w:rPr>
          <w:b/>
          <w:i/>
          <w:sz w:val="24"/>
        </w:rPr>
        <w:t xml:space="preserve">γ </w:t>
      </w:r>
      <w:r w:rsidRPr="00883399">
        <w:rPr>
          <w:sz w:val="24"/>
        </w:rPr>
        <w:t>is the factor 1.861 × 10</w:t>
      </w:r>
      <w:r w:rsidRPr="00883399">
        <w:rPr>
          <w:sz w:val="24"/>
          <w:vertAlign w:val="superscript"/>
        </w:rPr>
        <w:noBreakHyphen/>
        <w:t xml:space="preserve">3 </w:t>
      </w:r>
      <w:r w:rsidRPr="00883399">
        <w:rPr>
          <w:sz w:val="24"/>
        </w:rPr>
        <w:t>for converting a quantity of carbon dioxide from cubic metres at standard conditions of pressure and temperature to CO</w:t>
      </w:r>
      <w:r w:rsidRPr="00883399">
        <w:rPr>
          <w:sz w:val="24"/>
          <w:vertAlign w:val="subscript"/>
        </w:rPr>
        <w:t>2</w:t>
      </w:r>
      <w:r w:rsidRPr="00883399">
        <w:rPr>
          <w:sz w:val="24"/>
        </w:rPr>
        <w:noBreakHyphen/>
        <w:t>e tonnes.</w:t>
      </w:r>
    </w:p>
    <w:p w14:paraId="59B5967C" w14:textId="77777777" w:rsidR="00872C03" w:rsidRPr="00883399" w:rsidRDefault="00872C03" w:rsidP="00872C03">
      <w:pPr>
        <w:pStyle w:val="Definition0"/>
        <w:rPr>
          <w:sz w:val="24"/>
        </w:rPr>
      </w:pPr>
      <w:r w:rsidRPr="00883399">
        <w:rPr>
          <w:b/>
          <w:i/>
          <w:sz w:val="24"/>
        </w:rPr>
        <w:t>RCCS</w:t>
      </w:r>
      <w:r w:rsidRPr="00883399">
        <w:rPr>
          <w:b/>
          <w:i/>
          <w:sz w:val="24"/>
          <w:vertAlign w:val="subscript"/>
        </w:rPr>
        <w:t>CO</w:t>
      </w:r>
      <w:r w:rsidRPr="00883399">
        <w:rPr>
          <w:b/>
          <w:i/>
          <w:position w:val="-4"/>
          <w:sz w:val="24"/>
          <w:vertAlign w:val="subscript"/>
        </w:rPr>
        <w:t>2</w:t>
      </w:r>
      <w:r w:rsidRPr="00883399">
        <w:rPr>
          <w:b/>
          <w:i/>
          <w:sz w:val="24"/>
          <w:vertAlign w:val="subscript"/>
        </w:rPr>
        <w:t xml:space="preserve"> </w:t>
      </w:r>
      <w:r w:rsidRPr="00883399">
        <w:rPr>
          <w:sz w:val="24"/>
        </w:rPr>
        <w:t>is carbon dioxide captured for permanent storage measured in cubic metres in accordance with Division 1.2.3.</w:t>
      </w:r>
    </w:p>
    <w:p w14:paraId="265AF0DC" w14:textId="77777777" w:rsidR="00872C03" w:rsidRPr="00883399" w:rsidRDefault="00872C03" w:rsidP="00872C03">
      <w:pPr>
        <w:pStyle w:val="subsection"/>
        <w:rPr>
          <w:sz w:val="24"/>
        </w:rPr>
      </w:pPr>
      <w:r w:rsidRPr="00883399">
        <w:rPr>
          <w:sz w:val="24"/>
        </w:rPr>
        <w:tab/>
        <w:t>(2)</w:t>
      </w:r>
      <w:r w:rsidRPr="00883399">
        <w:rPr>
          <w:sz w:val="24"/>
        </w:rPr>
        <w:tab/>
        <w:t xml:space="preserve">The method for estimating emission factors for gaseous fuels in Division 2.3.3 applies for working out the factor </w:t>
      </w:r>
      <w:r w:rsidRPr="00883399">
        <w:rPr>
          <w:b/>
          <w:i/>
          <w:sz w:val="24"/>
        </w:rPr>
        <w:t>EF</w:t>
      </w:r>
      <w:r w:rsidRPr="00883399">
        <w:rPr>
          <w:rStyle w:val="charSubscript"/>
          <w:b/>
          <w:i/>
          <w:sz w:val="24"/>
        </w:rPr>
        <w:t>ij</w:t>
      </w:r>
      <w:r w:rsidRPr="00883399">
        <w:rPr>
          <w:sz w:val="24"/>
        </w:rPr>
        <w:t>.</w:t>
      </w:r>
    </w:p>
    <w:p w14:paraId="09D6EB49" w14:textId="77777777" w:rsidR="00872C03" w:rsidRPr="00883399" w:rsidRDefault="00872C03" w:rsidP="00872C03">
      <w:pPr>
        <w:pStyle w:val="subsection"/>
        <w:rPr>
          <w:sz w:val="24"/>
        </w:rPr>
      </w:pPr>
      <w:r w:rsidRPr="00883399">
        <w:rPr>
          <w:sz w:val="24"/>
        </w:rPr>
        <w:tab/>
        <w:t>(3)</w:t>
      </w:r>
      <w:r w:rsidRPr="00883399">
        <w:rPr>
          <w:sz w:val="24"/>
        </w:rPr>
        <w:tab/>
        <w:t xml:space="preserve">For the purposes of calculating </w:t>
      </w:r>
      <w:r w:rsidRPr="00883399">
        <w:rPr>
          <w:b/>
          <w:i/>
          <w:sz w:val="24"/>
        </w:rPr>
        <w:t xml:space="preserve">R </w:t>
      </w:r>
      <w:r w:rsidRPr="00883399">
        <w:rPr>
          <w:sz w:val="24"/>
        </w:rPr>
        <w:t>in subsection (1), if:</w:t>
      </w:r>
    </w:p>
    <w:p w14:paraId="150D0E50" w14:textId="77777777" w:rsidR="00872C03" w:rsidRPr="00883399" w:rsidRDefault="00872C03" w:rsidP="00872C03">
      <w:pPr>
        <w:pStyle w:val="paragraph"/>
        <w:rPr>
          <w:sz w:val="24"/>
        </w:rPr>
      </w:pPr>
      <w:r w:rsidRPr="00883399">
        <w:rPr>
          <w:sz w:val="24"/>
        </w:rPr>
        <w:tab/>
        <w:t>(a)</w:t>
      </w:r>
      <w:r w:rsidRPr="00883399">
        <w:rPr>
          <w:sz w:val="24"/>
        </w:rPr>
        <w:tab/>
        <w:t>more than one fuel is consumed in the production of ammonia; and</w:t>
      </w:r>
    </w:p>
    <w:p w14:paraId="30EACEC8" w14:textId="77777777" w:rsidR="00872C03" w:rsidRPr="00883399" w:rsidRDefault="00872C03" w:rsidP="00872C03">
      <w:pPr>
        <w:pStyle w:val="paragraph"/>
        <w:rPr>
          <w:sz w:val="24"/>
        </w:rPr>
      </w:pPr>
      <w:r w:rsidRPr="00883399">
        <w:rPr>
          <w:sz w:val="24"/>
        </w:rPr>
        <w:tab/>
        <w:t>(b)</w:t>
      </w:r>
      <w:r w:rsidRPr="00883399">
        <w:rPr>
          <w:sz w:val="24"/>
        </w:rPr>
        <w:tab/>
        <w:t>the carbon dioxide generated from the production of ammonia is captured and transferred for use in the operation of another facility or captured for permanent storage;</w:t>
      </w:r>
    </w:p>
    <w:p w14:paraId="3B0B9F94" w14:textId="77777777" w:rsidR="00872C03" w:rsidRPr="00883399" w:rsidRDefault="00872C03" w:rsidP="00872C03">
      <w:pPr>
        <w:pStyle w:val="subsection2"/>
        <w:rPr>
          <w:sz w:val="24"/>
        </w:rPr>
      </w:pPr>
      <w:r w:rsidRPr="00883399">
        <w:rPr>
          <w:sz w:val="24"/>
        </w:rPr>
        <w:t>the total amount of carbon dioxide that may be deducted in relation to the production of ammonia is to be attributed to each fuel consumed in proportion to the carbon content of the fuel relative to the total carbon content of all fuel consumed in the production of ammonia.</w:t>
      </w:r>
    </w:p>
    <w:p w14:paraId="47F5D133" w14:textId="23E90B10" w:rsidR="00872C03" w:rsidRPr="00883399" w:rsidRDefault="00872C03" w:rsidP="00872C03">
      <w:pPr>
        <w:pStyle w:val="ActHead5"/>
        <w:rPr>
          <w:sz w:val="28"/>
        </w:rPr>
      </w:pPr>
      <w:bookmarkStart w:id="912" w:name="_Toc423517053"/>
      <w:bookmarkStart w:id="913" w:name="_Toc495652985"/>
      <w:r w:rsidRPr="00883399">
        <w:rPr>
          <w:rStyle w:val="CharSectno"/>
          <w:sz w:val="28"/>
        </w:rPr>
        <w:t>4.44</w:t>
      </w:r>
      <w:r w:rsidRPr="00883399">
        <w:rPr>
          <w:sz w:val="28"/>
        </w:rPr>
        <w:t xml:space="preserve">  Method 3—ammonia production</w:t>
      </w:r>
      <w:bookmarkEnd w:id="912"/>
      <w:bookmarkEnd w:id="913"/>
    </w:p>
    <w:p w14:paraId="3C67629A" w14:textId="77777777" w:rsidR="00872C03" w:rsidRPr="00883399" w:rsidRDefault="00872C03" w:rsidP="00872C03">
      <w:pPr>
        <w:pStyle w:val="subsection"/>
        <w:rPr>
          <w:sz w:val="24"/>
        </w:rPr>
      </w:pPr>
      <w:r w:rsidRPr="00883399">
        <w:rPr>
          <w:sz w:val="24"/>
        </w:rPr>
        <w:tab/>
        <w:t>(1)</w:t>
      </w:r>
      <w:r w:rsidRPr="00883399">
        <w:rPr>
          <w:sz w:val="24"/>
        </w:rPr>
        <w:tab/>
        <w:t>Method 3 is the same as method 2 under section 4.43.</w:t>
      </w:r>
    </w:p>
    <w:p w14:paraId="653E75F3" w14:textId="77777777" w:rsidR="00872C03" w:rsidRPr="00883399" w:rsidRDefault="00872C03" w:rsidP="00872C03">
      <w:pPr>
        <w:pStyle w:val="subsection"/>
        <w:rPr>
          <w:sz w:val="24"/>
        </w:rPr>
      </w:pPr>
      <w:r w:rsidRPr="00883399">
        <w:rPr>
          <w:sz w:val="24"/>
        </w:rPr>
        <w:tab/>
        <w:t>(2)</w:t>
      </w:r>
      <w:r w:rsidRPr="00883399">
        <w:rPr>
          <w:sz w:val="24"/>
        </w:rPr>
        <w:tab/>
        <w:t xml:space="preserve">In applying method 2 as method 3, the method for estimating emission factors for gaseous fuels in Division 2.3.4 applies for working out the factor </w:t>
      </w:r>
      <w:r w:rsidRPr="00883399">
        <w:rPr>
          <w:b/>
          <w:i/>
          <w:sz w:val="24"/>
        </w:rPr>
        <w:t>EF</w:t>
      </w:r>
      <w:r w:rsidRPr="00883399">
        <w:rPr>
          <w:rStyle w:val="charSubscript"/>
          <w:b/>
          <w:i/>
          <w:sz w:val="24"/>
        </w:rPr>
        <w:t>ij</w:t>
      </w:r>
      <w:r w:rsidRPr="00883399">
        <w:rPr>
          <w:sz w:val="24"/>
        </w:rPr>
        <w:t>.</w:t>
      </w:r>
    </w:p>
    <w:p w14:paraId="283FDA79" w14:textId="17D93488" w:rsidR="00872C03" w:rsidRPr="00883399" w:rsidRDefault="00872C03" w:rsidP="00872C03">
      <w:pPr>
        <w:pStyle w:val="ActHead3"/>
        <w:pageBreakBefore/>
        <w:rPr>
          <w:sz w:val="32"/>
        </w:rPr>
      </w:pPr>
      <w:bookmarkStart w:id="914" w:name="_Toc423517054"/>
      <w:bookmarkStart w:id="915" w:name="_Toc495652986"/>
      <w:r w:rsidRPr="00883399">
        <w:rPr>
          <w:rStyle w:val="CharDivNo"/>
          <w:sz w:val="32"/>
        </w:rPr>
        <w:lastRenderedPageBreak/>
        <w:t>Division 4.3.2</w:t>
      </w:r>
      <w:r w:rsidRPr="00883399">
        <w:rPr>
          <w:sz w:val="32"/>
        </w:rPr>
        <w:t>—</w:t>
      </w:r>
      <w:r w:rsidRPr="00883399">
        <w:rPr>
          <w:rStyle w:val="CharDivText"/>
          <w:sz w:val="32"/>
        </w:rPr>
        <w:t>Nitric acid production</w:t>
      </w:r>
      <w:bookmarkEnd w:id="914"/>
      <w:bookmarkEnd w:id="915"/>
    </w:p>
    <w:p w14:paraId="34AD1CB7" w14:textId="77777777" w:rsidR="00872C03" w:rsidRPr="00883399" w:rsidRDefault="00872C03" w:rsidP="00872C03">
      <w:pPr>
        <w:pStyle w:val="Text"/>
        <w:rPr>
          <w:rStyle w:val="CharChapNo"/>
        </w:rPr>
      </w:pPr>
      <w:bookmarkStart w:id="916" w:name="_Toc423517055"/>
      <w:r w:rsidRPr="00883399">
        <w:rPr>
          <w:rFonts w:ascii="Arial" w:hAnsi="Arial" w:cs="Arial"/>
          <w:sz w:val="22"/>
          <w:szCs w:val="22"/>
        </w:rPr>
        <w:t>The manufacture of nitric acid (HNO</w:t>
      </w:r>
      <w:r w:rsidRPr="00883399">
        <w:rPr>
          <w:rFonts w:ascii="Arial" w:hAnsi="Arial" w:cs="Arial"/>
          <w:sz w:val="22"/>
          <w:szCs w:val="22"/>
          <w:vertAlign w:val="subscript"/>
        </w:rPr>
        <w:t>3</w:t>
      </w:r>
      <w:r w:rsidRPr="00883399">
        <w:rPr>
          <w:rFonts w:ascii="Arial" w:hAnsi="Arial" w:cs="Arial"/>
          <w:sz w:val="22"/>
          <w:szCs w:val="22"/>
        </w:rPr>
        <w:t>) generates nitrous oxide (N</w:t>
      </w:r>
      <w:r w:rsidRPr="00883399">
        <w:rPr>
          <w:rFonts w:ascii="Arial" w:hAnsi="Arial" w:cs="Arial"/>
          <w:sz w:val="22"/>
          <w:szCs w:val="22"/>
          <w:vertAlign w:val="subscript"/>
        </w:rPr>
        <w:t>2</w:t>
      </w:r>
      <w:r w:rsidRPr="00883399">
        <w:rPr>
          <w:rFonts w:ascii="Arial" w:hAnsi="Arial" w:cs="Arial"/>
          <w:sz w:val="22"/>
          <w:szCs w:val="22"/>
        </w:rPr>
        <w:t>O) as a by-product of the high temperature catalytic oxidation of ammonia (NH</w:t>
      </w:r>
      <w:r w:rsidRPr="00883399">
        <w:rPr>
          <w:rFonts w:ascii="Arial" w:hAnsi="Arial" w:cs="Arial"/>
          <w:sz w:val="22"/>
          <w:szCs w:val="22"/>
          <w:vertAlign w:val="subscript"/>
        </w:rPr>
        <w:t>3</w:t>
      </w:r>
      <w:r w:rsidRPr="00883399">
        <w:rPr>
          <w:rFonts w:ascii="Arial" w:hAnsi="Arial" w:cs="Arial"/>
          <w:sz w:val="22"/>
          <w:szCs w:val="22"/>
        </w:rPr>
        <w:t>).</w:t>
      </w:r>
    </w:p>
    <w:p w14:paraId="70335A44" w14:textId="4374C69A" w:rsidR="00872C03" w:rsidRPr="00883399" w:rsidRDefault="00872C03" w:rsidP="00872C03">
      <w:pPr>
        <w:pStyle w:val="ActHead5"/>
        <w:rPr>
          <w:sz w:val="28"/>
        </w:rPr>
      </w:pPr>
      <w:bookmarkStart w:id="917" w:name="_Toc495652987"/>
      <w:r w:rsidRPr="00883399">
        <w:rPr>
          <w:rStyle w:val="CharSectno"/>
          <w:sz w:val="28"/>
        </w:rPr>
        <w:t>4.45</w:t>
      </w:r>
      <w:r w:rsidRPr="00883399">
        <w:rPr>
          <w:sz w:val="28"/>
        </w:rPr>
        <w:t xml:space="preserve">  Application</w:t>
      </w:r>
      <w:bookmarkEnd w:id="916"/>
      <w:bookmarkEnd w:id="917"/>
    </w:p>
    <w:p w14:paraId="7D1ACEF9" w14:textId="77777777" w:rsidR="00872C03" w:rsidRPr="00883399" w:rsidRDefault="00872C03" w:rsidP="00872C03">
      <w:pPr>
        <w:pStyle w:val="subsection"/>
        <w:rPr>
          <w:sz w:val="24"/>
        </w:rPr>
      </w:pPr>
      <w:r w:rsidRPr="00883399">
        <w:rPr>
          <w:sz w:val="24"/>
        </w:rPr>
        <w:tab/>
      </w:r>
      <w:r w:rsidRPr="00883399">
        <w:rPr>
          <w:sz w:val="24"/>
        </w:rPr>
        <w:tab/>
        <w:t>This Division applies to chemical industry nitric acid production.</w:t>
      </w:r>
    </w:p>
    <w:p w14:paraId="0883126F" w14:textId="7CA963D6" w:rsidR="00872C03" w:rsidRPr="00883399" w:rsidRDefault="00872C03" w:rsidP="00872C03">
      <w:pPr>
        <w:pStyle w:val="ActHead5"/>
        <w:rPr>
          <w:sz w:val="28"/>
        </w:rPr>
      </w:pPr>
      <w:bookmarkStart w:id="918" w:name="_Toc423517056"/>
      <w:bookmarkStart w:id="919" w:name="_Toc495652988"/>
      <w:r w:rsidRPr="00883399">
        <w:rPr>
          <w:rStyle w:val="CharSectno"/>
          <w:sz w:val="28"/>
        </w:rPr>
        <w:t>4.46</w:t>
      </w:r>
      <w:r w:rsidRPr="00883399">
        <w:rPr>
          <w:sz w:val="28"/>
        </w:rPr>
        <w:t xml:space="preserve">  Available methods</w:t>
      </w:r>
      <w:bookmarkEnd w:id="918"/>
      <w:bookmarkEnd w:id="919"/>
    </w:p>
    <w:p w14:paraId="2766D610" w14:textId="77777777" w:rsidR="00872C03" w:rsidRPr="00883399" w:rsidRDefault="00872C03" w:rsidP="00872C03">
      <w:pPr>
        <w:pStyle w:val="R1"/>
        <w:keepLines w:val="0"/>
        <w:tabs>
          <w:tab w:val="clear" w:pos="794"/>
          <w:tab w:val="right" w:pos="0"/>
        </w:tabs>
        <w:spacing w:before="240" w:line="312" w:lineRule="auto"/>
        <w:ind w:left="0" w:firstLine="0"/>
        <w:jc w:val="left"/>
      </w:pPr>
      <w:r w:rsidRPr="00883399">
        <w:rPr>
          <w:rFonts w:ascii="Arial" w:hAnsi="Arial" w:cs="Arial"/>
          <w:sz w:val="22"/>
          <w:szCs w:val="22"/>
        </w:rPr>
        <w:t>Method 1, 2 or 4 are available for plants, unless abatement measures are in place – in which case Method 2 or 4 must be used</w:t>
      </w:r>
      <w:r w:rsidRPr="00883399">
        <w:t>.</w:t>
      </w:r>
    </w:p>
    <w:p w14:paraId="2F2EDDF5" w14:textId="77777777" w:rsidR="00872C03" w:rsidRPr="00883399" w:rsidRDefault="00872C03" w:rsidP="00872C03">
      <w:pPr>
        <w:pStyle w:val="subsection"/>
        <w:rPr>
          <w:sz w:val="24"/>
        </w:rPr>
      </w:pPr>
      <w:r w:rsidRPr="00883399">
        <w:rPr>
          <w:sz w:val="24"/>
        </w:rPr>
        <w:t xml:space="preserve"> </w:t>
      </w:r>
      <w:r w:rsidRPr="00883399">
        <w:rPr>
          <w:sz w:val="24"/>
        </w:rPr>
        <w:tab/>
        <w:t>(1)</w:t>
      </w:r>
      <w:r w:rsidRPr="00883399">
        <w:rPr>
          <w:sz w:val="24"/>
        </w:rPr>
        <w:tab/>
        <w:t>Subject to section 1.18 and this section, one of the following methods must be used for estimating emissions during a year from the operation of a facility that is constituted by the production of nitric acid at a plant:</w:t>
      </w:r>
    </w:p>
    <w:p w14:paraId="3405D80C" w14:textId="77777777" w:rsidR="00872C03" w:rsidRPr="00883399" w:rsidRDefault="00872C03" w:rsidP="00872C03">
      <w:pPr>
        <w:pStyle w:val="paragraph"/>
        <w:rPr>
          <w:sz w:val="24"/>
        </w:rPr>
      </w:pPr>
      <w:r w:rsidRPr="00883399">
        <w:rPr>
          <w:sz w:val="24"/>
        </w:rPr>
        <w:tab/>
        <w:t>(a)</w:t>
      </w:r>
      <w:r w:rsidRPr="00883399">
        <w:rPr>
          <w:sz w:val="24"/>
        </w:rPr>
        <w:tab/>
        <w:t>method 1 under section 4.47;</w:t>
      </w:r>
    </w:p>
    <w:p w14:paraId="5F3E083E" w14:textId="77777777" w:rsidR="00872C03" w:rsidRPr="00883399" w:rsidRDefault="00872C03" w:rsidP="00872C03">
      <w:pPr>
        <w:pStyle w:val="paragraph"/>
        <w:rPr>
          <w:sz w:val="24"/>
        </w:rPr>
      </w:pPr>
      <w:r w:rsidRPr="00883399">
        <w:rPr>
          <w:sz w:val="24"/>
        </w:rPr>
        <w:tab/>
        <w:t>(b)</w:t>
      </w:r>
      <w:r w:rsidRPr="00883399">
        <w:rPr>
          <w:sz w:val="24"/>
        </w:rPr>
        <w:tab/>
        <w:t>method 2 under section 4.48;</w:t>
      </w:r>
    </w:p>
    <w:p w14:paraId="69CF2217" w14:textId="77777777" w:rsidR="00872C03" w:rsidRPr="00883399" w:rsidRDefault="00872C03" w:rsidP="00872C03">
      <w:pPr>
        <w:pStyle w:val="paragraph"/>
        <w:rPr>
          <w:sz w:val="24"/>
        </w:rPr>
      </w:pPr>
      <w:r w:rsidRPr="00883399">
        <w:rPr>
          <w:sz w:val="24"/>
        </w:rPr>
        <w:tab/>
        <w:t>(c)</w:t>
      </w:r>
      <w:r w:rsidRPr="00883399">
        <w:rPr>
          <w:sz w:val="24"/>
        </w:rPr>
        <w:tab/>
        <w:t>method 4 under Part 1.3.</w:t>
      </w:r>
    </w:p>
    <w:p w14:paraId="4A5BB7F4" w14:textId="77777777" w:rsidR="00872C03" w:rsidRPr="00883399" w:rsidRDefault="00872C03" w:rsidP="00872C03">
      <w:pPr>
        <w:pStyle w:val="notetext"/>
        <w:rPr>
          <w:sz w:val="20"/>
        </w:rPr>
      </w:pPr>
      <w:r w:rsidRPr="00883399">
        <w:rPr>
          <w:sz w:val="20"/>
        </w:rPr>
        <w:t>Note:</w:t>
      </w:r>
      <w:r w:rsidRPr="00883399">
        <w:rPr>
          <w:sz w:val="20"/>
        </w:rPr>
        <w:tab/>
        <w:t>There is no method 3 for this Division.</w:t>
      </w:r>
    </w:p>
    <w:p w14:paraId="3BACDF30" w14:textId="77777777" w:rsidR="00872C03" w:rsidRPr="00883399" w:rsidRDefault="00872C03" w:rsidP="00872C03">
      <w:pPr>
        <w:pStyle w:val="subsection"/>
        <w:rPr>
          <w:sz w:val="24"/>
        </w:rPr>
      </w:pPr>
      <w:r w:rsidRPr="00883399">
        <w:rPr>
          <w:sz w:val="24"/>
        </w:rPr>
        <w:tab/>
        <w:t>(2)</w:t>
      </w:r>
      <w:r w:rsidRPr="00883399">
        <w:rPr>
          <w:sz w:val="24"/>
        </w:rPr>
        <w:tab/>
        <w:t>However, for incidental emissions another method may be used that is consistent with the principles in section 1.13.</w:t>
      </w:r>
    </w:p>
    <w:p w14:paraId="71FAFC37" w14:textId="77777777" w:rsidR="00872C03" w:rsidRPr="00883399" w:rsidRDefault="00872C03" w:rsidP="00872C03">
      <w:pPr>
        <w:pStyle w:val="subsection"/>
        <w:rPr>
          <w:sz w:val="24"/>
        </w:rPr>
      </w:pPr>
      <w:r w:rsidRPr="00883399">
        <w:rPr>
          <w:sz w:val="24"/>
        </w:rPr>
        <w:tab/>
        <w:t>(3)</w:t>
      </w:r>
      <w:r w:rsidRPr="00883399">
        <w:rPr>
          <w:sz w:val="24"/>
        </w:rPr>
        <w:tab/>
        <w:t>Method 1 must not be used if the plant has used measures to reduce nitrous oxide emissions.</w:t>
      </w:r>
    </w:p>
    <w:p w14:paraId="44AACAA2" w14:textId="77777777" w:rsidR="00872C03" w:rsidRPr="00883399" w:rsidRDefault="00872C03" w:rsidP="00872C03">
      <w:pPr>
        <w:pStyle w:val="R2"/>
        <w:keepNext/>
        <w:ind w:hanging="62"/>
        <w:rPr>
          <w:b/>
        </w:rPr>
      </w:pPr>
      <w:r w:rsidRPr="00883399">
        <w:rPr>
          <w:b/>
        </w:rPr>
        <w:t>Summary of available methods, for estimating emissions from nitric acid production, by emissions of gas type (j)</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2"/>
        <w:gridCol w:w="1742"/>
        <w:gridCol w:w="1627"/>
        <w:gridCol w:w="1654"/>
      </w:tblGrid>
      <w:tr w:rsidR="00872C03" w:rsidRPr="00883399" w14:paraId="6FEC0F79" w14:textId="77777777" w:rsidTr="0031057E">
        <w:tc>
          <w:tcPr>
            <w:tcW w:w="2280" w:type="dxa"/>
            <w:shd w:val="clear" w:color="auto" w:fill="E6E6E6"/>
          </w:tcPr>
          <w:p w14:paraId="672C7E0B" w14:textId="77777777" w:rsidR="00872C03" w:rsidRPr="00883399" w:rsidRDefault="00872C03" w:rsidP="0031057E">
            <w:pPr>
              <w:pStyle w:val="Text"/>
              <w:keepNext/>
            </w:pPr>
          </w:p>
        </w:tc>
        <w:tc>
          <w:tcPr>
            <w:tcW w:w="1800" w:type="dxa"/>
            <w:shd w:val="clear" w:color="auto" w:fill="E6E6E6"/>
          </w:tcPr>
          <w:p w14:paraId="30EC59FE" w14:textId="77777777" w:rsidR="00872C03" w:rsidRPr="00883399" w:rsidRDefault="00872C03" w:rsidP="0031057E">
            <w:pPr>
              <w:pStyle w:val="Text"/>
              <w:keepNext/>
            </w:pPr>
            <w:r w:rsidRPr="00883399">
              <w:t>CO</w:t>
            </w:r>
            <w:r w:rsidRPr="00883399">
              <w:rPr>
                <w:vertAlign w:val="subscript"/>
              </w:rPr>
              <w:t>2</w:t>
            </w:r>
          </w:p>
        </w:tc>
        <w:tc>
          <w:tcPr>
            <w:tcW w:w="1680" w:type="dxa"/>
            <w:shd w:val="clear" w:color="auto" w:fill="E6E6E6"/>
          </w:tcPr>
          <w:p w14:paraId="7645319F" w14:textId="77777777" w:rsidR="00872C03" w:rsidRPr="00883399" w:rsidRDefault="00872C03" w:rsidP="0031057E">
            <w:pPr>
              <w:pStyle w:val="Text"/>
              <w:keepNext/>
            </w:pPr>
            <w:r w:rsidRPr="00883399">
              <w:t>CH</w:t>
            </w:r>
            <w:r w:rsidRPr="00883399">
              <w:rPr>
                <w:vertAlign w:val="subscript"/>
              </w:rPr>
              <w:t>4</w:t>
            </w:r>
          </w:p>
        </w:tc>
        <w:tc>
          <w:tcPr>
            <w:tcW w:w="1694" w:type="dxa"/>
            <w:shd w:val="clear" w:color="auto" w:fill="E6E6E6"/>
          </w:tcPr>
          <w:p w14:paraId="578DA47C" w14:textId="77777777" w:rsidR="00872C03" w:rsidRPr="00883399" w:rsidRDefault="00872C03" w:rsidP="0031057E">
            <w:pPr>
              <w:pStyle w:val="Text"/>
              <w:keepNext/>
            </w:pPr>
            <w:r w:rsidRPr="00883399">
              <w:t>N</w:t>
            </w:r>
            <w:r w:rsidRPr="00883399">
              <w:rPr>
                <w:vertAlign w:val="subscript"/>
              </w:rPr>
              <w:t>2</w:t>
            </w:r>
            <w:r w:rsidRPr="00883399">
              <w:t>O</w:t>
            </w:r>
          </w:p>
        </w:tc>
      </w:tr>
      <w:tr w:rsidR="00872C03" w:rsidRPr="00883399" w14:paraId="6FF7DDD8" w14:textId="77777777" w:rsidTr="0031057E">
        <w:tc>
          <w:tcPr>
            <w:tcW w:w="2280" w:type="dxa"/>
          </w:tcPr>
          <w:p w14:paraId="4E1A7A69" w14:textId="77777777" w:rsidR="00872C03" w:rsidRPr="00883399" w:rsidRDefault="00872C03" w:rsidP="0031057E">
            <w:pPr>
              <w:pStyle w:val="Text"/>
              <w:keepNext/>
              <w:spacing w:before="120" w:line="240" w:lineRule="auto"/>
              <w:rPr>
                <w:i/>
              </w:rPr>
            </w:pPr>
            <w:r w:rsidRPr="00883399">
              <w:t>Method 1</w:t>
            </w:r>
          </w:p>
        </w:tc>
        <w:tc>
          <w:tcPr>
            <w:tcW w:w="1800" w:type="dxa"/>
          </w:tcPr>
          <w:p w14:paraId="68D6E5E2" w14:textId="77777777" w:rsidR="00872C03" w:rsidRPr="00883399" w:rsidRDefault="00872C03" w:rsidP="0031057E">
            <w:pPr>
              <w:pStyle w:val="Text"/>
              <w:keepNext/>
              <w:spacing w:before="120" w:line="240" w:lineRule="auto"/>
            </w:pPr>
            <w:r w:rsidRPr="00883399">
              <w:t>NO</w:t>
            </w:r>
          </w:p>
        </w:tc>
        <w:tc>
          <w:tcPr>
            <w:tcW w:w="1680" w:type="dxa"/>
          </w:tcPr>
          <w:p w14:paraId="173E03D8" w14:textId="77777777" w:rsidR="00872C03" w:rsidRPr="00883399" w:rsidRDefault="00872C03" w:rsidP="0031057E">
            <w:pPr>
              <w:pStyle w:val="Text"/>
              <w:keepNext/>
              <w:spacing w:before="120" w:line="240" w:lineRule="auto"/>
            </w:pPr>
            <w:r w:rsidRPr="00883399">
              <w:t>NO</w:t>
            </w:r>
          </w:p>
        </w:tc>
        <w:tc>
          <w:tcPr>
            <w:tcW w:w="1694" w:type="dxa"/>
          </w:tcPr>
          <w:p w14:paraId="412628CB" w14:textId="77777777" w:rsidR="00872C03" w:rsidRPr="00883399" w:rsidRDefault="00872C03" w:rsidP="0031057E">
            <w:pPr>
              <w:pStyle w:val="Text"/>
              <w:keepNext/>
              <w:spacing w:before="120" w:line="240" w:lineRule="auto"/>
            </w:pPr>
            <w:r w:rsidRPr="00883399">
              <w:t>Section 4.47</w:t>
            </w:r>
          </w:p>
        </w:tc>
      </w:tr>
      <w:tr w:rsidR="00872C03" w:rsidRPr="00883399" w14:paraId="34B43784" w14:textId="77777777" w:rsidTr="0031057E">
        <w:tc>
          <w:tcPr>
            <w:tcW w:w="2280" w:type="dxa"/>
          </w:tcPr>
          <w:p w14:paraId="1306891A" w14:textId="77777777" w:rsidR="00872C03" w:rsidRPr="00883399" w:rsidRDefault="00872C03" w:rsidP="0031057E">
            <w:pPr>
              <w:pStyle w:val="Text"/>
              <w:keepNext/>
              <w:spacing w:before="120" w:line="240" w:lineRule="auto"/>
            </w:pPr>
            <w:r w:rsidRPr="00883399">
              <w:t>Method 2</w:t>
            </w:r>
          </w:p>
        </w:tc>
        <w:tc>
          <w:tcPr>
            <w:tcW w:w="1800" w:type="dxa"/>
          </w:tcPr>
          <w:p w14:paraId="7CC677FE" w14:textId="77777777" w:rsidR="00872C03" w:rsidRPr="00883399" w:rsidRDefault="00872C03" w:rsidP="0031057E">
            <w:pPr>
              <w:pStyle w:val="Text"/>
              <w:keepNext/>
              <w:spacing w:before="120" w:line="240" w:lineRule="auto"/>
            </w:pPr>
            <w:r w:rsidRPr="00883399">
              <w:t>NO</w:t>
            </w:r>
          </w:p>
        </w:tc>
        <w:tc>
          <w:tcPr>
            <w:tcW w:w="1680" w:type="dxa"/>
          </w:tcPr>
          <w:p w14:paraId="64F64B66" w14:textId="77777777" w:rsidR="00872C03" w:rsidRPr="00883399" w:rsidRDefault="00872C03" w:rsidP="0031057E">
            <w:pPr>
              <w:pStyle w:val="Text"/>
              <w:keepNext/>
              <w:spacing w:before="120" w:line="240" w:lineRule="auto"/>
            </w:pPr>
            <w:r w:rsidRPr="00883399">
              <w:t>NO</w:t>
            </w:r>
          </w:p>
        </w:tc>
        <w:tc>
          <w:tcPr>
            <w:tcW w:w="1694" w:type="dxa"/>
          </w:tcPr>
          <w:p w14:paraId="57B77945" w14:textId="77777777" w:rsidR="00872C03" w:rsidRPr="00883399" w:rsidRDefault="00872C03" w:rsidP="0031057E">
            <w:pPr>
              <w:pStyle w:val="Text"/>
              <w:keepNext/>
              <w:spacing w:before="120" w:line="240" w:lineRule="auto"/>
            </w:pPr>
            <w:r w:rsidRPr="00883399">
              <w:t>Section 4.48</w:t>
            </w:r>
          </w:p>
        </w:tc>
      </w:tr>
      <w:tr w:rsidR="00872C03" w:rsidRPr="00883399" w14:paraId="1740A404" w14:textId="77777777" w:rsidTr="0031057E">
        <w:tc>
          <w:tcPr>
            <w:tcW w:w="2280" w:type="dxa"/>
          </w:tcPr>
          <w:p w14:paraId="00C28891" w14:textId="77777777" w:rsidR="00872C03" w:rsidRPr="00883399" w:rsidRDefault="00872C03" w:rsidP="0031057E">
            <w:pPr>
              <w:pStyle w:val="Text"/>
              <w:keepNext/>
              <w:spacing w:before="120" w:line="240" w:lineRule="auto"/>
            </w:pPr>
            <w:r w:rsidRPr="00883399">
              <w:t>Method 3</w:t>
            </w:r>
          </w:p>
        </w:tc>
        <w:tc>
          <w:tcPr>
            <w:tcW w:w="1800" w:type="dxa"/>
          </w:tcPr>
          <w:p w14:paraId="41FDCC56" w14:textId="77777777" w:rsidR="00872C03" w:rsidRPr="00883399" w:rsidRDefault="00872C03" w:rsidP="0031057E">
            <w:pPr>
              <w:pStyle w:val="Text"/>
              <w:keepNext/>
              <w:spacing w:before="120" w:line="240" w:lineRule="auto"/>
            </w:pPr>
            <w:r w:rsidRPr="00883399">
              <w:t>NO</w:t>
            </w:r>
          </w:p>
        </w:tc>
        <w:tc>
          <w:tcPr>
            <w:tcW w:w="1680" w:type="dxa"/>
          </w:tcPr>
          <w:p w14:paraId="4094D8C8" w14:textId="77777777" w:rsidR="00872C03" w:rsidRPr="00883399" w:rsidRDefault="00872C03" w:rsidP="0031057E">
            <w:pPr>
              <w:pStyle w:val="Text"/>
              <w:keepNext/>
              <w:spacing w:before="120" w:line="240" w:lineRule="auto"/>
            </w:pPr>
            <w:r w:rsidRPr="00883399">
              <w:t>NO</w:t>
            </w:r>
          </w:p>
        </w:tc>
        <w:tc>
          <w:tcPr>
            <w:tcW w:w="1694" w:type="dxa"/>
          </w:tcPr>
          <w:p w14:paraId="294D5849" w14:textId="77777777" w:rsidR="00872C03" w:rsidRPr="00883399" w:rsidRDefault="00872C03" w:rsidP="0031057E">
            <w:pPr>
              <w:pStyle w:val="Text"/>
              <w:keepNext/>
              <w:spacing w:before="120" w:line="240" w:lineRule="auto"/>
            </w:pPr>
            <w:r w:rsidRPr="00883399">
              <w:t>NA</w:t>
            </w:r>
          </w:p>
        </w:tc>
      </w:tr>
      <w:tr w:rsidR="00872C03" w:rsidRPr="00883399" w14:paraId="5FCB9B11" w14:textId="77777777" w:rsidTr="0031057E">
        <w:tc>
          <w:tcPr>
            <w:tcW w:w="2280" w:type="dxa"/>
          </w:tcPr>
          <w:p w14:paraId="25E0E979" w14:textId="77777777" w:rsidR="00872C03" w:rsidRPr="00883399" w:rsidRDefault="00872C03" w:rsidP="0031057E">
            <w:pPr>
              <w:pStyle w:val="Text"/>
              <w:keepNext/>
              <w:spacing w:before="120" w:line="240" w:lineRule="auto"/>
            </w:pPr>
            <w:r w:rsidRPr="00883399">
              <w:t>Method 4</w:t>
            </w:r>
          </w:p>
        </w:tc>
        <w:tc>
          <w:tcPr>
            <w:tcW w:w="1800" w:type="dxa"/>
          </w:tcPr>
          <w:p w14:paraId="40698D64" w14:textId="77777777" w:rsidR="00872C03" w:rsidRPr="00883399" w:rsidRDefault="00872C03" w:rsidP="0031057E">
            <w:pPr>
              <w:pStyle w:val="Text"/>
              <w:keepNext/>
              <w:spacing w:before="120" w:line="240" w:lineRule="auto"/>
            </w:pPr>
            <w:r w:rsidRPr="00883399">
              <w:t>NO</w:t>
            </w:r>
          </w:p>
        </w:tc>
        <w:tc>
          <w:tcPr>
            <w:tcW w:w="1680" w:type="dxa"/>
          </w:tcPr>
          <w:p w14:paraId="2C620547" w14:textId="77777777" w:rsidR="00872C03" w:rsidRPr="00883399" w:rsidRDefault="00872C03" w:rsidP="0031057E">
            <w:pPr>
              <w:pStyle w:val="Text"/>
              <w:keepNext/>
              <w:spacing w:before="120" w:line="240" w:lineRule="auto"/>
            </w:pPr>
            <w:r w:rsidRPr="00883399">
              <w:t>NO</w:t>
            </w:r>
          </w:p>
        </w:tc>
        <w:tc>
          <w:tcPr>
            <w:tcW w:w="1694" w:type="dxa"/>
          </w:tcPr>
          <w:p w14:paraId="4771475D" w14:textId="77777777" w:rsidR="00872C03" w:rsidRPr="00883399" w:rsidRDefault="00872C03" w:rsidP="0031057E">
            <w:pPr>
              <w:pStyle w:val="Text"/>
              <w:keepNext/>
              <w:spacing w:before="120" w:line="240" w:lineRule="auto"/>
            </w:pPr>
            <w:r w:rsidRPr="00883399">
              <w:t>Method 4 under Part 1.3</w:t>
            </w:r>
          </w:p>
        </w:tc>
      </w:tr>
    </w:tbl>
    <w:p w14:paraId="2108C4AD" w14:textId="77777777" w:rsidR="00872C03" w:rsidRPr="00883399" w:rsidRDefault="00872C03" w:rsidP="00872C03">
      <w:pPr>
        <w:pStyle w:val="R2"/>
        <w:keepNext/>
        <w:ind w:hanging="62"/>
        <w:rPr>
          <w:sz w:val="20"/>
          <w:szCs w:val="20"/>
        </w:rPr>
      </w:pPr>
      <w:r w:rsidRPr="00883399">
        <w:rPr>
          <w:sz w:val="20"/>
          <w:szCs w:val="20"/>
        </w:rPr>
        <w:t>NO = Not occurring, NA = Not available.</w:t>
      </w:r>
    </w:p>
    <w:p w14:paraId="686DF118" w14:textId="77777777" w:rsidR="00872C03" w:rsidRPr="00883399" w:rsidRDefault="00872C03" w:rsidP="00872C03">
      <w:pPr>
        <w:pStyle w:val="subsection"/>
        <w:rPr>
          <w:sz w:val="24"/>
        </w:rPr>
      </w:pPr>
    </w:p>
    <w:p w14:paraId="5CC71429" w14:textId="46B8F618" w:rsidR="00872C03" w:rsidRPr="00883399" w:rsidRDefault="00872C03" w:rsidP="00872C03">
      <w:pPr>
        <w:pStyle w:val="ActHead5"/>
        <w:rPr>
          <w:sz w:val="28"/>
        </w:rPr>
      </w:pPr>
      <w:bookmarkStart w:id="920" w:name="_Toc423517057"/>
      <w:bookmarkStart w:id="921" w:name="_Toc495652989"/>
      <w:r w:rsidRPr="00883399">
        <w:rPr>
          <w:rStyle w:val="CharSectno"/>
          <w:sz w:val="28"/>
        </w:rPr>
        <w:lastRenderedPageBreak/>
        <w:t>4.47</w:t>
      </w:r>
      <w:r w:rsidRPr="00883399">
        <w:rPr>
          <w:sz w:val="28"/>
        </w:rPr>
        <w:t xml:space="preserve">  Method 1—nitric acid production</w:t>
      </w:r>
      <w:bookmarkEnd w:id="920"/>
      <w:bookmarkEnd w:id="921"/>
    </w:p>
    <w:p w14:paraId="5C5D5F0E" w14:textId="77777777" w:rsidR="00872C03" w:rsidRPr="00883399" w:rsidRDefault="00872C03" w:rsidP="00872C03">
      <w:pPr>
        <w:pStyle w:val="R1"/>
        <w:keepLines w:val="0"/>
        <w:spacing w:before="240" w:line="312" w:lineRule="auto"/>
        <w:ind w:left="0" w:firstLine="0"/>
        <w:jc w:val="left"/>
      </w:pPr>
      <w:r w:rsidRPr="00883399">
        <w:tab/>
      </w:r>
      <w:r w:rsidRPr="00883399">
        <w:rPr>
          <w:rFonts w:ascii="Arial" w:hAnsi="Arial" w:cs="Arial"/>
          <w:sz w:val="22"/>
          <w:szCs w:val="22"/>
        </w:rPr>
        <w:t xml:space="preserve">Method 1 for emissions released from the production of nitric acid (is derived from the methodology used for the </w:t>
      </w:r>
      <w:r w:rsidRPr="00883399">
        <w:rPr>
          <w:rFonts w:ascii="Arial" w:hAnsi="Arial" w:cs="Arial"/>
          <w:i/>
          <w:sz w:val="22"/>
          <w:szCs w:val="22"/>
        </w:rPr>
        <w:t>National Greenhouse Accounts</w:t>
      </w:r>
      <w:r w:rsidRPr="00883399">
        <w:rPr>
          <w:rFonts w:ascii="Arial" w:hAnsi="Arial" w:cs="Arial"/>
          <w:sz w:val="22"/>
          <w:szCs w:val="22"/>
        </w:rPr>
        <w:t xml:space="preserve">, with the emission factors for individual plants taken from the </w:t>
      </w:r>
      <w:r w:rsidRPr="00883399">
        <w:rPr>
          <w:rFonts w:ascii="Arial" w:hAnsi="Arial" w:cs="Arial"/>
          <w:i/>
          <w:sz w:val="22"/>
          <w:szCs w:val="22"/>
        </w:rPr>
        <w:t>IPCC Guidelines for National Greenhouse Inventories Volume 3, Part 1</w:t>
      </w:r>
      <w:r w:rsidRPr="00883399">
        <w:t>.</w:t>
      </w:r>
    </w:p>
    <w:p w14:paraId="05148716" w14:textId="77777777" w:rsidR="00872C03" w:rsidRPr="00883399" w:rsidRDefault="00872C03" w:rsidP="00872C03">
      <w:pPr>
        <w:pStyle w:val="subsection"/>
        <w:rPr>
          <w:sz w:val="24"/>
        </w:rPr>
      </w:pPr>
      <w:r w:rsidRPr="00883399">
        <w:rPr>
          <w:sz w:val="24"/>
        </w:rPr>
        <w:t xml:space="preserve"> </w:t>
      </w:r>
      <w:r w:rsidRPr="00883399">
        <w:rPr>
          <w:sz w:val="24"/>
        </w:rPr>
        <w:tab/>
        <w:t>(1)</w:t>
      </w:r>
      <w:r w:rsidRPr="00883399">
        <w:rPr>
          <w:sz w:val="24"/>
        </w:rPr>
        <w:tab/>
        <w:t>Method 1 is:</w:t>
      </w:r>
    </w:p>
    <w:p w14:paraId="7F8F1926" w14:textId="3FDDD3CF"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0B70AAEC" wp14:editId="7C59E12E">
            <wp:extent cx="1228725" cy="2000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p>
    <w:p w14:paraId="2FC4D5EB" w14:textId="77777777" w:rsidR="00872C03" w:rsidRPr="00883399" w:rsidRDefault="00872C03" w:rsidP="00872C03">
      <w:pPr>
        <w:pStyle w:val="subsection2"/>
        <w:rPr>
          <w:sz w:val="24"/>
        </w:rPr>
      </w:pPr>
      <w:r w:rsidRPr="00883399">
        <w:rPr>
          <w:sz w:val="24"/>
        </w:rPr>
        <w:t>where:</w:t>
      </w:r>
    </w:p>
    <w:p w14:paraId="2D4F6FD0" w14:textId="77777777" w:rsidR="00872C03" w:rsidRPr="00883399" w:rsidRDefault="00872C03" w:rsidP="00872C03">
      <w:pPr>
        <w:pStyle w:val="Definition0"/>
        <w:rPr>
          <w:sz w:val="24"/>
        </w:rPr>
      </w:pPr>
      <w:r w:rsidRPr="00883399">
        <w:rPr>
          <w:b/>
          <w:i/>
          <w:sz w:val="24"/>
        </w:rPr>
        <w:t>E</w:t>
      </w:r>
      <w:r w:rsidRPr="00883399">
        <w:rPr>
          <w:rStyle w:val="charSubscript"/>
          <w:b/>
          <w:i/>
          <w:sz w:val="18"/>
          <w:szCs w:val="16"/>
        </w:rPr>
        <w:t>ijk</w:t>
      </w:r>
      <w:r w:rsidRPr="00883399">
        <w:rPr>
          <w:b/>
          <w:i/>
          <w:sz w:val="24"/>
        </w:rPr>
        <w:t xml:space="preserve"> </w:t>
      </w:r>
      <w:r w:rsidRPr="00883399">
        <w:rPr>
          <w:sz w:val="24"/>
        </w:rPr>
        <w:t>is the emissions of nitrous oxide released during the year from the production of nitric acid at plant type (</w:t>
      </w:r>
      <w:r w:rsidRPr="00883399">
        <w:rPr>
          <w:b/>
          <w:i/>
          <w:sz w:val="24"/>
        </w:rPr>
        <w:t>k</w:t>
      </w:r>
      <w:r w:rsidRPr="00883399">
        <w:rPr>
          <w:sz w:val="24"/>
        </w:rPr>
        <w:t>) measured in CO</w:t>
      </w:r>
      <w:r w:rsidRPr="00883399">
        <w:rPr>
          <w:rStyle w:val="charSubscript"/>
          <w:iCs/>
          <w:sz w:val="22"/>
        </w:rPr>
        <w:t>2</w:t>
      </w:r>
      <w:r w:rsidRPr="00883399">
        <w:rPr>
          <w:sz w:val="24"/>
        </w:rPr>
        <w:noBreakHyphen/>
        <w:t>e tonnes.</w:t>
      </w:r>
    </w:p>
    <w:p w14:paraId="5B81576D" w14:textId="77777777" w:rsidR="00872C03" w:rsidRPr="00883399" w:rsidRDefault="00872C03" w:rsidP="00872C03">
      <w:pPr>
        <w:pStyle w:val="Definition0"/>
        <w:rPr>
          <w:sz w:val="24"/>
        </w:rPr>
      </w:pPr>
      <w:r w:rsidRPr="00883399">
        <w:rPr>
          <w:b/>
          <w:i/>
          <w:sz w:val="24"/>
        </w:rPr>
        <w:t>EF</w:t>
      </w:r>
      <w:r w:rsidRPr="00883399">
        <w:rPr>
          <w:rStyle w:val="charSubscript"/>
          <w:b/>
          <w:i/>
          <w:sz w:val="22"/>
        </w:rPr>
        <w:t>ijk</w:t>
      </w:r>
      <w:r w:rsidRPr="00883399">
        <w:rPr>
          <w:b/>
          <w:i/>
          <w:sz w:val="24"/>
        </w:rPr>
        <w:t xml:space="preserve"> </w:t>
      </w:r>
      <w:r w:rsidRPr="00883399">
        <w:rPr>
          <w:sz w:val="24"/>
        </w:rPr>
        <w:t>is the emission factor of nitrous oxide for each tonne of nitric acid produced during the year from plant type (</w:t>
      </w:r>
      <w:r w:rsidRPr="00883399">
        <w:rPr>
          <w:b/>
          <w:i/>
          <w:sz w:val="24"/>
        </w:rPr>
        <w:t>k</w:t>
      </w:r>
      <w:r w:rsidRPr="00883399">
        <w:rPr>
          <w:sz w:val="24"/>
        </w:rPr>
        <w:t>).</w:t>
      </w:r>
    </w:p>
    <w:p w14:paraId="0C03DAC6" w14:textId="77777777" w:rsidR="00872C03" w:rsidRPr="00883399" w:rsidRDefault="00872C03" w:rsidP="00872C03">
      <w:pPr>
        <w:pStyle w:val="Definition0"/>
        <w:rPr>
          <w:sz w:val="24"/>
        </w:rPr>
      </w:pPr>
      <w:r w:rsidRPr="00883399">
        <w:rPr>
          <w:b/>
          <w:i/>
          <w:sz w:val="24"/>
        </w:rPr>
        <w:t>A</w:t>
      </w:r>
      <w:r w:rsidRPr="00883399">
        <w:rPr>
          <w:rStyle w:val="charSubscript"/>
          <w:b/>
          <w:i/>
          <w:sz w:val="22"/>
        </w:rPr>
        <w:t>ik</w:t>
      </w:r>
      <w:r w:rsidRPr="00883399">
        <w:rPr>
          <w:b/>
          <w:i/>
          <w:sz w:val="24"/>
        </w:rPr>
        <w:t xml:space="preserve"> </w:t>
      </w:r>
      <w:r w:rsidRPr="00883399">
        <w:rPr>
          <w:sz w:val="24"/>
        </w:rPr>
        <w:t>is the quantity, measured in tonnes, of nitric acid produced during the year from plant type (</w:t>
      </w:r>
      <w:r w:rsidRPr="00883399">
        <w:rPr>
          <w:b/>
          <w:i/>
          <w:sz w:val="24"/>
        </w:rPr>
        <w:t>k</w:t>
      </w:r>
      <w:r w:rsidRPr="00883399">
        <w:rPr>
          <w:sz w:val="24"/>
        </w:rPr>
        <w:t>).</w:t>
      </w:r>
    </w:p>
    <w:p w14:paraId="0AECA02B" w14:textId="77777777" w:rsidR="00872C03" w:rsidRPr="00883399" w:rsidRDefault="00872C03" w:rsidP="00872C03">
      <w:pPr>
        <w:pStyle w:val="subsection"/>
        <w:rPr>
          <w:sz w:val="24"/>
        </w:rPr>
      </w:pPr>
      <w:r w:rsidRPr="00883399">
        <w:rPr>
          <w:sz w:val="24"/>
        </w:rPr>
        <w:tab/>
        <w:t>(2)</w:t>
      </w:r>
      <w:r w:rsidRPr="00883399">
        <w:rPr>
          <w:sz w:val="24"/>
        </w:rPr>
        <w:tab/>
        <w:t xml:space="preserve">For </w:t>
      </w:r>
      <w:r w:rsidRPr="00883399">
        <w:rPr>
          <w:b/>
          <w:i/>
          <w:sz w:val="24"/>
        </w:rPr>
        <w:t>EF</w:t>
      </w:r>
      <w:r w:rsidRPr="00883399">
        <w:rPr>
          <w:rStyle w:val="charSubscript"/>
          <w:b/>
          <w:i/>
          <w:sz w:val="24"/>
        </w:rPr>
        <w:t>ijk</w:t>
      </w:r>
      <w:r w:rsidRPr="00883399">
        <w:rPr>
          <w:sz w:val="24"/>
        </w:rPr>
        <w:t xml:space="preserve"> in subsection (1), column 3 of an item in the following table specifies the emission factor of nitrous oxide for each tonne of nitric acid produced from a plant type (</w:t>
      </w:r>
      <w:r w:rsidRPr="00883399">
        <w:rPr>
          <w:b/>
          <w:i/>
          <w:sz w:val="24"/>
        </w:rPr>
        <w:t>k</w:t>
      </w:r>
      <w:r w:rsidRPr="00883399">
        <w:rPr>
          <w:i/>
          <w:sz w:val="24"/>
        </w:rPr>
        <w:t>)</w:t>
      </w:r>
      <w:r w:rsidRPr="00883399">
        <w:rPr>
          <w:sz w:val="24"/>
        </w:rPr>
        <w:t xml:space="preserve"> specified in column 2 of that item.</w:t>
      </w:r>
    </w:p>
    <w:p w14:paraId="32C95AFA" w14:textId="77777777" w:rsidR="00872C03" w:rsidRPr="00883399" w:rsidRDefault="00872C03" w:rsidP="00872C03">
      <w:pPr>
        <w:pStyle w:val="Tabletext0"/>
        <w:rPr>
          <w:sz w:val="22"/>
        </w:rPr>
      </w:pPr>
    </w:p>
    <w:tbl>
      <w:tblPr>
        <w:tblW w:w="0" w:type="auto"/>
        <w:tblInd w:w="106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20"/>
        <w:gridCol w:w="3360"/>
        <w:gridCol w:w="3360"/>
      </w:tblGrid>
      <w:tr w:rsidR="00872C03" w:rsidRPr="00883399" w14:paraId="288B4EBA" w14:textId="77777777" w:rsidTr="0031057E">
        <w:trPr>
          <w:tblHeader/>
        </w:trPr>
        <w:tc>
          <w:tcPr>
            <w:tcW w:w="720" w:type="dxa"/>
            <w:tcBorders>
              <w:top w:val="single" w:sz="12" w:space="0" w:color="auto"/>
              <w:bottom w:val="single" w:sz="12" w:space="0" w:color="auto"/>
            </w:tcBorders>
            <w:shd w:val="clear" w:color="auto" w:fill="auto"/>
          </w:tcPr>
          <w:p w14:paraId="71B3FBFD" w14:textId="77777777" w:rsidR="00872C03" w:rsidRPr="00883399" w:rsidRDefault="00872C03" w:rsidP="0031057E">
            <w:pPr>
              <w:pStyle w:val="TableHeading"/>
              <w:rPr>
                <w:sz w:val="22"/>
              </w:rPr>
            </w:pPr>
            <w:r w:rsidRPr="00883399">
              <w:rPr>
                <w:sz w:val="22"/>
              </w:rPr>
              <w:t>Item</w:t>
            </w:r>
          </w:p>
        </w:tc>
        <w:tc>
          <w:tcPr>
            <w:tcW w:w="3360" w:type="dxa"/>
            <w:tcBorders>
              <w:top w:val="single" w:sz="12" w:space="0" w:color="auto"/>
              <w:bottom w:val="single" w:sz="12" w:space="0" w:color="auto"/>
            </w:tcBorders>
            <w:shd w:val="clear" w:color="auto" w:fill="auto"/>
          </w:tcPr>
          <w:p w14:paraId="20D70A94" w14:textId="77777777" w:rsidR="00872C03" w:rsidRPr="00883399" w:rsidRDefault="00872C03" w:rsidP="0031057E">
            <w:pPr>
              <w:pStyle w:val="TableHeading"/>
              <w:rPr>
                <w:sz w:val="22"/>
              </w:rPr>
            </w:pPr>
            <w:r w:rsidRPr="00883399">
              <w:rPr>
                <w:sz w:val="22"/>
              </w:rPr>
              <w:t>Plant type (</w:t>
            </w:r>
            <w:r w:rsidRPr="00883399">
              <w:rPr>
                <w:i/>
                <w:sz w:val="22"/>
              </w:rPr>
              <w:t>k</w:t>
            </w:r>
            <w:r w:rsidRPr="00883399">
              <w:rPr>
                <w:sz w:val="22"/>
              </w:rPr>
              <w:t>)</w:t>
            </w:r>
          </w:p>
        </w:tc>
        <w:tc>
          <w:tcPr>
            <w:tcW w:w="3360" w:type="dxa"/>
            <w:tcBorders>
              <w:top w:val="single" w:sz="12" w:space="0" w:color="auto"/>
              <w:bottom w:val="single" w:sz="12" w:space="0" w:color="auto"/>
            </w:tcBorders>
            <w:shd w:val="clear" w:color="auto" w:fill="auto"/>
          </w:tcPr>
          <w:p w14:paraId="74BD985E" w14:textId="77777777" w:rsidR="00872C03" w:rsidRPr="00883399" w:rsidRDefault="00872C03" w:rsidP="0031057E">
            <w:pPr>
              <w:pStyle w:val="TableHeading"/>
              <w:rPr>
                <w:sz w:val="22"/>
              </w:rPr>
            </w:pPr>
            <w:r w:rsidRPr="00883399">
              <w:rPr>
                <w:sz w:val="22"/>
              </w:rPr>
              <w:t>Emission factor of nitrous oxide</w:t>
            </w:r>
            <w:r w:rsidRPr="00883399">
              <w:rPr>
                <w:sz w:val="22"/>
              </w:rPr>
              <w:br/>
              <w:t>(tonnes CO</w:t>
            </w:r>
            <w:r w:rsidRPr="00883399">
              <w:rPr>
                <w:sz w:val="22"/>
                <w:vertAlign w:val="subscript"/>
              </w:rPr>
              <w:t>2</w:t>
            </w:r>
            <w:r w:rsidRPr="00883399">
              <w:rPr>
                <w:sz w:val="22"/>
              </w:rPr>
              <w:noBreakHyphen/>
              <w:t xml:space="preserve">e per tonne of nitric acid production) </w:t>
            </w:r>
          </w:p>
        </w:tc>
      </w:tr>
      <w:tr w:rsidR="00872C03" w:rsidRPr="00883399" w14:paraId="4FF9B105" w14:textId="77777777" w:rsidTr="0031057E">
        <w:tc>
          <w:tcPr>
            <w:tcW w:w="720" w:type="dxa"/>
            <w:tcBorders>
              <w:top w:val="single" w:sz="12" w:space="0" w:color="auto"/>
            </w:tcBorders>
            <w:shd w:val="clear" w:color="auto" w:fill="auto"/>
          </w:tcPr>
          <w:p w14:paraId="035803B9" w14:textId="77777777" w:rsidR="00872C03" w:rsidRPr="00883399" w:rsidRDefault="00872C03" w:rsidP="0031057E">
            <w:pPr>
              <w:pStyle w:val="Tabletext0"/>
              <w:rPr>
                <w:sz w:val="22"/>
              </w:rPr>
            </w:pPr>
            <w:r w:rsidRPr="00883399">
              <w:rPr>
                <w:sz w:val="22"/>
              </w:rPr>
              <w:t>1</w:t>
            </w:r>
          </w:p>
        </w:tc>
        <w:tc>
          <w:tcPr>
            <w:tcW w:w="3360" w:type="dxa"/>
            <w:tcBorders>
              <w:top w:val="single" w:sz="12" w:space="0" w:color="auto"/>
            </w:tcBorders>
            <w:shd w:val="clear" w:color="auto" w:fill="auto"/>
          </w:tcPr>
          <w:p w14:paraId="629394FD" w14:textId="77777777" w:rsidR="00872C03" w:rsidRPr="00883399" w:rsidRDefault="00872C03" w:rsidP="0031057E">
            <w:pPr>
              <w:pStyle w:val="Tabletext0"/>
              <w:rPr>
                <w:sz w:val="22"/>
              </w:rPr>
            </w:pPr>
            <w:r w:rsidRPr="00883399">
              <w:rPr>
                <w:sz w:val="22"/>
              </w:rPr>
              <w:t>Atmospheric pressure plants</w:t>
            </w:r>
          </w:p>
        </w:tc>
        <w:tc>
          <w:tcPr>
            <w:tcW w:w="3360" w:type="dxa"/>
            <w:tcBorders>
              <w:top w:val="single" w:sz="12" w:space="0" w:color="auto"/>
            </w:tcBorders>
            <w:shd w:val="clear" w:color="auto" w:fill="auto"/>
          </w:tcPr>
          <w:p w14:paraId="52C7A45F" w14:textId="77777777" w:rsidR="00872C03" w:rsidRPr="00883399" w:rsidRDefault="00872C03" w:rsidP="0031057E">
            <w:pPr>
              <w:pStyle w:val="Tabletext0"/>
              <w:rPr>
                <w:sz w:val="22"/>
              </w:rPr>
            </w:pPr>
            <w:r w:rsidRPr="00883399">
              <w:rPr>
                <w:sz w:val="22"/>
              </w:rPr>
              <w:t>1.49</w:t>
            </w:r>
          </w:p>
        </w:tc>
      </w:tr>
      <w:tr w:rsidR="00872C03" w:rsidRPr="00883399" w14:paraId="14DD7805" w14:textId="77777777" w:rsidTr="0031057E">
        <w:tc>
          <w:tcPr>
            <w:tcW w:w="720" w:type="dxa"/>
            <w:tcBorders>
              <w:bottom w:val="single" w:sz="4" w:space="0" w:color="auto"/>
            </w:tcBorders>
            <w:shd w:val="clear" w:color="auto" w:fill="auto"/>
          </w:tcPr>
          <w:p w14:paraId="3908E4DC" w14:textId="77777777" w:rsidR="00872C03" w:rsidRPr="00883399" w:rsidRDefault="00872C03" w:rsidP="0031057E">
            <w:pPr>
              <w:pStyle w:val="Tabletext0"/>
              <w:rPr>
                <w:sz w:val="22"/>
              </w:rPr>
            </w:pPr>
            <w:r w:rsidRPr="00883399">
              <w:rPr>
                <w:sz w:val="22"/>
              </w:rPr>
              <w:t>2</w:t>
            </w:r>
          </w:p>
        </w:tc>
        <w:tc>
          <w:tcPr>
            <w:tcW w:w="3360" w:type="dxa"/>
            <w:tcBorders>
              <w:bottom w:val="single" w:sz="4" w:space="0" w:color="auto"/>
            </w:tcBorders>
            <w:shd w:val="clear" w:color="auto" w:fill="auto"/>
          </w:tcPr>
          <w:p w14:paraId="25408FCF" w14:textId="77777777" w:rsidR="00872C03" w:rsidRPr="00883399" w:rsidRDefault="00872C03" w:rsidP="0031057E">
            <w:pPr>
              <w:pStyle w:val="Tabletext0"/>
              <w:rPr>
                <w:sz w:val="22"/>
              </w:rPr>
            </w:pPr>
            <w:r w:rsidRPr="00883399">
              <w:rPr>
                <w:sz w:val="22"/>
              </w:rPr>
              <w:t>Medium pressure combustion plant</w:t>
            </w:r>
          </w:p>
        </w:tc>
        <w:tc>
          <w:tcPr>
            <w:tcW w:w="3360" w:type="dxa"/>
            <w:tcBorders>
              <w:bottom w:val="single" w:sz="4" w:space="0" w:color="auto"/>
            </w:tcBorders>
            <w:shd w:val="clear" w:color="auto" w:fill="auto"/>
          </w:tcPr>
          <w:p w14:paraId="38D9C168" w14:textId="77777777" w:rsidR="00872C03" w:rsidRPr="00883399" w:rsidRDefault="00872C03" w:rsidP="0031057E">
            <w:pPr>
              <w:pStyle w:val="Tabletext0"/>
              <w:rPr>
                <w:sz w:val="22"/>
              </w:rPr>
            </w:pPr>
            <w:r w:rsidRPr="00883399">
              <w:rPr>
                <w:sz w:val="22"/>
              </w:rPr>
              <w:t>2.09</w:t>
            </w:r>
          </w:p>
        </w:tc>
      </w:tr>
      <w:tr w:rsidR="00872C03" w:rsidRPr="00883399" w14:paraId="7960BB08" w14:textId="77777777" w:rsidTr="0031057E">
        <w:tc>
          <w:tcPr>
            <w:tcW w:w="720" w:type="dxa"/>
            <w:tcBorders>
              <w:bottom w:val="single" w:sz="12" w:space="0" w:color="auto"/>
            </w:tcBorders>
            <w:shd w:val="clear" w:color="auto" w:fill="auto"/>
          </w:tcPr>
          <w:p w14:paraId="0F520500" w14:textId="77777777" w:rsidR="00872C03" w:rsidRPr="00883399" w:rsidRDefault="00872C03" w:rsidP="0031057E">
            <w:pPr>
              <w:pStyle w:val="Tabletext0"/>
              <w:rPr>
                <w:sz w:val="22"/>
              </w:rPr>
            </w:pPr>
            <w:r w:rsidRPr="00883399">
              <w:rPr>
                <w:sz w:val="22"/>
              </w:rPr>
              <w:t>3</w:t>
            </w:r>
          </w:p>
        </w:tc>
        <w:tc>
          <w:tcPr>
            <w:tcW w:w="3360" w:type="dxa"/>
            <w:tcBorders>
              <w:bottom w:val="single" w:sz="12" w:space="0" w:color="auto"/>
            </w:tcBorders>
            <w:shd w:val="clear" w:color="auto" w:fill="auto"/>
          </w:tcPr>
          <w:p w14:paraId="589698C8" w14:textId="77777777" w:rsidR="00872C03" w:rsidRPr="00883399" w:rsidRDefault="00872C03" w:rsidP="0031057E">
            <w:pPr>
              <w:pStyle w:val="Tabletext0"/>
              <w:rPr>
                <w:sz w:val="22"/>
              </w:rPr>
            </w:pPr>
            <w:r w:rsidRPr="00883399">
              <w:rPr>
                <w:sz w:val="22"/>
              </w:rPr>
              <w:t>High pressure plant</w:t>
            </w:r>
          </w:p>
        </w:tc>
        <w:tc>
          <w:tcPr>
            <w:tcW w:w="3360" w:type="dxa"/>
            <w:tcBorders>
              <w:bottom w:val="single" w:sz="12" w:space="0" w:color="auto"/>
            </w:tcBorders>
            <w:shd w:val="clear" w:color="auto" w:fill="auto"/>
          </w:tcPr>
          <w:p w14:paraId="24700AF2" w14:textId="77777777" w:rsidR="00872C03" w:rsidRPr="00883399" w:rsidRDefault="00872C03" w:rsidP="0031057E">
            <w:pPr>
              <w:pStyle w:val="Tabletext0"/>
              <w:rPr>
                <w:sz w:val="22"/>
              </w:rPr>
            </w:pPr>
            <w:r w:rsidRPr="00883399">
              <w:rPr>
                <w:sz w:val="22"/>
              </w:rPr>
              <w:t>2.68</w:t>
            </w:r>
          </w:p>
        </w:tc>
      </w:tr>
    </w:tbl>
    <w:p w14:paraId="0EF408F0" w14:textId="77777777" w:rsidR="00872C03" w:rsidRPr="00883399" w:rsidRDefault="00872C03" w:rsidP="00872C03">
      <w:pPr>
        <w:pStyle w:val="notetext"/>
        <w:rPr>
          <w:sz w:val="20"/>
        </w:rPr>
      </w:pPr>
      <w:r w:rsidRPr="00883399">
        <w:rPr>
          <w:sz w:val="20"/>
        </w:rPr>
        <w:t>Note:</w:t>
      </w:r>
      <w:r w:rsidRPr="00883399">
        <w:rPr>
          <w:sz w:val="20"/>
        </w:rPr>
        <w:tab/>
        <w:t>The emission factors specified in this table apply only to method 1 and the operation of a facility that is constituted by a plant that has not used measures to reduce nitrous oxide emissions.</w:t>
      </w:r>
    </w:p>
    <w:p w14:paraId="4307895F" w14:textId="77777777" w:rsidR="006E1310" w:rsidRPr="00883399" w:rsidRDefault="006E1310" w:rsidP="006E1310">
      <w:pPr>
        <w:pStyle w:val="Text"/>
        <w:keepNext/>
        <w:pBdr>
          <w:top w:val="single" w:sz="4" w:space="1" w:color="auto"/>
          <w:left w:val="single" w:sz="4" w:space="0" w:color="auto"/>
          <w:bottom w:val="single" w:sz="4" w:space="1" w:color="auto"/>
          <w:right w:val="single" w:sz="4" w:space="5" w:color="auto"/>
        </w:pBdr>
        <w:ind w:left="839"/>
        <w:outlineLvl w:val="0"/>
        <w:rPr>
          <w:sz w:val="22"/>
          <w:szCs w:val="22"/>
        </w:rPr>
      </w:pPr>
      <w:r w:rsidRPr="00883399">
        <w:rPr>
          <w:b/>
          <w:sz w:val="22"/>
          <w:szCs w:val="22"/>
        </w:rPr>
        <w:t xml:space="preserve">Example: </w:t>
      </w:r>
      <w:r w:rsidRPr="00883399">
        <w:rPr>
          <w:sz w:val="22"/>
          <w:szCs w:val="22"/>
        </w:rPr>
        <w:t xml:space="preserve">A high pressure nitric acid plant produces 45,000 tonnes of nitric acid during the year.  The Reporter elects to use Method 1 </w:t>
      </w:r>
      <w:r w:rsidRPr="00883399">
        <w:rPr>
          <w:i/>
          <w:sz w:val="22"/>
          <w:szCs w:val="22"/>
        </w:rPr>
        <w:t>(Division 4.3.2)</w:t>
      </w:r>
      <w:r w:rsidRPr="00883399">
        <w:rPr>
          <w:sz w:val="22"/>
          <w:szCs w:val="22"/>
        </w:rPr>
        <w:t xml:space="preserve"> for each of </w:t>
      </w:r>
      <w:r w:rsidRPr="00883399">
        <w:rPr>
          <w:sz w:val="22"/>
          <w:szCs w:val="22"/>
        </w:rPr>
        <w:lastRenderedPageBreak/>
        <w:t>greenhouse emission gases (</w:t>
      </w:r>
      <w:r w:rsidRPr="00883399">
        <w:rPr>
          <w:i/>
          <w:sz w:val="22"/>
          <w:szCs w:val="22"/>
        </w:rPr>
        <w:t>j</w:t>
      </w:r>
      <w:r w:rsidRPr="00883399">
        <w:rPr>
          <w:sz w:val="22"/>
          <w:szCs w:val="22"/>
        </w:rPr>
        <w:t>) (nitrous oxide) to calculate the Industrial Process emissions. Emissions are estimated as follows:</w:t>
      </w:r>
    </w:p>
    <w:p w14:paraId="132DE578" w14:textId="77777777" w:rsidR="006E1310" w:rsidRPr="00883399" w:rsidRDefault="006E1310" w:rsidP="006E1310">
      <w:pPr>
        <w:pStyle w:val="Text"/>
        <w:keepNext/>
        <w:pBdr>
          <w:top w:val="single" w:sz="4" w:space="1" w:color="auto"/>
          <w:left w:val="single" w:sz="4" w:space="0" w:color="auto"/>
          <w:bottom w:val="single" w:sz="4" w:space="1" w:color="auto"/>
          <w:right w:val="single" w:sz="4" w:space="5" w:color="auto"/>
        </w:pBdr>
        <w:ind w:left="839"/>
        <w:jc w:val="center"/>
        <w:rPr>
          <w:sz w:val="22"/>
          <w:szCs w:val="22"/>
        </w:rPr>
      </w:pPr>
      <w:r w:rsidRPr="00883399">
        <w:rPr>
          <w:position w:val="-8"/>
        </w:rPr>
        <w:object w:dxaOrig="1640" w:dyaOrig="300" w14:anchorId="1F20A82C">
          <v:shape id="_x0000_i1074" type="#_x0000_t75" style="width:81pt;height:15pt" o:ole="">
            <v:imagedata r:id="rId209" o:title=""/>
          </v:shape>
          <o:OLEObject Type="Embed" ProgID="Equation.DSMT4" ShapeID="_x0000_i1074" DrawAspect="Content" ObjectID="_1594105965" r:id="rId210"/>
        </w:object>
      </w:r>
    </w:p>
    <w:p w14:paraId="62C8EBE8" w14:textId="77777777" w:rsidR="006E1310" w:rsidRPr="00883399" w:rsidRDefault="006E1310" w:rsidP="006E1310">
      <w:pPr>
        <w:pStyle w:val="Text"/>
        <w:keepNext/>
        <w:pBdr>
          <w:top w:val="single" w:sz="4" w:space="1" w:color="auto"/>
          <w:left w:val="single" w:sz="4" w:space="0" w:color="auto"/>
          <w:bottom w:val="single" w:sz="4" w:space="1" w:color="auto"/>
          <w:right w:val="single" w:sz="4" w:space="5" w:color="auto"/>
        </w:pBdr>
        <w:spacing w:before="0" w:after="0"/>
        <w:ind w:left="839"/>
        <w:rPr>
          <w:sz w:val="18"/>
          <w:szCs w:val="18"/>
        </w:rPr>
      </w:pPr>
      <w:r w:rsidRPr="00883399">
        <w:rPr>
          <w:sz w:val="18"/>
          <w:szCs w:val="18"/>
        </w:rPr>
        <w:t>where:</w:t>
      </w:r>
    </w:p>
    <w:p w14:paraId="510F0FC7" w14:textId="77777777" w:rsidR="006E1310" w:rsidRPr="00883399" w:rsidRDefault="006E1310" w:rsidP="006E1310">
      <w:pPr>
        <w:pStyle w:val="Text"/>
        <w:keepNext/>
        <w:pBdr>
          <w:top w:val="single" w:sz="4" w:space="1" w:color="auto"/>
          <w:left w:val="single" w:sz="4" w:space="0" w:color="auto"/>
          <w:bottom w:val="single" w:sz="4" w:space="1" w:color="auto"/>
          <w:right w:val="single" w:sz="4" w:space="5" w:color="auto"/>
        </w:pBdr>
        <w:spacing w:before="0"/>
        <w:ind w:left="839"/>
        <w:rPr>
          <w:sz w:val="18"/>
          <w:szCs w:val="18"/>
        </w:rPr>
      </w:pPr>
      <w:r w:rsidRPr="00883399">
        <w:rPr>
          <w:b/>
          <w:i/>
          <w:sz w:val="18"/>
          <w:szCs w:val="18"/>
        </w:rPr>
        <w:t>E</w:t>
      </w:r>
      <w:r w:rsidRPr="00883399">
        <w:rPr>
          <w:rFonts w:ascii="Times New Roman Bold" w:hAnsi="Times New Roman Bold"/>
          <w:b/>
          <w:i/>
          <w:sz w:val="18"/>
          <w:szCs w:val="18"/>
          <w:vertAlign w:val="subscript"/>
        </w:rPr>
        <w:t>ijk</w:t>
      </w:r>
      <w:r w:rsidRPr="00883399">
        <w:rPr>
          <w:sz w:val="18"/>
          <w:szCs w:val="18"/>
        </w:rPr>
        <w:t xml:space="preserve"> is the emissions of nitrous oxide released during the year from the production of nitric acid at the plant type (k) measured in CO</w:t>
      </w:r>
      <w:r w:rsidRPr="00883399">
        <w:rPr>
          <w:sz w:val="18"/>
          <w:szCs w:val="18"/>
          <w:vertAlign w:val="subscript"/>
        </w:rPr>
        <w:t>2</w:t>
      </w:r>
      <w:r w:rsidRPr="00883399">
        <w:rPr>
          <w:sz w:val="18"/>
          <w:szCs w:val="18"/>
        </w:rPr>
        <w:t xml:space="preserve"> e tonnes.</w:t>
      </w:r>
    </w:p>
    <w:p w14:paraId="49DD1FBB" w14:textId="77777777" w:rsidR="006E1310" w:rsidRPr="00883399" w:rsidRDefault="006E1310" w:rsidP="006E1310">
      <w:pPr>
        <w:pStyle w:val="Text"/>
        <w:keepNext/>
        <w:pBdr>
          <w:top w:val="single" w:sz="4" w:space="1" w:color="auto"/>
          <w:left w:val="single" w:sz="4" w:space="0" w:color="auto"/>
          <w:bottom w:val="single" w:sz="4" w:space="1" w:color="auto"/>
          <w:right w:val="single" w:sz="4" w:space="5" w:color="auto"/>
        </w:pBdr>
        <w:spacing w:before="120"/>
        <w:ind w:left="839"/>
        <w:rPr>
          <w:sz w:val="18"/>
          <w:szCs w:val="18"/>
        </w:rPr>
      </w:pPr>
      <w:r w:rsidRPr="00883399">
        <w:rPr>
          <w:b/>
          <w:i/>
          <w:sz w:val="18"/>
          <w:szCs w:val="18"/>
        </w:rPr>
        <w:t>EF</w:t>
      </w:r>
      <w:r w:rsidRPr="00883399">
        <w:rPr>
          <w:rFonts w:ascii="Times New Roman Bold Italic" w:hAnsi="Times New Roman Bold Italic"/>
          <w:b/>
          <w:i/>
          <w:sz w:val="18"/>
          <w:szCs w:val="18"/>
          <w:vertAlign w:val="subscript"/>
        </w:rPr>
        <w:t>ijk</w:t>
      </w:r>
      <w:r w:rsidRPr="00883399">
        <w:rPr>
          <w:sz w:val="18"/>
          <w:szCs w:val="18"/>
        </w:rPr>
        <w:t xml:space="preserve"> is the emission factor of nitrous oxide for each tonne of nitric acid produced during the year from plant type (k). </w:t>
      </w:r>
      <w:r w:rsidRPr="00883399">
        <w:rPr>
          <w:b/>
          <w:sz w:val="18"/>
          <w:szCs w:val="18"/>
        </w:rPr>
        <w:t xml:space="preserve">In this </w:t>
      </w:r>
      <w:r w:rsidR="005033AE" w:rsidRPr="00883399">
        <w:rPr>
          <w:b/>
          <w:sz w:val="18"/>
          <w:szCs w:val="18"/>
        </w:rPr>
        <w:t>case the emission factor is 2.68</w:t>
      </w:r>
      <w:r w:rsidRPr="00883399">
        <w:rPr>
          <w:b/>
          <w:sz w:val="18"/>
          <w:szCs w:val="18"/>
        </w:rPr>
        <w:t xml:space="preserve"> tonnes CO</w:t>
      </w:r>
      <w:r w:rsidRPr="00883399">
        <w:rPr>
          <w:rFonts w:ascii="Times New Roman Bold" w:hAnsi="Times New Roman Bold"/>
          <w:b/>
          <w:sz w:val="18"/>
          <w:szCs w:val="18"/>
          <w:vertAlign w:val="subscript"/>
        </w:rPr>
        <w:t>2</w:t>
      </w:r>
      <w:r w:rsidRPr="00883399">
        <w:rPr>
          <w:b/>
          <w:sz w:val="18"/>
          <w:szCs w:val="18"/>
        </w:rPr>
        <w:t xml:space="preserve">-e per tonne of nitric acid production for a high pressure plant. </w:t>
      </w:r>
    </w:p>
    <w:p w14:paraId="43172BFD" w14:textId="77777777" w:rsidR="006E1310" w:rsidRPr="00883399" w:rsidRDefault="006E1310" w:rsidP="006E1310">
      <w:pPr>
        <w:pStyle w:val="Text"/>
        <w:keepNext/>
        <w:pBdr>
          <w:top w:val="single" w:sz="4" w:space="1" w:color="auto"/>
          <w:left w:val="single" w:sz="4" w:space="0" w:color="auto"/>
          <w:bottom w:val="single" w:sz="4" w:space="1" w:color="auto"/>
          <w:right w:val="single" w:sz="4" w:space="5" w:color="auto"/>
        </w:pBdr>
        <w:spacing w:before="120"/>
        <w:ind w:left="839"/>
        <w:rPr>
          <w:sz w:val="18"/>
          <w:szCs w:val="18"/>
        </w:rPr>
      </w:pPr>
      <w:r w:rsidRPr="00883399">
        <w:rPr>
          <w:b/>
          <w:i/>
          <w:sz w:val="18"/>
          <w:szCs w:val="18"/>
        </w:rPr>
        <w:t>A</w:t>
      </w:r>
      <w:r w:rsidRPr="00883399">
        <w:rPr>
          <w:rFonts w:ascii="Times New Roman Bold Italic" w:hAnsi="Times New Roman Bold Italic"/>
          <w:b/>
          <w:i/>
          <w:sz w:val="18"/>
          <w:szCs w:val="18"/>
          <w:vertAlign w:val="subscript"/>
        </w:rPr>
        <w:t>ik</w:t>
      </w:r>
      <w:r w:rsidRPr="00883399">
        <w:rPr>
          <w:sz w:val="18"/>
          <w:szCs w:val="18"/>
        </w:rPr>
        <w:t xml:space="preserve"> is the quantity, measured in tonnes, of nitric acid produced during the year from plant type (k). </w:t>
      </w:r>
      <w:r w:rsidRPr="00883399">
        <w:rPr>
          <w:b/>
          <w:sz w:val="18"/>
          <w:szCs w:val="18"/>
        </w:rPr>
        <w:t xml:space="preserve">In this case production is 45,000 tonnes. </w:t>
      </w:r>
    </w:p>
    <w:p w14:paraId="6AFF67B1" w14:textId="77777777" w:rsidR="006E1310" w:rsidRPr="00883399" w:rsidRDefault="006E1310" w:rsidP="006E1310">
      <w:pPr>
        <w:pStyle w:val="Text"/>
        <w:keepNext/>
        <w:pBdr>
          <w:top w:val="single" w:sz="4" w:space="1" w:color="auto"/>
          <w:left w:val="single" w:sz="4" w:space="0" w:color="auto"/>
          <w:bottom w:val="single" w:sz="4" w:space="1" w:color="auto"/>
          <w:right w:val="single" w:sz="4" w:space="5" w:color="auto"/>
        </w:pBdr>
        <w:ind w:left="839"/>
        <w:rPr>
          <w:sz w:val="22"/>
          <w:szCs w:val="22"/>
        </w:rPr>
      </w:pPr>
      <w:r w:rsidRPr="00883399">
        <w:rPr>
          <w:sz w:val="22"/>
          <w:szCs w:val="22"/>
        </w:rPr>
        <w:t>Therefore, to estimate emissions of nitrous oxide in CO</w:t>
      </w:r>
      <w:r w:rsidRPr="00883399">
        <w:rPr>
          <w:sz w:val="22"/>
          <w:szCs w:val="22"/>
          <w:vertAlign w:val="subscript"/>
        </w:rPr>
        <w:t>2</w:t>
      </w:r>
      <w:r w:rsidRPr="00883399">
        <w:rPr>
          <w:sz w:val="22"/>
          <w:szCs w:val="22"/>
        </w:rPr>
        <w:t>-e tonnes:</w:t>
      </w:r>
    </w:p>
    <w:p w14:paraId="6339E8E2" w14:textId="77777777" w:rsidR="006E1310" w:rsidRPr="00883399" w:rsidRDefault="005033AE" w:rsidP="006E1310">
      <w:pPr>
        <w:pStyle w:val="Text"/>
        <w:keepNext/>
        <w:pBdr>
          <w:top w:val="single" w:sz="4" w:space="1" w:color="auto"/>
          <w:left w:val="single" w:sz="4" w:space="0" w:color="auto"/>
          <w:bottom w:val="single" w:sz="4" w:space="1" w:color="auto"/>
          <w:right w:val="single" w:sz="4" w:space="5" w:color="auto"/>
        </w:pBdr>
        <w:spacing w:before="120" w:after="0"/>
        <w:ind w:left="839"/>
        <w:jc w:val="center"/>
        <w:rPr>
          <w:sz w:val="22"/>
          <w:szCs w:val="22"/>
        </w:rPr>
      </w:pPr>
      <w:r w:rsidRPr="00883399">
        <w:rPr>
          <w:sz w:val="22"/>
          <w:szCs w:val="22"/>
        </w:rPr>
        <w:t>=45,000 x 2.68</w:t>
      </w:r>
    </w:p>
    <w:p w14:paraId="3FA82268" w14:textId="77777777" w:rsidR="006E1310" w:rsidRPr="00883399" w:rsidRDefault="006E1310" w:rsidP="006E1310">
      <w:pPr>
        <w:pStyle w:val="Text"/>
        <w:keepNext/>
        <w:pBdr>
          <w:top w:val="single" w:sz="4" w:space="1" w:color="auto"/>
          <w:left w:val="single" w:sz="4" w:space="0" w:color="auto"/>
          <w:bottom w:val="single" w:sz="4" w:space="1" w:color="auto"/>
          <w:right w:val="single" w:sz="4" w:space="5" w:color="auto"/>
        </w:pBdr>
        <w:spacing w:before="120" w:after="0"/>
        <w:ind w:left="839"/>
        <w:jc w:val="center"/>
        <w:rPr>
          <w:sz w:val="22"/>
          <w:szCs w:val="22"/>
        </w:rPr>
      </w:pPr>
      <w:r w:rsidRPr="00883399">
        <w:rPr>
          <w:sz w:val="22"/>
          <w:szCs w:val="22"/>
        </w:rPr>
        <w:t>Total emissi</w:t>
      </w:r>
      <w:r w:rsidR="005033AE" w:rsidRPr="00883399">
        <w:rPr>
          <w:sz w:val="22"/>
          <w:szCs w:val="22"/>
        </w:rPr>
        <w:t>ons of nitrous oxide   = 120,600</w:t>
      </w:r>
      <w:r w:rsidRPr="00883399">
        <w:rPr>
          <w:sz w:val="22"/>
          <w:szCs w:val="22"/>
        </w:rPr>
        <w:t xml:space="preserve"> t CO</w:t>
      </w:r>
      <w:r w:rsidRPr="00883399">
        <w:rPr>
          <w:sz w:val="22"/>
          <w:szCs w:val="22"/>
          <w:vertAlign w:val="subscript"/>
        </w:rPr>
        <w:t>2</w:t>
      </w:r>
      <w:r w:rsidRPr="00883399">
        <w:rPr>
          <w:sz w:val="22"/>
          <w:szCs w:val="22"/>
        </w:rPr>
        <w:t>-e</w:t>
      </w:r>
    </w:p>
    <w:p w14:paraId="303CD6BC" w14:textId="77777777" w:rsidR="006E1310" w:rsidRPr="00883399" w:rsidRDefault="006E1310" w:rsidP="00872C03">
      <w:pPr>
        <w:pStyle w:val="notetext"/>
        <w:rPr>
          <w:sz w:val="20"/>
        </w:rPr>
      </w:pPr>
    </w:p>
    <w:p w14:paraId="2906B3CE" w14:textId="3E6E2E8E" w:rsidR="00872C03" w:rsidRPr="00883399" w:rsidRDefault="00872C03" w:rsidP="00872C03">
      <w:pPr>
        <w:pStyle w:val="ActHead5"/>
        <w:rPr>
          <w:sz w:val="28"/>
        </w:rPr>
      </w:pPr>
      <w:bookmarkStart w:id="922" w:name="_Toc423517058"/>
      <w:bookmarkStart w:id="923" w:name="_Toc495652990"/>
      <w:r w:rsidRPr="00883399">
        <w:rPr>
          <w:rStyle w:val="CharSectno"/>
          <w:sz w:val="28"/>
        </w:rPr>
        <w:t>4.48</w:t>
      </w:r>
      <w:r w:rsidRPr="00883399">
        <w:rPr>
          <w:sz w:val="28"/>
        </w:rPr>
        <w:t xml:space="preserve">  Method 2—nitric acid production</w:t>
      </w:r>
      <w:bookmarkEnd w:id="922"/>
      <w:bookmarkEnd w:id="923"/>
    </w:p>
    <w:p w14:paraId="012CA095" w14:textId="77777777" w:rsidR="006E1310" w:rsidRPr="00883399" w:rsidRDefault="00872C03" w:rsidP="006E1310">
      <w:pPr>
        <w:pStyle w:val="R1"/>
        <w:keepLines w:val="0"/>
        <w:spacing w:before="240" w:line="312" w:lineRule="auto"/>
        <w:ind w:left="0" w:firstLine="0"/>
        <w:jc w:val="left"/>
        <w:rPr>
          <w:rFonts w:ascii="Arial" w:hAnsi="Arial" w:cs="Arial"/>
          <w:sz w:val="22"/>
          <w:szCs w:val="22"/>
        </w:rPr>
      </w:pPr>
      <w:r w:rsidRPr="00883399">
        <w:tab/>
      </w:r>
      <w:r w:rsidR="006E1310" w:rsidRPr="00883399">
        <w:rPr>
          <w:rFonts w:ascii="Arial" w:hAnsi="Arial" w:cs="Arial"/>
          <w:sz w:val="22"/>
          <w:szCs w:val="22"/>
        </w:rPr>
        <w:t xml:space="preserve">For Method 2, facility-specific emission factors may be derived from periodic emissions monitoring undertaken in accordance with the provisions of Chapter 1 (and, in particular, section 1.28). These facility-specific emission factors should be substituted into the equation specified in 4.47 (1) to estimate emissions. </w:t>
      </w:r>
    </w:p>
    <w:p w14:paraId="28193731" w14:textId="77777777" w:rsidR="00872C03" w:rsidRPr="00883399" w:rsidRDefault="006E1310" w:rsidP="006E1310">
      <w:pPr>
        <w:pStyle w:val="subsection"/>
        <w:rPr>
          <w:sz w:val="24"/>
        </w:rPr>
      </w:pPr>
      <w:r w:rsidRPr="00883399">
        <w:rPr>
          <w:sz w:val="24"/>
        </w:rPr>
        <w:t xml:space="preserve"> </w:t>
      </w:r>
      <w:r w:rsidRPr="00883399">
        <w:rPr>
          <w:sz w:val="24"/>
        </w:rPr>
        <w:tab/>
      </w:r>
      <w:r w:rsidR="00872C03" w:rsidRPr="00883399">
        <w:rPr>
          <w:sz w:val="24"/>
        </w:rPr>
        <w:t>(1)</w:t>
      </w:r>
      <w:r w:rsidR="00872C03" w:rsidRPr="00883399">
        <w:rPr>
          <w:sz w:val="24"/>
        </w:rPr>
        <w:tab/>
        <w:t>Subject to this section, method 2 is the same as method 1 under section 4.47.</w:t>
      </w:r>
    </w:p>
    <w:p w14:paraId="6A671C14" w14:textId="77777777" w:rsidR="00872C03" w:rsidRPr="00883399" w:rsidRDefault="00872C03" w:rsidP="00872C03">
      <w:pPr>
        <w:pStyle w:val="subsection"/>
        <w:rPr>
          <w:sz w:val="24"/>
        </w:rPr>
      </w:pPr>
      <w:r w:rsidRPr="00883399">
        <w:rPr>
          <w:sz w:val="24"/>
        </w:rPr>
        <w:tab/>
        <w:t>(2)</w:t>
      </w:r>
      <w:r w:rsidRPr="00883399">
        <w:rPr>
          <w:sz w:val="24"/>
        </w:rPr>
        <w:tab/>
        <w:t xml:space="preserve">In applying method 1 under section 4.47, to work out the factor </w:t>
      </w:r>
      <w:r w:rsidRPr="00883399">
        <w:rPr>
          <w:b/>
          <w:i/>
          <w:sz w:val="24"/>
        </w:rPr>
        <w:t>EF</w:t>
      </w:r>
      <w:r w:rsidRPr="00883399">
        <w:rPr>
          <w:b/>
          <w:i/>
          <w:sz w:val="24"/>
          <w:vertAlign w:val="subscript"/>
        </w:rPr>
        <w:t>ijk</w:t>
      </w:r>
      <w:r w:rsidRPr="00883399">
        <w:rPr>
          <w:sz w:val="24"/>
        </w:rPr>
        <w:t>:</w:t>
      </w:r>
    </w:p>
    <w:p w14:paraId="10AD2956" w14:textId="77777777" w:rsidR="00872C03" w:rsidRPr="00883399" w:rsidRDefault="00872C03" w:rsidP="00872C03">
      <w:pPr>
        <w:pStyle w:val="paragraph"/>
        <w:rPr>
          <w:sz w:val="24"/>
        </w:rPr>
      </w:pPr>
      <w:r w:rsidRPr="00883399">
        <w:rPr>
          <w:sz w:val="24"/>
        </w:rPr>
        <w:tab/>
        <w:t>(a)</w:t>
      </w:r>
      <w:r w:rsidRPr="00883399">
        <w:rPr>
          <w:sz w:val="24"/>
        </w:rPr>
        <w:tab/>
        <w:t>periodic emissions monitoring must be used and conducted in accordance with Part 1.3; and</w:t>
      </w:r>
    </w:p>
    <w:p w14:paraId="5E177FFD" w14:textId="77777777" w:rsidR="00872C03" w:rsidRPr="00883399" w:rsidRDefault="00872C03" w:rsidP="00872C03">
      <w:pPr>
        <w:pStyle w:val="paragraph"/>
        <w:rPr>
          <w:sz w:val="24"/>
        </w:rPr>
      </w:pPr>
      <w:r w:rsidRPr="00883399">
        <w:rPr>
          <w:sz w:val="24"/>
        </w:rPr>
        <w:tab/>
        <w:t>(b)</w:t>
      </w:r>
      <w:r w:rsidRPr="00883399">
        <w:rPr>
          <w:sz w:val="24"/>
        </w:rPr>
        <w:tab/>
        <w:t>the emission factor must be measured as nitrous oxide in CO</w:t>
      </w:r>
      <w:r w:rsidRPr="00883399">
        <w:rPr>
          <w:sz w:val="24"/>
          <w:vertAlign w:val="subscript"/>
        </w:rPr>
        <w:t>2</w:t>
      </w:r>
      <w:r w:rsidRPr="00883399">
        <w:rPr>
          <w:sz w:val="24"/>
        </w:rPr>
        <w:noBreakHyphen/>
        <w:t>e tonnes for each tonne of nitric acid produced during the year from the plant.</w:t>
      </w:r>
    </w:p>
    <w:p w14:paraId="4695EC25" w14:textId="77777777" w:rsidR="00872C03" w:rsidRPr="00883399" w:rsidRDefault="00872C03" w:rsidP="00872C03">
      <w:pPr>
        <w:pStyle w:val="subsection"/>
        <w:rPr>
          <w:sz w:val="24"/>
        </w:rPr>
      </w:pPr>
      <w:r w:rsidRPr="00883399">
        <w:rPr>
          <w:sz w:val="24"/>
        </w:rPr>
        <w:tab/>
        <w:t>(3)</w:t>
      </w:r>
      <w:r w:rsidRPr="00883399">
        <w:rPr>
          <w:sz w:val="24"/>
        </w:rPr>
        <w:tab/>
        <w:t>For method 2, all data on nitrous oxide concentrations, volumetric flow rates and nitric acid production for each sampling period must be used to estimate the flow</w:t>
      </w:r>
      <w:r w:rsidRPr="00883399">
        <w:rPr>
          <w:sz w:val="24"/>
        </w:rPr>
        <w:noBreakHyphen/>
        <w:t>weighted average emission rate of nitrous oxide for each unit of nitric acid produced from the plant.</w:t>
      </w:r>
    </w:p>
    <w:p w14:paraId="00911C1D" w14:textId="374C4B80" w:rsidR="00872C03" w:rsidRPr="00883399" w:rsidRDefault="00872C03" w:rsidP="00872C03">
      <w:pPr>
        <w:pStyle w:val="ActHead3"/>
        <w:pageBreakBefore/>
        <w:rPr>
          <w:sz w:val="32"/>
        </w:rPr>
      </w:pPr>
      <w:bookmarkStart w:id="924" w:name="_Toc423517059"/>
      <w:bookmarkStart w:id="925" w:name="_Toc495652991"/>
      <w:r w:rsidRPr="00883399">
        <w:rPr>
          <w:rStyle w:val="CharDivNo"/>
          <w:sz w:val="32"/>
        </w:rPr>
        <w:lastRenderedPageBreak/>
        <w:t>Division 4.3.3</w:t>
      </w:r>
      <w:r w:rsidRPr="00883399">
        <w:rPr>
          <w:sz w:val="32"/>
        </w:rPr>
        <w:t>—</w:t>
      </w:r>
      <w:r w:rsidRPr="00883399">
        <w:rPr>
          <w:rStyle w:val="CharDivText"/>
          <w:sz w:val="32"/>
        </w:rPr>
        <w:t>Adipic acid production</w:t>
      </w:r>
      <w:bookmarkEnd w:id="924"/>
      <w:bookmarkEnd w:id="925"/>
    </w:p>
    <w:p w14:paraId="59F041C0" w14:textId="77777777" w:rsidR="006E1310" w:rsidRPr="00883399" w:rsidRDefault="006E1310" w:rsidP="006E1310">
      <w:pPr>
        <w:pStyle w:val="Text"/>
        <w:rPr>
          <w:rFonts w:ascii="Arial" w:hAnsi="Arial" w:cs="Arial"/>
          <w:sz w:val="22"/>
          <w:szCs w:val="22"/>
        </w:rPr>
      </w:pPr>
      <w:bookmarkStart w:id="926" w:name="_Toc423517060"/>
      <w:r w:rsidRPr="00883399">
        <w:rPr>
          <w:rFonts w:ascii="Arial" w:hAnsi="Arial" w:cs="Arial"/>
          <w:sz w:val="22"/>
          <w:szCs w:val="22"/>
        </w:rPr>
        <w:t xml:space="preserve">Method 1 for emissions released from the production of adipic acid is described in </w:t>
      </w:r>
      <w:r w:rsidRPr="00883399">
        <w:rPr>
          <w:rFonts w:ascii="Arial" w:hAnsi="Arial" w:cs="Arial"/>
          <w:i/>
          <w:sz w:val="22"/>
          <w:szCs w:val="22"/>
        </w:rPr>
        <w:t>IPCC 2006 Guidelines for National Greenhouse Gas Inventories Volume 3, Part 1</w:t>
      </w:r>
      <w:r w:rsidRPr="00883399">
        <w:rPr>
          <w:rFonts w:ascii="Arial" w:hAnsi="Arial" w:cs="Arial"/>
          <w:sz w:val="22"/>
          <w:szCs w:val="22"/>
        </w:rPr>
        <w:t>. Currently, there is no adipic acid production recorded in Australia.</w:t>
      </w:r>
    </w:p>
    <w:p w14:paraId="71174BF3" w14:textId="263DC097" w:rsidR="00872C03" w:rsidRPr="00883399" w:rsidRDefault="00872C03" w:rsidP="00872C03">
      <w:pPr>
        <w:pStyle w:val="ActHead5"/>
        <w:rPr>
          <w:sz w:val="28"/>
        </w:rPr>
      </w:pPr>
      <w:bookmarkStart w:id="927" w:name="_Toc495652992"/>
      <w:r w:rsidRPr="00883399">
        <w:rPr>
          <w:rStyle w:val="CharSectno"/>
          <w:sz w:val="28"/>
        </w:rPr>
        <w:t>4.49</w:t>
      </w:r>
      <w:r w:rsidRPr="00883399">
        <w:rPr>
          <w:sz w:val="28"/>
        </w:rPr>
        <w:t xml:space="preserve">  Application</w:t>
      </w:r>
      <w:bookmarkEnd w:id="926"/>
      <w:bookmarkEnd w:id="927"/>
    </w:p>
    <w:p w14:paraId="25C98F7B" w14:textId="77777777" w:rsidR="00872C03" w:rsidRPr="00883399" w:rsidRDefault="00872C03" w:rsidP="00872C03">
      <w:pPr>
        <w:pStyle w:val="subsection"/>
        <w:rPr>
          <w:sz w:val="24"/>
        </w:rPr>
      </w:pPr>
      <w:r w:rsidRPr="00883399">
        <w:rPr>
          <w:sz w:val="24"/>
        </w:rPr>
        <w:tab/>
      </w:r>
      <w:r w:rsidRPr="00883399">
        <w:rPr>
          <w:sz w:val="24"/>
        </w:rPr>
        <w:tab/>
        <w:t>This Division applies to chemical industry adipic acid production.</w:t>
      </w:r>
    </w:p>
    <w:p w14:paraId="4092323B" w14:textId="6120C45F" w:rsidR="00872C03" w:rsidRPr="00883399" w:rsidRDefault="00872C03" w:rsidP="00872C03">
      <w:pPr>
        <w:pStyle w:val="ActHead5"/>
        <w:rPr>
          <w:sz w:val="28"/>
        </w:rPr>
      </w:pPr>
      <w:bookmarkStart w:id="928" w:name="_Toc423517061"/>
      <w:bookmarkStart w:id="929" w:name="_Toc495652993"/>
      <w:r w:rsidRPr="00883399">
        <w:rPr>
          <w:rStyle w:val="CharSectno"/>
          <w:sz w:val="28"/>
        </w:rPr>
        <w:t>4.50</w:t>
      </w:r>
      <w:r w:rsidRPr="00883399">
        <w:rPr>
          <w:sz w:val="28"/>
        </w:rPr>
        <w:t xml:space="preserve">  Available methods</w:t>
      </w:r>
      <w:bookmarkEnd w:id="928"/>
      <w:bookmarkEnd w:id="929"/>
    </w:p>
    <w:p w14:paraId="439DE563" w14:textId="77777777" w:rsidR="00872C03" w:rsidRPr="00883399" w:rsidRDefault="00872C03" w:rsidP="00872C03">
      <w:pPr>
        <w:pStyle w:val="subsection"/>
        <w:rPr>
          <w:sz w:val="24"/>
        </w:rPr>
      </w:pPr>
      <w:r w:rsidRPr="00883399">
        <w:rPr>
          <w:sz w:val="24"/>
        </w:rPr>
        <w:tab/>
        <w:t>(1)</w:t>
      </w:r>
      <w:r w:rsidRPr="00883399">
        <w:rPr>
          <w:sz w:val="24"/>
        </w:rPr>
        <w:tab/>
        <w:t>Subject to section 1.18, one of the methods for measuring emissions released in the production of adipic acid set out in section 3.4 of the 2006 IPCC Guidelines must be used for estimating emissions during a year from the operation of a facility that is constituted by the production of adipic acid.</w:t>
      </w:r>
    </w:p>
    <w:p w14:paraId="1B75ECA5" w14:textId="77777777" w:rsidR="00872C03" w:rsidRPr="00883399" w:rsidRDefault="00872C03" w:rsidP="00872C03">
      <w:pPr>
        <w:pStyle w:val="subsection"/>
        <w:rPr>
          <w:sz w:val="24"/>
        </w:rPr>
      </w:pPr>
      <w:r w:rsidRPr="00883399">
        <w:rPr>
          <w:sz w:val="24"/>
        </w:rPr>
        <w:tab/>
        <w:t>(2)</w:t>
      </w:r>
      <w:r w:rsidRPr="00883399">
        <w:rPr>
          <w:sz w:val="24"/>
        </w:rPr>
        <w:tab/>
        <w:t>For incidental emissions another method may be used that is consistent with the principles in section 1.13.</w:t>
      </w:r>
    </w:p>
    <w:p w14:paraId="16043C14" w14:textId="7EC4F345" w:rsidR="00872C03" w:rsidRPr="00883399" w:rsidRDefault="00872C03" w:rsidP="00872C03">
      <w:pPr>
        <w:pStyle w:val="ActHead3"/>
        <w:pageBreakBefore/>
        <w:rPr>
          <w:sz w:val="32"/>
        </w:rPr>
      </w:pPr>
      <w:bookmarkStart w:id="930" w:name="_Toc423517062"/>
      <w:bookmarkStart w:id="931" w:name="_Toc495652994"/>
      <w:r w:rsidRPr="00883399">
        <w:rPr>
          <w:rStyle w:val="CharDivNo"/>
          <w:sz w:val="32"/>
        </w:rPr>
        <w:lastRenderedPageBreak/>
        <w:t>Division 4.3.4</w:t>
      </w:r>
      <w:r w:rsidRPr="00883399">
        <w:rPr>
          <w:sz w:val="32"/>
        </w:rPr>
        <w:t>—</w:t>
      </w:r>
      <w:r w:rsidRPr="00883399">
        <w:rPr>
          <w:rStyle w:val="CharDivText"/>
          <w:sz w:val="32"/>
        </w:rPr>
        <w:t>Carbide production</w:t>
      </w:r>
      <w:bookmarkEnd w:id="930"/>
      <w:bookmarkEnd w:id="931"/>
    </w:p>
    <w:p w14:paraId="3B817F57" w14:textId="77777777" w:rsidR="006E1310" w:rsidRPr="00883399" w:rsidRDefault="006E1310" w:rsidP="006E1310">
      <w:pPr>
        <w:pStyle w:val="Text"/>
        <w:rPr>
          <w:rFonts w:ascii="Arial" w:hAnsi="Arial" w:cs="Arial"/>
          <w:sz w:val="22"/>
          <w:szCs w:val="22"/>
        </w:rPr>
      </w:pPr>
      <w:bookmarkStart w:id="932" w:name="_Toc423517063"/>
      <w:r w:rsidRPr="00883399">
        <w:rPr>
          <w:rFonts w:ascii="Arial" w:hAnsi="Arial" w:cs="Arial"/>
          <w:sz w:val="22"/>
          <w:szCs w:val="22"/>
        </w:rPr>
        <w:t xml:space="preserve">Method 1 for emissions released from the production of carbide is described in </w:t>
      </w:r>
      <w:r w:rsidRPr="00883399">
        <w:rPr>
          <w:rFonts w:ascii="Arial" w:hAnsi="Arial" w:cs="Arial"/>
          <w:i/>
          <w:sz w:val="22"/>
          <w:szCs w:val="22"/>
        </w:rPr>
        <w:t>IPCC 2006 Guidelines for National Greenhouse Gas Inventories Volume 3, Part 1</w:t>
      </w:r>
      <w:r w:rsidRPr="00883399">
        <w:rPr>
          <w:rFonts w:ascii="Arial" w:hAnsi="Arial" w:cs="Arial"/>
          <w:sz w:val="22"/>
          <w:szCs w:val="22"/>
        </w:rPr>
        <w:t>. Currently, there is no carbide production recorded in Australia.</w:t>
      </w:r>
    </w:p>
    <w:p w14:paraId="71FF0FA8" w14:textId="63C38162" w:rsidR="00872C03" w:rsidRPr="00883399" w:rsidRDefault="00872C03" w:rsidP="00872C03">
      <w:pPr>
        <w:pStyle w:val="ActHead5"/>
        <w:rPr>
          <w:sz w:val="28"/>
        </w:rPr>
      </w:pPr>
      <w:bookmarkStart w:id="933" w:name="_Toc495652995"/>
      <w:r w:rsidRPr="00883399">
        <w:rPr>
          <w:rStyle w:val="CharSectno"/>
          <w:sz w:val="28"/>
        </w:rPr>
        <w:t>4.51</w:t>
      </w:r>
      <w:r w:rsidRPr="00883399">
        <w:rPr>
          <w:sz w:val="28"/>
        </w:rPr>
        <w:t xml:space="preserve">  Application</w:t>
      </w:r>
      <w:bookmarkEnd w:id="932"/>
      <w:bookmarkEnd w:id="933"/>
    </w:p>
    <w:p w14:paraId="6108A52D" w14:textId="77777777" w:rsidR="00872C03" w:rsidRPr="00883399" w:rsidRDefault="00872C03" w:rsidP="00872C03">
      <w:pPr>
        <w:pStyle w:val="subsection"/>
        <w:rPr>
          <w:sz w:val="24"/>
        </w:rPr>
      </w:pPr>
      <w:r w:rsidRPr="00883399">
        <w:rPr>
          <w:sz w:val="24"/>
        </w:rPr>
        <w:tab/>
      </w:r>
      <w:r w:rsidRPr="00883399">
        <w:rPr>
          <w:sz w:val="24"/>
        </w:rPr>
        <w:tab/>
        <w:t>This Division applies to chemical industry carbide production.</w:t>
      </w:r>
    </w:p>
    <w:p w14:paraId="23B5A703" w14:textId="2C58954C" w:rsidR="00872C03" w:rsidRPr="00883399" w:rsidRDefault="00872C03" w:rsidP="00872C03">
      <w:pPr>
        <w:pStyle w:val="ActHead5"/>
        <w:rPr>
          <w:sz w:val="28"/>
        </w:rPr>
      </w:pPr>
      <w:bookmarkStart w:id="934" w:name="_Toc423517064"/>
      <w:bookmarkStart w:id="935" w:name="_Toc495652996"/>
      <w:r w:rsidRPr="00883399">
        <w:rPr>
          <w:rStyle w:val="CharSectno"/>
          <w:sz w:val="28"/>
        </w:rPr>
        <w:t>4.52</w:t>
      </w:r>
      <w:r w:rsidRPr="00883399">
        <w:rPr>
          <w:sz w:val="28"/>
        </w:rPr>
        <w:t xml:space="preserve">  Available methods</w:t>
      </w:r>
      <w:bookmarkEnd w:id="934"/>
      <w:bookmarkEnd w:id="935"/>
    </w:p>
    <w:p w14:paraId="0AD4D4A4" w14:textId="77777777" w:rsidR="00872C03" w:rsidRPr="00883399" w:rsidRDefault="00872C03" w:rsidP="00872C03">
      <w:pPr>
        <w:pStyle w:val="subsection"/>
        <w:rPr>
          <w:sz w:val="24"/>
        </w:rPr>
      </w:pPr>
      <w:r w:rsidRPr="00883399">
        <w:rPr>
          <w:sz w:val="24"/>
        </w:rPr>
        <w:tab/>
        <w:t>(1)</w:t>
      </w:r>
      <w:r w:rsidRPr="00883399">
        <w:rPr>
          <w:sz w:val="24"/>
        </w:rPr>
        <w:tab/>
        <w:t>Subject to section 1.18, one of the methods for measuring emissions from carbide production set out in section 3.6 of the 2006 IPCC Guidelines must be used for estimating emissions during a year from the operation of a facility that is constituted by carbide production.</w:t>
      </w:r>
    </w:p>
    <w:p w14:paraId="21EE540C" w14:textId="77777777" w:rsidR="00872C03" w:rsidRPr="00883399" w:rsidRDefault="00872C03" w:rsidP="00872C03">
      <w:pPr>
        <w:pStyle w:val="subsection"/>
        <w:rPr>
          <w:sz w:val="24"/>
        </w:rPr>
      </w:pPr>
      <w:r w:rsidRPr="00883399">
        <w:rPr>
          <w:sz w:val="24"/>
        </w:rPr>
        <w:tab/>
        <w:t>(2)</w:t>
      </w:r>
      <w:r w:rsidRPr="00883399">
        <w:rPr>
          <w:sz w:val="24"/>
        </w:rPr>
        <w:tab/>
        <w:t>For incidental emissions another method may be used that is consistent with the principles in section 1.13.</w:t>
      </w:r>
    </w:p>
    <w:p w14:paraId="4F1B1A3D" w14:textId="4095B518" w:rsidR="00872C03" w:rsidRPr="00883399" w:rsidRDefault="00872C03" w:rsidP="00872C03">
      <w:pPr>
        <w:pStyle w:val="ActHead3"/>
        <w:pageBreakBefore/>
        <w:rPr>
          <w:sz w:val="32"/>
        </w:rPr>
      </w:pPr>
      <w:bookmarkStart w:id="936" w:name="_Toc423517065"/>
      <w:bookmarkStart w:id="937" w:name="_Toc495652997"/>
      <w:r w:rsidRPr="00883399">
        <w:rPr>
          <w:rStyle w:val="CharDivNo"/>
          <w:sz w:val="32"/>
        </w:rPr>
        <w:lastRenderedPageBreak/>
        <w:t>Division 4.3.5</w:t>
      </w:r>
      <w:r w:rsidRPr="00883399">
        <w:rPr>
          <w:sz w:val="32"/>
        </w:rPr>
        <w:t>—</w:t>
      </w:r>
      <w:r w:rsidRPr="00883399">
        <w:rPr>
          <w:rStyle w:val="CharDivText"/>
          <w:sz w:val="32"/>
        </w:rPr>
        <w:t>Chemical or mineral production, other than carbide production, using a carbon reductant or carbon anode</w:t>
      </w:r>
      <w:bookmarkEnd w:id="936"/>
      <w:bookmarkEnd w:id="937"/>
    </w:p>
    <w:p w14:paraId="5DCA73BE" w14:textId="77777777" w:rsidR="006E1310" w:rsidRPr="00883399" w:rsidRDefault="006E1310" w:rsidP="006E1310">
      <w:pPr>
        <w:spacing w:before="240" w:line="312" w:lineRule="auto"/>
        <w:rPr>
          <w:rFonts w:ascii="Arial" w:hAnsi="Arial" w:cs="Arial"/>
          <w:sz w:val="22"/>
          <w:szCs w:val="22"/>
        </w:rPr>
      </w:pPr>
      <w:bookmarkStart w:id="938" w:name="_Toc423517066"/>
      <w:r w:rsidRPr="00883399">
        <w:rPr>
          <w:rFonts w:ascii="Arial" w:hAnsi="Arial" w:cs="Arial"/>
          <w:sz w:val="22"/>
          <w:szCs w:val="22"/>
        </w:rPr>
        <w:t>Emissions of carbon dioxide released from the use of fuels as carbon reductants or carbon anodes in the production of chemical or mineral products (other than carbide) should be estimated using methods provided in this Division. The use of fuels for energy purposes should be estimated using methods in Chapter 2 and reported separately.</w:t>
      </w:r>
    </w:p>
    <w:p w14:paraId="3AC73B35" w14:textId="77777777" w:rsidR="006E1310" w:rsidRPr="00883399" w:rsidRDefault="006E1310" w:rsidP="006E1310">
      <w:pPr>
        <w:spacing w:before="240" w:line="312" w:lineRule="auto"/>
        <w:rPr>
          <w:rStyle w:val="CharSectno"/>
        </w:rPr>
      </w:pPr>
      <w:r w:rsidRPr="00883399">
        <w:rPr>
          <w:rFonts w:ascii="Arial" w:hAnsi="Arial" w:cs="Arial"/>
          <w:sz w:val="22"/>
          <w:szCs w:val="22"/>
        </w:rPr>
        <w:t>Some of the industries included in this Division are listed below.</w:t>
      </w:r>
      <w:r w:rsidRPr="00883399">
        <w:rPr>
          <w:rStyle w:val="CharSectno"/>
        </w:rPr>
        <w:t xml:space="preserve"> </w:t>
      </w:r>
    </w:p>
    <w:p w14:paraId="08372B69" w14:textId="77777777" w:rsidR="006E1310" w:rsidRPr="00883399" w:rsidRDefault="006E1310" w:rsidP="006E1310">
      <w:pPr>
        <w:pStyle w:val="R2"/>
        <w:keepLines w:val="0"/>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 xml:space="preserve">In order to deduct carbon dioxide captured for permanent storage reporters are required to use Method 2 or higher. These higher order methods provide a more accurate estimate of the carbon dioxide emissions than under Method 1, the default method. As the carbon dioxide captured is deducted from the emissions estimate it is necessary to have a greater level of accuracy in the emissions estimate than is achieved using Method 1. </w:t>
      </w:r>
    </w:p>
    <w:p w14:paraId="478915BD" w14:textId="3793B904" w:rsidR="00872C03" w:rsidRPr="00883399" w:rsidRDefault="00872C03" w:rsidP="00872C03">
      <w:pPr>
        <w:pStyle w:val="ActHead5"/>
        <w:rPr>
          <w:sz w:val="28"/>
        </w:rPr>
      </w:pPr>
      <w:bookmarkStart w:id="939" w:name="_Toc495652998"/>
      <w:r w:rsidRPr="00883399">
        <w:rPr>
          <w:rStyle w:val="CharSectno"/>
          <w:sz w:val="28"/>
        </w:rPr>
        <w:t>4.53</w:t>
      </w:r>
      <w:r w:rsidRPr="00883399">
        <w:rPr>
          <w:sz w:val="28"/>
        </w:rPr>
        <w:t xml:space="preserve">  Application</w:t>
      </w:r>
      <w:bookmarkEnd w:id="938"/>
      <w:bookmarkEnd w:id="939"/>
    </w:p>
    <w:p w14:paraId="7113CF25" w14:textId="77777777" w:rsidR="00872C03" w:rsidRPr="00883399" w:rsidRDefault="00872C03" w:rsidP="00872C03">
      <w:pPr>
        <w:pStyle w:val="subsection"/>
        <w:rPr>
          <w:sz w:val="24"/>
        </w:rPr>
      </w:pPr>
      <w:r w:rsidRPr="00883399">
        <w:rPr>
          <w:sz w:val="24"/>
        </w:rPr>
        <w:tab/>
      </w:r>
      <w:r w:rsidRPr="00883399">
        <w:rPr>
          <w:sz w:val="24"/>
        </w:rPr>
        <w:tab/>
        <w:t>This Division applies to emissions of carbon dioxide from activities producing a chemical or mineral product (other than carbide production), using a carbon reductant or carbon anode, including the following products:</w:t>
      </w:r>
    </w:p>
    <w:p w14:paraId="1FFEB654" w14:textId="77777777" w:rsidR="00872C03" w:rsidRPr="00883399" w:rsidRDefault="00872C03" w:rsidP="00872C03">
      <w:pPr>
        <w:pStyle w:val="paragraph"/>
        <w:rPr>
          <w:sz w:val="24"/>
        </w:rPr>
      </w:pPr>
      <w:r w:rsidRPr="00883399">
        <w:rPr>
          <w:sz w:val="24"/>
        </w:rPr>
        <w:tab/>
        <w:t>(a)</w:t>
      </w:r>
      <w:r w:rsidRPr="00883399">
        <w:rPr>
          <w:sz w:val="24"/>
        </w:rPr>
        <w:tab/>
        <w:t>fused alumina;</w:t>
      </w:r>
    </w:p>
    <w:p w14:paraId="09A57FF9" w14:textId="77777777" w:rsidR="00872C03" w:rsidRPr="00883399" w:rsidRDefault="00872C03" w:rsidP="00872C03">
      <w:pPr>
        <w:pStyle w:val="paragraph"/>
        <w:rPr>
          <w:sz w:val="24"/>
        </w:rPr>
      </w:pPr>
      <w:r w:rsidRPr="00883399">
        <w:rPr>
          <w:sz w:val="24"/>
        </w:rPr>
        <w:tab/>
        <w:t>(b)</w:t>
      </w:r>
      <w:r w:rsidRPr="00883399">
        <w:rPr>
          <w:sz w:val="24"/>
        </w:rPr>
        <w:tab/>
        <w:t>fused magnesia;</w:t>
      </w:r>
    </w:p>
    <w:p w14:paraId="2D2B2390" w14:textId="77777777" w:rsidR="00872C03" w:rsidRPr="00883399" w:rsidRDefault="00872C03" w:rsidP="00872C03">
      <w:pPr>
        <w:pStyle w:val="paragraph"/>
        <w:rPr>
          <w:sz w:val="24"/>
        </w:rPr>
      </w:pPr>
      <w:r w:rsidRPr="00883399">
        <w:rPr>
          <w:sz w:val="24"/>
        </w:rPr>
        <w:tab/>
        <w:t>(c)</w:t>
      </w:r>
      <w:r w:rsidRPr="00883399">
        <w:rPr>
          <w:sz w:val="24"/>
        </w:rPr>
        <w:tab/>
        <w:t>fused zirconia;</w:t>
      </w:r>
    </w:p>
    <w:p w14:paraId="6B001650" w14:textId="77777777" w:rsidR="00872C03" w:rsidRPr="00883399" w:rsidRDefault="00872C03" w:rsidP="00872C03">
      <w:pPr>
        <w:pStyle w:val="paragraph"/>
        <w:rPr>
          <w:sz w:val="24"/>
        </w:rPr>
      </w:pPr>
      <w:r w:rsidRPr="00883399">
        <w:rPr>
          <w:sz w:val="24"/>
        </w:rPr>
        <w:tab/>
        <w:t>(d)</w:t>
      </w:r>
      <w:r w:rsidRPr="00883399">
        <w:rPr>
          <w:sz w:val="24"/>
        </w:rPr>
        <w:tab/>
        <w:t>glass;</w:t>
      </w:r>
    </w:p>
    <w:p w14:paraId="7D64F471" w14:textId="77777777" w:rsidR="00872C03" w:rsidRPr="00883399" w:rsidRDefault="00872C03" w:rsidP="00872C03">
      <w:pPr>
        <w:pStyle w:val="paragraph"/>
        <w:rPr>
          <w:sz w:val="24"/>
        </w:rPr>
      </w:pPr>
      <w:r w:rsidRPr="00883399">
        <w:rPr>
          <w:sz w:val="24"/>
        </w:rPr>
        <w:tab/>
        <w:t>(e)</w:t>
      </w:r>
      <w:r w:rsidRPr="00883399">
        <w:rPr>
          <w:sz w:val="24"/>
        </w:rPr>
        <w:tab/>
        <w:t>synthetic rutile;</w:t>
      </w:r>
    </w:p>
    <w:p w14:paraId="25029D25" w14:textId="77777777" w:rsidR="00872C03" w:rsidRPr="00883399" w:rsidRDefault="00872C03" w:rsidP="00872C03">
      <w:pPr>
        <w:pStyle w:val="paragraph"/>
        <w:rPr>
          <w:sz w:val="24"/>
        </w:rPr>
      </w:pPr>
      <w:r w:rsidRPr="00883399">
        <w:rPr>
          <w:sz w:val="24"/>
        </w:rPr>
        <w:tab/>
        <w:t>(f)</w:t>
      </w:r>
      <w:r w:rsidRPr="00883399">
        <w:rPr>
          <w:sz w:val="24"/>
        </w:rPr>
        <w:tab/>
        <w:t>titanium dioxide.</w:t>
      </w:r>
    </w:p>
    <w:p w14:paraId="70536549" w14:textId="77777777" w:rsidR="00872C03" w:rsidRPr="00883399" w:rsidRDefault="00872C03" w:rsidP="00872C03">
      <w:pPr>
        <w:pStyle w:val="notetext"/>
        <w:rPr>
          <w:sz w:val="20"/>
        </w:rPr>
      </w:pPr>
      <w:r w:rsidRPr="00883399">
        <w:rPr>
          <w:sz w:val="20"/>
        </w:rPr>
        <w:t>Note:</w:t>
      </w:r>
      <w:r w:rsidRPr="00883399">
        <w:rPr>
          <w:sz w:val="20"/>
        </w:rPr>
        <w:tab/>
        <w:t>Magnesia produced in a process that does not use an electric arc furnace must be reported under Division 4.2.3.</w:t>
      </w:r>
    </w:p>
    <w:p w14:paraId="4A61A159" w14:textId="0C3D4E23" w:rsidR="00872C03" w:rsidRPr="00883399" w:rsidRDefault="00872C03" w:rsidP="00872C03">
      <w:pPr>
        <w:pStyle w:val="ActHead5"/>
        <w:rPr>
          <w:sz w:val="28"/>
        </w:rPr>
      </w:pPr>
      <w:bookmarkStart w:id="940" w:name="_Toc423517067"/>
      <w:bookmarkStart w:id="941" w:name="_Toc495652999"/>
      <w:r w:rsidRPr="00883399">
        <w:rPr>
          <w:rStyle w:val="CharSectno"/>
          <w:sz w:val="28"/>
        </w:rPr>
        <w:t>4.54</w:t>
      </w:r>
      <w:r w:rsidRPr="00883399">
        <w:rPr>
          <w:sz w:val="28"/>
        </w:rPr>
        <w:t xml:space="preserve">  Available methods</w:t>
      </w:r>
      <w:bookmarkEnd w:id="940"/>
      <w:bookmarkEnd w:id="941"/>
    </w:p>
    <w:p w14:paraId="1E77A8AD" w14:textId="77777777" w:rsidR="00872C03" w:rsidRPr="00883399" w:rsidRDefault="00872C03" w:rsidP="00872C03">
      <w:pPr>
        <w:pStyle w:val="subsection"/>
        <w:rPr>
          <w:sz w:val="24"/>
        </w:rPr>
      </w:pPr>
      <w:r w:rsidRPr="00883399">
        <w:rPr>
          <w:sz w:val="24"/>
        </w:rPr>
        <w:tab/>
        <w:t>(1)</w:t>
      </w:r>
      <w:r w:rsidRPr="00883399">
        <w:rPr>
          <w:sz w:val="24"/>
        </w:rPr>
        <w:tab/>
        <w:t>Subject to section 1.18, one of the following methods must be used for estimating emissions released during a year from the operation of a facility that is constituted by the production of a chemical or mineral product:</w:t>
      </w:r>
    </w:p>
    <w:p w14:paraId="6F8ECA6A" w14:textId="77777777" w:rsidR="00872C03" w:rsidRPr="00883399" w:rsidRDefault="00872C03" w:rsidP="00872C03">
      <w:pPr>
        <w:pStyle w:val="paragraph"/>
        <w:rPr>
          <w:sz w:val="24"/>
        </w:rPr>
      </w:pPr>
      <w:r w:rsidRPr="00883399">
        <w:rPr>
          <w:sz w:val="24"/>
        </w:rPr>
        <w:lastRenderedPageBreak/>
        <w:tab/>
        <w:t>(a)</w:t>
      </w:r>
      <w:r w:rsidRPr="00883399">
        <w:rPr>
          <w:sz w:val="24"/>
        </w:rPr>
        <w:tab/>
        <w:t>method 1 under section 4.55;</w:t>
      </w:r>
    </w:p>
    <w:p w14:paraId="53F82EFB" w14:textId="77777777" w:rsidR="00872C03" w:rsidRPr="00883399" w:rsidRDefault="00872C03" w:rsidP="00872C03">
      <w:pPr>
        <w:pStyle w:val="paragraph"/>
        <w:rPr>
          <w:sz w:val="24"/>
        </w:rPr>
      </w:pPr>
      <w:r w:rsidRPr="00883399">
        <w:rPr>
          <w:sz w:val="24"/>
        </w:rPr>
        <w:tab/>
        <w:t>(b)</w:t>
      </w:r>
      <w:r w:rsidRPr="00883399">
        <w:rPr>
          <w:sz w:val="24"/>
        </w:rPr>
        <w:tab/>
        <w:t>method 2 under section 4.56;</w:t>
      </w:r>
    </w:p>
    <w:p w14:paraId="732F315E" w14:textId="77777777" w:rsidR="00872C03" w:rsidRPr="00883399" w:rsidRDefault="00872C03" w:rsidP="00872C03">
      <w:pPr>
        <w:pStyle w:val="paragraph"/>
        <w:rPr>
          <w:sz w:val="24"/>
        </w:rPr>
      </w:pPr>
      <w:r w:rsidRPr="00883399">
        <w:rPr>
          <w:sz w:val="24"/>
        </w:rPr>
        <w:tab/>
        <w:t>(c)</w:t>
      </w:r>
      <w:r w:rsidRPr="00883399">
        <w:rPr>
          <w:sz w:val="24"/>
        </w:rPr>
        <w:tab/>
        <w:t>method 3 under section 4.57;</w:t>
      </w:r>
    </w:p>
    <w:p w14:paraId="7485C959" w14:textId="77777777" w:rsidR="00872C03" w:rsidRPr="00883399" w:rsidRDefault="00872C03" w:rsidP="00872C03">
      <w:pPr>
        <w:pStyle w:val="paragraph"/>
        <w:rPr>
          <w:sz w:val="24"/>
        </w:rPr>
      </w:pPr>
      <w:r w:rsidRPr="00883399">
        <w:rPr>
          <w:sz w:val="24"/>
        </w:rPr>
        <w:tab/>
        <w:t>(d)</w:t>
      </w:r>
      <w:r w:rsidRPr="00883399">
        <w:rPr>
          <w:sz w:val="24"/>
        </w:rPr>
        <w:tab/>
        <w:t>method 4 under Part 1.3.</w:t>
      </w:r>
    </w:p>
    <w:p w14:paraId="4B8A523E" w14:textId="77777777" w:rsidR="00872C03" w:rsidRPr="00883399" w:rsidRDefault="00872C03" w:rsidP="00872C03">
      <w:pPr>
        <w:pStyle w:val="subsection"/>
        <w:rPr>
          <w:sz w:val="24"/>
        </w:rPr>
      </w:pPr>
      <w:r w:rsidRPr="00883399">
        <w:rPr>
          <w:sz w:val="24"/>
        </w:rPr>
        <w:tab/>
        <w:t>(2)</w:t>
      </w:r>
      <w:r w:rsidRPr="00883399">
        <w:rPr>
          <w:sz w:val="24"/>
        </w:rPr>
        <w:tab/>
        <w:t>However, for incidental emissions another method may be used that is consistent with the principles in section 1.13.</w:t>
      </w:r>
    </w:p>
    <w:p w14:paraId="1481F88E" w14:textId="77777777" w:rsidR="006E1310" w:rsidRPr="00883399" w:rsidRDefault="006E1310" w:rsidP="006E1310">
      <w:pPr>
        <w:pStyle w:val="R2"/>
        <w:ind w:hanging="62"/>
        <w:rPr>
          <w:b/>
        </w:rPr>
      </w:pPr>
      <w:r w:rsidRPr="00883399">
        <w:rPr>
          <w:b/>
        </w:rPr>
        <w:t>Summary of available methods, for estimating emissions from titanium dioxide production, by emissions of gas type (j)</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2"/>
        <w:gridCol w:w="1639"/>
        <w:gridCol w:w="1513"/>
        <w:gridCol w:w="1641"/>
      </w:tblGrid>
      <w:tr w:rsidR="006E1310" w:rsidRPr="00883399" w14:paraId="5B3B7860" w14:textId="77777777" w:rsidTr="0031057E">
        <w:tc>
          <w:tcPr>
            <w:tcW w:w="2520" w:type="dxa"/>
            <w:shd w:val="clear" w:color="auto" w:fill="E6E6E6"/>
          </w:tcPr>
          <w:p w14:paraId="592925DE" w14:textId="77777777" w:rsidR="006E1310" w:rsidRPr="00883399" w:rsidRDefault="006E1310" w:rsidP="0031057E">
            <w:pPr>
              <w:pStyle w:val="Text"/>
            </w:pPr>
          </w:p>
        </w:tc>
        <w:tc>
          <w:tcPr>
            <w:tcW w:w="1680" w:type="dxa"/>
            <w:shd w:val="clear" w:color="auto" w:fill="E6E6E6"/>
          </w:tcPr>
          <w:p w14:paraId="1A9E9E07" w14:textId="77777777" w:rsidR="006E1310" w:rsidRPr="00883399" w:rsidRDefault="006E1310" w:rsidP="0031057E">
            <w:pPr>
              <w:pStyle w:val="Text"/>
            </w:pPr>
            <w:r w:rsidRPr="00883399">
              <w:t>CO</w:t>
            </w:r>
            <w:r w:rsidRPr="00883399">
              <w:rPr>
                <w:vertAlign w:val="subscript"/>
              </w:rPr>
              <w:t>2</w:t>
            </w:r>
          </w:p>
        </w:tc>
        <w:tc>
          <w:tcPr>
            <w:tcW w:w="1560" w:type="dxa"/>
            <w:shd w:val="clear" w:color="auto" w:fill="E6E6E6"/>
          </w:tcPr>
          <w:p w14:paraId="522126FE" w14:textId="77777777" w:rsidR="006E1310" w:rsidRPr="00883399" w:rsidRDefault="006E1310" w:rsidP="0031057E">
            <w:pPr>
              <w:pStyle w:val="Text"/>
            </w:pPr>
            <w:r w:rsidRPr="00883399">
              <w:t>CH</w:t>
            </w:r>
            <w:r w:rsidRPr="00883399">
              <w:rPr>
                <w:vertAlign w:val="subscript"/>
              </w:rPr>
              <w:t>4</w:t>
            </w:r>
          </w:p>
        </w:tc>
        <w:tc>
          <w:tcPr>
            <w:tcW w:w="1694" w:type="dxa"/>
            <w:shd w:val="clear" w:color="auto" w:fill="E6E6E6"/>
          </w:tcPr>
          <w:p w14:paraId="5CE1BDCE" w14:textId="77777777" w:rsidR="006E1310" w:rsidRPr="00883399" w:rsidRDefault="006E1310" w:rsidP="0031057E">
            <w:pPr>
              <w:pStyle w:val="Text"/>
            </w:pPr>
            <w:r w:rsidRPr="00883399">
              <w:t>N</w:t>
            </w:r>
            <w:r w:rsidRPr="00883399">
              <w:rPr>
                <w:vertAlign w:val="subscript"/>
              </w:rPr>
              <w:t>2</w:t>
            </w:r>
            <w:r w:rsidRPr="00883399">
              <w:t>O</w:t>
            </w:r>
          </w:p>
        </w:tc>
      </w:tr>
      <w:tr w:rsidR="006E1310" w:rsidRPr="00883399" w14:paraId="70AF9ED0" w14:textId="77777777" w:rsidTr="0031057E">
        <w:tc>
          <w:tcPr>
            <w:tcW w:w="2520" w:type="dxa"/>
          </w:tcPr>
          <w:p w14:paraId="1385F456" w14:textId="77777777" w:rsidR="006E1310" w:rsidRPr="00883399" w:rsidRDefault="006E1310" w:rsidP="0031057E">
            <w:pPr>
              <w:pStyle w:val="Text"/>
              <w:spacing w:before="120" w:line="240" w:lineRule="auto"/>
              <w:rPr>
                <w:i/>
              </w:rPr>
            </w:pPr>
            <w:r w:rsidRPr="00883399">
              <w:t>Method 1</w:t>
            </w:r>
          </w:p>
        </w:tc>
        <w:tc>
          <w:tcPr>
            <w:tcW w:w="1680" w:type="dxa"/>
          </w:tcPr>
          <w:p w14:paraId="14FB4B94" w14:textId="77777777" w:rsidR="006E1310" w:rsidRPr="00883399" w:rsidRDefault="006E1310" w:rsidP="0031057E">
            <w:pPr>
              <w:pStyle w:val="Text"/>
              <w:spacing w:before="120" w:line="240" w:lineRule="auto"/>
            </w:pPr>
            <w:r w:rsidRPr="00883399">
              <w:t>Section 4.55</w:t>
            </w:r>
          </w:p>
        </w:tc>
        <w:tc>
          <w:tcPr>
            <w:tcW w:w="1560" w:type="dxa"/>
          </w:tcPr>
          <w:p w14:paraId="078F396C" w14:textId="77777777" w:rsidR="006E1310" w:rsidRPr="00883399" w:rsidRDefault="006E1310" w:rsidP="0031057E">
            <w:pPr>
              <w:pStyle w:val="Text"/>
              <w:spacing w:before="120" w:line="240" w:lineRule="auto"/>
            </w:pPr>
            <w:r w:rsidRPr="00883399">
              <w:t>NO</w:t>
            </w:r>
          </w:p>
        </w:tc>
        <w:tc>
          <w:tcPr>
            <w:tcW w:w="1694" w:type="dxa"/>
          </w:tcPr>
          <w:p w14:paraId="1C9A90BF" w14:textId="77777777" w:rsidR="006E1310" w:rsidRPr="00883399" w:rsidRDefault="006E1310" w:rsidP="0031057E">
            <w:pPr>
              <w:pStyle w:val="Text"/>
              <w:spacing w:before="120" w:line="240" w:lineRule="auto"/>
            </w:pPr>
            <w:r w:rsidRPr="00883399">
              <w:t>NO</w:t>
            </w:r>
          </w:p>
        </w:tc>
      </w:tr>
      <w:tr w:rsidR="006E1310" w:rsidRPr="00883399" w14:paraId="3533EAA8" w14:textId="77777777" w:rsidTr="0031057E">
        <w:tc>
          <w:tcPr>
            <w:tcW w:w="2520" w:type="dxa"/>
          </w:tcPr>
          <w:p w14:paraId="1C6C90F1" w14:textId="77777777" w:rsidR="006E1310" w:rsidRPr="00883399" w:rsidRDefault="006E1310" w:rsidP="0031057E">
            <w:pPr>
              <w:pStyle w:val="Text"/>
              <w:spacing w:before="120" w:line="240" w:lineRule="auto"/>
            </w:pPr>
            <w:r w:rsidRPr="00883399">
              <w:t>Method 2</w:t>
            </w:r>
          </w:p>
        </w:tc>
        <w:tc>
          <w:tcPr>
            <w:tcW w:w="1680" w:type="dxa"/>
          </w:tcPr>
          <w:p w14:paraId="0C013F4D" w14:textId="77777777" w:rsidR="006E1310" w:rsidRPr="00883399" w:rsidRDefault="006E1310" w:rsidP="0031057E">
            <w:pPr>
              <w:pStyle w:val="Text"/>
              <w:spacing w:before="120" w:line="240" w:lineRule="auto"/>
            </w:pPr>
            <w:r w:rsidRPr="00883399">
              <w:t>Section 4.56</w:t>
            </w:r>
          </w:p>
        </w:tc>
        <w:tc>
          <w:tcPr>
            <w:tcW w:w="1560" w:type="dxa"/>
          </w:tcPr>
          <w:p w14:paraId="26E626F8" w14:textId="77777777" w:rsidR="006E1310" w:rsidRPr="00883399" w:rsidRDefault="006E1310" w:rsidP="0031057E">
            <w:pPr>
              <w:pStyle w:val="Text"/>
              <w:spacing w:before="120" w:line="240" w:lineRule="auto"/>
            </w:pPr>
            <w:r w:rsidRPr="00883399">
              <w:t>NO</w:t>
            </w:r>
          </w:p>
        </w:tc>
        <w:tc>
          <w:tcPr>
            <w:tcW w:w="1694" w:type="dxa"/>
          </w:tcPr>
          <w:p w14:paraId="6671C232" w14:textId="77777777" w:rsidR="006E1310" w:rsidRPr="00883399" w:rsidRDefault="006E1310" w:rsidP="0031057E">
            <w:pPr>
              <w:pStyle w:val="Text"/>
              <w:spacing w:before="120" w:line="240" w:lineRule="auto"/>
            </w:pPr>
            <w:r w:rsidRPr="00883399">
              <w:t>NO</w:t>
            </w:r>
          </w:p>
        </w:tc>
      </w:tr>
      <w:tr w:rsidR="006E1310" w:rsidRPr="00883399" w14:paraId="35A81826" w14:textId="77777777" w:rsidTr="0031057E">
        <w:tc>
          <w:tcPr>
            <w:tcW w:w="2520" w:type="dxa"/>
          </w:tcPr>
          <w:p w14:paraId="23BDF77D" w14:textId="77777777" w:rsidR="006E1310" w:rsidRPr="00883399" w:rsidRDefault="006E1310" w:rsidP="0031057E">
            <w:pPr>
              <w:pStyle w:val="Text"/>
              <w:spacing w:before="120" w:line="240" w:lineRule="auto"/>
            </w:pPr>
            <w:r w:rsidRPr="00883399">
              <w:t>Method 3</w:t>
            </w:r>
          </w:p>
        </w:tc>
        <w:tc>
          <w:tcPr>
            <w:tcW w:w="1680" w:type="dxa"/>
          </w:tcPr>
          <w:p w14:paraId="49CC42B0" w14:textId="77777777" w:rsidR="006E1310" w:rsidRPr="00883399" w:rsidRDefault="006E1310" w:rsidP="0031057E">
            <w:pPr>
              <w:pStyle w:val="Text"/>
              <w:spacing w:before="120" w:line="240" w:lineRule="auto"/>
            </w:pPr>
            <w:r w:rsidRPr="00883399">
              <w:t>Section 4.57</w:t>
            </w:r>
          </w:p>
        </w:tc>
        <w:tc>
          <w:tcPr>
            <w:tcW w:w="1560" w:type="dxa"/>
          </w:tcPr>
          <w:p w14:paraId="3C273055" w14:textId="77777777" w:rsidR="006E1310" w:rsidRPr="00883399" w:rsidRDefault="006E1310" w:rsidP="0031057E">
            <w:pPr>
              <w:pStyle w:val="Text"/>
              <w:spacing w:before="120" w:line="240" w:lineRule="auto"/>
            </w:pPr>
            <w:r w:rsidRPr="00883399">
              <w:t>NO</w:t>
            </w:r>
          </w:p>
        </w:tc>
        <w:tc>
          <w:tcPr>
            <w:tcW w:w="1694" w:type="dxa"/>
          </w:tcPr>
          <w:p w14:paraId="4675F0EA" w14:textId="77777777" w:rsidR="006E1310" w:rsidRPr="00883399" w:rsidRDefault="006E1310" w:rsidP="0031057E">
            <w:pPr>
              <w:pStyle w:val="Text"/>
              <w:spacing w:before="120" w:line="240" w:lineRule="auto"/>
            </w:pPr>
            <w:r w:rsidRPr="00883399">
              <w:t>NO</w:t>
            </w:r>
          </w:p>
        </w:tc>
      </w:tr>
      <w:tr w:rsidR="006E1310" w:rsidRPr="00883399" w14:paraId="27D0C345" w14:textId="77777777" w:rsidTr="0031057E">
        <w:tc>
          <w:tcPr>
            <w:tcW w:w="2520" w:type="dxa"/>
          </w:tcPr>
          <w:p w14:paraId="0CB34D2A" w14:textId="77777777" w:rsidR="006E1310" w:rsidRPr="00883399" w:rsidRDefault="006E1310" w:rsidP="0031057E">
            <w:pPr>
              <w:pStyle w:val="Text"/>
              <w:spacing w:before="120" w:line="240" w:lineRule="auto"/>
            </w:pPr>
            <w:r w:rsidRPr="00883399">
              <w:t>Method 4</w:t>
            </w:r>
          </w:p>
        </w:tc>
        <w:tc>
          <w:tcPr>
            <w:tcW w:w="1680" w:type="dxa"/>
          </w:tcPr>
          <w:p w14:paraId="55A3F230" w14:textId="77777777" w:rsidR="006E1310" w:rsidRPr="00883399" w:rsidRDefault="006E1310" w:rsidP="0031057E">
            <w:pPr>
              <w:pStyle w:val="Text"/>
              <w:spacing w:before="120" w:line="240" w:lineRule="auto"/>
            </w:pPr>
            <w:r w:rsidRPr="00883399">
              <w:t>Part 1.3</w:t>
            </w:r>
          </w:p>
        </w:tc>
        <w:tc>
          <w:tcPr>
            <w:tcW w:w="1560" w:type="dxa"/>
          </w:tcPr>
          <w:p w14:paraId="0D8F028B" w14:textId="77777777" w:rsidR="006E1310" w:rsidRPr="00883399" w:rsidRDefault="006E1310" w:rsidP="0031057E">
            <w:pPr>
              <w:pStyle w:val="Text"/>
              <w:spacing w:before="120" w:line="240" w:lineRule="auto"/>
            </w:pPr>
            <w:r w:rsidRPr="00883399">
              <w:t>NO</w:t>
            </w:r>
          </w:p>
        </w:tc>
        <w:tc>
          <w:tcPr>
            <w:tcW w:w="1694" w:type="dxa"/>
          </w:tcPr>
          <w:p w14:paraId="42613F93" w14:textId="77777777" w:rsidR="006E1310" w:rsidRPr="00883399" w:rsidRDefault="006E1310" w:rsidP="0031057E">
            <w:pPr>
              <w:pStyle w:val="Text"/>
              <w:spacing w:before="120" w:line="240" w:lineRule="auto"/>
            </w:pPr>
            <w:r w:rsidRPr="00883399">
              <w:t>NO</w:t>
            </w:r>
          </w:p>
        </w:tc>
      </w:tr>
    </w:tbl>
    <w:p w14:paraId="0EDFF1E1" w14:textId="77777777" w:rsidR="006E1310" w:rsidRPr="00883399" w:rsidRDefault="006E1310" w:rsidP="006E1310">
      <w:pPr>
        <w:pStyle w:val="R2"/>
        <w:ind w:hanging="62"/>
        <w:rPr>
          <w:sz w:val="20"/>
          <w:szCs w:val="20"/>
        </w:rPr>
      </w:pPr>
      <w:r w:rsidRPr="00883399">
        <w:rPr>
          <w:sz w:val="20"/>
          <w:szCs w:val="20"/>
        </w:rPr>
        <w:t xml:space="preserve">NO = Not occurring. </w:t>
      </w:r>
    </w:p>
    <w:p w14:paraId="404F06FA" w14:textId="29773FCC" w:rsidR="00872C03" w:rsidRPr="00883399" w:rsidRDefault="00872C03" w:rsidP="00872C03">
      <w:pPr>
        <w:pStyle w:val="ActHead5"/>
        <w:rPr>
          <w:sz w:val="28"/>
        </w:rPr>
      </w:pPr>
      <w:bookmarkStart w:id="942" w:name="_Toc423517068"/>
      <w:bookmarkStart w:id="943" w:name="_Toc495653000"/>
      <w:r w:rsidRPr="00883399">
        <w:rPr>
          <w:rStyle w:val="CharSectno"/>
          <w:sz w:val="28"/>
        </w:rPr>
        <w:t>4.55</w:t>
      </w:r>
      <w:r w:rsidRPr="00883399">
        <w:rPr>
          <w:sz w:val="28"/>
        </w:rPr>
        <w:t xml:space="preserve">  Method 1—chemical or mineral production, other than carbide production, using a carbon reductant or carbon anode</w:t>
      </w:r>
      <w:bookmarkEnd w:id="942"/>
      <w:bookmarkEnd w:id="943"/>
    </w:p>
    <w:p w14:paraId="32CB6E2D" w14:textId="77777777" w:rsidR="006E1310" w:rsidRPr="00883399" w:rsidRDefault="006E1310" w:rsidP="006E1310">
      <w:pPr>
        <w:pStyle w:val="R1"/>
        <w:keepLines w:val="0"/>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Method 1 for emissions of carbon dioxide released from the use of fuels as carbon reductants or carbon anodes in the production of a chemical or mineral product is derived from the methodology used for the </w:t>
      </w:r>
      <w:r w:rsidRPr="00883399">
        <w:rPr>
          <w:rFonts w:ascii="Arial" w:hAnsi="Arial" w:cs="Arial"/>
          <w:i/>
          <w:sz w:val="22"/>
          <w:szCs w:val="22"/>
        </w:rPr>
        <w:t>National Greenhouse Accounts</w:t>
      </w:r>
      <w:r w:rsidRPr="00883399">
        <w:rPr>
          <w:rFonts w:ascii="Arial" w:hAnsi="Arial" w:cs="Arial"/>
          <w:sz w:val="22"/>
          <w:szCs w:val="22"/>
        </w:rPr>
        <w:t>.</w:t>
      </w:r>
    </w:p>
    <w:p w14:paraId="414E8785" w14:textId="77777777" w:rsidR="00872C03" w:rsidRPr="00883399" w:rsidRDefault="006E1310" w:rsidP="00872C03">
      <w:pPr>
        <w:pStyle w:val="subsection"/>
        <w:rPr>
          <w:sz w:val="24"/>
        </w:rPr>
      </w:pPr>
      <w:r w:rsidRPr="00883399">
        <w:rPr>
          <w:sz w:val="24"/>
        </w:rPr>
        <w:tab/>
      </w:r>
      <w:r w:rsidR="00872C03" w:rsidRPr="00883399">
        <w:rPr>
          <w:sz w:val="24"/>
        </w:rPr>
        <w:t>Method 1 is:</w:t>
      </w:r>
    </w:p>
    <w:tbl>
      <w:tblPr>
        <w:tblW w:w="0" w:type="auto"/>
        <w:tblInd w:w="948" w:type="dxa"/>
        <w:tblLayout w:type="fixed"/>
        <w:tblLook w:val="04A0" w:firstRow="1" w:lastRow="0" w:firstColumn="1" w:lastColumn="0" w:noHBand="0" w:noVBand="1"/>
      </w:tblPr>
      <w:tblGrid>
        <w:gridCol w:w="882"/>
        <w:gridCol w:w="6678"/>
      </w:tblGrid>
      <w:tr w:rsidR="00872C03" w:rsidRPr="00883399" w14:paraId="34BF1D30" w14:textId="77777777" w:rsidTr="0031057E">
        <w:trPr>
          <w:cantSplit/>
          <w:trHeight w:val="80"/>
        </w:trPr>
        <w:tc>
          <w:tcPr>
            <w:tcW w:w="882" w:type="dxa"/>
            <w:hideMark/>
          </w:tcPr>
          <w:p w14:paraId="7CB1C49E" w14:textId="77777777" w:rsidR="00872C03" w:rsidRPr="00883399" w:rsidRDefault="00872C03" w:rsidP="0031057E">
            <w:pPr>
              <w:spacing w:before="60" w:after="60"/>
            </w:pPr>
            <w:r w:rsidRPr="00883399">
              <w:t>Step 1</w:t>
            </w:r>
          </w:p>
        </w:tc>
        <w:tc>
          <w:tcPr>
            <w:tcW w:w="6678" w:type="dxa"/>
            <w:hideMark/>
          </w:tcPr>
          <w:p w14:paraId="4AD0D04B" w14:textId="77777777" w:rsidR="00872C03" w:rsidRPr="00883399" w:rsidRDefault="00872C03" w:rsidP="0031057E">
            <w:pPr>
              <w:pStyle w:val="TableText"/>
              <w:rPr>
                <w:sz w:val="24"/>
              </w:rPr>
            </w:pPr>
            <w:r w:rsidRPr="00883399">
              <w:rPr>
                <w:sz w:val="24"/>
              </w:rPr>
              <w:t>Work out the carbon content in fuel types</w:t>
            </w:r>
            <w:r w:rsidRPr="00883399">
              <w:rPr>
                <w:b/>
                <w:i/>
                <w:sz w:val="24"/>
              </w:rPr>
              <w:t xml:space="preserve"> </w:t>
            </w:r>
            <w:r w:rsidRPr="00883399">
              <w:rPr>
                <w:sz w:val="24"/>
              </w:rPr>
              <w:t>(</w:t>
            </w:r>
            <w:r w:rsidRPr="00883399">
              <w:rPr>
                <w:b/>
                <w:i/>
                <w:sz w:val="24"/>
              </w:rPr>
              <w:t>i</w:t>
            </w:r>
            <w:r w:rsidRPr="00883399">
              <w:rPr>
                <w:sz w:val="24"/>
              </w:rPr>
              <w:t>) or carbonaceous input material delivered for the activity during the year, measured in tonnes of carbon, as follows:</w:t>
            </w:r>
          </w:p>
          <w:p w14:paraId="47D3A07E" w14:textId="5ED461AD" w:rsidR="00872C03" w:rsidRPr="00883399" w:rsidRDefault="00872C03" w:rsidP="0031057E">
            <w:pPr>
              <w:pStyle w:val="Formula"/>
              <w:spacing w:before="120" w:after="120"/>
              <w:ind w:left="13"/>
              <w:rPr>
                <w:sz w:val="22"/>
              </w:rPr>
            </w:pPr>
            <w:r w:rsidRPr="00883399">
              <w:rPr>
                <w:noProof/>
                <w:position w:val="-10"/>
                <w:sz w:val="22"/>
              </w:rPr>
              <w:drawing>
                <wp:inline distT="0" distB="0" distL="0" distR="0" wp14:anchorId="42E064FE" wp14:editId="358F4947">
                  <wp:extent cx="878840" cy="213995"/>
                  <wp:effectExtent l="1905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11"/>
                          <a:srcRect/>
                          <a:stretch>
                            <a:fillRect/>
                          </a:stretch>
                        </pic:blipFill>
                        <pic:spPr bwMode="auto">
                          <a:xfrm>
                            <a:off x="0" y="0"/>
                            <a:ext cx="878840" cy="213995"/>
                          </a:xfrm>
                          <a:prstGeom prst="rect">
                            <a:avLst/>
                          </a:prstGeom>
                          <a:noFill/>
                          <a:ln w="9525">
                            <a:noFill/>
                            <a:miter lim="800000"/>
                            <a:headEnd/>
                            <a:tailEnd/>
                          </a:ln>
                        </pic:spPr>
                      </pic:pic>
                    </a:graphicData>
                  </a:graphic>
                </wp:inline>
              </w:drawing>
            </w:r>
          </w:p>
          <w:p w14:paraId="1CC0D40C" w14:textId="77777777" w:rsidR="00872C03" w:rsidRPr="00883399" w:rsidRDefault="00872C03" w:rsidP="0031057E">
            <w:pPr>
              <w:pStyle w:val="TableText"/>
              <w:rPr>
                <w:sz w:val="28"/>
              </w:rPr>
            </w:pPr>
            <w:r w:rsidRPr="00883399">
              <w:rPr>
                <w:sz w:val="28"/>
              </w:rPr>
              <w:t>where:</w:t>
            </w:r>
          </w:p>
          <w:p w14:paraId="2C9394C5" w14:textId="77777777" w:rsidR="00872C03" w:rsidRPr="00883399" w:rsidRDefault="00872C03" w:rsidP="0031057E">
            <w:pPr>
              <w:pStyle w:val="TableText"/>
              <w:rPr>
                <w:sz w:val="24"/>
              </w:rPr>
            </w:pPr>
            <w:r w:rsidRPr="00883399">
              <w:rPr>
                <w:rFonts w:ascii="Symbol" w:hAnsi="Symbol"/>
                <w:b/>
                <w:i/>
                <w:sz w:val="24"/>
              </w:rPr>
              <w:t></w:t>
            </w:r>
            <w:r w:rsidRPr="00883399">
              <w:rPr>
                <w:b/>
                <w:i/>
                <w:sz w:val="24"/>
                <w:vertAlign w:val="subscript"/>
              </w:rPr>
              <w:t>i</w:t>
            </w:r>
            <w:r w:rsidRPr="00883399">
              <w:rPr>
                <w:i/>
                <w:sz w:val="24"/>
              </w:rPr>
              <w:t xml:space="preserve"> </w:t>
            </w:r>
            <w:r w:rsidRPr="00883399">
              <w:rPr>
                <w:sz w:val="24"/>
              </w:rPr>
              <w:t>means the sum of the carbon content values obtained for all fuel types (</w:t>
            </w:r>
            <w:r w:rsidRPr="00883399">
              <w:rPr>
                <w:b/>
                <w:i/>
                <w:sz w:val="24"/>
              </w:rPr>
              <w:t>i</w:t>
            </w:r>
            <w:r w:rsidRPr="00883399">
              <w:rPr>
                <w:sz w:val="24"/>
              </w:rPr>
              <w:t>) or carbonaceous input material.</w:t>
            </w:r>
          </w:p>
        </w:tc>
      </w:tr>
      <w:tr w:rsidR="00872C03" w:rsidRPr="00883399" w14:paraId="52793AFA" w14:textId="77777777" w:rsidTr="0031057E">
        <w:trPr>
          <w:cantSplit/>
          <w:trHeight w:val="80"/>
        </w:trPr>
        <w:tc>
          <w:tcPr>
            <w:tcW w:w="882" w:type="dxa"/>
            <w:vAlign w:val="center"/>
            <w:hideMark/>
          </w:tcPr>
          <w:p w14:paraId="22CF8930" w14:textId="77777777" w:rsidR="00872C03" w:rsidRPr="00883399" w:rsidRDefault="00872C03" w:rsidP="0031057E"/>
        </w:tc>
        <w:tc>
          <w:tcPr>
            <w:tcW w:w="6678" w:type="dxa"/>
            <w:hideMark/>
          </w:tcPr>
          <w:p w14:paraId="0ECECC9C" w14:textId="77777777" w:rsidR="00872C03" w:rsidRPr="00883399" w:rsidRDefault="00872C03" w:rsidP="0031057E">
            <w:pPr>
              <w:pStyle w:val="TableText"/>
              <w:rPr>
                <w:b/>
                <w:i/>
                <w:sz w:val="24"/>
              </w:rPr>
            </w:pPr>
            <w:r w:rsidRPr="00883399">
              <w:rPr>
                <w:b/>
                <w:i/>
                <w:sz w:val="24"/>
              </w:rPr>
              <w:t>CCF</w:t>
            </w:r>
            <w:r w:rsidRPr="00883399">
              <w:rPr>
                <w:b/>
                <w:i/>
                <w:sz w:val="24"/>
                <w:vertAlign w:val="subscript"/>
              </w:rPr>
              <w:t>i</w:t>
            </w:r>
            <w:r w:rsidRPr="00883399">
              <w:rPr>
                <w:i/>
                <w:sz w:val="24"/>
              </w:rPr>
              <w:t xml:space="preserve"> </w:t>
            </w:r>
            <w:r w:rsidRPr="00883399">
              <w:rPr>
                <w:sz w:val="24"/>
              </w:rPr>
              <w:t>is the carbon content factor mentioned in Schedule 3, measured in tonnes of carbon, for each appropriate unit of fuel type (</w:t>
            </w:r>
            <w:r w:rsidRPr="00883399">
              <w:rPr>
                <w:b/>
                <w:i/>
                <w:sz w:val="24"/>
              </w:rPr>
              <w:t>i</w:t>
            </w:r>
            <w:r w:rsidRPr="00883399">
              <w:rPr>
                <w:sz w:val="24"/>
              </w:rPr>
              <w:t>) or carbonaceous input material consumed during the year from the operation of the activity.</w:t>
            </w:r>
          </w:p>
          <w:p w14:paraId="2E8C2BCE" w14:textId="77777777" w:rsidR="00872C03" w:rsidRPr="00883399" w:rsidRDefault="00872C03" w:rsidP="0031057E">
            <w:pPr>
              <w:pStyle w:val="TableText"/>
              <w:rPr>
                <w:sz w:val="24"/>
              </w:rPr>
            </w:pPr>
            <w:r w:rsidRPr="00883399">
              <w:rPr>
                <w:b/>
                <w:i/>
                <w:sz w:val="24"/>
              </w:rPr>
              <w:t>Q</w:t>
            </w:r>
            <w:r w:rsidRPr="00883399">
              <w:rPr>
                <w:b/>
                <w:i/>
                <w:sz w:val="24"/>
                <w:vertAlign w:val="subscript"/>
              </w:rPr>
              <w:t>i</w:t>
            </w:r>
            <w:r w:rsidRPr="00883399">
              <w:rPr>
                <w:i/>
                <w:sz w:val="24"/>
              </w:rPr>
              <w:t xml:space="preserve"> </w:t>
            </w:r>
            <w:r w:rsidRPr="00883399">
              <w:rPr>
                <w:sz w:val="24"/>
              </w:rPr>
              <w:t>is the quantity of fuel type (</w:t>
            </w:r>
            <w:r w:rsidRPr="00883399">
              <w:rPr>
                <w:b/>
                <w:i/>
                <w:sz w:val="24"/>
              </w:rPr>
              <w:t>i</w:t>
            </w:r>
            <w:r w:rsidRPr="00883399">
              <w:rPr>
                <w:sz w:val="24"/>
              </w:rPr>
              <w:t>) or carbonaceous input material delivered for the activity during the year, measured in an appropriate unit and estimated in accordance with criterion A in Divisions 2.2.5, 2.3.6, 2.4.6 and 4.2.5.</w:t>
            </w:r>
          </w:p>
        </w:tc>
      </w:tr>
      <w:tr w:rsidR="00872C03" w:rsidRPr="00883399" w14:paraId="612947AF" w14:textId="77777777" w:rsidTr="0031057E">
        <w:trPr>
          <w:cantSplit/>
        </w:trPr>
        <w:tc>
          <w:tcPr>
            <w:tcW w:w="882" w:type="dxa"/>
            <w:vMerge w:val="restart"/>
            <w:hideMark/>
          </w:tcPr>
          <w:p w14:paraId="0FD86B0E" w14:textId="77777777" w:rsidR="00872C03" w:rsidRPr="00883399" w:rsidRDefault="00872C03" w:rsidP="0031057E">
            <w:pPr>
              <w:spacing w:before="60" w:after="60"/>
            </w:pPr>
            <w:r w:rsidRPr="00883399">
              <w:t>Step 2</w:t>
            </w:r>
          </w:p>
        </w:tc>
        <w:tc>
          <w:tcPr>
            <w:tcW w:w="6678" w:type="dxa"/>
            <w:hideMark/>
          </w:tcPr>
          <w:p w14:paraId="7C8FB094" w14:textId="77777777" w:rsidR="00872C03" w:rsidRPr="00883399" w:rsidRDefault="00872C03" w:rsidP="0031057E">
            <w:pPr>
              <w:pStyle w:val="TableText"/>
              <w:rPr>
                <w:sz w:val="24"/>
              </w:rPr>
            </w:pPr>
            <w:r w:rsidRPr="00883399">
              <w:rPr>
                <w:sz w:val="24"/>
              </w:rPr>
              <w:t>Work out the carbon content in products (</w:t>
            </w:r>
            <w:r w:rsidRPr="00883399">
              <w:rPr>
                <w:b/>
                <w:i/>
                <w:sz w:val="24"/>
              </w:rPr>
              <w:t>p</w:t>
            </w:r>
            <w:r w:rsidRPr="00883399">
              <w:rPr>
                <w:sz w:val="24"/>
              </w:rPr>
              <w:t>) leaving the activity during the year, measured in tonnes of carbon, as follows:</w:t>
            </w:r>
          </w:p>
          <w:p w14:paraId="2F761C52" w14:textId="0D29A9AE" w:rsidR="00872C03" w:rsidRPr="00883399" w:rsidRDefault="00872C03" w:rsidP="0031057E">
            <w:pPr>
              <w:pStyle w:val="Formula"/>
              <w:spacing w:before="120" w:after="120"/>
              <w:ind w:left="13"/>
              <w:rPr>
                <w:sz w:val="22"/>
              </w:rPr>
            </w:pPr>
            <w:r w:rsidRPr="00883399">
              <w:rPr>
                <w:noProof/>
                <w:position w:val="-14"/>
                <w:sz w:val="22"/>
              </w:rPr>
              <w:drawing>
                <wp:inline distT="0" distB="0" distL="0" distR="0" wp14:anchorId="54FAFCF0" wp14:editId="3BC65C5A">
                  <wp:extent cx="890905" cy="237490"/>
                  <wp:effectExtent l="19050" t="0" r="4445"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12"/>
                          <a:srcRect/>
                          <a:stretch>
                            <a:fillRect/>
                          </a:stretch>
                        </pic:blipFill>
                        <pic:spPr bwMode="auto">
                          <a:xfrm>
                            <a:off x="0" y="0"/>
                            <a:ext cx="890905" cy="237490"/>
                          </a:xfrm>
                          <a:prstGeom prst="rect">
                            <a:avLst/>
                          </a:prstGeom>
                          <a:noFill/>
                          <a:ln w="9525">
                            <a:noFill/>
                            <a:miter lim="800000"/>
                            <a:headEnd/>
                            <a:tailEnd/>
                          </a:ln>
                        </pic:spPr>
                      </pic:pic>
                    </a:graphicData>
                  </a:graphic>
                </wp:inline>
              </w:drawing>
            </w:r>
          </w:p>
        </w:tc>
      </w:tr>
      <w:tr w:rsidR="00872C03" w:rsidRPr="00883399" w14:paraId="6D9C0E98" w14:textId="77777777" w:rsidTr="0031057E">
        <w:trPr>
          <w:cantSplit/>
        </w:trPr>
        <w:tc>
          <w:tcPr>
            <w:tcW w:w="882" w:type="dxa"/>
            <w:vMerge/>
            <w:vAlign w:val="center"/>
            <w:hideMark/>
          </w:tcPr>
          <w:p w14:paraId="07AFF2DF" w14:textId="77777777" w:rsidR="00872C03" w:rsidRPr="00883399" w:rsidRDefault="00872C03" w:rsidP="0031057E"/>
        </w:tc>
        <w:tc>
          <w:tcPr>
            <w:tcW w:w="6678" w:type="dxa"/>
            <w:hideMark/>
          </w:tcPr>
          <w:p w14:paraId="040516E1" w14:textId="77777777" w:rsidR="00872C03" w:rsidRPr="00883399" w:rsidRDefault="00872C03" w:rsidP="0031057E">
            <w:pPr>
              <w:pStyle w:val="TableText"/>
              <w:rPr>
                <w:sz w:val="24"/>
              </w:rPr>
            </w:pPr>
            <w:r w:rsidRPr="00883399">
              <w:rPr>
                <w:sz w:val="24"/>
              </w:rPr>
              <w:t>where:</w:t>
            </w:r>
          </w:p>
          <w:p w14:paraId="524B5C40" w14:textId="77777777" w:rsidR="00872C03" w:rsidRPr="00883399" w:rsidRDefault="00872C03" w:rsidP="0031057E">
            <w:pPr>
              <w:pStyle w:val="TableText"/>
              <w:spacing w:line="240" w:lineRule="auto"/>
              <w:rPr>
                <w:sz w:val="24"/>
              </w:rPr>
            </w:pPr>
            <w:r w:rsidRPr="00883399">
              <w:rPr>
                <w:rFonts w:ascii="Symbol" w:hAnsi="Symbol"/>
                <w:b/>
                <w:i/>
                <w:sz w:val="24"/>
              </w:rPr>
              <w:t></w:t>
            </w:r>
            <w:r w:rsidRPr="00883399">
              <w:rPr>
                <w:b/>
                <w:i/>
                <w:sz w:val="24"/>
                <w:vertAlign w:val="subscript"/>
              </w:rPr>
              <w:t>p</w:t>
            </w:r>
            <w:r w:rsidRPr="00883399">
              <w:rPr>
                <w:i/>
                <w:sz w:val="24"/>
              </w:rPr>
              <w:t xml:space="preserve"> </w:t>
            </w:r>
            <w:r w:rsidRPr="00883399">
              <w:rPr>
                <w:sz w:val="24"/>
              </w:rPr>
              <w:t xml:space="preserve">means the sum of the </w:t>
            </w:r>
            <w:r w:rsidRPr="00883399">
              <w:rPr>
                <w:sz w:val="24"/>
                <w:szCs w:val="22"/>
              </w:rPr>
              <w:t>carbon</w:t>
            </w:r>
            <w:r w:rsidRPr="00883399">
              <w:rPr>
                <w:sz w:val="24"/>
              </w:rPr>
              <w:t xml:space="preserve"> content values obtained for all product types (</w:t>
            </w:r>
            <w:r w:rsidRPr="00883399">
              <w:rPr>
                <w:b/>
                <w:i/>
                <w:sz w:val="24"/>
              </w:rPr>
              <w:t>p</w:t>
            </w:r>
            <w:r w:rsidRPr="00883399">
              <w:rPr>
                <w:sz w:val="24"/>
              </w:rPr>
              <w:t>).</w:t>
            </w:r>
          </w:p>
          <w:p w14:paraId="301EEB07" w14:textId="77777777" w:rsidR="00872C03" w:rsidRPr="00883399" w:rsidRDefault="00872C03" w:rsidP="0031057E">
            <w:pPr>
              <w:pStyle w:val="TableText"/>
              <w:spacing w:line="240" w:lineRule="auto"/>
              <w:rPr>
                <w:iCs/>
                <w:sz w:val="24"/>
              </w:rPr>
            </w:pPr>
            <w:r w:rsidRPr="00883399">
              <w:rPr>
                <w:b/>
                <w:i/>
                <w:iCs/>
                <w:sz w:val="24"/>
              </w:rPr>
              <w:t>CCF</w:t>
            </w:r>
            <w:r w:rsidRPr="00883399">
              <w:rPr>
                <w:b/>
                <w:i/>
                <w:iCs/>
                <w:sz w:val="24"/>
                <w:vertAlign w:val="subscript"/>
              </w:rPr>
              <w:t>p</w:t>
            </w:r>
            <w:r w:rsidRPr="00883399">
              <w:rPr>
                <w:iCs/>
                <w:sz w:val="24"/>
              </w:rPr>
              <w:t xml:space="preserve"> is the carbon content factor, measured in tonnes of carbon, for each tonne of product type</w:t>
            </w:r>
            <w:r w:rsidRPr="00883399">
              <w:rPr>
                <w:b/>
                <w:i/>
                <w:iCs/>
                <w:sz w:val="24"/>
              </w:rPr>
              <w:t xml:space="preserve"> </w:t>
            </w:r>
            <w:r w:rsidRPr="00883399">
              <w:rPr>
                <w:iCs/>
                <w:sz w:val="24"/>
              </w:rPr>
              <w:t>(</w:t>
            </w:r>
            <w:r w:rsidRPr="00883399">
              <w:rPr>
                <w:b/>
                <w:i/>
                <w:iCs/>
                <w:sz w:val="24"/>
              </w:rPr>
              <w:t>p</w:t>
            </w:r>
            <w:r w:rsidRPr="00883399">
              <w:rPr>
                <w:iCs/>
                <w:sz w:val="24"/>
              </w:rPr>
              <w:t>) produced during the year.</w:t>
            </w:r>
          </w:p>
          <w:p w14:paraId="2D2B34F9" w14:textId="77777777" w:rsidR="00872C03" w:rsidRPr="00883399" w:rsidRDefault="00872C03" w:rsidP="0031057E">
            <w:pPr>
              <w:pStyle w:val="TableText"/>
              <w:spacing w:line="240" w:lineRule="auto"/>
              <w:rPr>
                <w:sz w:val="24"/>
              </w:rPr>
            </w:pPr>
            <w:r w:rsidRPr="00883399">
              <w:rPr>
                <w:b/>
                <w:i/>
                <w:sz w:val="24"/>
              </w:rPr>
              <w:t>A</w:t>
            </w:r>
            <w:r w:rsidRPr="00883399">
              <w:rPr>
                <w:b/>
                <w:i/>
                <w:sz w:val="24"/>
                <w:vertAlign w:val="subscript"/>
              </w:rPr>
              <w:t>p</w:t>
            </w:r>
            <w:r w:rsidRPr="00883399">
              <w:rPr>
                <w:i/>
                <w:sz w:val="24"/>
              </w:rPr>
              <w:t xml:space="preserve"> </w:t>
            </w:r>
            <w:r w:rsidRPr="00883399">
              <w:rPr>
                <w:sz w:val="24"/>
              </w:rPr>
              <w:t xml:space="preserve">is the </w:t>
            </w:r>
            <w:r w:rsidRPr="00883399">
              <w:rPr>
                <w:sz w:val="24"/>
                <w:szCs w:val="22"/>
              </w:rPr>
              <w:t>quantity</w:t>
            </w:r>
            <w:r w:rsidRPr="00883399">
              <w:rPr>
                <w:sz w:val="24"/>
              </w:rPr>
              <w:t xml:space="preserve"> of product types (</w:t>
            </w:r>
            <w:r w:rsidRPr="00883399">
              <w:rPr>
                <w:b/>
                <w:i/>
                <w:sz w:val="24"/>
              </w:rPr>
              <w:t>p</w:t>
            </w:r>
            <w:r w:rsidRPr="00883399">
              <w:rPr>
                <w:sz w:val="24"/>
              </w:rPr>
              <w:t>) produced leaving the activity during the year, measured in tonnes.</w:t>
            </w:r>
          </w:p>
        </w:tc>
      </w:tr>
      <w:tr w:rsidR="00872C03" w:rsidRPr="00883399" w14:paraId="6D0CC026" w14:textId="77777777" w:rsidTr="0031057E">
        <w:trPr>
          <w:cantSplit/>
        </w:trPr>
        <w:tc>
          <w:tcPr>
            <w:tcW w:w="882" w:type="dxa"/>
            <w:vMerge w:val="restart"/>
            <w:hideMark/>
          </w:tcPr>
          <w:p w14:paraId="16E8CAC4" w14:textId="77777777" w:rsidR="00872C03" w:rsidRPr="00883399" w:rsidRDefault="00872C03" w:rsidP="0031057E">
            <w:pPr>
              <w:spacing w:before="60" w:after="60"/>
            </w:pPr>
            <w:r w:rsidRPr="00883399">
              <w:t>Step 3</w:t>
            </w:r>
          </w:p>
        </w:tc>
        <w:tc>
          <w:tcPr>
            <w:tcW w:w="6678" w:type="dxa"/>
            <w:hideMark/>
          </w:tcPr>
          <w:p w14:paraId="7BB78A41" w14:textId="77777777" w:rsidR="00872C03" w:rsidRPr="00883399" w:rsidRDefault="00872C03" w:rsidP="0031057E">
            <w:pPr>
              <w:pStyle w:val="TableText"/>
              <w:rPr>
                <w:iCs/>
                <w:sz w:val="24"/>
              </w:rPr>
            </w:pPr>
            <w:r w:rsidRPr="00883399">
              <w:rPr>
                <w:iCs/>
                <w:sz w:val="24"/>
              </w:rPr>
              <w:t xml:space="preserve">Work out </w:t>
            </w:r>
            <w:r w:rsidRPr="00883399">
              <w:rPr>
                <w:sz w:val="24"/>
              </w:rPr>
              <w:t xml:space="preserve">the carbon content in </w:t>
            </w:r>
            <w:r w:rsidRPr="00883399">
              <w:rPr>
                <w:iCs/>
                <w:sz w:val="24"/>
              </w:rPr>
              <w:t>waste by</w:t>
            </w:r>
            <w:r w:rsidRPr="00883399">
              <w:rPr>
                <w:iCs/>
                <w:sz w:val="24"/>
              </w:rPr>
              <w:noBreakHyphen/>
              <w:t xml:space="preserve">product types </w:t>
            </w:r>
            <w:r w:rsidRPr="00883399">
              <w:rPr>
                <w:b/>
                <w:i/>
                <w:sz w:val="24"/>
              </w:rPr>
              <w:t xml:space="preserve">(r) </w:t>
            </w:r>
            <w:r w:rsidRPr="00883399">
              <w:rPr>
                <w:sz w:val="24"/>
              </w:rPr>
              <w:t>leaving the activity,</w:t>
            </w:r>
            <w:r w:rsidRPr="00883399">
              <w:rPr>
                <w:iCs/>
                <w:sz w:val="24"/>
              </w:rPr>
              <w:t xml:space="preserve"> other than as an emission of greenhouse gas, during the year, </w:t>
            </w:r>
            <w:r w:rsidRPr="00883399">
              <w:rPr>
                <w:sz w:val="24"/>
              </w:rPr>
              <w:t xml:space="preserve">measured in tonnes of carbon, </w:t>
            </w:r>
            <w:r w:rsidRPr="00883399">
              <w:rPr>
                <w:iCs/>
                <w:sz w:val="24"/>
              </w:rPr>
              <w:t>as follows:</w:t>
            </w:r>
          </w:p>
          <w:p w14:paraId="4B3FE3A3" w14:textId="511B9198" w:rsidR="00872C03" w:rsidRPr="00883399" w:rsidRDefault="00872C03" w:rsidP="0031057E">
            <w:pPr>
              <w:pStyle w:val="Formula"/>
              <w:spacing w:before="120" w:after="120"/>
              <w:ind w:left="13"/>
              <w:rPr>
                <w:sz w:val="22"/>
              </w:rPr>
            </w:pPr>
            <w:r w:rsidRPr="00883399">
              <w:rPr>
                <w:noProof/>
                <w:position w:val="-10"/>
                <w:sz w:val="22"/>
              </w:rPr>
              <w:drawing>
                <wp:inline distT="0" distB="0" distL="0" distR="0" wp14:anchorId="43D1C861" wp14:editId="6201095A">
                  <wp:extent cx="843280" cy="213995"/>
                  <wp:effectExtent l="1905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13"/>
                          <a:srcRect/>
                          <a:stretch>
                            <a:fillRect/>
                          </a:stretch>
                        </pic:blipFill>
                        <pic:spPr bwMode="auto">
                          <a:xfrm>
                            <a:off x="0" y="0"/>
                            <a:ext cx="843280" cy="213995"/>
                          </a:xfrm>
                          <a:prstGeom prst="rect">
                            <a:avLst/>
                          </a:prstGeom>
                          <a:noFill/>
                          <a:ln w="9525">
                            <a:noFill/>
                            <a:miter lim="800000"/>
                            <a:headEnd/>
                            <a:tailEnd/>
                          </a:ln>
                        </pic:spPr>
                      </pic:pic>
                    </a:graphicData>
                  </a:graphic>
                </wp:inline>
              </w:drawing>
            </w:r>
          </w:p>
        </w:tc>
      </w:tr>
      <w:tr w:rsidR="00872C03" w:rsidRPr="00883399" w14:paraId="77177C63" w14:textId="77777777" w:rsidTr="0031057E">
        <w:trPr>
          <w:cantSplit/>
        </w:trPr>
        <w:tc>
          <w:tcPr>
            <w:tcW w:w="882" w:type="dxa"/>
            <w:vMerge/>
            <w:hideMark/>
          </w:tcPr>
          <w:p w14:paraId="1D346D24" w14:textId="77777777" w:rsidR="00872C03" w:rsidRPr="00883399" w:rsidRDefault="00872C03" w:rsidP="0031057E">
            <w:pPr>
              <w:spacing w:before="60" w:after="60"/>
            </w:pPr>
          </w:p>
        </w:tc>
        <w:tc>
          <w:tcPr>
            <w:tcW w:w="6678" w:type="dxa"/>
            <w:hideMark/>
          </w:tcPr>
          <w:p w14:paraId="7F4BB0F3" w14:textId="77777777" w:rsidR="00872C03" w:rsidRPr="00883399" w:rsidRDefault="00872C03" w:rsidP="0031057E">
            <w:pPr>
              <w:pStyle w:val="TableText"/>
              <w:rPr>
                <w:sz w:val="24"/>
              </w:rPr>
            </w:pPr>
            <w:r w:rsidRPr="00883399">
              <w:rPr>
                <w:sz w:val="24"/>
              </w:rPr>
              <w:t>where:</w:t>
            </w:r>
          </w:p>
          <w:p w14:paraId="15D0674C" w14:textId="77777777" w:rsidR="00872C03" w:rsidRPr="00883399" w:rsidRDefault="00872C03" w:rsidP="0031057E">
            <w:pPr>
              <w:pStyle w:val="TableText"/>
              <w:rPr>
                <w:sz w:val="24"/>
              </w:rPr>
            </w:pPr>
            <w:r w:rsidRPr="00883399">
              <w:rPr>
                <w:rFonts w:ascii="Symbol" w:hAnsi="Symbol"/>
                <w:b/>
                <w:i/>
                <w:sz w:val="24"/>
              </w:rPr>
              <w:t></w:t>
            </w:r>
            <w:r w:rsidRPr="00883399">
              <w:rPr>
                <w:b/>
                <w:i/>
                <w:sz w:val="24"/>
                <w:vertAlign w:val="subscript"/>
              </w:rPr>
              <w:t>r</w:t>
            </w:r>
            <w:r w:rsidRPr="00883399">
              <w:rPr>
                <w:i/>
                <w:sz w:val="24"/>
              </w:rPr>
              <w:t xml:space="preserve"> </w:t>
            </w:r>
            <w:r w:rsidRPr="00883399">
              <w:rPr>
                <w:sz w:val="24"/>
              </w:rPr>
              <w:t>means the sum of the carbon content values obtained for all waste by</w:t>
            </w:r>
            <w:r w:rsidRPr="00883399">
              <w:rPr>
                <w:sz w:val="24"/>
              </w:rPr>
              <w:noBreakHyphen/>
              <w:t>product types (</w:t>
            </w:r>
            <w:r w:rsidRPr="00883399">
              <w:rPr>
                <w:b/>
                <w:i/>
                <w:sz w:val="24"/>
              </w:rPr>
              <w:t>r</w:t>
            </w:r>
            <w:r w:rsidRPr="00883399">
              <w:rPr>
                <w:sz w:val="24"/>
              </w:rPr>
              <w:t>).</w:t>
            </w:r>
          </w:p>
        </w:tc>
      </w:tr>
      <w:tr w:rsidR="00872C03" w:rsidRPr="00883399" w14:paraId="1269408D" w14:textId="77777777" w:rsidTr="0031057E">
        <w:trPr>
          <w:cantSplit/>
        </w:trPr>
        <w:tc>
          <w:tcPr>
            <w:tcW w:w="882" w:type="dxa"/>
            <w:vMerge/>
            <w:vAlign w:val="center"/>
            <w:hideMark/>
          </w:tcPr>
          <w:p w14:paraId="5B0BE17E" w14:textId="77777777" w:rsidR="00872C03" w:rsidRPr="00883399" w:rsidRDefault="00872C03" w:rsidP="0031057E"/>
        </w:tc>
        <w:tc>
          <w:tcPr>
            <w:tcW w:w="6678" w:type="dxa"/>
            <w:hideMark/>
          </w:tcPr>
          <w:p w14:paraId="71D67E9B" w14:textId="77777777" w:rsidR="00872C03" w:rsidRPr="00883399" w:rsidRDefault="00872C03" w:rsidP="0031057E">
            <w:pPr>
              <w:pStyle w:val="TableText"/>
              <w:rPr>
                <w:iCs/>
                <w:sz w:val="24"/>
              </w:rPr>
            </w:pPr>
            <w:r w:rsidRPr="00883399">
              <w:rPr>
                <w:b/>
                <w:i/>
                <w:iCs/>
                <w:sz w:val="24"/>
              </w:rPr>
              <w:t>CCF</w:t>
            </w:r>
            <w:r w:rsidRPr="00883399">
              <w:rPr>
                <w:b/>
                <w:i/>
                <w:iCs/>
                <w:sz w:val="24"/>
                <w:vertAlign w:val="subscript"/>
              </w:rPr>
              <w:t>r</w:t>
            </w:r>
            <w:r w:rsidRPr="00883399">
              <w:rPr>
                <w:iCs/>
                <w:sz w:val="24"/>
              </w:rPr>
              <w:t xml:space="preserve"> is the carbon content factor, measured in tonnes of carbon, for each tonne of waste by</w:t>
            </w:r>
            <w:r w:rsidRPr="00883399">
              <w:rPr>
                <w:iCs/>
                <w:sz w:val="24"/>
              </w:rPr>
              <w:noBreakHyphen/>
              <w:t>product types</w:t>
            </w:r>
            <w:r w:rsidRPr="00883399">
              <w:rPr>
                <w:b/>
                <w:i/>
                <w:iCs/>
                <w:sz w:val="24"/>
              </w:rPr>
              <w:t xml:space="preserve"> </w:t>
            </w:r>
            <w:r w:rsidRPr="00883399">
              <w:rPr>
                <w:iCs/>
                <w:sz w:val="24"/>
              </w:rPr>
              <w:t>(</w:t>
            </w:r>
            <w:r w:rsidRPr="00883399">
              <w:rPr>
                <w:b/>
                <w:i/>
                <w:iCs/>
                <w:sz w:val="24"/>
              </w:rPr>
              <w:t>r</w:t>
            </w:r>
            <w:r w:rsidRPr="00883399">
              <w:rPr>
                <w:iCs/>
                <w:sz w:val="24"/>
              </w:rPr>
              <w:t>).</w:t>
            </w:r>
          </w:p>
          <w:p w14:paraId="4CC3E65C" w14:textId="77777777" w:rsidR="00872C03" w:rsidRPr="00883399" w:rsidRDefault="00872C03" w:rsidP="0031057E">
            <w:pPr>
              <w:pStyle w:val="TableText"/>
              <w:rPr>
                <w:sz w:val="24"/>
              </w:rPr>
            </w:pPr>
            <w:r w:rsidRPr="00883399">
              <w:rPr>
                <w:b/>
                <w:i/>
                <w:sz w:val="24"/>
              </w:rPr>
              <w:t>Y</w:t>
            </w:r>
            <w:r w:rsidRPr="00883399">
              <w:rPr>
                <w:b/>
                <w:i/>
                <w:sz w:val="24"/>
                <w:vertAlign w:val="subscript"/>
              </w:rPr>
              <w:t>r</w:t>
            </w:r>
            <w:r w:rsidRPr="00883399">
              <w:rPr>
                <w:i/>
                <w:sz w:val="24"/>
              </w:rPr>
              <w:t xml:space="preserve"> </w:t>
            </w:r>
            <w:r w:rsidRPr="00883399">
              <w:rPr>
                <w:sz w:val="24"/>
              </w:rPr>
              <w:t>is the quantity of waste by</w:t>
            </w:r>
            <w:r w:rsidRPr="00883399">
              <w:rPr>
                <w:sz w:val="24"/>
              </w:rPr>
              <w:noBreakHyphen/>
              <w:t>product types (</w:t>
            </w:r>
            <w:r w:rsidRPr="00883399">
              <w:rPr>
                <w:b/>
                <w:i/>
                <w:sz w:val="24"/>
              </w:rPr>
              <w:t>r</w:t>
            </w:r>
            <w:r w:rsidRPr="00883399">
              <w:rPr>
                <w:sz w:val="24"/>
              </w:rPr>
              <w:t>) leaving the activity during the year, measured in tonnes.</w:t>
            </w:r>
          </w:p>
        </w:tc>
      </w:tr>
      <w:tr w:rsidR="00872C03" w:rsidRPr="00883399" w14:paraId="5515FA8B" w14:textId="77777777" w:rsidTr="0031057E">
        <w:trPr>
          <w:cantSplit/>
        </w:trPr>
        <w:tc>
          <w:tcPr>
            <w:tcW w:w="882" w:type="dxa"/>
            <w:vMerge w:val="restart"/>
            <w:hideMark/>
          </w:tcPr>
          <w:p w14:paraId="6ADE0EA0" w14:textId="77777777" w:rsidR="00872C03" w:rsidRPr="00883399" w:rsidRDefault="00872C03" w:rsidP="0031057E">
            <w:pPr>
              <w:spacing w:before="60" w:after="60"/>
            </w:pPr>
            <w:r w:rsidRPr="00883399">
              <w:t>Step 4</w:t>
            </w:r>
          </w:p>
        </w:tc>
        <w:tc>
          <w:tcPr>
            <w:tcW w:w="6678" w:type="dxa"/>
            <w:hideMark/>
          </w:tcPr>
          <w:p w14:paraId="63E4132C" w14:textId="77777777" w:rsidR="00872C03" w:rsidRPr="00883399" w:rsidRDefault="00872C03" w:rsidP="0031057E">
            <w:pPr>
              <w:pStyle w:val="TableText"/>
              <w:rPr>
                <w:iCs/>
                <w:sz w:val="24"/>
              </w:rPr>
            </w:pPr>
            <w:r w:rsidRPr="00883399">
              <w:rPr>
                <w:sz w:val="24"/>
              </w:rPr>
              <w:t xml:space="preserve">Work out the carbon content in the amount of the change in </w:t>
            </w:r>
            <w:r w:rsidRPr="00883399">
              <w:rPr>
                <w:iCs/>
                <w:sz w:val="24"/>
              </w:rPr>
              <w:t>stocks of inputs, products and waste by</w:t>
            </w:r>
            <w:r w:rsidRPr="00883399">
              <w:rPr>
                <w:iCs/>
                <w:sz w:val="24"/>
              </w:rPr>
              <w:noBreakHyphen/>
              <w:t>products held within the boundary of the activity during the year, measured in tonnes of carbon, as follows:</w:t>
            </w:r>
          </w:p>
          <w:p w14:paraId="3FC07359" w14:textId="3E4A50A2" w:rsidR="00872C03" w:rsidRPr="00883399" w:rsidRDefault="00872C03" w:rsidP="0031057E">
            <w:pPr>
              <w:pStyle w:val="Formula"/>
              <w:spacing w:before="120" w:after="120"/>
              <w:ind w:left="13"/>
              <w:rPr>
                <w:sz w:val="22"/>
              </w:rPr>
            </w:pPr>
            <w:r w:rsidRPr="00883399">
              <w:rPr>
                <w:noProof/>
                <w:position w:val="-14"/>
                <w:sz w:val="22"/>
              </w:rPr>
              <w:drawing>
                <wp:inline distT="0" distB="0" distL="0" distR="0" wp14:anchorId="5CD0B2E9" wp14:editId="4D6C8017">
                  <wp:extent cx="3206115" cy="225425"/>
                  <wp:effectExtent l="1905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14"/>
                          <a:srcRect/>
                          <a:stretch>
                            <a:fillRect/>
                          </a:stretch>
                        </pic:blipFill>
                        <pic:spPr bwMode="auto">
                          <a:xfrm>
                            <a:off x="0" y="0"/>
                            <a:ext cx="3206115" cy="225425"/>
                          </a:xfrm>
                          <a:prstGeom prst="rect">
                            <a:avLst/>
                          </a:prstGeom>
                          <a:noFill/>
                          <a:ln w="9525">
                            <a:noFill/>
                            <a:miter lim="800000"/>
                            <a:headEnd/>
                            <a:tailEnd/>
                          </a:ln>
                        </pic:spPr>
                      </pic:pic>
                    </a:graphicData>
                  </a:graphic>
                </wp:inline>
              </w:drawing>
            </w:r>
          </w:p>
        </w:tc>
      </w:tr>
      <w:tr w:rsidR="00872C03" w:rsidRPr="00883399" w14:paraId="704DB27E" w14:textId="77777777" w:rsidTr="0031057E">
        <w:trPr>
          <w:cantSplit/>
        </w:trPr>
        <w:tc>
          <w:tcPr>
            <w:tcW w:w="882" w:type="dxa"/>
            <w:vMerge/>
            <w:hideMark/>
          </w:tcPr>
          <w:p w14:paraId="47397ED6" w14:textId="77777777" w:rsidR="00872C03" w:rsidRPr="00883399" w:rsidRDefault="00872C03" w:rsidP="0031057E">
            <w:pPr>
              <w:spacing w:before="60" w:after="60"/>
            </w:pPr>
          </w:p>
        </w:tc>
        <w:tc>
          <w:tcPr>
            <w:tcW w:w="6678" w:type="dxa"/>
            <w:hideMark/>
          </w:tcPr>
          <w:p w14:paraId="03C3B781" w14:textId="77777777" w:rsidR="00872C03" w:rsidRPr="00883399" w:rsidRDefault="00872C03" w:rsidP="0031057E">
            <w:pPr>
              <w:pStyle w:val="TableText"/>
              <w:rPr>
                <w:sz w:val="24"/>
              </w:rPr>
            </w:pPr>
            <w:r w:rsidRPr="00883399">
              <w:rPr>
                <w:sz w:val="24"/>
              </w:rPr>
              <w:t>where:</w:t>
            </w:r>
          </w:p>
          <w:p w14:paraId="06638896" w14:textId="77777777" w:rsidR="00872C03" w:rsidRPr="00883399" w:rsidRDefault="00872C03" w:rsidP="0031057E">
            <w:pPr>
              <w:pStyle w:val="TableText"/>
              <w:rPr>
                <w:b/>
                <w:i/>
                <w:sz w:val="24"/>
              </w:rPr>
            </w:pPr>
            <w:r w:rsidRPr="00883399">
              <w:rPr>
                <w:rFonts w:ascii="Symbol" w:hAnsi="Symbol"/>
                <w:b/>
                <w:i/>
                <w:sz w:val="24"/>
              </w:rPr>
              <w:t></w:t>
            </w:r>
            <w:r w:rsidRPr="00883399">
              <w:rPr>
                <w:b/>
                <w:i/>
                <w:sz w:val="24"/>
                <w:vertAlign w:val="subscript"/>
              </w:rPr>
              <w:t>i</w:t>
            </w:r>
            <w:r w:rsidRPr="00883399">
              <w:rPr>
                <w:i/>
                <w:sz w:val="24"/>
              </w:rPr>
              <w:t xml:space="preserve"> </w:t>
            </w:r>
            <w:r w:rsidRPr="00883399">
              <w:rPr>
                <w:sz w:val="24"/>
              </w:rPr>
              <w:t>has the same meaning as in step 1.</w:t>
            </w:r>
          </w:p>
          <w:p w14:paraId="337BA93A" w14:textId="77777777" w:rsidR="00872C03" w:rsidRPr="00883399" w:rsidRDefault="00872C03" w:rsidP="0031057E">
            <w:pPr>
              <w:pStyle w:val="TableText"/>
              <w:rPr>
                <w:iCs/>
                <w:sz w:val="24"/>
              </w:rPr>
            </w:pPr>
            <w:r w:rsidRPr="00883399">
              <w:rPr>
                <w:b/>
                <w:i/>
                <w:sz w:val="24"/>
              </w:rPr>
              <w:t>CCF</w:t>
            </w:r>
            <w:r w:rsidRPr="00883399">
              <w:rPr>
                <w:b/>
                <w:i/>
                <w:sz w:val="24"/>
                <w:vertAlign w:val="subscript"/>
              </w:rPr>
              <w:t>i</w:t>
            </w:r>
            <w:r w:rsidRPr="00883399">
              <w:rPr>
                <w:i/>
                <w:sz w:val="24"/>
              </w:rPr>
              <w:t xml:space="preserve"> </w:t>
            </w:r>
            <w:r w:rsidRPr="00883399">
              <w:rPr>
                <w:sz w:val="24"/>
              </w:rPr>
              <w:t>has the same meaning as in step 1.</w:t>
            </w:r>
          </w:p>
          <w:p w14:paraId="2A17DB88" w14:textId="77777777" w:rsidR="00872C03" w:rsidRPr="00883399" w:rsidRDefault="00872C03" w:rsidP="0031057E">
            <w:pPr>
              <w:pStyle w:val="TableText"/>
              <w:spacing w:line="240" w:lineRule="auto"/>
              <w:rPr>
                <w:iCs/>
                <w:sz w:val="24"/>
              </w:rPr>
            </w:pPr>
            <w:r w:rsidRPr="00883399">
              <w:rPr>
                <w:b/>
                <w:i/>
                <w:iCs/>
                <w:sz w:val="24"/>
              </w:rPr>
              <w:t>ΔS</w:t>
            </w:r>
            <w:r w:rsidRPr="00883399">
              <w:rPr>
                <w:b/>
                <w:i/>
                <w:iCs/>
                <w:sz w:val="24"/>
                <w:szCs w:val="18"/>
                <w:vertAlign w:val="subscript"/>
              </w:rPr>
              <w:t>q</w:t>
            </w:r>
            <w:r w:rsidRPr="00883399">
              <w:rPr>
                <w:b/>
                <w:i/>
                <w:iCs/>
                <w:sz w:val="24"/>
                <w:vertAlign w:val="subscript"/>
              </w:rPr>
              <w:t>i</w:t>
            </w:r>
            <w:r w:rsidRPr="00883399">
              <w:rPr>
                <w:iCs/>
                <w:sz w:val="24"/>
              </w:rPr>
              <w:t xml:space="preserve"> is the change in stocks of fuel type (</w:t>
            </w:r>
            <w:r w:rsidRPr="00883399">
              <w:rPr>
                <w:b/>
                <w:i/>
                <w:iCs/>
                <w:sz w:val="24"/>
              </w:rPr>
              <w:t>i</w:t>
            </w:r>
            <w:r w:rsidRPr="00883399">
              <w:rPr>
                <w:iCs/>
                <w:sz w:val="24"/>
              </w:rPr>
              <w:t xml:space="preserve">) for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872C03" w:rsidRPr="00883399" w14:paraId="36AA5615" w14:textId="77777777" w:rsidTr="0031057E">
        <w:trPr>
          <w:cantSplit/>
        </w:trPr>
        <w:tc>
          <w:tcPr>
            <w:tcW w:w="882" w:type="dxa"/>
            <w:vMerge/>
            <w:vAlign w:val="center"/>
            <w:hideMark/>
          </w:tcPr>
          <w:p w14:paraId="6FC56D8D" w14:textId="77777777" w:rsidR="00872C03" w:rsidRPr="00883399" w:rsidRDefault="00872C03" w:rsidP="0031057E"/>
        </w:tc>
        <w:tc>
          <w:tcPr>
            <w:tcW w:w="6678" w:type="dxa"/>
            <w:hideMark/>
          </w:tcPr>
          <w:p w14:paraId="0408BC14" w14:textId="77777777" w:rsidR="00872C03" w:rsidRPr="00883399" w:rsidRDefault="00872C03" w:rsidP="0031057E">
            <w:pPr>
              <w:pStyle w:val="TableText"/>
              <w:rPr>
                <w:b/>
                <w:i/>
                <w:sz w:val="24"/>
              </w:rPr>
            </w:pPr>
            <w:r w:rsidRPr="00883399">
              <w:rPr>
                <w:rFonts w:ascii="Symbol" w:hAnsi="Symbol"/>
                <w:b/>
                <w:i/>
                <w:sz w:val="24"/>
              </w:rPr>
              <w:t></w:t>
            </w:r>
            <w:r w:rsidRPr="00883399">
              <w:rPr>
                <w:b/>
                <w:i/>
                <w:sz w:val="24"/>
                <w:vertAlign w:val="subscript"/>
              </w:rPr>
              <w:t>p</w:t>
            </w:r>
            <w:r w:rsidRPr="00883399">
              <w:rPr>
                <w:i/>
                <w:sz w:val="24"/>
              </w:rPr>
              <w:t xml:space="preserve"> </w:t>
            </w:r>
            <w:r w:rsidRPr="00883399">
              <w:rPr>
                <w:sz w:val="24"/>
              </w:rPr>
              <w:t>has the same meaning as in step 2.</w:t>
            </w:r>
          </w:p>
          <w:p w14:paraId="5E23F67F" w14:textId="77777777" w:rsidR="00872C03" w:rsidRPr="00883399" w:rsidRDefault="00872C03" w:rsidP="0031057E">
            <w:pPr>
              <w:pStyle w:val="TableText"/>
              <w:rPr>
                <w:b/>
                <w:i/>
                <w:iCs/>
                <w:sz w:val="24"/>
              </w:rPr>
            </w:pPr>
            <w:r w:rsidRPr="00883399">
              <w:rPr>
                <w:b/>
                <w:i/>
                <w:sz w:val="24"/>
              </w:rPr>
              <w:t>CCF</w:t>
            </w:r>
            <w:r w:rsidRPr="00883399">
              <w:rPr>
                <w:b/>
                <w:i/>
                <w:sz w:val="24"/>
                <w:vertAlign w:val="subscript"/>
              </w:rPr>
              <w:t>p</w:t>
            </w:r>
            <w:r w:rsidRPr="00883399">
              <w:rPr>
                <w:i/>
                <w:sz w:val="24"/>
              </w:rPr>
              <w:t xml:space="preserve"> </w:t>
            </w:r>
            <w:r w:rsidRPr="00883399">
              <w:rPr>
                <w:sz w:val="24"/>
              </w:rPr>
              <w:t>has the same meaning as in step 2.</w:t>
            </w:r>
          </w:p>
          <w:p w14:paraId="24B45EEC" w14:textId="77777777" w:rsidR="00872C03" w:rsidRPr="00883399" w:rsidRDefault="00872C03" w:rsidP="0031057E">
            <w:pPr>
              <w:pStyle w:val="TableText"/>
              <w:spacing w:line="240" w:lineRule="auto"/>
              <w:rPr>
                <w:sz w:val="24"/>
              </w:rPr>
            </w:pPr>
            <w:r w:rsidRPr="00883399">
              <w:rPr>
                <w:b/>
                <w:i/>
                <w:iCs/>
                <w:sz w:val="24"/>
              </w:rPr>
              <w:t>ΔS</w:t>
            </w:r>
            <w:r w:rsidRPr="00883399">
              <w:rPr>
                <w:b/>
                <w:i/>
                <w:iCs/>
                <w:sz w:val="24"/>
                <w:szCs w:val="18"/>
                <w:vertAlign w:val="subscript"/>
              </w:rPr>
              <w:t>a</w:t>
            </w:r>
            <w:r w:rsidRPr="00883399">
              <w:rPr>
                <w:b/>
                <w:i/>
                <w:iCs/>
                <w:sz w:val="24"/>
                <w:vertAlign w:val="subscript"/>
              </w:rPr>
              <w:t>p</w:t>
            </w:r>
            <w:r w:rsidRPr="00883399">
              <w:rPr>
                <w:iCs/>
                <w:sz w:val="24"/>
                <w:szCs w:val="18"/>
              </w:rPr>
              <w:t xml:space="preserve"> is the change in stocks of </w:t>
            </w:r>
            <w:r w:rsidRPr="00883399">
              <w:rPr>
                <w:iCs/>
                <w:sz w:val="24"/>
              </w:rPr>
              <w:t>product types (</w:t>
            </w:r>
            <w:r w:rsidRPr="00883399">
              <w:rPr>
                <w:b/>
                <w:i/>
                <w:iCs/>
                <w:sz w:val="24"/>
              </w:rPr>
              <w:t>p)</w:t>
            </w:r>
            <w:r w:rsidRPr="00883399">
              <w:rPr>
                <w:iCs/>
                <w:sz w:val="24"/>
              </w:rPr>
              <w:t xml:space="preserve"> produced by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872C03" w:rsidRPr="00883399" w14:paraId="3AC46773" w14:textId="77777777" w:rsidTr="0031057E">
        <w:trPr>
          <w:cantSplit/>
        </w:trPr>
        <w:tc>
          <w:tcPr>
            <w:tcW w:w="882" w:type="dxa"/>
          </w:tcPr>
          <w:p w14:paraId="3FB52F02" w14:textId="77777777" w:rsidR="00872C03" w:rsidRPr="00883399" w:rsidRDefault="00872C03" w:rsidP="0031057E">
            <w:pPr>
              <w:spacing w:before="60" w:after="60"/>
            </w:pPr>
          </w:p>
        </w:tc>
        <w:tc>
          <w:tcPr>
            <w:tcW w:w="6678" w:type="dxa"/>
            <w:hideMark/>
          </w:tcPr>
          <w:p w14:paraId="24D92F3A" w14:textId="77777777" w:rsidR="00872C03" w:rsidRPr="00883399" w:rsidRDefault="00872C03" w:rsidP="0031057E">
            <w:pPr>
              <w:pStyle w:val="TableText"/>
              <w:rPr>
                <w:b/>
                <w:i/>
                <w:sz w:val="24"/>
              </w:rPr>
            </w:pPr>
            <w:r w:rsidRPr="00883399">
              <w:rPr>
                <w:rFonts w:ascii="Symbol" w:hAnsi="Symbol"/>
                <w:b/>
                <w:i/>
                <w:sz w:val="24"/>
              </w:rPr>
              <w:t></w:t>
            </w:r>
            <w:r w:rsidRPr="00883399">
              <w:rPr>
                <w:b/>
                <w:i/>
                <w:sz w:val="24"/>
                <w:vertAlign w:val="subscript"/>
              </w:rPr>
              <w:t>r</w:t>
            </w:r>
            <w:r w:rsidRPr="00883399">
              <w:rPr>
                <w:i/>
                <w:sz w:val="24"/>
              </w:rPr>
              <w:t xml:space="preserve"> </w:t>
            </w:r>
            <w:r w:rsidRPr="00883399">
              <w:rPr>
                <w:sz w:val="24"/>
              </w:rPr>
              <w:t>has the same meaning as in step 3.</w:t>
            </w:r>
          </w:p>
          <w:p w14:paraId="3AF59332" w14:textId="77777777" w:rsidR="00872C03" w:rsidRPr="00883399" w:rsidRDefault="00872C03" w:rsidP="0031057E">
            <w:pPr>
              <w:pStyle w:val="TableText"/>
              <w:rPr>
                <w:b/>
                <w:i/>
                <w:iCs/>
                <w:sz w:val="24"/>
              </w:rPr>
            </w:pPr>
            <w:r w:rsidRPr="00883399">
              <w:rPr>
                <w:b/>
                <w:i/>
                <w:sz w:val="24"/>
              </w:rPr>
              <w:t>CCF</w:t>
            </w:r>
            <w:r w:rsidRPr="00883399">
              <w:rPr>
                <w:b/>
                <w:i/>
                <w:sz w:val="24"/>
                <w:vertAlign w:val="subscript"/>
              </w:rPr>
              <w:t>r</w:t>
            </w:r>
            <w:r w:rsidRPr="00883399">
              <w:rPr>
                <w:i/>
                <w:sz w:val="24"/>
              </w:rPr>
              <w:t xml:space="preserve"> </w:t>
            </w:r>
            <w:r w:rsidRPr="00883399">
              <w:rPr>
                <w:sz w:val="24"/>
              </w:rPr>
              <w:t>has the same meaning as in step 3.</w:t>
            </w:r>
          </w:p>
          <w:p w14:paraId="7A1CB7CF" w14:textId="77777777" w:rsidR="00872C03" w:rsidRPr="00883399" w:rsidRDefault="00872C03" w:rsidP="0031057E">
            <w:pPr>
              <w:pStyle w:val="TableText"/>
              <w:spacing w:line="240" w:lineRule="auto"/>
              <w:rPr>
                <w:sz w:val="24"/>
              </w:rPr>
            </w:pPr>
            <w:r w:rsidRPr="00883399">
              <w:rPr>
                <w:b/>
                <w:i/>
                <w:iCs/>
                <w:sz w:val="24"/>
              </w:rPr>
              <w:t>ΔS</w:t>
            </w:r>
            <w:r w:rsidRPr="00883399">
              <w:rPr>
                <w:b/>
                <w:i/>
                <w:iCs/>
                <w:sz w:val="24"/>
                <w:szCs w:val="18"/>
                <w:vertAlign w:val="subscript"/>
              </w:rPr>
              <w:t>y</w:t>
            </w:r>
            <w:r w:rsidRPr="00883399">
              <w:rPr>
                <w:b/>
                <w:i/>
                <w:iCs/>
                <w:sz w:val="24"/>
                <w:vertAlign w:val="subscript"/>
              </w:rPr>
              <w:t>r</w:t>
            </w:r>
            <w:r w:rsidRPr="00883399">
              <w:rPr>
                <w:iCs/>
                <w:sz w:val="24"/>
              </w:rPr>
              <w:t xml:space="preserve"> is the change in </w:t>
            </w:r>
            <w:r w:rsidRPr="00883399">
              <w:rPr>
                <w:sz w:val="24"/>
                <w:szCs w:val="22"/>
              </w:rPr>
              <w:t>stocks</w:t>
            </w:r>
            <w:r w:rsidRPr="00883399">
              <w:rPr>
                <w:iCs/>
                <w:sz w:val="24"/>
              </w:rPr>
              <w:t xml:space="preserve"> of waste by</w:t>
            </w:r>
            <w:r w:rsidRPr="00883399">
              <w:rPr>
                <w:iCs/>
                <w:sz w:val="24"/>
              </w:rPr>
              <w:noBreakHyphen/>
              <w:t>product types (</w:t>
            </w:r>
            <w:r w:rsidRPr="00883399">
              <w:rPr>
                <w:b/>
                <w:i/>
                <w:iCs/>
                <w:sz w:val="24"/>
              </w:rPr>
              <w:t>r</w:t>
            </w:r>
            <w:r w:rsidRPr="00883399">
              <w:rPr>
                <w:iCs/>
                <w:sz w:val="24"/>
              </w:rPr>
              <w:t xml:space="preserve">) produced from the operation of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872C03" w:rsidRPr="00883399" w14:paraId="3FEF3E93" w14:textId="77777777" w:rsidTr="0031057E">
        <w:trPr>
          <w:cantSplit/>
        </w:trPr>
        <w:tc>
          <w:tcPr>
            <w:tcW w:w="882" w:type="dxa"/>
            <w:hideMark/>
          </w:tcPr>
          <w:p w14:paraId="1BC18C4F" w14:textId="77777777" w:rsidR="00872C03" w:rsidRPr="00883399" w:rsidRDefault="00872C03" w:rsidP="0031057E">
            <w:pPr>
              <w:spacing w:before="60" w:after="60"/>
            </w:pPr>
            <w:r w:rsidRPr="00883399">
              <w:t>Step 5</w:t>
            </w:r>
          </w:p>
        </w:tc>
        <w:tc>
          <w:tcPr>
            <w:tcW w:w="6678" w:type="dxa"/>
            <w:hideMark/>
          </w:tcPr>
          <w:p w14:paraId="6B306AE5" w14:textId="77777777" w:rsidR="00872C03" w:rsidRPr="00883399" w:rsidRDefault="00872C03" w:rsidP="0031057E">
            <w:pPr>
              <w:pStyle w:val="TableText"/>
              <w:rPr>
                <w:sz w:val="24"/>
              </w:rPr>
            </w:pPr>
            <w:r w:rsidRPr="00883399">
              <w:rPr>
                <w:sz w:val="24"/>
              </w:rPr>
              <w:t xml:space="preserve">Work out the emissions of carbon dioxide released from the operation of the activity during the year, measured in </w:t>
            </w:r>
            <w:r w:rsidRPr="00883399">
              <w:rPr>
                <w:sz w:val="24"/>
                <w:szCs w:val="22"/>
              </w:rPr>
              <w:t>CO</w:t>
            </w:r>
            <w:r w:rsidRPr="00883399">
              <w:rPr>
                <w:sz w:val="24"/>
                <w:szCs w:val="22"/>
                <w:vertAlign w:val="subscript"/>
              </w:rPr>
              <w:t>2</w:t>
            </w:r>
            <w:r w:rsidRPr="00883399">
              <w:rPr>
                <w:sz w:val="24"/>
                <w:szCs w:val="22"/>
              </w:rPr>
              <w:noBreakHyphen/>
              <w:t>e</w:t>
            </w:r>
            <w:r w:rsidRPr="00883399">
              <w:rPr>
                <w:sz w:val="24"/>
              </w:rPr>
              <w:t xml:space="preserve"> tonnes, as follows:</w:t>
            </w:r>
          </w:p>
          <w:p w14:paraId="3B81B5DF" w14:textId="77777777" w:rsidR="00872C03" w:rsidRPr="00883399" w:rsidRDefault="00872C03" w:rsidP="0031057E">
            <w:pPr>
              <w:pStyle w:val="TableP1a"/>
              <w:rPr>
                <w:sz w:val="24"/>
              </w:rPr>
            </w:pPr>
            <w:r w:rsidRPr="00883399">
              <w:rPr>
                <w:sz w:val="24"/>
              </w:rPr>
              <w:tab/>
              <w:t>(a)</w:t>
            </w:r>
            <w:r w:rsidRPr="00883399">
              <w:rPr>
                <w:sz w:val="24"/>
              </w:rPr>
              <w:tab/>
              <w:t>add the amounts worked out under steps 2, 3 and 4 to work out a new amount (</w:t>
            </w:r>
            <w:r w:rsidRPr="00883399">
              <w:rPr>
                <w:b/>
                <w:i/>
                <w:sz w:val="24"/>
              </w:rPr>
              <w:t>amount A</w:t>
            </w:r>
            <w:r w:rsidRPr="00883399">
              <w:rPr>
                <w:sz w:val="24"/>
              </w:rPr>
              <w:t>);</w:t>
            </w:r>
          </w:p>
          <w:p w14:paraId="7A2B0E64" w14:textId="77777777" w:rsidR="00872C03" w:rsidRPr="00883399" w:rsidRDefault="00872C03" w:rsidP="0031057E">
            <w:pPr>
              <w:pStyle w:val="TableP1a"/>
              <w:rPr>
                <w:sz w:val="24"/>
              </w:rPr>
            </w:pPr>
            <w:r w:rsidRPr="00883399">
              <w:rPr>
                <w:sz w:val="24"/>
              </w:rPr>
              <w:tab/>
              <w:t>(b)</w:t>
            </w:r>
            <w:r w:rsidRPr="00883399">
              <w:rPr>
                <w:sz w:val="24"/>
              </w:rPr>
              <w:tab/>
              <w:t>subtract amount A from the amount worked out under step 1 to work out a new amount (</w:t>
            </w:r>
            <w:r w:rsidRPr="00883399">
              <w:rPr>
                <w:b/>
                <w:i/>
                <w:sz w:val="24"/>
              </w:rPr>
              <w:t>amount B</w:t>
            </w:r>
            <w:r w:rsidRPr="00883399">
              <w:rPr>
                <w:sz w:val="24"/>
              </w:rPr>
              <w:t>);</w:t>
            </w:r>
          </w:p>
          <w:p w14:paraId="60D3FF1F" w14:textId="77777777" w:rsidR="00872C03" w:rsidRPr="00883399" w:rsidRDefault="00872C03" w:rsidP="0031057E">
            <w:pPr>
              <w:pStyle w:val="TableP1a"/>
              <w:rPr>
                <w:sz w:val="24"/>
              </w:rPr>
            </w:pPr>
            <w:r w:rsidRPr="00883399">
              <w:rPr>
                <w:sz w:val="24"/>
              </w:rPr>
              <w:tab/>
              <w:t>(c)</w:t>
            </w:r>
            <w:r w:rsidRPr="00883399">
              <w:rPr>
                <w:sz w:val="24"/>
              </w:rPr>
              <w:tab/>
              <w:t>multiply amount B by 3.664 to work out the amount of emissions released from the operation of the activity during the year.</w:t>
            </w:r>
          </w:p>
        </w:tc>
      </w:tr>
    </w:tbl>
    <w:p w14:paraId="58405FF9" w14:textId="1C227D6D" w:rsidR="00872C03" w:rsidRPr="00883399" w:rsidRDefault="00872C03" w:rsidP="00872C03">
      <w:pPr>
        <w:pStyle w:val="ActHead5"/>
        <w:rPr>
          <w:sz w:val="28"/>
        </w:rPr>
      </w:pPr>
      <w:bookmarkStart w:id="944" w:name="_Toc423517069"/>
      <w:bookmarkStart w:id="945" w:name="_Toc495653001"/>
      <w:r w:rsidRPr="00883399">
        <w:rPr>
          <w:rStyle w:val="CharSectno"/>
          <w:sz w:val="28"/>
        </w:rPr>
        <w:t>4.56</w:t>
      </w:r>
      <w:r w:rsidRPr="00883399">
        <w:rPr>
          <w:sz w:val="28"/>
        </w:rPr>
        <w:t xml:space="preserve">  Method 2—chemical or mineral production, other than carbide production, using a carbon reductant or carbon anode</w:t>
      </w:r>
      <w:bookmarkEnd w:id="944"/>
      <w:bookmarkEnd w:id="945"/>
    </w:p>
    <w:p w14:paraId="38AEB3BE" w14:textId="77777777" w:rsidR="00872C03" w:rsidRPr="00883399" w:rsidRDefault="00872C03" w:rsidP="00872C03">
      <w:pPr>
        <w:pStyle w:val="subsection"/>
        <w:rPr>
          <w:sz w:val="24"/>
        </w:rPr>
      </w:pPr>
      <w:r w:rsidRPr="00883399">
        <w:rPr>
          <w:sz w:val="24"/>
        </w:rPr>
        <w:tab/>
        <w:t>(1)</w:t>
      </w:r>
      <w:r w:rsidRPr="00883399">
        <w:rPr>
          <w:sz w:val="24"/>
        </w:rPr>
        <w:tab/>
        <w:t>Subject to this section, method 2 is the same as method 1 under section 4.55.</w:t>
      </w:r>
    </w:p>
    <w:p w14:paraId="21324329" w14:textId="77777777" w:rsidR="00872C03" w:rsidRPr="00883399" w:rsidRDefault="00872C03" w:rsidP="00872C03">
      <w:pPr>
        <w:pStyle w:val="subsection"/>
        <w:spacing w:after="60"/>
        <w:rPr>
          <w:sz w:val="24"/>
        </w:rPr>
      </w:pPr>
      <w:r w:rsidRPr="00883399">
        <w:rPr>
          <w:sz w:val="24"/>
        </w:rPr>
        <w:tab/>
        <w:t>(2)</w:t>
      </w:r>
      <w:r w:rsidRPr="00883399">
        <w:rPr>
          <w:sz w:val="24"/>
        </w:rPr>
        <w:tab/>
        <w:t>In applying method 1 as method 2, step 4 in section 4.55 is to be omitted and the following step 4 substituted.</w:t>
      </w:r>
    </w:p>
    <w:tbl>
      <w:tblPr>
        <w:tblW w:w="0" w:type="auto"/>
        <w:tblInd w:w="948" w:type="dxa"/>
        <w:tblLayout w:type="fixed"/>
        <w:tblLook w:val="04A0" w:firstRow="1" w:lastRow="0" w:firstColumn="1" w:lastColumn="0" w:noHBand="0" w:noVBand="1"/>
      </w:tblPr>
      <w:tblGrid>
        <w:gridCol w:w="882"/>
        <w:gridCol w:w="6678"/>
      </w:tblGrid>
      <w:tr w:rsidR="00872C03" w:rsidRPr="00883399" w14:paraId="0658AE52" w14:textId="77777777" w:rsidTr="0031057E">
        <w:trPr>
          <w:cantSplit/>
          <w:trHeight w:val="74"/>
        </w:trPr>
        <w:tc>
          <w:tcPr>
            <w:tcW w:w="882" w:type="dxa"/>
            <w:vMerge w:val="restart"/>
            <w:hideMark/>
          </w:tcPr>
          <w:p w14:paraId="20474C25" w14:textId="77777777" w:rsidR="00872C03" w:rsidRPr="00883399" w:rsidRDefault="00872C03" w:rsidP="0031057E">
            <w:pPr>
              <w:spacing w:before="60" w:after="60"/>
            </w:pPr>
            <w:r w:rsidRPr="00883399">
              <w:t>Step 4</w:t>
            </w:r>
          </w:p>
        </w:tc>
        <w:tc>
          <w:tcPr>
            <w:tcW w:w="6678" w:type="dxa"/>
            <w:hideMark/>
          </w:tcPr>
          <w:p w14:paraId="6A40EF85" w14:textId="77777777" w:rsidR="00872C03" w:rsidRPr="00883399" w:rsidRDefault="00872C03" w:rsidP="0031057E">
            <w:pPr>
              <w:pStyle w:val="TableText"/>
              <w:rPr>
                <w:iCs/>
                <w:sz w:val="24"/>
              </w:rPr>
            </w:pPr>
            <w:r w:rsidRPr="00883399">
              <w:rPr>
                <w:sz w:val="24"/>
              </w:rPr>
              <w:t xml:space="preserve">Work out the carbon content in the amount of the change in </w:t>
            </w:r>
            <w:r w:rsidRPr="00883399">
              <w:rPr>
                <w:iCs/>
                <w:sz w:val="24"/>
              </w:rPr>
              <w:t>stocks of inputs, products and waste by</w:t>
            </w:r>
            <w:r w:rsidRPr="00883399">
              <w:rPr>
                <w:b/>
                <w:iCs/>
                <w:sz w:val="24"/>
              </w:rPr>
              <w:noBreakHyphen/>
            </w:r>
            <w:r w:rsidRPr="00883399">
              <w:rPr>
                <w:iCs/>
                <w:sz w:val="24"/>
              </w:rPr>
              <w:t>products held within the boundary of the activity during the year, measured in tonnes of carbon, as follows:</w:t>
            </w:r>
          </w:p>
          <w:p w14:paraId="5831B77A" w14:textId="4A5FA952" w:rsidR="00872C03" w:rsidRPr="00883399" w:rsidRDefault="00872C03" w:rsidP="0031057E">
            <w:pPr>
              <w:pStyle w:val="Formula"/>
              <w:spacing w:before="120" w:after="120"/>
              <w:ind w:left="13"/>
              <w:rPr>
                <w:sz w:val="22"/>
              </w:rPr>
            </w:pPr>
            <w:r w:rsidRPr="00883399">
              <w:rPr>
                <w:noProof/>
                <w:position w:val="-14"/>
                <w:sz w:val="22"/>
              </w:rPr>
              <w:drawing>
                <wp:inline distT="0" distB="0" distL="0" distR="0" wp14:anchorId="567ADE53" wp14:editId="42B00C8A">
                  <wp:extent cx="4097020" cy="213995"/>
                  <wp:effectExtent l="1905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15"/>
                          <a:srcRect/>
                          <a:stretch>
                            <a:fillRect/>
                          </a:stretch>
                        </pic:blipFill>
                        <pic:spPr bwMode="auto">
                          <a:xfrm>
                            <a:off x="0" y="0"/>
                            <a:ext cx="4097020" cy="213995"/>
                          </a:xfrm>
                          <a:prstGeom prst="rect">
                            <a:avLst/>
                          </a:prstGeom>
                          <a:noFill/>
                          <a:ln w="9525">
                            <a:noFill/>
                            <a:miter lim="800000"/>
                            <a:headEnd/>
                            <a:tailEnd/>
                          </a:ln>
                        </pic:spPr>
                      </pic:pic>
                    </a:graphicData>
                  </a:graphic>
                </wp:inline>
              </w:drawing>
            </w:r>
          </w:p>
        </w:tc>
      </w:tr>
      <w:tr w:rsidR="00872C03" w:rsidRPr="00883399" w14:paraId="1C5B9A49" w14:textId="77777777" w:rsidTr="0031057E">
        <w:trPr>
          <w:cantSplit/>
          <w:trHeight w:val="74"/>
        </w:trPr>
        <w:tc>
          <w:tcPr>
            <w:tcW w:w="882" w:type="dxa"/>
            <w:vMerge/>
            <w:hideMark/>
          </w:tcPr>
          <w:p w14:paraId="132441F4" w14:textId="77777777" w:rsidR="00872C03" w:rsidRPr="00883399" w:rsidRDefault="00872C03" w:rsidP="0031057E">
            <w:pPr>
              <w:spacing w:before="60" w:after="60"/>
              <w:rPr>
                <w:i/>
              </w:rPr>
            </w:pPr>
          </w:p>
        </w:tc>
        <w:tc>
          <w:tcPr>
            <w:tcW w:w="6678" w:type="dxa"/>
            <w:hideMark/>
          </w:tcPr>
          <w:p w14:paraId="7102F006" w14:textId="77777777" w:rsidR="00872C03" w:rsidRPr="00883399" w:rsidRDefault="00872C03" w:rsidP="0031057E">
            <w:pPr>
              <w:pStyle w:val="TableText"/>
              <w:rPr>
                <w:sz w:val="24"/>
              </w:rPr>
            </w:pPr>
            <w:r w:rsidRPr="00883399">
              <w:rPr>
                <w:sz w:val="24"/>
              </w:rPr>
              <w:t>where:</w:t>
            </w:r>
          </w:p>
          <w:p w14:paraId="18BF13D6" w14:textId="77777777" w:rsidR="00872C03" w:rsidRPr="00883399" w:rsidRDefault="00872C03" w:rsidP="0031057E">
            <w:pPr>
              <w:pStyle w:val="TableText"/>
              <w:rPr>
                <w:b/>
                <w:i/>
                <w:sz w:val="24"/>
              </w:rPr>
            </w:pPr>
            <w:r w:rsidRPr="00883399">
              <w:rPr>
                <w:rFonts w:ascii="Symbol" w:hAnsi="Symbol"/>
                <w:b/>
                <w:i/>
                <w:sz w:val="24"/>
              </w:rPr>
              <w:t></w:t>
            </w:r>
            <w:r w:rsidRPr="00883399">
              <w:rPr>
                <w:b/>
                <w:i/>
                <w:sz w:val="24"/>
                <w:vertAlign w:val="subscript"/>
              </w:rPr>
              <w:t>i</w:t>
            </w:r>
            <w:r w:rsidRPr="00883399">
              <w:rPr>
                <w:i/>
                <w:sz w:val="24"/>
              </w:rPr>
              <w:t xml:space="preserve"> </w:t>
            </w:r>
            <w:r w:rsidRPr="00883399">
              <w:rPr>
                <w:sz w:val="24"/>
              </w:rPr>
              <w:t>has the same meaning as in step 1.</w:t>
            </w:r>
          </w:p>
          <w:p w14:paraId="7568C3BE" w14:textId="77777777" w:rsidR="00872C03" w:rsidRPr="00883399" w:rsidRDefault="00872C03" w:rsidP="0031057E">
            <w:pPr>
              <w:pStyle w:val="TableText"/>
              <w:rPr>
                <w:iCs/>
                <w:sz w:val="24"/>
              </w:rPr>
            </w:pPr>
            <w:r w:rsidRPr="00883399">
              <w:rPr>
                <w:b/>
                <w:i/>
                <w:sz w:val="24"/>
              </w:rPr>
              <w:t>CCF</w:t>
            </w:r>
            <w:r w:rsidRPr="00883399">
              <w:rPr>
                <w:b/>
                <w:i/>
                <w:sz w:val="24"/>
                <w:vertAlign w:val="subscript"/>
              </w:rPr>
              <w:t>i</w:t>
            </w:r>
            <w:r w:rsidRPr="00883399">
              <w:rPr>
                <w:i/>
                <w:sz w:val="24"/>
              </w:rPr>
              <w:t xml:space="preserve"> </w:t>
            </w:r>
            <w:r w:rsidRPr="00883399">
              <w:rPr>
                <w:sz w:val="24"/>
              </w:rPr>
              <w:t>has the same meaning as in step 1.</w:t>
            </w:r>
          </w:p>
          <w:p w14:paraId="4F2A4968" w14:textId="77777777" w:rsidR="00872C03" w:rsidRPr="00883399" w:rsidRDefault="00872C03" w:rsidP="0031057E">
            <w:pPr>
              <w:pStyle w:val="TableText"/>
              <w:spacing w:line="240" w:lineRule="auto"/>
              <w:rPr>
                <w:iCs/>
                <w:sz w:val="24"/>
              </w:rPr>
            </w:pPr>
            <w:r w:rsidRPr="00883399">
              <w:rPr>
                <w:b/>
                <w:i/>
                <w:iCs/>
                <w:sz w:val="24"/>
              </w:rPr>
              <w:t>ΔS</w:t>
            </w:r>
            <w:r w:rsidRPr="00883399">
              <w:rPr>
                <w:b/>
                <w:i/>
                <w:iCs/>
                <w:sz w:val="24"/>
                <w:szCs w:val="18"/>
                <w:vertAlign w:val="subscript"/>
              </w:rPr>
              <w:t>q</w:t>
            </w:r>
            <w:r w:rsidRPr="00883399">
              <w:rPr>
                <w:b/>
                <w:i/>
                <w:iCs/>
                <w:sz w:val="24"/>
                <w:vertAlign w:val="subscript"/>
              </w:rPr>
              <w:t>i</w:t>
            </w:r>
            <w:r w:rsidRPr="00883399">
              <w:rPr>
                <w:iCs/>
                <w:sz w:val="24"/>
              </w:rPr>
              <w:t xml:space="preserve"> is the change in stocks of fuel type (</w:t>
            </w:r>
            <w:r w:rsidRPr="00883399">
              <w:rPr>
                <w:b/>
                <w:i/>
                <w:iCs/>
                <w:sz w:val="24"/>
              </w:rPr>
              <w:t>i</w:t>
            </w:r>
            <w:r w:rsidRPr="00883399">
              <w:rPr>
                <w:iCs/>
                <w:sz w:val="24"/>
              </w:rPr>
              <w:t xml:space="preserve">) for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p w14:paraId="244EFE83" w14:textId="77777777" w:rsidR="00872C03" w:rsidRPr="00883399" w:rsidRDefault="00872C03" w:rsidP="0031057E">
            <w:pPr>
              <w:pStyle w:val="TableText"/>
              <w:rPr>
                <w:b/>
                <w:i/>
                <w:sz w:val="24"/>
              </w:rPr>
            </w:pPr>
            <w:r w:rsidRPr="00883399">
              <w:rPr>
                <w:rFonts w:ascii="Symbol" w:hAnsi="Symbol"/>
                <w:b/>
                <w:i/>
                <w:sz w:val="24"/>
              </w:rPr>
              <w:t></w:t>
            </w:r>
            <w:r w:rsidRPr="00883399">
              <w:rPr>
                <w:b/>
                <w:i/>
                <w:sz w:val="24"/>
                <w:vertAlign w:val="subscript"/>
              </w:rPr>
              <w:t>p</w:t>
            </w:r>
            <w:r w:rsidRPr="00883399">
              <w:rPr>
                <w:i/>
                <w:sz w:val="24"/>
              </w:rPr>
              <w:t xml:space="preserve"> </w:t>
            </w:r>
            <w:r w:rsidRPr="00883399">
              <w:rPr>
                <w:sz w:val="24"/>
              </w:rPr>
              <w:t>has the same meaning as in step 2.</w:t>
            </w:r>
          </w:p>
          <w:p w14:paraId="0586B85E" w14:textId="77777777" w:rsidR="00872C03" w:rsidRPr="00883399" w:rsidRDefault="00872C03" w:rsidP="0031057E">
            <w:pPr>
              <w:pStyle w:val="TableText"/>
              <w:rPr>
                <w:b/>
                <w:i/>
                <w:iCs/>
                <w:sz w:val="24"/>
              </w:rPr>
            </w:pPr>
            <w:r w:rsidRPr="00883399">
              <w:rPr>
                <w:b/>
                <w:i/>
                <w:sz w:val="24"/>
              </w:rPr>
              <w:t>CCF</w:t>
            </w:r>
            <w:r w:rsidRPr="00883399">
              <w:rPr>
                <w:b/>
                <w:i/>
                <w:sz w:val="24"/>
                <w:vertAlign w:val="subscript"/>
              </w:rPr>
              <w:t>p</w:t>
            </w:r>
            <w:r w:rsidRPr="00883399">
              <w:rPr>
                <w:i/>
                <w:sz w:val="24"/>
              </w:rPr>
              <w:t xml:space="preserve"> </w:t>
            </w:r>
            <w:r w:rsidRPr="00883399">
              <w:rPr>
                <w:sz w:val="24"/>
              </w:rPr>
              <w:t>has the same meaning as in step 2.</w:t>
            </w:r>
          </w:p>
        </w:tc>
      </w:tr>
      <w:tr w:rsidR="00872C03" w:rsidRPr="00883399" w14:paraId="6DE5AFDA" w14:textId="77777777" w:rsidTr="0031057E">
        <w:trPr>
          <w:cantSplit/>
        </w:trPr>
        <w:tc>
          <w:tcPr>
            <w:tcW w:w="882" w:type="dxa"/>
            <w:vMerge/>
            <w:vAlign w:val="center"/>
            <w:hideMark/>
          </w:tcPr>
          <w:p w14:paraId="013A957A" w14:textId="77777777" w:rsidR="00872C03" w:rsidRPr="00883399" w:rsidRDefault="00872C03" w:rsidP="0031057E">
            <w:pPr>
              <w:rPr>
                <w:i/>
              </w:rPr>
            </w:pPr>
          </w:p>
        </w:tc>
        <w:tc>
          <w:tcPr>
            <w:tcW w:w="6678" w:type="dxa"/>
            <w:hideMark/>
          </w:tcPr>
          <w:p w14:paraId="3F850A37" w14:textId="77777777" w:rsidR="00872C03" w:rsidRPr="00883399" w:rsidRDefault="00872C03" w:rsidP="0031057E">
            <w:pPr>
              <w:pStyle w:val="TableText"/>
              <w:spacing w:line="240" w:lineRule="auto"/>
              <w:rPr>
                <w:sz w:val="24"/>
              </w:rPr>
            </w:pPr>
            <w:r w:rsidRPr="00883399">
              <w:rPr>
                <w:b/>
                <w:i/>
                <w:iCs/>
                <w:sz w:val="24"/>
              </w:rPr>
              <w:t>ΔS</w:t>
            </w:r>
            <w:r w:rsidRPr="00883399">
              <w:rPr>
                <w:b/>
                <w:i/>
                <w:iCs/>
                <w:sz w:val="24"/>
                <w:szCs w:val="18"/>
                <w:vertAlign w:val="subscript"/>
              </w:rPr>
              <w:t>a</w:t>
            </w:r>
            <w:r w:rsidRPr="00883399">
              <w:rPr>
                <w:b/>
                <w:i/>
                <w:iCs/>
                <w:sz w:val="24"/>
                <w:vertAlign w:val="subscript"/>
              </w:rPr>
              <w:t>p</w:t>
            </w:r>
            <w:r w:rsidRPr="00883399">
              <w:rPr>
                <w:iCs/>
                <w:sz w:val="24"/>
                <w:szCs w:val="18"/>
              </w:rPr>
              <w:t xml:space="preserve"> is the change in stocks of </w:t>
            </w:r>
            <w:r w:rsidRPr="00883399">
              <w:rPr>
                <w:iCs/>
                <w:sz w:val="24"/>
              </w:rPr>
              <w:t>product types (</w:t>
            </w:r>
            <w:r w:rsidRPr="00883399">
              <w:rPr>
                <w:b/>
                <w:i/>
                <w:iCs/>
                <w:sz w:val="24"/>
              </w:rPr>
              <w:t>p)</w:t>
            </w:r>
            <w:r w:rsidRPr="00883399">
              <w:rPr>
                <w:iCs/>
                <w:sz w:val="24"/>
              </w:rPr>
              <w:t xml:space="preserve"> produced by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872C03" w:rsidRPr="00883399" w14:paraId="7D7D5FDE" w14:textId="77777777" w:rsidTr="0031057E">
        <w:trPr>
          <w:cantSplit/>
        </w:trPr>
        <w:tc>
          <w:tcPr>
            <w:tcW w:w="882" w:type="dxa"/>
          </w:tcPr>
          <w:p w14:paraId="1F983BA1" w14:textId="77777777" w:rsidR="00872C03" w:rsidRPr="00883399" w:rsidRDefault="00872C03" w:rsidP="0031057E">
            <w:pPr>
              <w:spacing w:before="60" w:after="60"/>
              <w:rPr>
                <w:i/>
              </w:rPr>
            </w:pPr>
          </w:p>
        </w:tc>
        <w:tc>
          <w:tcPr>
            <w:tcW w:w="6678" w:type="dxa"/>
            <w:hideMark/>
          </w:tcPr>
          <w:p w14:paraId="2E3445AA" w14:textId="77777777" w:rsidR="00872C03" w:rsidRPr="00883399" w:rsidRDefault="00872C03" w:rsidP="0031057E">
            <w:pPr>
              <w:pStyle w:val="TableText"/>
              <w:rPr>
                <w:b/>
                <w:i/>
                <w:sz w:val="24"/>
              </w:rPr>
            </w:pPr>
            <w:r w:rsidRPr="00883399">
              <w:rPr>
                <w:rFonts w:ascii="Symbol" w:hAnsi="Symbol"/>
                <w:b/>
                <w:i/>
                <w:sz w:val="24"/>
              </w:rPr>
              <w:t></w:t>
            </w:r>
            <w:r w:rsidRPr="00883399">
              <w:rPr>
                <w:b/>
                <w:i/>
                <w:sz w:val="24"/>
                <w:vertAlign w:val="subscript"/>
              </w:rPr>
              <w:t>r</w:t>
            </w:r>
            <w:r w:rsidRPr="00883399">
              <w:rPr>
                <w:i/>
                <w:sz w:val="24"/>
              </w:rPr>
              <w:t xml:space="preserve"> </w:t>
            </w:r>
            <w:r w:rsidRPr="00883399">
              <w:rPr>
                <w:sz w:val="24"/>
              </w:rPr>
              <w:t>has the same meaning as in step 3.</w:t>
            </w:r>
          </w:p>
          <w:p w14:paraId="26614AC0" w14:textId="77777777" w:rsidR="00872C03" w:rsidRPr="00883399" w:rsidRDefault="00872C03" w:rsidP="0031057E">
            <w:pPr>
              <w:pStyle w:val="TableText"/>
              <w:rPr>
                <w:b/>
                <w:i/>
                <w:iCs/>
                <w:sz w:val="24"/>
              </w:rPr>
            </w:pPr>
            <w:r w:rsidRPr="00883399">
              <w:rPr>
                <w:b/>
                <w:i/>
                <w:sz w:val="24"/>
              </w:rPr>
              <w:t>CCF</w:t>
            </w:r>
            <w:r w:rsidRPr="00883399">
              <w:rPr>
                <w:b/>
                <w:i/>
                <w:sz w:val="24"/>
                <w:vertAlign w:val="subscript"/>
              </w:rPr>
              <w:t>r</w:t>
            </w:r>
            <w:r w:rsidRPr="00883399">
              <w:rPr>
                <w:i/>
                <w:sz w:val="24"/>
              </w:rPr>
              <w:t xml:space="preserve"> </w:t>
            </w:r>
            <w:r w:rsidRPr="00883399">
              <w:rPr>
                <w:sz w:val="24"/>
              </w:rPr>
              <w:t>has the same meaning as in step 3.</w:t>
            </w:r>
          </w:p>
        </w:tc>
      </w:tr>
      <w:tr w:rsidR="00872C03" w:rsidRPr="00883399" w14:paraId="6E2EC04D" w14:textId="77777777" w:rsidTr="0031057E">
        <w:trPr>
          <w:cantSplit/>
        </w:trPr>
        <w:tc>
          <w:tcPr>
            <w:tcW w:w="882" w:type="dxa"/>
          </w:tcPr>
          <w:p w14:paraId="4DD3C9B9" w14:textId="77777777" w:rsidR="00872C03" w:rsidRPr="00883399" w:rsidRDefault="00872C03" w:rsidP="0031057E">
            <w:pPr>
              <w:spacing w:before="60" w:after="60"/>
              <w:rPr>
                <w:i/>
              </w:rPr>
            </w:pPr>
          </w:p>
        </w:tc>
        <w:tc>
          <w:tcPr>
            <w:tcW w:w="6678" w:type="dxa"/>
            <w:hideMark/>
          </w:tcPr>
          <w:p w14:paraId="50EEA4A2" w14:textId="77777777" w:rsidR="00872C03" w:rsidRPr="00883399" w:rsidRDefault="00872C03" w:rsidP="0031057E">
            <w:pPr>
              <w:pStyle w:val="TableText"/>
              <w:spacing w:line="240" w:lineRule="auto"/>
              <w:rPr>
                <w:rFonts w:ascii="Symbol" w:hAnsi="Symbol"/>
                <w:b/>
                <w:i/>
                <w:sz w:val="24"/>
              </w:rPr>
            </w:pPr>
            <w:r w:rsidRPr="00883399">
              <w:rPr>
                <w:b/>
                <w:i/>
                <w:iCs/>
                <w:sz w:val="24"/>
              </w:rPr>
              <w:t>ΔS</w:t>
            </w:r>
            <w:r w:rsidRPr="00883399">
              <w:rPr>
                <w:b/>
                <w:i/>
                <w:iCs/>
                <w:sz w:val="24"/>
                <w:szCs w:val="18"/>
                <w:vertAlign w:val="subscript"/>
              </w:rPr>
              <w:t>y</w:t>
            </w:r>
            <w:r w:rsidRPr="00883399">
              <w:rPr>
                <w:b/>
                <w:i/>
                <w:iCs/>
                <w:sz w:val="24"/>
                <w:vertAlign w:val="subscript"/>
              </w:rPr>
              <w:t>r</w:t>
            </w:r>
            <w:r w:rsidRPr="00883399">
              <w:rPr>
                <w:iCs/>
                <w:sz w:val="24"/>
              </w:rPr>
              <w:t xml:space="preserve"> is the </w:t>
            </w:r>
            <w:r w:rsidRPr="00883399">
              <w:rPr>
                <w:sz w:val="24"/>
                <w:szCs w:val="22"/>
              </w:rPr>
              <w:t>change</w:t>
            </w:r>
            <w:r w:rsidRPr="00883399">
              <w:rPr>
                <w:iCs/>
                <w:sz w:val="24"/>
              </w:rPr>
              <w:t xml:space="preserve"> in stocks of waste by</w:t>
            </w:r>
            <w:r w:rsidRPr="00883399">
              <w:rPr>
                <w:iCs/>
                <w:sz w:val="24"/>
              </w:rPr>
              <w:noBreakHyphen/>
              <w:t>product types (</w:t>
            </w:r>
            <w:r w:rsidRPr="00883399">
              <w:rPr>
                <w:b/>
                <w:i/>
                <w:iCs/>
                <w:sz w:val="24"/>
              </w:rPr>
              <w:t>r</w:t>
            </w:r>
            <w:r w:rsidRPr="00883399">
              <w:rPr>
                <w:iCs/>
                <w:sz w:val="24"/>
              </w:rPr>
              <w:t xml:space="preserve">) produced from the operation of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872C03" w:rsidRPr="00883399" w14:paraId="335B7A5C" w14:textId="77777777" w:rsidTr="0031057E">
        <w:trPr>
          <w:cantSplit/>
          <w:trHeight w:val="610"/>
        </w:trPr>
        <w:tc>
          <w:tcPr>
            <w:tcW w:w="882" w:type="dxa"/>
          </w:tcPr>
          <w:p w14:paraId="129447EE" w14:textId="77777777" w:rsidR="00872C03" w:rsidRPr="00883399" w:rsidRDefault="00872C03" w:rsidP="0031057E">
            <w:pPr>
              <w:spacing w:before="60" w:after="60"/>
              <w:rPr>
                <w:i/>
              </w:rPr>
            </w:pPr>
          </w:p>
        </w:tc>
        <w:tc>
          <w:tcPr>
            <w:tcW w:w="6678" w:type="dxa"/>
            <w:hideMark/>
          </w:tcPr>
          <w:p w14:paraId="5D9835F9" w14:textId="77777777" w:rsidR="00872C03" w:rsidRPr="00883399" w:rsidRDefault="00872C03" w:rsidP="0031057E">
            <w:pPr>
              <w:pStyle w:val="TableText"/>
              <w:rPr>
                <w:rFonts w:ascii="Symbol" w:hAnsi="Symbol"/>
                <w:b/>
                <w:i/>
                <w:sz w:val="24"/>
              </w:rPr>
            </w:pPr>
            <w:r w:rsidRPr="00883399">
              <w:rPr>
                <w:b/>
                <w:i/>
                <w:sz w:val="24"/>
              </w:rPr>
              <w:t>α</w:t>
            </w:r>
            <w:r w:rsidRPr="00883399">
              <w:rPr>
                <w:sz w:val="24"/>
              </w:rPr>
              <w:t xml:space="preserve"> is the factor </w:t>
            </w:r>
            <w:r w:rsidR="00C66508" w:rsidRPr="00883399">
              <w:rPr>
                <w:noProof/>
                <w:sz w:val="24"/>
              </w:rPr>
              <mc:AlternateContent>
                <mc:Choice Requires="wpc">
                  <w:drawing>
                    <wp:inline distT="0" distB="0" distL="0" distR="0" wp14:anchorId="76DDE3AB" wp14:editId="397419A6">
                      <wp:extent cx="257175" cy="352425"/>
                      <wp:effectExtent l="0" t="0" r="0" b="0"/>
                      <wp:docPr id="81" name="Canvas 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6" name="Rectangle 212"/>
                              <wps:cNvSpPr>
                                <a:spLocks noChangeArrowheads="1"/>
                              </wps:cNvSpPr>
                              <wps:spPr bwMode="auto">
                                <a:xfrm>
                                  <a:off x="83820" y="10178"/>
                                  <a:ext cx="51435" cy="117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4E14C" w14:textId="77777777" w:rsidR="00F8313C" w:rsidRDefault="00F8313C" w:rsidP="00872C03">
                                    <w:r>
                                      <w:rPr>
                                        <w:color w:val="000000"/>
                                        <w:position w:val="-12"/>
                                        <w:sz w:val="16"/>
                                        <w:szCs w:val="16"/>
                                        <w:lang w:val="en-US"/>
                                      </w:rPr>
                                      <w:t>1</w:t>
                                    </w:r>
                                  </w:p>
                                </w:txbxContent>
                              </wps:txbx>
                              <wps:bodyPr rot="0" vert="horz" wrap="none" lIns="0" tIns="0" rIns="0" bIns="0" anchor="t" anchorCtr="0" upright="1">
                                <a:noAutofit/>
                              </wps:bodyPr>
                            </wps:wsp>
                            <wps:wsp>
                              <wps:cNvPr id="77" name="Line 213"/>
                              <wps:cNvCnPr>
                                <a:cxnSpLocks noChangeShapeType="1"/>
                              </wps:cNvCnPr>
                              <wps:spPr bwMode="auto">
                                <a:xfrm>
                                  <a:off x="13970" y="139316"/>
                                  <a:ext cx="205105" cy="636"/>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78" name="Rectangle 214"/>
                              <wps:cNvSpPr>
                                <a:spLocks noChangeArrowheads="1"/>
                              </wps:cNvSpPr>
                              <wps:spPr bwMode="auto">
                                <a:xfrm>
                                  <a:off x="0" y="166670"/>
                                  <a:ext cx="229235" cy="117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752B4" w14:textId="77777777" w:rsidR="00F8313C" w:rsidRDefault="00F8313C" w:rsidP="00872C03">
                                    <w:pPr>
                                      <w:spacing w:line="240" w:lineRule="auto"/>
                                      <w:rPr>
                                        <w:position w:val="-12"/>
                                        <w:sz w:val="16"/>
                                        <w:szCs w:val="16"/>
                                      </w:rPr>
                                    </w:pPr>
                                    <w:r>
                                      <w:rPr>
                                        <w:color w:val="000000"/>
                                        <w:position w:val="-12"/>
                                        <w:sz w:val="16"/>
                                        <w:szCs w:val="16"/>
                                        <w:lang w:val="en-US"/>
                                      </w:rPr>
                                      <w:t>3.664</w:t>
                                    </w:r>
                                  </w:p>
                                </w:txbxContent>
                              </wps:txbx>
                              <wps:bodyPr rot="0" vert="horz" wrap="none" lIns="0" tIns="0" rIns="0" bIns="0" anchor="t" anchorCtr="0" upright="1">
                                <a:noAutofit/>
                              </wps:bodyPr>
                            </wps:wsp>
                          </wpc:wpc>
                        </a:graphicData>
                      </a:graphic>
                    </wp:inline>
                  </w:drawing>
                </mc:Choice>
                <mc:Fallback>
                  <w:pict>
                    <v:group w14:anchorId="76DDE3AB" id="Canvas 82" o:spid="_x0000_s1049" editas="canvas" style="width:20.25pt;height:27.75pt;mso-position-horizontal-relative:char;mso-position-vertical-relative:line" coordsize="2571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">
                      <v:shape id="_x0000_s1050" type="#_x0000_t75" style="position:absolute;width:257175;height:352425;visibility:visible;mso-wrap-style:square">
                        <v:fill o:detectmouseclick="t"/>
                        <v:path o:connecttype="none"/>
                      </v:shape>
                      <v:rect id="Rectangle 212" o:spid="_x0000_s1051" style="position:absolute;left:83820;top:10178;width:51435;height:1170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vLcMA&#10;AADbAAAADwAAAGRycy9kb3ducmV2LnhtbESP0WoCMRRE3wX/IVyhb5rdUlbdGsUKxVLwQe0HXDa3&#10;m62bmzWJuv37piD4OMzMGWax6m0rruRD41hBPslAEFdON1wr+Dq+j2cgQkTW2DomBb8UYLUcDhZY&#10;anfjPV0PsRYJwqFEBSbGrpQyVIYshonriJP37bzFmKSvpfZ4S3DbyucsK6TFhtOCwY42hqrT4WIV&#10;0Nt2P/9ZB7OTPg/57rOYv2zPSj2N+vUriEh9fITv7Q+tYFrA/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0vLcMAAADbAAAADwAAAAAAAAAAAAAAAACYAgAAZHJzL2Rv&#10;d25yZXYueG1sUEsFBgAAAAAEAAQA9QAAAIgDAAAAAA==&#10;" filled="f" stroked="f">
                        <v:textbox inset="0,0,0,0">
                          <w:txbxContent>
                            <w:p w14:paraId="74D4E14C" w14:textId="77777777" w:rsidR="00F8313C" w:rsidRDefault="00F8313C" w:rsidP="00872C03">
                              <w:r>
                                <w:rPr>
                                  <w:color w:val="000000"/>
                                  <w:position w:val="-12"/>
                                  <w:sz w:val="16"/>
                                  <w:szCs w:val="16"/>
                                  <w:lang w:val="en-US"/>
                                </w:rPr>
                                <w:t>1</w:t>
                              </w:r>
                            </w:p>
                          </w:txbxContent>
                        </v:textbox>
                      </v:rect>
                      <v:line id="Line 213" o:spid="_x0000_s1052" style="position:absolute;visibility:visible;mso-wrap-style:square" from="13970,139316" to="219075,13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2eXMMAAADbAAAADwAAAGRycy9kb3ducmV2LnhtbESPQWvCQBSE70L/w/IKvemmHhpJXUWk&#10;0ng0ycXbM/tMQrNvw+5Wo7/eFQo9DjPzDbNcj6YXF3K+s6zgfZaAIK6t7rhRUJW76QKED8gae8uk&#10;4EYe1quXyRIzba98oEsRGhEh7DNU0IYwZFL6uiWDfmYH4uidrTMYonSN1A6vEW56OU+SD2mw47jQ&#10;4kDbluqf4tcouOflV3XMvw+n6n4s97bwLj0vlHp7HTefIAKN4T/81861gjSF55f4A+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dnlzDAAAA2wAAAA8AAAAAAAAAAAAA&#10;AAAAoQIAAGRycy9kb3ducmV2LnhtbFBLBQYAAAAABAAEAPkAAACRAwAAAAA=&#10;" strokeweight="28e-5mm"/>
                      <v:rect id="Rectangle 214" o:spid="_x0000_s1053" style="position:absolute;top:166670;width:229235;height:1176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exMAA&#10;AADbAAAADwAAAGRycy9kb3ducmV2LnhtbERPzWoCMRC+F3yHMEJvNbsitq5GUUEsggetDzBsxs3q&#10;ZrImUbdv3xyEHj++/9mis414kA+1YwX5IANBXDpdc6Xg9LP5+AIRIrLGxjEp+KUAi3nvbYaFdk8+&#10;0OMYK5FCOBSowMTYFlKG0pDFMHAtceLOzluMCfpKao/PFG4bOcyysbRYc2ow2NLaUHk93q0CWm0P&#10;k8symL30ecj3u/FktL0p9d7vllMQkbr4L365v7WCzzQ2fUk/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4exMAAAADbAAAADwAAAAAAAAAAAAAAAACYAgAAZHJzL2Rvd25y&#10;ZXYueG1sUEsFBgAAAAAEAAQA9QAAAIUDAAAAAA==&#10;" filled="f" stroked="f">
                        <v:textbox inset="0,0,0,0">
                          <w:txbxContent>
                            <w:p w14:paraId="56E752B4" w14:textId="77777777" w:rsidR="00F8313C" w:rsidRDefault="00F8313C" w:rsidP="00872C03">
                              <w:pPr>
                                <w:spacing w:line="240" w:lineRule="auto"/>
                                <w:rPr>
                                  <w:position w:val="-12"/>
                                  <w:sz w:val="16"/>
                                  <w:szCs w:val="16"/>
                                </w:rPr>
                              </w:pPr>
                              <w:r>
                                <w:rPr>
                                  <w:color w:val="000000"/>
                                  <w:position w:val="-12"/>
                                  <w:sz w:val="16"/>
                                  <w:szCs w:val="16"/>
                                  <w:lang w:val="en-US"/>
                                </w:rPr>
                                <w:t>3.664</w:t>
                              </w:r>
                            </w:p>
                          </w:txbxContent>
                        </v:textbox>
                      </v:rect>
                      <w10:anchorlock/>
                    </v:group>
                  </w:pict>
                </mc:Fallback>
              </mc:AlternateContent>
            </w:r>
            <w:r w:rsidRPr="00883399">
              <w:rPr>
                <w:sz w:val="24"/>
              </w:rPr>
              <w:t>for converting the mass of carbon dioxide to a mass of carbon.</w:t>
            </w:r>
          </w:p>
        </w:tc>
      </w:tr>
      <w:tr w:rsidR="00872C03" w:rsidRPr="00883399" w14:paraId="39EB94EA" w14:textId="77777777" w:rsidTr="0031057E">
        <w:trPr>
          <w:cantSplit/>
        </w:trPr>
        <w:tc>
          <w:tcPr>
            <w:tcW w:w="882" w:type="dxa"/>
          </w:tcPr>
          <w:p w14:paraId="5771DA49" w14:textId="77777777" w:rsidR="00872C03" w:rsidRPr="00883399" w:rsidRDefault="00872C03" w:rsidP="0031057E">
            <w:pPr>
              <w:spacing w:before="60" w:after="60"/>
              <w:rPr>
                <w:i/>
              </w:rPr>
            </w:pPr>
          </w:p>
        </w:tc>
        <w:tc>
          <w:tcPr>
            <w:tcW w:w="6678" w:type="dxa"/>
            <w:hideMark/>
          </w:tcPr>
          <w:p w14:paraId="45D00B92" w14:textId="77777777" w:rsidR="00872C03" w:rsidRPr="00883399" w:rsidRDefault="00872C03" w:rsidP="0031057E">
            <w:pPr>
              <w:pStyle w:val="TableText"/>
              <w:rPr>
                <w:iCs/>
                <w:sz w:val="24"/>
                <w:szCs w:val="22"/>
              </w:rPr>
            </w:pPr>
            <w:r w:rsidRPr="00883399">
              <w:rPr>
                <w:b/>
                <w:i/>
                <w:sz w:val="24"/>
                <w:szCs w:val="22"/>
              </w:rPr>
              <w:t xml:space="preserve">γ </w:t>
            </w:r>
            <w:r w:rsidRPr="00883399">
              <w:rPr>
                <w:sz w:val="24"/>
                <w:szCs w:val="22"/>
              </w:rPr>
              <w:t>is the factor 1.861 × 10</w:t>
            </w:r>
            <w:r w:rsidRPr="00883399">
              <w:rPr>
                <w:sz w:val="24"/>
                <w:szCs w:val="22"/>
                <w:vertAlign w:val="superscript"/>
              </w:rPr>
              <w:noBreakHyphen/>
              <w:t xml:space="preserve">3 </w:t>
            </w:r>
            <w:r w:rsidRPr="00883399">
              <w:rPr>
                <w:sz w:val="24"/>
                <w:szCs w:val="22"/>
              </w:rPr>
              <w:t>for converting a quantity of carbon dioxide from cubic metres at standard conditions of pressure and temperature to CO</w:t>
            </w:r>
            <w:r w:rsidRPr="00883399">
              <w:rPr>
                <w:sz w:val="24"/>
                <w:szCs w:val="22"/>
                <w:vertAlign w:val="subscript"/>
              </w:rPr>
              <w:t>2</w:t>
            </w:r>
            <w:r w:rsidRPr="00883399">
              <w:rPr>
                <w:sz w:val="24"/>
                <w:szCs w:val="22"/>
              </w:rPr>
              <w:noBreakHyphen/>
              <w:t>e tonnes.</w:t>
            </w:r>
          </w:p>
          <w:p w14:paraId="5958ACD7" w14:textId="77777777" w:rsidR="00872C03" w:rsidRPr="00883399" w:rsidRDefault="00872C03" w:rsidP="0031057E">
            <w:pPr>
              <w:pStyle w:val="TableText"/>
              <w:spacing w:line="240" w:lineRule="auto"/>
              <w:rPr>
                <w:rFonts w:ascii="Symbol" w:hAnsi="Symbol"/>
                <w:b/>
                <w:i/>
                <w:sz w:val="24"/>
                <w:szCs w:val="22"/>
              </w:rPr>
            </w:pPr>
            <w:r w:rsidRPr="00883399">
              <w:rPr>
                <w:b/>
                <w:i/>
                <w:sz w:val="24"/>
                <w:szCs w:val="22"/>
              </w:rPr>
              <w:t>RCCS</w:t>
            </w:r>
            <w:r w:rsidRPr="00883399">
              <w:rPr>
                <w:b/>
                <w:i/>
                <w:sz w:val="24"/>
                <w:vertAlign w:val="subscript"/>
              </w:rPr>
              <w:t>CO</w:t>
            </w:r>
            <w:r w:rsidRPr="00883399">
              <w:rPr>
                <w:b/>
                <w:i/>
                <w:position w:val="-4"/>
                <w:sz w:val="24"/>
                <w:vertAlign w:val="subscript"/>
              </w:rPr>
              <w:t>2</w:t>
            </w:r>
            <w:r w:rsidRPr="00883399">
              <w:rPr>
                <w:sz w:val="24"/>
                <w:szCs w:val="22"/>
              </w:rPr>
              <w:t xml:space="preserve"> is carbon dioxide captured for permanent storage, measured in cubic metres in accordance with Division 1.2.3.</w:t>
            </w:r>
          </w:p>
        </w:tc>
      </w:tr>
    </w:tbl>
    <w:p w14:paraId="1DBCA290" w14:textId="77777777" w:rsidR="00872C03" w:rsidRPr="00883399" w:rsidRDefault="00872C03" w:rsidP="00872C03">
      <w:pPr>
        <w:pStyle w:val="subsection"/>
        <w:rPr>
          <w:sz w:val="24"/>
        </w:rPr>
      </w:pPr>
      <w:r w:rsidRPr="00883399">
        <w:rPr>
          <w:sz w:val="24"/>
        </w:rPr>
        <w:tab/>
        <w:t>(3)</w:t>
      </w:r>
      <w:r w:rsidRPr="00883399">
        <w:rPr>
          <w:sz w:val="24"/>
        </w:rPr>
        <w:tab/>
        <w:t>If a fuel type (</w:t>
      </w:r>
      <w:r w:rsidRPr="00883399">
        <w:rPr>
          <w:b/>
          <w:i/>
          <w:sz w:val="24"/>
        </w:rPr>
        <w:t>i</w:t>
      </w:r>
      <w:r w:rsidRPr="00883399">
        <w:rPr>
          <w:sz w:val="24"/>
        </w:rPr>
        <w:t>) or carbonaceous input material delivered for the activity during the year accounts for more than 5% of total carbon input for the activity, based on a calculation using the factors specified in Schedule 3, sampling and analysis of fuel type</w:t>
      </w:r>
      <w:r w:rsidRPr="00883399">
        <w:rPr>
          <w:b/>
          <w:i/>
          <w:sz w:val="24"/>
        </w:rPr>
        <w:t xml:space="preserve"> (i) </w:t>
      </w:r>
      <w:r w:rsidRPr="00883399">
        <w:rPr>
          <w:sz w:val="24"/>
        </w:rPr>
        <w:t>or carbonaceous input material must be carried out to determine its carbon content.</w:t>
      </w:r>
    </w:p>
    <w:p w14:paraId="68B521B6" w14:textId="77777777" w:rsidR="00872C03" w:rsidRPr="00883399" w:rsidRDefault="00872C03" w:rsidP="00872C03">
      <w:pPr>
        <w:pStyle w:val="subsection"/>
        <w:rPr>
          <w:sz w:val="24"/>
        </w:rPr>
      </w:pPr>
      <w:r w:rsidRPr="00883399">
        <w:rPr>
          <w:sz w:val="24"/>
        </w:rPr>
        <w:tab/>
        <w:t>(4)</w:t>
      </w:r>
      <w:r w:rsidRPr="00883399">
        <w:rPr>
          <w:sz w:val="24"/>
        </w:rPr>
        <w:tab/>
        <w:t>The sampling and analysis is to be carried out using the sampling and analysis provided for in Divisions 2.2.3, 2.3.3 and 2.4.3 that apply to the combustion of solid, gaseous and liquid fuels.</w:t>
      </w:r>
    </w:p>
    <w:p w14:paraId="07DB3430" w14:textId="197715FE" w:rsidR="00872C03" w:rsidRPr="00883399" w:rsidRDefault="00872C03" w:rsidP="00872C03">
      <w:pPr>
        <w:pStyle w:val="ActHead5"/>
        <w:rPr>
          <w:sz w:val="28"/>
        </w:rPr>
      </w:pPr>
      <w:bookmarkStart w:id="946" w:name="_Toc423517070"/>
      <w:bookmarkStart w:id="947" w:name="_Toc495653002"/>
      <w:r w:rsidRPr="00883399">
        <w:rPr>
          <w:rStyle w:val="CharSectno"/>
          <w:sz w:val="28"/>
        </w:rPr>
        <w:t>4.57</w:t>
      </w:r>
      <w:r w:rsidRPr="00883399">
        <w:rPr>
          <w:sz w:val="28"/>
        </w:rPr>
        <w:t xml:space="preserve">  Method 3—chemical or mineral production, other than carbide production, using a carbon reductant or carbon anode</w:t>
      </w:r>
      <w:bookmarkEnd w:id="946"/>
      <w:bookmarkEnd w:id="947"/>
    </w:p>
    <w:p w14:paraId="7F6DCC95" w14:textId="77777777" w:rsidR="00872C03" w:rsidRPr="00883399" w:rsidRDefault="00872C03" w:rsidP="00872C03">
      <w:pPr>
        <w:pStyle w:val="subsection"/>
        <w:rPr>
          <w:sz w:val="24"/>
        </w:rPr>
      </w:pPr>
      <w:r w:rsidRPr="00883399">
        <w:rPr>
          <w:sz w:val="24"/>
        </w:rPr>
        <w:tab/>
        <w:t>(1)</w:t>
      </w:r>
      <w:r w:rsidRPr="00883399">
        <w:rPr>
          <w:sz w:val="24"/>
        </w:rPr>
        <w:tab/>
        <w:t>Subject to this section, method 3 is the same as method 2 under section 4.56.</w:t>
      </w:r>
    </w:p>
    <w:p w14:paraId="324E6458" w14:textId="77777777" w:rsidR="00872C03" w:rsidRPr="00883399" w:rsidRDefault="00872C03" w:rsidP="00872C03">
      <w:pPr>
        <w:pStyle w:val="subsection"/>
        <w:rPr>
          <w:sz w:val="24"/>
        </w:rPr>
      </w:pPr>
      <w:r w:rsidRPr="00883399">
        <w:rPr>
          <w:sz w:val="24"/>
        </w:rPr>
        <w:tab/>
        <w:t>(2)</w:t>
      </w:r>
      <w:r w:rsidRPr="00883399">
        <w:rPr>
          <w:sz w:val="24"/>
        </w:rPr>
        <w:tab/>
        <w:t>If a fuel type (</w:t>
      </w:r>
      <w:r w:rsidRPr="00883399">
        <w:rPr>
          <w:b/>
          <w:i/>
          <w:sz w:val="24"/>
        </w:rPr>
        <w:t>i</w:t>
      </w:r>
      <w:r w:rsidRPr="00883399">
        <w:rPr>
          <w:sz w:val="24"/>
        </w:rPr>
        <w:t xml:space="preserve">) or carbonaceous input material delivered for the activity during the year accounts for more than 5% of total carbon input for the </w:t>
      </w:r>
      <w:r w:rsidRPr="00883399">
        <w:rPr>
          <w:sz w:val="24"/>
        </w:rPr>
        <w:lastRenderedPageBreak/>
        <w:t>activity, based on a calculation using the factors specified in Schedule 3, sampling and analysis of fuel type</w:t>
      </w:r>
      <w:r w:rsidRPr="00883399">
        <w:rPr>
          <w:b/>
          <w:i/>
          <w:sz w:val="24"/>
        </w:rPr>
        <w:t xml:space="preserve"> (i) </w:t>
      </w:r>
      <w:r w:rsidRPr="00883399">
        <w:rPr>
          <w:sz w:val="24"/>
        </w:rPr>
        <w:t>or carbonaceous input material must be carried out to determine its carbon content.</w:t>
      </w:r>
    </w:p>
    <w:p w14:paraId="046C5352" w14:textId="77777777" w:rsidR="00872C03" w:rsidRPr="00883399" w:rsidRDefault="00872C03" w:rsidP="00872C03">
      <w:pPr>
        <w:pStyle w:val="subsection"/>
        <w:rPr>
          <w:sz w:val="24"/>
        </w:rPr>
      </w:pPr>
      <w:r w:rsidRPr="00883399">
        <w:rPr>
          <w:sz w:val="24"/>
        </w:rPr>
        <w:tab/>
        <w:t>(3)</w:t>
      </w:r>
      <w:r w:rsidRPr="00883399">
        <w:rPr>
          <w:sz w:val="24"/>
        </w:rPr>
        <w:tab/>
        <w:t>The sampling and analysis is to be carried out using the methods set out in Divisions 2.2.4, 2.3.4 and 2.4.4 that apply to the combustion of solid, gaseous and liquid fuels.</w:t>
      </w:r>
    </w:p>
    <w:p w14:paraId="4AC531FA" w14:textId="41F5D8E7" w:rsidR="00872C03" w:rsidRPr="00883399" w:rsidRDefault="00872C03" w:rsidP="00872C03">
      <w:pPr>
        <w:pStyle w:val="ActHead3"/>
        <w:pageBreakBefore/>
        <w:rPr>
          <w:sz w:val="32"/>
        </w:rPr>
      </w:pPr>
      <w:bookmarkStart w:id="948" w:name="_Toc423517071"/>
      <w:bookmarkStart w:id="949" w:name="_Toc495653003"/>
      <w:r w:rsidRPr="00883399">
        <w:rPr>
          <w:rStyle w:val="CharDivNo"/>
          <w:sz w:val="32"/>
        </w:rPr>
        <w:lastRenderedPageBreak/>
        <w:t>Division 4.3.6</w:t>
      </w:r>
      <w:r w:rsidRPr="00883399">
        <w:rPr>
          <w:sz w:val="32"/>
        </w:rPr>
        <w:t>—</w:t>
      </w:r>
      <w:r w:rsidRPr="00883399">
        <w:rPr>
          <w:rStyle w:val="CharDivText"/>
          <w:sz w:val="32"/>
        </w:rPr>
        <w:t>Sodium cyanide production</w:t>
      </w:r>
      <w:bookmarkEnd w:id="948"/>
      <w:bookmarkEnd w:id="949"/>
    </w:p>
    <w:p w14:paraId="0A1B1EB6" w14:textId="4BBD6C79" w:rsidR="00872C03" w:rsidRPr="00883399" w:rsidRDefault="00872C03" w:rsidP="00872C03">
      <w:pPr>
        <w:pStyle w:val="ActHead5"/>
        <w:rPr>
          <w:sz w:val="28"/>
        </w:rPr>
      </w:pPr>
      <w:bookmarkStart w:id="950" w:name="_Toc423517072"/>
      <w:bookmarkStart w:id="951" w:name="_Toc495653004"/>
      <w:r w:rsidRPr="00883399">
        <w:rPr>
          <w:rStyle w:val="CharSectno"/>
          <w:sz w:val="28"/>
        </w:rPr>
        <w:t>4.58</w:t>
      </w:r>
      <w:r w:rsidRPr="00883399">
        <w:rPr>
          <w:sz w:val="28"/>
        </w:rPr>
        <w:t xml:space="preserve">  Application</w:t>
      </w:r>
      <w:bookmarkEnd w:id="950"/>
      <w:bookmarkEnd w:id="951"/>
    </w:p>
    <w:p w14:paraId="4D75EC41" w14:textId="77777777" w:rsidR="00872C03" w:rsidRPr="00883399" w:rsidRDefault="00872C03" w:rsidP="00872C03">
      <w:pPr>
        <w:pStyle w:val="subsection"/>
        <w:rPr>
          <w:sz w:val="24"/>
        </w:rPr>
      </w:pPr>
      <w:r w:rsidRPr="00883399">
        <w:rPr>
          <w:sz w:val="24"/>
        </w:rPr>
        <w:tab/>
      </w:r>
      <w:r w:rsidRPr="00883399">
        <w:rPr>
          <w:sz w:val="24"/>
        </w:rPr>
        <w:tab/>
        <w:t>This Division applies to emissions of carbon dioxide or nitrous oxide from activities producing sodium cyanide.</w:t>
      </w:r>
    </w:p>
    <w:p w14:paraId="3FF56609" w14:textId="65679041" w:rsidR="00872C03" w:rsidRPr="00883399" w:rsidRDefault="00872C03" w:rsidP="00872C03">
      <w:pPr>
        <w:pStyle w:val="ActHead5"/>
        <w:rPr>
          <w:sz w:val="28"/>
        </w:rPr>
      </w:pPr>
      <w:bookmarkStart w:id="952" w:name="_Toc423517073"/>
      <w:bookmarkStart w:id="953" w:name="_Toc495653005"/>
      <w:r w:rsidRPr="00883399">
        <w:rPr>
          <w:rStyle w:val="CharSectno"/>
          <w:sz w:val="28"/>
        </w:rPr>
        <w:t>4.59</w:t>
      </w:r>
      <w:r w:rsidRPr="00883399">
        <w:rPr>
          <w:sz w:val="28"/>
        </w:rPr>
        <w:t xml:space="preserve">  Available methods</w:t>
      </w:r>
      <w:bookmarkEnd w:id="952"/>
      <w:bookmarkEnd w:id="953"/>
    </w:p>
    <w:p w14:paraId="44583ABD" w14:textId="77777777" w:rsidR="00872C03" w:rsidRPr="00883399" w:rsidRDefault="00872C03" w:rsidP="00872C03">
      <w:pPr>
        <w:pStyle w:val="subsection"/>
        <w:rPr>
          <w:sz w:val="24"/>
        </w:rPr>
      </w:pPr>
      <w:r w:rsidRPr="00883399">
        <w:rPr>
          <w:sz w:val="24"/>
        </w:rPr>
        <w:tab/>
        <w:t>(1)</w:t>
      </w:r>
      <w:r w:rsidRPr="00883399">
        <w:rPr>
          <w:sz w:val="24"/>
        </w:rPr>
        <w:tab/>
        <w:t>Subject to section 1.18, one of the following methods must be used for estimating emissions released during a reporting year from the operation of a facility that is constituted by the production of sodium cyanide:</w:t>
      </w:r>
    </w:p>
    <w:p w14:paraId="07D24BD7" w14:textId="77777777" w:rsidR="00872C03" w:rsidRPr="00883399" w:rsidRDefault="00872C03" w:rsidP="00872C03">
      <w:pPr>
        <w:pStyle w:val="paragraph"/>
        <w:rPr>
          <w:sz w:val="24"/>
        </w:rPr>
      </w:pPr>
      <w:r w:rsidRPr="00883399">
        <w:rPr>
          <w:sz w:val="24"/>
        </w:rPr>
        <w:tab/>
        <w:t>(a)</w:t>
      </w:r>
      <w:r w:rsidRPr="00883399">
        <w:rPr>
          <w:sz w:val="24"/>
        </w:rPr>
        <w:tab/>
        <w:t>method 1 under section 4.55;</w:t>
      </w:r>
    </w:p>
    <w:p w14:paraId="29B42F27" w14:textId="77777777" w:rsidR="00872C03" w:rsidRPr="00883399" w:rsidRDefault="00872C03" w:rsidP="00872C03">
      <w:pPr>
        <w:pStyle w:val="paragraph"/>
        <w:rPr>
          <w:sz w:val="24"/>
        </w:rPr>
      </w:pPr>
      <w:r w:rsidRPr="00883399">
        <w:rPr>
          <w:sz w:val="24"/>
        </w:rPr>
        <w:tab/>
        <w:t>(b)</w:t>
      </w:r>
      <w:r w:rsidRPr="00883399">
        <w:rPr>
          <w:sz w:val="24"/>
        </w:rPr>
        <w:tab/>
        <w:t>method 2 under section 4.56;</w:t>
      </w:r>
    </w:p>
    <w:p w14:paraId="0081BFEB" w14:textId="77777777" w:rsidR="00872C03" w:rsidRPr="00883399" w:rsidRDefault="00872C03" w:rsidP="00872C03">
      <w:pPr>
        <w:pStyle w:val="paragraph"/>
        <w:rPr>
          <w:sz w:val="24"/>
        </w:rPr>
      </w:pPr>
      <w:r w:rsidRPr="00883399">
        <w:rPr>
          <w:sz w:val="24"/>
        </w:rPr>
        <w:tab/>
        <w:t>(c)</w:t>
      </w:r>
      <w:r w:rsidRPr="00883399">
        <w:rPr>
          <w:sz w:val="24"/>
        </w:rPr>
        <w:tab/>
        <w:t>method 3 under section 4.57;</w:t>
      </w:r>
    </w:p>
    <w:p w14:paraId="0CAC3832" w14:textId="77777777" w:rsidR="00872C03" w:rsidRPr="00883399" w:rsidRDefault="00872C03" w:rsidP="00872C03">
      <w:pPr>
        <w:pStyle w:val="paragraph"/>
        <w:rPr>
          <w:sz w:val="24"/>
        </w:rPr>
      </w:pPr>
      <w:r w:rsidRPr="00883399">
        <w:rPr>
          <w:sz w:val="24"/>
        </w:rPr>
        <w:tab/>
        <w:t>(d)</w:t>
      </w:r>
      <w:r w:rsidRPr="00883399">
        <w:rPr>
          <w:sz w:val="24"/>
        </w:rPr>
        <w:tab/>
        <w:t>method 4 under Part 1.3.</w:t>
      </w:r>
    </w:p>
    <w:p w14:paraId="45F494E1" w14:textId="77777777" w:rsidR="00872C03" w:rsidRPr="00883399" w:rsidRDefault="00872C03" w:rsidP="00872C03">
      <w:pPr>
        <w:pStyle w:val="subsection"/>
        <w:rPr>
          <w:sz w:val="24"/>
        </w:rPr>
      </w:pPr>
      <w:r w:rsidRPr="00883399">
        <w:rPr>
          <w:sz w:val="24"/>
        </w:rPr>
        <w:tab/>
        <w:t>(2)</w:t>
      </w:r>
      <w:r w:rsidRPr="00883399">
        <w:rPr>
          <w:sz w:val="24"/>
        </w:rPr>
        <w:tab/>
        <w:t>For estimating incidental emissions released during a reporting year from the operation of a facility that is constituted by the production of sodium cyanide, another method may be used that is consistent with the principles mentioned in section 1.13.</w:t>
      </w:r>
    </w:p>
    <w:p w14:paraId="5300625A" w14:textId="6098E831" w:rsidR="00872C03" w:rsidRPr="00883399" w:rsidRDefault="00872C03" w:rsidP="00872C03">
      <w:pPr>
        <w:pStyle w:val="ActHead2"/>
        <w:pageBreakBefore/>
        <w:rPr>
          <w:sz w:val="36"/>
        </w:rPr>
      </w:pPr>
      <w:bookmarkStart w:id="954" w:name="_Toc423517074"/>
      <w:bookmarkStart w:id="955" w:name="_Toc495653006"/>
      <w:r w:rsidRPr="00883399">
        <w:rPr>
          <w:rStyle w:val="CharPartNo"/>
          <w:sz w:val="36"/>
        </w:rPr>
        <w:lastRenderedPageBreak/>
        <w:t>Part 4.4</w:t>
      </w:r>
      <w:r w:rsidRPr="00883399">
        <w:rPr>
          <w:sz w:val="36"/>
        </w:rPr>
        <w:t>—</w:t>
      </w:r>
      <w:r w:rsidRPr="00883399">
        <w:rPr>
          <w:rStyle w:val="CharPartText"/>
          <w:sz w:val="36"/>
        </w:rPr>
        <w:t>Industrial processes—metal industry</w:t>
      </w:r>
      <w:bookmarkEnd w:id="954"/>
      <w:bookmarkEnd w:id="955"/>
    </w:p>
    <w:p w14:paraId="50C9FA59" w14:textId="77777777" w:rsidR="006E1310" w:rsidRPr="00883399" w:rsidRDefault="006E1310" w:rsidP="006E1310">
      <w:pPr>
        <w:pStyle w:val="Text"/>
        <w:rPr>
          <w:rFonts w:ascii="Arial" w:hAnsi="Arial" w:cs="Arial"/>
          <w:sz w:val="22"/>
          <w:szCs w:val="22"/>
        </w:rPr>
      </w:pPr>
      <w:bookmarkStart w:id="956" w:name="_Toc423517075"/>
      <w:r w:rsidRPr="00883399">
        <w:rPr>
          <w:rFonts w:ascii="Arial" w:hAnsi="Arial" w:cs="Arial"/>
          <w:sz w:val="22"/>
          <w:szCs w:val="22"/>
        </w:rPr>
        <w:t>This Part applies to any metal industry that generates emissions of carbon dioxide through the use of fuels as carbon reductants, as described below.  Perfluorocarbon emissions from aluminium production are also addressed in this part.</w:t>
      </w:r>
    </w:p>
    <w:p w14:paraId="6F96187F" w14:textId="77777777" w:rsidR="006E1310" w:rsidRPr="00883399" w:rsidRDefault="006E1310" w:rsidP="006E1310">
      <w:pPr>
        <w:pStyle w:val="Text"/>
        <w:rPr>
          <w:rFonts w:ascii="Arial" w:hAnsi="Arial" w:cs="Arial"/>
          <w:sz w:val="22"/>
          <w:szCs w:val="22"/>
        </w:rPr>
      </w:pPr>
      <w:r w:rsidRPr="00883399">
        <w:rPr>
          <w:rFonts w:ascii="Arial" w:hAnsi="Arial" w:cs="Arial"/>
          <w:sz w:val="22"/>
          <w:szCs w:val="22"/>
        </w:rPr>
        <w:t>The quantities of fuels consumed for industrial process purposes should be estimated in accordance with the same criteria as has been set out for fuels consumption in Chapter 2.</w:t>
      </w:r>
    </w:p>
    <w:p w14:paraId="6C36BD1D" w14:textId="77777777" w:rsidR="006E1310" w:rsidRPr="00883399" w:rsidRDefault="006E1310" w:rsidP="006E1310">
      <w:pPr>
        <w:pStyle w:val="Text"/>
        <w:rPr>
          <w:rFonts w:ascii="Arial" w:hAnsi="Arial" w:cs="Arial"/>
          <w:sz w:val="22"/>
          <w:szCs w:val="22"/>
        </w:rPr>
      </w:pPr>
      <w:r w:rsidRPr="00883399">
        <w:rPr>
          <w:rFonts w:ascii="Arial" w:hAnsi="Arial" w:cs="Arial"/>
          <w:sz w:val="22"/>
          <w:szCs w:val="22"/>
        </w:rPr>
        <w:t xml:space="preserve">Other sources of emissions arising from the production of the products listed below, such as from the combustion of fuels for energy, are not described in this chapter and must be estimated using the Methods described in other chapters.   </w:t>
      </w:r>
    </w:p>
    <w:p w14:paraId="0B0200D8" w14:textId="23EF5997" w:rsidR="00872C03" w:rsidRPr="00883399" w:rsidRDefault="00872C03" w:rsidP="00872C03">
      <w:pPr>
        <w:pStyle w:val="ActHead3"/>
        <w:rPr>
          <w:sz w:val="32"/>
        </w:rPr>
      </w:pPr>
      <w:bookmarkStart w:id="957" w:name="_Toc495653007"/>
      <w:r w:rsidRPr="00883399">
        <w:rPr>
          <w:rStyle w:val="CharDivNo"/>
          <w:sz w:val="32"/>
        </w:rPr>
        <w:t>Division 4.4.1</w:t>
      </w:r>
      <w:r w:rsidRPr="00883399">
        <w:rPr>
          <w:sz w:val="32"/>
        </w:rPr>
        <w:t>—</w:t>
      </w:r>
      <w:r w:rsidRPr="00883399">
        <w:rPr>
          <w:rStyle w:val="CharDivText"/>
          <w:sz w:val="32"/>
        </w:rPr>
        <w:t>Iron, steel or other metal production using an integrated metalworks</w:t>
      </w:r>
      <w:bookmarkEnd w:id="956"/>
      <w:bookmarkEnd w:id="957"/>
    </w:p>
    <w:p w14:paraId="66E702F5" w14:textId="77777777" w:rsidR="006E1310" w:rsidRPr="00883399" w:rsidRDefault="006E1310" w:rsidP="006E1310">
      <w:pPr>
        <w:pStyle w:val="Text"/>
        <w:rPr>
          <w:rFonts w:ascii="Arial" w:hAnsi="Arial" w:cs="Arial"/>
          <w:sz w:val="22"/>
          <w:szCs w:val="22"/>
        </w:rPr>
      </w:pPr>
      <w:bookmarkStart w:id="958" w:name="_Toc423517076"/>
      <w:r w:rsidRPr="00883399">
        <w:rPr>
          <w:rFonts w:ascii="Arial" w:hAnsi="Arial" w:cs="Arial"/>
          <w:sz w:val="22"/>
          <w:szCs w:val="22"/>
        </w:rPr>
        <w:t>This division applies to any facility that produces iron, steel or any metals produced using an integrated metalworks. Metals such as iron, steel, lead and silicon may be produced in an integrated metalworks where the metal and coke is produced on the same site. In this case it is difficult to identify emissions attributable to each part of the production process. In this case, emissions are estimated from the activity as a whole by estimating the inputs and outputs. The methods for estimating emissions of carbon dioxide are based on a carbon balance approach reducing the complexity of the calculation for these facilities.</w:t>
      </w:r>
    </w:p>
    <w:p w14:paraId="47695C73" w14:textId="77777777" w:rsidR="006E1310" w:rsidRPr="00883399" w:rsidRDefault="006E1310" w:rsidP="006E1310">
      <w:pPr>
        <w:pStyle w:val="Text"/>
        <w:rPr>
          <w:rFonts w:ascii="Arial" w:hAnsi="Arial" w:cs="Arial"/>
          <w:sz w:val="22"/>
          <w:szCs w:val="22"/>
        </w:rPr>
      </w:pPr>
      <w:r w:rsidRPr="00883399">
        <w:rPr>
          <w:rFonts w:ascii="Arial" w:hAnsi="Arial" w:cs="Arial"/>
          <w:sz w:val="22"/>
          <w:szCs w:val="22"/>
        </w:rPr>
        <w:t>Steel, in particular, is also produced using an electric arc furnace (EAF) or similar process. While not considered an integrated metalworks, emissions from iron or steel production using an EAF are to be estimated and reported within Division 4.4.1.</w:t>
      </w:r>
    </w:p>
    <w:p w14:paraId="300C93C0" w14:textId="77777777" w:rsidR="006E1310" w:rsidRPr="00883399" w:rsidRDefault="006E1310" w:rsidP="006E1310">
      <w:pPr>
        <w:spacing w:before="240" w:line="312" w:lineRule="auto"/>
        <w:rPr>
          <w:rFonts w:ascii="Arial" w:hAnsi="Arial" w:cs="Arial"/>
          <w:sz w:val="22"/>
        </w:rPr>
      </w:pPr>
      <w:bookmarkStart w:id="959" w:name="_Toc265135487"/>
      <w:r w:rsidRPr="00883399">
        <w:rPr>
          <w:rFonts w:ascii="Arial" w:hAnsi="Arial" w:cs="Arial"/>
          <w:sz w:val="22"/>
        </w:rPr>
        <w:t>In order to deduct carbon dioxide captured for permanent storage reporters are required to use Method 2 or higher. These higher order methods provide a more accurate estimate of the carbon dioxide emissions than under Method 1, the default method. As the carbon dioxide captured is deducted from the emissions estimate it is necessary to have a greater level of accuracy in the emissions estimate than is achieved using Method 1.</w:t>
      </w:r>
      <w:bookmarkEnd w:id="959"/>
      <w:r w:rsidRPr="00883399">
        <w:rPr>
          <w:rFonts w:ascii="Arial" w:hAnsi="Arial" w:cs="Arial"/>
          <w:sz w:val="22"/>
        </w:rPr>
        <w:t xml:space="preserve"> </w:t>
      </w:r>
    </w:p>
    <w:p w14:paraId="6D8CFCC5" w14:textId="77777777" w:rsidR="006E1310" w:rsidRPr="00883399" w:rsidRDefault="006E1310" w:rsidP="006E1310">
      <w:pPr>
        <w:spacing w:before="240" w:line="312" w:lineRule="auto"/>
        <w:rPr>
          <w:rFonts w:ascii="Arial" w:hAnsi="Arial" w:cs="Arial"/>
          <w:sz w:val="22"/>
        </w:rPr>
      </w:pPr>
      <w:r w:rsidRPr="00883399">
        <w:rPr>
          <w:rFonts w:ascii="Arial" w:hAnsi="Arial" w:cs="Arial"/>
          <w:sz w:val="22"/>
        </w:rPr>
        <w:lastRenderedPageBreak/>
        <w:t>Note that emissions from limestone and dolomite use in Iron and Steel production are to be reported under Division 4.2.3 ‘Use of carbonates for the production of a product other than cement clinker, lime or soda ash’.</w:t>
      </w:r>
    </w:p>
    <w:p w14:paraId="54CA1178" w14:textId="447E1231" w:rsidR="00872C03" w:rsidRPr="00883399" w:rsidRDefault="00872C03" w:rsidP="00872C03">
      <w:pPr>
        <w:pStyle w:val="ActHead5"/>
        <w:rPr>
          <w:sz w:val="28"/>
        </w:rPr>
      </w:pPr>
      <w:bookmarkStart w:id="960" w:name="_Toc495653008"/>
      <w:r w:rsidRPr="00883399">
        <w:rPr>
          <w:rStyle w:val="CharSectno"/>
          <w:sz w:val="28"/>
        </w:rPr>
        <w:t>4.63</w:t>
      </w:r>
      <w:r w:rsidRPr="00883399">
        <w:rPr>
          <w:sz w:val="28"/>
        </w:rPr>
        <w:t xml:space="preserve">  Application</w:t>
      </w:r>
      <w:bookmarkEnd w:id="958"/>
      <w:bookmarkEnd w:id="960"/>
    </w:p>
    <w:p w14:paraId="670D04D4" w14:textId="77777777" w:rsidR="00872C03" w:rsidRPr="00883399" w:rsidRDefault="00872C03" w:rsidP="00872C03">
      <w:pPr>
        <w:pStyle w:val="subsection"/>
        <w:rPr>
          <w:sz w:val="24"/>
        </w:rPr>
      </w:pPr>
      <w:r w:rsidRPr="00883399">
        <w:rPr>
          <w:sz w:val="24"/>
        </w:rPr>
        <w:tab/>
      </w:r>
      <w:r w:rsidRPr="00883399">
        <w:rPr>
          <w:sz w:val="24"/>
        </w:rPr>
        <w:tab/>
        <w:t>This Division applies to emissions from production of the following:</w:t>
      </w:r>
    </w:p>
    <w:p w14:paraId="797F29DB" w14:textId="77777777" w:rsidR="00872C03" w:rsidRPr="00883399" w:rsidRDefault="00872C03" w:rsidP="00872C03">
      <w:pPr>
        <w:pStyle w:val="paragraph"/>
        <w:rPr>
          <w:sz w:val="24"/>
        </w:rPr>
      </w:pPr>
      <w:r w:rsidRPr="00883399">
        <w:rPr>
          <w:sz w:val="24"/>
        </w:rPr>
        <w:tab/>
        <w:t>(a)</w:t>
      </w:r>
      <w:r w:rsidRPr="00883399">
        <w:rPr>
          <w:sz w:val="24"/>
        </w:rPr>
        <w:tab/>
        <w:t>iron;</w:t>
      </w:r>
    </w:p>
    <w:p w14:paraId="1E75A588" w14:textId="77777777" w:rsidR="00872C03" w:rsidRPr="00883399" w:rsidRDefault="00872C03" w:rsidP="00872C03">
      <w:pPr>
        <w:pStyle w:val="paragraph"/>
        <w:rPr>
          <w:sz w:val="24"/>
        </w:rPr>
      </w:pPr>
      <w:r w:rsidRPr="00883399">
        <w:rPr>
          <w:sz w:val="24"/>
        </w:rPr>
        <w:tab/>
        <w:t>(b)</w:t>
      </w:r>
      <w:r w:rsidRPr="00883399">
        <w:rPr>
          <w:sz w:val="24"/>
        </w:rPr>
        <w:tab/>
        <w:t>steel;</w:t>
      </w:r>
    </w:p>
    <w:p w14:paraId="225C0655" w14:textId="77777777" w:rsidR="00872C03" w:rsidRPr="00883399" w:rsidRDefault="00872C03" w:rsidP="00872C03">
      <w:pPr>
        <w:pStyle w:val="paragraph"/>
        <w:rPr>
          <w:sz w:val="24"/>
        </w:rPr>
      </w:pPr>
      <w:r w:rsidRPr="00883399">
        <w:rPr>
          <w:sz w:val="24"/>
        </w:rPr>
        <w:tab/>
        <w:t>(c)</w:t>
      </w:r>
      <w:r w:rsidRPr="00883399">
        <w:rPr>
          <w:sz w:val="24"/>
        </w:rPr>
        <w:tab/>
        <w:t>any metals produced using integrated metalworks.</w:t>
      </w:r>
    </w:p>
    <w:p w14:paraId="3F6BBFFF" w14:textId="13BE39B2" w:rsidR="00872C03" w:rsidRPr="00883399" w:rsidRDefault="00872C03" w:rsidP="00872C03">
      <w:pPr>
        <w:pStyle w:val="ActHead5"/>
        <w:rPr>
          <w:sz w:val="28"/>
        </w:rPr>
      </w:pPr>
      <w:bookmarkStart w:id="961" w:name="_Toc423517077"/>
      <w:bookmarkStart w:id="962" w:name="_Toc495653009"/>
      <w:r w:rsidRPr="00883399">
        <w:rPr>
          <w:rStyle w:val="CharSectno"/>
          <w:sz w:val="28"/>
        </w:rPr>
        <w:t>4.64</w:t>
      </w:r>
      <w:r w:rsidRPr="00883399">
        <w:rPr>
          <w:sz w:val="28"/>
        </w:rPr>
        <w:t xml:space="preserve">  Purpose of Division</w:t>
      </w:r>
      <w:bookmarkEnd w:id="961"/>
      <w:bookmarkEnd w:id="962"/>
    </w:p>
    <w:p w14:paraId="23B180AA" w14:textId="77777777" w:rsidR="00872C03" w:rsidRPr="00883399" w:rsidRDefault="00872C03" w:rsidP="00872C03">
      <w:pPr>
        <w:pStyle w:val="subsection"/>
        <w:rPr>
          <w:sz w:val="24"/>
        </w:rPr>
      </w:pPr>
      <w:r w:rsidRPr="00883399">
        <w:rPr>
          <w:sz w:val="24"/>
        </w:rPr>
        <w:tab/>
        <w:t>(1)</w:t>
      </w:r>
      <w:r w:rsidRPr="00883399">
        <w:rPr>
          <w:sz w:val="24"/>
        </w:rPr>
        <w:tab/>
        <w:t>This Division applies to determining emissions released during a year from the operation of a facility that is constituted by an activity that produces a metal, for example, an integrated metalworks.</w:t>
      </w:r>
    </w:p>
    <w:p w14:paraId="6BA1CA3A" w14:textId="77777777" w:rsidR="00872C03" w:rsidRPr="00883399" w:rsidRDefault="00872C03" w:rsidP="00872C03">
      <w:pPr>
        <w:pStyle w:val="subsection"/>
        <w:rPr>
          <w:sz w:val="24"/>
        </w:rPr>
      </w:pPr>
      <w:r w:rsidRPr="00883399">
        <w:rPr>
          <w:sz w:val="24"/>
        </w:rPr>
        <w:tab/>
        <w:t>(2)</w:t>
      </w:r>
      <w:r w:rsidRPr="00883399">
        <w:rPr>
          <w:sz w:val="24"/>
        </w:rPr>
        <w:tab/>
        <w:t xml:space="preserve">An </w:t>
      </w:r>
      <w:r w:rsidRPr="00883399">
        <w:rPr>
          <w:b/>
          <w:i/>
          <w:sz w:val="24"/>
        </w:rPr>
        <w:t>integrated metalworks</w:t>
      </w:r>
      <w:r w:rsidRPr="00883399">
        <w:rPr>
          <w:sz w:val="24"/>
        </w:rPr>
        <w:t xml:space="preserve"> means a metalworks that produces coke and a metal (for example, iron or steel).</w:t>
      </w:r>
    </w:p>
    <w:p w14:paraId="38D8166C" w14:textId="77777777" w:rsidR="00872C03" w:rsidRPr="00883399" w:rsidRDefault="00872C03" w:rsidP="00872C03">
      <w:pPr>
        <w:pStyle w:val="subsection"/>
        <w:rPr>
          <w:sz w:val="24"/>
        </w:rPr>
      </w:pPr>
      <w:r w:rsidRPr="00883399">
        <w:rPr>
          <w:sz w:val="24"/>
        </w:rPr>
        <w:tab/>
        <w:t>(3)</w:t>
      </w:r>
      <w:r w:rsidRPr="00883399">
        <w:rPr>
          <w:sz w:val="24"/>
        </w:rPr>
        <w:tab/>
        <w:t>The emissions from the activity are to be worked out as a total of emissions released from the production of a metal and from all other emissions released from the operation of the activity (including the production of coke if the activity is an integrated metalworks).</w:t>
      </w:r>
    </w:p>
    <w:p w14:paraId="54E0F0BE" w14:textId="77777777" w:rsidR="00872C03" w:rsidRPr="00883399" w:rsidRDefault="00872C03" w:rsidP="00872C03">
      <w:pPr>
        <w:pStyle w:val="subsection"/>
        <w:rPr>
          <w:sz w:val="24"/>
        </w:rPr>
      </w:pPr>
      <w:r w:rsidRPr="00883399">
        <w:rPr>
          <w:sz w:val="24"/>
        </w:rPr>
        <w:tab/>
        <w:t>(4)</w:t>
      </w:r>
      <w:r w:rsidRPr="00883399">
        <w:rPr>
          <w:sz w:val="24"/>
        </w:rPr>
        <w:tab/>
        <w:t>However, the amount of emissions to be determined for this source is only the amount of emissions from the use of coke as a carbon reductant in the metal production estimated in accordance with section 2.69.</w:t>
      </w:r>
    </w:p>
    <w:p w14:paraId="54809C1D" w14:textId="77777777" w:rsidR="00872C03" w:rsidRPr="00883399" w:rsidRDefault="00872C03" w:rsidP="00872C03">
      <w:pPr>
        <w:pStyle w:val="notetext"/>
        <w:rPr>
          <w:sz w:val="20"/>
        </w:rPr>
      </w:pPr>
      <w:r w:rsidRPr="00883399">
        <w:rPr>
          <w:sz w:val="20"/>
        </w:rPr>
        <w:t>Note:</w:t>
      </w:r>
      <w:r w:rsidRPr="00883399">
        <w:rPr>
          <w:sz w:val="20"/>
        </w:rPr>
        <w:tab/>
        <w:t>The amount of emissions to be determined for other activities is as provided for in other provisions of this Determination.</w:t>
      </w:r>
    </w:p>
    <w:p w14:paraId="64F1DE5F" w14:textId="5C5E56B2" w:rsidR="00872C03" w:rsidRPr="00883399" w:rsidRDefault="00872C03" w:rsidP="00872C03">
      <w:pPr>
        <w:pStyle w:val="ActHead5"/>
        <w:rPr>
          <w:sz w:val="28"/>
        </w:rPr>
      </w:pPr>
      <w:bookmarkStart w:id="963" w:name="_Toc423517078"/>
      <w:bookmarkStart w:id="964" w:name="_Toc495653010"/>
      <w:r w:rsidRPr="00883399">
        <w:rPr>
          <w:rStyle w:val="CharSectno"/>
          <w:sz w:val="28"/>
        </w:rPr>
        <w:t>4.65</w:t>
      </w:r>
      <w:r w:rsidRPr="00883399">
        <w:rPr>
          <w:sz w:val="28"/>
        </w:rPr>
        <w:t xml:space="preserve">  Available methods for production of a metal from an integrated metalworks</w:t>
      </w:r>
      <w:bookmarkEnd w:id="963"/>
      <w:bookmarkEnd w:id="964"/>
    </w:p>
    <w:p w14:paraId="2DECDA8C" w14:textId="77777777" w:rsidR="00872C03" w:rsidRPr="00883399" w:rsidRDefault="00872C03" w:rsidP="00872C03">
      <w:pPr>
        <w:pStyle w:val="subsection"/>
        <w:rPr>
          <w:sz w:val="24"/>
        </w:rPr>
      </w:pPr>
      <w:r w:rsidRPr="00883399">
        <w:rPr>
          <w:sz w:val="24"/>
        </w:rPr>
        <w:tab/>
        <w:t>(1)</w:t>
      </w:r>
      <w:r w:rsidRPr="00883399">
        <w:rPr>
          <w:sz w:val="24"/>
        </w:rPr>
        <w:tab/>
        <w:t>Subject to section 1.18, one of the following methods must be used for estimating emissions released from the activity during a year:</w:t>
      </w:r>
    </w:p>
    <w:p w14:paraId="7289063F" w14:textId="77777777" w:rsidR="00872C03" w:rsidRPr="00883399" w:rsidRDefault="00872C03" w:rsidP="00872C03">
      <w:pPr>
        <w:pStyle w:val="paragraph"/>
        <w:rPr>
          <w:sz w:val="24"/>
        </w:rPr>
      </w:pPr>
      <w:r w:rsidRPr="00883399">
        <w:rPr>
          <w:sz w:val="24"/>
        </w:rPr>
        <w:tab/>
        <w:t>(a)</w:t>
      </w:r>
      <w:r w:rsidRPr="00883399">
        <w:rPr>
          <w:sz w:val="24"/>
        </w:rPr>
        <w:tab/>
        <w:t>method 1 under section 4.66;</w:t>
      </w:r>
    </w:p>
    <w:p w14:paraId="0DC1937B" w14:textId="77777777" w:rsidR="00872C03" w:rsidRPr="00883399" w:rsidRDefault="00872C03" w:rsidP="00872C03">
      <w:pPr>
        <w:pStyle w:val="paragraph"/>
        <w:rPr>
          <w:sz w:val="24"/>
        </w:rPr>
      </w:pPr>
      <w:r w:rsidRPr="00883399">
        <w:rPr>
          <w:sz w:val="24"/>
        </w:rPr>
        <w:tab/>
        <w:t>(b)</w:t>
      </w:r>
      <w:r w:rsidRPr="00883399">
        <w:rPr>
          <w:sz w:val="24"/>
        </w:rPr>
        <w:tab/>
        <w:t>method 2 under section 4.67;</w:t>
      </w:r>
    </w:p>
    <w:p w14:paraId="56437B12" w14:textId="77777777" w:rsidR="00872C03" w:rsidRPr="00883399" w:rsidRDefault="00872C03" w:rsidP="00872C03">
      <w:pPr>
        <w:pStyle w:val="paragraph"/>
        <w:rPr>
          <w:sz w:val="24"/>
        </w:rPr>
      </w:pPr>
      <w:r w:rsidRPr="00883399">
        <w:rPr>
          <w:sz w:val="24"/>
        </w:rPr>
        <w:tab/>
        <w:t>(c)</w:t>
      </w:r>
      <w:r w:rsidRPr="00883399">
        <w:rPr>
          <w:sz w:val="24"/>
        </w:rPr>
        <w:tab/>
        <w:t>method 3 under section 4.68;</w:t>
      </w:r>
    </w:p>
    <w:p w14:paraId="75D553E0" w14:textId="77777777" w:rsidR="00872C03" w:rsidRPr="00883399" w:rsidRDefault="00872C03" w:rsidP="00872C03">
      <w:pPr>
        <w:pStyle w:val="paragraph"/>
        <w:rPr>
          <w:sz w:val="24"/>
        </w:rPr>
      </w:pPr>
      <w:r w:rsidRPr="00883399">
        <w:rPr>
          <w:sz w:val="24"/>
        </w:rPr>
        <w:tab/>
        <w:t>(d)</w:t>
      </w:r>
      <w:r w:rsidRPr="00883399">
        <w:rPr>
          <w:sz w:val="24"/>
        </w:rPr>
        <w:tab/>
        <w:t>method 4 under Part 1.3.</w:t>
      </w:r>
    </w:p>
    <w:p w14:paraId="13FFBFA0" w14:textId="77777777" w:rsidR="00872C03" w:rsidRPr="00883399" w:rsidRDefault="00872C03" w:rsidP="00872C03">
      <w:pPr>
        <w:pStyle w:val="subsection"/>
        <w:rPr>
          <w:sz w:val="24"/>
        </w:rPr>
      </w:pPr>
      <w:r w:rsidRPr="00883399">
        <w:rPr>
          <w:sz w:val="24"/>
        </w:rPr>
        <w:tab/>
        <w:t>(2)</w:t>
      </w:r>
      <w:r w:rsidRPr="00883399">
        <w:rPr>
          <w:sz w:val="24"/>
        </w:rPr>
        <w:tab/>
        <w:t>However, for incidental emissions another method may be used that is consistent with the principles in section 1.13.</w:t>
      </w:r>
    </w:p>
    <w:p w14:paraId="55670B5B" w14:textId="77777777" w:rsidR="006E1310" w:rsidRPr="00883399" w:rsidRDefault="006E1310" w:rsidP="006E1310">
      <w:pPr>
        <w:pStyle w:val="R2"/>
        <w:ind w:hanging="62"/>
        <w:rPr>
          <w:b/>
        </w:rPr>
      </w:pPr>
      <w:r w:rsidRPr="00883399">
        <w:rPr>
          <w:b/>
        </w:rPr>
        <w:lastRenderedPageBreak/>
        <w:t>Summary of available methods, for estimating emissions from iron and steel production, by emissions of gas type (j)</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2148"/>
        <w:gridCol w:w="1400"/>
        <w:gridCol w:w="1528"/>
      </w:tblGrid>
      <w:tr w:rsidR="006E1310" w:rsidRPr="00883399" w14:paraId="22F38A04" w14:textId="77777777" w:rsidTr="0031057E">
        <w:tc>
          <w:tcPr>
            <w:tcW w:w="2349" w:type="dxa"/>
            <w:shd w:val="clear" w:color="auto" w:fill="E6E6E6"/>
          </w:tcPr>
          <w:p w14:paraId="6D2B7EAB" w14:textId="77777777" w:rsidR="006E1310" w:rsidRPr="00883399" w:rsidRDefault="006E1310" w:rsidP="0031057E">
            <w:pPr>
              <w:pStyle w:val="Text"/>
            </w:pPr>
          </w:p>
        </w:tc>
        <w:tc>
          <w:tcPr>
            <w:tcW w:w="2211" w:type="dxa"/>
            <w:shd w:val="clear" w:color="auto" w:fill="E6E6E6"/>
          </w:tcPr>
          <w:p w14:paraId="38A75371" w14:textId="77777777" w:rsidR="006E1310" w:rsidRPr="00883399" w:rsidRDefault="006E1310" w:rsidP="0031057E">
            <w:pPr>
              <w:pStyle w:val="Text"/>
            </w:pPr>
            <w:r w:rsidRPr="00883399">
              <w:t>CO</w:t>
            </w:r>
            <w:r w:rsidRPr="00883399">
              <w:rPr>
                <w:vertAlign w:val="subscript"/>
              </w:rPr>
              <w:t>2</w:t>
            </w:r>
          </w:p>
        </w:tc>
        <w:tc>
          <w:tcPr>
            <w:tcW w:w="1440" w:type="dxa"/>
            <w:shd w:val="clear" w:color="auto" w:fill="E6E6E6"/>
          </w:tcPr>
          <w:p w14:paraId="0638F07E" w14:textId="77777777" w:rsidR="006E1310" w:rsidRPr="00883399" w:rsidRDefault="006E1310" w:rsidP="0031057E">
            <w:pPr>
              <w:pStyle w:val="Text"/>
            </w:pPr>
            <w:r w:rsidRPr="00883399">
              <w:t>CH</w:t>
            </w:r>
            <w:r w:rsidRPr="00883399">
              <w:rPr>
                <w:vertAlign w:val="subscript"/>
              </w:rPr>
              <w:t>4</w:t>
            </w:r>
          </w:p>
        </w:tc>
        <w:tc>
          <w:tcPr>
            <w:tcW w:w="1574" w:type="dxa"/>
            <w:shd w:val="clear" w:color="auto" w:fill="E6E6E6"/>
          </w:tcPr>
          <w:p w14:paraId="516ECE77" w14:textId="77777777" w:rsidR="006E1310" w:rsidRPr="00883399" w:rsidRDefault="006E1310" w:rsidP="0031057E">
            <w:pPr>
              <w:pStyle w:val="Text"/>
            </w:pPr>
            <w:r w:rsidRPr="00883399">
              <w:t>N</w:t>
            </w:r>
            <w:r w:rsidRPr="00883399">
              <w:rPr>
                <w:vertAlign w:val="subscript"/>
              </w:rPr>
              <w:t>2</w:t>
            </w:r>
            <w:r w:rsidRPr="00883399">
              <w:t>O</w:t>
            </w:r>
          </w:p>
        </w:tc>
      </w:tr>
      <w:tr w:rsidR="006E1310" w:rsidRPr="00883399" w14:paraId="2B670863" w14:textId="77777777" w:rsidTr="0031057E">
        <w:tc>
          <w:tcPr>
            <w:tcW w:w="2349" w:type="dxa"/>
          </w:tcPr>
          <w:p w14:paraId="74028CAC" w14:textId="77777777" w:rsidR="006E1310" w:rsidRPr="00883399" w:rsidRDefault="006E1310" w:rsidP="0031057E">
            <w:pPr>
              <w:pStyle w:val="Text"/>
              <w:spacing w:before="120" w:line="240" w:lineRule="auto"/>
              <w:rPr>
                <w:i/>
              </w:rPr>
            </w:pPr>
            <w:r w:rsidRPr="00883399">
              <w:t>Method 1</w:t>
            </w:r>
          </w:p>
        </w:tc>
        <w:tc>
          <w:tcPr>
            <w:tcW w:w="2211" w:type="dxa"/>
          </w:tcPr>
          <w:p w14:paraId="20DB9ECB" w14:textId="77777777" w:rsidR="006E1310" w:rsidRPr="00883399" w:rsidRDefault="006E1310" w:rsidP="0031057E">
            <w:pPr>
              <w:pStyle w:val="Text"/>
              <w:spacing w:before="120" w:line="240" w:lineRule="auto"/>
            </w:pPr>
            <w:r w:rsidRPr="00883399">
              <w:t>Section 4.66</w:t>
            </w:r>
          </w:p>
        </w:tc>
        <w:tc>
          <w:tcPr>
            <w:tcW w:w="1440" w:type="dxa"/>
          </w:tcPr>
          <w:p w14:paraId="24679269" w14:textId="77777777" w:rsidR="006E1310" w:rsidRPr="00883399" w:rsidRDefault="006E1310" w:rsidP="0031057E">
            <w:pPr>
              <w:pStyle w:val="Text"/>
              <w:spacing w:before="120" w:line="240" w:lineRule="auto"/>
            </w:pPr>
            <w:r w:rsidRPr="00883399">
              <w:t>NO</w:t>
            </w:r>
          </w:p>
        </w:tc>
        <w:tc>
          <w:tcPr>
            <w:tcW w:w="1574" w:type="dxa"/>
          </w:tcPr>
          <w:p w14:paraId="3468969E" w14:textId="77777777" w:rsidR="006E1310" w:rsidRPr="00883399" w:rsidRDefault="006E1310" w:rsidP="0031057E">
            <w:pPr>
              <w:pStyle w:val="Text"/>
              <w:spacing w:before="120" w:line="240" w:lineRule="auto"/>
            </w:pPr>
            <w:r w:rsidRPr="00883399">
              <w:t>NO</w:t>
            </w:r>
          </w:p>
        </w:tc>
      </w:tr>
      <w:tr w:rsidR="006E1310" w:rsidRPr="00883399" w14:paraId="20D1948D" w14:textId="77777777" w:rsidTr="0031057E">
        <w:tc>
          <w:tcPr>
            <w:tcW w:w="2349" w:type="dxa"/>
          </w:tcPr>
          <w:p w14:paraId="2AB98167" w14:textId="77777777" w:rsidR="006E1310" w:rsidRPr="00883399" w:rsidRDefault="006E1310" w:rsidP="0031057E">
            <w:pPr>
              <w:pStyle w:val="Text"/>
              <w:spacing w:before="120" w:line="240" w:lineRule="auto"/>
            </w:pPr>
            <w:r w:rsidRPr="00883399">
              <w:t>Method 2</w:t>
            </w:r>
          </w:p>
        </w:tc>
        <w:tc>
          <w:tcPr>
            <w:tcW w:w="2211" w:type="dxa"/>
          </w:tcPr>
          <w:p w14:paraId="29A6122E" w14:textId="77777777" w:rsidR="006E1310" w:rsidRPr="00883399" w:rsidRDefault="006E1310" w:rsidP="0031057E">
            <w:pPr>
              <w:pStyle w:val="Text"/>
              <w:spacing w:before="120" w:line="240" w:lineRule="auto"/>
            </w:pPr>
            <w:r w:rsidRPr="00883399">
              <w:t>Section 4.67</w:t>
            </w:r>
          </w:p>
        </w:tc>
        <w:tc>
          <w:tcPr>
            <w:tcW w:w="1440" w:type="dxa"/>
          </w:tcPr>
          <w:p w14:paraId="6314264E" w14:textId="77777777" w:rsidR="006E1310" w:rsidRPr="00883399" w:rsidRDefault="006E1310" w:rsidP="0031057E">
            <w:pPr>
              <w:pStyle w:val="Text"/>
              <w:spacing w:before="120" w:line="240" w:lineRule="auto"/>
            </w:pPr>
            <w:r w:rsidRPr="00883399">
              <w:t>NO</w:t>
            </w:r>
          </w:p>
        </w:tc>
        <w:tc>
          <w:tcPr>
            <w:tcW w:w="1574" w:type="dxa"/>
          </w:tcPr>
          <w:p w14:paraId="170E7600" w14:textId="77777777" w:rsidR="006E1310" w:rsidRPr="00883399" w:rsidRDefault="006E1310" w:rsidP="0031057E">
            <w:pPr>
              <w:pStyle w:val="Text"/>
              <w:spacing w:before="120" w:line="240" w:lineRule="auto"/>
            </w:pPr>
            <w:r w:rsidRPr="00883399">
              <w:t>NO</w:t>
            </w:r>
          </w:p>
        </w:tc>
      </w:tr>
      <w:tr w:rsidR="006E1310" w:rsidRPr="00883399" w14:paraId="1981F21E" w14:textId="77777777" w:rsidTr="0031057E">
        <w:tc>
          <w:tcPr>
            <w:tcW w:w="2349" w:type="dxa"/>
          </w:tcPr>
          <w:p w14:paraId="233CA1B1" w14:textId="77777777" w:rsidR="006E1310" w:rsidRPr="00883399" w:rsidRDefault="006E1310" w:rsidP="0031057E">
            <w:pPr>
              <w:pStyle w:val="Text"/>
              <w:spacing w:before="120" w:line="240" w:lineRule="auto"/>
            </w:pPr>
            <w:r w:rsidRPr="00883399">
              <w:t>Method 3</w:t>
            </w:r>
          </w:p>
        </w:tc>
        <w:tc>
          <w:tcPr>
            <w:tcW w:w="2211" w:type="dxa"/>
          </w:tcPr>
          <w:p w14:paraId="6813CD2E" w14:textId="77777777" w:rsidR="006E1310" w:rsidRPr="00883399" w:rsidRDefault="006E1310" w:rsidP="0031057E">
            <w:pPr>
              <w:pStyle w:val="Text"/>
              <w:spacing w:before="120" w:line="240" w:lineRule="auto"/>
            </w:pPr>
            <w:r w:rsidRPr="00883399">
              <w:t>Section 4.68</w:t>
            </w:r>
          </w:p>
        </w:tc>
        <w:tc>
          <w:tcPr>
            <w:tcW w:w="1440" w:type="dxa"/>
          </w:tcPr>
          <w:p w14:paraId="5AB33B4C" w14:textId="77777777" w:rsidR="006E1310" w:rsidRPr="00883399" w:rsidRDefault="006E1310" w:rsidP="0031057E">
            <w:pPr>
              <w:pStyle w:val="Text"/>
              <w:spacing w:before="120" w:line="240" w:lineRule="auto"/>
            </w:pPr>
            <w:r w:rsidRPr="00883399">
              <w:t>NO</w:t>
            </w:r>
          </w:p>
        </w:tc>
        <w:tc>
          <w:tcPr>
            <w:tcW w:w="1574" w:type="dxa"/>
          </w:tcPr>
          <w:p w14:paraId="28F6A76E" w14:textId="77777777" w:rsidR="006E1310" w:rsidRPr="00883399" w:rsidRDefault="006E1310" w:rsidP="0031057E">
            <w:pPr>
              <w:pStyle w:val="Text"/>
              <w:spacing w:before="120" w:line="240" w:lineRule="auto"/>
            </w:pPr>
            <w:r w:rsidRPr="00883399">
              <w:t>NO</w:t>
            </w:r>
          </w:p>
        </w:tc>
      </w:tr>
      <w:tr w:rsidR="006E1310" w:rsidRPr="00883399" w14:paraId="1D580521" w14:textId="77777777" w:rsidTr="0031057E">
        <w:tc>
          <w:tcPr>
            <w:tcW w:w="2349" w:type="dxa"/>
          </w:tcPr>
          <w:p w14:paraId="2932237E" w14:textId="77777777" w:rsidR="006E1310" w:rsidRPr="00883399" w:rsidRDefault="006E1310" w:rsidP="0031057E">
            <w:pPr>
              <w:pStyle w:val="Text"/>
              <w:spacing w:before="120" w:line="240" w:lineRule="auto"/>
            </w:pPr>
            <w:r w:rsidRPr="00883399">
              <w:t>Method 4</w:t>
            </w:r>
          </w:p>
        </w:tc>
        <w:tc>
          <w:tcPr>
            <w:tcW w:w="2211" w:type="dxa"/>
          </w:tcPr>
          <w:p w14:paraId="03887444" w14:textId="77777777" w:rsidR="006E1310" w:rsidRPr="00883399" w:rsidRDefault="006E1310" w:rsidP="0031057E">
            <w:pPr>
              <w:pStyle w:val="Text"/>
              <w:spacing w:before="120" w:line="240" w:lineRule="auto"/>
            </w:pPr>
            <w:r w:rsidRPr="00883399">
              <w:t>Method 4 under Part 1.3</w:t>
            </w:r>
          </w:p>
        </w:tc>
        <w:tc>
          <w:tcPr>
            <w:tcW w:w="1440" w:type="dxa"/>
          </w:tcPr>
          <w:p w14:paraId="24E0FFDD" w14:textId="77777777" w:rsidR="006E1310" w:rsidRPr="00883399" w:rsidRDefault="006E1310" w:rsidP="0031057E">
            <w:pPr>
              <w:pStyle w:val="Text"/>
              <w:spacing w:before="120" w:line="240" w:lineRule="auto"/>
            </w:pPr>
            <w:r w:rsidRPr="00883399">
              <w:t>NO</w:t>
            </w:r>
          </w:p>
        </w:tc>
        <w:tc>
          <w:tcPr>
            <w:tcW w:w="1574" w:type="dxa"/>
          </w:tcPr>
          <w:p w14:paraId="66C48CBC" w14:textId="77777777" w:rsidR="006E1310" w:rsidRPr="00883399" w:rsidRDefault="006E1310" w:rsidP="0031057E">
            <w:pPr>
              <w:pStyle w:val="Text"/>
              <w:spacing w:before="120" w:line="240" w:lineRule="auto"/>
            </w:pPr>
            <w:r w:rsidRPr="00883399">
              <w:t>NO</w:t>
            </w:r>
          </w:p>
        </w:tc>
      </w:tr>
    </w:tbl>
    <w:p w14:paraId="54C98DFE" w14:textId="77777777" w:rsidR="006E1310" w:rsidRPr="00883399" w:rsidRDefault="006E1310" w:rsidP="006E1310">
      <w:pPr>
        <w:pStyle w:val="R2"/>
        <w:ind w:hanging="62"/>
        <w:rPr>
          <w:sz w:val="20"/>
          <w:szCs w:val="20"/>
        </w:rPr>
      </w:pPr>
      <w:r w:rsidRPr="00883399">
        <w:rPr>
          <w:sz w:val="20"/>
          <w:szCs w:val="20"/>
        </w:rPr>
        <w:t>NA = Not available.  NO = Not occurring.</w:t>
      </w:r>
    </w:p>
    <w:p w14:paraId="53591C4B" w14:textId="77777777" w:rsidR="006E1310" w:rsidRPr="00883399" w:rsidRDefault="006E1310" w:rsidP="00872C03">
      <w:pPr>
        <w:pStyle w:val="subsection"/>
        <w:rPr>
          <w:sz w:val="24"/>
        </w:rPr>
      </w:pPr>
    </w:p>
    <w:p w14:paraId="1C9F4CFA" w14:textId="70BFC2DB" w:rsidR="00872C03" w:rsidRPr="00883399" w:rsidRDefault="00872C03" w:rsidP="00872C03">
      <w:pPr>
        <w:pStyle w:val="ActHead5"/>
        <w:rPr>
          <w:sz w:val="28"/>
        </w:rPr>
      </w:pPr>
      <w:bookmarkStart w:id="965" w:name="_Toc423517079"/>
      <w:bookmarkStart w:id="966" w:name="_Toc495653011"/>
      <w:r w:rsidRPr="00883399">
        <w:rPr>
          <w:rStyle w:val="CharSectno"/>
          <w:sz w:val="28"/>
        </w:rPr>
        <w:t>4.66</w:t>
      </w:r>
      <w:r w:rsidRPr="00883399">
        <w:rPr>
          <w:sz w:val="28"/>
        </w:rPr>
        <w:t xml:space="preserve">  Method 1—production of a metal from an integrated metalworks</w:t>
      </w:r>
      <w:bookmarkEnd w:id="965"/>
      <w:bookmarkEnd w:id="966"/>
    </w:p>
    <w:p w14:paraId="2658E398" w14:textId="77777777" w:rsidR="006E1310" w:rsidRPr="00883399" w:rsidRDefault="006E1310" w:rsidP="006E1310">
      <w:pPr>
        <w:pStyle w:val="R1"/>
        <w:keepLines w:val="0"/>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Method 1 sets out the estimation of emissions from a facility producing both a metal and coke. It specifies that emissions should be estimated using a carbon mass balance approach for the facility as a whole.  Method 1 utilises carbon content factors listed in Appendix A (Schedule 3 in the Determination). These carbon content factors are derived directly from the carbon dioxide emission factors listed in Chapter 2.  There are no carbon content factors specified for products or for waste by-products.  It is intended that these should be estimated by industry based on the principles of Section 1.13, namely transparency, comparability, accuracy and completeness.</w:t>
      </w:r>
    </w:p>
    <w:p w14:paraId="3B2010B7" w14:textId="77777777" w:rsidR="006E1310" w:rsidRPr="00883399" w:rsidRDefault="006E1310" w:rsidP="006E1310">
      <w:pPr>
        <w:pStyle w:val="R1"/>
        <w:keepLines w:val="0"/>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The carbon mass balance approach requires fuels to be estimated based on quantities of fuels delivered rather than consumed.  Criteria AA or AAA cannot be utilised as changes in stocks of fuels are explicitly taken into account in the mass balance estimation directly.    </w:t>
      </w:r>
    </w:p>
    <w:p w14:paraId="582E15CB" w14:textId="77777777" w:rsidR="006E1310" w:rsidRPr="00883399" w:rsidRDefault="006E1310" w:rsidP="006E1310">
      <w:pPr>
        <w:pStyle w:val="R2"/>
      </w:pPr>
    </w:p>
    <w:p w14:paraId="7B06FA5D" w14:textId="77777777" w:rsidR="006E1310" w:rsidRPr="00883399" w:rsidRDefault="006E1310" w:rsidP="006E1310">
      <w:pPr>
        <w:pStyle w:val="R2"/>
      </w:pPr>
    </w:p>
    <w:p w14:paraId="55BFB805" w14:textId="77777777" w:rsidR="006E1310" w:rsidRPr="00883399" w:rsidRDefault="006E1310" w:rsidP="006E1310">
      <w:pPr>
        <w:pStyle w:val="R2"/>
      </w:pPr>
    </w:p>
    <w:p w14:paraId="370389EF" w14:textId="77777777" w:rsidR="006E1310" w:rsidRPr="00883399" w:rsidRDefault="006E1310" w:rsidP="006E1310">
      <w:pPr>
        <w:pStyle w:val="R2"/>
      </w:pPr>
    </w:p>
    <w:p w14:paraId="1DCF61CE" w14:textId="77777777" w:rsidR="006E1310" w:rsidRPr="00883399" w:rsidRDefault="006E1310" w:rsidP="006E1310">
      <w:pPr>
        <w:pStyle w:val="R2"/>
      </w:pPr>
    </w:p>
    <w:p w14:paraId="37E7D65B" w14:textId="77777777" w:rsidR="006E1310" w:rsidRPr="00883399" w:rsidRDefault="006E1310" w:rsidP="006E1310">
      <w:pPr>
        <w:pStyle w:val="R2"/>
      </w:pPr>
    </w:p>
    <w:p w14:paraId="54173594" w14:textId="77777777" w:rsidR="006F49AC" w:rsidRPr="00883399" w:rsidRDefault="00872C03" w:rsidP="006F49AC">
      <w:pPr>
        <w:pStyle w:val="subsection"/>
        <w:rPr>
          <w:sz w:val="24"/>
        </w:rPr>
      </w:pPr>
      <w:r w:rsidRPr="00883399">
        <w:rPr>
          <w:sz w:val="24"/>
        </w:rPr>
        <w:tab/>
      </w:r>
      <w:bookmarkStart w:id="967" w:name="_Toc423517080"/>
      <w:r w:rsidR="006F49AC" w:rsidRPr="00883399">
        <w:rPr>
          <w:sz w:val="24"/>
        </w:rPr>
        <w:tab/>
        <w:t>Method 1, based on a carbon mass balance approach, is:</w:t>
      </w:r>
    </w:p>
    <w:tbl>
      <w:tblPr>
        <w:tblW w:w="5000" w:type="pct"/>
        <w:tblLook w:val="0000" w:firstRow="0" w:lastRow="0" w:firstColumn="0" w:lastColumn="0" w:noHBand="0" w:noVBand="0"/>
      </w:tblPr>
      <w:tblGrid>
        <w:gridCol w:w="969"/>
        <w:gridCol w:w="7344"/>
      </w:tblGrid>
      <w:tr w:rsidR="006F49AC" w:rsidRPr="00883399" w14:paraId="29223346" w14:textId="77777777" w:rsidTr="006F49AC">
        <w:trPr>
          <w:cantSplit/>
          <w:trHeight w:val="80"/>
        </w:trPr>
        <w:tc>
          <w:tcPr>
            <w:tcW w:w="583" w:type="pct"/>
          </w:tcPr>
          <w:p w14:paraId="196F4469" w14:textId="77777777" w:rsidR="006F49AC" w:rsidRPr="00883399" w:rsidRDefault="006F49AC" w:rsidP="006F49AC">
            <w:pPr>
              <w:spacing w:before="60" w:after="60"/>
            </w:pPr>
            <w:r w:rsidRPr="00883399">
              <w:t>Step 1</w:t>
            </w:r>
          </w:p>
        </w:tc>
        <w:tc>
          <w:tcPr>
            <w:tcW w:w="4417" w:type="pct"/>
          </w:tcPr>
          <w:p w14:paraId="5CA03B39" w14:textId="77777777" w:rsidR="006F49AC" w:rsidRPr="00883399" w:rsidRDefault="006F49AC" w:rsidP="006F49AC">
            <w:pPr>
              <w:pStyle w:val="Tabletext0"/>
              <w:rPr>
                <w:sz w:val="22"/>
              </w:rPr>
            </w:pPr>
            <w:r w:rsidRPr="00883399">
              <w:rPr>
                <w:sz w:val="22"/>
              </w:rPr>
              <w:t>Calculate the carbon content in fuel types (</w:t>
            </w:r>
            <w:r w:rsidRPr="00883399">
              <w:rPr>
                <w:b/>
                <w:i/>
                <w:sz w:val="22"/>
              </w:rPr>
              <w:t>i</w:t>
            </w:r>
            <w:r w:rsidRPr="00883399">
              <w:rPr>
                <w:sz w:val="22"/>
              </w:rPr>
              <w:t>) and carbonaceous input materials (</w:t>
            </w:r>
            <w:r w:rsidRPr="00883399">
              <w:rPr>
                <w:b/>
                <w:i/>
                <w:sz w:val="22"/>
              </w:rPr>
              <w:t>i</w:t>
            </w:r>
            <w:r w:rsidRPr="00883399">
              <w:rPr>
                <w:sz w:val="22"/>
              </w:rPr>
              <w:t>) delivered for the activity during the year measured in tonnes of carbon as follows:</w:t>
            </w:r>
          </w:p>
          <w:p w14:paraId="0A0CD3B3" w14:textId="77777777" w:rsidR="006F49AC" w:rsidRPr="00883399" w:rsidRDefault="006F49AC" w:rsidP="006F49AC">
            <w:pPr>
              <w:pStyle w:val="TableText"/>
              <w:rPr>
                <w:sz w:val="24"/>
              </w:rPr>
            </w:pPr>
            <w:r w:rsidRPr="00883399">
              <w:rPr>
                <w:position w:val="-14"/>
                <w:sz w:val="24"/>
              </w:rPr>
              <w:object w:dxaOrig="1400" w:dyaOrig="480" w14:anchorId="3608B8F7">
                <v:shape id="_x0000_i1075" type="#_x0000_t75" style="width:69pt;height:24pt" o:ole="">
                  <v:imagedata r:id="rId216" o:title=""/>
                </v:shape>
                <o:OLEObject Type="Embed" ProgID="Equation.DSMT4" ShapeID="_x0000_i1075" DrawAspect="Content" ObjectID="_1594105966" r:id="rId217"/>
              </w:object>
            </w:r>
          </w:p>
        </w:tc>
      </w:tr>
      <w:tr w:rsidR="006F49AC" w:rsidRPr="00883399" w14:paraId="6C1CE1F2" w14:textId="77777777" w:rsidTr="006F49AC">
        <w:trPr>
          <w:cantSplit/>
          <w:trHeight w:val="80"/>
        </w:trPr>
        <w:tc>
          <w:tcPr>
            <w:tcW w:w="583" w:type="pct"/>
          </w:tcPr>
          <w:p w14:paraId="2015D594" w14:textId="77777777" w:rsidR="006F49AC" w:rsidRPr="00883399" w:rsidRDefault="006F49AC" w:rsidP="006F49AC">
            <w:pPr>
              <w:spacing w:before="60" w:after="60"/>
            </w:pPr>
          </w:p>
        </w:tc>
        <w:tc>
          <w:tcPr>
            <w:tcW w:w="4417" w:type="pct"/>
          </w:tcPr>
          <w:p w14:paraId="00AF5DBF" w14:textId="77777777" w:rsidR="006F49AC" w:rsidRPr="00883399" w:rsidRDefault="006F49AC" w:rsidP="006F49AC">
            <w:pPr>
              <w:pStyle w:val="Tabletext0"/>
              <w:rPr>
                <w:sz w:val="22"/>
              </w:rPr>
            </w:pPr>
            <w:r w:rsidRPr="00883399">
              <w:rPr>
                <w:sz w:val="22"/>
              </w:rPr>
              <w:t>where:</w:t>
            </w:r>
          </w:p>
          <w:p w14:paraId="62AC06BB" w14:textId="77777777" w:rsidR="006F49AC" w:rsidRPr="00883399" w:rsidRDefault="006F49AC" w:rsidP="006F49AC">
            <w:pPr>
              <w:pStyle w:val="Tabletext0"/>
              <w:rPr>
                <w:sz w:val="22"/>
              </w:rPr>
            </w:pPr>
            <w:r w:rsidRPr="00883399">
              <w:rPr>
                <w:rFonts w:ascii="Symbol" w:hAnsi="Symbol"/>
                <w:b/>
                <w:i/>
                <w:sz w:val="22"/>
              </w:rPr>
              <w:t></w:t>
            </w:r>
            <w:r w:rsidRPr="00883399">
              <w:rPr>
                <w:b/>
                <w:i/>
                <w:sz w:val="22"/>
                <w:vertAlign w:val="subscript"/>
              </w:rPr>
              <w:t xml:space="preserve">i </w:t>
            </w:r>
            <w:r w:rsidRPr="00883399">
              <w:rPr>
                <w:sz w:val="22"/>
              </w:rPr>
              <w:t>means sum the carbon content values obtained for all fuel types (</w:t>
            </w:r>
            <w:r w:rsidRPr="00883399">
              <w:rPr>
                <w:b/>
                <w:i/>
                <w:sz w:val="22"/>
              </w:rPr>
              <w:t>i</w:t>
            </w:r>
            <w:r w:rsidRPr="00883399">
              <w:rPr>
                <w:sz w:val="22"/>
              </w:rPr>
              <w:t>) and carbonaceous input materials (</w:t>
            </w:r>
            <w:r w:rsidRPr="00883399">
              <w:rPr>
                <w:b/>
                <w:i/>
                <w:sz w:val="22"/>
              </w:rPr>
              <w:t>i</w:t>
            </w:r>
            <w:r w:rsidRPr="00883399">
              <w:rPr>
                <w:sz w:val="22"/>
              </w:rPr>
              <w:t>).</w:t>
            </w:r>
          </w:p>
          <w:p w14:paraId="7C8B236D" w14:textId="77777777" w:rsidR="006F49AC" w:rsidRPr="00883399" w:rsidRDefault="006F49AC" w:rsidP="006F49AC">
            <w:pPr>
              <w:pStyle w:val="Tabletext0"/>
              <w:rPr>
                <w:b/>
                <w:i/>
                <w:sz w:val="22"/>
              </w:rPr>
            </w:pPr>
            <w:r w:rsidRPr="00883399">
              <w:rPr>
                <w:b/>
                <w:i/>
                <w:sz w:val="22"/>
              </w:rPr>
              <w:t>CCF</w:t>
            </w:r>
            <w:r w:rsidRPr="00883399">
              <w:rPr>
                <w:b/>
                <w:i/>
                <w:sz w:val="22"/>
                <w:vertAlign w:val="subscript"/>
              </w:rPr>
              <w:t xml:space="preserve">i </w:t>
            </w:r>
            <w:r w:rsidRPr="00883399">
              <w:rPr>
                <w:sz w:val="22"/>
              </w:rPr>
              <w:t>is the carbon content factor measured in tonnes of carbon for each appropriate unit of fuel type (</w:t>
            </w:r>
            <w:r w:rsidRPr="00883399">
              <w:rPr>
                <w:b/>
                <w:i/>
                <w:sz w:val="22"/>
              </w:rPr>
              <w:t>i</w:t>
            </w:r>
            <w:r w:rsidRPr="00883399">
              <w:rPr>
                <w:sz w:val="22"/>
              </w:rPr>
              <w:t>) mentioned in Schedule 3 or carbonaceous input material (</w:t>
            </w:r>
            <w:r w:rsidRPr="00883399">
              <w:rPr>
                <w:b/>
                <w:i/>
                <w:sz w:val="22"/>
              </w:rPr>
              <w:t>i</w:t>
            </w:r>
            <w:r w:rsidRPr="00883399">
              <w:rPr>
                <w:sz w:val="22"/>
              </w:rPr>
              <w:t>) consumed during the year from the operation of the activity.</w:t>
            </w:r>
          </w:p>
          <w:p w14:paraId="00DAFCB2" w14:textId="77777777" w:rsidR="006F49AC" w:rsidRPr="00883399" w:rsidRDefault="006F49AC" w:rsidP="006F49AC">
            <w:pPr>
              <w:pStyle w:val="TableText"/>
              <w:rPr>
                <w:sz w:val="24"/>
              </w:rPr>
            </w:pPr>
            <w:r w:rsidRPr="00883399">
              <w:rPr>
                <w:b/>
                <w:i/>
                <w:sz w:val="24"/>
              </w:rPr>
              <w:t>Q</w:t>
            </w:r>
            <w:r w:rsidRPr="00883399">
              <w:rPr>
                <w:b/>
                <w:i/>
                <w:sz w:val="24"/>
                <w:vertAlign w:val="subscript"/>
              </w:rPr>
              <w:t xml:space="preserve">i </w:t>
            </w:r>
            <w:r w:rsidRPr="00883399">
              <w:rPr>
                <w:sz w:val="24"/>
              </w:rPr>
              <w:t>is the quantity of fuel type (</w:t>
            </w:r>
            <w:r w:rsidRPr="00883399">
              <w:rPr>
                <w:b/>
                <w:i/>
                <w:sz w:val="24"/>
              </w:rPr>
              <w:t>i</w:t>
            </w:r>
            <w:r w:rsidRPr="00883399">
              <w:rPr>
                <w:sz w:val="24"/>
              </w:rPr>
              <w:t>) or carbonaceous input material (</w:t>
            </w:r>
            <w:r w:rsidRPr="00883399">
              <w:rPr>
                <w:b/>
                <w:i/>
                <w:sz w:val="24"/>
              </w:rPr>
              <w:t>i</w:t>
            </w:r>
            <w:r w:rsidRPr="00883399">
              <w:rPr>
                <w:sz w:val="24"/>
              </w:rPr>
              <w:t>) delivered for the activity during the year measured in an appropriate unit and estimated in accordance with criterion A in Divisions 2.2.5, 2.3.6, 2.4.6 and 4.2.5.</w:t>
            </w:r>
          </w:p>
        </w:tc>
      </w:tr>
      <w:tr w:rsidR="006F49AC" w:rsidRPr="00883399" w14:paraId="4E5CDD11" w14:textId="77777777" w:rsidTr="006F49AC">
        <w:trPr>
          <w:cantSplit/>
        </w:trPr>
        <w:tc>
          <w:tcPr>
            <w:tcW w:w="583" w:type="pct"/>
            <w:vMerge w:val="restart"/>
          </w:tcPr>
          <w:p w14:paraId="2B150457" w14:textId="77777777" w:rsidR="006F49AC" w:rsidRPr="00883399" w:rsidRDefault="006F49AC" w:rsidP="006F49AC">
            <w:pPr>
              <w:spacing w:before="60" w:after="60"/>
            </w:pPr>
            <w:r w:rsidRPr="00883399">
              <w:t>Step 2</w:t>
            </w:r>
          </w:p>
        </w:tc>
        <w:tc>
          <w:tcPr>
            <w:tcW w:w="4417" w:type="pct"/>
          </w:tcPr>
          <w:p w14:paraId="6054538C" w14:textId="77777777" w:rsidR="006F49AC" w:rsidRPr="00883399" w:rsidRDefault="006F49AC" w:rsidP="006F49AC">
            <w:pPr>
              <w:pStyle w:val="TableText"/>
              <w:rPr>
                <w:sz w:val="24"/>
              </w:rPr>
            </w:pPr>
            <w:r w:rsidRPr="00883399">
              <w:rPr>
                <w:sz w:val="24"/>
              </w:rPr>
              <w:t>Calculate the carbon content in products (</w:t>
            </w:r>
            <w:r w:rsidRPr="00883399">
              <w:rPr>
                <w:b/>
                <w:i/>
                <w:sz w:val="24"/>
              </w:rPr>
              <w:t>p</w:t>
            </w:r>
            <w:r w:rsidRPr="00883399">
              <w:rPr>
                <w:sz w:val="24"/>
              </w:rPr>
              <w:t>) leaving the activity during the year measured in tonnes of carbon as follows:</w:t>
            </w:r>
          </w:p>
          <w:p w14:paraId="1E1608D0" w14:textId="77777777" w:rsidR="006F49AC" w:rsidRPr="00883399" w:rsidRDefault="006F49AC" w:rsidP="006F49AC">
            <w:pPr>
              <w:pStyle w:val="Formula"/>
              <w:rPr>
                <w:sz w:val="22"/>
              </w:rPr>
            </w:pPr>
            <w:r w:rsidRPr="00883399">
              <w:rPr>
                <w:noProof/>
                <w:sz w:val="22"/>
              </w:rPr>
              <w:drawing>
                <wp:inline distT="0" distB="0" distL="0" distR="0" wp14:anchorId="07ACB666" wp14:editId="07DE124B">
                  <wp:extent cx="981075" cy="200025"/>
                  <wp:effectExtent l="0" t="0" r="9525" b="9525"/>
                  <wp:docPr id="4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p>
        </w:tc>
      </w:tr>
      <w:tr w:rsidR="006F49AC" w:rsidRPr="00883399" w14:paraId="6EA145A1" w14:textId="77777777" w:rsidTr="006F49AC">
        <w:trPr>
          <w:cantSplit/>
        </w:trPr>
        <w:tc>
          <w:tcPr>
            <w:tcW w:w="583" w:type="pct"/>
            <w:vMerge/>
          </w:tcPr>
          <w:p w14:paraId="5B99B648" w14:textId="77777777" w:rsidR="006F49AC" w:rsidRPr="00883399" w:rsidRDefault="006F49AC" w:rsidP="006F49AC">
            <w:pPr>
              <w:spacing w:before="60" w:after="60"/>
            </w:pPr>
          </w:p>
        </w:tc>
        <w:tc>
          <w:tcPr>
            <w:tcW w:w="4417" w:type="pct"/>
          </w:tcPr>
          <w:p w14:paraId="32F2D195" w14:textId="77777777" w:rsidR="006F49AC" w:rsidRPr="00883399" w:rsidRDefault="006F49AC" w:rsidP="006F49AC">
            <w:pPr>
              <w:pStyle w:val="TableText"/>
              <w:rPr>
                <w:sz w:val="24"/>
              </w:rPr>
            </w:pPr>
            <w:r w:rsidRPr="00883399">
              <w:rPr>
                <w:sz w:val="24"/>
              </w:rPr>
              <w:t>where:</w:t>
            </w:r>
          </w:p>
          <w:p w14:paraId="285F0A69" w14:textId="77777777" w:rsidR="006F49AC" w:rsidRPr="00883399" w:rsidRDefault="006F49AC" w:rsidP="006F49AC">
            <w:pPr>
              <w:pStyle w:val="TableText"/>
              <w:rPr>
                <w:sz w:val="24"/>
              </w:rPr>
            </w:pPr>
            <w:r w:rsidRPr="00883399">
              <w:rPr>
                <w:rFonts w:ascii="Symbol" w:hAnsi="Symbol"/>
                <w:b/>
                <w:i/>
                <w:sz w:val="24"/>
              </w:rPr>
              <w:t></w:t>
            </w:r>
            <w:r w:rsidRPr="00883399">
              <w:rPr>
                <w:b/>
                <w:i/>
                <w:sz w:val="24"/>
                <w:vertAlign w:val="subscript"/>
              </w:rPr>
              <w:t xml:space="preserve">p </w:t>
            </w:r>
            <w:r w:rsidRPr="00883399">
              <w:rPr>
                <w:sz w:val="24"/>
              </w:rPr>
              <w:t>means sum the carbon content values obtained for all product types (</w:t>
            </w:r>
            <w:r w:rsidRPr="00883399">
              <w:rPr>
                <w:b/>
                <w:i/>
                <w:sz w:val="24"/>
              </w:rPr>
              <w:t>p</w:t>
            </w:r>
            <w:r w:rsidRPr="00883399">
              <w:rPr>
                <w:sz w:val="24"/>
              </w:rPr>
              <w:t>).</w:t>
            </w:r>
          </w:p>
          <w:p w14:paraId="611F2A58" w14:textId="77777777" w:rsidR="006F49AC" w:rsidRPr="00883399" w:rsidRDefault="006F49AC" w:rsidP="006F49AC">
            <w:pPr>
              <w:pStyle w:val="TableText"/>
              <w:rPr>
                <w:iCs/>
                <w:sz w:val="24"/>
              </w:rPr>
            </w:pPr>
            <w:r w:rsidRPr="00883399">
              <w:rPr>
                <w:b/>
                <w:i/>
                <w:iCs/>
                <w:sz w:val="24"/>
              </w:rPr>
              <w:t>CCF</w:t>
            </w:r>
            <w:r w:rsidRPr="00883399">
              <w:rPr>
                <w:b/>
                <w:i/>
                <w:iCs/>
                <w:sz w:val="24"/>
                <w:vertAlign w:val="subscript"/>
              </w:rPr>
              <w:t>p</w:t>
            </w:r>
            <w:r w:rsidRPr="00883399">
              <w:rPr>
                <w:iCs/>
                <w:sz w:val="24"/>
              </w:rPr>
              <w:t xml:space="preserve"> is the carbon content factor measured in tonnes of carbon for each tonne of product type</w:t>
            </w:r>
            <w:r w:rsidRPr="00883399">
              <w:rPr>
                <w:b/>
                <w:i/>
                <w:iCs/>
                <w:sz w:val="24"/>
              </w:rPr>
              <w:t xml:space="preserve"> </w:t>
            </w:r>
            <w:r w:rsidRPr="00883399">
              <w:rPr>
                <w:iCs/>
                <w:sz w:val="24"/>
              </w:rPr>
              <w:t>(</w:t>
            </w:r>
            <w:r w:rsidRPr="00883399">
              <w:rPr>
                <w:b/>
                <w:i/>
                <w:iCs/>
                <w:sz w:val="24"/>
              </w:rPr>
              <w:t>p</w:t>
            </w:r>
            <w:r w:rsidRPr="00883399">
              <w:rPr>
                <w:iCs/>
                <w:sz w:val="24"/>
              </w:rPr>
              <w:t>) produced during the year.</w:t>
            </w:r>
          </w:p>
          <w:p w14:paraId="03A867C3" w14:textId="77777777" w:rsidR="006F49AC" w:rsidRPr="00883399" w:rsidRDefault="006F49AC" w:rsidP="006F49AC">
            <w:pPr>
              <w:pStyle w:val="TableText"/>
              <w:rPr>
                <w:sz w:val="24"/>
              </w:rPr>
            </w:pPr>
            <w:r w:rsidRPr="00883399">
              <w:rPr>
                <w:b/>
                <w:i/>
                <w:sz w:val="24"/>
              </w:rPr>
              <w:t>A</w:t>
            </w:r>
            <w:r w:rsidRPr="00883399">
              <w:rPr>
                <w:b/>
                <w:i/>
                <w:sz w:val="24"/>
                <w:vertAlign w:val="subscript"/>
              </w:rPr>
              <w:t xml:space="preserve">p </w:t>
            </w:r>
            <w:r w:rsidRPr="00883399">
              <w:rPr>
                <w:sz w:val="24"/>
              </w:rPr>
              <w:t>is the quantity of product types (</w:t>
            </w:r>
            <w:r w:rsidRPr="00883399">
              <w:rPr>
                <w:b/>
                <w:i/>
                <w:sz w:val="24"/>
              </w:rPr>
              <w:t>p</w:t>
            </w:r>
            <w:r w:rsidRPr="00883399">
              <w:rPr>
                <w:sz w:val="24"/>
              </w:rPr>
              <w:t>) produced leaving the activity during the year measured in tonnes.</w:t>
            </w:r>
          </w:p>
        </w:tc>
      </w:tr>
      <w:tr w:rsidR="006F49AC" w:rsidRPr="00883399" w14:paraId="47147786" w14:textId="77777777" w:rsidTr="006F49AC">
        <w:trPr>
          <w:cantSplit/>
        </w:trPr>
        <w:tc>
          <w:tcPr>
            <w:tcW w:w="583" w:type="pct"/>
            <w:vMerge w:val="restart"/>
          </w:tcPr>
          <w:p w14:paraId="3BF92E9E" w14:textId="77777777" w:rsidR="006F49AC" w:rsidRPr="00883399" w:rsidRDefault="006F49AC" w:rsidP="006F49AC">
            <w:pPr>
              <w:spacing w:before="60" w:after="60"/>
            </w:pPr>
            <w:r w:rsidRPr="00883399">
              <w:t>Step 3</w:t>
            </w:r>
          </w:p>
        </w:tc>
        <w:tc>
          <w:tcPr>
            <w:tcW w:w="4417" w:type="pct"/>
          </w:tcPr>
          <w:p w14:paraId="617E4A6C" w14:textId="77777777" w:rsidR="006F49AC" w:rsidRPr="00883399" w:rsidRDefault="006F49AC" w:rsidP="006F49AC">
            <w:pPr>
              <w:pStyle w:val="TableText"/>
              <w:rPr>
                <w:iCs/>
                <w:sz w:val="24"/>
              </w:rPr>
            </w:pPr>
            <w:r w:rsidRPr="00883399">
              <w:rPr>
                <w:iCs/>
                <w:sz w:val="24"/>
              </w:rPr>
              <w:t xml:space="preserve">Calculate </w:t>
            </w:r>
            <w:r w:rsidRPr="00883399">
              <w:rPr>
                <w:sz w:val="24"/>
              </w:rPr>
              <w:t xml:space="preserve">the carbon content in </w:t>
            </w:r>
            <w:r w:rsidRPr="00883399">
              <w:rPr>
                <w:iCs/>
                <w:sz w:val="24"/>
              </w:rPr>
              <w:t>waste by</w:t>
            </w:r>
            <w:r w:rsidRPr="00883399">
              <w:rPr>
                <w:iCs/>
                <w:sz w:val="24"/>
              </w:rPr>
              <w:noBreakHyphen/>
              <w:t xml:space="preserve">product types </w:t>
            </w:r>
            <w:r w:rsidRPr="00883399">
              <w:rPr>
                <w:b/>
                <w:i/>
                <w:sz w:val="24"/>
              </w:rPr>
              <w:t xml:space="preserve">(r) </w:t>
            </w:r>
            <w:r w:rsidRPr="00883399">
              <w:rPr>
                <w:sz w:val="24"/>
              </w:rPr>
              <w:t>leaving the activity,</w:t>
            </w:r>
            <w:r w:rsidRPr="00883399">
              <w:rPr>
                <w:iCs/>
                <w:sz w:val="24"/>
              </w:rPr>
              <w:t xml:space="preserve"> other than as an emission of greenhouse gas, during the year, </w:t>
            </w:r>
            <w:r w:rsidRPr="00883399">
              <w:rPr>
                <w:sz w:val="24"/>
              </w:rPr>
              <w:t xml:space="preserve">measured in tonnes of carbon, </w:t>
            </w:r>
            <w:r w:rsidRPr="00883399">
              <w:rPr>
                <w:iCs/>
                <w:sz w:val="24"/>
              </w:rPr>
              <w:t>as follows:</w:t>
            </w:r>
          </w:p>
          <w:p w14:paraId="44FA0812" w14:textId="77777777" w:rsidR="006F49AC" w:rsidRPr="00883399" w:rsidRDefault="006F49AC" w:rsidP="006F49AC">
            <w:pPr>
              <w:pStyle w:val="Formula"/>
              <w:ind w:left="13"/>
              <w:rPr>
                <w:sz w:val="22"/>
              </w:rPr>
            </w:pPr>
            <w:r w:rsidRPr="00883399">
              <w:rPr>
                <w:noProof/>
                <w:sz w:val="22"/>
              </w:rPr>
              <w:drawing>
                <wp:inline distT="0" distB="0" distL="0" distR="0" wp14:anchorId="6D70734D" wp14:editId="0E0449AF">
                  <wp:extent cx="933450" cy="190500"/>
                  <wp:effectExtent l="0" t="0" r="0" b="0"/>
                  <wp:docPr id="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933450" cy="190500"/>
                          </a:xfrm>
                          <a:prstGeom prst="rect">
                            <a:avLst/>
                          </a:prstGeom>
                          <a:noFill/>
                          <a:ln>
                            <a:noFill/>
                          </a:ln>
                        </pic:spPr>
                      </pic:pic>
                    </a:graphicData>
                  </a:graphic>
                </wp:inline>
              </w:drawing>
            </w:r>
          </w:p>
        </w:tc>
      </w:tr>
      <w:tr w:rsidR="006F49AC" w:rsidRPr="00883399" w14:paraId="327A0C69" w14:textId="77777777" w:rsidTr="006F49AC">
        <w:trPr>
          <w:cantSplit/>
        </w:trPr>
        <w:tc>
          <w:tcPr>
            <w:tcW w:w="583" w:type="pct"/>
            <w:vMerge/>
          </w:tcPr>
          <w:p w14:paraId="773A397A" w14:textId="77777777" w:rsidR="006F49AC" w:rsidRPr="00883399" w:rsidRDefault="006F49AC" w:rsidP="006F49AC">
            <w:pPr>
              <w:spacing w:before="60" w:after="60"/>
            </w:pPr>
          </w:p>
        </w:tc>
        <w:tc>
          <w:tcPr>
            <w:tcW w:w="4417" w:type="pct"/>
          </w:tcPr>
          <w:p w14:paraId="0FBBE972" w14:textId="77777777" w:rsidR="006F49AC" w:rsidRPr="00883399" w:rsidRDefault="006F49AC" w:rsidP="006F49AC">
            <w:pPr>
              <w:pStyle w:val="TableText"/>
              <w:rPr>
                <w:sz w:val="24"/>
              </w:rPr>
            </w:pPr>
            <w:r w:rsidRPr="00883399">
              <w:rPr>
                <w:sz w:val="24"/>
              </w:rPr>
              <w:t>where:</w:t>
            </w:r>
          </w:p>
          <w:p w14:paraId="36F77216" w14:textId="77777777" w:rsidR="006F49AC" w:rsidRPr="00883399" w:rsidRDefault="006F49AC" w:rsidP="006F49AC">
            <w:pPr>
              <w:pStyle w:val="TableText"/>
              <w:rPr>
                <w:sz w:val="24"/>
              </w:rPr>
            </w:pPr>
            <w:r w:rsidRPr="00883399">
              <w:rPr>
                <w:rFonts w:ascii="Symbol" w:hAnsi="Symbol"/>
                <w:b/>
                <w:i/>
                <w:sz w:val="24"/>
              </w:rPr>
              <w:t></w:t>
            </w:r>
            <w:r w:rsidRPr="00883399">
              <w:rPr>
                <w:b/>
                <w:i/>
                <w:sz w:val="24"/>
                <w:vertAlign w:val="subscript"/>
              </w:rPr>
              <w:t xml:space="preserve">r </w:t>
            </w:r>
            <w:r w:rsidRPr="00883399">
              <w:rPr>
                <w:sz w:val="24"/>
              </w:rPr>
              <w:t>means sum the carbon content values obtained for all waste by</w:t>
            </w:r>
            <w:r w:rsidRPr="00883399">
              <w:rPr>
                <w:sz w:val="24"/>
              </w:rPr>
              <w:noBreakHyphen/>
              <w:t>product types (</w:t>
            </w:r>
            <w:r w:rsidRPr="00883399">
              <w:rPr>
                <w:b/>
                <w:i/>
                <w:sz w:val="24"/>
              </w:rPr>
              <w:t>r</w:t>
            </w:r>
            <w:r w:rsidRPr="00883399">
              <w:rPr>
                <w:sz w:val="24"/>
              </w:rPr>
              <w:t>).</w:t>
            </w:r>
          </w:p>
          <w:p w14:paraId="4DE08E42" w14:textId="77777777" w:rsidR="006F49AC" w:rsidRPr="00883399" w:rsidRDefault="006F49AC" w:rsidP="006F49AC">
            <w:pPr>
              <w:pStyle w:val="TableText"/>
              <w:rPr>
                <w:iCs/>
                <w:sz w:val="24"/>
              </w:rPr>
            </w:pPr>
            <w:r w:rsidRPr="00883399">
              <w:rPr>
                <w:b/>
                <w:i/>
                <w:iCs/>
                <w:sz w:val="24"/>
              </w:rPr>
              <w:t>CCF</w:t>
            </w:r>
            <w:r w:rsidRPr="00883399">
              <w:rPr>
                <w:b/>
                <w:i/>
                <w:iCs/>
                <w:sz w:val="24"/>
                <w:vertAlign w:val="subscript"/>
              </w:rPr>
              <w:t>r</w:t>
            </w:r>
            <w:r w:rsidRPr="00883399">
              <w:rPr>
                <w:iCs/>
                <w:sz w:val="24"/>
              </w:rPr>
              <w:t xml:space="preserve"> is the carbon content factor measured in tonnes of carbon for each tonne of waste by</w:t>
            </w:r>
            <w:r w:rsidRPr="00883399">
              <w:rPr>
                <w:iCs/>
                <w:sz w:val="24"/>
              </w:rPr>
              <w:noBreakHyphen/>
              <w:t>product types</w:t>
            </w:r>
            <w:r w:rsidRPr="00883399">
              <w:rPr>
                <w:b/>
                <w:i/>
                <w:iCs/>
                <w:sz w:val="24"/>
              </w:rPr>
              <w:t xml:space="preserve"> </w:t>
            </w:r>
            <w:r w:rsidRPr="00883399">
              <w:rPr>
                <w:iCs/>
                <w:sz w:val="24"/>
              </w:rPr>
              <w:t>(</w:t>
            </w:r>
            <w:r w:rsidRPr="00883399">
              <w:rPr>
                <w:b/>
                <w:i/>
                <w:iCs/>
                <w:sz w:val="24"/>
              </w:rPr>
              <w:t>r</w:t>
            </w:r>
            <w:r w:rsidRPr="00883399">
              <w:rPr>
                <w:iCs/>
                <w:sz w:val="24"/>
              </w:rPr>
              <w:t>).</w:t>
            </w:r>
          </w:p>
          <w:p w14:paraId="3ABE52C4" w14:textId="77777777" w:rsidR="006F49AC" w:rsidRPr="00883399" w:rsidRDefault="006F49AC" w:rsidP="006F49AC">
            <w:pPr>
              <w:pStyle w:val="TableText"/>
              <w:rPr>
                <w:sz w:val="24"/>
              </w:rPr>
            </w:pPr>
            <w:r w:rsidRPr="00883399">
              <w:rPr>
                <w:b/>
                <w:i/>
                <w:sz w:val="24"/>
              </w:rPr>
              <w:t>Y</w:t>
            </w:r>
            <w:r w:rsidRPr="00883399">
              <w:rPr>
                <w:b/>
                <w:i/>
                <w:sz w:val="24"/>
                <w:vertAlign w:val="subscript"/>
              </w:rPr>
              <w:t xml:space="preserve">r </w:t>
            </w:r>
            <w:r w:rsidRPr="00883399">
              <w:rPr>
                <w:sz w:val="24"/>
              </w:rPr>
              <w:t>is the quantity of waste by</w:t>
            </w:r>
            <w:r w:rsidRPr="00883399">
              <w:rPr>
                <w:sz w:val="24"/>
              </w:rPr>
              <w:noBreakHyphen/>
              <w:t>product types (</w:t>
            </w:r>
            <w:r w:rsidRPr="00883399">
              <w:rPr>
                <w:b/>
                <w:i/>
                <w:sz w:val="24"/>
              </w:rPr>
              <w:t>r</w:t>
            </w:r>
            <w:r w:rsidRPr="00883399">
              <w:rPr>
                <w:sz w:val="24"/>
              </w:rPr>
              <w:t>) leaving the activity during the year measured in tonnes.</w:t>
            </w:r>
          </w:p>
        </w:tc>
      </w:tr>
      <w:tr w:rsidR="006F49AC" w:rsidRPr="00883399" w14:paraId="189360CE" w14:textId="77777777" w:rsidTr="006F49AC">
        <w:trPr>
          <w:cantSplit/>
        </w:trPr>
        <w:tc>
          <w:tcPr>
            <w:tcW w:w="583" w:type="pct"/>
            <w:vMerge w:val="restart"/>
          </w:tcPr>
          <w:p w14:paraId="0F3ADE81" w14:textId="77777777" w:rsidR="006F49AC" w:rsidRPr="00883399" w:rsidRDefault="006F49AC" w:rsidP="006F49AC">
            <w:pPr>
              <w:spacing w:before="60" w:after="60"/>
            </w:pPr>
            <w:r w:rsidRPr="00883399">
              <w:lastRenderedPageBreak/>
              <w:t>Step 4</w:t>
            </w:r>
          </w:p>
        </w:tc>
        <w:tc>
          <w:tcPr>
            <w:tcW w:w="4417" w:type="pct"/>
          </w:tcPr>
          <w:p w14:paraId="6076C3D7" w14:textId="77777777" w:rsidR="006F49AC" w:rsidRPr="00883399" w:rsidRDefault="006F49AC" w:rsidP="006F49AC">
            <w:pPr>
              <w:pStyle w:val="TableText"/>
              <w:rPr>
                <w:iCs/>
                <w:sz w:val="24"/>
              </w:rPr>
            </w:pPr>
            <w:r w:rsidRPr="00883399">
              <w:rPr>
                <w:sz w:val="24"/>
              </w:rPr>
              <w:t>Calculate the carbon content in the amount of the change in stocks</w:t>
            </w:r>
            <w:r w:rsidRPr="00883399">
              <w:rPr>
                <w:iCs/>
                <w:sz w:val="24"/>
              </w:rPr>
              <w:t xml:space="preserve"> of inputs, products and waste by</w:t>
            </w:r>
            <w:r w:rsidRPr="00883399">
              <w:rPr>
                <w:iCs/>
                <w:sz w:val="24"/>
              </w:rPr>
              <w:noBreakHyphen/>
              <w:t>products held within the boundary of the activity during the year in tonnes of carbon as follows:</w:t>
            </w:r>
          </w:p>
          <w:p w14:paraId="47440C29" w14:textId="77777777" w:rsidR="006F49AC" w:rsidRPr="00883399" w:rsidRDefault="006F49AC" w:rsidP="006F49AC">
            <w:pPr>
              <w:pStyle w:val="TableText"/>
              <w:spacing w:before="180" w:after="180"/>
              <w:rPr>
                <w:sz w:val="24"/>
              </w:rPr>
            </w:pPr>
            <w:r w:rsidRPr="00883399">
              <w:rPr>
                <w:noProof/>
                <w:position w:val="-10"/>
                <w:sz w:val="24"/>
              </w:rPr>
              <w:drawing>
                <wp:inline distT="0" distB="0" distL="0" distR="0" wp14:anchorId="558B8A07" wp14:editId="653B0502">
                  <wp:extent cx="3785235" cy="233680"/>
                  <wp:effectExtent l="19050" t="0" r="0" b="0"/>
                  <wp:docPr id="4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0"/>
                          <a:srcRect/>
                          <a:stretch>
                            <a:fillRect/>
                          </a:stretch>
                        </pic:blipFill>
                        <pic:spPr bwMode="auto">
                          <a:xfrm>
                            <a:off x="0" y="0"/>
                            <a:ext cx="3785235" cy="233680"/>
                          </a:xfrm>
                          <a:prstGeom prst="rect">
                            <a:avLst/>
                          </a:prstGeom>
                          <a:noFill/>
                          <a:ln w="9525">
                            <a:noFill/>
                            <a:miter lim="800000"/>
                            <a:headEnd/>
                            <a:tailEnd/>
                          </a:ln>
                        </pic:spPr>
                      </pic:pic>
                    </a:graphicData>
                  </a:graphic>
                </wp:inline>
              </w:drawing>
            </w:r>
          </w:p>
        </w:tc>
      </w:tr>
      <w:tr w:rsidR="006F49AC" w:rsidRPr="00883399" w14:paraId="5390F4FB" w14:textId="77777777" w:rsidTr="006F49AC">
        <w:trPr>
          <w:cantSplit/>
        </w:trPr>
        <w:tc>
          <w:tcPr>
            <w:tcW w:w="583" w:type="pct"/>
            <w:vMerge/>
          </w:tcPr>
          <w:p w14:paraId="68F5857E" w14:textId="77777777" w:rsidR="006F49AC" w:rsidRPr="00883399" w:rsidRDefault="006F49AC" w:rsidP="006F49AC">
            <w:pPr>
              <w:spacing w:before="60" w:after="60"/>
            </w:pPr>
          </w:p>
        </w:tc>
        <w:tc>
          <w:tcPr>
            <w:tcW w:w="4417" w:type="pct"/>
          </w:tcPr>
          <w:p w14:paraId="2E0F17A1" w14:textId="77777777" w:rsidR="006F49AC" w:rsidRPr="00883399" w:rsidRDefault="006F49AC" w:rsidP="006F49AC">
            <w:pPr>
              <w:pStyle w:val="TableText"/>
              <w:rPr>
                <w:sz w:val="24"/>
              </w:rPr>
            </w:pPr>
            <w:r w:rsidRPr="00883399">
              <w:rPr>
                <w:sz w:val="24"/>
              </w:rPr>
              <w:t>where:</w:t>
            </w:r>
          </w:p>
          <w:p w14:paraId="140A41B3" w14:textId="77777777" w:rsidR="006F49AC" w:rsidRPr="00883399" w:rsidRDefault="006F49AC" w:rsidP="006F49AC">
            <w:pPr>
              <w:pStyle w:val="TableText"/>
              <w:rPr>
                <w:b/>
                <w:i/>
                <w:sz w:val="24"/>
              </w:rPr>
            </w:pPr>
            <w:r w:rsidRPr="00883399">
              <w:rPr>
                <w:rFonts w:ascii="Symbol" w:hAnsi="Symbol"/>
                <w:b/>
                <w:i/>
                <w:sz w:val="24"/>
              </w:rPr>
              <w:t></w:t>
            </w:r>
            <w:r w:rsidRPr="00883399">
              <w:rPr>
                <w:b/>
                <w:i/>
                <w:sz w:val="24"/>
                <w:vertAlign w:val="subscript"/>
              </w:rPr>
              <w:t xml:space="preserve">i </w:t>
            </w:r>
            <w:r w:rsidRPr="00883399">
              <w:rPr>
                <w:sz w:val="24"/>
              </w:rPr>
              <w:t>has the same meaning as in step 1.</w:t>
            </w:r>
          </w:p>
          <w:p w14:paraId="68872B12" w14:textId="77777777" w:rsidR="006F49AC" w:rsidRPr="00883399" w:rsidRDefault="006F49AC" w:rsidP="006F49AC">
            <w:pPr>
              <w:pStyle w:val="TableText"/>
              <w:rPr>
                <w:iCs/>
                <w:sz w:val="24"/>
              </w:rPr>
            </w:pPr>
            <w:r w:rsidRPr="00883399">
              <w:rPr>
                <w:b/>
                <w:i/>
                <w:sz w:val="24"/>
              </w:rPr>
              <w:t>CCF</w:t>
            </w:r>
            <w:r w:rsidRPr="00883399">
              <w:rPr>
                <w:b/>
                <w:i/>
                <w:sz w:val="24"/>
                <w:vertAlign w:val="subscript"/>
              </w:rPr>
              <w:t xml:space="preserve">i </w:t>
            </w:r>
            <w:r w:rsidRPr="00883399">
              <w:rPr>
                <w:sz w:val="24"/>
              </w:rPr>
              <w:t>has the same meaning as in step 1.</w:t>
            </w:r>
          </w:p>
          <w:p w14:paraId="248C307A" w14:textId="77777777" w:rsidR="006F49AC" w:rsidRPr="00883399" w:rsidRDefault="006F49AC" w:rsidP="006F49AC">
            <w:pPr>
              <w:pStyle w:val="TableText"/>
              <w:rPr>
                <w:iCs/>
                <w:sz w:val="24"/>
              </w:rPr>
            </w:pPr>
            <w:r w:rsidRPr="00883399">
              <w:rPr>
                <w:b/>
                <w:i/>
                <w:iCs/>
                <w:sz w:val="24"/>
              </w:rPr>
              <w:t>ΔS</w:t>
            </w:r>
            <w:r w:rsidRPr="00883399">
              <w:rPr>
                <w:b/>
                <w:i/>
                <w:iCs/>
                <w:sz w:val="24"/>
                <w:szCs w:val="18"/>
                <w:vertAlign w:val="subscript"/>
              </w:rPr>
              <w:t>q</w:t>
            </w:r>
            <w:r w:rsidRPr="00883399">
              <w:rPr>
                <w:b/>
                <w:i/>
                <w:iCs/>
                <w:sz w:val="24"/>
                <w:vertAlign w:val="subscript"/>
              </w:rPr>
              <w:t>i</w:t>
            </w:r>
            <w:r w:rsidRPr="00883399">
              <w:rPr>
                <w:iCs/>
                <w:sz w:val="24"/>
              </w:rPr>
              <w:t xml:space="preserve"> is the </w:t>
            </w:r>
            <w:r w:rsidRPr="00883399">
              <w:rPr>
                <w:sz w:val="24"/>
              </w:rPr>
              <w:t>change in stocks</w:t>
            </w:r>
            <w:r w:rsidRPr="00883399">
              <w:rPr>
                <w:iCs/>
                <w:sz w:val="24"/>
              </w:rPr>
              <w:t xml:space="preserve"> of fuel type (</w:t>
            </w:r>
            <w:r w:rsidRPr="00883399">
              <w:rPr>
                <w:b/>
                <w:i/>
                <w:iCs/>
                <w:sz w:val="24"/>
              </w:rPr>
              <w:t>i</w:t>
            </w:r>
            <w:r w:rsidRPr="00883399">
              <w:rPr>
                <w:iCs/>
                <w:sz w:val="24"/>
              </w:rPr>
              <w:t xml:space="preserve">) for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p w14:paraId="312C711E" w14:textId="77777777" w:rsidR="006F49AC" w:rsidRPr="00883399" w:rsidRDefault="006F49AC" w:rsidP="006F49AC">
            <w:pPr>
              <w:pStyle w:val="TableText"/>
              <w:rPr>
                <w:b/>
                <w:i/>
                <w:sz w:val="24"/>
              </w:rPr>
            </w:pPr>
            <w:r w:rsidRPr="00883399">
              <w:rPr>
                <w:rFonts w:ascii="Symbol" w:hAnsi="Symbol"/>
                <w:b/>
                <w:i/>
                <w:sz w:val="24"/>
              </w:rPr>
              <w:t></w:t>
            </w:r>
            <w:r w:rsidRPr="00883399">
              <w:rPr>
                <w:b/>
                <w:i/>
                <w:sz w:val="24"/>
                <w:vertAlign w:val="subscript"/>
              </w:rPr>
              <w:t xml:space="preserve">p </w:t>
            </w:r>
            <w:r w:rsidRPr="00883399">
              <w:rPr>
                <w:sz w:val="24"/>
              </w:rPr>
              <w:t>has the same meaning as in step 2.</w:t>
            </w:r>
          </w:p>
          <w:p w14:paraId="10FC599A" w14:textId="77777777" w:rsidR="006F49AC" w:rsidRPr="00883399" w:rsidRDefault="006F49AC" w:rsidP="006F49AC">
            <w:pPr>
              <w:pStyle w:val="TableText"/>
              <w:rPr>
                <w:b/>
                <w:i/>
                <w:iCs/>
                <w:sz w:val="24"/>
              </w:rPr>
            </w:pPr>
            <w:r w:rsidRPr="00883399">
              <w:rPr>
                <w:b/>
                <w:i/>
                <w:sz w:val="24"/>
              </w:rPr>
              <w:t>CCF</w:t>
            </w:r>
            <w:r w:rsidRPr="00883399">
              <w:rPr>
                <w:b/>
                <w:i/>
                <w:sz w:val="24"/>
                <w:vertAlign w:val="subscript"/>
              </w:rPr>
              <w:t xml:space="preserve">p </w:t>
            </w:r>
            <w:r w:rsidRPr="00883399">
              <w:rPr>
                <w:sz w:val="24"/>
              </w:rPr>
              <w:t>has the same meaning as in step 2.</w:t>
            </w:r>
          </w:p>
          <w:p w14:paraId="3C062A49" w14:textId="77777777" w:rsidR="006F49AC" w:rsidRPr="00883399" w:rsidRDefault="006F49AC" w:rsidP="006F49AC">
            <w:pPr>
              <w:pStyle w:val="TableText"/>
              <w:rPr>
                <w:sz w:val="24"/>
              </w:rPr>
            </w:pPr>
            <w:r w:rsidRPr="00883399">
              <w:rPr>
                <w:b/>
                <w:i/>
                <w:iCs/>
                <w:sz w:val="24"/>
              </w:rPr>
              <w:t>ΔS</w:t>
            </w:r>
            <w:r w:rsidRPr="00883399">
              <w:rPr>
                <w:b/>
                <w:i/>
                <w:iCs/>
                <w:sz w:val="24"/>
                <w:szCs w:val="18"/>
                <w:vertAlign w:val="subscript"/>
              </w:rPr>
              <w:t>a</w:t>
            </w:r>
            <w:r w:rsidRPr="00883399">
              <w:rPr>
                <w:b/>
                <w:i/>
                <w:iCs/>
                <w:sz w:val="24"/>
                <w:vertAlign w:val="subscript"/>
              </w:rPr>
              <w:t>p</w:t>
            </w:r>
            <w:r w:rsidRPr="00883399">
              <w:rPr>
                <w:iCs/>
                <w:sz w:val="24"/>
                <w:szCs w:val="18"/>
              </w:rPr>
              <w:t xml:space="preserve"> is the </w:t>
            </w:r>
            <w:r w:rsidRPr="00883399">
              <w:rPr>
                <w:sz w:val="24"/>
              </w:rPr>
              <w:t>change in stocks</w:t>
            </w:r>
            <w:r w:rsidRPr="00883399">
              <w:rPr>
                <w:iCs/>
                <w:sz w:val="24"/>
                <w:szCs w:val="18"/>
              </w:rPr>
              <w:t xml:space="preserve"> of </w:t>
            </w:r>
            <w:r w:rsidRPr="00883399">
              <w:rPr>
                <w:iCs/>
                <w:sz w:val="24"/>
              </w:rPr>
              <w:t>product types (</w:t>
            </w:r>
            <w:r w:rsidRPr="00883399">
              <w:rPr>
                <w:b/>
                <w:i/>
                <w:iCs/>
                <w:sz w:val="24"/>
              </w:rPr>
              <w:t>p)</w:t>
            </w:r>
            <w:r w:rsidRPr="00883399">
              <w:rPr>
                <w:iCs/>
                <w:sz w:val="24"/>
              </w:rPr>
              <w:t xml:space="preserve"> produced by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6F49AC" w:rsidRPr="00883399" w14:paraId="33E4D542" w14:textId="77777777" w:rsidTr="006F49AC">
        <w:trPr>
          <w:cantSplit/>
        </w:trPr>
        <w:tc>
          <w:tcPr>
            <w:tcW w:w="583" w:type="pct"/>
          </w:tcPr>
          <w:p w14:paraId="7B131F71" w14:textId="77777777" w:rsidR="006F49AC" w:rsidRPr="00883399" w:rsidRDefault="006F49AC" w:rsidP="006F49AC">
            <w:pPr>
              <w:spacing w:before="60" w:after="60"/>
            </w:pPr>
          </w:p>
        </w:tc>
        <w:tc>
          <w:tcPr>
            <w:tcW w:w="4417" w:type="pct"/>
          </w:tcPr>
          <w:p w14:paraId="27AA1F39" w14:textId="77777777" w:rsidR="006F49AC" w:rsidRPr="00883399" w:rsidRDefault="006F49AC" w:rsidP="006F49AC">
            <w:pPr>
              <w:pStyle w:val="TableText"/>
              <w:rPr>
                <w:b/>
                <w:i/>
                <w:sz w:val="24"/>
              </w:rPr>
            </w:pPr>
            <w:r w:rsidRPr="00883399">
              <w:rPr>
                <w:rFonts w:ascii="Symbol" w:hAnsi="Symbol"/>
                <w:b/>
                <w:i/>
                <w:sz w:val="24"/>
              </w:rPr>
              <w:t></w:t>
            </w:r>
            <w:r w:rsidRPr="00883399">
              <w:rPr>
                <w:b/>
                <w:i/>
                <w:sz w:val="24"/>
                <w:vertAlign w:val="subscript"/>
              </w:rPr>
              <w:t xml:space="preserve">r </w:t>
            </w:r>
            <w:r w:rsidRPr="00883399">
              <w:rPr>
                <w:sz w:val="24"/>
              </w:rPr>
              <w:t>has the same meaning as in step 3.</w:t>
            </w:r>
          </w:p>
          <w:p w14:paraId="447C9A35" w14:textId="77777777" w:rsidR="006F49AC" w:rsidRPr="00883399" w:rsidRDefault="006F49AC" w:rsidP="006F49AC">
            <w:pPr>
              <w:pStyle w:val="TableText"/>
              <w:rPr>
                <w:b/>
                <w:i/>
                <w:iCs/>
                <w:sz w:val="24"/>
              </w:rPr>
            </w:pPr>
            <w:r w:rsidRPr="00883399">
              <w:rPr>
                <w:b/>
                <w:i/>
                <w:sz w:val="24"/>
              </w:rPr>
              <w:t>CCF</w:t>
            </w:r>
            <w:r w:rsidRPr="00883399">
              <w:rPr>
                <w:b/>
                <w:i/>
                <w:sz w:val="24"/>
                <w:vertAlign w:val="subscript"/>
              </w:rPr>
              <w:t xml:space="preserve">r </w:t>
            </w:r>
            <w:r w:rsidRPr="00883399">
              <w:rPr>
                <w:sz w:val="24"/>
              </w:rPr>
              <w:t>has the same meaning as in step 3.</w:t>
            </w:r>
          </w:p>
          <w:p w14:paraId="7B34CE8C" w14:textId="77777777" w:rsidR="006F49AC" w:rsidRPr="00883399" w:rsidRDefault="006F49AC" w:rsidP="006F49AC">
            <w:pPr>
              <w:pStyle w:val="TableText"/>
              <w:rPr>
                <w:sz w:val="24"/>
              </w:rPr>
            </w:pPr>
            <w:r w:rsidRPr="00883399">
              <w:rPr>
                <w:b/>
                <w:i/>
                <w:iCs/>
                <w:sz w:val="24"/>
              </w:rPr>
              <w:t>ΔS</w:t>
            </w:r>
            <w:r w:rsidRPr="00883399">
              <w:rPr>
                <w:b/>
                <w:i/>
                <w:iCs/>
                <w:sz w:val="24"/>
                <w:szCs w:val="18"/>
                <w:vertAlign w:val="subscript"/>
              </w:rPr>
              <w:t>y</w:t>
            </w:r>
            <w:r w:rsidRPr="00883399">
              <w:rPr>
                <w:b/>
                <w:i/>
                <w:iCs/>
                <w:sz w:val="24"/>
                <w:vertAlign w:val="subscript"/>
              </w:rPr>
              <w:t>r</w:t>
            </w:r>
            <w:r w:rsidRPr="00883399">
              <w:rPr>
                <w:iCs/>
                <w:sz w:val="24"/>
              </w:rPr>
              <w:t xml:space="preserve"> is the </w:t>
            </w:r>
            <w:r w:rsidRPr="00883399">
              <w:rPr>
                <w:sz w:val="24"/>
              </w:rPr>
              <w:t>change in stocks</w:t>
            </w:r>
            <w:r w:rsidRPr="00883399">
              <w:rPr>
                <w:iCs/>
                <w:sz w:val="24"/>
              </w:rPr>
              <w:t xml:space="preserve"> of waste by</w:t>
            </w:r>
            <w:r w:rsidRPr="00883399">
              <w:rPr>
                <w:iCs/>
                <w:sz w:val="24"/>
              </w:rPr>
              <w:noBreakHyphen/>
              <w:t>product types (</w:t>
            </w:r>
            <w:r w:rsidRPr="00883399">
              <w:rPr>
                <w:b/>
                <w:i/>
                <w:iCs/>
                <w:sz w:val="24"/>
              </w:rPr>
              <w:t>r</w:t>
            </w:r>
            <w:r w:rsidRPr="00883399">
              <w:rPr>
                <w:iCs/>
                <w:sz w:val="24"/>
              </w:rPr>
              <w:t xml:space="preserve">) produced from the operation of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6F49AC" w:rsidRPr="00883399" w14:paraId="2E27C8A9" w14:textId="77777777" w:rsidTr="006F49AC">
        <w:trPr>
          <w:cantSplit/>
          <w:trHeight w:val="402"/>
        </w:trPr>
        <w:tc>
          <w:tcPr>
            <w:tcW w:w="583" w:type="pct"/>
          </w:tcPr>
          <w:p w14:paraId="6CD61D51" w14:textId="77777777" w:rsidR="006F49AC" w:rsidRPr="00883399" w:rsidRDefault="006F49AC" w:rsidP="006F49AC">
            <w:pPr>
              <w:spacing w:before="60" w:after="60"/>
            </w:pPr>
            <w:r w:rsidRPr="00883399">
              <w:t>Step 5</w:t>
            </w:r>
          </w:p>
        </w:tc>
        <w:tc>
          <w:tcPr>
            <w:tcW w:w="4417" w:type="pct"/>
          </w:tcPr>
          <w:p w14:paraId="6D2F8C2F" w14:textId="77777777" w:rsidR="006F49AC" w:rsidRPr="00883399" w:rsidRDefault="006F49AC" w:rsidP="006F49AC">
            <w:pPr>
              <w:pStyle w:val="TableText"/>
              <w:rPr>
                <w:sz w:val="24"/>
              </w:rPr>
            </w:pPr>
            <w:r w:rsidRPr="00883399">
              <w:rPr>
                <w:sz w:val="24"/>
              </w:rPr>
              <w:t xml:space="preserve">Calculate the emissions of carbon dioxide released from the operation of the activity during the year measured in </w:t>
            </w:r>
            <w:r w:rsidRPr="00883399">
              <w:rPr>
                <w:sz w:val="24"/>
                <w:szCs w:val="22"/>
              </w:rPr>
              <w:t>CO</w:t>
            </w:r>
            <w:r w:rsidRPr="00883399">
              <w:rPr>
                <w:sz w:val="24"/>
                <w:szCs w:val="22"/>
                <w:vertAlign w:val="subscript"/>
              </w:rPr>
              <w:t>2</w:t>
            </w:r>
            <w:r w:rsidRPr="00883399">
              <w:rPr>
                <w:sz w:val="24"/>
                <w:szCs w:val="22"/>
              </w:rPr>
              <w:noBreakHyphen/>
              <w:t>e</w:t>
            </w:r>
            <w:r w:rsidRPr="00883399">
              <w:rPr>
                <w:sz w:val="24"/>
              </w:rPr>
              <w:t xml:space="preserve"> tonnes as follows:</w:t>
            </w:r>
          </w:p>
          <w:p w14:paraId="5421C64F" w14:textId="77777777" w:rsidR="006F49AC" w:rsidRPr="00883399" w:rsidRDefault="006F49AC" w:rsidP="006F49AC">
            <w:pPr>
              <w:pStyle w:val="TableP1a"/>
              <w:rPr>
                <w:sz w:val="24"/>
              </w:rPr>
            </w:pPr>
            <w:r w:rsidRPr="00883399">
              <w:rPr>
                <w:sz w:val="24"/>
              </w:rPr>
              <w:tab/>
              <w:t>(a)</w:t>
            </w:r>
            <w:r w:rsidRPr="00883399">
              <w:rPr>
                <w:sz w:val="24"/>
              </w:rPr>
              <w:tab/>
              <w:t>add the amounts worked out under steps 2, 3 and 4 to work out a new amount (</w:t>
            </w:r>
            <w:r w:rsidRPr="00883399">
              <w:rPr>
                <w:b/>
                <w:i/>
                <w:sz w:val="24"/>
              </w:rPr>
              <w:t>amount A</w:t>
            </w:r>
            <w:r w:rsidRPr="00883399">
              <w:rPr>
                <w:sz w:val="24"/>
              </w:rPr>
              <w:t>);</w:t>
            </w:r>
          </w:p>
          <w:p w14:paraId="2EC19972" w14:textId="77777777" w:rsidR="006F49AC" w:rsidRPr="00883399" w:rsidRDefault="006F49AC" w:rsidP="006F49AC">
            <w:pPr>
              <w:pStyle w:val="TableP1a"/>
              <w:rPr>
                <w:sz w:val="24"/>
              </w:rPr>
            </w:pPr>
            <w:r w:rsidRPr="00883399">
              <w:rPr>
                <w:sz w:val="24"/>
              </w:rPr>
              <w:tab/>
              <w:t>(b)</w:t>
            </w:r>
            <w:r w:rsidRPr="00883399">
              <w:rPr>
                <w:sz w:val="24"/>
              </w:rPr>
              <w:tab/>
              <w:t>subtract amount A from the amount worked out under step 1 to work out a new amount (</w:t>
            </w:r>
            <w:r w:rsidRPr="00883399">
              <w:rPr>
                <w:b/>
                <w:i/>
                <w:sz w:val="24"/>
              </w:rPr>
              <w:t>amount B</w:t>
            </w:r>
            <w:r w:rsidRPr="00883399">
              <w:rPr>
                <w:sz w:val="24"/>
              </w:rPr>
              <w:t>);</w:t>
            </w:r>
          </w:p>
          <w:p w14:paraId="54286E99" w14:textId="77777777" w:rsidR="006F49AC" w:rsidRPr="00883399" w:rsidRDefault="006F49AC" w:rsidP="006F49AC">
            <w:pPr>
              <w:pStyle w:val="TableP1a"/>
              <w:rPr>
                <w:sz w:val="24"/>
              </w:rPr>
            </w:pPr>
            <w:r w:rsidRPr="00883399">
              <w:rPr>
                <w:sz w:val="24"/>
              </w:rPr>
              <w:tab/>
              <w:t>(c)</w:t>
            </w:r>
            <w:r w:rsidRPr="00883399">
              <w:rPr>
                <w:sz w:val="24"/>
              </w:rPr>
              <w:tab/>
              <w:t>multiply amount B by 3.664 to work out the amount of emissions released from the operation of the activity during a year.</w:t>
            </w:r>
          </w:p>
        </w:tc>
      </w:tr>
    </w:tbl>
    <w:p w14:paraId="4749D682" w14:textId="50940D4D" w:rsidR="00872C03" w:rsidRPr="00883399" w:rsidRDefault="00872C03" w:rsidP="006F49AC">
      <w:pPr>
        <w:pStyle w:val="ActHead5"/>
        <w:rPr>
          <w:rStyle w:val="CharSectno"/>
        </w:rPr>
      </w:pPr>
      <w:bookmarkStart w:id="968" w:name="_Toc495653012"/>
      <w:r w:rsidRPr="00883399">
        <w:rPr>
          <w:rStyle w:val="CharSectno"/>
          <w:sz w:val="28"/>
        </w:rPr>
        <w:t>4.67</w:t>
      </w:r>
      <w:r w:rsidRPr="00883399">
        <w:rPr>
          <w:rStyle w:val="CharSectno"/>
        </w:rPr>
        <w:t xml:space="preserve">  Method 2—production of a metal from an integrated metalworks</w:t>
      </w:r>
      <w:bookmarkEnd w:id="967"/>
      <w:bookmarkEnd w:id="968"/>
    </w:p>
    <w:p w14:paraId="76B70E44" w14:textId="77777777" w:rsidR="00872C03" w:rsidRPr="00883399" w:rsidRDefault="00872C03" w:rsidP="00872C03">
      <w:pPr>
        <w:pStyle w:val="subsection"/>
        <w:rPr>
          <w:sz w:val="24"/>
        </w:rPr>
      </w:pPr>
      <w:r w:rsidRPr="00883399">
        <w:rPr>
          <w:sz w:val="24"/>
        </w:rPr>
        <w:tab/>
        <w:t>(1)</w:t>
      </w:r>
      <w:r w:rsidRPr="00883399">
        <w:rPr>
          <w:sz w:val="24"/>
        </w:rPr>
        <w:tab/>
        <w:t>Subject to this section, method 2 is the same as method 1 under section 4.66.</w:t>
      </w:r>
    </w:p>
    <w:p w14:paraId="67AB4D1F" w14:textId="77777777" w:rsidR="00872C03" w:rsidRPr="00883399" w:rsidRDefault="00872C03" w:rsidP="00872C03">
      <w:pPr>
        <w:pStyle w:val="subsection"/>
        <w:spacing w:after="60"/>
        <w:rPr>
          <w:sz w:val="24"/>
        </w:rPr>
      </w:pPr>
      <w:r w:rsidRPr="00883399">
        <w:rPr>
          <w:sz w:val="24"/>
        </w:rPr>
        <w:tab/>
        <w:t>(1A)</w:t>
      </w:r>
      <w:r w:rsidRPr="00883399">
        <w:rPr>
          <w:sz w:val="24"/>
        </w:rPr>
        <w:tab/>
        <w:t>In applying method 1 as method 2, step 4 in section 4.66 is to be omitted and the following step 4 substituted.</w:t>
      </w:r>
    </w:p>
    <w:tbl>
      <w:tblPr>
        <w:tblW w:w="0" w:type="auto"/>
        <w:tblInd w:w="948" w:type="dxa"/>
        <w:tblLayout w:type="fixed"/>
        <w:tblLook w:val="0000" w:firstRow="0" w:lastRow="0" w:firstColumn="0" w:lastColumn="0" w:noHBand="0" w:noVBand="0"/>
      </w:tblPr>
      <w:tblGrid>
        <w:gridCol w:w="882"/>
        <w:gridCol w:w="6678"/>
      </w:tblGrid>
      <w:tr w:rsidR="00872C03" w:rsidRPr="00883399" w14:paraId="6A6EFE22" w14:textId="77777777" w:rsidTr="0031057E">
        <w:trPr>
          <w:cantSplit/>
          <w:trHeight w:val="74"/>
        </w:trPr>
        <w:tc>
          <w:tcPr>
            <w:tcW w:w="882" w:type="dxa"/>
            <w:vMerge w:val="restart"/>
          </w:tcPr>
          <w:p w14:paraId="31BA995F" w14:textId="77777777" w:rsidR="00872C03" w:rsidRPr="00883399" w:rsidRDefault="00872C03" w:rsidP="0031057E">
            <w:pPr>
              <w:spacing w:before="60" w:after="60"/>
            </w:pPr>
            <w:r w:rsidRPr="00883399">
              <w:t>Step 4</w:t>
            </w:r>
          </w:p>
        </w:tc>
        <w:tc>
          <w:tcPr>
            <w:tcW w:w="6678" w:type="dxa"/>
          </w:tcPr>
          <w:p w14:paraId="5E9A95B2" w14:textId="77777777" w:rsidR="00872C03" w:rsidRPr="00883399" w:rsidRDefault="00872C03" w:rsidP="0031057E">
            <w:pPr>
              <w:pStyle w:val="TableText"/>
              <w:rPr>
                <w:iCs/>
                <w:sz w:val="24"/>
              </w:rPr>
            </w:pPr>
            <w:r w:rsidRPr="00883399">
              <w:rPr>
                <w:sz w:val="24"/>
              </w:rPr>
              <w:t>Calculate the carbon content in the amount of the change in stocks</w:t>
            </w:r>
            <w:r w:rsidRPr="00883399">
              <w:rPr>
                <w:iCs/>
                <w:sz w:val="24"/>
              </w:rPr>
              <w:t xml:space="preserve"> of inputs, products and waste by</w:t>
            </w:r>
            <w:r w:rsidRPr="00883399">
              <w:rPr>
                <w:b/>
                <w:iCs/>
                <w:sz w:val="24"/>
              </w:rPr>
              <w:noBreakHyphen/>
            </w:r>
            <w:r w:rsidRPr="00883399">
              <w:rPr>
                <w:iCs/>
                <w:sz w:val="24"/>
              </w:rPr>
              <w:t>products held within the boundary of the activity during the year in tonnes of carbon as follows:</w:t>
            </w:r>
          </w:p>
          <w:p w14:paraId="6B6DB2BD" w14:textId="6AD0D8D1" w:rsidR="00872C03" w:rsidRPr="00883399" w:rsidRDefault="00872C03" w:rsidP="0031057E">
            <w:pPr>
              <w:pStyle w:val="Formula"/>
              <w:ind w:left="13"/>
              <w:rPr>
                <w:iCs/>
                <w:sz w:val="22"/>
              </w:rPr>
            </w:pPr>
            <w:r w:rsidRPr="00883399">
              <w:rPr>
                <w:noProof/>
                <w:position w:val="-14"/>
                <w:sz w:val="22"/>
              </w:rPr>
              <w:drawing>
                <wp:inline distT="0" distB="0" distL="0" distR="0" wp14:anchorId="243C0F18" wp14:editId="2F1BDEBE">
                  <wp:extent cx="4097020" cy="213995"/>
                  <wp:effectExtent l="1905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15"/>
                          <a:srcRect/>
                          <a:stretch>
                            <a:fillRect/>
                          </a:stretch>
                        </pic:blipFill>
                        <pic:spPr bwMode="auto">
                          <a:xfrm>
                            <a:off x="0" y="0"/>
                            <a:ext cx="4097020" cy="213995"/>
                          </a:xfrm>
                          <a:prstGeom prst="rect">
                            <a:avLst/>
                          </a:prstGeom>
                          <a:noFill/>
                          <a:ln w="9525">
                            <a:noFill/>
                            <a:miter lim="800000"/>
                            <a:headEnd/>
                            <a:tailEnd/>
                          </a:ln>
                        </pic:spPr>
                      </pic:pic>
                    </a:graphicData>
                  </a:graphic>
                </wp:inline>
              </w:drawing>
            </w:r>
          </w:p>
        </w:tc>
      </w:tr>
      <w:tr w:rsidR="00872C03" w:rsidRPr="00883399" w14:paraId="264A98AB" w14:textId="77777777" w:rsidTr="0031057E">
        <w:trPr>
          <w:cantSplit/>
        </w:trPr>
        <w:tc>
          <w:tcPr>
            <w:tcW w:w="882" w:type="dxa"/>
            <w:vMerge/>
          </w:tcPr>
          <w:p w14:paraId="3F1859C2" w14:textId="77777777" w:rsidR="00872C03" w:rsidRPr="00883399" w:rsidRDefault="00872C03" w:rsidP="0031057E">
            <w:pPr>
              <w:spacing w:before="60" w:after="60"/>
              <w:rPr>
                <w:i/>
              </w:rPr>
            </w:pPr>
          </w:p>
        </w:tc>
        <w:tc>
          <w:tcPr>
            <w:tcW w:w="6678" w:type="dxa"/>
          </w:tcPr>
          <w:p w14:paraId="24384789" w14:textId="77777777" w:rsidR="00872C03" w:rsidRPr="00883399" w:rsidRDefault="00872C03" w:rsidP="0031057E">
            <w:pPr>
              <w:pStyle w:val="TableText"/>
              <w:rPr>
                <w:sz w:val="24"/>
              </w:rPr>
            </w:pPr>
            <w:r w:rsidRPr="00883399">
              <w:rPr>
                <w:sz w:val="24"/>
              </w:rPr>
              <w:t>where:</w:t>
            </w:r>
          </w:p>
          <w:p w14:paraId="1E1D275E" w14:textId="77777777" w:rsidR="00872C03" w:rsidRPr="00883399" w:rsidRDefault="00872C03" w:rsidP="0031057E">
            <w:pPr>
              <w:pStyle w:val="TableText"/>
              <w:rPr>
                <w:b/>
                <w:i/>
                <w:sz w:val="24"/>
              </w:rPr>
            </w:pPr>
            <w:r w:rsidRPr="00883399">
              <w:rPr>
                <w:rFonts w:ascii="Symbol" w:hAnsi="Symbol"/>
                <w:b/>
                <w:i/>
                <w:sz w:val="24"/>
              </w:rPr>
              <w:t></w:t>
            </w:r>
            <w:r w:rsidRPr="00883399">
              <w:rPr>
                <w:b/>
                <w:i/>
                <w:sz w:val="24"/>
                <w:vertAlign w:val="subscript"/>
              </w:rPr>
              <w:t xml:space="preserve">i </w:t>
            </w:r>
            <w:r w:rsidRPr="00883399">
              <w:rPr>
                <w:sz w:val="24"/>
              </w:rPr>
              <w:t>has the same meaning as in step 1.</w:t>
            </w:r>
          </w:p>
          <w:p w14:paraId="5F7BF765" w14:textId="77777777" w:rsidR="00872C03" w:rsidRPr="00883399" w:rsidRDefault="00872C03" w:rsidP="0031057E">
            <w:pPr>
              <w:pStyle w:val="TableText"/>
              <w:rPr>
                <w:iCs/>
                <w:sz w:val="24"/>
              </w:rPr>
            </w:pPr>
            <w:r w:rsidRPr="00883399">
              <w:rPr>
                <w:b/>
                <w:i/>
                <w:sz w:val="24"/>
              </w:rPr>
              <w:t>CCF</w:t>
            </w:r>
            <w:r w:rsidRPr="00883399">
              <w:rPr>
                <w:b/>
                <w:i/>
                <w:sz w:val="24"/>
                <w:vertAlign w:val="subscript"/>
              </w:rPr>
              <w:t xml:space="preserve">i </w:t>
            </w:r>
            <w:r w:rsidRPr="00883399">
              <w:rPr>
                <w:sz w:val="24"/>
              </w:rPr>
              <w:t>has the same meaning as in step 1.</w:t>
            </w:r>
          </w:p>
          <w:p w14:paraId="31CECB03" w14:textId="77777777" w:rsidR="00872C03" w:rsidRPr="00883399" w:rsidRDefault="00872C03" w:rsidP="0031057E">
            <w:pPr>
              <w:pStyle w:val="TableText"/>
              <w:rPr>
                <w:iCs/>
                <w:sz w:val="24"/>
              </w:rPr>
            </w:pPr>
            <w:r w:rsidRPr="00883399">
              <w:rPr>
                <w:b/>
                <w:i/>
                <w:iCs/>
                <w:sz w:val="24"/>
              </w:rPr>
              <w:t>ΔS</w:t>
            </w:r>
            <w:r w:rsidRPr="00883399">
              <w:rPr>
                <w:b/>
                <w:i/>
                <w:iCs/>
                <w:sz w:val="24"/>
                <w:szCs w:val="18"/>
                <w:vertAlign w:val="subscript"/>
              </w:rPr>
              <w:t>q</w:t>
            </w:r>
            <w:r w:rsidRPr="00883399">
              <w:rPr>
                <w:b/>
                <w:i/>
                <w:iCs/>
                <w:sz w:val="24"/>
                <w:vertAlign w:val="subscript"/>
              </w:rPr>
              <w:t>i</w:t>
            </w:r>
            <w:r w:rsidRPr="00883399">
              <w:rPr>
                <w:iCs/>
                <w:sz w:val="24"/>
              </w:rPr>
              <w:t xml:space="preserve"> is the </w:t>
            </w:r>
            <w:r w:rsidRPr="00883399">
              <w:rPr>
                <w:sz w:val="24"/>
              </w:rPr>
              <w:t>change in stocks</w:t>
            </w:r>
            <w:r w:rsidRPr="00883399">
              <w:rPr>
                <w:iCs/>
                <w:sz w:val="24"/>
              </w:rPr>
              <w:t xml:space="preserve"> of fuel type (</w:t>
            </w:r>
            <w:r w:rsidRPr="00883399">
              <w:rPr>
                <w:b/>
                <w:i/>
                <w:iCs/>
                <w:sz w:val="24"/>
              </w:rPr>
              <w:t>i</w:t>
            </w:r>
            <w:r w:rsidRPr="00883399">
              <w:rPr>
                <w:iCs/>
                <w:sz w:val="24"/>
              </w:rPr>
              <w:t xml:space="preserve">) for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p w14:paraId="654F0C74" w14:textId="77777777" w:rsidR="00872C03" w:rsidRPr="00883399" w:rsidRDefault="00872C03" w:rsidP="0031057E">
            <w:pPr>
              <w:pStyle w:val="TableText"/>
              <w:rPr>
                <w:b/>
                <w:i/>
                <w:sz w:val="24"/>
              </w:rPr>
            </w:pPr>
            <w:r w:rsidRPr="00883399">
              <w:rPr>
                <w:rFonts w:ascii="Symbol" w:hAnsi="Symbol"/>
                <w:b/>
                <w:i/>
                <w:sz w:val="24"/>
              </w:rPr>
              <w:t></w:t>
            </w:r>
            <w:r w:rsidRPr="00883399">
              <w:rPr>
                <w:b/>
                <w:i/>
                <w:sz w:val="24"/>
                <w:vertAlign w:val="subscript"/>
              </w:rPr>
              <w:t xml:space="preserve">p </w:t>
            </w:r>
            <w:r w:rsidRPr="00883399">
              <w:rPr>
                <w:sz w:val="24"/>
              </w:rPr>
              <w:t>has the same meaning as in step 2.</w:t>
            </w:r>
          </w:p>
          <w:p w14:paraId="249D9A3B" w14:textId="77777777" w:rsidR="00872C03" w:rsidRPr="00883399" w:rsidRDefault="00872C03" w:rsidP="0031057E">
            <w:pPr>
              <w:pStyle w:val="TableText"/>
              <w:rPr>
                <w:b/>
                <w:i/>
                <w:iCs/>
                <w:sz w:val="24"/>
              </w:rPr>
            </w:pPr>
            <w:r w:rsidRPr="00883399">
              <w:rPr>
                <w:b/>
                <w:i/>
                <w:sz w:val="24"/>
              </w:rPr>
              <w:t>CCF</w:t>
            </w:r>
            <w:r w:rsidRPr="00883399">
              <w:rPr>
                <w:b/>
                <w:i/>
                <w:sz w:val="24"/>
                <w:vertAlign w:val="subscript"/>
              </w:rPr>
              <w:t xml:space="preserve">p </w:t>
            </w:r>
            <w:r w:rsidRPr="00883399">
              <w:rPr>
                <w:sz w:val="24"/>
              </w:rPr>
              <w:t>has the same meaning as in step 2.</w:t>
            </w:r>
          </w:p>
          <w:p w14:paraId="4D3285FA" w14:textId="77777777" w:rsidR="00872C03" w:rsidRPr="00883399" w:rsidRDefault="00872C03" w:rsidP="0031057E">
            <w:pPr>
              <w:pStyle w:val="TableText"/>
              <w:rPr>
                <w:sz w:val="24"/>
              </w:rPr>
            </w:pPr>
            <w:r w:rsidRPr="00883399">
              <w:rPr>
                <w:b/>
                <w:i/>
                <w:iCs/>
                <w:sz w:val="24"/>
              </w:rPr>
              <w:t>ΔS</w:t>
            </w:r>
            <w:r w:rsidRPr="00883399">
              <w:rPr>
                <w:b/>
                <w:i/>
                <w:iCs/>
                <w:sz w:val="24"/>
                <w:szCs w:val="18"/>
                <w:vertAlign w:val="subscript"/>
              </w:rPr>
              <w:t>a</w:t>
            </w:r>
            <w:r w:rsidRPr="00883399">
              <w:rPr>
                <w:b/>
                <w:i/>
                <w:iCs/>
                <w:sz w:val="24"/>
                <w:vertAlign w:val="subscript"/>
              </w:rPr>
              <w:t>p</w:t>
            </w:r>
            <w:r w:rsidRPr="00883399">
              <w:rPr>
                <w:iCs/>
                <w:sz w:val="24"/>
                <w:szCs w:val="18"/>
              </w:rPr>
              <w:t xml:space="preserve"> is the </w:t>
            </w:r>
            <w:r w:rsidRPr="00883399">
              <w:rPr>
                <w:sz w:val="24"/>
              </w:rPr>
              <w:t>change in stocks</w:t>
            </w:r>
            <w:r w:rsidRPr="00883399">
              <w:rPr>
                <w:iCs/>
                <w:sz w:val="24"/>
                <w:szCs w:val="18"/>
              </w:rPr>
              <w:t xml:space="preserve"> of </w:t>
            </w:r>
            <w:r w:rsidRPr="00883399">
              <w:rPr>
                <w:iCs/>
                <w:sz w:val="24"/>
              </w:rPr>
              <w:t>product types (</w:t>
            </w:r>
            <w:r w:rsidRPr="00883399">
              <w:rPr>
                <w:b/>
                <w:i/>
                <w:iCs/>
                <w:sz w:val="24"/>
              </w:rPr>
              <w:t>p)</w:t>
            </w:r>
            <w:r w:rsidRPr="00883399">
              <w:rPr>
                <w:iCs/>
                <w:sz w:val="24"/>
              </w:rPr>
              <w:t xml:space="preserve"> produced by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872C03" w:rsidRPr="00883399" w14:paraId="30885464" w14:textId="77777777" w:rsidTr="0031057E">
        <w:trPr>
          <w:cantSplit/>
        </w:trPr>
        <w:tc>
          <w:tcPr>
            <w:tcW w:w="882" w:type="dxa"/>
          </w:tcPr>
          <w:p w14:paraId="16CFB197" w14:textId="77777777" w:rsidR="00872C03" w:rsidRPr="00883399" w:rsidRDefault="00872C03" w:rsidP="0031057E">
            <w:pPr>
              <w:spacing w:before="60" w:after="60"/>
              <w:rPr>
                <w:i/>
              </w:rPr>
            </w:pPr>
          </w:p>
        </w:tc>
        <w:tc>
          <w:tcPr>
            <w:tcW w:w="6678" w:type="dxa"/>
          </w:tcPr>
          <w:p w14:paraId="38DC9CB0" w14:textId="77777777" w:rsidR="00872C03" w:rsidRPr="00883399" w:rsidRDefault="00872C03" w:rsidP="0031057E">
            <w:pPr>
              <w:pStyle w:val="TableText"/>
              <w:rPr>
                <w:b/>
                <w:i/>
                <w:sz w:val="24"/>
              </w:rPr>
            </w:pPr>
            <w:r w:rsidRPr="00883399">
              <w:rPr>
                <w:rFonts w:ascii="Symbol" w:hAnsi="Symbol"/>
                <w:b/>
                <w:i/>
                <w:sz w:val="24"/>
              </w:rPr>
              <w:t></w:t>
            </w:r>
            <w:r w:rsidRPr="00883399">
              <w:rPr>
                <w:b/>
                <w:i/>
                <w:sz w:val="24"/>
                <w:vertAlign w:val="subscript"/>
              </w:rPr>
              <w:t xml:space="preserve">r </w:t>
            </w:r>
            <w:r w:rsidRPr="00883399">
              <w:rPr>
                <w:sz w:val="24"/>
              </w:rPr>
              <w:t>has the same meaning as in step 3.</w:t>
            </w:r>
          </w:p>
          <w:p w14:paraId="0273D393" w14:textId="77777777" w:rsidR="00872C03" w:rsidRPr="00883399" w:rsidRDefault="00872C03" w:rsidP="0031057E">
            <w:pPr>
              <w:pStyle w:val="TableText"/>
              <w:rPr>
                <w:b/>
                <w:i/>
                <w:iCs/>
                <w:sz w:val="24"/>
              </w:rPr>
            </w:pPr>
            <w:r w:rsidRPr="00883399">
              <w:rPr>
                <w:b/>
                <w:i/>
                <w:sz w:val="24"/>
              </w:rPr>
              <w:t>CCF</w:t>
            </w:r>
            <w:r w:rsidRPr="00883399">
              <w:rPr>
                <w:b/>
                <w:i/>
                <w:sz w:val="24"/>
                <w:vertAlign w:val="subscript"/>
              </w:rPr>
              <w:t xml:space="preserve">r </w:t>
            </w:r>
            <w:r w:rsidRPr="00883399">
              <w:rPr>
                <w:sz w:val="24"/>
              </w:rPr>
              <w:t>has the same meaning as in step 3.</w:t>
            </w:r>
          </w:p>
        </w:tc>
      </w:tr>
      <w:tr w:rsidR="00872C03" w:rsidRPr="00883399" w14:paraId="3F8C00CB" w14:textId="77777777" w:rsidTr="0031057E">
        <w:trPr>
          <w:cantSplit/>
          <w:trHeight w:val="755"/>
        </w:trPr>
        <w:tc>
          <w:tcPr>
            <w:tcW w:w="882" w:type="dxa"/>
          </w:tcPr>
          <w:p w14:paraId="791A5DB0" w14:textId="77777777" w:rsidR="00872C03" w:rsidRPr="00883399" w:rsidRDefault="00872C03" w:rsidP="0031057E">
            <w:pPr>
              <w:spacing w:before="60" w:after="60"/>
              <w:rPr>
                <w:i/>
              </w:rPr>
            </w:pPr>
          </w:p>
        </w:tc>
        <w:tc>
          <w:tcPr>
            <w:tcW w:w="6678" w:type="dxa"/>
          </w:tcPr>
          <w:p w14:paraId="03892639" w14:textId="77777777" w:rsidR="00872C03" w:rsidRPr="00883399" w:rsidRDefault="00872C03" w:rsidP="0031057E">
            <w:pPr>
              <w:pStyle w:val="TableText"/>
              <w:rPr>
                <w:rFonts w:ascii="Symbol" w:hAnsi="Symbol"/>
                <w:b/>
                <w:i/>
                <w:sz w:val="24"/>
              </w:rPr>
            </w:pPr>
            <w:r w:rsidRPr="00883399">
              <w:rPr>
                <w:b/>
                <w:i/>
                <w:iCs/>
                <w:sz w:val="24"/>
              </w:rPr>
              <w:t>ΔS</w:t>
            </w:r>
            <w:r w:rsidRPr="00883399">
              <w:rPr>
                <w:b/>
                <w:i/>
                <w:iCs/>
                <w:sz w:val="24"/>
                <w:szCs w:val="18"/>
                <w:vertAlign w:val="subscript"/>
              </w:rPr>
              <w:t>y</w:t>
            </w:r>
            <w:r w:rsidRPr="00883399">
              <w:rPr>
                <w:b/>
                <w:i/>
                <w:iCs/>
                <w:sz w:val="24"/>
                <w:vertAlign w:val="subscript"/>
              </w:rPr>
              <w:t>r</w:t>
            </w:r>
            <w:r w:rsidRPr="00883399">
              <w:rPr>
                <w:iCs/>
                <w:sz w:val="24"/>
              </w:rPr>
              <w:t xml:space="preserve"> is the </w:t>
            </w:r>
            <w:r w:rsidRPr="00883399">
              <w:rPr>
                <w:sz w:val="24"/>
              </w:rPr>
              <w:t>change in stocks</w:t>
            </w:r>
            <w:r w:rsidRPr="00883399">
              <w:rPr>
                <w:iCs/>
                <w:sz w:val="24"/>
              </w:rPr>
              <w:t xml:space="preserve"> of waste by</w:t>
            </w:r>
            <w:r w:rsidRPr="00883399">
              <w:rPr>
                <w:iCs/>
                <w:sz w:val="24"/>
              </w:rPr>
              <w:noBreakHyphen/>
              <w:t>product types (</w:t>
            </w:r>
            <w:r w:rsidRPr="00883399">
              <w:rPr>
                <w:b/>
                <w:i/>
                <w:iCs/>
                <w:sz w:val="24"/>
              </w:rPr>
              <w:t>r</w:t>
            </w:r>
            <w:r w:rsidRPr="00883399">
              <w:rPr>
                <w:iCs/>
                <w:sz w:val="24"/>
              </w:rPr>
              <w:t xml:space="preserve">) produced from the operation of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872C03" w:rsidRPr="00883399" w14:paraId="46DB91C6" w14:textId="77777777" w:rsidTr="0031057E">
        <w:tblPrEx>
          <w:tblLook w:val="04A0" w:firstRow="1" w:lastRow="0" w:firstColumn="1" w:lastColumn="0" w:noHBand="0" w:noVBand="1"/>
        </w:tblPrEx>
        <w:trPr>
          <w:cantSplit/>
          <w:trHeight w:val="610"/>
        </w:trPr>
        <w:tc>
          <w:tcPr>
            <w:tcW w:w="882" w:type="dxa"/>
          </w:tcPr>
          <w:p w14:paraId="79074C67" w14:textId="77777777" w:rsidR="00872C03" w:rsidRPr="00883399" w:rsidRDefault="00872C03" w:rsidP="0031057E">
            <w:pPr>
              <w:spacing w:before="60" w:after="60"/>
              <w:rPr>
                <w:i/>
              </w:rPr>
            </w:pPr>
          </w:p>
        </w:tc>
        <w:tc>
          <w:tcPr>
            <w:tcW w:w="6678" w:type="dxa"/>
            <w:hideMark/>
          </w:tcPr>
          <w:p w14:paraId="280AF166" w14:textId="77777777" w:rsidR="00872C03" w:rsidRPr="00883399" w:rsidRDefault="00872C03" w:rsidP="0031057E">
            <w:pPr>
              <w:pStyle w:val="TableText"/>
              <w:rPr>
                <w:rFonts w:ascii="Symbol" w:hAnsi="Symbol"/>
                <w:b/>
                <w:i/>
                <w:sz w:val="24"/>
              </w:rPr>
            </w:pPr>
            <w:r w:rsidRPr="00883399">
              <w:rPr>
                <w:b/>
                <w:i/>
                <w:sz w:val="24"/>
              </w:rPr>
              <w:t>α</w:t>
            </w:r>
            <w:r w:rsidRPr="00883399">
              <w:rPr>
                <w:sz w:val="24"/>
              </w:rPr>
              <w:t xml:space="preserve"> is the factor </w:t>
            </w:r>
            <w:r w:rsidR="00C66508" w:rsidRPr="00883399">
              <w:rPr>
                <w:noProof/>
                <w:sz w:val="24"/>
              </w:rPr>
              <mc:AlternateContent>
                <mc:Choice Requires="wpc">
                  <w:drawing>
                    <wp:inline distT="0" distB="0" distL="0" distR="0" wp14:anchorId="5B3CDC63" wp14:editId="48DFB91A">
                      <wp:extent cx="257175" cy="352425"/>
                      <wp:effectExtent l="0" t="0" r="0" b="0"/>
                      <wp:docPr id="74" name="Canvas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8" name="Rectangle 212"/>
                              <wps:cNvSpPr>
                                <a:spLocks noChangeArrowheads="1"/>
                              </wps:cNvSpPr>
                              <wps:spPr bwMode="auto">
                                <a:xfrm>
                                  <a:off x="83820" y="10178"/>
                                  <a:ext cx="51435" cy="117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C7A2F" w14:textId="77777777" w:rsidR="00F8313C" w:rsidRDefault="00F8313C" w:rsidP="00872C03">
                                    <w:r>
                                      <w:rPr>
                                        <w:color w:val="000000"/>
                                        <w:position w:val="-12"/>
                                        <w:sz w:val="16"/>
                                        <w:szCs w:val="16"/>
                                        <w:lang w:val="en-US"/>
                                      </w:rPr>
                                      <w:t>1</w:t>
                                    </w:r>
                                  </w:p>
                                </w:txbxContent>
                              </wps:txbx>
                              <wps:bodyPr rot="0" vert="horz" wrap="none" lIns="0" tIns="0" rIns="0" bIns="0" anchor="t" anchorCtr="0" upright="1">
                                <a:noAutofit/>
                              </wps:bodyPr>
                            </wps:wsp>
                            <wps:wsp>
                              <wps:cNvPr id="69" name="Line 213"/>
                              <wps:cNvCnPr>
                                <a:cxnSpLocks noChangeShapeType="1"/>
                              </wps:cNvCnPr>
                              <wps:spPr bwMode="auto">
                                <a:xfrm>
                                  <a:off x="13970" y="139316"/>
                                  <a:ext cx="205105" cy="636"/>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214"/>
                              <wps:cNvSpPr>
                                <a:spLocks noChangeArrowheads="1"/>
                              </wps:cNvSpPr>
                              <wps:spPr bwMode="auto">
                                <a:xfrm>
                                  <a:off x="0" y="166670"/>
                                  <a:ext cx="229235" cy="117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95B43" w14:textId="77777777" w:rsidR="00F8313C" w:rsidRDefault="00F8313C" w:rsidP="00872C03">
                                    <w:pPr>
                                      <w:spacing w:line="240" w:lineRule="auto"/>
                                      <w:rPr>
                                        <w:position w:val="-12"/>
                                        <w:sz w:val="16"/>
                                        <w:szCs w:val="16"/>
                                      </w:rPr>
                                    </w:pPr>
                                    <w:r>
                                      <w:rPr>
                                        <w:color w:val="000000"/>
                                        <w:position w:val="-12"/>
                                        <w:sz w:val="16"/>
                                        <w:szCs w:val="16"/>
                                        <w:lang w:val="en-US"/>
                                      </w:rPr>
                                      <w:t>3.664</w:t>
                                    </w:r>
                                  </w:p>
                                </w:txbxContent>
                              </wps:txbx>
                              <wps:bodyPr rot="0" vert="horz" wrap="none" lIns="0" tIns="0" rIns="0" bIns="0" anchor="t" anchorCtr="0" upright="1">
                                <a:noAutofit/>
                              </wps:bodyPr>
                            </wps:wsp>
                          </wpc:wpc>
                        </a:graphicData>
                      </a:graphic>
                    </wp:inline>
                  </w:drawing>
                </mc:Choice>
                <mc:Fallback>
                  <w:pict>
                    <v:group w14:anchorId="5B3CDC63" id="Canvas 43" o:spid="_x0000_s1054" editas="canvas" style="width:20.25pt;height:27.75pt;mso-position-horizontal-relative:char;mso-position-vertical-relative:line" coordsize="2571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">
                      <v:shape id="_x0000_s1055" type="#_x0000_t75" style="position:absolute;width:257175;height:352425;visibility:visible;mso-wrap-style:square">
                        <v:fill o:detectmouseclick="t"/>
                        <v:path o:connecttype="none"/>
                      </v:shape>
                      <v:rect id="Rectangle 212" o:spid="_x0000_s1056" style="position:absolute;left:83820;top:10178;width:51435;height:1170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GcEA&#10;AADbAAAADwAAAGRycy9kb3ducmV2LnhtbERP3WrCMBS+H+wdwhl4N9OOUWY1lk4YysALqw9waI5N&#10;XXNSk0y7t18uBrv8+P5X1WQHcSMfescK8nkGgrh1uudOwen48fwGIkRkjYNjUvBDAar148MKS+3u&#10;fKBbEzuRQjiUqMDEOJZShtaQxTB3I3Hizs5bjAn6TmqP9xRuB/mSZYW02HNqMDjSxlD71XxbBfS+&#10;PSwudTB76fOQ7z+Lxev2qtTsaaqXICJN8V/8595pBUUam7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niBnBAAAA2wAAAA8AAAAAAAAAAAAAAAAAmAIAAGRycy9kb3du&#10;cmV2LnhtbFBLBQYAAAAABAAEAPUAAACGAwAAAAA=&#10;" filled="f" stroked="f">
                        <v:textbox inset="0,0,0,0">
                          <w:txbxContent>
                            <w:p w14:paraId="151C7A2F" w14:textId="77777777" w:rsidR="00F8313C" w:rsidRDefault="00F8313C" w:rsidP="00872C03">
                              <w:r>
                                <w:rPr>
                                  <w:color w:val="000000"/>
                                  <w:position w:val="-12"/>
                                  <w:sz w:val="16"/>
                                  <w:szCs w:val="16"/>
                                  <w:lang w:val="en-US"/>
                                </w:rPr>
                                <w:t>1</w:t>
                              </w:r>
                            </w:p>
                          </w:txbxContent>
                        </v:textbox>
                      </v:rect>
                      <v:line id="Line 213" o:spid="_x0000_s1057" style="position:absolute;visibility:visible;mso-wrap-style:square" from="13970,139316" to="219075,13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c5aMQAAADbAAAADwAAAGRycy9kb3ducmV2LnhtbESPzW7CMBCE70i8g7VI3MBpD/ykGFRV&#10;rRqOJLlwW+IliRqvI9uFwNNjpEo9jmbmG81mN5hOXMj51rKCl3kCgriyuuVaQVl8zVYgfEDW2Fkm&#10;BTfysNuORxtMtb3ygS55qEWEsE9RQRNCn0rpq4YM+rntiaN3ts5giNLVUju8Rrjp5GuSLKTBluNC&#10;gz19NFT95L9GwT0rPstj9n04lfdjsbe5d8vzSqnpZHh/AxFoCP/hv3amFSzW8PwSf4D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VzloxAAAANsAAAAPAAAAAAAAAAAA&#10;AAAAAKECAABkcnMvZG93bnJldi54bWxQSwUGAAAAAAQABAD5AAAAkgMAAAAA&#10;" strokeweight="28e-5mm"/>
                      <v:rect id="Rectangle 214" o:spid="_x0000_s1058" style="position:absolute;top:166670;width:229235;height:1176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wsAA&#10;AADbAAAADwAAAGRycy9kb3ducmV2LnhtbERPzWoCMRC+F3yHMEJvNbsitq5GUUEsggetDzBsxs3q&#10;ZrImUbdv3xyEHj++/9mis414kA+1YwX5IANBXDpdc6Xg9LP5+AIRIrLGxjEp+KUAi3nvbYaFdk8+&#10;0OMYK5FCOBSowMTYFlKG0pDFMHAtceLOzluMCfpKao/PFG4bOcyysbRYc2ow2NLaUHk93q0CWm0P&#10;k8symL30ecj3u/FktL0p9d7vllMQkbr4L365v7WCz7Q+fUk/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SwsAAAADbAAAADwAAAAAAAAAAAAAAAACYAgAAZHJzL2Rvd25y&#10;ZXYueG1sUEsFBgAAAAAEAAQA9QAAAIUDAAAAAA==&#10;" filled="f" stroked="f">
                        <v:textbox inset="0,0,0,0">
                          <w:txbxContent>
                            <w:p w14:paraId="7F995B43" w14:textId="77777777" w:rsidR="00F8313C" w:rsidRDefault="00F8313C" w:rsidP="00872C03">
                              <w:pPr>
                                <w:spacing w:line="240" w:lineRule="auto"/>
                                <w:rPr>
                                  <w:position w:val="-12"/>
                                  <w:sz w:val="16"/>
                                  <w:szCs w:val="16"/>
                                </w:rPr>
                              </w:pPr>
                              <w:r>
                                <w:rPr>
                                  <w:color w:val="000000"/>
                                  <w:position w:val="-12"/>
                                  <w:sz w:val="16"/>
                                  <w:szCs w:val="16"/>
                                  <w:lang w:val="en-US"/>
                                </w:rPr>
                                <w:t>3.664</w:t>
                              </w:r>
                            </w:p>
                          </w:txbxContent>
                        </v:textbox>
                      </v:rect>
                      <w10:anchorlock/>
                    </v:group>
                  </w:pict>
                </mc:Fallback>
              </mc:AlternateContent>
            </w:r>
            <w:r w:rsidRPr="00883399">
              <w:rPr>
                <w:sz w:val="24"/>
              </w:rPr>
              <w:t>for converting the mass of carbon dioxide to a mass of carbon.</w:t>
            </w:r>
          </w:p>
        </w:tc>
      </w:tr>
      <w:tr w:rsidR="00872C03" w:rsidRPr="00883399" w14:paraId="5C04B930" w14:textId="77777777" w:rsidTr="0031057E">
        <w:trPr>
          <w:cantSplit/>
        </w:trPr>
        <w:tc>
          <w:tcPr>
            <w:tcW w:w="882" w:type="dxa"/>
          </w:tcPr>
          <w:p w14:paraId="707429DA" w14:textId="77777777" w:rsidR="00872C03" w:rsidRPr="00883399" w:rsidRDefault="00872C03" w:rsidP="0031057E">
            <w:pPr>
              <w:spacing w:before="60" w:after="60"/>
              <w:rPr>
                <w:i/>
              </w:rPr>
            </w:pPr>
          </w:p>
        </w:tc>
        <w:tc>
          <w:tcPr>
            <w:tcW w:w="6678" w:type="dxa"/>
          </w:tcPr>
          <w:p w14:paraId="337670A1" w14:textId="77777777" w:rsidR="00872C03" w:rsidRPr="00883399" w:rsidRDefault="00872C03" w:rsidP="0031057E">
            <w:pPr>
              <w:pStyle w:val="TableText"/>
              <w:rPr>
                <w:iCs/>
                <w:sz w:val="24"/>
                <w:szCs w:val="22"/>
              </w:rPr>
            </w:pPr>
            <w:r w:rsidRPr="00883399">
              <w:rPr>
                <w:b/>
                <w:i/>
                <w:sz w:val="24"/>
                <w:szCs w:val="22"/>
              </w:rPr>
              <w:t xml:space="preserve">γ </w:t>
            </w:r>
            <w:r w:rsidRPr="00883399">
              <w:rPr>
                <w:sz w:val="24"/>
                <w:szCs w:val="22"/>
              </w:rPr>
              <w:t>is the factor 1.861 × 10</w:t>
            </w:r>
            <w:r w:rsidRPr="00883399">
              <w:rPr>
                <w:sz w:val="24"/>
                <w:szCs w:val="22"/>
                <w:vertAlign w:val="superscript"/>
              </w:rPr>
              <w:noBreakHyphen/>
              <w:t xml:space="preserve">3 </w:t>
            </w:r>
            <w:r w:rsidRPr="00883399">
              <w:rPr>
                <w:sz w:val="24"/>
                <w:szCs w:val="22"/>
              </w:rPr>
              <w:t>for converting a quantity of carbon dioxide from cubic metres at standard conditions of pressure and temperature to CO</w:t>
            </w:r>
            <w:r w:rsidRPr="00883399">
              <w:rPr>
                <w:sz w:val="24"/>
                <w:szCs w:val="22"/>
                <w:vertAlign w:val="subscript"/>
              </w:rPr>
              <w:t>2</w:t>
            </w:r>
            <w:r w:rsidRPr="00883399">
              <w:rPr>
                <w:sz w:val="24"/>
                <w:szCs w:val="22"/>
              </w:rPr>
              <w:noBreakHyphen/>
              <w:t>e tonnes.</w:t>
            </w:r>
          </w:p>
          <w:p w14:paraId="61CBA1A2" w14:textId="77777777" w:rsidR="00872C03" w:rsidRPr="00883399" w:rsidRDefault="00872C03" w:rsidP="0031057E">
            <w:pPr>
              <w:pStyle w:val="TableText"/>
              <w:spacing w:line="240" w:lineRule="auto"/>
              <w:rPr>
                <w:rFonts w:ascii="Symbol" w:hAnsi="Symbol"/>
                <w:b/>
                <w:i/>
                <w:sz w:val="24"/>
                <w:szCs w:val="22"/>
              </w:rPr>
            </w:pPr>
            <w:r w:rsidRPr="00883399">
              <w:rPr>
                <w:b/>
                <w:i/>
                <w:sz w:val="24"/>
                <w:szCs w:val="22"/>
              </w:rPr>
              <w:t>RCCS</w:t>
            </w:r>
            <w:r w:rsidRPr="00883399">
              <w:rPr>
                <w:b/>
                <w:i/>
                <w:sz w:val="24"/>
                <w:szCs w:val="22"/>
                <w:vertAlign w:val="subscript"/>
              </w:rPr>
              <w:t>CO</w:t>
            </w:r>
            <w:r w:rsidRPr="00883399">
              <w:rPr>
                <w:b/>
                <w:i/>
                <w:position w:val="-4"/>
                <w:sz w:val="24"/>
                <w:szCs w:val="22"/>
                <w:vertAlign w:val="subscript"/>
              </w:rPr>
              <w:t>2</w:t>
            </w:r>
            <w:r w:rsidRPr="00883399">
              <w:rPr>
                <w:sz w:val="24"/>
                <w:szCs w:val="22"/>
              </w:rPr>
              <w:t xml:space="preserve"> is carbon dioxide captured for permanent storage measured in cubic metres in accordance with Division 1.2.3.</w:t>
            </w:r>
          </w:p>
        </w:tc>
      </w:tr>
    </w:tbl>
    <w:p w14:paraId="3C415183" w14:textId="77777777" w:rsidR="00872C03" w:rsidRPr="00883399" w:rsidRDefault="00872C03" w:rsidP="00872C03">
      <w:pPr>
        <w:pStyle w:val="subsection"/>
        <w:rPr>
          <w:sz w:val="24"/>
        </w:rPr>
      </w:pPr>
      <w:r w:rsidRPr="00883399">
        <w:rPr>
          <w:sz w:val="24"/>
        </w:rPr>
        <w:tab/>
        <w:t>(2)</w:t>
      </w:r>
      <w:r w:rsidRPr="00883399">
        <w:rPr>
          <w:sz w:val="24"/>
        </w:rPr>
        <w:tab/>
        <w:t>If a fuel type (</w:t>
      </w:r>
      <w:r w:rsidRPr="00883399">
        <w:rPr>
          <w:b/>
          <w:i/>
          <w:sz w:val="24"/>
        </w:rPr>
        <w:t>i</w:t>
      </w:r>
      <w:r w:rsidRPr="00883399">
        <w:rPr>
          <w:sz w:val="24"/>
        </w:rPr>
        <w:t>) or carbonaceous input material delivered for the activity during the year accounts for more than 5% of total carbon input for the activity based on a calculation using the factors specified in Schedule 3, sampling and analysis of fuel type</w:t>
      </w:r>
      <w:r w:rsidRPr="00883399">
        <w:rPr>
          <w:b/>
          <w:i/>
          <w:sz w:val="24"/>
        </w:rPr>
        <w:t xml:space="preserve"> (i) </w:t>
      </w:r>
      <w:r w:rsidRPr="00883399">
        <w:rPr>
          <w:sz w:val="24"/>
        </w:rPr>
        <w:t>or carbonaceous input material must be carried out to determine its carbon content.</w:t>
      </w:r>
    </w:p>
    <w:p w14:paraId="30E0D7B9" w14:textId="77777777" w:rsidR="00872C03" w:rsidRPr="00883399" w:rsidRDefault="00872C03" w:rsidP="00872C03">
      <w:pPr>
        <w:pStyle w:val="subsection"/>
        <w:rPr>
          <w:sz w:val="24"/>
        </w:rPr>
      </w:pPr>
      <w:r w:rsidRPr="00883399">
        <w:rPr>
          <w:sz w:val="24"/>
        </w:rPr>
        <w:tab/>
        <w:t>(3)</w:t>
      </w:r>
      <w:r w:rsidRPr="00883399">
        <w:rPr>
          <w:sz w:val="24"/>
        </w:rPr>
        <w:tab/>
        <w:t>The sampling and analysis is to be carried out using the sampling and analysis provided for in Divisions 2.2.3, 2.3.3 and 2.4.3 that apply to the combustion of solid, liquid or gaseous fuels.</w:t>
      </w:r>
    </w:p>
    <w:p w14:paraId="3CC09279" w14:textId="469442E8" w:rsidR="00872C03" w:rsidRPr="00883399" w:rsidRDefault="00872C03" w:rsidP="00872C03">
      <w:pPr>
        <w:pStyle w:val="ActHead5"/>
        <w:rPr>
          <w:sz w:val="28"/>
        </w:rPr>
      </w:pPr>
      <w:bookmarkStart w:id="969" w:name="_Toc423517081"/>
      <w:bookmarkStart w:id="970" w:name="_Toc495653013"/>
      <w:r w:rsidRPr="00883399">
        <w:rPr>
          <w:rStyle w:val="CharSectno"/>
          <w:sz w:val="28"/>
        </w:rPr>
        <w:t>4.68</w:t>
      </w:r>
      <w:r w:rsidRPr="00883399">
        <w:rPr>
          <w:sz w:val="28"/>
        </w:rPr>
        <w:t xml:space="preserve">  Method 3—production of a metal from an integrated metalworks</w:t>
      </w:r>
      <w:bookmarkEnd w:id="969"/>
      <w:bookmarkEnd w:id="970"/>
    </w:p>
    <w:p w14:paraId="42C003A0" w14:textId="77777777" w:rsidR="00872C03" w:rsidRPr="00883399" w:rsidRDefault="00872C03" w:rsidP="00872C03">
      <w:pPr>
        <w:pStyle w:val="subsection"/>
        <w:rPr>
          <w:sz w:val="24"/>
        </w:rPr>
      </w:pPr>
      <w:r w:rsidRPr="00883399">
        <w:rPr>
          <w:sz w:val="24"/>
        </w:rPr>
        <w:tab/>
        <w:t>(1)</w:t>
      </w:r>
      <w:r w:rsidRPr="00883399">
        <w:rPr>
          <w:sz w:val="24"/>
        </w:rPr>
        <w:tab/>
        <w:t>Subject to this section, method 3 is the same as method 2 under section 4.67.</w:t>
      </w:r>
    </w:p>
    <w:p w14:paraId="5B57D888" w14:textId="77777777" w:rsidR="00872C03" w:rsidRPr="00883399" w:rsidRDefault="00872C03" w:rsidP="00872C03">
      <w:pPr>
        <w:pStyle w:val="subsection"/>
        <w:rPr>
          <w:sz w:val="24"/>
        </w:rPr>
      </w:pPr>
      <w:r w:rsidRPr="00883399">
        <w:rPr>
          <w:sz w:val="24"/>
        </w:rPr>
        <w:tab/>
        <w:t>(2)</w:t>
      </w:r>
      <w:r w:rsidRPr="00883399">
        <w:rPr>
          <w:sz w:val="24"/>
        </w:rPr>
        <w:tab/>
        <w:t>If a fuel type (</w:t>
      </w:r>
      <w:r w:rsidRPr="00883399">
        <w:rPr>
          <w:b/>
          <w:i/>
          <w:sz w:val="24"/>
        </w:rPr>
        <w:t>i</w:t>
      </w:r>
      <w:r w:rsidRPr="00883399">
        <w:rPr>
          <w:sz w:val="24"/>
        </w:rPr>
        <w:t xml:space="preserve">) or carbonaceous input material delivered for the activity during the year accounts for more than 5% of total carbon input for the activity based on a calculation using the factors specified in Schedule 3, </w:t>
      </w:r>
      <w:r w:rsidRPr="00883399">
        <w:rPr>
          <w:sz w:val="24"/>
        </w:rPr>
        <w:lastRenderedPageBreak/>
        <w:t>sampling and analysis of fuel type</w:t>
      </w:r>
      <w:r w:rsidRPr="00883399">
        <w:rPr>
          <w:b/>
          <w:i/>
          <w:sz w:val="24"/>
        </w:rPr>
        <w:t xml:space="preserve"> (i) </w:t>
      </w:r>
      <w:r w:rsidRPr="00883399">
        <w:rPr>
          <w:sz w:val="24"/>
        </w:rPr>
        <w:t>or carbonaceous input material must be carried out to determine its carbon content.</w:t>
      </w:r>
    </w:p>
    <w:p w14:paraId="541AB737" w14:textId="77777777" w:rsidR="00872C03" w:rsidRPr="00883399" w:rsidRDefault="00872C03" w:rsidP="00872C03">
      <w:pPr>
        <w:pStyle w:val="subsection"/>
        <w:rPr>
          <w:sz w:val="24"/>
        </w:rPr>
      </w:pPr>
      <w:r w:rsidRPr="00883399">
        <w:rPr>
          <w:sz w:val="24"/>
        </w:rPr>
        <w:tab/>
        <w:t>(3)</w:t>
      </w:r>
      <w:r w:rsidRPr="00883399">
        <w:rPr>
          <w:sz w:val="24"/>
        </w:rPr>
        <w:tab/>
        <w:t>The sampling and analysis is to be carried out using the methods set out in Divisions 2.2.4, 2.3.4 and 2.4.4 that apply to the combustion of solid, liquid or gaseous fuels:</w:t>
      </w:r>
    </w:p>
    <w:p w14:paraId="1FF3A2B5" w14:textId="77777777" w:rsidR="006E1310" w:rsidRPr="00883399" w:rsidRDefault="006E1310" w:rsidP="006E1310">
      <w:pPr>
        <w:pStyle w:val="R2"/>
        <w:keepNext/>
      </w:pPr>
    </w:p>
    <w:p w14:paraId="60B5B88B" w14:textId="77777777" w:rsidR="006E1310" w:rsidRPr="00883399" w:rsidRDefault="006E1310" w:rsidP="006E1310">
      <w:pPr>
        <w:pBdr>
          <w:top w:val="single" w:sz="4" w:space="1" w:color="auto"/>
          <w:left w:val="single" w:sz="4" w:space="4" w:color="auto"/>
          <w:bottom w:val="single" w:sz="4" w:space="1" w:color="auto"/>
          <w:right w:val="single" w:sz="4" w:space="4" w:color="auto"/>
        </w:pBdr>
        <w:rPr>
          <w:lang w:eastAsia="en-US"/>
        </w:rPr>
      </w:pPr>
      <w:r w:rsidRPr="00883399">
        <w:rPr>
          <w:b/>
          <w:sz w:val="28"/>
          <w:szCs w:val="28"/>
          <w:lang w:eastAsia="en-US"/>
        </w:rPr>
        <w:t>Estimating emissions from iron and steel production</w:t>
      </w:r>
    </w:p>
    <w:p w14:paraId="36758E94"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lang w:eastAsia="en-US"/>
        </w:rPr>
      </w:pPr>
      <w:r w:rsidRPr="00883399">
        <w:rPr>
          <w:lang w:eastAsia="en-US"/>
        </w:rPr>
        <w:t>Iron and Steel production can involve integrated processes such as coke making and steel furnace operations within a facility. The complex carbon and energy flows within the integrated facility can make the estimation of total emissions difficult to estimate when a bottom-up approach is taken. The carbon mass balance provides a top-down approach that simplifies the emission estimation process in this case, allowing the emissions to be estimated as a whole, while taking into account the carbon input and outputs to the facility as well as stockpile changes.</w:t>
      </w:r>
    </w:p>
    <w:p w14:paraId="56EB94B0"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lang w:eastAsia="en-US"/>
        </w:rPr>
      </w:pPr>
      <w:r w:rsidRPr="00883399">
        <w:rPr>
          <w:lang w:eastAsia="en-US"/>
        </w:rPr>
        <w:t xml:space="preserve">An emission estimation example using the method 1 carbon balance approach is provided below. The example is of an integrated iron and steel facility that uses coke oven coke, coking coal and fuel oil to produce coke, iron and then steel. The facility also produces coal tar and waste containing carbon, in addition to experiencing fuel stock changes during the year. The relevant data for the integrated iron and steel facility is outlined in the table below. </w:t>
      </w:r>
    </w:p>
    <w:p w14:paraId="26B4045F" w14:textId="77777777" w:rsidR="006E1310" w:rsidRPr="00883399" w:rsidRDefault="006E1310" w:rsidP="006E1310">
      <w:pPr>
        <w:keepNext/>
        <w:pBdr>
          <w:top w:val="single" w:sz="4" w:space="1" w:color="auto"/>
          <w:left w:val="single" w:sz="4" w:space="4" w:color="auto"/>
          <w:bottom w:val="single" w:sz="4" w:space="1" w:color="auto"/>
          <w:right w:val="single" w:sz="4" w:space="4" w:color="auto"/>
        </w:pBdr>
        <w:spacing w:after="240"/>
        <w:rPr>
          <w:lang w:eastAsia="en-US"/>
        </w:rPr>
      </w:pPr>
      <w:r w:rsidRPr="00883399">
        <w:rPr>
          <w:lang w:eastAsia="en-US"/>
        </w:rPr>
        <w:lastRenderedPageBreak/>
        <w:t>Data inputs for integrated iron and steel carbon balance example.</w:t>
      </w:r>
    </w:p>
    <w:bookmarkStart w:id="971" w:name="_MON_1402390304"/>
    <w:bookmarkEnd w:id="971"/>
    <w:p w14:paraId="63188195"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lang w:eastAsia="en-US"/>
        </w:rPr>
      </w:pPr>
      <w:r w:rsidRPr="00883399">
        <w:rPr>
          <w:lang w:eastAsia="en-US"/>
        </w:rPr>
        <w:object w:dxaOrig="8274" w:dyaOrig="4946" w14:anchorId="49CCECF1">
          <v:shape id="_x0000_i1076" type="#_x0000_t75" style="width:417pt;height:249pt" o:ole="">
            <v:imagedata r:id="rId221" o:title=""/>
          </v:shape>
          <o:OLEObject Type="Embed" ProgID="Word.Document.12" ShapeID="_x0000_i1076" DrawAspect="Content" ObjectID="_1594105967" r:id="rId222">
            <o:FieldCodes>\s</o:FieldCodes>
          </o:OLEObject>
        </w:object>
      </w:r>
    </w:p>
    <w:p w14:paraId="3E301F80" w14:textId="77777777" w:rsidR="006E1310" w:rsidRPr="00883399" w:rsidRDefault="006E1310" w:rsidP="006E1310">
      <w:pPr>
        <w:pBdr>
          <w:top w:val="single" w:sz="4" w:space="1" w:color="auto"/>
          <w:left w:val="single" w:sz="4" w:space="4" w:color="auto"/>
          <w:bottom w:val="single" w:sz="4" w:space="1" w:color="auto"/>
          <w:right w:val="single" w:sz="4" w:space="4" w:color="auto"/>
        </w:pBdr>
        <w:shd w:val="clear" w:color="auto" w:fill="D9D9D9"/>
        <w:spacing w:after="240"/>
        <w:rPr>
          <w:i/>
          <w:lang w:eastAsia="en-US"/>
        </w:rPr>
      </w:pPr>
      <w:r w:rsidRPr="00883399">
        <w:rPr>
          <w:i/>
          <w:lang w:eastAsia="en-US"/>
        </w:rPr>
        <w:t>Step 1</w:t>
      </w:r>
      <w:r w:rsidRPr="00883399">
        <w:rPr>
          <w:i/>
          <w:lang w:eastAsia="en-US"/>
        </w:rPr>
        <w:tab/>
        <w:t>Calculate the carbon content in fuel types (i) or carbonaceous input material delivered for the activity during the year measured in tonnes of carbon as follows:</w:t>
      </w:r>
    </w:p>
    <w:p w14:paraId="57353A54"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720"/>
          <w:tab w:val="left" w:pos="1440"/>
          <w:tab w:val="left" w:pos="1848"/>
        </w:tabs>
        <w:spacing w:after="240"/>
        <w:rPr>
          <w:lang w:eastAsia="en-US"/>
        </w:rPr>
      </w:pPr>
      <w:r w:rsidRPr="00883399">
        <w:rPr>
          <w:lang w:eastAsia="en-US"/>
        </w:rPr>
        <w:tab/>
        <w:t>Where:</w:t>
      </w:r>
      <w:r w:rsidRPr="00883399">
        <w:rPr>
          <w:lang w:eastAsia="en-US"/>
        </w:rPr>
        <w:tab/>
      </w:r>
    </w:p>
    <w:p w14:paraId="300B97A3"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720"/>
          <w:tab w:val="left" w:pos="1440"/>
          <w:tab w:val="left" w:pos="1848"/>
        </w:tabs>
        <w:spacing w:after="240"/>
        <w:jc w:val="center"/>
        <w:rPr>
          <w:lang w:eastAsia="en-US"/>
        </w:rPr>
      </w:pPr>
      <w:r w:rsidRPr="00883399">
        <w:rPr>
          <w:position w:val="-10"/>
          <w:lang w:eastAsia="en-US"/>
        </w:rPr>
        <w:object w:dxaOrig="1440" w:dyaOrig="340" w14:anchorId="55AAB2DD">
          <v:shape id="_x0000_i1077" type="#_x0000_t75" style="width:1in;height:15.75pt" o:ole="">
            <v:imagedata r:id="rId68" o:title=""/>
          </v:shape>
          <o:OLEObject Type="Embed" ProgID="Equation.DSMT4" ShapeID="_x0000_i1077" DrawAspect="Content" ObjectID="_1594105968" r:id="rId223"/>
        </w:object>
      </w:r>
    </w:p>
    <w:p w14:paraId="47C50A00"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lang w:eastAsia="en-US"/>
        </w:rPr>
      </w:pPr>
      <w:r w:rsidRPr="00883399">
        <w:rPr>
          <w:b/>
          <w:i/>
          <w:lang w:eastAsia="en-US"/>
        </w:rPr>
        <w:t>CCF</w:t>
      </w:r>
      <w:r w:rsidRPr="00883399">
        <w:rPr>
          <w:b/>
          <w:i/>
          <w:vertAlign w:val="subscript"/>
          <w:lang w:eastAsia="en-US"/>
        </w:rPr>
        <w:t>i</w:t>
      </w:r>
      <w:r w:rsidRPr="00883399">
        <w:rPr>
          <w:b/>
          <w:i/>
          <w:lang w:eastAsia="en-US"/>
        </w:rPr>
        <w:t xml:space="preserve"> </w:t>
      </w:r>
      <w:r w:rsidRPr="00883399">
        <w:rPr>
          <w:lang w:eastAsia="en-US"/>
        </w:rPr>
        <w:t>is the carbon content factor mentioned in Appendix A measured in tonnes of carbon for each appropriate unit of fuel type (i) or carbonaceous input material consumed during the year from the operation of the activity.</w:t>
      </w:r>
    </w:p>
    <w:p w14:paraId="6D1D8E45"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lang w:eastAsia="en-US"/>
        </w:rPr>
      </w:pPr>
      <w:r w:rsidRPr="00883399">
        <w:rPr>
          <w:lang w:eastAsia="en-US"/>
        </w:rPr>
        <w:t>The Method 1 default carbon content factors can be found in Schedule 3 of the NGER (Measurement) Determination and are shown in the table above.</w:t>
      </w:r>
    </w:p>
    <w:p w14:paraId="21E7D8F7"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lang w:eastAsia="en-US"/>
        </w:rPr>
      </w:pPr>
      <w:r w:rsidRPr="00883399">
        <w:rPr>
          <w:b/>
          <w:i/>
          <w:lang w:eastAsia="en-US"/>
        </w:rPr>
        <w:t>Q</w:t>
      </w:r>
      <w:r w:rsidRPr="00883399">
        <w:rPr>
          <w:b/>
          <w:i/>
          <w:vertAlign w:val="subscript"/>
          <w:lang w:eastAsia="en-US"/>
        </w:rPr>
        <w:t>i</w:t>
      </w:r>
      <w:r w:rsidRPr="00883399">
        <w:rPr>
          <w:lang w:eastAsia="en-US"/>
        </w:rPr>
        <w:t xml:space="preserve"> is the quantity of fuel type (i) or carbonaceous input material delivered for the activity during the year measured in an appropriate unit and estimated in accordance </w:t>
      </w:r>
      <w:r w:rsidRPr="00883399">
        <w:rPr>
          <w:lang w:eastAsia="en-US"/>
        </w:rPr>
        <w:lastRenderedPageBreak/>
        <w:t>with criterion A in Division 2.2.5, 2.3.6 and 2.4.6. In this case the quantities of input materials are shown in the table above.</w:t>
      </w:r>
    </w:p>
    <w:p w14:paraId="567B44C9"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b/>
          <w:lang w:eastAsia="en-US"/>
        </w:rPr>
      </w:pPr>
      <w:r w:rsidRPr="00883399">
        <w:rPr>
          <w:b/>
          <w:lang w:eastAsia="en-US"/>
        </w:rPr>
        <w:t>To calculate the carbon content for the input materials:</w:t>
      </w:r>
    </w:p>
    <w:p w14:paraId="520AB0AE"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1701"/>
        </w:tabs>
        <w:rPr>
          <w:lang w:eastAsia="en-US"/>
        </w:rPr>
      </w:pPr>
      <w:r w:rsidRPr="00883399">
        <w:rPr>
          <w:lang w:eastAsia="en-US"/>
        </w:rPr>
        <w:t>Carbon content of coking coal = (750,000 x 0.752) = 564,000 tonnes of carbon</w:t>
      </w:r>
    </w:p>
    <w:p w14:paraId="7F28DEFF"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1701"/>
        </w:tabs>
        <w:rPr>
          <w:lang w:eastAsia="en-US"/>
        </w:rPr>
      </w:pPr>
      <w:r w:rsidRPr="00883399">
        <w:rPr>
          <w:lang w:eastAsia="en-US"/>
        </w:rPr>
        <w:t>Carbon content of fuel oil = (3,000 x 0.797) = 2,391 tonnes of carbon</w:t>
      </w:r>
    </w:p>
    <w:p w14:paraId="5DFFCA08"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b/>
          <w:bdr w:val="single" w:sz="4" w:space="0" w:color="auto"/>
          <w:shd w:val="clear" w:color="auto" w:fill="C4BC96"/>
          <w:lang w:eastAsia="en-US"/>
        </w:rPr>
      </w:pPr>
      <w:r w:rsidRPr="00883399">
        <w:rPr>
          <w:b/>
          <w:lang w:eastAsia="en-US"/>
        </w:rPr>
        <w:tab/>
      </w:r>
      <w:r w:rsidRPr="00883399">
        <w:rPr>
          <w:b/>
          <w:bdr w:val="single" w:sz="4" w:space="0" w:color="auto"/>
          <w:lang w:eastAsia="en-US"/>
        </w:rPr>
        <w:t>Therefore, total carbon</w:t>
      </w:r>
      <w:r w:rsidRPr="00883399">
        <w:rPr>
          <w:bdr w:val="single" w:sz="4" w:space="0" w:color="auto"/>
          <w:lang w:eastAsia="en-US"/>
        </w:rPr>
        <w:t xml:space="preserve"> = (564,000 + 2,391)  </w:t>
      </w:r>
      <w:r w:rsidRPr="00883399">
        <w:rPr>
          <w:b/>
          <w:bdr w:val="single" w:sz="4" w:space="0" w:color="auto"/>
          <w:lang w:eastAsia="en-US"/>
        </w:rPr>
        <w:t>= 566,391 tonnes</w:t>
      </w:r>
      <w:r w:rsidRPr="00883399">
        <w:rPr>
          <w:b/>
          <w:bdr w:val="single" w:sz="4" w:space="0" w:color="auto"/>
          <w:shd w:val="clear" w:color="auto" w:fill="C4BC96"/>
          <w:lang w:eastAsia="en-US"/>
        </w:rPr>
        <w:t xml:space="preserve"> </w:t>
      </w:r>
    </w:p>
    <w:p w14:paraId="38F6763D"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lang w:eastAsia="en-US"/>
        </w:rPr>
      </w:pPr>
    </w:p>
    <w:p w14:paraId="6222DA20" w14:textId="77777777" w:rsidR="006E1310" w:rsidRPr="00883399" w:rsidRDefault="006E1310" w:rsidP="006E1310">
      <w:pPr>
        <w:pBdr>
          <w:top w:val="single" w:sz="4" w:space="1" w:color="auto"/>
          <w:left w:val="single" w:sz="4" w:space="4" w:color="auto"/>
          <w:bottom w:val="single" w:sz="4" w:space="1" w:color="auto"/>
          <w:right w:val="single" w:sz="4" w:space="4" w:color="auto"/>
        </w:pBdr>
        <w:shd w:val="clear" w:color="auto" w:fill="BFBFBF"/>
        <w:spacing w:after="240"/>
        <w:rPr>
          <w:i/>
          <w:lang w:eastAsia="en-US"/>
        </w:rPr>
      </w:pPr>
      <w:r w:rsidRPr="00883399">
        <w:rPr>
          <w:i/>
          <w:lang w:eastAsia="en-US"/>
        </w:rPr>
        <w:t>Step 2</w:t>
      </w:r>
      <w:r w:rsidRPr="00883399">
        <w:rPr>
          <w:i/>
          <w:lang w:eastAsia="en-US"/>
        </w:rPr>
        <w:tab/>
        <w:t>Calculate the carbon content in products (p) leaving the activity during the year measured in tonnes of carbon as follows:</w:t>
      </w:r>
    </w:p>
    <w:p w14:paraId="6E16E0E7"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lang w:eastAsia="en-US"/>
        </w:rPr>
      </w:pPr>
      <w:r w:rsidRPr="00883399">
        <w:rPr>
          <w:lang w:eastAsia="en-US"/>
        </w:rPr>
        <w:tab/>
        <w:t xml:space="preserve">Where: </w:t>
      </w:r>
    </w:p>
    <w:p w14:paraId="7EBEF19B"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jc w:val="center"/>
        <w:rPr>
          <w:lang w:eastAsia="en-US"/>
        </w:rPr>
      </w:pPr>
      <w:r w:rsidRPr="00883399">
        <w:rPr>
          <w:position w:val="-8"/>
          <w:lang w:eastAsia="en-US"/>
        </w:rPr>
        <w:object w:dxaOrig="1560" w:dyaOrig="320" w14:anchorId="109CB5E9">
          <v:shape id="_x0000_i1078" type="#_x0000_t75" style="width:76.5pt;height:15.75pt" o:ole="">
            <v:imagedata r:id="rId70" o:title=""/>
          </v:shape>
          <o:OLEObject Type="Embed" ProgID="Equation.DSMT4" ShapeID="_x0000_i1078" DrawAspect="Content" ObjectID="_1594105969" r:id="rId224"/>
        </w:object>
      </w:r>
    </w:p>
    <w:p w14:paraId="7E47B287"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lang w:eastAsia="en-US"/>
        </w:rPr>
      </w:pPr>
      <w:r w:rsidRPr="00883399">
        <w:rPr>
          <w:b/>
          <w:i/>
          <w:lang w:eastAsia="en-US"/>
        </w:rPr>
        <w:t>CCF</w:t>
      </w:r>
      <w:r w:rsidRPr="00883399">
        <w:rPr>
          <w:b/>
          <w:i/>
          <w:vertAlign w:val="subscript"/>
          <w:lang w:eastAsia="en-US"/>
        </w:rPr>
        <w:t>p</w:t>
      </w:r>
      <w:r w:rsidRPr="00883399">
        <w:rPr>
          <w:lang w:eastAsia="en-US"/>
        </w:rPr>
        <w:t xml:space="preserve"> is the carbon content factor measured in tonnes of carbon for each tonne of product type (p) produced during the year. In this case the carbon content factor of each product type is shown in the table above:</w:t>
      </w:r>
    </w:p>
    <w:p w14:paraId="1F98E28D"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lang w:eastAsia="en-US"/>
        </w:rPr>
      </w:pPr>
      <w:r w:rsidRPr="00883399">
        <w:rPr>
          <w:b/>
          <w:i/>
          <w:lang w:eastAsia="en-US"/>
        </w:rPr>
        <w:t>A</w:t>
      </w:r>
      <w:r w:rsidRPr="00883399">
        <w:rPr>
          <w:b/>
          <w:i/>
          <w:vertAlign w:val="subscript"/>
          <w:lang w:eastAsia="en-US"/>
        </w:rPr>
        <w:t>p</w:t>
      </w:r>
      <w:r w:rsidRPr="00883399">
        <w:rPr>
          <w:lang w:eastAsia="en-US"/>
        </w:rPr>
        <w:t xml:space="preserve"> is the quantity of product types (p) produced leaving the activity during the year measured in tonnes. In this case the quantity of product are shown in the table above:</w:t>
      </w:r>
    </w:p>
    <w:p w14:paraId="4737F84A"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b/>
          <w:lang w:eastAsia="en-US"/>
        </w:rPr>
      </w:pPr>
      <w:r w:rsidRPr="00883399">
        <w:rPr>
          <w:b/>
          <w:lang w:eastAsia="en-US"/>
        </w:rPr>
        <w:t>To calculate the carbon content for the products leaving the activity during the year:</w:t>
      </w:r>
    </w:p>
    <w:p w14:paraId="493D0A25"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1701"/>
        </w:tabs>
        <w:rPr>
          <w:lang w:eastAsia="en-US"/>
        </w:rPr>
      </w:pPr>
      <w:r w:rsidRPr="00883399">
        <w:rPr>
          <w:lang w:eastAsia="en-US"/>
        </w:rPr>
        <w:t>Carbon Content of crude steel</w:t>
      </w:r>
      <w:r w:rsidRPr="00883399">
        <w:rPr>
          <w:lang w:eastAsia="en-US"/>
        </w:rPr>
        <w:tab/>
        <w:t>= (920,000 x 0.0017) = 1,564 tonnes of carbon</w:t>
      </w:r>
    </w:p>
    <w:p w14:paraId="45BB106C"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1701"/>
        </w:tabs>
        <w:rPr>
          <w:lang w:eastAsia="en-US"/>
        </w:rPr>
      </w:pPr>
      <w:r w:rsidRPr="00883399">
        <w:rPr>
          <w:lang w:eastAsia="en-US"/>
        </w:rPr>
        <w:t>Carbon Content of coke oven coke = (60,000 x 0.789) = 47,340 tonnes of carbon</w:t>
      </w:r>
    </w:p>
    <w:p w14:paraId="3471D70D"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1701"/>
        </w:tabs>
        <w:rPr>
          <w:lang w:eastAsia="en-US"/>
        </w:rPr>
      </w:pPr>
      <w:r w:rsidRPr="00883399">
        <w:rPr>
          <w:lang w:eastAsia="en-US"/>
        </w:rPr>
        <w:t>Carbon Content of coal tar = (15,000 x 0.837) = 12,555 tonnes of carbon</w:t>
      </w:r>
    </w:p>
    <w:p w14:paraId="0E53E312"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b/>
          <w:bdr w:val="single" w:sz="4" w:space="0" w:color="auto"/>
          <w:shd w:val="clear" w:color="auto" w:fill="C4BC96"/>
          <w:lang w:eastAsia="en-US"/>
        </w:rPr>
      </w:pPr>
      <w:r w:rsidRPr="00883399">
        <w:rPr>
          <w:b/>
          <w:lang w:eastAsia="en-US"/>
        </w:rPr>
        <w:tab/>
      </w:r>
      <w:r w:rsidRPr="00883399">
        <w:rPr>
          <w:b/>
          <w:bdr w:val="single" w:sz="4" w:space="0" w:color="auto"/>
          <w:lang w:eastAsia="en-US"/>
        </w:rPr>
        <w:t>Therefore, total carbon</w:t>
      </w:r>
      <w:r w:rsidRPr="00883399">
        <w:rPr>
          <w:bdr w:val="single" w:sz="4" w:space="0" w:color="auto"/>
          <w:lang w:eastAsia="en-US"/>
        </w:rPr>
        <w:t xml:space="preserve"> = (1,564 + 47,340 + 12,555)  </w:t>
      </w:r>
      <w:r w:rsidRPr="00883399">
        <w:rPr>
          <w:b/>
          <w:bdr w:val="single" w:sz="4" w:space="0" w:color="auto"/>
          <w:lang w:eastAsia="en-US"/>
        </w:rPr>
        <w:t>= 61,459 tonnes</w:t>
      </w:r>
      <w:r w:rsidRPr="00883399">
        <w:rPr>
          <w:b/>
          <w:bdr w:val="single" w:sz="4" w:space="0" w:color="auto"/>
          <w:shd w:val="clear" w:color="auto" w:fill="C4BC96"/>
          <w:lang w:eastAsia="en-US"/>
        </w:rPr>
        <w:t xml:space="preserve"> </w:t>
      </w:r>
    </w:p>
    <w:p w14:paraId="433AD8BE" w14:textId="77777777" w:rsidR="006E1310" w:rsidRPr="00883399" w:rsidRDefault="006E1310" w:rsidP="006E1310">
      <w:pPr>
        <w:pBdr>
          <w:top w:val="single" w:sz="4" w:space="1" w:color="auto"/>
          <w:left w:val="single" w:sz="4" w:space="4" w:color="auto"/>
          <w:bottom w:val="single" w:sz="4" w:space="1" w:color="auto"/>
          <w:right w:val="single" w:sz="4" w:space="4" w:color="auto"/>
        </w:pBdr>
        <w:shd w:val="clear" w:color="auto" w:fill="BFBFBF"/>
        <w:spacing w:after="240"/>
        <w:rPr>
          <w:i/>
          <w:lang w:eastAsia="en-US"/>
        </w:rPr>
      </w:pPr>
      <w:r w:rsidRPr="00883399">
        <w:rPr>
          <w:i/>
          <w:lang w:eastAsia="en-US"/>
        </w:rPr>
        <w:lastRenderedPageBreak/>
        <w:t>Step 3</w:t>
      </w:r>
      <w:r w:rsidRPr="00883399">
        <w:rPr>
          <w:i/>
          <w:lang w:eastAsia="en-US"/>
        </w:rPr>
        <w:tab/>
        <w:t>Calculate the carbon content in waste by product types (r) leaving the activity, other than as an emission of greenhouse gas, during the year, measured in tonnes of carbon, as follows:</w:t>
      </w:r>
    </w:p>
    <w:p w14:paraId="4399DB7F"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lang w:eastAsia="en-US"/>
        </w:rPr>
      </w:pPr>
      <w:r w:rsidRPr="00883399">
        <w:rPr>
          <w:lang w:eastAsia="en-US"/>
        </w:rPr>
        <w:tab/>
        <w:t>Where:</w:t>
      </w:r>
    </w:p>
    <w:p w14:paraId="00867540"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jc w:val="center"/>
        <w:rPr>
          <w:lang w:eastAsia="en-US"/>
        </w:rPr>
      </w:pPr>
      <w:r w:rsidRPr="00883399">
        <w:rPr>
          <w:position w:val="-6"/>
          <w:lang w:eastAsia="en-US"/>
        </w:rPr>
        <w:object w:dxaOrig="1480" w:dyaOrig="300" w14:anchorId="66FB5527">
          <v:shape id="_x0000_i1079" type="#_x0000_t75" style="width:75pt;height:15pt" o:ole="">
            <v:imagedata r:id="rId72" o:title=""/>
          </v:shape>
          <o:OLEObject Type="Embed" ProgID="Equation.DSMT4" ShapeID="_x0000_i1079" DrawAspect="Content" ObjectID="_1594105970" r:id="rId225"/>
        </w:object>
      </w:r>
    </w:p>
    <w:p w14:paraId="414CD11F"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lang w:eastAsia="en-US"/>
        </w:rPr>
      </w:pPr>
      <w:r w:rsidRPr="00883399">
        <w:rPr>
          <w:b/>
          <w:i/>
          <w:lang w:eastAsia="en-US"/>
        </w:rPr>
        <w:t>CCF</w:t>
      </w:r>
      <w:r w:rsidRPr="00883399">
        <w:rPr>
          <w:b/>
          <w:i/>
          <w:vertAlign w:val="subscript"/>
          <w:lang w:eastAsia="en-US"/>
        </w:rPr>
        <w:t>r</w:t>
      </w:r>
      <w:r w:rsidRPr="00883399">
        <w:rPr>
          <w:lang w:eastAsia="en-US"/>
        </w:rPr>
        <w:t xml:space="preserve"> is the carbon content factor measured in tonnes of carbon for each tonne of waste by product types (r).</w:t>
      </w:r>
    </w:p>
    <w:p w14:paraId="3AFF66EF"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lang w:eastAsia="en-US"/>
        </w:rPr>
      </w:pPr>
      <w:r w:rsidRPr="00883399">
        <w:rPr>
          <w:b/>
          <w:i/>
          <w:lang w:eastAsia="en-US"/>
        </w:rPr>
        <w:t>Y</w:t>
      </w:r>
      <w:r w:rsidRPr="00883399">
        <w:rPr>
          <w:b/>
          <w:i/>
          <w:vertAlign w:val="subscript"/>
          <w:lang w:eastAsia="en-US"/>
        </w:rPr>
        <w:t>r</w:t>
      </w:r>
      <w:r w:rsidRPr="00883399">
        <w:rPr>
          <w:lang w:eastAsia="en-US"/>
        </w:rPr>
        <w:t xml:space="preserve"> is the quantity of waste by product types (r) leaving the activity during the year measured in tonnes. In this case the quantities of waste by-products are;</w:t>
      </w:r>
    </w:p>
    <w:p w14:paraId="731CA780" w14:textId="77777777" w:rsidR="006E1310" w:rsidRPr="00883399" w:rsidRDefault="006E1310" w:rsidP="006E1310">
      <w:pPr>
        <w:numPr>
          <w:ilvl w:val="0"/>
          <w:numId w:val="45"/>
        </w:numPr>
        <w:pBdr>
          <w:top w:val="single" w:sz="4" w:space="1" w:color="auto"/>
          <w:left w:val="single" w:sz="4" w:space="4" w:color="auto"/>
          <w:bottom w:val="single" w:sz="4" w:space="1" w:color="auto"/>
          <w:right w:val="single" w:sz="4" w:space="4" w:color="auto"/>
        </w:pBdr>
        <w:spacing w:after="240"/>
        <w:ind w:left="709" w:hanging="709"/>
        <w:rPr>
          <w:lang w:eastAsia="en-US"/>
        </w:rPr>
      </w:pPr>
      <w:r w:rsidRPr="00883399">
        <w:rPr>
          <w:lang w:eastAsia="en-US"/>
        </w:rPr>
        <w:t>slag, of which 230,000 tonnes was produced. The facility estimated the carbon content of the slag was 0.0005 tonnes per tonne of slag.</w:t>
      </w:r>
    </w:p>
    <w:p w14:paraId="2D52E10C" w14:textId="77777777" w:rsidR="006E1310" w:rsidRPr="00883399" w:rsidRDefault="006E1310" w:rsidP="006E1310">
      <w:pPr>
        <w:numPr>
          <w:ilvl w:val="0"/>
          <w:numId w:val="45"/>
        </w:numPr>
        <w:pBdr>
          <w:top w:val="single" w:sz="4" w:space="1" w:color="auto"/>
          <w:left w:val="single" w:sz="4" w:space="4" w:color="auto"/>
          <w:bottom w:val="single" w:sz="4" w:space="1" w:color="auto"/>
          <w:right w:val="single" w:sz="4" w:space="4" w:color="auto"/>
        </w:pBdr>
        <w:spacing w:after="240"/>
        <w:ind w:left="709" w:hanging="709"/>
        <w:rPr>
          <w:lang w:eastAsia="en-US"/>
        </w:rPr>
      </w:pPr>
      <w:r w:rsidRPr="00883399">
        <w:rPr>
          <w:lang w:eastAsia="en-US"/>
        </w:rPr>
        <w:t xml:space="preserve">Other non oxidised carbon </w:t>
      </w:r>
      <w:r w:rsidRPr="00883399">
        <w:t xml:space="preserve">sources estimated in accordance with the NGER (Measurement) Determination as being 1500 tonnes. </w:t>
      </w:r>
    </w:p>
    <w:p w14:paraId="5F905376"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b/>
          <w:lang w:eastAsia="en-US"/>
        </w:rPr>
      </w:pPr>
      <w:r w:rsidRPr="00883399">
        <w:rPr>
          <w:b/>
          <w:lang w:eastAsia="en-US"/>
        </w:rPr>
        <w:t>To calculate the carbon content for the waste products leaving the activity during the year:</w:t>
      </w:r>
    </w:p>
    <w:p w14:paraId="3EDEC85C"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1701"/>
        </w:tabs>
        <w:rPr>
          <w:lang w:eastAsia="en-US"/>
        </w:rPr>
      </w:pPr>
      <w:r w:rsidRPr="00883399">
        <w:rPr>
          <w:lang w:eastAsia="en-US"/>
        </w:rPr>
        <w:t>Carbon Content of slag = (230,000 x 0.0005) = 115 tonnes of carbon</w:t>
      </w:r>
    </w:p>
    <w:p w14:paraId="03B939E2"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1701"/>
        </w:tabs>
        <w:rPr>
          <w:lang w:eastAsia="en-US"/>
        </w:rPr>
      </w:pPr>
      <w:r w:rsidRPr="00883399">
        <w:rPr>
          <w:lang w:eastAsia="en-US"/>
        </w:rPr>
        <w:t xml:space="preserve">Carbon Content of other non oxidised carbon = 1500 tonnes of carbon </w:t>
      </w:r>
    </w:p>
    <w:p w14:paraId="73EE3903"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b/>
          <w:bdr w:val="single" w:sz="4" w:space="0" w:color="auto"/>
          <w:shd w:val="clear" w:color="auto" w:fill="C4BC96"/>
          <w:lang w:eastAsia="en-US"/>
        </w:rPr>
      </w:pPr>
      <w:r w:rsidRPr="00883399">
        <w:rPr>
          <w:b/>
          <w:lang w:eastAsia="en-US"/>
        </w:rPr>
        <w:tab/>
      </w:r>
      <w:r w:rsidRPr="00883399">
        <w:rPr>
          <w:b/>
          <w:bdr w:val="single" w:sz="4" w:space="0" w:color="auto"/>
          <w:lang w:eastAsia="en-US"/>
        </w:rPr>
        <w:t>Therefore, total carbon</w:t>
      </w:r>
      <w:r w:rsidRPr="00883399">
        <w:rPr>
          <w:bdr w:val="single" w:sz="4" w:space="0" w:color="auto"/>
          <w:lang w:eastAsia="en-US"/>
        </w:rPr>
        <w:t xml:space="preserve"> = (115 + 1,500)  </w:t>
      </w:r>
      <w:r w:rsidRPr="00883399">
        <w:rPr>
          <w:b/>
          <w:bdr w:val="single" w:sz="4" w:space="0" w:color="auto"/>
          <w:lang w:eastAsia="en-US"/>
        </w:rPr>
        <w:t>= 1,615 tonnes</w:t>
      </w:r>
      <w:r w:rsidRPr="00883399">
        <w:rPr>
          <w:b/>
          <w:bdr w:val="single" w:sz="4" w:space="0" w:color="auto"/>
          <w:shd w:val="clear" w:color="auto" w:fill="C4BC96"/>
          <w:lang w:eastAsia="en-US"/>
        </w:rPr>
        <w:t xml:space="preserve"> </w:t>
      </w:r>
    </w:p>
    <w:p w14:paraId="150E24D9"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lang w:eastAsia="en-US"/>
        </w:rPr>
      </w:pPr>
    </w:p>
    <w:p w14:paraId="5AA85CF1" w14:textId="77777777" w:rsidR="006E1310" w:rsidRPr="00883399" w:rsidRDefault="006E1310" w:rsidP="006E1310">
      <w:pPr>
        <w:pBdr>
          <w:top w:val="single" w:sz="4" w:space="1" w:color="auto"/>
          <w:left w:val="single" w:sz="4" w:space="4" w:color="auto"/>
          <w:bottom w:val="single" w:sz="4" w:space="1" w:color="auto"/>
          <w:right w:val="single" w:sz="4" w:space="4" w:color="auto"/>
        </w:pBdr>
        <w:shd w:val="clear" w:color="auto" w:fill="BFBFBF"/>
        <w:spacing w:after="240"/>
        <w:rPr>
          <w:i/>
          <w:lang w:eastAsia="en-US"/>
        </w:rPr>
      </w:pPr>
      <w:r w:rsidRPr="00883399">
        <w:rPr>
          <w:i/>
          <w:lang w:eastAsia="en-US"/>
        </w:rPr>
        <w:t>Step 4</w:t>
      </w:r>
      <w:r w:rsidRPr="00883399">
        <w:rPr>
          <w:i/>
          <w:lang w:eastAsia="en-US"/>
        </w:rPr>
        <w:tab/>
        <w:t>Calculate the carbon content in the amount of the increase in stocks of inputs, products and waste by products held within the boundary of the activity during the year in tonnes of carbon as follows:</w:t>
      </w:r>
    </w:p>
    <w:p w14:paraId="080267AA"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lang w:eastAsia="en-US"/>
        </w:rPr>
      </w:pPr>
      <w:r w:rsidRPr="00883399">
        <w:rPr>
          <w:lang w:eastAsia="en-US"/>
        </w:rPr>
        <w:lastRenderedPageBreak/>
        <w:tab/>
        <w:t>Where:</w:t>
      </w:r>
    </w:p>
    <w:p w14:paraId="5F4F9DA0"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jc w:val="center"/>
        <w:rPr>
          <w:position w:val="-10"/>
          <w:lang w:eastAsia="en-US"/>
        </w:rPr>
      </w:pPr>
      <w:r w:rsidRPr="00883399">
        <w:rPr>
          <w:position w:val="-10"/>
          <w:lang w:eastAsia="en-US"/>
        </w:rPr>
        <w:object w:dxaOrig="5940" w:dyaOrig="360" w14:anchorId="52FEAB22">
          <v:shape id="_x0000_i1080" type="#_x0000_t75" style="width:294.75pt;height:18.75pt" o:ole="">
            <v:imagedata r:id="rId74" o:title=""/>
          </v:shape>
          <o:OLEObject Type="Embed" ProgID="Equation.DSMT4" ShapeID="_x0000_i1080" DrawAspect="Content" ObjectID="_1594105971" r:id="rId226"/>
        </w:object>
      </w:r>
    </w:p>
    <w:p w14:paraId="0C5EFE29"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lang w:eastAsia="en-US"/>
        </w:rPr>
      </w:pPr>
      <w:r w:rsidRPr="00883399">
        <w:rPr>
          <w:b/>
          <w:i/>
          <w:lang w:eastAsia="en-US"/>
        </w:rPr>
        <w:t>CCF</w:t>
      </w:r>
      <w:r w:rsidRPr="00883399">
        <w:rPr>
          <w:b/>
          <w:i/>
          <w:vertAlign w:val="subscript"/>
          <w:lang w:eastAsia="en-US"/>
        </w:rPr>
        <w:t>i</w:t>
      </w:r>
      <w:r w:rsidRPr="00883399">
        <w:rPr>
          <w:lang w:eastAsia="en-US"/>
        </w:rPr>
        <w:t xml:space="preserve"> has the same meaning as in step 1.</w:t>
      </w:r>
    </w:p>
    <w:p w14:paraId="3349281D"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lang w:eastAsia="en-US"/>
        </w:rPr>
      </w:pPr>
      <w:r w:rsidRPr="00883399">
        <w:rPr>
          <w:b/>
          <w:i/>
          <w:lang w:eastAsia="en-US"/>
        </w:rPr>
        <w:t>ΔS</w:t>
      </w:r>
      <w:r w:rsidRPr="00883399">
        <w:rPr>
          <w:b/>
          <w:i/>
          <w:vertAlign w:val="subscript"/>
          <w:lang w:eastAsia="en-US"/>
        </w:rPr>
        <w:t>qi</w:t>
      </w:r>
      <w:r w:rsidRPr="00883399">
        <w:rPr>
          <w:lang w:eastAsia="en-US"/>
        </w:rPr>
        <w:t xml:space="preserve"> is the increase in stocks of fuel type (i) for the activity and held within the boundary of the activity during the year measured in tonnes. In this case the quantities of increases in stocks are shown in the table above:</w:t>
      </w:r>
    </w:p>
    <w:p w14:paraId="1894A360"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b/>
          <w:lang w:eastAsia="en-US"/>
        </w:rPr>
      </w:pPr>
      <w:r w:rsidRPr="00883399">
        <w:rPr>
          <w:b/>
          <w:lang w:eastAsia="en-US"/>
        </w:rPr>
        <w:t>To calculate the carbon content for increase of fuel types</w:t>
      </w:r>
    </w:p>
    <w:p w14:paraId="194C4E41"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1701"/>
        </w:tabs>
        <w:spacing w:after="240"/>
        <w:rPr>
          <w:lang w:eastAsia="en-US"/>
        </w:rPr>
      </w:pPr>
      <w:r w:rsidRPr="00883399">
        <w:rPr>
          <w:lang w:eastAsia="en-US"/>
        </w:rPr>
        <w:t>Carbon content  of coke oven coke = (-5000 x 0.789) = -3945 tonnes of carbon</w:t>
      </w:r>
    </w:p>
    <w:p w14:paraId="1F62C5D1"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1701"/>
        </w:tabs>
        <w:spacing w:after="240"/>
        <w:rPr>
          <w:lang w:eastAsia="en-US"/>
        </w:rPr>
      </w:pPr>
      <w:r w:rsidRPr="00883399">
        <w:rPr>
          <w:lang w:eastAsia="en-US"/>
        </w:rPr>
        <w:t>Carbon content  of coking coal = (3000 x 0.752) = 2256 tonnes of carbon</w:t>
      </w:r>
    </w:p>
    <w:p w14:paraId="2B4BB13A"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b/>
          <w:bdr w:val="single" w:sz="4" w:space="0" w:color="auto"/>
          <w:shd w:val="clear" w:color="auto" w:fill="C4BC96"/>
          <w:lang w:eastAsia="en-US"/>
        </w:rPr>
      </w:pPr>
      <w:r w:rsidRPr="00883399">
        <w:rPr>
          <w:b/>
          <w:lang w:eastAsia="en-US"/>
        </w:rPr>
        <w:tab/>
      </w:r>
      <w:r w:rsidRPr="00883399">
        <w:rPr>
          <w:b/>
          <w:bdr w:val="single" w:sz="4" w:space="0" w:color="auto"/>
          <w:shd w:val="clear" w:color="auto" w:fill="BFBFBF"/>
          <w:lang w:eastAsia="en-US"/>
        </w:rPr>
        <w:t>Therefore, total carbon</w:t>
      </w:r>
      <w:r w:rsidRPr="00883399">
        <w:rPr>
          <w:bdr w:val="single" w:sz="4" w:space="0" w:color="auto"/>
          <w:shd w:val="clear" w:color="auto" w:fill="BFBFBF"/>
          <w:lang w:eastAsia="en-US"/>
        </w:rPr>
        <w:t xml:space="preserve"> = (-3945 + 2256)  </w:t>
      </w:r>
      <w:r w:rsidRPr="00883399">
        <w:rPr>
          <w:b/>
          <w:bdr w:val="single" w:sz="4" w:space="0" w:color="auto"/>
          <w:shd w:val="clear" w:color="auto" w:fill="BFBFBF"/>
          <w:lang w:eastAsia="en-US"/>
        </w:rPr>
        <w:t>= -1689 tonnes</w:t>
      </w:r>
      <w:r w:rsidRPr="00883399">
        <w:rPr>
          <w:b/>
          <w:bdr w:val="single" w:sz="4" w:space="0" w:color="auto"/>
          <w:shd w:val="clear" w:color="auto" w:fill="C4BC96"/>
          <w:lang w:eastAsia="en-US"/>
        </w:rPr>
        <w:t xml:space="preserve"> </w:t>
      </w:r>
    </w:p>
    <w:p w14:paraId="11DAD0CB"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lang w:eastAsia="en-US"/>
        </w:rPr>
      </w:pPr>
      <w:r w:rsidRPr="00883399">
        <w:rPr>
          <w:b/>
          <w:i/>
          <w:lang w:eastAsia="en-US"/>
        </w:rPr>
        <w:t>CCF</w:t>
      </w:r>
      <w:r w:rsidRPr="00883399">
        <w:rPr>
          <w:b/>
          <w:i/>
          <w:vertAlign w:val="subscript"/>
          <w:lang w:eastAsia="en-US"/>
        </w:rPr>
        <w:t>p</w:t>
      </w:r>
      <w:r w:rsidRPr="00883399">
        <w:rPr>
          <w:lang w:eastAsia="en-US"/>
        </w:rPr>
        <w:t xml:space="preserve"> has the same meaning as in step 2.</w:t>
      </w:r>
    </w:p>
    <w:p w14:paraId="1288C39B"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lang w:eastAsia="en-US"/>
        </w:rPr>
      </w:pPr>
      <w:r w:rsidRPr="00883399">
        <w:rPr>
          <w:b/>
          <w:i/>
          <w:lang w:eastAsia="en-US"/>
        </w:rPr>
        <w:t>ΔS</w:t>
      </w:r>
      <w:r w:rsidRPr="00883399">
        <w:rPr>
          <w:b/>
          <w:i/>
          <w:vertAlign w:val="subscript"/>
          <w:lang w:eastAsia="en-US"/>
        </w:rPr>
        <w:t>ap</w:t>
      </w:r>
      <w:r w:rsidRPr="00883399">
        <w:rPr>
          <w:lang w:eastAsia="en-US"/>
        </w:rPr>
        <w:t xml:space="preserve"> is the increase in stocks of product types (p) produced by the activity and held within the boundary of the activity during the year measured in tonnes. In this case the quantities of product types shown in the table above:</w:t>
      </w:r>
    </w:p>
    <w:p w14:paraId="23C4CC34"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b/>
          <w:lang w:eastAsia="en-US"/>
        </w:rPr>
      </w:pPr>
      <w:r w:rsidRPr="00883399">
        <w:rPr>
          <w:b/>
          <w:lang w:eastAsia="en-US"/>
        </w:rPr>
        <w:t>To calculate the carbon content for increase in stock of product type:</w:t>
      </w:r>
    </w:p>
    <w:p w14:paraId="4FDAB7E3"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1701"/>
        </w:tabs>
        <w:spacing w:after="240"/>
        <w:rPr>
          <w:lang w:eastAsia="en-US"/>
        </w:rPr>
      </w:pPr>
      <w:r w:rsidRPr="00883399">
        <w:rPr>
          <w:lang w:eastAsia="en-US"/>
        </w:rPr>
        <w:t>Carbon content of coal tar = (200 x 0.837) = 167.4 tonnes of carbon</w:t>
      </w:r>
    </w:p>
    <w:p w14:paraId="14CD66DE"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1701"/>
        </w:tabs>
        <w:spacing w:after="240"/>
        <w:rPr>
          <w:lang w:eastAsia="en-US"/>
        </w:rPr>
      </w:pPr>
      <w:r w:rsidRPr="00883399">
        <w:rPr>
          <w:lang w:eastAsia="en-US"/>
        </w:rPr>
        <w:t>Carbon content of crude steel = (1000 x 0.0017) = 1.7 tonnes of carbon</w:t>
      </w:r>
    </w:p>
    <w:p w14:paraId="26F01F9A"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b/>
          <w:bdr w:val="single" w:sz="4" w:space="0" w:color="auto"/>
          <w:shd w:val="clear" w:color="auto" w:fill="C4BC96"/>
          <w:lang w:eastAsia="en-US"/>
        </w:rPr>
      </w:pPr>
      <w:r w:rsidRPr="00883399">
        <w:rPr>
          <w:b/>
          <w:lang w:eastAsia="en-US"/>
        </w:rPr>
        <w:tab/>
      </w:r>
      <w:r w:rsidRPr="00883399">
        <w:rPr>
          <w:b/>
          <w:bdr w:val="single" w:sz="4" w:space="0" w:color="auto"/>
          <w:lang w:eastAsia="en-US"/>
        </w:rPr>
        <w:t>Therefore, total carbon</w:t>
      </w:r>
      <w:r w:rsidRPr="00883399">
        <w:rPr>
          <w:bdr w:val="single" w:sz="4" w:space="0" w:color="auto"/>
          <w:lang w:eastAsia="en-US"/>
        </w:rPr>
        <w:t xml:space="preserve"> = (167.4 + 1.7)  </w:t>
      </w:r>
      <w:r w:rsidRPr="00883399">
        <w:rPr>
          <w:b/>
          <w:bdr w:val="single" w:sz="4" w:space="0" w:color="auto"/>
          <w:lang w:eastAsia="en-US"/>
        </w:rPr>
        <w:t>= 169.1 tonnes</w:t>
      </w:r>
      <w:r w:rsidRPr="00883399">
        <w:rPr>
          <w:b/>
          <w:bdr w:val="single" w:sz="4" w:space="0" w:color="auto"/>
          <w:shd w:val="clear" w:color="auto" w:fill="C4BC96"/>
          <w:lang w:eastAsia="en-US"/>
        </w:rPr>
        <w:t xml:space="preserve"> </w:t>
      </w:r>
    </w:p>
    <w:p w14:paraId="64F91F53"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lang w:eastAsia="en-US"/>
        </w:rPr>
      </w:pPr>
      <w:r w:rsidRPr="00883399">
        <w:rPr>
          <w:b/>
          <w:i/>
          <w:lang w:eastAsia="en-US"/>
        </w:rPr>
        <w:t>CCF</w:t>
      </w:r>
      <w:r w:rsidRPr="00883399">
        <w:rPr>
          <w:b/>
          <w:i/>
          <w:vertAlign w:val="subscript"/>
          <w:lang w:eastAsia="en-US"/>
        </w:rPr>
        <w:t>r</w:t>
      </w:r>
      <w:r w:rsidRPr="00883399">
        <w:rPr>
          <w:lang w:eastAsia="en-US"/>
        </w:rPr>
        <w:t xml:space="preserve"> has the same meaning as in step 3.</w:t>
      </w:r>
    </w:p>
    <w:p w14:paraId="44339ED3"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lang w:eastAsia="en-US"/>
        </w:rPr>
      </w:pPr>
      <w:r w:rsidRPr="00883399">
        <w:rPr>
          <w:b/>
          <w:i/>
          <w:lang w:eastAsia="en-US"/>
        </w:rPr>
        <w:lastRenderedPageBreak/>
        <w:t>ΔS</w:t>
      </w:r>
      <w:r w:rsidRPr="00883399">
        <w:rPr>
          <w:b/>
          <w:i/>
          <w:vertAlign w:val="subscript"/>
          <w:lang w:eastAsia="en-US"/>
        </w:rPr>
        <w:t>yr</w:t>
      </w:r>
      <w:r w:rsidRPr="00883399">
        <w:rPr>
          <w:lang w:eastAsia="en-US"/>
        </w:rPr>
        <w:t xml:space="preserve"> is the increase in stocks of waste by product types (r) produced from the operation of the activity and held within the boundary of the activity during the year measured in tonnes.</w:t>
      </w:r>
    </w:p>
    <w:p w14:paraId="0B60DF2B"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1701"/>
        </w:tabs>
        <w:spacing w:after="240"/>
        <w:rPr>
          <w:b/>
          <w:lang w:eastAsia="en-US"/>
        </w:rPr>
      </w:pPr>
      <w:r w:rsidRPr="00883399">
        <w:rPr>
          <w:b/>
          <w:lang w:eastAsia="en-US"/>
        </w:rPr>
        <w:t>There was no change in waste product stock produced and held during the year.</w:t>
      </w:r>
    </w:p>
    <w:p w14:paraId="1E5E3849"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1701"/>
        </w:tabs>
        <w:spacing w:after="240"/>
        <w:rPr>
          <w:b/>
          <w:lang w:eastAsia="en-US"/>
        </w:rPr>
      </w:pPr>
      <w:r w:rsidRPr="00883399">
        <w:rPr>
          <w:b/>
          <w:lang w:eastAsia="en-US"/>
        </w:rPr>
        <w:t>To calculate the total carbon contained in the change of stock:</w:t>
      </w:r>
    </w:p>
    <w:p w14:paraId="1FA1FCD2"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lang w:eastAsia="en-US"/>
        </w:rPr>
      </w:pPr>
      <w:r w:rsidRPr="00883399">
        <w:rPr>
          <w:lang w:eastAsia="en-US"/>
        </w:rPr>
        <w:t>Carbon content of increase in fuel types = -1689 tonnes</w:t>
      </w:r>
    </w:p>
    <w:p w14:paraId="246CD5E3"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lang w:eastAsia="en-US"/>
        </w:rPr>
      </w:pPr>
      <w:r w:rsidRPr="00883399">
        <w:rPr>
          <w:lang w:eastAsia="en-US"/>
        </w:rPr>
        <w:t>Carbon content of increase in product types = 169.1 tonnes</w:t>
      </w:r>
    </w:p>
    <w:p w14:paraId="7E5637E2"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lang w:eastAsia="en-US"/>
        </w:rPr>
      </w:pPr>
      <w:r w:rsidRPr="00883399">
        <w:rPr>
          <w:lang w:eastAsia="en-US"/>
        </w:rPr>
        <w:t>Carbon content of increase in waste by-products = 0 tonnes</w:t>
      </w:r>
    </w:p>
    <w:p w14:paraId="4CAAD1D0"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1701"/>
        </w:tabs>
        <w:spacing w:after="240"/>
        <w:rPr>
          <w:lang w:eastAsia="en-US"/>
        </w:rPr>
      </w:pPr>
      <w:r w:rsidRPr="00883399">
        <w:rPr>
          <w:b/>
          <w:bdr w:val="single" w:sz="4" w:space="0" w:color="auto"/>
          <w:lang w:eastAsia="en-US"/>
        </w:rPr>
        <w:t>Therefore, total carbon</w:t>
      </w:r>
      <w:r w:rsidRPr="00883399">
        <w:rPr>
          <w:bdr w:val="single" w:sz="4" w:space="0" w:color="auto"/>
          <w:lang w:eastAsia="en-US"/>
        </w:rPr>
        <w:t xml:space="preserve"> = (-1689 + 169.1 + 0)  </w:t>
      </w:r>
      <w:r w:rsidRPr="00883399">
        <w:rPr>
          <w:b/>
          <w:bdr w:val="single" w:sz="4" w:space="0" w:color="auto"/>
          <w:lang w:eastAsia="en-US"/>
        </w:rPr>
        <w:t>= -1519.9 tonnes</w:t>
      </w:r>
    </w:p>
    <w:p w14:paraId="503FE404"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1701"/>
        </w:tabs>
        <w:spacing w:after="240"/>
        <w:rPr>
          <w:lang w:eastAsia="en-US"/>
        </w:rPr>
      </w:pPr>
    </w:p>
    <w:p w14:paraId="3E1B43EC" w14:textId="77777777" w:rsidR="006E1310" w:rsidRPr="00883399" w:rsidRDefault="006E1310" w:rsidP="006E1310">
      <w:pPr>
        <w:pBdr>
          <w:top w:val="single" w:sz="4" w:space="1" w:color="auto"/>
          <w:left w:val="single" w:sz="4" w:space="4" w:color="auto"/>
          <w:bottom w:val="single" w:sz="4" w:space="1" w:color="auto"/>
          <w:right w:val="single" w:sz="4" w:space="4" w:color="auto"/>
        </w:pBdr>
        <w:shd w:val="clear" w:color="auto" w:fill="BFBFBF"/>
        <w:spacing w:after="240"/>
        <w:rPr>
          <w:i/>
          <w:lang w:eastAsia="en-US"/>
        </w:rPr>
      </w:pPr>
      <w:r w:rsidRPr="00883399">
        <w:rPr>
          <w:i/>
          <w:lang w:eastAsia="en-US"/>
        </w:rPr>
        <w:t>Step 5</w:t>
      </w:r>
      <w:r w:rsidRPr="00883399">
        <w:rPr>
          <w:i/>
          <w:lang w:eastAsia="en-US"/>
        </w:rPr>
        <w:tab/>
        <w:t>Calculate the emissions of carbon dioxide released from the operation of the activity during the year measured in CO</w:t>
      </w:r>
      <w:r w:rsidRPr="00883399">
        <w:rPr>
          <w:i/>
          <w:vertAlign w:val="subscript"/>
          <w:lang w:eastAsia="en-US"/>
        </w:rPr>
        <w:t>2</w:t>
      </w:r>
      <w:r w:rsidRPr="00883399">
        <w:rPr>
          <w:i/>
          <w:lang w:eastAsia="en-US"/>
        </w:rPr>
        <w:t xml:space="preserve"> e tonnes as follows:</w:t>
      </w:r>
    </w:p>
    <w:p w14:paraId="37097FBD"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851"/>
        </w:tabs>
        <w:spacing w:after="240"/>
        <w:rPr>
          <w:lang w:eastAsia="en-US"/>
        </w:rPr>
      </w:pPr>
    </w:p>
    <w:p w14:paraId="027648AF"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right" w:pos="993"/>
        </w:tabs>
        <w:spacing w:after="240"/>
        <w:ind w:left="1418" w:hanging="1418"/>
        <w:rPr>
          <w:lang w:eastAsia="en-US"/>
        </w:rPr>
      </w:pPr>
      <w:r w:rsidRPr="00883399">
        <w:rPr>
          <w:lang w:eastAsia="en-US"/>
        </w:rPr>
        <w:tab/>
        <w:t>(a)</w:t>
      </w:r>
      <w:r w:rsidRPr="00883399">
        <w:rPr>
          <w:lang w:eastAsia="en-US"/>
        </w:rPr>
        <w:tab/>
        <w:t>add the amounts worked out under steps 2, 3 and 4 to work out a new amount (amount A);</w:t>
      </w:r>
    </w:p>
    <w:p w14:paraId="0ECF1EF2"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b/>
          <w:lang w:eastAsia="en-US"/>
        </w:rPr>
      </w:pPr>
      <w:r w:rsidRPr="00883399">
        <w:rPr>
          <w:b/>
          <w:lang w:eastAsia="en-US"/>
        </w:rPr>
        <w:t>In this case A is:</w:t>
      </w:r>
    </w:p>
    <w:p w14:paraId="3AE2D454"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1701"/>
        </w:tabs>
        <w:spacing w:after="240"/>
        <w:rPr>
          <w:lang w:eastAsia="en-US"/>
        </w:rPr>
      </w:pPr>
      <w:r w:rsidRPr="00883399">
        <w:rPr>
          <w:lang w:eastAsia="en-US"/>
        </w:rPr>
        <w:tab/>
        <w:t>= 61,459 + 1,615 + -1,519.9</w:t>
      </w:r>
    </w:p>
    <w:p w14:paraId="2AF85DA7"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1701"/>
        </w:tabs>
        <w:spacing w:after="240"/>
        <w:rPr>
          <w:lang w:eastAsia="en-US"/>
        </w:rPr>
      </w:pPr>
      <w:r w:rsidRPr="00883399">
        <w:rPr>
          <w:lang w:eastAsia="en-US"/>
        </w:rPr>
        <w:tab/>
        <w:t>= 61,554.1 tonnes of carbon</w:t>
      </w:r>
    </w:p>
    <w:p w14:paraId="152D9FEB"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709"/>
        </w:tabs>
        <w:spacing w:after="240"/>
        <w:ind w:left="1418" w:hanging="1418"/>
        <w:rPr>
          <w:lang w:eastAsia="en-US"/>
        </w:rPr>
      </w:pPr>
      <w:r w:rsidRPr="00883399">
        <w:rPr>
          <w:lang w:eastAsia="en-US"/>
        </w:rPr>
        <w:tab/>
        <w:t>(b)</w:t>
      </w:r>
      <w:r w:rsidRPr="00883399">
        <w:rPr>
          <w:lang w:eastAsia="en-US"/>
        </w:rPr>
        <w:tab/>
        <w:t>subtract amount A from the amount worked out under step 1 to work out a new amount (amount B);</w:t>
      </w:r>
    </w:p>
    <w:p w14:paraId="125CC275" w14:textId="77777777" w:rsidR="006E1310" w:rsidRPr="00883399" w:rsidRDefault="006E1310" w:rsidP="006E1310">
      <w:pPr>
        <w:pBdr>
          <w:top w:val="single" w:sz="4" w:space="1" w:color="auto"/>
          <w:left w:val="single" w:sz="4" w:space="4" w:color="auto"/>
          <w:bottom w:val="single" w:sz="4" w:space="1" w:color="auto"/>
          <w:right w:val="single" w:sz="4" w:space="4" w:color="auto"/>
        </w:pBdr>
        <w:spacing w:after="240"/>
        <w:rPr>
          <w:b/>
          <w:lang w:eastAsia="en-US"/>
        </w:rPr>
      </w:pPr>
      <w:r w:rsidRPr="00883399">
        <w:rPr>
          <w:b/>
          <w:lang w:eastAsia="en-US"/>
        </w:rPr>
        <w:t>In this case:</w:t>
      </w:r>
    </w:p>
    <w:p w14:paraId="0B9CABF1"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1701"/>
        </w:tabs>
        <w:spacing w:after="240"/>
        <w:rPr>
          <w:lang w:eastAsia="en-US"/>
        </w:rPr>
      </w:pPr>
      <w:r w:rsidRPr="00883399">
        <w:rPr>
          <w:lang w:eastAsia="en-US"/>
        </w:rPr>
        <w:lastRenderedPageBreak/>
        <w:tab/>
        <w:t xml:space="preserve">= 566,391  </w:t>
      </w:r>
      <w:r w:rsidRPr="00883399">
        <w:rPr>
          <w:lang w:eastAsia="en-US"/>
        </w:rPr>
        <w:sym w:font="Symbol" w:char="F02D"/>
      </w:r>
      <w:r w:rsidRPr="00883399">
        <w:rPr>
          <w:lang w:eastAsia="en-US"/>
        </w:rPr>
        <w:t xml:space="preserve"> 61,554.1</w:t>
      </w:r>
    </w:p>
    <w:p w14:paraId="147D0130"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1701"/>
        </w:tabs>
        <w:spacing w:after="240"/>
        <w:rPr>
          <w:lang w:eastAsia="en-US"/>
        </w:rPr>
      </w:pPr>
      <w:r w:rsidRPr="00883399">
        <w:rPr>
          <w:lang w:eastAsia="en-US"/>
        </w:rPr>
        <w:tab/>
        <w:t>= 504,836.9 tonnes of carbon</w:t>
      </w:r>
    </w:p>
    <w:p w14:paraId="1AA3509A"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709"/>
        </w:tabs>
        <w:spacing w:after="240"/>
        <w:ind w:left="1418" w:hanging="1418"/>
        <w:rPr>
          <w:lang w:eastAsia="en-US"/>
        </w:rPr>
      </w:pPr>
      <w:r w:rsidRPr="00883399">
        <w:rPr>
          <w:lang w:eastAsia="en-US"/>
        </w:rPr>
        <w:tab/>
        <w:t>(c)</w:t>
      </w:r>
      <w:r w:rsidRPr="00883399">
        <w:rPr>
          <w:lang w:eastAsia="en-US"/>
        </w:rPr>
        <w:tab/>
        <w:t>multiply amount B by 3.664 to work out the amount of emissions released from the operation of the activity during a year.</w:t>
      </w:r>
    </w:p>
    <w:p w14:paraId="0657E656"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1701"/>
        </w:tabs>
        <w:spacing w:after="240"/>
        <w:rPr>
          <w:lang w:eastAsia="en-US"/>
        </w:rPr>
      </w:pPr>
      <w:r w:rsidRPr="00883399">
        <w:rPr>
          <w:lang w:eastAsia="en-US"/>
        </w:rPr>
        <w:tab/>
        <w:t>= 504,836.9  x 3.664</w:t>
      </w:r>
    </w:p>
    <w:p w14:paraId="752C222B"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1701"/>
        </w:tabs>
        <w:spacing w:after="240"/>
        <w:rPr>
          <w:lang w:eastAsia="en-US"/>
        </w:rPr>
      </w:pPr>
      <w:r w:rsidRPr="00883399">
        <w:rPr>
          <w:lang w:eastAsia="en-US"/>
        </w:rPr>
        <w:tab/>
        <w:t>= 1,849,722.4016 tonnes CO</w:t>
      </w:r>
      <w:r w:rsidRPr="00883399">
        <w:rPr>
          <w:vertAlign w:val="subscript"/>
          <w:lang w:eastAsia="en-US"/>
        </w:rPr>
        <w:t>2</w:t>
      </w:r>
      <w:r w:rsidRPr="00883399">
        <w:rPr>
          <w:lang w:eastAsia="en-US"/>
        </w:rPr>
        <w:t>-e</w:t>
      </w:r>
    </w:p>
    <w:p w14:paraId="3927BCEA" w14:textId="77777777" w:rsidR="006E1310" w:rsidRPr="00883399" w:rsidRDefault="006E1310" w:rsidP="006E1310">
      <w:pPr>
        <w:pBdr>
          <w:top w:val="single" w:sz="4" w:space="1" w:color="auto"/>
          <w:left w:val="single" w:sz="4" w:space="4" w:color="auto"/>
          <w:bottom w:val="single" w:sz="4" w:space="1" w:color="auto"/>
          <w:right w:val="single" w:sz="4" w:space="4" w:color="auto"/>
        </w:pBdr>
        <w:tabs>
          <w:tab w:val="left" w:pos="1701"/>
        </w:tabs>
        <w:spacing w:after="240"/>
        <w:rPr>
          <w:sz w:val="22"/>
          <w:szCs w:val="22"/>
        </w:rPr>
      </w:pPr>
      <w:r w:rsidRPr="00883399">
        <w:rPr>
          <w:b/>
          <w:bdr w:val="single" w:sz="4" w:space="0" w:color="auto"/>
          <w:lang w:eastAsia="en-US"/>
        </w:rPr>
        <w:t>Therefore, total carbon balance CO</w:t>
      </w:r>
      <w:r w:rsidRPr="00883399">
        <w:rPr>
          <w:b/>
          <w:bdr w:val="single" w:sz="4" w:space="0" w:color="auto"/>
          <w:vertAlign w:val="subscript"/>
          <w:lang w:eastAsia="en-US"/>
        </w:rPr>
        <w:t>2</w:t>
      </w:r>
      <w:r w:rsidRPr="00883399">
        <w:rPr>
          <w:b/>
          <w:bdr w:val="single" w:sz="4" w:space="0" w:color="auto"/>
          <w:lang w:eastAsia="en-US"/>
        </w:rPr>
        <w:t xml:space="preserve"> emissions from the source = 1,849,722 tonnes</w:t>
      </w:r>
    </w:p>
    <w:p w14:paraId="4487290F" w14:textId="77777777" w:rsidR="006E1310" w:rsidRPr="00883399" w:rsidRDefault="006E1310" w:rsidP="00872C03">
      <w:pPr>
        <w:pStyle w:val="subsection"/>
        <w:rPr>
          <w:sz w:val="24"/>
        </w:rPr>
      </w:pPr>
    </w:p>
    <w:p w14:paraId="103F0C4E" w14:textId="2A1AD162" w:rsidR="00872C03" w:rsidRPr="00883399" w:rsidRDefault="00872C03" w:rsidP="00872C03">
      <w:pPr>
        <w:pStyle w:val="ActHead3"/>
        <w:pageBreakBefore/>
        <w:rPr>
          <w:sz w:val="32"/>
        </w:rPr>
      </w:pPr>
      <w:bookmarkStart w:id="972" w:name="_Toc423517082"/>
      <w:bookmarkStart w:id="973" w:name="_Toc495653014"/>
      <w:r w:rsidRPr="00883399">
        <w:rPr>
          <w:rStyle w:val="CharDivNo"/>
          <w:sz w:val="32"/>
        </w:rPr>
        <w:lastRenderedPageBreak/>
        <w:t>Division 4.4.2</w:t>
      </w:r>
      <w:r w:rsidRPr="00883399">
        <w:rPr>
          <w:sz w:val="32"/>
        </w:rPr>
        <w:t>—</w:t>
      </w:r>
      <w:r w:rsidRPr="00883399">
        <w:rPr>
          <w:rStyle w:val="CharDivText"/>
          <w:sz w:val="32"/>
        </w:rPr>
        <w:t>Ferroalloys production</w:t>
      </w:r>
      <w:bookmarkEnd w:id="972"/>
      <w:bookmarkEnd w:id="973"/>
    </w:p>
    <w:p w14:paraId="5DC7B65F" w14:textId="77777777" w:rsidR="006E1310" w:rsidRPr="00883399" w:rsidRDefault="006E1310" w:rsidP="006E1310">
      <w:pPr>
        <w:pStyle w:val="Text"/>
        <w:rPr>
          <w:rStyle w:val="CharSchPTText"/>
          <w:rFonts w:ascii="Arial" w:hAnsi="Arial" w:cs="Arial"/>
          <w:b/>
          <w:sz w:val="22"/>
          <w:szCs w:val="22"/>
        </w:rPr>
      </w:pPr>
      <w:bookmarkStart w:id="974" w:name="_Toc423517083"/>
      <w:r w:rsidRPr="00883399">
        <w:rPr>
          <w:rFonts w:ascii="Arial" w:hAnsi="Arial" w:cs="Arial"/>
          <w:sz w:val="22"/>
          <w:szCs w:val="22"/>
        </w:rPr>
        <w:t>Emissions of CO</w:t>
      </w:r>
      <w:r w:rsidRPr="00883399">
        <w:rPr>
          <w:rFonts w:ascii="Arial" w:hAnsi="Arial" w:cs="Arial"/>
          <w:sz w:val="22"/>
          <w:szCs w:val="22"/>
          <w:vertAlign w:val="subscript"/>
        </w:rPr>
        <w:t>2</w:t>
      </w:r>
      <w:r w:rsidRPr="00883399">
        <w:rPr>
          <w:rFonts w:ascii="Arial" w:hAnsi="Arial" w:cs="Arial"/>
          <w:sz w:val="22"/>
          <w:szCs w:val="22"/>
        </w:rPr>
        <w:t xml:space="preserve"> occur during ferroalloy production as a result of the use of carbon reductants such as coke and the oxidation of a fossil fuel electrode</w:t>
      </w:r>
      <w:r w:rsidRPr="00883399">
        <w:rPr>
          <w:rStyle w:val="CharSchPTText"/>
          <w:rFonts w:ascii="Arial" w:hAnsi="Arial" w:cs="Arial"/>
          <w:b/>
          <w:sz w:val="22"/>
          <w:szCs w:val="22"/>
        </w:rPr>
        <w:t>.</w:t>
      </w:r>
    </w:p>
    <w:p w14:paraId="51AC3087" w14:textId="6D48CC84" w:rsidR="00872C03" w:rsidRPr="00883399" w:rsidRDefault="00872C03" w:rsidP="00872C03">
      <w:pPr>
        <w:pStyle w:val="ActHead5"/>
        <w:rPr>
          <w:sz w:val="28"/>
        </w:rPr>
      </w:pPr>
      <w:bookmarkStart w:id="975" w:name="_Toc495653015"/>
      <w:r w:rsidRPr="00883399">
        <w:rPr>
          <w:rStyle w:val="CharSectno"/>
          <w:sz w:val="28"/>
        </w:rPr>
        <w:t>4.69</w:t>
      </w:r>
      <w:r w:rsidRPr="00883399">
        <w:rPr>
          <w:sz w:val="28"/>
        </w:rPr>
        <w:t xml:space="preserve">  Application</w:t>
      </w:r>
      <w:bookmarkEnd w:id="974"/>
      <w:bookmarkEnd w:id="975"/>
    </w:p>
    <w:p w14:paraId="55CE98F6" w14:textId="77777777" w:rsidR="00872C03" w:rsidRPr="00883399" w:rsidRDefault="00872C03" w:rsidP="00872C03">
      <w:pPr>
        <w:pStyle w:val="subsection"/>
        <w:rPr>
          <w:sz w:val="24"/>
        </w:rPr>
      </w:pPr>
      <w:r w:rsidRPr="00883399">
        <w:rPr>
          <w:sz w:val="24"/>
        </w:rPr>
        <w:tab/>
        <w:t>(1)</w:t>
      </w:r>
      <w:r w:rsidRPr="00883399">
        <w:rPr>
          <w:sz w:val="24"/>
        </w:rPr>
        <w:tab/>
        <w:t>This Division applies to emissions of carbon dioxide from any of the following:</w:t>
      </w:r>
    </w:p>
    <w:p w14:paraId="71CF011D" w14:textId="77777777" w:rsidR="00872C03" w:rsidRPr="00883399" w:rsidRDefault="00872C03" w:rsidP="00872C03">
      <w:pPr>
        <w:pStyle w:val="paragraph"/>
        <w:rPr>
          <w:sz w:val="24"/>
        </w:rPr>
      </w:pPr>
      <w:r w:rsidRPr="00883399">
        <w:rPr>
          <w:sz w:val="24"/>
        </w:rPr>
        <w:tab/>
        <w:t>(a)</w:t>
      </w:r>
      <w:r w:rsidRPr="00883399">
        <w:rPr>
          <w:sz w:val="24"/>
        </w:rPr>
        <w:tab/>
        <w:t>the consumption of a fossil fuel reductant during the production of:</w:t>
      </w:r>
    </w:p>
    <w:p w14:paraId="2D6A9705" w14:textId="77777777" w:rsidR="00872C03" w:rsidRPr="00883399" w:rsidRDefault="00872C03" w:rsidP="00872C03">
      <w:pPr>
        <w:pStyle w:val="paragraphsub"/>
        <w:rPr>
          <w:sz w:val="24"/>
        </w:rPr>
      </w:pPr>
      <w:r w:rsidRPr="00883399">
        <w:rPr>
          <w:sz w:val="24"/>
        </w:rPr>
        <w:tab/>
        <w:t>(i)</w:t>
      </w:r>
      <w:r w:rsidRPr="00883399">
        <w:rPr>
          <w:sz w:val="24"/>
        </w:rPr>
        <w:tab/>
        <w:t>a ferroalloy; or</w:t>
      </w:r>
    </w:p>
    <w:p w14:paraId="6D305A6E" w14:textId="77777777" w:rsidR="00872C03" w:rsidRPr="00883399" w:rsidRDefault="00872C03" w:rsidP="00872C03">
      <w:pPr>
        <w:pStyle w:val="paragraphsub"/>
        <w:rPr>
          <w:sz w:val="24"/>
        </w:rPr>
      </w:pPr>
      <w:r w:rsidRPr="00883399">
        <w:rPr>
          <w:sz w:val="24"/>
        </w:rPr>
        <w:tab/>
        <w:t>(ii)</w:t>
      </w:r>
      <w:r w:rsidRPr="00883399">
        <w:rPr>
          <w:sz w:val="24"/>
        </w:rPr>
        <w:tab/>
        <w:t>silicomanganese; or</w:t>
      </w:r>
    </w:p>
    <w:p w14:paraId="730A0FF7" w14:textId="77777777" w:rsidR="00872C03" w:rsidRPr="00883399" w:rsidRDefault="00872C03" w:rsidP="00872C03">
      <w:pPr>
        <w:pStyle w:val="paragraphsub"/>
        <w:rPr>
          <w:sz w:val="24"/>
        </w:rPr>
      </w:pPr>
      <w:r w:rsidRPr="00883399">
        <w:rPr>
          <w:sz w:val="24"/>
        </w:rPr>
        <w:tab/>
        <w:t>(iii)</w:t>
      </w:r>
      <w:r w:rsidRPr="00883399">
        <w:rPr>
          <w:sz w:val="24"/>
        </w:rPr>
        <w:tab/>
        <w:t>silicon;</w:t>
      </w:r>
    </w:p>
    <w:p w14:paraId="6413670C" w14:textId="77777777" w:rsidR="00872C03" w:rsidRPr="00883399" w:rsidRDefault="00872C03" w:rsidP="00872C03">
      <w:pPr>
        <w:pStyle w:val="paragraph"/>
        <w:rPr>
          <w:sz w:val="24"/>
        </w:rPr>
      </w:pPr>
      <w:r w:rsidRPr="00883399">
        <w:rPr>
          <w:sz w:val="24"/>
        </w:rPr>
        <w:tab/>
        <w:t>(b)</w:t>
      </w:r>
      <w:r w:rsidRPr="00883399">
        <w:rPr>
          <w:sz w:val="24"/>
        </w:rPr>
        <w:tab/>
        <w:t>the oxidation of a fossil fuel electrode in the production of:</w:t>
      </w:r>
    </w:p>
    <w:p w14:paraId="57651BFD" w14:textId="77777777" w:rsidR="00872C03" w:rsidRPr="00883399" w:rsidRDefault="00872C03" w:rsidP="00872C03">
      <w:pPr>
        <w:pStyle w:val="paragraphsub"/>
        <w:rPr>
          <w:sz w:val="24"/>
        </w:rPr>
      </w:pPr>
      <w:r w:rsidRPr="00883399">
        <w:rPr>
          <w:sz w:val="24"/>
        </w:rPr>
        <w:tab/>
        <w:t>(i)</w:t>
      </w:r>
      <w:r w:rsidRPr="00883399">
        <w:rPr>
          <w:sz w:val="24"/>
        </w:rPr>
        <w:tab/>
        <w:t>a ferroalloy; or</w:t>
      </w:r>
    </w:p>
    <w:p w14:paraId="5CEF9093" w14:textId="77777777" w:rsidR="00872C03" w:rsidRPr="00883399" w:rsidRDefault="00872C03" w:rsidP="00872C03">
      <w:pPr>
        <w:pStyle w:val="paragraphsub"/>
        <w:rPr>
          <w:sz w:val="24"/>
        </w:rPr>
      </w:pPr>
      <w:r w:rsidRPr="00883399">
        <w:rPr>
          <w:sz w:val="24"/>
        </w:rPr>
        <w:tab/>
        <w:t>(ii)</w:t>
      </w:r>
      <w:r w:rsidRPr="00883399">
        <w:rPr>
          <w:sz w:val="24"/>
        </w:rPr>
        <w:tab/>
        <w:t>silicomanganese; or</w:t>
      </w:r>
    </w:p>
    <w:p w14:paraId="6D8A452B" w14:textId="77777777" w:rsidR="00872C03" w:rsidRPr="00883399" w:rsidRDefault="00872C03" w:rsidP="00872C03">
      <w:pPr>
        <w:pStyle w:val="paragraphsub"/>
        <w:rPr>
          <w:sz w:val="24"/>
        </w:rPr>
      </w:pPr>
      <w:r w:rsidRPr="00883399">
        <w:rPr>
          <w:sz w:val="24"/>
        </w:rPr>
        <w:tab/>
        <w:t>(iii)</w:t>
      </w:r>
      <w:r w:rsidRPr="00883399">
        <w:rPr>
          <w:sz w:val="24"/>
        </w:rPr>
        <w:tab/>
        <w:t>silicon.</w:t>
      </w:r>
    </w:p>
    <w:p w14:paraId="6C8C86CB" w14:textId="77777777" w:rsidR="00872C03" w:rsidRPr="00883399" w:rsidRDefault="00872C03" w:rsidP="00872C03">
      <w:pPr>
        <w:pStyle w:val="subsection"/>
        <w:rPr>
          <w:sz w:val="24"/>
        </w:rPr>
      </w:pPr>
      <w:r w:rsidRPr="00883399">
        <w:rPr>
          <w:sz w:val="24"/>
        </w:rPr>
        <w:tab/>
        <w:t>(2)</w:t>
      </w:r>
      <w:r w:rsidRPr="00883399">
        <w:rPr>
          <w:sz w:val="24"/>
        </w:rPr>
        <w:tab/>
        <w:t>In this section:</w:t>
      </w:r>
    </w:p>
    <w:p w14:paraId="661C0378" w14:textId="77777777" w:rsidR="00872C03" w:rsidRPr="00883399" w:rsidRDefault="00872C03" w:rsidP="00872C03">
      <w:pPr>
        <w:pStyle w:val="Definition0"/>
        <w:rPr>
          <w:sz w:val="24"/>
        </w:rPr>
      </w:pPr>
      <w:r w:rsidRPr="00883399">
        <w:rPr>
          <w:b/>
          <w:i/>
          <w:sz w:val="24"/>
        </w:rPr>
        <w:t xml:space="preserve">ferroalloy </w:t>
      </w:r>
      <w:r w:rsidRPr="00883399">
        <w:rPr>
          <w:sz w:val="24"/>
        </w:rPr>
        <w:t>means an alloy of 1 or more elements with iron including, but not limited to, any of the following:</w:t>
      </w:r>
    </w:p>
    <w:p w14:paraId="5BBDF7D2" w14:textId="77777777" w:rsidR="00872C03" w:rsidRPr="00883399" w:rsidRDefault="00872C03" w:rsidP="00872C03">
      <w:pPr>
        <w:pStyle w:val="paragraph"/>
        <w:rPr>
          <w:sz w:val="24"/>
        </w:rPr>
      </w:pPr>
      <w:r w:rsidRPr="00883399">
        <w:rPr>
          <w:sz w:val="24"/>
        </w:rPr>
        <w:tab/>
        <w:t>(a)</w:t>
      </w:r>
      <w:r w:rsidRPr="00883399">
        <w:rPr>
          <w:sz w:val="24"/>
        </w:rPr>
        <w:tab/>
        <w:t>ferrochrome;</w:t>
      </w:r>
    </w:p>
    <w:p w14:paraId="21D91C57" w14:textId="77777777" w:rsidR="00872C03" w:rsidRPr="00883399" w:rsidRDefault="00872C03" w:rsidP="00872C03">
      <w:pPr>
        <w:pStyle w:val="paragraph"/>
        <w:rPr>
          <w:sz w:val="24"/>
        </w:rPr>
      </w:pPr>
      <w:r w:rsidRPr="00883399">
        <w:rPr>
          <w:sz w:val="24"/>
        </w:rPr>
        <w:tab/>
        <w:t>(b)</w:t>
      </w:r>
      <w:r w:rsidRPr="00883399">
        <w:rPr>
          <w:sz w:val="24"/>
        </w:rPr>
        <w:tab/>
        <w:t>ferromanganese;</w:t>
      </w:r>
    </w:p>
    <w:p w14:paraId="21210269" w14:textId="77777777" w:rsidR="00872C03" w:rsidRPr="00883399" w:rsidRDefault="00872C03" w:rsidP="00872C03">
      <w:pPr>
        <w:pStyle w:val="paragraph"/>
        <w:rPr>
          <w:sz w:val="24"/>
        </w:rPr>
      </w:pPr>
      <w:r w:rsidRPr="00883399">
        <w:rPr>
          <w:sz w:val="24"/>
        </w:rPr>
        <w:tab/>
        <w:t>(c)</w:t>
      </w:r>
      <w:r w:rsidRPr="00883399">
        <w:rPr>
          <w:sz w:val="24"/>
        </w:rPr>
        <w:tab/>
        <w:t>ferromolybdenum;</w:t>
      </w:r>
    </w:p>
    <w:p w14:paraId="0A663098" w14:textId="77777777" w:rsidR="00872C03" w:rsidRPr="00883399" w:rsidRDefault="00872C03" w:rsidP="00872C03">
      <w:pPr>
        <w:pStyle w:val="paragraph"/>
        <w:rPr>
          <w:sz w:val="24"/>
        </w:rPr>
      </w:pPr>
      <w:r w:rsidRPr="00883399">
        <w:rPr>
          <w:sz w:val="24"/>
        </w:rPr>
        <w:tab/>
        <w:t>(d)</w:t>
      </w:r>
      <w:r w:rsidRPr="00883399">
        <w:rPr>
          <w:sz w:val="24"/>
        </w:rPr>
        <w:tab/>
        <w:t>ferronickel;</w:t>
      </w:r>
    </w:p>
    <w:p w14:paraId="0D62DE69" w14:textId="77777777" w:rsidR="00872C03" w:rsidRPr="00883399" w:rsidRDefault="00872C03" w:rsidP="00872C03">
      <w:pPr>
        <w:pStyle w:val="paragraph"/>
        <w:rPr>
          <w:sz w:val="24"/>
        </w:rPr>
      </w:pPr>
      <w:r w:rsidRPr="00883399">
        <w:rPr>
          <w:sz w:val="24"/>
        </w:rPr>
        <w:tab/>
        <w:t>(e)</w:t>
      </w:r>
      <w:r w:rsidRPr="00883399">
        <w:rPr>
          <w:sz w:val="24"/>
        </w:rPr>
        <w:tab/>
        <w:t>ferrosilicon;</w:t>
      </w:r>
    </w:p>
    <w:p w14:paraId="24FB158C" w14:textId="77777777" w:rsidR="00872C03" w:rsidRPr="00883399" w:rsidRDefault="00872C03" w:rsidP="00872C03">
      <w:pPr>
        <w:pStyle w:val="paragraph"/>
        <w:rPr>
          <w:sz w:val="24"/>
        </w:rPr>
      </w:pPr>
      <w:r w:rsidRPr="00883399">
        <w:rPr>
          <w:sz w:val="24"/>
        </w:rPr>
        <w:tab/>
        <w:t>(f)</w:t>
      </w:r>
      <w:r w:rsidRPr="00883399">
        <w:rPr>
          <w:sz w:val="24"/>
        </w:rPr>
        <w:tab/>
        <w:t>ferrotitanium;</w:t>
      </w:r>
    </w:p>
    <w:p w14:paraId="4F766690" w14:textId="77777777" w:rsidR="00872C03" w:rsidRPr="00883399" w:rsidRDefault="00872C03" w:rsidP="00872C03">
      <w:pPr>
        <w:pStyle w:val="paragraph"/>
        <w:rPr>
          <w:sz w:val="24"/>
        </w:rPr>
      </w:pPr>
      <w:r w:rsidRPr="00883399">
        <w:rPr>
          <w:sz w:val="24"/>
        </w:rPr>
        <w:tab/>
        <w:t>(g)</w:t>
      </w:r>
      <w:r w:rsidRPr="00883399">
        <w:rPr>
          <w:sz w:val="24"/>
        </w:rPr>
        <w:tab/>
        <w:t>ferrotungsten;</w:t>
      </w:r>
    </w:p>
    <w:p w14:paraId="0C497FD4" w14:textId="77777777" w:rsidR="00872C03" w:rsidRPr="00883399" w:rsidRDefault="00872C03" w:rsidP="00872C03">
      <w:pPr>
        <w:pStyle w:val="paragraph"/>
        <w:rPr>
          <w:sz w:val="24"/>
        </w:rPr>
      </w:pPr>
      <w:r w:rsidRPr="00883399">
        <w:rPr>
          <w:sz w:val="24"/>
        </w:rPr>
        <w:tab/>
        <w:t>(h)</w:t>
      </w:r>
      <w:r w:rsidRPr="00883399">
        <w:rPr>
          <w:sz w:val="24"/>
        </w:rPr>
        <w:tab/>
        <w:t>ferrovanadium.</w:t>
      </w:r>
    </w:p>
    <w:p w14:paraId="7AB98F80" w14:textId="34B0E78F" w:rsidR="00872C03" w:rsidRPr="00883399" w:rsidRDefault="00872C03" w:rsidP="00872C03">
      <w:pPr>
        <w:pStyle w:val="ActHead5"/>
        <w:rPr>
          <w:sz w:val="28"/>
        </w:rPr>
      </w:pPr>
      <w:bookmarkStart w:id="976" w:name="_Toc423517084"/>
      <w:bookmarkStart w:id="977" w:name="_Toc495653016"/>
      <w:r w:rsidRPr="00883399">
        <w:rPr>
          <w:rStyle w:val="CharSectno"/>
          <w:sz w:val="28"/>
        </w:rPr>
        <w:t>4.70</w:t>
      </w:r>
      <w:r w:rsidRPr="00883399">
        <w:rPr>
          <w:sz w:val="28"/>
        </w:rPr>
        <w:t xml:space="preserve">  Available methods</w:t>
      </w:r>
      <w:bookmarkEnd w:id="976"/>
      <w:bookmarkEnd w:id="977"/>
    </w:p>
    <w:p w14:paraId="3BC31723" w14:textId="77777777" w:rsidR="00872C03" w:rsidRPr="00883399" w:rsidRDefault="00872C03" w:rsidP="00872C03">
      <w:pPr>
        <w:pStyle w:val="subsection"/>
        <w:rPr>
          <w:sz w:val="24"/>
        </w:rPr>
      </w:pPr>
      <w:r w:rsidRPr="00883399">
        <w:rPr>
          <w:sz w:val="24"/>
        </w:rPr>
        <w:tab/>
        <w:t>(1)</w:t>
      </w:r>
      <w:r w:rsidRPr="00883399">
        <w:rPr>
          <w:sz w:val="24"/>
        </w:rPr>
        <w:tab/>
        <w:t>Subject to section 1.18, one of the following methods must be used for estimating emissions of carbon dioxide during a year from the operation of a facility that is constituted by the production of ferroalloy metal, silicomanganese or silicon:</w:t>
      </w:r>
    </w:p>
    <w:p w14:paraId="465B7A72" w14:textId="77777777" w:rsidR="00872C03" w:rsidRPr="00883399" w:rsidRDefault="00872C03" w:rsidP="00872C03">
      <w:pPr>
        <w:pStyle w:val="paragraph"/>
        <w:rPr>
          <w:sz w:val="24"/>
        </w:rPr>
      </w:pPr>
      <w:r w:rsidRPr="00883399">
        <w:rPr>
          <w:sz w:val="24"/>
        </w:rPr>
        <w:tab/>
        <w:t>(a)</w:t>
      </w:r>
      <w:r w:rsidRPr="00883399">
        <w:rPr>
          <w:sz w:val="24"/>
        </w:rPr>
        <w:tab/>
        <w:t>method 1 under section 4.71;</w:t>
      </w:r>
    </w:p>
    <w:p w14:paraId="3E75545C" w14:textId="77777777" w:rsidR="00872C03" w:rsidRPr="00883399" w:rsidRDefault="00872C03" w:rsidP="00872C03">
      <w:pPr>
        <w:pStyle w:val="paragraph"/>
        <w:rPr>
          <w:sz w:val="24"/>
        </w:rPr>
      </w:pPr>
      <w:r w:rsidRPr="00883399">
        <w:rPr>
          <w:sz w:val="24"/>
        </w:rPr>
        <w:tab/>
        <w:t>(b)</w:t>
      </w:r>
      <w:r w:rsidRPr="00883399">
        <w:rPr>
          <w:sz w:val="24"/>
        </w:rPr>
        <w:tab/>
        <w:t>method 2 under section 4.72;</w:t>
      </w:r>
    </w:p>
    <w:p w14:paraId="36322B4F" w14:textId="77777777" w:rsidR="00872C03" w:rsidRPr="00883399" w:rsidRDefault="00872C03" w:rsidP="00872C03">
      <w:pPr>
        <w:pStyle w:val="paragraph"/>
        <w:rPr>
          <w:sz w:val="24"/>
        </w:rPr>
      </w:pPr>
      <w:r w:rsidRPr="00883399">
        <w:rPr>
          <w:sz w:val="24"/>
        </w:rPr>
        <w:tab/>
        <w:t>(c)</w:t>
      </w:r>
      <w:r w:rsidRPr="00883399">
        <w:rPr>
          <w:sz w:val="24"/>
        </w:rPr>
        <w:tab/>
        <w:t>method 3 under section 4.73;</w:t>
      </w:r>
    </w:p>
    <w:p w14:paraId="3DB44007" w14:textId="77777777" w:rsidR="00872C03" w:rsidRPr="00883399" w:rsidRDefault="00872C03" w:rsidP="00872C03">
      <w:pPr>
        <w:pStyle w:val="paragraph"/>
        <w:rPr>
          <w:sz w:val="24"/>
        </w:rPr>
      </w:pPr>
      <w:r w:rsidRPr="00883399">
        <w:rPr>
          <w:sz w:val="24"/>
        </w:rPr>
        <w:tab/>
        <w:t>(d)</w:t>
      </w:r>
      <w:r w:rsidRPr="00883399">
        <w:rPr>
          <w:sz w:val="24"/>
        </w:rPr>
        <w:tab/>
        <w:t>method 4 under Part 1.3.</w:t>
      </w:r>
    </w:p>
    <w:p w14:paraId="47092D93" w14:textId="77777777" w:rsidR="00872C03" w:rsidRPr="00883399" w:rsidRDefault="00872C03" w:rsidP="00872C03">
      <w:pPr>
        <w:pStyle w:val="subsection"/>
        <w:rPr>
          <w:sz w:val="24"/>
        </w:rPr>
      </w:pPr>
      <w:r w:rsidRPr="00883399">
        <w:rPr>
          <w:sz w:val="24"/>
        </w:rPr>
        <w:lastRenderedPageBreak/>
        <w:tab/>
        <w:t>(2)</w:t>
      </w:r>
      <w:r w:rsidRPr="00883399">
        <w:rPr>
          <w:sz w:val="24"/>
        </w:rPr>
        <w:tab/>
        <w:t>However, for incidental emissions another method may be used that is consistent with the principles in section 1.13.</w:t>
      </w:r>
    </w:p>
    <w:p w14:paraId="462642DC" w14:textId="77777777" w:rsidR="006E1310" w:rsidRPr="00883399" w:rsidRDefault="006E1310" w:rsidP="006E1310">
      <w:pPr>
        <w:pStyle w:val="R2"/>
        <w:keepLines w:val="0"/>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Methane and nitrous oxide emissions arising from the combustion of reductants should be estimated using methods described in Chapter 2 – Fuel Combustion.</w:t>
      </w:r>
    </w:p>
    <w:p w14:paraId="44DFBF53" w14:textId="77777777" w:rsidR="006E1310" w:rsidRPr="00883399" w:rsidRDefault="006E1310" w:rsidP="006E1310">
      <w:pPr>
        <w:pStyle w:val="R2"/>
        <w:ind w:hanging="62"/>
        <w:rPr>
          <w:rFonts w:ascii="Arial" w:hAnsi="Arial" w:cs="Arial"/>
          <w:b/>
          <w:sz w:val="22"/>
          <w:szCs w:val="22"/>
        </w:rPr>
      </w:pPr>
      <w:r w:rsidRPr="00883399">
        <w:rPr>
          <w:rFonts w:ascii="Arial" w:hAnsi="Arial" w:cs="Arial"/>
          <w:b/>
          <w:sz w:val="22"/>
          <w:szCs w:val="22"/>
        </w:rPr>
        <w:t>Summary of available methods, for estimating emissions from ferroalloy metal production, by emissions of gas type (j)</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2148"/>
        <w:gridCol w:w="1400"/>
        <w:gridCol w:w="1528"/>
      </w:tblGrid>
      <w:tr w:rsidR="006E1310" w:rsidRPr="00883399" w14:paraId="096F29E2" w14:textId="77777777" w:rsidTr="0031057E">
        <w:tc>
          <w:tcPr>
            <w:tcW w:w="2349" w:type="dxa"/>
            <w:shd w:val="clear" w:color="auto" w:fill="E6E6E6"/>
          </w:tcPr>
          <w:p w14:paraId="56BB9EFB" w14:textId="77777777" w:rsidR="006E1310" w:rsidRPr="00883399" w:rsidRDefault="006E1310" w:rsidP="0031057E">
            <w:pPr>
              <w:pStyle w:val="Text"/>
            </w:pPr>
          </w:p>
        </w:tc>
        <w:tc>
          <w:tcPr>
            <w:tcW w:w="2211" w:type="dxa"/>
            <w:shd w:val="clear" w:color="auto" w:fill="E6E6E6"/>
          </w:tcPr>
          <w:p w14:paraId="76CED620" w14:textId="77777777" w:rsidR="006E1310" w:rsidRPr="00883399" w:rsidRDefault="006E1310" w:rsidP="0031057E">
            <w:pPr>
              <w:pStyle w:val="Text"/>
            </w:pPr>
            <w:r w:rsidRPr="00883399">
              <w:t>CO</w:t>
            </w:r>
            <w:r w:rsidRPr="00883399">
              <w:rPr>
                <w:vertAlign w:val="subscript"/>
              </w:rPr>
              <w:t>2</w:t>
            </w:r>
          </w:p>
        </w:tc>
        <w:tc>
          <w:tcPr>
            <w:tcW w:w="1440" w:type="dxa"/>
            <w:shd w:val="clear" w:color="auto" w:fill="E6E6E6"/>
          </w:tcPr>
          <w:p w14:paraId="77F98CBF" w14:textId="77777777" w:rsidR="006E1310" w:rsidRPr="00883399" w:rsidRDefault="006E1310" w:rsidP="0031057E">
            <w:pPr>
              <w:pStyle w:val="Text"/>
            </w:pPr>
            <w:r w:rsidRPr="00883399">
              <w:t>CH</w:t>
            </w:r>
            <w:r w:rsidRPr="00883399">
              <w:rPr>
                <w:vertAlign w:val="subscript"/>
              </w:rPr>
              <w:t>4</w:t>
            </w:r>
          </w:p>
        </w:tc>
        <w:tc>
          <w:tcPr>
            <w:tcW w:w="1574" w:type="dxa"/>
            <w:shd w:val="clear" w:color="auto" w:fill="E6E6E6"/>
          </w:tcPr>
          <w:p w14:paraId="3B9976CB" w14:textId="77777777" w:rsidR="006E1310" w:rsidRPr="00883399" w:rsidRDefault="006E1310" w:rsidP="0031057E">
            <w:pPr>
              <w:pStyle w:val="Text"/>
            </w:pPr>
            <w:r w:rsidRPr="00883399">
              <w:t>N</w:t>
            </w:r>
            <w:r w:rsidRPr="00883399">
              <w:rPr>
                <w:vertAlign w:val="subscript"/>
              </w:rPr>
              <w:t>2</w:t>
            </w:r>
            <w:r w:rsidRPr="00883399">
              <w:t>O</w:t>
            </w:r>
          </w:p>
        </w:tc>
      </w:tr>
      <w:tr w:rsidR="006E1310" w:rsidRPr="00883399" w14:paraId="3EE40303" w14:textId="77777777" w:rsidTr="0031057E">
        <w:tc>
          <w:tcPr>
            <w:tcW w:w="2349" w:type="dxa"/>
          </w:tcPr>
          <w:p w14:paraId="08A6784E" w14:textId="77777777" w:rsidR="006E1310" w:rsidRPr="00883399" w:rsidRDefault="006E1310" w:rsidP="0031057E">
            <w:pPr>
              <w:pStyle w:val="Text"/>
              <w:spacing w:before="120" w:line="240" w:lineRule="auto"/>
              <w:rPr>
                <w:i/>
              </w:rPr>
            </w:pPr>
            <w:r w:rsidRPr="00883399">
              <w:t>Method 1</w:t>
            </w:r>
          </w:p>
        </w:tc>
        <w:tc>
          <w:tcPr>
            <w:tcW w:w="2211" w:type="dxa"/>
          </w:tcPr>
          <w:p w14:paraId="7561FA76" w14:textId="77777777" w:rsidR="006E1310" w:rsidRPr="00883399" w:rsidRDefault="006E1310" w:rsidP="0031057E">
            <w:pPr>
              <w:pStyle w:val="Text"/>
              <w:spacing w:before="120" w:line="240" w:lineRule="auto"/>
            </w:pPr>
            <w:r w:rsidRPr="00883399">
              <w:t>Section 4.71</w:t>
            </w:r>
          </w:p>
        </w:tc>
        <w:tc>
          <w:tcPr>
            <w:tcW w:w="1440" w:type="dxa"/>
          </w:tcPr>
          <w:p w14:paraId="4AD26E90" w14:textId="77777777" w:rsidR="006E1310" w:rsidRPr="00883399" w:rsidRDefault="006E1310" w:rsidP="0031057E">
            <w:pPr>
              <w:pStyle w:val="Text"/>
              <w:spacing w:before="120" w:line="240" w:lineRule="auto"/>
            </w:pPr>
            <w:r w:rsidRPr="00883399">
              <w:t>NO</w:t>
            </w:r>
          </w:p>
        </w:tc>
        <w:tc>
          <w:tcPr>
            <w:tcW w:w="1574" w:type="dxa"/>
          </w:tcPr>
          <w:p w14:paraId="05E86129" w14:textId="77777777" w:rsidR="006E1310" w:rsidRPr="00883399" w:rsidRDefault="006E1310" w:rsidP="0031057E">
            <w:pPr>
              <w:pStyle w:val="Text"/>
              <w:spacing w:before="120" w:line="240" w:lineRule="auto"/>
            </w:pPr>
            <w:r w:rsidRPr="00883399">
              <w:t>NO</w:t>
            </w:r>
          </w:p>
        </w:tc>
      </w:tr>
      <w:tr w:rsidR="006E1310" w:rsidRPr="00883399" w14:paraId="71E979E0" w14:textId="77777777" w:rsidTr="0031057E">
        <w:tc>
          <w:tcPr>
            <w:tcW w:w="2349" w:type="dxa"/>
          </w:tcPr>
          <w:p w14:paraId="4C546EDE" w14:textId="77777777" w:rsidR="006E1310" w:rsidRPr="00883399" w:rsidRDefault="006E1310" w:rsidP="0031057E">
            <w:pPr>
              <w:pStyle w:val="Text"/>
              <w:spacing w:before="120" w:line="240" w:lineRule="auto"/>
            </w:pPr>
            <w:r w:rsidRPr="00883399">
              <w:t>Method 2</w:t>
            </w:r>
          </w:p>
        </w:tc>
        <w:tc>
          <w:tcPr>
            <w:tcW w:w="2211" w:type="dxa"/>
          </w:tcPr>
          <w:p w14:paraId="5E2E2040" w14:textId="77777777" w:rsidR="006E1310" w:rsidRPr="00883399" w:rsidRDefault="006E1310" w:rsidP="0031057E">
            <w:pPr>
              <w:pStyle w:val="Text"/>
              <w:spacing w:before="120" w:line="240" w:lineRule="auto"/>
            </w:pPr>
            <w:r w:rsidRPr="00883399">
              <w:t>Section 4.72</w:t>
            </w:r>
          </w:p>
        </w:tc>
        <w:tc>
          <w:tcPr>
            <w:tcW w:w="1440" w:type="dxa"/>
          </w:tcPr>
          <w:p w14:paraId="2A981CC8" w14:textId="77777777" w:rsidR="006E1310" w:rsidRPr="00883399" w:rsidRDefault="006E1310" w:rsidP="0031057E">
            <w:pPr>
              <w:pStyle w:val="Text"/>
              <w:spacing w:before="120" w:line="240" w:lineRule="auto"/>
            </w:pPr>
            <w:r w:rsidRPr="00883399">
              <w:t>NO</w:t>
            </w:r>
          </w:p>
        </w:tc>
        <w:tc>
          <w:tcPr>
            <w:tcW w:w="1574" w:type="dxa"/>
          </w:tcPr>
          <w:p w14:paraId="2894DCDB" w14:textId="77777777" w:rsidR="006E1310" w:rsidRPr="00883399" w:rsidRDefault="006E1310" w:rsidP="0031057E">
            <w:pPr>
              <w:pStyle w:val="Text"/>
              <w:spacing w:before="120" w:line="240" w:lineRule="auto"/>
            </w:pPr>
            <w:r w:rsidRPr="00883399">
              <w:t>NO</w:t>
            </w:r>
          </w:p>
        </w:tc>
      </w:tr>
      <w:tr w:rsidR="006E1310" w:rsidRPr="00883399" w14:paraId="3DC2CD0A" w14:textId="77777777" w:rsidTr="0031057E">
        <w:tc>
          <w:tcPr>
            <w:tcW w:w="2349" w:type="dxa"/>
          </w:tcPr>
          <w:p w14:paraId="24F568AF" w14:textId="77777777" w:rsidR="006E1310" w:rsidRPr="00883399" w:rsidRDefault="006E1310" w:rsidP="0031057E">
            <w:pPr>
              <w:pStyle w:val="Text"/>
              <w:spacing w:before="120" w:line="240" w:lineRule="auto"/>
            </w:pPr>
            <w:r w:rsidRPr="00883399">
              <w:t>Method 3</w:t>
            </w:r>
          </w:p>
        </w:tc>
        <w:tc>
          <w:tcPr>
            <w:tcW w:w="2211" w:type="dxa"/>
          </w:tcPr>
          <w:p w14:paraId="75BDC109" w14:textId="77777777" w:rsidR="006E1310" w:rsidRPr="00883399" w:rsidRDefault="006E1310" w:rsidP="0031057E">
            <w:pPr>
              <w:pStyle w:val="Text"/>
              <w:spacing w:before="120" w:line="240" w:lineRule="auto"/>
            </w:pPr>
            <w:r w:rsidRPr="00883399">
              <w:t>Section 4.73</w:t>
            </w:r>
          </w:p>
        </w:tc>
        <w:tc>
          <w:tcPr>
            <w:tcW w:w="1440" w:type="dxa"/>
          </w:tcPr>
          <w:p w14:paraId="0BA370B5" w14:textId="77777777" w:rsidR="006E1310" w:rsidRPr="00883399" w:rsidRDefault="006E1310" w:rsidP="0031057E">
            <w:pPr>
              <w:pStyle w:val="Text"/>
              <w:spacing w:before="120" w:line="240" w:lineRule="auto"/>
            </w:pPr>
            <w:r w:rsidRPr="00883399">
              <w:t>NO</w:t>
            </w:r>
          </w:p>
        </w:tc>
        <w:tc>
          <w:tcPr>
            <w:tcW w:w="1574" w:type="dxa"/>
          </w:tcPr>
          <w:p w14:paraId="18277BBD" w14:textId="77777777" w:rsidR="006E1310" w:rsidRPr="00883399" w:rsidRDefault="006E1310" w:rsidP="0031057E">
            <w:pPr>
              <w:pStyle w:val="Text"/>
              <w:spacing w:before="120" w:line="240" w:lineRule="auto"/>
            </w:pPr>
            <w:r w:rsidRPr="00883399">
              <w:t>NO</w:t>
            </w:r>
          </w:p>
        </w:tc>
      </w:tr>
      <w:tr w:rsidR="006E1310" w:rsidRPr="00883399" w14:paraId="3FDAB990" w14:textId="77777777" w:rsidTr="0031057E">
        <w:tc>
          <w:tcPr>
            <w:tcW w:w="2349" w:type="dxa"/>
          </w:tcPr>
          <w:p w14:paraId="7540C821" w14:textId="77777777" w:rsidR="006E1310" w:rsidRPr="00883399" w:rsidRDefault="006E1310" w:rsidP="0031057E">
            <w:pPr>
              <w:pStyle w:val="Text"/>
              <w:spacing w:before="120" w:line="240" w:lineRule="auto"/>
            </w:pPr>
            <w:r w:rsidRPr="00883399">
              <w:t>Method 4</w:t>
            </w:r>
          </w:p>
        </w:tc>
        <w:tc>
          <w:tcPr>
            <w:tcW w:w="2211" w:type="dxa"/>
          </w:tcPr>
          <w:p w14:paraId="514A8F7A" w14:textId="77777777" w:rsidR="006E1310" w:rsidRPr="00883399" w:rsidRDefault="006E1310" w:rsidP="0031057E">
            <w:pPr>
              <w:pStyle w:val="Text"/>
              <w:spacing w:before="120" w:line="240" w:lineRule="auto"/>
            </w:pPr>
            <w:r w:rsidRPr="00883399">
              <w:t>Method 4 under Part 1.3</w:t>
            </w:r>
          </w:p>
        </w:tc>
        <w:tc>
          <w:tcPr>
            <w:tcW w:w="1440" w:type="dxa"/>
          </w:tcPr>
          <w:p w14:paraId="346F0DF8" w14:textId="77777777" w:rsidR="006E1310" w:rsidRPr="00883399" w:rsidRDefault="006E1310" w:rsidP="0031057E">
            <w:pPr>
              <w:pStyle w:val="Text"/>
              <w:spacing w:before="120" w:line="240" w:lineRule="auto"/>
            </w:pPr>
            <w:r w:rsidRPr="00883399">
              <w:t>NO</w:t>
            </w:r>
          </w:p>
        </w:tc>
        <w:tc>
          <w:tcPr>
            <w:tcW w:w="1574" w:type="dxa"/>
          </w:tcPr>
          <w:p w14:paraId="2377A3FC" w14:textId="77777777" w:rsidR="006E1310" w:rsidRPr="00883399" w:rsidRDefault="006E1310" w:rsidP="0031057E">
            <w:pPr>
              <w:pStyle w:val="Text"/>
              <w:spacing w:before="120" w:line="240" w:lineRule="auto"/>
            </w:pPr>
            <w:r w:rsidRPr="00883399">
              <w:t>NO</w:t>
            </w:r>
          </w:p>
        </w:tc>
      </w:tr>
    </w:tbl>
    <w:p w14:paraId="450D99EF" w14:textId="77777777" w:rsidR="006E1310" w:rsidRPr="00883399" w:rsidRDefault="006E1310" w:rsidP="00872C03">
      <w:pPr>
        <w:pStyle w:val="subsection"/>
        <w:rPr>
          <w:sz w:val="24"/>
        </w:rPr>
      </w:pPr>
      <w:r w:rsidRPr="00883399">
        <w:rPr>
          <w:sz w:val="20"/>
        </w:rPr>
        <w:t>NO = Not occurring.</w:t>
      </w:r>
    </w:p>
    <w:p w14:paraId="35D750BF" w14:textId="4E541703" w:rsidR="00872C03" w:rsidRPr="00883399" w:rsidRDefault="00872C03" w:rsidP="00872C03">
      <w:pPr>
        <w:pStyle w:val="ActHead5"/>
        <w:rPr>
          <w:sz w:val="20"/>
        </w:rPr>
      </w:pPr>
      <w:bookmarkStart w:id="978" w:name="_Toc423517085"/>
      <w:bookmarkStart w:id="979" w:name="_Toc495653017"/>
      <w:r w:rsidRPr="00883399">
        <w:rPr>
          <w:rStyle w:val="CharSectno"/>
          <w:sz w:val="28"/>
        </w:rPr>
        <w:t>4.71</w:t>
      </w:r>
      <w:r w:rsidRPr="00883399">
        <w:rPr>
          <w:sz w:val="28"/>
        </w:rPr>
        <w:t xml:space="preserve">  Method 1—ferroalloy metal</w:t>
      </w:r>
      <w:bookmarkEnd w:id="978"/>
      <w:bookmarkEnd w:id="979"/>
    </w:p>
    <w:p w14:paraId="204190F2" w14:textId="77777777" w:rsidR="00872C03" w:rsidRPr="00883399" w:rsidRDefault="00872C03" w:rsidP="00872C03">
      <w:pPr>
        <w:pStyle w:val="subsection"/>
        <w:rPr>
          <w:sz w:val="24"/>
        </w:rPr>
      </w:pPr>
      <w:r w:rsidRPr="00883399">
        <w:rPr>
          <w:sz w:val="24"/>
        </w:rPr>
        <w:tab/>
      </w:r>
      <w:r w:rsidRPr="00883399">
        <w:rPr>
          <w:sz w:val="24"/>
        </w:rPr>
        <w:tab/>
        <w:t>Method 1, based on a carbon mass balance approach, is:</w:t>
      </w:r>
    </w:p>
    <w:tbl>
      <w:tblPr>
        <w:tblW w:w="0" w:type="auto"/>
        <w:tblInd w:w="948" w:type="dxa"/>
        <w:tblLayout w:type="fixed"/>
        <w:tblLook w:val="04A0" w:firstRow="1" w:lastRow="0" w:firstColumn="1" w:lastColumn="0" w:noHBand="0" w:noVBand="1"/>
      </w:tblPr>
      <w:tblGrid>
        <w:gridCol w:w="882"/>
        <w:gridCol w:w="6678"/>
      </w:tblGrid>
      <w:tr w:rsidR="00872C03" w:rsidRPr="00883399" w14:paraId="33025422" w14:textId="77777777" w:rsidTr="0031057E">
        <w:trPr>
          <w:cantSplit/>
          <w:trHeight w:val="80"/>
        </w:trPr>
        <w:tc>
          <w:tcPr>
            <w:tcW w:w="882" w:type="dxa"/>
            <w:hideMark/>
          </w:tcPr>
          <w:p w14:paraId="0E625A6D" w14:textId="77777777" w:rsidR="00872C03" w:rsidRPr="00883399" w:rsidRDefault="00872C03" w:rsidP="0031057E">
            <w:pPr>
              <w:keepNext/>
              <w:keepLines/>
              <w:spacing w:before="60" w:after="60"/>
            </w:pPr>
            <w:r w:rsidRPr="00883399">
              <w:t>Step 1</w:t>
            </w:r>
          </w:p>
        </w:tc>
        <w:tc>
          <w:tcPr>
            <w:tcW w:w="6678" w:type="dxa"/>
            <w:hideMark/>
          </w:tcPr>
          <w:p w14:paraId="6E33B826" w14:textId="77777777" w:rsidR="00872C03" w:rsidRPr="00883399" w:rsidRDefault="00872C03" w:rsidP="0031057E">
            <w:pPr>
              <w:pStyle w:val="TableText"/>
              <w:keepNext/>
              <w:keepLines/>
              <w:rPr>
                <w:sz w:val="24"/>
              </w:rPr>
            </w:pPr>
            <w:r w:rsidRPr="00883399">
              <w:rPr>
                <w:sz w:val="24"/>
              </w:rPr>
              <w:t>Work out the carbon content in fuel types (</w:t>
            </w:r>
            <w:r w:rsidRPr="00883399">
              <w:rPr>
                <w:b/>
                <w:i/>
                <w:sz w:val="24"/>
              </w:rPr>
              <w:t>i</w:t>
            </w:r>
            <w:r w:rsidRPr="00883399">
              <w:rPr>
                <w:sz w:val="24"/>
              </w:rPr>
              <w:t>) or carbonaceous input material delivered for the activity during the year, measured in tonnes of carbon, as follows:</w:t>
            </w:r>
          </w:p>
          <w:p w14:paraId="512C7E9E" w14:textId="1B051C1C" w:rsidR="00872C03" w:rsidRPr="00883399" w:rsidRDefault="00872C03" w:rsidP="0031057E">
            <w:pPr>
              <w:pStyle w:val="Formula"/>
              <w:keepNext/>
              <w:keepLines/>
              <w:spacing w:before="120" w:after="120"/>
              <w:ind w:left="13"/>
              <w:rPr>
                <w:sz w:val="22"/>
              </w:rPr>
            </w:pPr>
            <w:r w:rsidRPr="00883399">
              <w:rPr>
                <w:noProof/>
                <w:position w:val="-10"/>
                <w:sz w:val="22"/>
              </w:rPr>
              <w:drawing>
                <wp:inline distT="0" distB="0" distL="0" distR="0" wp14:anchorId="0EF81BC2" wp14:editId="5F4DA43C">
                  <wp:extent cx="866775" cy="201930"/>
                  <wp:effectExtent l="19050" t="0" r="9525"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27"/>
                          <a:srcRect/>
                          <a:stretch>
                            <a:fillRect/>
                          </a:stretch>
                        </pic:blipFill>
                        <pic:spPr bwMode="auto">
                          <a:xfrm>
                            <a:off x="0" y="0"/>
                            <a:ext cx="866775" cy="201930"/>
                          </a:xfrm>
                          <a:prstGeom prst="rect">
                            <a:avLst/>
                          </a:prstGeom>
                          <a:noFill/>
                          <a:ln w="9525">
                            <a:noFill/>
                            <a:miter lim="800000"/>
                            <a:headEnd/>
                            <a:tailEnd/>
                          </a:ln>
                        </pic:spPr>
                      </pic:pic>
                    </a:graphicData>
                  </a:graphic>
                </wp:inline>
              </w:drawing>
            </w:r>
          </w:p>
        </w:tc>
      </w:tr>
      <w:tr w:rsidR="00872C03" w:rsidRPr="00883399" w14:paraId="12392E52" w14:textId="77777777" w:rsidTr="0031057E">
        <w:trPr>
          <w:cantSplit/>
          <w:trHeight w:val="80"/>
        </w:trPr>
        <w:tc>
          <w:tcPr>
            <w:tcW w:w="882" w:type="dxa"/>
            <w:vAlign w:val="center"/>
            <w:hideMark/>
          </w:tcPr>
          <w:p w14:paraId="7B6262EE" w14:textId="77777777" w:rsidR="00872C03" w:rsidRPr="00883399" w:rsidRDefault="00872C03" w:rsidP="0031057E"/>
        </w:tc>
        <w:tc>
          <w:tcPr>
            <w:tcW w:w="6678" w:type="dxa"/>
            <w:hideMark/>
          </w:tcPr>
          <w:p w14:paraId="087A48B7" w14:textId="77777777" w:rsidR="00872C03" w:rsidRPr="00883399" w:rsidRDefault="00872C03" w:rsidP="0031057E">
            <w:pPr>
              <w:pStyle w:val="TableText"/>
              <w:rPr>
                <w:sz w:val="24"/>
              </w:rPr>
            </w:pPr>
            <w:r w:rsidRPr="00883399">
              <w:rPr>
                <w:sz w:val="24"/>
              </w:rPr>
              <w:t>where:</w:t>
            </w:r>
          </w:p>
          <w:p w14:paraId="56443885" w14:textId="77777777" w:rsidR="00872C03" w:rsidRPr="00883399" w:rsidRDefault="00872C03" w:rsidP="0031057E">
            <w:pPr>
              <w:pStyle w:val="TableText"/>
              <w:spacing w:line="240" w:lineRule="auto"/>
              <w:rPr>
                <w:sz w:val="24"/>
              </w:rPr>
            </w:pPr>
            <w:r w:rsidRPr="00883399">
              <w:rPr>
                <w:rFonts w:ascii="Symbol" w:hAnsi="Symbol"/>
                <w:b/>
                <w:i/>
                <w:sz w:val="24"/>
              </w:rPr>
              <w:t></w:t>
            </w:r>
            <w:r w:rsidRPr="00883399">
              <w:rPr>
                <w:b/>
                <w:i/>
                <w:sz w:val="24"/>
                <w:vertAlign w:val="subscript"/>
              </w:rPr>
              <w:t>i</w:t>
            </w:r>
            <w:r w:rsidRPr="00883399">
              <w:rPr>
                <w:i/>
                <w:sz w:val="24"/>
              </w:rPr>
              <w:t xml:space="preserve"> </w:t>
            </w:r>
            <w:r w:rsidRPr="00883399">
              <w:rPr>
                <w:sz w:val="24"/>
              </w:rPr>
              <w:t xml:space="preserve">means the sum of the </w:t>
            </w:r>
            <w:r w:rsidRPr="00883399">
              <w:rPr>
                <w:sz w:val="24"/>
                <w:szCs w:val="22"/>
              </w:rPr>
              <w:t>carbon</w:t>
            </w:r>
            <w:r w:rsidRPr="00883399">
              <w:rPr>
                <w:sz w:val="24"/>
              </w:rPr>
              <w:t xml:space="preserve"> content values obtained for all fuel types (</w:t>
            </w:r>
            <w:r w:rsidRPr="00883399">
              <w:rPr>
                <w:b/>
                <w:i/>
                <w:sz w:val="24"/>
              </w:rPr>
              <w:t>i</w:t>
            </w:r>
            <w:r w:rsidRPr="00883399">
              <w:rPr>
                <w:sz w:val="24"/>
              </w:rPr>
              <w:t>) or carbonaceous input material.</w:t>
            </w:r>
          </w:p>
        </w:tc>
      </w:tr>
      <w:tr w:rsidR="00872C03" w:rsidRPr="00883399" w14:paraId="22B952B5" w14:textId="77777777" w:rsidTr="0031057E">
        <w:trPr>
          <w:cantSplit/>
          <w:trHeight w:val="80"/>
        </w:trPr>
        <w:tc>
          <w:tcPr>
            <w:tcW w:w="882" w:type="dxa"/>
            <w:vAlign w:val="center"/>
            <w:hideMark/>
          </w:tcPr>
          <w:p w14:paraId="36B2B7C3" w14:textId="77777777" w:rsidR="00872C03" w:rsidRPr="00883399" w:rsidRDefault="00872C03" w:rsidP="0031057E"/>
        </w:tc>
        <w:tc>
          <w:tcPr>
            <w:tcW w:w="6678" w:type="dxa"/>
            <w:hideMark/>
          </w:tcPr>
          <w:p w14:paraId="0140819F" w14:textId="77777777" w:rsidR="00872C03" w:rsidRPr="00883399" w:rsidRDefault="00872C03" w:rsidP="0031057E">
            <w:pPr>
              <w:pStyle w:val="TableText"/>
              <w:rPr>
                <w:b/>
                <w:i/>
                <w:sz w:val="24"/>
              </w:rPr>
            </w:pPr>
            <w:r w:rsidRPr="00883399">
              <w:rPr>
                <w:b/>
                <w:i/>
                <w:sz w:val="24"/>
              </w:rPr>
              <w:t>CCF</w:t>
            </w:r>
            <w:r w:rsidRPr="00883399">
              <w:rPr>
                <w:b/>
                <w:i/>
                <w:sz w:val="24"/>
                <w:vertAlign w:val="subscript"/>
              </w:rPr>
              <w:t>i</w:t>
            </w:r>
            <w:r w:rsidRPr="00883399">
              <w:rPr>
                <w:i/>
                <w:sz w:val="24"/>
              </w:rPr>
              <w:t xml:space="preserve"> </w:t>
            </w:r>
            <w:r w:rsidRPr="00883399">
              <w:rPr>
                <w:sz w:val="24"/>
              </w:rPr>
              <w:t>is the carbon content factor mentioned in Schedule 3, measured in tonnes of carbon, for each appropriate unit of fuel type (</w:t>
            </w:r>
            <w:r w:rsidRPr="00883399">
              <w:rPr>
                <w:b/>
                <w:i/>
                <w:sz w:val="24"/>
              </w:rPr>
              <w:t>i</w:t>
            </w:r>
            <w:r w:rsidRPr="00883399">
              <w:rPr>
                <w:sz w:val="24"/>
              </w:rPr>
              <w:t>) or carbonaceous input material consumed during the year from the operation of the activity.</w:t>
            </w:r>
          </w:p>
        </w:tc>
      </w:tr>
      <w:tr w:rsidR="00872C03" w:rsidRPr="00883399" w14:paraId="0AFCB172" w14:textId="77777777" w:rsidTr="0031057E">
        <w:trPr>
          <w:cantSplit/>
          <w:trHeight w:val="80"/>
        </w:trPr>
        <w:tc>
          <w:tcPr>
            <w:tcW w:w="882" w:type="dxa"/>
            <w:vAlign w:val="center"/>
            <w:hideMark/>
          </w:tcPr>
          <w:p w14:paraId="3AA6A819" w14:textId="77777777" w:rsidR="00872C03" w:rsidRPr="00883399" w:rsidRDefault="00872C03" w:rsidP="0031057E"/>
        </w:tc>
        <w:tc>
          <w:tcPr>
            <w:tcW w:w="6678" w:type="dxa"/>
            <w:hideMark/>
          </w:tcPr>
          <w:p w14:paraId="268B8ADB" w14:textId="77777777" w:rsidR="00872C03" w:rsidRPr="00883399" w:rsidRDefault="00872C03" w:rsidP="0031057E">
            <w:pPr>
              <w:spacing w:before="60" w:after="60" w:line="240" w:lineRule="exact"/>
            </w:pPr>
            <w:r w:rsidRPr="00883399">
              <w:rPr>
                <w:b/>
                <w:i/>
              </w:rPr>
              <w:t>Q</w:t>
            </w:r>
            <w:r w:rsidRPr="00883399">
              <w:rPr>
                <w:b/>
                <w:i/>
                <w:vertAlign w:val="subscript"/>
              </w:rPr>
              <w:t xml:space="preserve">i </w:t>
            </w:r>
            <w:r w:rsidRPr="00883399">
              <w:t>is the quantity of fuel type (</w:t>
            </w:r>
            <w:r w:rsidRPr="00883399">
              <w:rPr>
                <w:b/>
                <w:i/>
              </w:rPr>
              <w:t>i</w:t>
            </w:r>
            <w:r w:rsidRPr="00883399">
              <w:t xml:space="preserve">) or carbonaceous input material delivered for the activity during the year, measured in an appropriate unit and estimated in accordance with: </w:t>
            </w:r>
          </w:p>
          <w:p w14:paraId="525AC588" w14:textId="77777777" w:rsidR="00872C03" w:rsidRPr="00883399" w:rsidRDefault="00872C03" w:rsidP="0031057E">
            <w:pPr>
              <w:pStyle w:val="TableP1a"/>
              <w:rPr>
                <w:sz w:val="24"/>
              </w:rPr>
            </w:pPr>
            <w:r w:rsidRPr="00883399">
              <w:rPr>
                <w:sz w:val="24"/>
              </w:rPr>
              <w:tab/>
              <w:t>(a)</w:t>
            </w:r>
            <w:r w:rsidRPr="00883399">
              <w:rPr>
                <w:sz w:val="24"/>
              </w:rPr>
              <w:tab/>
              <w:t xml:space="preserve">criterion A in Divisions 2.2.5, 2.3.6 and 2.4.6; or </w:t>
            </w:r>
          </w:p>
          <w:p w14:paraId="7F58C14D" w14:textId="77777777" w:rsidR="00872C03" w:rsidRPr="00883399" w:rsidRDefault="00872C03" w:rsidP="0031057E">
            <w:pPr>
              <w:pStyle w:val="TableP1a"/>
              <w:rPr>
                <w:sz w:val="24"/>
              </w:rPr>
            </w:pPr>
            <w:r w:rsidRPr="00883399">
              <w:rPr>
                <w:sz w:val="24"/>
              </w:rPr>
              <w:tab/>
              <w:t>(b)</w:t>
            </w:r>
            <w:r w:rsidRPr="00883399">
              <w:rPr>
                <w:sz w:val="24"/>
              </w:rPr>
              <w:tab/>
              <w:t>if the quantity of fuel or carbonaceous input material is not acquired as part of a commercial transaction — industry practice, consistent with the principles in section 1.13.</w:t>
            </w:r>
          </w:p>
        </w:tc>
      </w:tr>
      <w:tr w:rsidR="00872C03" w:rsidRPr="00883399" w14:paraId="000F26FE" w14:textId="77777777" w:rsidTr="0031057E">
        <w:trPr>
          <w:cantSplit/>
        </w:trPr>
        <w:tc>
          <w:tcPr>
            <w:tcW w:w="882" w:type="dxa"/>
            <w:vMerge w:val="restart"/>
            <w:hideMark/>
          </w:tcPr>
          <w:p w14:paraId="1B30094E" w14:textId="77777777" w:rsidR="00872C03" w:rsidRPr="00883399" w:rsidRDefault="00872C03" w:rsidP="0031057E">
            <w:pPr>
              <w:spacing w:before="60" w:after="60"/>
            </w:pPr>
            <w:r w:rsidRPr="00883399">
              <w:lastRenderedPageBreak/>
              <w:t>Step 2</w:t>
            </w:r>
          </w:p>
        </w:tc>
        <w:tc>
          <w:tcPr>
            <w:tcW w:w="6678" w:type="dxa"/>
            <w:hideMark/>
          </w:tcPr>
          <w:p w14:paraId="1CE1B33B" w14:textId="77777777" w:rsidR="00872C03" w:rsidRPr="00883399" w:rsidRDefault="00872C03" w:rsidP="0031057E">
            <w:pPr>
              <w:pStyle w:val="TableText"/>
              <w:rPr>
                <w:sz w:val="24"/>
              </w:rPr>
            </w:pPr>
            <w:r w:rsidRPr="00883399">
              <w:rPr>
                <w:sz w:val="24"/>
              </w:rPr>
              <w:t>Work out the carbon content in products (</w:t>
            </w:r>
            <w:r w:rsidRPr="00883399">
              <w:rPr>
                <w:b/>
                <w:i/>
                <w:sz w:val="24"/>
              </w:rPr>
              <w:t>p</w:t>
            </w:r>
            <w:r w:rsidRPr="00883399">
              <w:rPr>
                <w:sz w:val="24"/>
              </w:rPr>
              <w:t>) leaving the activity during the year, measured in tonnes of carbon, as follows:</w:t>
            </w:r>
          </w:p>
          <w:p w14:paraId="19A59343" w14:textId="0683A756" w:rsidR="00872C03" w:rsidRPr="00883399" w:rsidRDefault="00872C03" w:rsidP="0031057E">
            <w:pPr>
              <w:pStyle w:val="Formula"/>
              <w:keepNext/>
              <w:keepLines/>
              <w:spacing w:before="120" w:after="120"/>
              <w:ind w:left="13"/>
              <w:rPr>
                <w:sz w:val="22"/>
              </w:rPr>
            </w:pPr>
            <w:r w:rsidRPr="00883399">
              <w:rPr>
                <w:noProof/>
                <w:position w:val="-14"/>
                <w:sz w:val="22"/>
              </w:rPr>
              <w:drawing>
                <wp:inline distT="0" distB="0" distL="0" distR="0" wp14:anchorId="40A28BEE" wp14:editId="36DF0626">
                  <wp:extent cx="926465" cy="225425"/>
                  <wp:effectExtent l="19050" t="0" r="698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28"/>
                          <a:srcRect/>
                          <a:stretch>
                            <a:fillRect/>
                          </a:stretch>
                        </pic:blipFill>
                        <pic:spPr bwMode="auto">
                          <a:xfrm>
                            <a:off x="0" y="0"/>
                            <a:ext cx="926465" cy="225425"/>
                          </a:xfrm>
                          <a:prstGeom prst="rect">
                            <a:avLst/>
                          </a:prstGeom>
                          <a:noFill/>
                          <a:ln w="9525">
                            <a:noFill/>
                            <a:miter lim="800000"/>
                            <a:headEnd/>
                            <a:tailEnd/>
                          </a:ln>
                        </pic:spPr>
                      </pic:pic>
                    </a:graphicData>
                  </a:graphic>
                </wp:inline>
              </w:drawing>
            </w:r>
          </w:p>
        </w:tc>
      </w:tr>
      <w:tr w:rsidR="00872C03" w:rsidRPr="00883399" w14:paraId="3B1D62E2" w14:textId="77777777" w:rsidTr="0031057E">
        <w:trPr>
          <w:cantSplit/>
        </w:trPr>
        <w:tc>
          <w:tcPr>
            <w:tcW w:w="882" w:type="dxa"/>
            <w:vMerge/>
            <w:hideMark/>
          </w:tcPr>
          <w:p w14:paraId="605793D8" w14:textId="77777777" w:rsidR="00872C03" w:rsidRPr="00883399" w:rsidRDefault="00872C03" w:rsidP="0031057E">
            <w:pPr>
              <w:spacing w:before="60" w:after="60"/>
            </w:pPr>
          </w:p>
        </w:tc>
        <w:tc>
          <w:tcPr>
            <w:tcW w:w="6678" w:type="dxa"/>
            <w:hideMark/>
          </w:tcPr>
          <w:p w14:paraId="1ACFC0CE" w14:textId="77777777" w:rsidR="00872C03" w:rsidRPr="00883399" w:rsidRDefault="00872C03" w:rsidP="0031057E">
            <w:pPr>
              <w:pStyle w:val="TableText"/>
              <w:rPr>
                <w:sz w:val="24"/>
              </w:rPr>
            </w:pPr>
            <w:r w:rsidRPr="00883399">
              <w:rPr>
                <w:sz w:val="24"/>
              </w:rPr>
              <w:t>where:</w:t>
            </w:r>
          </w:p>
          <w:p w14:paraId="2F245F33" w14:textId="77777777" w:rsidR="00872C03" w:rsidRPr="00883399" w:rsidRDefault="00872C03" w:rsidP="0031057E">
            <w:pPr>
              <w:pStyle w:val="TableText"/>
              <w:spacing w:line="240" w:lineRule="auto"/>
              <w:rPr>
                <w:sz w:val="24"/>
              </w:rPr>
            </w:pPr>
            <w:r w:rsidRPr="00883399">
              <w:rPr>
                <w:rFonts w:ascii="Symbol" w:hAnsi="Symbol"/>
                <w:b/>
                <w:i/>
                <w:sz w:val="24"/>
              </w:rPr>
              <w:t></w:t>
            </w:r>
            <w:r w:rsidRPr="00883399">
              <w:rPr>
                <w:b/>
                <w:i/>
                <w:sz w:val="24"/>
                <w:vertAlign w:val="subscript"/>
              </w:rPr>
              <w:t>p</w:t>
            </w:r>
            <w:r w:rsidRPr="00883399">
              <w:rPr>
                <w:i/>
                <w:sz w:val="24"/>
              </w:rPr>
              <w:t xml:space="preserve"> </w:t>
            </w:r>
            <w:r w:rsidRPr="00883399">
              <w:rPr>
                <w:sz w:val="24"/>
              </w:rPr>
              <w:t xml:space="preserve">means the sum of the </w:t>
            </w:r>
            <w:r w:rsidRPr="00883399">
              <w:rPr>
                <w:sz w:val="24"/>
                <w:szCs w:val="22"/>
              </w:rPr>
              <w:t>carbon</w:t>
            </w:r>
            <w:r w:rsidRPr="00883399">
              <w:rPr>
                <w:sz w:val="24"/>
              </w:rPr>
              <w:t xml:space="preserve"> content values obtained for all product types (</w:t>
            </w:r>
            <w:r w:rsidRPr="00883399">
              <w:rPr>
                <w:b/>
                <w:i/>
                <w:sz w:val="24"/>
              </w:rPr>
              <w:t>p</w:t>
            </w:r>
            <w:r w:rsidRPr="00883399">
              <w:rPr>
                <w:sz w:val="24"/>
              </w:rPr>
              <w:t>).</w:t>
            </w:r>
          </w:p>
          <w:p w14:paraId="2165027E" w14:textId="77777777" w:rsidR="00872C03" w:rsidRPr="00883399" w:rsidRDefault="00872C03" w:rsidP="0031057E">
            <w:pPr>
              <w:pStyle w:val="TableText"/>
              <w:spacing w:line="240" w:lineRule="auto"/>
              <w:rPr>
                <w:iCs/>
                <w:sz w:val="24"/>
              </w:rPr>
            </w:pPr>
            <w:r w:rsidRPr="00883399">
              <w:rPr>
                <w:b/>
                <w:i/>
                <w:iCs/>
                <w:sz w:val="24"/>
              </w:rPr>
              <w:t>CCF</w:t>
            </w:r>
            <w:r w:rsidRPr="00883399">
              <w:rPr>
                <w:b/>
                <w:i/>
                <w:iCs/>
                <w:sz w:val="24"/>
                <w:vertAlign w:val="subscript"/>
              </w:rPr>
              <w:t>p</w:t>
            </w:r>
            <w:r w:rsidRPr="00883399">
              <w:rPr>
                <w:iCs/>
                <w:sz w:val="24"/>
              </w:rPr>
              <w:t xml:space="preserve"> is the </w:t>
            </w:r>
            <w:r w:rsidRPr="00883399">
              <w:rPr>
                <w:sz w:val="24"/>
                <w:szCs w:val="22"/>
              </w:rPr>
              <w:t>carbon</w:t>
            </w:r>
            <w:r w:rsidRPr="00883399">
              <w:rPr>
                <w:iCs/>
                <w:sz w:val="24"/>
              </w:rPr>
              <w:t xml:space="preserve"> content factor, measured in tonnes of carbon, for each tonne of product type</w:t>
            </w:r>
            <w:r w:rsidRPr="00883399">
              <w:rPr>
                <w:b/>
                <w:i/>
                <w:iCs/>
                <w:sz w:val="24"/>
              </w:rPr>
              <w:t xml:space="preserve"> </w:t>
            </w:r>
            <w:r w:rsidRPr="00883399">
              <w:rPr>
                <w:iCs/>
                <w:sz w:val="24"/>
              </w:rPr>
              <w:t>(</w:t>
            </w:r>
            <w:r w:rsidRPr="00883399">
              <w:rPr>
                <w:b/>
                <w:i/>
                <w:iCs/>
                <w:sz w:val="24"/>
              </w:rPr>
              <w:t>p</w:t>
            </w:r>
            <w:r w:rsidRPr="00883399">
              <w:rPr>
                <w:iCs/>
                <w:sz w:val="24"/>
              </w:rPr>
              <w:t>) produced during the year.</w:t>
            </w:r>
          </w:p>
        </w:tc>
      </w:tr>
      <w:tr w:rsidR="00872C03" w:rsidRPr="00883399" w14:paraId="1583DD0E" w14:textId="77777777" w:rsidTr="0031057E">
        <w:trPr>
          <w:cantSplit/>
        </w:trPr>
        <w:tc>
          <w:tcPr>
            <w:tcW w:w="882" w:type="dxa"/>
            <w:vMerge/>
            <w:vAlign w:val="center"/>
            <w:hideMark/>
          </w:tcPr>
          <w:p w14:paraId="71673A09" w14:textId="77777777" w:rsidR="00872C03" w:rsidRPr="00883399" w:rsidRDefault="00872C03" w:rsidP="0031057E"/>
        </w:tc>
        <w:tc>
          <w:tcPr>
            <w:tcW w:w="6678" w:type="dxa"/>
            <w:hideMark/>
          </w:tcPr>
          <w:p w14:paraId="202A657B" w14:textId="77777777" w:rsidR="00872C03" w:rsidRPr="00883399" w:rsidRDefault="00872C03" w:rsidP="0031057E">
            <w:pPr>
              <w:pStyle w:val="TableText"/>
              <w:spacing w:line="240" w:lineRule="auto"/>
              <w:rPr>
                <w:sz w:val="24"/>
              </w:rPr>
            </w:pPr>
            <w:r w:rsidRPr="00883399">
              <w:rPr>
                <w:b/>
                <w:i/>
                <w:sz w:val="24"/>
              </w:rPr>
              <w:t>A</w:t>
            </w:r>
            <w:r w:rsidRPr="00883399">
              <w:rPr>
                <w:b/>
                <w:i/>
                <w:sz w:val="24"/>
                <w:vertAlign w:val="subscript"/>
              </w:rPr>
              <w:t>p</w:t>
            </w:r>
            <w:r w:rsidRPr="00883399">
              <w:rPr>
                <w:i/>
                <w:sz w:val="24"/>
              </w:rPr>
              <w:t xml:space="preserve"> </w:t>
            </w:r>
            <w:r w:rsidRPr="00883399">
              <w:rPr>
                <w:sz w:val="24"/>
              </w:rPr>
              <w:t>is the quantity of product types (</w:t>
            </w:r>
            <w:r w:rsidRPr="00883399">
              <w:rPr>
                <w:b/>
                <w:i/>
                <w:sz w:val="24"/>
              </w:rPr>
              <w:t>p</w:t>
            </w:r>
            <w:r w:rsidRPr="00883399">
              <w:rPr>
                <w:sz w:val="24"/>
              </w:rPr>
              <w:t>) produced leaving the activity during the year, measured in tonnes.</w:t>
            </w:r>
          </w:p>
        </w:tc>
      </w:tr>
      <w:tr w:rsidR="00872C03" w:rsidRPr="00883399" w14:paraId="777B1EBF" w14:textId="77777777" w:rsidTr="0031057E">
        <w:trPr>
          <w:cantSplit/>
        </w:trPr>
        <w:tc>
          <w:tcPr>
            <w:tcW w:w="882" w:type="dxa"/>
            <w:vMerge w:val="restart"/>
            <w:hideMark/>
          </w:tcPr>
          <w:p w14:paraId="7EC40C7E" w14:textId="77777777" w:rsidR="00872C03" w:rsidRPr="00883399" w:rsidRDefault="00872C03" w:rsidP="0031057E">
            <w:pPr>
              <w:spacing w:before="60" w:after="60"/>
            </w:pPr>
            <w:r w:rsidRPr="00883399">
              <w:t>Step 3</w:t>
            </w:r>
          </w:p>
        </w:tc>
        <w:tc>
          <w:tcPr>
            <w:tcW w:w="6678" w:type="dxa"/>
            <w:hideMark/>
          </w:tcPr>
          <w:p w14:paraId="422036A2" w14:textId="77777777" w:rsidR="00872C03" w:rsidRPr="00883399" w:rsidRDefault="00872C03" w:rsidP="0031057E">
            <w:pPr>
              <w:pStyle w:val="TableText"/>
              <w:rPr>
                <w:iCs/>
                <w:sz w:val="24"/>
              </w:rPr>
            </w:pPr>
            <w:r w:rsidRPr="00883399">
              <w:rPr>
                <w:iCs/>
                <w:sz w:val="24"/>
              </w:rPr>
              <w:t xml:space="preserve">Work out </w:t>
            </w:r>
            <w:r w:rsidRPr="00883399">
              <w:rPr>
                <w:sz w:val="24"/>
              </w:rPr>
              <w:t xml:space="preserve">the carbon content in </w:t>
            </w:r>
            <w:r w:rsidRPr="00883399">
              <w:rPr>
                <w:iCs/>
                <w:sz w:val="24"/>
              </w:rPr>
              <w:t>waste by</w:t>
            </w:r>
            <w:r w:rsidRPr="00883399">
              <w:rPr>
                <w:iCs/>
                <w:sz w:val="24"/>
              </w:rPr>
              <w:noBreakHyphen/>
              <w:t xml:space="preserve">product types </w:t>
            </w:r>
            <w:r w:rsidRPr="00883399">
              <w:rPr>
                <w:b/>
                <w:i/>
                <w:sz w:val="24"/>
              </w:rPr>
              <w:t xml:space="preserve">(r) </w:t>
            </w:r>
            <w:r w:rsidRPr="00883399">
              <w:rPr>
                <w:sz w:val="24"/>
              </w:rPr>
              <w:t>leaving the activity,</w:t>
            </w:r>
            <w:r w:rsidRPr="00883399">
              <w:rPr>
                <w:iCs/>
                <w:sz w:val="24"/>
              </w:rPr>
              <w:t xml:space="preserve"> other than as an emission of greenhouse gas, during the year, </w:t>
            </w:r>
            <w:r w:rsidRPr="00883399">
              <w:rPr>
                <w:sz w:val="24"/>
              </w:rPr>
              <w:t xml:space="preserve">measured in tonnes of carbon, </w:t>
            </w:r>
            <w:r w:rsidRPr="00883399">
              <w:rPr>
                <w:iCs/>
                <w:sz w:val="24"/>
              </w:rPr>
              <w:t>as follows:</w:t>
            </w:r>
          </w:p>
          <w:p w14:paraId="68DCBE3D" w14:textId="75928156" w:rsidR="00872C03" w:rsidRPr="00883399" w:rsidRDefault="00872C03" w:rsidP="0031057E">
            <w:pPr>
              <w:pStyle w:val="Formula"/>
              <w:keepNext/>
              <w:keepLines/>
              <w:spacing w:before="120" w:after="120"/>
              <w:ind w:left="13"/>
              <w:rPr>
                <w:sz w:val="22"/>
              </w:rPr>
            </w:pPr>
            <w:r w:rsidRPr="00883399">
              <w:rPr>
                <w:noProof/>
                <w:position w:val="-10"/>
                <w:sz w:val="22"/>
              </w:rPr>
              <w:drawing>
                <wp:inline distT="0" distB="0" distL="0" distR="0" wp14:anchorId="24FBADBB" wp14:editId="6644B52D">
                  <wp:extent cx="878840" cy="201930"/>
                  <wp:effectExtent l="1905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29"/>
                          <a:srcRect/>
                          <a:stretch>
                            <a:fillRect/>
                          </a:stretch>
                        </pic:blipFill>
                        <pic:spPr bwMode="auto">
                          <a:xfrm>
                            <a:off x="0" y="0"/>
                            <a:ext cx="878840" cy="201930"/>
                          </a:xfrm>
                          <a:prstGeom prst="rect">
                            <a:avLst/>
                          </a:prstGeom>
                          <a:noFill/>
                          <a:ln w="9525">
                            <a:noFill/>
                            <a:miter lim="800000"/>
                            <a:headEnd/>
                            <a:tailEnd/>
                          </a:ln>
                        </pic:spPr>
                      </pic:pic>
                    </a:graphicData>
                  </a:graphic>
                </wp:inline>
              </w:drawing>
            </w:r>
          </w:p>
        </w:tc>
      </w:tr>
      <w:tr w:rsidR="00872C03" w:rsidRPr="00883399" w14:paraId="08A73AC2" w14:textId="77777777" w:rsidTr="0031057E">
        <w:trPr>
          <w:cantSplit/>
        </w:trPr>
        <w:tc>
          <w:tcPr>
            <w:tcW w:w="882" w:type="dxa"/>
            <w:vMerge/>
            <w:vAlign w:val="center"/>
            <w:hideMark/>
          </w:tcPr>
          <w:p w14:paraId="49577781" w14:textId="77777777" w:rsidR="00872C03" w:rsidRPr="00883399" w:rsidRDefault="00872C03" w:rsidP="0031057E"/>
        </w:tc>
        <w:tc>
          <w:tcPr>
            <w:tcW w:w="6678" w:type="dxa"/>
            <w:hideMark/>
          </w:tcPr>
          <w:p w14:paraId="3B905BEB" w14:textId="77777777" w:rsidR="00872C03" w:rsidRPr="00883399" w:rsidRDefault="00872C03" w:rsidP="0031057E">
            <w:pPr>
              <w:pStyle w:val="TableText"/>
              <w:rPr>
                <w:sz w:val="24"/>
              </w:rPr>
            </w:pPr>
            <w:r w:rsidRPr="00883399">
              <w:rPr>
                <w:sz w:val="24"/>
              </w:rPr>
              <w:t>where:</w:t>
            </w:r>
          </w:p>
          <w:p w14:paraId="2C2307DC" w14:textId="77777777" w:rsidR="00872C03" w:rsidRPr="00883399" w:rsidRDefault="00872C03" w:rsidP="0031057E">
            <w:pPr>
              <w:pStyle w:val="TableText"/>
              <w:rPr>
                <w:sz w:val="24"/>
              </w:rPr>
            </w:pPr>
            <w:r w:rsidRPr="00883399">
              <w:rPr>
                <w:rFonts w:ascii="Symbol" w:hAnsi="Symbol"/>
                <w:b/>
                <w:i/>
                <w:sz w:val="24"/>
              </w:rPr>
              <w:t></w:t>
            </w:r>
            <w:r w:rsidRPr="00883399">
              <w:rPr>
                <w:b/>
                <w:i/>
                <w:sz w:val="24"/>
                <w:vertAlign w:val="subscript"/>
              </w:rPr>
              <w:t>r</w:t>
            </w:r>
            <w:r w:rsidRPr="00883399">
              <w:rPr>
                <w:i/>
                <w:sz w:val="24"/>
              </w:rPr>
              <w:t xml:space="preserve"> </w:t>
            </w:r>
            <w:r w:rsidRPr="00883399">
              <w:rPr>
                <w:sz w:val="24"/>
              </w:rPr>
              <w:t>means the sum of the carbon content values obtained for all waste by</w:t>
            </w:r>
            <w:r w:rsidRPr="00883399">
              <w:rPr>
                <w:sz w:val="24"/>
              </w:rPr>
              <w:noBreakHyphen/>
              <w:t>product types (</w:t>
            </w:r>
            <w:r w:rsidRPr="00883399">
              <w:rPr>
                <w:b/>
                <w:i/>
                <w:sz w:val="24"/>
              </w:rPr>
              <w:t>r</w:t>
            </w:r>
            <w:r w:rsidRPr="00883399">
              <w:rPr>
                <w:sz w:val="24"/>
              </w:rPr>
              <w:t>).</w:t>
            </w:r>
          </w:p>
          <w:p w14:paraId="56F15352" w14:textId="77777777" w:rsidR="00872C03" w:rsidRPr="00883399" w:rsidRDefault="00872C03" w:rsidP="0031057E">
            <w:pPr>
              <w:pStyle w:val="TableText"/>
              <w:rPr>
                <w:iCs/>
                <w:sz w:val="24"/>
              </w:rPr>
            </w:pPr>
            <w:r w:rsidRPr="00883399">
              <w:rPr>
                <w:b/>
                <w:i/>
                <w:iCs/>
                <w:sz w:val="24"/>
              </w:rPr>
              <w:t>CCF</w:t>
            </w:r>
            <w:r w:rsidRPr="00883399">
              <w:rPr>
                <w:b/>
                <w:i/>
                <w:iCs/>
                <w:sz w:val="24"/>
                <w:vertAlign w:val="subscript"/>
              </w:rPr>
              <w:t>r</w:t>
            </w:r>
            <w:r w:rsidRPr="00883399">
              <w:rPr>
                <w:iCs/>
                <w:sz w:val="24"/>
              </w:rPr>
              <w:t xml:space="preserve"> is the carbon content factor, measured in tonnes of carbon, for each tonne of waste by</w:t>
            </w:r>
            <w:r w:rsidRPr="00883399">
              <w:rPr>
                <w:iCs/>
                <w:sz w:val="24"/>
              </w:rPr>
              <w:noBreakHyphen/>
              <w:t>product types</w:t>
            </w:r>
            <w:r w:rsidRPr="00883399">
              <w:rPr>
                <w:b/>
                <w:i/>
                <w:iCs/>
                <w:sz w:val="24"/>
              </w:rPr>
              <w:t xml:space="preserve"> </w:t>
            </w:r>
            <w:r w:rsidRPr="00883399">
              <w:rPr>
                <w:iCs/>
                <w:sz w:val="24"/>
              </w:rPr>
              <w:t>(</w:t>
            </w:r>
            <w:r w:rsidRPr="00883399">
              <w:rPr>
                <w:b/>
                <w:i/>
                <w:iCs/>
                <w:sz w:val="24"/>
              </w:rPr>
              <w:t>r</w:t>
            </w:r>
            <w:r w:rsidRPr="00883399">
              <w:rPr>
                <w:iCs/>
                <w:sz w:val="24"/>
              </w:rPr>
              <w:t>).</w:t>
            </w:r>
          </w:p>
          <w:p w14:paraId="031646D0" w14:textId="77777777" w:rsidR="00872C03" w:rsidRPr="00883399" w:rsidRDefault="00872C03" w:rsidP="0031057E">
            <w:pPr>
              <w:pStyle w:val="TableText"/>
              <w:rPr>
                <w:sz w:val="24"/>
              </w:rPr>
            </w:pPr>
            <w:r w:rsidRPr="00883399">
              <w:rPr>
                <w:b/>
                <w:i/>
                <w:sz w:val="24"/>
              </w:rPr>
              <w:t>Y</w:t>
            </w:r>
            <w:r w:rsidRPr="00883399">
              <w:rPr>
                <w:b/>
                <w:i/>
                <w:sz w:val="24"/>
                <w:vertAlign w:val="subscript"/>
              </w:rPr>
              <w:t>r</w:t>
            </w:r>
            <w:r w:rsidRPr="00883399">
              <w:rPr>
                <w:i/>
                <w:sz w:val="24"/>
              </w:rPr>
              <w:t xml:space="preserve"> </w:t>
            </w:r>
            <w:r w:rsidRPr="00883399">
              <w:rPr>
                <w:sz w:val="24"/>
              </w:rPr>
              <w:t>is the quantity of waste by</w:t>
            </w:r>
            <w:r w:rsidRPr="00883399">
              <w:rPr>
                <w:sz w:val="24"/>
              </w:rPr>
              <w:noBreakHyphen/>
              <w:t>product types (</w:t>
            </w:r>
            <w:r w:rsidRPr="00883399">
              <w:rPr>
                <w:b/>
                <w:i/>
                <w:sz w:val="24"/>
              </w:rPr>
              <w:t>r</w:t>
            </w:r>
            <w:r w:rsidRPr="00883399">
              <w:rPr>
                <w:sz w:val="24"/>
              </w:rPr>
              <w:t>) leaving the activity during the year, measured in tonnes.</w:t>
            </w:r>
          </w:p>
        </w:tc>
      </w:tr>
      <w:tr w:rsidR="00872C03" w:rsidRPr="00883399" w14:paraId="76847EF8" w14:textId="77777777" w:rsidTr="0031057E">
        <w:trPr>
          <w:cantSplit/>
        </w:trPr>
        <w:tc>
          <w:tcPr>
            <w:tcW w:w="882" w:type="dxa"/>
            <w:vMerge w:val="restart"/>
            <w:hideMark/>
          </w:tcPr>
          <w:p w14:paraId="1285E9DE" w14:textId="77777777" w:rsidR="00872C03" w:rsidRPr="00883399" w:rsidRDefault="00872C03" w:rsidP="0031057E">
            <w:pPr>
              <w:spacing w:before="60" w:after="60"/>
            </w:pPr>
            <w:r w:rsidRPr="00883399">
              <w:t>Step 4</w:t>
            </w:r>
          </w:p>
        </w:tc>
        <w:tc>
          <w:tcPr>
            <w:tcW w:w="6678" w:type="dxa"/>
            <w:hideMark/>
          </w:tcPr>
          <w:p w14:paraId="36699566" w14:textId="77777777" w:rsidR="00872C03" w:rsidRPr="00883399" w:rsidRDefault="00872C03" w:rsidP="0031057E">
            <w:pPr>
              <w:pStyle w:val="TableText"/>
              <w:rPr>
                <w:iCs/>
                <w:sz w:val="24"/>
              </w:rPr>
            </w:pPr>
            <w:r w:rsidRPr="00883399">
              <w:rPr>
                <w:sz w:val="24"/>
              </w:rPr>
              <w:t xml:space="preserve">Work out the carbon content in the amount of the change in </w:t>
            </w:r>
            <w:r w:rsidRPr="00883399">
              <w:rPr>
                <w:iCs/>
                <w:sz w:val="24"/>
              </w:rPr>
              <w:t>stocks of inputs, products and waste by</w:t>
            </w:r>
            <w:r w:rsidRPr="00883399">
              <w:rPr>
                <w:iCs/>
                <w:sz w:val="24"/>
              </w:rPr>
              <w:noBreakHyphen/>
              <w:t>products held within the boundary of the activity during the year, measured in tonnes of carbon, as follows:</w:t>
            </w:r>
          </w:p>
          <w:p w14:paraId="0B9537A5" w14:textId="2F9DBB1C" w:rsidR="00872C03" w:rsidRPr="00883399" w:rsidRDefault="00872C03" w:rsidP="0031057E">
            <w:pPr>
              <w:pStyle w:val="Formula"/>
              <w:keepNext/>
              <w:keepLines/>
              <w:spacing w:before="120" w:after="120"/>
              <w:ind w:left="13"/>
              <w:rPr>
                <w:sz w:val="22"/>
              </w:rPr>
            </w:pPr>
            <w:r w:rsidRPr="00883399">
              <w:rPr>
                <w:noProof/>
                <w:sz w:val="22"/>
              </w:rPr>
              <w:drawing>
                <wp:inline distT="0" distB="0" distL="0" distR="0" wp14:anchorId="74E75BCE" wp14:editId="6AB9F395">
                  <wp:extent cx="3467735" cy="225425"/>
                  <wp:effectExtent l="1905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30"/>
                          <a:srcRect/>
                          <a:stretch>
                            <a:fillRect/>
                          </a:stretch>
                        </pic:blipFill>
                        <pic:spPr bwMode="auto">
                          <a:xfrm>
                            <a:off x="0" y="0"/>
                            <a:ext cx="3467735" cy="225425"/>
                          </a:xfrm>
                          <a:prstGeom prst="rect">
                            <a:avLst/>
                          </a:prstGeom>
                          <a:noFill/>
                          <a:ln w="9525">
                            <a:noFill/>
                            <a:miter lim="800000"/>
                            <a:headEnd/>
                            <a:tailEnd/>
                          </a:ln>
                        </pic:spPr>
                      </pic:pic>
                    </a:graphicData>
                  </a:graphic>
                </wp:inline>
              </w:drawing>
            </w:r>
          </w:p>
        </w:tc>
      </w:tr>
      <w:tr w:rsidR="00872C03" w:rsidRPr="00883399" w14:paraId="11ECA905" w14:textId="77777777" w:rsidTr="0031057E">
        <w:trPr>
          <w:cantSplit/>
        </w:trPr>
        <w:tc>
          <w:tcPr>
            <w:tcW w:w="882" w:type="dxa"/>
            <w:vMerge/>
            <w:hideMark/>
          </w:tcPr>
          <w:p w14:paraId="5407DB9D" w14:textId="77777777" w:rsidR="00872C03" w:rsidRPr="00883399" w:rsidRDefault="00872C03" w:rsidP="0031057E">
            <w:pPr>
              <w:spacing w:before="60" w:after="60"/>
            </w:pPr>
          </w:p>
        </w:tc>
        <w:tc>
          <w:tcPr>
            <w:tcW w:w="6678" w:type="dxa"/>
            <w:hideMark/>
          </w:tcPr>
          <w:p w14:paraId="4C81090D" w14:textId="77777777" w:rsidR="00872C03" w:rsidRPr="00883399" w:rsidRDefault="00872C03" w:rsidP="0031057E">
            <w:pPr>
              <w:pStyle w:val="TableText"/>
              <w:rPr>
                <w:sz w:val="24"/>
              </w:rPr>
            </w:pPr>
            <w:r w:rsidRPr="00883399">
              <w:rPr>
                <w:sz w:val="24"/>
              </w:rPr>
              <w:t>where:</w:t>
            </w:r>
          </w:p>
          <w:p w14:paraId="0D450A99" w14:textId="77777777" w:rsidR="00872C03" w:rsidRPr="00883399" w:rsidRDefault="00872C03" w:rsidP="0031057E">
            <w:pPr>
              <w:pStyle w:val="TableText"/>
              <w:rPr>
                <w:b/>
                <w:i/>
                <w:sz w:val="24"/>
              </w:rPr>
            </w:pPr>
            <w:r w:rsidRPr="00883399">
              <w:rPr>
                <w:rFonts w:ascii="Symbol" w:hAnsi="Symbol"/>
                <w:b/>
                <w:i/>
                <w:sz w:val="24"/>
              </w:rPr>
              <w:t></w:t>
            </w:r>
            <w:r w:rsidRPr="00883399">
              <w:rPr>
                <w:b/>
                <w:i/>
                <w:sz w:val="24"/>
                <w:vertAlign w:val="subscript"/>
              </w:rPr>
              <w:t>i</w:t>
            </w:r>
            <w:r w:rsidRPr="00883399">
              <w:rPr>
                <w:i/>
                <w:sz w:val="24"/>
              </w:rPr>
              <w:t xml:space="preserve"> </w:t>
            </w:r>
            <w:r w:rsidRPr="00883399">
              <w:rPr>
                <w:sz w:val="24"/>
              </w:rPr>
              <w:t>has the same meaning as in step 1.</w:t>
            </w:r>
          </w:p>
          <w:p w14:paraId="2CB43F03" w14:textId="77777777" w:rsidR="00872C03" w:rsidRPr="00883399" w:rsidRDefault="00872C03" w:rsidP="0031057E">
            <w:pPr>
              <w:pStyle w:val="TableText"/>
              <w:rPr>
                <w:sz w:val="24"/>
              </w:rPr>
            </w:pPr>
            <w:r w:rsidRPr="00883399">
              <w:rPr>
                <w:b/>
                <w:i/>
                <w:sz w:val="24"/>
              </w:rPr>
              <w:t>CCF</w:t>
            </w:r>
            <w:r w:rsidRPr="00883399">
              <w:rPr>
                <w:b/>
                <w:i/>
                <w:sz w:val="24"/>
                <w:vertAlign w:val="subscript"/>
              </w:rPr>
              <w:t>i</w:t>
            </w:r>
            <w:r w:rsidRPr="00883399">
              <w:rPr>
                <w:i/>
                <w:sz w:val="24"/>
              </w:rPr>
              <w:t xml:space="preserve"> </w:t>
            </w:r>
            <w:r w:rsidRPr="00883399">
              <w:rPr>
                <w:sz w:val="24"/>
              </w:rPr>
              <w:t>has the same meaning as in step 1.</w:t>
            </w:r>
          </w:p>
          <w:p w14:paraId="19E22F1B" w14:textId="77777777" w:rsidR="00872C03" w:rsidRPr="00883399" w:rsidRDefault="00872C03" w:rsidP="0031057E">
            <w:pPr>
              <w:pStyle w:val="TableText"/>
              <w:spacing w:line="240" w:lineRule="auto"/>
              <w:rPr>
                <w:iCs/>
                <w:sz w:val="24"/>
              </w:rPr>
            </w:pPr>
            <w:r w:rsidRPr="00883399">
              <w:rPr>
                <w:b/>
                <w:i/>
                <w:iCs/>
                <w:sz w:val="24"/>
              </w:rPr>
              <w:t>ΔS</w:t>
            </w:r>
            <w:r w:rsidRPr="00883399">
              <w:rPr>
                <w:b/>
                <w:i/>
                <w:iCs/>
                <w:sz w:val="24"/>
                <w:szCs w:val="18"/>
                <w:vertAlign w:val="subscript"/>
              </w:rPr>
              <w:t>q</w:t>
            </w:r>
            <w:r w:rsidRPr="00883399">
              <w:rPr>
                <w:b/>
                <w:i/>
                <w:iCs/>
                <w:sz w:val="24"/>
                <w:vertAlign w:val="subscript"/>
              </w:rPr>
              <w:t>i</w:t>
            </w:r>
            <w:r w:rsidRPr="00883399">
              <w:rPr>
                <w:iCs/>
                <w:sz w:val="24"/>
              </w:rPr>
              <w:t xml:space="preserve"> is the change in stocks of fuel type (</w:t>
            </w:r>
            <w:r w:rsidRPr="00883399">
              <w:rPr>
                <w:b/>
                <w:i/>
                <w:iCs/>
                <w:sz w:val="24"/>
              </w:rPr>
              <w:t>i</w:t>
            </w:r>
            <w:r w:rsidRPr="00883399">
              <w:rPr>
                <w:iCs/>
                <w:sz w:val="24"/>
              </w:rPr>
              <w:t xml:space="preserve">) for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p w14:paraId="1535F08F" w14:textId="77777777" w:rsidR="00872C03" w:rsidRPr="00883399" w:rsidRDefault="00872C03" w:rsidP="0031057E">
            <w:pPr>
              <w:pStyle w:val="TableText"/>
              <w:rPr>
                <w:b/>
                <w:i/>
                <w:sz w:val="24"/>
              </w:rPr>
            </w:pPr>
            <w:r w:rsidRPr="00883399">
              <w:rPr>
                <w:rFonts w:ascii="Symbol" w:hAnsi="Symbol"/>
                <w:b/>
                <w:i/>
                <w:sz w:val="24"/>
              </w:rPr>
              <w:t></w:t>
            </w:r>
            <w:r w:rsidRPr="00883399">
              <w:rPr>
                <w:b/>
                <w:i/>
                <w:sz w:val="24"/>
                <w:vertAlign w:val="subscript"/>
              </w:rPr>
              <w:t>p</w:t>
            </w:r>
            <w:r w:rsidRPr="00883399">
              <w:rPr>
                <w:i/>
                <w:sz w:val="24"/>
              </w:rPr>
              <w:t xml:space="preserve"> </w:t>
            </w:r>
            <w:r w:rsidRPr="00883399">
              <w:rPr>
                <w:sz w:val="24"/>
              </w:rPr>
              <w:t>has the same meaning as in step 2.</w:t>
            </w:r>
          </w:p>
          <w:p w14:paraId="515A57F1" w14:textId="77777777" w:rsidR="00872C03" w:rsidRPr="00883399" w:rsidRDefault="00872C03" w:rsidP="0031057E">
            <w:pPr>
              <w:pStyle w:val="TableText"/>
              <w:rPr>
                <w:b/>
                <w:i/>
                <w:iCs/>
                <w:sz w:val="24"/>
              </w:rPr>
            </w:pPr>
            <w:r w:rsidRPr="00883399">
              <w:rPr>
                <w:b/>
                <w:i/>
                <w:sz w:val="24"/>
              </w:rPr>
              <w:t>CCF</w:t>
            </w:r>
            <w:r w:rsidRPr="00883399">
              <w:rPr>
                <w:b/>
                <w:i/>
                <w:sz w:val="24"/>
                <w:vertAlign w:val="subscript"/>
              </w:rPr>
              <w:t>p</w:t>
            </w:r>
            <w:r w:rsidRPr="00883399">
              <w:rPr>
                <w:i/>
                <w:sz w:val="24"/>
              </w:rPr>
              <w:t xml:space="preserve"> </w:t>
            </w:r>
            <w:r w:rsidRPr="00883399">
              <w:rPr>
                <w:sz w:val="24"/>
              </w:rPr>
              <w:t>has the same meaning as in step 2.</w:t>
            </w:r>
          </w:p>
        </w:tc>
      </w:tr>
      <w:tr w:rsidR="00872C03" w:rsidRPr="00883399" w14:paraId="7D7BD953" w14:textId="77777777" w:rsidTr="0031057E">
        <w:trPr>
          <w:cantSplit/>
        </w:trPr>
        <w:tc>
          <w:tcPr>
            <w:tcW w:w="882" w:type="dxa"/>
            <w:vMerge/>
            <w:vAlign w:val="center"/>
            <w:hideMark/>
          </w:tcPr>
          <w:p w14:paraId="3F1CF0F2" w14:textId="77777777" w:rsidR="00872C03" w:rsidRPr="00883399" w:rsidRDefault="00872C03" w:rsidP="0031057E"/>
        </w:tc>
        <w:tc>
          <w:tcPr>
            <w:tcW w:w="6678" w:type="dxa"/>
            <w:hideMark/>
          </w:tcPr>
          <w:p w14:paraId="54543C5E" w14:textId="77777777" w:rsidR="00872C03" w:rsidRPr="00883399" w:rsidRDefault="00872C03" w:rsidP="0031057E">
            <w:pPr>
              <w:pStyle w:val="TableText"/>
              <w:spacing w:line="240" w:lineRule="auto"/>
              <w:rPr>
                <w:iCs/>
                <w:sz w:val="24"/>
              </w:rPr>
            </w:pPr>
            <w:r w:rsidRPr="00883399">
              <w:rPr>
                <w:b/>
                <w:i/>
                <w:iCs/>
                <w:sz w:val="24"/>
              </w:rPr>
              <w:t>ΔS</w:t>
            </w:r>
            <w:r w:rsidRPr="00883399">
              <w:rPr>
                <w:b/>
                <w:i/>
                <w:iCs/>
                <w:sz w:val="24"/>
                <w:szCs w:val="18"/>
                <w:vertAlign w:val="subscript"/>
              </w:rPr>
              <w:t>a</w:t>
            </w:r>
            <w:r w:rsidRPr="00883399">
              <w:rPr>
                <w:b/>
                <w:i/>
                <w:iCs/>
                <w:sz w:val="24"/>
                <w:vertAlign w:val="subscript"/>
              </w:rPr>
              <w:t>p</w:t>
            </w:r>
            <w:r w:rsidRPr="00883399">
              <w:rPr>
                <w:iCs/>
                <w:sz w:val="24"/>
                <w:szCs w:val="18"/>
              </w:rPr>
              <w:t xml:space="preserve"> is the change in stocks of </w:t>
            </w:r>
            <w:r w:rsidRPr="00883399">
              <w:rPr>
                <w:iCs/>
                <w:sz w:val="24"/>
              </w:rPr>
              <w:t>product types (</w:t>
            </w:r>
            <w:r w:rsidRPr="00883399">
              <w:rPr>
                <w:b/>
                <w:i/>
                <w:iCs/>
                <w:sz w:val="24"/>
              </w:rPr>
              <w:t>p)</w:t>
            </w:r>
            <w:r w:rsidRPr="00883399">
              <w:rPr>
                <w:iCs/>
                <w:sz w:val="24"/>
              </w:rPr>
              <w:t xml:space="preserve"> produced by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p w14:paraId="3E9CD4CA" w14:textId="77777777" w:rsidR="00872C03" w:rsidRPr="00883399" w:rsidRDefault="00872C03" w:rsidP="0031057E">
            <w:pPr>
              <w:pStyle w:val="TableText"/>
              <w:rPr>
                <w:sz w:val="24"/>
              </w:rPr>
            </w:pPr>
            <w:r w:rsidRPr="00883399">
              <w:rPr>
                <w:rFonts w:ascii="Symbol" w:hAnsi="Symbol"/>
                <w:b/>
                <w:i/>
                <w:sz w:val="24"/>
              </w:rPr>
              <w:t></w:t>
            </w:r>
            <w:r w:rsidRPr="00883399">
              <w:rPr>
                <w:b/>
                <w:i/>
                <w:sz w:val="24"/>
                <w:vertAlign w:val="subscript"/>
              </w:rPr>
              <w:t>r</w:t>
            </w:r>
            <w:r w:rsidRPr="00883399">
              <w:rPr>
                <w:i/>
                <w:sz w:val="24"/>
              </w:rPr>
              <w:t xml:space="preserve"> </w:t>
            </w:r>
            <w:r w:rsidRPr="00883399">
              <w:rPr>
                <w:sz w:val="24"/>
              </w:rPr>
              <w:t>has the same meaning as in step 3.</w:t>
            </w:r>
          </w:p>
          <w:p w14:paraId="219C1FC7" w14:textId="77777777" w:rsidR="00872C03" w:rsidRPr="00883399" w:rsidRDefault="00872C03" w:rsidP="0031057E">
            <w:pPr>
              <w:pStyle w:val="TableText"/>
              <w:rPr>
                <w:b/>
                <w:i/>
                <w:sz w:val="24"/>
              </w:rPr>
            </w:pPr>
            <w:r w:rsidRPr="00883399">
              <w:rPr>
                <w:b/>
                <w:i/>
                <w:sz w:val="24"/>
              </w:rPr>
              <w:t>CCF</w:t>
            </w:r>
            <w:r w:rsidRPr="00883399">
              <w:rPr>
                <w:b/>
                <w:i/>
                <w:sz w:val="24"/>
                <w:vertAlign w:val="subscript"/>
              </w:rPr>
              <w:t>r</w:t>
            </w:r>
            <w:r w:rsidRPr="00883399">
              <w:rPr>
                <w:i/>
                <w:sz w:val="24"/>
              </w:rPr>
              <w:t xml:space="preserve"> </w:t>
            </w:r>
            <w:r w:rsidRPr="00883399">
              <w:rPr>
                <w:sz w:val="24"/>
              </w:rPr>
              <w:t>has the same meaning as in step 3.</w:t>
            </w:r>
          </w:p>
        </w:tc>
      </w:tr>
      <w:tr w:rsidR="00872C03" w:rsidRPr="00883399" w14:paraId="0DB52C22" w14:textId="77777777" w:rsidTr="0031057E">
        <w:trPr>
          <w:cantSplit/>
        </w:trPr>
        <w:tc>
          <w:tcPr>
            <w:tcW w:w="882" w:type="dxa"/>
            <w:vAlign w:val="center"/>
            <w:hideMark/>
          </w:tcPr>
          <w:p w14:paraId="134D42A9" w14:textId="77777777" w:rsidR="00872C03" w:rsidRPr="00883399" w:rsidRDefault="00872C03" w:rsidP="0031057E"/>
        </w:tc>
        <w:tc>
          <w:tcPr>
            <w:tcW w:w="6678" w:type="dxa"/>
            <w:hideMark/>
          </w:tcPr>
          <w:p w14:paraId="16030A77" w14:textId="77777777" w:rsidR="00872C03" w:rsidRPr="00883399" w:rsidRDefault="00872C03" w:rsidP="0031057E">
            <w:pPr>
              <w:pStyle w:val="TableText"/>
              <w:spacing w:line="240" w:lineRule="auto"/>
              <w:rPr>
                <w:sz w:val="24"/>
              </w:rPr>
            </w:pPr>
            <w:r w:rsidRPr="00883399">
              <w:rPr>
                <w:b/>
                <w:i/>
                <w:iCs/>
                <w:sz w:val="24"/>
              </w:rPr>
              <w:t>ΔS</w:t>
            </w:r>
            <w:r w:rsidRPr="00883399">
              <w:rPr>
                <w:b/>
                <w:i/>
                <w:iCs/>
                <w:sz w:val="24"/>
                <w:szCs w:val="18"/>
                <w:vertAlign w:val="subscript"/>
              </w:rPr>
              <w:t>y</w:t>
            </w:r>
            <w:r w:rsidRPr="00883399">
              <w:rPr>
                <w:b/>
                <w:i/>
                <w:iCs/>
                <w:sz w:val="24"/>
                <w:vertAlign w:val="subscript"/>
              </w:rPr>
              <w:t>r</w:t>
            </w:r>
            <w:r w:rsidRPr="00883399">
              <w:rPr>
                <w:iCs/>
                <w:sz w:val="24"/>
              </w:rPr>
              <w:t xml:space="preserve"> is the change in stocks </w:t>
            </w:r>
            <w:r w:rsidRPr="00883399">
              <w:rPr>
                <w:sz w:val="24"/>
                <w:szCs w:val="22"/>
              </w:rPr>
              <w:t>of</w:t>
            </w:r>
            <w:r w:rsidRPr="00883399">
              <w:rPr>
                <w:iCs/>
                <w:sz w:val="24"/>
              </w:rPr>
              <w:t xml:space="preserve"> waste by</w:t>
            </w:r>
            <w:r w:rsidRPr="00883399">
              <w:rPr>
                <w:iCs/>
                <w:sz w:val="24"/>
              </w:rPr>
              <w:noBreakHyphen/>
              <w:t>product types (</w:t>
            </w:r>
            <w:r w:rsidRPr="00883399">
              <w:rPr>
                <w:b/>
                <w:i/>
                <w:iCs/>
                <w:sz w:val="24"/>
              </w:rPr>
              <w:t>r</w:t>
            </w:r>
            <w:r w:rsidRPr="00883399">
              <w:rPr>
                <w:iCs/>
                <w:sz w:val="24"/>
              </w:rPr>
              <w:t xml:space="preserve">) produced from the operation of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872C03" w:rsidRPr="00883399" w14:paraId="751141A9" w14:textId="77777777" w:rsidTr="0031057E">
        <w:trPr>
          <w:cantSplit/>
        </w:trPr>
        <w:tc>
          <w:tcPr>
            <w:tcW w:w="882" w:type="dxa"/>
          </w:tcPr>
          <w:p w14:paraId="7A6AD0F7" w14:textId="77777777" w:rsidR="00872C03" w:rsidRPr="00883399" w:rsidRDefault="00872C03" w:rsidP="0031057E">
            <w:pPr>
              <w:spacing w:before="60" w:after="60"/>
            </w:pPr>
            <w:r w:rsidRPr="00883399">
              <w:t>Step 5</w:t>
            </w:r>
          </w:p>
        </w:tc>
        <w:tc>
          <w:tcPr>
            <w:tcW w:w="6678" w:type="dxa"/>
            <w:hideMark/>
          </w:tcPr>
          <w:p w14:paraId="6EDF91E8" w14:textId="77777777" w:rsidR="00872C03" w:rsidRPr="00883399" w:rsidRDefault="00872C03" w:rsidP="0031057E">
            <w:pPr>
              <w:pStyle w:val="TableText"/>
              <w:rPr>
                <w:sz w:val="24"/>
              </w:rPr>
            </w:pPr>
            <w:r w:rsidRPr="00883399">
              <w:rPr>
                <w:sz w:val="24"/>
              </w:rPr>
              <w:t xml:space="preserve">Work out the emissions of carbon dioxide released from the operation of the activity during the year, measured in </w:t>
            </w:r>
            <w:r w:rsidRPr="00883399">
              <w:rPr>
                <w:sz w:val="24"/>
                <w:szCs w:val="22"/>
              </w:rPr>
              <w:t>CO</w:t>
            </w:r>
            <w:r w:rsidRPr="00883399">
              <w:rPr>
                <w:sz w:val="24"/>
                <w:szCs w:val="22"/>
                <w:vertAlign w:val="subscript"/>
              </w:rPr>
              <w:t>2</w:t>
            </w:r>
            <w:r w:rsidRPr="00883399">
              <w:rPr>
                <w:sz w:val="24"/>
                <w:szCs w:val="22"/>
              </w:rPr>
              <w:noBreakHyphen/>
              <w:t>e</w:t>
            </w:r>
            <w:r w:rsidRPr="00883399">
              <w:rPr>
                <w:sz w:val="24"/>
              </w:rPr>
              <w:t xml:space="preserve"> tonnes, as follows:</w:t>
            </w:r>
          </w:p>
          <w:p w14:paraId="11ED6CFE" w14:textId="77777777" w:rsidR="00872C03" w:rsidRPr="00883399" w:rsidRDefault="00872C03" w:rsidP="0031057E">
            <w:pPr>
              <w:pStyle w:val="TableP1a"/>
              <w:rPr>
                <w:sz w:val="24"/>
              </w:rPr>
            </w:pPr>
            <w:r w:rsidRPr="00883399">
              <w:rPr>
                <w:sz w:val="24"/>
              </w:rPr>
              <w:tab/>
              <w:t>(a)</w:t>
            </w:r>
            <w:r w:rsidRPr="00883399">
              <w:rPr>
                <w:sz w:val="24"/>
              </w:rPr>
              <w:tab/>
              <w:t>add the amounts worked out under steps 2, 3 and 4 to work out a new amount (</w:t>
            </w:r>
            <w:r w:rsidRPr="00883399">
              <w:rPr>
                <w:b/>
                <w:i/>
                <w:sz w:val="24"/>
              </w:rPr>
              <w:t>amount A</w:t>
            </w:r>
            <w:r w:rsidRPr="00883399">
              <w:rPr>
                <w:sz w:val="24"/>
              </w:rPr>
              <w:t>);</w:t>
            </w:r>
          </w:p>
          <w:p w14:paraId="5C7AFB8D" w14:textId="77777777" w:rsidR="00872C03" w:rsidRPr="00883399" w:rsidRDefault="00872C03" w:rsidP="0031057E">
            <w:pPr>
              <w:pStyle w:val="TableP1a"/>
              <w:rPr>
                <w:sz w:val="24"/>
              </w:rPr>
            </w:pPr>
            <w:r w:rsidRPr="00883399">
              <w:rPr>
                <w:sz w:val="24"/>
              </w:rPr>
              <w:tab/>
              <w:t>(b)</w:t>
            </w:r>
            <w:r w:rsidRPr="00883399">
              <w:rPr>
                <w:sz w:val="24"/>
              </w:rPr>
              <w:tab/>
              <w:t>subtract amount A from the amount worked out under step 1 to work out a new amount (</w:t>
            </w:r>
            <w:r w:rsidRPr="00883399">
              <w:rPr>
                <w:b/>
                <w:i/>
                <w:sz w:val="24"/>
              </w:rPr>
              <w:t>amount B</w:t>
            </w:r>
            <w:r w:rsidRPr="00883399">
              <w:rPr>
                <w:sz w:val="24"/>
              </w:rPr>
              <w:t>);</w:t>
            </w:r>
          </w:p>
        </w:tc>
      </w:tr>
      <w:tr w:rsidR="00872C03" w:rsidRPr="00883399" w14:paraId="02791DA9" w14:textId="77777777" w:rsidTr="0031057E">
        <w:trPr>
          <w:cantSplit/>
        </w:trPr>
        <w:tc>
          <w:tcPr>
            <w:tcW w:w="882" w:type="dxa"/>
          </w:tcPr>
          <w:p w14:paraId="3210F0BF" w14:textId="77777777" w:rsidR="00872C03" w:rsidRPr="00883399" w:rsidRDefault="00872C03" w:rsidP="0031057E">
            <w:pPr>
              <w:spacing w:before="60" w:after="60"/>
              <w:rPr>
                <w:i/>
              </w:rPr>
            </w:pPr>
          </w:p>
        </w:tc>
        <w:tc>
          <w:tcPr>
            <w:tcW w:w="6678" w:type="dxa"/>
            <w:hideMark/>
          </w:tcPr>
          <w:p w14:paraId="4EF0AF12" w14:textId="77777777" w:rsidR="00872C03" w:rsidRPr="00883399" w:rsidRDefault="00872C03" w:rsidP="0031057E">
            <w:pPr>
              <w:pStyle w:val="TableP1a"/>
              <w:rPr>
                <w:sz w:val="24"/>
              </w:rPr>
            </w:pPr>
            <w:r w:rsidRPr="00883399">
              <w:rPr>
                <w:sz w:val="24"/>
              </w:rPr>
              <w:tab/>
              <w:t>(c)</w:t>
            </w:r>
            <w:r w:rsidRPr="00883399">
              <w:rPr>
                <w:sz w:val="24"/>
              </w:rPr>
              <w:tab/>
              <w:t>multiply amount B by 3.664 to work out the amount of emissions released from the operation of the activity during the year.</w:t>
            </w:r>
          </w:p>
        </w:tc>
      </w:tr>
    </w:tbl>
    <w:p w14:paraId="7B7380E2" w14:textId="41224D51" w:rsidR="00872C03" w:rsidRPr="00883399" w:rsidRDefault="00872C03" w:rsidP="00872C03">
      <w:pPr>
        <w:pStyle w:val="ActHead5"/>
        <w:rPr>
          <w:sz w:val="28"/>
        </w:rPr>
      </w:pPr>
      <w:bookmarkStart w:id="980" w:name="_Toc423517086"/>
      <w:bookmarkStart w:id="981" w:name="_Toc495653018"/>
      <w:r w:rsidRPr="00883399">
        <w:rPr>
          <w:rStyle w:val="CharSectno"/>
          <w:sz w:val="28"/>
        </w:rPr>
        <w:t>4.72</w:t>
      </w:r>
      <w:r w:rsidRPr="00883399">
        <w:rPr>
          <w:sz w:val="28"/>
        </w:rPr>
        <w:t xml:space="preserve">  Method 2—ferroalloy metal</w:t>
      </w:r>
      <w:bookmarkEnd w:id="980"/>
      <w:bookmarkEnd w:id="981"/>
    </w:p>
    <w:p w14:paraId="1924498E" w14:textId="77777777" w:rsidR="00872C03" w:rsidRPr="00883399" w:rsidRDefault="00872C03" w:rsidP="00872C03">
      <w:pPr>
        <w:pStyle w:val="subsection"/>
        <w:rPr>
          <w:sz w:val="24"/>
        </w:rPr>
      </w:pPr>
      <w:r w:rsidRPr="00883399">
        <w:rPr>
          <w:sz w:val="24"/>
        </w:rPr>
        <w:tab/>
        <w:t>(1)</w:t>
      </w:r>
      <w:r w:rsidRPr="00883399">
        <w:rPr>
          <w:sz w:val="24"/>
        </w:rPr>
        <w:tab/>
        <w:t>Subject to this section, method 2 is the same as method 1 under section 4.71.</w:t>
      </w:r>
    </w:p>
    <w:p w14:paraId="202682E9" w14:textId="77777777" w:rsidR="00872C03" w:rsidRPr="00883399" w:rsidRDefault="00872C03" w:rsidP="00872C03">
      <w:pPr>
        <w:pStyle w:val="subsection"/>
        <w:spacing w:after="60"/>
        <w:rPr>
          <w:sz w:val="24"/>
        </w:rPr>
      </w:pPr>
      <w:r w:rsidRPr="00883399">
        <w:rPr>
          <w:sz w:val="24"/>
        </w:rPr>
        <w:tab/>
        <w:t>(2)</w:t>
      </w:r>
      <w:r w:rsidRPr="00883399">
        <w:rPr>
          <w:sz w:val="24"/>
        </w:rPr>
        <w:tab/>
        <w:t>In applying method 1 as method 2, step 4 in section 4.71 is to be omitted and the following step 4 substituted.</w:t>
      </w:r>
    </w:p>
    <w:tbl>
      <w:tblPr>
        <w:tblW w:w="0" w:type="auto"/>
        <w:tblInd w:w="948" w:type="dxa"/>
        <w:tblLayout w:type="fixed"/>
        <w:tblLook w:val="04A0" w:firstRow="1" w:lastRow="0" w:firstColumn="1" w:lastColumn="0" w:noHBand="0" w:noVBand="1"/>
      </w:tblPr>
      <w:tblGrid>
        <w:gridCol w:w="882"/>
        <w:gridCol w:w="6678"/>
      </w:tblGrid>
      <w:tr w:rsidR="00872C03" w:rsidRPr="00883399" w14:paraId="63294F3F" w14:textId="77777777" w:rsidTr="0031057E">
        <w:trPr>
          <w:cantSplit/>
          <w:trHeight w:val="74"/>
        </w:trPr>
        <w:tc>
          <w:tcPr>
            <w:tcW w:w="882" w:type="dxa"/>
            <w:vMerge w:val="restart"/>
            <w:hideMark/>
          </w:tcPr>
          <w:p w14:paraId="0078F293" w14:textId="77777777" w:rsidR="00872C03" w:rsidRPr="00883399" w:rsidRDefault="00872C03" w:rsidP="0031057E">
            <w:pPr>
              <w:spacing w:before="60" w:after="60"/>
            </w:pPr>
            <w:r w:rsidRPr="00883399">
              <w:t>Step 4</w:t>
            </w:r>
          </w:p>
        </w:tc>
        <w:tc>
          <w:tcPr>
            <w:tcW w:w="6678" w:type="dxa"/>
            <w:hideMark/>
          </w:tcPr>
          <w:p w14:paraId="3AFEA148" w14:textId="77777777" w:rsidR="00872C03" w:rsidRPr="00883399" w:rsidRDefault="00872C03" w:rsidP="0031057E">
            <w:pPr>
              <w:pStyle w:val="TableText"/>
              <w:rPr>
                <w:iCs/>
                <w:sz w:val="24"/>
              </w:rPr>
            </w:pPr>
            <w:r w:rsidRPr="00883399">
              <w:rPr>
                <w:sz w:val="24"/>
              </w:rPr>
              <w:t xml:space="preserve">Work out the carbon content in the amount of the change in </w:t>
            </w:r>
            <w:r w:rsidRPr="00883399">
              <w:rPr>
                <w:iCs/>
                <w:sz w:val="24"/>
              </w:rPr>
              <w:t>stocks of inputs, products and waste by</w:t>
            </w:r>
            <w:r w:rsidRPr="00883399">
              <w:rPr>
                <w:b/>
                <w:iCs/>
                <w:sz w:val="24"/>
              </w:rPr>
              <w:noBreakHyphen/>
            </w:r>
            <w:r w:rsidRPr="00883399">
              <w:rPr>
                <w:iCs/>
                <w:sz w:val="24"/>
              </w:rPr>
              <w:t>products held within the boundary of the activity during the year, measured in tonnes of carbon, as follows:</w:t>
            </w:r>
          </w:p>
          <w:p w14:paraId="557E239E" w14:textId="06262EF4" w:rsidR="00872C03" w:rsidRPr="00883399" w:rsidRDefault="00872C03" w:rsidP="0031057E">
            <w:pPr>
              <w:pStyle w:val="Formula"/>
              <w:spacing w:before="120" w:after="120"/>
              <w:ind w:left="13"/>
              <w:rPr>
                <w:sz w:val="22"/>
              </w:rPr>
            </w:pPr>
            <w:r w:rsidRPr="00883399">
              <w:rPr>
                <w:noProof/>
                <w:position w:val="-14"/>
                <w:sz w:val="22"/>
              </w:rPr>
              <w:drawing>
                <wp:inline distT="0" distB="0" distL="0" distR="0" wp14:anchorId="7AC27DCE" wp14:editId="12615082">
                  <wp:extent cx="4073525" cy="213995"/>
                  <wp:effectExtent l="19050" t="0" r="3175"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31"/>
                          <a:srcRect/>
                          <a:stretch>
                            <a:fillRect/>
                          </a:stretch>
                        </pic:blipFill>
                        <pic:spPr bwMode="auto">
                          <a:xfrm>
                            <a:off x="0" y="0"/>
                            <a:ext cx="4073525" cy="213995"/>
                          </a:xfrm>
                          <a:prstGeom prst="rect">
                            <a:avLst/>
                          </a:prstGeom>
                          <a:noFill/>
                          <a:ln w="9525">
                            <a:noFill/>
                            <a:miter lim="800000"/>
                            <a:headEnd/>
                            <a:tailEnd/>
                          </a:ln>
                        </pic:spPr>
                      </pic:pic>
                    </a:graphicData>
                  </a:graphic>
                </wp:inline>
              </w:drawing>
            </w:r>
          </w:p>
        </w:tc>
      </w:tr>
      <w:tr w:rsidR="00872C03" w:rsidRPr="00883399" w14:paraId="517E2040" w14:textId="77777777" w:rsidTr="0031057E">
        <w:trPr>
          <w:cantSplit/>
        </w:trPr>
        <w:tc>
          <w:tcPr>
            <w:tcW w:w="882" w:type="dxa"/>
            <w:vMerge/>
            <w:vAlign w:val="center"/>
            <w:hideMark/>
          </w:tcPr>
          <w:p w14:paraId="42D1FE7A" w14:textId="77777777" w:rsidR="00872C03" w:rsidRPr="00883399" w:rsidRDefault="00872C03" w:rsidP="0031057E">
            <w:pPr>
              <w:rPr>
                <w:i/>
              </w:rPr>
            </w:pPr>
          </w:p>
        </w:tc>
        <w:tc>
          <w:tcPr>
            <w:tcW w:w="6678" w:type="dxa"/>
            <w:hideMark/>
          </w:tcPr>
          <w:p w14:paraId="0D1C58F4" w14:textId="77777777" w:rsidR="00872C03" w:rsidRPr="00883399" w:rsidRDefault="00872C03" w:rsidP="0031057E">
            <w:pPr>
              <w:pStyle w:val="TableText"/>
              <w:rPr>
                <w:sz w:val="24"/>
              </w:rPr>
            </w:pPr>
            <w:r w:rsidRPr="00883399">
              <w:rPr>
                <w:sz w:val="24"/>
              </w:rPr>
              <w:t>where:</w:t>
            </w:r>
          </w:p>
          <w:p w14:paraId="138D38D3" w14:textId="77777777" w:rsidR="00872C03" w:rsidRPr="00883399" w:rsidRDefault="00872C03" w:rsidP="0031057E">
            <w:pPr>
              <w:pStyle w:val="TableText"/>
              <w:rPr>
                <w:b/>
                <w:i/>
                <w:sz w:val="24"/>
              </w:rPr>
            </w:pPr>
            <w:r w:rsidRPr="00883399">
              <w:rPr>
                <w:rFonts w:ascii="Symbol" w:hAnsi="Symbol"/>
                <w:b/>
                <w:i/>
                <w:sz w:val="24"/>
              </w:rPr>
              <w:t></w:t>
            </w:r>
            <w:r w:rsidRPr="00883399">
              <w:rPr>
                <w:b/>
                <w:i/>
                <w:sz w:val="24"/>
                <w:vertAlign w:val="subscript"/>
              </w:rPr>
              <w:t>i</w:t>
            </w:r>
            <w:r w:rsidRPr="00883399">
              <w:rPr>
                <w:i/>
                <w:sz w:val="24"/>
              </w:rPr>
              <w:t xml:space="preserve"> </w:t>
            </w:r>
            <w:r w:rsidRPr="00883399">
              <w:rPr>
                <w:sz w:val="24"/>
              </w:rPr>
              <w:t>has the same meaning as in step 1.</w:t>
            </w:r>
          </w:p>
          <w:p w14:paraId="2BC9A243" w14:textId="77777777" w:rsidR="00872C03" w:rsidRPr="00883399" w:rsidRDefault="00872C03" w:rsidP="0031057E">
            <w:pPr>
              <w:pStyle w:val="TableText"/>
              <w:rPr>
                <w:iCs/>
                <w:sz w:val="24"/>
              </w:rPr>
            </w:pPr>
            <w:r w:rsidRPr="00883399">
              <w:rPr>
                <w:b/>
                <w:i/>
                <w:sz w:val="24"/>
              </w:rPr>
              <w:t>CCF</w:t>
            </w:r>
            <w:r w:rsidRPr="00883399">
              <w:rPr>
                <w:b/>
                <w:i/>
                <w:sz w:val="24"/>
                <w:vertAlign w:val="subscript"/>
              </w:rPr>
              <w:t>i</w:t>
            </w:r>
            <w:r w:rsidRPr="00883399">
              <w:rPr>
                <w:i/>
                <w:sz w:val="24"/>
              </w:rPr>
              <w:t xml:space="preserve"> </w:t>
            </w:r>
            <w:r w:rsidRPr="00883399">
              <w:rPr>
                <w:sz w:val="24"/>
              </w:rPr>
              <w:t>has the same meaning as in step 1.</w:t>
            </w:r>
          </w:p>
          <w:p w14:paraId="7162B33D" w14:textId="77777777" w:rsidR="00872C03" w:rsidRPr="00883399" w:rsidRDefault="00872C03" w:rsidP="0031057E">
            <w:pPr>
              <w:pStyle w:val="TableText"/>
              <w:spacing w:line="240" w:lineRule="auto"/>
              <w:rPr>
                <w:iCs/>
                <w:sz w:val="24"/>
              </w:rPr>
            </w:pPr>
            <w:r w:rsidRPr="00883399">
              <w:rPr>
                <w:b/>
                <w:i/>
                <w:iCs/>
                <w:sz w:val="24"/>
              </w:rPr>
              <w:t>ΔS</w:t>
            </w:r>
            <w:r w:rsidRPr="00883399">
              <w:rPr>
                <w:b/>
                <w:i/>
                <w:iCs/>
                <w:sz w:val="24"/>
                <w:szCs w:val="18"/>
                <w:vertAlign w:val="subscript"/>
              </w:rPr>
              <w:t>q</w:t>
            </w:r>
            <w:r w:rsidRPr="00883399">
              <w:rPr>
                <w:b/>
                <w:i/>
                <w:iCs/>
                <w:sz w:val="24"/>
                <w:vertAlign w:val="subscript"/>
              </w:rPr>
              <w:t>i</w:t>
            </w:r>
            <w:r w:rsidRPr="00883399">
              <w:rPr>
                <w:iCs/>
                <w:sz w:val="24"/>
              </w:rPr>
              <w:t xml:space="preserve"> is the change in stocks of fuel type (</w:t>
            </w:r>
            <w:r w:rsidRPr="00883399">
              <w:rPr>
                <w:b/>
                <w:i/>
                <w:iCs/>
                <w:sz w:val="24"/>
              </w:rPr>
              <w:t>i</w:t>
            </w:r>
            <w:r w:rsidRPr="00883399">
              <w:rPr>
                <w:iCs/>
                <w:sz w:val="24"/>
              </w:rPr>
              <w:t xml:space="preserve">) for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p w14:paraId="72830F43" w14:textId="77777777" w:rsidR="00872C03" w:rsidRPr="00883399" w:rsidRDefault="00872C03" w:rsidP="0031057E">
            <w:pPr>
              <w:pStyle w:val="TableText"/>
              <w:rPr>
                <w:b/>
                <w:i/>
                <w:sz w:val="24"/>
              </w:rPr>
            </w:pPr>
            <w:r w:rsidRPr="00883399">
              <w:rPr>
                <w:rFonts w:ascii="Symbol" w:hAnsi="Symbol"/>
                <w:b/>
                <w:i/>
                <w:sz w:val="24"/>
              </w:rPr>
              <w:t></w:t>
            </w:r>
            <w:r w:rsidRPr="00883399">
              <w:rPr>
                <w:b/>
                <w:i/>
                <w:sz w:val="24"/>
                <w:vertAlign w:val="subscript"/>
              </w:rPr>
              <w:t>p</w:t>
            </w:r>
            <w:r w:rsidRPr="00883399">
              <w:rPr>
                <w:i/>
                <w:sz w:val="24"/>
              </w:rPr>
              <w:t xml:space="preserve"> </w:t>
            </w:r>
            <w:r w:rsidRPr="00883399">
              <w:rPr>
                <w:sz w:val="24"/>
              </w:rPr>
              <w:t>has the same meaning as in step 2.</w:t>
            </w:r>
          </w:p>
          <w:p w14:paraId="28ED70F5" w14:textId="77777777" w:rsidR="00872C03" w:rsidRPr="00883399" w:rsidRDefault="00872C03" w:rsidP="0031057E">
            <w:pPr>
              <w:pStyle w:val="TableText"/>
              <w:rPr>
                <w:b/>
                <w:i/>
                <w:iCs/>
                <w:sz w:val="24"/>
              </w:rPr>
            </w:pPr>
            <w:r w:rsidRPr="00883399">
              <w:rPr>
                <w:b/>
                <w:i/>
                <w:sz w:val="24"/>
              </w:rPr>
              <w:t>CCF</w:t>
            </w:r>
            <w:r w:rsidRPr="00883399">
              <w:rPr>
                <w:b/>
                <w:i/>
                <w:sz w:val="24"/>
                <w:vertAlign w:val="subscript"/>
              </w:rPr>
              <w:t>p</w:t>
            </w:r>
            <w:r w:rsidRPr="00883399">
              <w:rPr>
                <w:i/>
                <w:sz w:val="24"/>
              </w:rPr>
              <w:t xml:space="preserve"> </w:t>
            </w:r>
            <w:r w:rsidRPr="00883399">
              <w:rPr>
                <w:sz w:val="24"/>
              </w:rPr>
              <w:t>has the same meaning as in step 2.</w:t>
            </w:r>
          </w:p>
          <w:p w14:paraId="381324F8" w14:textId="77777777" w:rsidR="00872C03" w:rsidRPr="00883399" w:rsidRDefault="00872C03" w:rsidP="0031057E">
            <w:pPr>
              <w:pStyle w:val="TableText"/>
              <w:spacing w:line="240" w:lineRule="auto"/>
              <w:rPr>
                <w:sz w:val="24"/>
              </w:rPr>
            </w:pPr>
            <w:r w:rsidRPr="00883399">
              <w:rPr>
                <w:b/>
                <w:i/>
                <w:iCs/>
                <w:sz w:val="24"/>
              </w:rPr>
              <w:t>ΔS</w:t>
            </w:r>
            <w:r w:rsidRPr="00883399">
              <w:rPr>
                <w:b/>
                <w:i/>
                <w:iCs/>
                <w:sz w:val="24"/>
                <w:szCs w:val="18"/>
                <w:vertAlign w:val="subscript"/>
              </w:rPr>
              <w:t>a</w:t>
            </w:r>
            <w:r w:rsidRPr="00883399">
              <w:rPr>
                <w:b/>
                <w:i/>
                <w:iCs/>
                <w:sz w:val="24"/>
                <w:vertAlign w:val="subscript"/>
              </w:rPr>
              <w:t>p</w:t>
            </w:r>
            <w:r w:rsidRPr="00883399">
              <w:rPr>
                <w:iCs/>
                <w:sz w:val="24"/>
                <w:szCs w:val="18"/>
              </w:rPr>
              <w:t xml:space="preserve"> is the </w:t>
            </w:r>
            <w:r w:rsidRPr="00883399">
              <w:rPr>
                <w:sz w:val="24"/>
                <w:szCs w:val="22"/>
              </w:rPr>
              <w:t>change</w:t>
            </w:r>
            <w:r w:rsidRPr="00883399">
              <w:rPr>
                <w:iCs/>
                <w:sz w:val="24"/>
                <w:szCs w:val="18"/>
              </w:rPr>
              <w:t xml:space="preserve"> in stocks of </w:t>
            </w:r>
            <w:r w:rsidRPr="00883399">
              <w:rPr>
                <w:iCs/>
                <w:sz w:val="24"/>
              </w:rPr>
              <w:t>product types (</w:t>
            </w:r>
            <w:r w:rsidRPr="00883399">
              <w:rPr>
                <w:b/>
                <w:i/>
                <w:iCs/>
                <w:sz w:val="24"/>
              </w:rPr>
              <w:t>p)</w:t>
            </w:r>
            <w:r w:rsidRPr="00883399">
              <w:rPr>
                <w:iCs/>
                <w:sz w:val="24"/>
              </w:rPr>
              <w:t xml:space="preserve"> produced by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872C03" w:rsidRPr="00883399" w14:paraId="210463C8" w14:textId="77777777" w:rsidTr="0031057E">
        <w:trPr>
          <w:cantSplit/>
        </w:trPr>
        <w:tc>
          <w:tcPr>
            <w:tcW w:w="882" w:type="dxa"/>
          </w:tcPr>
          <w:p w14:paraId="6EA80F23" w14:textId="77777777" w:rsidR="00872C03" w:rsidRPr="00883399" w:rsidRDefault="00872C03" w:rsidP="0031057E">
            <w:pPr>
              <w:spacing w:before="60" w:after="60"/>
              <w:rPr>
                <w:i/>
              </w:rPr>
            </w:pPr>
          </w:p>
        </w:tc>
        <w:tc>
          <w:tcPr>
            <w:tcW w:w="6678" w:type="dxa"/>
            <w:hideMark/>
          </w:tcPr>
          <w:p w14:paraId="4059B464" w14:textId="77777777" w:rsidR="00872C03" w:rsidRPr="00883399" w:rsidRDefault="00872C03" w:rsidP="0031057E">
            <w:pPr>
              <w:pStyle w:val="TableText"/>
              <w:rPr>
                <w:b/>
                <w:i/>
                <w:sz w:val="24"/>
              </w:rPr>
            </w:pPr>
            <w:r w:rsidRPr="00883399">
              <w:rPr>
                <w:rFonts w:ascii="Symbol" w:hAnsi="Symbol"/>
                <w:b/>
                <w:i/>
                <w:sz w:val="24"/>
              </w:rPr>
              <w:t></w:t>
            </w:r>
            <w:r w:rsidRPr="00883399">
              <w:rPr>
                <w:b/>
                <w:i/>
                <w:sz w:val="24"/>
                <w:vertAlign w:val="subscript"/>
              </w:rPr>
              <w:t>r</w:t>
            </w:r>
            <w:r w:rsidRPr="00883399">
              <w:rPr>
                <w:i/>
                <w:sz w:val="24"/>
              </w:rPr>
              <w:t xml:space="preserve"> </w:t>
            </w:r>
            <w:r w:rsidRPr="00883399">
              <w:rPr>
                <w:sz w:val="24"/>
              </w:rPr>
              <w:t>has the same meaning as in step 3.</w:t>
            </w:r>
          </w:p>
          <w:p w14:paraId="4C6A31C6" w14:textId="77777777" w:rsidR="00872C03" w:rsidRPr="00883399" w:rsidRDefault="00872C03" w:rsidP="0031057E">
            <w:pPr>
              <w:pStyle w:val="TableText"/>
              <w:rPr>
                <w:b/>
                <w:i/>
                <w:iCs/>
                <w:sz w:val="24"/>
              </w:rPr>
            </w:pPr>
            <w:r w:rsidRPr="00883399">
              <w:rPr>
                <w:b/>
                <w:i/>
                <w:sz w:val="24"/>
              </w:rPr>
              <w:t>CCF</w:t>
            </w:r>
            <w:r w:rsidRPr="00883399">
              <w:rPr>
                <w:b/>
                <w:i/>
                <w:sz w:val="24"/>
                <w:vertAlign w:val="subscript"/>
              </w:rPr>
              <w:t>r</w:t>
            </w:r>
            <w:r w:rsidRPr="00883399">
              <w:rPr>
                <w:i/>
                <w:sz w:val="24"/>
              </w:rPr>
              <w:t xml:space="preserve"> </w:t>
            </w:r>
            <w:r w:rsidRPr="00883399">
              <w:rPr>
                <w:sz w:val="24"/>
              </w:rPr>
              <w:t>has the same meaning as in step 3.</w:t>
            </w:r>
          </w:p>
        </w:tc>
      </w:tr>
      <w:tr w:rsidR="00872C03" w:rsidRPr="00883399" w14:paraId="3CF6DF7A" w14:textId="77777777" w:rsidTr="0031057E">
        <w:trPr>
          <w:cantSplit/>
        </w:trPr>
        <w:tc>
          <w:tcPr>
            <w:tcW w:w="882" w:type="dxa"/>
          </w:tcPr>
          <w:p w14:paraId="4074A3E2" w14:textId="77777777" w:rsidR="00872C03" w:rsidRPr="00883399" w:rsidRDefault="00872C03" w:rsidP="0031057E">
            <w:pPr>
              <w:spacing w:before="60" w:after="60"/>
              <w:rPr>
                <w:i/>
              </w:rPr>
            </w:pPr>
          </w:p>
        </w:tc>
        <w:tc>
          <w:tcPr>
            <w:tcW w:w="6678" w:type="dxa"/>
            <w:hideMark/>
          </w:tcPr>
          <w:p w14:paraId="55BFDFBB" w14:textId="77777777" w:rsidR="00872C03" w:rsidRPr="00883399" w:rsidRDefault="00872C03" w:rsidP="0031057E">
            <w:pPr>
              <w:pStyle w:val="TableText"/>
              <w:spacing w:line="240" w:lineRule="auto"/>
              <w:rPr>
                <w:rFonts w:ascii="Symbol" w:hAnsi="Symbol"/>
                <w:b/>
                <w:i/>
                <w:sz w:val="24"/>
              </w:rPr>
            </w:pPr>
            <w:r w:rsidRPr="00883399">
              <w:rPr>
                <w:b/>
                <w:i/>
                <w:iCs/>
                <w:sz w:val="24"/>
              </w:rPr>
              <w:t>ΔS</w:t>
            </w:r>
            <w:r w:rsidRPr="00883399">
              <w:rPr>
                <w:b/>
                <w:i/>
                <w:iCs/>
                <w:sz w:val="24"/>
                <w:szCs w:val="18"/>
                <w:vertAlign w:val="subscript"/>
              </w:rPr>
              <w:t>y</w:t>
            </w:r>
            <w:r w:rsidRPr="00883399">
              <w:rPr>
                <w:b/>
                <w:i/>
                <w:iCs/>
                <w:sz w:val="24"/>
                <w:vertAlign w:val="subscript"/>
              </w:rPr>
              <w:t>r</w:t>
            </w:r>
            <w:r w:rsidRPr="00883399">
              <w:rPr>
                <w:iCs/>
                <w:sz w:val="24"/>
              </w:rPr>
              <w:t xml:space="preserve"> is the change </w:t>
            </w:r>
            <w:r w:rsidRPr="00883399">
              <w:rPr>
                <w:sz w:val="24"/>
                <w:szCs w:val="22"/>
              </w:rPr>
              <w:t>in</w:t>
            </w:r>
            <w:r w:rsidRPr="00883399">
              <w:rPr>
                <w:iCs/>
                <w:sz w:val="24"/>
              </w:rPr>
              <w:t xml:space="preserve"> stocks of waste by</w:t>
            </w:r>
            <w:r w:rsidRPr="00883399">
              <w:rPr>
                <w:iCs/>
                <w:sz w:val="24"/>
              </w:rPr>
              <w:noBreakHyphen/>
              <w:t>product types (</w:t>
            </w:r>
            <w:r w:rsidRPr="00883399">
              <w:rPr>
                <w:b/>
                <w:i/>
                <w:iCs/>
                <w:sz w:val="24"/>
              </w:rPr>
              <w:t>r</w:t>
            </w:r>
            <w:r w:rsidRPr="00883399">
              <w:rPr>
                <w:iCs/>
                <w:sz w:val="24"/>
              </w:rPr>
              <w:t xml:space="preserve">) produced from the operation of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872C03" w:rsidRPr="00883399" w14:paraId="083E908D" w14:textId="77777777" w:rsidTr="0031057E">
        <w:trPr>
          <w:cantSplit/>
          <w:trHeight w:val="610"/>
        </w:trPr>
        <w:tc>
          <w:tcPr>
            <w:tcW w:w="882" w:type="dxa"/>
          </w:tcPr>
          <w:p w14:paraId="65E81D4A" w14:textId="77777777" w:rsidR="00872C03" w:rsidRPr="00883399" w:rsidRDefault="00872C03" w:rsidP="0031057E">
            <w:pPr>
              <w:spacing w:before="60" w:after="60"/>
              <w:rPr>
                <w:i/>
              </w:rPr>
            </w:pPr>
          </w:p>
        </w:tc>
        <w:tc>
          <w:tcPr>
            <w:tcW w:w="6678" w:type="dxa"/>
            <w:hideMark/>
          </w:tcPr>
          <w:p w14:paraId="14B89526" w14:textId="77777777" w:rsidR="00872C03" w:rsidRPr="00883399" w:rsidRDefault="00872C03" w:rsidP="0031057E">
            <w:pPr>
              <w:pStyle w:val="TableText"/>
              <w:rPr>
                <w:rFonts w:ascii="Symbol" w:hAnsi="Symbol"/>
                <w:b/>
                <w:i/>
                <w:sz w:val="24"/>
              </w:rPr>
            </w:pPr>
            <w:r w:rsidRPr="00883399">
              <w:rPr>
                <w:b/>
                <w:i/>
                <w:sz w:val="24"/>
              </w:rPr>
              <w:t>α</w:t>
            </w:r>
            <w:r w:rsidRPr="00883399">
              <w:rPr>
                <w:sz w:val="24"/>
              </w:rPr>
              <w:t xml:space="preserve"> is the factor </w:t>
            </w:r>
            <w:r w:rsidR="00C66508" w:rsidRPr="00883399">
              <w:rPr>
                <w:noProof/>
                <w:sz w:val="24"/>
              </w:rPr>
              <mc:AlternateContent>
                <mc:Choice Requires="wpc">
                  <w:drawing>
                    <wp:inline distT="0" distB="0" distL="0" distR="0" wp14:anchorId="3A5A4AB1" wp14:editId="34F03C5F">
                      <wp:extent cx="257175" cy="352425"/>
                      <wp:effectExtent l="0" t="0" r="0" b="0"/>
                      <wp:docPr id="449" name="Canvas 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4" name="Rectangle 212"/>
                              <wps:cNvSpPr>
                                <a:spLocks noChangeArrowheads="1"/>
                              </wps:cNvSpPr>
                              <wps:spPr bwMode="auto">
                                <a:xfrm>
                                  <a:off x="83820" y="10178"/>
                                  <a:ext cx="51435" cy="117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13DDC" w14:textId="77777777" w:rsidR="00F8313C" w:rsidRDefault="00F8313C" w:rsidP="00872C03">
                                    <w:r>
                                      <w:rPr>
                                        <w:color w:val="000000"/>
                                        <w:position w:val="-12"/>
                                        <w:sz w:val="16"/>
                                        <w:szCs w:val="16"/>
                                        <w:lang w:val="en-US"/>
                                      </w:rPr>
                                      <w:t>1</w:t>
                                    </w:r>
                                  </w:p>
                                </w:txbxContent>
                              </wps:txbx>
                              <wps:bodyPr rot="0" vert="horz" wrap="none" lIns="0" tIns="0" rIns="0" bIns="0" anchor="t" anchorCtr="0" upright="1">
                                <a:noAutofit/>
                              </wps:bodyPr>
                            </wps:wsp>
                            <wps:wsp>
                              <wps:cNvPr id="66" name="Line 213"/>
                              <wps:cNvCnPr>
                                <a:cxnSpLocks noChangeShapeType="1"/>
                              </wps:cNvCnPr>
                              <wps:spPr bwMode="auto">
                                <a:xfrm>
                                  <a:off x="13970" y="139316"/>
                                  <a:ext cx="205105" cy="636"/>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214"/>
                              <wps:cNvSpPr>
                                <a:spLocks noChangeArrowheads="1"/>
                              </wps:cNvSpPr>
                              <wps:spPr bwMode="auto">
                                <a:xfrm>
                                  <a:off x="0" y="166670"/>
                                  <a:ext cx="229235" cy="117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DF22E" w14:textId="77777777" w:rsidR="00F8313C" w:rsidRDefault="00F8313C" w:rsidP="00872C03">
                                    <w:pPr>
                                      <w:spacing w:line="240" w:lineRule="auto"/>
                                      <w:rPr>
                                        <w:position w:val="-12"/>
                                        <w:sz w:val="16"/>
                                        <w:szCs w:val="16"/>
                                      </w:rPr>
                                    </w:pPr>
                                    <w:r>
                                      <w:rPr>
                                        <w:color w:val="000000"/>
                                        <w:position w:val="-12"/>
                                        <w:sz w:val="16"/>
                                        <w:szCs w:val="16"/>
                                        <w:lang w:val="en-US"/>
                                      </w:rPr>
                                      <w:t>3.664</w:t>
                                    </w:r>
                                  </w:p>
                                </w:txbxContent>
                              </wps:txbx>
                              <wps:bodyPr rot="0" vert="horz" wrap="none" lIns="0" tIns="0" rIns="0" bIns="0" anchor="t" anchorCtr="0" upright="1">
                                <a:noAutofit/>
                              </wps:bodyPr>
                            </wps:wsp>
                          </wpc:wpc>
                        </a:graphicData>
                      </a:graphic>
                    </wp:inline>
                  </w:drawing>
                </mc:Choice>
                <mc:Fallback>
                  <w:pict>
                    <v:group w14:anchorId="3A5A4AB1" id="Canvas 63" o:spid="_x0000_s1059" editas="canvas" style="width:20.25pt;height:27.75pt;mso-position-horizontal-relative:char;mso-position-vertical-relative:line" coordsize="2571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">
                      <v:shape id="_x0000_s1060" type="#_x0000_t75" style="position:absolute;width:257175;height:352425;visibility:visible;mso-wrap-style:square">
                        <v:fill o:detectmouseclick="t"/>
                        <v:path o:connecttype="none"/>
                      </v:shape>
                      <v:rect id="Rectangle 212" o:spid="_x0000_s1061" style="position:absolute;left:83820;top:10178;width:51435;height:1170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CHMQA&#10;AADbAAAADwAAAGRycy9kb3ducmV2LnhtbESPUWvCMBSF3wf+h3AHe5tph5TZmRYVhiL4oO4HXJq7&#10;pltzU5NM6783g8EeD+ec73AW9Wh7cSEfOscK8mkGgrhxuuNWwcfp/fkVRIjIGnvHpOBGAepq8rDA&#10;UrsrH+hyjK1IEA4lKjAxDqWUoTFkMUzdQJy8T+ctxiR9K7XHa4LbXr5kWSEtdpwWDA60NtR8H3+s&#10;AlptDvOvZTB76fOQ73fFfLY5K/X0OC7fQEQa43/4r73VCooZ/H5JP0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ghzEAAAA2wAAAA8AAAAAAAAAAAAAAAAAmAIAAGRycy9k&#10;b3ducmV2LnhtbFBLBQYAAAAABAAEAPUAAACJAwAAAAA=&#10;" filled="f" stroked="f">
                        <v:textbox inset="0,0,0,0">
                          <w:txbxContent>
                            <w:p w14:paraId="28913DDC" w14:textId="77777777" w:rsidR="00F8313C" w:rsidRDefault="00F8313C" w:rsidP="00872C03">
                              <w:r>
                                <w:rPr>
                                  <w:color w:val="000000"/>
                                  <w:position w:val="-12"/>
                                  <w:sz w:val="16"/>
                                  <w:szCs w:val="16"/>
                                  <w:lang w:val="en-US"/>
                                </w:rPr>
                                <w:t>1</w:t>
                              </w:r>
                            </w:p>
                          </w:txbxContent>
                        </v:textbox>
                      </v:rect>
                      <v:line id="Line 213" o:spid="_x0000_s1062" style="position:absolute;visibility:visible;mso-wrap-style:square" from="13970,139316" to="219075,13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itGsMAAADbAAAADwAAAGRycy9kb3ducmV2LnhtbESPQWvCQBSE70L/w/IK3nTTHqKkriLS&#10;Yno0ycXbM/tMQrNvw+6q0V/fFQo9DjPzDbPajKYXV3K+s6zgbZ6AIK6t7rhRUJVfsyUIH5A19pZJ&#10;wZ08bNYvkxVm2t74QNciNCJC2GeooA1hyKT0dUsG/dwOxNE7W2cwROkaqR3eItz08j1JUmmw47jQ&#10;4kC7luqf4mIUPPLyszrm+8OpehzLb1t4tzgvlZq+jtsPEIHG8B/+a+daQZrC80v8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IrRrDAAAA2wAAAA8AAAAAAAAAAAAA&#10;AAAAoQIAAGRycy9kb3ducmV2LnhtbFBLBQYAAAAABAAEAPkAAACRAwAAAAA=&#10;" strokeweight="28e-5mm"/>
                      <v:rect id="Rectangle 214" o:spid="_x0000_s1063" style="position:absolute;top:166670;width:229235;height:1176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ca8MA&#10;AADbAAAADwAAAGRycy9kb3ducmV2LnhtbESP0WoCMRRE3wX/IVyhb5rdUlbdGsUKxVLwQe0HXDa3&#10;m62bmzWJuv37piD4OMzMGWax6m0rruRD41hBPslAEFdON1wr+Dq+j2cgQkTW2DomBb8UYLUcDhZY&#10;anfjPV0PsRYJwqFEBSbGrpQyVIYshonriJP37bzFmKSvpfZ4S3DbyucsK6TFhtOCwY42hqrT4WIV&#10;0Nt2P/9ZB7OTPg/57rOYv2zPSj2N+vUriEh9fITv7Q+toJjC/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gca8MAAADbAAAADwAAAAAAAAAAAAAAAACYAgAAZHJzL2Rv&#10;d25yZXYueG1sUEsFBgAAAAAEAAQA9QAAAIgDAAAAAA==&#10;" filled="f" stroked="f">
                        <v:textbox inset="0,0,0,0">
                          <w:txbxContent>
                            <w:p w14:paraId="5A3DF22E" w14:textId="77777777" w:rsidR="00F8313C" w:rsidRDefault="00F8313C" w:rsidP="00872C03">
                              <w:pPr>
                                <w:spacing w:line="240" w:lineRule="auto"/>
                                <w:rPr>
                                  <w:position w:val="-12"/>
                                  <w:sz w:val="16"/>
                                  <w:szCs w:val="16"/>
                                </w:rPr>
                              </w:pPr>
                              <w:r>
                                <w:rPr>
                                  <w:color w:val="000000"/>
                                  <w:position w:val="-12"/>
                                  <w:sz w:val="16"/>
                                  <w:szCs w:val="16"/>
                                  <w:lang w:val="en-US"/>
                                </w:rPr>
                                <w:t>3.664</w:t>
                              </w:r>
                            </w:p>
                          </w:txbxContent>
                        </v:textbox>
                      </v:rect>
                      <w10:anchorlock/>
                    </v:group>
                  </w:pict>
                </mc:Fallback>
              </mc:AlternateContent>
            </w:r>
            <w:r w:rsidRPr="00883399">
              <w:rPr>
                <w:sz w:val="24"/>
              </w:rPr>
              <w:t>for converting the mass of carbon dioxide to a mass of carbon.</w:t>
            </w:r>
          </w:p>
        </w:tc>
      </w:tr>
      <w:tr w:rsidR="00872C03" w:rsidRPr="00883399" w14:paraId="3C7A2908" w14:textId="77777777" w:rsidTr="0031057E">
        <w:trPr>
          <w:cantSplit/>
        </w:trPr>
        <w:tc>
          <w:tcPr>
            <w:tcW w:w="882" w:type="dxa"/>
          </w:tcPr>
          <w:p w14:paraId="633C181C" w14:textId="77777777" w:rsidR="00872C03" w:rsidRPr="00883399" w:rsidRDefault="00872C03" w:rsidP="0031057E">
            <w:pPr>
              <w:spacing w:before="60" w:after="60"/>
              <w:rPr>
                <w:i/>
              </w:rPr>
            </w:pPr>
          </w:p>
        </w:tc>
        <w:tc>
          <w:tcPr>
            <w:tcW w:w="6678" w:type="dxa"/>
            <w:hideMark/>
          </w:tcPr>
          <w:p w14:paraId="1375CE6E" w14:textId="77777777" w:rsidR="00872C03" w:rsidRPr="00883399" w:rsidRDefault="00872C03" w:rsidP="0031057E">
            <w:pPr>
              <w:pStyle w:val="TableText"/>
              <w:rPr>
                <w:iCs/>
                <w:sz w:val="24"/>
                <w:szCs w:val="22"/>
              </w:rPr>
            </w:pPr>
            <w:r w:rsidRPr="00883399">
              <w:rPr>
                <w:b/>
                <w:i/>
                <w:sz w:val="24"/>
                <w:szCs w:val="22"/>
              </w:rPr>
              <w:t xml:space="preserve">γ </w:t>
            </w:r>
            <w:r w:rsidRPr="00883399">
              <w:rPr>
                <w:sz w:val="24"/>
                <w:szCs w:val="22"/>
              </w:rPr>
              <w:t>is the factor 1.861 × 10</w:t>
            </w:r>
            <w:r w:rsidRPr="00883399">
              <w:rPr>
                <w:sz w:val="24"/>
                <w:szCs w:val="22"/>
                <w:vertAlign w:val="superscript"/>
              </w:rPr>
              <w:noBreakHyphen/>
              <w:t xml:space="preserve">3 </w:t>
            </w:r>
            <w:r w:rsidRPr="00883399">
              <w:rPr>
                <w:sz w:val="24"/>
                <w:szCs w:val="22"/>
              </w:rPr>
              <w:t>for converting a quantity of carbon dioxide from cubic metres at standard conditions of pressure and temperature to CO</w:t>
            </w:r>
            <w:r w:rsidRPr="00883399">
              <w:rPr>
                <w:sz w:val="24"/>
                <w:szCs w:val="22"/>
                <w:vertAlign w:val="subscript"/>
              </w:rPr>
              <w:t>2</w:t>
            </w:r>
            <w:r w:rsidRPr="00883399">
              <w:rPr>
                <w:sz w:val="24"/>
                <w:szCs w:val="22"/>
              </w:rPr>
              <w:noBreakHyphen/>
              <w:t>e tonnes.</w:t>
            </w:r>
          </w:p>
          <w:p w14:paraId="297D06C9" w14:textId="77777777" w:rsidR="00872C03" w:rsidRPr="00883399" w:rsidRDefault="00872C03" w:rsidP="0031057E">
            <w:pPr>
              <w:pStyle w:val="TableText"/>
              <w:spacing w:line="240" w:lineRule="auto"/>
              <w:rPr>
                <w:rFonts w:ascii="Symbol" w:hAnsi="Symbol"/>
                <w:b/>
                <w:i/>
                <w:sz w:val="24"/>
                <w:szCs w:val="22"/>
              </w:rPr>
            </w:pPr>
            <w:r w:rsidRPr="00883399">
              <w:rPr>
                <w:b/>
                <w:i/>
                <w:sz w:val="24"/>
                <w:szCs w:val="22"/>
              </w:rPr>
              <w:t>RCCS</w:t>
            </w:r>
            <w:r w:rsidRPr="00883399">
              <w:rPr>
                <w:b/>
                <w:i/>
                <w:sz w:val="24"/>
                <w:vertAlign w:val="subscript"/>
              </w:rPr>
              <w:t>CO</w:t>
            </w:r>
            <w:r w:rsidRPr="00883399">
              <w:rPr>
                <w:b/>
                <w:i/>
                <w:position w:val="-4"/>
                <w:sz w:val="24"/>
                <w:vertAlign w:val="subscript"/>
              </w:rPr>
              <w:t>2</w:t>
            </w:r>
            <w:r w:rsidRPr="00883399">
              <w:rPr>
                <w:sz w:val="24"/>
                <w:szCs w:val="22"/>
              </w:rPr>
              <w:t xml:space="preserve"> is carbon dioxide captured for permanent storage, measured in cubic metres in accordance with Division 1.2.3.</w:t>
            </w:r>
          </w:p>
        </w:tc>
      </w:tr>
    </w:tbl>
    <w:p w14:paraId="3584F3D8" w14:textId="77777777" w:rsidR="00872C03" w:rsidRPr="00883399" w:rsidRDefault="00872C03" w:rsidP="00872C03">
      <w:pPr>
        <w:pStyle w:val="subsection"/>
        <w:rPr>
          <w:sz w:val="24"/>
        </w:rPr>
      </w:pPr>
      <w:r w:rsidRPr="00883399">
        <w:rPr>
          <w:sz w:val="24"/>
        </w:rPr>
        <w:tab/>
        <w:t>(3)</w:t>
      </w:r>
      <w:r w:rsidRPr="00883399">
        <w:rPr>
          <w:sz w:val="24"/>
        </w:rPr>
        <w:tab/>
        <w:t>If a fuel type (</w:t>
      </w:r>
      <w:r w:rsidRPr="00883399">
        <w:rPr>
          <w:b/>
          <w:i/>
          <w:sz w:val="24"/>
        </w:rPr>
        <w:t>i</w:t>
      </w:r>
      <w:r w:rsidRPr="00883399">
        <w:rPr>
          <w:sz w:val="24"/>
        </w:rPr>
        <w:t>) or carbonaceous input material delivered for the activity during the year accounts for more than 5% of total carbon input for the activity, based on a calculation using the factors specified in Schedule 3, sampling and analysis of fuel type (</w:t>
      </w:r>
      <w:r w:rsidRPr="00883399">
        <w:rPr>
          <w:b/>
          <w:i/>
          <w:sz w:val="24"/>
        </w:rPr>
        <w:t>i</w:t>
      </w:r>
      <w:r w:rsidRPr="00883399">
        <w:rPr>
          <w:sz w:val="24"/>
        </w:rPr>
        <w:t>) or carbonaceous input material must be carried out to determine its carbon content.</w:t>
      </w:r>
    </w:p>
    <w:p w14:paraId="488B7A70" w14:textId="77777777" w:rsidR="00872C03" w:rsidRPr="00883399" w:rsidRDefault="00872C03" w:rsidP="00872C03">
      <w:pPr>
        <w:pStyle w:val="subsection"/>
        <w:rPr>
          <w:sz w:val="24"/>
        </w:rPr>
      </w:pPr>
      <w:r w:rsidRPr="00883399">
        <w:rPr>
          <w:sz w:val="24"/>
        </w:rPr>
        <w:tab/>
        <w:t>(4)</w:t>
      </w:r>
      <w:r w:rsidRPr="00883399">
        <w:rPr>
          <w:sz w:val="24"/>
        </w:rPr>
        <w:tab/>
        <w:t>The sampling and analysis is to be carried out using the sampling and analysis provided for in Divisions 2.2.3, 2.3.3 and 2.4.3 that apply to the combustion of solid, gaseous and liquid fuels.</w:t>
      </w:r>
    </w:p>
    <w:p w14:paraId="29E4F3C7" w14:textId="38AF656C" w:rsidR="00872C03" w:rsidRPr="00883399" w:rsidRDefault="00872C03" w:rsidP="00872C03">
      <w:pPr>
        <w:pStyle w:val="ActHead5"/>
        <w:rPr>
          <w:sz w:val="28"/>
        </w:rPr>
      </w:pPr>
      <w:bookmarkStart w:id="982" w:name="_Toc423517087"/>
      <w:bookmarkStart w:id="983" w:name="_Toc495653019"/>
      <w:r w:rsidRPr="00883399">
        <w:rPr>
          <w:rStyle w:val="CharSectno"/>
          <w:sz w:val="28"/>
        </w:rPr>
        <w:t>4.73</w:t>
      </w:r>
      <w:r w:rsidRPr="00883399">
        <w:rPr>
          <w:sz w:val="28"/>
        </w:rPr>
        <w:t xml:space="preserve">  Method 3—ferroalloy metal</w:t>
      </w:r>
      <w:bookmarkEnd w:id="982"/>
      <w:bookmarkEnd w:id="983"/>
    </w:p>
    <w:p w14:paraId="4F68F202" w14:textId="77777777" w:rsidR="00872C03" w:rsidRPr="00883399" w:rsidRDefault="00872C03" w:rsidP="00872C03">
      <w:pPr>
        <w:pStyle w:val="subsection"/>
        <w:rPr>
          <w:sz w:val="24"/>
        </w:rPr>
      </w:pPr>
      <w:r w:rsidRPr="00883399">
        <w:rPr>
          <w:sz w:val="24"/>
        </w:rPr>
        <w:tab/>
        <w:t>(1)</w:t>
      </w:r>
      <w:r w:rsidRPr="00883399">
        <w:rPr>
          <w:sz w:val="24"/>
        </w:rPr>
        <w:tab/>
        <w:t>Subject to this section, method 3 is the same as method 2 under section 4.72.</w:t>
      </w:r>
    </w:p>
    <w:p w14:paraId="081912F8" w14:textId="77777777" w:rsidR="00872C03" w:rsidRPr="00883399" w:rsidRDefault="00872C03" w:rsidP="00872C03">
      <w:pPr>
        <w:pStyle w:val="subsection"/>
        <w:rPr>
          <w:sz w:val="24"/>
        </w:rPr>
      </w:pPr>
      <w:r w:rsidRPr="00883399">
        <w:rPr>
          <w:sz w:val="24"/>
        </w:rPr>
        <w:tab/>
        <w:t>(2)</w:t>
      </w:r>
      <w:r w:rsidRPr="00883399">
        <w:rPr>
          <w:sz w:val="24"/>
        </w:rPr>
        <w:tab/>
        <w:t>If a fuel type (</w:t>
      </w:r>
      <w:r w:rsidRPr="00883399">
        <w:rPr>
          <w:b/>
          <w:i/>
          <w:sz w:val="24"/>
        </w:rPr>
        <w:t>i</w:t>
      </w:r>
      <w:r w:rsidRPr="00883399">
        <w:rPr>
          <w:sz w:val="24"/>
        </w:rPr>
        <w:t xml:space="preserve">) or carbonaceous input material delivered for the activity during the year accounts for more than 5% of total carbon input for the activity, based on a calculation using the factors specified in Schedule 3, </w:t>
      </w:r>
      <w:r w:rsidRPr="00883399">
        <w:rPr>
          <w:sz w:val="24"/>
        </w:rPr>
        <w:lastRenderedPageBreak/>
        <w:t>sampling and analysis of fuel type (</w:t>
      </w:r>
      <w:r w:rsidRPr="00883399">
        <w:rPr>
          <w:b/>
          <w:i/>
          <w:sz w:val="24"/>
        </w:rPr>
        <w:t>i</w:t>
      </w:r>
      <w:r w:rsidRPr="00883399">
        <w:rPr>
          <w:sz w:val="24"/>
        </w:rPr>
        <w:t>) or carbonaceous input material must be carried out to determine its carbon content.</w:t>
      </w:r>
    </w:p>
    <w:p w14:paraId="44F95836" w14:textId="77777777" w:rsidR="00872C03" w:rsidRPr="00883399" w:rsidRDefault="00872C03" w:rsidP="00872C03">
      <w:pPr>
        <w:pStyle w:val="subsection"/>
        <w:rPr>
          <w:sz w:val="24"/>
        </w:rPr>
      </w:pPr>
      <w:r w:rsidRPr="00883399">
        <w:rPr>
          <w:sz w:val="24"/>
        </w:rPr>
        <w:tab/>
        <w:t>(3)</w:t>
      </w:r>
      <w:r w:rsidRPr="00883399">
        <w:rPr>
          <w:sz w:val="24"/>
        </w:rPr>
        <w:tab/>
        <w:t>The sampling and analysis is to be carried out using the methods set out in Divisions 2.2.4, 2.3.4 and 2.4.4 that apply to the combustion of solid, gaseous and liquid fuels.</w:t>
      </w:r>
    </w:p>
    <w:p w14:paraId="2CB9D839" w14:textId="1BE8CF6A" w:rsidR="00872C03" w:rsidRPr="00883399" w:rsidRDefault="00872C03" w:rsidP="00872C03">
      <w:pPr>
        <w:pStyle w:val="ActHead3"/>
        <w:pageBreakBefore/>
        <w:rPr>
          <w:sz w:val="32"/>
        </w:rPr>
      </w:pPr>
      <w:bookmarkStart w:id="984" w:name="_Toc423517088"/>
      <w:bookmarkStart w:id="985" w:name="_Toc495653020"/>
      <w:r w:rsidRPr="00883399">
        <w:rPr>
          <w:rStyle w:val="CharDivNo"/>
          <w:sz w:val="32"/>
        </w:rPr>
        <w:lastRenderedPageBreak/>
        <w:t>Division 4.4.3</w:t>
      </w:r>
      <w:r w:rsidRPr="00883399">
        <w:rPr>
          <w:sz w:val="32"/>
        </w:rPr>
        <w:t>—</w:t>
      </w:r>
      <w:r w:rsidRPr="00883399">
        <w:rPr>
          <w:rStyle w:val="CharDivText"/>
          <w:sz w:val="32"/>
        </w:rPr>
        <w:t>Aluminium production (carbon dioxide emissions)</w:t>
      </w:r>
      <w:bookmarkEnd w:id="984"/>
      <w:bookmarkEnd w:id="985"/>
    </w:p>
    <w:p w14:paraId="70A8DCEB" w14:textId="32EA6D1F" w:rsidR="00872C03" w:rsidRPr="00883399" w:rsidRDefault="00872C03" w:rsidP="00872C03">
      <w:pPr>
        <w:pStyle w:val="ActHead5"/>
        <w:rPr>
          <w:sz w:val="28"/>
        </w:rPr>
      </w:pPr>
      <w:bookmarkStart w:id="986" w:name="_Toc423517089"/>
      <w:bookmarkStart w:id="987" w:name="_Toc495653021"/>
      <w:r w:rsidRPr="00883399">
        <w:rPr>
          <w:rStyle w:val="CharSectno"/>
          <w:sz w:val="28"/>
        </w:rPr>
        <w:t>4.74</w:t>
      </w:r>
      <w:r w:rsidRPr="00883399">
        <w:rPr>
          <w:sz w:val="28"/>
        </w:rPr>
        <w:t xml:space="preserve">  Application</w:t>
      </w:r>
      <w:bookmarkEnd w:id="986"/>
      <w:bookmarkEnd w:id="987"/>
    </w:p>
    <w:p w14:paraId="193017E3" w14:textId="77777777" w:rsidR="00872C03" w:rsidRPr="00883399" w:rsidRDefault="00872C03" w:rsidP="00872C03">
      <w:pPr>
        <w:pStyle w:val="subsection"/>
        <w:rPr>
          <w:sz w:val="24"/>
        </w:rPr>
      </w:pPr>
      <w:r w:rsidRPr="00883399">
        <w:rPr>
          <w:sz w:val="24"/>
        </w:rPr>
        <w:tab/>
      </w:r>
      <w:r w:rsidRPr="00883399">
        <w:rPr>
          <w:sz w:val="24"/>
        </w:rPr>
        <w:tab/>
        <w:t>This Division applies to aluminium production.</w:t>
      </w:r>
    </w:p>
    <w:p w14:paraId="65112452" w14:textId="4934ADBB" w:rsidR="00872C03" w:rsidRPr="00883399" w:rsidRDefault="00872C03" w:rsidP="00872C03">
      <w:pPr>
        <w:pStyle w:val="ActHead4"/>
        <w:rPr>
          <w:sz w:val="28"/>
        </w:rPr>
      </w:pPr>
      <w:bookmarkStart w:id="988" w:name="_Toc423517090"/>
      <w:bookmarkStart w:id="989" w:name="_Toc495653022"/>
      <w:r w:rsidRPr="00883399">
        <w:rPr>
          <w:rStyle w:val="CharSubdNo"/>
          <w:sz w:val="28"/>
        </w:rPr>
        <w:t>Sudivision 4.4.3.1</w:t>
      </w:r>
      <w:r w:rsidRPr="00883399">
        <w:rPr>
          <w:sz w:val="28"/>
        </w:rPr>
        <w:t>—</w:t>
      </w:r>
      <w:r w:rsidRPr="00883399">
        <w:rPr>
          <w:rStyle w:val="CharSubdText"/>
          <w:sz w:val="28"/>
        </w:rPr>
        <w:t>Aluminium—emissions from consumption of carbon anodes in aluminium production</w:t>
      </w:r>
      <w:bookmarkEnd w:id="988"/>
      <w:bookmarkEnd w:id="989"/>
    </w:p>
    <w:p w14:paraId="5DAB5B38" w14:textId="77777777" w:rsidR="006E1310" w:rsidRPr="00883399" w:rsidRDefault="006E1310" w:rsidP="006E1310">
      <w:pPr>
        <w:pStyle w:val="Text"/>
        <w:rPr>
          <w:sz w:val="24"/>
          <w:szCs w:val="24"/>
        </w:rPr>
      </w:pPr>
      <w:bookmarkStart w:id="990" w:name="_Toc423517091"/>
      <w:r w:rsidRPr="00883399">
        <w:rPr>
          <w:rFonts w:ascii="Arial" w:hAnsi="Arial" w:cs="Arial"/>
          <w:sz w:val="22"/>
          <w:szCs w:val="22"/>
        </w:rPr>
        <w:t xml:space="preserve">Method 1 for carbon dioxide emissions from aluminium production is intended to reproduce the method set out in the </w:t>
      </w:r>
      <w:r w:rsidRPr="00883399">
        <w:rPr>
          <w:rFonts w:ascii="Arial" w:hAnsi="Arial" w:cs="Arial"/>
          <w:i/>
          <w:sz w:val="22"/>
          <w:szCs w:val="22"/>
        </w:rPr>
        <w:t>2006 IPCC Guidelines for National Greenhouse Gas Inventories</w:t>
      </w:r>
      <w:r w:rsidRPr="00883399">
        <w:rPr>
          <w:rFonts w:ascii="Arial" w:hAnsi="Arial" w:cs="Arial"/>
          <w:sz w:val="22"/>
          <w:szCs w:val="22"/>
        </w:rPr>
        <w:t xml:space="preserve">, which is drawn from the </w:t>
      </w:r>
      <w:r w:rsidRPr="00883399">
        <w:rPr>
          <w:rFonts w:ascii="Arial" w:hAnsi="Arial" w:cs="Arial"/>
          <w:i/>
          <w:sz w:val="22"/>
          <w:szCs w:val="22"/>
        </w:rPr>
        <w:t>International Aluminium Institute Greenhouse Gas Protocol</w:t>
      </w:r>
      <w:r w:rsidRPr="00883399">
        <w:rPr>
          <w:rFonts w:ascii="Arial" w:hAnsi="Arial" w:cs="Arial"/>
          <w:sz w:val="22"/>
          <w:szCs w:val="22"/>
        </w:rPr>
        <w:t>.  As for fuels combusted for energy, Methods 2 and 3 for the category provide for sampling and analysis of fuels in accordance with Chapter 2 to determine facility-specific carbon content factors to be applied in estimating emissions</w:t>
      </w:r>
      <w:r w:rsidRPr="00883399">
        <w:rPr>
          <w:sz w:val="24"/>
          <w:szCs w:val="24"/>
        </w:rPr>
        <w:t>.</w:t>
      </w:r>
    </w:p>
    <w:p w14:paraId="11D74FBC" w14:textId="4F183DBB" w:rsidR="00872C03" w:rsidRPr="00883399" w:rsidRDefault="00872C03" w:rsidP="00872C03">
      <w:pPr>
        <w:pStyle w:val="ActHead5"/>
        <w:rPr>
          <w:sz w:val="28"/>
        </w:rPr>
      </w:pPr>
      <w:bookmarkStart w:id="991" w:name="_Toc495653023"/>
      <w:r w:rsidRPr="00883399">
        <w:rPr>
          <w:rStyle w:val="CharSectno"/>
          <w:sz w:val="28"/>
        </w:rPr>
        <w:t>4.75</w:t>
      </w:r>
      <w:r w:rsidRPr="00883399">
        <w:rPr>
          <w:sz w:val="28"/>
        </w:rPr>
        <w:t xml:space="preserve">  Available methods</w:t>
      </w:r>
      <w:bookmarkEnd w:id="990"/>
      <w:bookmarkEnd w:id="991"/>
    </w:p>
    <w:p w14:paraId="0C1A915A" w14:textId="77777777" w:rsidR="00872C03" w:rsidRPr="00883399" w:rsidRDefault="00872C03" w:rsidP="00872C03">
      <w:pPr>
        <w:pStyle w:val="subsection"/>
        <w:rPr>
          <w:sz w:val="24"/>
        </w:rPr>
      </w:pPr>
      <w:r w:rsidRPr="00883399">
        <w:rPr>
          <w:sz w:val="24"/>
        </w:rPr>
        <w:tab/>
        <w:t>(1)</w:t>
      </w:r>
      <w:r w:rsidRPr="00883399">
        <w:rPr>
          <w:sz w:val="24"/>
        </w:rPr>
        <w:tab/>
        <w:t>Subject to section 1.18, for estimating emissions of carbon dioxide released during a year from the operation of a facility that is constituted by the production of aluminium involving the consumption of carbon anodes, one of the following methods must be used:</w:t>
      </w:r>
    </w:p>
    <w:p w14:paraId="7246EA0E" w14:textId="77777777" w:rsidR="00872C03" w:rsidRPr="00883399" w:rsidRDefault="00872C03" w:rsidP="00872C03">
      <w:pPr>
        <w:pStyle w:val="paragraph"/>
        <w:rPr>
          <w:sz w:val="24"/>
        </w:rPr>
      </w:pPr>
      <w:r w:rsidRPr="00883399">
        <w:rPr>
          <w:sz w:val="24"/>
        </w:rPr>
        <w:tab/>
        <w:t>(a)</w:t>
      </w:r>
      <w:r w:rsidRPr="00883399">
        <w:rPr>
          <w:sz w:val="24"/>
        </w:rPr>
        <w:tab/>
        <w:t>method 1 under section 4.76;</w:t>
      </w:r>
    </w:p>
    <w:p w14:paraId="258E1C6A" w14:textId="77777777" w:rsidR="00872C03" w:rsidRPr="00883399" w:rsidRDefault="00872C03" w:rsidP="00872C03">
      <w:pPr>
        <w:pStyle w:val="paragraph"/>
        <w:rPr>
          <w:sz w:val="24"/>
        </w:rPr>
      </w:pPr>
      <w:r w:rsidRPr="00883399">
        <w:rPr>
          <w:sz w:val="24"/>
        </w:rPr>
        <w:tab/>
        <w:t>(b)</w:t>
      </w:r>
      <w:r w:rsidRPr="00883399">
        <w:rPr>
          <w:sz w:val="24"/>
        </w:rPr>
        <w:tab/>
        <w:t>method 2 under section 4.77;</w:t>
      </w:r>
    </w:p>
    <w:p w14:paraId="57E4D5C3" w14:textId="77777777" w:rsidR="00872C03" w:rsidRPr="00883399" w:rsidRDefault="00872C03" w:rsidP="00872C03">
      <w:pPr>
        <w:pStyle w:val="paragraph"/>
        <w:rPr>
          <w:sz w:val="24"/>
        </w:rPr>
      </w:pPr>
      <w:r w:rsidRPr="00883399">
        <w:rPr>
          <w:sz w:val="24"/>
        </w:rPr>
        <w:tab/>
        <w:t>(c)</w:t>
      </w:r>
      <w:r w:rsidRPr="00883399">
        <w:rPr>
          <w:sz w:val="24"/>
        </w:rPr>
        <w:tab/>
        <w:t>method 3 under section 4.78;</w:t>
      </w:r>
    </w:p>
    <w:p w14:paraId="00E99015" w14:textId="77777777" w:rsidR="00872C03" w:rsidRPr="00883399" w:rsidRDefault="00872C03" w:rsidP="00872C03">
      <w:pPr>
        <w:pStyle w:val="paragraph"/>
        <w:rPr>
          <w:sz w:val="24"/>
        </w:rPr>
      </w:pPr>
      <w:r w:rsidRPr="00883399">
        <w:rPr>
          <w:sz w:val="24"/>
        </w:rPr>
        <w:tab/>
        <w:t>(d)</w:t>
      </w:r>
      <w:r w:rsidRPr="00883399">
        <w:rPr>
          <w:sz w:val="24"/>
        </w:rPr>
        <w:tab/>
        <w:t>method 4 under Part 1.3.</w:t>
      </w:r>
    </w:p>
    <w:p w14:paraId="1B491ADF" w14:textId="77777777" w:rsidR="00872C03" w:rsidRPr="00883399" w:rsidRDefault="00872C03" w:rsidP="00872C03">
      <w:pPr>
        <w:pStyle w:val="subsection"/>
        <w:rPr>
          <w:sz w:val="24"/>
        </w:rPr>
      </w:pPr>
      <w:r w:rsidRPr="00883399">
        <w:rPr>
          <w:sz w:val="24"/>
        </w:rPr>
        <w:tab/>
        <w:t>(2)</w:t>
      </w:r>
      <w:r w:rsidRPr="00883399">
        <w:rPr>
          <w:sz w:val="24"/>
        </w:rPr>
        <w:tab/>
        <w:t>However, for incidental emissions another method may be used that is consistent with the principles in section 1.13.</w:t>
      </w:r>
    </w:p>
    <w:p w14:paraId="5E989B0D" w14:textId="77777777" w:rsidR="006E1310" w:rsidRPr="00883399" w:rsidRDefault="006E1310" w:rsidP="00872C03">
      <w:pPr>
        <w:pStyle w:val="subsection"/>
        <w:rPr>
          <w:sz w:val="24"/>
        </w:rPr>
      </w:pPr>
    </w:p>
    <w:p w14:paraId="1F81365A" w14:textId="77777777" w:rsidR="005033AE" w:rsidRPr="00883399" w:rsidRDefault="005033AE" w:rsidP="00872C03">
      <w:pPr>
        <w:pStyle w:val="subsection"/>
        <w:rPr>
          <w:sz w:val="24"/>
        </w:rPr>
      </w:pPr>
    </w:p>
    <w:p w14:paraId="3B0ED6CA" w14:textId="77777777" w:rsidR="005033AE" w:rsidRPr="00883399" w:rsidRDefault="005033AE" w:rsidP="00872C03">
      <w:pPr>
        <w:pStyle w:val="subsection"/>
        <w:rPr>
          <w:sz w:val="24"/>
        </w:rPr>
      </w:pPr>
    </w:p>
    <w:p w14:paraId="4352D0C9" w14:textId="77777777" w:rsidR="005033AE" w:rsidRPr="00883399" w:rsidRDefault="005033AE" w:rsidP="00872C03">
      <w:pPr>
        <w:pStyle w:val="subsection"/>
        <w:rPr>
          <w:sz w:val="24"/>
        </w:rPr>
      </w:pPr>
    </w:p>
    <w:p w14:paraId="5B207AD8" w14:textId="77777777" w:rsidR="005033AE" w:rsidRPr="00883399" w:rsidRDefault="005033AE" w:rsidP="00872C03">
      <w:pPr>
        <w:pStyle w:val="subsection"/>
        <w:rPr>
          <w:sz w:val="24"/>
        </w:rPr>
      </w:pPr>
    </w:p>
    <w:p w14:paraId="0815A9C8" w14:textId="77777777" w:rsidR="006E1310" w:rsidRPr="00883399" w:rsidRDefault="006E1310" w:rsidP="006E1310">
      <w:pPr>
        <w:pStyle w:val="R2"/>
        <w:ind w:hanging="62"/>
        <w:rPr>
          <w:b/>
        </w:rPr>
      </w:pPr>
      <w:r w:rsidRPr="00883399">
        <w:rPr>
          <w:b/>
        </w:rPr>
        <w:t>Available methods, for estimating emissions from aluminium involving the consumption of baked carbon anodes, by emissions of gas type (j)</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1919"/>
        <w:gridCol w:w="1629"/>
        <w:gridCol w:w="1528"/>
      </w:tblGrid>
      <w:tr w:rsidR="006E1310" w:rsidRPr="00883399" w14:paraId="0356C8ED" w14:textId="77777777" w:rsidTr="0031057E">
        <w:tc>
          <w:tcPr>
            <w:tcW w:w="2349" w:type="dxa"/>
            <w:shd w:val="clear" w:color="auto" w:fill="E6E6E6"/>
          </w:tcPr>
          <w:p w14:paraId="421F140E" w14:textId="77777777" w:rsidR="006E1310" w:rsidRPr="00883399" w:rsidRDefault="006E1310" w:rsidP="0031057E">
            <w:pPr>
              <w:pStyle w:val="Text"/>
            </w:pPr>
          </w:p>
        </w:tc>
        <w:tc>
          <w:tcPr>
            <w:tcW w:w="1971" w:type="dxa"/>
            <w:shd w:val="clear" w:color="auto" w:fill="E6E6E6"/>
          </w:tcPr>
          <w:p w14:paraId="3D5131FB" w14:textId="77777777" w:rsidR="006E1310" w:rsidRPr="00883399" w:rsidRDefault="006E1310" w:rsidP="0031057E">
            <w:pPr>
              <w:pStyle w:val="Text"/>
            </w:pPr>
            <w:r w:rsidRPr="00883399">
              <w:t>CO</w:t>
            </w:r>
            <w:r w:rsidRPr="00883399">
              <w:rPr>
                <w:vertAlign w:val="subscript"/>
              </w:rPr>
              <w:t>2</w:t>
            </w:r>
          </w:p>
        </w:tc>
        <w:tc>
          <w:tcPr>
            <w:tcW w:w="1680" w:type="dxa"/>
            <w:shd w:val="clear" w:color="auto" w:fill="E6E6E6"/>
          </w:tcPr>
          <w:p w14:paraId="6EF73C4D" w14:textId="77777777" w:rsidR="006E1310" w:rsidRPr="00883399" w:rsidRDefault="006E1310" w:rsidP="0031057E">
            <w:pPr>
              <w:pStyle w:val="Text"/>
            </w:pPr>
            <w:r w:rsidRPr="00883399">
              <w:t>CH</w:t>
            </w:r>
            <w:r w:rsidRPr="00883399">
              <w:rPr>
                <w:vertAlign w:val="subscript"/>
              </w:rPr>
              <w:t>4</w:t>
            </w:r>
          </w:p>
        </w:tc>
        <w:tc>
          <w:tcPr>
            <w:tcW w:w="1574" w:type="dxa"/>
            <w:shd w:val="clear" w:color="auto" w:fill="E6E6E6"/>
          </w:tcPr>
          <w:p w14:paraId="1DD1592D" w14:textId="77777777" w:rsidR="006E1310" w:rsidRPr="00883399" w:rsidRDefault="006E1310" w:rsidP="0031057E">
            <w:pPr>
              <w:pStyle w:val="Text"/>
            </w:pPr>
            <w:r w:rsidRPr="00883399">
              <w:t>N</w:t>
            </w:r>
            <w:r w:rsidRPr="00883399">
              <w:rPr>
                <w:vertAlign w:val="subscript"/>
              </w:rPr>
              <w:t>2</w:t>
            </w:r>
            <w:r w:rsidRPr="00883399">
              <w:t>O</w:t>
            </w:r>
          </w:p>
        </w:tc>
      </w:tr>
      <w:tr w:rsidR="006E1310" w:rsidRPr="00883399" w14:paraId="504E4BB9" w14:textId="77777777" w:rsidTr="0031057E">
        <w:tc>
          <w:tcPr>
            <w:tcW w:w="2349" w:type="dxa"/>
          </w:tcPr>
          <w:p w14:paraId="3366DAB4" w14:textId="77777777" w:rsidR="006E1310" w:rsidRPr="00883399" w:rsidRDefault="006E1310" w:rsidP="0031057E">
            <w:pPr>
              <w:pStyle w:val="Text"/>
              <w:spacing w:before="120" w:line="240" w:lineRule="auto"/>
              <w:rPr>
                <w:i/>
              </w:rPr>
            </w:pPr>
            <w:r w:rsidRPr="00883399">
              <w:t>Method 1</w:t>
            </w:r>
          </w:p>
        </w:tc>
        <w:tc>
          <w:tcPr>
            <w:tcW w:w="1971" w:type="dxa"/>
          </w:tcPr>
          <w:p w14:paraId="0BE1047C" w14:textId="77777777" w:rsidR="006E1310" w:rsidRPr="00883399" w:rsidRDefault="006E1310" w:rsidP="0031057E">
            <w:pPr>
              <w:pStyle w:val="Text"/>
              <w:spacing w:before="120" w:line="240" w:lineRule="auto"/>
            </w:pPr>
            <w:r w:rsidRPr="00883399">
              <w:t>Section 4.76</w:t>
            </w:r>
          </w:p>
        </w:tc>
        <w:tc>
          <w:tcPr>
            <w:tcW w:w="1680" w:type="dxa"/>
          </w:tcPr>
          <w:p w14:paraId="5275BB66" w14:textId="77777777" w:rsidR="006E1310" w:rsidRPr="00883399" w:rsidRDefault="006E1310" w:rsidP="0031057E">
            <w:pPr>
              <w:pStyle w:val="Text"/>
              <w:spacing w:before="120" w:line="240" w:lineRule="auto"/>
            </w:pPr>
            <w:r w:rsidRPr="00883399">
              <w:t>NO</w:t>
            </w:r>
          </w:p>
        </w:tc>
        <w:tc>
          <w:tcPr>
            <w:tcW w:w="1574" w:type="dxa"/>
          </w:tcPr>
          <w:p w14:paraId="09A3144C" w14:textId="77777777" w:rsidR="006E1310" w:rsidRPr="00883399" w:rsidRDefault="006E1310" w:rsidP="0031057E">
            <w:pPr>
              <w:pStyle w:val="Text"/>
              <w:spacing w:before="120" w:line="240" w:lineRule="auto"/>
            </w:pPr>
            <w:r w:rsidRPr="00883399">
              <w:t>NO</w:t>
            </w:r>
          </w:p>
        </w:tc>
      </w:tr>
      <w:tr w:rsidR="006E1310" w:rsidRPr="00883399" w14:paraId="45DADC8D" w14:textId="77777777" w:rsidTr="0031057E">
        <w:tc>
          <w:tcPr>
            <w:tcW w:w="2349" w:type="dxa"/>
          </w:tcPr>
          <w:p w14:paraId="66BBE72C" w14:textId="77777777" w:rsidR="006E1310" w:rsidRPr="00883399" w:rsidRDefault="006E1310" w:rsidP="0031057E">
            <w:pPr>
              <w:pStyle w:val="Text"/>
              <w:spacing w:before="120" w:line="240" w:lineRule="auto"/>
            </w:pPr>
            <w:r w:rsidRPr="00883399">
              <w:t>Method 2</w:t>
            </w:r>
          </w:p>
        </w:tc>
        <w:tc>
          <w:tcPr>
            <w:tcW w:w="1971" w:type="dxa"/>
          </w:tcPr>
          <w:p w14:paraId="51A08390" w14:textId="77777777" w:rsidR="006E1310" w:rsidRPr="00883399" w:rsidRDefault="006E1310" w:rsidP="0031057E">
            <w:pPr>
              <w:pStyle w:val="Text"/>
              <w:spacing w:before="120" w:line="240" w:lineRule="auto"/>
            </w:pPr>
            <w:r w:rsidRPr="00883399">
              <w:t>Section 4.77</w:t>
            </w:r>
          </w:p>
        </w:tc>
        <w:tc>
          <w:tcPr>
            <w:tcW w:w="1680" w:type="dxa"/>
          </w:tcPr>
          <w:p w14:paraId="15E3F977" w14:textId="77777777" w:rsidR="006E1310" w:rsidRPr="00883399" w:rsidRDefault="006E1310" w:rsidP="0031057E">
            <w:pPr>
              <w:pStyle w:val="Text"/>
              <w:spacing w:before="120" w:line="240" w:lineRule="auto"/>
            </w:pPr>
            <w:r w:rsidRPr="00883399">
              <w:t>NO</w:t>
            </w:r>
          </w:p>
        </w:tc>
        <w:tc>
          <w:tcPr>
            <w:tcW w:w="1574" w:type="dxa"/>
          </w:tcPr>
          <w:p w14:paraId="65E60F03" w14:textId="77777777" w:rsidR="006E1310" w:rsidRPr="00883399" w:rsidRDefault="006E1310" w:rsidP="0031057E">
            <w:pPr>
              <w:pStyle w:val="Text"/>
              <w:spacing w:before="120" w:line="240" w:lineRule="auto"/>
            </w:pPr>
            <w:r w:rsidRPr="00883399">
              <w:t>NO</w:t>
            </w:r>
          </w:p>
        </w:tc>
      </w:tr>
      <w:tr w:rsidR="006E1310" w:rsidRPr="00883399" w14:paraId="0674AC7F" w14:textId="77777777" w:rsidTr="0031057E">
        <w:tc>
          <w:tcPr>
            <w:tcW w:w="2349" w:type="dxa"/>
          </w:tcPr>
          <w:p w14:paraId="784BEDBA" w14:textId="77777777" w:rsidR="006E1310" w:rsidRPr="00883399" w:rsidRDefault="006E1310" w:rsidP="0031057E">
            <w:pPr>
              <w:pStyle w:val="Text"/>
              <w:spacing w:before="120" w:line="240" w:lineRule="auto"/>
            </w:pPr>
            <w:r w:rsidRPr="00883399">
              <w:t>Method 3</w:t>
            </w:r>
          </w:p>
        </w:tc>
        <w:tc>
          <w:tcPr>
            <w:tcW w:w="1971" w:type="dxa"/>
          </w:tcPr>
          <w:p w14:paraId="13EBF6FA" w14:textId="77777777" w:rsidR="006E1310" w:rsidRPr="00883399" w:rsidRDefault="006E1310" w:rsidP="0031057E">
            <w:pPr>
              <w:pStyle w:val="Text"/>
              <w:spacing w:before="120" w:line="240" w:lineRule="auto"/>
            </w:pPr>
            <w:r w:rsidRPr="00883399">
              <w:t>Section 4.78</w:t>
            </w:r>
          </w:p>
        </w:tc>
        <w:tc>
          <w:tcPr>
            <w:tcW w:w="1680" w:type="dxa"/>
          </w:tcPr>
          <w:p w14:paraId="5E6E98C7" w14:textId="77777777" w:rsidR="006E1310" w:rsidRPr="00883399" w:rsidRDefault="006E1310" w:rsidP="0031057E">
            <w:pPr>
              <w:pStyle w:val="Text"/>
              <w:spacing w:before="120" w:line="240" w:lineRule="auto"/>
            </w:pPr>
            <w:r w:rsidRPr="00883399">
              <w:t>NO</w:t>
            </w:r>
          </w:p>
        </w:tc>
        <w:tc>
          <w:tcPr>
            <w:tcW w:w="1574" w:type="dxa"/>
          </w:tcPr>
          <w:p w14:paraId="53E800D4" w14:textId="77777777" w:rsidR="006E1310" w:rsidRPr="00883399" w:rsidRDefault="006E1310" w:rsidP="0031057E">
            <w:pPr>
              <w:pStyle w:val="Text"/>
              <w:spacing w:before="120" w:line="240" w:lineRule="auto"/>
            </w:pPr>
            <w:r w:rsidRPr="00883399">
              <w:t>NO</w:t>
            </w:r>
          </w:p>
        </w:tc>
      </w:tr>
      <w:tr w:rsidR="006E1310" w:rsidRPr="00883399" w14:paraId="08896ABA" w14:textId="77777777" w:rsidTr="0031057E">
        <w:tc>
          <w:tcPr>
            <w:tcW w:w="2349" w:type="dxa"/>
          </w:tcPr>
          <w:p w14:paraId="450A31B1" w14:textId="77777777" w:rsidR="006E1310" w:rsidRPr="00883399" w:rsidRDefault="006E1310" w:rsidP="0031057E">
            <w:pPr>
              <w:pStyle w:val="Text"/>
              <w:spacing w:before="120" w:line="240" w:lineRule="auto"/>
            </w:pPr>
            <w:r w:rsidRPr="00883399">
              <w:t>Method 4</w:t>
            </w:r>
          </w:p>
        </w:tc>
        <w:tc>
          <w:tcPr>
            <w:tcW w:w="1971" w:type="dxa"/>
          </w:tcPr>
          <w:p w14:paraId="33213DED" w14:textId="77777777" w:rsidR="006E1310" w:rsidRPr="00883399" w:rsidRDefault="006E1310" w:rsidP="0031057E">
            <w:pPr>
              <w:pStyle w:val="Text"/>
              <w:spacing w:before="120" w:line="240" w:lineRule="auto"/>
            </w:pPr>
            <w:r w:rsidRPr="00883399">
              <w:t>Method 4 under Part 1.3</w:t>
            </w:r>
          </w:p>
        </w:tc>
        <w:tc>
          <w:tcPr>
            <w:tcW w:w="1680" w:type="dxa"/>
          </w:tcPr>
          <w:p w14:paraId="1D5172C9" w14:textId="77777777" w:rsidR="006E1310" w:rsidRPr="00883399" w:rsidRDefault="006E1310" w:rsidP="0031057E">
            <w:pPr>
              <w:pStyle w:val="Text"/>
              <w:spacing w:before="120" w:line="240" w:lineRule="auto"/>
            </w:pPr>
            <w:r w:rsidRPr="00883399">
              <w:t>NO</w:t>
            </w:r>
          </w:p>
        </w:tc>
        <w:tc>
          <w:tcPr>
            <w:tcW w:w="1574" w:type="dxa"/>
          </w:tcPr>
          <w:p w14:paraId="58AD39A6" w14:textId="77777777" w:rsidR="006E1310" w:rsidRPr="00883399" w:rsidRDefault="006E1310" w:rsidP="0031057E">
            <w:pPr>
              <w:pStyle w:val="Text"/>
              <w:spacing w:before="120" w:line="240" w:lineRule="auto"/>
            </w:pPr>
            <w:r w:rsidRPr="00883399">
              <w:t>NO</w:t>
            </w:r>
          </w:p>
        </w:tc>
      </w:tr>
    </w:tbl>
    <w:p w14:paraId="1AD017BF" w14:textId="77777777" w:rsidR="006E1310" w:rsidRPr="00883399" w:rsidRDefault="006E1310" w:rsidP="006E1310">
      <w:pPr>
        <w:pStyle w:val="R2"/>
        <w:ind w:hanging="62"/>
        <w:rPr>
          <w:sz w:val="20"/>
          <w:szCs w:val="20"/>
        </w:rPr>
      </w:pPr>
      <w:r w:rsidRPr="00883399">
        <w:rPr>
          <w:sz w:val="20"/>
          <w:szCs w:val="20"/>
        </w:rPr>
        <w:t>NA = Not available. NO = Not occurring.</w:t>
      </w:r>
    </w:p>
    <w:p w14:paraId="3C2BBA60" w14:textId="77777777" w:rsidR="006E1310" w:rsidRPr="00883399" w:rsidRDefault="006E1310" w:rsidP="00872C03">
      <w:pPr>
        <w:pStyle w:val="subsection"/>
        <w:rPr>
          <w:sz w:val="24"/>
        </w:rPr>
      </w:pPr>
    </w:p>
    <w:p w14:paraId="7499D35B" w14:textId="320C4613" w:rsidR="00872C03" w:rsidRPr="00883399" w:rsidRDefault="00872C03" w:rsidP="00872C03">
      <w:pPr>
        <w:pStyle w:val="ActHead5"/>
        <w:rPr>
          <w:sz w:val="28"/>
        </w:rPr>
      </w:pPr>
      <w:bookmarkStart w:id="992" w:name="_Toc423517092"/>
      <w:bookmarkStart w:id="993" w:name="_Toc495653024"/>
      <w:r w:rsidRPr="00883399">
        <w:rPr>
          <w:rStyle w:val="CharSectno"/>
          <w:sz w:val="28"/>
        </w:rPr>
        <w:t>4.76</w:t>
      </w:r>
      <w:r w:rsidRPr="00883399">
        <w:rPr>
          <w:sz w:val="28"/>
        </w:rPr>
        <w:t xml:space="preserve">  Method 1—aluminium (carbon anode consumption)</w:t>
      </w:r>
      <w:bookmarkEnd w:id="992"/>
      <w:bookmarkEnd w:id="993"/>
    </w:p>
    <w:p w14:paraId="4C4E4C22" w14:textId="77777777" w:rsidR="00872C03" w:rsidRPr="00883399" w:rsidRDefault="00872C03" w:rsidP="00872C03">
      <w:pPr>
        <w:pStyle w:val="subsection"/>
        <w:rPr>
          <w:sz w:val="24"/>
        </w:rPr>
      </w:pPr>
      <w:r w:rsidRPr="00883399">
        <w:rPr>
          <w:sz w:val="24"/>
        </w:rPr>
        <w:tab/>
      </w:r>
      <w:r w:rsidRPr="00883399">
        <w:rPr>
          <w:sz w:val="24"/>
        </w:rPr>
        <w:tab/>
        <w:t>Method 1 is:</w:t>
      </w:r>
    </w:p>
    <w:p w14:paraId="72CB9AC7" w14:textId="1F14BB33"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7F48DAB4" wp14:editId="28FB358F">
            <wp:extent cx="857250" cy="20002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p>
    <w:p w14:paraId="07FDA9C0" w14:textId="77777777" w:rsidR="00872C03" w:rsidRPr="00883399" w:rsidRDefault="00872C03" w:rsidP="00872C03">
      <w:pPr>
        <w:pStyle w:val="subsection2"/>
        <w:rPr>
          <w:sz w:val="24"/>
        </w:rPr>
      </w:pPr>
      <w:r w:rsidRPr="00883399">
        <w:rPr>
          <w:sz w:val="24"/>
        </w:rPr>
        <w:t>where:</w:t>
      </w:r>
    </w:p>
    <w:p w14:paraId="2965DC21" w14:textId="77777777" w:rsidR="00872C03" w:rsidRPr="00883399" w:rsidRDefault="00872C03" w:rsidP="00872C03">
      <w:pPr>
        <w:pStyle w:val="Definition0"/>
        <w:rPr>
          <w:sz w:val="24"/>
        </w:rPr>
      </w:pPr>
      <w:r w:rsidRPr="00883399">
        <w:rPr>
          <w:b/>
          <w:i/>
          <w:sz w:val="24"/>
        </w:rPr>
        <w:t>E</w:t>
      </w:r>
      <w:r w:rsidRPr="00883399">
        <w:rPr>
          <w:rStyle w:val="charSubscript"/>
          <w:b/>
          <w:i/>
          <w:sz w:val="18"/>
          <w:szCs w:val="16"/>
        </w:rPr>
        <w:t>ij</w:t>
      </w:r>
      <w:r w:rsidRPr="00883399">
        <w:rPr>
          <w:b/>
          <w:i/>
          <w:sz w:val="24"/>
        </w:rPr>
        <w:t xml:space="preserve"> </w:t>
      </w:r>
      <w:r w:rsidRPr="00883399">
        <w:rPr>
          <w:sz w:val="24"/>
        </w:rPr>
        <w:t>is the emissions of carbon dioxide released from aluminium smelting and production involving the consumption of carbon anodes during the year measured in CO</w:t>
      </w:r>
      <w:r w:rsidRPr="00883399">
        <w:rPr>
          <w:sz w:val="24"/>
          <w:vertAlign w:val="subscript"/>
        </w:rPr>
        <w:t>2</w:t>
      </w:r>
      <w:r w:rsidRPr="00883399">
        <w:rPr>
          <w:sz w:val="24"/>
        </w:rPr>
        <w:noBreakHyphen/>
        <w:t>e tonnes.</w:t>
      </w:r>
    </w:p>
    <w:p w14:paraId="43BAAC5D" w14:textId="77777777" w:rsidR="00872C03" w:rsidRPr="00883399" w:rsidRDefault="00872C03" w:rsidP="00872C03">
      <w:pPr>
        <w:pStyle w:val="Definition0"/>
        <w:rPr>
          <w:sz w:val="24"/>
        </w:rPr>
      </w:pPr>
      <w:r w:rsidRPr="00883399">
        <w:rPr>
          <w:b/>
          <w:i/>
          <w:sz w:val="24"/>
        </w:rPr>
        <w:t>A</w:t>
      </w:r>
      <w:r w:rsidRPr="00883399">
        <w:rPr>
          <w:rStyle w:val="charSubscript"/>
          <w:b/>
          <w:i/>
          <w:sz w:val="22"/>
        </w:rPr>
        <w:t>i</w:t>
      </w:r>
      <w:r w:rsidRPr="00883399">
        <w:rPr>
          <w:b/>
          <w:i/>
          <w:sz w:val="24"/>
        </w:rPr>
        <w:t xml:space="preserve"> </w:t>
      </w:r>
      <w:r w:rsidRPr="00883399">
        <w:rPr>
          <w:sz w:val="24"/>
        </w:rPr>
        <w:t>is the amount of primary aluminium produced in tonnes during the year.</w:t>
      </w:r>
    </w:p>
    <w:p w14:paraId="6B734579" w14:textId="77777777" w:rsidR="00872C03" w:rsidRPr="00883399" w:rsidRDefault="00872C03" w:rsidP="00872C03">
      <w:pPr>
        <w:pStyle w:val="Definition0"/>
        <w:rPr>
          <w:sz w:val="24"/>
        </w:rPr>
      </w:pPr>
      <w:r w:rsidRPr="00883399">
        <w:rPr>
          <w:b/>
          <w:i/>
          <w:sz w:val="24"/>
        </w:rPr>
        <w:t>EF</w:t>
      </w:r>
      <w:r w:rsidRPr="00883399">
        <w:rPr>
          <w:rStyle w:val="charSubscript"/>
          <w:b/>
          <w:i/>
          <w:sz w:val="22"/>
        </w:rPr>
        <w:t>ij</w:t>
      </w:r>
      <w:r w:rsidRPr="00883399">
        <w:rPr>
          <w:b/>
          <w:i/>
          <w:sz w:val="24"/>
        </w:rPr>
        <w:t xml:space="preserve"> </w:t>
      </w:r>
      <w:r w:rsidRPr="00883399">
        <w:rPr>
          <w:sz w:val="24"/>
        </w:rPr>
        <w:t>is the carbon dioxide emission factor for carbon anode consumption, measured in CO</w:t>
      </w:r>
      <w:r w:rsidRPr="00883399">
        <w:rPr>
          <w:rStyle w:val="charSubscript"/>
          <w:sz w:val="22"/>
        </w:rPr>
        <w:t>2</w:t>
      </w:r>
      <w:r w:rsidRPr="00883399">
        <w:rPr>
          <w:sz w:val="24"/>
        </w:rPr>
        <w:noBreakHyphen/>
        <w:t>e tonnes for each tonne of aluminium produced during the year, estimated in accordance with the following formula:</w:t>
      </w:r>
    </w:p>
    <w:p w14:paraId="403D1D0E" w14:textId="07C9B2F3" w:rsidR="00872C03" w:rsidRPr="00883399" w:rsidRDefault="00872C03" w:rsidP="00872C03">
      <w:pPr>
        <w:pStyle w:val="Definition0"/>
        <w:spacing w:before="120" w:after="120"/>
        <w:rPr>
          <w:sz w:val="24"/>
        </w:rPr>
      </w:pPr>
      <w:r w:rsidRPr="00883399">
        <w:rPr>
          <w:noProof/>
          <w:sz w:val="24"/>
        </w:rPr>
        <w:drawing>
          <wp:inline distT="0" distB="0" distL="0" distR="0" wp14:anchorId="484286B1" wp14:editId="3B3602AD">
            <wp:extent cx="2826385" cy="427355"/>
            <wp:effectExtent l="1905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33"/>
                    <a:srcRect/>
                    <a:stretch>
                      <a:fillRect/>
                    </a:stretch>
                  </pic:blipFill>
                  <pic:spPr bwMode="auto">
                    <a:xfrm>
                      <a:off x="0" y="0"/>
                      <a:ext cx="2826385" cy="427355"/>
                    </a:xfrm>
                    <a:prstGeom prst="rect">
                      <a:avLst/>
                    </a:prstGeom>
                    <a:noFill/>
                    <a:ln w="9525">
                      <a:noFill/>
                      <a:miter lim="800000"/>
                      <a:headEnd/>
                      <a:tailEnd/>
                    </a:ln>
                  </pic:spPr>
                </pic:pic>
              </a:graphicData>
            </a:graphic>
          </wp:inline>
        </w:drawing>
      </w:r>
    </w:p>
    <w:p w14:paraId="039083B9" w14:textId="77777777" w:rsidR="00872C03" w:rsidRPr="00883399" w:rsidRDefault="00872C03" w:rsidP="00872C03">
      <w:pPr>
        <w:pStyle w:val="subsection2"/>
        <w:rPr>
          <w:sz w:val="24"/>
        </w:rPr>
      </w:pPr>
      <w:r w:rsidRPr="00883399">
        <w:rPr>
          <w:sz w:val="24"/>
        </w:rPr>
        <w:t>where:</w:t>
      </w:r>
    </w:p>
    <w:p w14:paraId="5A19F751" w14:textId="77777777" w:rsidR="00872C03" w:rsidRPr="00883399" w:rsidRDefault="00872C03" w:rsidP="00872C03">
      <w:pPr>
        <w:pStyle w:val="Definition0"/>
        <w:rPr>
          <w:sz w:val="24"/>
        </w:rPr>
      </w:pPr>
      <w:r w:rsidRPr="00883399">
        <w:rPr>
          <w:b/>
          <w:i/>
          <w:sz w:val="24"/>
        </w:rPr>
        <w:t xml:space="preserve">NAC </w:t>
      </w:r>
      <w:r w:rsidRPr="00883399">
        <w:rPr>
          <w:sz w:val="24"/>
        </w:rPr>
        <w:t>is the amount of carbon consumed from a carbon anode consumed in the production of aluminium during the year, worked out at the rate of 0.413 tonnes of carbon anode consumed for each tonne of aluminium produced.</w:t>
      </w:r>
    </w:p>
    <w:p w14:paraId="3131D796" w14:textId="77777777" w:rsidR="00872C03" w:rsidRPr="00883399" w:rsidRDefault="00872C03" w:rsidP="00872C03">
      <w:pPr>
        <w:pStyle w:val="Definition0"/>
        <w:rPr>
          <w:sz w:val="24"/>
        </w:rPr>
      </w:pPr>
      <w:r w:rsidRPr="00883399">
        <w:rPr>
          <w:b/>
          <w:bCs/>
          <w:i/>
          <w:iCs/>
          <w:sz w:val="24"/>
        </w:rPr>
        <w:t>S</w:t>
      </w:r>
      <w:r w:rsidRPr="00883399">
        <w:rPr>
          <w:b/>
          <w:bCs/>
          <w:i/>
          <w:iCs/>
          <w:sz w:val="24"/>
          <w:vertAlign w:val="subscript"/>
        </w:rPr>
        <w:t>a</w:t>
      </w:r>
      <w:r w:rsidRPr="00883399">
        <w:rPr>
          <w:b/>
          <w:i/>
          <w:sz w:val="24"/>
        </w:rPr>
        <w:t xml:space="preserve"> </w:t>
      </w:r>
      <w:r w:rsidRPr="00883399">
        <w:rPr>
          <w:sz w:val="24"/>
        </w:rPr>
        <w:t>is the mass of sulphur content in carbon anodes that is consumed in the production of aluminium during the year, expressed as a percentage of the mass of the carbon anodes, and is taken to be 2.</w:t>
      </w:r>
    </w:p>
    <w:p w14:paraId="60286451" w14:textId="77777777" w:rsidR="00872C03" w:rsidRPr="00883399" w:rsidRDefault="00872C03" w:rsidP="00872C03">
      <w:pPr>
        <w:pStyle w:val="Definition0"/>
        <w:rPr>
          <w:sz w:val="24"/>
        </w:rPr>
      </w:pPr>
      <w:r w:rsidRPr="00883399">
        <w:rPr>
          <w:b/>
          <w:bCs/>
          <w:i/>
          <w:iCs/>
          <w:sz w:val="24"/>
        </w:rPr>
        <w:lastRenderedPageBreak/>
        <w:t>Ash</w:t>
      </w:r>
      <w:r w:rsidRPr="00883399">
        <w:rPr>
          <w:rStyle w:val="charsubscript0"/>
          <w:b/>
          <w:bCs/>
          <w:i/>
          <w:iCs/>
          <w:sz w:val="24"/>
        </w:rPr>
        <w:t>a</w:t>
      </w:r>
      <w:r w:rsidRPr="00883399">
        <w:rPr>
          <w:b/>
          <w:i/>
          <w:sz w:val="24"/>
        </w:rPr>
        <w:t xml:space="preserve"> </w:t>
      </w:r>
      <w:r w:rsidRPr="00883399">
        <w:rPr>
          <w:sz w:val="24"/>
        </w:rPr>
        <w:t>is the mass of ash content in carbon anodes that is consumed in the production of aluminium during the year, expressed as a percentage of the mass of the carbon anodes, and is taken to be 0.4.</w:t>
      </w:r>
    </w:p>
    <w:p w14:paraId="089D5491" w14:textId="19D2D99B" w:rsidR="00872C03" w:rsidRPr="00883399" w:rsidRDefault="00872C03" w:rsidP="00872C03">
      <w:pPr>
        <w:pStyle w:val="ActHead5"/>
        <w:rPr>
          <w:sz w:val="28"/>
        </w:rPr>
      </w:pPr>
      <w:bookmarkStart w:id="994" w:name="_Toc423517093"/>
      <w:bookmarkStart w:id="995" w:name="_Toc495653025"/>
      <w:r w:rsidRPr="00883399">
        <w:rPr>
          <w:rStyle w:val="CharSectno"/>
          <w:sz w:val="28"/>
        </w:rPr>
        <w:t>4.77</w:t>
      </w:r>
      <w:r w:rsidRPr="00883399">
        <w:rPr>
          <w:sz w:val="28"/>
        </w:rPr>
        <w:t xml:space="preserve">  Method 2—aluminium (carbon anode consumption)</w:t>
      </w:r>
      <w:bookmarkEnd w:id="994"/>
      <w:bookmarkEnd w:id="995"/>
    </w:p>
    <w:p w14:paraId="16C1E9B0" w14:textId="77777777" w:rsidR="00872C03" w:rsidRPr="00883399" w:rsidRDefault="00872C03" w:rsidP="00872C03">
      <w:pPr>
        <w:pStyle w:val="subsection"/>
        <w:rPr>
          <w:sz w:val="24"/>
        </w:rPr>
      </w:pPr>
      <w:r w:rsidRPr="00883399">
        <w:rPr>
          <w:sz w:val="24"/>
        </w:rPr>
        <w:tab/>
        <w:t>(1)</w:t>
      </w:r>
      <w:r w:rsidRPr="00883399">
        <w:rPr>
          <w:sz w:val="24"/>
        </w:rPr>
        <w:tab/>
        <w:t>Subject to this section, method 2 is the same as method 1 under section 4.76.</w:t>
      </w:r>
    </w:p>
    <w:p w14:paraId="282EC275" w14:textId="77777777" w:rsidR="00872C03" w:rsidRPr="00883399" w:rsidRDefault="00872C03" w:rsidP="00872C03">
      <w:pPr>
        <w:pStyle w:val="subsection"/>
        <w:rPr>
          <w:sz w:val="24"/>
        </w:rPr>
      </w:pPr>
      <w:r w:rsidRPr="00883399">
        <w:rPr>
          <w:sz w:val="24"/>
        </w:rPr>
        <w:tab/>
        <w:t>(2)</w:t>
      </w:r>
      <w:r w:rsidRPr="00883399">
        <w:rPr>
          <w:sz w:val="24"/>
        </w:rPr>
        <w:tab/>
        <w:t>In applying method 1 under section 4.76, the method for sampling and analysing the fuel type (</w:t>
      </w:r>
      <w:r w:rsidRPr="00883399">
        <w:rPr>
          <w:b/>
          <w:i/>
          <w:sz w:val="24"/>
        </w:rPr>
        <w:t>i</w:t>
      </w:r>
      <w:r w:rsidRPr="00883399">
        <w:rPr>
          <w:sz w:val="24"/>
        </w:rPr>
        <w:t xml:space="preserve">) for the factors </w:t>
      </w:r>
      <w:r w:rsidRPr="00883399">
        <w:rPr>
          <w:b/>
          <w:i/>
          <w:sz w:val="24"/>
        </w:rPr>
        <w:t>NAC</w:t>
      </w:r>
      <w:r w:rsidRPr="00883399">
        <w:rPr>
          <w:sz w:val="24"/>
        </w:rPr>
        <w:t xml:space="preserve">, </w:t>
      </w:r>
      <w:r w:rsidRPr="00883399">
        <w:rPr>
          <w:b/>
          <w:i/>
          <w:sz w:val="24"/>
        </w:rPr>
        <w:t>S</w:t>
      </w:r>
      <w:r w:rsidRPr="00883399">
        <w:rPr>
          <w:b/>
          <w:i/>
          <w:sz w:val="24"/>
          <w:vertAlign w:val="subscript"/>
        </w:rPr>
        <w:t>a</w:t>
      </w:r>
      <w:r w:rsidRPr="00883399">
        <w:rPr>
          <w:sz w:val="24"/>
        </w:rPr>
        <w:t xml:space="preserve"> and </w:t>
      </w:r>
      <w:r w:rsidRPr="00883399">
        <w:rPr>
          <w:b/>
          <w:i/>
          <w:sz w:val="24"/>
        </w:rPr>
        <w:t>Ash</w:t>
      </w:r>
      <w:r w:rsidRPr="00883399">
        <w:rPr>
          <w:b/>
          <w:i/>
          <w:sz w:val="24"/>
          <w:vertAlign w:val="subscript"/>
        </w:rPr>
        <w:t>a</w:t>
      </w:r>
      <w:r w:rsidRPr="00883399">
        <w:rPr>
          <w:sz w:val="24"/>
        </w:rPr>
        <w:t xml:space="preserve"> must be determined by sampling and analysing the fuel type for sulphur and ash content, as the case may be, in accordance with:</w:t>
      </w:r>
    </w:p>
    <w:p w14:paraId="24E6BADA" w14:textId="77777777" w:rsidR="00872C03" w:rsidRPr="00883399" w:rsidRDefault="00872C03" w:rsidP="00872C03">
      <w:pPr>
        <w:pStyle w:val="paragraph"/>
        <w:rPr>
          <w:sz w:val="24"/>
        </w:rPr>
      </w:pPr>
      <w:r w:rsidRPr="00883399">
        <w:rPr>
          <w:sz w:val="24"/>
        </w:rPr>
        <w:tab/>
        <w:t>(a)</w:t>
      </w:r>
      <w:r w:rsidRPr="00883399">
        <w:rPr>
          <w:sz w:val="24"/>
        </w:rPr>
        <w:tab/>
        <w:t>for solid fuels—method 2 in Division 2.2.3; and</w:t>
      </w:r>
    </w:p>
    <w:p w14:paraId="429B0773" w14:textId="77777777" w:rsidR="00872C03" w:rsidRPr="00883399" w:rsidRDefault="00872C03" w:rsidP="00872C03">
      <w:pPr>
        <w:pStyle w:val="paragraph"/>
        <w:rPr>
          <w:sz w:val="24"/>
        </w:rPr>
      </w:pPr>
      <w:r w:rsidRPr="00883399">
        <w:rPr>
          <w:sz w:val="24"/>
        </w:rPr>
        <w:tab/>
        <w:t>(b)</w:t>
      </w:r>
      <w:r w:rsidRPr="00883399">
        <w:rPr>
          <w:sz w:val="24"/>
        </w:rPr>
        <w:tab/>
        <w:t>for gaseous fuels—method 2 in Division 2.3.3; and</w:t>
      </w:r>
    </w:p>
    <w:p w14:paraId="5079A0D7" w14:textId="77777777" w:rsidR="00872C03" w:rsidRPr="00883399" w:rsidRDefault="00872C03" w:rsidP="00872C03">
      <w:pPr>
        <w:pStyle w:val="paragraph"/>
        <w:rPr>
          <w:sz w:val="24"/>
        </w:rPr>
      </w:pPr>
      <w:r w:rsidRPr="00883399">
        <w:rPr>
          <w:sz w:val="24"/>
        </w:rPr>
        <w:tab/>
        <w:t>(c)</w:t>
      </w:r>
      <w:r w:rsidRPr="00883399">
        <w:rPr>
          <w:sz w:val="24"/>
        </w:rPr>
        <w:tab/>
        <w:t>for liquid fuels—method 2 in Division 2.4.3.</w:t>
      </w:r>
    </w:p>
    <w:p w14:paraId="651C3EAE" w14:textId="77777777" w:rsidR="00872C03" w:rsidRPr="00883399" w:rsidRDefault="00872C03" w:rsidP="00872C03">
      <w:pPr>
        <w:pStyle w:val="subsection"/>
        <w:rPr>
          <w:sz w:val="24"/>
        </w:rPr>
      </w:pPr>
      <w:r w:rsidRPr="00883399">
        <w:rPr>
          <w:sz w:val="24"/>
        </w:rPr>
        <w:tab/>
        <w:t>(3)</w:t>
      </w:r>
      <w:r w:rsidRPr="00883399">
        <w:rPr>
          <w:sz w:val="24"/>
        </w:rPr>
        <w:tab/>
        <w:t xml:space="preserve">However, in applying method 1 under section 4.76, the factor </w:t>
      </w:r>
      <w:r w:rsidRPr="00883399">
        <w:rPr>
          <w:b/>
          <w:bCs/>
          <w:i/>
          <w:iCs/>
          <w:sz w:val="24"/>
        </w:rPr>
        <w:t>S</w:t>
      </w:r>
      <w:r w:rsidRPr="00883399">
        <w:rPr>
          <w:b/>
          <w:bCs/>
          <w:i/>
          <w:iCs/>
          <w:sz w:val="24"/>
          <w:vertAlign w:val="subscript"/>
        </w:rPr>
        <w:t xml:space="preserve">a </w:t>
      </w:r>
      <w:r w:rsidRPr="00883399">
        <w:rPr>
          <w:sz w:val="24"/>
        </w:rPr>
        <w:t>may be the amount for the factor as mentioned in section 4.76.</w:t>
      </w:r>
    </w:p>
    <w:p w14:paraId="079D8C9B" w14:textId="77777777" w:rsidR="00872C03" w:rsidRPr="00883399" w:rsidRDefault="00872C03" w:rsidP="00872C03">
      <w:pPr>
        <w:pStyle w:val="subsection"/>
        <w:rPr>
          <w:sz w:val="24"/>
        </w:rPr>
      </w:pPr>
      <w:r w:rsidRPr="00883399">
        <w:rPr>
          <w:sz w:val="24"/>
        </w:rPr>
        <w:tab/>
        <w:t>(4)</w:t>
      </w:r>
      <w:r w:rsidRPr="00883399">
        <w:rPr>
          <w:sz w:val="24"/>
        </w:rPr>
        <w:tab/>
        <w:t xml:space="preserve">If the amount for the factor </w:t>
      </w:r>
      <w:r w:rsidRPr="00883399">
        <w:rPr>
          <w:b/>
          <w:bCs/>
          <w:i/>
          <w:iCs/>
          <w:sz w:val="24"/>
        </w:rPr>
        <w:t>S</w:t>
      </w:r>
      <w:r w:rsidRPr="00883399">
        <w:rPr>
          <w:b/>
          <w:bCs/>
          <w:i/>
          <w:iCs/>
          <w:sz w:val="24"/>
          <w:vertAlign w:val="subscript"/>
        </w:rPr>
        <w:t xml:space="preserve">a </w:t>
      </w:r>
      <w:r w:rsidRPr="00883399">
        <w:rPr>
          <w:sz w:val="24"/>
        </w:rPr>
        <w:t xml:space="preserve">as mentioned in section 4.76 is not used, then </w:t>
      </w:r>
      <w:r w:rsidRPr="00883399">
        <w:rPr>
          <w:b/>
          <w:bCs/>
          <w:i/>
          <w:iCs/>
          <w:sz w:val="24"/>
        </w:rPr>
        <w:t>S</w:t>
      </w:r>
      <w:r w:rsidRPr="00883399">
        <w:rPr>
          <w:b/>
          <w:bCs/>
          <w:i/>
          <w:iCs/>
          <w:sz w:val="24"/>
          <w:vertAlign w:val="subscript"/>
        </w:rPr>
        <w:t xml:space="preserve">a </w:t>
      </w:r>
      <w:r w:rsidRPr="00883399">
        <w:rPr>
          <w:sz w:val="24"/>
        </w:rPr>
        <w:t xml:space="preserve">must be determined by sampling and analysing the fuel type </w:t>
      </w:r>
      <w:r w:rsidRPr="00883399">
        <w:rPr>
          <w:b/>
          <w:i/>
          <w:sz w:val="24"/>
        </w:rPr>
        <w:t>(i)</w:t>
      </w:r>
      <w:r w:rsidRPr="00883399">
        <w:rPr>
          <w:sz w:val="24"/>
        </w:rPr>
        <w:t xml:space="preserve"> for sulphur content in accordance with subsection (2).</w:t>
      </w:r>
    </w:p>
    <w:p w14:paraId="4227BF4B" w14:textId="0E833238" w:rsidR="00872C03" w:rsidRPr="00883399" w:rsidRDefault="00872C03" w:rsidP="00872C03">
      <w:pPr>
        <w:pStyle w:val="ActHead5"/>
        <w:rPr>
          <w:sz w:val="28"/>
        </w:rPr>
      </w:pPr>
      <w:bookmarkStart w:id="996" w:name="_Toc423517094"/>
      <w:bookmarkStart w:id="997" w:name="_Toc495653026"/>
      <w:r w:rsidRPr="00883399">
        <w:rPr>
          <w:rStyle w:val="CharSectno"/>
          <w:sz w:val="28"/>
        </w:rPr>
        <w:t>4.78</w:t>
      </w:r>
      <w:r w:rsidRPr="00883399">
        <w:rPr>
          <w:sz w:val="28"/>
        </w:rPr>
        <w:t xml:space="preserve">  Method 3—aluminium (carbon anode consumption)</w:t>
      </w:r>
      <w:bookmarkEnd w:id="996"/>
      <w:bookmarkEnd w:id="997"/>
    </w:p>
    <w:p w14:paraId="09E287CD" w14:textId="77777777" w:rsidR="00872C03" w:rsidRPr="00883399" w:rsidRDefault="00872C03" w:rsidP="00872C03">
      <w:pPr>
        <w:pStyle w:val="subsection"/>
        <w:rPr>
          <w:sz w:val="24"/>
        </w:rPr>
      </w:pPr>
      <w:r w:rsidRPr="00883399">
        <w:rPr>
          <w:sz w:val="24"/>
        </w:rPr>
        <w:tab/>
        <w:t>(1)</w:t>
      </w:r>
      <w:r w:rsidRPr="00883399">
        <w:rPr>
          <w:sz w:val="24"/>
        </w:rPr>
        <w:tab/>
        <w:t>Subject to this section, method 3 is the same as method 1 under section 4.76.</w:t>
      </w:r>
    </w:p>
    <w:p w14:paraId="528077FF" w14:textId="77777777" w:rsidR="00872C03" w:rsidRPr="00883399" w:rsidRDefault="00872C03" w:rsidP="00872C03">
      <w:pPr>
        <w:pStyle w:val="subsection"/>
        <w:rPr>
          <w:sz w:val="24"/>
        </w:rPr>
      </w:pPr>
      <w:r w:rsidRPr="00883399">
        <w:rPr>
          <w:sz w:val="24"/>
        </w:rPr>
        <w:tab/>
        <w:t>(2)</w:t>
      </w:r>
      <w:r w:rsidRPr="00883399">
        <w:rPr>
          <w:sz w:val="24"/>
        </w:rPr>
        <w:tab/>
        <w:t>In applying method 1 under section 4.76, the method for sampling and analysing fuel type (</w:t>
      </w:r>
      <w:r w:rsidRPr="00883399">
        <w:rPr>
          <w:b/>
          <w:i/>
          <w:sz w:val="24"/>
        </w:rPr>
        <w:t>i</w:t>
      </w:r>
      <w:r w:rsidRPr="00883399">
        <w:rPr>
          <w:sz w:val="24"/>
        </w:rPr>
        <w:t xml:space="preserve">) for the factors </w:t>
      </w:r>
      <w:r w:rsidRPr="00883399">
        <w:rPr>
          <w:b/>
          <w:i/>
          <w:sz w:val="24"/>
        </w:rPr>
        <w:t>NAC</w:t>
      </w:r>
      <w:r w:rsidRPr="00883399">
        <w:rPr>
          <w:sz w:val="24"/>
        </w:rPr>
        <w:t xml:space="preserve">, </w:t>
      </w:r>
      <w:r w:rsidRPr="00883399">
        <w:rPr>
          <w:b/>
          <w:i/>
          <w:sz w:val="24"/>
        </w:rPr>
        <w:t>S</w:t>
      </w:r>
      <w:r w:rsidRPr="00883399">
        <w:rPr>
          <w:b/>
          <w:i/>
          <w:sz w:val="24"/>
          <w:vertAlign w:val="subscript"/>
        </w:rPr>
        <w:t>a</w:t>
      </w:r>
      <w:r w:rsidRPr="00883399">
        <w:rPr>
          <w:sz w:val="24"/>
        </w:rPr>
        <w:t xml:space="preserve"> and </w:t>
      </w:r>
      <w:r w:rsidRPr="00883399">
        <w:rPr>
          <w:b/>
          <w:i/>
          <w:sz w:val="24"/>
        </w:rPr>
        <w:t>Ash</w:t>
      </w:r>
      <w:r w:rsidRPr="00883399">
        <w:rPr>
          <w:b/>
          <w:i/>
          <w:sz w:val="24"/>
          <w:vertAlign w:val="subscript"/>
        </w:rPr>
        <w:t>a</w:t>
      </w:r>
      <w:r w:rsidRPr="00883399">
        <w:rPr>
          <w:sz w:val="24"/>
        </w:rPr>
        <w:t xml:space="preserve"> must be determined by sampling and analysing the fuel type for sulphur and ash content, as the case may be, in accordance with:</w:t>
      </w:r>
    </w:p>
    <w:p w14:paraId="25885824" w14:textId="77777777" w:rsidR="00872C03" w:rsidRPr="00883399" w:rsidRDefault="00872C03" w:rsidP="00872C03">
      <w:pPr>
        <w:pStyle w:val="paragraph"/>
        <w:rPr>
          <w:sz w:val="24"/>
        </w:rPr>
      </w:pPr>
      <w:r w:rsidRPr="00883399">
        <w:rPr>
          <w:sz w:val="24"/>
        </w:rPr>
        <w:tab/>
        <w:t>(a)</w:t>
      </w:r>
      <w:r w:rsidRPr="00883399">
        <w:rPr>
          <w:sz w:val="24"/>
        </w:rPr>
        <w:tab/>
        <w:t>for solid fuels—method 3 in Division 2.2.4; and</w:t>
      </w:r>
    </w:p>
    <w:p w14:paraId="7AAA2322" w14:textId="77777777" w:rsidR="00872C03" w:rsidRPr="00883399" w:rsidRDefault="00872C03" w:rsidP="00872C03">
      <w:pPr>
        <w:pStyle w:val="paragraph"/>
        <w:rPr>
          <w:sz w:val="24"/>
        </w:rPr>
      </w:pPr>
      <w:r w:rsidRPr="00883399">
        <w:rPr>
          <w:sz w:val="24"/>
        </w:rPr>
        <w:tab/>
        <w:t>(b)</w:t>
      </w:r>
      <w:r w:rsidRPr="00883399">
        <w:rPr>
          <w:sz w:val="24"/>
        </w:rPr>
        <w:tab/>
        <w:t>for gaseous fuels—method 3 in Division 2.3.4; and</w:t>
      </w:r>
    </w:p>
    <w:p w14:paraId="6C12C92F" w14:textId="77777777" w:rsidR="00872C03" w:rsidRPr="00883399" w:rsidRDefault="00872C03" w:rsidP="00872C03">
      <w:pPr>
        <w:pStyle w:val="paragraph"/>
        <w:rPr>
          <w:sz w:val="24"/>
        </w:rPr>
      </w:pPr>
      <w:r w:rsidRPr="00883399">
        <w:rPr>
          <w:sz w:val="24"/>
        </w:rPr>
        <w:tab/>
        <w:t>(c)</w:t>
      </w:r>
      <w:r w:rsidRPr="00883399">
        <w:rPr>
          <w:sz w:val="24"/>
        </w:rPr>
        <w:tab/>
        <w:t>for liquid fuels—method 3 in Division 2.4.4.</w:t>
      </w:r>
    </w:p>
    <w:p w14:paraId="27BCF767" w14:textId="1D174E19" w:rsidR="00872C03" w:rsidRPr="00883399" w:rsidRDefault="00872C03" w:rsidP="00872C03">
      <w:pPr>
        <w:pStyle w:val="ActHead4"/>
        <w:rPr>
          <w:sz w:val="28"/>
        </w:rPr>
      </w:pPr>
      <w:bookmarkStart w:id="998" w:name="_Toc423517095"/>
      <w:bookmarkStart w:id="999" w:name="_Toc495653027"/>
      <w:r w:rsidRPr="00883399">
        <w:rPr>
          <w:rStyle w:val="CharSubdNo"/>
          <w:sz w:val="28"/>
        </w:rPr>
        <w:t>Subdivision 4.4.3.2</w:t>
      </w:r>
      <w:r w:rsidRPr="00883399">
        <w:rPr>
          <w:sz w:val="28"/>
        </w:rPr>
        <w:t>—</w:t>
      </w:r>
      <w:r w:rsidRPr="00883399">
        <w:rPr>
          <w:rStyle w:val="CharSubdText"/>
          <w:sz w:val="28"/>
        </w:rPr>
        <w:t>Aluminium—emissions from production of baked carbon anodes in aluminium production</w:t>
      </w:r>
      <w:bookmarkEnd w:id="998"/>
      <w:bookmarkEnd w:id="999"/>
    </w:p>
    <w:p w14:paraId="176BF07B" w14:textId="16F8A9F1" w:rsidR="00872C03" w:rsidRPr="00883399" w:rsidRDefault="00872C03" w:rsidP="00872C03">
      <w:pPr>
        <w:pStyle w:val="ActHead5"/>
        <w:rPr>
          <w:sz w:val="28"/>
        </w:rPr>
      </w:pPr>
      <w:bookmarkStart w:id="1000" w:name="_Toc423517096"/>
      <w:bookmarkStart w:id="1001" w:name="_Toc495653028"/>
      <w:r w:rsidRPr="00883399">
        <w:rPr>
          <w:rStyle w:val="CharSectno"/>
          <w:sz w:val="28"/>
        </w:rPr>
        <w:t>4.79</w:t>
      </w:r>
      <w:r w:rsidRPr="00883399">
        <w:rPr>
          <w:sz w:val="28"/>
        </w:rPr>
        <w:t xml:space="preserve">  Available methods</w:t>
      </w:r>
      <w:bookmarkEnd w:id="1000"/>
      <w:bookmarkEnd w:id="1001"/>
    </w:p>
    <w:p w14:paraId="22F54BCB" w14:textId="77777777" w:rsidR="00872C03" w:rsidRPr="00883399" w:rsidRDefault="00872C03" w:rsidP="00872C03">
      <w:pPr>
        <w:pStyle w:val="subsection"/>
        <w:rPr>
          <w:sz w:val="24"/>
        </w:rPr>
      </w:pPr>
      <w:r w:rsidRPr="00883399">
        <w:rPr>
          <w:sz w:val="24"/>
        </w:rPr>
        <w:tab/>
        <w:t>(1)</w:t>
      </w:r>
      <w:r w:rsidRPr="00883399">
        <w:rPr>
          <w:sz w:val="24"/>
        </w:rPr>
        <w:tab/>
        <w:t xml:space="preserve">Subject to section 1.18, for estimating emissions of carbon dioxide released during a year from the operation of a facility that is constituted by </w:t>
      </w:r>
      <w:r w:rsidRPr="00883399">
        <w:rPr>
          <w:sz w:val="24"/>
        </w:rPr>
        <w:lastRenderedPageBreak/>
        <w:t>the production of aluminium involving the production of baked carbon anodes, one of the following methods must be used:</w:t>
      </w:r>
    </w:p>
    <w:p w14:paraId="37696B8F" w14:textId="77777777" w:rsidR="00872C03" w:rsidRPr="00883399" w:rsidRDefault="00872C03" w:rsidP="00872C03">
      <w:pPr>
        <w:pStyle w:val="paragraph"/>
        <w:rPr>
          <w:sz w:val="24"/>
        </w:rPr>
      </w:pPr>
      <w:r w:rsidRPr="00883399">
        <w:rPr>
          <w:sz w:val="24"/>
        </w:rPr>
        <w:tab/>
        <w:t>(a)</w:t>
      </w:r>
      <w:r w:rsidRPr="00883399">
        <w:rPr>
          <w:sz w:val="24"/>
        </w:rPr>
        <w:tab/>
        <w:t>method 1 under section 4.80;</w:t>
      </w:r>
    </w:p>
    <w:p w14:paraId="62502B5B" w14:textId="77777777" w:rsidR="00872C03" w:rsidRPr="00883399" w:rsidRDefault="00872C03" w:rsidP="00872C03">
      <w:pPr>
        <w:pStyle w:val="paragraph"/>
        <w:rPr>
          <w:sz w:val="24"/>
        </w:rPr>
      </w:pPr>
      <w:r w:rsidRPr="00883399">
        <w:rPr>
          <w:sz w:val="24"/>
        </w:rPr>
        <w:tab/>
        <w:t>(b)</w:t>
      </w:r>
      <w:r w:rsidRPr="00883399">
        <w:rPr>
          <w:sz w:val="24"/>
        </w:rPr>
        <w:tab/>
        <w:t>method 2 under section 4.81;</w:t>
      </w:r>
    </w:p>
    <w:p w14:paraId="389C3D2B" w14:textId="77777777" w:rsidR="00872C03" w:rsidRPr="00883399" w:rsidRDefault="00872C03" w:rsidP="00872C03">
      <w:pPr>
        <w:pStyle w:val="paragraph"/>
        <w:rPr>
          <w:sz w:val="24"/>
        </w:rPr>
      </w:pPr>
      <w:r w:rsidRPr="00883399">
        <w:rPr>
          <w:sz w:val="24"/>
        </w:rPr>
        <w:tab/>
        <w:t>(c)</w:t>
      </w:r>
      <w:r w:rsidRPr="00883399">
        <w:rPr>
          <w:sz w:val="24"/>
        </w:rPr>
        <w:tab/>
        <w:t>method 3 under section 4.82;</w:t>
      </w:r>
    </w:p>
    <w:p w14:paraId="5CE35ECE" w14:textId="77777777" w:rsidR="00872C03" w:rsidRPr="00883399" w:rsidRDefault="00872C03" w:rsidP="00872C03">
      <w:pPr>
        <w:pStyle w:val="paragraph"/>
        <w:rPr>
          <w:sz w:val="24"/>
        </w:rPr>
      </w:pPr>
      <w:r w:rsidRPr="00883399">
        <w:rPr>
          <w:sz w:val="24"/>
        </w:rPr>
        <w:tab/>
        <w:t>(d)</w:t>
      </w:r>
      <w:r w:rsidRPr="00883399">
        <w:rPr>
          <w:sz w:val="24"/>
        </w:rPr>
        <w:tab/>
        <w:t>method 4 under Part 1.3.</w:t>
      </w:r>
    </w:p>
    <w:p w14:paraId="19B8E9EB" w14:textId="77777777" w:rsidR="00872C03" w:rsidRPr="00883399" w:rsidRDefault="00872C03" w:rsidP="00872C03">
      <w:pPr>
        <w:pStyle w:val="subsection"/>
        <w:rPr>
          <w:sz w:val="24"/>
        </w:rPr>
      </w:pPr>
      <w:r w:rsidRPr="00883399">
        <w:rPr>
          <w:sz w:val="24"/>
        </w:rPr>
        <w:tab/>
        <w:t>(2)</w:t>
      </w:r>
      <w:r w:rsidRPr="00883399">
        <w:rPr>
          <w:sz w:val="24"/>
        </w:rPr>
        <w:tab/>
        <w:t>However, for incidental emissions another method may be used that is consistent with the principles in section 1.13.</w:t>
      </w:r>
    </w:p>
    <w:p w14:paraId="65F2911E" w14:textId="77777777" w:rsidR="006E1310" w:rsidRPr="00883399" w:rsidRDefault="006E1310" w:rsidP="006E1310">
      <w:pPr>
        <w:pStyle w:val="R2"/>
        <w:keepNext/>
        <w:ind w:hanging="62"/>
        <w:rPr>
          <w:b/>
        </w:rPr>
      </w:pPr>
      <w:r w:rsidRPr="00883399">
        <w:rPr>
          <w:b/>
        </w:rPr>
        <w:t>Available methods, for estimating emissions from aluminium involving the production of baked carbon anodes, by emissions of gas type (j)</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1919"/>
        <w:gridCol w:w="1629"/>
        <w:gridCol w:w="1528"/>
      </w:tblGrid>
      <w:tr w:rsidR="006E1310" w:rsidRPr="00883399" w14:paraId="0DD6EE50" w14:textId="77777777" w:rsidTr="0031057E">
        <w:tc>
          <w:tcPr>
            <w:tcW w:w="2349" w:type="dxa"/>
            <w:shd w:val="clear" w:color="auto" w:fill="E6E6E6"/>
          </w:tcPr>
          <w:p w14:paraId="25B6274F" w14:textId="77777777" w:rsidR="006E1310" w:rsidRPr="00883399" w:rsidRDefault="006E1310" w:rsidP="0031057E">
            <w:pPr>
              <w:pStyle w:val="Text"/>
              <w:keepNext/>
            </w:pPr>
          </w:p>
        </w:tc>
        <w:tc>
          <w:tcPr>
            <w:tcW w:w="1971" w:type="dxa"/>
            <w:shd w:val="clear" w:color="auto" w:fill="E6E6E6"/>
          </w:tcPr>
          <w:p w14:paraId="580EBB65" w14:textId="77777777" w:rsidR="006E1310" w:rsidRPr="00883399" w:rsidRDefault="006E1310" w:rsidP="0031057E">
            <w:pPr>
              <w:pStyle w:val="Text"/>
              <w:keepNext/>
            </w:pPr>
            <w:r w:rsidRPr="00883399">
              <w:t>CO</w:t>
            </w:r>
            <w:r w:rsidRPr="00883399">
              <w:rPr>
                <w:vertAlign w:val="subscript"/>
              </w:rPr>
              <w:t>2</w:t>
            </w:r>
          </w:p>
        </w:tc>
        <w:tc>
          <w:tcPr>
            <w:tcW w:w="1680" w:type="dxa"/>
            <w:shd w:val="clear" w:color="auto" w:fill="E6E6E6"/>
          </w:tcPr>
          <w:p w14:paraId="4837E649" w14:textId="77777777" w:rsidR="006E1310" w:rsidRPr="00883399" w:rsidRDefault="006E1310" w:rsidP="0031057E">
            <w:pPr>
              <w:pStyle w:val="Text"/>
              <w:keepNext/>
            </w:pPr>
            <w:r w:rsidRPr="00883399">
              <w:t>CH</w:t>
            </w:r>
            <w:r w:rsidRPr="00883399">
              <w:rPr>
                <w:vertAlign w:val="subscript"/>
              </w:rPr>
              <w:t>4</w:t>
            </w:r>
          </w:p>
        </w:tc>
        <w:tc>
          <w:tcPr>
            <w:tcW w:w="1574" w:type="dxa"/>
            <w:shd w:val="clear" w:color="auto" w:fill="E6E6E6"/>
          </w:tcPr>
          <w:p w14:paraId="238A5B22" w14:textId="77777777" w:rsidR="006E1310" w:rsidRPr="00883399" w:rsidRDefault="006E1310" w:rsidP="0031057E">
            <w:pPr>
              <w:pStyle w:val="Text"/>
              <w:keepNext/>
            </w:pPr>
            <w:r w:rsidRPr="00883399">
              <w:t>N</w:t>
            </w:r>
            <w:r w:rsidRPr="00883399">
              <w:rPr>
                <w:vertAlign w:val="subscript"/>
              </w:rPr>
              <w:t>2</w:t>
            </w:r>
            <w:r w:rsidRPr="00883399">
              <w:t>O</w:t>
            </w:r>
          </w:p>
        </w:tc>
      </w:tr>
      <w:tr w:rsidR="006E1310" w:rsidRPr="00883399" w14:paraId="0DEC2EF3" w14:textId="77777777" w:rsidTr="0031057E">
        <w:tc>
          <w:tcPr>
            <w:tcW w:w="2349" w:type="dxa"/>
          </w:tcPr>
          <w:p w14:paraId="09812711" w14:textId="77777777" w:rsidR="006E1310" w:rsidRPr="00883399" w:rsidRDefault="006E1310" w:rsidP="0031057E">
            <w:pPr>
              <w:pStyle w:val="Text"/>
              <w:keepNext/>
              <w:spacing w:before="120" w:line="240" w:lineRule="auto"/>
              <w:rPr>
                <w:i/>
              </w:rPr>
            </w:pPr>
            <w:r w:rsidRPr="00883399">
              <w:t>Method 1</w:t>
            </w:r>
          </w:p>
        </w:tc>
        <w:tc>
          <w:tcPr>
            <w:tcW w:w="1971" w:type="dxa"/>
          </w:tcPr>
          <w:p w14:paraId="3AC46CE6" w14:textId="77777777" w:rsidR="006E1310" w:rsidRPr="00883399" w:rsidRDefault="006E1310" w:rsidP="0031057E">
            <w:pPr>
              <w:pStyle w:val="Text"/>
              <w:keepNext/>
              <w:spacing w:before="120" w:line="240" w:lineRule="auto"/>
            </w:pPr>
            <w:r w:rsidRPr="00883399">
              <w:t>Section 4.80</w:t>
            </w:r>
          </w:p>
        </w:tc>
        <w:tc>
          <w:tcPr>
            <w:tcW w:w="1680" w:type="dxa"/>
          </w:tcPr>
          <w:p w14:paraId="1C929676" w14:textId="77777777" w:rsidR="006E1310" w:rsidRPr="00883399" w:rsidRDefault="006E1310" w:rsidP="0031057E">
            <w:pPr>
              <w:pStyle w:val="Text"/>
              <w:keepNext/>
              <w:spacing w:before="120" w:line="240" w:lineRule="auto"/>
            </w:pPr>
            <w:r w:rsidRPr="00883399">
              <w:t>NO</w:t>
            </w:r>
          </w:p>
        </w:tc>
        <w:tc>
          <w:tcPr>
            <w:tcW w:w="1574" w:type="dxa"/>
          </w:tcPr>
          <w:p w14:paraId="3EA2FDB7" w14:textId="77777777" w:rsidR="006E1310" w:rsidRPr="00883399" w:rsidRDefault="006E1310" w:rsidP="0031057E">
            <w:pPr>
              <w:pStyle w:val="Text"/>
              <w:keepNext/>
              <w:spacing w:before="120" w:line="240" w:lineRule="auto"/>
            </w:pPr>
            <w:r w:rsidRPr="00883399">
              <w:t>NO</w:t>
            </w:r>
          </w:p>
        </w:tc>
      </w:tr>
      <w:tr w:rsidR="006E1310" w:rsidRPr="00883399" w14:paraId="4580AD63" w14:textId="77777777" w:rsidTr="0031057E">
        <w:tc>
          <w:tcPr>
            <w:tcW w:w="2349" w:type="dxa"/>
          </w:tcPr>
          <w:p w14:paraId="38D1CF1C" w14:textId="77777777" w:rsidR="006E1310" w:rsidRPr="00883399" w:rsidRDefault="006E1310" w:rsidP="0031057E">
            <w:pPr>
              <w:pStyle w:val="Text"/>
              <w:keepNext/>
              <w:spacing w:before="120" w:line="240" w:lineRule="auto"/>
            </w:pPr>
            <w:r w:rsidRPr="00883399">
              <w:t>Method 2</w:t>
            </w:r>
          </w:p>
        </w:tc>
        <w:tc>
          <w:tcPr>
            <w:tcW w:w="1971" w:type="dxa"/>
          </w:tcPr>
          <w:p w14:paraId="64032CCD" w14:textId="77777777" w:rsidR="006E1310" w:rsidRPr="00883399" w:rsidRDefault="006E1310" w:rsidP="0031057E">
            <w:pPr>
              <w:pStyle w:val="Text"/>
              <w:keepNext/>
              <w:spacing w:before="120" w:line="240" w:lineRule="auto"/>
            </w:pPr>
            <w:r w:rsidRPr="00883399">
              <w:t>Section 4.81</w:t>
            </w:r>
          </w:p>
        </w:tc>
        <w:tc>
          <w:tcPr>
            <w:tcW w:w="1680" w:type="dxa"/>
          </w:tcPr>
          <w:p w14:paraId="68DAA730" w14:textId="77777777" w:rsidR="006E1310" w:rsidRPr="00883399" w:rsidRDefault="006E1310" w:rsidP="0031057E">
            <w:pPr>
              <w:pStyle w:val="Text"/>
              <w:keepNext/>
              <w:spacing w:before="120" w:line="240" w:lineRule="auto"/>
            </w:pPr>
            <w:r w:rsidRPr="00883399">
              <w:t>NO</w:t>
            </w:r>
          </w:p>
        </w:tc>
        <w:tc>
          <w:tcPr>
            <w:tcW w:w="1574" w:type="dxa"/>
          </w:tcPr>
          <w:p w14:paraId="274CB9CD" w14:textId="77777777" w:rsidR="006E1310" w:rsidRPr="00883399" w:rsidRDefault="006E1310" w:rsidP="0031057E">
            <w:pPr>
              <w:pStyle w:val="Text"/>
              <w:keepNext/>
              <w:spacing w:before="120" w:line="240" w:lineRule="auto"/>
            </w:pPr>
            <w:r w:rsidRPr="00883399">
              <w:t>NO</w:t>
            </w:r>
          </w:p>
        </w:tc>
      </w:tr>
      <w:tr w:rsidR="006E1310" w:rsidRPr="00883399" w14:paraId="24633655" w14:textId="77777777" w:rsidTr="0031057E">
        <w:tc>
          <w:tcPr>
            <w:tcW w:w="2349" w:type="dxa"/>
          </w:tcPr>
          <w:p w14:paraId="7488867A" w14:textId="77777777" w:rsidR="006E1310" w:rsidRPr="00883399" w:rsidRDefault="006E1310" w:rsidP="0031057E">
            <w:pPr>
              <w:pStyle w:val="Text"/>
              <w:keepNext/>
              <w:spacing w:before="120" w:line="240" w:lineRule="auto"/>
            </w:pPr>
            <w:r w:rsidRPr="00883399">
              <w:t>Method 3</w:t>
            </w:r>
          </w:p>
        </w:tc>
        <w:tc>
          <w:tcPr>
            <w:tcW w:w="1971" w:type="dxa"/>
          </w:tcPr>
          <w:p w14:paraId="349BFC85" w14:textId="77777777" w:rsidR="006E1310" w:rsidRPr="00883399" w:rsidRDefault="006E1310" w:rsidP="0031057E">
            <w:pPr>
              <w:pStyle w:val="Text"/>
              <w:keepNext/>
              <w:spacing w:before="120" w:line="240" w:lineRule="auto"/>
            </w:pPr>
            <w:r w:rsidRPr="00883399">
              <w:t>Section 4.82</w:t>
            </w:r>
          </w:p>
        </w:tc>
        <w:tc>
          <w:tcPr>
            <w:tcW w:w="1680" w:type="dxa"/>
          </w:tcPr>
          <w:p w14:paraId="5F333A14" w14:textId="77777777" w:rsidR="006E1310" w:rsidRPr="00883399" w:rsidRDefault="006E1310" w:rsidP="0031057E">
            <w:pPr>
              <w:pStyle w:val="Text"/>
              <w:keepNext/>
              <w:spacing w:before="120" w:line="240" w:lineRule="auto"/>
            </w:pPr>
            <w:r w:rsidRPr="00883399">
              <w:t>NO</w:t>
            </w:r>
          </w:p>
        </w:tc>
        <w:tc>
          <w:tcPr>
            <w:tcW w:w="1574" w:type="dxa"/>
          </w:tcPr>
          <w:p w14:paraId="4B480135" w14:textId="77777777" w:rsidR="006E1310" w:rsidRPr="00883399" w:rsidRDefault="006E1310" w:rsidP="0031057E">
            <w:pPr>
              <w:pStyle w:val="Text"/>
              <w:keepNext/>
              <w:spacing w:before="120" w:line="240" w:lineRule="auto"/>
            </w:pPr>
            <w:r w:rsidRPr="00883399">
              <w:t>NO</w:t>
            </w:r>
          </w:p>
        </w:tc>
      </w:tr>
      <w:tr w:rsidR="006E1310" w:rsidRPr="00883399" w14:paraId="72CF5B72" w14:textId="77777777" w:rsidTr="0031057E">
        <w:tc>
          <w:tcPr>
            <w:tcW w:w="2349" w:type="dxa"/>
          </w:tcPr>
          <w:p w14:paraId="0D2819D2" w14:textId="77777777" w:rsidR="006E1310" w:rsidRPr="00883399" w:rsidRDefault="006E1310" w:rsidP="0031057E">
            <w:pPr>
              <w:pStyle w:val="Text"/>
              <w:keepNext/>
              <w:spacing w:before="120" w:line="240" w:lineRule="auto"/>
            </w:pPr>
            <w:r w:rsidRPr="00883399">
              <w:t>Method 4</w:t>
            </w:r>
          </w:p>
        </w:tc>
        <w:tc>
          <w:tcPr>
            <w:tcW w:w="1971" w:type="dxa"/>
          </w:tcPr>
          <w:p w14:paraId="567356F1" w14:textId="77777777" w:rsidR="006E1310" w:rsidRPr="00883399" w:rsidRDefault="006E1310" w:rsidP="0031057E">
            <w:pPr>
              <w:pStyle w:val="Text"/>
              <w:keepNext/>
              <w:spacing w:before="120" w:line="240" w:lineRule="auto"/>
            </w:pPr>
            <w:r w:rsidRPr="00883399">
              <w:t>Method 4 under Part 1.3</w:t>
            </w:r>
          </w:p>
        </w:tc>
        <w:tc>
          <w:tcPr>
            <w:tcW w:w="1680" w:type="dxa"/>
          </w:tcPr>
          <w:p w14:paraId="21DB4A99" w14:textId="77777777" w:rsidR="006E1310" w:rsidRPr="00883399" w:rsidRDefault="006E1310" w:rsidP="0031057E">
            <w:pPr>
              <w:pStyle w:val="Text"/>
              <w:keepNext/>
              <w:spacing w:before="120" w:line="240" w:lineRule="auto"/>
            </w:pPr>
            <w:r w:rsidRPr="00883399">
              <w:t>NO</w:t>
            </w:r>
          </w:p>
        </w:tc>
        <w:tc>
          <w:tcPr>
            <w:tcW w:w="1574" w:type="dxa"/>
          </w:tcPr>
          <w:p w14:paraId="74C98A66" w14:textId="77777777" w:rsidR="006E1310" w:rsidRPr="00883399" w:rsidRDefault="006E1310" w:rsidP="0031057E">
            <w:pPr>
              <w:pStyle w:val="Text"/>
              <w:keepNext/>
              <w:spacing w:before="120" w:line="240" w:lineRule="auto"/>
            </w:pPr>
            <w:r w:rsidRPr="00883399">
              <w:t>NO</w:t>
            </w:r>
          </w:p>
        </w:tc>
      </w:tr>
    </w:tbl>
    <w:p w14:paraId="17F40FF0" w14:textId="77777777" w:rsidR="006E1310" w:rsidRPr="00883399" w:rsidRDefault="006E1310" w:rsidP="006E1310">
      <w:pPr>
        <w:pStyle w:val="R2"/>
        <w:keepNext/>
        <w:ind w:hanging="62"/>
        <w:rPr>
          <w:sz w:val="20"/>
          <w:szCs w:val="20"/>
        </w:rPr>
      </w:pPr>
      <w:r w:rsidRPr="00883399">
        <w:rPr>
          <w:sz w:val="20"/>
          <w:szCs w:val="20"/>
        </w:rPr>
        <w:t>NO = Not occurring.</w:t>
      </w:r>
    </w:p>
    <w:p w14:paraId="091436D8" w14:textId="6CE493E4" w:rsidR="00872C03" w:rsidRPr="00883399" w:rsidRDefault="00872C03" w:rsidP="00872C03">
      <w:pPr>
        <w:pStyle w:val="ActHead5"/>
        <w:rPr>
          <w:sz w:val="28"/>
        </w:rPr>
      </w:pPr>
      <w:bookmarkStart w:id="1002" w:name="_Toc423517097"/>
      <w:bookmarkStart w:id="1003" w:name="_Toc495653029"/>
      <w:r w:rsidRPr="00883399">
        <w:rPr>
          <w:rStyle w:val="CharSectno"/>
          <w:sz w:val="28"/>
        </w:rPr>
        <w:t>4.80</w:t>
      </w:r>
      <w:r w:rsidRPr="00883399">
        <w:rPr>
          <w:sz w:val="28"/>
        </w:rPr>
        <w:t xml:space="preserve">  Method 1—aluminium (baked carbon anode production)</w:t>
      </w:r>
      <w:bookmarkEnd w:id="1002"/>
      <w:bookmarkEnd w:id="1003"/>
    </w:p>
    <w:p w14:paraId="6788A8F9" w14:textId="77777777" w:rsidR="00872C03" w:rsidRPr="00883399" w:rsidRDefault="00872C03" w:rsidP="00872C03">
      <w:pPr>
        <w:pStyle w:val="subsection"/>
        <w:rPr>
          <w:sz w:val="24"/>
        </w:rPr>
      </w:pPr>
      <w:r w:rsidRPr="00883399">
        <w:rPr>
          <w:sz w:val="24"/>
        </w:rPr>
        <w:tab/>
      </w:r>
      <w:r w:rsidRPr="00883399">
        <w:rPr>
          <w:sz w:val="24"/>
        </w:rPr>
        <w:tab/>
        <w:t>Method 1 is:</w:t>
      </w:r>
    </w:p>
    <w:p w14:paraId="00C7549E" w14:textId="29EBF320" w:rsidR="00872C03" w:rsidRPr="00883399" w:rsidRDefault="00872C03" w:rsidP="00872C03">
      <w:pPr>
        <w:pStyle w:val="subsection"/>
        <w:spacing w:before="120" w:after="120"/>
        <w:ind w:hanging="567"/>
        <w:rPr>
          <w:sz w:val="24"/>
        </w:rPr>
      </w:pPr>
      <w:r w:rsidRPr="00883399">
        <w:rPr>
          <w:noProof/>
          <w:sz w:val="24"/>
        </w:rPr>
        <w:drawing>
          <wp:inline distT="0" distB="0" distL="0" distR="0" wp14:anchorId="2211808A" wp14:editId="147CF1DF">
            <wp:extent cx="5059045" cy="415925"/>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34"/>
                    <a:srcRect/>
                    <a:stretch>
                      <a:fillRect/>
                    </a:stretch>
                  </pic:blipFill>
                  <pic:spPr bwMode="auto">
                    <a:xfrm>
                      <a:off x="0" y="0"/>
                      <a:ext cx="5059045" cy="415925"/>
                    </a:xfrm>
                    <a:prstGeom prst="rect">
                      <a:avLst/>
                    </a:prstGeom>
                    <a:noFill/>
                    <a:ln w="9525">
                      <a:noFill/>
                      <a:miter lim="800000"/>
                      <a:headEnd/>
                      <a:tailEnd/>
                    </a:ln>
                  </pic:spPr>
                </pic:pic>
              </a:graphicData>
            </a:graphic>
          </wp:inline>
        </w:drawing>
      </w:r>
    </w:p>
    <w:p w14:paraId="7A05E40C" w14:textId="77777777" w:rsidR="00872C03" w:rsidRPr="00883399" w:rsidRDefault="00872C03" w:rsidP="00872C03">
      <w:pPr>
        <w:pStyle w:val="subsection2"/>
        <w:rPr>
          <w:sz w:val="24"/>
        </w:rPr>
      </w:pPr>
      <w:r w:rsidRPr="00883399">
        <w:rPr>
          <w:sz w:val="24"/>
        </w:rPr>
        <w:t>where:</w:t>
      </w:r>
    </w:p>
    <w:p w14:paraId="4F0A9878" w14:textId="77777777" w:rsidR="00872C03" w:rsidRPr="00883399" w:rsidRDefault="00872C03" w:rsidP="00872C03">
      <w:pPr>
        <w:pStyle w:val="Definition0"/>
        <w:rPr>
          <w:sz w:val="24"/>
        </w:rPr>
      </w:pPr>
      <w:r w:rsidRPr="00883399">
        <w:rPr>
          <w:b/>
          <w:i/>
          <w:iCs/>
          <w:sz w:val="24"/>
        </w:rPr>
        <w:t>E</w:t>
      </w:r>
      <w:r w:rsidRPr="00883399">
        <w:rPr>
          <w:rStyle w:val="charSubscript"/>
          <w:b/>
          <w:i/>
          <w:sz w:val="22"/>
        </w:rPr>
        <w:t>ij</w:t>
      </w:r>
      <w:r w:rsidRPr="00883399">
        <w:rPr>
          <w:b/>
          <w:i/>
          <w:sz w:val="24"/>
        </w:rPr>
        <w:t xml:space="preserve"> </w:t>
      </w:r>
      <w:r w:rsidRPr="00883399">
        <w:rPr>
          <w:sz w:val="24"/>
        </w:rPr>
        <w:t>is the emissions of carbon dioxide released from baked carbon anode production for the facility during the year.</w:t>
      </w:r>
    </w:p>
    <w:p w14:paraId="64881F90" w14:textId="77777777" w:rsidR="00872C03" w:rsidRPr="00883399" w:rsidRDefault="00872C03" w:rsidP="00872C03">
      <w:pPr>
        <w:pStyle w:val="Definition0"/>
        <w:rPr>
          <w:sz w:val="24"/>
        </w:rPr>
      </w:pPr>
      <w:r w:rsidRPr="00883399">
        <w:rPr>
          <w:b/>
          <w:i/>
          <w:sz w:val="24"/>
        </w:rPr>
        <w:t xml:space="preserve">GA </w:t>
      </w:r>
      <w:r w:rsidRPr="00883399">
        <w:rPr>
          <w:sz w:val="24"/>
        </w:rPr>
        <w:t>is the initial weight of green anodes used in the production process of the baked carbon anode.</w:t>
      </w:r>
    </w:p>
    <w:p w14:paraId="552FCDB3" w14:textId="77777777" w:rsidR="00872C03" w:rsidRPr="00883399" w:rsidRDefault="00872C03" w:rsidP="00872C03">
      <w:pPr>
        <w:pStyle w:val="Definition0"/>
        <w:rPr>
          <w:sz w:val="24"/>
        </w:rPr>
      </w:pPr>
      <w:r w:rsidRPr="00883399">
        <w:rPr>
          <w:b/>
          <w:i/>
          <w:sz w:val="24"/>
        </w:rPr>
        <w:t xml:space="preserve">Hw </w:t>
      </w:r>
      <w:r w:rsidRPr="00883399">
        <w:rPr>
          <w:sz w:val="24"/>
        </w:rPr>
        <w:t>is the weight of the hydrogen content in green anodes used in the production of the baked carbon anode during the year measured in tonnes.</w:t>
      </w:r>
    </w:p>
    <w:p w14:paraId="25F32592" w14:textId="77777777" w:rsidR="00872C03" w:rsidRPr="00883399" w:rsidRDefault="00872C03" w:rsidP="00872C03">
      <w:pPr>
        <w:pStyle w:val="Definition0"/>
        <w:rPr>
          <w:sz w:val="24"/>
        </w:rPr>
      </w:pPr>
      <w:r w:rsidRPr="00883399">
        <w:rPr>
          <w:b/>
          <w:i/>
          <w:sz w:val="24"/>
        </w:rPr>
        <w:t xml:space="preserve">BA </w:t>
      </w:r>
      <w:r w:rsidRPr="00883399">
        <w:rPr>
          <w:sz w:val="24"/>
        </w:rPr>
        <w:t>is the amount of baked carbon anode produced during the year measured in tonnes.</w:t>
      </w:r>
    </w:p>
    <w:p w14:paraId="7BF507D6" w14:textId="77777777" w:rsidR="00872C03" w:rsidRPr="00883399" w:rsidRDefault="00872C03" w:rsidP="00872C03">
      <w:pPr>
        <w:pStyle w:val="Definition0"/>
        <w:rPr>
          <w:sz w:val="24"/>
        </w:rPr>
      </w:pPr>
      <w:r w:rsidRPr="00883399">
        <w:rPr>
          <w:b/>
          <w:i/>
          <w:sz w:val="24"/>
        </w:rPr>
        <w:lastRenderedPageBreak/>
        <w:t xml:space="preserve">WT </w:t>
      </w:r>
      <w:r w:rsidRPr="00883399">
        <w:rPr>
          <w:sz w:val="24"/>
        </w:rPr>
        <w:t>is the amount, in tonnes, of waste tar collected in the production of baked carbon anodes during the year.</w:t>
      </w:r>
    </w:p>
    <w:p w14:paraId="023A869F" w14:textId="77777777" w:rsidR="00872C03" w:rsidRPr="00883399" w:rsidRDefault="00872C03" w:rsidP="00872C03">
      <w:pPr>
        <w:pStyle w:val="Definition0"/>
        <w:rPr>
          <w:sz w:val="24"/>
        </w:rPr>
      </w:pPr>
      <w:r w:rsidRPr="00883399">
        <w:rPr>
          <w:b/>
          <w:i/>
          <w:sz w:val="24"/>
        </w:rPr>
        <w:t>ΣQ</w:t>
      </w:r>
      <w:r w:rsidRPr="00883399">
        <w:rPr>
          <w:b/>
          <w:i/>
          <w:sz w:val="24"/>
          <w:vertAlign w:val="subscript"/>
        </w:rPr>
        <w:t>i</w:t>
      </w:r>
      <w:r w:rsidRPr="00883399">
        <w:rPr>
          <w:b/>
          <w:i/>
          <w:sz w:val="24"/>
        </w:rPr>
        <w:t xml:space="preserve"> </w:t>
      </w:r>
      <w:r w:rsidRPr="00883399">
        <w:rPr>
          <w:sz w:val="24"/>
        </w:rPr>
        <w:t>is the quantity of fuel type (</w:t>
      </w:r>
      <w:r w:rsidRPr="00883399">
        <w:rPr>
          <w:b/>
          <w:i/>
          <w:sz w:val="24"/>
        </w:rPr>
        <w:t>i</w:t>
      </w:r>
      <w:r w:rsidRPr="00883399">
        <w:rPr>
          <w:sz w:val="24"/>
        </w:rPr>
        <w:t>), measured in the appropriate unit, consumed in the production of baked carbon anodes during the year and estimated in accordance with the requirements set out in the following Divisions:</w:t>
      </w:r>
    </w:p>
    <w:p w14:paraId="1A4B2834" w14:textId="77777777" w:rsidR="00872C03" w:rsidRPr="00883399" w:rsidRDefault="00872C03" w:rsidP="00872C03">
      <w:pPr>
        <w:pStyle w:val="paragraph"/>
        <w:rPr>
          <w:sz w:val="24"/>
        </w:rPr>
      </w:pPr>
      <w:r w:rsidRPr="00883399">
        <w:rPr>
          <w:sz w:val="24"/>
        </w:rPr>
        <w:tab/>
        <w:t>(a)</w:t>
      </w:r>
      <w:r w:rsidRPr="00883399">
        <w:rPr>
          <w:sz w:val="24"/>
        </w:rPr>
        <w:tab/>
        <w:t>if fuel type (i) is a solid fuel—Division 2.2.5;</w:t>
      </w:r>
    </w:p>
    <w:p w14:paraId="50520D56" w14:textId="77777777" w:rsidR="00872C03" w:rsidRPr="00883399" w:rsidRDefault="00872C03" w:rsidP="00872C03">
      <w:pPr>
        <w:pStyle w:val="paragraph"/>
        <w:rPr>
          <w:sz w:val="24"/>
        </w:rPr>
      </w:pPr>
      <w:r w:rsidRPr="00883399">
        <w:rPr>
          <w:sz w:val="24"/>
        </w:rPr>
        <w:tab/>
        <w:t>(b)</w:t>
      </w:r>
      <w:r w:rsidRPr="00883399">
        <w:rPr>
          <w:sz w:val="24"/>
        </w:rPr>
        <w:tab/>
        <w:t>if fuel type (i) is a gaseous fuel—Division 2.3.6;</w:t>
      </w:r>
    </w:p>
    <w:p w14:paraId="76D680CB" w14:textId="77777777" w:rsidR="00872C03" w:rsidRPr="00883399" w:rsidRDefault="00872C03" w:rsidP="00872C03">
      <w:pPr>
        <w:pStyle w:val="paragraph"/>
        <w:rPr>
          <w:sz w:val="24"/>
        </w:rPr>
      </w:pPr>
      <w:r w:rsidRPr="00883399">
        <w:rPr>
          <w:sz w:val="24"/>
        </w:rPr>
        <w:tab/>
        <w:t>(c)</w:t>
      </w:r>
      <w:r w:rsidRPr="00883399">
        <w:rPr>
          <w:sz w:val="24"/>
        </w:rPr>
        <w:tab/>
        <w:t>if fuel type (</w:t>
      </w:r>
      <w:r w:rsidRPr="00883399">
        <w:rPr>
          <w:b/>
          <w:i/>
          <w:sz w:val="24"/>
        </w:rPr>
        <w:t>i</w:t>
      </w:r>
      <w:r w:rsidRPr="00883399">
        <w:rPr>
          <w:sz w:val="24"/>
        </w:rPr>
        <w:t>) is a liquid fuel—Division 2.4.6.</w:t>
      </w:r>
    </w:p>
    <w:p w14:paraId="1E17E2CF" w14:textId="77777777" w:rsidR="00872C03" w:rsidRPr="00883399" w:rsidRDefault="00872C03" w:rsidP="00872C03">
      <w:pPr>
        <w:pStyle w:val="Definition0"/>
        <w:rPr>
          <w:sz w:val="24"/>
        </w:rPr>
      </w:pPr>
      <w:r w:rsidRPr="00883399">
        <w:rPr>
          <w:b/>
          <w:bCs/>
          <w:i/>
          <w:iCs/>
          <w:sz w:val="24"/>
        </w:rPr>
        <w:t>S</w:t>
      </w:r>
      <w:r w:rsidRPr="00883399">
        <w:rPr>
          <w:b/>
          <w:bCs/>
          <w:i/>
          <w:iCs/>
          <w:sz w:val="24"/>
          <w:vertAlign w:val="subscript"/>
        </w:rPr>
        <w:t>i</w:t>
      </w:r>
      <w:r w:rsidRPr="00883399">
        <w:rPr>
          <w:b/>
          <w:i/>
          <w:sz w:val="24"/>
        </w:rPr>
        <w:t xml:space="preserve"> </w:t>
      </w:r>
      <w:r w:rsidRPr="00883399">
        <w:rPr>
          <w:sz w:val="24"/>
        </w:rPr>
        <w:t>is the mass of sulphur content in baked carbon anodes that is consumed in the production of aluminium during the year, expressed as a percentage of the mass of the baked carbon anodes, and is taken to be 2.</w:t>
      </w:r>
    </w:p>
    <w:p w14:paraId="1564EACE" w14:textId="77777777" w:rsidR="00872C03" w:rsidRPr="00883399" w:rsidRDefault="00872C03" w:rsidP="00872C03">
      <w:pPr>
        <w:pStyle w:val="Definition0"/>
        <w:rPr>
          <w:sz w:val="24"/>
        </w:rPr>
      </w:pPr>
      <w:r w:rsidRPr="00883399">
        <w:rPr>
          <w:b/>
          <w:bCs/>
          <w:i/>
          <w:iCs/>
          <w:sz w:val="24"/>
        </w:rPr>
        <w:t>Ash</w:t>
      </w:r>
      <w:r w:rsidRPr="00883399">
        <w:rPr>
          <w:rStyle w:val="charsubscript0"/>
          <w:b/>
          <w:bCs/>
          <w:i/>
          <w:iCs/>
          <w:sz w:val="24"/>
        </w:rPr>
        <w:t>i</w:t>
      </w:r>
      <w:r w:rsidRPr="00883399">
        <w:rPr>
          <w:b/>
          <w:i/>
          <w:sz w:val="24"/>
        </w:rPr>
        <w:t xml:space="preserve"> </w:t>
      </w:r>
      <w:r w:rsidRPr="00883399">
        <w:rPr>
          <w:sz w:val="24"/>
        </w:rPr>
        <w:t xml:space="preserve">is the mass of ash content in baked carbon anodes that is consumed in the production of aluminium during the year, expressed as a percentage of the mass of the baked carbon anodes, and is taken to be 0.4. </w:t>
      </w:r>
    </w:p>
    <w:p w14:paraId="5B909EE0" w14:textId="77777777" w:rsidR="00872C03" w:rsidRPr="00883399" w:rsidRDefault="00872C03" w:rsidP="00872C03">
      <w:pPr>
        <w:pStyle w:val="notetext"/>
        <w:rPr>
          <w:sz w:val="20"/>
        </w:rPr>
      </w:pPr>
      <w:r w:rsidRPr="00883399">
        <w:rPr>
          <w:sz w:val="20"/>
        </w:rPr>
        <w:t>Note:</w:t>
      </w:r>
      <w:r w:rsidRPr="00883399">
        <w:rPr>
          <w:sz w:val="20"/>
        </w:rPr>
        <w:tab/>
        <w:t xml:space="preserve">The default value for </w:t>
      </w:r>
      <w:r w:rsidRPr="00883399">
        <w:rPr>
          <w:b/>
          <w:i/>
          <w:sz w:val="20"/>
        </w:rPr>
        <w:t>H</w:t>
      </w:r>
      <w:r w:rsidRPr="00883399">
        <w:rPr>
          <w:b/>
          <w:i/>
          <w:sz w:val="20"/>
          <w:vertAlign w:val="subscript"/>
        </w:rPr>
        <w:t>w</w:t>
      </w:r>
      <w:r w:rsidRPr="00883399">
        <w:rPr>
          <w:sz w:val="20"/>
        </w:rPr>
        <w:t xml:space="preserve"> is 0.5% of </w:t>
      </w:r>
      <w:r w:rsidRPr="00883399">
        <w:rPr>
          <w:b/>
          <w:i/>
          <w:sz w:val="20"/>
        </w:rPr>
        <w:t>GA</w:t>
      </w:r>
      <w:r w:rsidRPr="00883399">
        <w:rPr>
          <w:sz w:val="20"/>
        </w:rPr>
        <w:t>.</w:t>
      </w:r>
    </w:p>
    <w:p w14:paraId="562BE080" w14:textId="69C5E318" w:rsidR="00872C03" w:rsidRPr="00883399" w:rsidRDefault="00872C03" w:rsidP="00872C03">
      <w:pPr>
        <w:pStyle w:val="ActHead5"/>
        <w:rPr>
          <w:sz w:val="28"/>
        </w:rPr>
      </w:pPr>
      <w:bookmarkStart w:id="1004" w:name="_Toc423517098"/>
      <w:bookmarkStart w:id="1005" w:name="_Toc495653030"/>
      <w:r w:rsidRPr="00883399">
        <w:rPr>
          <w:rStyle w:val="CharSectno"/>
          <w:sz w:val="28"/>
        </w:rPr>
        <w:t>4.81</w:t>
      </w:r>
      <w:r w:rsidRPr="00883399">
        <w:rPr>
          <w:sz w:val="28"/>
        </w:rPr>
        <w:t xml:space="preserve">  Method 2—aluminium (baked carbon anode production)</w:t>
      </w:r>
      <w:bookmarkEnd w:id="1004"/>
      <w:bookmarkEnd w:id="1005"/>
    </w:p>
    <w:p w14:paraId="6C506244" w14:textId="77777777" w:rsidR="00872C03" w:rsidRPr="00883399" w:rsidRDefault="00872C03" w:rsidP="00872C03">
      <w:pPr>
        <w:pStyle w:val="subsection"/>
        <w:rPr>
          <w:sz w:val="24"/>
        </w:rPr>
      </w:pPr>
      <w:r w:rsidRPr="00883399">
        <w:rPr>
          <w:sz w:val="24"/>
        </w:rPr>
        <w:tab/>
        <w:t>(1)</w:t>
      </w:r>
      <w:r w:rsidRPr="00883399">
        <w:rPr>
          <w:sz w:val="24"/>
        </w:rPr>
        <w:tab/>
        <w:t>Subject to this section, method 2 is the same as method 1 under section 4.80.</w:t>
      </w:r>
    </w:p>
    <w:p w14:paraId="62D6CDC0" w14:textId="77777777" w:rsidR="00872C03" w:rsidRPr="00883399" w:rsidRDefault="00872C03" w:rsidP="00872C03">
      <w:pPr>
        <w:pStyle w:val="subsection"/>
        <w:rPr>
          <w:sz w:val="24"/>
        </w:rPr>
      </w:pPr>
      <w:r w:rsidRPr="00883399">
        <w:rPr>
          <w:sz w:val="24"/>
        </w:rPr>
        <w:tab/>
        <w:t>(2)</w:t>
      </w:r>
      <w:r w:rsidRPr="00883399">
        <w:rPr>
          <w:sz w:val="24"/>
        </w:rPr>
        <w:tab/>
        <w:t>In applying method 1 under section 4.80, the method for sampling and analysing fuel type (</w:t>
      </w:r>
      <w:r w:rsidRPr="00883399">
        <w:rPr>
          <w:b/>
          <w:i/>
          <w:sz w:val="24"/>
        </w:rPr>
        <w:t>i</w:t>
      </w:r>
      <w:r w:rsidRPr="00883399">
        <w:rPr>
          <w:sz w:val="24"/>
        </w:rPr>
        <w:t xml:space="preserve">) for the factors </w:t>
      </w:r>
      <w:r w:rsidRPr="00883399">
        <w:rPr>
          <w:b/>
          <w:i/>
          <w:sz w:val="24"/>
        </w:rPr>
        <w:t>S</w:t>
      </w:r>
      <w:r w:rsidRPr="00883399">
        <w:rPr>
          <w:b/>
          <w:i/>
          <w:sz w:val="24"/>
          <w:vertAlign w:val="subscript"/>
        </w:rPr>
        <w:t>i</w:t>
      </w:r>
      <w:r w:rsidRPr="00883399">
        <w:rPr>
          <w:sz w:val="24"/>
        </w:rPr>
        <w:t xml:space="preserve"> and </w:t>
      </w:r>
      <w:r w:rsidRPr="00883399">
        <w:rPr>
          <w:b/>
          <w:i/>
          <w:sz w:val="24"/>
        </w:rPr>
        <w:t>Ash</w:t>
      </w:r>
      <w:r w:rsidRPr="00883399">
        <w:rPr>
          <w:b/>
          <w:i/>
          <w:sz w:val="24"/>
          <w:vertAlign w:val="subscript"/>
        </w:rPr>
        <w:t>i</w:t>
      </w:r>
      <w:r w:rsidRPr="00883399">
        <w:rPr>
          <w:sz w:val="24"/>
        </w:rPr>
        <w:t xml:space="preserve"> must be determined by sampling and analysing the fuel type for sulphur and ash content, as the case may be, in accordance with:</w:t>
      </w:r>
    </w:p>
    <w:p w14:paraId="65A0331D" w14:textId="77777777" w:rsidR="00872C03" w:rsidRPr="00883399" w:rsidRDefault="00872C03" w:rsidP="00872C03">
      <w:pPr>
        <w:pStyle w:val="paragraph"/>
        <w:rPr>
          <w:sz w:val="24"/>
        </w:rPr>
      </w:pPr>
      <w:r w:rsidRPr="00883399">
        <w:rPr>
          <w:sz w:val="24"/>
        </w:rPr>
        <w:tab/>
        <w:t>(a)</w:t>
      </w:r>
      <w:r w:rsidRPr="00883399">
        <w:rPr>
          <w:sz w:val="24"/>
        </w:rPr>
        <w:tab/>
        <w:t>for solid fuels—method 2 in Division 2.2.3; and</w:t>
      </w:r>
    </w:p>
    <w:p w14:paraId="4DD5BCBF" w14:textId="77777777" w:rsidR="00872C03" w:rsidRPr="00883399" w:rsidRDefault="00872C03" w:rsidP="00872C03">
      <w:pPr>
        <w:pStyle w:val="paragraph"/>
        <w:rPr>
          <w:sz w:val="24"/>
        </w:rPr>
      </w:pPr>
      <w:r w:rsidRPr="00883399">
        <w:rPr>
          <w:sz w:val="24"/>
        </w:rPr>
        <w:tab/>
        <w:t>(b)</w:t>
      </w:r>
      <w:r w:rsidRPr="00883399">
        <w:rPr>
          <w:sz w:val="24"/>
        </w:rPr>
        <w:tab/>
        <w:t>for gaseous fuels—method 2 in Division 2.3.3; and</w:t>
      </w:r>
    </w:p>
    <w:p w14:paraId="1BB6C3BB" w14:textId="77777777" w:rsidR="00872C03" w:rsidRPr="00883399" w:rsidRDefault="00872C03" w:rsidP="00872C03">
      <w:pPr>
        <w:pStyle w:val="paragraph"/>
        <w:rPr>
          <w:sz w:val="24"/>
        </w:rPr>
      </w:pPr>
      <w:r w:rsidRPr="00883399">
        <w:rPr>
          <w:sz w:val="24"/>
        </w:rPr>
        <w:tab/>
        <w:t>(c)</w:t>
      </w:r>
      <w:r w:rsidRPr="00883399">
        <w:rPr>
          <w:sz w:val="24"/>
        </w:rPr>
        <w:tab/>
        <w:t>for liquid fuels—method 2 in Division 2.4.3.</w:t>
      </w:r>
    </w:p>
    <w:p w14:paraId="4D7F9654" w14:textId="65BD236A" w:rsidR="00872C03" w:rsidRPr="00883399" w:rsidRDefault="00872C03" w:rsidP="00872C03">
      <w:pPr>
        <w:pStyle w:val="ActHead5"/>
        <w:rPr>
          <w:sz w:val="28"/>
        </w:rPr>
      </w:pPr>
      <w:bookmarkStart w:id="1006" w:name="_Toc423517099"/>
      <w:bookmarkStart w:id="1007" w:name="_Toc495653031"/>
      <w:r w:rsidRPr="00883399">
        <w:rPr>
          <w:rStyle w:val="CharSectno"/>
          <w:sz w:val="28"/>
        </w:rPr>
        <w:t>4.82</w:t>
      </w:r>
      <w:r w:rsidRPr="00883399">
        <w:rPr>
          <w:sz w:val="28"/>
        </w:rPr>
        <w:t xml:space="preserve">  Method 3—aluminium (baked carbon anode production)</w:t>
      </w:r>
      <w:bookmarkEnd w:id="1006"/>
      <w:bookmarkEnd w:id="1007"/>
    </w:p>
    <w:p w14:paraId="32B6F39A" w14:textId="77777777" w:rsidR="00872C03" w:rsidRPr="00883399" w:rsidRDefault="00872C03" w:rsidP="00872C03">
      <w:pPr>
        <w:pStyle w:val="subsection"/>
        <w:rPr>
          <w:sz w:val="24"/>
        </w:rPr>
      </w:pPr>
      <w:r w:rsidRPr="00883399">
        <w:rPr>
          <w:sz w:val="24"/>
        </w:rPr>
        <w:tab/>
        <w:t>(1)</w:t>
      </w:r>
      <w:r w:rsidRPr="00883399">
        <w:rPr>
          <w:sz w:val="24"/>
        </w:rPr>
        <w:tab/>
        <w:t>Subject to this section, method 3 is the same as method 1 under section 4.80.</w:t>
      </w:r>
    </w:p>
    <w:p w14:paraId="2FAC21AE" w14:textId="77777777" w:rsidR="00872C03" w:rsidRPr="00883399" w:rsidRDefault="00872C03" w:rsidP="00872C03">
      <w:pPr>
        <w:pStyle w:val="subsection"/>
        <w:rPr>
          <w:sz w:val="24"/>
        </w:rPr>
      </w:pPr>
      <w:r w:rsidRPr="00883399">
        <w:rPr>
          <w:sz w:val="24"/>
        </w:rPr>
        <w:tab/>
        <w:t>(2)</w:t>
      </w:r>
      <w:r w:rsidRPr="00883399">
        <w:rPr>
          <w:sz w:val="24"/>
        </w:rPr>
        <w:tab/>
        <w:t>In applying method 1 under section 4.80, the method for sampling and analysing the fuel type (</w:t>
      </w:r>
      <w:r w:rsidRPr="00883399">
        <w:rPr>
          <w:b/>
          <w:i/>
          <w:sz w:val="24"/>
        </w:rPr>
        <w:t>i</w:t>
      </w:r>
      <w:r w:rsidRPr="00883399">
        <w:rPr>
          <w:sz w:val="24"/>
        </w:rPr>
        <w:t xml:space="preserve">) for the factors </w:t>
      </w:r>
      <w:r w:rsidRPr="00883399">
        <w:rPr>
          <w:b/>
          <w:i/>
          <w:sz w:val="24"/>
        </w:rPr>
        <w:t>S</w:t>
      </w:r>
      <w:r w:rsidRPr="00883399">
        <w:rPr>
          <w:b/>
          <w:i/>
          <w:sz w:val="24"/>
          <w:vertAlign w:val="subscript"/>
        </w:rPr>
        <w:t>i</w:t>
      </w:r>
      <w:r w:rsidRPr="00883399">
        <w:rPr>
          <w:sz w:val="24"/>
        </w:rPr>
        <w:t xml:space="preserve"> and </w:t>
      </w:r>
      <w:r w:rsidRPr="00883399">
        <w:rPr>
          <w:b/>
          <w:i/>
          <w:sz w:val="24"/>
        </w:rPr>
        <w:t>Ash</w:t>
      </w:r>
      <w:r w:rsidRPr="00883399">
        <w:rPr>
          <w:b/>
          <w:i/>
          <w:sz w:val="24"/>
          <w:vertAlign w:val="subscript"/>
        </w:rPr>
        <w:t>i</w:t>
      </w:r>
      <w:r w:rsidRPr="00883399">
        <w:rPr>
          <w:sz w:val="24"/>
        </w:rPr>
        <w:t xml:space="preserve"> must be determined by sampling and analysing the fuel type for sulphur and ash content, as the case may be, in accordance with:</w:t>
      </w:r>
    </w:p>
    <w:p w14:paraId="7994D5AB" w14:textId="77777777" w:rsidR="00872C03" w:rsidRPr="00883399" w:rsidRDefault="00872C03" w:rsidP="00872C03">
      <w:pPr>
        <w:pStyle w:val="paragraph"/>
        <w:rPr>
          <w:sz w:val="24"/>
        </w:rPr>
      </w:pPr>
      <w:r w:rsidRPr="00883399">
        <w:rPr>
          <w:sz w:val="24"/>
        </w:rPr>
        <w:tab/>
        <w:t>(a)</w:t>
      </w:r>
      <w:r w:rsidRPr="00883399">
        <w:rPr>
          <w:sz w:val="24"/>
        </w:rPr>
        <w:tab/>
        <w:t>for solid fuels—method 3 in Division 2.2.4; and</w:t>
      </w:r>
    </w:p>
    <w:p w14:paraId="5DD5E992" w14:textId="77777777" w:rsidR="00872C03" w:rsidRPr="00883399" w:rsidRDefault="00872C03" w:rsidP="00872C03">
      <w:pPr>
        <w:pStyle w:val="paragraph"/>
        <w:rPr>
          <w:sz w:val="24"/>
        </w:rPr>
      </w:pPr>
      <w:r w:rsidRPr="00883399">
        <w:rPr>
          <w:sz w:val="24"/>
        </w:rPr>
        <w:tab/>
        <w:t>(b)</w:t>
      </w:r>
      <w:r w:rsidRPr="00883399">
        <w:rPr>
          <w:sz w:val="24"/>
        </w:rPr>
        <w:tab/>
        <w:t>for gaseous fuels—method 3 in Division 2.3.4; and</w:t>
      </w:r>
    </w:p>
    <w:p w14:paraId="726E67F8" w14:textId="77777777" w:rsidR="00872C03" w:rsidRPr="00883399" w:rsidRDefault="00872C03" w:rsidP="00872C03">
      <w:pPr>
        <w:pStyle w:val="paragraph"/>
        <w:rPr>
          <w:sz w:val="24"/>
        </w:rPr>
      </w:pPr>
      <w:r w:rsidRPr="00883399">
        <w:rPr>
          <w:sz w:val="24"/>
        </w:rPr>
        <w:tab/>
        <w:t>(c)</w:t>
      </w:r>
      <w:r w:rsidRPr="00883399">
        <w:rPr>
          <w:sz w:val="24"/>
        </w:rPr>
        <w:tab/>
        <w:t>for liquid fuels—method 3 in Division 2.4.4.</w:t>
      </w:r>
    </w:p>
    <w:p w14:paraId="10977E72" w14:textId="087EB1C1" w:rsidR="00872C03" w:rsidRPr="00883399" w:rsidRDefault="00872C03" w:rsidP="005033AE">
      <w:pPr>
        <w:pStyle w:val="ActHead3"/>
        <w:pageBreakBefore/>
        <w:ind w:left="0" w:firstLine="0"/>
        <w:rPr>
          <w:sz w:val="32"/>
        </w:rPr>
      </w:pPr>
      <w:bookmarkStart w:id="1008" w:name="_Toc423517100"/>
      <w:bookmarkStart w:id="1009" w:name="_Toc495653032"/>
      <w:r w:rsidRPr="00883399">
        <w:rPr>
          <w:rStyle w:val="CharDivNo"/>
          <w:sz w:val="32"/>
        </w:rPr>
        <w:lastRenderedPageBreak/>
        <w:t>Division 4.4.4</w:t>
      </w:r>
      <w:r w:rsidRPr="00883399">
        <w:rPr>
          <w:sz w:val="32"/>
        </w:rPr>
        <w:t>—</w:t>
      </w:r>
      <w:r w:rsidRPr="00883399">
        <w:rPr>
          <w:rStyle w:val="CharDivText"/>
          <w:sz w:val="32"/>
        </w:rPr>
        <w:t>Aluminium production (perfluoronated carbon compound emissions)</w:t>
      </w:r>
      <w:bookmarkEnd w:id="1008"/>
      <w:bookmarkEnd w:id="1009"/>
    </w:p>
    <w:p w14:paraId="1EDA9DE1" w14:textId="77777777" w:rsidR="006E1310" w:rsidRPr="00883399" w:rsidRDefault="006E1310" w:rsidP="006E1310">
      <w:pPr>
        <w:pStyle w:val="R1"/>
        <w:keepLines w:val="0"/>
        <w:tabs>
          <w:tab w:val="clear" w:pos="794"/>
          <w:tab w:val="right" w:pos="0"/>
        </w:tabs>
        <w:spacing w:before="240" w:line="312" w:lineRule="auto"/>
        <w:ind w:left="0" w:firstLine="0"/>
        <w:jc w:val="left"/>
        <w:rPr>
          <w:rFonts w:ascii="Arial" w:hAnsi="Arial" w:cs="Arial"/>
          <w:sz w:val="22"/>
          <w:szCs w:val="22"/>
        </w:rPr>
      </w:pPr>
      <w:bookmarkStart w:id="1010" w:name="_Toc423517101"/>
      <w:r w:rsidRPr="00883399">
        <w:rPr>
          <w:rFonts w:ascii="Arial" w:hAnsi="Arial" w:cs="Arial"/>
          <w:sz w:val="22"/>
          <w:szCs w:val="22"/>
        </w:rPr>
        <w:t xml:space="preserve">Method 2 and Method 3 are to be drawn from the US Environment Protection Agency, </w:t>
      </w:r>
      <w:r w:rsidRPr="00883399">
        <w:rPr>
          <w:rFonts w:ascii="Arial" w:hAnsi="Arial" w:cs="Arial"/>
          <w:i/>
          <w:sz w:val="22"/>
          <w:szCs w:val="22"/>
        </w:rPr>
        <w:t>Protocol for Measurement of Tetrafluoromethane (CF</w:t>
      </w:r>
      <w:r w:rsidRPr="00883399">
        <w:rPr>
          <w:rFonts w:ascii="Arial" w:hAnsi="Arial" w:cs="Arial"/>
          <w:i/>
          <w:sz w:val="22"/>
          <w:szCs w:val="22"/>
          <w:vertAlign w:val="subscript"/>
        </w:rPr>
        <w:t>4</w:t>
      </w:r>
      <w:r w:rsidRPr="00883399">
        <w:rPr>
          <w:rFonts w:ascii="Arial" w:hAnsi="Arial" w:cs="Arial"/>
          <w:i/>
          <w:sz w:val="22"/>
          <w:szCs w:val="22"/>
        </w:rPr>
        <w:t>) and Hexafluoroethane (C</w:t>
      </w:r>
      <w:r w:rsidRPr="00883399">
        <w:rPr>
          <w:rFonts w:ascii="Arial" w:hAnsi="Arial" w:cs="Arial"/>
          <w:i/>
          <w:sz w:val="22"/>
          <w:szCs w:val="22"/>
          <w:vertAlign w:val="subscript"/>
        </w:rPr>
        <w:t>2</w:t>
      </w:r>
      <w:r w:rsidRPr="00883399">
        <w:rPr>
          <w:rFonts w:ascii="Arial" w:hAnsi="Arial" w:cs="Arial"/>
          <w:i/>
          <w:sz w:val="22"/>
          <w:szCs w:val="22"/>
        </w:rPr>
        <w:t>F</w:t>
      </w:r>
      <w:r w:rsidRPr="00883399">
        <w:rPr>
          <w:rFonts w:ascii="Arial" w:hAnsi="Arial" w:cs="Arial"/>
          <w:i/>
          <w:sz w:val="22"/>
          <w:szCs w:val="22"/>
          <w:vertAlign w:val="subscript"/>
        </w:rPr>
        <w:t>6</w:t>
      </w:r>
      <w:r w:rsidRPr="00883399">
        <w:rPr>
          <w:rFonts w:ascii="Arial" w:hAnsi="Arial" w:cs="Arial"/>
          <w:i/>
          <w:sz w:val="22"/>
          <w:szCs w:val="22"/>
        </w:rPr>
        <w:t>) Emissions from Primary Aluminium Production</w:t>
      </w:r>
      <w:r w:rsidRPr="00883399">
        <w:rPr>
          <w:rFonts w:ascii="Arial" w:hAnsi="Arial" w:cs="Arial"/>
          <w:sz w:val="22"/>
          <w:szCs w:val="22"/>
        </w:rPr>
        <w:t xml:space="preserve"> as referenced in the </w:t>
      </w:r>
      <w:r w:rsidRPr="00883399">
        <w:rPr>
          <w:rFonts w:ascii="Arial" w:hAnsi="Arial" w:cs="Arial"/>
          <w:i/>
          <w:sz w:val="22"/>
          <w:szCs w:val="22"/>
        </w:rPr>
        <w:t>International Aluminium Institute Greenhouse Gas Protocol</w:t>
      </w:r>
      <w:r w:rsidRPr="00883399">
        <w:rPr>
          <w:rFonts w:ascii="Arial" w:hAnsi="Arial" w:cs="Arial"/>
          <w:sz w:val="22"/>
          <w:szCs w:val="22"/>
        </w:rPr>
        <w:t>.</w:t>
      </w:r>
    </w:p>
    <w:p w14:paraId="43E778A3" w14:textId="2EDA9322" w:rsidR="00872C03" w:rsidRPr="00883399" w:rsidRDefault="00872C03" w:rsidP="00872C03">
      <w:pPr>
        <w:pStyle w:val="ActHead5"/>
        <w:rPr>
          <w:sz w:val="28"/>
        </w:rPr>
      </w:pPr>
      <w:bookmarkStart w:id="1011" w:name="_Toc495653033"/>
      <w:r w:rsidRPr="00883399">
        <w:rPr>
          <w:rStyle w:val="CharSectno"/>
          <w:sz w:val="28"/>
        </w:rPr>
        <w:t>4.83</w:t>
      </w:r>
      <w:r w:rsidRPr="00883399">
        <w:rPr>
          <w:sz w:val="28"/>
        </w:rPr>
        <w:t xml:space="preserve">  Application</w:t>
      </w:r>
      <w:bookmarkEnd w:id="1010"/>
      <w:bookmarkEnd w:id="1011"/>
    </w:p>
    <w:p w14:paraId="220BCC06" w14:textId="77777777" w:rsidR="00872C03" w:rsidRPr="00883399" w:rsidRDefault="00872C03" w:rsidP="00872C03">
      <w:pPr>
        <w:pStyle w:val="subsection"/>
        <w:rPr>
          <w:sz w:val="24"/>
        </w:rPr>
      </w:pPr>
      <w:r w:rsidRPr="00883399">
        <w:rPr>
          <w:sz w:val="24"/>
        </w:rPr>
        <w:tab/>
      </w:r>
      <w:r w:rsidRPr="00883399">
        <w:rPr>
          <w:sz w:val="24"/>
        </w:rPr>
        <w:tab/>
        <w:t>This Division applies to aluminium production.</w:t>
      </w:r>
    </w:p>
    <w:p w14:paraId="399ECE9B" w14:textId="1493EE78" w:rsidR="00872C03" w:rsidRPr="00883399" w:rsidRDefault="00872C03" w:rsidP="00872C03">
      <w:pPr>
        <w:pStyle w:val="ActHead4"/>
        <w:rPr>
          <w:sz w:val="28"/>
        </w:rPr>
      </w:pPr>
      <w:bookmarkStart w:id="1012" w:name="_Toc423517102"/>
      <w:bookmarkStart w:id="1013" w:name="_Toc495653034"/>
      <w:r w:rsidRPr="00883399">
        <w:rPr>
          <w:rStyle w:val="CharSubdNo"/>
          <w:sz w:val="28"/>
        </w:rPr>
        <w:t>Subdivision 4.4.4.1</w:t>
      </w:r>
      <w:r w:rsidRPr="00883399">
        <w:rPr>
          <w:sz w:val="28"/>
        </w:rPr>
        <w:t>—</w:t>
      </w:r>
      <w:r w:rsidRPr="00883399">
        <w:rPr>
          <w:rStyle w:val="CharSubdText"/>
          <w:sz w:val="28"/>
        </w:rPr>
        <w:t>Aluminium—emissions of tetrafluoromethane in aluminium production</w:t>
      </w:r>
      <w:bookmarkEnd w:id="1012"/>
      <w:bookmarkEnd w:id="1013"/>
    </w:p>
    <w:p w14:paraId="1C68F4A4" w14:textId="1E683F94" w:rsidR="00872C03" w:rsidRPr="00883399" w:rsidRDefault="00872C03" w:rsidP="00872C03">
      <w:pPr>
        <w:pStyle w:val="ActHead5"/>
        <w:rPr>
          <w:sz w:val="28"/>
        </w:rPr>
      </w:pPr>
      <w:bookmarkStart w:id="1014" w:name="_Toc423517103"/>
      <w:bookmarkStart w:id="1015" w:name="_Toc495653035"/>
      <w:r w:rsidRPr="00883399">
        <w:rPr>
          <w:rStyle w:val="CharSectno"/>
          <w:sz w:val="28"/>
        </w:rPr>
        <w:t>4.84</w:t>
      </w:r>
      <w:r w:rsidRPr="00883399">
        <w:rPr>
          <w:sz w:val="28"/>
        </w:rPr>
        <w:t xml:space="preserve">  Available methods</w:t>
      </w:r>
      <w:bookmarkEnd w:id="1014"/>
      <w:bookmarkEnd w:id="1015"/>
    </w:p>
    <w:p w14:paraId="017DF360" w14:textId="77777777" w:rsidR="00872C03" w:rsidRPr="00883399" w:rsidRDefault="00872C03" w:rsidP="00872C03">
      <w:pPr>
        <w:pStyle w:val="subsection"/>
        <w:rPr>
          <w:sz w:val="24"/>
        </w:rPr>
      </w:pPr>
      <w:r w:rsidRPr="00883399">
        <w:rPr>
          <w:sz w:val="24"/>
        </w:rPr>
        <w:tab/>
        <w:t>(1)</w:t>
      </w:r>
      <w:r w:rsidRPr="00883399">
        <w:rPr>
          <w:sz w:val="24"/>
        </w:rPr>
        <w:tab/>
        <w:t>Subject to section 1.18, one of the following methods must be used for estimating emissions of tetrafluoromethane released during a year from the operation of a facility that is constituted by the production of aluminium:</w:t>
      </w:r>
    </w:p>
    <w:p w14:paraId="57EE5B67" w14:textId="77777777" w:rsidR="00872C03" w:rsidRPr="00883399" w:rsidRDefault="00872C03" w:rsidP="00872C03">
      <w:pPr>
        <w:pStyle w:val="paragraph"/>
        <w:rPr>
          <w:sz w:val="24"/>
        </w:rPr>
      </w:pPr>
      <w:r w:rsidRPr="00883399">
        <w:rPr>
          <w:sz w:val="24"/>
        </w:rPr>
        <w:tab/>
        <w:t>(b)</w:t>
      </w:r>
      <w:r w:rsidRPr="00883399">
        <w:rPr>
          <w:sz w:val="24"/>
        </w:rPr>
        <w:tab/>
        <w:t>method 2 under section 4.86;</w:t>
      </w:r>
    </w:p>
    <w:p w14:paraId="6E355ABA" w14:textId="77777777" w:rsidR="00872C03" w:rsidRPr="00883399" w:rsidRDefault="00872C03" w:rsidP="00872C03">
      <w:pPr>
        <w:pStyle w:val="paragraph"/>
        <w:rPr>
          <w:sz w:val="24"/>
        </w:rPr>
      </w:pPr>
      <w:r w:rsidRPr="00883399">
        <w:rPr>
          <w:sz w:val="24"/>
        </w:rPr>
        <w:tab/>
        <w:t>(c)</w:t>
      </w:r>
      <w:r w:rsidRPr="00883399">
        <w:rPr>
          <w:sz w:val="24"/>
        </w:rPr>
        <w:tab/>
        <w:t>method 3 under section 4.87.</w:t>
      </w:r>
    </w:p>
    <w:p w14:paraId="0FE694D9" w14:textId="77777777" w:rsidR="00872C03" w:rsidRPr="00883399" w:rsidRDefault="00872C03" w:rsidP="00872C03">
      <w:pPr>
        <w:pStyle w:val="notetext"/>
        <w:rPr>
          <w:sz w:val="20"/>
        </w:rPr>
      </w:pPr>
      <w:r w:rsidRPr="00883399">
        <w:rPr>
          <w:iCs/>
          <w:sz w:val="20"/>
        </w:rPr>
        <w:t>Note:</w:t>
      </w:r>
      <w:r w:rsidRPr="00883399">
        <w:rPr>
          <w:iCs/>
          <w:sz w:val="20"/>
        </w:rPr>
        <w:tab/>
      </w:r>
      <w:r w:rsidRPr="00883399">
        <w:rPr>
          <w:sz w:val="20"/>
        </w:rPr>
        <w:t>There is no method 1 or 4 for this provision.</w:t>
      </w:r>
    </w:p>
    <w:p w14:paraId="1BE9054D" w14:textId="77777777" w:rsidR="00872C03" w:rsidRPr="00883399" w:rsidRDefault="00872C03" w:rsidP="00872C03">
      <w:pPr>
        <w:pStyle w:val="subsection"/>
        <w:rPr>
          <w:sz w:val="24"/>
        </w:rPr>
      </w:pPr>
      <w:r w:rsidRPr="00883399">
        <w:rPr>
          <w:sz w:val="24"/>
        </w:rPr>
        <w:tab/>
        <w:t>(2)</w:t>
      </w:r>
      <w:r w:rsidRPr="00883399">
        <w:rPr>
          <w:sz w:val="24"/>
        </w:rPr>
        <w:tab/>
        <w:t>However, for incidental emissions another method may be used that is consistent with the principles in section 1.13.</w:t>
      </w:r>
    </w:p>
    <w:p w14:paraId="557D24DA" w14:textId="77777777" w:rsidR="006E1310" w:rsidRPr="00883399" w:rsidRDefault="006E1310" w:rsidP="006E1310">
      <w:pPr>
        <w:pStyle w:val="R2"/>
        <w:ind w:hanging="62"/>
        <w:rPr>
          <w:b/>
        </w:rPr>
      </w:pPr>
      <w:r w:rsidRPr="00883399">
        <w:rPr>
          <w:b/>
        </w:rPr>
        <w:t>Summary of available methods, for estimating tetrafluoromethane emissions aluminium production, by emissions of gas type (j)</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3"/>
        <w:gridCol w:w="4152"/>
      </w:tblGrid>
      <w:tr w:rsidR="006E1310" w:rsidRPr="00883399" w14:paraId="5BD30879" w14:textId="77777777" w:rsidTr="0031057E">
        <w:tc>
          <w:tcPr>
            <w:tcW w:w="3313" w:type="dxa"/>
            <w:shd w:val="clear" w:color="auto" w:fill="E6E6E6"/>
          </w:tcPr>
          <w:p w14:paraId="3CFB9CC8" w14:textId="77777777" w:rsidR="006E1310" w:rsidRPr="00883399" w:rsidRDefault="006E1310" w:rsidP="0031057E">
            <w:pPr>
              <w:pStyle w:val="Text"/>
            </w:pPr>
          </w:p>
        </w:tc>
        <w:tc>
          <w:tcPr>
            <w:tcW w:w="4261" w:type="dxa"/>
            <w:shd w:val="clear" w:color="auto" w:fill="E6E6E6"/>
          </w:tcPr>
          <w:p w14:paraId="1BBA797A" w14:textId="77777777" w:rsidR="006E1310" w:rsidRPr="00883399" w:rsidRDefault="006E1310" w:rsidP="0031057E">
            <w:pPr>
              <w:pStyle w:val="Text"/>
            </w:pPr>
            <w:r w:rsidRPr="00883399">
              <w:t>Tetrafluoromethane</w:t>
            </w:r>
          </w:p>
        </w:tc>
      </w:tr>
      <w:tr w:rsidR="006E1310" w:rsidRPr="00883399" w14:paraId="07C24FAA" w14:textId="77777777" w:rsidTr="0031057E">
        <w:tc>
          <w:tcPr>
            <w:tcW w:w="3313" w:type="dxa"/>
          </w:tcPr>
          <w:p w14:paraId="49F8EAEA" w14:textId="77777777" w:rsidR="006E1310" w:rsidRPr="00883399" w:rsidRDefault="006E1310" w:rsidP="0031057E">
            <w:pPr>
              <w:pStyle w:val="Text"/>
              <w:spacing w:before="120" w:line="240" w:lineRule="auto"/>
            </w:pPr>
            <w:r w:rsidRPr="00883399">
              <w:t>Method 2</w:t>
            </w:r>
          </w:p>
        </w:tc>
        <w:tc>
          <w:tcPr>
            <w:tcW w:w="4261" w:type="dxa"/>
          </w:tcPr>
          <w:p w14:paraId="6D58EE7E" w14:textId="77777777" w:rsidR="006E1310" w:rsidRPr="00883399" w:rsidRDefault="006E1310" w:rsidP="0031057E">
            <w:pPr>
              <w:pStyle w:val="Text"/>
              <w:spacing w:before="120" w:line="240" w:lineRule="auto"/>
            </w:pPr>
            <w:r w:rsidRPr="00883399">
              <w:t>Section 4.86</w:t>
            </w:r>
          </w:p>
        </w:tc>
      </w:tr>
      <w:tr w:rsidR="006E1310" w:rsidRPr="00883399" w14:paraId="1EAB7CFA" w14:textId="77777777" w:rsidTr="0031057E">
        <w:tc>
          <w:tcPr>
            <w:tcW w:w="3313" w:type="dxa"/>
          </w:tcPr>
          <w:p w14:paraId="4476D1D9" w14:textId="77777777" w:rsidR="006E1310" w:rsidRPr="00883399" w:rsidRDefault="006E1310" w:rsidP="0031057E">
            <w:pPr>
              <w:pStyle w:val="Text"/>
              <w:spacing w:before="120" w:line="240" w:lineRule="auto"/>
            </w:pPr>
            <w:r w:rsidRPr="00883399">
              <w:t>Method 3</w:t>
            </w:r>
          </w:p>
        </w:tc>
        <w:tc>
          <w:tcPr>
            <w:tcW w:w="4261" w:type="dxa"/>
          </w:tcPr>
          <w:p w14:paraId="1D5D484D" w14:textId="77777777" w:rsidR="006E1310" w:rsidRPr="00883399" w:rsidRDefault="006E1310" w:rsidP="0031057E">
            <w:pPr>
              <w:pStyle w:val="Text"/>
              <w:spacing w:before="120" w:line="240" w:lineRule="auto"/>
            </w:pPr>
            <w:r w:rsidRPr="00883399">
              <w:t>Section 4.87</w:t>
            </w:r>
          </w:p>
        </w:tc>
      </w:tr>
    </w:tbl>
    <w:p w14:paraId="33E655D8" w14:textId="77777777" w:rsidR="006E1310" w:rsidRPr="00883399" w:rsidRDefault="006E1310" w:rsidP="00872C03">
      <w:pPr>
        <w:pStyle w:val="subsection"/>
        <w:rPr>
          <w:sz w:val="24"/>
        </w:rPr>
      </w:pPr>
    </w:p>
    <w:p w14:paraId="2677FCD6" w14:textId="77777777" w:rsidR="006E1310" w:rsidRPr="00883399" w:rsidRDefault="006E1310" w:rsidP="00872C03">
      <w:pPr>
        <w:pStyle w:val="subsection"/>
        <w:rPr>
          <w:sz w:val="24"/>
        </w:rPr>
      </w:pPr>
    </w:p>
    <w:p w14:paraId="642B6E83" w14:textId="40AB2CA9" w:rsidR="00872C03" w:rsidRPr="00883399" w:rsidRDefault="00872C03" w:rsidP="00872C03">
      <w:pPr>
        <w:pStyle w:val="ActHead5"/>
        <w:rPr>
          <w:sz w:val="28"/>
        </w:rPr>
      </w:pPr>
      <w:bookmarkStart w:id="1016" w:name="_Toc423517104"/>
      <w:bookmarkStart w:id="1017" w:name="_Toc495653036"/>
      <w:r w:rsidRPr="00883399">
        <w:rPr>
          <w:rStyle w:val="CharSectno"/>
          <w:sz w:val="28"/>
        </w:rPr>
        <w:t>4.85</w:t>
      </w:r>
      <w:r w:rsidRPr="00883399">
        <w:rPr>
          <w:sz w:val="28"/>
        </w:rPr>
        <w:t xml:space="preserve">  Method 1—aluminium (tetrafluoromethane)</w:t>
      </w:r>
      <w:bookmarkEnd w:id="1016"/>
      <w:bookmarkEnd w:id="1017"/>
    </w:p>
    <w:p w14:paraId="713B9072" w14:textId="77777777" w:rsidR="00872C03" w:rsidRPr="00883399" w:rsidRDefault="00872C03" w:rsidP="00872C03">
      <w:pPr>
        <w:pStyle w:val="subsection"/>
        <w:rPr>
          <w:sz w:val="24"/>
        </w:rPr>
      </w:pPr>
      <w:r w:rsidRPr="00883399">
        <w:rPr>
          <w:sz w:val="24"/>
        </w:rPr>
        <w:tab/>
      </w:r>
      <w:r w:rsidRPr="00883399">
        <w:rPr>
          <w:sz w:val="24"/>
        </w:rPr>
        <w:tab/>
        <w:t>Method 1 is:</w:t>
      </w:r>
    </w:p>
    <w:p w14:paraId="15216518" w14:textId="1DFD0C8E" w:rsidR="00872C03" w:rsidRPr="00883399" w:rsidRDefault="00872C03" w:rsidP="00872C03">
      <w:pPr>
        <w:pStyle w:val="subsection"/>
        <w:spacing w:before="120" w:after="120"/>
        <w:rPr>
          <w:sz w:val="24"/>
        </w:rPr>
      </w:pPr>
      <w:r w:rsidRPr="00883399">
        <w:rPr>
          <w:sz w:val="24"/>
        </w:rPr>
        <w:lastRenderedPageBreak/>
        <w:tab/>
      </w:r>
      <w:r w:rsidRPr="00883399">
        <w:rPr>
          <w:sz w:val="24"/>
        </w:rPr>
        <w:tab/>
      </w:r>
      <w:r w:rsidRPr="00883399">
        <w:rPr>
          <w:noProof/>
          <w:sz w:val="24"/>
        </w:rPr>
        <w:drawing>
          <wp:inline distT="0" distB="0" distL="0" distR="0" wp14:anchorId="1857B348" wp14:editId="77859EA1">
            <wp:extent cx="1033145" cy="201930"/>
            <wp:effectExtent l="1905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35"/>
                    <a:srcRect/>
                    <a:stretch>
                      <a:fillRect/>
                    </a:stretch>
                  </pic:blipFill>
                  <pic:spPr bwMode="auto">
                    <a:xfrm>
                      <a:off x="0" y="0"/>
                      <a:ext cx="1033145" cy="201930"/>
                    </a:xfrm>
                    <a:prstGeom prst="rect">
                      <a:avLst/>
                    </a:prstGeom>
                    <a:noFill/>
                    <a:ln w="9525">
                      <a:noFill/>
                      <a:miter lim="800000"/>
                      <a:headEnd/>
                      <a:tailEnd/>
                    </a:ln>
                  </pic:spPr>
                </pic:pic>
              </a:graphicData>
            </a:graphic>
          </wp:inline>
        </w:drawing>
      </w:r>
    </w:p>
    <w:p w14:paraId="3D3010FA" w14:textId="77777777" w:rsidR="00872C03" w:rsidRPr="00883399" w:rsidRDefault="00872C03" w:rsidP="00872C03">
      <w:pPr>
        <w:pStyle w:val="subsection2"/>
        <w:rPr>
          <w:sz w:val="24"/>
        </w:rPr>
      </w:pPr>
      <w:r w:rsidRPr="00883399">
        <w:rPr>
          <w:sz w:val="24"/>
        </w:rPr>
        <w:t>where:</w:t>
      </w:r>
    </w:p>
    <w:p w14:paraId="780816B1" w14:textId="77777777" w:rsidR="00872C03" w:rsidRPr="00883399" w:rsidRDefault="00872C03" w:rsidP="00872C03">
      <w:pPr>
        <w:pStyle w:val="Definition0"/>
        <w:rPr>
          <w:sz w:val="24"/>
        </w:rPr>
      </w:pPr>
      <w:r w:rsidRPr="00883399">
        <w:rPr>
          <w:b/>
          <w:i/>
          <w:sz w:val="24"/>
        </w:rPr>
        <w:t>E</w:t>
      </w:r>
      <w:r w:rsidRPr="00883399">
        <w:rPr>
          <w:b/>
          <w:i/>
          <w:sz w:val="24"/>
          <w:vertAlign w:val="subscript"/>
        </w:rPr>
        <w:t>ij</w:t>
      </w:r>
      <w:r w:rsidRPr="00883399">
        <w:rPr>
          <w:b/>
          <w:i/>
          <w:sz w:val="24"/>
        </w:rPr>
        <w:t xml:space="preserve"> </w:t>
      </w:r>
      <w:r w:rsidRPr="00883399">
        <w:rPr>
          <w:sz w:val="24"/>
        </w:rPr>
        <w:t>is the amount of emissions of tetrafluoromethane released from primary aluminium production during the year measured in CO</w:t>
      </w:r>
      <w:r w:rsidRPr="00883399">
        <w:rPr>
          <w:sz w:val="24"/>
          <w:vertAlign w:val="subscript"/>
        </w:rPr>
        <w:t>2</w:t>
      </w:r>
      <w:r w:rsidRPr="00883399">
        <w:rPr>
          <w:sz w:val="24"/>
        </w:rPr>
        <w:noBreakHyphen/>
        <w:t>e tonnes.</w:t>
      </w:r>
    </w:p>
    <w:p w14:paraId="695B7644" w14:textId="77777777" w:rsidR="00872C03" w:rsidRPr="00883399" w:rsidRDefault="00872C03" w:rsidP="00872C03">
      <w:pPr>
        <w:pStyle w:val="Definition0"/>
        <w:rPr>
          <w:sz w:val="24"/>
        </w:rPr>
      </w:pPr>
      <w:r w:rsidRPr="00883399">
        <w:rPr>
          <w:b/>
          <w:i/>
          <w:sz w:val="24"/>
        </w:rPr>
        <w:t>A</w:t>
      </w:r>
      <w:r w:rsidRPr="00883399">
        <w:rPr>
          <w:b/>
          <w:i/>
          <w:sz w:val="24"/>
          <w:vertAlign w:val="subscript"/>
        </w:rPr>
        <w:t>i</w:t>
      </w:r>
      <w:r w:rsidRPr="00883399">
        <w:rPr>
          <w:b/>
          <w:i/>
          <w:sz w:val="24"/>
        </w:rPr>
        <w:t xml:space="preserve"> </w:t>
      </w:r>
      <w:r w:rsidRPr="00883399">
        <w:rPr>
          <w:sz w:val="24"/>
        </w:rPr>
        <w:t>is the amount of primary aluminium production during the year measured in tonnes.</w:t>
      </w:r>
    </w:p>
    <w:p w14:paraId="74D4F32E" w14:textId="77777777" w:rsidR="00872C03" w:rsidRPr="00883399" w:rsidRDefault="00872C03" w:rsidP="00872C03">
      <w:pPr>
        <w:pStyle w:val="Definition0"/>
        <w:rPr>
          <w:sz w:val="24"/>
        </w:rPr>
      </w:pPr>
      <w:r w:rsidRPr="00883399">
        <w:rPr>
          <w:b/>
          <w:i/>
          <w:sz w:val="24"/>
        </w:rPr>
        <w:t>EF</w:t>
      </w:r>
      <w:r w:rsidRPr="00883399">
        <w:rPr>
          <w:b/>
          <w:i/>
          <w:sz w:val="24"/>
          <w:vertAlign w:val="subscript"/>
        </w:rPr>
        <w:t>ij</w:t>
      </w:r>
      <w:r w:rsidRPr="00883399">
        <w:rPr>
          <w:b/>
          <w:i/>
          <w:sz w:val="24"/>
        </w:rPr>
        <w:t xml:space="preserve"> </w:t>
      </w:r>
      <w:r w:rsidRPr="00883399">
        <w:rPr>
          <w:sz w:val="24"/>
        </w:rPr>
        <w:t>is 0.30, which is the emission factor for tetrafluoromethane measured in CO</w:t>
      </w:r>
      <w:r w:rsidRPr="00883399">
        <w:rPr>
          <w:sz w:val="24"/>
          <w:vertAlign w:val="subscript"/>
        </w:rPr>
        <w:t>2</w:t>
      </w:r>
      <w:r w:rsidRPr="00883399">
        <w:rPr>
          <w:sz w:val="24"/>
        </w:rPr>
        <w:noBreakHyphen/>
        <w:t>e tonnes for each tonne of aluminium produced during the year.</w:t>
      </w:r>
    </w:p>
    <w:p w14:paraId="28821BCE" w14:textId="259858F2" w:rsidR="00872C03" w:rsidRPr="00883399" w:rsidRDefault="00872C03" w:rsidP="00872C03">
      <w:pPr>
        <w:pStyle w:val="ActHead5"/>
        <w:rPr>
          <w:sz w:val="28"/>
        </w:rPr>
      </w:pPr>
      <w:bookmarkStart w:id="1018" w:name="_Toc423517105"/>
      <w:bookmarkStart w:id="1019" w:name="_Toc495653037"/>
      <w:r w:rsidRPr="00883399">
        <w:rPr>
          <w:rStyle w:val="CharSectno"/>
          <w:sz w:val="28"/>
        </w:rPr>
        <w:t>4.86</w:t>
      </w:r>
      <w:r w:rsidRPr="00883399">
        <w:rPr>
          <w:sz w:val="28"/>
        </w:rPr>
        <w:t xml:space="preserve">  Method 2—aluminium (tetrafluoromethane)</w:t>
      </w:r>
      <w:bookmarkEnd w:id="1018"/>
      <w:bookmarkEnd w:id="1019"/>
    </w:p>
    <w:p w14:paraId="22717D7D" w14:textId="77777777" w:rsidR="00872C03" w:rsidRPr="00883399" w:rsidRDefault="00872C03" w:rsidP="00872C03">
      <w:pPr>
        <w:pStyle w:val="subsection"/>
        <w:rPr>
          <w:sz w:val="24"/>
        </w:rPr>
      </w:pPr>
      <w:r w:rsidRPr="00883399">
        <w:rPr>
          <w:sz w:val="24"/>
        </w:rPr>
        <w:tab/>
      </w:r>
      <w:r w:rsidRPr="00883399">
        <w:rPr>
          <w:sz w:val="24"/>
        </w:rPr>
        <w:tab/>
        <w:t>Method 2 is the Tier 2 method for estimating perfluorocarbon emissions as set out in the Perfluorocarbon protocol.</w:t>
      </w:r>
    </w:p>
    <w:p w14:paraId="76E7DB1B" w14:textId="2E0FF054" w:rsidR="00872C03" w:rsidRPr="00883399" w:rsidRDefault="00872C03" w:rsidP="00872C03">
      <w:pPr>
        <w:pStyle w:val="ActHead5"/>
        <w:rPr>
          <w:sz w:val="28"/>
        </w:rPr>
      </w:pPr>
      <w:bookmarkStart w:id="1020" w:name="_Toc423517106"/>
      <w:bookmarkStart w:id="1021" w:name="_Toc495653038"/>
      <w:r w:rsidRPr="00883399">
        <w:rPr>
          <w:rStyle w:val="CharSectno"/>
          <w:sz w:val="28"/>
        </w:rPr>
        <w:t>4.87</w:t>
      </w:r>
      <w:r w:rsidRPr="00883399">
        <w:rPr>
          <w:sz w:val="28"/>
        </w:rPr>
        <w:t xml:space="preserve">  Method 3—aluminium (tetrafluoromethane)</w:t>
      </w:r>
      <w:bookmarkEnd w:id="1020"/>
      <w:bookmarkEnd w:id="1021"/>
    </w:p>
    <w:p w14:paraId="37CD8B94" w14:textId="77777777" w:rsidR="00872C03" w:rsidRPr="00883399" w:rsidRDefault="00872C03" w:rsidP="00872C03">
      <w:pPr>
        <w:pStyle w:val="subsection"/>
        <w:rPr>
          <w:sz w:val="24"/>
        </w:rPr>
      </w:pPr>
      <w:r w:rsidRPr="00883399">
        <w:rPr>
          <w:sz w:val="24"/>
        </w:rPr>
        <w:tab/>
      </w:r>
      <w:r w:rsidRPr="00883399">
        <w:rPr>
          <w:sz w:val="24"/>
        </w:rPr>
        <w:tab/>
        <w:t>Method 3 is the Tier 3 method for estimating facility</w:t>
      </w:r>
      <w:r w:rsidRPr="00883399">
        <w:rPr>
          <w:sz w:val="24"/>
        </w:rPr>
        <w:noBreakHyphen/>
        <w:t>specific perfluorocarbon emissions as set out in the Perfluorocarbon protocol.</w:t>
      </w:r>
    </w:p>
    <w:p w14:paraId="63706E7A" w14:textId="68A82470" w:rsidR="00872C03" w:rsidRPr="00883399" w:rsidRDefault="00872C03" w:rsidP="00872C03">
      <w:pPr>
        <w:pStyle w:val="ActHead4"/>
        <w:rPr>
          <w:sz w:val="28"/>
        </w:rPr>
      </w:pPr>
      <w:bookmarkStart w:id="1022" w:name="_Toc423517107"/>
      <w:bookmarkStart w:id="1023" w:name="_Toc495653039"/>
      <w:r w:rsidRPr="00883399">
        <w:rPr>
          <w:rStyle w:val="CharSubdNo"/>
          <w:sz w:val="28"/>
        </w:rPr>
        <w:t>Subdivision 4.4.4.2</w:t>
      </w:r>
      <w:r w:rsidRPr="00883399">
        <w:rPr>
          <w:sz w:val="28"/>
        </w:rPr>
        <w:t>—</w:t>
      </w:r>
      <w:r w:rsidRPr="00883399">
        <w:rPr>
          <w:rStyle w:val="CharSubdText"/>
          <w:sz w:val="28"/>
        </w:rPr>
        <w:t>Aluminium—emissions of hexafluoroethane in aluminium production</w:t>
      </w:r>
      <w:bookmarkEnd w:id="1022"/>
      <w:bookmarkEnd w:id="1023"/>
    </w:p>
    <w:p w14:paraId="6B4B239F" w14:textId="751DB46A" w:rsidR="00872C03" w:rsidRPr="00883399" w:rsidRDefault="00872C03" w:rsidP="00872C03">
      <w:pPr>
        <w:pStyle w:val="ActHead5"/>
        <w:rPr>
          <w:sz w:val="28"/>
        </w:rPr>
      </w:pPr>
      <w:bookmarkStart w:id="1024" w:name="_Toc423517108"/>
      <w:bookmarkStart w:id="1025" w:name="_Toc495653040"/>
      <w:r w:rsidRPr="00883399">
        <w:rPr>
          <w:rStyle w:val="CharSectno"/>
          <w:sz w:val="28"/>
        </w:rPr>
        <w:t>4.88</w:t>
      </w:r>
      <w:r w:rsidRPr="00883399">
        <w:rPr>
          <w:sz w:val="28"/>
        </w:rPr>
        <w:t xml:space="preserve">  Available methods</w:t>
      </w:r>
      <w:bookmarkEnd w:id="1024"/>
      <w:bookmarkEnd w:id="1025"/>
    </w:p>
    <w:p w14:paraId="3CA27AC8" w14:textId="77777777" w:rsidR="00872C03" w:rsidRPr="00883399" w:rsidRDefault="00872C03" w:rsidP="00872C03">
      <w:pPr>
        <w:pStyle w:val="subsection"/>
        <w:rPr>
          <w:sz w:val="24"/>
        </w:rPr>
      </w:pPr>
      <w:r w:rsidRPr="00883399">
        <w:rPr>
          <w:sz w:val="24"/>
        </w:rPr>
        <w:tab/>
        <w:t>(1)</w:t>
      </w:r>
      <w:r w:rsidRPr="00883399">
        <w:rPr>
          <w:sz w:val="24"/>
        </w:rPr>
        <w:tab/>
        <w:t>Subject to section 1.18, one of the following methods must be used for estimating emissions of hexafluoroethane released during a year from the operation of a facility that is constituted by the production of aluminium:</w:t>
      </w:r>
    </w:p>
    <w:p w14:paraId="404D1369" w14:textId="77777777" w:rsidR="00872C03" w:rsidRPr="00883399" w:rsidRDefault="00872C03" w:rsidP="00872C03">
      <w:pPr>
        <w:pStyle w:val="paragraph"/>
        <w:rPr>
          <w:sz w:val="24"/>
        </w:rPr>
      </w:pPr>
      <w:r w:rsidRPr="00883399">
        <w:rPr>
          <w:sz w:val="24"/>
        </w:rPr>
        <w:tab/>
        <w:t>(b)</w:t>
      </w:r>
      <w:r w:rsidRPr="00883399">
        <w:rPr>
          <w:sz w:val="24"/>
        </w:rPr>
        <w:tab/>
        <w:t>method 2 under section 4.90;</w:t>
      </w:r>
    </w:p>
    <w:p w14:paraId="67EE8B4B" w14:textId="77777777" w:rsidR="00872C03" w:rsidRPr="00883399" w:rsidRDefault="00872C03" w:rsidP="00872C03">
      <w:pPr>
        <w:pStyle w:val="paragraph"/>
        <w:rPr>
          <w:sz w:val="24"/>
        </w:rPr>
      </w:pPr>
      <w:r w:rsidRPr="00883399">
        <w:rPr>
          <w:sz w:val="24"/>
        </w:rPr>
        <w:tab/>
        <w:t>(c)</w:t>
      </w:r>
      <w:r w:rsidRPr="00883399">
        <w:rPr>
          <w:sz w:val="24"/>
        </w:rPr>
        <w:tab/>
        <w:t>method 3 under section 4.91.</w:t>
      </w:r>
    </w:p>
    <w:p w14:paraId="4562A884" w14:textId="77777777" w:rsidR="00872C03" w:rsidRPr="00883399" w:rsidRDefault="00872C03" w:rsidP="00872C03">
      <w:pPr>
        <w:pStyle w:val="notetext"/>
        <w:rPr>
          <w:sz w:val="20"/>
        </w:rPr>
      </w:pPr>
      <w:r w:rsidRPr="00883399">
        <w:rPr>
          <w:iCs/>
          <w:sz w:val="20"/>
        </w:rPr>
        <w:t>Note:</w:t>
      </w:r>
      <w:r w:rsidRPr="00883399">
        <w:rPr>
          <w:iCs/>
          <w:sz w:val="20"/>
        </w:rPr>
        <w:tab/>
      </w:r>
      <w:r w:rsidRPr="00883399">
        <w:rPr>
          <w:sz w:val="20"/>
        </w:rPr>
        <w:t>There is no method 1 or 4 for this provision.</w:t>
      </w:r>
    </w:p>
    <w:p w14:paraId="74E7BBD9" w14:textId="77777777" w:rsidR="00872C03" w:rsidRPr="00883399" w:rsidRDefault="00872C03" w:rsidP="00872C03">
      <w:pPr>
        <w:pStyle w:val="subsection"/>
        <w:rPr>
          <w:sz w:val="24"/>
        </w:rPr>
      </w:pPr>
      <w:r w:rsidRPr="00883399">
        <w:rPr>
          <w:sz w:val="24"/>
        </w:rPr>
        <w:tab/>
        <w:t>(2)</w:t>
      </w:r>
      <w:r w:rsidRPr="00883399">
        <w:rPr>
          <w:sz w:val="24"/>
        </w:rPr>
        <w:tab/>
        <w:t>However, for incidental emissions another method may be used that is consistent with the principles in section 1.13.</w:t>
      </w:r>
    </w:p>
    <w:p w14:paraId="791E633F" w14:textId="77777777" w:rsidR="005033AE" w:rsidRPr="00883399" w:rsidRDefault="005033AE" w:rsidP="00872C03">
      <w:pPr>
        <w:pStyle w:val="subsection"/>
        <w:rPr>
          <w:sz w:val="24"/>
        </w:rPr>
      </w:pPr>
    </w:p>
    <w:p w14:paraId="1DD26BFD" w14:textId="77777777" w:rsidR="005033AE" w:rsidRPr="00883399" w:rsidRDefault="005033AE" w:rsidP="00872C03">
      <w:pPr>
        <w:pStyle w:val="subsection"/>
        <w:rPr>
          <w:sz w:val="24"/>
        </w:rPr>
      </w:pPr>
    </w:p>
    <w:p w14:paraId="2C858561" w14:textId="77777777" w:rsidR="005033AE" w:rsidRPr="00883399" w:rsidRDefault="005033AE" w:rsidP="00872C03">
      <w:pPr>
        <w:pStyle w:val="subsection"/>
        <w:rPr>
          <w:sz w:val="24"/>
        </w:rPr>
      </w:pPr>
    </w:p>
    <w:p w14:paraId="195AA41F" w14:textId="77777777" w:rsidR="006E1310" w:rsidRPr="00883399" w:rsidRDefault="006E1310" w:rsidP="006E1310">
      <w:pPr>
        <w:pStyle w:val="R2"/>
        <w:ind w:hanging="62"/>
        <w:rPr>
          <w:b/>
        </w:rPr>
      </w:pPr>
      <w:r w:rsidRPr="00883399">
        <w:rPr>
          <w:b/>
        </w:rPr>
        <w:t>Summary of available methods, for estimating hexafluoroethane emissions aluminium production, by emissions of gas type (j)</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6"/>
        <w:gridCol w:w="4149"/>
      </w:tblGrid>
      <w:tr w:rsidR="006E1310" w:rsidRPr="00883399" w14:paraId="4F9FA4CD" w14:textId="77777777" w:rsidTr="0031057E">
        <w:tc>
          <w:tcPr>
            <w:tcW w:w="3313" w:type="dxa"/>
            <w:shd w:val="clear" w:color="auto" w:fill="E6E6E6"/>
          </w:tcPr>
          <w:p w14:paraId="4556F07C" w14:textId="77777777" w:rsidR="006E1310" w:rsidRPr="00883399" w:rsidRDefault="006E1310" w:rsidP="0031057E">
            <w:pPr>
              <w:pStyle w:val="Text"/>
            </w:pPr>
          </w:p>
        </w:tc>
        <w:tc>
          <w:tcPr>
            <w:tcW w:w="4261" w:type="dxa"/>
            <w:shd w:val="clear" w:color="auto" w:fill="E6E6E6"/>
          </w:tcPr>
          <w:p w14:paraId="335499DE" w14:textId="77777777" w:rsidR="006E1310" w:rsidRPr="00883399" w:rsidRDefault="006E1310" w:rsidP="0031057E">
            <w:pPr>
              <w:pStyle w:val="Text"/>
            </w:pPr>
            <w:r w:rsidRPr="00883399">
              <w:t>Hexafluoroethane</w:t>
            </w:r>
          </w:p>
        </w:tc>
      </w:tr>
      <w:tr w:rsidR="006E1310" w:rsidRPr="00883399" w14:paraId="6E1EFD4C" w14:textId="77777777" w:rsidTr="0031057E">
        <w:tc>
          <w:tcPr>
            <w:tcW w:w="3313" w:type="dxa"/>
          </w:tcPr>
          <w:p w14:paraId="3A822D6E" w14:textId="77777777" w:rsidR="006E1310" w:rsidRPr="00883399" w:rsidRDefault="006E1310" w:rsidP="0031057E">
            <w:pPr>
              <w:pStyle w:val="Text"/>
              <w:spacing w:before="120" w:line="240" w:lineRule="auto"/>
            </w:pPr>
            <w:r w:rsidRPr="00883399">
              <w:t>Method 2</w:t>
            </w:r>
          </w:p>
        </w:tc>
        <w:tc>
          <w:tcPr>
            <w:tcW w:w="4261" w:type="dxa"/>
          </w:tcPr>
          <w:p w14:paraId="2F15B073" w14:textId="77777777" w:rsidR="006E1310" w:rsidRPr="00883399" w:rsidRDefault="006E1310" w:rsidP="0031057E">
            <w:pPr>
              <w:pStyle w:val="Text"/>
              <w:spacing w:before="120" w:line="240" w:lineRule="auto"/>
            </w:pPr>
            <w:r w:rsidRPr="00883399">
              <w:t>Section 4.90</w:t>
            </w:r>
          </w:p>
        </w:tc>
      </w:tr>
      <w:tr w:rsidR="006E1310" w:rsidRPr="00883399" w14:paraId="5451E10C" w14:textId="77777777" w:rsidTr="0031057E">
        <w:tc>
          <w:tcPr>
            <w:tcW w:w="3313" w:type="dxa"/>
          </w:tcPr>
          <w:p w14:paraId="35E83E6D" w14:textId="77777777" w:rsidR="006E1310" w:rsidRPr="00883399" w:rsidRDefault="006E1310" w:rsidP="0031057E">
            <w:pPr>
              <w:pStyle w:val="Text"/>
              <w:spacing w:before="120" w:line="240" w:lineRule="auto"/>
            </w:pPr>
            <w:r w:rsidRPr="00883399">
              <w:t>Method 3</w:t>
            </w:r>
          </w:p>
        </w:tc>
        <w:tc>
          <w:tcPr>
            <w:tcW w:w="4261" w:type="dxa"/>
          </w:tcPr>
          <w:p w14:paraId="29AFB224" w14:textId="77777777" w:rsidR="006E1310" w:rsidRPr="00883399" w:rsidRDefault="006E1310" w:rsidP="0031057E">
            <w:pPr>
              <w:pStyle w:val="Text"/>
              <w:spacing w:before="120" w:line="240" w:lineRule="auto"/>
            </w:pPr>
            <w:r w:rsidRPr="00883399">
              <w:t>Section 4.91</w:t>
            </w:r>
          </w:p>
        </w:tc>
      </w:tr>
    </w:tbl>
    <w:p w14:paraId="64337E9F" w14:textId="77777777" w:rsidR="006E1310" w:rsidRPr="00883399" w:rsidRDefault="006E1310" w:rsidP="00872C03">
      <w:pPr>
        <w:pStyle w:val="subsection"/>
        <w:rPr>
          <w:sz w:val="24"/>
        </w:rPr>
      </w:pPr>
    </w:p>
    <w:p w14:paraId="268D7DDE" w14:textId="1242E7BB" w:rsidR="00872C03" w:rsidRPr="00883399" w:rsidRDefault="00872C03" w:rsidP="00872C03">
      <w:pPr>
        <w:pStyle w:val="ActHead5"/>
        <w:rPr>
          <w:sz w:val="28"/>
        </w:rPr>
      </w:pPr>
      <w:bookmarkStart w:id="1026" w:name="_Toc423517109"/>
      <w:bookmarkStart w:id="1027" w:name="_Toc495653041"/>
      <w:r w:rsidRPr="00883399">
        <w:rPr>
          <w:rStyle w:val="CharSectno"/>
          <w:sz w:val="28"/>
        </w:rPr>
        <w:t>4.89</w:t>
      </w:r>
      <w:r w:rsidRPr="00883399">
        <w:rPr>
          <w:sz w:val="28"/>
        </w:rPr>
        <w:t xml:space="preserve">  Method 1—aluminium production (hexafluoroethane)</w:t>
      </w:r>
      <w:bookmarkEnd w:id="1026"/>
      <w:bookmarkEnd w:id="1027"/>
    </w:p>
    <w:p w14:paraId="1D227AE7" w14:textId="77777777" w:rsidR="00872C03" w:rsidRPr="00883399" w:rsidRDefault="00872C03" w:rsidP="00872C03">
      <w:pPr>
        <w:pStyle w:val="subsection"/>
        <w:rPr>
          <w:sz w:val="24"/>
        </w:rPr>
      </w:pPr>
      <w:r w:rsidRPr="00883399">
        <w:rPr>
          <w:sz w:val="24"/>
        </w:rPr>
        <w:tab/>
      </w:r>
      <w:r w:rsidRPr="00883399">
        <w:rPr>
          <w:sz w:val="24"/>
        </w:rPr>
        <w:tab/>
        <w:t>Method 1 is:</w:t>
      </w:r>
    </w:p>
    <w:p w14:paraId="4ED1ADCF" w14:textId="5319DD46"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5C237FA5" wp14:editId="58E4D234">
            <wp:extent cx="1033145" cy="201930"/>
            <wp:effectExtent l="1905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36"/>
                    <a:srcRect/>
                    <a:stretch>
                      <a:fillRect/>
                    </a:stretch>
                  </pic:blipFill>
                  <pic:spPr bwMode="auto">
                    <a:xfrm>
                      <a:off x="0" y="0"/>
                      <a:ext cx="1033145" cy="201930"/>
                    </a:xfrm>
                    <a:prstGeom prst="rect">
                      <a:avLst/>
                    </a:prstGeom>
                    <a:noFill/>
                    <a:ln w="9525">
                      <a:noFill/>
                      <a:miter lim="800000"/>
                      <a:headEnd/>
                      <a:tailEnd/>
                    </a:ln>
                  </pic:spPr>
                </pic:pic>
              </a:graphicData>
            </a:graphic>
          </wp:inline>
        </w:drawing>
      </w:r>
    </w:p>
    <w:p w14:paraId="5D05B963" w14:textId="77777777" w:rsidR="00872C03" w:rsidRPr="00883399" w:rsidRDefault="00872C03" w:rsidP="00872C03">
      <w:pPr>
        <w:pStyle w:val="subsection2"/>
        <w:rPr>
          <w:sz w:val="24"/>
        </w:rPr>
      </w:pPr>
      <w:r w:rsidRPr="00883399">
        <w:rPr>
          <w:sz w:val="24"/>
        </w:rPr>
        <w:t>where:</w:t>
      </w:r>
    </w:p>
    <w:p w14:paraId="3FA5E6FA" w14:textId="77777777" w:rsidR="00872C03" w:rsidRPr="00883399" w:rsidRDefault="00872C03" w:rsidP="00872C03">
      <w:pPr>
        <w:pStyle w:val="Definition0"/>
        <w:rPr>
          <w:sz w:val="24"/>
        </w:rPr>
      </w:pPr>
      <w:r w:rsidRPr="00883399">
        <w:rPr>
          <w:b/>
          <w:i/>
          <w:sz w:val="24"/>
        </w:rPr>
        <w:t>E</w:t>
      </w:r>
      <w:r w:rsidRPr="00883399">
        <w:rPr>
          <w:b/>
          <w:i/>
          <w:sz w:val="24"/>
          <w:vertAlign w:val="subscript"/>
        </w:rPr>
        <w:t>ij</w:t>
      </w:r>
      <w:r w:rsidRPr="00883399">
        <w:rPr>
          <w:b/>
          <w:i/>
          <w:sz w:val="24"/>
        </w:rPr>
        <w:t xml:space="preserve"> </w:t>
      </w:r>
      <w:r w:rsidRPr="00883399">
        <w:rPr>
          <w:sz w:val="24"/>
        </w:rPr>
        <w:t>is the emissions of hexafluoroethane released from primary aluminium production during the year measured in CO</w:t>
      </w:r>
      <w:r w:rsidRPr="00883399">
        <w:rPr>
          <w:sz w:val="24"/>
          <w:vertAlign w:val="subscript"/>
        </w:rPr>
        <w:t>2</w:t>
      </w:r>
      <w:r w:rsidRPr="00883399">
        <w:rPr>
          <w:sz w:val="24"/>
        </w:rPr>
        <w:noBreakHyphen/>
        <w:t>e tonnes.</w:t>
      </w:r>
    </w:p>
    <w:p w14:paraId="5A9AE0C2" w14:textId="77777777" w:rsidR="00872C03" w:rsidRPr="00883399" w:rsidRDefault="00872C03" w:rsidP="00872C03">
      <w:pPr>
        <w:pStyle w:val="Definition0"/>
        <w:rPr>
          <w:sz w:val="24"/>
        </w:rPr>
      </w:pPr>
      <w:r w:rsidRPr="00883399">
        <w:rPr>
          <w:b/>
          <w:i/>
          <w:sz w:val="24"/>
        </w:rPr>
        <w:t>A</w:t>
      </w:r>
      <w:r w:rsidRPr="00883399">
        <w:rPr>
          <w:b/>
          <w:i/>
          <w:sz w:val="24"/>
          <w:vertAlign w:val="subscript"/>
        </w:rPr>
        <w:t>i</w:t>
      </w:r>
      <w:r w:rsidRPr="00883399">
        <w:rPr>
          <w:b/>
          <w:i/>
          <w:sz w:val="24"/>
        </w:rPr>
        <w:t xml:space="preserve"> </w:t>
      </w:r>
      <w:r w:rsidRPr="00883399">
        <w:rPr>
          <w:sz w:val="24"/>
        </w:rPr>
        <w:t>is the amount of primary aluminium production during the year measured in tonnes.</w:t>
      </w:r>
    </w:p>
    <w:p w14:paraId="02AD4773" w14:textId="77777777" w:rsidR="00872C03" w:rsidRPr="00883399" w:rsidRDefault="00872C03" w:rsidP="00872C03">
      <w:pPr>
        <w:pStyle w:val="Definition0"/>
        <w:rPr>
          <w:sz w:val="24"/>
        </w:rPr>
      </w:pPr>
      <w:r w:rsidRPr="00883399">
        <w:rPr>
          <w:b/>
          <w:i/>
          <w:sz w:val="24"/>
        </w:rPr>
        <w:t>EF</w:t>
      </w:r>
      <w:r w:rsidRPr="00883399">
        <w:rPr>
          <w:b/>
          <w:i/>
          <w:sz w:val="24"/>
          <w:vertAlign w:val="subscript"/>
        </w:rPr>
        <w:t xml:space="preserve">ij </w:t>
      </w:r>
      <w:r w:rsidRPr="00883399">
        <w:rPr>
          <w:sz w:val="24"/>
        </w:rPr>
        <w:t>is 0.07, which is the emission factor for hexafluoroethane measured in CO</w:t>
      </w:r>
      <w:r w:rsidRPr="00883399">
        <w:rPr>
          <w:sz w:val="24"/>
          <w:vertAlign w:val="subscript"/>
        </w:rPr>
        <w:t>2</w:t>
      </w:r>
      <w:r w:rsidRPr="00883399">
        <w:rPr>
          <w:sz w:val="24"/>
        </w:rPr>
        <w:noBreakHyphen/>
        <w:t>e tonnes for each tonne of aluminium produced during the year.</w:t>
      </w:r>
    </w:p>
    <w:p w14:paraId="4C9AB981" w14:textId="19564352" w:rsidR="00872C03" w:rsidRPr="00883399" w:rsidRDefault="00872C03" w:rsidP="00872C03">
      <w:pPr>
        <w:pStyle w:val="ActHead5"/>
        <w:rPr>
          <w:sz w:val="28"/>
        </w:rPr>
      </w:pPr>
      <w:bookmarkStart w:id="1028" w:name="_Toc423517110"/>
      <w:bookmarkStart w:id="1029" w:name="_Toc495653042"/>
      <w:r w:rsidRPr="00883399">
        <w:rPr>
          <w:rStyle w:val="CharSectno"/>
          <w:sz w:val="28"/>
        </w:rPr>
        <w:t>4.90</w:t>
      </w:r>
      <w:r w:rsidRPr="00883399">
        <w:rPr>
          <w:sz w:val="28"/>
        </w:rPr>
        <w:t xml:space="preserve">  Method 2—aluminium production (hexafluoroethane)</w:t>
      </w:r>
      <w:bookmarkEnd w:id="1028"/>
      <w:bookmarkEnd w:id="1029"/>
    </w:p>
    <w:p w14:paraId="66CB6294" w14:textId="77777777" w:rsidR="00872C03" w:rsidRPr="00883399" w:rsidRDefault="00872C03" w:rsidP="00872C03">
      <w:pPr>
        <w:pStyle w:val="subsection"/>
        <w:rPr>
          <w:sz w:val="24"/>
        </w:rPr>
      </w:pPr>
      <w:r w:rsidRPr="00883399">
        <w:rPr>
          <w:sz w:val="24"/>
        </w:rPr>
        <w:tab/>
      </w:r>
      <w:r w:rsidRPr="00883399">
        <w:rPr>
          <w:sz w:val="24"/>
        </w:rPr>
        <w:tab/>
        <w:t>Method 2 is the Tier 2 method for estimating facility</w:t>
      </w:r>
      <w:r w:rsidRPr="00883399">
        <w:rPr>
          <w:sz w:val="24"/>
        </w:rPr>
        <w:noBreakHyphen/>
        <w:t>specific perfluorocarbon emissions as set out in the Perfluorocarbon protocol.</w:t>
      </w:r>
    </w:p>
    <w:p w14:paraId="2391BB02" w14:textId="52FFA6FA" w:rsidR="00872C03" w:rsidRPr="00883399" w:rsidRDefault="00872C03" w:rsidP="00872C03">
      <w:pPr>
        <w:pStyle w:val="ActHead5"/>
        <w:rPr>
          <w:sz w:val="28"/>
        </w:rPr>
      </w:pPr>
      <w:bookmarkStart w:id="1030" w:name="_Toc423517111"/>
      <w:bookmarkStart w:id="1031" w:name="_Toc495653043"/>
      <w:r w:rsidRPr="00883399">
        <w:rPr>
          <w:rStyle w:val="CharSectno"/>
          <w:sz w:val="28"/>
        </w:rPr>
        <w:t>4.91</w:t>
      </w:r>
      <w:r w:rsidRPr="00883399">
        <w:rPr>
          <w:sz w:val="28"/>
        </w:rPr>
        <w:t xml:space="preserve">  Method 3—aluminium production (hexafluoroethane)</w:t>
      </w:r>
      <w:bookmarkEnd w:id="1030"/>
      <w:bookmarkEnd w:id="1031"/>
    </w:p>
    <w:p w14:paraId="28BFFD24" w14:textId="77777777" w:rsidR="00872C03" w:rsidRPr="00883399" w:rsidRDefault="00872C03" w:rsidP="00872C03">
      <w:pPr>
        <w:pStyle w:val="subsection"/>
        <w:rPr>
          <w:sz w:val="24"/>
        </w:rPr>
      </w:pPr>
      <w:r w:rsidRPr="00883399">
        <w:rPr>
          <w:sz w:val="24"/>
        </w:rPr>
        <w:tab/>
      </w:r>
      <w:r w:rsidRPr="00883399">
        <w:rPr>
          <w:sz w:val="24"/>
        </w:rPr>
        <w:tab/>
        <w:t>Method 3 is the Tier 3 method for estimating facility</w:t>
      </w:r>
      <w:r w:rsidRPr="00883399">
        <w:rPr>
          <w:sz w:val="24"/>
        </w:rPr>
        <w:noBreakHyphen/>
        <w:t>specific perfluorocarbon emissions as set out in the Perfluorocarbon protocol.</w:t>
      </w:r>
    </w:p>
    <w:p w14:paraId="685F1781" w14:textId="5EB13172" w:rsidR="00872C03" w:rsidRPr="00883399" w:rsidRDefault="00872C03" w:rsidP="00872C03">
      <w:pPr>
        <w:pStyle w:val="ActHead3"/>
        <w:pageBreakBefore/>
        <w:rPr>
          <w:sz w:val="32"/>
        </w:rPr>
      </w:pPr>
      <w:bookmarkStart w:id="1032" w:name="_Toc423517112"/>
      <w:bookmarkStart w:id="1033" w:name="_Toc495653044"/>
      <w:r w:rsidRPr="00883399">
        <w:rPr>
          <w:rStyle w:val="CharDivNo"/>
          <w:sz w:val="32"/>
        </w:rPr>
        <w:lastRenderedPageBreak/>
        <w:t>Division 4.4.5</w:t>
      </w:r>
      <w:r w:rsidRPr="00883399">
        <w:rPr>
          <w:sz w:val="32"/>
        </w:rPr>
        <w:t>—</w:t>
      </w:r>
      <w:r w:rsidRPr="00883399">
        <w:rPr>
          <w:rStyle w:val="CharDivText"/>
          <w:sz w:val="32"/>
        </w:rPr>
        <w:t>Other metals production</w:t>
      </w:r>
      <w:bookmarkEnd w:id="1032"/>
      <w:bookmarkEnd w:id="1033"/>
    </w:p>
    <w:p w14:paraId="2315B05E" w14:textId="13E2843E" w:rsidR="00872C03" w:rsidRPr="00883399" w:rsidRDefault="00872C03" w:rsidP="00872C03">
      <w:pPr>
        <w:pStyle w:val="ActHead5"/>
        <w:rPr>
          <w:sz w:val="28"/>
        </w:rPr>
      </w:pPr>
      <w:bookmarkStart w:id="1034" w:name="_Toc423517113"/>
      <w:bookmarkStart w:id="1035" w:name="_Toc495653045"/>
      <w:r w:rsidRPr="00883399">
        <w:rPr>
          <w:rStyle w:val="CharSectno"/>
          <w:sz w:val="28"/>
        </w:rPr>
        <w:t>4.92</w:t>
      </w:r>
      <w:r w:rsidRPr="00883399">
        <w:rPr>
          <w:sz w:val="28"/>
        </w:rPr>
        <w:t xml:space="preserve">  Application</w:t>
      </w:r>
      <w:bookmarkEnd w:id="1034"/>
      <w:bookmarkEnd w:id="1035"/>
    </w:p>
    <w:p w14:paraId="121BCD55" w14:textId="77777777" w:rsidR="00872C03" w:rsidRPr="00883399" w:rsidRDefault="00872C03" w:rsidP="00872C03">
      <w:pPr>
        <w:pStyle w:val="subsection"/>
        <w:rPr>
          <w:sz w:val="24"/>
        </w:rPr>
      </w:pPr>
      <w:r w:rsidRPr="00883399">
        <w:rPr>
          <w:sz w:val="24"/>
        </w:rPr>
        <w:tab/>
        <w:t>(1)</w:t>
      </w:r>
      <w:r w:rsidRPr="00883399">
        <w:rPr>
          <w:sz w:val="24"/>
        </w:rPr>
        <w:tab/>
        <w:t>This Division applies to emissions of carbon dioxide from any of the following:</w:t>
      </w:r>
    </w:p>
    <w:p w14:paraId="4FA0FEC9" w14:textId="77777777" w:rsidR="00872C03" w:rsidRPr="00883399" w:rsidRDefault="00872C03" w:rsidP="00872C03">
      <w:pPr>
        <w:pStyle w:val="paragraph"/>
        <w:rPr>
          <w:sz w:val="24"/>
        </w:rPr>
      </w:pPr>
      <w:r w:rsidRPr="00883399">
        <w:rPr>
          <w:sz w:val="24"/>
        </w:rPr>
        <w:tab/>
        <w:t>(a)</w:t>
      </w:r>
      <w:r w:rsidRPr="00883399">
        <w:rPr>
          <w:sz w:val="24"/>
        </w:rPr>
        <w:tab/>
        <w:t>the consumption of a fossil fuel reductant;</w:t>
      </w:r>
    </w:p>
    <w:p w14:paraId="6E5B34BE" w14:textId="77777777" w:rsidR="00872C03" w:rsidRPr="00883399" w:rsidRDefault="00872C03" w:rsidP="00872C03">
      <w:pPr>
        <w:pStyle w:val="paragraph"/>
        <w:rPr>
          <w:sz w:val="24"/>
        </w:rPr>
      </w:pPr>
      <w:r w:rsidRPr="00883399">
        <w:rPr>
          <w:sz w:val="24"/>
        </w:rPr>
        <w:tab/>
        <w:t>(b)</w:t>
      </w:r>
      <w:r w:rsidRPr="00883399">
        <w:rPr>
          <w:sz w:val="24"/>
        </w:rPr>
        <w:tab/>
        <w:t>the oxidation of a fossil fuel electrode.</w:t>
      </w:r>
    </w:p>
    <w:p w14:paraId="3C03410E" w14:textId="77777777" w:rsidR="00872C03" w:rsidRPr="00883399" w:rsidRDefault="00872C03" w:rsidP="00872C03">
      <w:pPr>
        <w:pStyle w:val="subsection"/>
        <w:rPr>
          <w:sz w:val="24"/>
        </w:rPr>
      </w:pPr>
      <w:r w:rsidRPr="00883399">
        <w:rPr>
          <w:sz w:val="24"/>
        </w:rPr>
        <w:tab/>
        <w:t>(2)</w:t>
      </w:r>
      <w:r w:rsidRPr="00883399">
        <w:rPr>
          <w:sz w:val="24"/>
        </w:rPr>
        <w:tab/>
        <w:t>This Division does not apply to the production of any of the following:</w:t>
      </w:r>
    </w:p>
    <w:p w14:paraId="63E37C71" w14:textId="77777777" w:rsidR="00872C03" w:rsidRPr="00883399" w:rsidRDefault="00872C03" w:rsidP="00872C03">
      <w:pPr>
        <w:pStyle w:val="paragraph"/>
        <w:rPr>
          <w:sz w:val="24"/>
        </w:rPr>
      </w:pPr>
      <w:r w:rsidRPr="00883399">
        <w:rPr>
          <w:sz w:val="24"/>
        </w:rPr>
        <w:tab/>
        <w:t>(a)</w:t>
      </w:r>
      <w:r w:rsidRPr="00883399">
        <w:rPr>
          <w:sz w:val="24"/>
        </w:rPr>
        <w:tab/>
        <w:t>aluminium;</w:t>
      </w:r>
    </w:p>
    <w:p w14:paraId="2929EA65" w14:textId="77777777" w:rsidR="00872C03" w:rsidRPr="00883399" w:rsidRDefault="00872C03" w:rsidP="00872C03">
      <w:pPr>
        <w:pStyle w:val="paragraph"/>
        <w:rPr>
          <w:sz w:val="24"/>
        </w:rPr>
      </w:pPr>
      <w:r w:rsidRPr="00883399">
        <w:rPr>
          <w:sz w:val="24"/>
        </w:rPr>
        <w:tab/>
        <w:t>(b)</w:t>
      </w:r>
      <w:r w:rsidRPr="00883399">
        <w:rPr>
          <w:sz w:val="24"/>
        </w:rPr>
        <w:tab/>
        <w:t>ferroalloys;</w:t>
      </w:r>
    </w:p>
    <w:p w14:paraId="4811FB62" w14:textId="77777777" w:rsidR="00872C03" w:rsidRPr="00883399" w:rsidRDefault="00872C03" w:rsidP="00872C03">
      <w:pPr>
        <w:pStyle w:val="paragraph"/>
        <w:rPr>
          <w:sz w:val="24"/>
        </w:rPr>
      </w:pPr>
      <w:r w:rsidRPr="00883399">
        <w:rPr>
          <w:sz w:val="24"/>
        </w:rPr>
        <w:tab/>
        <w:t>(c)</w:t>
      </w:r>
      <w:r w:rsidRPr="00883399">
        <w:rPr>
          <w:sz w:val="24"/>
        </w:rPr>
        <w:tab/>
        <w:t>iron;</w:t>
      </w:r>
    </w:p>
    <w:p w14:paraId="74E5BE82" w14:textId="77777777" w:rsidR="00872C03" w:rsidRPr="00883399" w:rsidRDefault="00872C03" w:rsidP="00872C03">
      <w:pPr>
        <w:pStyle w:val="paragraph"/>
        <w:rPr>
          <w:sz w:val="24"/>
        </w:rPr>
      </w:pPr>
      <w:r w:rsidRPr="00883399">
        <w:rPr>
          <w:sz w:val="24"/>
        </w:rPr>
        <w:tab/>
        <w:t>(d)</w:t>
      </w:r>
      <w:r w:rsidRPr="00883399">
        <w:rPr>
          <w:sz w:val="24"/>
        </w:rPr>
        <w:tab/>
        <w:t>steel;</w:t>
      </w:r>
    </w:p>
    <w:p w14:paraId="2CCA6E40" w14:textId="77777777" w:rsidR="00872C03" w:rsidRPr="00883399" w:rsidRDefault="00872C03" w:rsidP="00872C03">
      <w:pPr>
        <w:pStyle w:val="paragraph"/>
        <w:rPr>
          <w:sz w:val="24"/>
        </w:rPr>
      </w:pPr>
      <w:r w:rsidRPr="00883399">
        <w:rPr>
          <w:sz w:val="24"/>
        </w:rPr>
        <w:tab/>
        <w:t>(e)</w:t>
      </w:r>
      <w:r w:rsidRPr="00883399">
        <w:rPr>
          <w:sz w:val="24"/>
        </w:rPr>
        <w:tab/>
        <w:t>any other metal produced using an integrated metalworks.</w:t>
      </w:r>
    </w:p>
    <w:p w14:paraId="6CF44BD0" w14:textId="1F42C996" w:rsidR="00872C03" w:rsidRPr="00883399" w:rsidRDefault="00872C03" w:rsidP="00872C03">
      <w:pPr>
        <w:pStyle w:val="ActHead5"/>
        <w:rPr>
          <w:sz w:val="28"/>
        </w:rPr>
      </w:pPr>
      <w:bookmarkStart w:id="1036" w:name="_Toc423517114"/>
      <w:bookmarkStart w:id="1037" w:name="_Toc495653046"/>
      <w:r w:rsidRPr="00883399">
        <w:rPr>
          <w:rStyle w:val="CharSectno"/>
          <w:sz w:val="28"/>
        </w:rPr>
        <w:t>4.93</w:t>
      </w:r>
      <w:r w:rsidRPr="00883399">
        <w:rPr>
          <w:sz w:val="28"/>
        </w:rPr>
        <w:t xml:space="preserve">  Available methods</w:t>
      </w:r>
      <w:bookmarkEnd w:id="1036"/>
      <w:bookmarkEnd w:id="1037"/>
    </w:p>
    <w:p w14:paraId="730D5E19" w14:textId="77777777" w:rsidR="00872C03" w:rsidRPr="00883399" w:rsidRDefault="00872C03" w:rsidP="00872C03">
      <w:pPr>
        <w:pStyle w:val="subsection"/>
        <w:rPr>
          <w:sz w:val="24"/>
        </w:rPr>
      </w:pPr>
      <w:r w:rsidRPr="00883399">
        <w:rPr>
          <w:sz w:val="24"/>
        </w:rPr>
        <w:tab/>
        <w:t>(1)</w:t>
      </w:r>
      <w:r w:rsidRPr="00883399">
        <w:rPr>
          <w:sz w:val="24"/>
        </w:rPr>
        <w:tab/>
        <w:t>Subject to section 1.18, one of the following methods must be used for estimating emissions of carbon dioxide from the use of carbon reductants during a year from the operation of a facility that is constituted by the production of metals to which this Division applies:</w:t>
      </w:r>
    </w:p>
    <w:p w14:paraId="62DFE8E1" w14:textId="77777777" w:rsidR="00872C03" w:rsidRPr="00883399" w:rsidRDefault="00872C03" w:rsidP="00872C03">
      <w:pPr>
        <w:pStyle w:val="paragraph"/>
        <w:rPr>
          <w:sz w:val="24"/>
        </w:rPr>
      </w:pPr>
      <w:r w:rsidRPr="00883399">
        <w:rPr>
          <w:sz w:val="24"/>
        </w:rPr>
        <w:tab/>
        <w:t>(a)</w:t>
      </w:r>
      <w:r w:rsidRPr="00883399">
        <w:rPr>
          <w:sz w:val="24"/>
        </w:rPr>
        <w:tab/>
        <w:t>method 1 under section 4.94;</w:t>
      </w:r>
    </w:p>
    <w:p w14:paraId="42F5ED0F" w14:textId="77777777" w:rsidR="00872C03" w:rsidRPr="00883399" w:rsidRDefault="00872C03" w:rsidP="00872C03">
      <w:pPr>
        <w:pStyle w:val="paragraph"/>
        <w:rPr>
          <w:sz w:val="24"/>
        </w:rPr>
      </w:pPr>
      <w:r w:rsidRPr="00883399">
        <w:rPr>
          <w:sz w:val="24"/>
        </w:rPr>
        <w:tab/>
        <w:t>(b)</w:t>
      </w:r>
      <w:r w:rsidRPr="00883399">
        <w:rPr>
          <w:sz w:val="24"/>
        </w:rPr>
        <w:tab/>
        <w:t>method 2 under section 4.95;</w:t>
      </w:r>
    </w:p>
    <w:p w14:paraId="6F9432CF" w14:textId="77777777" w:rsidR="00872C03" w:rsidRPr="00883399" w:rsidRDefault="00872C03" w:rsidP="00872C03">
      <w:pPr>
        <w:pStyle w:val="paragraph"/>
        <w:rPr>
          <w:sz w:val="24"/>
        </w:rPr>
      </w:pPr>
      <w:r w:rsidRPr="00883399">
        <w:rPr>
          <w:sz w:val="24"/>
        </w:rPr>
        <w:tab/>
        <w:t>(c)</w:t>
      </w:r>
      <w:r w:rsidRPr="00883399">
        <w:rPr>
          <w:sz w:val="24"/>
        </w:rPr>
        <w:tab/>
        <w:t>method 3 under section 4.96;</w:t>
      </w:r>
    </w:p>
    <w:p w14:paraId="236E31A7" w14:textId="77777777" w:rsidR="00872C03" w:rsidRPr="00883399" w:rsidRDefault="00872C03" w:rsidP="00872C03">
      <w:pPr>
        <w:pStyle w:val="paragraph"/>
        <w:rPr>
          <w:sz w:val="24"/>
        </w:rPr>
      </w:pPr>
      <w:r w:rsidRPr="00883399">
        <w:rPr>
          <w:sz w:val="24"/>
        </w:rPr>
        <w:tab/>
        <w:t>(d)</w:t>
      </w:r>
      <w:r w:rsidRPr="00883399">
        <w:rPr>
          <w:sz w:val="24"/>
        </w:rPr>
        <w:tab/>
        <w:t>method 4 under Part 1.3.</w:t>
      </w:r>
    </w:p>
    <w:p w14:paraId="55739049" w14:textId="77777777" w:rsidR="00872C03" w:rsidRPr="00883399" w:rsidRDefault="00872C03" w:rsidP="00872C03">
      <w:pPr>
        <w:pStyle w:val="subsection"/>
        <w:rPr>
          <w:sz w:val="24"/>
        </w:rPr>
      </w:pPr>
      <w:r w:rsidRPr="00883399">
        <w:rPr>
          <w:sz w:val="24"/>
        </w:rPr>
        <w:tab/>
        <w:t>(2)</w:t>
      </w:r>
      <w:r w:rsidRPr="00883399">
        <w:rPr>
          <w:sz w:val="24"/>
        </w:rPr>
        <w:tab/>
        <w:t>However, for incidental emissions another method may be used that is consistent with the principles in section 1.13.</w:t>
      </w:r>
    </w:p>
    <w:p w14:paraId="4D731856" w14:textId="77777777" w:rsidR="0062566C" w:rsidRPr="00883399" w:rsidRDefault="0062566C" w:rsidP="00872C03">
      <w:pPr>
        <w:pStyle w:val="subsection"/>
        <w:rPr>
          <w:sz w:val="24"/>
        </w:rPr>
      </w:pPr>
    </w:p>
    <w:p w14:paraId="53797096" w14:textId="77777777" w:rsidR="0062566C" w:rsidRPr="00883399" w:rsidRDefault="0062566C" w:rsidP="00872C03">
      <w:pPr>
        <w:pStyle w:val="subsection"/>
        <w:rPr>
          <w:sz w:val="24"/>
        </w:rPr>
      </w:pPr>
    </w:p>
    <w:p w14:paraId="74E1000F" w14:textId="77777777" w:rsidR="0062566C" w:rsidRPr="00883399" w:rsidRDefault="0062566C" w:rsidP="00872C03">
      <w:pPr>
        <w:pStyle w:val="subsection"/>
        <w:rPr>
          <w:sz w:val="24"/>
        </w:rPr>
      </w:pPr>
    </w:p>
    <w:p w14:paraId="76CC29EB" w14:textId="77777777" w:rsidR="0062566C" w:rsidRPr="00883399" w:rsidRDefault="0062566C" w:rsidP="00872C03">
      <w:pPr>
        <w:pStyle w:val="subsection"/>
        <w:rPr>
          <w:sz w:val="24"/>
        </w:rPr>
      </w:pPr>
    </w:p>
    <w:p w14:paraId="117120EC" w14:textId="77777777" w:rsidR="0062566C" w:rsidRPr="00883399" w:rsidRDefault="0062566C" w:rsidP="00872C03">
      <w:pPr>
        <w:pStyle w:val="subsection"/>
        <w:rPr>
          <w:sz w:val="24"/>
        </w:rPr>
      </w:pPr>
    </w:p>
    <w:p w14:paraId="3C08BDA6" w14:textId="77777777" w:rsidR="0062566C" w:rsidRPr="00883399" w:rsidRDefault="0062566C" w:rsidP="00872C03">
      <w:pPr>
        <w:pStyle w:val="subsection"/>
        <w:rPr>
          <w:sz w:val="24"/>
        </w:rPr>
      </w:pPr>
    </w:p>
    <w:p w14:paraId="366060D2" w14:textId="77777777" w:rsidR="006E1310" w:rsidRPr="00883399" w:rsidRDefault="006E1310" w:rsidP="006E1310"/>
    <w:p w14:paraId="2A6F3820" w14:textId="77777777" w:rsidR="006E1310" w:rsidRPr="00883399" w:rsidRDefault="006E1310" w:rsidP="006E1310">
      <w:pPr>
        <w:pStyle w:val="R2"/>
        <w:ind w:hanging="62"/>
        <w:rPr>
          <w:rFonts w:ascii="Arial" w:hAnsi="Arial" w:cs="Arial"/>
          <w:b/>
          <w:sz w:val="22"/>
          <w:szCs w:val="22"/>
        </w:rPr>
      </w:pPr>
      <w:r w:rsidRPr="00883399">
        <w:tab/>
      </w:r>
      <w:r w:rsidRPr="00883399">
        <w:rPr>
          <w:rFonts w:ascii="Arial" w:hAnsi="Arial" w:cs="Arial"/>
          <w:b/>
          <w:sz w:val="22"/>
          <w:szCs w:val="22"/>
        </w:rPr>
        <w:t>Summary of available methods, for estimating emissions from other metal production, by emissions of gas type (j)</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1919"/>
        <w:gridCol w:w="1629"/>
        <w:gridCol w:w="1528"/>
      </w:tblGrid>
      <w:tr w:rsidR="006E1310" w:rsidRPr="00883399" w14:paraId="62808225" w14:textId="77777777" w:rsidTr="0031057E">
        <w:tc>
          <w:tcPr>
            <w:tcW w:w="2349" w:type="dxa"/>
            <w:shd w:val="clear" w:color="auto" w:fill="E6E6E6"/>
          </w:tcPr>
          <w:p w14:paraId="07C8E351" w14:textId="77777777" w:rsidR="006E1310" w:rsidRPr="00883399" w:rsidRDefault="006E1310" w:rsidP="0031057E">
            <w:pPr>
              <w:pStyle w:val="Text"/>
            </w:pPr>
          </w:p>
        </w:tc>
        <w:tc>
          <w:tcPr>
            <w:tcW w:w="1971" w:type="dxa"/>
            <w:shd w:val="clear" w:color="auto" w:fill="E6E6E6"/>
          </w:tcPr>
          <w:p w14:paraId="40C55D0A" w14:textId="77777777" w:rsidR="006E1310" w:rsidRPr="00883399" w:rsidRDefault="006E1310" w:rsidP="0031057E">
            <w:pPr>
              <w:pStyle w:val="Text"/>
            </w:pPr>
            <w:r w:rsidRPr="00883399">
              <w:t>CO</w:t>
            </w:r>
            <w:r w:rsidRPr="00883399">
              <w:rPr>
                <w:vertAlign w:val="subscript"/>
              </w:rPr>
              <w:t>2</w:t>
            </w:r>
          </w:p>
        </w:tc>
        <w:tc>
          <w:tcPr>
            <w:tcW w:w="1680" w:type="dxa"/>
            <w:shd w:val="clear" w:color="auto" w:fill="E6E6E6"/>
          </w:tcPr>
          <w:p w14:paraId="6E8F0E77" w14:textId="77777777" w:rsidR="006E1310" w:rsidRPr="00883399" w:rsidRDefault="006E1310" w:rsidP="0031057E">
            <w:pPr>
              <w:pStyle w:val="Text"/>
            </w:pPr>
            <w:r w:rsidRPr="00883399">
              <w:t>CH</w:t>
            </w:r>
            <w:r w:rsidRPr="00883399">
              <w:rPr>
                <w:vertAlign w:val="subscript"/>
              </w:rPr>
              <w:t>4</w:t>
            </w:r>
          </w:p>
        </w:tc>
        <w:tc>
          <w:tcPr>
            <w:tcW w:w="1574" w:type="dxa"/>
            <w:shd w:val="clear" w:color="auto" w:fill="E6E6E6"/>
          </w:tcPr>
          <w:p w14:paraId="012AD02A" w14:textId="77777777" w:rsidR="006E1310" w:rsidRPr="00883399" w:rsidRDefault="006E1310" w:rsidP="0031057E">
            <w:pPr>
              <w:pStyle w:val="Text"/>
            </w:pPr>
            <w:r w:rsidRPr="00883399">
              <w:t>N</w:t>
            </w:r>
            <w:r w:rsidRPr="00883399">
              <w:rPr>
                <w:vertAlign w:val="subscript"/>
              </w:rPr>
              <w:t>2</w:t>
            </w:r>
            <w:r w:rsidRPr="00883399">
              <w:t>O</w:t>
            </w:r>
          </w:p>
        </w:tc>
      </w:tr>
      <w:tr w:rsidR="006E1310" w:rsidRPr="00883399" w14:paraId="090703BA" w14:textId="77777777" w:rsidTr="0031057E">
        <w:tc>
          <w:tcPr>
            <w:tcW w:w="2349" w:type="dxa"/>
          </w:tcPr>
          <w:p w14:paraId="770DA9B2" w14:textId="77777777" w:rsidR="006E1310" w:rsidRPr="00883399" w:rsidRDefault="006E1310" w:rsidP="0031057E">
            <w:pPr>
              <w:pStyle w:val="Text"/>
              <w:spacing w:before="120" w:line="240" w:lineRule="auto"/>
              <w:rPr>
                <w:i/>
              </w:rPr>
            </w:pPr>
            <w:r w:rsidRPr="00883399">
              <w:t>Method 1</w:t>
            </w:r>
          </w:p>
        </w:tc>
        <w:tc>
          <w:tcPr>
            <w:tcW w:w="1971" w:type="dxa"/>
          </w:tcPr>
          <w:p w14:paraId="6233F850" w14:textId="77777777" w:rsidR="006E1310" w:rsidRPr="00883399" w:rsidRDefault="006E1310" w:rsidP="0031057E">
            <w:pPr>
              <w:pStyle w:val="Text"/>
              <w:spacing w:before="120" w:line="240" w:lineRule="auto"/>
            </w:pPr>
            <w:r w:rsidRPr="00883399">
              <w:t>Section 4.94</w:t>
            </w:r>
          </w:p>
        </w:tc>
        <w:tc>
          <w:tcPr>
            <w:tcW w:w="1680" w:type="dxa"/>
          </w:tcPr>
          <w:p w14:paraId="7ECA0F91" w14:textId="77777777" w:rsidR="006E1310" w:rsidRPr="00883399" w:rsidRDefault="006E1310" w:rsidP="0031057E">
            <w:pPr>
              <w:pStyle w:val="Text"/>
              <w:spacing w:before="120" w:line="240" w:lineRule="auto"/>
            </w:pPr>
            <w:r w:rsidRPr="00883399">
              <w:t>NO</w:t>
            </w:r>
          </w:p>
        </w:tc>
        <w:tc>
          <w:tcPr>
            <w:tcW w:w="1574" w:type="dxa"/>
          </w:tcPr>
          <w:p w14:paraId="28C42D35" w14:textId="77777777" w:rsidR="006E1310" w:rsidRPr="00883399" w:rsidRDefault="006E1310" w:rsidP="0031057E">
            <w:pPr>
              <w:pStyle w:val="Text"/>
              <w:spacing w:before="120" w:line="240" w:lineRule="auto"/>
            </w:pPr>
            <w:r w:rsidRPr="00883399">
              <w:t>NO</w:t>
            </w:r>
          </w:p>
        </w:tc>
      </w:tr>
      <w:tr w:rsidR="006E1310" w:rsidRPr="00883399" w14:paraId="597F8CFF" w14:textId="77777777" w:rsidTr="0031057E">
        <w:tc>
          <w:tcPr>
            <w:tcW w:w="2349" w:type="dxa"/>
          </w:tcPr>
          <w:p w14:paraId="6D26B642" w14:textId="77777777" w:rsidR="006E1310" w:rsidRPr="00883399" w:rsidRDefault="006E1310" w:rsidP="0031057E">
            <w:pPr>
              <w:pStyle w:val="Text"/>
              <w:spacing w:before="120" w:line="240" w:lineRule="auto"/>
            </w:pPr>
            <w:r w:rsidRPr="00883399">
              <w:t>Method 2</w:t>
            </w:r>
          </w:p>
        </w:tc>
        <w:tc>
          <w:tcPr>
            <w:tcW w:w="1971" w:type="dxa"/>
          </w:tcPr>
          <w:p w14:paraId="012AEAF5" w14:textId="77777777" w:rsidR="006E1310" w:rsidRPr="00883399" w:rsidRDefault="006E1310" w:rsidP="0031057E">
            <w:pPr>
              <w:pStyle w:val="Text"/>
              <w:spacing w:before="120" w:line="240" w:lineRule="auto"/>
            </w:pPr>
            <w:r w:rsidRPr="00883399">
              <w:t>Section 4.95</w:t>
            </w:r>
          </w:p>
        </w:tc>
        <w:tc>
          <w:tcPr>
            <w:tcW w:w="1680" w:type="dxa"/>
          </w:tcPr>
          <w:p w14:paraId="6684588C" w14:textId="77777777" w:rsidR="006E1310" w:rsidRPr="00883399" w:rsidRDefault="006E1310" w:rsidP="0031057E">
            <w:pPr>
              <w:pStyle w:val="Text"/>
              <w:spacing w:before="120" w:line="240" w:lineRule="auto"/>
            </w:pPr>
            <w:r w:rsidRPr="00883399">
              <w:t>NO</w:t>
            </w:r>
          </w:p>
        </w:tc>
        <w:tc>
          <w:tcPr>
            <w:tcW w:w="1574" w:type="dxa"/>
          </w:tcPr>
          <w:p w14:paraId="7E45DEC1" w14:textId="77777777" w:rsidR="006E1310" w:rsidRPr="00883399" w:rsidRDefault="006E1310" w:rsidP="0031057E">
            <w:pPr>
              <w:pStyle w:val="Text"/>
              <w:spacing w:before="120" w:line="240" w:lineRule="auto"/>
            </w:pPr>
            <w:r w:rsidRPr="00883399">
              <w:t>NO</w:t>
            </w:r>
          </w:p>
        </w:tc>
      </w:tr>
      <w:tr w:rsidR="006E1310" w:rsidRPr="00883399" w14:paraId="579E3781" w14:textId="77777777" w:rsidTr="0031057E">
        <w:tc>
          <w:tcPr>
            <w:tcW w:w="2349" w:type="dxa"/>
          </w:tcPr>
          <w:p w14:paraId="0D50E848" w14:textId="77777777" w:rsidR="006E1310" w:rsidRPr="00883399" w:rsidRDefault="006E1310" w:rsidP="0031057E">
            <w:pPr>
              <w:pStyle w:val="Text"/>
              <w:spacing w:before="120" w:line="240" w:lineRule="auto"/>
            </w:pPr>
            <w:r w:rsidRPr="00883399">
              <w:t>Method 3</w:t>
            </w:r>
          </w:p>
        </w:tc>
        <w:tc>
          <w:tcPr>
            <w:tcW w:w="1971" w:type="dxa"/>
          </w:tcPr>
          <w:p w14:paraId="73EBDD3B" w14:textId="77777777" w:rsidR="006E1310" w:rsidRPr="00883399" w:rsidRDefault="006E1310" w:rsidP="0031057E">
            <w:pPr>
              <w:pStyle w:val="Text"/>
              <w:spacing w:before="120" w:line="240" w:lineRule="auto"/>
            </w:pPr>
            <w:r w:rsidRPr="00883399">
              <w:t>Section 4.96</w:t>
            </w:r>
          </w:p>
        </w:tc>
        <w:tc>
          <w:tcPr>
            <w:tcW w:w="1680" w:type="dxa"/>
          </w:tcPr>
          <w:p w14:paraId="3A9320C9" w14:textId="77777777" w:rsidR="006E1310" w:rsidRPr="00883399" w:rsidRDefault="006E1310" w:rsidP="0031057E">
            <w:pPr>
              <w:pStyle w:val="Text"/>
              <w:spacing w:before="120" w:line="240" w:lineRule="auto"/>
            </w:pPr>
            <w:r w:rsidRPr="00883399">
              <w:t>NO</w:t>
            </w:r>
          </w:p>
        </w:tc>
        <w:tc>
          <w:tcPr>
            <w:tcW w:w="1574" w:type="dxa"/>
          </w:tcPr>
          <w:p w14:paraId="395D9EB4" w14:textId="77777777" w:rsidR="006E1310" w:rsidRPr="00883399" w:rsidRDefault="006E1310" w:rsidP="0031057E">
            <w:pPr>
              <w:pStyle w:val="Text"/>
              <w:spacing w:before="120" w:line="240" w:lineRule="auto"/>
            </w:pPr>
            <w:r w:rsidRPr="00883399">
              <w:t>NO</w:t>
            </w:r>
          </w:p>
        </w:tc>
      </w:tr>
      <w:tr w:rsidR="006E1310" w:rsidRPr="00883399" w14:paraId="6955158F" w14:textId="77777777" w:rsidTr="0031057E">
        <w:tc>
          <w:tcPr>
            <w:tcW w:w="2349" w:type="dxa"/>
          </w:tcPr>
          <w:p w14:paraId="6BC44114" w14:textId="77777777" w:rsidR="006E1310" w:rsidRPr="00883399" w:rsidRDefault="006E1310" w:rsidP="0031057E">
            <w:pPr>
              <w:pStyle w:val="Text"/>
              <w:spacing w:before="120" w:line="240" w:lineRule="auto"/>
            </w:pPr>
            <w:r w:rsidRPr="00883399">
              <w:t>Method 4</w:t>
            </w:r>
          </w:p>
        </w:tc>
        <w:tc>
          <w:tcPr>
            <w:tcW w:w="1971" w:type="dxa"/>
          </w:tcPr>
          <w:p w14:paraId="630187B6" w14:textId="77777777" w:rsidR="006E1310" w:rsidRPr="00883399" w:rsidRDefault="006E1310" w:rsidP="0031057E">
            <w:pPr>
              <w:pStyle w:val="Text"/>
              <w:spacing w:before="120" w:line="240" w:lineRule="auto"/>
            </w:pPr>
            <w:r w:rsidRPr="00883399">
              <w:t>Method 4 under Part 1.3</w:t>
            </w:r>
          </w:p>
        </w:tc>
        <w:tc>
          <w:tcPr>
            <w:tcW w:w="1680" w:type="dxa"/>
          </w:tcPr>
          <w:p w14:paraId="4CC03D3D" w14:textId="77777777" w:rsidR="006E1310" w:rsidRPr="00883399" w:rsidRDefault="006E1310" w:rsidP="0031057E">
            <w:pPr>
              <w:pStyle w:val="Text"/>
              <w:spacing w:before="120" w:line="240" w:lineRule="auto"/>
            </w:pPr>
            <w:r w:rsidRPr="00883399">
              <w:t>NO</w:t>
            </w:r>
          </w:p>
        </w:tc>
        <w:tc>
          <w:tcPr>
            <w:tcW w:w="1574" w:type="dxa"/>
          </w:tcPr>
          <w:p w14:paraId="05FA2B20" w14:textId="77777777" w:rsidR="006E1310" w:rsidRPr="00883399" w:rsidRDefault="006E1310" w:rsidP="0031057E">
            <w:pPr>
              <w:pStyle w:val="Text"/>
              <w:spacing w:before="120" w:line="240" w:lineRule="auto"/>
            </w:pPr>
            <w:r w:rsidRPr="00883399">
              <w:t>NO</w:t>
            </w:r>
          </w:p>
        </w:tc>
      </w:tr>
    </w:tbl>
    <w:p w14:paraId="0028EBDD" w14:textId="77777777" w:rsidR="006E1310" w:rsidRPr="00883399" w:rsidRDefault="006E1310" w:rsidP="0062566C">
      <w:pPr>
        <w:pStyle w:val="R2"/>
        <w:ind w:hanging="62"/>
      </w:pPr>
      <w:r w:rsidRPr="00883399">
        <w:rPr>
          <w:sz w:val="20"/>
          <w:szCs w:val="20"/>
        </w:rPr>
        <w:t>NO = Not occurring.</w:t>
      </w:r>
    </w:p>
    <w:p w14:paraId="3CED39C1" w14:textId="00AEB6D6" w:rsidR="00872C03" w:rsidRPr="00883399" w:rsidRDefault="00872C03" w:rsidP="00872C03">
      <w:pPr>
        <w:pStyle w:val="ActHead5"/>
        <w:rPr>
          <w:sz w:val="20"/>
        </w:rPr>
      </w:pPr>
      <w:bookmarkStart w:id="1038" w:name="_Toc423517115"/>
      <w:bookmarkStart w:id="1039" w:name="_Toc495653047"/>
      <w:r w:rsidRPr="00883399">
        <w:rPr>
          <w:rStyle w:val="CharSectno"/>
          <w:sz w:val="28"/>
        </w:rPr>
        <w:t>4.94</w:t>
      </w:r>
      <w:r w:rsidRPr="00883399">
        <w:rPr>
          <w:sz w:val="28"/>
        </w:rPr>
        <w:t xml:space="preserve">  Method 1—other metals</w:t>
      </w:r>
      <w:bookmarkEnd w:id="1038"/>
      <w:bookmarkEnd w:id="1039"/>
    </w:p>
    <w:p w14:paraId="73CD6AFE" w14:textId="77777777" w:rsidR="00872C03" w:rsidRPr="00883399" w:rsidRDefault="00872C03" w:rsidP="00872C03">
      <w:pPr>
        <w:pStyle w:val="subsection"/>
        <w:rPr>
          <w:sz w:val="24"/>
        </w:rPr>
      </w:pPr>
      <w:r w:rsidRPr="00883399">
        <w:rPr>
          <w:sz w:val="24"/>
        </w:rPr>
        <w:tab/>
      </w:r>
      <w:r w:rsidRPr="00883399">
        <w:rPr>
          <w:sz w:val="24"/>
        </w:rPr>
        <w:tab/>
        <w:t>Method 1, based on a carbon mass balance approach, is:</w:t>
      </w:r>
    </w:p>
    <w:tbl>
      <w:tblPr>
        <w:tblW w:w="7807" w:type="dxa"/>
        <w:tblInd w:w="948" w:type="dxa"/>
        <w:tblLayout w:type="fixed"/>
        <w:tblLook w:val="04A0" w:firstRow="1" w:lastRow="0" w:firstColumn="1" w:lastColumn="0" w:noHBand="0" w:noVBand="1"/>
      </w:tblPr>
      <w:tblGrid>
        <w:gridCol w:w="882"/>
        <w:gridCol w:w="6925"/>
      </w:tblGrid>
      <w:tr w:rsidR="00872C03" w:rsidRPr="00883399" w14:paraId="73BD3B20" w14:textId="77777777" w:rsidTr="0031057E">
        <w:trPr>
          <w:cantSplit/>
          <w:trHeight w:val="80"/>
        </w:trPr>
        <w:tc>
          <w:tcPr>
            <w:tcW w:w="882" w:type="dxa"/>
            <w:vMerge w:val="restart"/>
            <w:hideMark/>
          </w:tcPr>
          <w:p w14:paraId="2A8E7E3F" w14:textId="77777777" w:rsidR="00872C03" w:rsidRPr="00883399" w:rsidRDefault="00872C03" w:rsidP="0031057E">
            <w:pPr>
              <w:spacing w:before="60" w:after="60"/>
            </w:pPr>
            <w:r w:rsidRPr="00883399">
              <w:t>Step 1</w:t>
            </w:r>
          </w:p>
        </w:tc>
        <w:tc>
          <w:tcPr>
            <w:tcW w:w="6925" w:type="dxa"/>
            <w:hideMark/>
          </w:tcPr>
          <w:p w14:paraId="378E06FC" w14:textId="77777777" w:rsidR="00872C03" w:rsidRPr="00883399" w:rsidRDefault="00872C03" w:rsidP="0031057E">
            <w:pPr>
              <w:pStyle w:val="TableText"/>
              <w:rPr>
                <w:sz w:val="24"/>
              </w:rPr>
            </w:pPr>
            <w:r w:rsidRPr="00883399">
              <w:rPr>
                <w:sz w:val="24"/>
              </w:rPr>
              <w:t>Work out the carbon content in fuel types</w:t>
            </w:r>
            <w:r w:rsidRPr="00883399">
              <w:rPr>
                <w:b/>
                <w:i/>
                <w:sz w:val="24"/>
              </w:rPr>
              <w:t xml:space="preserve"> </w:t>
            </w:r>
            <w:r w:rsidRPr="00883399">
              <w:rPr>
                <w:sz w:val="24"/>
              </w:rPr>
              <w:t>(</w:t>
            </w:r>
            <w:r w:rsidRPr="00883399">
              <w:rPr>
                <w:b/>
                <w:i/>
                <w:sz w:val="24"/>
              </w:rPr>
              <w:t>i</w:t>
            </w:r>
            <w:r w:rsidRPr="00883399">
              <w:rPr>
                <w:sz w:val="24"/>
              </w:rPr>
              <w:t>) or carbonaceous input material delivered for the activity during the year, measured in tonnes of carbon, as follows:</w:t>
            </w:r>
          </w:p>
          <w:p w14:paraId="5EAED20E" w14:textId="6C3204DB" w:rsidR="00872C03" w:rsidRPr="00883399" w:rsidRDefault="00872C03" w:rsidP="0031057E">
            <w:pPr>
              <w:pStyle w:val="Formula"/>
              <w:spacing w:before="120" w:after="120"/>
              <w:rPr>
                <w:sz w:val="22"/>
              </w:rPr>
            </w:pPr>
            <w:r w:rsidRPr="00883399">
              <w:rPr>
                <w:noProof/>
                <w:position w:val="-10"/>
                <w:sz w:val="22"/>
              </w:rPr>
              <w:drawing>
                <wp:inline distT="0" distB="0" distL="0" distR="0" wp14:anchorId="5D60F8FE" wp14:editId="6C3D1BE3">
                  <wp:extent cx="962025" cy="213995"/>
                  <wp:effectExtent l="19050" t="0" r="9525"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37"/>
                          <a:srcRect/>
                          <a:stretch>
                            <a:fillRect/>
                          </a:stretch>
                        </pic:blipFill>
                        <pic:spPr bwMode="auto">
                          <a:xfrm>
                            <a:off x="0" y="0"/>
                            <a:ext cx="962025" cy="213995"/>
                          </a:xfrm>
                          <a:prstGeom prst="rect">
                            <a:avLst/>
                          </a:prstGeom>
                          <a:noFill/>
                          <a:ln w="9525">
                            <a:noFill/>
                            <a:miter lim="800000"/>
                            <a:headEnd/>
                            <a:tailEnd/>
                          </a:ln>
                        </pic:spPr>
                      </pic:pic>
                    </a:graphicData>
                  </a:graphic>
                </wp:inline>
              </w:drawing>
            </w:r>
          </w:p>
        </w:tc>
      </w:tr>
      <w:tr w:rsidR="00872C03" w:rsidRPr="00883399" w14:paraId="4F63C324" w14:textId="77777777" w:rsidTr="0031057E">
        <w:trPr>
          <w:cantSplit/>
          <w:trHeight w:val="80"/>
        </w:trPr>
        <w:tc>
          <w:tcPr>
            <w:tcW w:w="882" w:type="dxa"/>
            <w:vMerge/>
            <w:hideMark/>
          </w:tcPr>
          <w:p w14:paraId="3D9224E0" w14:textId="77777777" w:rsidR="00872C03" w:rsidRPr="00883399" w:rsidRDefault="00872C03" w:rsidP="0031057E">
            <w:pPr>
              <w:spacing w:before="60" w:after="60"/>
              <w:rPr>
                <w:i/>
              </w:rPr>
            </w:pPr>
          </w:p>
        </w:tc>
        <w:tc>
          <w:tcPr>
            <w:tcW w:w="6925" w:type="dxa"/>
            <w:hideMark/>
          </w:tcPr>
          <w:p w14:paraId="2A9D6EBB" w14:textId="77777777" w:rsidR="00872C03" w:rsidRPr="00883399" w:rsidRDefault="00872C03" w:rsidP="0031057E">
            <w:pPr>
              <w:pStyle w:val="TableText"/>
              <w:rPr>
                <w:sz w:val="24"/>
              </w:rPr>
            </w:pPr>
            <w:r w:rsidRPr="00883399">
              <w:rPr>
                <w:sz w:val="24"/>
              </w:rPr>
              <w:t>where:</w:t>
            </w:r>
          </w:p>
          <w:p w14:paraId="74ADCF1A" w14:textId="77777777" w:rsidR="00872C03" w:rsidRPr="00883399" w:rsidRDefault="00872C03" w:rsidP="0031057E">
            <w:pPr>
              <w:pStyle w:val="TableText"/>
              <w:spacing w:line="240" w:lineRule="auto"/>
              <w:rPr>
                <w:sz w:val="24"/>
              </w:rPr>
            </w:pPr>
            <w:r w:rsidRPr="00883399">
              <w:rPr>
                <w:rFonts w:ascii="Symbol" w:hAnsi="Symbol"/>
                <w:b/>
                <w:i/>
                <w:sz w:val="24"/>
              </w:rPr>
              <w:t></w:t>
            </w:r>
            <w:r w:rsidRPr="00883399">
              <w:rPr>
                <w:b/>
                <w:i/>
                <w:sz w:val="24"/>
                <w:vertAlign w:val="subscript"/>
              </w:rPr>
              <w:t>i</w:t>
            </w:r>
            <w:r w:rsidRPr="00883399">
              <w:rPr>
                <w:i/>
                <w:sz w:val="24"/>
              </w:rPr>
              <w:t xml:space="preserve"> </w:t>
            </w:r>
            <w:r w:rsidRPr="00883399">
              <w:rPr>
                <w:sz w:val="24"/>
              </w:rPr>
              <w:t xml:space="preserve">means the sum of the </w:t>
            </w:r>
            <w:r w:rsidRPr="00883399">
              <w:rPr>
                <w:sz w:val="24"/>
                <w:szCs w:val="22"/>
              </w:rPr>
              <w:t>carbon</w:t>
            </w:r>
            <w:r w:rsidRPr="00883399">
              <w:rPr>
                <w:sz w:val="24"/>
              </w:rPr>
              <w:t xml:space="preserve"> content values obtained for all fuel types (</w:t>
            </w:r>
            <w:r w:rsidRPr="00883399">
              <w:rPr>
                <w:b/>
                <w:i/>
                <w:sz w:val="24"/>
              </w:rPr>
              <w:t>i</w:t>
            </w:r>
            <w:r w:rsidRPr="00883399">
              <w:rPr>
                <w:sz w:val="24"/>
              </w:rPr>
              <w:t>) or carbonaceous input material.</w:t>
            </w:r>
          </w:p>
          <w:p w14:paraId="4AEF0A1C" w14:textId="77777777" w:rsidR="00872C03" w:rsidRPr="00883399" w:rsidRDefault="00872C03" w:rsidP="0031057E">
            <w:pPr>
              <w:pStyle w:val="TableText"/>
              <w:spacing w:line="240" w:lineRule="auto"/>
              <w:rPr>
                <w:b/>
                <w:i/>
                <w:sz w:val="24"/>
              </w:rPr>
            </w:pPr>
            <w:r w:rsidRPr="00883399">
              <w:rPr>
                <w:b/>
                <w:i/>
                <w:sz w:val="24"/>
              </w:rPr>
              <w:t>CCF</w:t>
            </w:r>
            <w:r w:rsidRPr="00883399">
              <w:rPr>
                <w:b/>
                <w:i/>
                <w:sz w:val="24"/>
                <w:vertAlign w:val="subscript"/>
              </w:rPr>
              <w:t>i</w:t>
            </w:r>
            <w:r w:rsidRPr="00883399">
              <w:rPr>
                <w:i/>
                <w:sz w:val="24"/>
              </w:rPr>
              <w:t xml:space="preserve"> </w:t>
            </w:r>
            <w:r w:rsidRPr="00883399">
              <w:rPr>
                <w:sz w:val="24"/>
              </w:rPr>
              <w:t xml:space="preserve">is the </w:t>
            </w:r>
            <w:r w:rsidRPr="00883399">
              <w:rPr>
                <w:sz w:val="24"/>
                <w:szCs w:val="22"/>
              </w:rPr>
              <w:t>carbon</w:t>
            </w:r>
            <w:r w:rsidRPr="00883399">
              <w:rPr>
                <w:sz w:val="24"/>
              </w:rPr>
              <w:t xml:space="preserve"> content factor mentioned in Schedule 3, measured in tonnes of carbon, for each appropriate unit of fuel type (</w:t>
            </w:r>
            <w:r w:rsidRPr="00883399">
              <w:rPr>
                <w:b/>
                <w:i/>
                <w:sz w:val="24"/>
              </w:rPr>
              <w:t>i</w:t>
            </w:r>
            <w:r w:rsidRPr="00883399">
              <w:rPr>
                <w:sz w:val="24"/>
              </w:rPr>
              <w:t>) or carbonaceous input material consumed during the year from the operation of the activity.</w:t>
            </w:r>
          </w:p>
        </w:tc>
      </w:tr>
      <w:tr w:rsidR="00872C03" w:rsidRPr="00883399" w14:paraId="5A1DF579" w14:textId="77777777" w:rsidTr="0031057E">
        <w:trPr>
          <w:cantSplit/>
          <w:trHeight w:val="80"/>
        </w:trPr>
        <w:tc>
          <w:tcPr>
            <w:tcW w:w="882" w:type="dxa"/>
            <w:vMerge/>
            <w:vAlign w:val="center"/>
            <w:hideMark/>
          </w:tcPr>
          <w:p w14:paraId="4142164B" w14:textId="77777777" w:rsidR="00872C03" w:rsidRPr="00883399" w:rsidRDefault="00872C03" w:rsidP="0031057E">
            <w:pPr>
              <w:rPr>
                <w:i/>
              </w:rPr>
            </w:pPr>
          </w:p>
        </w:tc>
        <w:tc>
          <w:tcPr>
            <w:tcW w:w="6925" w:type="dxa"/>
            <w:hideMark/>
          </w:tcPr>
          <w:p w14:paraId="1F5E0966" w14:textId="77777777" w:rsidR="00872C03" w:rsidRPr="00883399" w:rsidRDefault="00872C03" w:rsidP="0031057E">
            <w:pPr>
              <w:pStyle w:val="TableText"/>
              <w:rPr>
                <w:sz w:val="24"/>
              </w:rPr>
            </w:pPr>
            <w:r w:rsidRPr="00883399">
              <w:rPr>
                <w:b/>
                <w:i/>
                <w:sz w:val="24"/>
              </w:rPr>
              <w:t>Q</w:t>
            </w:r>
            <w:r w:rsidRPr="00883399">
              <w:rPr>
                <w:b/>
                <w:i/>
                <w:sz w:val="28"/>
                <w:vertAlign w:val="subscript"/>
              </w:rPr>
              <w:t>i</w:t>
            </w:r>
            <w:r w:rsidRPr="00883399">
              <w:rPr>
                <w:b/>
                <w:i/>
                <w:sz w:val="24"/>
              </w:rPr>
              <w:t xml:space="preserve"> </w:t>
            </w:r>
            <w:r w:rsidRPr="00883399">
              <w:rPr>
                <w:sz w:val="24"/>
              </w:rPr>
              <w:t>is the quantity of fuel type (</w:t>
            </w:r>
            <w:r w:rsidRPr="00883399">
              <w:rPr>
                <w:b/>
                <w:i/>
                <w:sz w:val="24"/>
              </w:rPr>
              <w:t>i</w:t>
            </w:r>
            <w:r w:rsidRPr="00883399">
              <w:rPr>
                <w:sz w:val="24"/>
              </w:rPr>
              <w:t>) or carbonaceous input material delivered for the activity during the year, measured in an appropriate unit and estimated in accordance with:</w:t>
            </w:r>
          </w:p>
          <w:p w14:paraId="759B52D6" w14:textId="77777777" w:rsidR="00872C03" w:rsidRPr="00883399" w:rsidRDefault="00872C03" w:rsidP="0031057E">
            <w:pPr>
              <w:pStyle w:val="TableP1a"/>
              <w:rPr>
                <w:sz w:val="24"/>
              </w:rPr>
            </w:pPr>
            <w:r w:rsidRPr="00883399">
              <w:rPr>
                <w:sz w:val="24"/>
              </w:rPr>
              <w:tab/>
              <w:t>(a)</w:t>
            </w:r>
            <w:r w:rsidRPr="00883399">
              <w:rPr>
                <w:sz w:val="24"/>
              </w:rPr>
              <w:tab/>
              <w:t>criterion A in Divisions 2.2.5, 2.3.6 and 2.4.6; or</w:t>
            </w:r>
          </w:p>
          <w:p w14:paraId="62C5D234" w14:textId="77777777" w:rsidR="00872C03" w:rsidRPr="00883399" w:rsidRDefault="00872C03" w:rsidP="0031057E">
            <w:pPr>
              <w:pStyle w:val="TableP1a"/>
              <w:rPr>
                <w:sz w:val="24"/>
              </w:rPr>
            </w:pPr>
            <w:r w:rsidRPr="00883399">
              <w:rPr>
                <w:sz w:val="24"/>
              </w:rPr>
              <w:tab/>
              <w:t>(b)</w:t>
            </w:r>
            <w:r w:rsidRPr="00883399">
              <w:rPr>
                <w:sz w:val="24"/>
              </w:rPr>
              <w:tab/>
              <w:t>if the quantity of fuel or carbonaceous input material is not acquired as part of a commercial transaction — industry practice, consistent with the principles in section 1.13.</w:t>
            </w:r>
          </w:p>
        </w:tc>
      </w:tr>
      <w:tr w:rsidR="00872C03" w:rsidRPr="00883399" w14:paraId="4F3D2993" w14:textId="77777777" w:rsidTr="0031057E">
        <w:trPr>
          <w:cantSplit/>
        </w:trPr>
        <w:tc>
          <w:tcPr>
            <w:tcW w:w="882" w:type="dxa"/>
            <w:vMerge w:val="restart"/>
            <w:hideMark/>
          </w:tcPr>
          <w:p w14:paraId="4A5F01F7" w14:textId="77777777" w:rsidR="00872C03" w:rsidRPr="00883399" w:rsidRDefault="00872C03" w:rsidP="0031057E">
            <w:pPr>
              <w:spacing w:before="60" w:after="60"/>
            </w:pPr>
            <w:r w:rsidRPr="00883399">
              <w:t>Step 2</w:t>
            </w:r>
          </w:p>
        </w:tc>
        <w:tc>
          <w:tcPr>
            <w:tcW w:w="6925" w:type="dxa"/>
            <w:hideMark/>
          </w:tcPr>
          <w:p w14:paraId="39DB46DC" w14:textId="77777777" w:rsidR="00872C03" w:rsidRPr="00883399" w:rsidRDefault="00872C03" w:rsidP="0031057E">
            <w:pPr>
              <w:pStyle w:val="TableText"/>
              <w:rPr>
                <w:sz w:val="24"/>
              </w:rPr>
            </w:pPr>
            <w:r w:rsidRPr="00883399">
              <w:rPr>
                <w:sz w:val="24"/>
              </w:rPr>
              <w:t>Work out the carbon content in products (</w:t>
            </w:r>
            <w:r w:rsidRPr="00883399">
              <w:rPr>
                <w:b/>
                <w:i/>
                <w:sz w:val="24"/>
              </w:rPr>
              <w:t>p</w:t>
            </w:r>
            <w:r w:rsidRPr="00883399">
              <w:rPr>
                <w:sz w:val="24"/>
              </w:rPr>
              <w:t>) leaving the activity during the year, measured in tonnes of carbon, as follows:</w:t>
            </w:r>
          </w:p>
          <w:p w14:paraId="2C3A2F81" w14:textId="45284FE8" w:rsidR="00872C03" w:rsidRPr="00883399" w:rsidRDefault="00872C03" w:rsidP="0031057E">
            <w:pPr>
              <w:pStyle w:val="Formula"/>
              <w:spacing w:before="120" w:after="120"/>
              <w:rPr>
                <w:sz w:val="22"/>
              </w:rPr>
            </w:pPr>
            <w:r w:rsidRPr="00883399">
              <w:rPr>
                <w:noProof/>
                <w:position w:val="-14"/>
                <w:sz w:val="22"/>
              </w:rPr>
              <w:drawing>
                <wp:inline distT="0" distB="0" distL="0" distR="0" wp14:anchorId="7F63B7B7" wp14:editId="2F8BE92F">
                  <wp:extent cx="1116330" cy="237490"/>
                  <wp:effectExtent l="1905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38"/>
                          <a:srcRect/>
                          <a:stretch>
                            <a:fillRect/>
                          </a:stretch>
                        </pic:blipFill>
                        <pic:spPr bwMode="auto">
                          <a:xfrm>
                            <a:off x="0" y="0"/>
                            <a:ext cx="1116330" cy="237490"/>
                          </a:xfrm>
                          <a:prstGeom prst="rect">
                            <a:avLst/>
                          </a:prstGeom>
                          <a:noFill/>
                          <a:ln w="9525">
                            <a:noFill/>
                            <a:miter lim="800000"/>
                            <a:headEnd/>
                            <a:tailEnd/>
                          </a:ln>
                        </pic:spPr>
                      </pic:pic>
                    </a:graphicData>
                  </a:graphic>
                </wp:inline>
              </w:drawing>
            </w:r>
          </w:p>
        </w:tc>
      </w:tr>
      <w:tr w:rsidR="00872C03" w:rsidRPr="00883399" w14:paraId="73E7514A" w14:textId="77777777" w:rsidTr="0031057E">
        <w:trPr>
          <w:cantSplit/>
        </w:trPr>
        <w:tc>
          <w:tcPr>
            <w:tcW w:w="882" w:type="dxa"/>
            <w:vMerge/>
            <w:vAlign w:val="center"/>
            <w:hideMark/>
          </w:tcPr>
          <w:p w14:paraId="7870D1B4" w14:textId="77777777" w:rsidR="00872C03" w:rsidRPr="00883399" w:rsidRDefault="00872C03" w:rsidP="0031057E"/>
        </w:tc>
        <w:tc>
          <w:tcPr>
            <w:tcW w:w="6925" w:type="dxa"/>
            <w:hideMark/>
          </w:tcPr>
          <w:p w14:paraId="1B29D669" w14:textId="77777777" w:rsidR="00872C03" w:rsidRPr="00883399" w:rsidRDefault="00872C03" w:rsidP="0031057E">
            <w:pPr>
              <w:pStyle w:val="TableText"/>
              <w:rPr>
                <w:sz w:val="24"/>
              </w:rPr>
            </w:pPr>
            <w:r w:rsidRPr="00883399">
              <w:rPr>
                <w:sz w:val="24"/>
              </w:rPr>
              <w:t>where:</w:t>
            </w:r>
          </w:p>
          <w:p w14:paraId="2F1342E7" w14:textId="77777777" w:rsidR="00872C03" w:rsidRPr="00883399" w:rsidRDefault="00872C03" w:rsidP="0031057E">
            <w:pPr>
              <w:pStyle w:val="TableText"/>
              <w:spacing w:line="240" w:lineRule="auto"/>
              <w:rPr>
                <w:sz w:val="24"/>
              </w:rPr>
            </w:pPr>
            <w:r w:rsidRPr="00883399">
              <w:rPr>
                <w:rFonts w:ascii="Symbol" w:hAnsi="Symbol"/>
                <w:b/>
                <w:i/>
                <w:sz w:val="24"/>
              </w:rPr>
              <w:t></w:t>
            </w:r>
            <w:r w:rsidRPr="00883399">
              <w:rPr>
                <w:b/>
                <w:i/>
                <w:sz w:val="24"/>
                <w:vertAlign w:val="subscript"/>
              </w:rPr>
              <w:t>p</w:t>
            </w:r>
            <w:r w:rsidRPr="00883399">
              <w:rPr>
                <w:i/>
                <w:sz w:val="24"/>
              </w:rPr>
              <w:t xml:space="preserve"> </w:t>
            </w:r>
            <w:r w:rsidRPr="00883399">
              <w:rPr>
                <w:sz w:val="24"/>
              </w:rPr>
              <w:t xml:space="preserve">means the sum of the </w:t>
            </w:r>
            <w:r w:rsidRPr="00883399">
              <w:rPr>
                <w:sz w:val="24"/>
                <w:szCs w:val="22"/>
              </w:rPr>
              <w:t>carbon</w:t>
            </w:r>
            <w:r w:rsidRPr="00883399">
              <w:rPr>
                <w:sz w:val="24"/>
              </w:rPr>
              <w:t xml:space="preserve"> content values obtained for all product types (</w:t>
            </w:r>
            <w:r w:rsidRPr="00883399">
              <w:rPr>
                <w:b/>
                <w:i/>
                <w:sz w:val="24"/>
              </w:rPr>
              <w:t>p</w:t>
            </w:r>
            <w:r w:rsidRPr="00883399">
              <w:rPr>
                <w:sz w:val="24"/>
              </w:rPr>
              <w:t>).</w:t>
            </w:r>
          </w:p>
          <w:p w14:paraId="10FA59B5" w14:textId="77777777" w:rsidR="00872C03" w:rsidRPr="00883399" w:rsidRDefault="00872C03" w:rsidP="0031057E">
            <w:pPr>
              <w:pStyle w:val="TableText"/>
              <w:spacing w:line="240" w:lineRule="auto"/>
              <w:rPr>
                <w:iCs/>
                <w:sz w:val="24"/>
              </w:rPr>
            </w:pPr>
            <w:r w:rsidRPr="00883399">
              <w:rPr>
                <w:b/>
                <w:i/>
                <w:iCs/>
                <w:sz w:val="24"/>
              </w:rPr>
              <w:t>CCF</w:t>
            </w:r>
            <w:r w:rsidRPr="00883399">
              <w:rPr>
                <w:b/>
                <w:i/>
                <w:iCs/>
                <w:sz w:val="24"/>
                <w:vertAlign w:val="subscript"/>
              </w:rPr>
              <w:t>p</w:t>
            </w:r>
            <w:r w:rsidRPr="00883399">
              <w:rPr>
                <w:iCs/>
                <w:sz w:val="24"/>
              </w:rPr>
              <w:t xml:space="preserve"> is the </w:t>
            </w:r>
            <w:r w:rsidRPr="00883399">
              <w:rPr>
                <w:sz w:val="24"/>
                <w:szCs w:val="22"/>
              </w:rPr>
              <w:t>carbon</w:t>
            </w:r>
            <w:r w:rsidRPr="00883399">
              <w:rPr>
                <w:iCs/>
                <w:sz w:val="24"/>
              </w:rPr>
              <w:t xml:space="preserve"> content factor, measured in tonnes of carbon, for each tonne of product type</w:t>
            </w:r>
            <w:r w:rsidRPr="00883399">
              <w:rPr>
                <w:b/>
                <w:i/>
                <w:iCs/>
                <w:sz w:val="24"/>
              </w:rPr>
              <w:t xml:space="preserve"> </w:t>
            </w:r>
            <w:r w:rsidRPr="00883399">
              <w:rPr>
                <w:iCs/>
                <w:sz w:val="24"/>
              </w:rPr>
              <w:t>(</w:t>
            </w:r>
            <w:r w:rsidRPr="00883399">
              <w:rPr>
                <w:b/>
                <w:i/>
                <w:iCs/>
                <w:sz w:val="24"/>
              </w:rPr>
              <w:t>p</w:t>
            </w:r>
            <w:r w:rsidRPr="00883399">
              <w:rPr>
                <w:iCs/>
                <w:sz w:val="24"/>
              </w:rPr>
              <w:t>) produced during the year.</w:t>
            </w:r>
          </w:p>
          <w:p w14:paraId="6F503AA9" w14:textId="77777777" w:rsidR="00872C03" w:rsidRPr="00883399" w:rsidRDefault="00872C03" w:rsidP="0031057E">
            <w:pPr>
              <w:pStyle w:val="TableText"/>
              <w:spacing w:line="240" w:lineRule="auto"/>
              <w:rPr>
                <w:sz w:val="24"/>
              </w:rPr>
            </w:pPr>
            <w:r w:rsidRPr="00883399">
              <w:rPr>
                <w:b/>
                <w:i/>
                <w:sz w:val="24"/>
              </w:rPr>
              <w:t>A</w:t>
            </w:r>
            <w:r w:rsidRPr="00883399">
              <w:rPr>
                <w:b/>
                <w:i/>
                <w:sz w:val="24"/>
                <w:vertAlign w:val="subscript"/>
              </w:rPr>
              <w:t>p</w:t>
            </w:r>
            <w:r w:rsidRPr="00883399">
              <w:rPr>
                <w:i/>
                <w:sz w:val="24"/>
              </w:rPr>
              <w:t xml:space="preserve"> </w:t>
            </w:r>
            <w:r w:rsidRPr="00883399">
              <w:rPr>
                <w:sz w:val="24"/>
              </w:rPr>
              <w:t xml:space="preserve">is the </w:t>
            </w:r>
            <w:r w:rsidRPr="00883399">
              <w:rPr>
                <w:sz w:val="24"/>
                <w:szCs w:val="22"/>
              </w:rPr>
              <w:t>quantity</w:t>
            </w:r>
            <w:r w:rsidRPr="00883399">
              <w:rPr>
                <w:sz w:val="24"/>
              </w:rPr>
              <w:t xml:space="preserve"> of product types (</w:t>
            </w:r>
            <w:r w:rsidRPr="00883399">
              <w:rPr>
                <w:b/>
                <w:i/>
                <w:sz w:val="24"/>
              </w:rPr>
              <w:t>p</w:t>
            </w:r>
            <w:r w:rsidRPr="00883399">
              <w:rPr>
                <w:sz w:val="24"/>
              </w:rPr>
              <w:t>) produced leaving the activity during the year, measured in tonnes.</w:t>
            </w:r>
          </w:p>
        </w:tc>
      </w:tr>
      <w:tr w:rsidR="00872C03" w:rsidRPr="00883399" w14:paraId="1BC13C81" w14:textId="77777777" w:rsidTr="0031057E">
        <w:trPr>
          <w:cantSplit/>
        </w:trPr>
        <w:tc>
          <w:tcPr>
            <w:tcW w:w="882" w:type="dxa"/>
            <w:vMerge w:val="restart"/>
            <w:hideMark/>
          </w:tcPr>
          <w:p w14:paraId="0C26734E" w14:textId="77777777" w:rsidR="00872C03" w:rsidRPr="00883399" w:rsidRDefault="00872C03" w:rsidP="0031057E">
            <w:pPr>
              <w:spacing w:before="60" w:after="60"/>
            </w:pPr>
            <w:r w:rsidRPr="00883399">
              <w:t>Step 3</w:t>
            </w:r>
          </w:p>
        </w:tc>
        <w:tc>
          <w:tcPr>
            <w:tcW w:w="6925" w:type="dxa"/>
            <w:hideMark/>
          </w:tcPr>
          <w:p w14:paraId="3A222EB5" w14:textId="77777777" w:rsidR="00872C03" w:rsidRPr="00883399" w:rsidRDefault="00872C03" w:rsidP="0031057E">
            <w:pPr>
              <w:pStyle w:val="TableText"/>
              <w:rPr>
                <w:iCs/>
                <w:sz w:val="24"/>
              </w:rPr>
            </w:pPr>
            <w:r w:rsidRPr="00883399">
              <w:rPr>
                <w:iCs/>
                <w:sz w:val="24"/>
              </w:rPr>
              <w:t xml:space="preserve">Work out </w:t>
            </w:r>
            <w:r w:rsidRPr="00883399">
              <w:rPr>
                <w:sz w:val="24"/>
              </w:rPr>
              <w:t xml:space="preserve">the carbon content in </w:t>
            </w:r>
            <w:r w:rsidRPr="00883399">
              <w:rPr>
                <w:iCs/>
                <w:sz w:val="24"/>
              </w:rPr>
              <w:t>waste by</w:t>
            </w:r>
            <w:r w:rsidRPr="00883399">
              <w:rPr>
                <w:iCs/>
                <w:sz w:val="24"/>
              </w:rPr>
              <w:noBreakHyphen/>
              <w:t xml:space="preserve">product types </w:t>
            </w:r>
            <w:r w:rsidRPr="00883399">
              <w:rPr>
                <w:b/>
                <w:i/>
                <w:sz w:val="24"/>
              </w:rPr>
              <w:t xml:space="preserve">(r) </w:t>
            </w:r>
            <w:r w:rsidRPr="00883399">
              <w:rPr>
                <w:sz w:val="24"/>
              </w:rPr>
              <w:t>leaving the activity,</w:t>
            </w:r>
            <w:r w:rsidRPr="00883399">
              <w:rPr>
                <w:iCs/>
                <w:sz w:val="24"/>
              </w:rPr>
              <w:t xml:space="preserve"> other than as an emission of greenhouse gas, during the year, </w:t>
            </w:r>
            <w:r w:rsidRPr="00883399">
              <w:rPr>
                <w:sz w:val="24"/>
              </w:rPr>
              <w:t xml:space="preserve">measured in tonnes of carbon, </w:t>
            </w:r>
            <w:r w:rsidRPr="00883399">
              <w:rPr>
                <w:iCs/>
                <w:sz w:val="24"/>
              </w:rPr>
              <w:t>as follows:</w:t>
            </w:r>
          </w:p>
          <w:p w14:paraId="4C66B882" w14:textId="7C9047C6" w:rsidR="00872C03" w:rsidRPr="00883399" w:rsidRDefault="00872C03" w:rsidP="0031057E">
            <w:pPr>
              <w:pStyle w:val="Formula"/>
              <w:spacing w:before="120" w:after="120"/>
              <w:rPr>
                <w:sz w:val="22"/>
              </w:rPr>
            </w:pPr>
            <w:r w:rsidRPr="00883399">
              <w:rPr>
                <w:noProof/>
                <w:position w:val="-10"/>
                <w:sz w:val="22"/>
              </w:rPr>
              <w:drawing>
                <wp:inline distT="0" distB="0" distL="0" distR="0" wp14:anchorId="257D73BD" wp14:editId="58CDCDF5">
                  <wp:extent cx="949960" cy="213995"/>
                  <wp:effectExtent l="19050" t="0" r="254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39"/>
                          <a:srcRect/>
                          <a:stretch>
                            <a:fillRect/>
                          </a:stretch>
                        </pic:blipFill>
                        <pic:spPr bwMode="auto">
                          <a:xfrm>
                            <a:off x="0" y="0"/>
                            <a:ext cx="949960" cy="213995"/>
                          </a:xfrm>
                          <a:prstGeom prst="rect">
                            <a:avLst/>
                          </a:prstGeom>
                          <a:noFill/>
                          <a:ln w="9525">
                            <a:noFill/>
                            <a:miter lim="800000"/>
                            <a:headEnd/>
                            <a:tailEnd/>
                          </a:ln>
                        </pic:spPr>
                      </pic:pic>
                    </a:graphicData>
                  </a:graphic>
                </wp:inline>
              </w:drawing>
            </w:r>
          </w:p>
        </w:tc>
      </w:tr>
      <w:tr w:rsidR="00872C03" w:rsidRPr="00883399" w14:paraId="1A393EBE" w14:textId="77777777" w:rsidTr="0031057E">
        <w:trPr>
          <w:cantSplit/>
        </w:trPr>
        <w:tc>
          <w:tcPr>
            <w:tcW w:w="882" w:type="dxa"/>
            <w:vMerge/>
            <w:hideMark/>
          </w:tcPr>
          <w:p w14:paraId="5F3ADC34" w14:textId="77777777" w:rsidR="00872C03" w:rsidRPr="00883399" w:rsidRDefault="00872C03" w:rsidP="0031057E">
            <w:pPr>
              <w:spacing w:before="60" w:after="60"/>
            </w:pPr>
          </w:p>
        </w:tc>
        <w:tc>
          <w:tcPr>
            <w:tcW w:w="6925" w:type="dxa"/>
            <w:hideMark/>
          </w:tcPr>
          <w:p w14:paraId="701EB1B2" w14:textId="77777777" w:rsidR="00872C03" w:rsidRPr="00883399" w:rsidRDefault="00872C03" w:rsidP="0031057E">
            <w:pPr>
              <w:pStyle w:val="TableText"/>
              <w:rPr>
                <w:sz w:val="24"/>
              </w:rPr>
            </w:pPr>
            <w:r w:rsidRPr="00883399">
              <w:rPr>
                <w:sz w:val="24"/>
              </w:rPr>
              <w:t>where:</w:t>
            </w:r>
          </w:p>
          <w:p w14:paraId="6493EEB3" w14:textId="77777777" w:rsidR="00872C03" w:rsidRPr="00883399" w:rsidRDefault="00872C03" w:rsidP="0031057E">
            <w:pPr>
              <w:pStyle w:val="TableText"/>
              <w:spacing w:line="240" w:lineRule="auto"/>
              <w:rPr>
                <w:sz w:val="24"/>
              </w:rPr>
            </w:pPr>
            <w:r w:rsidRPr="00883399">
              <w:rPr>
                <w:rFonts w:ascii="Symbol" w:hAnsi="Symbol"/>
                <w:b/>
                <w:i/>
                <w:sz w:val="24"/>
              </w:rPr>
              <w:t></w:t>
            </w:r>
            <w:r w:rsidRPr="00883399">
              <w:rPr>
                <w:b/>
                <w:i/>
                <w:sz w:val="24"/>
                <w:vertAlign w:val="subscript"/>
              </w:rPr>
              <w:t>r</w:t>
            </w:r>
            <w:r w:rsidRPr="00883399">
              <w:rPr>
                <w:i/>
                <w:sz w:val="24"/>
              </w:rPr>
              <w:t xml:space="preserve"> </w:t>
            </w:r>
            <w:r w:rsidRPr="00883399">
              <w:rPr>
                <w:sz w:val="24"/>
              </w:rPr>
              <w:t>means the sum of the carbon content values obtained for all waste by</w:t>
            </w:r>
            <w:r w:rsidRPr="00883399">
              <w:rPr>
                <w:sz w:val="24"/>
              </w:rPr>
              <w:noBreakHyphen/>
              <w:t>product types (</w:t>
            </w:r>
            <w:r w:rsidRPr="00883399">
              <w:rPr>
                <w:b/>
                <w:i/>
                <w:sz w:val="24"/>
              </w:rPr>
              <w:t>r</w:t>
            </w:r>
            <w:r w:rsidRPr="00883399">
              <w:rPr>
                <w:sz w:val="24"/>
              </w:rPr>
              <w:t>).</w:t>
            </w:r>
          </w:p>
        </w:tc>
      </w:tr>
      <w:tr w:rsidR="00872C03" w:rsidRPr="00883399" w14:paraId="427A0D35" w14:textId="77777777" w:rsidTr="0031057E">
        <w:trPr>
          <w:cantSplit/>
        </w:trPr>
        <w:tc>
          <w:tcPr>
            <w:tcW w:w="882" w:type="dxa"/>
            <w:vMerge/>
            <w:vAlign w:val="center"/>
            <w:hideMark/>
          </w:tcPr>
          <w:p w14:paraId="2128C037" w14:textId="77777777" w:rsidR="00872C03" w:rsidRPr="00883399" w:rsidRDefault="00872C03" w:rsidP="0031057E"/>
        </w:tc>
        <w:tc>
          <w:tcPr>
            <w:tcW w:w="6925" w:type="dxa"/>
            <w:hideMark/>
          </w:tcPr>
          <w:p w14:paraId="3362B282" w14:textId="77777777" w:rsidR="00872C03" w:rsidRPr="00883399" w:rsidRDefault="00872C03" w:rsidP="0031057E">
            <w:pPr>
              <w:pStyle w:val="TableText"/>
              <w:rPr>
                <w:iCs/>
                <w:sz w:val="24"/>
              </w:rPr>
            </w:pPr>
            <w:r w:rsidRPr="00883399">
              <w:rPr>
                <w:b/>
                <w:i/>
                <w:iCs/>
                <w:sz w:val="24"/>
              </w:rPr>
              <w:t>CCF</w:t>
            </w:r>
            <w:r w:rsidRPr="00883399">
              <w:rPr>
                <w:b/>
                <w:i/>
                <w:iCs/>
                <w:sz w:val="24"/>
                <w:vertAlign w:val="subscript"/>
              </w:rPr>
              <w:t>r</w:t>
            </w:r>
            <w:r w:rsidRPr="00883399">
              <w:rPr>
                <w:iCs/>
                <w:sz w:val="24"/>
              </w:rPr>
              <w:t xml:space="preserve"> is the carbon content factor, measured in tonnes of carbon, for each tonne of waste by</w:t>
            </w:r>
            <w:r w:rsidRPr="00883399">
              <w:rPr>
                <w:iCs/>
                <w:sz w:val="24"/>
              </w:rPr>
              <w:noBreakHyphen/>
              <w:t>product types</w:t>
            </w:r>
            <w:r w:rsidRPr="00883399">
              <w:rPr>
                <w:b/>
                <w:i/>
                <w:iCs/>
                <w:sz w:val="24"/>
              </w:rPr>
              <w:t xml:space="preserve"> </w:t>
            </w:r>
            <w:r w:rsidRPr="00883399">
              <w:rPr>
                <w:iCs/>
                <w:sz w:val="24"/>
              </w:rPr>
              <w:t>(</w:t>
            </w:r>
            <w:r w:rsidRPr="00883399">
              <w:rPr>
                <w:b/>
                <w:i/>
                <w:iCs/>
                <w:sz w:val="24"/>
              </w:rPr>
              <w:t>r</w:t>
            </w:r>
            <w:r w:rsidRPr="00883399">
              <w:rPr>
                <w:iCs/>
                <w:sz w:val="24"/>
              </w:rPr>
              <w:t>).</w:t>
            </w:r>
          </w:p>
          <w:p w14:paraId="6C66E55D" w14:textId="77777777" w:rsidR="00872C03" w:rsidRPr="00883399" w:rsidRDefault="00872C03" w:rsidP="0031057E">
            <w:pPr>
              <w:pStyle w:val="TableText"/>
              <w:rPr>
                <w:sz w:val="24"/>
              </w:rPr>
            </w:pPr>
            <w:r w:rsidRPr="00883399">
              <w:rPr>
                <w:b/>
                <w:i/>
                <w:sz w:val="24"/>
              </w:rPr>
              <w:t>Y</w:t>
            </w:r>
            <w:r w:rsidRPr="00883399">
              <w:rPr>
                <w:b/>
                <w:i/>
                <w:sz w:val="24"/>
                <w:vertAlign w:val="subscript"/>
              </w:rPr>
              <w:t>r</w:t>
            </w:r>
            <w:r w:rsidRPr="00883399">
              <w:rPr>
                <w:i/>
                <w:sz w:val="24"/>
              </w:rPr>
              <w:t xml:space="preserve"> </w:t>
            </w:r>
            <w:r w:rsidRPr="00883399">
              <w:rPr>
                <w:sz w:val="24"/>
              </w:rPr>
              <w:t>is the quantity of waste by</w:t>
            </w:r>
            <w:r w:rsidRPr="00883399">
              <w:rPr>
                <w:sz w:val="24"/>
              </w:rPr>
              <w:noBreakHyphen/>
              <w:t>product types (</w:t>
            </w:r>
            <w:r w:rsidRPr="00883399">
              <w:rPr>
                <w:b/>
                <w:i/>
                <w:sz w:val="24"/>
              </w:rPr>
              <w:t>r</w:t>
            </w:r>
            <w:r w:rsidRPr="00883399">
              <w:rPr>
                <w:sz w:val="24"/>
              </w:rPr>
              <w:t>) leaving the activity during the year, measured in tonnes.</w:t>
            </w:r>
          </w:p>
        </w:tc>
      </w:tr>
      <w:tr w:rsidR="00872C03" w:rsidRPr="00883399" w14:paraId="0CDD3F0A" w14:textId="77777777" w:rsidTr="0031057E">
        <w:trPr>
          <w:cantSplit/>
        </w:trPr>
        <w:tc>
          <w:tcPr>
            <w:tcW w:w="882" w:type="dxa"/>
            <w:hideMark/>
          </w:tcPr>
          <w:p w14:paraId="5F597DCC" w14:textId="77777777" w:rsidR="00872C03" w:rsidRPr="00883399" w:rsidRDefault="00872C03" w:rsidP="0031057E">
            <w:pPr>
              <w:spacing w:before="60" w:after="60"/>
            </w:pPr>
            <w:r w:rsidRPr="00883399">
              <w:t>Step 4</w:t>
            </w:r>
          </w:p>
        </w:tc>
        <w:tc>
          <w:tcPr>
            <w:tcW w:w="6925" w:type="dxa"/>
            <w:hideMark/>
          </w:tcPr>
          <w:p w14:paraId="073BE942" w14:textId="77777777" w:rsidR="00872C03" w:rsidRPr="00883399" w:rsidRDefault="00872C03" w:rsidP="0031057E">
            <w:pPr>
              <w:pStyle w:val="TableText"/>
              <w:keepNext/>
              <w:rPr>
                <w:iCs/>
                <w:sz w:val="24"/>
              </w:rPr>
            </w:pPr>
            <w:r w:rsidRPr="00883399">
              <w:rPr>
                <w:sz w:val="24"/>
              </w:rPr>
              <w:t xml:space="preserve">Work out the carbon content in the amount of the change in </w:t>
            </w:r>
            <w:r w:rsidRPr="00883399">
              <w:rPr>
                <w:iCs/>
                <w:sz w:val="24"/>
              </w:rPr>
              <w:t>stocks of inputs, products and waste by</w:t>
            </w:r>
            <w:r w:rsidRPr="00883399">
              <w:rPr>
                <w:iCs/>
                <w:sz w:val="24"/>
              </w:rPr>
              <w:noBreakHyphen/>
              <w:t>products held within the boundary of the activity during the year, measured in tonnes of carbon, as follows:</w:t>
            </w:r>
          </w:p>
          <w:p w14:paraId="20703CE7" w14:textId="2A0B855A" w:rsidR="00872C03" w:rsidRPr="00883399" w:rsidRDefault="00872C03" w:rsidP="0031057E">
            <w:pPr>
              <w:pStyle w:val="Formula"/>
              <w:spacing w:before="120" w:after="120"/>
              <w:ind w:left="580"/>
              <w:rPr>
                <w:sz w:val="22"/>
              </w:rPr>
            </w:pPr>
            <w:r w:rsidRPr="00883399">
              <w:rPr>
                <w:noProof/>
                <w:position w:val="-14"/>
                <w:sz w:val="22"/>
              </w:rPr>
              <w:drawing>
                <wp:inline distT="0" distB="0" distL="0" distR="0" wp14:anchorId="6A6327F6" wp14:editId="79010126">
                  <wp:extent cx="3728720" cy="237490"/>
                  <wp:effectExtent l="19050" t="0" r="508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40"/>
                          <a:srcRect/>
                          <a:stretch>
                            <a:fillRect/>
                          </a:stretch>
                        </pic:blipFill>
                        <pic:spPr bwMode="auto">
                          <a:xfrm>
                            <a:off x="0" y="0"/>
                            <a:ext cx="3728720" cy="237490"/>
                          </a:xfrm>
                          <a:prstGeom prst="rect">
                            <a:avLst/>
                          </a:prstGeom>
                          <a:noFill/>
                          <a:ln w="9525">
                            <a:noFill/>
                            <a:miter lim="800000"/>
                            <a:headEnd/>
                            <a:tailEnd/>
                          </a:ln>
                        </pic:spPr>
                      </pic:pic>
                    </a:graphicData>
                  </a:graphic>
                </wp:inline>
              </w:drawing>
            </w:r>
          </w:p>
        </w:tc>
      </w:tr>
      <w:tr w:rsidR="00872C03" w:rsidRPr="00883399" w14:paraId="2471665A" w14:textId="77777777" w:rsidTr="0031057E">
        <w:trPr>
          <w:cantSplit/>
        </w:trPr>
        <w:tc>
          <w:tcPr>
            <w:tcW w:w="882" w:type="dxa"/>
            <w:vAlign w:val="center"/>
            <w:hideMark/>
          </w:tcPr>
          <w:p w14:paraId="1EC8234C" w14:textId="77777777" w:rsidR="00872C03" w:rsidRPr="00883399" w:rsidRDefault="00872C03" w:rsidP="0031057E">
            <w:pPr>
              <w:spacing w:before="60" w:after="60"/>
            </w:pPr>
          </w:p>
        </w:tc>
        <w:tc>
          <w:tcPr>
            <w:tcW w:w="6925" w:type="dxa"/>
            <w:hideMark/>
          </w:tcPr>
          <w:p w14:paraId="7EFEEB14" w14:textId="77777777" w:rsidR="00872C03" w:rsidRPr="00883399" w:rsidRDefault="00872C03" w:rsidP="0031057E">
            <w:pPr>
              <w:pStyle w:val="TableText"/>
              <w:rPr>
                <w:sz w:val="24"/>
              </w:rPr>
            </w:pPr>
            <w:r w:rsidRPr="00883399">
              <w:rPr>
                <w:sz w:val="24"/>
              </w:rPr>
              <w:t>where:</w:t>
            </w:r>
          </w:p>
          <w:p w14:paraId="148D619E" w14:textId="77777777" w:rsidR="00872C03" w:rsidRPr="00883399" w:rsidRDefault="00872C03" w:rsidP="0031057E">
            <w:pPr>
              <w:pStyle w:val="TableText"/>
              <w:rPr>
                <w:b/>
                <w:i/>
                <w:sz w:val="24"/>
              </w:rPr>
            </w:pPr>
            <w:r w:rsidRPr="00883399">
              <w:rPr>
                <w:rFonts w:ascii="Symbol" w:hAnsi="Symbol"/>
                <w:b/>
                <w:i/>
                <w:sz w:val="24"/>
              </w:rPr>
              <w:t></w:t>
            </w:r>
            <w:r w:rsidRPr="00883399">
              <w:rPr>
                <w:b/>
                <w:i/>
                <w:sz w:val="24"/>
                <w:vertAlign w:val="subscript"/>
              </w:rPr>
              <w:t>i</w:t>
            </w:r>
            <w:r w:rsidRPr="00883399">
              <w:rPr>
                <w:i/>
                <w:sz w:val="24"/>
              </w:rPr>
              <w:t xml:space="preserve"> </w:t>
            </w:r>
            <w:r w:rsidRPr="00883399">
              <w:rPr>
                <w:sz w:val="24"/>
              </w:rPr>
              <w:t>has the same meaning as in step 1.</w:t>
            </w:r>
          </w:p>
          <w:p w14:paraId="0EE6ADEA" w14:textId="77777777" w:rsidR="00872C03" w:rsidRPr="00883399" w:rsidRDefault="00872C03" w:rsidP="0031057E">
            <w:pPr>
              <w:pStyle w:val="TableText"/>
              <w:rPr>
                <w:sz w:val="24"/>
              </w:rPr>
            </w:pPr>
            <w:r w:rsidRPr="00883399">
              <w:rPr>
                <w:b/>
                <w:i/>
                <w:sz w:val="24"/>
              </w:rPr>
              <w:t>CCF</w:t>
            </w:r>
            <w:r w:rsidRPr="00883399">
              <w:rPr>
                <w:b/>
                <w:i/>
                <w:sz w:val="24"/>
                <w:vertAlign w:val="subscript"/>
              </w:rPr>
              <w:t>i</w:t>
            </w:r>
            <w:r w:rsidRPr="00883399">
              <w:rPr>
                <w:i/>
                <w:sz w:val="24"/>
              </w:rPr>
              <w:t xml:space="preserve"> </w:t>
            </w:r>
            <w:r w:rsidRPr="00883399">
              <w:rPr>
                <w:sz w:val="24"/>
              </w:rPr>
              <w:t>has the same meaning as in step 1.</w:t>
            </w:r>
          </w:p>
          <w:p w14:paraId="42AA905F" w14:textId="77777777" w:rsidR="00872C03" w:rsidRPr="00883399" w:rsidRDefault="00872C03" w:rsidP="0031057E">
            <w:pPr>
              <w:pStyle w:val="TableText"/>
              <w:spacing w:line="240" w:lineRule="auto"/>
              <w:rPr>
                <w:iCs/>
                <w:sz w:val="24"/>
              </w:rPr>
            </w:pPr>
            <w:r w:rsidRPr="00883399">
              <w:rPr>
                <w:b/>
                <w:i/>
                <w:iCs/>
                <w:sz w:val="24"/>
              </w:rPr>
              <w:t>ΔS</w:t>
            </w:r>
            <w:r w:rsidRPr="00883399">
              <w:rPr>
                <w:b/>
                <w:i/>
                <w:iCs/>
                <w:sz w:val="24"/>
                <w:szCs w:val="18"/>
                <w:vertAlign w:val="subscript"/>
              </w:rPr>
              <w:t>q</w:t>
            </w:r>
            <w:r w:rsidRPr="00883399">
              <w:rPr>
                <w:b/>
                <w:i/>
                <w:iCs/>
                <w:sz w:val="24"/>
                <w:vertAlign w:val="subscript"/>
              </w:rPr>
              <w:t>i</w:t>
            </w:r>
            <w:r w:rsidRPr="00883399">
              <w:rPr>
                <w:iCs/>
                <w:sz w:val="24"/>
              </w:rPr>
              <w:t xml:space="preserve"> is the change in stocks of fuel type (</w:t>
            </w:r>
            <w:r w:rsidRPr="00883399">
              <w:rPr>
                <w:b/>
                <w:i/>
                <w:iCs/>
                <w:sz w:val="24"/>
              </w:rPr>
              <w:t>i</w:t>
            </w:r>
            <w:r w:rsidRPr="00883399">
              <w:rPr>
                <w:iCs/>
                <w:sz w:val="24"/>
              </w:rPr>
              <w:t xml:space="preserve">) for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872C03" w:rsidRPr="00883399" w14:paraId="4CADCE53" w14:textId="77777777" w:rsidTr="0031057E">
        <w:trPr>
          <w:cantSplit/>
        </w:trPr>
        <w:tc>
          <w:tcPr>
            <w:tcW w:w="882" w:type="dxa"/>
            <w:vMerge w:val="restart"/>
            <w:hideMark/>
          </w:tcPr>
          <w:p w14:paraId="2D705C5E" w14:textId="77777777" w:rsidR="00872C03" w:rsidRPr="00883399" w:rsidRDefault="00872C03" w:rsidP="0031057E">
            <w:pPr>
              <w:keepNext/>
              <w:spacing w:before="60" w:after="60"/>
            </w:pPr>
          </w:p>
        </w:tc>
        <w:tc>
          <w:tcPr>
            <w:tcW w:w="6925" w:type="dxa"/>
            <w:hideMark/>
          </w:tcPr>
          <w:p w14:paraId="4A945B8A" w14:textId="77777777" w:rsidR="00872C03" w:rsidRPr="00883399" w:rsidRDefault="00872C03" w:rsidP="0031057E">
            <w:pPr>
              <w:pStyle w:val="TableText"/>
              <w:spacing w:line="240" w:lineRule="auto"/>
              <w:rPr>
                <w:b/>
                <w:i/>
                <w:sz w:val="24"/>
              </w:rPr>
            </w:pPr>
            <w:r w:rsidRPr="00883399">
              <w:rPr>
                <w:rFonts w:ascii="Symbol" w:hAnsi="Symbol"/>
                <w:b/>
                <w:i/>
                <w:sz w:val="24"/>
              </w:rPr>
              <w:t></w:t>
            </w:r>
            <w:r w:rsidRPr="00883399">
              <w:rPr>
                <w:b/>
                <w:i/>
                <w:sz w:val="24"/>
                <w:vertAlign w:val="subscript"/>
              </w:rPr>
              <w:t>p</w:t>
            </w:r>
            <w:r w:rsidRPr="00883399">
              <w:rPr>
                <w:i/>
                <w:sz w:val="24"/>
              </w:rPr>
              <w:t xml:space="preserve"> </w:t>
            </w:r>
            <w:r w:rsidRPr="00883399">
              <w:rPr>
                <w:sz w:val="24"/>
              </w:rPr>
              <w:t xml:space="preserve">has the same </w:t>
            </w:r>
            <w:r w:rsidRPr="00883399">
              <w:rPr>
                <w:sz w:val="24"/>
                <w:szCs w:val="22"/>
              </w:rPr>
              <w:t>meaning</w:t>
            </w:r>
            <w:r w:rsidRPr="00883399">
              <w:rPr>
                <w:sz w:val="24"/>
              </w:rPr>
              <w:t xml:space="preserve"> as in step 2.</w:t>
            </w:r>
          </w:p>
          <w:p w14:paraId="38888B5C" w14:textId="77777777" w:rsidR="00872C03" w:rsidRPr="00883399" w:rsidRDefault="00872C03" w:rsidP="0031057E">
            <w:pPr>
              <w:pStyle w:val="TableText"/>
              <w:spacing w:line="240" w:lineRule="auto"/>
              <w:rPr>
                <w:b/>
                <w:i/>
                <w:iCs/>
                <w:sz w:val="24"/>
              </w:rPr>
            </w:pPr>
            <w:r w:rsidRPr="00883399">
              <w:rPr>
                <w:b/>
                <w:i/>
                <w:sz w:val="24"/>
              </w:rPr>
              <w:t>CCF</w:t>
            </w:r>
            <w:r w:rsidRPr="00883399">
              <w:rPr>
                <w:b/>
                <w:i/>
                <w:sz w:val="24"/>
                <w:vertAlign w:val="subscript"/>
              </w:rPr>
              <w:t>p</w:t>
            </w:r>
            <w:r w:rsidRPr="00883399">
              <w:rPr>
                <w:i/>
                <w:sz w:val="24"/>
              </w:rPr>
              <w:t xml:space="preserve"> </w:t>
            </w:r>
            <w:r w:rsidRPr="00883399">
              <w:rPr>
                <w:sz w:val="24"/>
              </w:rPr>
              <w:t>has the same meaning as in step 2.</w:t>
            </w:r>
          </w:p>
          <w:p w14:paraId="6957142C" w14:textId="77777777" w:rsidR="00872C03" w:rsidRPr="00883399" w:rsidRDefault="00872C03" w:rsidP="0031057E">
            <w:pPr>
              <w:pStyle w:val="TableText"/>
              <w:spacing w:line="240" w:lineRule="auto"/>
              <w:rPr>
                <w:sz w:val="24"/>
              </w:rPr>
            </w:pPr>
            <w:r w:rsidRPr="00883399">
              <w:rPr>
                <w:b/>
                <w:i/>
                <w:iCs/>
                <w:sz w:val="24"/>
              </w:rPr>
              <w:t>ΔS</w:t>
            </w:r>
            <w:r w:rsidRPr="00883399">
              <w:rPr>
                <w:b/>
                <w:i/>
                <w:iCs/>
                <w:sz w:val="24"/>
                <w:szCs w:val="18"/>
                <w:vertAlign w:val="subscript"/>
              </w:rPr>
              <w:t>a</w:t>
            </w:r>
            <w:r w:rsidRPr="00883399">
              <w:rPr>
                <w:b/>
                <w:i/>
                <w:iCs/>
                <w:sz w:val="24"/>
                <w:vertAlign w:val="subscript"/>
              </w:rPr>
              <w:t>p</w:t>
            </w:r>
            <w:r w:rsidRPr="00883399">
              <w:rPr>
                <w:iCs/>
                <w:sz w:val="24"/>
                <w:szCs w:val="18"/>
              </w:rPr>
              <w:t xml:space="preserve"> is the change in stocks of </w:t>
            </w:r>
            <w:r w:rsidRPr="00883399">
              <w:rPr>
                <w:iCs/>
                <w:sz w:val="24"/>
              </w:rPr>
              <w:t>product types (</w:t>
            </w:r>
            <w:r w:rsidRPr="00883399">
              <w:rPr>
                <w:b/>
                <w:i/>
                <w:iCs/>
                <w:sz w:val="24"/>
              </w:rPr>
              <w:t>p)</w:t>
            </w:r>
            <w:r w:rsidRPr="00883399">
              <w:rPr>
                <w:iCs/>
                <w:sz w:val="24"/>
              </w:rPr>
              <w:t xml:space="preserve"> produced by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872C03" w:rsidRPr="00883399" w14:paraId="0EC093A0" w14:textId="77777777" w:rsidTr="0031057E">
        <w:trPr>
          <w:cantSplit/>
        </w:trPr>
        <w:tc>
          <w:tcPr>
            <w:tcW w:w="882" w:type="dxa"/>
            <w:vMerge/>
            <w:vAlign w:val="center"/>
            <w:hideMark/>
          </w:tcPr>
          <w:p w14:paraId="42D12709" w14:textId="77777777" w:rsidR="00872C03" w:rsidRPr="00883399" w:rsidRDefault="00872C03" w:rsidP="0031057E"/>
        </w:tc>
        <w:tc>
          <w:tcPr>
            <w:tcW w:w="6925" w:type="dxa"/>
            <w:hideMark/>
          </w:tcPr>
          <w:p w14:paraId="6CD358C9" w14:textId="77777777" w:rsidR="00872C03" w:rsidRPr="00883399" w:rsidRDefault="00872C03" w:rsidP="0031057E">
            <w:pPr>
              <w:pStyle w:val="TableText"/>
              <w:spacing w:line="240" w:lineRule="auto"/>
              <w:rPr>
                <w:b/>
                <w:i/>
                <w:sz w:val="24"/>
              </w:rPr>
            </w:pPr>
            <w:r w:rsidRPr="00883399">
              <w:rPr>
                <w:rFonts w:ascii="Symbol" w:hAnsi="Symbol"/>
                <w:b/>
                <w:i/>
                <w:sz w:val="24"/>
              </w:rPr>
              <w:t></w:t>
            </w:r>
            <w:r w:rsidRPr="00883399">
              <w:rPr>
                <w:b/>
                <w:i/>
                <w:sz w:val="24"/>
                <w:vertAlign w:val="subscript"/>
              </w:rPr>
              <w:t>r</w:t>
            </w:r>
            <w:r w:rsidRPr="00883399">
              <w:rPr>
                <w:i/>
                <w:sz w:val="24"/>
              </w:rPr>
              <w:t xml:space="preserve"> </w:t>
            </w:r>
            <w:r w:rsidRPr="00883399">
              <w:rPr>
                <w:sz w:val="24"/>
              </w:rPr>
              <w:t>has the same meaning as in step 3.</w:t>
            </w:r>
          </w:p>
          <w:p w14:paraId="03021308" w14:textId="77777777" w:rsidR="00872C03" w:rsidRPr="00883399" w:rsidRDefault="00872C03" w:rsidP="0031057E">
            <w:pPr>
              <w:pStyle w:val="TableText"/>
              <w:spacing w:line="240" w:lineRule="auto"/>
              <w:rPr>
                <w:b/>
                <w:i/>
                <w:iCs/>
                <w:sz w:val="24"/>
              </w:rPr>
            </w:pPr>
            <w:r w:rsidRPr="00883399">
              <w:rPr>
                <w:b/>
                <w:i/>
                <w:sz w:val="24"/>
              </w:rPr>
              <w:t>CCF</w:t>
            </w:r>
            <w:r w:rsidRPr="00883399">
              <w:rPr>
                <w:b/>
                <w:i/>
                <w:sz w:val="24"/>
                <w:vertAlign w:val="subscript"/>
              </w:rPr>
              <w:t>r</w:t>
            </w:r>
            <w:r w:rsidRPr="00883399">
              <w:rPr>
                <w:i/>
                <w:sz w:val="24"/>
              </w:rPr>
              <w:t xml:space="preserve"> </w:t>
            </w:r>
            <w:r w:rsidRPr="00883399">
              <w:rPr>
                <w:sz w:val="24"/>
              </w:rPr>
              <w:t xml:space="preserve">has the </w:t>
            </w:r>
            <w:r w:rsidRPr="00883399">
              <w:rPr>
                <w:sz w:val="24"/>
                <w:szCs w:val="22"/>
              </w:rPr>
              <w:t>same</w:t>
            </w:r>
            <w:r w:rsidRPr="00883399">
              <w:rPr>
                <w:sz w:val="24"/>
              </w:rPr>
              <w:t xml:space="preserve"> meaning as in step 3.</w:t>
            </w:r>
          </w:p>
          <w:p w14:paraId="01A0BEB3" w14:textId="77777777" w:rsidR="00872C03" w:rsidRPr="00883399" w:rsidRDefault="00872C03" w:rsidP="0031057E">
            <w:pPr>
              <w:pStyle w:val="TableText"/>
              <w:spacing w:line="240" w:lineRule="auto"/>
              <w:rPr>
                <w:sz w:val="24"/>
              </w:rPr>
            </w:pPr>
            <w:r w:rsidRPr="00883399">
              <w:rPr>
                <w:b/>
                <w:i/>
                <w:iCs/>
                <w:sz w:val="24"/>
              </w:rPr>
              <w:t>ΔS</w:t>
            </w:r>
            <w:r w:rsidRPr="00883399">
              <w:rPr>
                <w:b/>
                <w:i/>
                <w:iCs/>
                <w:sz w:val="24"/>
                <w:szCs w:val="18"/>
                <w:vertAlign w:val="subscript"/>
              </w:rPr>
              <w:t>y</w:t>
            </w:r>
            <w:r w:rsidRPr="00883399">
              <w:rPr>
                <w:b/>
                <w:i/>
                <w:iCs/>
                <w:sz w:val="24"/>
                <w:vertAlign w:val="subscript"/>
              </w:rPr>
              <w:t>r</w:t>
            </w:r>
            <w:r w:rsidRPr="00883399">
              <w:rPr>
                <w:iCs/>
                <w:sz w:val="24"/>
              </w:rPr>
              <w:t xml:space="preserve"> is the </w:t>
            </w:r>
            <w:r w:rsidRPr="00883399">
              <w:rPr>
                <w:sz w:val="24"/>
                <w:szCs w:val="22"/>
              </w:rPr>
              <w:t>change</w:t>
            </w:r>
            <w:r w:rsidRPr="00883399">
              <w:rPr>
                <w:iCs/>
                <w:sz w:val="24"/>
              </w:rPr>
              <w:t xml:space="preserve"> in stocks of waste by</w:t>
            </w:r>
            <w:r w:rsidRPr="00883399">
              <w:rPr>
                <w:iCs/>
                <w:sz w:val="24"/>
              </w:rPr>
              <w:noBreakHyphen/>
              <w:t>product types (</w:t>
            </w:r>
            <w:r w:rsidRPr="00883399">
              <w:rPr>
                <w:b/>
                <w:i/>
                <w:iCs/>
                <w:sz w:val="24"/>
              </w:rPr>
              <w:t>r</w:t>
            </w:r>
            <w:r w:rsidRPr="00883399">
              <w:rPr>
                <w:iCs/>
                <w:sz w:val="24"/>
              </w:rPr>
              <w:t xml:space="preserve">) produced from the operation of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872C03" w:rsidRPr="00883399" w14:paraId="57283C7B" w14:textId="77777777" w:rsidTr="0031057E">
        <w:trPr>
          <w:cantSplit/>
        </w:trPr>
        <w:tc>
          <w:tcPr>
            <w:tcW w:w="882" w:type="dxa"/>
          </w:tcPr>
          <w:p w14:paraId="0CEC2D40" w14:textId="77777777" w:rsidR="00872C03" w:rsidRPr="00883399" w:rsidRDefault="00872C03" w:rsidP="0031057E">
            <w:pPr>
              <w:spacing w:before="60" w:after="60"/>
            </w:pPr>
            <w:r w:rsidRPr="00883399">
              <w:t>Step 5</w:t>
            </w:r>
          </w:p>
        </w:tc>
        <w:tc>
          <w:tcPr>
            <w:tcW w:w="6925" w:type="dxa"/>
            <w:hideMark/>
          </w:tcPr>
          <w:p w14:paraId="5B90A594" w14:textId="77777777" w:rsidR="00872C03" w:rsidRPr="00883399" w:rsidRDefault="00872C03" w:rsidP="0031057E">
            <w:pPr>
              <w:pStyle w:val="TableText"/>
              <w:rPr>
                <w:sz w:val="24"/>
              </w:rPr>
            </w:pPr>
            <w:r w:rsidRPr="00883399">
              <w:rPr>
                <w:sz w:val="24"/>
              </w:rPr>
              <w:t xml:space="preserve">Work out the emissions of carbon dioxide released from the operation of the activity during the year, measured in </w:t>
            </w:r>
            <w:r w:rsidRPr="00883399">
              <w:rPr>
                <w:sz w:val="24"/>
                <w:szCs w:val="22"/>
              </w:rPr>
              <w:t>CO</w:t>
            </w:r>
            <w:r w:rsidRPr="00883399">
              <w:rPr>
                <w:sz w:val="24"/>
                <w:szCs w:val="22"/>
                <w:vertAlign w:val="subscript"/>
              </w:rPr>
              <w:t>2</w:t>
            </w:r>
            <w:r w:rsidRPr="00883399">
              <w:rPr>
                <w:sz w:val="24"/>
                <w:szCs w:val="22"/>
              </w:rPr>
              <w:noBreakHyphen/>
              <w:t>e</w:t>
            </w:r>
            <w:r w:rsidRPr="00883399">
              <w:rPr>
                <w:sz w:val="24"/>
              </w:rPr>
              <w:t xml:space="preserve"> tonnes, as follows:</w:t>
            </w:r>
          </w:p>
          <w:p w14:paraId="572D0D0A" w14:textId="77777777" w:rsidR="00872C03" w:rsidRPr="00883399" w:rsidRDefault="00872C03" w:rsidP="0031057E">
            <w:pPr>
              <w:pStyle w:val="TableP1a"/>
              <w:rPr>
                <w:sz w:val="24"/>
              </w:rPr>
            </w:pPr>
            <w:r w:rsidRPr="00883399">
              <w:rPr>
                <w:sz w:val="24"/>
              </w:rPr>
              <w:tab/>
              <w:t>(a)</w:t>
            </w:r>
            <w:r w:rsidRPr="00883399">
              <w:rPr>
                <w:sz w:val="24"/>
              </w:rPr>
              <w:tab/>
              <w:t>add the amounts worked out under steps 2, 3 and 4 to work out a new amount (</w:t>
            </w:r>
            <w:r w:rsidRPr="00883399">
              <w:rPr>
                <w:b/>
                <w:i/>
                <w:sz w:val="24"/>
              </w:rPr>
              <w:t>amount A</w:t>
            </w:r>
            <w:r w:rsidRPr="00883399">
              <w:rPr>
                <w:sz w:val="24"/>
              </w:rPr>
              <w:t>);</w:t>
            </w:r>
          </w:p>
          <w:p w14:paraId="765A28B9" w14:textId="77777777" w:rsidR="00872C03" w:rsidRPr="00883399" w:rsidRDefault="00872C03" w:rsidP="0031057E">
            <w:pPr>
              <w:pStyle w:val="TableP1a"/>
              <w:rPr>
                <w:sz w:val="24"/>
              </w:rPr>
            </w:pPr>
            <w:r w:rsidRPr="00883399">
              <w:rPr>
                <w:sz w:val="24"/>
              </w:rPr>
              <w:tab/>
              <w:t>(b)</w:t>
            </w:r>
            <w:r w:rsidRPr="00883399">
              <w:rPr>
                <w:sz w:val="24"/>
              </w:rPr>
              <w:tab/>
              <w:t>subtract amount A from the amount worked out under step 1 to work out a new amount (</w:t>
            </w:r>
            <w:r w:rsidRPr="00883399">
              <w:rPr>
                <w:b/>
                <w:i/>
                <w:sz w:val="24"/>
              </w:rPr>
              <w:t>amount B</w:t>
            </w:r>
            <w:r w:rsidRPr="00883399">
              <w:rPr>
                <w:sz w:val="24"/>
              </w:rPr>
              <w:t>);</w:t>
            </w:r>
          </w:p>
          <w:p w14:paraId="7BD93737" w14:textId="77777777" w:rsidR="00872C03" w:rsidRPr="00883399" w:rsidRDefault="00872C03" w:rsidP="0031057E">
            <w:pPr>
              <w:pStyle w:val="TableP1a"/>
              <w:rPr>
                <w:sz w:val="24"/>
              </w:rPr>
            </w:pPr>
            <w:r w:rsidRPr="00883399">
              <w:rPr>
                <w:sz w:val="24"/>
              </w:rPr>
              <w:tab/>
              <w:t>(c)</w:t>
            </w:r>
            <w:r w:rsidRPr="00883399">
              <w:rPr>
                <w:sz w:val="24"/>
              </w:rPr>
              <w:tab/>
              <w:t>multiply amount B by 3.664 to work out the amount of emissions released from the operation of the activity during the year.</w:t>
            </w:r>
          </w:p>
        </w:tc>
      </w:tr>
    </w:tbl>
    <w:p w14:paraId="3DA50C22" w14:textId="3FE1C656" w:rsidR="00872C03" w:rsidRPr="00883399" w:rsidRDefault="00872C03" w:rsidP="00872C03">
      <w:pPr>
        <w:pStyle w:val="ActHead5"/>
        <w:rPr>
          <w:sz w:val="28"/>
        </w:rPr>
      </w:pPr>
      <w:bookmarkStart w:id="1040" w:name="_Toc423517116"/>
      <w:bookmarkStart w:id="1041" w:name="_Toc495653048"/>
      <w:r w:rsidRPr="00883399">
        <w:rPr>
          <w:rStyle w:val="CharSectno"/>
          <w:sz w:val="28"/>
        </w:rPr>
        <w:t>4.95</w:t>
      </w:r>
      <w:r w:rsidRPr="00883399">
        <w:rPr>
          <w:sz w:val="28"/>
        </w:rPr>
        <w:t xml:space="preserve">  Method 2—other metals</w:t>
      </w:r>
      <w:bookmarkEnd w:id="1040"/>
      <w:bookmarkEnd w:id="1041"/>
    </w:p>
    <w:p w14:paraId="7FCF38D5" w14:textId="77777777" w:rsidR="00872C03" w:rsidRPr="00883399" w:rsidRDefault="00872C03" w:rsidP="00872C03">
      <w:pPr>
        <w:pStyle w:val="subsection"/>
        <w:rPr>
          <w:sz w:val="24"/>
        </w:rPr>
      </w:pPr>
      <w:r w:rsidRPr="00883399">
        <w:rPr>
          <w:sz w:val="24"/>
        </w:rPr>
        <w:tab/>
        <w:t>(1)</w:t>
      </w:r>
      <w:r w:rsidRPr="00883399">
        <w:rPr>
          <w:sz w:val="24"/>
        </w:rPr>
        <w:tab/>
        <w:t>Subject to this section, method 2 is the same as method 1 under section 4.94.</w:t>
      </w:r>
    </w:p>
    <w:p w14:paraId="4BC44455" w14:textId="77777777" w:rsidR="00872C03" w:rsidRPr="00883399" w:rsidRDefault="00872C03" w:rsidP="00872C03">
      <w:pPr>
        <w:pStyle w:val="subsection"/>
        <w:rPr>
          <w:sz w:val="24"/>
        </w:rPr>
      </w:pPr>
      <w:r w:rsidRPr="00883399">
        <w:rPr>
          <w:sz w:val="24"/>
        </w:rPr>
        <w:tab/>
        <w:t>(2)</w:t>
      </w:r>
      <w:r w:rsidRPr="00883399">
        <w:rPr>
          <w:sz w:val="24"/>
        </w:rPr>
        <w:tab/>
        <w:t>In applying method 1 as method 2, step 4 in section 4.94 is to be omitted and the following step 4 substituted.</w:t>
      </w:r>
    </w:p>
    <w:tbl>
      <w:tblPr>
        <w:tblW w:w="0" w:type="auto"/>
        <w:tblInd w:w="948" w:type="dxa"/>
        <w:tblLayout w:type="fixed"/>
        <w:tblLook w:val="04A0" w:firstRow="1" w:lastRow="0" w:firstColumn="1" w:lastColumn="0" w:noHBand="0" w:noVBand="1"/>
      </w:tblPr>
      <w:tblGrid>
        <w:gridCol w:w="910"/>
        <w:gridCol w:w="6650"/>
      </w:tblGrid>
      <w:tr w:rsidR="00872C03" w:rsidRPr="00883399" w14:paraId="6D75283C" w14:textId="77777777" w:rsidTr="0031057E">
        <w:trPr>
          <w:cantSplit/>
          <w:trHeight w:val="201"/>
        </w:trPr>
        <w:tc>
          <w:tcPr>
            <w:tcW w:w="910" w:type="dxa"/>
            <w:vMerge w:val="restart"/>
            <w:hideMark/>
          </w:tcPr>
          <w:p w14:paraId="437E3B95" w14:textId="77777777" w:rsidR="00872C03" w:rsidRPr="00883399" w:rsidRDefault="00872C03" w:rsidP="0031057E">
            <w:pPr>
              <w:spacing w:before="60" w:after="60"/>
            </w:pPr>
            <w:r w:rsidRPr="00883399">
              <w:t>Step 4</w:t>
            </w:r>
          </w:p>
        </w:tc>
        <w:tc>
          <w:tcPr>
            <w:tcW w:w="6650" w:type="dxa"/>
            <w:hideMark/>
          </w:tcPr>
          <w:p w14:paraId="5CC0A0A3" w14:textId="77777777" w:rsidR="00872C03" w:rsidRPr="00883399" w:rsidRDefault="00872C03" w:rsidP="0031057E">
            <w:pPr>
              <w:pStyle w:val="TableText"/>
              <w:rPr>
                <w:iCs/>
                <w:sz w:val="24"/>
              </w:rPr>
            </w:pPr>
            <w:r w:rsidRPr="00883399">
              <w:rPr>
                <w:sz w:val="24"/>
              </w:rPr>
              <w:t xml:space="preserve">Work out the carbon content in the amount of the change in </w:t>
            </w:r>
            <w:r w:rsidRPr="00883399">
              <w:rPr>
                <w:iCs/>
                <w:sz w:val="24"/>
              </w:rPr>
              <w:t>stocks of inputs, products and waste by</w:t>
            </w:r>
            <w:r w:rsidRPr="00883399">
              <w:rPr>
                <w:b/>
                <w:iCs/>
                <w:sz w:val="24"/>
              </w:rPr>
              <w:noBreakHyphen/>
            </w:r>
            <w:r w:rsidRPr="00883399">
              <w:rPr>
                <w:iCs/>
                <w:sz w:val="24"/>
              </w:rPr>
              <w:t>products held within the boundary of the activity during the year, measured in tonnes of carbon, as follows:</w:t>
            </w:r>
          </w:p>
          <w:p w14:paraId="64DF816D" w14:textId="6DDEFD00" w:rsidR="00872C03" w:rsidRPr="00883399" w:rsidRDefault="00872C03" w:rsidP="0031057E">
            <w:pPr>
              <w:pStyle w:val="Formula"/>
              <w:spacing w:before="120" w:after="120"/>
              <w:ind w:left="155" w:right="-213"/>
              <w:rPr>
                <w:sz w:val="22"/>
              </w:rPr>
            </w:pPr>
            <w:r w:rsidRPr="00883399">
              <w:rPr>
                <w:noProof/>
                <w:position w:val="-14"/>
                <w:sz w:val="22"/>
              </w:rPr>
              <w:drawing>
                <wp:inline distT="0" distB="0" distL="0" distR="0" wp14:anchorId="36960784" wp14:editId="34AB1E68">
                  <wp:extent cx="4109085" cy="213995"/>
                  <wp:effectExtent l="19050" t="0" r="5715"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41"/>
                          <a:srcRect/>
                          <a:stretch>
                            <a:fillRect/>
                          </a:stretch>
                        </pic:blipFill>
                        <pic:spPr bwMode="auto">
                          <a:xfrm>
                            <a:off x="0" y="0"/>
                            <a:ext cx="4109085" cy="213995"/>
                          </a:xfrm>
                          <a:prstGeom prst="rect">
                            <a:avLst/>
                          </a:prstGeom>
                          <a:noFill/>
                          <a:ln w="9525">
                            <a:noFill/>
                            <a:miter lim="800000"/>
                            <a:headEnd/>
                            <a:tailEnd/>
                          </a:ln>
                        </pic:spPr>
                      </pic:pic>
                    </a:graphicData>
                  </a:graphic>
                </wp:inline>
              </w:drawing>
            </w:r>
          </w:p>
        </w:tc>
      </w:tr>
      <w:tr w:rsidR="00872C03" w:rsidRPr="00883399" w14:paraId="1D57528F" w14:textId="77777777" w:rsidTr="0031057E">
        <w:trPr>
          <w:cantSplit/>
          <w:trHeight w:val="74"/>
        </w:trPr>
        <w:tc>
          <w:tcPr>
            <w:tcW w:w="910" w:type="dxa"/>
            <w:vMerge/>
            <w:hideMark/>
          </w:tcPr>
          <w:p w14:paraId="42956661" w14:textId="77777777" w:rsidR="00872C03" w:rsidRPr="00883399" w:rsidRDefault="00872C03" w:rsidP="0031057E">
            <w:pPr>
              <w:spacing w:before="60" w:after="60"/>
              <w:rPr>
                <w:i/>
              </w:rPr>
            </w:pPr>
          </w:p>
        </w:tc>
        <w:tc>
          <w:tcPr>
            <w:tcW w:w="6650" w:type="dxa"/>
            <w:hideMark/>
          </w:tcPr>
          <w:p w14:paraId="78857652" w14:textId="77777777" w:rsidR="00872C03" w:rsidRPr="00883399" w:rsidRDefault="00872C03" w:rsidP="0031057E">
            <w:pPr>
              <w:pStyle w:val="TableText"/>
              <w:rPr>
                <w:sz w:val="24"/>
              </w:rPr>
            </w:pPr>
            <w:r w:rsidRPr="00883399">
              <w:rPr>
                <w:sz w:val="24"/>
              </w:rPr>
              <w:t>where:</w:t>
            </w:r>
          </w:p>
          <w:p w14:paraId="331914E3" w14:textId="77777777" w:rsidR="00872C03" w:rsidRPr="00883399" w:rsidRDefault="00872C03" w:rsidP="0031057E">
            <w:pPr>
              <w:pStyle w:val="TableText"/>
              <w:rPr>
                <w:b/>
                <w:i/>
                <w:sz w:val="24"/>
              </w:rPr>
            </w:pPr>
            <w:r w:rsidRPr="00883399">
              <w:rPr>
                <w:rFonts w:ascii="Symbol" w:hAnsi="Symbol"/>
                <w:b/>
                <w:i/>
                <w:sz w:val="24"/>
              </w:rPr>
              <w:t></w:t>
            </w:r>
            <w:r w:rsidRPr="00883399">
              <w:rPr>
                <w:b/>
                <w:i/>
                <w:sz w:val="24"/>
                <w:vertAlign w:val="subscript"/>
              </w:rPr>
              <w:t>i</w:t>
            </w:r>
            <w:r w:rsidRPr="00883399">
              <w:rPr>
                <w:i/>
                <w:sz w:val="24"/>
              </w:rPr>
              <w:t xml:space="preserve"> </w:t>
            </w:r>
            <w:r w:rsidRPr="00883399">
              <w:rPr>
                <w:sz w:val="24"/>
              </w:rPr>
              <w:t>has the same meaning as in step 1.</w:t>
            </w:r>
          </w:p>
          <w:p w14:paraId="64430DEC" w14:textId="77777777" w:rsidR="00872C03" w:rsidRPr="00883399" w:rsidRDefault="00872C03" w:rsidP="0031057E">
            <w:pPr>
              <w:pStyle w:val="TableText"/>
              <w:rPr>
                <w:iCs/>
                <w:sz w:val="24"/>
              </w:rPr>
            </w:pPr>
            <w:r w:rsidRPr="00883399">
              <w:rPr>
                <w:b/>
                <w:i/>
                <w:sz w:val="24"/>
              </w:rPr>
              <w:t>CCF</w:t>
            </w:r>
            <w:r w:rsidRPr="00883399">
              <w:rPr>
                <w:b/>
                <w:i/>
                <w:sz w:val="24"/>
                <w:vertAlign w:val="subscript"/>
              </w:rPr>
              <w:t>i</w:t>
            </w:r>
            <w:r w:rsidRPr="00883399">
              <w:rPr>
                <w:i/>
                <w:sz w:val="24"/>
              </w:rPr>
              <w:t xml:space="preserve"> </w:t>
            </w:r>
            <w:r w:rsidRPr="00883399">
              <w:rPr>
                <w:sz w:val="24"/>
              </w:rPr>
              <w:t>has the same meaning as in step 1.</w:t>
            </w:r>
          </w:p>
          <w:p w14:paraId="7B79FF2E" w14:textId="77777777" w:rsidR="00872C03" w:rsidRPr="00883399" w:rsidRDefault="00872C03" w:rsidP="0031057E">
            <w:pPr>
              <w:pStyle w:val="TableText"/>
              <w:spacing w:line="240" w:lineRule="auto"/>
              <w:rPr>
                <w:iCs/>
                <w:sz w:val="24"/>
              </w:rPr>
            </w:pPr>
            <w:r w:rsidRPr="00883399">
              <w:rPr>
                <w:b/>
                <w:i/>
                <w:iCs/>
                <w:sz w:val="24"/>
              </w:rPr>
              <w:t>ΔS</w:t>
            </w:r>
            <w:r w:rsidRPr="00883399">
              <w:rPr>
                <w:b/>
                <w:i/>
                <w:iCs/>
                <w:sz w:val="24"/>
                <w:szCs w:val="18"/>
                <w:vertAlign w:val="subscript"/>
              </w:rPr>
              <w:t>q</w:t>
            </w:r>
            <w:r w:rsidRPr="00883399">
              <w:rPr>
                <w:b/>
                <w:i/>
                <w:iCs/>
                <w:sz w:val="24"/>
                <w:vertAlign w:val="subscript"/>
              </w:rPr>
              <w:t>i</w:t>
            </w:r>
            <w:r w:rsidRPr="00883399">
              <w:rPr>
                <w:iCs/>
                <w:sz w:val="24"/>
              </w:rPr>
              <w:t xml:space="preserve"> is the change in stocks of fuel type (</w:t>
            </w:r>
            <w:r w:rsidRPr="00883399">
              <w:rPr>
                <w:b/>
                <w:i/>
                <w:iCs/>
                <w:sz w:val="24"/>
              </w:rPr>
              <w:t>i</w:t>
            </w:r>
            <w:r w:rsidRPr="00883399">
              <w:rPr>
                <w:iCs/>
                <w:sz w:val="24"/>
              </w:rPr>
              <w:t xml:space="preserve">) for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p w14:paraId="123F8FDC" w14:textId="77777777" w:rsidR="00872C03" w:rsidRPr="00883399" w:rsidRDefault="00872C03" w:rsidP="0031057E">
            <w:pPr>
              <w:pStyle w:val="TableText"/>
              <w:rPr>
                <w:b/>
                <w:i/>
                <w:sz w:val="24"/>
              </w:rPr>
            </w:pPr>
            <w:r w:rsidRPr="00883399">
              <w:rPr>
                <w:rFonts w:ascii="Symbol" w:hAnsi="Symbol"/>
                <w:b/>
                <w:i/>
                <w:sz w:val="24"/>
              </w:rPr>
              <w:t></w:t>
            </w:r>
            <w:r w:rsidRPr="00883399">
              <w:rPr>
                <w:b/>
                <w:i/>
                <w:sz w:val="24"/>
                <w:vertAlign w:val="subscript"/>
              </w:rPr>
              <w:t>p</w:t>
            </w:r>
            <w:r w:rsidRPr="00883399">
              <w:rPr>
                <w:i/>
                <w:sz w:val="24"/>
              </w:rPr>
              <w:t xml:space="preserve"> </w:t>
            </w:r>
            <w:r w:rsidRPr="00883399">
              <w:rPr>
                <w:sz w:val="24"/>
              </w:rPr>
              <w:t>has the same meaning as in step 2.</w:t>
            </w:r>
          </w:p>
          <w:p w14:paraId="2B7EA00C" w14:textId="77777777" w:rsidR="00872C03" w:rsidRPr="00883399" w:rsidRDefault="00872C03" w:rsidP="0031057E">
            <w:pPr>
              <w:pStyle w:val="TableText"/>
              <w:spacing w:line="240" w:lineRule="auto"/>
              <w:rPr>
                <w:sz w:val="24"/>
              </w:rPr>
            </w:pPr>
            <w:r w:rsidRPr="00883399">
              <w:rPr>
                <w:b/>
                <w:i/>
                <w:sz w:val="24"/>
              </w:rPr>
              <w:t>CCF</w:t>
            </w:r>
            <w:r w:rsidRPr="00883399">
              <w:rPr>
                <w:b/>
                <w:i/>
                <w:sz w:val="24"/>
                <w:vertAlign w:val="subscript"/>
              </w:rPr>
              <w:t>p</w:t>
            </w:r>
            <w:r w:rsidRPr="00883399">
              <w:rPr>
                <w:i/>
                <w:sz w:val="24"/>
              </w:rPr>
              <w:t xml:space="preserve"> </w:t>
            </w:r>
            <w:r w:rsidRPr="00883399">
              <w:rPr>
                <w:sz w:val="24"/>
              </w:rPr>
              <w:t>has the same meaning as in step 2.</w:t>
            </w:r>
          </w:p>
          <w:p w14:paraId="33CEBDE2" w14:textId="77777777" w:rsidR="00872C03" w:rsidRPr="00883399" w:rsidRDefault="00872C03" w:rsidP="0031057E">
            <w:pPr>
              <w:pStyle w:val="TableText"/>
              <w:spacing w:line="240" w:lineRule="auto"/>
              <w:rPr>
                <w:iCs/>
                <w:sz w:val="24"/>
              </w:rPr>
            </w:pPr>
            <w:r w:rsidRPr="00883399">
              <w:rPr>
                <w:b/>
                <w:i/>
                <w:iCs/>
                <w:sz w:val="24"/>
              </w:rPr>
              <w:t>ΔS</w:t>
            </w:r>
            <w:r w:rsidRPr="00883399">
              <w:rPr>
                <w:b/>
                <w:i/>
                <w:iCs/>
                <w:sz w:val="24"/>
                <w:szCs w:val="18"/>
                <w:vertAlign w:val="subscript"/>
              </w:rPr>
              <w:t>a</w:t>
            </w:r>
            <w:r w:rsidRPr="00883399">
              <w:rPr>
                <w:b/>
                <w:i/>
                <w:iCs/>
                <w:sz w:val="24"/>
                <w:vertAlign w:val="subscript"/>
              </w:rPr>
              <w:t>p</w:t>
            </w:r>
            <w:r w:rsidRPr="00883399">
              <w:rPr>
                <w:iCs/>
                <w:sz w:val="24"/>
                <w:szCs w:val="18"/>
              </w:rPr>
              <w:t xml:space="preserve"> is the </w:t>
            </w:r>
            <w:r w:rsidRPr="00883399">
              <w:rPr>
                <w:sz w:val="24"/>
                <w:szCs w:val="22"/>
              </w:rPr>
              <w:t>change</w:t>
            </w:r>
            <w:r w:rsidRPr="00883399">
              <w:rPr>
                <w:iCs/>
                <w:sz w:val="24"/>
                <w:szCs w:val="18"/>
              </w:rPr>
              <w:t xml:space="preserve"> in stocks of </w:t>
            </w:r>
            <w:r w:rsidRPr="00883399">
              <w:rPr>
                <w:iCs/>
                <w:sz w:val="24"/>
              </w:rPr>
              <w:t>product types (</w:t>
            </w:r>
            <w:r w:rsidRPr="00883399">
              <w:rPr>
                <w:b/>
                <w:i/>
                <w:iCs/>
                <w:sz w:val="24"/>
              </w:rPr>
              <w:t>p)</w:t>
            </w:r>
            <w:r w:rsidRPr="00883399">
              <w:rPr>
                <w:iCs/>
                <w:sz w:val="24"/>
              </w:rPr>
              <w:t xml:space="preserve"> produced by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872C03" w:rsidRPr="00883399" w14:paraId="66054160" w14:textId="77777777" w:rsidTr="0031057E">
        <w:trPr>
          <w:cantSplit/>
        </w:trPr>
        <w:tc>
          <w:tcPr>
            <w:tcW w:w="910" w:type="dxa"/>
            <w:vMerge/>
            <w:vAlign w:val="center"/>
            <w:hideMark/>
          </w:tcPr>
          <w:p w14:paraId="3A06E80E" w14:textId="77777777" w:rsidR="00872C03" w:rsidRPr="00883399" w:rsidRDefault="00872C03" w:rsidP="0031057E">
            <w:pPr>
              <w:rPr>
                <w:i/>
              </w:rPr>
            </w:pPr>
          </w:p>
        </w:tc>
        <w:tc>
          <w:tcPr>
            <w:tcW w:w="6650" w:type="dxa"/>
            <w:hideMark/>
          </w:tcPr>
          <w:p w14:paraId="36012C17" w14:textId="77777777" w:rsidR="00872C03" w:rsidRPr="00883399" w:rsidRDefault="00872C03" w:rsidP="0031057E">
            <w:pPr>
              <w:pStyle w:val="TableText"/>
              <w:rPr>
                <w:sz w:val="24"/>
              </w:rPr>
            </w:pPr>
            <w:r w:rsidRPr="00883399">
              <w:rPr>
                <w:rFonts w:ascii="Symbol" w:hAnsi="Symbol"/>
                <w:b/>
                <w:i/>
                <w:sz w:val="24"/>
              </w:rPr>
              <w:t></w:t>
            </w:r>
            <w:r w:rsidRPr="00883399">
              <w:rPr>
                <w:b/>
                <w:i/>
                <w:sz w:val="24"/>
                <w:vertAlign w:val="subscript"/>
              </w:rPr>
              <w:t>r</w:t>
            </w:r>
            <w:r w:rsidRPr="00883399">
              <w:rPr>
                <w:i/>
                <w:sz w:val="24"/>
              </w:rPr>
              <w:t xml:space="preserve"> </w:t>
            </w:r>
            <w:r w:rsidRPr="00883399">
              <w:rPr>
                <w:sz w:val="24"/>
              </w:rPr>
              <w:t>has the same meaning as in step 3.</w:t>
            </w:r>
          </w:p>
        </w:tc>
      </w:tr>
      <w:tr w:rsidR="00872C03" w:rsidRPr="00883399" w14:paraId="21C43247" w14:textId="77777777" w:rsidTr="0031057E">
        <w:trPr>
          <w:cantSplit/>
        </w:trPr>
        <w:tc>
          <w:tcPr>
            <w:tcW w:w="910" w:type="dxa"/>
            <w:vAlign w:val="center"/>
            <w:hideMark/>
          </w:tcPr>
          <w:p w14:paraId="72A9E39A" w14:textId="77777777" w:rsidR="00872C03" w:rsidRPr="00883399" w:rsidRDefault="00872C03" w:rsidP="0031057E">
            <w:pPr>
              <w:rPr>
                <w:i/>
              </w:rPr>
            </w:pPr>
          </w:p>
        </w:tc>
        <w:tc>
          <w:tcPr>
            <w:tcW w:w="6650" w:type="dxa"/>
            <w:hideMark/>
          </w:tcPr>
          <w:p w14:paraId="7A8D8214" w14:textId="77777777" w:rsidR="00872C03" w:rsidRPr="00883399" w:rsidRDefault="00872C03" w:rsidP="0031057E">
            <w:pPr>
              <w:pStyle w:val="TableText"/>
              <w:rPr>
                <w:b/>
                <w:i/>
                <w:iCs/>
                <w:sz w:val="24"/>
              </w:rPr>
            </w:pPr>
            <w:r w:rsidRPr="00883399">
              <w:rPr>
                <w:b/>
                <w:i/>
                <w:sz w:val="24"/>
              </w:rPr>
              <w:t>CCF</w:t>
            </w:r>
            <w:r w:rsidRPr="00883399">
              <w:rPr>
                <w:b/>
                <w:i/>
                <w:sz w:val="24"/>
                <w:vertAlign w:val="subscript"/>
              </w:rPr>
              <w:t>r</w:t>
            </w:r>
            <w:r w:rsidRPr="00883399">
              <w:rPr>
                <w:i/>
                <w:sz w:val="24"/>
              </w:rPr>
              <w:t xml:space="preserve"> </w:t>
            </w:r>
            <w:r w:rsidRPr="00883399">
              <w:rPr>
                <w:sz w:val="24"/>
              </w:rPr>
              <w:t>has the same meaning as in step 3.</w:t>
            </w:r>
          </w:p>
        </w:tc>
      </w:tr>
      <w:tr w:rsidR="00872C03" w:rsidRPr="00883399" w14:paraId="7B787184" w14:textId="77777777" w:rsidTr="0031057E">
        <w:trPr>
          <w:cantSplit/>
        </w:trPr>
        <w:tc>
          <w:tcPr>
            <w:tcW w:w="910" w:type="dxa"/>
          </w:tcPr>
          <w:p w14:paraId="7EC98EC1" w14:textId="77777777" w:rsidR="00872C03" w:rsidRPr="00883399" w:rsidRDefault="00872C03" w:rsidP="0031057E">
            <w:pPr>
              <w:spacing w:before="60" w:after="60"/>
              <w:rPr>
                <w:i/>
              </w:rPr>
            </w:pPr>
          </w:p>
        </w:tc>
        <w:tc>
          <w:tcPr>
            <w:tcW w:w="6650" w:type="dxa"/>
            <w:hideMark/>
          </w:tcPr>
          <w:p w14:paraId="15766E76" w14:textId="77777777" w:rsidR="00872C03" w:rsidRPr="00883399" w:rsidRDefault="00872C03" w:rsidP="0031057E">
            <w:pPr>
              <w:pStyle w:val="TableText"/>
              <w:spacing w:line="240" w:lineRule="auto"/>
              <w:rPr>
                <w:rFonts w:ascii="Symbol" w:hAnsi="Symbol"/>
                <w:b/>
                <w:i/>
                <w:sz w:val="24"/>
              </w:rPr>
            </w:pPr>
            <w:r w:rsidRPr="00883399">
              <w:rPr>
                <w:b/>
                <w:i/>
                <w:iCs/>
                <w:sz w:val="24"/>
              </w:rPr>
              <w:t>ΔS</w:t>
            </w:r>
            <w:r w:rsidRPr="00883399">
              <w:rPr>
                <w:b/>
                <w:i/>
                <w:iCs/>
                <w:sz w:val="24"/>
                <w:szCs w:val="18"/>
                <w:vertAlign w:val="subscript"/>
              </w:rPr>
              <w:t>y</w:t>
            </w:r>
            <w:r w:rsidRPr="00883399">
              <w:rPr>
                <w:b/>
                <w:i/>
                <w:iCs/>
                <w:sz w:val="24"/>
                <w:vertAlign w:val="subscript"/>
              </w:rPr>
              <w:t>r</w:t>
            </w:r>
            <w:r w:rsidRPr="00883399">
              <w:rPr>
                <w:iCs/>
                <w:sz w:val="24"/>
              </w:rPr>
              <w:t xml:space="preserve"> is </w:t>
            </w:r>
            <w:r w:rsidRPr="00883399">
              <w:rPr>
                <w:sz w:val="24"/>
                <w:szCs w:val="22"/>
              </w:rPr>
              <w:t>the</w:t>
            </w:r>
            <w:r w:rsidRPr="00883399">
              <w:rPr>
                <w:iCs/>
                <w:sz w:val="24"/>
              </w:rPr>
              <w:t xml:space="preserve"> change in stocks of waste by</w:t>
            </w:r>
            <w:r w:rsidRPr="00883399">
              <w:rPr>
                <w:iCs/>
                <w:sz w:val="24"/>
              </w:rPr>
              <w:noBreakHyphen/>
              <w:t>product types (</w:t>
            </w:r>
            <w:r w:rsidRPr="00883399">
              <w:rPr>
                <w:b/>
                <w:i/>
                <w:iCs/>
                <w:sz w:val="24"/>
              </w:rPr>
              <w:t>r</w:t>
            </w:r>
            <w:r w:rsidRPr="00883399">
              <w:rPr>
                <w:iCs/>
                <w:sz w:val="24"/>
              </w:rPr>
              <w:t xml:space="preserve">) produced from the operation of the activity and held </w:t>
            </w:r>
            <w:r w:rsidRPr="00883399">
              <w:rPr>
                <w:sz w:val="24"/>
              </w:rPr>
              <w:t xml:space="preserve">within </w:t>
            </w:r>
            <w:r w:rsidRPr="00883399">
              <w:rPr>
                <w:iCs/>
                <w:sz w:val="24"/>
              </w:rPr>
              <w:t xml:space="preserve">the boundary of </w:t>
            </w:r>
            <w:r w:rsidRPr="00883399">
              <w:rPr>
                <w:sz w:val="24"/>
              </w:rPr>
              <w:t xml:space="preserve">the activity </w:t>
            </w:r>
            <w:r w:rsidRPr="00883399">
              <w:rPr>
                <w:iCs/>
                <w:sz w:val="24"/>
              </w:rPr>
              <w:t>during the year, measured in tonnes.</w:t>
            </w:r>
          </w:p>
        </w:tc>
      </w:tr>
      <w:tr w:rsidR="00872C03" w:rsidRPr="00883399" w14:paraId="0942B932" w14:textId="77777777" w:rsidTr="0031057E">
        <w:trPr>
          <w:cantSplit/>
          <w:trHeight w:val="610"/>
        </w:trPr>
        <w:tc>
          <w:tcPr>
            <w:tcW w:w="910" w:type="dxa"/>
          </w:tcPr>
          <w:p w14:paraId="56A7CE30" w14:textId="77777777" w:rsidR="00872C03" w:rsidRPr="00883399" w:rsidRDefault="00872C03" w:rsidP="0031057E">
            <w:pPr>
              <w:spacing w:before="60" w:after="60"/>
              <w:rPr>
                <w:i/>
              </w:rPr>
            </w:pPr>
          </w:p>
        </w:tc>
        <w:tc>
          <w:tcPr>
            <w:tcW w:w="6650" w:type="dxa"/>
            <w:hideMark/>
          </w:tcPr>
          <w:p w14:paraId="7E9DDD60" w14:textId="77777777" w:rsidR="00872C03" w:rsidRPr="00883399" w:rsidRDefault="00872C03" w:rsidP="0031057E">
            <w:pPr>
              <w:pStyle w:val="TableText"/>
              <w:rPr>
                <w:rFonts w:ascii="Symbol" w:hAnsi="Symbol"/>
                <w:b/>
                <w:i/>
                <w:sz w:val="24"/>
              </w:rPr>
            </w:pPr>
            <w:r w:rsidRPr="00883399">
              <w:rPr>
                <w:b/>
                <w:i/>
                <w:sz w:val="24"/>
              </w:rPr>
              <w:t>α</w:t>
            </w:r>
            <w:r w:rsidRPr="00883399">
              <w:rPr>
                <w:sz w:val="24"/>
              </w:rPr>
              <w:t xml:space="preserve"> is the factor </w:t>
            </w:r>
            <w:r w:rsidR="00C66508" w:rsidRPr="00883399">
              <w:rPr>
                <w:noProof/>
                <w:sz w:val="24"/>
              </w:rPr>
              <mc:AlternateContent>
                <mc:Choice Requires="wpc">
                  <w:drawing>
                    <wp:inline distT="0" distB="0" distL="0" distR="0" wp14:anchorId="23BA5240" wp14:editId="3DF22C41">
                      <wp:extent cx="257175" cy="352425"/>
                      <wp:effectExtent l="0" t="0" r="0" b="0"/>
                      <wp:docPr id="444" name="Canvas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0" name="Rectangle 212"/>
                              <wps:cNvSpPr>
                                <a:spLocks noChangeArrowheads="1"/>
                              </wps:cNvSpPr>
                              <wps:spPr bwMode="auto">
                                <a:xfrm>
                                  <a:off x="83820" y="10178"/>
                                  <a:ext cx="51435" cy="117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37544" w14:textId="77777777" w:rsidR="00F8313C" w:rsidRDefault="00F8313C" w:rsidP="00872C03">
                                    <w:r>
                                      <w:rPr>
                                        <w:color w:val="000000"/>
                                        <w:position w:val="-12"/>
                                        <w:sz w:val="16"/>
                                        <w:szCs w:val="16"/>
                                        <w:lang w:val="en-US"/>
                                      </w:rPr>
                                      <w:t>1</w:t>
                                    </w:r>
                                  </w:p>
                                </w:txbxContent>
                              </wps:txbx>
                              <wps:bodyPr rot="0" vert="horz" wrap="none" lIns="0" tIns="0" rIns="0" bIns="0" anchor="t" anchorCtr="0" upright="1">
                                <a:noAutofit/>
                              </wps:bodyPr>
                            </wps:wsp>
                            <wps:wsp>
                              <wps:cNvPr id="62" name="Line 213"/>
                              <wps:cNvCnPr>
                                <a:cxnSpLocks noChangeShapeType="1"/>
                              </wps:cNvCnPr>
                              <wps:spPr bwMode="auto">
                                <a:xfrm>
                                  <a:off x="13970" y="139316"/>
                                  <a:ext cx="205105" cy="636"/>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214"/>
                              <wps:cNvSpPr>
                                <a:spLocks noChangeArrowheads="1"/>
                              </wps:cNvSpPr>
                              <wps:spPr bwMode="auto">
                                <a:xfrm>
                                  <a:off x="0" y="166670"/>
                                  <a:ext cx="229235" cy="117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4D95D" w14:textId="77777777" w:rsidR="00F8313C" w:rsidRDefault="00F8313C" w:rsidP="00872C03">
                                    <w:pPr>
                                      <w:spacing w:line="240" w:lineRule="auto"/>
                                      <w:rPr>
                                        <w:position w:val="-12"/>
                                        <w:sz w:val="16"/>
                                        <w:szCs w:val="16"/>
                                      </w:rPr>
                                    </w:pPr>
                                    <w:r>
                                      <w:rPr>
                                        <w:color w:val="000000"/>
                                        <w:position w:val="-12"/>
                                        <w:sz w:val="16"/>
                                        <w:szCs w:val="16"/>
                                        <w:lang w:val="en-US"/>
                                      </w:rPr>
                                      <w:t>3.664</w:t>
                                    </w:r>
                                  </w:p>
                                </w:txbxContent>
                              </wps:txbx>
                              <wps:bodyPr rot="0" vert="horz" wrap="none" lIns="0" tIns="0" rIns="0" bIns="0" anchor="t" anchorCtr="0" upright="1">
                                <a:noAutofit/>
                              </wps:bodyPr>
                            </wps:wsp>
                          </wpc:wpc>
                        </a:graphicData>
                      </a:graphic>
                    </wp:inline>
                  </w:drawing>
                </mc:Choice>
                <mc:Fallback>
                  <w:pict>
                    <v:group w14:anchorId="23BA5240" id="Canvas 11" o:spid="_x0000_s1064" editas="canvas" style="width:20.25pt;height:27.75pt;mso-position-horizontal-relative:char;mso-position-vertical-relative:line" coordsize="2571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">
                      <v:shape id="_x0000_s1065" type="#_x0000_t75" style="position:absolute;width:257175;height:352425;visibility:visible;mso-wrap-style:square">
                        <v:fill o:detectmouseclick="t"/>
                        <v:path o:connecttype="none"/>
                      </v:shape>
                      <v:rect id="Rectangle 212" o:spid="_x0000_s1066" style="position:absolute;left:83820;top:10178;width:51435;height:1170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EH8EA&#10;AADbAAAADwAAAGRycy9kb3ducmV2LnhtbERP3WrCMBS+H+wdwhl4N9OOUWY1lk4YysALqw9waI5N&#10;XXNSk0y7t18uBrv8+P5X1WQHcSMfescK8nkGgrh1uudOwen48fwGIkRkjYNjUvBDAar148MKS+3u&#10;fKBbEzuRQjiUqMDEOJZShtaQxTB3I3Hizs5bjAn6TmqP9xRuB/mSZYW02HNqMDjSxlD71XxbBfS+&#10;PSwudTB76fOQ7z+Lxev2qtTsaaqXICJN8V/8595pBUVan7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RhB/BAAAA2wAAAA8AAAAAAAAAAAAAAAAAmAIAAGRycy9kb3du&#10;cmV2LnhtbFBLBQYAAAAABAAEAPUAAACGAwAAAAA=&#10;" filled="f" stroked="f">
                        <v:textbox inset="0,0,0,0">
                          <w:txbxContent>
                            <w:p w14:paraId="07137544" w14:textId="77777777" w:rsidR="00F8313C" w:rsidRDefault="00F8313C" w:rsidP="00872C03">
                              <w:r>
                                <w:rPr>
                                  <w:color w:val="000000"/>
                                  <w:position w:val="-12"/>
                                  <w:sz w:val="16"/>
                                  <w:szCs w:val="16"/>
                                  <w:lang w:val="en-US"/>
                                </w:rPr>
                                <w:t>1</w:t>
                              </w:r>
                            </w:p>
                          </w:txbxContent>
                        </v:textbox>
                      </v:rect>
                      <v:line id="Line 213" o:spid="_x0000_s1067" style="position:absolute;visibility:visible;mso-wrap-style:square" from="13970,139316" to="219075,13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OrGcMAAADbAAAADwAAAGRycy9kb3ducmV2LnhtbESPQWvCQBSE7wX/w/IEb3WjByupqxRR&#10;TI8muXh7zT6T0OzbsLtq9Nd3C4LHYWa+YVabwXTiSs63lhXMpgkI4srqlmsFZbF/X4LwAVljZ5kU&#10;3MnDZj16W2Gq7Y2PdM1DLSKEfYoKmhD6VEpfNWTQT21PHL2zdQZDlK6W2uEtwk0n50mykAZbjgsN&#10;9rRtqPrNL0bBIyt25Sk7HH/Kx6n4trl3H+elUpPx8PUJItAQXuFnO9MKFnP4/x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zqxnDAAAA2wAAAA8AAAAAAAAAAAAA&#10;AAAAoQIAAGRycy9kb3ducmV2LnhtbFBLBQYAAAAABAAEAPkAAACRAwAAAAA=&#10;" strokeweight="28e-5mm"/>
                      <v:rect id="Rectangle 214" o:spid="_x0000_s1068" style="position:absolute;top:166670;width:229235;height:1176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aaMQA&#10;AADbAAAADwAAAGRycy9kb3ducmV2LnhtbESP3WoCMRSE7wt9h3AE72p2W1l0NYotFKXghT8PcNgc&#10;N6ubk22S6vr2TaHg5TAz3zDzZW9bcSUfGscK8lEGgrhyuuFawfHw+TIBESKyxtYxKbhTgOXi+WmO&#10;pXY33tF1H2uRIBxKVGBi7EopQ2XIYhi5jjh5J+ctxiR9LbXHW4LbVr5mWSEtNpwWDHb0Yai67H+s&#10;Anpf76bnVTBb6fOQb7+K6Xj9rdRw0K9mICL18RH+b2+0guIN/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DGmjEAAAA2wAAAA8AAAAAAAAAAAAAAAAAmAIAAGRycy9k&#10;b3ducmV2LnhtbFBLBQYAAAAABAAEAPUAAACJAwAAAAA=&#10;" filled="f" stroked="f">
                        <v:textbox inset="0,0,0,0">
                          <w:txbxContent>
                            <w:p w14:paraId="0D54D95D" w14:textId="77777777" w:rsidR="00F8313C" w:rsidRDefault="00F8313C" w:rsidP="00872C03">
                              <w:pPr>
                                <w:spacing w:line="240" w:lineRule="auto"/>
                                <w:rPr>
                                  <w:position w:val="-12"/>
                                  <w:sz w:val="16"/>
                                  <w:szCs w:val="16"/>
                                </w:rPr>
                              </w:pPr>
                              <w:r>
                                <w:rPr>
                                  <w:color w:val="000000"/>
                                  <w:position w:val="-12"/>
                                  <w:sz w:val="16"/>
                                  <w:szCs w:val="16"/>
                                  <w:lang w:val="en-US"/>
                                </w:rPr>
                                <w:t>3.664</w:t>
                              </w:r>
                            </w:p>
                          </w:txbxContent>
                        </v:textbox>
                      </v:rect>
                      <w10:anchorlock/>
                    </v:group>
                  </w:pict>
                </mc:Fallback>
              </mc:AlternateContent>
            </w:r>
            <w:r w:rsidRPr="00883399">
              <w:rPr>
                <w:sz w:val="24"/>
              </w:rPr>
              <w:t>for converting the mass of carbon dioxide to a mass of carbon.</w:t>
            </w:r>
          </w:p>
        </w:tc>
      </w:tr>
      <w:tr w:rsidR="00872C03" w:rsidRPr="00883399" w14:paraId="7D1DDF41" w14:textId="77777777" w:rsidTr="0031057E">
        <w:trPr>
          <w:cantSplit/>
        </w:trPr>
        <w:tc>
          <w:tcPr>
            <w:tcW w:w="910" w:type="dxa"/>
          </w:tcPr>
          <w:p w14:paraId="5FC75674" w14:textId="77777777" w:rsidR="00872C03" w:rsidRPr="00883399" w:rsidRDefault="00872C03" w:rsidP="0031057E">
            <w:pPr>
              <w:spacing w:before="60" w:after="60"/>
              <w:rPr>
                <w:i/>
              </w:rPr>
            </w:pPr>
          </w:p>
        </w:tc>
        <w:tc>
          <w:tcPr>
            <w:tcW w:w="6650" w:type="dxa"/>
            <w:hideMark/>
          </w:tcPr>
          <w:p w14:paraId="7D4C8F2E" w14:textId="77777777" w:rsidR="00872C03" w:rsidRPr="00883399" w:rsidRDefault="00872C03" w:rsidP="0031057E">
            <w:pPr>
              <w:pStyle w:val="TableText"/>
              <w:rPr>
                <w:iCs/>
                <w:sz w:val="24"/>
                <w:szCs w:val="22"/>
              </w:rPr>
            </w:pPr>
            <w:r w:rsidRPr="00883399">
              <w:rPr>
                <w:b/>
                <w:i/>
                <w:sz w:val="24"/>
                <w:szCs w:val="22"/>
              </w:rPr>
              <w:t xml:space="preserve">γ </w:t>
            </w:r>
            <w:r w:rsidRPr="00883399">
              <w:rPr>
                <w:sz w:val="24"/>
                <w:szCs w:val="22"/>
              </w:rPr>
              <w:t>is the factor 1.861 × 10</w:t>
            </w:r>
            <w:r w:rsidRPr="00883399">
              <w:rPr>
                <w:sz w:val="24"/>
                <w:szCs w:val="22"/>
                <w:vertAlign w:val="superscript"/>
              </w:rPr>
              <w:noBreakHyphen/>
              <w:t xml:space="preserve">3 </w:t>
            </w:r>
            <w:r w:rsidRPr="00883399">
              <w:rPr>
                <w:sz w:val="24"/>
                <w:szCs w:val="22"/>
              </w:rPr>
              <w:t>for converting a quantity of carbon dioxide from cubic metres at standard conditions of pressure and temperature to CO</w:t>
            </w:r>
            <w:r w:rsidRPr="00883399">
              <w:rPr>
                <w:sz w:val="24"/>
                <w:szCs w:val="22"/>
                <w:vertAlign w:val="subscript"/>
              </w:rPr>
              <w:t>2</w:t>
            </w:r>
            <w:r w:rsidRPr="00883399">
              <w:rPr>
                <w:sz w:val="24"/>
                <w:szCs w:val="22"/>
              </w:rPr>
              <w:noBreakHyphen/>
              <w:t>e tonnes.</w:t>
            </w:r>
          </w:p>
        </w:tc>
      </w:tr>
      <w:tr w:rsidR="00872C03" w:rsidRPr="00883399" w14:paraId="37CF40E1" w14:textId="77777777" w:rsidTr="0031057E">
        <w:trPr>
          <w:cantSplit/>
        </w:trPr>
        <w:tc>
          <w:tcPr>
            <w:tcW w:w="910" w:type="dxa"/>
          </w:tcPr>
          <w:p w14:paraId="7E0AB114" w14:textId="77777777" w:rsidR="00872C03" w:rsidRPr="00883399" w:rsidRDefault="00872C03" w:rsidP="0031057E">
            <w:pPr>
              <w:spacing w:before="60" w:after="60"/>
              <w:rPr>
                <w:i/>
              </w:rPr>
            </w:pPr>
          </w:p>
        </w:tc>
        <w:tc>
          <w:tcPr>
            <w:tcW w:w="6650" w:type="dxa"/>
            <w:hideMark/>
          </w:tcPr>
          <w:p w14:paraId="7B383ED4" w14:textId="77777777" w:rsidR="00872C03" w:rsidRPr="00883399" w:rsidRDefault="00872C03" w:rsidP="0031057E">
            <w:pPr>
              <w:pStyle w:val="TableText"/>
              <w:spacing w:line="240" w:lineRule="auto"/>
              <w:rPr>
                <w:rFonts w:ascii="Symbol" w:hAnsi="Symbol"/>
                <w:b/>
                <w:i/>
                <w:sz w:val="24"/>
                <w:szCs w:val="22"/>
              </w:rPr>
            </w:pPr>
            <w:r w:rsidRPr="00883399">
              <w:rPr>
                <w:b/>
                <w:i/>
                <w:sz w:val="24"/>
                <w:szCs w:val="22"/>
              </w:rPr>
              <w:t>RCCS</w:t>
            </w:r>
            <w:r w:rsidRPr="00883399">
              <w:rPr>
                <w:b/>
                <w:i/>
                <w:sz w:val="24"/>
                <w:vertAlign w:val="subscript"/>
              </w:rPr>
              <w:t>CO</w:t>
            </w:r>
            <w:r w:rsidRPr="00883399">
              <w:rPr>
                <w:b/>
                <w:i/>
                <w:position w:val="-4"/>
                <w:sz w:val="24"/>
                <w:vertAlign w:val="subscript"/>
              </w:rPr>
              <w:t>2</w:t>
            </w:r>
            <w:r w:rsidRPr="00883399">
              <w:rPr>
                <w:sz w:val="24"/>
                <w:szCs w:val="22"/>
              </w:rPr>
              <w:t xml:space="preserve"> is carbon dioxide captured for permanent storage, measured in cubic metres in accordance with Division 1.2.3.</w:t>
            </w:r>
          </w:p>
        </w:tc>
      </w:tr>
    </w:tbl>
    <w:p w14:paraId="24F8C6F1" w14:textId="77777777" w:rsidR="00872C03" w:rsidRPr="00883399" w:rsidRDefault="00872C03" w:rsidP="00872C03">
      <w:pPr>
        <w:pStyle w:val="subsection"/>
        <w:rPr>
          <w:sz w:val="24"/>
        </w:rPr>
      </w:pPr>
      <w:r w:rsidRPr="00883399">
        <w:rPr>
          <w:sz w:val="24"/>
        </w:rPr>
        <w:tab/>
        <w:t>(3)</w:t>
      </w:r>
      <w:r w:rsidRPr="00883399">
        <w:rPr>
          <w:sz w:val="24"/>
        </w:rPr>
        <w:tab/>
        <w:t>If a fuel type (</w:t>
      </w:r>
      <w:r w:rsidRPr="00883399">
        <w:rPr>
          <w:b/>
          <w:i/>
          <w:sz w:val="24"/>
        </w:rPr>
        <w:t>i</w:t>
      </w:r>
      <w:r w:rsidRPr="00883399">
        <w:rPr>
          <w:sz w:val="24"/>
        </w:rPr>
        <w:t>) or carbonaceous input material delivered for the activity during the year accounts for more than 5% of total carbon input for the activity, based on a calculation using the factors specified in Schedule 3, sampling and analysis of fuel type (</w:t>
      </w:r>
      <w:r w:rsidRPr="00883399">
        <w:rPr>
          <w:b/>
          <w:i/>
          <w:sz w:val="24"/>
        </w:rPr>
        <w:t>i</w:t>
      </w:r>
      <w:r w:rsidRPr="00883399">
        <w:rPr>
          <w:sz w:val="24"/>
        </w:rPr>
        <w:t>) or carbonaceous input material must be carried out to determine its carbon content.</w:t>
      </w:r>
    </w:p>
    <w:p w14:paraId="76F4BECC" w14:textId="77777777" w:rsidR="00872C03" w:rsidRPr="00883399" w:rsidRDefault="00872C03" w:rsidP="00872C03">
      <w:pPr>
        <w:pStyle w:val="subsection"/>
        <w:rPr>
          <w:sz w:val="24"/>
        </w:rPr>
      </w:pPr>
      <w:r w:rsidRPr="00883399">
        <w:rPr>
          <w:sz w:val="24"/>
        </w:rPr>
        <w:tab/>
        <w:t>(4)</w:t>
      </w:r>
      <w:r w:rsidRPr="00883399">
        <w:rPr>
          <w:sz w:val="24"/>
        </w:rPr>
        <w:tab/>
        <w:t>The sampling and analysis is to be carried out using the sampling and analysis provided for in Divisions 2.2.3, 2.3.3 and 2.4.3 that apply to the combustion of solid, gaseous and liquid fuels.</w:t>
      </w:r>
    </w:p>
    <w:p w14:paraId="2648A19B" w14:textId="5742AE68" w:rsidR="00872C03" w:rsidRPr="00883399" w:rsidRDefault="00872C03" w:rsidP="00872C03">
      <w:pPr>
        <w:pStyle w:val="ActHead5"/>
        <w:rPr>
          <w:sz w:val="28"/>
        </w:rPr>
      </w:pPr>
      <w:bookmarkStart w:id="1042" w:name="_Toc423517117"/>
      <w:bookmarkStart w:id="1043" w:name="_Toc495653049"/>
      <w:r w:rsidRPr="00883399">
        <w:rPr>
          <w:rStyle w:val="CharSectno"/>
          <w:sz w:val="28"/>
        </w:rPr>
        <w:t>4.96</w:t>
      </w:r>
      <w:r w:rsidRPr="00883399">
        <w:rPr>
          <w:sz w:val="28"/>
        </w:rPr>
        <w:t xml:space="preserve">  Method 3—other metals</w:t>
      </w:r>
      <w:bookmarkEnd w:id="1042"/>
      <w:bookmarkEnd w:id="1043"/>
    </w:p>
    <w:p w14:paraId="4B6C76C6" w14:textId="77777777" w:rsidR="00872C03" w:rsidRPr="00883399" w:rsidRDefault="00872C03" w:rsidP="00872C03">
      <w:pPr>
        <w:pStyle w:val="subsection"/>
        <w:rPr>
          <w:sz w:val="24"/>
        </w:rPr>
      </w:pPr>
      <w:r w:rsidRPr="00883399">
        <w:rPr>
          <w:sz w:val="24"/>
        </w:rPr>
        <w:tab/>
        <w:t>(1)</w:t>
      </w:r>
      <w:r w:rsidRPr="00883399">
        <w:rPr>
          <w:sz w:val="24"/>
        </w:rPr>
        <w:tab/>
        <w:t>Subject to this section, method 3 is the same as method 2 under section 4.95.</w:t>
      </w:r>
    </w:p>
    <w:p w14:paraId="1B155E00" w14:textId="77777777" w:rsidR="00872C03" w:rsidRPr="00883399" w:rsidRDefault="00872C03" w:rsidP="00872C03">
      <w:pPr>
        <w:pStyle w:val="subsection"/>
        <w:rPr>
          <w:sz w:val="24"/>
        </w:rPr>
      </w:pPr>
      <w:r w:rsidRPr="00883399">
        <w:rPr>
          <w:sz w:val="24"/>
        </w:rPr>
        <w:tab/>
        <w:t>(2)</w:t>
      </w:r>
      <w:r w:rsidRPr="00883399">
        <w:rPr>
          <w:sz w:val="24"/>
        </w:rPr>
        <w:tab/>
        <w:t>If a fuel type (</w:t>
      </w:r>
      <w:r w:rsidRPr="00883399">
        <w:rPr>
          <w:b/>
          <w:i/>
          <w:sz w:val="24"/>
        </w:rPr>
        <w:t>i</w:t>
      </w:r>
      <w:r w:rsidRPr="00883399">
        <w:rPr>
          <w:sz w:val="24"/>
        </w:rPr>
        <w:t xml:space="preserve">) or carbonaceous input material delivered for the activity during the year accounts for more than 5% of total carbon input for the activity, based on a calculation using the factors specified in Schedule 3, </w:t>
      </w:r>
      <w:r w:rsidRPr="00883399">
        <w:rPr>
          <w:sz w:val="24"/>
        </w:rPr>
        <w:lastRenderedPageBreak/>
        <w:t>sampling and analysis of fuel type (</w:t>
      </w:r>
      <w:r w:rsidRPr="00883399">
        <w:rPr>
          <w:b/>
          <w:i/>
          <w:sz w:val="24"/>
        </w:rPr>
        <w:t>i</w:t>
      </w:r>
      <w:r w:rsidRPr="00883399">
        <w:rPr>
          <w:sz w:val="24"/>
        </w:rPr>
        <w:t>) or carbonaceous input material must be carried out to determine its carbon content.</w:t>
      </w:r>
    </w:p>
    <w:p w14:paraId="1DC3F833" w14:textId="77777777" w:rsidR="00872C03" w:rsidRPr="00883399" w:rsidRDefault="00872C03" w:rsidP="00872C03">
      <w:pPr>
        <w:pStyle w:val="subsection"/>
        <w:rPr>
          <w:sz w:val="24"/>
        </w:rPr>
      </w:pPr>
      <w:r w:rsidRPr="00883399">
        <w:rPr>
          <w:sz w:val="24"/>
        </w:rPr>
        <w:tab/>
        <w:t>(3)</w:t>
      </w:r>
      <w:r w:rsidRPr="00883399">
        <w:rPr>
          <w:sz w:val="24"/>
        </w:rPr>
        <w:tab/>
        <w:t>The sampling and analysis is to be carried out using the methods set out in Divisions 2.2.4, 2.3.4 and 2.4.4 that apply to the combustion of solid, gaseous and liquid fuels.</w:t>
      </w:r>
    </w:p>
    <w:p w14:paraId="021579F9" w14:textId="2C7C5EEF" w:rsidR="00872C03" w:rsidRPr="00883399" w:rsidRDefault="00872C03" w:rsidP="00872C03">
      <w:pPr>
        <w:pStyle w:val="ActHead2"/>
        <w:pageBreakBefore/>
        <w:rPr>
          <w:sz w:val="36"/>
        </w:rPr>
      </w:pPr>
      <w:bookmarkStart w:id="1044" w:name="_Toc423517118"/>
      <w:bookmarkStart w:id="1045" w:name="_Toc495653050"/>
      <w:r w:rsidRPr="00883399">
        <w:rPr>
          <w:rStyle w:val="CharPartNo"/>
          <w:sz w:val="36"/>
        </w:rPr>
        <w:lastRenderedPageBreak/>
        <w:t>Part 4.5</w:t>
      </w:r>
      <w:r w:rsidRPr="00883399">
        <w:rPr>
          <w:sz w:val="36"/>
        </w:rPr>
        <w:t>—</w:t>
      </w:r>
      <w:r w:rsidRPr="00883399">
        <w:rPr>
          <w:rStyle w:val="CharPartText"/>
          <w:sz w:val="36"/>
        </w:rPr>
        <w:t>Industrial processes—emissions of hydrofluorocarbons and sulphur hexafluoride gases</w:t>
      </w:r>
      <w:bookmarkEnd w:id="1044"/>
      <w:bookmarkEnd w:id="1045"/>
    </w:p>
    <w:p w14:paraId="0CF4F6D7" w14:textId="77777777" w:rsidR="00872C03" w:rsidRPr="00883399" w:rsidRDefault="00872C03" w:rsidP="00872C03">
      <w:pPr>
        <w:pStyle w:val="Header"/>
        <w:rPr>
          <w:sz w:val="18"/>
        </w:rPr>
      </w:pPr>
      <w:r w:rsidRPr="00883399">
        <w:rPr>
          <w:rStyle w:val="CharDivNo"/>
          <w:sz w:val="18"/>
        </w:rPr>
        <w:t xml:space="preserve"> </w:t>
      </w:r>
      <w:r w:rsidRPr="00883399">
        <w:rPr>
          <w:rStyle w:val="CharDivText"/>
          <w:sz w:val="18"/>
        </w:rPr>
        <w:t xml:space="preserve"> </w:t>
      </w:r>
    </w:p>
    <w:p w14:paraId="2CAE3E1F" w14:textId="77777777" w:rsidR="006E1310" w:rsidRPr="00883399" w:rsidRDefault="006E1310" w:rsidP="006E1310">
      <w:pPr>
        <w:pStyle w:val="Text"/>
        <w:rPr>
          <w:sz w:val="24"/>
          <w:szCs w:val="24"/>
        </w:rPr>
      </w:pPr>
      <w:bookmarkStart w:id="1046" w:name="_Toc423517119"/>
      <w:r w:rsidRPr="00883399">
        <w:rPr>
          <w:rFonts w:ascii="Arial" w:hAnsi="Arial" w:cs="Arial"/>
          <w:sz w:val="22"/>
          <w:szCs w:val="22"/>
        </w:rPr>
        <w:t>Emissions of hydrofluorocarbon (HFC) or sulphur hexafluoride (SF</w:t>
      </w:r>
      <w:r w:rsidRPr="00883399">
        <w:rPr>
          <w:rFonts w:ascii="Arial" w:hAnsi="Arial" w:cs="Arial"/>
          <w:sz w:val="22"/>
          <w:szCs w:val="22"/>
          <w:vertAlign w:val="subscript"/>
        </w:rPr>
        <w:t>6</w:t>
      </w:r>
      <w:r w:rsidRPr="00883399">
        <w:rPr>
          <w:rFonts w:ascii="Arial" w:hAnsi="Arial" w:cs="Arial"/>
          <w:sz w:val="22"/>
          <w:szCs w:val="22"/>
        </w:rPr>
        <w:t>) gases arise as fugitive emissions from the use of equipment, such as refrigeration, that contains these gases. Production of hydrofluorocarbons and sulphur hexafluoride currently does not occur in Australia</w:t>
      </w:r>
      <w:r w:rsidRPr="00883399">
        <w:rPr>
          <w:sz w:val="24"/>
          <w:szCs w:val="24"/>
        </w:rPr>
        <w:t xml:space="preserve">.  </w:t>
      </w:r>
    </w:p>
    <w:p w14:paraId="3391F595" w14:textId="1785AE31" w:rsidR="00872C03" w:rsidRPr="00883399" w:rsidRDefault="00872C03" w:rsidP="00872C03">
      <w:pPr>
        <w:pStyle w:val="ActHead5"/>
        <w:rPr>
          <w:sz w:val="28"/>
        </w:rPr>
      </w:pPr>
      <w:bookmarkStart w:id="1047" w:name="_Toc495653051"/>
      <w:r w:rsidRPr="00883399">
        <w:rPr>
          <w:rStyle w:val="CharSectno"/>
          <w:sz w:val="28"/>
        </w:rPr>
        <w:t>4.97</w:t>
      </w:r>
      <w:r w:rsidRPr="00883399">
        <w:rPr>
          <w:sz w:val="28"/>
        </w:rPr>
        <w:t xml:space="preserve">  Application</w:t>
      </w:r>
      <w:bookmarkEnd w:id="1046"/>
      <w:bookmarkEnd w:id="1047"/>
    </w:p>
    <w:p w14:paraId="018726EB" w14:textId="77777777" w:rsidR="00872C03" w:rsidRPr="00883399" w:rsidRDefault="00872C03" w:rsidP="00872C03">
      <w:pPr>
        <w:pStyle w:val="subsection"/>
        <w:rPr>
          <w:sz w:val="24"/>
        </w:rPr>
      </w:pPr>
      <w:r w:rsidRPr="00883399">
        <w:rPr>
          <w:sz w:val="24"/>
        </w:rPr>
        <w:tab/>
      </w:r>
      <w:r w:rsidRPr="00883399">
        <w:rPr>
          <w:sz w:val="24"/>
        </w:rPr>
        <w:tab/>
        <w:t>This Part applies to emissions of hydrofluorocarbons and sulphur hexafluoride gases.</w:t>
      </w:r>
    </w:p>
    <w:p w14:paraId="38ECAFAB" w14:textId="36E362C9" w:rsidR="00872C03" w:rsidRPr="00883399" w:rsidRDefault="00872C03" w:rsidP="00872C03">
      <w:pPr>
        <w:pStyle w:val="ActHead5"/>
        <w:rPr>
          <w:sz w:val="28"/>
        </w:rPr>
      </w:pPr>
      <w:bookmarkStart w:id="1048" w:name="_Toc423517120"/>
      <w:bookmarkStart w:id="1049" w:name="_Toc495653052"/>
      <w:r w:rsidRPr="00883399">
        <w:rPr>
          <w:rStyle w:val="CharSectno"/>
          <w:sz w:val="28"/>
        </w:rPr>
        <w:t>4.98</w:t>
      </w:r>
      <w:r w:rsidRPr="00883399">
        <w:rPr>
          <w:sz w:val="28"/>
        </w:rPr>
        <w:t xml:space="preserve">  Available method</w:t>
      </w:r>
      <w:bookmarkEnd w:id="1048"/>
      <w:bookmarkEnd w:id="1049"/>
    </w:p>
    <w:p w14:paraId="6B1C0E58" w14:textId="77777777" w:rsidR="00872C03" w:rsidRPr="00883399" w:rsidRDefault="00872C03" w:rsidP="00872C03">
      <w:pPr>
        <w:pStyle w:val="subsection"/>
        <w:rPr>
          <w:sz w:val="24"/>
        </w:rPr>
      </w:pPr>
      <w:r w:rsidRPr="00883399">
        <w:rPr>
          <w:sz w:val="24"/>
        </w:rPr>
        <w:tab/>
        <w:t>(1)</w:t>
      </w:r>
      <w:r w:rsidRPr="00883399">
        <w:rPr>
          <w:sz w:val="24"/>
        </w:rPr>
        <w:tab/>
        <w:t>Subject to section 1.18, for estimating emissions of hydrofluorocarbons or sulphur hexafluoride during a year from the operation of a facility that is constituted by synthetic gas generating activities, one of the following methods must be used:</w:t>
      </w:r>
    </w:p>
    <w:p w14:paraId="2E5F4426" w14:textId="77777777" w:rsidR="00872C03" w:rsidRPr="00883399" w:rsidRDefault="00872C03" w:rsidP="00872C03">
      <w:pPr>
        <w:pStyle w:val="paragraph"/>
        <w:rPr>
          <w:sz w:val="24"/>
        </w:rPr>
      </w:pPr>
      <w:r w:rsidRPr="00883399">
        <w:rPr>
          <w:sz w:val="24"/>
        </w:rPr>
        <w:tab/>
        <w:t>(a)</w:t>
      </w:r>
      <w:r w:rsidRPr="00883399">
        <w:rPr>
          <w:sz w:val="24"/>
        </w:rPr>
        <w:tab/>
        <w:t>method 1 under section 4.102;</w:t>
      </w:r>
    </w:p>
    <w:p w14:paraId="17C63B27" w14:textId="77777777" w:rsidR="00872C03" w:rsidRPr="00883399" w:rsidRDefault="00872C03" w:rsidP="00872C03">
      <w:pPr>
        <w:pStyle w:val="paragraph"/>
        <w:rPr>
          <w:sz w:val="24"/>
        </w:rPr>
      </w:pPr>
      <w:r w:rsidRPr="00883399">
        <w:rPr>
          <w:sz w:val="24"/>
        </w:rPr>
        <w:tab/>
        <w:t>(b)</w:t>
      </w:r>
      <w:r w:rsidRPr="00883399">
        <w:rPr>
          <w:sz w:val="24"/>
        </w:rPr>
        <w:tab/>
        <w:t>method 2, for both hydrofluorocarbons and sulphur hexafluoride, under section 4.103;</w:t>
      </w:r>
    </w:p>
    <w:p w14:paraId="2AD7F660" w14:textId="77777777" w:rsidR="00872C03" w:rsidRPr="00883399" w:rsidRDefault="00872C03" w:rsidP="00872C03">
      <w:pPr>
        <w:pStyle w:val="paragraph"/>
        <w:rPr>
          <w:sz w:val="24"/>
        </w:rPr>
      </w:pPr>
      <w:r w:rsidRPr="00883399">
        <w:rPr>
          <w:sz w:val="24"/>
        </w:rPr>
        <w:tab/>
        <w:t>(c)</w:t>
      </w:r>
      <w:r w:rsidRPr="00883399">
        <w:rPr>
          <w:sz w:val="24"/>
        </w:rPr>
        <w:tab/>
        <w:t>method 3:</w:t>
      </w:r>
    </w:p>
    <w:p w14:paraId="3A1384FC" w14:textId="77777777" w:rsidR="00872C03" w:rsidRPr="00883399" w:rsidRDefault="00872C03" w:rsidP="00872C03">
      <w:pPr>
        <w:pStyle w:val="paragraphsub"/>
        <w:rPr>
          <w:sz w:val="24"/>
        </w:rPr>
      </w:pPr>
      <w:r w:rsidRPr="00883399">
        <w:rPr>
          <w:sz w:val="24"/>
        </w:rPr>
        <w:tab/>
        <w:t>(i)</w:t>
      </w:r>
      <w:r w:rsidRPr="00883399">
        <w:rPr>
          <w:sz w:val="24"/>
        </w:rPr>
        <w:tab/>
        <w:t>for hydrofluorocarbons under subsection 4.104(1); and</w:t>
      </w:r>
    </w:p>
    <w:p w14:paraId="19E195A9" w14:textId="77777777" w:rsidR="00872C03" w:rsidRPr="00883399" w:rsidRDefault="00872C03" w:rsidP="00872C03">
      <w:pPr>
        <w:pStyle w:val="paragraphsub"/>
        <w:rPr>
          <w:sz w:val="24"/>
        </w:rPr>
      </w:pPr>
      <w:r w:rsidRPr="00883399">
        <w:rPr>
          <w:sz w:val="24"/>
        </w:rPr>
        <w:tab/>
        <w:t>(ii)</w:t>
      </w:r>
      <w:r w:rsidRPr="00883399">
        <w:rPr>
          <w:sz w:val="24"/>
        </w:rPr>
        <w:tab/>
        <w:t>for sulphur hexafluoride under subsection 4.104(2).</w:t>
      </w:r>
    </w:p>
    <w:p w14:paraId="7E372D43" w14:textId="77777777" w:rsidR="00872C03" w:rsidRPr="00883399" w:rsidRDefault="00872C03" w:rsidP="00872C03">
      <w:pPr>
        <w:pStyle w:val="subsection"/>
        <w:rPr>
          <w:sz w:val="24"/>
        </w:rPr>
      </w:pPr>
      <w:r w:rsidRPr="00883399">
        <w:rPr>
          <w:sz w:val="24"/>
        </w:rPr>
        <w:tab/>
        <w:t>(2)</w:t>
      </w:r>
      <w:r w:rsidRPr="00883399">
        <w:rPr>
          <w:sz w:val="24"/>
        </w:rPr>
        <w:tab/>
        <w:t>However, for incidental emissions another method may be used that is consistent with the principles in section 1.13.</w:t>
      </w:r>
    </w:p>
    <w:p w14:paraId="25D05E60" w14:textId="77777777" w:rsidR="00872C03" w:rsidRPr="00883399" w:rsidRDefault="00872C03" w:rsidP="00872C03">
      <w:pPr>
        <w:pStyle w:val="notetext"/>
        <w:rPr>
          <w:sz w:val="20"/>
        </w:rPr>
      </w:pPr>
      <w:r w:rsidRPr="00883399">
        <w:rPr>
          <w:sz w:val="20"/>
        </w:rPr>
        <w:t>Note:</w:t>
      </w:r>
      <w:r w:rsidRPr="00883399">
        <w:rPr>
          <w:sz w:val="20"/>
        </w:rPr>
        <w:tab/>
        <w:t>There is no method 4 for this Part.</w:t>
      </w:r>
    </w:p>
    <w:p w14:paraId="45C1463E" w14:textId="57C805BE" w:rsidR="00872C03" w:rsidRPr="00883399" w:rsidRDefault="00872C03" w:rsidP="00872C03">
      <w:pPr>
        <w:pStyle w:val="ActHead5"/>
        <w:rPr>
          <w:sz w:val="28"/>
        </w:rPr>
      </w:pPr>
      <w:bookmarkStart w:id="1050" w:name="_Toc423517121"/>
      <w:bookmarkStart w:id="1051" w:name="_Toc495653053"/>
      <w:r w:rsidRPr="00883399">
        <w:rPr>
          <w:rStyle w:val="CharSectno"/>
          <w:sz w:val="28"/>
        </w:rPr>
        <w:t>4.99</w:t>
      </w:r>
      <w:r w:rsidRPr="00883399">
        <w:rPr>
          <w:sz w:val="28"/>
        </w:rPr>
        <w:t xml:space="preserve">  Meaning of </w:t>
      </w:r>
      <w:r w:rsidRPr="00883399">
        <w:rPr>
          <w:i/>
          <w:sz w:val="28"/>
        </w:rPr>
        <w:t>hydrofluorocarbons</w:t>
      </w:r>
      <w:bookmarkEnd w:id="1050"/>
      <w:bookmarkEnd w:id="1051"/>
    </w:p>
    <w:p w14:paraId="22B0894C" w14:textId="77777777" w:rsidR="00872C03" w:rsidRPr="00883399" w:rsidRDefault="00872C03" w:rsidP="00872C03">
      <w:pPr>
        <w:pStyle w:val="subsection"/>
        <w:rPr>
          <w:sz w:val="24"/>
        </w:rPr>
      </w:pPr>
      <w:r w:rsidRPr="00883399">
        <w:rPr>
          <w:sz w:val="24"/>
        </w:rPr>
        <w:tab/>
      </w:r>
      <w:r w:rsidRPr="00883399">
        <w:rPr>
          <w:sz w:val="24"/>
        </w:rPr>
        <w:tab/>
      </w:r>
      <w:r w:rsidRPr="00883399">
        <w:rPr>
          <w:b/>
          <w:i/>
          <w:sz w:val="24"/>
        </w:rPr>
        <w:t>Hydrofluorocarbons</w:t>
      </w:r>
      <w:r w:rsidRPr="00883399">
        <w:rPr>
          <w:sz w:val="24"/>
        </w:rPr>
        <w:t xml:space="preserve"> means any of the hydrofluorocarbons listed in the table in subsection 7A(2) of the</w:t>
      </w:r>
      <w:r w:rsidRPr="00883399">
        <w:rPr>
          <w:i/>
          <w:sz w:val="24"/>
        </w:rPr>
        <w:t xml:space="preserve"> </w:t>
      </w:r>
      <w:r w:rsidRPr="00883399">
        <w:rPr>
          <w:sz w:val="24"/>
        </w:rPr>
        <w:t>Act.</w:t>
      </w:r>
    </w:p>
    <w:p w14:paraId="698FFB1A" w14:textId="5CAEF55E" w:rsidR="00872C03" w:rsidRPr="00883399" w:rsidRDefault="00872C03" w:rsidP="00872C03">
      <w:pPr>
        <w:pStyle w:val="ActHead5"/>
        <w:rPr>
          <w:sz w:val="28"/>
        </w:rPr>
      </w:pPr>
      <w:bookmarkStart w:id="1052" w:name="_Toc423517122"/>
      <w:bookmarkStart w:id="1053" w:name="_Toc495653054"/>
      <w:r w:rsidRPr="00883399">
        <w:rPr>
          <w:rStyle w:val="CharSectno"/>
          <w:sz w:val="28"/>
        </w:rPr>
        <w:t>4.100</w:t>
      </w:r>
      <w:r w:rsidRPr="00883399">
        <w:rPr>
          <w:sz w:val="28"/>
        </w:rPr>
        <w:t xml:space="preserve">  Meaning of </w:t>
      </w:r>
      <w:r w:rsidRPr="00883399">
        <w:rPr>
          <w:i/>
          <w:sz w:val="28"/>
        </w:rPr>
        <w:t>synthetic gas generating activities</w:t>
      </w:r>
      <w:bookmarkEnd w:id="1052"/>
      <w:bookmarkEnd w:id="1053"/>
    </w:p>
    <w:p w14:paraId="53A1141F" w14:textId="77777777" w:rsidR="006E1310" w:rsidRPr="00883399" w:rsidRDefault="006E1310" w:rsidP="006E1310">
      <w:pPr>
        <w:shd w:val="clear" w:color="auto" w:fill="FFFFFF"/>
        <w:autoSpaceDE w:val="0"/>
        <w:autoSpaceDN w:val="0"/>
        <w:adjustRightInd w:val="0"/>
        <w:spacing w:before="240" w:line="312" w:lineRule="auto"/>
        <w:rPr>
          <w:rFonts w:ascii="Arial" w:hAnsi="Arial" w:cs="Arial"/>
          <w:sz w:val="22"/>
          <w:szCs w:val="22"/>
        </w:rPr>
      </w:pPr>
      <w:r w:rsidRPr="00883399">
        <w:rPr>
          <w:rFonts w:ascii="Arial" w:hAnsi="Arial" w:cs="Arial"/>
          <w:sz w:val="22"/>
          <w:szCs w:val="22"/>
        </w:rPr>
        <w:t xml:space="preserve">Only a subset of Reporters need to report estimates of emissions of hydrofluorocarbon gases.  This reflects the assessment that the benefits of reporting </w:t>
      </w:r>
      <w:r w:rsidRPr="00883399">
        <w:rPr>
          <w:rFonts w:ascii="Arial" w:hAnsi="Arial" w:cs="Arial"/>
          <w:sz w:val="22"/>
          <w:szCs w:val="22"/>
        </w:rPr>
        <w:lastRenderedPageBreak/>
        <w:t>may not exceed the costs of measurement in many instances given the large number of appliances that contain relatively small refrigerant charges, and the small share of total emissions that these emission sources would represent for many companies and facilities.</w:t>
      </w:r>
    </w:p>
    <w:p w14:paraId="658DD6E1" w14:textId="77777777" w:rsidR="006E1310" w:rsidRPr="00883399" w:rsidRDefault="006E1310" w:rsidP="006E1310">
      <w:pPr>
        <w:shd w:val="clear" w:color="auto" w:fill="FFFFFF"/>
        <w:autoSpaceDE w:val="0"/>
        <w:autoSpaceDN w:val="0"/>
        <w:adjustRightInd w:val="0"/>
        <w:spacing w:line="312" w:lineRule="auto"/>
        <w:rPr>
          <w:rFonts w:ascii="Arial" w:hAnsi="Arial" w:cs="Arial"/>
          <w:sz w:val="22"/>
          <w:szCs w:val="22"/>
        </w:rPr>
      </w:pPr>
      <w:r w:rsidRPr="00883399">
        <w:rPr>
          <w:rFonts w:ascii="Arial" w:hAnsi="Arial" w:cs="Arial"/>
          <w:sz w:val="22"/>
          <w:szCs w:val="22"/>
        </w:rPr>
        <w:t>Emissions of hydrofluorocarbon gases need only be estimated if:</w:t>
      </w:r>
    </w:p>
    <w:p w14:paraId="0D796BFB" w14:textId="77777777" w:rsidR="006E1310" w:rsidRPr="00883399" w:rsidRDefault="006E1310" w:rsidP="006E1310">
      <w:pPr>
        <w:numPr>
          <w:ilvl w:val="0"/>
          <w:numId w:val="20"/>
        </w:numPr>
        <w:shd w:val="clear" w:color="auto" w:fill="FFFFFF"/>
        <w:autoSpaceDE w:val="0"/>
        <w:autoSpaceDN w:val="0"/>
        <w:adjustRightInd w:val="0"/>
        <w:spacing w:line="312" w:lineRule="auto"/>
        <w:ind w:left="1843" w:hanging="1134"/>
        <w:rPr>
          <w:rFonts w:ascii="Arial" w:hAnsi="Arial" w:cs="Arial"/>
          <w:sz w:val="22"/>
          <w:szCs w:val="22"/>
        </w:rPr>
      </w:pPr>
      <w:r w:rsidRPr="00883399">
        <w:rPr>
          <w:rFonts w:ascii="Arial" w:hAnsi="Arial" w:cs="Arial"/>
          <w:sz w:val="22"/>
          <w:szCs w:val="22"/>
        </w:rPr>
        <w:t>hydrofluorocarbon gases are used in the equipment types specified in 4.102(4);</w:t>
      </w:r>
    </w:p>
    <w:p w14:paraId="0630216D" w14:textId="77777777" w:rsidR="006E1310" w:rsidRPr="00883399" w:rsidRDefault="006E1310" w:rsidP="006E1310">
      <w:pPr>
        <w:numPr>
          <w:ilvl w:val="0"/>
          <w:numId w:val="20"/>
        </w:numPr>
        <w:shd w:val="clear" w:color="auto" w:fill="FFFFFF"/>
        <w:autoSpaceDE w:val="0"/>
        <w:autoSpaceDN w:val="0"/>
        <w:adjustRightInd w:val="0"/>
        <w:spacing w:line="312" w:lineRule="auto"/>
        <w:ind w:left="1843" w:hanging="1134"/>
        <w:rPr>
          <w:rFonts w:ascii="Arial" w:hAnsi="Arial" w:cs="Arial"/>
          <w:sz w:val="22"/>
          <w:szCs w:val="22"/>
        </w:rPr>
      </w:pPr>
      <w:r w:rsidRPr="00883399">
        <w:rPr>
          <w:rFonts w:ascii="Arial" w:hAnsi="Arial" w:cs="Arial"/>
          <w:sz w:val="22"/>
          <w:szCs w:val="22"/>
        </w:rPr>
        <w:t>the equipment type contains a refrigerant charge of more than 100 kilograms of refrigerants for each unit;</w:t>
      </w:r>
    </w:p>
    <w:p w14:paraId="7F7F10A2" w14:textId="77777777" w:rsidR="006E1310" w:rsidRPr="00883399" w:rsidRDefault="006E1310" w:rsidP="006E1310">
      <w:pPr>
        <w:numPr>
          <w:ilvl w:val="0"/>
          <w:numId w:val="20"/>
        </w:numPr>
        <w:shd w:val="clear" w:color="auto" w:fill="FFFFFF"/>
        <w:autoSpaceDE w:val="0"/>
        <w:autoSpaceDN w:val="0"/>
        <w:adjustRightInd w:val="0"/>
        <w:spacing w:line="312" w:lineRule="auto"/>
        <w:ind w:left="1843" w:hanging="1134"/>
        <w:rPr>
          <w:rFonts w:ascii="Arial" w:hAnsi="Arial" w:cs="Arial"/>
          <w:sz w:val="22"/>
          <w:szCs w:val="22"/>
        </w:rPr>
      </w:pPr>
      <w:r w:rsidRPr="00883399">
        <w:rPr>
          <w:rFonts w:ascii="Arial" w:hAnsi="Arial" w:cs="Arial"/>
          <w:sz w:val="22"/>
          <w:szCs w:val="22"/>
        </w:rPr>
        <w:t>the refrigerants have a weighted-average Global Warming Potential of over 1000; and</w:t>
      </w:r>
    </w:p>
    <w:p w14:paraId="48AE2657" w14:textId="77777777" w:rsidR="006E1310" w:rsidRPr="00883399" w:rsidRDefault="006E1310" w:rsidP="006E1310">
      <w:pPr>
        <w:numPr>
          <w:ilvl w:val="0"/>
          <w:numId w:val="20"/>
        </w:numPr>
        <w:shd w:val="clear" w:color="auto" w:fill="FFFFFF"/>
        <w:autoSpaceDE w:val="0"/>
        <w:autoSpaceDN w:val="0"/>
        <w:adjustRightInd w:val="0"/>
        <w:spacing w:line="312" w:lineRule="auto"/>
        <w:ind w:left="1843" w:hanging="1134"/>
        <w:rPr>
          <w:rFonts w:ascii="Arial" w:hAnsi="Arial" w:cs="Arial"/>
          <w:sz w:val="22"/>
          <w:szCs w:val="22"/>
        </w:rPr>
      </w:pPr>
      <w:r w:rsidRPr="00883399">
        <w:rPr>
          <w:rFonts w:ascii="Arial" w:hAnsi="Arial" w:cs="Arial"/>
          <w:sz w:val="22"/>
          <w:szCs w:val="22"/>
        </w:rPr>
        <w:t>the equipment is operated by a facility attributable to an ANZSIC classification listed in 4.100 (1) (b).</w:t>
      </w:r>
    </w:p>
    <w:p w14:paraId="5C01AB73" w14:textId="77777777" w:rsidR="006E1310" w:rsidRPr="00883399" w:rsidRDefault="006E1310" w:rsidP="006E1310">
      <w:pPr>
        <w:shd w:val="clear" w:color="auto" w:fill="FFFFFF"/>
        <w:autoSpaceDE w:val="0"/>
        <w:autoSpaceDN w:val="0"/>
        <w:adjustRightInd w:val="0"/>
        <w:spacing w:line="312" w:lineRule="auto"/>
        <w:rPr>
          <w:rFonts w:ascii="Arial" w:hAnsi="Arial" w:cs="Arial"/>
          <w:sz w:val="22"/>
          <w:szCs w:val="22"/>
        </w:rPr>
      </w:pPr>
    </w:p>
    <w:p w14:paraId="471B3E6F" w14:textId="77777777" w:rsidR="006E1310" w:rsidRPr="00883399" w:rsidRDefault="006E1310" w:rsidP="006E1310">
      <w:pPr>
        <w:shd w:val="clear" w:color="auto" w:fill="FFFFFF"/>
        <w:autoSpaceDE w:val="0"/>
        <w:autoSpaceDN w:val="0"/>
        <w:adjustRightInd w:val="0"/>
        <w:spacing w:line="312" w:lineRule="auto"/>
        <w:rPr>
          <w:rFonts w:ascii="Arial" w:hAnsi="Arial" w:cs="Arial"/>
          <w:sz w:val="22"/>
          <w:szCs w:val="22"/>
        </w:rPr>
      </w:pPr>
      <w:r w:rsidRPr="00883399">
        <w:rPr>
          <w:rFonts w:ascii="Arial" w:hAnsi="Arial" w:cs="Arial"/>
          <w:sz w:val="22"/>
          <w:szCs w:val="22"/>
        </w:rPr>
        <w:t>All users of SF</w:t>
      </w:r>
      <w:r w:rsidRPr="00883399">
        <w:rPr>
          <w:rFonts w:ascii="Arial" w:hAnsi="Arial" w:cs="Arial"/>
          <w:sz w:val="22"/>
          <w:szCs w:val="22"/>
          <w:vertAlign w:val="subscript"/>
        </w:rPr>
        <w:t>6</w:t>
      </w:r>
      <w:r w:rsidRPr="00883399">
        <w:rPr>
          <w:rFonts w:ascii="Arial" w:hAnsi="Arial" w:cs="Arial"/>
          <w:sz w:val="22"/>
          <w:szCs w:val="22"/>
        </w:rPr>
        <w:t xml:space="preserve"> should report SF</w:t>
      </w:r>
      <w:r w:rsidRPr="00883399">
        <w:rPr>
          <w:rFonts w:ascii="Arial" w:hAnsi="Arial" w:cs="Arial"/>
          <w:sz w:val="22"/>
          <w:szCs w:val="22"/>
          <w:vertAlign w:val="subscript"/>
        </w:rPr>
        <w:t>6</w:t>
      </w:r>
      <w:r w:rsidRPr="00883399">
        <w:rPr>
          <w:rFonts w:ascii="Arial" w:hAnsi="Arial" w:cs="Arial"/>
          <w:sz w:val="22"/>
          <w:szCs w:val="22"/>
        </w:rPr>
        <w:t xml:space="preserve"> emissions.</w:t>
      </w:r>
    </w:p>
    <w:p w14:paraId="7B36F220" w14:textId="77777777" w:rsidR="006E1310" w:rsidRPr="00883399" w:rsidRDefault="006E1310" w:rsidP="006E1310">
      <w:pPr>
        <w:shd w:val="clear" w:color="auto" w:fill="FFFFFF"/>
        <w:autoSpaceDE w:val="0"/>
        <w:autoSpaceDN w:val="0"/>
        <w:adjustRightInd w:val="0"/>
        <w:spacing w:line="312" w:lineRule="auto"/>
        <w:rPr>
          <w:rFonts w:ascii="Arial" w:hAnsi="Arial" w:cs="Arial"/>
          <w:sz w:val="22"/>
          <w:szCs w:val="22"/>
        </w:rPr>
      </w:pPr>
      <w:r w:rsidRPr="00883399">
        <w:rPr>
          <w:rFonts w:ascii="Arial" w:hAnsi="Arial" w:cs="Arial"/>
          <w:sz w:val="22"/>
          <w:szCs w:val="22"/>
        </w:rPr>
        <w:t>NGER methods are designed to be consistent with the provisions relating to Australia’s international reporting obligations.  Under these obligations, the reportable gases are those specified in the IPCC second assessment report. As such, the list of gases does not include HCFC’s  which are scheduled gases to be phased out under the Montreal Protocol.</w:t>
      </w:r>
    </w:p>
    <w:p w14:paraId="05F3B29C" w14:textId="77777777" w:rsidR="006E1310" w:rsidRPr="00883399" w:rsidRDefault="006E1310" w:rsidP="006E1310">
      <w:pPr>
        <w:shd w:val="clear" w:color="auto" w:fill="FFFFFF"/>
        <w:autoSpaceDE w:val="0"/>
        <w:autoSpaceDN w:val="0"/>
        <w:adjustRightInd w:val="0"/>
        <w:spacing w:line="312" w:lineRule="auto"/>
        <w:rPr>
          <w:rFonts w:ascii="Arial" w:hAnsi="Arial" w:cs="Arial"/>
          <w:sz w:val="22"/>
          <w:szCs w:val="22"/>
        </w:rPr>
      </w:pPr>
      <w:r w:rsidRPr="00883399">
        <w:rPr>
          <w:rFonts w:ascii="Arial" w:hAnsi="Arial" w:cs="Arial"/>
          <w:sz w:val="22"/>
          <w:szCs w:val="22"/>
        </w:rPr>
        <w:t>The use of refrigerant blends is common in applications covered under NGERS.  The table below lists a range of common blends and the constituents of each blend.</w:t>
      </w:r>
    </w:p>
    <w:p w14:paraId="7117BD3F" w14:textId="77777777" w:rsidR="006E1310" w:rsidRPr="00883399" w:rsidRDefault="006E1310" w:rsidP="006E1310">
      <w:pPr>
        <w:shd w:val="clear" w:color="auto" w:fill="FFFFFF"/>
        <w:autoSpaceDE w:val="0"/>
        <w:autoSpaceDN w:val="0"/>
        <w:adjustRightInd w:val="0"/>
        <w:spacing w:line="312" w:lineRule="auto"/>
        <w:rPr>
          <w:rFonts w:ascii="Arial" w:hAnsi="Arial" w:cs="Arial"/>
          <w:sz w:val="22"/>
          <w:szCs w:val="22"/>
        </w:rPr>
      </w:pPr>
      <w:r w:rsidRPr="00883399">
        <w:rPr>
          <w:rFonts w:ascii="Arial" w:hAnsi="Arial" w:cs="Arial"/>
          <w:sz w:val="22"/>
          <w:szCs w:val="22"/>
        </w:rPr>
        <w:t>Summary of common refrigerant blends and their ingredients</w:t>
      </w:r>
    </w:p>
    <w:p w14:paraId="36C40B08" w14:textId="77777777" w:rsidR="006E1310" w:rsidRPr="00883399" w:rsidRDefault="006E1310" w:rsidP="006E1310">
      <w:pPr>
        <w:shd w:val="clear" w:color="auto" w:fill="FFFFFF"/>
        <w:autoSpaceDE w:val="0"/>
        <w:autoSpaceDN w:val="0"/>
        <w:adjustRightInd w:val="0"/>
        <w:spacing w:line="312" w:lineRule="auto"/>
        <w:rPr>
          <w:rFonts w:ascii="Arial" w:hAnsi="Arial" w:cs="Arial"/>
          <w:b/>
          <w:sz w:val="22"/>
          <w:szCs w:val="22"/>
        </w:rPr>
      </w:pPr>
    </w:p>
    <w:tbl>
      <w:tblPr>
        <w:tblW w:w="0" w:type="auto"/>
        <w:tblBorders>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1131"/>
        <w:gridCol w:w="1273"/>
        <w:gridCol w:w="1272"/>
        <w:gridCol w:w="1131"/>
        <w:gridCol w:w="1979"/>
      </w:tblGrid>
      <w:tr w:rsidR="006E1310" w:rsidRPr="00883399" w14:paraId="76FA9112" w14:textId="77777777" w:rsidTr="0031057E">
        <w:trPr>
          <w:trHeight w:val="315"/>
        </w:trPr>
        <w:tc>
          <w:tcPr>
            <w:tcW w:w="1526" w:type="dxa"/>
            <w:noWrap/>
            <w:hideMark/>
          </w:tcPr>
          <w:p w14:paraId="19E7F02D"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b/>
                <w:bCs/>
                <w:sz w:val="22"/>
                <w:szCs w:val="22"/>
              </w:rPr>
            </w:pPr>
          </w:p>
        </w:tc>
        <w:tc>
          <w:tcPr>
            <w:tcW w:w="6804" w:type="dxa"/>
            <w:gridSpan w:val="5"/>
            <w:noWrap/>
            <w:hideMark/>
          </w:tcPr>
          <w:p w14:paraId="71F59FA6"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b/>
                <w:sz w:val="22"/>
                <w:szCs w:val="22"/>
              </w:rPr>
            </w:pPr>
            <w:r w:rsidRPr="00883399">
              <w:rPr>
                <w:rFonts w:ascii="Arial" w:hAnsi="Arial" w:cs="Arial"/>
                <w:b/>
                <w:sz w:val="22"/>
                <w:szCs w:val="22"/>
              </w:rPr>
              <w:t>Gas</w:t>
            </w:r>
          </w:p>
        </w:tc>
      </w:tr>
      <w:tr w:rsidR="006E1310" w:rsidRPr="00883399" w14:paraId="2A5F8D0D" w14:textId="77777777" w:rsidTr="0031057E">
        <w:trPr>
          <w:trHeight w:val="315"/>
        </w:trPr>
        <w:tc>
          <w:tcPr>
            <w:tcW w:w="1526" w:type="dxa"/>
            <w:noWrap/>
            <w:hideMark/>
          </w:tcPr>
          <w:p w14:paraId="059C63CB"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b/>
                <w:bCs/>
                <w:sz w:val="22"/>
                <w:szCs w:val="22"/>
              </w:rPr>
            </w:pPr>
            <w:r w:rsidRPr="00883399">
              <w:rPr>
                <w:rFonts w:ascii="Arial" w:hAnsi="Arial" w:cs="Arial"/>
                <w:b/>
                <w:bCs/>
                <w:sz w:val="22"/>
                <w:szCs w:val="22"/>
              </w:rPr>
              <w:t>Blend</w:t>
            </w:r>
          </w:p>
        </w:tc>
        <w:tc>
          <w:tcPr>
            <w:tcW w:w="1134" w:type="dxa"/>
            <w:noWrap/>
            <w:hideMark/>
          </w:tcPr>
          <w:p w14:paraId="5BAD06C9"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b/>
                <w:sz w:val="22"/>
                <w:szCs w:val="22"/>
              </w:rPr>
            </w:pPr>
            <w:r w:rsidRPr="00883399">
              <w:rPr>
                <w:rFonts w:ascii="Arial" w:hAnsi="Arial" w:cs="Arial"/>
                <w:b/>
                <w:sz w:val="22"/>
                <w:szCs w:val="22"/>
              </w:rPr>
              <w:t>HFC125</w:t>
            </w:r>
          </w:p>
        </w:tc>
        <w:tc>
          <w:tcPr>
            <w:tcW w:w="1276" w:type="dxa"/>
            <w:noWrap/>
            <w:hideMark/>
          </w:tcPr>
          <w:p w14:paraId="17EA3506"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b/>
                <w:sz w:val="22"/>
                <w:szCs w:val="22"/>
              </w:rPr>
            </w:pPr>
            <w:r w:rsidRPr="00883399">
              <w:rPr>
                <w:rFonts w:ascii="Arial" w:hAnsi="Arial" w:cs="Arial"/>
                <w:b/>
                <w:sz w:val="22"/>
                <w:szCs w:val="22"/>
              </w:rPr>
              <w:t>HFC134a</w:t>
            </w:r>
          </w:p>
        </w:tc>
        <w:tc>
          <w:tcPr>
            <w:tcW w:w="1275" w:type="dxa"/>
            <w:noWrap/>
            <w:hideMark/>
          </w:tcPr>
          <w:p w14:paraId="0F00DF28"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b/>
                <w:sz w:val="22"/>
                <w:szCs w:val="22"/>
              </w:rPr>
            </w:pPr>
            <w:r w:rsidRPr="00883399">
              <w:rPr>
                <w:rFonts w:ascii="Arial" w:hAnsi="Arial" w:cs="Arial"/>
                <w:b/>
                <w:sz w:val="22"/>
                <w:szCs w:val="22"/>
              </w:rPr>
              <w:t>HFC143a</w:t>
            </w:r>
          </w:p>
        </w:tc>
        <w:tc>
          <w:tcPr>
            <w:tcW w:w="1134" w:type="dxa"/>
            <w:noWrap/>
            <w:hideMark/>
          </w:tcPr>
          <w:p w14:paraId="2F7DA8F2"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b/>
                <w:sz w:val="22"/>
                <w:szCs w:val="22"/>
              </w:rPr>
            </w:pPr>
            <w:r w:rsidRPr="00883399">
              <w:rPr>
                <w:rFonts w:ascii="Arial" w:hAnsi="Arial" w:cs="Arial"/>
                <w:b/>
                <w:sz w:val="22"/>
                <w:szCs w:val="22"/>
              </w:rPr>
              <w:t>HFC 32</w:t>
            </w:r>
          </w:p>
        </w:tc>
        <w:tc>
          <w:tcPr>
            <w:tcW w:w="1985" w:type="dxa"/>
            <w:noWrap/>
            <w:hideMark/>
          </w:tcPr>
          <w:p w14:paraId="02C71439"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b/>
                <w:sz w:val="22"/>
                <w:szCs w:val="22"/>
              </w:rPr>
            </w:pPr>
            <w:r w:rsidRPr="00883399">
              <w:rPr>
                <w:rFonts w:ascii="Arial" w:hAnsi="Arial" w:cs="Arial"/>
                <w:b/>
                <w:sz w:val="22"/>
                <w:szCs w:val="22"/>
              </w:rPr>
              <w:t>Other (non HFC)</w:t>
            </w:r>
          </w:p>
        </w:tc>
      </w:tr>
      <w:tr w:rsidR="006E1310" w:rsidRPr="00883399" w14:paraId="41F58A64" w14:textId="77777777" w:rsidTr="0031057E">
        <w:trPr>
          <w:trHeight w:val="315"/>
        </w:trPr>
        <w:tc>
          <w:tcPr>
            <w:tcW w:w="1526" w:type="dxa"/>
            <w:noWrap/>
            <w:hideMark/>
          </w:tcPr>
          <w:p w14:paraId="2EB2E3FF" w14:textId="77777777" w:rsidR="006E1310" w:rsidRPr="00883399" w:rsidRDefault="006E1310" w:rsidP="0031057E">
            <w:pPr>
              <w:shd w:val="clear" w:color="auto" w:fill="FFFFFF"/>
              <w:autoSpaceDE w:val="0"/>
              <w:autoSpaceDN w:val="0"/>
              <w:adjustRightInd w:val="0"/>
              <w:spacing w:line="312" w:lineRule="auto"/>
              <w:jc w:val="both"/>
              <w:rPr>
                <w:rFonts w:ascii="Arial" w:hAnsi="Arial" w:cs="Arial"/>
                <w:sz w:val="22"/>
                <w:szCs w:val="22"/>
              </w:rPr>
            </w:pPr>
            <w:r w:rsidRPr="00883399">
              <w:rPr>
                <w:rFonts w:ascii="Arial" w:hAnsi="Arial" w:cs="Arial"/>
                <w:sz w:val="22"/>
                <w:szCs w:val="22"/>
              </w:rPr>
              <w:t>HFC-404A</w:t>
            </w:r>
          </w:p>
        </w:tc>
        <w:tc>
          <w:tcPr>
            <w:tcW w:w="1134" w:type="dxa"/>
            <w:noWrap/>
            <w:hideMark/>
          </w:tcPr>
          <w:p w14:paraId="1FE187ED"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r w:rsidRPr="00883399">
              <w:rPr>
                <w:rFonts w:ascii="Arial" w:hAnsi="Arial" w:cs="Arial"/>
                <w:sz w:val="22"/>
                <w:szCs w:val="22"/>
              </w:rPr>
              <w:t>44%</w:t>
            </w:r>
          </w:p>
        </w:tc>
        <w:tc>
          <w:tcPr>
            <w:tcW w:w="1276" w:type="dxa"/>
            <w:noWrap/>
            <w:hideMark/>
          </w:tcPr>
          <w:p w14:paraId="2A286438"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r w:rsidRPr="00883399">
              <w:rPr>
                <w:rFonts w:ascii="Arial" w:hAnsi="Arial" w:cs="Arial"/>
                <w:sz w:val="22"/>
                <w:szCs w:val="22"/>
              </w:rPr>
              <w:t>52%</w:t>
            </w:r>
          </w:p>
        </w:tc>
        <w:tc>
          <w:tcPr>
            <w:tcW w:w="1275" w:type="dxa"/>
            <w:noWrap/>
            <w:hideMark/>
          </w:tcPr>
          <w:p w14:paraId="6A997901"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r w:rsidRPr="00883399">
              <w:rPr>
                <w:rFonts w:ascii="Arial" w:hAnsi="Arial" w:cs="Arial"/>
                <w:sz w:val="22"/>
                <w:szCs w:val="22"/>
              </w:rPr>
              <w:t>4%</w:t>
            </w:r>
          </w:p>
        </w:tc>
        <w:tc>
          <w:tcPr>
            <w:tcW w:w="1134" w:type="dxa"/>
            <w:noWrap/>
            <w:hideMark/>
          </w:tcPr>
          <w:p w14:paraId="1CC41234"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p>
        </w:tc>
        <w:tc>
          <w:tcPr>
            <w:tcW w:w="1985" w:type="dxa"/>
            <w:noWrap/>
            <w:hideMark/>
          </w:tcPr>
          <w:p w14:paraId="28FB0B84"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p>
        </w:tc>
      </w:tr>
      <w:tr w:rsidR="006E1310" w:rsidRPr="00883399" w14:paraId="4CE60B0D" w14:textId="77777777" w:rsidTr="0031057E">
        <w:trPr>
          <w:trHeight w:val="315"/>
        </w:trPr>
        <w:tc>
          <w:tcPr>
            <w:tcW w:w="1526" w:type="dxa"/>
            <w:noWrap/>
            <w:hideMark/>
          </w:tcPr>
          <w:p w14:paraId="03CAE417" w14:textId="77777777" w:rsidR="006E1310" w:rsidRPr="00883399" w:rsidRDefault="006E1310" w:rsidP="0031057E">
            <w:pPr>
              <w:shd w:val="clear" w:color="auto" w:fill="FFFFFF"/>
              <w:autoSpaceDE w:val="0"/>
              <w:autoSpaceDN w:val="0"/>
              <w:adjustRightInd w:val="0"/>
              <w:spacing w:line="312" w:lineRule="auto"/>
              <w:jc w:val="both"/>
              <w:rPr>
                <w:rFonts w:ascii="Arial" w:hAnsi="Arial" w:cs="Arial"/>
                <w:sz w:val="22"/>
                <w:szCs w:val="22"/>
              </w:rPr>
            </w:pPr>
            <w:r w:rsidRPr="00883399">
              <w:rPr>
                <w:rFonts w:ascii="Arial" w:hAnsi="Arial" w:cs="Arial"/>
                <w:sz w:val="22"/>
                <w:szCs w:val="22"/>
              </w:rPr>
              <w:t>HFC-407A</w:t>
            </w:r>
          </w:p>
        </w:tc>
        <w:tc>
          <w:tcPr>
            <w:tcW w:w="1134" w:type="dxa"/>
            <w:noWrap/>
            <w:hideMark/>
          </w:tcPr>
          <w:p w14:paraId="199CFDF4"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r w:rsidRPr="00883399">
              <w:rPr>
                <w:rFonts w:ascii="Arial" w:hAnsi="Arial" w:cs="Arial"/>
                <w:sz w:val="22"/>
                <w:szCs w:val="22"/>
              </w:rPr>
              <w:t>40%</w:t>
            </w:r>
          </w:p>
        </w:tc>
        <w:tc>
          <w:tcPr>
            <w:tcW w:w="1276" w:type="dxa"/>
            <w:noWrap/>
            <w:hideMark/>
          </w:tcPr>
          <w:p w14:paraId="36C74AF0"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r w:rsidRPr="00883399">
              <w:rPr>
                <w:rFonts w:ascii="Arial" w:hAnsi="Arial" w:cs="Arial"/>
                <w:sz w:val="22"/>
                <w:szCs w:val="22"/>
              </w:rPr>
              <w:t>40%</w:t>
            </w:r>
          </w:p>
        </w:tc>
        <w:tc>
          <w:tcPr>
            <w:tcW w:w="1275" w:type="dxa"/>
            <w:noWrap/>
            <w:hideMark/>
          </w:tcPr>
          <w:p w14:paraId="1692B61A"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p>
        </w:tc>
        <w:tc>
          <w:tcPr>
            <w:tcW w:w="1134" w:type="dxa"/>
            <w:noWrap/>
            <w:hideMark/>
          </w:tcPr>
          <w:p w14:paraId="1560BFEA"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r w:rsidRPr="00883399">
              <w:rPr>
                <w:rFonts w:ascii="Arial" w:hAnsi="Arial" w:cs="Arial"/>
                <w:sz w:val="22"/>
                <w:szCs w:val="22"/>
              </w:rPr>
              <w:t>20%</w:t>
            </w:r>
          </w:p>
        </w:tc>
        <w:tc>
          <w:tcPr>
            <w:tcW w:w="1985" w:type="dxa"/>
            <w:noWrap/>
            <w:hideMark/>
          </w:tcPr>
          <w:p w14:paraId="3BAF3DE3"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p>
        </w:tc>
      </w:tr>
      <w:tr w:rsidR="006E1310" w:rsidRPr="00883399" w14:paraId="731F9EF5" w14:textId="77777777" w:rsidTr="0031057E">
        <w:trPr>
          <w:trHeight w:val="315"/>
        </w:trPr>
        <w:tc>
          <w:tcPr>
            <w:tcW w:w="1526" w:type="dxa"/>
            <w:noWrap/>
            <w:hideMark/>
          </w:tcPr>
          <w:p w14:paraId="3042C68B" w14:textId="77777777" w:rsidR="006E1310" w:rsidRPr="00883399" w:rsidRDefault="006E1310" w:rsidP="0031057E">
            <w:pPr>
              <w:shd w:val="clear" w:color="auto" w:fill="FFFFFF"/>
              <w:autoSpaceDE w:val="0"/>
              <w:autoSpaceDN w:val="0"/>
              <w:adjustRightInd w:val="0"/>
              <w:spacing w:line="312" w:lineRule="auto"/>
              <w:jc w:val="both"/>
              <w:rPr>
                <w:rFonts w:ascii="Arial" w:hAnsi="Arial" w:cs="Arial"/>
                <w:sz w:val="22"/>
                <w:szCs w:val="22"/>
              </w:rPr>
            </w:pPr>
            <w:r w:rsidRPr="00883399">
              <w:rPr>
                <w:rFonts w:ascii="Arial" w:hAnsi="Arial" w:cs="Arial"/>
                <w:sz w:val="22"/>
                <w:szCs w:val="22"/>
              </w:rPr>
              <w:t>HFC-407C</w:t>
            </w:r>
          </w:p>
        </w:tc>
        <w:tc>
          <w:tcPr>
            <w:tcW w:w="1134" w:type="dxa"/>
            <w:noWrap/>
            <w:hideMark/>
          </w:tcPr>
          <w:p w14:paraId="0CC78DA7"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r w:rsidRPr="00883399">
              <w:rPr>
                <w:rFonts w:ascii="Arial" w:hAnsi="Arial" w:cs="Arial"/>
                <w:sz w:val="22"/>
                <w:szCs w:val="22"/>
              </w:rPr>
              <w:t>25%</w:t>
            </w:r>
          </w:p>
        </w:tc>
        <w:tc>
          <w:tcPr>
            <w:tcW w:w="1276" w:type="dxa"/>
            <w:noWrap/>
            <w:hideMark/>
          </w:tcPr>
          <w:p w14:paraId="5E91FA43"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r w:rsidRPr="00883399">
              <w:rPr>
                <w:rFonts w:ascii="Arial" w:hAnsi="Arial" w:cs="Arial"/>
                <w:sz w:val="22"/>
                <w:szCs w:val="22"/>
              </w:rPr>
              <w:t>52%</w:t>
            </w:r>
          </w:p>
        </w:tc>
        <w:tc>
          <w:tcPr>
            <w:tcW w:w="1275" w:type="dxa"/>
            <w:noWrap/>
            <w:hideMark/>
          </w:tcPr>
          <w:p w14:paraId="213AB7D4"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p>
        </w:tc>
        <w:tc>
          <w:tcPr>
            <w:tcW w:w="1134" w:type="dxa"/>
            <w:noWrap/>
            <w:hideMark/>
          </w:tcPr>
          <w:p w14:paraId="64AB1189"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p>
        </w:tc>
        <w:tc>
          <w:tcPr>
            <w:tcW w:w="1985" w:type="dxa"/>
            <w:noWrap/>
            <w:hideMark/>
          </w:tcPr>
          <w:p w14:paraId="11CCA697"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r w:rsidRPr="00883399">
              <w:rPr>
                <w:rFonts w:ascii="Arial" w:hAnsi="Arial" w:cs="Arial"/>
                <w:sz w:val="22"/>
                <w:szCs w:val="22"/>
              </w:rPr>
              <w:t>23%</w:t>
            </w:r>
          </w:p>
        </w:tc>
      </w:tr>
      <w:tr w:rsidR="006E1310" w:rsidRPr="00883399" w14:paraId="6EED21E6" w14:textId="77777777" w:rsidTr="0031057E">
        <w:trPr>
          <w:trHeight w:val="315"/>
        </w:trPr>
        <w:tc>
          <w:tcPr>
            <w:tcW w:w="1526" w:type="dxa"/>
            <w:noWrap/>
            <w:hideMark/>
          </w:tcPr>
          <w:p w14:paraId="1F220E5F" w14:textId="77777777" w:rsidR="006E1310" w:rsidRPr="00883399" w:rsidRDefault="006E1310" w:rsidP="0031057E">
            <w:pPr>
              <w:shd w:val="clear" w:color="auto" w:fill="FFFFFF"/>
              <w:autoSpaceDE w:val="0"/>
              <w:autoSpaceDN w:val="0"/>
              <w:adjustRightInd w:val="0"/>
              <w:spacing w:line="312" w:lineRule="auto"/>
              <w:jc w:val="both"/>
              <w:rPr>
                <w:rFonts w:ascii="Arial" w:hAnsi="Arial" w:cs="Arial"/>
                <w:sz w:val="22"/>
                <w:szCs w:val="22"/>
              </w:rPr>
            </w:pPr>
            <w:r w:rsidRPr="00883399">
              <w:rPr>
                <w:rFonts w:ascii="Arial" w:hAnsi="Arial" w:cs="Arial"/>
                <w:sz w:val="22"/>
                <w:szCs w:val="22"/>
              </w:rPr>
              <w:t>HFC-410A</w:t>
            </w:r>
          </w:p>
        </w:tc>
        <w:tc>
          <w:tcPr>
            <w:tcW w:w="1134" w:type="dxa"/>
            <w:noWrap/>
            <w:hideMark/>
          </w:tcPr>
          <w:p w14:paraId="788E259B"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r w:rsidRPr="00883399">
              <w:rPr>
                <w:rFonts w:ascii="Arial" w:hAnsi="Arial" w:cs="Arial"/>
                <w:sz w:val="22"/>
                <w:szCs w:val="22"/>
              </w:rPr>
              <w:t>50%</w:t>
            </w:r>
          </w:p>
        </w:tc>
        <w:tc>
          <w:tcPr>
            <w:tcW w:w="1276" w:type="dxa"/>
            <w:noWrap/>
            <w:hideMark/>
          </w:tcPr>
          <w:p w14:paraId="00459603"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p>
        </w:tc>
        <w:tc>
          <w:tcPr>
            <w:tcW w:w="1275" w:type="dxa"/>
            <w:noWrap/>
            <w:hideMark/>
          </w:tcPr>
          <w:p w14:paraId="08989762"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p>
        </w:tc>
        <w:tc>
          <w:tcPr>
            <w:tcW w:w="1134" w:type="dxa"/>
            <w:noWrap/>
            <w:hideMark/>
          </w:tcPr>
          <w:p w14:paraId="60F4371C"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p>
        </w:tc>
        <w:tc>
          <w:tcPr>
            <w:tcW w:w="1985" w:type="dxa"/>
            <w:noWrap/>
            <w:hideMark/>
          </w:tcPr>
          <w:p w14:paraId="13F31158"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r w:rsidRPr="00883399">
              <w:rPr>
                <w:rFonts w:ascii="Arial" w:hAnsi="Arial" w:cs="Arial"/>
                <w:sz w:val="22"/>
                <w:szCs w:val="22"/>
              </w:rPr>
              <w:t>50%</w:t>
            </w:r>
          </w:p>
        </w:tc>
      </w:tr>
      <w:tr w:rsidR="006E1310" w:rsidRPr="00883399" w14:paraId="30205AC0" w14:textId="77777777" w:rsidTr="0031057E">
        <w:trPr>
          <w:trHeight w:val="315"/>
        </w:trPr>
        <w:tc>
          <w:tcPr>
            <w:tcW w:w="1526" w:type="dxa"/>
            <w:noWrap/>
            <w:hideMark/>
          </w:tcPr>
          <w:p w14:paraId="1A3A78F5" w14:textId="77777777" w:rsidR="006E1310" w:rsidRPr="00883399" w:rsidRDefault="006E1310" w:rsidP="0031057E">
            <w:pPr>
              <w:shd w:val="clear" w:color="auto" w:fill="FFFFFF"/>
              <w:autoSpaceDE w:val="0"/>
              <w:autoSpaceDN w:val="0"/>
              <w:adjustRightInd w:val="0"/>
              <w:spacing w:line="312" w:lineRule="auto"/>
              <w:jc w:val="both"/>
              <w:rPr>
                <w:rFonts w:ascii="Arial" w:hAnsi="Arial" w:cs="Arial"/>
                <w:sz w:val="22"/>
                <w:szCs w:val="22"/>
              </w:rPr>
            </w:pPr>
            <w:r w:rsidRPr="00883399">
              <w:rPr>
                <w:rFonts w:ascii="Arial" w:hAnsi="Arial" w:cs="Arial"/>
                <w:sz w:val="22"/>
                <w:szCs w:val="22"/>
              </w:rPr>
              <w:lastRenderedPageBreak/>
              <w:t>HFC-413A</w:t>
            </w:r>
          </w:p>
        </w:tc>
        <w:tc>
          <w:tcPr>
            <w:tcW w:w="1134" w:type="dxa"/>
            <w:noWrap/>
            <w:hideMark/>
          </w:tcPr>
          <w:p w14:paraId="503F00FB"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p>
        </w:tc>
        <w:tc>
          <w:tcPr>
            <w:tcW w:w="1276" w:type="dxa"/>
            <w:noWrap/>
            <w:hideMark/>
          </w:tcPr>
          <w:p w14:paraId="1C157CF2"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r w:rsidRPr="00883399">
              <w:rPr>
                <w:rFonts w:ascii="Arial" w:hAnsi="Arial" w:cs="Arial"/>
                <w:sz w:val="22"/>
                <w:szCs w:val="22"/>
              </w:rPr>
              <w:t>88%</w:t>
            </w:r>
          </w:p>
        </w:tc>
        <w:tc>
          <w:tcPr>
            <w:tcW w:w="1275" w:type="dxa"/>
            <w:noWrap/>
            <w:hideMark/>
          </w:tcPr>
          <w:p w14:paraId="7F6708A2"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p>
        </w:tc>
        <w:tc>
          <w:tcPr>
            <w:tcW w:w="1134" w:type="dxa"/>
            <w:noWrap/>
            <w:hideMark/>
          </w:tcPr>
          <w:p w14:paraId="2EC31BF3"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p>
        </w:tc>
        <w:tc>
          <w:tcPr>
            <w:tcW w:w="1985" w:type="dxa"/>
            <w:noWrap/>
            <w:hideMark/>
          </w:tcPr>
          <w:p w14:paraId="0E13FEBD"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r w:rsidRPr="00883399">
              <w:rPr>
                <w:rFonts w:ascii="Arial" w:hAnsi="Arial" w:cs="Arial"/>
                <w:sz w:val="22"/>
                <w:szCs w:val="22"/>
              </w:rPr>
              <w:t>12%</w:t>
            </w:r>
          </w:p>
        </w:tc>
      </w:tr>
      <w:tr w:rsidR="006E1310" w:rsidRPr="00883399" w14:paraId="20D24190" w14:textId="77777777" w:rsidTr="0031057E">
        <w:trPr>
          <w:trHeight w:val="315"/>
        </w:trPr>
        <w:tc>
          <w:tcPr>
            <w:tcW w:w="1526" w:type="dxa"/>
            <w:noWrap/>
            <w:hideMark/>
          </w:tcPr>
          <w:p w14:paraId="6446332B" w14:textId="77777777" w:rsidR="006E1310" w:rsidRPr="00883399" w:rsidRDefault="006E1310" w:rsidP="0031057E">
            <w:pPr>
              <w:shd w:val="clear" w:color="auto" w:fill="FFFFFF"/>
              <w:autoSpaceDE w:val="0"/>
              <w:autoSpaceDN w:val="0"/>
              <w:adjustRightInd w:val="0"/>
              <w:spacing w:line="312" w:lineRule="auto"/>
              <w:jc w:val="both"/>
              <w:rPr>
                <w:rFonts w:ascii="Arial" w:hAnsi="Arial" w:cs="Arial"/>
                <w:sz w:val="22"/>
                <w:szCs w:val="22"/>
              </w:rPr>
            </w:pPr>
            <w:r w:rsidRPr="00883399">
              <w:rPr>
                <w:rFonts w:ascii="Arial" w:hAnsi="Arial" w:cs="Arial"/>
                <w:sz w:val="22"/>
                <w:szCs w:val="22"/>
              </w:rPr>
              <w:t>HFC-417A</w:t>
            </w:r>
          </w:p>
        </w:tc>
        <w:tc>
          <w:tcPr>
            <w:tcW w:w="1134" w:type="dxa"/>
            <w:noWrap/>
            <w:hideMark/>
          </w:tcPr>
          <w:p w14:paraId="7425D408"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r w:rsidRPr="00883399">
              <w:rPr>
                <w:rFonts w:ascii="Arial" w:hAnsi="Arial" w:cs="Arial"/>
                <w:sz w:val="22"/>
                <w:szCs w:val="22"/>
              </w:rPr>
              <w:t>47%</w:t>
            </w:r>
          </w:p>
        </w:tc>
        <w:tc>
          <w:tcPr>
            <w:tcW w:w="1276" w:type="dxa"/>
            <w:noWrap/>
            <w:hideMark/>
          </w:tcPr>
          <w:p w14:paraId="6A4427D2"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r w:rsidRPr="00883399">
              <w:rPr>
                <w:rFonts w:ascii="Arial" w:hAnsi="Arial" w:cs="Arial"/>
                <w:sz w:val="22"/>
                <w:szCs w:val="22"/>
              </w:rPr>
              <w:t>50%</w:t>
            </w:r>
          </w:p>
        </w:tc>
        <w:tc>
          <w:tcPr>
            <w:tcW w:w="1275" w:type="dxa"/>
            <w:noWrap/>
            <w:hideMark/>
          </w:tcPr>
          <w:p w14:paraId="53B8994D"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p>
        </w:tc>
        <w:tc>
          <w:tcPr>
            <w:tcW w:w="1134" w:type="dxa"/>
            <w:noWrap/>
            <w:hideMark/>
          </w:tcPr>
          <w:p w14:paraId="6BDDFC08"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p>
        </w:tc>
        <w:tc>
          <w:tcPr>
            <w:tcW w:w="1985" w:type="dxa"/>
            <w:noWrap/>
            <w:hideMark/>
          </w:tcPr>
          <w:p w14:paraId="3E1AAFAC"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r w:rsidRPr="00883399">
              <w:rPr>
                <w:rFonts w:ascii="Arial" w:hAnsi="Arial" w:cs="Arial"/>
                <w:sz w:val="22"/>
                <w:szCs w:val="22"/>
              </w:rPr>
              <w:t>3%</w:t>
            </w:r>
          </w:p>
        </w:tc>
      </w:tr>
      <w:tr w:rsidR="006E1310" w:rsidRPr="00883399" w14:paraId="1327579B" w14:textId="77777777" w:rsidTr="0031057E">
        <w:trPr>
          <w:trHeight w:val="315"/>
        </w:trPr>
        <w:tc>
          <w:tcPr>
            <w:tcW w:w="1526" w:type="dxa"/>
            <w:noWrap/>
            <w:hideMark/>
          </w:tcPr>
          <w:p w14:paraId="3D29F041" w14:textId="77777777" w:rsidR="006E1310" w:rsidRPr="00883399" w:rsidRDefault="006E1310" w:rsidP="0031057E">
            <w:pPr>
              <w:shd w:val="clear" w:color="auto" w:fill="FFFFFF"/>
              <w:autoSpaceDE w:val="0"/>
              <w:autoSpaceDN w:val="0"/>
              <w:adjustRightInd w:val="0"/>
              <w:spacing w:line="312" w:lineRule="auto"/>
              <w:jc w:val="both"/>
              <w:rPr>
                <w:rFonts w:ascii="Arial" w:hAnsi="Arial" w:cs="Arial"/>
                <w:sz w:val="22"/>
                <w:szCs w:val="22"/>
              </w:rPr>
            </w:pPr>
            <w:r w:rsidRPr="00883399">
              <w:rPr>
                <w:rFonts w:ascii="Arial" w:hAnsi="Arial" w:cs="Arial"/>
                <w:sz w:val="22"/>
                <w:szCs w:val="22"/>
              </w:rPr>
              <w:t>HFC-507A</w:t>
            </w:r>
          </w:p>
        </w:tc>
        <w:tc>
          <w:tcPr>
            <w:tcW w:w="1134" w:type="dxa"/>
            <w:noWrap/>
            <w:hideMark/>
          </w:tcPr>
          <w:p w14:paraId="0CF2B745"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r w:rsidRPr="00883399">
              <w:rPr>
                <w:rFonts w:ascii="Arial" w:hAnsi="Arial" w:cs="Arial"/>
                <w:sz w:val="22"/>
                <w:szCs w:val="22"/>
              </w:rPr>
              <w:t>50%</w:t>
            </w:r>
          </w:p>
        </w:tc>
        <w:tc>
          <w:tcPr>
            <w:tcW w:w="1276" w:type="dxa"/>
            <w:noWrap/>
            <w:hideMark/>
          </w:tcPr>
          <w:p w14:paraId="566D9ABF"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p>
        </w:tc>
        <w:tc>
          <w:tcPr>
            <w:tcW w:w="1275" w:type="dxa"/>
            <w:noWrap/>
            <w:hideMark/>
          </w:tcPr>
          <w:p w14:paraId="45D67292"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r w:rsidRPr="00883399">
              <w:rPr>
                <w:rFonts w:ascii="Arial" w:hAnsi="Arial" w:cs="Arial"/>
                <w:sz w:val="22"/>
                <w:szCs w:val="22"/>
              </w:rPr>
              <w:t>50%</w:t>
            </w:r>
          </w:p>
        </w:tc>
        <w:tc>
          <w:tcPr>
            <w:tcW w:w="1134" w:type="dxa"/>
            <w:noWrap/>
            <w:hideMark/>
          </w:tcPr>
          <w:p w14:paraId="4EF61511"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p>
        </w:tc>
        <w:tc>
          <w:tcPr>
            <w:tcW w:w="1985" w:type="dxa"/>
            <w:noWrap/>
            <w:hideMark/>
          </w:tcPr>
          <w:p w14:paraId="519318B2"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p>
        </w:tc>
      </w:tr>
      <w:tr w:rsidR="006E1310" w:rsidRPr="00883399" w14:paraId="2B75663B" w14:textId="77777777" w:rsidTr="0031057E">
        <w:trPr>
          <w:trHeight w:val="315"/>
        </w:trPr>
        <w:tc>
          <w:tcPr>
            <w:tcW w:w="1526" w:type="dxa"/>
            <w:noWrap/>
            <w:hideMark/>
          </w:tcPr>
          <w:p w14:paraId="6758A135" w14:textId="77777777" w:rsidR="006E1310" w:rsidRPr="00883399" w:rsidRDefault="006E1310" w:rsidP="0031057E">
            <w:pPr>
              <w:shd w:val="clear" w:color="auto" w:fill="FFFFFF"/>
              <w:autoSpaceDE w:val="0"/>
              <w:autoSpaceDN w:val="0"/>
              <w:adjustRightInd w:val="0"/>
              <w:spacing w:line="312" w:lineRule="auto"/>
              <w:jc w:val="both"/>
              <w:rPr>
                <w:rFonts w:ascii="Arial" w:hAnsi="Arial" w:cs="Arial"/>
                <w:sz w:val="22"/>
                <w:szCs w:val="22"/>
              </w:rPr>
            </w:pPr>
            <w:r w:rsidRPr="00883399">
              <w:rPr>
                <w:rFonts w:ascii="Arial" w:hAnsi="Arial" w:cs="Arial"/>
                <w:sz w:val="22"/>
                <w:szCs w:val="22"/>
              </w:rPr>
              <w:t>HFC-407B</w:t>
            </w:r>
          </w:p>
        </w:tc>
        <w:tc>
          <w:tcPr>
            <w:tcW w:w="1134" w:type="dxa"/>
            <w:noWrap/>
            <w:hideMark/>
          </w:tcPr>
          <w:p w14:paraId="4E2D6E88"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r w:rsidRPr="00883399">
              <w:rPr>
                <w:rFonts w:ascii="Arial" w:hAnsi="Arial" w:cs="Arial"/>
                <w:sz w:val="22"/>
                <w:szCs w:val="22"/>
              </w:rPr>
              <w:t>40%</w:t>
            </w:r>
          </w:p>
        </w:tc>
        <w:tc>
          <w:tcPr>
            <w:tcW w:w="1276" w:type="dxa"/>
            <w:noWrap/>
            <w:hideMark/>
          </w:tcPr>
          <w:p w14:paraId="3FF6300C"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r w:rsidRPr="00883399">
              <w:rPr>
                <w:rFonts w:ascii="Arial" w:hAnsi="Arial" w:cs="Arial"/>
                <w:sz w:val="22"/>
                <w:szCs w:val="22"/>
              </w:rPr>
              <w:t>40%</w:t>
            </w:r>
          </w:p>
        </w:tc>
        <w:tc>
          <w:tcPr>
            <w:tcW w:w="1275" w:type="dxa"/>
            <w:noWrap/>
            <w:hideMark/>
          </w:tcPr>
          <w:p w14:paraId="629E11A0"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p>
        </w:tc>
        <w:tc>
          <w:tcPr>
            <w:tcW w:w="1134" w:type="dxa"/>
            <w:noWrap/>
            <w:hideMark/>
          </w:tcPr>
          <w:p w14:paraId="65171C16"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r w:rsidRPr="00883399">
              <w:rPr>
                <w:rFonts w:ascii="Arial" w:hAnsi="Arial" w:cs="Arial"/>
                <w:sz w:val="22"/>
                <w:szCs w:val="22"/>
              </w:rPr>
              <w:t>20%</w:t>
            </w:r>
          </w:p>
        </w:tc>
        <w:tc>
          <w:tcPr>
            <w:tcW w:w="1985" w:type="dxa"/>
            <w:noWrap/>
            <w:hideMark/>
          </w:tcPr>
          <w:p w14:paraId="429D6696" w14:textId="77777777" w:rsidR="006E1310" w:rsidRPr="00883399" w:rsidRDefault="006E1310" w:rsidP="0031057E">
            <w:pPr>
              <w:shd w:val="clear" w:color="auto" w:fill="FFFFFF"/>
              <w:autoSpaceDE w:val="0"/>
              <w:autoSpaceDN w:val="0"/>
              <w:adjustRightInd w:val="0"/>
              <w:spacing w:line="312" w:lineRule="auto"/>
              <w:jc w:val="center"/>
              <w:rPr>
                <w:rFonts w:ascii="Arial" w:hAnsi="Arial" w:cs="Arial"/>
                <w:sz w:val="22"/>
                <w:szCs w:val="22"/>
              </w:rPr>
            </w:pPr>
          </w:p>
        </w:tc>
      </w:tr>
    </w:tbl>
    <w:p w14:paraId="51DFA1D3" w14:textId="77777777" w:rsidR="00F656F7" w:rsidRPr="00883399" w:rsidRDefault="00F656F7" w:rsidP="00F656F7">
      <w:pPr>
        <w:pStyle w:val="SubsectionHead"/>
        <w:rPr>
          <w:sz w:val="24"/>
        </w:rPr>
      </w:pPr>
      <w:bookmarkStart w:id="1054" w:name="_Toc423517123"/>
      <w:r w:rsidRPr="00883399">
        <w:rPr>
          <w:sz w:val="24"/>
        </w:rPr>
        <w:t>Hydrofluorocarbons</w:t>
      </w:r>
    </w:p>
    <w:p w14:paraId="0B5004EE" w14:textId="77777777" w:rsidR="00F656F7" w:rsidRPr="00883399" w:rsidRDefault="00F656F7" w:rsidP="00F656F7">
      <w:pPr>
        <w:pStyle w:val="subsection"/>
        <w:rPr>
          <w:sz w:val="24"/>
        </w:rPr>
      </w:pPr>
      <w:r w:rsidRPr="00883399">
        <w:rPr>
          <w:sz w:val="24"/>
        </w:rPr>
        <w:tab/>
        <w:t>(1)</w:t>
      </w:r>
      <w:r w:rsidRPr="00883399">
        <w:rPr>
          <w:sz w:val="24"/>
        </w:rPr>
        <w:tab/>
      </w:r>
      <w:r w:rsidRPr="00883399">
        <w:rPr>
          <w:b/>
          <w:i/>
          <w:sz w:val="24"/>
        </w:rPr>
        <w:t>Synthetic gas generating activities</w:t>
      </w:r>
      <w:r w:rsidRPr="00883399">
        <w:rPr>
          <w:sz w:val="24"/>
        </w:rPr>
        <w:t>, for emissions of hydrofluorocarbons, are activities of a facility that:</w:t>
      </w:r>
    </w:p>
    <w:p w14:paraId="17D9D9CF" w14:textId="77777777" w:rsidR="00F656F7" w:rsidRPr="00883399" w:rsidRDefault="00F656F7" w:rsidP="00F656F7">
      <w:pPr>
        <w:pStyle w:val="paragraph"/>
        <w:rPr>
          <w:sz w:val="24"/>
        </w:rPr>
      </w:pPr>
      <w:r w:rsidRPr="00883399">
        <w:rPr>
          <w:sz w:val="24"/>
        </w:rPr>
        <w:tab/>
        <w:t>(a)</w:t>
      </w:r>
      <w:r w:rsidRPr="00883399">
        <w:rPr>
          <w:sz w:val="24"/>
        </w:rPr>
        <w:tab/>
        <w:t>require the use of any thing:</w:t>
      </w:r>
    </w:p>
    <w:p w14:paraId="1B858848" w14:textId="77777777" w:rsidR="00F656F7" w:rsidRPr="00883399" w:rsidRDefault="00F656F7" w:rsidP="00F656F7">
      <w:pPr>
        <w:pStyle w:val="paragraphsub"/>
        <w:rPr>
          <w:sz w:val="24"/>
        </w:rPr>
      </w:pPr>
      <w:r w:rsidRPr="00883399">
        <w:rPr>
          <w:sz w:val="24"/>
        </w:rPr>
        <w:tab/>
        <w:t>(i)</w:t>
      </w:r>
      <w:r w:rsidRPr="00883399">
        <w:rPr>
          <w:sz w:val="24"/>
        </w:rPr>
        <w:tab/>
        <w:t>mentioned in paragraphs 4.16(1)(a) to (d) of the Regulations; and</w:t>
      </w:r>
    </w:p>
    <w:p w14:paraId="6CCA00D4" w14:textId="77777777" w:rsidR="00F656F7" w:rsidRPr="00883399" w:rsidRDefault="00F656F7" w:rsidP="00F656F7">
      <w:pPr>
        <w:pStyle w:val="paragraphsub"/>
        <w:rPr>
          <w:sz w:val="24"/>
        </w:rPr>
      </w:pPr>
      <w:r w:rsidRPr="00883399">
        <w:rPr>
          <w:sz w:val="24"/>
        </w:rPr>
        <w:tab/>
        <w:t>(ii)</w:t>
      </w:r>
      <w:r w:rsidRPr="00883399">
        <w:rPr>
          <w:sz w:val="24"/>
        </w:rPr>
        <w:tab/>
        <w:t>containing a refrigerant charge of more than 100 kilograms of refrigerants for each unit; and</w:t>
      </w:r>
    </w:p>
    <w:p w14:paraId="1C8EBA95" w14:textId="77777777" w:rsidR="00F656F7" w:rsidRPr="00883399" w:rsidRDefault="00F656F7" w:rsidP="00F656F7">
      <w:pPr>
        <w:pStyle w:val="paragraphsub"/>
        <w:rPr>
          <w:sz w:val="24"/>
        </w:rPr>
      </w:pPr>
      <w:r w:rsidRPr="00883399">
        <w:rPr>
          <w:sz w:val="24"/>
        </w:rPr>
        <w:tab/>
        <w:t>(iii)</w:t>
      </w:r>
      <w:r w:rsidRPr="00883399">
        <w:rPr>
          <w:sz w:val="24"/>
        </w:rPr>
        <w:tab/>
        <w:t>using a refrigerant that is a greenhouse gas with a Global Warming Potential of more than 1 000; and</w:t>
      </w:r>
    </w:p>
    <w:p w14:paraId="2A989975" w14:textId="77777777" w:rsidR="00F656F7" w:rsidRPr="00883399" w:rsidRDefault="00F656F7" w:rsidP="00F656F7">
      <w:pPr>
        <w:pStyle w:val="paragraph"/>
        <w:rPr>
          <w:sz w:val="24"/>
        </w:rPr>
      </w:pPr>
      <w:r w:rsidRPr="00883399">
        <w:rPr>
          <w:sz w:val="24"/>
        </w:rPr>
        <w:tab/>
        <w:t>(b)</w:t>
      </w:r>
      <w:r w:rsidRPr="00883399">
        <w:rPr>
          <w:sz w:val="24"/>
        </w:rPr>
        <w:tab/>
        <w:t>are undertaken by a facility with a principal activity that is attributable to any one of the following ANZSIC industry classifications:</w:t>
      </w:r>
    </w:p>
    <w:p w14:paraId="3B43E13D" w14:textId="77777777" w:rsidR="00F656F7" w:rsidRPr="00883399" w:rsidRDefault="00F656F7" w:rsidP="00F656F7">
      <w:pPr>
        <w:pStyle w:val="paragraphsub"/>
        <w:rPr>
          <w:sz w:val="24"/>
        </w:rPr>
      </w:pPr>
      <w:r w:rsidRPr="00883399">
        <w:rPr>
          <w:sz w:val="24"/>
        </w:rPr>
        <w:tab/>
        <w:t>(i)</w:t>
      </w:r>
      <w:r w:rsidRPr="00883399">
        <w:rPr>
          <w:sz w:val="24"/>
        </w:rPr>
        <w:tab/>
        <w:t>food product manufacturing (ANZSIC classification, Subdivision 11);</w:t>
      </w:r>
    </w:p>
    <w:p w14:paraId="3624C2CB" w14:textId="77777777" w:rsidR="00F656F7" w:rsidRPr="00883399" w:rsidRDefault="00F656F7" w:rsidP="00F656F7">
      <w:pPr>
        <w:pStyle w:val="paragraphsub"/>
        <w:rPr>
          <w:sz w:val="24"/>
        </w:rPr>
      </w:pPr>
      <w:r w:rsidRPr="00883399">
        <w:rPr>
          <w:sz w:val="24"/>
        </w:rPr>
        <w:tab/>
        <w:t>(ii)</w:t>
      </w:r>
      <w:r w:rsidRPr="00883399">
        <w:rPr>
          <w:sz w:val="24"/>
        </w:rPr>
        <w:tab/>
        <w:t>beverage and tobacco product manufacturing (ANZSIC classification, Subdivision 12);</w:t>
      </w:r>
    </w:p>
    <w:p w14:paraId="3B51B339" w14:textId="77777777" w:rsidR="00F656F7" w:rsidRPr="00883399" w:rsidRDefault="00F656F7" w:rsidP="00F656F7">
      <w:pPr>
        <w:pStyle w:val="paragraphsub"/>
        <w:rPr>
          <w:sz w:val="24"/>
        </w:rPr>
      </w:pPr>
      <w:r w:rsidRPr="00883399">
        <w:rPr>
          <w:sz w:val="24"/>
        </w:rPr>
        <w:tab/>
        <w:t>(iii)</w:t>
      </w:r>
      <w:r w:rsidRPr="00883399">
        <w:rPr>
          <w:sz w:val="24"/>
        </w:rPr>
        <w:tab/>
        <w:t>retail trade (ANZSIC classification, Division G);</w:t>
      </w:r>
    </w:p>
    <w:p w14:paraId="48556481" w14:textId="77777777" w:rsidR="00F656F7" w:rsidRPr="00883399" w:rsidRDefault="00F656F7" w:rsidP="00F656F7">
      <w:pPr>
        <w:pStyle w:val="paragraphsub"/>
        <w:rPr>
          <w:sz w:val="24"/>
        </w:rPr>
      </w:pPr>
      <w:r w:rsidRPr="00883399">
        <w:rPr>
          <w:sz w:val="24"/>
        </w:rPr>
        <w:tab/>
        <w:t>(iv)</w:t>
      </w:r>
      <w:r w:rsidRPr="00883399">
        <w:rPr>
          <w:sz w:val="24"/>
        </w:rPr>
        <w:tab/>
        <w:t>warehousing and storage services (ANZSIC classification, number 530);</w:t>
      </w:r>
    </w:p>
    <w:p w14:paraId="0EFD77B1" w14:textId="77777777" w:rsidR="00F656F7" w:rsidRPr="00883399" w:rsidRDefault="00F656F7" w:rsidP="00F656F7">
      <w:pPr>
        <w:pStyle w:val="paragraphsub"/>
        <w:rPr>
          <w:sz w:val="24"/>
        </w:rPr>
      </w:pPr>
      <w:r w:rsidRPr="00883399">
        <w:rPr>
          <w:sz w:val="24"/>
        </w:rPr>
        <w:tab/>
        <w:t>(v)</w:t>
      </w:r>
      <w:r w:rsidRPr="00883399">
        <w:rPr>
          <w:sz w:val="24"/>
        </w:rPr>
        <w:tab/>
        <w:t>wholesale trade (ANZSIC classification Division F);</w:t>
      </w:r>
    </w:p>
    <w:p w14:paraId="2CE57813" w14:textId="77777777" w:rsidR="00F656F7" w:rsidRPr="00883399" w:rsidRDefault="00F656F7" w:rsidP="00F656F7">
      <w:pPr>
        <w:pStyle w:val="paragraphsub"/>
        <w:rPr>
          <w:sz w:val="24"/>
        </w:rPr>
      </w:pPr>
      <w:r w:rsidRPr="00883399">
        <w:rPr>
          <w:sz w:val="24"/>
        </w:rPr>
        <w:tab/>
        <w:t>(vi)</w:t>
      </w:r>
      <w:r w:rsidRPr="00883399">
        <w:rPr>
          <w:sz w:val="24"/>
        </w:rPr>
        <w:tab/>
        <w:t>rental, hiring and real estate services (ANZSIC classification, Division L).</w:t>
      </w:r>
    </w:p>
    <w:p w14:paraId="7A3C4245" w14:textId="77777777" w:rsidR="00F656F7" w:rsidRPr="00883399" w:rsidRDefault="00F656F7" w:rsidP="00F656F7">
      <w:pPr>
        <w:pStyle w:val="notetext"/>
        <w:rPr>
          <w:sz w:val="20"/>
        </w:rPr>
      </w:pPr>
      <w:r w:rsidRPr="00883399">
        <w:rPr>
          <w:sz w:val="20"/>
        </w:rPr>
        <w:t>Note:</w:t>
      </w:r>
      <w:r w:rsidRPr="00883399">
        <w:rPr>
          <w:sz w:val="20"/>
        </w:rPr>
        <w:tab/>
        <w:t>A facility with a principal activity that is not attributable to any one of the ANZSIC industry classifications mentioned in subparagraph (b(i), (ii), (iii), (iv), (v) or (vi) is not required to report emissions of hydrofluorocarbons.</w:t>
      </w:r>
    </w:p>
    <w:p w14:paraId="74C75B4E" w14:textId="77777777" w:rsidR="00F656F7" w:rsidRPr="00883399" w:rsidRDefault="00F656F7" w:rsidP="00F656F7">
      <w:pPr>
        <w:pStyle w:val="SubsectionHead"/>
        <w:rPr>
          <w:sz w:val="24"/>
        </w:rPr>
      </w:pPr>
      <w:r w:rsidRPr="00883399">
        <w:rPr>
          <w:sz w:val="24"/>
        </w:rPr>
        <w:t>Sulphur hexafluoride</w:t>
      </w:r>
    </w:p>
    <w:p w14:paraId="1F06C47C" w14:textId="77777777" w:rsidR="00F656F7" w:rsidRPr="00883399" w:rsidRDefault="00F656F7" w:rsidP="00F656F7">
      <w:pPr>
        <w:pStyle w:val="subsection"/>
        <w:rPr>
          <w:sz w:val="24"/>
        </w:rPr>
      </w:pPr>
      <w:r w:rsidRPr="00883399">
        <w:rPr>
          <w:sz w:val="24"/>
        </w:rPr>
        <w:tab/>
        <w:t>(2)</w:t>
      </w:r>
      <w:r w:rsidRPr="00883399">
        <w:rPr>
          <w:sz w:val="24"/>
        </w:rPr>
        <w:tab/>
      </w:r>
      <w:r w:rsidRPr="00883399">
        <w:rPr>
          <w:b/>
          <w:i/>
          <w:sz w:val="24"/>
        </w:rPr>
        <w:t>Synthetic gas generating activities</w:t>
      </w:r>
      <w:r w:rsidRPr="00883399">
        <w:rPr>
          <w:sz w:val="24"/>
        </w:rPr>
        <w:t>, for emissions of sulphur hexafluoride, are any activities of a facility that:</w:t>
      </w:r>
    </w:p>
    <w:p w14:paraId="61AC9A58" w14:textId="77777777" w:rsidR="00F656F7" w:rsidRPr="00883399" w:rsidRDefault="00F656F7" w:rsidP="00F656F7">
      <w:pPr>
        <w:pStyle w:val="paragraph"/>
        <w:rPr>
          <w:sz w:val="24"/>
        </w:rPr>
      </w:pPr>
      <w:r w:rsidRPr="00883399">
        <w:rPr>
          <w:sz w:val="24"/>
        </w:rPr>
        <w:tab/>
        <w:t>(a)</w:t>
      </w:r>
      <w:r w:rsidRPr="00883399">
        <w:rPr>
          <w:sz w:val="24"/>
        </w:rPr>
        <w:tab/>
        <w:t>require the use of any equipment mentioned in paragraph 4.16(1)(d) of the Regulations; and</w:t>
      </w:r>
    </w:p>
    <w:p w14:paraId="35A9FEE1" w14:textId="77777777" w:rsidR="00F656F7" w:rsidRPr="00883399" w:rsidRDefault="00F656F7" w:rsidP="00F656F7">
      <w:pPr>
        <w:pStyle w:val="paragraph"/>
        <w:rPr>
          <w:sz w:val="24"/>
        </w:rPr>
      </w:pPr>
      <w:r w:rsidRPr="00883399">
        <w:rPr>
          <w:sz w:val="24"/>
        </w:rPr>
        <w:tab/>
        <w:t>(b)</w:t>
      </w:r>
      <w:r w:rsidRPr="00883399">
        <w:rPr>
          <w:sz w:val="24"/>
        </w:rPr>
        <w:tab/>
        <w:t>emit sulphur hexafluoride.</w:t>
      </w:r>
    </w:p>
    <w:p w14:paraId="55A3E091" w14:textId="12A7D1B6" w:rsidR="00872C03" w:rsidRPr="00883399" w:rsidRDefault="00872C03" w:rsidP="00872C03">
      <w:pPr>
        <w:pStyle w:val="ActHead5"/>
        <w:rPr>
          <w:sz w:val="28"/>
        </w:rPr>
      </w:pPr>
      <w:bookmarkStart w:id="1055" w:name="_Toc495653055"/>
      <w:r w:rsidRPr="00883399">
        <w:rPr>
          <w:sz w:val="28"/>
        </w:rPr>
        <w:lastRenderedPageBreak/>
        <w:t>4.101  Reporting threshold</w:t>
      </w:r>
      <w:bookmarkEnd w:id="1054"/>
      <w:bookmarkEnd w:id="1055"/>
    </w:p>
    <w:p w14:paraId="0AEB0AEC" w14:textId="77777777" w:rsidR="006E1310" w:rsidRPr="00883399" w:rsidRDefault="006E1310" w:rsidP="006E1310">
      <w:pPr>
        <w:pStyle w:val="Text"/>
        <w:rPr>
          <w:rFonts w:ascii="Arial" w:hAnsi="Arial" w:cs="Arial"/>
          <w:sz w:val="22"/>
          <w:szCs w:val="22"/>
        </w:rPr>
      </w:pPr>
      <w:r w:rsidRPr="00883399">
        <w:rPr>
          <w:rFonts w:ascii="Arial" w:hAnsi="Arial" w:cs="Arial"/>
          <w:sz w:val="22"/>
          <w:szCs w:val="22"/>
        </w:rPr>
        <w:t xml:space="preserve">These thresholds are intended to limit the application of the Part because of the large number of diverse and minor sources of emissions for this category. </w:t>
      </w:r>
    </w:p>
    <w:p w14:paraId="760EB6F4" w14:textId="77777777" w:rsidR="00872C03" w:rsidRPr="00883399" w:rsidRDefault="00872C03" w:rsidP="00872C03">
      <w:pPr>
        <w:pStyle w:val="subsection"/>
        <w:rPr>
          <w:sz w:val="24"/>
        </w:rPr>
      </w:pPr>
      <w:r w:rsidRPr="00883399">
        <w:rPr>
          <w:sz w:val="24"/>
        </w:rPr>
        <w:tab/>
        <w:t>For paragraph 4.22(1)(b) of the Regulations, the threshold mentioned in column 3 of an item in the following table resulting from a provision of this Determination mentioned in column 2 of that item is a reporting threshold.</w:t>
      </w:r>
    </w:p>
    <w:p w14:paraId="2D8DA9D3" w14:textId="77777777" w:rsidR="00872C03" w:rsidRPr="00883399" w:rsidRDefault="00872C03" w:rsidP="00872C03">
      <w:pPr>
        <w:pStyle w:val="Tabletext0"/>
        <w:rPr>
          <w:sz w:val="22"/>
        </w:rPr>
      </w:pPr>
    </w:p>
    <w:tbl>
      <w:tblPr>
        <w:tblW w:w="0" w:type="auto"/>
        <w:tblInd w:w="106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20"/>
        <w:gridCol w:w="2520"/>
        <w:gridCol w:w="4200"/>
      </w:tblGrid>
      <w:tr w:rsidR="00872C03" w:rsidRPr="00883399" w14:paraId="1D409753" w14:textId="77777777" w:rsidTr="0031057E">
        <w:trPr>
          <w:tblHeader/>
        </w:trPr>
        <w:tc>
          <w:tcPr>
            <w:tcW w:w="720" w:type="dxa"/>
            <w:tcBorders>
              <w:top w:val="single" w:sz="12" w:space="0" w:color="auto"/>
              <w:bottom w:val="single" w:sz="12" w:space="0" w:color="auto"/>
            </w:tcBorders>
            <w:shd w:val="clear" w:color="auto" w:fill="auto"/>
          </w:tcPr>
          <w:p w14:paraId="2EB8CECF" w14:textId="77777777" w:rsidR="00872C03" w:rsidRPr="00883399" w:rsidRDefault="00872C03" w:rsidP="0031057E">
            <w:pPr>
              <w:pStyle w:val="TableHeading"/>
              <w:rPr>
                <w:sz w:val="22"/>
              </w:rPr>
            </w:pPr>
            <w:r w:rsidRPr="00883399">
              <w:rPr>
                <w:sz w:val="22"/>
              </w:rPr>
              <w:t>Item</w:t>
            </w:r>
          </w:p>
        </w:tc>
        <w:tc>
          <w:tcPr>
            <w:tcW w:w="2520" w:type="dxa"/>
            <w:tcBorders>
              <w:top w:val="single" w:sz="12" w:space="0" w:color="auto"/>
              <w:bottom w:val="single" w:sz="12" w:space="0" w:color="auto"/>
            </w:tcBorders>
            <w:shd w:val="clear" w:color="auto" w:fill="auto"/>
          </w:tcPr>
          <w:p w14:paraId="02E295CC" w14:textId="77777777" w:rsidR="00872C03" w:rsidRPr="00883399" w:rsidRDefault="00872C03" w:rsidP="0031057E">
            <w:pPr>
              <w:pStyle w:val="TableHeading"/>
              <w:rPr>
                <w:sz w:val="22"/>
              </w:rPr>
            </w:pPr>
            <w:r w:rsidRPr="00883399">
              <w:rPr>
                <w:sz w:val="22"/>
              </w:rPr>
              <w:t>Provision in Determination</w:t>
            </w:r>
          </w:p>
        </w:tc>
        <w:tc>
          <w:tcPr>
            <w:tcW w:w="4200" w:type="dxa"/>
            <w:tcBorders>
              <w:top w:val="single" w:sz="12" w:space="0" w:color="auto"/>
              <w:bottom w:val="single" w:sz="12" w:space="0" w:color="auto"/>
            </w:tcBorders>
            <w:shd w:val="clear" w:color="auto" w:fill="auto"/>
          </w:tcPr>
          <w:p w14:paraId="4999683C" w14:textId="77777777" w:rsidR="00872C03" w:rsidRPr="00883399" w:rsidRDefault="00872C03" w:rsidP="0031057E">
            <w:pPr>
              <w:pStyle w:val="TableHeading"/>
              <w:rPr>
                <w:sz w:val="22"/>
              </w:rPr>
            </w:pPr>
            <w:r w:rsidRPr="00883399">
              <w:rPr>
                <w:sz w:val="22"/>
              </w:rPr>
              <w:t>Threshold</w:t>
            </w:r>
          </w:p>
        </w:tc>
      </w:tr>
      <w:tr w:rsidR="00872C03" w:rsidRPr="00883399" w14:paraId="24F80411" w14:textId="77777777" w:rsidTr="0031057E">
        <w:tc>
          <w:tcPr>
            <w:tcW w:w="720" w:type="dxa"/>
            <w:tcBorders>
              <w:top w:val="single" w:sz="12" w:space="0" w:color="auto"/>
              <w:bottom w:val="single" w:sz="4" w:space="0" w:color="auto"/>
            </w:tcBorders>
            <w:shd w:val="clear" w:color="auto" w:fill="auto"/>
          </w:tcPr>
          <w:p w14:paraId="51FA073E" w14:textId="77777777" w:rsidR="00872C03" w:rsidRPr="00883399" w:rsidRDefault="00872C03" w:rsidP="0031057E">
            <w:pPr>
              <w:pStyle w:val="Tabletext0"/>
              <w:rPr>
                <w:sz w:val="22"/>
              </w:rPr>
            </w:pPr>
            <w:r w:rsidRPr="00883399">
              <w:rPr>
                <w:sz w:val="22"/>
              </w:rPr>
              <w:t>1</w:t>
            </w:r>
          </w:p>
        </w:tc>
        <w:tc>
          <w:tcPr>
            <w:tcW w:w="2520" w:type="dxa"/>
            <w:tcBorders>
              <w:top w:val="single" w:sz="12" w:space="0" w:color="auto"/>
              <w:bottom w:val="single" w:sz="4" w:space="0" w:color="auto"/>
            </w:tcBorders>
            <w:shd w:val="clear" w:color="auto" w:fill="auto"/>
          </w:tcPr>
          <w:p w14:paraId="7FF4C949" w14:textId="77777777" w:rsidR="00872C03" w:rsidRPr="00883399" w:rsidRDefault="00872C03" w:rsidP="0031057E">
            <w:pPr>
              <w:pStyle w:val="Tabletext0"/>
              <w:rPr>
                <w:sz w:val="22"/>
              </w:rPr>
            </w:pPr>
            <w:r w:rsidRPr="00883399">
              <w:rPr>
                <w:sz w:val="22"/>
              </w:rPr>
              <w:t>Subparagraph 4.100(1)(a)(ii)</w:t>
            </w:r>
          </w:p>
        </w:tc>
        <w:tc>
          <w:tcPr>
            <w:tcW w:w="4200" w:type="dxa"/>
            <w:tcBorders>
              <w:top w:val="single" w:sz="12" w:space="0" w:color="auto"/>
              <w:bottom w:val="single" w:sz="4" w:space="0" w:color="auto"/>
            </w:tcBorders>
            <w:shd w:val="clear" w:color="auto" w:fill="auto"/>
          </w:tcPr>
          <w:p w14:paraId="6CDAE7B5" w14:textId="77777777" w:rsidR="00872C03" w:rsidRPr="00883399" w:rsidRDefault="00872C03" w:rsidP="0031057E">
            <w:pPr>
              <w:pStyle w:val="Tabletext0"/>
              <w:rPr>
                <w:sz w:val="22"/>
              </w:rPr>
            </w:pPr>
            <w:r w:rsidRPr="00883399">
              <w:rPr>
                <w:sz w:val="22"/>
              </w:rPr>
              <w:t>100 kilograms for each unit (hydrofluorocarbons)</w:t>
            </w:r>
          </w:p>
        </w:tc>
      </w:tr>
      <w:tr w:rsidR="00872C03" w:rsidRPr="00883399" w14:paraId="0DDCBDFA" w14:textId="77777777" w:rsidTr="0031057E">
        <w:tc>
          <w:tcPr>
            <w:tcW w:w="720" w:type="dxa"/>
            <w:tcBorders>
              <w:bottom w:val="single" w:sz="12" w:space="0" w:color="auto"/>
            </w:tcBorders>
            <w:shd w:val="clear" w:color="auto" w:fill="auto"/>
          </w:tcPr>
          <w:p w14:paraId="59C0B6A6" w14:textId="77777777" w:rsidR="00872C03" w:rsidRPr="00883399" w:rsidRDefault="00872C03" w:rsidP="0031057E">
            <w:pPr>
              <w:pStyle w:val="Tabletext0"/>
              <w:rPr>
                <w:sz w:val="22"/>
              </w:rPr>
            </w:pPr>
            <w:r w:rsidRPr="00883399">
              <w:rPr>
                <w:sz w:val="22"/>
              </w:rPr>
              <w:t>2</w:t>
            </w:r>
          </w:p>
        </w:tc>
        <w:tc>
          <w:tcPr>
            <w:tcW w:w="2520" w:type="dxa"/>
            <w:tcBorders>
              <w:bottom w:val="single" w:sz="12" w:space="0" w:color="auto"/>
            </w:tcBorders>
            <w:shd w:val="clear" w:color="auto" w:fill="auto"/>
          </w:tcPr>
          <w:p w14:paraId="512BDA2B" w14:textId="77777777" w:rsidR="00872C03" w:rsidRPr="00883399" w:rsidRDefault="00872C03" w:rsidP="0031057E">
            <w:pPr>
              <w:pStyle w:val="Tabletext0"/>
              <w:rPr>
                <w:sz w:val="22"/>
              </w:rPr>
            </w:pPr>
            <w:r w:rsidRPr="00883399">
              <w:rPr>
                <w:sz w:val="22"/>
              </w:rPr>
              <w:t>Subsection 4.100(2)</w:t>
            </w:r>
          </w:p>
        </w:tc>
        <w:tc>
          <w:tcPr>
            <w:tcW w:w="4200" w:type="dxa"/>
            <w:tcBorders>
              <w:bottom w:val="single" w:sz="12" w:space="0" w:color="auto"/>
            </w:tcBorders>
            <w:shd w:val="clear" w:color="auto" w:fill="auto"/>
          </w:tcPr>
          <w:p w14:paraId="1A5D71A0" w14:textId="77777777" w:rsidR="00872C03" w:rsidRPr="00883399" w:rsidRDefault="00872C03" w:rsidP="0031057E">
            <w:pPr>
              <w:pStyle w:val="Tabletext0"/>
              <w:rPr>
                <w:sz w:val="22"/>
              </w:rPr>
            </w:pPr>
            <w:r w:rsidRPr="00883399">
              <w:rPr>
                <w:sz w:val="22"/>
              </w:rPr>
              <w:t>Any emission (sulphur hexafluoride)</w:t>
            </w:r>
          </w:p>
        </w:tc>
      </w:tr>
    </w:tbl>
    <w:p w14:paraId="6870D1CC" w14:textId="43928CD3" w:rsidR="00872C03" w:rsidRPr="00883399" w:rsidRDefault="00872C03" w:rsidP="00872C03">
      <w:pPr>
        <w:pStyle w:val="ActHead5"/>
        <w:rPr>
          <w:sz w:val="28"/>
        </w:rPr>
      </w:pPr>
      <w:bookmarkStart w:id="1056" w:name="_Toc423517124"/>
      <w:bookmarkStart w:id="1057" w:name="_Toc495653056"/>
      <w:r w:rsidRPr="00883399">
        <w:rPr>
          <w:rStyle w:val="CharSectno"/>
          <w:sz w:val="28"/>
        </w:rPr>
        <w:t>4.102</w:t>
      </w:r>
      <w:r w:rsidRPr="00883399">
        <w:rPr>
          <w:sz w:val="28"/>
        </w:rPr>
        <w:t xml:space="preserve">  Method 1</w:t>
      </w:r>
      <w:bookmarkEnd w:id="1056"/>
      <w:bookmarkEnd w:id="1057"/>
    </w:p>
    <w:p w14:paraId="4B2D5EDE" w14:textId="77777777" w:rsidR="006E1310" w:rsidRPr="00883399" w:rsidRDefault="006E1310" w:rsidP="006E1310">
      <w:pPr>
        <w:autoSpaceDE w:val="0"/>
        <w:autoSpaceDN w:val="0"/>
        <w:adjustRightInd w:val="0"/>
        <w:spacing w:before="240" w:line="312" w:lineRule="auto"/>
        <w:rPr>
          <w:rFonts w:ascii="Arial" w:hAnsi="Arial" w:cs="Arial"/>
          <w:sz w:val="22"/>
          <w:szCs w:val="22"/>
        </w:rPr>
      </w:pPr>
      <w:r w:rsidRPr="00883399">
        <w:rPr>
          <w:rFonts w:ascii="Arial" w:hAnsi="Arial" w:cs="Arial"/>
          <w:sz w:val="22"/>
          <w:szCs w:val="22"/>
        </w:rPr>
        <w:t>Method 1 for emissions of HFCs and SF</w:t>
      </w:r>
      <w:r w:rsidRPr="00883399">
        <w:rPr>
          <w:rFonts w:ascii="Arial" w:hAnsi="Arial" w:cs="Arial"/>
          <w:sz w:val="22"/>
          <w:szCs w:val="22"/>
          <w:vertAlign w:val="subscript"/>
        </w:rPr>
        <w:t>6</w:t>
      </w:r>
      <w:r w:rsidRPr="00883399">
        <w:rPr>
          <w:rFonts w:ascii="Arial" w:hAnsi="Arial" w:cs="Arial"/>
          <w:sz w:val="22"/>
          <w:szCs w:val="22"/>
        </w:rPr>
        <w:t xml:space="preserve"> calculates emissions during the year using default leakage rates for the particular types of equipment within the facility. HFC and SF</w:t>
      </w:r>
      <w:r w:rsidRPr="00883399">
        <w:rPr>
          <w:rFonts w:ascii="Arial" w:hAnsi="Arial" w:cs="Arial"/>
          <w:sz w:val="22"/>
          <w:szCs w:val="22"/>
          <w:vertAlign w:val="subscript"/>
        </w:rPr>
        <w:t>6</w:t>
      </w:r>
      <w:r w:rsidRPr="00883399">
        <w:rPr>
          <w:rFonts w:ascii="Arial" w:hAnsi="Arial" w:cs="Arial"/>
          <w:sz w:val="22"/>
          <w:szCs w:val="22"/>
        </w:rPr>
        <w:t xml:space="preserve"> emissions should be estimated separately according to Method 1. </w:t>
      </w:r>
    </w:p>
    <w:p w14:paraId="269D49BC" w14:textId="77777777" w:rsidR="00872C03" w:rsidRPr="00883399" w:rsidRDefault="00872C03" w:rsidP="00872C03">
      <w:pPr>
        <w:pStyle w:val="subsection"/>
        <w:rPr>
          <w:sz w:val="24"/>
        </w:rPr>
      </w:pPr>
      <w:r w:rsidRPr="00883399">
        <w:rPr>
          <w:sz w:val="24"/>
        </w:rPr>
        <w:tab/>
        <w:t>(1)</w:t>
      </w:r>
      <w:r w:rsidRPr="00883399">
        <w:rPr>
          <w:sz w:val="24"/>
        </w:rPr>
        <w:tab/>
        <w:t>Method 1 is:</w:t>
      </w:r>
    </w:p>
    <w:p w14:paraId="7B227807" w14:textId="0320C6DD" w:rsidR="00872C03" w:rsidRPr="00883399" w:rsidRDefault="00872C03" w:rsidP="00872C03">
      <w:pPr>
        <w:pStyle w:val="subsection"/>
        <w:spacing w:before="120" w:after="120"/>
      </w:pPr>
      <w:r w:rsidRPr="00883399">
        <w:rPr>
          <w:sz w:val="24"/>
        </w:rPr>
        <w:tab/>
      </w:r>
      <w:r w:rsidRPr="00883399">
        <w:tab/>
      </w:r>
      <w:r w:rsidRPr="00883399">
        <w:rPr>
          <w:noProof/>
        </w:rPr>
        <w:drawing>
          <wp:inline distT="0" distB="0" distL="0" distR="0" wp14:anchorId="0E988CA3" wp14:editId="0D580696">
            <wp:extent cx="1151890" cy="189865"/>
            <wp:effectExtent l="1905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42"/>
                    <a:srcRect/>
                    <a:stretch>
                      <a:fillRect/>
                    </a:stretch>
                  </pic:blipFill>
                  <pic:spPr bwMode="auto">
                    <a:xfrm>
                      <a:off x="0" y="0"/>
                      <a:ext cx="1151890" cy="189865"/>
                    </a:xfrm>
                    <a:prstGeom prst="rect">
                      <a:avLst/>
                    </a:prstGeom>
                    <a:noFill/>
                    <a:ln w="9525">
                      <a:noFill/>
                      <a:miter lim="800000"/>
                      <a:headEnd/>
                      <a:tailEnd/>
                    </a:ln>
                  </pic:spPr>
                </pic:pic>
              </a:graphicData>
            </a:graphic>
          </wp:inline>
        </w:drawing>
      </w:r>
    </w:p>
    <w:p w14:paraId="7463905D" w14:textId="77777777" w:rsidR="00872C03" w:rsidRPr="00883399" w:rsidRDefault="00872C03" w:rsidP="00872C03">
      <w:pPr>
        <w:pStyle w:val="Definition0"/>
        <w:rPr>
          <w:sz w:val="24"/>
        </w:rPr>
      </w:pPr>
      <w:r w:rsidRPr="00883399">
        <w:rPr>
          <w:sz w:val="24"/>
        </w:rPr>
        <w:t>where:</w:t>
      </w:r>
    </w:p>
    <w:p w14:paraId="2AA62850" w14:textId="77777777" w:rsidR="00872C03" w:rsidRPr="00883399" w:rsidRDefault="00872C03" w:rsidP="00872C03">
      <w:pPr>
        <w:pStyle w:val="Definition0"/>
        <w:rPr>
          <w:sz w:val="24"/>
        </w:rPr>
      </w:pPr>
      <w:r w:rsidRPr="00883399">
        <w:rPr>
          <w:b/>
          <w:i/>
          <w:sz w:val="24"/>
        </w:rPr>
        <w:t>E</w:t>
      </w:r>
      <w:r w:rsidRPr="00883399">
        <w:rPr>
          <w:b/>
          <w:i/>
          <w:sz w:val="24"/>
          <w:vertAlign w:val="subscript"/>
        </w:rPr>
        <w:t xml:space="preserve">jk </w:t>
      </w:r>
      <w:r w:rsidRPr="00883399">
        <w:rPr>
          <w:sz w:val="24"/>
        </w:rPr>
        <w:t>is the emissions of gas type (</w:t>
      </w:r>
      <w:r w:rsidRPr="00883399">
        <w:rPr>
          <w:b/>
          <w:i/>
          <w:sz w:val="24"/>
        </w:rPr>
        <w:t>j</w:t>
      </w:r>
      <w:r w:rsidRPr="00883399">
        <w:rPr>
          <w:sz w:val="24"/>
        </w:rPr>
        <w:t>), either hydrofluorocarbons or sulphur hexafluoride, summed over each equipment type (</w:t>
      </w:r>
      <w:r w:rsidRPr="00883399">
        <w:rPr>
          <w:b/>
          <w:i/>
          <w:sz w:val="24"/>
        </w:rPr>
        <w:t>k</w:t>
      </w:r>
      <w:r w:rsidRPr="00883399">
        <w:rPr>
          <w:sz w:val="24"/>
        </w:rPr>
        <w:t>) during a year measured in CO</w:t>
      </w:r>
      <w:r w:rsidRPr="00883399">
        <w:rPr>
          <w:sz w:val="24"/>
          <w:vertAlign w:val="subscript"/>
        </w:rPr>
        <w:t>2</w:t>
      </w:r>
      <w:r w:rsidRPr="00883399">
        <w:rPr>
          <w:sz w:val="24"/>
        </w:rPr>
        <w:noBreakHyphen/>
        <w:t>e tonnes.</w:t>
      </w:r>
    </w:p>
    <w:p w14:paraId="43654786" w14:textId="77777777" w:rsidR="00872C03" w:rsidRPr="00883399" w:rsidRDefault="00872C03" w:rsidP="00872C03">
      <w:pPr>
        <w:pStyle w:val="Definition0"/>
        <w:rPr>
          <w:sz w:val="24"/>
        </w:rPr>
      </w:pPr>
      <w:r w:rsidRPr="00883399">
        <w:rPr>
          <w:b/>
          <w:i/>
          <w:sz w:val="24"/>
        </w:rPr>
        <w:t>Stock</w:t>
      </w:r>
      <w:r w:rsidRPr="00883399">
        <w:rPr>
          <w:b/>
          <w:i/>
          <w:sz w:val="24"/>
          <w:vertAlign w:val="subscript"/>
        </w:rPr>
        <w:t>jk</w:t>
      </w:r>
      <w:r w:rsidRPr="00883399">
        <w:rPr>
          <w:b/>
          <w:i/>
          <w:sz w:val="24"/>
        </w:rPr>
        <w:t xml:space="preserve"> </w:t>
      </w:r>
      <w:r w:rsidRPr="00883399">
        <w:rPr>
          <w:sz w:val="24"/>
        </w:rPr>
        <w:t>is the stock of gas type (</w:t>
      </w:r>
      <w:r w:rsidRPr="00883399">
        <w:rPr>
          <w:b/>
          <w:i/>
          <w:sz w:val="24"/>
        </w:rPr>
        <w:t>j</w:t>
      </w:r>
      <w:r w:rsidRPr="00883399">
        <w:rPr>
          <w:sz w:val="24"/>
        </w:rPr>
        <w:t>), either hydrofluorocarbons or sulphur hexafluoride, contained in equipment type (</w:t>
      </w:r>
      <w:r w:rsidRPr="00883399">
        <w:rPr>
          <w:b/>
          <w:i/>
          <w:sz w:val="24"/>
        </w:rPr>
        <w:t>k</w:t>
      </w:r>
      <w:r w:rsidRPr="00883399">
        <w:rPr>
          <w:sz w:val="24"/>
        </w:rPr>
        <w:t>) during a year measured in CO</w:t>
      </w:r>
      <w:r w:rsidRPr="00883399">
        <w:rPr>
          <w:sz w:val="24"/>
          <w:vertAlign w:val="subscript"/>
        </w:rPr>
        <w:t>2</w:t>
      </w:r>
      <w:r w:rsidRPr="00883399">
        <w:rPr>
          <w:sz w:val="24"/>
        </w:rPr>
        <w:noBreakHyphen/>
        <w:t>e tonnes.</w:t>
      </w:r>
    </w:p>
    <w:p w14:paraId="1F75BDF1" w14:textId="77777777" w:rsidR="00872C03" w:rsidRPr="00883399" w:rsidRDefault="00872C03" w:rsidP="00872C03">
      <w:pPr>
        <w:pStyle w:val="Definition0"/>
        <w:rPr>
          <w:sz w:val="24"/>
        </w:rPr>
      </w:pPr>
      <w:r w:rsidRPr="00883399">
        <w:rPr>
          <w:b/>
          <w:i/>
          <w:sz w:val="24"/>
        </w:rPr>
        <w:t>L</w:t>
      </w:r>
      <w:r w:rsidRPr="00883399">
        <w:rPr>
          <w:b/>
          <w:i/>
          <w:sz w:val="24"/>
          <w:vertAlign w:val="subscript"/>
        </w:rPr>
        <w:t xml:space="preserve">jk </w:t>
      </w:r>
      <w:r w:rsidRPr="00883399">
        <w:rPr>
          <w:sz w:val="24"/>
        </w:rPr>
        <w:t>is the default leakage rates for a year of gas type (</w:t>
      </w:r>
      <w:r w:rsidRPr="00883399">
        <w:rPr>
          <w:b/>
          <w:i/>
          <w:sz w:val="24"/>
        </w:rPr>
        <w:t>j</w:t>
      </w:r>
      <w:r w:rsidRPr="00883399">
        <w:rPr>
          <w:sz w:val="24"/>
        </w:rPr>
        <w:t>) mentioned in columns 3 or 4 of an item in the table in subsection (4) for the equipment type (</w:t>
      </w:r>
      <w:r w:rsidRPr="00883399">
        <w:rPr>
          <w:b/>
          <w:i/>
          <w:sz w:val="24"/>
        </w:rPr>
        <w:t>k</w:t>
      </w:r>
      <w:r w:rsidRPr="00883399">
        <w:rPr>
          <w:sz w:val="24"/>
        </w:rPr>
        <w:t>) mentioned in column 2 for that item.</w:t>
      </w:r>
    </w:p>
    <w:p w14:paraId="03048D5D" w14:textId="77777777" w:rsidR="00872C03" w:rsidRPr="00883399" w:rsidRDefault="00872C03" w:rsidP="00872C03">
      <w:pPr>
        <w:pStyle w:val="subsection"/>
        <w:rPr>
          <w:sz w:val="24"/>
        </w:rPr>
      </w:pPr>
      <w:r w:rsidRPr="00883399">
        <w:rPr>
          <w:sz w:val="24"/>
        </w:rPr>
        <w:tab/>
        <w:t>(2)</w:t>
      </w:r>
      <w:r w:rsidRPr="00883399">
        <w:rPr>
          <w:sz w:val="24"/>
        </w:rPr>
        <w:tab/>
        <w:t xml:space="preserve">For the factor </w:t>
      </w:r>
      <w:r w:rsidRPr="00883399">
        <w:rPr>
          <w:b/>
          <w:i/>
          <w:sz w:val="24"/>
        </w:rPr>
        <w:t>Stock</w:t>
      </w:r>
      <w:r w:rsidRPr="00883399">
        <w:rPr>
          <w:b/>
          <w:i/>
          <w:sz w:val="24"/>
          <w:vertAlign w:val="subscript"/>
        </w:rPr>
        <w:t>jk</w:t>
      </w:r>
      <w:r w:rsidRPr="00883399">
        <w:rPr>
          <w:sz w:val="24"/>
        </w:rPr>
        <w:t>, an estimation of the stock of synthetic gases contained in an equipment type must be based on one of the following sources:</w:t>
      </w:r>
    </w:p>
    <w:p w14:paraId="60AFCED9" w14:textId="77777777" w:rsidR="00872C03" w:rsidRPr="00883399" w:rsidRDefault="00872C03" w:rsidP="00872C03">
      <w:pPr>
        <w:pStyle w:val="paragraph"/>
        <w:rPr>
          <w:sz w:val="24"/>
        </w:rPr>
      </w:pPr>
      <w:r w:rsidRPr="00883399">
        <w:rPr>
          <w:sz w:val="24"/>
        </w:rPr>
        <w:tab/>
        <w:t>(a)</w:t>
      </w:r>
      <w:r w:rsidRPr="00883399">
        <w:rPr>
          <w:sz w:val="24"/>
        </w:rPr>
        <w:tab/>
        <w:t>the stated capacity of the equipment according to the manufacturer’s nameplate;</w:t>
      </w:r>
    </w:p>
    <w:p w14:paraId="539F3F2A" w14:textId="77777777" w:rsidR="00872C03" w:rsidRPr="00883399" w:rsidRDefault="00872C03" w:rsidP="00872C03">
      <w:pPr>
        <w:pStyle w:val="paragraph"/>
        <w:rPr>
          <w:sz w:val="24"/>
        </w:rPr>
      </w:pPr>
      <w:r w:rsidRPr="00883399">
        <w:rPr>
          <w:sz w:val="24"/>
        </w:rPr>
        <w:tab/>
        <w:t>(b)</w:t>
      </w:r>
      <w:r w:rsidRPr="00883399">
        <w:rPr>
          <w:sz w:val="24"/>
        </w:rPr>
        <w:tab/>
        <w:t>estimates based on:</w:t>
      </w:r>
    </w:p>
    <w:p w14:paraId="1F47010E" w14:textId="77777777" w:rsidR="00872C03" w:rsidRPr="00883399" w:rsidRDefault="00872C03" w:rsidP="00872C03">
      <w:pPr>
        <w:pStyle w:val="paragraphsub"/>
        <w:rPr>
          <w:sz w:val="24"/>
        </w:rPr>
      </w:pPr>
      <w:r w:rsidRPr="00883399">
        <w:rPr>
          <w:sz w:val="24"/>
        </w:rPr>
        <w:lastRenderedPageBreak/>
        <w:tab/>
        <w:t>(i)</w:t>
      </w:r>
      <w:r w:rsidRPr="00883399">
        <w:rPr>
          <w:sz w:val="24"/>
        </w:rPr>
        <w:tab/>
        <w:t>the opening stock of gas in the equipment; and</w:t>
      </w:r>
    </w:p>
    <w:p w14:paraId="020044EA" w14:textId="77777777" w:rsidR="00872C03" w:rsidRPr="00883399" w:rsidRDefault="00872C03" w:rsidP="00872C03">
      <w:pPr>
        <w:pStyle w:val="paragraphsub"/>
        <w:rPr>
          <w:sz w:val="24"/>
        </w:rPr>
      </w:pPr>
      <w:r w:rsidRPr="00883399">
        <w:rPr>
          <w:sz w:val="24"/>
        </w:rPr>
        <w:tab/>
        <w:t>(ii)</w:t>
      </w:r>
      <w:r w:rsidRPr="00883399">
        <w:rPr>
          <w:sz w:val="24"/>
        </w:rPr>
        <w:tab/>
        <w:t>transfers into the facility from additions of gas from purchases of new equipment and replenishments; and</w:t>
      </w:r>
    </w:p>
    <w:p w14:paraId="5F607BC7" w14:textId="77777777" w:rsidR="00872C03" w:rsidRPr="00883399" w:rsidRDefault="00872C03" w:rsidP="00872C03">
      <w:pPr>
        <w:pStyle w:val="paragraphsub"/>
        <w:rPr>
          <w:sz w:val="24"/>
        </w:rPr>
      </w:pPr>
      <w:r w:rsidRPr="00883399">
        <w:rPr>
          <w:sz w:val="24"/>
        </w:rPr>
        <w:tab/>
        <w:t>(iii)</w:t>
      </w:r>
      <w:r w:rsidRPr="00883399">
        <w:rPr>
          <w:sz w:val="24"/>
        </w:rPr>
        <w:tab/>
        <w:t>transfers out of the facility from disposal of equipment or gas.</w:t>
      </w:r>
    </w:p>
    <w:p w14:paraId="13797909" w14:textId="77777777" w:rsidR="00872C03" w:rsidRPr="00883399" w:rsidRDefault="00872C03" w:rsidP="00872C03">
      <w:pPr>
        <w:pStyle w:val="subsection"/>
        <w:rPr>
          <w:sz w:val="24"/>
        </w:rPr>
      </w:pPr>
      <w:r w:rsidRPr="00883399">
        <w:rPr>
          <w:sz w:val="24"/>
        </w:rPr>
        <w:tab/>
        <w:t>(3)</w:t>
      </w:r>
      <w:r w:rsidRPr="00883399">
        <w:rPr>
          <w:sz w:val="24"/>
        </w:rPr>
        <w:tab/>
        <w:t>For equipment type (</w:t>
      </w:r>
      <w:r w:rsidRPr="00883399">
        <w:rPr>
          <w:b/>
          <w:i/>
          <w:sz w:val="24"/>
        </w:rPr>
        <w:t>k</w:t>
      </w:r>
      <w:r w:rsidRPr="00883399">
        <w:rPr>
          <w:sz w:val="24"/>
        </w:rPr>
        <w:t>), the equipment are the things mentioned in subregulation 4.16(1) of the Regulations.</w:t>
      </w:r>
    </w:p>
    <w:p w14:paraId="3624FC6D" w14:textId="77777777" w:rsidR="00872C03" w:rsidRPr="00883399" w:rsidRDefault="00872C03" w:rsidP="00872C03">
      <w:pPr>
        <w:pStyle w:val="subsection"/>
        <w:rPr>
          <w:sz w:val="24"/>
        </w:rPr>
      </w:pPr>
      <w:r w:rsidRPr="00883399">
        <w:rPr>
          <w:sz w:val="24"/>
        </w:rPr>
        <w:tab/>
        <w:t>(4)</w:t>
      </w:r>
      <w:r w:rsidRPr="00883399">
        <w:rPr>
          <w:sz w:val="24"/>
        </w:rPr>
        <w:tab/>
        <w:t>For subsection (1), columns 3 and 4 of an item in the following table set out default leakage rates of gas type (</w:t>
      </w:r>
      <w:r w:rsidRPr="00883399">
        <w:rPr>
          <w:b/>
          <w:i/>
          <w:sz w:val="24"/>
        </w:rPr>
        <w:t>j</w:t>
      </w:r>
      <w:r w:rsidRPr="00883399">
        <w:rPr>
          <w:sz w:val="24"/>
        </w:rPr>
        <w:t>), for either hydrofluorocarbons or sulphur hexafluoride, in relation to particular equipment types (</w:t>
      </w:r>
      <w:r w:rsidRPr="00883399">
        <w:rPr>
          <w:b/>
          <w:i/>
          <w:sz w:val="24"/>
        </w:rPr>
        <w:t>k</w:t>
      </w:r>
      <w:r w:rsidRPr="00883399">
        <w:rPr>
          <w:sz w:val="24"/>
        </w:rPr>
        <w:t>) mentioned in column 2 of the item:</w:t>
      </w:r>
    </w:p>
    <w:p w14:paraId="43F4B73E" w14:textId="77777777" w:rsidR="00872C03" w:rsidRPr="00883399" w:rsidRDefault="00872C03" w:rsidP="00872C03">
      <w:pPr>
        <w:pStyle w:val="Tabletext0"/>
        <w:rPr>
          <w:sz w:val="22"/>
        </w:rPr>
      </w:pPr>
    </w:p>
    <w:tbl>
      <w:tblPr>
        <w:tblW w:w="0" w:type="auto"/>
        <w:tblInd w:w="1068" w:type="dxa"/>
        <w:tblLayout w:type="fixed"/>
        <w:tblLook w:val="0000" w:firstRow="0" w:lastRow="0" w:firstColumn="0" w:lastColumn="0" w:noHBand="0" w:noVBand="0"/>
      </w:tblPr>
      <w:tblGrid>
        <w:gridCol w:w="720"/>
        <w:gridCol w:w="2520"/>
        <w:gridCol w:w="2100"/>
        <w:gridCol w:w="2100"/>
      </w:tblGrid>
      <w:tr w:rsidR="00872C03" w:rsidRPr="00883399" w14:paraId="455C4879" w14:textId="77777777" w:rsidTr="0031057E">
        <w:trPr>
          <w:cantSplit/>
          <w:tblHeader/>
        </w:trPr>
        <w:tc>
          <w:tcPr>
            <w:tcW w:w="720" w:type="dxa"/>
            <w:vMerge w:val="restart"/>
            <w:tcBorders>
              <w:top w:val="single" w:sz="12" w:space="0" w:color="auto"/>
            </w:tcBorders>
          </w:tcPr>
          <w:p w14:paraId="1E26909B" w14:textId="77777777" w:rsidR="00872C03" w:rsidRPr="00883399" w:rsidRDefault="00872C03" w:rsidP="0031057E">
            <w:pPr>
              <w:pStyle w:val="TableHeading"/>
              <w:rPr>
                <w:sz w:val="22"/>
              </w:rPr>
            </w:pPr>
            <w:r w:rsidRPr="00883399">
              <w:rPr>
                <w:sz w:val="22"/>
              </w:rPr>
              <w:t>Item</w:t>
            </w:r>
          </w:p>
        </w:tc>
        <w:tc>
          <w:tcPr>
            <w:tcW w:w="2520" w:type="dxa"/>
            <w:vMerge w:val="restart"/>
            <w:tcBorders>
              <w:top w:val="single" w:sz="12" w:space="0" w:color="auto"/>
            </w:tcBorders>
          </w:tcPr>
          <w:p w14:paraId="48863DEF" w14:textId="77777777" w:rsidR="00872C03" w:rsidRPr="00883399" w:rsidRDefault="00872C03" w:rsidP="0031057E">
            <w:pPr>
              <w:pStyle w:val="TableHeading"/>
              <w:rPr>
                <w:sz w:val="22"/>
              </w:rPr>
            </w:pPr>
            <w:r w:rsidRPr="00883399">
              <w:rPr>
                <w:sz w:val="22"/>
              </w:rPr>
              <w:t>Equipment type (k)</w:t>
            </w:r>
          </w:p>
        </w:tc>
        <w:tc>
          <w:tcPr>
            <w:tcW w:w="4200" w:type="dxa"/>
            <w:gridSpan w:val="2"/>
            <w:tcBorders>
              <w:top w:val="single" w:sz="12" w:space="0" w:color="auto"/>
              <w:bottom w:val="single" w:sz="4" w:space="0" w:color="auto"/>
            </w:tcBorders>
          </w:tcPr>
          <w:p w14:paraId="6102D96E" w14:textId="77777777" w:rsidR="00872C03" w:rsidRPr="00883399" w:rsidRDefault="00872C03" w:rsidP="0031057E">
            <w:pPr>
              <w:pStyle w:val="TableHeading"/>
              <w:rPr>
                <w:sz w:val="22"/>
              </w:rPr>
            </w:pPr>
            <w:r w:rsidRPr="00883399">
              <w:rPr>
                <w:sz w:val="22"/>
              </w:rPr>
              <w:t>Default annual leakage rate of gas (j)</w:t>
            </w:r>
          </w:p>
        </w:tc>
      </w:tr>
      <w:tr w:rsidR="00872C03" w:rsidRPr="00883399" w14:paraId="67CB86E8" w14:textId="77777777" w:rsidTr="0031057E">
        <w:trPr>
          <w:cantSplit/>
          <w:tblHeader/>
        </w:trPr>
        <w:tc>
          <w:tcPr>
            <w:tcW w:w="720" w:type="dxa"/>
            <w:vMerge/>
            <w:tcBorders>
              <w:bottom w:val="single" w:sz="12" w:space="0" w:color="auto"/>
            </w:tcBorders>
          </w:tcPr>
          <w:p w14:paraId="005518F0" w14:textId="77777777" w:rsidR="00872C03" w:rsidRPr="00883399" w:rsidRDefault="00872C03" w:rsidP="0031057E">
            <w:pPr>
              <w:pStyle w:val="TableHeading"/>
              <w:rPr>
                <w:sz w:val="22"/>
              </w:rPr>
            </w:pPr>
          </w:p>
        </w:tc>
        <w:tc>
          <w:tcPr>
            <w:tcW w:w="2520" w:type="dxa"/>
            <w:vMerge/>
            <w:tcBorders>
              <w:bottom w:val="single" w:sz="12" w:space="0" w:color="auto"/>
            </w:tcBorders>
          </w:tcPr>
          <w:p w14:paraId="5BAA4D88" w14:textId="77777777" w:rsidR="00872C03" w:rsidRPr="00883399" w:rsidRDefault="00872C03" w:rsidP="0031057E">
            <w:pPr>
              <w:pStyle w:val="TableHeading"/>
              <w:rPr>
                <w:sz w:val="22"/>
              </w:rPr>
            </w:pPr>
          </w:p>
        </w:tc>
        <w:tc>
          <w:tcPr>
            <w:tcW w:w="2100" w:type="dxa"/>
            <w:tcBorders>
              <w:top w:val="single" w:sz="4" w:space="0" w:color="auto"/>
              <w:bottom w:val="single" w:sz="12" w:space="0" w:color="auto"/>
            </w:tcBorders>
          </w:tcPr>
          <w:p w14:paraId="2F6D49E7" w14:textId="77777777" w:rsidR="00872C03" w:rsidRPr="00883399" w:rsidRDefault="00872C03" w:rsidP="0031057E">
            <w:pPr>
              <w:pStyle w:val="TableHeading"/>
              <w:rPr>
                <w:sz w:val="22"/>
              </w:rPr>
            </w:pPr>
            <w:r w:rsidRPr="00883399">
              <w:rPr>
                <w:sz w:val="22"/>
              </w:rPr>
              <w:t xml:space="preserve">Hydrofluorocarbons </w:t>
            </w:r>
          </w:p>
        </w:tc>
        <w:tc>
          <w:tcPr>
            <w:tcW w:w="2100" w:type="dxa"/>
            <w:tcBorders>
              <w:top w:val="single" w:sz="4" w:space="0" w:color="auto"/>
              <w:bottom w:val="single" w:sz="12" w:space="0" w:color="auto"/>
            </w:tcBorders>
          </w:tcPr>
          <w:p w14:paraId="0EB8EF93" w14:textId="77777777" w:rsidR="00872C03" w:rsidRPr="00883399" w:rsidRDefault="00872C03" w:rsidP="0031057E">
            <w:pPr>
              <w:pStyle w:val="TableHeading"/>
              <w:rPr>
                <w:sz w:val="22"/>
              </w:rPr>
            </w:pPr>
            <w:r w:rsidRPr="00883399">
              <w:rPr>
                <w:sz w:val="22"/>
              </w:rPr>
              <w:t>Sulphur hexafluoride</w:t>
            </w:r>
          </w:p>
        </w:tc>
      </w:tr>
      <w:tr w:rsidR="00872C03" w:rsidRPr="00883399" w14:paraId="33C73C02" w14:textId="77777777" w:rsidTr="0031057E">
        <w:trPr>
          <w:cantSplit/>
        </w:trPr>
        <w:tc>
          <w:tcPr>
            <w:tcW w:w="720" w:type="dxa"/>
            <w:tcBorders>
              <w:top w:val="single" w:sz="12" w:space="0" w:color="auto"/>
              <w:bottom w:val="single" w:sz="4" w:space="0" w:color="auto"/>
            </w:tcBorders>
          </w:tcPr>
          <w:p w14:paraId="06036E71" w14:textId="77777777" w:rsidR="00872C03" w:rsidRPr="00883399" w:rsidRDefault="00872C03" w:rsidP="0031057E">
            <w:pPr>
              <w:pStyle w:val="Tabletext0"/>
              <w:rPr>
                <w:sz w:val="22"/>
              </w:rPr>
            </w:pPr>
            <w:r w:rsidRPr="00883399">
              <w:rPr>
                <w:sz w:val="22"/>
              </w:rPr>
              <w:t>1</w:t>
            </w:r>
          </w:p>
        </w:tc>
        <w:tc>
          <w:tcPr>
            <w:tcW w:w="2520" w:type="dxa"/>
            <w:tcBorders>
              <w:top w:val="single" w:sz="12" w:space="0" w:color="auto"/>
              <w:bottom w:val="single" w:sz="4" w:space="0" w:color="auto"/>
            </w:tcBorders>
          </w:tcPr>
          <w:p w14:paraId="4CB097B4" w14:textId="77777777" w:rsidR="00872C03" w:rsidRPr="00883399" w:rsidRDefault="00872C03" w:rsidP="0031057E">
            <w:pPr>
              <w:pStyle w:val="Tabletext0"/>
              <w:rPr>
                <w:sz w:val="22"/>
              </w:rPr>
            </w:pPr>
            <w:r w:rsidRPr="00883399">
              <w:rPr>
                <w:sz w:val="22"/>
              </w:rPr>
              <w:t>Commercial air conditioning</w:t>
            </w:r>
          </w:p>
        </w:tc>
        <w:tc>
          <w:tcPr>
            <w:tcW w:w="2100" w:type="dxa"/>
            <w:tcBorders>
              <w:top w:val="single" w:sz="12" w:space="0" w:color="auto"/>
              <w:bottom w:val="single" w:sz="4" w:space="0" w:color="auto"/>
            </w:tcBorders>
          </w:tcPr>
          <w:p w14:paraId="2DB8A624" w14:textId="77777777" w:rsidR="00872C03" w:rsidRPr="00883399" w:rsidRDefault="00872C03" w:rsidP="0031057E">
            <w:pPr>
              <w:pStyle w:val="Tabletext0"/>
              <w:rPr>
                <w:sz w:val="22"/>
              </w:rPr>
            </w:pPr>
            <w:r w:rsidRPr="00883399">
              <w:rPr>
                <w:sz w:val="22"/>
              </w:rPr>
              <w:t>0.09</w:t>
            </w:r>
          </w:p>
        </w:tc>
        <w:tc>
          <w:tcPr>
            <w:tcW w:w="2100" w:type="dxa"/>
            <w:tcBorders>
              <w:top w:val="single" w:sz="12" w:space="0" w:color="auto"/>
              <w:bottom w:val="single" w:sz="4" w:space="0" w:color="auto"/>
            </w:tcBorders>
          </w:tcPr>
          <w:p w14:paraId="1FCA6D13" w14:textId="77777777" w:rsidR="00872C03" w:rsidRPr="00883399" w:rsidRDefault="00872C03" w:rsidP="0031057E">
            <w:pPr>
              <w:pStyle w:val="Tabletext0"/>
              <w:rPr>
                <w:sz w:val="22"/>
              </w:rPr>
            </w:pPr>
          </w:p>
        </w:tc>
      </w:tr>
      <w:tr w:rsidR="00872C03" w:rsidRPr="00883399" w14:paraId="6C042370" w14:textId="77777777" w:rsidTr="0031057E">
        <w:trPr>
          <w:cantSplit/>
        </w:trPr>
        <w:tc>
          <w:tcPr>
            <w:tcW w:w="720" w:type="dxa"/>
            <w:tcBorders>
              <w:top w:val="single" w:sz="4" w:space="0" w:color="auto"/>
              <w:bottom w:val="single" w:sz="4" w:space="0" w:color="auto"/>
            </w:tcBorders>
          </w:tcPr>
          <w:p w14:paraId="7D55E4DA" w14:textId="77777777" w:rsidR="00872C03" w:rsidRPr="00883399" w:rsidRDefault="00872C03" w:rsidP="0031057E">
            <w:pPr>
              <w:pStyle w:val="Tabletext0"/>
              <w:rPr>
                <w:sz w:val="22"/>
              </w:rPr>
            </w:pPr>
            <w:r w:rsidRPr="00883399">
              <w:rPr>
                <w:sz w:val="22"/>
              </w:rPr>
              <w:t>2</w:t>
            </w:r>
          </w:p>
        </w:tc>
        <w:tc>
          <w:tcPr>
            <w:tcW w:w="2520" w:type="dxa"/>
            <w:tcBorders>
              <w:top w:val="single" w:sz="4" w:space="0" w:color="auto"/>
              <w:bottom w:val="single" w:sz="4" w:space="0" w:color="auto"/>
            </w:tcBorders>
          </w:tcPr>
          <w:p w14:paraId="63396E03" w14:textId="77777777" w:rsidR="00872C03" w:rsidRPr="00883399" w:rsidRDefault="00872C03" w:rsidP="0031057E">
            <w:pPr>
              <w:pStyle w:val="Tabletext0"/>
              <w:rPr>
                <w:sz w:val="22"/>
              </w:rPr>
            </w:pPr>
            <w:r w:rsidRPr="00883399">
              <w:rPr>
                <w:sz w:val="22"/>
              </w:rPr>
              <w:t>Commercial refrigeration</w:t>
            </w:r>
          </w:p>
        </w:tc>
        <w:tc>
          <w:tcPr>
            <w:tcW w:w="2100" w:type="dxa"/>
            <w:tcBorders>
              <w:top w:val="single" w:sz="4" w:space="0" w:color="auto"/>
              <w:bottom w:val="single" w:sz="4" w:space="0" w:color="auto"/>
            </w:tcBorders>
          </w:tcPr>
          <w:p w14:paraId="2D3E5BCE" w14:textId="77777777" w:rsidR="00872C03" w:rsidRPr="00883399" w:rsidRDefault="00872C03" w:rsidP="0031057E">
            <w:pPr>
              <w:pStyle w:val="Tabletext0"/>
              <w:rPr>
                <w:sz w:val="22"/>
              </w:rPr>
            </w:pPr>
            <w:r w:rsidRPr="00883399">
              <w:rPr>
                <w:sz w:val="22"/>
              </w:rPr>
              <w:t>0.23</w:t>
            </w:r>
          </w:p>
        </w:tc>
        <w:tc>
          <w:tcPr>
            <w:tcW w:w="2100" w:type="dxa"/>
            <w:tcBorders>
              <w:top w:val="single" w:sz="4" w:space="0" w:color="auto"/>
              <w:bottom w:val="single" w:sz="4" w:space="0" w:color="auto"/>
            </w:tcBorders>
          </w:tcPr>
          <w:p w14:paraId="4C54CB32" w14:textId="77777777" w:rsidR="00872C03" w:rsidRPr="00883399" w:rsidRDefault="00872C03" w:rsidP="0031057E">
            <w:pPr>
              <w:pStyle w:val="Tabletext0"/>
              <w:rPr>
                <w:sz w:val="22"/>
              </w:rPr>
            </w:pPr>
          </w:p>
        </w:tc>
      </w:tr>
      <w:tr w:rsidR="00872C03" w:rsidRPr="00883399" w14:paraId="224DC94B" w14:textId="77777777" w:rsidTr="0031057E">
        <w:trPr>
          <w:cantSplit/>
        </w:trPr>
        <w:tc>
          <w:tcPr>
            <w:tcW w:w="720" w:type="dxa"/>
            <w:tcBorders>
              <w:top w:val="single" w:sz="4" w:space="0" w:color="auto"/>
              <w:bottom w:val="single" w:sz="4" w:space="0" w:color="auto"/>
            </w:tcBorders>
          </w:tcPr>
          <w:p w14:paraId="75D07D90" w14:textId="77777777" w:rsidR="00872C03" w:rsidRPr="00883399" w:rsidRDefault="00872C03" w:rsidP="0031057E">
            <w:pPr>
              <w:pStyle w:val="Tabletext0"/>
              <w:rPr>
                <w:sz w:val="22"/>
              </w:rPr>
            </w:pPr>
            <w:r w:rsidRPr="00883399">
              <w:rPr>
                <w:sz w:val="22"/>
              </w:rPr>
              <w:t>3</w:t>
            </w:r>
          </w:p>
        </w:tc>
        <w:tc>
          <w:tcPr>
            <w:tcW w:w="2520" w:type="dxa"/>
            <w:tcBorders>
              <w:top w:val="single" w:sz="4" w:space="0" w:color="auto"/>
              <w:bottom w:val="single" w:sz="4" w:space="0" w:color="auto"/>
            </w:tcBorders>
          </w:tcPr>
          <w:p w14:paraId="5A6E0382" w14:textId="77777777" w:rsidR="00872C03" w:rsidRPr="00883399" w:rsidRDefault="00872C03" w:rsidP="0031057E">
            <w:pPr>
              <w:pStyle w:val="Tabletext0"/>
              <w:rPr>
                <w:sz w:val="22"/>
              </w:rPr>
            </w:pPr>
            <w:r w:rsidRPr="00883399">
              <w:rPr>
                <w:sz w:val="22"/>
              </w:rPr>
              <w:t>Industrial refrigeration</w:t>
            </w:r>
          </w:p>
        </w:tc>
        <w:tc>
          <w:tcPr>
            <w:tcW w:w="2100" w:type="dxa"/>
            <w:tcBorders>
              <w:top w:val="single" w:sz="4" w:space="0" w:color="auto"/>
              <w:bottom w:val="single" w:sz="4" w:space="0" w:color="auto"/>
            </w:tcBorders>
          </w:tcPr>
          <w:p w14:paraId="4989785B" w14:textId="77777777" w:rsidR="00872C03" w:rsidRPr="00883399" w:rsidRDefault="00872C03" w:rsidP="0031057E">
            <w:pPr>
              <w:pStyle w:val="Tabletext0"/>
              <w:rPr>
                <w:sz w:val="22"/>
              </w:rPr>
            </w:pPr>
            <w:r w:rsidRPr="00883399">
              <w:rPr>
                <w:sz w:val="22"/>
              </w:rPr>
              <w:t>0.16</w:t>
            </w:r>
          </w:p>
        </w:tc>
        <w:tc>
          <w:tcPr>
            <w:tcW w:w="2100" w:type="dxa"/>
            <w:tcBorders>
              <w:top w:val="single" w:sz="4" w:space="0" w:color="auto"/>
              <w:bottom w:val="single" w:sz="4" w:space="0" w:color="auto"/>
            </w:tcBorders>
          </w:tcPr>
          <w:p w14:paraId="39DB04A4" w14:textId="77777777" w:rsidR="00872C03" w:rsidRPr="00883399" w:rsidRDefault="00872C03" w:rsidP="0031057E">
            <w:pPr>
              <w:pStyle w:val="Tabletext0"/>
              <w:rPr>
                <w:sz w:val="22"/>
              </w:rPr>
            </w:pPr>
          </w:p>
        </w:tc>
      </w:tr>
      <w:tr w:rsidR="00872C03" w:rsidRPr="00883399" w14:paraId="221A1132" w14:textId="77777777" w:rsidTr="0031057E">
        <w:trPr>
          <w:cantSplit/>
        </w:trPr>
        <w:tc>
          <w:tcPr>
            <w:tcW w:w="720" w:type="dxa"/>
            <w:tcBorders>
              <w:top w:val="single" w:sz="4" w:space="0" w:color="auto"/>
              <w:bottom w:val="single" w:sz="12" w:space="0" w:color="auto"/>
            </w:tcBorders>
          </w:tcPr>
          <w:p w14:paraId="1D300130" w14:textId="77777777" w:rsidR="00872C03" w:rsidRPr="00883399" w:rsidRDefault="00872C03" w:rsidP="0031057E">
            <w:pPr>
              <w:pStyle w:val="Tabletext0"/>
              <w:rPr>
                <w:sz w:val="22"/>
              </w:rPr>
            </w:pPr>
            <w:r w:rsidRPr="00883399">
              <w:rPr>
                <w:sz w:val="22"/>
              </w:rPr>
              <w:t>4</w:t>
            </w:r>
          </w:p>
        </w:tc>
        <w:tc>
          <w:tcPr>
            <w:tcW w:w="2520" w:type="dxa"/>
            <w:tcBorders>
              <w:top w:val="single" w:sz="4" w:space="0" w:color="auto"/>
              <w:bottom w:val="single" w:sz="12" w:space="0" w:color="auto"/>
            </w:tcBorders>
          </w:tcPr>
          <w:p w14:paraId="55AA5817" w14:textId="77777777" w:rsidR="00872C03" w:rsidRPr="00883399" w:rsidRDefault="00872C03" w:rsidP="0031057E">
            <w:pPr>
              <w:pStyle w:val="Tabletext0"/>
              <w:rPr>
                <w:sz w:val="22"/>
              </w:rPr>
            </w:pPr>
            <w:r w:rsidRPr="00883399">
              <w:rPr>
                <w:sz w:val="22"/>
              </w:rPr>
              <w:t>Gas insulated switchgear and circuit breaker applications</w:t>
            </w:r>
          </w:p>
        </w:tc>
        <w:tc>
          <w:tcPr>
            <w:tcW w:w="2100" w:type="dxa"/>
            <w:tcBorders>
              <w:top w:val="single" w:sz="4" w:space="0" w:color="auto"/>
              <w:bottom w:val="single" w:sz="12" w:space="0" w:color="auto"/>
            </w:tcBorders>
          </w:tcPr>
          <w:p w14:paraId="03025967" w14:textId="77777777" w:rsidR="00872C03" w:rsidRPr="00883399" w:rsidRDefault="00872C03" w:rsidP="0031057E">
            <w:pPr>
              <w:pStyle w:val="Tabletext0"/>
              <w:rPr>
                <w:sz w:val="22"/>
              </w:rPr>
            </w:pPr>
          </w:p>
        </w:tc>
        <w:tc>
          <w:tcPr>
            <w:tcW w:w="2100" w:type="dxa"/>
            <w:tcBorders>
              <w:top w:val="single" w:sz="4" w:space="0" w:color="auto"/>
              <w:bottom w:val="single" w:sz="12" w:space="0" w:color="auto"/>
            </w:tcBorders>
          </w:tcPr>
          <w:p w14:paraId="0C2C7F3D" w14:textId="77777777" w:rsidR="00872C03" w:rsidRPr="00883399" w:rsidRDefault="00872C03" w:rsidP="0031057E">
            <w:pPr>
              <w:pStyle w:val="Tabletext0"/>
              <w:rPr>
                <w:sz w:val="22"/>
                <w:vertAlign w:val="superscript"/>
              </w:rPr>
            </w:pPr>
            <w:r w:rsidRPr="00883399">
              <w:rPr>
                <w:sz w:val="22"/>
              </w:rPr>
              <w:t>0.0089</w:t>
            </w:r>
          </w:p>
        </w:tc>
      </w:tr>
    </w:tbl>
    <w:p w14:paraId="5D1260F4" w14:textId="77777777" w:rsidR="006E1310" w:rsidRPr="00883399" w:rsidRDefault="006E1310" w:rsidP="006E1310">
      <w:pPr>
        <w:autoSpaceDE w:val="0"/>
        <w:autoSpaceDN w:val="0"/>
        <w:adjustRightInd w:val="0"/>
        <w:spacing w:before="240" w:line="312" w:lineRule="auto"/>
        <w:rPr>
          <w:rFonts w:ascii="Arial" w:hAnsi="Arial" w:cs="Arial"/>
          <w:sz w:val="22"/>
          <w:szCs w:val="22"/>
        </w:rPr>
      </w:pPr>
      <w:bookmarkStart w:id="1058" w:name="_Toc423517125"/>
      <w:r w:rsidRPr="00883399">
        <w:rPr>
          <w:rFonts w:ascii="Arial" w:hAnsi="Arial" w:cs="Arial"/>
          <w:sz w:val="22"/>
          <w:szCs w:val="22"/>
        </w:rPr>
        <w:t>Both the type and quantity of hydrofluorocarbon or SF</w:t>
      </w:r>
      <w:r w:rsidRPr="00883399">
        <w:rPr>
          <w:rFonts w:ascii="Arial" w:hAnsi="Arial" w:cs="Arial"/>
          <w:sz w:val="22"/>
          <w:szCs w:val="22"/>
          <w:vertAlign w:val="subscript"/>
        </w:rPr>
        <w:t xml:space="preserve">6 </w:t>
      </w:r>
      <w:r w:rsidRPr="00883399">
        <w:rPr>
          <w:rFonts w:ascii="Arial" w:hAnsi="Arial" w:cs="Arial"/>
          <w:sz w:val="22"/>
          <w:szCs w:val="22"/>
        </w:rPr>
        <w:t>contained in the equipment should be shown on the equipment compliance plate.  Quantities of hydrofluorocarbon or SF</w:t>
      </w:r>
      <w:r w:rsidRPr="00883399">
        <w:rPr>
          <w:rFonts w:ascii="Arial" w:hAnsi="Arial" w:cs="Arial"/>
          <w:sz w:val="22"/>
          <w:szCs w:val="22"/>
          <w:vertAlign w:val="subscript"/>
        </w:rPr>
        <w:t>6</w:t>
      </w:r>
      <w:r w:rsidRPr="00883399">
        <w:rPr>
          <w:rFonts w:ascii="Arial" w:hAnsi="Arial" w:cs="Arial"/>
          <w:sz w:val="22"/>
          <w:szCs w:val="22"/>
        </w:rPr>
        <w:t xml:space="preserve"> should be converted into CO</w:t>
      </w:r>
      <w:r w:rsidRPr="00883399">
        <w:rPr>
          <w:rFonts w:ascii="Arial" w:hAnsi="Arial" w:cs="Arial"/>
          <w:sz w:val="22"/>
          <w:szCs w:val="22"/>
          <w:vertAlign w:val="subscript"/>
        </w:rPr>
        <w:t>2</w:t>
      </w:r>
      <w:r w:rsidRPr="00883399">
        <w:rPr>
          <w:rFonts w:ascii="Arial" w:hAnsi="Arial" w:cs="Arial"/>
          <w:sz w:val="22"/>
          <w:szCs w:val="22"/>
        </w:rPr>
        <w:t>-e using the Global Warming Potentials listed in Appendix C. Where a refrigerant blend is used a worksheet for that particular refrigerant blend should be completed and a weighted average of the global warming potentials for each type of refrigerant in the blend should be used to convert to CO</w:t>
      </w:r>
      <w:r w:rsidRPr="00883399">
        <w:rPr>
          <w:rFonts w:ascii="Arial" w:hAnsi="Arial" w:cs="Arial"/>
          <w:sz w:val="22"/>
          <w:szCs w:val="22"/>
          <w:vertAlign w:val="subscript"/>
        </w:rPr>
        <w:t>2</w:t>
      </w:r>
      <w:r w:rsidRPr="00883399">
        <w:rPr>
          <w:rFonts w:ascii="Arial" w:hAnsi="Arial" w:cs="Arial"/>
          <w:sz w:val="22"/>
          <w:szCs w:val="22"/>
        </w:rPr>
        <w:t>-e.</w:t>
      </w:r>
    </w:p>
    <w:p w14:paraId="251E4B45" w14:textId="77777777" w:rsidR="0062566C" w:rsidRPr="00883399" w:rsidRDefault="0062566C" w:rsidP="006E1310">
      <w:pPr>
        <w:autoSpaceDE w:val="0"/>
        <w:autoSpaceDN w:val="0"/>
        <w:adjustRightInd w:val="0"/>
        <w:spacing w:before="240" w:line="312" w:lineRule="auto"/>
        <w:rPr>
          <w:rFonts w:ascii="Arial" w:hAnsi="Arial" w:cs="Arial"/>
          <w:sz w:val="22"/>
          <w:szCs w:val="22"/>
        </w:rPr>
      </w:pPr>
    </w:p>
    <w:p w14:paraId="163A50F7" w14:textId="77777777" w:rsidR="0062566C" w:rsidRPr="00883399" w:rsidRDefault="0062566C" w:rsidP="006E1310">
      <w:pPr>
        <w:autoSpaceDE w:val="0"/>
        <w:autoSpaceDN w:val="0"/>
        <w:adjustRightInd w:val="0"/>
        <w:spacing w:before="240" w:line="312" w:lineRule="auto"/>
        <w:rPr>
          <w:rFonts w:ascii="Arial" w:hAnsi="Arial" w:cs="Arial"/>
          <w:sz w:val="22"/>
          <w:szCs w:val="22"/>
        </w:rPr>
      </w:pPr>
    </w:p>
    <w:p w14:paraId="5640BE5D" w14:textId="77777777" w:rsidR="007A2F4A" w:rsidRPr="00883399" w:rsidRDefault="007A2F4A" w:rsidP="007A2F4A">
      <w:pPr>
        <w:pStyle w:val="Text"/>
        <w:pBdr>
          <w:top w:val="single" w:sz="4" w:space="1" w:color="auto"/>
          <w:left w:val="single" w:sz="4" w:space="4" w:color="auto"/>
          <w:bottom w:val="single" w:sz="4" w:space="1" w:color="auto"/>
          <w:right w:val="single" w:sz="4" w:space="5" w:color="auto"/>
        </w:pBdr>
        <w:ind w:left="960"/>
        <w:outlineLvl w:val="0"/>
        <w:rPr>
          <w:b/>
          <w:sz w:val="22"/>
          <w:szCs w:val="22"/>
        </w:rPr>
      </w:pPr>
      <w:r w:rsidRPr="00883399">
        <w:rPr>
          <w:b/>
          <w:sz w:val="22"/>
          <w:szCs w:val="22"/>
        </w:rPr>
        <w:t>Example</w:t>
      </w:r>
    </w:p>
    <w:p w14:paraId="0CD3DD31" w14:textId="77777777" w:rsidR="007A2F4A" w:rsidRPr="00883399" w:rsidRDefault="007A2F4A" w:rsidP="007A2F4A">
      <w:pPr>
        <w:pStyle w:val="Text"/>
        <w:pBdr>
          <w:top w:val="single" w:sz="4" w:space="1" w:color="auto"/>
          <w:left w:val="single" w:sz="4" w:space="4" w:color="auto"/>
          <w:bottom w:val="single" w:sz="4" w:space="1" w:color="auto"/>
          <w:right w:val="single" w:sz="4" w:space="5" w:color="auto"/>
        </w:pBdr>
        <w:ind w:left="960"/>
        <w:rPr>
          <w:sz w:val="22"/>
          <w:szCs w:val="22"/>
        </w:rPr>
      </w:pPr>
      <w:r w:rsidRPr="00883399">
        <w:rPr>
          <w:sz w:val="22"/>
          <w:szCs w:val="22"/>
        </w:rPr>
        <w:t>For a commercial refrigeration unit with a stock of 2 tonnes of HFC-23 the emissions in CO</w:t>
      </w:r>
      <w:r w:rsidRPr="00883399">
        <w:rPr>
          <w:sz w:val="22"/>
          <w:szCs w:val="22"/>
          <w:vertAlign w:val="subscript"/>
        </w:rPr>
        <w:t>2</w:t>
      </w:r>
      <w:r w:rsidRPr="00883399">
        <w:rPr>
          <w:sz w:val="22"/>
          <w:szCs w:val="22"/>
        </w:rPr>
        <w:t>-e tonnes are:</w:t>
      </w:r>
    </w:p>
    <w:p w14:paraId="36D94764" w14:textId="77777777" w:rsidR="007A2F4A" w:rsidRPr="00883399" w:rsidRDefault="007A2F4A" w:rsidP="007A2F4A">
      <w:pPr>
        <w:pStyle w:val="Text"/>
        <w:pBdr>
          <w:top w:val="single" w:sz="4" w:space="1" w:color="auto"/>
          <w:left w:val="single" w:sz="4" w:space="4" w:color="auto"/>
          <w:bottom w:val="single" w:sz="4" w:space="1" w:color="auto"/>
          <w:right w:val="single" w:sz="4" w:space="5" w:color="auto"/>
        </w:pBdr>
        <w:ind w:left="960"/>
        <w:jc w:val="center"/>
        <w:rPr>
          <w:sz w:val="22"/>
          <w:szCs w:val="22"/>
        </w:rPr>
      </w:pPr>
      <w:r w:rsidRPr="00883399">
        <w:rPr>
          <w:position w:val="-8"/>
          <w:sz w:val="22"/>
          <w:szCs w:val="22"/>
        </w:rPr>
        <w:object w:dxaOrig="2160" w:dyaOrig="340" w14:anchorId="050152E8">
          <v:shape id="_x0000_i1081" type="#_x0000_t75" style="width:109.5pt;height:15.75pt" o:ole="">
            <v:imagedata r:id="rId243" o:title=""/>
          </v:shape>
          <o:OLEObject Type="Embed" ProgID="Equation.DSMT4" ShapeID="_x0000_i1081" DrawAspect="Content" ObjectID="_1594105972" r:id="rId244"/>
        </w:object>
      </w:r>
    </w:p>
    <w:p w14:paraId="48948FB5" w14:textId="77777777" w:rsidR="007A2F4A" w:rsidRPr="00883399" w:rsidRDefault="007A2F4A" w:rsidP="007A2F4A">
      <w:pPr>
        <w:pStyle w:val="Text"/>
        <w:pBdr>
          <w:top w:val="single" w:sz="4" w:space="1" w:color="auto"/>
          <w:left w:val="single" w:sz="4" w:space="4" w:color="auto"/>
          <w:bottom w:val="single" w:sz="4" w:space="1" w:color="auto"/>
          <w:right w:val="single" w:sz="4" w:space="5" w:color="auto"/>
        </w:pBdr>
        <w:ind w:left="960" w:firstLine="33"/>
        <w:rPr>
          <w:sz w:val="22"/>
          <w:szCs w:val="22"/>
        </w:rPr>
      </w:pPr>
      <w:r w:rsidRPr="00883399">
        <w:rPr>
          <w:sz w:val="22"/>
          <w:szCs w:val="22"/>
        </w:rPr>
        <w:lastRenderedPageBreak/>
        <w:t>where:</w:t>
      </w:r>
    </w:p>
    <w:p w14:paraId="0659FE6E" w14:textId="77777777" w:rsidR="007A2F4A" w:rsidRPr="00883399" w:rsidRDefault="007A2F4A" w:rsidP="007A2F4A">
      <w:pPr>
        <w:pStyle w:val="Text"/>
        <w:pBdr>
          <w:top w:val="single" w:sz="4" w:space="1" w:color="auto"/>
          <w:left w:val="single" w:sz="4" w:space="4" w:color="auto"/>
          <w:bottom w:val="single" w:sz="4" w:space="1" w:color="auto"/>
          <w:right w:val="single" w:sz="4" w:space="5" w:color="auto"/>
        </w:pBdr>
        <w:ind w:left="960"/>
        <w:rPr>
          <w:sz w:val="22"/>
          <w:szCs w:val="22"/>
        </w:rPr>
      </w:pPr>
      <w:r w:rsidRPr="00883399">
        <w:rPr>
          <w:b/>
          <w:i/>
          <w:sz w:val="22"/>
          <w:szCs w:val="22"/>
        </w:rPr>
        <w:t>E</w:t>
      </w:r>
      <w:r w:rsidRPr="00883399">
        <w:rPr>
          <w:b/>
          <w:i/>
          <w:sz w:val="22"/>
          <w:szCs w:val="22"/>
          <w:vertAlign w:val="subscript"/>
        </w:rPr>
        <w:t>jk</w:t>
      </w:r>
      <w:r w:rsidRPr="00883399">
        <w:rPr>
          <w:sz w:val="22"/>
          <w:szCs w:val="22"/>
          <w:vertAlign w:val="subscript"/>
        </w:rPr>
        <w:t xml:space="preserve"> </w:t>
      </w:r>
      <w:r w:rsidRPr="00883399">
        <w:rPr>
          <w:sz w:val="22"/>
          <w:szCs w:val="22"/>
        </w:rPr>
        <w:t>is the emissions of gas type (</w:t>
      </w:r>
      <w:r w:rsidRPr="00883399">
        <w:rPr>
          <w:b/>
          <w:i/>
          <w:sz w:val="22"/>
          <w:szCs w:val="22"/>
        </w:rPr>
        <w:t>j</w:t>
      </w:r>
      <w:r w:rsidRPr="00883399">
        <w:rPr>
          <w:sz w:val="22"/>
          <w:szCs w:val="22"/>
        </w:rPr>
        <w:t>), either hydrofluorocarbons or sulphur hexafluoride, summed over each equipment type (</w:t>
      </w:r>
      <w:r w:rsidRPr="00883399">
        <w:rPr>
          <w:b/>
          <w:i/>
          <w:sz w:val="22"/>
          <w:szCs w:val="22"/>
        </w:rPr>
        <w:t>k</w:t>
      </w:r>
      <w:r w:rsidRPr="00883399">
        <w:rPr>
          <w:sz w:val="22"/>
          <w:szCs w:val="22"/>
        </w:rPr>
        <w:t>) during a year measured in CO</w:t>
      </w:r>
      <w:r w:rsidRPr="00883399">
        <w:rPr>
          <w:sz w:val="22"/>
          <w:szCs w:val="22"/>
          <w:vertAlign w:val="subscript"/>
        </w:rPr>
        <w:t>2</w:t>
      </w:r>
      <w:r w:rsidRPr="00883399">
        <w:rPr>
          <w:sz w:val="22"/>
          <w:szCs w:val="22"/>
        </w:rPr>
        <w:noBreakHyphen/>
        <w:t>e tonnes.</w:t>
      </w:r>
    </w:p>
    <w:p w14:paraId="4582761C" w14:textId="77777777" w:rsidR="007A2F4A" w:rsidRPr="00883399" w:rsidRDefault="007A2F4A" w:rsidP="007A2F4A">
      <w:pPr>
        <w:pStyle w:val="Text"/>
        <w:pBdr>
          <w:top w:val="single" w:sz="4" w:space="1" w:color="auto"/>
          <w:left w:val="single" w:sz="4" w:space="4" w:color="auto"/>
          <w:bottom w:val="single" w:sz="4" w:space="1" w:color="auto"/>
          <w:right w:val="single" w:sz="4" w:space="5" w:color="auto"/>
        </w:pBdr>
        <w:ind w:left="960"/>
        <w:rPr>
          <w:sz w:val="22"/>
          <w:szCs w:val="22"/>
        </w:rPr>
      </w:pPr>
      <w:r w:rsidRPr="00883399">
        <w:rPr>
          <w:b/>
          <w:i/>
          <w:sz w:val="22"/>
          <w:szCs w:val="22"/>
        </w:rPr>
        <w:t>Stock</w:t>
      </w:r>
      <w:r w:rsidRPr="00883399">
        <w:rPr>
          <w:b/>
          <w:i/>
          <w:sz w:val="22"/>
          <w:szCs w:val="22"/>
          <w:vertAlign w:val="subscript"/>
        </w:rPr>
        <w:t>jk</w:t>
      </w:r>
      <w:r w:rsidRPr="00883399">
        <w:rPr>
          <w:sz w:val="22"/>
          <w:szCs w:val="22"/>
        </w:rPr>
        <w:t xml:space="preserve"> is the stock of gas type (</w:t>
      </w:r>
      <w:r w:rsidRPr="00883399">
        <w:rPr>
          <w:b/>
          <w:i/>
          <w:sz w:val="22"/>
          <w:szCs w:val="22"/>
        </w:rPr>
        <w:t>j</w:t>
      </w:r>
      <w:r w:rsidRPr="00883399">
        <w:rPr>
          <w:sz w:val="22"/>
          <w:szCs w:val="22"/>
        </w:rPr>
        <w:t>), either hydrofluorocarbons or sulphur hexafluoride, contained in equipment type (</w:t>
      </w:r>
      <w:r w:rsidRPr="00883399">
        <w:rPr>
          <w:b/>
          <w:i/>
          <w:sz w:val="22"/>
          <w:szCs w:val="22"/>
        </w:rPr>
        <w:t>k</w:t>
      </w:r>
      <w:r w:rsidRPr="00883399">
        <w:rPr>
          <w:sz w:val="22"/>
          <w:szCs w:val="22"/>
        </w:rPr>
        <w:t>) during a year measured in CO</w:t>
      </w:r>
      <w:r w:rsidRPr="00883399">
        <w:rPr>
          <w:sz w:val="22"/>
          <w:szCs w:val="22"/>
          <w:vertAlign w:val="subscript"/>
        </w:rPr>
        <w:t>2</w:t>
      </w:r>
      <w:r w:rsidRPr="00883399">
        <w:rPr>
          <w:sz w:val="22"/>
          <w:szCs w:val="22"/>
        </w:rPr>
        <w:noBreakHyphen/>
        <w:t>e tonnes.</w:t>
      </w:r>
    </w:p>
    <w:p w14:paraId="38F9FA32" w14:textId="77777777" w:rsidR="007A2F4A" w:rsidRPr="00883399" w:rsidRDefault="007A2F4A" w:rsidP="007A2F4A">
      <w:pPr>
        <w:pStyle w:val="Text"/>
        <w:pBdr>
          <w:top w:val="single" w:sz="4" w:space="1" w:color="auto"/>
          <w:left w:val="single" w:sz="4" w:space="4" w:color="auto"/>
          <w:bottom w:val="single" w:sz="4" w:space="1" w:color="auto"/>
          <w:right w:val="single" w:sz="4" w:space="5" w:color="auto"/>
        </w:pBdr>
        <w:ind w:left="960"/>
        <w:rPr>
          <w:sz w:val="22"/>
          <w:szCs w:val="22"/>
        </w:rPr>
      </w:pPr>
      <w:r w:rsidRPr="00883399">
        <w:rPr>
          <w:b/>
          <w:i/>
          <w:sz w:val="22"/>
          <w:szCs w:val="22"/>
        </w:rPr>
        <w:t>L</w:t>
      </w:r>
      <w:r w:rsidRPr="00883399">
        <w:rPr>
          <w:b/>
          <w:i/>
          <w:sz w:val="22"/>
          <w:szCs w:val="22"/>
          <w:vertAlign w:val="subscript"/>
        </w:rPr>
        <w:t>jk</w:t>
      </w:r>
      <w:r w:rsidRPr="00883399">
        <w:rPr>
          <w:sz w:val="22"/>
          <w:szCs w:val="22"/>
          <w:vertAlign w:val="subscript"/>
        </w:rPr>
        <w:t xml:space="preserve"> </w:t>
      </w:r>
      <w:r w:rsidRPr="00883399">
        <w:rPr>
          <w:sz w:val="22"/>
          <w:szCs w:val="22"/>
        </w:rPr>
        <w:t>is the default leakage rates for a year of gas type (</w:t>
      </w:r>
      <w:r w:rsidRPr="00883399">
        <w:rPr>
          <w:b/>
          <w:i/>
          <w:sz w:val="22"/>
          <w:szCs w:val="22"/>
        </w:rPr>
        <w:t>j</w:t>
      </w:r>
      <w:r w:rsidRPr="00883399">
        <w:rPr>
          <w:sz w:val="22"/>
          <w:szCs w:val="22"/>
        </w:rPr>
        <w:t>) mentioned in columns 3 or 4 of an item in the table in subsection (4) for the equipment type (</w:t>
      </w:r>
      <w:r w:rsidRPr="00883399">
        <w:rPr>
          <w:b/>
          <w:i/>
          <w:sz w:val="22"/>
          <w:szCs w:val="22"/>
        </w:rPr>
        <w:t>k</w:t>
      </w:r>
      <w:r w:rsidRPr="00883399">
        <w:rPr>
          <w:sz w:val="22"/>
          <w:szCs w:val="22"/>
        </w:rPr>
        <w:t>) mentioned in column 2 for that item.</w:t>
      </w:r>
    </w:p>
    <w:p w14:paraId="69002AD3" w14:textId="77777777" w:rsidR="007A2F4A" w:rsidRPr="00883399" w:rsidRDefault="007A2F4A" w:rsidP="007A2F4A">
      <w:pPr>
        <w:pStyle w:val="Text"/>
        <w:pBdr>
          <w:top w:val="single" w:sz="4" w:space="1" w:color="auto"/>
          <w:left w:val="single" w:sz="4" w:space="4" w:color="auto"/>
          <w:bottom w:val="single" w:sz="4" w:space="1" w:color="auto"/>
          <w:right w:val="single" w:sz="4" w:space="5" w:color="auto"/>
        </w:pBdr>
        <w:ind w:left="960"/>
        <w:rPr>
          <w:sz w:val="22"/>
          <w:szCs w:val="22"/>
        </w:rPr>
      </w:pPr>
      <w:r w:rsidRPr="00883399">
        <w:rPr>
          <w:sz w:val="22"/>
          <w:szCs w:val="22"/>
        </w:rPr>
        <w:t>Convert the tonnes of HFC-23 to CO</w:t>
      </w:r>
      <w:r w:rsidRPr="00883399">
        <w:rPr>
          <w:sz w:val="22"/>
          <w:szCs w:val="22"/>
          <w:vertAlign w:val="subscript"/>
        </w:rPr>
        <w:t>2</w:t>
      </w:r>
      <w:r w:rsidRPr="00883399">
        <w:rPr>
          <w:sz w:val="22"/>
          <w:szCs w:val="22"/>
        </w:rPr>
        <w:noBreakHyphen/>
        <w:t>e tonnes using the global warming potential for HFC-23 listed in Appendix C</w:t>
      </w:r>
    </w:p>
    <w:p w14:paraId="4677D89D" w14:textId="77777777" w:rsidR="007A2F4A" w:rsidRPr="00883399" w:rsidRDefault="007A2F4A" w:rsidP="007A2F4A">
      <w:pPr>
        <w:pStyle w:val="Text"/>
        <w:pBdr>
          <w:top w:val="single" w:sz="4" w:space="1" w:color="auto"/>
          <w:left w:val="single" w:sz="4" w:space="4" w:color="auto"/>
          <w:bottom w:val="single" w:sz="4" w:space="1" w:color="auto"/>
          <w:right w:val="single" w:sz="4" w:space="5" w:color="auto"/>
        </w:pBdr>
        <w:ind w:left="960"/>
        <w:jc w:val="center"/>
        <w:rPr>
          <w:sz w:val="22"/>
          <w:szCs w:val="22"/>
        </w:rPr>
      </w:pPr>
      <w:r w:rsidRPr="00883399">
        <w:rPr>
          <w:sz w:val="22"/>
          <w:szCs w:val="22"/>
        </w:rPr>
        <w:t>Stock = 2 x GWP</w:t>
      </w:r>
    </w:p>
    <w:p w14:paraId="7EBDD174" w14:textId="77777777" w:rsidR="007A2F4A" w:rsidRPr="00883399" w:rsidRDefault="007A2F4A" w:rsidP="007A2F4A">
      <w:pPr>
        <w:pStyle w:val="Text"/>
        <w:pBdr>
          <w:top w:val="single" w:sz="4" w:space="1" w:color="auto"/>
          <w:left w:val="single" w:sz="4" w:space="4" w:color="auto"/>
          <w:bottom w:val="single" w:sz="4" w:space="1" w:color="auto"/>
          <w:right w:val="single" w:sz="4" w:space="5" w:color="auto"/>
        </w:pBdr>
        <w:ind w:left="960"/>
        <w:jc w:val="center"/>
        <w:rPr>
          <w:sz w:val="22"/>
          <w:szCs w:val="22"/>
        </w:rPr>
      </w:pPr>
      <w:r w:rsidRPr="00883399">
        <w:rPr>
          <w:sz w:val="22"/>
          <w:szCs w:val="22"/>
        </w:rPr>
        <w:t>= 2 x 14,800</w:t>
      </w:r>
    </w:p>
    <w:p w14:paraId="531947D9" w14:textId="77777777" w:rsidR="007A2F4A" w:rsidRPr="00883399" w:rsidRDefault="007A2F4A" w:rsidP="007A2F4A">
      <w:pPr>
        <w:pStyle w:val="Text"/>
        <w:pBdr>
          <w:top w:val="single" w:sz="4" w:space="1" w:color="auto"/>
          <w:left w:val="single" w:sz="4" w:space="4" w:color="auto"/>
          <w:bottom w:val="single" w:sz="4" w:space="1" w:color="auto"/>
          <w:right w:val="single" w:sz="4" w:space="5" w:color="auto"/>
        </w:pBdr>
        <w:ind w:left="960"/>
        <w:jc w:val="center"/>
        <w:rPr>
          <w:sz w:val="22"/>
          <w:szCs w:val="22"/>
        </w:rPr>
      </w:pPr>
      <w:r w:rsidRPr="00883399">
        <w:rPr>
          <w:sz w:val="22"/>
          <w:szCs w:val="22"/>
        </w:rPr>
        <w:t>= 29,600 CO</w:t>
      </w:r>
      <w:r w:rsidRPr="00883399">
        <w:rPr>
          <w:sz w:val="22"/>
          <w:szCs w:val="22"/>
          <w:vertAlign w:val="subscript"/>
        </w:rPr>
        <w:t>2</w:t>
      </w:r>
      <w:r w:rsidRPr="00883399">
        <w:rPr>
          <w:sz w:val="22"/>
          <w:szCs w:val="22"/>
        </w:rPr>
        <w:noBreakHyphen/>
        <w:t xml:space="preserve">e tonnes </w:t>
      </w:r>
    </w:p>
    <w:p w14:paraId="0BE641A7" w14:textId="77777777" w:rsidR="007A2F4A" w:rsidRPr="00883399" w:rsidRDefault="007A2F4A" w:rsidP="007A2F4A">
      <w:pPr>
        <w:pStyle w:val="Text"/>
        <w:pBdr>
          <w:top w:val="single" w:sz="4" w:space="1" w:color="auto"/>
          <w:left w:val="single" w:sz="4" w:space="4" w:color="auto"/>
          <w:bottom w:val="single" w:sz="4" w:space="1" w:color="auto"/>
          <w:right w:val="single" w:sz="4" w:space="5" w:color="auto"/>
        </w:pBdr>
        <w:ind w:left="960"/>
        <w:rPr>
          <w:sz w:val="22"/>
          <w:szCs w:val="22"/>
        </w:rPr>
      </w:pPr>
      <w:r w:rsidRPr="00883399">
        <w:rPr>
          <w:sz w:val="22"/>
          <w:szCs w:val="22"/>
        </w:rPr>
        <w:t>Emissions in CO</w:t>
      </w:r>
      <w:r w:rsidRPr="00883399">
        <w:rPr>
          <w:sz w:val="22"/>
          <w:szCs w:val="22"/>
          <w:vertAlign w:val="subscript"/>
        </w:rPr>
        <w:t>2</w:t>
      </w:r>
      <w:r w:rsidRPr="00883399">
        <w:rPr>
          <w:sz w:val="22"/>
          <w:szCs w:val="22"/>
        </w:rPr>
        <w:noBreakHyphen/>
        <w:t>e tonnes are:</w:t>
      </w:r>
    </w:p>
    <w:p w14:paraId="1B7153C6" w14:textId="77777777" w:rsidR="007A2F4A" w:rsidRPr="00883399" w:rsidRDefault="007A2F4A" w:rsidP="007A2F4A">
      <w:pPr>
        <w:pStyle w:val="Text"/>
        <w:pBdr>
          <w:top w:val="single" w:sz="4" w:space="1" w:color="auto"/>
          <w:left w:val="single" w:sz="4" w:space="4" w:color="auto"/>
          <w:bottom w:val="single" w:sz="4" w:space="1" w:color="auto"/>
          <w:right w:val="single" w:sz="4" w:space="5" w:color="auto"/>
        </w:pBdr>
        <w:ind w:left="960"/>
        <w:jc w:val="center"/>
        <w:rPr>
          <w:sz w:val="22"/>
          <w:szCs w:val="22"/>
        </w:rPr>
      </w:pPr>
      <w:r w:rsidRPr="00883399">
        <w:rPr>
          <w:sz w:val="22"/>
          <w:szCs w:val="22"/>
        </w:rPr>
        <w:t>= 24,000 x 0.23</w:t>
      </w:r>
    </w:p>
    <w:p w14:paraId="65A79DEE" w14:textId="77777777" w:rsidR="007A2F4A" w:rsidRPr="00883399" w:rsidRDefault="007A2F4A" w:rsidP="007A2F4A">
      <w:pPr>
        <w:pStyle w:val="Text"/>
        <w:pBdr>
          <w:top w:val="single" w:sz="4" w:space="1" w:color="auto"/>
          <w:left w:val="single" w:sz="4" w:space="4" w:color="auto"/>
          <w:bottom w:val="single" w:sz="4" w:space="1" w:color="auto"/>
          <w:right w:val="single" w:sz="4" w:space="5" w:color="auto"/>
        </w:pBdr>
        <w:ind w:left="960"/>
        <w:jc w:val="center"/>
        <w:rPr>
          <w:sz w:val="22"/>
          <w:szCs w:val="22"/>
        </w:rPr>
      </w:pPr>
      <w:r w:rsidRPr="00883399">
        <w:rPr>
          <w:sz w:val="22"/>
          <w:szCs w:val="22"/>
        </w:rPr>
        <w:t>= 8,880 t CO</w:t>
      </w:r>
      <w:r w:rsidRPr="00883399">
        <w:rPr>
          <w:sz w:val="22"/>
          <w:szCs w:val="22"/>
          <w:vertAlign w:val="subscript"/>
        </w:rPr>
        <w:t>2</w:t>
      </w:r>
      <w:r w:rsidRPr="00883399">
        <w:rPr>
          <w:sz w:val="22"/>
          <w:szCs w:val="22"/>
        </w:rPr>
        <w:t>-e</w:t>
      </w:r>
    </w:p>
    <w:p w14:paraId="6A62ACD8" w14:textId="7F6DBD8D" w:rsidR="00872C03" w:rsidRPr="00883399" w:rsidRDefault="00872C03" w:rsidP="00872C03">
      <w:pPr>
        <w:pStyle w:val="ActHead5"/>
        <w:rPr>
          <w:sz w:val="28"/>
        </w:rPr>
      </w:pPr>
      <w:bookmarkStart w:id="1059" w:name="_Toc495653057"/>
      <w:r w:rsidRPr="00883399">
        <w:rPr>
          <w:rStyle w:val="CharSectno"/>
          <w:sz w:val="28"/>
        </w:rPr>
        <w:t>4.103</w:t>
      </w:r>
      <w:r w:rsidRPr="00883399">
        <w:rPr>
          <w:sz w:val="28"/>
        </w:rPr>
        <w:t xml:space="preserve">  Method 2</w:t>
      </w:r>
      <w:bookmarkEnd w:id="1058"/>
      <w:bookmarkEnd w:id="1059"/>
    </w:p>
    <w:p w14:paraId="668DBE32" w14:textId="77777777" w:rsidR="006E1310" w:rsidRPr="00883399" w:rsidRDefault="006E1310" w:rsidP="006E1310">
      <w:pPr>
        <w:autoSpaceDE w:val="0"/>
        <w:autoSpaceDN w:val="0"/>
        <w:adjustRightInd w:val="0"/>
        <w:spacing w:before="240" w:line="312" w:lineRule="auto"/>
        <w:rPr>
          <w:rFonts w:ascii="Arial" w:hAnsi="Arial" w:cs="Arial"/>
          <w:sz w:val="22"/>
          <w:szCs w:val="22"/>
        </w:rPr>
      </w:pPr>
      <w:r w:rsidRPr="00883399">
        <w:rPr>
          <w:rFonts w:ascii="Arial" w:hAnsi="Arial" w:cs="Arial"/>
          <w:sz w:val="22"/>
          <w:szCs w:val="22"/>
        </w:rPr>
        <w:t>The stock may also be estimated from mass balance calculations based on the opening stock of gas; transfers into the facility from additions of gas from purchases of new equipment and replenishments; and transfers out of the facility from disposal of equipment or gas. Method 2 uses the mass balance worksheet in Appendix A of the ENA Industry Guideline for SF</w:t>
      </w:r>
      <w:r w:rsidRPr="00883399">
        <w:rPr>
          <w:rFonts w:ascii="Arial" w:hAnsi="Arial" w:cs="Arial"/>
          <w:sz w:val="22"/>
          <w:szCs w:val="22"/>
          <w:vertAlign w:val="subscript"/>
        </w:rPr>
        <w:t>6</w:t>
      </w:r>
      <w:r w:rsidRPr="00883399">
        <w:rPr>
          <w:rFonts w:ascii="Arial" w:hAnsi="Arial" w:cs="Arial"/>
          <w:sz w:val="22"/>
          <w:szCs w:val="22"/>
        </w:rPr>
        <w:t xml:space="preserve"> Management and reporters should use this worksheet for both SF</w:t>
      </w:r>
      <w:r w:rsidRPr="00883399">
        <w:rPr>
          <w:rFonts w:ascii="Arial" w:hAnsi="Arial" w:cs="Arial"/>
          <w:sz w:val="22"/>
          <w:szCs w:val="22"/>
          <w:vertAlign w:val="subscript"/>
        </w:rPr>
        <w:t>6</w:t>
      </w:r>
      <w:r w:rsidRPr="00883399">
        <w:rPr>
          <w:rFonts w:ascii="Arial" w:hAnsi="Arial" w:cs="Arial"/>
          <w:sz w:val="22"/>
          <w:szCs w:val="22"/>
        </w:rPr>
        <w:t xml:space="preserve"> and hydrofluorocarbon gases. A separate worksheet should be completed for each type of gas. </w:t>
      </w:r>
    </w:p>
    <w:p w14:paraId="66C67B4C" w14:textId="77777777" w:rsidR="006E1310" w:rsidRPr="00883399" w:rsidRDefault="006E1310" w:rsidP="006E1310">
      <w:pPr>
        <w:autoSpaceDE w:val="0"/>
        <w:autoSpaceDN w:val="0"/>
        <w:adjustRightInd w:val="0"/>
        <w:spacing w:before="240" w:line="312" w:lineRule="auto"/>
        <w:rPr>
          <w:rFonts w:ascii="Arial" w:hAnsi="Arial" w:cs="Arial"/>
          <w:sz w:val="22"/>
          <w:szCs w:val="22"/>
        </w:rPr>
      </w:pPr>
      <w:r w:rsidRPr="00883399">
        <w:rPr>
          <w:rFonts w:ascii="Arial" w:hAnsi="Arial" w:cs="Arial"/>
          <w:sz w:val="22"/>
          <w:szCs w:val="22"/>
        </w:rPr>
        <w:t>Note that the total annual loss estimate (item F in the mass balance worksheet) for each type of gas should be converted into CO</w:t>
      </w:r>
      <w:r w:rsidRPr="00883399">
        <w:rPr>
          <w:rFonts w:ascii="Arial" w:hAnsi="Arial" w:cs="Arial"/>
          <w:sz w:val="22"/>
          <w:szCs w:val="22"/>
          <w:vertAlign w:val="subscript"/>
        </w:rPr>
        <w:t>2</w:t>
      </w:r>
      <w:r w:rsidRPr="00883399">
        <w:rPr>
          <w:rFonts w:ascii="Arial" w:hAnsi="Arial" w:cs="Arial"/>
          <w:sz w:val="22"/>
          <w:szCs w:val="22"/>
        </w:rPr>
        <w:t xml:space="preserve">-e using the Global Warming </w:t>
      </w:r>
      <w:r w:rsidRPr="00883399">
        <w:rPr>
          <w:rFonts w:ascii="Arial" w:hAnsi="Arial" w:cs="Arial"/>
          <w:sz w:val="22"/>
          <w:szCs w:val="22"/>
        </w:rPr>
        <w:lastRenderedPageBreak/>
        <w:t>Potentials listed in Appendix C. Where a refrigerant blend is used a worksheet for that particular refrigerant blend should be completed and a weighted average of the global warming potentials for each type of HFC in the blend should be used to convert to CO</w:t>
      </w:r>
      <w:r w:rsidRPr="00883399">
        <w:rPr>
          <w:rFonts w:ascii="Arial" w:hAnsi="Arial" w:cs="Arial"/>
          <w:sz w:val="22"/>
          <w:szCs w:val="22"/>
          <w:vertAlign w:val="subscript"/>
        </w:rPr>
        <w:t>2</w:t>
      </w:r>
      <w:r w:rsidRPr="00883399">
        <w:rPr>
          <w:rFonts w:ascii="Arial" w:hAnsi="Arial" w:cs="Arial"/>
          <w:sz w:val="22"/>
          <w:szCs w:val="22"/>
        </w:rPr>
        <w:t>-e.</w:t>
      </w:r>
    </w:p>
    <w:p w14:paraId="67750B77" w14:textId="77777777" w:rsidR="006E1310" w:rsidRPr="00883399" w:rsidRDefault="006E1310" w:rsidP="006E1310">
      <w:pPr>
        <w:autoSpaceDE w:val="0"/>
        <w:autoSpaceDN w:val="0"/>
        <w:adjustRightInd w:val="0"/>
        <w:spacing w:before="240" w:line="312" w:lineRule="auto"/>
        <w:rPr>
          <w:rFonts w:ascii="Arial" w:hAnsi="Arial" w:cs="Arial"/>
          <w:sz w:val="22"/>
          <w:szCs w:val="22"/>
        </w:rPr>
      </w:pPr>
      <w:r w:rsidRPr="00883399">
        <w:rPr>
          <w:rFonts w:ascii="Arial" w:hAnsi="Arial" w:cs="Arial"/>
          <w:sz w:val="22"/>
          <w:szCs w:val="22"/>
        </w:rPr>
        <w:t>As the mass balance worksheet may not include all items for addition and subtraction applicable to the management of refrigerant systems (hydrofluorocarbons), Reporters of HFCs may modify the worksheet in order to obtain a more accurate estimate of emissions.</w:t>
      </w:r>
    </w:p>
    <w:p w14:paraId="1045D3E9" w14:textId="77777777" w:rsidR="006E1310" w:rsidRPr="00883399" w:rsidRDefault="006E1310" w:rsidP="006E1310">
      <w:pPr>
        <w:autoSpaceDE w:val="0"/>
        <w:autoSpaceDN w:val="0"/>
        <w:adjustRightInd w:val="0"/>
        <w:spacing w:before="240" w:line="312" w:lineRule="auto"/>
        <w:rPr>
          <w:rFonts w:ascii="Arial" w:hAnsi="Arial" w:cs="Arial"/>
          <w:sz w:val="22"/>
          <w:szCs w:val="22"/>
        </w:rPr>
      </w:pPr>
      <w:r w:rsidRPr="00883399">
        <w:rPr>
          <w:rFonts w:ascii="Arial" w:hAnsi="Arial" w:cs="Arial"/>
          <w:sz w:val="22"/>
          <w:szCs w:val="22"/>
        </w:rPr>
        <w:t>Storage means all equipment, cylinders and other containers which hold hydrofluorocarbons or SF</w:t>
      </w:r>
      <w:r w:rsidRPr="00883399">
        <w:rPr>
          <w:rFonts w:ascii="Arial" w:hAnsi="Arial" w:cs="Arial"/>
          <w:sz w:val="22"/>
          <w:szCs w:val="22"/>
          <w:vertAlign w:val="subscript"/>
        </w:rPr>
        <w:t>6</w:t>
      </w:r>
      <w:r w:rsidRPr="00883399">
        <w:rPr>
          <w:rFonts w:ascii="Arial" w:hAnsi="Arial" w:cs="Arial"/>
          <w:sz w:val="22"/>
          <w:szCs w:val="22"/>
        </w:rPr>
        <w:t xml:space="preserve"> not in use and which meet the requirements of 4.100 and 4.101.</w:t>
      </w:r>
    </w:p>
    <w:p w14:paraId="61DF58E6" w14:textId="77777777" w:rsidR="00872C03" w:rsidRPr="00883399" w:rsidRDefault="00872C03" w:rsidP="00872C03">
      <w:pPr>
        <w:pStyle w:val="subsection"/>
        <w:rPr>
          <w:sz w:val="24"/>
        </w:rPr>
      </w:pPr>
      <w:r w:rsidRPr="00883399">
        <w:rPr>
          <w:sz w:val="24"/>
        </w:rPr>
        <w:tab/>
        <w:t xml:space="preserve">For paragraph 4.98(1)(b), method 2 for estimating emissions of hydrofluorocarbons or sulphur hexafluoride during a year uses the tables in Appendix A of the publication entitled </w:t>
      </w:r>
      <w:r w:rsidRPr="00883399">
        <w:rPr>
          <w:i/>
          <w:sz w:val="24"/>
        </w:rPr>
        <w:t>ENA Industry Guideline for SF</w:t>
      </w:r>
      <w:r w:rsidRPr="00883399">
        <w:rPr>
          <w:i/>
          <w:sz w:val="24"/>
          <w:vertAlign w:val="subscript"/>
        </w:rPr>
        <w:t xml:space="preserve">6 </w:t>
      </w:r>
      <w:r w:rsidRPr="00883399">
        <w:rPr>
          <w:i/>
          <w:sz w:val="24"/>
        </w:rPr>
        <w:t>Management</w:t>
      </w:r>
      <w:r w:rsidRPr="00883399">
        <w:rPr>
          <w:sz w:val="24"/>
        </w:rPr>
        <w:t>,</w:t>
      </w:r>
      <w:r w:rsidRPr="00883399">
        <w:rPr>
          <w:sz w:val="24"/>
          <w:vertAlign w:val="subscript"/>
        </w:rPr>
        <w:t xml:space="preserve"> </w:t>
      </w:r>
      <w:r w:rsidRPr="00883399">
        <w:rPr>
          <w:sz w:val="24"/>
        </w:rPr>
        <w:t>Energy Networks Association, 2008.</w:t>
      </w:r>
    </w:p>
    <w:p w14:paraId="506265CA" w14:textId="6EB4CBC0" w:rsidR="00872C03" w:rsidRPr="00883399" w:rsidRDefault="00872C03" w:rsidP="00872C03">
      <w:pPr>
        <w:pStyle w:val="ActHead5"/>
        <w:rPr>
          <w:sz w:val="28"/>
        </w:rPr>
      </w:pPr>
      <w:bookmarkStart w:id="1060" w:name="_Toc423517126"/>
      <w:bookmarkStart w:id="1061" w:name="_Toc495653058"/>
      <w:r w:rsidRPr="00883399">
        <w:rPr>
          <w:rStyle w:val="CharSectno"/>
          <w:sz w:val="28"/>
        </w:rPr>
        <w:t>4.104</w:t>
      </w:r>
      <w:r w:rsidRPr="00883399">
        <w:rPr>
          <w:sz w:val="28"/>
        </w:rPr>
        <w:t xml:space="preserve">  Method 3</w:t>
      </w:r>
      <w:bookmarkEnd w:id="1060"/>
      <w:bookmarkEnd w:id="1061"/>
    </w:p>
    <w:p w14:paraId="69E7E859" w14:textId="77777777" w:rsidR="006E1310" w:rsidRPr="00883399" w:rsidRDefault="00872C03" w:rsidP="006E1310">
      <w:pPr>
        <w:pStyle w:val="R1"/>
        <w:keepLines w:val="0"/>
        <w:autoSpaceDE w:val="0"/>
        <w:autoSpaceDN w:val="0"/>
        <w:adjustRightInd w:val="0"/>
        <w:spacing w:before="240" w:line="312" w:lineRule="auto"/>
        <w:ind w:left="0" w:firstLine="0"/>
        <w:jc w:val="left"/>
        <w:rPr>
          <w:rFonts w:ascii="Arial" w:hAnsi="Arial" w:cs="Arial"/>
          <w:color w:val="000000"/>
          <w:sz w:val="22"/>
          <w:szCs w:val="22"/>
        </w:rPr>
      </w:pPr>
      <w:r w:rsidRPr="00883399">
        <w:tab/>
      </w:r>
      <w:r w:rsidR="006E1310" w:rsidRPr="00883399">
        <w:rPr>
          <w:rFonts w:ascii="Arial" w:hAnsi="Arial" w:cs="Arial"/>
          <w:sz w:val="22"/>
          <w:szCs w:val="22"/>
        </w:rPr>
        <w:t>Alternatively, emissions may be estimated from data on replenishments of gases in equipment as a proxy for leakage and using an assumption that the stock levels of gases within the equipment are maintained at constant levels in order to maintain constant operating efficiency levels. Method 3 uses this approach and refers reporters of SF</w:t>
      </w:r>
      <w:r w:rsidR="006E1310" w:rsidRPr="00883399">
        <w:rPr>
          <w:rFonts w:ascii="Arial" w:hAnsi="Arial" w:cs="Arial"/>
          <w:sz w:val="22"/>
          <w:szCs w:val="22"/>
          <w:vertAlign w:val="subscript"/>
        </w:rPr>
        <w:t>6</w:t>
      </w:r>
      <w:r w:rsidR="006E1310" w:rsidRPr="00883399">
        <w:rPr>
          <w:rFonts w:ascii="Arial" w:hAnsi="Arial" w:cs="Arial"/>
          <w:sz w:val="22"/>
          <w:szCs w:val="22"/>
        </w:rPr>
        <w:t xml:space="preserve"> to the whole section in the </w:t>
      </w:r>
      <w:r w:rsidR="006E1310" w:rsidRPr="00883399">
        <w:rPr>
          <w:i/>
          <w:color w:val="000000"/>
        </w:rPr>
        <w:t>ENA Industry Guideline for SF</w:t>
      </w:r>
      <w:r w:rsidR="006E1310" w:rsidRPr="00883399">
        <w:rPr>
          <w:i/>
          <w:color w:val="000000"/>
          <w:vertAlign w:val="subscript"/>
        </w:rPr>
        <w:t xml:space="preserve">6 </w:t>
      </w:r>
      <w:r w:rsidR="006E1310" w:rsidRPr="00883399">
        <w:rPr>
          <w:i/>
          <w:color w:val="000000"/>
        </w:rPr>
        <w:t xml:space="preserve">Management, </w:t>
      </w:r>
      <w:r w:rsidR="006E1310" w:rsidRPr="00883399">
        <w:rPr>
          <w:rFonts w:ascii="Arial" w:hAnsi="Arial" w:cs="Arial"/>
          <w:color w:val="000000"/>
          <w:sz w:val="22"/>
          <w:szCs w:val="22"/>
        </w:rPr>
        <w:t xml:space="preserve">section 6.3, which provides a discussion as well as a worksheet (by reference to Appendix B). </w:t>
      </w:r>
    </w:p>
    <w:p w14:paraId="00C982BD" w14:textId="77777777" w:rsidR="006E1310" w:rsidRPr="00883399" w:rsidRDefault="006E1310" w:rsidP="006E1310">
      <w:pPr>
        <w:pStyle w:val="R1"/>
        <w:keepLines w:val="0"/>
        <w:autoSpaceDE w:val="0"/>
        <w:autoSpaceDN w:val="0"/>
        <w:adjustRightInd w:val="0"/>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 xml:space="preserve">For reporters of HFCs, however, Method 3 simply references the worksheet in Appendix B of the </w:t>
      </w:r>
      <w:r w:rsidRPr="00883399">
        <w:rPr>
          <w:i/>
          <w:color w:val="000000"/>
        </w:rPr>
        <w:t>ENA Industry Guideline for SF</w:t>
      </w:r>
      <w:r w:rsidRPr="00883399">
        <w:rPr>
          <w:i/>
          <w:color w:val="000000"/>
          <w:vertAlign w:val="subscript"/>
        </w:rPr>
        <w:t xml:space="preserve">6 </w:t>
      </w:r>
      <w:r w:rsidRPr="00883399">
        <w:rPr>
          <w:i/>
          <w:color w:val="000000"/>
        </w:rPr>
        <w:t>Management,</w:t>
      </w:r>
      <w:r w:rsidRPr="00883399">
        <w:rPr>
          <w:rFonts w:ascii="Arial" w:hAnsi="Arial" w:cs="Arial"/>
          <w:color w:val="000000"/>
          <w:sz w:val="22"/>
          <w:szCs w:val="22"/>
        </w:rPr>
        <w:t xml:space="preserve"> and although it refers to SF</w:t>
      </w:r>
      <w:r w:rsidRPr="00883399">
        <w:rPr>
          <w:rFonts w:ascii="Arial" w:hAnsi="Arial" w:cs="Arial"/>
          <w:color w:val="000000"/>
          <w:sz w:val="22"/>
          <w:szCs w:val="22"/>
          <w:vertAlign w:val="subscript"/>
        </w:rPr>
        <w:t>6</w:t>
      </w:r>
      <w:r w:rsidRPr="00883399">
        <w:rPr>
          <w:rFonts w:ascii="Arial" w:hAnsi="Arial" w:cs="Arial"/>
          <w:color w:val="000000"/>
          <w:sz w:val="22"/>
          <w:szCs w:val="22"/>
        </w:rPr>
        <w:t xml:space="preserve"> can also be applied to HFCs.</w:t>
      </w:r>
    </w:p>
    <w:p w14:paraId="4DA94F6C" w14:textId="77777777" w:rsidR="006E1310" w:rsidRPr="00883399" w:rsidRDefault="006E1310" w:rsidP="006E1310">
      <w:pPr>
        <w:pStyle w:val="R1"/>
        <w:keepLines w:val="0"/>
        <w:autoSpaceDE w:val="0"/>
        <w:autoSpaceDN w:val="0"/>
        <w:adjustRightInd w:val="0"/>
        <w:spacing w:before="240" w:line="312" w:lineRule="auto"/>
        <w:ind w:left="0" w:firstLine="0"/>
        <w:jc w:val="left"/>
        <w:rPr>
          <w:rFonts w:ascii="Arial" w:hAnsi="Arial" w:cs="Arial"/>
          <w:color w:val="000000"/>
          <w:sz w:val="22"/>
          <w:szCs w:val="22"/>
        </w:rPr>
      </w:pPr>
      <w:r w:rsidRPr="00883399">
        <w:rPr>
          <w:rFonts w:ascii="Arial" w:hAnsi="Arial" w:cs="Arial"/>
          <w:sz w:val="22"/>
          <w:szCs w:val="22"/>
        </w:rPr>
        <w:t xml:space="preserve">A separate worksheet should be completed for each type of gas. </w:t>
      </w:r>
      <w:r w:rsidRPr="00883399">
        <w:rPr>
          <w:rFonts w:ascii="Arial" w:hAnsi="Arial" w:cs="Arial"/>
          <w:color w:val="000000"/>
          <w:sz w:val="22"/>
          <w:szCs w:val="22"/>
        </w:rPr>
        <w:t>The worksheet in Appendix B may not include all the point sources of losses for both SF</w:t>
      </w:r>
      <w:r w:rsidRPr="00883399">
        <w:rPr>
          <w:rFonts w:ascii="Arial" w:hAnsi="Arial" w:cs="Arial"/>
          <w:color w:val="000000"/>
          <w:sz w:val="22"/>
          <w:szCs w:val="22"/>
          <w:vertAlign w:val="subscript"/>
        </w:rPr>
        <w:t>6</w:t>
      </w:r>
      <w:r w:rsidRPr="00883399">
        <w:rPr>
          <w:rFonts w:ascii="Arial" w:hAnsi="Arial" w:cs="Arial"/>
          <w:color w:val="000000"/>
          <w:sz w:val="22"/>
          <w:szCs w:val="22"/>
        </w:rPr>
        <w:t xml:space="preserve"> and HFCs. Therefore this worksheet may be modified to include more point sources where they have been identified by the Reporter. </w:t>
      </w:r>
    </w:p>
    <w:p w14:paraId="7358B601" w14:textId="77777777" w:rsidR="006E1310" w:rsidRPr="00883399" w:rsidRDefault="006E1310" w:rsidP="006E1310">
      <w:pPr>
        <w:pStyle w:val="R2"/>
        <w:keepLines w:val="0"/>
        <w:autoSpaceDE w:val="0"/>
        <w:autoSpaceDN w:val="0"/>
        <w:adjustRightInd w:val="0"/>
        <w:spacing w:before="240" w:line="312" w:lineRule="auto"/>
        <w:ind w:left="0" w:firstLine="0"/>
        <w:jc w:val="left"/>
        <w:rPr>
          <w:rFonts w:ascii="Arial" w:hAnsi="Arial" w:cs="Arial"/>
          <w:sz w:val="22"/>
          <w:szCs w:val="22"/>
        </w:rPr>
      </w:pPr>
      <w:r w:rsidRPr="00883399">
        <w:rPr>
          <w:rFonts w:ascii="Arial" w:hAnsi="Arial" w:cs="Arial"/>
          <w:sz w:val="22"/>
          <w:szCs w:val="22"/>
        </w:rPr>
        <w:t>Note that the total annual loss of each type of gas should be converted into CO</w:t>
      </w:r>
      <w:r w:rsidRPr="00883399">
        <w:rPr>
          <w:rFonts w:ascii="Arial" w:hAnsi="Arial" w:cs="Arial"/>
          <w:sz w:val="22"/>
          <w:szCs w:val="22"/>
          <w:vertAlign w:val="subscript"/>
        </w:rPr>
        <w:t>2</w:t>
      </w:r>
      <w:r w:rsidRPr="00883399">
        <w:rPr>
          <w:rFonts w:ascii="Arial" w:hAnsi="Arial" w:cs="Arial"/>
          <w:sz w:val="22"/>
          <w:szCs w:val="22"/>
        </w:rPr>
        <w:t xml:space="preserve">-e using the Global Warming Potentials listed in Appendix C. Where a refrigerant blend </w:t>
      </w:r>
      <w:r w:rsidRPr="00883399">
        <w:rPr>
          <w:rFonts w:ascii="Arial" w:hAnsi="Arial" w:cs="Arial"/>
          <w:sz w:val="22"/>
          <w:szCs w:val="22"/>
        </w:rPr>
        <w:lastRenderedPageBreak/>
        <w:t>is used a worksheet for that particular refrigerant blend should be completed and a weighted average of the global warming potentials for each type of HFC in the blend should be used to convert to CO</w:t>
      </w:r>
      <w:r w:rsidRPr="00883399">
        <w:rPr>
          <w:rFonts w:ascii="Arial" w:hAnsi="Arial" w:cs="Arial"/>
          <w:sz w:val="22"/>
          <w:szCs w:val="22"/>
          <w:vertAlign w:val="subscript"/>
        </w:rPr>
        <w:t>2</w:t>
      </w:r>
      <w:r w:rsidRPr="00883399">
        <w:rPr>
          <w:rFonts w:ascii="Arial" w:hAnsi="Arial" w:cs="Arial"/>
          <w:sz w:val="22"/>
          <w:szCs w:val="22"/>
        </w:rPr>
        <w:t>-e.</w:t>
      </w:r>
    </w:p>
    <w:p w14:paraId="2D4B2C84" w14:textId="77777777" w:rsidR="006E1310" w:rsidRPr="00883399" w:rsidRDefault="006E1310" w:rsidP="006E1310">
      <w:pPr>
        <w:autoSpaceDE w:val="0"/>
        <w:autoSpaceDN w:val="0"/>
        <w:adjustRightInd w:val="0"/>
        <w:spacing w:before="240" w:line="312" w:lineRule="auto"/>
        <w:rPr>
          <w:rFonts w:ascii="Arial" w:hAnsi="Arial" w:cs="Arial"/>
          <w:sz w:val="22"/>
          <w:szCs w:val="22"/>
        </w:rPr>
      </w:pPr>
      <w:r w:rsidRPr="00883399">
        <w:rPr>
          <w:rFonts w:ascii="Arial" w:hAnsi="Arial" w:cs="Arial"/>
          <w:sz w:val="22"/>
          <w:szCs w:val="22"/>
        </w:rPr>
        <w:t>Storage means all equipment, cylinders and other containers which hold hydrofluorocarbons or SF</w:t>
      </w:r>
      <w:r w:rsidRPr="00883399">
        <w:rPr>
          <w:rFonts w:ascii="Arial" w:hAnsi="Arial" w:cs="Arial"/>
          <w:sz w:val="22"/>
          <w:szCs w:val="22"/>
          <w:vertAlign w:val="subscript"/>
        </w:rPr>
        <w:t>6</w:t>
      </w:r>
      <w:r w:rsidRPr="00883399">
        <w:rPr>
          <w:rFonts w:ascii="Arial" w:hAnsi="Arial" w:cs="Arial"/>
          <w:sz w:val="22"/>
          <w:szCs w:val="22"/>
        </w:rPr>
        <w:t xml:space="preserve"> not in use and which meet the requirements of 4.100 and 4.101.</w:t>
      </w:r>
    </w:p>
    <w:p w14:paraId="37F78A03" w14:textId="77777777" w:rsidR="00872C03" w:rsidRPr="00883399" w:rsidRDefault="006E1310" w:rsidP="006E1310">
      <w:pPr>
        <w:pStyle w:val="subsection"/>
        <w:rPr>
          <w:sz w:val="24"/>
        </w:rPr>
      </w:pPr>
      <w:r w:rsidRPr="00883399">
        <w:rPr>
          <w:sz w:val="24"/>
        </w:rPr>
        <w:t xml:space="preserve"> </w:t>
      </w:r>
      <w:r w:rsidRPr="00883399">
        <w:rPr>
          <w:sz w:val="24"/>
        </w:rPr>
        <w:tab/>
      </w:r>
      <w:r w:rsidR="00872C03" w:rsidRPr="00883399">
        <w:rPr>
          <w:sz w:val="24"/>
        </w:rPr>
        <w:t>(1)</w:t>
      </w:r>
      <w:r w:rsidR="00872C03" w:rsidRPr="00883399">
        <w:rPr>
          <w:sz w:val="24"/>
        </w:rPr>
        <w:tab/>
        <w:t xml:space="preserve">For paragraph 4.98(1)(c), method 3 for estimating emissions of hydrofluorocarbons uses the tables in Appendix B of the publication entitled </w:t>
      </w:r>
      <w:r w:rsidR="00872C03" w:rsidRPr="00883399">
        <w:rPr>
          <w:i/>
          <w:sz w:val="24"/>
        </w:rPr>
        <w:t>ENA Industry Guideline for SF</w:t>
      </w:r>
      <w:r w:rsidR="00872C03" w:rsidRPr="00883399">
        <w:rPr>
          <w:i/>
          <w:sz w:val="24"/>
          <w:vertAlign w:val="subscript"/>
        </w:rPr>
        <w:t xml:space="preserve">6 </w:t>
      </w:r>
      <w:r w:rsidR="00872C03" w:rsidRPr="00883399">
        <w:rPr>
          <w:i/>
          <w:sz w:val="24"/>
        </w:rPr>
        <w:t>Management</w:t>
      </w:r>
      <w:r w:rsidR="00872C03" w:rsidRPr="00883399">
        <w:rPr>
          <w:sz w:val="24"/>
        </w:rPr>
        <w:t>, Energy Networks Association, 2008.</w:t>
      </w:r>
    </w:p>
    <w:p w14:paraId="2E766890" w14:textId="77777777" w:rsidR="00872C03" w:rsidRPr="00883399" w:rsidRDefault="00872C03" w:rsidP="00872C03">
      <w:pPr>
        <w:pStyle w:val="subsection"/>
        <w:rPr>
          <w:sz w:val="24"/>
        </w:rPr>
      </w:pPr>
      <w:r w:rsidRPr="00883399">
        <w:rPr>
          <w:sz w:val="24"/>
        </w:rPr>
        <w:tab/>
        <w:t>(2)</w:t>
      </w:r>
      <w:r w:rsidRPr="00883399">
        <w:rPr>
          <w:sz w:val="24"/>
        </w:rPr>
        <w:tab/>
        <w:t xml:space="preserve">For paragraph 4.98(1)(c), method 3 for estimating emissions of sulphur hexafluoride during a year uses the Tier 3 method set out in section 6.3 of the publication mentioned in subsection (1). </w:t>
      </w:r>
    </w:p>
    <w:p w14:paraId="0F961D21" w14:textId="5C56A513" w:rsidR="00872C03" w:rsidRPr="00883399" w:rsidRDefault="00872C03" w:rsidP="00872C03">
      <w:pPr>
        <w:pStyle w:val="ActHead1"/>
        <w:pageBreakBefore/>
        <w:rPr>
          <w:sz w:val="40"/>
        </w:rPr>
      </w:pPr>
      <w:bookmarkStart w:id="1062" w:name="_Toc423517127"/>
      <w:bookmarkStart w:id="1063" w:name="_Toc495653059"/>
      <w:r w:rsidRPr="00883399">
        <w:rPr>
          <w:rStyle w:val="CharChapNo"/>
          <w:sz w:val="40"/>
        </w:rPr>
        <w:lastRenderedPageBreak/>
        <w:t>Chapter 5</w:t>
      </w:r>
      <w:r w:rsidRPr="00883399">
        <w:rPr>
          <w:sz w:val="40"/>
        </w:rPr>
        <w:t>—</w:t>
      </w:r>
      <w:r w:rsidRPr="00883399">
        <w:rPr>
          <w:rStyle w:val="CharChapText"/>
          <w:sz w:val="40"/>
        </w:rPr>
        <w:t>Waste</w:t>
      </w:r>
      <w:bookmarkEnd w:id="1062"/>
      <w:bookmarkEnd w:id="1063"/>
    </w:p>
    <w:p w14:paraId="0CE8330A" w14:textId="7342D6B9" w:rsidR="00872C03" w:rsidRPr="00883399" w:rsidRDefault="00872C03" w:rsidP="00872C03">
      <w:pPr>
        <w:pStyle w:val="ActHead2"/>
        <w:rPr>
          <w:sz w:val="36"/>
        </w:rPr>
      </w:pPr>
      <w:bookmarkStart w:id="1064" w:name="_Toc423517128"/>
      <w:bookmarkStart w:id="1065" w:name="_Toc495653060"/>
      <w:r w:rsidRPr="00883399">
        <w:rPr>
          <w:rStyle w:val="CharPartNo"/>
          <w:sz w:val="36"/>
        </w:rPr>
        <w:t>Part 5.1</w:t>
      </w:r>
      <w:r w:rsidRPr="00883399">
        <w:rPr>
          <w:sz w:val="36"/>
        </w:rPr>
        <w:t>—</w:t>
      </w:r>
      <w:r w:rsidRPr="00883399">
        <w:rPr>
          <w:rStyle w:val="CharPartText"/>
          <w:sz w:val="36"/>
        </w:rPr>
        <w:t>Preliminary</w:t>
      </w:r>
      <w:bookmarkEnd w:id="1064"/>
      <w:bookmarkEnd w:id="1065"/>
    </w:p>
    <w:p w14:paraId="42FAB503" w14:textId="77777777" w:rsidR="00872C03" w:rsidRPr="00883399" w:rsidRDefault="00872C03" w:rsidP="00872C03">
      <w:pPr>
        <w:pStyle w:val="Header"/>
        <w:rPr>
          <w:sz w:val="18"/>
        </w:rPr>
      </w:pPr>
      <w:r w:rsidRPr="00883399">
        <w:rPr>
          <w:rStyle w:val="CharDivNo"/>
          <w:sz w:val="18"/>
        </w:rPr>
        <w:t xml:space="preserve"> </w:t>
      </w:r>
      <w:r w:rsidRPr="00883399">
        <w:rPr>
          <w:rStyle w:val="CharDivText"/>
          <w:sz w:val="18"/>
        </w:rPr>
        <w:t xml:space="preserve"> </w:t>
      </w:r>
    </w:p>
    <w:p w14:paraId="26FF1EA4" w14:textId="7DA329CA" w:rsidR="00872C03" w:rsidRPr="00883399" w:rsidRDefault="00872C03" w:rsidP="00872C03">
      <w:pPr>
        <w:pStyle w:val="ActHead5"/>
        <w:rPr>
          <w:sz w:val="28"/>
        </w:rPr>
      </w:pPr>
      <w:bookmarkStart w:id="1066" w:name="_Toc423517129"/>
      <w:bookmarkStart w:id="1067" w:name="_Toc495653061"/>
      <w:r w:rsidRPr="00883399">
        <w:rPr>
          <w:rStyle w:val="CharSectno"/>
          <w:sz w:val="28"/>
        </w:rPr>
        <w:t>5.1</w:t>
      </w:r>
      <w:r w:rsidRPr="00883399">
        <w:rPr>
          <w:sz w:val="28"/>
        </w:rPr>
        <w:t xml:space="preserve">  Outline of Chapter</w:t>
      </w:r>
      <w:bookmarkEnd w:id="1066"/>
      <w:bookmarkEnd w:id="1067"/>
    </w:p>
    <w:p w14:paraId="2447384C" w14:textId="77777777" w:rsidR="00872C03" w:rsidRPr="00883399" w:rsidRDefault="00872C03" w:rsidP="00872C03">
      <w:pPr>
        <w:pStyle w:val="subsection"/>
        <w:rPr>
          <w:sz w:val="24"/>
        </w:rPr>
      </w:pPr>
      <w:r w:rsidRPr="00883399">
        <w:rPr>
          <w:sz w:val="24"/>
        </w:rPr>
        <w:tab/>
      </w:r>
      <w:r w:rsidRPr="00883399">
        <w:rPr>
          <w:sz w:val="24"/>
        </w:rPr>
        <w:tab/>
        <w:t>This Chapter provides for emissions from the following sources:</w:t>
      </w:r>
    </w:p>
    <w:p w14:paraId="5B47705C" w14:textId="77777777" w:rsidR="00872C03" w:rsidRPr="00883399" w:rsidRDefault="00872C03" w:rsidP="00872C03">
      <w:pPr>
        <w:pStyle w:val="paragraph"/>
        <w:rPr>
          <w:sz w:val="24"/>
        </w:rPr>
      </w:pPr>
      <w:r w:rsidRPr="00883399">
        <w:rPr>
          <w:sz w:val="24"/>
        </w:rPr>
        <w:tab/>
        <w:t>(a)</w:t>
      </w:r>
      <w:r w:rsidRPr="00883399">
        <w:rPr>
          <w:sz w:val="24"/>
        </w:rPr>
        <w:tab/>
        <w:t>solid waste disposal on land (see Part 5.2);</w:t>
      </w:r>
    </w:p>
    <w:p w14:paraId="5EAE4E77" w14:textId="77777777" w:rsidR="00872C03" w:rsidRPr="00883399" w:rsidRDefault="00872C03" w:rsidP="00872C03">
      <w:pPr>
        <w:pStyle w:val="paragraph"/>
        <w:rPr>
          <w:sz w:val="24"/>
        </w:rPr>
      </w:pPr>
      <w:r w:rsidRPr="00883399">
        <w:rPr>
          <w:sz w:val="24"/>
        </w:rPr>
        <w:tab/>
        <w:t>(b)</w:t>
      </w:r>
      <w:r w:rsidRPr="00883399">
        <w:rPr>
          <w:sz w:val="24"/>
        </w:rPr>
        <w:tab/>
        <w:t>wastewater handling (domestic and commercial) (see Part 5.3);</w:t>
      </w:r>
    </w:p>
    <w:p w14:paraId="60050B49" w14:textId="77777777" w:rsidR="00872C03" w:rsidRPr="00883399" w:rsidRDefault="00872C03" w:rsidP="00872C03">
      <w:pPr>
        <w:pStyle w:val="paragraph"/>
        <w:rPr>
          <w:sz w:val="24"/>
        </w:rPr>
      </w:pPr>
      <w:r w:rsidRPr="00883399">
        <w:rPr>
          <w:sz w:val="24"/>
        </w:rPr>
        <w:tab/>
        <w:t>(c)</w:t>
      </w:r>
      <w:r w:rsidRPr="00883399">
        <w:rPr>
          <w:sz w:val="24"/>
        </w:rPr>
        <w:tab/>
        <w:t>wastewater handling (industrial) (see Part 5.4);</w:t>
      </w:r>
    </w:p>
    <w:p w14:paraId="3C8EEA7A" w14:textId="77777777" w:rsidR="00872C03" w:rsidRPr="00883399" w:rsidRDefault="00872C03" w:rsidP="00872C03">
      <w:pPr>
        <w:pStyle w:val="paragraph"/>
        <w:rPr>
          <w:sz w:val="24"/>
        </w:rPr>
      </w:pPr>
      <w:r w:rsidRPr="00883399">
        <w:rPr>
          <w:sz w:val="24"/>
        </w:rPr>
        <w:tab/>
        <w:t>(d)</w:t>
      </w:r>
      <w:r w:rsidRPr="00883399">
        <w:rPr>
          <w:sz w:val="24"/>
        </w:rPr>
        <w:tab/>
        <w:t>waste incineration (see Part 5.5).</w:t>
      </w:r>
    </w:p>
    <w:p w14:paraId="51C626EE" w14:textId="77777777" w:rsidR="006E1310" w:rsidRPr="00883399" w:rsidRDefault="006E1310" w:rsidP="006E1310">
      <w:pPr>
        <w:pStyle w:val="Text"/>
        <w:rPr>
          <w:rFonts w:ascii="Arial" w:hAnsi="Arial" w:cs="Arial"/>
          <w:sz w:val="22"/>
          <w:szCs w:val="22"/>
        </w:rPr>
      </w:pPr>
      <w:r w:rsidRPr="00883399">
        <w:rPr>
          <w:rFonts w:ascii="Arial" w:hAnsi="Arial" w:cs="Arial"/>
          <w:sz w:val="22"/>
          <w:szCs w:val="22"/>
        </w:rPr>
        <w:t>Throughout the Waste chapter, emissions of CO</w:t>
      </w:r>
      <w:r w:rsidRPr="00883399">
        <w:rPr>
          <w:rStyle w:val="Subscript"/>
          <w:rFonts w:ascii="Arial" w:hAnsi="Arial" w:cs="Arial"/>
          <w:sz w:val="22"/>
          <w:szCs w:val="22"/>
        </w:rPr>
        <w:t>2</w:t>
      </w:r>
      <w:r w:rsidRPr="00883399">
        <w:rPr>
          <w:rFonts w:ascii="Arial" w:hAnsi="Arial" w:cs="Arial"/>
          <w:sz w:val="22"/>
          <w:szCs w:val="22"/>
        </w:rPr>
        <w:t xml:space="preserve"> generated from waste management are considered to be from biomass sources and therefore do not need to be estimated. For example, landfill gas comprises both methane and carbon dioxide but only the methane component should be reported. </w:t>
      </w:r>
    </w:p>
    <w:p w14:paraId="39D065C8" w14:textId="77777777" w:rsidR="006E1310" w:rsidRPr="00883399" w:rsidRDefault="006E1310" w:rsidP="006E1310">
      <w:pPr>
        <w:pStyle w:val="Text"/>
        <w:rPr>
          <w:rFonts w:ascii="Arial" w:hAnsi="Arial" w:cs="Arial"/>
          <w:sz w:val="22"/>
          <w:szCs w:val="22"/>
        </w:rPr>
      </w:pPr>
      <w:r w:rsidRPr="00883399">
        <w:rPr>
          <w:rFonts w:ascii="Arial" w:hAnsi="Arial" w:cs="Arial"/>
          <w:sz w:val="22"/>
          <w:szCs w:val="22"/>
        </w:rPr>
        <w:t>Carbon dioxide produced from the flaring of methane from landfill gas or other emission sources in this chapter is also considered as having been derived from biomass sources and should not be reported.</w:t>
      </w:r>
    </w:p>
    <w:p w14:paraId="0ADD8406" w14:textId="77777777" w:rsidR="006E1310" w:rsidRPr="00883399" w:rsidRDefault="006E1310" w:rsidP="006E1310">
      <w:pPr>
        <w:pStyle w:val="Text"/>
        <w:rPr>
          <w:rFonts w:ascii="Arial" w:hAnsi="Arial" w:cs="Arial"/>
          <w:sz w:val="22"/>
          <w:szCs w:val="22"/>
        </w:rPr>
      </w:pPr>
      <w:r w:rsidRPr="00883399">
        <w:rPr>
          <w:rFonts w:ascii="Arial" w:hAnsi="Arial" w:cs="Arial"/>
          <w:sz w:val="22"/>
          <w:szCs w:val="22"/>
        </w:rPr>
        <w:t>Emissions of all gases arising from other, non-waste processes from the facility – such as emissions from the combustion of fuels for energy – must be estimated using methods described in the appropriate chapter of these Guidelines.</w:t>
      </w:r>
    </w:p>
    <w:p w14:paraId="6F1E8FE7" w14:textId="77777777" w:rsidR="006E1310" w:rsidRPr="00883399" w:rsidRDefault="006E1310" w:rsidP="00872C03">
      <w:pPr>
        <w:pStyle w:val="paragraph"/>
        <w:rPr>
          <w:sz w:val="24"/>
        </w:rPr>
      </w:pPr>
    </w:p>
    <w:p w14:paraId="028373D4" w14:textId="1C9E716F" w:rsidR="00872C03" w:rsidRPr="00883399" w:rsidRDefault="00872C03" w:rsidP="00872C03">
      <w:pPr>
        <w:pStyle w:val="ActHead2"/>
        <w:pageBreakBefore/>
        <w:rPr>
          <w:sz w:val="36"/>
        </w:rPr>
      </w:pPr>
      <w:bookmarkStart w:id="1068" w:name="_Toc423517130"/>
      <w:bookmarkStart w:id="1069" w:name="_Toc495653062"/>
      <w:r w:rsidRPr="00883399">
        <w:rPr>
          <w:rStyle w:val="CharPartNo"/>
          <w:sz w:val="36"/>
        </w:rPr>
        <w:lastRenderedPageBreak/>
        <w:t>Part 5.2</w:t>
      </w:r>
      <w:r w:rsidRPr="00883399">
        <w:rPr>
          <w:sz w:val="36"/>
        </w:rPr>
        <w:t>—</w:t>
      </w:r>
      <w:r w:rsidRPr="00883399">
        <w:rPr>
          <w:rStyle w:val="CharPartText"/>
          <w:sz w:val="36"/>
        </w:rPr>
        <w:t>Solid waste disposal on land</w:t>
      </w:r>
      <w:bookmarkEnd w:id="1068"/>
      <w:bookmarkEnd w:id="1069"/>
    </w:p>
    <w:p w14:paraId="07FF3681" w14:textId="15E14E2E" w:rsidR="00872C03" w:rsidRPr="00883399" w:rsidRDefault="00872C03" w:rsidP="00872C03">
      <w:pPr>
        <w:pStyle w:val="ActHead3"/>
        <w:rPr>
          <w:sz w:val="32"/>
        </w:rPr>
      </w:pPr>
      <w:bookmarkStart w:id="1070" w:name="_Toc423517131"/>
      <w:bookmarkStart w:id="1071" w:name="_Toc495653063"/>
      <w:r w:rsidRPr="00883399">
        <w:rPr>
          <w:rStyle w:val="CharDivNo"/>
          <w:sz w:val="32"/>
        </w:rPr>
        <w:t>Division 5.2.1</w:t>
      </w:r>
      <w:r w:rsidRPr="00883399">
        <w:rPr>
          <w:sz w:val="32"/>
        </w:rPr>
        <w:t>—</w:t>
      </w:r>
      <w:r w:rsidRPr="00883399">
        <w:rPr>
          <w:rStyle w:val="CharDivText"/>
          <w:sz w:val="32"/>
        </w:rPr>
        <w:t>Preliminary</w:t>
      </w:r>
      <w:bookmarkEnd w:id="1070"/>
      <w:bookmarkEnd w:id="1071"/>
    </w:p>
    <w:p w14:paraId="64DAA5F7" w14:textId="6E7B70DA" w:rsidR="00872C03" w:rsidRPr="00883399" w:rsidRDefault="00872C03" w:rsidP="00872C03">
      <w:pPr>
        <w:pStyle w:val="ActHead5"/>
        <w:rPr>
          <w:sz w:val="28"/>
        </w:rPr>
      </w:pPr>
      <w:bookmarkStart w:id="1072" w:name="_Toc423517132"/>
      <w:bookmarkStart w:id="1073" w:name="_Toc495653064"/>
      <w:r w:rsidRPr="00883399">
        <w:rPr>
          <w:rStyle w:val="CharSectno"/>
          <w:sz w:val="28"/>
        </w:rPr>
        <w:t>5.2</w:t>
      </w:r>
      <w:r w:rsidRPr="00883399">
        <w:rPr>
          <w:sz w:val="28"/>
        </w:rPr>
        <w:t xml:space="preserve">  Application</w:t>
      </w:r>
      <w:bookmarkEnd w:id="1072"/>
      <w:bookmarkEnd w:id="1073"/>
    </w:p>
    <w:p w14:paraId="331DE0EB" w14:textId="77777777" w:rsidR="00872C03" w:rsidRPr="00883399" w:rsidRDefault="00872C03" w:rsidP="00872C03">
      <w:pPr>
        <w:pStyle w:val="subsection"/>
        <w:rPr>
          <w:sz w:val="24"/>
        </w:rPr>
      </w:pPr>
      <w:r w:rsidRPr="00883399">
        <w:rPr>
          <w:sz w:val="24"/>
        </w:rPr>
        <w:tab/>
        <w:t>(1)</w:t>
      </w:r>
      <w:r w:rsidRPr="00883399">
        <w:rPr>
          <w:sz w:val="24"/>
        </w:rPr>
        <w:tab/>
        <w:t>This Part applies to emissions released from:</w:t>
      </w:r>
    </w:p>
    <w:p w14:paraId="1C4A6D04" w14:textId="77777777" w:rsidR="00872C03" w:rsidRPr="00883399" w:rsidRDefault="00872C03" w:rsidP="00872C03">
      <w:pPr>
        <w:pStyle w:val="paragraph"/>
        <w:rPr>
          <w:sz w:val="24"/>
        </w:rPr>
      </w:pPr>
      <w:r w:rsidRPr="00883399">
        <w:rPr>
          <w:sz w:val="24"/>
        </w:rPr>
        <w:tab/>
        <w:t>(a)</w:t>
      </w:r>
      <w:r w:rsidRPr="00883399">
        <w:rPr>
          <w:sz w:val="24"/>
        </w:rPr>
        <w:tab/>
        <w:t>the decomposition of organic material from solid waste disposal in a landfill; and</w:t>
      </w:r>
    </w:p>
    <w:p w14:paraId="6E44FD87" w14:textId="77777777" w:rsidR="00872C03" w:rsidRPr="00883399" w:rsidRDefault="00872C03" w:rsidP="00872C03">
      <w:pPr>
        <w:pStyle w:val="paragraph"/>
        <w:rPr>
          <w:sz w:val="24"/>
        </w:rPr>
      </w:pPr>
      <w:r w:rsidRPr="00883399">
        <w:rPr>
          <w:sz w:val="24"/>
        </w:rPr>
        <w:tab/>
        <w:t>(b)</w:t>
      </w:r>
      <w:r w:rsidRPr="00883399">
        <w:rPr>
          <w:sz w:val="24"/>
        </w:rPr>
        <w:tab/>
        <w:t>flaring of landfill gas.</w:t>
      </w:r>
    </w:p>
    <w:p w14:paraId="67BF2465" w14:textId="77777777" w:rsidR="00872C03" w:rsidRPr="00883399" w:rsidRDefault="00872C03" w:rsidP="00872C03">
      <w:pPr>
        <w:pStyle w:val="subsection"/>
        <w:rPr>
          <w:sz w:val="24"/>
        </w:rPr>
      </w:pPr>
      <w:r w:rsidRPr="00883399">
        <w:rPr>
          <w:sz w:val="24"/>
        </w:rPr>
        <w:tab/>
        <w:t>(2)</w:t>
      </w:r>
      <w:r w:rsidRPr="00883399">
        <w:rPr>
          <w:sz w:val="24"/>
        </w:rPr>
        <w:tab/>
        <w:t>This Part does not apply to a landfill unless:</w:t>
      </w:r>
    </w:p>
    <w:p w14:paraId="2AE41660" w14:textId="77777777" w:rsidR="00872C03" w:rsidRPr="00883399" w:rsidRDefault="00872C03" w:rsidP="00872C03">
      <w:pPr>
        <w:pStyle w:val="paragraph"/>
        <w:rPr>
          <w:sz w:val="24"/>
        </w:rPr>
      </w:pPr>
      <w:r w:rsidRPr="00883399">
        <w:rPr>
          <w:sz w:val="24"/>
        </w:rPr>
        <w:tab/>
        <w:t>(a)</w:t>
      </w:r>
      <w:r w:rsidRPr="00883399">
        <w:rPr>
          <w:sz w:val="24"/>
        </w:rPr>
        <w:tab/>
        <w:t>the landfill was open for the acceptance of waste on and after 1 July 2012; and</w:t>
      </w:r>
    </w:p>
    <w:p w14:paraId="0B3B38FF" w14:textId="77777777" w:rsidR="00872C03" w:rsidRPr="00883399" w:rsidRDefault="00872C03" w:rsidP="00872C03">
      <w:pPr>
        <w:pStyle w:val="paragraph"/>
        <w:rPr>
          <w:sz w:val="24"/>
        </w:rPr>
      </w:pPr>
      <w:r w:rsidRPr="00883399">
        <w:rPr>
          <w:sz w:val="24"/>
        </w:rPr>
        <w:tab/>
        <w:t>(b)</w:t>
      </w:r>
      <w:r w:rsidRPr="00883399">
        <w:rPr>
          <w:sz w:val="24"/>
        </w:rPr>
        <w:tab/>
        <w:t>during a year the landfill emits more than 10 000 tonnes of CO</w:t>
      </w:r>
      <w:r w:rsidRPr="00883399">
        <w:rPr>
          <w:rStyle w:val="charsubscript0"/>
          <w:sz w:val="24"/>
        </w:rPr>
        <w:t>2</w:t>
      </w:r>
      <w:r w:rsidRPr="00883399">
        <w:rPr>
          <w:sz w:val="24"/>
        </w:rPr>
        <w:noBreakHyphen/>
        <w:t>e from solid waste disposal at the landfill.</w:t>
      </w:r>
    </w:p>
    <w:p w14:paraId="7A063320" w14:textId="6871352D" w:rsidR="00872C03" w:rsidRPr="00883399" w:rsidRDefault="00872C03" w:rsidP="00872C03">
      <w:pPr>
        <w:pStyle w:val="ActHead5"/>
        <w:rPr>
          <w:sz w:val="28"/>
        </w:rPr>
      </w:pPr>
      <w:bookmarkStart w:id="1074" w:name="_Toc423517133"/>
      <w:bookmarkStart w:id="1075" w:name="_Toc495653065"/>
      <w:r w:rsidRPr="00883399">
        <w:rPr>
          <w:rStyle w:val="CharSectno"/>
          <w:sz w:val="28"/>
        </w:rPr>
        <w:t>5.3</w:t>
      </w:r>
      <w:r w:rsidRPr="00883399">
        <w:rPr>
          <w:sz w:val="28"/>
        </w:rPr>
        <w:t xml:space="preserve">  Available methods</w:t>
      </w:r>
      <w:bookmarkEnd w:id="1074"/>
      <w:bookmarkEnd w:id="1075"/>
    </w:p>
    <w:p w14:paraId="5AE43E12" w14:textId="77777777" w:rsidR="00872C03" w:rsidRPr="00883399" w:rsidRDefault="00872C03" w:rsidP="00872C03">
      <w:pPr>
        <w:pStyle w:val="subsection"/>
        <w:rPr>
          <w:sz w:val="24"/>
        </w:rPr>
      </w:pPr>
      <w:r w:rsidRPr="00883399">
        <w:rPr>
          <w:sz w:val="24"/>
        </w:rPr>
        <w:tab/>
        <w:t>(1)</w:t>
      </w:r>
      <w:r w:rsidRPr="00883399">
        <w:rPr>
          <w:sz w:val="24"/>
        </w:rPr>
        <w:tab/>
        <w:t>Subject to section 1.18 for estimating emissions released from the operation of a facility that is constituted by a landfill during a year:</w:t>
      </w:r>
    </w:p>
    <w:p w14:paraId="012E24AA" w14:textId="77777777" w:rsidR="00872C03" w:rsidRPr="00883399" w:rsidRDefault="00872C03" w:rsidP="00872C03">
      <w:pPr>
        <w:pStyle w:val="paragraph"/>
        <w:rPr>
          <w:sz w:val="24"/>
        </w:rPr>
      </w:pPr>
      <w:r w:rsidRPr="00883399">
        <w:rPr>
          <w:sz w:val="24"/>
        </w:rPr>
        <w:tab/>
        <w:t>(a)</w:t>
      </w:r>
      <w:r w:rsidRPr="00883399">
        <w:rPr>
          <w:sz w:val="24"/>
        </w:rPr>
        <w:tab/>
        <w:t>subject to paragraphs (c) and (d), one of the following methods must be used for emissions of methane from the landfill (other than from flaring of methane):</w:t>
      </w:r>
    </w:p>
    <w:p w14:paraId="6241455A" w14:textId="77777777" w:rsidR="00872C03" w:rsidRPr="00883399" w:rsidRDefault="00872C03" w:rsidP="00872C03">
      <w:pPr>
        <w:pStyle w:val="paragraphsub"/>
        <w:rPr>
          <w:sz w:val="24"/>
        </w:rPr>
      </w:pPr>
      <w:r w:rsidRPr="00883399">
        <w:rPr>
          <w:sz w:val="24"/>
        </w:rPr>
        <w:tab/>
        <w:t>(i)</w:t>
      </w:r>
      <w:r w:rsidRPr="00883399">
        <w:rPr>
          <w:sz w:val="24"/>
        </w:rPr>
        <w:tab/>
        <w:t>method 1 under section 5.4;</w:t>
      </w:r>
    </w:p>
    <w:p w14:paraId="7D0E855B" w14:textId="77777777" w:rsidR="00872C03" w:rsidRPr="00883399" w:rsidRDefault="00872C03" w:rsidP="00872C03">
      <w:pPr>
        <w:pStyle w:val="paragraphsub"/>
        <w:rPr>
          <w:sz w:val="24"/>
        </w:rPr>
      </w:pPr>
      <w:r w:rsidRPr="00883399">
        <w:rPr>
          <w:sz w:val="24"/>
        </w:rPr>
        <w:tab/>
        <w:t>(ii)</w:t>
      </w:r>
      <w:r w:rsidRPr="00883399">
        <w:rPr>
          <w:sz w:val="24"/>
        </w:rPr>
        <w:tab/>
        <w:t>method 2 under section 5.15;</w:t>
      </w:r>
    </w:p>
    <w:p w14:paraId="311EDC6F" w14:textId="77777777" w:rsidR="00872C03" w:rsidRPr="00883399" w:rsidRDefault="00872C03" w:rsidP="00872C03">
      <w:pPr>
        <w:pStyle w:val="paragraphsub"/>
        <w:rPr>
          <w:sz w:val="24"/>
        </w:rPr>
      </w:pPr>
      <w:r w:rsidRPr="00883399">
        <w:rPr>
          <w:sz w:val="24"/>
        </w:rPr>
        <w:tab/>
        <w:t>(iii)</w:t>
      </w:r>
      <w:r w:rsidRPr="00883399">
        <w:rPr>
          <w:sz w:val="24"/>
        </w:rPr>
        <w:tab/>
        <w:t>method 3 under section 5.18; and</w:t>
      </w:r>
    </w:p>
    <w:p w14:paraId="07FB6937" w14:textId="77777777" w:rsidR="00872C03" w:rsidRPr="00883399" w:rsidRDefault="00872C03" w:rsidP="00872C03">
      <w:pPr>
        <w:pStyle w:val="paragraph"/>
        <w:rPr>
          <w:sz w:val="24"/>
        </w:rPr>
      </w:pPr>
      <w:r w:rsidRPr="00883399">
        <w:rPr>
          <w:sz w:val="24"/>
        </w:rPr>
        <w:tab/>
        <w:t>(b)</w:t>
      </w:r>
      <w:r w:rsidRPr="00883399">
        <w:rPr>
          <w:sz w:val="24"/>
        </w:rPr>
        <w:tab/>
        <w:t>one of the following methods must be used for emissions for each gas type released as a result of methane flared from the operation of the landfill:</w:t>
      </w:r>
    </w:p>
    <w:p w14:paraId="5300231E" w14:textId="77777777" w:rsidR="00872C03" w:rsidRPr="00883399" w:rsidRDefault="00872C03" w:rsidP="00872C03">
      <w:pPr>
        <w:pStyle w:val="paragraphsub"/>
        <w:rPr>
          <w:sz w:val="24"/>
        </w:rPr>
      </w:pPr>
      <w:r w:rsidRPr="00883399">
        <w:rPr>
          <w:sz w:val="24"/>
        </w:rPr>
        <w:tab/>
        <w:t>(i)</w:t>
      </w:r>
      <w:r w:rsidRPr="00883399">
        <w:rPr>
          <w:sz w:val="24"/>
        </w:rPr>
        <w:tab/>
        <w:t xml:space="preserve"> method 1 under section 5.19;</w:t>
      </w:r>
    </w:p>
    <w:p w14:paraId="47502252" w14:textId="77777777" w:rsidR="00872C03" w:rsidRPr="00883399" w:rsidRDefault="00872C03" w:rsidP="00872C03">
      <w:pPr>
        <w:pStyle w:val="paragraphsub"/>
        <w:rPr>
          <w:sz w:val="24"/>
        </w:rPr>
      </w:pPr>
      <w:r w:rsidRPr="00883399">
        <w:rPr>
          <w:sz w:val="24"/>
        </w:rPr>
        <w:tab/>
        <w:t>(ii)</w:t>
      </w:r>
      <w:r w:rsidRPr="00883399">
        <w:rPr>
          <w:sz w:val="24"/>
        </w:rPr>
        <w:tab/>
        <w:t>method 2 under section 5.20;</w:t>
      </w:r>
    </w:p>
    <w:p w14:paraId="68417742" w14:textId="77777777" w:rsidR="00872C03" w:rsidRPr="00883399" w:rsidRDefault="00872C03" w:rsidP="00872C03">
      <w:pPr>
        <w:pStyle w:val="paragraphsub"/>
        <w:rPr>
          <w:sz w:val="24"/>
        </w:rPr>
      </w:pPr>
      <w:r w:rsidRPr="00883399">
        <w:rPr>
          <w:sz w:val="24"/>
        </w:rPr>
        <w:tab/>
        <w:t>(iii)</w:t>
      </w:r>
      <w:r w:rsidRPr="00883399">
        <w:rPr>
          <w:sz w:val="24"/>
        </w:rPr>
        <w:tab/>
        <w:t>method 3 under section 5.21; and</w:t>
      </w:r>
    </w:p>
    <w:p w14:paraId="32890627" w14:textId="77777777" w:rsidR="00872C03" w:rsidRPr="00883399" w:rsidRDefault="00872C03" w:rsidP="00872C03">
      <w:pPr>
        <w:pStyle w:val="paragraph"/>
        <w:rPr>
          <w:sz w:val="24"/>
        </w:rPr>
      </w:pPr>
      <w:r w:rsidRPr="00883399">
        <w:rPr>
          <w:sz w:val="24"/>
        </w:rPr>
        <w:tab/>
        <w:t>(c)</w:t>
      </w:r>
      <w:r w:rsidRPr="00883399">
        <w:rPr>
          <w:sz w:val="24"/>
        </w:rPr>
        <w:tab/>
        <w:t>one of the following methods must be used for emissions from the biological treatment of solid waste at the landfill by an enclosed composting activity:</w:t>
      </w:r>
    </w:p>
    <w:p w14:paraId="4DBDE494" w14:textId="77777777" w:rsidR="00872C03" w:rsidRPr="00883399" w:rsidRDefault="00872C03" w:rsidP="00872C03">
      <w:pPr>
        <w:pStyle w:val="paragraphsub"/>
        <w:rPr>
          <w:sz w:val="24"/>
        </w:rPr>
      </w:pPr>
      <w:r w:rsidRPr="00883399">
        <w:rPr>
          <w:sz w:val="24"/>
        </w:rPr>
        <w:tab/>
        <w:t>(i)</w:t>
      </w:r>
      <w:r w:rsidRPr="00883399">
        <w:rPr>
          <w:sz w:val="24"/>
        </w:rPr>
        <w:tab/>
        <w:t>method 1 under section 5.22;</w:t>
      </w:r>
    </w:p>
    <w:p w14:paraId="08F6D683" w14:textId="77777777" w:rsidR="00872C03" w:rsidRPr="00883399" w:rsidRDefault="00872C03" w:rsidP="00872C03">
      <w:pPr>
        <w:pStyle w:val="paragraphsub"/>
        <w:rPr>
          <w:sz w:val="24"/>
        </w:rPr>
      </w:pPr>
      <w:r w:rsidRPr="00883399">
        <w:rPr>
          <w:sz w:val="24"/>
        </w:rPr>
        <w:tab/>
        <w:t>(ii)</w:t>
      </w:r>
      <w:r w:rsidRPr="00883399">
        <w:rPr>
          <w:sz w:val="24"/>
        </w:rPr>
        <w:tab/>
        <w:t>method 4 under section 5.22AA; and</w:t>
      </w:r>
    </w:p>
    <w:p w14:paraId="009023C7" w14:textId="77777777" w:rsidR="00872C03" w:rsidRPr="00883399" w:rsidRDefault="00872C03" w:rsidP="00872C03">
      <w:pPr>
        <w:pStyle w:val="paragraph"/>
        <w:rPr>
          <w:sz w:val="24"/>
        </w:rPr>
      </w:pPr>
      <w:r w:rsidRPr="00883399">
        <w:rPr>
          <w:sz w:val="24"/>
        </w:rPr>
        <w:tab/>
        <w:t>(d)</w:t>
      </w:r>
      <w:r w:rsidRPr="00883399">
        <w:rPr>
          <w:sz w:val="24"/>
        </w:rPr>
        <w:tab/>
        <w:t>method 1 under section 5.22 must be used for emissions from the biological treatment of solid waste at the landfill by a composting activity that is not an enclosed composting activity.</w:t>
      </w:r>
    </w:p>
    <w:p w14:paraId="34B94802" w14:textId="77777777" w:rsidR="00872C03" w:rsidRPr="00883399" w:rsidRDefault="00872C03" w:rsidP="00872C03">
      <w:pPr>
        <w:pStyle w:val="subsection"/>
        <w:rPr>
          <w:sz w:val="24"/>
        </w:rPr>
      </w:pPr>
      <w:r w:rsidRPr="00883399">
        <w:rPr>
          <w:sz w:val="24"/>
        </w:rPr>
        <w:lastRenderedPageBreak/>
        <w:tab/>
        <w:t>(2)</w:t>
      </w:r>
      <w:r w:rsidRPr="00883399">
        <w:rPr>
          <w:sz w:val="24"/>
        </w:rPr>
        <w:tab/>
        <w:t>Under paragraph (1)(b), the same method must be used for estimating emissions of each gas type.</w:t>
      </w:r>
    </w:p>
    <w:p w14:paraId="430C4FD7" w14:textId="77777777" w:rsidR="00872C03" w:rsidRPr="00883399" w:rsidRDefault="00872C03" w:rsidP="00872C03">
      <w:pPr>
        <w:pStyle w:val="subsection"/>
        <w:rPr>
          <w:sz w:val="24"/>
        </w:rPr>
      </w:pPr>
      <w:r w:rsidRPr="00883399">
        <w:rPr>
          <w:sz w:val="24"/>
        </w:rPr>
        <w:tab/>
        <w:t>(3)</w:t>
      </w:r>
      <w:r w:rsidRPr="00883399">
        <w:rPr>
          <w:sz w:val="24"/>
        </w:rPr>
        <w:tab/>
        <w:t>For incidental emissions another method may be used that is consistent with the principles in section 1.13.</w:t>
      </w:r>
    </w:p>
    <w:p w14:paraId="4A5FCBA6" w14:textId="77777777" w:rsidR="00872C03" w:rsidRPr="00883399" w:rsidRDefault="00872C03" w:rsidP="00872C03">
      <w:pPr>
        <w:pStyle w:val="notetext"/>
        <w:rPr>
          <w:sz w:val="20"/>
        </w:rPr>
      </w:pPr>
      <w:r w:rsidRPr="00883399">
        <w:rPr>
          <w:sz w:val="20"/>
        </w:rPr>
        <w:t>Note:</w:t>
      </w:r>
      <w:r w:rsidRPr="00883399">
        <w:rPr>
          <w:sz w:val="20"/>
        </w:rPr>
        <w:tab/>
        <w:t>There is no method 4 for paragraphs (a) and (b). It is proposed that a method 4 will be developed in the future.</w:t>
      </w:r>
    </w:p>
    <w:p w14:paraId="58148E0C" w14:textId="77777777" w:rsidR="00884CCE" w:rsidRPr="00883399" w:rsidRDefault="00884CCE" w:rsidP="00884CCE">
      <w:pPr>
        <w:pStyle w:val="subsection"/>
        <w:rPr>
          <w:sz w:val="24"/>
        </w:rPr>
      </w:pPr>
      <w:r w:rsidRPr="00883399">
        <w:rPr>
          <w:sz w:val="24"/>
        </w:rPr>
        <w:tab/>
        <w:t>(4)</w:t>
      </w:r>
      <w:r w:rsidRPr="00883399">
        <w:rPr>
          <w:sz w:val="24"/>
        </w:rPr>
        <w:tab/>
        <w:t>If required, Division 5.2.7 is to be used to estimate legacy emissions.</w:t>
      </w:r>
    </w:p>
    <w:p w14:paraId="279A4E08" w14:textId="77777777" w:rsidR="00884CCE" w:rsidRPr="00883399" w:rsidRDefault="00884CCE" w:rsidP="00884CCE">
      <w:pPr>
        <w:pStyle w:val="notetext"/>
        <w:rPr>
          <w:sz w:val="20"/>
        </w:rPr>
      </w:pPr>
      <w:r w:rsidRPr="00883399">
        <w:rPr>
          <w:sz w:val="20"/>
        </w:rPr>
        <w:t xml:space="preserve"> Note:</w:t>
      </w:r>
      <w:r w:rsidRPr="00883399">
        <w:rPr>
          <w:sz w:val="20"/>
        </w:rPr>
        <w:tab/>
        <w:t>Division 5.2.7 will not be required unless the total amount of scope 1 emissions from the operation of the facility concerned during the year is more than 100 000 tonnes CO</w:t>
      </w:r>
      <w:r w:rsidRPr="00883399">
        <w:rPr>
          <w:sz w:val="20"/>
          <w:vertAlign w:val="subscript"/>
        </w:rPr>
        <w:t>2</w:t>
      </w:r>
      <w:r w:rsidRPr="00883399">
        <w:rPr>
          <w:sz w:val="20"/>
        </w:rPr>
        <w:noBreakHyphen/>
        <w:t xml:space="preserve">e: see paragraphs (i) of item 1 and (j) of item 2 in the column headed “Matters to be identified” in the table in Part 6 of Schedule 3 to the </w:t>
      </w:r>
      <w:r w:rsidRPr="00883399">
        <w:rPr>
          <w:i/>
          <w:sz w:val="20"/>
        </w:rPr>
        <w:t>National Greenhouse and Energy Reporting Regulations 2008</w:t>
      </w:r>
      <w:r w:rsidRPr="00883399">
        <w:rPr>
          <w:sz w:val="20"/>
        </w:rPr>
        <w:t>.</w:t>
      </w:r>
    </w:p>
    <w:p w14:paraId="65B0636B" w14:textId="77777777" w:rsidR="006E1310" w:rsidRPr="00883399" w:rsidRDefault="006E1310" w:rsidP="00872C03">
      <w:pPr>
        <w:pStyle w:val="notetext"/>
        <w:rPr>
          <w:sz w:val="20"/>
        </w:rPr>
      </w:pPr>
    </w:p>
    <w:p w14:paraId="3AE2E9E5" w14:textId="77777777" w:rsidR="006E1310" w:rsidRPr="00883399" w:rsidRDefault="006E1310" w:rsidP="006E1310">
      <w:pPr>
        <w:pStyle w:val="Text"/>
        <w:keepNext/>
        <w:ind w:left="960"/>
        <w:outlineLvl w:val="0"/>
        <w:rPr>
          <w:b/>
        </w:rPr>
      </w:pPr>
      <w:r w:rsidRPr="00883399">
        <w:rPr>
          <w:b/>
        </w:rPr>
        <w:t>Summary of available methods, by emissions of gas type (j)</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1801"/>
        <w:gridCol w:w="1541"/>
        <w:gridCol w:w="1743"/>
      </w:tblGrid>
      <w:tr w:rsidR="006E1310" w:rsidRPr="00883399" w14:paraId="3F3D9E5D" w14:textId="77777777" w:rsidTr="0031057E">
        <w:tc>
          <w:tcPr>
            <w:tcW w:w="2400" w:type="dxa"/>
            <w:shd w:val="clear" w:color="auto" w:fill="E6E6E6"/>
          </w:tcPr>
          <w:p w14:paraId="2E33D0DB" w14:textId="77777777" w:rsidR="006E1310" w:rsidRPr="00883399" w:rsidRDefault="006E1310" w:rsidP="0031057E">
            <w:pPr>
              <w:pStyle w:val="TableColHead"/>
              <w:jc w:val="center"/>
            </w:pPr>
          </w:p>
        </w:tc>
        <w:tc>
          <w:tcPr>
            <w:tcW w:w="2040" w:type="dxa"/>
            <w:shd w:val="clear" w:color="auto" w:fill="E6E6E6"/>
          </w:tcPr>
          <w:p w14:paraId="14E03329" w14:textId="77777777" w:rsidR="006E1310" w:rsidRPr="00883399" w:rsidRDefault="006E1310" w:rsidP="0031057E">
            <w:pPr>
              <w:pStyle w:val="TableColHead"/>
              <w:jc w:val="center"/>
            </w:pPr>
            <w:r w:rsidRPr="00883399">
              <w:t>CO</w:t>
            </w:r>
            <w:r w:rsidRPr="00883399">
              <w:rPr>
                <w:vertAlign w:val="subscript"/>
              </w:rPr>
              <w:t>2</w:t>
            </w:r>
          </w:p>
        </w:tc>
        <w:tc>
          <w:tcPr>
            <w:tcW w:w="1680" w:type="dxa"/>
            <w:shd w:val="clear" w:color="auto" w:fill="E6E6E6"/>
          </w:tcPr>
          <w:p w14:paraId="781757F3" w14:textId="77777777" w:rsidR="006E1310" w:rsidRPr="00883399" w:rsidRDefault="006E1310" w:rsidP="0031057E">
            <w:pPr>
              <w:pStyle w:val="TableColHead"/>
              <w:jc w:val="center"/>
            </w:pPr>
            <w:r w:rsidRPr="00883399">
              <w:t>CH</w:t>
            </w:r>
            <w:r w:rsidRPr="00883399">
              <w:rPr>
                <w:vertAlign w:val="subscript"/>
              </w:rPr>
              <w:t>4</w:t>
            </w:r>
          </w:p>
        </w:tc>
        <w:tc>
          <w:tcPr>
            <w:tcW w:w="1920" w:type="dxa"/>
            <w:shd w:val="clear" w:color="auto" w:fill="E6E6E6"/>
          </w:tcPr>
          <w:p w14:paraId="3295FDFD" w14:textId="77777777" w:rsidR="006E1310" w:rsidRPr="00883399" w:rsidRDefault="006E1310" w:rsidP="0031057E">
            <w:pPr>
              <w:pStyle w:val="TableColHead"/>
              <w:jc w:val="center"/>
            </w:pPr>
            <w:r w:rsidRPr="00883399">
              <w:t>N</w:t>
            </w:r>
            <w:r w:rsidRPr="00883399">
              <w:rPr>
                <w:vertAlign w:val="subscript"/>
              </w:rPr>
              <w:t>2</w:t>
            </w:r>
            <w:r w:rsidRPr="00883399">
              <w:t>O</w:t>
            </w:r>
          </w:p>
        </w:tc>
      </w:tr>
      <w:tr w:rsidR="006E1310" w:rsidRPr="00883399" w14:paraId="743B849D" w14:textId="77777777" w:rsidTr="0031057E">
        <w:tc>
          <w:tcPr>
            <w:tcW w:w="8040" w:type="dxa"/>
            <w:gridSpan w:val="4"/>
          </w:tcPr>
          <w:p w14:paraId="39F12C41" w14:textId="77777777" w:rsidR="006E1310" w:rsidRPr="00883399" w:rsidRDefault="006E1310" w:rsidP="0031057E">
            <w:pPr>
              <w:pStyle w:val="Note"/>
              <w:keepNext/>
              <w:ind w:left="0"/>
              <w:jc w:val="left"/>
              <w:rPr>
                <w:i/>
                <w:color w:val="000000"/>
              </w:rPr>
            </w:pPr>
            <w:r w:rsidRPr="00883399">
              <w:rPr>
                <w:i/>
                <w:color w:val="000000"/>
              </w:rPr>
              <w:t>Solid waste disposal at landfill</w:t>
            </w:r>
          </w:p>
        </w:tc>
      </w:tr>
      <w:tr w:rsidR="006E1310" w:rsidRPr="00883399" w14:paraId="668CE7EB" w14:textId="77777777" w:rsidTr="0031057E">
        <w:tc>
          <w:tcPr>
            <w:tcW w:w="2400" w:type="dxa"/>
          </w:tcPr>
          <w:p w14:paraId="2A5B746C" w14:textId="77777777" w:rsidR="006E1310" w:rsidRPr="00883399" w:rsidRDefault="006E1310" w:rsidP="0031057E">
            <w:pPr>
              <w:pStyle w:val="Note"/>
              <w:keepNext/>
              <w:ind w:left="0"/>
              <w:rPr>
                <w:color w:val="000000"/>
              </w:rPr>
            </w:pPr>
            <w:r w:rsidRPr="00883399">
              <w:rPr>
                <w:color w:val="000000"/>
              </w:rPr>
              <w:t>Method 1</w:t>
            </w:r>
          </w:p>
        </w:tc>
        <w:tc>
          <w:tcPr>
            <w:tcW w:w="2040" w:type="dxa"/>
          </w:tcPr>
          <w:p w14:paraId="118E109B" w14:textId="77777777" w:rsidR="006E1310" w:rsidRPr="00883399" w:rsidRDefault="006E1310" w:rsidP="0031057E">
            <w:pPr>
              <w:pStyle w:val="Note"/>
              <w:keepNext/>
              <w:ind w:left="0"/>
              <w:jc w:val="center"/>
              <w:rPr>
                <w:color w:val="000000"/>
              </w:rPr>
            </w:pPr>
            <w:r w:rsidRPr="00883399">
              <w:rPr>
                <w:color w:val="000000"/>
              </w:rPr>
              <w:t>NA</w:t>
            </w:r>
          </w:p>
        </w:tc>
        <w:tc>
          <w:tcPr>
            <w:tcW w:w="1680" w:type="dxa"/>
          </w:tcPr>
          <w:p w14:paraId="121FB4B9" w14:textId="77777777" w:rsidR="006E1310" w:rsidRPr="00883399" w:rsidRDefault="006E1310" w:rsidP="0031057E">
            <w:pPr>
              <w:pStyle w:val="Note"/>
              <w:keepNext/>
              <w:ind w:left="0"/>
              <w:jc w:val="center"/>
              <w:rPr>
                <w:color w:val="000000"/>
              </w:rPr>
            </w:pPr>
            <w:r w:rsidRPr="00883399">
              <w:rPr>
                <w:color w:val="000000"/>
              </w:rPr>
              <w:t>Section 5.4</w:t>
            </w:r>
          </w:p>
        </w:tc>
        <w:tc>
          <w:tcPr>
            <w:tcW w:w="1920" w:type="dxa"/>
          </w:tcPr>
          <w:p w14:paraId="6564C956" w14:textId="77777777" w:rsidR="006E1310" w:rsidRPr="00883399" w:rsidRDefault="006E1310" w:rsidP="0031057E">
            <w:pPr>
              <w:pStyle w:val="Note"/>
              <w:keepNext/>
              <w:ind w:left="0"/>
              <w:jc w:val="center"/>
              <w:rPr>
                <w:color w:val="000000"/>
              </w:rPr>
            </w:pPr>
            <w:r w:rsidRPr="00883399">
              <w:rPr>
                <w:color w:val="000000"/>
              </w:rPr>
              <w:t>NO</w:t>
            </w:r>
          </w:p>
        </w:tc>
      </w:tr>
      <w:tr w:rsidR="006E1310" w:rsidRPr="00883399" w14:paraId="3D330A33" w14:textId="77777777" w:rsidTr="0031057E">
        <w:tc>
          <w:tcPr>
            <w:tcW w:w="2400" w:type="dxa"/>
          </w:tcPr>
          <w:p w14:paraId="46AA0FFE" w14:textId="77777777" w:rsidR="006E1310" w:rsidRPr="00883399" w:rsidRDefault="006E1310" w:rsidP="0031057E">
            <w:pPr>
              <w:pStyle w:val="Note"/>
              <w:keepNext/>
              <w:ind w:left="0"/>
              <w:rPr>
                <w:color w:val="000000"/>
              </w:rPr>
            </w:pPr>
            <w:r w:rsidRPr="00883399">
              <w:rPr>
                <w:color w:val="000000"/>
              </w:rPr>
              <w:t>Method 2</w:t>
            </w:r>
          </w:p>
        </w:tc>
        <w:tc>
          <w:tcPr>
            <w:tcW w:w="2040" w:type="dxa"/>
          </w:tcPr>
          <w:p w14:paraId="05345327" w14:textId="77777777" w:rsidR="006E1310" w:rsidRPr="00883399" w:rsidRDefault="006E1310" w:rsidP="0031057E">
            <w:pPr>
              <w:pStyle w:val="Note"/>
              <w:keepNext/>
              <w:ind w:left="0"/>
              <w:jc w:val="center"/>
              <w:rPr>
                <w:color w:val="000000"/>
              </w:rPr>
            </w:pPr>
            <w:r w:rsidRPr="00883399">
              <w:rPr>
                <w:color w:val="000000"/>
              </w:rPr>
              <w:t>NA</w:t>
            </w:r>
          </w:p>
        </w:tc>
        <w:tc>
          <w:tcPr>
            <w:tcW w:w="1680" w:type="dxa"/>
          </w:tcPr>
          <w:p w14:paraId="4366A468" w14:textId="77777777" w:rsidR="006E1310" w:rsidRPr="00883399" w:rsidRDefault="006E1310" w:rsidP="0031057E">
            <w:pPr>
              <w:pStyle w:val="Note"/>
              <w:keepNext/>
              <w:ind w:left="0"/>
              <w:jc w:val="center"/>
              <w:rPr>
                <w:color w:val="000000"/>
              </w:rPr>
            </w:pPr>
            <w:r w:rsidRPr="00883399">
              <w:rPr>
                <w:color w:val="000000"/>
              </w:rPr>
              <w:t>Section 5.15</w:t>
            </w:r>
          </w:p>
        </w:tc>
        <w:tc>
          <w:tcPr>
            <w:tcW w:w="1920" w:type="dxa"/>
          </w:tcPr>
          <w:p w14:paraId="53BE0E2F" w14:textId="77777777" w:rsidR="006E1310" w:rsidRPr="00883399" w:rsidRDefault="006E1310" w:rsidP="0031057E">
            <w:pPr>
              <w:pStyle w:val="Note"/>
              <w:keepNext/>
              <w:ind w:left="0"/>
              <w:jc w:val="center"/>
              <w:rPr>
                <w:color w:val="000000"/>
              </w:rPr>
            </w:pPr>
            <w:r w:rsidRPr="00883399">
              <w:rPr>
                <w:color w:val="000000"/>
              </w:rPr>
              <w:t>NO</w:t>
            </w:r>
          </w:p>
        </w:tc>
      </w:tr>
      <w:tr w:rsidR="006E1310" w:rsidRPr="00883399" w14:paraId="1C5B688E" w14:textId="77777777" w:rsidTr="0031057E">
        <w:tc>
          <w:tcPr>
            <w:tcW w:w="2400" w:type="dxa"/>
          </w:tcPr>
          <w:p w14:paraId="6A1B1A4C" w14:textId="77777777" w:rsidR="006E1310" w:rsidRPr="00883399" w:rsidRDefault="006E1310" w:rsidP="0031057E">
            <w:pPr>
              <w:pStyle w:val="Note"/>
              <w:keepNext/>
              <w:ind w:left="0"/>
              <w:rPr>
                <w:color w:val="000000"/>
              </w:rPr>
            </w:pPr>
            <w:r w:rsidRPr="00883399">
              <w:rPr>
                <w:color w:val="000000"/>
              </w:rPr>
              <w:t>Method 3</w:t>
            </w:r>
          </w:p>
        </w:tc>
        <w:tc>
          <w:tcPr>
            <w:tcW w:w="2040" w:type="dxa"/>
          </w:tcPr>
          <w:p w14:paraId="2CCCB24C" w14:textId="77777777" w:rsidR="006E1310" w:rsidRPr="00883399" w:rsidRDefault="006E1310" w:rsidP="0031057E">
            <w:pPr>
              <w:pStyle w:val="Note"/>
              <w:keepNext/>
              <w:ind w:left="0"/>
              <w:jc w:val="center"/>
              <w:rPr>
                <w:color w:val="000000"/>
              </w:rPr>
            </w:pPr>
            <w:r w:rsidRPr="00883399">
              <w:rPr>
                <w:color w:val="000000"/>
              </w:rPr>
              <w:t>NA</w:t>
            </w:r>
          </w:p>
        </w:tc>
        <w:tc>
          <w:tcPr>
            <w:tcW w:w="1680" w:type="dxa"/>
          </w:tcPr>
          <w:p w14:paraId="43E0DB89" w14:textId="77777777" w:rsidR="006E1310" w:rsidRPr="00883399" w:rsidRDefault="006E1310" w:rsidP="0031057E">
            <w:pPr>
              <w:pStyle w:val="Note"/>
              <w:keepNext/>
              <w:ind w:left="0"/>
              <w:jc w:val="center"/>
              <w:rPr>
                <w:color w:val="000000"/>
              </w:rPr>
            </w:pPr>
            <w:r w:rsidRPr="00883399">
              <w:rPr>
                <w:color w:val="000000"/>
              </w:rPr>
              <w:t>Section 5.18</w:t>
            </w:r>
          </w:p>
        </w:tc>
        <w:tc>
          <w:tcPr>
            <w:tcW w:w="1920" w:type="dxa"/>
          </w:tcPr>
          <w:p w14:paraId="2452ED04" w14:textId="77777777" w:rsidR="006E1310" w:rsidRPr="00883399" w:rsidRDefault="006E1310" w:rsidP="0031057E">
            <w:pPr>
              <w:pStyle w:val="Note"/>
              <w:keepNext/>
              <w:ind w:left="0"/>
              <w:jc w:val="center"/>
              <w:rPr>
                <w:color w:val="000000"/>
              </w:rPr>
            </w:pPr>
            <w:r w:rsidRPr="00883399">
              <w:rPr>
                <w:color w:val="000000"/>
              </w:rPr>
              <w:t>NO</w:t>
            </w:r>
          </w:p>
        </w:tc>
      </w:tr>
      <w:tr w:rsidR="006E1310" w:rsidRPr="00883399" w14:paraId="58934011" w14:textId="77777777" w:rsidTr="0031057E">
        <w:tc>
          <w:tcPr>
            <w:tcW w:w="2400" w:type="dxa"/>
          </w:tcPr>
          <w:p w14:paraId="79C6C89A" w14:textId="77777777" w:rsidR="006E1310" w:rsidRPr="00883399" w:rsidRDefault="006E1310" w:rsidP="0031057E">
            <w:pPr>
              <w:pStyle w:val="Note"/>
              <w:keepNext/>
              <w:ind w:left="0"/>
              <w:rPr>
                <w:color w:val="000000"/>
              </w:rPr>
            </w:pPr>
            <w:r w:rsidRPr="00883399">
              <w:rPr>
                <w:color w:val="000000"/>
              </w:rPr>
              <w:t>Method 4</w:t>
            </w:r>
          </w:p>
        </w:tc>
        <w:tc>
          <w:tcPr>
            <w:tcW w:w="2040" w:type="dxa"/>
          </w:tcPr>
          <w:p w14:paraId="5A0AC4EA" w14:textId="77777777" w:rsidR="006E1310" w:rsidRPr="00883399" w:rsidRDefault="006E1310" w:rsidP="0031057E">
            <w:pPr>
              <w:pStyle w:val="Note"/>
              <w:keepNext/>
              <w:ind w:left="0"/>
              <w:jc w:val="center"/>
              <w:rPr>
                <w:color w:val="000000"/>
              </w:rPr>
            </w:pPr>
            <w:r w:rsidRPr="00883399">
              <w:rPr>
                <w:color w:val="000000"/>
              </w:rPr>
              <w:t>NA</w:t>
            </w:r>
          </w:p>
        </w:tc>
        <w:tc>
          <w:tcPr>
            <w:tcW w:w="1680" w:type="dxa"/>
          </w:tcPr>
          <w:p w14:paraId="6A312058" w14:textId="77777777" w:rsidR="006E1310" w:rsidRPr="00883399" w:rsidRDefault="006E1310" w:rsidP="0031057E">
            <w:pPr>
              <w:pStyle w:val="Note"/>
              <w:keepNext/>
              <w:ind w:left="0"/>
              <w:jc w:val="center"/>
              <w:rPr>
                <w:color w:val="000000"/>
              </w:rPr>
            </w:pPr>
            <w:r w:rsidRPr="00883399">
              <w:rPr>
                <w:color w:val="000000"/>
              </w:rPr>
              <w:t>NA</w:t>
            </w:r>
          </w:p>
        </w:tc>
        <w:tc>
          <w:tcPr>
            <w:tcW w:w="1920" w:type="dxa"/>
          </w:tcPr>
          <w:p w14:paraId="79B2B9EA" w14:textId="77777777" w:rsidR="006E1310" w:rsidRPr="00883399" w:rsidRDefault="006E1310" w:rsidP="0031057E">
            <w:pPr>
              <w:pStyle w:val="Note"/>
              <w:keepNext/>
              <w:ind w:left="0"/>
              <w:jc w:val="center"/>
              <w:rPr>
                <w:color w:val="000000"/>
              </w:rPr>
            </w:pPr>
            <w:r w:rsidRPr="00883399">
              <w:rPr>
                <w:color w:val="000000"/>
              </w:rPr>
              <w:t>NO</w:t>
            </w:r>
          </w:p>
        </w:tc>
      </w:tr>
      <w:tr w:rsidR="006E1310" w:rsidRPr="00883399" w14:paraId="3A0B801C" w14:textId="77777777" w:rsidTr="0031057E">
        <w:tc>
          <w:tcPr>
            <w:tcW w:w="8040" w:type="dxa"/>
            <w:gridSpan w:val="4"/>
          </w:tcPr>
          <w:p w14:paraId="240DA1F9" w14:textId="77777777" w:rsidR="006E1310" w:rsidRPr="00883399" w:rsidRDefault="006E1310" w:rsidP="0031057E">
            <w:pPr>
              <w:pStyle w:val="Note"/>
              <w:keepNext/>
              <w:ind w:left="0"/>
              <w:jc w:val="left"/>
              <w:rPr>
                <w:i/>
                <w:color w:val="000000"/>
              </w:rPr>
            </w:pPr>
            <w:r w:rsidRPr="00883399">
              <w:rPr>
                <w:i/>
                <w:color w:val="000000"/>
              </w:rPr>
              <w:t>Methane flared from the operation of the landfill</w:t>
            </w:r>
          </w:p>
        </w:tc>
      </w:tr>
      <w:tr w:rsidR="006E1310" w:rsidRPr="00883399" w14:paraId="41BEF64C" w14:textId="77777777" w:rsidTr="0031057E">
        <w:tc>
          <w:tcPr>
            <w:tcW w:w="2400" w:type="dxa"/>
          </w:tcPr>
          <w:p w14:paraId="663E83EB" w14:textId="77777777" w:rsidR="006E1310" w:rsidRPr="00883399" w:rsidRDefault="006E1310" w:rsidP="0031057E">
            <w:pPr>
              <w:pStyle w:val="Note"/>
              <w:keepNext/>
              <w:ind w:left="0"/>
              <w:rPr>
                <w:color w:val="000000"/>
              </w:rPr>
            </w:pPr>
            <w:r w:rsidRPr="00883399">
              <w:rPr>
                <w:color w:val="000000"/>
              </w:rPr>
              <w:t>Method 1</w:t>
            </w:r>
          </w:p>
        </w:tc>
        <w:tc>
          <w:tcPr>
            <w:tcW w:w="2040" w:type="dxa"/>
          </w:tcPr>
          <w:p w14:paraId="0757AEBC" w14:textId="77777777" w:rsidR="006E1310" w:rsidRPr="00883399" w:rsidRDefault="006E1310" w:rsidP="0031057E">
            <w:pPr>
              <w:pStyle w:val="Note"/>
              <w:keepNext/>
              <w:ind w:left="0"/>
              <w:jc w:val="center"/>
              <w:rPr>
                <w:color w:val="000000"/>
              </w:rPr>
            </w:pPr>
            <w:r w:rsidRPr="00883399">
              <w:rPr>
                <w:color w:val="000000"/>
              </w:rPr>
              <w:t>NA</w:t>
            </w:r>
          </w:p>
        </w:tc>
        <w:tc>
          <w:tcPr>
            <w:tcW w:w="1680" w:type="dxa"/>
          </w:tcPr>
          <w:p w14:paraId="49D7060A" w14:textId="77777777" w:rsidR="006E1310" w:rsidRPr="00883399" w:rsidRDefault="006E1310" w:rsidP="0031057E">
            <w:pPr>
              <w:pStyle w:val="Note"/>
              <w:keepNext/>
              <w:ind w:left="0"/>
              <w:jc w:val="center"/>
              <w:rPr>
                <w:color w:val="000000"/>
              </w:rPr>
            </w:pPr>
            <w:r w:rsidRPr="00883399">
              <w:rPr>
                <w:color w:val="000000"/>
              </w:rPr>
              <w:t>Section 5.19</w:t>
            </w:r>
          </w:p>
        </w:tc>
        <w:tc>
          <w:tcPr>
            <w:tcW w:w="1920" w:type="dxa"/>
          </w:tcPr>
          <w:p w14:paraId="590F79C2" w14:textId="77777777" w:rsidR="006E1310" w:rsidRPr="00883399" w:rsidRDefault="006E1310" w:rsidP="0031057E">
            <w:pPr>
              <w:pStyle w:val="Note"/>
              <w:keepNext/>
              <w:ind w:left="0"/>
              <w:jc w:val="center"/>
              <w:rPr>
                <w:color w:val="000000"/>
              </w:rPr>
            </w:pPr>
            <w:r w:rsidRPr="00883399">
              <w:rPr>
                <w:color w:val="000000"/>
              </w:rPr>
              <w:t>Section 5.19</w:t>
            </w:r>
          </w:p>
        </w:tc>
      </w:tr>
      <w:tr w:rsidR="006E1310" w:rsidRPr="00883399" w14:paraId="4E7136CC" w14:textId="77777777" w:rsidTr="0031057E">
        <w:tc>
          <w:tcPr>
            <w:tcW w:w="2400" w:type="dxa"/>
          </w:tcPr>
          <w:p w14:paraId="55FB8DE3" w14:textId="77777777" w:rsidR="006E1310" w:rsidRPr="00883399" w:rsidRDefault="006E1310" w:rsidP="0031057E">
            <w:pPr>
              <w:pStyle w:val="Note"/>
              <w:keepNext/>
              <w:ind w:left="0"/>
              <w:rPr>
                <w:color w:val="000000"/>
              </w:rPr>
            </w:pPr>
            <w:r w:rsidRPr="00883399">
              <w:rPr>
                <w:color w:val="000000"/>
              </w:rPr>
              <w:t>Method 2</w:t>
            </w:r>
          </w:p>
        </w:tc>
        <w:tc>
          <w:tcPr>
            <w:tcW w:w="2040" w:type="dxa"/>
          </w:tcPr>
          <w:p w14:paraId="2E7F13DC" w14:textId="77777777" w:rsidR="006E1310" w:rsidRPr="00883399" w:rsidRDefault="006E1310" w:rsidP="0031057E">
            <w:pPr>
              <w:pStyle w:val="Note"/>
              <w:keepNext/>
              <w:ind w:left="0"/>
              <w:jc w:val="center"/>
              <w:rPr>
                <w:color w:val="000000"/>
              </w:rPr>
            </w:pPr>
            <w:r w:rsidRPr="00883399">
              <w:rPr>
                <w:color w:val="000000"/>
              </w:rPr>
              <w:t>NA</w:t>
            </w:r>
          </w:p>
        </w:tc>
        <w:tc>
          <w:tcPr>
            <w:tcW w:w="1680" w:type="dxa"/>
          </w:tcPr>
          <w:p w14:paraId="5C29A2F5" w14:textId="77777777" w:rsidR="006E1310" w:rsidRPr="00883399" w:rsidRDefault="006E1310" w:rsidP="0031057E">
            <w:pPr>
              <w:pStyle w:val="Note"/>
              <w:keepNext/>
              <w:ind w:left="0"/>
              <w:jc w:val="center"/>
              <w:rPr>
                <w:color w:val="000000"/>
              </w:rPr>
            </w:pPr>
            <w:r w:rsidRPr="00883399">
              <w:rPr>
                <w:color w:val="000000"/>
              </w:rPr>
              <w:t>Section 5.20</w:t>
            </w:r>
          </w:p>
        </w:tc>
        <w:tc>
          <w:tcPr>
            <w:tcW w:w="1920" w:type="dxa"/>
          </w:tcPr>
          <w:p w14:paraId="445D6825" w14:textId="77777777" w:rsidR="006E1310" w:rsidRPr="00883399" w:rsidRDefault="006E1310" w:rsidP="0031057E">
            <w:pPr>
              <w:pStyle w:val="Note"/>
              <w:keepNext/>
              <w:ind w:left="0"/>
              <w:jc w:val="center"/>
              <w:rPr>
                <w:color w:val="000000"/>
              </w:rPr>
            </w:pPr>
            <w:r w:rsidRPr="00883399">
              <w:rPr>
                <w:color w:val="000000"/>
              </w:rPr>
              <w:t>Section 5.20</w:t>
            </w:r>
          </w:p>
        </w:tc>
      </w:tr>
      <w:tr w:rsidR="006E1310" w:rsidRPr="00883399" w14:paraId="130EF1C8" w14:textId="77777777" w:rsidTr="0031057E">
        <w:tc>
          <w:tcPr>
            <w:tcW w:w="2400" w:type="dxa"/>
          </w:tcPr>
          <w:p w14:paraId="68500467" w14:textId="77777777" w:rsidR="006E1310" w:rsidRPr="00883399" w:rsidRDefault="006E1310" w:rsidP="0031057E">
            <w:pPr>
              <w:pStyle w:val="Note"/>
              <w:keepNext/>
              <w:ind w:left="0"/>
              <w:rPr>
                <w:color w:val="000000"/>
              </w:rPr>
            </w:pPr>
            <w:r w:rsidRPr="00883399">
              <w:rPr>
                <w:color w:val="000000"/>
              </w:rPr>
              <w:t>Method 3</w:t>
            </w:r>
          </w:p>
        </w:tc>
        <w:tc>
          <w:tcPr>
            <w:tcW w:w="2040" w:type="dxa"/>
          </w:tcPr>
          <w:p w14:paraId="60C5CA85" w14:textId="77777777" w:rsidR="006E1310" w:rsidRPr="00883399" w:rsidRDefault="006E1310" w:rsidP="0031057E">
            <w:pPr>
              <w:pStyle w:val="Note"/>
              <w:keepNext/>
              <w:ind w:left="0"/>
              <w:jc w:val="center"/>
              <w:rPr>
                <w:color w:val="000000"/>
              </w:rPr>
            </w:pPr>
            <w:r w:rsidRPr="00883399">
              <w:rPr>
                <w:color w:val="000000"/>
              </w:rPr>
              <w:t>NA</w:t>
            </w:r>
          </w:p>
        </w:tc>
        <w:tc>
          <w:tcPr>
            <w:tcW w:w="1680" w:type="dxa"/>
          </w:tcPr>
          <w:p w14:paraId="1EF727C3" w14:textId="77777777" w:rsidR="006E1310" w:rsidRPr="00883399" w:rsidRDefault="006E1310" w:rsidP="0031057E">
            <w:pPr>
              <w:pStyle w:val="Note"/>
              <w:keepNext/>
              <w:ind w:left="0"/>
              <w:jc w:val="center"/>
              <w:rPr>
                <w:color w:val="000000"/>
              </w:rPr>
            </w:pPr>
            <w:r w:rsidRPr="00883399">
              <w:rPr>
                <w:color w:val="000000"/>
              </w:rPr>
              <w:t>Section 5.21</w:t>
            </w:r>
          </w:p>
        </w:tc>
        <w:tc>
          <w:tcPr>
            <w:tcW w:w="1920" w:type="dxa"/>
          </w:tcPr>
          <w:p w14:paraId="0ABD1658" w14:textId="77777777" w:rsidR="006E1310" w:rsidRPr="00883399" w:rsidRDefault="006E1310" w:rsidP="0031057E">
            <w:pPr>
              <w:pStyle w:val="Note"/>
              <w:keepNext/>
              <w:ind w:left="0"/>
              <w:jc w:val="center"/>
              <w:rPr>
                <w:color w:val="000000"/>
              </w:rPr>
            </w:pPr>
            <w:r w:rsidRPr="00883399">
              <w:rPr>
                <w:color w:val="000000"/>
              </w:rPr>
              <w:t>Section 5.21</w:t>
            </w:r>
          </w:p>
        </w:tc>
      </w:tr>
      <w:tr w:rsidR="006E1310" w:rsidRPr="00883399" w14:paraId="44435D26" w14:textId="77777777" w:rsidTr="0031057E">
        <w:tc>
          <w:tcPr>
            <w:tcW w:w="2400" w:type="dxa"/>
          </w:tcPr>
          <w:p w14:paraId="3F5E47E5" w14:textId="77777777" w:rsidR="006E1310" w:rsidRPr="00883399" w:rsidRDefault="006E1310" w:rsidP="0031057E">
            <w:pPr>
              <w:pStyle w:val="Note"/>
              <w:keepNext/>
              <w:ind w:left="0"/>
              <w:rPr>
                <w:color w:val="000000"/>
              </w:rPr>
            </w:pPr>
            <w:r w:rsidRPr="00883399">
              <w:rPr>
                <w:color w:val="000000"/>
              </w:rPr>
              <w:t>Method 4</w:t>
            </w:r>
          </w:p>
        </w:tc>
        <w:tc>
          <w:tcPr>
            <w:tcW w:w="2040" w:type="dxa"/>
          </w:tcPr>
          <w:p w14:paraId="1EF8E58C" w14:textId="77777777" w:rsidR="006E1310" w:rsidRPr="00883399" w:rsidRDefault="006E1310" w:rsidP="0031057E">
            <w:pPr>
              <w:pStyle w:val="Note"/>
              <w:keepNext/>
              <w:ind w:left="0"/>
              <w:jc w:val="center"/>
              <w:rPr>
                <w:color w:val="000000"/>
              </w:rPr>
            </w:pPr>
            <w:r w:rsidRPr="00883399">
              <w:rPr>
                <w:color w:val="000000"/>
              </w:rPr>
              <w:t>NA</w:t>
            </w:r>
          </w:p>
        </w:tc>
        <w:tc>
          <w:tcPr>
            <w:tcW w:w="1680" w:type="dxa"/>
          </w:tcPr>
          <w:p w14:paraId="4D8AFF07" w14:textId="77777777" w:rsidR="006E1310" w:rsidRPr="00883399" w:rsidRDefault="006E1310" w:rsidP="0031057E">
            <w:pPr>
              <w:pStyle w:val="Note"/>
              <w:keepNext/>
              <w:ind w:left="0"/>
              <w:jc w:val="center"/>
              <w:rPr>
                <w:color w:val="000000"/>
              </w:rPr>
            </w:pPr>
            <w:r w:rsidRPr="00883399">
              <w:rPr>
                <w:color w:val="000000"/>
              </w:rPr>
              <w:t>NA</w:t>
            </w:r>
          </w:p>
        </w:tc>
        <w:tc>
          <w:tcPr>
            <w:tcW w:w="1920" w:type="dxa"/>
          </w:tcPr>
          <w:p w14:paraId="6866A135" w14:textId="77777777" w:rsidR="006E1310" w:rsidRPr="00883399" w:rsidRDefault="006E1310" w:rsidP="0031057E">
            <w:pPr>
              <w:pStyle w:val="Note"/>
              <w:keepNext/>
              <w:ind w:left="0"/>
              <w:jc w:val="center"/>
              <w:rPr>
                <w:color w:val="000000"/>
              </w:rPr>
            </w:pPr>
            <w:r w:rsidRPr="00883399">
              <w:rPr>
                <w:color w:val="000000"/>
              </w:rPr>
              <w:t>NA</w:t>
            </w:r>
          </w:p>
        </w:tc>
      </w:tr>
      <w:tr w:rsidR="006E1310" w:rsidRPr="00883399" w14:paraId="68141AFE" w14:textId="77777777" w:rsidTr="0031057E">
        <w:tc>
          <w:tcPr>
            <w:tcW w:w="8040" w:type="dxa"/>
            <w:gridSpan w:val="4"/>
          </w:tcPr>
          <w:p w14:paraId="67594E0C" w14:textId="77777777" w:rsidR="006E1310" w:rsidRPr="00883399" w:rsidRDefault="006E1310" w:rsidP="0031057E">
            <w:pPr>
              <w:pStyle w:val="Note"/>
              <w:keepNext/>
              <w:ind w:left="0"/>
              <w:jc w:val="left"/>
              <w:rPr>
                <w:i/>
                <w:color w:val="000000"/>
              </w:rPr>
            </w:pPr>
            <w:r w:rsidRPr="00883399">
              <w:rPr>
                <w:i/>
                <w:color w:val="000000"/>
              </w:rPr>
              <w:t xml:space="preserve">Biological treatment of solid waste </w:t>
            </w:r>
          </w:p>
        </w:tc>
      </w:tr>
      <w:tr w:rsidR="006E1310" w:rsidRPr="00883399" w14:paraId="7EE965C2" w14:textId="77777777" w:rsidTr="0031057E">
        <w:tc>
          <w:tcPr>
            <w:tcW w:w="2400" w:type="dxa"/>
          </w:tcPr>
          <w:p w14:paraId="665C6D0B" w14:textId="77777777" w:rsidR="006E1310" w:rsidRPr="00883399" w:rsidRDefault="006E1310" w:rsidP="0031057E">
            <w:pPr>
              <w:pStyle w:val="Note"/>
              <w:keepNext/>
              <w:ind w:left="0"/>
              <w:rPr>
                <w:color w:val="000000"/>
              </w:rPr>
            </w:pPr>
            <w:r w:rsidRPr="00883399">
              <w:rPr>
                <w:color w:val="000000"/>
              </w:rPr>
              <w:t>Method 1</w:t>
            </w:r>
          </w:p>
        </w:tc>
        <w:tc>
          <w:tcPr>
            <w:tcW w:w="2040" w:type="dxa"/>
          </w:tcPr>
          <w:p w14:paraId="02D038FC" w14:textId="77777777" w:rsidR="006E1310" w:rsidRPr="00883399" w:rsidRDefault="006E1310" w:rsidP="0031057E">
            <w:pPr>
              <w:pStyle w:val="Note"/>
              <w:keepNext/>
              <w:ind w:left="0"/>
              <w:jc w:val="center"/>
              <w:rPr>
                <w:color w:val="000000"/>
              </w:rPr>
            </w:pPr>
            <w:r w:rsidRPr="00883399">
              <w:rPr>
                <w:color w:val="000000"/>
              </w:rPr>
              <w:t>NA</w:t>
            </w:r>
          </w:p>
        </w:tc>
        <w:tc>
          <w:tcPr>
            <w:tcW w:w="1680" w:type="dxa"/>
          </w:tcPr>
          <w:p w14:paraId="0926C3F0" w14:textId="77777777" w:rsidR="006E1310" w:rsidRPr="00883399" w:rsidRDefault="006E1310" w:rsidP="0031057E">
            <w:pPr>
              <w:pStyle w:val="Note"/>
              <w:keepNext/>
              <w:ind w:left="0"/>
              <w:jc w:val="center"/>
              <w:rPr>
                <w:color w:val="000000"/>
              </w:rPr>
            </w:pPr>
            <w:r w:rsidRPr="00883399">
              <w:rPr>
                <w:color w:val="000000"/>
              </w:rPr>
              <w:t>Section 5.22</w:t>
            </w:r>
          </w:p>
        </w:tc>
        <w:tc>
          <w:tcPr>
            <w:tcW w:w="1920" w:type="dxa"/>
          </w:tcPr>
          <w:p w14:paraId="2F377DFF" w14:textId="77777777" w:rsidR="006E1310" w:rsidRPr="00883399" w:rsidRDefault="006E1310" w:rsidP="0031057E">
            <w:pPr>
              <w:pStyle w:val="Note"/>
              <w:keepNext/>
              <w:ind w:left="0"/>
              <w:jc w:val="center"/>
              <w:rPr>
                <w:color w:val="000000"/>
              </w:rPr>
            </w:pPr>
            <w:r w:rsidRPr="00883399">
              <w:rPr>
                <w:color w:val="000000"/>
              </w:rPr>
              <w:t>Section 5.22</w:t>
            </w:r>
          </w:p>
        </w:tc>
      </w:tr>
    </w:tbl>
    <w:p w14:paraId="5AF1B507" w14:textId="77777777" w:rsidR="006E1310" w:rsidRPr="00883399" w:rsidRDefault="006E1310" w:rsidP="006E1310">
      <w:pPr>
        <w:pStyle w:val="R2"/>
        <w:keepNext/>
        <w:ind w:hanging="4"/>
        <w:rPr>
          <w:color w:val="000000"/>
          <w:sz w:val="20"/>
          <w:szCs w:val="20"/>
        </w:rPr>
      </w:pPr>
      <w:r w:rsidRPr="00883399">
        <w:rPr>
          <w:color w:val="000000"/>
          <w:sz w:val="20"/>
          <w:szCs w:val="20"/>
        </w:rPr>
        <w:tab/>
        <w:t>NA = Not available or Not applicable. NO = Not occurring.</w:t>
      </w:r>
    </w:p>
    <w:p w14:paraId="05BAC535" w14:textId="77777777" w:rsidR="00884CCE" w:rsidRPr="00883399" w:rsidRDefault="00884CCE" w:rsidP="006E1310">
      <w:pPr>
        <w:pStyle w:val="R1"/>
        <w:keepLines w:val="0"/>
        <w:tabs>
          <w:tab w:val="clear" w:pos="794"/>
          <w:tab w:val="right" w:pos="0"/>
        </w:tabs>
        <w:spacing w:before="240" w:line="312" w:lineRule="auto"/>
        <w:ind w:left="0" w:firstLine="0"/>
        <w:jc w:val="left"/>
        <w:rPr>
          <w:rFonts w:ascii="Arial" w:hAnsi="Arial" w:cs="Arial"/>
          <w:i/>
          <w:sz w:val="22"/>
          <w:szCs w:val="22"/>
        </w:rPr>
      </w:pPr>
    </w:p>
    <w:p w14:paraId="692C38CD" w14:textId="77777777" w:rsidR="00884CCE" w:rsidRPr="00883399" w:rsidRDefault="00884CCE" w:rsidP="006E1310">
      <w:pPr>
        <w:pStyle w:val="R1"/>
        <w:keepLines w:val="0"/>
        <w:tabs>
          <w:tab w:val="clear" w:pos="794"/>
          <w:tab w:val="right" w:pos="0"/>
        </w:tabs>
        <w:spacing w:before="240" w:line="312" w:lineRule="auto"/>
        <w:ind w:left="0" w:firstLine="0"/>
        <w:jc w:val="left"/>
        <w:rPr>
          <w:rFonts w:ascii="Arial" w:hAnsi="Arial" w:cs="Arial"/>
          <w:i/>
          <w:sz w:val="22"/>
          <w:szCs w:val="22"/>
        </w:rPr>
      </w:pPr>
    </w:p>
    <w:p w14:paraId="608BF34D" w14:textId="77777777" w:rsidR="006E1310" w:rsidRPr="00883399" w:rsidRDefault="006E1310" w:rsidP="006E1310">
      <w:pPr>
        <w:pStyle w:val="R1"/>
        <w:keepLines w:val="0"/>
        <w:tabs>
          <w:tab w:val="clear" w:pos="794"/>
          <w:tab w:val="right" w:pos="0"/>
        </w:tabs>
        <w:spacing w:before="240" w:line="312" w:lineRule="auto"/>
        <w:ind w:left="0" w:firstLine="0"/>
        <w:jc w:val="left"/>
        <w:rPr>
          <w:rFonts w:ascii="Arial" w:hAnsi="Arial" w:cs="Arial"/>
          <w:i/>
          <w:sz w:val="22"/>
          <w:szCs w:val="22"/>
        </w:rPr>
      </w:pPr>
      <w:r w:rsidRPr="00883399">
        <w:rPr>
          <w:rFonts w:ascii="Arial" w:hAnsi="Arial" w:cs="Arial"/>
          <w:i/>
          <w:sz w:val="22"/>
          <w:szCs w:val="22"/>
        </w:rPr>
        <w:lastRenderedPageBreak/>
        <w:t>Future work</w:t>
      </w:r>
    </w:p>
    <w:p w14:paraId="7401C136" w14:textId="77777777" w:rsidR="00884CCE" w:rsidRPr="00883399" w:rsidRDefault="006E1310" w:rsidP="00884CCE">
      <w:pPr>
        <w:pStyle w:val="R1"/>
        <w:keepLines w:val="0"/>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It is intended that methods for the direct monitoring of emissions at landfills be developed over time.  No method 4 has been specified in the Determination. Further development work and consultation is required to establish the appropriateness of various monitoring techniques before their inclusion.</w:t>
      </w:r>
      <w:bookmarkStart w:id="1076" w:name="_Toc423517134"/>
    </w:p>
    <w:p w14:paraId="025E3892" w14:textId="0250C2A1" w:rsidR="00872C03" w:rsidRPr="00883399" w:rsidRDefault="00872C03" w:rsidP="00884CCE">
      <w:pPr>
        <w:pStyle w:val="R1"/>
        <w:keepLines w:val="0"/>
        <w:tabs>
          <w:tab w:val="clear" w:pos="794"/>
          <w:tab w:val="right" w:pos="0"/>
        </w:tabs>
        <w:spacing w:before="240" w:line="312" w:lineRule="auto"/>
        <w:ind w:left="0" w:firstLine="0"/>
        <w:jc w:val="left"/>
        <w:rPr>
          <w:b/>
          <w:sz w:val="32"/>
        </w:rPr>
      </w:pPr>
      <w:r w:rsidRPr="00883399">
        <w:rPr>
          <w:rStyle w:val="CharDivNo"/>
          <w:b/>
          <w:sz w:val="32"/>
        </w:rPr>
        <w:t>Division 5.2.2</w:t>
      </w:r>
      <w:r w:rsidRPr="00883399">
        <w:rPr>
          <w:b/>
          <w:sz w:val="32"/>
        </w:rPr>
        <w:t>—</w:t>
      </w:r>
      <w:r w:rsidRPr="00883399">
        <w:rPr>
          <w:rStyle w:val="CharDivText"/>
          <w:b/>
          <w:sz w:val="32"/>
        </w:rPr>
        <w:t>Method 1—emissions of methane released from landfills</w:t>
      </w:r>
      <w:bookmarkEnd w:id="1076"/>
    </w:p>
    <w:p w14:paraId="73ACE791" w14:textId="77777777" w:rsidR="006E1310" w:rsidRPr="00883399" w:rsidRDefault="006E1310" w:rsidP="006E1310">
      <w:pPr>
        <w:pStyle w:val="R1"/>
        <w:keepLines w:val="0"/>
        <w:tabs>
          <w:tab w:val="clear" w:pos="794"/>
          <w:tab w:val="right" w:pos="0"/>
        </w:tabs>
        <w:spacing w:before="240" w:line="312" w:lineRule="auto"/>
        <w:ind w:left="0" w:firstLine="0"/>
        <w:jc w:val="left"/>
        <w:rPr>
          <w:rFonts w:ascii="Arial" w:hAnsi="Arial" w:cs="Arial"/>
          <w:sz w:val="22"/>
          <w:szCs w:val="22"/>
        </w:rPr>
      </w:pPr>
      <w:bookmarkStart w:id="1077" w:name="_Toc423517135"/>
      <w:r w:rsidRPr="00883399">
        <w:rPr>
          <w:rFonts w:ascii="Arial" w:hAnsi="Arial" w:cs="Arial"/>
          <w:sz w:val="22"/>
          <w:szCs w:val="22"/>
        </w:rPr>
        <w:t xml:space="preserve">Method 1 is consistent with the methods used for </w:t>
      </w:r>
      <w:r w:rsidRPr="00883399">
        <w:rPr>
          <w:rFonts w:ascii="Arial" w:hAnsi="Arial" w:cs="Arial"/>
          <w:iCs/>
          <w:sz w:val="22"/>
          <w:szCs w:val="22"/>
        </w:rPr>
        <w:t xml:space="preserve">Australia’s </w:t>
      </w:r>
      <w:r w:rsidRPr="00883399">
        <w:rPr>
          <w:rFonts w:ascii="Arial" w:hAnsi="Arial" w:cs="Arial"/>
          <w:i/>
          <w:sz w:val="22"/>
          <w:szCs w:val="22"/>
        </w:rPr>
        <w:t xml:space="preserve">National Greenhouse Accounts.  </w:t>
      </w:r>
      <w:r w:rsidRPr="00883399">
        <w:rPr>
          <w:rFonts w:ascii="Arial" w:hAnsi="Arial" w:cs="Arial"/>
          <w:sz w:val="22"/>
          <w:szCs w:val="22"/>
        </w:rPr>
        <w:t xml:space="preserve">It is intended that methane generated from solid waste disposal is estimated principally using data on the receipt of solid waste materials at the landfill (often required under State Government levy or reporting arrangements) and the First Order Decay (FOD) model provided in the </w:t>
      </w:r>
      <w:r w:rsidRPr="00883399">
        <w:rPr>
          <w:rFonts w:ascii="Arial" w:hAnsi="Arial" w:cs="Arial"/>
          <w:i/>
          <w:sz w:val="22"/>
          <w:szCs w:val="22"/>
        </w:rPr>
        <w:t>2006 IPCC Guidelines for National Greenhouse Gas Inventories</w:t>
      </w:r>
      <w:r w:rsidRPr="00883399">
        <w:rPr>
          <w:rFonts w:ascii="Arial" w:hAnsi="Arial" w:cs="Arial"/>
          <w:sz w:val="22"/>
          <w:szCs w:val="22"/>
        </w:rPr>
        <w:t xml:space="preserve">, except in certain circumstances specified below.  </w:t>
      </w:r>
    </w:p>
    <w:p w14:paraId="4B3C9E2A" w14:textId="77777777" w:rsidR="006E1310" w:rsidRPr="00883399" w:rsidRDefault="006E1310" w:rsidP="006E1310">
      <w:pPr>
        <w:pStyle w:val="Text"/>
        <w:rPr>
          <w:rFonts w:ascii="Arial" w:hAnsi="Arial" w:cs="Arial"/>
          <w:sz w:val="22"/>
          <w:szCs w:val="22"/>
        </w:rPr>
      </w:pPr>
      <w:r w:rsidRPr="00883399">
        <w:rPr>
          <w:rFonts w:ascii="Arial" w:hAnsi="Arial" w:cs="Arial"/>
          <w:sz w:val="22"/>
          <w:szCs w:val="22"/>
        </w:rPr>
        <w:t xml:space="preserve">The quantity of methane generated from solid waste disposal is estimated using a carbon mass balance approach consistent with the First Order Decay (FOD) model (IPCC 2006).  Methane is generated by the decay of the decomposable degradable organic carbon stock in the landfill site and reflects waste disposal activity over many decades. The concept of the carbon stock model approach is illustrated in </w:t>
      </w:r>
      <w:r w:rsidR="00C66508" w:rsidRPr="00883399">
        <w:fldChar w:fldCharType="begin"/>
      </w:r>
      <w:r w:rsidR="00C66508" w:rsidRPr="00883399">
        <w:instrText xml:space="preserve"> REF _Ref228782695 \h  \* MERGEFORMAT </w:instrText>
      </w:r>
      <w:r w:rsidR="00C66508" w:rsidRPr="00883399">
        <w:fldChar w:fldCharType="separate"/>
      </w:r>
      <w:r w:rsidR="00766D30" w:rsidRPr="00766D30">
        <w:rPr>
          <w:rFonts w:ascii="Arial" w:hAnsi="Arial" w:cs="Arial"/>
          <w:sz w:val="22"/>
          <w:szCs w:val="22"/>
        </w:rPr>
        <w:t>Figure 1</w:t>
      </w:r>
      <w:r w:rsidR="00C66508" w:rsidRPr="00883399">
        <w:fldChar w:fldCharType="end"/>
      </w:r>
      <w:r w:rsidRPr="00883399">
        <w:rPr>
          <w:rFonts w:ascii="Arial" w:hAnsi="Arial" w:cs="Arial"/>
          <w:sz w:val="22"/>
          <w:szCs w:val="22"/>
        </w:rPr>
        <w:t xml:space="preserve">. </w:t>
      </w:r>
    </w:p>
    <w:p w14:paraId="6F8C7ECE" w14:textId="77777777" w:rsidR="006E1310" w:rsidRPr="00883399" w:rsidRDefault="006E1310" w:rsidP="006E1310">
      <w:pPr>
        <w:pStyle w:val="Text"/>
        <w:rPr>
          <w:rFonts w:ascii="Arial" w:hAnsi="Arial" w:cs="Arial"/>
          <w:sz w:val="22"/>
          <w:szCs w:val="22"/>
        </w:rPr>
      </w:pPr>
      <w:r w:rsidRPr="00883399">
        <w:rPr>
          <w:rFonts w:ascii="Arial" w:hAnsi="Arial" w:cs="Arial"/>
          <w:sz w:val="22"/>
          <w:szCs w:val="22"/>
        </w:rPr>
        <w:t>Methane generated from the landfill at any point in time depends on the stock of decomposable degradable organic carbon inside the landfill. The opening stock of decomposable degradable organic carbon decays over the year (∆C</w:t>
      </w:r>
      <w:r w:rsidRPr="00883399">
        <w:rPr>
          <w:rFonts w:ascii="Arial" w:hAnsi="Arial" w:cs="Arial"/>
          <w:sz w:val="22"/>
          <w:szCs w:val="22"/>
          <w:vertAlign w:val="subscript"/>
        </w:rPr>
        <w:t>os</w:t>
      </w:r>
      <w:r w:rsidRPr="00883399">
        <w:rPr>
          <w:rFonts w:ascii="Arial" w:hAnsi="Arial" w:cs="Arial"/>
          <w:sz w:val="22"/>
          <w:szCs w:val="22"/>
        </w:rPr>
        <w:t>) resulting in the generation of landfill gas with the remainder going to the year’s closing stock. Additionally, decomposable degradable organic carbon enters the landfill system through the deposition of new waste during the reporting year dC</w:t>
      </w:r>
      <w:r w:rsidRPr="00883399">
        <w:rPr>
          <w:rStyle w:val="Subscript"/>
          <w:rFonts w:ascii="Arial" w:hAnsi="Arial" w:cs="Arial"/>
          <w:sz w:val="22"/>
          <w:szCs w:val="22"/>
        </w:rPr>
        <w:t>a</w:t>
      </w:r>
      <w:r w:rsidRPr="00883399">
        <w:rPr>
          <w:rFonts w:ascii="Arial" w:hAnsi="Arial" w:cs="Arial"/>
          <w:sz w:val="22"/>
          <w:szCs w:val="22"/>
        </w:rPr>
        <w:t>. A portion of the newly deposited decomposable degradable organic carbon may decay in the reporting year ∆C</w:t>
      </w:r>
      <w:r w:rsidRPr="00883399">
        <w:rPr>
          <w:rStyle w:val="Subscript"/>
          <w:rFonts w:ascii="Arial" w:hAnsi="Arial" w:cs="Arial"/>
          <w:sz w:val="22"/>
          <w:szCs w:val="22"/>
        </w:rPr>
        <w:t>a</w:t>
      </w:r>
      <w:r w:rsidRPr="00883399">
        <w:rPr>
          <w:rFonts w:ascii="Arial" w:hAnsi="Arial" w:cs="Arial"/>
          <w:sz w:val="22"/>
          <w:szCs w:val="22"/>
        </w:rPr>
        <w:t xml:space="preserve"> and the remainder contributes to the closing stock of decomposable degradable organic carbon C</w:t>
      </w:r>
      <w:r w:rsidRPr="00883399">
        <w:rPr>
          <w:rFonts w:ascii="Arial" w:hAnsi="Arial" w:cs="Arial"/>
          <w:sz w:val="22"/>
          <w:szCs w:val="22"/>
          <w:vertAlign w:val="subscript"/>
        </w:rPr>
        <w:t>cs</w:t>
      </w:r>
      <w:r w:rsidRPr="00883399">
        <w:rPr>
          <w:rFonts w:ascii="Arial" w:hAnsi="Arial" w:cs="Arial"/>
          <w:sz w:val="22"/>
          <w:szCs w:val="22"/>
        </w:rPr>
        <w:t xml:space="preserve">. </w:t>
      </w:r>
    </w:p>
    <w:p w14:paraId="7BE9A4F6" w14:textId="77777777" w:rsidR="006E1310" w:rsidRPr="00883399" w:rsidRDefault="006E1310" w:rsidP="006E1310">
      <w:pPr>
        <w:pStyle w:val="Caption"/>
        <w:outlineLvl w:val="0"/>
      </w:pPr>
      <w:bookmarkStart w:id="1078" w:name="_Ref228782695"/>
      <w:bookmarkStart w:id="1079" w:name="_Ref228782660"/>
      <w:r w:rsidRPr="00883399">
        <w:t xml:space="preserve">Figure </w:t>
      </w:r>
      <w:r w:rsidR="008024F0" w:rsidRPr="00883399">
        <w:fldChar w:fldCharType="begin"/>
      </w:r>
      <w:r w:rsidR="00196E6F" w:rsidRPr="00883399">
        <w:instrText xml:space="preserve"> SEQ Figure \* ARABIC </w:instrText>
      </w:r>
      <w:r w:rsidR="008024F0" w:rsidRPr="00883399">
        <w:fldChar w:fldCharType="separate"/>
      </w:r>
      <w:r w:rsidR="00766D30">
        <w:rPr>
          <w:noProof/>
        </w:rPr>
        <w:t>1</w:t>
      </w:r>
      <w:r w:rsidR="008024F0" w:rsidRPr="00883399">
        <w:fldChar w:fldCharType="end"/>
      </w:r>
      <w:bookmarkEnd w:id="1078"/>
      <w:r w:rsidRPr="00883399">
        <w:t>: Carbon stock model flow chart</w:t>
      </w:r>
      <w:bookmarkEnd w:id="1079"/>
    </w:p>
    <w:p w14:paraId="4D6A6295" w14:textId="77777777" w:rsidR="006E1310" w:rsidRPr="00883399" w:rsidRDefault="00C66508" w:rsidP="006E1310">
      <w:pPr>
        <w:pStyle w:val="Text"/>
      </w:pPr>
      <w:r w:rsidRPr="00883399">
        <w:rPr>
          <w:noProof/>
          <w:lang w:eastAsia="en-AU"/>
        </w:rPr>
        <mc:AlternateContent>
          <mc:Choice Requires="wpc">
            <w:drawing>
              <wp:anchor distT="0" distB="0" distL="114300" distR="114300" simplePos="0" relativeHeight="251658249" behindDoc="0" locked="0" layoutInCell="1" allowOverlap="0" wp14:anchorId="1ED63A6B" wp14:editId="1B8BCDD3">
                <wp:simplePos x="0" y="0"/>
                <wp:positionH relativeFrom="margin">
                  <wp:posOffset>-180975</wp:posOffset>
                </wp:positionH>
                <wp:positionV relativeFrom="line">
                  <wp:posOffset>53340</wp:posOffset>
                </wp:positionV>
                <wp:extent cx="5129530" cy="2699385"/>
                <wp:effectExtent l="0" t="0" r="13970" b="24765"/>
                <wp:wrapNone/>
                <wp:docPr id="491" name="Canvas 1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EAEAEA"/>
                        </a:solidFill>
                      </wpc:bg>
                      <wpc:whole>
                        <a:ln w="9525" cap="flat" cmpd="sng" algn="ctr">
                          <a:solidFill>
                            <a:srgbClr val="000000"/>
                          </a:solidFill>
                          <a:prstDash val="solid"/>
                          <a:miter lim="800000"/>
                          <a:headEnd type="none" w="med" len="med"/>
                          <a:tailEnd type="none" w="med" len="med"/>
                        </a:ln>
                      </wpc:whole>
                      <wps:wsp>
                        <wps:cNvPr id="31" name="Rectangle 12"/>
                        <wps:cNvSpPr>
                          <a:spLocks noChangeArrowheads="1"/>
                        </wps:cNvSpPr>
                        <wps:spPr bwMode="auto">
                          <a:xfrm>
                            <a:off x="2675255" y="25400"/>
                            <a:ext cx="1106805" cy="2336800"/>
                          </a:xfrm>
                          <a:prstGeom prst="rect">
                            <a:avLst/>
                          </a:prstGeom>
                          <a:solidFill>
                            <a:srgbClr val="CCFFFF"/>
                          </a:solidFill>
                          <a:ln w="9525">
                            <a:solidFill>
                              <a:srgbClr val="000000"/>
                            </a:solidFill>
                            <a:miter lim="800000"/>
                            <a:headEnd/>
                            <a:tailEnd/>
                          </a:ln>
                        </wps:spPr>
                        <wps:txbx>
                          <w:txbxContent>
                            <w:p w14:paraId="6A539950" w14:textId="77777777" w:rsidR="00F8313C" w:rsidRDefault="00F8313C" w:rsidP="006E1310">
                              <w:pPr>
                                <w:ind w:left="120"/>
                                <w:jc w:val="center"/>
                              </w:pPr>
                              <w:r>
                                <w:t>LOSSES</w:t>
                              </w:r>
                            </w:p>
                          </w:txbxContent>
                        </wps:txbx>
                        <wps:bodyPr rot="0" vert="horz" wrap="square" lIns="91440" tIns="45720" rIns="91440" bIns="45720" anchor="t" anchorCtr="0" upright="1">
                          <a:noAutofit/>
                        </wps:bodyPr>
                      </wps:wsp>
                      <wps:wsp>
                        <wps:cNvPr id="32" name="Rectangle 13"/>
                        <wps:cNvSpPr>
                          <a:spLocks noChangeArrowheads="1"/>
                        </wps:cNvSpPr>
                        <wps:spPr bwMode="auto">
                          <a:xfrm>
                            <a:off x="1535430" y="25400"/>
                            <a:ext cx="1139825" cy="2336800"/>
                          </a:xfrm>
                          <a:prstGeom prst="rect">
                            <a:avLst/>
                          </a:prstGeom>
                          <a:solidFill>
                            <a:srgbClr val="CCFFCC"/>
                          </a:solidFill>
                          <a:ln w="9525">
                            <a:solidFill>
                              <a:srgbClr val="000000"/>
                            </a:solidFill>
                            <a:miter lim="800000"/>
                            <a:headEnd/>
                            <a:tailEnd/>
                          </a:ln>
                        </wps:spPr>
                        <wps:txbx>
                          <w:txbxContent>
                            <w:p w14:paraId="7FD31497" w14:textId="77777777" w:rsidR="00F8313C" w:rsidRDefault="00F8313C" w:rsidP="006E1310">
                              <w:pPr>
                                <w:ind w:left="120"/>
                                <w:jc w:val="center"/>
                              </w:pPr>
                              <w:r>
                                <w:t>ADDITIONS</w:t>
                              </w:r>
                            </w:p>
                          </w:txbxContent>
                        </wps:txbx>
                        <wps:bodyPr rot="0" vert="horz" wrap="square" lIns="91440" tIns="45720" rIns="91440" bIns="45720" anchor="t" anchorCtr="0" upright="1">
                          <a:noAutofit/>
                        </wps:bodyPr>
                      </wps:wsp>
                      <wps:wsp>
                        <wps:cNvPr id="33" name="Rectangle 14"/>
                        <wps:cNvSpPr>
                          <a:spLocks noChangeArrowheads="1"/>
                        </wps:cNvSpPr>
                        <wps:spPr bwMode="auto">
                          <a:xfrm>
                            <a:off x="198755" y="63500"/>
                            <a:ext cx="918845" cy="774065"/>
                          </a:xfrm>
                          <a:prstGeom prst="rect">
                            <a:avLst/>
                          </a:prstGeom>
                          <a:solidFill>
                            <a:srgbClr val="FFFFFF"/>
                          </a:solidFill>
                          <a:ln w="9525">
                            <a:solidFill>
                              <a:srgbClr val="000000"/>
                            </a:solidFill>
                            <a:miter lim="800000"/>
                            <a:headEnd/>
                            <a:tailEnd/>
                          </a:ln>
                        </wps:spPr>
                        <wps:txbx>
                          <w:txbxContent>
                            <w:p w14:paraId="61ACC804" w14:textId="77777777" w:rsidR="00F8313C" w:rsidRDefault="00F8313C" w:rsidP="006E1310">
                              <w:pPr>
                                <w:ind w:left="120"/>
                                <w:rPr>
                                  <w:sz w:val="18"/>
                                  <w:szCs w:val="18"/>
                                </w:rPr>
                              </w:pPr>
                              <w:r>
                                <w:rPr>
                                  <w:sz w:val="18"/>
                                  <w:szCs w:val="18"/>
                                </w:rPr>
                                <w:t xml:space="preserve">Opening stock of degradable carbon </w:t>
                              </w:r>
                            </w:p>
                            <w:p w14:paraId="3C823033" w14:textId="77777777" w:rsidR="00F8313C" w:rsidRDefault="00F8313C" w:rsidP="006E1310">
                              <w:pPr>
                                <w:ind w:left="120"/>
                                <w:jc w:val="center"/>
                                <w:rPr>
                                  <w:sz w:val="18"/>
                                  <w:szCs w:val="18"/>
                                </w:rPr>
                              </w:pPr>
                              <w:r>
                                <w:rPr>
                                  <w:i/>
                                  <w:sz w:val="18"/>
                                  <w:szCs w:val="18"/>
                                </w:rPr>
                                <w:t>C</w:t>
                              </w:r>
                              <w:r>
                                <w:rPr>
                                  <w:i/>
                                  <w:sz w:val="18"/>
                                  <w:szCs w:val="18"/>
                                  <w:vertAlign w:val="subscript"/>
                                </w:rPr>
                                <w:t>os</w:t>
                              </w:r>
                            </w:p>
                          </w:txbxContent>
                        </wps:txbx>
                        <wps:bodyPr rot="0" vert="horz" wrap="square" lIns="91440" tIns="45720" rIns="91440" bIns="45720" anchor="t" anchorCtr="0" upright="1">
                          <a:noAutofit/>
                        </wps:bodyPr>
                      </wps:wsp>
                      <wps:wsp>
                        <wps:cNvPr id="35" name="Rectangle 15"/>
                        <wps:cNvSpPr>
                          <a:spLocks noChangeArrowheads="1"/>
                        </wps:cNvSpPr>
                        <wps:spPr bwMode="auto">
                          <a:xfrm>
                            <a:off x="1609090" y="1084580"/>
                            <a:ext cx="918845" cy="952500"/>
                          </a:xfrm>
                          <a:prstGeom prst="rect">
                            <a:avLst/>
                          </a:prstGeom>
                          <a:solidFill>
                            <a:srgbClr val="FFFFFF"/>
                          </a:solidFill>
                          <a:ln w="9525">
                            <a:solidFill>
                              <a:srgbClr val="000000"/>
                            </a:solidFill>
                            <a:miter lim="800000"/>
                            <a:headEnd/>
                            <a:tailEnd/>
                          </a:ln>
                        </wps:spPr>
                        <wps:txbx>
                          <w:txbxContent>
                            <w:p w14:paraId="68D4C141" w14:textId="77777777" w:rsidR="00F8313C" w:rsidRDefault="00F8313C" w:rsidP="006E1310">
                              <w:pPr>
                                <w:ind w:left="120"/>
                                <w:rPr>
                                  <w:sz w:val="18"/>
                                  <w:szCs w:val="18"/>
                                </w:rPr>
                              </w:pPr>
                              <w:r>
                                <w:rPr>
                                  <w:sz w:val="18"/>
                                  <w:szCs w:val="18"/>
                                </w:rPr>
                                <w:t xml:space="preserve">New deposition of degradable carbon </w:t>
                              </w:r>
                            </w:p>
                            <w:p w14:paraId="4506C4A3" w14:textId="77777777" w:rsidR="00F8313C" w:rsidRDefault="00F8313C" w:rsidP="006E1310">
                              <w:pPr>
                                <w:ind w:left="120"/>
                                <w:jc w:val="center"/>
                                <w:rPr>
                                  <w:sz w:val="18"/>
                                  <w:szCs w:val="18"/>
                                </w:rPr>
                              </w:pPr>
                              <w:r w:rsidRPr="00F3554E">
                                <w:rPr>
                                  <w:i/>
                                  <w:sz w:val="18"/>
                                  <w:szCs w:val="18"/>
                                </w:rPr>
                                <w:t>dC</w:t>
                              </w:r>
                              <w:r>
                                <w:rPr>
                                  <w:i/>
                                  <w:sz w:val="18"/>
                                  <w:szCs w:val="18"/>
                                  <w:vertAlign w:val="subscript"/>
                                </w:rPr>
                                <w:t>a</w:t>
                              </w:r>
                            </w:p>
                          </w:txbxContent>
                        </wps:txbx>
                        <wps:bodyPr rot="0" vert="horz" wrap="square" lIns="91440" tIns="45720" rIns="91440" bIns="45720" anchor="t" anchorCtr="0" upright="1">
                          <a:noAutofit/>
                        </wps:bodyPr>
                      </wps:wsp>
                      <wps:wsp>
                        <wps:cNvPr id="36" name="Rectangle 16"/>
                        <wps:cNvSpPr>
                          <a:spLocks noChangeArrowheads="1"/>
                        </wps:cNvSpPr>
                        <wps:spPr bwMode="auto">
                          <a:xfrm>
                            <a:off x="2773680" y="268605"/>
                            <a:ext cx="918210" cy="741680"/>
                          </a:xfrm>
                          <a:prstGeom prst="rect">
                            <a:avLst/>
                          </a:prstGeom>
                          <a:solidFill>
                            <a:srgbClr val="FFFFFF"/>
                          </a:solidFill>
                          <a:ln w="9525">
                            <a:solidFill>
                              <a:srgbClr val="000000"/>
                            </a:solidFill>
                            <a:miter lim="800000"/>
                            <a:headEnd/>
                            <a:tailEnd/>
                          </a:ln>
                        </wps:spPr>
                        <wps:txbx>
                          <w:txbxContent>
                            <w:p w14:paraId="6D473855" w14:textId="77777777" w:rsidR="00F8313C" w:rsidRDefault="00F8313C" w:rsidP="006E1310">
                              <w:pPr>
                                <w:ind w:left="120"/>
                                <w:rPr>
                                  <w:sz w:val="18"/>
                                  <w:szCs w:val="18"/>
                                </w:rPr>
                              </w:pPr>
                              <w:r>
                                <w:rPr>
                                  <w:sz w:val="18"/>
                                  <w:szCs w:val="18"/>
                                </w:rPr>
                                <w:t xml:space="preserve">Emissions due to decay of opening stock </w:t>
                              </w:r>
                            </w:p>
                            <w:p w14:paraId="60490DA9" w14:textId="77777777" w:rsidR="00F8313C" w:rsidRDefault="00F8313C" w:rsidP="006E1310">
                              <w:pPr>
                                <w:ind w:left="120"/>
                                <w:jc w:val="center"/>
                                <w:rPr>
                                  <w:sz w:val="18"/>
                                  <w:szCs w:val="18"/>
                                </w:rPr>
                              </w:pPr>
                              <w:r>
                                <w:rPr>
                                  <w:i/>
                                  <w:sz w:val="18"/>
                                  <w:szCs w:val="18"/>
                                </w:rPr>
                                <w:t>∆ C</w:t>
                              </w:r>
                              <w:r>
                                <w:rPr>
                                  <w:i/>
                                  <w:sz w:val="18"/>
                                  <w:szCs w:val="18"/>
                                  <w:vertAlign w:val="subscript"/>
                                </w:rPr>
                                <w:t>os</w:t>
                              </w:r>
                            </w:p>
                          </w:txbxContent>
                        </wps:txbx>
                        <wps:bodyPr rot="0" vert="horz" wrap="square" lIns="91440" tIns="45720" rIns="91440" bIns="45720" anchor="t" anchorCtr="0" upright="1">
                          <a:noAutofit/>
                        </wps:bodyPr>
                      </wps:wsp>
                      <wps:wsp>
                        <wps:cNvPr id="37" name="Rectangle 17"/>
                        <wps:cNvSpPr>
                          <a:spLocks noChangeArrowheads="1"/>
                        </wps:cNvSpPr>
                        <wps:spPr bwMode="auto">
                          <a:xfrm>
                            <a:off x="3943985" y="751205"/>
                            <a:ext cx="918210" cy="644525"/>
                          </a:xfrm>
                          <a:prstGeom prst="rect">
                            <a:avLst/>
                          </a:prstGeom>
                          <a:solidFill>
                            <a:srgbClr val="FFFFFF"/>
                          </a:solidFill>
                          <a:ln w="9525">
                            <a:solidFill>
                              <a:srgbClr val="000000"/>
                            </a:solidFill>
                            <a:miter lim="800000"/>
                            <a:headEnd/>
                            <a:tailEnd/>
                          </a:ln>
                        </wps:spPr>
                        <wps:txbx>
                          <w:txbxContent>
                            <w:p w14:paraId="6236A82F" w14:textId="77777777" w:rsidR="00F8313C" w:rsidRDefault="00F8313C" w:rsidP="006E1310">
                              <w:pPr>
                                <w:ind w:left="120"/>
                                <w:rPr>
                                  <w:sz w:val="18"/>
                                  <w:szCs w:val="18"/>
                                </w:rPr>
                              </w:pPr>
                              <w:r>
                                <w:rPr>
                                  <w:sz w:val="18"/>
                                  <w:szCs w:val="18"/>
                                </w:rPr>
                                <w:t>Closing stock of degradable carbon</w:t>
                              </w:r>
                            </w:p>
                            <w:p w14:paraId="65DF0916" w14:textId="77777777" w:rsidR="00F8313C" w:rsidRDefault="00F8313C" w:rsidP="006E1310">
                              <w:pPr>
                                <w:ind w:left="120"/>
                                <w:jc w:val="center"/>
                                <w:rPr>
                                  <w:sz w:val="18"/>
                                  <w:szCs w:val="18"/>
                                </w:rPr>
                              </w:pPr>
                              <w:r>
                                <w:rPr>
                                  <w:i/>
                                  <w:sz w:val="18"/>
                                  <w:szCs w:val="18"/>
                                </w:rPr>
                                <w:t>C</w:t>
                              </w:r>
                              <w:r>
                                <w:rPr>
                                  <w:i/>
                                  <w:sz w:val="18"/>
                                  <w:szCs w:val="18"/>
                                  <w:vertAlign w:val="subscript"/>
                                </w:rPr>
                                <w:t>cs</w:t>
                              </w:r>
                            </w:p>
                            <w:p w14:paraId="386C6E0E" w14:textId="77777777" w:rsidR="00F8313C" w:rsidRDefault="00F8313C" w:rsidP="006E1310"/>
                          </w:txbxContent>
                        </wps:txbx>
                        <wps:bodyPr rot="0" vert="horz" wrap="square" lIns="91440" tIns="45720" rIns="91440" bIns="45720" anchor="t" anchorCtr="0" upright="1">
                          <a:noAutofit/>
                        </wps:bodyPr>
                      </wps:wsp>
                      <wps:wsp>
                        <wps:cNvPr id="38" name="AutoShape 18"/>
                        <wps:cNvCnPr>
                          <a:cxnSpLocks noChangeShapeType="1"/>
                        </wps:cNvCnPr>
                        <wps:spPr bwMode="auto">
                          <a:xfrm flipH="1" flipV="1">
                            <a:off x="198755" y="450850"/>
                            <a:ext cx="4663440" cy="622935"/>
                          </a:xfrm>
                          <a:prstGeom prst="bentConnector5">
                            <a:avLst>
                              <a:gd name="adj1" fmla="val -4903"/>
                              <a:gd name="adj2" fmla="val -220083"/>
                              <a:gd name="adj3" fmla="val 10307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2" name="Rectangle 19"/>
                        <wps:cNvSpPr>
                          <a:spLocks noChangeArrowheads="1"/>
                        </wps:cNvSpPr>
                        <wps:spPr bwMode="auto">
                          <a:xfrm>
                            <a:off x="2776855" y="1065530"/>
                            <a:ext cx="917575" cy="986155"/>
                          </a:xfrm>
                          <a:prstGeom prst="rect">
                            <a:avLst/>
                          </a:prstGeom>
                          <a:solidFill>
                            <a:srgbClr val="FFFFFF"/>
                          </a:solidFill>
                          <a:ln w="9525">
                            <a:solidFill>
                              <a:srgbClr val="000000"/>
                            </a:solidFill>
                            <a:miter lim="800000"/>
                            <a:headEnd/>
                            <a:tailEnd/>
                          </a:ln>
                        </wps:spPr>
                        <wps:txbx>
                          <w:txbxContent>
                            <w:p w14:paraId="1192786A" w14:textId="77777777" w:rsidR="00F8313C" w:rsidRDefault="00F8313C" w:rsidP="006E1310">
                              <w:pPr>
                                <w:ind w:left="120"/>
                                <w:rPr>
                                  <w:sz w:val="18"/>
                                  <w:szCs w:val="18"/>
                                </w:rPr>
                              </w:pPr>
                              <w:r>
                                <w:rPr>
                                  <w:sz w:val="18"/>
                                  <w:szCs w:val="18"/>
                                </w:rPr>
                                <w:t>Emissions due to decay of newly deposited carbon</w:t>
                              </w:r>
                            </w:p>
                            <w:p w14:paraId="3B22327B" w14:textId="77777777" w:rsidR="00F8313C" w:rsidRDefault="00F8313C" w:rsidP="006E1310">
                              <w:pPr>
                                <w:ind w:left="120"/>
                                <w:jc w:val="center"/>
                                <w:rPr>
                                  <w:sz w:val="18"/>
                                  <w:szCs w:val="18"/>
                                </w:rPr>
                              </w:pPr>
                              <w:r>
                                <w:rPr>
                                  <w:i/>
                                  <w:sz w:val="18"/>
                                  <w:szCs w:val="18"/>
                                </w:rPr>
                                <w:t>∆C</w:t>
                              </w:r>
                              <w:r>
                                <w:rPr>
                                  <w:i/>
                                  <w:sz w:val="18"/>
                                  <w:szCs w:val="18"/>
                                  <w:vertAlign w:val="subscript"/>
                                </w:rPr>
                                <w:t>a</w:t>
                              </w:r>
                            </w:p>
                          </w:txbxContent>
                        </wps:txbx>
                        <wps:bodyPr rot="0" vert="horz" wrap="square" lIns="91440" tIns="45720" rIns="91440" bIns="45720" anchor="t" anchorCtr="0" upright="1">
                          <a:noAutofit/>
                        </wps:bodyPr>
                      </wps:wsp>
                      <wps:wsp>
                        <wps:cNvPr id="43" name="AutoShape 20"/>
                        <wps:cNvCnPr>
                          <a:cxnSpLocks noChangeShapeType="1"/>
                        </wps:cNvCnPr>
                        <wps:spPr bwMode="auto">
                          <a:xfrm flipV="1">
                            <a:off x="2527935" y="1558925"/>
                            <a:ext cx="248920" cy="1905"/>
                          </a:xfrm>
                          <a:prstGeom prst="bentConnector3">
                            <a:avLst>
                              <a:gd name="adj1" fmla="val 4974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4" name="AutoShape 21"/>
                        <wps:cNvCnPr>
                          <a:cxnSpLocks noChangeShapeType="1"/>
                        </wps:cNvCnPr>
                        <wps:spPr bwMode="auto">
                          <a:xfrm flipV="1">
                            <a:off x="3694430" y="1073785"/>
                            <a:ext cx="249555" cy="485140"/>
                          </a:xfrm>
                          <a:prstGeom prst="bentConnector3">
                            <a:avLst>
                              <a:gd name="adj1" fmla="val 498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 name="AutoShape 22"/>
                        <wps:cNvCnPr>
                          <a:cxnSpLocks noChangeShapeType="1"/>
                        </wps:cNvCnPr>
                        <wps:spPr bwMode="auto">
                          <a:xfrm>
                            <a:off x="1117600" y="450850"/>
                            <a:ext cx="1656080" cy="188595"/>
                          </a:xfrm>
                          <a:prstGeom prst="bentConnector3">
                            <a:avLst>
                              <a:gd name="adj1" fmla="val 4996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3" name="AutoShape 23"/>
                        <wps:cNvCnPr>
                          <a:cxnSpLocks noChangeShapeType="1"/>
                        </wps:cNvCnPr>
                        <wps:spPr bwMode="auto">
                          <a:xfrm>
                            <a:off x="3691890" y="639445"/>
                            <a:ext cx="252095" cy="434340"/>
                          </a:xfrm>
                          <a:prstGeom prst="bentConnector3">
                            <a:avLst>
                              <a:gd name="adj1" fmla="val 498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4" name="AutoShape 24"/>
                        <wps:cNvCnPr>
                          <a:cxnSpLocks noChangeShapeType="1"/>
                        </wps:cNvCnPr>
                        <wps:spPr bwMode="auto">
                          <a:xfrm>
                            <a:off x="1207135" y="1560830"/>
                            <a:ext cx="4019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Text Box 25"/>
                        <wps:cNvSpPr txBox="1">
                          <a:spLocks noChangeArrowheads="1"/>
                        </wps:cNvSpPr>
                        <wps:spPr bwMode="auto">
                          <a:xfrm>
                            <a:off x="201295" y="1036320"/>
                            <a:ext cx="1005840" cy="1049020"/>
                          </a:xfrm>
                          <a:prstGeom prst="rect">
                            <a:avLst/>
                          </a:prstGeom>
                          <a:solidFill>
                            <a:srgbClr val="FFFFFF"/>
                          </a:solidFill>
                          <a:ln w="9525">
                            <a:solidFill>
                              <a:srgbClr val="000000"/>
                            </a:solidFill>
                            <a:miter lim="800000"/>
                            <a:headEnd/>
                            <a:tailEnd/>
                          </a:ln>
                        </wps:spPr>
                        <wps:txbx>
                          <w:txbxContent>
                            <w:p w14:paraId="1322852D" w14:textId="77777777" w:rsidR="00F8313C" w:rsidRDefault="00F8313C" w:rsidP="006E1310">
                              <w:pPr>
                                <w:ind w:left="120"/>
                                <w:rPr>
                                  <w:sz w:val="18"/>
                                  <w:szCs w:val="18"/>
                                </w:rPr>
                              </w:pPr>
                              <w:r>
                                <w:rPr>
                                  <w:sz w:val="18"/>
                                  <w:szCs w:val="18"/>
                                </w:rPr>
                                <w:t xml:space="preserve">Food, garden, </w:t>
                              </w:r>
                            </w:p>
                            <w:p w14:paraId="2E5BCDB0" w14:textId="77777777" w:rsidR="00F8313C" w:rsidRDefault="00F8313C" w:rsidP="006E1310">
                              <w:pPr>
                                <w:ind w:left="120"/>
                                <w:rPr>
                                  <w:sz w:val="18"/>
                                  <w:szCs w:val="18"/>
                                </w:rPr>
                              </w:pPr>
                              <w:r>
                                <w:rPr>
                                  <w:sz w:val="18"/>
                                  <w:szCs w:val="18"/>
                                </w:rPr>
                                <w:t>Wood, paper, textiles, sludge, nappies, rubber and leather and other carbon</w:t>
                              </w:r>
                            </w:p>
                            <w:p w14:paraId="12EEB793" w14:textId="77777777" w:rsidR="00F8313C" w:rsidRDefault="00F8313C" w:rsidP="006E1310">
                              <w:pPr>
                                <w:ind w:left="120"/>
                                <w:jc w:val="center"/>
                              </w:pPr>
                              <w:r>
                                <w:rPr>
                                  <w:i/>
                                  <w:sz w:val="18"/>
                                  <w:szCs w:val="18"/>
                                </w:rPr>
                                <w:t>C</w:t>
                              </w:r>
                              <w:r>
                                <w:rPr>
                                  <w:i/>
                                  <w:sz w:val="18"/>
                                  <w:szCs w:val="18"/>
                                  <w:vertAlign w:val="subscript"/>
                                </w:rPr>
                                <w:t>a</w:t>
                              </w:r>
                            </w:p>
                            <w:p w14:paraId="6B0545B0" w14:textId="77777777" w:rsidR="00F8313C" w:rsidRDefault="00F8313C" w:rsidP="006E1310"/>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ED63A6B" id="Canvas 10" o:spid="_x0000_s1069" editas="canvas" style="position:absolute;margin-left:-14.25pt;margin-top:4.2pt;width:403.9pt;height:212.55pt;z-index:251658249;mso-position-horizontal-relative:margin;mso-position-vertical-relative:line" coordsize="51295,26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" o:allowoverlap="f">
                <v:shape id="_x0000_s1070" type="#_x0000_t75" style="position:absolute;width:51295;height:26993;visibility:visible;mso-wrap-style:square" filled="t" fillcolor="#eaeaea" stroked="t">
                  <v:fill o:detectmouseclick="t"/>
                  <v:path o:connecttype="none"/>
                </v:shape>
                <v:rect id="Rectangle 12" o:spid="_x0000_s1071" style="position:absolute;left:26752;top:254;width:11068;height:23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z8UA&#10;AADbAAAADwAAAGRycy9kb3ducmV2LnhtbESPQWvCQBSE7wX/w/KEXoputFBqdBPEYq0gFaOix0f2&#10;mYRm34bsqum/7xYKPQ4z8w0zSztTixu1rrKsYDSMQBDnVldcKDjsl4NXEM4ja6wtk4JvcpAmvYcZ&#10;xtreeUe3zBciQNjFqKD0vomldHlJBt3QNsTBu9jWoA+yLaRu8R7gppbjKHqRBisOCyU2tCgp/8qu&#10;RsH2uJqYNa7fTqY6E71vMv/5tFDqsd/NpyA8df4//Nf+0AqeR/D7JfwA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LPxQAAANsAAAAPAAAAAAAAAAAAAAAAAJgCAABkcnMv&#10;ZG93bnJldi54bWxQSwUGAAAAAAQABAD1AAAAigMAAAAA&#10;" fillcolor="#cff">
                  <v:textbox>
                    <w:txbxContent>
                      <w:p w14:paraId="6A539950" w14:textId="77777777" w:rsidR="00F8313C" w:rsidRDefault="00F8313C" w:rsidP="006E1310">
                        <w:pPr>
                          <w:ind w:left="120"/>
                          <w:jc w:val="center"/>
                        </w:pPr>
                        <w:r>
                          <w:t>LOSSES</w:t>
                        </w:r>
                      </w:p>
                    </w:txbxContent>
                  </v:textbox>
                </v:rect>
                <v:rect id="Rectangle 13" o:spid="_x0000_s1072" style="position:absolute;left:15354;top:254;width:11398;height:23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wsYA&#10;AADbAAAADwAAAGRycy9kb3ducmV2LnhtbESP3WrCQBSE7wt9h+UUvJG6MUIrqasES1sVofXnAQ7Z&#10;0ySYPRt21xjf3i0IvRxm5htmtuhNIzpyvrasYDxKQBAXVtdcKjgePp6nIHxA1thYJgVX8rCYPz7M&#10;MNP2wjvq9qEUEcI+QwVVCG0mpS8qMuhHtiWO3q91BkOUrpTa4SXCTSPTJHmRBmuOCxW2tKyoOO3P&#10;RoHb/nwO2/f89XrizfTrkHTrPP1WavDU528gAvXhP3xvr7SCSQp/X+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wsYAAADbAAAADwAAAAAAAAAAAAAAAACYAgAAZHJz&#10;L2Rvd25yZXYueG1sUEsFBgAAAAAEAAQA9QAAAIsDAAAAAA==&#10;" fillcolor="#cfc">
                  <v:textbox>
                    <w:txbxContent>
                      <w:p w14:paraId="7FD31497" w14:textId="77777777" w:rsidR="00F8313C" w:rsidRDefault="00F8313C" w:rsidP="006E1310">
                        <w:pPr>
                          <w:ind w:left="120"/>
                          <w:jc w:val="center"/>
                        </w:pPr>
                        <w:r>
                          <w:t>ADDITIONS</w:t>
                        </w:r>
                      </w:p>
                    </w:txbxContent>
                  </v:textbox>
                </v:rect>
                <v:rect id="Rectangle 14" o:spid="_x0000_s1073" style="position:absolute;left:1987;top:635;width:9189;height:7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14:paraId="61ACC804" w14:textId="77777777" w:rsidR="00F8313C" w:rsidRDefault="00F8313C" w:rsidP="006E1310">
                        <w:pPr>
                          <w:ind w:left="120"/>
                          <w:rPr>
                            <w:sz w:val="18"/>
                            <w:szCs w:val="18"/>
                          </w:rPr>
                        </w:pPr>
                        <w:r>
                          <w:rPr>
                            <w:sz w:val="18"/>
                            <w:szCs w:val="18"/>
                          </w:rPr>
                          <w:t xml:space="preserve">Opening stock of degradable carbon </w:t>
                        </w:r>
                      </w:p>
                      <w:p w14:paraId="3C823033" w14:textId="77777777" w:rsidR="00F8313C" w:rsidRDefault="00F8313C" w:rsidP="006E1310">
                        <w:pPr>
                          <w:ind w:left="120"/>
                          <w:jc w:val="center"/>
                          <w:rPr>
                            <w:sz w:val="18"/>
                            <w:szCs w:val="18"/>
                          </w:rPr>
                        </w:pPr>
                        <w:r>
                          <w:rPr>
                            <w:i/>
                            <w:sz w:val="18"/>
                            <w:szCs w:val="18"/>
                          </w:rPr>
                          <w:t>C</w:t>
                        </w:r>
                        <w:r>
                          <w:rPr>
                            <w:i/>
                            <w:sz w:val="18"/>
                            <w:szCs w:val="18"/>
                            <w:vertAlign w:val="subscript"/>
                          </w:rPr>
                          <w:t>os</w:t>
                        </w:r>
                      </w:p>
                    </w:txbxContent>
                  </v:textbox>
                </v:rect>
                <v:rect id="Rectangle 15" o:spid="_x0000_s1074" style="position:absolute;left:16090;top:10845;width:9189;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14:paraId="68D4C141" w14:textId="77777777" w:rsidR="00F8313C" w:rsidRDefault="00F8313C" w:rsidP="006E1310">
                        <w:pPr>
                          <w:ind w:left="120"/>
                          <w:rPr>
                            <w:sz w:val="18"/>
                            <w:szCs w:val="18"/>
                          </w:rPr>
                        </w:pPr>
                        <w:r>
                          <w:rPr>
                            <w:sz w:val="18"/>
                            <w:szCs w:val="18"/>
                          </w:rPr>
                          <w:t xml:space="preserve">New deposition of degradable carbon </w:t>
                        </w:r>
                      </w:p>
                      <w:p w14:paraId="4506C4A3" w14:textId="77777777" w:rsidR="00F8313C" w:rsidRDefault="00F8313C" w:rsidP="006E1310">
                        <w:pPr>
                          <w:ind w:left="120"/>
                          <w:jc w:val="center"/>
                          <w:rPr>
                            <w:sz w:val="18"/>
                            <w:szCs w:val="18"/>
                          </w:rPr>
                        </w:pPr>
                        <w:r w:rsidRPr="00F3554E">
                          <w:rPr>
                            <w:i/>
                            <w:sz w:val="18"/>
                            <w:szCs w:val="18"/>
                          </w:rPr>
                          <w:t>dC</w:t>
                        </w:r>
                        <w:r>
                          <w:rPr>
                            <w:i/>
                            <w:sz w:val="18"/>
                            <w:szCs w:val="18"/>
                            <w:vertAlign w:val="subscript"/>
                          </w:rPr>
                          <w:t>a</w:t>
                        </w:r>
                      </w:p>
                    </w:txbxContent>
                  </v:textbox>
                </v:rect>
                <v:rect id="Rectangle 16" o:spid="_x0000_s1075" style="position:absolute;left:27736;top:2686;width:9182;height:7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14:paraId="6D473855" w14:textId="77777777" w:rsidR="00F8313C" w:rsidRDefault="00F8313C" w:rsidP="006E1310">
                        <w:pPr>
                          <w:ind w:left="120"/>
                          <w:rPr>
                            <w:sz w:val="18"/>
                            <w:szCs w:val="18"/>
                          </w:rPr>
                        </w:pPr>
                        <w:r>
                          <w:rPr>
                            <w:sz w:val="18"/>
                            <w:szCs w:val="18"/>
                          </w:rPr>
                          <w:t xml:space="preserve">Emissions due to decay of opening stock </w:t>
                        </w:r>
                      </w:p>
                      <w:p w14:paraId="60490DA9" w14:textId="77777777" w:rsidR="00F8313C" w:rsidRDefault="00F8313C" w:rsidP="006E1310">
                        <w:pPr>
                          <w:ind w:left="120"/>
                          <w:jc w:val="center"/>
                          <w:rPr>
                            <w:sz w:val="18"/>
                            <w:szCs w:val="18"/>
                          </w:rPr>
                        </w:pPr>
                        <w:r>
                          <w:rPr>
                            <w:i/>
                            <w:sz w:val="18"/>
                            <w:szCs w:val="18"/>
                          </w:rPr>
                          <w:t>∆ C</w:t>
                        </w:r>
                        <w:r>
                          <w:rPr>
                            <w:i/>
                            <w:sz w:val="18"/>
                            <w:szCs w:val="18"/>
                            <w:vertAlign w:val="subscript"/>
                          </w:rPr>
                          <w:t>os</w:t>
                        </w:r>
                      </w:p>
                    </w:txbxContent>
                  </v:textbox>
                </v:rect>
                <v:rect id="Rectangle 17" o:spid="_x0000_s1076" style="position:absolute;left:39439;top:7512;width:9182;height:6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14:paraId="6236A82F" w14:textId="77777777" w:rsidR="00F8313C" w:rsidRDefault="00F8313C" w:rsidP="006E1310">
                        <w:pPr>
                          <w:ind w:left="120"/>
                          <w:rPr>
                            <w:sz w:val="18"/>
                            <w:szCs w:val="18"/>
                          </w:rPr>
                        </w:pPr>
                        <w:r>
                          <w:rPr>
                            <w:sz w:val="18"/>
                            <w:szCs w:val="18"/>
                          </w:rPr>
                          <w:t>Closing stock of degradable carbon</w:t>
                        </w:r>
                      </w:p>
                      <w:p w14:paraId="65DF0916" w14:textId="77777777" w:rsidR="00F8313C" w:rsidRDefault="00F8313C" w:rsidP="006E1310">
                        <w:pPr>
                          <w:ind w:left="120"/>
                          <w:jc w:val="center"/>
                          <w:rPr>
                            <w:sz w:val="18"/>
                            <w:szCs w:val="18"/>
                          </w:rPr>
                        </w:pPr>
                        <w:r>
                          <w:rPr>
                            <w:i/>
                            <w:sz w:val="18"/>
                            <w:szCs w:val="18"/>
                          </w:rPr>
                          <w:t>C</w:t>
                        </w:r>
                        <w:r>
                          <w:rPr>
                            <w:i/>
                            <w:sz w:val="18"/>
                            <w:szCs w:val="18"/>
                            <w:vertAlign w:val="subscript"/>
                          </w:rPr>
                          <w:t>cs</w:t>
                        </w:r>
                      </w:p>
                      <w:p w14:paraId="386C6E0E" w14:textId="77777777" w:rsidR="00F8313C" w:rsidRDefault="00F8313C" w:rsidP="006E1310"/>
                    </w:txbxContent>
                  </v:textbox>
                </v:rect>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AutoShape 18" o:spid="_x0000_s1077" type="#_x0000_t36" style="position:absolute;left:1987;top:4508;width:46634;height:6229;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KMcEAAADbAAAADwAAAGRycy9kb3ducmV2LnhtbERPTWsCMRC9F/wPYYTeatYKYlejiNBS&#10;6KFo24O3YTPuLiaTsInrtr++cxA8Pt73ajN4p3rqUhvYwHRSgCKugm25NvD99fq0AJUyskUXmAz8&#10;UoLNevSwwtKGK++pP+RaSQinEg00OcdS61Q15DFNQiQW7hQ6j1lgV2vb4VXCvdPPRTHXHluWhgYj&#10;7RqqzoeLNzD7+IuXepr62aI4xrfw6fDF/RjzOB62S1CZhnwX39zvVnwyVr7ID9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LsoxwQAAANsAAAAPAAAAAAAAAAAAAAAA&#10;AKECAABkcnMvZG93bnJldi54bWxQSwUGAAAAAAQABAD5AAAAjwMAAAAA&#10;" adj="-1059,-47538,22264">
                  <v:stroke endarrow="block"/>
                </v:shape>
                <v:rect id="Rectangle 19" o:spid="_x0000_s1078" style="position:absolute;left:27768;top:10655;width:9176;height:9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14:paraId="1192786A" w14:textId="77777777" w:rsidR="00F8313C" w:rsidRDefault="00F8313C" w:rsidP="006E1310">
                        <w:pPr>
                          <w:ind w:left="120"/>
                          <w:rPr>
                            <w:sz w:val="18"/>
                            <w:szCs w:val="18"/>
                          </w:rPr>
                        </w:pPr>
                        <w:r>
                          <w:rPr>
                            <w:sz w:val="18"/>
                            <w:szCs w:val="18"/>
                          </w:rPr>
                          <w:t>Emissions due to decay of newly deposited carbon</w:t>
                        </w:r>
                      </w:p>
                      <w:p w14:paraId="3B22327B" w14:textId="77777777" w:rsidR="00F8313C" w:rsidRDefault="00F8313C" w:rsidP="006E1310">
                        <w:pPr>
                          <w:ind w:left="120"/>
                          <w:jc w:val="center"/>
                          <w:rPr>
                            <w:sz w:val="18"/>
                            <w:szCs w:val="18"/>
                          </w:rPr>
                        </w:pPr>
                        <w:r>
                          <w:rPr>
                            <w:i/>
                            <w:sz w:val="18"/>
                            <w:szCs w:val="18"/>
                          </w:rPr>
                          <w:t>∆C</w:t>
                        </w:r>
                        <w:r>
                          <w:rPr>
                            <w:i/>
                            <w:sz w:val="18"/>
                            <w:szCs w:val="18"/>
                            <w:vertAlign w:val="subscript"/>
                          </w:rPr>
                          <w:t>a</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079" type="#_x0000_t34" style="position:absolute;left:25279;top:15589;width:2489;height:1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b78IAAADbAAAADwAAAGRycy9kb3ducmV2LnhtbESPQWsCMRSE74L/ITzBm2Ztt1VXo5SC&#10;2Kta8frYPHcXNy9xE3X11zdCweMwM98w82VranGlxleWFYyGCQji3OqKCwW/u9VgAsIHZI21ZVJw&#10;Jw/LRbczx0zbG2/oug2FiBD2GSooQ3CZlD4vyaAfWkccvaNtDIYom0LqBm8Rbmr5liSf0mDFcaFE&#10;R98l5aftxShAcpfpJDz0Oj349OM8fhzdfqdUv9d+zUAEasMr/N/+0QrSd3h+iT9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nb78IAAADbAAAADwAAAAAAAAAAAAAA&#10;AAChAgAAZHJzL2Rvd25yZXYueG1sUEsFBgAAAAAEAAQA+QAAAJADAAAAAA==&#10;" adj="10745">
                  <v:stroke endarrow="block"/>
                </v:shape>
                <v:shape id="AutoShape 21" o:spid="_x0000_s1080" type="#_x0000_t34" style="position:absolute;left:36944;top:10737;width:2495;height:485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In/McAAADbAAAADwAAAGRycy9kb3ducmV2LnhtbESPQWvCQBSE74L/YXlCL6Ib21RqdBVp&#10;LRR7EG0LOT6zzySafRuyW43/vlsQPA4z8w0zW7SmEmdqXGlZwWgYgSDOrC45V/D99T54AeE8ssbK&#10;Mim4koPFvNuZYaLthbd03vlcBAi7BBUU3teJlC4ryKAb2po4eAfbGPRBNrnUDV4C3FTyMYrG0mDJ&#10;YaHAml4Lyk67X6NgH7+tNnX6eVy3VTY5Hfrp089zqtRDr11OQXhq/T18a39oBXEM/1/CD5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Uif8xwAAANsAAAAPAAAAAAAA&#10;AAAAAAAAAKECAABkcnMvZG93bnJldi54bWxQSwUGAAAAAAQABAD5AAAAlQMAAAAA&#10;" adj="10773">
                  <v:stroke endarrow="block"/>
                </v:shape>
                <v:shape id="AutoShape 22" o:spid="_x0000_s1081" type="#_x0000_t34" style="position:absolute;left:11176;top:4508;width:16560;height:18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MdNcEAAADbAAAADwAAAGRycy9kb3ducmV2LnhtbERPTWsCMRC9C/0PYQq9abaCRVajlBYX&#10;ob1oe2hvw2bcRDeTJcnq6q9vDgWPj/e9XA+uFWcK0XpW8DwpQBDXXltuFHx/bcZzEDEha2w9k4Ir&#10;RVivHkZLLLW/8I7O+9SIHMKxRAUmpa6UMtaGHMaJ74gzd/DBYcowNFIHvORw18ppUbxIh5Zzg8GO&#10;3gzVp33vFFTW3mT30Q/H6vN9a392v8aFmVJPj8PrAkSiId3F/+6tVjDL6/OX/A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x01wQAAANsAAAAPAAAAAAAAAAAAAAAA&#10;AKECAABkcnMvZG93bnJldi54bWxQSwUGAAAAAAQABAD5AAAAjwMAAAAA&#10;" adj="10792">
                  <v:stroke endarrow="block"/>
                </v:shape>
                <v:shape id="AutoShape 23" o:spid="_x0000_s1082" type="#_x0000_t34" style="position:absolute;left:36918;top:6394;width:2521;height:434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HDi8QAAADbAAAADwAAAGRycy9kb3ducmV2LnhtbESPQWvCQBSE70L/w/IK3symirak2UhV&#10;hJyEpin0+Mi+Jmmzb2N21fjvXaHQ4zDzzTDpejSdONPgWssKnqIYBHFldcu1gvJjP3sB4Tyyxs4y&#10;KbiSg3X2MEkx0fbC73QufC1CCbsEFTTe94mUrmrIoItsTxy8bzsY9EEOtdQDXkK56eQ8jlfSYMth&#10;ocGetg1Vv8XJKFge8+18dTgQ7XafGz1K+1z+fCk1fRzfXkF4Gv1/+I/OdeAWcP8SfoDM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cOLxAAAANsAAAAPAAAAAAAAAAAA&#10;AAAAAKECAABkcnMvZG93bnJldi54bWxQSwUGAAAAAAQABAD5AAAAkgMAAAAA&#10;" adj="10773">
                  <v:stroke endarrow="block"/>
                </v:shape>
                <v:shapetype id="_x0000_t32" coordsize="21600,21600" o:spt="32" o:oned="t" path="m,l21600,21600e" filled="f">
                  <v:path arrowok="t" fillok="f" o:connecttype="none"/>
                  <o:lock v:ext="edit" shapetype="t"/>
                </v:shapetype>
                <v:shape id="AutoShape 24" o:spid="_x0000_s1083" type="#_x0000_t32" style="position:absolute;left:12071;top:15608;width:401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Text Box 25" o:spid="_x0000_s1084" type="#_x0000_t202" style="position:absolute;left:2012;top:10363;width:10059;height:10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14:paraId="1322852D" w14:textId="77777777" w:rsidR="00F8313C" w:rsidRDefault="00F8313C" w:rsidP="006E1310">
                        <w:pPr>
                          <w:ind w:left="120"/>
                          <w:rPr>
                            <w:sz w:val="18"/>
                            <w:szCs w:val="18"/>
                          </w:rPr>
                        </w:pPr>
                        <w:r>
                          <w:rPr>
                            <w:sz w:val="18"/>
                            <w:szCs w:val="18"/>
                          </w:rPr>
                          <w:t xml:space="preserve">Food, garden, </w:t>
                        </w:r>
                      </w:p>
                      <w:p w14:paraId="2E5BCDB0" w14:textId="77777777" w:rsidR="00F8313C" w:rsidRDefault="00F8313C" w:rsidP="006E1310">
                        <w:pPr>
                          <w:ind w:left="120"/>
                          <w:rPr>
                            <w:sz w:val="18"/>
                            <w:szCs w:val="18"/>
                          </w:rPr>
                        </w:pPr>
                        <w:r>
                          <w:rPr>
                            <w:sz w:val="18"/>
                            <w:szCs w:val="18"/>
                          </w:rPr>
                          <w:t>Wood, paper, textiles, sludge, nappies, rubber and leather and other carbon</w:t>
                        </w:r>
                      </w:p>
                      <w:p w14:paraId="12EEB793" w14:textId="77777777" w:rsidR="00F8313C" w:rsidRDefault="00F8313C" w:rsidP="006E1310">
                        <w:pPr>
                          <w:ind w:left="120"/>
                          <w:jc w:val="center"/>
                        </w:pPr>
                        <w:r>
                          <w:rPr>
                            <w:i/>
                            <w:sz w:val="18"/>
                            <w:szCs w:val="18"/>
                          </w:rPr>
                          <w:t>C</w:t>
                        </w:r>
                        <w:r>
                          <w:rPr>
                            <w:i/>
                            <w:sz w:val="18"/>
                            <w:szCs w:val="18"/>
                            <w:vertAlign w:val="subscript"/>
                          </w:rPr>
                          <w:t>a</w:t>
                        </w:r>
                      </w:p>
                      <w:p w14:paraId="6B0545B0" w14:textId="77777777" w:rsidR="00F8313C" w:rsidRDefault="00F8313C" w:rsidP="006E1310"/>
                    </w:txbxContent>
                  </v:textbox>
                </v:shape>
                <w10:wrap anchorx="margin" anchory="line"/>
              </v:group>
            </w:pict>
          </mc:Fallback>
        </mc:AlternateContent>
      </w:r>
    </w:p>
    <w:p w14:paraId="0554D9A8" w14:textId="77777777" w:rsidR="006E1310" w:rsidRPr="00883399" w:rsidRDefault="006E1310" w:rsidP="006E1310">
      <w:pPr>
        <w:pStyle w:val="Text"/>
      </w:pPr>
    </w:p>
    <w:p w14:paraId="232EA83F" w14:textId="77777777" w:rsidR="006E1310" w:rsidRPr="00883399" w:rsidRDefault="006E1310" w:rsidP="006E1310">
      <w:pPr>
        <w:pStyle w:val="Text"/>
      </w:pPr>
    </w:p>
    <w:p w14:paraId="4FF944CA" w14:textId="77777777" w:rsidR="006E1310" w:rsidRPr="00883399" w:rsidRDefault="006E1310" w:rsidP="006E1310">
      <w:pPr>
        <w:pStyle w:val="Text"/>
      </w:pPr>
    </w:p>
    <w:p w14:paraId="28D0D34C" w14:textId="77777777" w:rsidR="006E1310" w:rsidRPr="00883399" w:rsidRDefault="006E1310" w:rsidP="006E1310">
      <w:pPr>
        <w:pStyle w:val="Text"/>
      </w:pPr>
    </w:p>
    <w:p w14:paraId="6E46E33F" w14:textId="77777777" w:rsidR="006E1310" w:rsidRPr="00883399" w:rsidRDefault="006E1310" w:rsidP="006E1310">
      <w:pPr>
        <w:pStyle w:val="Text"/>
      </w:pPr>
    </w:p>
    <w:p w14:paraId="3088E385" w14:textId="77777777" w:rsidR="006E1310" w:rsidRPr="00883399" w:rsidRDefault="006E1310" w:rsidP="006E1310">
      <w:pPr>
        <w:pStyle w:val="Text"/>
      </w:pPr>
    </w:p>
    <w:p w14:paraId="0E8D3412" w14:textId="77777777" w:rsidR="006E1310" w:rsidRPr="00883399" w:rsidRDefault="006E1310" w:rsidP="006E1310">
      <w:pPr>
        <w:pStyle w:val="Text"/>
      </w:pPr>
    </w:p>
    <w:p w14:paraId="5A134658" w14:textId="77777777" w:rsidR="006E1310" w:rsidRPr="00883399" w:rsidRDefault="006E1310" w:rsidP="006E1310">
      <w:pPr>
        <w:pStyle w:val="Text"/>
        <w:outlineLvl w:val="0"/>
        <w:rPr>
          <w:rFonts w:ascii="Arial" w:hAnsi="Arial" w:cs="Arial"/>
          <w:i/>
          <w:sz w:val="22"/>
          <w:szCs w:val="22"/>
        </w:rPr>
      </w:pPr>
      <w:r w:rsidRPr="00883399">
        <w:rPr>
          <w:rFonts w:ascii="Arial" w:hAnsi="Arial" w:cs="Arial"/>
          <w:i/>
          <w:sz w:val="22"/>
          <w:szCs w:val="22"/>
        </w:rPr>
        <w:t>Principal method for estimation of emissions</w:t>
      </w:r>
    </w:p>
    <w:p w14:paraId="307E7377" w14:textId="77777777" w:rsidR="006E1310" w:rsidRPr="00883399" w:rsidRDefault="006E1310" w:rsidP="006E1310">
      <w:pPr>
        <w:pStyle w:val="Text"/>
        <w:rPr>
          <w:rFonts w:ascii="Arial" w:hAnsi="Arial" w:cs="Arial"/>
          <w:sz w:val="22"/>
          <w:szCs w:val="22"/>
        </w:rPr>
      </w:pPr>
      <w:r w:rsidRPr="00883399">
        <w:rPr>
          <w:rFonts w:ascii="Arial" w:hAnsi="Arial" w:cs="Arial"/>
          <w:sz w:val="22"/>
          <w:szCs w:val="22"/>
        </w:rPr>
        <w:t>The total change in decomposable degradable organic carbon stock is estimated simultaneously with estimated methane generation.</w:t>
      </w:r>
    </w:p>
    <w:p w14:paraId="7E20595E" w14:textId="77777777" w:rsidR="006E1310" w:rsidRPr="00883399" w:rsidRDefault="006E1310" w:rsidP="006E1310">
      <w:pPr>
        <w:pStyle w:val="Text"/>
        <w:keepNext/>
        <w:ind w:left="1320"/>
        <w:rPr>
          <w:sz w:val="24"/>
          <w:szCs w:val="24"/>
        </w:rPr>
      </w:pPr>
      <w:r w:rsidRPr="00883399">
        <w:rPr>
          <w:sz w:val="24"/>
          <w:szCs w:val="24"/>
        </w:rPr>
        <w:t>Methane generated at the landfill:</w:t>
      </w:r>
    </w:p>
    <w:p w14:paraId="3A1173BE" w14:textId="77777777" w:rsidR="006E1310" w:rsidRPr="00883399" w:rsidRDefault="006E1310" w:rsidP="006E1310">
      <w:pPr>
        <w:pStyle w:val="Equation"/>
        <w:ind w:left="2520"/>
        <w:outlineLvl w:val="0"/>
        <w:rPr>
          <w:rFonts w:ascii="Times New Roman" w:hAnsi="Times New Roman" w:cs="Times New Roman"/>
          <w:sz w:val="24"/>
          <w:szCs w:val="24"/>
        </w:rPr>
      </w:pPr>
      <w:r w:rsidRPr="00883399">
        <w:rPr>
          <w:rFonts w:ascii="Times New Roman" w:hAnsi="Times New Roman" w:cs="Times New Roman"/>
          <w:sz w:val="24"/>
          <w:szCs w:val="24"/>
        </w:rPr>
        <w:t>CH</w:t>
      </w:r>
      <w:r w:rsidRPr="00883399">
        <w:rPr>
          <w:rStyle w:val="Subscript"/>
          <w:rFonts w:ascii="Times New Roman" w:hAnsi="Times New Roman" w:cs="Times New Roman"/>
          <w:sz w:val="24"/>
          <w:szCs w:val="24"/>
        </w:rPr>
        <w:t>4</w:t>
      </w:r>
      <w:r w:rsidRPr="00883399">
        <w:rPr>
          <w:rFonts w:ascii="Times New Roman" w:hAnsi="Times New Roman" w:cs="Times New Roman"/>
          <w:sz w:val="24"/>
          <w:szCs w:val="24"/>
        </w:rPr>
        <w:t xml:space="preserve"> </w:t>
      </w:r>
      <w:r w:rsidRPr="00883399">
        <w:rPr>
          <w:rFonts w:ascii="Times New Roman" w:hAnsi="Times New Roman" w:cs="Times New Roman"/>
          <w:sz w:val="24"/>
          <w:szCs w:val="24"/>
          <w:vertAlign w:val="subscript"/>
        </w:rPr>
        <w:t>gen</w:t>
      </w:r>
      <w:r w:rsidRPr="00883399">
        <w:rPr>
          <w:rFonts w:ascii="Times New Roman" w:hAnsi="Times New Roman" w:cs="Times New Roman"/>
          <w:sz w:val="24"/>
          <w:szCs w:val="24"/>
        </w:rPr>
        <w:t xml:space="preserve"> = (∆C</w:t>
      </w:r>
      <w:r w:rsidRPr="00883399">
        <w:rPr>
          <w:rStyle w:val="Subscript"/>
          <w:rFonts w:ascii="Times New Roman" w:hAnsi="Times New Roman" w:cs="Times New Roman"/>
          <w:sz w:val="24"/>
          <w:szCs w:val="24"/>
        </w:rPr>
        <w:t>a</w:t>
      </w:r>
      <w:r w:rsidRPr="00883399">
        <w:rPr>
          <w:rFonts w:ascii="Times New Roman" w:hAnsi="Times New Roman" w:cs="Times New Roman"/>
          <w:sz w:val="24"/>
          <w:szCs w:val="24"/>
        </w:rPr>
        <w:t>(t) + ∆C</w:t>
      </w:r>
      <w:r w:rsidRPr="00883399">
        <w:rPr>
          <w:rStyle w:val="Subscript"/>
          <w:rFonts w:ascii="Times New Roman" w:hAnsi="Times New Roman" w:cs="Times New Roman"/>
          <w:sz w:val="24"/>
          <w:szCs w:val="24"/>
        </w:rPr>
        <w:t>os</w:t>
      </w:r>
      <w:r w:rsidRPr="00883399">
        <w:rPr>
          <w:rFonts w:ascii="Times New Roman" w:hAnsi="Times New Roman" w:cs="Times New Roman"/>
          <w:sz w:val="24"/>
          <w:szCs w:val="24"/>
        </w:rPr>
        <w:t xml:space="preserve">(t)) </w:t>
      </w:r>
      <w:r w:rsidRPr="00883399">
        <w:rPr>
          <w:rFonts w:ascii="Times New Roman" w:hAnsi="Times New Roman" w:cs="Times New Roman"/>
          <w:sz w:val="24"/>
          <w:szCs w:val="24"/>
        </w:rPr>
        <w:sym w:font="Symbol" w:char="F0B4"/>
      </w:r>
      <w:r w:rsidRPr="00883399">
        <w:rPr>
          <w:rFonts w:ascii="Times New Roman" w:hAnsi="Times New Roman" w:cs="Times New Roman"/>
          <w:sz w:val="24"/>
          <w:szCs w:val="24"/>
        </w:rPr>
        <w:t xml:space="preserve"> F </w:t>
      </w:r>
      <w:r w:rsidRPr="00883399">
        <w:rPr>
          <w:rFonts w:ascii="Times New Roman" w:hAnsi="Times New Roman" w:cs="Times New Roman"/>
          <w:sz w:val="24"/>
          <w:szCs w:val="24"/>
        </w:rPr>
        <w:sym w:font="Symbol" w:char="F0B4"/>
      </w:r>
      <w:r w:rsidRPr="00883399">
        <w:rPr>
          <w:rFonts w:ascii="Times New Roman" w:hAnsi="Times New Roman" w:cs="Times New Roman"/>
          <w:sz w:val="24"/>
          <w:szCs w:val="24"/>
        </w:rPr>
        <w:t xml:space="preserve"> 1.336 x 21</w:t>
      </w:r>
    </w:p>
    <w:p w14:paraId="4A921EF5" w14:textId="77777777" w:rsidR="006E1310" w:rsidRPr="00883399" w:rsidRDefault="006E1310" w:rsidP="006E1310">
      <w:pPr>
        <w:pStyle w:val="Text"/>
        <w:ind w:left="1320"/>
        <w:rPr>
          <w:sz w:val="24"/>
        </w:rPr>
      </w:pPr>
      <w:r w:rsidRPr="00883399">
        <w:rPr>
          <w:sz w:val="22"/>
          <w:szCs w:val="22"/>
        </w:rPr>
        <w:t xml:space="preserve">Decomposable </w:t>
      </w:r>
      <w:r w:rsidRPr="00883399">
        <w:rPr>
          <w:sz w:val="24"/>
        </w:rPr>
        <w:t>degradable organic carbon lost through decay during the year t:</w:t>
      </w:r>
    </w:p>
    <w:p w14:paraId="62BA7C29" w14:textId="77777777" w:rsidR="006E1310" w:rsidRPr="00883399" w:rsidRDefault="006E1310" w:rsidP="006E1310">
      <w:pPr>
        <w:autoSpaceDE w:val="0"/>
        <w:autoSpaceDN w:val="0"/>
        <w:adjustRightInd w:val="0"/>
        <w:ind w:left="2520"/>
        <w:rPr>
          <w:rFonts w:ascii="SymbolMT" w:eastAsia="SymbolMT" w:hAnsi="TimesNewRomanPS-BoldMT" w:cs="SymbolMT"/>
        </w:rPr>
      </w:pPr>
      <w:r w:rsidRPr="00883399">
        <w:rPr>
          <w:i/>
        </w:rPr>
        <w:t>∆C</w:t>
      </w:r>
      <w:r w:rsidRPr="00883399">
        <w:rPr>
          <w:rStyle w:val="Subscript"/>
          <w:i/>
          <w:sz w:val="24"/>
        </w:rPr>
        <w:t>os</w:t>
      </w:r>
      <w:r w:rsidRPr="00883399">
        <w:rPr>
          <w:i/>
        </w:rPr>
        <w:t>(t)</w:t>
      </w:r>
      <w:r w:rsidRPr="00883399">
        <w:rPr>
          <w:rFonts w:ascii="SymbolMT" w:eastAsia="SymbolMT" w:hAnsi="TimesNewRomanPS-BoldMT" w:cs="SymbolMT"/>
        </w:rPr>
        <w:t>=</w:t>
      </w:r>
      <w:r w:rsidRPr="00883399">
        <w:rPr>
          <w:rFonts w:ascii="TimesNewRomanPS-ItalicMT" w:hAnsi="TimesNewRomanPS-ItalicMT" w:cs="TimesNewRomanPS-ItalicMT"/>
          <w:i/>
          <w:iCs/>
        </w:rPr>
        <w:t xml:space="preserve"> C</w:t>
      </w:r>
      <w:r w:rsidRPr="00883399">
        <w:rPr>
          <w:rFonts w:ascii="TimesNewRomanPS-ItalicMT" w:hAnsi="TimesNewRomanPS-ItalicMT" w:cs="TimesNewRomanPS-ItalicMT"/>
          <w:i/>
          <w:iCs/>
          <w:vertAlign w:val="subscript"/>
        </w:rPr>
        <w:t>os</w:t>
      </w:r>
      <w:r w:rsidRPr="00883399">
        <w:rPr>
          <w:rFonts w:ascii="TimesNewRomanPS-ItalicMT" w:hAnsi="TimesNewRomanPS-ItalicMT" w:cs="TimesNewRomanPS-ItalicMT"/>
          <w:i/>
          <w:iCs/>
        </w:rPr>
        <w:t>(t)</w:t>
      </w:r>
      <w:r w:rsidRPr="00883399">
        <w:rPr>
          <w:rFonts w:ascii="TimesNewRomanPSMT" w:hAnsi="TimesNewRomanPSMT" w:cs="TimesNewRomanPSMT"/>
        </w:rPr>
        <w:t xml:space="preserve"> x</w:t>
      </w:r>
      <w:r w:rsidRPr="00883399">
        <w:rPr>
          <w:rFonts w:ascii="TimesNewRomanPS-ItalicMT" w:hAnsi="TimesNewRomanPS-ItalicMT" w:cs="TimesNewRomanPS-ItalicMT"/>
          <w:i/>
          <w:iCs/>
        </w:rPr>
        <w:t xml:space="preserve"> </w:t>
      </w:r>
      <w:r w:rsidRPr="00883399">
        <w:rPr>
          <w:rFonts w:ascii="SymbolMT" w:eastAsia="SymbolMT" w:hAnsi="TimesNewRomanPS-BoldMT" w:cs="SymbolMT"/>
        </w:rPr>
        <w:t>(</w:t>
      </w:r>
      <w:r w:rsidRPr="00883399">
        <w:rPr>
          <w:rFonts w:ascii="TimesNewRomanPSMT" w:hAnsi="TimesNewRomanPSMT" w:cs="TimesNewRomanPSMT"/>
        </w:rPr>
        <w:t>1</w:t>
      </w:r>
      <w:r w:rsidRPr="00883399">
        <w:rPr>
          <w:rFonts w:ascii="SymbolMT" w:eastAsia="SymbolMT" w:hAnsi="TimesNewRomanPS-BoldMT" w:cs="SymbolMT" w:hint="eastAsia"/>
        </w:rPr>
        <w:t>−</w:t>
      </w:r>
      <w:r w:rsidRPr="00883399">
        <w:rPr>
          <w:rFonts w:ascii="TimesNewRomanPS-ItalicMT" w:hAnsi="TimesNewRomanPS-ItalicMT" w:cs="TimesNewRomanPS-ItalicMT"/>
          <w:i/>
          <w:iCs/>
        </w:rPr>
        <w:t>e</w:t>
      </w:r>
      <w:r w:rsidRPr="00883399">
        <w:rPr>
          <w:rFonts w:ascii="SymbolMT" w:eastAsia="SymbolMT" w:hAnsi="TimesNewRomanPS-BoldMT" w:cs="SymbolMT" w:hint="eastAsia"/>
          <w:vertAlign w:val="superscript"/>
        </w:rPr>
        <w:t>−</w:t>
      </w:r>
      <w:r w:rsidRPr="00883399">
        <w:rPr>
          <w:rFonts w:ascii="TimesNewRomanPS-ItalicMT" w:hAnsi="TimesNewRomanPS-ItalicMT" w:cs="TimesNewRomanPS-ItalicMT"/>
          <w:i/>
          <w:iCs/>
          <w:vertAlign w:val="superscript"/>
        </w:rPr>
        <w:t>k</w:t>
      </w:r>
      <w:r w:rsidRPr="00883399">
        <w:rPr>
          <w:rFonts w:ascii="SymbolMT" w:eastAsia="SymbolMT" w:hAnsi="TimesNewRomanPS-BoldMT" w:cs="SymbolMT"/>
        </w:rPr>
        <w:t>)</w:t>
      </w:r>
    </w:p>
    <w:p w14:paraId="273A24F6" w14:textId="77777777" w:rsidR="006E1310" w:rsidRPr="00883399" w:rsidRDefault="006E1310" w:rsidP="006E1310">
      <w:pPr>
        <w:autoSpaceDE w:val="0"/>
        <w:autoSpaceDN w:val="0"/>
        <w:adjustRightInd w:val="0"/>
        <w:ind w:left="2520"/>
        <w:rPr>
          <w:rFonts w:ascii="SymbolMT" w:eastAsia="SymbolMT" w:hAnsi="TimesNewRomanPS-BoldMT" w:cs="SymbolMT"/>
        </w:rPr>
      </w:pPr>
      <w:r w:rsidRPr="00883399">
        <w:t>∆C</w:t>
      </w:r>
      <w:r w:rsidRPr="00883399">
        <w:rPr>
          <w:rStyle w:val="Subscript"/>
          <w:sz w:val="24"/>
        </w:rPr>
        <w:t>a</w:t>
      </w:r>
      <w:r w:rsidRPr="00883399">
        <w:rPr>
          <w:rStyle w:val="Subscript"/>
          <w:sz w:val="24"/>
          <w:vertAlign w:val="baseline"/>
        </w:rPr>
        <w:t>(t)</w:t>
      </w:r>
      <w:r w:rsidRPr="00883399">
        <w:rPr>
          <w:rFonts w:ascii="SymbolMT" w:eastAsia="SymbolMT" w:hAnsi="TimesNewRomanPS-BoldMT" w:cs="SymbolMT"/>
          <w:b/>
        </w:rPr>
        <w:t xml:space="preserve">= </w:t>
      </w:r>
      <w:r w:rsidRPr="00883399">
        <w:rPr>
          <w:rFonts w:ascii="SymbolMT" w:eastAsia="SymbolMT" w:hAnsi="TimesNewRomanPS-BoldMT" w:cs="SymbolMT"/>
        </w:rPr>
        <w:t>d</w:t>
      </w:r>
      <w:r w:rsidRPr="00883399">
        <w:t>C</w:t>
      </w:r>
      <w:r w:rsidRPr="00883399">
        <w:rPr>
          <w:rStyle w:val="Subscript"/>
          <w:sz w:val="24"/>
        </w:rPr>
        <w:t>a</w:t>
      </w:r>
      <w:r w:rsidRPr="00883399">
        <w:rPr>
          <w:rStyle w:val="Subscript"/>
          <w:sz w:val="24"/>
          <w:vertAlign w:val="baseline"/>
        </w:rPr>
        <w:t>(t)</w:t>
      </w:r>
      <w:r w:rsidRPr="00883399">
        <w:rPr>
          <w:rFonts w:ascii="SymbolMT" w:eastAsia="SymbolMT" w:hAnsi="TimesNewRomanPS-BoldMT" w:cs="SymbolMT"/>
        </w:rPr>
        <w:t xml:space="preserve"> x [</w:t>
      </w:r>
      <w:r w:rsidRPr="00883399">
        <w:rPr>
          <w:rFonts w:ascii="TimesNewRomanPSMT" w:hAnsi="TimesNewRomanPSMT" w:cs="TimesNewRomanPSMT"/>
        </w:rPr>
        <w:t>1</w:t>
      </w:r>
      <w:r w:rsidRPr="00883399">
        <w:rPr>
          <w:rFonts w:ascii="SymbolMT" w:eastAsia="SymbolMT" w:hAnsi="TimesNewRomanPS-BoldMT" w:cs="SymbolMT" w:hint="eastAsia"/>
        </w:rPr>
        <w:t>−</w:t>
      </w:r>
      <w:r w:rsidRPr="00883399">
        <w:rPr>
          <w:rFonts w:ascii="TimesNewRomanPS-ItalicMT" w:hAnsi="TimesNewRomanPS-ItalicMT" w:cs="TimesNewRomanPS-ItalicMT"/>
          <w:i/>
          <w:iCs/>
        </w:rPr>
        <w:t>e</w:t>
      </w:r>
      <w:r w:rsidRPr="00883399">
        <w:rPr>
          <w:rFonts w:ascii="SymbolMT" w:eastAsia="SymbolMT" w:hAnsi="TimesNewRomanPS-BoldMT" w:cs="SymbolMT"/>
        </w:rPr>
        <w:t xml:space="preserve"> </w:t>
      </w:r>
      <w:r w:rsidRPr="00883399">
        <w:rPr>
          <w:rFonts w:ascii="SymbolMT" w:eastAsia="SymbolMT" w:hAnsi="TimesNewRomanPS-BoldMT" w:cs="SymbolMT" w:hint="eastAsia"/>
          <w:vertAlign w:val="superscript"/>
        </w:rPr>
        <w:t>−</w:t>
      </w:r>
      <w:r w:rsidRPr="00883399">
        <w:rPr>
          <w:rFonts w:ascii="TimesNewRomanPS-ItalicMT" w:hAnsi="TimesNewRomanPS-ItalicMT" w:cs="TimesNewRomanPS-ItalicMT"/>
          <w:i/>
          <w:iCs/>
          <w:vertAlign w:val="superscript"/>
        </w:rPr>
        <w:t xml:space="preserve">k </w:t>
      </w:r>
      <w:r w:rsidRPr="00883399">
        <w:rPr>
          <w:rFonts w:ascii="SymbolMT" w:eastAsia="SymbolMT" w:hAnsi="TimesNewRomanPS-BoldMT" w:cs="SymbolMT"/>
          <w:vertAlign w:val="superscript"/>
        </w:rPr>
        <w:t>x(</w:t>
      </w:r>
      <w:r w:rsidRPr="00883399">
        <w:rPr>
          <w:rFonts w:ascii="TimesNewRomanPSMT" w:hAnsi="TimesNewRomanPSMT" w:cs="TimesNewRomanPSMT"/>
          <w:vertAlign w:val="superscript"/>
        </w:rPr>
        <w:t xml:space="preserve">13 </w:t>
      </w:r>
      <w:r w:rsidRPr="00883399">
        <w:rPr>
          <w:rFonts w:ascii="SymbolMT" w:eastAsia="SymbolMT" w:hAnsi="TimesNewRomanPS-BoldMT" w:cs="SymbolMT" w:hint="eastAsia"/>
          <w:vertAlign w:val="superscript"/>
        </w:rPr>
        <w:t>−</w:t>
      </w:r>
      <w:r w:rsidRPr="00883399">
        <w:rPr>
          <w:rFonts w:ascii="TimesNewRomanPS-ItalicMT" w:hAnsi="TimesNewRomanPS-ItalicMT" w:cs="TimesNewRomanPS-ItalicMT"/>
          <w:i/>
          <w:iCs/>
          <w:vertAlign w:val="superscript"/>
        </w:rPr>
        <w:t>M</w:t>
      </w:r>
      <w:r w:rsidRPr="00883399">
        <w:rPr>
          <w:rFonts w:ascii="SymbolMT" w:eastAsia="SymbolMT" w:hAnsi="TimesNewRomanPS-BoldMT" w:cs="SymbolMT"/>
          <w:vertAlign w:val="superscript"/>
        </w:rPr>
        <w:t>)</w:t>
      </w:r>
      <w:r w:rsidRPr="00883399">
        <w:rPr>
          <w:rFonts w:ascii="TimesNewRomanPS-ItalicMT" w:hAnsi="TimesNewRomanPS-ItalicMT" w:cs="TimesNewRomanPS-ItalicMT"/>
          <w:i/>
          <w:iCs/>
          <w:vertAlign w:val="superscript"/>
        </w:rPr>
        <w:t xml:space="preserve"> </w:t>
      </w:r>
      <w:r w:rsidRPr="00883399">
        <w:rPr>
          <w:rFonts w:ascii="TimesNewRomanPSMT" w:hAnsi="TimesNewRomanPSMT" w:cs="TimesNewRomanPSMT"/>
          <w:vertAlign w:val="superscript"/>
        </w:rPr>
        <w:t>/12</w:t>
      </w:r>
      <w:r w:rsidRPr="00883399">
        <w:rPr>
          <w:rFonts w:ascii="TimesNewRomanPSMT" w:hAnsi="TimesNewRomanPSMT" w:cs="TimesNewRomanPSMT"/>
        </w:rPr>
        <w:t>]</w:t>
      </w:r>
    </w:p>
    <w:p w14:paraId="7CA8B2B4" w14:textId="77777777" w:rsidR="006E1310" w:rsidRPr="00883399" w:rsidRDefault="006E1310" w:rsidP="006E1310">
      <w:pPr>
        <w:pStyle w:val="Equation"/>
        <w:keepNext/>
        <w:ind w:left="1320"/>
        <w:rPr>
          <w:rFonts w:ascii="Times New Roman" w:hAnsi="Times New Roman" w:cs="Times New Roman"/>
          <w:sz w:val="24"/>
          <w:szCs w:val="24"/>
        </w:rPr>
      </w:pPr>
      <w:r w:rsidRPr="00883399">
        <w:rPr>
          <w:rFonts w:ascii="Times New Roman" w:hAnsi="Times New Roman" w:cs="Times New Roman"/>
          <w:sz w:val="24"/>
          <w:szCs w:val="24"/>
        </w:rPr>
        <w:t xml:space="preserve">Accumulated </w:t>
      </w:r>
      <w:r w:rsidRPr="00883399">
        <w:rPr>
          <w:rFonts w:ascii="Times New Roman" w:hAnsi="Times New Roman" w:cs="Times New Roman"/>
          <w:sz w:val="22"/>
          <w:szCs w:val="22"/>
        </w:rPr>
        <w:t>decomposable</w:t>
      </w:r>
      <w:r w:rsidRPr="00883399">
        <w:rPr>
          <w:sz w:val="22"/>
          <w:szCs w:val="22"/>
        </w:rPr>
        <w:t xml:space="preserve"> </w:t>
      </w:r>
      <w:r w:rsidRPr="00883399">
        <w:rPr>
          <w:rFonts w:ascii="Times New Roman" w:hAnsi="Times New Roman" w:cs="Times New Roman"/>
          <w:sz w:val="24"/>
          <w:szCs w:val="24"/>
        </w:rPr>
        <w:t>degradable organic carbon at the landfill at the end of the year</w:t>
      </w:r>
    </w:p>
    <w:p w14:paraId="6EDC8C36" w14:textId="77777777" w:rsidR="006E1310" w:rsidRPr="00883399" w:rsidRDefault="006E1310" w:rsidP="006E1310">
      <w:pPr>
        <w:pStyle w:val="Equation"/>
        <w:keepNext/>
        <w:ind w:left="2520"/>
        <w:rPr>
          <w:rFonts w:ascii="Times New Roman" w:hAnsi="Times New Roman" w:cs="Times New Roman"/>
          <w:sz w:val="24"/>
          <w:szCs w:val="24"/>
        </w:rPr>
      </w:pPr>
      <w:r w:rsidRPr="00883399">
        <w:rPr>
          <w:rFonts w:ascii="Times New Roman" w:hAnsi="Times New Roman" w:cs="Times New Roman"/>
          <w:sz w:val="24"/>
          <w:szCs w:val="24"/>
        </w:rPr>
        <w:t>C</w:t>
      </w:r>
      <w:r w:rsidRPr="00883399">
        <w:rPr>
          <w:rStyle w:val="Subscript"/>
          <w:rFonts w:ascii="Times New Roman" w:hAnsi="Times New Roman" w:cs="Times New Roman"/>
          <w:sz w:val="24"/>
          <w:szCs w:val="24"/>
        </w:rPr>
        <w:t>cs</w:t>
      </w:r>
      <w:r w:rsidRPr="00883399">
        <w:rPr>
          <w:rFonts w:ascii="Times New Roman" w:hAnsi="Times New Roman" w:cs="Times New Roman"/>
          <w:sz w:val="24"/>
          <w:szCs w:val="24"/>
        </w:rPr>
        <w:t>(t)  = C</w:t>
      </w:r>
      <w:r w:rsidRPr="00883399">
        <w:rPr>
          <w:rStyle w:val="Subscript"/>
          <w:rFonts w:ascii="Times New Roman" w:hAnsi="Times New Roman" w:cs="Times New Roman"/>
          <w:sz w:val="24"/>
          <w:szCs w:val="24"/>
        </w:rPr>
        <w:t>os</w:t>
      </w:r>
      <w:r w:rsidRPr="00883399">
        <w:rPr>
          <w:rFonts w:ascii="Times New Roman" w:hAnsi="Times New Roman" w:cs="Times New Roman"/>
          <w:sz w:val="24"/>
          <w:szCs w:val="24"/>
        </w:rPr>
        <w:t>(t)  – ∆C</w:t>
      </w:r>
      <w:r w:rsidRPr="00883399">
        <w:rPr>
          <w:rStyle w:val="Subscript"/>
          <w:rFonts w:ascii="Times New Roman" w:hAnsi="Times New Roman" w:cs="Times New Roman"/>
          <w:sz w:val="24"/>
          <w:szCs w:val="24"/>
        </w:rPr>
        <w:t>os</w:t>
      </w:r>
      <w:r w:rsidRPr="00883399">
        <w:rPr>
          <w:rFonts w:ascii="Times New Roman" w:hAnsi="Times New Roman" w:cs="Times New Roman"/>
          <w:sz w:val="24"/>
          <w:szCs w:val="24"/>
        </w:rPr>
        <w:t xml:space="preserve">(t) </w:t>
      </w:r>
      <w:r w:rsidRPr="00883399">
        <w:rPr>
          <w:rStyle w:val="Subscript"/>
          <w:rFonts w:ascii="Times New Roman" w:hAnsi="Times New Roman" w:cs="Times New Roman"/>
          <w:sz w:val="24"/>
          <w:szCs w:val="24"/>
        </w:rPr>
        <w:t xml:space="preserve"> </w:t>
      </w:r>
      <w:r w:rsidRPr="00883399">
        <w:rPr>
          <w:rFonts w:ascii="Times New Roman" w:hAnsi="Times New Roman" w:cs="Times New Roman"/>
          <w:sz w:val="24"/>
          <w:szCs w:val="24"/>
        </w:rPr>
        <w:t>+ dC</w:t>
      </w:r>
      <w:r w:rsidRPr="00883399">
        <w:rPr>
          <w:rStyle w:val="Subscript"/>
          <w:rFonts w:ascii="Times New Roman" w:hAnsi="Times New Roman" w:cs="Times New Roman"/>
          <w:sz w:val="24"/>
          <w:szCs w:val="24"/>
        </w:rPr>
        <w:t>a</w:t>
      </w:r>
      <w:r w:rsidRPr="00883399">
        <w:rPr>
          <w:rFonts w:ascii="Times New Roman" w:hAnsi="Times New Roman" w:cs="Times New Roman"/>
          <w:sz w:val="24"/>
          <w:szCs w:val="24"/>
        </w:rPr>
        <w:t>(t)  – ∆C</w:t>
      </w:r>
      <w:r w:rsidRPr="00883399">
        <w:rPr>
          <w:rStyle w:val="Subscript"/>
          <w:rFonts w:ascii="Times New Roman" w:hAnsi="Times New Roman" w:cs="Times New Roman"/>
          <w:sz w:val="24"/>
          <w:szCs w:val="24"/>
        </w:rPr>
        <w:t>a</w:t>
      </w:r>
      <w:r w:rsidRPr="00883399">
        <w:rPr>
          <w:rFonts w:ascii="Times New Roman" w:hAnsi="Times New Roman" w:cs="Times New Roman"/>
          <w:sz w:val="24"/>
          <w:szCs w:val="24"/>
        </w:rPr>
        <w:t xml:space="preserve">(t) </w:t>
      </w:r>
      <w:r w:rsidRPr="00883399">
        <w:rPr>
          <w:rStyle w:val="Subscript"/>
          <w:rFonts w:ascii="Times New Roman" w:hAnsi="Times New Roman" w:cs="Times New Roman"/>
          <w:sz w:val="24"/>
          <w:szCs w:val="24"/>
        </w:rPr>
        <w:t xml:space="preserve"> </w:t>
      </w:r>
    </w:p>
    <w:p w14:paraId="1DFBF851" w14:textId="77777777" w:rsidR="006E1310" w:rsidRPr="00883399" w:rsidRDefault="006E1310" w:rsidP="006E1310">
      <w:pPr>
        <w:pStyle w:val="EquationNote"/>
        <w:ind w:left="2520" w:hanging="1200"/>
        <w:rPr>
          <w:rFonts w:ascii="Times New Roman" w:hAnsi="Times New Roman" w:cs="Times New Roman"/>
          <w:sz w:val="24"/>
          <w:szCs w:val="24"/>
        </w:rPr>
      </w:pPr>
      <w:r w:rsidRPr="00883399">
        <w:rPr>
          <w:rFonts w:ascii="Times New Roman" w:hAnsi="Times New Roman" w:cs="Times New Roman"/>
          <w:sz w:val="24"/>
          <w:szCs w:val="24"/>
        </w:rPr>
        <w:t>Where:</w:t>
      </w:r>
    </w:p>
    <w:p w14:paraId="66720946" w14:textId="77777777" w:rsidR="006E1310" w:rsidRPr="00883399" w:rsidRDefault="006E1310" w:rsidP="006E1310">
      <w:pPr>
        <w:autoSpaceDE w:val="0"/>
        <w:autoSpaceDN w:val="0"/>
        <w:adjustRightInd w:val="0"/>
        <w:ind w:left="2520"/>
        <w:rPr>
          <w:vertAlign w:val="subscript"/>
        </w:rPr>
      </w:pPr>
      <w:r w:rsidRPr="00883399">
        <w:t>CH</w:t>
      </w:r>
      <w:r w:rsidRPr="00883399">
        <w:rPr>
          <w:rStyle w:val="Subscript"/>
          <w:sz w:val="24"/>
        </w:rPr>
        <w:t>4</w:t>
      </w:r>
      <w:r w:rsidRPr="00883399">
        <w:t xml:space="preserve"> </w:t>
      </w:r>
      <w:r w:rsidRPr="00883399">
        <w:rPr>
          <w:vertAlign w:val="subscript"/>
        </w:rPr>
        <w:t xml:space="preserve">gen  </w:t>
      </w:r>
      <w:r w:rsidRPr="00883399">
        <w:t>is the quantity of methane generated at the landfill (in tonnes of CO</w:t>
      </w:r>
      <w:r w:rsidRPr="00883399">
        <w:rPr>
          <w:vertAlign w:val="subscript"/>
        </w:rPr>
        <w:t>2</w:t>
      </w:r>
      <w:r w:rsidRPr="00883399">
        <w:t>-e)</w:t>
      </w:r>
    </w:p>
    <w:p w14:paraId="3FDAB811" w14:textId="77777777" w:rsidR="006E1310" w:rsidRPr="00883399" w:rsidRDefault="006E1310" w:rsidP="006E1310">
      <w:pPr>
        <w:autoSpaceDE w:val="0"/>
        <w:autoSpaceDN w:val="0"/>
        <w:adjustRightInd w:val="0"/>
        <w:ind w:left="2520"/>
        <w:rPr>
          <w:b/>
          <w:i/>
          <w:iCs/>
        </w:rPr>
      </w:pPr>
    </w:p>
    <w:p w14:paraId="44D444C2" w14:textId="77777777" w:rsidR="006E1310" w:rsidRPr="00883399" w:rsidRDefault="006E1310" w:rsidP="006E1310">
      <w:pPr>
        <w:pStyle w:val="EquationNote"/>
        <w:ind w:left="2520" w:firstLine="0"/>
        <w:rPr>
          <w:rFonts w:ascii="Times New Roman" w:hAnsi="Times New Roman" w:cs="Times New Roman"/>
          <w:sz w:val="24"/>
          <w:szCs w:val="24"/>
        </w:rPr>
      </w:pPr>
      <w:r w:rsidRPr="00883399">
        <w:rPr>
          <w:rFonts w:ascii="Times New Roman" w:hAnsi="Times New Roman" w:cs="Times New Roman"/>
          <w:i/>
          <w:sz w:val="24"/>
          <w:szCs w:val="24"/>
        </w:rPr>
        <w:lastRenderedPageBreak/>
        <w:t xml:space="preserve">dCa(t) </w:t>
      </w:r>
      <w:r w:rsidRPr="00883399">
        <w:rPr>
          <w:rFonts w:ascii="Times New Roman" w:hAnsi="Times New Roman" w:cs="Times New Roman"/>
          <w:sz w:val="24"/>
          <w:szCs w:val="24"/>
        </w:rPr>
        <w:t>is the quantity of</w:t>
      </w:r>
      <w:r w:rsidRPr="00883399">
        <w:rPr>
          <w:rFonts w:ascii="Times New Roman" w:hAnsi="Times New Roman" w:cs="Times New Roman"/>
          <w:i/>
          <w:sz w:val="24"/>
          <w:szCs w:val="24"/>
        </w:rPr>
        <w:t xml:space="preserve"> </w:t>
      </w:r>
      <w:r w:rsidRPr="00883399">
        <w:rPr>
          <w:rFonts w:ascii="Times New Roman" w:hAnsi="Times New Roman" w:cs="Times New Roman"/>
          <w:sz w:val="24"/>
          <w:szCs w:val="24"/>
        </w:rPr>
        <w:t>decomposable degradable organic carbon from newly deposited waste arriving at the landfill and is derived using the equation:</w:t>
      </w:r>
    </w:p>
    <w:p w14:paraId="1E5EA57D" w14:textId="77777777" w:rsidR="006E1310" w:rsidRPr="00883399" w:rsidRDefault="006E1310" w:rsidP="006E1310">
      <w:pPr>
        <w:pStyle w:val="EquationNote"/>
        <w:ind w:left="2520" w:firstLine="0"/>
        <w:rPr>
          <w:rFonts w:ascii="Times New Roman" w:hAnsi="Times New Roman" w:cs="Times New Roman"/>
          <w:i/>
          <w:sz w:val="24"/>
          <w:szCs w:val="24"/>
        </w:rPr>
      </w:pPr>
    </w:p>
    <w:p w14:paraId="2FFF6C2D" w14:textId="77777777" w:rsidR="006E1310" w:rsidRPr="00883399" w:rsidRDefault="006E1310" w:rsidP="006E1310">
      <w:pPr>
        <w:pStyle w:val="EquationNote"/>
        <w:ind w:left="2520" w:firstLine="0"/>
        <w:jc w:val="center"/>
        <w:rPr>
          <w:rFonts w:ascii="Times New Roman" w:hAnsi="Times New Roman" w:cs="Times New Roman"/>
          <w:i/>
          <w:sz w:val="24"/>
          <w:szCs w:val="24"/>
        </w:rPr>
      </w:pPr>
      <w:r w:rsidRPr="00883399">
        <w:rPr>
          <w:rFonts w:ascii="Times New Roman" w:hAnsi="Times New Roman" w:cs="Times New Roman"/>
          <w:i/>
          <w:sz w:val="24"/>
          <w:szCs w:val="24"/>
        </w:rPr>
        <w:t>dC</w:t>
      </w:r>
      <w:r w:rsidRPr="00883399">
        <w:rPr>
          <w:rFonts w:ascii="Times New Roman" w:hAnsi="Times New Roman" w:cs="Times New Roman"/>
          <w:i/>
          <w:sz w:val="24"/>
          <w:szCs w:val="24"/>
          <w:vertAlign w:val="subscript"/>
        </w:rPr>
        <w:t>a</w:t>
      </w:r>
      <w:r w:rsidRPr="00883399">
        <w:rPr>
          <w:rFonts w:ascii="Times New Roman" w:hAnsi="Times New Roman" w:cs="Times New Roman"/>
          <w:i/>
          <w:sz w:val="24"/>
          <w:szCs w:val="24"/>
        </w:rPr>
        <w:t xml:space="preserve">(t)= </w:t>
      </w:r>
      <w:r w:rsidRPr="00883399">
        <w:rPr>
          <w:rFonts w:ascii="Times New Roman" w:hAnsi="Times New Roman" w:cs="Times New Roman"/>
          <w:b/>
          <w:i/>
          <w:sz w:val="24"/>
          <w:szCs w:val="24"/>
        </w:rPr>
        <w:t>∑</w:t>
      </w:r>
      <w:r w:rsidRPr="00883399">
        <w:rPr>
          <w:rFonts w:ascii="Times New Roman" w:hAnsi="Times New Roman" w:cs="Times New Roman"/>
          <w:b/>
          <w:i/>
          <w:sz w:val="24"/>
          <w:szCs w:val="24"/>
          <w:vertAlign w:val="subscript"/>
        </w:rPr>
        <w:t>i</w:t>
      </w:r>
      <w:r w:rsidRPr="00883399">
        <w:rPr>
          <w:rFonts w:ascii="Times New Roman" w:hAnsi="Times New Roman" w:cs="Times New Roman"/>
          <w:i/>
          <w:sz w:val="24"/>
          <w:szCs w:val="24"/>
        </w:rPr>
        <w:t xml:space="preserve"> (Ca(t) x DOC</w:t>
      </w:r>
      <w:r w:rsidRPr="00883399">
        <w:rPr>
          <w:rFonts w:ascii="Times New Roman" w:hAnsi="Times New Roman" w:cs="Times New Roman"/>
          <w:i/>
          <w:sz w:val="24"/>
          <w:szCs w:val="24"/>
          <w:vertAlign w:val="subscript"/>
        </w:rPr>
        <w:t>Fi</w:t>
      </w:r>
      <w:r w:rsidRPr="00883399">
        <w:rPr>
          <w:rFonts w:ascii="Times New Roman" w:hAnsi="Times New Roman" w:cs="Times New Roman"/>
          <w:i/>
          <w:sz w:val="24"/>
          <w:szCs w:val="24"/>
        </w:rPr>
        <w:t xml:space="preserve"> x MCF)</w:t>
      </w:r>
    </w:p>
    <w:p w14:paraId="74E5C3ED" w14:textId="77777777" w:rsidR="006E1310" w:rsidRPr="00883399" w:rsidRDefault="006E1310" w:rsidP="006E1310">
      <w:pPr>
        <w:pStyle w:val="EquationNote"/>
        <w:ind w:left="2520" w:firstLine="0"/>
        <w:rPr>
          <w:rFonts w:ascii="Times New Roman" w:hAnsi="Times New Roman" w:cs="Times New Roman"/>
          <w:i/>
          <w:sz w:val="24"/>
          <w:szCs w:val="24"/>
        </w:rPr>
      </w:pPr>
    </w:p>
    <w:p w14:paraId="2D9A432D" w14:textId="77777777" w:rsidR="006E1310" w:rsidRPr="00883399" w:rsidRDefault="006E1310" w:rsidP="006E1310">
      <w:pPr>
        <w:pStyle w:val="EquationNote"/>
        <w:ind w:left="3402" w:firstLine="0"/>
        <w:rPr>
          <w:rFonts w:ascii="Times New Roman" w:hAnsi="Times New Roman" w:cs="Times New Roman"/>
          <w:i/>
          <w:sz w:val="24"/>
          <w:szCs w:val="24"/>
        </w:rPr>
      </w:pPr>
      <w:r w:rsidRPr="00883399">
        <w:rPr>
          <w:rFonts w:ascii="Times New Roman" w:hAnsi="Times New Roman" w:cs="Times New Roman"/>
          <w:i/>
          <w:sz w:val="24"/>
          <w:szCs w:val="24"/>
        </w:rPr>
        <w:t>Where:</w:t>
      </w:r>
    </w:p>
    <w:p w14:paraId="120FD45E" w14:textId="77777777" w:rsidR="006E1310" w:rsidRPr="00883399" w:rsidRDefault="006E1310" w:rsidP="006E1310">
      <w:pPr>
        <w:autoSpaceDE w:val="0"/>
        <w:autoSpaceDN w:val="0"/>
        <w:adjustRightInd w:val="0"/>
        <w:ind w:left="3402"/>
      </w:pPr>
      <w:r w:rsidRPr="00883399">
        <w:rPr>
          <w:i/>
          <w:iCs/>
        </w:rPr>
        <w:t>C</w:t>
      </w:r>
      <w:r w:rsidRPr="00883399">
        <w:rPr>
          <w:i/>
          <w:iCs/>
          <w:vertAlign w:val="subscript"/>
        </w:rPr>
        <w:t>a</w:t>
      </w:r>
      <w:r w:rsidRPr="00883399">
        <w:rPr>
          <w:i/>
          <w:iCs/>
        </w:rPr>
        <w:t>(t)</w:t>
      </w:r>
      <w:r w:rsidRPr="00883399">
        <w:t xml:space="preserve"> is the quantity of degradable organic carbon in newly deposited waste at the landfill during the year t (in tonnes)</w:t>
      </w:r>
    </w:p>
    <w:p w14:paraId="0452C469" w14:textId="77777777" w:rsidR="006E1310" w:rsidRPr="00883399" w:rsidRDefault="006E1310" w:rsidP="006E1310">
      <w:pPr>
        <w:pStyle w:val="definition"/>
        <w:ind w:left="3402"/>
      </w:pPr>
      <w:r w:rsidRPr="00883399">
        <w:rPr>
          <w:i/>
        </w:rPr>
        <w:t>DOC</w:t>
      </w:r>
      <w:r w:rsidRPr="00883399">
        <w:rPr>
          <w:i/>
          <w:vertAlign w:val="subscript"/>
        </w:rPr>
        <w:t>F</w:t>
      </w:r>
      <w:r w:rsidRPr="00883399">
        <w:t xml:space="preserve"> is the fraction of degradable organic carbon dissimilated by waste mix type </w:t>
      </w:r>
      <w:r w:rsidRPr="00883399">
        <w:rPr>
          <w:i/>
        </w:rPr>
        <w:t>i</w:t>
      </w:r>
      <w:r w:rsidRPr="00883399">
        <w:t xml:space="preserve"> (refer to section 5.14A).</w:t>
      </w:r>
    </w:p>
    <w:p w14:paraId="7645B4B3" w14:textId="77777777" w:rsidR="006E1310" w:rsidRPr="00883399" w:rsidRDefault="006E1310" w:rsidP="006E1310">
      <w:pPr>
        <w:pStyle w:val="definition"/>
        <w:ind w:left="3402"/>
      </w:pPr>
      <w:r w:rsidRPr="00883399">
        <w:t>MCF is the methane correction factor for aerobic decomposition and is equal to 1.</w:t>
      </w:r>
    </w:p>
    <w:p w14:paraId="6B323EF2" w14:textId="77777777" w:rsidR="006E1310" w:rsidRPr="00883399" w:rsidRDefault="006E1310" w:rsidP="006E1310">
      <w:pPr>
        <w:pStyle w:val="definition"/>
        <w:ind w:left="3402"/>
      </w:pPr>
      <w:r w:rsidRPr="00883399">
        <w:t xml:space="preserve">Sum for all waste types </w:t>
      </w:r>
      <w:r w:rsidRPr="00883399">
        <w:rPr>
          <w:i/>
        </w:rPr>
        <w:t>i</w:t>
      </w:r>
      <w:r w:rsidRPr="00883399">
        <w:t>.</w:t>
      </w:r>
    </w:p>
    <w:p w14:paraId="01A5B6F0" w14:textId="77777777" w:rsidR="006E1310" w:rsidRPr="00883399" w:rsidRDefault="006E1310" w:rsidP="006E1310">
      <w:pPr>
        <w:pStyle w:val="EquationNote"/>
        <w:ind w:left="2520" w:firstLine="0"/>
        <w:rPr>
          <w:rFonts w:ascii="Times New Roman" w:hAnsi="Times New Roman" w:cs="Times New Roman"/>
          <w:b/>
          <w:i/>
          <w:sz w:val="24"/>
          <w:szCs w:val="24"/>
        </w:rPr>
      </w:pPr>
    </w:p>
    <w:p w14:paraId="4D67D3C1" w14:textId="77777777" w:rsidR="006E1310" w:rsidRPr="00883399" w:rsidRDefault="006E1310" w:rsidP="006E1310">
      <w:pPr>
        <w:pStyle w:val="EquationNote"/>
        <w:ind w:left="2520" w:firstLine="0"/>
        <w:rPr>
          <w:rFonts w:ascii="Times New Roman" w:hAnsi="Times New Roman" w:cs="Times New Roman"/>
          <w:sz w:val="24"/>
          <w:szCs w:val="24"/>
        </w:rPr>
      </w:pPr>
      <w:r w:rsidRPr="00883399">
        <w:rPr>
          <w:rFonts w:ascii="Times New Roman" w:hAnsi="Times New Roman" w:cs="Times New Roman"/>
          <w:b/>
          <w:i/>
          <w:sz w:val="24"/>
          <w:szCs w:val="24"/>
        </w:rPr>
        <w:t>∆C</w:t>
      </w:r>
      <w:r w:rsidRPr="00883399">
        <w:rPr>
          <w:rStyle w:val="Subscript"/>
          <w:rFonts w:ascii="Times New Roman" w:hAnsi="Times New Roman" w:cs="Times New Roman"/>
          <w:b/>
          <w:i/>
          <w:sz w:val="24"/>
          <w:szCs w:val="24"/>
        </w:rPr>
        <w:t>a</w:t>
      </w:r>
      <w:r w:rsidRPr="00883399">
        <w:rPr>
          <w:rFonts w:ascii="Times New Roman" w:hAnsi="Times New Roman" w:cs="Times New Roman"/>
          <w:b/>
          <w:i/>
          <w:sz w:val="24"/>
          <w:szCs w:val="24"/>
        </w:rPr>
        <w:t>(t)</w:t>
      </w:r>
      <w:r w:rsidRPr="00883399">
        <w:rPr>
          <w:rFonts w:ascii="Times New Roman" w:hAnsi="Times New Roman" w:cs="Times New Roman"/>
          <w:sz w:val="24"/>
          <w:szCs w:val="24"/>
        </w:rPr>
        <w:t xml:space="preserve"> is the quantity of decomposable degradable organic carbon from newly deposited waste arriving at the landfill lost through decay (decomposition) (in tonnes)</w:t>
      </w:r>
    </w:p>
    <w:p w14:paraId="2333604B" w14:textId="77777777" w:rsidR="006E1310" w:rsidRPr="00883399" w:rsidRDefault="006E1310" w:rsidP="006E1310">
      <w:pPr>
        <w:pStyle w:val="EquationNote"/>
        <w:ind w:left="2520" w:firstLine="0"/>
        <w:rPr>
          <w:rFonts w:ascii="Times New Roman" w:hAnsi="Times New Roman" w:cs="Times New Roman"/>
          <w:sz w:val="24"/>
          <w:szCs w:val="24"/>
        </w:rPr>
      </w:pPr>
    </w:p>
    <w:p w14:paraId="0501DFA3" w14:textId="77777777" w:rsidR="006E1310" w:rsidRPr="00883399" w:rsidRDefault="006E1310" w:rsidP="006E1310">
      <w:pPr>
        <w:pStyle w:val="EquationNote"/>
        <w:ind w:left="2520" w:hanging="1200"/>
        <w:rPr>
          <w:rFonts w:ascii="Times New Roman" w:hAnsi="Times New Roman" w:cs="Times New Roman"/>
          <w:sz w:val="24"/>
          <w:szCs w:val="24"/>
        </w:rPr>
      </w:pPr>
      <w:r w:rsidRPr="00883399">
        <w:rPr>
          <w:rFonts w:ascii="Times New Roman" w:hAnsi="Times New Roman" w:cs="Times New Roman"/>
          <w:sz w:val="24"/>
          <w:szCs w:val="24"/>
        </w:rPr>
        <w:tab/>
      </w:r>
      <w:r w:rsidRPr="00883399">
        <w:rPr>
          <w:rFonts w:ascii="Times New Roman" w:hAnsi="Times New Roman" w:cs="Times New Roman"/>
          <w:b/>
          <w:i/>
          <w:sz w:val="24"/>
          <w:szCs w:val="24"/>
        </w:rPr>
        <w:t>∆C</w:t>
      </w:r>
      <w:r w:rsidRPr="00883399">
        <w:rPr>
          <w:rStyle w:val="Subscript"/>
          <w:rFonts w:ascii="Times New Roman" w:hAnsi="Times New Roman" w:cs="Times New Roman"/>
          <w:b/>
          <w:i/>
          <w:sz w:val="24"/>
          <w:szCs w:val="24"/>
        </w:rPr>
        <w:t>os</w:t>
      </w:r>
      <w:r w:rsidRPr="00883399">
        <w:rPr>
          <w:rFonts w:ascii="Times New Roman" w:hAnsi="Times New Roman" w:cs="Times New Roman"/>
          <w:b/>
          <w:i/>
          <w:sz w:val="24"/>
          <w:szCs w:val="24"/>
        </w:rPr>
        <w:t>(t)</w:t>
      </w:r>
      <w:r w:rsidRPr="00883399">
        <w:rPr>
          <w:rFonts w:ascii="Times New Roman" w:hAnsi="Times New Roman" w:cs="Times New Roman"/>
          <w:sz w:val="24"/>
          <w:szCs w:val="24"/>
        </w:rPr>
        <w:t xml:space="preserve"> is the quantity of decomposable degradable organic carbon from the opening stock of carbon at the landfill lost through decay (decomposition) (in tonnes)</w:t>
      </w:r>
    </w:p>
    <w:p w14:paraId="33ED2125" w14:textId="77777777" w:rsidR="006E1310" w:rsidRPr="00883399" w:rsidRDefault="006E1310" w:rsidP="006E1310">
      <w:pPr>
        <w:pStyle w:val="EquationNote"/>
        <w:ind w:left="2520" w:firstLine="0"/>
        <w:rPr>
          <w:rFonts w:ascii="Times New Roman" w:hAnsi="Times New Roman" w:cs="Times New Roman"/>
          <w:sz w:val="24"/>
          <w:szCs w:val="24"/>
        </w:rPr>
      </w:pPr>
      <w:r w:rsidRPr="00883399">
        <w:rPr>
          <w:rFonts w:ascii="Times New Roman" w:hAnsi="Times New Roman" w:cs="Times New Roman"/>
          <w:b/>
          <w:i/>
          <w:sz w:val="24"/>
          <w:szCs w:val="24"/>
        </w:rPr>
        <w:t>F</w:t>
      </w:r>
      <w:r w:rsidRPr="00883399">
        <w:rPr>
          <w:rFonts w:ascii="Times New Roman" w:hAnsi="Times New Roman" w:cs="Times New Roman"/>
          <w:sz w:val="24"/>
          <w:szCs w:val="24"/>
        </w:rPr>
        <w:t xml:space="preserve"> is the fraction of CH</w:t>
      </w:r>
      <w:r w:rsidRPr="00883399">
        <w:rPr>
          <w:rFonts w:ascii="Times New Roman" w:hAnsi="Times New Roman" w:cs="Times New Roman"/>
          <w:sz w:val="24"/>
          <w:szCs w:val="24"/>
          <w:vertAlign w:val="subscript"/>
        </w:rPr>
        <w:t>4</w:t>
      </w:r>
      <w:r w:rsidRPr="00883399">
        <w:rPr>
          <w:rFonts w:ascii="Times New Roman" w:hAnsi="Times New Roman" w:cs="Times New Roman"/>
          <w:sz w:val="24"/>
          <w:szCs w:val="24"/>
        </w:rPr>
        <w:t>, by volume, generated in landfill gas (and equal to 0.5)</w:t>
      </w:r>
    </w:p>
    <w:p w14:paraId="2B1D535F" w14:textId="77777777" w:rsidR="006E1310" w:rsidRPr="00883399" w:rsidRDefault="006E1310" w:rsidP="006E1310">
      <w:pPr>
        <w:pStyle w:val="EquationNote"/>
        <w:ind w:left="2520" w:hanging="1200"/>
        <w:rPr>
          <w:rFonts w:ascii="Times New Roman" w:hAnsi="Times New Roman" w:cs="Times New Roman"/>
          <w:sz w:val="24"/>
          <w:szCs w:val="24"/>
        </w:rPr>
      </w:pPr>
      <w:r w:rsidRPr="00883399">
        <w:rPr>
          <w:rFonts w:ascii="Times New Roman" w:hAnsi="Times New Roman" w:cs="Times New Roman"/>
          <w:sz w:val="24"/>
          <w:szCs w:val="24"/>
        </w:rPr>
        <w:tab/>
      </w:r>
      <w:r w:rsidRPr="00883399">
        <w:rPr>
          <w:rFonts w:ascii="Times New Roman" w:hAnsi="Times New Roman" w:cs="Times New Roman"/>
          <w:b/>
          <w:i/>
          <w:sz w:val="24"/>
          <w:szCs w:val="24"/>
        </w:rPr>
        <w:t>1.336</w:t>
      </w:r>
      <w:r w:rsidRPr="00883399">
        <w:rPr>
          <w:rFonts w:ascii="Times New Roman" w:hAnsi="Times New Roman" w:cs="Times New Roman"/>
          <w:sz w:val="24"/>
          <w:szCs w:val="24"/>
        </w:rPr>
        <w:t xml:space="preserve"> is the conversion factor from a mass of C to a mass of CH</w:t>
      </w:r>
      <w:r w:rsidRPr="00883399">
        <w:rPr>
          <w:rFonts w:ascii="Times New Roman" w:hAnsi="Times New Roman" w:cs="Times New Roman"/>
          <w:sz w:val="24"/>
          <w:szCs w:val="24"/>
          <w:vertAlign w:val="subscript"/>
        </w:rPr>
        <w:t>4</w:t>
      </w:r>
    </w:p>
    <w:p w14:paraId="1F142F91" w14:textId="77777777" w:rsidR="006E1310" w:rsidRPr="00883399" w:rsidRDefault="006E1310" w:rsidP="006E1310">
      <w:pPr>
        <w:autoSpaceDE w:val="0"/>
        <w:autoSpaceDN w:val="0"/>
        <w:adjustRightInd w:val="0"/>
        <w:ind w:left="2520"/>
        <w:rPr>
          <w:iCs/>
        </w:rPr>
      </w:pPr>
      <w:r w:rsidRPr="00883399">
        <w:rPr>
          <w:b/>
          <w:i/>
          <w:iCs/>
        </w:rPr>
        <w:lastRenderedPageBreak/>
        <w:t>C</w:t>
      </w:r>
      <w:r w:rsidRPr="00883399">
        <w:rPr>
          <w:b/>
          <w:i/>
          <w:iCs/>
          <w:vertAlign w:val="subscript"/>
        </w:rPr>
        <w:t>os</w:t>
      </w:r>
      <w:r w:rsidRPr="00883399">
        <w:rPr>
          <w:b/>
          <w:i/>
          <w:iCs/>
        </w:rPr>
        <w:t>(t)</w:t>
      </w:r>
      <w:r w:rsidRPr="00883399">
        <w:rPr>
          <w:b/>
          <w:i/>
        </w:rPr>
        <w:t xml:space="preserve"> </w:t>
      </w:r>
      <w:r w:rsidRPr="00883399">
        <w:t xml:space="preserve">is the quantity of decomposable degradable organic carbon accumulated in the landfill at the beginning of the year </w:t>
      </w:r>
      <w:r w:rsidRPr="00883399">
        <w:rPr>
          <w:iCs/>
        </w:rPr>
        <w:t>t  (in tonnes)</w:t>
      </w:r>
    </w:p>
    <w:p w14:paraId="64718F29" w14:textId="77777777" w:rsidR="006E1310" w:rsidRPr="00883399" w:rsidRDefault="006E1310" w:rsidP="006E1310">
      <w:pPr>
        <w:autoSpaceDE w:val="0"/>
        <w:autoSpaceDN w:val="0"/>
        <w:adjustRightInd w:val="0"/>
        <w:ind w:left="2520"/>
        <w:rPr>
          <w:iCs/>
        </w:rPr>
      </w:pPr>
      <w:r w:rsidRPr="00883399">
        <w:rPr>
          <w:b/>
          <w:i/>
          <w:iCs/>
        </w:rPr>
        <w:t>C</w:t>
      </w:r>
      <w:r w:rsidRPr="00883399">
        <w:rPr>
          <w:b/>
          <w:i/>
          <w:iCs/>
          <w:vertAlign w:val="subscript"/>
        </w:rPr>
        <w:t>cs</w:t>
      </w:r>
      <w:r w:rsidRPr="00883399">
        <w:rPr>
          <w:b/>
          <w:i/>
          <w:iCs/>
        </w:rPr>
        <w:t>(t)</w:t>
      </w:r>
      <w:r w:rsidRPr="00883399">
        <w:rPr>
          <w:b/>
          <w:i/>
        </w:rPr>
        <w:t xml:space="preserve"> </w:t>
      </w:r>
      <w:r w:rsidRPr="00883399">
        <w:t xml:space="preserve">is the quantity of decomposable degradable organic carbon accumulated in the landfill at the end of the year </w:t>
      </w:r>
      <w:r w:rsidRPr="00883399">
        <w:rPr>
          <w:iCs/>
        </w:rPr>
        <w:t>t  (in tonnes)</w:t>
      </w:r>
    </w:p>
    <w:p w14:paraId="738E0EA7" w14:textId="77777777" w:rsidR="006E1310" w:rsidRPr="00883399" w:rsidRDefault="006E1310" w:rsidP="006E1310">
      <w:pPr>
        <w:autoSpaceDE w:val="0"/>
        <w:autoSpaceDN w:val="0"/>
        <w:adjustRightInd w:val="0"/>
        <w:ind w:left="2520"/>
      </w:pPr>
      <w:r w:rsidRPr="00883399">
        <w:rPr>
          <w:b/>
          <w:i/>
          <w:iCs/>
        </w:rPr>
        <w:t>C</w:t>
      </w:r>
      <w:r w:rsidRPr="00883399">
        <w:rPr>
          <w:b/>
          <w:i/>
          <w:iCs/>
          <w:vertAlign w:val="subscript"/>
        </w:rPr>
        <w:t>a</w:t>
      </w:r>
      <w:r w:rsidRPr="00883399">
        <w:rPr>
          <w:b/>
          <w:i/>
          <w:iCs/>
        </w:rPr>
        <w:t>(t)</w:t>
      </w:r>
      <w:r w:rsidRPr="00883399">
        <w:t xml:space="preserve"> is the quantity of decomposable degradable organic carbon in newly deposited waste at the landfill during the year t (in tonnes)</w:t>
      </w:r>
    </w:p>
    <w:p w14:paraId="2BD5190D" w14:textId="77777777" w:rsidR="006E1310" w:rsidRPr="00883399" w:rsidRDefault="006E1310" w:rsidP="006E1310">
      <w:pPr>
        <w:pStyle w:val="EquationNote"/>
        <w:ind w:left="2520" w:firstLine="0"/>
        <w:rPr>
          <w:rFonts w:ascii="Times New Roman" w:hAnsi="Times New Roman" w:cs="Times New Roman"/>
          <w:sz w:val="24"/>
          <w:szCs w:val="24"/>
        </w:rPr>
      </w:pPr>
      <w:r w:rsidRPr="00883399">
        <w:rPr>
          <w:rFonts w:ascii="Times New Roman" w:hAnsi="Times New Roman" w:cs="Times New Roman"/>
          <w:sz w:val="24"/>
          <w:szCs w:val="24"/>
        </w:rPr>
        <w:t xml:space="preserve">The opening stock of degradable organic carbon for a year </w:t>
      </w:r>
      <w:r w:rsidRPr="00883399">
        <w:rPr>
          <w:rFonts w:ascii="Times New Roman" w:hAnsi="Times New Roman" w:cs="Times New Roman"/>
          <w:b/>
          <w:i/>
          <w:iCs w:val="0"/>
        </w:rPr>
        <w:t>C</w:t>
      </w:r>
      <w:r w:rsidRPr="00883399">
        <w:rPr>
          <w:rFonts w:ascii="Times New Roman" w:hAnsi="Times New Roman" w:cs="Times New Roman"/>
          <w:b/>
          <w:i/>
          <w:iCs w:val="0"/>
          <w:vertAlign w:val="subscript"/>
        </w:rPr>
        <w:t>os</w:t>
      </w:r>
      <w:r w:rsidRPr="00883399">
        <w:rPr>
          <w:rFonts w:ascii="Times New Roman" w:hAnsi="Times New Roman" w:cs="Times New Roman"/>
          <w:b/>
          <w:i/>
          <w:iCs w:val="0"/>
        </w:rPr>
        <w:t>(t)</w:t>
      </w:r>
      <w:r w:rsidRPr="00883399">
        <w:rPr>
          <w:rFonts w:ascii="Times New Roman" w:hAnsi="Times New Roman" w:cs="Times New Roman"/>
          <w:b/>
          <w:i/>
        </w:rPr>
        <w:t xml:space="preserve"> </w:t>
      </w:r>
      <w:r w:rsidRPr="00883399">
        <w:rPr>
          <w:rFonts w:ascii="Times New Roman" w:hAnsi="Times New Roman" w:cs="Times New Roman"/>
          <w:sz w:val="24"/>
          <w:szCs w:val="24"/>
        </w:rPr>
        <w:t xml:space="preserve">is equal to the closing stock </w:t>
      </w:r>
      <w:r w:rsidRPr="00883399">
        <w:rPr>
          <w:rFonts w:ascii="Times New Roman" w:hAnsi="Times New Roman" w:cs="Times New Roman"/>
          <w:b/>
          <w:i/>
          <w:iCs w:val="0"/>
          <w:sz w:val="24"/>
          <w:szCs w:val="24"/>
        </w:rPr>
        <w:t>C</w:t>
      </w:r>
      <w:r w:rsidRPr="00883399">
        <w:rPr>
          <w:rFonts w:ascii="Times New Roman" w:hAnsi="Times New Roman" w:cs="Times New Roman"/>
          <w:b/>
          <w:i/>
          <w:iCs w:val="0"/>
          <w:sz w:val="24"/>
          <w:szCs w:val="24"/>
          <w:vertAlign w:val="subscript"/>
        </w:rPr>
        <w:t>cs</w:t>
      </w:r>
      <w:r w:rsidRPr="00883399">
        <w:rPr>
          <w:rFonts w:ascii="Times New Roman" w:hAnsi="Times New Roman" w:cs="Times New Roman"/>
          <w:b/>
          <w:i/>
          <w:iCs w:val="0"/>
          <w:sz w:val="24"/>
          <w:szCs w:val="24"/>
        </w:rPr>
        <w:t>(t-1)</w:t>
      </w:r>
      <w:r w:rsidRPr="00883399">
        <w:rPr>
          <w:rFonts w:ascii="Times New Roman" w:hAnsi="Times New Roman" w:cs="Times New Roman"/>
          <w:b/>
          <w:i/>
        </w:rPr>
        <w:t xml:space="preserve"> </w:t>
      </w:r>
      <w:r w:rsidRPr="00883399">
        <w:rPr>
          <w:rFonts w:ascii="Times New Roman" w:hAnsi="Times New Roman" w:cs="Times New Roman"/>
          <w:sz w:val="24"/>
          <w:szCs w:val="24"/>
        </w:rPr>
        <w:t>of the previous year</w:t>
      </w:r>
    </w:p>
    <w:p w14:paraId="292ECF48" w14:textId="77777777" w:rsidR="006E1310" w:rsidRPr="00883399" w:rsidRDefault="006E1310" w:rsidP="006E1310">
      <w:pPr>
        <w:autoSpaceDE w:val="0"/>
        <w:autoSpaceDN w:val="0"/>
        <w:adjustRightInd w:val="0"/>
        <w:ind w:left="2520"/>
      </w:pPr>
      <w:r w:rsidRPr="00883399">
        <w:rPr>
          <w:b/>
          <w:i/>
        </w:rPr>
        <w:t>M</w:t>
      </w:r>
      <w:r w:rsidRPr="00883399">
        <w:t xml:space="preserve"> = </w:t>
      </w:r>
      <w:r w:rsidRPr="00883399">
        <w:rPr>
          <w:bCs/>
        </w:rPr>
        <w:t>month when decay process commences, equal to the average delay time (months) + 7. Landfill operators may choose an appropriate value for average delay time between 0 and 12.  In the absence of information on delay time, a value of 6 months may be used for average delay time (M = 13).</w:t>
      </w:r>
      <w:r w:rsidRPr="00883399">
        <w:rPr>
          <w:b/>
          <w:bCs/>
        </w:rPr>
        <w:t xml:space="preserve"> </w:t>
      </w:r>
    </w:p>
    <w:p w14:paraId="03D2C28B" w14:textId="77777777" w:rsidR="006E1310" w:rsidRPr="00883399" w:rsidRDefault="006E1310" w:rsidP="006E1310">
      <w:pPr>
        <w:ind w:left="2520"/>
      </w:pPr>
      <w:r w:rsidRPr="00883399">
        <w:rPr>
          <w:b/>
          <w:i/>
          <w:iCs/>
        </w:rPr>
        <w:t>k</w:t>
      </w:r>
      <w:r w:rsidRPr="00883399">
        <w:rPr>
          <w:i/>
          <w:iCs/>
        </w:rPr>
        <w:t xml:space="preserve"> </w:t>
      </w:r>
      <w:r w:rsidRPr="00883399">
        <w:t xml:space="preserve">= methane generation constant </w:t>
      </w:r>
    </w:p>
    <w:p w14:paraId="477E099D" w14:textId="77777777" w:rsidR="006E1310" w:rsidRPr="00883399" w:rsidRDefault="006E1310" w:rsidP="006E1310">
      <w:pPr>
        <w:autoSpaceDE w:val="0"/>
        <w:autoSpaceDN w:val="0"/>
        <w:adjustRightInd w:val="0"/>
        <w:ind w:left="2520"/>
      </w:pPr>
      <w:r w:rsidRPr="00883399">
        <w:rPr>
          <w:b/>
          <w:i/>
        </w:rPr>
        <w:t>t</w:t>
      </w:r>
      <w:r w:rsidRPr="00883399">
        <w:t xml:space="preserve"> = year </w:t>
      </w:r>
      <w:r w:rsidRPr="00883399">
        <w:rPr>
          <w:i/>
          <w:iCs/>
        </w:rPr>
        <w:t xml:space="preserve">t </w:t>
      </w:r>
      <w:r w:rsidRPr="00883399">
        <w:t>(reporting year)</w:t>
      </w:r>
    </w:p>
    <w:p w14:paraId="4943B1F0" w14:textId="77777777" w:rsidR="006E1310" w:rsidRPr="00883399" w:rsidRDefault="006E1310" w:rsidP="006E1310">
      <w:pPr>
        <w:autoSpaceDE w:val="0"/>
        <w:autoSpaceDN w:val="0"/>
        <w:adjustRightInd w:val="0"/>
        <w:spacing w:before="240" w:line="312" w:lineRule="auto"/>
        <w:ind w:left="720"/>
        <w:rPr>
          <w:rFonts w:ascii="Arial" w:hAnsi="Arial" w:cs="Arial"/>
          <w:sz w:val="22"/>
          <w:szCs w:val="22"/>
        </w:rPr>
      </w:pPr>
      <w:r w:rsidRPr="00883399">
        <w:rPr>
          <w:rFonts w:ascii="Arial" w:hAnsi="Arial" w:cs="Arial"/>
          <w:sz w:val="22"/>
          <w:szCs w:val="22"/>
        </w:rPr>
        <w:t>The FOD model estimates CH</w:t>
      </w:r>
      <w:r w:rsidRPr="00883399">
        <w:rPr>
          <w:rFonts w:ascii="Arial" w:hAnsi="Arial" w:cs="Arial"/>
          <w:sz w:val="22"/>
          <w:szCs w:val="22"/>
          <w:vertAlign w:val="subscript"/>
        </w:rPr>
        <w:t>4</w:t>
      </w:r>
      <w:r w:rsidRPr="00883399">
        <w:rPr>
          <w:rFonts w:ascii="Arial" w:hAnsi="Arial" w:cs="Arial"/>
          <w:sz w:val="22"/>
          <w:szCs w:val="22"/>
        </w:rPr>
        <w:t xml:space="preserve"> generated in any given year by adding the newly deposited waste (dC</w:t>
      </w:r>
      <w:r w:rsidRPr="00883399">
        <w:rPr>
          <w:rFonts w:ascii="Arial" w:hAnsi="Arial" w:cs="Arial"/>
          <w:sz w:val="22"/>
          <w:szCs w:val="22"/>
          <w:vertAlign w:val="subscript"/>
        </w:rPr>
        <w:t>a</w:t>
      </w:r>
      <w:r w:rsidRPr="00883399">
        <w:rPr>
          <w:rFonts w:ascii="Arial" w:hAnsi="Arial" w:cs="Arial"/>
          <w:sz w:val="22"/>
          <w:szCs w:val="22"/>
        </w:rPr>
        <w:t>) into the disposal site in one year to the waste left over from the previous year (which is taken as the current year’s opening stock – C</w:t>
      </w:r>
      <w:r w:rsidRPr="00883399">
        <w:rPr>
          <w:rFonts w:ascii="Arial" w:hAnsi="Arial" w:cs="Arial"/>
          <w:sz w:val="22"/>
          <w:szCs w:val="22"/>
          <w:vertAlign w:val="subscript"/>
        </w:rPr>
        <w:t>os</w:t>
      </w:r>
      <w:r w:rsidRPr="00883399">
        <w:rPr>
          <w:rFonts w:ascii="Arial" w:hAnsi="Arial" w:cs="Arial"/>
          <w:sz w:val="22"/>
          <w:szCs w:val="22"/>
        </w:rPr>
        <w:t>). The CH</w:t>
      </w:r>
      <w:r w:rsidRPr="00883399">
        <w:rPr>
          <w:rFonts w:ascii="Arial" w:hAnsi="Arial" w:cs="Arial"/>
          <w:sz w:val="22"/>
          <w:szCs w:val="22"/>
          <w:vertAlign w:val="subscript"/>
        </w:rPr>
        <w:t>4</w:t>
      </w:r>
      <w:r w:rsidRPr="00883399">
        <w:rPr>
          <w:rFonts w:ascii="Arial" w:hAnsi="Arial" w:cs="Arial"/>
          <w:sz w:val="22"/>
          <w:szCs w:val="22"/>
        </w:rPr>
        <w:t xml:space="preserve"> generation for the year is then calculated from this ‘running total’ of the decomposable degradable organic carbon remaining in the site. </w:t>
      </w:r>
    </w:p>
    <w:p w14:paraId="450E1F3A" w14:textId="77777777" w:rsidR="006E1310" w:rsidRPr="00883399" w:rsidRDefault="006E1310" w:rsidP="006E1310">
      <w:pPr>
        <w:autoSpaceDE w:val="0"/>
        <w:autoSpaceDN w:val="0"/>
        <w:adjustRightInd w:val="0"/>
        <w:spacing w:before="240" w:line="312" w:lineRule="auto"/>
        <w:ind w:left="720"/>
        <w:rPr>
          <w:rFonts w:ascii="Arial" w:hAnsi="Arial" w:cs="Arial"/>
          <w:sz w:val="22"/>
          <w:szCs w:val="22"/>
        </w:rPr>
      </w:pPr>
      <w:r w:rsidRPr="00883399">
        <w:rPr>
          <w:rFonts w:ascii="Arial" w:hAnsi="Arial" w:cs="Arial"/>
          <w:sz w:val="22"/>
          <w:szCs w:val="22"/>
        </w:rPr>
        <w:t xml:space="preserve">The basis for this approach lies in the first order reaction. With a first order reaction the amount of product (here degradable organic carbon decomposed </w:t>
      </w:r>
      <w:r w:rsidRPr="00883399">
        <w:rPr>
          <w:rFonts w:ascii="Arial" w:hAnsi="Arial" w:cs="Arial"/>
          <w:sz w:val="22"/>
          <w:szCs w:val="22"/>
        </w:rPr>
        <w:lastRenderedPageBreak/>
        <w:t>- ∆C</w:t>
      </w:r>
      <w:r w:rsidRPr="00883399">
        <w:rPr>
          <w:rStyle w:val="Subscript"/>
          <w:rFonts w:ascii="Arial" w:hAnsi="Arial" w:cs="Arial"/>
          <w:sz w:val="22"/>
          <w:szCs w:val="22"/>
        </w:rPr>
        <w:t>a</w:t>
      </w:r>
      <w:r w:rsidRPr="00883399">
        <w:rPr>
          <w:rFonts w:ascii="Arial" w:hAnsi="Arial" w:cs="Arial"/>
          <w:sz w:val="22"/>
          <w:szCs w:val="22"/>
        </w:rPr>
        <w:t>(t) + ∆C</w:t>
      </w:r>
      <w:r w:rsidRPr="00883399">
        <w:rPr>
          <w:rStyle w:val="Subscript"/>
          <w:rFonts w:ascii="Arial" w:hAnsi="Arial" w:cs="Arial"/>
          <w:sz w:val="22"/>
          <w:szCs w:val="22"/>
        </w:rPr>
        <w:t>os</w:t>
      </w:r>
      <w:r w:rsidRPr="00883399">
        <w:rPr>
          <w:rFonts w:ascii="Arial" w:hAnsi="Arial" w:cs="Arial"/>
          <w:sz w:val="22"/>
          <w:szCs w:val="22"/>
        </w:rPr>
        <w:t>(t)) - is always proportional to the amount of reactant (here C</w:t>
      </w:r>
      <w:r w:rsidRPr="00883399">
        <w:rPr>
          <w:rFonts w:ascii="Arial" w:hAnsi="Arial" w:cs="Arial"/>
          <w:sz w:val="22"/>
          <w:szCs w:val="22"/>
          <w:vertAlign w:val="subscript"/>
        </w:rPr>
        <w:t>os</w:t>
      </w:r>
      <w:r w:rsidRPr="00883399">
        <w:rPr>
          <w:rFonts w:ascii="Arial" w:hAnsi="Arial" w:cs="Arial"/>
          <w:sz w:val="22"/>
          <w:szCs w:val="22"/>
        </w:rPr>
        <w:t xml:space="preserve"> + dC</w:t>
      </w:r>
      <w:r w:rsidRPr="00883399">
        <w:rPr>
          <w:rFonts w:ascii="Arial" w:hAnsi="Arial" w:cs="Arial"/>
          <w:sz w:val="22"/>
          <w:szCs w:val="22"/>
          <w:vertAlign w:val="subscript"/>
        </w:rPr>
        <w:t>a</w:t>
      </w:r>
      <w:r w:rsidRPr="00883399">
        <w:rPr>
          <w:rFonts w:ascii="Arial" w:hAnsi="Arial" w:cs="Arial"/>
          <w:sz w:val="22"/>
          <w:szCs w:val="22"/>
        </w:rPr>
        <w:t xml:space="preserve">). </w:t>
      </w:r>
    </w:p>
    <w:p w14:paraId="49D0C225" w14:textId="77777777" w:rsidR="006E1310" w:rsidRPr="00883399" w:rsidRDefault="006E1310" w:rsidP="006E1310">
      <w:pPr>
        <w:spacing w:before="240" w:line="312" w:lineRule="auto"/>
        <w:outlineLvl w:val="0"/>
        <w:rPr>
          <w:rFonts w:ascii="Arial" w:hAnsi="Arial" w:cs="Arial"/>
          <w:bCs/>
          <w:i/>
          <w:sz w:val="22"/>
          <w:szCs w:val="22"/>
        </w:rPr>
      </w:pPr>
      <w:r w:rsidRPr="00883399">
        <w:rPr>
          <w:rFonts w:ascii="Arial" w:hAnsi="Arial" w:cs="Arial"/>
          <w:bCs/>
          <w:i/>
          <w:sz w:val="22"/>
          <w:szCs w:val="22"/>
        </w:rPr>
        <w:t>Alternative method for estimation of emissions</w:t>
      </w:r>
    </w:p>
    <w:p w14:paraId="68B4E99E" w14:textId="77777777" w:rsidR="006E1310" w:rsidRPr="00883399" w:rsidRDefault="006E1310" w:rsidP="006E1310">
      <w:pPr>
        <w:pStyle w:val="R1"/>
        <w:keepLines w:val="0"/>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Section 5.4 also sets out the circumstances in which an alternative approach to the estimation of emissions will apply.  The alternative approach will apply to a facility that captures methane generated by the landfill and where the estimates of the quantity of methane captured for combustion (either at the landfill or elsewhere) and from flaring exceed 75 per cent of the estimated emissions generated by the landfill according to the application of the Tier 2 FOD model.  </w:t>
      </w:r>
    </w:p>
    <w:p w14:paraId="7F734CFA" w14:textId="77777777" w:rsidR="006E1310" w:rsidRPr="00883399" w:rsidRDefault="006E1310" w:rsidP="006E1310">
      <w:pPr>
        <w:pStyle w:val="R1"/>
        <w:keepLines w:val="0"/>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If the 75 per cent threshold is exceeded, (that is, if the quantity of methane captured, transferred offsite or flared exceeds 75 per cent of the estimated methane generated at the landfill) then it is intended that emissions would be estimated as [1/0.75] multiplied by the quantity of methane captured.    </w:t>
      </w:r>
    </w:p>
    <w:p w14:paraId="055D1952" w14:textId="77777777" w:rsidR="006E1310" w:rsidRPr="00883399" w:rsidRDefault="006E1310" w:rsidP="006E1310">
      <w:pPr>
        <w:pStyle w:val="R1"/>
        <w:keepLines w:val="0"/>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Where this threshold has been triggered, it is also important to track the carbon loss (∆C</w:t>
      </w:r>
      <w:r w:rsidRPr="00883399">
        <w:rPr>
          <w:rStyle w:val="Subscript"/>
          <w:rFonts w:ascii="Arial" w:hAnsi="Arial" w:cs="Arial"/>
          <w:sz w:val="22"/>
          <w:szCs w:val="22"/>
        </w:rPr>
        <w:t>os</w:t>
      </w:r>
      <w:r w:rsidRPr="00883399">
        <w:rPr>
          <w:rFonts w:ascii="Arial" w:hAnsi="Arial" w:cs="Arial"/>
          <w:sz w:val="22"/>
          <w:szCs w:val="22"/>
        </w:rPr>
        <w:t>(t)) associated with the estimated emissions.  Sections 5.4B and 5.4C of the Determination provide instructions on performing this calculation.</w:t>
      </w:r>
    </w:p>
    <w:p w14:paraId="5FA11410" w14:textId="77777777" w:rsidR="006E1310" w:rsidRPr="00883399" w:rsidRDefault="006E1310" w:rsidP="006E1310">
      <w:pPr>
        <w:pStyle w:val="R1"/>
        <w:keepLines w:val="0"/>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This alternative approach ensures that where a more accurate estimate of emissions generated by the landfill is available – i.e. based on the quantity of emissions captured – that this better data is substituted for the Tier 2 FOD model-generated emissions data.  </w:t>
      </w:r>
    </w:p>
    <w:p w14:paraId="418B8945" w14:textId="77777777" w:rsidR="006E1310" w:rsidRPr="00883399" w:rsidRDefault="006E1310" w:rsidP="006E1310">
      <w:pPr>
        <w:pStyle w:val="R1"/>
        <w:keepLines w:val="0"/>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The choice of 75 per cent as the threshold value reflects advice in the Department of Environment and Heritage publication, National Pollution Inventory – </w:t>
      </w:r>
      <w:r w:rsidRPr="00883399">
        <w:rPr>
          <w:rFonts w:ascii="Arial" w:hAnsi="Arial" w:cs="Arial"/>
          <w:i/>
          <w:sz w:val="22"/>
          <w:szCs w:val="22"/>
        </w:rPr>
        <w:t>Emission Estimation Manual for Municipal Solid Waste (MSW) Landfills, Version 1.2,</w:t>
      </w:r>
      <w:r w:rsidRPr="00883399">
        <w:rPr>
          <w:rFonts w:ascii="Arial" w:hAnsi="Arial" w:cs="Arial"/>
          <w:sz w:val="22"/>
          <w:szCs w:val="22"/>
        </w:rPr>
        <w:t xml:space="preserve"> May 2005 that this constitutes the most common assumption about capture efficiency of landfill sites.  A similar approach has recently been adopted by the US Environment Protection Agency.</w:t>
      </w:r>
    </w:p>
    <w:p w14:paraId="211E05A5" w14:textId="77777777" w:rsidR="006E1310" w:rsidRPr="00883399" w:rsidRDefault="006E1310" w:rsidP="006E1310">
      <w:pPr>
        <w:pStyle w:val="R1"/>
        <w:keepLines w:val="0"/>
        <w:tabs>
          <w:tab w:val="clear" w:pos="794"/>
          <w:tab w:val="right" w:pos="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It is intended that Reporters will be able to use higher-order methods – in particular, method 2 – to establish higher capture efficiencies. A capture efficiency limit of 85 per cent has been established under method-2.  Under the method-2 provisions in the Determination, site-specific k values obtained under method-2 would be derived once only. The establishment of the 85% capture efficiency limit is designed to </w:t>
      </w:r>
      <w:r w:rsidRPr="00883399">
        <w:rPr>
          <w:rFonts w:ascii="Arial" w:hAnsi="Arial" w:cs="Arial"/>
          <w:sz w:val="22"/>
          <w:szCs w:val="22"/>
        </w:rPr>
        <w:lastRenderedPageBreak/>
        <w:t>ensure that methane capture does not exceed methane generation at any time in the future.</w:t>
      </w:r>
    </w:p>
    <w:p w14:paraId="17CB3BCC" w14:textId="588D83D2" w:rsidR="00872C03" w:rsidRPr="00883399" w:rsidRDefault="00872C03" w:rsidP="00872C03">
      <w:pPr>
        <w:pStyle w:val="ActHead5"/>
        <w:rPr>
          <w:sz w:val="28"/>
        </w:rPr>
      </w:pPr>
      <w:bookmarkStart w:id="1080" w:name="_Toc495653066"/>
      <w:r w:rsidRPr="00883399">
        <w:rPr>
          <w:rStyle w:val="CharSectno"/>
          <w:sz w:val="28"/>
        </w:rPr>
        <w:t>5.4</w:t>
      </w:r>
      <w:r w:rsidRPr="00883399">
        <w:rPr>
          <w:sz w:val="28"/>
        </w:rPr>
        <w:t xml:space="preserve">  Method 1—methane released from landfills (other than from flaring of methane)</w:t>
      </w:r>
      <w:bookmarkEnd w:id="1077"/>
      <w:bookmarkEnd w:id="1080"/>
    </w:p>
    <w:p w14:paraId="6AC1C511" w14:textId="77777777" w:rsidR="00872C03" w:rsidRPr="00883399" w:rsidRDefault="00872C03" w:rsidP="00872C03">
      <w:pPr>
        <w:pStyle w:val="subsection"/>
        <w:rPr>
          <w:sz w:val="24"/>
        </w:rPr>
      </w:pPr>
      <w:r w:rsidRPr="00883399">
        <w:rPr>
          <w:sz w:val="24"/>
        </w:rPr>
        <w:tab/>
        <w:t>(1)</w:t>
      </w:r>
      <w:r w:rsidRPr="00883399">
        <w:rPr>
          <w:sz w:val="24"/>
        </w:rPr>
        <w:tab/>
        <w:t>For subparagraph 5.3(1)(a)(i), method 1 is:</w:t>
      </w:r>
    </w:p>
    <w:p w14:paraId="26B213B7" w14:textId="75F363CC" w:rsidR="00872C03" w:rsidRPr="00883399" w:rsidRDefault="00872C03" w:rsidP="00872C03">
      <w:pPr>
        <w:pStyle w:val="subsection"/>
        <w:spacing w:before="120" w:after="120"/>
      </w:pPr>
      <w:r w:rsidRPr="00883399">
        <w:tab/>
      </w:r>
      <w:r w:rsidRPr="00883399">
        <w:tab/>
      </w:r>
      <w:r w:rsidRPr="00883399">
        <w:rPr>
          <w:noProof/>
        </w:rPr>
        <w:drawing>
          <wp:inline distT="0" distB="0" distL="0" distR="0" wp14:anchorId="5D63DEE8" wp14:editId="5B6B6084">
            <wp:extent cx="3230245" cy="332740"/>
            <wp:effectExtent l="1905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45"/>
                    <a:srcRect/>
                    <a:stretch>
                      <a:fillRect/>
                    </a:stretch>
                  </pic:blipFill>
                  <pic:spPr bwMode="auto">
                    <a:xfrm>
                      <a:off x="0" y="0"/>
                      <a:ext cx="3230245" cy="332740"/>
                    </a:xfrm>
                    <a:prstGeom prst="rect">
                      <a:avLst/>
                    </a:prstGeom>
                    <a:noFill/>
                    <a:ln w="9525">
                      <a:noFill/>
                      <a:miter lim="800000"/>
                      <a:headEnd/>
                      <a:tailEnd/>
                    </a:ln>
                  </pic:spPr>
                </pic:pic>
              </a:graphicData>
            </a:graphic>
          </wp:inline>
        </w:drawing>
      </w:r>
    </w:p>
    <w:p w14:paraId="18AB1499" w14:textId="77777777" w:rsidR="00872C03" w:rsidRPr="00883399" w:rsidRDefault="00872C03" w:rsidP="00872C03">
      <w:pPr>
        <w:pStyle w:val="subsection2"/>
        <w:rPr>
          <w:sz w:val="24"/>
        </w:rPr>
      </w:pPr>
      <w:r w:rsidRPr="00883399">
        <w:rPr>
          <w:sz w:val="24"/>
        </w:rPr>
        <w:t>where:</w:t>
      </w:r>
    </w:p>
    <w:p w14:paraId="7641DF23" w14:textId="77777777" w:rsidR="00872C03" w:rsidRPr="00883399" w:rsidRDefault="00872C03" w:rsidP="00872C03">
      <w:pPr>
        <w:pStyle w:val="Definition0"/>
        <w:rPr>
          <w:rFonts w:ascii="TimesNewRoman" w:hAnsi="TimesNewRoman" w:cs="TimesNewRoman"/>
          <w:sz w:val="24"/>
        </w:rPr>
      </w:pPr>
      <w:r w:rsidRPr="00883399">
        <w:rPr>
          <w:rFonts w:ascii="TimesNewRoman,BoldItalic" w:hAnsi="TimesNewRoman,BoldItalic" w:cs="TimesNewRoman,BoldItalic"/>
          <w:b/>
          <w:bCs/>
          <w:i/>
          <w:iCs/>
          <w:sz w:val="24"/>
        </w:rPr>
        <w:t>E</w:t>
      </w:r>
      <w:r w:rsidRPr="00883399">
        <w:rPr>
          <w:rFonts w:ascii="TimesNewRoman,BoldItalic" w:hAnsi="TimesNewRoman,BoldItalic" w:cs="TimesNewRoman,BoldItalic"/>
          <w:b/>
          <w:bCs/>
          <w:i/>
          <w:iCs/>
          <w:sz w:val="15"/>
          <w:szCs w:val="13"/>
        </w:rPr>
        <w:t xml:space="preserve">j </w:t>
      </w:r>
      <w:r w:rsidRPr="00883399">
        <w:rPr>
          <w:sz w:val="24"/>
        </w:rPr>
        <w:t xml:space="preserve">is the emissions of methane released by the landfill during the year </w:t>
      </w:r>
      <w:r w:rsidRPr="00883399">
        <w:rPr>
          <w:rFonts w:ascii="TimesNewRoman" w:hAnsi="TimesNewRoman" w:cs="TimesNewRoman"/>
          <w:sz w:val="24"/>
        </w:rPr>
        <w:t xml:space="preserve">measured in </w:t>
      </w:r>
      <w:r w:rsidRPr="00883399">
        <w:rPr>
          <w:sz w:val="24"/>
        </w:rPr>
        <w:t>CO</w:t>
      </w:r>
      <w:r w:rsidRPr="00883399">
        <w:rPr>
          <w:rStyle w:val="charsubscript0"/>
          <w:sz w:val="24"/>
        </w:rPr>
        <w:t>2</w:t>
      </w:r>
      <w:r w:rsidRPr="00883399">
        <w:rPr>
          <w:sz w:val="24"/>
        </w:rPr>
        <w:noBreakHyphen/>
        <w:t>e</w:t>
      </w:r>
      <w:r w:rsidRPr="00883399">
        <w:rPr>
          <w:rFonts w:ascii="TimesNewRoman" w:hAnsi="TimesNewRoman" w:cs="TimesNewRoman"/>
          <w:sz w:val="24"/>
        </w:rPr>
        <w:t xml:space="preserve"> tonnes.</w:t>
      </w:r>
    </w:p>
    <w:p w14:paraId="581A2C56" w14:textId="77777777" w:rsidR="00872C03" w:rsidRPr="00883399" w:rsidRDefault="00872C03" w:rsidP="00872C03">
      <w:pPr>
        <w:pStyle w:val="Definition0"/>
        <w:rPr>
          <w:sz w:val="24"/>
        </w:rPr>
      </w:pPr>
      <w:r w:rsidRPr="00883399">
        <w:rPr>
          <w:b/>
          <w:i/>
          <w:sz w:val="24"/>
        </w:rPr>
        <w:t>CH</w:t>
      </w:r>
      <w:r w:rsidRPr="00883399">
        <w:rPr>
          <w:b/>
          <w:i/>
          <w:sz w:val="24"/>
          <w:vertAlign w:val="subscript"/>
        </w:rPr>
        <w:t>4</w:t>
      </w:r>
      <w:r w:rsidRPr="00883399">
        <w:rPr>
          <w:b/>
          <w:i/>
          <w:position w:val="6"/>
          <w:sz w:val="18"/>
          <w:vertAlign w:val="superscript"/>
        </w:rPr>
        <w:t>*</w:t>
      </w:r>
      <w:r w:rsidRPr="00883399">
        <w:rPr>
          <w:b/>
          <w:i/>
          <w:sz w:val="24"/>
          <w:vertAlign w:val="superscript"/>
        </w:rPr>
        <w:t xml:space="preserve"> </w:t>
      </w:r>
      <w:r w:rsidRPr="00883399">
        <w:rPr>
          <w:sz w:val="24"/>
        </w:rPr>
        <w:t>is the estimated quantity of methane in landfill gas generated by the landfill during the year as determined under subsection (2) or (3) and measured in CO</w:t>
      </w:r>
      <w:r w:rsidRPr="00883399">
        <w:rPr>
          <w:sz w:val="24"/>
          <w:vertAlign w:val="subscript"/>
        </w:rPr>
        <w:t>2</w:t>
      </w:r>
      <w:r w:rsidRPr="00883399">
        <w:rPr>
          <w:sz w:val="24"/>
        </w:rPr>
        <w:noBreakHyphen/>
        <w:t>e tonnes.</w:t>
      </w:r>
    </w:p>
    <w:p w14:paraId="7F23CB5C" w14:textId="77777777" w:rsidR="00872C03" w:rsidRPr="00883399" w:rsidRDefault="00872C03" w:rsidP="00872C03">
      <w:pPr>
        <w:pStyle w:val="Definition0"/>
        <w:rPr>
          <w:sz w:val="24"/>
        </w:rPr>
      </w:pPr>
      <w:r w:rsidRPr="00883399">
        <w:rPr>
          <w:b/>
          <w:i/>
          <w:sz w:val="24"/>
        </w:rPr>
        <w:t xml:space="preserve">γ </w:t>
      </w:r>
      <w:r w:rsidRPr="00883399">
        <w:rPr>
          <w:sz w:val="24"/>
        </w:rPr>
        <w:t>is the factor 6.784 × 10</w:t>
      </w:r>
      <w:r w:rsidRPr="00883399">
        <w:rPr>
          <w:sz w:val="24"/>
          <w:vertAlign w:val="superscript"/>
        </w:rPr>
        <w:noBreakHyphen/>
        <w:t xml:space="preserve">4 </w:t>
      </w:r>
      <w:r w:rsidRPr="00883399">
        <w:rPr>
          <w:sz w:val="24"/>
        </w:rPr>
        <w:t>× 25 converting cubic metres of methane at standard conditions to CO</w:t>
      </w:r>
      <w:r w:rsidRPr="00883399">
        <w:rPr>
          <w:sz w:val="24"/>
          <w:vertAlign w:val="subscript"/>
        </w:rPr>
        <w:t>2</w:t>
      </w:r>
      <w:r w:rsidRPr="00883399">
        <w:rPr>
          <w:sz w:val="24"/>
        </w:rPr>
        <w:noBreakHyphen/>
        <w:t>e tonnes.</w:t>
      </w:r>
    </w:p>
    <w:p w14:paraId="1B3D8CBF" w14:textId="77777777" w:rsidR="00872C03" w:rsidRPr="00883399" w:rsidRDefault="00872C03" w:rsidP="00872C03">
      <w:pPr>
        <w:pStyle w:val="Definition0"/>
        <w:rPr>
          <w:sz w:val="24"/>
        </w:rPr>
      </w:pPr>
      <w:r w:rsidRPr="00883399">
        <w:rPr>
          <w:b/>
          <w:i/>
          <w:sz w:val="24"/>
        </w:rPr>
        <w:t>Q</w:t>
      </w:r>
      <w:r w:rsidRPr="00883399">
        <w:rPr>
          <w:b/>
          <w:i/>
          <w:sz w:val="24"/>
          <w:vertAlign w:val="subscript"/>
        </w:rPr>
        <w:t>cap</w:t>
      </w:r>
      <w:r w:rsidRPr="00883399">
        <w:rPr>
          <w:b/>
          <w:i/>
          <w:sz w:val="24"/>
        </w:rPr>
        <w:t xml:space="preserve"> </w:t>
      </w:r>
      <w:r w:rsidRPr="00883399">
        <w:rPr>
          <w:sz w:val="24"/>
        </w:rPr>
        <w:t>is the quantity of methane in landfill gas captured for combustion from the landfill during the year and measured in cubic metres in accordance with Division 2.3.6.</w:t>
      </w:r>
    </w:p>
    <w:p w14:paraId="234D4CD6" w14:textId="77777777" w:rsidR="00872C03" w:rsidRPr="00883399" w:rsidRDefault="00872C03" w:rsidP="00872C03">
      <w:pPr>
        <w:pStyle w:val="Definition0"/>
        <w:rPr>
          <w:sz w:val="24"/>
        </w:rPr>
      </w:pPr>
      <w:r w:rsidRPr="00883399">
        <w:rPr>
          <w:b/>
          <w:i/>
          <w:sz w:val="24"/>
        </w:rPr>
        <w:t>Q</w:t>
      </w:r>
      <w:r w:rsidRPr="00883399">
        <w:rPr>
          <w:b/>
          <w:i/>
          <w:sz w:val="24"/>
          <w:vertAlign w:val="subscript"/>
        </w:rPr>
        <w:t xml:space="preserve">flared </w:t>
      </w:r>
      <w:r w:rsidRPr="00883399">
        <w:rPr>
          <w:sz w:val="24"/>
        </w:rPr>
        <w:t>is the quantity of methane in landfill gas flared from the landfill during the year and measured in cubic metres in accordance with Division 2.3.6.</w:t>
      </w:r>
    </w:p>
    <w:p w14:paraId="67897239" w14:textId="77777777" w:rsidR="00872C03" w:rsidRPr="00883399" w:rsidRDefault="00872C03" w:rsidP="00872C03">
      <w:pPr>
        <w:pStyle w:val="Definition0"/>
        <w:rPr>
          <w:sz w:val="24"/>
        </w:rPr>
      </w:pPr>
      <w:r w:rsidRPr="00883399">
        <w:rPr>
          <w:b/>
          <w:i/>
          <w:sz w:val="24"/>
        </w:rPr>
        <w:t>Q</w:t>
      </w:r>
      <w:r w:rsidRPr="00883399">
        <w:rPr>
          <w:b/>
          <w:i/>
          <w:sz w:val="24"/>
          <w:vertAlign w:val="subscript"/>
        </w:rPr>
        <w:t>tr</w:t>
      </w:r>
      <w:r w:rsidRPr="00883399">
        <w:rPr>
          <w:b/>
          <w:i/>
          <w:sz w:val="24"/>
        </w:rPr>
        <w:t xml:space="preserve"> </w:t>
      </w:r>
      <w:r w:rsidRPr="00883399">
        <w:rPr>
          <w:sz w:val="24"/>
        </w:rPr>
        <w:t>is the quantity of methane in landfill gas transferred out of the landfill during the year and measured in cubic metres in accordance with Division 2.3.6.</w:t>
      </w:r>
    </w:p>
    <w:p w14:paraId="1EEFF5A9" w14:textId="77777777" w:rsidR="00872C03" w:rsidRPr="00883399" w:rsidRDefault="00872C03" w:rsidP="00872C03">
      <w:pPr>
        <w:pStyle w:val="Definition0"/>
        <w:rPr>
          <w:sz w:val="24"/>
        </w:rPr>
      </w:pPr>
      <w:r w:rsidRPr="00883399">
        <w:rPr>
          <w:b/>
          <w:i/>
          <w:sz w:val="24"/>
        </w:rPr>
        <w:t xml:space="preserve">OF </w:t>
      </w:r>
      <w:r w:rsidRPr="00883399">
        <w:rPr>
          <w:sz w:val="24"/>
        </w:rPr>
        <w:t>is the oxidation factor (0.1) for near surface methane in the landfill.</w:t>
      </w:r>
    </w:p>
    <w:p w14:paraId="76B01F05" w14:textId="77777777" w:rsidR="00872C03" w:rsidRPr="00883399" w:rsidRDefault="00872C03" w:rsidP="00872C03">
      <w:pPr>
        <w:pStyle w:val="subsection"/>
        <w:rPr>
          <w:sz w:val="24"/>
        </w:rPr>
      </w:pPr>
      <w:r w:rsidRPr="00883399">
        <w:rPr>
          <w:sz w:val="24"/>
        </w:rPr>
        <w:tab/>
        <w:t>(2)</w:t>
      </w:r>
      <w:r w:rsidRPr="00883399">
        <w:rPr>
          <w:sz w:val="24"/>
        </w:rPr>
        <w:tab/>
        <w:t>For subsection (1), if:</w:t>
      </w:r>
    </w:p>
    <w:p w14:paraId="5DA2FFB8" w14:textId="5EFC2786"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416299EB" wp14:editId="7EB7B0C6">
            <wp:extent cx="1484630" cy="487045"/>
            <wp:effectExtent l="1905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46"/>
                    <a:srcRect/>
                    <a:stretch>
                      <a:fillRect/>
                    </a:stretch>
                  </pic:blipFill>
                  <pic:spPr bwMode="auto">
                    <a:xfrm>
                      <a:off x="0" y="0"/>
                      <a:ext cx="1484630" cy="487045"/>
                    </a:xfrm>
                    <a:prstGeom prst="rect">
                      <a:avLst/>
                    </a:prstGeom>
                    <a:noFill/>
                    <a:ln w="9525">
                      <a:noFill/>
                      <a:miter lim="800000"/>
                      <a:headEnd/>
                      <a:tailEnd/>
                    </a:ln>
                  </pic:spPr>
                </pic:pic>
              </a:graphicData>
            </a:graphic>
          </wp:inline>
        </w:drawing>
      </w:r>
    </w:p>
    <w:p w14:paraId="51392E41" w14:textId="77777777" w:rsidR="00872C03" w:rsidRPr="00883399" w:rsidRDefault="00872C03" w:rsidP="00872C03">
      <w:pPr>
        <w:pStyle w:val="subsection2"/>
        <w:rPr>
          <w:sz w:val="24"/>
        </w:rPr>
      </w:pPr>
      <w:r w:rsidRPr="00883399">
        <w:rPr>
          <w:sz w:val="24"/>
        </w:rPr>
        <w:t>is less than or equal to 0.75, then:</w:t>
      </w:r>
    </w:p>
    <w:p w14:paraId="19B0497C" w14:textId="066A0C18" w:rsidR="00872C03" w:rsidRPr="00883399" w:rsidRDefault="00872C03" w:rsidP="00872C03">
      <w:pPr>
        <w:pStyle w:val="subsection2"/>
        <w:spacing w:before="120" w:after="120"/>
        <w:rPr>
          <w:sz w:val="24"/>
        </w:rPr>
      </w:pPr>
      <w:r w:rsidRPr="00883399">
        <w:rPr>
          <w:noProof/>
          <w:sz w:val="24"/>
        </w:rPr>
        <w:drawing>
          <wp:inline distT="0" distB="0" distL="0" distR="0" wp14:anchorId="6805850D" wp14:editId="36CE3DEE">
            <wp:extent cx="997585" cy="249555"/>
            <wp:effectExtent l="1905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47"/>
                    <a:srcRect/>
                    <a:stretch>
                      <a:fillRect/>
                    </a:stretch>
                  </pic:blipFill>
                  <pic:spPr bwMode="auto">
                    <a:xfrm>
                      <a:off x="0" y="0"/>
                      <a:ext cx="997585" cy="249555"/>
                    </a:xfrm>
                    <a:prstGeom prst="rect">
                      <a:avLst/>
                    </a:prstGeom>
                    <a:noFill/>
                    <a:ln w="9525">
                      <a:noFill/>
                      <a:miter lim="800000"/>
                      <a:headEnd/>
                      <a:tailEnd/>
                    </a:ln>
                  </pic:spPr>
                </pic:pic>
              </a:graphicData>
            </a:graphic>
          </wp:inline>
        </w:drawing>
      </w:r>
    </w:p>
    <w:p w14:paraId="1AFFD3AB" w14:textId="77777777" w:rsidR="00872C03" w:rsidRPr="00883399" w:rsidRDefault="00872C03" w:rsidP="00872C03">
      <w:pPr>
        <w:pStyle w:val="subsection2"/>
        <w:rPr>
          <w:sz w:val="24"/>
        </w:rPr>
      </w:pPr>
      <w:r w:rsidRPr="00883399">
        <w:rPr>
          <w:sz w:val="24"/>
        </w:rPr>
        <w:t>where:</w:t>
      </w:r>
    </w:p>
    <w:p w14:paraId="636814BF" w14:textId="77777777" w:rsidR="00872C03" w:rsidRPr="00883399" w:rsidRDefault="00872C03" w:rsidP="00872C03">
      <w:pPr>
        <w:pStyle w:val="Definition0"/>
        <w:rPr>
          <w:sz w:val="24"/>
        </w:rPr>
      </w:pPr>
      <w:r w:rsidRPr="00883399">
        <w:rPr>
          <w:b/>
          <w:i/>
          <w:sz w:val="24"/>
        </w:rPr>
        <w:lastRenderedPageBreak/>
        <w:t>CH</w:t>
      </w:r>
      <w:r w:rsidRPr="00883399">
        <w:rPr>
          <w:b/>
          <w:i/>
          <w:sz w:val="24"/>
          <w:vertAlign w:val="subscript"/>
        </w:rPr>
        <w:t>4gen</w:t>
      </w:r>
      <w:r w:rsidRPr="00883399">
        <w:rPr>
          <w:b/>
          <w:i/>
          <w:sz w:val="24"/>
        </w:rPr>
        <w:t xml:space="preserve"> </w:t>
      </w:r>
      <w:r w:rsidRPr="00883399">
        <w:rPr>
          <w:sz w:val="24"/>
        </w:rPr>
        <w:t>is the quantity of methane in landfill gas generation released from the landfill during the year estimated in accordance with subsection (5) and measured in CO</w:t>
      </w:r>
      <w:r w:rsidRPr="00883399">
        <w:rPr>
          <w:sz w:val="24"/>
          <w:vertAlign w:val="subscript"/>
        </w:rPr>
        <w:t>2</w:t>
      </w:r>
      <w:r w:rsidRPr="00883399">
        <w:rPr>
          <w:sz w:val="24"/>
        </w:rPr>
        <w:noBreakHyphen/>
        <w:t>e tonnes.</w:t>
      </w:r>
    </w:p>
    <w:p w14:paraId="2AF0C41F" w14:textId="77777777" w:rsidR="00872C03" w:rsidRPr="00883399" w:rsidRDefault="00872C03" w:rsidP="00872C03">
      <w:pPr>
        <w:pStyle w:val="subsection"/>
        <w:rPr>
          <w:sz w:val="24"/>
        </w:rPr>
      </w:pPr>
      <w:r w:rsidRPr="00883399">
        <w:rPr>
          <w:sz w:val="24"/>
        </w:rPr>
        <w:tab/>
        <w:t>(3)</w:t>
      </w:r>
      <w:r w:rsidRPr="00883399">
        <w:rPr>
          <w:sz w:val="24"/>
        </w:rPr>
        <w:tab/>
        <w:t>For subsection (1), if:</w:t>
      </w:r>
    </w:p>
    <w:p w14:paraId="71A09FD7" w14:textId="6B06DD80"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212AB71E" wp14:editId="7EBFC3B3">
            <wp:extent cx="1484630" cy="487045"/>
            <wp:effectExtent l="1905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48"/>
                    <a:srcRect/>
                    <a:stretch>
                      <a:fillRect/>
                    </a:stretch>
                  </pic:blipFill>
                  <pic:spPr bwMode="auto">
                    <a:xfrm>
                      <a:off x="0" y="0"/>
                      <a:ext cx="1484630" cy="487045"/>
                    </a:xfrm>
                    <a:prstGeom prst="rect">
                      <a:avLst/>
                    </a:prstGeom>
                    <a:noFill/>
                    <a:ln w="9525">
                      <a:noFill/>
                      <a:miter lim="800000"/>
                      <a:headEnd/>
                      <a:tailEnd/>
                    </a:ln>
                  </pic:spPr>
                </pic:pic>
              </a:graphicData>
            </a:graphic>
          </wp:inline>
        </w:drawing>
      </w:r>
    </w:p>
    <w:p w14:paraId="3A20FF5B" w14:textId="77777777" w:rsidR="00872C03" w:rsidRPr="00883399" w:rsidRDefault="00872C03" w:rsidP="00872C03">
      <w:pPr>
        <w:pStyle w:val="subsection2"/>
        <w:rPr>
          <w:sz w:val="24"/>
        </w:rPr>
      </w:pPr>
      <w:r w:rsidRPr="00883399">
        <w:rPr>
          <w:sz w:val="24"/>
        </w:rPr>
        <w:t>is greater than 0.75, then:</w:t>
      </w:r>
    </w:p>
    <w:p w14:paraId="1EF11077" w14:textId="366DB01F" w:rsidR="00872C03" w:rsidRPr="00883399" w:rsidRDefault="00872C03" w:rsidP="00872C03">
      <w:pPr>
        <w:pStyle w:val="subsection2"/>
        <w:spacing w:before="120" w:after="120"/>
        <w:rPr>
          <w:sz w:val="24"/>
        </w:rPr>
      </w:pPr>
      <w:r w:rsidRPr="00883399">
        <w:rPr>
          <w:noProof/>
          <w:sz w:val="24"/>
        </w:rPr>
        <w:drawing>
          <wp:inline distT="0" distB="0" distL="0" distR="0" wp14:anchorId="1DC3A703" wp14:editId="75EAD0AA">
            <wp:extent cx="2624455" cy="487045"/>
            <wp:effectExtent l="0" t="0" r="444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49"/>
                    <a:srcRect/>
                    <a:stretch>
                      <a:fillRect/>
                    </a:stretch>
                  </pic:blipFill>
                  <pic:spPr bwMode="auto">
                    <a:xfrm>
                      <a:off x="0" y="0"/>
                      <a:ext cx="2624455" cy="487045"/>
                    </a:xfrm>
                    <a:prstGeom prst="rect">
                      <a:avLst/>
                    </a:prstGeom>
                    <a:noFill/>
                    <a:ln w="9525">
                      <a:noFill/>
                      <a:miter lim="800000"/>
                      <a:headEnd/>
                      <a:tailEnd/>
                    </a:ln>
                  </pic:spPr>
                </pic:pic>
              </a:graphicData>
            </a:graphic>
          </wp:inline>
        </w:drawing>
      </w:r>
    </w:p>
    <w:p w14:paraId="211166DF" w14:textId="77777777" w:rsidR="00872C03" w:rsidRPr="00883399" w:rsidRDefault="00872C03" w:rsidP="00872C03">
      <w:pPr>
        <w:pStyle w:val="subsection2"/>
        <w:rPr>
          <w:sz w:val="24"/>
        </w:rPr>
      </w:pPr>
      <w:r w:rsidRPr="00883399">
        <w:rPr>
          <w:sz w:val="24"/>
        </w:rPr>
        <w:t>where:</w:t>
      </w:r>
    </w:p>
    <w:p w14:paraId="33A430FC" w14:textId="77777777" w:rsidR="00872C03" w:rsidRPr="00883399" w:rsidRDefault="00872C03" w:rsidP="00872C03">
      <w:pPr>
        <w:pStyle w:val="Definition0"/>
        <w:rPr>
          <w:sz w:val="24"/>
        </w:rPr>
      </w:pPr>
      <w:r w:rsidRPr="00883399">
        <w:rPr>
          <w:b/>
          <w:i/>
          <w:sz w:val="24"/>
        </w:rPr>
        <w:t xml:space="preserve">γ </w:t>
      </w:r>
      <w:r w:rsidRPr="00883399">
        <w:rPr>
          <w:sz w:val="24"/>
        </w:rPr>
        <w:t>is the factor 6.784 x 10</w:t>
      </w:r>
      <w:r w:rsidRPr="00883399">
        <w:rPr>
          <w:sz w:val="24"/>
          <w:vertAlign w:val="superscript"/>
        </w:rPr>
        <w:noBreakHyphen/>
        <w:t xml:space="preserve">4 </w:t>
      </w:r>
      <w:r w:rsidRPr="00883399">
        <w:rPr>
          <w:sz w:val="24"/>
        </w:rPr>
        <w:t>x 25 converting cubic metres of methane at standard conditions to CO</w:t>
      </w:r>
      <w:r w:rsidRPr="00883399">
        <w:rPr>
          <w:sz w:val="24"/>
          <w:vertAlign w:val="subscript"/>
        </w:rPr>
        <w:t>2</w:t>
      </w:r>
      <w:r w:rsidRPr="00883399">
        <w:rPr>
          <w:sz w:val="24"/>
        </w:rPr>
        <w:noBreakHyphen/>
        <w:t>e tonnes.</w:t>
      </w:r>
    </w:p>
    <w:p w14:paraId="3CF80153" w14:textId="77777777" w:rsidR="00872C03" w:rsidRPr="00883399" w:rsidRDefault="00872C03" w:rsidP="00872C03">
      <w:pPr>
        <w:pStyle w:val="Definition0"/>
        <w:rPr>
          <w:sz w:val="24"/>
        </w:rPr>
      </w:pPr>
      <w:r w:rsidRPr="00883399">
        <w:rPr>
          <w:b/>
          <w:i/>
          <w:sz w:val="24"/>
        </w:rPr>
        <w:t>Q</w:t>
      </w:r>
      <w:r w:rsidRPr="00883399">
        <w:rPr>
          <w:b/>
          <w:i/>
          <w:sz w:val="24"/>
          <w:vertAlign w:val="subscript"/>
        </w:rPr>
        <w:t>cap</w:t>
      </w:r>
      <w:r w:rsidRPr="00883399">
        <w:rPr>
          <w:b/>
          <w:i/>
          <w:sz w:val="24"/>
        </w:rPr>
        <w:t xml:space="preserve"> </w:t>
      </w:r>
      <w:r w:rsidRPr="00883399">
        <w:rPr>
          <w:sz w:val="24"/>
        </w:rPr>
        <w:t>is the quantity of methane in landfill gas captured for combustion from the landfill during the year and measured in cubic metres.</w:t>
      </w:r>
    </w:p>
    <w:p w14:paraId="11579576" w14:textId="77777777" w:rsidR="00872C03" w:rsidRPr="00883399" w:rsidRDefault="00872C03" w:rsidP="00872C03">
      <w:pPr>
        <w:pStyle w:val="subsection"/>
        <w:rPr>
          <w:sz w:val="24"/>
        </w:rPr>
      </w:pPr>
      <w:r w:rsidRPr="00883399">
        <w:rPr>
          <w:sz w:val="24"/>
        </w:rPr>
        <w:tab/>
        <w:t>(4)</w:t>
      </w:r>
      <w:r w:rsidRPr="00883399">
        <w:rPr>
          <w:sz w:val="24"/>
        </w:rPr>
        <w:tab/>
        <w:t xml:space="preserve">For subsections (1) and (3), </w:t>
      </w:r>
      <w:r w:rsidRPr="00883399">
        <w:rPr>
          <w:b/>
          <w:i/>
          <w:sz w:val="24"/>
        </w:rPr>
        <w:t>Q</w:t>
      </w:r>
      <w:r w:rsidRPr="00883399">
        <w:rPr>
          <w:b/>
          <w:i/>
          <w:sz w:val="24"/>
          <w:vertAlign w:val="subscript"/>
        </w:rPr>
        <w:t>cap</w:t>
      </w:r>
      <w:r w:rsidRPr="00883399">
        <w:rPr>
          <w:sz w:val="24"/>
        </w:rPr>
        <w:t xml:space="preserve"> is to be calculated in accordance with Division 2.3.6.</w:t>
      </w:r>
    </w:p>
    <w:p w14:paraId="680D8E35" w14:textId="77777777" w:rsidR="00872C03" w:rsidRPr="00883399" w:rsidRDefault="00872C03" w:rsidP="00872C03">
      <w:pPr>
        <w:pStyle w:val="subsection"/>
        <w:rPr>
          <w:sz w:val="24"/>
        </w:rPr>
      </w:pPr>
      <w:r w:rsidRPr="00883399">
        <w:rPr>
          <w:sz w:val="24"/>
        </w:rPr>
        <w:tab/>
        <w:t>(5)</w:t>
      </w:r>
      <w:r w:rsidRPr="00883399">
        <w:rPr>
          <w:sz w:val="24"/>
        </w:rPr>
        <w:tab/>
        <w:t>For subsection (2), CH</w:t>
      </w:r>
      <w:r w:rsidRPr="00883399">
        <w:rPr>
          <w:sz w:val="24"/>
          <w:vertAlign w:val="subscript"/>
        </w:rPr>
        <w:t xml:space="preserve">4gen </w:t>
      </w:r>
      <w:r w:rsidRPr="00883399">
        <w:rPr>
          <w:sz w:val="24"/>
        </w:rPr>
        <w:t>must be calculated using the estimates mentioned in section 5.4A and the equations mentioned in sections 5.4B, 5.4C and 5.4D.</w:t>
      </w:r>
    </w:p>
    <w:p w14:paraId="6B1565E3" w14:textId="2794658F" w:rsidR="00872C03" w:rsidRPr="00883399" w:rsidRDefault="00872C03" w:rsidP="00872C03">
      <w:pPr>
        <w:pStyle w:val="ActHead5"/>
        <w:rPr>
          <w:sz w:val="28"/>
        </w:rPr>
      </w:pPr>
      <w:bookmarkStart w:id="1081" w:name="_Toc423517136"/>
      <w:bookmarkStart w:id="1082" w:name="_Toc495653067"/>
      <w:r w:rsidRPr="00883399">
        <w:rPr>
          <w:rStyle w:val="CharSectno"/>
          <w:sz w:val="28"/>
        </w:rPr>
        <w:t>5.4A</w:t>
      </w:r>
      <w:r w:rsidRPr="00883399">
        <w:rPr>
          <w:sz w:val="28"/>
        </w:rPr>
        <w:t xml:space="preserve">  Estimates for calculating CH</w:t>
      </w:r>
      <w:r w:rsidRPr="00883399">
        <w:rPr>
          <w:sz w:val="28"/>
          <w:vertAlign w:val="subscript"/>
        </w:rPr>
        <w:t>4gen</w:t>
      </w:r>
      <w:bookmarkEnd w:id="1081"/>
      <w:bookmarkEnd w:id="1082"/>
    </w:p>
    <w:p w14:paraId="2EF29F1D" w14:textId="77777777" w:rsidR="00872C03" w:rsidRPr="00883399" w:rsidRDefault="00872C03" w:rsidP="00872C03">
      <w:pPr>
        <w:pStyle w:val="subsection"/>
        <w:rPr>
          <w:sz w:val="24"/>
        </w:rPr>
      </w:pPr>
      <w:r w:rsidRPr="00883399">
        <w:rPr>
          <w:b/>
          <w:sz w:val="24"/>
        </w:rPr>
        <w:tab/>
      </w:r>
      <w:r w:rsidRPr="00883399">
        <w:rPr>
          <w:b/>
          <w:sz w:val="24"/>
        </w:rPr>
        <w:tab/>
      </w:r>
      <w:r w:rsidRPr="00883399">
        <w:rPr>
          <w:sz w:val="24"/>
        </w:rPr>
        <w:t>For subsection 5.4(5), the estimates for calculating CH</w:t>
      </w:r>
      <w:r w:rsidRPr="00883399">
        <w:rPr>
          <w:sz w:val="24"/>
          <w:vertAlign w:val="subscript"/>
        </w:rPr>
        <w:t>4gen</w:t>
      </w:r>
      <w:r w:rsidRPr="00883399">
        <w:rPr>
          <w:sz w:val="24"/>
        </w:rPr>
        <w:t xml:space="preserve"> are the following:</w:t>
      </w:r>
    </w:p>
    <w:p w14:paraId="2CCEF9DF" w14:textId="77777777" w:rsidR="00872C03" w:rsidRPr="00883399" w:rsidRDefault="00872C03" w:rsidP="00872C03">
      <w:pPr>
        <w:pStyle w:val="paragraph"/>
        <w:rPr>
          <w:sz w:val="24"/>
        </w:rPr>
      </w:pPr>
      <w:r w:rsidRPr="00883399">
        <w:rPr>
          <w:sz w:val="24"/>
        </w:rPr>
        <w:tab/>
        <w:t>(a)</w:t>
      </w:r>
      <w:r w:rsidRPr="00883399">
        <w:rPr>
          <w:sz w:val="24"/>
        </w:rPr>
        <w:tab/>
        <w:t>the tonnage of total solid waste disposed of in the landfill during the year estimated in accordance with section 5.5;</w:t>
      </w:r>
    </w:p>
    <w:p w14:paraId="1B54ADCA" w14:textId="77777777" w:rsidR="00872C03" w:rsidRPr="00883399" w:rsidRDefault="00872C03" w:rsidP="00872C03">
      <w:pPr>
        <w:pStyle w:val="paragraph"/>
        <w:rPr>
          <w:sz w:val="24"/>
        </w:rPr>
      </w:pPr>
      <w:r w:rsidRPr="00883399">
        <w:rPr>
          <w:sz w:val="24"/>
        </w:rPr>
        <w:tab/>
        <w:t>(b)</w:t>
      </w:r>
      <w:r w:rsidRPr="00883399">
        <w:rPr>
          <w:sz w:val="24"/>
        </w:rPr>
        <w:tab/>
        <w:t>the composition of the solid waste disposed of in the landfill during the year estimated in accordance with section 5.9;</w:t>
      </w:r>
    </w:p>
    <w:p w14:paraId="1A9BE6B1" w14:textId="77777777" w:rsidR="00872C03" w:rsidRPr="00883399" w:rsidRDefault="00872C03" w:rsidP="00872C03">
      <w:pPr>
        <w:pStyle w:val="paragraph"/>
        <w:rPr>
          <w:sz w:val="24"/>
        </w:rPr>
      </w:pPr>
      <w:r w:rsidRPr="00883399">
        <w:rPr>
          <w:sz w:val="24"/>
        </w:rPr>
        <w:tab/>
        <w:t>(c)</w:t>
      </w:r>
      <w:r w:rsidRPr="00883399">
        <w:rPr>
          <w:sz w:val="24"/>
        </w:rPr>
        <w:tab/>
        <w:t>the degradable organic carbon content of the solid waste disposed of in the landfill by waste type estimated in accordance with section 5.12;</w:t>
      </w:r>
    </w:p>
    <w:p w14:paraId="69EDD2A4" w14:textId="77777777" w:rsidR="00872C03" w:rsidRPr="00883399" w:rsidRDefault="00872C03" w:rsidP="00872C03">
      <w:pPr>
        <w:pStyle w:val="paragraph"/>
        <w:rPr>
          <w:sz w:val="24"/>
        </w:rPr>
      </w:pPr>
      <w:r w:rsidRPr="00883399">
        <w:rPr>
          <w:sz w:val="24"/>
        </w:rPr>
        <w:tab/>
        <w:t>(d)</w:t>
      </w:r>
      <w:r w:rsidRPr="00883399">
        <w:rPr>
          <w:sz w:val="24"/>
        </w:rPr>
        <w:tab/>
        <w:t>the opening stock of degradable organic carbon in the solid waste at the landfill at the start of the first reporting period for the landfill estimated in accordance with section 5.13;</w:t>
      </w:r>
    </w:p>
    <w:p w14:paraId="63B6BC36" w14:textId="77777777" w:rsidR="00872C03" w:rsidRPr="00883399" w:rsidRDefault="00872C03" w:rsidP="00872C03">
      <w:pPr>
        <w:pStyle w:val="paragraph"/>
        <w:rPr>
          <w:sz w:val="24"/>
        </w:rPr>
      </w:pPr>
      <w:r w:rsidRPr="00883399">
        <w:rPr>
          <w:sz w:val="24"/>
        </w:rPr>
        <w:tab/>
        <w:t>(e)</w:t>
      </w:r>
      <w:r w:rsidRPr="00883399">
        <w:rPr>
          <w:sz w:val="24"/>
        </w:rPr>
        <w:tab/>
        <w:t>methane generation constants (</w:t>
      </w:r>
      <w:r w:rsidRPr="00883399">
        <w:rPr>
          <w:b/>
          <w:i/>
          <w:sz w:val="24"/>
        </w:rPr>
        <w:t>k values</w:t>
      </w:r>
      <w:r w:rsidRPr="00883399">
        <w:rPr>
          <w:sz w:val="24"/>
        </w:rPr>
        <w:t>) for the solid waste at the landfill estimated in accordance with section 5.14;</w:t>
      </w:r>
    </w:p>
    <w:p w14:paraId="745F4D43" w14:textId="77777777" w:rsidR="00872C03" w:rsidRPr="00883399" w:rsidRDefault="00872C03" w:rsidP="00872C03">
      <w:pPr>
        <w:pStyle w:val="paragraph"/>
        <w:rPr>
          <w:sz w:val="24"/>
        </w:rPr>
      </w:pPr>
      <w:r w:rsidRPr="00883399">
        <w:rPr>
          <w:sz w:val="24"/>
        </w:rPr>
        <w:lastRenderedPageBreak/>
        <w:tab/>
        <w:t>(f)</w:t>
      </w:r>
      <w:r w:rsidRPr="00883399">
        <w:rPr>
          <w:sz w:val="24"/>
        </w:rPr>
        <w:tab/>
        <w:t>the fraction of degradable organic carbon dissimilated (</w:t>
      </w:r>
      <w:r w:rsidRPr="00883399">
        <w:rPr>
          <w:b/>
          <w:i/>
          <w:sz w:val="24"/>
        </w:rPr>
        <w:t>DOC</w:t>
      </w:r>
      <w:r w:rsidRPr="00883399">
        <w:rPr>
          <w:b/>
          <w:i/>
          <w:sz w:val="24"/>
          <w:vertAlign w:val="subscript"/>
        </w:rPr>
        <w:t>F</w:t>
      </w:r>
      <w:r w:rsidRPr="00883399">
        <w:rPr>
          <w:sz w:val="24"/>
        </w:rPr>
        <w:t>) estimated in accordance with section 5.14A;</w:t>
      </w:r>
    </w:p>
    <w:p w14:paraId="072407E4" w14:textId="77777777" w:rsidR="00872C03" w:rsidRPr="00883399" w:rsidRDefault="00872C03" w:rsidP="00872C03">
      <w:pPr>
        <w:pStyle w:val="paragraph"/>
        <w:rPr>
          <w:sz w:val="24"/>
        </w:rPr>
      </w:pPr>
      <w:r w:rsidRPr="00883399">
        <w:rPr>
          <w:sz w:val="24"/>
        </w:rPr>
        <w:tab/>
        <w:t>(g)</w:t>
      </w:r>
      <w:r w:rsidRPr="00883399">
        <w:rPr>
          <w:sz w:val="24"/>
        </w:rPr>
        <w:tab/>
        <w:t>the methane correction factor for aerobic decomposition in the first year estimated in accordance with section 5.14B;</w:t>
      </w:r>
    </w:p>
    <w:p w14:paraId="0C4F75BF" w14:textId="77777777" w:rsidR="00872C03" w:rsidRPr="00883399" w:rsidRDefault="00872C03" w:rsidP="00872C03">
      <w:pPr>
        <w:pStyle w:val="paragraph"/>
        <w:rPr>
          <w:sz w:val="24"/>
        </w:rPr>
      </w:pPr>
      <w:r w:rsidRPr="00883399">
        <w:rPr>
          <w:sz w:val="24"/>
        </w:rPr>
        <w:tab/>
        <w:t>(h)</w:t>
      </w:r>
      <w:r w:rsidRPr="00883399">
        <w:rPr>
          <w:sz w:val="24"/>
        </w:rPr>
        <w:tab/>
        <w:t>the fraction by volume of methane generated in landfill gas estimated in accordance with section 5.14C;</w:t>
      </w:r>
    </w:p>
    <w:p w14:paraId="5F64D18A" w14:textId="77777777" w:rsidR="00872C03" w:rsidRPr="00883399" w:rsidRDefault="00872C03" w:rsidP="00872C03">
      <w:pPr>
        <w:pStyle w:val="paragraph"/>
        <w:rPr>
          <w:sz w:val="24"/>
        </w:rPr>
      </w:pPr>
      <w:r w:rsidRPr="00883399">
        <w:rPr>
          <w:sz w:val="24"/>
        </w:rPr>
        <w:tab/>
        <w:t>(i)</w:t>
      </w:r>
      <w:r w:rsidRPr="00883399">
        <w:rPr>
          <w:sz w:val="24"/>
        </w:rPr>
        <w:tab/>
        <w:t>the number of months that have ended before methane generation at the landfill commences estimated in accordance with section 5.14D.</w:t>
      </w:r>
    </w:p>
    <w:p w14:paraId="39C77AF8" w14:textId="04547828" w:rsidR="00872C03" w:rsidRPr="00883399" w:rsidRDefault="00872C03" w:rsidP="00872C03">
      <w:pPr>
        <w:pStyle w:val="ActHead5"/>
        <w:rPr>
          <w:sz w:val="28"/>
        </w:rPr>
      </w:pPr>
      <w:bookmarkStart w:id="1083" w:name="_Toc423517137"/>
      <w:bookmarkStart w:id="1084" w:name="_Toc495653068"/>
      <w:r w:rsidRPr="00883399">
        <w:rPr>
          <w:rStyle w:val="CharSectno"/>
          <w:sz w:val="28"/>
        </w:rPr>
        <w:t>5.4B</w:t>
      </w:r>
      <w:r w:rsidRPr="00883399">
        <w:rPr>
          <w:sz w:val="28"/>
        </w:rPr>
        <w:t xml:space="preserve">  Equation—change in quantity of particular opening stock at landfill for calculating </w:t>
      </w:r>
      <w:r w:rsidRPr="00883399">
        <w:rPr>
          <w:szCs w:val="22"/>
        </w:rPr>
        <w:t>CH</w:t>
      </w:r>
      <w:r w:rsidRPr="00883399">
        <w:rPr>
          <w:rStyle w:val="charSubscript"/>
          <w:sz w:val="24"/>
          <w:szCs w:val="22"/>
        </w:rPr>
        <w:t>4gen</w:t>
      </w:r>
      <w:bookmarkEnd w:id="1083"/>
      <w:bookmarkEnd w:id="1084"/>
    </w:p>
    <w:p w14:paraId="34C53BC9" w14:textId="77777777" w:rsidR="00872C03" w:rsidRPr="00883399" w:rsidRDefault="00872C03" w:rsidP="00872C03">
      <w:pPr>
        <w:pStyle w:val="subsection"/>
        <w:rPr>
          <w:sz w:val="24"/>
        </w:rPr>
      </w:pPr>
      <w:r w:rsidRPr="00883399">
        <w:rPr>
          <w:sz w:val="24"/>
        </w:rPr>
        <w:tab/>
        <w:t>(1)</w:t>
      </w:r>
      <w:r w:rsidRPr="00883399">
        <w:rPr>
          <w:sz w:val="24"/>
        </w:rPr>
        <w:tab/>
        <w:t xml:space="preserve">For subsection 5.4(5), this section applies if the result of the first equation in subsection 5.4(3)is, for the reporting year for which the result is calculated, (the </w:t>
      </w:r>
      <w:r w:rsidRPr="00883399">
        <w:rPr>
          <w:b/>
          <w:i/>
          <w:sz w:val="24"/>
        </w:rPr>
        <w:t>current reporting year</w:t>
      </w:r>
      <w:r w:rsidRPr="00883399">
        <w:rPr>
          <w:sz w:val="24"/>
        </w:rPr>
        <w:t>), greater than 0.75.</w:t>
      </w:r>
    </w:p>
    <w:p w14:paraId="0D9350A2" w14:textId="77777777" w:rsidR="00872C03" w:rsidRPr="00883399" w:rsidRDefault="00872C03" w:rsidP="00872C03">
      <w:pPr>
        <w:pStyle w:val="subsection"/>
        <w:rPr>
          <w:sz w:val="24"/>
        </w:rPr>
      </w:pPr>
      <w:r w:rsidRPr="00883399">
        <w:rPr>
          <w:sz w:val="24"/>
        </w:rPr>
        <w:tab/>
        <w:t>(2)</w:t>
      </w:r>
      <w:r w:rsidRPr="00883399">
        <w:rPr>
          <w:sz w:val="24"/>
        </w:rPr>
        <w:tab/>
        <w:t xml:space="preserve">The change in the quantity of the opening stock of decomposable degradable organic carbon </w:t>
      </w:r>
      <w:r w:rsidRPr="00883399">
        <w:rPr>
          <w:spacing w:val="1"/>
          <w:sz w:val="24"/>
        </w:rPr>
        <w:t>(</w:t>
      </w:r>
      <w:r w:rsidRPr="00883399">
        <w:rPr>
          <w:b/>
          <w:i/>
          <w:sz w:val="24"/>
        </w:rPr>
        <w:t>∆</w:t>
      </w:r>
      <w:r w:rsidRPr="00883399">
        <w:rPr>
          <w:b/>
          <w:i/>
          <w:spacing w:val="1"/>
          <w:sz w:val="24"/>
        </w:rPr>
        <w:t>C</w:t>
      </w:r>
      <w:r w:rsidRPr="00883399">
        <w:rPr>
          <w:b/>
          <w:i/>
          <w:position w:val="-3"/>
          <w:sz w:val="24"/>
          <w:szCs w:val="14"/>
        </w:rPr>
        <w:t>o</w:t>
      </w:r>
      <w:r w:rsidRPr="00883399">
        <w:rPr>
          <w:b/>
          <w:i/>
          <w:spacing w:val="1"/>
          <w:position w:val="-3"/>
          <w:sz w:val="24"/>
          <w:szCs w:val="14"/>
        </w:rPr>
        <w:t>s</w:t>
      </w:r>
      <w:r w:rsidRPr="00883399">
        <w:rPr>
          <w:b/>
          <w:i/>
          <w:sz w:val="24"/>
          <w:vertAlign w:val="subscript"/>
        </w:rPr>
        <w:t>t</w:t>
      </w:r>
      <w:r w:rsidRPr="00883399">
        <w:rPr>
          <w:spacing w:val="-1"/>
          <w:sz w:val="24"/>
        </w:rPr>
        <w:t xml:space="preserve">) </w:t>
      </w:r>
      <w:r w:rsidRPr="00883399">
        <w:rPr>
          <w:sz w:val="24"/>
        </w:rPr>
        <w:t>that is:</w:t>
      </w:r>
    </w:p>
    <w:p w14:paraId="67891CAF" w14:textId="77777777" w:rsidR="00872C03" w:rsidRPr="00883399" w:rsidRDefault="00872C03" w:rsidP="00872C03">
      <w:pPr>
        <w:pStyle w:val="paragraph"/>
        <w:rPr>
          <w:sz w:val="24"/>
        </w:rPr>
      </w:pPr>
      <w:r w:rsidRPr="00883399">
        <w:rPr>
          <w:sz w:val="24"/>
        </w:rPr>
        <w:tab/>
        <w:t>(a)</w:t>
      </w:r>
      <w:r w:rsidRPr="00883399">
        <w:rPr>
          <w:sz w:val="24"/>
        </w:rPr>
        <w:tab/>
        <w:t>located in the landfill during the reporting year; and</w:t>
      </w:r>
    </w:p>
    <w:p w14:paraId="121E4A81" w14:textId="77777777" w:rsidR="00872C03" w:rsidRPr="00883399" w:rsidRDefault="00872C03" w:rsidP="00872C03">
      <w:pPr>
        <w:pStyle w:val="paragraph"/>
        <w:rPr>
          <w:sz w:val="24"/>
        </w:rPr>
      </w:pPr>
      <w:r w:rsidRPr="00883399">
        <w:rPr>
          <w:sz w:val="24"/>
        </w:rPr>
        <w:tab/>
        <w:t>(b)</w:t>
      </w:r>
      <w:r w:rsidRPr="00883399">
        <w:rPr>
          <w:sz w:val="24"/>
        </w:rPr>
        <w:tab/>
        <w:t>measured in tonnes; and</w:t>
      </w:r>
    </w:p>
    <w:p w14:paraId="2F1D040A" w14:textId="77777777" w:rsidR="00872C03" w:rsidRPr="00883399" w:rsidRDefault="00872C03" w:rsidP="00872C03">
      <w:pPr>
        <w:pStyle w:val="paragraph"/>
        <w:rPr>
          <w:sz w:val="24"/>
        </w:rPr>
      </w:pPr>
      <w:r w:rsidRPr="00883399">
        <w:rPr>
          <w:sz w:val="24"/>
        </w:rPr>
        <w:tab/>
        <w:t>(c)</w:t>
      </w:r>
      <w:r w:rsidRPr="00883399">
        <w:rPr>
          <w:sz w:val="24"/>
        </w:rPr>
        <w:tab/>
        <w:t>lost through decomposition;</w:t>
      </w:r>
    </w:p>
    <w:p w14:paraId="0730D0EC" w14:textId="77777777" w:rsidR="00872C03" w:rsidRPr="00883399" w:rsidRDefault="00872C03" w:rsidP="00872C03">
      <w:pPr>
        <w:pStyle w:val="subsection2"/>
        <w:rPr>
          <w:sz w:val="24"/>
        </w:rPr>
      </w:pPr>
      <w:r w:rsidRPr="00883399">
        <w:rPr>
          <w:sz w:val="24"/>
        </w:rPr>
        <w:t>must be calculated using the equation mentioned in subsection (3).</w:t>
      </w:r>
    </w:p>
    <w:p w14:paraId="76CBA6AD" w14:textId="77777777" w:rsidR="00872C03" w:rsidRPr="00883399" w:rsidRDefault="00872C03" w:rsidP="00872C03">
      <w:pPr>
        <w:pStyle w:val="subsection"/>
        <w:rPr>
          <w:sz w:val="24"/>
        </w:rPr>
      </w:pPr>
      <w:r w:rsidRPr="00883399">
        <w:rPr>
          <w:sz w:val="24"/>
        </w:rPr>
        <w:tab/>
        <w:t>(3)</w:t>
      </w:r>
      <w:r w:rsidRPr="00883399">
        <w:rPr>
          <w:sz w:val="24"/>
        </w:rPr>
        <w:tab/>
        <w:t>For subsection (2), the equation is:</w:t>
      </w:r>
    </w:p>
    <w:p w14:paraId="7DC63CD8" w14:textId="77777777" w:rsidR="00872C03" w:rsidRPr="00883399" w:rsidRDefault="00872C03" w:rsidP="00872C03">
      <w:pPr>
        <w:pStyle w:val="subsection2"/>
        <w:rPr>
          <w:sz w:val="24"/>
        </w:rPr>
      </w:pPr>
      <w:r w:rsidRPr="00883399">
        <w:rPr>
          <w:position w:val="-32"/>
          <w:sz w:val="24"/>
        </w:rPr>
        <w:object w:dxaOrig="2160" w:dyaOrig="780" w14:anchorId="4C53FAE6">
          <v:shape id="_x0000_i1082" type="#_x0000_t75" style="width:108.75pt;height:38.25pt" o:ole="">
            <v:imagedata r:id="rId250" o:title=""/>
          </v:shape>
          <o:OLEObject Type="Embed" ProgID="Equation.DSMT4" ShapeID="_x0000_i1082" DrawAspect="Content" ObjectID="_1594105973" r:id="rId251"/>
        </w:object>
      </w:r>
    </w:p>
    <w:p w14:paraId="3919305E" w14:textId="77777777" w:rsidR="00872C03" w:rsidRPr="00883399" w:rsidRDefault="00872C03" w:rsidP="00872C03">
      <w:pPr>
        <w:pStyle w:val="subsection2"/>
        <w:rPr>
          <w:sz w:val="24"/>
        </w:rPr>
      </w:pPr>
      <w:r w:rsidRPr="00883399">
        <w:rPr>
          <w:sz w:val="24"/>
        </w:rPr>
        <w:t>where:</w:t>
      </w:r>
    </w:p>
    <w:p w14:paraId="16615068" w14:textId="77777777" w:rsidR="00872C03" w:rsidRPr="00883399" w:rsidRDefault="00872C03" w:rsidP="00872C03">
      <w:pPr>
        <w:pStyle w:val="Definition0"/>
        <w:rPr>
          <w:sz w:val="24"/>
        </w:rPr>
      </w:pPr>
      <w:r w:rsidRPr="00883399">
        <w:rPr>
          <w:b/>
          <w:i/>
          <w:sz w:val="24"/>
        </w:rPr>
        <w:t xml:space="preserve">t </w:t>
      </w:r>
      <w:r w:rsidRPr="00883399">
        <w:rPr>
          <w:sz w:val="24"/>
        </w:rPr>
        <w:t>is the reporting year.</w:t>
      </w:r>
    </w:p>
    <w:p w14:paraId="2E56597C" w14:textId="77777777" w:rsidR="00872C03" w:rsidRPr="00883399" w:rsidRDefault="00872C03" w:rsidP="00872C03">
      <w:pPr>
        <w:pStyle w:val="Definition0"/>
        <w:rPr>
          <w:sz w:val="24"/>
        </w:rPr>
      </w:pPr>
      <w:r w:rsidRPr="00883399">
        <w:rPr>
          <w:b/>
          <w:i/>
          <w:sz w:val="24"/>
        </w:rPr>
        <w:t>CH</w:t>
      </w:r>
      <w:r w:rsidRPr="00883399">
        <w:rPr>
          <w:b/>
          <w:i/>
          <w:sz w:val="24"/>
          <w:vertAlign w:val="subscript"/>
        </w:rPr>
        <w:t>4</w:t>
      </w:r>
      <w:r w:rsidRPr="00883399">
        <w:rPr>
          <w:b/>
          <w:i/>
          <w:position w:val="6"/>
          <w:sz w:val="18"/>
        </w:rPr>
        <w:t>*</w:t>
      </w:r>
      <w:r w:rsidRPr="00883399">
        <w:rPr>
          <w:b/>
          <w:i/>
          <w:sz w:val="24"/>
        </w:rPr>
        <w:t xml:space="preserve"> </w:t>
      </w:r>
      <w:r w:rsidRPr="00883399">
        <w:rPr>
          <w:sz w:val="24"/>
        </w:rPr>
        <w:t>is the estimated quantity of methane in landfill gas generated by the landfill during the year, measured in CO</w:t>
      </w:r>
      <w:r w:rsidRPr="00883399">
        <w:rPr>
          <w:sz w:val="24"/>
          <w:vertAlign w:val="subscript"/>
        </w:rPr>
        <w:t>2</w:t>
      </w:r>
      <w:r w:rsidRPr="00883399">
        <w:rPr>
          <w:sz w:val="24"/>
        </w:rPr>
        <w:noBreakHyphen/>
        <w:t>e tonnes.</w:t>
      </w:r>
    </w:p>
    <w:p w14:paraId="41B3AA43" w14:textId="77777777" w:rsidR="00872C03" w:rsidRPr="00883399" w:rsidRDefault="00872C03" w:rsidP="00872C03">
      <w:pPr>
        <w:pStyle w:val="Definition0"/>
        <w:rPr>
          <w:sz w:val="24"/>
        </w:rPr>
      </w:pPr>
      <w:r w:rsidRPr="00883399">
        <w:rPr>
          <w:b/>
          <w:i/>
          <w:iCs/>
          <w:sz w:val="24"/>
        </w:rPr>
        <w:t xml:space="preserve">F </w:t>
      </w:r>
      <w:r w:rsidRPr="00883399">
        <w:rPr>
          <w:sz w:val="24"/>
        </w:rPr>
        <w:t>is the fraction of methane generated in landfill gas estimated in accordance with section 5.14C.</w:t>
      </w:r>
    </w:p>
    <w:p w14:paraId="2497995E" w14:textId="77777777" w:rsidR="00872C03" w:rsidRPr="00883399" w:rsidRDefault="00872C03" w:rsidP="00872C03">
      <w:pPr>
        <w:pStyle w:val="Definition0"/>
        <w:rPr>
          <w:sz w:val="24"/>
        </w:rPr>
      </w:pPr>
      <w:r w:rsidRPr="00883399">
        <w:rPr>
          <w:b/>
          <w:i/>
          <w:sz w:val="24"/>
        </w:rPr>
        <w:t xml:space="preserve">1.336 </w:t>
      </w:r>
      <w:r w:rsidRPr="00883399">
        <w:rPr>
          <w:sz w:val="24"/>
        </w:rPr>
        <w:t>is the factor to convert a mass of carbon to a mass of methane.</w:t>
      </w:r>
    </w:p>
    <w:p w14:paraId="66E37A7F" w14:textId="77777777" w:rsidR="00872C03" w:rsidRPr="00883399" w:rsidRDefault="00872C03" w:rsidP="00872C03">
      <w:pPr>
        <w:pStyle w:val="Definition0"/>
        <w:rPr>
          <w:sz w:val="24"/>
        </w:rPr>
      </w:pPr>
      <w:r w:rsidRPr="00883399">
        <w:rPr>
          <w:b/>
          <w:i/>
          <w:sz w:val="24"/>
        </w:rPr>
        <w:t>25</w:t>
      </w:r>
      <w:r w:rsidRPr="00883399">
        <w:rPr>
          <w:sz w:val="24"/>
        </w:rPr>
        <w:t xml:space="preserve"> is the factor to convert methane to carbon dioxide equivalent.</w:t>
      </w:r>
    </w:p>
    <w:p w14:paraId="3FDF41B0" w14:textId="77777777" w:rsidR="00872C03" w:rsidRPr="00883399" w:rsidRDefault="00872C03" w:rsidP="00872C03">
      <w:pPr>
        <w:pStyle w:val="notetext"/>
        <w:rPr>
          <w:sz w:val="20"/>
        </w:rPr>
      </w:pPr>
      <w:r w:rsidRPr="00883399">
        <w:rPr>
          <w:sz w:val="20"/>
        </w:rPr>
        <w:t>Note 1:</w:t>
      </w:r>
      <w:r w:rsidRPr="00883399">
        <w:rPr>
          <w:sz w:val="20"/>
        </w:rPr>
        <w:tab/>
        <w:t xml:space="preserve">For the definition of </w:t>
      </w:r>
      <w:r w:rsidRPr="00883399">
        <w:rPr>
          <w:b/>
          <w:i/>
          <w:sz w:val="20"/>
        </w:rPr>
        <w:t>reporting year</w:t>
      </w:r>
      <w:r w:rsidRPr="00883399">
        <w:rPr>
          <w:sz w:val="20"/>
        </w:rPr>
        <w:t xml:space="preserve">, see the </w:t>
      </w:r>
      <w:r w:rsidRPr="00883399">
        <w:rPr>
          <w:i/>
          <w:sz w:val="20"/>
        </w:rPr>
        <w:t>National Greenhouse and Energy Reporting Regulations 2008</w:t>
      </w:r>
      <w:r w:rsidRPr="00883399">
        <w:rPr>
          <w:sz w:val="20"/>
        </w:rPr>
        <w:t>.</w:t>
      </w:r>
    </w:p>
    <w:p w14:paraId="72E7D7D3" w14:textId="77777777" w:rsidR="00872C03" w:rsidRPr="00883399" w:rsidRDefault="00872C03" w:rsidP="00872C03">
      <w:pPr>
        <w:pStyle w:val="notetext"/>
        <w:rPr>
          <w:sz w:val="20"/>
        </w:rPr>
      </w:pPr>
      <w:r w:rsidRPr="00883399">
        <w:rPr>
          <w:sz w:val="20"/>
        </w:rPr>
        <w:t>Note 2:</w:t>
      </w:r>
      <w:r w:rsidRPr="00883399">
        <w:rPr>
          <w:sz w:val="20"/>
        </w:rPr>
        <w:tab/>
        <w:t>If the result of the first equation in subsection 5.4(3):</w:t>
      </w:r>
    </w:p>
    <w:p w14:paraId="434FA028" w14:textId="77777777" w:rsidR="00872C03" w:rsidRPr="00883399" w:rsidRDefault="00872C03" w:rsidP="00872C03">
      <w:pPr>
        <w:pStyle w:val="notepara1"/>
        <w:rPr>
          <w:sz w:val="20"/>
        </w:rPr>
      </w:pPr>
      <w:r w:rsidRPr="00883399">
        <w:rPr>
          <w:sz w:val="20"/>
        </w:rPr>
        <w:t>(a)</w:t>
      </w:r>
      <w:r w:rsidRPr="00883399">
        <w:rPr>
          <w:sz w:val="20"/>
        </w:rPr>
        <w:tab/>
        <w:t>was, for a previous reporting year or years, greater than 0.75; and</w:t>
      </w:r>
    </w:p>
    <w:p w14:paraId="60BFE496" w14:textId="77777777" w:rsidR="00872C03" w:rsidRPr="00883399" w:rsidRDefault="00872C03" w:rsidP="00872C03">
      <w:pPr>
        <w:pStyle w:val="notepara1"/>
        <w:rPr>
          <w:sz w:val="20"/>
        </w:rPr>
      </w:pPr>
      <w:r w:rsidRPr="00883399">
        <w:rPr>
          <w:sz w:val="20"/>
        </w:rPr>
        <w:t>(b)</w:t>
      </w:r>
      <w:r w:rsidRPr="00883399">
        <w:rPr>
          <w:sz w:val="20"/>
        </w:rPr>
        <w:tab/>
        <w:t>is, for the current reporting year, less than or equal to 0.75;</w:t>
      </w:r>
    </w:p>
    <w:p w14:paraId="3CB14853" w14:textId="77777777" w:rsidR="00872C03" w:rsidRPr="00883399" w:rsidRDefault="00872C03" w:rsidP="00872C03">
      <w:pPr>
        <w:pStyle w:val="notetext"/>
        <w:rPr>
          <w:sz w:val="20"/>
        </w:rPr>
      </w:pPr>
      <w:r w:rsidRPr="00883399">
        <w:rPr>
          <w:sz w:val="20"/>
        </w:rPr>
        <w:lastRenderedPageBreak/>
        <w:tab/>
        <w:t>use:</w:t>
      </w:r>
    </w:p>
    <w:p w14:paraId="78307F53" w14:textId="77777777" w:rsidR="00872C03" w:rsidRPr="00883399" w:rsidRDefault="00872C03" w:rsidP="00872C03">
      <w:pPr>
        <w:pStyle w:val="notepara1"/>
        <w:rPr>
          <w:sz w:val="20"/>
        </w:rPr>
      </w:pPr>
      <w:r w:rsidRPr="00883399">
        <w:rPr>
          <w:sz w:val="20"/>
        </w:rPr>
        <w:t>(c)</w:t>
      </w:r>
      <w:r w:rsidRPr="00883399">
        <w:rPr>
          <w:sz w:val="20"/>
        </w:rPr>
        <w:tab/>
        <w:t>the calculation in section 5.4B to calculate the change in the opening stock of carbon for the final reporting year in which the result of that equation is greater than 0.75; and</w:t>
      </w:r>
    </w:p>
    <w:p w14:paraId="779197EC" w14:textId="77777777" w:rsidR="00872C03" w:rsidRPr="00883399" w:rsidRDefault="00872C03" w:rsidP="00872C03">
      <w:pPr>
        <w:pStyle w:val="notepara1"/>
        <w:rPr>
          <w:sz w:val="20"/>
        </w:rPr>
      </w:pPr>
      <w:r w:rsidRPr="00883399">
        <w:rPr>
          <w:sz w:val="20"/>
        </w:rPr>
        <w:t>(d)</w:t>
      </w:r>
      <w:r w:rsidRPr="00883399">
        <w:rPr>
          <w:sz w:val="20"/>
        </w:rPr>
        <w:tab/>
        <w:t>the calculation in section 5.4C to calculate the closing stock for that reporting year.</w:t>
      </w:r>
    </w:p>
    <w:p w14:paraId="277E33D8" w14:textId="58B25D07" w:rsidR="00872C03" w:rsidRPr="00883399" w:rsidRDefault="00872C03" w:rsidP="00872C03">
      <w:pPr>
        <w:pStyle w:val="ActHead5"/>
        <w:rPr>
          <w:sz w:val="28"/>
        </w:rPr>
      </w:pPr>
      <w:bookmarkStart w:id="1085" w:name="_Toc423517138"/>
      <w:bookmarkStart w:id="1086" w:name="_Toc495653069"/>
      <w:r w:rsidRPr="00883399">
        <w:rPr>
          <w:rStyle w:val="CharSectno"/>
          <w:sz w:val="28"/>
        </w:rPr>
        <w:t>5.4C</w:t>
      </w:r>
      <w:r w:rsidRPr="00883399">
        <w:rPr>
          <w:sz w:val="28"/>
        </w:rPr>
        <w:t xml:space="preserve">  Equation—quantity of closing stock at landfill in particular reporting year</w:t>
      </w:r>
      <w:bookmarkEnd w:id="1085"/>
      <w:bookmarkEnd w:id="1086"/>
    </w:p>
    <w:p w14:paraId="2F97A9BB" w14:textId="77777777" w:rsidR="00872C03" w:rsidRPr="00883399" w:rsidRDefault="00872C03" w:rsidP="00872C03">
      <w:pPr>
        <w:pStyle w:val="subsection"/>
        <w:rPr>
          <w:sz w:val="24"/>
        </w:rPr>
      </w:pPr>
      <w:r w:rsidRPr="00883399">
        <w:rPr>
          <w:sz w:val="24"/>
        </w:rPr>
        <w:tab/>
        <w:t>(1)</w:t>
      </w:r>
      <w:r w:rsidRPr="00883399">
        <w:rPr>
          <w:sz w:val="24"/>
        </w:rPr>
        <w:tab/>
        <w:t xml:space="preserve">For subsection 5.4(5), this section applies if the result of the first equation in subsection 5.4(3) is, for the reporting year for which the result is calculated, (the </w:t>
      </w:r>
      <w:r w:rsidRPr="00883399">
        <w:rPr>
          <w:b/>
          <w:i/>
          <w:sz w:val="24"/>
        </w:rPr>
        <w:t>current reporting year</w:t>
      </w:r>
      <w:r w:rsidRPr="00883399">
        <w:rPr>
          <w:sz w:val="24"/>
        </w:rPr>
        <w:t>), greater than 0.75.</w:t>
      </w:r>
    </w:p>
    <w:p w14:paraId="6857309D" w14:textId="77777777" w:rsidR="00872C03" w:rsidRPr="00883399" w:rsidRDefault="00872C03" w:rsidP="00872C03">
      <w:pPr>
        <w:pStyle w:val="subsection"/>
        <w:rPr>
          <w:sz w:val="24"/>
        </w:rPr>
      </w:pPr>
      <w:r w:rsidRPr="00883399">
        <w:rPr>
          <w:sz w:val="24"/>
        </w:rPr>
        <w:tab/>
        <w:t>(2)</w:t>
      </w:r>
      <w:r w:rsidRPr="00883399">
        <w:rPr>
          <w:sz w:val="24"/>
        </w:rPr>
        <w:tab/>
        <w:t xml:space="preserve">The quantity of closing stock of decomposable degradable organic carbon </w:t>
      </w:r>
      <w:r w:rsidRPr="00883399">
        <w:rPr>
          <w:spacing w:val="1"/>
          <w:sz w:val="24"/>
        </w:rPr>
        <w:t>(</w:t>
      </w:r>
      <w:r w:rsidRPr="00883399">
        <w:rPr>
          <w:sz w:val="24"/>
        </w:rPr>
        <w:t>C</w:t>
      </w:r>
      <w:r w:rsidRPr="00883399">
        <w:rPr>
          <w:sz w:val="24"/>
          <w:vertAlign w:val="subscript"/>
        </w:rPr>
        <w:t>cst</w:t>
      </w:r>
      <w:r w:rsidRPr="00883399">
        <w:rPr>
          <w:spacing w:val="-1"/>
          <w:sz w:val="24"/>
        </w:rPr>
        <w:t xml:space="preserve">) </w:t>
      </w:r>
      <w:r w:rsidRPr="00883399">
        <w:rPr>
          <w:sz w:val="24"/>
        </w:rPr>
        <w:t>in the most recent year to which subsection 5.4(3) applies:</w:t>
      </w:r>
    </w:p>
    <w:p w14:paraId="73F0F463" w14:textId="77777777" w:rsidR="00872C03" w:rsidRPr="00883399" w:rsidRDefault="00872C03" w:rsidP="00872C03">
      <w:pPr>
        <w:pStyle w:val="paragraph"/>
        <w:rPr>
          <w:sz w:val="24"/>
        </w:rPr>
      </w:pPr>
      <w:r w:rsidRPr="00883399">
        <w:rPr>
          <w:sz w:val="24"/>
        </w:rPr>
        <w:tab/>
        <w:t>(a)</w:t>
      </w:r>
      <w:r w:rsidRPr="00883399">
        <w:rPr>
          <w:sz w:val="24"/>
        </w:rPr>
        <w:tab/>
        <w:t>located in the landfill during the reporting year; and</w:t>
      </w:r>
    </w:p>
    <w:p w14:paraId="7DDC75BE" w14:textId="77777777" w:rsidR="00872C03" w:rsidRPr="00883399" w:rsidRDefault="00872C03" w:rsidP="00872C03">
      <w:pPr>
        <w:pStyle w:val="paragraph"/>
        <w:rPr>
          <w:sz w:val="24"/>
        </w:rPr>
      </w:pPr>
      <w:r w:rsidRPr="00883399">
        <w:rPr>
          <w:sz w:val="24"/>
        </w:rPr>
        <w:tab/>
        <w:t>(b)</w:t>
      </w:r>
      <w:r w:rsidRPr="00883399">
        <w:rPr>
          <w:sz w:val="24"/>
        </w:rPr>
        <w:tab/>
        <w:t>measured in tonnes;</w:t>
      </w:r>
    </w:p>
    <w:p w14:paraId="0D9DFCED" w14:textId="77777777" w:rsidR="00872C03" w:rsidRPr="00883399" w:rsidRDefault="00872C03" w:rsidP="00872C03">
      <w:pPr>
        <w:pStyle w:val="subsection2"/>
        <w:rPr>
          <w:sz w:val="24"/>
        </w:rPr>
      </w:pPr>
      <w:r w:rsidRPr="00883399">
        <w:rPr>
          <w:sz w:val="24"/>
        </w:rPr>
        <w:t>must be calculated using the equation mentioned in subsection (3):</w:t>
      </w:r>
    </w:p>
    <w:p w14:paraId="00FCD02A" w14:textId="77777777" w:rsidR="00872C03" w:rsidRPr="00883399" w:rsidRDefault="00872C03" w:rsidP="00872C03">
      <w:pPr>
        <w:pStyle w:val="subsection"/>
        <w:rPr>
          <w:sz w:val="24"/>
        </w:rPr>
      </w:pPr>
      <w:r w:rsidRPr="00883399">
        <w:rPr>
          <w:sz w:val="24"/>
        </w:rPr>
        <w:tab/>
        <w:t>(3)</w:t>
      </w:r>
      <w:r w:rsidRPr="00883399">
        <w:rPr>
          <w:sz w:val="24"/>
        </w:rPr>
        <w:tab/>
        <w:t>For subsection (2), the equation is:</w:t>
      </w:r>
    </w:p>
    <w:p w14:paraId="7DCA9A58" w14:textId="67F56780"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4CCD2E2F" wp14:editId="767198BD">
            <wp:extent cx="1068705" cy="23749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52"/>
                    <a:srcRect/>
                    <a:stretch>
                      <a:fillRect/>
                    </a:stretch>
                  </pic:blipFill>
                  <pic:spPr bwMode="auto">
                    <a:xfrm>
                      <a:off x="0" y="0"/>
                      <a:ext cx="1068705" cy="237490"/>
                    </a:xfrm>
                    <a:prstGeom prst="rect">
                      <a:avLst/>
                    </a:prstGeom>
                    <a:noFill/>
                    <a:ln w="9525">
                      <a:noFill/>
                      <a:miter lim="800000"/>
                      <a:headEnd/>
                      <a:tailEnd/>
                    </a:ln>
                  </pic:spPr>
                </pic:pic>
              </a:graphicData>
            </a:graphic>
          </wp:inline>
        </w:drawing>
      </w:r>
    </w:p>
    <w:p w14:paraId="60901FEC" w14:textId="77777777" w:rsidR="00872C03" w:rsidRPr="00883399" w:rsidRDefault="00872C03" w:rsidP="00872C03">
      <w:pPr>
        <w:pStyle w:val="subsection2"/>
        <w:rPr>
          <w:sz w:val="24"/>
        </w:rPr>
      </w:pPr>
      <w:r w:rsidRPr="00883399">
        <w:rPr>
          <w:sz w:val="24"/>
        </w:rPr>
        <w:t>where:</w:t>
      </w:r>
    </w:p>
    <w:p w14:paraId="14259327" w14:textId="77777777" w:rsidR="00872C03" w:rsidRPr="00883399" w:rsidRDefault="00872C03" w:rsidP="00872C03">
      <w:pPr>
        <w:pStyle w:val="Definition0"/>
        <w:rPr>
          <w:sz w:val="24"/>
        </w:rPr>
      </w:pPr>
      <w:r w:rsidRPr="00883399">
        <w:rPr>
          <w:b/>
          <w:i/>
          <w:spacing w:val="1"/>
          <w:position w:val="3"/>
          <w:sz w:val="24"/>
        </w:rPr>
        <w:t>C</w:t>
      </w:r>
      <w:r w:rsidRPr="00883399">
        <w:rPr>
          <w:b/>
          <w:i/>
          <w:sz w:val="16"/>
          <w:szCs w:val="14"/>
        </w:rPr>
        <w:t>c</w:t>
      </w:r>
      <w:r w:rsidRPr="00883399">
        <w:rPr>
          <w:b/>
          <w:i/>
          <w:spacing w:val="1"/>
          <w:sz w:val="16"/>
          <w:szCs w:val="14"/>
        </w:rPr>
        <w:t>s</w:t>
      </w:r>
      <w:r w:rsidRPr="00883399">
        <w:rPr>
          <w:b/>
          <w:i/>
          <w:sz w:val="16"/>
          <w:szCs w:val="14"/>
        </w:rPr>
        <w:t xml:space="preserve">t </w:t>
      </w:r>
      <w:r w:rsidRPr="00883399">
        <w:rPr>
          <w:sz w:val="24"/>
        </w:rPr>
        <w:t>is the closing stock of carbon in the last year in which subsection 5.4(3) was used to calculate emissions.</w:t>
      </w:r>
    </w:p>
    <w:p w14:paraId="008B00A9" w14:textId="77777777" w:rsidR="00872C03" w:rsidRPr="00883399" w:rsidRDefault="00872C03" w:rsidP="00872C03">
      <w:pPr>
        <w:pStyle w:val="Definition0"/>
        <w:rPr>
          <w:sz w:val="24"/>
        </w:rPr>
      </w:pPr>
      <w:r w:rsidRPr="00883399">
        <w:rPr>
          <w:b/>
          <w:i/>
          <w:spacing w:val="1"/>
          <w:position w:val="3"/>
          <w:sz w:val="24"/>
        </w:rPr>
        <w:t>C</w:t>
      </w:r>
      <w:r w:rsidRPr="00883399">
        <w:rPr>
          <w:b/>
          <w:i/>
          <w:sz w:val="16"/>
          <w:szCs w:val="14"/>
        </w:rPr>
        <w:t>o</w:t>
      </w:r>
      <w:r w:rsidRPr="00883399">
        <w:rPr>
          <w:b/>
          <w:i/>
          <w:spacing w:val="3"/>
          <w:sz w:val="16"/>
          <w:szCs w:val="14"/>
        </w:rPr>
        <w:t>s</w:t>
      </w:r>
      <w:r w:rsidRPr="00883399">
        <w:rPr>
          <w:b/>
          <w:i/>
          <w:sz w:val="16"/>
          <w:szCs w:val="14"/>
        </w:rPr>
        <w:t>t</w:t>
      </w:r>
      <w:r w:rsidRPr="00883399">
        <w:rPr>
          <w:b/>
          <w:i/>
          <w:spacing w:val="23"/>
          <w:sz w:val="16"/>
          <w:szCs w:val="14"/>
        </w:rPr>
        <w:t xml:space="preserve"> </w:t>
      </w:r>
      <w:r w:rsidRPr="00883399">
        <w:rPr>
          <w:sz w:val="24"/>
        </w:rPr>
        <w:t>is the opening stock of carbon in the first year in which 5.4(3) was used to calculate emissions.</w:t>
      </w:r>
    </w:p>
    <w:p w14:paraId="6FA4FD6D" w14:textId="77777777" w:rsidR="00872C03" w:rsidRPr="00883399" w:rsidRDefault="00872C03" w:rsidP="00872C03">
      <w:pPr>
        <w:pStyle w:val="Definition0"/>
        <w:rPr>
          <w:sz w:val="24"/>
        </w:rPr>
      </w:pPr>
      <w:r w:rsidRPr="00883399">
        <w:rPr>
          <w:b/>
          <w:i/>
          <w:position w:val="3"/>
          <w:sz w:val="24"/>
        </w:rPr>
        <w:t>∆</w:t>
      </w:r>
      <w:r w:rsidRPr="00883399">
        <w:rPr>
          <w:b/>
          <w:i/>
          <w:spacing w:val="1"/>
          <w:position w:val="3"/>
          <w:sz w:val="24"/>
        </w:rPr>
        <w:t>C</w:t>
      </w:r>
      <w:r w:rsidRPr="00883399">
        <w:rPr>
          <w:b/>
          <w:i/>
          <w:sz w:val="16"/>
          <w:szCs w:val="14"/>
        </w:rPr>
        <w:t>o</w:t>
      </w:r>
      <w:r w:rsidRPr="00883399">
        <w:rPr>
          <w:b/>
          <w:i/>
          <w:spacing w:val="3"/>
          <w:sz w:val="16"/>
          <w:szCs w:val="14"/>
        </w:rPr>
        <w:t xml:space="preserve">st </w:t>
      </w:r>
      <w:r w:rsidRPr="00883399">
        <w:rPr>
          <w:sz w:val="24"/>
        </w:rPr>
        <w:t>is the change in carbon stock for all years in which 5.4(3) applies and is estimated in accordance with 5.4B.</w:t>
      </w:r>
    </w:p>
    <w:p w14:paraId="279B3AFB" w14:textId="77777777" w:rsidR="00872C03" w:rsidRPr="00883399" w:rsidRDefault="00872C03" w:rsidP="00872C03">
      <w:pPr>
        <w:pStyle w:val="notetext"/>
        <w:rPr>
          <w:sz w:val="20"/>
        </w:rPr>
      </w:pPr>
      <w:r w:rsidRPr="00883399">
        <w:rPr>
          <w:sz w:val="20"/>
        </w:rPr>
        <w:t>Note:</w:t>
      </w:r>
      <w:r w:rsidRPr="00883399">
        <w:rPr>
          <w:sz w:val="20"/>
        </w:rPr>
        <w:tab/>
        <w:t>The quantity of closing stock calculated in accordance with this section is the same as the quantity of opening stock for the current reporting year.</w:t>
      </w:r>
    </w:p>
    <w:p w14:paraId="09328248" w14:textId="77777777" w:rsidR="0031057E" w:rsidRPr="00883399" w:rsidRDefault="0031057E" w:rsidP="00872C03">
      <w:pPr>
        <w:pStyle w:val="notetext"/>
        <w:rPr>
          <w:sz w:val="20"/>
        </w:rPr>
      </w:pPr>
    </w:p>
    <w:p w14:paraId="71BCC87D" w14:textId="77777777" w:rsidR="0031057E" w:rsidRPr="00883399" w:rsidRDefault="0031057E" w:rsidP="0031057E">
      <w:pPr>
        <w:autoSpaceDE w:val="0"/>
        <w:autoSpaceDN w:val="0"/>
        <w:adjustRightInd w:val="0"/>
        <w:outlineLvl w:val="0"/>
        <w:rPr>
          <w:rFonts w:ascii="TimesNewRomanPS-BoldMT" w:hAnsi="TimesNewRomanPS-BoldMT" w:cs="TimesNewRomanPS-BoldMT"/>
          <w:b/>
          <w:bCs/>
          <w:i/>
        </w:rPr>
      </w:pPr>
      <w:r w:rsidRPr="00883399">
        <w:rPr>
          <w:rFonts w:ascii="TimesNewRomanPS-BoldMT" w:hAnsi="TimesNewRomanPS-BoldMT" w:cs="TimesNewRomanPS-BoldMT"/>
          <w:b/>
          <w:bCs/>
          <w:i/>
        </w:rPr>
        <w:t>Guidance on using Ccst calculated according to 5.4C in the FOD model.</w:t>
      </w:r>
    </w:p>
    <w:p w14:paraId="7264566C" w14:textId="77777777" w:rsidR="0031057E" w:rsidRPr="00883399" w:rsidRDefault="0031057E" w:rsidP="0031057E">
      <w:pPr>
        <w:autoSpaceDE w:val="0"/>
        <w:autoSpaceDN w:val="0"/>
        <w:adjustRightInd w:val="0"/>
        <w:outlineLvl w:val="0"/>
        <w:rPr>
          <w:rFonts w:ascii="Arial" w:hAnsi="Arial" w:cs="Arial"/>
          <w:sz w:val="22"/>
          <w:szCs w:val="22"/>
        </w:rPr>
      </w:pPr>
      <w:r w:rsidRPr="00883399">
        <w:rPr>
          <w:rFonts w:ascii="Arial" w:hAnsi="Arial" w:cs="Arial"/>
          <w:sz w:val="22"/>
          <w:szCs w:val="22"/>
        </w:rPr>
        <w:t xml:space="preserve">As the FOD model tracks the decay of individual waste mix types, it is necessary to calculate a closing stock of carbon (Ccst) for each waste mix type.  This may be done by allocating </w:t>
      </w:r>
      <w:r w:rsidRPr="00883399">
        <w:rPr>
          <w:b/>
          <w:bCs/>
          <w:iCs/>
          <w:color w:val="000000"/>
          <w:sz w:val="23"/>
          <w:szCs w:val="23"/>
        </w:rPr>
        <w:t>Δ</w:t>
      </w:r>
      <w:r w:rsidRPr="00883399">
        <w:rPr>
          <w:rFonts w:ascii="Arial" w:hAnsi="Arial" w:cs="Arial"/>
          <w:color w:val="000000"/>
          <w:sz w:val="23"/>
          <w:szCs w:val="23"/>
        </w:rPr>
        <w:t xml:space="preserve">Cost to each waste mix type on the basis of the proportions of </w:t>
      </w:r>
      <w:r w:rsidRPr="00883399">
        <w:rPr>
          <w:rFonts w:ascii="Arial" w:hAnsi="Arial" w:cs="Arial"/>
          <w:sz w:val="22"/>
          <w:szCs w:val="22"/>
        </w:rPr>
        <w:t>Ccst by waste mix type for the year preceding the first year in which the 75 per cent capture rule is triggered.</w:t>
      </w:r>
    </w:p>
    <w:p w14:paraId="0E54668C" w14:textId="77777777" w:rsidR="0031057E" w:rsidRPr="00883399" w:rsidRDefault="0031057E" w:rsidP="0031057E">
      <w:pPr>
        <w:autoSpaceDE w:val="0"/>
        <w:autoSpaceDN w:val="0"/>
        <w:adjustRightInd w:val="0"/>
        <w:outlineLvl w:val="0"/>
        <w:rPr>
          <w:rFonts w:ascii="Arial" w:hAnsi="Arial" w:cs="Arial"/>
          <w:sz w:val="22"/>
          <w:szCs w:val="22"/>
        </w:rPr>
      </w:pPr>
      <w:r w:rsidRPr="00883399">
        <w:rPr>
          <w:rFonts w:ascii="Arial" w:hAnsi="Arial" w:cs="Arial"/>
          <w:sz w:val="22"/>
          <w:szCs w:val="22"/>
        </w:rPr>
        <w:lastRenderedPageBreak/>
        <w:t>If there are no preceding years in which capture was below 75 per cent, Ccst may be allocated to each waste mix type according to the waste composition.</w:t>
      </w:r>
    </w:p>
    <w:p w14:paraId="56EEBF55" w14:textId="77777777" w:rsidR="0031057E" w:rsidRPr="00883399" w:rsidRDefault="0031057E" w:rsidP="0031057E">
      <w:pPr>
        <w:pStyle w:val="notetext"/>
        <w:ind w:left="0" w:firstLine="0"/>
        <w:rPr>
          <w:sz w:val="20"/>
        </w:rPr>
      </w:pPr>
    </w:p>
    <w:p w14:paraId="202EFBBE" w14:textId="2888593A" w:rsidR="00872C03" w:rsidRPr="00883399" w:rsidRDefault="00872C03" w:rsidP="00872C03">
      <w:pPr>
        <w:pStyle w:val="ActHead5"/>
        <w:rPr>
          <w:sz w:val="28"/>
        </w:rPr>
      </w:pPr>
      <w:bookmarkStart w:id="1087" w:name="_Toc423517139"/>
      <w:bookmarkStart w:id="1088" w:name="_Toc495653070"/>
      <w:r w:rsidRPr="00883399">
        <w:rPr>
          <w:rStyle w:val="CharSectno"/>
          <w:sz w:val="28"/>
        </w:rPr>
        <w:t>5.4D</w:t>
      </w:r>
      <w:r w:rsidRPr="00883399">
        <w:rPr>
          <w:sz w:val="28"/>
        </w:rPr>
        <w:t xml:space="preserve">  Equation—quantity of methane generated by landfill for calculating </w:t>
      </w:r>
      <w:r w:rsidRPr="00883399">
        <w:rPr>
          <w:szCs w:val="22"/>
        </w:rPr>
        <w:t>CH</w:t>
      </w:r>
      <w:r w:rsidRPr="00883399">
        <w:rPr>
          <w:rStyle w:val="charSubscript"/>
          <w:sz w:val="24"/>
          <w:szCs w:val="22"/>
        </w:rPr>
        <w:t>4gen</w:t>
      </w:r>
      <w:bookmarkEnd w:id="1087"/>
      <w:bookmarkEnd w:id="1088"/>
    </w:p>
    <w:p w14:paraId="457C7606" w14:textId="77777777" w:rsidR="00872C03" w:rsidRPr="00883399" w:rsidRDefault="00872C03" w:rsidP="00872C03">
      <w:pPr>
        <w:pStyle w:val="subsection"/>
        <w:rPr>
          <w:sz w:val="24"/>
        </w:rPr>
      </w:pPr>
      <w:r w:rsidRPr="00883399">
        <w:rPr>
          <w:sz w:val="24"/>
        </w:rPr>
        <w:tab/>
      </w:r>
      <w:r w:rsidRPr="00883399">
        <w:rPr>
          <w:sz w:val="24"/>
        </w:rPr>
        <w:tab/>
        <w:t>For subsection 5.4(5), the quantity of methane generated by the landfill must be calculated using the following equation:</w:t>
      </w:r>
    </w:p>
    <w:p w14:paraId="52C8A164" w14:textId="77777777" w:rsidR="00872C03" w:rsidRPr="00883399" w:rsidRDefault="00872C03" w:rsidP="00872C03">
      <w:pPr>
        <w:pStyle w:val="subsection2"/>
        <w:rPr>
          <w:sz w:val="24"/>
        </w:rPr>
      </w:pPr>
      <w:r w:rsidRPr="00883399">
        <w:rPr>
          <w:position w:val="-26"/>
          <w:sz w:val="24"/>
        </w:rPr>
        <w:object w:dxaOrig="3879" w:dyaOrig="620" w14:anchorId="7EFD786D">
          <v:shape id="_x0000_i1083" type="#_x0000_t75" style="width:195.75pt;height:30.75pt" o:ole="">
            <v:imagedata r:id="rId253" o:title=""/>
          </v:shape>
          <o:OLEObject Type="Embed" ProgID="Equation.DSMT4" ShapeID="_x0000_i1083" DrawAspect="Content" ObjectID="_1594105974" r:id="rId254"/>
        </w:object>
      </w:r>
    </w:p>
    <w:p w14:paraId="75E451AA" w14:textId="77777777" w:rsidR="00872C03" w:rsidRPr="00883399" w:rsidRDefault="00872C03" w:rsidP="00872C03">
      <w:pPr>
        <w:pStyle w:val="subsection2"/>
        <w:rPr>
          <w:sz w:val="24"/>
        </w:rPr>
      </w:pPr>
      <w:r w:rsidRPr="00883399">
        <w:rPr>
          <w:sz w:val="24"/>
        </w:rPr>
        <w:t>where:</w:t>
      </w:r>
    </w:p>
    <w:p w14:paraId="531DECE1" w14:textId="77777777" w:rsidR="00872C03" w:rsidRPr="00883399" w:rsidRDefault="00872C03" w:rsidP="00872C03">
      <w:pPr>
        <w:pStyle w:val="Definition0"/>
        <w:rPr>
          <w:sz w:val="24"/>
        </w:rPr>
      </w:pPr>
      <w:r w:rsidRPr="00883399">
        <w:rPr>
          <w:b/>
          <w:i/>
          <w:sz w:val="24"/>
        </w:rPr>
        <w:t>CH</w:t>
      </w:r>
      <w:r w:rsidRPr="00883399">
        <w:rPr>
          <w:b/>
          <w:i/>
          <w:sz w:val="24"/>
          <w:vertAlign w:val="subscript"/>
        </w:rPr>
        <w:t>4gen</w:t>
      </w:r>
      <w:r w:rsidRPr="00883399">
        <w:rPr>
          <w:b/>
          <w:i/>
          <w:sz w:val="24"/>
        </w:rPr>
        <w:t xml:space="preserve"> </w:t>
      </w:r>
      <w:r w:rsidRPr="00883399">
        <w:rPr>
          <w:sz w:val="24"/>
        </w:rPr>
        <w:t>is the quantity of methane generated by the landfill as calculated under this section and measured in CO</w:t>
      </w:r>
      <w:r w:rsidRPr="00883399">
        <w:rPr>
          <w:sz w:val="24"/>
          <w:vertAlign w:val="subscript"/>
        </w:rPr>
        <w:t>2</w:t>
      </w:r>
      <w:r w:rsidRPr="00883399">
        <w:rPr>
          <w:sz w:val="24"/>
        </w:rPr>
        <w:noBreakHyphen/>
        <w:t>e tonnes.</w:t>
      </w:r>
    </w:p>
    <w:p w14:paraId="3E1552F9" w14:textId="77777777" w:rsidR="00872C03" w:rsidRPr="00883399" w:rsidRDefault="00872C03" w:rsidP="00872C03">
      <w:pPr>
        <w:pStyle w:val="Definition0"/>
        <w:rPr>
          <w:sz w:val="24"/>
        </w:rPr>
      </w:pPr>
      <w:r w:rsidRPr="00883399">
        <w:rPr>
          <w:b/>
          <w:i/>
          <w:iCs/>
          <w:sz w:val="24"/>
        </w:rPr>
        <w:t xml:space="preserve">F </w:t>
      </w:r>
      <w:r w:rsidRPr="00883399">
        <w:rPr>
          <w:sz w:val="24"/>
        </w:rPr>
        <w:t>is the fraction of methane generated in landfill gas estimated in accordance with section 5.14C.</w:t>
      </w:r>
    </w:p>
    <w:p w14:paraId="531CEF20" w14:textId="77777777" w:rsidR="00872C03" w:rsidRPr="00883399" w:rsidRDefault="00872C03" w:rsidP="00872C03">
      <w:pPr>
        <w:pStyle w:val="Definition0"/>
        <w:rPr>
          <w:sz w:val="24"/>
        </w:rPr>
      </w:pPr>
      <w:r w:rsidRPr="00883399">
        <w:rPr>
          <w:b/>
          <w:i/>
          <w:sz w:val="24"/>
        </w:rPr>
        <w:t xml:space="preserve">1.336 </w:t>
      </w:r>
      <w:r w:rsidRPr="00883399">
        <w:rPr>
          <w:sz w:val="24"/>
        </w:rPr>
        <w:t>is the factor to convert a mass of carbon to a mass of methane.</w:t>
      </w:r>
    </w:p>
    <w:p w14:paraId="180E8235" w14:textId="77777777" w:rsidR="00872C03" w:rsidRPr="00883399" w:rsidRDefault="00872C03" w:rsidP="00872C03">
      <w:pPr>
        <w:pStyle w:val="Definition0"/>
        <w:rPr>
          <w:sz w:val="24"/>
        </w:rPr>
      </w:pPr>
      <w:r w:rsidRPr="00883399">
        <w:rPr>
          <w:b/>
          <w:i/>
          <w:sz w:val="24"/>
        </w:rPr>
        <w:t>25</w:t>
      </w:r>
      <w:r w:rsidRPr="00883399">
        <w:rPr>
          <w:sz w:val="24"/>
        </w:rPr>
        <w:t xml:space="preserve"> is the factor to convert methane to carbon dioxide equivalent.</w:t>
      </w:r>
    </w:p>
    <w:p w14:paraId="7FA5EE16" w14:textId="77777777" w:rsidR="00872C03" w:rsidRPr="00883399" w:rsidRDefault="00872C03" w:rsidP="00872C03">
      <w:pPr>
        <w:pStyle w:val="Definition0"/>
        <w:rPr>
          <w:sz w:val="24"/>
        </w:rPr>
      </w:pPr>
      <w:r w:rsidRPr="00883399">
        <w:rPr>
          <w:b/>
          <w:i/>
          <w:sz w:val="24"/>
        </w:rPr>
        <w:t>∆C</w:t>
      </w:r>
      <w:r w:rsidRPr="00883399">
        <w:rPr>
          <w:b/>
          <w:i/>
          <w:sz w:val="24"/>
          <w:vertAlign w:val="subscript"/>
        </w:rPr>
        <w:t xml:space="preserve">ost </w:t>
      </w:r>
      <w:r w:rsidRPr="00883399">
        <w:rPr>
          <w:sz w:val="24"/>
        </w:rPr>
        <w:t>is the change in the quantity of the opening stock of decomposable degradable organic carbon derived from the sum of all waste mix types located in the landfill during the reporting year, measured in tonnes, lost through decomposition, and equals:</w:t>
      </w:r>
    </w:p>
    <w:p w14:paraId="1BABC319" w14:textId="77777777" w:rsidR="00872C03" w:rsidRPr="00883399" w:rsidRDefault="00872C03" w:rsidP="00872C03">
      <w:pPr>
        <w:pStyle w:val="Definition0"/>
        <w:spacing w:before="120" w:after="120"/>
        <w:rPr>
          <w:rFonts w:ascii="SymbolMT" w:eastAsia="SymbolMT" w:hAnsi="TimesNewRomanPS-BoldMT" w:cs="SymbolMT"/>
          <w:sz w:val="24"/>
        </w:rPr>
      </w:pPr>
      <w:r w:rsidRPr="00883399">
        <w:rPr>
          <w:i/>
          <w:sz w:val="24"/>
        </w:rPr>
        <w:t>∆</w:t>
      </w:r>
      <w:r w:rsidRPr="00883399">
        <w:rPr>
          <w:sz w:val="24"/>
        </w:rPr>
        <w:t>C</w:t>
      </w:r>
      <w:r w:rsidRPr="00883399">
        <w:rPr>
          <w:rStyle w:val="charSubscript"/>
          <w:sz w:val="24"/>
          <w:szCs w:val="22"/>
        </w:rPr>
        <w:t xml:space="preserve">ost </w:t>
      </w:r>
      <w:r w:rsidRPr="00883399">
        <w:rPr>
          <w:rFonts w:ascii="SymbolMT" w:eastAsia="SymbolMT" w:hAnsi="TimesNewRomanPS-BoldMT" w:cs="SymbolMT"/>
          <w:sz w:val="24"/>
        </w:rPr>
        <w:t>=</w:t>
      </w:r>
      <w:r w:rsidRPr="00883399">
        <w:rPr>
          <w:i/>
          <w:sz w:val="24"/>
        </w:rPr>
        <w:t xml:space="preserve"> ∑</w:t>
      </w:r>
      <w:r w:rsidRPr="00883399">
        <w:rPr>
          <w:i/>
          <w:sz w:val="24"/>
          <w:vertAlign w:val="subscript"/>
        </w:rPr>
        <w:t>i</w:t>
      </w:r>
      <w:r w:rsidRPr="00883399">
        <w:rPr>
          <w:i/>
          <w:sz w:val="24"/>
        </w:rPr>
        <w:t xml:space="preserve"> </w:t>
      </w:r>
      <w:r w:rsidRPr="00883399">
        <w:rPr>
          <w:sz w:val="24"/>
        </w:rPr>
        <w:t>C</w:t>
      </w:r>
      <w:r w:rsidRPr="00883399">
        <w:rPr>
          <w:sz w:val="24"/>
          <w:vertAlign w:val="subscript"/>
        </w:rPr>
        <w:t>osit</w:t>
      </w:r>
      <w:r w:rsidRPr="00883399">
        <w:rPr>
          <w:i/>
          <w:sz w:val="24"/>
          <w:vertAlign w:val="subscript"/>
        </w:rPr>
        <w:t xml:space="preserve"> </w:t>
      </w:r>
      <w:r w:rsidRPr="00883399">
        <w:rPr>
          <w:sz w:val="24"/>
        </w:rPr>
        <w:sym w:font="Symbol" w:char="F0B4"/>
      </w:r>
      <w:r w:rsidRPr="00883399">
        <w:rPr>
          <w:i/>
          <w:sz w:val="24"/>
        </w:rPr>
        <w:t xml:space="preserve"> </w:t>
      </w:r>
      <w:r w:rsidRPr="00883399">
        <w:rPr>
          <w:rFonts w:ascii="SymbolMT" w:eastAsia="SymbolMT" w:hAnsi="TimesNewRomanPS-BoldMT" w:cs="SymbolMT"/>
          <w:sz w:val="24"/>
        </w:rPr>
        <w:t>(</w:t>
      </w:r>
      <w:r w:rsidRPr="00883399">
        <w:rPr>
          <w:rFonts w:ascii="TimesNewRomanPSMT" w:hAnsi="TimesNewRomanPSMT" w:cs="TimesNewRomanPSMT"/>
          <w:sz w:val="24"/>
        </w:rPr>
        <w:t>1</w:t>
      </w:r>
      <w:r w:rsidRPr="00883399">
        <w:rPr>
          <w:rFonts w:ascii="SymbolMT" w:eastAsia="SymbolMT" w:hAnsi="TimesNewRomanPS-BoldMT" w:cs="SymbolMT" w:hint="eastAsia"/>
          <w:sz w:val="24"/>
        </w:rPr>
        <w:t>−</w:t>
      </w:r>
      <w:r w:rsidRPr="00883399">
        <w:rPr>
          <w:i/>
          <w:sz w:val="24"/>
        </w:rPr>
        <w:t>e</w:t>
      </w:r>
      <w:r w:rsidRPr="00883399">
        <w:rPr>
          <w:rFonts w:ascii="SymbolMT" w:eastAsia="SymbolMT" w:hAnsi="TimesNewRomanPS-BoldMT" w:cs="SymbolMT" w:hint="eastAsia"/>
          <w:sz w:val="24"/>
          <w:vertAlign w:val="superscript"/>
        </w:rPr>
        <w:t>−</w:t>
      </w:r>
      <w:r w:rsidRPr="00883399">
        <w:rPr>
          <w:i/>
          <w:sz w:val="24"/>
          <w:vertAlign w:val="superscript"/>
        </w:rPr>
        <w:t>ki</w:t>
      </w:r>
      <w:r w:rsidRPr="00883399">
        <w:rPr>
          <w:rFonts w:ascii="SymbolMT" w:eastAsia="SymbolMT" w:hAnsi="TimesNewRomanPS-BoldMT" w:cs="SymbolMT"/>
          <w:sz w:val="24"/>
        </w:rPr>
        <w:t>)</w:t>
      </w:r>
    </w:p>
    <w:p w14:paraId="2768485C" w14:textId="77777777" w:rsidR="00872C03" w:rsidRPr="00883399" w:rsidRDefault="00872C03" w:rsidP="00872C03">
      <w:pPr>
        <w:pStyle w:val="subsection2"/>
        <w:rPr>
          <w:sz w:val="24"/>
        </w:rPr>
      </w:pPr>
      <w:r w:rsidRPr="00883399">
        <w:rPr>
          <w:sz w:val="24"/>
        </w:rPr>
        <w:t>where:</w:t>
      </w:r>
    </w:p>
    <w:p w14:paraId="66ACC6B0" w14:textId="77777777" w:rsidR="00872C03" w:rsidRPr="00883399" w:rsidRDefault="00872C03" w:rsidP="00872C03">
      <w:pPr>
        <w:pStyle w:val="Definition0"/>
        <w:rPr>
          <w:sz w:val="24"/>
        </w:rPr>
      </w:pPr>
      <w:r w:rsidRPr="00883399">
        <w:rPr>
          <w:b/>
          <w:i/>
          <w:sz w:val="24"/>
        </w:rPr>
        <w:t>C</w:t>
      </w:r>
      <w:r w:rsidRPr="00883399">
        <w:rPr>
          <w:b/>
          <w:i/>
          <w:sz w:val="24"/>
          <w:vertAlign w:val="subscript"/>
        </w:rPr>
        <w:t xml:space="preserve">osit </w:t>
      </w:r>
      <w:r w:rsidRPr="00883399">
        <w:rPr>
          <w:sz w:val="24"/>
        </w:rPr>
        <w:t>is the quantity of decomposable degradable organic carbon accumulated in the landfill at the beginning of the reporting year from all waste mix types mentioned in subsection 5.11(1), measured in tonnes and equals:</w:t>
      </w:r>
    </w:p>
    <w:p w14:paraId="0D4F42E7" w14:textId="77777777" w:rsidR="00872C03" w:rsidRPr="00883399" w:rsidRDefault="00872C03" w:rsidP="00872C03">
      <w:pPr>
        <w:pStyle w:val="Definition0"/>
        <w:spacing w:before="120" w:after="120"/>
        <w:rPr>
          <w:sz w:val="24"/>
        </w:rPr>
      </w:pPr>
      <w:r w:rsidRPr="00883399">
        <w:rPr>
          <w:sz w:val="24"/>
        </w:rPr>
        <w:t>C</w:t>
      </w:r>
      <w:r w:rsidRPr="00883399">
        <w:rPr>
          <w:sz w:val="24"/>
          <w:vertAlign w:val="subscript"/>
        </w:rPr>
        <w:t>osit</w:t>
      </w:r>
      <w:r w:rsidRPr="00883399">
        <w:rPr>
          <w:sz w:val="24"/>
        </w:rPr>
        <w:t xml:space="preserve"> = C</w:t>
      </w:r>
      <w:r w:rsidRPr="00883399">
        <w:rPr>
          <w:sz w:val="24"/>
          <w:vertAlign w:val="subscript"/>
        </w:rPr>
        <w:t>csit</w:t>
      </w:r>
      <w:r w:rsidRPr="00883399">
        <w:rPr>
          <w:sz w:val="24"/>
          <w:szCs w:val="22"/>
          <w:vertAlign w:val="subscript"/>
        </w:rPr>
        <w:noBreakHyphen/>
      </w:r>
      <w:r w:rsidRPr="00883399">
        <w:rPr>
          <w:sz w:val="24"/>
          <w:vertAlign w:val="subscript"/>
        </w:rPr>
        <w:t>1</w:t>
      </w:r>
    </w:p>
    <w:p w14:paraId="34C66026" w14:textId="77777777" w:rsidR="00872C03" w:rsidRPr="00883399" w:rsidRDefault="00872C03" w:rsidP="00872C03">
      <w:pPr>
        <w:pStyle w:val="subsection2"/>
        <w:rPr>
          <w:sz w:val="24"/>
        </w:rPr>
      </w:pPr>
      <w:r w:rsidRPr="00883399">
        <w:rPr>
          <w:sz w:val="24"/>
        </w:rPr>
        <w:t>where:</w:t>
      </w:r>
    </w:p>
    <w:p w14:paraId="39636F8A" w14:textId="77777777" w:rsidR="00872C03" w:rsidRPr="00883399" w:rsidRDefault="00872C03" w:rsidP="00872C03">
      <w:pPr>
        <w:pStyle w:val="Definition0"/>
        <w:rPr>
          <w:sz w:val="24"/>
        </w:rPr>
      </w:pPr>
      <w:r w:rsidRPr="00883399">
        <w:rPr>
          <w:b/>
          <w:i/>
          <w:sz w:val="24"/>
        </w:rPr>
        <w:t>C</w:t>
      </w:r>
      <w:r w:rsidRPr="00883399">
        <w:rPr>
          <w:b/>
          <w:i/>
          <w:sz w:val="24"/>
          <w:vertAlign w:val="subscript"/>
        </w:rPr>
        <w:t>csit</w:t>
      </w:r>
      <w:r w:rsidRPr="00883399">
        <w:rPr>
          <w:sz w:val="24"/>
          <w:szCs w:val="22"/>
          <w:vertAlign w:val="subscript"/>
        </w:rPr>
        <w:noBreakHyphen/>
      </w:r>
      <w:r w:rsidRPr="00883399">
        <w:rPr>
          <w:b/>
          <w:i/>
          <w:sz w:val="24"/>
          <w:vertAlign w:val="subscript"/>
        </w:rPr>
        <w:t xml:space="preserve">1 </w:t>
      </w:r>
      <w:r w:rsidRPr="00883399">
        <w:rPr>
          <w:sz w:val="24"/>
        </w:rPr>
        <w:t>is the closing stock of decomposable degradable organic carbon accumulated in the landfill in the year immediately preceding the reporting year from all waste mix types mentioned in subsection 5.11(1), measured in tonnes and equals:</w:t>
      </w:r>
    </w:p>
    <w:p w14:paraId="36BAE3E4" w14:textId="77777777" w:rsidR="00872C03" w:rsidRPr="00883399" w:rsidRDefault="00872C03" w:rsidP="00872C03">
      <w:pPr>
        <w:pStyle w:val="Definition0"/>
        <w:spacing w:before="120" w:after="120"/>
        <w:rPr>
          <w:sz w:val="24"/>
          <w:szCs w:val="22"/>
          <w:vertAlign w:val="subscript"/>
        </w:rPr>
      </w:pPr>
      <w:r w:rsidRPr="00883399">
        <w:rPr>
          <w:sz w:val="24"/>
        </w:rPr>
        <w:t>C</w:t>
      </w:r>
      <w:r w:rsidRPr="00883399">
        <w:rPr>
          <w:rStyle w:val="charSubscript"/>
          <w:sz w:val="24"/>
          <w:szCs w:val="22"/>
        </w:rPr>
        <w:t>csit</w:t>
      </w:r>
      <w:r w:rsidRPr="00883399">
        <w:rPr>
          <w:sz w:val="24"/>
        </w:rPr>
        <w:t xml:space="preserve"> = C</w:t>
      </w:r>
      <w:r w:rsidRPr="00883399">
        <w:rPr>
          <w:rStyle w:val="charSubscript"/>
          <w:sz w:val="24"/>
          <w:szCs w:val="22"/>
        </w:rPr>
        <w:t>osit</w:t>
      </w:r>
      <w:r w:rsidRPr="00883399">
        <w:rPr>
          <w:sz w:val="24"/>
        </w:rPr>
        <w:t xml:space="preserve"> – ∆C</w:t>
      </w:r>
      <w:r w:rsidRPr="00883399">
        <w:rPr>
          <w:rStyle w:val="charSubscript"/>
          <w:sz w:val="24"/>
          <w:szCs w:val="22"/>
        </w:rPr>
        <w:t>osit</w:t>
      </w:r>
      <w:r w:rsidRPr="00883399">
        <w:rPr>
          <w:sz w:val="24"/>
        </w:rPr>
        <w:t xml:space="preserve"> + C</w:t>
      </w:r>
      <w:r w:rsidRPr="00883399">
        <w:rPr>
          <w:rStyle w:val="charSubscript"/>
          <w:sz w:val="24"/>
          <w:szCs w:val="22"/>
        </w:rPr>
        <w:t>ait</w:t>
      </w:r>
      <w:r w:rsidRPr="00883399">
        <w:rPr>
          <w:sz w:val="24"/>
        </w:rPr>
        <w:t xml:space="preserve"> – ∆C</w:t>
      </w:r>
      <w:r w:rsidRPr="00883399">
        <w:rPr>
          <w:rStyle w:val="charSubscript"/>
          <w:sz w:val="24"/>
          <w:szCs w:val="22"/>
        </w:rPr>
        <w:t>ait</w:t>
      </w:r>
    </w:p>
    <w:p w14:paraId="3AC564BD" w14:textId="77777777" w:rsidR="00872C03" w:rsidRPr="00883399" w:rsidRDefault="00872C03" w:rsidP="00872C03">
      <w:pPr>
        <w:pStyle w:val="subsection2"/>
        <w:rPr>
          <w:sz w:val="24"/>
        </w:rPr>
      </w:pPr>
      <w:r w:rsidRPr="00883399">
        <w:rPr>
          <w:sz w:val="24"/>
        </w:rPr>
        <w:lastRenderedPageBreak/>
        <w:t>and:</w:t>
      </w:r>
    </w:p>
    <w:p w14:paraId="41B6885E" w14:textId="77777777" w:rsidR="00872C03" w:rsidRPr="00883399" w:rsidRDefault="00872C03" w:rsidP="00872C03">
      <w:pPr>
        <w:pStyle w:val="Definition0"/>
        <w:rPr>
          <w:sz w:val="24"/>
        </w:rPr>
      </w:pPr>
      <w:r w:rsidRPr="00883399">
        <w:rPr>
          <w:b/>
          <w:i/>
          <w:sz w:val="24"/>
        </w:rPr>
        <w:t>∆C</w:t>
      </w:r>
      <w:r w:rsidRPr="00883399">
        <w:rPr>
          <w:b/>
          <w:i/>
          <w:sz w:val="24"/>
          <w:vertAlign w:val="subscript"/>
        </w:rPr>
        <w:t xml:space="preserve">at </w:t>
      </w:r>
      <w:r w:rsidRPr="00883399">
        <w:rPr>
          <w:sz w:val="24"/>
        </w:rPr>
        <w:t>is the change in the quantity of decomposable degradable organic carbon derived from the sum of all waste mix types deposited at the landfill during the reporting year, measured in tonnes, lost through decomposition, and equals:</w:t>
      </w:r>
    </w:p>
    <w:p w14:paraId="129A5299" w14:textId="77777777" w:rsidR="00872C03" w:rsidRPr="00883399" w:rsidRDefault="00872C03" w:rsidP="00872C03">
      <w:pPr>
        <w:pStyle w:val="Definition0"/>
        <w:spacing w:before="120" w:after="120"/>
        <w:rPr>
          <w:rFonts w:ascii="TimesNewRomanPSMT" w:hAnsi="TimesNewRomanPSMT" w:cs="TimesNewRomanPSMT"/>
          <w:sz w:val="24"/>
        </w:rPr>
      </w:pPr>
      <w:r w:rsidRPr="00883399">
        <w:rPr>
          <w:sz w:val="24"/>
        </w:rPr>
        <w:t>∆C</w:t>
      </w:r>
      <w:r w:rsidRPr="00883399">
        <w:rPr>
          <w:rStyle w:val="charSubscript"/>
          <w:sz w:val="24"/>
          <w:szCs w:val="22"/>
        </w:rPr>
        <w:t xml:space="preserve">at </w:t>
      </w:r>
      <w:r w:rsidRPr="00883399">
        <w:rPr>
          <w:rFonts w:eastAsia="SymbolMT"/>
          <w:b/>
          <w:sz w:val="24"/>
        </w:rPr>
        <w:t>=</w:t>
      </w:r>
      <w:r w:rsidRPr="00883399">
        <w:rPr>
          <w:rFonts w:ascii="SymbolMT" w:eastAsia="SymbolMT" w:hAnsi="TimesNewRomanPS-BoldMT" w:cs="SymbolMT"/>
          <w:b/>
          <w:sz w:val="24"/>
          <w:szCs w:val="22"/>
        </w:rPr>
        <w:t xml:space="preserve"> </w:t>
      </w:r>
      <w:r w:rsidRPr="00883399">
        <w:rPr>
          <w:rFonts w:ascii="TimesNewRomanPS-ItalicMT" w:hAnsi="TimesNewRomanPS-ItalicMT" w:cs="TimesNewRomanPS-ItalicMT"/>
          <w:i/>
          <w:iCs/>
          <w:sz w:val="24"/>
        </w:rPr>
        <w:t>∑</w:t>
      </w:r>
      <w:r w:rsidRPr="00883399">
        <w:rPr>
          <w:rFonts w:ascii="TimesNewRomanPS-ItalicMT" w:hAnsi="TimesNewRomanPS-ItalicMT" w:cs="TimesNewRomanPS-ItalicMT"/>
          <w:i/>
          <w:iCs/>
          <w:sz w:val="24"/>
          <w:vertAlign w:val="subscript"/>
        </w:rPr>
        <w:t>i</w:t>
      </w:r>
      <w:r w:rsidRPr="00883399">
        <w:rPr>
          <w:rFonts w:ascii="TimesNewRomanPS-ItalicMT" w:hAnsi="TimesNewRomanPS-ItalicMT" w:cs="TimesNewRomanPS-ItalicMT"/>
          <w:i/>
          <w:iCs/>
          <w:sz w:val="24"/>
        </w:rPr>
        <w:t xml:space="preserve"> </w:t>
      </w:r>
      <w:r w:rsidRPr="00883399">
        <w:rPr>
          <w:sz w:val="24"/>
        </w:rPr>
        <w:t>C</w:t>
      </w:r>
      <w:r w:rsidRPr="00883399">
        <w:rPr>
          <w:rStyle w:val="charSubscript"/>
          <w:sz w:val="24"/>
          <w:szCs w:val="22"/>
        </w:rPr>
        <w:t>ait</w:t>
      </w:r>
      <w:r w:rsidRPr="00883399">
        <w:rPr>
          <w:rFonts w:eastAsia="SymbolMT"/>
          <w:sz w:val="24"/>
        </w:rPr>
        <w:t xml:space="preserve"> </w:t>
      </w:r>
      <w:r w:rsidRPr="00883399">
        <w:rPr>
          <w:sz w:val="24"/>
        </w:rPr>
        <w:sym w:font="Symbol" w:char="F0B4"/>
      </w:r>
      <w:r w:rsidRPr="00883399">
        <w:rPr>
          <w:rFonts w:eastAsia="SymbolMT"/>
          <w:sz w:val="24"/>
        </w:rPr>
        <w:t xml:space="preserve"> </w:t>
      </w:r>
      <w:r w:rsidRPr="00883399">
        <w:rPr>
          <w:sz w:val="24"/>
        </w:rPr>
        <w:t>[</w:t>
      </w:r>
      <w:r w:rsidRPr="00883399">
        <w:rPr>
          <w:rFonts w:ascii="TimesNewRomanPSMT" w:hAnsi="TimesNewRomanPSMT"/>
          <w:sz w:val="24"/>
        </w:rPr>
        <w:t>1</w:t>
      </w:r>
      <w:r w:rsidRPr="00883399">
        <w:rPr>
          <w:rFonts w:ascii="SymbolMT" w:eastAsia="SymbolMT" w:hint="eastAsia"/>
          <w:sz w:val="24"/>
        </w:rPr>
        <w:t>−</w:t>
      </w:r>
      <w:r w:rsidRPr="00883399">
        <w:rPr>
          <w:rFonts w:ascii="TimesNewRomanPS-ItalicMT" w:hAnsi="TimesNewRomanPS-ItalicMT"/>
          <w:i/>
          <w:iCs/>
          <w:sz w:val="24"/>
        </w:rPr>
        <w:t>e</w:t>
      </w:r>
      <w:r w:rsidRPr="00883399">
        <w:rPr>
          <w:sz w:val="24"/>
        </w:rPr>
        <w:t xml:space="preserve"> </w:t>
      </w:r>
      <w:r w:rsidRPr="00883399">
        <w:rPr>
          <w:sz w:val="24"/>
          <w:vertAlign w:val="superscript"/>
        </w:rPr>
        <w:t>–</w:t>
      </w:r>
      <w:r w:rsidRPr="00883399">
        <w:rPr>
          <w:rFonts w:ascii="TimesNewRomanPS-ItalicMT" w:hAnsi="TimesNewRomanPS-ItalicMT"/>
          <w:i/>
          <w:iCs/>
          <w:sz w:val="24"/>
          <w:vertAlign w:val="superscript"/>
        </w:rPr>
        <w:t xml:space="preserve">ki </w:t>
      </w:r>
      <w:r w:rsidRPr="00883399">
        <w:rPr>
          <w:rFonts w:ascii="Symbol" w:hAnsi="Symbol"/>
          <w:sz w:val="24"/>
          <w:vertAlign w:val="superscript"/>
        </w:rPr>
        <w:t></w:t>
      </w:r>
      <w:r w:rsidRPr="00883399">
        <w:rPr>
          <w:sz w:val="24"/>
          <w:vertAlign w:val="superscript"/>
        </w:rPr>
        <w:t xml:space="preserve"> (</w:t>
      </w:r>
      <w:r w:rsidRPr="00883399">
        <w:rPr>
          <w:rFonts w:ascii="TimesNewRomanPSMT" w:hAnsi="TimesNewRomanPSMT"/>
          <w:sz w:val="24"/>
          <w:vertAlign w:val="superscript"/>
        </w:rPr>
        <w:t>13</w:t>
      </w:r>
      <w:r w:rsidRPr="00883399">
        <w:rPr>
          <w:sz w:val="24"/>
        </w:rPr>
        <w:t xml:space="preserve"> </w:t>
      </w:r>
      <w:r w:rsidRPr="00883399">
        <w:rPr>
          <w:sz w:val="24"/>
          <w:vertAlign w:val="superscript"/>
        </w:rPr>
        <w:t xml:space="preserve">– </w:t>
      </w:r>
      <w:r w:rsidRPr="00883399">
        <w:rPr>
          <w:rFonts w:ascii="TimesNewRomanPS-ItalicMT" w:hAnsi="TimesNewRomanPS-ItalicMT"/>
          <w:i/>
          <w:iCs/>
          <w:sz w:val="24"/>
          <w:vertAlign w:val="superscript"/>
        </w:rPr>
        <w:t>M</w:t>
      </w:r>
      <w:r w:rsidRPr="00883399">
        <w:rPr>
          <w:sz w:val="24"/>
          <w:vertAlign w:val="superscript"/>
        </w:rPr>
        <w:t>)</w:t>
      </w:r>
      <w:r w:rsidRPr="00883399">
        <w:rPr>
          <w:rFonts w:ascii="TimesNewRomanPS-ItalicMT" w:hAnsi="TimesNewRomanPS-ItalicMT"/>
          <w:i/>
          <w:iCs/>
          <w:sz w:val="24"/>
          <w:vertAlign w:val="superscript"/>
        </w:rPr>
        <w:t xml:space="preserve"> </w:t>
      </w:r>
      <w:r w:rsidRPr="00883399">
        <w:rPr>
          <w:rFonts w:ascii="TimesNewRomanPSMT" w:hAnsi="TimesNewRomanPSMT"/>
          <w:sz w:val="24"/>
          <w:vertAlign w:val="superscript"/>
        </w:rPr>
        <w:t>/12</w:t>
      </w:r>
      <w:r w:rsidRPr="00883399">
        <w:rPr>
          <w:rFonts w:ascii="TimesNewRomanPSMT" w:hAnsi="TimesNewRomanPSMT"/>
          <w:sz w:val="24"/>
        </w:rPr>
        <w:t>]</w:t>
      </w:r>
    </w:p>
    <w:p w14:paraId="455F5FE5" w14:textId="77777777" w:rsidR="00872C03" w:rsidRPr="00883399" w:rsidRDefault="00872C03" w:rsidP="00872C03">
      <w:pPr>
        <w:pStyle w:val="subsection2"/>
        <w:rPr>
          <w:sz w:val="24"/>
        </w:rPr>
      </w:pPr>
      <w:r w:rsidRPr="00883399">
        <w:rPr>
          <w:sz w:val="24"/>
        </w:rPr>
        <w:t>where:</w:t>
      </w:r>
    </w:p>
    <w:p w14:paraId="76EEA363" w14:textId="77777777" w:rsidR="00872C03" w:rsidRPr="00883399" w:rsidRDefault="00872C03" w:rsidP="00872C03">
      <w:pPr>
        <w:pStyle w:val="Definition0"/>
        <w:rPr>
          <w:sz w:val="24"/>
        </w:rPr>
      </w:pPr>
      <w:r w:rsidRPr="00883399">
        <w:rPr>
          <w:b/>
          <w:i/>
          <w:iCs/>
          <w:sz w:val="24"/>
        </w:rPr>
        <w:t>C</w:t>
      </w:r>
      <w:r w:rsidRPr="00883399">
        <w:rPr>
          <w:b/>
          <w:i/>
          <w:iCs/>
          <w:sz w:val="24"/>
          <w:vertAlign w:val="subscript"/>
        </w:rPr>
        <w:t>ait</w:t>
      </w:r>
      <w:r w:rsidRPr="00883399">
        <w:rPr>
          <w:b/>
          <w:i/>
          <w:sz w:val="24"/>
        </w:rPr>
        <w:t xml:space="preserve"> </w:t>
      </w:r>
      <w:r w:rsidRPr="00883399">
        <w:rPr>
          <w:sz w:val="24"/>
        </w:rPr>
        <w:t>is the quantity of degradable organic carbon in all waste mix types mentioned in subsection 5.11(1) deposited at the landfill during the reporting year , measured in tonnes and is equal to:</w:t>
      </w:r>
    </w:p>
    <w:p w14:paraId="3BFF0CF1" w14:textId="77777777" w:rsidR="00872C03" w:rsidRPr="00883399" w:rsidRDefault="00872C03" w:rsidP="00872C03">
      <w:pPr>
        <w:pStyle w:val="Definition0"/>
        <w:spacing w:before="120" w:after="120"/>
        <w:rPr>
          <w:sz w:val="24"/>
        </w:rPr>
      </w:pPr>
      <w:r w:rsidRPr="00883399">
        <w:rPr>
          <w:iCs/>
          <w:sz w:val="24"/>
        </w:rPr>
        <w:t>C</w:t>
      </w:r>
      <w:r w:rsidRPr="00883399">
        <w:rPr>
          <w:iCs/>
          <w:sz w:val="24"/>
          <w:vertAlign w:val="subscript"/>
        </w:rPr>
        <w:t>ait</w:t>
      </w:r>
      <w:r w:rsidRPr="00883399">
        <w:rPr>
          <w:i/>
          <w:iCs/>
          <w:sz w:val="24"/>
        </w:rPr>
        <w:t xml:space="preserve"> = </w:t>
      </w:r>
      <w:r w:rsidRPr="00883399">
        <w:rPr>
          <w:rFonts w:ascii="Times New Roman Bold" w:hAnsi="Times New Roman Bold"/>
          <w:b/>
          <w:sz w:val="24"/>
        </w:rPr>
        <w:t>(</w:t>
      </w:r>
      <w:r w:rsidRPr="00883399">
        <w:rPr>
          <w:sz w:val="24"/>
        </w:rPr>
        <w:t>Q</w:t>
      </w:r>
      <w:r w:rsidRPr="00883399">
        <w:rPr>
          <w:sz w:val="24"/>
          <w:vertAlign w:val="subscript"/>
        </w:rPr>
        <w:t xml:space="preserve">it </w:t>
      </w:r>
      <w:r w:rsidRPr="00883399">
        <w:rPr>
          <w:sz w:val="24"/>
        </w:rPr>
        <w:sym w:font="Symbol" w:char="F0B4"/>
      </w:r>
      <w:r w:rsidRPr="00883399">
        <w:rPr>
          <w:sz w:val="24"/>
        </w:rPr>
        <w:t xml:space="preserve"> DOC</w:t>
      </w:r>
      <w:r w:rsidRPr="00883399">
        <w:rPr>
          <w:sz w:val="24"/>
          <w:vertAlign w:val="subscript"/>
        </w:rPr>
        <w:t xml:space="preserve">i </w:t>
      </w:r>
      <w:r w:rsidRPr="00883399">
        <w:rPr>
          <w:sz w:val="24"/>
        </w:rPr>
        <w:sym w:font="Symbol" w:char="F0B4"/>
      </w:r>
      <w:r w:rsidRPr="00883399">
        <w:rPr>
          <w:sz w:val="24"/>
        </w:rPr>
        <w:t xml:space="preserve"> DOC</w:t>
      </w:r>
      <w:r w:rsidRPr="00883399">
        <w:rPr>
          <w:sz w:val="24"/>
          <w:vertAlign w:val="subscript"/>
        </w:rPr>
        <w:t>fi</w:t>
      </w:r>
      <w:r w:rsidRPr="00883399">
        <w:rPr>
          <w:sz w:val="24"/>
        </w:rPr>
        <w:t xml:space="preserve"> </w:t>
      </w:r>
      <w:r w:rsidRPr="00883399">
        <w:rPr>
          <w:sz w:val="24"/>
        </w:rPr>
        <w:sym w:font="Symbol" w:char="F0B4"/>
      </w:r>
      <w:r w:rsidRPr="00883399">
        <w:rPr>
          <w:sz w:val="24"/>
        </w:rPr>
        <w:t xml:space="preserve"> MCF)</w:t>
      </w:r>
    </w:p>
    <w:p w14:paraId="42A05CAE" w14:textId="77777777" w:rsidR="00872C03" w:rsidRPr="00883399" w:rsidRDefault="00872C03" w:rsidP="00872C03">
      <w:pPr>
        <w:pStyle w:val="subsection2"/>
        <w:rPr>
          <w:sz w:val="24"/>
        </w:rPr>
      </w:pPr>
      <w:r w:rsidRPr="00883399">
        <w:rPr>
          <w:sz w:val="24"/>
        </w:rPr>
        <w:t>where:</w:t>
      </w:r>
    </w:p>
    <w:p w14:paraId="1D1064F7" w14:textId="77777777" w:rsidR="00872C03" w:rsidRPr="00883399" w:rsidRDefault="00872C03" w:rsidP="00872C03">
      <w:pPr>
        <w:pStyle w:val="Definition0"/>
        <w:rPr>
          <w:sz w:val="24"/>
        </w:rPr>
      </w:pPr>
      <w:r w:rsidRPr="00883399">
        <w:rPr>
          <w:b/>
          <w:i/>
          <w:sz w:val="24"/>
        </w:rPr>
        <w:t>Q</w:t>
      </w:r>
      <w:r w:rsidRPr="00883399">
        <w:rPr>
          <w:rFonts w:ascii="Times New Roman Bold Italic" w:hAnsi="Times New Roman Bold Italic"/>
          <w:b/>
          <w:i/>
          <w:sz w:val="24"/>
          <w:vertAlign w:val="subscript"/>
        </w:rPr>
        <w:t>it</w:t>
      </w:r>
      <w:r w:rsidRPr="00883399">
        <w:rPr>
          <w:b/>
          <w:i/>
          <w:sz w:val="24"/>
        </w:rPr>
        <w:t xml:space="preserve"> </w:t>
      </w:r>
      <w:r w:rsidRPr="00883399">
        <w:rPr>
          <w:sz w:val="24"/>
        </w:rPr>
        <w:t>is the quantity of all waste mix types mentioned in subsection 5.11(1) deposited at the landfill during the reporting year, measured in tonnes.</w:t>
      </w:r>
    </w:p>
    <w:p w14:paraId="18FE24D6" w14:textId="77777777" w:rsidR="00872C03" w:rsidRPr="00883399" w:rsidRDefault="00872C03" w:rsidP="00872C03">
      <w:pPr>
        <w:pStyle w:val="Definition0"/>
        <w:rPr>
          <w:sz w:val="24"/>
        </w:rPr>
      </w:pPr>
      <w:r w:rsidRPr="00883399">
        <w:rPr>
          <w:b/>
          <w:i/>
          <w:sz w:val="24"/>
        </w:rPr>
        <w:t>DOC</w:t>
      </w:r>
      <w:r w:rsidRPr="00883399">
        <w:rPr>
          <w:b/>
          <w:i/>
          <w:sz w:val="24"/>
          <w:vertAlign w:val="subscript"/>
        </w:rPr>
        <w:t xml:space="preserve">i </w:t>
      </w:r>
      <w:r w:rsidRPr="00883399">
        <w:rPr>
          <w:sz w:val="24"/>
        </w:rPr>
        <w:t>is the fraction of the degradable organic carbon content of the solid waste for all waste mix types mentioned in subsection 5.11(1) and deposited at the landfill.</w:t>
      </w:r>
    </w:p>
    <w:p w14:paraId="68D7D5B2" w14:textId="77777777" w:rsidR="00872C03" w:rsidRPr="00883399" w:rsidRDefault="00872C03" w:rsidP="00872C03">
      <w:pPr>
        <w:pStyle w:val="Definition0"/>
        <w:rPr>
          <w:sz w:val="24"/>
        </w:rPr>
      </w:pPr>
      <w:r w:rsidRPr="00883399">
        <w:rPr>
          <w:b/>
          <w:i/>
          <w:sz w:val="24"/>
        </w:rPr>
        <w:t>DOC</w:t>
      </w:r>
      <w:r w:rsidRPr="00883399">
        <w:rPr>
          <w:b/>
          <w:i/>
          <w:sz w:val="24"/>
          <w:vertAlign w:val="subscript"/>
        </w:rPr>
        <w:t xml:space="preserve">fi </w:t>
      </w:r>
      <w:r w:rsidRPr="00883399">
        <w:rPr>
          <w:sz w:val="24"/>
        </w:rPr>
        <w:t>is the fraction of decomposable degradable organic carbon for all waste mix types mentioned in subsection 5.11(1).</w:t>
      </w:r>
    </w:p>
    <w:p w14:paraId="3B2DF118" w14:textId="77777777" w:rsidR="00872C03" w:rsidRPr="00883399" w:rsidRDefault="00872C03" w:rsidP="00872C03">
      <w:pPr>
        <w:pStyle w:val="Definition0"/>
        <w:rPr>
          <w:sz w:val="24"/>
        </w:rPr>
      </w:pPr>
      <w:r w:rsidRPr="00883399">
        <w:rPr>
          <w:b/>
          <w:i/>
          <w:sz w:val="24"/>
        </w:rPr>
        <w:t xml:space="preserve">MCF </w:t>
      </w:r>
      <w:r w:rsidRPr="00883399">
        <w:rPr>
          <w:sz w:val="24"/>
        </w:rPr>
        <w:t>is the methane correction factor for aerobic decomposition for the facility during the reporting year.</w:t>
      </w:r>
    </w:p>
    <w:p w14:paraId="6C8700FB" w14:textId="77777777" w:rsidR="00872C03" w:rsidRPr="00883399" w:rsidRDefault="00872C03" w:rsidP="00872C03">
      <w:pPr>
        <w:pStyle w:val="subsection2"/>
        <w:rPr>
          <w:sz w:val="24"/>
        </w:rPr>
      </w:pPr>
      <w:r w:rsidRPr="00883399">
        <w:rPr>
          <w:sz w:val="24"/>
        </w:rPr>
        <w:t>and where:</w:t>
      </w:r>
    </w:p>
    <w:p w14:paraId="123D802B" w14:textId="77777777" w:rsidR="00872C03" w:rsidRPr="00883399" w:rsidRDefault="00872C03" w:rsidP="00872C03">
      <w:pPr>
        <w:pStyle w:val="Definition0"/>
        <w:rPr>
          <w:sz w:val="24"/>
        </w:rPr>
      </w:pPr>
      <w:r w:rsidRPr="00883399">
        <w:rPr>
          <w:b/>
          <w:i/>
          <w:iCs/>
          <w:sz w:val="24"/>
        </w:rPr>
        <w:t>k</w:t>
      </w:r>
      <w:r w:rsidRPr="00883399">
        <w:rPr>
          <w:b/>
          <w:i/>
          <w:iCs/>
          <w:sz w:val="24"/>
          <w:vertAlign w:val="subscript"/>
        </w:rPr>
        <w:t xml:space="preserve">i </w:t>
      </w:r>
      <w:r w:rsidRPr="00883399">
        <w:rPr>
          <w:sz w:val="24"/>
        </w:rPr>
        <w:t>is the methane generation constant for all waste mix types mentioned in subsection 5.11(1).</w:t>
      </w:r>
    </w:p>
    <w:p w14:paraId="5C6AA326" w14:textId="77777777" w:rsidR="00872C03" w:rsidRPr="00883399" w:rsidRDefault="00872C03" w:rsidP="00872C03">
      <w:pPr>
        <w:pStyle w:val="Definition0"/>
        <w:rPr>
          <w:sz w:val="24"/>
        </w:rPr>
      </w:pPr>
      <w:r w:rsidRPr="00883399">
        <w:rPr>
          <w:b/>
          <w:i/>
          <w:sz w:val="24"/>
        </w:rPr>
        <w:t xml:space="preserve">t </w:t>
      </w:r>
      <w:r w:rsidRPr="00883399">
        <w:rPr>
          <w:sz w:val="24"/>
        </w:rPr>
        <w:t>is the reporting year.</w:t>
      </w:r>
    </w:p>
    <w:p w14:paraId="0201C51F" w14:textId="77777777" w:rsidR="00872C03" w:rsidRPr="00883399" w:rsidRDefault="00872C03" w:rsidP="00872C03">
      <w:pPr>
        <w:pStyle w:val="Definition0"/>
        <w:rPr>
          <w:sz w:val="24"/>
        </w:rPr>
      </w:pPr>
      <w:r w:rsidRPr="00883399">
        <w:rPr>
          <w:b/>
          <w:i/>
          <w:sz w:val="24"/>
        </w:rPr>
        <w:t xml:space="preserve">M </w:t>
      </w:r>
      <w:r w:rsidRPr="00883399">
        <w:rPr>
          <w:sz w:val="24"/>
        </w:rPr>
        <w:t>is the number of months before commencement of methane generation at the landfill plus 7.</w:t>
      </w:r>
    </w:p>
    <w:p w14:paraId="18F3E159" w14:textId="77777777" w:rsidR="00872C03" w:rsidRPr="00883399" w:rsidRDefault="00872C03" w:rsidP="00872C03">
      <w:pPr>
        <w:pStyle w:val="Definition0"/>
        <w:rPr>
          <w:sz w:val="24"/>
        </w:rPr>
      </w:pPr>
      <w:r w:rsidRPr="00883399">
        <w:rPr>
          <w:b/>
          <w:i/>
          <w:sz w:val="24"/>
        </w:rPr>
        <w:t>Σ</w:t>
      </w:r>
      <w:r w:rsidRPr="00883399">
        <w:rPr>
          <w:rFonts w:ascii="Times New Roman Bold Italic" w:hAnsi="Times New Roman Bold Italic"/>
          <w:b/>
          <w:i/>
          <w:sz w:val="24"/>
          <w:vertAlign w:val="subscript"/>
        </w:rPr>
        <w:t>i</w:t>
      </w:r>
      <w:r w:rsidRPr="00883399">
        <w:rPr>
          <w:b/>
          <w:i/>
          <w:sz w:val="24"/>
        </w:rPr>
        <w:t xml:space="preserve"> </w:t>
      </w:r>
      <w:r w:rsidRPr="00883399">
        <w:rPr>
          <w:sz w:val="24"/>
        </w:rPr>
        <w:t>is the sum for all waste mix types mentioned in subsection 5.11(1).</w:t>
      </w:r>
    </w:p>
    <w:p w14:paraId="5F18D7D1" w14:textId="77777777" w:rsidR="00872C03" w:rsidRPr="00883399" w:rsidRDefault="00872C03" w:rsidP="00872C03">
      <w:pPr>
        <w:pStyle w:val="notetext"/>
        <w:rPr>
          <w:sz w:val="20"/>
        </w:rPr>
      </w:pPr>
      <w:r w:rsidRPr="00883399">
        <w:rPr>
          <w:sz w:val="20"/>
        </w:rPr>
        <w:t>Note 1:</w:t>
      </w:r>
      <w:r w:rsidRPr="00883399">
        <w:rPr>
          <w:sz w:val="20"/>
        </w:rPr>
        <w:tab/>
        <w:t xml:space="preserve">For the definition of </w:t>
      </w:r>
      <w:r w:rsidRPr="00883399">
        <w:rPr>
          <w:b/>
          <w:i/>
          <w:sz w:val="20"/>
        </w:rPr>
        <w:t>reporting year</w:t>
      </w:r>
      <w:r w:rsidRPr="00883399">
        <w:rPr>
          <w:sz w:val="20"/>
        </w:rPr>
        <w:t xml:space="preserve">, see the </w:t>
      </w:r>
      <w:r w:rsidRPr="00883399">
        <w:rPr>
          <w:i/>
          <w:sz w:val="20"/>
        </w:rPr>
        <w:t>National Greenhouse and Energy Reporting Regulations 2008</w:t>
      </w:r>
      <w:r w:rsidRPr="00883399">
        <w:rPr>
          <w:sz w:val="20"/>
        </w:rPr>
        <w:t>.</w:t>
      </w:r>
    </w:p>
    <w:p w14:paraId="571C5E84" w14:textId="77777777" w:rsidR="00872C03" w:rsidRPr="00883399" w:rsidRDefault="00872C03" w:rsidP="00872C03">
      <w:pPr>
        <w:pStyle w:val="notetext"/>
        <w:rPr>
          <w:sz w:val="20"/>
        </w:rPr>
      </w:pPr>
      <w:r w:rsidRPr="00883399">
        <w:rPr>
          <w:sz w:val="20"/>
        </w:rPr>
        <w:t>Note 2:</w:t>
      </w:r>
      <w:r w:rsidRPr="00883399">
        <w:rPr>
          <w:sz w:val="20"/>
        </w:rPr>
        <w:tab/>
        <w:t>For the source of the equation included in:</w:t>
      </w:r>
    </w:p>
    <w:p w14:paraId="7662D5E0" w14:textId="77777777" w:rsidR="00872C03" w:rsidRPr="00883399" w:rsidRDefault="00872C03" w:rsidP="00872C03">
      <w:pPr>
        <w:pStyle w:val="notepara1"/>
        <w:rPr>
          <w:sz w:val="20"/>
        </w:rPr>
      </w:pPr>
      <w:r w:rsidRPr="00883399">
        <w:rPr>
          <w:sz w:val="20"/>
        </w:rPr>
        <w:t>(a)</w:t>
      </w:r>
      <w:r w:rsidRPr="00883399">
        <w:rPr>
          <w:sz w:val="20"/>
        </w:rPr>
        <w:tab/>
        <w:t>section 5.4D, see Volume 5, Chapter 3 of the 2006 IPCC Guidelines, equation 3.6; and</w:t>
      </w:r>
    </w:p>
    <w:p w14:paraId="48B3F01B" w14:textId="77777777" w:rsidR="00872C03" w:rsidRPr="00883399" w:rsidRDefault="00872C03" w:rsidP="00872C03">
      <w:pPr>
        <w:pStyle w:val="notepara1"/>
        <w:rPr>
          <w:sz w:val="20"/>
        </w:rPr>
      </w:pPr>
      <w:r w:rsidRPr="00883399">
        <w:rPr>
          <w:sz w:val="20"/>
        </w:rPr>
        <w:t>(b)</w:t>
      </w:r>
      <w:r w:rsidRPr="00883399">
        <w:rPr>
          <w:sz w:val="20"/>
        </w:rPr>
        <w:tab/>
        <w:t xml:space="preserve">the definition of </w:t>
      </w:r>
      <w:r w:rsidRPr="00883399">
        <w:rPr>
          <w:b/>
          <w:i/>
          <w:sz w:val="20"/>
        </w:rPr>
        <w:t>∆C</w:t>
      </w:r>
      <w:r w:rsidRPr="00883399">
        <w:rPr>
          <w:b/>
          <w:i/>
          <w:sz w:val="20"/>
          <w:vertAlign w:val="subscript"/>
        </w:rPr>
        <w:t>ost</w:t>
      </w:r>
      <w:r w:rsidRPr="00883399">
        <w:rPr>
          <w:sz w:val="20"/>
        </w:rPr>
        <w:t>, see Volume 5, Chapter 3 of the 2006 IPCC Guidelines, equation 3.5; and</w:t>
      </w:r>
    </w:p>
    <w:p w14:paraId="3A0F0DDB" w14:textId="77777777" w:rsidR="00872C03" w:rsidRPr="00883399" w:rsidRDefault="00872C03" w:rsidP="00872C03">
      <w:pPr>
        <w:pStyle w:val="notepara1"/>
        <w:rPr>
          <w:sz w:val="20"/>
        </w:rPr>
      </w:pPr>
      <w:r w:rsidRPr="00883399">
        <w:rPr>
          <w:sz w:val="20"/>
        </w:rPr>
        <w:lastRenderedPageBreak/>
        <w:t>(c)</w:t>
      </w:r>
      <w:r w:rsidRPr="00883399">
        <w:rPr>
          <w:sz w:val="20"/>
        </w:rPr>
        <w:tab/>
        <w:t>the definition of ∆</w:t>
      </w:r>
      <w:r w:rsidRPr="00883399">
        <w:rPr>
          <w:b/>
          <w:i/>
          <w:sz w:val="20"/>
        </w:rPr>
        <w:t>C</w:t>
      </w:r>
      <w:r w:rsidRPr="00883399">
        <w:rPr>
          <w:b/>
          <w:i/>
          <w:sz w:val="20"/>
          <w:vertAlign w:val="subscript"/>
        </w:rPr>
        <w:t>at</w:t>
      </w:r>
      <w:r w:rsidRPr="00883399">
        <w:rPr>
          <w:sz w:val="20"/>
        </w:rPr>
        <w:t>, see Volume 5, Chapter 3 of the 2006 IPCC Guidelines, equation 3.A1.13; and</w:t>
      </w:r>
    </w:p>
    <w:p w14:paraId="6E93606D" w14:textId="77777777" w:rsidR="00872C03" w:rsidRPr="00883399" w:rsidRDefault="00872C03" w:rsidP="00872C03">
      <w:pPr>
        <w:pStyle w:val="notepara1"/>
        <w:rPr>
          <w:sz w:val="20"/>
        </w:rPr>
      </w:pPr>
      <w:r w:rsidRPr="00883399">
        <w:rPr>
          <w:sz w:val="20"/>
        </w:rPr>
        <w:t>(d)</w:t>
      </w:r>
      <w:r w:rsidRPr="00883399">
        <w:rPr>
          <w:sz w:val="20"/>
        </w:rPr>
        <w:tab/>
        <w:t xml:space="preserve">the definition of </w:t>
      </w:r>
      <w:r w:rsidRPr="00883399">
        <w:rPr>
          <w:b/>
          <w:i/>
          <w:sz w:val="20"/>
        </w:rPr>
        <w:t>∆C</w:t>
      </w:r>
      <w:r w:rsidRPr="00883399">
        <w:rPr>
          <w:b/>
          <w:i/>
          <w:sz w:val="20"/>
          <w:vertAlign w:val="subscript"/>
        </w:rPr>
        <w:t>ait</w:t>
      </w:r>
      <w:r w:rsidRPr="00883399">
        <w:rPr>
          <w:sz w:val="20"/>
        </w:rPr>
        <w:t>, see Volume 5, Chapter 3 of the 2006 IPCC Guidelines, equation 3.2.</w:t>
      </w:r>
    </w:p>
    <w:p w14:paraId="26E71595" w14:textId="77777777" w:rsidR="00872C03" w:rsidRPr="00883399" w:rsidRDefault="00872C03" w:rsidP="00872C03">
      <w:pPr>
        <w:pStyle w:val="notetext"/>
        <w:rPr>
          <w:sz w:val="20"/>
        </w:rPr>
      </w:pPr>
      <w:r w:rsidRPr="00883399">
        <w:rPr>
          <w:sz w:val="20"/>
        </w:rPr>
        <w:t>Note 3:</w:t>
      </w:r>
      <w:r w:rsidRPr="00883399">
        <w:rPr>
          <w:sz w:val="20"/>
        </w:rPr>
        <w:tab/>
        <w:t>For each reporting year to which subsection 5.4(3) applies, use the equation mentioned in section 5.4B</w:t>
      </w:r>
    </w:p>
    <w:p w14:paraId="0A33C2D5" w14:textId="77777777" w:rsidR="00872C03" w:rsidRPr="00883399" w:rsidRDefault="00872C03" w:rsidP="00872C03">
      <w:pPr>
        <w:pStyle w:val="notetext"/>
        <w:rPr>
          <w:sz w:val="20"/>
        </w:rPr>
      </w:pPr>
      <w:r w:rsidRPr="00883399">
        <w:rPr>
          <w:sz w:val="20"/>
        </w:rPr>
        <w:t>Note 4:</w:t>
      </w:r>
      <w:r w:rsidRPr="00883399">
        <w:rPr>
          <w:sz w:val="20"/>
        </w:rPr>
        <w:tab/>
        <w:t>If the result of the first equation in subsection 5.4(3):</w:t>
      </w:r>
    </w:p>
    <w:p w14:paraId="7EC626B6" w14:textId="77777777" w:rsidR="00872C03" w:rsidRPr="00883399" w:rsidRDefault="00872C03" w:rsidP="00872C03">
      <w:pPr>
        <w:pStyle w:val="notepara1"/>
        <w:rPr>
          <w:sz w:val="20"/>
        </w:rPr>
      </w:pPr>
      <w:r w:rsidRPr="00883399">
        <w:rPr>
          <w:sz w:val="20"/>
        </w:rPr>
        <w:t>(a)</w:t>
      </w:r>
      <w:r w:rsidRPr="00883399">
        <w:rPr>
          <w:sz w:val="20"/>
        </w:rPr>
        <w:tab/>
        <w:t>was, for a previous reporting year or years, greater than 0.75; and</w:t>
      </w:r>
    </w:p>
    <w:p w14:paraId="12C8234F" w14:textId="77777777" w:rsidR="00872C03" w:rsidRPr="00883399" w:rsidRDefault="00872C03" w:rsidP="00872C03">
      <w:pPr>
        <w:pStyle w:val="notepara1"/>
        <w:rPr>
          <w:sz w:val="20"/>
        </w:rPr>
      </w:pPr>
      <w:r w:rsidRPr="00883399">
        <w:rPr>
          <w:sz w:val="20"/>
        </w:rPr>
        <w:t>(b)</w:t>
      </w:r>
      <w:r w:rsidRPr="00883399">
        <w:rPr>
          <w:sz w:val="20"/>
        </w:rPr>
        <w:tab/>
        <w:t xml:space="preserve">is, for the reporting year for which the result is calculated, (the </w:t>
      </w:r>
      <w:r w:rsidRPr="00883399">
        <w:rPr>
          <w:b/>
          <w:i/>
          <w:sz w:val="20"/>
        </w:rPr>
        <w:t>current reporting year</w:t>
      </w:r>
      <w:r w:rsidRPr="00883399">
        <w:rPr>
          <w:sz w:val="20"/>
        </w:rPr>
        <w:t>), less than or equal to 0.75;</w:t>
      </w:r>
    </w:p>
    <w:p w14:paraId="22FF45AC" w14:textId="77777777" w:rsidR="00872C03" w:rsidRPr="00883399" w:rsidRDefault="00872C03" w:rsidP="00872C03">
      <w:pPr>
        <w:pStyle w:val="notetext"/>
        <w:rPr>
          <w:sz w:val="20"/>
        </w:rPr>
      </w:pPr>
      <w:r w:rsidRPr="00883399">
        <w:rPr>
          <w:sz w:val="20"/>
        </w:rPr>
        <w:tab/>
        <w:t>use:</w:t>
      </w:r>
    </w:p>
    <w:p w14:paraId="3620A543" w14:textId="77777777" w:rsidR="00872C03" w:rsidRPr="00883399" w:rsidRDefault="00872C03" w:rsidP="00872C03">
      <w:pPr>
        <w:pStyle w:val="notepara1"/>
        <w:rPr>
          <w:sz w:val="20"/>
        </w:rPr>
      </w:pPr>
      <w:r w:rsidRPr="00883399">
        <w:rPr>
          <w:sz w:val="20"/>
        </w:rPr>
        <w:t>(c)</w:t>
      </w:r>
      <w:r w:rsidRPr="00883399">
        <w:rPr>
          <w:sz w:val="20"/>
        </w:rPr>
        <w:tab/>
        <w:t>the calculation in section 5.4B to calculate the change in the opening stock of carbon for the final reporting year in which the result of that equation is greater than 0.75; and</w:t>
      </w:r>
    </w:p>
    <w:p w14:paraId="1D70C3A6" w14:textId="77777777" w:rsidR="00872C03" w:rsidRPr="00883399" w:rsidRDefault="00872C03" w:rsidP="00872C03">
      <w:pPr>
        <w:pStyle w:val="notepara1"/>
        <w:rPr>
          <w:sz w:val="20"/>
        </w:rPr>
      </w:pPr>
      <w:r w:rsidRPr="00883399">
        <w:rPr>
          <w:sz w:val="20"/>
        </w:rPr>
        <w:t>(d)</w:t>
      </w:r>
      <w:r w:rsidRPr="00883399">
        <w:rPr>
          <w:sz w:val="20"/>
        </w:rPr>
        <w:tab/>
        <w:t>the calculation in section 5.4C to calculate the closing stock for that reporting year.</w:t>
      </w:r>
    </w:p>
    <w:p w14:paraId="0A0E75A6" w14:textId="77777777" w:rsidR="0031057E" w:rsidRPr="00883399" w:rsidRDefault="0031057E" w:rsidP="0031057E">
      <w:pPr>
        <w:pStyle w:val="notepara1"/>
        <w:ind w:left="0" w:firstLine="0"/>
        <w:rPr>
          <w:sz w:val="20"/>
        </w:rPr>
      </w:pPr>
    </w:p>
    <w:p w14:paraId="67C41993" w14:textId="77777777" w:rsidR="0031057E" w:rsidRPr="00883399" w:rsidRDefault="0031057E" w:rsidP="0031057E">
      <w:pPr>
        <w:pStyle w:val="R1"/>
        <w:spacing w:before="240" w:line="312" w:lineRule="auto"/>
        <w:ind w:left="0" w:firstLine="0"/>
        <w:rPr>
          <w:rFonts w:ascii="Arial" w:hAnsi="Arial" w:cs="Arial"/>
          <w:color w:val="000000"/>
          <w:sz w:val="22"/>
          <w:szCs w:val="22"/>
        </w:rPr>
      </w:pPr>
      <w:r w:rsidRPr="00883399">
        <w:rPr>
          <w:rFonts w:ascii="Arial" w:hAnsi="Arial" w:cs="Arial"/>
          <w:color w:val="000000"/>
          <w:sz w:val="22"/>
          <w:szCs w:val="22"/>
        </w:rPr>
        <w:t xml:space="preserve">Sections 5.5 – 5.8 set out the criterion available for estimating the tonnage of total solid waste received at the landfill. However, the tonnage of waste disposed of in a landfill is required by the IPCC Tier 2 FOD model. Reporters can determine the amount of waste disposed of in a landfill by subtracting the amount of waste diverted from disposal in a landfill from the amount of waste received at the landfill. Section 5.11A sets out the parameters available to make such deductions. This concept is best clarified by the following: </w:t>
      </w:r>
    </w:p>
    <w:p w14:paraId="6916060D" w14:textId="77777777" w:rsidR="0031057E" w:rsidRPr="00883399" w:rsidRDefault="0031057E" w:rsidP="0031057E">
      <w:pPr>
        <w:pStyle w:val="R1"/>
        <w:numPr>
          <w:ilvl w:val="0"/>
          <w:numId w:val="55"/>
        </w:numPr>
        <w:spacing w:before="240" w:line="312" w:lineRule="auto"/>
        <w:rPr>
          <w:rFonts w:ascii="Arial" w:hAnsi="Arial" w:cs="Arial"/>
          <w:color w:val="000000"/>
          <w:sz w:val="22"/>
          <w:szCs w:val="22"/>
        </w:rPr>
      </w:pPr>
      <w:r w:rsidRPr="00883399">
        <w:rPr>
          <w:rFonts w:ascii="Arial" w:hAnsi="Arial" w:cs="Arial"/>
          <w:color w:val="000000"/>
          <w:sz w:val="22"/>
          <w:szCs w:val="22"/>
        </w:rPr>
        <w:t xml:space="preserve">Waste disposed of in a landfill = waste received at the landfill – waste diverted from disposal (i.e. the quantity of material that is composted, recycled or used onsite). </w:t>
      </w:r>
    </w:p>
    <w:p w14:paraId="0CF2FEE9" w14:textId="77777777" w:rsidR="0031057E" w:rsidRPr="00883399" w:rsidRDefault="0031057E" w:rsidP="0031057E">
      <w:pPr>
        <w:pStyle w:val="R1"/>
        <w:keepLines w:val="0"/>
        <w:tabs>
          <w:tab w:val="clear" w:pos="794"/>
        </w:tabs>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According to the NGER Regulations, it is necessary to report the amount of waste entering (disposed at) the landfill  and the amount of waste received at the landfill for treatment (either onsite or offsite) or use (waste diverted) when submitting an NGER Report. Consequently, it is necessary to report both of these values into the NGER Solid Waste Calculator.  The Clean Energy Regulator can provide further advice about the correct use of the NGERS solid waste calculator.</w:t>
      </w:r>
    </w:p>
    <w:p w14:paraId="6129F07B" w14:textId="77777777" w:rsidR="0031057E" w:rsidRPr="00883399" w:rsidRDefault="0031057E" w:rsidP="0031057E">
      <w:pPr>
        <w:pStyle w:val="notepara1"/>
        <w:ind w:left="0" w:firstLine="0"/>
        <w:rPr>
          <w:sz w:val="20"/>
        </w:rPr>
      </w:pPr>
    </w:p>
    <w:p w14:paraId="20FB9599" w14:textId="18DD13C1" w:rsidR="00872C03" w:rsidRPr="00883399" w:rsidRDefault="00872C03" w:rsidP="00872C03">
      <w:pPr>
        <w:pStyle w:val="ActHead5"/>
        <w:rPr>
          <w:sz w:val="28"/>
        </w:rPr>
      </w:pPr>
      <w:bookmarkStart w:id="1089" w:name="_Toc423517140"/>
      <w:bookmarkStart w:id="1090" w:name="_Toc495653071"/>
      <w:r w:rsidRPr="00883399">
        <w:rPr>
          <w:rStyle w:val="CharSectno"/>
          <w:sz w:val="28"/>
        </w:rPr>
        <w:t>5.5</w:t>
      </w:r>
      <w:r w:rsidRPr="00883399">
        <w:rPr>
          <w:sz w:val="28"/>
        </w:rPr>
        <w:t xml:space="preserve">  Criteria for estimating tonnage of total solid waste</w:t>
      </w:r>
      <w:bookmarkEnd w:id="1089"/>
      <w:bookmarkEnd w:id="1090"/>
    </w:p>
    <w:p w14:paraId="6EA6CC2C" w14:textId="77777777" w:rsidR="00872C03" w:rsidRPr="00883399" w:rsidRDefault="00872C03" w:rsidP="00872C03">
      <w:pPr>
        <w:pStyle w:val="subsection"/>
        <w:rPr>
          <w:sz w:val="24"/>
        </w:rPr>
      </w:pPr>
      <w:r w:rsidRPr="00883399">
        <w:rPr>
          <w:sz w:val="24"/>
        </w:rPr>
        <w:tab/>
      </w:r>
      <w:r w:rsidRPr="00883399">
        <w:rPr>
          <w:sz w:val="24"/>
        </w:rPr>
        <w:tab/>
        <w:t>For the purpose of estimating the tonnage of waste disposed of in a landfill, the tonnage of total solid waste received at the landfill during the year is to be estimated using one of the following criteria:</w:t>
      </w:r>
    </w:p>
    <w:p w14:paraId="0FF399AA" w14:textId="77777777" w:rsidR="00872C03" w:rsidRPr="00883399" w:rsidRDefault="00872C03" w:rsidP="00872C03">
      <w:pPr>
        <w:pStyle w:val="paragraph"/>
        <w:rPr>
          <w:sz w:val="24"/>
        </w:rPr>
      </w:pPr>
      <w:r w:rsidRPr="00883399">
        <w:rPr>
          <w:sz w:val="24"/>
        </w:rPr>
        <w:lastRenderedPageBreak/>
        <w:tab/>
        <w:t>(a)</w:t>
      </w:r>
      <w:r w:rsidRPr="00883399">
        <w:rPr>
          <w:sz w:val="24"/>
        </w:rPr>
        <w:tab/>
        <w:t>as provided in section 5.6 (</w:t>
      </w:r>
      <w:r w:rsidRPr="00883399">
        <w:rPr>
          <w:b/>
          <w:i/>
          <w:sz w:val="24"/>
        </w:rPr>
        <w:t>criterion A</w:t>
      </w:r>
      <w:r w:rsidRPr="00883399">
        <w:rPr>
          <w:sz w:val="24"/>
        </w:rPr>
        <w:t>);</w:t>
      </w:r>
    </w:p>
    <w:p w14:paraId="0F5AD4F8" w14:textId="77777777" w:rsidR="00872C03" w:rsidRPr="00883399" w:rsidRDefault="00872C03" w:rsidP="00872C03">
      <w:pPr>
        <w:pStyle w:val="paragraph"/>
        <w:rPr>
          <w:sz w:val="24"/>
        </w:rPr>
      </w:pPr>
      <w:r w:rsidRPr="00883399">
        <w:rPr>
          <w:sz w:val="24"/>
        </w:rPr>
        <w:tab/>
        <w:t>(b)</w:t>
      </w:r>
      <w:r w:rsidRPr="00883399">
        <w:rPr>
          <w:sz w:val="24"/>
        </w:rPr>
        <w:tab/>
        <w:t>as provided in section 5.7 (</w:t>
      </w:r>
      <w:r w:rsidRPr="00883399">
        <w:rPr>
          <w:b/>
          <w:i/>
          <w:sz w:val="24"/>
        </w:rPr>
        <w:t>criterion AAA</w:t>
      </w:r>
      <w:r w:rsidRPr="00883399">
        <w:rPr>
          <w:sz w:val="24"/>
        </w:rPr>
        <w:t>);</w:t>
      </w:r>
    </w:p>
    <w:p w14:paraId="2AA8E924" w14:textId="77777777" w:rsidR="00872C03" w:rsidRPr="00883399" w:rsidRDefault="00872C03" w:rsidP="00872C03">
      <w:pPr>
        <w:pStyle w:val="paragraph"/>
        <w:rPr>
          <w:sz w:val="24"/>
        </w:rPr>
      </w:pPr>
      <w:r w:rsidRPr="00883399">
        <w:rPr>
          <w:sz w:val="24"/>
        </w:rPr>
        <w:tab/>
        <w:t>(c)</w:t>
      </w:r>
      <w:r w:rsidRPr="00883399">
        <w:rPr>
          <w:sz w:val="24"/>
        </w:rPr>
        <w:tab/>
        <w:t>as provided in section 5.8 (</w:t>
      </w:r>
      <w:r w:rsidRPr="00883399">
        <w:rPr>
          <w:b/>
          <w:i/>
          <w:sz w:val="24"/>
        </w:rPr>
        <w:t>criterion BBB</w:t>
      </w:r>
      <w:r w:rsidRPr="00883399">
        <w:rPr>
          <w:sz w:val="24"/>
        </w:rPr>
        <w:t>).</w:t>
      </w:r>
    </w:p>
    <w:p w14:paraId="2D04C2A7" w14:textId="2656CF50" w:rsidR="00872C03" w:rsidRPr="00883399" w:rsidRDefault="00872C03" w:rsidP="00872C03">
      <w:pPr>
        <w:pStyle w:val="ActHead5"/>
        <w:rPr>
          <w:sz w:val="28"/>
        </w:rPr>
      </w:pPr>
      <w:bookmarkStart w:id="1091" w:name="_Toc423517141"/>
      <w:bookmarkStart w:id="1092" w:name="_Toc495653072"/>
      <w:r w:rsidRPr="00883399">
        <w:rPr>
          <w:rStyle w:val="CharSectno"/>
          <w:sz w:val="28"/>
        </w:rPr>
        <w:t>5.6</w:t>
      </w:r>
      <w:r w:rsidRPr="00883399">
        <w:rPr>
          <w:sz w:val="28"/>
        </w:rPr>
        <w:t xml:space="preserve">  Criterion A</w:t>
      </w:r>
      <w:bookmarkEnd w:id="1091"/>
      <w:bookmarkEnd w:id="1092"/>
    </w:p>
    <w:p w14:paraId="2AAC3977" w14:textId="77777777" w:rsidR="00872C03" w:rsidRPr="00883399" w:rsidRDefault="00872C03" w:rsidP="00872C03">
      <w:pPr>
        <w:pStyle w:val="subsection"/>
        <w:rPr>
          <w:sz w:val="24"/>
        </w:rPr>
      </w:pPr>
      <w:r w:rsidRPr="00883399">
        <w:rPr>
          <w:sz w:val="24"/>
        </w:rPr>
        <w:tab/>
      </w:r>
      <w:r w:rsidRPr="00883399">
        <w:rPr>
          <w:sz w:val="24"/>
        </w:rPr>
        <w:tab/>
        <w:t>For paragraph 5.5(a), criterion A is:</w:t>
      </w:r>
    </w:p>
    <w:p w14:paraId="2C2557EF" w14:textId="77777777" w:rsidR="00872C03" w:rsidRPr="00883399" w:rsidRDefault="00872C03" w:rsidP="00872C03">
      <w:pPr>
        <w:pStyle w:val="paragraph"/>
        <w:rPr>
          <w:sz w:val="24"/>
        </w:rPr>
      </w:pPr>
      <w:r w:rsidRPr="00883399">
        <w:rPr>
          <w:sz w:val="24"/>
        </w:rPr>
        <w:tab/>
        <w:t>(a)</w:t>
      </w:r>
      <w:r w:rsidRPr="00883399">
        <w:rPr>
          <w:sz w:val="24"/>
        </w:rPr>
        <w:tab/>
        <w:t>the amount of solid waste received at the landfill during the year as evidenced by invoices; or</w:t>
      </w:r>
    </w:p>
    <w:p w14:paraId="2FAB2D2A" w14:textId="77777777" w:rsidR="00872C03" w:rsidRPr="00883399" w:rsidRDefault="00872C03" w:rsidP="00872C03">
      <w:pPr>
        <w:pStyle w:val="paragraph"/>
        <w:rPr>
          <w:sz w:val="24"/>
        </w:rPr>
      </w:pPr>
      <w:r w:rsidRPr="00883399">
        <w:rPr>
          <w:sz w:val="24"/>
        </w:rPr>
        <w:tab/>
        <w:t>(b)</w:t>
      </w:r>
      <w:r w:rsidRPr="00883399">
        <w:rPr>
          <w:sz w:val="24"/>
        </w:rPr>
        <w:tab/>
        <w:t>if the amount of solid waste received at the landfill during the year is measured in accordance with State or Territory legislation applying to the landfill—that measurement.</w:t>
      </w:r>
    </w:p>
    <w:p w14:paraId="54F066B8" w14:textId="35594D01" w:rsidR="00872C03" w:rsidRPr="00883399" w:rsidRDefault="00872C03" w:rsidP="00872C03">
      <w:pPr>
        <w:pStyle w:val="ActHead5"/>
        <w:rPr>
          <w:sz w:val="28"/>
        </w:rPr>
      </w:pPr>
      <w:bookmarkStart w:id="1093" w:name="_Toc423517142"/>
      <w:bookmarkStart w:id="1094" w:name="_Toc495653073"/>
      <w:r w:rsidRPr="00883399">
        <w:rPr>
          <w:rStyle w:val="CharSectno"/>
          <w:sz w:val="28"/>
        </w:rPr>
        <w:t>5.7</w:t>
      </w:r>
      <w:r w:rsidRPr="00883399">
        <w:rPr>
          <w:sz w:val="28"/>
        </w:rPr>
        <w:t xml:space="preserve">  Criterion AAA</w:t>
      </w:r>
      <w:bookmarkEnd w:id="1093"/>
      <w:bookmarkEnd w:id="1094"/>
    </w:p>
    <w:p w14:paraId="25A17F1B" w14:textId="77777777" w:rsidR="00872C03" w:rsidRPr="00883399" w:rsidRDefault="00872C03" w:rsidP="00872C03">
      <w:pPr>
        <w:pStyle w:val="subsection"/>
        <w:rPr>
          <w:sz w:val="24"/>
        </w:rPr>
      </w:pPr>
      <w:r w:rsidRPr="00883399">
        <w:rPr>
          <w:sz w:val="24"/>
        </w:rPr>
        <w:tab/>
      </w:r>
      <w:r w:rsidRPr="00883399">
        <w:rPr>
          <w:sz w:val="24"/>
        </w:rPr>
        <w:tab/>
        <w:t>For paragraph 5.5(b), criterion AAA is the direct measurement of quantities of solid waste received at the landfill during the year using measuring equipment calibrated to a measurement requirement.</w:t>
      </w:r>
    </w:p>
    <w:p w14:paraId="3F95F59E" w14:textId="17AA6FC8" w:rsidR="00872C03" w:rsidRPr="00883399" w:rsidRDefault="00872C03" w:rsidP="00872C03">
      <w:pPr>
        <w:pStyle w:val="ActHead5"/>
        <w:rPr>
          <w:sz w:val="28"/>
        </w:rPr>
      </w:pPr>
      <w:bookmarkStart w:id="1095" w:name="_Toc423517143"/>
      <w:bookmarkStart w:id="1096" w:name="_Toc495653074"/>
      <w:r w:rsidRPr="00883399">
        <w:rPr>
          <w:rStyle w:val="CharSectno"/>
          <w:sz w:val="28"/>
        </w:rPr>
        <w:t>5.8</w:t>
      </w:r>
      <w:r w:rsidRPr="00883399">
        <w:rPr>
          <w:sz w:val="28"/>
        </w:rPr>
        <w:t xml:space="preserve">  Criterion BBB</w:t>
      </w:r>
      <w:bookmarkEnd w:id="1095"/>
      <w:bookmarkEnd w:id="1096"/>
    </w:p>
    <w:p w14:paraId="76FC7AD3" w14:textId="77777777" w:rsidR="00872C03" w:rsidRPr="00883399" w:rsidRDefault="00872C03" w:rsidP="00872C03">
      <w:pPr>
        <w:pStyle w:val="subsection"/>
        <w:rPr>
          <w:sz w:val="24"/>
        </w:rPr>
      </w:pPr>
      <w:r w:rsidRPr="00883399">
        <w:rPr>
          <w:sz w:val="24"/>
        </w:rPr>
        <w:tab/>
      </w:r>
      <w:r w:rsidRPr="00883399">
        <w:rPr>
          <w:sz w:val="24"/>
        </w:rPr>
        <w:tab/>
        <w:t>For paragraph 5.5(c), criterion BBB is the estimation of solid waste received at the landfill during the year in accordance with industry estimation practices (such as the use of accepted industry weighbridges, receipts, invoices, other documents or records or population and per</w:t>
      </w:r>
      <w:r w:rsidRPr="00883399">
        <w:rPr>
          <w:sz w:val="24"/>
        </w:rPr>
        <w:noBreakHyphen/>
        <w:t>capita waste generation rates).</w:t>
      </w:r>
    </w:p>
    <w:p w14:paraId="4F00D4FB" w14:textId="4D51954B" w:rsidR="00872C03" w:rsidRPr="00883399" w:rsidRDefault="00872C03" w:rsidP="00872C03">
      <w:pPr>
        <w:pStyle w:val="ActHead5"/>
        <w:rPr>
          <w:sz w:val="28"/>
        </w:rPr>
      </w:pPr>
      <w:bookmarkStart w:id="1097" w:name="_Toc423517144"/>
      <w:bookmarkStart w:id="1098" w:name="_Toc495653075"/>
      <w:r w:rsidRPr="00883399">
        <w:rPr>
          <w:rStyle w:val="CharSectno"/>
          <w:sz w:val="28"/>
        </w:rPr>
        <w:t>5.9</w:t>
      </w:r>
      <w:r w:rsidRPr="00883399">
        <w:rPr>
          <w:sz w:val="28"/>
        </w:rPr>
        <w:t xml:space="preserve">  Composition of solid waste</w:t>
      </w:r>
      <w:bookmarkEnd w:id="1097"/>
      <w:bookmarkEnd w:id="1098"/>
    </w:p>
    <w:p w14:paraId="6DF78369" w14:textId="77777777" w:rsidR="0031057E" w:rsidRPr="00883399" w:rsidRDefault="0031057E" w:rsidP="0031057E">
      <w:pPr>
        <w:pStyle w:val="R1"/>
        <w:keepLines w:val="0"/>
        <w:tabs>
          <w:tab w:val="clear" w:pos="794"/>
        </w:tabs>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Sections 5.9 – 5.10 set out data requirements for the composition of the waste data split between general and homogenous waste streams.  General waste stream data required include tonnes of (a) municipal solid waste (b) commercial and industrial waste and (c) construction and demolition waste.   Homogenous waste stream data required include tonnes of (a) shredder flock (b) alternative waste treatment residues and (c) inert waste.</w:t>
      </w:r>
    </w:p>
    <w:p w14:paraId="4B79585E" w14:textId="77777777" w:rsidR="0031057E" w:rsidRPr="00883399" w:rsidRDefault="0031057E" w:rsidP="0031057E">
      <w:pPr>
        <w:pStyle w:val="R1"/>
        <w:keepLines w:val="0"/>
        <w:tabs>
          <w:tab w:val="clear" w:pos="794"/>
        </w:tabs>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It is intended that Reporters should adopt the classifications adopted for state-based levy systems where applicable and if not, classify waste according to the principle activity leading to the generation of the waste. For example:;</w:t>
      </w:r>
    </w:p>
    <w:p w14:paraId="093FE67E" w14:textId="77777777" w:rsidR="0031057E" w:rsidRPr="00883399" w:rsidRDefault="0031057E" w:rsidP="0031057E">
      <w:pPr>
        <w:pStyle w:val="R1"/>
        <w:keepLines w:val="0"/>
        <w:tabs>
          <w:tab w:val="clear" w:pos="794"/>
          <w:tab w:val="left" w:pos="284"/>
        </w:tabs>
        <w:spacing w:before="240" w:line="312" w:lineRule="auto"/>
        <w:ind w:left="719" w:hanging="435"/>
        <w:jc w:val="left"/>
        <w:rPr>
          <w:rFonts w:ascii="Arial" w:hAnsi="Arial" w:cs="Arial"/>
          <w:color w:val="000000"/>
          <w:sz w:val="22"/>
          <w:szCs w:val="22"/>
        </w:rPr>
      </w:pPr>
      <w:r w:rsidRPr="00883399">
        <w:rPr>
          <w:rFonts w:ascii="Arial" w:hAnsi="Arial" w:cs="Arial"/>
          <w:color w:val="000000"/>
          <w:sz w:val="22"/>
          <w:szCs w:val="22"/>
        </w:rPr>
        <w:t>•</w:t>
      </w:r>
      <w:r w:rsidRPr="00883399">
        <w:rPr>
          <w:rFonts w:ascii="Arial" w:hAnsi="Arial" w:cs="Arial"/>
          <w:color w:val="000000"/>
          <w:sz w:val="22"/>
          <w:szCs w:val="22"/>
        </w:rPr>
        <w:tab/>
        <w:t>Waste from domestic premises, council collections and other municipal sources may be classed as municipal solid waste;</w:t>
      </w:r>
    </w:p>
    <w:p w14:paraId="737A292A" w14:textId="77777777" w:rsidR="0031057E" w:rsidRPr="00883399" w:rsidRDefault="0031057E" w:rsidP="0031057E">
      <w:pPr>
        <w:pStyle w:val="R1"/>
        <w:keepLines w:val="0"/>
        <w:tabs>
          <w:tab w:val="clear" w:pos="794"/>
          <w:tab w:val="left" w:pos="284"/>
        </w:tabs>
        <w:spacing w:before="240" w:line="312" w:lineRule="auto"/>
        <w:ind w:left="719" w:hanging="435"/>
        <w:jc w:val="left"/>
        <w:rPr>
          <w:rFonts w:ascii="Arial" w:hAnsi="Arial" w:cs="Arial"/>
          <w:color w:val="000000"/>
          <w:sz w:val="22"/>
          <w:szCs w:val="22"/>
        </w:rPr>
      </w:pPr>
      <w:r w:rsidRPr="00883399">
        <w:rPr>
          <w:rFonts w:ascii="Arial" w:hAnsi="Arial" w:cs="Arial"/>
          <w:color w:val="000000"/>
          <w:sz w:val="22"/>
          <w:szCs w:val="22"/>
        </w:rPr>
        <w:lastRenderedPageBreak/>
        <w:t>•</w:t>
      </w:r>
      <w:r w:rsidRPr="00883399">
        <w:rPr>
          <w:rFonts w:ascii="Arial" w:hAnsi="Arial" w:cs="Arial"/>
          <w:color w:val="000000"/>
          <w:sz w:val="22"/>
          <w:szCs w:val="22"/>
        </w:rPr>
        <w:tab/>
        <w:t>Waste from composting or biological treatment facilities may be classed as alternative waste treatment residues;</w:t>
      </w:r>
    </w:p>
    <w:p w14:paraId="308A35B5" w14:textId="77777777" w:rsidR="0031057E" w:rsidRPr="00883399" w:rsidRDefault="0031057E" w:rsidP="0031057E">
      <w:pPr>
        <w:pStyle w:val="R1"/>
        <w:keepLines w:val="0"/>
        <w:tabs>
          <w:tab w:val="clear" w:pos="794"/>
          <w:tab w:val="left" w:pos="284"/>
        </w:tabs>
        <w:spacing w:before="240" w:line="312" w:lineRule="auto"/>
        <w:ind w:left="284" w:firstLine="0"/>
        <w:jc w:val="left"/>
        <w:rPr>
          <w:rFonts w:ascii="Arial" w:hAnsi="Arial" w:cs="Arial"/>
          <w:color w:val="000000"/>
          <w:sz w:val="22"/>
          <w:szCs w:val="22"/>
        </w:rPr>
      </w:pPr>
      <w:r w:rsidRPr="00883399">
        <w:rPr>
          <w:rFonts w:ascii="Arial" w:hAnsi="Arial" w:cs="Arial"/>
          <w:color w:val="000000"/>
          <w:sz w:val="22"/>
          <w:szCs w:val="22"/>
        </w:rPr>
        <w:t>•</w:t>
      </w:r>
      <w:r w:rsidRPr="00883399">
        <w:rPr>
          <w:rFonts w:ascii="Arial" w:hAnsi="Arial" w:cs="Arial"/>
          <w:color w:val="000000"/>
          <w:sz w:val="22"/>
          <w:szCs w:val="22"/>
        </w:rPr>
        <w:tab/>
        <w:t>Waste from scrap metal recycling facilities may be classed as shredder flock.</w:t>
      </w:r>
    </w:p>
    <w:p w14:paraId="413B2790" w14:textId="77777777" w:rsidR="0031057E" w:rsidRPr="00883399" w:rsidRDefault="0031057E" w:rsidP="0031057E">
      <w:pPr>
        <w:pStyle w:val="R1"/>
        <w:keepLines w:val="0"/>
        <w:tabs>
          <w:tab w:val="clear" w:pos="794"/>
          <w:tab w:val="left" w:pos="284"/>
        </w:tabs>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 xml:space="preserve">The Australian, New Zealand Standard Industry Classification (ANZSIC) system may also be useful in classifying the waste generating activities. For example:; </w:t>
      </w:r>
    </w:p>
    <w:p w14:paraId="15698BBE" w14:textId="77777777" w:rsidR="0031057E" w:rsidRPr="00883399" w:rsidRDefault="0031057E" w:rsidP="0031057E">
      <w:pPr>
        <w:pStyle w:val="R1"/>
        <w:keepLines w:val="0"/>
        <w:tabs>
          <w:tab w:val="clear" w:pos="794"/>
          <w:tab w:val="left" w:pos="284"/>
        </w:tabs>
        <w:spacing w:before="240" w:line="312" w:lineRule="auto"/>
        <w:ind w:left="568" w:hanging="284"/>
        <w:jc w:val="left"/>
        <w:rPr>
          <w:rFonts w:ascii="Arial" w:hAnsi="Arial" w:cs="Arial"/>
          <w:color w:val="000000"/>
          <w:sz w:val="22"/>
          <w:szCs w:val="22"/>
        </w:rPr>
      </w:pPr>
      <w:r w:rsidRPr="00883399">
        <w:rPr>
          <w:rFonts w:ascii="Arial" w:hAnsi="Arial" w:cs="Arial"/>
          <w:color w:val="000000"/>
          <w:sz w:val="22"/>
          <w:szCs w:val="22"/>
        </w:rPr>
        <w:t>•</w:t>
      </w:r>
      <w:r w:rsidRPr="00883399">
        <w:rPr>
          <w:rFonts w:ascii="Arial" w:hAnsi="Arial" w:cs="Arial"/>
          <w:color w:val="000000"/>
          <w:sz w:val="22"/>
          <w:szCs w:val="22"/>
        </w:rPr>
        <w:tab/>
        <w:t>Waste from activities within ANZSIC divisions C, G or H may be classified as commercial and industrial waste;</w:t>
      </w:r>
    </w:p>
    <w:p w14:paraId="0D22B5FE" w14:textId="77777777" w:rsidR="0031057E" w:rsidRPr="00883399" w:rsidRDefault="0031057E" w:rsidP="0031057E">
      <w:pPr>
        <w:pStyle w:val="R2"/>
        <w:ind w:left="568" w:hanging="284"/>
      </w:pPr>
      <w:r w:rsidRPr="00883399">
        <w:rPr>
          <w:rFonts w:ascii="Arial" w:hAnsi="Arial" w:cs="Arial"/>
          <w:color w:val="000000"/>
          <w:sz w:val="22"/>
          <w:szCs w:val="22"/>
        </w:rPr>
        <w:t>•</w:t>
      </w:r>
      <w:r w:rsidRPr="00883399">
        <w:rPr>
          <w:rFonts w:ascii="Arial" w:hAnsi="Arial" w:cs="Arial"/>
          <w:color w:val="000000"/>
          <w:sz w:val="22"/>
          <w:szCs w:val="22"/>
        </w:rPr>
        <w:tab/>
        <w:t>Waste from activities within ANZSIC division E may be classified as construction and demolition waste;</w:t>
      </w:r>
    </w:p>
    <w:p w14:paraId="07AC8D12" w14:textId="77777777" w:rsidR="0031057E" w:rsidRPr="00883399" w:rsidRDefault="0031057E" w:rsidP="0031057E">
      <w:pPr>
        <w:pStyle w:val="subsection"/>
        <w:rPr>
          <w:rFonts w:ascii="Arial" w:hAnsi="Arial" w:cs="Arial"/>
          <w:color w:val="000000"/>
          <w:szCs w:val="22"/>
        </w:rPr>
      </w:pPr>
      <w:r w:rsidRPr="00883399">
        <w:rPr>
          <w:rFonts w:ascii="Arial" w:hAnsi="Arial" w:cs="Arial"/>
          <w:color w:val="000000"/>
          <w:szCs w:val="22"/>
        </w:rPr>
        <w:t>•</w:t>
      </w:r>
      <w:r w:rsidRPr="00883399">
        <w:rPr>
          <w:rFonts w:ascii="Arial" w:hAnsi="Arial" w:cs="Arial"/>
          <w:color w:val="000000"/>
          <w:szCs w:val="22"/>
        </w:rPr>
        <w:tab/>
        <w:t>waste from mixed load deliveries of domestic and commercial waste should be classed according to the dominant source.</w:t>
      </w:r>
    </w:p>
    <w:p w14:paraId="01AC9D12" w14:textId="77777777" w:rsidR="0031057E" w:rsidRPr="00883399" w:rsidRDefault="0031057E" w:rsidP="0031057E">
      <w:pPr>
        <w:pStyle w:val="subsection"/>
        <w:rPr>
          <w:rFonts w:ascii="Arial" w:hAnsi="Arial" w:cs="Arial"/>
          <w:color w:val="000000"/>
          <w:szCs w:val="22"/>
        </w:rPr>
      </w:pPr>
    </w:p>
    <w:p w14:paraId="5612717D" w14:textId="77777777" w:rsidR="00872C03" w:rsidRPr="00883399" w:rsidRDefault="00872C03" w:rsidP="0031057E">
      <w:pPr>
        <w:pStyle w:val="subsection"/>
        <w:rPr>
          <w:sz w:val="24"/>
        </w:rPr>
      </w:pPr>
      <w:r w:rsidRPr="00883399">
        <w:rPr>
          <w:sz w:val="24"/>
        </w:rPr>
        <w:tab/>
        <w:t>(1)</w:t>
      </w:r>
      <w:r w:rsidRPr="00883399">
        <w:rPr>
          <w:sz w:val="24"/>
        </w:rPr>
        <w:tab/>
        <w:t>For paragraph 5.4A(b), the composition of solid waste received at the landfill during the year must be classified by:</w:t>
      </w:r>
    </w:p>
    <w:p w14:paraId="1C9899DD" w14:textId="77777777" w:rsidR="00872C03" w:rsidRPr="00883399" w:rsidRDefault="00872C03" w:rsidP="00872C03">
      <w:pPr>
        <w:pStyle w:val="paragraph"/>
        <w:rPr>
          <w:sz w:val="24"/>
        </w:rPr>
      </w:pPr>
      <w:r w:rsidRPr="00883399">
        <w:rPr>
          <w:sz w:val="24"/>
        </w:rPr>
        <w:tab/>
        <w:t>(a)</w:t>
      </w:r>
      <w:r w:rsidRPr="00883399">
        <w:rPr>
          <w:sz w:val="24"/>
        </w:rPr>
        <w:tab/>
        <w:t>the general waste streams mentioned in subsection 5.10(1); and</w:t>
      </w:r>
    </w:p>
    <w:p w14:paraId="25536869" w14:textId="77777777" w:rsidR="00872C03" w:rsidRPr="00883399" w:rsidRDefault="00872C03" w:rsidP="00872C03">
      <w:pPr>
        <w:pStyle w:val="paragraph"/>
        <w:rPr>
          <w:sz w:val="24"/>
        </w:rPr>
      </w:pPr>
      <w:r w:rsidRPr="00883399">
        <w:rPr>
          <w:sz w:val="24"/>
        </w:rPr>
        <w:tab/>
        <w:t>(b)</w:t>
      </w:r>
      <w:r w:rsidRPr="00883399">
        <w:rPr>
          <w:sz w:val="24"/>
        </w:rPr>
        <w:tab/>
        <w:t>the homogenous waste streams mentioned in subsection 5.10A(1).</w:t>
      </w:r>
    </w:p>
    <w:p w14:paraId="0BD955AC" w14:textId="77777777" w:rsidR="00872C03" w:rsidRPr="00883399" w:rsidRDefault="00872C03" w:rsidP="00872C03">
      <w:pPr>
        <w:pStyle w:val="subsection"/>
        <w:rPr>
          <w:sz w:val="24"/>
        </w:rPr>
      </w:pPr>
      <w:r w:rsidRPr="00883399">
        <w:rPr>
          <w:sz w:val="24"/>
        </w:rPr>
        <w:tab/>
        <w:t>(2)</w:t>
      </w:r>
      <w:r w:rsidRPr="00883399">
        <w:rPr>
          <w:sz w:val="24"/>
        </w:rPr>
        <w:tab/>
        <w:t>For solid waste received at the landfill during a year, an estimate of tonnage of:</w:t>
      </w:r>
    </w:p>
    <w:p w14:paraId="2BB84C93" w14:textId="77777777" w:rsidR="00872C03" w:rsidRPr="00883399" w:rsidRDefault="00872C03" w:rsidP="00872C03">
      <w:pPr>
        <w:pStyle w:val="paragraph"/>
        <w:rPr>
          <w:sz w:val="24"/>
        </w:rPr>
      </w:pPr>
      <w:r w:rsidRPr="00883399">
        <w:rPr>
          <w:sz w:val="24"/>
        </w:rPr>
        <w:tab/>
        <w:t>(a)</w:t>
      </w:r>
      <w:r w:rsidRPr="00883399">
        <w:rPr>
          <w:sz w:val="24"/>
        </w:rPr>
        <w:tab/>
        <w:t>each general waste stream must be provided in accordance with section 5.10; and</w:t>
      </w:r>
    </w:p>
    <w:p w14:paraId="585E79DE" w14:textId="77777777" w:rsidR="00872C03" w:rsidRPr="00883399" w:rsidRDefault="00872C03" w:rsidP="00872C03">
      <w:pPr>
        <w:pStyle w:val="paragraph"/>
        <w:rPr>
          <w:sz w:val="24"/>
        </w:rPr>
      </w:pPr>
      <w:r w:rsidRPr="00883399">
        <w:rPr>
          <w:sz w:val="24"/>
        </w:rPr>
        <w:tab/>
        <w:t>(b)</w:t>
      </w:r>
      <w:r w:rsidRPr="00883399">
        <w:rPr>
          <w:sz w:val="24"/>
        </w:rPr>
        <w:tab/>
        <w:t>each homogenous waste stream must be provided in accordance with section 5.10A.</w:t>
      </w:r>
    </w:p>
    <w:p w14:paraId="3B762B04" w14:textId="77777777" w:rsidR="00872C03" w:rsidRPr="00883399" w:rsidRDefault="00872C03" w:rsidP="00872C03">
      <w:pPr>
        <w:pStyle w:val="subsection"/>
        <w:rPr>
          <w:sz w:val="24"/>
        </w:rPr>
      </w:pPr>
      <w:r w:rsidRPr="00883399">
        <w:rPr>
          <w:sz w:val="24"/>
        </w:rPr>
        <w:tab/>
        <w:t>(3)</w:t>
      </w:r>
      <w:r w:rsidRPr="00883399">
        <w:rPr>
          <w:sz w:val="24"/>
        </w:rPr>
        <w:tab/>
        <w:t>For the following general and homogenous waste streams there must be a further classification in accordance with section 5.11 showing the waste mix types in each waste stream (expressed as a percentage of the total tonnage of solid waste in the waste stream):</w:t>
      </w:r>
    </w:p>
    <w:p w14:paraId="3F5D0B79" w14:textId="77777777" w:rsidR="00872C03" w:rsidRPr="00883399" w:rsidRDefault="00872C03" w:rsidP="00872C03">
      <w:pPr>
        <w:pStyle w:val="paragraph"/>
        <w:rPr>
          <w:sz w:val="24"/>
        </w:rPr>
      </w:pPr>
      <w:r w:rsidRPr="00883399">
        <w:rPr>
          <w:sz w:val="24"/>
        </w:rPr>
        <w:tab/>
        <w:t>(a)</w:t>
      </w:r>
      <w:r w:rsidRPr="00883399">
        <w:rPr>
          <w:sz w:val="24"/>
        </w:rPr>
        <w:tab/>
        <w:t>municipal solid waste class I;</w:t>
      </w:r>
    </w:p>
    <w:p w14:paraId="6F8E04AF" w14:textId="77777777" w:rsidR="00872C03" w:rsidRPr="00883399" w:rsidRDefault="00872C03" w:rsidP="00872C03">
      <w:pPr>
        <w:pStyle w:val="paragraph"/>
        <w:rPr>
          <w:sz w:val="24"/>
        </w:rPr>
      </w:pPr>
      <w:r w:rsidRPr="00883399">
        <w:rPr>
          <w:sz w:val="24"/>
        </w:rPr>
        <w:tab/>
        <w:t>(ab)</w:t>
      </w:r>
      <w:r w:rsidRPr="00883399">
        <w:rPr>
          <w:sz w:val="24"/>
        </w:rPr>
        <w:tab/>
        <w:t>municipal solid waste class II;</w:t>
      </w:r>
    </w:p>
    <w:p w14:paraId="3656A4B6" w14:textId="77777777" w:rsidR="00872C03" w:rsidRPr="00883399" w:rsidRDefault="00872C03" w:rsidP="00872C03">
      <w:pPr>
        <w:pStyle w:val="paragraph"/>
        <w:rPr>
          <w:sz w:val="24"/>
        </w:rPr>
      </w:pPr>
      <w:r w:rsidRPr="00883399">
        <w:rPr>
          <w:sz w:val="24"/>
        </w:rPr>
        <w:tab/>
        <w:t>(b)</w:t>
      </w:r>
      <w:r w:rsidRPr="00883399">
        <w:rPr>
          <w:sz w:val="24"/>
        </w:rPr>
        <w:tab/>
        <w:t>commercial and industrial waste;</w:t>
      </w:r>
    </w:p>
    <w:p w14:paraId="34F9ACC4" w14:textId="77777777" w:rsidR="00872C03" w:rsidRPr="00883399" w:rsidRDefault="00872C03" w:rsidP="00872C03">
      <w:pPr>
        <w:pStyle w:val="paragraph"/>
        <w:rPr>
          <w:sz w:val="24"/>
        </w:rPr>
      </w:pPr>
      <w:r w:rsidRPr="00883399">
        <w:rPr>
          <w:sz w:val="24"/>
        </w:rPr>
        <w:tab/>
        <w:t>(c)</w:t>
      </w:r>
      <w:r w:rsidRPr="00883399">
        <w:rPr>
          <w:sz w:val="24"/>
        </w:rPr>
        <w:tab/>
        <w:t>construction and demolition waste;</w:t>
      </w:r>
    </w:p>
    <w:p w14:paraId="69659C17" w14:textId="77777777" w:rsidR="00872C03" w:rsidRPr="00883399" w:rsidRDefault="00872C03" w:rsidP="00872C03">
      <w:pPr>
        <w:pStyle w:val="paragraph"/>
        <w:rPr>
          <w:sz w:val="24"/>
        </w:rPr>
      </w:pPr>
      <w:r w:rsidRPr="00883399">
        <w:rPr>
          <w:sz w:val="24"/>
        </w:rPr>
        <w:tab/>
        <w:t>(d)</w:t>
      </w:r>
      <w:r w:rsidRPr="00883399">
        <w:rPr>
          <w:sz w:val="24"/>
        </w:rPr>
        <w:tab/>
        <w:t>shredder flock.</w:t>
      </w:r>
    </w:p>
    <w:p w14:paraId="7A2203BB" w14:textId="5D5EC24C" w:rsidR="00872C03" w:rsidRPr="00883399" w:rsidRDefault="00872C03" w:rsidP="00872C03">
      <w:pPr>
        <w:pStyle w:val="ActHead5"/>
        <w:rPr>
          <w:sz w:val="28"/>
        </w:rPr>
      </w:pPr>
      <w:bookmarkStart w:id="1099" w:name="_Toc423517145"/>
      <w:bookmarkStart w:id="1100" w:name="_Toc495653076"/>
      <w:r w:rsidRPr="00883399">
        <w:rPr>
          <w:rStyle w:val="CharSectno"/>
          <w:sz w:val="28"/>
        </w:rPr>
        <w:t>5.10</w:t>
      </w:r>
      <w:r w:rsidRPr="00883399">
        <w:rPr>
          <w:sz w:val="28"/>
        </w:rPr>
        <w:t xml:space="preserve">  General waste streams</w:t>
      </w:r>
      <w:bookmarkEnd w:id="1099"/>
      <w:bookmarkEnd w:id="1100"/>
    </w:p>
    <w:p w14:paraId="05F613EC" w14:textId="77777777" w:rsidR="00872C03" w:rsidRPr="00883399" w:rsidRDefault="00872C03" w:rsidP="00872C03">
      <w:pPr>
        <w:pStyle w:val="subsection"/>
        <w:rPr>
          <w:sz w:val="24"/>
        </w:rPr>
      </w:pPr>
      <w:r w:rsidRPr="00883399">
        <w:rPr>
          <w:sz w:val="24"/>
        </w:rPr>
        <w:tab/>
        <w:t>(1)</w:t>
      </w:r>
      <w:r w:rsidRPr="00883399">
        <w:rPr>
          <w:sz w:val="24"/>
        </w:rPr>
        <w:tab/>
        <w:t>For paragraph 5.9(1)(a), the general waste streams are as follows:</w:t>
      </w:r>
    </w:p>
    <w:p w14:paraId="4C67094B" w14:textId="77777777" w:rsidR="00872C03" w:rsidRPr="00883399" w:rsidRDefault="00872C03" w:rsidP="00872C03">
      <w:pPr>
        <w:pStyle w:val="paragraph"/>
        <w:rPr>
          <w:sz w:val="24"/>
        </w:rPr>
      </w:pPr>
      <w:r w:rsidRPr="00883399">
        <w:rPr>
          <w:sz w:val="24"/>
        </w:rPr>
        <w:lastRenderedPageBreak/>
        <w:tab/>
        <w:t>(a)</w:t>
      </w:r>
      <w:r w:rsidRPr="00883399">
        <w:rPr>
          <w:sz w:val="24"/>
        </w:rPr>
        <w:tab/>
        <w:t>municipal solid waste class I;</w:t>
      </w:r>
    </w:p>
    <w:p w14:paraId="27DC63CE" w14:textId="77777777" w:rsidR="00872C03" w:rsidRPr="00883399" w:rsidRDefault="00872C03" w:rsidP="00872C03">
      <w:pPr>
        <w:pStyle w:val="paragraph"/>
        <w:rPr>
          <w:sz w:val="24"/>
        </w:rPr>
      </w:pPr>
      <w:r w:rsidRPr="00883399">
        <w:rPr>
          <w:sz w:val="24"/>
        </w:rPr>
        <w:tab/>
        <w:t>(ab)</w:t>
      </w:r>
      <w:r w:rsidRPr="00883399">
        <w:rPr>
          <w:sz w:val="24"/>
        </w:rPr>
        <w:tab/>
        <w:t>municipal solid waste class II;</w:t>
      </w:r>
    </w:p>
    <w:p w14:paraId="4CED9C58" w14:textId="77777777" w:rsidR="00872C03" w:rsidRPr="00883399" w:rsidRDefault="00872C03" w:rsidP="00872C03">
      <w:pPr>
        <w:pStyle w:val="paragraph"/>
        <w:rPr>
          <w:sz w:val="24"/>
        </w:rPr>
      </w:pPr>
      <w:r w:rsidRPr="00883399">
        <w:rPr>
          <w:sz w:val="24"/>
        </w:rPr>
        <w:tab/>
        <w:t>(b)</w:t>
      </w:r>
      <w:r w:rsidRPr="00883399">
        <w:rPr>
          <w:sz w:val="24"/>
        </w:rPr>
        <w:tab/>
        <w:t>commercial and industrial waste;</w:t>
      </w:r>
    </w:p>
    <w:p w14:paraId="5293B2E2" w14:textId="77777777" w:rsidR="00872C03" w:rsidRPr="00883399" w:rsidRDefault="00872C03" w:rsidP="00872C03">
      <w:pPr>
        <w:pStyle w:val="paragraph"/>
        <w:rPr>
          <w:sz w:val="24"/>
        </w:rPr>
      </w:pPr>
      <w:r w:rsidRPr="00883399">
        <w:rPr>
          <w:sz w:val="24"/>
        </w:rPr>
        <w:tab/>
        <w:t>(c)</w:t>
      </w:r>
      <w:r w:rsidRPr="00883399">
        <w:rPr>
          <w:sz w:val="24"/>
        </w:rPr>
        <w:tab/>
        <w:t>construction and demolition waste.</w:t>
      </w:r>
    </w:p>
    <w:p w14:paraId="07427CEB" w14:textId="77777777" w:rsidR="00872C03" w:rsidRPr="00883399" w:rsidRDefault="00872C03" w:rsidP="00872C03">
      <w:pPr>
        <w:pStyle w:val="subsection"/>
        <w:rPr>
          <w:sz w:val="24"/>
        </w:rPr>
      </w:pPr>
      <w:r w:rsidRPr="00883399">
        <w:rPr>
          <w:sz w:val="24"/>
        </w:rPr>
        <w:tab/>
        <w:t>(2)</w:t>
      </w:r>
      <w:r w:rsidRPr="00883399">
        <w:rPr>
          <w:sz w:val="24"/>
        </w:rPr>
        <w:tab/>
        <w:t>Subject to subsection (3), for paragraph 5.9(2)(a), the tonnage of each waste stream mentioned in subsection (1) must be estimated:</w:t>
      </w:r>
    </w:p>
    <w:p w14:paraId="1CBEFDAB" w14:textId="77777777" w:rsidR="00872C03" w:rsidRPr="00883399" w:rsidRDefault="00872C03" w:rsidP="00872C03">
      <w:pPr>
        <w:pStyle w:val="paragraph"/>
        <w:rPr>
          <w:sz w:val="24"/>
        </w:rPr>
      </w:pPr>
      <w:r w:rsidRPr="00883399">
        <w:rPr>
          <w:sz w:val="24"/>
        </w:rPr>
        <w:tab/>
        <w:t>(a)</w:t>
      </w:r>
      <w:r w:rsidRPr="00883399">
        <w:rPr>
          <w:sz w:val="24"/>
        </w:rPr>
        <w:tab/>
        <w:t>if the operator of the landfill is required, under a law of the State or Territory in which the landfill is located, to collect data on tonnage of waste received at the landfill according to the waste streams mentioned in subsection (1)—by using that data; or</w:t>
      </w:r>
    </w:p>
    <w:p w14:paraId="661648BC" w14:textId="77777777" w:rsidR="00872C03" w:rsidRPr="00883399" w:rsidRDefault="00872C03" w:rsidP="00872C03">
      <w:pPr>
        <w:pStyle w:val="paragraph"/>
        <w:keepNext/>
        <w:keepLines/>
        <w:rPr>
          <w:sz w:val="24"/>
        </w:rPr>
      </w:pPr>
      <w:r w:rsidRPr="00883399">
        <w:rPr>
          <w:sz w:val="24"/>
        </w:rPr>
        <w:tab/>
        <w:t>(b)</w:t>
      </w:r>
      <w:r w:rsidRPr="00883399">
        <w:rPr>
          <w:sz w:val="24"/>
        </w:rPr>
        <w:tab/>
        <w:t>if paragraph (a) does not apply and the operator of the landfill is able to estimate, in accordance with one of the criteria set out in section 5.5, the tonnage of the waste streams mentioned in subsection (1)—by using that criterion; or</w:t>
      </w:r>
    </w:p>
    <w:p w14:paraId="7FF1364D" w14:textId="77777777" w:rsidR="00872C03" w:rsidRPr="00883399" w:rsidRDefault="00872C03" w:rsidP="00872C03">
      <w:pPr>
        <w:pStyle w:val="paragraph"/>
        <w:rPr>
          <w:sz w:val="24"/>
        </w:rPr>
      </w:pPr>
      <w:r w:rsidRPr="00883399">
        <w:rPr>
          <w:sz w:val="24"/>
        </w:rPr>
        <w:tab/>
        <w:t>(c)</w:t>
      </w:r>
      <w:r w:rsidRPr="00883399">
        <w:rPr>
          <w:sz w:val="24"/>
        </w:rPr>
        <w:tab/>
        <w:t>if paragraphs (a) and (b) do not apply and there is no restriction on the waste streams that can be received at the landfill—by:</w:t>
      </w:r>
    </w:p>
    <w:p w14:paraId="63BD184A" w14:textId="77777777" w:rsidR="00872C03" w:rsidRPr="00883399" w:rsidRDefault="00872C03" w:rsidP="00872C03">
      <w:pPr>
        <w:pStyle w:val="paragraphsub"/>
        <w:rPr>
          <w:sz w:val="24"/>
        </w:rPr>
      </w:pPr>
      <w:r w:rsidRPr="00883399">
        <w:rPr>
          <w:sz w:val="24"/>
        </w:rPr>
        <w:tab/>
        <w:t>(i)</w:t>
      </w:r>
      <w:r w:rsidRPr="00883399">
        <w:rPr>
          <w:sz w:val="24"/>
        </w:rPr>
        <w:tab/>
        <w:t>for estimating the tonnage of the municipal solid waste class I stream if the landfill did not receive municipal solid waste class II—using the percentage value specified in columns 2 to 9 of item 1 of the following table for the State or Territory in which the landfill is located; and</w:t>
      </w:r>
    </w:p>
    <w:p w14:paraId="6859B382" w14:textId="77777777" w:rsidR="00872C03" w:rsidRPr="00883399" w:rsidRDefault="00872C03" w:rsidP="00872C03">
      <w:pPr>
        <w:pStyle w:val="paragraphsub"/>
        <w:rPr>
          <w:sz w:val="24"/>
        </w:rPr>
      </w:pPr>
      <w:r w:rsidRPr="00883399">
        <w:rPr>
          <w:sz w:val="24"/>
        </w:rPr>
        <w:tab/>
        <w:t>(ii)</w:t>
      </w:r>
      <w:r w:rsidRPr="00883399">
        <w:rPr>
          <w:sz w:val="24"/>
        </w:rPr>
        <w:tab/>
        <w:t>for estimating the tonnage of the municipal solid waste class II stream if the landfill did not receive municipal solid waste class I—using the percentage value specified in columns 2 to 9 of item 1 of the following table for the State or Territory in which the landfill is located; and</w:t>
      </w:r>
    </w:p>
    <w:p w14:paraId="54488041" w14:textId="77777777" w:rsidR="00872C03" w:rsidRPr="00883399" w:rsidRDefault="00872C03" w:rsidP="00872C03">
      <w:pPr>
        <w:pStyle w:val="paragraphsub"/>
        <w:rPr>
          <w:sz w:val="24"/>
        </w:rPr>
      </w:pPr>
      <w:r w:rsidRPr="00883399">
        <w:rPr>
          <w:sz w:val="24"/>
        </w:rPr>
        <w:tab/>
        <w:t>(iii)</w:t>
      </w:r>
      <w:r w:rsidRPr="00883399">
        <w:rPr>
          <w:sz w:val="24"/>
        </w:rPr>
        <w:tab/>
        <w:t>for estimating the tonnage of the municipal solid waste class I stream and the municipal solid waste class II stream if the landfill received both municipal solid waste classes—halving the percentage value specified in columns 2 to 9 of item 1 of the following table for the State or Territory in which the landfill is located and using that value for each of the municipal solid waste streams; and</w:t>
      </w:r>
    </w:p>
    <w:p w14:paraId="7C6D2B61" w14:textId="77777777" w:rsidR="00872C03" w:rsidRPr="00883399" w:rsidRDefault="00872C03" w:rsidP="00872C03">
      <w:pPr>
        <w:pStyle w:val="paragraphsub"/>
        <w:rPr>
          <w:sz w:val="24"/>
        </w:rPr>
      </w:pPr>
      <w:r w:rsidRPr="00883399">
        <w:rPr>
          <w:sz w:val="24"/>
        </w:rPr>
        <w:tab/>
        <w:t>(iv)</w:t>
      </w:r>
      <w:r w:rsidRPr="00883399">
        <w:rPr>
          <w:sz w:val="24"/>
        </w:rPr>
        <w:tab/>
        <w:t>for estimating the tonnage of the commercial and industrial waste stream—using the percentage value specified in columns 2 to 9 of item 2 of the following table for the State or Territory in which the landfill is located; and</w:t>
      </w:r>
    </w:p>
    <w:p w14:paraId="03262C6A" w14:textId="77777777" w:rsidR="00872C03" w:rsidRPr="00883399" w:rsidRDefault="00872C03" w:rsidP="00872C03">
      <w:pPr>
        <w:pStyle w:val="paragraphsub"/>
        <w:rPr>
          <w:sz w:val="24"/>
        </w:rPr>
      </w:pPr>
      <w:r w:rsidRPr="00883399">
        <w:rPr>
          <w:sz w:val="24"/>
        </w:rPr>
        <w:tab/>
        <w:t>(v)</w:t>
      </w:r>
      <w:r w:rsidRPr="00883399">
        <w:rPr>
          <w:sz w:val="24"/>
        </w:rPr>
        <w:tab/>
        <w:t>for estimating the tonnage of the construction and demolition waste stream—using the percentage value specified in columns 2 to 9 of item 3 of the following table for the State or Territory in which the landfill is located.</w:t>
      </w:r>
    </w:p>
    <w:p w14:paraId="6A82A1DE" w14:textId="77777777" w:rsidR="00872C03" w:rsidRPr="00883399" w:rsidRDefault="00872C03" w:rsidP="00872C03">
      <w:pPr>
        <w:pStyle w:val="Tabletext0"/>
        <w:rPr>
          <w:sz w:val="22"/>
        </w:rPr>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53"/>
        <w:gridCol w:w="1694"/>
        <w:gridCol w:w="756"/>
        <w:gridCol w:w="728"/>
        <w:gridCol w:w="728"/>
        <w:gridCol w:w="728"/>
        <w:gridCol w:w="727"/>
        <w:gridCol w:w="770"/>
        <w:gridCol w:w="742"/>
        <w:gridCol w:w="788"/>
      </w:tblGrid>
      <w:tr w:rsidR="00872C03" w:rsidRPr="00883399" w14:paraId="0573FF90" w14:textId="77777777" w:rsidTr="0031057E">
        <w:trPr>
          <w:tblHeader/>
        </w:trPr>
        <w:tc>
          <w:tcPr>
            <w:tcW w:w="8314" w:type="dxa"/>
            <w:gridSpan w:val="10"/>
            <w:tcBorders>
              <w:top w:val="single" w:sz="12" w:space="0" w:color="auto"/>
              <w:bottom w:val="single" w:sz="6" w:space="0" w:color="auto"/>
            </w:tcBorders>
            <w:shd w:val="clear" w:color="auto" w:fill="auto"/>
          </w:tcPr>
          <w:p w14:paraId="3088A6CE" w14:textId="77777777" w:rsidR="00872C03" w:rsidRPr="00883399" w:rsidRDefault="00872C03" w:rsidP="0031057E">
            <w:pPr>
              <w:pStyle w:val="TableHeading"/>
              <w:rPr>
                <w:sz w:val="22"/>
              </w:rPr>
            </w:pPr>
            <w:r w:rsidRPr="00883399">
              <w:rPr>
                <w:sz w:val="22"/>
              </w:rPr>
              <w:lastRenderedPageBreak/>
              <w:t>Waste streams and estimation of tonnage</w:t>
            </w:r>
          </w:p>
        </w:tc>
      </w:tr>
      <w:tr w:rsidR="00872C03" w:rsidRPr="00883399" w14:paraId="4167C416" w14:textId="77777777" w:rsidTr="0031057E">
        <w:trPr>
          <w:tblHeader/>
        </w:trPr>
        <w:tc>
          <w:tcPr>
            <w:tcW w:w="653" w:type="dxa"/>
            <w:tcBorders>
              <w:top w:val="single" w:sz="6" w:space="0" w:color="auto"/>
              <w:bottom w:val="nil"/>
            </w:tcBorders>
            <w:shd w:val="clear" w:color="auto" w:fill="auto"/>
          </w:tcPr>
          <w:p w14:paraId="4E1FD8CE" w14:textId="77777777" w:rsidR="00872C03" w:rsidRPr="00883399" w:rsidRDefault="00872C03" w:rsidP="0031057E">
            <w:pPr>
              <w:pStyle w:val="TableHeading"/>
              <w:rPr>
                <w:sz w:val="22"/>
              </w:rPr>
            </w:pPr>
            <w:r w:rsidRPr="00883399">
              <w:rPr>
                <w:sz w:val="22"/>
              </w:rPr>
              <w:t>Item</w:t>
            </w:r>
          </w:p>
        </w:tc>
        <w:tc>
          <w:tcPr>
            <w:tcW w:w="1694" w:type="dxa"/>
            <w:tcBorders>
              <w:top w:val="single" w:sz="6" w:space="0" w:color="auto"/>
              <w:bottom w:val="nil"/>
            </w:tcBorders>
            <w:shd w:val="clear" w:color="auto" w:fill="auto"/>
          </w:tcPr>
          <w:p w14:paraId="36CD3818" w14:textId="77777777" w:rsidR="00872C03" w:rsidRPr="00883399" w:rsidRDefault="00872C03" w:rsidP="0031057E">
            <w:pPr>
              <w:pStyle w:val="TableHeading"/>
              <w:rPr>
                <w:sz w:val="22"/>
              </w:rPr>
            </w:pPr>
            <w:r w:rsidRPr="00883399">
              <w:rPr>
                <w:sz w:val="22"/>
              </w:rPr>
              <w:t>Col. 1</w:t>
            </w:r>
          </w:p>
        </w:tc>
        <w:tc>
          <w:tcPr>
            <w:tcW w:w="756" w:type="dxa"/>
            <w:tcBorders>
              <w:top w:val="single" w:sz="6" w:space="0" w:color="auto"/>
              <w:bottom w:val="nil"/>
            </w:tcBorders>
            <w:shd w:val="clear" w:color="auto" w:fill="auto"/>
          </w:tcPr>
          <w:p w14:paraId="79EDC1B7" w14:textId="77777777" w:rsidR="00872C03" w:rsidRPr="00883399" w:rsidRDefault="00872C03" w:rsidP="0031057E">
            <w:pPr>
              <w:pStyle w:val="TableHeading"/>
              <w:rPr>
                <w:sz w:val="22"/>
              </w:rPr>
            </w:pPr>
            <w:r w:rsidRPr="00883399">
              <w:rPr>
                <w:sz w:val="22"/>
              </w:rPr>
              <w:t>Col. 2</w:t>
            </w:r>
          </w:p>
        </w:tc>
        <w:tc>
          <w:tcPr>
            <w:tcW w:w="728" w:type="dxa"/>
            <w:tcBorders>
              <w:top w:val="single" w:sz="6" w:space="0" w:color="auto"/>
              <w:bottom w:val="nil"/>
            </w:tcBorders>
            <w:shd w:val="clear" w:color="auto" w:fill="auto"/>
          </w:tcPr>
          <w:p w14:paraId="312D70E2" w14:textId="77777777" w:rsidR="00872C03" w:rsidRPr="00883399" w:rsidRDefault="00872C03" w:rsidP="0031057E">
            <w:pPr>
              <w:pStyle w:val="TableHeading"/>
              <w:rPr>
                <w:sz w:val="22"/>
              </w:rPr>
            </w:pPr>
            <w:r w:rsidRPr="00883399">
              <w:rPr>
                <w:sz w:val="22"/>
              </w:rPr>
              <w:t>Col. 3</w:t>
            </w:r>
          </w:p>
        </w:tc>
        <w:tc>
          <w:tcPr>
            <w:tcW w:w="728" w:type="dxa"/>
            <w:tcBorders>
              <w:top w:val="single" w:sz="6" w:space="0" w:color="auto"/>
              <w:bottom w:val="nil"/>
            </w:tcBorders>
            <w:shd w:val="clear" w:color="auto" w:fill="auto"/>
          </w:tcPr>
          <w:p w14:paraId="37505B0E" w14:textId="77777777" w:rsidR="00872C03" w:rsidRPr="00883399" w:rsidRDefault="00872C03" w:rsidP="0031057E">
            <w:pPr>
              <w:pStyle w:val="TableHeading"/>
              <w:rPr>
                <w:sz w:val="22"/>
              </w:rPr>
            </w:pPr>
            <w:r w:rsidRPr="00883399">
              <w:rPr>
                <w:sz w:val="22"/>
              </w:rPr>
              <w:t>Col. 4</w:t>
            </w:r>
          </w:p>
        </w:tc>
        <w:tc>
          <w:tcPr>
            <w:tcW w:w="728" w:type="dxa"/>
            <w:tcBorders>
              <w:top w:val="single" w:sz="6" w:space="0" w:color="auto"/>
              <w:bottom w:val="nil"/>
            </w:tcBorders>
            <w:shd w:val="clear" w:color="auto" w:fill="auto"/>
          </w:tcPr>
          <w:p w14:paraId="20C1F078" w14:textId="77777777" w:rsidR="00872C03" w:rsidRPr="00883399" w:rsidRDefault="00872C03" w:rsidP="0031057E">
            <w:pPr>
              <w:pStyle w:val="TableHeading"/>
              <w:rPr>
                <w:sz w:val="22"/>
              </w:rPr>
            </w:pPr>
            <w:r w:rsidRPr="00883399">
              <w:rPr>
                <w:sz w:val="22"/>
              </w:rPr>
              <w:t>Col. 5</w:t>
            </w:r>
          </w:p>
        </w:tc>
        <w:tc>
          <w:tcPr>
            <w:tcW w:w="727" w:type="dxa"/>
            <w:tcBorders>
              <w:top w:val="single" w:sz="6" w:space="0" w:color="auto"/>
              <w:bottom w:val="nil"/>
            </w:tcBorders>
            <w:shd w:val="clear" w:color="auto" w:fill="auto"/>
          </w:tcPr>
          <w:p w14:paraId="4B32F0E7" w14:textId="77777777" w:rsidR="00872C03" w:rsidRPr="00883399" w:rsidRDefault="00872C03" w:rsidP="0031057E">
            <w:pPr>
              <w:pStyle w:val="TableHeading"/>
              <w:rPr>
                <w:sz w:val="22"/>
              </w:rPr>
            </w:pPr>
            <w:r w:rsidRPr="00883399">
              <w:rPr>
                <w:sz w:val="22"/>
              </w:rPr>
              <w:t>Col. 6</w:t>
            </w:r>
          </w:p>
        </w:tc>
        <w:tc>
          <w:tcPr>
            <w:tcW w:w="770" w:type="dxa"/>
            <w:tcBorders>
              <w:top w:val="single" w:sz="6" w:space="0" w:color="auto"/>
              <w:bottom w:val="nil"/>
            </w:tcBorders>
            <w:shd w:val="clear" w:color="auto" w:fill="auto"/>
          </w:tcPr>
          <w:p w14:paraId="7C50A86E" w14:textId="77777777" w:rsidR="00872C03" w:rsidRPr="00883399" w:rsidRDefault="00872C03" w:rsidP="0031057E">
            <w:pPr>
              <w:pStyle w:val="TableHeading"/>
              <w:rPr>
                <w:sz w:val="22"/>
              </w:rPr>
            </w:pPr>
            <w:r w:rsidRPr="00883399">
              <w:rPr>
                <w:sz w:val="22"/>
              </w:rPr>
              <w:t>Col. 7</w:t>
            </w:r>
          </w:p>
        </w:tc>
        <w:tc>
          <w:tcPr>
            <w:tcW w:w="742" w:type="dxa"/>
            <w:tcBorders>
              <w:top w:val="single" w:sz="6" w:space="0" w:color="auto"/>
              <w:bottom w:val="nil"/>
            </w:tcBorders>
            <w:shd w:val="clear" w:color="auto" w:fill="auto"/>
          </w:tcPr>
          <w:p w14:paraId="3D5A6DFC" w14:textId="77777777" w:rsidR="00872C03" w:rsidRPr="00883399" w:rsidRDefault="00872C03" w:rsidP="0031057E">
            <w:pPr>
              <w:pStyle w:val="TableHeading"/>
              <w:rPr>
                <w:sz w:val="22"/>
              </w:rPr>
            </w:pPr>
            <w:r w:rsidRPr="00883399">
              <w:rPr>
                <w:sz w:val="22"/>
              </w:rPr>
              <w:t>Col. 8</w:t>
            </w:r>
          </w:p>
        </w:tc>
        <w:tc>
          <w:tcPr>
            <w:tcW w:w="788" w:type="dxa"/>
            <w:tcBorders>
              <w:top w:val="single" w:sz="6" w:space="0" w:color="auto"/>
              <w:bottom w:val="nil"/>
            </w:tcBorders>
            <w:shd w:val="clear" w:color="auto" w:fill="auto"/>
          </w:tcPr>
          <w:p w14:paraId="513A3749" w14:textId="77777777" w:rsidR="00872C03" w:rsidRPr="00883399" w:rsidRDefault="00872C03" w:rsidP="0031057E">
            <w:pPr>
              <w:pStyle w:val="TableHeading"/>
              <w:rPr>
                <w:sz w:val="22"/>
              </w:rPr>
            </w:pPr>
            <w:r w:rsidRPr="00883399">
              <w:rPr>
                <w:sz w:val="22"/>
              </w:rPr>
              <w:t>Col. 9</w:t>
            </w:r>
          </w:p>
        </w:tc>
      </w:tr>
      <w:tr w:rsidR="00872C03" w:rsidRPr="00883399" w14:paraId="58354790" w14:textId="77777777" w:rsidTr="0031057E">
        <w:trPr>
          <w:tblHeader/>
        </w:trPr>
        <w:tc>
          <w:tcPr>
            <w:tcW w:w="653" w:type="dxa"/>
            <w:tcBorders>
              <w:top w:val="nil"/>
              <w:bottom w:val="single" w:sz="12" w:space="0" w:color="auto"/>
            </w:tcBorders>
            <w:shd w:val="clear" w:color="auto" w:fill="auto"/>
          </w:tcPr>
          <w:p w14:paraId="44DA4E4B" w14:textId="77777777" w:rsidR="00872C03" w:rsidRPr="00883399" w:rsidRDefault="00872C03" w:rsidP="0031057E">
            <w:pPr>
              <w:pStyle w:val="TableHeading"/>
              <w:rPr>
                <w:sz w:val="22"/>
              </w:rPr>
            </w:pPr>
          </w:p>
        </w:tc>
        <w:tc>
          <w:tcPr>
            <w:tcW w:w="1694" w:type="dxa"/>
            <w:tcBorders>
              <w:top w:val="nil"/>
              <w:bottom w:val="single" w:sz="12" w:space="0" w:color="auto"/>
            </w:tcBorders>
            <w:shd w:val="clear" w:color="auto" w:fill="auto"/>
          </w:tcPr>
          <w:p w14:paraId="05FA65F9" w14:textId="77777777" w:rsidR="00872C03" w:rsidRPr="00883399" w:rsidRDefault="00872C03" w:rsidP="0031057E">
            <w:pPr>
              <w:pStyle w:val="TableHeading"/>
              <w:rPr>
                <w:sz w:val="22"/>
              </w:rPr>
            </w:pPr>
            <w:r w:rsidRPr="00883399">
              <w:rPr>
                <w:sz w:val="22"/>
              </w:rPr>
              <w:t>Waste stream</w:t>
            </w:r>
          </w:p>
        </w:tc>
        <w:tc>
          <w:tcPr>
            <w:tcW w:w="756" w:type="dxa"/>
            <w:tcBorders>
              <w:top w:val="nil"/>
              <w:bottom w:val="single" w:sz="12" w:space="0" w:color="auto"/>
            </w:tcBorders>
            <w:shd w:val="clear" w:color="auto" w:fill="auto"/>
          </w:tcPr>
          <w:p w14:paraId="7226A2F2" w14:textId="77777777" w:rsidR="00872C03" w:rsidRPr="00883399" w:rsidRDefault="00872C03" w:rsidP="0031057E">
            <w:pPr>
              <w:pStyle w:val="TableHeading"/>
              <w:rPr>
                <w:sz w:val="22"/>
              </w:rPr>
            </w:pPr>
            <w:r w:rsidRPr="00883399">
              <w:rPr>
                <w:sz w:val="22"/>
              </w:rPr>
              <w:t>NSW</w:t>
            </w:r>
            <w:r w:rsidRPr="00883399">
              <w:rPr>
                <w:sz w:val="22"/>
              </w:rPr>
              <w:br/>
              <w:t>%</w:t>
            </w:r>
          </w:p>
        </w:tc>
        <w:tc>
          <w:tcPr>
            <w:tcW w:w="728" w:type="dxa"/>
            <w:tcBorders>
              <w:top w:val="nil"/>
              <w:bottom w:val="single" w:sz="12" w:space="0" w:color="auto"/>
            </w:tcBorders>
            <w:shd w:val="clear" w:color="auto" w:fill="auto"/>
          </w:tcPr>
          <w:p w14:paraId="4F462589" w14:textId="77777777" w:rsidR="00872C03" w:rsidRPr="00883399" w:rsidRDefault="00872C03" w:rsidP="0031057E">
            <w:pPr>
              <w:pStyle w:val="TableHeading"/>
              <w:rPr>
                <w:sz w:val="22"/>
              </w:rPr>
            </w:pPr>
            <w:r w:rsidRPr="00883399">
              <w:rPr>
                <w:sz w:val="22"/>
              </w:rPr>
              <w:t>VIC</w:t>
            </w:r>
            <w:r w:rsidRPr="00883399">
              <w:rPr>
                <w:sz w:val="22"/>
              </w:rPr>
              <w:br/>
              <w:t>%</w:t>
            </w:r>
          </w:p>
        </w:tc>
        <w:tc>
          <w:tcPr>
            <w:tcW w:w="728" w:type="dxa"/>
            <w:tcBorders>
              <w:top w:val="nil"/>
              <w:bottom w:val="single" w:sz="12" w:space="0" w:color="auto"/>
            </w:tcBorders>
            <w:shd w:val="clear" w:color="auto" w:fill="auto"/>
          </w:tcPr>
          <w:p w14:paraId="511AC9EB" w14:textId="77777777" w:rsidR="00872C03" w:rsidRPr="00883399" w:rsidRDefault="00872C03" w:rsidP="0031057E">
            <w:pPr>
              <w:pStyle w:val="TableHeading"/>
              <w:rPr>
                <w:sz w:val="22"/>
              </w:rPr>
            </w:pPr>
            <w:r w:rsidRPr="00883399">
              <w:rPr>
                <w:sz w:val="22"/>
              </w:rPr>
              <w:t>QLD</w:t>
            </w:r>
            <w:r w:rsidRPr="00883399">
              <w:rPr>
                <w:sz w:val="22"/>
              </w:rPr>
              <w:br/>
              <w:t>%</w:t>
            </w:r>
          </w:p>
        </w:tc>
        <w:tc>
          <w:tcPr>
            <w:tcW w:w="728" w:type="dxa"/>
            <w:tcBorders>
              <w:top w:val="nil"/>
              <w:bottom w:val="single" w:sz="12" w:space="0" w:color="auto"/>
            </w:tcBorders>
            <w:shd w:val="clear" w:color="auto" w:fill="auto"/>
          </w:tcPr>
          <w:p w14:paraId="0BC10B59" w14:textId="77777777" w:rsidR="00872C03" w:rsidRPr="00883399" w:rsidRDefault="00872C03" w:rsidP="0031057E">
            <w:pPr>
              <w:pStyle w:val="TableHeading"/>
              <w:rPr>
                <w:sz w:val="22"/>
              </w:rPr>
            </w:pPr>
            <w:r w:rsidRPr="00883399">
              <w:rPr>
                <w:sz w:val="22"/>
              </w:rPr>
              <w:t>WA</w:t>
            </w:r>
            <w:r w:rsidRPr="00883399">
              <w:rPr>
                <w:sz w:val="22"/>
              </w:rPr>
              <w:br/>
              <w:t>%</w:t>
            </w:r>
          </w:p>
        </w:tc>
        <w:tc>
          <w:tcPr>
            <w:tcW w:w="727" w:type="dxa"/>
            <w:tcBorders>
              <w:top w:val="nil"/>
              <w:bottom w:val="single" w:sz="12" w:space="0" w:color="auto"/>
            </w:tcBorders>
            <w:shd w:val="clear" w:color="auto" w:fill="auto"/>
          </w:tcPr>
          <w:p w14:paraId="07DD1A0C" w14:textId="77777777" w:rsidR="00872C03" w:rsidRPr="00883399" w:rsidRDefault="00872C03" w:rsidP="0031057E">
            <w:pPr>
              <w:pStyle w:val="TableHeading"/>
              <w:rPr>
                <w:sz w:val="22"/>
              </w:rPr>
            </w:pPr>
            <w:r w:rsidRPr="00883399">
              <w:rPr>
                <w:sz w:val="22"/>
              </w:rPr>
              <w:t>SA</w:t>
            </w:r>
            <w:r w:rsidRPr="00883399">
              <w:rPr>
                <w:sz w:val="22"/>
              </w:rPr>
              <w:br/>
              <w:t>%</w:t>
            </w:r>
          </w:p>
        </w:tc>
        <w:tc>
          <w:tcPr>
            <w:tcW w:w="770" w:type="dxa"/>
            <w:tcBorders>
              <w:top w:val="nil"/>
              <w:bottom w:val="single" w:sz="12" w:space="0" w:color="auto"/>
            </w:tcBorders>
            <w:shd w:val="clear" w:color="auto" w:fill="auto"/>
          </w:tcPr>
          <w:p w14:paraId="483CE120" w14:textId="77777777" w:rsidR="00872C03" w:rsidRPr="00883399" w:rsidRDefault="00872C03" w:rsidP="0031057E">
            <w:pPr>
              <w:pStyle w:val="TableHeading"/>
              <w:rPr>
                <w:sz w:val="22"/>
              </w:rPr>
            </w:pPr>
            <w:r w:rsidRPr="00883399">
              <w:rPr>
                <w:sz w:val="22"/>
              </w:rPr>
              <w:t>TAS</w:t>
            </w:r>
            <w:r w:rsidRPr="00883399">
              <w:rPr>
                <w:sz w:val="22"/>
              </w:rPr>
              <w:br/>
              <w:t>%</w:t>
            </w:r>
          </w:p>
        </w:tc>
        <w:tc>
          <w:tcPr>
            <w:tcW w:w="742" w:type="dxa"/>
            <w:tcBorders>
              <w:top w:val="nil"/>
              <w:bottom w:val="single" w:sz="12" w:space="0" w:color="auto"/>
            </w:tcBorders>
            <w:shd w:val="clear" w:color="auto" w:fill="auto"/>
          </w:tcPr>
          <w:p w14:paraId="62956D40" w14:textId="77777777" w:rsidR="00872C03" w:rsidRPr="00883399" w:rsidRDefault="00872C03" w:rsidP="0031057E">
            <w:pPr>
              <w:pStyle w:val="TableHeading"/>
              <w:rPr>
                <w:sz w:val="22"/>
              </w:rPr>
            </w:pPr>
            <w:r w:rsidRPr="00883399">
              <w:rPr>
                <w:sz w:val="22"/>
              </w:rPr>
              <w:t>ACT</w:t>
            </w:r>
            <w:r w:rsidRPr="00883399">
              <w:rPr>
                <w:sz w:val="22"/>
              </w:rPr>
              <w:br/>
              <w:t>%</w:t>
            </w:r>
          </w:p>
        </w:tc>
        <w:tc>
          <w:tcPr>
            <w:tcW w:w="788" w:type="dxa"/>
            <w:tcBorders>
              <w:top w:val="nil"/>
              <w:bottom w:val="single" w:sz="12" w:space="0" w:color="auto"/>
            </w:tcBorders>
            <w:shd w:val="clear" w:color="auto" w:fill="auto"/>
          </w:tcPr>
          <w:p w14:paraId="198D2E48" w14:textId="77777777" w:rsidR="00872C03" w:rsidRPr="00883399" w:rsidRDefault="00872C03" w:rsidP="0031057E">
            <w:pPr>
              <w:pStyle w:val="TableHeading"/>
              <w:rPr>
                <w:sz w:val="22"/>
              </w:rPr>
            </w:pPr>
            <w:r w:rsidRPr="00883399">
              <w:rPr>
                <w:sz w:val="22"/>
              </w:rPr>
              <w:t>NT</w:t>
            </w:r>
            <w:r w:rsidRPr="00883399">
              <w:rPr>
                <w:sz w:val="22"/>
              </w:rPr>
              <w:br/>
              <w:t>%</w:t>
            </w:r>
          </w:p>
        </w:tc>
      </w:tr>
      <w:tr w:rsidR="00872C03" w:rsidRPr="00883399" w14:paraId="4FA32E28" w14:textId="77777777" w:rsidTr="0031057E">
        <w:tc>
          <w:tcPr>
            <w:tcW w:w="653" w:type="dxa"/>
            <w:tcBorders>
              <w:top w:val="single" w:sz="12" w:space="0" w:color="auto"/>
            </w:tcBorders>
            <w:shd w:val="clear" w:color="auto" w:fill="auto"/>
          </w:tcPr>
          <w:p w14:paraId="0F073D20" w14:textId="77777777" w:rsidR="00872C03" w:rsidRPr="00883399" w:rsidRDefault="00872C03" w:rsidP="0031057E">
            <w:pPr>
              <w:pStyle w:val="Tabletext0"/>
              <w:rPr>
                <w:sz w:val="22"/>
              </w:rPr>
            </w:pPr>
            <w:r w:rsidRPr="00883399">
              <w:rPr>
                <w:sz w:val="22"/>
              </w:rPr>
              <w:t>1</w:t>
            </w:r>
          </w:p>
        </w:tc>
        <w:tc>
          <w:tcPr>
            <w:tcW w:w="1694" w:type="dxa"/>
            <w:tcBorders>
              <w:top w:val="single" w:sz="12" w:space="0" w:color="auto"/>
            </w:tcBorders>
            <w:shd w:val="clear" w:color="auto" w:fill="auto"/>
          </w:tcPr>
          <w:p w14:paraId="23C0B7FD" w14:textId="77777777" w:rsidR="00872C03" w:rsidRPr="00883399" w:rsidRDefault="00872C03" w:rsidP="0031057E">
            <w:pPr>
              <w:pStyle w:val="Tabletext0"/>
              <w:rPr>
                <w:sz w:val="22"/>
              </w:rPr>
            </w:pPr>
            <w:r w:rsidRPr="00883399">
              <w:rPr>
                <w:sz w:val="22"/>
              </w:rPr>
              <w:t>Municipal solid waste</w:t>
            </w:r>
          </w:p>
        </w:tc>
        <w:tc>
          <w:tcPr>
            <w:tcW w:w="756" w:type="dxa"/>
            <w:tcBorders>
              <w:top w:val="single" w:sz="12" w:space="0" w:color="auto"/>
            </w:tcBorders>
            <w:shd w:val="clear" w:color="auto" w:fill="auto"/>
          </w:tcPr>
          <w:p w14:paraId="335F23B3" w14:textId="77777777" w:rsidR="00872C03" w:rsidRPr="00883399" w:rsidRDefault="00872C03" w:rsidP="0031057E">
            <w:pPr>
              <w:pStyle w:val="Tabletext0"/>
              <w:rPr>
                <w:sz w:val="22"/>
              </w:rPr>
            </w:pPr>
            <w:r w:rsidRPr="00883399">
              <w:rPr>
                <w:sz w:val="22"/>
              </w:rPr>
              <w:t>31</w:t>
            </w:r>
          </w:p>
        </w:tc>
        <w:tc>
          <w:tcPr>
            <w:tcW w:w="728" w:type="dxa"/>
            <w:tcBorders>
              <w:top w:val="single" w:sz="12" w:space="0" w:color="auto"/>
            </w:tcBorders>
            <w:shd w:val="clear" w:color="auto" w:fill="auto"/>
          </w:tcPr>
          <w:p w14:paraId="63E96C1B" w14:textId="77777777" w:rsidR="00872C03" w:rsidRPr="00883399" w:rsidRDefault="00872C03" w:rsidP="0031057E">
            <w:pPr>
              <w:pStyle w:val="Tabletext0"/>
              <w:rPr>
                <w:sz w:val="22"/>
              </w:rPr>
            </w:pPr>
            <w:r w:rsidRPr="00883399">
              <w:rPr>
                <w:sz w:val="22"/>
              </w:rPr>
              <w:t>36</w:t>
            </w:r>
          </w:p>
        </w:tc>
        <w:tc>
          <w:tcPr>
            <w:tcW w:w="728" w:type="dxa"/>
            <w:tcBorders>
              <w:top w:val="single" w:sz="12" w:space="0" w:color="auto"/>
            </w:tcBorders>
            <w:shd w:val="clear" w:color="auto" w:fill="auto"/>
          </w:tcPr>
          <w:p w14:paraId="0CE53F19" w14:textId="77777777" w:rsidR="00872C03" w:rsidRPr="00883399" w:rsidRDefault="00872C03" w:rsidP="0031057E">
            <w:pPr>
              <w:pStyle w:val="Tabletext0"/>
              <w:rPr>
                <w:sz w:val="22"/>
              </w:rPr>
            </w:pPr>
            <w:r w:rsidRPr="00883399">
              <w:rPr>
                <w:sz w:val="22"/>
              </w:rPr>
              <w:t>43</w:t>
            </w:r>
          </w:p>
        </w:tc>
        <w:tc>
          <w:tcPr>
            <w:tcW w:w="728" w:type="dxa"/>
            <w:tcBorders>
              <w:top w:val="single" w:sz="12" w:space="0" w:color="auto"/>
            </w:tcBorders>
            <w:shd w:val="clear" w:color="auto" w:fill="auto"/>
          </w:tcPr>
          <w:p w14:paraId="51B25C27" w14:textId="77777777" w:rsidR="00872C03" w:rsidRPr="00883399" w:rsidRDefault="00872C03" w:rsidP="0031057E">
            <w:pPr>
              <w:pStyle w:val="Tabletext0"/>
              <w:rPr>
                <w:sz w:val="22"/>
              </w:rPr>
            </w:pPr>
            <w:r w:rsidRPr="00883399">
              <w:rPr>
                <w:sz w:val="22"/>
              </w:rPr>
              <w:t>26</w:t>
            </w:r>
          </w:p>
        </w:tc>
        <w:tc>
          <w:tcPr>
            <w:tcW w:w="727" w:type="dxa"/>
            <w:tcBorders>
              <w:top w:val="single" w:sz="12" w:space="0" w:color="auto"/>
            </w:tcBorders>
            <w:shd w:val="clear" w:color="auto" w:fill="auto"/>
          </w:tcPr>
          <w:p w14:paraId="4286153E" w14:textId="77777777" w:rsidR="00872C03" w:rsidRPr="00883399" w:rsidRDefault="00872C03" w:rsidP="0031057E">
            <w:pPr>
              <w:pStyle w:val="Tabletext0"/>
              <w:rPr>
                <w:sz w:val="22"/>
              </w:rPr>
            </w:pPr>
            <w:r w:rsidRPr="00883399">
              <w:rPr>
                <w:sz w:val="22"/>
              </w:rPr>
              <w:t>36</w:t>
            </w:r>
          </w:p>
        </w:tc>
        <w:tc>
          <w:tcPr>
            <w:tcW w:w="770" w:type="dxa"/>
            <w:tcBorders>
              <w:top w:val="single" w:sz="12" w:space="0" w:color="auto"/>
            </w:tcBorders>
            <w:shd w:val="clear" w:color="auto" w:fill="auto"/>
          </w:tcPr>
          <w:p w14:paraId="2CE9B388" w14:textId="77777777" w:rsidR="00872C03" w:rsidRPr="00883399" w:rsidRDefault="00872C03" w:rsidP="0031057E">
            <w:pPr>
              <w:pStyle w:val="Tabletext0"/>
              <w:rPr>
                <w:sz w:val="22"/>
              </w:rPr>
            </w:pPr>
            <w:r w:rsidRPr="00883399">
              <w:rPr>
                <w:sz w:val="22"/>
              </w:rPr>
              <w:t>57</w:t>
            </w:r>
          </w:p>
        </w:tc>
        <w:tc>
          <w:tcPr>
            <w:tcW w:w="742" w:type="dxa"/>
            <w:tcBorders>
              <w:top w:val="single" w:sz="12" w:space="0" w:color="auto"/>
            </w:tcBorders>
            <w:shd w:val="clear" w:color="auto" w:fill="auto"/>
          </w:tcPr>
          <w:p w14:paraId="1C99313D" w14:textId="77777777" w:rsidR="00872C03" w:rsidRPr="00883399" w:rsidRDefault="00872C03" w:rsidP="0031057E">
            <w:pPr>
              <w:pStyle w:val="Tabletext0"/>
              <w:rPr>
                <w:sz w:val="22"/>
              </w:rPr>
            </w:pPr>
            <w:r w:rsidRPr="00883399">
              <w:rPr>
                <w:sz w:val="22"/>
              </w:rPr>
              <w:t>43</w:t>
            </w:r>
          </w:p>
        </w:tc>
        <w:tc>
          <w:tcPr>
            <w:tcW w:w="788" w:type="dxa"/>
            <w:tcBorders>
              <w:top w:val="single" w:sz="12" w:space="0" w:color="auto"/>
            </w:tcBorders>
            <w:shd w:val="clear" w:color="auto" w:fill="auto"/>
          </w:tcPr>
          <w:p w14:paraId="3C02B9EB" w14:textId="77777777" w:rsidR="00872C03" w:rsidRPr="00883399" w:rsidRDefault="00872C03" w:rsidP="0031057E">
            <w:pPr>
              <w:pStyle w:val="Tabletext0"/>
              <w:rPr>
                <w:sz w:val="22"/>
              </w:rPr>
            </w:pPr>
            <w:r w:rsidRPr="00883399">
              <w:rPr>
                <w:sz w:val="22"/>
              </w:rPr>
              <w:t>43</w:t>
            </w:r>
          </w:p>
        </w:tc>
      </w:tr>
      <w:tr w:rsidR="00872C03" w:rsidRPr="00883399" w14:paraId="1805A739" w14:textId="77777777" w:rsidTr="0031057E">
        <w:trPr>
          <w:cantSplit/>
        </w:trPr>
        <w:tc>
          <w:tcPr>
            <w:tcW w:w="653" w:type="dxa"/>
            <w:tcBorders>
              <w:bottom w:val="single" w:sz="4" w:space="0" w:color="auto"/>
            </w:tcBorders>
            <w:shd w:val="clear" w:color="auto" w:fill="auto"/>
          </w:tcPr>
          <w:p w14:paraId="422EA0CE" w14:textId="77777777" w:rsidR="00872C03" w:rsidRPr="00883399" w:rsidRDefault="00872C03" w:rsidP="0031057E">
            <w:pPr>
              <w:pStyle w:val="Tabletext0"/>
              <w:rPr>
                <w:sz w:val="22"/>
              </w:rPr>
            </w:pPr>
            <w:r w:rsidRPr="00883399">
              <w:rPr>
                <w:sz w:val="22"/>
              </w:rPr>
              <w:t>2</w:t>
            </w:r>
          </w:p>
        </w:tc>
        <w:tc>
          <w:tcPr>
            <w:tcW w:w="1694" w:type="dxa"/>
            <w:tcBorders>
              <w:bottom w:val="single" w:sz="4" w:space="0" w:color="auto"/>
            </w:tcBorders>
            <w:shd w:val="clear" w:color="auto" w:fill="auto"/>
          </w:tcPr>
          <w:p w14:paraId="11DBC45F" w14:textId="77777777" w:rsidR="00872C03" w:rsidRPr="00883399" w:rsidRDefault="00872C03" w:rsidP="0031057E">
            <w:pPr>
              <w:pStyle w:val="Tabletext0"/>
              <w:rPr>
                <w:sz w:val="22"/>
              </w:rPr>
            </w:pPr>
            <w:r w:rsidRPr="00883399">
              <w:rPr>
                <w:sz w:val="22"/>
              </w:rPr>
              <w:t>Commercial and industrial</w:t>
            </w:r>
          </w:p>
        </w:tc>
        <w:tc>
          <w:tcPr>
            <w:tcW w:w="756" w:type="dxa"/>
            <w:tcBorders>
              <w:bottom w:val="single" w:sz="4" w:space="0" w:color="auto"/>
            </w:tcBorders>
            <w:shd w:val="clear" w:color="auto" w:fill="auto"/>
          </w:tcPr>
          <w:p w14:paraId="37093991" w14:textId="77777777" w:rsidR="00872C03" w:rsidRPr="00883399" w:rsidRDefault="00872C03" w:rsidP="0031057E">
            <w:pPr>
              <w:pStyle w:val="Tabletext0"/>
              <w:rPr>
                <w:sz w:val="22"/>
              </w:rPr>
            </w:pPr>
            <w:r w:rsidRPr="00883399">
              <w:rPr>
                <w:sz w:val="22"/>
              </w:rPr>
              <w:t>42</w:t>
            </w:r>
          </w:p>
        </w:tc>
        <w:tc>
          <w:tcPr>
            <w:tcW w:w="728" w:type="dxa"/>
            <w:tcBorders>
              <w:bottom w:val="single" w:sz="4" w:space="0" w:color="auto"/>
            </w:tcBorders>
            <w:shd w:val="clear" w:color="auto" w:fill="auto"/>
          </w:tcPr>
          <w:p w14:paraId="77F24D55" w14:textId="77777777" w:rsidR="00872C03" w:rsidRPr="00883399" w:rsidRDefault="00872C03" w:rsidP="0031057E">
            <w:pPr>
              <w:pStyle w:val="Tabletext0"/>
              <w:rPr>
                <w:sz w:val="22"/>
              </w:rPr>
            </w:pPr>
            <w:r w:rsidRPr="00883399">
              <w:rPr>
                <w:sz w:val="22"/>
              </w:rPr>
              <w:t>24</w:t>
            </w:r>
          </w:p>
        </w:tc>
        <w:tc>
          <w:tcPr>
            <w:tcW w:w="728" w:type="dxa"/>
            <w:tcBorders>
              <w:bottom w:val="single" w:sz="4" w:space="0" w:color="auto"/>
            </w:tcBorders>
            <w:shd w:val="clear" w:color="auto" w:fill="auto"/>
          </w:tcPr>
          <w:p w14:paraId="258DB808" w14:textId="77777777" w:rsidR="00872C03" w:rsidRPr="00883399" w:rsidRDefault="00872C03" w:rsidP="0031057E">
            <w:pPr>
              <w:pStyle w:val="Tabletext0"/>
              <w:rPr>
                <w:sz w:val="22"/>
              </w:rPr>
            </w:pPr>
            <w:r w:rsidRPr="00883399">
              <w:rPr>
                <w:sz w:val="22"/>
              </w:rPr>
              <w:t>14</w:t>
            </w:r>
          </w:p>
        </w:tc>
        <w:tc>
          <w:tcPr>
            <w:tcW w:w="728" w:type="dxa"/>
            <w:tcBorders>
              <w:bottom w:val="single" w:sz="4" w:space="0" w:color="auto"/>
            </w:tcBorders>
            <w:shd w:val="clear" w:color="auto" w:fill="auto"/>
          </w:tcPr>
          <w:p w14:paraId="48D9D203" w14:textId="77777777" w:rsidR="00872C03" w:rsidRPr="00883399" w:rsidRDefault="00872C03" w:rsidP="0031057E">
            <w:pPr>
              <w:pStyle w:val="Tabletext0"/>
              <w:rPr>
                <w:sz w:val="22"/>
              </w:rPr>
            </w:pPr>
            <w:r w:rsidRPr="00883399">
              <w:rPr>
                <w:sz w:val="22"/>
              </w:rPr>
              <w:t>17</w:t>
            </w:r>
          </w:p>
        </w:tc>
        <w:tc>
          <w:tcPr>
            <w:tcW w:w="727" w:type="dxa"/>
            <w:tcBorders>
              <w:bottom w:val="single" w:sz="4" w:space="0" w:color="auto"/>
            </w:tcBorders>
            <w:shd w:val="clear" w:color="auto" w:fill="auto"/>
          </w:tcPr>
          <w:p w14:paraId="675AA563" w14:textId="77777777" w:rsidR="00872C03" w:rsidRPr="00883399" w:rsidRDefault="00872C03" w:rsidP="0031057E">
            <w:pPr>
              <w:pStyle w:val="Tabletext0"/>
              <w:rPr>
                <w:sz w:val="22"/>
              </w:rPr>
            </w:pPr>
            <w:r w:rsidRPr="00883399">
              <w:rPr>
                <w:sz w:val="22"/>
              </w:rPr>
              <w:t>19</w:t>
            </w:r>
          </w:p>
        </w:tc>
        <w:tc>
          <w:tcPr>
            <w:tcW w:w="770" w:type="dxa"/>
            <w:tcBorders>
              <w:bottom w:val="single" w:sz="4" w:space="0" w:color="auto"/>
            </w:tcBorders>
            <w:shd w:val="clear" w:color="auto" w:fill="auto"/>
          </w:tcPr>
          <w:p w14:paraId="1B87C12D" w14:textId="77777777" w:rsidR="00872C03" w:rsidRPr="00883399" w:rsidRDefault="00872C03" w:rsidP="0031057E">
            <w:pPr>
              <w:pStyle w:val="Tabletext0"/>
              <w:rPr>
                <w:sz w:val="22"/>
              </w:rPr>
            </w:pPr>
            <w:r w:rsidRPr="00883399">
              <w:rPr>
                <w:sz w:val="22"/>
              </w:rPr>
              <w:t>33</w:t>
            </w:r>
          </w:p>
        </w:tc>
        <w:tc>
          <w:tcPr>
            <w:tcW w:w="742" w:type="dxa"/>
            <w:tcBorders>
              <w:bottom w:val="single" w:sz="4" w:space="0" w:color="auto"/>
            </w:tcBorders>
            <w:shd w:val="clear" w:color="auto" w:fill="auto"/>
          </w:tcPr>
          <w:p w14:paraId="420A98A4" w14:textId="77777777" w:rsidR="00872C03" w:rsidRPr="00883399" w:rsidRDefault="00872C03" w:rsidP="0031057E">
            <w:pPr>
              <w:pStyle w:val="Tabletext0"/>
              <w:rPr>
                <w:sz w:val="22"/>
              </w:rPr>
            </w:pPr>
            <w:r w:rsidRPr="00883399">
              <w:rPr>
                <w:sz w:val="22"/>
              </w:rPr>
              <w:t>42</w:t>
            </w:r>
          </w:p>
        </w:tc>
        <w:tc>
          <w:tcPr>
            <w:tcW w:w="788" w:type="dxa"/>
            <w:tcBorders>
              <w:bottom w:val="single" w:sz="4" w:space="0" w:color="auto"/>
            </w:tcBorders>
            <w:shd w:val="clear" w:color="auto" w:fill="auto"/>
          </w:tcPr>
          <w:p w14:paraId="2B8E9562" w14:textId="77777777" w:rsidR="00872C03" w:rsidRPr="00883399" w:rsidRDefault="00872C03" w:rsidP="0031057E">
            <w:pPr>
              <w:pStyle w:val="Tabletext0"/>
              <w:rPr>
                <w:sz w:val="22"/>
              </w:rPr>
            </w:pPr>
            <w:r w:rsidRPr="00883399">
              <w:rPr>
                <w:sz w:val="22"/>
              </w:rPr>
              <w:t>14</w:t>
            </w:r>
          </w:p>
        </w:tc>
      </w:tr>
      <w:tr w:rsidR="00872C03" w:rsidRPr="00883399" w14:paraId="78A66009" w14:textId="77777777" w:rsidTr="0031057E">
        <w:tc>
          <w:tcPr>
            <w:tcW w:w="653" w:type="dxa"/>
            <w:tcBorders>
              <w:bottom w:val="single" w:sz="12" w:space="0" w:color="auto"/>
            </w:tcBorders>
            <w:shd w:val="clear" w:color="auto" w:fill="auto"/>
          </w:tcPr>
          <w:p w14:paraId="2BECE849" w14:textId="77777777" w:rsidR="00872C03" w:rsidRPr="00883399" w:rsidRDefault="00872C03" w:rsidP="0031057E">
            <w:pPr>
              <w:pStyle w:val="Tabletext0"/>
              <w:rPr>
                <w:sz w:val="22"/>
              </w:rPr>
            </w:pPr>
            <w:r w:rsidRPr="00883399">
              <w:rPr>
                <w:sz w:val="22"/>
              </w:rPr>
              <w:t>3</w:t>
            </w:r>
          </w:p>
        </w:tc>
        <w:tc>
          <w:tcPr>
            <w:tcW w:w="1694" w:type="dxa"/>
            <w:tcBorders>
              <w:bottom w:val="single" w:sz="12" w:space="0" w:color="auto"/>
            </w:tcBorders>
            <w:shd w:val="clear" w:color="auto" w:fill="auto"/>
          </w:tcPr>
          <w:p w14:paraId="3A98034C" w14:textId="77777777" w:rsidR="00872C03" w:rsidRPr="00883399" w:rsidRDefault="00872C03" w:rsidP="0031057E">
            <w:pPr>
              <w:pStyle w:val="Tabletext0"/>
              <w:rPr>
                <w:sz w:val="22"/>
              </w:rPr>
            </w:pPr>
            <w:r w:rsidRPr="00883399">
              <w:rPr>
                <w:sz w:val="22"/>
              </w:rPr>
              <w:t>Construction and demolition</w:t>
            </w:r>
          </w:p>
        </w:tc>
        <w:tc>
          <w:tcPr>
            <w:tcW w:w="756" w:type="dxa"/>
            <w:tcBorders>
              <w:bottom w:val="single" w:sz="12" w:space="0" w:color="auto"/>
            </w:tcBorders>
            <w:shd w:val="clear" w:color="auto" w:fill="auto"/>
          </w:tcPr>
          <w:p w14:paraId="74C35F16" w14:textId="77777777" w:rsidR="00872C03" w:rsidRPr="00883399" w:rsidRDefault="00872C03" w:rsidP="0031057E">
            <w:pPr>
              <w:pStyle w:val="Tabletext0"/>
              <w:rPr>
                <w:sz w:val="22"/>
              </w:rPr>
            </w:pPr>
            <w:r w:rsidRPr="00883399">
              <w:rPr>
                <w:sz w:val="22"/>
              </w:rPr>
              <w:t>27</w:t>
            </w:r>
          </w:p>
        </w:tc>
        <w:tc>
          <w:tcPr>
            <w:tcW w:w="728" w:type="dxa"/>
            <w:tcBorders>
              <w:bottom w:val="single" w:sz="12" w:space="0" w:color="auto"/>
            </w:tcBorders>
            <w:shd w:val="clear" w:color="auto" w:fill="auto"/>
          </w:tcPr>
          <w:p w14:paraId="0623BF17" w14:textId="77777777" w:rsidR="00872C03" w:rsidRPr="00883399" w:rsidRDefault="00872C03" w:rsidP="0031057E">
            <w:pPr>
              <w:pStyle w:val="Tabletext0"/>
              <w:rPr>
                <w:sz w:val="22"/>
              </w:rPr>
            </w:pPr>
            <w:r w:rsidRPr="00883399">
              <w:rPr>
                <w:sz w:val="22"/>
              </w:rPr>
              <w:t>40</w:t>
            </w:r>
          </w:p>
        </w:tc>
        <w:tc>
          <w:tcPr>
            <w:tcW w:w="728" w:type="dxa"/>
            <w:tcBorders>
              <w:bottom w:val="single" w:sz="12" w:space="0" w:color="auto"/>
            </w:tcBorders>
            <w:shd w:val="clear" w:color="auto" w:fill="auto"/>
          </w:tcPr>
          <w:p w14:paraId="24667EA5" w14:textId="77777777" w:rsidR="00872C03" w:rsidRPr="00883399" w:rsidRDefault="00872C03" w:rsidP="0031057E">
            <w:pPr>
              <w:pStyle w:val="Tabletext0"/>
              <w:rPr>
                <w:sz w:val="22"/>
              </w:rPr>
            </w:pPr>
            <w:r w:rsidRPr="00883399">
              <w:rPr>
                <w:sz w:val="22"/>
              </w:rPr>
              <w:t>43</w:t>
            </w:r>
          </w:p>
        </w:tc>
        <w:tc>
          <w:tcPr>
            <w:tcW w:w="728" w:type="dxa"/>
            <w:tcBorders>
              <w:bottom w:val="single" w:sz="12" w:space="0" w:color="auto"/>
            </w:tcBorders>
            <w:shd w:val="clear" w:color="auto" w:fill="auto"/>
          </w:tcPr>
          <w:p w14:paraId="0B1536A5" w14:textId="77777777" w:rsidR="00872C03" w:rsidRPr="00883399" w:rsidRDefault="00872C03" w:rsidP="0031057E">
            <w:pPr>
              <w:pStyle w:val="Tabletext0"/>
              <w:rPr>
                <w:sz w:val="22"/>
              </w:rPr>
            </w:pPr>
            <w:r w:rsidRPr="00883399">
              <w:rPr>
                <w:sz w:val="22"/>
              </w:rPr>
              <w:t>57</w:t>
            </w:r>
          </w:p>
        </w:tc>
        <w:tc>
          <w:tcPr>
            <w:tcW w:w="727" w:type="dxa"/>
            <w:tcBorders>
              <w:bottom w:val="single" w:sz="12" w:space="0" w:color="auto"/>
            </w:tcBorders>
            <w:shd w:val="clear" w:color="auto" w:fill="auto"/>
          </w:tcPr>
          <w:p w14:paraId="47DDFBFB" w14:textId="77777777" w:rsidR="00872C03" w:rsidRPr="00883399" w:rsidRDefault="00872C03" w:rsidP="0031057E">
            <w:pPr>
              <w:pStyle w:val="Tabletext0"/>
              <w:rPr>
                <w:sz w:val="22"/>
              </w:rPr>
            </w:pPr>
            <w:r w:rsidRPr="00883399">
              <w:rPr>
                <w:sz w:val="22"/>
              </w:rPr>
              <w:t>45</w:t>
            </w:r>
          </w:p>
        </w:tc>
        <w:tc>
          <w:tcPr>
            <w:tcW w:w="770" w:type="dxa"/>
            <w:tcBorders>
              <w:bottom w:val="single" w:sz="12" w:space="0" w:color="auto"/>
            </w:tcBorders>
            <w:shd w:val="clear" w:color="auto" w:fill="auto"/>
          </w:tcPr>
          <w:p w14:paraId="2A18B430" w14:textId="77777777" w:rsidR="00872C03" w:rsidRPr="00883399" w:rsidRDefault="00872C03" w:rsidP="0031057E">
            <w:pPr>
              <w:pStyle w:val="Tabletext0"/>
              <w:rPr>
                <w:sz w:val="22"/>
              </w:rPr>
            </w:pPr>
            <w:r w:rsidRPr="00883399">
              <w:rPr>
                <w:sz w:val="22"/>
              </w:rPr>
              <w:t>10</w:t>
            </w:r>
          </w:p>
        </w:tc>
        <w:tc>
          <w:tcPr>
            <w:tcW w:w="742" w:type="dxa"/>
            <w:tcBorders>
              <w:bottom w:val="single" w:sz="12" w:space="0" w:color="auto"/>
            </w:tcBorders>
            <w:shd w:val="clear" w:color="auto" w:fill="auto"/>
          </w:tcPr>
          <w:p w14:paraId="10C54D6A" w14:textId="77777777" w:rsidR="00872C03" w:rsidRPr="00883399" w:rsidRDefault="00872C03" w:rsidP="0031057E">
            <w:pPr>
              <w:pStyle w:val="Tabletext0"/>
              <w:rPr>
                <w:sz w:val="22"/>
              </w:rPr>
            </w:pPr>
            <w:r w:rsidRPr="00883399">
              <w:rPr>
                <w:sz w:val="22"/>
              </w:rPr>
              <w:t>15</w:t>
            </w:r>
          </w:p>
        </w:tc>
        <w:tc>
          <w:tcPr>
            <w:tcW w:w="788" w:type="dxa"/>
            <w:tcBorders>
              <w:bottom w:val="single" w:sz="12" w:space="0" w:color="auto"/>
            </w:tcBorders>
            <w:shd w:val="clear" w:color="auto" w:fill="auto"/>
          </w:tcPr>
          <w:p w14:paraId="7C3782EB" w14:textId="77777777" w:rsidR="00872C03" w:rsidRPr="00883399" w:rsidRDefault="00872C03" w:rsidP="0031057E">
            <w:pPr>
              <w:pStyle w:val="Tabletext0"/>
              <w:rPr>
                <w:sz w:val="22"/>
              </w:rPr>
            </w:pPr>
            <w:r w:rsidRPr="00883399">
              <w:rPr>
                <w:sz w:val="22"/>
              </w:rPr>
              <w:t>43</w:t>
            </w:r>
          </w:p>
        </w:tc>
      </w:tr>
    </w:tbl>
    <w:p w14:paraId="21BF446A" w14:textId="77777777" w:rsidR="00872C03" w:rsidRPr="00883399" w:rsidRDefault="00872C03" w:rsidP="00872C03">
      <w:pPr>
        <w:pStyle w:val="subsection"/>
        <w:rPr>
          <w:sz w:val="24"/>
        </w:rPr>
      </w:pPr>
      <w:r w:rsidRPr="00883399">
        <w:rPr>
          <w:sz w:val="24"/>
        </w:rPr>
        <w:tab/>
        <w:t>(3)</w:t>
      </w:r>
      <w:r w:rsidRPr="00883399">
        <w:rPr>
          <w:sz w:val="24"/>
        </w:rPr>
        <w:tab/>
        <w:t>For paragraph 5.9(2)(a), if the landfill is permitted to receive only:</w:t>
      </w:r>
    </w:p>
    <w:p w14:paraId="41B055D3" w14:textId="77777777" w:rsidR="00872C03" w:rsidRPr="00883399" w:rsidRDefault="00872C03" w:rsidP="00872C03">
      <w:pPr>
        <w:pStyle w:val="paragraph"/>
        <w:rPr>
          <w:sz w:val="24"/>
        </w:rPr>
      </w:pPr>
      <w:r w:rsidRPr="00883399">
        <w:rPr>
          <w:sz w:val="24"/>
        </w:rPr>
        <w:tab/>
        <w:t>(a)</w:t>
      </w:r>
      <w:r w:rsidRPr="00883399">
        <w:rPr>
          <w:sz w:val="24"/>
        </w:rPr>
        <w:tab/>
        <w:t>non</w:t>
      </w:r>
      <w:r w:rsidRPr="00883399">
        <w:rPr>
          <w:sz w:val="24"/>
        </w:rPr>
        <w:noBreakHyphen/>
        <w:t>putrescible waste; or</w:t>
      </w:r>
    </w:p>
    <w:p w14:paraId="24D945CA" w14:textId="77777777" w:rsidR="00872C03" w:rsidRPr="00883399" w:rsidRDefault="00872C03" w:rsidP="00872C03">
      <w:pPr>
        <w:pStyle w:val="paragraph"/>
        <w:rPr>
          <w:sz w:val="24"/>
        </w:rPr>
      </w:pPr>
      <w:r w:rsidRPr="00883399">
        <w:rPr>
          <w:sz w:val="24"/>
        </w:rPr>
        <w:tab/>
        <w:t>(b)</w:t>
      </w:r>
      <w:r w:rsidRPr="00883399">
        <w:rPr>
          <w:sz w:val="24"/>
        </w:rPr>
        <w:tab/>
        <w:t>commercial and industrial waste and construction and demolition waste;</w:t>
      </w:r>
    </w:p>
    <w:p w14:paraId="3E570A75" w14:textId="77777777" w:rsidR="00872C03" w:rsidRPr="00883399" w:rsidRDefault="00872C03" w:rsidP="00872C03">
      <w:pPr>
        <w:pStyle w:val="paragraph"/>
        <w:rPr>
          <w:sz w:val="24"/>
        </w:rPr>
      </w:pPr>
      <w:r w:rsidRPr="00883399">
        <w:rPr>
          <w:sz w:val="24"/>
        </w:rPr>
        <w:tab/>
      </w:r>
      <w:r w:rsidRPr="00883399">
        <w:rPr>
          <w:sz w:val="24"/>
        </w:rPr>
        <w:tab/>
        <w:t>the waste may be assumed to consist of only commercial and industrial waste and construction and demolition waste.</w:t>
      </w:r>
    </w:p>
    <w:p w14:paraId="2C390D90" w14:textId="77777777" w:rsidR="00872C03" w:rsidRPr="00883399" w:rsidRDefault="00872C03" w:rsidP="00872C03">
      <w:pPr>
        <w:pStyle w:val="subsection"/>
        <w:rPr>
          <w:sz w:val="24"/>
        </w:rPr>
      </w:pPr>
      <w:r w:rsidRPr="00883399">
        <w:rPr>
          <w:sz w:val="24"/>
        </w:rPr>
        <w:tab/>
        <w:t>(4)</w:t>
      </w:r>
      <w:r w:rsidRPr="00883399">
        <w:rPr>
          <w:sz w:val="24"/>
        </w:rPr>
        <w:tab/>
        <w:t>If subsection (3) applies, the tonnage of each waste stream mentioned in column 1 of the following table must be estimated:</w:t>
      </w:r>
    </w:p>
    <w:p w14:paraId="23CA05BC" w14:textId="77777777" w:rsidR="00872C03" w:rsidRPr="00883399" w:rsidRDefault="00872C03" w:rsidP="00872C03">
      <w:pPr>
        <w:pStyle w:val="paragraph"/>
        <w:rPr>
          <w:sz w:val="24"/>
        </w:rPr>
      </w:pPr>
      <w:r w:rsidRPr="00883399">
        <w:rPr>
          <w:sz w:val="24"/>
        </w:rPr>
        <w:tab/>
        <w:t>(a)</w:t>
      </w:r>
      <w:r w:rsidRPr="00883399">
        <w:rPr>
          <w:sz w:val="24"/>
        </w:rPr>
        <w:tab/>
        <w:t>if the operator of the landfill is required, under a law of the State or Territory in which the landfill is located, to collect data on tonnage of waste received at the landfill according to the waste streams set out in column 1—by using that data; or</w:t>
      </w:r>
    </w:p>
    <w:p w14:paraId="184ACE86" w14:textId="77777777" w:rsidR="00872C03" w:rsidRPr="00883399" w:rsidRDefault="00872C03" w:rsidP="00872C03">
      <w:pPr>
        <w:pStyle w:val="paragraph"/>
        <w:rPr>
          <w:sz w:val="24"/>
        </w:rPr>
      </w:pPr>
      <w:r w:rsidRPr="00883399">
        <w:rPr>
          <w:sz w:val="24"/>
        </w:rPr>
        <w:tab/>
        <w:t>(b)</w:t>
      </w:r>
      <w:r w:rsidRPr="00883399">
        <w:rPr>
          <w:sz w:val="24"/>
        </w:rPr>
        <w:tab/>
        <w:t>if paragraph (a) does not apply and the operator of the landfill is able to estimate, in accordance with one of the criteria set out in section 5.5, the tonnage of the waste streams set out in column 1—by using that data; or</w:t>
      </w:r>
    </w:p>
    <w:p w14:paraId="08E19A43" w14:textId="77777777" w:rsidR="00872C03" w:rsidRPr="00883399" w:rsidRDefault="00872C03" w:rsidP="00872C03">
      <w:pPr>
        <w:pStyle w:val="paragraph"/>
        <w:rPr>
          <w:sz w:val="24"/>
        </w:rPr>
      </w:pPr>
      <w:r w:rsidRPr="00883399">
        <w:rPr>
          <w:sz w:val="24"/>
        </w:rPr>
        <w:tab/>
        <w:t>(c)</w:t>
      </w:r>
      <w:r w:rsidRPr="00883399">
        <w:rPr>
          <w:sz w:val="24"/>
        </w:rPr>
        <w:tab/>
        <w:t>if paragraphs (a) and (b) do not apply—by using the percentage values in columns 2 to 9 for the State or Territory in which the landfill is located for each waste stream in column 1.</w:t>
      </w:r>
    </w:p>
    <w:p w14:paraId="51E7BCED" w14:textId="77777777" w:rsidR="00872C03" w:rsidRPr="00883399" w:rsidRDefault="00872C03" w:rsidP="00872C03">
      <w:pPr>
        <w:pStyle w:val="Tabletext0"/>
        <w:rPr>
          <w:sz w:val="22"/>
        </w:rPr>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81"/>
        <w:gridCol w:w="1694"/>
        <w:gridCol w:w="742"/>
        <w:gridCol w:w="742"/>
        <w:gridCol w:w="742"/>
        <w:gridCol w:w="728"/>
        <w:gridCol w:w="741"/>
        <w:gridCol w:w="770"/>
        <w:gridCol w:w="742"/>
        <w:gridCol w:w="729"/>
      </w:tblGrid>
      <w:tr w:rsidR="00872C03" w:rsidRPr="00883399" w14:paraId="559C47D6" w14:textId="77777777" w:rsidTr="0031057E">
        <w:trPr>
          <w:tblHeader/>
        </w:trPr>
        <w:tc>
          <w:tcPr>
            <w:tcW w:w="8311" w:type="dxa"/>
            <w:gridSpan w:val="10"/>
            <w:tcBorders>
              <w:top w:val="single" w:sz="12" w:space="0" w:color="auto"/>
              <w:bottom w:val="single" w:sz="6" w:space="0" w:color="auto"/>
            </w:tcBorders>
            <w:shd w:val="clear" w:color="auto" w:fill="auto"/>
          </w:tcPr>
          <w:p w14:paraId="4247BFF7" w14:textId="77777777" w:rsidR="00872C03" w:rsidRPr="00883399" w:rsidRDefault="00872C03" w:rsidP="0031057E">
            <w:pPr>
              <w:pStyle w:val="TableHeading"/>
              <w:rPr>
                <w:sz w:val="22"/>
              </w:rPr>
            </w:pPr>
            <w:r w:rsidRPr="00883399">
              <w:rPr>
                <w:sz w:val="22"/>
              </w:rPr>
              <w:t>Waste streams and estimation of tonnage</w:t>
            </w:r>
          </w:p>
        </w:tc>
      </w:tr>
      <w:tr w:rsidR="00872C03" w:rsidRPr="00883399" w14:paraId="7C212D90" w14:textId="77777777" w:rsidTr="0031057E">
        <w:trPr>
          <w:tblHeader/>
        </w:trPr>
        <w:tc>
          <w:tcPr>
            <w:tcW w:w="681" w:type="dxa"/>
            <w:tcBorders>
              <w:top w:val="single" w:sz="6" w:space="0" w:color="auto"/>
              <w:bottom w:val="nil"/>
            </w:tcBorders>
            <w:shd w:val="clear" w:color="auto" w:fill="auto"/>
          </w:tcPr>
          <w:p w14:paraId="677CC62A" w14:textId="77777777" w:rsidR="00872C03" w:rsidRPr="00883399" w:rsidRDefault="00872C03" w:rsidP="0031057E">
            <w:pPr>
              <w:pStyle w:val="TableHeading"/>
              <w:rPr>
                <w:sz w:val="22"/>
              </w:rPr>
            </w:pPr>
            <w:r w:rsidRPr="00883399">
              <w:rPr>
                <w:sz w:val="22"/>
              </w:rPr>
              <w:t>Item</w:t>
            </w:r>
          </w:p>
        </w:tc>
        <w:tc>
          <w:tcPr>
            <w:tcW w:w="1694" w:type="dxa"/>
            <w:tcBorders>
              <w:top w:val="single" w:sz="6" w:space="0" w:color="auto"/>
              <w:bottom w:val="nil"/>
            </w:tcBorders>
            <w:shd w:val="clear" w:color="auto" w:fill="auto"/>
          </w:tcPr>
          <w:p w14:paraId="38CB28E7" w14:textId="77777777" w:rsidR="00872C03" w:rsidRPr="00883399" w:rsidRDefault="00872C03" w:rsidP="0031057E">
            <w:pPr>
              <w:pStyle w:val="TableHeading"/>
              <w:rPr>
                <w:sz w:val="22"/>
              </w:rPr>
            </w:pPr>
            <w:r w:rsidRPr="00883399">
              <w:rPr>
                <w:sz w:val="22"/>
              </w:rPr>
              <w:t>Col. 1</w:t>
            </w:r>
          </w:p>
        </w:tc>
        <w:tc>
          <w:tcPr>
            <w:tcW w:w="742" w:type="dxa"/>
            <w:tcBorders>
              <w:top w:val="single" w:sz="6" w:space="0" w:color="auto"/>
              <w:bottom w:val="nil"/>
            </w:tcBorders>
            <w:shd w:val="clear" w:color="auto" w:fill="auto"/>
          </w:tcPr>
          <w:p w14:paraId="64ECF21E" w14:textId="77777777" w:rsidR="00872C03" w:rsidRPr="00883399" w:rsidRDefault="00872C03" w:rsidP="0031057E">
            <w:pPr>
              <w:pStyle w:val="TableHeading"/>
              <w:jc w:val="right"/>
              <w:rPr>
                <w:sz w:val="22"/>
              </w:rPr>
            </w:pPr>
            <w:r w:rsidRPr="00883399">
              <w:rPr>
                <w:sz w:val="22"/>
              </w:rPr>
              <w:t>Col. 2</w:t>
            </w:r>
          </w:p>
        </w:tc>
        <w:tc>
          <w:tcPr>
            <w:tcW w:w="742" w:type="dxa"/>
            <w:tcBorders>
              <w:top w:val="single" w:sz="6" w:space="0" w:color="auto"/>
              <w:bottom w:val="nil"/>
            </w:tcBorders>
            <w:shd w:val="clear" w:color="auto" w:fill="auto"/>
          </w:tcPr>
          <w:p w14:paraId="71115EAF" w14:textId="77777777" w:rsidR="00872C03" w:rsidRPr="00883399" w:rsidRDefault="00872C03" w:rsidP="0031057E">
            <w:pPr>
              <w:pStyle w:val="TableHeading"/>
              <w:jc w:val="right"/>
              <w:rPr>
                <w:sz w:val="22"/>
              </w:rPr>
            </w:pPr>
            <w:r w:rsidRPr="00883399">
              <w:rPr>
                <w:sz w:val="22"/>
              </w:rPr>
              <w:t>Col. 3</w:t>
            </w:r>
          </w:p>
        </w:tc>
        <w:tc>
          <w:tcPr>
            <w:tcW w:w="742" w:type="dxa"/>
            <w:tcBorders>
              <w:top w:val="single" w:sz="6" w:space="0" w:color="auto"/>
              <w:bottom w:val="nil"/>
            </w:tcBorders>
            <w:shd w:val="clear" w:color="auto" w:fill="auto"/>
          </w:tcPr>
          <w:p w14:paraId="426A4E18" w14:textId="77777777" w:rsidR="00872C03" w:rsidRPr="00883399" w:rsidRDefault="00872C03" w:rsidP="0031057E">
            <w:pPr>
              <w:pStyle w:val="TableHeading"/>
              <w:jc w:val="right"/>
              <w:rPr>
                <w:sz w:val="22"/>
              </w:rPr>
            </w:pPr>
            <w:r w:rsidRPr="00883399">
              <w:rPr>
                <w:sz w:val="22"/>
              </w:rPr>
              <w:t>Col. 4</w:t>
            </w:r>
          </w:p>
        </w:tc>
        <w:tc>
          <w:tcPr>
            <w:tcW w:w="728" w:type="dxa"/>
            <w:tcBorders>
              <w:top w:val="single" w:sz="6" w:space="0" w:color="auto"/>
              <w:bottom w:val="nil"/>
            </w:tcBorders>
            <w:shd w:val="clear" w:color="auto" w:fill="auto"/>
          </w:tcPr>
          <w:p w14:paraId="0342C591" w14:textId="77777777" w:rsidR="00872C03" w:rsidRPr="00883399" w:rsidRDefault="00872C03" w:rsidP="0031057E">
            <w:pPr>
              <w:pStyle w:val="TableHeading"/>
              <w:jc w:val="right"/>
              <w:rPr>
                <w:sz w:val="22"/>
              </w:rPr>
            </w:pPr>
            <w:r w:rsidRPr="00883399">
              <w:rPr>
                <w:sz w:val="22"/>
              </w:rPr>
              <w:t>Col. 5</w:t>
            </w:r>
          </w:p>
        </w:tc>
        <w:tc>
          <w:tcPr>
            <w:tcW w:w="741" w:type="dxa"/>
            <w:tcBorders>
              <w:top w:val="single" w:sz="6" w:space="0" w:color="auto"/>
              <w:bottom w:val="nil"/>
            </w:tcBorders>
            <w:shd w:val="clear" w:color="auto" w:fill="auto"/>
          </w:tcPr>
          <w:p w14:paraId="33A1ECCC" w14:textId="77777777" w:rsidR="00872C03" w:rsidRPr="00883399" w:rsidRDefault="00872C03" w:rsidP="0031057E">
            <w:pPr>
              <w:pStyle w:val="TableHeading"/>
              <w:jc w:val="right"/>
              <w:rPr>
                <w:sz w:val="22"/>
              </w:rPr>
            </w:pPr>
            <w:r w:rsidRPr="00883399">
              <w:rPr>
                <w:sz w:val="22"/>
              </w:rPr>
              <w:t>Col. 6</w:t>
            </w:r>
          </w:p>
        </w:tc>
        <w:tc>
          <w:tcPr>
            <w:tcW w:w="770" w:type="dxa"/>
            <w:tcBorders>
              <w:top w:val="single" w:sz="6" w:space="0" w:color="auto"/>
              <w:bottom w:val="nil"/>
            </w:tcBorders>
            <w:shd w:val="clear" w:color="auto" w:fill="auto"/>
          </w:tcPr>
          <w:p w14:paraId="66060C86" w14:textId="77777777" w:rsidR="00872C03" w:rsidRPr="00883399" w:rsidRDefault="00872C03" w:rsidP="0031057E">
            <w:pPr>
              <w:pStyle w:val="TableHeading"/>
              <w:jc w:val="right"/>
              <w:rPr>
                <w:sz w:val="22"/>
              </w:rPr>
            </w:pPr>
            <w:r w:rsidRPr="00883399">
              <w:rPr>
                <w:sz w:val="22"/>
              </w:rPr>
              <w:t>Col. 7</w:t>
            </w:r>
          </w:p>
        </w:tc>
        <w:tc>
          <w:tcPr>
            <w:tcW w:w="742" w:type="dxa"/>
            <w:tcBorders>
              <w:top w:val="single" w:sz="6" w:space="0" w:color="auto"/>
              <w:bottom w:val="nil"/>
            </w:tcBorders>
            <w:shd w:val="clear" w:color="auto" w:fill="auto"/>
          </w:tcPr>
          <w:p w14:paraId="111B6D4A" w14:textId="77777777" w:rsidR="00872C03" w:rsidRPr="00883399" w:rsidRDefault="00872C03" w:rsidP="0031057E">
            <w:pPr>
              <w:pStyle w:val="TableHeading"/>
              <w:jc w:val="right"/>
              <w:rPr>
                <w:sz w:val="22"/>
              </w:rPr>
            </w:pPr>
            <w:r w:rsidRPr="00883399">
              <w:rPr>
                <w:sz w:val="22"/>
              </w:rPr>
              <w:t>Col. 8</w:t>
            </w:r>
          </w:p>
        </w:tc>
        <w:tc>
          <w:tcPr>
            <w:tcW w:w="729" w:type="dxa"/>
            <w:tcBorders>
              <w:top w:val="single" w:sz="6" w:space="0" w:color="auto"/>
              <w:bottom w:val="nil"/>
            </w:tcBorders>
            <w:shd w:val="clear" w:color="auto" w:fill="auto"/>
          </w:tcPr>
          <w:p w14:paraId="643C65FB" w14:textId="77777777" w:rsidR="00872C03" w:rsidRPr="00883399" w:rsidRDefault="00872C03" w:rsidP="0031057E">
            <w:pPr>
              <w:pStyle w:val="TableHeading"/>
              <w:jc w:val="right"/>
              <w:rPr>
                <w:sz w:val="22"/>
              </w:rPr>
            </w:pPr>
            <w:r w:rsidRPr="00883399">
              <w:rPr>
                <w:sz w:val="22"/>
              </w:rPr>
              <w:t>Col. 9</w:t>
            </w:r>
          </w:p>
        </w:tc>
      </w:tr>
      <w:tr w:rsidR="00872C03" w:rsidRPr="00883399" w14:paraId="523C1996" w14:textId="77777777" w:rsidTr="0031057E">
        <w:trPr>
          <w:tblHeader/>
        </w:trPr>
        <w:tc>
          <w:tcPr>
            <w:tcW w:w="681" w:type="dxa"/>
            <w:tcBorders>
              <w:top w:val="nil"/>
              <w:bottom w:val="single" w:sz="12" w:space="0" w:color="auto"/>
            </w:tcBorders>
            <w:shd w:val="clear" w:color="auto" w:fill="auto"/>
          </w:tcPr>
          <w:p w14:paraId="1FDDF649" w14:textId="77777777" w:rsidR="00872C03" w:rsidRPr="00883399" w:rsidRDefault="00872C03" w:rsidP="0031057E">
            <w:pPr>
              <w:pStyle w:val="TableHeading"/>
              <w:rPr>
                <w:sz w:val="22"/>
              </w:rPr>
            </w:pPr>
          </w:p>
        </w:tc>
        <w:tc>
          <w:tcPr>
            <w:tcW w:w="1694" w:type="dxa"/>
            <w:tcBorders>
              <w:top w:val="nil"/>
              <w:bottom w:val="single" w:sz="12" w:space="0" w:color="auto"/>
            </w:tcBorders>
            <w:shd w:val="clear" w:color="auto" w:fill="auto"/>
          </w:tcPr>
          <w:p w14:paraId="213E037F" w14:textId="77777777" w:rsidR="00872C03" w:rsidRPr="00883399" w:rsidRDefault="00872C03" w:rsidP="0031057E">
            <w:pPr>
              <w:pStyle w:val="TableHeading"/>
              <w:rPr>
                <w:sz w:val="22"/>
              </w:rPr>
            </w:pPr>
            <w:r w:rsidRPr="00883399">
              <w:rPr>
                <w:sz w:val="22"/>
              </w:rPr>
              <w:t>Waste stream</w:t>
            </w:r>
          </w:p>
        </w:tc>
        <w:tc>
          <w:tcPr>
            <w:tcW w:w="742" w:type="dxa"/>
            <w:tcBorders>
              <w:top w:val="nil"/>
              <w:bottom w:val="single" w:sz="12" w:space="0" w:color="auto"/>
            </w:tcBorders>
            <w:shd w:val="clear" w:color="auto" w:fill="auto"/>
          </w:tcPr>
          <w:p w14:paraId="6318E2B8" w14:textId="77777777" w:rsidR="00872C03" w:rsidRPr="00883399" w:rsidRDefault="00872C03" w:rsidP="0031057E">
            <w:pPr>
              <w:pStyle w:val="TableHeading"/>
              <w:jc w:val="right"/>
              <w:rPr>
                <w:sz w:val="22"/>
              </w:rPr>
            </w:pPr>
            <w:r w:rsidRPr="00883399">
              <w:rPr>
                <w:sz w:val="22"/>
              </w:rPr>
              <w:t>NSW</w:t>
            </w:r>
            <w:r w:rsidRPr="00883399">
              <w:rPr>
                <w:sz w:val="22"/>
              </w:rPr>
              <w:br/>
              <w:t>%</w:t>
            </w:r>
          </w:p>
        </w:tc>
        <w:tc>
          <w:tcPr>
            <w:tcW w:w="742" w:type="dxa"/>
            <w:tcBorders>
              <w:top w:val="nil"/>
              <w:bottom w:val="single" w:sz="12" w:space="0" w:color="auto"/>
            </w:tcBorders>
            <w:shd w:val="clear" w:color="auto" w:fill="auto"/>
          </w:tcPr>
          <w:p w14:paraId="4CBEA6E7" w14:textId="77777777" w:rsidR="00872C03" w:rsidRPr="00883399" w:rsidRDefault="00872C03" w:rsidP="0031057E">
            <w:pPr>
              <w:pStyle w:val="TableHeading"/>
              <w:jc w:val="right"/>
              <w:rPr>
                <w:sz w:val="22"/>
              </w:rPr>
            </w:pPr>
            <w:r w:rsidRPr="00883399">
              <w:rPr>
                <w:sz w:val="22"/>
              </w:rPr>
              <w:t>VIC</w:t>
            </w:r>
            <w:r w:rsidRPr="00883399">
              <w:rPr>
                <w:sz w:val="22"/>
              </w:rPr>
              <w:br/>
              <w:t>%</w:t>
            </w:r>
          </w:p>
        </w:tc>
        <w:tc>
          <w:tcPr>
            <w:tcW w:w="742" w:type="dxa"/>
            <w:tcBorders>
              <w:top w:val="nil"/>
              <w:bottom w:val="single" w:sz="12" w:space="0" w:color="auto"/>
            </w:tcBorders>
            <w:shd w:val="clear" w:color="auto" w:fill="auto"/>
          </w:tcPr>
          <w:p w14:paraId="4915C1A3" w14:textId="77777777" w:rsidR="00872C03" w:rsidRPr="00883399" w:rsidRDefault="00872C03" w:rsidP="0031057E">
            <w:pPr>
              <w:pStyle w:val="TableHeading"/>
              <w:jc w:val="right"/>
              <w:rPr>
                <w:sz w:val="22"/>
              </w:rPr>
            </w:pPr>
            <w:r w:rsidRPr="00883399">
              <w:rPr>
                <w:sz w:val="22"/>
              </w:rPr>
              <w:t>QLD</w:t>
            </w:r>
            <w:r w:rsidRPr="00883399">
              <w:rPr>
                <w:sz w:val="22"/>
              </w:rPr>
              <w:br/>
              <w:t>%</w:t>
            </w:r>
          </w:p>
        </w:tc>
        <w:tc>
          <w:tcPr>
            <w:tcW w:w="728" w:type="dxa"/>
            <w:tcBorders>
              <w:top w:val="nil"/>
              <w:bottom w:val="single" w:sz="12" w:space="0" w:color="auto"/>
            </w:tcBorders>
            <w:shd w:val="clear" w:color="auto" w:fill="auto"/>
          </w:tcPr>
          <w:p w14:paraId="62B25C42" w14:textId="77777777" w:rsidR="00872C03" w:rsidRPr="00883399" w:rsidRDefault="00872C03" w:rsidP="0031057E">
            <w:pPr>
              <w:pStyle w:val="TableHeading"/>
              <w:jc w:val="right"/>
              <w:rPr>
                <w:sz w:val="22"/>
              </w:rPr>
            </w:pPr>
            <w:r w:rsidRPr="00883399">
              <w:rPr>
                <w:sz w:val="22"/>
              </w:rPr>
              <w:t>WA</w:t>
            </w:r>
            <w:r w:rsidRPr="00883399">
              <w:rPr>
                <w:sz w:val="22"/>
              </w:rPr>
              <w:br/>
              <w:t>%</w:t>
            </w:r>
          </w:p>
        </w:tc>
        <w:tc>
          <w:tcPr>
            <w:tcW w:w="741" w:type="dxa"/>
            <w:tcBorders>
              <w:top w:val="nil"/>
              <w:bottom w:val="single" w:sz="12" w:space="0" w:color="auto"/>
            </w:tcBorders>
            <w:shd w:val="clear" w:color="auto" w:fill="auto"/>
          </w:tcPr>
          <w:p w14:paraId="6F8A4C35" w14:textId="77777777" w:rsidR="00872C03" w:rsidRPr="00883399" w:rsidRDefault="00872C03" w:rsidP="0031057E">
            <w:pPr>
              <w:pStyle w:val="TableHeading"/>
              <w:jc w:val="right"/>
              <w:rPr>
                <w:sz w:val="22"/>
              </w:rPr>
            </w:pPr>
            <w:r w:rsidRPr="00883399">
              <w:rPr>
                <w:sz w:val="22"/>
              </w:rPr>
              <w:t>SA</w:t>
            </w:r>
            <w:r w:rsidRPr="00883399">
              <w:rPr>
                <w:sz w:val="22"/>
              </w:rPr>
              <w:br/>
              <w:t>%</w:t>
            </w:r>
          </w:p>
        </w:tc>
        <w:tc>
          <w:tcPr>
            <w:tcW w:w="770" w:type="dxa"/>
            <w:tcBorders>
              <w:top w:val="nil"/>
              <w:bottom w:val="single" w:sz="12" w:space="0" w:color="auto"/>
            </w:tcBorders>
            <w:shd w:val="clear" w:color="auto" w:fill="auto"/>
          </w:tcPr>
          <w:p w14:paraId="279A6D3D" w14:textId="77777777" w:rsidR="00872C03" w:rsidRPr="00883399" w:rsidRDefault="00872C03" w:rsidP="0031057E">
            <w:pPr>
              <w:pStyle w:val="TableHeading"/>
              <w:jc w:val="right"/>
              <w:rPr>
                <w:sz w:val="22"/>
              </w:rPr>
            </w:pPr>
            <w:r w:rsidRPr="00883399">
              <w:rPr>
                <w:sz w:val="22"/>
              </w:rPr>
              <w:t>TAS</w:t>
            </w:r>
            <w:r w:rsidRPr="00883399">
              <w:rPr>
                <w:sz w:val="22"/>
              </w:rPr>
              <w:br/>
              <w:t>%</w:t>
            </w:r>
          </w:p>
        </w:tc>
        <w:tc>
          <w:tcPr>
            <w:tcW w:w="742" w:type="dxa"/>
            <w:tcBorders>
              <w:top w:val="nil"/>
              <w:bottom w:val="single" w:sz="12" w:space="0" w:color="auto"/>
            </w:tcBorders>
            <w:shd w:val="clear" w:color="auto" w:fill="auto"/>
          </w:tcPr>
          <w:p w14:paraId="6A5D8ADC" w14:textId="77777777" w:rsidR="00872C03" w:rsidRPr="00883399" w:rsidRDefault="00872C03" w:rsidP="0031057E">
            <w:pPr>
              <w:pStyle w:val="TableHeading"/>
              <w:jc w:val="right"/>
              <w:rPr>
                <w:sz w:val="22"/>
              </w:rPr>
            </w:pPr>
            <w:r w:rsidRPr="00883399">
              <w:rPr>
                <w:sz w:val="22"/>
              </w:rPr>
              <w:t>ACT</w:t>
            </w:r>
            <w:r w:rsidRPr="00883399">
              <w:rPr>
                <w:sz w:val="22"/>
              </w:rPr>
              <w:br/>
              <w:t>%</w:t>
            </w:r>
          </w:p>
        </w:tc>
        <w:tc>
          <w:tcPr>
            <w:tcW w:w="729" w:type="dxa"/>
            <w:tcBorders>
              <w:top w:val="nil"/>
              <w:bottom w:val="single" w:sz="12" w:space="0" w:color="auto"/>
            </w:tcBorders>
            <w:shd w:val="clear" w:color="auto" w:fill="auto"/>
          </w:tcPr>
          <w:p w14:paraId="21A501A0" w14:textId="77777777" w:rsidR="00872C03" w:rsidRPr="00883399" w:rsidRDefault="00872C03" w:rsidP="0031057E">
            <w:pPr>
              <w:pStyle w:val="TableHeading"/>
              <w:jc w:val="right"/>
              <w:rPr>
                <w:sz w:val="22"/>
              </w:rPr>
            </w:pPr>
            <w:r w:rsidRPr="00883399">
              <w:rPr>
                <w:sz w:val="22"/>
              </w:rPr>
              <w:t>NT</w:t>
            </w:r>
            <w:r w:rsidRPr="00883399">
              <w:rPr>
                <w:sz w:val="22"/>
              </w:rPr>
              <w:br/>
              <w:t>%</w:t>
            </w:r>
          </w:p>
        </w:tc>
      </w:tr>
      <w:tr w:rsidR="00872C03" w:rsidRPr="00883399" w14:paraId="6516886E" w14:textId="77777777" w:rsidTr="0031057E">
        <w:tc>
          <w:tcPr>
            <w:tcW w:w="681" w:type="dxa"/>
            <w:tcBorders>
              <w:top w:val="single" w:sz="12" w:space="0" w:color="auto"/>
              <w:bottom w:val="single" w:sz="4" w:space="0" w:color="auto"/>
            </w:tcBorders>
            <w:shd w:val="clear" w:color="auto" w:fill="auto"/>
          </w:tcPr>
          <w:p w14:paraId="66AE6DC0" w14:textId="77777777" w:rsidR="00872C03" w:rsidRPr="00883399" w:rsidRDefault="00872C03" w:rsidP="0031057E">
            <w:pPr>
              <w:pStyle w:val="Tabletext0"/>
              <w:rPr>
                <w:sz w:val="22"/>
              </w:rPr>
            </w:pPr>
            <w:r w:rsidRPr="00883399">
              <w:rPr>
                <w:sz w:val="22"/>
              </w:rPr>
              <w:t>1</w:t>
            </w:r>
          </w:p>
        </w:tc>
        <w:tc>
          <w:tcPr>
            <w:tcW w:w="1694" w:type="dxa"/>
            <w:tcBorders>
              <w:top w:val="single" w:sz="12" w:space="0" w:color="auto"/>
              <w:bottom w:val="single" w:sz="4" w:space="0" w:color="auto"/>
            </w:tcBorders>
            <w:shd w:val="clear" w:color="auto" w:fill="auto"/>
          </w:tcPr>
          <w:p w14:paraId="4CB54BEC" w14:textId="77777777" w:rsidR="00872C03" w:rsidRPr="00883399" w:rsidRDefault="00872C03" w:rsidP="0031057E">
            <w:pPr>
              <w:pStyle w:val="Tabletext0"/>
              <w:rPr>
                <w:sz w:val="22"/>
              </w:rPr>
            </w:pPr>
            <w:r w:rsidRPr="00883399">
              <w:rPr>
                <w:sz w:val="22"/>
              </w:rPr>
              <w:t>Commercial and industrial waste</w:t>
            </w:r>
          </w:p>
        </w:tc>
        <w:tc>
          <w:tcPr>
            <w:tcW w:w="742" w:type="dxa"/>
            <w:tcBorders>
              <w:top w:val="single" w:sz="12" w:space="0" w:color="auto"/>
              <w:bottom w:val="single" w:sz="4" w:space="0" w:color="auto"/>
            </w:tcBorders>
            <w:shd w:val="clear" w:color="auto" w:fill="auto"/>
          </w:tcPr>
          <w:p w14:paraId="622E6929" w14:textId="77777777" w:rsidR="00872C03" w:rsidRPr="00883399" w:rsidRDefault="00872C03" w:rsidP="0031057E">
            <w:pPr>
              <w:pStyle w:val="Tabletext0"/>
              <w:jc w:val="right"/>
              <w:rPr>
                <w:sz w:val="22"/>
              </w:rPr>
            </w:pPr>
            <w:r w:rsidRPr="00883399">
              <w:rPr>
                <w:sz w:val="22"/>
              </w:rPr>
              <w:t>61</w:t>
            </w:r>
          </w:p>
        </w:tc>
        <w:tc>
          <w:tcPr>
            <w:tcW w:w="742" w:type="dxa"/>
            <w:tcBorders>
              <w:top w:val="single" w:sz="12" w:space="0" w:color="auto"/>
              <w:bottom w:val="single" w:sz="4" w:space="0" w:color="auto"/>
            </w:tcBorders>
            <w:shd w:val="clear" w:color="auto" w:fill="auto"/>
          </w:tcPr>
          <w:p w14:paraId="29852E3A" w14:textId="77777777" w:rsidR="00872C03" w:rsidRPr="00883399" w:rsidRDefault="00872C03" w:rsidP="0031057E">
            <w:pPr>
              <w:pStyle w:val="Tabletext0"/>
              <w:jc w:val="right"/>
              <w:rPr>
                <w:sz w:val="22"/>
              </w:rPr>
            </w:pPr>
            <w:r w:rsidRPr="00883399">
              <w:rPr>
                <w:sz w:val="22"/>
              </w:rPr>
              <w:t>38</w:t>
            </w:r>
          </w:p>
        </w:tc>
        <w:tc>
          <w:tcPr>
            <w:tcW w:w="742" w:type="dxa"/>
            <w:tcBorders>
              <w:top w:val="single" w:sz="12" w:space="0" w:color="auto"/>
              <w:bottom w:val="single" w:sz="4" w:space="0" w:color="auto"/>
            </w:tcBorders>
            <w:shd w:val="clear" w:color="auto" w:fill="auto"/>
          </w:tcPr>
          <w:p w14:paraId="754B22DC" w14:textId="77777777" w:rsidR="00872C03" w:rsidRPr="00883399" w:rsidRDefault="00872C03" w:rsidP="0031057E">
            <w:pPr>
              <w:pStyle w:val="Tabletext0"/>
              <w:jc w:val="right"/>
              <w:rPr>
                <w:sz w:val="22"/>
              </w:rPr>
            </w:pPr>
            <w:r w:rsidRPr="00883399">
              <w:rPr>
                <w:sz w:val="22"/>
              </w:rPr>
              <w:t>25</w:t>
            </w:r>
          </w:p>
        </w:tc>
        <w:tc>
          <w:tcPr>
            <w:tcW w:w="728" w:type="dxa"/>
            <w:tcBorders>
              <w:top w:val="single" w:sz="12" w:space="0" w:color="auto"/>
              <w:bottom w:val="single" w:sz="4" w:space="0" w:color="auto"/>
            </w:tcBorders>
            <w:shd w:val="clear" w:color="auto" w:fill="auto"/>
          </w:tcPr>
          <w:p w14:paraId="5E85502D" w14:textId="77777777" w:rsidR="00872C03" w:rsidRPr="00883399" w:rsidRDefault="00872C03" w:rsidP="0031057E">
            <w:pPr>
              <w:pStyle w:val="Tabletext0"/>
              <w:jc w:val="right"/>
              <w:rPr>
                <w:sz w:val="22"/>
              </w:rPr>
            </w:pPr>
            <w:r w:rsidRPr="00883399">
              <w:rPr>
                <w:sz w:val="22"/>
              </w:rPr>
              <w:t>23</w:t>
            </w:r>
          </w:p>
        </w:tc>
        <w:tc>
          <w:tcPr>
            <w:tcW w:w="741" w:type="dxa"/>
            <w:tcBorders>
              <w:top w:val="single" w:sz="12" w:space="0" w:color="auto"/>
              <w:bottom w:val="single" w:sz="4" w:space="0" w:color="auto"/>
            </w:tcBorders>
            <w:shd w:val="clear" w:color="auto" w:fill="auto"/>
          </w:tcPr>
          <w:p w14:paraId="3B61AABC" w14:textId="77777777" w:rsidR="00872C03" w:rsidRPr="00883399" w:rsidRDefault="00872C03" w:rsidP="0031057E">
            <w:pPr>
              <w:pStyle w:val="Tabletext0"/>
              <w:jc w:val="right"/>
              <w:rPr>
                <w:sz w:val="22"/>
              </w:rPr>
            </w:pPr>
            <w:r w:rsidRPr="00883399">
              <w:rPr>
                <w:sz w:val="22"/>
              </w:rPr>
              <w:t>30</w:t>
            </w:r>
          </w:p>
        </w:tc>
        <w:tc>
          <w:tcPr>
            <w:tcW w:w="770" w:type="dxa"/>
            <w:tcBorders>
              <w:top w:val="single" w:sz="12" w:space="0" w:color="auto"/>
              <w:bottom w:val="single" w:sz="4" w:space="0" w:color="auto"/>
            </w:tcBorders>
            <w:shd w:val="clear" w:color="auto" w:fill="auto"/>
          </w:tcPr>
          <w:p w14:paraId="2CDFC6B7" w14:textId="77777777" w:rsidR="00872C03" w:rsidRPr="00883399" w:rsidRDefault="00872C03" w:rsidP="0031057E">
            <w:pPr>
              <w:pStyle w:val="Tabletext0"/>
              <w:jc w:val="right"/>
              <w:rPr>
                <w:sz w:val="22"/>
              </w:rPr>
            </w:pPr>
            <w:r w:rsidRPr="00883399">
              <w:rPr>
                <w:sz w:val="22"/>
              </w:rPr>
              <w:t>77</w:t>
            </w:r>
          </w:p>
        </w:tc>
        <w:tc>
          <w:tcPr>
            <w:tcW w:w="742" w:type="dxa"/>
            <w:tcBorders>
              <w:top w:val="single" w:sz="12" w:space="0" w:color="auto"/>
              <w:bottom w:val="single" w:sz="4" w:space="0" w:color="auto"/>
            </w:tcBorders>
            <w:shd w:val="clear" w:color="auto" w:fill="auto"/>
          </w:tcPr>
          <w:p w14:paraId="1FD71AD9" w14:textId="77777777" w:rsidR="00872C03" w:rsidRPr="00883399" w:rsidRDefault="00872C03" w:rsidP="0031057E">
            <w:pPr>
              <w:pStyle w:val="Tabletext0"/>
              <w:jc w:val="right"/>
              <w:rPr>
                <w:sz w:val="22"/>
              </w:rPr>
            </w:pPr>
            <w:r w:rsidRPr="00883399">
              <w:rPr>
                <w:sz w:val="22"/>
              </w:rPr>
              <w:t>74</w:t>
            </w:r>
          </w:p>
        </w:tc>
        <w:tc>
          <w:tcPr>
            <w:tcW w:w="729" w:type="dxa"/>
            <w:tcBorders>
              <w:top w:val="single" w:sz="12" w:space="0" w:color="auto"/>
              <w:bottom w:val="single" w:sz="4" w:space="0" w:color="auto"/>
            </w:tcBorders>
            <w:shd w:val="clear" w:color="auto" w:fill="auto"/>
          </w:tcPr>
          <w:p w14:paraId="1A2DAB6F" w14:textId="77777777" w:rsidR="00872C03" w:rsidRPr="00883399" w:rsidRDefault="00872C03" w:rsidP="0031057E">
            <w:pPr>
              <w:pStyle w:val="Tabletext0"/>
              <w:jc w:val="right"/>
              <w:rPr>
                <w:sz w:val="22"/>
              </w:rPr>
            </w:pPr>
            <w:r w:rsidRPr="00883399">
              <w:rPr>
                <w:sz w:val="22"/>
              </w:rPr>
              <w:t>25</w:t>
            </w:r>
          </w:p>
        </w:tc>
      </w:tr>
      <w:tr w:rsidR="00872C03" w:rsidRPr="00883399" w14:paraId="5505AC79" w14:textId="77777777" w:rsidTr="0031057E">
        <w:tc>
          <w:tcPr>
            <w:tcW w:w="681" w:type="dxa"/>
            <w:tcBorders>
              <w:bottom w:val="single" w:sz="12" w:space="0" w:color="auto"/>
            </w:tcBorders>
            <w:shd w:val="clear" w:color="auto" w:fill="auto"/>
          </w:tcPr>
          <w:p w14:paraId="2C7CCC43" w14:textId="77777777" w:rsidR="00872C03" w:rsidRPr="00883399" w:rsidRDefault="00872C03" w:rsidP="0031057E">
            <w:pPr>
              <w:pStyle w:val="Tabletext0"/>
              <w:rPr>
                <w:sz w:val="22"/>
              </w:rPr>
            </w:pPr>
            <w:r w:rsidRPr="00883399">
              <w:rPr>
                <w:sz w:val="22"/>
              </w:rPr>
              <w:lastRenderedPageBreak/>
              <w:t>2</w:t>
            </w:r>
          </w:p>
        </w:tc>
        <w:tc>
          <w:tcPr>
            <w:tcW w:w="1694" w:type="dxa"/>
            <w:tcBorders>
              <w:bottom w:val="single" w:sz="12" w:space="0" w:color="auto"/>
            </w:tcBorders>
            <w:shd w:val="clear" w:color="auto" w:fill="auto"/>
          </w:tcPr>
          <w:p w14:paraId="4AB4FA2F" w14:textId="77777777" w:rsidR="00872C03" w:rsidRPr="00883399" w:rsidRDefault="00872C03" w:rsidP="0031057E">
            <w:pPr>
              <w:pStyle w:val="Tabletext0"/>
              <w:rPr>
                <w:sz w:val="22"/>
              </w:rPr>
            </w:pPr>
            <w:r w:rsidRPr="00883399">
              <w:rPr>
                <w:sz w:val="22"/>
              </w:rPr>
              <w:t>Construction and demolition waste</w:t>
            </w:r>
          </w:p>
        </w:tc>
        <w:tc>
          <w:tcPr>
            <w:tcW w:w="742" w:type="dxa"/>
            <w:tcBorders>
              <w:bottom w:val="single" w:sz="12" w:space="0" w:color="auto"/>
            </w:tcBorders>
            <w:shd w:val="clear" w:color="auto" w:fill="auto"/>
          </w:tcPr>
          <w:p w14:paraId="1BEEC0BB" w14:textId="77777777" w:rsidR="00872C03" w:rsidRPr="00883399" w:rsidRDefault="00872C03" w:rsidP="0031057E">
            <w:pPr>
              <w:pStyle w:val="Tabletext0"/>
              <w:jc w:val="right"/>
              <w:rPr>
                <w:sz w:val="22"/>
              </w:rPr>
            </w:pPr>
            <w:r w:rsidRPr="00883399">
              <w:rPr>
                <w:sz w:val="22"/>
              </w:rPr>
              <w:t>39</w:t>
            </w:r>
          </w:p>
        </w:tc>
        <w:tc>
          <w:tcPr>
            <w:tcW w:w="742" w:type="dxa"/>
            <w:tcBorders>
              <w:bottom w:val="single" w:sz="12" w:space="0" w:color="auto"/>
            </w:tcBorders>
            <w:shd w:val="clear" w:color="auto" w:fill="auto"/>
          </w:tcPr>
          <w:p w14:paraId="31648FBD" w14:textId="77777777" w:rsidR="00872C03" w:rsidRPr="00883399" w:rsidRDefault="00872C03" w:rsidP="0031057E">
            <w:pPr>
              <w:pStyle w:val="Tabletext0"/>
              <w:jc w:val="right"/>
              <w:rPr>
                <w:sz w:val="22"/>
              </w:rPr>
            </w:pPr>
            <w:r w:rsidRPr="00883399">
              <w:rPr>
                <w:sz w:val="22"/>
              </w:rPr>
              <w:t>62</w:t>
            </w:r>
          </w:p>
        </w:tc>
        <w:tc>
          <w:tcPr>
            <w:tcW w:w="742" w:type="dxa"/>
            <w:tcBorders>
              <w:bottom w:val="single" w:sz="12" w:space="0" w:color="auto"/>
            </w:tcBorders>
            <w:shd w:val="clear" w:color="auto" w:fill="auto"/>
          </w:tcPr>
          <w:p w14:paraId="79EB1C46" w14:textId="77777777" w:rsidR="00872C03" w:rsidRPr="00883399" w:rsidRDefault="00872C03" w:rsidP="0031057E">
            <w:pPr>
              <w:pStyle w:val="Tabletext0"/>
              <w:jc w:val="right"/>
              <w:rPr>
                <w:sz w:val="22"/>
              </w:rPr>
            </w:pPr>
            <w:r w:rsidRPr="00883399">
              <w:rPr>
                <w:sz w:val="22"/>
              </w:rPr>
              <w:t>75</w:t>
            </w:r>
          </w:p>
        </w:tc>
        <w:tc>
          <w:tcPr>
            <w:tcW w:w="728" w:type="dxa"/>
            <w:tcBorders>
              <w:bottom w:val="single" w:sz="12" w:space="0" w:color="auto"/>
            </w:tcBorders>
            <w:shd w:val="clear" w:color="auto" w:fill="auto"/>
          </w:tcPr>
          <w:p w14:paraId="4BA8A8BC" w14:textId="77777777" w:rsidR="00872C03" w:rsidRPr="00883399" w:rsidRDefault="00872C03" w:rsidP="0031057E">
            <w:pPr>
              <w:pStyle w:val="Tabletext0"/>
              <w:jc w:val="right"/>
              <w:rPr>
                <w:sz w:val="22"/>
              </w:rPr>
            </w:pPr>
            <w:r w:rsidRPr="00883399">
              <w:rPr>
                <w:sz w:val="22"/>
              </w:rPr>
              <w:t>77</w:t>
            </w:r>
          </w:p>
        </w:tc>
        <w:tc>
          <w:tcPr>
            <w:tcW w:w="741" w:type="dxa"/>
            <w:tcBorders>
              <w:bottom w:val="single" w:sz="12" w:space="0" w:color="auto"/>
            </w:tcBorders>
            <w:shd w:val="clear" w:color="auto" w:fill="auto"/>
          </w:tcPr>
          <w:p w14:paraId="205DFF27" w14:textId="77777777" w:rsidR="00872C03" w:rsidRPr="00883399" w:rsidRDefault="00872C03" w:rsidP="0031057E">
            <w:pPr>
              <w:pStyle w:val="Tabletext0"/>
              <w:jc w:val="right"/>
              <w:rPr>
                <w:sz w:val="22"/>
              </w:rPr>
            </w:pPr>
            <w:r w:rsidRPr="00883399">
              <w:rPr>
                <w:sz w:val="22"/>
              </w:rPr>
              <w:t>70</w:t>
            </w:r>
          </w:p>
        </w:tc>
        <w:tc>
          <w:tcPr>
            <w:tcW w:w="770" w:type="dxa"/>
            <w:tcBorders>
              <w:bottom w:val="single" w:sz="12" w:space="0" w:color="auto"/>
            </w:tcBorders>
            <w:shd w:val="clear" w:color="auto" w:fill="auto"/>
          </w:tcPr>
          <w:p w14:paraId="51124040" w14:textId="77777777" w:rsidR="00872C03" w:rsidRPr="00883399" w:rsidRDefault="00872C03" w:rsidP="0031057E">
            <w:pPr>
              <w:pStyle w:val="Tabletext0"/>
              <w:jc w:val="right"/>
              <w:rPr>
                <w:sz w:val="22"/>
              </w:rPr>
            </w:pPr>
            <w:r w:rsidRPr="00883399">
              <w:rPr>
                <w:sz w:val="22"/>
              </w:rPr>
              <w:t>23</w:t>
            </w:r>
          </w:p>
        </w:tc>
        <w:tc>
          <w:tcPr>
            <w:tcW w:w="742" w:type="dxa"/>
            <w:tcBorders>
              <w:bottom w:val="single" w:sz="12" w:space="0" w:color="auto"/>
            </w:tcBorders>
            <w:shd w:val="clear" w:color="auto" w:fill="auto"/>
          </w:tcPr>
          <w:p w14:paraId="4437C339" w14:textId="77777777" w:rsidR="00872C03" w:rsidRPr="00883399" w:rsidRDefault="00872C03" w:rsidP="0031057E">
            <w:pPr>
              <w:pStyle w:val="Tabletext0"/>
              <w:jc w:val="right"/>
              <w:rPr>
                <w:sz w:val="22"/>
              </w:rPr>
            </w:pPr>
            <w:r w:rsidRPr="00883399">
              <w:rPr>
                <w:sz w:val="22"/>
              </w:rPr>
              <w:t>26</w:t>
            </w:r>
          </w:p>
        </w:tc>
        <w:tc>
          <w:tcPr>
            <w:tcW w:w="729" w:type="dxa"/>
            <w:tcBorders>
              <w:bottom w:val="single" w:sz="12" w:space="0" w:color="auto"/>
            </w:tcBorders>
            <w:shd w:val="clear" w:color="auto" w:fill="auto"/>
          </w:tcPr>
          <w:p w14:paraId="2A4931BB" w14:textId="77777777" w:rsidR="00872C03" w:rsidRPr="00883399" w:rsidRDefault="00872C03" w:rsidP="0031057E">
            <w:pPr>
              <w:pStyle w:val="Tabletext0"/>
              <w:jc w:val="right"/>
              <w:rPr>
                <w:sz w:val="22"/>
              </w:rPr>
            </w:pPr>
            <w:r w:rsidRPr="00883399">
              <w:rPr>
                <w:sz w:val="22"/>
              </w:rPr>
              <w:t>75</w:t>
            </w:r>
          </w:p>
        </w:tc>
      </w:tr>
    </w:tbl>
    <w:p w14:paraId="55B67A1E" w14:textId="77777777" w:rsidR="00872C03" w:rsidRPr="00883399" w:rsidRDefault="00872C03" w:rsidP="00872C03">
      <w:pPr>
        <w:pStyle w:val="subsection"/>
        <w:rPr>
          <w:sz w:val="24"/>
        </w:rPr>
      </w:pPr>
      <w:r w:rsidRPr="00883399">
        <w:rPr>
          <w:sz w:val="24"/>
        </w:rPr>
        <w:tab/>
        <w:t>(5)</w:t>
      </w:r>
      <w:r w:rsidRPr="00883399">
        <w:rPr>
          <w:sz w:val="24"/>
        </w:rPr>
        <w:tab/>
        <w:t>If subsection (3) applies and the landfill is permitted to receive only one of the waste streams set out in column 1 of the table in subsection (4), that waste stream will be taken to constitute the total waste received.</w:t>
      </w:r>
    </w:p>
    <w:p w14:paraId="5477BAC5" w14:textId="17368217" w:rsidR="00872C03" w:rsidRPr="00883399" w:rsidRDefault="00872C03" w:rsidP="00872C03">
      <w:pPr>
        <w:pStyle w:val="ActHead5"/>
        <w:rPr>
          <w:sz w:val="28"/>
        </w:rPr>
      </w:pPr>
      <w:bookmarkStart w:id="1101" w:name="_Toc423517146"/>
      <w:bookmarkStart w:id="1102" w:name="_Toc495653077"/>
      <w:r w:rsidRPr="00883399">
        <w:rPr>
          <w:rStyle w:val="CharSectno"/>
          <w:sz w:val="28"/>
        </w:rPr>
        <w:t>5.10A</w:t>
      </w:r>
      <w:r w:rsidRPr="00883399">
        <w:rPr>
          <w:sz w:val="28"/>
        </w:rPr>
        <w:t xml:space="preserve">  Homogenous waste streams</w:t>
      </w:r>
      <w:bookmarkEnd w:id="1101"/>
      <w:bookmarkEnd w:id="1102"/>
    </w:p>
    <w:p w14:paraId="10450AA9" w14:textId="77777777" w:rsidR="0031057E" w:rsidRPr="00883399" w:rsidRDefault="0031057E" w:rsidP="0031057E">
      <w:pPr>
        <w:autoSpaceDE w:val="0"/>
        <w:autoSpaceDN w:val="0"/>
        <w:adjustRightInd w:val="0"/>
        <w:rPr>
          <w:rFonts w:ascii="Arial" w:hAnsi="Arial" w:cs="Arial"/>
          <w:color w:val="000000"/>
          <w:sz w:val="22"/>
          <w:szCs w:val="22"/>
        </w:rPr>
      </w:pPr>
    </w:p>
    <w:p w14:paraId="43B6A8DF" w14:textId="77777777" w:rsidR="0031057E" w:rsidRPr="00883399" w:rsidRDefault="0031057E" w:rsidP="0031057E">
      <w:pPr>
        <w:autoSpaceDE w:val="0"/>
        <w:autoSpaceDN w:val="0"/>
        <w:adjustRightInd w:val="0"/>
        <w:rPr>
          <w:rFonts w:ascii="Arial" w:hAnsi="Arial" w:cs="Arial"/>
          <w:color w:val="000000"/>
          <w:sz w:val="22"/>
          <w:szCs w:val="22"/>
        </w:rPr>
      </w:pPr>
      <w:r w:rsidRPr="00883399">
        <w:rPr>
          <w:rFonts w:ascii="Arial" w:hAnsi="Arial" w:cs="Arial"/>
          <w:color w:val="000000"/>
          <w:sz w:val="22"/>
          <w:szCs w:val="22"/>
        </w:rPr>
        <w:t>Homogenous waste streams have been introduced to cover situations where a landfill receives discrete deliveries of waste of a homogenous composition during the year.  Homogenous waste streams allow a landfill operator to undertake stream-specific sampling and analysis for waste loads of single origin together with default compositions for waste loads of dispersed origin.</w:t>
      </w:r>
    </w:p>
    <w:p w14:paraId="517944AF" w14:textId="77777777" w:rsidR="0031057E" w:rsidRPr="00883399" w:rsidRDefault="0031057E" w:rsidP="0031057E">
      <w:pPr>
        <w:autoSpaceDE w:val="0"/>
        <w:autoSpaceDN w:val="0"/>
        <w:adjustRightInd w:val="0"/>
        <w:rPr>
          <w:color w:val="000000"/>
          <w:sz w:val="22"/>
          <w:szCs w:val="22"/>
        </w:rPr>
      </w:pPr>
      <w:r w:rsidRPr="00883399">
        <w:rPr>
          <w:rFonts w:ascii="Arial" w:hAnsi="Arial" w:cs="Arial"/>
          <w:color w:val="000000"/>
          <w:sz w:val="22"/>
          <w:szCs w:val="22"/>
        </w:rPr>
        <w:t>For the shredder flock waste stream, it is a requirement that the composition of this stream be determined according to the sampling and analysis requirements set out in section 5.11 (2).  For alternative waste treatment residues where it is not possible to determine the stream composition, a default DOC and DOCf  values and decay rate constants are provided.</w:t>
      </w:r>
    </w:p>
    <w:p w14:paraId="344CC6F7" w14:textId="77777777" w:rsidR="00872C03" w:rsidRPr="00883399" w:rsidRDefault="0031057E" w:rsidP="0031057E">
      <w:pPr>
        <w:pStyle w:val="subsection"/>
        <w:rPr>
          <w:sz w:val="24"/>
        </w:rPr>
      </w:pPr>
      <w:r w:rsidRPr="00883399">
        <w:rPr>
          <w:sz w:val="24"/>
        </w:rPr>
        <w:t xml:space="preserve"> </w:t>
      </w:r>
      <w:r w:rsidRPr="00883399">
        <w:rPr>
          <w:sz w:val="24"/>
        </w:rPr>
        <w:tab/>
      </w:r>
      <w:r w:rsidR="00872C03" w:rsidRPr="00883399">
        <w:rPr>
          <w:sz w:val="24"/>
        </w:rPr>
        <w:t>(1)</w:t>
      </w:r>
      <w:r w:rsidR="00872C03" w:rsidRPr="00883399">
        <w:rPr>
          <w:sz w:val="24"/>
        </w:rPr>
        <w:tab/>
        <w:t>For paragraph 5.9(1)(b), the homogenous waste streams have the characteristics mentioned in subsection (2) and are as follows:</w:t>
      </w:r>
    </w:p>
    <w:p w14:paraId="0079BFF6" w14:textId="77777777" w:rsidR="00872C03" w:rsidRPr="00883399" w:rsidRDefault="00872C03" w:rsidP="00872C03">
      <w:pPr>
        <w:pStyle w:val="paragraph"/>
        <w:rPr>
          <w:sz w:val="24"/>
        </w:rPr>
      </w:pPr>
      <w:r w:rsidRPr="00883399">
        <w:rPr>
          <w:sz w:val="24"/>
        </w:rPr>
        <w:tab/>
        <w:t>(a)</w:t>
      </w:r>
      <w:r w:rsidRPr="00883399">
        <w:rPr>
          <w:sz w:val="24"/>
        </w:rPr>
        <w:tab/>
        <w:t>alternative waste treatment residues;</w:t>
      </w:r>
    </w:p>
    <w:p w14:paraId="59C5E5C1" w14:textId="77777777" w:rsidR="00872C03" w:rsidRPr="00883399" w:rsidRDefault="00872C03" w:rsidP="00872C03">
      <w:pPr>
        <w:pStyle w:val="paragraph"/>
        <w:rPr>
          <w:sz w:val="24"/>
        </w:rPr>
      </w:pPr>
      <w:r w:rsidRPr="00883399">
        <w:rPr>
          <w:sz w:val="24"/>
        </w:rPr>
        <w:tab/>
        <w:t>(b)</w:t>
      </w:r>
      <w:r w:rsidRPr="00883399">
        <w:rPr>
          <w:sz w:val="24"/>
        </w:rPr>
        <w:tab/>
        <w:t>shredder flock;</w:t>
      </w:r>
    </w:p>
    <w:p w14:paraId="180C0F75" w14:textId="77777777" w:rsidR="00872C03" w:rsidRPr="00883399" w:rsidRDefault="00872C03" w:rsidP="00872C03">
      <w:pPr>
        <w:pStyle w:val="paragraph"/>
        <w:rPr>
          <w:sz w:val="24"/>
        </w:rPr>
      </w:pPr>
      <w:r w:rsidRPr="00883399">
        <w:rPr>
          <w:sz w:val="24"/>
        </w:rPr>
        <w:tab/>
        <w:t>(c)</w:t>
      </w:r>
      <w:r w:rsidRPr="00883399">
        <w:rPr>
          <w:sz w:val="24"/>
        </w:rPr>
        <w:tab/>
        <w:t>inert waste.</w:t>
      </w:r>
    </w:p>
    <w:p w14:paraId="21B9C17D" w14:textId="77777777" w:rsidR="00872C03" w:rsidRPr="00883399" w:rsidRDefault="00872C03" w:rsidP="00872C03">
      <w:pPr>
        <w:pStyle w:val="subsection"/>
        <w:rPr>
          <w:sz w:val="24"/>
        </w:rPr>
      </w:pPr>
      <w:r w:rsidRPr="00883399">
        <w:rPr>
          <w:sz w:val="24"/>
        </w:rPr>
        <w:tab/>
        <w:t>(2)</w:t>
      </w:r>
      <w:r w:rsidRPr="00883399">
        <w:rPr>
          <w:sz w:val="24"/>
        </w:rPr>
        <w:tab/>
        <w:t>Homogenous waste streams have the following characteristics:</w:t>
      </w:r>
    </w:p>
    <w:p w14:paraId="6E40A4E9" w14:textId="77777777" w:rsidR="00872C03" w:rsidRPr="00883399" w:rsidRDefault="00872C03" w:rsidP="00872C03">
      <w:pPr>
        <w:pStyle w:val="paragraph"/>
        <w:rPr>
          <w:sz w:val="24"/>
        </w:rPr>
      </w:pPr>
      <w:r w:rsidRPr="00883399">
        <w:rPr>
          <w:sz w:val="24"/>
        </w:rPr>
        <w:tab/>
        <w:t>(a)</w:t>
      </w:r>
      <w:r w:rsidRPr="00883399">
        <w:rPr>
          <w:sz w:val="24"/>
        </w:rPr>
        <w:tab/>
        <w:t>they are from a single known and verifiable origin, as evidenced by invoices or, if delivery does not involve a commercial transaction, other delivery documentation;</w:t>
      </w:r>
    </w:p>
    <w:p w14:paraId="410369F1" w14:textId="77777777" w:rsidR="00872C03" w:rsidRPr="00883399" w:rsidRDefault="00872C03" w:rsidP="00872C03">
      <w:pPr>
        <w:pStyle w:val="paragraph"/>
        <w:rPr>
          <w:sz w:val="24"/>
        </w:rPr>
      </w:pPr>
      <w:r w:rsidRPr="00883399">
        <w:rPr>
          <w:sz w:val="24"/>
        </w:rPr>
        <w:tab/>
        <w:t>(b)</w:t>
      </w:r>
      <w:r w:rsidRPr="00883399">
        <w:rPr>
          <w:sz w:val="24"/>
        </w:rPr>
        <w:tab/>
        <w:t>they are not extracted from a general waste stream;</w:t>
      </w:r>
    </w:p>
    <w:p w14:paraId="3B042096" w14:textId="77777777" w:rsidR="00872C03" w:rsidRPr="00883399" w:rsidRDefault="00872C03" w:rsidP="00872C03">
      <w:pPr>
        <w:pStyle w:val="paragraph"/>
        <w:rPr>
          <w:sz w:val="24"/>
        </w:rPr>
      </w:pPr>
      <w:r w:rsidRPr="00883399">
        <w:rPr>
          <w:sz w:val="24"/>
        </w:rPr>
        <w:tab/>
        <w:t>(c)</w:t>
      </w:r>
      <w:r w:rsidRPr="00883399">
        <w:rPr>
          <w:sz w:val="24"/>
        </w:rPr>
        <w:tab/>
        <w:t>they do not undergo compositional change between generation and delivery to a landfill;</w:t>
      </w:r>
    </w:p>
    <w:p w14:paraId="2862F2C2" w14:textId="77777777" w:rsidR="00872C03" w:rsidRPr="00883399" w:rsidRDefault="00872C03" w:rsidP="00872C03">
      <w:pPr>
        <w:pStyle w:val="paragraph"/>
        <w:rPr>
          <w:sz w:val="24"/>
        </w:rPr>
      </w:pPr>
      <w:r w:rsidRPr="00883399">
        <w:rPr>
          <w:sz w:val="24"/>
        </w:rPr>
        <w:lastRenderedPageBreak/>
        <w:tab/>
        <w:t>(d)</w:t>
      </w:r>
      <w:r w:rsidRPr="00883399">
        <w:rPr>
          <w:sz w:val="24"/>
        </w:rPr>
        <w:tab/>
        <w:t>they are delivered in loads containing only the waste mentioned in paragraph (1)(a), (b) or (c).</w:t>
      </w:r>
    </w:p>
    <w:p w14:paraId="7707D543" w14:textId="77777777" w:rsidR="00872C03" w:rsidRPr="00883399" w:rsidRDefault="00872C03" w:rsidP="00872C03">
      <w:pPr>
        <w:pStyle w:val="subsection"/>
        <w:rPr>
          <w:sz w:val="24"/>
        </w:rPr>
      </w:pPr>
      <w:r w:rsidRPr="00883399">
        <w:rPr>
          <w:sz w:val="24"/>
        </w:rPr>
        <w:tab/>
        <w:t>(3)</w:t>
      </w:r>
      <w:r w:rsidRPr="00883399">
        <w:rPr>
          <w:sz w:val="24"/>
        </w:rPr>
        <w:tab/>
        <w:t>For paragraph 5.9(2)(b), the tonnage of each homogenous waste stream mentioned in subsection (1) must be estimated:</w:t>
      </w:r>
    </w:p>
    <w:p w14:paraId="028D74EA" w14:textId="77777777" w:rsidR="00872C03" w:rsidRPr="00883399" w:rsidRDefault="00872C03" w:rsidP="00872C03">
      <w:pPr>
        <w:pStyle w:val="paragraph"/>
        <w:rPr>
          <w:sz w:val="24"/>
        </w:rPr>
      </w:pPr>
      <w:r w:rsidRPr="00883399">
        <w:rPr>
          <w:sz w:val="24"/>
        </w:rPr>
        <w:tab/>
        <w:t>(a)</w:t>
      </w:r>
      <w:r w:rsidRPr="00883399">
        <w:rPr>
          <w:sz w:val="24"/>
        </w:rPr>
        <w:tab/>
        <w:t>by using the amount of homogenous waste received at the landfill during the year as evidenced by invoices; or</w:t>
      </w:r>
    </w:p>
    <w:p w14:paraId="07CAD502" w14:textId="77777777" w:rsidR="00872C03" w:rsidRPr="00883399" w:rsidRDefault="00872C03" w:rsidP="00872C03">
      <w:pPr>
        <w:pStyle w:val="paragraph"/>
        <w:rPr>
          <w:sz w:val="24"/>
        </w:rPr>
      </w:pPr>
      <w:r w:rsidRPr="00883399">
        <w:rPr>
          <w:sz w:val="24"/>
        </w:rPr>
        <w:tab/>
        <w:t>(b)</w:t>
      </w:r>
      <w:r w:rsidRPr="00883399">
        <w:rPr>
          <w:sz w:val="24"/>
        </w:rPr>
        <w:tab/>
        <w:t>if the amount of homogenous waste received at the landfill during the year is measured in accordance with State or Territory legislation applying to the landfill—by using that measurement; or</w:t>
      </w:r>
    </w:p>
    <w:p w14:paraId="0B5A5059" w14:textId="77777777" w:rsidR="00872C03" w:rsidRPr="00883399" w:rsidRDefault="00872C03" w:rsidP="00872C03">
      <w:pPr>
        <w:pStyle w:val="paragraph"/>
        <w:rPr>
          <w:sz w:val="24"/>
        </w:rPr>
      </w:pPr>
      <w:r w:rsidRPr="00883399">
        <w:rPr>
          <w:sz w:val="24"/>
        </w:rPr>
        <w:tab/>
        <w:t>(c)</w:t>
      </w:r>
      <w:r w:rsidRPr="00883399">
        <w:rPr>
          <w:sz w:val="24"/>
        </w:rPr>
        <w:tab/>
        <w:t>by using direct measurement of quantities of homogenous waste received at the landfill during the year using measuring equipment calibrated to a measurement requirement; or</w:t>
      </w:r>
    </w:p>
    <w:p w14:paraId="22C92DA8" w14:textId="77777777" w:rsidR="00872C03" w:rsidRPr="00883399" w:rsidRDefault="00872C03" w:rsidP="00872C03">
      <w:pPr>
        <w:pStyle w:val="paragraph"/>
        <w:rPr>
          <w:sz w:val="24"/>
        </w:rPr>
      </w:pPr>
      <w:r w:rsidRPr="00883399">
        <w:rPr>
          <w:sz w:val="24"/>
        </w:rPr>
        <w:tab/>
        <w:t>(d)</w:t>
      </w:r>
      <w:r w:rsidRPr="00883399">
        <w:rPr>
          <w:sz w:val="24"/>
        </w:rPr>
        <w:tab/>
        <w:t>in accordance with industry estimation practices (such as the use of accepted industry weighbridges, receipts, invoices, other documents or records or population and per</w:t>
      </w:r>
      <w:r w:rsidRPr="00883399">
        <w:rPr>
          <w:sz w:val="24"/>
        </w:rPr>
        <w:noBreakHyphen/>
        <w:t>capita waste generation rates).</w:t>
      </w:r>
    </w:p>
    <w:p w14:paraId="1AE94D9E" w14:textId="77777777" w:rsidR="0031057E" w:rsidRPr="00883399" w:rsidRDefault="0031057E" w:rsidP="0062566C">
      <w:pPr>
        <w:autoSpaceDE w:val="0"/>
        <w:autoSpaceDN w:val="0"/>
        <w:adjustRightInd w:val="0"/>
        <w:rPr>
          <w:rFonts w:ascii="Arial" w:hAnsi="Arial" w:cs="Arial"/>
          <w:color w:val="000000"/>
          <w:sz w:val="22"/>
          <w:szCs w:val="22"/>
        </w:rPr>
      </w:pPr>
      <w:bookmarkStart w:id="1103" w:name="_Toc423517147"/>
      <w:r w:rsidRPr="00883399">
        <w:rPr>
          <w:rFonts w:ascii="Arial" w:hAnsi="Arial" w:cs="Arial"/>
          <w:color w:val="000000"/>
          <w:sz w:val="22"/>
          <w:szCs w:val="22"/>
        </w:rPr>
        <w:t>Note: Waste accepted in the landfill from the year of opening of the landfill that meets the criteria of a homogenous waste stream must be treated as a homogenous waste stream for the purpose of calculating the opening stock of degradable organic carbon at the beginning of the reporting year for all waste mix types.</w:t>
      </w:r>
    </w:p>
    <w:p w14:paraId="03537334" w14:textId="77777777" w:rsidR="0031057E" w:rsidRPr="00883399" w:rsidRDefault="0031057E" w:rsidP="0031057E">
      <w:pPr>
        <w:pStyle w:val="Caption"/>
        <w:rPr>
          <w:rFonts w:ascii="Arial" w:hAnsi="Arial" w:cs="Arial"/>
          <w:b w:val="0"/>
          <w:bCs w:val="0"/>
          <w:color w:val="000000"/>
          <w:sz w:val="22"/>
          <w:szCs w:val="22"/>
        </w:rPr>
      </w:pPr>
      <w:r w:rsidRPr="00883399">
        <w:rPr>
          <w:rFonts w:ascii="Arial" w:hAnsi="Arial" w:cs="Arial"/>
          <w:b w:val="0"/>
          <w:bCs w:val="0"/>
          <w:color w:val="000000"/>
          <w:sz w:val="22"/>
          <w:szCs w:val="22"/>
        </w:rPr>
        <w:t>It is intended that the requirements of  5.10A(2) restrict the use of homogenous waste streams to the following very specific circumstances:</w:t>
      </w:r>
    </w:p>
    <w:p w14:paraId="33774C56" w14:textId="77777777" w:rsidR="0031057E" w:rsidRPr="00883399" w:rsidRDefault="0031057E" w:rsidP="0031057E">
      <w:pPr>
        <w:pStyle w:val="Caption"/>
        <w:numPr>
          <w:ilvl w:val="0"/>
          <w:numId w:val="55"/>
        </w:numPr>
        <w:rPr>
          <w:rFonts w:ascii="Arial" w:hAnsi="Arial" w:cs="Arial"/>
          <w:b w:val="0"/>
          <w:bCs w:val="0"/>
          <w:color w:val="000000"/>
          <w:sz w:val="22"/>
          <w:szCs w:val="22"/>
        </w:rPr>
      </w:pPr>
      <w:r w:rsidRPr="00883399">
        <w:rPr>
          <w:rFonts w:ascii="Arial" w:hAnsi="Arial" w:cs="Arial"/>
          <w:b w:val="0"/>
          <w:bCs w:val="0"/>
          <w:color w:val="000000"/>
          <w:sz w:val="22"/>
          <w:szCs w:val="22"/>
        </w:rPr>
        <w:t>Waste has been generated by a single plant or activity.  For example, shredder flock delivered to landfill cannot come from multiple recycling plants in a single load.  Each plant’s waste must be treated individually;</w:t>
      </w:r>
    </w:p>
    <w:p w14:paraId="02B84CCD" w14:textId="77777777" w:rsidR="0031057E" w:rsidRPr="00883399" w:rsidRDefault="0031057E" w:rsidP="0031057E">
      <w:pPr>
        <w:pStyle w:val="Caption"/>
        <w:numPr>
          <w:ilvl w:val="0"/>
          <w:numId w:val="55"/>
        </w:numPr>
        <w:rPr>
          <w:rFonts w:ascii="Arial" w:hAnsi="Arial" w:cs="Arial"/>
          <w:b w:val="0"/>
          <w:bCs w:val="0"/>
          <w:color w:val="000000"/>
          <w:sz w:val="22"/>
          <w:szCs w:val="22"/>
        </w:rPr>
      </w:pPr>
      <w:r w:rsidRPr="00883399">
        <w:rPr>
          <w:rFonts w:ascii="Arial" w:hAnsi="Arial" w:cs="Arial"/>
          <w:b w:val="0"/>
          <w:bCs w:val="0"/>
          <w:color w:val="000000"/>
          <w:sz w:val="22"/>
          <w:szCs w:val="22"/>
        </w:rPr>
        <w:t>only those homogenous waste streams identified are being generated at the waste generating activity;</w:t>
      </w:r>
    </w:p>
    <w:p w14:paraId="7366F883" w14:textId="77777777" w:rsidR="0031057E" w:rsidRPr="00883399" w:rsidRDefault="0031057E" w:rsidP="0031057E">
      <w:pPr>
        <w:pStyle w:val="Caption"/>
        <w:numPr>
          <w:ilvl w:val="0"/>
          <w:numId w:val="55"/>
        </w:numPr>
        <w:rPr>
          <w:rFonts w:ascii="Arial" w:hAnsi="Arial"/>
          <w:bCs w:val="0"/>
        </w:rPr>
      </w:pPr>
      <w:r w:rsidRPr="00883399">
        <w:rPr>
          <w:rFonts w:ascii="Arial" w:hAnsi="Arial" w:cs="Arial"/>
          <w:b w:val="0"/>
          <w:bCs w:val="0"/>
          <w:color w:val="000000"/>
          <w:sz w:val="22"/>
          <w:szCs w:val="22"/>
        </w:rPr>
        <w:t>there must be no pre-sorting of general waste streams in order to derive homogenous waste streams. For example, where a construction activity has generated general construction and demolition waste, it is not possible to extract the inert component of the general stream prior to disposal and class it as homogenous inert waste while maintaining the default composition for the residual construction and demolition stream;</w:t>
      </w:r>
    </w:p>
    <w:p w14:paraId="5058A198" w14:textId="77777777" w:rsidR="0031057E" w:rsidRPr="00883399" w:rsidRDefault="0031057E" w:rsidP="0031057E">
      <w:pPr>
        <w:pStyle w:val="Caption"/>
        <w:rPr>
          <w:rFonts w:ascii="Arial" w:hAnsi="Arial" w:cs="Arial"/>
          <w:b w:val="0"/>
          <w:bCs w:val="0"/>
          <w:color w:val="000000"/>
          <w:sz w:val="22"/>
          <w:szCs w:val="22"/>
        </w:rPr>
      </w:pPr>
      <w:r w:rsidRPr="00883399">
        <w:rPr>
          <w:rFonts w:ascii="Arial" w:hAnsi="Arial" w:cs="Arial"/>
          <w:b w:val="0"/>
          <w:bCs w:val="0"/>
          <w:color w:val="000000"/>
          <w:sz w:val="22"/>
          <w:szCs w:val="22"/>
        </w:rPr>
        <w:t>Landfill operators should maintain records to justify the waste streams classifications adopted for the purposes of NGER reporting.</w:t>
      </w:r>
    </w:p>
    <w:p w14:paraId="733C1344" w14:textId="06C5C618" w:rsidR="00872C03" w:rsidRPr="00883399" w:rsidRDefault="00872C03" w:rsidP="00872C03">
      <w:pPr>
        <w:pStyle w:val="ActHead5"/>
        <w:rPr>
          <w:sz w:val="28"/>
        </w:rPr>
      </w:pPr>
      <w:bookmarkStart w:id="1104" w:name="_Toc495653078"/>
      <w:r w:rsidRPr="00883399">
        <w:rPr>
          <w:rStyle w:val="CharSectno"/>
          <w:sz w:val="28"/>
        </w:rPr>
        <w:lastRenderedPageBreak/>
        <w:t>5.11</w:t>
      </w:r>
      <w:r w:rsidRPr="00883399">
        <w:rPr>
          <w:sz w:val="28"/>
        </w:rPr>
        <w:t xml:space="preserve">  Waste mix types</w:t>
      </w:r>
      <w:bookmarkEnd w:id="1103"/>
      <w:bookmarkEnd w:id="1104"/>
    </w:p>
    <w:p w14:paraId="62BC09BE" w14:textId="77777777" w:rsidR="00F656F7" w:rsidRPr="00883399" w:rsidRDefault="00872C03" w:rsidP="00F656F7">
      <w:pPr>
        <w:pStyle w:val="subsection"/>
        <w:rPr>
          <w:sz w:val="24"/>
        </w:rPr>
      </w:pPr>
      <w:r w:rsidRPr="00883399">
        <w:rPr>
          <w:sz w:val="24"/>
        </w:rPr>
        <w:tab/>
      </w:r>
      <w:bookmarkStart w:id="1105" w:name="_Toc423517148"/>
      <w:r w:rsidR="00F656F7" w:rsidRPr="00883399">
        <w:rPr>
          <w:sz w:val="24"/>
        </w:rPr>
        <w:t>(1)</w:t>
      </w:r>
      <w:r w:rsidR="00F656F7" w:rsidRPr="00883399">
        <w:rPr>
          <w:sz w:val="24"/>
        </w:rPr>
        <w:tab/>
        <w:t>For subsection 5.9(3), the waste mix types are as follows:</w:t>
      </w:r>
    </w:p>
    <w:p w14:paraId="62CEA98B" w14:textId="77777777" w:rsidR="00F656F7" w:rsidRPr="00883399" w:rsidRDefault="00F656F7" w:rsidP="00F656F7">
      <w:pPr>
        <w:pStyle w:val="paragraph"/>
        <w:rPr>
          <w:sz w:val="24"/>
        </w:rPr>
      </w:pPr>
      <w:r w:rsidRPr="00883399">
        <w:rPr>
          <w:sz w:val="24"/>
        </w:rPr>
        <w:tab/>
        <w:t>(a)</w:t>
      </w:r>
      <w:r w:rsidRPr="00883399">
        <w:rPr>
          <w:sz w:val="24"/>
        </w:rPr>
        <w:tab/>
        <w:t>food;</w:t>
      </w:r>
    </w:p>
    <w:p w14:paraId="2D4B2C70" w14:textId="77777777" w:rsidR="00F656F7" w:rsidRPr="00883399" w:rsidRDefault="00F656F7" w:rsidP="00F656F7">
      <w:pPr>
        <w:pStyle w:val="paragraph"/>
        <w:rPr>
          <w:sz w:val="24"/>
        </w:rPr>
      </w:pPr>
      <w:r w:rsidRPr="00883399">
        <w:rPr>
          <w:sz w:val="24"/>
        </w:rPr>
        <w:tab/>
        <w:t>(b)</w:t>
      </w:r>
      <w:r w:rsidRPr="00883399">
        <w:rPr>
          <w:sz w:val="24"/>
        </w:rPr>
        <w:tab/>
        <w:t>paper and cardboard;</w:t>
      </w:r>
    </w:p>
    <w:p w14:paraId="37F49097" w14:textId="77777777" w:rsidR="00F656F7" w:rsidRPr="00883399" w:rsidRDefault="00F656F7" w:rsidP="00F656F7">
      <w:pPr>
        <w:pStyle w:val="paragraph"/>
        <w:rPr>
          <w:sz w:val="24"/>
        </w:rPr>
      </w:pPr>
      <w:r w:rsidRPr="00883399">
        <w:rPr>
          <w:sz w:val="24"/>
        </w:rPr>
        <w:tab/>
        <w:t>(c)</w:t>
      </w:r>
      <w:r w:rsidRPr="00883399">
        <w:rPr>
          <w:sz w:val="24"/>
        </w:rPr>
        <w:tab/>
        <w:t>textiles;</w:t>
      </w:r>
    </w:p>
    <w:p w14:paraId="3C5BCAC5" w14:textId="77777777" w:rsidR="00F656F7" w:rsidRPr="00883399" w:rsidRDefault="00F656F7" w:rsidP="00F656F7">
      <w:pPr>
        <w:pStyle w:val="paragraph"/>
        <w:rPr>
          <w:sz w:val="24"/>
        </w:rPr>
      </w:pPr>
      <w:r w:rsidRPr="00883399">
        <w:rPr>
          <w:sz w:val="24"/>
        </w:rPr>
        <w:tab/>
        <w:t>(d)</w:t>
      </w:r>
      <w:r w:rsidRPr="00883399">
        <w:rPr>
          <w:sz w:val="24"/>
        </w:rPr>
        <w:tab/>
        <w:t>garden and park;</w:t>
      </w:r>
    </w:p>
    <w:p w14:paraId="287EC035" w14:textId="77777777" w:rsidR="00F656F7" w:rsidRPr="00883399" w:rsidRDefault="00F656F7" w:rsidP="00F656F7">
      <w:pPr>
        <w:pStyle w:val="paragraph"/>
        <w:rPr>
          <w:sz w:val="24"/>
        </w:rPr>
      </w:pPr>
      <w:r w:rsidRPr="00883399">
        <w:rPr>
          <w:sz w:val="24"/>
        </w:rPr>
        <w:tab/>
        <w:t>(e)</w:t>
      </w:r>
      <w:r w:rsidRPr="00883399">
        <w:rPr>
          <w:sz w:val="24"/>
        </w:rPr>
        <w:tab/>
        <w:t>wood and wood waste;</w:t>
      </w:r>
    </w:p>
    <w:p w14:paraId="21A08686" w14:textId="77777777" w:rsidR="00F656F7" w:rsidRPr="00883399" w:rsidRDefault="00F656F7" w:rsidP="00F656F7">
      <w:pPr>
        <w:pStyle w:val="paragraph"/>
        <w:rPr>
          <w:sz w:val="24"/>
        </w:rPr>
      </w:pPr>
      <w:r w:rsidRPr="00883399">
        <w:rPr>
          <w:sz w:val="24"/>
        </w:rPr>
        <w:tab/>
        <w:t>(f)</w:t>
      </w:r>
      <w:r w:rsidRPr="00883399">
        <w:rPr>
          <w:sz w:val="24"/>
        </w:rPr>
        <w:tab/>
        <w:t>sludge;</w:t>
      </w:r>
    </w:p>
    <w:p w14:paraId="26559148" w14:textId="77777777" w:rsidR="00F656F7" w:rsidRPr="00883399" w:rsidRDefault="00F656F7" w:rsidP="00F656F7">
      <w:pPr>
        <w:pStyle w:val="paragraph"/>
        <w:rPr>
          <w:sz w:val="24"/>
        </w:rPr>
      </w:pPr>
      <w:r w:rsidRPr="00883399">
        <w:rPr>
          <w:sz w:val="24"/>
        </w:rPr>
        <w:tab/>
        <w:t>(g)</w:t>
      </w:r>
      <w:r w:rsidRPr="00883399">
        <w:rPr>
          <w:sz w:val="24"/>
        </w:rPr>
        <w:tab/>
        <w:t>nappies;</w:t>
      </w:r>
    </w:p>
    <w:p w14:paraId="3BB33F63" w14:textId="77777777" w:rsidR="00F656F7" w:rsidRPr="00883399" w:rsidRDefault="00F656F7" w:rsidP="00F656F7">
      <w:pPr>
        <w:pStyle w:val="paragraph"/>
        <w:rPr>
          <w:sz w:val="24"/>
        </w:rPr>
      </w:pPr>
      <w:r w:rsidRPr="00883399">
        <w:rPr>
          <w:sz w:val="24"/>
        </w:rPr>
        <w:tab/>
        <w:t>(h)</w:t>
      </w:r>
      <w:r w:rsidRPr="00883399">
        <w:rPr>
          <w:sz w:val="24"/>
        </w:rPr>
        <w:tab/>
        <w:t>rubber and leather;</w:t>
      </w:r>
    </w:p>
    <w:p w14:paraId="669396B3" w14:textId="77777777" w:rsidR="00F656F7" w:rsidRPr="00883399" w:rsidRDefault="00F656F7" w:rsidP="00F656F7">
      <w:pPr>
        <w:pStyle w:val="paragraph"/>
        <w:rPr>
          <w:sz w:val="24"/>
        </w:rPr>
      </w:pPr>
      <w:r w:rsidRPr="00883399">
        <w:rPr>
          <w:sz w:val="24"/>
        </w:rPr>
        <w:tab/>
        <w:t>(i)</w:t>
      </w:r>
      <w:r w:rsidRPr="00883399">
        <w:rPr>
          <w:sz w:val="24"/>
        </w:rPr>
        <w:tab/>
        <w:t>inert waste.</w:t>
      </w:r>
    </w:p>
    <w:p w14:paraId="470933C8" w14:textId="77777777" w:rsidR="00F656F7" w:rsidRPr="00883399" w:rsidRDefault="00F656F7" w:rsidP="00F656F7">
      <w:pPr>
        <w:pStyle w:val="subsection"/>
        <w:rPr>
          <w:sz w:val="24"/>
        </w:rPr>
      </w:pPr>
      <w:r w:rsidRPr="00883399">
        <w:rPr>
          <w:sz w:val="24"/>
        </w:rPr>
        <w:tab/>
        <w:t>(2)</w:t>
      </w:r>
      <w:r w:rsidRPr="00883399">
        <w:rPr>
          <w:sz w:val="24"/>
        </w:rPr>
        <w:tab/>
        <w:t>The percentage of the total waste tonnage for each waste mix type mentioned in column 1 of an item in the following table must be estimated by using:</w:t>
      </w:r>
    </w:p>
    <w:p w14:paraId="471468EE" w14:textId="77777777" w:rsidR="00F656F7" w:rsidRPr="00883399" w:rsidRDefault="00F656F7" w:rsidP="00F656F7">
      <w:pPr>
        <w:pStyle w:val="paragraph"/>
        <w:rPr>
          <w:sz w:val="24"/>
        </w:rPr>
      </w:pPr>
      <w:r w:rsidRPr="00883399">
        <w:rPr>
          <w:sz w:val="24"/>
        </w:rPr>
        <w:tab/>
        <w:t>(a)</w:t>
      </w:r>
      <w:r w:rsidRPr="00883399">
        <w:rPr>
          <w:sz w:val="24"/>
        </w:rPr>
        <w:tab/>
        <w:t>sampling techniques specified in:</w:t>
      </w:r>
    </w:p>
    <w:p w14:paraId="750A542A" w14:textId="77777777" w:rsidR="00F656F7" w:rsidRPr="00883399" w:rsidRDefault="00F656F7" w:rsidP="00F656F7">
      <w:pPr>
        <w:pStyle w:val="paragraphsub"/>
        <w:rPr>
          <w:sz w:val="24"/>
        </w:rPr>
      </w:pPr>
      <w:r w:rsidRPr="00883399">
        <w:rPr>
          <w:sz w:val="24"/>
        </w:rPr>
        <w:tab/>
        <w:t>(i)</w:t>
      </w:r>
      <w:r w:rsidRPr="00883399">
        <w:rPr>
          <w:sz w:val="24"/>
        </w:rPr>
        <w:tab/>
        <w:t>waste audit guidelines issued by the State or Territory in which the landfill is located; or</w:t>
      </w:r>
    </w:p>
    <w:p w14:paraId="284BCA11" w14:textId="77777777" w:rsidR="00F656F7" w:rsidRPr="00883399" w:rsidRDefault="00F656F7" w:rsidP="00F656F7">
      <w:pPr>
        <w:pStyle w:val="paragraphsub"/>
        <w:rPr>
          <w:sz w:val="24"/>
        </w:rPr>
      </w:pPr>
      <w:r w:rsidRPr="00883399">
        <w:rPr>
          <w:sz w:val="24"/>
        </w:rPr>
        <w:tab/>
        <w:t>(ii)</w:t>
      </w:r>
      <w:r w:rsidRPr="00883399">
        <w:rPr>
          <w:sz w:val="24"/>
        </w:rPr>
        <w:tab/>
        <w:t>if no guidelines have been issued by the State or Territory in which the landfill is located—ASTM D 5231–92 (Reapproved 2008) or an equivalent Australian or international standard; or</w:t>
      </w:r>
    </w:p>
    <w:p w14:paraId="7E93BCEC" w14:textId="77777777" w:rsidR="00F656F7" w:rsidRPr="00883399" w:rsidRDefault="00F656F7" w:rsidP="00F656F7">
      <w:pPr>
        <w:pStyle w:val="paragraph"/>
        <w:rPr>
          <w:sz w:val="24"/>
        </w:rPr>
      </w:pPr>
      <w:r w:rsidRPr="00883399">
        <w:rPr>
          <w:sz w:val="24"/>
        </w:rPr>
        <w:tab/>
        <w:t>(b)</w:t>
      </w:r>
      <w:r w:rsidRPr="00883399">
        <w:rPr>
          <w:sz w:val="24"/>
        </w:rPr>
        <w:tab/>
        <w:t xml:space="preserve">the tonnage of each waste mix type received at the landfill estimated in accordance with the criteria set out in section 5.5; or </w:t>
      </w:r>
    </w:p>
    <w:p w14:paraId="04C3A645" w14:textId="77777777" w:rsidR="00F656F7" w:rsidRPr="00883399" w:rsidRDefault="00F656F7" w:rsidP="00F656F7">
      <w:pPr>
        <w:pStyle w:val="paragraph"/>
        <w:rPr>
          <w:sz w:val="24"/>
        </w:rPr>
      </w:pPr>
      <w:r w:rsidRPr="00883399">
        <w:rPr>
          <w:sz w:val="24"/>
        </w:rPr>
        <w:tab/>
        <w:t>(c)</w:t>
      </w:r>
      <w:r w:rsidRPr="00883399">
        <w:rPr>
          <w:sz w:val="24"/>
        </w:rPr>
        <w:tab/>
        <w:t>subject to subsection 5.11(3), the default waste stream percentages in columns 2, 3, 4 and 5 for the item for each waste mix type.</w:t>
      </w:r>
    </w:p>
    <w:p w14:paraId="60CE5458" w14:textId="77777777" w:rsidR="00F656F7" w:rsidRPr="00883399" w:rsidRDefault="00F656F7" w:rsidP="00F656F7">
      <w:pPr>
        <w:pStyle w:val="Tabletext0"/>
        <w:rPr>
          <w:sz w:val="22"/>
        </w:rPr>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704"/>
        <w:gridCol w:w="1277"/>
        <w:gridCol w:w="1560"/>
        <w:gridCol w:w="1560"/>
        <w:gridCol w:w="1561"/>
        <w:gridCol w:w="1651"/>
      </w:tblGrid>
      <w:tr w:rsidR="00F656F7" w:rsidRPr="00883399" w14:paraId="56848722" w14:textId="77777777" w:rsidTr="00F656F7">
        <w:trPr>
          <w:tblHeader/>
        </w:trPr>
        <w:tc>
          <w:tcPr>
            <w:tcW w:w="5000" w:type="pct"/>
            <w:gridSpan w:val="6"/>
            <w:tcBorders>
              <w:top w:val="single" w:sz="12" w:space="0" w:color="auto"/>
              <w:bottom w:val="single" w:sz="6" w:space="0" w:color="auto"/>
            </w:tcBorders>
            <w:shd w:val="clear" w:color="auto" w:fill="auto"/>
          </w:tcPr>
          <w:p w14:paraId="6686A568" w14:textId="77777777" w:rsidR="00F656F7" w:rsidRPr="00883399" w:rsidRDefault="00F656F7" w:rsidP="00F656F7">
            <w:pPr>
              <w:pStyle w:val="TableHeading"/>
              <w:rPr>
                <w:sz w:val="22"/>
              </w:rPr>
            </w:pPr>
            <w:r w:rsidRPr="00883399">
              <w:rPr>
                <w:sz w:val="22"/>
              </w:rPr>
              <w:t>Default waste stream percentage for waste mix type</w:t>
            </w:r>
          </w:p>
        </w:tc>
      </w:tr>
      <w:tr w:rsidR="00F656F7" w:rsidRPr="00883399" w14:paraId="48965DEC" w14:textId="77777777" w:rsidTr="00F656F7">
        <w:trPr>
          <w:tblHeader/>
        </w:trPr>
        <w:tc>
          <w:tcPr>
            <w:tcW w:w="424" w:type="pct"/>
            <w:tcBorders>
              <w:top w:val="single" w:sz="6" w:space="0" w:color="auto"/>
              <w:bottom w:val="nil"/>
            </w:tcBorders>
            <w:shd w:val="clear" w:color="auto" w:fill="auto"/>
          </w:tcPr>
          <w:p w14:paraId="354102F6" w14:textId="77777777" w:rsidR="00F656F7" w:rsidRPr="00883399" w:rsidRDefault="00F656F7" w:rsidP="00F656F7">
            <w:pPr>
              <w:pStyle w:val="TableHeading"/>
              <w:rPr>
                <w:sz w:val="22"/>
              </w:rPr>
            </w:pPr>
            <w:r w:rsidRPr="00883399">
              <w:rPr>
                <w:sz w:val="22"/>
              </w:rPr>
              <w:t>Item</w:t>
            </w:r>
          </w:p>
        </w:tc>
        <w:tc>
          <w:tcPr>
            <w:tcW w:w="768" w:type="pct"/>
            <w:tcBorders>
              <w:top w:val="single" w:sz="6" w:space="0" w:color="auto"/>
              <w:bottom w:val="nil"/>
            </w:tcBorders>
            <w:shd w:val="clear" w:color="auto" w:fill="auto"/>
          </w:tcPr>
          <w:p w14:paraId="1A1B6884" w14:textId="77777777" w:rsidR="00F656F7" w:rsidRPr="00883399" w:rsidRDefault="00F656F7" w:rsidP="00F656F7">
            <w:pPr>
              <w:pStyle w:val="TableHeading"/>
              <w:rPr>
                <w:sz w:val="22"/>
              </w:rPr>
            </w:pPr>
            <w:r w:rsidRPr="00883399">
              <w:rPr>
                <w:sz w:val="22"/>
              </w:rPr>
              <w:t>Column 1</w:t>
            </w:r>
          </w:p>
        </w:tc>
        <w:tc>
          <w:tcPr>
            <w:tcW w:w="938" w:type="pct"/>
            <w:tcBorders>
              <w:top w:val="single" w:sz="6" w:space="0" w:color="auto"/>
              <w:bottom w:val="nil"/>
            </w:tcBorders>
            <w:shd w:val="clear" w:color="auto" w:fill="auto"/>
          </w:tcPr>
          <w:p w14:paraId="28855EEE" w14:textId="77777777" w:rsidR="00F656F7" w:rsidRPr="00883399" w:rsidRDefault="00F656F7" w:rsidP="00F656F7">
            <w:pPr>
              <w:pStyle w:val="TableHeading"/>
              <w:rPr>
                <w:sz w:val="22"/>
              </w:rPr>
            </w:pPr>
            <w:r w:rsidRPr="00883399">
              <w:rPr>
                <w:sz w:val="22"/>
              </w:rPr>
              <w:t>Column 2</w:t>
            </w:r>
          </w:p>
        </w:tc>
        <w:tc>
          <w:tcPr>
            <w:tcW w:w="938" w:type="pct"/>
            <w:tcBorders>
              <w:top w:val="single" w:sz="6" w:space="0" w:color="auto"/>
              <w:bottom w:val="nil"/>
            </w:tcBorders>
            <w:shd w:val="clear" w:color="auto" w:fill="auto"/>
          </w:tcPr>
          <w:p w14:paraId="1F97952C" w14:textId="77777777" w:rsidR="00F656F7" w:rsidRPr="00883399" w:rsidRDefault="00F656F7" w:rsidP="00F656F7">
            <w:pPr>
              <w:pStyle w:val="TableHeading"/>
              <w:rPr>
                <w:sz w:val="22"/>
              </w:rPr>
            </w:pPr>
            <w:r w:rsidRPr="00883399">
              <w:rPr>
                <w:sz w:val="22"/>
              </w:rPr>
              <w:t>Column 3</w:t>
            </w:r>
          </w:p>
        </w:tc>
        <w:tc>
          <w:tcPr>
            <w:tcW w:w="939" w:type="pct"/>
            <w:tcBorders>
              <w:top w:val="single" w:sz="6" w:space="0" w:color="auto"/>
              <w:bottom w:val="nil"/>
            </w:tcBorders>
            <w:shd w:val="clear" w:color="auto" w:fill="auto"/>
          </w:tcPr>
          <w:p w14:paraId="1542821E" w14:textId="77777777" w:rsidR="00F656F7" w:rsidRPr="00883399" w:rsidRDefault="00F656F7" w:rsidP="00F656F7">
            <w:pPr>
              <w:pStyle w:val="TableHeading"/>
              <w:rPr>
                <w:sz w:val="22"/>
              </w:rPr>
            </w:pPr>
            <w:r w:rsidRPr="00883399">
              <w:rPr>
                <w:sz w:val="22"/>
              </w:rPr>
              <w:t>Column 4</w:t>
            </w:r>
          </w:p>
        </w:tc>
        <w:tc>
          <w:tcPr>
            <w:tcW w:w="994" w:type="pct"/>
            <w:tcBorders>
              <w:top w:val="single" w:sz="6" w:space="0" w:color="auto"/>
              <w:bottom w:val="nil"/>
            </w:tcBorders>
            <w:shd w:val="clear" w:color="auto" w:fill="auto"/>
          </w:tcPr>
          <w:p w14:paraId="3386772A" w14:textId="77777777" w:rsidR="00F656F7" w:rsidRPr="00883399" w:rsidRDefault="00F656F7" w:rsidP="00F656F7">
            <w:pPr>
              <w:pStyle w:val="TableHeading"/>
              <w:rPr>
                <w:sz w:val="22"/>
              </w:rPr>
            </w:pPr>
            <w:r w:rsidRPr="00883399">
              <w:rPr>
                <w:sz w:val="22"/>
              </w:rPr>
              <w:t>Column 5</w:t>
            </w:r>
          </w:p>
        </w:tc>
      </w:tr>
      <w:tr w:rsidR="00F656F7" w:rsidRPr="00883399" w14:paraId="42A72FB0" w14:textId="77777777" w:rsidTr="00F656F7">
        <w:trPr>
          <w:tblHeader/>
        </w:trPr>
        <w:tc>
          <w:tcPr>
            <w:tcW w:w="424" w:type="pct"/>
            <w:tcBorders>
              <w:top w:val="nil"/>
              <w:bottom w:val="single" w:sz="12" w:space="0" w:color="auto"/>
            </w:tcBorders>
            <w:shd w:val="clear" w:color="auto" w:fill="auto"/>
          </w:tcPr>
          <w:p w14:paraId="4B9E1481" w14:textId="77777777" w:rsidR="00F656F7" w:rsidRPr="00883399" w:rsidRDefault="00F656F7" w:rsidP="00F656F7">
            <w:pPr>
              <w:pStyle w:val="TableHeading"/>
              <w:rPr>
                <w:sz w:val="22"/>
              </w:rPr>
            </w:pPr>
          </w:p>
        </w:tc>
        <w:tc>
          <w:tcPr>
            <w:tcW w:w="768" w:type="pct"/>
            <w:tcBorders>
              <w:top w:val="nil"/>
              <w:bottom w:val="single" w:sz="12" w:space="0" w:color="auto"/>
            </w:tcBorders>
            <w:shd w:val="clear" w:color="auto" w:fill="auto"/>
          </w:tcPr>
          <w:p w14:paraId="0A8576AD" w14:textId="77777777" w:rsidR="00F656F7" w:rsidRPr="00883399" w:rsidRDefault="00F656F7" w:rsidP="00F656F7">
            <w:pPr>
              <w:pStyle w:val="TableHeading"/>
              <w:rPr>
                <w:sz w:val="22"/>
              </w:rPr>
            </w:pPr>
            <w:r w:rsidRPr="00883399">
              <w:rPr>
                <w:sz w:val="22"/>
              </w:rPr>
              <w:t>Waste mix type</w:t>
            </w:r>
          </w:p>
        </w:tc>
        <w:tc>
          <w:tcPr>
            <w:tcW w:w="938" w:type="pct"/>
            <w:tcBorders>
              <w:top w:val="nil"/>
              <w:bottom w:val="single" w:sz="12" w:space="0" w:color="auto"/>
            </w:tcBorders>
            <w:shd w:val="clear" w:color="auto" w:fill="auto"/>
          </w:tcPr>
          <w:p w14:paraId="3D268E35" w14:textId="77777777" w:rsidR="00F656F7" w:rsidRPr="00883399" w:rsidRDefault="00F656F7" w:rsidP="00F656F7">
            <w:pPr>
              <w:pStyle w:val="TableHeading"/>
              <w:rPr>
                <w:sz w:val="22"/>
              </w:rPr>
            </w:pPr>
            <w:r w:rsidRPr="00883399">
              <w:rPr>
                <w:sz w:val="22"/>
              </w:rPr>
              <w:t>Municipal solid waste class I default (%)</w:t>
            </w:r>
          </w:p>
        </w:tc>
        <w:tc>
          <w:tcPr>
            <w:tcW w:w="938" w:type="pct"/>
            <w:tcBorders>
              <w:top w:val="nil"/>
              <w:bottom w:val="single" w:sz="12" w:space="0" w:color="auto"/>
            </w:tcBorders>
            <w:shd w:val="clear" w:color="auto" w:fill="auto"/>
          </w:tcPr>
          <w:p w14:paraId="0B2A6C69" w14:textId="77777777" w:rsidR="00F656F7" w:rsidRPr="00883399" w:rsidRDefault="00F656F7" w:rsidP="00F656F7">
            <w:pPr>
              <w:pStyle w:val="TableHeading"/>
              <w:rPr>
                <w:sz w:val="22"/>
              </w:rPr>
            </w:pPr>
            <w:r w:rsidRPr="00883399">
              <w:rPr>
                <w:sz w:val="22"/>
              </w:rPr>
              <w:t>Municipal solid waste class II default (%)</w:t>
            </w:r>
          </w:p>
        </w:tc>
        <w:tc>
          <w:tcPr>
            <w:tcW w:w="939" w:type="pct"/>
            <w:tcBorders>
              <w:top w:val="nil"/>
              <w:bottom w:val="single" w:sz="12" w:space="0" w:color="auto"/>
            </w:tcBorders>
            <w:shd w:val="clear" w:color="auto" w:fill="auto"/>
          </w:tcPr>
          <w:p w14:paraId="758DB3DC" w14:textId="77777777" w:rsidR="00F656F7" w:rsidRPr="00883399" w:rsidRDefault="00F656F7" w:rsidP="00F656F7">
            <w:pPr>
              <w:pStyle w:val="TableHeading"/>
              <w:rPr>
                <w:sz w:val="22"/>
              </w:rPr>
            </w:pPr>
            <w:r w:rsidRPr="00883399">
              <w:rPr>
                <w:sz w:val="22"/>
              </w:rPr>
              <w:t>Commercial and industrial waste default (%)</w:t>
            </w:r>
          </w:p>
        </w:tc>
        <w:tc>
          <w:tcPr>
            <w:tcW w:w="994" w:type="pct"/>
            <w:tcBorders>
              <w:top w:val="nil"/>
              <w:bottom w:val="single" w:sz="12" w:space="0" w:color="auto"/>
            </w:tcBorders>
            <w:shd w:val="clear" w:color="auto" w:fill="auto"/>
          </w:tcPr>
          <w:p w14:paraId="5839F635" w14:textId="77777777" w:rsidR="00F656F7" w:rsidRPr="00883399" w:rsidRDefault="00F656F7" w:rsidP="00F656F7">
            <w:pPr>
              <w:pStyle w:val="TableHeading"/>
              <w:rPr>
                <w:sz w:val="22"/>
              </w:rPr>
            </w:pPr>
            <w:r w:rsidRPr="00883399">
              <w:rPr>
                <w:sz w:val="22"/>
              </w:rPr>
              <w:t>Construction and demolition waste default (%)</w:t>
            </w:r>
          </w:p>
        </w:tc>
      </w:tr>
      <w:tr w:rsidR="00F656F7" w:rsidRPr="00883399" w14:paraId="18B87C9D" w14:textId="77777777" w:rsidTr="00F656F7">
        <w:tc>
          <w:tcPr>
            <w:tcW w:w="424" w:type="pct"/>
            <w:tcBorders>
              <w:top w:val="single" w:sz="12" w:space="0" w:color="auto"/>
            </w:tcBorders>
            <w:shd w:val="clear" w:color="auto" w:fill="auto"/>
          </w:tcPr>
          <w:p w14:paraId="22DD4403" w14:textId="77777777" w:rsidR="00F656F7" w:rsidRPr="00883399" w:rsidRDefault="00F656F7" w:rsidP="00F656F7">
            <w:pPr>
              <w:pStyle w:val="Tabletext0"/>
              <w:rPr>
                <w:sz w:val="22"/>
              </w:rPr>
            </w:pPr>
            <w:r w:rsidRPr="00883399">
              <w:rPr>
                <w:sz w:val="22"/>
              </w:rPr>
              <w:t>1</w:t>
            </w:r>
          </w:p>
        </w:tc>
        <w:tc>
          <w:tcPr>
            <w:tcW w:w="768" w:type="pct"/>
            <w:tcBorders>
              <w:top w:val="single" w:sz="12" w:space="0" w:color="auto"/>
            </w:tcBorders>
            <w:shd w:val="clear" w:color="auto" w:fill="auto"/>
          </w:tcPr>
          <w:p w14:paraId="1D86EF19" w14:textId="77777777" w:rsidR="00F656F7" w:rsidRPr="00883399" w:rsidRDefault="00F656F7" w:rsidP="00F656F7">
            <w:pPr>
              <w:pStyle w:val="Tabletext0"/>
              <w:rPr>
                <w:sz w:val="22"/>
              </w:rPr>
            </w:pPr>
            <w:r w:rsidRPr="00883399">
              <w:rPr>
                <w:sz w:val="22"/>
              </w:rPr>
              <w:t>Food</w:t>
            </w:r>
          </w:p>
        </w:tc>
        <w:tc>
          <w:tcPr>
            <w:tcW w:w="938" w:type="pct"/>
            <w:tcBorders>
              <w:top w:val="single" w:sz="12" w:space="0" w:color="auto"/>
            </w:tcBorders>
            <w:shd w:val="clear" w:color="auto" w:fill="auto"/>
          </w:tcPr>
          <w:p w14:paraId="5C8F5AE9" w14:textId="77777777" w:rsidR="00F656F7" w:rsidRPr="00883399" w:rsidRDefault="00F656F7" w:rsidP="00F656F7">
            <w:pPr>
              <w:pStyle w:val="Tabletext0"/>
              <w:tabs>
                <w:tab w:val="decimal" w:pos="680"/>
              </w:tabs>
              <w:rPr>
                <w:sz w:val="22"/>
              </w:rPr>
            </w:pPr>
            <w:r w:rsidRPr="00883399">
              <w:rPr>
                <w:sz w:val="22"/>
              </w:rPr>
              <w:t>35</w:t>
            </w:r>
          </w:p>
        </w:tc>
        <w:tc>
          <w:tcPr>
            <w:tcW w:w="938" w:type="pct"/>
            <w:tcBorders>
              <w:top w:val="single" w:sz="12" w:space="0" w:color="auto"/>
            </w:tcBorders>
            <w:shd w:val="clear" w:color="auto" w:fill="auto"/>
          </w:tcPr>
          <w:p w14:paraId="029F8BC4" w14:textId="77777777" w:rsidR="00F656F7" w:rsidRPr="00883399" w:rsidRDefault="00F656F7" w:rsidP="00F656F7">
            <w:pPr>
              <w:pStyle w:val="Tabletext0"/>
              <w:tabs>
                <w:tab w:val="decimal" w:pos="680"/>
              </w:tabs>
              <w:rPr>
                <w:sz w:val="22"/>
              </w:rPr>
            </w:pPr>
            <w:r w:rsidRPr="00883399">
              <w:rPr>
                <w:sz w:val="22"/>
              </w:rPr>
              <w:t>40.3</w:t>
            </w:r>
          </w:p>
        </w:tc>
        <w:tc>
          <w:tcPr>
            <w:tcW w:w="939" w:type="pct"/>
            <w:tcBorders>
              <w:top w:val="single" w:sz="12" w:space="0" w:color="auto"/>
            </w:tcBorders>
            <w:shd w:val="clear" w:color="auto" w:fill="auto"/>
          </w:tcPr>
          <w:p w14:paraId="3DC19FFE" w14:textId="77777777" w:rsidR="00F656F7" w:rsidRPr="00883399" w:rsidRDefault="00F656F7" w:rsidP="00F656F7">
            <w:pPr>
              <w:pStyle w:val="Tabletext0"/>
              <w:tabs>
                <w:tab w:val="decimal" w:pos="680"/>
              </w:tabs>
              <w:rPr>
                <w:sz w:val="22"/>
              </w:rPr>
            </w:pPr>
            <w:r w:rsidRPr="00883399">
              <w:rPr>
                <w:sz w:val="22"/>
              </w:rPr>
              <w:t>21.5</w:t>
            </w:r>
          </w:p>
        </w:tc>
        <w:tc>
          <w:tcPr>
            <w:tcW w:w="994" w:type="pct"/>
            <w:tcBorders>
              <w:top w:val="single" w:sz="12" w:space="0" w:color="auto"/>
            </w:tcBorders>
            <w:shd w:val="clear" w:color="auto" w:fill="auto"/>
          </w:tcPr>
          <w:p w14:paraId="4823992F" w14:textId="77777777" w:rsidR="00F656F7" w:rsidRPr="00883399" w:rsidRDefault="00F656F7" w:rsidP="00F656F7">
            <w:pPr>
              <w:pStyle w:val="Tabletext0"/>
              <w:tabs>
                <w:tab w:val="decimal" w:pos="780"/>
              </w:tabs>
              <w:rPr>
                <w:sz w:val="22"/>
              </w:rPr>
            </w:pPr>
            <w:r w:rsidRPr="00883399">
              <w:rPr>
                <w:sz w:val="22"/>
              </w:rPr>
              <w:t>0</w:t>
            </w:r>
          </w:p>
        </w:tc>
      </w:tr>
      <w:tr w:rsidR="00F656F7" w:rsidRPr="00883399" w14:paraId="55D2DC67" w14:textId="77777777" w:rsidTr="00F656F7">
        <w:tc>
          <w:tcPr>
            <w:tcW w:w="424" w:type="pct"/>
            <w:shd w:val="clear" w:color="auto" w:fill="auto"/>
          </w:tcPr>
          <w:p w14:paraId="78915305" w14:textId="77777777" w:rsidR="00F656F7" w:rsidRPr="00883399" w:rsidRDefault="00F656F7" w:rsidP="00F656F7">
            <w:pPr>
              <w:pStyle w:val="Tabletext0"/>
              <w:rPr>
                <w:sz w:val="22"/>
              </w:rPr>
            </w:pPr>
            <w:r w:rsidRPr="00883399">
              <w:rPr>
                <w:sz w:val="22"/>
              </w:rPr>
              <w:t>2</w:t>
            </w:r>
          </w:p>
        </w:tc>
        <w:tc>
          <w:tcPr>
            <w:tcW w:w="768" w:type="pct"/>
            <w:shd w:val="clear" w:color="auto" w:fill="auto"/>
          </w:tcPr>
          <w:p w14:paraId="7A2AEBA9" w14:textId="77777777" w:rsidR="00F656F7" w:rsidRPr="00883399" w:rsidRDefault="00F656F7" w:rsidP="00F656F7">
            <w:pPr>
              <w:pStyle w:val="Tabletext0"/>
              <w:rPr>
                <w:rFonts w:eastAsiaTheme="minorHAnsi" w:cstheme="minorBidi"/>
                <w:sz w:val="22"/>
              </w:rPr>
            </w:pPr>
            <w:r w:rsidRPr="00883399">
              <w:rPr>
                <w:sz w:val="22"/>
              </w:rPr>
              <w:t>Paper and cardboard</w:t>
            </w:r>
          </w:p>
        </w:tc>
        <w:tc>
          <w:tcPr>
            <w:tcW w:w="938" w:type="pct"/>
            <w:shd w:val="clear" w:color="auto" w:fill="auto"/>
          </w:tcPr>
          <w:p w14:paraId="5B9FB48B" w14:textId="77777777" w:rsidR="00F656F7" w:rsidRPr="00883399" w:rsidRDefault="00F656F7" w:rsidP="00F656F7">
            <w:pPr>
              <w:pStyle w:val="Tabletext0"/>
              <w:tabs>
                <w:tab w:val="decimal" w:pos="680"/>
              </w:tabs>
              <w:rPr>
                <w:sz w:val="22"/>
              </w:rPr>
            </w:pPr>
            <w:r w:rsidRPr="00883399">
              <w:rPr>
                <w:sz w:val="22"/>
              </w:rPr>
              <w:t>13</w:t>
            </w:r>
          </w:p>
        </w:tc>
        <w:tc>
          <w:tcPr>
            <w:tcW w:w="938" w:type="pct"/>
            <w:shd w:val="clear" w:color="auto" w:fill="auto"/>
          </w:tcPr>
          <w:p w14:paraId="18DE25F8" w14:textId="77777777" w:rsidR="00F656F7" w:rsidRPr="00883399" w:rsidRDefault="00F656F7" w:rsidP="00F656F7">
            <w:pPr>
              <w:pStyle w:val="Tabletext0"/>
              <w:tabs>
                <w:tab w:val="decimal" w:pos="680"/>
              </w:tabs>
              <w:rPr>
                <w:sz w:val="22"/>
              </w:rPr>
            </w:pPr>
            <w:r w:rsidRPr="00883399">
              <w:rPr>
                <w:sz w:val="22"/>
              </w:rPr>
              <w:t>15.0</w:t>
            </w:r>
          </w:p>
        </w:tc>
        <w:tc>
          <w:tcPr>
            <w:tcW w:w="939" w:type="pct"/>
            <w:shd w:val="clear" w:color="auto" w:fill="auto"/>
          </w:tcPr>
          <w:p w14:paraId="1D635D08" w14:textId="77777777" w:rsidR="00F656F7" w:rsidRPr="00883399" w:rsidRDefault="00F656F7" w:rsidP="00F656F7">
            <w:pPr>
              <w:pStyle w:val="Tabletext0"/>
              <w:tabs>
                <w:tab w:val="decimal" w:pos="680"/>
              </w:tabs>
              <w:rPr>
                <w:sz w:val="22"/>
              </w:rPr>
            </w:pPr>
            <w:r w:rsidRPr="00883399">
              <w:rPr>
                <w:sz w:val="22"/>
              </w:rPr>
              <w:t>15.5</w:t>
            </w:r>
          </w:p>
        </w:tc>
        <w:tc>
          <w:tcPr>
            <w:tcW w:w="994" w:type="pct"/>
            <w:shd w:val="clear" w:color="auto" w:fill="auto"/>
          </w:tcPr>
          <w:p w14:paraId="07F4CFC1" w14:textId="77777777" w:rsidR="00F656F7" w:rsidRPr="00883399" w:rsidRDefault="00F656F7" w:rsidP="00F656F7">
            <w:pPr>
              <w:pStyle w:val="Tabletext0"/>
              <w:tabs>
                <w:tab w:val="decimal" w:pos="780"/>
              </w:tabs>
              <w:rPr>
                <w:sz w:val="22"/>
              </w:rPr>
            </w:pPr>
            <w:r w:rsidRPr="00883399">
              <w:rPr>
                <w:sz w:val="22"/>
              </w:rPr>
              <w:t>3</w:t>
            </w:r>
          </w:p>
        </w:tc>
      </w:tr>
      <w:tr w:rsidR="00F656F7" w:rsidRPr="00883399" w14:paraId="56BD89B8" w14:textId="77777777" w:rsidTr="00F656F7">
        <w:trPr>
          <w:cantSplit/>
        </w:trPr>
        <w:tc>
          <w:tcPr>
            <w:tcW w:w="424" w:type="pct"/>
            <w:shd w:val="clear" w:color="auto" w:fill="auto"/>
          </w:tcPr>
          <w:p w14:paraId="155E4B97" w14:textId="77777777" w:rsidR="00F656F7" w:rsidRPr="00883399" w:rsidRDefault="00F656F7" w:rsidP="00F656F7">
            <w:pPr>
              <w:pStyle w:val="Tabletext0"/>
              <w:rPr>
                <w:sz w:val="22"/>
              </w:rPr>
            </w:pPr>
            <w:r w:rsidRPr="00883399">
              <w:rPr>
                <w:sz w:val="22"/>
              </w:rPr>
              <w:t>3</w:t>
            </w:r>
          </w:p>
        </w:tc>
        <w:tc>
          <w:tcPr>
            <w:tcW w:w="768" w:type="pct"/>
            <w:shd w:val="clear" w:color="auto" w:fill="auto"/>
          </w:tcPr>
          <w:p w14:paraId="5D86901C" w14:textId="77777777" w:rsidR="00F656F7" w:rsidRPr="00883399" w:rsidRDefault="00F656F7" w:rsidP="00F656F7">
            <w:pPr>
              <w:pStyle w:val="Tabletext0"/>
              <w:rPr>
                <w:sz w:val="22"/>
              </w:rPr>
            </w:pPr>
            <w:r w:rsidRPr="00883399">
              <w:rPr>
                <w:sz w:val="22"/>
              </w:rPr>
              <w:t>Garden and park</w:t>
            </w:r>
          </w:p>
        </w:tc>
        <w:tc>
          <w:tcPr>
            <w:tcW w:w="938" w:type="pct"/>
            <w:shd w:val="clear" w:color="auto" w:fill="auto"/>
          </w:tcPr>
          <w:p w14:paraId="0E535B1D" w14:textId="77777777" w:rsidR="00F656F7" w:rsidRPr="00883399" w:rsidRDefault="00F656F7" w:rsidP="00F656F7">
            <w:pPr>
              <w:pStyle w:val="Tabletext0"/>
              <w:tabs>
                <w:tab w:val="decimal" w:pos="680"/>
              </w:tabs>
              <w:rPr>
                <w:sz w:val="22"/>
              </w:rPr>
            </w:pPr>
            <w:r w:rsidRPr="00883399">
              <w:rPr>
                <w:sz w:val="22"/>
              </w:rPr>
              <w:t>16.5</w:t>
            </w:r>
          </w:p>
        </w:tc>
        <w:tc>
          <w:tcPr>
            <w:tcW w:w="938" w:type="pct"/>
            <w:shd w:val="clear" w:color="auto" w:fill="auto"/>
          </w:tcPr>
          <w:p w14:paraId="2EDB3251" w14:textId="77777777" w:rsidR="00F656F7" w:rsidRPr="00883399" w:rsidRDefault="00F656F7" w:rsidP="00F656F7">
            <w:pPr>
              <w:pStyle w:val="Tabletext0"/>
              <w:tabs>
                <w:tab w:val="decimal" w:pos="680"/>
              </w:tabs>
              <w:rPr>
                <w:sz w:val="22"/>
              </w:rPr>
            </w:pPr>
            <w:r w:rsidRPr="00883399">
              <w:rPr>
                <w:sz w:val="22"/>
              </w:rPr>
              <w:t>3.9</w:t>
            </w:r>
          </w:p>
        </w:tc>
        <w:tc>
          <w:tcPr>
            <w:tcW w:w="939" w:type="pct"/>
            <w:shd w:val="clear" w:color="auto" w:fill="auto"/>
          </w:tcPr>
          <w:p w14:paraId="2A260B8B" w14:textId="77777777" w:rsidR="00F656F7" w:rsidRPr="00883399" w:rsidRDefault="00F656F7" w:rsidP="00F656F7">
            <w:pPr>
              <w:pStyle w:val="Tabletext0"/>
              <w:tabs>
                <w:tab w:val="decimal" w:pos="680"/>
              </w:tabs>
              <w:rPr>
                <w:sz w:val="22"/>
              </w:rPr>
            </w:pPr>
            <w:r w:rsidRPr="00883399">
              <w:rPr>
                <w:sz w:val="22"/>
              </w:rPr>
              <w:t>4</w:t>
            </w:r>
          </w:p>
        </w:tc>
        <w:tc>
          <w:tcPr>
            <w:tcW w:w="994" w:type="pct"/>
            <w:shd w:val="clear" w:color="auto" w:fill="auto"/>
          </w:tcPr>
          <w:p w14:paraId="10959D3B" w14:textId="77777777" w:rsidR="00F656F7" w:rsidRPr="00883399" w:rsidRDefault="00F656F7" w:rsidP="00F656F7">
            <w:pPr>
              <w:pStyle w:val="Tabletext0"/>
              <w:tabs>
                <w:tab w:val="decimal" w:pos="780"/>
              </w:tabs>
              <w:rPr>
                <w:sz w:val="22"/>
              </w:rPr>
            </w:pPr>
            <w:r w:rsidRPr="00883399">
              <w:rPr>
                <w:sz w:val="22"/>
              </w:rPr>
              <w:t>2</w:t>
            </w:r>
          </w:p>
        </w:tc>
      </w:tr>
      <w:tr w:rsidR="00F656F7" w:rsidRPr="00883399" w14:paraId="5D5418B8" w14:textId="77777777" w:rsidTr="00F656F7">
        <w:tc>
          <w:tcPr>
            <w:tcW w:w="424" w:type="pct"/>
            <w:shd w:val="clear" w:color="auto" w:fill="auto"/>
          </w:tcPr>
          <w:p w14:paraId="405934E8" w14:textId="77777777" w:rsidR="00F656F7" w:rsidRPr="00883399" w:rsidRDefault="00F656F7" w:rsidP="00F656F7">
            <w:pPr>
              <w:pStyle w:val="Tabletext0"/>
              <w:rPr>
                <w:sz w:val="22"/>
              </w:rPr>
            </w:pPr>
            <w:r w:rsidRPr="00883399">
              <w:rPr>
                <w:sz w:val="22"/>
              </w:rPr>
              <w:t>4</w:t>
            </w:r>
          </w:p>
        </w:tc>
        <w:tc>
          <w:tcPr>
            <w:tcW w:w="768" w:type="pct"/>
            <w:shd w:val="clear" w:color="auto" w:fill="auto"/>
          </w:tcPr>
          <w:p w14:paraId="394F72B0" w14:textId="77777777" w:rsidR="00F656F7" w:rsidRPr="00883399" w:rsidRDefault="00F656F7" w:rsidP="00F656F7">
            <w:pPr>
              <w:pStyle w:val="Tabletext0"/>
              <w:rPr>
                <w:sz w:val="22"/>
              </w:rPr>
            </w:pPr>
            <w:r w:rsidRPr="00883399">
              <w:rPr>
                <w:sz w:val="22"/>
              </w:rPr>
              <w:t>Wood and wood waste</w:t>
            </w:r>
          </w:p>
        </w:tc>
        <w:tc>
          <w:tcPr>
            <w:tcW w:w="938" w:type="pct"/>
            <w:shd w:val="clear" w:color="auto" w:fill="auto"/>
          </w:tcPr>
          <w:p w14:paraId="37EF8B93" w14:textId="77777777" w:rsidR="00F656F7" w:rsidRPr="00883399" w:rsidRDefault="00F656F7" w:rsidP="00F656F7">
            <w:pPr>
              <w:pStyle w:val="Tabletext0"/>
              <w:tabs>
                <w:tab w:val="decimal" w:pos="680"/>
              </w:tabs>
              <w:rPr>
                <w:sz w:val="22"/>
              </w:rPr>
            </w:pPr>
            <w:r w:rsidRPr="00883399">
              <w:rPr>
                <w:sz w:val="22"/>
              </w:rPr>
              <w:t>1</w:t>
            </w:r>
          </w:p>
        </w:tc>
        <w:tc>
          <w:tcPr>
            <w:tcW w:w="938" w:type="pct"/>
            <w:shd w:val="clear" w:color="auto" w:fill="auto"/>
          </w:tcPr>
          <w:p w14:paraId="7BCA64BC" w14:textId="77777777" w:rsidR="00F656F7" w:rsidRPr="00883399" w:rsidRDefault="00F656F7" w:rsidP="00F656F7">
            <w:pPr>
              <w:pStyle w:val="Tabletext0"/>
              <w:tabs>
                <w:tab w:val="decimal" w:pos="680"/>
              </w:tabs>
              <w:rPr>
                <w:sz w:val="22"/>
              </w:rPr>
            </w:pPr>
            <w:r w:rsidRPr="00883399">
              <w:rPr>
                <w:sz w:val="22"/>
              </w:rPr>
              <w:t>1.2</w:t>
            </w:r>
          </w:p>
        </w:tc>
        <w:tc>
          <w:tcPr>
            <w:tcW w:w="939" w:type="pct"/>
            <w:shd w:val="clear" w:color="auto" w:fill="auto"/>
          </w:tcPr>
          <w:p w14:paraId="1E877470" w14:textId="77777777" w:rsidR="00F656F7" w:rsidRPr="00883399" w:rsidRDefault="00F656F7" w:rsidP="00F656F7">
            <w:pPr>
              <w:pStyle w:val="Tabletext0"/>
              <w:tabs>
                <w:tab w:val="decimal" w:pos="680"/>
              </w:tabs>
              <w:rPr>
                <w:sz w:val="22"/>
              </w:rPr>
            </w:pPr>
            <w:r w:rsidRPr="00883399">
              <w:rPr>
                <w:sz w:val="22"/>
              </w:rPr>
              <w:t>12.5</w:t>
            </w:r>
          </w:p>
        </w:tc>
        <w:tc>
          <w:tcPr>
            <w:tcW w:w="994" w:type="pct"/>
            <w:shd w:val="clear" w:color="auto" w:fill="auto"/>
          </w:tcPr>
          <w:p w14:paraId="4D8AB525" w14:textId="77777777" w:rsidR="00F656F7" w:rsidRPr="00883399" w:rsidRDefault="00F656F7" w:rsidP="00F656F7">
            <w:pPr>
              <w:pStyle w:val="Tabletext0"/>
              <w:tabs>
                <w:tab w:val="decimal" w:pos="780"/>
              </w:tabs>
              <w:rPr>
                <w:sz w:val="22"/>
              </w:rPr>
            </w:pPr>
            <w:r w:rsidRPr="00883399">
              <w:rPr>
                <w:sz w:val="22"/>
              </w:rPr>
              <w:t>6</w:t>
            </w:r>
          </w:p>
        </w:tc>
      </w:tr>
      <w:tr w:rsidR="00F656F7" w:rsidRPr="00883399" w14:paraId="701F1A02" w14:textId="77777777" w:rsidTr="00F656F7">
        <w:tc>
          <w:tcPr>
            <w:tcW w:w="424" w:type="pct"/>
            <w:shd w:val="clear" w:color="auto" w:fill="auto"/>
          </w:tcPr>
          <w:p w14:paraId="7E45213C" w14:textId="77777777" w:rsidR="00F656F7" w:rsidRPr="00883399" w:rsidRDefault="00F656F7" w:rsidP="00F656F7">
            <w:pPr>
              <w:pStyle w:val="Tabletext0"/>
              <w:rPr>
                <w:sz w:val="22"/>
              </w:rPr>
            </w:pPr>
            <w:r w:rsidRPr="00883399">
              <w:rPr>
                <w:sz w:val="22"/>
              </w:rPr>
              <w:t>5</w:t>
            </w:r>
          </w:p>
        </w:tc>
        <w:tc>
          <w:tcPr>
            <w:tcW w:w="768" w:type="pct"/>
            <w:shd w:val="clear" w:color="auto" w:fill="auto"/>
          </w:tcPr>
          <w:p w14:paraId="3D18E532" w14:textId="77777777" w:rsidR="00F656F7" w:rsidRPr="00883399" w:rsidRDefault="00F656F7" w:rsidP="00F656F7">
            <w:pPr>
              <w:pStyle w:val="Tabletext0"/>
              <w:rPr>
                <w:sz w:val="22"/>
              </w:rPr>
            </w:pPr>
            <w:r w:rsidRPr="00883399">
              <w:rPr>
                <w:sz w:val="22"/>
              </w:rPr>
              <w:t>Textiles</w:t>
            </w:r>
          </w:p>
        </w:tc>
        <w:tc>
          <w:tcPr>
            <w:tcW w:w="938" w:type="pct"/>
            <w:shd w:val="clear" w:color="auto" w:fill="auto"/>
          </w:tcPr>
          <w:p w14:paraId="7F1D864D" w14:textId="77777777" w:rsidR="00F656F7" w:rsidRPr="00883399" w:rsidRDefault="00F656F7" w:rsidP="00F656F7">
            <w:pPr>
              <w:pStyle w:val="Tabletext0"/>
              <w:tabs>
                <w:tab w:val="decimal" w:pos="680"/>
              </w:tabs>
              <w:rPr>
                <w:sz w:val="22"/>
              </w:rPr>
            </w:pPr>
            <w:r w:rsidRPr="00883399">
              <w:rPr>
                <w:sz w:val="22"/>
              </w:rPr>
              <w:t>1.5</w:t>
            </w:r>
          </w:p>
        </w:tc>
        <w:tc>
          <w:tcPr>
            <w:tcW w:w="938" w:type="pct"/>
            <w:shd w:val="clear" w:color="auto" w:fill="auto"/>
          </w:tcPr>
          <w:p w14:paraId="2AB641B1" w14:textId="77777777" w:rsidR="00F656F7" w:rsidRPr="00883399" w:rsidRDefault="00F656F7" w:rsidP="00F656F7">
            <w:pPr>
              <w:pStyle w:val="Tabletext0"/>
              <w:tabs>
                <w:tab w:val="decimal" w:pos="680"/>
              </w:tabs>
              <w:rPr>
                <w:sz w:val="22"/>
              </w:rPr>
            </w:pPr>
            <w:r w:rsidRPr="00883399">
              <w:rPr>
                <w:sz w:val="22"/>
              </w:rPr>
              <w:t>1.7</w:t>
            </w:r>
          </w:p>
        </w:tc>
        <w:tc>
          <w:tcPr>
            <w:tcW w:w="939" w:type="pct"/>
            <w:shd w:val="clear" w:color="auto" w:fill="auto"/>
          </w:tcPr>
          <w:p w14:paraId="2D02F7BF" w14:textId="77777777" w:rsidR="00F656F7" w:rsidRPr="00883399" w:rsidRDefault="00F656F7" w:rsidP="00F656F7">
            <w:pPr>
              <w:pStyle w:val="Tabletext0"/>
              <w:tabs>
                <w:tab w:val="decimal" w:pos="680"/>
              </w:tabs>
              <w:rPr>
                <w:sz w:val="22"/>
              </w:rPr>
            </w:pPr>
            <w:r w:rsidRPr="00883399">
              <w:rPr>
                <w:sz w:val="22"/>
              </w:rPr>
              <w:t>4</w:t>
            </w:r>
          </w:p>
        </w:tc>
        <w:tc>
          <w:tcPr>
            <w:tcW w:w="994" w:type="pct"/>
            <w:shd w:val="clear" w:color="auto" w:fill="auto"/>
          </w:tcPr>
          <w:p w14:paraId="65E7290F" w14:textId="77777777" w:rsidR="00F656F7" w:rsidRPr="00883399" w:rsidRDefault="00F656F7" w:rsidP="00F656F7">
            <w:pPr>
              <w:pStyle w:val="Tabletext0"/>
              <w:tabs>
                <w:tab w:val="decimal" w:pos="780"/>
              </w:tabs>
              <w:rPr>
                <w:sz w:val="22"/>
              </w:rPr>
            </w:pPr>
            <w:r w:rsidRPr="00883399">
              <w:rPr>
                <w:sz w:val="22"/>
              </w:rPr>
              <w:t>0</w:t>
            </w:r>
          </w:p>
        </w:tc>
      </w:tr>
      <w:tr w:rsidR="00F656F7" w:rsidRPr="00883399" w14:paraId="1F3CA465" w14:textId="77777777" w:rsidTr="00F656F7">
        <w:tc>
          <w:tcPr>
            <w:tcW w:w="424" w:type="pct"/>
            <w:shd w:val="clear" w:color="auto" w:fill="auto"/>
          </w:tcPr>
          <w:p w14:paraId="7435BEB4" w14:textId="77777777" w:rsidR="00F656F7" w:rsidRPr="00883399" w:rsidRDefault="00F656F7" w:rsidP="00F656F7">
            <w:pPr>
              <w:pStyle w:val="Tabletext0"/>
              <w:rPr>
                <w:sz w:val="22"/>
              </w:rPr>
            </w:pPr>
            <w:r w:rsidRPr="00883399">
              <w:rPr>
                <w:sz w:val="22"/>
              </w:rPr>
              <w:lastRenderedPageBreak/>
              <w:t>6</w:t>
            </w:r>
          </w:p>
        </w:tc>
        <w:tc>
          <w:tcPr>
            <w:tcW w:w="768" w:type="pct"/>
            <w:shd w:val="clear" w:color="auto" w:fill="auto"/>
          </w:tcPr>
          <w:p w14:paraId="4CE1E285" w14:textId="77777777" w:rsidR="00F656F7" w:rsidRPr="00883399" w:rsidRDefault="00F656F7" w:rsidP="00F656F7">
            <w:pPr>
              <w:pStyle w:val="Tabletext0"/>
              <w:rPr>
                <w:sz w:val="22"/>
              </w:rPr>
            </w:pPr>
            <w:r w:rsidRPr="00883399">
              <w:rPr>
                <w:sz w:val="22"/>
              </w:rPr>
              <w:t>Sludge</w:t>
            </w:r>
          </w:p>
        </w:tc>
        <w:tc>
          <w:tcPr>
            <w:tcW w:w="938" w:type="pct"/>
            <w:shd w:val="clear" w:color="auto" w:fill="auto"/>
          </w:tcPr>
          <w:p w14:paraId="10BBEE26" w14:textId="77777777" w:rsidR="00F656F7" w:rsidRPr="00883399" w:rsidRDefault="00F656F7" w:rsidP="00F656F7">
            <w:pPr>
              <w:pStyle w:val="Tabletext0"/>
              <w:tabs>
                <w:tab w:val="decimal" w:pos="680"/>
              </w:tabs>
              <w:rPr>
                <w:sz w:val="22"/>
              </w:rPr>
            </w:pPr>
            <w:r w:rsidRPr="00883399">
              <w:rPr>
                <w:sz w:val="22"/>
              </w:rPr>
              <w:t>0</w:t>
            </w:r>
          </w:p>
        </w:tc>
        <w:tc>
          <w:tcPr>
            <w:tcW w:w="938" w:type="pct"/>
            <w:shd w:val="clear" w:color="auto" w:fill="auto"/>
          </w:tcPr>
          <w:p w14:paraId="14ABD584" w14:textId="77777777" w:rsidR="00F656F7" w:rsidRPr="00883399" w:rsidRDefault="00F656F7" w:rsidP="00F656F7">
            <w:pPr>
              <w:pStyle w:val="Tabletext0"/>
              <w:tabs>
                <w:tab w:val="decimal" w:pos="680"/>
              </w:tabs>
              <w:rPr>
                <w:sz w:val="22"/>
              </w:rPr>
            </w:pPr>
            <w:r w:rsidRPr="00883399">
              <w:rPr>
                <w:sz w:val="22"/>
              </w:rPr>
              <w:t>0</w:t>
            </w:r>
          </w:p>
        </w:tc>
        <w:tc>
          <w:tcPr>
            <w:tcW w:w="939" w:type="pct"/>
            <w:shd w:val="clear" w:color="auto" w:fill="auto"/>
          </w:tcPr>
          <w:p w14:paraId="1F2AD4CA" w14:textId="77777777" w:rsidR="00F656F7" w:rsidRPr="00883399" w:rsidRDefault="00F656F7" w:rsidP="00F656F7">
            <w:pPr>
              <w:pStyle w:val="Tabletext0"/>
              <w:tabs>
                <w:tab w:val="decimal" w:pos="680"/>
              </w:tabs>
              <w:rPr>
                <w:sz w:val="22"/>
              </w:rPr>
            </w:pPr>
            <w:r w:rsidRPr="00883399">
              <w:rPr>
                <w:sz w:val="22"/>
              </w:rPr>
              <w:t>1.5</w:t>
            </w:r>
          </w:p>
        </w:tc>
        <w:tc>
          <w:tcPr>
            <w:tcW w:w="994" w:type="pct"/>
            <w:shd w:val="clear" w:color="auto" w:fill="auto"/>
          </w:tcPr>
          <w:p w14:paraId="493206D3" w14:textId="77777777" w:rsidR="00F656F7" w:rsidRPr="00883399" w:rsidRDefault="00F656F7" w:rsidP="00F656F7">
            <w:pPr>
              <w:pStyle w:val="Tabletext0"/>
              <w:tabs>
                <w:tab w:val="decimal" w:pos="780"/>
              </w:tabs>
              <w:rPr>
                <w:sz w:val="22"/>
              </w:rPr>
            </w:pPr>
            <w:r w:rsidRPr="00883399">
              <w:rPr>
                <w:sz w:val="22"/>
              </w:rPr>
              <w:t>0</w:t>
            </w:r>
          </w:p>
        </w:tc>
      </w:tr>
      <w:tr w:rsidR="00F656F7" w:rsidRPr="00883399" w14:paraId="5F34A56A" w14:textId="77777777" w:rsidTr="00F656F7">
        <w:tc>
          <w:tcPr>
            <w:tcW w:w="424" w:type="pct"/>
            <w:shd w:val="clear" w:color="auto" w:fill="auto"/>
          </w:tcPr>
          <w:p w14:paraId="747B8510" w14:textId="77777777" w:rsidR="00F656F7" w:rsidRPr="00883399" w:rsidRDefault="00F656F7" w:rsidP="00F656F7">
            <w:pPr>
              <w:pStyle w:val="Tabletext0"/>
              <w:rPr>
                <w:sz w:val="22"/>
              </w:rPr>
            </w:pPr>
            <w:r w:rsidRPr="00883399">
              <w:rPr>
                <w:sz w:val="22"/>
              </w:rPr>
              <w:t>7</w:t>
            </w:r>
          </w:p>
        </w:tc>
        <w:tc>
          <w:tcPr>
            <w:tcW w:w="768" w:type="pct"/>
            <w:shd w:val="clear" w:color="auto" w:fill="auto"/>
          </w:tcPr>
          <w:p w14:paraId="41ACB6DD" w14:textId="77777777" w:rsidR="00F656F7" w:rsidRPr="00883399" w:rsidRDefault="00F656F7" w:rsidP="00F656F7">
            <w:pPr>
              <w:pStyle w:val="Tabletext0"/>
              <w:rPr>
                <w:sz w:val="22"/>
              </w:rPr>
            </w:pPr>
            <w:r w:rsidRPr="00883399">
              <w:rPr>
                <w:sz w:val="22"/>
              </w:rPr>
              <w:t>Nappies</w:t>
            </w:r>
          </w:p>
        </w:tc>
        <w:tc>
          <w:tcPr>
            <w:tcW w:w="938" w:type="pct"/>
            <w:shd w:val="clear" w:color="auto" w:fill="auto"/>
          </w:tcPr>
          <w:p w14:paraId="19F02676" w14:textId="77777777" w:rsidR="00F656F7" w:rsidRPr="00883399" w:rsidRDefault="00F656F7" w:rsidP="00F656F7">
            <w:pPr>
              <w:pStyle w:val="Tabletext0"/>
              <w:tabs>
                <w:tab w:val="decimal" w:pos="680"/>
              </w:tabs>
              <w:rPr>
                <w:sz w:val="22"/>
              </w:rPr>
            </w:pPr>
            <w:r w:rsidRPr="00883399">
              <w:rPr>
                <w:sz w:val="22"/>
              </w:rPr>
              <w:t>4</w:t>
            </w:r>
          </w:p>
        </w:tc>
        <w:tc>
          <w:tcPr>
            <w:tcW w:w="938" w:type="pct"/>
            <w:shd w:val="clear" w:color="auto" w:fill="auto"/>
          </w:tcPr>
          <w:p w14:paraId="2D003F1B" w14:textId="77777777" w:rsidR="00F656F7" w:rsidRPr="00883399" w:rsidRDefault="00F656F7" w:rsidP="00F656F7">
            <w:pPr>
              <w:pStyle w:val="Tabletext0"/>
              <w:tabs>
                <w:tab w:val="decimal" w:pos="680"/>
              </w:tabs>
              <w:rPr>
                <w:sz w:val="22"/>
              </w:rPr>
            </w:pPr>
            <w:r w:rsidRPr="00883399">
              <w:rPr>
                <w:sz w:val="22"/>
              </w:rPr>
              <w:t>4.6</w:t>
            </w:r>
          </w:p>
        </w:tc>
        <w:tc>
          <w:tcPr>
            <w:tcW w:w="939" w:type="pct"/>
            <w:shd w:val="clear" w:color="auto" w:fill="auto"/>
          </w:tcPr>
          <w:p w14:paraId="7D81B829" w14:textId="77777777" w:rsidR="00F656F7" w:rsidRPr="00883399" w:rsidRDefault="00F656F7" w:rsidP="00F656F7">
            <w:pPr>
              <w:pStyle w:val="Tabletext0"/>
              <w:tabs>
                <w:tab w:val="decimal" w:pos="680"/>
              </w:tabs>
              <w:rPr>
                <w:sz w:val="22"/>
              </w:rPr>
            </w:pPr>
            <w:r w:rsidRPr="00883399">
              <w:rPr>
                <w:sz w:val="22"/>
              </w:rPr>
              <w:t>0</w:t>
            </w:r>
          </w:p>
        </w:tc>
        <w:tc>
          <w:tcPr>
            <w:tcW w:w="994" w:type="pct"/>
            <w:shd w:val="clear" w:color="auto" w:fill="auto"/>
          </w:tcPr>
          <w:p w14:paraId="7482F66D" w14:textId="77777777" w:rsidR="00F656F7" w:rsidRPr="00883399" w:rsidRDefault="00F656F7" w:rsidP="00F656F7">
            <w:pPr>
              <w:pStyle w:val="Tabletext0"/>
              <w:tabs>
                <w:tab w:val="decimal" w:pos="780"/>
              </w:tabs>
              <w:rPr>
                <w:sz w:val="22"/>
              </w:rPr>
            </w:pPr>
            <w:r w:rsidRPr="00883399">
              <w:rPr>
                <w:sz w:val="22"/>
              </w:rPr>
              <w:t>0</w:t>
            </w:r>
          </w:p>
        </w:tc>
      </w:tr>
      <w:tr w:rsidR="00F656F7" w:rsidRPr="00883399" w14:paraId="4C166D64" w14:textId="77777777" w:rsidTr="00F656F7">
        <w:tc>
          <w:tcPr>
            <w:tcW w:w="424" w:type="pct"/>
            <w:tcBorders>
              <w:bottom w:val="single" w:sz="4" w:space="0" w:color="auto"/>
            </w:tcBorders>
            <w:shd w:val="clear" w:color="auto" w:fill="auto"/>
          </w:tcPr>
          <w:p w14:paraId="01BAAA0E" w14:textId="77777777" w:rsidR="00F656F7" w:rsidRPr="00883399" w:rsidRDefault="00F656F7" w:rsidP="00F656F7">
            <w:pPr>
              <w:pStyle w:val="Tabletext0"/>
              <w:rPr>
                <w:sz w:val="22"/>
              </w:rPr>
            </w:pPr>
            <w:r w:rsidRPr="00883399">
              <w:rPr>
                <w:sz w:val="22"/>
              </w:rPr>
              <w:t>8</w:t>
            </w:r>
          </w:p>
        </w:tc>
        <w:tc>
          <w:tcPr>
            <w:tcW w:w="768" w:type="pct"/>
            <w:tcBorders>
              <w:bottom w:val="single" w:sz="4" w:space="0" w:color="auto"/>
            </w:tcBorders>
            <w:shd w:val="clear" w:color="auto" w:fill="auto"/>
          </w:tcPr>
          <w:p w14:paraId="711A86B1" w14:textId="77777777" w:rsidR="00F656F7" w:rsidRPr="00883399" w:rsidRDefault="00F656F7" w:rsidP="00F656F7">
            <w:pPr>
              <w:pStyle w:val="Tabletext0"/>
              <w:rPr>
                <w:sz w:val="22"/>
              </w:rPr>
            </w:pPr>
            <w:r w:rsidRPr="00883399">
              <w:rPr>
                <w:sz w:val="22"/>
              </w:rPr>
              <w:t>Rubber and leather</w:t>
            </w:r>
          </w:p>
        </w:tc>
        <w:tc>
          <w:tcPr>
            <w:tcW w:w="938" w:type="pct"/>
            <w:tcBorders>
              <w:bottom w:val="single" w:sz="4" w:space="0" w:color="auto"/>
            </w:tcBorders>
            <w:shd w:val="clear" w:color="auto" w:fill="auto"/>
          </w:tcPr>
          <w:p w14:paraId="21AE2991" w14:textId="77777777" w:rsidR="00F656F7" w:rsidRPr="00883399" w:rsidRDefault="00F656F7" w:rsidP="00F656F7">
            <w:pPr>
              <w:pStyle w:val="Tabletext0"/>
              <w:tabs>
                <w:tab w:val="decimal" w:pos="680"/>
              </w:tabs>
              <w:rPr>
                <w:sz w:val="22"/>
              </w:rPr>
            </w:pPr>
            <w:r w:rsidRPr="00883399">
              <w:rPr>
                <w:sz w:val="22"/>
              </w:rPr>
              <w:t>1</w:t>
            </w:r>
          </w:p>
        </w:tc>
        <w:tc>
          <w:tcPr>
            <w:tcW w:w="938" w:type="pct"/>
            <w:tcBorders>
              <w:bottom w:val="single" w:sz="4" w:space="0" w:color="auto"/>
            </w:tcBorders>
            <w:shd w:val="clear" w:color="auto" w:fill="auto"/>
          </w:tcPr>
          <w:p w14:paraId="317D746C" w14:textId="77777777" w:rsidR="00F656F7" w:rsidRPr="00883399" w:rsidRDefault="00F656F7" w:rsidP="00F656F7">
            <w:pPr>
              <w:pStyle w:val="Tabletext0"/>
              <w:tabs>
                <w:tab w:val="decimal" w:pos="680"/>
              </w:tabs>
              <w:rPr>
                <w:sz w:val="22"/>
              </w:rPr>
            </w:pPr>
            <w:r w:rsidRPr="00883399">
              <w:rPr>
                <w:sz w:val="22"/>
              </w:rPr>
              <w:t>1.2</w:t>
            </w:r>
          </w:p>
        </w:tc>
        <w:tc>
          <w:tcPr>
            <w:tcW w:w="939" w:type="pct"/>
            <w:tcBorders>
              <w:bottom w:val="single" w:sz="4" w:space="0" w:color="auto"/>
            </w:tcBorders>
            <w:shd w:val="clear" w:color="auto" w:fill="auto"/>
          </w:tcPr>
          <w:p w14:paraId="34E8176C" w14:textId="77777777" w:rsidR="00F656F7" w:rsidRPr="00883399" w:rsidRDefault="00F656F7" w:rsidP="00F656F7">
            <w:pPr>
              <w:pStyle w:val="Tabletext0"/>
              <w:tabs>
                <w:tab w:val="decimal" w:pos="680"/>
              </w:tabs>
              <w:rPr>
                <w:sz w:val="22"/>
              </w:rPr>
            </w:pPr>
            <w:r w:rsidRPr="00883399">
              <w:rPr>
                <w:sz w:val="22"/>
              </w:rPr>
              <w:t>3.5</w:t>
            </w:r>
          </w:p>
        </w:tc>
        <w:tc>
          <w:tcPr>
            <w:tcW w:w="994" w:type="pct"/>
            <w:tcBorders>
              <w:bottom w:val="single" w:sz="4" w:space="0" w:color="auto"/>
            </w:tcBorders>
            <w:shd w:val="clear" w:color="auto" w:fill="auto"/>
          </w:tcPr>
          <w:p w14:paraId="46D748F3" w14:textId="77777777" w:rsidR="00F656F7" w:rsidRPr="00883399" w:rsidRDefault="00F656F7" w:rsidP="00F656F7">
            <w:pPr>
              <w:pStyle w:val="Tabletext0"/>
              <w:tabs>
                <w:tab w:val="decimal" w:pos="780"/>
              </w:tabs>
              <w:rPr>
                <w:sz w:val="22"/>
              </w:rPr>
            </w:pPr>
            <w:r w:rsidRPr="00883399">
              <w:rPr>
                <w:sz w:val="22"/>
              </w:rPr>
              <w:t>0</w:t>
            </w:r>
          </w:p>
        </w:tc>
      </w:tr>
      <w:tr w:rsidR="00F656F7" w:rsidRPr="00883399" w14:paraId="5C2EC98F" w14:textId="77777777" w:rsidTr="00F656F7">
        <w:tc>
          <w:tcPr>
            <w:tcW w:w="424" w:type="pct"/>
            <w:tcBorders>
              <w:bottom w:val="single" w:sz="12" w:space="0" w:color="auto"/>
            </w:tcBorders>
            <w:shd w:val="clear" w:color="auto" w:fill="auto"/>
          </w:tcPr>
          <w:p w14:paraId="136F6A60" w14:textId="77777777" w:rsidR="00F656F7" w:rsidRPr="00883399" w:rsidRDefault="00F656F7" w:rsidP="00F656F7">
            <w:pPr>
              <w:pStyle w:val="Tabletext0"/>
              <w:rPr>
                <w:sz w:val="22"/>
              </w:rPr>
            </w:pPr>
            <w:r w:rsidRPr="00883399">
              <w:rPr>
                <w:sz w:val="22"/>
              </w:rPr>
              <w:t>9</w:t>
            </w:r>
          </w:p>
        </w:tc>
        <w:tc>
          <w:tcPr>
            <w:tcW w:w="768" w:type="pct"/>
            <w:tcBorders>
              <w:bottom w:val="single" w:sz="12" w:space="0" w:color="auto"/>
            </w:tcBorders>
            <w:shd w:val="clear" w:color="auto" w:fill="auto"/>
          </w:tcPr>
          <w:p w14:paraId="34509E92" w14:textId="77777777" w:rsidR="00F656F7" w:rsidRPr="00883399" w:rsidRDefault="00F656F7" w:rsidP="00F656F7">
            <w:pPr>
              <w:pStyle w:val="Tabletext0"/>
              <w:rPr>
                <w:rFonts w:eastAsiaTheme="minorHAnsi" w:cstheme="minorBidi"/>
                <w:sz w:val="22"/>
              </w:rPr>
            </w:pPr>
            <w:r w:rsidRPr="00883399">
              <w:rPr>
                <w:sz w:val="22"/>
              </w:rPr>
              <w:t>Inert waste</w:t>
            </w:r>
          </w:p>
        </w:tc>
        <w:tc>
          <w:tcPr>
            <w:tcW w:w="938" w:type="pct"/>
            <w:tcBorders>
              <w:bottom w:val="single" w:sz="12" w:space="0" w:color="auto"/>
            </w:tcBorders>
            <w:shd w:val="clear" w:color="auto" w:fill="auto"/>
          </w:tcPr>
          <w:p w14:paraId="13E01BA3" w14:textId="77777777" w:rsidR="00F656F7" w:rsidRPr="00883399" w:rsidRDefault="00F656F7" w:rsidP="00F656F7">
            <w:pPr>
              <w:pStyle w:val="Tabletext0"/>
              <w:tabs>
                <w:tab w:val="decimal" w:pos="680"/>
              </w:tabs>
              <w:rPr>
                <w:sz w:val="22"/>
              </w:rPr>
            </w:pPr>
            <w:r w:rsidRPr="00883399">
              <w:rPr>
                <w:sz w:val="22"/>
              </w:rPr>
              <w:t>28</w:t>
            </w:r>
          </w:p>
        </w:tc>
        <w:tc>
          <w:tcPr>
            <w:tcW w:w="938" w:type="pct"/>
            <w:tcBorders>
              <w:bottom w:val="single" w:sz="12" w:space="0" w:color="auto"/>
            </w:tcBorders>
            <w:shd w:val="clear" w:color="auto" w:fill="auto"/>
          </w:tcPr>
          <w:p w14:paraId="1790F277" w14:textId="77777777" w:rsidR="00F656F7" w:rsidRPr="00883399" w:rsidRDefault="00F656F7" w:rsidP="00F656F7">
            <w:pPr>
              <w:pStyle w:val="Tabletext0"/>
              <w:tabs>
                <w:tab w:val="decimal" w:pos="680"/>
              </w:tabs>
              <w:rPr>
                <w:sz w:val="22"/>
              </w:rPr>
            </w:pPr>
            <w:r w:rsidRPr="00883399">
              <w:rPr>
                <w:sz w:val="22"/>
              </w:rPr>
              <w:t>32.1</w:t>
            </w:r>
          </w:p>
        </w:tc>
        <w:tc>
          <w:tcPr>
            <w:tcW w:w="939" w:type="pct"/>
            <w:tcBorders>
              <w:bottom w:val="single" w:sz="12" w:space="0" w:color="auto"/>
            </w:tcBorders>
            <w:shd w:val="clear" w:color="auto" w:fill="auto"/>
          </w:tcPr>
          <w:p w14:paraId="2EB28630" w14:textId="77777777" w:rsidR="00F656F7" w:rsidRPr="00883399" w:rsidRDefault="00F656F7" w:rsidP="00F656F7">
            <w:pPr>
              <w:pStyle w:val="Tabletext0"/>
              <w:tabs>
                <w:tab w:val="decimal" w:pos="680"/>
              </w:tabs>
              <w:rPr>
                <w:sz w:val="22"/>
              </w:rPr>
            </w:pPr>
            <w:r w:rsidRPr="00883399">
              <w:rPr>
                <w:sz w:val="22"/>
              </w:rPr>
              <w:t>37.5</w:t>
            </w:r>
          </w:p>
        </w:tc>
        <w:tc>
          <w:tcPr>
            <w:tcW w:w="994" w:type="pct"/>
            <w:tcBorders>
              <w:bottom w:val="single" w:sz="12" w:space="0" w:color="auto"/>
            </w:tcBorders>
            <w:shd w:val="clear" w:color="auto" w:fill="auto"/>
          </w:tcPr>
          <w:p w14:paraId="11D2B9CE" w14:textId="77777777" w:rsidR="00F656F7" w:rsidRPr="00883399" w:rsidRDefault="00F656F7" w:rsidP="00F656F7">
            <w:pPr>
              <w:pStyle w:val="Tabletext0"/>
              <w:tabs>
                <w:tab w:val="decimal" w:pos="780"/>
              </w:tabs>
              <w:rPr>
                <w:sz w:val="22"/>
              </w:rPr>
            </w:pPr>
            <w:r w:rsidRPr="00883399">
              <w:rPr>
                <w:sz w:val="22"/>
              </w:rPr>
              <w:t>89</w:t>
            </w:r>
          </w:p>
        </w:tc>
      </w:tr>
    </w:tbl>
    <w:p w14:paraId="09F755DC" w14:textId="77777777" w:rsidR="00F656F7" w:rsidRPr="00883399" w:rsidRDefault="00F656F7" w:rsidP="00F656F7">
      <w:pPr>
        <w:pStyle w:val="subsection"/>
        <w:rPr>
          <w:sz w:val="24"/>
        </w:rPr>
      </w:pPr>
      <w:r w:rsidRPr="00883399">
        <w:rPr>
          <w:sz w:val="24"/>
        </w:rPr>
        <w:tab/>
        <w:t>(3)</w:t>
      </w:r>
      <w:r w:rsidRPr="00883399">
        <w:rPr>
          <w:sz w:val="24"/>
        </w:rPr>
        <w:tab/>
        <w:t>If the licence or other authorisation authorising the operation of the landfill restricts the waste mix types (</w:t>
      </w:r>
      <w:r w:rsidRPr="00883399">
        <w:rPr>
          <w:b/>
          <w:i/>
          <w:sz w:val="24"/>
        </w:rPr>
        <w:t>restricted waste mix type</w:t>
      </w:r>
      <w:r w:rsidRPr="00883399">
        <w:rPr>
          <w:sz w:val="24"/>
        </w:rPr>
        <w:t>) that may be received at the landfill, the percentage of the total waste volume for each waste mix type mentioned in column 1 of an item of the following table (appearing immediately before the example) must be estimated:</w:t>
      </w:r>
    </w:p>
    <w:p w14:paraId="70A58367" w14:textId="77777777" w:rsidR="00F656F7" w:rsidRPr="00883399" w:rsidRDefault="00F656F7" w:rsidP="00F656F7">
      <w:pPr>
        <w:pStyle w:val="paragraph"/>
        <w:rPr>
          <w:sz w:val="24"/>
        </w:rPr>
      </w:pPr>
      <w:r w:rsidRPr="00883399">
        <w:rPr>
          <w:sz w:val="24"/>
        </w:rPr>
        <w:tab/>
        <w:t>(a)</w:t>
      </w:r>
      <w:r w:rsidRPr="00883399">
        <w:rPr>
          <w:sz w:val="24"/>
        </w:rPr>
        <w:tab/>
        <w:t>for a restricted waste mix type—by using the maximum permitted tonnage of the restricted waste mix type received at the landfill, as a percentage of the total waste received at the landfill; and</w:t>
      </w:r>
    </w:p>
    <w:p w14:paraId="18AF0640" w14:textId="77777777" w:rsidR="00F656F7" w:rsidRPr="00883399" w:rsidRDefault="00F656F7" w:rsidP="00F656F7">
      <w:pPr>
        <w:pStyle w:val="paragraph"/>
        <w:rPr>
          <w:sz w:val="24"/>
        </w:rPr>
      </w:pPr>
      <w:r w:rsidRPr="00883399">
        <w:rPr>
          <w:sz w:val="24"/>
        </w:rPr>
        <w:tab/>
        <w:t>(b)</w:t>
      </w:r>
      <w:r w:rsidRPr="00883399">
        <w:rPr>
          <w:sz w:val="24"/>
        </w:rPr>
        <w:tab/>
        <w:t>for each waste mix type that is not a restricted waste mix type (</w:t>
      </w:r>
      <w:r w:rsidRPr="00883399">
        <w:rPr>
          <w:b/>
          <w:i/>
          <w:sz w:val="24"/>
        </w:rPr>
        <w:t>unrestricted waste mix type</w:t>
      </w:r>
      <w:r w:rsidRPr="00883399">
        <w:rPr>
          <w:sz w:val="24"/>
        </w:rPr>
        <w:t>)—by adjusting the default percentages in columns 2, 3, 4 and 5 of the following table for the item for each unrestricted waste mix type, in accordance with the following formula:</w:t>
      </w:r>
    </w:p>
    <w:p w14:paraId="0D8F743C" w14:textId="77777777" w:rsidR="00F656F7" w:rsidRPr="00883399" w:rsidRDefault="00F656F7" w:rsidP="00F656F7">
      <w:pPr>
        <w:pStyle w:val="paragraph"/>
        <w:spacing w:before="120" w:after="120"/>
        <w:rPr>
          <w:sz w:val="24"/>
        </w:rPr>
      </w:pPr>
      <w:r w:rsidRPr="00883399">
        <w:rPr>
          <w:sz w:val="24"/>
        </w:rPr>
        <w:tab/>
      </w:r>
      <w:r w:rsidRPr="00883399">
        <w:rPr>
          <w:sz w:val="24"/>
        </w:rPr>
        <w:tab/>
      </w:r>
      <w:r w:rsidRPr="00883399">
        <w:rPr>
          <w:noProof/>
          <w:sz w:val="24"/>
        </w:rPr>
        <w:drawing>
          <wp:inline distT="0" distB="0" distL="0" distR="0" wp14:anchorId="5D01F1D8" wp14:editId="2EA7DC3D">
            <wp:extent cx="2445385" cy="467995"/>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5"/>
                    <a:srcRect/>
                    <a:stretch>
                      <a:fillRect/>
                    </a:stretch>
                  </pic:blipFill>
                  <pic:spPr bwMode="auto">
                    <a:xfrm>
                      <a:off x="0" y="0"/>
                      <a:ext cx="2445385" cy="467995"/>
                    </a:xfrm>
                    <a:prstGeom prst="rect">
                      <a:avLst/>
                    </a:prstGeom>
                    <a:noFill/>
                    <a:ln w="9525">
                      <a:noFill/>
                      <a:miter lim="800000"/>
                      <a:headEnd/>
                      <a:tailEnd/>
                    </a:ln>
                  </pic:spPr>
                </pic:pic>
              </a:graphicData>
            </a:graphic>
          </wp:inline>
        </w:drawing>
      </w:r>
    </w:p>
    <w:p w14:paraId="536AD100" w14:textId="77777777" w:rsidR="00F656F7" w:rsidRPr="00883399" w:rsidRDefault="00F656F7" w:rsidP="00F656F7">
      <w:pPr>
        <w:pStyle w:val="subsection2"/>
        <w:rPr>
          <w:sz w:val="24"/>
        </w:rPr>
      </w:pPr>
      <w:r w:rsidRPr="00883399">
        <w:rPr>
          <w:sz w:val="24"/>
        </w:rPr>
        <w:t>where:</w:t>
      </w:r>
    </w:p>
    <w:p w14:paraId="43E0D779" w14:textId="77777777" w:rsidR="00F656F7" w:rsidRPr="00883399" w:rsidRDefault="00F656F7" w:rsidP="00F656F7">
      <w:pPr>
        <w:pStyle w:val="Definition0"/>
        <w:rPr>
          <w:sz w:val="24"/>
        </w:rPr>
      </w:pPr>
      <w:r w:rsidRPr="00883399">
        <w:rPr>
          <w:b/>
          <w:i/>
          <w:sz w:val="24"/>
        </w:rPr>
        <w:t>W</w:t>
      </w:r>
      <w:r w:rsidRPr="00883399">
        <w:rPr>
          <w:b/>
          <w:i/>
          <w:sz w:val="24"/>
          <w:vertAlign w:val="subscript"/>
        </w:rPr>
        <w:t>mtuadj</w:t>
      </w:r>
      <w:r w:rsidRPr="00883399">
        <w:rPr>
          <w:b/>
          <w:i/>
          <w:sz w:val="24"/>
        </w:rPr>
        <w:t xml:space="preserve"> </w:t>
      </w:r>
      <w:r w:rsidRPr="00883399">
        <w:rPr>
          <w:sz w:val="24"/>
        </w:rPr>
        <w:t>is the adjusted percentage for each unrestricted waste mix type.</w:t>
      </w:r>
    </w:p>
    <w:p w14:paraId="23B71B12" w14:textId="77777777" w:rsidR="00F656F7" w:rsidRPr="00883399" w:rsidRDefault="00F656F7" w:rsidP="00F656F7">
      <w:pPr>
        <w:pStyle w:val="Definition0"/>
        <w:rPr>
          <w:sz w:val="24"/>
        </w:rPr>
      </w:pPr>
      <w:r w:rsidRPr="00883399">
        <w:rPr>
          <w:b/>
          <w:i/>
          <w:sz w:val="24"/>
        </w:rPr>
        <w:t>W</w:t>
      </w:r>
      <w:r w:rsidRPr="00883399">
        <w:rPr>
          <w:b/>
          <w:i/>
          <w:sz w:val="24"/>
          <w:vertAlign w:val="subscript"/>
        </w:rPr>
        <w:t>mtu</w:t>
      </w:r>
      <w:r w:rsidRPr="00883399">
        <w:rPr>
          <w:b/>
          <w:i/>
          <w:sz w:val="24"/>
        </w:rPr>
        <w:t xml:space="preserve"> </w:t>
      </w:r>
      <w:r w:rsidRPr="00883399">
        <w:rPr>
          <w:sz w:val="24"/>
        </w:rPr>
        <w:t>is the default percentage for each unrestricted waste mix type in columns 2, 3, 4 and 5 of the table appearing immediately before the example.</w:t>
      </w:r>
    </w:p>
    <w:p w14:paraId="42963A69" w14:textId="77777777" w:rsidR="00F656F7" w:rsidRPr="00883399" w:rsidRDefault="00F656F7" w:rsidP="00F656F7">
      <w:pPr>
        <w:pStyle w:val="Definition0"/>
        <w:rPr>
          <w:sz w:val="24"/>
        </w:rPr>
      </w:pPr>
      <w:r w:rsidRPr="00883399">
        <w:rPr>
          <w:b/>
          <w:i/>
          <w:sz w:val="24"/>
        </w:rPr>
        <w:t>W</w:t>
      </w:r>
      <w:r w:rsidRPr="00883399">
        <w:rPr>
          <w:b/>
          <w:i/>
          <w:sz w:val="24"/>
          <w:vertAlign w:val="subscript"/>
        </w:rPr>
        <w:t>mtr</w:t>
      </w:r>
      <w:r w:rsidRPr="00883399">
        <w:rPr>
          <w:b/>
          <w:i/>
          <w:sz w:val="24"/>
        </w:rPr>
        <w:t xml:space="preserve"> </w:t>
      </w:r>
      <w:r w:rsidRPr="00883399">
        <w:rPr>
          <w:sz w:val="24"/>
        </w:rPr>
        <w:t>is the default percentage for each restricted waste mix type in columns 2, 3, 4 and 5 of the table appearing immediately before the example.</w:t>
      </w:r>
    </w:p>
    <w:p w14:paraId="184BA2D1" w14:textId="77777777" w:rsidR="00F656F7" w:rsidRPr="00883399" w:rsidRDefault="00F656F7" w:rsidP="00F656F7">
      <w:pPr>
        <w:pStyle w:val="Definition0"/>
        <w:rPr>
          <w:sz w:val="24"/>
        </w:rPr>
      </w:pPr>
      <w:r w:rsidRPr="00883399">
        <w:rPr>
          <w:b/>
          <w:i/>
          <w:sz w:val="24"/>
        </w:rPr>
        <w:t>W</w:t>
      </w:r>
      <w:r w:rsidRPr="00883399">
        <w:rPr>
          <w:b/>
          <w:i/>
          <w:sz w:val="24"/>
          <w:vertAlign w:val="subscript"/>
        </w:rPr>
        <w:t>mtrmax</w:t>
      </w:r>
      <w:r w:rsidRPr="00883399">
        <w:rPr>
          <w:b/>
          <w:i/>
          <w:sz w:val="24"/>
        </w:rPr>
        <w:t xml:space="preserve"> </w:t>
      </w:r>
      <w:r w:rsidRPr="00883399">
        <w:rPr>
          <w:sz w:val="24"/>
        </w:rPr>
        <w:t xml:space="preserve">is the maximum percentage for each restricted waste mix type. </w:t>
      </w:r>
    </w:p>
    <w:p w14:paraId="28B1E925" w14:textId="77777777" w:rsidR="00F656F7" w:rsidRPr="00883399" w:rsidRDefault="00F656F7" w:rsidP="00F656F7">
      <w:pPr>
        <w:pStyle w:val="Definition0"/>
        <w:rPr>
          <w:sz w:val="24"/>
        </w:rPr>
      </w:pPr>
      <w:r w:rsidRPr="00883399">
        <w:rPr>
          <w:b/>
          <w:i/>
          <w:sz w:val="24"/>
        </w:rPr>
        <w:t xml:space="preserve">∑ </w:t>
      </w:r>
      <w:r w:rsidRPr="00883399">
        <w:rPr>
          <w:sz w:val="24"/>
        </w:rPr>
        <w:t>means sum the results for each unrestricted waste mix type.</w:t>
      </w:r>
    </w:p>
    <w:p w14:paraId="4C49F347" w14:textId="77777777" w:rsidR="00F656F7" w:rsidRPr="00883399" w:rsidRDefault="00F656F7" w:rsidP="00F656F7">
      <w:pPr>
        <w:pStyle w:val="Tabletext0"/>
        <w:rPr>
          <w:sz w:val="22"/>
        </w:rPr>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704"/>
        <w:gridCol w:w="1277"/>
        <w:gridCol w:w="1560"/>
        <w:gridCol w:w="1560"/>
        <w:gridCol w:w="1561"/>
        <w:gridCol w:w="1651"/>
      </w:tblGrid>
      <w:tr w:rsidR="00F656F7" w:rsidRPr="00883399" w14:paraId="3AD4CAF9" w14:textId="77777777" w:rsidTr="00F656F7">
        <w:trPr>
          <w:tblHeader/>
        </w:trPr>
        <w:tc>
          <w:tcPr>
            <w:tcW w:w="5000" w:type="pct"/>
            <w:gridSpan w:val="6"/>
            <w:tcBorders>
              <w:top w:val="single" w:sz="12" w:space="0" w:color="auto"/>
              <w:bottom w:val="single" w:sz="6" w:space="0" w:color="auto"/>
            </w:tcBorders>
            <w:shd w:val="clear" w:color="auto" w:fill="auto"/>
          </w:tcPr>
          <w:p w14:paraId="4C06C588" w14:textId="77777777" w:rsidR="00F656F7" w:rsidRPr="00883399" w:rsidRDefault="00F656F7" w:rsidP="00F656F7">
            <w:pPr>
              <w:pStyle w:val="TableHeading"/>
              <w:rPr>
                <w:sz w:val="22"/>
              </w:rPr>
            </w:pPr>
            <w:r w:rsidRPr="00883399">
              <w:rPr>
                <w:sz w:val="22"/>
              </w:rPr>
              <w:lastRenderedPageBreak/>
              <w:t>Default waste stream percentage for waste mix type</w:t>
            </w:r>
          </w:p>
        </w:tc>
      </w:tr>
      <w:tr w:rsidR="00F656F7" w:rsidRPr="00883399" w14:paraId="162E3416" w14:textId="77777777" w:rsidTr="00F656F7">
        <w:trPr>
          <w:tblHeader/>
        </w:trPr>
        <w:tc>
          <w:tcPr>
            <w:tcW w:w="424" w:type="pct"/>
            <w:tcBorders>
              <w:top w:val="single" w:sz="6" w:space="0" w:color="auto"/>
              <w:bottom w:val="nil"/>
            </w:tcBorders>
            <w:shd w:val="clear" w:color="auto" w:fill="auto"/>
          </w:tcPr>
          <w:p w14:paraId="107B80C3" w14:textId="77777777" w:rsidR="00F656F7" w:rsidRPr="00883399" w:rsidRDefault="00F656F7" w:rsidP="00F656F7">
            <w:pPr>
              <w:pStyle w:val="TableHeading"/>
              <w:rPr>
                <w:sz w:val="22"/>
              </w:rPr>
            </w:pPr>
            <w:r w:rsidRPr="00883399">
              <w:rPr>
                <w:sz w:val="22"/>
              </w:rPr>
              <w:t>Item</w:t>
            </w:r>
          </w:p>
        </w:tc>
        <w:tc>
          <w:tcPr>
            <w:tcW w:w="768" w:type="pct"/>
            <w:tcBorders>
              <w:top w:val="single" w:sz="6" w:space="0" w:color="auto"/>
              <w:bottom w:val="nil"/>
            </w:tcBorders>
            <w:shd w:val="clear" w:color="auto" w:fill="auto"/>
          </w:tcPr>
          <w:p w14:paraId="6D076532" w14:textId="77777777" w:rsidR="00F656F7" w:rsidRPr="00883399" w:rsidRDefault="00F656F7" w:rsidP="00F656F7">
            <w:pPr>
              <w:pStyle w:val="TableHeading"/>
              <w:rPr>
                <w:sz w:val="22"/>
              </w:rPr>
            </w:pPr>
            <w:r w:rsidRPr="00883399">
              <w:rPr>
                <w:sz w:val="22"/>
              </w:rPr>
              <w:t>Column 1</w:t>
            </w:r>
          </w:p>
        </w:tc>
        <w:tc>
          <w:tcPr>
            <w:tcW w:w="938" w:type="pct"/>
            <w:tcBorders>
              <w:top w:val="single" w:sz="6" w:space="0" w:color="auto"/>
              <w:bottom w:val="nil"/>
            </w:tcBorders>
            <w:shd w:val="clear" w:color="auto" w:fill="auto"/>
          </w:tcPr>
          <w:p w14:paraId="4FC21D62" w14:textId="77777777" w:rsidR="00F656F7" w:rsidRPr="00883399" w:rsidRDefault="00F656F7" w:rsidP="00F656F7">
            <w:pPr>
              <w:pStyle w:val="TableHeading"/>
              <w:rPr>
                <w:sz w:val="22"/>
              </w:rPr>
            </w:pPr>
            <w:r w:rsidRPr="00883399">
              <w:rPr>
                <w:sz w:val="22"/>
              </w:rPr>
              <w:t>Column 2</w:t>
            </w:r>
          </w:p>
        </w:tc>
        <w:tc>
          <w:tcPr>
            <w:tcW w:w="938" w:type="pct"/>
            <w:tcBorders>
              <w:top w:val="single" w:sz="6" w:space="0" w:color="auto"/>
              <w:bottom w:val="nil"/>
            </w:tcBorders>
            <w:shd w:val="clear" w:color="auto" w:fill="auto"/>
          </w:tcPr>
          <w:p w14:paraId="64EE19EE" w14:textId="77777777" w:rsidR="00F656F7" w:rsidRPr="00883399" w:rsidRDefault="00F656F7" w:rsidP="00F656F7">
            <w:pPr>
              <w:pStyle w:val="TableHeading"/>
              <w:rPr>
                <w:sz w:val="22"/>
              </w:rPr>
            </w:pPr>
            <w:r w:rsidRPr="00883399">
              <w:rPr>
                <w:sz w:val="22"/>
              </w:rPr>
              <w:t>Column 3</w:t>
            </w:r>
          </w:p>
        </w:tc>
        <w:tc>
          <w:tcPr>
            <w:tcW w:w="939" w:type="pct"/>
            <w:tcBorders>
              <w:top w:val="single" w:sz="6" w:space="0" w:color="auto"/>
              <w:bottom w:val="nil"/>
            </w:tcBorders>
            <w:shd w:val="clear" w:color="auto" w:fill="auto"/>
          </w:tcPr>
          <w:p w14:paraId="1D65BDCB" w14:textId="77777777" w:rsidR="00F656F7" w:rsidRPr="00883399" w:rsidRDefault="00F656F7" w:rsidP="00F656F7">
            <w:pPr>
              <w:pStyle w:val="TableHeading"/>
              <w:rPr>
                <w:sz w:val="22"/>
              </w:rPr>
            </w:pPr>
            <w:r w:rsidRPr="00883399">
              <w:rPr>
                <w:sz w:val="22"/>
              </w:rPr>
              <w:t>Column 4</w:t>
            </w:r>
          </w:p>
        </w:tc>
        <w:tc>
          <w:tcPr>
            <w:tcW w:w="994" w:type="pct"/>
            <w:tcBorders>
              <w:top w:val="single" w:sz="6" w:space="0" w:color="auto"/>
              <w:bottom w:val="nil"/>
            </w:tcBorders>
            <w:shd w:val="clear" w:color="auto" w:fill="auto"/>
          </w:tcPr>
          <w:p w14:paraId="632ED1A9" w14:textId="77777777" w:rsidR="00F656F7" w:rsidRPr="00883399" w:rsidRDefault="00F656F7" w:rsidP="00F656F7">
            <w:pPr>
              <w:pStyle w:val="TableHeading"/>
              <w:rPr>
                <w:sz w:val="22"/>
              </w:rPr>
            </w:pPr>
            <w:r w:rsidRPr="00883399">
              <w:rPr>
                <w:sz w:val="22"/>
              </w:rPr>
              <w:t>Column 5</w:t>
            </w:r>
          </w:p>
        </w:tc>
      </w:tr>
      <w:tr w:rsidR="00F656F7" w:rsidRPr="00883399" w14:paraId="47F0E2CC" w14:textId="77777777" w:rsidTr="00F656F7">
        <w:trPr>
          <w:tblHeader/>
        </w:trPr>
        <w:tc>
          <w:tcPr>
            <w:tcW w:w="424" w:type="pct"/>
            <w:tcBorders>
              <w:top w:val="nil"/>
              <w:bottom w:val="single" w:sz="12" w:space="0" w:color="auto"/>
            </w:tcBorders>
            <w:shd w:val="clear" w:color="auto" w:fill="auto"/>
          </w:tcPr>
          <w:p w14:paraId="0590F4DB" w14:textId="77777777" w:rsidR="00F656F7" w:rsidRPr="00883399" w:rsidRDefault="00F656F7" w:rsidP="00F656F7">
            <w:pPr>
              <w:pStyle w:val="TableHeading"/>
              <w:rPr>
                <w:sz w:val="22"/>
              </w:rPr>
            </w:pPr>
          </w:p>
        </w:tc>
        <w:tc>
          <w:tcPr>
            <w:tcW w:w="768" w:type="pct"/>
            <w:tcBorders>
              <w:top w:val="nil"/>
              <w:bottom w:val="single" w:sz="12" w:space="0" w:color="auto"/>
            </w:tcBorders>
            <w:shd w:val="clear" w:color="auto" w:fill="auto"/>
          </w:tcPr>
          <w:p w14:paraId="250E2644" w14:textId="77777777" w:rsidR="00F656F7" w:rsidRPr="00883399" w:rsidRDefault="00F656F7" w:rsidP="00F656F7">
            <w:pPr>
              <w:pStyle w:val="TableHeading"/>
              <w:rPr>
                <w:sz w:val="22"/>
              </w:rPr>
            </w:pPr>
            <w:r w:rsidRPr="00883399">
              <w:rPr>
                <w:sz w:val="22"/>
              </w:rPr>
              <w:t>Waste mix type</w:t>
            </w:r>
          </w:p>
        </w:tc>
        <w:tc>
          <w:tcPr>
            <w:tcW w:w="938" w:type="pct"/>
            <w:tcBorders>
              <w:top w:val="nil"/>
              <w:bottom w:val="single" w:sz="12" w:space="0" w:color="auto"/>
            </w:tcBorders>
            <w:shd w:val="clear" w:color="auto" w:fill="auto"/>
          </w:tcPr>
          <w:p w14:paraId="2ADEB4BA" w14:textId="77777777" w:rsidR="00F656F7" w:rsidRPr="00883399" w:rsidRDefault="00F656F7" w:rsidP="00F656F7">
            <w:pPr>
              <w:pStyle w:val="TableHeading"/>
              <w:rPr>
                <w:sz w:val="22"/>
              </w:rPr>
            </w:pPr>
            <w:r w:rsidRPr="00883399">
              <w:rPr>
                <w:sz w:val="22"/>
              </w:rPr>
              <w:t>Municipal solid waste class I default (%)</w:t>
            </w:r>
          </w:p>
        </w:tc>
        <w:tc>
          <w:tcPr>
            <w:tcW w:w="938" w:type="pct"/>
            <w:tcBorders>
              <w:top w:val="nil"/>
              <w:bottom w:val="single" w:sz="12" w:space="0" w:color="auto"/>
            </w:tcBorders>
            <w:shd w:val="clear" w:color="auto" w:fill="auto"/>
          </w:tcPr>
          <w:p w14:paraId="3CC81BFC" w14:textId="77777777" w:rsidR="00F656F7" w:rsidRPr="00883399" w:rsidRDefault="00F656F7" w:rsidP="00F656F7">
            <w:pPr>
              <w:pStyle w:val="TableHeading"/>
              <w:rPr>
                <w:sz w:val="22"/>
              </w:rPr>
            </w:pPr>
            <w:r w:rsidRPr="00883399">
              <w:rPr>
                <w:sz w:val="22"/>
              </w:rPr>
              <w:t>Municipal solid waste class II default (%)</w:t>
            </w:r>
          </w:p>
        </w:tc>
        <w:tc>
          <w:tcPr>
            <w:tcW w:w="939" w:type="pct"/>
            <w:tcBorders>
              <w:top w:val="nil"/>
              <w:bottom w:val="single" w:sz="12" w:space="0" w:color="auto"/>
            </w:tcBorders>
            <w:shd w:val="clear" w:color="auto" w:fill="auto"/>
          </w:tcPr>
          <w:p w14:paraId="63E67946" w14:textId="77777777" w:rsidR="00F656F7" w:rsidRPr="00883399" w:rsidRDefault="00F656F7" w:rsidP="00F656F7">
            <w:pPr>
              <w:pStyle w:val="TableHeading"/>
              <w:rPr>
                <w:sz w:val="22"/>
              </w:rPr>
            </w:pPr>
            <w:r w:rsidRPr="00883399">
              <w:rPr>
                <w:sz w:val="22"/>
              </w:rPr>
              <w:t>Commercial and industrial waste default (%)</w:t>
            </w:r>
          </w:p>
        </w:tc>
        <w:tc>
          <w:tcPr>
            <w:tcW w:w="994" w:type="pct"/>
            <w:tcBorders>
              <w:top w:val="nil"/>
              <w:bottom w:val="single" w:sz="12" w:space="0" w:color="auto"/>
            </w:tcBorders>
            <w:shd w:val="clear" w:color="auto" w:fill="auto"/>
          </w:tcPr>
          <w:p w14:paraId="1BC74D65" w14:textId="77777777" w:rsidR="00F656F7" w:rsidRPr="00883399" w:rsidRDefault="00F656F7" w:rsidP="00F656F7">
            <w:pPr>
              <w:pStyle w:val="TableHeading"/>
              <w:rPr>
                <w:sz w:val="22"/>
              </w:rPr>
            </w:pPr>
            <w:r w:rsidRPr="00883399">
              <w:rPr>
                <w:sz w:val="22"/>
              </w:rPr>
              <w:t>Construction and demolition waste default (%)</w:t>
            </w:r>
          </w:p>
        </w:tc>
      </w:tr>
      <w:tr w:rsidR="00F656F7" w:rsidRPr="00883399" w14:paraId="61CB4227" w14:textId="77777777" w:rsidTr="00F656F7">
        <w:tc>
          <w:tcPr>
            <w:tcW w:w="424" w:type="pct"/>
            <w:tcBorders>
              <w:top w:val="single" w:sz="12" w:space="0" w:color="auto"/>
            </w:tcBorders>
            <w:shd w:val="clear" w:color="auto" w:fill="auto"/>
          </w:tcPr>
          <w:p w14:paraId="7F399468" w14:textId="77777777" w:rsidR="00F656F7" w:rsidRPr="00883399" w:rsidRDefault="00F656F7" w:rsidP="00F656F7">
            <w:pPr>
              <w:pStyle w:val="Tabletext0"/>
              <w:rPr>
                <w:sz w:val="22"/>
              </w:rPr>
            </w:pPr>
            <w:r w:rsidRPr="00883399">
              <w:rPr>
                <w:sz w:val="22"/>
              </w:rPr>
              <w:t>1</w:t>
            </w:r>
          </w:p>
        </w:tc>
        <w:tc>
          <w:tcPr>
            <w:tcW w:w="768" w:type="pct"/>
            <w:tcBorders>
              <w:top w:val="single" w:sz="12" w:space="0" w:color="auto"/>
            </w:tcBorders>
            <w:shd w:val="clear" w:color="auto" w:fill="auto"/>
          </w:tcPr>
          <w:p w14:paraId="5EFF53FD" w14:textId="77777777" w:rsidR="00F656F7" w:rsidRPr="00883399" w:rsidRDefault="00F656F7" w:rsidP="00F656F7">
            <w:pPr>
              <w:pStyle w:val="Tabletext0"/>
              <w:rPr>
                <w:sz w:val="22"/>
              </w:rPr>
            </w:pPr>
            <w:r w:rsidRPr="00883399">
              <w:rPr>
                <w:sz w:val="22"/>
              </w:rPr>
              <w:t>Food</w:t>
            </w:r>
          </w:p>
        </w:tc>
        <w:tc>
          <w:tcPr>
            <w:tcW w:w="938" w:type="pct"/>
            <w:tcBorders>
              <w:top w:val="single" w:sz="12" w:space="0" w:color="auto"/>
            </w:tcBorders>
            <w:shd w:val="clear" w:color="auto" w:fill="auto"/>
          </w:tcPr>
          <w:p w14:paraId="0445F4A5" w14:textId="77777777" w:rsidR="00F656F7" w:rsidRPr="00883399" w:rsidRDefault="00F656F7" w:rsidP="00F656F7">
            <w:pPr>
              <w:pStyle w:val="Tabletext0"/>
              <w:tabs>
                <w:tab w:val="decimal" w:pos="680"/>
              </w:tabs>
              <w:rPr>
                <w:sz w:val="22"/>
              </w:rPr>
            </w:pPr>
            <w:r w:rsidRPr="00883399">
              <w:rPr>
                <w:sz w:val="22"/>
              </w:rPr>
              <w:t>35</w:t>
            </w:r>
          </w:p>
        </w:tc>
        <w:tc>
          <w:tcPr>
            <w:tcW w:w="938" w:type="pct"/>
            <w:tcBorders>
              <w:top w:val="single" w:sz="12" w:space="0" w:color="auto"/>
            </w:tcBorders>
            <w:shd w:val="clear" w:color="auto" w:fill="auto"/>
          </w:tcPr>
          <w:p w14:paraId="0AC7085B" w14:textId="77777777" w:rsidR="00F656F7" w:rsidRPr="00883399" w:rsidRDefault="00F656F7" w:rsidP="00F656F7">
            <w:pPr>
              <w:pStyle w:val="Tabletext0"/>
              <w:tabs>
                <w:tab w:val="decimal" w:pos="680"/>
              </w:tabs>
              <w:rPr>
                <w:sz w:val="22"/>
              </w:rPr>
            </w:pPr>
            <w:r w:rsidRPr="00883399">
              <w:rPr>
                <w:sz w:val="22"/>
              </w:rPr>
              <w:t>40.3</w:t>
            </w:r>
          </w:p>
        </w:tc>
        <w:tc>
          <w:tcPr>
            <w:tcW w:w="939" w:type="pct"/>
            <w:tcBorders>
              <w:top w:val="single" w:sz="12" w:space="0" w:color="auto"/>
            </w:tcBorders>
            <w:shd w:val="clear" w:color="auto" w:fill="auto"/>
          </w:tcPr>
          <w:p w14:paraId="10983732" w14:textId="77777777" w:rsidR="00F656F7" w:rsidRPr="00883399" w:rsidRDefault="00F656F7" w:rsidP="00F656F7">
            <w:pPr>
              <w:pStyle w:val="Tabletext0"/>
              <w:tabs>
                <w:tab w:val="decimal" w:pos="680"/>
              </w:tabs>
              <w:rPr>
                <w:sz w:val="22"/>
              </w:rPr>
            </w:pPr>
            <w:r w:rsidRPr="00883399">
              <w:rPr>
                <w:sz w:val="22"/>
              </w:rPr>
              <w:t>21.5</w:t>
            </w:r>
          </w:p>
        </w:tc>
        <w:tc>
          <w:tcPr>
            <w:tcW w:w="994" w:type="pct"/>
            <w:tcBorders>
              <w:top w:val="single" w:sz="12" w:space="0" w:color="auto"/>
            </w:tcBorders>
            <w:shd w:val="clear" w:color="auto" w:fill="auto"/>
          </w:tcPr>
          <w:p w14:paraId="3A8A2C1E" w14:textId="77777777" w:rsidR="00F656F7" w:rsidRPr="00883399" w:rsidRDefault="00F656F7" w:rsidP="00F656F7">
            <w:pPr>
              <w:pStyle w:val="Tabletext0"/>
              <w:tabs>
                <w:tab w:val="decimal" w:pos="780"/>
              </w:tabs>
              <w:rPr>
                <w:sz w:val="22"/>
              </w:rPr>
            </w:pPr>
            <w:r w:rsidRPr="00883399">
              <w:rPr>
                <w:sz w:val="22"/>
              </w:rPr>
              <w:t>0</w:t>
            </w:r>
          </w:p>
        </w:tc>
      </w:tr>
      <w:tr w:rsidR="00F656F7" w:rsidRPr="00883399" w14:paraId="0B14EEFC" w14:textId="77777777" w:rsidTr="00F656F7">
        <w:tc>
          <w:tcPr>
            <w:tcW w:w="424" w:type="pct"/>
            <w:shd w:val="clear" w:color="auto" w:fill="auto"/>
          </w:tcPr>
          <w:p w14:paraId="4DB5C868" w14:textId="77777777" w:rsidR="00F656F7" w:rsidRPr="00883399" w:rsidRDefault="00F656F7" w:rsidP="00F656F7">
            <w:pPr>
              <w:pStyle w:val="Tabletext0"/>
              <w:rPr>
                <w:sz w:val="22"/>
              </w:rPr>
            </w:pPr>
            <w:r w:rsidRPr="00883399">
              <w:rPr>
                <w:sz w:val="22"/>
              </w:rPr>
              <w:t>2</w:t>
            </w:r>
          </w:p>
        </w:tc>
        <w:tc>
          <w:tcPr>
            <w:tcW w:w="768" w:type="pct"/>
            <w:shd w:val="clear" w:color="auto" w:fill="auto"/>
          </w:tcPr>
          <w:p w14:paraId="51D60962" w14:textId="77777777" w:rsidR="00F656F7" w:rsidRPr="00883399" w:rsidRDefault="00F656F7" w:rsidP="00F656F7">
            <w:pPr>
              <w:pStyle w:val="Tabletext0"/>
              <w:rPr>
                <w:rFonts w:eastAsiaTheme="minorHAnsi" w:cstheme="minorBidi"/>
                <w:sz w:val="22"/>
              </w:rPr>
            </w:pPr>
            <w:r w:rsidRPr="00883399">
              <w:rPr>
                <w:sz w:val="22"/>
              </w:rPr>
              <w:t>Paper and cardboard</w:t>
            </w:r>
          </w:p>
        </w:tc>
        <w:tc>
          <w:tcPr>
            <w:tcW w:w="938" w:type="pct"/>
            <w:shd w:val="clear" w:color="auto" w:fill="auto"/>
          </w:tcPr>
          <w:p w14:paraId="1B32D902" w14:textId="77777777" w:rsidR="00F656F7" w:rsidRPr="00883399" w:rsidRDefault="00F656F7" w:rsidP="00F656F7">
            <w:pPr>
              <w:pStyle w:val="Tabletext0"/>
              <w:tabs>
                <w:tab w:val="decimal" w:pos="680"/>
              </w:tabs>
              <w:rPr>
                <w:sz w:val="22"/>
              </w:rPr>
            </w:pPr>
            <w:r w:rsidRPr="00883399">
              <w:rPr>
                <w:sz w:val="22"/>
              </w:rPr>
              <w:t>13</w:t>
            </w:r>
          </w:p>
        </w:tc>
        <w:tc>
          <w:tcPr>
            <w:tcW w:w="938" w:type="pct"/>
            <w:shd w:val="clear" w:color="auto" w:fill="auto"/>
          </w:tcPr>
          <w:p w14:paraId="08BBE47E" w14:textId="77777777" w:rsidR="00F656F7" w:rsidRPr="00883399" w:rsidRDefault="00F656F7" w:rsidP="00F656F7">
            <w:pPr>
              <w:pStyle w:val="Tabletext0"/>
              <w:tabs>
                <w:tab w:val="decimal" w:pos="680"/>
              </w:tabs>
              <w:rPr>
                <w:sz w:val="22"/>
              </w:rPr>
            </w:pPr>
            <w:r w:rsidRPr="00883399">
              <w:rPr>
                <w:sz w:val="22"/>
              </w:rPr>
              <w:t>15.0</w:t>
            </w:r>
          </w:p>
        </w:tc>
        <w:tc>
          <w:tcPr>
            <w:tcW w:w="939" w:type="pct"/>
            <w:shd w:val="clear" w:color="auto" w:fill="auto"/>
          </w:tcPr>
          <w:p w14:paraId="2B39632E" w14:textId="77777777" w:rsidR="00F656F7" w:rsidRPr="00883399" w:rsidRDefault="00F656F7" w:rsidP="00F656F7">
            <w:pPr>
              <w:pStyle w:val="Tabletext0"/>
              <w:tabs>
                <w:tab w:val="decimal" w:pos="680"/>
              </w:tabs>
              <w:rPr>
                <w:sz w:val="22"/>
              </w:rPr>
            </w:pPr>
            <w:r w:rsidRPr="00883399">
              <w:rPr>
                <w:sz w:val="22"/>
              </w:rPr>
              <w:t>15.5</w:t>
            </w:r>
          </w:p>
        </w:tc>
        <w:tc>
          <w:tcPr>
            <w:tcW w:w="994" w:type="pct"/>
            <w:shd w:val="clear" w:color="auto" w:fill="auto"/>
          </w:tcPr>
          <w:p w14:paraId="539EB865" w14:textId="77777777" w:rsidR="00F656F7" w:rsidRPr="00883399" w:rsidRDefault="00F656F7" w:rsidP="00F656F7">
            <w:pPr>
              <w:pStyle w:val="Tabletext0"/>
              <w:tabs>
                <w:tab w:val="decimal" w:pos="780"/>
              </w:tabs>
              <w:rPr>
                <w:sz w:val="22"/>
              </w:rPr>
            </w:pPr>
            <w:r w:rsidRPr="00883399">
              <w:rPr>
                <w:sz w:val="22"/>
              </w:rPr>
              <w:t>3</w:t>
            </w:r>
          </w:p>
        </w:tc>
      </w:tr>
      <w:tr w:rsidR="00F656F7" w:rsidRPr="00883399" w14:paraId="3CD9066B" w14:textId="77777777" w:rsidTr="00F656F7">
        <w:tc>
          <w:tcPr>
            <w:tcW w:w="424" w:type="pct"/>
            <w:shd w:val="clear" w:color="auto" w:fill="auto"/>
          </w:tcPr>
          <w:p w14:paraId="3D20E96D" w14:textId="77777777" w:rsidR="00F656F7" w:rsidRPr="00883399" w:rsidRDefault="00F656F7" w:rsidP="00F656F7">
            <w:pPr>
              <w:pStyle w:val="Tabletext0"/>
              <w:rPr>
                <w:sz w:val="22"/>
              </w:rPr>
            </w:pPr>
            <w:r w:rsidRPr="00883399">
              <w:rPr>
                <w:sz w:val="22"/>
              </w:rPr>
              <w:t>3</w:t>
            </w:r>
          </w:p>
        </w:tc>
        <w:tc>
          <w:tcPr>
            <w:tcW w:w="768" w:type="pct"/>
            <w:shd w:val="clear" w:color="auto" w:fill="auto"/>
          </w:tcPr>
          <w:p w14:paraId="32A7D70F" w14:textId="77777777" w:rsidR="00F656F7" w:rsidRPr="00883399" w:rsidRDefault="00F656F7" w:rsidP="00F656F7">
            <w:pPr>
              <w:pStyle w:val="Tabletext0"/>
              <w:rPr>
                <w:sz w:val="22"/>
              </w:rPr>
            </w:pPr>
            <w:r w:rsidRPr="00883399">
              <w:rPr>
                <w:sz w:val="22"/>
              </w:rPr>
              <w:t>Garden and park</w:t>
            </w:r>
          </w:p>
        </w:tc>
        <w:tc>
          <w:tcPr>
            <w:tcW w:w="938" w:type="pct"/>
            <w:shd w:val="clear" w:color="auto" w:fill="auto"/>
          </w:tcPr>
          <w:p w14:paraId="6BF239D5" w14:textId="77777777" w:rsidR="00F656F7" w:rsidRPr="00883399" w:rsidRDefault="00F656F7" w:rsidP="00F656F7">
            <w:pPr>
              <w:pStyle w:val="Tabletext0"/>
              <w:tabs>
                <w:tab w:val="decimal" w:pos="680"/>
              </w:tabs>
              <w:rPr>
                <w:sz w:val="22"/>
              </w:rPr>
            </w:pPr>
            <w:r w:rsidRPr="00883399">
              <w:rPr>
                <w:sz w:val="22"/>
              </w:rPr>
              <w:t>16.5</w:t>
            </w:r>
          </w:p>
        </w:tc>
        <w:tc>
          <w:tcPr>
            <w:tcW w:w="938" w:type="pct"/>
            <w:shd w:val="clear" w:color="auto" w:fill="auto"/>
          </w:tcPr>
          <w:p w14:paraId="46A182FC" w14:textId="77777777" w:rsidR="00F656F7" w:rsidRPr="00883399" w:rsidRDefault="00F656F7" w:rsidP="00F656F7">
            <w:pPr>
              <w:pStyle w:val="Tabletext0"/>
              <w:tabs>
                <w:tab w:val="decimal" w:pos="680"/>
              </w:tabs>
              <w:rPr>
                <w:sz w:val="22"/>
              </w:rPr>
            </w:pPr>
            <w:r w:rsidRPr="00883399">
              <w:rPr>
                <w:sz w:val="22"/>
              </w:rPr>
              <w:t>3.9</w:t>
            </w:r>
          </w:p>
        </w:tc>
        <w:tc>
          <w:tcPr>
            <w:tcW w:w="939" w:type="pct"/>
            <w:shd w:val="clear" w:color="auto" w:fill="auto"/>
          </w:tcPr>
          <w:p w14:paraId="3D2AD8E3" w14:textId="77777777" w:rsidR="00F656F7" w:rsidRPr="00883399" w:rsidRDefault="00F656F7" w:rsidP="00F656F7">
            <w:pPr>
              <w:pStyle w:val="Tabletext0"/>
              <w:tabs>
                <w:tab w:val="decimal" w:pos="680"/>
              </w:tabs>
              <w:rPr>
                <w:sz w:val="22"/>
              </w:rPr>
            </w:pPr>
            <w:r w:rsidRPr="00883399">
              <w:rPr>
                <w:sz w:val="22"/>
              </w:rPr>
              <w:t>4</w:t>
            </w:r>
          </w:p>
        </w:tc>
        <w:tc>
          <w:tcPr>
            <w:tcW w:w="994" w:type="pct"/>
            <w:shd w:val="clear" w:color="auto" w:fill="auto"/>
          </w:tcPr>
          <w:p w14:paraId="2FCF400D" w14:textId="77777777" w:rsidR="00F656F7" w:rsidRPr="00883399" w:rsidRDefault="00F656F7" w:rsidP="00F656F7">
            <w:pPr>
              <w:pStyle w:val="Tabletext0"/>
              <w:tabs>
                <w:tab w:val="decimal" w:pos="780"/>
              </w:tabs>
              <w:rPr>
                <w:sz w:val="22"/>
              </w:rPr>
            </w:pPr>
            <w:r w:rsidRPr="00883399">
              <w:rPr>
                <w:sz w:val="22"/>
              </w:rPr>
              <w:t>2</w:t>
            </w:r>
          </w:p>
        </w:tc>
      </w:tr>
      <w:tr w:rsidR="00F656F7" w:rsidRPr="00883399" w14:paraId="263A18E5" w14:textId="77777777" w:rsidTr="00F656F7">
        <w:tc>
          <w:tcPr>
            <w:tcW w:w="424" w:type="pct"/>
            <w:shd w:val="clear" w:color="auto" w:fill="auto"/>
          </w:tcPr>
          <w:p w14:paraId="6CD80C96" w14:textId="77777777" w:rsidR="00F656F7" w:rsidRPr="00883399" w:rsidRDefault="00F656F7" w:rsidP="00F656F7">
            <w:pPr>
              <w:pStyle w:val="Tabletext0"/>
              <w:rPr>
                <w:sz w:val="22"/>
              </w:rPr>
            </w:pPr>
            <w:r w:rsidRPr="00883399">
              <w:rPr>
                <w:sz w:val="22"/>
              </w:rPr>
              <w:t>4</w:t>
            </w:r>
          </w:p>
        </w:tc>
        <w:tc>
          <w:tcPr>
            <w:tcW w:w="768" w:type="pct"/>
            <w:shd w:val="clear" w:color="auto" w:fill="auto"/>
          </w:tcPr>
          <w:p w14:paraId="3767CEE7" w14:textId="77777777" w:rsidR="00F656F7" w:rsidRPr="00883399" w:rsidRDefault="00F656F7" w:rsidP="00F656F7">
            <w:pPr>
              <w:pStyle w:val="Tabletext0"/>
              <w:rPr>
                <w:sz w:val="22"/>
              </w:rPr>
            </w:pPr>
            <w:r w:rsidRPr="00883399">
              <w:rPr>
                <w:sz w:val="22"/>
              </w:rPr>
              <w:t>Wood and wood waste</w:t>
            </w:r>
          </w:p>
        </w:tc>
        <w:tc>
          <w:tcPr>
            <w:tcW w:w="938" w:type="pct"/>
            <w:shd w:val="clear" w:color="auto" w:fill="auto"/>
          </w:tcPr>
          <w:p w14:paraId="247949DD" w14:textId="77777777" w:rsidR="00F656F7" w:rsidRPr="00883399" w:rsidRDefault="00F656F7" w:rsidP="00F656F7">
            <w:pPr>
              <w:pStyle w:val="Tabletext0"/>
              <w:tabs>
                <w:tab w:val="decimal" w:pos="680"/>
              </w:tabs>
              <w:rPr>
                <w:sz w:val="22"/>
              </w:rPr>
            </w:pPr>
            <w:r w:rsidRPr="00883399">
              <w:rPr>
                <w:sz w:val="22"/>
              </w:rPr>
              <w:t>1</w:t>
            </w:r>
          </w:p>
        </w:tc>
        <w:tc>
          <w:tcPr>
            <w:tcW w:w="938" w:type="pct"/>
            <w:shd w:val="clear" w:color="auto" w:fill="auto"/>
          </w:tcPr>
          <w:p w14:paraId="5C1363DF" w14:textId="77777777" w:rsidR="00F656F7" w:rsidRPr="00883399" w:rsidRDefault="00F656F7" w:rsidP="00F656F7">
            <w:pPr>
              <w:pStyle w:val="Tabletext0"/>
              <w:tabs>
                <w:tab w:val="decimal" w:pos="680"/>
              </w:tabs>
              <w:rPr>
                <w:sz w:val="22"/>
              </w:rPr>
            </w:pPr>
            <w:r w:rsidRPr="00883399">
              <w:rPr>
                <w:sz w:val="22"/>
              </w:rPr>
              <w:t>1.2</w:t>
            </w:r>
          </w:p>
        </w:tc>
        <w:tc>
          <w:tcPr>
            <w:tcW w:w="939" w:type="pct"/>
            <w:shd w:val="clear" w:color="auto" w:fill="auto"/>
          </w:tcPr>
          <w:p w14:paraId="6EEB51E1" w14:textId="77777777" w:rsidR="00F656F7" w:rsidRPr="00883399" w:rsidRDefault="00F656F7" w:rsidP="00F656F7">
            <w:pPr>
              <w:pStyle w:val="Tabletext0"/>
              <w:tabs>
                <w:tab w:val="decimal" w:pos="680"/>
              </w:tabs>
              <w:rPr>
                <w:sz w:val="22"/>
              </w:rPr>
            </w:pPr>
            <w:r w:rsidRPr="00883399">
              <w:rPr>
                <w:sz w:val="22"/>
              </w:rPr>
              <w:t>12.5</w:t>
            </w:r>
          </w:p>
        </w:tc>
        <w:tc>
          <w:tcPr>
            <w:tcW w:w="994" w:type="pct"/>
            <w:shd w:val="clear" w:color="auto" w:fill="auto"/>
          </w:tcPr>
          <w:p w14:paraId="54B105D8" w14:textId="77777777" w:rsidR="00F656F7" w:rsidRPr="00883399" w:rsidRDefault="00F656F7" w:rsidP="00F656F7">
            <w:pPr>
              <w:pStyle w:val="Tabletext0"/>
              <w:tabs>
                <w:tab w:val="decimal" w:pos="780"/>
              </w:tabs>
              <w:rPr>
                <w:sz w:val="22"/>
              </w:rPr>
            </w:pPr>
            <w:r w:rsidRPr="00883399">
              <w:rPr>
                <w:sz w:val="22"/>
              </w:rPr>
              <w:t>6</w:t>
            </w:r>
          </w:p>
        </w:tc>
      </w:tr>
      <w:tr w:rsidR="00F656F7" w:rsidRPr="00883399" w14:paraId="1F153BC9" w14:textId="77777777" w:rsidTr="00F656F7">
        <w:tc>
          <w:tcPr>
            <w:tcW w:w="424" w:type="pct"/>
            <w:shd w:val="clear" w:color="auto" w:fill="auto"/>
          </w:tcPr>
          <w:p w14:paraId="1DD9D279" w14:textId="77777777" w:rsidR="00F656F7" w:rsidRPr="00883399" w:rsidRDefault="00F656F7" w:rsidP="00F656F7">
            <w:pPr>
              <w:pStyle w:val="Tabletext0"/>
              <w:rPr>
                <w:sz w:val="22"/>
              </w:rPr>
            </w:pPr>
            <w:r w:rsidRPr="00883399">
              <w:rPr>
                <w:sz w:val="22"/>
              </w:rPr>
              <w:t>5</w:t>
            </w:r>
          </w:p>
        </w:tc>
        <w:tc>
          <w:tcPr>
            <w:tcW w:w="768" w:type="pct"/>
            <w:shd w:val="clear" w:color="auto" w:fill="auto"/>
          </w:tcPr>
          <w:p w14:paraId="486C3829" w14:textId="77777777" w:rsidR="00F656F7" w:rsidRPr="00883399" w:rsidRDefault="00F656F7" w:rsidP="00F656F7">
            <w:pPr>
              <w:pStyle w:val="Tabletext0"/>
              <w:rPr>
                <w:sz w:val="22"/>
              </w:rPr>
            </w:pPr>
            <w:r w:rsidRPr="00883399">
              <w:rPr>
                <w:sz w:val="22"/>
              </w:rPr>
              <w:t>Textiles</w:t>
            </w:r>
          </w:p>
        </w:tc>
        <w:tc>
          <w:tcPr>
            <w:tcW w:w="938" w:type="pct"/>
            <w:shd w:val="clear" w:color="auto" w:fill="auto"/>
          </w:tcPr>
          <w:p w14:paraId="7AB34C51" w14:textId="77777777" w:rsidR="00F656F7" w:rsidRPr="00883399" w:rsidRDefault="00F656F7" w:rsidP="00F656F7">
            <w:pPr>
              <w:pStyle w:val="Tabletext0"/>
              <w:tabs>
                <w:tab w:val="decimal" w:pos="680"/>
              </w:tabs>
              <w:rPr>
                <w:sz w:val="22"/>
              </w:rPr>
            </w:pPr>
            <w:r w:rsidRPr="00883399">
              <w:rPr>
                <w:sz w:val="22"/>
              </w:rPr>
              <w:t>1.5</w:t>
            </w:r>
          </w:p>
        </w:tc>
        <w:tc>
          <w:tcPr>
            <w:tcW w:w="938" w:type="pct"/>
            <w:shd w:val="clear" w:color="auto" w:fill="auto"/>
          </w:tcPr>
          <w:p w14:paraId="4B83ADF2" w14:textId="77777777" w:rsidR="00F656F7" w:rsidRPr="00883399" w:rsidRDefault="00F656F7" w:rsidP="00F656F7">
            <w:pPr>
              <w:pStyle w:val="Tabletext0"/>
              <w:tabs>
                <w:tab w:val="decimal" w:pos="680"/>
              </w:tabs>
              <w:rPr>
                <w:sz w:val="22"/>
              </w:rPr>
            </w:pPr>
            <w:r w:rsidRPr="00883399">
              <w:rPr>
                <w:sz w:val="22"/>
              </w:rPr>
              <w:t>1.7</w:t>
            </w:r>
          </w:p>
        </w:tc>
        <w:tc>
          <w:tcPr>
            <w:tcW w:w="939" w:type="pct"/>
            <w:shd w:val="clear" w:color="auto" w:fill="auto"/>
          </w:tcPr>
          <w:p w14:paraId="15B4F3C2" w14:textId="77777777" w:rsidR="00F656F7" w:rsidRPr="00883399" w:rsidRDefault="00F656F7" w:rsidP="00F656F7">
            <w:pPr>
              <w:pStyle w:val="Tabletext0"/>
              <w:tabs>
                <w:tab w:val="decimal" w:pos="680"/>
              </w:tabs>
              <w:rPr>
                <w:sz w:val="22"/>
              </w:rPr>
            </w:pPr>
            <w:r w:rsidRPr="00883399">
              <w:rPr>
                <w:sz w:val="22"/>
              </w:rPr>
              <w:t>4</w:t>
            </w:r>
          </w:p>
        </w:tc>
        <w:tc>
          <w:tcPr>
            <w:tcW w:w="994" w:type="pct"/>
            <w:shd w:val="clear" w:color="auto" w:fill="auto"/>
          </w:tcPr>
          <w:p w14:paraId="59F820F5" w14:textId="77777777" w:rsidR="00F656F7" w:rsidRPr="00883399" w:rsidRDefault="00F656F7" w:rsidP="00F656F7">
            <w:pPr>
              <w:pStyle w:val="Tabletext0"/>
              <w:tabs>
                <w:tab w:val="decimal" w:pos="780"/>
              </w:tabs>
              <w:rPr>
                <w:sz w:val="22"/>
              </w:rPr>
            </w:pPr>
            <w:r w:rsidRPr="00883399">
              <w:rPr>
                <w:sz w:val="22"/>
              </w:rPr>
              <w:t>0</w:t>
            </w:r>
          </w:p>
        </w:tc>
      </w:tr>
      <w:tr w:rsidR="00F656F7" w:rsidRPr="00883399" w14:paraId="4A49164E" w14:textId="77777777" w:rsidTr="00F656F7">
        <w:tc>
          <w:tcPr>
            <w:tcW w:w="424" w:type="pct"/>
            <w:shd w:val="clear" w:color="auto" w:fill="auto"/>
          </w:tcPr>
          <w:p w14:paraId="0CA34D43" w14:textId="77777777" w:rsidR="00F656F7" w:rsidRPr="00883399" w:rsidRDefault="00F656F7" w:rsidP="00F656F7">
            <w:pPr>
              <w:pStyle w:val="Tabletext0"/>
              <w:rPr>
                <w:sz w:val="22"/>
              </w:rPr>
            </w:pPr>
            <w:r w:rsidRPr="00883399">
              <w:rPr>
                <w:sz w:val="22"/>
              </w:rPr>
              <w:t>6</w:t>
            </w:r>
          </w:p>
        </w:tc>
        <w:tc>
          <w:tcPr>
            <w:tcW w:w="768" w:type="pct"/>
            <w:shd w:val="clear" w:color="auto" w:fill="auto"/>
          </w:tcPr>
          <w:p w14:paraId="6FD7C280" w14:textId="77777777" w:rsidR="00F656F7" w:rsidRPr="00883399" w:rsidRDefault="00F656F7" w:rsidP="00F656F7">
            <w:pPr>
              <w:pStyle w:val="Tabletext0"/>
              <w:rPr>
                <w:sz w:val="22"/>
              </w:rPr>
            </w:pPr>
            <w:r w:rsidRPr="00883399">
              <w:rPr>
                <w:sz w:val="22"/>
              </w:rPr>
              <w:t>Sludge</w:t>
            </w:r>
          </w:p>
        </w:tc>
        <w:tc>
          <w:tcPr>
            <w:tcW w:w="938" w:type="pct"/>
            <w:shd w:val="clear" w:color="auto" w:fill="auto"/>
          </w:tcPr>
          <w:p w14:paraId="434DAD6C" w14:textId="77777777" w:rsidR="00F656F7" w:rsidRPr="00883399" w:rsidRDefault="00F656F7" w:rsidP="00F656F7">
            <w:pPr>
              <w:pStyle w:val="Tabletext0"/>
              <w:tabs>
                <w:tab w:val="decimal" w:pos="680"/>
              </w:tabs>
              <w:rPr>
                <w:sz w:val="22"/>
              </w:rPr>
            </w:pPr>
            <w:r w:rsidRPr="00883399">
              <w:rPr>
                <w:sz w:val="22"/>
              </w:rPr>
              <w:t>0</w:t>
            </w:r>
          </w:p>
        </w:tc>
        <w:tc>
          <w:tcPr>
            <w:tcW w:w="938" w:type="pct"/>
            <w:shd w:val="clear" w:color="auto" w:fill="auto"/>
          </w:tcPr>
          <w:p w14:paraId="1602EB11" w14:textId="77777777" w:rsidR="00F656F7" w:rsidRPr="00883399" w:rsidRDefault="00F656F7" w:rsidP="00F656F7">
            <w:pPr>
              <w:pStyle w:val="Tabletext0"/>
              <w:tabs>
                <w:tab w:val="decimal" w:pos="680"/>
              </w:tabs>
              <w:rPr>
                <w:sz w:val="22"/>
              </w:rPr>
            </w:pPr>
            <w:r w:rsidRPr="00883399">
              <w:rPr>
                <w:sz w:val="22"/>
              </w:rPr>
              <w:t>0</w:t>
            </w:r>
          </w:p>
        </w:tc>
        <w:tc>
          <w:tcPr>
            <w:tcW w:w="939" w:type="pct"/>
            <w:shd w:val="clear" w:color="auto" w:fill="auto"/>
          </w:tcPr>
          <w:p w14:paraId="0900B50F" w14:textId="77777777" w:rsidR="00F656F7" w:rsidRPr="00883399" w:rsidRDefault="00F656F7" w:rsidP="00F656F7">
            <w:pPr>
              <w:pStyle w:val="Tabletext0"/>
              <w:tabs>
                <w:tab w:val="decimal" w:pos="680"/>
              </w:tabs>
              <w:rPr>
                <w:sz w:val="22"/>
              </w:rPr>
            </w:pPr>
            <w:r w:rsidRPr="00883399">
              <w:rPr>
                <w:sz w:val="22"/>
              </w:rPr>
              <w:t>1.5</w:t>
            </w:r>
          </w:p>
        </w:tc>
        <w:tc>
          <w:tcPr>
            <w:tcW w:w="994" w:type="pct"/>
            <w:shd w:val="clear" w:color="auto" w:fill="auto"/>
          </w:tcPr>
          <w:p w14:paraId="7B2EB7AB" w14:textId="77777777" w:rsidR="00F656F7" w:rsidRPr="00883399" w:rsidRDefault="00F656F7" w:rsidP="00F656F7">
            <w:pPr>
              <w:pStyle w:val="Tabletext0"/>
              <w:tabs>
                <w:tab w:val="decimal" w:pos="780"/>
              </w:tabs>
              <w:rPr>
                <w:sz w:val="22"/>
              </w:rPr>
            </w:pPr>
            <w:r w:rsidRPr="00883399">
              <w:rPr>
                <w:sz w:val="22"/>
              </w:rPr>
              <w:t>0</w:t>
            </w:r>
          </w:p>
        </w:tc>
      </w:tr>
      <w:tr w:rsidR="00F656F7" w:rsidRPr="00883399" w14:paraId="3A9248E3" w14:textId="77777777" w:rsidTr="00F656F7">
        <w:tc>
          <w:tcPr>
            <w:tcW w:w="424" w:type="pct"/>
            <w:shd w:val="clear" w:color="auto" w:fill="auto"/>
          </w:tcPr>
          <w:p w14:paraId="70E9797D" w14:textId="77777777" w:rsidR="00F656F7" w:rsidRPr="00883399" w:rsidRDefault="00F656F7" w:rsidP="00F656F7">
            <w:pPr>
              <w:pStyle w:val="Tabletext0"/>
              <w:rPr>
                <w:sz w:val="22"/>
              </w:rPr>
            </w:pPr>
            <w:r w:rsidRPr="00883399">
              <w:rPr>
                <w:sz w:val="22"/>
              </w:rPr>
              <w:t>7</w:t>
            </w:r>
          </w:p>
        </w:tc>
        <w:tc>
          <w:tcPr>
            <w:tcW w:w="768" w:type="pct"/>
            <w:shd w:val="clear" w:color="auto" w:fill="auto"/>
          </w:tcPr>
          <w:p w14:paraId="47E6915E" w14:textId="77777777" w:rsidR="00F656F7" w:rsidRPr="00883399" w:rsidRDefault="00F656F7" w:rsidP="00F656F7">
            <w:pPr>
              <w:pStyle w:val="Tabletext0"/>
              <w:rPr>
                <w:sz w:val="22"/>
              </w:rPr>
            </w:pPr>
            <w:r w:rsidRPr="00883399">
              <w:rPr>
                <w:sz w:val="22"/>
              </w:rPr>
              <w:t>Nappies</w:t>
            </w:r>
          </w:p>
        </w:tc>
        <w:tc>
          <w:tcPr>
            <w:tcW w:w="938" w:type="pct"/>
            <w:shd w:val="clear" w:color="auto" w:fill="auto"/>
          </w:tcPr>
          <w:p w14:paraId="73639EC8" w14:textId="77777777" w:rsidR="00F656F7" w:rsidRPr="00883399" w:rsidRDefault="00F656F7" w:rsidP="00F656F7">
            <w:pPr>
              <w:pStyle w:val="Tabletext0"/>
              <w:tabs>
                <w:tab w:val="decimal" w:pos="680"/>
              </w:tabs>
              <w:rPr>
                <w:sz w:val="22"/>
              </w:rPr>
            </w:pPr>
            <w:r w:rsidRPr="00883399">
              <w:rPr>
                <w:sz w:val="22"/>
              </w:rPr>
              <w:t>4</w:t>
            </w:r>
          </w:p>
        </w:tc>
        <w:tc>
          <w:tcPr>
            <w:tcW w:w="938" w:type="pct"/>
            <w:shd w:val="clear" w:color="auto" w:fill="auto"/>
          </w:tcPr>
          <w:p w14:paraId="4FCF647A" w14:textId="77777777" w:rsidR="00F656F7" w:rsidRPr="00883399" w:rsidRDefault="00F656F7" w:rsidP="00F656F7">
            <w:pPr>
              <w:pStyle w:val="Tabletext0"/>
              <w:tabs>
                <w:tab w:val="decimal" w:pos="680"/>
              </w:tabs>
              <w:rPr>
                <w:sz w:val="22"/>
              </w:rPr>
            </w:pPr>
            <w:r w:rsidRPr="00883399">
              <w:rPr>
                <w:sz w:val="22"/>
              </w:rPr>
              <w:t>4.6</w:t>
            </w:r>
          </w:p>
        </w:tc>
        <w:tc>
          <w:tcPr>
            <w:tcW w:w="939" w:type="pct"/>
            <w:shd w:val="clear" w:color="auto" w:fill="auto"/>
          </w:tcPr>
          <w:p w14:paraId="624E860B" w14:textId="77777777" w:rsidR="00F656F7" w:rsidRPr="00883399" w:rsidRDefault="00F656F7" w:rsidP="00F656F7">
            <w:pPr>
              <w:pStyle w:val="Tabletext0"/>
              <w:tabs>
                <w:tab w:val="decimal" w:pos="680"/>
              </w:tabs>
              <w:rPr>
                <w:sz w:val="22"/>
              </w:rPr>
            </w:pPr>
            <w:r w:rsidRPr="00883399">
              <w:rPr>
                <w:sz w:val="22"/>
              </w:rPr>
              <w:t>0</w:t>
            </w:r>
          </w:p>
        </w:tc>
        <w:tc>
          <w:tcPr>
            <w:tcW w:w="994" w:type="pct"/>
            <w:shd w:val="clear" w:color="auto" w:fill="auto"/>
          </w:tcPr>
          <w:p w14:paraId="79793925" w14:textId="77777777" w:rsidR="00F656F7" w:rsidRPr="00883399" w:rsidRDefault="00F656F7" w:rsidP="00F656F7">
            <w:pPr>
              <w:pStyle w:val="Tabletext0"/>
              <w:tabs>
                <w:tab w:val="decimal" w:pos="780"/>
              </w:tabs>
              <w:rPr>
                <w:sz w:val="22"/>
              </w:rPr>
            </w:pPr>
            <w:r w:rsidRPr="00883399">
              <w:rPr>
                <w:sz w:val="22"/>
              </w:rPr>
              <w:t>0</w:t>
            </w:r>
          </w:p>
        </w:tc>
      </w:tr>
      <w:tr w:rsidR="00F656F7" w:rsidRPr="00883399" w14:paraId="453373A3" w14:textId="77777777" w:rsidTr="00F656F7">
        <w:tc>
          <w:tcPr>
            <w:tcW w:w="424" w:type="pct"/>
            <w:tcBorders>
              <w:bottom w:val="single" w:sz="4" w:space="0" w:color="auto"/>
            </w:tcBorders>
            <w:shd w:val="clear" w:color="auto" w:fill="auto"/>
          </w:tcPr>
          <w:p w14:paraId="1902FD77" w14:textId="77777777" w:rsidR="00F656F7" w:rsidRPr="00883399" w:rsidRDefault="00F656F7" w:rsidP="00F656F7">
            <w:pPr>
              <w:pStyle w:val="Tabletext0"/>
              <w:rPr>
                <w:sz w:val="22"/>
              </w:rPr>
            </w:pPr>
            <w:r w:rsidRPr="00883399">
              <w:rPr>
                <w:sz w:val="22"/>
              </w:rPr>
              <w:t>8</w:t>
            </w:r>
          </w:p>
        </w:tc>
        <w:tc>
          <w:tcPr>
            <w:tcW w:w="768" w:type="pct"/>
            <w:tcBorders>
              <w:bottom w:val="single" w:sz="4" w:space="0" w:color="auto"/>
            </w:tcBorders>
            <w:shd w:val="clear" w:color="auto" w:fill="auto"/>
          </w:tcPr>
          <w:p w14:paraId="22C27F45" w14:textId="77777777" w:rsidR="00F656F7" w:rsidRPr="00883399" w:rsidRDefault="00F656F7" w:rsidP="00F656F7">
            <w:pPr>
              <w:pStyle w:val="Tabletext0"/>
              <w:rPr>
                <w:sz w:val="22"/>
              </w:rPr>
            </w:pPr>
            <w:r w:rsidRPr="00883399">
              <w:rPr>
                <w:sz w:val="22"/>
              </w:rPr>
              <w:t>Rubber and leather</w:t>
            </w:r>
          </w:p>
        </w:tc>
        <w:tc>
          <w:tcPr>
            <w:tcW w:w="938" w:type="pct"/>
            <w:tcBorders>
              <w:bottom w:val="single" w:sz="4" w:space="0" w:color="auto"/>
            </w:tcBorders>
            <w:shd w:val="clear" w:color="auto" w:fill="auto"/>
          </w:tcPr>
          <w:p w14:paraId="1A994705" w14:textId="77777777" w:rsidR="00F656F7" w:rsidRPr="00883399" w:rsidRDefault="00F656F7" w:rsidP="00F656F7">
            <w:pPr>
              <w:pStyle w:val="Tabletext0"/>
              <w:tabs>
                <w:tab w:val="decimal" w:pos="680"/>
              </w:tabs>
              <w:rPr>
                <w:sz w:val="22"/>
              </w:rPr>
            </w:pPr>
            <w:r w:rsidRPr="00883399">
              <w:rPr>
                <w:sz w:val="22"/>
              </w:rPr>
              <w:t>1</w:t>
            </w:r>
          </w:p>
        </w:tc>
        <w:tc>
          <w:tcPr>
            <w:tcW w:w="938" w:type="pct"/>
            <w:tcBorders>
              <w:bottom w:val="single" w:sz="4" w:space="0" w:color="auto"/>
            </w:tcBorders>
            <w:shd w:val="clear" w:color="auto" w:fill="auto"/>
          </w:tcPr>
          <w:p w14:paraId="05465333" w14:textId="77777777" w:rsidR="00F656F7" w:rsidRPr="00883399" w:rsidRDefault="00F656F7" w:rsidP="00F656F7">
            <w:pPr>
              <w:pStyle w:val="Tabletext0"/>
              <w:tabs>
                <w:tab w:val="decimal" w:pos="680"/>
              </w:tabs>
              <w:rPr>
                <w:sz w:val="22"/>
              </w:rPr>
            </w:pPr>
            <w:r w:rsidRPr="00883399">
              <w:rPr>
                <w:sz w:val="22"/>
              </w:rPr>
              <w:t>1.2</w:t>
            </w:r>
          </w:p>
        </w:tc>
        <w:tc>
          <w:tcPr>
            <w:tcW w:w="939" w:type="pct"/>
            <w:tcBorders>
              <w:bottom w:val="single" w:sz="4" w:space="0" w:color="auto"/>
            </w:tcBorders>
            <w:shd w:val="clear" w:color="auto" w:fill="auto"/>
          </w:tcPr>
          <w:p w14:paraId="75F290D5" w14:textId="77777777" w:rsidR="00F656F7" w:rsidRPr="00883399" w:rsidRDefault="00F656F7" w:rsidP="00F656F7">
            <w:pPr>
              <w:pStyle w:val="Tabletext0"/>
              <w:tabs>
                <w:tab w:val="decimal" w:pos="680"/>
              </w:tabs>
              <w:rPr>
                <w:sz w:val="22"/>
              </w:rPr>
            </w:pPr>
            <w:r w:rsidRPr="00883399">
              <w:rPr>
                <w:sz w:val="22"/>
              </w:rPr>
              <w:t>3.5</w:t>
            </w:r>
          </w:p>
        </w:tc>
        <w:tc>
          <w:tcPr>
            <w:tcW w:w="994" w:type="pct"/>
            <w:tcBorders>
              <w:bottom w:val="single" w:sz="4" w:space="0" w:color="auto"/>
            </w:tcBorders>
            <w:shd w:val="clear" w:color="auto" w:fill="auto"/>
          </w:tcPr>
          <w:p w14:paraId="75AB3C41" w14:textId="77777777" w:rsidR="00F656F7" w:rsidRPr="00883399" w:rsidRDefault="00F656F7" w:rsidP="00F656F7">
            <w:pPr>
              <w:pStyle w:val="Tabletext0"/>
              <w:tabs>
                <w:tab w:val="decimal" w:pos="780"/>
              </w:tabs>
              <w:rPr>
                <w:sz w:val="22"/>
              </w:rPr>
            </w:pPr>
            <w:r w:rsidRPr="00883399">
              <w:rPr>
                <w:sz w:val="22"/>
              </w:rPr>
              <w:t>0</w:t>
            </w:r>
          </w:p>
        </w:tc>
      </w:tr>
      <w:tr w:rsidR="00F656F7" w:rsidRPr="00883399" w14:paraId="0129A957" w14:textId="77777777" w:rsidTr="00F656F7">
        <w:tc>
          <w:tcPr>
            <w:tcW w:w="424" w:type="pct"/>
            <w:tcBorders>
              <w:bottom w:val="single" w:sz="12" w:space="0" w:color="auto"/>
            </w:tcBorders>
            <w:shd w:val="clear" w:color="auto" w:fill="auto"/>
          </w:tcPr>
          <w:p w14:paraId="61E80EF4" w14:textId="77777777" w:rsidR="00F656F7" w:rsidRPr="00883399" w:rsidRDefault="00F656F7" w:rsidP="00F656F7">
            <w:pPr>
              <w:pStyle w:val="Tabletext0"/>
              <w:rPr>
                <w:sz w:val="22"/>
              </w:rPr>
            </w:pPr>
            <w:r w:rsidRPr="00883399">
              <w:rPr>
                <w:sz w:val="22"/>
              </w:rPr>
              <w:t>9</w:t>
            </w:r>
          </w:p>
        </w:tc>
        <w:tc>
          <w:tcPr>
            <w:tcW w:w="768" w:type="pct"/>
            <w:tcBorders>
              <w:bottom w:val="single" w:sz="12" w:space="0" w:color="auto"/>
            </w:tcBorders>
            <w:shd w:val="clear" w:color="auto" w:fill="auto"/>
          </w:tcPr>
          <w:p w14:paraId="1E927F35" w14:textId="77777777" w:rsidR="00F656F7" w:rsidRPr="00883399" w:rsidRDefault="00F656F7" w:rsidP="00F656F7">
            <w:pPr>
              <w:pStyle w:val="Tabletext0"/>
              <w:rPr>
                <w:rFonts w:eastAsiaTheme="minorHAnsi" w:cstheme="minorBidi"/>
                <w:sz w:val="22"/>
              </w:rPr>
            </w:pPr>
            <w:r w:rsidRPr="00883399">
              <w:rPr>
                <w:sz w:val="22"/>
              </w:rPr>
              <w:t>Inert waste</w:t>
            </w:r>
          </w:p>
        </w:tc>
        <w:tc>
          <w:tcPr>
            <w:tcW w:w="938" w:type="pct"/>
            <w:tcBorders>
              <w:bottom w:val="single" w:sz="12" w:space="0" w:color="auto"/>
            </w:tcBorders>
            <w:shd w:val="clear" w:color="auto" w:fill="auto"/>
          </w:tcPr>
          <w:p w14:paraId="7526E28D" w14:textId="77777777" w:rsidR="00F656F7" w:rsidRPr="00883399" w:rsidRDefault="00F656F7" w:rsidP="00F656F7">
            <w:pPr>
              <w:pStyle w:val="Tabletext0"/>
              <w:tabs>
                <w:tab w:val="decimal" w:pos="680"/>
              </w:tabs>
              <w:rPr>
                <w:sz w:val="22"/>
              </w:rPr>
            </w:pPr>
            <w:r w:rsidRPr="00883399">
              <w:rPr>
                <w:sz w:val="22"/>
              </w:rPr>
              <w:t>28</w:t>
            </w:r>
          </w:p>
        </w:tc>
        <w:tc>
          <w:tcPr>
            <w:tcW w:w="938" w:type="pct"/>
            <w:tcBorders>
              <w:bottom w:val="single" w:sz="12" w:space="0" w:color="auto"/>
            </w:tcBorders>
            <w:shd w:val="clear" w:color="auto" w:fill="auto"/>
          </w:tcPr>
          <w:p w14:paraId="6FCE344E" w14:textId="77777777" w:rsidR="00F656F7" w:rsidRPr="00883399" w:rsidRDefault="00F656F7" w:rsidP="00F656F7">
            <w:pPr>
              <w:pStyle w:val="Tabletext0"/>
              <w:tabs>
                <w:tab w:val="decimal" w:pos="680"/>
              </w:tabs>
              <w:rPr>
                <w:sz w:val="22"/>
              </w:rPr>
            </w:pPr>
            <w:r w:rsidRPr="00883399">
              <w:rPr>
                <w:sz w:val="22"/>
              </w:rPr>
              <w:t>32.1</w:t>
            </w:r>
          </w:p>
        </w:tc>
        <w:tc>
          <w:tcPr>
            <w:tcW w:w="939" w:type="pct"/>
            <w:tcBorders>
              <w:bottom w:val="single" w:sz="12" w:space="0" w:color="auto"/>
            </w:tcBorders>
            <w:shd w:val="clear" w:color="auto" w:fill="auto"/>
          </w:tcPr>
          <w:p w14:paraId="54B9828E" w14:textId="77777777" w:rsidR="00F656F7" w:rsidRPr="00883399" w:rsidRDefault="00F656F7" w:rsidP="00F656F7">
            <w:pPr>
              <w:pStyle w:val="Tabletext0"/>
              <w:tabs>
                <w:tab w:val="decimal" w:pos="680"/>
              </w:tabs>
              <w:rPr>
                <w:sz w:val="22"/>
              </w:rPr>
            </w:pPr>
            <w:r w:rsidRPr="00883399">
              <w:rPr>
                <w:sz w:val="22"/>
              </w:rPr>
              <w:t>37.5</w:t>
            </w:r>
          </w:p>
        </w:tc>
        <w:tc>
          <w:tcPr>
            <w:tcW w:w="994" w:type="pct"/>
            <w:tcBorders>
              <w:bottom w:val="single" w:sz="12" w:space="0" w:color="auto"/>
            </w:tcBorders>
            <w:shd w:val="clear" w:color="auto" w:fill="auto"/>
          </w:tcPr>
          <w:p w14:paraId="6BD262EA" w14:textId="77777777" w:rsidR="00F656F7" w:rsidRPr="00883399" w:rsidRDefault="00F656F7" w:rsidP="00F656F7">
            <w:pPr>
              <w:pStyle w:val="Tabletext0"/>
              <w:tabs>
                <w:tab w:val="decimal" w:pos="780"/>
              </w:tabs>
              <w:rPr>
                <w:sz w:val="22"/>
              </w:rPr>
            </w:pPr>
            <w:r w:rsidRPr="00883399">
              <w:rPr>
                <w:sz w:val="22"/>
              </w:rPr>
              <w:t>89</w:t>
            </w:r>
          </w:p>
        </w:tc>
      </w:tr>
    </w:tbl>
    <w:p w14:paraId="36522BAC" w14:textId="77777777" w:rsidR="00F656F7" w:rsidRPr="00883399" w:rsidRDefault="00F656F7" w:rsidP="00F656F7">
      <w:pPr>
        <w:pStyle w:val="notetext"/>
        <w:rPr>
          <w:sz w:val="20"/>
        </w:rPr>
      </w:pPr>
      <w:r w:rsidRPr="00883399">
        <w:rPr>
          <w:sz w:val="20"/>
        </w:rPr>
        <w:t>Example:</w:t>
      </w:r>
    </w:p>
    <w:p w14:paraId="096240C0" w14:textId="77777777" w:rsidR="00F656F7" w:rsidRPr="00883399" w:rsidRDefault="00F656F7" w:rsidP="00F656F7">
      <w:pPr>
        <w:pStyle w:val="notetext"/>
        <w:ind w:left="1134" w:firstLine="0"/>
        <w:rPr>
          <w:sz w:val="20"/>
        </w:rPr>
      </w:pPr>
      <w:r w:rsidRPr="00883399">
        <w:rPr>
          <w:sz w:val="20"/>
        </w:rPr>
        <w:t>A landfill in a State is licensed only to receive commercial and industrial waste. A condition of the licence is that the landfill is restricted to receiving no more than 5% (W</w:t>
      </w:r>
      <w:r w:rsidRPr="00883399">
        <w:rPr>
          <w:sz w:val="20"/>
          <w:vertAlign w:val="subscript"/>
        </w:rPr>
        <w:t>mtrmax</w:t>
      </w:r>
      <w:r w:rsidRPr="00883399">
        <w:rPr>
          <w:sz w:val="20"/>
        </w:rPr>
        <w:t xml:space="preserve"> = 5%) food waste in its deliveries. The landfill operator accounts for this restriction by using the formula for each unrestricted waste type (W</w:t>
      </w:r>
      <w:r w:rsidRPr="00883399">
        <w:rPr>
          <w:sz w:val="20"/>
          <w:vertAlign w:val="subscript"/>
        </w:rPr>
        <w:t>mtu</w:t>
      </w:r>
      <w:r w:rsidRPr="00883399">
        <w:rPr>
          <w:sz w:val="20"/>
        </w:rPr>
        <w:t>) in the table above. So, for paper and paper board waste, the calculation is:</w:t>
      </w:r>
    </w:p>
    <w:p w14:paraId="195ACDD5" w14:textId="77777777" w:rsidR="00F656F7" w:rsidRPr="00883399" w:rsidRDefault="00F656F7" w:rsidP="00F656F7">
      <w:pPr>
        <w:pStyle w:val="notetext"/>
        <w:spacing w:before="120" w:after="120"/>
        <w:rPr>
          <w:sz w:val="20"/>
        </w:rPr>
      </w:pPr>
      <w:r w:rsidRPr="00883399">
        <w:rPr>
          <w:noProof/>
          <w:sz w:val="20"/>
        </w:rPr>
        <w:drawing>
          <wp:inline distT="0" distB="0" distL="0" distR="0" wp14:anchorId="78B8D1CB" wp14:editId="65555D71">
            <wp:extent cx="3455670" cy="669925"/>
            <wp:effectExtent l="19050" t="0" r="0" b="0"/>
            <wp:docPr id="5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56"/>
                    <a:srcRect/>
                    <a:stretch>
                      <a:fillRect/>
                    </a:stretch>
                  </pic:blipFill>
                  <pic:spPr bwMode="auto">
                    <a:xfrm>
                      <a:off x="0" y="0"/>
                      <a:ext cx="3455670" cy="669925"/>
                    </a:xfrm>
                    <a:prstGeom prst="rect">
                      <a:avLst/>
                    </a:prstGeom>
                    <a:noFill/>
                    <a:ln w="9525">
                      <a:noFill/>
                      <a:miter lim="800000"/>
                      <a:headEnd/>
                      <a:tailEnd/>
                    </a:ln>
                  </pic:spPr>
                </pic:pic>
              </a:graphicData>
            </a:graphic>
          </wp:inline>
        </w:drawing>
      </w:r>
    </w:p>
    <w:p w14:paraId="4B97342D" w14:textId="77777777" w:rsidR="00F656F7" w:rsidRPr="00883399" w:rsidRDefault="00F656F7" w:rsidP="00F656F7">
      <w:pPr>
        <w:pStyle w:val="notetext"/>
        <w:ind w:left="1134" w:firstLine="0"/>
        <w:rPr>
          <w:sz w:val="20"/>
        </w:rPr>
      </w:pPr>
      <w:r w:rsidRPr="00883399">
        <w:rPr>
          <w:sz w:val="20"/>
        </w:rPr>
        <w:t>The operator would continue to use the formula for each unrestricted waste mix type. For the restricted waste mix type the percentage used is W</w:t>
      </w:r>
      <w:r w:rsidRPr="00883399">
        <w:rPr>
          <w:sz w:val="20"/>
          <w:vertAlign w:val="subscript"/>
        </w:rPr>
        <w:t>mtrmax</w:t>
      </w:r>
      <w:r w:rsidRPr="00883399">
        <w:rPr>
          <w:sz w:val="20"/>
        </w:rPr>
        <w:t>.</w:t>
      </w:r>
    </w:p>
    <w:p w14:paraId="02B98D59" w14:textId="77777777" w:rsidR="00F656F7" w:rsidRPr="00883399" w:rsidRDefault="00F656F7" w:rsidP="00F656F7">
      <w:pPr>
        <w:pStyle w:val="notetext"/>
        <w:rPr>
          <w:sz w:val="20"/>
          <w:szCs w:val="18"/>
        </w:rPr>
      </w:pPr>
      <w:r w:rsidRPr="00883399">
        <w:rPr>
          <w:sz w:val="20"/>
        </w:rPr>
        <w:t>The following table sets out all the relevant variables and results for this example</w:t>
      </w:r>
      <w:r w:rsidRPr="00883399">
        <w:rPr>
          <w:sz w:val="20"/>
          <w:szCs w:val="18"/>
        </w:rPr>
        <w:t>.</w:t>
      </w:r>
    </w:p>
    <w:p w14:paraId="2370517F" w14:textId="77777777" w:rsidR="00F656F7" w:rsidRPr="00883399" w:rsidRDefault="00F656F7" w:rsidP="00F656F7">
      <w:pPr>
        <w:pStyle w:val="Tabletext0"/>
        <w:rPr>
          <w:sz w:val="22"/>
        </w:rPr>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797"/>
        <w:gridCol w:w="3819"/>
        <w:gridCol w:w="918"/>
        <w:gridCol w:w="856"/>
        <w:gridCol w:w="974"/>
        <w:gridCol w:w="949"/>
      </w:tblGrid>
      <w:tr w:rsidR="00F656F7" w:rsidRPr="00883399" w14:paraId="3FE62A98" w14:textId="77777777" w:rsidTr="00F656F7">
        <w:trPr>
          <w:tblHeader/>
        </w:trPr>
        <w:tc>
          <w:tcPr>
            <w:tcW w:w="479" w:type="pct"/>
            <w:tcBorders>
              <w:top w:val="single" w:sz="12" w:space="0" w:color="auto"/>
              <w:bottom w:val="single" w:sz="12" w:space="0" w:color="auto"/>
            </w:tcBorders>
            <w:shd w:val="clear" w:color="auto" w:fill="auto"/>
          </w:tcPr>
          <w:p w14:paraId="26F33787" w14:textId="77777777" w:rsidR="00F656F7" w:rsidRPr="00883399" w:rsidRDefault="00F656F7" w:rsidP="00F656F7">
            <w:pPr>
              <w:pStyle w:val="TableHeading"/>
              <w:rPr>
                <w:sz w:val="22"/>
                <w:szCs w:val="18"/>
              </w:rPr>
            </w:pPr>
            <w:r w:rsidRPr="00883399">
              <w:rPr>
                <w:sz w:val="22"/>
                <w:szCs w:val="18"/>
              </w:rPr>
              <w:t>Item</w:t>
            </w:r>
          </w:p>
        </w:tc>
        <w:tc>
          <w:tcPr>
            <w:tcW w:w="2297" w:type="pct"/>
            <w:tcBorders>
              <w:top w:val="single" w:sz="12" w:space="0" w:color="auto"/>
              <w:bottom w:val="single" w:sz="12" w:space="0" w:color="auto"/>
            </w:tcBorders>
            <w:shd w:val="clear" w:color="auto" w:fill="auto"/>
          </w:tcPr>
          <w:p w14:paraId="5BA5FDF9" w14:textId="77777777" w:rsidR="00F656F7" w:rsidRPr="00883399" w:rsidRDefault="00F656F7" w:rsidP="00F656F7">
            <w:pPr>
              <w:pStyle w:val="TableHeading"/>
              <w:rPr>
                <w:sz w:val="22"/>
                <w:szCs w:val="18"/>
              </w:rPr>
            </w:pPr>
            <w:r w:rsidRPr="00883399">
              <w:rPr>
                <w:sz w:val="22"/>
                <w:szCs w:val="18"/>
              </w:rPr>
              <w:t>Waste mix type</w:t>
            </w:r>
          </w:p>
        </w:tc>
        <w:tc>
          <w:tcPr>
            <w:tcW w:w="552" w:type="pct"/>
            <w:tcBorders>
              <w:top w:val="single" w:sz="12" w:space="0" w:color="auto"/>
              <w:bottom w:val="single" w:sz="12" w:space="0" w:color="auto"/>
            </w:tcBorders>
            <w:shd w:val="clear" w:color="auto" w:fill="auto"/>
          </w:tcPr>
          <w:p w14:paraId="0A0D21B0" w14:textId="77777777" w:rsidR="00F656F7" w:rsidRPr="00883399" w:rsidRDefault="00F656F7" w:rsidP="00F656F7">
            <w:pPr>
              <w:pStyle w:val="TableHeading"/>
              <w:rPr>
                <w:sz w:val="22"/>
                <w:szCs w:val="18"/>
              </w:rPr>
            </w:pPr>
            <w:r w:rsidRPr="00883399">
              <w:rPr>
                <w:sz w:val="22"/>
                <w:szCs w:val="18"/>
              </w:rPr>
              <w:t>W</w:t>
            </w:r>
            <w:r w:rsidRPr="00883399">
              <w:rPr>
                <w:sz w:val="22"/>
                <w:szCs w:val="18"/>
                <w:vertAlign w:val="subscript"/>
              </w:rPr>
              <w:t xml:space="preserve">mtu </w:t>
            </w:r>
            <w:r w:rsidRPr="00883399">
              <w:rPr>
                <w:sz w:val="22"/>
                <w:szCs w:val="18"/>
                <w:vertAlign w:val="subscript"/>
              </w:rPr>
              <w:br/>
            </w:r>
            <w:r w:rsidRPr="00883399">
              <w:rPr>
                <w:sz w:val="22"/>
                <w:szCs w:val="18"/>
              </w:rPr>
              <w:t>(%)</w:t>
            </w:r>
          </w:p>
        </w:tc>
        <w:tc>
          <w:tcPr>
            <w:tcW w:w="515" w:type="pct"/>
            <w:tcBorders>
              <w:top w:val="single" w:sz="12" w:space="0" w:color="auto"/>
              <w:bottom w:val="single" w:sz="12" w:space="0" w:color="auto"/>
            </w:tcBorders>
            <w:shd w:val="clear" w:color="auto" w:fill="auto"/>
          </w:tcPr>
          <w:p w14:paraId="34D20374" w14:textId="77777777" w:rsidR="00F656F7" w:rsidRPr="00883399" w:rsidRDefault="00F656F7" w:rsidP="00F656F7">
            <w:pPr>
              <w:pStyle w:val="TableHeading"/>
              <w:rPr>
                <w:sz w:val="22"/>
                <w:szCs w:val="18"/>
              </w:rPr>
            </w:pPr>
            <w:r w:rsidRPr="00883399">
              <w:rPr>
                <w:sz w:val="22"/>
                <w:szCs w:val="18"/>
              </w:rPr>
              <w:t>W</w:t>
            </w:r>
            <w:r w:rsidRPr="00883399">
              <w:rPr>
                <w:sz w:val="22"/>
                <w:szCs w:val="18"/>
                <w:vertAlign w:val="subscript"/>
              </w:rPr>
              <w:t xml:space="preserve">mtr </w:t>
            </w:r>
            <w:r w:rsidRPr="00883399">
              <w:rPr>
                <w:sz w:val="22"/>
                <w:szCs w:val="18"/>
              </w:rPr>
              <w:t>(%)</w:t>
            </w:r>
          </w:p>
        </w:tc>
        <w:tc>
          <w:tcPr>
            <w:tcW w:w="586" w:type="pct"/>
            <w:tcBorders>
              <w:top w:val="single" w:sz="12" w:space="0" w:color="auto"/>
              <w:bottom w:val="single" w:sz="12" w:space="0" w:color="auto"/>
            </w:tcBorders>
            <w:shd w:val="clear" w:color="auto" w:fill="auto"/>
          </w:tcPr>
          <w:p w14:paraId="77DB3A8D" w14:textId="77777777" w:rsidR="00F656F7" w:rsidRPr="00883399" w:rsidRDefault="00F656F7" w:rsidP="00F656F7">
            <w:pPr>
              <w:pStyle w:val="TableHeading"/>
              <w:rPr>
                <w:sz w:val="22"/>
                <w:szCs w:val="18"/>
              </w:rPr>
            </w:pPr>
            <w:r w:rsidRPr="00883399">
              <w:rPr>
                <w:sz w:val="22"/>
                <w:szCs w:val="18"/>
              </w:rPr>
              <w:t>W</w:t>
            </w:r>
            <w:r w:rsidRPr="00883399">
              <w:rPr>
                <w:sz w:val="22"/>
                <w:szCs w:val="18"/>
                <w:vertAlign w:val="subscript"/>
              </w:rPr>
              <w:t xml:space="preserve">mtrmax </w:t>
            </w:r>
            <w:r w:rsidRPr="00883399">
              <w:rPr>
                <w:sz w:val="22"/>
                <w:szCs w:val="18"/>
              </w:rPr>
              <w:t>(%)</w:t>
            </w:r>
          </w:p>
        </w:tc>
        <w:tc>
          <w:tcPr>
            <w:tcW w:w="572" w:type="pct"/>
            <w:tcBorders>
              <w:top w:val="single" w:sz="12" w:space="0" w:color="auto"/>
              <w:bottom w:val="single" w:sz="12" w:space="0" w:color="auto"/>
            </w:tcBorders>
            <w:shd w:val="clear" w:color="auto" w:fill="auto"/>
          </w:tcPr>
          <w:p w14:paraId="30622304" w14:textId="77777777" w:rsidR="00F656F7" w:rsidRPr="00883399" w:rsidRDefault="00F656F7" w:rsidP="00F656F7">
            <w:pPr>
              <w:pStyle w:val="TableHeading"/>
              <w:rPr>
                <w:sz w:val="22"/>
                <w:szCs w:val="18"/>
              </w:rPr>
            </w:pPr>
            <w:r w:rsidRPr="00883399">
              <w:rPr>
                <w:sz w:val="22"/>
                <w:szCs w:val="18"/>
              </w:rPr>
              <w:t>Wmt</w:t>
            </w:r>
            <w:r w:rsidRPr="00883399">
              <w:rPr>
                <w:sz w:val="22"/>
                <w:szCs w:val="18"/>
                <w:vertAlign w:val="subscript"/>
              </w:rPr>
              <w:t xml:space="preserve">adj </w:t>
            </w:r>
            <w:r w:rsidRPr="00883399">
              <w:rPr>
                <w:sz w:val="22"/>
                <w:szCs w:val="18"/>
              </w:rPr>
              <w:t>(%)</w:t>
            </w:r>
          </w:p>
        </w:tc>
      </w:tr>
      <w:tr w:rsidR="00F656F7" w:rsidRPr="00883399" w14:paraId="7A41357D" w14:textId="77777777" w:rsidTr="00F656F7">
        <w:tc>
          <w:tcPr>
            <w:tcW w:w="479" w:type="pct"/>
            <w:tcBorders>
              <w:top w:val="single" w:sz="12" w:space="0" w:color="auto"/>
            </w:tcBorders>
            <w:shd w:val="clear" w:color="auto" w:fill="auto"/>
          </w:tcPr>
          <w:p w14:paraId="7BFCD066" w14:textId="77777777" w:rsidR="00F656F7" w:rsidRPr="00883399" w:rsidRDefault="00F656F7" w:rsidP="00F656F7">
            <w:pPr>
              <w:pStyle w:val="HeaderBoldOdd"/>
              <w:spacing w:before="60"/>
              <w:ind w:left="227"/>
              <w:rPr>
                <w:rFonts w:ascii="Times New Roman" w:hAnsi="Times New Roman"/>
                <w:b w:val="0"/>
                <w:szCs w:val="18"/>
              </w:rPr>
            </w:pPr>
            <w:r w:rsidRPr="00883399">
              <w:rPr>
                <w:rFonts w:ascii="Times New Roman" w:hAnsi="Times New Roman"/>
                <w:b w:val="0"/>
                <w:szCs w:val="18"/>
              </w:rPr>
              <w:t>1</w:t>
            </w:r>
          </w:p>
        </w:tc>
        <w:tc>
          <w:tcPr>
            <w:tcW w:w="2297" w:type="pct"/>
            <w:tcBorders>
              <w:top w:val="single" w:sz="12" w:space="0" w:color="auto"/>
            </w:tcBorders>
            <w:shd w:val="clear" w:color="auto" w:fill="auto"/>
          </w:tcPr>
          <w:p w14:paraId="2CD3C853" w14:textId="77777777" w:rsidR="00F656F7" w:rsidRPr="00883399" w:rsidRDefault="00F656F7" w:rsidP="00F656F7">
            <w:pPr>
              <w:pStyle w:val="Tabletext0"/>
              <w:rPr>
                <w:szCs w:val="18"/>
              </w:rPr>
            </w:pPr>
            <w:r w:rsidRPr="00883399">
              <w:rPr>
                <w:szCs w:val="18"/>
              </w:rPr>
              <w:t>Food</w:t>
            </w:r>
          </w:p>
        </w:tc>
        <w:tc>
          <w:tcPr>
            <w:tcW w:w="552" w:type="pct"/>
            <w:tcBorders>
              <w:top w:val="single" w:sz="12" w:space="0" w:color="auto"/>
            </w:tcBorders>
            <w:shd w:val="clear" w:color="auto" w:fill="auto"/>
          </w:tcPr>
          <w:p w14:paraId="53B8E7F3" w14:textId="77777777" w:rsidR="00F656F7" w:rsidRPr="00883399" w:rsidRDefault="00F656F7" w:rsidP="00F656F7">
            <w:pPr>
              <w:pStyle w:val="Tabletext0"/>
              <w:rPr>
                <w:szCs w:val="18"/>
              </w:rPr>
            </w:pPr>
          </w:p>
        </w:tc>
        <w:tc>
          <w:tcPr>
            <w:tcW w:w="515" w:type="pct"/>
            <w:tcBorders>
              <w:top w:val="single" w:sz="12" w:space="0" w:color="auto"/>
            </w:tcBorders>
            <w:shd w:val="clear" w:color="auto" w:fill="auto"/>
          </w:tcPr>
          <w:p w14:paraId="77A74046" w14:textId="77777777" w:rsidR="00F656F7" w:rsidRPr="00883399" w:rsidRDefault="00F656F7" w:rsidP="00F656F7">
            <w:pPr>
              <w:pStyle w:val="Tabletext0"/>
              <w:rPr>
                <w:szCs w:val="18"/>
              </w:rPr>
            </w:pPr>
            <w:r w:rsidRPr="00883399">
              <w:rPr>
                <w:szCs w:val="18"/>
              </w:rPr>
              <w:t>21.5</w:t>
            </w:r>
          </w:p>
        </w:tc>
        <w:tc>
          <w:tcPr>
            <w:tcW w:w="586" w:type="pct"/>
            <w:tcBorders>
              <w:top w:val="single" w:sz="12" w:space="0" w:color="auto"/>
            </w:tcBorders>
            <w:shd w:val="clear" w:color="auto" w:fill="auto"/>
          </w:tcPr>
          <w:p w14:paraId="6659A5F4" w14:textId="77777777" w:rsidR="00F656F7" w:rsidRPr="00883399" w:rsidRDefault="00F656F7" w:rsidP="00F656F7">
            <w:pPr>
              <w:pStyle w:val="Tabletext0"/>
              <w:rPr>
                <w:szCs w:val="18"/>
              </w:rPr>
            </w:pPr>
            <w:r w:rsidRPr="00883399">
              <w:rPr>
                <w:szCs w:val="18"/>
              </w:rPr>
              <w:t>5.0</w:t>
            </w:r>
          </w:p>
        </w:tc>
        <w:tc>
          <w:tcPr>
            <w:tcW w:w="572" w:type="pct"/>
            <w:tcBorders>
              <w:top w:val="single" w:sz="12" w:space="0" w:color="auto"/>
            </w:tcBorders>
            <w:shd w:val="clear" w:color="auto" w:fill="auto"/>
          </w:tcPr>
          <w:p w14:paraId="18406A78" w14:textId="77777777" w:rsidR="00F656F7" w:rsidRPr="00883399" w:rsidRDefault="00F656F7" w:rsidP="00F656F7">
            <w:pPr>
              <w:pStyle w:val="Tabletext0"/>
              <w:rPr>
                <w:szCs w:val="18"/>
              </w:rPr>
            </w:pPr>
          </w:p>
        </w:tc>
      </w:tr>
      <w:tr w:rsidR="00F656F7" w:rsidRPr="00883399" w14:paraId="7F769EFD" w14:textId="77777777" w:rsidTr="00F656F7">
        <w:tc>
          <w:tcPr>
            <w:tcW w:w="479" w:type="pct"/>
            <w:shd w:val="clear" w:color="auto" w:fill="auto"/>
          </w:tcPr>
          <w:p w14:paraId="32ADE995" w14:textId="77777777" w:rsidR="00F656F7" w:rsidRPr="00883399" w:rsidRDefault="00F656F7" w:rsidP="00F656F7">
            <w:pPr>
              <w:pStyle w:val="HeaderBoldOdd"/>
              <w:spacing w:before="60"/>
              <w:ind w:left="227"/>
              <w:rPr>
                <w:rFonts w:ascii="Times New Roman" w:hAnsi="Times New Roman"/>
                <w:b w:val="0"/>
                <w:szCs w:val="18"/>
              </w:rPr>
            </w:pPr>
            <w:r w:rsidRPr="00883399">
              <w:rPr>
                <w:rFonts w:ascii="Times New Roman" w:hAnsi="Times New Roman"/>
                <w:b w:val="0"/>
                <w:szCs w:val="18"/>
              </w:rPr>
              <w:t>2</w:t>
            </w:r>
          </w:p>
        </w:tc>
        <w:tc>
          <w:tcPr>
            <w:tcW w:w="2297" w:type="pct"/>
            <w:shd w:val="clear" w:color="auto" w:fill="auto"/>
          </w:tcPr>
          <w:p w14:paraId="54E6C5A1" w14:textId="77777777" w:rsidR="00F656F7" w:rsidRPr="00883399" w:rsidRDefault="00F656F7" w:rsidP="00F656F7">
            <w:pPr>
              <w:pStyle w:val="Tabletext0"/>
              <w:rPr>
                <w:szCs w:val="18"/>
              </w:rPr>
            </w:pPr>
            <w:r w:rsidRPr="00883399">
              <w:rPr>
                <w:szCs w:val="18"/>
              </w:rPr>
              <w:t>Paper and cardboard</w:t>
            </w:r>
          </w:p>
        </w:tc>
        <w:tc>
          <w:tcPr>
            <w:tcW w:w="552" w:type="pct"/>
            <w:shd w:val="clear" w:color="auto" w:fill="auto"/>
          </w:tcPr>
          <w:p w14:paraId="34389CC9" w14:textId="77777777" w:rsidR="00F656F7" w:rsidRPr="00883399" w:rsidRDefault="00F656F7" w:rsidP="00F656F7">
            <w:pPr>
              <w:pStyle w:val="Tabletext0"/>
              <w:rPr>
                <w:szCs w:val="18"/>
              </w:rPr>
            </w:pPr>
            <w:r w:rsidRPr="00883399">
              <w:rPr>
                <w:szCs w:val="18"/>
              </w:rPr>
              <w:t>15.5</w:t>
            </w:r>
          </w:p>
        </w:tc>
        <w:tc>
          <w:tcPr>
            <w:tcW w:w="515" w:type="pct"/>
            <w:shd w:val="clear" w:color="auto" w:fill="auto"/>
          </w:tcPr>
          <w:p w14:paraId="7AE3A90D" w14:textId="77777777" w:rsidR="00F656F7" w:rsidRPr="00883399" w:rsidRDefault="00F656F7" w:rsidP="00F656F7">
            <w:pPr>
              <w:pStyle w:val="Tabletext0"/>
              <w:rPr>
                <w:szCs w:val="18"/>
              </w:rPr>
            </w:pPr>
          </w:p>
        </w:tc>
        <w:tc>
          <w:tcPr>
            <w:tcW w:w="586" w:type="pct"/>
            <w:shd w:val="clear" w:color="auto" w:fill="auto"/>
          </w:tcPr>
          <w:p w14:paraId="0AD9565B" w14:textId="77777777" w:rsidR="00F656F7" w:rsidRPr="00883399" w:rsidRDefault="00F656F7" w:rsidP="00F656F7">
            <w:pPr>
              <w:pStyle w:val="Tabletext0"/>
              <w:rPr>
                <w:szCs w:val="18"/>
              </w:rPr>
            </w:pPr>
          </w:p>
        </w:tc>
        <w:tc>
          <w:tcPr>
            <w:tcW w:w="572" w:type="pct"/>
            <w:shd w:val="clear" w:color="auto" w:fill="auto"/>
          </w:tcPr>
          <w:p w14:paraId="4ED293A2" w14:textId="77777777" w:rsidR="00F656F7" w:rsidRPr="00883399" w:rsidRDefault="00F656F7" w:rsidP="00F656F7">
            <w:pPr>
              <w:pStyle w:val="Tabletext0"/>
              <w:rPr>
                <w:szCs w:val="18"/>
              </w:rPr>
            </w:pPr>
            <w:r w:rsidRPr="00883399">
              <w:rPr>
                <w:szCs w:val="18"/>
              </w:rPr>
              <w:t>18.8</w:t>
            </w:r>
          </w:p>
        </w:tc>
      </w:tr>
      <w:tr w:rsidR="00F656F7" w:rsidRPr="00883399" w14:paraId="0C7A43EC" w14:textId="77777777" w:rsidTr="00F656F7">
        <w:tc>
          <w:tcPr>
            <w:tcW w:w="479" w:type="pct"/>
            <w:shd w:val="clear" w:color="auto" w:fill="auto"/>
          </w:tcPr>
          <w:p w14:paraId="04BE5AC2" w14:textId="77777777" w:rsidR="00F656F7" w:rsidRPr="00883399" w:rsidRDefault="00F656F7" w:rsidP="00F656F7">
            <w:pPr>
              <w:pStyle w:val="HeaderBoldOdd"/>
              <w:spacing w:before="60"/>
              <w:ind w:left="227"/>
              <w:rPr>
                <w:rFonts w:ascii="Times New Roman" w:hAnsi="Times New Roman"/>
                <w:b w:val="0"/>
                <w:szCs w:val="18"/>
              </w:rPr>
            </w:pPr>
            <w:r w:rsidRPr="00883399">
              <w:rPr>
                <w:rFonts w:ascii="Times New Roman" w:hAnsi="Times New Roman"/>
                <w:b w:val="0"/>
                <w:szCs w:val="18"/>
              </w:rPr>
              <w:t>3</w:t>
            </w:r>
          </w:p>
        </w:tc>
        <w:tc>
          <w:tcPr>
            <w:tcW w:w="2297" w:type="pct"/>
            <w:shd w:val="clear" w:color="auto" w:fill="auto"/>
          </w:tcPr>
          <w:p w14:paraId="15AC67EC" w14:textId="77777777" w:rsidR="00F656F7" w:rsidRPr="00883399" w:rsidRDefault="00F656F7" w:rsidP="00F656F7">
            <w:pPr>
              <w:pStyle w:val="Tabletext0"/>
              <w:rPr>
                <w:szCs w:val="18"/>
              </w:rPr>
            </w:pPr>
            <w:r w:rsidRPr="00883399">
              <w:rPr>
                <w:szCs w:val="18"/>
              </w:rPr>
              <w:t>Garden and park</w:t>
            </w:r>
          </w:p>
        </w:tc>
        <w:tc>
          <w:tcPr>
            <w:tcW w:w="552" w:type="pct"/>
            <w:shd w:val="clear" w:color="auto" w:fill="auto"/>
          </w:tcPr>
          <w:p w14:paraId="121B78FE" w14:textId="77777777" w:rsidR="00F656F7" w:rsidRPr="00883399" w:rsidRDefault="00F656F7" w:rsidP="00F656F7">
            <w:pPr>
              <w:pStyle w:val="Tabletext0"/>
              <w:rPr>
                <w:szCs w:val="18"/>
              </w:rPr>
            </w:pPr>
            <w:r w:rsidRPr="00883399">
              <w:rPr>
                <w:szCs w:val="18"/>
              </w:rPr>
              <w:t>4.0</w:t>
            </w:r>
          </w:p>
        </w:tc>
        <w:tc>
          <w:tcPr>
            <w:tcW w:w="515" w:type="pct"/>
            <w:shd w:val="clear" w:color="auto" w:fill="auto"/>
          </w:tcPr>
          <w:p w14:paraId="42FD5ADA" w14:textId="77777777" w:rsidR="00F656F7" w:rsidRPr="00883399" w:rsidRDefault="00F656F7" w:rsidP="00F656F7">
            <w:pPr>
              <w:pStyle w:val="Tabletext0"/>
              <w:rPr>
                <w:szCs w:val="18"/>
              </w:rPr>
            </w:pPr>
          </w:p>
        </w:tc>
        <w:tc>
          <w:tcPr>
            <w:tcW w:w="586" w:type="pct"/>
            <w:shd w:val="clear" w:color="auto" w:fill="auto"/>
          </w:tcPr>
          <w:p w14:paraId="0C9327FA" w14:textId="77777777" w:rsidR="00F656F7" w:rsidRPr="00883399" w:rsidRDefault="00F656F7" w:rsidP="00F656F7">
            <w:pPr>
              <w:pStyle w:val="Tabletext0"/>
              <w:rPr>
                <w:szCs w:val="18"/>
              </w:rPr>
            </w:pPr>
          </w:p>
        </w:tc>
        <w:tc>
          <w:tcPr>
            <w:tcW w:w="572" w:type="pct"/>
            <w:shd w:val="clear" w:color="auto" w:fill="auto"/>
          </w:tcPr>
          <w:p w14:paraId="04715FF1" w14:textId="77777777" w:rsidR="00F656F7" w:rsidRPr="00883399" w:rsidRDefault="00F656F7" w:rsidP="00F656F7">
            <w:pPr>
              <w:pStyle w:val="Tabletext0"/>
              <w:rPr>
                <w:szCs w:val="18"/>
              </w:rPr>
            </w:pPr>
            <w:r w:rsidRPr="00883399">
              <w:rPr>
                <w:szCs w:val="18"/>
              </w:rPr>
              <w:t>4.8</w:t>
            </w:r>
          </w:p>
        </w:tc>
      </w:tr>
      <w:tr w:rsidR="00F656F7" w:rsidRPr="00883399" w14:paraId="383D0083" w14:textId="77777777" w:rsidTr="00F656F7">
        <w:tc>
          <w:tcPr>
            <w:tcW w:w="479" w:type="pct"/>
            <w:shd w:val="clear" w:color="auto" w:fill="auto"/>
          </w:tcPr>
          <w:p w14:paraId="498C5E05" w14:textId="77777777" w:rsidR="00F656F7" w:rsidRPr="00883399" w:rsidRDefault="00F656F7" w:rsidP="00F656F7">
            <w:pPr>
              <w:pStyle w:val="HeaderBoldOdd"/>
              <w:spacing w:before="60"/>
              <w:ind w:left="227"/>
              <w:rPr>
                <w:rFonts w:ascii="Times New Roman" w:hAnsi="Times New Roman"/>
                <w:b w:val="0"/>
                <w:szCs w:val="18"/>
              </w:rPr>
            </w:pPr>
            <w:r w:rsidRPr="00883399">
              <w:rPr>
                <w:rFonts w:ascii="Times New Roman" w:hAnsi="Times New Roman"/>
                <w:b w:val="0"/>
                <w:szCs w:val="18"/>
              </w:rPr>
              <w:t>4</w:t>
            </w:r>
          </w:p>
        </w:tc>
        <w:tc>
          <w:tcPr>
            <w:tcW w:w="2297" w:type="pct"/>
            <w:shd w:val="clear" w:color="auto" w:fill="auto"/>
          </w:tcPr>
          <w:p w14:paraId="28FFC2E1" w14:textId="77777777" w:rsidR="00F656F7" w:rsidRPr="00883399" w:rsidRDefault="00F656F7" w:rsidP="00F656F7">
            <w:pPr>
              <w:pStyle w:val="Tabletext0"/>
              <w:rPr>
                <w:szCs w:val="18"/>
              </w:rPr>
            </w:pPr>
            <w:r w:rsidRPr="00883399">
              <w:rPr>
                <w:szCs w:val="18"/>
              </w:rPr>
              <w:t>Wood and wood waste</w:t>
            </w:r>
          </w:p>
        </w:tc>
        <w:tc>
          <w:tcPr>
            <w:tcW w:w="552" w:type="pct"/>
            <w:shd w:val="clear" w:color="auto" w:fill="auto"/>
          </w:tcPr>
          <w:p w14:paraId="76E3FC24" w14:textId="77777777" w:rsidR="00F656F7" w:rsidRPr="00883399" w:rsidRDefault="00F656F7" w:rsidP="00F656F7">
            <w:pPr>
              <w:pStyle w:val="Tabletext0"/>
              <w:rPr>
                <w:szCs w:val="18"/>
              </w:rPr>
            </w:pPr>
            <w:r w:rsidRPr="00883399">
              <w:rPr>
                <w:szCs w:val="18"/>
              </w:rPr>
              <w:t>12.5</w:t>
            </w:r>
          </w:p>
        </w:tc>
        <w:tc>
          <w:tcPr>
            <w:tcW w:w="515" w:type="pct"/>
            <w:shd w:val="clear" w:color="auto" w:fill="auto"/>
          </w:tcPr>
          <w:p w14:paraId="234CD915" w14:textId="77777777" w:rsidR="00F656F7" w:rsidRPr="00883399" w:rsidRDefault="00F656F7" w:rsidP="00F656F7">
            <w:pPr>
              <w:pStyle w:val="Tabletext0"/>
              <w:rPr>
                <w:szCs w:val="18"/>
              </w:rPr>
            </w:pPr>
          </w:p>
        </w:tc>
        <w:tc>
          <w:tcPr>
            <w:tcW w:w="586" w:type="pct"/>
            <w:shd w:val="clear" w:color="auto" w:fill="auto"/>
          </w:tcPr>
          <w:p w14:paraId="5630B299" w14:textId="77777777" w:rsidR="00F656F7" w:rsidRPr="00883399" w:rsidRDefault="00F656F7" w:rsidP="00F656F7">
            <w:pPr>
              <w:pStyle w:val="Tabletext0"/>
              <w:rPr>
                <w:szCs w:val="18"/>
              </w:rPr>
            </w:pPr>
          </w:p>
        </w:tc>
        <w:tc>
          <w:tcPr>
            <w:tcW w:w="572" w:type="pct"/>
            <w:shd w:val="clear" w:color="auto" w:fill="auto"/>
          </w:tcPr>
          <w:p w14:paraId="25408BB9" w14:textId="77777777" w:rsidR="00F656F7" w:rsidRPr="00883399" w:rsidRDefault="00F656F7" w:rsidP="00F656F7">
            <w:pPr>
              <w:pStyle w:val="Tabletext0"/>
              <w:rPr>
                <w:szCs w:val="18"/>
              </w:rPr>
            </w:pPr>
            <w:r w:rsidRPr="00883399">
              <w:rPr>
                <w:szCs w:val="18"/>
              </w:rPr>
              <w:t>15.1</w:t>
            </w:r>
          </w:p>
        </w:tc>
      </w:tr>
      <w:tr w:rsidR="00F656F7" w:rsidRPr="00883399" w14:paraId="2BCEAC88" w14:textId="77777777" w:rsidTr="00F656F7">
        <w:tc>
          <w:tcPr>
            <w:tcW w:w="479" w:type="pct"/>
            <w:shd w:val="clear" w:color="auto" w:fill="auto"/>
          </w:tcPr>
          <w:p w14:paraId="1749864C" w14:textId="77777777" w:rsidR="00F656F7" w:rsidRPr="00883399" w:rsidRDefault="00F656F7" w:rsidP="00F656F7">
            <w:pPr>
              <w:pStyle w:val="HeaderBoldOdd"/>
              <w:spacing w:before="60"/>
              <w:ind w:left="227"/>
              <w:rPr>
                <w:rFonts w:ascii="Times New Roman" w:hAnsi="Times New Roman"/>
                <w:b w:val="0"/>
                <w:szCs w:val="18"/>
              </w:rPr>
            </w:pPr>
            <w:r w:rsidRPr="00883399">
              <w:rPr>
                <w:rFonts w:ascii="Times New Roman" w:hAnsi="Times New Roman"/>
                <w:b w:val="0"/>
                <w:szCs w:val="18"/>
              </w:rPr>
              <w:lastRenderedPageBreak/>
              <w:t>5</w:t>
            </w:r>
          </w:p>
        </w:tc>
        <w:tc>
          <w:tcPr>
            <w:tcW w:w="2297" w:type="pct"/>
            <w:shd w:val="clear" w:color="auto" w:fill="auto"/>
          </w:tcPr>
          <w:p w14:paraId="7AB1C9E1" w14:textId="77777777" w:rsidR="00F656F7" w:rsidRPr="00883399" w:rsidRDefault="00F656F7" w:rsidP="00F656F7">
            <w:pPr>
              <w:pStyle w:val="Tabletext0"/>
              <w:rPr>
                <w:szCs w:val="18"/>
              </w:rPr>
            </w:pPr>
            <w:r w:rsidRPr="00883399">
              <w:rPr>
                <w:szCs w:val="18"/>
              </w:rPr>
              <w:t>Textiles</w:t>
            </w:r>
          </w:p>
        </w:tc>
        <w:tc>
          <w:tcPr>
            <w:tcW w:w="552" w:type="pct"/>
            <w:shd w:val="clear" w:color="auto" w:fill="auto"/>
          </w:tcPr>
          <w:p w14:paraId="119AA664" w14:textId="77777777" w:rsidR="00F656F7" w:rsidRPr="00883399" w:rsidRDefault="00F656F7" w:rsidP="00F656F7">
            <w:pPr>
              <w:pStyle w:val="Tabletext0"/>
              <w:rPr>
                <w:szCs w:val="18"/>
              </w:rPr>
            </w:pPr>
            <w:r w:rsidRPr="00883399">
              <w:rPr>
                <w:szCs w:val="18"/>
              </w:rPr>
              <w:t>4.0</w:t>
            </w:r>
          </w:p>
        </w:tc>
        <w:tc>
          <w:tcPr>
            <w:tcW w:w="515" w:type="pct"/>
            <w:shd w:val="clear" w:color="auto" w:fill="auto"/>
          </w:tcPr>
          <w:p w14:paraId="74EE024C" w14:textId="77777777" w:rsidR="00F656F7" w:rsidRPr="00883399" w:rsidRDefault="00F656F7" w:rsidP="00F656F7">
            <w:pPr>
              <w:pStyle w:val="Tabletext0"/>
              <w:rPr>
                <w:szCs w:val="18"/>
              </w:rPr>
            </w:pPr>
          </w:p>
        </w:tc>
        <w:tc>
          <w:tcPr>
            <w:tcW w:w="586" w:type="pct"/>
            <w:shd w:val="clear" w:color="auto" w:fill="auto"/>
          </w:tcPr>
          <w:p w14:paraId="69DB11BF" w14:textId="77777777" w:rsidR="00F656F7" w:rsidRPr="00883399" w:rsidRDefault="00F656F7" w:rsidP="00F656F7">
            <w:pPr>
              <w:pStyle w:val="Tabletext0"/>
              <w:rPr>
                <w:szCs w:val="18"/>
              </w:rPr>
            </w:pPr>
          </w:p>
        </w:tc>
        <w:tc>
          <w:tcPr>
            <w:tcW w:w="572" w:type="pct"/>
            <w:shd w:val="clear" w:color="auto" w:fill="auto"/>
          </w:tcPr>
          <w:p w14:paraId="1444BB35" w14:textId="77777777" w:rsidR="00F656F7" w:rsidRPr="00883399" w:rsidRDefault="00F656F7" w:rsidP="00F656F7">
            <w:pPr>
              <w:pStyle w:val="Tabletext0"/>
              <w:rPr>
                <w:szCs w:val="18"/>
              </w:rPr>
            </w:pPr>
            <w:r w:rsidRPr="00883399">
              <w:rPr>
                <w:szCs w:val="18"/>
              </w:rPr>
              <w:t>4.8</w:t>
            </w:r>
          </w:p>
        </w:tc>
      </w:tr>
      <w:tr w:rsidR="00F656F7" w:rsidRPr="00883399" w14:paraId="0F40762B" w14:textId="77777777" w:rsidTr="00F656F7">
        <w:tc>
          <w:tcPr>
            <w:tcW w:w="479" w:type="pct"/>
            <w:shd w:val="clear" w:color="auto" w:fill="auto"/>
          </w:tcPr>
          <w:p w14:paraId="32BDB3CD" w14:textId="77777777" w:rsidR="00F656F7" w:rsidRPr="00883399" w:rsidRDefault="00F656F7" w:rsidP="00F656F7">
            <w:pPr>
              <w:pStyle w:val="HeaderBoldOdd"/>
              <w:spacing w:before="60"/>
              <w:ind w:left="227"/>
              <w:rPr>
                <w:rFonts w:ascii="Times New Roman" w:hAnsi="Times New Roman"/>
                <w:b w:val="0"/>
                <w:szCs w:val="18"/>
              </w:rPr>
            </w:pPr>
            <w:r w:rsidRPr="00883399">
              <w:rPr>
                <w:rFonts w:ascii="Times New Roman" w:hAnsi="Times New Roman"/>
                <w:b w:val="0"/>
                <w:szCs w:val="18"/>
              </w:rPr>
              <w:t>6</w:t>
            </w:r>
          </w:p>
        </w:tc>
        <w:tc>
          <w:tcPr>
            <w:tcW w:w="2297" w:type="pct"/>
            <w:shd w:val="clear" w:color="auto" w:fill="auto"/>
          </w:tcPr>
          <w:p w14:paraId="32A78382" w14:textId="77777777" w:rsidR="00F656F7" w:rsidRPr="00883399" w:rsidRDefault="00F656F7" w:rsidP="00F656F7">
            <w:pPr>
              <w:pStyle w:val="Tabletext0"/>
              <w:rPr>
                <w:szCs w:val="18"/>
              </w:rPr>
            </w:pPr>
            <w:r w:rsidRPr="00883399">
              <w:rPr>
                <w:szCs w:val="18"/>
              </w:rPr>
              <w:t>Sludge</w:t>
            </w:r>
          </w:p>
        </w:tc>
        <w:tc>
          <w:tcPr>
            <w:tcW w:w="552" w:type="pct"/>
            <w:shd w:val="clear" w:color="auto" w:fill="auto"/>
          </w:tcPr>
          <w:p w14:paraId="5F6CE95E" w14:textId="77777777" w:rsidR="00F656F7" w:rsidRPr="00883399" w:rsidRDefault="00F656F7" w:rsidP="00F656F7">
            <w:pPr>
              <w:pStyle w:val="Tabletext0"/>
              <w:rPr>
                <w:szCs w:val="18"/>
              </w:rPr>
            </w:pPr>
            <w:r w:rsidRPr="00883399">
              <w:rPr>
                <w:szCs w:val="18"/>
              </w:rPr>
              <w:t>1.5</w:t>
            </w:r>
          </w:p>
        </w:tc>
        <w:tc>
          <w:tcPr>
            <w:tcW w:w="515" w:type="pct"/>
            <w:shd w:val="clear" w:color="auto" w:fill="auto"/>
          </w:tcPr>
          <w:p w14:paraId="70419E80" w14:textId="77777777" w:rsidR="00F656F7" w:rsidRPr="00883399" w:rsidRDefault="00F656F7" w:rsidP="00F656F7">
            <w:pPr>
              <w:pStyle w:val="Tabletext0"/>
              <w:rPr>
                <w:szCs w:val="18"/>
              </w:rPr>
            </w:pPr>
          </w:p>
        </w:tc>
        <w:tc>
          <w:tcPr>
            <w:tcW w:w="586" w:type="pct"/>
            <w:shd w:val="clear" w:color="auto" w:fill="auto"/>
          </w:tcPr>
          <w:p w14:paraId="206A8F29" w14:textId="77777777" w:rsidR="00F656F7" w:rsidRPr="00883399" w:rsidRDefault="00F656F7" w:rsidP="00F656F7">
            <w:pPr>
              <w:pStyle w:val="Tabletext0"/>
              <w:rPr>
                <w:szCs w:val="18"/>
              </w:rPr>
            </w:pPr>
          </w:p>
        </w:tc>
        <w:tc>
          <w:tcPr>
            <w:tcW w:w="572" w:type="pct"/>
            <w:shd w:val="clear" w:color="auto" w:fill="auto"/>
          </w:tcPr>
          <w:p w14:paraId="3302D8B5" w14:textId="77777777" w:rsidR="00F656F7" w:rsidRPr="00883399" w:rsidRDefault="00F656F7" w:rsidP="00F656F7">
            <w:pPr>
              <w:pStyle w:val="Tabletext0"/>
              <w:rPr>
                <w:szCs w:val="18"/>
              </w:rPr>
            </w:pPr>
            <w:r w:rsidRPr="00883399">
              <w:rPr>
                <w:szCs w:val="18"/>
              </w:rPr>
              <w:t>1.8</w:t>
            </w:r>
          </w:p>
        </w:tc>
      </w:tr>
      <w:tr w:rsidR="00F656F7" w:rsidRPr="00883399" w14:paraId="04039B30" w14:textId="77777777" w:rsidTr="00F656F7">
        <w:tc>
          <w:tcPr>
            <w:tcW w:w="479" w:type="pct"/>
            <w:shd w:val="clear" w:color="auto" w:fill="auto"/>
          </w:tcPr>
          <w:p w14:paraId="3701FE01" w14:textId="77777777" w:rsidR="00F656F7" w:rsidRPr="00883399" w:rsidRDefault="00F656F7" w:rsidP="00F656F7">
            <w:pPr>
              <w:pStyle w:val="HeaderBoldOdd"/>
              <w:spacing w:before="60"/>
              <w:ind w:left="227"/>
              <w:rPr>
                <w:rFonts w:ascii="Times New Roman" w:hAnsi="Times New Roman"/>
                <w:b w:val="0"/>
                <w:szCs w:val="18"/>
              </w:rPr>
            </w:pPr>
            <w:r w:rsidRPr="00883399">
              <w:rPr>
                <w:rFonts w:ascii="Times New Roman" w:hAnsi="Times New Roman"/>
                <w:b w:val="0"/>
                <w:szCs w:val="18"/>
              </w:rPr>
              <w:t>7</w:t>
            </w:r>
          </w:p>
        </w:tc>
        <w:tc>
          <w:tcPr>
            <w:tcW w:w="2297" w:type="pct"/>
            <w:shd w:val="clear" w:color="auto" w:fill="auto"/>
          </w:tcPr>
          <w:p w14:paraId="627A308C" w14:textId="77777777" w:rsidR="00F656F7" w:rsidRPr="00883399" w:rsidRDefault="00F656F7" w:rsidP="00F656F7">
            <w:pPr>
              <w:pStyle w:val="Tabletext0"/>
              <w:rPr>
                <w:szCs w:val="18"/>
              </w:rPr>
            </w:pPr>
            <w:r w:rsidRPr="00883399">
              <w:rPr>
                <w:szCs w:val="18"/>
              </w:rPr>
              <w:t>Nappies</w:t>
            </w:r>
          </w:p>
        </w:tc>
        <w:tc>
          <w:tcPr>
            <w:tcW w:w="552" w:type="pct"/>
            <w:shd w:val="clear" w:color="auto" w:fill="auto"/>
          </w:tcPr>
          <w:p w14:paraId="04A54FF1" w14:textId="77777777" w:rsidR="00F656F7" w:rsidRPr="00883399" w:rsidRDefault="00F656F7" w:rsidP="00F656F7">
            <w:pPr>
              <w:pStyle w:val="Tabletext0"/>
              <w:rPr>
                <w:szCs w:val="18"/>
              </w:rPr>
            </w:pPr>
            <w:r w:rsidRPr="00883399">
              <w:rPr>
                <w:szCs w:val="18"/>
              </w:rPr>
              <w:t>0.0</w:t>
            </w:r>
          </w:p>
        </w:tc>
        <w:tc>
          <w:tcPr>
            <w:tcW w:w="515" w:type="pct"/>
            <w:shd w:val="clear" w:color="auto" w:fill="auto"/>
          </w:tcPr>
          <w:p w14:paraId="54F8854D" w14:textId="77777777" w:rsidR="00F656F7" w:rsidRPr="00883399" w:rsidRDefault="00F656F7" w:rsidP="00F656F7">
            <w:pPr>
              <w:pStyle w:val="Tabletext0"/>
              <w:rPr>
                <w:szCs w:val="18"/>
              </w:rPr>
            </w:pPr>
          </w:p>
        </w:tc>
        <w:tc>
          <w:tcPr>
            <w:tcW w:w="586" w:type="pct"/>
            <w:shd w:val="clear" w:color="auto" w:fill="auto"/>
          </w:tcPr>
          <w:p w14:paraId="5D1EB004" w14:textId="77777777" w:rsidR="00F656F7" w:rsidRPr="00883399" w:rsidRDefault="00F656F7" w:rsidP="00F656F7">
            <w:pPr>
              <w:pStyle w:val="Tabletext0"/>
              <w:rPr>
                <w:szCs w:val="18"/>
              </w:rPr>
            </w:pPr>
          </w:p>
        </w:tc>
        <w:tc>
          <w:tcPr>
            <w:tcW w:w="572" w:type="pct"/>
            <w:shd w:val="clear" w:color="auto" w:fill="auto"/>
          </w:tcPr>
          <w:p w14:paraId="7D536982" w14:textId="77777777" w:rsidR="00F656F7" w:rsidRPr="00883399" w:rsidRDefault="00F656F7" w:rsidP="00F656F7">
            <w:pPr>
              <w:pStyle w:val="Tabletext0"/>
              <w:rPr>
                <w:szCs w:val="18"/>
              </w:rPr>
            </w:pPr>
            <w:r w:rsidRPr="00883399">
              <w:rPr>
                <w:szCs w:val="18"/>
              </w:rPr>
              <w:t>0.0</w:t>
            </w:r>
          </w:p>
        </w:tc>
      </w:tr>
      <w:tr w:rsidR="00F656F7" w:rsidRPr="00883399" w14:paraId="1689BFF8" w14:textId="77777777" w:rsidTr="00F656F7">
        <w:tc>
          <w:tcPr>
            <w:tcW w:w="479" w:type="pct"/>
            <w:tcBorders>
              <w:bottom w:val="single" w:sz="4" w:space="0" w:color="auto"/>
            </w:tcBorders>
            <w:shd w:val="clear" w:color="auto" w:fill="auto"/>
          </w:tcPr>
          <w:p w14:paraId="196536C3" w14:textId="77777777" w:rsidR="00F656F7" w:rsidRPr="00883399" w:rsidRDefault="00F656F7" w:rsidP="00F656F7">
            <w:pPr>
              <w:pStyle w:val="HeaderBoldOdd"/>
              <w:spacing w:before="60"/>
              <w:ind w:left="227"/>
              <w:rPr>
                <w:rFonts w:ascii="Times New Roman" w:hAnsi="Times New Roman"/>
                <w:b w:val="0"/>
                <w:szCs w:val="18"/>
              </w:rPr>
            </w:pPr>
            <w:r w:rsidRPr="00883399">
              <w:rPr>
                <w:rFonts w:ascii="Times New Roman" w:hAnsi="Times New Roman"/>
                <w:b w:val="0"/>
                <w:szCs w:val="18"/>
              </w:rPr>
              <w:t>8</w:t>
            </w:r>
          </w:p>
        </w:tc>
        <w:tc>
          <w:tcPr>
            <w:tcW w:w="2297" w:type="pct"/>
            <w:tcBorders>
              <w:bottom w:val="single" w:sz="4" w:space="0" w:color="auto"/>
            </w:tcBorders>
            <w:shd w:val="clear" w:color="auto" w:fill="auto"/>
          </w:tcPr>
          <w:p w14:paraId="5AF2A4C4" w14:textId="77777777" w:rsidR="00F656F7" w:rsidRPr="00883399" w:rsidRDefault="00F656F7" w:rsidP="00F656F7">
            <w:pPr>
              <w:pStyle w:val="Tabletext0"/>
              <w:rPr>
                <w:szCs w:val="18"/>
              </w:rPr>
            </w:pPr>
            <w:r w:rsidRPr="00883399">
              <w:rPr>
                <w:szCs w:val="18"/>
              </w:rPr>
              <w:t>Rubber and leather</w:t>
            </w:r>
          </w:p>
        </w:tc>
        <w:tc>
          <w:tcPr>
            <w:tcW w:w="552" w:type="pct"/>
            <w:tcBorders>
              <w:bottom w:val="single" w:sz="4" w:space="0" w:color="auto"/>
            </w:tcBorders>
            <w:shd w:val="clear" w:color="auto" w:fill="auto"/>
          </w:tcPr>
          <w:p w14:paraId="29A7C973" w14:textId="77777777" w:rsidR="00F656F7" w:rsidRPr="00883399" w:rsidRDefault="00F656F7" w:rsidP="00F656F7">
            <w:pPr>
              <w:pStyle w:val="Tabletext0"/>
              <w:rPr>
                <w:szCs w:val="18"/>
              </w:rPr>
            </w:pPr>
            <w:r w:rsidRPr="00883399">
              <w:rPr>
                <w:szCs w:val="18"/>
              </w:rPr>
              <w:t>3.5</w:t>
            </w:r>
          </w:p>
        </w:tc>
        <w:tc>
          <w:tcPr>
            <w:tcW w:w="515" w:type="pct"/>
            <w:tcBorders>
              <w:bottom w:val="single" w:sz="4" w:space="0" w:color="auto"/>
            </w:tcBorders>
            <w:shd w:val="clear" w:color="auto" w:fill="auto"/>
          </w:tcPr>
          <w:p w14:paraId="24E7F6E1" w14:textId="77777777" w:rsidR="00F656F7" w:rsidRPr="00883399" w:rsidRDefault="00F656F7" w:rsidP="00F656F7">
            <w:pPr>
              <w:pStyle w:val="Tabletext0"/>
              <w:rPr>
                <w:szCs w:val="18"/>
              </w:rPr>
            </w:pPr>
          </w:p>
        </w:tc>
        <w:tc>
          <w:tcPr>
            <w:tcW w:w="586" w:type="pct"/>
            <w:tcBorders>
              <w:bottom w:val="single" w:sz="4" w:space="0" w:color="auto"/>
            </w:tcBorders>
            <w:shd w:val="clear" w:color="auto" w:fill="auto"/>
          </w:tcPr>
          <w:p w14:paraId="71F6CEC2" w14:textId="77777777" w:rsidR="00F656F7" w:rsidRPr="00883399" w:rsidRDefault="00F656F7" w:rsidP="00F656F7">
            <w:pPr>
              <w:pStyle w:val="Tabletext0"/>
              <w:rPr>
                <w:szCs w:val="18"/>
              </w:rPr>
            </w:pPr>
          </w:p>
        </w:tc>
        <w:tc>
          <w:tcPr>
            <w:tcW w:w="572" w:type="pct"/>
            <w:tcBorders>
              <w:bottom w:val="single" w:sz="4" w:space="0" w:color="auto"/>
            </w:tcBorders>
            <w:shd w:val="clear" w:color="auto" w:fill="auto"/>
          </w:tcPr>
          <w:p w14:paraId="2466CB16" w14:textId="77777777" w:rsidR="00F656F7" w:rsidRPr="00883399" w:rsidRDefault="00F656F7" w:rsidP="00F656F7">
            <w:pPr>
              <w:pStyle w:val="Tabletext0"/>
              <w:rPr>
                <w:szCs w:val="18"/>
              </w:rPr>
            </w:pPr>
            <w:r w:rsidRPr="00883399">
              <w:rPr>
                <w:szCs w:val="18"/>
              </w:rPr>
              <w:t>4.2</w:t>
            </w:r>
          </w:p>
        </w:tc>
      </w:tr>
      <w:tr w:rsidR="00F656F7" w:rsidRPr="00883399" w14:paraId="063D57CA" w14:textId="77777777" w:rsidTr="00F656F7">
        <w:tc>
          <w:tcPr>
            <w:tcW w:w="479" w:type="pct"/>
            <w:tcBorders>
              <w:bottom w:val="single" w:sz="12" w:space="0" w:color="auto"/>
            </w:tcBorders>
            <w:shd w:val="clear" w:color="auto" w:fill="auto"/>
          </w:tcPr>
          <w:p w14:paraId="3D9650AE" w14:textId="77777777" w:rsidR="00F656F7" w:rsidRPr="00883399" w:rsidRDefault="00F656F7" w:rsidP="00F656F7">
            <w:pPr>
              <w:pStyle w:val="HeaderBoldOdd"/>
              <w:spacing w:before="60"/>
              <w:ind w:left="227"/>
              <w:rPr>
                <w:rFonts w:ascii="Times New Roman" w:hAnsi="Times New Roman"/>
                <w:b w:val="0"/>
                <w:szCs w:val="18"/>
              </w:rPr>
            </w:pPr>
            <w:r w:rsidRPr="00883399">
              <w:rPr>
                <w:rFonts w:ascii="Times New Roman" w:hAnsi="Times New Roman"/>
                <w:b w:val="0"/>
                <w:szCs w:val="18"/>
              </w:rPr>
              <w:t>9</w:t>
            </w:r>
          </w:p>
        </w:tc>
        <w:tc>
          <w:tcPr>
            <w:tcW w:w="2297" w:type="pct"/>
            <w:tcBorders>
              <w:bottom w:val="single" w:sz="12" w:space="0" w:color="auto"/>
            </w:tcBorders>
            <w:shd w:val="clear" w:color="auto" w:fill="auto"/>
          </w:tcPr>
          <w:p w14:paraId="4AA1F6E8" w14:textId="77777777" w:rsidR="00F656F7" w:rsidRPr="00883399" w:rsidRDefault="00F656F7" w:rsidP="00F656F7">
            <w:pPr>
              <w:pStyle w:val="Tabletext0"/>
              <w:rPr>
                <w:szCs w:val="18"/>
              </w:rPr>
            </w:pPr>
            <w:r w:rsidRPr="00883399">
              <w:rPr>
                <w:szCs w:val="18"/>
              </w:rPr>
              <w:t>Inert waste</w:t>
            </w:r>
          </w:p>
        </w:tc>
        <w:tc>
          <w:tcPr>
            <w:tcW w:w="552" w:type="pct"/>
            <w:tcBorders>
              <w:bottom w:val="single" w:sz="12" w:space="0" w:color="auto"/>
            </w:tcBorders>
            <w:shd w:val="clear" w:color="auto" w:fill="auto"/>
          </w:tcPr>
          <w:p w14:paraId="4289F800" w14:textId="77777777" w:rsidR="00F656F7" w:rsidRPr="00883399" w:rsidRDefault="00F656F7" w:rsidP="00F656F7">
            <w:pPr>
              <w:pStyle w:val="Tabletext0"/>
              <w:rPr>
                <w:szCs w:val="18"/>
              </w:rPr>
            </w:pPr>
            <w:r w:rsidRPr="00883399">
              <w:rPr>
                <w:szCs w:val="18"/>
              </w:rPr>
              <w:t>37.5</w:t>
            </w:r>
          </w:p>
        </w:tc>
        <w:tc>
          <w:tcPr>
            <w:tcW w:w="515" w:type="pct"/>
            <w:tcBorders>
              <w:bottom w:val="single" w:sz="12" w:space="0" w:color="auto"/>
            </w:tcBorders>
            <w:shd w:val="clear" w:color="auto" w:fill="auto"/>
          </w:tcPr>
          <w:p w14:paraId="41FBEA0C" w14:textId="77777777" w:rsidR="00F656F7" w:rsidRPr="00883399" w:rsidRDefault="00F656F7" w:rsidP="00F656F7">
            <w:pPr>
              <w:pStyle w:val="Tabletext0"/>
              <w:rPr>
                <w:szCs w:val="18"/>
              </w:rPr>
            </w:pPr>
          </w:p>
        </w:tc>
        <w:tc>
          <w:tcPr>
            <w:tcW w:w="586" w:type="pct"/>
            <w:tcBorders>
              <w:bottom w:val="single" w:sz="12" w:space="0" w:color="auto"/>
            </w:tcBorders>
            <w:shd w:val="clear" w:color="auto" w:fill="auto"/>
          </w:tcPr>
          <w:p w14:paraId="784EA439" w14:textId="77777777" w:rsidR="00F656F7" w:rsidRPr="00883399" w:rsidRDefault="00F656F7" w:rsidP="00F656F7">
            <w:pPr>
              <w:pStyle w:val="Tabletext0"/>
              <w:rPr>
                <w:szCs w:val="18"/>
              </w:rPr>
            </w:pPr>
          </w:p>
        </w:tc>
        <w:tc>
          <w:tcPr>
            <w:tcW w:w="572" w:type="pct"/>
            <w:tcBorders>
              <w:bottom w:val="single" w:sz="12" w:space="0" w:color="auto"/>
            </w:tcBorders>
            <w:shd w:val="clear" w:color="auto" w:fill="auto"/>
          </w:tcPr>
          <w:p w14:paraId="7BFF250D" w14:textId="77777777" w:rsidR="00F656F7" w:rsidRPr="00883399" w:rsidRDefault="00F656F7" w:rsidP="00F656F7">
            <w:pPr>
              <w:pStyle w:val="Tabletext0"/>
              <w:rPr>
                <w:szCs w:val="18"/>
              </w:rPr>
            </w:pPr>
            <w:r w:rsidRPr="00883399">
              <w:rPr>
                <w:szCs w:val="18"/>
              </w:rPr>
              <w:t>45.4</w:t>
            </w:r>
          </w:p>
        </w:tc>
      </w:tr>
    </w:tbl>
    <w:p w14:paraId="7A5DA1CB" w14:textId="2AF8A5AA" w:rsidR="00872C03" w:rsidRPr="00883399" w:rsidRDefault="00872C03" w:rsidP="00F656F7">
      <w:pPr>
        <w:pStyle w:val="ActHead5"/>
        <w:rPr>
          <w:rStyle w:val="CharSectno"/>
          <w:sz w:val="28"/>
        </w:rPr>
      </w:pPr>
      <w:bookmarkStart w:id="1106" w:name="_Toc495653079"/>
      <w:r w:rsidRPr="00883399">
        <w:rPr>
          <w:rStyle w:val="CharSectno"/>
          <w:sz w:val="28"/>
        </w:rPr>
        <w:t>5.11A  Certain waste to be deducted from waste received at landfill when estimating waste disposed in landfill</w:t>
      </w:r>
      <w:bookmarkEnd w:id="1105"/>
      <w:bookmarkEnd w:id="1106"/>
    </w:p>
    <w:p w14:paraId="7514D889" w14:textId="77777777" w:rsidR="00872C03" w:rsidRPr="00883399" w:rsidRDefault="00872C03" w:rsidP="00872C03">
      <w:pPr>
        <w:pStyle w:val="subsection"/>
        <w:rPr>
          <w:sz w:val="24"/>
        </w:rPr>
      </w:pPr>
      <w:r w:rsidRPr="00883399">
        <w:rPr>
          <w:sz w:val="24"/>
        </w:rPr>
        <w:tab/>
        <w:t>(1)</w:t>
      </w:r>
      <w:r w:rsidRPr="00883399">
        <w:rPr>
          <w:sz w:val="24"/>
        </w:rPr>
        <w:tab/>
        <w:t>When estimating the tonnage of waste by waste mix type disposed of in a landfill, the tonnage of the following waste is to be deducted from the estimates of waste received at the landfill:</w:t>
      </w:r>
    </w:p>
    <w:p w14:paraId="3BC40046" w14:textId="77777777" w:rsidR="00872C03" w:rsidRPr="00883399" w:rsidRDefault="00872C03" w:rsidP="00872C03">
      <w:pPr>
        <w:pStyle w:val="paragraph"/>
        <w:rPr>
          <w:sz w:val="24"/>
        </w:rPr>
      </w:pPr>
      <w:r w:rsidRPr="00883399">
        <w:rPr>
          <w:sz w:val="24"/>
        </w:rPr>
        <w:tab/>
        <w:t>(a)</w:t>
      </w:r>
      <w:r w:rsidRPr="00883399">
        <w:rPr>
          <w:sz w:val="24"/>
        </w:rPr>
        <w:tab/>
        <w:t>waste that is taken from the landfill for recycling or biological treatment;</w:t>
      </w:r>
    </w:p>
    <w:p w14:paraId="694B44AF" w14:textId="77777777" w:rsidR="00872C03" w:rsidRPr="00883399" w:rsidRDefault="00872C03" w:rsidP="00872C03">
      <w:pPr>
        <w:pStyle w:val="paragraph"/>
        <w:rPr>
          <w:sz w:val="24"/>
        </w:rPr>
      </w:pPr>
      <w:r w:rsidRPr="00883399">
        <w:rPr>
          <w:sz w:val="24"/>
        </w:rPr>
        <w:tab/>
        <w:t>(b)</w:t>
      </w:r>
      <w:r w:rsidRPr="00883399">
        <w:rPr>
          <w:sz w:val="24"/>
        </w:rPr>
        <w:tab/>
        <w:t>waste that is received at the landfill for recycling or biological treatment at the landfill site;</w:t>
      </w:r>
    </w:p>
    <w:p w14:paraId="0796E3D1" w14:textId="77777777" w:rsidR="00872C03" w:rsidRPr="00883399" w:rsidRDefault="00872C03" w:rsidP="00872C03">
      <w:pPr>
        <w:pStyle w:val="paragraph"/>
        <w:rPr>
          <w:sz w:val="24"/>
        </w:rPr>
      </w:pPr>
      <w:r w:rsidRPr="00883399">
        <w:rPr>
          <w:sz w:val="24"/>
        </w:rPr>
        <w:tab/>
        <w:t>(c)</w:t>
      </w:r>
      <w:r w:rsidRPr="00883399">
        <w:rPr>
          <w:sz w:val="24"/>
        </w:rPr>
        <w:tab/>
        <w:t>waste that is used at the landfill for construction purposes, daily cover purposes, intermediate cover purposes or final capping and cover purposes.</w:t>
      </w:r>
    </w:p>
    <w:p w14:paraId="42AE6E2A" w14:textId="77777777" w:rsidR="00872C03" w:rsidRPr="00883399" w:rsidRDefault="00872C03" w:rsidP="00872C03">
      <w:pPr>
        <w:pStyle w:val="subsection"/>
        <w:rPr>
          <w:sz w:val="24"/>
        </w:rPr>
      </w:pPr>
      <w:r w:rsidRPr="00883399">
        <w:rPr>
          <w:sz w:val="24"/>
        </w:rPr>
        <w:tab/>
        <w:t>(2)</w:t>
      </w:r>
      <w:r w:rsidRPr="00883399">
        <w:rPr>
          <w:sz w:val="24"/>
        </w:rPr>
        <w:tab/>
        <w:t>If the waste to be deducted under subsection (1) is a general waste stream mentioned in subsection 5.10(1), the tonnage of the waste to be deducted may be estimated by using the default waste stream percentages mentioned in subsection 5.11(2) for each waste mix type.</w:t>
      </w:r>
    </w:p>
    <w:p w14:paraId="38C525AA" w14:textId="1BB8BBEA" w:rsidR="00872C03" w:rsidRPr="00883399" w:rsidRDefault="00872C03" w:rsidP="00872C03">
      <w:pPr>
        <w:pStyle w:val="ActHead5"/>
        <w:rPr>
          <w:sz w:val="28"/>
        </w:rPr>
      </w:pPr>
      <w:bookmarkStart w:id="1107" w:name="_Toc423517149"/>
      <w:bookmarkStart w:id="1108" w:name="_Toc495653080"/>
      <w:r w:rsidRPr="00883399">
        <w:rPr>
          <w:rStyle w:val="CharSectno"/>
          <w:sz w:val="28"/>
        </w:rPr>
        <w:t>5.12</w:t>
      </w:r>
      <w:r w:rsidRPr="00883399">
        <w:rPr>
          <w:sz w:val="28"/>
        </w:rPr>
        <w:t xml:space="preserve">  Degradable organic carbon content</w:t>
      </w:r>
      <w:bookmarkEnd w:id="1107"/>
      <w:bookmarkEnd w:id="1108"/>
    </w:p>
    <w:p w14:paraId="7E42AD84" w14:textId="77777777" w:rsidR="00872C03" w:rsidRPr="00883399" w:rsidRDefault="00872C03" w:rsidP="00872C03">
      <w:pPr>
        <w:pStyle w:val="subsection"/>
        <w:rPr>
          <w:sz w:val="24"/>
        </w:rPr>
      </w:pPr>
      <w:r w:rsidRPr="00883399">
        <w:rPr>
          <w:sz w:val="24"/>
        </w:rPr>
        <w:tab/>
      </w:r>
      <w:r w:rsidRPr="00883399">
        <w:rPr>
          <w:sz w:val="24"/>
        </w:rPr>
        <w:tab/>
        <w:t>For paragraph 5.4A(c), the amount of the degradable organic carbon content of the solid waste at the landfill must be estimated by using the degradable organic carbon values in column 3 of an item in the following table for each waste mix type in column 2 for that item.</w:t>
      </w:r>
    </w:p>
    <w:p w14:paraId="5F079B16" w14:textId="77777777" w:rsidR="00872C03" w:rsidRPr="00883399" w:rsidRDefault="00872C03" w:rsidP="00872C03">
      <w:pPr>
        <w:pStyle w:val="Tabletext0"/>
        <w:rPr>
          <w:sz w:val="22"/>
        </w:rPr>
      </w:pPr>
    </w:p>
    <w:tbl>
      <w:tblPr>
        <w:tblW w:w="7080" w:type="dxa"/>
        <w:tblInd w:w="1068" w:type="dxa"/>
        <w:tblBorders>
          <w:top w:val="single" w:sz="4" w:space="0" w:color="auto"/>
          <w:bottom w:val="single" w:sz="2" w:space="0" w:color="auto"/>
          <w:insideH w:val="single" w:sz="4" w:space="0" w:color="auto"/>
        </w:tblBorders>
        <w:tblLook w:val="0000" w:firstRow="0" w:lastRow="0" w:firstColumn="0" w:lastColumn="0" w:noHBand="0" w:noVBand="0"/>
      </w:tblPr>
      <w:tblGrid>
        <w:gridCol w:w="1320"/>
        <w:gridCol w:w="2640"/>
        <w:gridCol w:w="3120"/>
      </w:tblGrid>
      <w:tr w:rsidR="00872C03" w:rsidRPr="00883399" w14:paraId="2E1A73DF" w14:textId="77777777" w:rsidTr="0031057E">
        <w:trPr>
          <w:tblHeader/>
        </w:trPr>
        <w:tc>
          <w:tcPr>
            <w:tcW w:w="1320" w:type="dxa"/>
            <w:tcBorders>
              <w:top w:val="single" w:sz="12" w:space="0" w:color="auto"/>
              <w:bottom w:val="single" w:sz="12" w:space="0" w:color="auto"/>
            </w:tcBorders>
            <w:shd w:val="clear" w:color="auto" w:fill="auto"/>
          </w:tcPr>
          <w:p w14:paraId="41D577D4" w14:textId="77777777" w:rsidR="00872C03" w:rsidRPr="00883399" w:rsidRDefault="00872C03" w:rsidP="0031057E">
            <w:pPr>
              <w:pStyle w:val="TableHeading"/>
              <w:rPr>
                <w:sz w:val="22"/>
              </w:rPr>
            </w:pPr>
            <w:r w:rsidRPr="00883399">
              <w:rPr>
                <w:sz w:val="22"/>
              </w:rPr>
              <w:t>Item</w:t>
            </w:r>
          </w:p>
        </w:tc>
        <w:tc>
          <w:tcPr>
            <w:tcW w:w="2640" w:type="dxa"/>
            <w:tcBorders>
              <w:top w:val="single" w:sz="12" w:space="0" w:color="auto"/>
              <w:bottom w:val="single" w:sz="12" w:space="0" w:color="auto"/>
            </w:tcBorders>
            <w:shd w:val="clear" w:color="auto" w:fill="auto"/>
          </w:tcPr>
          <w:p w14:paraId="3562DBE1" w14:textId="77777777" w:rsidR="00872C03" w:rsidRPr="00883399" w:rsidRDefault="00872C03" w:rsidP="0031057E">
            <w:pPr>
              <w:pStyle w:val="TableHeading"/>
              <w:rPr>
                <w:sz w:val="22"/>
              </w:rPr>
            </w:pPr>
            <w:r w:rsidRPr="00883399">
              <w:rPr>
                <w:sz w:val="22"/>
              </w:rPr>
              <w:t>Waste mix type</w:t>
            </w:r>
          </w:p>
        </w:tc>
        <w:tc>
          <w:tcPr>
            <w:tcW w:w="3120" w:type="dxa"/>
            <w:tcBorders>
              <w:top w:val="single" w:sz="12" w:space="0" w:color="auto"/>
              <w:bottom w:val="single" w:sz="12" w:space="0" w:color="auto"/>
            </w:tcBorders>
            <w:shd w:val="clear" w:color="auto" w:fill="auto"/>
          </w:tcPr>
          <w:p w14:paraId="2C9A14BD" w14:textId="77777777" w:rsidR="00872C03" w:rsidRPr="00883399" w:rsidRDefault="00872C03" w:rsidP="0031057E">
            <w:pPr>
              <w:pStyle w:val="TableHeading"/>
              <w:rPr>
                <w:sz w:val="22"/>
              </w:rPr>
            </w:pPr>
            <w:r w:rsidRPr="00883399">
              <w:rPr>
                <w:sz w:val="22"/>
              </w:rPr>
              <w:t>Degradable organic carbon value</w:t>
            </w:r>
          </w:p>
        </w:tc>
      </w:tr>
      <w:tr w:rsidR="00872C03" w:rsidRPr="00883399" w14:paraId="617382CD" w14:textId="77777777" w:rsidTr="0031057E">
        <w:tc>
          <w:tcPr>
            <w:tcW w:w="1320" w:type="dxa"/>
            <w:tcBorders>
              <w:top w:val="single" w:sz="12" w:space="0" w:color="auto"/>
            </w:tcBorders>
            <w:shd w:val="clear" w:color="auto" w:fill="auto"/>
          </w:tcPr>
          <w:p w14:paraId="47DC0A5A" w14:textId="77777777" w:rsidR="00872C03" w:rsidRPr="00883399" w:rsidRDefault="00872C03" w:rsidP="0031057E">
            <w:pPr>
              <w:pStyle w:val="Tabletext0"/>
              <w:rPr>
                <w:sz w:val="22"/>
              </w:rPr>
            </w:pPr>
            <w:r w:rsidRPr="00883399">
              <w:rPr>
                <w:sz w:val="22"/>
              </w:rPr>
              <w:t>1</w:t>
            </w:r>
          </w:p>
        </w:tc>
        <w:tc>
          <w:tcPr>
            <w:tcW w:w="2640" w:type="dxa"/>
            <w:tcBorders>
              <w:top w:val="single" w:sz="12" w:space="0" w:color="auto"/>
            </w:tcBorders>
            <w:shd w:val="clear" w:color="auto" w:fill="auto"/>
          </w:tcPr>
          <w:p w14:paraId="5F85FE74" w14:textId="77777777" w:rsidR="00872C03" w:rsidRPr="00883399" w:rsidRDefault="00872C03" w:rsidP="0031057E">
            <w:pPr>
              <w:pStyle w:val="Tabletext0"/>
              <w:rPr>
                <w:sz w:val="22"/>
              </w:rPr>
            </w:pPr>
            <w:r w:rsidRPr="00883399">
              <w:rPr>
                <w:sz w:val="22"/>
              </w:rPr>
              <w:t>Food</w:t>
            </w:r>
          </w:p>
        </w:tc>
        <w:tc>
          <w:tcPr>
            <w:tcW w:w="3120" w:type="dxa"/>
            <w:tcBorders>
              <w:top w:val="single" w:sz="12" w:space="0" w:color="auto"/>
            </w:tcBorders>
            <w:shd w:val="clear" w:color="auto" w:fill="auto"/>
          </w:tcPr>
          <w:p w14:paraId="327F873A" w14:textId="77777777" w:rsidR="00872C03" w:rsidRPr="00883399" w:rsidRDefault="00872C03" w:rsidP="0031057E">
            <w:pPr>
              <w:pStyle w:val="Tabletext0"/>
              <w:rPr>
                <w:sz w:val="22"/>
              </w:rPr>
            </w:pPr>
            <w:r w:rsidRPr="00883399">
              <w:rPr>
                <w:sz w:val="22"/>
              </w:rPr>
              <w:t>0.15</w:t>
            </w:r>
          </w:p>
        </w:tc>
      </w:tr>
      <w:tr w:rsidR="00872C03" w:rsidRPr="00883399" w14:paraId="206BE9D4" w14:textId="77777777" w:rsidTr="0031057E">
        <w:tc>
          <w:tcPr>
            <w:tcW w:w="1320" w:type="dxa"/>
            <w:shd w:val="clear" w:color="auto" w:fill="auto"/>
          </w:tcPr>
          <w:p w14:paraId="276DDE4C" w14:textId="77777777" w:rsidR="00872C03" w:rsidRPr="00883399" w:rsidRDefault="00872C03" w:rsidP="0031057E">
            <w:pPr>
              <w:pStyle w:val="Tabletext0"/>
              <w:rPr>
                <w:sz w:val="22"/>
              </w:rPr>
            </w:pPr>
            <w:r w:rsidRPr="00883399">
              <w:rPr>
                <w:sz w:val="22"/>
              </w:rPr>
              <w:t>2</w:t>
            </w:r>
          </w:p>
        </w:tc>
        <w:tc>
          <w:tcPr>
            <w:tcW w:w="2640" w:type="dxa"/>
            <w:shd w:val="clear" w:color="auto" w:fill="auto"/>
          </w:tcPr>
          <w:p w14:paraId="3CF5CBB2" w14:textId="77777777" w:rsidR="00872C03" w:rsidRPr="00883399" w:rsidRDefault="00872C03" w:rsidP="0031057E">
            <w:pPr>
              <w:pStyle w:val="Tabletext0"/>
              <w:rPr>
                <w:sz w:val="22"/>
              </w:rPr>
            </w:pPr>
            <w:r w:rsidRPr="00883399">
              <w:rPr>
                <w:sz w:val="22"/>
              </w:rPr>
              <w:t>Paper and cardboard</w:t>
            </w:r>
          </w:p>
        </w:tc>
        <w:tc>
          <w:tcPr>
            <w:tcW w:w="3120" w:type="dxa"/>
            <w:shd w:val="clear" w:color="auto" w:fill="auto"/>
          </w:tcPr>
          <w:p w14:paraId="3C944D72" w14:textId="77777777" w:rsidR="00872C03" w:rsidRPr="00883399" w:rsidRDefault="00872C03" w:rsidP="0031057E">
            <w:pPr>
              <w:pStyle w:val="Tabletext0"/>
              <w:rPr>
                <w:sz w:val="22"/>
              </w:rPr>
            </w:pPr>
            <w:r w:rsidRPr="00883399">
              <w:rPr>
                <w:sz w:val="22"/>
              </w:rPr>
              <w:t>0.40</w:t>
            </w:r>
          </w:p>
        </w:tc>
      </w:tr>
      <w:tr w:rsidR="00872C03" w:rsidRPr="00883399" w14:paraId="4EB0BD83" w14:textId="77777777" w:rsidTr="0031057E">
        <w:tc>
          <w:tcPr>
            <w:tcW w:w="1320" w:type="dxa"/>
            <w:shd w:val="clear" w:color="auto" w:fill="auto"/>
          </w:tcPr>
          <w:p w14:paraId="66F63491" w14:textId="77777777" w:rsidR="00872C03" w:rsidRPr="00883399" w:rsidRDefault="00872C03" w:rsidP="0031057E">
            <w:pPr>
              <w:pStyle w:val="Tabletext0"/>
              <w:rPr>
                <w:sz w:val="22"/>
              </w:rPr>
            </w:pPr>
            <w:r w:rsidRPr="00883399">
              <w:rPr>
                <w:sz w:val="22"/>
              </w:rPr>
              <w:t>3</w:t>
            </w:r>
          </w:p>
        </w:tc>
        <w:tc>
          <w:tcPr>
            <w:tcW w:w="2640" w:type="dxa"/>
            <w:shd w:val="clear" w:color="auto" w:fill="auto"/>
          </w:tcPr>
          <w:p w14:paraId="0E4B949E" w14:textId="77777777" w:rsidR="00872C03" w:rsidRPr="00883399" w:rsidRDefault="00872C03" w:rsidP="0031057E">
            <w:pPr>
              <w:pStyle w:val="Tabletext0"/>
              <w:rPr>
                <w:sz w:val="22"/>
              </w:rPr>
            </w:pPr>
            <w:r w:rsidRPr="00883399">
              <w:rPr>
                <w:sz w:val="22"/>
              </w:rPr>
              <w:t>Garden and green</w:t>
            </w:r>
          </w:p>
        </w:tc>
        <w:tc>
          <w:tcPr>
            <w:tcW w:w="3120" w:type="dxa"/>
            <w:shd w:val="clear" w:color="auto" w:fill="auto"/>
          </w:tcPr>
          <w:p w14:paraId="04912122" w14:textId="77777777" w:rsidR="00872C03" w:rsidRPr="00883399" w:rsidRDefault="00872C03" w:rsidP="0031057E">
            <w:pPr>
              <w:pStyle w:val="Tabletext0"/>
              <w:rPr>
                <w:sz w:val="22"/>
              </w:rPr>
            </w:pPr>
            <w:r w:rsidRPr="00883399">
              <w:rPr>
                <w:sz w:val="22"/>
              </w:rPr>
              <w:t>0.20</w:t>
            </w:r>
          </w:p>
        </w:tc>
      </w:tr>
      <w:tr w:rsidR="00872C03" w:rsidRPr="00883399" w14:paraId="7B1C46CC" w14:textId="77777777" w:rsidTr="0031057E">
        <w:tc>
          <w:tcPr>
            <w:tcW w:w="1320" w:type="dxa"/>
            <w:shd w:val="clear" w:color="auto" w:fill="auto"/>
          </w:tcPr>
          <w:p w14:paraId="6D633237" w14:textId="77777777" w:rsidR="00872C03" w:rsidRPr="00883399" w:rsidRDefault="00872C03" w:rsidP="0031057E">
            <w:pPr>
              <w:pStyle w:val="Tabletext0"/>
              <w:rPr>
                <w:sz w:val="22"/>
              </w:rPr>
            </w:pPr>
            <w:r w:rsidRPr="00883399">
              <w:rPr>
                <w:sz w:val="22"/>
              </w:rPr>
              <w:lastRenderedPageBreak/>
              <w:t>4</w:t>
            </w:r>
          </w:p>
        </w:tc>
        <w:tc>
          <w:tcPr>
            <w:tcW w:w="2640" w:type="dxa"/>
            <w:shd w:val="clear" w:color="auto" w:fill="auto"/>
          </w:tcPr>
          <w:p w14:paraId="118A49D7" w14:textId="77777777" w:rsidR="00872C03" w:rsidRPr="00883399" w:rsidRDefault="00872C03" w:rsidP="0031057E">
            <w:pPr>
              <w:pStyle w:val="Tabletext0"/>
              <w:rPr>
                <w:sz w:val="22"/>
              </w:rPr>
            </w:pPr>
            <w:r w:rsidRPr="00883399">
              <w:rPr>
                <w:sz w:val="22"/>
              </w:rPr>
              <w:t>Wood</w:t>
            </w:r>
          </w:p>
        </w:tc>
        <w:tc>
          <w:tcPr>
            <w:tcW w:w="3120" w:type="dxa"/>
            <w:shd w:val="clear" w:color="auto" w:fill="auto"/>
          </w:tcPr>
          <w:p w14:paraId="013F7947" w14:textId="77777777" w:rsidR="00872C03" w:rsidRPr="00883399" w:rsidRDefault="00872C03" w:rsidP="0031057E">
            <w:pPr>
              <w:pStyle w:val="Tabletext0"/>
              <w:rPr>
                <w:sz w:val="22"/>
              </w:rPr>
            </w:pPr>
            <w:r w:rsidRPr="00883399">
              <w:rPr>
                <w:sz w:val="22"/>
              </w:rPr>
              <w:t>0.43</w:t>
            </w:r>
          </w:p>
        </w:tc>
      </w:tr>
      <w:tr w:rsidR="00872C03" w:rsidRPr="00883399" w14:paraId="09030926" w14:textId="77777777" w:rsidTr="0031057E">
        <w:tc>
          <w:tcPr>
            <w:tcW w:w="1320" w:type="dxa"/>
            <w:shd w:val="clear" w:color="auto" w:fill="auto"/>
          </w:tcPr>
          <w:p w14:paraId="06D4EE2F" w14:textId="77777777" w:rsidR="00872C03" w:rsidRPr="00883399" w:rsidRDefault="00872C03" w:rsidP="0031057E">
            <w:pPr>
              <w:pStyle w:val="Tabletext0"/>
              <w:rPr>
                <w:sz w:val="22"/>
              </w:rPr>
            </w:pPr>
            <w:r w:rsidRPr="00883399">
              <w:rPr>
                <w:sz w:val="22"/>
              </w:rPr>
              <w:t>5</w:t>
            </w:r>
          </w:p>
        </w:tc>
        <w:tc>
          <w:tcPr>
            <w:tcW w:w="2640" w:type="dxa"/>
            <w:shd w:val="clear" w:color="auto" w:fill="auto"/>
          </w:tcPr>
          <w:p w14:paraId="31C239A5" w14:textId="77777777" w:rsidR="00872C03" w:rsidRPr="00883399" w:rsidRDefault="00872C03" w:rsidP="0031057E">
            <w:pPr>
              <w:pStyle w:val="Tabletext0"/>
              <w:rPr>
                <w:sz w:val="22"/>
              </w:rPr>
            </w:pPr>
            <w:r w:rsidRPr="00883399">
              <w:rPr>
                <w:sz w:val="22"/>
              </w:rPr>
              <w:t>Textiles</w:t>
            </w:r>
          </w:p>
        </w:tc>
        <w:tc>
          <w:tcPr>
            <w:tcW w:w="3120" w:type="dxa"/>
            <w:shd w:val="clear" w:color="auto" w:fill="auto"/>
          </w:tcPr>
          <w:p w14:paraId="032A4E1B" w14:textId="77777777" w:rsidR="00872C03" w:rsidRPr="00883399" w:rsidRDefault="00872C03" w:rsidP="0031057E">
            <w:pPr>
              <w:pStyle w:val="Tabletext0"/>
              <w:rPr>
                <w:sz w:val="22"/>
              </w:rPr>
            </w:pPr>
            <w:r w:rsidRPr="00883399">
              <w:rPr>
                <w:sz w:val="22"/>
              </w:rPr>
              <w:t>0.24</w:t>
            </w:r>
          </w:p>
        </w:tc>
      </w:tr>
      <w:tr w:rsidR="00872C03" w:rsidRPr="00883399" w14:paraId="5DE7DFC3" w14:textId="77777777" w:rsidTr="0031057E">
        <w:tc>
          <w:tcPr>
            <w:tcW w:w="1320" w:type="dxa"/>
            <w:shd w:val="clear" w:color="auto" w:fill="auto"/>
          </w:tcPr>
          <w:p w14:paraId="5482B825" w14:textId="77777777" w:rsidR="00872C03" w:rsidRPr="00883399" w:rsidRDefault="00872C03" w:rsidP="0031057E">
            <w:pPr>
              <w:pStyle w:val="Tabletext0"/>
              <w:rPr>
                <w:sz w:val="22"/>
              </w:rPr>
            </w:pPr>
            <w:r w:rsidRPr="00883399">
              <w:rPr>
                <w:sz w:val="22"/>
              </w:rPr>
              <w:t>6</w:t>
            </w:r>
          </w:p>
        </w:tc>
        <w:tc>
          <w:tcPr>
            <w:tcW w:w="2640" w:type="dxa"/>
            <w:shd w:val="clear" w:color="auto" w:fill="auto"/>
          </w:tcPr>
          <w:p w14:paraId="35DF3CE6" w14:textId="77777777" w:rsidR="00872C03" w:rsidRPr="00883399" w:rsidRDefault="00872C03" w:rsidP="0031057E">
            <w:pPr>
              <w:pStyle w:val="Tabletext0"/>
              <w:rPr>
                <w:sz w:val="22"/>
              </w:rPr>
            </w:pPr>
            <w:r w:rsidRPr="00883399">
              <w:rPr>
                <w:sz w:val="22"/>
              </w:rPr>
              <w:t>Sludge</w:t>
            </w:r>
          </w:p>
        </w:tc>
        <w:tc>
          <w:tcPr>
            <w:tcW w:w="3120" w:type="dxa"/>
            <w:shd w:val="clear" w:color="auto" w:fill="auto"/>
          </w:tcPr>
          <w:p w14:paraId="50300976" w14:textId="77777777" w:rsidR="00872C03" w:rsidRPr="00883399" w:rsidRDefault="00872C03" w:rsidP="0031057E">
            <w:pPr>
              <w:pStyle w:val="Tabletext0"/>
              <w:rPr>
                <w:sz w:val="22"/>
              </w:rPr>
            </w:pPr>
            <w:r w:rsidRPr="00883399">
              <w:rPr>
                <w:sz w:val="22"/>
              </w:rPr>
              <w:t>0.05</w:t>
            </w:r>
          </w:p>
        </w:tc>
      </w:tr>
      <w:tr w:rsidR="00872C03" w:rsidRPr="00883399" w14:paraId="54E1D265" w14:textId="77777777" w:rsidTr="0031057E">
        <w:tc>
          <w:tcPr>
            <w:tcW w:w="1320" w:type="dxa"/>
            <w:shd w:val="clear" w:color="auto" w:fill="auto"/>
          </w:tcPr>
          <w:p w14:paraId="23802B43" w14:textId="77777777" w:rsidR="00872C03" w:rsidRPr="00883399" w:rsidRDefault="00872C03" w:rsidP="0031057E">
            <w:pPr>
              <w:pStyle w:val="Tabletext0"/>
              <w:rPr>
                <w:sz w:val="22"/>
              </w:rPr>
            </w:pPr>
            <w:r w:rsidRPr="00883399">
              <w:rPr>
                <w:sz w:val="22"/>
              </w:rPr>
              <w:t>7</w:t>
            </w:r>
          </w:p>
        </w:tc>
        <w:tc>
          <w:tcPr>
            <w:tcW w:w="2640" w:type="dxa"/>
            <w:shd w:val="clear" w:color="auto" w:fill="auto"/>
          </w:tcPr>
          <w:p w14:paraId="070860A4" w14:textId="77777777" w:rsidR="00872C03" w:rsidRPr="00883399" w:rsidRDefault="00872C03" w:rsidP="0031057E">
            <w:pPr>
              <w:pStyle w:val="Tabletext0"/>
              <w:rPr>
                <w:sz w:val="22"/>
              </w:rPr>
            </w:pPr>
            <w:r w:rsidRPr="00883399">
              <w:rPr>
                <w:sz w:val="22"/>
              </w:rPr>
              <w:t>Nappies</w:t>
            </w:r>
          </w:p>
        </w:tc>
        <w:tc>
          <w:tcPr>
            <w:tcW w:w="3120" w:type="dxa"/>
            <w:shd w:val="clear" w:color="auto" w:fill="auto"/>
          </w:tcPr>
          <w:p w14:paraId="67702900" w14:textId="77777777" w:rsidR="00872C03" w:rsidRPr="00883399" w:rsidRDefault="00872C03" w:rsidP="0031057E">
            <w:pPr>
              <w:pStyle w:val="Tabletext0"/>
              <w:rPr>
                <w:sz w:val="22"/>
              </w:rPr>
            </w:pPr>
            <w:r w:rsidRPr="00883399">
              <w:rPr>
                <w:sz w:val="22"/>
              </w:rPr>
              <w:t>0.24</w:t>
            </w:r>
          </w:p>
        </w:tc>
      </w:tr>
      <w:tr w:rsidR="00872C03" w:rsidRPr="00883399" w14:paraId="70CAF046" w14:textId="77777777" w:rsidTr="0031057E">
        <w:tc>
          <w:tcPr>
            <w:tcW w:w="1320" w:type="dxa"/>
            <w:tcBorders>
              <w:bottom w:val="single" w:sz="4" w:space="0" w:color="auto"/>
            </w:tcBorders>
            <w:shd w:val="clear" w:color="auto" w:fill="auto"/>
          </w:tcPr>
          <w:p w14:paraId="76514E05" w14:textId="77777777" w:rsidR="00872C03" w:rsidRPr="00883399" w:rsidRDefault="00872C03" w:rsidP="0031057E">
            <w:pPr>
              <w:pStyle w:val="Tabletext0"/>
              <w:rPr>
                <w:sz w:val="22"/>
              </w:rPr>
            </w:pPr>
            <w:r w:rsidRPr="00883399">
              <w:rPr>
                <w:sz w:val="22"/>
              </w:rPr>
              <w:t>8</w:t>
            </w:r>
          </w:p>
        </w:tc>
        <w:tc>
          <w:tcPr>
            <w:tcW w:w="2640" w:type="dxa"/>
            <w:tcBorders>
              <w:bottom w:val="single" w:sz="4" w:space="0" w:color="auto"/>
            </w:tcBorders>
            <w:shd w:val="clear" w:color="auto" w:fill="auto"/>
          </w:tcPr>
          <w:p w14:paraId="282B1426" w14:textId="77777777" w:rsidR="00872C03" w:rsidRPr="00883399" w:rsidRDefault="00872C03" w:rsidP="0031057E">
            <w:pPr>
              <w:pStyle w:val="Tabletext0"/>
              <w:rPr>
                <w:sz w:val="22"/>
              </w:rPr>
            </w:pPr>
            <w:r w:rsidRPr="00883399">
              <w:rPr>
                <w:sz w:val="22"/>
              </w:rPr>
              <w:t>Rubber and Leather</w:t>
            </w:r>
          </w:p>
        </w:tc>
        <w:tc>
          <w:tcPr>
            <w:tcW w:w="3120" w:type="dxa"/>
            <w:tcBorders>
              <w:bottom w:val="single" w:sz="4" w:space="0" w:color="auto"/>
            </w:tcBorders>
            <w:shd w:val="clear" w:color="auto" w:fill="auto"/>
          </w:tcPr>
          <w:p w14:paraId="17B0B2E0" w14:textId="77777777" w:rsidR="00872C03" w:rsidRPr="00883399" w:rsidRDefault="00872C03" w:rsidP="0031057E">
            <w:pPr>
              <w:pStyle w:val="Tabletext0"/>
              <w:rPr>
                <w:sz w:val="22"/>
              </w:rPr>
            </w:pPr>
            <w:r w:rsidRPr="00883399">
              <w:rPr>
                <w:sz w:val="22"/>
              </w:rPr>
              <w:t>0.39</w:t>
            </w:r>
          </w:p>
        </w:tc>
      </w:tr>
      <w:tr w:rsidR="00872C03" w:rsidRPr="00883399" w14:paraId="00916A95" w14:textId="77777777" w:rsidTr="0031057E">
        <w:tc>
          <w:tcPr>
            <w:tcW w:w="1320" w:type="dxa"/>
            <w:shd w:val="clear" w:color="auto" w:fill="auto"/>
          </w:tcPr>
          <w:p w14:paraId="34709069" w14:textId="77777777" w:rsidR="00872C03" w:rsidRPr="00883399" w:rsidRDefault="00872C03" w:rsidP="0031057E">
            <w:pPr>
              <w:pStyle w:val="Tabletext0"/>
              <w:rPr>
                <w:sz w:val="22"/>
              </w:rPr>
            </w:pPr>
            <w:r w:rsidRPr="00883399">
              <w:rPr>
                <w:sz w:val="22"/>
              </w:rPr>
              <w:t>9</w:t>
            </w:r>
          </w:p>
        </w:tc>
        <w:tc>
          <w:tcPr>
            <w:tcW w:w="2640" w:type="dxa"/>
            <w:shd w:val="clear" w:color="auto" w:fill="auto"/>
          </w:tcPr>
          <w:p w14:paraId="5D60E409" w14:textId="77777777" w:rsidR="00872C03" w:rsidRPr="00883399" w:rsidRDefault="00872C03" w:rsidP="0031057E">
            <w:pPr>
              <w:pStyle w:val="Tabletext0"/>
              <w:rPr>
                <w:sz w:val="22"/>
              </w:rPr>
            </w:pPr>
            <w:r w:rsidRPr="00883399">
              <w:rPr>
                <w:sz w:val="22"/>
              </w:rPr>
              <w:t>Inert waste</w:t>
            </w:r>
          </w:p>
        </w:tc>
        <w:tc>
          <w:tcPr>
            <w:tcW w:w="3120" w:type="dxa"/>
            <w:shd w:val="clear" w:color="auto" w:fill="auto"/>
          </w:tcPr>
          <w:p w14:paraId="69190994" w14:textId="77777777" w:rsidR="00872C03" w:rsidRPr="00883399" w:rsidRDefault="00872C03" w:rsidP="0031057E">
            <w:pPr>
              <w:pStyle w:val="Tabletext0"/>
              <w:rPr>
                <w:sz w:val="22"/>
              </w:rPr>
            </w:pPr>
            <w:r w:rsidRPr="00883399">
              <w:rPr>
                <w:sz w:val="22"/>
              </w:rPr>
              <w:t>0.00</w:t>
            </w:r>
          </w:p>
        </w:tc>
      </w:tr>
      <w:tr w:rsidR="00872C03" w:rsidRPr="00883399" w14:paraId="52AE860D" w14:textId="77777777" w:rsidTr="0031057E">
        <w:tc>
          <w:tcPr>
            <w:tcW w:w="1320" w:type="dxa"/>
            <w:tcBorders>
              <w:bottom w:val="single" w:sz="12" w:space="0" w:color="auto"/>
            </w:tcBorders>
            <w:shd w:val="clear" w:color="auto" w:fill="auto"/>
          </w:tcPr>
          <w:p w14:paraId="65B27440" w14:textId="77777777" w:rsidR="00872C03" w:rsidRPr="00883399" w:rsidRDefault="00872C03" w:rsidP="0031057E">
            <w:pPr>
              <w:pStyle w:val="Tabletext0"/>
              <w:rPr>
                <w:sz w:val="22"/>
              </w:rPr>
            </w:pPr>
            <w:r w:rsidRPr="00883399">
              <w:rPr>
                <w:sz w:val="22"/>
              </w:rPr>
              <w:t>10</w:t>
            </w:r>
          </w:p>
        </w:tc>
        <w:tc>
          <w:tcPr>
            <w:tcW w:w="2640" w:type="dxa"/>
            <w:tcBorders>
              <w:bottom w:val="single" w:sz="12" w:space="0" w:color="auto"/>
            </w:tcBorders>
            <w:shd w:val="clear" w:color="auto" w:fill="auto"/>
          </w:tcPr>
          <w:p w14:paraId="0A2295D8" w14:textId="77777777" w:rsidR="00872C03" w:rsidRPr="00883399" w:rsidDel="004E60C0" w:rsidRDefault="00872C03" w:rsidP="0031057E">
            <w:pPr>
              <w:pStyle w:val="Tabletext0"/>
              <w:rPr>
                <w:sz w:val="22"/>
              </w:rPr>
            </w:pPr>
            <w:r w:rsidRPr="00883399">
              <w:rPr>
                <w:sz w:val="22"/>
              </w:rPr>
              <w:t>Alternative waste treatment residues</w:t>
            </w:r>
          </w:p>
        </w:tc>
        <w:tc>
          <w:tcPr>
            <w:tcW w:w="3120" w:type="dxa"/>
            <w:tcBorders>
              <w:bottom w:val="single" w:sz="12" w:space="0" w:color="auto"/>
            </w:tcBorders>
            <w:shd w:val="clear" w:color="auto" w:fill="auto"/>
          </w:tcPr>
          <w:p w14:paraId="6BDB2F32" w14:textId="77777777" w:rsidR="00872C03" w:rsidRPr="00883399" w:rsidRDefault="00872C03" w:rsidP="0031057E">
            <w:pPr>
              <w:pStyle w:val="Tabletext0"/>
              <w:rPr>
                <w:sz w:val="22"/>
              </w:rPr>
            </w:pPr>
            <w:r w:rsidRPr="00883399">
              <w:rPr>
                <w:sz w:val="22"/>
              </w:rPr>
              <w:t>0.08</w:t>
            </w:r>
          </w:p>
        </w:tc>
      </w:tr>
    </w:tbl>
    <w:p w14:paraId="0C59885A" w14:textId="67F420C1" w:rsidR="00872C03" w:rsidRPr="00883399" w:rsidRDefault="00872C03" w:rsidP="00872C03">
      <w:pPr>
        <w:pStyle w:val="ActHead5"/>
        <w:rPr>
          <w:sz w:val="28"/>
        </w:rPr>
      </w:pPr>
      <w:bookmarkStart w:id="1109" w:name="_Toc423517150"/>
      <w:bookmarkStart w:id="1110" w:name="_Toc495653081"/>
      <w:r w:rsidRPr="00883399">
        <w:rPr>
          <w:rStyle w:val="CharSectno"/>
          <w:sz w:val="28"/>
        </w:rPr>
        <w:t>5.13</w:t>
      </w:r>
      <w:r w:rsidRPr="00883399">
        <w:rPr>
          <w:sz w:val="28"/>
        </w:rPr>
        <w:t xml:space="preserve">  Opening stock of degradable organic carbon for the first reporting period</w:t>
      </w:r>
      <w:bookmarkEnd w:id="1109"/>
      <w:bookmarkEnd w:id="1110"/>
    </w:p>
    <w:p w14:paraId="61D0A030" w14:textId="77777777" w:rsidR="00682A5B" w:rsidRPr="00883399" w:rsidRDefault="00682A5B" w:rsidP="00682A5B">
      <w:pPr>
        <w:pStyle w:val="subsection"/>
      </w:pPr>
    </w:p>
    <w:p w14:paraId="1B9E33D2" w14:textId="77777777" w:rsidR="00682A5B" w:rsidRPr="00883399" w:rsidRDefault="00682A5B" w:rsidP="00682A5B">
      <w:pPr>
        <w:autoSpaceDE w:val="0"/>
        <w:autoSpaceDN w:val="0"/>
        <w:adjustRightInd w:val="0"/>
      </w:pPr>
      <w:r w:rsidRPr="00883399">
        <w:rPr>
          <w:rFonts w:ascii="Arial" w:hAnsi="Arial" w:cs="Arial"/>
          <w:color w:val="000000"/>
          <w:sz w:val="22"/>
          <w:szCs w:val="22"/>
        </w:rPr>
        <w:t>The calculation of the opening stock of carbon in a landfill in any given year requires historical data on quantities and composition of waste sent to landfill in all prior years of the landfill’s operation. These data may not be available in all instances. Section 5.13 sets out the methods that can be applied in determining the opening stock of carbon.</w:t>
      </w:r>
      <w:r w:rsidRPr="00883399">
        <w:t xml:space="preserve"> </w:t>
      </w:r>
    </w:p>
    <w:p w14:paraId="1F36C5B9" w14:textId="77777777" w:rsidR="00872C03" w:rsidRPr="00883399" w:rsidRDefault="00682A5B" w:rsidP="00872C03">
      <w:pPr>
        <w:pStyle w:val="subsection"/>
        <w:rPr>
          <w:sz w:val="24"/>
        </w:rPr>
      </w:pPr>
      <w:r w:rsidRPr="00883399">
        <w:rPr>
          <w:sz w:val="24"/>
        </w:rPr>
        <w:tab/>
      </w:r>
      <w:r w:rsidR="00872C03" w:rsidRPr="00883399">
        <w:rPr>
          <w:sz w:val="24"/>
        </w:rPr>
        <w:t>(1)</w:t>
      </w:r>
      <w:r w:rsidR="00872C03" w:rsidRPr="00883399">
        <w:rPr>
          <w:sz w:val="24"/>
        </w:rPr>
        <w:tab/>
        <w:t>For paragraph 5.4A(d), the amount of opening stock of degradable organic carbon at the landfill at the start of the first reporting period for the landfill must be estimated in accordance with subsection 5.4(5):</w:t>
      </w:r>
    </w:p>
    <w:p w14:paraId="134C1A29" w14:textId="77777777" w:rsidR="00872C03" w:rsidRPr="00883399" w:rsidRDefault="00872C03" w:rsidP="00872C03">
      <w:pPr>
        <w:pStyle w:val="paragraph"/>
        <w:rPr>
          <w:sz w:val="24"/>
        </w:rPr>
      </w:pPr>
      <w:r w:rsidRPr="00883399">
        <w:rPr>
          <w:sz w:val="24"/>
        </w:rPr>
        <w:tab/>
        <w:t>(a)</w:t>
      </w:r>
      <w:r w:rsidRPr="00883399">
        <w:rPr>
          <w:sz w:val="24"/>
        </w:rPr>
        <w:tab/>
        <w:t>by using the details of the total tonnage of solid waste (broken down into waste stream and waste mix type and estimated in accordance with section 5.5) disposed of in the landfill each year over the lifetime of the landfill until the start of the first reporting period for the landfill; or</w:t>
      </w:r>
    </w:p>
    <w:p w14:paraId="6994431A" w14:textId="77777777" w:rsidR="00872C03" w:rsidRPr="00883399" w:rsidRDefault="00872C03" w:rsidP="00872C03">
      <w:pPr>
        <w:pStyle w:val="paragraph"/>
        <w:rPr>
          <w:sz w:val="24"/>
        </w:rPr>
      </w:pPr>
      <w:r w:rsidRPr="00883399">
        <w:rPr>
          <w:sz w:val="24"/>
        </w:rPr>
        <w:tab/>
        <w:t>(b)</w:t>
      </w:r>
      <w:r w:rsidRPr="00883399">
        <w:rPr>
          <w:sz w:val="24"/>
        </w:rPr>
        <w:tab/>
        <w:t>if the operator of a landfill is unable to comply with paragraph (a)—by using the following information in relation to the landfill:</w:t>
      </w:r>
    </w:p>
    <w:p w14:paraId="77DF1CBA" w14:textId="77777777" w:rsidR="00872C03" w:rsidRPr="00883399" w:rsidRDefault="00872C03" w:rsidP="00872C03">
      <w:pPr>
        <w:pStyle w:val="paragraphsub"/>
        <w:rPr>
          <w:sz w:val="24"/>
        </w:rPr>
      </w:pPr>
      <w:r w:rsidRPr="00883399">
        <w:rPr>
          <w:sz w:val="24"/>
        </w:rPr>
        <w:tab/>
        <w:t>(i)</w:t>
      </w:r>
      <w:r w:rsidRPr="00883399">
        <w:rPr>
          <w:sz w:val="24"/>
        </w:rPr>
        <w:tab/>
        <w:t>the number of years that the landfill has been in operation;</w:t>
      </w:r>
    </w:p>
    <w:p w14:paraId="455DF512" w14:textId="77777777" w:rsidR="00872C03" w:rsidRPr="00883399" w:rsidRDefault="00872C03" w:rsidP="00872C03">
      <w:pPr>
        <w:pStyle w:val="paragraphsub"/>
        <w:rPr>
          <w:sz w:val="24"/>
        </w:rPr>
      </w:pPr>
      <w:r w:rsidRPr="00883399">
        <w:rPr>
          <w:sz w:val="24"/>
        </w:rPr>
        <w:tab/>
        <w:t>(ii)</w:t>
      </w:r>
      <w:r w:rsidRPr="00883399">
        <w:rPr>
          <w:sz w:val="24"/>
        </w:rPr>
        <w:tab/>
        <w:t>the estimated annual tonnage of solid waste disposed of in the landfill over the lifetime of the landfill until the start of the first reporting period for the landfill, worked out in accordance with subsection (2);</w:t>
      </w:r>
    </w:p>
    <w:p w14:paraId="408F83CA" w14:textId="77777777" w:rsidR="00872C03" w:rsidRPr="00883399" w:rsidRDefault="00872C03" w:rsidP="00872C03">
      <w:pPr>
        <w:pStyle w:val="paragraphsub"/>
        <w:rPr>
          <w:sz w:val="24"/>
        </w:rPr>
      </w:pPr>
      <w:r w:rsidRPr="00883399">
        <w:rPr>
          <w:sz w:val="24"/>
        </w:rPr>
        <w:tab/>
        <w:t>(iii)</w:t>
      </w:r>
      <w:r w:rsidRPr="00883399">
        <w:rPr>
          <w:sz w:val="24"/>
        </w:rPr>
        <w:tab/>
        <w:t>the State or Territory in which the landfill is located.</w:t>
      </w:r>
    </w:p>
    <w:p w14:paraId="5CBFA476" w14:textId="77777777" w:rsidR="00872C03" w:rsidRPr="00883399" w:rsidRDefault="00872C03" w:rsidP="00872C03">
      <w:pPr>
        <w:pStyle w:val="subsection"/>
        <w:rPr>
          <w:sz w:val="24"/>
        </w:rPr>
      </w:pPr>
      <w:r w:rsidRPr="00883399">
        <w:rPr>
          <w:sz w:val="24"/>
        </w:rPr>
        <w:tab/>
        <w:t>(2)</w:t>
      </w:r>
      <w:r w:rsidRPr="00883399">
        <w:rPr>
          <w:sz w:val="24"/>
        </w:rPr>
        <w:tab/>
        <w:t>For subparagraph (1)(b)(ii), the estimated annual tonnage of waste is to be worked out:</w:t>
      </w:r>
    </w:p>
    <w:p w14:paraId="3F153908" w14:textId="77777777" w:rsidR="00872C03" w:rsidRPr="00883399" w:rsidRDefault="00872C03" w:rsidP="00872C03">
      <w:pPr>
        <w:pStyle w:val="paragraph"/>
        <w:rPr>
          <w:sz w:val="24"/>
        </w:rPr>
      </w:pPr>
      <w:r w:rsidRPr="00883399">
        <w:rPr>
          <w:sz w:val="24"/>
        </w:rPr>
        <w:lastRenderedPageBreak/>
        <w:tab/>
        <w:t>(a)</w:t>
      </w:r>
      <w:r w:rsidRPr="00883399">
        <w:rPr>
          <w:sz w:val="24"/>
        </w:rPr>
        <w:tab/>
        <w:t>by using the average annual tonnage of solid waste disposed of in the landfill for the years for which data is available; or</w:t>
      </w:r>
    </w:p>
    <w:p w14:paraId="2C39AC8B" w14:textId="77777777" w:rsidR="00872C03" w:rsidRPr="00883399" w:rsidRDefault="00872C03" w:rsidP="00872C03">
      <w:pPr>
        <w:pStyle w:val="paragraph"/>
        <w:rPr>
          <w:sz w:val="24"/>
        </w:rPr>
      </w:pPr>
      <w:r w:rsidRPr="00883399">
        <w:rPr>
          <w:sz w:val="24"/>
        </w:rPr>
        <w:tab/>
        <w:t>(b)</w:t>
      </w:r>
      <w:r w:rsidRPr="00883399">
        <w:rPr>
          <w:sz w:val="24"/>
        </w:rPr>
        <w:tab/>
        <w:t>by conducting a volumetric survey of the landfill in accordance with subsections (3) and (4); or</w:t>
      </w:r>
    </w:p>
    <w:p w14:paraId="3B9D12A9" w14:textId="77777777" w:rsidR="00872C03" w:rsidRPr="00883399" w:rsidRDefault="00872C03" w:rsidP="00872C03">
      <w:pPr>
        <w:pStyle w:val="paragraph"/>
        <w:rPr>
          <w:sz w:val="24"/>
        </w:rPr>
      </w:pPr>
      <w:r w:rsidRPr="00883399">
        <w:rPr>
          <w:sz w:val="24"/>
        </w:rPr>
        <w:tab/>
        <w:t>(c)</w:t>
      </w:r>
      <w:r w:rsidRPr="00883399">
        <w:rPr>
          <w:sz w:val="24"/>
        </w:rPr>
        <w:tab/>
        <w:t>by using industry estimation practices (such as the use of accepted industry weighbridges, receipts, invoices, other documents or records or population and per</w:t>
      </w:r>
      <w:r w:rsidRPr="00883399">
        <w:rPr>
          <w:sz w:val="24"/>
        </w:rPr>
        <w:noBreakHyphen/>
        <w:t>capita waste generation rates).</w:t>
      </w:r>
    </w:p>
    <w:p w14:paraId="13E19FC9" w14:textId="77777777" w:rsidR="00872C03" w:rsidRPr="00883399" w:rsidRDefault="00872C03" w:rsidP="00872C03">
      <w:pPr>
        <w:pStyle w:val="subsection"/>
        <w:rPr>
          <w:sz w:val="24"/>
        </w:rPr>
      </w:pPr>
      <w:r w:rsidRPr="00883399">
        <w:rPr>
          <w:sz w:val="24"/>
        </w:rPr>
        <w:tab/>
        <w:t>(3)</w:t>
      </w:r>
      <w:r w:rsidRPr="00883399">
        <w:rPr>
          <w:sz w:val="24"/>
        </w:rPr>
        <w:tab/>
        <w:t>For paragraph (2)(b), the survey:</w:t>
      </w:r>
    </w:p>
    <w:p w14:paraId="51BB92F2" w14:textId="77777777" w:rsidR="00872C03" w:rsidRPr="00883399" w:rsidRDefault="00872C03" w:rsidP="00872C03">
      <w:pPr>
        <w:pStyle w:val="paragraph"/>
        <w:rPr>
          <w:sz w:val="24"/>
        </w:rPr>
      </w:pPr>
      <w:r w:rsidRPr="00883399">
        <w:rPr>
          <w:sz w:val="24"/>
        </w:rPr>
        <w:tab/>
        <w:t>(a)</w:t>
      </w:r>
      <w:r w:rsidRPr="00883399">
        <w:rPr>
          <w:sz w:val="24"/>
        </w:rPr>
        <w:tab/>
        <w:t>must be a ground</w:t>
      </w:r>
      <w:r w:rsidRPr="00883399">
        <w:rPr>
          <w:sz w:val="24"/>
        </w:rPr>
        <w:noBreakHyphen/>
        <w:t>based survey or an aerial survey; and</w:t>
      </w:r>
    </w:p>
    <w:p w14:paraId="24013F35" w14:textId="77777777" w:rsidR="00872C03" w:rsidRPr="00883399" w:rsidRDefault="00872C03" w:rsidP="00872C03">
      <w:pPr>
        <w:pStyle w:val="paragraph"/>
        <w:rPr>
          <w:sz w:val="24"/>
        </w:rPr>
      </w:pPr>
      <w:r w:rsidRPr="00883399">
        <w:rPr>
          <w:sz w:val="24"/>
        </w:rPr>
        <w:tab/>
        <w:t>(b)</w:t>
      </w:r>
      <w:r w:rsidRPr="00883399">
        <w:rPr>
          <w:sz w:val="24"/>
        </w:rPr>
        <w:tab/>
        <w:t>must be conducted by a qualified surveyor.</w:t>
      </w:r>
    </w:p>
    <w:p w14:paraId="5EE2A04E" w14:textId="77777777" w:rsidR="00872C03" w:rsidRPr="00883399" w:rsidRDefault="00872C03" w:rsidP="00872C03">
      <w:pPr>
        <w:pStyle w:val="subsection"/>
        <w:rPr>
          <w:sz w:val="24"/>
        </w:rPr>
      </w:pPr>
      <w:r w:rsidRPr="00883399">
        <w:rPr>
          <w:sz w:val="24"/>
        </w:rPr>
        <w:tab/>
        <w:t>(4)</w:t>
      </w:r>
      <w:r w:rsidRPr="00883399">
        <w:rPr>
          <w:sz w:val="24"/>
        </w:rPr>
        <w:tab/>
        <w:t>For the volumetric survey, the volume of waste is to be converted to mass by using one of the following volume</w:t>
      </w:r>
      <w:r w:rsidRPr="00883399">
        <w:rPr>
          <w:sz w:val="24"/>
        </w:rPr>
        <w:noBreakHyphen/>
        <w:t>to</w:t>
      </w:r>
      <w:r w:rsidRPr="00883399">
        <w:rPr>
          <w:sz w:val="24"/>
        </w:rPr>
        <w:noBreakHyphen/>
        <w:t>mass conversion factors:</w:t>
      </w:r>
    </w:p>
    <w:p w14:paraId="372CB830" w14:textId="77777777" w:rsidR="00872C03" w:rsidRPr="00883399" w:rsidRDefault="00872C03" w:rsidP="00872C03">
      <w:pPr>
        <w:pStyle w:val="paragraph"/>
        <w:rPr>
          <w:sz w:val="24"/>
        </w:rPr>
      </w:pPr>
      <w:r w:rsidRPr="00883399">
        <w:rPr>
          <w:sz w:val="24"/>
        </w:rPr>
        <w:tab/>
        <w:t>(a)</w:t>
      </w:r>
      <w:r w:rsidRPr="00883399">
        <w:rPr>
          <w:sz w:val="24"/>
        </w:rPr>
        <w:tab/>
        <w:t>the landfill volume</w:t>
      </w:r>
      <w:r w:rsidRPr="00883399">
        <w:rPr>
          <w:sz w:val="24"/>
        </w:rPr>
        <w:noBreakHyphen/>
        <w:t>to</w:t>
      </w:r>
      <w:r w:rsidRPr="00883399">
        <w:rPr>
          <w:sz w:val="24"/>
        </w:rPr>
        <w:noBreakHyphen/>
        <w:t>mass conversion factors that were used during the most recent reporting year in order to comply with a landfill reporting requirement of the State or Territory in which the landfill is located;</w:t>
      </w:r>
    </w:p>
    <w:p w14:paraId="49A2D9D6" w14:textId="77777777" w:rsidR="00872C03" w:rsidRPr="00883399" w:rsidRDefault="00872C03" w:rsidP="00872C03">
      <w:pPr>
        <w:pStyle w:val="paragraph"/>
        <w:rPr>
          <w:sz w:val="24"/>
        </w:rPr>
      </w:pPr>
      <w:r w:rsidRPr="00883399">
        <w:rPr>
          <w:sz w:val="24"/>
        </w:rPr>
        <w:tab/>
        <w:t>(b)</w:t>
      </w:r>
      <w:r w:rsidRPr="00883399">
        <w:rPr>
          <w:sz w:val="24"/>
        </w:rPr>
        <w:tab/>
        <w:t>if the factors mentioned in paragraph (a) were not used during the most recent reporting year in order to comply with a landfill reporting requirement of the State or Territory in which the landfill is located—the volume</w:t>
      </w:r>
      <w:r w:rsidRPr="00883399">
        <w:rPr>
          <w:sz w:val="24"/>
        </w:rPr>
        <w:noBreakHyphen/>
        <w:t>to</w:t>
      </w:r>
      <w:r w:rsidRPr="00883399">
        <w:rPr>
          <w:sz w:val="24"/>
        </w:rPr>
        <w:noBreakHyphen/>
        <w:t>mass conversion factors specified in column 3 of an item in the following table for a waste stream specified in column 2 of the item.</w:t>
      </w:r>
    </w:p>
    <w:p w14:paraId="078BBCC3" w14:textId="77777777" w:rsidR="00872C03" w:rsidRPr="00883399" w:rsidRDefault="00872C03" w:rsidP="00872C03">
      <w:pPr>
        <w:pStyle w:val="Tabletext0"/>
        <w:rPr>
          <w:sz w:val="22"/>
        </w:rPr>
      </w:pPr>
    </w:p>
    <w:tbl>
      <w:tblPr>
        <w:tblW w:w="0" w:type="auto"/>
        <w:tblInd w:w="1068" w:type="dxa"/>
        <w:tblBorders>
          <w:top w:val="single" w:sz="4" w:space="0" w:color="auto"/>
          <w:bottom w:val="single" w:sz="2" w:space="0" w:color="auto"/>
          <w:insideH w:val="single" w:sz="4" w:space="0" w:color="auto"/>
        </w:tblBorders>
        <w:tblLook w:val="0000" w:firstRow="0" w:lastRow="0" w:firstColumn="0" w:lastColumn="0" w:noHBand="0" w:noVBand="0"/>
      </w:tblPr>
      <w:tblGrid>
        <w:gridCol w:w="716"/>
        <w:gridCol w:w="3254"/>
        <w:gridCol w:w="3275"/>
      </w:tblGrid>
      <w:tr w:rsidR="00872C03" w:rsidRPr="00883399" w14:paraId="06FD9387" w14:textId="77777777" w:rsidTr="0031057E">
        <w:tc>
          <w:tcPr>
            <w:tcW w:w="720" w:type="dxa"/>
            <w:tcBorders>
              <w:top w:val="single" w:sz="12" w:space="0" w:color="auto"/>
              <w:bottom w:val="single" w:sz="12" w:space="0" w:color="auto"/>
            </w:tcBorders>
            <w:shd w:val="clear" w:color="auto" w:fill="auto"/>
          </w:tcPr>
          <w:p w14:paraId="16D54C66" w14:textId="77777777" w:rsidR="00872C03" w:rsidRPr="00883399" w:rsidRDefault="00872C03" w:rsidP="0031057E">
            <w:pPr>
              <w:pStyle w:val="TableHeading"/>
              <w:rPr>
                <w:sz w:val="22"/>
              </w:rPr>
            </w:pPr>
            <w:r w:rsidRPr="00883399">
              <w:rPr>
                <w:sz w:val="22"/>
              </w:rPr>
              <w:t>Item</w:t>
            </w:r>
          </w:p>
        </w:tc>
        <w:tc>
          <w:tcPr>
            <w:tcW w:w="3360" w:type="dxa"/>
            <w:tcBorders>
              <w:top w:val="single" w:sz="12" w:space="0" w:color="auto"/>
              <w:bottom w:val="single" w:sz="12" w:space="0" w:color="auto"/>
            </w:tcBorders>
            <w:shd w:val="clear" w:color="auto" w:fill="auto"/>
          </w:tcPr>
          <w:p w14:paraId="0FE0AA71" w14:textId="77777777" w:rsidR="00872C03" w:rsidRPr="00883399" w:rsidRDefault="00872C03" w:rsidP="0031057E">
            <w:pPr>
              <w:pStyle w:val="TableHeading"/>
              <w:rPr>
                <w:sz w:val="22"/>
              </w:rPr>
            </w:pPr>
            <w:r w:rsidRPr="00883399">
              <w:rPr>
                <w:sz w:val="22"/>
              </w:rPr>
              <w:t>Waste stream</w:t>
            </w:r>
          </w:p>
        </w:tc>
        <w:tc>
          <w:tcPr>
            <w:tcW w:w="3360" w:type="dxa"/>
            <w:tcBorders>
              <w:top w:val="single" w:sz="12" w:space="0" w:color="auto"/>
              <w:bottom w:val="single" w:sz="12" w:space="0" w:color="auto"/>
            </w:tcBorders>
            <w:shd w:val="clear" w:color="auto" w:fill="auto"/>
          </w:tcPr>
          <w:p w14:paraId="38F76C2C" w14:textId="77777777" w:rsidR="00872C03" w:rsidRPr="00883399" w:rsidRDefault="00872C03" w:rsidP="0031057E">
            <w:pPr>
              <w:pStyle w:val="TableHeading"/>
              <w:rPr>
                <w:sz w:val="22"/>
              </w:rPr>
            </w:pPr>
            <w:r w:rsidRPr="00883399">
              <w:rPr>
                <w:sz w:val="22"/>
              </w:rPr>
              <w:t>Volume</w:t>
            </w:r>
            <w:r w:rsidRPr="00883399">
              <w:rPr>
                <w:sz w:val="22"/>
              </w:rPr>
              <w:noBreakHyphen/>
              <w:t>to</w:t>
            </w:r>
            <w:r w:rsidRPr="00883399">
              <w:rPr>
                <w:sz w:val="22"/>
              </w:rPr>
              <w:noBreakHyphen/>
              <w:t>mass conversion factor</w:t>
            </w:r>
          </w:p>
        </w:tc>
      </w:tr>
      <w:tr w:rsidR="00872C03" w:rsidRPr="00883399" w14:paraId="3BB7D271" w14:textId="77777777" w:rsidTr="0031057E">
        <w:tc>
          <w:tcPr>
            <w:tcW w:w="720" w:type="dxa"/>
            <w:tcBorders>
              <w:top w:val="single" w:sz="12" w:space="0" w:color="auto"/>
            </w:tcBorders>
            <w:shd w:val="clear" w:color="auto" w:fill="auto"/>
          </w:tcPr>
          <w:p w14:paraId="491156B8" w14:textId="77777777" w:rsidR="00872C03" w:rsidRPr="00883399" w:rsidRDefault="00872C03" w:rsidP="0031057E">
            <w:pPr>
              <w:pStyle w:val="Tabletext0"/>
              <w:rPr>
                <w:sz w:val="22"/>
              </w:rPr>
            </w:pPr>
            <w:r w:rsidRPr="00883399">
              <w:rPr>
                <w:sz w:val="22"/>
              </w:rPr>
              <w:t>1</w:t>
            </w:r>
          </w:p>
        </w:tc>
        <w:tc>
          <w:tcPr>
            <w:tcW w:w="3360" w:type="dxa"/>
            <w:tcBorders>
              <w:top w:val="single" w:sz="12" w:space="0" w:color="auto"/>
            </w:tcBorders>
            <w:shd w:val="clear" w:color="auto" w:fill="auto"/>
          </w:tcPr>
          <w:p w14:paraId="39389EEB" w14:textId="77777777" w:rsidR="00872C03" w:rsidRPr="00883399" w:rsidRDefault="00872C03" w:rsidP="0031057E">
            <w:pPr>
              <w:pStyle w:val="Tabletext0"/>
              <w:rPr>
                <w:sz w:val="22"/>
              </w:rPr>
            </w:pPr>
            <w:r w:rsidRPr="00883399">
              <w:rPr>
                <w:sz w:val="22"/>
              </w:rPr>
              <w:t>Municipal solid waste</w:t>
            </w:r>
          </w:p>
        </w:tc>
        <w:tc>
          <w:tcPr>
            <w:tcW w:w="3360" w:type="dxa"/>
            <w:tcBorders>
              <w:top w:val="single" w:sz="12" w:space="0" w:color="auto"/>
            </w:tcBorders>
            <w:shd w:val="clear" w:color="auto" w:fill="auto"/>
          </w:tcPr>
          <w:p w14:paraId="4C35818D" w14:textId="77777777" w:rsidR="00872C03" w:rsidRPr="00883399" w:rsidRDefault="00872C03" w:rsidP="0031057E">
            <w:pPr>
              <w:pStyle w:val="Tabletext0"/>
              <w:rPr>
                <w:sz w:val="22"/>
                <w:vertAlign w:val="superscript"/>
              </w:rPr>
            </w:pPr>
            <w:r w:rsidRPr="00883399">
              <w:rPr>
                <w:sz w:val="22"/>
              </w:rPr>
              <w:t>1.1 tonnes per cubic metre</w:t>
            </w:r>
          </w:p>
        </w:tc>
      </w:tr>
      <w:tr w:rsidR="00872C03" w:rsidRPr="00883399" w14:paraId="723B0B15" w14:textId="77777777" w:rsidTr="0031057E">
        <w:tc>
          <w:tcPr>
            <w:tcW w:w="720" w:type="dxa"/>
            <w:tcBorders>
              <w:bottom w:val="single" w:sz="4" w:space="0" w:color="auto"/>
            </w:tcBorders>
            <w:shd w:val="clear" w:color="auto" w:fill="auto"/>
          </w:tcPr>
          <w:p w14:paraId="16111930" w14:textId="77777777" w:rsidR="00872C03" w:rsidRPr="00883399" w:rsidRDefault="00872C03" w:rsidP="0031057E">
            <w:pPr>
              <w:pStyle w:val="Tabletext0"/>
              <w:rPr>
                <w:sz w:val="22"/>
              </w:rPr>
            </w:pPr>
            <w:r w:rsidRPr="00883399">
              <w:rPr>
                <w:sz w:val="22"/>
              </w:rPr>
              <w:t>2</w:t>
            </w:r>
          </w:p>
        </w:tc>
        <w:tc>
          <w:tcPr>
            <w:tcW w:w="3360" w:type="dxa"/>
            <w:tcBorders>
              <w:bottom w:val="single" w:sz="4" w:space="0" w:color="auto"/>
            </w:tcBorders>
            <w:shd w:val="clear" w:color="auto" w:fill="auto"/>
          </w:tcPr>
          <w:p w14:paraId="28FFFBA3" w14:textId="77777777" w:rsidR="00872C03" w:rsidRPr="00883399" w:rsidRDefault="00872C03" w:rsidP="0031057E">
            <w:pPr>
              <w:pStyle w:val="Tabletext0"/>
              <w:rPr>
                <w:sz w:val="22"/>
              </w:rPr>
            </w:pPr>
            <w:r w:rsidRPr="00883399">
              <w:rPr>
                <w:sz w:val="22"/>
              </w:rPr>
              <w:t>Commercial and industrial waste</w:t>
            </w:r>
          </w:p>
        </w:tc>
        <w:tc>
          <w:tcPr>
            <w:tcW w:w="3360" w:type="dxa"/>
            <w:tcBorders>
              <w:bottom w:val="single" w:sz="4" w:space="0" w:color="auto"/>
            </w:tcBorders>
            <w:shd w:val="clear" w:color="auto" w:fill="auto"/>
          </w:tcPr>
          <w:p w14:paraId="7F6574B4" w14:textId="77777777" w:rsidR="00872C03" w:rsidRPr="00883399" w:rsidRDefault="00872C03" w:rsidP="0031057E">
            <w:pPr>
              <w:pStyle w:val="Tabletext0"/>
              <w:rPr>
                <w:sz w:val="22"/>
                <w:vertAlign w:val="superscript"/>
              </w:rPr>
            </w:pPr>
            <w:r w:rsidRPr="00883399">
              <w:rPr>
                <w:sz w:val="22"/>
              </w:rPr>
              <w:t>1.1 tonnes per cubic metre</w:t>
            </w:r>
          </w:p>
        </w:tc>
      </w:tr>
      <w:tr w:rsidR="00872C03" w:rsidRPr="00883399" w14:paraId="73963D8A" w14:textId="77777777" w:rsidTr="0031057E">
        <w:tc>
          <w:tcPr>
            <w:tcW w:w="720" w:type="dxa"/>
            <w:tcBorders>
              <w:bottom w:val="single" w:sz="12" w:space="0" w:color="auto"/>
            </w:tcBorders>
            <w:shd w:val="clear" w:color="auto" w:fill="auto"/>
          </w:tcPr>
          <w:p w14:paraId="5E2521D5" w14:textId="77777777" w:rsidR="00872C03" w:rsidRPr="00883399" w:rsidRDefault="00872C03" w:rsidP="0031057E">
            <w:pPr>
              <w:pStyle w:val="Tabletext0"/>
              <w:rPr>
                <w:sz w:val="22"/>
              </w:rPr>
            </w:pPr>
            <w:r w:rsidRPr="00883399">
              <w:rPr>
                <w:sz w:val="22"/>
              </w:rPr>
              <w:t>3</w:t>
            </w:r>
          </w:p>
        </w:tc>
        <w:tc>
          <w:tcPr>
            <w:tcW w:w="3360" w:type="dxa"/>
            <w:tcBorders>
              <w:bottom w:val="single" w:sz="12" w:space="0" w:color="auto"/>
            </w:tcBorders>
            <w:shd w:val="clear" w:color="auto" w:fill="auto"/>
          </w:tcPr>
          <w:p w14:paraId="518FD64C" w14:textId="77777777" w:rsidR="00872C03" w:rsidRPr="00883399" w:rsidRDefault="00872C03" w:rsidP="0031057E">
            <w:pPr>
              <w:pStyle w:val="Tabletext0"/>
              <w:rPr>
                <w:sz w:val="22"/>
              </w:rPr>
            </w:pPr>
            <w:r w:rsidRPr="00883399">
              <w:rPr>
                <w:sz w:val="22"/>
              </w:rPr>
              <w:t>Construction and demolition waste</w:t>
            </w:r>
          </w:p>
        </w:tc>
        <w:tc>
          <w:tcPr>
            <w:tcW w:w="3360" w:type="dxa"/>
            <w:tcBorders>
              <w:bottom w:val="single" w:sz="12" w:space="0" w:color="auto"/>
            </w:tcBorders>
            <w:shd w:val="clear" w:color="auto" w:fill="auto"/>
          </w:tcPr>
          <w:p w14:paraId="161D0D5C" w14:textId="77777777" w:rsidR="00872C03" w:rsidRPr="00883399" w:rsidRDefault="00872C03" w:rsidP="0031057E">
            <w:pPr>
              <w:pStyle w:val="Tabletext0"/>
              <w:rPr>
                <w:sz w:val="22"/>
                <w:vertAlign w:val="superscript"/>
              </w:rPr>
            </w:pPr>
            <w:r w:rsidRPr="00883399">
              <w:rPr>
                <w:sz w:val="22"/>
              </w:rPr>
              <w:t>1.1 tonnes per cubic metre</w:t>
            </w:r>
          </w:p>
        </w:tc>
      </w:tr>
    </w:tbl>
    <w:p w14:paraId="65C3BD09" w14:textId="51A166C7" w:rsidR="00872C03" w:rsidRPr="00883399" w:rsidRDefault="00872C03" w:rsidP="00872C03">
      <w:pPr>
        <w:pStyle w:val="ActHead5"/>
        <w:rPr>
          <w:sz w:val="28"/>
        </w:rPr>
      </w:pPr>
      <w:bookmarkStart w:id="1111" w:name="_Toc423517151"/>
      <w:bookmarkStart w:id="1112" w:name="_Toc495653082"/>
      <w:r w:rsidRPr="00883399">
        <w:rPr>
          <w:rStyle w:val="CharSectno"/>
          <w:sz w:val="28"/>
        </w:rPr>
        <w:t>5.14</w:t>
      </w:r>
      <w:r w:rsidRPr="00883399">
        <w:rPr>
          <w:sz w:val="28"/>
        </w:rPr>
        <w:t xml:space="preserve">  Methane generation constants—(k values)</w:t>
      </w:r>
      <w:bookmarkEnd w:id="1111"/>
      <w:bookmarkEnd w:id="1112"/>
    </w:p>
    <w:p w14:paraId="2137DD4F" w14:textId="77777777" w:rsidR="00682A5B" w:rsidRPr="00883399" w:rsidRDefault="00872C03" w:rsidP="00682A5B">
      <w:pPr>
        <w:pStyle w:val="R1"/>
        <w:keepLines w:val="0"/>
        <w:spacing w:before="240" w:line="312" w:lineRule="auto"/>
        <w:ind w:left="0" w:firstLine="0"/>
        <w:jc w:val="left"/>
        <w:rPr>
          <w:rFonts w:ascii="Arial" w:hAnsi="Arial" w:cs="Arial"/>
          <w:sz w:val="22"/>
          <w:szCs w:val="22"/>
        </w:rPr>
      </w:pPr>
      <w:r w:rsidRPr="00883399">
        <w:tab/>
      </w:r>
      <w:r w:rsidR="00682A5B" w:rsidRPr="00883399">
        <w:rPr>
          <w:rFonts w:ascii="Arial" w:hAnsi="Arial" w:cs="Arial"/>
          <w:sz w:val="22"/>
          <w:szCs w:val="22"/>
        </w:rPr>
        <w:t>Landfill operators have two options for the selection of k values under method 1.  The first option is to select k values based upon the state or territory in which the landfill is located.  The second option is to select k values based upon the climatic conditions (mean annual temperature, precipitation and evaporation) at or near the landfill site.</w:t>
      </w:r>
    </w:p>
    <w:p w14:paraId="7731EDC5" w14:textId="77777777" w:rsidR="00682A5B" w:rsidRPr="00883399" w:rsidRDefault="00682A5B" w:rsidP="00682A5B">
      <w:pPr>
        <w:pStyle w:val="R1"/>
        <w:keepLines w:val="0"/>
        <w:spacing w:before="240" w:line="312" w:lineRule="auto"/>
        <w:ind w:left="0" w:firstLine="0"/>
        <w:jc w:val="left"/>
        <w:rPr>
          <w:rFonts w:ascii="Arial" w:hAnsi="Arial" w:cs="Arial"/>
          <w:sz w:val="22"/>
          <w:szCs w:val="22"/>
        </w:rPr>
      </w:pPr>
      <w:r w:rsidRPr="00883399">
        <w:rPr>
          <w:rFonts w:ascii="Arial" w:hAnsi="Arial" w:cs="Arial"/>
          <w:sz w:val="22"/>
          <w:szCs w:val="22"/>
        </w:rPr>
        <w:t>Under option 2, mean annual temperature can be calculated from data available on the Bureau of Meteorology website (</w:t>
      </w:r>
      <w:hyperlink r:id="rId257" w:history="1">
        <w:r w:rsidRPr="00883399">
          <w:rPr>
            <w:rStyle w:val="Hyperlink"/>
            <w:rFonts w:ascii="Arial" w:hAnsi="Arial" w:cs="Arial"/>
            <w:sz w:val="22"/>
            <w:szCs w:val="22"/>
          </w:rPr>
          <w:t>http://www.bom.gov.au/climate/data/</w:t>
        </w:r>
      </w:hyperlink>
      <w:r w:rsidRPr="00883399">
        <w:rPr>
          <w:rFonts w:ascii="Arial" w:hAnsi="Arial" w:cs="Arial"/>
          <w:sz w:val="22"/>
          <w:szCs w:val="22"/>
        </w:rPr>
        <w:t xml:space="preserve">). The BOM provide data on mean maximum and mean minimum temperatures over the entire </w:t>
      </w:r>
      <w:r w:rsidRPr="00883399">
        <w:rPr>
          <w:rFonts w:ascii="Arial" w:hAnsi="Arial" w:cs="Arial"/>
          <w:sz w:val="22"/>
          <w:szCs w:val="22"/>
        </w:rPr>
        <w:lastRenderedPageBreak/>
        <w:t>time-series of weather station data. Mean annual temperature is calculated as the arithmetic average of the mean maximum and mean minimum temperature.</w:t>
      </w:r>
    </w:p>
    <w:p w14:paraId="517BA91C" w14:textId="77777777" w:rsidR="00682A5B" w:rsidRPr="00883399" w:rsidRDefault="00682A5B" w:rsidP="00682A5B">
      <w:pPr>
        <w:pStyle w:val="R1"/>
        <w:keepLines w:val="0"/>
        <w:spacing w:before="240" w:line="312" w:lineRule="auto"/>
        <w:ind w:left="0" w:firstLine="0"/>
        <w:jc w:val="left"/>
        <w:rPr>
          <w:rFonts w:ascii="Arial" w:hAnsi="Arial" w:cs="Arial"/>
          <w:sz w:val="22"/>
          <w:szCs w:val="22"/>
        </w:rPr>
      </w:pPr>
      <w:r w:rsidRPr="00883399">
        <w:rPr>
          <w:rFonts w:ascii="Arial" w:hAnsi="Arial" w:cs="Arial"/>
          <w:sz w:val="22"/>
          <w:szCs w:val="22"/>
        </w:rPr>
        <w:t>Mean annual precipitation is available directly from the BOM weather station data.  No additional calculations are required in order to derive this value.</w:t>
      </w:r>
    </w:p>
    <w:p w14:paraId="10136B78" w14:textId="77777777" w:rsidR="00682A5B" w:rsidRPr="00883399" w:rsidRDefault="00682A5B" w:rsidP="00682A5B">
      <w:pPr>
        <w:pStyle w:val="R1"/>
        <w:keepLines w:val="0"/>
        <w:spacing w:before="240" w:line="312" w:lineRule="auto"/>
        <w:ind w:left="0" w:firstLine="0"/>
        <w:jc w:val="left"/>
        <w:rPr>
          <w:rFonts w:ascii="Arial" w:hAnsi="Arial" w:cs="Arial"/>
          <w:sz w:val="22"/>
          <w:szCs w:val="22"/>
        </w:rPr>
      </w:pPr>
      <w:r w:rsidRPr="00883399">
        <w:rPr>
          <w:rFonts w:ascii="Arial" w:hAnsi="Arial" w:cs="Arial"/>
          <w:sz w:val="22"/>
          <w:szCs w:val="22"/>
        </w:rPr>
        <w:t>Where BOM records are missing data for any of the previous 10 years, landfill operators may use average values to fill in data gaps in order to undertake the required calculations.</w:t>
      </w:r>
    </w:p>
    <w:p w14:paraId="540E9B55" w14:textId="77777777" w:rsidR="00682A5B" w:rsidRPr="00883399" w:rsidRDefault="00682A5B" w:rsidP="00682A5B">
      <w:pPr>
        <w:pStyle w:val="R1"/>
        <w:keepLines w:val="0"/>
        <w:spacing w:before="240" w:line="312" w:lineRule="auto"/>
        <w:ind w:left="0" w:firstLine="0"/>
        <w:jc w:val="left"/>
        <w:rPr>
          <w:rFonts w:ascii="Arial" w:hAnsi="Arial" w:cs="Arial"/>
          <w:sz w:val="22"/>
          <w:szCs w:val="22"/>
        </w:rPr>
      </w:pPr>
      <w:r w:rsidRPr="00883399">
        <w:rPr>
          <w:rFonts w:ascii="Arial" w:hAnsi="Arial" w:cs="Arial"/>
          <w:sz w:val="22"/>
          <w:szCs w:val="22"/>
        </w:rPr>
        <w:t xml:space="preserve">Landfills in the “temperate” classifications will also need an estimate of mean annual evaporation.  Mean annual evaporation data are available from certain BOM weather stations.  Under the provisions of section 5.14, mean annual evaporation data should be obtained from the closest weather station to the landfill for which evaporation records exist.  Reporters should consult the BOM on obtaining the appropriate evaporation records required for the selection of climate-based k values. </w:t>
      </w:r>
    </w:p>
    <w:p w14:paraId="4F69E352" w14:textId="77777777" w:rsidR="00872C03" w:rsidRPr="00883399" w:rsidRDefault="00682A5B" w:rsidP="00682A5B">
      <w:pPr>
        <w:pStyle w:val="subsection"/>
        <w:rPr>
          <w:sz w:val="24"/>
        </w:rPr>
      </w:pPr>
      <w:r w:rsidRPr="00883399">
        <w:rPr>
          <w:sz w:val="24"/>
        </w:rPr>
        <w:t xml:space="preserve"> </w:t>
      </w:r>
      <w:r w:rsidRPr="00883399">
        <w:rPr>
          <w:sz w:val="24"/>
        </w:rPr>
        <w:tab/>
      </w:r>
      <w:r w:rsidR="00872C03" w:rsidRPr="00883399">
        <w:rPr>
          <w:sz w:val="24"/>
        </w:rPr>
        <w:t>(1)</w:t>
      </w:r>
      <w:r w:rsidR="00872C03" w:rsidRPr="00883399">
        <w:rPr>
          <w:sz w:val="24"/>
        </w:rPr>
        <w:tab/>
        <w:t>This section is made for paragraph 5.4A(e).</w:t>
      </w:r>
    </w:p>
    <w:p w14:paraId="2C4299A8" w14:textId="77777777" w:rsidR="00872C03" w:rsidRPr="00883399" w:rsidRDefault="00872C03" w:rsidP="00872C03">
      <w:pPr>
        <w:pStyle w:val="subsection"/>
        <w:rPr>
          <w:sz w:val="24"/>
        </w:rPr>
      </w:pPr>
      <w:r w:rsidRPr="00883399">
        <w:rPr>
          <w:sz w:val="24"/>
        </w:rPr>
        <w:tab/>
        <w:t>(2)</w:t>
      </w:r>
      <w:r w:rsidRPr="00883399">
        <w:rPr>
          <w:sz w:val="24"/>
        </w:rPr>
        <w:tab/>
        <w:t>Before selecting methane generation constants (</w:t>
      </w:r>
      <w:r w:rsidRPr="00883399">
        <w:rPr>
          <w:b/>
          <w:i/>
          <w:sz w:val="24"/>
        </w:rPr>
        <w:t>k values</w:t>
      </w:r>
      <w:r w:rsidRPr="00883399">
        <w:rPr>
          <w:sz w:val="24"/>
        </w:rPr>
        <w:t>) from the table in subsection (6), the landfill operator must:</w:t>
      </w:r>
    </w:p>
    <w:p w14:paraId="120D85D8" w14:textId="77777777" w:rsidR="00872C03" w:rsidRPr="00883399" w:rsidRDefault="00872C03" w:rsidP="00872C03">
      <w:pPr>
        <w:pStyle w:val="paragraph"/>
        <w:rPr>
          <w:sz w:val="24"/>
        </w:rPr>
      </w:pPr>
      <w:r w:rsidRPr="00883399">
        <w:rPr>
          <w:sz w:val="24"/>
        </w:rPr>
        <w:tab/>
        <w:t>(a)</w:t>
      </w:r>
      <w:r w:rsidRPr="00883399">
        <w:rPr>
          <w:sz w:val="24"/>
        </w:rPr>
        <w:tab/>
        <w:t>obtain records of each of the following for the 10 year period ending immediately prior to the reporting year for which the landfill operator selects k values:</w:t>
      </w:r>
    </w:p>
    <w:p w14:paraId="2BD471B5" w14:textId="77777777" w:rsidR="00872C03" w:rsidRPr="00883399" w:rsidRDefault="00872C03" w:rsidP="00872C03">
      <w:pPr>
        <w:pStyle w:val="paragraphsub"/>
        <w:rPr>
          <w:sz w:val="24"/>
        </w:rPr>
      </w:pPr>
      <w:r w:rsidRPr="00883399">
        <w:rPr>
          <w:sz w:val="24"/>
        </w:rPr>
        <w:tab/>
        <w:t>(i)</w:t>
      </w:r>
      <w:r w:rsidRPr="00883399">
        <w:rPr>
          <w:sz w:val="24"/>
        </w:rPr>
        <w:tab/>
        <w:t>mean annual evaporation;</w:t>
      </w:r>
    </w:p>
    <w:p w14:paraId="101AF61D" w14:textId="77777777" w:rsidR="00872C03" w:rsidRPr="00883399" w:rsidRDefault="00872C03" w:rsidP="00872C03">
      <w:pPr>
        <w:pStyle w:val="paragraphsub"/>
        <w:rPr>
          <w:sz w:val="24"/>
        </w:rPr>
      </w:pPr>
      <w:r w:rsidRPr="00883399">
        <w:rPr>
          <w:sz w:val="24"/>
        </w:rPr>
        <w:tab/>
        <w:t>(ii)</w:t>
      </w:r>
      <w:r w:rsidRPr="00883399">
        <w:rPr>
          <w:sz w:val="24"/>
        </w:rPr>
        <w:tab/>
        <w:t>mean annual precipitation;</w:t>
      </w:r>
    </w:p>
    <w:p w14:paraId="75606357" w14:textId="77777777" w:rsidR="00872C03" w:rsidRPr="00883399" w:rsidRDefault="00872C03" w:rsidP="00872C03">
      <w:pPr>
        <w:pStyle w:val="paragraphsub"/>
        <w:rPr>
          <w:sz w:val="24"/>
        </w:rPr>
      </w:pPr>
      <w:r w:rsidRPr="00883399">
        <w:rPr>
          <w:sz w:val="24"/>
        </w:rPr>
        <w:tab/>
        <w:t>(iii)</w:t>
      </w:r>
      <w:r w:rsidRPr="00883399">
        <w:rPr>
          <w:sz w:val="24"/>
        </w:rPr>
        <w:tab/>
        <w:t>mean annual temperature; and</w:t>
      </w:r>
    </w:p>
    <w:p w14:paraId="0DCFF246" w14:textId="77777777" w:rsidR="00872C03" w:rsidRPr="00883399" w:rsidRDefault="00872C03" w:rsidP="00872C03">
      <w:pPr>
        <w:pStyle w:val="paragraph"/>
        <w:rPr>
          <w:sz w:val="24"/>
        </w:rPr>
      </w:pPr>
      <w:r w:rsidRPr="00883399">
        <w:rPr>
          <w:sz w:val="24"/>
        </w:rPr>
        <w:tab/>
        <w:t>(b)</w:t>
      </w:r>
      <w:r w:rsidRPr="00883399">
        <w:rPr>
          <w:sz w:val="24"/>
        </w:rPr>
        <w:tab/>
        <w:t>based on those records, identify, for the landfill facility, the landfill classification mentioned in column 2 of the table.</w:t>
      </w:r>
    </w:p>
    <w:p w14:paraId="7D8E3008" w14:textId="77777777" w:rsidR="00872C03" w:rsidRPr="00883399" w:rsidRDefault="00872C03" w:rsidP="00872C03">
      <w:pPr>
        <w:pStyle w:val="notetext"/>
        <w:rPr>
          <w:sz w:val="20"/>
        </w:rPr>
      </w:pPr>
      <w:r w:rsidRPr="00883399">
        <w:rPr>
          <w:sz w:val="20"/>
        </w:rPr>
        <w:t>Note:</w:t>
      </w:r>
      <w:r w:rsidRPr="00883399">
        <w:rPr>
          <w:sz w:val="20"/>
        </w:rPr>
        <w:tab/>
        <w:t>See subsection (6) for definitions related to the requirements in paragraphs (2)(a) and (b).</w:t>
      </w:r>
    </w:p>
    <w:p w14:paraId="52D5A37B" w14:textId="77777777" w:rsidR="00872C03" w:rsidRPr="00883399" w:rsidRDefault="00872C03" w:rsidP="00872C03">
      <w:pPr>
        <w:pStyle w:val="subsection"/>
        <w:rPr>
          <w:sz w:val="24"/>
        </w:rPr>
      </w:pPr>
      <w:r w:rsidRPr="00883399">
        <w:rPr>
          <w:sz w:val="24"/>
        </w:rPr>
        <w:tab/>
        <w:t>(3)</w:t>
      </w:r>
      <w:r w:rsidRPr="00883399">
        <w:rPr>
          <w:sz w:val="24"/>
        </w:rPr>
        <w:tab/>
        <w:t>A landfill operator must select k values from either:</w:t>
      </w:r>
    </w:p>
    <w:p w14:paraId="68ED9A32" w14:textId="77777777" w:rsidR="00872C03" w:rsidRPr="00883399" w:rsidRDefault="00872C03" w:rsidP="00872C03">
      <w:pPr>
        <w:pStyle w:val="paragraph"/>
        <w:rPr>
          <w:sz w:val="24"/>
        </w:rPr>
      </w:pPr>
      <w:r w:rsidRPr="00883399">
        <w:rPr>
          <w:sz w:val="24"/>
        </w:rPr>
        <w:tab/>
        <w:t>(a)</w:t>
      </w:r>
      <w:r w:rsidRPr="00883399">
        <w:rPr>
          <w:sz w:val="24"/>
        </w:rPr>
        <w:tab/>
        <w:t>the table in subsection (5); or</w:t>
      </w:r>
    </w:p>
    <w:p w14:paraId="7E415B4F" w14:textId="77777777" w:rsidR="00872C03" w:rsidRPr="00883399" w:rsidRDefault="00872C03" w:rsidP="00872C03">
      <w:pPr>
        <w:pStyle w:val="paragraph"/>
        <w:rPr>
          <w:sz w:val="24"/>
        </w:rPr>
      </w:pPr>
      <w:r w:rsidRPr="00883399">
        <w:rPr>
          <w:sz w:val="24"/>
        </w:rPr>
        <w:tab/>
        <w:t>(b)</w:t>
      </w:r>
      <w:r w:rsidRPr="00883399">
        <w:rPr>
          <w:sz w:val="24"/>
        </w:rPr>
        <w:tab/>
        <w:t>the table in subsection (6).</w:t>
      </w:r>
    </w:p>
    <w:p w14:paraId="2C58DC2A" w14:textId="77777777" w:rsidR="00872C03" w:rsidRPr="00883399" w:rsidRDefault="00872C03" w:rsidP="00872C03">
      <w:pPr>
        <w:pStyle w:val="subsection"/>
        <w:rPr>
          <w:sz w:val="24"/>
        </w:rPr>
      </w:pPr>
      <w:r w:rsidRPr="00883399">
        <w:rPr>
          <w:sz w:val="24"/>
        </w:rPr>
        <w:tab/>
        <w:t>(4)</w:t>
      </w:r>
      <w:r w:rsidRPr="00883399">
        <w:rPr>
          <w:sz w:val="24"/>
        </w:rPr>
        <w:tab/>
        <w:t>If a landfill operator selects k values from the table in subsection (6) in a reporting year, the landfill operator must select k values from that table in each subsequent reporting year.</w:t>
      </w:r>
    </w:p>
    <w:p w14:paraId="6802F17A" w14:textId="77777777" w:rsidR="00872C03" w:rsidRPr="00883399" w:rsidRDefault="00872C03" w:rsidP="00872C03">
      <w:pPr>
        <w:pStyle w:val="subsection"/>
        <w:rPr>
          <w:sz w:val="24"/>
        </w:rPr>
      </w:pPr>
      <w:r w:rsidRPr="00883399">
        <w:rPr>
          <w:sz w:val="24"/>
        </w:rPr>
        <w:tab/>
        <w:t>(5)</w:t>
      </w:r>
      <w:r w:rsidRPr="00883399">
        <w:rPr>
          <w:sz w:val="24"/>
        </w:rPr>
        <w:tab/>
        <w:t>The k values for solid waste at a landfill in a State or Territory mentioned in column 2 of an item in the following table are the constants set out in column 4 for a waste mix type mentioned in column 3 for the item.</w:t>
      </w:r>
    </w:p>
    <w:p w14:paraId="53F6B454" w14:textId="77777777" w:rsidR="00872C03" w:rsidRPr="00883399" w:rsidRDefault="00872C03" w:rsidP="00872C03">
      <w:pPr>
        <w:pStyle w:val="Tabletext0"/>
        <w:rPr>
          <w:sz w:val="22"/>
        </w:rPr>
      </w:pPr>
    </w:p>
    <w:tbl>
      <w:tblPr>
        <w:tblW w:w="0" w:type="auto"/>
        <w:tblInd w:w="959" w:type="dxa"/>
        <w:tblBorders>
          <w:top w:val="single" w:sz="4" w:space="0" w:color="auto"/>
          <w:bottom w:val="single" w:sz="2" w:space="0" w:color="auto"/>
          <w:insideH w:val="single" w:sz="4" w:space="0" w:color="auto"/>
        </w:tblBorders>
        <w:tblLook w:val="0000" w:firstRow="0" w:lastRow="0" w:firstColumn="0" w:lastColumn="0" w:noHBand="0" w:noVBand="0"/>
      </w:tblPr>
      <w:tblGrid>
        <w:gridCol w:w="722"/>
        <w:gridCol w:w="2956"/>
        <w:gridCol w:w="2692"/>
        <w:gridCol w:w="984"/>
      </w:tblGrid>
      <w:tr w:rsidR="00872C03" w:rsidRPr="00883399" w14:paraId="1766E386" w14:textId="77777777" w:rsidTr="0031057E">
        <w:trPr>
          <w:tblHeader/>
        </w:trPr>
        <w:tc>
          <w:tcPr>
            <w:tcW w:w="7529" w:type="dxa"/>
            <w:gridSpan w:val="4"/>
            <w:tcBorders>
              <w:top w:val="single" w:sz="12" w:space="0" w:color="auto"/>
              <w:bottom w:val="single" w:sz="6" w:space="0" w:color="auto"/>
            </w:tcBorders>
            <w:shd w:val="clear" w:color="auto" w:fill="auto"/>
          </w:tcPr>
          <w:p w14:paraId="3A70E0A5" w14:textId="77777777" w:rsidR="00872C03" w:rsidRPr="00883399" w:rsidRDefault="00872C03" w:rsidP="0031057E">
            <w:pPr>
              <w:pStyle w:val="TableHeading"/>
              <w:rPr>
                <w:sz w:val="22"/>
              </w:rPr>
            </w:pPr>
            <w:r w:rsidRPr="00883399">
              <w:rPr>
                <w:sz w:val="22"/>
              </w:rPr>
              <w:t>k values for Solid Waste at a Landfill</w:t>
            </w:r>
          </w:p>
        </w:tc>
      </w:tr>
      <w:tr w:rsidR="00872C03" w:rsidRPr="00883399" w14:paraId="3DF3CE77" w14:textId="77777777" w:rsidTr="0031057E">
        <w:trPr>
          <w:tblHeader/>
        </w:trPr>
        <w:tc>
          <w:tcPr>
            <w:tcW w:w="725" w:type="dxa"/>
            <w:tcBorders>
              <w:top w:val="single" w:sz="6" w:space="0" w:color="auto"/>
              <w:bottom w:val="single" w:sz="12" w:space="0" w:color="auto"/>
            </w:tcBorders>
            <w:shd w:val="clear" w:color="auto" w:fill="auto"/>
          </w:tcPr>
          <w:p w14:paraId="61334D64" w14:textId="77777777" w:rsidR="00872C03" w:rsidRPr="00883399" w:rsidRDefault="00872C03" w:rsidP="0031057E">
            <w:pPr>
              <w:pStyle w:val="TableHeading"/>
              <w:rPr>
                <w:sz w:val="22"/>
              </w:rPr>
            </w:pPr>
            <w:r w:rsidRPr="00883399">
              <w:rPr>
                <w:sz w:val="22"/>
              </w:rPr>
              <w:t>Item</w:t>
            </w:r>
          </w:p>
        </w:tc>
        <w:tc>
          <w:tcPr>
            <w:tcW w:w="3046" w:type="dxa"/>
            <w:tcBorders>
              <w:top w:val="single" w:sz="6" w:space="0" w:color="auto"/>
              <w:bottom w:val="single" w:sz="12" w:space="0" w:color="auto"/>
            </w:tcBorders>
            <w:shd w:val="clear" w:color="auto" w:fill="auto"/>
          </w:tcPr>
          <w:p w14:paraId="082CDAA3" w14:textId="77777777" w:rsidR="00872C03" w:rsidRPr="00883399" w:rsidRDefault="00872C03" w:rsidP="0031057E">
            <w:pPr>
              <w:pStyle w:val="TableHeading"/>
              <w:rPr>
                <w:sz w:val="22"/>
              </w:rPr>
            </w:pPr>
            <w:r w:rsidRPr="00883399">
              <w:rPr>
                <w:sz w:val="22"/>
              </w:rPr>
              <w:t>State or Territory</w:t>
            </w:r>
          </w:p>
        </w:tc>
        <w:tc>
          <w:tcPr>
            <w:tcW w:w="2765" w:type="dxa"/>
            <w:tcBorders>
              <w:top w:val="single" w:sz="6" w:space="0" w:color="auto"/>
              <w:bottom w:val="single" w:sz="12" w:space="0" w:color="auto"/>
            </w:tcBorders>
            <w:shd w:val="clear" w:color="auto" w:fill="auto"/>
          </w:tcPr>
          <w:p w14:paraId="3BCC4282" w14:textId="77777777" w:rsidR="00872C03" w:rsidRPr="00883399" w:rsidRDefault="00872C03" w:rsidP="0031057E">
            <w:pPr>
              <w:pStyle w:val="TableHeading"/>
              <w:rPr>
                <w:sz w:val="22"/>
              </w:rPr>
            </w:pPr>
            <w:r w:rsidRPr="00883399">
              <w:rPr>
                <w:sz w:val="22"/>
              </w:rPr>
              <w:t>Waste mix type</w:t>
            </w:r>
          </w:p>
        </w:tc>
        <w:tc>
          <w:tcPr>
            <w:tcW w:w="993" w:type="dxa"/>
            <w:tcBorders>
              <w:top w:val="single" w:sz="6" w:space="0" w:color="auto"/>
              <w:bottom w:val="single" w:sz="12" w:space="0" w:color="auto"/>
            </w:tcBorders>
            <w:shd w:val="clear" w:color="auto" w:fill="auto"/>
          </w:tcPr>
          <w:p w14:paraId="26203DE9" w14:textId="77777777" w:rsidR="00872C03" w:rsidRPr="00883399" w:rsidRDefault="00872C03" w:rsidP="0031057E">
            <w:pPr>
              <w:pStyle w:val="TableHeading"/>
              <w:rPr>
                <w:sz w:val="22"/>
              </w:rPr>
            </w:pPr>
            <w:r w:rsidRPr="00883399">
              <w:rPr>
                <w:sz w:val="22"/>
              </w:rPr>
              <w:t>k values</w:t>
            </w:r>
          </w:p>
        </w:tc>
      </w:tr>
      <w:tr w:rsidR="00872C03" w:rsidRPr="00883399" w14:paraId="48D32905" w14:textId="77777777" w:rsidTr="0031057E">
        <w:tc>
          <w:tcPr>
            <w:tcW w:w="725" w:type="dxa"/>
            <w:tcBorders>
              <w:top w:val="single" w:sz="12" w:space="0" w:color="auto"/>
            </w:tcBorders>
            <w:shd w:val="clear" w:color="auto" w:fill="auto"/>
          </w:tcPr>
          <w:p w14:paraId="4D447542" w14:textId="77777777" w:rsidR="00872C03" w:rsidRPr="00883399" w:rsidRDefault="00872C03" w:rsidP="0031057E">
            <w:pPr>
              <w:pStyle w:val="Tabletext0"/>
              <w:rPr>
                <w:sz w:val="22"/>
              </w:rPr>
            </w:pPr>
            <w:r w:rsidRPr="00883399">
              <w:rPr>
                <w:sz w:val="22"/>
              </w:rPr>
              <w:t>1</w:t>
            </w:r>
          </w:p>
        </w:tc>
        <w:tc>
          <w:tcPr>
            <w:tcW w:w="3046" w:type="dxa"/>
            <w:tcBorders>
              <w:top w:val="single" w:sz="12" w:space="0" w:color="auto"/>
            </w:tcBorders>
            <w:shd w:val="clear" w:color="auto" w:fill="auto"/>
          </w:tcPr>
          <w:p w14:paraId="5653507F" w14:textId="77777777" w:rsidR="00872C03" w:rsidRPr="00883399" w:rsidRDefault="00872C03" w:rsidP="0031057E">
            <w:pPr>
              <w:pStyle w:val="Tabletext0"/>
              <w:rPr>
                <w:sz w:val="22"/>
              </w:rPr>
            </w:pPr>
            <w:r w:rsidRPr="00883399">
              <w:rPr>
                <w:sz w:val="22"/>
              </w:rPr>
              <w:t>NSW</w:t>
            </w:r>
          </w:p>
        </w:tc>
        <w:tc>
          <w:tcPr>
            <w:tcW w:w="2765" w:type="dxa"/>
            <w:tcBorders>
              <w:top w:val="single" w:sz="12" w:space="0" w:color="auto"/>
            </w:tcBorders>
            <w:shd w:val="clear" w:color="auto" w:fill="auto"/>
          </w:tcPr>
          <w:p w14:paraId="55440B13" w14:textId="77777777" w:rsidR="00872C03" w:rsidRPr="00883399" w:rsidRDefault="00872C03" w:rsidP="0031057E">
            <w:pPr>
              <w:pStyle w:val="Tabletext0"/>
              <w:rPr>
                <w:sz w:val="22"/>
              </w:rPr>
            </w:pPr>
            <w:r w:rsidRPr="00883399">
              <w:rPr>
                <w:sz w:val="22"/>
              </w:rPr>
              <w:t>Food</w:t>
            </w:r>
          </w:p>
          <w:p w14:paraId="2E69CA2B" w14:textId="77777777" w:rsidR="00872C03" w:rsidRPr="00883399" w:rsidRDefault="00872C03" w:rsidP="0031057E">
            <w:pPr>
              <w:pStyle w:val="Tabletext0"/>
              <w:rPr>
                <w:sz w:val="22"/>
              </w:rPr>
            </w:pPr>
            <w:r w:rsidRPr="00883399">
              <w:rPr>
                <w:sz w:val="22"/>
              </w:rPr>
              <w:t>Paper and cardboard</w:t>
            </w:r>
          </w:p>
          <w:p w14:paraId="2B7DAD89" w14:textId="77777777" w:rsidR="00872C03" w:rsidRPr="00883399" w:rsidRDefault="00872C03" w:rsidP="0031057E">
            <w:pPr>
              <w:pStyle w:val="Tabletext0"/>
              <w:rPr>
                <w:sz w:val="22"/>
              </w:rPr>
            </w:pPr>
            <w:r w:rsidRPr="00883399">
              <w:rPr>
                <w:sz w:val="22"/>
              </w:rPr>
              <w:t>Garden and Green</w:t>
            </w:r>
          </w:p>
          <w:p w14:paraId="0F77396A" w14:textId="77777777" w:rsidR="00872C03" w:rsidRPr="00883399" w:rsidRDefault="00872C03" w:rsidP="0031057E">
            <w:pPr>
              <w:pStyle w:val="Tabletext0"/>
              <w:rPr>
                <w:sz w:val="22"/>
              </w:rPr>
            </w:pPr>
            <w:r w:rsidRPr="00883399">
              <w:rPr>
                <w:sz w:val="22"/>
              </w:rPr>
              <w:t>Wood</w:t>
            </w:r>
          </w:p>
          <w:p w14:paraId="6BE24669" w14:textId="77777777" w:rsidR="00872C03" w:rsidRPr="00883399" w:rsidRDefault="00872C03" w:rsidP="0031057E">
            <w:pPr>
              <w:pStyle w:val="Tabletext0"/>
              <w:rPr>
                <w:sz w:val="22"/>
              </w:rPr>
            </w:pPr>
            <w:r w:rsidRPr="00883399">
              <w:rPr>
                <w:sz w:val="22"/>
              </w:rPr>
              <w:t>Textiles</w:t>
            </w:r>
          </w:p>
          <w:p w14:paraId="62B41F1B" w14:textId="77777777" w:rsidR="00872C03" w:rsidRPr="00883399" w:rsidRDefault="00872C03" w:rsidP="0031057E">
            <w:pPr>
              <w:pStyle w:val="Tabletext0"/>
              <w:rPr>
                <w:sz w:val="22"/>
              </w:rPr>
            </w:pPr>
            <w:r w:rsidRPr="00883399">
              <w:rPr>
                <w:sz w:val="22"/>
              </w:rPr>
              <w:t>Sludge</w:t>
            </w:r>
          </w:p>
          <w:p w14:paraId="331A3D7B" w14:textId="77777777" w:rsidR="00872C03" w:rsidRPr="00883399" w:rsidRDefault="00872C03" w:rsidP="0031057E">
            <w:pPr>
              <w:pStyle w:val="Tabletext0"/>
              <w:rPr>
                <w:sz w:val="22"/>
              </w:rPr>
            </w:pPr>
            <w:r w:rsidRPr="00883399">
              <w:rPr>
                <w:sz w:val="22"/>
              </w:rPr>
              <w:t>Nappies</w:t>
            </w:r>
          </w:p>
          <w:p w14:paraId="10B55607" w14:textId="77777777" w:rsidR="00872C03" w:rsidRPr="00883399" w:rsidRDefault="00872C03" w:rsidP="0031057E">
            <w:pPr>
              <w:pStyle w:val="Tabletext0"/>
              <w:rPr>
                <w:sz w:val="22"/>
              </w:rPr>
            </w:pPr>
            <w:r w:rsidRPr="00883399">
              <w:rPr>
                <w:sz w:val="22"/>
              </w:rPr>
              <w:t>Rubber and Leather</w:t>
            </w:r>
          </w:p>
          <w:p w14:paraId="17B202D1" w14:textId="77777777" w:rsidR="00872C03" w:rsidRPr="00883399" w:rsidRDefault="00872C03" w:rsidP="0031057E">
            <w:pPr>
              <w:pStyle w:val="Tabletext0"/>
              <w:rPr>
                <w:sz w:val="22"/>
              </w:rPr>
            </w:pPr>
            <w:r w:rsidRPr="00883399">
              <w:rPr>
                <w:sz w:val="22"/>
              </w:rPr>
              <w:t>Alternative waste treatment residue</w:t>
            </w:r>
          </w:p>
        </w:tc>
        <w:tc>
          <w:tcPr>
            <w:tcW w:w="993" w:type="dxa"/>
            <w:tcBorders>
              <w:top w:val="single" w:sz="12" w:space="0" w:color="auto"/>
            </w:tcBorders>
            <w:shd w:val="clear" w:color="auto" w:fill="auto"/>
          </w:tcPr>
          <w:p w14:paraId="2322CF37" w14:textId="77777777" w:rsidR="00872C03" w:rsidRPr="00883399" w:rsidRDefault="00872C03" w:rsidP="0031057E">
            <w:pPr>
              <w:pStyle w:val="Tabletext0"/>
              <w:rPr>
                <w:sz w:val="22"/>
              </w:rPr>
            </w:pPr>
            <w:r w:rsidRPr="00883399">
              <w:rPr>
                <w:sz w:val="22"/>
              </w:rPr>
              <w:t>0.185</w:t>
            </w:r>
          </w:p>
          <w:p w14:paraId="097428CE" w14:textId="77777777" w:rsidR="00872C03" w:rsidRPr="00883399" w:rsidRDefault="00872C03" w:rsidP="0031057E">
            <w:pPr>
              <w:pStyle w:val="Tabletext0"/>
              <w:rPr>
                <w:sz w:val="22"/>
              </w:rPr>
            </w:pPr>
            <w:r w:rsidRPr="00883399">
              <w:rPr>
                <w:sz w:val="22"/>
              </w:rPr>
              <w:t>0.06</w:t>
            </w:r>
          </w:p>
          <w:p w14:paraId="484E26AD" w14:textId="77777777" w:rsidR="00872C03" w:rsidRPr="00883399" w:rsidRDefault="00872C03" w:rsidP="0031057E">
            <w:pPr>
              <w:pStyle w:val="Tabletext0"/>
              <w:rPr>
                <w:sz w:val="22"/>
              </w:rPr>
            </w:pPr>
            <w:r w:rsidRPr="00883399">
              <w:rPr>
                <w:sz w:val="22"/>
              </w:rPr>
              <w:t>0.10</w:t>
            </w:r>
          </w:p>
          <w:p w14:paraId="792E8B64" w14:textId="77777777" w:rsidR="00872C03" w:rsidRPr="00883399" w:rsidRDefault="00872C03" w:rsidP="0031057E">
            <w:pPr>
              <w:pStyle w:val="Tabletext0"/>
              <w:rPr>
                <w:sz w:val="22"/>
              </w:rPr>
            </w:pPr>
            <w:r w:rsidRPr="00883399">
              <w:rPr>
                <w:sz w:val="22"/>
              </w:rPr>
              <w:t>0.03</w:t>
            </w:r>
          </w:p>
          <w:p w14:paraId="09A685A6" w14:textId="77777777" w:rsidR="00872C03" w:rsidRPr="00883399" w:rsidRDefault="00872C03" w:rsidP="0031057E">
            <w:pPr>
              <w:pStyle w:val="Tabletext0"/>
              <w:rPr>
                <w:sz w:val="22"/>
              </w:rPr>
            </w:pPr>
            <w:r w:rsidRPr="00883399">
              <w:rPr>
                <w:sz w:val="22"/>
              </w:rPr>
              <w:t>0.06</w:t>
            </w:r>
          </w:p>
          <w:p w14:paraId="5461F0C5" w14:textId="77777777" w:rsidR="00872C03" w:rsidRPr="00883399" w:rsidRDefault="00872C03" w:rsidP="0031057E">
            <w:pPr>
              <w:pStyle w:val="Tabletext0"/>
              <w:rPr>
                <w:sz w:val="22"/>
              </w:rPr>
            </w:pPr>
            <w:r w:rsidRPr="00883399">
              <w:rPr>
                <w:sz w:val="22"/>
              </w:rPr>
              <w:t>0.185</w:t>
            </w:r>
          </w:p>
          <w:p w14:paraId="4C5E89A3" w14:textId="77777777" w:rsidR="00872C03" w:rsidRPr="00883399" w:rsidRDefault="00872C03" w:rsidP="0031057E">
            <w:pPr>
              <w:pStyle w:val="Tabletext0"/>
              <w:rPr>
                <w:sz w:val="22"/>
              </w:rPr>
            </w:pPr>
            <w:r w:rsidRPr="00883399">
              <w:rPr>
                <w:sz w:val="22"/>
              </w:rPr>
              <w:t>0.06</w:t>
            </w:r>
          </w:p>
          <w:p w14:paraId="61D30469" w14:textId="77777777" w:rsidR="00872C03" w:rsidRPr="00883399" w:rsidRDefault="00872C03" w:rsidP="0031057E">
            <w:pPr>
              <w:pStyle w:val="Tabletext0"/>
              <w:rPr>
                <w:sz w:val="22"/>
              </w:rPr>
            </w:pPr>
            <w:r w:rsidRPr="00883399">
              <w:rPr>
                <w:sz w:val="22"/>
              </w:rPr>
              <w:t>0.06</w:t>
            </w:r>
          </w:p>
          <w:p w14:paraId="775D13F2" w14:textId="77777777" w:rsidR="00872C03" w:rsidRPr="00883399" w:rsidRDefault="00872C03" w:rsidP="0031057E">
            <w:pPr>
              <w:pStyle w:val="Tabletext0"/>
              <w:rPr>
                <w:sz w:val="22"/>
              </w:rPr>
            </w:pPr>
            <w:r w:rsidRPr="00883399">
              <w:rPr>
                <w:sz w:val="22"/>
              </w:rPr>
              <w:t>0.06</w:t>
            </w:r>
          </w:p>
        </w:tc>
      </w:tr>
      <w:tr w:rsidR="00872C03" w:rsidRPr="00883399" w14:paraId="683AC6D9" w14:textId="77777777" w:rsidTr="0031057E">
        <w:tc>
          <w:tcPr>
            <w:tcW w:w="725" w:type="dxa"/>
            <w:tcBorders>
              <w:bottom w:val="single" w:sz="4" w:space="0" w:color="auto"/>
            </w:tcBorders>
            <w:shd w:val="clear" w:color="auto" w:fill="auto"/>
          </w:tcPr>
          <w:p w14:paraId="67D97344" w14:textId="77777777" w:rsidR="00872C03" w:rsidRPr="00883399" w:rsidRDefault="00872C03" w:rsidP="0031057E">
            <w:pPr>
              <w:pStyle w:val="Tabletext0"/>
              <w:rPr>
                <w:sz w:val="22"/>
              </w:rPr>
            </w:pPr>
            <w:r w:rsidRPr="00883399">
              <w:rPr>
                <w:sz w:val="22"/>
              </w:rPr>
              <w:t>2</w:t>
            </w:r>
          </w:p>
        </w:tc>
        <w:tc>
          <w:tcPr>
            <w:tcW w:w="3046" w:type="dxa"/>
            <w:tcBorders>
              <w:bottom w:val="single" w:sz="4" w:space="0" w:color="auto"/>
            </w:tcBorders>
            <w:shd w:val="clear" w:color="auto" w:fill="auto"/>
          </w:tcPr>
          <w:p w14:paraId="1C27D85D" w14:textId="77777777" w:rsidR="00872C03" w:rsidRPr="00883399" w:rsidRDefault="00872C03" w:rsidP="0031057E">
            <w:pPr>
              <w:pStyle w:val="Tabletext0"/>
              <w:rPr>
                <w:sz w:val="22"/>
              </w:rPr>
            </w:pPr>
            <w:r w:rsidRPr="00883399">
              <w:rPr>
                <w:sz w:val="22"/>
              </w:rPr>
              <w:t>VIC, WA, SA, TAS, ACT</w:t>
            </w:r>
          </w:p>
        </w:tc>
        <w:tc>
          <w:tcPr>
            <w:tcW w:w="2765" w:type="dxa"/>
            <w:tcBorders>
              <w:bottom w:val="single" w:sz="4" w:space="0" w:color="auto"/>
            </w:tcBorders>
            <w:shd w:val="clear" w:color="auto" w:fill="auto"/>
          </w:tcPr>
          <w:p w14:paraId="3FA42766" w14:textId="77777777" w:rsidR="00872C03" w:rsidRPr="00883399" w:rsidRDefault="00872C03" w:rsidP="0031057E">
            <w:pPr>
              <w:pStyle w:val="Tabletext0"/>
              <w:rPr>
                <w:sz w:val="22"/>
              </w:rPr>
            </w:pPr>
            <w:r w:rsidRPr="00883399">
              <w:rPr>
                <w:sz w:val="22"/>
              </w:rPr>
              <w:t>Food</w:t>
            </w:r>
          </w:p>
          <w:p w14:paraId="17885610" w14:textId="77777777" w:rsidR="00872C03" w:rsidRPr="00883399" w:rsidRDefault="00872C03" w:rsidP="0031057E">
            <w:pPr>
              <w:pStyle w:val="Tabletext0"/>
              <w:rPr>
                <w:sz w:val="22"/>
              </w:rPr>
            </w:pPr>
            <w:r w:rsidRPr="00883399">
              <w:rPr>
                <w:sz w:val="22"/>
              </w:rPr>
              <w:t>Paper and cardboard</w:t>
            </w:r>
          </w:p>
          <w:p w14:paraId="645A6DC4" w14:textId="77777777" w:rsidR="00872C03" w:rsidRPr="00883399" w:rsidRDefault="00872C03" w:rsidP="0031057E">
            <w:pPr>
              <w:pStyle w:val="Tabletext0"/>
              <w:rPr>
                <w:sz w:val="22"/>
              </w:rPr>
            </w:pPr>
            <w:r w:rsidRPr="00883399">
              <w:rPr>
                <w:sz w:val="22"/>
              </w:rPr>
              <w:t>Garden and Green</w:t>
            </w:r>
          </w:p>
          <w:p w14:paraId="7C31DCC1" w14:textId="77777777" w:rsidR="00872C03" w:rsidRPr="00883399" w:rsidRDefault="00872C03" w:rsidP="0031057E">
            <w:pPr>
              <w:pStyle w:val="Tabletext0"/>
              <w:rPr>
                <w:sz w:val="22"/>
              </w:rPr>
            </w:pPr>
            <w:r w:rsidRPr="00883399">
              <w:rPr>
                <w:sz w:val="22"/>
              </w:rPr>
              <w:t>Wood</w:t>
            </w:r>
          </w:p>
          <w:p w14:paraId="1FEECF2D" w14:textId="77777777" w:rsidR="00872C03" w:rsidRPr="00883399" w:rsidRDefault="00872C03" w:rsidP="0031057E">
            <w:pPr>
              <w:pStyle w:val="Tabletext0"/>
              <w:rPr>
                <w:sz w:val="22"/>
              </w:rPr>
            </w:pPr>
            <w:r w:rsidRPr="00883399">
              <w:rPr>
                <w:sz w:val="22"/>
              </w:rPr>
              <w:t>Textiles</w:t>
            </w:r>
          </w:p>
          <w:p w14:paraId="278EBCF4" w14:textId="77777777" w:rsidR="00872C03" w:rsidRPr="00883399" w:rsidRDefault="00872C03" w:rsidP="0031057E">
            <w:pPr>
              <w:pStyle w:val="Tabletext0"/>
              <w:rPr>
                <w:sz w:val="22"/>
              </w:rPr>
            </w:pPr>
            <w:r w:rsidRPr="00883399">
              <w:rPr>
                <w:sz w:val="22"/>
              </w:rPr>
              <w:t>Sludge</w:t>
            </w:r>
          </w:p>
          <w:p w14:paraId="29F39AAF" w14:textId="77777777" w:rsidR="00872C03" w:rsidRPr="00883399" w:rsidRDefault="00872C03" w:rsidP="0031057E">
            <w:pPr>
              <w:pStyle w:val="Tabletext0"/>
              <w:rPr>
                <w:sz w:val="22"/>
              </w:rPr>
            </w:pPr>
            <w:r w:rsidRPr="00883399">
              <w:rPr>
                <w:sz w:val="22"/>
              </w:rPr>
              <w:t>Nappies</w:t>
            </w:r>
          </w:p>
          <w:p w14:paraId="0181EE57" w14:textId="77777777" w:rsidR="00872C03" w:rsidRPr="00883399" w:rsidRDefault="00872C03" w:rsidP="0031057E">
            <w:pPr>
              <w:pStyle w:val="Tabletext0"/>
              <w:rPr>
                <w:sz w:val="22"/>
              </w:rPr>
            </w:pPr>
            <w:r w:rsidRPr="00883399">
              <w:rPr>
                <w:sz w:val="22"/>
              </w:rPr>
              <w:t>Rubber and Leather</w:t>
            </w:r>
          </w:p>
          <w:p w14:paraId="70A12D02" w14:textId="77777777" w:rsidR="00872C03" w:rsidRPr="00883399" w:rsidRDefault="00872C03" w:rsidP="0031057E">
            <w:pPr>
              <w:pStyle w:val="Tabletext0"/>
              <w:rPr>
                <w:sz w:val="22"/>
              </w:rPr>
            </w:pPr>
            <w:r w:rsidRPr="00883399">
              <w:rPr>
                <w:sz w:val="22"/>
              </w:rPr>
              <w:t>Alternative waste treatment residue</w:t>
            </w:r>
          </w:p>
        </w:tc>
        <w:tc>
          <w:tcPr>
            <w:tcW w:w="993" w:type="dxa"/>
            <w:tcBorders>
              <w:bottom w:val="single" w:sz="4" w:space="0" w:color="auto"/>
            </w:tcBorders>
            <w:shd w:val="clear" w:color="auto" w:fill="auto"/>
          </w:tcPr>
          <w:p w14:paraId="7248A8C6" w14:textId="77777777" w:rsidR="00872C03" w:rsidRPr="00883399" w:rsidRDefault="00872C03" w:rsidP="0031057E">
            <w:pPr>
              <w:pStyle w:val="Tabletext0"/>
              <w:rPr>
                <w:sz w:val="22"/>
              </w:rPr>
            </w:pPr>
            <w:r w:rsidRPr="00883399">
              <w:rPr>
                <w:sz w:val="22"/>
              </w:rPr>
              <w:t>0.06</w:t>
            </w:r>
          </w:p>
          <w:p w14:paraId="687FB3D5" w14:textId="77777777" w:rsidR="00872C03" w:rsidRPr="00883399" w:rsidRDefault="00872C03" w:rsidP="0031057E">
            <w:pPr>
              <w:pStyle w:val="Tabletext0"/>
              <w:rPr>
                <w:sz w:val="22"/>
              </w:rPr>
            </w:pPr>
            <w:r w:rsidRPr="00883399">
              <w:rPr>
                <w:sz w:val="22"/>
              </w:rPr>
              <w:t>0.04</w:t>
            </w:r>
          </w:p>
          <w:p w14:paraId="0622CE9F" w14:textId="77777777" w:rsidR="00872C03" w:rsidRPr="00883399" w:rsidRDefault="00872C03" w:rsidP="0031057E">
            <w:pPr>
              <w:pStyle w:val="Tabletext0"/>
              <w:rPr>
                <w:sz w:val="22"/>
              </w:rPr>
            </w:pPr>
            <w:r w:rsidRPr="00883399">
              <w:rPr>
                <w:sz w:val="22"/>
              </w:rPr>
              <w:t>0.05</w:t>
            </w:r>
          </w:p>
          <w:p w14:paraId="005D4DE2" w14:textId="77777777" w:rsidR="00872C03" w:rsidRPr="00883399" w:rsidRDefault="00872C03" w:rsidP="0031057E">
            <w:pPr>
              <w:pStyle w:val="Tabletext0"/>
              <w:rPr>
                <w:sz w:val="22"/>
              </w:rPr>
            </w:pPr>
            <w:r w:rsidRPr="00883399">
              <w:rPr>
                <w:sz w:val="22"/>
              </w:rPr>
              <w:t>0.02</w:t>
            </w:r>
          </w:p>
          <w:p w14:paraId="16817959" w14:textId="77777777" w:rsidR="00872C03" w:rsidRPr="00883399" w:rsidRDefault="00872C03" w:rsidP="0031057E">
            <w:pPr>
              <w:pStyle w:val="Tabletext0"/>
              <w:rPr>
                <w:sz w:val="22"/>
              </w:rPr>
            </w:pPr>
            <w:r w:rsidRPr="00883399">
              <w:rPr>
                <w:sz w:val="22"/>
              </w:rPr>
              <w:t>0.04</w:t>
            </w:r>
          </w:p>
          <w:p w14:paraId="0018FF30" w14:textId="77777777" w:rsidR="00872C03" w:rsidRPr="00883399" w:rsidRDefault="00872C03" w:rsidP="0031057E">
            <w:pPr>
              <w:pStyle w:val="Tabletext0"/>
              <w:rPr>
                <w:sz w:val="22"/>
              </w:rPr>
            </w:pPr>
            <w:r w:rsidRPr="00883399">
              <w:rPr>
                <w:sz w:val="22"/>
              </w:rPr>
              <w:t>0.06</w:t>
            </w:r>
          </w:p>
          <w:p w14:paraId="5A028A97" w14:textId="77777777" w:rsidR="00872C03" w:rsidRPr="00883399" w:rsidRDefault="00872C03" w:rsidP="0031057E">
            <w:pPr>
              <w:pStyle w:val="Tabletext0"/>
              <w:rPr>
                <w:sz w:val="22"/>
              </w:rPr>
            </w:pPr>
            <w:r w:rsidRPr="00883399">
              <w:rPr>
                <w:sz w:val="22"/>
              </w:rPr>
              <w:t>0.04</w:t>
            </w:r>
          </w:p>
          <w:p w14:paraId="2E8BB10F" w14:textId="77777777" w:rsidR="00872C03" w:rsidRPr="00883399" w:rsidRDefault="00872C03" w:rsidP="0031057E">
            <w:pPr>
              <w:pStyle w:val="Tabletext0"/>
              <w:rPr>
                <w:sz w:val="22"/>
              </w:rPr>
            </w:pPr>
            <w:r w:rsidRPr="00883399">
              <w:rPr>
                <w:sz w:val="22"/>
              </w:rPr>
              <w:t>0.04</w:t>
            </w:r>
          </w:p>
          <w:p w14:paraId="40145CD9" w14:textId="77777777" w:rsidR="00872C03" w:rsidRPr="00883399" w:rsidRDefault="00872C03" w:rsidP="0031057E">
            <w:pPr>
              <w:pStyle w:val="Tabletext0"/>
              <w:rPr>
                <w:sz w:val="22"/>
              </w:rPr>
            </w:pPr>
            <w:r w:rsidRPr="00883399">
              <w:rPr>
                <w:sz w:val="22"/>
              </w:rPr>
              <w:t>0.04</w:t>
            </w:r>
          </w:p>
        </w:tc>
      </w:tr>
      <w:tr w:rsidR="00872C03" w:rsidRPr="00883399" w14:paraId="43236342" w14:textId="77777777" w:rsidTr="0031057E">
        <w:tc>
          <w:tcPr>
            <w:tcW w:w="725" w:type="dxa"/>
            <w:tcBorders>
              <w:bottom w:val="single" w:sz="12" w:space="0" w:color="auto"/>
            </w:tcBorders>
            <w:shd w:val="clear" w:color="auto" w:fill="auto"/>
          </w:tcPr>
          <w:p w14:paraId="31EB60C1" w14:textId="77777777" w:rsidR="00872C03" w:rsidRPr="00883399" w:rsidRDefault="00872C03" w:rsidP="0031057E">
            <w:pPr>
              <w:pStyle w:val="Tabletext0"/>
              <w:rPr>
                <w:sz w:val="22"/>
              </w:rPr>
            </w:pPr>
            <w:r w:rsidRPr="00883399">
              <w:rPr>
                <w:sz w:val="22"/>
              </w:rPr>
              <w:t>3</w:t>
            </w:r>
          </w:p>
        </w:tc>
        <w:tc>
          <w:tcPr>
            <w:tcW w:w="3046" w:type="dxa"/>
            <w:tcBorders>
              <w:bottom w:val="single" w:sz="12" w:space="0" w:color="auto"/>
            </w:tcBorders>
            <w:shd w:val="clear" w:color="auto" w:fill="auto"/>
          </w:tcPr>
          <w:p w14:paraId="2DEB9180" w14:textId="77777777" w:rsidR="00872C03" w:rsidRPr="00883399" w:rsidRDefault="00872C03" w:rsidP="0031057E">
            <w:pPr>
              <w:pStyle w:val="Tabletext0"/>
              <w:rPr>
                <w:sz w:val="22"/>
              </w:rPr>
            </w:pPr>
            <w:r w:rsidRPr="00883399">
              <w:rPr>
                <w:sz w:val="22"/>
              </w:rPr>
              <w:t>QLD, NT</w:t>
            </w:r>
          </w:p>
        </w:tc>
        <w:tc>
          <w:tcPr>
            <w:tcW w:w="2765" w:type="dxa"/>
            <w:tcBorders>
              <w:bottom w:val="single" w:sz="12" w:space="0" w:color="auto"/>
            </w:tcBorders>
            <w:shd w:val="clear" w:color="auto" w:fill="auto"/>
          </w:tcPr>
          <w:p w14:paraId="4139969E" w14:textId="77777777" w:rsidR="00872C03" w:rsidRPr="00883399" w:rsidRDefault="00872C03" w:rsidP="0031057E">
            <w:pPr>
              <w:pStyle w:val="Tabletext0"/>
              <w:rPr>
                <w:sz w:val="22"/>
              </w:rPr>
            </w:pPr>
            <w:r w:rsidRPr="00883399">
              <w:rPr>
                <w:sz w:val="22"/>
              </w:rPr>
              <w:t>Food</w:t>
            </w:r>
          </w:p>
          <w:p w14:paraId="5954114D" w14:textId="77777777" w:rsidR="00872C03" w:rsidRPr="00883399" w:rsidRDefault="00872C03" w:rsidP="0031057E">
            <w:pPr>
              <w:pStyle w:val="Tabletext0"/>
              <w:rPr>
                <w:sz w:val="22"/>
              </w:rPr>
            </w:pPr>
            <w:r w:rsidRPr="00883399">
              <w:rPr>
                <w:sz w:val="22"/>
              </w:rPr>
              <w:t>Paper and cardboard</w:t>
            </w:r>
          </w:p>
          <w:p w14:paraId="09289204" w14:textId="77777777" w:rsidR="00872C03" w:rsidRPr="00883399" w:rsidRDefault="00872C03" w:rsidP="0031057E">
            <w:pPr>
              <w:pStyle w:val="Tabletext0"/>
              <w:rPr>
                <w:sz w:val="22"/>
              </w:rPr>
            </w:pPr>
            <w:r w:rsidRPr="00883399">
              <w:rPr>
                <w:sz w:val="22"/>
              </w:rPr>
              <w:t>Garden and Green</w:t>
            </w:r>
          </w:p>
          <w:p w14:paraId="74764B2A" w14:textId="77777777" w:rsidR="00872C03" w:rsidRPr="00883399" w:rsidRDefault="00872C03" w:rsidP="0031057E">
            <w:pPr>
              <w:pStyle w:val="Tabletext0"/>
              <w:rPr>
                <w:sz w:val="22"/>
              </w:rPr>
            </w:pPr>
            <w:r w:rsidRPr="00883399">
              <w:rPr>
                <w:sz w:val="22"/>
              </w:rPr>
              <w:t>Wood</w:t>
            </w:r>
          </w:p>
          <w:p w14:paraId="792E6E6F" w14:textId="77777777" w:rsidR="00872C03" w:rsidRPr="00883399" w:rsidRDefault="00872C03" w:rsidP="0031057E">
            <w:pPr>
              <w:pStyle w:val="Tabletext0"/>
              <w:rPr>
                <w:sz w:val="22"/>
              </w:rPr>
            </w:pPr>
            <w:r w:rsidRPr="00883399">
              <w:rPr>
                <w:sz w:val="22"/>
              </w:rPr>
              <w:t>Textiles</w:t>
            </w:r>
          </w:p>
          <w:p w14:paraId="054F92FC" w14:textId="77777777" w:rsidR="00872C03" w:rsidRPr="00883399" w:rsidRDefault="00872C03" w:rsidP="0031057E">
            <w:pPr>
              <w:pStyle w:val="Tabletext0"/>
              <w:rPr>
                <w:sz w:val="22"/>
              </w:rPr>
            </w:pPr>
            <w:r w:rsidRPr="00883399">
              <w:rPr>
                <w:sz w:val="22"/>
              </w:rPr>
              <w:t>Sludge</w:t>
            </w:r>
          </w:p>
          <w:p w14:paraId="58C68E5C" w14:textId="77777777" w:rsidR="00872C03" w:rsidRPr="00883399" w:rsidRDefault="00872C03" w:rsidP="0031057E">
            <w:pPr>
              <w:pStyle w:val="Tabletext0"/>
              <w:rPr>
                <w:sz w:val="22"/>
              </w:rPr>
            </w:pPr>
            <w:r w:rsidRPr="00883399">
              <w:rPr>
                <w:sz w:val="22"/>
              </w:rPr>
              <w:t>Nappies</w:t>
            </w:r>
          </w:p>
          <w:p w14:paraId="54503DD5" w14:textId="77777777" w:rsidR="00872C03" w:rsidRPr="00883399" w:rsidRDefault="00872C03" w:rsidP="0031057E">
            <w:pPr>
              <w:pStyle w:val="Tabletext0"/>
              <w:rPr>
                <w:sz w:val="22"/>
              </w:rPr>
            </w:pPr>
            <w:r w:rsidRPr="00883399">
              <w:rPr>
                <w:sz w:val="22"/>
              </w:rPr>
              <w:t>Rubber and Leather</w:t>
            </w:r>
          </w:p>
          <w:p w14:paraId="2560E920" w14:textId="77777777" w:rsidR="00872C03" w:rsidRPr="00883399" w:rsidRDefault="00872C03" w:rsidP="0031057E">
            <w:pPr>
              <w:pStyle w:val="Tabletext0"/>
              <w:rPr>
                <w:sz w:val="22"/>
              </w:rPr>
            </w:pPr>
            <w:r w:rsidRPr="00883399">
              <w:rPr>
                <w:sz w:val="22"/>
              </w:rPr>
              <w:t>Alternative waste treatment residue</w:t>
            </w:r>
          </w:p>
        </w:tc>
        <w:tc>
          <w:tcPr>
            <w:tcW w:w="993" w:type="dxa"/>
            <w:tcBorders>
              <w:bottom w:val="single" w:sz="12" w:space="0" w:color="auto"/>
            </w:tcBorders>
            <w:shd w:val="clear" w:color="auto" w:fill="auto"/>
          </w:tcPr>
          <w:p w14:paraId="11DC34D0" w14:textId="77777777" w:rsidR="00872C03" w:rsidRPr="00883399" w:rsidRDefault="00872C03" w:rsidP="0031057E">
            <w:pPr>
              <w:pStyle w:val="Tabletext0"/>
              <w:rPr>
                <w:sz w:val="22"/>
              </w:rPr>
            </w:pPr>
            <w:r w:rsidRPr="00883399">
              <w:rPr>
                <w:sz w:val="22"/>
              </w:rPr>
              <w:t>0.4</w:t>
            </w:r>
          </w:p>
          <w:p w14:paraId="47E2CE47" w14:textId="77777777" w:rsidR="00872C03" w:rsidRPr="00883399" w:rsidRDefault="00872C03" w:rsidP="0031057E">
            <w:pPr>
              <w:pStyle w:val="Tabletext0"/>
              <w:rPr>
                <w:sz w:val="22"/>
              </w:rPr>
            </w:pPr>
            <w:r w:rsidRPr="00883399">
              <w:rPr>
                <w:sz w:val="22"/>
              </w:rPr>
              <w:t>0.07</w:t>
            </w:r>
          </w:p>
          <w:p w14:paraId="631054E7" w14:textId="77777777" w:rsidR="00872C03" w:rsidRPr="00883399" w:rsidRDefault="00872C03" w:rsidP="0031057E">
            <w:pPr>
              <w:pStyle w:val="Tabletext0"/>
              <w:rPr>
                <w:sz w:val="22"/>
              </w:rPr>
            </w:pPr>
            <w:r w:rsidRPr="00883399">
              <w:rPr>
                <w:sz w:val="22"/>
              </w:rPr>
              <w:t>0.17</w:t>
            </w:r>
          </w:p>
          <w:p w14:paraId="04961D54" w14:textId="77777777" w:rsidR="00872C03" w:rsidRPr="00883399" w:rsidRDefault="00872C03" w:rsidP="0031057E">
            <w:pPr>
              <w:pStyle w:val="Tabletext0"/>
              <w:rPr>
                <w:sz w:val="22"/>
              </w:rPr>
            </w:pPr>
            <w:r w:rsidRPr="00883399">
              <w:rPr>
                <w:sz w:val="22"/>
              </w:rPr>
              <w:t>0.035</w:t>
            </w:r>
          </w:p>
          <w:p w14:paraId="0DEFD937" w14:textId="77777777" w:rsidR="00872C03" w:rsidRPr="00883399" w:rsidRDefault="00872C03" w:rsidP="0031057E">
            <w:pPr>
              <w:pStyle w:val="Tabletext0"/>
              <w:rPr>
                <w:sz w:val="22"/>
              </w:rPr>
            </w:pPr>
            <w:r w:rsidRPr="00883399">
              <w:rPr>
                <w:sz w:val="22"/>
              </w:rPr>
              <w:t>0.07</w:t>
            </w:r>
          </w:p>
          <w:p w14:paraId="456CC136" w14:textId="77777777" w:rsidR="00872C03" w:rsidRPr="00883399" w:rsidRDefault="00872C03" w:rsidP="0031057E">
            <w:pPr>
              <w:pStyle w:val="Tabletext0"/>
              <w:rPr>
                <w:sz w:val="22"/>
              </w:rPr>
            </w:pPr>
            <w:r w:rsidRPr="00883399">
              <w:rPr>
                <w:sz w:val="22"/>
              </w:rPr>
              <w:t>0.4</w:t>
            </w:r>
          </w:p>
          <w:p w14:paraId="783D113A" w14:textId="77777777" w:rsidR="00872C03" w:rsidRPr="00883399" w:rsidRDefault="00872C03" w:rsidP="0031057E">
            <w:pPr>
              <w:pStyle w:val="Tabletext0"/>
              <w:rPr>
                <w:sz w:val="22"/>
              </w:rPr>
            </w:pPr>
            <w:r w:rsidRPr="00883399">
              <w:rPr>
                <w:sz w:val="22"/>
              </w:rPr>
              <w:t>0.07</w:t>
            </w:r>
          </w:p>
          <w:p w14:paraId="59CACB64" w14:textId="77777777" w:rsidR="00872C03" w:rsidRPr="00883399" w:rsidRDefault="00872C03" w:rsidP="0031057E">
            <w:pPr>
              <w:pStyle w:val="Tabletext0"/>
              <w:rPr>
                <w:sz w:val="22"/>
              </w:rPr>
            </w:pPr>
            <w:r w:rsidRPr="00883399">
              <w:rPr>
                <w:sz w:val="22"/>
              </w:rPr>
              <w:t>0.07</w:t>
            </w:r>
          </w:p>
          <w:p w14:paraId="53E995C4" w14:textId="77777777" w:rsidR="00872C03" w:rsidRPr="00883399" w:rsidRDefault="00872C03" w:rsidP="0031057E">
            <w:pPr>
              <w:pStyle w:val="Tabletext0"/>
              <w:rPr>
                <w:sz w:val="22"/>
              </w:rPr>
            </w:pPr>
            <w:r w:rsidRPr="00883399">
              <w:rPr>
                <w:sz w:val="22"/>
              </w:rPr>
              <w:t>0.07</w:t>
            </w:r>
          </w:p>
        </w:tc>
      </w:tr>
    </w:tbl>
    <w:p w14:paraId="3FA3B9C3" w14:textId="77777777" w:rsidR="00872C03" w:rsidRPr="00883399" w:rsidRDefault="00872C03" w:rsidP="00872C03">
      <w:pPr>
        <w:pStyle w:val="subsection"/>
        <w:rPr>
          <w:sz w:val="24"/>
        </w:rPr>
      </w:pPr>
      <w:r w:rsidRPr="00883399">
        <w:rPr>
          <w:sz w:val="24"/>
        </w:rPr>
        <w:tab/>
        <w:t>(6)</w:t>
      </w:r>
      <w:r w:rsidRPr="00883399">
        <w:rPr>
          <w:sz w:val="24"/>
        </w:rPr>
        <w:tab/>
        <w:t>The k values for solid waste at a landfill with a landfill classification mentioned in column 2 of an item in the following table are the constants set out in column 4 for a waste mix type mentioned in column 3 for the item.</w:t>
      </w:r>
    </w:p>
    <w:p w14:paraId="071A3F11" w14:textId="77777777" w:rsidR="00872C03" w:rsidRPr="00883399" w:rsidRDefault="00872C03" w:rsidP="00872C03">
      <w:pPr>
        <w:pStyle w:val="Tabletext0"/>
        <w:rPr>
          <w:sz w:val="22"/>
        </w:rPr>
      </w:pPr>
    </w:p>
    <w:tbl>
      <w:tblPr>
        <w:tblW w:w="0" w:type="auto"/>
        <w:tblInd w:w="959" w:type="dxa"/>
        <w:tblBorders>
          <w:top w:val="single" w:sz="4" w:space="0" w:color="auto"/>
          <w:bottom w:val="single" w:sz="2" w:space="0" w:color="auto"/>
          <w:insideH w:val="single" w:sz="4" w:space="0" w:color="auto"/>
        </w:tblBorders>
        <w:tblLook w:val="0000" w:firstRow="0" w:lastRow="0" w:firstColumn="0" w:lastColumn="0" w:noHBand="0" w:noVBand="0"/>
      </w:tblPr>
      <w:tblGrid>
        <w:gridCol w:w="721"/>
        <w:gridCol w:w="2237"/>
        <w:gridCol w:w="3413"/>
        <w:gridCol w:w="983"/>
      </w:tblGrid>
      <w:tr w:rsidR="00872C03" w:rsidRPr="00883399" w14:paraId="2792B911" w14:textId="77777777" w:rsidTr="0031057E">
        <w:trPr>
          <w:tblHeader/>
        </w:trPr>
        <w:tc>
          <w:tcPr>
            <w:tcW w:w="7529" w:type="dxa"/>
            <w:gridSpan w:val="4"/>
            <w:tcBorders>
              <w:top w:val="single" w:sz="12" w:space="0" w:color="auto"/>
              <w:bottom w:val="single" w:sz="6" w:space="0" w:color="auto"/>
            </w:tcBorders>
            <w:shd w:val="clear" w:color="auto" w:fill="auto"/>
          </w:tcPr>
          <w:p w14:paraId="14F21EC2" w14:textId="77777777" w:rsidR="00872C03" w:rsidRPr="00883399" w:rsidRDefault="00872C03" w:rsidP="0031057E">
            <w:pPr>
              <w:pStyle w:val="TableHeading"/>
              <w:keepLines/>
              <w:rPr>
                <w:sz w:val="22"/>
              </w:rPr>
            </w:pPr>
            <w:r w:rsidRPr="00883399">
              <w:rPr>
                <w:sz w:val="22"/>
              </w:rPr>
              <w:lastRenderedPageBreak/>
              <w:t>k values for Solid Waste at a Landfill</w:t>
            </w:r>
          </w:p>
        </w:tc>
      </w:tr>
      <w:tr w:rsidR="00872C03" w:rsidRPr="00883399" w14:paraId="082C1287" w14:textId="77777777" w:rsidTr="0031057E">
        <w:trPr>
          <w:tblHeader/>
        </w:trPr>
        <w:tc>
          <w:tcPr>
            <w:tcW w:w="725" w:type="dxa"/>
            <w:tcBorders>
              <w:top w:val="single" w:sz="6" w:space="0" w:color="auto"/>
              <w:bottom w:val="single" w:sz="12" w:space="0" w:color="auto"/>
            </w:tcBorders>
            <w:shd w:val="clear" w:color="auto" w:fill="auto"/>
          </w:tcPr>
          <w:p w14:paraId="42D28AAE" w14:textId="77777777" w:rsidR="00872C03" w:rsidRPr="00883399" w:rsidRDefault="00872C03" w:rsidP="0031057E">
            <w:pPr>
              <w:pStyle w:val="TableHeading"/>
              <w:keepLines/>
              <w:rPr>
                <w:sz w:val="22"/>
              </w:rPr>
            </w:pPr>
            <w:r w:rsidRPr="00883399">
              <w:rPr>
                <w:sz w:val="22"/>
              </w:rPr>
              <w:t>Item</w:t>
            </w:r>
          </w:p>
        </w:tc>
        <w:tc>
          <w:tcPr>
            <w:tcW w:w="2280" w:type="dxa"/>
            <w:tcBorders>
              <w:top w:val="single" w:sz="6" w:space="0" w:color="auto"/>
              <w:bottom w:val="single" w:sz="12" w:space="0" w:color="auto"/>
            </w:tcBorders>
            <w:shd w:val="clear" w:color="auto" w:fill="auto"/>
          </w:tcPr>
          <w:p w14:paraId="221F1652" w14:textId="77777777" w:rsidR="00872C03" w:rsidRPr="00883399" w:rsidRDefault="00872C03" w:rsidP="0031057E">
            <w:pPr>
              <w:pStyle w:val="TableHeading"/>
              <w:keepLines/>
              <w:rPr>
                <w:sz w:val="22"/>
              </w:rPr>
            </w:pPr>
            <w:r w:rsidRPr="00883399">
              <w:rPr>
                <w:sz w:val="22"/>
              </w:rPr>
              <w:t>Landfill classification</w:t>
            </w:r>
          </w:p>
        </w:tc>
        <w:tc>
          <w:tcPr>
            <w:tcW w:w="3531" w:type="dxa"/>
            <w:tcBorders>
              <w:top w:val="single" w:sz="6" w:space="0" w:color="auto"/>
              <w:bottom w:val="single" w:sz="12" w:space="0" w:color="auto"/>
            </w:tcBorders>
            <w:shd w:val="clear" w:color="auto" w:fill="auto"/>
          </w:tcPr>
          <w:p w14:paraId="1DA80ADA" w14:textId="77777777" w:rsidR="00872C03" w:rsidRPr="00883399" w:rsidRDefault="00872C03" w:rsidP="0031057E">
            <w:pPr>
              <w:pStyle w:val="TableHeading"/>
              <w:keepLines/>
              <w:rPr>
                <w:sz w:val="22"/>
              </w:rPr>
            </w:pPr>
            <w:r w:rsidRPr="00883399">
              <w:rPr>
                <w:sz w:val="22"/>
              </w:rPr>
              <w:t>Waste mix type</w:t>
            </w:r>
          </w:p>
        </w:tc>
        <w:tc>
          <w:tcPr>
            <w:tcW w:w="993" w:type="dxa"/>
            <w:tcBorders>
              <w:top w:val="single" w:sz="6" w:space="0" w:color="auto"/>
              <w:bottom w:val="single" w:sz="12" w:space="0" w:color="auto"/>
            </w:tcBorders>
            <w:shd w:val="clear" w:color="auto" w:fill="auto"/>
          </w:tcPr>
          <w:p w14:paraId="52B51679" w14:textId="77777777" w:rsidR="00872C03" w:rsidRPr="00883399" w:rsidRDefault="00872C03" w:rsidP="0031057E">
            <w:pPr>
              <w:pStyle w:val="TableHeading"/>
              <w:keepLines/>
              <w:rPr>
                <w:sz w:val="22"/>
              </w:rPr>
            </w:pPr>
            <w:r w:rsidRPr="00883399">
              <w:rPr>
                <w:sz w:val="22"/>
              </w:rPr>
              <w:t>k values</w:t>
            </w:r>
          </w:p>
        </w:tc>
      </w:tr>
      <w:tr w:rsidR="00872C03" w:rsidRPr="00883399" w14:paraId="79FE1E78" w14:textId="77777777" w:rsidTr="0031057E">
        <w:tc>
          <w:tcPr>
            <w:tcW w:w="725" w:type="dxa"/>
            <w:tcBorders>
              <w:top w:val="single" w:sz="12" w:space="0" w:color="auto"/>
            </w:tcBorders>
            <w:shd w:val="clear" w:color="auto" w:fill="auto"/>
          </w:tcPr>
          <w:p w14:paraId="1DCF6E1B" w14:textId="77777777" w:rsidR="00872C03" w:rsidRPr="00883399" w:rsidRDefault="00872C03" w:rsidP="0031057E">
            <w:pPr>
              <w:pStyle w:val="Tabletext0"/>
              <w:keepNext/>
              <w:keepLines/>
              <w:rPr>
                <w:sz w:val="22"/>
              </w:rPr>
            </w:pPr>
            <w:r w:rsidRPr="00883399">
              <w:rPr>
                <w:sz w:val="22"/>
              </w:rPr>
              <w:t>1</w:t>
            </w:r>
          </w:p>
        </w:tc>
        <w:tc>
          <w:tcPr>
            <w:tcW w:w="2280" w:type="dxa"/>
            <w:tcBorders>
              <w:top w:val="single" w:sz="12" w:space="0" w:color="auto"/>
            </w:tcBorders>
            <w:shd w:val="clear" w:color="auto" w:fill="auto"/>
          </w:tcPr>
          <w:p w14:paraId="39BFC9F7" w14:textId="77777777" w:rsidR="00872C03" w:rsidRPr="00883399" w:rsidRDefault="00872C03" w:rsidP="0031057E">
            <w:pPr>
              <w:pStyle w:val="Tabletext0"/>
              <w:keepNext/>
              <w:keepLines/>
              <w:rPr>
                <w:sz w:val="22"/>
              </w:rPr>
            </w:pPr>
            <w:r w:rsidRPr="00883399">
              <w:rPr>
                <w:sz w:val="22"/>
              </w:rPr>
              <w:t>Temperate dry</w:t>
            </w:r>
          </w:p>
        </w:tc>
        <w:tc>
          <w:tcPr>
            <w:tcW w:w="3531" w:type="dxa"/>
            <w:tcBorders>
              <w:top w:val="single" w:sz="12" w:space="0" w:color="auto"/>
            </w:tcBorders>
            <w:shd w:val="clear" w:color="auto" w:fill="auto"/>
          </w:tcPr>
          <w:p w14:paraId="0DB3DF80" w14:textId="77777777" w:rsidR="00872C03" w:rsidRPr="00883399" w:rsidRDefault="00872C03" w:rsidP="0031057E">
            <w:pPr>
              <w:pStyle w:val="Tabletext0"/>
              <w:keepNext/>
              <w:keepLines/>
              <w:rPr>
                <w:sz w:val="22"/>
              </w:rPr>
            </w:pPr>
            <w:r w:rsidRPr="00883399">
              <w:rPr>
                <w:sz w:val="22"/>
              </w:rPr>
              <w:t>Food</w:t>
            </w:r>
          </w:p>
          <w:p w14:paraId="4891F203" w14:textId="77777777" w:rsidR="00872C03" w:rsidRPr="00883399" w:rsidRDefault="00872C03" w:rsidP="0031057E">
            <w:pPr>
              <w:pStyle w:val="Tabletext0"/>
              <w:keepNext/>
              <w:keepLines/>
              <w:rPr>
                <w:sz w:val="22"/>
              </w:rPr>
            </w:pPr>
            <w:r w:rsidRPr="00883399">
              <w:rPr>
                <w:sz w:val="22"/>
              </w:rPr>
              <w:t>Paper and cardboard</w:t>
            </w:r>
          </w:p>
          <w:p w14:paraId="21FE45FE" w14:textId="77777777" w:rsidR="00872C03" w:rsidRPr="00883399" w:rsidRDefault="00872C03" w:rsidP="0031057E">
            <w:pPr>
              <w:pStyle w:val="Tabletext0"/>
              <w:keepNext/>
              <w:keepLines/>
              <w:rPr>
                <w:sz w:val="22"/>
              </w:rPr>
            </w:pPr>
            <w:r w:rsidRPr="00883399">
              <w:rPr>
                <w:sz w:val="22"/>
              </w:rPr>
              <w:t>Garden and Green</w:t>
            </w:r>
          </w:p>
          <w:p w14:paraId="32CFE024" w14:textId="77777777" w:rsidR="00872C03" w:rsidRPr="00883399" w:rsidRDefault="00872C03" w:rsidP="0031057E">
            <w:pPr>
              <w:pStyle w:val="Tabletext0"/>
              <w:keepNext/>
              <w:keepLines/>
              <w:rPr>
                <w:sz w:val="22"/>
              </w:rPr>
            </w:pPr>
            <w:r w:rsidRPr="00883399">
              <w:rPr>
                <w:sz w:val="22"/>
              </w:rPr>
              <w:t>Wood</w:t>
            </w:r>
          </w:p>
          <w:p w14:paraId="6BD687C3" w14:textId="77777777" w:rsidR="00872C03" w:rsidRPr="00883399" w:rsidRDefault="00872C03" w:rsidP="0031057E">
            <w:pPr>
              <w:pStyle w:val="Tabletext0"/>
              <w:keepNext/>
              <w:keepLines/>
              <w:rPr>
                <w:sz w:val="22"/>
              </w:rPr>
            </w:pPr>
            <w:r w:rsidRPr="00883399">
              <w:rPr>
                <w:sz w:val="22"/>
              </w:rPr>
              <w:t>Textiles</w:t>
            </w:r>
          </w:p>
          <w:p w14:paraId="20233702" w14:textId="77777777" w:rsidR="00872C03" w:rsidRPr="00883399" w:rsidRDefault="00872C03" w:rsidP="0031057E">
            <w:pPr>
              <w:pStyle w:val="Tabletext0"/>
              <w:keepNext/>
              <w:keepLines/>
              <w:rPr>
                <w:sz w:val="22"/>
              </w:rPr>
            </w:pPr>
            <w:r w:rsidRPr="00883399">
              <w:rPr>
                <w:sz w:val="22"/>
              </w:rPr>
              <w:t>Sludge</w:t>
            </w:r>
          </w:p>
          <w:p w14:paraId="02020240" w14:textId="77777777" w:rsidR="00872C03" w:rsidRPr="00883399" w:rsidRDefault="00872C03" w:rsidP="0031057E">
            <w:pPr>
              <w:pStyle w:val="Tabletext0"/>
              <w:keepNext/>
              <w:keepLines/>
              <w:rPr>
                <w:sz w:val="22"/>
              </w:rPr>
            </w:pPr>
            <w:r w:rsidRPr="00883399">
              <w:rPr>
                <w:sz w:val="22"/>
              </w:rPr>
              <w:t>Nappies</w:t>
            </w:r>
          </w:p>
          <w:p w14:paraId="221CFF68" w14:textId="77777777" w:rsidR="00872C03" w:rsidRPr="00883399" w:rsidRDefault="00872C03" w:rsidP="0031057E">
            <w:pPr>
              <w:pStyle w:val="Tabletext0"/>
              <w:keepNext/>
              <w:keepLines/>
              <w:rPr>
                <w:sz w:val="22"/>
              </w:rPr>
            </w:pPr>
            <w:r w:rsidRPr="00883399">
              <w:rPr>
                <w:sz w:val="22"/>
              </w:rPr>
              <w:t>Rubber and Leather</w:t>
            </w:r>
          </w:p>
          <w:p w14:paraId="4D7F0E6D" w14:textId="77777777" w:rsidR="00872C03" w:rsidRPr="00883399" w:rsidRDefault="00872C03" w:rsidP="0031057E">
            <w:pPr>
              <w:pStyle w:val="Tabletext0"/>
              <w:keepNext/>
              <w:keepLines/>
              <w:rPr>
                <w:sz w:val="22"/>
              </w:rPr>
            </w:pPr>
            <w:r w:rsidRPr="00883399">
              <w:rPr>
                <w:sz w:val="22"/>
              </w:rPr>
              <w:t>Alternative waste treatment residue</w:t>
            </w:r>
          </w:p>
        </w:tc>
        <w:tc>
          <w:tcPr>
            <w:tcW w:w="993" w:type="dxa"/>
            <w:tcBorders>
              <w:top w:val="single" w:sz="12" w:space="0" w:color="auto"/>
            </w:tcBorders>
            <w:shd w:val="clear" w:color="auto" w:fill="auto"/>
          </w:tcPr>
          <w:p w14:paraId="1E594DAE" w14:textId="77777777" w:rsidR="00872C03" w:rsidRPr="00883399" w:rsidRDefault="00872C03" w:rsidP="0031057E">
            <w:pPr>
              <w:pStyle w:val="Tabletext0"/>
              <w:keepNext/>
              <w:keepLines/>
              <w:rPr>
                <w:sz w:val="22"/>
              </w:rPr>
            </w:pPr>
            <w:r w:rsidRPr="00883399">
              <w:rPr>
                <w:sz w:val="22"/>
              </w:rPr>
              <w:t>0.06</w:t>
            </w:r>
          </w:p>
          <w:p w14:paraId="6305DD22" w14:textId="77777777" w:rsidR="00872C03" w:rsidRPr="00883399" w:rsidRDefault="00872C03" w:rsidP="0031057E">
            <w:pPr>
              <w:pStyle w:val="Tabletext0"/>
              <w:keepNext/>
              <w:keepLines/>
              <w:rPr>
                <w:sz w:val="22"/>
              </w:rPr>
            </w:pPr>
            <w:r w:rsidRPr="00883399">
              <w:rPr>
                <w:sz w:val="22"/>
              </w:rPr>
              <w:t>0.04</w:t>
            </w:r>
          </w:p>
          <w:p w14:paraId="730141C8" w14:textId="77777777" w:rsidR="00872C03" w:rsidRPr="00883399" w:rsidRDefault="00872C03" w:rsidP="0031057E">
            <w:pPr>
              <w:pStyle w:val="Tabletext0"/>
              <w:keepNext/>
              <w:keepLines/>
              <w:rPr>
                <w:sz w:val="22"/>
              </w:rPr>
            </w:pPr>
            <w:r w:rsidRPr="00883399">
              <w:rPr>
                <w:sz w:val="22"/>
              </w:rPr>
              <w:t>0.05</w:t>
            </w:r>
          </w:p>
          <w:p w14:paraId="12458D18" w14:textId="77777777" w:rsidR="00872C03" w:rsidRPr="00883399" w:rsidRDefault="00872C03" w:rsidP="0031057E">
            <w:pPr>
              <w:pStyle w:val="Tabletext0"/>
              <w:keepNext/>
              <w:keepLines/>
              <w:rPr>
                <w:sz w:val="22"/>
              </w:rPr>
            </w:pPr>
            <w:r w:rsidRPr="00883399">
              <w:rPr>
                <w:sz w:val="22"/>
              </w:rPr>
              <w:t>0.02</w:t>
            </w:r>
          </w:p>
          <w:p w14:paraId="114299E1" w14:textId="77777777" w:rsidR="00872C03" w:rsidRPr="00883399" w:rsidRDefault="00872C03" w:rsidP="0031057E">
            <w:pPr>
              <w:pStyle w:val="Tabletext0"/>
              <w:keepNext/>
              <w:keepLines/>
              <w:rPr>
                <w:sz w:val="22"/>
              </w:rPr>
            </w:pPr>
            <w:r w:rsidRPr="00883399">
              <w:rPr>
                <w:sz w:val="22"/>
              </w:rPr>
              <w:t>0.04</w:t>
            </w:r>
          </w:p>
          <w:p w14:paraId="4315FD24" w14:textId="77777777" w:rsidR="00872C03" w:rsidRPr="00883399" w:rsidRDefault="00872C03" w:rsidP="0031057E">
            <w:pPr>
              <w:pStyle w:val="Tabletext0"/>
              <w:keepNext/>
              <w:keepLines/>
              <w:rPr>
                <w:sz w:val="22"/>
              </w:rPr>
            </w:pPr>
            <w:r w:rsidRPr="00883399">
              <w:rPr>
                <w:sz w:val="22"/>
              </w:rPr>
              <w:t>0.06</w:t>
            </w:r>
          </w:p>
          <w:p w14:paraId="3D9D34F5" w14:textId="77777777" w:rsidR="00872C03" w:rsidRPr="00883399" w:rsidRDefault="00872C03" w:rsidP="0031057E">
            <w:pPr>
              <w:pStyle w:val="Tabletext0"/>
              <w:keepNext/>
              <w:keepLines/>
              <w:rPr>
                <w:sz w:val="22"/>
              </w:rPr>
            </w:pPr>
            <w:r w:rsidRPr="00883399">
              <w:rPr>
                <w:sz w:val="22"/>
              </w:rPr>
              <w:t>0.04</w:t>
            </w:r>
          </w:p>
          <w:p w14:paraId="53055D8A" w14:textId="77777777" w:rsidR="00872C03" w:rsidRPr="00883399" w:rsidRDefault="00872C03" w:rsidP="0031057E">
            <w:pPr>
              <w:pStyle w:val="Tabletext0"/>
              <w:keepNext/>
              <w:keepLines/>
              <w:rPr>
                <w:sz w:val="22"/>
              </w:rPr>
            </w:pPr>
            <w:r w:rsidRPr="00883399">
              <w:rPr>
                <w:sz w:val="22"/>
              </w:rPr>
              <w:t>0.04</w:t>
            </w:r>
          </w:p>
          <w:p w14:paraId="0FE25C5D" w14:textId="77777777" w:rsidR="00872C03" w:rsidRPr="00883399" w:rsidRDefault="00872C03" w:rsidP="0031057E">
            <w:pPr>
              <w:pStyle w:val="Tabletext0"/>
              <w:keepNext/>
              <w:keepLines/>
              <w:rPr>
                <w:sz w:val="22"/>
              </w:rPr>
            </w:pPr>
            <w:r w:rsidRPr="00883399">
              <w:rPr>
                <w:sz w:val="22"/>
              </w:rPr>
              <w:t>0.04</w:t>
            </w:r>
          </w:p>
        </w:tc>
      </w:tr>
      <w:tr w:rsidR="00872C03" w:rsidRPr="00883399" w14:paraId="15C84E51" w14:textId="77777777" w:rsidTr="0031057E">
        <w:tc>
          <w:tcPr>
            <w:tcW w:w="725" w:type="dxa"/>
            <w:shd w:val="clear" w:color="auto" w:fill="auto"/>
          </w:tcPr>
          <w:p w14:paraId="24E3D4C3" w14:textId="77777777" w:rsidR="00872C03" w:rsidRPr="00883399" w:rsidRDefault="00872C03" w:rsidP="0031057E">
            <w:pPr>
              <w:pStyle w:val="Tabletext0"/>
              <w:rPr>
                <w:sz w:val="22"/>
              </w:rPr>
            </w:pPr>
            <w:r w:rsidRPr="00883399">
              <w:rPr>
                <w:sz w:val="22"/>
              </w:rPr>
              <w:t>2</w:t>
            </w:r>
          </w:p>
        </w:tc>
        <w:tc>
          <w:tcPr>
            <w:tcW w:w="2280" w:type="dxa"/>
            <w:shd w:val="clear" w:color="auto" w:fill="auto"/>
          </w:tcPr>
          <w:p w14:paraId="5365F75C" w14:textId="77777777" w:rsidR="00872C03" w:rsidRPr="00883399" w:rsidRDefault="00872C03" w:rsidP="0031057E">
            <w:pPr>
              <w:pStyle w:val="Tabletext0"/>
              <w:rPr>
                <w:sz w:val="22"/>
              </w:rPr>
            </w:pPr>
            <w:r w:rsidRPr="00883399">
              <w:rPr>
                <w:sz w:val="22"/>
              </w:rPr>
              <w:t>Temperate wet</w:t>
            </w:r>
          </w:p>
        </w:tc>
        <w:tc>
          <w:tcPr>
            <w:tcW w:w="3531" w:type="dxa"/>
            <w:shd w:val="clear" w:color="auto" w:fill="auto"/>
          </w:tcPr>
          <w:p w14:paraId="09CF58F2" w14:textId="77777777" w:rsidR="00872C03" w:rsidRPr="00883399" w:rsidRDefault="00872C03" w:rsidP="0031057E">
            <w:pPr>
              <w:pStyle w:val="Tabletext0"/>
              <w:rPr>
                <w:sz w:val="22"/>
              </w:rPr>
            </w:pPr>
            <w:r w:rsidRPr="00883399">
              <w:rPr>
                <w:sz w:val="22"/>
              </w:rPr>
              <w:t>Food</w:t>
            </w:r>
          </w:p>
          <w:p w14:paraId="7293EB31" w14:textId="77777777" w:rsidR="00872C03" w:rsidRPr="00883399" w:rsidRDefault="00872C03" w:rsidP="0031057E">
            <w:pPr>
              <w:pStyle w:val="Tabletext0"/>
              <w:rPr>
                <w:sz w:val="22"/>
              </w:rPr>
            </w:pPr>
            <w:r w:rsidRPr="00883399">
              <w:rPr>
                <w:sz w:val="22"/>
              </w:rPr>
              <w:t>Paper and cardboard</w:t>
            </w:r>
          </w:p>
          <w:p w14:paraId="2FB2A83E" w14:textId="77777777" w:rsidR="00872C03" w:rsidRPr="00883399" w:rsidRDefault="00872C03" w:rsidP="0031057E">
            <w:pPr>
              <w:pStyle w:val="Tabletext0"/>
              <w:rPr>
                <w:sz w:val="22"/>
              </w:rPr>
            </w:pPr>
            <w:r w:rsidRPr="00883399">
              <w:rPr>
                <w:sz w:val="22"/>
              </w:rPr>
              <w:t>Garden and Green</w:t>
            </w:r>
          </w:p>
          <w:p w14:paraId="73ED2CA9" w14:textId="77777777" w:rsidR="00872C03" w:rsidRPr="00883399" w:rsidRDefault="00872C03" w:rsidP="0031057E">
            <w:pPr>
              <w:pStyle w:val="Tabletext0"/>
              <w:rPr>
                <w:sz w:val="22"/>
              </w:rPr>
            </w:pPr>
            <w:r w:rsidRPr="00883399">
              <w:rPr>
                <w:sz w:val="22"/>
              </w:rPr>
              <w:t>Wood</w:t>
            </w:r>
          </w:p>
          <w:p w14:paraId="6CD73CF0" w14:textId="77777777" w:rsidR="00872C03" w:rsidRPr="00883399" w:rsidRDefault="00872C03" w:rsidP="0031057E">
            <w:pPr>
              <w:pStyle w:val="Tabletext0"/>
              <w:rPr>
                <w:sz w:val="22"/>
              </w:rPr>
            </w:pPr>
            <w:r w:rsidRPr="00883399">
              <w:rPr>
                <w:sz w:val="22"/>
              </w:rPr>
              <w:t>Textiles</w:t>
            </w:r>
          </w:p>
          <w:p w14:paraId="1849B29C" w14:textId="77777777" w:rsidR="00872C03" w:rsidRPr="00883399" w:rsidRDefault="00872C03" w:rsidP="0031057E">
            <w:pPr>
              <w:pStyle w:val="Tabletext0"/>
              <w:rPr>
                <w:sz w:val="22"/>
              </w:rPr>
            </w:pPr>
            <w:r w:rsidRPr="00883399">
              <w:rPr>
                <w:sz w:val="22"/>
              </w:rPr>
              <w:t>Sludge</w:t>
            </w:r>
          </w:p>
          <w:p w14:paraId="5E55C20B" w14:textId="77777777" w:rsidR="00872C03" w:rsidRPr="00883399" w:rsidRDefault="00872C03" w:rsidP="0031057E">
            <w:pPr>
              <w:pStyle w:val="Tabletext0"/>
              <w:rPr>
                <w:sz w:val="22"/>
              </w:rPr>
            </w:pPr>
            <w:r w:rsidRPr="00883399">
              <w:rPr>
                <w:sz w:val="22"/>
              </w:rPr>
              <w:t>Nappies</w:t>
            </w:r>
          </w:p>
          <w:p w14:paraId="1B0202C1" w14:textId="77777777" w:rsidR="00872C03" w:rsidRPr="00883399" w:rsidRDefault="00872C03" w:rsidP="0031057E">
            <w:pPr>
              <w:pStyle w:val="Tabletext0"/>
              <w:rPr>
                <w:sz w:val="22"/>
              </w:rPr>
            </w:pPr>
            <w:r w:rsidRPr="00883399">
              <w:rPr>
                <w:sz w:val="22"/>
              </w:rPr>
              <w:t>Rubber and Leather</w:t>
            </w:r>
          </w:p>
          <w:p w14:paraId="37306906" w14:textId="77777777" w:rsidR="00872C03" w:rsidRPr="00883399" w:rsidRDefault="00872C03" w:rsidP="0031057E">
            <w:pPr>
              <w:pStyle w:val="Tabletext0"/>
              <w:rPr>
                <w:sz w:val="22"/>
              </w:rPr>
            </w:pPr>
            <w:r w:rsidRPr="00883399">
              <w:rPr>
                <w:sz w:val="22"/>
              </w:rPr>
              <w:t>Alternative waste treatment residue</w:t>
            </w:r>
          </w:p>
        </w:tc>
        <w:tc>
          <w:tcPr>
            <w:tcW w:w="993" w:type="dxa"/>
            <w:shd w:val="clear" w:color="auto" w:fill="auto"/>
          </w:tcPr>
          <w:p w14:paraId="5739ECE3" w14:textId="77777777" w:rsidR="00872C03" w:rsidRPr="00883399" w:rsidRDefault="00872C03" w:rsidP="0031057E">
            <w:pPr>
              <w:pStyle w:val="Tabletext0"/>
              <w:rPr>
                <w:sz w:val="22"/>
              </w:rPr>
            </w:pPr>
            <w:r w:rsidRPr="00883399">
              <w:rPr>
                <w:sz w:val="22"/>
              </w:rPr>
              <w:t>0.185</w:t>
            </w:r>
          </w:p>
          <w:p w14:paraId="644194E8" w14:textId="77777777" w:rsidR="00872C03" w:rsidRPr="00883399" w:rsidRDefault="00872C03" w:rsidP="0031057E">
            <w:pPr>
              <w:pStyle w:val="Tabletext0"/>
              <w:rPr>
                <w:sz w:val="22"/>
              </w:rPr>
            </w:pPr>
            <w:r w:rsidRPr="00883399">
              <w:rPr>
                <w:sz w:val="22"/>
              </w:rPr>
              <w:t>0.06</w:t>
            </w:r>
          </w:p>
          <w:p w14:paraId="42FA7D52" w14:textId="77777777" w:rsidR="00872C03" w:rsidRPr="00883399" w:rsidRDefault="00872C03" w:rsidP="0031057E">
            <w:pPr>
              <w:pStyle w:val="Tabletext0"/>
              <w:rPr>
                <w:sz w:val="22"/>
              </w:rPr>
            </w:pPr>
            <w:r w:rsidRPr="00883399">
              <w:rPr>
                <w:sz w:val="22"/>
              </w:rPr>
              <w:t>0.10</w:t>
            </w:r>
          </w:p>
          <w:p w14:paraId="1EA681FE" w14:textId="77777777" w:rsidR="00872C03" w:rsidRPr="00883399" w:rsidRDefault="00872C03" w:rsidP="0031057E">
            <w:pPr>
              <w:pStyle w:val="Tabletext0"/>
              <w:rPr>
                <w:sz w:val="22"/>
              </w:rPr>
            </w:pPr>
            <w:r w:rsidRPr="00883399">
              <w:rPr>
                <w:sz w:val="22"/>
              </w:rPr>
              <w:t>0.03</w:t>
            </w:r>
          </w:p>
          <w:p w14:paraId="74D5A086" w14:textId="77777777" w:rsidR="00872C03" w:rsidRPr="00883399" w:rsidRDefault="00872C03" w:rsidP="0031057E">
            <w:pPr>
              <w:pStyle w:val="Tabletext0"/>
              <w:rPr>
                <w:sz w:val="22"/>
              </w:rPr>
            </w:pPr>
            <w:r w:rsidRPr="00883399">
              <w:rPr>
                <w:sz w:val="22"/>
              </w:rPr>
              <w:t>0.06</w:t>
            </w:r>
          </w:p>
          <w:p w14:paraId="427C17CF" w14:textId="77777777" w:rsidR="00872C03" w:rsidRPr="00883399" w:rsidRDefault="00872C03" w:rsidP="0031057E">
            <w:pPr>
              <w:pStyle w:val="Tabletext0"/>
              <w:rPr>
                <w:sz w:val="22"/>
              </w:rPr>
            </w:pPr>
            <w:r w:rsidRPr="00883399">
              <w:rPr>
                <w:sz w:val="22"/>
              </w:rPr>
              <w:t>0.185</w:t>
            </w:r>
          </w:p>
          <w:p w14:paraId="2DAA4607" w14:textId="77777777" w:rsidR="00872C03" w:rsidRPr="00883399" w:rsidRDefault="00872C03" w:rsidP="0031057E">
            <w:pPr>
              <w:pStyle w:val="Tabletext0"/>
              <w:rPr>
                <w:sz w:val="22"/>
              </w:rPr>
            </w:pPr>
            <w:r w:rsidRPr="00883399">
              <w:rPr>
                <w:sz w:val="22"/>
              </w:rPr>
              <w:t>0.06</w:t>
            </w:r>
          </w:p>
          <w:p w14:paraId="784D4E9C" w14:textId="77777777" w:rsidR="00872C03" w:rsidRPr="00883399" w:rsidRDefault="00872C03" w:rsidP="0031057E">
            <w:pPr>
              <w:pStyle w:val="Tabletext0"/>
              <w:rPr>
                <w:sz w:val="22"/>
              </w:rPr>
            </w:pPr>
            <w:r w:rsidRPr="00883399">
              <w:rPr>
                <w:sz w:val="22"/>
              </w:rPr>
              <w:t>0.06</w:t>
            </w:r>
          </w:p>
          <w:p w14:paraId="48CDAF3B" w14:textId="77777777" w:rsidR="00872C03" w:rsidRPr="00883399" w:rsidRDefault="00872C03" w:rsidP="0031057E">
            <w:pPr>
              <w:pStyle w:val="Tabletext0"/>
              <w:rPr>
                <w:sz w:val="22"/>
              </w:rPr>
            </w:pPr>
            <w:r w:rsidRPr="00883399">
              <w:rPr>
                <w:sz w:val="22"/>
              </w:rPr>
              <w:t>0.06</w:t>
            </w:r>
          </w:p>
        </w:tc>
      </w:tr>
      <w:tr w:rsidR="00872C03" w:rsidRPr="00883399" w14:paraId="0EA70038" w14:textId="77777777" w:rsidTr="0031057E">
        <w:tc>
          <w:tcPr>
            <w:tcW w:w="725" w:type="dxa"/>
            <w:tcBorders>
              <w:bottom w:val="single" w:sz="4" w:space="0" w:color="auto"/>
            </w:tcBorders>
            <w:shd w:val="clear" w:color="auto" w:fill="auto"/>
          </w:tcPr>
          <w:p w14:paraId="407131C6" w14:textId="77777777" w:rsidR="00872C03" w:rsidRPr="00883399" w:rsidRDefault="00872C03" w:rsidP="0031057E">
            <w:pPr>
              <w:pStyle w:val="Tabletext0"/>
              <w:rPr>
                <w:sz w:val="22"/>
              </w:rPr>
            </w:pPr>
            <w:r w:rsidRPr="00883399">
              <w:rPr>
                <w:sz w:val="22"/>
              </w:rPr>
              <w:t>3</w:t>
            </w:r>
          </w:p>
        </w:tc>
        <w:tc>
          <w:tcPr>
            <w:tcW w:w="2280" w:type="dxa"/>
            <w:tcBorders>
              <w:bottom w:val="single" w:sz="4" w:space="0" w:color="auto"/>
            </w:tcBorders>
            <w:shd w:val="clear" w:color="auto" w:fill="auto"/>
          </w:tcPr>
          <w:p w14:paraId="518F432F" w14:textId="77777777" w:rsidR="00872C03" w:rsidRPr="00883399" w:rsidRDefault="00872C03" w:rsidP="0031057E">
            <w:pPr>
              <w:pStyle w:val="Tabletext0"/>
              <w:rPr>
                <w:sz w:val="22"/>
              </w:rPr>
            </w:pPr>
            <w:r w:rsidRPr="00883399">
              <w:rPr>
                <w:sz w:val="22"/>
              </w:rPr>
              <w:t>Tropical dry</w:t>
            </w:r>
          </w:p>
        </w:tc>
        <w:tc>
          <w:tcPr>
            <w:tcW w:w="3531" w:type="dxa"/>
            <w:tcBorders>
              <w:bottom w:val="single" w:sz="4" w:space="0" w:color="auto"/>
            </w:tcBorders>
            <w:shd w:val="clear" w:color="auto" w:fill="auto"/>
          </w:tcPr>
          <w:p w14:paraId="00113C24" w14:textId="77777777" w:rsidR="00872C03" w:rsidRPr="00883399" w:rsidRDefault="00872C03" w:rsidP="0031057E">
            <w:pPr>
              <w:pStyle w:val="Tabletext0"/>
              <w:rPr>
                <w:sz w:val="22"/>
              </w:rPr>
            </w:pPr>
            <w:r w:rsidRPr="00883399">
              <w:rPr>
                <w:sz w:val="22"/>
              </w:rPr>
              <w:t>Food</w:t>
            </w:r>
          </w:p>
          <w:p w14:paraId="303CF14B" w14:textId="77777777" w:rsidR="00872C03" w:rsidRPr="00883399" w:rsidRDefault="00872C03" w:rsidP="0031057E">
            <w:pPr>
              <w:pStyle w:val="Tabletext0"/>
              <w:rPr>
                <w:sz w:val="22"/>
              </w:rPr>
            </w:pPr>
            <w:r w:rsidRPr="00883399">
              <w:rPr>
                <w:sz w:val="22"/>
              </w:rPr>
              <w:t>Paper and cardboard</w:t>
            </w:r>
          </w:p>
          <w:p w14:paraId="2D019746" w14:textId="77777777" w:rsidR="00872C03" w:rsidRPr="00883399" w:rsidRDefault="00872C03" w:rsidP="0031057E">
            <w:pPr>
              <w:pStyle w:val="Tabletext0"/>
              <w:rPr>
                <w:sz w:val="22"/>
              </w:rPr>
            </w:pPr>
            <w:r w:rsidRPr="00883399">
              <w:rPr>
                <w:sz w:val="22"/>
              </w:rPr>
              <w:t>Garden and Green</w:t>
            </w:r>
          </w:p>
          <w:p w14:paraId="3115356B" w14:textId="77777777" w:rsidR="00872C03" w:rsidRPr="00883399" w:rsidRDefault="00872C03" w:rsidP="0031057E">
            <w:pPr>
              <w:pStyle w:val="Tabletext0"/>
              <w:rPr>
                <w:sz w:val="22"/>
              </w:rPr>
            </w:pPr>
            <w:r w:rsidRPr="00883399">
              <w:rPr>
                <w:sz w:val="22"/>
              </w:rPr>
              <w:t>Wood</w:t>
            </w:r>
          </w:p>
          <w:p w14:paraId="15AF0D4F" w14:textId="77777777" w:rsidR="00872C03" w:rsidRPr="00883399" w:rsidRDefault="00872C03" w:rsidP="0031057E">
            <w:pPr>
              <w:pStyle w:val="Tabletext0"/>
              <w:rPr>
                <w:sz w:val="22"/>
              </w:rPr>
            </w:pPr>
            <w:r w:rsidRPr="00883399">
              <w:rPr>
                <w:sz w:val="22"/>
              </w:rPr>
              <w:t>Textiles</w:t>
            </w:r>
          </w:p>
          <w:p w14:paraId="779E5574" w14:textId="77777777" w:rsidR="00872C03" w:rsidRPr="00883399" w:rsidRDefault="00872C03" w:rsidP="0031057E">
            <w:pPr>
              <w:pStyle w:val="Tabletext0"/>
              <w:rPr>
                <w:sz w:val="22"/>
              </w:rPr>
            </w:pPr>
            <w:r w:rsidRPr="00883399">
              <w:rPr>
                <w:sz w:val="22"/>
              </w:rPr>
              <w:t>Sludge</w:t>
            </w:r>
          </w:p>
          <w:p w14:paraId="10414778" w14:textId="77777777" w:rsidR="00872C03" w:rsidRPr="00883399" w:rsidRDefault="00872C03" w:rsidP="0031057E">
            <w:pPr>
              <w:pStyle w:val="Tabletext0"/>
              <w:rPr>
                <w:sz w:val="22"/>
              </w:rPr>
            </w:pPr>
            <w:r w:rsidRPr="00883399">
              <w:rPr>
                <w:sz w:val="22"/>
              </w:rPr>
              <w:t>Nappies</w:t>
            </w:r>
          </w:p>
          <w:p w14:paraId="335F71AE" w14:textId="77777777" w:rsidR="00872C03" w:rsidRPr="00883399" w:rsidRDefault="00872C03" w:rsidP="0031057E">
            <w:pPr>
              <w:pStyle w:val="Tabletext0"/>
              <w:rPr>
                <w:sz w:val="22"/>
              </w:rPr>
            </w:pPr>
            <w:r w:rsidRPr="00883399">
              <w:rPr>
                <w:sz w:val="22"/>
              </w:rPr>
              <w:t>Rubber and Leather</w:t>
            </w:r>
          </w:p>
          <w:p w14:paraId="6F98E4B1" w14:textId="77777777" w:rsidR="00872C03" w:rsidRPr="00883399" w:rsidRDefault="00872C03" w:rsidP="0031057E">
            <w:pPr>
              <w:pStyle w:val="Tabletext0"/>
              <w:rPr>
                <w:sz w:val="22"/>
              </w:rPr>
            </w:pPr>
            <w:r w:rsidRPr="00883399">
              <w:rPr>
                <w:sz w:val="22"/>
              </w:rPr>
              <w:t>Alternative waste treatment residue</w:t>
            </w:r>
          </w:p>
        </w:tc>
        <w:tc>
          <w:tcPr>
            <w:tcW w:w="993" w:type="dxa"/>
            <w:tcBorders>
              <w:bottom w:val="single" w:sz="4" w:space="0" w:color="auto"/>
            </w:tcBorders>
            <w:shd w:val="clear" w:color="auto" w:fill="auto"/>
          </w:tcPr>
          <w:p w14:paraId="578A5B40" w14:textId="77777777" w:rsidR="00872C03" w:rsidRPr="00883399" w:rsidRDefault="00872C03" w:rsidP="0031057E">
            <w:pPr>
              <w:pStyle w:val="Tabletext0"/>
              <w:rPr>
                <w:sz w:val="22"/>
              </w:rPr>
            </w:pPr>
            <w:r w:rsidRPr="00883399">
              <w:rPr>
                <w:sz w:val="22"/>
              </w:rPr>
              <w:t>0.085</w:t>
            </w:r>
          </w:p>
          <w:p w14:paraId="71DB9750" w14:textId="77777777" w:rsidR="00872C03" w:rsidRPr="00883399" w:rsidRDefault="00872C03" w:rsidP="0031057E">
            <w:pPr>
              <w:pStyle w:val="Tabletext0"/>
              <w:rPr>
                <w:sz w:val="22"/>
              </w:rPr>
            </w:pPr>
            <w:r w:rsidRPr="00883399">
              <w:rPr>
                <w:sz w:val="22"/>
              </w:rPr>
              <w:t>0.045</w:t>
            </w:r>
          </w:p>
          <w:p w14:paraId="1048DBF1" w14:textId="77777777" w:rsidR="00872C03" w:rsidRPr="00883399" w:rsidRDefault="00872C03" w:rsidP="0031057E">
            <w:pPr>
              <w:pStyle w:val="Tabletext0"/>
              <w:rPr>
                <w:sz w:val="22"/>
              </w:rPr>
            </w:pPr>
            <w:r w:rsidRPr="00883399">
              <w:rPr>
                <w:sz w:val="22"/>
              </w:rPr>
              <w:t>0.065</w:t>
            </w:r>
          </w:p>
          <w:p w14:paraId="562A5409" w14:textId="77777777" w:rsidR="00872C03" w:rsidRPr="00883399" w:rsidRDefault="00872C03" w:rsidP="0031057E">
            <w:pPr>
              <w:pStyle w:val="Tabletext0"/>
              <w:rPr>
                <w:sz w:val="22"/>
              </w:rPr>
            </w:pPr>
            <w:r w:rsidRPr="00883399">
              <w:rPr>
                <w:sz w:val="22"/>
              </w:rPr>
              <w:t>0.025</w:t>
            </w:r>
          </w:p>
          <w:p w14:paraId="30E6D2E8" w14:textId="77777777" w:rsidR="00872C03" w:rsidRPr="00883399" w:rsidRDefault="00872C03" w:rsidP="0031057E">
            <w:pPr>
              <w:pStyle w:val="Tabletext0"/>
              <w:rPr>
                <w:sz w:val="22"/>
              </w:rPr>
            </w:pPr>
            <w:r w:rsidRPr="00883399">
              <w:rPr>
                <w:sz w:val="22"/>
              </w:rPr>
              <w:t>0.045</w:t>
            </w:r>
          </w:p>
          <w:p w14:paraId="2235EEDE" w14:textId="77777777" w:rsidR="00872C03" w:rsidRPr="00883399" w:rsidRDefault="00872C03" w:rsidP="0031057E">
            <w:pPr>
              <w:pStyle w:val="Tabletext0"/>
              <w:rPr>
                <w:sz w:val="22"/>
              </w:rPr>
            </w:pPr>
            <w:r w:rsidRPr="00883399">
              <w:rPr>
                <w:sz w:val="22"/>
              </w:rPr>
              <w:t>0.085</w:t>
            </w:r>
          </w:p>
          <w:p w14:paraId="0A19734C" w14:textId="77777777" w:rsidR="00872C03" w:rsidRPr="00883399" w:rsidRDefault="00872C03" w:rsidP="0031057E">
            <w:pPr>
              <w:pStyle w:val="Tabletext0"/>
              <w:rPr>
                <w:sz w:val="22"/>
              </w:rPr>
            </w:pPr>
            <w:r w:rsidRPr="00883399">
              <w:rPr>
                <w:sz w:val="22"/>
              </w:rPr>
              <w:t>0.045</w:t>
            </w:r>
          </w:p>
          <w:p w14:paraId="0D68EA60" w14:textId="77777777" w:rsidR="00872C03" w:rsidRPr="00883399" w:rsidRDefault="00872C03" w:rsidP="0031057E">
            <w:pPr>
              <w:pStyle w:val="Tabletext0"/>
              <w:rPr>
                <w:sz w:val="22"/>
              </w:rPr>
            </w:pPr>
            <w:r w:rsidRPr="00883399">
              <w:rPr>
                <w:sz w:val="22"/>
              </w:rPr>
              <w:t>0.045</w:t>
            </w:r>
          </w:p>
          <w:p w14:paraId="0CF42E75" w14:textId="77777777" w:rsidR="00872C03" w:rsidRPr="00883399" w:rsidRDefault="00872C03" w:rsidP="0031057E">
            <w:pPr>
              <w:pStyle w:val="Tabletext0"/>
              <w:rPr>
                <w:sz w:val="22"/>
              </w:rPr>
            </w:pPr>
            <w:r w:rsidRPr="00883399">
              <w:rPr>
                <w:sz w:val="22"/>
              </w:rPr>
              <w:t>0.045</w:t>
            </w:r>
          </w:p>
        </w:tc>
      </w:tr>
      <w:tr w:rsidR="00872C03" w:rsidRPr="00883399" w14:paraId="20879593" w14:textId="77777777" w:rsidTr="0031057E">
        <w:trPr>
          <w:cantSplit/>
        </w:trPr>
        <w:tc>
          <w:tcPr>
            <w:tcW w:w="725" w:type="dxa"/>
            <w:tcBorders>
              <w:bottom w:val="single" w:sz="12" w:space="0" w:color="auto"/>
            </w:tcBorders>
            <w:shd w:val="clear" w:color="auto" w:fill="auto"/>
          </w:tcPr>
          <w:p w14:paraId="37C02349" w14:textId="77777777" w:rsidR="00872C03" w:rsidRPr="00883399" w:rsidRDefault="00872C03" w:rsidP="0031057E">
            <w:pPr>
              <w:pStyle w:val="Tabletext0"/>
              <w:rPr>
                <w:sz w:val="22"/>
              </w:rPr>
            </w:pPr>
            <w:r w:rsidRPr="00883399">
              <w:rPr>
                <w:sz w:val="22"/>
              </w:rPr>
              <w:t>4</w:t>
            </w:r>
          </w:p>
        </w:tc>
        <w:tc>
          <w:tcPr>
            <w:tcW w:w="2280" w:type="dxa"/>
            <w:tcBorders>
              <w:bottom w:val="single" w:sz="12" w:space="0" w:color="auto"/>
            </w:tcBorders>
            <w:shd w:val="clear" w:color="auto" w:fill="auto"/>
          </w:tcPr>
          <w:p w14:paraId="6116712C" w14:textId="77777777" w:rsidR="00872C03" w:rsidRPr="00883399" w:rsidRDefault="00872C03" w:rsidP="0031057E">
            <w:pPr>
              <w:pStyle w:val="Tabletext0"/>
              <w:rPr>
                <w:sz w:val="22"/>
              </w:rPr>
            </w:pPr>
            <w:r w:rsidRPr="00883399">
              <w:rPr>
                <w:sz w:val="22"/>
              </w:rPr>
              <w:t>Tropical wet</w:t>
            </w:r>
          </w:p>
        </w:tc>
        <w:tc>
          <w:tcPr>
            <w:tcW w:w="3531" w:type="dxa"/>
            <w:tcBorders>
              <w:bottom w:val="single" w:sz="12" w:space="0" w:color="auto"/>
            </w:tcBorders>
            <w:shd w:val="clear" w:color="auto" w:fill="auto"/>
          </w:tcPr>
          <w:p w14:paraId="35009407" w14:textId="77777777" w:rsidR="00872C03" w:rsidRPr="00883399" w:rsidRDefault="00872C03" w:rsidP="0031057E">
            <w:pPr>
              <w:pStyle w:val="Tabletext0"/>
              <w:rPr>
                <w:sz w:val="22"/>
              </w:rPr>
            </w:pPr>
            <w:r w:rsidRPr="00883399">
              <w:rPr>
                <w:sz w:val="22"/>
              </w:rPr>
              <w:t>Food</w:t>
            </w:r>
          </w:p>
          <w:p w14:paraId="723BB1B9" w14:textId="77777777" w:rsidR="00872C03" w:rsidRPr="00883399" w:rsidRDefault="00872C03" w:rsidP="0031057E">
            <w:pPr>
              <w:pStyle w:val="Tabletext0"/>
              <w:rPr>
                <w:sz w:val="22"/>
              </w:rPr>
            </w:pPr>
            <w:r w:rsidRPr="00883399">
              <w:rPr>
                <w:sz w:val="22"/>
              </w:rPr>
              <w:t>Paper and cardboard</w:t>
            </w:r>
          </w:p>
          <w:p w14:paraId="771DF699" w14:textId="77777777" w:rsidR="00872C03" w:rsidRPr="00883399" w:rsidRDefault="00872C03" w:rsidP="0031057E">
            <w:pPr>
              <w:pStyle w:val="Tabletext0"/>
              <w:rPr>
                <w:sz w:val="22"/>
              </w:rPr>
            </w:pPr>
            <w:r w:rsidRPr="00883399">
              <w:rPr>
                <w:sz w:val="22"/>
              </w:rPr>
              <w:t>Garden and Green</w:t>
            </w:r>
          </w:p>
          <w:p w14:paraId="538A371A" w14:textId="77777777" w:rsidR="00872C03" w:rsidRPr="00883399" w:rsidRDefault="00872C03" w:rsidP="0031057E">
            <w:pPr>
              <w:pStyle w:val="Tabletext0"/>
              <w:rPr>
                <w:sz w:val="22"/>
              </w:rPr>
            </w:pPr>
            <w:r w:rsidRPr="00883399">
              <w:rPr>
                <w:sz w:val="22"/>
              </w:rPr>
              <w:t>Wood</w:t>
            </w:r>
          </w:p>
          <w:p w14:paraId="7870D375" w14:textId="77777777" w:rsidR="00872C03" w:rsidRPr="00883399" w:rsidRDefault="00872C03" w:rsidP="0031057E">
            <w:pPr>
              <w:pStyle w:val="Tabletext0"/>
              <w:rPr>
                <w:sz w:val="22"/>
              </w:rPr>
            </w:pPr>
            <w:r w:rsidRPr="00883399">
              <w:rPr>
                <w:sz w:val="22"/>
              </w:rPr>
              <w:t>Textiles</w:t>
            </w:r>
          </w:p>
          <w:p w14:paraId="1B6D28BE" w14:textId="77777777" w:rsidR="00872C03" w:rsidRPr="00883399" w:rsidRDefault="00872C03" w:rsidP="0031057E">
            <w:pPr>
              <w:pStyle w:val="Tabletext0"/>
              <w:rPr>
                <w:sz w:val="22"/>
              </w:rPr>
            </w:pPr>
            <w:r w:rsidRPr="00883399">
              <w:rPr>
                <w:sz w:val="22"/>
              </w:rPr>
              <w:t>Sludge</w:t>
            </w:r>
          </w:p>
          <w:p w14:paraId="45C0B09A" w14:textId="77777777" w:rsidR="00872C03" w:rsidRPr="00883399" w:rsidRDefault="00872C03" w:rsidP="0031057E">
            <w:pPr>
              <w:pStyle w:val="Tabletext0"/>
              <w:rPr>
                <w:sz w:val="22"/>
              </w:rPr>
            </w:pPr>
            <w:r w:rsidRPr="00883399">
              <w:rPr>
                <w:sz w:val="22"/>
              </w:rPr>
              <w:t>Nappies</w:t>
            </w:r>
          </w:p>
          <w:p w14:paraId="0C43EAE6" w14:textId="77777777" w:rsidR="00872C03" w:rsidRPr="00883399" w:rsidRDefault="00872C03" w:rsidP="0031057E">
            <w:pPr>
              <w:pStyle w:val="Tabletext0"/>
              <w:rPr>
                <w:sz w:val="22"/>
              </w:rPr>
            </w:pPr>
            <w:r w:rsidRPr="00883399">
              <w:rPr>
                <w:sz w:val="22"/>
              </w:rPr>
              <w:t>Rubber and Leather</w:t>
            </w:r>
          </w:p>
          <w:p w14:paraId="24974310" w14:textId="77777777" w:rsidR="00872C03" w:rsidRPr="00883399" w:rsidRDefault="00872C03" w:rsidP="0031057E">
            <w:pPr>
              <w:pStyle w:val="Tabletext0"/>
              <w:rPr>
                <w:sz w:val="22"/>
              </w:rPr>
            </w:pPr>
            <w:r w:rsidRPr="00883399">
              <w:rPr>
                <w:sz w:val="22"/>
              </w:rPr>
              <w:t>Alternative waste treatment residue</w:t>
            </w:r>
          </w:p>
        </w:tc>
        <w:tc>
          <w:tcPr>
            <w:tcW w:w="993" w:type="dxa"/>
            <w:tcBorders>
              <w:bottom w:val="single" w:sz="12" w:space="0" w:color="auto"/>
            </w:tcBorders>
            <w:shd w:val="clear" w:color="auto" w:fill="auto"/>
          </w:tcPr>
          <w:p w14:paraId="59F4778E" w14:textId="77777777" w:rsidR="00872C03" w:rsidRPr="00883399" w:rsidRDefault="00872C03" w:rsidP="0031057E">
            <w:pPr>
              <w:pStyle w:val="Tabletext0"/>
              <w:rPr>
                <w:sz w:val="22"/>
              </w:rPr>
            </w:pPr>
            <w:r w:rsidRPr="00883399">
              <w:rPr>
                <w:sz w:val="22"/>
              </w:rPr>
              <w:t>0.4</w:t>
            </w:r>
          </w:p>
          <w:p w14:paraId="129B6C03" w14:textId="77777777" w:rsidR="00872C03" w:rsidRPr="00883399" w:rsidRDefault="00872C03" w:rsidP="0031057E">
            <w:pPr>
              <w:pStyle w:val="Tabletext0"/>
              <w:rPr>
                <w:sz w:val="22"/>
              </w:rPr>
            </w:pPr>
            <w:r w:rsidRPr="00883399">
              <w:rPr>
                <w:sz w:val="22"/>
              </w:rPr>
              <w:t>0.07</w:t>
            </w:r>
          </w:p>
          <w:p w14:paraId="6F8B785E" w14:textId="77777777" w:rsidR="00872C03" w:rsidRPr="00883399" w:rsidRDefault="00872C03" w:rsidP="0031057E">
            <w:pPr>
              <w:pStyle w:val="Tabletext0"/>
              <w:rPr>
                <w:sz w:val="22"/>
              </w:rPr>
            </w:pPr>
            <w:r w:rsidRPr="00883399">
              <w:rPr>
                <w:sz w:val="22"/>
              </w:rPr>
              <w:t>0.17</w:t>
            </w:r>
          </w:p>
          <w:p w14:paraId="5495A0B6" w14:textId="77777777" w:rsidR="00872C03" w:rsidRPr="00883399" w:rsidRDefault="00872C03" w:rsidP="0031057E">
            <w:pPr>
              <w:pStyle w:val="Tabletext0"/>
              <w:rPr>
                <w:sz w:val="22"/>
              </w:rPr>
            </w:pPr>
            <w:r w:rsidRPr="00883399">
              <w:rPr>
                <w:sz w:val="22"/>
              </w:rPr>
              <w:t>0.035</w:t>
            </w:r>
          </w:p>
          <w:p w14:paraId="0B435BFC" w14:textId="77777777" w:rsidR="00872C03" w:rsidRPr="00883399" w:rsidRDefault="00872C03" w:rsidP="0031057E">
            <w:pPr>
              <w:pStyle w:val="Tabletext0"/>
              <w:rPr>
                <w:sz w:val="22"/>
              </w:rPr>
            </w:pPr>
            <w:r w:rsidRPr="00883399">
              <w:rPr>
                <w:sz w:val="22"/>
              </w:rPr>
              <w:t>0.07</w:t>
            </w:r>
          </w:p>
          <w:p w14:paraId="322C7B4F" w14:textId="77777777" w:rsidR="00872C03" w:rsidRPr="00883399" w:rsidRDefault="00872C03" w:rsidP="0031057E">
            <w:pPr>
              <w:pStyle w:val="Tabletext0"/>
              <w:rPr>
                <w:sz w:val="22"/>
              </w:rPr>
            </w:pPr>
            <w:r w:rsidRPr="00883399">
              <w:rPr>
                <w:sz w:val="22"/>
              </w:rPr>
              <w:t>0.4</w:t>
            </w:r>
          </w:p>
          <w:p w14:paraId="6F835858" w14:textId="77777777" w:rsidR="00872C03" w:rsidRPr="00883399" w:rsidRDefault="00872C03" w:rsidP="0031057E">
            <w:pPr>
              <w:pStyle w:val="Tabletext0"/>
              <w:rPr>
                <w:sz w:val="22"/>
              </w:rPr>
            </w:pPr>
            <w:r w:rsidRPr="00883399">
              <w:rPr>
                <w:sz w:val="22"/>
              </w:rPr>
              <w:t>0.07</w:t>
            </w:r>
          </w:p>
          <w:p w14:paraId="1CE10F39" w14:textId="77777777" w:rsidR="00872C03" w:rsidRPr="00883399" w:rsidRDefault="00872C03" w:rsidP="0031057E">
            <w:pPr>
              <w:pStyle w:val="Tabletext0"/>
              <w:rPr>
                <w:sz w:val="22"/>
              </w:rPr>
            </w:pPr>
            <w:r w:rsidRPr="00883399">
              <w:rPr>
                <w:sz w:val="22"/>
              </w:rPr>
              <w:t>0.07</w:t>
            </w:r>
          </w:p>
          <w:p w14:paraId="0111BCE0" w14:textId="77777777" w:rsidR="00872C03" w:rsidRPr="00883399" w:rsidRDefault="00872C03" w:rsidP="0031057E">
            <w:pPr>
              <w:pStyle w:val="Tabletext0"/>
              <w:rPr>
                <w:sz w:val="22"/>
              </w:rPr>
            </w:pPr>
            <w:r w:rsidRPr="00883399">
              <w:rPr>
                <w:sz w:val="22"/>
              </w:rPr>
              <w:t>0.07</w:t>
            </w:r>
          </w:p>
        </w:tc>
      </w:tr>
    </w:tbl>
    <w:p w14:paraId="0C81E4B9" w14:textId="77777777" w:rsidR="00872C03" w:rsidRPr="00883399" w:rsidRDefault="00872C03" w:rsidP="00872C03">
      <w:pPr>
        <w:pStyle w:val="subsection"/>
        <w:rPr>
          <w:sz w:val="24"/>
        </w:rPr>
      </w:pPr>
      <w:r w:rsidRPr="00883399">
        <w:rPr>
          <w:sz w:val="24"/>
        </w:rPr>
        <w:lastRenderedPageBreak/>
        <w:tab/>
        <w:t>(7)</w:t>
      </w:r>
      <w:r w:rsidRPr="00883399">
        <w:rPr>
          <w:sz w:val="24"/>
        </w:rPr>
        <w:tab/>
        <w:t>In this section:</w:t>
      </w:r>
    </w:p>
    <w:p w14:paraId="6E3054A6" w14:textId="77777777" w:rsidR="00872C03" w:rsidRPr="00883399" w:rsidRDefault="00872C03" w:rsidP="00872C03">
      <w:pPr>
        <w:pStyle w:val="Definition0"/>
        <w:rPr>
          <w:sz w:val="24"/>
        </w:rPr>
      </w:pPr>
      <w:r w:rsidRPr="00883399">
        <w:rPr>
          <w:b/>
          <w:i/>
          <w:sz w:val="24"/>
        </w:rPr>
        <w:t>Bureau of Meteorology Guideline</w:t>
      </w:r>
      <w:r w:rsidRPr="00883399">
        <w:rPr>
          <w:sz w:val="24"/>
        </w:rPr>
        <w:t xml:space="preserve"> means the document titled </w:t>
      </w:r>
      <w:r w:rsidRPr="00883399">
        <w:rPr>
          <w:i/>
          <w:sz w:val="24"/>
        </w:rPr>
        <w:t xml:space="preserve">Guidelines for the Siting and Exposure of Meteorological Instruments and Observing Facilities </w:t>
      </w:r>
      <w:r w:rsidRPr="00883399">
        <w:rPr>
          <w:sz w:val="24"/>
        </w:rPr>
        <w:t>(Observation Specification No. 2013.1), published by the Bureau of Meteorology in January 1997.</w:t>
      </w:r>
    </w:p>
    <w:p w14:paraId="4F2C58C8" w14:textId="77777777" w:rsidR="00872C03" w:rsidRPr="00883399" w:rsidRDefault="00872C03" w:rsidP="00872C03">
      <w:pPr>
        <w:pStyle w:val="notetext"/>
        <w:rPr>
          <w:sz w:val="20"/>
        </w:rPr>
      </w:pPr>
      <w:r w:rsidRPr="00883399">
        <w:rPr>
          <w:sz w:val="20"/>
        </w:rPr>
        <w:t>Note:</w:t>
      </w:r>
      <w:r w:rsidRPr="00883399">
        <w:rPr>
          <w:sz w:val="20"/>
        </w:rPr>
        <w:tab/>
        <w:t>The Bureau of Meteorology Guideline is available at www.bom.gov.au.</w:t>
      </w:r>
    </w:p>
    <w:p w14:paraId="7356C53F" w14:textId="77777777" w:rsidR="00872C03" w:rsidRPr="00883399" w:rsidRDefault="00872C03" w:rsidP="00872C03">
      <w:pPr>
        <w:pStyle w:val="Definition0"/>
        <w:rPr>
          <w:sz w:val="24"/>
        </w:rPr>
      </w:pPr>
      <w:r w:rsidRPr="00883399">
        <w:rPr>
          <w:b/>
          <w:i/>
          <w:sz w:val="24"/>
        </w:rPr>
        <w:t>mean annual evaporation</w:t>
      </w:r>
      <w:r w:rsidRPr="00883399">
        <w:rPr>
          <w:sz w:val="24"/>
        </w:rPr>
        <w:t xml:space="preserve"> means the mean annual evaporation:</w:t>
      </w:r>
    </w:p>
    <w:p w14:paraId="62DA04DC" w14:textId="77777777" w:rsidR="00872C03" w:rsidRPr="00883399" w:rsidRDefault="00872C03" w:rsidP="00872C03">
      <w:pPr>
        <w:pStyle w:val="paragraph"/>
        <w:rPr>
          <w:sz w:val="24"/>
        </w:rPr>
      </w:pPr>
      <w:r w:rsidRPr="00883399">
        <w:rPr>
          <w:sz w:val="24"/>
        </w:rPr>
        <w:tab/>
        <w:t>(a)</w:t>
      </w:r>
      <w:r w:rsidRPr="00883399">
        <w:rPr>
          <w:sz w:val="24"/>
        </w:rPr>
        <w:tab/>
        <w:t>recorded at the landfill by a meteorological station that is established and maintained in accordance with the Bureau of Meteorology Guideline; or</w:t>
      </w:r>
    </w:p>
    <w:p w14:paraId="60F9593E" w14:textId="77777777" w:rsidR="00872C03" w:rsidRPr="00883399" w:rsidRDefault="00872C03" w:rsidP="00872C03">
      <w:pPr>
        <w:pStyle w:val="paragraph"/>
        <w:rPr>
          <w:sz w:val="24"/>
        </w:rPr>
      </w:pPr>
      <w:r w:rsidRPr="00883399">
        <w:rPr>
          <w:sz w:val="24"/>
        </w:rPr>
        <w:tab/>
        <w:t>(b)</w:t>
      </w:r>
      <w:r w:rsidRPr="00883399">
        <w:rPr>
          <w:sz w:val="24"/>
        </w:rPr>
        <w:tab/>
        <w:t>if paragraph (a) does not apply—recorded by a Bureau of Meteorology weather station that:</w:t>
      </w:r>
    </w:p>
    <w:p w14:paraId="58E179E3" w14:textId="77777777" w:rsidR="00872C03" w:rsidRPr="00883399" w:rsidRDefault="00872C03" w:rsidP="00872C03">
      <w:pPr>
        <w:pStyle w:val="paragraphsub"/>
        <w:rPr>
          <w:sz w:val="24"/>
        </w:rPr>
      </w:pPr>
      <w:r w:rsidRPr="00883399">
        <w:rPr>
          <w:sz w:val="24"/>
        </w:rPr>
        <w:tab/>
        <w:t>(i)</w:t>
      </w:r>
      <w:r w:rsidRPr="00883399">
        <w:rPr>
          <w:sz w:val="24"/>
        </w:rPr>
        <w:tab/>
        <w:t>is located nearest to the landfill; and</w:t>
      </w:r>
    </w:p>
    <w:p w14:paraId="5D0DD58D" w14:textId="77777777" w:rsidR="00872C03" w:rsidRPr="00883399" w:rsidRDefault="00872C03" w:rsidP="00872C03">
      <w:pPr>
        <w:pStyle w:val="paragraphsub"/>
        <w:rPr>
          <w:sz w:val="24"/>
        </w:rPr>
      </w:pPr>
      <w:r w:rsidRPr="00883399">
        <w:rPr>
          <w:sz w:val="24"/>
        </w:rPr>
        <w:tab/>
        <w:t>(ii)</w:t>
      </w:r>
      <w:r w:rsidRPr="00883399">
        <w:rPr>
          <w:sz w:val="24"/>
        </w:rPr>
        <w:tab/>
        <w:t>records mean annual evaporation.</w:t>
      </w:r>
    </w:p>
    <w:p w14:paraId="76C66520" w14:textId="77777777" w:rsidR="00872C03" w:rsidRPr="00883399" w:rsidRDefault="00872C03" w:rsidP="00872C03">
      <w:pPr>
        <w:pStyle w:val="Definition0"/>
        <w:rPr>
          <w:sz w:val="24"/>
        </w:rPr>
      </w:pPr>
      <w:r w:rsidRPr="00883399">
        <w:rPr>
          <w:b/>
          <w:i/>
          <w:sz w:val="24"/>
        </w:rPr>
        <w:t>mean annual precipitation</w:t>
      </w:r>
      <w:r w:rsidRPr="00883399">
        <w:rPr>
          <w:sz w:val="24"/>
        </w:rPr>
        <w:t xml:space="preserve"> means the mean annual precipitation:</w:t>
      </w:r>
    </w:p>
    <w:p w14:paraId="342273D6" w14:textId="77777777" w:rsidR="00872C03" w:rsidRPr="00883399" w:rsidRDefault="00872C03" w:rsidP="00872C03">
      <w:pPr>
        <w:pStyle w:val="paragraph"/>
        <w:rPr>
          <w:sz w:val="24"/>
        </w:rPr>
      </w:pPr>
      <w:r w:rsidRPr="00883399">
        <w:rPr>
          <w:sz w:val="24"/>
        </w:rPr>
        <w:tab/>
        <w:t>(a)</w:t>
      </w:r>
      <w:r w:rsidRPr="00883399">
        <w:rPr>
          <w:sz w:val="24"/>
        </w:rPr>
        <w:tab/>
        <w:t>recorded at the landfill by a meteorological station that is established and maintained in accordance with the Bureau of Meteorology Guideline; or</w:t>
      </w:r>
    </w:p>
    <w:p w14:paraId="28C2B249" w14:textId="77777777" w:rsidR="00872C03" w:rsidRPr="00883399" w:rsidRDefault="00872C03" w:rsidP="00872C03">
      <w:pPr>
        <w:pStyle w:val="paragraph"/>
        <w:rPr>
          <w:sz w:val="24"/>
        </w:rPr>
      </w:pPr>
      <w:r w:rsidRPr="00883399">
        <w:rPr>
          <w:sz w:val="24"/>
        </w:rPr>
        <w:tab/>
        <w:t>(b)</w:t>
      </w:r>
      <w:r w:rsidRPr="00883399">
        <w:rPr>
          <w:sz w:val="24"/>
        </w:rPr>
        <w:tab/>
        <w:t>if paragraph (a) does not apply—recorded by a Bureau of Meteorology weather station that:</w:t>
      </w:r>
    </w:p>
    <w:p w14:paraId="503E5051" w14:textId="77777777" w:rsidR="00872C03" w:rsidRPr="00883399" w:rsidRDefault="00872C03" w:rsidP="00872C03">
      <w:pPr>
        <w:pStyle w:val="paragraphsub"/>
        <w:rPr>
          <w:sz w:val="24"/>
        </w:rPr>
      </w:pPr>
      <w:r w:rsidRPr="00883399">
        <w:rPr>
          <w:sz w:val="24"/>
        </w:rPr>
        <w:tab/>
        <w:t>(i)</w:t>
      </w:r>
      <w:r w:rsidRPr="00883399">
        <w:rPr>
          <w:sz w:val="24"/>
        </w:rPr>
        <w:tab/>
        <w:t>is located nearest to the landfill; and</w:t>
      </w:r>
    </w:p>
    <w:p w14:paraId="019C1D4E" w14:textId="77777777" w:rsidR="00872C03" w:rsidRPr="00883399" w:rsidRDefault="00872C03" w:rsidP="00872C03">
      <w:pPr>
        <w:pStyle w:val="paragraphsub"/>
        <w:rPr>
          <w:sz w:val="24"/>
        </w:rPr>
      </w:pPr>
      <w:r w:rsidRPr="00883399">
        <w:rPr>
          <w:sz w:val="24"/>
        </w:rPr>
        <w:tab/>
        <w:t>(ii)</w:t>
      </w:r>
      <w:r w:rsidRPr="00883399">
        <w:rPr>
          <w:sz w:val="24"/>
        </w:rPr>
        <w:tab/>
        <w:t>records mean annual precipitation.</w:t>
      </w:r>
    </w:p>
    <w:p w14:paraId="5D1CDFB3" w14:textId="77777777" w:rsidR="00872C03" w:rsidRPr="00883399" w:rsidRDefault="00872C03" w:rsidP="00872C03">
      <w:pPr>
        <w:pStyle w:val="Definition0"/>
        <w:rPr>
          <w:sz w:val="24"/>
        </w:rPr>
      </w:pPr>
      <w:r w:rsidRPr="00883399">
        <w:rPr>
          <w:b/>
          <w:i/>
          <w:sz w:val="24"/>
        </w:rPr>
        <w:t xml:space="preserve">mean annual temperature </w:t>
      </w:r>
      <w:r w:rsidRPr="00883399">
        <w:rPr>
          <w:sz w:val="24"/>
        </w:rPr>
        <w:t>means the mean annual temperature:</w:t>
      </w:r>
    </w:p>
    <w:p w14:paraId="37BEAFDE" w14:textId="77777777" w:rsidR="00872C03" w:rsidRPr="00883399" w:rsidRDefault="00872C03" w:rsidP="00872C03">
      <w:pPr>
        <w:pStyle w:val="paragraph"/>
        <w:rPr>
          <w:sz w:val="24"/>
        </w:rPr>
      </w:pPr>
      <w:r w:rsidRPr="00883399">
        <w:rPr>
          <w:sz w:val="24"/>
        </w:rPr>
        <w:tab/>
        <w:t>(a)</w:t>
      </w:r>
      <w:r w:rsidRPr="00883399">
        <w:rPr>
          <w:sz w:val="24"/>
        </w:rPr>
        <w:tab/>
        <w:t>recorded at the landfill by a meteorological station that is established and maintained in accordance with the Bureau of Meteorology Guideline; or</w:t>
      </w:r>
    </w:p>
    <w:p w14:paraId="296DB4C9" w14:textId="77777777" w:rsidR="00872C03" w:rsidRPr="00883399" w:rsidRDefault="00872C03" w:rsidP="00872C03">
      <w:pPr>
        <w:pStyle w:val="paragraph"/>
        <w:rPr>
          <w:sz w:val="24"/>
        </w:rPr>
      </w:pPr>
      <w:r w:rsidRPr="00883399">
        <w:rPr>
          <w:sz w:val="24"/>
        </w:rPr>
        <w:tab/>
        <w:t>(b)</w:t>
      </w:r>
      <w:r w:rsidRPr="00883399">
        <w:rPr>
          <w:sz w:val="24"/>
        </w:rPr>
        <w:tab/>
        <w:t>if paragraph (a) does not apply—recorded by a Bureau of Meteorology weather station that:</w:t>
      </w:r>
    </w:p>
    <w:p w14:paraId="70BD5464" w14:textId="77777777" w:rsidR="00872C03" w:rsidRPr="00883399" w:rsidRDefault="00872C03" w:rsidP="00872C03">
      <w:pPr>
        <w:pStyle w:val="paragraphsub"/>
        <w:rPr>
          <w:sz w:val="24"/>
        </w:rPr>
      </w:pPr>
      <w:r w:rsidRPr="00883399">
        <w:rPr>
          <w:sz w:val="24"/>
        </w:rPr>
        <w:tab/>
        <w:t>(i)</w:t>
      </w:r>
      <w:r w:rsidRPr="00883399">
        <w:rPr>
          <w:sz w:val="24"/>
        </w:rPr>
        <w:tab/>
        <w:t>is located nearest to the landfill; and</w:t>
      </w:r>
    </w:p>
    <w:p w14:paraId="2A5B6436" w14:textId="77777777" w:rsidR="00872C03" w:rsidRPr="00883399" w:rsidRDefault="00872C03" w:rsidP="00872C03">
      <w:pPr>
        <w:pStyle w:val="paragraphsub"/>
        <w:rPr>
          <w:sz w:val="24"/>
        </w:rPr>
      </w:pPr>
      <w:r w:rsidRPr="00883399">
        <w:rPr>
          <w:sz w:val="24"/>
        </w:rPr>
        <w:tab/>
        <w:t>(ii)</w:t>
      </w:r>
      <w:r w:rsidRPr="00883399">
        <w:rPr>
          <w:sz w:val="24"/>
        </w:rPr>
        <w:tab/>
        <w:t>records mean annual temperature.</w:t>
      </w:r>
    </w:p>
    <w:p w14:paraId="0F20240B" w14:textId="77777777" w:rsidR="00872C03" w:rsidRPr="00883399" w:rsidRDefault="00872C03" w:rsidP="00872C03">
      <w:pPr>
        <w:pStyle w:val="notetext"/>
        <w:rPr>
          <w:sz w:val="20"/>
        </w:rPr>
      </w:pPr>
      <w:r w:rsidRPr="00883399">
        <w:rPr>
          <w:sz w:val="20"/>
        </w:rPr>
        <w:t>Note:</w:t>
      </w:r>
      <w:r w:rsidRPr="00883399">
        <w:rPr>
          <w:sz w:val="20"/>
        </w:rPr>
        <w:tab/>
        <w:t xml:space="preserve">The Bureau of Meteorology weather station directory is available at </w:t>
      </w:r>
      <w:r w:rsidRPr="00883399">
        <w:rPr>
          <w:sz w:val="20"/>
          <w:u w:val="single"/>
        </w:rPr>
        <w:t>www.bom.gov.au.</w:t>
      </w:r>
    </w:p>
    <w:p w14:paraId="5F1364DA" w14:textId="77777777" w:rsidR="00872C03" w:rsidRPr="00883399" w:rsidRDefault="00872C03" w:rsidP="00872C03">
      <w:pPr>
        <w:pStyle w:val="Definition0"/>
        <w:rPr>
          <w:sz w:val="24"/>
        </w:rPr>
      </w:pPr>
      <w:r w:rsidRPr="00883399">
        <w:rPr>
          <w:b/>
          <w:i/>
          <w:sz w:val="24"/>
        </w:rPr>
        <w:t>temperate dry</w:t>
      </w:r>
      <w:r w:rsidRPr="00883399">
        <w:rPr>
          <w:sz w:val="24"/>
        </w:rPr>
        <w:t>, for a landfill, means that the landfill has:</w:t>
      </w:r>
    </w:p>
    <w:p w14:paraId="0610FB81" w14:textId="77777777" w:rsidR="00872C03" w:rsidRPr="00883399" w:rsidRDefault="00872C03" w:rsidP="00872C03">
      <w:pPr>
        <w:pStyle w:val="paragraph"/>
        <w:rPr>
          <w:sz w:val="24"/>
        </w:rPr>
      </w:pPr>
      <w:r w:rsidRPr="00883399">
        <w:rPr>
          <w:sz w:val="24"/>
        </w:rPr>
        <w:tab/>
        <w:t>(a)</w:t>
      </w:r>
      <w:r w:rsidRPr="00883399">
        <w:rPr>
          <w:sz w:val="24"/>
        </w:rPr>
        <w:tab/>
        <w:t>a mean annual temperature that is 20° centigrade or less; and</w:t>
      </w:r>
    </w:p>
    <w:p w14:paraId="548D4473" w14:textId="77777777" w:rsidR="00872C03" w:rsidRPr="00883399" w:rsidRDefault="00872C03" w:rsidP="00872C03">
      <w:pPr>
        <w:pStyle w:val="paragraph"/>
        <w:rPr>
          <w:sz w:val="24"/>
        </w:rPr>
      </w:pPr>
      <w:r w:rsidRPr="00883399">
        <w:rPr>
          <w:sz w:val="24"/>
        </w:rPr>
        <w:tab/>
        <w:t>(b)</w:t>
      </w:r>
      <w:r w:rsidRPr="00883399">
        <w:rPr>
          <w:sz w:val="24"/>
        </w:rPr>
        <w:tab/>
        <w:t>a ratio of mean annual precipitation to mean annual evaporation that is less than 1.</w:t>
      </w:r>
    </w:p>
    <w:p w14:paraId="4A87DFA5" w14:textId="77777777" w:rsidR="00872C03" w:rsidRPr="00883399" w:rsidRDefault="00872C03" w:rsidP="00872C03">
      <w:pPr>
        <w:pStyle w:val="Definition0"/>
        <w:rPr>
          <w:sz w:val="24"/>
        </w:rPr>
      </w:pPr>
      <w:r w:rsidRPr="00883399">
        <w:rPr>
          <w:b/>
          <w:i/>
          <w:sz w:val="24"/>
        </w:rPr>
        <w:t>temperate wet</w:t>
      </w:r>
      <w:r w:rsidRPr="00883399">
        <w:rPr>
          <w:sz w:val="24"/>
        </w:rPr>
        <w:t>, for a landfill, means that the landfill has:</w:t>
      </w:r>
    </w:p>
    <w:p w14:paraId="599B9E0C" w14:textId="77777777" w:rsidR="00872C03" w:rsidRPr="00883399" w:rsidRDefault="00872C03" w:rsidP="00872C03">
      <w:pPr>
        <w:pStyle w:val="paragraph"/>
        <w:rPr>
          <w:sz w:val="24"/>
        </w:rPr>
      </w:pPr>
      <w:r w:rsidRPr="00883399">
        <w:rPr>
          <w:sz w:val="24"/>
        </w:rPr>
        <w:tab/>
        <w:t>(a)</w:t>
      </w:r>
      <w:r w:rsidRPr="00883399">
        <w:rPr>
          <w:sz w:val="24"/>
        </w:rPr>
        <w:tab/>
        <w:t>a mean annual temperature that is 20° centigrade or less; and</w:t>
      </w:r>
    </w:p>
    <w:p w14:paraId="420B1BC9" w14:textId="77777777" w:rsidR="00872C03" w:rsidRPr="00883399" w:rsidRDefault="00872C03" w:rsidP="00872C03">
      <w:pPr>
        <w:pStyle w:val="paragraph"/>
        <w:rPr>
          <w:sz w:val="24"/>
        </w:rPr>
      </w:pPr>
      <w:r w:rsidRPr="00883399">
        <w:rPr>
          <w:sz w:val="24"/>
        </w:rPr>
        <w:lastRenderedPageBreak/>
        <w:tab/>
        <w:t>(b)</w:t>
      </w:r>
      <w:r w:rsidRPr="00883399">
        <w:rPr>
          <w:sz w:val="24"/>
        </w:rPr>
        <w:tab/>
        <w:t>a ratio of mean annual precipitation to mean annual evaporation that is greater than 1.</w:t>
      </w:r>
    </w:p>
    <w:p w14:paraId="3F35B74D" w14:textId="77777777" w:rsidR="00872C03" w:rsidRPr="00883399" w:rsidRDefault="00872C03" w:rsidP="00872C03">
      <w:pPr>
        <w:pStyle w:val="Definition0"/>
        <w:rPr>
          <w:sz w:val="24"/>
        </w:rPr>
      </w:pPr>
      <w:r w:rsidRPr="00883399">
        <w:rPr>
          <w:b/>
          <w:i/>
          <w:sz w:val="24"/>
        </w:rPr>
        <w:t>tropical dry</w:t>
      </w:r>
      <w:r w:rsidRPr="00883399">
        <w:rPr>
          <w:sz w:val="24"/>
        </w:rPr>
        <w:t>, for a landfill, means that the landfill has:</w:t>
      </w:r>
    </w:p>
    <w:p w14:paraId="0AC5D12E" w14:textId="77777777" w:rsidR="00872C03" w:rsidRPr="00883399" w:rsidRDefault="00872C03" w:rsidP="00872C03">
      <w:pPr>
        <w:pStyle w:val="paragraph"/>
        <w:rPr>
          <w:sz w:val="24"/>
        </w:rPr>
      </w:pPr>
      <w:r w:rsidRPr="00883399">
        <w:rPr>
          <w:sz w:val="24"/>
        </w:rPr>
        <w:tab/>
        <w:t>(a)</w:t>
      </w:r>
      <w:r w:rsidRPr="00883399">
        <w:rPr>
          <w:sz w:val="24"/>
        </w:rPr>
        <w:tab/>
        <w:t>a mean annual temperature that is greater than 20° centigrade; and</w:t>
      </w:r>
    </w:p>
    <w:p w14:paraId="61F67AC5" w14:textId="77777777" w:rsidR="00872C03" w:rsidRPr="00883399" w:rsidRDefault="00872C03" w:rsidP="00872C03">
      <w:pPr>
        <w:pStyle w:val="paragraph"/>
        <w:rPr>
          <w:sz w:val="24"/>
        </w:rPr>
      </w:pPr>
      <w:r w:rsidRPr="00883399">
        <w:rPr>
          <w:sz w:val="24"/>
        </w:rPr>
        <w:tab/>
        <w:t>(b)</w:t>
      </w:r>
      <w:r w:rsidRPr="00883399">
        <w:rPr>
          <w:sz w:val="24"/>
        </w:rPr>
        <w:tab/>
        <w:t>a mean annual precipitation that is less than 1 000 mm.</w:t>
      </w:r>
    </w:p>
    <w:p w14:paraId="47D0C616" w14:textId="77777777" w:rsidR="00872C03" w:rsidRPr="00883399" w:rsidRDefault="00872C03" w:rsidP="00872C03">
      <w:pPr>
        <w:pStyle w:val="Definition0"/>
        <w:rPr>
          <w:sz w:val="24"/>
        </w:rPr>
      </w:pPr>
      <w:r w:rsidRPr="00883399">
        <w:rPr>
          <w:b/>
          <w:i/>
          <w:sz w:val="24"/>
        </w:rPr>
        <w:t>tropical wet</w:t>
      </w:r>
      <w:r w:rsidRPr="00883399">
        <w:rPr>
          <w:sz w:val="24"/>
        </w:rPr>
        <w:t>, for a landfill, means that the landfill has:</w:t>
      </w:r>
    </w:p>
    <w:p w14:paraId="2F4C10C3" w14:textId="77777777" w:rsidR="00872C03" w:rsidRPr="00883399" w:rsidRDefault="00872C03" w:rsidP="00872C03">
      <w:pPr>
        <w:pStyle w:val="paragraph"/>
        <w:rPr>
          <w:sz w:val="24"/>
        </w:rPr>
      </w:pPr>
      <w:r w:rsidRPr="00883399">
        <w:rPr>
          <w:sz w:val="24"/>
        </w:rPr>
        <w:tab/>
        <w:t>(a)</w:t>
      </w:r>
      <w:r w:rsidRPr="00883399">
        <w:rPr>
          <w:sz w:val="24"/>
        </w:rPr>
        <w:tab/>
        <w:t>a mean annual temperature that is greater than 20° centigrade; and</w:t>
      </w:r>
    </w:p>
    <w:p w14:paraId="142BC95B" w14:textId="77777777" w:rsidR="00872C03" w:rsidRPr="00883399" w:rsidRDefault="00872C03" w:rsidP="00872C03">
      <w:pPr>
        <w:pStyle w:val="paragraph"/>
        <w:rPr>
          <w:sz w:val="24"/>
        </w:rPr>
      </w:pPr>
      <w:r w:rsidRPr="00883399">
        <w:rPr>
          <w:sz w:val="24"/>
        </w:rPr>
        <w:tab/>
        <w:t>(b)</w:t>
      </w:r>
      <w:r w:rsidRPr="00883399">
        <w:rPr>
          <w:sz w:val="24"/>
        </w:rPr>
        <w:tab/>
        <w:t>a mean annual precipitation that is 1 000 mm or more.</w:t>
      </w:r>
    </w:p>
    <w:p w14:paraId="6ED86A98" w14:textId="3D278D15" w:rsidR="00872C03" w:rsidRPr="00883399" w:rsidRDefault="00872C03" w:rsidP="00872C03">
      <w:pPr>
        <w:pStyle w:val="ActHead5"/>
        <w:rPr>
          <w:sz w:val="28"/>
        </w:rPr>
      </w:pPr>
      <w:bookmarkStart w:id="1113" w:name="_Toc423517152"/>
      <w:bookmarkStart w:id="1114" w:name="_Toc495653083"/>
      <w:r w:rsidRPr="00883399">
        <w:rPr>
          <w:rStyle w:val="CharSectno"/>
          <w:sz w:val="28"/>
        </w:rPr>
        <w:t>5.14A</w:t>
      </w:r>
      <w:r w:rsidRPr="00883399">
        <w:rPr>
          <w:sz w:val="28"/>
        </w:rPr>
        <w:t xml:space="preserve">  Fraction of degradable organic carbon dissimilated (DOC</w:t>
      </w:r>
      <w:r w:rsidRPr="00883399">
        <w:rPr>
          <w:sz w:val="28"/>
          <w:vertAlign w:val="subscript"/>
        </w:rPr>
        <w:t>F</w:t>
      </w:r>
      <w:r w:rsidRPr="00883399">
        <w:rPr>
          <w:sz w:val="28"/>
        </w:rPr>
        <w:t>)</w:t>
      </w:r>
      <w:bookmarkEnd w:id="1113"/>
      <w:bookmarkEnd w:id="1114"/>
    </w:p>
    <w:p w14:paraId="7F7E2E71" w14:textId="77777777" w:rsidR="00872C03" w:rsidRPr="00883399" w:rsidRDefault="00872C03" w:rsidP="00872C03">
      <w:pPr>
        <w:pStyle w:val="subsection"/>
        <w:rPr>
          <w:sz w:val="24"/>
        </w:rPr>
      </w:pPr>
      <w:r w:rsidRPr="00883399">
        <w:rPr>
          <w:sz w:val="24"/>
        </w:rPr>
        <w:tab/>
      </w:r>
      <w:r w:rsidRPr="00883399">
        <w:rPr>
          <w:sz w:val="24"/>
        </w:rPr>
        <w:tab/>
        <w:t>For paragraph 5.4A(f), the fraction of organic carbon dissimilated (</w:t>
      </w:r>
      <w:r w:rsidRPr="00883399">
        <w:rPr>
          <w:b/>
          <w:i/>
          <w:sz w:val="24"/>
        </w:rPr>
        <w:t>DOC</w:t>
      </w:r>
      <w:r w:rsidRPr="00883399">
        <w:rPr>
          <w:b/>
          <w:i/>
          <w:sz w:val="24"/>
          <w:vertAlign w:val="subscript"/>
        </w:rPr>
        <w:t>F</w:t>
      </w:r>
      <w:r w:rsidRPr="00883399">
        <w:rPr>
          <w:sz w:val="24"/>
        </w:rPr>
        <w:t>) for a waste mix type mentioned in column 2 of an item of following the table is the value mentioned in column 3 for the item.</w:t>
      </w:r>
    </w:p>
    <w:p w14:paraId="26C8B48A" w14:textId="77777777" w:rsidR="00872C03" w:rsidRPr="00883399" w:rsidRDefault="00872C03" w:rsidP="00872C03">
      <w:pPr>
        <w:pStyle w:val="Tabletext0"/>
        <w:rPr>
          <w:sz w:val="22"/>
        </w:rPr>
      </w:pPr>
    </w:p>
    <w:tbl>
      <w:tblPr>
        <w:tblW w:w="7433" w:type="dxa"/>
        <w:tblInd w:w="108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58"/>
        <w:gridCol w:w="5459"/>
        <w:gridCol w:w="1316"/>
      </w:tblGrid>
      <w:tr w:rsidR="00872C03" w:rsidRPr="00883399" w14:paraId="30BE0EFC" w14:textId="77777777" w:rsidTr="0031057E">
        <w:trPr>
          <w:tblHeader/>
        </w:trPr>
        <w:tc>
          <w:tcPr>
            <w:tcW w:w="658" w:type="dxa"/>
            <w:tcBorders>
              <w:top w:val="single" w:sz="12" w:space="0" w:color="auto"/>
              <w:bottom w:val="single" w:sz="12" w:space="0" w:color="auto"/>
            </w:tcBorders>
            <w:shd w:val="clear" w:color="auto" w:fill="auto"/>
            <w:hideMark/>
          </w:tcPr>
          <w:p w14:paraId="7CC2E5F9" w14:textId="77777777" w:rsidR="00872C03" w:rsidRPr="00883399" w:rsidRDefault="00872C03" w:rsidP="0031057E">
            <w:pPr>
              <w:pStyle w:val="TableHeading"/>
              <w:rPr>
                <w:sz w:val="22"/>
              </w:rPr>
            </w:pPr>
            <w:r w:rsidRPr="00883399">
              <w:rPr>
                <w:sz w:val="22"/>
              </w:rPr>
              <w:t>Item</w:t>
            </w:r>
          </w:p>
        </w:tc>
        <w:tc>
          <w:tcPr>
            <w:tcW w:w="5459" w:type="dxa"/>
            <w:tcBorders>
              <w:top w:val="single" w:sz="12" w:space="0" w:color="auto"/>
              <w:bottom w:val="single" w:sz="12" w:space="0" w:color="auto"/>
            </w:tcBorders>
            <w:shd w:val="clear" w:color="auto" w:fill="auto"/>
            <w:hideMark/>
          </w:tcPr>
          <w:p w14:paraId="5BFD8B79" w14:textId="77777777" w:rsidR="00872C03" w:rsidRPr="00883399" w:rsidRDefault="00872C03" w:rsidP="0031057E">
            <w:pPr>
              <w:pStyle w:val="TableHeading"/>
              <w:rPr>
                <w:sz w:val="22"/>
              </w:rPr>
            </w:pPr>
            <w:r w:rsidRPr="00883399">
              <w:rPr>
                <w:sz w:val="22"/>
              </w:rPr>
              <w:t>Waste mix type</w:t>
            </w:r>
          </w:p>
        </w:tc>
        <w:tc>
          <w:tcPr>
            <w:tcW w:w="1316" w:type="dxa"/>
            <w:tcBorders>
              <w:top w:val="single" w:sz="12" w:space="0" w:color="auto"/>
              <w:bottom w:val="single" w:sz="12" w:space="0" w:color="auto"/>
            </w:tcBorders>
            <w:shd w:val="clear" w:color="auto" w:fill="auto"/>
            <w:hideMark/>
          </w:tcPr>
          <w:p w14:paraId="28DC9147" w14:textId="77777777" w:rsidR="00872C03" w:rsidRPr="00883399" w:rsidRDefault="00872C03" w:rsidP="0031057E">
            <w:pPr>
              <w:pStyle w:val="TableHeading"/>
              <w:rPr>
                <w:sz w:val="22"/>
              </w:rPr>
            </w:pPr>
            <w:r w:rsidRPr="00883399">
              <w:rPr>
                <w:sz w:val="22"/>
              </w:rPr>
              <w:t>DOC</w:t>
            </w:r>
            <w:r w:rsidRPr="00883399">
              <w:rPr>
                <w:rFonts w:ascii="Arial Bold" w:hAnsi="Arial Bold"/>
                <w:sz w:val="22"/>
                <w:vertAlign w:val="subscript"/>
              </w:rPr>
              <w:t>F</w:t>
            </w:r>
            <w:r w:rsidRPr="00883399">
              <w:rPr>
                <w:sz w:val="22"/>
              </w:rPr>
              <w:t xml:space="preserve"> value</w:t>
            </w:r>
          </w:p>
        </w:tc>
      </w:tr>
      <w:tr w:rsidR="00872C03" w:rsidRPr="00883399" w14:paraId="3625DBCC" w14:textId="77777777" w:rsidTr="0031057E">
        <w:tc>
          <w:tcPr>
            <w:tcW w:w="658" w:type="dxa"/>
            <w:tcBorders>
              <w:top w:val="single" w:sz="12" w:space="0" w:color="auto"/>
            </w:tcBorders>
            <w:shd w:val="clear" w:color="auto" w:fill="auto"/>
            <w:hideMark/>
          </w:tcPr>
          <w:p w14:paraId="0651AA40" w14:textId="77777777" w:rsidR="00872C03" w:rsidRPr="00883399" w:rsidRDefault="00872C03" w:rsidP="0031057E">
            <w:pPr>
              <w:pStyle w:val="Tabletext0"/>
              <w:rPr>
                <w:sz w:val="22"/>
              </w:rPr>
            </w:pPr>
            <w:r w:rsidRPr="00883399">
              <w:rPr>
                <w:sz w:val="22"/>
              </w:rPr>
              <w:t>1</w:t>
            </w:r>
          </w:p>
        </w:tc>
        <w:tc>
          <w:tcPr>
            <w:tcW w:w="5459" w:type="dxa"/>
            <w:tcBorders>
              <w:top w:val="single" w:sz="12" w:space="0" w:color="auto"/>
            </w:tcBorders>
            <w:shd w:val="clear" w:color="auto" w:fill="auto"/>
            <w:hideMark/>
          </w:tcPr>
          <w:p w14:paraId="05FCFE6B" w14:textId="77777777" w:rsidR="00872C03" w:rsidRPr="00883399" w:rsidRDefault="00872C03" w:rsidP="0031057E">
            <w:pPr>
              <w:pStyle w:val="Tabletext0"/>
              <w:rPr>
                <w:sz w:val="22"/>
              </w:rPr>
            </w:pPr>
            <w:r w:rsidRPr="00883399">
              <w:rPr>
                <w:sz w:val="22"/>
              </w:rPr>
              <w:t>Food</w:t>
            </w:r>
          </w:p>
        </w:tc>
        <w:tc>
          <w:tcPr>
            <w:tcW w:w="1316" w:type="dxa"/>
            <w:tcBorders>
              <w:top w:val="single" w:sz="12" w:space="0" w:color="auto"/>
            </w:tcBorders>
            <w:shd w:val="clear" w:color="auto" w:fill="auto"/>
            <w:hideMark/>
          </w:tcPr>
          <w:p w14:paraId="55B905F1" w14:textId="77777777" w:rsidR="00872C03" w:rsidRPr="00883399" w:rsidRDefault="00872C03" w:rsidP="0031057E">
            <w:pPr>
              <w:pStyle w:val="Tabletext0"/>
              <w:rPr>
                <w:sz w:val="22"/>
              </w:rPr>
            </w:pPr>
            <w:r w:rsidRPr="00883399">
              <w:rPr>
                <w:sz w:val="22"/>
              </w:rPr>
              <w:t>0.84</w:t>
            </w:r>
          </w:p>
        </w:tc>
      </w:tr>
      <w:tr w:rsidR="00872C03" w:rsidRPr="00883399" w14:paraId="5C0708E8" w14:textId="77777777" w:rsidTr="0031057E">
        <w:tc>
          <w:tcPr>
            <w:tcW w:w="658" w:type="dxa"/>
            <w:shd w:val="clear" w:color="auto" w:fill="auto"/>
            <w:hideMark/>
          </w:tcPr>
          <w:p w14:paraId="656DF481" w14:textId="77777777" w:rsidR="00872C03" w:rsidRPr="00883399" w:rsidRDefault="00872C03" w:rsidP="0031057E">
            <w:pPr>
              <w:pStyle w:val="Tabletext0"/>
              <w:rPr>
                <w:sz w:val="22"/>
              </w:rPr>
            </w:pPr>
            <w:r w:rsidRPr="00883399">
              <w:rPr>
                <w:sz w:val="22"/>
              </w:rPr>
              <w:t>2</w:t>
            </w:r>
          </w:p>
        </w:tc>
        <w:tc>
          <w:tcPr>
            <w:tcW w:w="5459" w:type="dxa"/>
            <w:shd w:val="clear" w:color="auto" w:fill="auto"/>
            <w:hideMark/>
          </w:tcPr>
          <w:p w14:paraId="4649D912" w14:textId="77777777" w:rsidR="00872C03" w:rsidRPr="00883399" w:rsidRDefault="00872C03" w:rsidP="0031057E">
            <w:pPr>
              <w:pStyle w:val="Tabletext0"/>
              <w:rPr>
                <w:sz w:val="22"/>
              </w:rPr>
            </w:pPr>
            <w:r w:rsidRPr="00883399">
              <w:rPr>
                <w:sz w:val="22"/>
              </w:rPr>
              <w:t>Paper and cardboard</w:t>
            </w:r>
          </w:p>
        </w:tc>
        <w:tc>
          <w:tcPr>
            <w:tcW w:w="1316" w:type="dxa"/>
            <w:shd w:val="clear" w:color="auto" w:fill="auto"/>
            <w:hideMark/>
          </w:tcPr>
          <w:p w14:paraId="1A196A13" w14:textId="77777777" w:rsidR="00872C03" w:rsidRPr="00883399" w:rsidRDefault="00872C03" w:rsidP="0031057E">
            <w:pPr>
              <w:pStyle w:val="Tabletext0"/>
              <w:rPr>
                <w:sz w:val="22"/>
              </w:rPr>
            </w:pPr>
            <w:r w:rsidRPr="00883399">
              <w:rPr>
                <w:sz w:val="22"/>
              </w:rPr>
              <w:t>0.49</w:t>
            </w:r>
          </w:p>
        </w:tc>
      </w:tr>
      <w:tr w:rsidR="00872C03" w:rsidRPr="00883399" w14:paraId="49A2A907" w14:textId="77777777" w:rsidTr="0031057E">
        <w:tc>
          <w:tcPr>
            <w:tcW w:w="658" w:type="dxa"/>
            <w:shd w:val="clear" w:color="auto" w:fill="auto"/>
            <w:hideMark/>
          </w:tcPr>
          <w:p w14:paraId="14ED9A5B" w14:textId="77777777" w:rsidR="00872C03" w:rsidRPr="00883399" w:rsidRDefault="00872C03" w:rsidP="0031057E">
            <w:pPr>
              <w:pStyle w:val="Tabletext0"/>
              <w:rPr>
                <w:sz w:val="22"/>
              </w:rPr>
            </w:pPr>
            <w:r w:rsidRPr="00883399">
              <w:rPr>
                <w:sz w:val="22"/>
              </w:rPr>
              <w:t>3</w:t>
            </w:r>
          </w:p>
        </w:tc>
        <w:tc>
          <w:tcPr>
            <w:tcW w:w="5459" w:type="dxa"/>
            <w:shd w:val="clear" w:color="auto" w:fill="auto"/>
            <w:hideMark/>
          </w:tcPr>
          <w:p w14:paraId="7A474203" w14:textId="77777777" w:rsidR="00872C03" w:rsidRPr="00883399" w:rsidRDefault="00872C03" w:rsidP="0031057E">
            <w:pPr>
              <w:pStyle w:val="Tabletext0"/>
              <w:rPr>
                <w:sz w:val="22"/>
              </w:rPr>
            </w:pPr>
            <w:r w:rsidRPr="00883399">
              <w:rPr>
                <w:sz w:val="22"/>
              </w:rPr>
              <w:t>Garden and green</w:t>
            </w:r>
          </w:p>
        </w:tc>
        <w:tc>
          <w:tcPr>
            <w:tcW w:w="1316" w:type="dxa"/>
            <w:shd w:val="clear" w:color="auto" w:fill="auto"/>
            <w:hideMark/>
          </w:tcPr>
          <w:p w14:paraId="1ABC6CB2" w14:textId="77777777" w:rsidR="00872C03" w:rsidRPr="00883399" w:rsidRDefault="00872C03" w:rsidP="0031057E">
            <w:pPr>
              <w:pStyle w:val="Tabletext0"/>
              <w:rPr>
                <w:sz w:val="22"/>
              </w:rPr>
            </w:pPr>
            <w:r w:rsidRPr="00883399">
              <w:rPr>
                <w:sz w:val="22"/>
              </w:rPr>
              <w:t>0.47</w:t>
            </w:r>
          </w:p>
        </w:tc>
      </w:tr>
      <w:tr w:rsidR="00872C03" w:rsidRPr="00883399" w14:paraId="157905F2" w14:textId="77777777" w:rsidTr="0031057E">
        <w:tc>
          <w:tcPr>
            <w:tcW w:w="658" w:type="dxa"/>
            <w:shd w:val="clear" w:color="auto" w:fill="auto"/>
            <w:hideMark/>
          </w:tcPr>
          <w:p w14:paraId="003B4C83" w14:textId="77777777" w:rsidR="00872C03" w:rsidRPr="00883399" w:rsidRDefault="00872C03" w:rsidP="0031057E">
            <w:pPr>
              <w:pStyle w:val="Tabletext0"/>
              <w:rPr>
                <w:sz w:val="22"/>
              </w:rPr>
            </w:pPr>
            <w:r w:rsidRPr="00883399">
              <w:rPr>
                <w:sz w:val="22"/>
              </w:rPr>
              <w:t>4</w:t>
            </w:r>
          </w:p>
        </w:tc>
        <w:tc>
          <w:tcPr>
            <w:tcW w:w="5459" w:type="dxa"/>
            <w:shd w:val="clear" w:color="auto" w:fill="auto"/>
            <w:hideMark/>
          </w:tcPr>
          <w:p w14:paraId="7DF2DE54" w14:textId="77777777" w:rsidR="00872C03" w:rsidRPr="00883399" w:rsidRDefault="00872C03" w:rsidP="0031057E">
            <w:pPr>
              <w:pStyle w:val="Tabletext0"/>
              <w:rPr>
                <w:sz w:val="22"/>
              </w:rPr>
            </w:pPr>
            <w:r w:rsidRPr="00883399">
              <w:rPr>
                <w:sz w:val="22"/>
              </w:rPr>
              <w:t>Wood</w:t>
            </w:r>
          </w:p>
        </w:tc>
        <w:tc>
          <w:tcPr>
            <w:tcW w:w="1316" w:type="dxa"/>
            <w:shd w:val="clear" w:color="auto" w:fill="auto"/>
            <w:hideMark/>
          </w:tcPr>
          <w:p w14:paraId="69484B2E" w14:textId="77777777" w:rsidR="00872C03" w:rsidRPr="00883399" w:rsidRDefault="00872C03" w:rsidP="0031057E">
            <w:pPr>
              <w:pStyle w:val="Tabletext0"/>
              <w:rPr>
                <w:sz w:val="22"/>
              </w:rPr>
            </w:pPr>
            <w:r w:rsidRPr="00883399">
              <w:rPr>
                <w:sz w:val="22"/>
              </w:rPr>
              <w:t>0.23</w:t>
            </w:r>
          </w:p>
        </w:tc>
      </w:tr>
      <w:tr w:rsidR="00872C03" w:rsidRPr="00883399" w14:paraId="6C9D4323" w14:textId="77777777" w:rsidTr="0031057E">
        <w:tc>
          <w:tcPr>
            <w:tcW w:w="658" w:type="dxa"/>
            <w:shd w:val="clear" w:color="auto" w:fill="auto"/>
            <w:hideMark/>
          </w:tcPr>
          <w:p w14:paraId="5EE5CD69" w14:textId="77777777" w:rsidR="00872C03" w:rsidRPr="00883399" w:rsidRDefault="00872C03" w:rsidP="0031057E">
            <w:pPr>
              <w:pStyle w:val="Tabletext0"/>
              <w:rPr>
                <w:sz w:val="22"/>
              </w:rPr>
            </w:pPr>
            <w:r w:rsidRPr="00883399">
              <w:rPr>
                <w:sz w:val="22"/>
              </w:rPr>
              <w:t>5</w:t>
            </w:r>
          </w:p>
        </w:tc>
        <w:tc>
          <w:tcPr>
            <w:tcW w:w="5459" w:type="dxa"/>
            <w:shd w:val="clear" w:color="auto" w:fill="auto"/>
            <w:hideMark/>
          </w:tcPr>
          <w:p w14:paraId="31060D56" w14:textId="77777777" w:rsidR="00872C03" w:rsidRPr="00883399" w:rsidRDefault="00872C03" w:rsidP="0031057E">
            <w:pPr>
              <w:pStyle w:val="Tabletext0"/>
              <w:rPr>
                <w:sz w:val="22"/>
              </w:rPr>
            </w:pPr>
            <w:r w:rsidRPr="00883399">
              <w:rPr>
                <w:sz w:val="22"/>
              </w:rPr>
              <w:t>Textiles</w:t>
            </w:r>
          </w:p>
        </w:tc>
        <w:tc>
          <w:tcPr>
            <w:tcW w:w="1316" w:type="dxa"/>
            <w:shd w:val="clear" w:color="auto" w:fill="auto"/>
            <w:hideMark/>
          </w:tcPr>
          <w:p w14:paraId="503A6E10" w14:textId="77777777" w:rsidR="00872C03" w:rsidRPr="00883399" w:rsidRDefault="00872C03" w:rsidP="0031057E">
            <w:pPr>
              <w:pStyle w:val="Tabletext0"/>
              <w:rPr>
                <w:sz w:val="22"/>
              </w:rPr>
            </w:pPr>
            <w:r w:rsidRPr="00883399">
              <w:rPr>
                <w:sz w:val="22"/>
              </w:rPr>
              <w:t>0.50</w:t>
            </w:r>
          </w:p>
        </w:tc>
      </w:tr>
      <w:tr w:rsidR="00872C03" w:rsidRPr="00883399" w14:paraId="43478F3E" w14:textId="77777777" w:rsidTr="0031057E">
        <w:tc>
          <w:tcPr>
            <w:tcW w:w="658" w:type="dxa"/>
            <w:shd w:val="clear" w:color="auto" w:fill="auto"/>
            <w:hideMark/>
          </w:tcPr>
          <w:p w14:paraId="6825820F" w14:textId="77777777" w:rsidR="00872C03" w:rsidRPr="00883399" w:rsidRDefault="00872C03" w:rsidP="0031057E">
            <w:pPr>
              <w:pStyle w:val="Tabletext0"/>
              <w:rPr>
                <w:sz w:val="22"/>
              </w:rPr>
            </w:pPr>
            <w:r w:rsidRPr="00883399">
              <w:rPr>
                <w:sz w:val="22"/>
              </w:rPr>
              <w:t>6</w:t>
            </w:r>
          </w:p>
        </w:tc>
        <w:tc>
          <w:tcPr>
            <w:tcW w:w="5459" w:type="dxa"/>
            <w:shd w:val="clear" w:color="auto" w:fill="auto"/>
            <w:hideMark/>
          </w:tcPr>
          <w:p w14:paraId="01FB6C78" w14:textId="77777777" w:rsidR="00872C03" w:rsidRPr="00883399" w:rsidRDefault="00872C03" w:rsidP="0031057E">
            <w:pPr>
              <w:pStyle w:val="Tabletext0"/>
              <w:rPr>
                <w:sz w:val="22"/>
              </w:rPr>
            </w:pPr>
            <w:r w:rsidRPr="00883399">
              <w:rPr>
                <w:sz w:val="22"/>
              </w:rPr>
              <w:t>Sludge</w:t>
            </w:r>
          </w:p>
        </w:tc>
        <w:tc>
          <w:tcPr>
            <w:tcW w:w="1316" w:type="dxa"/>
            <w:shd w:val="clear" w:color="auto" w:fill="auto"/>
            <w:hideMark/>
          </w:tcPr>
          <w:p w14:paraId="257CE41A" w14:textId="77777777" w:rsidR="00872C03" w:rsidRPr="00883399" w:rsidRDefault="00872C03" w:rsidP="0031057E">
            <w:pPr>
              <w:pStyle w:val="Tabletext0"/>
              <w:rPr>
                <w:sz w:val="22"/>
              </w:rPr>
            </w:pPr>
            <w:r w:rsidRPr="00883399">
              <w:rPr>
                <w:sz w:val="22"/>
              </w:rPr>
              <w:t>0.50</w:t>
            </w:r>
          </w:p>
        </w:tc>
      </w:tr>
      <w:tr w:rsidR="00872C03" w:rsidRPr="00883399" w14:paraId="4E3CAC9E" w14:textId="77777777" w:rsidTr="0031057E">
        <w:tc>
          <w:tcPr>
            <w:tcW w:w="658" w:type="dxa"/>
            <w:shd w:val="clear" w:color="auto" w:fill="auto"/>
            <w:hideMark/>
          </w:tcPr>
          <w:p w14:paraId="2B4F072E" w14:textId="77777777" w:rsidR="00872C03" w:rsidRPr="00883399" w:rsidRDefault="00872C03" w:rsidP="0031057E">
            <w:pPr>
              <w:pStyle w:val="Tabletext0"/>
              <w:rPr>
                <w:sz w:val="22"/>
              </w:rPr>
            </w:pPr>
            <w:r w:rsidRPr="00883399">
              <w:rPr>
                <w:sz w:val="22"/>
              </w:rPr>
              <w:t>7</w:t>
            </w:r>
          </w:p>
        </w:tc>
        <w:tc>
          <w:tcPr>
            <w:tcW w:w="5459" w:type="dxa"/>
            <w:shd w:val="clear" w:color="auto" w:fill="auto"/>
            <w:hideMark/>
          </w:tcPr>
          <w:p w14:paraId="11D33865" w14:textId="77777777" w:rsidR="00872C03" w:rsidRPr="00883399" w:rsidRDefault="00872C03" w:rsidP="0031057E">
            <w:pPr>
              <w:pStyle w:val="Tabletext0"/>
              <w:rPr>
                <w:sz w:val="22"/>
              </w:rPr>
            </w:pPr>
            <w:r w:rsidRPr="00883399">
              <w:rPr>
                <w:sz w:val="22"/>
              </w:rPr>
              <w:t>Nappies</w:t>
            </w:r>
          </w:p>
        </w:tc>
        <w:tc>
          <w:tcPr>
            <w:tcW w:w="1316" w:type="dxa"/>
            <w:shd w:val="clear" w:color="auto" w:fill="auto"/>
            <w:hideMark/>
          </w:tcPr>
          <w:p w14:paraId="6F273582" w14:textId="77777777" w:rsidR="00872C03" w:rsidRPr="00883399" w:rsidRDefault="00872C03" w:rsidP="0031057E">
            <w:pPr>
              <w:pStyle w:val="Tabletext0"/>
              <w:rPr>
                <w:sz w:val="22"/>
              </w:rPr>
            </w:pPr>
            <w:r w:rsidRPr="00883399">
              <w:rPr>
                <w:sz w:val="22"/>
              </w:rPr>
              <w:t>0.50</w:t>
            </w:r>
          </w:p>
        </w:tc>
      </w:tr>
      <w:tr w:rsidR="00872C03" w:rsidRPr="00883399" w14:paraId="0DE8E3B9" w14:textId="77777777" w:rsidTr="0031057E">
        <w:tc>
          <w:tcPr>
            <w:tcW w:w="658" w:type="dxa"/>
            <w:tcBorders>
              <w:bottom w:val="single" w:sz="4" w:space="0" w:color="auto"/>
            </w:tcBorders>
            <w:shd w:val="clear" w:color="auto" w:fill="auto"/>
            <w:hideMark/>
          </w:tcPr>
          <w:p w14:paraId="08B714ED" w14:textId="77777777" w:rsidR="00872C03" w:rsidRPr="00883399" w:rsidRDefault="00872C03" w:rsidP="0031057E">
            <w:pPr>
              <w:pStyle w:val="Tabletext0"/>
              <w:rPr>
                <w:sz w:val="22"/>
              </w:rPr>
            </w:pPr>
            <w:r w:rsidRPr="00883399">
              <w:rPr>
                <w:sz w:val="22"/>
              </w:rPr>
              <w:t>8</w:t>
            </w:r>
          </w:p>
        </w:tc>
        <w:tc>
          <w:tcPr>
            <w:tcW w:w="5459" w:type="dxa"/>
            <w:tcBorders>
              <w:bottom w:val="single" w:sz="4" w:space="0" w:color="auto"/>
            </w:tcBorders>
            <w:shd w:val="clear" w:color="auto" w:fill="auto"/>
            <w:hideMark/>
          </w:tcPr>
          <w:p w14:paraId="72AA6E4F" w14:textId="77777777" w:rsidR="00872C03" w:rsidRPr="00883399" w:rsidRDefault="00872C03" w:rsidP="0031057E">
            <w:pPr>
              <w:pStyle w:val="Tabletext0"/>
              <w:rPr>
                <w:sz w:val="22"/>
              </w:rPr>
            </w:pPr>
            <w:r w:rsidRPr="00883399">
              <w:rPr>
                <w:sz w:val="22"/>
              </w:rPr>
              <w:t>Rubber and leather</w:t>
            </w:r>
          </w:p>
        </w:tc>
        <w:tc>
          <w:tcPr>
            <w:tcW w:w="1316" w:type="dxa"/>
            <w:tcBorders>
              <w:bottom w:val="single" w:sz="4" w:space="0" w:color="auto"/>
            </w:tcBorders>
            <w:shd w:val="clear" w:color="auto" w:fill="auto"/>
            <w:hideMark/>
          </w:tcPr>
          <w:p w14:paraId="0F56BEF8" w14:textId="77777777" w:rsidR="00872C03" w:rsidRPr="00883399" w:rsidRDefault="00872C03" w:rsidP="0031057E">
            <w:pPr>
              <w:pStyle w:val="Tabletext0"/>
              <w:rPr>
                <w:sz w:val="22"/>
              </w:rPr>
            </w:pPr>
            <w:r w:rsidRPr="00883399">
              <w:rPr>
                <w:sz w:val="22"/>
              </w:rPr>
              <w:t>0.50</w:t>
            </w:r>
          </w:p>
        </w:tc>
      </w:tr>
      <w:tr w:rsidR="00872C03" w:rsidRPr="00883399" w14:paraId="278785A2" w14:textId="77777777" w:rsidTr="0031057E">
        <w:tc>
          <w:tcPr>
            <w:tcW w:w="658" w:type="dxa"/>
            <w:shd w:val="clear" w:color="auto" w:fill="auto"/>
            <w:hideMark/>
          </w:tcPr>
          <w:p w14:paraId="3A74E974" w14:textId="77777777" w:rsidR="00872C03" w:rsidRPr="00883399" w:rsidRDefault="00872C03" w:rsidP="0031057E">
            <w:pPr>
              <w:pStyle w:val="Tabletext0"/>
              <w:rPr>
                <w:sz w:val="22"/>
              </w:rPr>
            </w:pPr>
            <w:r w:rsidRPr="00883399">
              <w:rPr>
                <w:sz w:val="22"/>
              </w:rPr>
              <w:t>9</w:t>
            </w:r>
          </w:p>
        </w:tc>
        <w:tc>
          <w:tcPr>
            <w:tcW w:w="5459" w:type="dxa"/>
            <w:shd w:val="clear" w:color="auto" w:fill="auto"/>
            <w:hideMark/>
          </w:tcPr>
          <w:p w14:paraId="322CD84A" w14:textId="77777777" w:rsidR="00872C03" w:rsidRPr="00883399" w:rsidRDefault="00872C03" w:rsidP="0031057E">
            <w:pPr>
              <w:pStyle w:val="Tabletext0"/>
              <w:rPr>
                <w:sz w:val="22"/>
              </w:rPr>
            </w:pPr>
            <w:r w:rsidRPr="00883399">
              <w:rPr>
                <w:sz w:val="22"/>
              </w:rPr>
              <w:t>Inert waste</w:t>
            </w:r>
          </w:p>
        </w:tc>
        <w:tc>
          <w:tcPr>
            <w:tcW w:w="1316" w:type="dxa"/>
            <w:shd w:val="clear" w:color="auto" w:fill="auto"/>
            <w:hideMark/>
          </w:tcPr>
          <w:p w14:paraId="7D725DDB" w14:textId="77777777" w:rsidR="00872C03" w:rsidRPr="00883399" w:rsidRDefault="00872C03" w:rsidP="0031057E">
            <w:pPr>
              <w:pStyle w:val="Tabletext0"/>
              <w:rPr>
                <w:sz w:val="22"/>
              </w:rPr>
            </w:pPr>
            <w:r w:rsidRPr="00883399">
              <w:rPr>
                <w:sz w:val="22"/>
              </w:rPr>
              <w:t>0.00</w:t>
            </w:r>
          </w:p>
        </w:tc>
      </w:tr>
      <w:tr w:rsidR="00872C03" w:rsidRPr="00883399" w14:paraId="34A92CA4" w14:textId="77777777" w:rsidTr="0031057E">
        <w:tc>
          <w:tcPr>
            <w:tcW w:w="658" w:type="dxa"/>
            <w:tcBorders>
              <w:bottom w:val="single" w:sz="12" w:space="0" w:color="auto"/>
            </w:tcBorders>
            <w:shd w:val="clear" w:color="auto" w:fill="auto"/>
          </w:tcPr>
          <w:p w14:paraId="151E610F" w14:textId="77777777" w:rsidR="00872C03" w:rsidRPr="00883399" w:rsidRDefault="00872C03" w:rsidP="0031057E">
            <w:pPr>
              <w:pStyle w:val="Tabletext0"/>
              <w:rPr>
                <w:sz w:val="22"/>
              </w:rPr>
            </w:pPr>
            <w:r w:rsidRPr="00883399">
              <w:rPr>
                <w:sz w:val="22"/>
              </w:rPr>
              <w:t>10</w:t>
            </w:r>
          </w:p>
        </w:tc>
        <w:tc>
          <w:tcPr>
            <w:tcW w:w="5459" w:type="dxa"/>
            <w:tcBorders>
              <w:bottom w:val="single" w:sz="12" w:space="0" w:color="auto"/>
            </w:tcBorders>
            <w:shd w:val="clear" w:color="auto" w:fill="auto"/>
          </w:tcPr>
          <w:p w14:paraId="497E41AF" w14:textId="77777777" w:rsidR="00872C03" w:rsidRPr="00883399" w:rsidDel="00EA45EE" w:rsidRDefault="00872C03" w:rsidP="0031057E">
            <w:pPr>
              <w:pStyle w:val="Tabletext0"/>
              <w:rPr>
                <w:sz w:val="22"/>
              </w:rPr>
            </w:pPr>
            <w:r w:rsidRPr="00883399">
              <w:rPr>
                <w:sz w:val="22"/>
              </w:rPr>
              <w:t>Alternative waste treatment residues</w:t>
            </w:r>
          </w:p>
        </w:tc>
        <w:tc>
          <w:tcPr>
            <w:tcW w:w="1316" w:type="dxa"/>
            <w:tcBorders>
              <w:bottom w:val="single" w:sz="12" w:space="0" w:color="auto"/>
            </w:tcBorders>
            <w:shd w:val="clear" w:color="auto" w:fill="auto"/>
          </w:tcPr>
          <w:p w14:paraId="0BAAAA1F" w14:textId="77777777" w:rsidR="00682A5B" w:rsidRPr="00883399" w:rsidRDefault="00872C03" w:rsidP="0031057E">
            <w:pPr>
              <w:pStyle w:val="Tabletext0"/>
              <w:rPr>
                <w:sz w:val="22"/>
              </w:rPr>
            </w:pPr>
            <w:r w:rsidRPr="00883399">
              <w:rPr>
                <w:sz w:val="22"/>
              </w:rPr>
              <w:t>0.50</w:t>
            </w:r>
          </w:p>
          <w:p w14:paraId="2D4D2F0B" w14:textId="77777777" w:rsidR="0062566C" w:rsidRPr="00883399" w:rsidRDefault="0062566C" w:rsidP="0031057E">
            <w:pPr>
              <w:pStyle w:val="Tabletext0"/>
              <w:rPr>
                <w:sz w:val="22"/>
              </w:rPr>
            </w:pPr>
          </w:p>
          <w:p w14:paraId="0512934A" w14:textId="77777777" w:rsidR="0062566C" w:rsidRPr="00883399" w:rsidRDefault="0062566C" w:rsidP="0031057E">
            <w:pPr>
              <w:pStyle w:val="Tabletext0"/>
              <w:rPr>
                <w:sz w:val="22"/>
              </w:rPr>
            </w:pPr>
          </w:p>
        </w:tc>
      </w:tr>
    </w:tbl>
    <w:p w14:paraId="5922503D" w14:textId="77777777" w:rsidR="00682A5B" w:rsidRPr="00883399" w:rsidRDefault="00682A5B" w:rsidP="00682A5B">
      <w:pPr>
        <w:pBdr>
          <w:top w:val="single" w:sz="4" w:space="1" w:color="auto"/>
          <w:left w:val="single" w:sz="4" w:space="4" w:color="auto"/>
          <w:bottom w:val="single" w:sz="4" w:space="1" w:color="auto"/>
          <w:right w:val="single" w:sz="4" w:space="4" w:color="auto"/>
        </w:pBdr>
        <w:ind w:left="993"/>
        <w:outlineLvl w:val="0"/>
        <w:rPr>
          <w:b/>
          <w:sz w:val="22"/>
          <w:szCs w:val="22"/>
        </w:rPr>
      </w:pPr>
      <w:bookmarkStart w:id="1115" w:name="_Toc423517153"/>
      <w:r w:rsidRPr="00883399">
        <w:rPr>
          <w:b/>
          <w:sz w:val="22"/>
          <w:szCs w:val="22"/>
        </w:rPr>
        <w:t>Example: Calculation of emissions from solid waste disposal</w:t>
      </w:r>
    </w:p>
    <w:p w14:paraId="146D2B00" w14:textId="77777777" w:rsidR="00682A5B" w:rsidRPr="00883399" w:rsidRDefault="00682A5B" w:rsidP="00682A5B">
      <w:pPr>
        <w:pBdr>
          <w:top w:val="single" w:sz="4" w:space="1" w:color="auto"/>
          <w:left w:val="single" w:sz="4" w:space="4" w:color="auto"/>
          <w:bottom w:val="single" w:sz="4" w:space="1" w:color="auto"/>
          <w:right w:val="single" w:sz="4" w:space="4" w:color="auto"/>
        </w:pBdr>
        <w:ind w:left="993"/>
        <w:rPr>
          <w:sz w:val="22"/>
          <w:szCs w:val="22"/>
        </w:rPr>
      </w:pPr>
      <w:r w:rsidRPr="00883399">
        <w:rPr>
          <w:sz w:val="22"/>
          <w:szCs w:val="22"/>
        </w:rPr>
        <w:t>A facility constituted by a managed landfill accepting municipal solid waste uses the IPCC FOD model to determine that the emissions (CH</w:t>
      </w:r>
      <w:r w:rsidRPr="00883399">
        <w:rPr>
          <w:sz w:val="22"/>
          <w:szCs w:val="22"/>
          <w:vertAlign w:val="subscript"/>
        </w:rPr>
        <w:t>4 gen</w:t>
      </w:r>
      <w:r w:rsidRPr="00883399">
        <w:rPr>
          <w:sz w:val="22"/>
          <w:szCs w:val="22"/>
        </w:rPr>
        <w:t>) from the facility are 28,493 tonnes of CO</w:t>
      </w:r>
      <w:r w:rsidRPr="00883399">
        <w:rPr>
          <w:sz w:val="22"/>
          <w:szCs w:val="22"/>
          <w:vertAlign w:val="subscript"/>
        </w:rPr>
        <w:t>2</w:t>
      </w:r>
      <w:r w:rsidRPr="00883399">
        <w:rPr>
          <w:sz w:val="22"/>
          <w:szCs w:val="22"/>
        </w:rPr>
        <w:t>-e during the year. Additionally 1,000,000 m</w:t>
      </w:r>
      <w:r w:rsidRPr="00883399">
        <w:rPr>
          <w:sz w:val="22"/>
          <w:szCs w:val="22"/>
          <w:vertAlign w:val="superscript"/>
        </w:rPr>
        <w:t>3</w:t>
      </w:r>
      <w:r w:rsidRPr="00883399">
        <w:rPr>
          <w:sz w:val="22"/>
          <w:szCs w:val="22"/>
        </w:rPr>
        <w:t xml:space="preserve"> of methane has been captured at the facility (Q</w:t>
      </w:r>
      <w:r w:rsidRPr="00883399">
        <w:rPr>
          <w:sz w:val="22"/>
          <w:szCs w:val="22"/>
          <w:vertAlign w:val="subscript"/>
        </w:rPr>
        <w:t>cap</w:t>
      </w:r>
      <w:r w:rsidRPr="00883399">
        <w:rPr>
          <w:sz w:val="22"/>
          <w:szCs w:val="22"/>
        </w:rPr>
        <w:t xml:space="preserve">) during the year for combustion.  On this basis </w:t>
      </w:r>
      <w:r w:rsidRPr="00883399">
        <w:rPr>
          <w:b/>
          <w:sz w:val="22"/>
          <w:szCs w:val="22"/>
        </w:rPr>
        <w:t>γ(Q</w:t>
      </w:r>
      <w:r w:rsidRPr="00883399">
        <w:rPr>
          <w:b/>
          <w:sz w:val="22"/>
          <w:szCs w:val="22"/>
          <w:vertAlign w:val="subscript"/>
        </w:rPr>
        <w:t xml:space="preserve">cap </w:t>
      </w:r>
      <w:r w:rsidRPr="00883399">
        <w:rPr>
          <w:b/>
          <w:sz w:val="22"/>
          <w:szCs w:val="22"/>
        </w:rPr>
        <w:t>+ Q</w:t>
      </w:r>
      <w:r w:rsidRPr="00883399">
        <w:rPr>
          <w:b/>
          <w:sz w:val="22"/>
          <w:szCs w:val="22"/>
          <w:vertAlign w:val="subscript"/>
        </w:rPr>
        <w:t>flared</w:t>
      </w:r>
      <w:r w:rsidRPr="00883399">
        <w:rPr>
          <w:b/>
          <w:sz w:val="22"/>
          <w:szCs w:val="22"/>
        </w:rPr>
        <w:t xml:space="preserve"> + Q</w:t>
      </w:r>
      <w:r w:rsidRPr="00883399">
        <w:rPr>
          <w:b/>
          <w:sz w:val="22"/>
          <w:szCs w:val="22"/>
          <w:vertAlign w:val="subscript"/>
        </w:rPr>
        <w:t>tr</w:t>
      </w:r>
      <w:r w:rsidRPr="00883399">
        <w:rPr>
          <w:b/>
          <w:sz w:val="22"/>
          <w:szCs w:val="22"/>
        </w:rPr>
        <w:t>)</w:t>
      </w:r>
      <w:r w:rsidRPr="00883399">
        <w:rPr>
          <w:sz w:val="22"/>
          <w:szCs w:val="22"/>
        </w:rPr>
        <w:t>/CH</w:t>
      </w:r>
      <w:r w:rsidRPr="00883399">
        <w:rPr>
          <w:sz w:val="22"/>
          <w:szCs w:val="22"/>
          <w:vertAlign w:val="subscript"/>
        </w:rPr>
        <w:t>4 gen</w:t>
      </w:r>
      <w:r w:rsidRPr="00883399">
        <w:rPr>
          <w:sz w:val="22"/>
          <w:szCs w:val="22"/>
        </w:rPr>
        <w:t xml:space="preserve"> is assessed to be 50% therefore according to section 5.4 – subsection 2 of the Determination, CH</w:t>
      </w:r>
      <w:r w:rsidRPr="00883399">
        <w:rPr>
          <w:sz w:val="22"/>
          <w:szCs w:val="22"/>
          <w:vertAlign w:val="subscript"/>
        </w:rPr>
        <w:t>4</w:t>
      </w:r>
      <w:r w:rsidRPr="00883399">
        <w:rPr>
          <w:sz w:val="22"/>
          <w:szCs w:val="22"/>
        </w:rPr>
        <w:t>* is taken to equal CH</w:t>
      </w:r>
      <w:r w:rsidRPr="00883399">
        <w:rPr>
          <w:sz w:val="22"/>
          <w:szCs w:val="22"/>
          <w:vertAlign w:val="subscript"/>
        </w:rPr>
        <w:t>4</w:t>
      </w:r>
      <w:r w:rsidRPr="00883399">
        <w:rPr>
          <w:sz w:val="22"/>
          <w:szCs w:val="22"/>
        </w:rPr>
        <w:t xml:space="preserve"> </w:t>
      </w:r>
      <w:r w:rsidRPr="00883399">
        <w:rPr>
          <w:sz w:val="22"/>
          <w:szCs w:val="22"/>
          <w:vertAlign w:val="subscript"/>
        </w:rPr>
        <w:t>gen</w:t>
      </w:r>
      <w:r w:rsidRPr="00883399">
        <w:rPr>
          <w:sz w:val="22"/>
          <w:szCs w:val="22"/>
        </w:rPr>
        <w:t>.</w:t>
      </w:r>
    </w:p>
    <w:p w14:paraId="3B1755A0" w14:textId="77777777" w:rsidR="00682A5B" w:rsidRPr="00883399" w:rsidRDefault="00682A5B" w:rsidP="00682A5B">
      <w:pPr>
        <w:pBdr>
          <w:top w:val="single" w:sz="4" w:space="1" w:color="auto"/>
          <w:left w:val="single" w:sz="4" w:space="4" w:color="auto"/>
          <w:bottom w:val="single" w:sz="4" w:space="1" w:color="auto"/>
          <w:right w:val="single" w:sz="4" w:space="4" w:color="auto"/>
        </w:pBdr>
        <w:ind w:left="993"/>
        <w:rPr>
          <w:sz w:val="22"/>
          <w:szCs w:val="22"/>
        </w:rPr>
      </w:pPr>
      <w:r w:rsidRPr="00883399">
        <w:rPr>
          <w:sz w:val="22"/>
          <w:szCs w:val="22"/>
        </w:rPr>
        <w:lastRenderedPageBreak/>
        <w:t xml:space="preserve">The reporter elects to use Method 1 (5.2.2 in the </w:t>
      </w:r>
      <w:r w:rsidRPr="00883399">
        <w:rPr>
          <w:i/>
          <w:sz w:val="22"/>
          <w:szCs w:val="22"/>
        </w:rPr>
        <w:t>National Greenhouse and Energy Reporting (Measurement) Determination 2008</w:t>
      </w:r>
      <w:r w:rsidRPr="00883399">
        <w:rPr>
          <w:sz w:val="22"/>
          <w:szCs w:val="22"/>
        </w:rPr>
        <w:t>) for methane released from landfills.  Emissions are estimated as follows:</w:t>
      </w:r>
    </w:p>
    <w:p w14:paraId="093C9E90" w14:textId="77777777" w:rsidR="00682A5B" w:rsidRPr="00883399" w:rsidRDefault="00C66508" w:rsidP="00682A5B">
      <w:pPr>
        <w:pBdr>
          <w:top w:val="single" w:sz="4" w:space="1" w:color="auto"/>
          <w:left w:val="single" w:sz="4" w:space="4" w:color="auto"/>
          <w:bottom w:val="single" w:sz="4" w:space="1" w:color="auto"/>
          <w:right w:val="single" w:sz="4" w:space="4" w:color="auto"/>
        </w:pBdr>
        <w:ind w:left="993"/>
        <w:rPr>
          <w:sz w:val="20"/>
          <w:szCs w:val="20"/>
        </w:rPr>
      </w:pPr>
      <w:r w:rsidRPr="00883399">
        <w:rPr>
          <w:noProof/>
        </w:rPr>
        <mc:AlternateContent>
          <mc:Choice Requires="wps">
            <w:drawing>
              <wp:anchor distT="0" distB="0" distL="114300" distR="114300" simplePos="0" relativeHeight="251658250" behindDoc="0" locked="0" layoutInCell="1" allowOverlap="1" wp14:anchorId="16EEAC44" wp14:editId="5D537BFA">
                <wp:simplePos x="0" y="0"/>
                <wp:positionH relativeFrom="column">
                  <wp:posOffset>807720</wp:posOffset>
                </wp:positionH>
                <wp:positionV relativeFrom="paragraph">
                  <wp:posOffset>11430</wp:posOffset>
                </wp:positionV>
                <wp:extent cx="3810000" cy="457200"/>
                <wp:effectExtent l="0" t="0" r="0" b="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B3E8A" w14:textId="77777777" w:rsidR="00F8313C" w:rsidRDefault="00F8313C" w:rsidP="00682A5B">
                            <w:pPr>
                              <w:jc w:val="center"/>
                            </w:pPr>
                            <w:r>
                              <w:t>E</w:t>
                            </w:r>
                            <w:r>
                              <w:rPr>
                                <w:vertAlign w:val="subscript"/>
                              </w:rPr>
                              <w:t>j</w:t>
                            </w:r>
                            <w:r>
                              <w:t xml:space="preserve"> = (CH</w:t>
                            </w:r>
                            <w:r>
                              <w:rPr>
                                <w:vertAlign w:val="subscript"/>
                              </w:rPr>
                              <w:t xml:space="preserve">4 </w:t>
                            </w:r>
                            <w:r>
                              <w:t>* – γ(Q</w:t>
                            </w:r>
                            <w:r>
                              <w:rPr>
                                <w:vertAlign w:val="subscript"/>
                              </w:rPr>
                              <w:t xml:space="preserve">cap </w:t>
                            </w:r>
                            <w:r>
                              <w:t>+ Q</w:t>
                            </w:r>
                            <w:r>
                              <w:rPr>
                                <w:vertAlign w:val="subscript"/>
                              </w:rPr>
                              <w:t>flared</w:t>
                            </w:r>
                            <w:r>
                              <w:t xml:space="preserve"> + Q</w:t>
                            </w:r>
                            <w:r>
                              <w:rPr>
                                <w:vertAlign w:val="subscript"/>
                              </w:rPr>
                              <w:t>tr</w:t>
                            </w:r>
                            <w:r>
                              <w:t>)) x (1-OF)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EAC44" id="Text Box 27" o:spid="_x0000_s1085" type="#_x0000_t202" style="position:absolute;left:0;text-align:left;margin-left:63.6pt;margin-top:.9pt;width:300pt;height:3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" stroked="f">
                <v:textbox>
                  <w:txbxContent>
                    <w:p w14:paraId="319B3E8A" w14:textId="77777777" w:rsidR="00F8313C" w:rsidRDefault="00F8313C" w:rsidP="00682A5B">
                      <w:pPr>
                        <w:jc w:val="center"/>
                      </w:pPr>
                      <w:r>
                        <w:t>E</w:t>
                      </w:r>
                      <w:r>
                        <w:rPr>
                          <w:vertAlign w:val="subscript"/>
                        </w:rPr>
                        <w:t>j</w:t>
                      </w:r>
                      <w:r>
                        <w:t xml:space="preserve"> = (CH</w:t>
                      </w:r>
                      <w:r>
                        <w:rPr>
                          <w:vertAlign w:val="subscript"/>
                        </w:rPr>
                        <w:t xml:space="preserve">4 </w:t>
                      </w:r>
                      <w:r>
                        <w:t>* – γ(Q</w:t>
                      </w:r>
                      <w:r>
                        <w:rPr>
                          <w:vertAlign w:val="subscript"/>
                        </w:rPr>
                        <w:t xml:space="preserve">cap </w:t>
                      </w:r>
                      <w:r>
                        <w:t>+ Q</w:t>
                      </w:r>
                      <w:r>
                        <w:rPr>
                          <w:vertAlign w:val="subscript"/>
                        </w:rPr>
                        <w:t>flared</w:t>
                      </w:r>
                      <w:r>
                        <w:t xml:space="preserve"> + Q</w:t>
                      </w:r>
                      <w:r>
                        <w:rPr>
                          <w:vertAlign w:val="subscript"/>
                        </w:rPr>
                        <w:t>tr</w:t>
                      </w:r>
                      <w:r>
                        <w:t>)) x (1-OF)</w:t>
                      </w:r>
                    </w:p>
                  </w:txbxContent>
                </v:textbox>
              </v:shape>
            </w:pict>
          </mc:Fallback>
        </mc:AlternateContent>
      </w:r>
    </w:p>
    <w:p w14:paraId="759BC011" w14:textId="77777777" w:rsidR="00682A5B" w:rsidRPr="00883399" w:rsidRDefault="00682A5B" w:rsidP="00682A5B">
      <w:pPr>
        <w:pBdr>
          <w:top w:val="single" w:sz="4" w:space="1" w:color="auto"/>
          <w:left w:val="single" w:sz="4" w:space="4" w:color="auto"/>
          <w:bottom w:val="single" w:sz="4" w:space="1" w:color="auto"/>
          <w:right w:val="single" w:sz="4" w:space="4" w:color="auto"/>
        </w:pBdr>
        <w:ind w:left="993"/>
        <w:rPr>
          <w:sz w:val="20"/>
          <w:szCs w:val="20"/>
        </w:rPr>
      </w:pPr>
    </w:p>
    <w:p w14:paraId="7324507F" w14:textId="77777777" w:rsidR="00682A5B" w:rsidRPr="00883399" w:rsidRDefault="00682A5B" w:rsidP="00682A5B">
      <w:pPr>
        <w:pBdr>
          <w:top w:val="single" w:sz="4" w:space="1" w:color="auto"/>
          <w:left w:val="single" w:sz="4" w:space="4" w:color="auto"/>
          <w:bottom w:val="single" w:sz="4" w:space="1" w:color="auto"/>
          <w:right w:val="single" w:sz="4" w:space="4" w:color="auto"/>
        </w:pBdr>
        <w:ind w:left="993"/>
        <w:rPr>
          <w:sz w:val="18"/>
          <w:szCs w:val="18"/>
        </w:rPr>
      </w:pPr>
      <w:r w:rsidRPr="00883399">
        <w:rPr>
          <w:sz w:val="18"/>
          <w:szCs w:val="18"/>
        </w:rPr>
        <w:t>where:</w:t>
      </w:r>
    </w:p>
    <w:p w14:paraId="53310FF2" w14:textId="77777777" w:rsidR="00682A5B" w:rsidRPr="00883399" w:rsidRDefault="00682A5B" w:rsidP="00682A5B">
      <w:pPr>
        <w:pBdr>
          <w:top w:val="single" w:sz="4" w:space="1" w:color="auto"/>
          <w:left w:val="single" w:sz="4" w:space="4" w:color="auto"/>
          <w:bottom w:val="single" w:sz="4" w:space="1" w:color="auto"/>
          <w:right w:val="single" w:sz="4" w:space="4" w:color="auto"/>
        </w:pBdr>
        <w:ind w:left="993"/>
        <w:rPr>
          <w:sz w:val="18"/>
          <w:szCs w:val="18"/>
        </w:rPr>
      </w:pPr>
      <w:r w:rsidRPr="00883399">
        <w:rPr>
          <w:b/>
          <w:i/>
          <w:sz w:val="18"/>
          <w:szCs w:val="18"/>
        </w:rPr>
        <w:t>E</w:t>
      </w:r>
      <w:r w:rsidRPr="00883399">
        <w:rPr>
          <w:b/>
          <w:i/>
          <w:sz w:val="18"/>
          <w:szCs w:val="18"/>
          <w:vertAlign w:val="subscript"/>
        </w:rPr>
        <w:t>j</w:t>
      </w:r>
      <w:r w:rsidRPr="00883399">
        <w:rPr>
          <w:sz w:val="18"/>
          <w:szCs w:val="18"/>
        </w:rPr>
        <w:t xml:space="preserve"> is emissions of methane (CO</w:t>
      </w:r>
      <w:r w:rsidRPr="00883399">
        <w:rPr>
          <w:sz w:val="18"/>
          <w:szCs w:val="18"/>
          <w:vertAlign w:val="subscript"/>
        </w:rPr>
        <w:t>2</w:t>
      </w:r>
      <w:r w:rsidRPr="00883399">
        <w:rPr>
          <w:sz w:val="18"/>
          <w:szCs w:val="18"/>
        </w:rPr>
        <w:t>-e) released by the landfill during the year.</w:t>
      </w:r>
    </w:p>
    <w:p w14:paraId="1C3DA1D7" w14:textId="77777777" w:rsidR="00682A5B" w:rsidRPr="00883399" w:rsidRDefault="00682A5B" w:rsidP="00682A5B">
      <w:pPr>
        <w:pBdr>
          <w:top w:val="single" w:sz="4" w:space="1" w:color="auto"/>
          <w:left w:val="single" w:sz="4" w:space="4" w:color="auto"/>
          <w:bottom w:val="single" w:sz="4" w:space="1" w:color="auto"/>
          <w:right w:val="single" w:sz="4" w:space="4" w:color="auto"/>
        </w:pBdr>
        <w:ind w:left="993"/>
        <w:rPr>
          <w:sz w:val="18"/>
          <w:szCs w:val="18"/>
        </w:rPr>
      </w:pPr>
      <w:r w:rsidRPr="00883399">
        <w:rPr>
          <w:b/>
          <w:i/>
          <w:sz w:val="18"/>
          <w:szCs w:val="18"/>
        </w:rPr>
        <w:t>CH</w:t>
      </w:r>
      <w:r w:rsidRPr="00883399">
        <w:rPr>
          <w:b/>
          <w:i/>
          <w:sz w:val="18"/>
          <w:szCs w:val="18"/>
          <w:vertAlign w:val="subscript"/>
        </w:rPr>
        <w:t>4</w:t>
      </w:r>
      <w:r w:rsidRPr="00883399">
        <w:rPr>
          <w:b/>
          <w:i/>
          <w:sz w:val="18"/>
          <w:szCs w:val="18"/>
        </w:rPr>
        <w:t xml:space="preserve"> *</w:t>
      </w:r>
      <w:r w:rsidRPr="00883399">
        <w:rPr>
          <w:sz w:val="18"/>
          <w:szCs w:val="18"/>
        </w:rPr>
        <w:t xml:space="preserve"> is the estimated quantity of methane in landfill gas generated by the landfill during the year.</w:t>
      </w:r>
    </w:p>
    <w:p w14:paraId="0376704E" w14:textId="77777777" w:rsidR="00682A5B" w:rsidRPr="00883399" w:rsidRDefault="00682A5B" w:rsidP="00682A5B">
      <w:pPr>
        <w:pBdr>
          <w:top w:val="single" w:sz="4" w:space="1" w:color="auto"/>
          <w:left w:val="single" w:sz="4" w:space="4" w:color="auto"/>
          <w:bottom w:val="single" w:sz="4" w:space="1" w:color="auto"/>
          <w:right w:val="single" w:sz="4" w:space="4" w:color="auto"/>
        </w:pBdr>
        <w:ind w:left="993"/>
        <w:rPr>
          <w:sz w:val="18"/>
          <w:szCs w:val="18"/>
        </w:rPr>
      </w:pPr>
      <w:r w:rsidRPr="00883399">
        <w:rPr>
          <w:b/>
          <w:i/>
          <w:sz w:val="18"/>
          <w:szCs w:val="18"/>
        </w:rPr>
        <w:t>γ</w:t>
      </w:r>
      <w:r w:rsidRPr="00883399">
        <w:rPr>
          <w:sz w:val="18"/>
          <w:szCs w:val="18"/>
        </w:rPr>
        <w:t xml:space="preserve"> is the factor 6.784 x 10</w:t>
      </w:r>
      <w:r w:rsidRPr="00883399">
        <w:rPr>
          <w:sz w:val="18"/>
          <w:szCs w:val="18"/>
          <w:vertAlign w:val="superscript"/>
        </w:rPr>
        <w:t>-4</w:t>
      </w:r>
      <w:r w:rsidRPr="00883399">
        <w:rPr>
          <w:sz w:val="18"/>
          <w:szCs w:val="18"/>
        </w:rPr>
        <w:t xml:space="preserve"> x 2</w:t>
      </w:r>
      <w:r w:rsidR="00D94C95" w:rsidRPr="00883399">
        <w:rPr>
          <w:sz w:val="18"/>
          <w:szCs w:val="18"/>
        </w:rPr>
        <w:t>5</w:t>
      </w:r>
      <w:r w:rsidRPr="00883399">
        <w:rPr>
          <w:sz w:val="18"/>
          <w:szCs w:val="18"/>
        </w:rPr>
        <w:t xml:space="preserve"> converting cubic metres to CO</w:t>
      </w:r>
      <w:r w:rsidRPr="00883399">
        <w:rPr>
          <w:sz w:val="18"/>
          <w:szCs w:val="18"/>
          <w:vertAlign w:val="subscript"/>
        </w:rPr>
        <w:t>2</w:t>
      </w:r>
      <w:r w:rsidRPr="00883399">
        <w:rPr>
          <w:sz w:val="18"/>
          <w:szCs w:val="18"/>
        </w:rPr>
        <w:t>-e tonnes.</w:t>
      </w:r>
    </w:p>
    <w:p w14:paraId="71BF007A" w14:textId="77777777" w:rsidR="00682A5B" w:rsidRPr="00883399" w:rsidRDefault="00682A5B" w:rsidP="00682A5B">
      <w:pPr>
        <w:pBdr>
          <w:top w:val="single" w:sz="4" w:space="1" w:color="auto"/>
          <w:left w:val="single" w:sz="4" w:space="4" w:color="auto"/>
          <w:bottom w:val="single" w:sz="4" w:space="1" w:color="auto"/>
          <w:right w:val="single" w:sz="4" w:space="4" w:color="auto"/>
        </w:pBdr>
        <w:ind w:left="993"/>
        <w:rPr>
          <w:sz w:val="18"/>
          <w:szCs w:val="18"/>
        </w:rPr>
      </w:pPr>
      <w:r w:rsidRPr="00883399">
        <w:rPr>
          <w:b/>
          <w:i/>
          <w:sz w:val="18"/>
          <w:szCs w:val="18"/>
        </w:rPr>
        <w:t>Q</w:t>
      </w:r>
      <w:r w:rsidRPr="00883399">
        <w:rPr>
          <w:b/>
          <w:i/>
          <w:sz w:val="18"/>
          <w:szCs w:val="18"/>
          <w:vertAlign w:val="subscript"/>
        </w:rPr>
        <w:t>cap</w:t>
      </w:r>
      <w:r w:rsidRPr="00883399">
        <w:rPr>
          <w:sz w:val="18"/>
          <w:szCs w:val="18"/>
        </w:rPr>
        <w:t xml:space="preserve"> is the quantity of methane in landfill gas captured for combustion from the landfill during the year and measured in cubic metres.</w:t>
      </w:r>
    </w:p>
    <w:p w14:paraId="4782459A" w14:textId="77777777" w:rsidR="00682A5B" w:rsidRPr="00883399" w:rsidRDefault="00682A5B" w:rsidP="00682A5B">
      <w:pPr>
        <w:pBdr>
          <w:top w:val="single" w:sz="4" w:space="1" w:color="auto"/>
          <w:left w:val="single" w:sz="4" w:space="4" w:color="auto"/>
          <w:bottom w:val="single" w:sz="4" w:space="1" w:color="auto"/>
          <w:right w:val="single" w:sz="4" w:space="4" w:color="auto"/>
        </w:pBdr>
        <w:ind w:left="993"/>
        <w:rPr>
          <w:sz w:val="18"/>
          <w:szCs w:val="18"/>
        </w:rPr>
      </w:pPr>
      <w:r w:rsidRPr="00883399">
        <w:rPr>
          <w:b/>
          <w:i/>
          <w:sz w:val="18"/>
          <w:szCs w:val="18"/>
        </w:rPr>
        <w:t>Q</w:t>
      </w:r>
      <w:r w:rsidRPr="00883399">
        <w:rPr>
          <w:b/>
          <w:i/>
          <w:sz w:val="18"/>
          <w:szCs w:val="18"/>
          <w:vertAlign w:val="subscript"/>
        </w:rPr>
        <w:t>flared</w:t>
      </w:r>
      <w:r w:rsidRPr="00883399">
        <w:rPr>
          <w:sz w:val="18"/>
          <w:szCs w:val="18"/>
        </w:rPr>
        <w:t xml:space="preserve"> is the quantity of methane in landfill gas flared from the landfill during the year and measured in cubic metres.</w:t>
      </w:r>
    </w:p>
    <w:p w14:paraId="6BB4F365" w14:textId="77777777" w:rsidR="00682A5B" w:rsidRPr="00883399" w:rsidRDefault="00682A5B" w:rsidP="00682A5B">
      <w:pPr>
        <w:pBdr>
          <w:top w:val="single" w:sz="4" w:space="1" w:color="auto"/>
          <w:left w:val="single" w:sz="4" w:space="4" w:color="auto"/>
          <w:bottom w:val="single" w:sz="4" w:space="1" w:color="auto"/>
          <w:right w:val="single" w:sz="4" w:space="4" w:color="auto"/>
        </w:pBdr>
        <w:ind w:left="993"/>
        <w:rPr>
          <w:sz w:val="18"/>
          <w:szCs w:val="18"/>
        </w:rPr>
      </w:pPr>
      <w:r w:rsidRPr="00883399">
        <w:rPr>
          <w:b/>
          <w:i/>
          <w:sz w:val="18"/>
          <w:szCs w:val="18"/>
        </w:rPr>
        <w:t>Q</w:t>
      </w:r>
      <w:r w:rsidRPr="00883399">
        <w:rPr>
          <w:b/>
          <w:i/>
          <w:sz w:val="18"/>
          <w:szCs w:val="18"/>
          <w:vertAlign w:val="subscript"/>
        </w:rPr>
        <w:t>tr</w:t>
      </w:r>
      <w:r w:rsidRPr="00883399">
        <w:rPr>
          <w:sz w:val="18"/>
          <w:szCs w:val="18"/>
        </w:rPr>
        <w:t xml:space="preserve"> is the quantity of methane in landfill gas transferred out of the landfill during the year and measured in cubic metres.</w:t>
      </w:r>
    </w:p>
    <w:p w14:paraId="17EA4A5A" w14:textId="77777777" w:rsidR="00682A5B" w:rsidRPr="00883399" w:rsidRDefault="00682A5B" w:rsidP="00682A5B">
      <w:pPr>
        <w:pBdr>
          <w:top w:val="single" w:sz="4" w:space="1" w:color="auto"/>
          <w:left w:val="single" w:sz="4" w:space="4" w:color="auto"/>
          <w:bottom w:val="single" w:sz="4" w:space="1" w:color="auto"/>
          <w:right w:val="single" w:sz="4" w:space="4" w:color="auto"/>
        </w:pBdr>
        <w:ind w:left="993"/>
        <w:rPr>
          <w:sz w:val="18"/>
          <w:szCs w:val="18"/>
        </w:rPr>
      </w:pPr>
      <w:r w:rsidRPr="00883399">
        <w:rPr>
          <w:b/>
          <w:i/>
          <w:sz w:val="18"/>
          <w:szCs w:val="18"/>
        </w:rPr>
        <w:t>OF</w:t>
      </w:r>
      <w:r w:rsidRPr="00883399">
        <w:rPr>
          <w:sz w:val="18"/>
          <w:szCs w:val="18"/>
        </w:rPr>
        <w:t xml:space="preserve"> is the oxidation factor (0.1) for near-surface methane in the landfill.</w:t>
      </w:r>
    </w:p>
    <w:p w14:paraId="12331E76" w14:textId="77777777" w:rsidR="00682A5B" w:rsidRPr="00883399" w:rsidRDefault="00682A5B" w:rsidP="00682A5B">
      <w:pPr>
        <w:pBdr>
          <w:top w:val="single" w:sz="4" w:space="1" w:color="auto"/>
          <w:left w:val="single" w:sz="4" w:space="4" w:color="auto"/>
          <w:bottom w:val="single" w:sz="4" w:space="1" w:color="auto"/>
          <w:right w:val="single" w:sz="4" w:space="4" w:color="auto"/>
        </w:pBdr>
        <w:ind w:left="993"/>
        <w:rPr>
          <w:sz w:val="22"/>
          <w:szCs w:val="22"/>
        </w:rPr>
      </w:pPr>
      <w:r w:rsidRPr="00883399">
        <w:rPr>
          <w:sz w:val="22"/>
          <w:szCs w:val="22"/>
        </w:rPr>
        <w:t>Therefore, to calculate emissions of methane in CO</w:t>
      </w:r>
      <w:r w:rsidRPr="00883399">
        <w:rPr>
          <w:sz w:val="22"/>
          <w:szCs w:val="22"/>
          <w:vertAlign w:val="subscript"/>
        </w:rPr>
        <w:t>2</w:t>
      </w:r>
      <w:r w:rsidRPr="00883399">
        <w:rPr>
          <w:sz w:val="22"/>
          <w:szCs w:val="22"/>
        </w:rPr>
        <w:t xml:space="preserve"> e tonnes :</w:t>
      </w:r>
    </w:p>
    <w:p w14:paraId="4E245E72" w14:textId="77777777" w:rsidR="00682A5B" w:rsidRPr="00883399" w:rsidRDefault="00682A5B" w:rsidP="00682A5B">
      <w:pPr>
        <w:pBdr>
          <w:top w:val="single" w:sz="4" w:space="1" w:color="auto"/>
          <w:left w:val="single" w:sz="4" w:space="4" w:color="auto"/>
          <w:bottom w:val="single" w:sz="4" w:space="1" w:color="auto"/>
          <w:right w:val="single" w:sz="4" w:space="4" w:color="auto"/>
        </w:pBdr>
        <w:ind w:left="993"/>
        <w:rPr>
          <w:sz w:val="22"/>
          <w:szCs w:val="22"/>
        </w:rPr>
      </w:pPr>
      <w:r w:rsidRPr="00883399">
        <w:rPr>
          <w:sz w:val="22"/>
          <w:szCs w:val="22"/>
        </w:rPr>
        <w:t>Total methane generated during the year as estimated using the FOD model  =  28,493 tonnes CO</w:t>
      </w:r>
      <w:r w:rsidRPr="00883399">
        <w:rPr>
          <w:sz w:val="22"/>
          <w:szCs w:val="22"/>
          <w:vertAlign w:val="subscript"/>
        </w:rPr>
        <w:t>2</w:t>
      </w:r>
      <w:r w:rsidRPr="00883399">
        <w:rPr>
          <w:sz w:val="22"/>
          <w:szCs w:val="22"/>
        </w:rPr>
        <w:t>-e</w:t>
      </w:r>
    </w:p>
    <w:p w14:paraId="6448237D" w14:textId="77777777" w:rsidR="00682A5B" w:rsidRPr="00883399" w:rsidRDefault="00682A5B" w:rsidP="00682A5B">
      <w:pPr>
        <w:pBdr>
          <w:top w:val="single" w:sz="4" w:space="1" w:color="auto"/>
          <w:left w:val="single" w:sz="4" w:space="4" w:color="auto"/>
          <w:bottom w:val="single" w:sz="4" w:space="1" w:color="auto"/>
          <w:right w:val="single" w:sz="4" w:space="4" w:color="auto"/>
        </w:pBdr>
        <w:ind w:left="993"/>
        <w:jc w:val="center"/>
        <w:rPr>
          <w:sz w:val="22"/>
          <w:szCs w:val="22"/>
        </w:rPr>
      </w:pPr>
      <w:r w:rsidRPr="00883399">
        <w:rPr>
          <w:sz w:val="22"/>
          <w:szCs w:val="22"/>
        </w:rPr>
        <w:t>E</w:t>
      </w:r>
      <w:r w:rsidRPr="00883399">
        <w:rPr>
          <w:sz w:val="22"/>
          <w:szCs w:val="22"/>
          <w:vertAlign w:val="subscript"/>
        </w:rPr>
        <w:t>j</w:t>
      </w:r>
      <w:r w:rsidRPr="00883399">
        <w:rPr>
          <w:sz w:val="22"/>
          <w:szCs w:val="22"/>
        </w:rPr>
        <w:t xml:space="preserve"> = (CH</w:t>
      </w:r>
      <w:r w:rsidRPr="00883399">
        <w:rPr>
          <w:sz w:val="22"/>
          <w:szCs w:val="22"/>
          <w:vertAlign w:val="subscript"/>
        </w:rPr>
        <w:t>4</w:t>
      </w:r>
      <w:r w:rsidRPr="00883399">
        <w:rPr>
          <w:sz w:val="22"/>
          <w:szCs w:val="22"/>
        </w:rPr>
        <w:t>* – γ(Q</w:t>
      </w:r>
      <w:r w:rsidRPr="00883399">
        <w:rPr>
          <w:sz w:val="22"/>
          <w:szCs w:val="22"/>
          <w:vertAlign w:val="subscript"/>
        </w:rPr>
        <w:t>cap</w:t>
      </w:r>
      <w:r w:rsidRPr="00883399">
        <w:rPr>
          <w:sz w:val="22"/>
          <w:szCs w:val="22"/>
        </w:rPr>
        <w:t xml:space="preserve"> + Q</w:t>
      </w:r>
      <w:r w:rsidRPr="00883399">
        <w:rPr>
          <w:sz w:val="22"/>
          <w:szCs w:val="22"/>
          <w:vertAlign w:val="subscript"/>
        </w:rPr>
        <w:t>flared</w:t>
      </w:r>
      <w:r w:rsidRPr="00883399">
        <w:rPr>
          <w:sz w:val="22"/>
          <w:szCs w:val="22"/>
        </w:rPr>
        <w:t xml:space="preserve"> + Q</w:t>
      </w:r>
      <w:r w:rsidRPr="00883399">
        <w:rPr>
          <w:sz w:val="22"/>
          <w:szCs w:val="22"/>
          <w:vertAlign w:val="subscript"/>
        </w:rPr>
        <w:t>tr</w:t>
      </w:r>
      <w:r w:rsidRPr="00883399">
        <w:rPr>
          <w:sz w:val="22"/>
          <w:szCs w:val="22"/>
        </w:rPr>
        <w:t>)) x (1-OF)</w:t>
      </w:r>
    </w:p>
    <w:p w14:paraId="3E8657B7" w14:textId="77777777" w:rsidR="00682A5B" w:rsidRPr="00883399" w:rsidRDefault="00682A5B" w:rsidP="00682A5B">
      <w:pPr>
        <w:pBdr>
          <w:top w:val="single" w:sz="4" w:space="1" w:color="auto"/>
          <w:left w:val="single" w:sz="4" w:space="4" w:color="auto"/>
          <w:bottom w:val="single" w:sz="4" w:space="1" w:color="auto"/>
          <w:right w:val="single" w:sz="4" w:space="4" w:color="auto"/>
        </w:pBdr>
        <w:ind w:left="993"/>
        <w:jc w:val="center"/>
        <w:rPr>
          <w:sz w:val="22"/>
          <w:szCs w:val="22"/>
        </w:rPr>
      </w:pPr>
      <w:r w:rsidRPr="00883399">
        <w:rPr>
          <w:sz w:val="22"/>
          <w:szCs w:val="22"/>
        </w:rPr>
        <w:t>= (28,493 - 6.784x10</w:t>
      </w:r>
      <w:r w:rsidRPr="00883399">
        <w:rPr>
          <w:sz w:val="22"/>
          <w:szCs w:val="22"/>
          <w:vertAlign w:val="superscript"/>
        </w:rPr>
        <w:t>-4</w:t>
      </w:r>
      <w:r w:rsidRPr="00883399">
        <w:rPr>
          <w:sz w:val="22"/>
          <w:szCs w:val="22"/>
        </w:rPr>
        <w:t xml:space="preserve"> x 2</w:t>
      </w:r>
      <w:r w:rsidR="00D94C95" w:rsidRPr="00883399">
        <w:rPr>
          <w:sz w:val="22"/>
          <w:szCs w:val="22"/>
        </w:rPr>
        <w:t>5</w:t>
      </w:r>
      <w:r w:rsidRPr="00883399">
        <w:rPr>
          <w:sz w:val="22"/>
          <w:szCs w:val="22"/>
        </w:rPr>
        <w:t xml:space="preserve"> x</w:t>
      </w:r>
      <w:r w:rsidRPr="00883399">
        <w:rPr>
          <w:b/>
          <w:color w:val="FF0000"/>
          <w:sz w:val="22"/>
          <w:szCs w:val="22"/>
        </w:rPr>
        <w:t xml:space="preserve"> </w:t>
      </w:r>
      <w:r w:rsidRPr="00883399">
        <w:rPr>
          <w:sz w:val="22"/>
          <w:szCs w:val="22"/>
        </w:rPr>
        <w:t>(1,000,000 + 0 + 0)) x (1-0.1)</w:t>
      </w:r>
    </w:p>
    <w:p w14:paraId="42DFD123" w14:textId="77777777" w:rsidR="00682A5B" w:rsidRPr="00883399" w:rsidRDefault="00682A5B" w:rsidP="00682A5B">
      <w:pPr>
        <w:pBdr>
          <w:top w:val="single" w:sz="4" w:space="1" w:color="auto"/>
          <w:left w:val="single" w:sz="4" w:space="4" w:color="auto"/>
          <w:bottom w:val="single" w:sz="4" w:space="1" w:color="auto"/>
          <w:right w:val="single" w:sz="4" w:space="4" w:color="auto"/>
        </w:pBdr>
        <w:ind w:left="993"/>
        <w:outlineLvl w:val="0"/>
        <w:rPr>
          <w:sz w:val="22"/>
          <w:szCs w:val="22"/>
        </w:rPr>
      </w:pPr>
      <w:r w:rsidRPr="00883399">
        <w:rPr>
          <w:sz w:val="22"/>
          <w:szCs w:val="22"/>
        </w:rPr>
        <w:t>Tot</w:t>
      </w:r>
      <w:r w:rsidR="00D94C95" w:rsidRPr="00883399">
        <w:rPr>
          <w:sz w:val="22"/>
          <w:szCs w:val="22"/>
        </w:rPr>
        <w:t>al emissions of methane = 13,229</w:t>
      </w:r>
      <w:r w:rsidRPr="00883399">
        <w:rPr>
          <w:sz w:val="22"/>
          <w:szCs w:val="22"/>
        </w:rPr>
        <w:t xml:space="preserve"> t CO</w:t>
      </w:r>
      <w:r w:rsidRPr="00883399">
        <w:rPr>
          <w:sz w:val="22"/>
          <w:szCs w:val="22"/>
          <w:vertAlign w:val="subscript"/>
        </w:rPr>
        <w:t>2</w:t>
      </w:r>
      <w:r w:rsidRPr="00883399">
        <w:rPr>
          <w:sz w:val="22"/>
          <w:szCs w:val="22"/>
        </w:rPr>
        <w:t>-e</w:t>
      </w:r>
    </w:p>
    <w:p w14:paraId="1F66F466" w14:textId="0EE9E522" w:rsidR="00872C03" w:rsidRPr="00883399" w:rsidRDefault="00872C03" w:rsidP="00872C03">
      <w:pPr>
        <w:pStyle w:val="ActHead5"/>
        <w:rPr>
          <w:sz w:val="28"/>
        </w:rPr>
      </w:pPr>
      <w:bookmarkStart w:id="1116" w:name="_Toc495653084"/>
      <w:r w:rsidRPr="00883399">
        <w:rPr>
          <w:rStyle w:val="CharSectno"/>
          <w:sz w:val="28"/>
        </w:rPr>
        <w:t>5.14B</w:t>
      </w:r>
      <w:r w:rsidRPr="00883399">
        <w:rPr>
          <w:sz w:val="28"/>
        </w:rPr>
        <w:t xml:space="preserve">  Methane correction factor (MCF) for aerobic decomposition</w:t>
      </w:r>
      <w:bookmarkEnd w:id="1115"/>
      <w:bookmarkEnd w:id="1116"/>
    </w:p>
    <w:p w14:paraId="4BBAA7DF" w14:textId="77777777" w:rsidR="00872C03" w:rsidRPr="00883399" w:rsidRDefault="00872C03" w:rsidP="00872C03">
      <w:pPr>
        <w:pStyle w:val="subsection"/>
        <w:rPr>
          <w:sz w:val="24"/>
        </w:rPr>
      </w:pPr>
      <w:r w:rsidRPr="00883399">
        <w:rPr>
          <w:sz w:val="24"/>
        </w:rPr>
        <w:tab/>
      </w:r>
      <w:r w:rsidRPr="00883399">
        <w:rPr>
          <w:sz w:val="24"/>
        </w:rPr>
        <w:tab/>
        <w:t>For paragraph 5.4A(g), the methane correction factor for aerobic decomposition is 1.</w:t>
      </w:r>
    </w:p>
    <w:p w14:paraId="52C70667" w14:textId="73CBF2B2" w:rsidR="00872C03" w:rsidRPr="00883399" w:rsidRDefault="00872C03" w:rsidP="00872C03">
      <w:pPr>
        <w:pStyle w:val="ActHead5"/>
        <w:rPr>
          <w:sz w:val="28"/>
        </w:rPr>
      </w:pPr>
      <w:bookmarkStart w:id="1117" w:name="_Toc423517154"/>
      <w:bookmarkStart w:id="1118" w:name="_Toc495653085"/>
      <w:r w:rsidRPr="00883399">
        <w:rPr>
          <w:rStyle w:val="CharSectno"/>
          <w:sz w:val="28"/>
        </w:rPr>
        <w:lastRenderedPageBreak/>
        <w:t>5.14C</w:t>
      </w:r>
      <w:r w:rsidRPr="00883399">
        <w:rPr>
          <w:sz w:val="28"/>
        </w:rPr>
        <w:t xml:space="preserve">  Fraction by volume generated in landfill gas that is methane (F)</w:t>
      </w:r>
      <w:bookmarkEnd w:id="1117"/>
      <w:bookmarkEnd w:id="1118"/>
    </w:p>
    <w:p w14:paraId="384D88F1" w14:textId="77777777" w:rsidR="00872C03" w:rsidRPr="00883399" w:rsidRDefault="00872C03" w:rsidP="00872C03">
      <w:pPr>
        <w:pStyle w:val="subsection"/>
        <w:rPr>
          <w:sz w:val="24"/>
        </w:rPr>
      </w:pPr>
      <w:r w:rsidRPr="00883399">
        <w:rPr>
          <w:sz w:val="24"/>
        </w:rPr>
        <w:tab/>
      </w:r>
      <w:r w:rsidRPr="00883399">
        <w:rPr>
          <w:sz w:val="24"/>
        </w:rPr>
        <w:tab/>
        <w:t>For paragraph 5.4A(h), the fraction by volume of methane generated in landfill gas is 0.5.</w:t>
      </w:r>
    </w:p>
    <w:p w14:paraId="118B5221" w14:textId="0F86750C" w:rsidR="00872C03" w:rsidRPr="00883399" w:rsidRDefault="00872C03" w:rsidP="00872C03">
      <w:pPr>
        <w:pStyle w:val="ActHead5"/>
        <w:rPr>
          <w:sz w:val="28"/>
        </w:rPr>
      </w:pPr>
      <w:bookmarkStart w:id="1119" w:name="_Toc423517155"/>
      <w:bookmarkStart w:id="1120" w:name="_Toc495653086"/>
      <w:r w:rsidRPr="00883399">
        <w:rPr>
          <w:rStyle w:val="CharSectno"/>
          <w:sz w:val="28"/>
        </w:rPr>
        <w:t>5.14D</w:t>
      </w:r>
      <w:r w:rsidRPr="00883399">
        <w:rPr>
          <w:sz w:val="28"/>
        </w:rPr>
        <w:t xml:space="preserve">  Number of months before methane generation at landfill commences</w:t>
      </w:r>
      <w:bookmarkEnd w:id="1119"/>
      <w:bookmarkEnd w:id="1120"/>
    </w:p>
    <w:p w14:paraId="28DA87E4" w14:textId="77777777" w:rsidR="00872C03" w:rsidRPr="00883399" w:rsidRDefault="00872C03" w:rsidP="00872C03">
      <w:pPr>
        <w:pStyle w:val="subsection"/>
        <w:rPr>
          <w:sz w:val="24"/>
        </w:rPr>
      </w:pPr>
      <w:r w:rsidRPr="00883399">
        <w:rPr>
          <w:sz w:val="24"/>
        </w:rPr>
        <w:tab/>
      </w:r>
      <w:r w:rsidRPr="00883399">
        <w:rPr>
          <w:sz w:val="24"/>
        </w:rPr>
        <w:tab/>
        <w:t>For paragraph 5.4A(i), the number of months that have ended before methane generation at the landfill commences is 6.</w:t>
      </w:r>
    </w:p>
    <w:p w14:paraId="629C0FBE" w14:textId="77777777" w:rsidR="00872C03" w:rsidRPr="00883399" w:rsidRDefault="00872C03" w:rsidP="00872C03">
      <w:pPr>
        <w:pStyle w:val="notetext"/>
        <w:rPr>
          <w:sz w:val="20"/>
        </w:rPr>
      </w:pPr>
      <w:r w:rsidRPr="00883399">
        <w:rPr>
          <w:sz w:val="20"/>
        </w:rPr>
        <w:t>Note:</w:t>
      </w:r>
      <w:r w:rsidRPr="00883399">
        <w:rPr>
          <w:sz w:val="20"/>
        </w:rPr>
        <w:tab/>
        <w:t xml:space="preserve">To calculate the value of </w:t>
      </w:r>
      <w:r w:rsidRPr="00883399">
        <w:rPr>
          <w:b/>
          <w:i/>
          <w:sz w:val="20"/>
        </w:rPr>
        <w:t>M</w:t>
      </w:r>
      <w:r w:rsidRPr="00883399">
        <w:rPr>
          <w:sz w:val="20"/>
        </w:rPr>
        <w:t xml:space="preserve">, add 7 to the number of months mentioned in section 5.14D. Using the number of months mentioned in section 5.14D, the calculation would be 6 plus 7 and the value of </w:t>
      </w:r>
      <w:r w:rsidRPr="00883399">
        <w:rPr>
          <w:b/>
          <w:i/>
          <w:sz w:val="20"/>
        </w:rPr>
        <w:t>M</w:t>
      </w:r>
      <w:r w:rsidRPr="00883399">
        <w:rPr>
          <w:sz w:val="20"/>
        </w:rPr>
        <w:t xml:space="preserve"> would be 13.</w:t>
      </w:r>
    </w:p>
    <w:p w14:paraId="1814C4AB" w14:textId="75300655" w:rsidR="00872C03" w:rsidRPr="00883399" w:rsidRDefault="00872C03" w:rsidP="00872C03">
      <w:pPr>
        <w:pStyle w:val="ActHead3"/>
        <w:pageBreakBefore/>
        <w:rPr>
          <w:sz w:val="32"/>
        </w:rPr>
      </w:pPr>
      <w:bookmarkStart w:id="1121" w:name="_Toc423517156"/>
      <w:bookmarkStart w:id="1122" w:name="_Toc495653087"/>
      <w:r w:rsidRPr="00883399">
        <w:rPr>
          <w:rStyle w:val="CharDivNo"/>
          <w:sz w:val="32"/>
        </w:rPr>
        <w:lastRenderedPageBreak/>
        <w:t>Division 5.2.3</w:t>
      </w:r>
      <w:r w:rsidRPr="00883399">
        <w:rPr>
          <w:sz w:val="32"/>
        </w:rPr>
        <w:t>—</w:t>
      </w:r>
      <w:r w:rsidRPr="00883399">
        <w:rPr>
          <w:rStyle w:val="CharDivText"/>
          <w:sz w:val="32"/>
        </w:rPr>
        <w:t>Method 2—emissions of methane released from landfills</w:t>
      </w:r>
      <w:bookmarkEnd w:id="1121"/>
      <w:bookmarkEnd w:id="1122"/>
    </w:p>
    <w:p w14:paraId="6FC98306" w14:textId="5264C45B" w:rsidR="00872C03" w:rsidRPr="00883399" w:rsidRDefault="00872C03" w:rsidP="00872C03">
      <w:pPr>
        <w:pStyle w:val="ActHead4"/>
        <w:rPr>
          <w:sz w:val="28"/>
        </w:rPr>
      </w:pPr>
      <w:bookmarkStart w:id="1123" w:name="_Toc423517157"/>
      <w:bookmarkStart w:id="1124" w:name="_Toc495653088"/>
      <w:r w:rsidRPr="00883399">
        <w:rPr>
          <w:rStyle w:val="CharSubdNo"/>
          <w:sz w:val="28"/>
        </w:rPr>
        <w:t>Subdivision 5.2.3.1</w:t>
      </w:r>
      <w:r w:rsidRPr="00883399">
        <w:rPr>
          <w:sz w:val="28"/>
        </w:rPr>
        <w:t>—</w:t>
      </w:r>
      <w:r w:rsidRPr="00883399">
        <w:rPr>
          <w:rStyle w:val="CharSubdText"/>
          <w:sz w:val="28"/>
        </w:rPr>
        <w:t>methane released from landfills</w:t>
      </w:r>
      <w:bookmarkEnd w:id="1123"/>
      <w:bookmarkEnd w:id="1124"/>
    </w:p>
    <w:p w14:paraId="20B47225" w14:textId="1F4E90AD" w:rsidR="00872C03" w:rsidRPr="00883399" w:rsidRDefault="00872C03" w:rsidP="00872C03">
      <w:pPr>
        <w:pStyle w:val="ActHead5"/>
        <w:rPr>
          <w:sz w:val="28"/>
        </w:rPr>
      </w:pPr>
      <w:bookmarkStart w:id="1125" w:name="_Toc423517158"/>
      <w:bookmarkStart w:id="1126" w:name="_Toc495653089"/>
      <w:r w:rsidRPr="00883399">
        <w:rPr>
          <w:rStyle w:val="CharSectno"/>
          <w:sz w:val="28"/>
        </w:rPr>
        <w:t>5.15</w:t>
      </w:r>
      <w:r w:rsidRPr="00883399">
        <w:rPr>
          <w:sz w:val="28"/>
        </w:rPr>
        <w:t xml:space="preserve">  Method 2—methane released by landfill (other than from flaring of methane)</w:t>
      </w:r>
      <w:bookmarkEnd w:id="1125"/>
      <w:bookmarkEnd w:id="1126"/>
    </w:p>
    <w:p w14:paraId="458BBDBF" w14:textId="77777777" w:rsidR="00047406" w:rsidRPr="00883399" w:rsidRDefault="00047406" w:rsidP="00047406">
      <w:pPr>
        <w:pStyle w:val="Text"/>
        <w:rPr>
          <w:rFonts w:ascii="Arial" w:hAnsi="Arial" w:cs="Arial"/>
          <w:sz w:val="22"/>
          <w:szCs w:val="22"/>
        </w:rPr>
      </w:pPr>
      <w:r w:rsidRPr="00883399">
        <w:rPr>
          <w:rFonts w:ascii="Arial" w:hAnsi="Arial" w:cs="Arial"/>
          <w:sz w:val="22"/>
          <w:szCs w:val="22"/>
        </w:rPr>
        <w:t xml:space="preserve">Section 5.15 sets out Method 2, which is based on the method published in the </w:t>
      </w:r>
      <w:r w:rsidRPr="00883399">
        <w:rPr>
          <w:rFonts w:ascii="Arial" w:hAnsi="Arial" w:cs="Arial"/>
          <w:i/>
          <w:sz w:val="22"/>
          <w:szCs w:val="22"/>
        </w:rPr>
        <w:t xml:space="preserve">IPCC 2000 Good Practice Guidance and Uncertainty Management in National Greenhouse Gas Inventories.  </w:t>
      </w:r>
      <w:r w:rsidRPr="00883399">
        <w:rPr>
          <w:rFonts w:ascii="Arial" w:hAnsi="Arial" w:cs="Arial"/>
          <w:sz w:val="22"/>
          <w:szCs w:val="22"/>
        </w:rPr>
        <w:t xml:space="preserve">  </w:t>
      </w:r>
    </w:p>
    <w:p w14:paraId="1CFB2D18" w14:textId="77777777" w:rsidR="00872C03" w:rsidRPr="00883399" w:rsidRDefault="00047406" w:rsidP="00047406">
      <w:pPr>
        <w:pStyle w:val="subsection"/>
        <w:rPr>
          <w:sz w:val="24"/>
        </w:rPr>
      </w:pPr>
      <w:r w:rsidRPr="00883399">
        <w:rPr>
          <w:sz w:val="24"/>
        </w:rPr>
        <w:t xml:space="preserve"> </w:t>
      </w:r>
      <w:r w:rsidRPr="00883399">
        <w:rPr>
          <w:sz w:val="24"/>
        </w:rPr>
        <w:tab/>
      </w:r>
      <w:r w:rsidR="00872C03" w:rsidRPr="00883399">
        <w:rPr>
          <w:sz w:val="24"/>
        </w:rPr>
        <w:t>(1)</w:t>
      </w:r>
      <w:r w:rsidR="00872C03" w:rsidRPr="00883399">
        <w:rPr>
          <w:sz w:val="24"/>
        </w:rPr>
        <w:tab/>
        <w:t>For subparagraph 5.3(1)(a)(ii), method 2 is that the following calculations must be performed:</w:t>
      </w:r>
    </w:p>
    <w:p w14:paraId="6AFDA9FD" w14:textId="77777777" w:rsidR="00872C03" w:rsidRPr="00883399" w:rsidRDefault="00872C03" w:rsidP="00872C03">
      <w:pPr>
        <w:pStyle w:val="paragraph"/>
        <w:rPr>
          <w:sz w:val="24"/>
        </w:rPr>
      </w:pPr>
      <w:r w:rsidRPr="00883399">
        <w:rPr>
          <w:sz w:val="24"/>
        </w:rPr>
        <w:tab/>
        <w:t>(a)</w:t>
      </w:r>
      <w:r w:rsidRPr="00883399">
        <w:rPr>
          <w:sz w:val="24"/>
        </w:rPr>
        <w:tab/>
        <w:t>calculate the amount of methane emissions released by the landfill during the reporting year, measured in CO</w:t>
      </w:r>
      <w:r w:rsidRPr="00883399">
        <w:rPr>
          <w:sz w:val="24"/>
          <w:vertAlign w:val="subscript"/>
        </w:rPr>
        <w:t>2</w:t>
      </w:r>
      <w:r w:rsidRPr="00883399">
        <w:rPr>
          <w:sz w:val="24"/>
        </w:rPr>
        <w:noBreakHyphen/>
        <w:t>e tonnes, using the following equation:</w:t>
      </w:r>
    </w:p>
    <w:p w14:paraId="206F3890" w14:textId="77777777" w:rsidR="00872C03" w:rsidRPr="00883399" w:rsidRDefault="00872C03" w:rsidP="00872C03">
      <w:pPr>
        <w:pStyle w:val="paragraph"/>
        <w:spacing w:before="120" w:after="120"/>
        <w:rPr>
          <w:sz w:val="24"/>
        </w:rPr>
      </w:pPr>
      <w:r w:rsidRPr="00883399">
        <w:rPr>
          <w:b/>
          <w:i/>
          <w:sz w:val="24"/>
        </w:rPr>
        <w:tab/>
      </w:r>
      <w:r w:rsidRPr="00883399">
        <w:rPr>
          <w:b/>
          <w:i/>
          <w:sz w:val="24"/>
        </w:rPr>
        <w:tab/>
        <w:t>E</w:t>
      </w:r>
      <w:r w:rsidRPr="00883399">
        <w:rPr>
          <w:b/>
          <w:i/>
          <w:sz w:val="24"/>
          <w:vertAlign w:val="subscript"/>
        </w:rPr>
        <w:t>j</w:t>
      </w:r>
      <w:r w:rsidRPr="00883399">
        <w:rPr>
          <w:sz w:val="24"/>
        </w:rPr>
        <w:t xml:space="preserve"> = </w:t>
      </w:r>
      <w:r w:rsidRPr="00883399">
        <w:rPr>
          <w:b/>
          <w:i/>
          <w:sz w:val="24"/>
        </w:rPr>
        <w:t>∑</w:t>
      </w:r>
      <w:r w:rsidRPr="00883399">
        <w:rPr>
          <w:rFonts w:ascii="Times New Roman Bold Italic" w:hAnsi="Times New Roman Bold Italic"/>
          <w:b/>
          <w:i/>
          <w:sz w:val="24"/>
          <w:vertAlign w:val="subscript"/>
        </w:rPr>
        <w:t>z</w:t>
      </w:r>
      <w:r w:rsidRPr="00883399">
        <w:rPr>
          <w:b/>
          <w:i/>
          <w:sz w:val="24"/>
        </w:rPr>
        <w:t xml:space="preserve"> E</w:t>
      </w:r>
      <w:r w:rsidRPr="00883399">
        <w:rPr>
          <w:rFonts w:ascii="Times New Roman Bold Italic" w:hAnsi="Times New Roman Bold Italic"/>
          <w:b/>
          <w:i/>
          <w:sz w:val="24"/>
          <w:vertAlign w:val="subscript"/>
        </w:rPr>
        <w:t>jz</w:t>
      </w:r>
      <w:r w:rsidRPr="00883399">
        <w:rPr>
          <w:sz w:val="24"/>
        </w:rPr>
        <w:t>; and</w:t>
      </w:r>
    </w:p>
    <w:p w14:paraId="65D9A448" w14:textId="77777777" w:rsidR="00872C03" w:rsidRPr="00883399" w:rsidRDefault="00872C03" w:rsidP="00872C03">
      <w:pPr>
        <w:pStyle w:val="paragraph"/>
        <w:rPr>
          <w:sz w:val="24"/>
        </w:rPr>
      </w:pPr>
      <w:r w:rsidRPr="00883399">
        <w:rPr>
          <w:sz w:val="24"/>
        </w:rPr>
        <w:tab/>
        <w:t>(b)</w:t>
      </w:r>
      <w:r w:rsidRPr="00883399">
        <w:rPr>
          <w:sz w:val="24"/>
        </w:rPr>
        <w:tab/>
        <w:t>calculate the amount of emissions of methane released by the landfill from a sub</w:t>
      </w:r>
      <w:r w:rsidRPr="00883399">
        <w:rPr>
          <w:sz w:val="24"/>
        </w:rPr>
        <w:noBreakHyphen/>
        <w:t>facility zone during the reporting year, measured in CO</w:t>
      </w:r>
      <w:r w:rsidRPr="00883399">
        <w:rPr>
          <w:sz w:val="24"/>
          <w:vertAlign w:val="subscript"/>
        </w:rPr>
        <w:t>2</w:t>
      </w:r>
      <w:r w:rsidRPr="00883399">
        <w:rPr>
          <w:sz w:val="24"/>
        </w:rPr>
        <w:noBreakHyphen/>
        <w:t>e tonnes, using the following equation:</w:t>
      </w:r>
    </w:p>
    <w:p w14:paraId="6980524B" w14:textId="77777777" w:rsidR="00872C03" w:rsidRPr="00883399" w:rsidRDefault="00872C03" w:rsidP="00872C03">
      <w:pPr>
        <w:pStyle w:val="paragraph"/>
        <w:spacing w:before="120" w:after="120"/>
        <w:rPr>
          <w:sz w:val="24"/>
        </w:rPr>
      </w:pPr>
      <w:r w:rsidRPr="00883399">
        <w:rPr>
          <w:b/>
          <w:i/>
          <w:sz w:val="24"/>
        </w:rPr>
        <w:tab/>
      </w:r>
      <w:r w:rsidRPr="00883399">
        <w:rPr>
          <w:b/>
          <w:i/>
          <w:sz w:val="24"/>
        </w:rPr>
        <w:tab/>
        <w:t>E</w:t>
      </w:r>
      <w:r w:rsidRPr="00883399">
        <w:rPr>
          <w:rFonts w:ascii="Times New Roman Bold Italic" w:hAnsi="Times New Roman Bold Italic"/>
          <w:b/>
          <w:i/>
          <w:sz w:val="24"/>
          <w:vertAlign w:val="subscript"/>
        </w:rPr>
        <w:t>jz</w:t>
      </w:r>
      <w:r w:rsidRPr="00883399">
        <w:rPr>
          <w:sz w:val="24"/>
        </w:rPr>
        <w:t xml:space="preserve"> = [CH</w:t>
      </w:r>
      <w:r w:rsidRPr="00883399">
        <w:rPr>
          <w:sz w:val="24"/>
          <w:vertAlign w:val="subscript"/>
        </w:rPr>
        <w:t>4</w:t>
      </w:r>
      <w:r w:rsidRPr="00883399">
        <w:rPr>
          <w:i/>
          <w:sz w:val="24"/>
          <w:vertAlign w:val="subscript"/>
        </w:rPr>
        <w:t>genz</w:t>
      </w:r>
      <w:r w:rsidRPr="00883399">
        <w:rPr>
          <w:sz w:val="24"/>
        </w:rPr>
        <w:t xml:space="preserve"> – γ(Q</w:t>
      </w:r>
      <w:r w:rsidRPr="00883399">
        <w:rPr>
          <w:i/>
          <w:sz w:val="24"/>
          <w:vertAlign w:val="subscript"/>
        </w:rPr>
        <w:t>capz</w:t>
      </w:r>
      <w:r w:rsidRPr="00883399">
        <w:rPr>
          <w:sz w:val="24"/>
        </w:rPr>
        <w:t>+ Q</w:t>
      </w:r>
      <w:r w:rsidRPr="00883399">
        <w:rPr>
          <w:i/>
          <w:sz w:val="24"/>
          <w:vertAlign w:val="subscript"/>
        </w:rPr>
        <w:t>flaredz</w:t>
      </w:r>
      <w:r w:rsidRPr="00883399">
        <w:rPr>
          <w:rFonts w:ascii="Times New Roman Bold Italic" w:hAnsi="Times New Roman Bold Italic"/>
          <w:sz w:val="24"/>
          <w:vertAlign w:val="subscript"/>
        </w:rPr>
        <w:t xml:space="preserve"> </w:t>
      </w:r>
      <w:r w:rsidRPr="00883399">
        <w:rPr>
          <w:sz w:val="24"/>
        </w:rPr>
        <w:t>+ Q</w:t>
      </w:r>
      <w:r w:rsidRPr="00883399">
        <w:rPr>
          <w:i/>
          <w:sz w:val="24"/>
          <w:vertAlign w:val="subscript"/>
        </w:rPr>
        <w:t>trz</w:t>
      </w:r>
      <w:r w:rsidRPr="00883399">
        <w:rPr>
          <w:sz w:val="24"/>
        </w:rPr>
        <w:t xml:space="preserve">)] </w:t>
      </w:r>
      <w:r w:rsidRPr="00883399">
        <w:rPr>
          <w:sz w:val="24"/>
        </w:rPr>
        <w:sym w:font="Wingdings 2" w:char="F0CD"/>
      </w:r>
      <w:r w:rsidRPr="00883399">
        <w:rPr>
          <w:sz w:val="24"/>
        </w:rPr>
        <w:t xml:space="preserve"> (1 − OF)</w:t>
      </w:r>
    </w:p>
    <w:p w14:paraId="7AE1F5E9" w14:textId="77777777" w:rsidR="00872C03" w:rsidRPr="00883399" w:rsidRDefault="00872C03" w:rsidP="00872C03">
      <w:pPr>
        <w:pStyle w:val="subsection2"/>
        <w:rPr>
          <w:sz w:val="24"/>
        </w:rPr>
      </w:pPr>
      <w:r w:rsidRPr="00883399">
        <w:rPr>
          <w:sz w:val="24"/>
        </w:rPr>
        <w:t>where:</w:t>
      </w:r>
    </w:p>
    <w:p w14:paraId="49A3F6B6" w14:textId="77777777" w:rsidR="00872C03" w:rsidRPr="00883399" w:rsidRDefault="00872C03" w:rsidP="00872C03">
      <w:pPr>
        <w:pStyle w:val="Definition0"/>
        <w:rPr>
          <w:sz w:val="24"/>
        </w:rPr>
      </w:pPr>
      <w:r w:rsidRPr="00883399">
        <w:rPr>
          <w:b/>
          <w:i/>
          <w:sz w:val="24"/>
        </w:rPr>
        <w:t>E</w:t>
      </w:r>
      <w:r w:rsidRPr="00883399">
        <w:rPr>
          <w:rStyle w:val="charSubscript"/>
          <w:b/>
          <w:i/>
          <w:sz w:val="22"/>
        </w:rPr>
        <w:t>j</w:t>
      </w:r>
      <w:r w:rsidRPr="00883399">
        <w:rPr>
          <w:b/>
          <w:i/>
          <w:sz w:val="24"/>
        </w:rPr>
        <w:t xml:space="preserve"> </w:t>
      </w:r>
      <w:r w:rsidRPr="00883399">
        <w:rPr>
          <w:sz w:val="24"/>
        </w:rPr>
        <w:t>is the emissions of methane released by the landfill during the reporting year, measured in CO</w:t>
      </w:r>
      <w:r w:rsidRPr="00883399">
        <w:rPr>
          <w:sz w:val="24"/>
          <w:vertAlign w:val="subscript"/>
        </w:rPr>
        <w:t>2</w:t>
      </w:r>
      <w:r w:rsidRPr="00883399">
        <w:rPr>
          <w:sz w:val="24"/>
        </w:rPr>
        <w:noBreakHyphen/>
        <w:t>e tonnes.</w:t>
      </w:r>
    </w:p>
    <w:p w14:paraId="323C82C1" w14:textId="77777777" w:rsidR="00872C03" w:rsidRPr="00883399" w:rsidRDefault="00872C03" w:rsidP="00872C03">
      <w:pPr>
        <w:pStyle w:val="Definition0"/>
        <w:rPr>
          <w:sz w:val="24"/>
        </w:rPr>
      </w:pPr>
      <w:r w:rsidRPr="00883399">
        <w:rPr>
          <w:b/>
          <w:i/>
          <w:sz w:val="24"/>
        </w:rPr>
        <w:t>E</w:t>
      </w:r>
      <w:r w:rsidRPr="00883399">
        <w:rPr>
          <w:rFonts w:ascii="Times New Roman Bold Italic" w:hAnsi="Times New Roman Bold Italic"/>
          <w:b/>
          <w:i/>
          <w:sz w:val="24"/>
          <w:vertAlign w:val="subscript"/>
        </w:rPr>
        <w:t xml:space="preserve">jz </w:t>
      </w:r>
      <w:r w:rsidRPr="00883399">
        <w:rPr>
          <w:sz w:val="24"/>
        </w:rPr>
        <w:t>is the emissions of methane released by the landfill from a sub</w:t>
      </w:r>
      <w:r w:rsidRPr="00883399">
        <w:rPr>
          <w:sz w:val="24"/>
        </w:rPr>
        <w:noBreakHyphen/>
        <w:t>facility zone during the reporting year, measured in CO</w:t>
      </w:r>
      <w:r w:rsidRPr="00883399">
        <w:rPr>
          <w:sz w:val="24"/>
          <w:vertAlign w:val="subscript"/>
        </w:rPr>
        <w:t>2</w:t>
      </w:r>
      <w:r w:rsidRPr="00883399">
        <w:rPr>
          <w:sz w:val="24"/>
        </w:rPr>
        <w:noBreakHyphen/>
        <w:t>e tonnes.</w:t>
      </w:r>
    </w:p>
    <w:p w14:paraId="5670E966" w14:textId="77777777" w:rsidR="00872C03" w:rsidRPr="00883399" w:rsidRDefault="00872C03" w:rsidP="00872C03">
      <w:pPr>
        <w:pStyle w:val="Definition0"/>
        <w:rPr>
          <w:sz w:val="24"/>
        </w:rPr>
      </w:pPr>
      <w:r w:rsidRPr="00883399">
        <w:rPr>
          <w:b/>
          <w:i/>
          <w:sz w:val="24"/>
        </w:rPr>
        <w:t>CH</w:t>
      </w:r>
      <w:r w:rsidRPr="00883399">
        <w:rPr>
          <w:b/>
          <w:i/>
          <w:sz w:val="24"/>
          <w:vertAlign w:val="subscript"/>
        </w:rPr>
        <w:t>4genz</w:t>
      </w:r>
      <w:r w:rsidRPr="00883399">
        <w:rPr>
          <w:b/>
          <w:i/>
          <w:sz w:val="24"/>
        </w:rPr>
        <w:t xml:space="preserve"> </w:t>
      </w:r>
      <w:r w:rsidRPr="00883399">
        <w:rPr>
          <w:sz w:val="24"/>
        </w:rPr>
        <w:t>is the estimated quantity of methane in landfill gas generated by the landfill from a sub</w:t>
      </w:r>
      <w:r w:rsidRPr="00883399">
        <w:rPr>
          <w:sz w:val="24"/>
        </w:rPr>
        <w:noBreakHyphen/>
        <w:t>facility zone during the reporting year, worked out in accordance with subsection (2), measured in CO</w:t>
      </w:r>
      <w:r w:rsidRPr="00883399">
        <w:rPr>
          <w:sz w:val="24"/>
          <w:vertAlign w:val="subscript"/>
        </w:rPr>
        <w:t>2</w:t>
      </w:r>
      <w:r w:rsidRPr="00883399">
        <w:rPr>
          <w:sz w:val="24"/>
        </w:rPr>
        <w:noBreakHyphen/>
        <w:t>e tonnes.</w:t>
      </w:r>
    </w:p>
    <w:p w14:paraId="44B6CC3D" w14:textId="77777777" w:rsidR="00872C03" w:rsidRPr="00883399" w:rsidRDefault="00872C03" w:rsidP="00872C03">
      <w:pPr>
        <w:pStyle w:val="Definition0"/>
        <w:rPr>
          <w:sz w:val="24"/>
        </w:rPr>
      </w:pPr>
      <w:r w:rsidRPr="00883399">
        <w:rPr>
          <w:b/>
          <w:i/>
          <w:sz w:val="24"/>
        </w:rPr>
        <w:t xml:space="preserve">γ </w:t>
      </w:r>
      <w:r w:rsidRPr="00883399">
        <w:rPr>
          <w:sz w:val="24"/>
        </w:rPr>
        <w:t xml:space="preserve">is the factor 6.784 </w:t>
      </w:r>
      <w:r w:rsidRPr="00883399">
        <w:rPr>
          <w:sz w:val="24"/>
        </w:rPr>
        <w:sym w:font="Wingdings 2" w:char="F0CD"/>
      </w:r>
      <w:r w:rsidRPr="00883399">
        <w:rPr>
          <w:sz w:val="24"/>
        </w:rPr>
        <w:t xml:space="preserve"> 10</w:t>
      </w:r>
      <w:r w:rsidRPr="00883399">
        <w:rPr>
          <w:sz w:val="24"/>
          <w:vertAlign w:val="superscript"/>
        </w:rPr>
        <w:noBreakHyphen/>
        <w:t xml:space="preserve">4 </w:t>
      </w:r>
      <w:r w:rsidRPr="00883399">
        <w:rPr>
          <w:sz w:val="24"/>
        </w:rPr>
        <w:sym w:font="Wingdings 2" w:char="F0CD"/>
      </w:r>
      <w:r w:rsidRPr="00883399">
        <w:rPr>
          <w:sz w:val="24"/>
        </w:rPr>
        <w:t xml:space="preserve"> 25 converting cubic metres of methane at standard conditions measured to CO</w:t>
      </w:r>
      <w:r w:rsidRPr="00883399">
        <w:rPr>
          <w:sz w:val="24"/>
          <w:vertAlign w:val="subscript"/>
        </w:rPr>
        <w:t>2</w:t>
      </w:r>
      <w:r w:rsidRPr="00883399">
        <w:rPr>
          <w:sz w:val="24"/>
        </w:rPr>
        <w:noBreakHyphen/>
        <w:t>e tonnes.</w:t>
      </w:r>
    </w:p>
    <w:p w14:paraId="33C6265D" w14:textId="77777777" w:rsidR="00872C03" w:rsidRPr="00883399" w:rsidRDefault="00872C03" w:rsidP="00872C03">
      <w:pPr>
        <w:pStyle w:val="Definition0"/>
        <w:rPr>
          <w:sz w:val="24"/>
        </w:rPr>
      </w:pPr>
      <w:r w:rsidRPr="00883399">
        <w:rPr>
          <w:b/>
          <w:i/>
          <w:sz w:val="24"/>
        </w:rPr>
        <w:t>Q</w:t>
      </w:r>
      <w:r w:rsidRPr="00883399">
        <w:rPr>
          <w:b/>
          <w:i/>
          <w:sz w:val="24"/>
          <w:vertAlign w:val="subscript"/>
        </w:rPr>
        <w:t>capz</w:t>
      </w:r>
      <w:r w:rsidRPr="00883399">
        <w:rPr>
          <w:b/>
          <w:i/>
          <w:sz w:val="24"/>
        </w:rPr>
        <w:t xml:space="preserve"> </w:t>
      </w:r>
      <w:r w:rsidRPr="00883399">
        <w:rPr>
          <w:sz w:val="24"/>
        </w:rPr>
        <w:t>is the quantity of methane in landfill gas captured for combustion by the landfill from a sub</w:t>
      </w:r>
      <w:r w:rsidRPr="00883399">
        <w:rPr>
          <w:sz w:val="24"/>
        </w:rPr>
        <w:noBreakHyphen/>
        <w:t>facility zone during the reporting year, measured in cubic metres in accordance with Division 2.3.6.</w:t>
      </w:r>
    </w:p>
    <w:p w14:paraId="53BA8E55" w14:textId="77777777" w:rsidR="00872C03" w:rsidRPr="00883399" w:rsidRDefault="00872C03" w:rsidP="00872C03">
      <w:pPr>
        <w:pStyle w:val="Definition0"/>
        <w:rPr>
          <w:b/>
          <w:i/>
          <w:sz w:val="24"/>
        </w:rPr>
      </w:pPr>
      <w:r w:rsidRPr="00883399">
        <w:rPr>
          <w:b/>
          <w:i/>
          <w:sz w:val="24"/>
        </w:rPr>
        <w:lastRenderedPageBreak/>
        <w:t>Q</w:t>
      </w:r>
      <w:r w:rsidRPr="00883399">
        <w:rPr>
          <w:b/>
          <w:i/>
          <w:sz w:val="24"/>
          <w:vertAlign w:val="subscript"/>
        </w:rPr>
        <w:t xml:space="preserve">flaredz </w:t>
      </w:r>
      <w:r w:rsidRPr="00883399">
        <w:rPr>
          <w:sz w:val="24"/>
        </w:rPr>
        <w:t>is the quantity of methane in landfill gas flared by the landfill from a sub</w:t>
      </w:r>
      <w:r w:rsidRPr="00883399">
        <w:rPr>
          <w:sz w:val="24"/>
        </w:rPr>
        <w:noBreakHyphen/>
        <w:t>facility zone during the reporting year, measured in cubic metres in accordance with Division 2.3.6.</w:t>
      </w:r>
    </w:p>
    <w:p w14:paraId="36F336D6" w14:textId="77777777" w:rsidR="00872C03" w:rsidRPr="00883399" w:rsidRDefault="00872C03" w:rsidP="00872C03">
      <w:pPr>
        <w:pStyle w:val="Definition0"/>
        <w:rPr>
          <w:sz w:val="24"/>
        </w:rPr>
      </w:pPr>
      <w:r w:rsidRPr="00883399">
        <w:rPr>
          <w:b/>
          <w:i/>
          <w:sz w:val="24"/>
        </w:rPr>
        <w:t>Q</w:t>
      </w:r>
      <w:r w:rsidRPr="00883399">
        <w:rPr>
          <w:b/>
          <w:i/>
          <w:sz w:val="24"/>
          <w:vertAlign w:val="subscript"/>
        </w:rPr>
        <w:t>trz</w:t>
      </w:r>
      <w:r w:rsidRPr="00883399">
        <w:rPr>
          <w:b/>
          <w:i/>
          <w:sz w:val="24"/>
        </w:rPr>
        <w:t xml:space="preserve"> </w:t>
      </w:r>
      <w:r w:rsidRPr="00883399">
        <w:rPr>
          <w:sz w:val="24"/>
        </w:rPr>
        <w:t>is the quantity of methane in landfill gas transferred out of the landfill from a sub</w:t>
      </w:r>
      <w:r w:rsidRPr="00883399">
        <w:rPr>
          <w:sz w:val="24"/>
        </w:rPr>
        <w:noBreakHyphen/>
        <w:t>facility zone during the reporting year, measured in cubic metres in accordance with Division 2.3.6.</w:t>
      </w:r>
    </w:p>
    <w:p w14:paraId="2B8B6F0F" w14:textId="77777777" w:rsidR="00872C03" w:rsidRPr="00883399" w:rsidRDefault="00872C03" w:rsidP="00872C03">
      <w:pPr>
        <w:pStyle w:val="Definition0"/>
        <w:rPr>
          <w:sz w:val="24"/>
        </w:rPr>
      </w:pPr>
      <w:r w:rsidRPr="00883399">
        <w:rPr>
          <w:b/>
          <w:i/>
          <w:sz w:val="24"/>
        </w:rPr>
        <w:t xml:space="preserve">OF </w:t>
      </w:r>
      <w:r w:rsidRPr="00883399">
        <w:rPr>
          <w:sz w:val="24"/>
        </w:rPr>
        <w:t>is the oxidation factor (0.1) for near surface methane in the landfill.</w:t>
      </w:r>
    </w:p>
    <w:p w14:paraId="1F305896" w14:textId="77777777" w:rsidR="00872C03" w:rsidRPr="00883399" w:rsidRDefault="00872C03" w:rsidP="00872C03">
      <w:pPr>
        <w:pStyle w:val="Definition0"/>
        <w:rPr>
          <w:sz w:val="24"/>
        </w:rPr>
      </w:pPr>
      <w:r w:rsidRPr="00883399">
        <w:rPr>
          <w:b/>
          <w:i/>
          <w:sz w:val="24"/>
        </w:rPr>
        <w:t>∑</w:t>
      </w:r>
      <w:r w:rsidRPr="00883399">
        <w:rPr>
          <w:rFonts w:ascii="Times New Roman Bold Italic" w:hAnsi="Times New Roman Bold Italic"/>
          <w:b/>
          <w:i/>
          <w:sz w:val="24"/>
          <w:vertAlign w:val="subscript"/>
        </w:rPr>
        <w:t>z</w:t>
      </w:r>
      <w:r w:rsidRPr="00883399">
        <w:rPr>
          <w:b/>
          <w:i/>
          <w:sz w:val="24"/>
          <w:vertAlign w:val="subscript"/>
        </w:rPr>
        <w:t xml:space="preserve"> </w:t>
      </w:r>
      <w:r w:rsidRPr="00883399">
        <w:rPr>
          <w:sz w:val="24"/>
        </w:rPr>
        <w:t>is sum for all sub</w:t>
      </w:r>
      <w:r w:rsidRPr="00883399">
        <w:rPr>
          <w:sz w:val="24"/>
        </w:rPr>
        <w:noBreakHyphen/>
        <w:t>facility zones.</w:t>
      </w:r>
    </w:p>
    <w:p w14:paraId="1CC32692" w14:textId="77777777" w:rsidR="00872C03" w:rsidRPr="00883399" w:rsidRDefault="00872C03" w:rsidP="00872C03">
      <w:pPr>
        <w:pStyle w:val="subsection"/>
        <w:rPr>
          <w:sz w:val="24"/>
        </w:rPr>
      </w:pPr>
      <w:r w:rsidRPr="00883399">
        <w:rPr>
          <w:sz w:val="24"/>
        </w:rPr>
        <w:tab/>
        <w:t>(2)</w:t>
      </w:r>
      <w:r w:rsidRPr="00883399">
        <w:rPr>
          <w:sz w:val="24"/>
        </w:rPr>
        <w:tab/>
        <w:t xml:space="preserve">For paragraph (1)(b), </w:t>
      </w:r>
      <w:r w:rsidRPr="00883399">
        <w:rPr>
          <w:b/>
          <w:i/>
          <w:sz w:val="24"/>
        </w:rPr>
        <w:t>CH</w:t>
      </w:r>
      <w:r w:rsidRPr="00883399">
        <w:rPr>
          <w:b/>
          <w:i/>
          <w:sz w:val="24"/>
          <w:vertAlign w:val="subscript"/>
        </w:rPr>
        <w:t>4genz</w:t>
      </w:r>
      <w:r w:rsidRPr="00883399">
        <w:rPr>
          <w:sz w:val="24"/>
        </w:rPr>
        <w:t xml:space="preserve"> for each </w:t>
      </w:r>
      <w:r w:rsidRPr="00883399">
        <w:rPr>
          <w:sz w:val="24"/>
          <w:szCs w:val="22"/>
        </w:rPr>
        <w:t>sub</w:t>
      </w:r>
      <w:r w:rsidRPr="00883399">
        <w:rPr>
          <w:sz w:val="24"/>
          <w:szCs w:val="22"/>
        </w:rPr>
        <w:noBreakHyphen/>
        <w:t>facility</w:t>
      </w:r>
      <w:r w:rsidRPr="00883399">
        <w:rPr>
          <w:sz w:val="24"/>
        </w:rPr>
        <w:t xml:space="preserve"> zone must be worked out:</w:t>
      </w:r>
    </w:p>
    <w:p w14:paraId="05AB6BBC" w14:textId="77777777" w:rsidR="00872C03" w:rsidRPr="00883399" w:rsidRDefault="00872C03" w:rsidP="00872C03">
      <w:pPr>
        <w:pStyle w:val="paragraph"/>
        <w:rPr>
          <w:sz w:val="24"/>
        </w:rPr>
      </w:pPr>
      <w:r w:rsidRPr="00883399">
        <w:rPr>
          <w:sz w:val="24"/>
        </w:rPr>
        <w:tab/>
        <w:t>(a)</w:t>
      </w:r>
      <w:r w:rsidRPr="00883399">
        <w:rPr>
          <w:sz w:val="24"/>
        </w:rPr>
        <w:tab/>
        <w:t>using the estimates mentioned in section 5.4A and the equations mentioned in sections 5.4B, 5.4C and 5.4D; and</w:t>
      </w:r>
    </w:p>
    <w:p w14:paraId="1C50C3B8" w14:textId="77777777" w:rsidR="00872C03" w:rsidRPr="00883399" w:rsidRDefault="00872C03" w:rsidP="00872C03">
      <w:pPr>
        <w:pStyle w:val="paragraph"/>
        <w:rPr>
          <w:sz w:val="24"/>
        </w:rPr>
      </w:pPr>
      <w:r w:rsidRPr="00883399">
        <w:rPr>
          <w:sz w:val="24"/>
        </w:rPr>
        <w:tab/>
        <w:t>(b)</w:t>
      </w:r>
      <w:r w:rsidRPr="00883399">
        <w:rPr>
          <w:sz w:val="24"/>
        </w:rPr>
        <w:tab/>
        <w:t>for each waste mix type mentioned in column 3 of the table in subsection 5.14(6)—using the method for working out the methane generation constant and the formula for calculating the adjusted methane generation constant mentioned in section 5.17L.</w:t>
      </w:r>
    </w:p>
    <w:p w14:paraId="61713B10" w14:textId="77777777" w:rsidR="00872C03" w:rsidRPr="00883399" w:rsidRDefault="00872C03" w:rsidP="00872C03">
      <w:pPr>
        <w:pStyle w:val="subsection"/>
        <w:rPr>
          <w:sz w:val="24"/>
        </w:rPr>
      </w:pPr>
      <w:r w:rsidRPr="00883399">
        <w:rPr>
          <w:sz w:val="24"/>
        </w:rPr>
        <w:tab/>
        <w:t>(3)</w:t>
      </w:r>
      <w:r w:rsidRPr="00883399">
        <w:rPr>
          <w:sz w:val="24"/>
        </w:rPr>
        <w:tab/>
        <w:t>For subsection (1), for a landfill, if:</w:t>
      </w:r>
    </w:p>
    <w:p w14:paraId="4FF3D11E" w14:textId="6FCAEA01"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66C80667" wp14:editId="22AA7C6E">
            <wp:extent cx="1531620" cy="487045"/>
            <wp:effectExtent l="1905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58"/>
                    <a:srcRect/>
                    <a:stretch>
                      <a:fillRect/>
                    </a:stretch>
                  </pic:blipFill>
                  <pic:spPr bwMode="auto">
                    <a:xfrm>
                      <a:off x="0" y="0"/>
                      <a:ext cx="1531620" cy="487045"/>
                    </a:xfrm>
                    <a:prstGeom prst="rect">
                      <a:avLst/>
                    </a:prstGeom>
                    <a:noFill/>
                    <a:ln w="9525">
                      <a:noFill/>
                      <a:miter lim="800000"/>
                      <a:headEnd/>
                      <a:tailEnd/>
                    </a:ln>
                  </pic:spPr>
                </pic:pic>
              </a:graphicData>
            </a:graphic>
          </wp:inline>
        </w:drawing>
      </w:r>
    </w:p>
    <w:p w14:paraId="57AA52D9" w14:textId="77777777" w:rsidR="00872C03" w:rsidRPr="00883399" w:rsidRDefault="00872C03" w:rsidP="00872C03">
      <w:pPr>
        <w:pStyle w:val="subsection2"/>
        <w:rPr>
          <w:sz w:val="24"/>
        </w:rPr>
      </w:pPr>
      <w:r w:rsidRPr="00883399">
        <w:rPr>
          <w:sz w:val="24"/>
        </w:rPr>
        <w:t>is less than or equal to the collection efficiency amount for the landfill calculated in accordance with section 5.15C, then:</w:t>
      </w:r>
    </w:p>
    <w:p w14:paraId="3C393EB3" w14:textId="7AE46A26" w:rsidR="00872C03" w:rsidRPr="00883399" w:rsidRDefault="00872C03" w:rsidP="00872C03">
      <w:pPr>
        <w:pStyle w:val="subsection2"/>
        <w:spacing w:before="120" w:after="120"/>
        <w:rPr>
          <w:sz w:val="24"/>
        </w:rPr>
      </w:pPr>
      <w:r w:rsidRPr="00883399">
        <w:rPr>
          <w:noProof/>
          <w:sz w:val="24"/>
        </w:rPr>
        <w:drawing>
          <wp:inline distT="0" distB="0" distL="0" distR="0" wp14:anchorId="017447BB" wp14:editId="64F07426">
            <wp:extent cx="985520" cy="297180"/>
            <wp:effectExtent l="19050" t="0" r="508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59"/>
                    <a:srcRect/>
                    <a:stretch>
                      <a:fillRect/>
                    </a:stretch>
                  </pic:blipFill>
                  <pic:spPr bwMode="auto">
                    <a:xfrm>
                      <a:off x="0" y="0"/>
                      <a:ext cx="985520" cy="297180"/>
                    </a:xfrm>
                    <a:prstGeom prst="rect">
                      <a:avLst/>
                    </a:prstGeom>
                    <a:noFill/>
                    <a:ln w="9525">
                      <a:noFill/>
                      <a:miter lim="800000"/>
                      <a:headEnd/>
                      <a:tailEnd/>
                    </a:ln>
                  </pic:spPr>
                </pic:pic>
              </a:graphicData>
            </a:graphic>
          </wp:inline>
        </w:drawing>
      </w:r>
    </w:p>
    <w:p w14:paraId="7B273A22" w14:textId="77777777" w:rsidR="00872C03" w:rsidRPr="00883399" w:rsidRDefault="00872C03" w:rsidP="00872C03">
      <w:pPr>
        <w:pStyle w:val="subsection2"/>
        <w:rPr>
          <w:sz w:val="24"/>
        </w:rPr>
      </w:pPr>
      <w:r w:rsidRPr="00883399">
        <w:rPr>
          <w:sz w:val="24"/>
        </w:rPr>
        <w:t>where:</w:t>
      </w:r>
    </w:p>
    <w:p w14:paraId="2AEE13C7" w14:textId="77777777" w:rsidR="00872C03" w:rsidRPr="00883399" w:rsidRDefault="00872C03" w:rsidP="00872C03">
      <w:pPr>
        <w:pStyle w:val="Definition0"/>
        <w:rPr>
          <w:sz w:val="24"/>
        </w:rPr>
      </w:pPr>
      <w:r w:rsidRPr="00883399">
        <w:rPr>
          <w:b/>
          <w:i/>
          <w:sz w:val="24"/>
        </w:rPr>
        <w:t>Q</w:t>
      </w:r>
      <w:r w:rsidRPr="00883399">
        <w:rPr>
          <w:b/>
          <w:i/>
          <w:sz w:val="24"/>
          <w:vertAlign w:val="subscript"/>
        </w:rPr>
        <w:t>cap</w:t>
      </w:r>
      <w:r w:rsidRPr="00883399">
        <w:rPr>
          <w:b/>
          <w:i/>
          <w:sz w:val="24"/>
        </w:rPr>
        <w:t xml:space="preserve"> </w:t>
      </w:r>
      <w:r w:rsidRPr="00883399">
        <w:rPr>
          <w:sz w:val="24"/>
        </w:rPr>
        <w:t>is the quantity of methane in landfill gas captured for combustion from the landfill during the year, measured in cubic metres in accordance with Division 2.3.6.</w:t>
      </w:r>
    </w:p>
    <w:p w14:paraId="0A7982A7" w14:textId="77777777" w:rsidR="00872C03" w:rsidRPr="00883399" w:rsidRDefault="00872C03" w:rsidP="00872C03">
      <w:pPr>
        <w:pStyle w:val="Definition0"/>
        <w:rPr>
          <w:sz w:val="24"/>
        </w:rPr>
      </w:pPr>
      <w:r w:rsidRPr="00883399">
        <w:rPr>
          <w:b/>
          <w:i/>
          <w:sz w:val="24"/>
        </w:rPr>
        <w:t>Q</w:t>
      </w:r>
      <w:r w:rsidRPr="00883399">
        <w:rPr>
          <w:b/>
          <w:i/>
          <w:sz w:val="24"/>
          <w:vertAlign w:val="subscript"/>
        </w:rPr>
        <w:t xml:space="preserve">flared </w:t>
      </w:r>
      <w:r w:rsidRPr="00883399">
        <w:rPr>
          <w:sz w:val="24"/>
        </w:rPr>
        <w:t>is the quantity of methane in landfill gas flared from the landfill during the year, measured in cubic metres in accordance with Division 2.3.6.</w:t>
      </w:r>
    </w:p>
    <w:p w14:paraId="7295ED79" w14:textId="77777777" w:rsidR="00872C03" w:rsidRPr="00883399" w:rsidRDefault="00872C03" w:rsidP="00872C03">
      <w:pPr>
        <w:pStyle w:val="Definition0"/>
        <w:rPr>
          <w:sz w:val="24"/>
        </w:rPr>
      </w:pPr>
      <w:r w:rsidRPr="00883399">
        <w:rPr>
          <w:b/>
          <w:i/>
          <w:sz w:val="24"/>
        </w:rPr>
        <w:t>Q</w:t>
      </w:r>
      <w:r w:rsidRPr="00883399">
        <w:rPr>
          <w:b/>
          <w:i/>
          <w:sz w:val="24"/>
          <w:vertAlign w:val="subscript"/>
        </w:rPr>
        <w:t>tr</w:t>
      </w:r>
      <w:r w:rsidRPr="00883399">
        <w:rPr>
          <w:b/>
          <w:i/>
          <w:sz w:val="24"/>
        </w:rPr>
        <w:t xml:space="preserve"> </w:t>
      </w:r>
      <w:r w:rsidRPr="00883399">
        <w:rPr>
          <w:sz w:val="24"/>
        </w:rPr>
        <w:t>is the quantity of methane in landfill gas transferred out of the landfill during the year, measured in cubic metres in accordance with Division 2.3.6.</w:t>
      </w:r>
    </w:p>
    <w:p w14:paraId="7CC42C9F" w14:textId="77777777" w:rsidR="00872C03" w:rsidRPr="00883399" w:rsidRDefault="00872C03" w:rsidP="00872C03">
      <w:pPr>
        <w:pStyle w:val="Definition0"/>
        <w:rPr>
          <w:sz w:val="24"/>
        </w:rPr>
      </w:pPr>
      <w:r w:rsidRPr="00883399">
        <w:rPr>
          <w:b/>
          <w:i/>
          <w:sz w:val="24"/>
        </w:rPr>
        <w:t>CH</w:t>
      </w:r>
      <w:r w:rsidRPr="00883399">
        <w:rPr>
          <w:b/>
          <w:i/>
          <w:sz w:val="24"/>
          <w:vertAlign w:val="subscript"/>
        </w:rPr>
        <w:t>4</w:t>
      </w:r>
      <w:r w:rsidRPr="00883399">
        <w:rPr>
          <w:b/>
          <w:i/>
          <w:position w:val="6"/>
          <w:sz w:val="18"/>
          <w:vertAlign w:val="superscript"/>
        </w:rPr>
        <w:t>*</w:t>
      </w:r>
      <w:r w:rsidRPr="00883399">
        <w:rPr>
          <w:b/>
          <w:i/>
          <w:sz w:val="24"/>
          <w:vertAlign w:val="superscript"/>
        </w:rPr>
        <w:t xml:space="preserve"> </w:t>
      </w:r>
      <w:r w:rsidRPr="00883399">
        <w:rPr>
          <w:sz w:val="24"/>
        </w:rPr>
        <w:t>is the estimated quantity of methane in landfill gas generated by the landfill during the year, measured in CO</w:t>
      </w:r>
      <w:r w:rsidRPr="00883399">
        <w:rPr>
          <w:sz w:val="24"/>
          <w:vertAlign w:val="subscript"/>
        </w:rPr>
        <w:t>2</w:t>
      </w:r>
      <w:r w:rsidRPr="00883399">
        <w:rPr>
          <w:sz w:val="24"/>
        </w:rPr>
        <w:noBreakHyphen/>
        <w:t>e tonnes.</w:t>
      </w:r>
    </w:p>
    <w:p w14:paraId="0CF0BEBC" w14:textId="77777777" w:rsidR="00872C03" w:rsidRPr="00883399" w:rsidRDefault="00872C03" w:rsidP="00872C03">
      <w:pPr>
        <w:pStyle w:val="Definition0"/>
        <w:rPr>
          <w:sz w:val="24"/>
        </w:rPr>
      </w:pPr>
      <w:r w:rsidRPr="00883399">
        <w:rPr>
          <w:b/>
          <w:i/>
          <w:sz w:val="24"/>
        </w:rPr>
        <w:lastRenderedPageBreak/>
        <w:t>CH</w:t>
      </w:r>
      <w:r w:rsidRPr="00883399">
        <w:rPr>
          <w:b/>
          <w:i/>
          <w:sz w:val="24"/>
          <w:vertAlign w:val="subscript"/>
        </w:rPr>
        <w:t>4gen</w:t>
      </w:r>
      <w:r w:rsidRPr="00883399">
        <w:rPr>
          <w:b/>
          <w:i/>
          <w:sz w:val="24"/>
        </w:rPr>
        <w:t xml:space="preserve"> </w:t>
      </w:r>
      <w:r w:rsidRPr="00883399">
        <w:rPr>
          <w:sz w:val="24"/>
        </w:rPr>
        <w:t>is the quantity of methane in landfill gas generation released from the landfill during the year estimated in accordance with subsection 5.4(5) and measured in CO</w:t>
      </w:r>
      <w:r w:rsidRPr="00883399">
        <w:rPr>
          <w:sz w:val="24"/>
          <w:vertAlign w:val="subscript"/>
        </w:rPr>
        <w:t>2</w:t>
      </w:r>
      <w:r w:rsidRPr="00883399">
        <w:rPr>
          <w:sz w:val="24"/>
        </w:rPr>
        <w:noBreakHyphen/>
        <w:t>e tonnes.</w:t>
      </w:r>
    </w:p>
    <w:p w14:paraId="0AD1E63A" w14:textId="77777777" w:rsidR="00872C03" w:rsidRPr="00883399" w:rsidRDefault="00872C03" w:rsidP="00872C03">
      <w:pPr>
        <w:pStyle w:val="subsection"/>
        <w:rPr>
          <w:sz w:val="24"/>
        </w:rPr>
      </w:pPr>
      <w:r w:rsidRPr="00883399">
        <w:rPr>
          <w:sz w:val="24"/>
        </w:rPr>
        <w:tab/>
        <w:t>(4)</w:t>
      </w:r>
      <w:r w:rsidRPr="00883399">
        <w:rPr>
          <w:sz w:val="24"/>
        </w:rPr>
        <w:tab/>
        <w:t>For subsection (1), if:</w:t>
      </w:r>
    </w:p>
    <w:bookmarkStart w:id="1127" w:name="BKCheck15B_27"/>
    <w:bookmarkEnd w:id="1127"/>
    <w:p w14:paraId="3179EDD4" w14:textId="77777777" w:rsidR="00872C03" w:rsidRPr="00883399" w:rsidRDefault="00872C03" w:rsidP="00872C03">
      <w:pPr>
        <w:pStyle w:val="subsection2"/>
        <w:rPr>
          <w:sz w:val="24"/>
        </w:rPr>
      </w:pPr>
      <w:r w:rsidRPr="00883399">
        <w:rPr>
          <w:sz w:val="24"/>
        </w:rPr>
        <w:object w:dxaOrig="2340" w:dyaOrig="1040" w14:anchorId="77A4BDE1">
          <v:shape id="_x0000_i1084" type="#_x0000_t75" style="width:117pt;height:51.75pt" o:ole="">
            <v:imagedata r:id="rId260" o:title=""/>
          </v:shape>
          <o:OLEObject Type="Embed" ProgID="Equation.DSMT4" ShapeID="_x0000_i1084" DrawAspect="Content" ObjectID="_1594105975" r:id="rId261"/>
        </w:object>
      </w:r>
    </w:p>
    <w:p w14:paraId="2DA59EAE" w14:textId="77777777" w:rsidR="00872C03" w:rsidRPr="00883399" w:rsidRDefault="00872C03" w:rsidP="00872C03">
      <w:pPr>
        <w:pStyle w:val="subsection2"/>
        <w:rPr>
          <w:sz w:val="24"/>
        </w:rPr>
      </w:pPr>
      <w:r w:rsidRPr="00883399">
        <w:rPr>
          <w:sz w:val="24"/>
        </w:rPr>
        <w:t>is more than the collection efficiency amount for the landfill calculated in accordance with section 5.15C, then:</w:t>
      </w:r>
    </w:p>
    <w:p w14:paraId="45C549AF" w14:textId="77777777" w:rsidR="00872C03" w:rsidRPr="00883399" w:rsidRDefault="00872C03" w:rsidP="00872C03">
      <w:pPr>
        <w:pStyle w:val="subsection"/>
        <w:rPr>
          <w:sz w:val="24"/>
        </w:rPr>
      </w:pPr>
      <w:r w:rsidRPr="00883399">
        <w:rPr>
          <w:sz w:val="24"/>
        </w:rPr>
        <w:tab/>
      </w:r>
      <w:r w:rsidRPr="00883399">
        <w:rPr>
          <w:sz w:val="24"/>
        </w:rPr>
        <w:tab/>
      </w:r>
      <w:bookmarkStart w:id="1128" w:name="BKCheck15B_28"/>
      <w:bookmarkEnd w:id="1128"/>
      <w:r w:rsidRPr="00883399">
        <w:rPr>
          <w:position w:val="-36"/>
          <w:sz w:val="24"/>
        </w:rPr>
        <w:object w:dxaOrig="3879" w:dyaOrig="820" w14:anchorId="06155182">
          <v:shape id="_x0000_i1085" type="#_x0000_t75" style="width:194.25pt;height:41.25pt" o:ole="">
            <v:imagedata r:id="rId262" o:title=""/>
          </v:shape>
          <o:OLEObject Type="Embed" ProgID="Equation.DSMT4" ShapeID="_x0000_i1085" DrawAspect="Content" ObjectID="_1594105976" r:id="rId263"/>
        </w:object>
      </w:r>
    </w:p>
    <w:p w14:paraId="3CA89B90" w14:textId="77777777" w:rsidR="00872C03" w:rsidRPr="00883399" w:rsidRDefault="00872C03" w:rsidP="00872C03">
      <w:pPr>
        <w:pStyle w:val="subsection2"/>
        <w:rPr>
          <w:sz w:val="24"/>
        </w:rPr>
      </w:pPr>
      <w:r w:rsidRPr="00883399">
        <w:rPr>
          <w:sz w:val="24"/>
        </w:rPr>
        <w:t>where:</w:t>
      </w:r>
    </w:p>
    <w:p w14:paraId="2B64A6C0" w14:textId="77777777" w:rsidR="00872C03" w:rsidRPr="00883399" w:rsidRDefault="00872C03" w:rsidP="00872C03">
      <w:pPr>
        <w:pStyle w:val="Definition0"/>
        <w:rPr>
          <w:sz w:val="24"/>
        </w:rPr>
      </w:pPr>
      <w:r w:rsidRPr="00883399">
        <w:rPr>
          <w:b/>
          <w:i/>
          <w:sz w:val="24"/>
        </w:rPr>
        <w:t>γ</w:t>
      </w:r>
      <w:r w:rsidRPr="00883399">
        <w:rPr>
          <w:sz w:val="24"/>
        </w:rPr>
        <w:t xml:space="preserve"> is the factor 6.784 </w:t>
      </w:r>
      <w:r w:rsidRPr="00883399">
        <w:rPr>
          <w:sz w:val="24"/>
        </w:rPr>
        <w:sym w:font="Wingdings 2" w:char="F0CD"/>
      </w:r>
      <w:r w:rsidRPr="00883399">
        <w:rPr>
          <w:sz w:val="24"/>
        </w:rPr>
        <w:t xml:space="preserve"> 10</w:t>
      </w:r>
      <w:r w:rsidRPr="00883399">
        <w:rPr>
          <w:sz w:val="24"/>
          <w:vertAlign w:val="superscript"/>
        </w:rPr>
        <w:noBreakHyphen/>
        <w:t xml:space="preserve">4 </w:t>
      </w:r>
      <w:r w:rsidRPr="00883399">
        <w:rPr>
          <w:sz w:val="24"/>
        </w:rPr>
        <w:sym w:font="Wingdings 2" w:char="F0CD"/>
      </w:r>
      <w:r w:rsidRPr="00883399">
        <w:rPr>
          <w:sz w:val="24"/>
        </w:rPr>
        <w:t xml:space="preserve"> 25 converting cubic metres of methane at standard conditions measured to CO</w:t>
      </w:r>
      <w:r w:rsidRPr="00883399">
        <w:rPr>
          <w:sz w:val="24"/>
          <w:vertAlign w:val="subscript"/>
        </w:rPr>
        <w:t>2</w:t>
      </w:r>
      <w:r w:rsidRPr="00883399">
        <w:rPr>
          <w:sz w:val="24"/>
        </w:rPr>
        <w:noBreakHyphen/>
        <w:t>e tonnes.</w:t>
      </w:r>
    </w:p>
    <w:p w14:paraId="4F5DD982" w14:textId="77777777" w:rsidR="00872C03" w:rsidRPr="00883399" w:rsidRDefault="00872C03" w:rsidP="00872C03">
      <w:pPr>
        <w:pStyle w:val="Definition0"/>
        <w:rPr>
          <w:sz w:val="24"/>
        </w:rPr>
      </w:pPr>
      <w:r w:rsidRPr="00883399">
        <w:rPr>
          <w:b/>
          <w:i/>
          <w:sz w:val="24"/>
        </w:rPr>
        <w:t>CEA</w:t>
      </w:r>
      <w:r w:rsidRPr="00883399">
        <w:rPr>
          <w:sz w:val="24"/>
        </w:rPr>
        <w:t xml:space="preserve"> is the collection efficiency amount for the landfill calculated in accordance with section 5.15C.</w:t>
      </w:r>
    </w:p>
    <w:p w14:paraId="5E6E2E2F" w14:textId="77777777" w:rsidR="00872C03" w:rsidRPr="00883399" w:rsidRDefault="00872C03" w:rsidP="00872C03">
      <w:pPr>
        <w:pStyle w:val="Definition0"/>
        <w:rPr>
          <w:sz w:val="24"/>
        </w:rPr>
      </w:pPr>
      <w:r w:rsidRPr="00883399">
        <w:rPr>
          <w:b/>
          <w:i/>
          <w:sz w:val="24"/>
        </w:rPr>
        <w:t>CH</w:t>
      </w:r>
      <w:r w:rsidRPr="00883399">
        <w:rPr>
          <w:b/>
          <w:i/>
          <w:sz w:val="24"/>
          <w:vertAlign w:val="subscript"/>
        </w:rPr>
        <w:t>4</w:t>
      </w:r>
      <w:r w:rsidRPr="00883399">
        <w:rPr>
          <w:b/>
          <w:i/>
          <w:position w:val="6"/>
          <w:sz w:val="18"/>
          <w:vertAlign w:val="superscript"/>
        </w:rPr>
        <w:t>*</w:t>
      </w:r>
      <w:r w:rsidRPr="00883399">
        <w:rPr>
          <w:i/>
          <w:sz w:val="24"/>
          <w:vertAlign w:val="subscript"/>
        </w:rPr>
        <w:t>z</w:t>
      </w:r>
      <w:r w:rsidRPr="00883399">
        <w:rPr>
          <w:sz w:val="24"/>
        </w:rPr>
        <w:t xml:space="preserve"> is the estimated quantity of methane in landfill gas generated by the sub</w:t>
      </w:r>
      <w:r w:rsidRPr="00883399">
        <w:rPr>
          <w:sz w:val="24"/>
        </w:rPr>
        <w:noBreakHyphen/>
        <w:t>facility zone during the year, measured in CO</w:t>
      </w:r>
      <w:r w:rsidRPr="00883399">
        <w:rPr>
          <w:sz w:val="24"/>
          <w:vertAlign w:val="subscript"/>
        </w:rPr>
        <w:t>2</w:t>
      </w:r>
      <w:r w:rsidRPr="00883399">
        <w:rPr>
          <w:sz w:val="24"/>
        </w:rPr>
        <w:noBreakHyphen/>
        <w:t>e tonnes.</w:t>
      </w:r>
    </w:p>
    <w:p w14:paraId="43EEB8BC" w14:textId="77777777" w:rsidR="00872C03" w:rsidRPr="00883399" w:rsidRDefault="00872C03" w:rsidP="00872C03">
      <w:pPr>
        <w:pStyle w:val="Definition0"/>
        <w:rPr>
          <w:sz w:val="24"/>
        </w:rPr>
      </w:pPr>
      <w:r w:rsidRPr="00883399">
        <w:rPr>
          <w:b/>
          <w:i/>
          <w:sz w:val="24"/>
        </w:rPr>
        <w:t>CH</w:t>
      </w:r>
      <w:r w:rsidRPr="00883399">
        <w:rPr>
          <w:b/>
          <w:i/>
          <w:sz w:val="24"/>
          <w:vertAlign w:val="subscript"/>
        </w:rPr>
        <w:t>4gen</w:t>
      </w:r>
      <w:r w:rsidRPr="00883399">
        <w:rPr>
          <w:sz w:val="24"/>
        </w:rPr>
        <w:t xml:space="preserve"> is the quantity of methane in landfill gas generation released from the landfill during the year, estimated in accordance with subsection 5.4(5) and measured in CO2</w:t>
      </w:r>
      <w:r w:rsidRPr="00883399">
        <w:rPr>
          <w:sz w:val="24"/>
        </w:rPr>
        <w:noBreakHyphen/>
        <w:t>e tonnes.</w:t>
      </w:r>
    </w:p>
    <w:p w14:paraId="3831E135" w14:textId="77777777" w:rsidR="00872C03" w:rsidRPr="00883399" w:rsidRDefault="00872C03" w:rsidP="00872C03">
      <w:pPr>
        <w:pStyle w:val="Definition0"/>
        <w:rPr>
          <w:sz w:val="24"/>
        </w:rPr>
      </w:pPr>
      <w:r w:rsidRPr="00883399">
        <w:rPr>
          <w:b/>
          <w:i/>
          <w:sz w:val="24"/>
        </w:rPr>
        <w:t>Q</w:t>
      </w:r>
      <w:r w:rsidRPr="00883399">
        <w:rPr>
          <w:b/>
          <w:i/>
          <w:sz w:val="24"/>
          <w:vertAlign w:val="subscript"/>
        </w:rPr>
        <w:t>cap</w:t>
      </w:r>
      <w:r w:rsidRPr="00883399">
        <w:rPr>
          <w:sz w:val="24"/>
        </w:rPr>
        <w:t xml:space="preserve"> is the quantity of methane in landfill gas captured for combustion from the landfill during the year, measured in cubic metres in accordance with Division 2.3.6.</w:t>
      </w:r>
    </w:p>
    <w:p w14:paraId="6C999115" w14:textId="77777777" w:rsidR="00872C03" w:rsidRPr="00883399" w:rsidRDefault="00872C03" w:rsidP="00872C03">
      <w:pPr>
        <w:pStyle w:val="Definition0"/>
        <w:rPr>
          <w:sz w:val="24"/>
        </w:rPr>
      </w:pPr>
      <w:r w:rsidRPr="00883399">
        <w:rPr>
          <w:b/>
          <w:i/>
          <w:sz w:val="24"/>
        </w:rPr>
        <w:t>Q</w:t>
      </w:r>
      <w:r w:rsidRPr="00883399">
        <w:rPr>
          <w:b/>
          <w:i/>
          <w:sz w:val="24"/>
          <w:vertAlign w:val="subscript"/>
        </w:rPr>
        <w:t>capz</w:t>
      </w:r>
      <w:r w:rsidRPr="00883399">
        <w:rPr>
          <w:sz w:val="24"/>
        </w:rPr>
        <w:t xml:space="preserve"> is the quantity of methane in landfill gas captured for combustion by the landfill from a sub</w:t>
      </w:r>
      <w:r w:rsidRPr="00883399">
        <w:rPr>
          <w:sz w:val="24"/>
        </w:rPr>
        <w:noBreakHyphen/>
        <w:t>facility zone during the reporting year, measured in cubic metres in accordance with Division 2.3.6.</w:t>
      </w:r>
    </w:p>
    <w:p w14:paraId="5A5FC2DF" w14:textId="77777777" w:rsidR="00872C03" w:rsidRPr="00883399" w:rsidRDefault="00872C03" w:rsidP="00872C03">
      <w:pPr>
        <w:pStyle w:val="Definition0"/>
        <w:rPr>
          <w:sz w:val="24"/>
        </w:rPr>
      </w:pPr>
      <w:r w:rsidRPr="00883399">
        <w:rPr>
          <w:b/>
          <w:i/>
          <w:sz w:val="24"/>
        </w:rPr>
        <w:t>Q</w:t>
      </w:r>
      <w:r w:rsidRPr="00883399">
        <w:rPr>
          <w:b/>
          <w:i/>
          <w:sz w:val="24"/>
          <w:vertAlign w:val="subscript"/>
        </w:rPr>
        <w:t>flared</w:t>
      </w:r>
      <w:r w:rsidRPr="00883399">
        <w:rPr>
          <w:sz w:val="24"/>
        </w:rPr>
        <w:t xml:space="preserve"> is the quantity of methane in landfill gas flared from the landfill during the year, measured in cubic metres in accordance with Division 2.3.6.</w:t>
      </w:r>
    </w:p>
    <w:p w14:paraId="26C3C2C0" w14:textId="77777777" w:rsidR="00872C03" w:rsidRPr="00883399" w:rsidRDefault="00872C03" w:rsidP="00872C03">
      <w:pPr>
        <w:pStyle w:val="Definition0"/>
        <w:rPr>
          <w:sz w:val="24"/>
        </w:rPr>
      </w:pPr>
      <w:r w:rsidRPr="00883399">
        <w:rPr>
          <w:b/>
          <w:i/>
          <w:sz w:val="24"/>
        </w:rPr>
        <w:t>Q</w:t>
      </w:r>
      <w:r w:rsidRPr="00883399">
        <w:rPr>
          <w:b/>
          <w:i/>
          <w:sz w:val="24"/>
          <w:vertAlign w:val="subscript"/>
        </w:rPr>
        <w:t>flaredz</w:t>
      </w:r>
      <w:r w:rsidRPr="00883399">
        <w:rPr>
          <w:sz w:val="24"/>
        </w:rPr>
        <w:t xml:space="preserve"> is the quantity of methane in landfill gas flared by the landfill from a sub</w:t>
      </w:r>
      <w:r w:rsidRPr="00883399">
        <w:rPr>
          <w:sz w:val="24"/>
        </w:rPr>
        <w:noBreakHyphen/>
        <w:t>facility zone during the reporting year, measured in cubic metres in accordance with Division 2.3.6.</w:t>
      </w:r>
    </w:p>
    <w:p w14:paraId="3F12FC25" w14:textId="77777777" w:rsidR="00872C03" w:rsidRPr="00883399" w:rsidRDefault="00872C03" w:rsidP="00872C03">
      <w:pPr>
        <w:pStyle w:val="Definition0"/>
        <w:rPr>
          <w:sz w:val="24"/>
        </w:rPr>
      </w:pPr>
      <w:r w:rsidRPr="00883399">
        <w:rPr>
          <w:b/>
          <w:i/>
          <w:sz w:val="24"/>
        </w:rPr>
        <w:lastRenderedPageBreak/>
        <w:t>Q</w:t>
      </w:r>
      <w:r w:rsidRPr="00883399">
        <w:rPr>
          <w:b/>
          <w:i/>
          <w:sz w:val="24"/>
          <w:vertAlign w:val="subscript"/>
        </w:rPr>
        <w:t>tr</w:t>
      </w:r>
      <w:r w:rsidRPr="00883399">
        <w:rPr>
          <w:sz w:val="24"/>
        </w:rPr>
        <w:t xml:space="preserve"> is the quantity of methane in landfill gas transferred out of the landfill during the year, measured in cubic metres in accordance with Division 2.3.6.</w:t>
      </w:r>
    </w:p>
    <w:p w14:paraId="565FDA5A" w14:textId="77777777" w:rsidR="00872C03" w:rsidRPr="00883399" w:rsidRDefault="00872C03" w:rsidP="00872C03">
      <w:pPr>
        <w:pStyle w:val="Definition0"/>
        <w:rPr>
          <w:sz w:val="24"/>
        </w:rPr>
      </w:pPr>
      <w:r w:rsidRPr="00883399">
        <w:rPr>
          <w:b/>
          <w:i/>
          <w:sz w:val="24"/>
        </w:rPr>
        <w:t>Q</w:t>
      </w:r>
      <w:r w:rsidRPr="00883399">
        <w:rPr>
          <w:b/>
          <w:i/>
          <w:sz w:val="24"/>
          <w:vertAlign w:val="subscript"/>
        </w:rPr>
        <w:t>trz</w:t>
      </w:r>
      <w:r w:rsidRPr="00883399">
        <w:rPr>
          <w:b/>
          <w:i/>
          <w:sz w:val="24"/>
        </w:rPr>
        <w:t xml:space="preserve"> </w:t>
      </w:r>
      <w:r w:rsidRPr="00883399">
        <w:rPr>
          <w:sz w:val="24"/>
        </w:rPr>
        <w:t>is the quantity of methane in landfill gas transferred out of the landfill from a sub</w:t>
      </w:r>
      <w:r w:rsidRPr="00883399">
        <w:rPr>
          <w:sz w:val="24"/>
        </w:rPr>
        <w:noBreakHyphen/>
        <w:t>facility zone during the reporting year, measured in cubic metres in accordance with Division 2.3.6.</w:t>
      </w:r>
    </w:p>
    <w:p w14:paraId="36489067" w14:textId="77777777" w:rsidR="00872C03" w:rsidRPr="00883399" w:rsidRDefault="00872C03" w:rsidP="00872C03">
      <w:pPr>
        <w:pStyle w:val="subsection"/>
        <w:rPr>
          <w:sz w:val="24"/>
        </w:rPr>
      </w:pPr>
      <w:r w:rsidRPr="00883399">
        <w:rPr>
          <w:sz w:val="24"/>
        </w:rPr>
        <w:tab/>
        <w:t>(5)</w:t>
      </w:r>
      <w:r w:rsidRPr="00883399">
        <w:rPr>
          <w:sz w:val="24"/>
        </w:rPr>
        <w:tab/>
        <w:t xml:space="preserve">For subsection (1), if the result of the first equation in subsection (4) is, for the reporting year for which the result is calculated (the </w:t>
      </w:r>
      <w:r w:rsidRPr="00883399">
        <w:rPr>
          <w:b/>
          <w:i/>
          <w:sz w:val="24"/>
        </w:rPr>
        <w:t>current reporting year</w:t>
      </w:r>
      <w:r w:rsidRPr="00883399">
        <w:rPr>
          <w:sz w:val="24"/>
        </w:rPr>
        <w:t>), greater than the collection efficiency amount for the landfill calculated in accordance with section 5.15C:</w:t>
      </w:r>
    </w:p>
    <w:p w14:paraId="18D893DD" w14:textId="77777777" w:rsidR="00872C03" w:rsidRPr="00883399" w:rsidRDefault="00872C03" w:rsidP="00872C03">
      <w:pPr>
        <w:pStyle w:val="paragraph"/>
        <w:rPr>
          <w:spacing w:val="-1"/>
          <w:sz w:val="24"/>
        </w:rPr>
      </w:pPr>
      <w:r w:rsidRPr="00883399">
        <w:rPr>
          <w:sz w:val="24"/>
        </w:rPr>
        <w:tab/>
        <w:t>(a)</w:t>
      </w:r>
      <w:r w:rsidRPr="00883399">
        <w:rPr>
          <w:sz w:val="24"/>
        </w:rPr>
        <w:tab/>
        <w:t xml:space="preserve">the change in the quantity of the opening stock of decomposable degradable organic carbon </w:t>
      </w:r>
      <w:r w:rsidRPr="00883399">
        <w:rPr>
          <w:spacing w:val="1"/>
          <w:sz w:val="24"/>
        </w:rPr>
        <w:t>(</w:t>
      </w:r>
      <w:r w:rsidRPr="00883399">
        <w:rPr>
          <w:sz w:val="24"/>
        </w:rPr>
        <w:t>∆</w:t>
      </w:r>
      <w:r w:rsidRPr="00883399">
        <w:rPr>
          <w:spacing w:val="1"/>
          <w:sz w:val="24"/>
        </w:rPr>
        <w:t>C</w:t>
      </w:r>
      <w:r w:rsidRPr="00883399">
        <w:rPr>
          <w:position w:val="-3"/>
          <w:sz w:val="16"/>
          <w:szCs w:val="14"/>
        </w:rPr>
        <w:t>o</w:t>
      </w:r>
      <w:r w:rsidRPr="00883399">
        <w:rPr>
          <w:spacing w:val="1"/>
          <w:position w:val="-3"/>
          <w:sz w:val="16"/>
          <w:szCs w:val="14"/>
        </w:rPr>
        <w:t>s</w:t>
      </w:r>
      <w:r w:rsidRPr="00883399">
        <w:rPr>
          <w:sz w:val="24"/>
          <w:vertAlign w:val="subscript"/>
        </w:rPr>
        <w:t>t</w:t>
      </w:r>
      <w:r w:rsidRPr="00883399">
        <w:rPr>
          <w:spacing w:val="-1"/>
          <w:sz w:val="24"/>
        </w:rPr>
        <w:t>) must be calculated using the equation mentioned in section 5.15A; and</w:t>
      </w:r>
    </w:p>
    <w:p w14:paraId="47AD53F6" w14:textId="77777777" w:rsidR="00872C03" w:rsidRPr="00883399" w:rsidRDefault="00872C03" w:rsidP="00872C03">
      <w:pPr>
        <w:pStyle w:val="paragraph"/>
        <w:rPr>
          <w:sz w:val="24"/>
        </w:rPr>
      </w:pPr>
      <w:r w:rsidRPr="00883399">
        <w:rPr>
          <w:sz w:val="24"/>
        </w:rPr>
        <w:tab/>
        <w:t>(b)</w:t>
      </w:r>
      <w:r w:rsidRPr="00883399">
        <w:rPr>
          <w:sz w:val="24"/>
        </w:rPr>
        <w:tab/>
        <w:t xml:space="preserve">the quantity of the closing stock of decomposable degradable organic carbon </w:t>
      </w:r>
      <w:r w:rsidRPr="00883399">
        <w:rPr>
          <w:spacing w:val="1"/>
          <w:sz w:val="24"/>
        </w:rPr>
        <w:t>(</w:t>
      </w:r>
      <w:r w:rsidRPr="00883399">
        <w:rPr>
          <w:sz w:val="24"/>
        </w:rPr>
        <w:t>∆</w:t>
      </w:r>
      <w:r w:rsidRPr="00883399">
        <w:rPr>
          <w:spacing w:val="1"/>
          <w:sz w:val="24"/>
        </w:rPr>
        <w:t>C</w:t>
      </w:r>
      <w:r w:rsidRPr="00883399">
        <w:rPr>
          <w:position w:val="-3"/>
          <w:sz w:val="16"/>
          <w:szCs w:val="14"/>
        </w:rPr>
        <w:t>c</w:t>
      </w:r>
      <w:r w:rsidRPr="00883399">
        <w:rPr>
          <w:spacing w:val="1"/>
          <w:position w:val="-3"/>
          <w:sz w:val="16"/>
          <w:szCs w:val="14"/>
        </w:rPr>
        <w:t>s</w:t>
      </w:r>
      <w:r w:rsidRPr="00883399">
        <w:rPr>
          <w:sz w:val="24"/>
          <w:vertAlign w:val="subscript"/>
        </w:rPr>
        <w:t>t</w:t>
      </w:r>
      <w:r w:rsidRPr="00883399">
        <w:rPr>
          <w:sz w:val="24"/>
        </w:rPr>
        <w:t>) must be calculated using the equation mentioned in section 5.15B.</w:t>
      </w:r>
    </w:p>
    <w:p w14:paraId="5F7AD391" w14:textId="77777777" w:rsidR="00872C03" w:rsidRPr="00883399" w:rsidRDefault="00872C03" w:rsidP="00872C03">
      <w:pPr>
        <w:pStyle w:val="subsection"/>
        <w:rPr>
          <w:sz w:val="24"/>
        </w:rPr>
      </w:pPr>
      <w:r w:rsidRPr="00883399">
        <w:rPr>
          <w:sz w:val="24"/>
          <w:szCs w:val="22"/>
        </w:rPr>
        <w:tab/>
        <w:t>(6)</w:t>
      </w:r>
      <w:r w:rsidRPr="00883399">
        <w:rPr>
          <w:sz w:val="24"/>
          <w:szCs w:val="22"/>
        </w:rPr>
        <w:tab/>
        <w:t>This method may be used only if specific information is available on the waste mix types at the landfill.</w:t>
      </w:r>
    </w:p>
    <w:p w14:paraId="06133B4B" w14:textId="77777777" w:rsidR="00872C03" w:rsidRPr="00883399" w:rsidRDefault="00872C03" w:rsidP="00872C03">
      <w:pPr>
        <w:pStyle w:val="notetext"/>
        <w:rPr>
          <w:sz w:val="20"/>
        </w:rPr>
      </w:pPr>
      <w:r w:rsidRPr="00883399">
        <w:rPr>
          <w:sz w:val="20"/>
        </w:rPr>
        <w:t>Note 1:</w:t>
      </w:r>
      <w:r w:rsidRPr="00883399">
        <w:rPr>
          <w:sz w:val="20"/>
        </w:rPr>
        <w:tab/>
        <w:t xml:space="preserve">For the definition of </w:t>
      </w:r>
      <w:r w:rsidRPr="00883399">
        <w:rPr>
          <w:b/>
          <w:i/>
          <w:sz w:val="20"/>
        </w:rPr>
        <w:t>reporting year</w:t>
      </w:r>
      <w:r w:rsidRPr="00883399">
        <w:rPr>
          <w:sz w:val="20"/>
        </w:rPr>
        <w:t xml:space="preserve">, see the </w:t>
      </w:r>
      <w:r w:rsidRPr="00883399">
        <w:rPr>
          <w:i/>
          <w:sz w:val="20"/>
        </w:rPr>
        <w:t>National Greenhouse and Energy Reporting Regulations 2008</w:t>
      </w:r>
      <w:r w:rsidRPr="00883399">
        <w:rPr>
          <w:sz w:val="20"/>
        </w:rPr>
        <w:t>.</w:t>
      </w:r>
    </w:p>
    <w:p w14:paraId="2AD66904" w14:textId="77777777" w:rsidR="00872C03" w:rsidRPr="00883399" w:rsidRDefault="00872C03" w:rsidP="00872C03">
      <w:pPr>
        <w:pStyle w:val="notetext"/>
        <w:rPr>
          <w:sz w:val="20"/>
        </w:rPr>
      </w:pPr>
      <w:r w:rsidRPr="00883399">
        <w:rPr>
          <w:sz w:val="20"/>
        </w:rPr>
        <w:t>Note 2:</w:t>
      </w:r>
      <w:r w:rsidRPr="00883399">
        <w:rPr>
          <w:sz w:val="20"/>
        </w:rPr>
        <w:tab/>
        <w:t>For provisions regarding the selection and requirements of representative zones, see sections 5.16 to 5.17I.</w:t>
      </w:r>
    </w:p>
    <w:p w14:paraId="7E877DD7" w14:textId="77777777" w:rsidR="00872C03" w:rsidRPr="00883399" w:rsidRDefault="00872C03" w:rsidP="00872C03">
      <w:pPr>
        <w:pStyle w:val="notetext"/>
        <w:rPr>
          <w:sz w:val="20"/>
        </w:rPr>
      </w:pPr>
      <w:r w:rsidRPr="00883399">
        <w:rPr>
          <w:sz w:val="20"/>
        </w:rPr>
        <w:t>Note 3:</w:t>
      </w:r>
      <w:r w:rsidRPr="00883399">
        <w:rPr>
          <w:sz w:val="20"/>
        </w:rPr>
        <w:tab/>
        <w:t>Section 5.17AA sets out, for a landfill operator using method 2 in Division 5.2.3 or method 3 in Division 5.2.4, the number of sub</w:t>
      </w:r>
      <w:r w:rsidRPr="00883399">
        <w:rPr>
          <w:sz w:val="20"/>
          <w:szCs w:val="22"/>
        </w:rPr>
        <w:noBreakHyphen/>
      </w:r>
      <w:r w:rsidRPr="00883399">
        <w:rPr>
          <w:sz w:val="20"/>
        </w:rPr>
        <w:t>facility zones that the landfill operator may select and the requirements for sub</w:t>
      </w:r>
      <w:r w:rsidRPr="00883399">
        <w:rPr>
          <w:sz w:val="20"/>
          <w:szCs w:val="22"/>
        </w:rPr>
        <w:noBreakHyphen/>
      </w:r>
      <w:r w:rsidRPr="00883399">
        <w:rPr>
          <w:sz w:val="20"/>
        </w:rPr>
        <w:t>facility zones that the landfill operator must comply with.</w:t>
      </w:r>
    </w:p>
    <w:p w14:paraId="2EF39492" w14:textId="2C81F620" w:rsidR="00872C03" w:rsidRPr="00883399" w:rsidRDefault="00872C03" w:rsidP="00872C03">
      <w:pPr>
        <w:pStyle w:val="ActHead5"/>
        <w:rPr>
          <w:sz w:val="28"/>
        </w:rPr>
      </w:pPr>
      <w:bookmarkStart w:id="1129" w:name="_Toc423517159"/>
      <w:bookmarkStart w:id="1130" w:name="_Toc495653090"/>
      <w:r w:rsidRPr="00883399">
        <w:rPr>
          <w:rStyle w:val="CharSectno"/>
          <w:sz w:val="28"/>
        </w:rPr>
        <w:t>5.15A</w:t>
      </w:r>
      <w:r w:rsidRPr="00883399">
        <w:rPr>
          <w:sz w:val="28"/>
        </w:rPr>
        <w:t xml:space="preserve">  Equation—change in quantity of particular opening stock at landfill for calculating </w:t>
      </w:r>
      <w:r w:rsidRPr="00883399">
        <w:rPr>
          <w:szCs w:val="22"/>
        </w:rPr>
        <w:t>CH</w:t>
      </w:r>
      <w:r w:rsidRPr="00883399">
        <w:rPr>
          <w:rStyle w:val="charSubscript"/>
          <w:sz w:val="24"/>
          <w:szCs w:val="22"/>
        </w:rPr>
        <w:t>4gen</w:t>
      </w:r>
      <w:bookmarkEnd w:id="1129"/>
      <w:bookmarkEnd w:id="1130"/>
    </w:p>
    <w:p w14:paraId="51977B6E" w14:textId="77777777" w:rsidR="00872C03" w:rsidRPr="00883399" w:rsidRDefault="00872C03" w:rsidP="00872C03">
      <w:pPr>
        <w:pStyle w:val="subsection"/>
        <w:rPr>
          <w:sz w:val="24"/>
        </w:rPr>
      </w:pPr>
      <w:r w:rsidRPr="00883399">
        <w:rPr>
          <w:sz w:val="24"/>
        </w:rPr>
        <w:tab/>
        <w:t>(1)</w:t>
      </w:r>
      <w:r w:rsidRPr="00883399">
        <w:rPr>
          <w:sz w:val="24"/>
        </w:rPr>
        <w:tab/>
        <w:t xml:space="preserve">For paragraph 5.15(5)(a), this section applies if the result of the first equation in subsection 5.15(4) is, for the reporting year for which the result is calculated (the </w:t>
      </w:r>
      <w:r w:rsidRPr="00883399">
        <w:rPr>
          <w:b/>
          <w:i/>
          <w:sz w:val="24"/>
        </w:rPr>
        <w:t>current reporting year</w:t>
      </w:r>
      <w:r w:rsidRPr="00883399">
        <w:rPr>
          <w:sz w:val="24"/>
        </w:rPr>
        <w:t>), greater than the collection efficiency amount for the landfill calculated in accordance with section 5.15C.</w:t>
      </w:r>
    </w:p>
    <w:p w14:paraId="3B67155C" w14:textId="77777777" w:rsidR="00872C03" w:rsidRPr="00883399" w:rsidRDefault="00872C03" w:rsidP="00872C03">
      <w:pPr>
        <w:pStyle w:val="subsection"/>
        <w:rPr>
          <w:sz w:val="24"/>
        </w:rPr>
      </w:pPr>
      <w:r w:rsidRPr="00883399">
        <w:rPr>
          <w:sz w:val="24"/>
        </w:rPr>
        <w:tab/>
        <w:t>(2)</w:t>
      </w:r>
      <w:r w:rsidRPr="00883399">
        <w:rPr>
          <w:sz w:val="24"/>
        </w:rPr>
        <w:tab/>
        <w:t xml:space="preserve">The change in the quantity of the opening stock of decomposable degradable organic carbon </w:t>
      </w:r>
      <w:r w:rsidRPr="00883399">
        <w:rPr>
          <w:spacing w:val="1"/>
          <w:sz w:val="24"/>
        </w:rPr>
        <w:t>(</w:t>
      </w:r>
      <w:r w:rsidRPr="00883399">
        <w:rPr>
          <w:b/>
          <w:i/>
          <w:sz w:val="24"/>
        </w:rPr>
        <w:t>∆</w:t>
      </w:r>
      <w:r w:rsidRPr="00883399">
        <w:rPr>
          <w:b/>
          <w:i/>
          <w:spacing w:val="1"/>
          <w:sz w:val="24"/>
        </w:rPr>
        <w:t>C</w:t>
      </w:r>
      <w:r w:rsidRPr="00883399">
        <w:rPr>
          <w:b/>
          <w:i/>
          <w:position w:val="-3"/>
          <w:sz w:val="24"/>
          <w:szCs w:val="14"/>
        </w:rPr>
        <w:t>o</w:t>
      </w:r>
      <w:r w:rsidRPr="00883399">
        <w:rPr>
          <w:b/>
          <w:i/>
          <w:spacing w:val="1"/>
          <w:position w:val="-3"/>
          <w:sz w:val="24"/>
          <w:szCs w:val="14"/>
        </w:rPr>
        <w:t>s</w:t>
      </w:r>
      <w:r w:rsidRPr="00883399">
        <w:rPr>
          <w:b/>
          <w:i/>
          <w:sz w:val="24"/>
          <w:vertAlign w:val="subscript"/>
        </w:rPr>
        <w:t>t</w:t>
      </w:r>
      <w:r w:rsidRPr="00883399">
        <w:rPr>
          <w:spacing w:val="-1"/>
          <w:sz w:val="24"/>
        </w:rPr>
        <w:t xml:space="preserve">) </w:t>
      </w:r>
      <w:r w:rsidRPr="00883399">
        <w:rPr>
          <w:sz w:val="24"/>
        </w:rPr>
        <w:t>that is:</w:t>
      </w:r>
    </w:p>
    <w:p w14:paraId="7CAB418F" w14:textId="77777777" w:rsidR="00872C03" w:rsidRPr="00883399" w:rsidRDefault="00872C03" w:rsidP="00872C03">
      <w:pPr>
        <w:pStyle w:val="paragraph"/>
        <w:rPr>
          <w:sz w:val="24"/>
        </w:rPr>
      </w:pPr>
      <w:r w:rsidRPr="00883399">
        <w:rPr>
          <w:sz w:val="24"/>
        </w:rPr>
        <w:tab/>
        <w:t>(a)</w:t>
      </w:r>
      <w:r w:rsidRPr="00883399">
        <w:rPr>
          <w:sz w:val="24"/>
        </w:rPr>
        <w:tab/>
        <w:t>located in the landfill during the reporting year; and</w:t>
      </w:r>
    </w:p>
    <w:p w14:paraId="50FF14AB" w14:textId="77777777" w:rsidR="00872C03" w:rsidRPr="00883399" w:rsidRDefault="00872C03" w:rsidP="00872C03">
      <w:pPr>
        <w:pStyle w:val="paragraph"/>
        <w:rPr>
          <w:sz w:val="24"/>
        </w:rPr>
      </w:pPr>
      <w:r w:rsidRPr="00883399">
        <w:rPr>
          <w:sz w:val="24"/>
        </w:rPr>
        <w:tab/>
        <w:t>(b)</w:t>
      </w:r>
      <w:r w:rsidRPr="00883399">
        <w:rPr>
          <w:sz w:val="24"/>
        </w:rPr>
        <w:tab/>
        <w:t>measured in tonnes; and</w:t>
      </w:r>
    </w:p>
    <w:p w14:paraId="64C8B890" w14:textId="77777777" w:rsidR="00872C03" w:rsidRPr="00883399" w:rsidRDefault="00872C03" w:rsidP="00872C03">
      <w:pPr>
        <w:pStyle w:val="paragraph"/>
        <w:rPr>
          <w:sz w:val="24"/>
        </w:rPr>
      </w:pPr>
      <w:r w:rsidRPr="00883399">
        <w:rPr>
          <w:sz w:val="24"/>
        </w:rPr>
        <w:tab/>
        <w:t>(c)</w:t>
      </w:r>
      <w:r w:rsidRPr="00883399">
        <w:rPr>
          <w:sz w:val="24"/>
        </w:rPr>
        <w:tab/>
        <w:t>lost through decomposition;</w:t>
      </w:r>
    </w:p>
    <w:p w14:paraId="035D615B" w14:textId="77777777" w:rsidR="00872C03" w:rsidRPr="00883399" w:rsidRDefault="00872C03" w:rsidP="00872C03">
      <w:pPr>
        <w:pStyle w:val="subsection2"/>
        <w:rPr>
          <w:sz w:val="24"/>
        </w:rPr>
      </w:pPr>
      <w:r w:rsidRPr="00883399">
        <w:rPr>
          <w:sz w:val="24"/>
        </w:rPr>
        <w:lastRenderedPageBreak/>
        <w:t>must be calculated using the equation mentioned in subsection (3).</w:t>
      </w:r>
    </w:p>
    <w:p w14:paraId="306C88E5" w14:textId="77777777" w:rsidR="00872C03" w:rsidRPr="00883399" w:rsidRDefault="00872C03" w:rsidP="00872C03">
      <w:pPr>
        <w:pStyle w:val="subsection"/>
        <w:rPr>
          <w:sz w:val="24"/>
        </w:rPr>
      </w:pPr>
      <w:r w:rsidRPr="00883399">
        <w:rPr>
          <w:sz w:val="24"/>
        </w:rPr>
        <w:tab/>
        <w:t>(3)</w:t>
      </w:r>
      <w:r w:rsidRPr="00883399">
        <w:rPr>
          <w:sz w:val="24"/>
        </w:rPr>
        <w:tab/>
        <w:t>For subsection (2), the equation is:</w:t>
      </w:r>
    </w:p>
    <w:p w14:paraId="4ECC92CE" w14:textId="77777777" w:rsidR="00872C03" w:rsidRPr="00883399" w:rsidRDefault="00872C03" w:rsidP="00872C03">
      <w:pPr>
        <w:pStyle w:val="subsection2"/>
        <w:rPr>
          <w:sz w:val="24"/>
        </w:rPr>
      </w:pPr>
      <w:r w:rsidRPr="00883399">
        <w:rPr>
          <w:position w:val="-32"/>
          <w:sz w:val="24"/>
        </w:rPr>
        <w:object w:dxaOrig="2160" w:dyaOrig="780" w14:anchorId="7AE4A9EF">
          <v:shape id="_x0000_i1086" type="#_x0000_t75" style="width:108.75pt;height:38.25pt" o:ole="">
            <v:imagedata r:id="rId264" o:title=""/>
          </v:shape>
          <o:OLEObject Type="Embed" ProgID="Equation.DSMT4" ShapeID="_x0000_i1086" DrawAspect="Content" ObjectID="_1594105977" r:id="rId265"/>
        </w:object>
      </w:r>
    </w:p>
    <w:p w14:paraId="1928CBF8" w14:textId="77777777" w:rsidR="00872C03" w:rsidRPr="00883399" w:rsidRDefault="00872C03" w:rsidP="00872C03">
      <w:pPr>
        <w:pStyle w:val="subsection2"/>
        <w:rPr>
          <w:sz w:val="24"/>
        </w:rPr>
      </w:pPr>
      <w:r w:rsidRPr="00883399">
        <w:rPr>
          <w:sz w:val="24"/>
        </w:rPr>
        <w:t>where:</w:t>
      </w:r>
    </w:p>
    <w:p w14:paraId="4D25A87C" w14:textId="77777777" w:rsidR="00872C03" w:rsidRPr="00883399" w:rsidRDefault="00872C03" w:rsidP="00872C03">
      <w:pPr>
        <w:pStyle w:val="Definition0"/>
        <w:rPr>
          <w:sz w:val="24"/>
        </w:rPr>
      </w:pPr>
      <w:r w:rsidRPr="00883399">
        <w:rPr>
          <w:b/>
          <w:i/>
          <w:sz w:val="24"/>
        </w:rPr>
        <w:t xml:space="preserve">t </w:t>
      </w:r>
      <w:r w:rsidRPr="00883399">
        <w:rPr>
          <w:sz w:val="24"/>
        </w:rPr>
        <w:t>is the reporting year.</w:t>
      </w:r>
    </w:p>
    <w:p w14:paraId="38BD6A26" w14:textId="77777777" w:rsidR="00872C03" w:rsidRPr="00883399" w:rsidRDefault="00872C03" w:rsidP="00872C03">
      <w:pPr>
        <w:pStyle w:val="Definition0"/>
        <w:rPr>
          <w:sz w:val="24"/>
        </w:rPr>
      </w:pPr>
      <w:r w:rsidRPr="00883399">
        <w:rPr>
          <w:b/>
          <w:i/>
          <w:iCs/>
          <w:sz w:val="24"/>
        </w:rPr>
        <w:t xml:space="preserve">F </w:t>
      </w:r>
      <w:r w:rsidRPr="00883399">
        <w:rPr>
          <w:sz w:val="24"/>
        </w:rPr>
        <w:t>is the fraction of methane generated in landfill gas estimated in accordance with section 5.14C.</w:t>
      </w:r>
    </w:p>
    <w:p w14:paraId="559E0A1F" w14:textId="77777777" w:rsidR="00872C03" w:rsidRPr="00883399" w:rsidRDefault="00872C03" w:rsidP="00872C03">
      <w:pPr>
        <w:pStyle w:val="notetext"/>
        <w:rPr>
          <w:sz w:val="20"/>
        </w:rPr>
      </w:pPr>
      <w:r w:rsidRPr="00883399">
        <w:rPr>
          <w:sz w:val="20"/>
        </w:rPr>
        <w:t>Note 1:</w:t>
      </w:r>
      <w:r w:rsidRPr="00883399">
        <w:rPr>
          <w:sz w:val="20"/>
        </w:rPr>
        <w:tab/>
        <w:t xml:space="preserve">For the definition of </w:t>
      </w:r>
      <w:r w:rsidRPr="00883399">
        <w:rPr>
          <w:b/>
          <w:i/>
          <w:sz w:val="20"/>
        </w:rPr>
        <w:t>reporting year</w:t>
      </w:r>
      <w:r w:rsidRPr="00883399">
        <w:rPr>
          <w:sz w:val="20"/>
        </w:rPr>
        <w:t xml:space="preserve">, see the </w:t>
      </w:r>
      <w:r w:rsidRPr="00883399">
        <w:rPr>
          <w:i/>
          <w:sz w:val="20"/>
        </w:rPr>
        <w:t>National Greenhouse and Energy Reporting Regulations 2008</w:t>
      </w:r>
      <w:r w:rsidRPr="00883399">
        <w:rPr>
          <w:sz w:val="20"/>
        </w:rPr>
        <w:t>.</w:t>
      </w:r>
    </w:p>
    <w:p w14:paraId="2AF72AB1" w14:textId="77777777" w:rsidR="00872C03" w:rsidRPr="00883399" w:rsidRDefault="00872C03" w:rsidP="00872C03">
      <w:pPr>
        <w:pStyle w:val="notetext"/>
        <w:rPr>
          <w:sz w:val="20"/>
        </w:rPr>
      </w:pPr>
      <w:r w:rsidRPr="00883399">
        <w:rPr>
          <w:sz w:val="20"/>
        </w:rPr>
        <w:t>Note 2:</w:t>
      </w:r>
      <w:r w:rsidRPr="00883399">
        <w:rPr>
          <w:sz w:val="20"/>
        </w:rPr>
        <w:tab/>
        <w:t>If the result of the first equation in subsection 5.15(4):</w:t>
      </w:r>
    </w:p>
    <w:p w14:paraId="672DA390" w14:textId="77777777" w:rsidR="00872C03" w:rsidRPr="00883399" w:rsidRDefault="00872C03" w:rsidP="00872C03">
      <w:pPr>
        <w:pStyle w:val="notepara1"/>
        <w:rPr>
          <w:sz w:val="20"/>
        </w:rPr>
      </w:pPr>
      <w:r w:rsidRPr="00883399">
        <w:rPr>
          <w:sz w:val="20"/>
        </w:rPr>
        <w:t>(a)</w:t>
      </w:r>
      <w:r w:rsidRPr="00883399">
        <w:rPr>
          <w:sz w:val="20"/>
        </w:rPr>
        <w:tab/>
        <w:t>was, for a previous reporting year or years, greater than the collection efficiency amount for the landfill calculated in accordance with section 5.15C; and</w:t>
      </w:r>
    </w:p>
    <w:p w14:paraId="5CE8AE4B" w14:textId="77777777" w:rsidR="00872C03" w:rsidRPr="00883399" w:rsidRDefault="00872C03" w:rsidP="00872C03">
      <w:pPr>
        <w:pStyle w:val="notepara1"/>
        <w:rPr>
          <w:sz w:val="20"/>
        </w:rPr>
      </w:pPr>
      <w:r w:rsidRPr="00883399">
        <w:rPr>
          <w:sz w:val="20"/>
        </w:rPr>
        <w:t>(b)</w:t>
      </w:r>
      <w:r w:rsidRPr="00883399">
        <w:rPr>
          <w:sz w:val="20"/>
        </w:rPr>
        <w:tab/>
        <w:t>is, for the current reporting year, less than or equal to the collection efficiency amount for the landfill calculated in accordance with section 5.15C;</w:t>
      </w:r>
    </w:p>
    <w:p w14:paraId="65734B0F" w14:textId="77777777" w:rsidR="00872C03" w:rsidRPr="00883399" w:rsidRDefault="00872C03" w:rsidP="00872C03">
      <w:pPr>
        <w:pStyle w:val="notetext"/>
        <w:rPr>
          <w:sz w:val="20"/>
        </w:rPr>
      </w:pPr>
      <w:r w:rsidRPr="00883399">
        <w:rPr>
          <w:sz w:val="20"/>
        </w:rPr>
        <w:tab/>
        <w:t>use:</w:t>
      </w:r>
    </w:p>
    <w:p w14:paraId="13137A29" w14:textId="77777777" w:rsidR="00872C03" w:rsidRPr="00883399" w:rsidRDefault="00872C03" w:rsidP="00872C03">
      <w:pPr>
        <w:pStyle w:val="notepara1"/>
        <w:rPr>
          <w:sz w:val="20"/>
        </w:rPr>
      </w:pPr>
      <w:r w:rsidRPr="00883399">
        <w:rPr>
          <w:sz w:val="20"/>
        </w:rPr>
        <w:t>(c)</w:t>
      </w:r>
      <w:r w:rsidRPr="00883399">
        <w:rPr>
          <w:sz w:val="20"/>
        </w:rPr>
        <w:tab/>
        <w:t>the calculation in section 5.15A to calculate the change in the opening stock of carbon for the final reporting year in which the result of that equation is greater than the collection efficiency amount for the landfill calculated in accordance with section 5.15C; and</w:t>
      </w:r>
    </w:p>
    <w:p w14:paraId="6D422619" w14:textId="77777777" w:rsidR="00872C03" w:rsidRPr="00883399" w:rsidRDefault="00872C03" w:rsidP="00872C03">
      <w:pPr>
        <w:pStyle w:val="notepara1"/>
        <w:rPr>
          <w:sz w:val="20"/>
        </w:rPr>
      </w:pPr>
      <w:r w:rsidRPr="00883399">
        <w:rPr>
          <w:sz w:val="20"/>
        </w:rPr>
        <w:t>(d)</w:t>
      </w:r>
      <w:r w:rsidRPr="00883399">
        <w:rPr>
          <w:sz w:val="20"/>
        </w:rPr>
        <w:tab/>
        <w:t>the calculation in section 5.15B to calculate the closing stock for that reporting year.</w:t>
      </w:r>
    </w:p>
    <w:p w14:paraId="1DBC778F" w14:textId="652700C7" w:rsidR="00872C03" w:rsidRPr="00883399" w:rsidRDefault="00872C03" w:rsidP="00872C03">
      <w:pPr>
        <w:pStyle w:val="ActHead5"/>
        <w:rPr>
          <w:sz w:val="28"/>
        </w:rPr>
      </w:pPr>
      <w:bookmarkStart w:id="1131" w:name="_Toc423517160"/>
      <w:bookmarkStart w:id="1132" w:name="_Toc495653091"/>
      <w:r w:rsidRPr="00883399">
        <w:rPr>
          <w:rStyle w:val="CharSectno"/>
          <w:sz w:val="28"/>
        </w:rPr>
        <w:t>5.15B</w:t>
      </w:r>
      <w:r w:rsidRPr="00883399">
        <w:rPr>
          <w:sz w:val="28"/>
        </w:rPr>
        <w:t xml:space="preserve">  Equation—quantity of closing stock at landfill in particular reporting year</w:t>
      </w:r>
      <w:bookmarkEnd w:id="1131"/>
      <w:bookmarkEnd w:id="1132"/>
    </w:p>
    <w:p w14:paraId="624360C5" w14:textId="77777777" w:rsidR="00872C03" w:rsidRPr="00883399" w:rsidRDefault="00872C03" w:rsidP="00872C03">
      <w:pPr>
        <w:pStyle w:val="subsection"/>
        <w:rPr>
          <w:sz w:val="24"/>
        </w:rPr>
      </w:pPr>
      <w:r w:rsidRPr="00883399">
        <w:rPr>
          <w:sz w:val="24"/>
        </w:rPr>
        <w:tab/>
        <w:t>(1)</w:t>
      </w:r>
      <w:r w:rsidRPr="00883399">
        <w:rPr>
          <w:sz w:val="24"/>
        </w:rPr>
        <w:tab/>
        <w:t xml:space="preserve">For paragraph 5.15(5)(b), this section applies if the result of the first equation in subsection 5.15(4) is, for the reporting year for which the result is calculated (the </w:t>
      </w:r>
      <w:r w:rsidRPr="00883399">
        <w:rPr>
          <w:b/>
          <w:i/>
          <w:sz w:val="24"/>
        </w:rPr>
        <w:t>current reporting year</w:t>
      </w:r>
      <w:r w:rsidRPr="00883399">
        <w:rPr>
          <w:sz w:val="24"/>
        </w:rPr>
        <w:t>), greater than the collection efficiency amount for the landfill calculated in accordance with section 5.15C.</w:t>
      </w:r>
    </w:p>
    <w:p w14:paraId="4DE44BC5" w14:textId="77777777" w:rsidR="00872C03" w:rsidRPr="00883399" w:rsidRDefault="00872C03" w:rsidP="00872C03">
      <w:pPr>
        <w:pStyle w:val="subsection"/>
        <w:rPr>
          <w:sz w:val="24"/>
        </w:rPr>
      </w:pPr>
      <w:r w:rsidRPr="00883399">
        <w:rPr>
          <w:sz w:val="24"/>
        </w:rPr>
        <w:tab/>
        <w:t>(2)</w:t>
      </w:r>
      <w:r w:rsidRPr="00883399">
        <w:rPr>
          <w:sz w:val="24"/>
        </w:rPr>
        <w:tab/>
        <w:t xml:space="preserve">The quantity of closing stock of decomposable degradable organic carbon </w:t>
      </w:r>
      <w:r w:rsidRPr="00883399">
        <w:rPr>
          <w:spacing w:val="1"/>
          <w:sz w:val="24"/>
        </w:rPr>
        <w:t>(</w:t>
      </w:r>
      <w:r w:rsidRPr="00883399">
        <w:rPr>
          <w:sz w:val="24"/>
        </w:rPr>
        <w:t>C</w:t>
      </w:r>
      <w:r w:rsidRPr="00883399">
        <w:rPr>
          <w:sz w:val="24"/>
          <w:vertAlign w:val="subscript"/>
        </w:rPr>
        <w:t>cst</w:t>
      </w:r>
      <w:r w:rsidRPr="00883399">
        <w:rPr>
          <w:spacing w:val="-1"/>
          <w:sz w:val="24"/>
        </w:rPr>
        <w:t xml:space="preserve">) </w:t>
      </w:r>
      <w:r w:rsidRPr="00883399">
        <w:rPr>
          <w:sz w:val="24"/>
        </w:rPr>
        <w:t>in the most recent year to which subsection 5.15(4) applies:</w:t>
      </w:r>
    </w:p>
    <w:p w14:paraId="4A3B951D" w14:textId="77777777" w:rsidR="00872C03" w:rsidRPr="00883399" w:rsidRDefault="00872C03" w:rsidP="00872C03">
      <w:pPr>
        <w:pStyle w:val="paragraph"/>
        <w:rPr>
          <w:sz w:val="24"/>
        </w:rPr>
      </w:pPr>
      <w:r w:rsidRPr="00883399">
        <w:rPr>
          <w:sz w:val="24"/>
        </w:rPr>
        <w:tab/>
        <w:t>(a)</w:t>
      </w:r>
      <w:r w:rsidRPr="00883399">
        <w:rPr>
          <w:sz w:val="24"/>
        </w:rPr>
        <w:tab/>
        <w:t>located in the landfill during the reporting year; and</w:t>
      </w:r>
    </w:p>
    <w:p w14:paraId="6AD45D7D" w14:textId="77777777" w:rsidR="00872C03" w:rsidRPr="00883399" w:rsidRDefault="00872C03" w:rsidP="00872C03">
      <w:pPr>
        <w:pStyle w:val="paragraph"/>
        <w:rPr>
          <w:sz w:val="24"/>
        </w:rPr>
      </w:pPr>
      <w:r w:rsidRPr="00883399">
        <w:rPr>
          <w:sz w:val="24"/>
        </w:rPr>
        <w:tab/>
        <w:t>(b)</w:t>
      </w:r>
      <w:r w:rsidRPr="00883399">
        <w:rPr>
          <w:sz w:val="24"/>
        </w:rPr>
        <w:tab/>
        <w:t>measured in tonnes;</w:t>
      </w:r>
    </w:p>
    <w:p w14:paraId="70136A16" w14:textId="77777777" w:rsidR="00872C03" w:rsidRPr="00883399" w:rsidRDefault="00872C03" w:rsidP="00872C03">
      <w:pPr>
        <w:pStyle w:val="subsection2"/>
        <w:rPr>
          <w:sz w:val="24"/>
        </w:rPr>
      </w:pPr>
      <w:r w:rsidRPr="00883399">
        <w:rPr>
          <w:sz w:val="24"/>
        </w:rPr>
        <w:t>must be calculated using the equation mentioned in subsection (3).</w:t>
      </w:r>
    </w:p>
    <w:p w14:paraId="33D9BA90" w14:textId="77777777" w:rsidR="00872C03" w:rsidRPr="00883399" w:rsidRDefault="00872C03" w:rsidP="00872C03">
      <w:pPr>
        <w:pStyle w:val="subsection"/>
        <w:rPr>
          <w:sz w:val="24"/>
        </w:rPr>
      </w:pPr>
      <w:r w:rsidRPr="00883399">
        <w:rPr>
          <w:sz w:val="24"/>
        </w:rPr>
        <w:tab/>
        <w:t>(3)</w:t>
      </w:r>
      <w:r w:rsidRPr="00883399">
        <w:rPr>
          <w:sz w:val="24"/>
        </w:rPr>
        <w:tab/>
        <w:t>For subsection (2), the equation is:</w:t>
      </w:r>
    </w:p>
    <w:p w14:paraId="42D707CB" w14:textId="17CEB679"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3158417E" wp14:editId="21D5486E">
            <wp:extent cx="1068705" cy="23749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52"/>
                    <a:srcRect/>
                    <a:stretch>
                      <a:fillRect/>
                    </a:stretch>
                  </pic:blipFill>
                  <pic:spPr bwMode="auto">
                    <a:xfrm>
                      <a:off x="0" y="0"/>
                      <a:ext cx="1068705" cy="237490"/>
                    </a:xfrm>
                    <a:prstGeom prst="rect">
                      <a:avLst/>
                    </a:prstGeom>
                    <a:noFill/>
                    <a:ln w="9525">
                      <a:noFill/>
                      <a:miter lim="800000"/>
                      <a:headEnd/>
                      <a:tailEnd/>
                    </a:ln>
                  </pic:spPr>
                </pic:pic>
              </a:graphicData>
            </a:graphic>
          </wp:inline>
        </w:drawing>
      </w:r>
    </w:p>
    <w:p w14:paraId="4E52DCA6" w14:textId="77777777" w:rsidR="00872C03" w:rsidRPr="00883399" w:rsidRDefault="00872C03" w:rsidP="00872C03">
      <w:pPr>
        <w:pStyle w:val="subsection2"/>
        <w:rPr>
          <w:sz w:val="24"/>
        </w:rPr>
      </w:pPr>
      <w:r w:rsidRPr="00883399">
        <w:rPr>
          <w:sz w:val="24"/>
        </w:rPr>
        <w:lastRenderedPageBreak/>
        <w:t>where:</w:t>
      </w:r>
    </w:p>
    <w:p w14:paraId="5BE7A757" w14:textId="77777777" w:rsidR="00872C03" w:rsidRPr="00883399" w:rsidRDefault="00872C03" w:rsidP="00872C03">
      <w:pPr>
        <w:pStyle w:val="Definition0"/>
        <w:rPr>
          <w:sz w:val="24"/>
        </w:rPr>
      </w:pPr>
      <w:r w:rsidRPr="00883399">
        <w:rPr>
          <w:b/>
          <w:i/>
          <w:spacing w:val="1"/>
          <w:position w:val="3"/>
          <w:sz w:val="24"/>
        </w:rPr>
        <w:t>C</w:t>
      </w:r>
      <w:r w:rsidRPr="00883399">
        <w:rPr>
          <w:b/>
          <w:i/>
          <w:sz w:val="16"/>
          <w:szCs w:val="14"/>
        </w:rPr>
        <w:t>c</w:t>
      </w:r>
      <w:r w:rsidRPr="00883399">
        <w:rPr>
          <w:b/>
          <w:i/>
          <w:spacing w:val="1"/>
          <w:sz w:val="16"/>
          <w:szCs w:val="14"/>
        </w:rPr>
        <w:t>s</w:t>
      </w:r>
      <w:r w:rsidRPr="00883399">
        <w:rPr>
          <w:b/>
          <w:i/>
          <w:sz w:val="16"/>
          <w:szCs w:val="14"/>
        </w:rPr>
        <w:t xml:space="preserve">t </w:t>
      </w:r>
      <w:r w:rsidRPr="00883399">
        <w:rPr>
          <w:sz w:val="24"/>
        </w:rPr>
        <w:t>is the closing stock of carbon in the last year in which subsection 5.15(4) was used to calculate emissions.</w:t>
      </w:r>
    </w:p>
    <w:p w14:paraId="610BA90B" w14:textId="77777777" w:rsidR="00872C03" w:rsidRPr="00883399" w:rsidRDefault="00872C03" w:rsidP="00872C03">
      <w:pPr>
        <w:pStyle w:val="Definition0"/>
        <w:rPr>
          <w:sz w:val="24"/>
        </w:rPr>
      </w:pPr>
      <w:r w:rsidRPr="00883399">
        <w:rPr>
          <w:b/>
          <w:i/>
          <w:spacing w:val="1"/>
          <w:position w:val="3"/>
          <w:sz w:val="24"/>
        </w:rPr>
        <w:t>C</w:t>
      </w:r>
      <w:r w:rsidRPr="00883399">
        <w:rPr>
          <w:b/>
          <w:i/>
          <w:sz w:val="16"/>
          <w:szCs w:val="14"/>
        </w:rPr>
        <w:t>o</w:t>
      </w:r>
      <w:r w:rsidRPr="00883399">
        <w:rPr>
          <w:b/>
          <w:i/>
          <w:spacing w:val="3"/>
          <w:sz w:val="16"/>
          <w:szCs w:val="14"/>
        </w:rPr>
        <w:t>s</w:t>
      </w:r>
      <w:r w:rsidRPr="00883399">
        <w:rPr>
          <w:b/>
          <w:i/>
          <w:sz w:val="16"/>
          <w:szCs w:val="14"/>
        </w:rPr>
        <w:t>t</w:t>
      </w:r>
      <w:r w:rsidRPr="00883399">
        <w:rPr>
          <w:b/>
          <w:i/>
          <w:spacing w:val="23"/>
          <w:sz w:val="16"/>
          <w:szCs w:val="14"/>
        </w:rPr>
        <w:t xml:space="preserve"> </w:t>
      </w:r>
      <w:r w:rsidRPr="00883399">
        <w:rPr>
          <w:sz w:val="24"/>
        </w:rPr>
        <w:t>is the opening stock of carbon in the first year in which 5.15(4) was used to calculate emissions.</w:t>
      </w:r>
    </w:p>
    <w:p w14:paraId="1760EF2E" w14:textId="77777777" w:rsidR="00872C03" w:rsidRPr="00883399" w:rsidRDefault="00872C03" w:rsidP="00872C03">
      <w:pPr>
        <w:pStyle w:val="Definition0"/>
        <w:rPr>
          <w:sz w:val="24"/>
        </w:rPr>
      </w:pPr>
      <w:r w:rsidRPr="00883399">
        <w:rPr>
          <w:b/>
          <w:i/>
          <w:position w:val="3"/>
          <w:sz w:val="24"/>
        </w:rPr>
        <w:t>∆</w:t>
      </w:r>
      <w:r w:rsidRPr="00883399">
        <w:rPr>
          <w:b/>
          <w:i/>
          <w:spacing w:val="1"/>
          <w:position w:val="3"/>
          <w:sz w:val="24"/>
        </w:rPr>
        <w:t>C</w:t>
      </w:r>
      <w:r w:rsidRPr="00883399">
        <w:rPr>
          <w:b/>
          <w:i/>
          <w:sz w:val="16"/>
          <w:szCs w:val="14"/>
        </w:rPr>
        <w:t>o</w:t>
      </w:r>
      <w:r w:rsidRPr="00883399">
        <w:rPr>
          <w:b/>
          <w:i/>
          <w:spacing w:val="3"/>
          <w:sz w:val="16"/>
          <w:szCs w:val="14"/>
        </w:rPr>
        <w:t xml:space="preserve">st </w:t>
      </w:r>
      <w:r w:rsidRPr="00883399">
        <w:rPr>
          <w:sz w:val="24"/>
        </w:rPr>
        <w:t>is the change in carbon stock for all years in which 5.15(4) applies and is estimated in accordance with 5.15A</w:t>
      </w:r>
    </w:p>
    <w:p w14:paraId="7CC46590" w14:textId="77777777" w:rsidR="00872C03" w:rsidRPr="00883399" w:rsidRDefault="00872C03" w:rsidP="00872C03">
      <w:pPr>
        <w:pStyle w:val="notetext"/>
        <w:rPr>
          <w:sz w:val="20"/>
        </w:rPr>
      </w:pPr>
      <w:r w:rsidRPr="00883399">
        <w:rPr>
          <w:sz w:val="20"/>
        </w:rPr>
        <w:t>Note:</w:t>
      </w:r>
      <w:r w:rsidRPr="00883399">
        <w:rPr>
          <w:sz w:val="20"/>
        </w:rPr>
        <w:tab/>
        <w:t>The quantity of closing stock calculated in accordance with this section is the same as the quantity of opening stock for the current reporting year.</w:t>
      </w:r>
    </w:p>
    <w:p w14:paraId="15794BD0" w14:textId="128B8E24" w:rsidR="00872C03" w:rsidRPr="00883399" w:rsidRDefault="00872C03" w:rsidP="00872C03">
      <w:pPr>
        <w:pStyle w:val="ActHead5"/>
        <w:rPr>
          <w:sz w:val="28"/>
        </w:rPr>
      </w:pPr>
      <w:bookmarkStart w:id="1133" w:name="_Toc423517161"/>
      <w:bookmarkStart w:id="1134" w:name="_Toc495653092"/>
      <w:r w:rsidRPr="00883399">
        <w:rPr>
          <w:rStyle w:val="CharSectno"/>
          <w:sz w:val="28"/>
        </w:rPr>
        <w:t>5.15C</w:t>
      </w:r>
      <w:r w:rsidRPr="00883399">
        <w:rPr>
          <w:sz w:val="28"/>
        </w:rPr>
        <w:t xml:space="preserve">  Equation—collection efficiency limit at landfill in particular reporting year</w:t>
      </w:r>
      <w:bookmarkEnd w:id="1133"/>
      <w:bookmarkEnd w:id="1134"/>
    </w:p>
    <w:p w14:paraId="695E1FD6" w14:textId="77777777" w:rsidR="00047406" w:rsidRPr="00883399" w:rsidRDefault="00872C03" w:rsidP="00047406">
      <w:pPr>
        <w:pStyle w:val="R1"/>
        <w:keepLines w:val="0"/>
        <w:spacing w:before="240" w:line="312" w:lineRule="auto"/>
        <w:ind w:left="0" w:firstLine="0"/>
        <w:jc w:val="left"/>
        <w:rPr>
          <w:rFonts w:ascii="Arial" w:hAnsi="Arial" w:cs="Arial"/>
          <w:sz w:val="22"/>
          <w:szCs w:val="22"/>
        </w:rPr>
      </w:pPr>
      <w:r w:rsidRPr="00883399">
        <w:tab/>
      </w:r>
      <w:r w:rsidR="00047406" w:rsidRPr="00883399">
        <w:rPr>
          <w:rFonts w:ascii="Arial" w:hAnsi="Arial" w:cs="Arial"/>
          <w:sz w:val="22"/>
          <w:szCs w:val="22"/>
        </w:rPr>
        <w:t>The revised method for determining landfill gas collection efficiency under method 2 is based on the US EPA Mandatory Reporting of Greenhouse Gases final rule (FR Vol 74/ No. 209) which provides for the application of collection efficiency limits exceeding 85% under specific operational circumstances.</w:t>
      </w:r>
    </w:p>
    <w:p w14:paraId="5AF83433" w14:textId="77777777" w:rsidR="00047406" w:rsidRPr="00883399" w:rsidRDefault="00047406" w:rsidP="00047406">
      <w:pPr>
        <w:pStyle w:val="R1"/>
        <w:keepLines w:val="0"/>
        <w:spacing w:before="240" w:line="312" w:lineRule="auto"/>
        <w:ind w:left="0" w:firstLine="0"/>
        <w:jc w:val="left"/>
        <w:rPr>
          <w:rFonts w:ascii="Arial" w:hAnsi="Arial" w:cs="Arial"/>
          <w:sz w:val="22"/>
          <w:szCs w:val="22"/>
        </w:rPr>
      </w:pPr>
      <w:r w:rsidRPr="00883399">
        <w:rPr>
          <w:rFonts w:ascii="Arial" w:hAnsi="Arial" w:cs="Arial"/>
          <w:sz w:val="22"/>
          <w:szCs w:val="22"/>
        </w:rPr>
        <w:t>The Mandatory Reporting Rule sets out a calculation that must be undertaken to determine a whole of landfill collection efficiency. The calculation involves the delineation of landfill area by cover type and takes into account system coverage, operation, and cover system materials.</w:t>
      </w:r>
    </w:p>
    <w:p w14:paraId="7EF77219" w14:textId="77777777" w:rsidR="00872C03" w:rsidRPr="00883399" w:rsidRDefault="00047406" w:rsidP="00047406">
      <w:pPr>
        <w:pStyle w:val="subsection"/>
        <w:rPr>
          <w:sz w:val="24"/>
        </w:rPr>
      </w:pPr>
      <w:r w:rsidRPr="00883399">
        <w:rPr>
          <w:sz w:val="24"/>
        </w:rPr>
        <w:t xml:space="preserve"> </w:t>
      </w:r>
      <w:r w:rsidRPr="00883399">
        <w:rPr>
          <w:sz w:val="24"/>
        </w:rPr>
        <w:tab/>
      </w:r>
      <w:r w:rsidR="00872C03" w:rsidRPr="00883399">
        <w:rPr>
          <w:sz w:val="24"/>
        </w:rPr>
        <w:t>(1)</w:t>
      </w:r>
      <w:r w:rsidR="00872C03" w:rsidRPr="00883399">
        <w:rPr>
          <w:sz w:val="24"/>
        </w:rPr>
        <w:tab/>
        <w:t>Subject to subsection (2), the collection efficiency limit for a landfill is calculated using the following formula:</w:t>
      </w:r>
    </w:p>
    <w:bookmarkStart w:id="1135" w:name="BKCheck15B_29"/>
    <w:bookmarkEnd w:id="1135"/>
    <w:p w14:paraId="75E126A9" w14:textId="77777777" w:rsidR="00872C03" w:rsidRPr="00883399" w:rsidRDefault="00872C03" w:rsidP="00872C03">
      <w:pPr>
        <w:pStyle w:val="subsection2"/>
        <w:rPr>
          <w:sz w:val="24"/>
        </w:rPr>
      </w:pPr>
      <w:r w:rsidRPr="00883399">
        <w:rPr>
          <w:sz w:val="24"/>
        </w:rPr>
        <w:object w:dxaOrig="3580" w:dyaOrig="760" w14:anchorId="0E486CA5">
          <v:shape id="_x0000_i1087" type="#_x0000_t75" style="width:179.25pt;height:38.25pt" o:ole="">
            <v:imagedata r:id="rId266" o:title=""/>
          </v:shape>
          <o:OLEObject Type="Embed" ProgID="Equation.DSMT4" ShapeID="_x0000_i1087" DrawAspect="Content" ObjectID="_1594105978" r:id="rId267"/>
        </w:object>
      </w:r>
    </w:p>
    <w:p w14:paraId="59950BB7" w14:textId="77777777" w:rsidR="00872C03" w:rsidRPr="00883399" w:rsidRDefault="00872C03" w:rsidP="00872C03">
      <w:pPr>
        <w:pStyle w:val="subsection2"/>
        <w:rPr>
          <w:sz w:val="24"/>
        </w:rPr>
      </w:pPr>
      <w:r w:rsidRPr="00883399">
        <w:rPr>
          <w:sz w:val="24"/>
        </w:rPr>
        <w:t>where:</w:t>
      </w:r>
    </w:p>
    <w:p w14:paraId="45EF6218" w14:textId="77777777" w:rsidR="00872C03" w:rsidRPr="00883399" w:rsidRDefault="00872C03" w:rsidP="00872C03">
      <w:pPr>
        <w:pStyle w:val="Definition0"/>
        <w:rPr>
          <w:sz w:val="24"/>
        </w:rPr>
      </w:pPr>
      <w:r w:rsidRPr="00883399">
        <w:rPr>
          <w:b/>
          <w:i/>
          <w:sz w:val="24"/>
        </w:rPr>
        <w:t>A2</w:t>
      </w:r>
      <w:r w:rsidRPr="00883399">
        <w:rPr>
          <w:sz w:val="24"/>
        </w:rPr>
        <w:t xml:space="preserve"> is the area of the landfill in square metres, regardless of cover type, without active gas collection.</w:t>
      </w:r>
    </w:p>
    <w:p w14:paraId="0B92FACE" w14:textId="77777777" w:rsidR="00872C03" w:rsidRPr="00883399" w:rsidRDefault="00872C03" w:rsidP="00872C03">
      <w:pPr>
        <w:pStyle w:val="Definition0"/>
        <w:rPr>
          <w:sz w:val="24"/>
        </w:rPr>
      </w:pPr>
      <w:r w:rsidRPr="00883399">
        <w:rPr>
          <w:b/>
          <w:i/>
          <w:sz w:val="24"/>
        </w:rPr>
        <w:t>A3</w:t>
      </w:r>
      <w:r w:rsidRPr="00883399">
        <w:rPr>
          <w:sz w:val="24"/>
        </w:rPr>
        <w:t xml:space="preserve"> is the area of the landfill in square metres that has daily soil cover and active gas collection.</w:t>
      </w:r>
    </w:p>
    <w:p w14:paraId="20AC5A46" w14:textId="77777777" w:rsidR="00872C03" w:rsidRPr="00883399" w:rsidRDefault="00872C03" w:rsidP="00872C03">
      <w:pPr>
        <w:pStyle w:val="Definition0"/>
        <w:rPr>
          <w:sz w:val="24"/>
        </w:rPr>
      </w:pPr>
      <w:r w:rsidRPr="00883399">
        <w:rPr>
          <w:b/>
          <w:i/>
          <w:sz w:val="24"/>
        </w:rPr>
        <w:t>A4</w:t>
      </w:r>
      <w:r w:rsidRPr="00883399">
        <w:rPr>
          <w:sz w:val="24"/>
        </w:rPr>
        <w:t xml:space="preserve"> is the area of the landfill in square metres that has active gas collection and:</w:t>
      </w:r>
    </w:p>
    <w:p w14:paraId="0F0FF411" w14:textId="77777777" w:rsidR="00872C03" w:rsidRPr="00883399" w:rsidRDefault="00872C03" w:rsidP="00872C03">
      <w:pPr>
        <w:pStyle w:val="paragraph"/>
        <w:rPr>
          <w:sz w:val="24"/>
        </w:rPr>
      </w:pPr>
      <w:r w:rsidRPr="00883399">
        <w:rPr>
          <w:sz w:val="24"/>
        </w:rPr>
        <w:tab/>
        <w:t>(a)</w:t>
      </w:r>
      <w:r w:rsidRPr="00883399">
        <w:rPr>
          <w:sz w:val="24"/>
        </w:rPr>
        <w:tab/>
        <w:t>a top cover that is an intermediate type; or</w:t>
      </w:r>
    </w:p>
    <w:p w14:paraId="7212F256" w14:textId="77777777" w:rsidR="00872C03" w:rsidRPr="00883399" w:rsidRDefault="00872C03" w:rsidP="00872C03">
      <w:pPr>
        <w:pStyle w:val="paragraph"/>
        <w:rPr>
          <w:sz w:val="24"/>
        </w:rPr>
      </w:pPr>
      <w:r w:rsidRPr="00883399">
        <w:rPr>
          <w:sz w:val="24"/>
        </w:rPr>
        <w:tab/>
        <w:t>(b)</w:t>
      </w:r>
      <w:r w:rsidRPr="00883399">
        <w:rPr>
          <w:sz w:val="24"/>
        </w:rPr>
        <w:tab/>
        <w:t>a final cover of clay that is less than 1 metre thick; or</w:t>
      </w:r>
    </w:p>
    <w:p w14:paraId="5BE7B5FE" w14:textId="77777777" w:rsidR="00872C03" w:rsidRPr="00883399" w:rsidRDefault="00872C03" w:rsidP="00872C03">
      <w:pPr>
        <w:pStyle w:val="paragraph"/>
        <w:rPr>
          <w:sz w:val="24"/>
        </w:rPr>
      </w:pPr>
      <w:r w:rsidRPr="00883399">
        <w:rPr>
          <w:sz w:val="24"/>
        </w:rPr>
        <w:tab/>
        <w:t>(c)</w:t>
      </w:r>
      <w:r w:rsidRPr="00883399">
        <w:rPr>
          <w:sz w:val="24"/>
        </w:rPr>
        <w:tab/>
        <w:t>a phytocap layer that is at least 1 metre thick.</w:t>
      </w:r>
    </w:p>
    <w:p w14:paraId="633DA8B7" w14:textId="77777777" w:rsidR="00872C03" w:rsidRPr="00883399" w:rsidRDefault="00872C03" w:rsidP="00872C03">
      <w:pPr>
        <w:pStyle w:val="Definition0"/>
        <w:rPr>
          <w:sz w:val="24"/>
        </w:rPr>
      </w:pPr>
      <w:r w:rsidRPr="00883399">
        <w:rPr>
          <w:b/>
          <w:i/>
          <w:sz w:val="24"/>
        </w:rPr>
        <w:lastRenderedPageBreak/>
        <w:t>A5</w:t>
      </w:r>
      <w:r w:rsidRPr="00883399">
        <w:rPr>
          <w:sz w:val="24"/>
        </w:rPr>
        <w:t xml:space="preserve"> is the area of the landfill in square metres</w:t>
      </w:r>
      <w:r w:rsidRPr="00883399">
        <w:rPr>
          <w:sz w:val="24"/>
          <w:vertAlign w:val="superscript"/>
        </w:rPr>
        <w:t xml:space="preserve"> </w:t>
      </w:r>
      <w:r w:rsidRPr="00883399">
        <w:rPr>
          <w:sz w:val="24"/>
        </w:rPr>
        <w:t>that has active gas collection and:</w:t>
      </w:r>
    </w:p>
    <w:p w14:paraId="4F7E4D58" w14:textId="77777777" w:rsidR="00872C03" w:rsidRPr="00883399" w:rsidRDefault="00872C03" w:rsidP="00872C03">
      <w:pPr>
        <w:pStyle w:val="paragraph"/>
        <w:rPr>
          <w:sz w:val="24"/>
        </w:rPr>
      </w:pPr>
      <w:r w:rsidRPr="00883399">
        <w:rPr>
          <w:sz w:val="24"/>
        </w:rPr>
        <w:tab/>
        <w:t>(a)</w:t>
      </w:r>
      <w:r w:rsidRPr="00883399">
        <w:rPr>
          <w:sz w:val="24"/>
        </w:rPr>
        <w:tab/>
        <w:t>a final cover of clay that is at least 1 metre thick; or</w:t>
      </w:r>
    </w:p>
    <w:p w14:paraId="3B6A1325" w14:textId="77777777" w:rsidR="00872C03" w:rsidRPr="00883399" w:rsidRDefault="00872C03" w:rsidP="00872C03">
      <w:pPr>
        <w:pStyle w:val="paragraph"/>
        <w:rPr>
          <w:sz w:val="24"/>
        </w:rPr>
      </w:pPr>
      <w:r w:rsidRPr="00883399">
        <w:rPr>
          <w:sz w:val="24"/>
        </w:rPr>
        <w:tab/>
        <w:t>(b)</w:t>
      </w:r>
      <w:r w:rsidRPr="00883399">
        <w:rPr>
          <w:sz w:val="24"/>
        </w:rPr>
        <w:tab/>
        <w:t>a geo</w:t>
      </w:r>
      <w:r w:rsidRPr="00883399">
        <w:rPr>
          <w:sz w:val="24"/>
        </w:rPr>
        <w:noBreakHyphen/>
        <w:t>membrane cover system.</w:t>
      </w:r>
    </w:p>
    <w:p w14:paraId="6F6D34AD" w14:textId="77777777" w:rsidR="00872C03" w:rsidRPr="00883399" w:rsidRDefault="00872C03" w:rsidP="00872C03">
      <w:pPr>
        <w:pStyle w:val="subsection"/>
        <w:rPr>
          <w:sz w:val="24"/>
        </w:rPr>
      </w:pPr>
      <w:r w:rsidRPr="00883399">
        <w:rPr>
          <w:sz w:val="24"/>
        </w:rPr>
        <w:tab/>
        <w:t>(2)</w:t>
      </w:r>
      <w:r w:rsidRPr="00883399">
        <w:rPr>
          <w:sz w:val="24"/>
        </w:rPr>
        <w:tab/>
        <w:t>Where a landfill operator is unable to specify the areas for the factors A2, A3, A4 and A5 in subsection (1), the collection efficiency limit for the landfill is calculated using the following formula:</w:t>
      </w:r>
    </w:p>
    <w:bookmarkStart w:id="1136" w:name="BKCheck15B_30"/>
    <w:bookmarkEnd w:id="1136"/>
    <w:p w14:paraId="4B8AC091" w14:textId="77777777" w:rsidR="00872C03" w:rsidRPr="00883399" w:rsidRDefault="00872C03" w:rsidP="00872C03">
      <w:pPr>
        <w:pStyle w:val="subsection2"/>
        <w:rPr>
          <w:sz w:val="24"/>
        </w:rPr>
      </w:pPr>
      <w:r w:rsidRPr="00883399">
        <w:rPr>
          <w:sz w:val="24"/>
        </w:rPr>
        <w:object w:dxaOrig="5380" w:dyaOrig="300" w14:anchorId="0B7CB0C3">
          <v:shape id="_x0000_i1088" type="#_x0000_t75" style="width:270pt;height:15pt" o:ole="">
            <v:imagedata r:id="rId268" o:title=""/>
          </v:shape>
          <o:OLEObject Type="Embed" ProgID="Equation.DSMT4" ShapeID="_x0000_i1088" DrawAspect="Content" ObjectID="_1594105979" r:id="rId269"/>
        </w:object>
      </w:r>
    </w:p>
    <w:p w14:paraId="250A4DEC" w14:textId="36D90999" w:rsidR="00872C03" w:rsidRPr="00883399" w:rsidRDefault="00872C03" w:rsidP="00872C03">
      <w:pPr>
        <w:pStyle w:val="ActHead4"/>
        <w:rPr>
          <w:i/>
          <w:sz w:val="28"/>
        </w:rPr>
      </w:pPr>
      <w:bookmarkStart w:id="1137" w:name="_Toc423517162"/>
      <w:bookmarkStart w:id="1138" w:name="_Toc495653093"/>
      <w:r w:rsidRPr="00883399">
        <w:rPr>
          <w:rStyle w:val="CharSubdNo"/>
          <w:sz w:val="28"/>
        </w:rPr>
        <w:t>Subdivision 5.2.3.2</w:t>
      </w:r>
      <w:r w:rsidRPr="00883399">
        <w:rPr>
          <w:sz w:val="28"/>
        </w:rPr>
        <w:t>—</w:t>
      </w:r>
      <w:r w:rsidRPr="00883399">
        <w:rPr>
          <w:rStyle w:val="CharSubdText"/>
          <w:sz w:val="28"/>
        </w:rPr>
        <w:t>Requirements for calculating the methane generation constant (k)</w:t>
      </w:r>
      <w:bookmarkEnd w:id="1137"/>
      <w:bookmarkEnd w:id="1138"/>
    </w:p>
    <w:p w14:paraId="175C2902" w14:textId="7D40A179" w:rsidR="00872C03" w:rsidRPr="00883399" w:rsidRDefault="00872C03" w:rsidP="00872C03">
      <w:pPr>
        <w:pStyle w:val="ActHead5"/>
        <w:rPr>
          <w:sz w:val="28"/>
        </w:rPr>
      </w:pPr>
      <w:bookmarkStart w:id="1139" w:name="_Toc423517163"/>
      <w:bookmarkStart w:id="1140" w:name="_Toc495653094"/>
      <w:r w:rsidRPr="00883399">
        <w:rPr>
          <w:rStyle w:val="CharSectno"/>
          <w:sz w:val="28"/>
        </w:rPr>
        <w:t>5.16</w:t>
      </w:r>
      <w:r w:rsidRPr="00883399">
        <w:rPr>
          <w:sz w:val="28"/>
        </w:rPr>
        <w:t xml:space="preserve">  Procedures for selecting representative zone</w:t>
      </w:r>
      <w:bookmarkEnd w:id="1139"/>
      <w:bookmarkEnd w:id="1140"/>
    </w:p>
    <w:p w14:paraId="459DF623" w14:textId="77777777" w:rsidR="00872C03" w:rsidRPr="00883399" w:rsidRDefault="00872C03" w:rsidP="00872C03">
      <w:pPr>
        <w:pStyle w:val="subsection"/>
        <w:rPr>
          <w:sz w:val="24"/>
        </w:rPr>
      </w:pPr>
      <w:r w:rsidRPr="00883399">
        <w:rPr>
          <w:sz w:val="24"/>
        </w:rPr>
        <w:tab/>
      </w:r>
      <w:r w:rsidRPr="00883399">
        <w:rPr>
          <w:sz w:val="24"/>
        </w:rPr>
        <w:tab/>
        <w:t>The operator of the landfill must select a representative zone in accordance with sections 5.17 to 5.17B for the purpose of estimating the methane generated from the landfill.</w:t>
      </w:r>
    </w:p>
    <w:p w14:paraId="57F87055" w14:textId="47CD6B16" w:rsidR="00872C03" w:rsidRPr="00883399" w:rsidRDefault="00872C03" w:rsidP="00872C03">
      <w:pPr>
        <w:pStyle w:val="ActHead5"/>
        <w:rPr>
          <w:sz w:val="28"/>
        </w:rPr>
      </w:pPr>
      <w:bookmarkStart w:id="1141" w:name="_Toc423517164"/>
      <w:bookmarkStart w:id="1142" w:name="_Toc495653095"/>
      <w:r w:rsidRPr="00883399">
        <w:rPr>
          <w:rStyle w:val="CharSectno"/>
          <w:sz w:val="28"/>
        </w:rPr>
        <w:t>5.17</w:t>
      </w:r>
      <w:r w:rsidRPr="00883399">
        <w:rPr>
          <w:sz w:val="28"/>
        </w:rPr>
        <w:t xml:space="preserve">  Site plan—preparation and requirements</w:t>
      </w:r>
      <w:bookmarkEnd w:id="1141"/>
      <w:bookmarkEnd w:id="1142"/>
    </w:p>
    <w:p w14:paraId="70FA61FD" w14:textId="77777777" w:rsidR="00872C03" w:rsidRPr="00883399" w:rsidRDefault="00872C03" w:rsidP="00872C03">
      <w:pPr>
        <w:pStyle w:val="subsection"/>
        <w:rPr>
          <w:sz w:val="24"/>
        </w:rPr>
      </w:pPr>
      <w:r w:rsidRPr="00883399">
        <w:rPr>
          <w:sz w:val="24"/>
        </w:rPr>
        <w:tab/>
        <w:t>(1)</w:t>
      </w:r>
      <w:r w:rsidRPr="00883399">
        <w:rPr>
          <w:sz w:val="24"/>
        </w:rPr>
        <w:tab/>
        <w:t>Before selecting a representative zone, the operator of a landfill must prepare a site plan of the landfill.</w:t>
      </w:r>
    </w:p>
    <w:p w14:paraId="508E2371" w14:textId="77777777" w:rsidR="00872C03" w:rsidRPr="00883399" w:rsidRDefault="00872C03" w:rsidP="00872C03">
      <w:pPr>
        <w:pStyle w:val="subsection"/>
        <w:rPr>
          <w:sz w:val="24"/>
        </w:rPr>
      </w:pPr>
      <w:r w:rsidRPr="00883399">
        <w:rPr>
          <w:sz w:val="24"/>
        </w:rPr>
        <w:tab/>
        <w:t>(2)</w:t>
      </w:r>
      <w:r w:rsidRPr="00883399">
        <w:rPr>
          <w:sz w:val="24"/>
        </w:rPr>
        <w:tab/>
        <w:t>The site plan must:</w:t>
      </w:r>
    </w:p>
    <w:p w14:paraId="77F27BB1" w14:textId="77777777" w:rsidR="00872C03" w:rsidRPr="00883399" w:rsidRDefault="00872C03" w:rsidP="00872C03">
      <w:pPr>
        <w:pStyle w:val="paragraph"/>
        <w:rPr>
          <w:sz w:val="24"/>
        </w:rPr>
      </w:pPr>
      <w:r w:rsidRPr="00883399">
        <w:rPr>
          <w:sz w:val="24"/>
        </w:rPr>
        <w:tab/>
        <w:t>(a)</w:t>
      </w:r>
      <w:r w:rsidRPr="00883399">
        <w:rPr>
          <w:sz w:val="24"/>
        </w:rPr>
        <w:tab/>
        <w:t xml:space="preserve">be consistent with the provisions relating to landfill site plans included in the document entitled </w:t>
      </w:r>
      <w:r w:rsidRPr="00883399">
        <w:rPr>
          <w:i/>
          <w:sz w:val="24"/>
        </w:rPr>
        <w:t>Technical Guidelines for the estimation of greenhouse gas emissions by facilities in Australia</w:t>
      </w:r>
      <w:r w:rsidRPr="00883399">
        <w:rPr>
          <w:sz w:val="24"/>
        </w:rPr>
        <w:t>, published by the Department of Climate Change and Energy Efficiency in July 2011; and</w:t>
      </w:r>
    </w:p>
    <w:p w14:paraId="2C8026BE" w14:textId="77777777" w:rsidR="00872C03" w:rsidRPr="00883399" w:rsidRDefault="00872C03" w:rsidP="00872C03">
      <w:pPr>
        <w:pStyle w:val="paragraph"/>
        <w:rPr>
          <w:sz w:val="24"/>
        </w:rPr>
      </w:pPr>
      <w:r w:rsidRPr="00883399">
        <w:rPr>
          <w:sz w:val="24"/>
        </w:rPr>
        <w:tab/>
        <w:t>(b)</w:t>
      </w:r>
      <w:r w:rsidRPr="00883399">
        <w:rPr>
          <w:sz w:val="24"/>
        </w:rPr>
        <w:tab/>
        <w:t>if the landfill has more than one sub</w:t>
      </w:r>
      <w:r w:rsidRPr="00883399">
        <w:rPr>
          <w:sz w:val="24"/>
        </w:rPr>
        <w:noBreakHyphen/>
        <w:t>facility zone—show the boundaries of each sub</w:t>
      </w:r>
      <w:r w:rsidRPr="00883399">
        <w:rPr>
          <w:sz w:val="24"/>
        </w:rPr>
        <w:noBreakHyphen/>
        <w:t>facility zone.</w:t>
      </w:r>
    </w:p>
    <w:p w14:paraId="4B5B2129" w14:textId="77777777" w:rsidR="00872C03" w:rsidRPr="00883399" w:rsidRDefault="00872C03" w:rsidP="00872C03">
      <w:pPr>
        <w:pStyle w:val="notetext"/>
        <w:rPr>
          <w:sz w:val="20"/>
        </w:rPr>
      </w:pPr>
      <w:r w:rsidRPr="00883399">
        <w:rPr>
          <w:sz w:val="20"/>
        </w:rPr>
        <w:t>Note:</w:t>
      </w:r>
      <w:r w:rsidRPr="00883399">
        <w:rPr>
          <w:sz w:val="20"/>
        </w:rPr>
        <w:tab/>
        <w:t xml:space="preserve">The </w:t>
      </w:r>
      <w:r w:rsidRPr="00883399">
        <w:rPr>
          <w:i/>
          <w:sz w:val="20"/>
        </w:rPr>
        <w:t>Technical Guidelines for the estimation of greenhouse gas emissions by facilities in Australia</w:t>
      </w:r>
      <w:r w:rsidRPr="00883399">
        <w:rPr>
          <w:sz w:val="20"/>
        </w:rPr>
        <w:t xml:space="preserve"> are available at </w:t>
      </w:r>
      <w:hyperlink r:id="rId270" w:history="1">
        <w:r w:rsidR="006C7995" w:rsidRPr="00883399">
          <w:rPr>
            <w:rStyle w:val="Hyperlink"/>
            <w:sz w:val="20"/>
          </w:rPr>
          <w:t>www.environment.gov.au</w:t>
        </w:r>
      </w:hyperlink>
      <w:r w:rsidRPr="00883399">
        <w:rPr>
          <w:sz w:val="20"/>
        </w:rPr>
        <w:t>.</w:t>
      </w:r>
    </w:p>
    <w:p w14:paraId="02140F72" w14:textId="77777777" w:rsidR="006C7995" w:rsidRPr="00883399" w:rsidRDefault="006C7995" w:rsidP="00872C03">
      <w:pPr>
        <w:pStyle w:val="notetext"/>
        <w:rPr>
          <w:sz w:val="20"/>
        </w:rPr>
      </w:pPr>
    </w:p>
    <w:p w14:paraId="56A12AF4" w14:textId="77777777" w:rsidR="006C7995" w:rsidRPr="00883399" w:rsidRDefault="006C7995" w:rsidP="006C7995">
      <w:pPr>
        <w:pStyle w:val="R2"/>
        <w:rPr>
          <w:rFonts w:ascii="Arial" w:hAnsi="Arial" w:cs="Arial"/>
          <w:b/>
          <w:i/>
          <w:color w:val="000000"/>
          <w:sz w:val="22"/>
          <w:szCs w:val="22"/>
        </w:rPr>
      </w:pPr>
      <w:r w:rsidRPr="00883399">
        <w:rPr>
          <w:rFonts w:ascii="Arial" w:hAnsi="Arial" w:cs="Arial"/>
          <w:b/>
          <w:i/>
          <w:color w:val="000000"/>
          <w:sz w:val="22"/>
          <w:szCs w:val="22"/>
        </w:rPr>
        <w:t>Technical Guidelines relating to landfill site plans</w:t>
      </w:r>
    </w:p>
    <w:p w14:paraId="7FF9C8BA" w14:textId="77777777" w:rsidR="006C7995" w:rsidRPr="00883399" w:rsidRDefault="006C7995" w:rsidP="006C7995">
      <w:pPr>
        <w:pStyle w:val="R2"/>
        <w:keepLines w:val="0"/>
        <w:tabs>
          <w:tab w:val="clear" w:pos="794"/>
          <w:tab w:val="right" w:pos="993"/>
        </w:tabs>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The operator of the landfill must prepare a site plan prior to the commencement of the use of method 2 that must include the following information:</w:t>
      </w:r>
    </w:p>
    <w:p w14:paraId="2C96829B" w14:textId="77777777" w:rsidR="006C7995" w:rsidRPr="00883399" w:rsidRDefault="006C7995" w:rsidP="00D94C95">
      <w:pPr>
        <w:pStyle w:val="R2"/>
        <w:numPr>
          <w:ilvl w:val="0"/>
          <w:numId w:val="33"/>
        </w:numPr>
        <w:spacing w:before="240" w:line="240" w:lineRule="auto"/>
        <w:ind w:left="0" w:firstLine="0"/>
        <w:jc w:val="left"/>
        <w:rPr>
          <w:rFonts w:ascii="Arial" w:hAnsi="Arial" w:cs="Arial"/>
          <w:color w:val="000000"/>
          <w:sz w:val="22"/>
          <w:szCs w:val="22"/>
        </w:rPr>
      </w:pPr>
      <w:r w:rsidRPr="00883399">
        <w:rPr>
          <w:rFonts w:ascii="Arial" w:hAnsi="Arial" w:cs="Arial"/>
          <w:color w:val="000000"/>
          <w:sz w:val="22"/>
          <w:szCs w:val="22"/>
        </w:rPr>
        <w:t>a description of basic site characteristics:</w:t>
      </w:r>
    </w:p>
    <w:p w14:paraId="251D31AD" w14:textId="77777777" w:rsidR="006C7995" w:rsidRPr="00883399" w:rsidRDefault="006C7995" w:rsidP="00D94C95">
      <w:pPr>
        <w:pStyle w:val="Bullet"/>
        <w:numPr>
          <w:ilvl w:val="0"/>
          <w:numId w:val="37"/>
        </w:numPr>
        <w:tabs>
          <w:tab w:val="clear" w:pos="8400"/>
        </w:tabs>
        <w:spacing w:before="240" w:line="240" w:lineRule="auto"/>
        <w:ind w:left="1418" w:hanging="284"/>
      </w:pPr>
      <w:r w:rsidRPr="00883399">
        <w:t>the planned life of the facility and permitted volumes of waste disposal; the exact boundaries of the waste disposal area;</w:t>
      </w:r>
    </w:p>
    <w:p w14:paraId="6C078A9E" w14:textId="77777777" w:rsidR="006C7995" w:rsidRPr="00883399" w:rsidRDefault="006C7995" w:rsidP="00D94C95">
      <w:pPr>
        <w:pStyle w:val="Bullet"/>
        <w:numPr>
          <w:ilvl w:val="0"/>
          <w:numId w:val="37"/>
        </w:numPr>
        <w:tabs>
          <w:tab w:val="clear" w:pos="8400"/>
        </w:tabs>
        <w:spacing w:before="240" w:line="240" w:lineRule="auto"/>
        <w:ind w:left="1418" w:hanging="284"/>
      </w:pPr>
      <w:r w:rsidRPr="00883399">
        <w:rPr>
          <w:color w:val="000000"/>
        </w:rPr>
        <w:lastRenderedPageBreak/>
        <w:t>containment design (liner and capping);</w:t>
      </w:r>
    </w:p>
    <w:p w14:paraId="785DC841" w14:textId="77777777" w:rsidR="006C7995" w:rsidRPr="00883399" w:rsidRDefault="006C7995" w:rsidP="00D94C95">
      <w:pPr>
        <w:pStyle w:val="Bullet"/>
        <w:numPr>
          <w:ilvl w:val="0"/>
          <w:numId w:val="37"/>
        </w:numPr>
        <w:tabs>
          <w:tab w:val="clear" w:pos="8400"/>
        </w:tabs>
        <w:spacing w:before="240" w:line="240" w:lineRule="auto"/>
        <w:ind w:left="1418" w:hanging="284"/>
      </w:pPr>
      <w:r w:rsidRPr="00883399">
        <w:rPr>
          <w:color w:val="000000"/>
        </w:rPr>
        <w:t>fill process (for example, phased or cell; landfill or landraise);</w:t>
      </w:r>
    </w:p>
    <w:p w14:paraId="40D8655E" w14:textId="77777777" w:rsidR="006C7995" w:rsidRPr="00883399" w:rsidRDefault="006C7995" w:rsidP="00D94C95">
      <w:pPr>
        <w:pStyle w:val="Bullet"/>
        <w:numPr>
          <w:ilvl w:val="0"/>
          <w:numId w:val="37"/>
        </w:numPr>
        <w:tabs>
          <w:tab w:val="clear" w:pos="8400"/>
        </w:tabs>
        <w:spacing w:before="240" w:line="240" w:lineRule="auto"/>
        <w:ind w:left="1418" w:hanging="284"/>
      </w:pPr>
      <w:r w:rsidRPr="00883399">
        <w:rPr>
          <w:color w:val="000000"/>
        </w:rPr>
        <w:t>sideslopes and edges;</w:t>
      </w:r>
    </w:p>
    <w:p w14:paraId="48B59573" w14:textId="77777777" w:rsidR="006C7995" w:rsidRPr="00883399" w:rsidRDefault="006C7995" w:rsidP="00D94C95">
      <w:pPr>
        <w:pStyle w:val="Bullet"/>
        <w:numPr>
          <w:ilvl w:val="0"/>
          <w:numId w:val="37"/>
        </w:numPr>
        <w:tabs>
          <w:tab w:val="clear" w:pos="8400"/>
        </w:tabs>
        <w:spacing w:before="240" w:line="240" w:lineRule="auto"/>
        <w:ind w:left="1418" w:hanging="284"/>
      </w:pPr>
      <w:r w:rsidRPr="00883399">
        <w:rPr>
          <w:color w:val="000000"/>
        </w:rPr>
        <w:t>any fissures or weak points in the cap where emissions may be high;  and</w:t>
      </w:r>
    </w:p>
    <w:p w14:paraId="79332F7F" w14:textId="77777777" w:rsidR="006C7995" w:rsidRPr="00883399" w:rsidRDefault="006C7995" w:rsidP="006C7995">
      <w:pPr>
        <w:pStyle w:val="R2"/>
        <w:numPr>
          <w:ilvl w:val="0"/>
          <w:numId w:val="33"/>
        </w:numPr>
        <w:tabs>
          <w:tab w:val="clear" w:pos="794"/>
          <w:tab w:val="right" w:pos="851"/>
        </w:tabs>
        <w:spacing w:before="240" w:line="312" w:lineRule="auto"/>
        <w:ind w:left="851" w:hanging="851"/>
        <w:jc w:val="left"/>
        <w:rPr>
          <w:rFonts w:ascii="Arial" w:hAnsi="Arial" w:cs="Arial"/>
          <w:color w:val="000000"/>
          <w:sz w:val="22"/>
          <w:szCs w:val="22"/>
        </w:rPr>
      </w:pPr>
      <w:r w:rsidRPr="00883399">
        <w:rPr>
          <w:rFonts w:ascii="Arial" w:hAnsi="Arial" w:cs="Arial"/>
          <w:color w:val="000000"/>
          <w:sz w:val="22"/>
          <w:szCs w:val="22"/>
        </w:rPr>
        <w:t>spatial mapping of permanent and temporary capped zones and uncapped zones;  and</w:t>
      </w:r>
    </w:p>
    <w:p w14:paraId="3BB2095B" w14:textId="77777777" w:rsidR="006C7995" w:rsidRPr="00883399" w:rsidRDefault="006C7995" w:rsidP="006C7995">
      <w:pPr>
        <w:pStyle w:val="R2"/>
        <w:numPr>
          <w:ilvl w:val="0"/>
          <w:numId w:val="33"/>
        </w:numPr>
        <w:tabs>
          <w:tab w:val="clear" w:pos="794"/>
          <w:tab w:val="right" w:pos="851"/>
        </w:tabs>
        <w:spacing w:before="240" w:line="312" w:lineRule="auto"/>
        <w:ind w:left="851" w:hanging="851"/>
        <w:jc w:val="left"/>
        <w:rPr>
          <w:rFonts w:ascii="Arial" w:hAnsi="Arial" w:cs="Arial"/>
          <w:color w:val="000000"/>
          <w:sz w:val="22"/>
          <w:szCs w:val="22"/>
        </w:rPr>
      </w:pPr>
      <w:r w:rsidRPr="00883399">
        <w:rPr>
          <w:rFonts w:ascii="Arial" w:hAnsi="Arial" w:cs="Arial"/>
          <w:color w:val="000000"/>
          <w:sz w:val="22"/>
          <w:szCs w:val="22"/>
        </w:rPr>
        <w:t>spatial mapping of volumes, mass and age of waste disposed at the facility; and</w:t>
      </w:r>
    </w:p>
    <w:p w14:paraId="381DC964" w14:textId="77777777" w:rsidR="006C7995" w:rsidRPr="00883399" w:rsidRDefault="006C7995" w:rsidP="006C7995">
      <w:pPr>
        <w:pStyle w:val="R2"/>
        <w:numPr>
          <w:ilvl w:val="0"/>
          <w:numId w:val="33"/>
        </w:numPr>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description of gas control systems:</w:t>
      </w:r>
    </w:p>
    <w:p w14:paraId="69C3D94B" w14:textId="77777777" w:rsidR="006C7995" w:rsidRPr="00883399" w:rsidRDefault="006C7995" w:rsidP="006C7995">
      <w:pPr>
        <w:pStyle w:val="R2"/>
        <w:keepLines w:val="0"/>
        <w:numPr>
          <w:ilvl w:val="0"/>
          <w:numId w:val="34"/>
        </w:numPr>
        <w:spacing w:before="240" w:line="240" w:lineRule="auto"/>
        <w:ind w:left="1418" w:hanging="284"/>
        <w:jc w:val="left"/>
        <w:rPr>
          <w:rFonts w:ascii="Arial" w:hAnsi="Arial" w:cs="Arial"/>
          <w:color w:val="000000"/>
          <w:sz w:val="22"/>
          <w:szCs w:val="22"/>
        </w:rPr>
      </w:pPr>
      <w:r w:rsidRPr="00883399">
        <w:rPr>
          <w:rFonts w:ascii="Arial" w:hAnsi="Arial" w:cs="Arial"/>
          <w:color w:val="000000"/>
          <w:sz w:val="22"/>
          <w:szCs w:val="22"/>
        </w:rPr>
        <w:t>locations of wells and their capacity and other relevant attributes;</w:t>
      </w:r>
    </w:p>
    <w:p w14:paraId="1973F587" w14:textId="77777777" w:rsidR="006C7995" w:rsidRPr="00883399" w:rsidRDefault="006C7995" w:rsidP="006C7995">
      <w:pPr>
        <w:pStyle w:val="R2"/>
        <w:keepLines w:val="0"/>
        <w:numPr>
          <w:ilvl w:val="0"/>
          <w:numId w:val="34"/>
        </w:numPr>
        <w:spacing w:before="240" w:line="240" w:lineRule="auto"/>
        <w:ind w:left="1418" w:hanging="284"/>
        <w:jc w:val="left"/>
        <w:rPr>
          <w:rFonts w:ascii="Arial" w:hAnsi="Arial" w:cs="Arial"/>
          <w:color w:val="000000"/>
          <w:sz w:val="22"/>
          <w:szCs w:val="22"/>
        </w:rPr>
      </w:pPr>
      <w:r w:rsidRPr="00883399">
        <w:rPr>
          <w:rFonts w:ascii="Arial" w:hAnsi="Arial" w:cs="Arial"/>
          <w:color w:val="000000"/>
          <w:sz w:val="22"/>
          <w:szCs w:val="22"/>
        </w:rPr>
        <w:t>gas monitoring points;</w:t>
      </w:r>
    </w:p>
    <w:p w14:paraId="109F095F" w14:textId="77777777" w:rsidR="006C7995" w:rsidRPr="00883399" w:rsidRDefault="006C7995" w:rsidP="006C7995">
      <w:pPr>
        <w:pStyle w:val="R2"/>
        <w:keepLines w:val="0"/>
        <w:numPr>
          <w:ilvl w:val="0"/>
          <w:numId w:val="34"/>
        </w:numPr>
        <w:spacing w:before="240" w:line="240" w:lineRule="auto"/>
        <w:ind w:left="1418" w:hanging="284"/>
        <w:jc w:val="left"/>
        <w:rPr>
          <w:rFonts w:ascii="Arial" w:hAnsi="Arial" w:cs="Arial"/>
          <w:color w:val="000000"/>
          <w:sz w:val="22"/>
          <w:szCs w:val="22"/>
        </w:rPr>
      </w:pPr>
      <w:r w:rsidRPr="00883399">
        <w:rPr>
          <w:rFonts w:ascii="Arial" w:hAnsi="Arial" w:cs="Arial"/>
          <w:color w:val="000000"/>
          <w:sz w:val="22"/>
          <w:szCs w:val="22"/>
        </w:rPr>
        <w:t>density of well sub-systems;</w:t>
      </w:r>
    </w:p>
    <w:p w14:paraId="4037465F" w14:textId="77777777" w:rsidR="006C7995" w:rsidRPr="00883399" w:rsidRDefault="006C7995" w:rsidP="006C7995">
      <w:pPr>
        <w:pStyle w:val="R2"/>
        <w:keepLines w:val="0"/>
        <w:numPr>
          <w:ilvl w:val="0"/>
          <w:numId w:val="34"/>
        </w:numPr>
        <w:spacing w:before="240" w:line="240" w:lineRule="auto"/>
        <w:ind w:left="1418" w:hanging="284"/>
        <w:jc w:val="left"/>
        <w:rPr>
          <w:rFonts w:ascii="Arial" w:hAnsi="Arial" w:cs="Arial"/>
          <w:color w:val="000000"/>
          <w:sz w:val="22"/>
          <w:szCs w:val="22"/>
        </w:rPr>
      </w:pPr>
      <w:r w:rsidRPr="00883399">
        <w:rPr>
          <w:rFonts w:ascii="Arial" w:hAnsi="Arial" w:cs="Arial"/>
          <w:color w:val="000000"/>
          <w:sz w:val="22"/>
          <w:szCs w:val="22"/>
        </w:rPr>
        <w:t>description of flares (location, timing and gas capacities); and</w:t>
      </w:r>
    </w:p>
    <w:p w14:paraId="23938195" w14:textId="77777777" w:rsidR="006C7995" w:rsidRPr="00883399" w:rsidRDefault="006C7995" w:rsidP="006C7995">
      <w:pPr>
        <w:pStyle w:val="R2"/>
        <w:numPr>
          <w:ilvl w:val="0"/>
          <w:numId w:val="33"/>
        </w:numPr>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leachate management systems;</w:t>
      </w:r>
    </w:p>
    <w:p w14:paraId="6CDEE726" w14:textId="77777777" w:rsidR="006C7995" w:rsidRPr="00883399" w:rsidRDefault="006C7995" w:rsidP="006C7995">
      <w:pPr>
        <w:pStyle w:val="R2"/>
        <w:keepLines w:val="0"/>
        <w:numPr>
          <w:ilvl w:val="0"/>
          <w:numId w:val="34"/>
        </w:numPr>
        <w:spacing w:before="240" w:line="240" w:lineRule="auto"/>
        <w:ind w:left="1418" w:hanging="284"/>
        <w:jc w:val="left"/>
        <w:rPr>
          <w:rFonts w:ascii="Arial" w:hAnsi="Arial" w:cs="Arial"/>
          <w:color w:val="000000"/>
          <w:sz w:val="22"/>
          <w:szCs w:val="22"/>
        </w:rPr>
      </w:pPr>
      <w:r w:rsidRPr="00883399">
        <w:rPr>
          <w:rFonts w:ascii="Arial" w:hAnsi="Arial" w:cs="Arial"/>
          <w:color w:val="000000"/>
          <w:sz w:val="22"/>
          <w:szCs w:val="22"/>
        </w:rPr>
        <w:t>leachate towers, sumps, risers systems (including recirculation)</w:t>
      </w:r>
    </w:p>
    <w:p w14:paraId="3E569B95" w14:textId="77777777" w:rsidR="006C7995" w:rsidRPr="00883399" w:rsidRDefault="006C7995" w:rsidP="006C7995">
      <w:pPr>
        <w:pStyle w:val="R2"/>
        <w:keepLines w:val="0"/>
        <w:numPr>
          <w:ilvl w:val="0"/>
          <w:numId w:val="34"/>
        </w:numPr>
        <w:spacing w:before="240" w:line="240" w:lineRule="auto"/>
        <w:ind w:left="1418" w:hanging="284"/>
        <w:jc w:val="left"/>
        <w:rPr>
          <w:rFonts w:ascii="Arial" w:hAnsi="Arial" w:cs="Arial"/>
          <w:color w:val="000000"/>
          <w:sz w:val="22"/>
          <w:szCs w:val="22"/>
        </w:rPr>
      </w:pPr>
      <w:r w:rsidRPr="00883399">
        <w:rPr>
          <w:rFonts w:ascii="Arial" w:hAnsi="Arial" w:cs="Arial"/>
          <w:color w:val="000000"/>
          <w:sz w:val="22"/>
          <w:szCs w:val="22"/>
        </w:rPr>
        <w:t>leachate monitoring points</w:t>
      </w:r>
    </w:p>
    <w:p w14:paraId="1B9B89DC" w14:textId="77777777" w:rsidR="006C7995" w:rsidRPr="00883399" w:rsidRDefault="006C7995" w:rsidP="006C7995">
      <w:pPr>
        <w:pStyle w:val="R2"/>
        <w:keepLines w:val="0"/>
        <w:numPr>
          <w:ilvl w:val="0"/>
          <w:numId w:val="34"/>
        </w:numPr>
        <w:spacing w:before="240" w:line="240" w:lineRule="auto"/>
        <w:ind w:left="1418" w:hanging="284"/>
        <w:jc w:val="left"/>
        <w:rPr>
          <w:rFonts w:ascii="Arial" w:hAnsi="Arial" w:cs="Arial"/>
          <w:color w:val="000000"/>
          <w:sz w:val="22"/>
          <w:szCs w:val="22"/>
        </w:rPr>
      </w:pPr>
      <w:r w:rsidRPr="00883399">
        <w:rPr>
          <w:rFonts w:ascii="Arial" w:hAnsi="Arial" w:cs="Arial"/>
          <w:color w:val="000000"/>
          <w:sz w:val="22"/>
          <w:szCs w:val="22"/>
        </w:rPr>
        <w:t xml:space="preserve">presence of former co-disposal systems (e.g. liquid disposal trenches); </w:t>
      </w:r>
    </w:p>
    <w:p w14:paraId="39047186" w14:textId="77777777" w:rsidR="006C7995" w:rsidRPr="00883399" w:rsidRDefault="006C7995" w:rsidP="006C7995">
      <w:pPr>
        <w:pStyle w:val="R2"/>
        <w:tabs>
          <w:tab w:val="clear" w:pos="794"/>
          <w:tab w:val="left" w:pos="426"/>
        </w:tabs>
        <w:spacing w:before="240" w:line="312" w:lineRule="auto"/>
        <w:ind w:left="709" w:hanging="709"/>
        <w:jc w:val="left"/>
        <w:rPr>
          <w:rFonts w:ascii="Arial" w:hAnsi="Arial" w:cs="Arial"/>
          <w:color w:val="000000"/>
          <w:sz w:val="22"/>
          <w:szCs w:val="22"/>
        </w:rPr>
      </w:pPr>
      <w:r w:rsidRPr="00883399">
        <w:rPr>
          <w:rFonts w:ascii="Arial" w:hAnsi="Arial" w:cs="Arial"/>
          <w:color w:val="000000"/>
          <w:sz w:val="22"/>
          <w:szCs w:val="22"/>
        </w:rPr>
        <w:t>f)</w:t>
      </w:r>
      <w:r w:rsidRPr="00883399">
        <w:rPr>
          <w:rFonts w:ascii="Arial" w:hAnsi="Arial" w:cs="Arial"/>
          <w:color w:val="000000"/>
          <w:sz w:val="22"/>
          <w:szCs w:val="22"/>
        </w:rPr>
        <w:tab/>
      </w:r>
      <w:r w:rsidRPr="00883399">
        <w:rPr>
          <w:rFonts w:ascii="Arial" w:hAnsi="Arial" w:cs="Arial"/>
          <w:color w:val="000000"/>
          <w:sz w:val="22"/>
          <w:szCs w:val="22"/>
        </w:rPr>
        <w:tab/>
        <w:t>the boundaries of all sub-facility and representative zones; and</w:t>
      </w:r>
    </w:p>
    <w:p w14:paraId="7A83E8C9" w14:textId="77777777" w:rsidR="006C7995" w:rsidRPr="00883399" w:rsidRDefault="006C7995" w:rsidP="006C7995">
      <w:pPr>
        <w:pStyle w:val="R2"/>
        <w:tabs>
          <w:tab w:val="clear" w:pos="794"/>
          <w:tab w:val="left" w:pos="426"/>
        </w:tabs>
        <w:spacing w:before="240" w:line="312" w:lineRule="auto"/>
        <w:ind w:left="709" w:hanging="709"/>
        <w:jc w:val="left"/>
        <w:rPr>
          <w:rFonts w:ascii="Arial" w:hAnsi="Arial" w:cs="Arial"/>
          <w:color w:val="000000"/>
          <w:sz w:val="22"/>
          <w:szCs w:val="22"/>
        </w:rPr>
      </w:pPr>
      <w:r w:rsidRPr="00883399">
        <w:rPr>
          <w:rFonts w:ascii="Arial" w:hAnsi="Arial" w:cs="Arial"/>
          <w:color w:val="000000"/>
          <w:sz w:val="22"/>
          <w:szCs w:val="22"/>
        </w:rPr>
        <w:t>g)</w:t>
      </w:r>
      <w:r w:rsidRPr="00883399">
        <w:rPr>
          <w:rFonts w:ascii="Arial" w:hAnsi="Arial" w:cs="Arial"/>
          <w:color w:val="000000"/>
          <w:sz w:val="22"/>
          <w:szCs w:val="22"/>
        </w:rPr>
        <w:tab/>
      </w:r>
      <w:r w:rsidRPr="00883399">
        <w:rPr>
          <w:rFonts w:ascii="Arial" w:hAnsi="Arial" w:cs="Arial"/>
          <w:color w:val="000000"/>
          <w:sz w:val="22"/>
          <w:szCs w:val="22"/>
        </w:rPr>
        <w:tab/>
        <w:t>any other features of the facility that could impact on flux box locations or the capacity of a representative zone or to be representative of facility.</w:t>
      </w:r>
    </w:p>
    <w:p w14:paraId="31864F52" w14:textId="77777777" w:rsidR="006C7995" w:rsidRPr="00883399" w:rsidRDefault="006C7995" w:rsidP="00872C03">
      <w:pPr>
        <w:pStyle w:val="notetext"/>
        <w:rPr>
          <w:sz w:val="20"/>
        </w:rPr>
      </w:pPr>
    </w:p>
    <w:p w14:paraId="089DD0A3" w14:textId="26DAE87B" w:rsidR="00872C03" w:rsidRPr="00883399" w:rsidRDefault="00872C03" w:rsidP="00872C03">
      <w:pPr>
        <w:pStyle w:val="ActHead5"/>
        <w:rPr>
          <w:sz w:val="28"/>
        </w:rPr>
      </w:pPr>
      <w:bookmarkStart w:id="1143" w:name="_Toc423517165"/>
      <w:bookmarkStart w:id="1144" w:name="_Toc495653096"/>
      <w:r w:rsidRPr="00883399">
        <w:rPr>
          <w:rStyle w:val="CharSectno"/>
          <w:sz w:val="28"/>
        </w:rPr>
        <w:t>5.17AA</w:t>
      </w:r>
      <w:r w:rsidRPr="00883399">
        <w:rPr>
          <w:sz w:val="28"/>
        </w:rPr>
        <w:t xml:space="preserve">  Sub</w:t>
      </w:r>
      <w:r w:rsidRPr="00883399">
        <w:rPr>
          <w:sz w:val="28"/>
        </w:rPr>
        <w:noBreakHyphen/>
        <w:t>facility zones—maximum number and requirements</w:t>
      </w:r>
      <w:bookmarkEnd w:id="1143"/>
      <w:bookmarkEnd w:id="1144"/>
    </w:p>
    <w:p w14:paraId="2959BA82" w14:textId="77777777" w:rsidR="00872C03" w:rsidRPr="00883399" w:rsidRDefault="00872C03" w:rsidP="00872C03">
      <w:pPr>
        <w:pStyle w:val="subsection"/>
        <w:rPr>
          <w:sz w:val="24"/>
        </w:rPr>
      </w:pPr>
      <w:r w:rsidRPr="00883399">
        <w:rPr>
          <w:sz w:val="24"/>
        </w:rPr>
        <w:tab/>
        <w:t>(1)</w:t>
      </w:r>
      <w:r w:rsidRPr="00883399">
        <w:rPr>
          <w:sz w:val="24"/>
        </w:rPr>
        <w:tab/>
        <w:t>After preparing a site plan, the landfill operator may select sub</w:t>
      </w:r>
      <w:r w:rsidRPr="00883399">
        <w:rPr>
          <w:sz w:val="24"/>
        </w:rPr>
        <w:noBreakHyphen/>
        <w:t>facility zones for the site plan.</w:t>
      </w:r>
    </w:p>
    <w:p w14:paraId="7254D707" w14:textId="77777777" w:rsidR="00872C03" w:rsidRPr="00883399" w:rsidRDefault="00872C03" w:rsidP="00872C03">
      <w:pPr>
        <w:pStyle w:val="subsection"/>
        <w:rPr>
          <w:sz w:val="24"/>
        </w:rPr>
      </w:pPr>
      <w:r w:rsidRPr="00883399">
        <w:rPr>
          <w:sz w:val="24"/>
        </w:rPr>
        <w:tab/>
        <w:t>(2)</w:t>
      </w:r>
      <w:r w:rsidRPr="00883399">
        <w:rPr>
          <w:sz w:val="24"/>
        </w:rPr>
        <w:tab/>
        <w:t>The number of sub</w:t>
      </w:r>
      <w:r w:rsidRPr="00883399">
        <w:rPr>
          <w:sz w:val="24"/>
        </w:rPr>
        <w:noBreakHyphen/>
        <w:t>facility zones the landfill operator may select:</w:t>
      </w:r>
    </w:p>
    <w:p w14:paraId="3BCA2486" w14:textId="77777777" w:rsidR="00872C03" w:rsidRPr="00883399" w:rsidRDefault="00872C03" w:rsidP="00872C03">
      <w:pPr>
        <w:pStyle w:val="paragraph"/>
        <w:rPr>
          <w:sz w:val="24"/>
        </w:rPr>
      </w:pPr>
      <w:r w:rsidRPr="00883399">
        <w:rPr>
          <w:sz w:val="24"/>
        </w:rPr>
        <w:lastRenderedPageBreak/>
        <w:tab/>
        <w:t>(a)</w:t>
      </w:r>
      <w:r w:rsidRPr="00883399">
        <w:rPr>
          <w:sz w:val="24"/>
        </w:rPr>
        <w:tab/>
        <w:t>for sub</w:t>
      </w:r>
      <w:r w:rsidRPr="00883399">
        <w:rPr>
          <w:sz w:val="24"/>
        </w:rPr>
        <w:noBreakHyphen/>
        <w:t>facility zones that contain only waste mix of the type mentioned in paragraph 5.11(1)(i)—is unlimited; and</w:t>
      </w:r>
    </w:p>
    <w:p w14:paraId="54E8019E" w14:textId="77777777" w:rsidR="00872C03" w:rsidRPr="00883399" w:rsidRDefault="00872C03" w:rsidP="00872C03">
      <w:pPr>
        <w:pStyle w:val="paragraph"/>
        <w:rPr>
          <w:sz w:val="24"/>
        </w:rPr>
      </w:pPr>
      <w:r w:rsidRPr="00883399">
        <w:rPr>
          <w:sz w:val="24"/>
        </w:rPr>
        <w:tab/>
        <w:t>(b)</w:t>
      </w:r>
      <w:r w:rsidRPr="00883399">
        <w:rPr>
          <w:sz w:val="24"/>
        </w:rPr>
        <w:tab/>
        <w:t>for all other sub</w:t>
      </w:r>
      <w:r w:rsidRPr="00883399">
        <w:rPr>
          <w:sz w:val="24"/>
        </w:rPr>
        <w:noBreakHyphen/>
        <w:t>facility zones—must not exceed 4.</w:t>
      </w:r>
    </w:p>
    <w:p w14:paraId="6392FB8A" w14:textId="77777777" w:rsidR="00872C03" w:rsidRPr="00883399" w:rsidRDefault="00872C03" w:rsidP="00872C03">
      <w:pPr>
        <w:pStyle w:val="subsection"/>
        <w:rPr>
          <w:sz w:val="24"/>
        </w:rPr>
      </w:pPr>
      <w:r w:rsidRPr="00883399">
        <w:rPr>
          <w:sz w:val="24"/>
        </w:rPr>
        <w:tab/>
        <w:t>(3)</w:t>
      </w:r>
      <w:r w:rsidRPr="00883399">
        <w:rPr>
          <w:sz w:val="24"/>
        </w:rPr>
        <w:tab/>
        <w:t>A sub</w:t>
      </w:r>
      <w:r w:rsidRPr="00883399">
        <w:rPr>
          <w:sz w:val="24"/>
        </w:rPr>
        <w:noBreakHyphen/>
        <w:t>facility zone:</w:t>
      </w:r>
    </w:p>
    <w:p w14:paraId="18C8C19D" w14:textId="77777777" w:rsidR="00872C03" w:rsidRPr="00883399" w:rsidRDefault="00872C03" w:rsidP="00872C03">
      <w:pPr>
        <w:pStyle w:val="paragraph"/>
        <w:rPr>
          <w:sz w:val="24"/>
        </w:rPr>
      </w:pPr>
      <w:r w:rsidRPr="00883399">
        <w:rPr>
          <w:sz w:val="24"/>
        </w:rPr>
        <w:tab/>
        <w:t>(a)</w:t>
      </w:r>
      <w:r w:rsidRPr="00883399">
        <w:rPr>
          <w:sz w:val="24"/>
        </w:rPr>
        <w:tab/>
        <w:t>must cover an area of at least 1 hectare; and</w:t>
      </w:r>
    </w:p>
    <w:p w14:paraId="68B86DC3" w14:textId="77777777" w:rsidR="00872C03" w:rsidRPr="00883399" w:rsidRDefault="00872C03" w:rsidP="00872C03">
      <w:pPr>
        <w:pStyle w:val="paragraph"/>
        <w:rPr>
          <w:sz w:val="24"/>
        </w:rPr>
      </w:pPr>
      <w:r w:rsidRPr="00883399">
        <w:rPr>
          <w:sz w:val="24"/>
        </w:rPr>
        <w:tab/>
        <w:t>(b)</w:t>
      </w:r>
      <w:r w:rsidRPr="00883399">
        <w:rPr>
          <w:sz w:val="24"/>
        </w:rPr>
        <w:tab/>
        <w:t>must be a single area within the landfill; and</w:t>
      </w:r>
    </w:p>
    <w:p w14:paraId="0657C7DB" w14:textId="77777777" w:rsidR="00872C03" w:rsidRPr="00883399" w:rsidRDefault="00872C03" w:rsidP="00872C03">
      <w:pPr>
        <w:pStyle w:val="paragraph"/>
        <w:rPr>
          <w:sz w:val="24"/>
        </w:rPr>
      </w:pPr>
      <w:r w:rsidRPr="00883399">
        <w:rPr>
          <w:sz w:val="24"/>
        </w:rPr>
        <w:tab/>
        <w:t>(c)</w:t>
      </w:r>
      <w:r w:rsidRPr="00883399">
        <w:rPr>
          <w:sz w:val="24"/>
        </w:rPr>
        <w:tab/>
        <w:t>must have a uniform composition of waste mix types so that the estimates of the methane generated by the sub</w:t>
      </w:r>
      <w:r w:rsidRPr="00883399">
        <w:rPr>
          <w:sz w:val="24"/>
        </w:rPr>
        <w:noBreakHyphen/>
        <w:t>facility zone are in accordance with section 1.13; and</w:t>
      </w:r>
    </w:p>
    <w:p w14:paraId="709AD341" w14:textId="77777777" w:rsidR="00872C03" w:rsidRPr="00883399" w:rsidRDefault="00872C03" w:rsidP="00872C03">
      <w:pPr>
        <w:pStyle w:val="paragraph"/>
        <w:rPr>
          <w:sz w:val="24"/>
        </w:rPr>
      </w:pPr>
      <w:r w:rsidRPr="00883399">
        <w:rPr>
          <w:sz w:val="24"/>
        </w:rPr>
        <w:tab/>
        <w:t>(d)</w:t>
      </w:r>
      <w:r w:rsidRPr="00883399">
        <w:rPr>
          <w:sz w:val="24"/>
        </w:rPr>
        <w:tab/>
        <w:t>must not be subject to:</w:t>
      </w:r>
    </w:p>
    <w:p w14:paraId="7EA75560" w14:textId="77777777" w:rsidR="00872C03" w:rsidRPr="00883399" w:rsidRDefault="00872C03" w:rsidP="00872C03">
      <w:pPr>
        <w:pStyle w:val="paragraphsub"/>
        <w:rPr>
          <w:sz w:val="24"/>
        </w:rPr>
      </w:pPr>
      <w:r w:rsidRPr="00883399">
        <w:rPr>
          <w:sz w:val="24"/>
        </w:rPr>
        <w:tab/>
        <w:t>(i)</w:t>
      </w:r>
      <w:r w:rsidRPr="00883399">
        <w:rPr>
          <w:sz w:val="24"/>
        </w:rPr>
        <w:tab/>
        <w:t>landfill gas inflow from another sub</w:t>
      </w:r>
      <w:r w:rsidRPr="00883399">
        <w:rPr>
          <w:sz w:val="24"/>
        </w:rPr>
        <w:noBreakHyphen/>
        <w:t>facility zone; or</w:t>
      </w:r>
    </w:p>
    <w:p w14:paraId="74835250" w14:textId="77777777" w:rsidR="00872C03" w:rsidRPr="00883399" w:rsidRDefault="00872C03" w:rsidP="00872C03">
      <w:pPr>
        <w:pStyle w:val="paragraphsub"/>
        <w:rPr>
          <w:sz w:val="24"/>
        </w:rPr>
      </w:pPr>
      <w:r w:rsidRPr="00883399">
        <w:rPr>
          <w:sz w:val="24"/>
        </w:rPr>
        <w:tab/>
        <w:t>(ii)</w:t>
      </w:r>
      <w:r w:rsidRPr="00883399">
        <w:rPr>
          <w:sz w:val="24"/>
        </w:rPr>
        <w:tab/>
        <w:t>landfill gas outflow to another sub</w:t>
      </w:r>
      <w:r w:rsidRPr="00883399">
        <w:rPr>
          <w:sz w:val="24"/>
        </w:rPr>
        <w:noBreakHyphen/>
        <w:t>facility zone.</w:t>
      </w:r>
    </w:p>
    <w:p w14:paraId="6CF9AC70" w14:textId="77777777" w:rsidR="00872C03" w:rsidRPr="00883399" w:rsidRDefault="00872C03" w:rsidP="00872C03">
      <w:pPr>
        <w:pStyle w:val="subsection"/>
        <w:rPr>
          <w:sz w:val="24"/>
        </w:rPr>
      </w:pPr>
      <w:r w:rsidRPr="00883399">
        <w:rPr>
          <w:sz w:val="24"/>
        </w:rPr>
        <w:tab/>
        <w:t>(4)</w:t>
      </w:r>
      <w:r w:rsidRPr="00883399">
        <w:rPr>
          <w:sz w:val="24"/>
        </w:rPr>
        <w:tab/>
        <w:t>At least one sub</w:t>
      </w:r>
      <w:r w:rsidRPr="00883399">
        <w:rPr>
          <w:sz w:val="24"/>
        </w:rPr>
        <w:noBreakHyphen/>
        <w:t>facility zone must contain a representative zone.</w:t>
      </w:r>
    </w:p>
    <w:p w14:paraId="41593BC0" w14:textId="77777777" w:rsidR="00884CCE" w:rsidRPr="00883399" w:rsidRDefault="00884CCE" w:rsidP="00884CCE">
      <w:pPr>
        <w:pStyle w:val="notetext"/>
        <w:rPr>
          <w:sz w:val="20"/>
        </w:rPr>
      </w:pPr>
      <w:r w:rsidRPr="00883399">
        <w:rPr>
          <w:sz w:val="20"/>
        </w:rPr>
        <w:t>Note:</w:t>
      </w:r>
      <w:r w:rsidRPr="00883399">
        <w:rPr>
          <w:sz w:val="20"/>
        </w:rPr>
        <w:tab/>
        <w:t>Section 5.22A sets out, for a landfill operator using method 1 in Division 5.2.2 to estimate emissions of methane released from legacy waste in a landfill, options and requirements related to sub</w:t>
      </w:r>
      <w:r w:rsidRPr="00883399">
        <w:rPr>
          <w:sz w:val="20"/>
        </w:rPr>
        <w:noBreakHyphen/>
        <w:t>facility zones.</w:t>
      </w:r>
    </w:p>
    <w:p w14:paraId="1756005B" w14:textId="77790B47" w:rsidR="00872C03" w:rsidRPr="00883399" w:rsidRDefault="00872C03" w:rsidP="00872C03">
      <w:pPr>
        <w:pStyle w:val="ActHead5"/>
        <w:rPr>
          <w:sz w:val="28"/>
        </w:rPr>
      </w:pPr>
      <w:bookmarkStart w:id="1145" w:name="_Toc423517166"/>
      <w:bookmarkStart w:id="1146" w:name="_Toc495653097"/>
      <w:r w:rsidRPr="00883399">
        <w:rPr>
          <w:rStyle w:val="CharSectno"/>
          <w:sz w:val="28"/>
        </w:rPr>
        <w:t>5.17A</w:t>
      </w:r>
      <w:r w:rsidRPr="00883399">
        <w:rPr>
          <w:sz w:val="28"/>
        </w:rPr>
        <w:t xml:space="preserve">  Representative zones—selection and requirements</w:t>
      </w:r>
      <w:bookmarkEnd w:id="1145"/>
      <w:bookmarkEnd w:id="1146"/>
    </w:p>
    <w:p w14:paraId="59586119" w14:textId="77777777" w:rsidR="00872C03" w:rsidRPr="00883399" w:rsidRDefault="00872C03" w:rsidP="00872C03">
      <w:pPr>
        <w:pStyle w:val="subsection"/>
        <w:rPr>
          <w:sz w:val="24"/>
        </w:rPr>
      </w:pPr>
      <w:r w:rsidRPr="00883399">
        <w:rPr>
          <w:sz w:val="24"/>
        </w:rPr>
        <w:tab/>
      </w:r>
      <w:r w:rsidRPr="00883399">
        <w:rPr>
          <w:sz w:val="24"/>
        </w:rPr>
        <w:tab/>
        <w:t>After preparing a site plan, the operator of the landfill must select a representative zone that:</w:t>
      </w:r>
    </w:p>
    <w:p w14:paraId="2E91E535" w14:textId="77777777" w:rsidR="00872C03" w:rsidRPr="00883399" w:rsidRDefault="00872C03" w:rsidP="00872C03">
      <w:pPr>
        <w:pStyle w:val="paragraph"/>
        <w:rPr>
          <w:sz w:val="24"/>
        </w:rPr>
      </w:pPr>
      <w:r w:rsidRPr="00883399">
        <w:rPr>
          <w:sz w:val="24"/>
        </w:rPr>
        <w:tab/>
        <w:t>(a)</w:t>
      </w:r>
      <w:r w:rsidRPr="00883399">
        <w:rPr>
          <w:sz w:val="24"/>
        </w:rPr>
        <w:tab/>
        <w:t>covers an area of at least one hectare; and</w:t>
      </w:r>
    </w:p>
    <w:p w14:paraId="2E12F606" w14:textId="77777777" w:rsidR="00872C03" w:rsidRPr="00883399" w:rsidRDefault="00872C03" w:rsidP="00872C03">
      <w:pPr>
        <w:pStyle w:val="paragraph"/>
        <w:rPr>
          <w:sz w:val="24"/>
        </w:rPr>
      </w:pPr>
      <w:r w:rsidRPr="00883399">
        <w:rPr>
          <w:sz w:val="24"/>
        </w:rPr>
        <w:tab/>
        <w:t>(b)</w:t>
      </w:r>
      <w:r w:rsidRPr="00883399">
        <w:rPr>
          <w:sz w:val="24"/>
        </w:rPr>
        <w:tab/>
        <w:t>is a single area within the sub</w:t>
      </w:r>
      <w:r w:rsidRPr="00883399">
        <w:rPr>
          <w:sz w:val="24"/>
        </w:rPr>
        <w:noBreakHyphen/>
        <w:t>facility zone; and</w:t>
      </w:r>
    </w:p>
    <w:p w14:paraId="287520DE" w14:textId="77777777" w:rsidR="00872C03" w:rsidRPr="00883399" w:rsidRDefault="00872C03" w:rsidP="00872C03">
      <w:pPr>
        <w:pStyle w:val="paragraph"/>
        <w:rPr>
          <w:sz w:val="24"/>
        </w:rPr>
      </w:pPr>
      <w:r w:rsidRPr="00883399">
        <w:rPr>
          <w:sz w:val="24"/>
        </w:rPr>
        <w:tab/>
        <w:t>(c)</w:t>
      </w:r>
      <w:r w:rsidRPr="00883399">
        <w:rPr>
          <w:sz w:val="24"/>
        </w:rPr>
        <w:tab/>
        <w:t>has a uniform composition of waste mix types so that the estimates of the methane generated by the representative zone comply with section 1.13; and</w:t>
      </w:r>
    </w:p>
    <w:p w14:paraId="307AB293" w14:textId="77777777" w:rsidR="00872C03" w:rsidRPr="00883399" w:rsidRDefault="00872C03" w:rsidP="00872C03">
      <w:pPr>
        <w:pStyle w:val="paragraph"/>
        <w:rPr>
          <w:sz w:val="24"/>
        </w:rPr>
      </w:pPr>
      <w:r w:rsidRPr="00883399">
        <w:rPr>
          <w:sz w:val="24"/>
        </w:rPr>
        <w:tab/>
        <w:t>(d)</w:t>
      </w:r>
      <w:r w:rsidRPr="00883399">
        <w:rPr>
          <w:sz w:val="24"/>
        </w:rPr>
        <w:tab/>
        <w:t>contains a number of operating gas collection wells that is sufficient to enable accurate and representative estimates of the methane being generated by the representative zone to be obtained; and</w:t>
      </w:r>
    </w:p>
    <w:p w14:paraId="6E2187A4" w14:textId="77777777" w:rsidR="00872C03" w:rsidRPr="00883399" w:rsidRDefault="00872C03" w:rsidP="00872C03">
      <w:pPr>
        <w:pStyle w:val="paragraph"/>
        <w:rPr>
          <w:sz w:val="24"/>
        </w:rPr>
      </w:pPr>
      <w:r w:rsidRPr="00883399">
        <w:rPr>
          <w:sz w:val="24"/>
        </w:rPr>
        <w:tab/>
        <w:t>(e)</w:t>
      </w:r>
      <w:r w:rsidRPr="00883399">
        <w:rPr>
          <w:sz w:val="24"/>
        </w:rPr>
        <w:tab/>
        <w:t>contains only waste that has been undisturbed:</w:t>
      </w:r>
    </w:p>
    <w:p w14:paraId="175DA168" w14:textId="77777777" w:rsidR="00872C03" w:rsidRPr="00883399" w:rsidRDefault="00872C03" w:rsidP="00872C03">
      <w:pPr>
        <w:pStyle w:val="paragraphsub"/>
        <w:rPr>
          <w:sz w:val="24"/>
        </w:rPr>
      </w:pPr>
      <w:r w:rsidRPr="00883399">
        <w:rPr>
          <w:sz w:val="24"/>
        </w:rPr>
        <w:tab/>
        <w:t>(i)</w:t>
      </w:r>
      <w:r w:rsidRPr="00883399">
        <w:rPr>
          <w:sz w:val="24"/>
        </w:rPr>
        <w:tab/>
        <w:t>for at least 12 months before any methane generation is measured in accordance with section 5.17H; or</w:t>
      </w:r>
    </w:p>
    <w:p w14:paraId="7E05CBF3" w14:textId="77777777" w:rsidR="00872C03" w:rsidRPr="00883399" w:rsidRDefault="00872C03" w:rsidP="00872C03">
      <w:pPr>
        <w:pStyle w:val="paragraphsub"/>
        <w:rPr>
          <w:sz w:val="24"/>
        </w:rPr>
      </w:pPr>
      <w:r w:rsidRPr="00883399">
        <w:rPr>
          <w:sz w:val="24"/>
        </w:rPr>
        <w:tab/>
        <w:t>(ii)</w:t>
      </w:r>
      <w:r w:rsidRPr="00883399">
        <w:rPr>
          <w:sz w:val="24"/>
        </w:rPr>
        <w:tab/>
        <w:t>if the representative zone is on landfill that recirculates leachate or adds moisture through the waste to promote methane generation—for the period determined by an independent expert; and</w:t>
      </w:r>
    </w:p>
    <w:p w14:paraId="3F6E19D2" w14:textId="77777777" w:rsidR="00872C03" w:rsidRPr="00883399" w:rsidRDefault="00872C03" w:rsidP="00872C03">
      <w:pPr>
        <w:pStyle w:val="paragraph"/>
        <w:rPr>
          <w:sz w:val="24"/>
        </w:rPr>
      </w:pPr>
      <w:r w:rsidRPr="00883399">
        <w:rPr>
          <w:sz w:val="24"/>
        </w:rPr>
        <w:tab/>
        <w:t>(f)</w:t>
      </w:r>
      <w:r w:rsidRPr="00883399">
        <w:rPr>
          <w:sz w:val="24"/>
        </w:rPr>
        <w:tab/>
        <w:t>has a low permeability basal liner that includes:</w:t>
      </w:r>
    </w:p>
    <w:p w14:paraId="7DE16088" w14:textId="77777777" w:rsidR="00872C03" w:rsidRPr="00883399" w:rsidRDefault="00872C03" w:rsidP="00872C03">
      <w:pPr>
        <w:pStyle w:val="paragraphsub"/>
        <w:rPr>
          <w:sz w:val="24"/>
        </w:rPr>
      </w:pPr>
      <w:r w:rsidRPr="00883399">
        <w:rPr>
          <w:sz w:val="24"/>
        </w:rPr>
        <w:tab/>
        <w:t>(i)</w:t>
      </w:r>
      <w:r w:rsidRPr="00883399">
        <w:rPr>
          <w:sz w:val="24"/>
        </w:rPr>
        <w:tab/>
        <w:t>a compacted clay base; or</w:t>
      </w:r>
    </w:p>
    <w:p w14:paraId="4A413A0A" w14:textId="77777777" w:rsidR="00872C03" w:rsidRPr="00883399" w:rsidRDefault="00872C03" w:rsidP="00872C03">
      <w:pPr>
        <w:pStyle w:val="paragraphsub"/>
        <w:rPr>
          <w:sz w:val="24"/>
        </w:rPr>
      </w:pPr>
      <w:r w:rsidRPr="00883399">
        <w:rPr>
          <w:sz w:val="24"/>
        </w:rPr>
        <w:tab/>
        <w:t>(ii)</w:t>
      </w:r>
      <w:r w:rsidRPr="00883399">
        <w:rPr>
          <w:sz w:val="24"/>
        </w:rPr>
        <w:tab/>
        <w:t>a geomembrane base; or</w:t>
      </w:r>
    </w:p>
    <w:p w14:paraId="435C7C8E" w14:textId="77777777" w:rsidR="00872C03" w:rsidRPr="00883399" w:rsidRDefault="00872C03" w:rsidP="00872C03">
      <w:pPr>
        <w:pStyle w:val="paragraphsub"/>
        <w:rPr>
          <w:sz w:val="24"/>
        </w:rPr>
      </w:pPr>
      <w:r w:rsidRPr="00883399">
        <w:rPr>
          <w:sz w:val="24"/>
        </w:rPr>
        <w:tab/>
        <w:t>(iii)</w:t>
      </w:r>
      <w:r w:rsidRPr="00883399">
        <w:rPr>
          <w:sz w:val="24"/>
        </w:rPr>
        <w:tab/>
        <w:t>another demonstrated low permeability base; and</w:t>
      </w:r>
    </w:p>
    <w:p w14:paraId="4E233524" w14:textId="77777777" w:rsidR="00872C03" w:rsidRPr="00883399" w:rsidRDefault="00872C03" w:rsidP="00872C03">
      <w:pPr>
        <w:pStyle w:val="paragraph"/>
        <w:rPr>
          <w:sz w:val="24"/>
        </w:rPr>
      </w:pPr>
      <w:r w:rsidRPr="00883399">
        <w:rPr>
          <w:sz w:val="24"/>
        </w:rPr>
        <w:lastRenderedPageBreak/>
        <w:tab/>
        <w:t>(g)</w:t>
      </w:r>
      <w:r w:rsidRPr="00883399">
        <w:rPr>
          <w:sz w:val="24"/>
        </w:rPr>
        <w:tab/>
        <w:t>is confined on:</w:t>
      </w:r>
    </w:p>
    <w:p w14:paraId="37BA92F3" w14:textId="77777777" w:rsidR="00872C03" w:rsidRPr="00883399" w:rsidRDefault="00872C03" w:rsidP="00872C03">
      <w:pPr>
        <w:pStyle w:val="paragraphsub"/>
        <w:rPr>
          <w:sz w:val="24"/>
        </w:rPr>
      </w:pPr>
      <w:r w:rsidRPr="00883399">
        <w:rPr>
          <w:sz w:val="24"/>
        </w:rPr>
        <w:tab/>
        <w:t>(i)</w:t>
      </w:r>
      <w:r w:rsidRPr="00883399">
        <w:rPr>
          <w:sz w:val="24"/>
        </w:rPr>
        <w:tab/>
        <w:t>4 sides by low permeability barriers, including:</w:t>
      </w:r>
    </w:p>
    <w:p w14:paraId="0BA44B33" w14:textId="77777777" w:rsidR="00872C03" w:rsidRPr="00883399" w:rsidRDefault="00872C03" w:rsidP="00872C03">
      <w:pPr>
        <w:pStyle w:val="paragraphsub-sub"/>
        <w:rPr>
          <w:sz w:val="24"/>
        </w:rPr>
      </w:pPr>
      <w:r w:rsidRPr="00883399">
        <w:rPr>
          <w:sz w:val="24"/>
        </w:rPr>
        <w:tab/>
        <w:t>(A)</w:t>
      </w:r>
      <w:r w:rsidRPr="00883399">
        <w:rPr>
          <w:sz w:val="24"/>
        </w:rPr>
        <w:tab/>
        <w:t>capped areas; or</w:t>
      </w:r>
    </w:p>
    <w:p w14:paraId="38E58B9D" w14:textId="77777777" w:rsidR="00872C03" w:rsidRPr="00883399" w:rsidRDefault="00872C03" w:rsidP="00872C03">
      <w:pPr>
        <w:pStyle w:val="paragraphsub-sub"/>
        <w:rPr>
          <w:sz w:val="24"/>
        </w:rPr>
      </w:pPr>
      <w:r w:rsidRPr="00883399">
        <w:rPr>
          <w:sz w:val="24"/>
        </w:rPr>
        <w:tab/>
        <w:t>(B)</w:t>
      </w:r>
      <w:r w:rsidRPr="00883399">
        <w:rPr>
          <w:sz w:val="24"/>
        </w:rPr>
        <w:tab/>
        <w:t>a landfill cell lining; or</w:t>
      </w:r>
    </w:p>
    <w:p w14:paraId="5929E6B1" w14:textId="77777777" w:rsidR="00872C03" w:rsidRPr="00883399" w:rsidRDefault="00872C03" w:rsidP="00872C03">
      <w:pPr>
        <w:pStyle w:val="paragraphsub-sub"/>
        <w:rPr>
          <w:sz w:val="24"/>
        </w:rPr>
      </w:pPr>
      <w:r w:rsidRPr="00883399">
        <w:rPr>
          <w:sz w:val="24"/>
        </w:rPr>
        <w:tab/>
        <w:t>(C)</w:t>
      </w:r>
      <w:r w:rsidRPr="00883399">
        <w:rPr>
          <w:sz w:val="24"/>
        </w:rPr>
        <w:tab/>
        <w:t>if the representative zone does not have a landfill cell lining—a demonstrated low gas permeability strata; or</w:t>
      </w:r>
    </w:p>
    <w:p w14:paraId="3783FA47" w14:textId="77777777" w:rsidR="00872C03" w:rsidRPr="00883399" w:rsidRDefault="00872C03" w:rsidP="00872C03">
      <w:pPr>
        <w:pStyle w:val="paragraphsub"/>
        <w:rPr>
          <w:sz w:val="24"/>
        </w:rPr>
      </w:pPr>
      <w:r w:rsidRPr="00883399">
        <w:rPr>
          <w:sz w:val="24"/>
        </w:rPr>
        <w:tab/>
        <w:t>(ii)</w:t>
      </w:r>
      <w:r w:rsidRPr="00883399">
        <w:rPr>
          <w:sz w:val="24"/>
        </w:rPr>
        <w:tab/>
        <w:t>3 sides by low permeability barrier and one side by an active gas collection system; and</w:t>
      </w:r>
    </w:p>
    <w:p w14:paraId="5D2557CC" w14:textId="77777777" w:rsidR="00872C03" w:rsidRPr="00883399" w:rsidRDefault="00872C03" w:rsidP="00872C03">
      <w:pPr>
        <w:pStyle w:val="paragraph"/>
        <w:rPr>
          <w:sz w:val="24"/>
        </w:rPr>
      </w:pPr>
      <w:r w:rsidRPr="00883399">
        <w:rPr>
          <w:sz w:val="24"/>
        </w:rPr>
        <w:tab/>
        <w:t>(i)</w:t>
      </w:r>
      <w:r w:rsidRPr="00883399">
        <w:rPr>
          <w:sz w:val="24"/>
        </w:rPr>
        <w:tab/>
        <w:t>includes a gas extraction system that:</w:t>
      </w:r>
    </w:p>
    <w:p w14:paraId="7CA61D6C" w14:textId="77777777" w:rsidR="00872C03" w:rsidRPr="00883399" w:rsidRDefault="00872C03" w:rsidP="00872C03">
      <w:pPr>
        <w:pStyle w:val="paragraphsub"/>
        <w:rPr>
          <w:sz w:val="24"/>
        </w:rPr>
      </w:pPr>
      <w:r w:rsidRPr="00883399">
        <w:rPr>
          <w:sz w:val="24"/>
        </w:rPr>
        <w:tab/>
        <w:t>(i)</w:t>
      </w:r>
      <w:r w:rsidRPr="00883399">
        <w:rPr>
          <w:sz w:val="24"/>
        </w:rPr>
        <w:tab/>
        <w:t>forms the boundary of the fourth side; and</w:t>
      </w:r>
    </w:p>
    <w:p w14:paraId="0BC3C328" w14:textId="77777777" w:rsidR="00872C03" w:rsidRPr="00883399" w:rsidRDefault="00872C03" w:rsidP="00872C03">
      <w:pPr>
        <w:pStyle w:val="paragraphsub"/>
        <w:rPr>
          <w:sz w:val="24"/>
        </w:rPr>
      </w:pPr>
      <w:r w:rsidRPr="00883399">
        <w:rPr>
          <w:sz w:val="24"/>
        </w:rPr>
        <w:tab/>
        <w:t>(ii)</w:t>
      </w:r>
      <w:r w:rsidRPr="00883399">
        <w:rPr>
          <w:sz w:val="24"/>
        </w:rPr>
        <w:tab/>
        <w:t>extends beyond the boundary of the representative zone; and</w:t>
      </w:r>
    </w:p>
    <w:p w14:paraId="70228003" w14:textId="77777777" w:rsidR="00872C03" w:rsidRPr="00883399" w:rsidRDefault="00872C03" w:rsidP="00872C03">
      <w:pPr>
        <w:pStyle w:val="paragraph"/>
        <w:rPr>
          <w:sz w:val="24"/>
        </w:rPr>
      </w:pPr>
      <w:r w:rsidRPr="00883399">
        <w:rPr>
          <w:sz w:val="24"/>
        </w:rPr>
        <w:tab/>
        <w:t>(j)</w:t>
      </w:r>
      <w:r w:rsidRPr="00883399">
        <w:rPr>
          <w:sz w:val="24"/>
        </w:rPr>
        <w:tab/>
        <w:t>has a top cover that is a final type or an intermediate type.</w:t>
      </w:r>
    </w:p>
    <w:p w14:paraId="7695F2EA" w14:textId="77777777" w:rsidR="006C7995" w:rsidRPr="00883399" w:rsidRDefault="006C7995" w:rsidP="00872C03">
      <w:pPr>
        <w:pStyle w:val="paragraph"/>
        <w:rPr>
          <w:sz w:val="24"/>
        </w:rPr>
      </w:pPr>
    </w:p>
    <w:p w14:paraId="7194F6B6" w14:textId="77777777" w:rsidR="006C7995" w:rsidRPr="00883399" w:rsidRDefault="006C7995" w:rsidP="006C7995">
      <w:pPr>
        <w:pStyle w:val="R2"/>
        <w:keepLines w:val="0"/>
        <w:tabs>
          <w:tab w:val="clear" w:pos="794"/>
          <w:tab w:val="right" w:pos="993"/>
        </w:tabs>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It is common for landfills to practice progressive filling of excavated areas.  In this context, the requirements above will dictate how many completed cells are to be included in the representative zone.  In the following example, there are 3 completed cells which are capped with active gas collection and a fourth cell which is being filled.  The completed cells are sealed on 2 sides by the excavation edge and the third side by a temporary cap (which will subsequently be removed for the filling of future cells).  The representative zone in this situation is indicated by the red box in the following diagram.  The requirement of being confined on 3 sides by low permeability barriers and the fourth side by an active gas collection system restricts the selection of the representative zone to cells 1 and 2 (subject to the other requirements for representative zones).</w:t>
      </w:r>
    </w:p>
    <w:p w14:paraId="7AC9A01F" w14:textId="77777777" w:rsidR="006C7995" w:rsidRPr="00883399" w:rsidRDefault="006C7995" w:rsidP="006C7995">
      <w:pPr>
        <w:rPr>
          <w:rFonts w:ascii="Arial" w:hAnsi="Arial" w:cs="Arial"/>
          <w:color w:val="000000"/>
          <w:sz w:val="22"/>
          <w:szCs w:val="22"/>
        </w:rPr>
      </w:pPr>
      <w:r w:rsidRPr="00883399">
        <w:rPr>
          <w:rFonts w:ascii="Arial" w:hAnsi="Arial" w:cs="Arial"/>
          <w:color w:val="000000"/>
          <w:sz w:val="22"/>
          <w:szCs w:val="22"/>
        </w:rPr>
        <w:br w:type="page"/>
      </w:r>
    </w:p>
    <w:p w14:paraId="2410B6C8" w14:textId="77777777" w:rsidR="006C7995" w:rsidRPr="00883399" w:rsidRDefault="006C7995" w:rsidP="006C7995">
      <w:pPr>
        <w:pStyle w:val="R2"/>
        <w:keepLines w:val="0"/>
        <w:tabs>
          <w:tab w:val="clear" w:pos="794"/>
          <w:tab w:val="right" w:pos="993"/>
        </w:tabs>
        <w:spacing w:before="240" w:line="312" w:lineRule="auto"/>
        <w:ind w:left="0" w:firstLine="0"/>
        <w:jc w:val="left"/>
        <w:rPr>
          <w:rFonts w:ascii="Arial" w:hAnsi="Arial" w:cs="Arial"/>
          <w:color w:val="000000"/>
          <w:sz w:val="22"/>
          <w:szCs w:val="22"/>
        </w:rPr>
      </w:pPr>
    </w:p>
    <w:p w14:paraId="3040D154" w14:textId="5312B35E" w:rsidR="006C7995" w:rsidRPr="00883399" w:rsidRDefault="006C7995" w:rsidP="006C7995">
      <w:pPr>
        <w:pStyle w:val="R2"/>
        <w:rPr>
          <w:color w:val="000000"/>
        </w:rPr>
      </w:pPr>
      <w:r w:rsidRPr="00883399">
        <w:rPr>
          <w:rFonts w:ascii="Arial" w:hAnsi="Arial"/>
          <w:b/>
          <w:noProof/>
        </w:rPr>
        <w:drawing>
          <wp:anchor distT="0" distB="0" distL="114300" distR="114300" simplePos="0" relativeHeight="251658251" behindDoc="0" locked="0" layoutInCell="1" allowOverlap="1" wp14:anchorId="4995F2DE" wp14:editId="18931A2C">
            <wp:simplePos x="0" y="0"/>
            <wp:positionH relativeFrom="column">
              <wp:posOffset>-410210</wp:posOffset>
            </wp:positionH>
            <wp:positionV relativeFrom="paragraph">
              <wp:posOffset>234315</wp:posOffset>
            </wp:positionV>
            <wp:extent cx="6409055" cy="5843270"/>
            <wp:effectExtent l="0" t="0" r="0" b="508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409055" cy="5843270"/>
                    </a:xfrm>
                    <a:prstGeom prst="rect">
                      <a:avLst/>
                    </a:prstGeom>
                    <a:noFill/>
                  </pic:spPr>
                </pic:pic>
              </a:graphicData>
            </a:graphic>
          </wp:anchor>
        </w:drawing>
      </w:r>
    </w:p>
    <w:p w14:paraId="41AB3F9C" w14:textId="77777777" w:rsidR="006C7995" w:rsidRPr="00883399" w:rsidRDefault="006C7995" w:rsidP="006C7995">
      <w:pPr>
        <w:pStyle w:val="R2"/>
        <w:rPr>
          <w:color w:val="000000"/>
        </w:rPr>
      </w:pPr>
    </w:p>
    <w:p w14:paraId="61B41112" w14:textId="77777777" w:rsidR="006C7995" w:rsidRPr="00883399" w:rsidRDefault="006C7995" w:rsidP="006C7995">
      <w:pPr>
        <w:pStyle w:val="R2"/>
        <w:rPr>
          <w:color w:val="000000"/>
        </w:rPr>
      </w:pPr>
    </w:p>
    <w:p w14:paraId="53FFD1BB" w14:textId="77777777" w:rsidR="006C7995" w:rsidRPr="00883399" w:rsidRDefault="006C7995" w:rsidP="006C7995">
      <w:pPr>
        <w:pStyle w:val="R2"/>
        <w:rPr>
          <w:color w:val="000000"/>
        </w:rPr>
      </w:pPr>
    </w:p>
    <w:p w14:paraId="181DC5E2" w14:textId="77777777" w:rsidR="006C7995" w:rsidRPr="00883399" w:rsidRDefault="006C7995" w:rsidP="006C7995">
      <w:pPr>
        <w:pStyle w:val="R2"/>
        <w:rPr>
          <w:color w:val="000000"/>
        </w:rPr>
      </w:pPr>
    </w:p>
    <w:p w14:paraId="493D2580" w14:textId="77777777" w:rsidR="006C7995" w:rsidRPr="00883399" w:rsidRDefault="006C7995" w:rsidP="006C7995">
      <w:pPr>
        <w:pStyle w:val="R2"/>
        <w:rPr>
          <w:color w:val="000000"/>
        </w:rPr>
      </w:pPr>
    </w:p>
    <w:p w14:paraId="49D47465" w14:textId="77777777" w:rsidR="006C7995" w:rsidRPr="00883399" w:rsidRDefault="006C7995" w:rsidP="006C7995">
      <w:pPr>
        <w:pStyle w:val="R2"/>
        <w:rPr>
          <w:color w:val="000000"/>
        </w:rPr>
      </w:pPr>
    </w:p>
    <w:p w14:paraId="768218CF" w14:textId="77777777" w:rsidR="006C7995" w:rsidRPr="00883399" w:rsidRDefault="006C7995" w:rsidP="006C7995">
      <w:pPr>
        <w:pStyle w:val="R2"/>
        <w:rPr>
          <w:color w:val="000000"/>
        </w:rPr>
      </w:pPr>
    </w:p>
    <w:p w14:paraId="77FEC065" w14:textId="77777777" w:rsidR="006C7995" w:rsidRPr="00883399" w:rsidRDefault="006C7995" w:rsidP="006C7995">
      <w:pPr>
        <w:pStyle w:val="R2"/>
        <w:rPr>
          <w:rFonts w:ascii="Arial" w:hAnsi="Arial"/>
          <w:b/>
          <w:color w:val="000000"/>
        </w:rPr>
      </w:pPr>
      <w:r w:rsidRPr="00883399">
        <w:rPr>
          <w:color w:val="000000"/>
        </w:rPr>
        <w:br w:type="page"/>
      </w:r>
    </w:p>
    <w:p w14:paraId="0327E4FF" w14:textId="53F94489" w:rsidR="00872C03" w:rsidRPr="00883399" w:rsidRDefault="00872C03" w:rsidP="00872C03">
      <w:pPr>
        <w:pStyle w:val="ActHead5"/>
        <w:rPr>
          <w:sz w:val="28"/>
        </w:rPr>
      </w:pPr>
      <w:bookmarkStart w:id="1147" w:name="_Toc423517167"/>
      <w:bookmarkStart w:id="1148" w:name="_Toc495653098"/>
      <w:r w:rsidRPr="00883399">
        <w:rPr>
          <w:rStyle w:val="CharSectno"/>
          <w:sz w:val="28"/>
        </w:rPr>
        <w:lastRenderedPageBreak/>
        <w:t>5.17B</w:t>
      </w:r>
      <w:r w:rsidRPr="00883399">
        <w:rPr>
          <w:sz w:val="28"/>
        </w:rPr>
        <w:t xml:space="preserve">  Independent verification</w:t>
      </w:r>
      <w:bookmarkEnd w:id="1147"/>
      <w:bookmarkEnd w:id="1148"/>
    </w:p>
    <w:p w14:paraId="2C88B952" w14:textId="77777777" w:rsidR="00872C03" w:rsidRPr="00883399" w:rsidRDefault="00872C03" w:rsidP="00872C03">
      <w:pPr>
        <w:pStyle w:val="subsection"/>
        <w:rPr>
          <w:sz w:val="24"/>
        </w:rPr>
      </w:pPr>
      <w:r w:rsidRPr="00883399">
        <w:rPr>
          <w:sz w:val="24"/>
        </w:rPr>
        <w:tab/>
        <w:t>(1)</w:t>
      </w:r>
      <w:r w:rsidRPr="00883399">
        <w:rPr>
          <w:sz w:val="24"/>
        </w:rPr>
        <w:tab/>
        <w:t>After the operator of the landfill has selected a representative zone for a sub</w:t>
      </w:r>
      <w:r w:rsidRPr="00883399">
        <w:rPr>
          <w:sz w:val="24"/>
        </w:rPr>
        <w:noBreakHyphen/>
        <w:t>facility zone, the operator of the landfill must arrange for an independent expert to certify, in writing, that:</w:t>
      </w:r>
    </w:p>
    <w:p w14:paraId="143A387D" w14:textId="77777777" w:rsidR="00872C03" w:rsidRPr="00883399" w:rsidRDefault="00872C03" w:rsidP="00872C03">
      <w:pPr>
        <w:pStyle w:val="paragraph"/>
        <w:rPr>
          <w:sz w:val="24"/>
        </w:rPr>
      </w:pPr>
      <w:r w:rsidRPr="00883399">
        <w:rPr>
          <w:sz w:val="24"/>
        </w:rPr>
        <w:tab/>
        <w:t>(a)</w:t>
      </w:r>
      <w:r w:rsidRPr="00883399">
        <w:rPr>
          <w:sz w:val="24"/>
        </w:rPr>
        <w:tab/>
        <w:t>the boundaries of the representative zone are appropriate for the purpose of obtaining accurate and representative estimates of the methane being generated by the representative zone; and</w:t>
      </w:r>
    </w:p>
    <w:p w14:paraId="1895D8A6" w14:textId="77777777" w:rsidR="00872C03" w:rsidRPr="00883399" w:rsidRDefault="00872C03" w:rsidP="00872C03">
      <w:pPr>
        <w:pStyle w:val="paragraph"/>
        <w:rPr>
          <w:sz w:val="24"/>
        </w:rPr>
      </w:pPr>
      <w:r w:rsidRPr="00883399">
        <w:rPr>
          <w:sz w:val="24"/>
        </w:rPr>
        <w:tab/>
        <w:t>(b)</w:t>
      </w:r>
      <w:r w:rsidRPr="00883399">
        <w:rPr>
          <w:sz w:val="24"/>
        </w:rPr>
        <w:tab/>
        <w:t>the representative zone is representative of the sub</w:t>
      </w:r>
      <w:r w:rsidRPr="00883399">
        <w:rPr>
          <w:sz w:val="24"/>
        </w:rPr>
        <w:noBreakHyphen/>
        <w:t>facility zone.</w:t>
      </w:r>
    </w:p>
    <w:p w14:paraId="47A5057C" w14:textId="77777777" w:rsidR="00872C03" w:rsidRPr="00883399" w:rsidRDefault="00872C03" w:rsidP="00872C03">
      <w:pPr>
        <w:pStyle w:val="subsection"/>
        <w:rPr>
          <w:sz w:val="24"/>
        </w:rPr>
      </w:pPr>
      <w:r w:rsidRPr="00883399">
        <w:rPr>
          <w:sz w:val="24"/>
        </w:rPr>
        <w:tab/>
        <w:t>(2)</w:t>
      </w:r>
      <w:r w:rsidRPr="00883399">
        <w:rPr>
          <w:sz w:val="24"/>
        </w:rPr>
        <w:tab/>
        <w:t>The independent expert must also prepare a written report for the zone.</w:t>
      </w:r>
    </w:p>
    <w:p w14:paraId="20D05432" w14:textId="77777777" w:rsidR="00872C03" w:rsidRPr="00883399" w:rsidRDefault="00872C03" w:rsidP="00872C03">
      <w:pPr>
        <w:pStyle w:val="subsection"/>
        <w:rPr>
          <w:sz w:val="24"/>
        </w:rPr>
      </w:pPr>
      <w:r w:rsidRPr="00883399">
        <w:rPr>
          <w:sz w:val="24"/>
        </w:rPr>
        <w:tab/>
        <w:t>(3)</w:t>
      </w:r>
      <w:r w:rsidRPr="00883399">
        <w:rPr>
          <w:sz w:val="24"/>
        </w:rPr>
        <w:tab/>
        <w:t>The report must include the details specified in the technical guidelines in relation to expert reports.</w:t>
      </w:r>
    </w:p>
    <w:p w14:paraId="733AB616" w14:textId="77777777" w:rsidR="006C7995" w:rsidRPr="00883399" w:rsidRDefault="006C7995" w:rsidP="006C7995">
      <w:pPr>
        <w:pStyle w:val="R2"/>
        <w:spacing w:before="240" w:line="312" w:lineRule="auto"/>
        <w:ind w:left="0" w:firstLine="0"/>
        <w:jc w:val="left"/>
        <w:outlineLvl w:val="0"/>
        <w:rPr>
          <w:rFonts w:ascii="Arial" w:hAnsi="Arial" w:cs="Arial"/>
          <w:b/>
          <w:i/>
          <w:color w:val="000000"/>
          <w:sz w:val="22"/>
          <w:szCs w:val="22"/>
        </w:rPr>
      </w:pPr>
      <w:r w:rsidRPr="00883399">
        <w:rPr>
          <w:rFonts w:ascii="Arial" w:hAnsi="Arial" w:cs="Arial"/>
          <w:b/>
          <w:i/>
          <w:color w:val="000000"/>
          <w:sz w:val="22"/>
          <w:szCs w:val="22"/>
        </w:rPr>
        <w:t>Expert reports on representative zones</w:t>
      </w:r>
    </w:p>
    <w:p w14:paraId="2E68657A" w14:textId="77777777" w:rsidR="006C7995" w:rsidRPr="00883399" w:rsidRDefault="006C7995" w:rsidP="006C7995">
      <w:pPr>
        <w:pStyle w:val="R2"/>
        <w:keepLines w:val="0"/>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ab/>
        <w:t>The operator of the facility must enter into a written agreement with the expert, which may be by an exchange of letters, specifying the terms governing the preparation of a report providing an assessment on the selection of the representative zone.</w:t>
      </w:r>
    </w:p>
    <w:p w14:paraId="7609B9FB" w14:textId="77777777" w:rsidR="006C7995" w:rsidRPr="00883399" w:rsidRDefault="006C7995" w:rsidP="006C7995">
      <w:pPr>
        <w:pStyle w:val="R2"/>
        <w:keepLines w:val="0"/>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ab/>
        <w:t xml:space="preserve">The written report must contain all information which the operator and others likely to rely on the report would reasonably require, and reasonably expect to find in the report, for the purpose of making an informed decision about the representativeness of the selected zone. </w:t>
      </w:r>
    </w:p>
    <w:p w14:paraId="6E30C904" w14:textId="77777777" w:rsidR="006C7995" w:rsidRPr="00883399" w:rsidRDefault="006C7995" w:rsidP="006C7995">
      <w:pPr>
        <w:pStyle w:val="R2"/>
        <w:keepLines w:val="0"/>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ab/>
        <w:t>The report should include:</w:t>
      </w:r>
    </w:p>
    <w:p w14:paraId="609CA1F3" w14:textId="77777777" w:rsidR="006C7995" w:rsidRPr="00883399" w:rsidRDefault="006C7995" w:rsidP="006C7995">
      <w:pPr>
        <w:pStyle w:val="Note"/>
        <w:tabs>
          <w:tab w:val="left" w:pos="851"/>
        </w:tabs>
        <w:spacing w:before="240" w:line="312" w:lineRule="auto"/>
        <w:ind w:left="851" w:hanging="425"/>
        <w:jc w:val="left"/>
        <w:rPr>
          <w:rFonts w:ascii="Arial" w:hAnsi="Arial" w:cs="Arial"/>
          <w:color w:val="000000"/>
          <w:sz w:val="22"/>
          <w:szCs w:val="22"/>
        </w:rPr>
      </w:pPr>
      <w:r w:rsidRPr="00883399">
        <w:rPr>
          <w:rFonts w:ascii="Arial" w:hAnsi="Arial" w:cs="Arial"/>
          <w:color w:val="000000"/>
          <w:sz w:val="22"/>
          <w:szCs w:val="22"/>
        </w:rPr>
        <w:t xml:space="preserve">(a) </w:t>
      </w:r>
      <w:r w:rsidRPr="00883399">
        <w:rPr>
          <w:rFonts w:ascii="Arial" w:hAnsi="Arial" w:cs="Arial"/>
          <w:color w:val="000000"/>
          <w:sz w:val="22"/>
          <w:szCs w:val="22"/>
        </w:rPr>
        <w:tab/>
        <w:t>a description of the relevant aspects of the facility;</w:t>
      </w:r>
    </w:p>
    <w:p w14:paraId="73FDDF16" w14:textId="77777777" w:rsidR="006C7995" w:rsidRPr="00883399" w:rsidRDefault="006C7995" w:rsidP="006C7995">
      <w:pPr>
        <w:pStyle w:val="Note"/>
        <w:tabs>
          <w:tab w:val="left" w:pos="851"/>
        </w:tabs>
        <w:spacing w:before="240" w:line="312" w:lineRule="auto"/>
        <w:ind w:left="851" w:hanging="425"/>
        <w:jc w:val="left"/>
        <w:rPr>
          <w:rFonts w:ascii="Arial" w:hAnsi="Arial" w:cs="Arial"/>
          <w:color w:val="000000"/>
          <w:sz w:val="22"/>
          <w:szCs w:val="22"/>
        </w:rPr>
      </w:pPr>
      <w:r w:rsidRPr="00883399">
        <w:rPr>
          <w:rFonts w:ascii="Arial" w:hAnsi="Arial" w:cs="Arial"/>
          <w:color w:val="000000"/>
          <w:sz w:val="22"/>
          <w:szCs w:val="22"/>
        </w:rPr>
        <w:t xml:space="preserve">(b) </w:t>
      </w:r>
      <w:r w:rsidRPr="00883399">
        <w:rPr>
          <w:rFonts w:ascii="Arial" w:hAnsi="Arial" w:cs="Arial"/>
          <w:color w:val="000000"/>
          <w:sz w:val="22"/>
          <w:szCs w:val="22"/>
        </w:rPr>
        <w:tab/>
        <w:t>an account of the material history of the facility, including the volume, mass, age and types of waste in the representative zone;</w:t>
      </w:r>
    </w:p>
    <w:p w14:paraId="6D6439D6" w14:textId="77777777" w:rsidR="006C7995" w:rsidRPr="00883399" w:rsidRDefault="006C7995" w:rsidP="006C7995">
      <w:pPr>
        <w:pStyle w:val="R2"/>
        <w:tabs>
          <w:tab w:val="clear" w:pos="794"/>
          <w:tab w:val="right" w:pos="284"/>
          <w:tab w:val="left" w:pos="851"/>
        </w:tabs>
        <w:spacing w:before="240" w:line="312" w:lineRule="auto"/>
        <w:ind w:left="851" w:hanging="425"/>
        <w:jc w:val="left"/>
        <w:rPr>
          <w:rFonts w:ascii="Arial" w:hAnsi="Arial" w:cs="Arial"/>
          <w:color w:val="000000"/>
          <w:sz w:val="22"/>
          <w:szCs w:val="22"/>
        </w:rPr>
      </w:pPr>
      <w:r w:rsidRPr="00883399">
        <w:rPr>
          <w:rFonts w:ascii="Arial" w:hAnsi="Arial" w:cs="Arial"/>
          <w:color w:val="000000"/>
          <w:sz w:val="22"/>
          <w:szCs w:val="22"/>
        </w:rPr>
        <w:t>(c)</w:t>
      </w:r>
      <w:r w:rsidRPr="00883399">
        <w:rPr>
          <w:rFonts w:ascii="Arial" w:hAnsi="Arial" w:cs="Arial"/>
          <w:color w:val="000000"/>
          <w:sz w:val="22"/>
          <w:szCs w:val="22"/>
        </w:rPr>
        <w:tab/>
        <w:t>an assessment as to the degree of uniformity of moisture levels between the representative zone and the remainder of the landfill, taking into account the technologies and processes used in the representative zone that affect moisture levels compared with other parts of the facility including the use of  leachate recirculation and cell size; and</w:t>
      </w:r>
    </w:p>
    <w:p w14:paraId="390BC7D8" w14:textId="77777777" w:rsidR="006C7995" w:rsidRPr="00883399" w:rsidRDefault="006C7995" w:rsidP="006C7995">
      <w:pPr>
        <w:pStyle w:val="R2"/>
        <w:tabs>
          <w:tab w:val="clear" w:pos="794"/>
          <w:tab w:val="right" w:pos="284"/>
          <w:tab w:val="left" w:pos="851"/>
        </w:tabs>
        <w:spacing w:before="240" w:line="312" w:lineRule="auto"/>
        <w:ind w:left="851" w:hanging="425"/>
        <w:jc w:val="left"/>
        <w:rPr>
          <w:rFonts w:ascii="Arial" w:hAnsi="Arial" w:cs="Arial"/>
          <w:color w:val="000000"/>
          <w:sz w:val="22"/>
          <w:szCs w:val="22"/>
        </w:rPr>
      </w:pPr>
      <w:r w:rsidRPr="00883399">
        <w:rPr>
          <w:rFonts w:ascii="Arial" w:hAnsi="Arial" w:cs="Arial"/>
          <w:color w:val="000000"/>
          <w:sz w:val="22"/>
          <w:szCs w:val="22"/>
        </w:rPr>
        <w:t>(d)</w:t>
      </w:r>
      <w:r w:rsidRPr="00883399">
        <w:rPr>
          <w:rFonts w:ascii="Arial" w:hAnsi="Arial" w:cs="Arial"/>
          <w:color w:val="000000"/>
          <w:sz w:val="22"/>
          <w:szCs w:val="22"/>
        </w:rPr>
        <w:tab/>
        <w:t xml:space="preserve"> an assessment of the degree of uniformity of the depth of waste, taking into account the results of volumetric surveys conducted for the site, if any have been conducted. </w:t>
      </w:r>
    </w:p>
    <w:p w14:paraId="13FE821D" w14:textId="77777777" w:rsidR="006C7995" w:rsidRPr="00883399" w:rsidRDefault="006C7995" w:rsidP="006C7995">
      <w:pPr>
        <w:pStyle w:val="R2"/>
        <w:keepLines w:val="0"/>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lastRenderedPageBreak/>
        <w:t xml:space="preserve">The independent expert must also provide an assessment as to whether the boundaries of the representative zone are appropriate. The boundaries of the zone should define the volume of waste that is generating the gas captured by the collection system within the representative zone.    </w:t>
      </w:r>
    </w:p>
    <w:p w14:paraId="25D24171" w14:textId="77777777" w:rsidR="006C7995" w:rsidRPr="00883399" w:rsidRDefault="006C7995" w:rsidP="006C7995">
      <w:pPr>
        <w:pStyle w:val="R2"/>
        <w:keepLines w:val="0"/>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ab/>
        <w:t>For any given point on the boundary, the location of the boundary should be located by determining a distance between two adjacent wells - one well internal to the selected area and one well external to the selected area - which is proportional to the relative landfill gas flow rate of each well recorded over the test period.  The data used must have been recorded during periods of operation of the collection system that reflect normal operating conditions (i.e. consistent with the operation of the system on days of flux box measurement).  There must be no significant net flow of landfill gas across the representative zone boundary when the measurements are made.</w:t>
      </w:r>
    </w:p>
    <w:p w14:paraId="0E255AA7" w14:textId="77777777" w:rsidR="006C7995" w:rsidRPr="00883399" w:rsidRDefault="006C7995" w:rsidP="006C7995">
      <w:pPr>
        <w:pStyle w:val="R2"/>
        <w:keepLines w:val="0"/>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ab/>
        <w:t xml:space="preserve">For zones with vertical well systems in place, the boundary can be assumed to be a vertical surface extending from the landfill surface to the base of the waste. </w:t>
      </w:r>
    </w:p>
    <w:p w14:paraId="4A1380E6" w14:textId="77777777" w:rsidR="006C7995" w:rsidRPr="00883399" w:rsidRDefault="006C7995" w:rsidP="006C7995">
      <w:pPr>
        <w:pStyle w:val="R2"/>
        <w:keepLines w:val="0"/>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ab/>
        <w:t xml:space="preserve">For zones with horizontal well systems in place the representative zone may be estimated on the zone of influence of the horizontal well system.  </w:t>
      </w:r>
    </w:p>
    <w:p w14:paraId="6944D54A" w14:textId="77777777" w:rsidR="006C7995" w:rsidRPr="00883399" w:rsidRDefault="006C7995" w:rsidP="006C7995">
      <w:pPr>
        <w:pStyle w:val="R2"/>
        <w:keepLines w:val="0"/>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ab/>
        <w:t xml:space="preserve">Detailed technical information and data should be included in the report if their understanding is important to the assessment. Explanations of unusual or new technical processes and activities that may be material to the understanding of the assessment should be included, where commercial confidentiality considerations allow. </w:t>
      </w:r>
    </w:p>
    <w:p w14:paraId="10B75AA4" w14:textId="77777777" w:rsidR="006C7995" w:rsidRPr="00883399" w:rsidRDefault="006C7995" w:rsidP="006C7995">
      <w:pPr>
        <w:pStyle w:val="R2"/>
        <w:keepLines w:val="0"/>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ab/>
        <w:t>Experts must not rely uncritically on the data and other information provided, either by the operator of the facility or obtained otherwise. They must undertake suitable checks, enquiries, analyses and verification procedures to establish reasonable grounds for establishing the soundness of the contents and conclusions of the report.</w:t>
      </w:r>
    </w:p>
    <w:p w14:paraId="651D087D" w14:textId="77777777" w:rsidR="006C7995" w:rsidRPr="00883399" w:rsidRDefault="006C7995" w:rsidP="006C7995">
      <w:pPr>
        <w:pStyle w:val="R2"/>
        <w:keepLines w:val="0"/>
        <w:spacing w:before="240" w:line="312" w:lineRule="auto"/>
        <w:ind w:left="0" w:firstLine="0"/>
        <w:jc w:val="left"/>
        <w:rPr>
          <w:rFonts w:ascii="Arial" w:hAnsi="Arial" w:cs="Arial"/>
          <w:color w:val="000000"/>
          <w:sz w:val="22"/>
          <w:szCs w:val="22"/>
        </w:rPr>
      </w:pPr>
      <w:r w:rsidRPr="00883399">
        <w:rPr>
          <w:rFonts w:ascii="Arial" w:hAnsi="Arial" w:cs="Arial"/>
          <w:color w:val="000000"/>
          <w:sz w:val="22"/>
          <w:szCs w:val="22"/>
        </w:rPr>
        <w:tab/>
        <w:t xml:space="preserve">The expert must either certify that the representative zone has been selected in accordance with these </w:t>
      </w:r>
      <w:r w:rsidRPr="00883399">
        <w:rPr>
          <w:rFonts w:ascii="Arial" w:hAnsi="Arial" w:cs="Arial"/>
          <w:i/>
          <w:color w:val="000000"/>
          <w:sz w:val="22"/>
          <w:szCs w:val="22"/>
        </w:rPr>
        <w:t>Guidelines</w:t>
      </w:r>
      <w:r w:rsidRPr="00883399">
        <w:rPr>
          <w:rFonts w:ascii="Arial" w:hAnsi="Arial" w:cs="Arial"/>
          <w:color w:val="000000"/>
          <w:sz w:val="22"/>
          <w:szCs w:val="22"/>
        </w:rPr>
        <w:t xml:space="preserve"> and the </w:t>
      </w:r>
      <w:r w:rsidRPr="00883399">
        <w:rPr>
          <w:rFonts w:ascii="Arial" w:hAnsi="Arial" w:cs="Arial"/>
          <w:i/>
          <w:color w:val="000000"/>
          <w:sz w:val="22"/>
          <w:szCs w:val="22"/>
        </w:rPr>
        <w:t>National Greenhouse and Energy Reporting (Measurement) Amendment Determination 2012,</w:t>
      </w:r>
      <w:r w:rsidRPr="00883399">
        <w:rPr>
          <w:rFonts w:ascii="Arial" w:hAnsi="Arial" w:cs="Arial"/>
          <w:color w:val="000000"/>
          <w:sz w:val="22"/>
          <w:szCs w:val="22"/>
        </w:rPr>
        <w:t xml:space="preserve"> or the contrary, and personally sign the report.</w:t>
      </w:r>
    </w:p>
    <w:p w14:paraId="25DB851E" w14:textId="77777777" w:rsidR="006C7995" w:rsidRPr="00883399" w:rsidRDefault="006C7995" w:rsidP="00872C03">
      <w:pPr>
        <w:pStyle w:val="subsection"/>
        <w:rPr>
          <w:sz w:val="24"/>
        </w:rPr>
      </w:pPr>
    </w:p>
    <w:p w14:paraId="718EA457" w14:textId="7FD6B861" w:rsidR="00872C03" w:rsidRPr="00883399" w:rsidRDefault="00872C03" w:rsidP="00872C03">
      <w:pPr>
        <w:pStyle w:val="ActHead5"/>
        <w:rPr>
          <w:sz w:val="28"/>
        </w:rPr>
      </w:pPr>
      <w:bookmarkStart w:id="1149" w:name="_Toc423517168"/>
      <w:bookmarkStart w:id="1150" w:name="_Toc495653099"/>
      <w:r w:rsidRPr="00883399">
        <w:rPr>
          <w:rStyle w:val="CharSectno"/>
          <w:sz w:val="28"/>
        </w:rPr>
        <w:lastRenderedPageBreak/>
        <w:t>5.17C</w:t>
      </w:r>
      <w:r w:rsidRPr="00883399">
        <w:rPr>
          <w:sz w:val="28"/>
        </w:rPr>
        <w:t xml:space="preserve">  Estimation of waste and degradable organic content in representative zone</w:t>
      </w:r>
      <w:bookmarkEnd w:id="1149"/>
      <w:bookmarkEnd w:id="1150"/>
    </w:p>
    <w:p w14:paraId="084392A6" w14:textId="77777777" w:rsidR="00872C03" w:rsidRPr="00883399" w:rsidRDefault="00872C03" w:rsidP="00872C03">
      <w:pPr>
        <w:pStyle w:val="subsection"/>
        <w:rPr>
          <w:sz w:val="24"/>
        </w:rPr>
      </w:pPr>
      <w:r w:rsidRPr="00883399">
        <w:rPr>
          <w:sz w:val="24"/>
        </w:rPr>
        <w:tab/>
      </w:r>
      <w:r w:rsidRPr="00883399">
        <w:rPr>
          <w:sz w:val="24"/>
        </w:rPr>
        <w:tab/>
        <w:t>The amount of waste, and the amount of degradable organic content in the waste, disposed of in the representative zone must be estimated in accordance with sections 5.5 to 5.12 for each reporting year that waste is disposed of in the representative zone.</w:t>
      </w:r>
    </w:p>
    <w:p w14:paraId="235D934B" w14:textId="07550554" w:rsidR="00872C03" w:rsidRPr="00883399" w:rsidRDefault="00872C03" w:rsidP="00872C03">
      <w:pPr>
        <w:pStyle w:val="ActHead5"/>
        <w:rPr>
          <w:sz w:val="28"/>
        </w:rPr>
      </w:pPr>
      <w:bookmarkStart w:id="1151" w:name="_Toc423517169"/>
      <w:bookmarkStart w:id="1152" w:name="_Toc495653100"/>
      <w:r w:rsidRPr="00883399">
        <w:rPr>
          <w:rStyle w:val="CharSectno"/>
          <w:sz w:val="28"/>
        </w:rPr>
        <w:t>5.17D</w:t>
      </w:r>
      <w:r w:rsidRPr="00883399">
        <w:rPr>
          <w:sz w:val="28"/>
        </w:rPr>
        <w:t xml:space="preserve">  Estimation of gas collected at the representative zone</w:t>
      </w:r>
      <w:bookmarkEnd w:id="1151"/>
      <w:bookmarkEnd w:id="1152"/>
    </w:p>
    <w:p w14:paraId="57E8656F" w14:textId="77777777" w:rsidR="00872C03" w:rsidRPr="00883399" w:rsidRDefault="00872C03" w:rsidP="00872C03">
      <w:pPr>
        <w:pStyle w:val="subsection"/>
        <w:rPr>
          <w:sz w:val="24"/>
        </w:rPr>
      </w:pPr>
      <w:r w:rsidRPr="00883399">
        <w:rPr>
          <w:sz w:val="24"/>
        </w:rPr>
        <w:tab/>
        <w:t>(1)</w:t>
      </w:r>
      <w:r w:rsidRPr="00883399">
        <w:rPr>
          <w:sz w:val="24"/>
        </w:rPr>
        <w:tab/>
        <w:t>The operator of the landfill must estimate the total amount, and concentration, of landfill gas measured in tonnes of methane per year collected by all of the landfill gas collection wells located within the representative zone.</w:t>
      </w:r>
    </w:p>
    <w:p w14:paraId="09882E37" w14:textId="77777777" w:rsidR="00872C03" w:rsidRPr="00883399" w:rsidRDefault="00872C03" w:rsidP="00872C03">
      <w:pPr>
        <w:pStyle w:val="subsection"/>
        <w:rPr>
          <w:sz w:val="24"/>
        </w:rPr>
      </w:pPr>
      <w:r w:rsidRPr="00883399">
        <w:rPr>
          <w:sz w:val="24"/>
        </w:rPr>
        <w:tab/>
        <w:t>(2)</w:t>
      </w:r>
      <w:r w:rsidRPr="00883399">
        <w:rPr>
          <w:sz w:val="24"/>
        </w:rPr>
        <w:tab/>
        <w:t>Measurement of the landfill gas flow rate for each well must be undertaken in accordance with Division 2.3.6.</w:t>
      </w:r>
    </w:p>
    <w:p w14:paraId="4861B41E" w14:textId="77777777" w:rsidR="00872C03" w:rsidRPr="00883399" w:rsidRDefault="00872C03" w:rsidP="00872C03">
      <w:pPr>
        <w:pStyle w:val="subsection"/>
        <w:rPr>
          <w:sz w:val="24"/>
        </w:rPr>
      </w:pPr>
      <w:r w:rsidRPr="00883399">
        <w:rPr>
          <w:sz w:val="24"/>
        </w:rPr>
        <w:tab/>
        <w:t>(3)</w:t>
      </w:r>
      <w:r w:rsidRPr="00883399">
        <w:rPr>
          <w:sz w:val="24"/>
        </w:rPr>
        <w:tab/>
        <w:t>The methane concentration of the landfill gas from the representative zone:</w:t>
      </w:r>
    </w:p>
    <w:p w14:paraId="6747CF51" w14:textId="77777777" w:rsidR="00872C03" w:rsidRPr="00883399" w:rsidRDefault="00872C03" w:rsidP="00872C03">
      <w:pPr>
        <w:pStyle w:val="paragraph"/>
        <w:rPr>
          <w:sz w:val="24"/>
        </w:rPr>
      </w:pPr>
      <w:r w:rsidRPr="00883399">
        <w:rPr>
          <w:sz w:val="24"/>
        </w:rPr>
        <w:tab/>
        <w:t>(a)</w:t>
      </w:r>
      <w:r w:rsidRPr="00883399">
        <w:rPr>
          <w:sz w:val="24"/>
        </w:rPr>
        <w:tab/>
        <w:t>may be estimated from measurements of landfill gas obtained at each gas collection well located within the representative zone using industry standard landfill gas analysers that are calibrated to the manufacturer’s specifications; or</w:t>
      </w:r>
    </w:p>
    <w:p w14:paraId="48E95042" w14:textId="77777777" w:rsidR="00872C03" w:rsidRPr="00883399" w:rsidRDefault="00872C03" w:rsidP="00872C03">
      <w:pPr>
        <w:pStyle w:val="paragraph"/>
        <w:rPr>
          <w:sz w:val="24"/>
        </w:rPr>
      </w:pPr>
      <w:r w:rsidRPr="00883399">
        <w:rPr>
          <w:sz w:val="24"/>
        </w:rPr>
        <w:tab/>
        <w:t>(b)</w:t>
      </w:r>
      <w:r w:rsidRPr="00883399">
        <w:rPr>
          <w:sz w:val="24"/>
        </w:rPr>
        <w:tab/>
        <w:t>may be assumed to be the methane concentration for the landfill as analysed under Subdivision 2.3.3.2.</w:t>
      </w:r>
    </w:p>
    <w:p w14:paraId="39B8DB27" w14:textId="77777777" w:rsidR="00872C03" w:rsidRPr="00883399" w:rsidRDefault="00872C03" w:rsidP="00872C03">
      <w:pPr>
        <w:pStyle w:val="subsection"/>
        <w:rPr>
          <w:sz w:val="24"/>
        </w:rPr>
      </w:pPr>
      <w:r w:rsidRPr="00883399">
        <w:rPr>
          <w:sz w:val="24"/>
        </w:rPr>
        <w:tab/>
        <w:t>(4)</w:t>
      </w:r>
      <w:r w:rsidRPr="00883399">
        <w:rPr>
          <w:sz w:val="24"/>
        </w:rPr>
        <w:tab/>
        <w:t>Data about the methane gas flow rates at each well in the representative zone must be:</w:t>
      </w:r>
    </w:p>
    <w:p w14:paraId="03BC4595" w14:textId="77777777" w:rsidR="00872C03" w:rsidRPr="00883399" w:rsidRDefault="00872C03" w:rsidP="00872C03">
      <w:pPr>
        <w:pStyle w:val="paragraph"/>
        <w:rPr>
          <w:sz w:val="24"/>
        </w:rPr>
      </w:pPr>
      <w:r w:rsidRPr="00883399">
        <w:rPr>
          <w:sz w:val="24"/>
        </w:rPr>
        <w:tab/>
        <w:t>(a)</w:t>
      </w:r>
      <w:r w:rsidRPr="00883399">
        <w:rPr>
          <w:sz w:val="24"/>
        </w:rPr>
        <w:tab/>
        <w:t>the data used for operational purposes; and</w:t>
      </w:r>
    </w:p>
    <w:p w14:paraId="68C61382" w14:textId="77777777" w:rsidR="00872C03" w:rsidRPr="00883399" w:rsidRDefault="00872C03" w:rsidP="00872C03">
      <w:pPr>
        <w:pStyle w:val="paragraph"/>
        <w:rPr>
          <w:sz w:val="24"/>
        </w:rPr>
      </w:pPr>
      <w:r w:rsidRPr="00883399">
        <w:rPr>
          <w:sz w:val="24"/>
        </w:rPr>
        <w:tab/>
        <w:t>(b)</w:t>
      </w:r>
      <w:r w:rsidRPr="00883399">
        <w:rPr>
          <w:sz w:val="24"/>
        </w:rPr>
        <w:tab/>
        <w:t>recorded at least once a month for a period of at least 12 months.</w:t>
      </w:r>
    </w:p>
    <w:p w14:paraId="11E74CC7" w14:textId="77777777" w:rsidR="00872C03" w:rsidRPr="00883399" w:rsidRDefault="00872C03" w:rsidP="00872C03">
      <w:pPr>
        <w:pStyle w:val="subsection"/>
        <w:rPr>
          <w:sz w:val="24"/>
        </w:rPr>
      </w:pPr>
      <w:r w:rsidRPr="00883399">
        <w:rPr>
          <w:sz w:val="24"/>
        </w:rPr>
        <w:tab/>
        <w:t>(5)</w:t>
      </w:r>
      <w:r w:rsidRPr="00883399">
        <w:rPr>
          <w:sz w:val="24"/>
        </w:rPr>
        <w:tab/>
        <w:t>Fuel flow meter equipment and gas composition monitoring equipment used to measure and analyse the landfill gas must be calibrated in accordance with:</w:t>
      </w:r>
    </w:p>
    <w:p w14:paraId="71792D01" w14:textId="77777777" w:rsidR="00872C03" w:rsidRPr="00883399" w:rsidRDefault="00872C03" w:rsidP="00872C03">
      <w:pPr>
        <w:pStyle w:val="paragraph"/>
        <w:rPr>
          <w:sz w:val="24"/>
        </w:rPr>
      </w:pPr>
      <w:r w:rsidRPr="00883399">
        <w:rPr>
          <w:sz w:val="24"/>
        </w:rPr>
        <w:tab/>
        <w:t>(a)</w:t>
      </w:r>
      <w:r w:rsidRPr="00883399">
        <w:rPr>
          <w:sz w:val="24"/>
        </w:rPr>
        <w:tab/>
        <w:t xml:space="preserve">a standard specified in section 2.24 or an equivalent standard; or </w:t>
      </w:r>
    </w:p>
    <w:p w14:paraId="50C080D7" w14:textId="77777777" w:rsidR="00872C03" w:rsidRPr="00883399" w:rsidRDefault="00872C03" w:rsidP="00872C03">
      <w:pPr>
        <w:pStyle w:val="paragraph"/>
        <w:rPr>
          <w:sz w:val="24"/>
        </w:rPr>
      </w:pPr>
      <w:r w:rsidRPr="00883399">
        <w:rPr>
          <w:sz w:val="24"/>
        </w:rPr>
        <w:tab/>
        <w:t>(b)</w:t>
      </w:r>
      <w:r w:rsidRPr="00883399">
        <w:rPr>
          <w:sz w:val="24"/>
        </w:rPr>
        <w:tab/>
        <w:t>the calibration procedures specified, and at the frequencies recommended, by the manufacturer of the equipment.</w:t>
      </w:r>
    </w:p>
    <w:p w14:paraId="041B8D27" w14:textId="77777777" w:rsidR="00872C03" w:rsidRPr="00883399" w:rsidRDefault="00872C03" w:rsidP="00872C03">
      <w:pPr>
        <w:pStyle w:val="subsection"/>
        <w:rPr>
          <w:sz w:val="24"/>
        </w:rPr>
      </w:pPr>
      <w:r w:rsidRPr="00883399">
        <w:rPr>
          <w:sz w:val="24"/>
        </w:rPr>
        <w:tab/>
        <w:t>(6)</w:t>
      </w:r>
      <w:r w:rsidRPr="00883399">
        <w:rPr>
          <w:sz w:val="24"/>
        </w:rPr>
        <w:tab/>
        <w:t>Fuel flow meter equipment and gas composition monitoring equipment must be recalibrated:</w:t>
      </w:r>
    </w:p>
    <w:p w14:paraId="3002CADD" w14:textId="77777777" w:rsidR="00872C03" w:rsidRPr="00883399" w:rsidRDefault="00872C03" w:rsidP="00872C03">
      <w:pPr>
        <w:pStyle w:val="paragraph"/>
        <w:rPr>
          <w:sz w:val="24"/>
        </w:rPr>
      </w:pPr>
      <w:r w:rsidRPr="00883399">
        <w:rPr>
          <w:sz w:val="24"/>
        </w:rPr>
        <w:tab/>
        <w:t>(a)</w:t>
      </w:r>
      <w:r w:rsidRPr="00883399">
        <w:rPr>
          <w:sz w:val="24"/>
        </w:rPr>
        <w:tab/>
        <w:t>at the frequency specified by the manufacturer of the equipment; or</w:t>
      </w:r>
    </w:p>
    <w:p w14:paraId="762D54E0" w14:textId="77777777" w:rsidR="00872C03" w:rsidRPr="00883399" w:rsidRDefault="00872C03" w:rsidP="00872C03">
      <w:pPr>
        <w:pStyle w:val="paragraph"/>
        <w:rPr>
          <w:sz w:val="24"/>
        </w:rPr>
      </w:pPr>
      <w:r w:rsidRPr="00883399">
        <w:rPr>
          <w:sz w:val="24"/>
        </w:rPr>
        <w:tab/>
        <w:t>(b)</w:t>
      </w:r>
      <w:r w:rsidRPr="00883399">
        <w:rPr>
          <w:sz w:val="24"/>
        </w:rPr>
        <w:tab/>
        <w:t>if the manufacturer does not specify a recalibration period for the equipment—annually.</w:t>
      </w:r>
    </w:p>
    <w:p w14:paraId="441E185A" w14:textId="77777777" w:rsidR="00872C03" w:rsidRPr="00883399" w:rsidRDefault="00872C03" w:rsidP="00872C03">
      <w:pPr>
        <w:pStyle w:val="subsection"/>
        <w:rPr>
          <w:sz w:val="24"/>
        </w:rPr>
      </w:pPr>
      <w:r w:rsidRPr="00883399">
        <w:rPr>
          <w:sz w:val="24"/>
        </w:rPr>
        <w:lastRenderedPageBreak/>
        <w:tab/>
        <w:t>(7)</w:t>
      </w:r>
      <w:r w:rsidRPr="00883399">
        <w:rPr>
          <w:sz w:val="24"/>
        </w:rPr>
        <w:tab/>
        <w:t>Estimates of gas flow must be converted from cubic metres to mass by using the formula in subsection 1.21(1).</w:t>
      </w:r>
    </w:p>
    <w:p w14:paraId="5198FBA7" w14:textId="3050B66F" w:rsidR="00872C03" w:rsidRPr="00883399" w:rsidRDefault="00872C03" w:rsidP="00872C03">
      <w:pPr>
        <w:pStyle w:val="ActHead5"/>
        <w:rPr>
          <w:sz w:val="28"/>
        </w:rPr>
      </w:pPr>
      <w:bookmarkStart w:id="1153" w:name="_Toc423517170"/>
      <w:bookmarkStart w:id="1154" w:name="_Toc495653101"/>
      <w:r w:rsidRPr="00883399">
        <w:rPr>
          <w:rStyle w:val="CharSectno"/>
          <w:sz w:val="28"/>
        </w:rPr>
        <w:t>5.17E</w:t>
      </w:r>
      <w:r w:rsidRPr="00883399">
        <w:rPr>
          <w:sz w:val="28"/>
        </w:rPr>
        <w:t xml:space="preserve">  Estimating methane generated but not collected in the representative zone</w:t>
      </w:r>
      <w:bookmarkEnd w:id="1153"/>
      <w:bookmarkEnd w:id="1154"/>
    </w:p>
    <w:p w14:paraId="74FB1007" w14:textId="77777777" w:rsidR="00872C03" w:rsidRPr="00883399" w:rsidRDefault="00872C03" w:rsidP="00872C03">
      <w:pPr>
        <w:pStyle w:val="subsection"/>
        <w:rPr>
          <w:sz w:val="24"/>
        </w:rPr>
      </w:pPr>
      <w:r w:rsidRPr="00883399">
        <w:rPr>
          <w:sz w:val="24"/>
        </w:rPr>
        <w:tab/>
        <w:t>(1)</w:t>
      </w:r>
      <w:r w:rsidRPr="00883399">
        <w:rPr>
          <w:sz w:val="24"/>
        </w:rPr>
        <w:tab/>
        <w:t>The operator must estimate the amount of emissions of methane in the representative zone that is not collected by the collection wells in the zone.</w:t>
      </w:r>
    </w:p>
    <w:p w14:paraId="5EA2DEFE" w14:textId="77777777" w:rsidR="00872C03" w:rsidRPr="00883399" w:rsidRDefault="00872C03" w:rsidP="00872C03">
      <w:pPr>
        <w:pStyle w:val="subsection"/>
        <w:rPr>
          <w:sz w:val="24"/>
        </w:rPr>
      </w:pPr>
      <w:r w:rsidRPr="00883399">
        <w:rPr>
          <w:sz w:val="24"/>
        </w:rPr>
        <w:tab/>
        <w:t>(2)</w:t>
      </w:r>
      <w:r w:rsidRPr="00883399">
        <w:rPr>
          <w:sz w:val="24"/>
        </w:rPr>
        <w:tab/>
        <w:t>Estimates must be obtained by using the procedures in sections 5.17F to 5.17H.</w:t>
      </w:r>
    </w:p>
    <w:p w14:paraId="29519941" w14:textId="153FD84F" w:rsidR="00872C03" w:rsidRPr="00883399" w:rsidRDefault="00872C03" w:rsidP="00872C03">
      <w:pPr>
        <w:pStyle w:val="ActHead5"/>
        <w:rPr>
          <w:sz w:val="28"/>
        </w:rPr>
      </w:pPr>
      <w:bookmarkStart w:id="1155" w:name="_Toc423517171"/>
      <w:bookmarkStart w:id="1156" w:name="_Toc495653102"/>
      <w:r w:rsidRPr="00883399">
        <w:rPr>
          <w:rStyle w:val="CharSectno"/>
          <w:sz w:val="28"/>
        </w:rPr>
        <w:t>5.17F</w:t>
      </w:r>
      <w:r w:rsidRPr="00883399">
        <w:rPr>
          <w:sz w:val="28"/>
        </w:rPr>
        <w:t xml:space="preserve">  Walkover survey</w:t>
      </w:r>
      <w:bookmarkEnd w:id="1155"/>
      <w:bookmarkEnd w:id="1156"/>
    </w:p>
    <w:p w14:paraId="3A712A6E" w14:textId="77777777" w:rsidR="00872C03" w:rsidRPr="00883399" w:rsidRDefault="00872C03" w:rsidP="00872C03">
      <w:pPr>
        <w:pStyle w:val="subsection"/>
        <w:rPr>
          <w:sz w:val="24"/>
        </w:rPr>
      </w:pPr>
      <w:r w:rsidRPr="00883399">
        <w:rPr>
          <w:sz w:val="24"/>
        </w:rPr>
        <w:tab/>
        <w:t>(1)</w:t>
      </w:r>
      <w:r w:rsidRPr="00883399">
        <w:rPr>
          <w:sz w:val="24"/>
        </w:rPr>
        <w:tab/>
        <w:t>The operator of the landfill must arrange for an independent expert to conduct, at least every 3 months, a walkover survey of the representative zone using a portable gas measurement device in order to:</w:t>
      </w:r>
    </w:p>
    <w:p w14:paraId="2275934E" w14:textId="77777777" w:rsidR="00872C03" w:rsidRPr="00883399" w:rsidRDefault="00872C03" w:rsidP="00872C03">
      <w:pPr>
        <w:pStyle w:val="paragraph"/>
        <w:rPr>
          <w:sz w:val="24"/>
        </w:rPr>
      </w:pPr>
      <w:r w:rsidRPr="00883399">
        <w:rPr>
          <w:sz w:val="24"/>
        </w:rPr>
        <w:tab/>
        <w:t>(a)</w:t>
      </w:r>
      <w:r w:rsidRPr="00883399">
        <w:rPr>
          <w:sz w:val="24"/>
        </w:rPr>
        <w:tab/>
        <w:t xml:space="preserve">determine the near surface gas concentrations in the representative zone and in the immediately surrounding area; and </w:t>
      </w:r>
    </w:p>
    <w:p w14:paraId="13A0ECE8" w14:textId="77777777" w:rsidR="00872C03" w:rsidRPr="00883399" w:rsidRDefault="00872C03" w:rsidP="00872C03">
      <w:pPr>
        <w:pStyle w:val="paragraph"/>
        <w:rPr>
          <w:sz w:val="24"/>
        </w:rPr>
      </w:pPr>
      <w:r w:rsidRPr="00883399">
        <w:rPr>
          <w:sz w:val="24"/>
        </w:rPr>
        <w:tab/>
        <w:t>(b)</w:t>
      </w:r>
      <w:r w:rsidRPr="00883399">
        <w:rPr>
          <w:sz w:val="24"/>
        </w:rPr>
        <w:tab/>
        <w:t>identify locations within the representative zone that have:</w:t>
      </w:r>
    </w:p>
    <w:p w14:paraId="1FAD4465" w14:textId="77777777" w:rsidR="00872C03" w:rsidRPr="00883399" w:rsidRDefault="00872C03" w:rsidP="00872C03">
      <w:pPr>
        <w:pStyle w:val="paragraphsub"/>
        <w:rPr>
          <w:sz w:val="24"/>
        </w:rPr>
      </w:pPr>
      <w:r w:rsidRPr="00883399">
        <w:rPr>
          <w:sz w:val="24"/>
        </w:rPr>
        <w:tab/>
        <w:t>(i)</w:t>
      </w:r>
      <w:r w:rsidRPr="00883399">
        <w:rPr>
          <w:sz w:val="24"/>
        </w:rPr>
        <w:tab/>
        <w:t>low methane emissions; and</w:t>
      </w:r>
    </w:p>
    <w:p w14:paraId="55258E70" w14:textId="77777777" w:rsidR="00872C03" w:rsidRPr="00883399" w:rsidRDefault="00872C03" w:rsidP="00872C03">
      <w:pPr>
        <w:pStyle w:val="paragraphsub"/>
        <w:rPr>
          <w:sz w:val="24"/>
        </w:rPr>
      </w:pPr>
      <w:r w:rsidRPr="00883399">
        <w:rPr>
          <w:sz w:val="24"/>
        </w:rPr>
        <w:tab/>
        <w:t>(ii)</w:t>
      </w:r>
      <w:r w:rsidRPr="00883399">
        <w:rPr>
          <w:sz w:val="24"/>
        </w:rPr>
        <w:tab/>
        <w:t>intermediate methane emissions; and</w:t>
      </w:r>
    </w:p>
    <w:p w14:paraId="1CD63DED" w14:textId="77777777" w:rsidR="00872C03" w:rsidRPr="00883399" w:rsidRDefault="00872C03" w:rsidP="00872C03">
      <w:pPr>
        <w:pStyle w:val="paragraphsub"/>
        <w:rPr>
          <w:sz w:val="24"/>
        </w:rPr>
      </w:pPr>
      <w:r w:rsidRPr="00883399">
        <w:rPr>
          <w:sz w:val="24"/>
        </w:rPr>
        <w:tab/>
        <w:t>(iii)</w:t>
      </w:r>
      <w:r w:rsidRPr="00883399">
        <w:rPr>
          <w:sz w:val="24"/>
        </w:rPr>
        <w:tab/>
        <w:t>elevated methane emissions; and</w:t>
      </w:r>
    </w:p>
    <w:p w14:paraId="62125B67" w14:textId="77777777" w:rsidR="00872C03" w:rsidRPr="00883399" w:rsidRDefault="00872C03" w:rsidP="00872C03">
      <w:pPr>
        <w:pStyle w:val="paragraphsub"/>
        <w:rPr>
          <w:sz w:val="24"/>
        </w:rPr>
      </w:pPr>
      <w:r w:rsidRPr="00883399">
        <w:rPr>
          <w:sz w:val="24"/>
        </w:rPr>
        <w:tab/>
        <w:t>(iv)</w:t>
      </w:r>
      <w:r w:rsidRPr="00883399">
        <w:rPr>
          <w:sz w:val="24"/>
        </w:rPr>
        <w:tab/>
        <w:t>high methane emissions; and</w:t>
      </w:r>
    </w:p>
    <w:p w14:paraId="754961FF" w14:textId="77777777" w:rsidR="00872C03" w:rsidRPr="00883399" w:rsidRDefault="00872C03" w:rsidP="00872C03">
      <w:pPr>
        <w:pStyle w:val="paragraph"/>
        <w:rPr>
          <w:sz w:val="24"/>
        </w:rPr>
      </w:pPr>
      <w:r w:rsidRPr="00883399">
        <w:rPr>
          <w:sz w:val="24"/>
        </w:rPr>
        <w:tab/>
        <w:t>(c)</w:t>
      </w:r>
      <w:r w:rsidRPr="00883399">
        <w:rPr>
          <w:sz w:val="24"/>
        </w:rPr>
        <w:tab/>
        <w:t>scan the representative zone by scanning along multiple transects that are less than 25 metres wide; and</w:t>
      </w:r>
    </w:p>
    <w:p w14:paraId="1B415CD7" w14:textId="77777777" w:rsidR="00872C03" w:rsidRPr="00883399" w:rsidRDefault="00872C03" w:rsidP="00872C03">
      <w:pPr>
        <w:pStyle w:val="paragraph"/>
        <w:rPr>
          <w:sz w:val="24"/>
        </w:rPr>
      </w:pPr>
      <w:r w:rsidRPr="00883399">
        <w:rPr>
          <w:sz w:val="24"/>
        </w:rPr>
        <w:tab/>
        <w:t>(d)</w:t>
      </w:r>
      <w:r w:rsidRPr="00883399">
        <w:rPr>
          <w:sz w:val="24"/>
        </w:rPr>
        <w:tab/>
        <w:t>if the scan detects an area within the representative zone that has high methane emissions—scan along multiple transects 1 metre wide; and</w:t>
      </w:r>
    </w:p>
    <w:p w14:paraId="3593587B" w14:textId="77777777" w:rsidR="00872C03" w:rsidRPr="00883399" w:rsidRDefault="00872C03" w:rsidP="00872C03">
      <w:pPr>
        <w:pStyle w:val="paragraph"/>
        <w:rPr>
          <w:sz w:val="24"/>
        </w:rPr>
      </w:pPr>
      <w:r w:rsidRPr="00883399">
        <w:rPr>
          <w:sz w:val="24"/>
        </w:rPr>
        <w:tab/>
        <w:t>(e)</w:t>
      </w:r>
      <w:r w:rsidRPr="00883399">
        <w:rPr>
          <w:sz w:val="24"/>
        </w:rPr>
        <w:tab/>
        <w:t>record the results; and</w:t>
      </w:r>
    </w:p>
    <w:p w14:paraId="70B63F3F" w14:textId="77777777" w:rsidR="00872C03" w:rsidRPr="00883399" w:rsidRDefault="00872C03" w:rsidP="00872C03">
      <w:pPr>
        <w:pStyle w:val="paragraph"/>
        <w:rPr>
          <w:sz w:val="24"/>
        </w:rPr>
      </w:pPr>
      <w:r w:rsidRPr="00883399">
        <w:rPr>
          <w:sz w:val="24"/>
        </w:rPr>
        <w:tab/>
        <w:t>(f)</w:t>
      </w:r>
      <w:r w:rsidRPr="00883399">
        <w:rPr>
          <w:sz w:val="24"/>
        </w:rPr>
        <w:tab/>
        <w:t>map the results against the site plan prepared in accordance with section 5.17.</w:t>
      </w:r>
    </w:p>
    <w:p w14:paraId="1AA5488D" w14:textId="77777777" w:rsidR="00872C03" w:rsidRPr="00883399" w:rsidRDefault="00872C03" w:rsidP="00872C03">
      <w:pPr>
        <w:pStyle w:val="subsection"/>
        <w:rPr>
          <w:sz w:val="24"/>
        </w:rPr>
      </w:pPr>
      <w:r w:rsidRPr="00883399">
        <w:rPr>
          <w:sz w:val="24"/>
        </w:rPr>
        <w:tab/>
        <w:t>(2)</w:t>
      </w:r>
      <w:r w:rsidRPr="00883399">
        <w:rPr>
          <w:sz w:val="24"/>
        </w:rPr>
        <w:tab/>
        <w:t>The portable gas measurement device must be capable of detecting hydrocarbons at 10 parts per million.</w:t>
      </w:r>
    </w:p>
    <w:p w14:paraId="51DD1C05" w14:textId="77777777" w:rsidR="00872C03" w:rsidRPr="00883399" w:rsidRDefault="00872C03" w:rsidP="00872C03">
      <w:pPr>
        <w:pStyle w:val="subsection"/>
        <w:rPr>
          <w:sz w:val="24"/>
        </w:rPr>
      </w:pPr>
      <w:r w:rsidRPr="00883399">
        <w:rPr>
          <w:sz w:val="24"/>
        </w:rPr>
        <w:tab/>
        <w:t>(3)</w:t>
      </w:r>
      <w:r w:rsidRPr="00883399">
        <w:rPr>
          <w:sz w:val="24"/>
        </w:rPr>
        <w:tab/>
        <w:t>In this section:</w:t>
      </w:r>
    </w:p>
    <w:p w14:paraId="2A88BAA5" w14:textId="77777777" w:rsidR="00872C03" w:rsidRPr="00883399" w:rsidRDefault="00872C03" w:rsidP="00872C03">
      <w:pPr>
        <w:pStyle w:val="Definition0"/>
        <w:rPr>
          <w:sz w:val="24"/>
        </w:rPr>
      </w:pPr>
      <w:r w:rsidRPr="00883399">
        <w:rPr>
          <w:b/>
          <w:i/>
          <w:sz w:val="24"/>
        </w:rPr>
        <w:t xml:space="preserve">low methane emissions </w:t>
      </w:r>
      <w:r w:rsidRPr="00883399">
        <w:rPr>
          <w:sz w:val="24"/>
        </w:rPr>
        <w:t>means methane emissions that the results of a scan performed in accordance with this section indicate are equal to or less than 50 parts per million.</w:t>
      </w:r>
    </w:p>
    <w:p w14:paraId="5A6D02B6" w14:textId="77777777" w:rsidR="00872C03" w:rsidRPr="00883399" w:rsidRDefault="00872C03" w:rsidP="00872C03">
      <w:pPr>
        <w:pStyle w:val="Definition0"/>
        <w:rPr>
          <w:sz w:val="24"/>
        </w:rPr>
      </w:pPr>
      <w:r w:rsidRPr="00883399">
        <w:rPr>
          <w:b/>
          <w:i/>
          <w:sz w:val="24"/>
        </w:rPr>
        <w:lastRenderedPageBreak/>
        <w:t xml:space="preserve">intermediate methane emissions </w:t>
      </w:r>
      <w:r w:rsidRPr="00883399">
        <w:rPr>
          <w:sz w:val="24"/>
        </w:rPr>
        <w:t>means emissions that the results of a scan performed in accordance with this section indicate are greater than 50 parts per million and equal to or less than 100 parts per million.</w:t>
      </w:r>
    </w:p>
    <w:p w14:paraId="230DF7DB" w14:textId="77777777" w:rsidR="00872C03" w:rsidRPr="00883399" w:rsidRDefault="00872C03" w:rsidP="00872C03">
      <w:pPr>
        <w:pStyle w:val="Definition0"/>
        <w:rPr>
          <w:sz w:val="24"/>
        </w:rPr>
      </w:pPr>
      <w:r w:rsidRPr="00883399">
        <w:rPr>
          <w:b/>
          <w:i/>
          <w:sz w:val="24"/>
        </w:rPr>
        <w:t xml:space="preserve">elevated methane emissions </w:t>
      </w:r>
      <w:r w:rsidRPr="00883399">
        <w:rPr>
          <w:sz w:val="24"/>
        </w:rPr>
        <w:t>means methane emissions that the results of a scan performed in accordance with this section indicate are greater than 100 parts per million and less than 500 parts per million.</w:t>
      </w:r>
    </w:p>
    <w:p w14:paraId="69EA4A13" w14:textId="77777777" w:rsidR="00872C03" w:rsidRPr="00883399" w:rsidRDefault="00872C03" w:rsidP="00872C03">
      <w:pPr>
        <w:pStyle w:val="Definition0"/>
        <w:rPr>
          <w:sz w:val="24"/>
        </w:rPr>
      </w:pPr>
      <w:r w:rsidRPr="00883399">
        <w:rPr>
          <w:b/>
          <w:i/>
          <w:sz w:val="24"/>
        </w:rPr>
        <w:t xml:space="preserve">high methane emissions </w:t>
      </w:r>
      <w:r w:rsidRPr="00883399">
        <w:rPr>
          <w:sz w:val="24"/>
        </w:rPr>
        <w:t>means methane emissions that the results of a scan performed in accordance with this section indicate are equal to or greater than 500 parts per million.</w:t>
      </w:r>
    </w:p>
    <w:p w14:paraId="5C28999C" w14:textId="5F1A9ED0" w:rsidR="00872C03" w:rsidRPr="00883399" w:rsidRDefault="00872C03" w:rsidP="00872C03">
      <w:pPr>
        <w:pStyle w:val="ActHead5"/>
        <w:rPr>
          <w:sz w:val="28"/>
        </w:rPr>
      </w:pPr>
      <w:bookmarkStart w:id="1157" w:name="_Toc423517172"/>
      <w:bookmarkStart w:id="1158" w:name="_Toc495653103"/>
      <w:r w:rsidRPr="00883399">
        <w:rPr>
          <w:rStyle w:val="CharSectno"/>
          <w:sz w:val="28"/>
        </w:rPr>
        <w:t>5.17G</w:t>
      </w:r>
      <w:r w:rsidRPr="00883399">
        <w:rPr>
          <w:sz w:val="28"/>
        </w:rPr>
        <w:t xml:space="preserve">  Installation of flux boxes in representative zone</w:t>
      </w:r>
      <w:bookmarkEnd w:id="1157"/>
      <w:bookmarkEnd w:id="1158"/>
    </w:p>
    <w:p w14:paraId="1C99E64B" w14:textId="77777777" w:rsidR="00872C03" w:rsidRPr="00883399" w:rsidRDefault="00872C03" w:rsidP="00872C03">
      <w:pPr>
        <w:pStyle w:val="subsection"/>
        <w:rPr>
          <w:sz w:val="24"/>
        </w:rPr>
      </w:pPr>
      <w:r w:rsidRPr="00883399">
        <w:rPr>
          <w:sz w:val="24"/>
        </w:rPr>
        <w:tab/>
        <w:t>(1)</w:t>
      </w:r>
      <w:r w:rsidRPr="00883399">
        <w:rPr>
          <w:sz w:val="24"/>
        </w:rPr>
        <w:tab/>
        <w:t>After the walkover survey has been completed, the operator of the landfill must arrange for the installation of flux boxes in the representative zone.</w:t>
      </w:r>
    </w:p>
    <w:p w14:paraId="57247EF2" w14:textId="77777777" w:rsidR="00872C03" w:rsidRPr="00883399" w:rsidRDefault="00872C03" w:rsidP="00872C03">
      <w:pPr>
        <w:pStyle w:val="subsection"/>
        <w:rPr>
          <w:sz w:val="24"/>
        </w:rPr>
      </w:pPr>
      <w:r w:rsidRPr="00883399">
        <w:rPr>
          <w:sz w:val="24"/>
        </w:rPr>
        <w:tab/>
        <w:t>(2)</w:t>
      </w:r>
      <w:r w:rsidRPr="00883399">
        <w:rPr>
          <w:sz w:val="24"/>
        </w:rPr>
        <w:tab/>
        <w:t>The number of flux boxes must be at least the minimum number identified during the walkover survey.</w:t>
      </w:r>
    </w:p>
    <w:p w14:paraId="2E26F07E" w14:textId="77777777" w:rsidR="00872C03" w:rsidRPr="00883399" w:rsidRDefault="00872C03" w:rsidP="00872C03">
      <w:pPr>
        <w:pStyle w:val="subsection"/>
        <w:rPr>
          <w:sz w:val="24"/>
        </w:rPr>
      </w:pPr>
      <w:r w:rsidRPr="00883399">
        <w:rPr>
          <w:sz w:val="24"/>
        </w:rPr>
        <w:tab/>
        <w:t>(3)</w:t>
      </w:r>
      <w:r w:rsidRPr="00883399">
        <w:rPr>
          <w:sz w:val="24"/>
        </w:rPr>
        <w:tab/>
        <w:t>The flux boxes must be installed at the locations identified in the walkover survey.</w:t>
      </w:r>
    </w:p>
    <w:p w14:paraId="26E4DECD" w14:textId="77777777" w:rsidR="00872C03" w:rsidRPr="00883399" w:rsidRDefault="00872C03" w:rsidP="00872C03">
      <w:pPr>
        <w:pStyle w:val="subsection"/>
        <w:rPr>
          <w:sz w:val="24"/>
        </w:rPr>
      </w:pPr>
      <w:r w:rsidRPr="00883399">
        <w:rPr>
          <w:sz w:val="24"/>
        </w:rPr>
        <w:tab/>
        <w:t>(4)</w:t>
      </w:r>
      <w:r w:rsidRPr="00883399">
        <w:rPr>
          <w:sz w:val="24"/>
        </w:rPr>
        <w:tab/>
        <w:t>If the operator installs the flux boxes, the operator must ensure that an independent expert certifies, in writing, that the boxes have been correctly installed and located.</w:t>
      </w:r>
    </w:p>
    <w:p w14:paraId="35442DD3" w14:textId="77777777" w:rsidR="00872C03" w:rsidRPr="00883399" w:rsidRDefault="00872C03" w:rsidP="00872C03">
      <w:pPr>
        <w:pStyle w:val="subsection"/>
        <w:rPr>
          <w:sz w:val="24"/>
        </w:rPr>
      </w:pPr>
      <w:r w:rsidRPr="00883399">
        <w:rPr>
          <w:sz w:val="24"/>
        </w:rPr>
        <w:tab/>
        <w:t>(5)</w:t>
      </w:r>
      <w:r w:rsidRPr="00883399">
        <w:rPr>
          <w:sz w:val="24"/>
        </w:rPr>
        <w:tab/>
        <w:t>If the operator arranges for some other person to install the flux boxes, the other person must be an independent expert.</w:t>
      </w:r>
    </w:p>
    <w:p w14:paraId="139EB8D8" w14:textId="77777777" w:rsidR="00872C03" w:rsidRPr="00883399" w:rsidRDefault="00872C03" w:rsidP="00872C03">
      <w:pPr>
        <w:pStyle w:val="subsection"/>
        <w:rPr>
          <w:sz w:val="24"/>
        </w:rPr>
      </w:pPr>
      <w:r w:rsidRPr="00883399">
        <w:rPr>
          <w:sz w:val="24"/>
        </w:rPr>
        <w:tab/>
        <w:t>(6)</w:t>
      </w:r>
      <w:r w:rsidRPr="00883399">
        <w:rPr>
          <w:sz w:val="24"/>
        </w:rPr>
        <w:tab/>
        <w:t>If an independent expert identifies an area within a representative zone that has low methane emissions, the landfill operator must:</w:t>
      </w:r>
    </w:p>
    <w:p w14:paraId="4B25EAFE" w14:textId="77777777" w:rsidR="00872C03" w:rsidRPr="00883399" w:rsidRDefault="00872C03" w:rsidP="00872C03">
      <w:pPr>
        <w:pStyle w:val="paragraph"/>
        <w:rPr>
          <w:sz w:val="24"/>
        </w:rPr>
      </w:pPr>
      <w:r w:rsidRPr="00883399">
        <w:rPr>
          <w:sz w:val="24"/>
        </w:rPr>
        <w:tab/>
        <w:t>(a)</w:t>
      </w:r>
      <w:r w:rsidRPr="00883399">
        <w:rPr>
          <w:sz w:val="24"/>
        </w:rPr>
        <w:tab/>
        <w:t>calculate the methane gas flow rate of the area by using a rate of 0.01g CH</w:t>
      </w:r>
      <w:r w:rsidRPr="00883399">
        <w:rPr>
          <w:sz w:val="24"/>
          <w:vertAlign w:val="subscript"/>
        </w:rPr>
        <w:t>4</w:t>
      </w:r>
      <w:r w:rsidRPr="00883399">
        <w:rPr>
          <w:sz w:val="24"/>
        </w:rPr>
        <w:t xml:space="preserve"> per square metre per hour; or</w:t>
      </w:r>
    </w:p>
    <w:p w14:paraId="08B4F8C7" w14:textId="77777777" w:rsidR="00872C03" w:rsidRPr="00883399" w:rsidRDefault="00872C03" w:rsidP="00872C03">
      <w:pPr>
        <w:pStyle w:val="paragraph"/>
        <w:rPr>
          <w:sz w:val="24"/>
        </w:rPr>
      </w:pPr>
      <w:r w:rsidRPr="00883399">
        <w:rPr>
          <w:sz w:val="24"/>
        </w:rPr>
        <w:tab/>
        <w:t>(b)</w:t>
      </w:r>
      <w:r w:rsidRPr="00883399">
        <w:rPr>
          <w:sz w:val="24"/>
        </w:rPr>
        <w:tab/>
        <w:t>take all reasonable steps to ensure that the independent expert performs the calculation mentioned in paragraph (a).</w:t>
      </w:r>
    </w:p>
    <w:p w14:paraId="21B8B05A" w14:textId="77777777" w:rsidR="00872C03" w:rsidRPr="00883399" w:rsidRDefault="00872C03" w:rsidP="00872C03">
      <w:pPr>
        <w:pStyle w:val="subsection"/>
        <w:rPr>
          <w:sz w:val="24"/>
        </w:rPr>
      </w:pPr>
      <w:r w:rsidRPr="00883399">
        <w:rPr>
          <w:sz w:val="24"/>
        </w:rPr>
        <w:tab/>
        <w:t>(7)</w:t>
      </w:r>
      <w:r w:rsidRPr="00883399">
        <w:rPr>
          <w:sz w:val="24"/>
        </w:rPr>
        <w:tab/>
        <w:t>If an independent expert identifies an area within a representative zone that has intermediate methane emissions, the landfill operator must:</w:t>
      </w:r>
    </w:p>
    <w:p w14:paraId="4552402A" w14:textId="77777777" w:rsidR="00872C03" w:rsidRPr="00883399" w:rsidRDefault="00872C03" w:rsidP="00872C03">
      <w:pPr>
        <w:pStyle w:val="paragraph"/>
        <w:rPr>
          <w:sz w:val="24"/>
        </w:rPr>
      </w:pPr>
      <w:r w:rsidRPr="00883399">
        <w:rPr>
          <w:sz w:val="24"/>
        </w:rPr>
        <w:tab/>
        <w:t>(a)</w:t>
      </w:r>
      <w:r w:rsidRPr="00883399">
        <w:rPr>
          <w:sz w:val="24"/>
        </w:rPr>
        <w:tab/>
        <w:t>calculate the methane gas flow rate of the area by using a rate of 0.12g CH</w:t>
      </w:r>
      <w:r w:rsidRPr="00883399">
        <w:rPr>
          <w:sz w:val="24"/>
          <w:vertAlign w:val="subscript"/>
        </w:rPr>
        <w:t>4</w:t>
      </w:r>
      <w:r w:rsidRPr="00883399">
        <w:rPr>
          <w:sz w:val="24"/>
        </w:rPr>
        <w:t xml:space="preserve"> per square metre per hour; or</w:t>
      </w:r>
    </w:p>
    <w:p w14:paraId="7F74726E" w14:textId="77777777" w:rsidR="00872C03" w:rsidRPr="00883399" w:rsidRDefault="00872C03" w:rsidP="00872C03">
      <w:pPr>
        <w:pStyle w:val="paragraph"/>
        <w:rPr>
          <w:sz w:val="24"/>
        </w:rPr>
      </w:pPr>
      <w:r w:rsidRPr="00883399">
        <w:rPr>
          <w:sz w:val="24"/>
        </w:rPr>
        <w:tab/>
        <w:t>(b)</w:t>
      </w:r>
      <w:r w:rsidRPr="00883399">
        <w:rPr>
          <w:sz w:val="24"/>
        </w:rPr>
        <w:tab/>
        <w:t>take all reasonable steps to ensure that the independent expert performs the calculation mentioned in paragraph (a).</w:t>
      </w:r>
    </w:p>
    <w:p w14:paraId="3156EABC" w14:textId="77777777" w:rsidR="00872C03" w:rsidRPr="00883399" w:rsidRDefault="00872C03" w:rsidP="00872C03">
      <w:pPr>
        <w:pStyle w:val="subsection"/>
        <w:rPr>
          <w:sz w:val="24"/>
        </w:rPr>
      </w:pPr>
      <w:r w:rsidRPr="00883399">
        <w:rPr>
          <w:sz w:val="24"/>
        </w:rPr>
        <w:tab/>
        <w:t>(8)</w:t>
      </w:r>
      <w:r w:rsidRPr="00883399">
        <w:rPr>
          <w:sz w:val="24"/>
        </w:rPr>
        <w:tab/>
        <w:t>If an independent expert identifies an area within a representative zone that has elevated methane emissions, the landfill operator must:</w:t>
      </w:r>
    </w:p>
    <w:p w14:paraId="6E78030A" w14:textId="77777777" w:rsidR="00872C03" w:rsidRPr="00883399" w:rsidRDefault="00872C03" w:rsidP="00872C03">
      <w:pPr>
        <w:pStyle w:val="paragraph"/>
        <w:rPr>
          <w:sz w:val="24"/>
        </w:rPr>
      </w:pPr>
      <w:r w:rsidRPr="00883399">
        <w:rPr>
          <w:sz w:val="24"/>
        </w:rPr>
        <w:lastRenderedPageBreak/>
        <w:tab/>
        <w:t>(a)</w:t>
      </w:r>
      <w:r w:rsidRPr="00883399">
        <w:rPr>
          <w:sz w:val="24"/>
        </w:rPr>
        <w:tab/>
        <w:t>calculate the methane gas flow rate for the area by using a rate of 4.3 g CH</w:t>
      </w:r>
      <w:r w:rsidRPr="00883399">
        <w:rPr>
          <w:sz w:val="24"/>
          <w:vertAlign w:val="subscript"/>
        </w:rPr>
        <w:t xml:space="preserve">4 </w:t>
      </w:r>
      <w:r w:rsidRPr="00883399">
        <w:rPr>
          <w:sz w:val="24"/>
        </w:rPr>
        <w:t>per square metre per hour; or</w:t>
      </w:r>
    </w:p>
    <w:p w14:paraId="0D19812F" w14:textId="77777777" w:rsidR="00872C03" w:rsidRPr="00883399" w:rsidRDefault="00872C03" w:rsidP="00872C03">
      <w:pPr>
        <w:pStyle w:val="paragraph"/>
        <w:rPr>
          <w:sz w:val="24"/>
        </w:rPr>
      </w:pPr>
      <w:r w:rsidRPr="00883399">
        <w:rPr>
          <w:sz w:val="24"/>
        </w:rPr>
        <w:tab/>
        <w:t>(b)</w:t>
      </w:r>
      <w:r w:rsidRPr="00883399">
        <w:rPr>
          <w:sz w:val="24"/>
        </w:rPr>
        <w:tab/>
        <w:t>take all reasonable steps to ensure that the independent expert performs the calculation mentioned in paragraph (a); or</w:t>
      </w:r>
    </w:p>
    <w:p w14:paraId="267DA6F1" w14:textId="77777777" w:rsidR="00872C03" w:rsidRPr="00883399" w:rsidRDefault="00872C03" w:rsidP="00872C03">
      <w:pPr>
        <w:pStyle w:val="paragraph"/>
        <w:rPr>
          <w:sz w:val="24"/>
        </w:rPr>
      </w:pPr>
      <w:r w:rsidRPr="00883399">
        <w:rPr>
          <w:sz w:val="24"/>
        </w:rPr>
        <w:tab/>
        <w:t>(c)</w:t>
      </w:r>
      <w:r w:rsidRPr="00883399">
        <w:rPr>
          <w:sz w:val="24"/>
        </w:rPr>
        <w:tab/>
        <w:t>take all reasonable steps to ensure that the independent expert works out the minimum number of flux boxes for the area by using the following formula:</w:t>
      </w:r>
    </w:p>
    <w:p w14:paraId="3D7A2E3D" w14:textId="1238B875" w:rsidR="00872C03" w:rsidRPr="00883399" w:rsidRDefault="00872C03" w:rsidP="00872C03">
      <w:pPr>
        <w:pStyle w:val="paragraph"/>
        <w:spacing w:before="120" w:after="120"/>
        <w:rPr>
          <w:sz w:val="24"/>
        </w:rPr>
      </w:pPr>
      <w:r w:rsidRPr="00883399">
        <w:rPr>
          <w:sz w:val="24"/>
        </w:rPr>
        <w:tab/>
      </w:r>
      <w:r w:rsidRPr="00883399">
        <w:rPr>
          <w:sz w:val="24"/>
        </w:rPr>
        <w:tab/>
      </w:r>
      <w:r w:rsidRPr="00883399">
        <w:rPr>
          <w:noProof/>
          <w:sz w:val="24"/>
        </w:rPr>
        <w:drawing>
          <wp:inline distT="0" distB="0" distL="0" distR="0" wp14:anchorId="5E5FD68F" wp14:editId="1DB71E38">
            <wp:extent cx="985520" cy="213995"/>
            <wp:effectExtent l="0" t="0" r="508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72"/>
                    <a:srcRect/>
                    <a:stretch>
                      <a:fillRect/>
                    </a:stretch>
                  </pic:blipFill>
                  <pic:spPr bwMode="auto">
                    <a:xfrm>
                      <a:off x="0" y="0"/>
                      <a:ext cx="985520" cy="213995"/>
                    </a:xfrm>
                    <a:prstGeom prst="rect">
                      <a:avLst/>
                    </a:prstGeom>
                    <a:noFill/>
                    <a:ln w="9525">
                      <a:noFill/>
                      <a:miter lim="800000"/>
                      <a:headEnd/>
                      <a:tailEnd/>
                    </a:ln>
                  </pic:spPr>
                </pic:pic>
              </a:graphicData>
            </a:graphic>
          </wp:inline>
        </w:drawing>
      </w:r>
    </w:p>
    <w:p w14:paraId="134CA6F7" w14:textId="77777777" w:rsidR="00872C03" w:rsidRPr="00883399" w:rsidRDefault="00872C03" w:rsidP="00872C03">
      <w:pPr>
        <w:pStyle w:val="subsection2"/>
        <w:rPr>
          <w:sz w:val="24"/>
        </w:rPr>
      </w:pPr>
      <w:r w:rsidRPr="00883399">
        <w:rPr>
          <w:sz w:val="24"/>
        </w:rPr>
        <w:t>where:</w:t>
      </w:r>
    </w:p>
    <w:p w14:paraId="7EAE0C2C" w14:textId="77777777" w:rsidR="00872C03" w:rsidRPr="00883399" w:rsidRDefault="00872C03" w:rsidP="00872C03">
      <w:pPr>
        <w:pStyle w:val="Definition0"/>
        <w:rPr>
          <w:sz w:val="24"/>
        </w:rPr>
      </w:pPr>
      <w:r w:rsidRPr="00883399">
        <w:rPr>
          <w:b/>
          <w:i/>
          <w:sz w:val="24"/>
        </w:rPr>
        <w:t xml:space="preserve">Z </w:t>
      </w:r>
      <w:r w:rsidRPr="00883399">
        <w:rPr>
          <w:sz w:val="24"/>
        </w:rPr>
        <w:t>is the size of the area within the representative zone that has elevated methane emissions, measured in square metres.</w:t>
      </w:r>
    </w:p>
    <w:p w14:paraId="7615E7E5" w14:textId="77777777" w:rsidR="00872C03" w:rsidRPr="00883399" w:rsidRDefault="00872C03" w:rsidP="00872C03">
      <w:pPr>
        <w:pStyle w:val="subsection"/>
        <w:rPr>
          <w:sz w:val="24"/>
        </w:rPr>
      </w:pPr>
      <w:r w:rsidRPr="00883399">
        <w:rPr>
          <w:sz w:val="24"/>
        </w:rPr>
        <w:tab/>
        <w:t>(9)</w:t>
      </w:r>
      <w:r w:rsidRPr="00883399">
        <w:rPr>
          <w:sz w:val="24"/>
        </w:rPr>
        <w:tab/>
        <w:t>If an independent expert identifies an area within a representative zone that has high methane emissions, the landfill operator must:</w:t>
      </w:r>
    </w:p>
    <w:p w14:paraId="416E3C65" w14:textId="77777777" w:rsidR="00872C03" w:rsidRPr="00883399" w:rsidRDefault="00872C03" w:rsidP="00872C03">
      <w:pPr>
        <w:pStyle w:val="paragraph"/>
        <w:rPr>
          <w:sz w:val="24"/>
        </w:rPr>
      </w:pPr>
      <w:r w:rsidRPr="00883399">
        <w:rPr>
          <w:sz w:val="24"/>
        </w:rPr>
        <w:tab/>
        <w:t>(a)</w:t>
      </w:r>
      <w:r w:rsidRPr="00883399">
        <w:rPr>
          <w:sz w:val="24"/>
        </w:rPr>
        <w:tab/>
        <w:t>calculate the methane gas flow rate of the area by using a rate of 75 g CH</w:t>
      </w:r>
      <w:r w:rsidRPr="00883399">
        <w:rPr>
          <w:sz w:val="24"/>
          <w:vertAlign w:val="subscript"/>
        </w:rPr>
        <w:t xml:space="preserve">4 </w:t>
      </w:r>
      <w:r w:rsidRPr="00883399">
        <w:rPr>
          <w:sz w:val="24"/>
        </w:rPr>
        <w:t>per square metre per hour; or</w:t>
      </w:r>
    </w:p>
    <w:p w14:paraId="3D0FC070" w14:textId="77777777" w:rsidR="00872C03" w:rsidRPr="00883399" w:rsidRDefault="00872C03" w:rsidP="00872C03">
      <w:pPr>
        <w:pStyle w:val="paragraph"/>
        <w:rPr>
          <w:sz w:val="24"/>
        </w:rPr>
      </w:pPr>
      <w:r w:rsidRPr="00883399">
        <w:rPr>
          <w:sz w:val="24"/>
        </w:rPr>
        <w:tab/>
        <w:t>(b)</w:t>
      </w:r>
      <w:r w:rsidRPr="00883399">
        <w:rPr>
          <w:sz w:val="24"/>
        </w:rPr>
        <w:tab/>
        <w:t>take all reasonable steps to ensure that the independent expert performs the calculation mentioned in paragraph (a); or</w:t>
      </w:r>
    </w:p>
    <w:p w14:paraId="2056690C" w14:textId="77777777" w:rsidR="00872C03" w:rsidRPr="00883399" w:rsidRDefault="00872C03" w:rsidP="00872C03">
      <w:pPr>
        <w:pStyle w:val="paragraph"/>
        <w:rPr>
          <w:sz w:val="24"/>
        </w:rPr>
      </w:pPr>
      <w:r w:rsidRPr="00883399">
        <w:rPr>
          <w:sz w:val="24"/>
        </w:rPr>
        <w:tab/>
        <w:t>(c)</w:t>
      </w:r>
      <w:r w:rsidRPr="00883399">
        <w:rPr>
          <w:sz w:val="24"/>
        </w:rPr>
        <w:tab/>
        <w:t>take all reasonable steps to ensure that the independent expert works out the minimum number of flux boxes for the area by using the following formula:</w:t>
      </w:r>
    </w:p>
    <w:p w14:paraId="2E08BB77" w14:textId="25AE395E" w:rsidR="00872C03" w:rsidRPr="00883399" w:rsidRDefault="00872C03" w:rsidP="00872C03">
      <w:pPr>
        <w:pStyle w:val="paragraph"/>
        <w:spacing w:before="120" w:after="120"/>
        <w:rPr>
          <w:sz w:val="24"/>
        </w:rPr>
      </w:pPr>
      <w:r w:rsidRPr="00883399">
        <w:rPr>
          <w:sz w:val="24"/>
        </w:rPr>
        <w:tab/>
      </w:r>
      <w:r w:rsidRPr="00883399">
        <w:rPr>
          <w:sz w:val="24"/>
        </w:rPr>
        <w:tab/>
      </w:r>
      <w:r w:rsidRPr="00883399">
        <w:rPr>
          <w:noProof/>
          <w:sz w:val="24"/>
        </w:rPr>
        <w:drawing>
          <wp:inline distT="0" distB="0" distL="0" distR="0" wp14:anchorId="150EFDE6" wp14:editId="7B2F12D4">
            <wp:extent cx="985520" cy="213995"/>
            <wp:effectExtent l="0" t="0" r="508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73"/>
                    <a:srcRect/>
                    <a:stretch>
                      <a:fillRect/>
                    </a:stretch>
                  </pic:blipFill>
                  <pic:spPr bwMode="auto">
                    <a:xfrm>
                      <a:off x="0" y="0"/>
                      <a:ext cx="985520" cy="213995"/>
                    </a:xfrm>
                    <a:prstGeom prst="rect">
                      <a:avLst/>
                    </a:prstGeom>
                    <a:noFill/>
                    <a:ln w="9525">
                      <a:noFill/>
                      <a:miter lim="800000"/>
                      <a:headEnd/>
                      <a:tailEnd/>
                    </a:ln>
                  </pic:spPr>
                </pic:pic>
              </a:graphicData>
            </a:graphic>
          </wp:inline>
        </w:drawing>
      </w:r>
    </w:p>
    <w:p w14:paraId="200C905C" w14:textId="77777777" w:rsidR="00872C03" w:rsidRPr="00883399" w:rsidRDefault="00872C03" w:rsidP="00872C03">
      <w:pPr>
        <w:pStyle w:val="subsection2"/>
        <w:rPr>
          <w:sz w:val="24"/>
        </w:rPr>
      </w:pPr>
      <w:r w:rsidRPr="00883399">
        <w:rPr>
          <w:sz w:val="24"/>
        </w:rPr>
        <w:t>where:</w:t>
      </w:r>
    </w:p>
    <w:p w14:paraId="1D0AE1E1" w14:textId="77777777" w:rsidR="00872C03" w:rsidRPr="00883399" w:rsidRDefault="00872C03" w:rsidP="00872C03">
      <w:pPr>
        <w:pStyle w:val="Definition0"/>
        <w:rPr>
          <w:sz w:val="24"/>
        </w:rPr>
      </w:pPr>
      <w:r w:rsidRPr="00883399">
        <w:rPr>
          <w:b/>
          <w:i/>
          <w:sz w:val="24"/>
        </w:rPr>
        <w:t xml:space="preserve">Z </w:t>
      </w:r>
      <w:r w:rsidRPr="00883399">
        <w:rPr>
          <w:sz w:val="24"/>
        </w:rPr>
        <w:t>is the size of the area within the representative zone that has high methane emissions, measured in square metres.</w:t>
      </w:r>
    </w:p>
    <w:p w14:paraId="45884104" w14:textId="77777777" w:rsidR="00872C03" w:rsidRPr="00883399" w:rsidRDefault="00872C03" w:rsidP="00872C03">
      <w:pPr>
        <w:pStyle w:val="subsection"/>
        <w:rPr>
          <w:sz w:val="24"/>
        </w:rPr>
      </w:pPr>
      <w:r w:rsidRPr="00883399">
        <w:rPr>
          <w:sz w:val="24"/>
        </w:rPr>
        <w:tab/>
        <w:t>(10)</w:t>
      </w:r>
      <w:r w:rsidRPr="00883399">
        <w:rPr>
          <w:sz w:val="24"/>
        </w:rPr>
        <w:tab/>
        <w:t>In this section:</w:t>
      </w:r>
    </w:p>
    <w:p w14:paraId="17330CD9" w14:textId="77777777" w:rsidR="00872C03" w:rsidRPr="00883399" w:rsidRDefault="00872C03" w:rsidP="00872C03">
      <w:pPr>
        <w:pStyle w:val="Definition0"/>
        <w:rPr>
          <w:sz w:val="24"/>
        </w:rPr>
      </w:pPr>
      <w:r w:rsidRPr="00883399">
        <w:rPr>
          <w:b/>
          <w:i/>
          <w:sz w:val="24"/>
        </w:rPr>
        <w:t xml:space="preserve">low methane emissions </w:t>
      </w:r>
      <w:r w:rsidRPr="00883399">
        <w:rPr>
          <w:sz w:val="24"/>
        </w:rPr>
        <w:t>means methane emissions that the results of a scan performed in accordance with this section indicate are equal to or less than 50 parts per million.</w:t>
      </w:r>
    </w:p>
    <w:p w14:paraId="1C80A4DF" w14:textId="77777777" w:rsidR="00872C03" w:rsidRPr="00883399" w:rsidRDefault="00872C03" w:rsidP="00872C03">
      <w:pPr>
        <w:pStyle w:val="Definition0"/>
        <w:rPr>
          <w:sz w:val="24"/>
        </w:rPr>
      </w:pPr>
      <w:r w:rsidRPr="00883399">
        <w:rPr>
          <w:b/>
          <w:i/>
          <w:sz w:val="24"/>
        </w:rPr>
        <w:t xml:space="preserve">intermediate methane emissions </w:t>
      </w:r>
      <w:r w:rsidRPr="00883399">
        <w:rPr>
          <w:sz w:val="24"/>
        </w:rPr>
        <w:t>means emissions that the results of a scan performed in accordance with this section indicate are greater than 50 parts per million and equal to or less than 100 parts per million.</w:t>
      </w:r>
    </w:p>
    <w:p w14:paraId="0E41AFCB" w14:textId="77777777" w:rsidR="00872C03" w:rsidRPr="00883399" w:rsidRDefault="00872C03" w:rsidP="00872C03">
      <w:pPr>
        <w:pStyle w:val="Definition0"/>
        <w:rPr>
          <w:sz w:val="24"/>
        </w:rPr>
      </w:pPr>
      <w:r w:rsidRPr="00883399">
        <w:rPr>
          <w:b/>
          <w:i/>
          <w:sz w:val="24"/>
        </w:rPr>
        <w:t xml:space="preserve">elevated methane emissions </w:t>
      </w:r>
      <w:r w:rsidRPr="00883399">
        <w:rPr>
          <w:sz w:val="24"/>
        </w:rPr>
        <w:t>means methane emissions that the results of a scan performed in accordance with this section indicate are greater than 100 parts per million and less than 500 parts per million.</w:t>
      </w:r>
    </w:p>
    <w:p w14:paraId="0901BBBE" w14:textId="77777777" w:rsidR="00872C03" w:rsidRPr="00883399" w:rsidRDefault="00872C03" w:rsidP="00872C03">
      <w:pPr>
        <w:pStyle w:val="Definition0"/>
        <w:rPr>
          <w:sz w:val="24"/>
        </w:rPr>
      </w:pPr>
      <w:r w:rsidRPr="00883399">
        <w:rPr>
          <w:b/>
          <w:i/>
          <w:sz w:val="24"/>
        </w:rPr>
        <w:lastRenderedPageBreak/>
        <w:t xml:space="preserve">high methane emissions </w:t>
      </w:r>
      <w:r w:rsidRPr="00883399">
        <w:rPr>
          <w:sz w:val="24"/>
        </w:rPr>
        <w:t>means methane emissions that the results of a scan performed in accordance with this section indicate are equal to or greater than 500 parts per million.</w:t>
      </w:r>
    </w:p>
    <w:p w14:paraId="228C15F5" w14:textId="66364F97" w:rsidR="00872C03" w:rsidRPr="00883399" w:rsidRDefault="00872C03" w:rsidP="00872C03">
      <w:pPr>
        <w:pStyle w:val="ActHead5"/>
        <w:rPr>
          <w:sz w:val="28"/>
        </w:rPr>
      </w:pPr>
      <w:bookmarkStart w:id="1159" w:name="_Toc423517173"/>
      <w:bookmarkStart w:id="1160" w:name="_Toc495653104"/>
      <w:r w:rsidRPr="00883399">
        <w:rPr>
          <w:rStyle w:val="CharSectno"/>
          <w:sz w:val="28"/>
        </w:rPr>
        <w:t>5.17H</w:t>
      </w:r>
      <w:r w:rsidRPr="00883399">
        <w:rPr>
          <w:sz w:val="28"/>
        </w:rPr>
        <w:t xml:space="preserve">  Flux box measurements</w:t>
      </w:r>
      <w:bookmarkEnd w:id="1159"/>
      <w:bookmarkEnd w:id="1160"/>
    </w:p>
    <w:p w14:paraId="733318BD" w14:textId="77777777" w:rsidR="00872C03" w:rsidRPr="00883399" w:rsidRDefault="00872C03" w:rsidP="00872C03">
      <w:pPr>
        <w:pStyle w:val="subsection"/>
        <w:rPr>
          <w:sz w:val="24"/>
        </w:rPr>
      </w:pPr>
      <w:r w:rsidRPr="00883399">
        <w:rPr>
          <w:sz w:val="24"/>
        </w:rPr>
        <w:tab/>
        <w:t>(1)</w:t>
      </w:r>
      <w:r w:rsidRPr="00883399">
        <w:rPr>
          <w:sz w:val="24"/>
        </w:rPr>
        <w:tab/>
        <w:t>After the flux boxes have been installed in the representative zone, the operator must:</w:t>
      </w:r>
    </w:p>
    <w:p w14:paraId="0A490878" w14:textId="77777777" w:rsidR="00872C03" w:rsidRPr="00883399" w:rsidRDefault="00872C03" w:rsidP="00872C03">
      <w:pPr>
        <w:pStyle w:val="paragraph"/>
        <w:rPr>
          <w:sz w:val="24"/>
        </w:rPr>
      </w:pPr>
      <w:r w:rsidRPr="00883399">
        <w:rPr>
          <w:sz w:val="24"/>
        </w:rPr>
        <w:tab/>
        <w:t>(a)</w:t>
      </w:r>
      <w:r w:rsidRPr="00883399">
        <w:rPr>
          <w:sz w:val="24"/>
        </w:rPr>
        <w:tab/>
        <w:t>measure the flow of methane in each flux box and arrange for an independent expert to certify, in writing, that the measurements are accurate and were correctly measured; or</w:t>
      </w:r>
    </w:p>
    <w:p w14:paraId="2ED6962C" w14:textId="77777777" w:rsidR="00872C03" w:rsidRPr="00883399" w:rsidRDefault="00872C03" w:rsidP="00872C03">
      <w:pPr>
        <w:pStyle w:val="paragraph"/>
        <w:rPr>
          <w:sz w:val="24"/>
        </w:rPr>
      </w:pPr>
      <w:r w:rsidRPr="00883399">
        <w:rPr>
          <w:sz w:val="24"/>
        </w:rPr>
        <w:tab/>
        <w:t>(b)</w:t>
      </w:r>
      <w:r w:rsidRPr="00883399">
        <w:rPr>
          <w:sz w:val="24"/>
        </w:rPr>
        <w:tab/>
        <w:t>arrange for an independent expert to take the measurements.</w:t>
      </w:r>
    </w:p>
    <w:p w14:paraId="794BE0C2" w14:textId="77777777" w:rsidR="00872C03" w:rsidRPr="00883399" w:rsidRDefault="00872C03" w:rsidP="00872C03">
      <w:pPr>
        <w:pStyle w:val="notetext"/>
        <w:rPr>
          <w:sz w:val="20"/>
        </w:rPr>
      </w:pPr>
      <w:r w:rsidRPr="00883399">
        <w:rPr>
          <w:sz w:val="20"/>
        </w:rPr>
        <w:t>Note:</w:t>
      </w:r>
      <w:r w:rsidRPr="00883399">
        <w:rPr>
          <w:sz w:val="20"/>
        </w:rPr>
        <w:tab/>
        <w:t xml:space="preserve">AS/NZS 4323.4—2009 and the publication entitled </w:t>
      </w:r>
      <w:r w:rsidRPr="00883399">
        <w:rPr>
          <w:i/>
          <w:sz w:val="20"/>
        </w:rPr>
        <w:t xml:space="preserve">Guidance on monitoring landfill gas surface emissions </w:t>
      </w:r>
      <w:r w:rsidRPr="00883399">
        <w:rPr>
          <w:sz w:val="20"/>
        </w:rPr>
        <w:t>published by the Environment Agency of the United Kingdom in September 2004 contain guidance on how to take measurements in flux boxes.</w:t>
      </w:r>
    </w:p>
    <w:p w14:paraId="6EFA7D51" w14:textId="77777777" w:rsidR="006C7995" w:rsidRPr="00883399" w:rsidRDefault="006C7995" w:rsidP="006C7995">
      <w:pPr>
        <w:pStyle w:val="Note"/>
        <w:spacing w:before="240" w:line="312" w:lineRule="auto"/>
        <w:ind w:left="0"/>
        <w:jc w:val="left"/>
        <w:outlineLvl w:val="0"/>
        <w:rPr>
          <w:rFonts w:ascii="Arial" w:hAnsi="Arial" w:cs="Arial"/>
          <w:b/>
          <w:i/>
          <w:sz w:val="22"/>
          <w:szCs w:val="22"/>
        </w:rPr>
      </w:pPr>
      <w:r w:rsidRPr="00883399">
        <w:rPr>
          <w:rFonts w:ascii="Arial" w:hAnsi="Arial" w:cs="Arial"/>
          <w:b/>
          <w:i/>
          <w:sz w:val="22"/>
          <w:szCs w:val="22"/>
        </w:rPr>
        <w:t>Expert reports on emission measurements</w:t>
      </w:r>
    </w:p>
    <w:p w14:paraId="1AA67C99" w14:textId="77777777" w:rsidR="006C7995" w:rsidRPr="00883399" w:rsidRDefault="006C7995" w:rsidP="006C7995">
      <w:pPr>
        <w:pStyle w:val="R2"/>
        <w:keepLines w:val="0"/>
        <w:spacing w:before="240" w:line="312" w:lineRule="auto"/>
        <w:ind w:left="0" w:firstLine="0"/>
        <w:jc w:val="left"/>
        <w:rPr>
          <w:rFonts w:ascii="Arial" w:hAnsi="Arial" w:cs="Arial"/>
          <w:sz w:val="22"/>
          <w:szCs w:val="22"/>
        </w:rPr>
      </w:pPr>
      <w:r w:rsidRPr="00883399">
        <w:rPr>
          <w:rFonts w:ascii="Arial" w:hAnsi="Arial" w:cs="Arial"/>
          <w:sz w:val="22"/>
          <w:szCs w:val="22"/>
        </w:rPr>
        <w:tab/>
        <w:t>The operator of the facility must enter into a written agreement with the expert, which may be by an exchange of letters, specifying the terms governing the preparation of a report on the estimation of emissions from the representative zone.</w:t>
      </w:r>
    </w:p>
    <w:p w14:paraId="0006A9EA" w14:textId="77777777" w:rsidR="006C7995" w:rsidRPr="00883399" w:rsidRDefault="006C7995" w:rsidP="006C7995">
      <w:pPr>
        <w:pStyle w:val="R2"/>
        <w:keepLines w:val="0"/>
        <w:spacing w:before="240" w:line="312" w:lineRule="auto"/>
        <w:ind w:left="0" w:firstLine="0"/>
        <w:jc w:val="left"/>
        <w:rPr>
          <w:rFonts w:ascii="Arial" w:hAnsi="Arial" w:cs="Arial"/>
          <w:sz w:val="22"/>
          <w:szCs w:val="22"/>
        </w:rPr>
      </w:pPr>
      <w:r w:rsidRPr="00883399">
        <w:rPr>
          <w:rFonts w:ascii="Arial" w:hAnsi="Arial" w:cs="Arial"/>
          <w:sz w:val="22"/>
          <w:szCs w:val="22"/>
        </w:rPr>
        <w:tab/>
        <w:t xml:space="preserve">The written report must contain all information which the operator and others likely to rely on the report would reasonably require, and reasonably expect to find in the report, for the purpose of making an informed decision about the estimated emissions from the representative zone. The report must include: </w:t>
      </w:r>
    </w:p>
    <w:p w14:paraId="1AB12F8E" w14:textId="77777777" w:rsidR="006C7995" w:rsidRPr="00883399" w:rsidRDefault="006C7995" w:rsidP="006C7995">
      <w:pPr>
        <w:pStyle w:val="Note"/>
        <w:tabs>
          <w:tab w:val="left" w:pos="851"/>
        </w:tabs>
        <w:spacing w:before="240" w:line="312" w:lineRule="auto"/>
        <w:ind w:left="851" w:hanging="425"/>
        <w:jc w:val="left"/>
        <w:rPr>
          <w:rFonts w:ascii="Arial" w:hAnsi="Arial" w:cs="Arial"/>
          <w:sz w:val="22"/>
          <w:szCs w:val="22"/>
        </w:rPr>
      </w:pPr>
      <w:r w:rsidRPr="00883399">
        <w:rPr>
          <w:rFonts w:ascii="Arial" w:hAnsi="Arial" w:cs="Arial"/>
          <w:sz w:val="22"/>
          <w:szCs w:val="22"/>
        </w:rPr>
        <w:t xml:space="preserve">(a) </w:t>
      </w:r>
      <w:r w:rsidRPr="00883399">
        <w:rPr>
          <w:rFonts w:ascii="Arial" w:hAnsi="Arial" w:cs="Arial"/>
          <w:sz w:val="22"/>
          <w:szCs w:val="22"/>
        </w:rPr>
        <w:tab/>
        <w:t>sufficient information about the method(s) used to conduct the walkover and flux box surveys so that another expert could understand the procedures used and analyses undertaken. This information must include:</w:t>
      </w:r>
    </w:p>
    <w:p w14:paraId="1A7A213F" w14:textId="77777777" w:rsidR="006C7995" w:rsidRPr="00883399" w:rsidRDefault="006C7995" w:rsidP="00D94C95">
      <w:pPr>
        <w:pStyle w:val="Note"/>
        <w:numPr>
          <w:ilvl w:val="0"/>
          <w:numId w:val="38"/>
        </w:numPr>
        <w:tabs>
          <w:tab w:val="left" w:pos="851"/>
        </w:tabs>
        <w:spacing w:before="240" w:line="360" w:lineRule="auto"/>
        <w:ind w:left="1570" w:hanging="357"/>
        <w:jc w:val="left"/>
        <w:rPr>
          <w:rFonts w:ascii="Arial" w:hAnsi="Arial" w:cs="Arial"/>
          <w:sz w:val="22"/>
          <w:szCs w:val="22"/>
        </w:rPr>
      </w:pPr>
      <w:bookmarkStart w:id="1161" w:name="tempbookmark"/>
      <w:bookmarkEnd w:id="1161"/>
      <w:r w:rsidRPr="00883399">
        <w:rPr>
          <w:rFonts w:ascii="Arial" w:hAnsi="Arial" w:cs="Arial"/>
          <w:sz w:val="22"/>
          <w:szCs w:val="22"/>
        </w:rPr>
        <w:t>a description of the precise boundaries of the representative zone, and of any recalculations to the estimated boundaries made by the expert for the conduct of the flux box test;</w:t>
      </w:r>
    </w:p>
    <w:p w14:paraId="5A5A3A0D" w14:textId="77777777" w:rsidR="006C7995" w:rsidRPr="00883399" w:rsidRDefault="006C7995" w:rsidP="00D94C95">
      <w:pPr>
        <w:pStyle w:val="Note"/>
        <w:numPr>
          <w:ilvl w:val="0"/>
          <w:numId w:val="38"/>
        </w:numPr>
        <w:tabs>
          <w:tab w:val="left" w:pos="851"/>
        </w:tabs>
        <w:spacing w:before="240" w:line="360" w:lineRule="auto"/>
        <w:ind w:left="1570" w:hanging="357"/>
        <w:jc w:val="left"/>
        <w:rPr>
          <w:rFonts w:ascii="Arial" w:hAnsi="Arial" w:cs="Arial"/>
          <w:sz w:val="22"/>
          <w:szCs w:val="22"/>
        </w:rPr>
      </w:pPr>
      <w:r w:rsidRPr="00883399">
        <w:rPr>
          <w:rFonts w:ascii="Arial" w:hAnsi="Arial" w:cs="Arial"/>
          <w:sz w:val="22"/>
          <w:szCs w:val="22"/>
        </w:rPr>
        <w:t>a description of the facility and any features which may have affected placement of flux boxes;</w:t>
      </w:r>
    </w:p>
    <w:p w14:paraId="5271E3D8" w14:textId="77777777" w:rsidR="006C7995" w:rsidRPr="00883399" w:rsidRDefault="006C7995" w:rsidP="00D94C95">
      <w:pPr>
        <w:pStyle w:val="Note"/>
        <w:numPr>
          <w:ilvl w:val="0"/>
          <w:numId w:val="38"/>
        </w:numPr>
        <w:tabs>
          <w:tab w:val="left" w:pos="851"/>
        </w:tabs>
        <w:spacing w:before="240" w:line="360" w:lineRule="auto"/>
        <w:ind w:left="1570" w:hanging="357"/>
        <w:jc w:val="left"/>
        <w:rPr>
          <w:rFonts w:ascii="Arial" w:hAnsi="Arial" w:cs="Arial"/>
          <w:sz w:val="22"/>
          <w:szCs w:val="22"/>
        </w:rPr>
      </w:pPr>
      <w:r w:rsidRPr="00883399">
        <w:rPr>
          <w:rFonts w:ascii="Arial" w:hAnsi="Arial" w:cs="Arial"/>
          <w:sz w:val="22"/>
          <w:szCs w:val="22"/>
        </w:rPr>
        <w:t>dates and times at which measurements were undertaken;</w:t>
      </w:r>
    </w:p>
    <w:p w14:paraId="763EB2D4" w14:textId="77777777" w:rsidR="006C7995" w:rsidRPr="00883399" w:rsidRDefault="006C7995" w:rsidP="00D94C95">
      <w:pPr>
        <w:pStyle w:val="Note"/>
        <w:numPr>
          <w:ilvl w:val="0"/>
          <w:numId w:val="38"/>
        </w:numPr>
        <w:tabs>
          <w:tab w:val="left" w:pos="851"/>
        </w:tabs>
        <w:spacing w:before="240" w:line="360" w:lineRule="auto"/>
        <w:ind w:left="1570" w:hanging="357"/>
        <w:jc w:val="left"/>
        <w:rPr>
          <w:rFonts w:ascii="Arial" w:hAnsi="Arial" w:cs="Arial"/>
          <w:sz w:val="22"/>
          <w:szCs w:val="22"/>
        </w:rPr>
      </w:pPr>
      <w:r w:rsidRPr="00883399">
        <w:rPr>
          <w:rFonts w:ascii="Arial" w:hAnsi="Arial" w:cs="Arial"/>
          <w:sz w:val="22"/>
          <w:szCs w:val="22"/>
        </w:rPr>
        <w:lastRenderedPageBreak/>
        <w:t xml:space="preserve">details about the precise location of flux boxes operated for the measurement process and any relevant information that may have affected the placement of the flux boxes; </w:t>
      </w:r>
    </w:p>
    <w:p w14:paraId="5E5F554B" w14:textId="77777777" w:rsidR="006C7995" w:rsidRPr="00883399" w:rsidRDefault="006C7995" w:rsidP="006C7995">
      <w:pPr>
        <w:pStyle w:val="Note"/>
        <w:spacing w:before="240" w:line="312" w:lineRule="auto"/>
        <w:ind w:left="851" w:hanging="425"/>
        <w:jc w:val="left"/>
        <w:rPr>
          <w:rFonts w:ascii="Arial" w:hAnsi="Arial" w:cs="Arial"/>
          <w:sz w:val="22"/>
          <w:szCs w:val="22"/>
        </w:rPr>
      </w:pPr>
      <w:r w:rsidRPr="00883399">
        <w:rPr>
          <w:rFonts w:ascii="Arial" w:hAnsi="Arial" w:cs="Arial"/>
          <w:sz w:val="22"/>
          <w:szCs w:val="22"/>
        </w:rPr>
        <w:t xml:space="preserve">(b) </w:t>
      </w:r>
      <w:r w:rsidRPr="00883399">
        <w:rPr>
          <w:rFonts w:ascii="Arial" w:hAnsi="Arial" w:cs="Arial"/>
          <w:sz w:val="22"/>
          <w:szCs w:val="22"/>
        </w:rPr>
        <w:tab/>
        <w:t>sufficient information about the results obtained so that another expert could understand the procedures used and replicate the estimates. This information must include:</w:t>
      </w:r>
    </w:p>
    <w:p w14:paraId="0A57F5D7" w14:textId="77777777" w:rsidR="006C7995" w:rsidRPr="00883399" w:rsidRDefault="006C7995" w:rsidP="006C7995">
      <w:pPr>
        <w:pStyle w:val="Note"/>
        <w:numPr>
          <w:ilvl w:val="0"/>
          <w:numId w:val="38"/>
        </w:numPr>
        <w:tabs>
          <w:tab w:val="left" w:pos="851"/>
        </w:tabs>
        <w:spacing w:before="240" w:line="312" w:lineRule="auto"/>
        <w:jc w:val="left"/>
        <w:rPr>
          <w:rFonts w:ascii="Arial" w:hAnsi="Arial" w:cs="Arial"/>
          <w:sz w:val="22"/>
          <w:szCs w:val="22"/>
        </w:rPr>
      </w:pPr>
      <w:r w:rsidRPr="00883399">
        <w:rPr>
          <w:rFonts w:ascii="Arial" w:hAnsi="Arial" w:cs="Arial"/>
          <w:sz w:val="22"/>
          <w:szCs w:val="22"/>
        </w:rPr>
        <w:t xml:space="preserve">data on all measurements undertaken, and methods used to determine a gas flow rate estimate at individual flux boxes; and  </w:t>
      </w:r>
    </w:p>
    <w:p w14:paraId="6B7EF98B" w14:textId="77777777" w:rsidR="006C7995" w:rsidRPr="00883399" w:rsidRDefault="006C7995" w:rsidP="006C7995">
      <w:pPr>
        <w:pStyle w:val="Note"/>
        <w:numPr>
          <w:ilvl w:val="0"/>
          <w:numId w:val="38"/>
        </w:numPr>
        <w:tabs>
          <w:tab w:val="left" w:pos="851"/>
        </w:tabs>
        <w:spacing w:before="240" w:line="312" w:lineRule="auto"/>
        <w:jc w:val="left"/>
        <w:rPr>
          <w:rFonts w:ascii="Arial" w:hAnsi="Arial" w:cs="Arial"/>
          <w:sz w:val="22"/>
          <w:szCs w:val="22"/>
        </w:rPr>
      </w:pPr>
      <w:r w:rsidRPr="00883399">
        <w:rPr>
          <w:rFonts w:ascii="Arial" w:hAnsi="Arial" w:cs="Arial"/>
          <w:sz w:val="22"/>
          <w:szCs w:val="22"/>
        </w:rPr>
        <w:t xml:space="preserve">details of the geospatial techniques used and the calculations made to estimate the flow of methane emissions from the representative zone from the measurements taken at individual flux boxes. </w:t>
      </w:r>
    </w:p>
    <w:p w14:paraId="01382B6E" w14:textId="77777777" w:rsidR="006C7995" w:rsidRPr="00883399" w:rsidRDefault="006C7995" w:rsidP="006C7995">
      <w:pPr>
        <w:pStyle w:val="Note"/>
        <w:spacing w:before="240" w:line="312" w:lineRule="auto"/>
        <w:ind w:left="851" w:hanging="425"/>
        <w:jc w:val="left"/>
        <w:rPr>
          <w:rFonts w:ascii="Arial" w:hAnsi="Arial" w:cs="Arial"/>
          <w:sz w:val="22"/>
          <w:szCs w:val="22"/>
        </w:rPr>
      </w:pPr>
      <w:r w:rsidRPr="00883399">
        <w:rPr>
          <w:rFonts w:ascii="Arial" w:hAnsi="Arial" w:cs="Arial"/>
          <w:sz w:val="22"/>
          <w:szCs w:val="22"/>
        </w:rPr>
        <w:t xml:space="preserve">(c) </w:t>
      </w:r>
      <w:r w:rsidRPr="00883399">
        <w:rPr>
          <w:rFonts w:ascii="Arial" w:hAnsi="Arial" w:cs="Arial"/>
          <w:sz w:val="22"/>
          <w:szCs w:val="22"/>
        </w:rPr>
        <w:tab/>
        <w:t>a qualitative assessment of the accuracy of the measurements obtained.  This assessment must take account of relevant conditions that may have affected the measurements taken.  The report must include data on:</w:t>
      </w:r>
    </w:p>
    <w:p w14:paraId="62E6DE05" w14:textId="77777777" w:rsidR="006C7995" w:rsidRPr="00883399" w:rsidRDefault="006C7995" w:rsidP="006C7995">
      <w:pPr>
        <w:pStyle w:val="Note"/>
        <w:numPr>
          <w:ilvl w:val="0"/>
          <w:numId w:val="38"/>
        </w:numPr>
        <w:tabs>
          <w:tab w:val="left" w:pos="851"/>
        </w:tabs>
        <w:spacing w:before="240" w:line="312" w:lineRule="auto"/>
        <w:jc w:val="left"/>
        <w:rPr>
          <w:rFonts w:ascii="Arial" w:hAnsi="Arial" w:cs="Arial"/>
          <w:sz w:val="22"/>
          <w:szCs w:val="22"/>
        </w:rPr>
      </w:pPr>
      <w:r w:rsidRPr="00883399">
        <w:rPr>
          <w:rFonts w:ascii="Arial" w:hAnsi="Arial" w:cs="Arial"/>
          <w:sz w:val="22"/>
          <w:szCs w:val="22"/>
        </w:rPr>
        <w:t xml:space="preserve">rainfall; </w:t>
      </w:r>
    </w:p>
    <w:p w14:paraId="4DE05576" w14:textId="77777777" w:rsidR="006C7995" w:rsidRPr="00883399" w:rsidRDefault="006C7995" w:rsidP="006C7995">
      <w:pPr>
        <w:pStyle w:val="Note"/>
        <w:numPr>
          <w:ilvl w:val="0"/>
          <w:numId w:val="38"/>
        </w:numPr>
        <w:tabs>
          <w:tab w:val="left" w:pos="851"/>
        </w:tabs>
        <w:spacing w:before="240" w:line="312" w:lineRule="auto"/>
        <w:jc w:val="left"/>
        <w:rPr>
          <w:rFonts w:ascii="Arial" w:hAnsi="Arial" w:cs="Arial"/>
          <w:sz w:val="22"/>
          <w:szCs w:val="22"/>
        </w:rPr>
      </w:pPr>
      <w:r w:rsidRPr="00883399">
        <w:rPr>
          <w:rFonts w:ascii="Arial" w:hAnsi="Arial" w:cs="Arial"/>
          <w:sz w:val="22"/>
          <w:szCs w:val="22"/>
        </w:rPr>
        <w:t>barometric pressure;</w:t>
      </w:r>
    </w:p>
    <w:p w14:paraId="323B6789" w14:textId="77777777" w:rsidR="006C7995" w:rsidRPr="00883399" w:rsidRDefault="006C7995" w:rsidP="006C7995">
      <w:pPr>
        <w:pStyle w:val="Note"/>
        <w:numPr>
          <w:ilvl w:val="0"/>
          <w:numId w:val="38"/>
        </w:numPr>
        <w:tabs>
          <w:tab w:val="left" w:pos="851"/>
        </w:tabs>
        <w:spacing w:before="240" w:line="312" w:lineRule="auto"/>
        <w:jc w:val="left"/>
        <w:rPr>
          <w:rFonts w:ascii="Arial" w:hAnsi="Arial" w:cs="Arial"/>
          <w:sz w:val="22"/>
          <w:szCs w:val="22"/>
        </w:rPr>
      </w:pPr>
      <w:r w:rsidRPr="00883399">
        <w:rPr>
          <w:rFonts w:ascii="Arial" w:hAnsi="Arial" w:cs="Arial"/>
          <w:sz w:val="22"/>
          <w:szCs w:val="22"/>
        </w:rPr>
        <w:t>wind speed; and</w:t>
      </w:r>
    </w:p>
    <w:p w14:paraId="2BFFBA2E" w14:textId="77777777" w:rsidR="006C7995" w:rsidRPr="00883399" w:rsidRDefault="006C7995" w:rsidP="006C7995">
      <w:pPr>
        <w:pStyle w:val="Note"/>
        <w:numPr>
          <w:ilvl w:val="0"/>
          <w:numId w:val="38"/>
        </w:numPr>
        <w:tabs>
          <w:tab w:val="left" w:pos="851"/>
        </w:tabs>
        <w:spacing w:before="240" w:line="312" w:lineRule="auto"/>
        <w:jc w:val="left"/>
        <w:rPr>
          <w:rFonts w:ascii="Arial" w:hAnsi="Arial" w:cs="Arial"/>
          <w:sz w:val="22"/>
          <w:szCs w:val="22"/>
        </w:rPr>
      </w:pPr>
      <w:r w:rsidRPr="00883399">
        <w:rPr>
          <w:rFonts w:ascii="Arial" w:hAnsi="Arial" w:cs="Arial"/>
          <w:sz w:val="22"/>
          <w:szCs w:val="22"/>
        </w:rPr>
        <w:t xml:space="preserve"> temperature;</w:t>
      </w:r>
    </w:p>
    <w:p w14:paraId="0C962E29" w14:textId="77777777" w:rsidR="006C7995" w:rsidRPr="00883399" w:rsidRDefault="006C7995" w:rsidP="006C7995">
      <w:pPr>
        <w:pStyle w:val="Note"/>
        <w:spacing w:before="240" w:line="312" w:lineRule="auto"/>
        <w:ind w:left="851"/>
        <w:jc w:val="left"/>
        <w:rPr>
          <w:rFonts w:ascii="Arial" w:hAnsi="Arial" w:cs="Arial"/>
          <w:sz w:val="22"/>
          <w:szCs w:val="22"/>
        </w:rPr>
      </w:pPr>
      <w:r w:rsidRPr="00883399">
        <w:rPr>
          <w:rFonts w:ascii="Arial" w:hAnsi="Arial" w:cs="Arial"/>
          <w:sz w:val="22"/>
          <w:szCs w:val="22"/>
        </w:rPr>
        <w:t xml:space="preserve">at the facility or as otherwise specified for the duration of the  measurement period. All relevant data for the immediate period prior to the measurements being undertaken, as considered appropriate by the expert, must also be recorded.   </w:t>
      </w:r>
    </w:p>
    <w:p w14:paraId="78759E40" w14:textId="77777777" w:rsidR="006C7995" w:rsidRPr="00883399" w:rsidRDefault="006C7995" w:rsidP="006C7995">
      <w:pPr>
        <w:pStyle w:val="Note"/>
        <w:spacing w:before="240" w:line="312" w:lineRule="auto"/>
        <w:ind w:left="851" w:hanging="425"/>
        <w:jc w:val="left"/>
        <w:rPr>
          <w:rFonts w:ascii="Arial" w:hAnsi="Arial" w:cs="Arial"/>
          <w:sz w:val="22"/>
          <w:szCs w:val="22"/>
        </w:rPr>
      </w:pPr>
      <w:r w:rsidRPr="00883399">
        <w:rPr>
          <w:rFonts w:ascii="Arial" w:hAnsi="Arial" w:cs="Arial"/>
          <w:sz w:val="22"/>
          <w:szCs w:val="22"/>
        </w:rPr>
        <w:t xml:space="preserve">(d) </w:t>
      </w:r>
      <w:r w:rsidRPr="00883399">
        <w:rPr>
          <w:rFonts w:ascii="Arial" w:hAnsi="Arial" w:cs="Arial"/>
          <w:sz w:val="22"/>
          <w:szCs w:val="22"/>
        </w:rPr>
        <w:tab/>
        <w:t>a review of any other matters that are material to the report;</w:t>
      </w:r>
    </w:p>
    <w:p w14:paraId="534508C4" w14:textId="77777777" w:rsidR="006C7995" w:rsidRPr="00883399" w:rsidRDefault="006C7995" w:rsidP="006C7995">
      <w:pPr>
        <w:pStyle w:val="Note"/>
        <w:spacing w:before="240" w:line="312" w:lineRule="auto"/>
        <w:ind w:left="851" w:hanging="425"/>
        <w:jc w:val="left"/>
        <w:rPr>
          <w:rFonts w:ascii="Arial" w:hAnsi="Arial" w:cs="Arial"/>
          <w:sz w:val="22"/>
          <w:szCs w:val="22"/>
        </w:rPr>
      </w:pPr>
      <w:r w:rsidRPr="00883399">
        <w:rPr>
          <w:rFonts w:ascii="Arial" w:hAnsi="Arial" w:cs="Arial"/>
          <w:sz w:val="22"/>
          <w:szCs w:val="22"/>
        </w:rPr>
        <w:t xml:space="preserve">(e) </w:t>
      </w:r>
      <w:r w:rsidRPr="00883399">
        <w:rPr>
          <w:rFonts w:ascii="Arial" w:hAnsi="Arial" w:cs="Arial"/>
          <w:sz w:val="22"/>
          <w:szCs w:val="22"/>
        </w:rPr>
        <w:tab/>
        <w:t>information regarding all sources of data used;</w:t>
      </w:r>
    </w:p>
    <w:p w14:paraId="1A6E2970" w14:textId="77777777" w:rsidR="006C7995" w:rsidRPr="00883399" w:rsidRDefault="006C7995" w:rsidP="006C7995">
      <w:pPr>
        <w:pStyle w:val="Note"/>
        <w:spacing w:before="240" w:line="312" w:lineRule="auto"/>
        <w:ind w:left="851" w:hanging="425"/>
        <w:jc w:val="left"/>
        <w:rPr>
          <w:rFonts w:ascii="Arial" w:hAnsi="Arial" w:cs="Arial"/>
          <w:sz w:val="22"/>
          <w:szCs w:val="22"/>
        </w:rPr>
      </w:pPr>
      <w:r w:rsidRPr="00883399">
        <w:rPr>
          <w:rFonts w:ascii="Arial" w:hAnsi="Arial" w:cs="Arial"/>
          <w:sz w:val="22"/>
          <w:szCs w:val="22"/>
        </w:rPr>
        <w:t>(f)</w:t>
      </w:r>
      <w:r w:rsidRPr="00883399">
        <w:rPr>
          <w:rFonts w:ascii="Arial" w:hAnsi="Arial" w:cs="Arial"/>
          <w:sz w:val="22"/>
          <w:szCs w:val="22"/>
        </w:rPr>
        <w:tab/>
        <w:t xml:space="preserve"> a concise summary setting out the key data and important assumptions made and the conclusions drawn by the expert.</w:t>
      </w:r>
    </w:p>
    <w:p w14:paraId="0F386630" w14:textId="77777777" w:rsidR="006C7995" w:rsidRPr="00883399" w:rsidRDefault="006C7995" w:rsidP="006C7995">
      <w:pPr>
        <w:pStyle w:val="Note"/>
        <w:keepLines w:val="0"/>
        <w:spacing w:before="240" w:line="312" w:lineRule="auto"/>
        <w:ind w:left="0"/>
        <w:jc w:val="left"/>
        <w:rPr>
          <w:rFonts w:ascii="Arial" w:hAnsi="Arial" w:cs="Arial"/>
          <w:sz w:val="22"/>
          <w:szCs w:val="22"/>
        </w:rPr>
      </w:pPr>
      <w:r w:rsidRPr="00883399">
        <w:rPr>
          <w:rFonts w:ascii="Arial" w:hAnsi="Arial" w:cs="Arial"/>
          <w:sz w:val="22"/>
          <w:szCs w:val="22"/>
        </w:rPr>
        <w:lastRenderedPageBreak/>
        <w:t xml:space="preserve">Detailed technical information and data should be included in the report if their understanding is important to the assessment. Explanations of unusual or new technical processes and activities that may be material to the understanding of the assessment should be included, where commercial confidentiality considerations allow. </w:t>
      </w:r>
    </w:p>
    <w:p w14:paraId="01B4F145" w14:textId="77777777" w:rsidR="006C7995" w:rsidRPr="00883399" w:rsidRDefault="006C7995" w:rsidP="006C7995">
      <w:pPr>
        <w:pStyle w:val="Note"/>
        <w:keepLines w:val="0"/>
        <w:spacing w:before="240" w:line="312" w:lineRule="auto"/>
        <w:ind w:left="0"/>
        <w:jc w:val="left"/>
        <w:rPr>
          <w:rFonts w:ascii="Arial" w:hAnsi="Arial" w:cs="Arial"/>
          <w:sz w:val="22"/>
          <w:szCs w:val="22"/>
        </w:rPr>
      </w:pPr>
      <w:r w:rsidRPr="00883399">
        <w:rPr>
          <w:rFonts w:ascii="Arial" w:hAnsi="Arial" w:cs="Arial"/>
          <w:sz w:val="22"/>
          <w:szCs w:val="22"/>
        </w:rPr>
        <w:t>Experts must not rely uncritically on the data and other information provided, either by the operator of the facility or obtained otherwise. They must undertake suitable checks, enquiries, analyses and verification procedures to establish reasonable grounds for establishing the soundness of the contents and conclusions of the report.</w:t>
      </w:r>
    </w:p>
    <w:p w14:paraId="15988F87" w14:textId="77777777" w:rsidR="006C7995" w:rsidRPr="00883399" w:rsidRDefault="006C7995" w:rsidP="006C7995">
      <w:pPr>
        <w:pStyle w:val="Note"/>
        <w:keepLines w:val="0"/>
        <w:spacing w:before="240" w:line="312" w:lineRule="auto"/>
        <w:ind w:left="0"/>
        <w:jc w:val="left"/>
        <w:rPr>
          <w:rFonts w:ascii="Arial" w:hAnsi="Arial" w:cs="Arial"/>
          <w:sz w:val="22"/>
          <w:szCs w:val="22"/>
        </w:rPr>
      </w:pPr>
      <w:r w:rsidRPr="00883399">
        <w:rPr>
          <w:rFonts w:ascii="Arial" w:hAnsi="Arial" w:cs="Arial"/>
          <w:sz w:val="22"/>
          <w:szCs w:val="22"/>
        </w:rPr>
        <w:t xml:space="preserve">The expert must certify that the estimate of emissions from the representative zone has been prepared in accordance with these Guidelines and with the </w:t>
      </w:r>
      <w:r w:rsidRPr="00883399">
        <w:rPr>
          <w:rFonts w:ascii="Arial" w:hAnsi="Arial" w:cs="Arial"/>
          <w:i/>
          <w:sz w:val="22"/>
          <w:szCs w:val="22"/>
        </w:rPr>
        <w:t>National Greenhouse and Energy Reporting (Measurement) Amendment Determination 2009</w:t>
      </w:r>
      <w:r w:rsidRPr="00883399">
        <w:rPr>
          <w:rFonts w:ascii="Arial" w:hAnsi="Arial" w:cs="Arial"/>
          <w:sz w:val="22"/>
          <w:szCs w:val="22"/>
        </w:rPr>
        <w:t xml:space="preserve"> and personally sign the report.</w:t>
      </w:r>
    </w:p>
    <w:p w14:paraId="18C6EF03" w14:textId="77777777" w:rsidR="006C7995" w:rsidRPr="00883399" w:rsidRDefault="006C7995" w:rsidP="00872C03">
      <w:pPr>
        <w:pStyle w:val="notetext"/>
        <w:rPr>
          <w:sz w:val="20"/>
        </w:rPr>
      </w:pPr>
    </w:p>
    <w:p w14:paraId="22CBFCB7" w14:textId="77777777" w:rsidR="00872C03" w:rsidRPr="00883399" w:rsidRDefault="00872C03" w:rsidP="00872C03">
      <w:pPr>
        <w:pStyle w:val="subsection"/>
        <w:rPr>
          <w:sz w:val="24"/>
        </w:rPr>
      </w:pPr>
      <w:r w:rsidRPr="00883399">
        <w:rPr>
          <w:sz w:val="24"/>
        </w:rPr>
        <w:tab/>
        <w:t>(2)</w:t>
      </w:r>
      <w:r w:rsidRPr="00883399">
        <w:rPr>
          <w:sz w:val="24"/>
        </w:rPr>
        <w:tab/>
        <w:t>The flow of methane from each flux box must be calculated in accordance with the following formula:</w:t>
      </w:r>
    </w:p>
    <w:p w14:paraId="06AABBEB" w14:textId="09AABB2E"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57F24AA5" wp14:editId="0526910F">
            <wp:extent cx="1033145" cy="593725"/>
            <wp:effectExtent l="1905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74"/>
                    <a:srcRect/>
                    <a:stretch>
                      <a:fillRect/>
                    </a:stretch>
                  </pic:blipFill>
                  <pic:spPr bwMode="auto">
                    <a:xfrm>
                      <a:off x="0" y="0"/>
                      <a:ext cx="1033145" cy="593725"/>
                    </a:xfrm>
                    <a:prstGeom prst="rect">
                      <a:avLst/>
                    </a:prstGeom>
                    <a:noFill/>
                    <a:ln w="9525">
                      <a:noFill/>
                      <a:miter lim="800000"/>
                      <a:headEnd/>
                      <a:tailEnd/>
                    </a:ln>
                  </pic:spPr>
                </pic:pic>
              </a:graphicData>
            </a:graphic>
          </wp:inline>
        </w:drawing>
      </w:r>
    </w:p>
    <w:p w14:paraId="5EF7EC21" w14:textId="77777777" w:rsidR="00872C03" w:rsidRPr="00883399" w:rsidRDefault="00872C03" w:rsidP="00872C03">
      <w:pPr>
        <w:pStyle w:val="subsection2"/>
        <w:rPr>
          <w:sz w:val="24"/>
        </w:rPr>
      </w:pPr>
      <w:r w:rsidRPr="00883399">
        <w:rPr>
          <w:sz w:val="24"/>
        </w:rPr>
        <w:t>where:</w:t>
      </w:r>
    </w:p>
    <w:p w14:paraId="682A8BF2" w14:textId="77777777" w:rsidR="00872C03" w:rsidRPr="00883399" w:rsidRDefault="00872C03" w:rsidP="00872C03">
      <w:pPr>
        <w:pStyle w:val="Definition0"/>
        <w:rPr>
          <w:sz w:val="24"/>
        </w:rPr>
      </w:pPr>
      <w:r w:rsidRPr="00883399">
        <w:rPr>
          <w:b/>
          <w:i/>
          <w:sz w:val="24"/>
        </w:rPr>
        <w:t xml:space="preserve">Q </w:t>
      </w:r>
      <w:r w:rsidRPr="00883399">
        <w:rPr>
          <w:sz w:val="24"/>
        </w:rPr>
        <w:t>is the flow density of the gas in the flux box, measured in milligrams of methane per square metre per second.</w:t>
      </w:r>
    </w:p>
    <w:p w14:paraId="4347BA93" w14:textId="77777777" w:rsidR="00872C03" w:rsidRPr="00883399" w:rsidRDefault="00872C03" w:rsidP="00872C03">
      <w:pPr>
        <w:pStyle w:val="Definition0"/>
        <w:rPr>
          <w:sz w:val="24"/>
        </w:rPr>
      </w:pPr>
      <w:r w:rsidRPr="00883399">
        <w:rPr>
          <w:b/>
          <w:i/>
          <w:sz w:val="24"/>
        </w:rPr>
        <w:t xml:space="preserve">V </w:t>
      </w:r>
      <w:r w:rsidRPr="00883399">
        <w:rPr>
          <w:sz w:val="24"/>
        </w:rPr>
        <w:t>is the volume of the flux box, measured in cubic metres.</w:t>
      </w:r>
    </w:p>
    <w:tbl>
      <w:tblPr>
        <w:tblW w:w="0" w:type="auto"/>
        <w:tblInd w:w="1101" w:type="dxa"/>
        <w:tblLook w:val="0000" w:firstRow="0" w:lastRow="0" w:firstColumn="0" w:lastColumn="0" w:noHBand="0" w:noVBand="0"/>
      </w:tblPr>
      <w:tblGrid>
        <w:gridCol w:w="561"/>
        <w:gridCol w:w="6651"/>
      </w:tblGrid>
      <w:tr w:rsidR="00872C03" w:rsidRPr="00883399" w14:paraId="78C1C411" w14:textId="77777777" w:rsidTr="0031057E">
        <w:trPr>
          <w:trHeight w:val="610"/>
        </w:trPr>
        <w:tc>
          <w:tcPr>
            <w:tcW w:w="561" w:type="dxa"/>
            <w:shd w:val="clear" w:color="auto" w:fill="auto"/>
          </w:tcPr>
          <w:p w14:paraId="31CD7651" w14:textId="05D9B0BB" w:rsidR="00872C03" w:rsidRPr="00883399" w:rsidRDefault="00872C03" w:rsidP="0031057E">
            <w:pPr>
              <w:pStyle w:val="TableHeading"/>
              <w:keepNext w:val="0"/>
              <w:spacing w:before="120" w:after="60"/>
              <w:rPr>
                <w:sz w:val="22"/>
              </w:rPr>
            </w:pPr>
            <w:r w:rsidRPr="00883399">
              <w:rPr>
                <w:noProof/>
                <w:sz w:val="22"/>
              </w:rPr>
              <w:drawing>
                <wp:inline distT="0" distB="0" distL="0" distR="0" wp14:anchorId="33979C41" wp14:editId="5A523F1B">
                  <wp:extent cx="213995" cy="391795"/>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75"/>
                          <a:srcRect/>
                          <a:stretch>
                            <a:fillRect/>
                          </a:stretch>
                        </pic:blipFill>
                        <pic:spPr bwMode="auto">
                          <a:xfrm>
                            <a:off x="0" y="0"/>
                            <a:ext cx="213995" cy="391795"/>
                          </a:xfrm>
                          <a:prstGeom prst="rect">
                            <a:avLst/>
                          </a:prstGeom>
                          <a:noFill/>
                          <a:ln w="9525">
                            <a:noFill/>
                            <a:miter lim="800000"/>
                            <a:headEnd/>
                            <a:tailEnd/>
                          </a:ln>
                        </pic:spPr>
                      </pic:pic>
                    </a:graphicData>
                  </a:graphic>
                </wp:inline>
              </w:drawing>
            </w:r>
          </w:p>
        </w:tc>
        <w:tc>
          <w:tcPr>
            <w:tcW w:w="6846" w:type="dxa"/>
            <w:shd w:val="clear" w:color="auto" w:fill="auto"/>
          </w:tcPr>
          <w:p w14:paraId="3240BDE5" w14:textId="77777777" w:rsidR="00872C03" w:rsidRPr="00883399" w:rsidRDefault="00872C03" w:rsidP="0031057E">
            <w:pPr>
              <w:pStyle w:val="TableHeading"/>
              <w:keepNext w:val="0"/>
              <w:spacing w:before="120"/>
              <w:rPr>
                <w:b w:val="0"/>
                <w:sz w:val="24"/>
                <w:szCs w:val="22"/>
              </w:rPr>
            </w:pPr>
            <w:r w:rsidRPr="00883399">
              <w:rPr>
                <w:b w:val="0"/>
                <w:sz w:val="24"/>
                <w:szCs w:val="22"/>
              </w:rPr>
              <w:t>is the rate of change of gas concentration in the flux boxes over time, measured in milligrams per cubic metre per second.</w:t>
            </w:r>
          </w:p>
        </w:tc>
      </w:tr>
    </w:tbl>
    <w:p w14:paraId="3C8BC420" w14:textId="77777777" w:rsidR="00872C03" w:rsidRPr="00883399" w:rsidRDefault="00872C03" w:rsidP="00872C03">
      <w:pPr>
        <w:pStyle w:val="Definition0"/>
        <w:spacing w:before="120"/>
        <w:rPr>
          <w:sz w:val="24"/>
        </w:rPr>
      </w:pPr>
      <w:r w:rsidRPr="00883399">
        <w:rPr>
          <w:b/>
          <w:i/>
          <w:sz w:val="24"/>
        </w:rPr>
        <w:t xml:space="preserve">A </w:t>
      </w:r>
      <w:r w:rsidRPr="00883399">
        <w:rPr>
          <w:sz w:val="24"/>
        </w:rPr>
        <w:t>is the area covered by the flux box, measured in square metres.</w:t>
      </w:r>
    </w:p>
    <w:p w14:paraId="58EFD484" w14:textId="77777777" w:rsidR="00872C03" w:rsidRPr="00883399" w:rsidRDefault="00872C03" w:rsidP="00872C03">
      <w:pPr>
        <w:pStyle w:val="subsection"/>
        <w:rPr>
          <w:sz w:val="24"/>
        </w:rPr>
      </w:pPr>
      <w:r w:rsidRPr="00883399">
        <w:rPr>
          <w:sz w:val="24"/>
        </w:rPr>
        <w:tab/>
        <w:t>(3)</w:t>
      </w:r>
      <w:r w:rsidRPr="00883399">
        <w:rPr>
          <w:sz w:val="24"/>
        </w:rPr>
        <w:tab/>
        <w:t>The total gas flow rate for the representative zone is to be obtained by using geospatial interpolation techniques.</w:t>
      </w:r>
    </w:p>
    <w:p w14:paraId="03B8C471" w14:textId="77777777" w:rsidR="00872C03" w:rsidRPr="00883399" w:rsidRDefault="00872C03" w:rsidP="00872C03">
      <w:pPr>
        <w:pStyle w:val="subsection"/>
        <w:rPr>
          <w:sz w:val="24"/>
        </w:rPr>
      </w:pPr>
      <w:r w:rsidRPr="00883399">
        <w:rPr>
          <w:sz w:val="24"/>
        </w:rPr>
        <w:tab/>
        <w:t>(4)</w:t>
      </w:r>
      <w:r w:rsidRPr="00883399">
        <w:rPr>
          <w:sz w:val="24"/>
        </w:rPr>
        <w:tab/>
        <w:t>The amount of methane generated, but not collected, in the representative zone must be estimated by dividing the total gas flow rate obtained in accordance with subsection (3) by:</w:t>
      </w:r>
    </w:p>
    <w:p w14:paraId="6254D986" w14:textId="1F45ED5F"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204BD251" wp14:editId="17D0294C">
            <wp:extent cx="522605" cy="178435"/>
            <wp:effectExtent l="1905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76"/>
                    <a:srcRect/>
                    <a:stretch>
                      <a:fillRect/>
                    </a:stretch>
                  </pic:blipFill>
                  <pic:spPr bwMode="auto">
                    <a:xfrm>
                      <a:off x="0" y="0"/>
                      <a:ext cx="522605" cy="178435"/>
                    </a:xfrm>
                    <a:prstGeom prst="rect">
                      <a:avLst/>
                    </a:prstGeom>
                    <a:noFill/>
                    <a:ln w="9525">
                      <a:noFill/>
                      <a:miter lim="800000"/>
                      <a:headEnd/>
                      <a:tailEnd/>
                    </a:ln>
                  </pic:spPr>
                </pic:pic>
              </a:graphicData>
            </a:graphic>
          </wp:inline>
        </w:drawing>
      </w:r>
    </w:p>
    <w:p w14:paraId="6C29C58A" w14:textId="77777777" w:rsidR="00872C03" w:rsidRPr="00883399" w:rsidRDefault="00872C03" w:rsidP="00872C03">
      <w:pPr>
        <w:pStyle w:val="subsection2"/>
        <w:rPr>
          <w:sz w:val="24"/>
        </w:rPr>
      </w:pPr>
      <w:r w:rsidRPr="00883399">
        <w:rPr>
          <w:sz w:val="24"/>
        </w:rPr>
        <w:t>where:</w:t>
      </w:r>
    </w:p>
    <w:p w14:paraId="198C3380" w14:textId="77777777" w:rsidR="00872C03" w:rsidRPr="00883399" w:rsidRDefault="00872C03" w:rsidP="00872C03">
      <w:pPr>
        <w:pStyle w:val="subsection2"/>
        <w:rPr>
          <w:sz w:val="24"/>
        </w:rPr>
      </w:pPr>
      <w:r w:rsidRPr="00883399">
        <w:rPr>
          <w:b/>
          <w:i/>
          <w:sz w:val="24"/>
        </w:rPr>
        <w:lastRenderedPageBreak/>
        <w:t>OF</w:t>
      </w:r>
      <w:r w:rsidRPr="00883399">
        <w:rPr>
          <w:sz w:val="24"/>
        </w:rPr>
        <w:t xml:space="preserve"> is the oxidation factor mentioned in subsection 5.15(1).</w:t>
      </w:r>
    </w:p>
    <w:p w14:paraId="32A06C6C" w14:textId="77777777" w:rsidR="00872C03" w:rsidRPr="00883399" w:rsidRDefault="00872C03" w:rsidP="00872C03">
      <w:pPr>
        <w:pStyle w:val="subsection"/>
        <w:rPr>
          <w:sz w:val="24"/>
        </w:rPr>
      </w:pPr>
      <w:r w:rsidRPr="00883399">
        <w:rPr>
          <w:sz w:val="24"/>
        </w:rPr>
        <w:tab/>
        <w:t>(5)</w:t>
      </w:r>
      <w:r w:rsidRPr="00883399">
        <w:rPr>
          <w:sz w:val="24"/>
        </w:rPr>
        <w:tab/>
        <w:t>The measurement of methane obtained under the formula in subsection (2) must be converted from milligrams of methane per square metre per second to tonnes of methane for the surface area of the representative zone for the reporting year.</w:t>
      </w:r>
    </w:p>
    <w:p w14:paraId="4F6C4A8B" w14:textId="77777777" w:rsidR="00872C03" w:rsidRPr="00883399" w:rsidRDefault="00872C03" w:rsidP="00872C03">
      <w:pPr>
        <w:pStyle w:val="subsection"/>
        <w:rPr>
          <w:sz w:val="24"/>
        </w:rPr>
      </w:pPr>
      <w:r w:rsidRPr="00883399">
        <w:rPr>
          <w:sz w:val="24"/>
        </w:rPr>
        <w:tab/>
        <w:t>(6)</w:t>
      </w:r>
      <w:r w:rsidRPr="00883399">
        <w:rPr>
          <w:sz w:val="24"/>
        </w:rPr>
        <w:tab/>
        <w:t>Estimates of gas flow must be converted from cubic metres to mass by using the formula in subsection 1.21(1).</w:t>
      </w:r>
    </w:p>
    <w:p w14:paraId="08749223" w14:textId="022B6F3D" w:rsidR="00872C03" w:rsidRPr="00883399" w:rsidRDefault="00872C03" w:rsidP="00872C03">
      <w:pPr>
        <w:pStyle w:val="ActHead5"/>
        <w:rPr>
          <w:sz w:val="28"/>
        </w:rPr>
      </w:pPr>
      <w:bookmarkStart w:id="1162" w:name="_Toc423517174"/>
      <w:bookmarkStart w:id="1163" w:name="_Toc495653105"/>
      <w:r w:rsidRPr="00883399">
        <w:rPr>
          <w:rStyle w:val="CharSectno"/>
          <w:sz w:val="28"/>
        </w:rPr>
        <w:t>5.17I</w:t>
      </w:r>
      <w:r w:rsidRPr="00883399">
        <w:rPr>
          <w:sz w:val="28"/>
        </w:rPr>
        <w:t xml:space="preserve">  When flux box measurements must be taken</w:t>
      </w:r>
      <w:bookmarkEnd w:id="1162"/>
      <w:bookmarkEnd w:id="1163"/>
    </w:p>
    <w:p w14:paraId="7B1701CF" w14:textId="77777777" w:rsidR="00872C03" w:rsidRPr="00883399" w:rsidRDefault="00872C03" w:rsidP="00872C03">
      <w:pPr>
        <w:pStyle w:val="subsection"/>
        <w:rPr>
          <w:sz w:val="24"/>
        </w:rPr>
      </w:pPr>
      <w:r w:rsidRPr="00883399">
        <w:rPr>
          <w:sz w:val="24"/>
        </w:rPr>
        <w:tab/>
        <w:t>(1)</w:t>
      </w:r>
      <w:r w:rsidRPr="00883399">
        <w:rPr>
          <w:sz w:val="24"/>
        </w:rPr>
        <w:tab/>
        <w:t>Flux box measurements must be taken during the normal operating times of the gas collection wells in the representative zone.</w:t>
      </w:r>
    </w:p>
    <w:p w14:paraId="3CAD4BC6" w14:textId="77777777" w:rsidR="00872C03" w:rsidRPr="00883399" w:rsidRDefault="00872C03" w:rsidP="00872C03">
      <w:pPr>
        <w:pStyle w:val="subsection"/>
        <w:rPr>
          <w:sz w:val="24"/>
        </w:rPr>
      </w:pPr>
      <w:r w:rsidRPr="00883399">
        <w:rPr>
          <w:sz w:val="24"/>
        </w:rPr>
        <w:tab/>
        <w:t>(2)</w:t>
      </w:r>
      <w:r w:rsidRPr="00883399">
        <w:rPr>
          <w:sz w:val="24"/>
        </w:rPr>
        <w:tab/>
        <w:t>The measurements must be completed within 3 days.</w:t>
      </w:r>
    </w:p>
    <w:p w14:paraId="5F40C238" w14:textId="02A29DEB" w:rsidR="00872C03" w:rsidRPr="00883399" w:rsidRDefault="00872C03" w:rsidP="00872C03">
      <w:pPr>
        <w:pStyle w:val="ActHead5"/>
        <w:rPr>
          <w:sz w:val="28"/>
        </w:rPr>
      </w:pPr>
      <w:bookmarkStart w:id="1164" w:name="_Toc423517175"/>
      <w:bookmarkStart w:id="1165" w:name="_Toc495653106"/>
      <w:r w:rsidRPr="00883399">
        <w:rPr>
          <w:rStyle w:val="CharSectno"/>
          <w:sz w:val="28"/>
        </w:rPr>
        <w:t>5.17J</w:t>
      </w:r>
      <w:r w:rsidRPr="00883399">
        <w:rPr>
          <w:sz w:val="28"/>
        </w:rPr>
        <w:t xml:space="preserve">  Restrictions on taking flux box measurements</w:t>
      </w:r>
      <w:bookmarkEnd w:id="1164"/>
      <w:bookmarkEnd w:id="1165"/>
    </w:p>
    <w:p w14:paraId="5267CFA2" w14:textId="77777777" w:rsidR="00872C03" w:rsidRPr="00883399" w:rsidRDefault="00872C03" w:rsidP="00872C03">
      <w:pPr>
        <w:pStyle w:val="subsection"/>
        <w:rPr>
          <w:sz w:val="24"/>
        </w:rPr>
      </w:pPr>
      <w:r w:rsidRPr="00883399">
        <w:rPr>
          <w:sz w:val="24"/>
        </w:rPr>
        <w:tab/>
        <w:t>(1)</w:t>
      </w:r>
      <w:r w:rsidRPr="00883399">
        <w:rPr>
          <w:sz w:val="24"/>
        </w:rPr>
        <w:tab/>
        <w:t>Flux box measurements must not be taken:</w:t>
      </w:r>
    </w:p>
    <w:p w14:paraId="73956C44" w14:textId="77777777" w:rsidR="00872C03" w:rsidRPr="00883399" w:rsidRDefault="00872C03" w:rsidP="00872C03">
      <w:pPr>
        <w:pStyle w:val="paragraph"/>
        <w:rPr>
          <w:sz w:val="24"/>
        </w:rPr>
      </w:pPr>
      <w:r w:rsidRPr="00883399">
        <w:rPr>
          <w:sz w:val="24"/>
        </w:rPr>
        <w:tab/>
        <w:t>(a)</w:t>
      </w:r>
      <w:r w:rsidRPr="00883399">
        <w:rPr>
          <w:sz w:val="24"/>
        </w:rPr>
        <w:tab/>
        <w:t>within 2 days of heavy rainfall over the representative area; or</w:t>
      </w:r>
    </w:p>
    <w:p w14:paraId="4667548E" w14:textId="77777777" w:rsidR="00872C03" w:rsidRPr="00883399" w:rsidRDefault="00872C03" w:rsidP="00872C03">
      <w:pPr>
        <w:pStyle w:val="paragraph"/>
        <w:rPr>
          <w:sz w:val="24"/>
        </w:rPr>
      </w:pPr>
      <w:r w:rsidRPr="00883399">
        <w:rPr>
          <w:sz w:val="24"/>
        </w:rPr>
        <w:tab/>
        <w:t>(b)</w:t>
      </w:r>
      <w:r w:rsidRPr="00883399">
        <w:rPr>
          <w:sz w:val="24"/>
        </w:rPr>
        <w:tab/>
        <w:t>if barometric pressure at the landfill site is rising or falling sharply; or</w:t>
      </w:r>
    </w:p>
    <w:p w14:paraId="05239C23" w14:textId="77777777" w:rsidR="00872C03" w:rsidRPr="00883399" w:rsidRDefault="00872C03" w:rsidP="00872C03">
      <w:pPr>
        <w:pStyle w:val="paragraph"/>
        <w:rPr>
          <w:sz w:val="24"/>
        </w:rPr>
      </w:pPr>
      <w:r w:rsidRPr="00883399">
        <w:rPr>
          <w:sz w:val="24"/>
        </w:rPr>
        <w:tab/>
        <w:t>(c)</w:t>
      </w:r>
      <w:r w:rsidRPr="00883399">
        <w:rPr>
          <w:sz w:val="24"/>
        </w:rPr>
        <w:tab/>
        <w:t>during frost conditions; or</w:t>
      </w:r>
    </w:p>
    <w:p w14:paraId="4229A84E" w14:textId="77777777" w:rsidR="00872C03" w:rsidRPr="00883399" w:rsidRDefault="00872C03" w:rsidP="00872C03">
      <w:pPr>
        <w:pStyle w:val="paragraph"/>
        <w:rPr>
          <w:sz w:val="24"/>
        </w:rPr>
      </w:pPr>
      <w:r w:rsidRPr="00883399">
        <w:rPr>
          <w:sz w:val="24"/>
        </w:rPr>
        <w:tab/>
        <w:t>(d)</w:t>
      </w:r>
      <w:r w:rsidRPr="00883399">
        <w:rPr>
          <w:sz w:val="24"/>
        </w:rPr>
        <w:tab/>
        <w:t>in any other meteorological conditions that may significantly affect the accuracy of the measurements; or</w:t>
      </w:r>
    </w:p>
    <w:p w14:paraId="532A9E03" w14:textId="77777777" w:rsidR="00872C03" w:rsidRPr="00883399" w:rsidRDefault="00872C03" w:rsidP="00872C03">
      <w:pPr>
        <w:pStyle w:val="paragraph"/>
        <w:rPr>
          <w:sz w:val="24"/>
        </w:rPr>
      </w:pPr>
      <w:r w:rsidRPr="00883399">
        <w:rPr>
          <w:sz w:val="24"/>
        </w:rPr>
        <w:tab/>
        <w:t>(e)</w:t>
      </w:r>
      <w:r w:rsidRPr="00883399">
        <w:rPr>
          <w:sz w:val="24"/>
        </w:rPr>
        <w:tab/>
        <w:t>in areas where there is standing water.</w:t>
      </w:r>
    </w:p>
    <w:p w14:paraId="24FCC597" w14:textId="77777777" w:rsidR="00872C03" w:rsidRPr="00883399" w:rsidRDefault="00872C03" w:rsidP="00872C03">
      <w:pPr>
        <w:pStyle w:val="notetext"/>
        <w:rPr>
          <w:sz w:val="20"/>
        </w:rPr>
      </w:pPr>
      <w:r w:rsidRPr="00883399">
        <w:rPr>
          <w:sz w:val="20"/>
        </w:rPr>
        <w:t>Note:</w:t>
      </w:r>
      <w:r w:rsidRPr="00883399">
        <w:rPr>
          <w:sz w:val="20"/>
        </w:rPr>
        <w:tab/>
        <w:t xml:space="preserve">AS/NZS 4323.4—2009 and the publication entitled </w:t>
      </w:r>
      <w:r w:rsidRPr="00883399">
        <w:rPr>
          <w:i/>
          <w:sz w:val="20"/>
        </w:rPr>
        <w:t xml:space="preserve">Guidance on monitoring landfill gas surface emissions </w:t>
      </w:r>
      <w:r w:rsidRPr="00883399">
        <w:rPr>
          <w:sz w:val="20"/>
        </w:rPr>
        <w:t>published by the Environment Agency of the United Kingdom in September 2004 contain guidance on good measurement practice.</w:t>
      </w:r>
    </w:p>
    <w:p w14:paraId="1034E5EF" w14:textId="77777777" w:rsidR="00872C03" w:rsidRPr="00883399" w:rsidRDefault="00872C03" w:rsidP="00872C03">
      <w:pPr>
        <w:pStyle w:val="subsection"/>
        <w:rPr>
          <w:sz w:val="24"/>
        </w:rPr>
      </w:pPr>
      <w:r w:rsidRPr="00883399">
        <w:rPr>
          <w:sz w:val="24"/>
        </w:rPr>
        <w:tab/>
        <w:t>(2)</w:t>
      </w:r>
      <w:r w:rsidRPr="00883399">
        <w:rPr>
          <w:sz w:val="24"/>
        </w:rPr>
        <w:tab/>
        <w:t xml:space="preserve">For subsection (1), there is </w:t>
      </w:r>
      <w:r w:rsidRPr="00883399">
        <w:rPr>
          <w:b/>
          <w:i/>
          <w:sz w:val="24"/>
        </w:rPr>
        <w:t>heavy rainfall</w:t>
      </w:r>
      <w:r w:rsidRPr="00883399">
        <w:rPr>
          <w:sz w:val="24"/>
        </w:rPr>
        <w:t xml:space="preserve"> over a representative area on any day of a month if the amount of rain that is recorded:</w:t>
      </w:r>
    </w:p>
    <w:p w14:paraId="5865BE84" w14:textId="77777777" w:rsidR="00872C03" w:rsidRPr="00883399" w:rsidRDefault="00872C03" w:rsidP="00872C03">
      <w:pPr>
        <w:pStyle w:val="paragraph"/>
        <w:rPr>
          <w:sz w:val="24"/>
        </w:rPr>
      </w:pPr>
      <w:r w:rsidRPr="00883399">
        <w:rPr>
          <w:sz w:val="24"/>
        </w:rPr>
        <w:tab/>
        <w:t>(a)</w:t>
      </w:r>
      <w:r w:rsidRPr="00883399">
        <w:rPr>
          <w:sz w:val="24"/>
        </w:rPr>
        <w:tab/>
        <w:t>at the landfill on that day; or</w:t>
      </w:r>
    </w:p>
    <w:p w14:paraId="524AACBD" w14:textId="77777777" w:rsidR="00872C03" w:rsidRPr="00883399" w:rsidRDefault="00872C03" w:rsidP="00872C03">
      <w:pPr>
        <w:pStyle w:val="paragraph"/>
        <w:rPr>
          <w:sz w:val="24"/>
        </w:rPr>
      </w:pPr>
      <w:r w:rsidRPr="00883399">
        <w:rPr>
          <w:sz w:val="24"/>
        </w:rPr>
        <w:tab/>
        <w:t>(b)</w:t>
      </w:r>
      <w:r w:rsidRPr="00883399">
        <w:rPr>
          <w:sz w:val="24"/>
        </w:rPr>
        <w:tab/>
        <w:t>if rainfall is not recorded at the landfill—at the nearest Bureau of Meteorology weather station to the landfill on that day;</w:t>
      </w:r>
    </w:p>
    <w:p w14:paraId="15D19FE3" w14:textId="77777777" w:rsidR="00872C03" w:rsidRPr="00883399" w:rsidRDefault="00872C03" w:rsidP="00872C03">
      <w:pPr>
        <w:pStyle w:val="subsection2"/>
        <w:rPr>
          <w:sz w:val="24"/>
        </w:rPr>
      </w:pPr>
      <w:r w:rsidRPr="00883399">
        <w:rPr>
          <w:sz w:val="24"/>
        </w:rPr>
        <w:t>exceeds the heavy rainfall benchmark, as calculated in accordance with the following formula:</w:t>
      </w:r>
    </w:p>
    <w:p w14:paraId="25EF770C" w14:textId="5C9E7E74" w:rsidR="00872C03" w:rsidRPr="00883399" w:rsidRDefault="00872C03" w:rsidP="00872C03">
      <w:pPr>
        <w:pStyle w:val="subsection2"/>
        <w:spacing w:before="120" w:after="120"/>
        <w:rPr>
          <w:sz w:val="24"/>
        </w:rPr>
      </w:pPr>
      <w:r w:rsidRPr="00883399">
        <w:rPr>
          <w:noProof/>
          <w:sz w:val="24"/>
        </w:rPr>
        <w:drawing>
          <wp:inline distT="0" distB="0" distL="0" distR="0" wp14:anchorId="27CD011B" wp14:editId="7EB040FF">
            <wp:extent cx="1258570" cy="391795"/>
            <wp:effectExtent l="1905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77"/>
                    <a:srcRect/>
                    <a:stretch>
                      <a:fillRect/>
                    </a:stretch>
                  </pic:blipFill>
                  <pic:spPr bwMode="auto">
                    <a:xfrm>
                      <a:off x="0" y="0"/>
                      <a:ext cx="1258570" cy="391795"/>
                    </a:xfrm>
                    <a:prstGeom prst="rect">
                      <a:avLst/>
                    </a:prstGeom>
                    <a:noFill/>
                    <a:ln w="9525">
                      <a:noFill/>
                      <a:miter lim="800000"/>
                      <a:headEnd/>
                      <a:tailEnd/>
                    </a:ln>
                  </pic:spPr>
                </pic:pic>
              </a:graphicData>
            </a:graphic>
          </wp:inline>
        </w:drawing>
      </w:r>
    </w:p>
    <w:p w14:paraId="6EB6C7F2" w14:textId="77777777" w:rsidR="00872C03" w:rsidRPr="00883399" w:rsidRDefault="00872C03" w:rsidP="00872C03">
      <w:pPr>
        <w:pStyle w:val="subsection2"/>
        <w:rPr>
          <w:sz w:val="24"/>
        </w:rPr>
      </w:pPr>
      <w:r w:rsidRPr="00883399">
        <w:rPr>
          <w:sz w:val="24"/>
        </w:rPr>
        <w:t>where:</w:t>
      </w:r>
    </w:p>
    <w:p w14:paraId="75217EC7" w14:textId="77777777" w:rsidR="00872C03" w:rsidRPr="00883399" w:rsidRDefault="00872C03" w:rsidP="00872C03">
      <w:pPr>
        <w:pStyle w:val="Definition0"/>
        <w:rPr>
          <w:sz w:val="24"/>
        </w:rPr>
      </w:pPr>
      <w:r w:rsidRPr="00883399">
        <w:rPr>
          <w:b/>
          <w:i/>
          <w:sz w:val="24"/>
        </w:rPr>
        <w:t xml:space="preserve">HRF </w:t>
      </w:r>
      <w:r w:rsidRPr="00883399">
        <w:rPr>
          <w:sz w:val="24"/>
        </w:rPr>
        <w:t>is the heavy rainfall benchmark.</w:t>
      </w:r>
    </w:p>
    <w:p w14:paraId="21099FD7" w14:textId="77777777" w:rsidR="00872C03" w:rsidRPr="00883399" w:rsidRDefault="00872C03" w:rsidP="00872C03">
      <w:pPr>
        <w:pStyle w:val="Definition0"/>
        <w:rPr>
          <w:sz w:val="24"/>
        </w:rPr>
      </w:pPr>
      <w:r w:rsidRPr="00883399">
        <w:rPr>
          <w:b/>
          <w:i/>
          <w:sz w:val="24"/>
        </w:rPr>
        <w:lastRenderedPageBreak/>
        <w:t xml:space="preserve">RF </w:t>
      </w:r>
      <w:r w:rsidRPr="00883399">
        <w:rPr>
          <w:sz w:val="24"/>
        </w:rPr>
        <w:t>is the mean monthly rainfall for the month at the landfill or nearest Bureau of Meteorology weather station.</w:t>
      </w:r>
    </w:p>
    <w:p w14:paraId="0945C537" w14:textId="77777777" w:rsidR="00872C03" w:rsidRPr="00883399" w:rsidRDefault="00872C03" w:rsidP="00872C03">
      <w:pPr>
        <w:pStyle w:val="Definition0"/>
        <w:rPr>
          <w:sz w:val="24"/>
        </w:rPr>
      </w:pPr>
      <w:r w:rsidRPr="00883399">
        <w:rPr>
          <w:b/>
          <w:i/>
          <w:sz w:val="24"/>
        </w:rPr>
        <w:t xml:space="preserve">MRD </w:t>
      </w:r>
      <w:r w:rsidRPr="00883399">
        <w:rPr>
          <w:sz w:val="24"/>
        </w:rPr>
        <w:t xml:space="preserve">is the mean rainfall days for the month at the nearest Bureau of Meteorology weather station as recorded in the publication published by the Bureau of Meteorology and known as </w:t>
      </w:r>
      <w:r w:rsidRPr="00883399">
        <w:rPr>
          <w:i/>
          <w:sz w:val="24"/>
        </w:rPr>
        <w:t>Climate statistics for Australian locations</w:t>
      </w:r>
      <w:r w:rsidRPr="00883399">
        <w:rPr>
          <w:sz w:val="24"/>
        </w:rPr>
        <w:t>.</w:t>
      </w:r>
    </w:p>
    <w:p w14:paraId="54AB74BE" w14:textId="2D7ED54D" w:rsidR="00872C03" w:rsidRPr="00883399" w:rsidRDefault="00872C03" w:rsidP="00872C03">
      <w:pPr>
        <w:pStyle w:val="ActHead5"/>
        <w:rPr>
          <w:sz w:val="28"/>
        </w:rPr>
      </w:pPr>
      <w:bookmarkStart w:id="1166" w:name="_Toc423517176"/>
      <w:bookmarkStart w:id="1167" w:name="_Toc495653107"/>
      <w:r w:rsidRPr="00883399">
        <w:rPr>
          <w:rStyle w:val="CharSectno"/>
          <w:sz w:val="28"/>
        </w:rPr>
        <w:t>5.17K</w:t>
      </w:r>
      <w:r w:rsidRPr="00883399">
        <w:rPr>
          <w:sz w:val="28"/>
        </w:rPr>
        <w:t xml:space="preserve">  Frequency of measurement</w:t>
      </w:r>
      <w:bookmarkEnd w:id="1166"/>
      <w:bookmarkEnd w:id="1167"/>
    </w:p>
    <w:p w14:paraId="50AA8BD7" w14:textId="77777777" w:rsidR="00872C03" w:rsidRPr="00883399" w:rsidRDefault="00872C03" w:rsidP="00872C03">
      <w:pPr>
        <w:pStyle w:val="subsection"/>
        <w:rPr>
          <w:sz w:val="24"/>
        </w:rPr>
      </w:pPr>
      <w:r w:rsidRPr="00883399">
        <w:rPr>
          <w:sz w:val="24"/>
        </w:rPr>
        <w:tab/>
      </w:r>
      <w:r w:rsidRPr="00883399">
        <w:rPr>
          <w:sz w:val="24"/>
        </w:rPr>
        <w:tab/>
        <w:t>The measurement of emissions by flux boxes must be undertaken on a quarterly basis for a period of at least 12 months.</w:t>
      </w:r>
    </w:p>
    <w:p w14:paraId="39C3A9BF" w14:textId="77777777" w:rsidR="006C7995" w:rsidRPr="00883399" w:rsidRDefault="006C7995" w:rsidP="006C7995">
      <w:pPr>
        <w:pStyle w:val="R2"/>
        <w:keepLines w:val="0"/>
        <w:tabs>
          <w:tab w:val="clear" w:pos="794"/>
        </w:tabs>
        <w:spacing w:before="240" w:line="312" w:lineRule="auto"/>
        <w:ind w:left="0" w:firstLine="0"/>
        <w:jc w:val="left"/>
        <w:rPr>
          <w:rFonts w:ascii="Arial" w:hAnsi="Arial" w:cs="Arial"/>
          <w:sz w:val="22"/>
          <w:szCs w:val="22"/>
        </w:rPr>
      </w:pPr>
      <w:r w:rsidRPr="00883399">
        <w:rPr>
          <w:rFonts w:ascii="Arial" w:hAnsi="Arial" w:cs="Arial"/>
          <w:sz w:val="22"/>
          <w:szCs w:val="22"/>
        </w:rPr>
        <w:t>The 12 month flux-box measurement period should be the same 12 month period in which the measurements of landfill gas collection in the well system are undertaken.</w:t>
      </w:r>
    </w:p>
    <w:p w14:paraId="2253DAC8" w14:textId="231D1B2C" w:rsidR="00872C03" w:rsidRPr="00883399" w:rsidRDefault="00872C03" w:rsidP="00872C03">
      <w:pPr>
        <w:pStyle w:val="ActHead5"/>
        <w:rPr>
          <w:sz w:val="28"/>
        </w:rPr>
      </w:pPr>
      <w:bookmarkStart w:id="1168" w:name="_Toc423517177"/>
      <w:bookmarkStart w:id="1169" w:name="_Toc495653108"/>
      <w:r w:rsidRPr="00883399">
        <w:rPr>
          <w:rStyle w:val="CharSectno"/>
          <w:sz w:val="28"/>
        </w:rPr>
        <w:t>5.17L</w:t>
      </w:r>
      <w:r w:rsidRPr="00883399">
        <w:rPr>
          <w:sz w:val="28"/>
        </w:rPr>
        <w:t xml:space="preserve">  Calculating the methane generation constant (</w:t>
      </w:r>
      <w:r w:rsidRPr="00883399">
        <w:rPr>
          <w:i/>
          <w:sz w:val="28"/>
        </w:rPr>
        <w:t>k</w:t>
      </w:r>
      <w:r w:rsidRPr="00883399">
        <w:rPr>
          <w:i/>
          <w:sz w:val="28"/>
          <w:vertAlign w:val="subscript"/>
        </w:rPr>
        <w:t>i</w:t>
      </w:r>
      <w:r w:rsidRPr="00883399">
        <w:rPr>
          <w:sz w:val="28"/>
        </w:rPr>
        <w:t>) for certain waste mix types</w:t>
      </w:r>
      <w:bookmarkEnd w:id="1168"/>
      <w:bookmarkEnd w:id="1169"/>
    </w:p>
    <w:p w14:paraId="05FCEEB2" w14:textId="77777777" w:rsidR="00872C03" w:rsidRPr="00883399" w:rsidRDefault="00872C03" w:rsidP="00872C03">
      <w:pPr>
        <w:pStyle w:val="subsection"/>
        <w:rPr>
          <w:sz w:val="24"/>
        </w:rPr>
      </w:pPr>
      <w:r w:rsidRPr="00883399">
        <w:rPr>
          <w:sz w:val="24"/>
        </w:rPr>
        <w:tab/>
        <w:t>(1)</w:t>
      </w:r>
      <w:r w:rsidRPr="00883399">
        <w:rPr>
          <w:sz w:val="24"/>
        </w:rPr>
        <w:tab/>
        <w:t>In this section:</w:t>
      </w:r>
    </w:p>
    <w:p w14:paraId="535DD371" w14:textId="77777777" w:rsidR="00872C03" w:rsidRPr="00883399" w:rsidRDefault="00872C03" w:rsidP="00872C03">
      <w:pPr>
        <w:pStyle w:val="Definition0"/>
        <w:rPr>
          <w:sz w:val="24"/>
        </w:rPr>
      </w:pPr>
      <w:r w:rsidRPr="00883399">
        <w:rPr>
          <w:b/>
          <w:i/>
          <w:sz w:val="24"/>
        </w:rPr>
        <w:t>k</w:t>
      </w:r>
      <w:r w:rsidRPr="00883399">
        <w:rPr>
          <w:b/>
          <w:i/>
          <w:sz w:val="24"/>
          <w:vertAlign w:val="subscript"/>
        </w:rPr>
        <w:t>i</w:t>
      </w:r>
      <w:r w:rsidRPr="00883399">
        <w:rPr>
          <w:b/>
          <w:i/>
          <w:sz w:val="24"/>
        </w:rPr>
        <w:t xml:space="preserve"> </w:t>
      </w:r>
      <w:r w:rsidRPr="00883399">
        <w:rPr>
          <w:sz w:val="24"/>
        </w:rPr>
        <w:t>means the methane generation constant for each waste mix type:</w:t>
      </w:r>
    </w:p>
    <w:p w14:paraId="51857968" w14:textId="77777777" w:rsidR="00872C03" w:rsidRPr="00883399" w:rsidRDefault="00872C03" w:rsidP="00872C03">
      <w:pPr>
        <w:pStyle w:val="paragraph"/>
        <w:rPr>
          <w:sz w:val="24"/>
        </w:rPr>
      </w:pPr>
      <w:r w:rsidRPr="00883399">
        <w:rPr>
          <w:sz w:val="24"/>
        </w:rPr>
        <w:tab/>
        <w:t>(a)</w:t>
      </w:r>
      <w:r w:rsidRPr="00883399">
        <w:rPr>
          <w:sz w:val="24"/>
        </w:rPr>
        <w:tab/>
        <w:t>mentioned in column 3 of the table in subsection 5.14(6); and</w:t>
      </w:r>
    </w:p>
    <w:p w14:paraId="088F5F14" w14:textId="77777777" w:rsidR="00872C03" w:rsidRPr="00883399" w:rsidRDefault="00872C03" w:rsidP="00872C03">
      <w:pPr>
        <w:pStyle w:val="paragraph"/>
        <w:rPr>
          <w:sz w:val="24"/>
        </w:rPr>
      </w:pPr>
      <w:r w:rsidRPr="00883399">
        <w:rPr>
          <w:sz w:val="24"/>
        </w:rPr>
        <w:tab/>
        <w:t>(b)</w:t>
      </w:r>
      <w:r w:rsidRPr="00883399">
        <w:rPr>
          <w:sz w:val="24"/>
        </w:rPr>
        <w:tab/>
        <w:t>worked out by performing the steps set out in subsection (2).</w:t>
      </w:r>
    </w:p>
    <w:p w14:paraId="7F3F4300" w14:textId="77777777" w:rsidR="00872C03" w:rsidRPr="00883399" w:rsidRDefault="00872C03" w:rsidP="00872C03">
      <w:pPr>
        <w:pStyle w:val="Definition0"/>
        <w:rPr>
          <w:sz w:val="24"/>
        </w:rPr>
      </w:pPr>
      <w:r w:rsidRPr="00883399">
        <w:rPr>
          <w:rFonts w:ascii="TimesNewRomanPS-ItalicMT" w:hAnsi="TimesNewRomanPS-ItalicMT" w:cs="TimesNewRomanPS-ItalicMT"/>
          <w:b/>
          <w:i/>
          <w:sz w:val="24"/>
        </w:rPr>
        <w:t>Q</w:t>
      </w:r>
      <w:r w:rsidRPr="00883399">
        <w:rPr>
          <w:rFonts w:ascii="TimesNewRomanPS-ItalicMT" w:hAnsi="TimesNewRomanPS-ItalicMT" w:cs="TimesNewRomanPS-ItalicMT"/>
          <w:b/>
          <w:i/>
          <w:sz w:val="24"/>
          <w:vertAlign w:val="subscript"/>
        </w:rPr>
        <w:t>z</w:t>
      </w:r>
      <w:r w:rsidRPr="00883399">
        <w:rPr>
          <w:b/>
          <w:i/>
          <w:sz w:val="24"/>
        </w:rPr>
        <w:t xml:space="preserve"> </w:t>
      </w:r>
      <w:r w:rsidRPr="00883399">
        <w:rPr>
          <w:sz w:val="24"/>
        </w:rPr>
        <w:t>means the gas flow rate for the representative zone.</w:t>
      </w:r>
    </w:p>
    <w:p w14:paraId="38FA54CE" w14:textId="77777777" w:rsidR="00872C03" w:rsidRPr="00883399" w:rsidRDefault="00872C03" w:rsidP="00872C03">
      <w:pPr>
        <w:pStyle w:val="Definition0"/>
        <w:rPr>
          <w:sz w:val="24"/>
        </w:rPr>
      </w:pPr>
      <w:r w:rsidRPr="00883399">
        <w:rPr>
          <w:b/>
          <w:i/>
          <w:sz w:val="24"/>
        </w:rPr>
        <w:t>CH</w:t>
      </w:r>
      <w:r w:rsidRPr="00883399">
        <w:rPr>
          <w:b/>
          <w:i/>
          <w:sz w:val="24"/>
          <w:vertAlign w:val="subscript"/>
        </w:rPr>
        <w:t>4gen</w:t>
      </w:r>
      <w:r w:rsidRPr="00883399">
        <w:rPr>
          <w:b/>
          <w:i/>
          <w:sz w:val="24"/>
        </w:rPr>
        <w:t xml:space="preserve"> </w:t>
      </w:r>
      <w:r w:rsidRPr="00883399">
        <w:rPr>
          <w:sz w:val="24"/>
        </w:rPr>
        <w:t>is the quantity of methane generated by the landfill as calculated under this section and measured in CO</w:t>
      </w:r>
      <w:r w:rsidRPr="00883399">
        <w:rPr>
          <w:sz w:val="24"/>
          <w:vertAlign w:val="subscript"/>
        </w:rPr>
        <w:t>2</w:t>
      </w:r>
      <w:r w:rsidRPr="00883399">
        <w:rPr>
          <w:sz w:val="24"/>
        </w:rPr>
        <w:noBreakHyphen/>
        <w:t>e tonnes.</w:t>
      </w:r>
    </w:p>
    <w:p w14:paraId="76943BC6" w14:textId="77777777" w:rsidR="00872C03" w:rsidRPr="00883399" w:rsidRDefault="00872C03" w:rsidP="00872C03">
      <w:pPr>
        <w:pStyle w:val="subsection"/>
        <w:spacing w:after="60"/>
        <w:rPr>
          <w:sz w:val="24"/>
        </w:rPr>
      </w:pPr>
      <w:r w:rsidRPr="00883399">
        <w:rPr>
          <w:sz w:val="24"/>
        </w:rPr>
        <w:tab/>
        <w:t>(2)</w:t>
      </w:r>
      <w:r w:rsidRPr="00883399">
        <w:rPr>
          <w:sz w:val="24"/>
        </w:rPr>
        <w:tab/>
        <w:t>For subsection (1), the steps are.</w:t>
      </w:r>
    </w:p>
    <w:tbl>
      <w:tblPr>
        <w:tblW w:w="0" w:type="auto"/>
        <w:tblInd w:w="948" w:type="dxa"/>
        <w:tblLayout w:type="fixed"/>
        <w:tblLook w:val="04A0" w:firstRow="1" w:lastRow="0" w:firstColumn="1" w:lastColumn="0" w:noHBand="0" w:noVBand="1"/>
      </w:tblPr>
      <w:tblGrid>
        <w:gridCol w:w="861"/>
        <w:gridCol w:w="6699"/>
      </w:tblGrid>
      <w:tr w:rsidR="00872C03" w:rsidRPr="00883399" w14:paraId="4D8AAAC4" w14:textId="77777777" w:rsidTr="0031057E">
        <w:trPr>
          <w:cantSplit/>
          <w:trHeight w:val="80"/>
        </w:trPr>
        <w:tc>
          <w:tcPr>
            <w:tcW w:w="861" w:type="dxa"/>
            <w:hideMark/>
          </w:tcPr>
          <w:p w14:paraId="2FC60C13" w14:textId="77777777" w:rsidR="00872C03" w:rsidRPr="00883399" w:rsidRDefault="00872C03" w:rsidP="0031057E">
            <w:pPr>
              <w:pStyle w:val="TableText"/>
              <w:keepLines/>
              <w:rPr>
                <w:sz w:val="24"/>
                <w:szCs w:val="22"/>
              </w:rPr>
            </w:pPr>
            <w:r w:rsidRPr="00883399">
              <w:rPr>
                <w:sz w:val="24"/>
                <w:szCs w:val="22"/>
              </w:rPr>
              <w:t>Step 1</w:t>
            </w:r>
          </w:p>
        </w:tc>
        <w:tc>
          <w:tcPr>
            <w:tcW w:w="6699" w:type="dxa"/>
            <w:hideMark/>
          </w:tcPr>
          <w:p w14:paraId="5BC9F32B" w14:textId="77777777" w:rsidR="00872C03" w:rsidRPr="00883399" w:rsidRDefault="00872C03" w:rsidP="0031057E">
            <w:pPr>
              <w:pStyle w:val="TableText"/>
              <w:keepLines/>
              <w:rPr>
                <w:sz w:val="24"/>
                <w:szCs w:val="22"/>
              </w:rPr>
            </w:pPr>
            <w:r w:rsidRPr="00883399">
              <w:rPr>
                <w:sz w:val="24"/>
                <w:szCs w:val="22"/>
              </w:rPr>
              <w:t>Identify the total amount of methane:</w:t>
            </w:r>
          </w:p>
          <w:p w14:paraId="6D829049" w14:textId="77777777" w:rsidR="00872C03" w:rsidRPr="00883399" w:rsidRDefault="00872C03" w:rsidP="0031057E">
            <w:pPr>
              <w:pStyle w:val="TableP1a"/>
              <w:keepLines/>
              <w:rPr>
                <w:sz w:val="24"/>
                <w:szCs w:val="22"/>
              </w:rPr>
            </w:pPr>
            <w:r w:rsidRPr="00883399">
              <w:rPr>
                <w:sz w:val="24"/>
                <w:szCs w:val="22"/>
              </w:rPr>
              <w:tab/>
              <w:t>(a)</w:t>
            </w:r>
            <w:r w:rsidRPr="00883399">
              <w:rPr>
                <w:sz w:val="24"/>
                <w:szCs w:val="22"/>
              </w:rPr>
              <w:tab/>
              <w:t>estimated in accordance with section 5.17D; and</w:t>
            </w:r>
          </w:p>
          <w:p w14:paraId="44E62E4A" w14:textId="77777777" w:rsidR="00872C03" w:rsidRPr="00883399" w:rsidRDefault="00872C03" w:rsidP="0031057E">
            <w:pPr>
              <w:pStyle w:val="TableP1a"/>
              <w:keepLines/>
              <w:rPr>
                <w:sz w:val="24"/>
                <w:szCs w:val="22"/>
              </w:rPr>
            </w:pPr>
            <w:r w:rsidRPr="00883399">
              <w:rPr>
                <w:sz w:val="24"/>
                <w:szCs w:val="22"/>
              </w:rPr>
              <w:tab/>
              <w:t>(b)</w:t>
            </w:r>
            <w:r w:rsidRPr="00883399">
              <w:rPr>
                <w:sz w:val="24"/>
                <w:szCs w:val="22"/>
              </w:rPr>
              <w:tab/>
              <w:t>collected at the gas collection wells in the representative zone.</w:t>
            </w:r>
          </w:p>
        </w:tc>
      </w:tr>
      <w:tr w:rsidR="00872C03" w:rsidRPr="00883399" w14:paraId="0978474D" w14:textId="77777777" w:rsidTr="0031057E">
        <w:trPr>
          <w:cantSplit/>
          <w:trHeight w:val="80"/>
        </w:trPr>
        <w:tc>
          <w:tcPr>
            <w:tcW w:w="861" w:type="dxa"/>
            <w:hideMark/>
          </w:tcPr>
          <w:p w14:paraId="5BC611E5" w14:textId="77777777" w:rsidR="00872C03" w:rsidRPr="00883399" w:rsidRDefault="00872C03" w:rsidP="0031057E">
            <w:pPr>
              <w:pStyle w:val="TableText"/>
              <w:keepLines/>
              <w:rPr>
                <w:sz w:val="24"/>
                <w:szCs w:val="22"/>
              </w:rPr>
            </w:pPr>
            <w:r w:rsidRPr="00883399">
              <w:rPr>
                <w:sz w:val="24"/>
                <w:szCs w:val="22"/>
              </w:rPr>
              <w:t>Step 2</w:t>
            </w:r>
          </w:p>
        </w:tc>
        <w:tc>
          <w:tcPr>
            <w:tcW w:w="6699" w:type="dxa"/>
            <w:hideMark/>
          </w:tcPr>
          <w:p w14:paraId="58A95F39" w14:textId="77777777" w:rsidR="00872C03" w:rsidRPr="00883399" w:rsidRDefault="00872C03" w:rsidP="0031057E">
            <w:pPr>
              <w:pStyle w:val="TableText"/>
              <w:keepLines/>
              <w:rPr>
                <w:sz w:val="24"/>
                <w:szCs w:val="22"/>
              </w:rPr>
            </w:pPr>
            <w:r w:rsidRPr="00883399">
              <w:rPr>
                <w:sz w:val="24"/>
                <w:szCs w:val="22"/>
              </w:rPr>
              <w:t>Identify the total amount of methane generated by the representative zone:</w:t>
            </w:r>
          </w:p>
          <w:p w14:paraId="74B6F029" w14:textId="77777777" w:rsidR="00872C03" w:rsidRPr="00883399" w:rsidRDefault="00872C03" w:rsidP="0031057E">
            <w:pPr>
              <w:pStyle w:val="TableP1a"/>
              <w:keepLines/>
              <w:rPr>
                <w:sz w:val="24"/>
                <w:szCs w:val="22"/>
              </w:rPr>
            </w:pPr>
            <w:r w:rsidRPr="00883399">
              <w:rPr>
                <w:sz w:val="24"/>
                <w:szCs w:val="22"/>
              </w:rPr>
              <w:tab/>
              <w:t>(a)</w:t>
            </w:r>
            <w:r w:rsidRPr="00883399">
              <w:rPr>
                <w:sz w:val="24"/>
                <w:szCs w:val="22"/>
              </w:rPr>
              <w:tab/>
              <w:t>measured in accordance with section 5.17H; and</w:t>
            </w:r>
          </w:p>
          <w:p w14:paraId="292848A9" w14:textId="77777777" w:rsidR="00872C03" w:rsidRPr="00883399" w:rsidRDefault="00872C03" w:rsidP="0031057E">
            <w:pPr>
              <w:pStyle w:val="TableP1a"/>
              <w:keepLines/>
              <w:rPr>
                <w:sz w:val="24"/>
                <w:szCs w:val="22"/>
              </w:rPr>
            </w:pPr>
            <w:r w:rsidRPr="00883399">
              <w:rPr>
                <w:sz w:val="24"/>
                <w:szCs w:val="22"/>
              </w:rPr>
              <w:tab/>
              <w:t>(b)</w:t>
            </w:r>
            <w:r w:rsidRPr="00883399">
              <w:rPr>
                <w:sz w:val="24"/>
                <w:szCs w:val="22"/>
              </w:rPr>
              <w:tab/>
              <w:t>converted in accordance with subsection 5.17H(5).</w:t>
            </w:r>
          </w:p>
        </w:tc>
      </w:tr>
      <w:tr w:rsidR="00872C03" w:rsidRPr="00883399" w14:paraId="331F800F" w14:textId="77777777" w:rsidTr="0031057E">
        <w:trPr>
          <w:cantSplit/>
          <w:trHeight w:val="80"/>
        </w:trPr>
        <w:tc>
          <w:tcPr>
            <w:tcW w:w="861" w:type="dxa"/>
            <w:hideMark/>
          </w:tcPr>
          <w:p w14:paraId="66540885" w14:textId="77777777" w:rsidR="00872C03" w:rsidRPr="00883399" w:rsidRDefault="00872C03" w:rsidP="0031057E">
            <w:pPr>
              <w:pStyle w:val="TableText"/>
              <w:keepLines/>
              <w:rPr>
                <w:sz w:val="24"/>
                <w:szCs w:val="22"/>
              </w:rPr>
            </w:pPr>
            <w:r w:rsidRPr="00883399">
              <w:rPr>
                <w:sz w:val="24"/>
                <w:szCs w:val="22"/>
              </w:rPr>
              <w:t>Step 3</w:t>
            </w:r>
          </w:p>
        </w:tc>
        <w:tc>
          <w:tcPr>
            <w:tcW w:w="6699" w:type="dxa"/>
            <w:hideMark/>
          </w:tcPr>
          <w:p w14:paraId="40D7D552" w14:textId="77777777" w:rsidR="00872C03" w:rsidRPr="00883399" w:rsidRDefault="00872C03" w:rsidP="0031057E">
            <w:pPr>
              <w:pStyle w:val="TableText"/>
              <w:keepLines/>
              <w:rPr>
                <w:sz w:val="24"/>
                <w:szCs w:val="22"/>
              </w:rPr>
            </w:pPr>
            <w:r w:rsidRPr="00883399">
              <w:rPr>
                <w:sz w:val="24"/>
                <w:szCs w:val="22"/>
              </w:rPr>
              <w:t>Identify Q</w:t>
            </w:r>
            <w:r w:rsidRPr="00883399">
              <w:rPr>
                <w:sz w:val="24"/>
                <w:szCs w:val="22"/>
                <w:vertAlign w:val="subscript"/>
              </w:rPr>
              <w:t>z</w:t>
            </w:r>
            <w:r w:rsidRPr="00883399">
              <w:rPr>
                <w:sz w:val="24"/>
                <w:szCs w:val="22"/>
              </w:rPr>
              <w:t xml:space="preserve"> by adding the amount identified under step 1 to the amount identified under step 2.</w:t>
            </w:r>
          </w:p>
        </w:tc>
      </w:tr>
      <w:tr w:rsidR="00872C03" w:rsidRPr="00883399" w14:paraId="73B90BA1" w14:textId="77777777" w:rsidTr="0031057E">
        <w:trPr>
          <w:cantSplit/>
          <w:trHeight w:val="80"/>
        </w:trPr>
        <w:tc>
          <w:tcPr>
            <w:tcW w:w="861" w:type="dxa"/>
            <w:hideMark/>
          </w:tcPr>
          <w:p w14:paraId="5A808E0C" w14:textId="77777777" w:rsidR="00872C03" w:rsidRPr="00883399" w:rsidRDefault="00872C03" w:rsidP="0031057E">
            <w:pPr>
              <w:pStyle w:val="TableText"/>
              <w:keepLines/>
              <w:rPr>
                <w:sz w:val="24"/>
                <w:szCs w:val="22"/>
              </w:rPr>
            </w:pPr>
            <w:r w:rsidRPr="00883399">
              <w:rPr>
                <w:sz w:val="24"/>
                <w:szCs w:val="22"/>
              </w:rPr>
              <w:lastRenderedPageBreak/>
              <w:t>Step 4</w:t>
            </w:r>
          </w:p>
        </w:tc>
        <w:tc>
          <w:tcPr>
            <w:tcW w:w="6699" w:type="dxa"/>
            <w:hideMark/>
          </w:tcPr>
          <w:p w14:paraId="10D650F5" w14:textId="77777777" w:rsidR="00872C03" w:rsidRPr="00883399" w:rsidRDefault="00872C03" w:rsidP="0031057E">
            <w:pPr>
              <w:pStyle w:val="TableText"/>
              <w:keepLines/>
              <w:rPr>
                <w:sz w:val="24"/>
                <w:szCs w:val="22"/>
              </w:rPr>
            </w:pPr>
            <w:r w:rsidRPr="00883399">
              <w:rPr>
                <w:sz w:val="24"/>
                <w:szCs w:val="22"/>
              </w:rPr>
              <w:t>Calculate CH</w:t>
            </w:r>
            <w:r w:rsidRPr="00883399">
              <w:rPr>
                <w:sz w:val="24"/>
                <w:szCs w:val="22"/>
                <w:vertAlign w:val="subscript"/>
              </w:rPr>
              <w:t>4gen</w:t>
            </w:r>
            <w:r w:rsidRPr="00883399">
              <w:rPr>
                <w:sz w:val="24"/>
                <w:szCs w:val="22"/>
              </w:rPr>
              <w:t xml:space="preserve"> to within ± 0.001 of Q</w:t>
            </w:r>
            <w:r w:rsidRPr="00883399">
              <w:rPr>
                <w:sz w:val="24"/>
                <w:szCs w:val="22"/>
                <w:vertAlign w:val="subscript"/>
              </w:rPr>
              <w:t>z</w:t>
            </w:r>
            <w:r w:rsidRPr="00883399">
              <w:rPr>
                <w:sz w:val="24"/>
                <w:szCs w:val="22"/>
              </w:rPr>
              <w:t>, using the amount identified under step 3 and the equation mentioned in section 5.4D, by adjusting incrementally each default methane generation constant for each of those waste mix types using the following formula:</w:t>
            </w:r>
          </w:p>
          <w:p w14:paraId="08EC7E61" w14:textId="77777777" w:rsidR="00872C03" w:rsidRPr="00883399" w:rsidRDefault="00872C03" w:rsidP="0031057E">
            <w:pPr>
              <w:pStyle w:val="Formula"/>
              <w:keepLines/>
              <w:spacing w:before="120" w:after="120"/>
              <w:ind w:left="34"/>
              <w:jc w:val="both"/>
              <w:rPr>
                <w:szCs w:val="22"/>
              </w:rPr>
            </w:pPr>
            <w:r w:rsidRPr="00883399">
              <w:rPr>
                <w:szCs w:val="22"/>
              </w:rPr>
              <w:t>k</w:t>
            </w:r>
            <w:r w:rsidRPr="00883399">
              <w:rPr>
                <w:szCs w:val="22"/>
                <w:vertAlign w:val="subscript"/>
              </w:rPr>
              <w:t>iadj</w:t>
            </w:r>
            <w:r w:rsidRPr="00883399">
              <w:rPr>
                <w:szCs w:val="22"/>
              </w:rPr>
              <w:t xml:space="preserve"> = k</w:t>
            </w:r>
            <w:r w:rsidRPr="00883399">
              <w:rPr>
                <w:szCs w:val="22"/>
                <w:vertAlign w:val="subscript"/>
              </w:rPr>
              <w:t>idef</w:t>
            </w:r>
            <w:r w:rsidRPr="00883399">
              <w:rPr>
                <w:szCs w:val="22"/>
              </w:rPr>
              <w:t xml:space="preserve"> </w:t>
            </w:r>
            <w:r w:rsidRPr="00883399">
              <w:rPr>
                <w:szCs w:val="22"/>
              </w:rPr>
              <w:sym w:font="Wingdings 2" w:char="F0CD"/>
            </w:r>
            <w:r w:rsidRPr="00883399">
              <w:rPr>
                <w:szCs w:val="22"/>
              </w:rPr>
              <w:t xml:space="preserve"> (1 + incr</w:t>
            </w:r>
            <w:r w:rsidRPr="00883399">
              <w:rPr>
                <w:szCs w:val="22"/>
                <w:vertAlign w:val="subscript"/>
              </w:rPr>
              <w:t>%</w:t>
            </w:r>
            <w:r w:rsidRPr="00883399">
              <w:rPr>
                <w:szCs w:val="22"/>
              </w:rPr>
              <w:t>)</w:t>
            </w:r>
          </w:p>
        </w:tc>
      </w:tr>
      <w:tr w:rsidR="00872C03" w:rsidRPr="00883399" w14:paraId="457505BD" w14:textId="77777777" w:rsidTr="0031057E">
        <w:trPr>
          <w:cantSplit/>
          <w:trHeight w:val="80"/>
        </w:trPr>
        <w:tc>
          <w:tcPr>
            <w:tcW w:w="861" w:type="dxa"/>
            <w:hideMark/>
          </w:tcPr>
          <w:p w14:paraId="1D0008C4" w14:textId="77777777" w:rsidR="00872C03" w:rsidRPr="00883399" w:rsidRDefault="00872C03" w:rsidP="0031057E">
            <w:pPr>
              <w:keepLines/>
              <w:spacing w:before="60" w:after="60"/>
              <w:rPr>
                <w:i/>
                <w:szCs w:val="22"/>
              </w:rPr>
            </w:pPr>
          </w:p>
        </w:tc>
        <w:tc>
          <w:tcPr>
            <w:tcW w:w="6699" w:type="dxa"/>
            <w:hideMark/>
          </w:tcPr>
          <w:p w14:paraId="255D02A0" w14:textId="77777777" w:rsidR="00872C03" w:rsidRPr="00883399" w:rsidRDefault="00872C03" w:rsidP="0031057E">
            <w:pPr>
              <w:pStyle w:val="ZRcN"/>
              <w:keepLines/>
              <w:ind w:left="0"/>
              <w:rPr>
                <w:szCs w:val="22"/>
              </w:rPr>
            </w:pPr>
            <w:r w:rsidRPr="00883399">
              <w:rPr>
                <w:szCs w:val="22"/>
              </w:rPr>
              <w:t>where:</w:t>
            </w:r>
          </w:p>
          <w:p w14:paraId="7C3A692C" w14:textId="77777777" w:rsidR="00872C03" w:rsidRPr="00883399" w:rsidRDefault="00872C03" w:rsidP="0031057E">
            <w:pPr>
              <w:pStyle w:val="definition"/>
              <w:keepLines/>
              <w:ind w:left="0"/>
              <w:jc w:val="left"/>
              <w:rPr>
                <w:rFonts w:ascii="Arial" w:hAnsi="Arial" w:cs="Arial"/>
                <w:szCs w:val="22"/>
              </w:rPr>
            </w:pPr>
            <w:r w:rsidRPr="00883399">
              <w:rPr>
                <w:b/>
                <w:i/>
                <w:szCs w:val="22"/>
              </w:rPr>
              <w:t>k</w:t>
            </w:r>
            <w:r w:rsidRPr="00883399">
              <w:rPr>
                <w:b/>
                <w:i/>
                <w:szCs w:val="22"/>
                <w:vertAlign w:val="subscript"/>
              </w:rPr>
              <w:t xml:space="preserve">iadj </w:t>
            </w:r>
            <w:r w:rsidRPr="00883399">
              <w:rPr>
                <w:szCs w:val="22"/>
              </w:rPr>
              <w:t>is the adjusted methane generation constant for each waste mix type mentioned in column 3 of the table in subsection 5.14(6).</w:t>
            </w:r>
          </w:p>
          <w:p w14:paraId="67E1ADE6" w14:textId="77777777" w:rsidR="00872C03" w:rsidRPr="00883399" w:rsidRDefault="00872C03" w:rsidP="0031057E">
            <w:pPr>
              <w:pStyle w:val="definition"/>
              <w:keepLines/>
              <w:ind w:left="0"/>
              <w:jc w:val="left"/>
              <w:rPr>
                <w:rFonts w:ascii="Arial" w:hAnsi="Arial" w:cs="Arial"/>
                <w:szCs w:val="22"/>
              </w:rPr>
            </w:pPr>
            <w:r w:rsidRPr="00883399">
              <w:rPr>
                <w:b/>
                <w:i/>
                <w:szCs w:val="22"/>
              </w:rPr>
              <w:t>k</w:t>
            </w:r>
            <w:r w:rsidRPr="00883399">
              <w:rPr>
                <w:b/>
                <w:i/>
                <w:szCs w:val="22"/>
                <w:vertAlign w:val="subscript"/>
              </w:rPr>
              <w:t>idef</w:t>
            </w:r>
            <w:r w:rsidRPr="00883399">
              <w:rPr>
                <w:b/>
                <w:i/>
                <w:szCs w:val="22"/>
              </w:rPr>
              <w:t xml:space="preserve"> </w:t>
            </w:r>
            <w:r w:rsidRPr="00883399">
              <w:rPr>
                <w:szCs w:val="22"/>
              </w:rPr>
              <w:t>is the default methane generation constant for each waste mix type mentioned in column 3 of the table in subsection 5.14(6).</w:t>
            </w:r>
          </w:p>
          <w:p w14:paraId="57D94691" w14:textId="77777777" w:rsidR="00872C03" w:rsidRPr="00883399" w:rsidRDefault="00872C03" w:rsidP="0031057E">
            <w:pPr>
              <w:pStyle w:val="definition"/>
              <w:keepLines/>
              <w:ind w:left="0"/>
              <w:jc w:val="left"/>
              <w:rPr>
                <w:rFonts w:ascii="Arial" w:hAnsi="Arial" w:cs="Arial"/>
                <w:szCs w:val="22"/>
              </w:rPr>
            </w:pPr>
            <w:r w:rsidRPr="00883399">
              <w:rPr>
                <w:b/>
                <w:i/>
                <w:szCs w:val="22"/>
              </w:rPr>
              <w:t>incr</w:t>
            </w:r>
            <w:r w:rsidRPr="00883399">
              <w:rPr>
                <w:b/>
                <w:i/>
                <w:szCs w:val="22"/>
                <w:vertAlign w:val="subscript"/>
              </w:rPr>
              <w:t>%</w:t>
            </w:r>
            <w:r w:rsidRPr="00883399">
              <w:rPr>
                <w:b/>
                <w:szCs w:val="22"/>
              </w:rPr>
              <w:t xml:space="preserve"> </w:t>
            </w:r>
            <w:r w:rsidRPr="00883399">
              <w:rPr>
                <w:szCs w:val="22"/>
              </w:rPr>
              <w:t>is the incremental percentage (≤ 1%).</w:t>
            </w:r>
          </w:p>
        </w:tc>
      </w:tr>
    </w:tbl>
    <w:p w14:paraId="3569EE11" w14:textId="77777777" w:rsidR="00872C03" w:rsidRPr="00883399" w:rsidRDefault="00872C03" w:rsidP="00872C03">
      <w:pPr>
        <w:pStyle w:val="subsection"/>
        <w:rPr>
          <w:sz w:val="24"/>
        </w:rPr>
      </w:pPr>
      <w:r w:rsidRPr="00883399">
        <w:rPr>
          <w:sz w:val="24"/>
        </w:rPr>
        <w:tab/>
        <w:t>(3)</w:t>
      </w:r>
      <w:r w:rsidRPr="00883399">
        <w:rPr>
          <w:sz w:val="24"/>
        </w:rPr>
        <w:tab/>
        <w:t>For subsection (1):</w:t>
      </w:r>
    </w:p>
    <w:p w14:paraId="3BDEC3D0" w14:textId="77777777" w:rsidR="00872C03" w:rsidRPr="00883399" w:rsidRDefault="00872C03" w:rsidP="00872C03">
      <w:pPr>
        <w:pStyle w:val="paragraph"/>
        <w:rPr>
          <w:sz w:val="24"/>
        </w:rPr>
      </w:pPr>
      <w:r w:rsidRPr="00883399">
        <w:rPr>
          <w:sz w:val="24"/>
        </w:rPr>
        <w:tab/>
        <w:t>(a)</w:t>
      </w:r>
      <w:r w:rsidRPr="00883399">
        <w:rPr>
          <w:sz w:val="24"/>
        </w:rPr>
        <w:tab/>
        <w:t>CH</w:t>
      </w:r>
      <w:r w:rsidRPr="00883399">
        <w:rPr>
          <w:sz w:val="24"/>
          <w:vertAlign w:val="subscript"/>
        </w:rPr>
        <w:t>4gen</w:t>
      </w:r>
      <w:r w:rsidRPr="00883399">
        <w:rPr>
          <w:sz w:val="24"/>
        </w:rPr>
        <w:t xml:space="preserve"> for each representative zone must be worked out:</w:t>
      </w:r>
    </w:p>
    <w:p w14:paraId="6C0AE0E5" w14:textId="77777777" w:rsidR="00872C03" w:rsidRPr="00883399" w:rsidRDefault="00872C03" w:rsidP="00872C03">
      <w:pPr>
        <w:pStyle w:val="paragraphsub"/>
        <w:rPr>
          <w:sz w:val="24"/>
        </w:rPr>
      </w:pPr>
      <w:r w:rsidRPr="00883399">
        <w:rPr>
          <w:sz w:val="24"/>
        </w:rPr>
        <w:tab/>
        <w:t>(i)</w:t>
      </w:r>
      <w:r w:rsidRPr="00883399">
        <w:rPr>
          <w:sz w:val="24"/>
        </w:rPr>
        <w:tab/>
        <w:t>using the estimates mentioned in section 5.4A and the equations mentioned in sections 5.4B, 5.4C and 5.4D; and</w:t>
      </w:r>
    </w:p>
    <w:p w14:paraId="7862A554" w14:textId="77777777" w:rsidR="00872C03" w:rsidRPr="00883399" w:rsidRDefault="00872C03" w:rsidP="00872C03">
      <w:pPr>
        <w:pStyle w:val="paragraphsub"/>
        <w:rPr>
          <w:sz w:val="24"/>
        </w:rPr>
      </w:pPr>
      <w:r w:rsidRPr="00883399">
        <w:rPr>
          <w:sz w:val="24"/>
        </w:rPr>
        <w:tab/>
        <w:t>(ii)</w:t>
      </w:r>
      <w:r w:rsidRPr="00883399">
        <w:rPr>
          <w:sz w:val="24"/>
        </w:rPr>
        <w:tab/>
        <w:t>for each waste mix type mentioned in column 3 of the table in subsection 5.14(6)—using the formula for calculating k</w:t>
      </w:r>
      <w:r w:rsidRPr="00883399">
        <w:rPr>
          <w:sz w:val="24"/>
          <w:vertAlign w:val="subscript"/>
        </w:rPr>
        <w:t>iadj</w:t>
      </w:r>
      <w:r w:rsidRPr="00883399">
        <w:rPr>
          <w:sz w:val="24"/>
        </w:rPr>
        <w:t xml:space="preserve"> and the method of working out k</w:t>
      </w:r>
      <w:r w:rsidRPr="00883399">
        <w:rPr>
          <w:sz w:val="24"/>
          <w:vertAlign w:val="subscript"/>
        </w:rPr>
        <w:t>i</w:t>
      </w:r>
      <w:r w:rsidRPr="00883399">
        <w:rPr>
          <w:sz w:val="24"/>
        </w:rPr>
        <w:t xml:space="preserve"> in this section; and</w:t>
      </w:r>
    </w:p>
    <w:p w14:paraId="7B6D7655" w14:textId="77777777" w:rsidR="00872C03" w:rsidRPr="00883399" w:rsidRDefault="00872C03" w:rsidP="00872C03">
      <w:pPr>
        <w:pStyle w:val="paragraph"/>
        <w:rPr>
          <w:sz w:val="24"/>
        </w:rPr>
      </w:pPr>
      <w:r w:rsidRPr="00883399">
        <w:rPr>
          <w:sz w:val="24"/>
        </w:rPr>
        <w:tab/>
        <w:t>(b)</w:t>
      </w:r>
      <w:r w:rsidRPr="00883399">
        <w:rPr>
          <w:sz w:val="24"/>
        </w:rPr>
        <w:tab/>
        <w:t>it is sufficient if CH</w:t>
      </w:r>
      <w:r w:rsidRPr="00883399">
        <w:rPr>
          <w:sz w:val="24"/>
          <w:vertAlign w:val="subscript"/>
        </w:rPr>
        <w:t>4gen</w:t>
      </w:r>
      <w:r w:rsidRPr="00883399">
        <w:rPr>
          <w:sz w:val="24"/>
        </w:rPr>
        <w:t xml:space="preserve"> is within ± 0.001 of Q</w:t>
      </w:r>
      <w:r w:rsidRPr="00883399">
        <w:rPr>
          <w:sz w:val="24"/>
          <w:vertAlign w:val="subscript"/>
        </w:rPr>
        <w:t>z</w:t>
      </w:r>
      <w:r w:rsidRPr="00883399">
        <w:rPr>
          <w:sz w:val="24"/>
        </w:rPr>
        <w:t>.</w:t>
      </w:r>
    </w:p>
    <w:p w14:paraId="31618D98" w14:textId="77777777" w:rsidR="00872C03" w:rsidRPr="00883399" w:rsidRDefault="00872C03" w:rsidP="00872C03">
      <w:pPr>
        <w:pStyle w:val="subsection"/>
        <w:rPr>
          <w:sz w:val="24"/>
        </w:rPr>
      </w:pPr>
      <w:r w:rsidRPr="00883399">
        <w:rPr>
          <w:sz w:val="24"/>
        </w:rPr>
        <w:tab/>
        <w:t>(4)</w:t>
      </w:r>
      <w:r w:rsidRPr="00883399">
        <w:rPr>
          <w:sz w:val="24"/>
        </w:rPr>
        <w:tab/>
        <w:t>Subsection (6) applies if:</w:t>
      </w:r>
    </w:p>
    <w:p w14:paraId="0681DDA8" w14:textId="77777777" w:rsidR="00872C03" w:rsidRPr="00883399" w:rsidRDefault="00872C03" w:rsidP="00872C03">
      <w:pPr>
        <w:pStyle w:val="paragraph"/>
        <w:rPr>
          <w:sz w:val="24"/>
        </w:rPr>
      </w:pPr>
      <w:r w:rsidRPr="00883399">
        <w:rPr>
          <w:sz w:val="24"/>
        </w:rPr>
        <w:tab/>
        <w:t>(a)</w:t>
      </w:r>
      <w:r w:rsidRPr="00883399">
        <w:rPr>
          <w:sz w:val="24"/>
        </w:rPr>
        <w:tab/>
        <w:t>in the previous reporting year, a methane generation constant for each waste mix type mentioned in column 3 of a table in section 5.14 is selected from one of those tables for the purpose of estimating methane emissions from the solid waste located in a sub</w:t>
      </w:r>
      <w:r w:rsidRPr="00883399">
        <w:rPr>
          <w:sz w:val="24"/>
        </w:rPr>
        <w:noBreakHyphen/>
        <w:t>facility zone; and</w:t>
      </w:r>
    </w:p>
    <w:p w14:paraId="3F213CEA" w14:textId="77777777" w:rsidR="00872C03" w:rsidRPr="00883399" w:rsidRDefault="00872C03" w:rsidP="00872C03">
      <w:pPr>
        <w:pStyle w:val="paragraph"/>
        <w:rPr>
          <w:sz w:val="24"/>
        </w:rPr>
      </w:pPr>
      <w:r w:rsidRPr="00883399">
        <w:rPr>
          <w:sz w:val="24"/>
        </w:rPr>
        <w:tab/>
        <w:t>(b)</w:t>
      </w:r>
      <w:r w:rsidRPr="00883399">
        <w:rPr>
          <w:sz w:val="24"/>
        </w:rPr>
        <w:tab/>
        <w:t>k</w:t>
      </w:r>
      <w:r w:rsidRPr="00883399">
        <w:rPr>
          <w:sz w:val="24"/>
          <w:vertAlign w:val="subscript"/>
        </w:rPr>
        <w:t xml:space="preserve">i </w:t>
      </w:r>
      <w:r w:rsidRPr="00883399">
        <w:rPr>
          <w:sz w:val="24"/>
        </w:rPr>
        <w:t>is worked out before 1 October 2013 for each waste mix type mentioned in column 3 of the table in subsection 5.14(6).</w:t>
      </w:r>
    </w:p>
    <w:p w14:paraId="792AB066" w14:textId="77777777" w:rsidR="00872C03" w:rsidRPr="00883399" w:rsidRDefault="00872C03" w:rsidP="00872C03">
      <w:pPr>
        <w:pStyle w:val="subsection"/>
        <w:rPr>
          <w:sz w:val="24"/>
        </w:rPr>
      </w:pPr>
      <w:r w:rsidRPr="00883399">
        <w:rPr>
          <w:sz w:val="24"/>
        </w:rPr>
        <w:tab/>
        <w:t>(5)</w:t>
      </w:r>
      <w:r w:rsidRPr="00883399">
        <w:rPr>
          <w:sz w:val="24"/>
        </w:rPr>
        <w:tab/>
        <w:t>However, subsection (6) does not apply to solid waste of a waste mix type mentioned in column 3 of the table in subsection 5.14(6) if:</w:t>
      </w:r>
    </w:p>
    <w:p w14:paraId="75BE3F9F" w14:textId="77777777" w:rsidR="00872C03" w:rsidRPr="00883399" w:rsidRDefault="00872C03" w:rsidP="00872C03">
      <w:pPr>
        <w:pStyle w:val="paragraph"/>
        <w:rPr>
          <w:sz w:val="24"/>
        </w:rPr>
      </w:pPr>
      <w:r w:rsidRPr="00883399">
        <w:rPr>
          <w:sz w:val="24"/>
        </w:rPr>
        <w:tab/>
        <w:t>(a)</w:t>
      </w:r>
      <w:r w:rsidRPr="00883399">
        <w:rPr>
          <w:sz w:val="24"/>
        </w:rPr>
        <w:tab/>
        <w:t>the waste has been deposited in a sub</w:t>
      </w:r>
      <w:r w:rsidRPr="00883399">
        <w:rPr>
          <w:sz w:val="24"/>
        </w:rPr>
        <w:noBreakHyphen/>
        <w:t>facility zone; and</w:t>
      </w:r>
    </w:p>
    <w:p w14:paraId="1E9BBFA8" w14:textId="77777777" w:rsidR="00872C03" w:rsidRPr="00883399" w:rsidRDefault="00872C03" w:rsidP="00872C03">
      <w:pPr>
        <w:pStyle w:val="paragraph"/>
        <w:rPr>
          <w:sz w:val="24"/>
        </w:rPr>
      </w:pPr>
      <w:r w:rsidRPr="00883399">
        <w:rPr>
          <w:sz w:val="24"/>
        </w:rPr>
        <w:tab/>
        <w:t>(b)</w:t>
      </w:r>
      <w:r w:rsidRPr="00883399">
        <w:rPr>
          <w:sz w:val="24"/>
        </w:rPr>
        <w:tab/>
        <w:t>a methane generation constant for the solid waste has been:</w:t>
      </w:r>
    </w:p>
    <w:p w14:paraId="58146479" w14:textId="77777777" w:rsidR="00872C03" w:rsidRPr="00883399" w:rsidRDefault="00872C03" w:rsidP="00872C03">
      <w:pPr>
        <w:pStyle w:val="paragraphsub"/>
        <w:rPr>
          <w:sz w:val="24"/>
        </w:rPr>
      </w:pPr>
      <w:r w:rsidRPr="00883399">
        <w:rPr>
          <w:sz w:val="24"/>
        </w:rPr>
        <w:tab/>
        <w:t>(i)</w:t>
      </w:r>
      <w:r w:rsidRPr="00883399">
        <w:rPr>
          <w:sz w:val="24"/>
        </w:rPr>
        <w:tab/>
        <w:t>estimated under method 2; and</w:t>
      </w:r>
    </w:p>
    <w:p w14:paraId="215F6AFF" w14:textId="77777777" w:rsidR="00872C03" w:rsidRPr="00883399" w:rsidRDefault="00872C03" w:rsidP="00872C03">
      <w:pPr>
        <w:pStyle w:val="paragraphsub"/>
        <w:rPr>
          <w:sz w:val="24"/>
        </w:rPr>
      </w:pPr>
      <w:r w:rsidRPr="00883399">
        <w:rPr>
          <w:sz w:val="24"/>
        </w:rPr>
        <w:tab/>
        <w:t>(ii)</w:t>
      </w:r>
      <w:r w:rsidRPr="00883399">
        <w:rPr>
          <w:sz w:val="24"/>
        </w:rPr>
        <w:tab/>
        <w:t>used in the previous reporting year.</w:t>
      </w:r>
    </w:p>
    <w:p w14:paraId="649887D6" w14:textId="77777777" w:rsidR="00872C03" w:rsidRPr="00883399" w:rsidRDefault="00872C03" w:rsidP="00872C03">
      <w:pPr>
        <w:pStyle w:val="subsection"/>
        <w:rPr>
          <w:sz w:val="24"/>
        </w:rPr>
      </w:pPr>
      <w:r w:rsidRPr="00883399">
        <w:rPr>
          <w:sz w:val="24"/>
        </w:rPr>
        <w:tab/>
        <w:t>(6)</w:t>
      </w:r>
      <w:r w:rsidRPr="00883399">
        <w:rPr>
          <w:sz w:val="24"/>
        </w:rPr>
        <w:tab/>
        <w:t>For each waste mix type mentioned in column 3 of the table in subsection 5.14(6), k</w:t>
      </w:r>
      <w:r w:rsidRPr="00883399">
        <w:rPr>
          <w:sz w:val="24"/>
          <w:vertAlign w:val="subscript"/>
        </w:rPr>
        <w:t>i</w:t>
      </w:r>
      <w:r w:rsidRPr="00883399">
        <w:rPr>
          <w:sz w:val="24"/>
        </w:rPr>
        <w:t xml:space="preserve"> must be applied in the calculation of methane:</w:t>
      </w:r>
    </w:p>
    <w:p w14:paraId="4A9FF65B" w14:textId="77777777" w:rsidR="00872C03" w:rsidRPr="00883399" w:rsidRDefault="00872C03" w:rsidP="00872C03">
      <w:pPr>
        <w:pStyle w:val="paragraph"/>
        <w:rPr>
          <w:sz w:val="24"/>
        </w:rPr>
      </w:pPr>
      <w:r w:rsidRPr="00883399">
        <w:rPr>
          <w:sz w:val="24"/>
        </w:rPr>
        <w:lastRenderedPageBreak/>
        <w:tab/>
        <w:t>(a)</w:t>
      </w:r>
      <w:r w:rsidRPr="00883399">
        <w:rPr>
          <w:sz w:val="24"/>
        </w:rPr>
        <w:tab/>
        <w:t>generated from solid waste deposited in a representative zone in a reporting year; and</w:t>
      </w:r>
    </w:p>
    <w:p w14:paraId="75BAE430" w14:textId="77777777" w:rsidR="00872C03" w:rsidRPr="00883399" w:rsidRDefault="00872C03" w:rsidP="00872C03">
      <w:pPr>
        <w:pStyle w:val="paragraph"/>
        <w:rPr>
          <w:sz w:val="24"/>
        </w:rPr>
      </w:pPr>
      <w:r w:rsidRPr="00883399">
        <w:rPr>
          <w:sz w:val="24"/>
        </w:rPr>
        <w:tab/>
        <w:t>(b)</w:t>
      </w:r>
      <w:r w:rsidRPr="00883399">
        <w:rPr>
          <w:sz w:val="24"/>
        </w:rPr>
        <w:tab/>
        <w:t>generated from solid waste deposited in every sub</w:t>
      </w:r>
      <w:r w:rsidRPr="00883399">
        <w:rPr>
          <w:sz w:val="24"/>
        </w:rPr>
        <w:noBreakHyphen/>
        <w:t>facility zone in each reporting year for which an independent expert has certified, in accordance with section 5.17B, that the representative zone is representative of the sub</w:t>
      </w:r>
      <w:r w:rsidRPr="00883399">
        <w:rPr>
          <w:sz w:val="24"/>
        </w:rPr>
        <w:noBreakHyphen/>
        <w:t>facility zone; and</w:t>
      </w:r>
    </w:p>
    <w:p w14:paraId="1DD0EB31" w14:textId="77777777" w:rsidR="00872C03" w:rsidRPr="00883399" w:rsidRDefault="00872C03" w:rsidP="00872C03">
      <w:pPr>
        <w:pStyle w:val="paragraph"/>
        <w:rPr>
          <w:sz w:val="24"/>
        </w:rPr>
      </w:pPr>
      <w:r w:rsidRPr="00883399">
        <w:rPr>
          <w:sz w:val="24"/>
          <w:szCs w:val="22"/>
        </w:rPr>
        <w:tab/>
      </w:r>
      <w:r w:rsidRPr="00883399">
        <w:rPr>
          <w:sz w:val="24"/>
        </w:rPr>
        <w:t>(c)</w:t>
      </w:r>
      <w:r w:rsidRPr="00883399">
        <w:rPr>
          <w:sz w:val="24"/>
        </w:rPr>
        <w:tab/>
        <w:t>if the methane is calculated using the estimates mentioned in paragraph 5.14A(a), (b), (c) or (d) and all of the following:</w:t>
      </w:r>
    </w:p>
    <w:p w14:paraId="72DB840D" w14:textId="77777777" w:rsidR="00872C03" w:rsidRPr="00883399" w:rsidRDefault="00872C03" w:rsidP="00872C03">
      <w:pPr>
        <w:pStyle w:val="paragraphsub"/>
        <w:rPr>
          <w:sz w:val="24"/>
        </w:rPr>
      </w:pPr>
      <w:r w:rsidRPr="00883399">
        <w:rPr>
          <w:sz w:val="24"/>
        </w:rPr>
        <w:tab/>
        <w:t>(i)</w:t>
      </w:r>
      <w:r w:rsidRPr="00883399">
        <w:rPr>
          <w:sz w:val="24"/>
        </w:rPr>
        <w:tab/>
        <w:t>the fraction of organic carbon dissimilated mentioned in column 3 of the table in section 5.14A;</w:t>
      </w:r>
    </w:p>
    <w:p w14:paraId="6A65CAF9" w14:textId="77777777" w:rsidR="00872C03" w:rsidRPr="00883399" w:rsidRDefault="00872C03" w:rsidP="00872C03">
      <w:pPr>
        <w:pStyle w:val="paragraphsub"/>
        <w:rPr>
          <w:sz w:val="24"/>
        </w:rPr>
      </w:pPr>
      <w:r w:rsidRPr="00883399">
        <w:rPr>
          <w:sz w:val="24"/>
        </w:rPr>
        <w:tab/>
        <w:t>(ii)</w:t>
      </w:r>
      <w:r w:rsidRPr="00883399">
        <w:rPr>
          <w:sz w:val="24"/>
        </w:rPr>
        <w:tab/>
        <w:t>the methane correction factor for aerobic decomposition mentioned in section 5.14B;</w:t>
      </w:r>
    </w:p>
    <w:p w14:paraId="5E28B428" w14:textId="77777777" w:rsidR="00872C03" w:rsidRPr="00883399" w:rsidRDefault="00872C03" w:rsidP="00872C03">
      <w:pPr>
        <w:pStyle w:val="paragraphsub"/>
        <w:rPr>
          <w:sz w:val="24"/>
        </w:rPr>
      </w:pPr>
      <w:r w:rsidRPr="00883399">
        <w:rPr>
          <w:sz w:val="24"/>
        </w:rPr>
        <w:tab/>
        <w:t>(iii)</w:t>
      </w:r>
      <w:r w:rsidRPr="00883399">
        <w:rPr>
          <w:sz w:val="24"/>
        </w:rPr>
        <w:tab/>
        <w:t>the fraction by volume of methane generated in landfill gas mentioned in section 5.14C.</w:t>
      </w:r>
    </w:p>
    <w:p w14:paraId="5A944C7B" w14:textId="77777777" w:rsidR="00872C03" w:rsidRPr="00883399" w:rsidRDefault="00872C03" w:rsidP="00872C03">
      <w:pPr>
        <w:pStyle w:val="notetext"/>
        <w:rPr>
          <w:sz w:val="20"/>
        </w:rPr>
      </w:pPr>
      <w:r w:rsidRPr="00883399">
        <w:rPr>
          <w:sz w:val="20"/>
        </w:rPr>
        <w:t>Note 1:</w:t>
      </w:r>
      <w:r w:rsidRPr="00883399">
        <w:rPr>
          <w:sz w:val="20"/>
        </w:rPr>
        <w:tab/>
        <w:t>For provisions regarding the selection and requirements of representative zones, see sections 5.16 to 5.17I.</w:t>
      </w:r>
    </w:p>
    <w:p w14:paraId="0646DE62" w14:textId="77777777" w:rsidR="00872C03" w:rsidRPr="00883399" w:rsidRDefault="00872C03" w:rsidP="00872C03">
      <w:pPr>
        <w:pStyle w:val="notetext"/>
        <w:rPr>
          <w:sz w:val="20"/>
        </w:rPr>
      </w:pPr>
      <w:r w:rsidRPr="00883399">
        <w:rPr>
          <w:sz w:val="20"/>
        </w:rPr>
        <w:t>Note 2:</w:t>
      </w:r>
      <w:r w:rsidRPr="00883399">
        <w:rPr>
          <w:sz w:val="20"/>
        </w:rPr>
        <w:tab/>
        <w:t>Section 5.17AA sets out, for a landfill operator using method 2 in Division 5.2.3 or method 3 in Division 5.2.4, the number of sub</w:t>
      </w:r>
      <w:r w:rsidRPr="00883399">
        <w:rPr>
          <w:sz w:val="20"/>
          <w:szCs w:val="22"/>
        </w:rPr>
        <w:noBreakHyphen/>
      </w:r>
      <w:r w:rsidRPr="00883399">
        <w:rPr>
          <w:sz w:val="20"/>
        </w:rPr>
        <w:t>facility zones that the landfill operator may select and the requirements for sub</w:t>
      </w:r>
      <w:r w:rsidRPr="00883399">
        <w:rPr>
          <w:sz w:val="20"/>
          <w:szCs w:val="22"/>
        </w:rPr>
        <w:noBreakHyphen/>
      </w:r>
      <w:r w:rsidRPr="00883399">
        <w:rPr>
          <w:sz w:val="20"/>
        </w:rPr>
        <w:t>facility zones that the landfill operator must comply with.</w:t>
      </w:r>
    </w:p>
    <w:p w14:paraId="67CE04F4" w14:textId="77777777" w:rsidR="00884CCE" w:rsidRPr="00883399" w:rsidRDefault="00884CCE" w:rsidP="00884CCE">
      <w:pPr>
        <w:pStyle w:val="notetext"/>
        <w:rPr>
          <w:sz w:val="20"/>
        </w:rPr>
      </w:pPr>
      <w:r w:rsidRPr="00883399">
        <w:rPr>
          <w:sz w:val="20"/>
        </w:rPr>
        <w:t>Note 3:</w:t>
      </w:r>
      <w:r w:rsidRPr="00883399">
        <w:rPr>
          <w:sz w:val="20"/>
        </w:rPr>
        <w:tab/>
        <w:t>Section 5.22A sets out, for a landfill operator using method 1 in Division 5.2.2 to estimate emissions of methane released from legacy waste in a landfill, options and requirements related to sub</w:t>
      </w:r>
      <w:r w:rsidRPr="00883399">
        <w:rPr>
          <w:sz w:val="20"/>
        </w:rPr>
        <w:noBreakHyphen/>
        <w:t>facility zones.</w:t>
      </w:r>
    </w:p>
    <w:p w14:paraId="65A0FD0C" w14:textId="77777777" w:rsidR="006C7995" w:rsidRPr="00883399" w:rsidRDefault="006C7995" w:rsidP="006C7995">
      <w:pPr>
        <w:pStyle w:val="R2"/>
        <w:rPr>
          <w:color w:val="000000"/>
        </w:rPr>
      </w:pPr>
    </w:p>
    <w:p w14:paraId="6C18B197" w14:textId="77777777" w:rsidR="006C7995" w:rsidRPr="00883399" w:rsidRDefault="006C7995" w:rsidP="006C7995">
      <w:pPr>
        <w:pStyle w:val="BODY"/>
        <w:rPr>
          <w:rFonts w:ascii="Arial" w:hAnsi="Arial" w:cs="Arial"/>
          <w:b/>
          <w:color w:val="auto"/>
        </w:rPr>
      </w:pPr>
      <w:r w:rsidRPr="00883399">
        <w:rPr>
          <w:rFonts w:ascii="Arial" w:hAnsi="Arial" w:cs="Arial"/>
          <w:b/>
          <w:color w:val="auto"/>
        </w:rPr>
        <w:t>Notes on resolution of equation in 5.17L</w:t>
      </w:r>
    </w:p>
    <w:p w14:paraId="0A61CDD8" w14:textId="77777777" w:rsidR="006C7995" w:rsidRPr="00883399" w:rsidRDefault="006C7995" w:rsidP="006C7995">
      <w:pPr>
        <w:pStyle w:val="BODY"/>
        <w:spacing w:line="312" w:lineRule="auto"/>
        <w:rPr>
          <w:rFonts w:ascii="Arial" w:hAnsi="Arial" w:cs="Arial"/>
          <w:color w:val="auto"/>
        </w:rPr>
      </w:pPr>
      <w:r w:rsidRPr="00883399">
        <w:rPr>
          <w:rFonts w:ascii="Arial" w:hAnsi="Arial" w:cs="Arial"/>
          <w:color w:val="auto"/>
        </w:rPr>
        <w:t>Method 2 rests on the measurement of a flow of methane estimated at a point in time.  This flow of methane must reflect the decomposition of an amount of carbon in the wastes deposited in the representative zone.</w:t>
      </w:r>
    </w:p>
    <w:p w14:paraId="65227ECE" w14:textId="77777777" w:rsidR="006C7995" w:rsidRPr="00883399" w:rsidRDefault="006C7995" w:rsidP="006C7995">
      <w:pPr>
        <w:pStyle w:val="BODY"/>
        <w:spacing w:line="312" w:lineRule="auto"/>
        <w:rPr>
          <w:rFonts w:ascii="Arial" w:hAnsi="Arial" w:cs="Arial"/>
          <w:color w:val="auto"/>
        </w:rPr>
      </w:pPr>
      <w:r w:rsidRPr="00883399">
        <w:rPr>
          <w:rFonts w:ascii="Arial" w:hAnsi="Arial" w:cs="Arial"/>
          <w:color w:val="auto"/>
        </w:rPr>
        <w:t>However, the data on C</w:t>
      </w:r>
      <w:r w:rsidRPr="00883399">
        <w:rPr>
          <w:rFonts w:ascii="Arial" w:hAnsi="Arial" w:cs="Arial"/>
          <w:color w:val="auto"/>
          <w:vertAlign w:val="subscript"/>
        </w:rPr>
        <w:t>a</w:t>
      </w:r>
      <w:r w:rsidRPr="00883399">
        <w:rPr>
          <w:rFonts w:ascii="Arial" w:hAnsi="Arial" w:cs="Arial"/>
          <w:color w:val="auto"/>
        </w:rPr>
        <w:t xml:space="preserve"> is subject to some uncertainty – more uncertainty than for the measurement of methane generated and, if underestimated, may preclude a solution to the estimation of ‘k’.  Consequently, a minimum requirement must be established in relation to C</w:t>
      </w:r>
      <w:r w:rsidRPr="00883399">
        <w:rPr>
          <w:rFonts w:ascii="Arial" w:hAnsi="Arial" w:cs="Arial"/>
          <w:color w:val="auto"/>
          <w:vertAlign w:val="subscript"/>
        </w:rPr>
        <w:t>a</w:t>
      </w:r>
      <w:r w:rsidRPr="00883399">
        <w:rPr>
          <w:rFonts w:ascii="Arial" w:hAnsi="Arial" w:cs="Arial"/>
          <w:color w:val="auto"/>
        </w:rPr>
        <w:t xml:space="preserve"> to underpin the estimate of ‘k’.  That is, the observed amount of methane generated by the landfill must put a floor under the amount of carbon decomposing in the representative zone of the landfill such that:</w:t>
      </w:r>
    </w:p>
    <w:p w14:paraId="77678C89" w14:textId="77777777" w:rsidR="006C7995" w:rsidRPr="00883399" w:rsidRDefault="006C7995" w:rsidP="006C7995">
      <w:pPr>
        <w:pStyle w:val="BODY"/>
        <w:spacing w:line="312" w:lineRule="auto"/>
        <w:rPr>
          <w:rFonts w:ascii="Arial" w:hAnsi="Arial" w:cs="Arial"/>
          <w:color w:val="auto"/>
        </w:rPr>
      </w:pPr>
      <w:r w:rsidRPr="00883399">
        <w:rPr>
          <w:rFonts w:ascii="Arial" w:hAnsi="Arial" w:cs="Arial"/>
          <w:color w:val="auto"/>
        </w:rPr>
        <w:tab/>
        <w:t>(1)</w:t>
      </w:r>
      <w:r w:rsidRPr="00883399">
        <w:rPr>
          <w:rFonts w:ascii="Arial" w:hAnsi="Arial" w:cs="Arial"/>
          <w:color w:val="auto"/>
        </w:rPr>
        <w:tab/>
        <w:t>C</w:t>
      </w:r>
      <w:r w:rsidRPr="00883399">
        <w:rPr>
          <w:rFonts w:ascii="Arial" w:hAnsi="Arial" w:cs="Arial"/>
          <w:color w:val="auto"/>
          <w:vertAlign w:val="subscript"/>
        </w:rPr>
        <w:t>a</w:t>
      </w:r>
      <w:r w:rsidRPr="00883399">
        <w:rPr>
          <w:rFonts w:ascii="Arial" w:hAnsi="Arial" w:cs="Arial"/>
          <w:color w:val="auto"/>
        </w:rPr>
        <w:t xml:space="preserve"> ≥ C</w:t>
      </w:r>
      <w:r w:rsidRPr="00883399">
        <w:rPr>
          <w:rFonts w:ascii="Arial" w:hAnsi="Arial" w:cs="Arial"/>
          <w:color w:val="auto"/>
          <w:vertAlign w:val="subscript"/>
        </w:rPr>
        <w:t>a</w:t>
      </w:r>
      <w:r w:rsidRPr="00883399">
        <w:rPr>
          <w:rFonts w:ascii="Arial" w:hAnsi="Arial" w:cs="Arial"/>
          <w:color w:val="auto"/>
        </w:rPr>
        <w:t>~</w:t>
      </w:r>
    </w:p>
    <w:p w14:paraId="5A874C98" w14:textId="77777777" w:rsidR="006C7995" w:rsidRPr="00883399" w:rsidRDefault="006C7995" w:rsidP="006C7995">
      <w:pPr>
        <w:pStyle w:val="BODY"/>
        <w:spacing w:line="312" w:lineRule="auto"/>
        <w:ind w:left="709" w:hanging="709"/>
        <w:rPr>
          <w:rFonts w:ascii="Arial" w:hAnsi="Arial" w:cs="Arial"/>
          <w:color w:val="auto"/>
        </w:rPr>
      </w:pPr>
      <w:r w:rsidRPr="00883399">
        <w:rPr>
          <w:rFonts w:ascii="Arial" w:hAnsi="Arial" w:cs="Arial"/>
          <w:color w:val="auto"/>
        </w:rPr>
        <w:tab/>
        <w:t>where C</w:t>
      </w:r>
      <w:r w:rsidRPr="00883399">
        <w:rPr>
          <w:rFonts w:ascii="Arial" w:hAnsi="Arial" w:cs="Arial"/>
          <w:color w:val="auto"/>
          <w:vertAlign w:val="subscript"/>
        </w:rPr>
        <w:t>a</w:t>
      </w:r>
      <w:r w:rsidRPr="00883399">
        <w:rPr>
          <w:rFonts w:ascii="Arial" w:hAnsi="Arial" w:cs="Arial"/>
          <w:color w:val="auto"/>
        </w:rPr>
        <w:t>~ is the minimum amount of degradable carbon required to solve for ‘k’.</w:t>
      </w:r>
    </w:p>
    <w:p w14:paraId="1392418E" w14:textId="77777777" w:rsidR="006C7995" w:rsidRPr="00883399" w:rsidRDefault="006C7995" w:rsidP="006C7995">
      <w:pPr>
        <w:pStyle w:val="BODY"/>
        <w:spacing w:line="312" w:lineRule="auto"/>
        <w:rPr>
          <w:rFonts w:ascii="Arial" w:hAnsi="Arial" w:cs="Arial"/>
          <w:color w:val="auto"/>
        </w:rPr>
      </w:pPr>
      <w:r w:rsidRPr="00883399">
        <w:rPr>
          <w:rFonts w:ascii="Arial" w:hAnsi="Arial" w:cs="Arial"/>
          <w:color w:val="auto"/>
        </w:rPr>
        <w:lastRenderedPageBreak/>
        <w:t>In addition, the non-linear nature of the equation means that it is possible, mathematically, to derive a non-unique solution for the value of ‘k’.  Consequently, it is necessary to add an additional constraint to clarify the appropriate approach to the estimation of ‘k’.  It is assessed that ‘k’ must occur in the range where, for a given measurement of methane generated in the representative zone, a higher value of C</w:t>
      </w:r>
      <w:r w:rsidRPr="00883399">
        <w:rPr>
          <w:rFonts w:ascii="Arial" w:hAnsi="Arial" w:cs="Arial"/>
          <w:color w:val="auto"/>
          <w:vertAlign w:val="subscript"/>
        </w:rPr>
        <w:t>a</w:t>
      </w:r>
      <w:r w:rsidRPr="00883399">
        <w:rPr>
          <w:rFonts w:ascii="Arial" w:hAnsi="Arial" w:cs="Arial"/>
          <w:color w:val="auto"/>
        </w:rPr>
        <w:t xml:space="preserve"> results in a lower ‘k’.  That is, given that the amount of methane generated is well known, and if it is being derived from what is considered to be a large mass of carbon, then a slower rate of methane flow observed must reflect, all other things being equal, a slower rate of methane generation.</w:t>
      </w:r>
    </w:p>
    <w:p w14:paraId="6CE9B25C" w14:textId="77777777" w:rsidR="006C7995" w:rsidRPr="00883399" w:rsidRDefault="006C7995" w:rsidP="006C7995">
      <w:pPr>
        <w:pStyle w:val="BODY"/>
        <w:spacing w:line="312" w:lineRule="auto"/>
        <w:rPr>
          <w:rFonts w:ascii="Arial" w:hAnsi="Arial" w:cs="Arial"/>
          <w:color w:val="auto"/>
        </w:rPr>
      </w:pPr>
      <w:r w:rsidRPr="00883399">
        <w:rPr>
          <w:rFonts w:ascii="Arial" w:hAnsi="Arial" w:cs="Arial"/>
          <w:color w:val="auto"/>
        </w:rPr>
        <w:t>This condition is expressed as:</w:t>
      </w:r>
    </w:p>
    <w:p w14:paraId="5C6C6217" w14:textId="77777777" w:rsidR="006C7995" w:rsidRPr="00883399" w:rsidRDefault="006C7995" w:rsidP="006C7995">
      <w:pPr>
        <w:pStyle w:val="BODY"/>
        <w:spacing w:line="312" w:lineRule="auto"/>
        <w:rPr>
          <w:rFonts w:ascii="Arial" w:hAnsi="Arial" w:cs="Arial"/>
          <w:color w:val="auto"/>
        </w:rPr>
      </w:pPr>
      <w:r w:rsidRPr="00883399">
        <w:rPr>
          <w:rFonts w:ascii="Arial" w:hAnsi="Arial" w:cs="Arial"/>
          <w:color w:val="auto"/>
        </w:rPr>
        <w:tab/>
        <w:t>(2)</w:t>
      </w:r>
      <w:r w:rsidRPr="00883399">
        <w:rPr>
          <w:rFonts w:ascii="Arial" w:hAnsi="Arial" w:cs="Arial"/>
          <w:color w:val="auto"/>
        </w:rPr>
        <w:tab/>
        <w:t>δk/δC</w:t>
      </w:r>
      <w:r w:rsidRPr="00883399">
        <w:rPr>
          <w:rFonts w:ascii="Arial" w:hAnsi="Arial" w:cs="Arial"/>
          <w:color w:val="auto"/>
          <w:vertAlign w:val="subscript"/>
        </w:rPr>
        <w:t>a</w:t>
      </w:r>
      <w:r w:rsidRPr="00883399">
        <w:rPr>
          <w:rFonts w:ascii="Arial" w:hAnsi="Arial" w:cs="Arial"/>
          <w:color w:val="auto"/>
        </w:rPr>
        <w:t xml:space="preserve"> ≤ 0</w:t>
      </w:r>
    </w:p>
    <w:p w14:paraId="44FBF122" w14:textId="77777777" w:rsidR="006C7995" w:rsidRPr="00883399" w:rsidRDefault="006C7995" w:rsidP="006C7995">
      <w:pPr>
        <w:pStyle w:val="BODY"/>
        <w:spacing w:line="312" w:lineRule="auto"/>
        <w:ind w:firstLine="720"/>
        <w:rPr>
          <w:rFonts w:ascii="Arial" w:hAnsi="Arial" w:cs="Arial"/>
          <w:color w:val="auto"/>
        </w:rPr>
      </w:pPr>
      <w:r w:rsidRPr="00883399">
        <w:rPr>
          <w:rFonts w:ascii="Arial" w:hAnsi="Arial" w:cs="Arial"/>
          <w:color w:val="auto"/>
        </w:rPr>
        <w:t>where δk is the change in k, and</w:t>
      </w:r>
    </w:p>
    <w:p w14:paraId="105E8AF5" w14:textId="77777777" w:rsidR="006C7995" w:rsidRPr="00883399" w:rsidRDefault="006C7995" w:rsidP="006C7995">
      <w:pPr>
        <w:pStyle w:val="BODY"/>
        <w:spacing w:line="312" w:lineRule="auto"/>
        <w:ind w:firstLine="720"/>
        <w:rPr>
          <w:rFonts w:ascii="Arial" w:hAnsi="Arial" w:cs="Arial"/>
          <w:color w:val="auto"/>
        </w:rPr>
      </w:pPr>
      <w:r w:rsidRPr="00883399">
        <w:rPr>
          <w:rFonts w:ascii="Arial" w:hAnsi="Arial" w:cs="Arial"/>
          <w:color w:val="auto"/>
        </w:rPr>
        <w:t>δC</w:t>
      </w:r>
      <w:r w:rsidRPr="00883399">
        <w:rPr>
          <w:rFonts w:ascii="Arial" w:hAnsi="Arial" w:cs="Arial"/>
          <w:color w:val="auto"/>
          <w:vertAlign w:val="subscript"/>
        </w:rPr>
        <w:t xml:space="preserve">a </w:t>
      </w:r>
      <w:r w:rsidRPr="00883399">
        <w:rPr>
          <w:rFonts w:ascii="Arial" w:hAnsi="Arial" w:cs="Arial"/>
          <w:color w:val="auto"/>
        </w:rPr>
        <w:t>is the change in C</w:t>
      </w:r>
      <w:r w:rsidRPr="00883399">
        <w:rPr>
          <w:rFonts w:ascii="Arial" w:hAnsi="Arial" w:cs="Arial"/>
          <w:color w:val="auto"/>
          <w:vertAlign w:val="subscript"/>
        </w:rPr>
        <w:t>a</w:t>
      </w:r>
      <w:r w:rsidRPr="00883399">
        <w:rPr>
          <w:rFonts w:ascii="Arial" w:hAnsi="Arial" w:cs="Arial"/>
          <w:color w:val="auto"/>
        </w:rPr>
        <w:t xml:space="preserve"> in the representative zone</w:t>
      </w:r>
    </w:p>
    <w:p w14:paraId="1605982C" w14:textId="77777777" w:rsidR="006C7995" w:rsidRPr="00883399" w:rsidRDefault="006C7995" w:rsidP="006C7995">
      <w:pPr>
        <w:pStyle w:val="BODY"/>
        <w:spacing w:line="312" w:lineRule="auto"/>
        <w:rPr>
          <w:rFonts w:ascii="Arial" w:hAnsi="Arial" w:cs="Arial"/>
          <w:color w:val="auto"/>
        </w:rPr>
      </w:pPr>
      <w:r w:rsidRPr="00883399">
        <w:rPr>
          <w:rFonts w:ascii="Arial" w:hAnsi="Arial" w:cs="Arial"/>
          <w:color w:val="auto"/>
        </w:rPr>
        <w:t>The condition (1) ensures that the solution for ‘k’ occurs in the range where, for a given measurement of methane generated in the representative zone, higher estimated values of C</w:t>
      </w:r>
      <w:r w:rsidRPr="00883399">
        <w:rPr>
          <w:rFonts w:ascii="Arial" w:hAnsi="Arial" w:cs="Arial"/>
          <w:color w:val="auto"/>
          <w:vertAlign w:val="subscript"/>
        </w:rPr>
        <w:t>a</w:t>
      </w:r>
      <w:r w:rsidRPr="00883399">
        <w:rPr>
          <w:rFonts w:ascii="Arial" w:hAnsi="Arial" w:cs="Arial"/>
          <w:color w:val="auto"/>
        </w:rPr>
        <w:t xml:space="preserve"> result in lower values of ‘k’.</w:t>
      </w:r>
    </w:p>
    <w:p w14:paraId="6FAB882E" w14:textId="3F9A2305" w:rsidR="006C7995" w:rsidRPr="00883399" w:rsidRDefault="006C7995" w:rsidP="006C7995">
      <w:pPr>
        <w:pStyle w:val="TABLEFIGUREHEAD"/>
        <w:rPr>
          <w:rFonts w:ascii="Arial" w:hAnsi="Arial" w:cs="Arial"/>
          <w:color w:val="auto"/>
        </w:rPr>
      </w:pPr>
      <w:r w:rsidRPr="00883399">
        <w:rPr>
          <w:rFonts w:ascii="Arial" w:hAnsi="Arial" w:cs="Arial"/>
          <w:color w:val="auto"/>
        </w:rPr>
        <w:t>Decay rate constant (k) plotted against the quantity of degradable organic carbon (C</w:t>
      </w:r>
      <w:r w:rsidRPr="00883399">
        <w:rPr>
          <w:rFonts w:ascii="Arial" w:hAnsi="Arial" w:cs="Arial"/>
          <w:color w:val="auto"/>
          <w:vertAlign w:val="subscript"/>
        </w:rPr>
        <w:t>a</w:t>
      </w:r>
      <w:r w:rsidRPr="00883399">
        <w:rPr>
          <w:rFonts w:ascii="Arial" w:hAnsi="Arial" w:cs="Arial"/>
          <w:color w:val="auto"/>
        </w:rPr>
        <w:t>) for a given flow rate and average age of refuse</w:t>
      </w:r>
      <w:r w:rsidRPr="00883399">
        <w:rPr>
          <w:noProof/>
          <w:lang w:val="en-AU" w:eastAsia="en-AU"/>
        </w:rPr>
        <w:drawing>
          <wp:inline distT="0" distB="0" distL="0" distR="0" wp14:anchorId="4ABA6ED2" wp14:editId="6D3A559D">
            <wp:extent cx="5067300" cy="2476500"/>
            <wp:effectExtent l="19050" t="0" r="0" b="0"/>
            <wp:docPr id="171"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78"/>
                    <a:srcRect/>
                    <a:stretch>
                      <a:fillRect/>
                    </a:stretch>
                  </pic:blipFill>
                  <pic:spPr bwMode="auto">
                    <a:xfrm>
                      <a:off x="0" y="0"/>
                      <a:ext cx="5067300" cy="2476500"/>
                    </a:xfrm>
                    <a:prstGeom prst="rect">
                      <a:avLst/>
                    </a:prstGeom>
                    <a:noFill/>
                    <a:ln w="9525">
                      <a:noFill/>
                      <a:miter lim="800000"/>
                      <a:headEnd/>
                      <a:tailEnd/>
                    </a:ln>
                  </pic:spPr>
                </pic:pic>
              </a:graphicData>
            </a:graphic>
          </wp:inline>
        </w:drawing>
      </w:r>
    </w:p>
    <w:p w14:paraId="22942F65" w14:textId="77777777" w:rsidR="006C7995" w:rsidRPr="00883399" w:rsidRDefault="006C7995" w:rsidP="00872C03">
      <w:pPr>
        <w:pStyle w:val="notetext"/>
        <w:rPr>
          <w:sz w:val="20"/>
        </w:rPr>
      </w:pPr>
    </w:p>
    <w:p w14:paraId="29EAF1B6" w14:textId="0E02E4C2" w:rsidR="00872C03" w:rsidRPr="00883399" w:rsidRDefault="00872C03" w:rsidP="00872C03">
      <w:pPr>
        <w:pStyle w:val="ActHead3"/>
        <w:pageBreakBefore/>
        <w:rPr>
          <w:sz w:val="32"/>
        </w:rPr>
      </w:pPr>
      <w:bookmarkStart w:id="1170" w:name="_Toc423517178"/>
      <w:bookmarkStart w:id="1171" w:name="_Toc495653109"/>
      <w:r w:rsidRPr="00883399">
        <w:rPr>
          <w:rStyle w:val="CharDivNo"/>
          <w:sz w:val="32"/>
        </w:rPr>
        <w:lastRenderedPageBreak/>
        <w:t>Division 5.2.4</w:t>
      </w:r>
      <w:r w:rsidRPr="00883399">
        <w:rPr>
          <w:sz w:val="32"/>
        </w:rPr>
        <w:t>—</w:t>
      </w:r>
      <w:r w:rsidRPr="00883399">
        <w:rPr>
          <w:rStyle w:val="CharDivText"/>
          <w:sz w:val="32"/>
        </w:rPr>
        <w:t>Method 3—emissions of methane released from solid waste at landfills</w:t>
      </w:r>
      <w:bookmarkEnd w:id="1170"/>
      <w:bookmarkEnd w:id="1171"/>
    </w:p>
    <w:p w14:paraId="3547998D" w14:textId="58763C2C" w:rsidR="00872C03" w:rsidRPr="00883399" w:rsidRDefault="00872C03" w:rsidP="00872C03">
      <w:pPr>
        <w:pStyle w:val="ActHead5"/>
        <w:rPr>
          <w:sz w:val="28"/>
        </w:rPr>
      </w:pPr>
      <w:bookmarkStart w:id="1172" w:name="_Toc423517179"/>
      <w:bookmarkStart w:id="1173" w:name="_Toc495653110"/>
      <w:r w:rsidRPr="00883399">
        <w:rPr>
          <w:rStyle w:val="CharSectno"/>
          <w:sz w:val="28"/>
        </w:rPr>
        <w:t>5.18</w:t>
      </w:r>
      <w:r w:rsidRPr="00883399">
        <w:rPr>
          <w:sz w:val="28"/>
        </w:rPr>
        <w:t xml:space="preserve">  Method 3—methane released from solid waste at landfills (other than from flaring of methane)</w:t>
      </w:r>
      <w:bookmarkEnd w:id="1172"/>
      <w:bookmarkEnd w:id="1173"/>
    </w:p>
    <w:p w14:paraId="16DA862D" w14:textId="77777777" w:rsidR="006C7995" w:rsidRPr="00883399" w:rsidRDefault="006C7995" w:rsidP="006C7995">
      <w:pPr>
        <w:pStyle w:val="Text"/>
        <w:rPr>
          <w:rFonts w:ascii="Arial" w:hAnsi="Arial" w:cs="Arial"/>
          <w:sz w:val="22"/>
          <w:szCs w:val="22"/>
        </w:rPr>
      </w:pPr>
      <w:r w:rsidRPr="00883399">
        <w:rPr>
          <w:rFonts w:ascii="Arial" w:hAnsi="Arial" w:cs="Arial"/>
          <w:sz w:val="22"/>
          <w:szCs w:val="22"/>
        </w:rPr>
        <w:t xml:space="preserve">Section 5.18 sets out Method 3, which is the same as for Method 2, except that the sampling requirements of the US Environment Protection Agency </w:t>
      </w:r>
      <w:r w:rsidRPr="00883399">
        <w:rPr>
          <w:rFonts w:ascii="Arial" w:hAnsi="Arial" w:cs="Arial"/>
          <w:i/>
          <w:sz w:val="22"/>
          <w:szCs w:val="22"/>
        </w:rPr>
        <w:t>Method 2E</w:t>
      </w:r>
      <w:r w:rsidRPr="00883399">
        <w:rPr>
          <w:rFonts w:ascii="Arial" w:hAnsi="Arial" w:cs="Arial"/>
          <w:sz w:val="22"/>
          <w:szCs w:val="22"/>
        </w:rPr>
        <w:t xml:space="preserve">, </w:t>
      </w:r>
      <w:r w:rsidRPr="00883399">
        <w:rPr>
          <w:rFonts w:ascii="Arial" w:hAnsi="Arial" w:cs="Arial"/>
          <w:i/>
          <w:sz w:val="22"/>
          <w:szCs w:val="22"/>
        </w:rPr>
        <w:t xml:space="preserve">Determination of landfill gas flow production rates </w:t>
      </w:r>
      <w:r w:rsidRPr="00883399">
        <w:rPr>
          <w:rFonts w:ascii="Arial" w:hAnsi="Arial" w:cs="Arial"/>
          <w:sz w:val="22"/>
          <w:szCs w:val="22"/>
        </w:rPr>
        <w:t>are applied.</w:t>
      </w:r>
    </w:p>
    <w:p w14:paraId="585A188E" w14:textId="77777777" w:rsidR="00872C03" w:rsidRPr="00883399" w:rsidRDefault="00872C03" w:rsidP="00872C03">
      <w:pPr>
        <w:pStyle w:val="subsection"/>
        <w:rPr>
          <w:sz w:val="24"/>
        </w:rPr>
      </w:pPr>
      <w:r w:rsidRPr="00883399">
        <w:rPr>
          <w:sz w:val="24"/>
        </w:rPr>
        <w:tab/>
        <w:t>(1)</w:t>
      </w:r>
      <w:r w:rsidRPr="00883399">
        <w:rPr>
          <w:sz w:val="24"/>
        </w:rPr>
        <w:tab/>
        <w:t>For subparagraph 5.3(1)(a)(iii) and subject to subsection (2), method 3 is the same as method 2 under section 5.15.</w:t>
      </w:r>
    </w:p>
    <w:p w14:paraId="136CDFDF" w14:textId="77777777" w:rsidR="00872C03" w:rsidRPr="00883399" w:rsidRDefault="00872C03" w:rsidP="00872C03">
      <w:pPr>
        <w:pStyle w:val="subsection"/>
        <w:rPr>
          <w:sz w:val="24"/>
        </w:rPr>
      </w:pPr>
      <w:r w:rsidRPr="00883399">
        <w:rPr>
          <w:sz w:val="24"/>
        </w:rPr>
        <w:tab/>
        <w:t>(2)</w:t>
      </w:r>
      <w:r w:rsidRPr="00883399">
        <w:rPr>
          <w:sz w:val="24"/>
        </w:rPr>
        <w:tab/>
        <w:t>In applying method 2 under section 5.15, the gas flow rate must be estimated from sampling undertaken during the year in accordance with USEPA Method 2E—</w:t>
      </w:r>
      <w:r w:rsidRPr="00883399">
        <w:rPr>
          <w:i/>
          <w:sz w:val="24"/>
        </w:rPr>
        <w:t>Determination of landfill gas production flow rate</w:t>
      </w:r>
      <w:r w:rsidRPr="00883399">
        <w:rPr>
          <w:sz w:val="24"/>
        </w:rPr>
        <w:t>, as set out in Appendix A</w:t>
      </w:r>
      <w:r w:rsidRPr="00883399">
        <w:rPr>
          <w:sz w:val="24"/>
        </w:rPr>
        <w:noBreakHyphen/>
        <w:t>1 of Title 40, Part 60 of the Code of Federal Regulations, United States of America, or an equivalent Australian or international standard.</w:t>
      </w:r>
    </w:p>
    <w:p w14:paraId="52D53126" w14:textId="39785E88" w:rsidR="00872C03" w:rsidRPr="00883399" w:rsidRDefault="00872C03" w:rsidP="00872C03">
      <w:pPr>
        <w:pStyle w:val="ActHead3"/>
        <w:pageBreakBefore/>
        <w:rPr>
          <w:sz w:val="32"/>
        </w:rPr>
      </w:pPr>
      <w:bookmarkStart w:id="1174" w:name="_Toc423517180"/>
      <w:bookmarkStart w:id="1175" w:name="_Toc495653111"/>
      <w:r w:rsidRPr="00883399">
        <w:rPr>
          <w:rStyle w:val="CharDivNo"/>
          <w:sz w:val="32"/>
        </w:rPr>
        <w:lastRenderedPageBreak/>
        <w:t>Division 5.2.5</w:t>
      </w:r>
      <w:r w:rsidRPr="00883399">
        <w:rPr>
          <w:sz w:val="32"/>
        </w:rPr>
        <w:t>—</w:t>
      </w:r>
      <w:r w:rsidRPr="00883399">
        <w:rPr>
          <w:rStyle w:val="CharDivText"/>
          <w:sz w:val="32"/>
        </w:rPr>
        <w:t>Solid waste at landfills—Flaring</w:t>
      </w:r>
      <w:bookmarkEnd w:id="1174"/>
      <w:bookmarkEnd w:id="1175"/>
    </w:p>
    <w:p w14:paraId="57CB4F0D" w14:textId="261E17B6" w:rsidR="00872C03" w:rsidRPr="00883399" w:rsidRDefault="00872C03" w:rsidP="00872C03">
      <w:pPr>
        <w:pStyle w:val="ActHead5"/>
        <w:rPr>
          <w:sz w:val="28"/>
        </w:rPr>
      </w:pPr>
      <w:bookmarkStart w:id="1176" w:name="_Toc423517181"/>
      <w:bookmarkStart w:id="1177" w:name="_Toc495653112"/>
      <w:r w:rsidRPr="00883399">
        <w:rPr>
          <w:rStyle w:val="CharSectno"/>
          <w:sz w:val="28"/>
        </w:rPr>
        <w:t>5.19</w:t>
      </w:r>
      <w:r w:rsidRPr="00883399">
        <w:rPr>
          <w:sz w:val="28"/>
        </w:rPr>
        <w:t xml:space="preserve">  Method 1—landfill gas flared</w:t>
      </w:r>
      <w:bookmarkEnd w:id="1176"/>
      <w:bookmarkEnd w:id="1177"/>
    </w:p>
    <w:p w14:paraId="2DA4942B" w14:textId="77777777" w:rsidR="006C7995" w:rsidRPr="00883399" w:rsidRDefault="006C7995" w:rsidP="006C7995">
      <w:pPr>
        <w:pStyle w:val="Text"/>
        <w:rPr>
          <w:rFonts w:ascii="Arial" w:hAnsi="Arial" w:cs="Arial"/>
          <w:sz w:val="22"/>
          <w:szCs w:val="22"/>
        </w:rPr>
      </w:pPr>
      <w:r w:rsidRPr="00883399">
        <w:rPr>
          <w:rFonts w:ascii="Arial" w:hAnsi="Arial" w:cs="Arial"/>
          <w:sz w:val="22"/>
          <w:szCs w:val="22"/>
        </w:rPr>
        <w:t xml:space="preserve">Sections 5.19-5.21 set out Methods 1, 2 and 3 for the flaring of methane in landfill gas.  Method 1 is derived from the methods used for the </w:t>
      </w:r>
      <w:r w:rsidRPr="00883399">
        <w:rPr>
          <w:rFonts w:ascii="Arial" w:hAnsi="Arial" w:cs="Arial"/>
          <w:i/>
          <w:sz w:val="22"/>
          <w:szCs w:val="22"/>
        </w:rPr>
        <w:t>National Greenhouse Accounts</w:t>
      </w:r>
      <w:r w:rsidRPr="00883399">
        <w:rPr>
          <w:rFonts w:ascii="Arial" w:hAnsi="Arial" w:cs="Arial"/>
          <w:sz w:val="22"/>
          <w:szCs w:val="22"/>
        </w:rPr>
        <w:t>.  Methods 2 and 3 rely on the sampling and analysis of the fuel to estimate the gas composition of the fuel more closely in order to estimate the quantity of methane flared more accurately.</w:t>
      </w:r>
    </w:p>
    <w:p w14:paraId="1DD5056C" w14:textId="77777777" w:rsidR="00872C03" w:rsidRPr="00883399" w:rsidRDefault="00872C03" w:rsidP="00872C03">
      <w:pPr>
        <w:pStyle w:val="subsection"/>
        <w:rPr>
          <w:sz w:val="24"/>
        </w:rPr>
      </w:pPr>
      <w:r w:rsidRPr="00883399">
        <w:rPr>
          <w:sz w:val="24"/>
        </w:rPr>
        <w:tab/>
        <w:t>(1)</w:t>
      </w:r>
      <w:r w:rsidRPr="00883399">
        <w:rPr>
          <w:sz w:val="24"/>
        </w:rPr>
        <w:tab/>
        <w:t>For subparagraph 5.3(b)(i), method 1 is:</w:t>
      </w:r>
    </w:p>
    <w:p w14:paraId="103DC4DF" w14:textId="049B2809"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71F35461" wp14:editId="1EF90041">
            <wp:extent cx="2185035" cy="415925"/>
            <wp:effectExtent l="19050" t="0" r="5715"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79"/>
                    <a:srcRect/>
                    <a:stretch>
                      <a:fillRect/>
                    </a:stretch>
                  </pic:blipFill>
                  <pic:spPr bwMode="auto">
                    <a:xfrm>
                      <a:off x="0" y="0"/>
                      <a:ext cx="2185035" cy="415925"/>
                    </a:xfrm>
                    <a:prstGeom prst="rect">
                      <a:avLst/>
                    </a:prstGeom>
                    <a:noFill/>
                    <a:ln w="9525">
                      <a:noFill/>
                      <a:miter lim="800000"/>
                      <a:headEnd/>
                      <a:tailEnd/>
                    </a:ln>
                  </pic:spPr>
                </pic:pic>
              </a:graphicData>
            </a:graphic>
          </wp:inline>
        </w:drawing>
      </w:r>
    </w:p>
    <w:p w14:paraId="2CB6612D" w14:textId="77777777" w:rsidR="00872C03" w:rsidRPr="00883399" w:rsidRDefault="00872C03" w:rsidP="00872C03">
      <w:pPr>
        <w:pStyle w:val="subsection2"/>
        <w:rPr>
          <w:sz w:val="24"/>
        </w:rPr>
      </w:pPr>
      <w:r w:rsidRPr="00883399">
        <w:rPr>
          <w:sz w:val="24"/>
        </w:rPr>
        <w:t>where:</w:t>
      </w:r>
    </w:p>
    <w:p w14:paraId="6BBABDBB" w14:textId="77777777" w:rsidR="00872C03" w:rsidRPr="00883399" w:rsidRDefault="00872C03" w:rsidP="00872C03">
      <w:pPr>
        <w:pStyle w:val="Definition0"/>
        <w:rPr>
          <w:sz w:val="24"/>
          <w:vertAlign w:val="subscript"/>
        </w:rPr>
      </w:pPr>
      <w:r w:rsidRPr="00883399">
        <w:rPr>
          <w:b/>
          <w:i/>
          <w:sz w:val="24"/>
        </w:rPr>
        <w:t>E</w:t>
      </w:r>
      <w:r w:rsidRPr="00883399">
        <w:rPr>
          <w:b/>
          <w:i/>
          <w:sz w:val="24"/>
          <w:vertAlign w:val="subscript"/>
        </w:rPr>
        <w:t>j</w:t>
      </w:r>
      <w:r w:rsidRPr="00883399">
        <w:rPr>
          <w:b/>
          <w:i/>
          <w:sz w:val="24"/>
        </w:rPr>
        <w:t xml:space="preserve"> </w:t>
      </w:r>
      <w:r w:rsidRPr="00883399">
        <w:rPr>
          <w:b/>
          <w:i/>
          <w:sz w:val="24"/>
          <w:vertAlign w:val="subscript"/>
        </w:rPr>
        <w:t xml:space="preserve">flared </w:t>
      </w:r>
      <w:r w:rsidRPr="00883399">
        <w:rPr>
          <w:sz w:val="24"/>
        </w:rPr>
        <w:t>is the emissions of gas type (</w:t>
      </w:r>
      <w:r w:rsidRPr="00883399">
        <w:rPr>
          <w:b/>
          <w:i/>
          <w:sz w:val="24"/>
        </w:rPr>
        <w:t>j</w:t>
      </w:r>
      <w:r w:rsidRPr="00883399">
        <w:rPr>
          <w:sz w:val="24"/>
        </w:rPr>
        <w:t>), being methane and nitrous oxide, released from the landfill from flaring of the methane in landfill gas during the year measured in CO</w:t>
      </w:r>
      <w:r w:rsidRPr="00883399">
        <w:rPr>
          <w:sz w:val="24"/>
          <w:vertAlign w:val="subscript"/>
        </w:rPr>
        <w:t>2</w:t>
      </w:r>
      <w:r w:rsidRPr="00883399">
        <w:rPr>
          <w:sz w:val="24"/>
        </w:rPr>
        <w:noBreakHyphen/>
        <w:t>e tonnes.</w:t>
      </w:r>
    </w:p>
    <w:p w14:paraId="760DAC96" w14:textId="77777777" w:rsidR="00872C03" w:rsidRPr="00883399" w:rsidRDefault="00872C03" w:rsidP="00872C03">
      <w:pPr>
        <w:pStyle w:val="Definition0"/>
        <w:rPr>
          <w:sz w:val="24"/>
        </w:rPr>
      </w:pPr>
      <w:r w:rsidRPr="00883399">
        <w:rPr>
          <w:b/>
          <w:i/>
          <w:sz w:val="24"/>
        </w:rPr>
        <w:t>Q</w:t>
      </w:r>
      <w:r w:rsidRPr="00883399">
        <w:rPr>
          <w:b/>
          <w:i/>
          <w:sz w:val="24"/>
          <w:vertAlign w:val="subscript"/>
        </w:rPr>
        <w:t xml:space="preserve">flared </w:t>
      </w:r>
      <w:r w:rsidRPr="00883399">
        <w:rPr>
          <w:sz w:val="24"/>
        </w:rPr>
        <w:t>is the quantity of methane in landfill gas flared during the year measured in cubic metres in accordance with Division 2.3.6.</w:t>
      </w:r>
    </w:p>
    <w:p w14:paraId="05A2E7DD" w14:textId="77777777" w:rsidR="00872C03" w:rsidRPr="00883399" w:rsidRDefault="00872C03" w:rsidP="00872C03">
      <w:pPr>
        <w:pStyle w:val="Definition0"/>
        <w:rPr>
          <w:sz w:val="24"/>
        </w:rPr>
      </w:pPr>
      <w:r w:rsidRPr="00883399">
        <w:rPr>
          <w:b/>
          <w:i/>
          <w:sz w:val="24"/>
        </w:rPr>
        <w:t>EC</w:t>
      </w:r>
      <w:r w:rsidRPr="00883399">
        <w:rPr>
          <w:b/>
          <w:i/>
          <w:sz w:val="24"/>
          <w:vertAlign w:val="subscript"/>
        </w:rPr>
        <w:t xml:space="preserve">i </w:t>
      </w:r>
      <w:r w:rsidRPr="00883399">
        <w:rPr>
          <w:sz w:val="24"/>
        </w:rPr>
        <w:t>is the energy content factor of methane in landfill gas in gigajoules per cubic metre (see Schedule 1).</w:t>
      </w:r>
    </w:p>
    <w:p w14:paraId="55A5B604" w14:textId="77777777" w:rsidR="00872C03" w:rsidRPr="00883399" w:rsidRDefault="00872C03" w:rsidP="00872C03">
      <w:pPr>
        <w:pStyle w:val="Definition0"/>
        <w:rPr>
          <w:sz w:val="24"/>
        </w:rPr>
      </w:pPr>
      <w:r w:rsidRPr="00883399">
        <w:rPr>
          <w:b/>
          <w:i/>
          <w:sz w:val="24"/>
        </w:rPr>
        <w:t>EF</w:t>
      </w:r>
      <w:r w:rsidRPr="00883399">
        <w:rPr>
          <w:b/>
          <w:i/>
          <w:sz w:val="24"/>
          <w:vertAlign w:val="subscript"/>
        </w:rPr>
        <w:t>ij</w:t>
      </w:r>
      <w:r w:rsidRPr="00883399">
        <w:rPr>
          <w:b/>
          <w:i/>
          <w:sz w:val="24"/>
        </w:rPr>
        <w:t xml:space="preserve"> </w:t>
      </w:r>
      <w:r w:rsidRPr="00883399">
        <w:rPr>
          <w:sz w:val="24"/>
        </w:rPr>
        <w:t>is the relevant emission factor for gas type (</w:t>
      </w:r>
      <w:r w:rsidRPr="00883399">
        <w:rPr>
          <w:b/>
          <w:i/>
          <w:sz w:val="24"/>
        </w:rPr>
        <w:t>j</w:t>
      </w:r>
      <w:r w:rsidRPr="00883399">
        <w:rPr>
          <w:sz w:val="24"/>
        </w:rPr>
        <w:t>), being methane and nitrous oxide, from the combustion of landfill gas in kilograms of CO</w:t>
      </w:r>
      <w:r w:rsidRPr="00883399">
        <w:rPr>
          <w:sz w:val="24"/>
          <w:vertAlign w:val="subscript"/>
        </w:rPr>
        <w:t>2</w:t>
      </w:r>
      <w:r w:rsidRPr="00883399">
        <w:rPr>
          <w:sz w:val="24"/>
        </w:rPr>
        <w:noBreakHyphen/>
        <w:t>e per gigajoule (see Schedule 1).</w:t>
      </w:r>
    </w:p>
    <w:p w14:paraId="5144A226" w14:textId="77777777" w:rsidR="00872C03" w:rsidRPr="00883399" w:rsidRDefault="00872C03" w:rsidP="00872C03">
      <w:pPr>
        <w:pStyle w:val="subsection"/>
        <w:rPr>
          <w:sz w:val="24"/>
        </w:rPr>
      </w:pPr>
      <w:r w:rsidRPr="00883399">
        <w:rPr>
          <w:sz w:val="24"/>
        </w:rPr>
        <w:tab/>
        <w:t>(2)</w:t>
      </w:r>
      <w:r w:rsidRPr="00883399">
        <w:rPr>
          <w:sz w:val="24"/>
        </w:rPr>
        <w:tab/>
        <w:t xml:space="preserve">For </w:t>
      </w:r>
      <w:r w:rsidRPr="00883399">
        <w:rPr>
          <w:b/>
          <w:i/>
          <w:sz w:val="24"/>
        </w:rPr>
        <w:t>Q</w:t>
      </w:r>
      <w:r w:rsidRPr="00883399">
        <w:rPr>
          <w:b/>
          <w:i/>
          <w:sz w:val="24"/>
          <w:vertAlign w:val="subscript"/>
        </w:rPr>
        <w:t>flared</w:t>
      </w:r>
      <w:r w:rsidRPr="00883399">
        <w:rPr>
          <w:sz w:val="24"/>
        </w:rPr>
        <w:t xml:space="preserve"> in subsection (1), the methane in landfill gas is taken to constitute 50% of the landfill gas.</w:t>
      </w:r>
    </w:p>
    <w:p w14:paraId="510D7ED2" w14:textId="2E25AF39" w:rsidR="00872C03" w:rsidRPr="00883399" w:rsidRDefault="00872C03" w:rsidP="00872C03">
      <w:pPr>
        <w:pStyle w:val="ActHead5"/>
        <w:rPr>
          <w:sz w:val="28"/>
        </w:rPr>
      </w:pPr>
      <w:bookmarkStart w:id="1178" w:name="_Toc423517182"/>
      <w:bookmarkStart w:id="1179" w:name="_Toc495653113"/>
      <w:r w:rsidRPr="00883399">
        <w:rPr>
          <w:rStyle w:val="CharSectno"/>
          <w:sz w:val="28"/>
        </w:rPr>
        <w:t>5.20</w:t>
      </w:r>
      <w:r w:rsidRPr="00883399">
        <w:rPr>
          <w:sz w:val="28"/>
        </w:rPr>
        <w:t xml:space="preserve">  Method 2—landfill gas flared</w:t>
      </w:r>
      <w:bookmarkEnd w:id="1178"/>
      <w:bookmarkEnd w:id="1179"/>
    </w:p>
    <w:p w14:paraId="0DC7112A" w14:textId="77777777" w:rsidR="00872C03" w:rsidRPr="00883399" w:rsidRDefault="00872C03" w:rsidP="00872C03">
      <w:pPr>
        <w:pStyle w:val="subsection"/>
        <w:rPr>
          <w:sz w:val="24"/>
        </w:rPr>
      </w:pPr>
      <w:r w:rsidRPr="00883399">
        <w:rPr>
          <w:sz w:val="24"/>
        </w:rPr>
        <w:tab/>
        <w:t>(1)</w:t>
      </w:r>
      <w:r w:rsidRPr="00883399">
        <w:rPr>
          <w:sz w:val="24"/>
        </w:rPr>
        <w:tab/>
        <w:t>For subparagraph 5.3(1)(b)(ii) and subject to this section, method 2 is the same as method 1 under section 5.19.</w:t>
      </w:r>
    </w:p>
    <w:p w14:paraId="28EA27B0" w14:textId="77777777" w:rsidR="00872C03" w:rsidRPr="00883399" w:rsidRDefault="00872C03" w:rsidP="00872C03">
      <w:pPr>
        <w:pStyle w:val="subsection"/>
        <w:rPr>
          <w:sz w:val="24"/>
        </w:rPr>
      </w:pPr>
      <w:r w:rsidRPr="00883399">
        <w:rPr>
          <w:sz w:val="24"/>
        </w:rPr>
        <w:tab/>
        <w:t>(2)</w:t>
      </w:r>
      <w:r w:rsidRPr="00883399">
        <w:rPr>
          <w:sz w:val="24"/>
        </w:rPr>
        <w:tab/>
        <w:t xml:space="preserve">In applying method 1 under section 5.19, </w:t>
      </w:r>
      <w:r w:rsidRPr="00883399">
        <w:rPr>
          <w:b/>
          <w:i/>
          <w:sz w:val="24"/>
        </w:rPr>
        <w:t>Q</w:t>
      </w:r>
      <w:r w:rsidRPr="00883399">
        <w:rPr>
          <w:b/>
          <w:i/>
          <w:sz w:val="24"/>
          <w:vertAlign w:val="subscript"/>
        </w:rPr>
        <w:t>flared</w:t>
      </w:r>
      <w:r w:rsidRPr="00883399">
        <w:rPr>
          <w:sz w:val="24"/>
        </w:rPr>
        <w:t xml:space="preserve"> must be determined in accordance with the sampling and analysis requirements in Subdivision 2.3.3.2 and the measurement requirements in Division 2.3.6.</w:t>
      </w:r>
    </w:p>
    <w:p w14:paraId="3A0163F4" w14:textId="27466553" w:rsidR="00872C03" w:rsidRPr="00883399" w:rsidRDefault="00872C03" w:rsidP="00872C03">
      <w:pPr>
        <w:pStyle w:val="ActHead5"/>
        <w:rPr>
          <w:sz w:val="28"/>
        </w:rPr>
      </w:pPr>
      <w:bookmarkStart w:id="1180" w:name="_Toc423517183"/>
      <w:bookmarkStart w:id="1181" w:name="_Toc495653114"/>
      <w:r w:rsidRPr="00883399">
        <w:rPr>
          <w:rStyle w:val="CharSectno"/>
          <w:sz w:val="28"/>
        </w:rPr>
        <w:lastRenderedPageBreak/>
        <w:t>5.21</w:t>
      </w:r>
      <w:r w:rsidRPr="00883399">
        <w:rPr>
          <w:sz w:val="28"/>
        </w:rPr>
        <w:t xml:space="preserve">  Method 3—landfill gas flared</w:t>
      </w:r>
      <w:bookmarkEnd w:id="1180"/>
      <w:bookmarkEnd w:id="1181"/>
    </w:p>
    <w:p w14:paraId="62645963" w14:textId="77777777" w:rsidR="00872C03" w:rsidRPr="00883399" w:rsidRDefault="00872C03" w:rsidP="00872C03">
      <w:pPr>
        <w:pStyle w:val="subsection"/>
        <w:rPr>
          <w:sz w:val="24"/>
        </w:rPr>
      </w:pPr>
      <w:r w:rsidRPr="00883399">
        <w:rPr>
          <w:sz w:val="24"/>
        </w:rPr>
        <w:tab/>
        <w:t>(1)</w:t>
      </w:r>
      <w:r w:rsidRPr="00883399">
        <w:rPr>
          <w:sz w:val="24"/>
        </w:rPr>
        <w:tab/>
        <w:t>For subparagraph 5.3(1)(b)(iii) and subject to this section, method 3 is the same as method 1 under section 5.19.</w:t>
      </w:r>
    </w:p>
    <w:p w14:paraId="3EC60B53" w14:textId="77777777" w:rsidR="00D94C95" w:rsidRPr="00883399" w:rsidRDefault="00872C03" w:rsidP="00D94C95">
      <w:pPr>
        <w:pStyle w:val="subsection"/>
        <w:rPr>
          <w:sz w:val="24"/>
        </w:rPr>
      </w:pPr>
      <w:r w:rsidRPr="00883399">
        <w:rPr>
          <w:sz w:val="24"/>
        </w:rPr>
        <w:tab/>
        <w:t>(2)</w:t>
      </w:r>
      <w:r w:rsidRPr="00883399">
        <w:rPr>
          <w:sz w:val="24"/>
        </w:rPr>
        <w:tab/>
        <w:t xml:space="preserve">In applying method 1 under section 5.19, </w:t>
      </w:r>
      <w:r w:rsidRPr="00883399">
        <w:rPr>
          <w:b/>
          <w:i/>
          <w:sz w:val="24"/>
        </w:rPr>
        <w:t>Q</w:t>
      </w:r>
      <w:r w:rsidRPr="00883399">
        <w:rPr>
          <w:b/>
          <w:i/>
          <w:sz w:val="24"/>
          <w:vertAlign w:val="subscript"/>
        </w:rPr>
        <w:t>flared</w:t>
      </w:r>
      <w:r w:rsidRPr="00883399">
        <w:rPr>
          <w:sz w:val="24"/>
        </w:rPr>
        <w:t xml:space="preserve"> must be determined in accordance with the sampling and analysis requirements in Division 2.3.4 and the measurement requirements in Division 2.3.6.</w:t>
      </w:r>
      <w:bookmarkStart w:id="1182" w:name="_Toc423517184"/>
    </w:p>
    <w:p w14:paraId="4EAD3941" w14:textId="77777777" w:rsidR="00962770" w:rsidRPr="00883399" w:rsidRDefault="00962770" w:rsidP="00D94C95">
      <w:pPr>
        <w:pStyle w:val="subsection"/>
        <w:rPr>
          <w:sz w:val="24"/>
        </w:rPr>
      </w:pPr>
    </w:p>
    <w:p w14:paraId="667A651A" w14:textId="076B3BA2" w:rsidR="00872C03" w:rsidRPr="00883399" w:rsidRDefault="00872C03" w:rsidP="00962770">
      <w:pPr>
        <w:pStyle w:val="ActHead3"/>
        <w:rPr>
          <w:rStyle w:val="CharDivNo"/>
          <w:sz w:val="32"/>
        </w:rPr>
      </w:pPr>
      <w:bookmarkStart w:id="1183" w:name="_Toc495653115"/>
      <w:r w:rsidRPr="00883399">
        <w:rPr>
          <w:rStyle w:val="CharDivNo"/>
          <w:sz w:val="32"/>
        </w:rPr>
        <w:t>Division 5.2.6—Biological treatment of solid waste</w:t>
      </w:r>
      <w:bookmarkEnd w:id="1182"/>
      <w:bookmarkEnd w:id="1183"/>
    </w:p>
    <w:p w14:paraId="00858545" w14:textId="1F1CC8A4" w:rsidR="00872C03" w:rsidRPr="00883399" w:rsidRDefault="00872C03" w:rsidP="00872C03">
      <w:pPr>
        <w:pStyle w:val="ActHead5"/>
        <w:rPr>
          <w:sz w:val="28"/>
        </w:rPr>
      </w:pPr>
      <w:bookmarkStart w:id="1184" w:name="_Toc423517185"/>
      <w:bookmarkStart w:id="1185" w:name="_Toc495653116"/>
      <w:r w:rsidRPr="00883399">
        <w:rPr>
          <w:rStyle w:val="CharSectno"/>
          <w:sz w:val="28"/>
        </w:rPr>
        <w:t>5.22</w:t>
      </w:r>
      <w:r w:rsidRPr="00883399">
        <w:rPr>
          <w:sz w:val="28"/>
        </w:rPr>
        <w:t xml:space="preserve">  Method 1—emissions of methane and nitrous oxide from biological treatment of solid waste at a landfill</w:t>
      </w:r>
      <w:bookmarkEnd w:id="1184"/>
      <w:bookmarkEnd w:id="1185"/>
    </w:p>
    <w:p w14:paraId="1D564DFC" w14:textId="77777777" w:rsidR="006C7995" w:rsidRPr="00883399" w:rsidRDefault="006C7995" w:rsidP="006C7995">
      <w:pPr>
        <w:spacing w:before="240" w:line="312" w:lineRule="auto"/>
        <w:rPr>
          <w:rFonts w:ascii="Arial" w:hAnsi="Arial" w:cs="Arial"/>
          <w:sz w:val="22"/>
          <w:szCs w:val="22"/>
        </w:rPr>
      </w:pPr>
      <w:r w:rsidRPr="00883399">
        <w:rPr>
          <w:rFonts w:ascii="Arial" w:hAnsi="Arial" w:cs="Arial"/>
          <w:sz w:val="22"/>
          <w:szCs w:val="22"/>
        </w:rPr>
        <w:t xml:space="preserve">Section 5.22 sets out Method 1 for emissions released from the Biological treatment of solid waste production.  The method to be used is described in </w:t>
      </w:r>
      <w:r w:rsidRPr="00883399">
        <w:rPr>
          <w:rFonts w:ascii="Arial" w:hAnsi="Arial" w:cs="Arial"/>
          <w:i/>
          <w:sz w:val="22"/>
          <w:szCs w:val="22"/>
        </w:rPr>
        <w:t xml:space="preserve">IPCC 2006 Guidelines for National Greenhouse Gas Inventories Volume 5, Chapter 4. </w:t>
      </w:r>
    </w:p>
    <w:p w14:paraId="12FA6C95" w14:textId="77777777" w:rsidR="00872C03" w:rsidRPr="00883399" w:rsidRDefault="00872C03" w:rsidP="00872C03">
      <w:pPr>
        <w:pStyle w:val="subsection"/>
        <w:rPr>
          <w:sz w:val="24"/>
        </w:rPr>
      </w:pPr>
      <w:r w:rsidRPr="00883399">
        <w:rPr>
          <w:sz w:val="24"/>
        </w:rPr>
        <w:tab/>
        <w:t>(1)</w:t>
      </w:r>
      <w:r w:rsidRPr="00883399">
        <w:rPr>
          <w:sz w:val="24"/>
        </w:rPr>
        <w:tab/>
        <w:t>For subparagraph 5.3(1)(c)(i) and paragraph 5.3(1)(d), method 1 is:</w:t>
      </w:r>
    </w:p>
    <w:bookmarkStart w:id="1186" w:name="BKCheck15B_31"/>
    <w:bookmarkEnd w:id="1186"/>
    <w:p w14:paraId="2C24394E" w14:textId="77777777" w:rsidR="00872C03" w:rsidRPr="00883399" w:rsidRDefault="00872C03" w:rsidP="00872C03">
      <w:pPr>
        <w:pStyle w:val="subsection2"/>
        <w:rPr>
          <w:sz w:val="24"/>
        </w:rPr>
      </w:pPr>
      <w:r w:rsidRPr="00883399">
        <w:rPr>
          <w:position w:val="-12"/>
          <w:sz w:val="24"/>
        </w:rPr>
        <w:object w:dxaOrig="1980" w:dyaOrig="460" w14:anchorId="518B908F">
          <v:shape id="_x0000_i1089" type="#_x0000_t75" style="width:99pt;height:23.25pt" o:ole="">
            <v:imagedata r:id="rId280" o:title=""/>
          </v:shape>
          <o:OLEObject Type="Embed" ProgID="Equation.DSMT4" ShapeID="_x0000_i1089" DrawAspect="Content" ObjectID="_1594105980" r:id="rId281"/>
        </w:object>
      </w:r>
    </w:p>
    <w:p w14:paraId="04B724C4" w14:textId="77777777" w:rsidR="00872C03" w:rsidRPr="00883399" w:rsidRDefault="00872C03" w:rsidP="00872C03">
      <w:pPr>
        <w:pStyle w:val="subsection2"/>
        <w:rPr>
          <w:sz w:val="24"/>
        </w:rPr>
      </w:pPr>
      <w:r w:rsidRPr="00883399">
        <w:rPr>
          <w:sz w:val="24"/>
        </w:rPr>
        <w:t>where:</w:t>
      </w:r>
    </w:p>
    <w:p w14:paraId="010A309C" w14:textId="77777777" w:rsidR="00872C03" w:rsidRPr="00883399" w:rsidRDefault="00872C03" w:rsidP="00872C03">
      <w:pPr>
        <w:pStyle w:val="Definition0"/>
        <w:rPr>
          <w:sz w:val="24"/>
        </w:rPr>
      </w:pPr>
      <w:r w:rsidRPr="00883399">
        <w:rPr>
          <w:b/>
          <w:i/>
          <w:sz w:val="24"/>
        </w:rPr>
        <w:t>EF</w:t>
      </w:r>
      <w:r w:rsidRPr="00883399">
        <w:rPr>
          <w:b/>
          <w:i/>
          <w:sz w:val="24"/>
          <w:vertAlign w:val="subscript"/>
        </w:rPr>
        <w:t>i</w:t>
      </w:r>
      <w:r w:rsidRPr="00883399">
        <w:rPr>
          <w:sz w:val="24"/>
        </w:rPr>
        <w:t xml:space="preserve"> is the emission factor for each gas type (</w:t>
      </w:r>
      <w:r w:rsidRPr="00883399">
        <w:rPr>
          <w:b/>
          <w:i/>
          <w:sz w:val="24"/>
        </w:rPr>
        <w:t>j</w:t>
      </w:r>
      <w:r w:rsidRPr="00883399">
        <w:rPr>
          <w:sz w:val="24"/>
        </w:rPr>
        <w:t>), being methane or nitrous oxide, released from the biological treatment type (</w:t>
      </w:r>
      <w:r w:rsidRPr="00883399">
        <w:rPr>
          <w:b/>
          <w:i/>
          <w:sz w:val="24"/>
        </w:rPr>
        <w:t>i</w:t>
      </w:r>
      <w:r w:rsidRPr="00883399">
        <w:rPr>
          <w:sz w:val="24"/>
        </w:rPr>
        <w:t>) measured in tonnes of CO</w:t>
      </w:r>
      <w:r w:rsidRPr="00883399">
        <w:rPr>
          <w:sz w:val="24"/>
          <w:vertAlign w:val="subscript"/>
        </w:rPr>
        <w:t>2</w:t>
      </w:r>
      <w:r w:rsidRPr="00883399">
        <w:rPr>
          <w:sz w:val="24"/>
        </w:rPr>
        <w:noBreakHyphen/>
        <w:t>e per tonne of waste processed.</w:t>
      </w:r>
    </w:p>
    <w:p w14:paraId="7EF791BE" w14:textId="77777777" w:rsidR="00872C03" w:rsidRPr="00883399" w:rsidRDefault="00872C03" w:rsidP="00872C03">
      <w:pPr>
        <w:pStyle w:val="Definition0"/>
        <w:rPr>
          <w:sz w:val="24"/>
        </w:rPr>
      </w:pPr>
      <w:r w:rsidRPr="00883399">
        <w:rPr>
          <w:b/>
          <w:i/>
          <w:sz w:val="24"/>
        </w:rPr>
        <w:t>E</w:t>
      </w:r>
      <w:r w:rsidRPr="00883399">
        <w:rPr>
          <w:b/>
          <w:i/>
          <w:sz w:val="24"/>
          <w:vertAlign w:val="subscript"/>
        </w:rPr>
        <w:t>ij</w:t>
      </w:r>
      <w:r w:rsidRPr="00883399">
        <w:rPr>
          <w:sz w:val="24"/>
        </w:rPr>
        <w:t xml:space="preserve"> is the emissions of the gas type (</w:t>
      </w:r>
      <w:r w:rsidRPr="00883399">
        <w:rPr>
          <w:b/>
          <w:i/>
          <w:sz w:val="24"/>
        </w:rPr>
        <w:t>j</w:t>
      </w:r>
      <w:r w:rsidRPr="00883399">
        <w:rPr>
          <w:sz w:val="24"/>
        </w:rPr>
        <w:t>), being methane or nitrous oxide, released from the landfill during the year from the biological treatment type (</w:t>
      </w:r>
      <w:r w:rsidRPr="00883399">
        <w:rPr>
          <w:b/>
          <w:i/>
          <w:sz w:val="24"/>
        </w:rPr>
        <w:t>i</w:t>
      </w:r>
      <w:r w:rsidRPr="00883399">
        <w:rPr>
          <w:sz w:val="24"/>
        </w:rPr>
        <w:t>) measured in CO</w:t>
      </w:r>
      <w:r w:rsidRPr="00883399">
        <w:rPr>
          <w:sz w:val="24"/>
          <w:vertAlign w:val="subscript"/>
        </w:rPr>
        <w:t>2</w:t>
      </w:r>
      <w:r w:rsidRPr="00883399">
        <w:rPr>
          <w:sz w:val="24"/>
        </w:rPr>
        <w:noBreakHyphen/>
        <w:t>e tonnes.</w:t>
      </w:r>
    </w:p>
    <w:p w14:paraId="7A9F3000" w14:textId="77777777" w:rsidR="00872C03" w:rsidRPr="00883399" w:rsidRDefault="00872C03" w:rsidP="00872C03">
      <w:pPr>
        <w:pStyle w:val="Definition0"/>
        <w:rPr>
          <w:sz w:val="24"/>
        </w:rPr>
      </w:pPr>
      <w:r w:rsidRPr="00883399">
        <w:rPr>
          <w:b/>
          <w:i/>
          <w:sz w:val="24"/>
        </w:rPr>
        <w:t>M</w:t>
      </w:r>
      <w:r w:rsidRPr="00883399">
        <w:rPr>
          <w:b/>
          <w:i/>
          <w:sz w:val="24"/>
          <w:vertAlign w:val="subscript"/>
        </w:rPr>
        <w:t>i</w:t>
      </w:r>
      <w:r w:rsidRPr="00883399">
        <w:rPr>
          <w:sz w:val="24"/>
        </w:rPr>
        <w:t xml:space="preserve"> is the mass of waste treated by biological treatment type (</w:t>
      </w:r>
      <w:r w:rsidRPr="00883399">
        <w:rPr>
          <w:b/>
          <w:i/>
          <w:sz w:val="24"/>
        </w:rPr>
        <w:t>i</w:t>
      </w:r>
      <w:r w:rsidRPr="00883399">
        <w:rPr>
          <w:sz w:val="24"/>
        </w:rPr>
        <w:t>) during the year measured in tonnes of waste.</w:t>
      </w:r>
    </w:p>
    <w:p w14:paraId="48017B71" w14:textId="77777777" w:rsidR="00872C03" w:rsidRPr="00883399" w:rsidRDefault="00872C03" w:rsidP="00872C03">
      <w:pPr>
        <w:pStyle w:val="Definition0"/>
        <w:rPr>
          <w:sz w:val="24"/>
        </w:rPr>
      </w:pPr>
      <w:r w:rsidRPr="00883399">
        <w:rPr>
          <w:b/>
          <w:i/>
          <w:sz w:val="24"/>
        </w:rPr>
        <w:t xml:space="preserve">R </w:t>
      </w:r>
      <w:r w:rsidRPr="00883399">
        <w:rPr>
          <w:sz w:val="24"/>
        </w:rPr>
        <w:t>is:</w:t>
      </w:r>
    </w:p>
    <w:p w14:paraId="7BE9793C" w14:textId="77777777" w:rsidR="00872C03" w:rsidRPr="00883399" w:rsidRDefault="00872C03" w:rsidP="00872C03">
      <w:pPr>
        <w:pStyle w:val="paragraph"/>
        <w:rPr>
          <w:sz w:val="24"/>
        </w:rPr>
      </w:pPr>
      <w:r w:rsidRPr="00883399">
        <w:rPr>
          <w:sz w:val="24"/>
        </w:rPr>
        <w:tab/>
        <w:t>(a)</w:t>
      </w:r>
      <w:r w:rsidRPr="00883399">
        <w:rPr>
          <w:sz w:val="24"/>
        </w:rPr>
        <w:tab/>
        <w:t>for the gas type methane—the total amount of methane recovered during the year at the landfill from the biological treatment of solid waste measured in tonnes of CO</w:t>
      </w:r>
      <w:r w:rsidRPr="00883399">
        <w:rPr>
          <w:sz w:val="24"/>
          <w:vertAlign w:val="subscript"/>
        </w:rPr>
        <w:t>2</w:t>
      </w:r>
      <w:r w:rsidRPr="00883399">
        <w:rPr>
          <w:sz w:val="24"/>
        </w:rPr>
        <w:noBreakHyphen/>
        <w:t>e; or</w:t>
      </w:r>
    </w:p>
    <w:p w14:paraId="46DCF52C" w14:textId="77777777" w:rsidR="00872C03" w:rsidRPr="00883399" w:rsidRDefault="00872C03" w:rsidP="00872C03">
      <w:pPr>
        <w:pStyle w:val="paragraph"/>
        <w:rPr>
          <w:sz w:val="24"/>
        </w:rPr>
      </w:pPr>
      <w:r w:rsidRPr="00883399">
        <w:rPr>
          <w:sz w:val="24"/>
        </w:rPr>
        <w:tab/>
        <w:t>(b)</w:t>
      </w:r>
      <w:r w:rsidRPr="00883399">
        <w:rPr>
          <w:sz w:val="24"/>
        </w:rPr>
        <w:tab/>
        <w:t>for the gas type nitrous oxide—zero.</w:t>
      </w:r>
    </w:p>
    <w:p w14:paraId="25B674EC" w14:textId="77777777" w:rsidR="00872C03" w:rsidRPr="00883399" w:rsidRDefault="00872C03" w:rsidP="00872C03">
      <w:pPr>
        <w:pStyle w:val="subsection"/>
        <w:rPr>
          <w:sz w:val="24"/>
        </w:rPr>
      </w:pPr>
      <w:r w:rsidRPr="00883399">
        <w:rPr>
          <w:sz w:val="24"/>
        </w:rPr>
        <w:tab/>
        <w:t>(2)</w:t>
      </w:r>
      <w:r w:rsidRPr="00883399">
        <w:rPr>
          <w:sz w:val="24"/>
        </w:rPr>
        <w:tab/>
        <w:t xml:space="preserve">For </w:t>
      </w:r>
      <w:r w:rsidRPr="00883399">
        <w:rPr>
          <w:b/>
          <w:i/>
          <w:sz w:val="24"/>
        </w:rPr>
        <w:t>EF</w:t>
      </w:r>
      <w:r w:rsidRPr="00883399">
        <w:rPr>
          <w:b/>
          <w:i/>
          <w:sz w:val="24"/>
          <w:vertAlign w:val="subscript"/>
        </w:rPr>
        <w:t>i</w:t>
      </w:r>
      <w:r w:rsidRPr="00883399">
        <w:rPr>
          <w:sz w:val="24"/>
        </w:rPr>
        <w:t xml:space="preserve"> in subsection (1), the emission factor for each gas type released from the biological treatment type is set out in the following table:</w:t>
      </w:r>
    </w:p>
    <w:p w14:paraId="63B056B4" w14:textId="77777777" w:rsidR="00872C03" w:rsidRPr="00883399" w:rsidRDefault="00872C03" w:rsidP="00872C03">
      <w:pPr>
        <w:pStyle w:val="Tabletext0"/>
        <w:rPr>
          <w:sz w:val="22"/>
        </w:rPr>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959"/>
        <w:gridCol w:w="1701"/>
        <w:gridCol w:w="1939"/>
      </w:tblGrid>
      <w:tr w:rsidR="00872C03" w:rsidRPr="00883399" w14:paraId="00B41767" w14:textId="77777777" w:rsidTr="0031057E">
        <w:trPr>
          <w:tblHeader/>
        </w:trPr>
        <w:tc>
          <w:tcPr>
            <w:tcW w:w="8313" w:type="dxa"/>
            <w:gridSpan w:val="4"/>
            <w:tcBorders>
              <w:top w:val="single" w:sz="12" w:space="0" w:color="auto"/>
              <w:bottom w:val="single" w:sz="6" w:space="0" w:color="auto"/>
            </w:tcBorders>
            <w:shd w:val="clear" w:color="auto" w:fill="auto"/>
          </w:tcPr>
          <w:p w14:paraId="7EFB107A" w14:textId="77777777" w:rsidR="00872C03" w:rsidRPr="00883399" w:rsidRDefault="00872C03" w:rsidP="0031057E">
            <w:pPr>
              <w:pStyle w:val="TableHeading"/>
              <w:rPr>
                <w:sz w:val="22"/>
              </w:rPr>
            </w:pPr>
            <w:r w:rsidRPr="00883399">
              <w:rPr>
                <w:sz w:val="22"/>
              </w:rPr>
              <w:lastRenderedPageBreak/>
              <w:t>Emission factor for type of gas and biological treatment</w:t>
            </w:r>
          </w:p>
        </w:tc>
      </w:tr>
      <w:tr w:rsidR="00872C03" w:rsidRPr="00883399" w14:paraId="5869139D" w14:textId="77777777" w:rsidTr="0031057E">
        <w:trPr>
          <w:tblHeader/>
        </w:trPr>
        <w:tc>
          <w:tcPr>
            <w:tcW w:w="714" w:type="dxa"/>
            <w:tcBorders>
              <w:top w:val="single" w:sz="6" w:space="0" w:color="auto"/>
              <w:bottom w:val="nil"/>
            </w:tcBorders>
            <w:shd w:val="clear" w:color="auto" w:fill="auto"/>
          </w:tcPr>
          <w:p w14:paraId="17F2804B" w14:textId="77777777" w:rsidR="00872C03" w:rsidRPr="00883399" w:rsidRDefault="00872C03" w:rsidP="0031057E">
            <w:pPr>
              <w:pStyle w:val="TableHeading"/>
              <w:rPr>
                <w:sz w:val="22"/>
              </w:rPr>
            </w:pPr>
            <w:r w:rsidRPr="00883399">
              <w:rPr>
                <w:sz w:val="22"/>
              </w:rPr>
              <w:t>Item</w:t>
            </w:r>
          </w:p>
        </w:tc>
        <w:tc>
          <w:tcPr>
            <w:tcW w:w="3959" w:type="dxa"/>
            <w:tcBorders>
              <w:top w:val="single" w:sz="6" w:space="0" w:color="auto"/>
              <w:bottom w:val="nil"/>
            </w:tcBorders>
            <w:shd w:val="clear" w:color="auto" w:fill="auto"/>
          </w:tcPr>
          <w:p w14:paraId="4D3087BA" w14:textId="77777777" w:rsidR="00872C03" w:rsidRPr="00883399" w:rsidRDefault="00872C03" w:rsidP="0031057E">
            <w:pPr>
              <w:pStyle w:val="TableHeading"/>
              <w:rPr>
                <w:sz w:val="22"/>
              </w:rPr>
            </w:pPr>
            <w:r w:rsidRPr="00883399">
              <w:rPr>
                <w:sz w:val="22"/>
              </w:rPr>
              <w:t xml:space="preserve">Biological treatment </w:t>
            </w:r>
          </w:p>
        </w:tc>
        <w:tc>
          <w:tcPr>
            <w:tcW w:w="3640" w:type="dxa"/>
            <w:gridSpan w:val="2"/>
            <w:tcBorders>
              <w:top w:val="single" w:sz="6" w:space="0" w:color="auto"/>
              <w:bottom w:val="single" w:sz="4" w:space="0" w:color="auto"/>
            </w:tcBorders>
            <w:shd w:val="clear" w:color="auto" w:fill="auto"/>
          </w:tcPr>
          <w:p w14:paraId="59D3BEAD" w14:textId="77777777" w:rsidR="00872C03" w:rsidRPr="00883399" w:rsidRDefault="00872C03" w:rsidP="0031057E">
            <w:pPr>
              <w:pStyle w:val="TableHeading"/>
              <w:jc w:val="center"/>
              <w:rPr>
                <w:sz w:val="22"/>
              </w:rPr>
            </w:pPr>
            <w:r w:rsidRPr="00883399">
              <w:rPr>
                <w:sz w:val="22"/>
              </w:rPr>
              <w:t>Emission factor</w:t>
            </w:r>
          </w:p>
          <w:p w14:paraId="2B46DBC0" w14:textId="77777777" w:rsidR="00872C03" w:rsidRPr="00883399" w:rsidRDefault="00872C03" w:rsidP="0031057E">
            <w:pPr>
              <w:pStyle w:val="Tabletext0"/>
              <w:jc w:val="center"/>
              <w:rPr>
                <w:b/>
                <w:sz w:val="22"/>
              </w:rPr>
            </w:pPr>
            <w:r w:rsidRPr="00883399">
              <w:rPr>
                <w:b/>
                <w:sz w:val="22"/>
              </w:rPr>
              <w:t>tonnes CO</w:t>
            </w:r>
            <w:r w:rsidRPr="00883399">
              <w:rPr>
                <w:b/>
                <w:sz w:val="22"/>
                <w:vertAlign w:val="subscript"/>
              </w:rPr>
              <w:t>2</w:t>
            </w:r>
            <w:r w:rsidRPr="00883399">
              <w:rPr>
                <w:b/>
                <w:sz w:val="22"/>
              </w:rPr>
              <w:noBreakHyphen/>
              <w:t>e/tonne of waste treated</w:t>
            </w:r>
          </w:p>
        </w:tc>
      </w:tr>
      <w:tr w:rsidR="00872C03" w:rsidRPr="00883399" w14:paraId="26C6E47B" w14:textId="77777777" w:rsidTr="0031057E">
        <w:trPr>
          <w:tblHeader/>
        </w:trPr>
        <w:tc>
          <w:tcPr>
            <w:tcW w:w="714" w:type="dxa"/>
            <w:tcBorders>
              <w:top w:val="nil"/>
              <w:bottom w:val="single" w:sz="12" w:space="0" w:color="auto"/>
            </w:tcBorders>
            <w:shd w:val="clear" w:color="auto" w:fill="auto"/>
          </w:tcPr>
          <w:p w14:paraId="52225715" w14:textId="77777777" w:rsidR="00872C03" w:rsidRPr="00883399" w:rsidRDefault="00872C03" w:rsidP="0031057E">
            <w:pPr>
              <w:pStyle w:val="TableHeading"/>
              <w:rPr>
                <w:sz w:val="22"/>
              </w:rPr>
            </w:pPr>
          </w:p>
        </w:tc>
        <w:tc>
          <w:tcPr>
            <w:tcW w:w="3959" w:type="dxa"/>
            <w:tcBorders>
              <w:top w:val="nil"/>
              <w:bottom w:val="single" w:sz="12" w:space="0" w:color="auto"/>
            </w:tcBorders>
            <w:shd w:val="clear" w:color="auto" w:fill="auto"/>
          </w:tcPr>
          <w:p w14:paraId="0A73B3CC" w14:textId="77777777" w:rsidR="00872C03" w:rsidRPr="00883399" w:rsidRDefault="00872C03" w:rsidP="0031057E">
            <w:pPr>
              <w:pStyle w:val="TableHeading"/>
              <w:rPr>
                <w:sz w:val="22"/>
              </w:rPr>
            </w:pPr>
          </w:p>
        </w:tc>
        <w:tc>
          <w:tcPr>
            <w:tcW w:w="1701" w:type="dxa"/>
            <w:tcBorders>
              <w:top w:val="single" w:sz="4" w:space="0" w:color="auto"/>
              <w:bottom w:val="single" w:sz="12" w:space="0" w:color="auto"/>
            </w:tcBorders>
            <w:shd w:val="clear" w:color="auto" w:fill="auto"/>
          </w:tcPr>
          <w:p w14:paraId="13C5538E" w14:textId="77777777" w:rsidR="00872C03" w:rsidRPr="00883399" w:rsidRDefault="00872C03" w:rsidP="0031057E">
            <w:pPr>
              <w:pStyle w:val="TableHeading"/>
              <w:rPr>
                <w:sz w:val="22"/>
              </w:rPr>
            </w:pPr>
            <w:r w:rsidRPr="00883399">
              <w:rPr>
                <w:sz w:val="22"/>
              </w:rPr>
              <w:t>Methane</w:t>
            </w:r>
          </w:p>
        </w:tc>
        <w:tc>
          <w:tcPr>
            <w:tcW w:w="1939" w:type="dxa"/>
            <w:tcBorders>
              <w:top w:val="single" w:sz="4" w:space="0" w:color="auto"/>
              <w:bottom w:val="single" w:sz="12" w:space="0" w:color="auto"/>
            </w:tcBorders>
            <w:shd w:val="clear" w:color="auto" w:fill="auto"/>
          </w:tcPr>
          <w:p w14:paraId="14233C24" w14:textId="77777777" w:rsidR="00872C03" w:rsidRPr="00883399" w:rsidRDefault="00872C03" w:rsidP="0031057E">
            <w:pPr>
              <w:pStyle w:val="TableHeading"/>
              <w:rPr>
                <w:sz w:val="22"/>
              </w:rPr>
            </w:pPr>
            <w:r w:rsidRPr="00883399">
              <w:rPr>
                <w:sz w:val="22"/>
              </w:rPr>
              <w:t>Nitrous Oxide</w:t>
            </w:r>
          </w:p>
        </w:tc>
      </w:tr>
      <w:tr w:rsidR="00872C03" w:rsidRPr="00883399" w14:paraId="7176716E" w14:textId="77777777" w:rsidTr="0031057E">
        <w:tc>
          <w:tcPr>
            <w:tcW w:w="714" w:type="dxa"/>
            <w:shd w:val="clear" w:color="auto" w:fill="auto"/>
          </w:tcPr>
          <w:p w14:paraId="37380D63" w14:textId="77777777" w:rsidR="00872C03" w:rsidRPr="00883399" w:rsidRDefault="00872C03" w:rsidP="0031057E">
            <w:pPr>
              <w:pStyle w:val="Tabletext0"/>
              <w:rPr>
                <w:sz w:val="22"/>
              </w:rPr>
            </w:pPr>
            <w:r w:rsidRPr="00883399">
              <w:rPr>
                <w:sz w:val="22"/>
              </w:rPr>
              <w:t>1</w:t>
            </w:r>
          </w:p>
        </w:tc>
        <w:tc>
          <w:tcPr>
            <w:tcW w:w="3959" w:type="dxa"/>
            <w:shd w:val="clear" w:color="auto" w:fill="auto"/>
          </w:tcPr>
          <w:p w14:paraId="7C666C79" w14:textId="77777777" w:rsidR="00872C03" w:rsidRPr="00883399" w:rsidRDefault="00872C03" w:rsidP="0031057E">
            <w:pPr>
              <w:pStyle w:val="Tabletext0"/>
              <w:rPr>
                <w:sz w:val="22"/>
              </w:rPr>
            </w:pPr>
            <w:r w:rsidRPr="00883399">
              <w:rPr>
                <w:sz w:val="22"/>
              </w:rPr>
              <w:t>Composting at the landfill</w:t>
            </w:r>
          </w:p>
        </w:tc>
        <w:tc>
          <w:tcPr>
            <w:tcW w:w="1701" w:type="dxa"/>
            <w:shd w:val="clear" w:color="auto" w:fill="auto"/>
          </w:tcPr>
          <w:p w14:paraId="005C522D" w14:textId="77777777" w:rsidR="00872C03" w:rsidRPr="00883399" w:rsidRDefault="00872C03" w:rsidP="0031057E">
            <w:pPr>
              <w:pStyle w:val="Tabletext0"/>
              <w:rPr>
                <w:sz w:val="22"/>
              </w:rPr>
            </w:pPr>
            <w:r w:rsidRPr="00883399">
              <w:rPr>
                <w:sz w:val="22"/>
              </w:rPr>
              <w:t>0.019</w:t>
            </w:r>
          </w:p>
        </w:tc>
        <w:tc>
          <w:tcPr>
            <w:tcW w:w="1939" w:type="dxa"/>
            <w:shd w:val="clear" w:color="auto" w:fill="auto"/>
          </w:tcPr>
          <w:p w14:paraId="70C93155" w14:textId="77777777" w:rsidR="00872C03" w:rsidRPr="00883399" w:rsidRDefault="00872C03" w:rsidP="0031057E">
            <w:pPr>
              <w:pStyle w:val="Tabletext0"/>
              <w:rPr>
                <w:sz w:val="22"/>
              </w:rPr>
            </w:pPr>
            <w:r w:rsidRPr="00883399">
              <w:rPr>
                <w:sz w:val="22"/>
              </w:rPr>
              <w:t>0.029</w:t>
            </w:r>
          </w:p>
        </w:tc>
      </w:tr>
      <w:tr w:rsidR="00872C03" w:rsidRPr="00883399" w14:paraId="1549115B" w14:textId="77777777" w:rsidTr="0031057E">
        <w:tc>
          <w:tcPr>
            <w:tcW w:w="714" w:type="dxa"/>
            <w:tcBorders>
              <w:bottom w:val="single" w:sz="12" w:space="0" w:color="auto"/>
            </w:tcBorders>
            <w:shd w:val="clear" w:color="auto" w:fill="auto"/>
          </w:tcPr>
          <w:p w14:paraId="67EA723C" w14:textId="77777777" w:rsidR="00872C03" w:rsidRPr="00883399" w:rsidRDefault="00872C03" w:rsidP="0031057E">
            <w:pPr>
              <w:pStyle w:val="Tabletext0"/>
              <w:rPr>
                <w:sz w:val="22"/>
              </w:rPr>
            </w:pPr>
            <w:r w:rsidRPr="00883399">
              <w:rPr>
                <w:sz w:val="22"/>
              </w:rPr>
              <w:t>2</w:t>
            </w:r>
          </w:p>
        </w:tc>
        <w:tc>
          <w:tcPr>
            <w:tcW w:w="3959" w:type="dxa"/>
            <w:tcBorders>
              <w:bottom w:val="single" w:sz="12" w:space="0" w:color="auto"/>
            </w:tcBorders>
            <w:shd w:val="clear" w:color="auto" w:fill="auto"/>
          </w:tcPr>
          <w:p w14:paraId="282D4994" w14:textId="77777777" w:rsidR="00872C03" w:rsidRPr="00883399" w:rsidRDefault="00872C03" w:rsidP="0031057E">
            <w:pPr>
              <w:pStyle w:val="Tabletext0"/>
              <w:rPr>
                <w:sz w:val="22"/>
              </w:rPr>
            </w:pPr>
            <w:r w:rsidRPr="00883399">
              <w:rPr>
                <w:sz w:val="22"/>
              </w:rPr>
              <w:t>Anaerobic digestion at the landfill</w:t>
            </w:r>
          </w:p>
        </w:tc>
        <w:tc>
          <w:tcPr>
            <w:tcW w:w="1701" w:type="dxa"/>
            <w:tcBorders>
              <w:bottom w:val="single" w:sz="12" w:space="0" w:color="auto"/>
            </w:tcBorders>
            <w:shd w:val="clear" w:color="auto" w:fill="auto"/>
          </w:tcPr>
          <w:p w14:paraId="6C6C8E2D" w14:textId="77777777" w:rsidR="00872C03" w:rsidRPr="00883399" w:rsidRDefault="00872C03" w:rsidP="0031057E">
            <w:pPr>
              <w:pStyle w:val="Tabletext0"/>
              <w:rPr>
                <w:sz w:val="22"/>
              </w:rPr>
            </w:pPr>
            <w:r w:rsidRPr="00883399">
              <w:rPr>
                <w:sz w:val="22"/>
              </w:rPr>
              <w:t>0.025</w:t>
            </w:r>
          </w:p>
        </w:tc>
        <w:tc>
          <w:tcPr>
            <w:tcW w:w="1939" w:type="dxa"/>
            <w:tcBorders>
              <w:bottom w:val="single" w:sz="12" w:space="0" w:color="auto"/>
            </w:tcBorders>
            <w:shd w:val="clear" w:color="auto" w:fill="auto"/>
          </w:tcPr>
          <w:p w14:paraId="1B974544" w14:textId="77777777" w:rsidR="00872C03" w:rsidRPr="00883399" w:rsidRDefault="00872C03" w:rsidP="0031057E">
            <w:pPr>
              <w:pStyle w:val="Tabletext0"/>
              <w:rPr>
                <w:sz w:val="22"/>
              </w:rPr>
            </w:pPr>
            <w:r w:rsidRPr="00883399">
              <w:rPr>
                <w:sz w:val="22"/>
              </w:rPr>
              <w:t>0</w:t>
            </w:r>
          </w:p>
        </w:tc>
      </w:tr>
    </w:tbl>
    <w:p w14:paraId="2F2B86C2" w14:textId="77777777" w:rsidR="00962770" w:rsidRPr="00883399" w:rsidRDefault="00962770" w:rsidP="00872C03">
      <w:pPr>
        <w:pStyle w:val="ActHead5"/>
        <w:rPr>
          <w:rStyle w:val="CharSectno"/>
          <w:sz w:val="28"/>
        </w:rPr>
      </w:pPr>
      <w:bookmarkStart w:id="1187" w:name="_Toc423517186"/>
    </w:p>
    <w:p w14:paraId="33DD8AE2" w14:textId="38BD50C5" w:rsidR="00872C03" w:rsidRPr="00883399" w:rsidRDefault="00872C03" w:rsidP="00872C03">
      <w:pPr>
        <w:pStyle w:val="ActHead5"/>
        <w:rPr>
          <w:sz w:val="28"/>
        </w:rPr>
      </w:pPr>
      <w:bookmarkStart w:id="1188" w:name="_Toc495653117"/>
      <w:r w:rsidRPr="00883399">
        <w:rPr>
          <w:rStyle w:val="CharSectno"/>
          <w:sz w:val="28"/>
        </w:rPr>
        <w:t>5.22AA</w:t>
      </w:r>
      <w:r w:rsidRPr="00883399">
        <w:rPr>
          <w:sz w:val="28"/>
        </w:rPr>
        <w:t xml:space="preserve">  Method 4—biological treatment of solid waste at the landfill</w:t>
      </w:r>
      <w:bookmarkEnd w:id="1187"/>
      <w:bookmarkEnd w:id="1188"/>
    </w:p>
    <w:p w14:paraId="5525C1BD" w14:textId="77777777" w:rsidR="00872C03" w:rsidRPr="00883399" w:rsidRDefault="00872C03" w:rsidP="00872C03">
      <w:pPr>
        <w:pStyle w:val="subsection"/>
        <w:rPr>
          <w:sz w:val="24"/>
        </w:rPr>
      </w:pPr>
      <w:r w:rsidRPr="00883399">
        <w:rPr>
          <w:sz w:val="24"/>
        </w:rPr>
        <w:tab/>
      </w:r>
      <w:r w:rsidRPr="00883399">
        <w:rPr>
          <w:sz w:val="24"/>
        </w:rPr>
        <w:tab/>
        <w:t>For subparagraph 5.3(1)(c)(ii), method 4 is as set out in Part 1.3.</w:t>
      </w:r>
    </w:p>
    <w:p w14:paraId="24864DFF" w14:textId="77777777" w:rsidR="003331C5" w:rsidRPr="00883399" w:rsidRDefault="003331C5" w:rsidP="00872C03">
      <w:pPr>
        <w:pStyle w:val="subsection"/>
        <w:rPr>
          <w:sz w:val="24"/>
        </w:rPr>
      </w:pPr>
    </w:p>
    <w:p w14:paraId="4F6AFD69" w14:textId="767607C6" w:rsidR="003331C5" w:rsidRPr="00883399" w:rsidRDefault="003331C5" w:rsidP="003331C5">
      <w:pPr>
        <w:pStyle w:val="ActHead3"/>
        <w:pageBreakBefore/>
        <w:rPr>
          <w:sz w:val="32"/>
        </w:rPr>
      </w:pPr>
      <w:bookmarkStart w:id="1189" w:name="_Toc455152646"/>
      <w:bookmarkStart w:id="1190" w:name="_Toc495653118"/>
      <w:r w:rsidRPr="00883399">
        <w:rPr>
          <w:rStyle w:val="CharDivNo"/>
          <w:sz w:val="32"/>
        </w:rPr>
        <w:lastRenderedPageBreak/>
        <w:t>Division 5.2.7</w:t>
      </w:r>
      <w:r w:rsidRPr="00883399">
        <w:rPr>
          <w:sz w:val="32"/>
        </w:rPr>
        <w:t>—</w:t>
      </w:r>
      <w:r w:rsidRPr="00883399">
        <w:rPr>
          <w:rStyle w:val="CharDivText"/>
          <w:sz w:val="32"/>
        </w:rPr>
        <w:t>Legacy emissions and non</w:t>
      </w:r>
      <w:r w:rsidRPr="00883399">
        <w:rPr>
          <w:rStyle w:val="CharDivText"/>
          <w:sz w:val="32"/>
        </w:rPr>
        <w:noBreakHyphen/>
        <w:t>legacy emissions</w:t>
      </w:r>
      <w:bookmarkEnd w:id="1189"/>
      <w:bookmarkEnd w:id="1190"/>
    </w:p>
    <w:p w14:paraId="568893D0" w14:textId="77777777" w:rsidR="008708D9" w:rsidRPr="00883399" w:rsidRDefault="008708D9" w:rsidP="008708D9">
      <w:pPr>
        <w:spacing w:before="240" w:line="312" w:lineRule="auto"/>
        <w:rPr>
          <w:rFonts w:ascii="Arial" w:hAnsi="Arial" w:cs="Arial"/>
          <w:sz w:val="22"/>
          <w:lang w:eastAsia="en-US"/>
        </w:rPr>
      </w:pPr>
      <w:bookmarkStart w:id="1191" w:name="_Toc455152647"/>
      <w:r w:rsidRPr="00883399">
        <w:rPr>
          <w:rFonts w:ascii="Arial" w:hAnsi="Arial" w:cs="Arial"/>
          <w:sz w:val="22"/>
          <w:lang w:eastAsia="en-US"/>
        </w:rPr>
        <w:t>Division 5.2.7 sets out the methods landfill operators must use to derive legacy and non-legacy emissions for the purposes of reporting covered emissions under the Safeguard Mechanism.  It is intended that Division 5.2.7 applies to landfill operators using any of the available solid waste methods specified in section 5.3.</w:t>
      </w:r>
    </w:p>
    <w:p w14:paraId="509B7744" w14:textId="60335DB6" w:rsidR="003331C5" w:rsidRPr="00883399" w:rsidRDefault="003331C5" w:rsidP="003331C5">
      <w:pPr>
        <w:pStyle w:val="ActHead5"/>
        <w:rPr>
          <w:sz w:val="28"/>
        </w:rPr>
      </w:pPr>
      <w:bookmarkStart w:id="1192" w:name="_Toc495653119"/>
      <w:r w:rsidRPr="00883399">
        <w:rPr>
          <w:rStyle w:val="CharSectno"/>
          <w:sz w:val="28"/>
        </w:rPr>
        <w:t>5.22A</w:t>
      </w:r>
      <w:r w:rsidRPr="00883399">
        <w:rPr>
          <w:sz w:val="28"/>
        </w:rPr>
        <w:t xml:space="preserve">  Legacy emissions estimated using method 1—sub</w:t>
      </w:r>
      <w:r w:rsidRPr="00883399">
        <w:rPr>
          <w:sz w:val="28"/>
        </w:rPr>
        <w:noBreakHyphen/>
        <w:t>facility zone options</w:t>
      </w:r>
      <w:bookmarkEnd w:id="1191"/>
      <w:bookmarkEnd w:id="1192"/>
    </w:p>
    <w:p w14:paraId="773B4A56" w14:textId="77777777" w:rsidR="003331C5" w:rsidRPr="00883399" w:rsidRDefault="003331C5" w:rsidP="003331C5">
      <w:pPr>
        <w:pStyle w:val="subsection"/>
        <w:rPr>
          <w:sz w:val="24"/>
        </w:rPr>
      </w:pPr>
      <w:r w:rsidRPr="00883399">
        <w:rPr>
          <w:sz w:val="24"/>
        </w:rPr>
        <w:tab/>
        <w:t>(1)</w:t>
      </w:r>
      <w:r w:rsidRPr="00883399">
        <w:rPr>
          <w:sz w:val="24"/>
        </w:rPr>
        <w:tab/>
        <w:t>If a landfill operator estimates emissions of methane released from legacy waste in a landfill using method 1 in Division 5.2.2, the landfill operator may:</w:t>
      </w:r>
    </w:p>
    <w:p w14:paraId="389FAEE4" w14:textId="77777777" w:rsidR="003331C5" w:rsidRPr="00883399" w:rsidRDefault="003331C5" w:rsidP="003331C5">
      <w:pPr>
        <w:pStyle w:val="paragraph"/>
        <w:rPr>
          <w:sz w:val="24"/>
        </w:rPr>
      </w:pPr>
      <w:r w:rsidRPr="00883399">
        <w:rPr>
          <w:sz w:val="24"/>
        </w:rPr>
        <w:tab/>
        <w:t>(a)</w:t>
      </w:r>
      <w:r w:rsidRPr="00883399">
        <w:rPr>
          <w:sz w:val="24"/>
        </w:rPr>
        <w:tab/>
        <w:t>take the whole landfill to be a sub</w:t>
      </w:r>
      <w:r w:rsidRPr="00883399">
        <w:rPr>
          <w:sz w:val="24"/>
        </w:rPr>
        <w:noBreakHyphen/>
        <w:t>facility zone; or</w:t>
      </w:r>
    </w:p>
    <w:p w14:paraId="61053F29" w14:textId="77777777" w:rsidR="003331C5" w:rsidRPr="00883399" w:rsidRDefault="003331C5" w:rsidP="003331C5">
      <w:pPr>
        <w:pStyle w:val="paragraph"/>
        <w:rPr>
          <w:bCs/>
          <w:sz w:val="24"/>
        </w:rPr>
      </w:pPr>
      <w:r w:rsidRPr="00883399">
        <w:rPr>
          <w:sz w:val="24"/>
        </w:rPr>
        <w:tab/>
      </w:r>
      <w:r w:rsidRPr="00883399">
        <w:rPr>
          <w:bCs/>
          <w:sz w:val="24"/>
        </w:rPr>
        <w:t>(b)</w:t>
      </w:r>
      <w:r w:rsidRPr="00883399">
        <w:rPr>
          <w:bCs/>
          <w:sz w:val="24"/>
        </w:rPr>
        <w:tab/>
        <w:t>select sub</w:t>
      </w:r>
      <w:r w:rsidRPr="00883399">
        <w:rPr>
          <w:bCs/>
          <w:sz w:val="24"/>
        </w:rPr>
        <w:noBreakHyphen/>
        <w:t>facility zones in accordance with subsections (2) and (3).</w:t>
      </w:r>
    </w:p>
    <w:p w14:paraId="2154FC09" w14:textId="77777777" w:rsidR="003331C5" w:rsidRPr="00883399" w:rsidRDefault="003331C5" w:rsidP="003331C5">
      <w:pPr>
        <w:pStyle w:val="subsection"/>
        <w:rPr>
          <w:sz w:val="24"/>
        </w:rPr>
      </w:pPr>
      <w:r w:rsidRPr="00883399">
        <w:rPr>
          <w:sz w:val="24"/>
        </w:rPr>
        <w:tab/>
        <w:t>(2)</w:t>
      </w:r>
      <w:r w:rsidRPr="00883399">
        <w:rPr>
          <w:sz w:val="24"/>
        </w:rPr>
        <w:tab/>
        <w:t>The number of sub</w:t>
      </w:r>
      <w:r w:rsidRPr="00883399">
        <w:rPr>
          <w:sz w:val="24"/>
        </w:rPr>
        <w:noBreakHyphen/>
        <w:t>facility zones the landfill operator may select:</w:t>
      </w:r>
    </w:p>
    <w:p w14:paraId="5455AD93" w14:textId="77777777" w:rsidR="003331C5" w:rsidRPr="00883399" w:rsidRDefault="003331C5" w:rsidP="003331C5">
      <w:pPr>
        <w:pStyle w:val="paragraph"/>
        <w:rPr>
          <w:sz w:val="24"/>
        </w:rPr>
      </w:pPr>
      <w:r w:rsidRPr="00883399">
        <w:rPr>
          <w:sz w:val="24"/>
        </w:rPr>
        <w:tab/>
        <w:t>(a)</w:t>
      </w:r>
      <w:r w:rsidRPr="00883399">
        <w:rPr>
          <w:sz w:val="24"/>
        </w:rPr>
        <w:tab/>
        <w:t>for sub</w:t>
      </w:r>
      <w:r w:rsidRPr="00883399">
        <w:rPr>
          <w:sz w:val="24"/>
        </w:rPr>
        <w:noBreakHyphen/>
        <w:t>facility zones that contain only waste mix of the type mentioned in paragraph 5.11(1)(i)—is unlimited; and</w:t>
      </w:r>
    </w:p>
    <w:p w14:paraId="75F0C51A" w14:textId="77777777" w:rsidR="003331C5" w:rsidRPr="00883399" w:rsidRDefault="003331C5" w:rsidP="003331C5">
      <w:pPr>
        <w:pStyle w:val="paragraph"/>
        <w:rPr>
          <w:sz w:val="24"/>
        </w:rPr>
      </w:pPr>
      <w:r w:rsidRPr="00883399">
        <w:rPr>
          <w:sz w:val="24"/>
        </w:rPr>
        <w:tab/>
        <w:t>(b)</w:t>
      </w:r>
      <w:r w:rsidRPr="00883399">
        <w:rPr>
          <w:sz w:val="24"/>
        </w:rPr>
        <w:tab/>
        <w:t>for all other sub</w:t>
      </w:r>
      <w:r w:rsidRPr="00883399">
        <w:rPr>
          <w:sz w:val="24"/>
        </w:rPr>
        <w:noBreakHyphen/>
        <w:t>facility zones—must not exceed 4.</w:t>
      </w:r>
    </w:p>
    <w:p w14:paraId="30C67B72" w14:textId="77777777" w:rsidR="003331C5" w:rsidRPr="00883399" w:rsidRDefault="003331C5" w:rsidP="003331C5">
      <w:pPr>
        <w:pStyle w:val="subsection"/>
        <w:rPr>
          <w:sz w:val="24"/>
        </w:rPr>
      </w:pPr>
      <w:r w:rsidRPr="00883399">
        <w:rPr>
          <w:sz w:val="24"/>
        </w:rPr>
        <w:tab/>
        <w:t>(3)</w:t>
      </w:r>
      <w:r w:rsidRPr="00883399">
        <w:rPr>
          <w:sz w:val="24"/>
        </w:rPr>
        <w:tab/>
        <w:t>A sub</w:t>
      </w:r>
      <w:r w:rsidRPr="00883399">
        <w:rPr>
          <w:sz w:val="24"/>
        </w:rPr>
        <w:noBreakHyphen/>
        <w:t>facility zone:</w:t>
      </w:r>
    </w:p>
    <w:p w14:paraId="497A87C6" w14:textId="77777777" w:rsidR="003331C5" w:rsidRPr="00883399" w:rsidRDefault="003331C5" w:rsidP="003331C5">
      <w:pPr>
        <w:pStyle w:val="paragraph"/>
        <w:rPr>
          <w:sz w:val="24"/>
        </w:rPr>
      </w:pPr>
      <w:r w:rsidRPr="00883399">
        <w:rPr>
          <w:sz w:val="24"/>
        </w:rPr>
        <w:tab/>
        <w:t>(a)</w:t>
      </w:r>
      <w:r w:rsidRPr="00883399">
        <w:rPr>
          <w:sz w:val="24"/>
        </w:rPr>
        <w:tab/>
        <w:t>must cover an area of at least 1 hectare; and</w:t>
      </w:r>
    </w:p>
    <w:p w14:paraId="7CB79C14" w14:textId="77777777" w:rsidR="003331C5" w:rsidRPr="00883399" w:rsidRDefault="003331C5" w:rsidP="003331C5">
      <w:pPr>
        <w:pStyle w:val="paragraph"/>
        <w:rPr>
          <w:sz w:val="24"/>
        </w:rPr>
      </w:pPr>
      <w:r w:rsidRPr="00883399">
        <w:rPr>
          <w:sz w:val="24"/>
        </w:rPr>
        <w:tab/>
        <w:t>(b)</w:t>
      </w:r>
      <w:r w:rsidRPr="00883399">
        <w:rPr>
          <w:sz w:val="24"/>
        </w:rPr>
        <w:tab/>
        <w:t>must be a single area within the landfill; and</w:t>
      </w:r>
    </w:p>
    <w:p w14:paraId="2AEBB3B6" w14:textId="77777777" w:rsidR="003331C5" w:rsidRPr="00883399" w:rsidRDefault="003331C5" w:rsidP="003331C5">
      <w:pPr>
        <w:pStyle w:val="paragraph"/>
        <w:rPr>
          <w:sz w:val="24"/>
        </w:rPr>
      </w:pPr>
      <w:r w:rsidRPr="00883399">
        <w:rPr>
          <w:sz w:val="24"/>
        </w:rPr>
        <w:tab/>
        <w:t>(c)</w:t>
      </w:r>
      <w:r w:rsidRPr="00883399">
        <w:rPr>
          <w:sz w:val="24"/>
        </w:rPr>
        <w:tab/>
        <w:t>must have a uniform composition of waste mix types so that the estimates of the methane generated by the sub</w:t>
      </w:r>
      <w:r w:rsidRPr="00883399">
        <w:rPr>
          <w:sz w:val="24"/>
        </w:rPr>
        <w:noBreakHyphen/>
        <w:t>facility zone are in accordance with section 1.13; and</w:t>
      </w:r>
    </w:p>
    <w:p w14:paraId="2F5A1E1E" w14:textId="77777777" w:rsidR="003331C5" w:rsidRPr="00883399" w:rsidRDefault="003331C5" w:rsidP="003331C5">
      <w:pPr>
        <w:pStyle w:val="paragraph"/>
        <w:rPr>
          <w:sz w:val="24"/>
        </w:rPr>
      </w:pPr>
      <w:r w:rsidRPr="00883399">
        <w:rPr>
          <w:sz w:val="24"/>
        </w:rPr>
        <w:tab/>
        <w:t>(d)</w:t>
      </w:r>
      <w:r w:rsidRPr="00883399">
        <w:rPr>
          <w:sz w:val="24"/>
        </w:rPr>
        <w:tab/>
        <w:t>must not be subject to:</w:t>
      </w:r>
    </w:p>
    <w:p w14:paraId="2F4225F0" w14:textId="77777777" w:rsidR="003331C5" w:rsidRPr="00883399" w:rsidRDefault="003331C5" w:rsidP="003331C5">
      <w:pPr>
        <w:pStyle w:val="paragraphsub"/>
        <w:rPr>
          <w:sz w:val="24"/>
        </w:rPr>
      </w:pPr>
      <w:r w:rsidRPr="00883399">
        <w:rPr>
          <w:sz w:val="24"/>
        </w:rPr>
        <w:tab/>
        <w:t>(i)</w:t>
      </w:r>
      <w:r w:rsidRPr="00883399">
        <w:rPr>
          <w:sz w:val="24"/>
        </w:rPr>
        <w:tab/>
        <w:t>landfill gas inflow from another sub</w:t>
      </w:r>
      <w:r w:rsidRPr="00883399">
        <w:rPr>
          <w:sz w:val="24"/>
        </w:rPr>
        <w:noBreakHyphen/>
        <w:t>facility zone; or</w:t>
      </w:r>
    </w:p>
    <w:p w14:paraId="17B63524" w14:textId="77777777" w:rsidR="003331C5" w:rsidRPr="00883399" w:rsidRDefault="003331C5" w:rsidP="003331C5">
      <w:pPr>
        <w:pStyle w:val="paragraphsub"/>
        <w:rPr>
          <w:sz w:val="24"/>
        </w:rPr>
      </w:pPr>
      <w:r w:rsidRPr="00883399">
        <w:rPr>
          <w:sz w:val="24"/>
        </w:rPr>
        <w:tab/>
        <w:t>(ii)</w:t>
      </w:r>
      <w:r w:rsidRPr="00883399">
        <w:rPr>
          <w:sz w:val="24"/>
        </w:rPr>
        <w:tab/>
        <w:t>landfill gas outflow to another sub</w:t>
      </w:r>
      <w:r w:rsidRPr="00883399">
        <w:rPr>
          <w:sz w:val="24"/>
        </w:rPr>
        <w:noBreakHyphen/>
        <w:t>facility zone.</w:t>
      </w:r>
    </w:p>
    <w:p w14:paraId="44216E75" w14:textId="77777777" w:rsidR="003331C5" w:rsidRPr="00883399" w:rsidRDefault="003331C5" w:rsidP="003331C5">
      <w:pPr>
        <w:pStyle w:val="notetext"/>
        <w:rPr>
          <w:sz w:val="20"/>
        </w:rPr>
      </w:pPr>
      <w:r w:rsidRPr="00883399">
        <w:rPr>
          <w:sz w:val="20"/>
        </w:rPr>
        <w:t>Note:</w:t>
      </w:r>
      <w:r w:rsidRPr="00883399">
        <w:rPr>
          <w:sz w:val="20"/>
        </w:rPr>
        <w:tab/>
        <w:t>Section 5.17AA sets out, for a landfill operator using method 2 in Division 5.2.3 or method 3 in Division 5.2.4, the number of sub</w:t>
      </w:r>
      <w:r w:rsidRPr="00883399">
        <w:rPr>
          <w:sz w:val="20"/>
          <w:szCs w:val="22"/>
        </w:rPr>
        <w:noBreakHyphen/>
      </w:r>
      <w:r w:rsidRPr="00883399">
        <w:rPr>
          <w:sz w:val="20"/>
        </w:rPr>
        <w:t>facility zones that the landfill operator may select and the requirements for sub</w:t>
      </w:r>
      <w:r w:rsidRPr="00883399">
        <w:rPr>
          <w:sz w:val="20"/>
          <w:szCs w:val="22"/>
        </w:rPr>
        <w:noBreakHyphen/>
      </w:r>
      <w:r w:rsidRPr="00883399">
        <w:rPr>
          <w:sz w:val="20"/>
        </w:rPr>
        <w:t>facility zones that the landfill operator must comply with.</w:t>
      </w:r>
    </w:p>
    <w:p w14:paraId="51976A2D" w14:textId="1AD909B8" w:rsidR="003331C5" w:rsidRPr="00883399" w:rsidRDefault="003331C5" w:rsidP="003331C5">
      <w:pPr>
        <w:pStyle w:val="ActHead5"/>
        <w:rPr>
          <w:sz w:val="28"/>
        </w:rPr>
      </w:pPr>
      <w:bookmarkStart w:id="1193" w:name="_Toc455152648"/>
      <w:bookmarkStart w:id="1194" w:name="_Toc495653120"/>
      <w:r w:rsidRPr="00883399">
        <w:rPr>
          <w:rStyle w:val="CharSectno"/>
          <w:sz w:val="28"/>
        </w:rPr>
        <w:t>5.22B</w:t>
      </w:r>
      <w:r w:rsidRPr="00883399">
        <w:rPr>
          <w:sz w:val="28"/>
        </w:rPr>
        <w:t xml:space="preserve">  Legacy emissions—formula and unit of measurement</w:t>
      </w:r>
      <w:bookmarkEnd w:id="1193"/>
      <w:bookmarkEnd w:id="1194"/>
    </w:p>
    <w:p w14:paraId="38D11ADD" w14:textId="77777777" w:rsidR="003331C5" w:rsidRPr="00883399" w:rsidRDefault="003331C5" w:rsidP="003331C5">
      <w:pPr>
        <w:pStyle w:val="subsection"/>
        <w:rPr>
          <w:sz w:val="24"/>
        </w:rPr>
      </w:pPr>
      <w:r w:rsidRPr="00883399">
        <w:rPr>
          <w:sz w:val="24"/>
        </w:rPr>
        <w:tab/>
        <w:t>(1)</w:t>
      </w:r>
      <w:r w:rsidRPr="00883399">
        <w:rPr>
          <w:sz w:val="24"/>
        </w:rPr>
        <w:tab/>
        <w:t xml:space="preserve">Emissions (the </w:t>
      </w:r>
      <w:r w:rsidRPr="00883399">
        <w:rPr>
          <w:b/>
          <w:i/>
          <w:sz w:val="24"/>
        </w:rPr>
        <w:t>legacy emissions</w:t>
      </w:r>
      <w:r w:rsidRPr="00883399">
        <w:rPr>
          <w:sz w:val="24"/>
        </w:rPr>
        <w:t>) from legacy waste must be estimated in tonnes of CO</w:t>
      </w:r>
      <w:r w:rsidRPr="00883399">
        <w:rPr>
          <w:sz w:val="24"/>
          <w:vertAlign w:val="subscript"/>
        </w:rPr>
        <w:t>2</w:t>
      </w:r>
      <w:r w:rsidRPr="00883399">
        <w:rPr>
          <w:sz w:val="24"/>
        </w:rPr>
        <w:noBreakHyphen/>
        <w:t>e using the following formula:</w:t>
      </w:r>
    </w:p>
    <w:p w14:paraId="490053F2" w14:textId="77777777" w:rsidR="003331C5" w:rsidRPr="00883399" w:rsidRDefault="003331C5" w:rsidP="003331C5">
      <w:pPr>
        <w:pStyle w:val="subsection2"/>
        <w:rPr>
          <w:sz w:val="24"/>
        </w:rPr>
      </w:pPr>
      <w:r w:rsidRPr="00883399">
        <w:rPr>
          <w:position w:val="-4"/>
          <w:sz w:val="24"/>
        </w:rPr>
        <w:object w:dxaOrig="160" w:dyaOrig="240" w14:anchorId="72359AB5">
          <v:shape id="_x0000_i1090" type="#_x0000_t75" style="width:8.25pt;height:12pt" o:ole="">
            <v:imagedata r:id="rId282" o:title=""/>
          </v:shape>
          <o:OLEObject Type="Embed" ProgID="Equation.DSMT4" ShapeID="_x0000_i1090" DrawAspect="Content" ObjectID="_1594105981" r:id="rId283"/>
        </w:object>
      </w:r>
      <w:r w:rsidRPr="00883399">
        <w:rPr>
          <w:position w:val="-16"/>
          <w:sz w:val="24"/>
        </w:rPr>
        <w:object w:dxaOrig="4680" w:dyaOrig="540" w14:anchorId="0D7D0D04">
          <v:shape id="_x0000_i1091" type="#_x0000_t75" style="width:234.75pt;height:27.75pt" o:ole="">
            <v:imagedata r:id="rId284" o:title=""/>
          </v:shape>
          <o:OLEObject Type="Embed" ProgID="Equation.DSMT4" ShapeID="_x0000_i1091" DrawAspect="Content" ObjectID="_1594105982" r:id="rId285"/>
        </w:object>
      </w:r>
    </w:p>
    <w:p w14:paraId="2CA14594" w14:textId="77777777" w:rsidR="003331C5" w:rsidRPr="00883399" w:rsidRDefault="003331C5" w:rsidP="003331C5">
      <w:pPr>
        <w:pStyle w:val="subsection2"/>
        <w:rPr>
          <w:sz w:val="24"/>
        </w:rPr>
      </w:pPr>
      <w:r w:rsidRPr="00883399">
        <w:rPr>
          <w:sz w:val="24"/>
        </w:rPr>
        <w:t>where:</w:t>
      </w:r>
    </w:p>
    <w:p w14:paraId="41F7105D" w14:textId="77777777" w:rsidR="003331C5" w:rsidRPr="00883399" w:rsidRDefault="003331C5" w:rsidP="003331C5">
      <w:pPr>
        <w:pStyle w:val="Definition0"/>
        <w:rPr>
          <w:sz w:val="24"/>
        </w:rPr>
      </w:pPr>
      <w:r w:rsidRPr="00883399">
        <w:rPr>
          <w:b/>
          <w:i/>
          <w:sz w:val="24"/>
        </w:rPr>
        <w:lastRenderedPageBreak/>
        <w:t>E</w:t>
      </w:r>
      <w:r w:rsidRPr="00883399">
        <w:rPr>
          <w:b/>
          <w:i/>
          <w:sz w:val="24"/>
          <w:vertAlign w:val="subscript"/>
        </w:rPr>
        <w:t>lw</w:t>
      </w:r>
      <w:r w:rsidRPr="00883399">
        <w:rPr>
          <w:sz w:val="24"/>
        </w:rPr>
        <w:t xml:space="preserve"> is the quantity of methane released by the landfill from legacy waste, measured in CO</w:t>
      </w:r>
      <w:r w:rsidRPr="00883399">
        <w:rPr>
          <w:sz w:val="24"/>
          <w:vertAlign w:val="subscript"/>
        </w:rPr>
        <w:t>2</w:t>
      </w:r>
      <w:r w:rsidRPr="00883399">
        <w:rPr>
          <w:sz w:val="24"/>
        </w:rPr>
        <w:noBreakHyphen/>
        <w:t>e tonnes.</w:t>
      </w:r>
    </w:p>
    <w:p w14:paraId="3E3B9235" w14:textId="77777777" w:rsidR="003331C5" w:rsidRPr="00883399" w:rsidRDefault="003331C5" w:rsidP="003331C5">
      <w:pPr>
        <w:pStyle w:val="Definition0"/>
        <w:rPr>
          <w:sz w:val="24"/>
        </w:rPr>
      </w:pPr>
      <w:r w:rsidRPr="00883399">
        <w:rPr>
          <w:b/>
          <w:i/>
          <w:sz w:val="24"/>
        </w:rPr>
        <w:t>CH</w:t>
      </w:r>
      <w:r w:rsidRPr="00883399">
        <w:rPr>
          <w:b/>
          <w:i/>
          <w:sz w:val="24"/>
          <w:vertAlign w:val="subscript"/>
        </w:rPr>
        <w:t>4genlw</w:t>
      </w:r>
      <w:r w:rsidRPr="00883399">
        <w:rPr>
          <w:sz w:val="24"/>
        </w:rPr>
        <w:t xml:space="preserve"> is the quantity of methane generated from legacy waste, measured in CO</w:t>
      </w:r>
      <w:r w:rsidRPr="00883399">
        <w:rPr>
          <w:sz w:val="24"/>
          <w:vertAlign w:val="subscript"/>
        </w:rPr>
        <w:t>2</w:t>
      </w:r>
      <w:r w:rsidRPr="00883399">
        <w:rPr>
          <w:sz w:val="24"/>
        </w:rPr>
        <w:noBreakHyphen/>
        <w:t>e tonnes.</w:t>
      </w:r>
    </w:p>
    <w:p w14:paraId="0E64CD9A" w14:textId="77777777" w:rsidR="003331C5" w:rsidRPr="00883399" w:rsidRDefault="003331C5" w:rsidP="003331C5">
      <w:pPr>
        <w:pStyle w:val="Definition0"/>
        <w:rPr>
          <w:sz w:val="24"/>
        </w:rPr>
      </w:pPr>
      <w:r w:rsidRPr="00883399">
        <w:rPr>
          <w:b/>
          <w:i/>
          <w:sz w:val="24"/>
        </w:rPr>
        <w:t>γ</w:t>
      </w:r>
      <w:r w:rsidRPr="00883399">
        <w:rPr>
          <w:sz w:val="24"/>
        </w:rPr>
        <w:t xml:space="preserve"> is the factor 6.784 × 10</w:t>
      </w:r>
      <w:r w:rsidRPr="00883399">
        <w:rPr>
          <w:sz w:val="24"/>
        </w:rPr>
        <w:noBreakHyphen/>
        <w:t>4 × 25 converting cubic metres of methane at standard conditions measured to CO</w:t>
      </w:r>
      <w:r w:rsidRPr="00883399">
        <w:rPr>
          <w:sz w:val="24"/>
          <w:vertAlign w:val="subscript"/>
        </w:rPr>
        <w:t>2</w:t>
      </w:r>
      <w:r w:rsidRPr="00883399">
        <w:rPr>
          <w:sz w:val="24"/>
        </w:rPr>
        <w:noBreakHyphen/>
        <w:t>e tonnes.</w:t>
      </w:r>
    </w:p>
    <w:p w14:paraId="4C305853" w14:textId="77777777" w:rsidR="003331C5" w:rsidRPr="00883399" w:rsidRDefault="003331C5" w:rsidP="003331C5">
      <w:pPr>
        <w:pStyle w:val="Definition0"/>
        <w:rPr>
          <w:sz w:val="24"/>
        </w:rPr>
      </w:pPr>
      <w:r w:rsidRPr="00883399">
        <w:rPr>
          <w:b/>
          <w:i/>
          <w:sz w:val="24"/>
        </w:rPr>
        <w:t>Q</w:t>
      </w:r>
      <w:r w:rsidRPr="00883399">
        <w:rPr>
          <w:b/>
          <w:i/>
          <w:sz w:val="24"/>
          <w:vertAlign w:val="subscript"/>
        </w:rPr>
        <w:t>caplw</w:t>
      </w:r>
      <w:r w:rsidRPr="00883399">
        <w:rPr>
          <w:sz w:val="24"/>
        </w:rPr>
        <w:t xml:space="preserve"> is the quantity of methane captured for combustion from landfill legacy waste during a reporting year and estimated in accordance with section 5.22C.</w:t>
      </w:r>
    </w:p>
    <w:p w14:paraId="75B937A6" w14:textId="77777777" w:rsidR="003331C5" w:rsidRPr="00883399" w:rsidRDefault="003331C5" w:rsidP="003331C5">
      <w:pPr>
        <w:pStyle w:val="Definition0"/>
        <w:rPr>
          <w:sz w:val="24"/>
        </w:rPr>
      </w:pPr>
      <w:r w:rsidRPr="00883399">
        <w:rPr>
          <w:b/>
          <w:i/>
          <w:sz w:val="24"/>
        </w:rPr>
        <w:t>Q</w:t>
      </w:r>
      <w:r w:rsidRPr="00883399">
        <w:rPr>
          <w:b/>
          <w:i/>
          <w:sz w:val="24"/>
          <w:vertAlign w:val="subscript"/>
        </w:rPr>
        <w:t>fllw</w:t>
      </w:r>
      <w:r w:rsidRPr="00883399">
        <w:rPr>
          <w:sz w:val="24"/>
        </w:rPr>
        <w:t xml:space="preserve"> is the quantity of methane flared from landfill legacy waste during the reporting year and estimated in accordance with section 5.22D.</w:t>
      </w:r>
    </w:p>
    <w:p w14:paraId="5D98D0CA" w14:textId="77777777" w:rsidR="003331C5" w:rsidRPr="00883399" w:rsidRDefault="003331C5" w:rsidP="003331C5">
      <w:pPr>
        <w:pStyle w:val="Definition0"/>
        <w:rPr>
          <w:sz w:val="24"/>
        </w:rPr>
      </w:pPr>
      <w:r w:rsidRPr="00883399">
        <w:rPr>
          <w:b/>
          <w:i/>
          <w:sz w:val="24"/>
        </w:rPr>
        <w:t>Q</w:t>
      </w:r>
      <w:r w:rsidRPr="00883399">
        <w:rPr>
          <w:b/>
          <w:i/>
          <w:sz w:val="24"/>
          <w:vertAlign w:val="subscript"/>
        </w:rPr>
        <w:t>trlw</w:t>
      </w:r>
      <w:r w:rsidRPr="00883399">
        <w:rPr>
          <w:sz w:val="24"/>
        </w:rPr>
        <w:t xml:space="preserve"> is the quantity of methane captured for transfer out of the landfill from landfill legacy waste during the reporting year and estimated according to section 5.22E.</w:t>
      </w:r>
    </w:p>
    <w:p w14:paraId="4A8ECE64" w14:textId="77777777" w:rsidR="003331C5" w:rsidRPr="00883399" w:rsidRDefault="003331C5" w:rsidP="003331C5">
      <w:pPr>
        <w:pStyle w:val="Definition0"/>
        <w:rPr>
          <w:sz w:val="24"/>
        </w:rPr>
      </w:pPr>
      <w:r w:rsidRPr="00883399">
        <w:rPr>
          <w:b/>
          <w:i/>
          <w:sz w:val="24"/>
        </w:rPr>
        <w:t>OF</w:t>
      </w:r>
      <w:r w:rsidRPr="00883399">
        <w:rPr>
          <w:sz w:val="24"/>
        </w:rPr>
        <w:t xml:space="preserve"> is the oxidation factor (0.1) for near surface methane in the landfill.</w:t>
      </w:r>
    </w:p>
    <w:p w14:paraId="6390B994" w14:textId="77777777" w:rsidR="003331C5" w:rsidRPr="00883399" w:rsidRDefault="003331C5" w:rsidP="003331C5">
      <w:pPr>
        <w:pStyle w:val="subsection"/>
        <w:rPr>
          <w:sz w:val="24"/>
        </w:rPr>
      </w:pPr>
      <w:r w:rsidRPr="00883399">
        <w:rPr>
          <w:sz w:val="24"/>
        </w:rPr>
        <w:tab/>
        <w:t>(2)</w:t>
      </w:r>
      <w:r w:rsidRPr="00883399">
        <w:rPr>
          <w:sz w:val="24"/>
        </w:rPr>
        <w:tab/>
        <w:t xml:space="preserve">Work out the ratio of methane generated by legacy waste deposited in a </w:t>
      </w:r>
      <w:r w:rsidRPr="00883399">
        <w:rPr>
          <w:sz w:val="24"/>
          <w:szCs w:val="22"/>
        </w:rPr>
        <w:t>sub</w:t>
      </w:r>
      <w:r w:rsidRPr="00883399">
        <w:rPr>
          <w:sz w:val="24"/>
          <w:szCs w:val="22"/>
        </w:rPr>
        <w:noBreakHyphen/>
        <w:t>facility zone to methane generated by all waste deposited in a sub</w:t>
      </w:r>
      <w:r w:rsidRPr="00883399">
        <w:rPr>
          <w:sz w:val="24"/>
          <w:szCs w:val="22"/>
        </w:rPr>
        <w:noBreakHyphen/>
        <w:t xml:space="preserve">facility zone </w:t>
      </w:r>
      <w:r w:rsidRPr="00883399">
        <w:rPr>
          <w:sz w:val="24"/>
        </w:rPr>
        <w:t>using the default ratio mentioned in subsection (3) or the method described in subsection (4).</w:t>
      </w:r>
    </w:p>
    <w:p w14:paraId="422C4825" w14:textId="77777777" w:rsidR="003331C5" w:rsidRPr="00883399" w:rsidRDefault="003331C5" w:rsidP="003331C5">
      <w:pPr>
        <w:pStyle w:val="SubsectionHead"/>
        <w:rPr>
          <w:sz w:val="24"/>
        </w:rPr>
      </w:pPr>
      <w:r w:rsidRPr="00883399">
        <w:rPr>
          <w:sz w:val="24"/>
        </w:rPr>
        <w:t>Default ratios</w:t>
      </w:r>
    </w:p>
    <w:p w14:paraId="37D88411" w14:textId="77777777" w:rsidR="003331C5" w:rsidRPr="00883399" w:rsidRDefault="003331C5" w:rsidP="003331C5">
      <w:pPr>
        <w:pStyle w:val="subsection"/>
        <w:rPr>
          <w:sz w:val="24"/>
        </w:rPr>
      </w:pPr>
      <w:r w:rsidRPr="00883399">
        <w:rPr>
          <w:sz w:val="24"/>
        </w:rPr>
        <w:tab/>
        <w:t>(3)</w:t>
      </w:r>
      <w:r w:rsidRPr="00883399">
        <w:rPr>
          <w:sz w:val="24"/>
        </w:rPr>
        <w:tab/>
        <w:t>The default ratio of methane generated by landfill legacy waste deposited in a sub</w:t>
      </w:r>
      <w:r w:rsidRPr="00883399">
        <w:rPr>
          <w:sz w:val="24"/>
        </w:rPr>
        <w:noBreakHyphen/>
        <w:t>facility zone to methane generated by all waste deposited in a sub</w:t>
      </w:r>
      <w:r w:rsidRPr="00883399">
        <w:rPr>
          <w:sz w:val="24"/>
        </w:rPr>
        <w:noBreakHyphen/>
        <w:t>facility zone is:</w:t>
      </w:r>
    </w:p>
    <w:p w14:paraId="084F44BD" w14:textId="77777777" w:rsidR="003331C5" w:rsidRPr="00883399" w:rsidRDefault="003331C5" w:rsidP="003331C5">
      <w:pPr>
        <w:pStyle w:val="paragraph"/>
        <w:rPr>
          <w:sz w:val="24"/>
        </w:rPr>
      </w:pPr>
      <w:r w:rsidRPr="00883399">
        <w:rPr>
          <w:sz w:val="24"/>
        </w:rPr>
        <w:tab/>
        <w:t>(a)</w:t>
      </w:r>
      <w:r w:rsidRPr="00883399">
        <w:rPr>
          <w:sz w:val="24"/>
        </w:rPr>
        <w:tab/>
        <w:t>if all of the waste in the sub</w:t>
      </w:r>
      <w:r w:rsidRPr="00883399">
        <w:rPr>
          <w:sz w:val="24"/>
        </w:rPr>
        <w:noBreakHyphen/>
        <w:t>facility zone is legacy waste—1; or</w:t>
      </w:r>
    </w:p>
    <w:p w14:paraId="640CC1DA" w14:textId="77777777" w:rsidR="003331C5" w:rsidRPr="00883399" w:rsidRDefault="003331C5" w:rsidP="003331C5">
      <w:pPr>
        <w:pStyle w:val="paragraph"/>
        <w:rPr>
          <w:sz w:val="24"/>
          <w:szCs w:val="22"/>
        </w:rPr>
      </w:pPr>
      <w:r w:rsidRPr="00883399">
        <w:rPr>
          <w:sz w:val="24"/>
        </w:rPr>
        <w:tab/>
      </w:r>
      <w:r w:rsidRPr="00883399">
        <w:rPr>
          <w:sz w:val="24"/>
          <w:szCs w:val="22"/>
        </w:rPr>
        <w:t>(b)</w:t>
      </w:r>
      <w:r w:rsidRPr="00883399">
        <w:rPr>
          <w:sz w:val="24"/>
          <w:szCs w:val="22"/>
        </w:rPr>
        <w:tab/>
        <w:t>if none of the waste in the sub</w:t>
      </w:r>
      <w:r w:rsidRPr="00883399">
        <w:rPr>
          <w:sz w:val="24"/>
          <w:szCs w:val="22"/>
        </w:rPr>
        <w:noBreakHyphen/>
        <w:t>facility zone is legacy waste—0.</w:t>
      </w:r>
    </w:p>
    <w:p w14:paraId="5875B511" w14:textId="77777777" w:rsidR="003331C5" w:rsidRPr="00883399" w:rsidRDefault="003331C5" w:rsidP="003331C5">
      <w:pPr>
        <w:pStyle w:val="SubsectionHead"/>
        <w:rPr>
          <w:sz w:val="24"/>
          <w:szCs w:val="24"/>
        </w:rPr>
      </w:pPr>
      <w:r w:rsidRPr="00883399">
        <w:rPr>
          <w:sz w:val="24"/>
        </w:rPr>
        <w:t>Method of working out ratio</w:t>
      </w:r>
    </w:p>
    <w:p w14:paraId="36B02418" w14:textId="77777777" w:rsidR="003331C5" w:rsidRPr="00883399" w:rsidRDefault="003331C5" w:rsidP="003331C5">
      <w:pPr>
        <w:pStyle w:val="subsection"/>
        <w:rPr>
          <w:sz w:val="24"/>
        </w:rPr>
      </w:pPr>
      <w:r w:rsidRPr="00883399">
        <w:rPr>
          <w:sz w:val="24"/>
        </w:rPr>
        <w:tab/>
        <w:t>(4)</w:t>
      </w:r>
      <w:r w:rsidRPr="00883399">
        <w:rPr>
          <w:sz w:val="24"/>
        </w:rPr>
        <w:tab/>
        <w:t>Work out the ratio of methane generated by legacy waste deposited in a sub</w:t>
      </w:r>
      <w:r w:rsidRPr="00883399">
        <w:rPr>
          <w:sz w:val="24"/>
        </w:rPr>
        <w:noBreakHyphen/>
        <w:t>facility zone to methane generated by all waste deposited in a sub</w:t>
      </w:r>
      <w:r w:rsidRPr="00883399">
        <w:rPr>
          <w:sz w:val="24"/>
        </w:rPr>
        <w:noBreakHyphen/>
        <w:t>facility zone using the following formula:</w:t>
      </w:r>
    </w:p>
    <w:p w14:paraId="1E657B2C" w14:textId="77777777" w:rsidR="003331C5" w:rsidRPr="00883399" w:rsidRDefault="003331C5" w:rsidP="003331C5">
      <w:pPr>
        <w:pStyle w:val="subsection2"/>
        <w:rPr>
          <w:sz w:val="24"/>
        </w:rPr>
      </w:pPr>
      <w:r w:rsidRPr="00883399">
        <w:rPr>
          <w:position w:val="-14"/>
          <w:sz w:val="24"/>
        </w:rPr>
        <w:object w:dxaOrig="2220" w:dyaOrig="499" w14:anchorId="1168FE4A">
          <v:shape id="_x0000_i1092" type="#_x0000_t75" style="width:111pt;height:24pt" o:ole="">
            <v:imagedata r:id="rId286" o:title=""/>
          </v:shape>
          <o:OLEObject Type="Embed" ProgID="Equation.DSMT4" ShapeID="_x0000_i1092" DrawAspect="Content" ObjectID="_1594105983" r:id="rId287"/>
        </w:object>
      </w:r>
    </w:p>
    <w:p w14:paraId="36330148" w14:textId="77777777" w:rsidR="003331C5" w:rsidRPr="00883399" w:rsidRDefault="003331C5" w:rsidP="003331C5">
      <w:pPr>
        <w:pStyle w:val="subsection2"/>
        <w:rPr>
          <w:sz w:val="24"/>
          <w:vertAlign w:val="subscript"/>
        </w:rPr>
      </w:pPr>
      <w:r w:rsidRPr="00883399">
        <w:rPr>
          <w:sz w:val="24"/>
        </w:rPr>
        <w:t>where:</w:t>
      </w:r>
    </w:p>
    <w:p w14:paraId="5DC4E6C5" w14:textId="77777777" w:rsidR="003331C5" w:rsidRPr="00883399" w:rsidRDefault="003331C5" w:rsidP="003331C5">
      <w:pPr>
        <w:pStyle w:val="Definition0"/>
        <w:rPr>
          <w:sz w:val="24"/>
        </w:rPr>
      </w:pPr>
      <w:r w:rsidRPr="00883399">
        <w:rPr>
          <w:b/>
          <w:i/>
          <w:sz w:val="24"/>
        </w:rPr>
        <w:t>Lr</w:t>
      </w:r>
      <w:r w:rsidRPr="00883399">
        <w:rPr>
          <w:b/>
          <w:i/>
          <w:sz w:val="24"/>
          <w:vertAlign w:val="subscript"/>
        </w:rPr>
        <w:t>z</w:t>
      </w:r>
      <w:r w:rsidRPr="00883399">
        <w:rPr>
          <w:sz w:val="24"/>
        </w:rPr>
        <w:t xml:space="preserve"> is the ratio of methane generated by legacy waste deposited in a sub</w:t>
      </w:r>
      <w:r w:rsidRPr="00883399">
        <w:rPr>
          <w:sz w:val="24"/>
        </w:rPr>
        <w:noBreakHyphen/>
        <w:t>facility zone to methane generated by all waste deposited in a sub</w:t>
      </w:r>
      <w:r w:rsidRPr="00883399">
        <w:rPr>
          <w:sz w:val="24"/>
        </w:rPr>
        <w:noBreakHyphen/>
        <w:t>facility zone.</w:t>
      </w:r>
    </w:p>
    <w:p w14:paraId="65D5F592" w14:textId="77777777" w:rsidR="003331C5" w:rsidRPr="00883399" w:rsidRDefault="003331C5" w:rsidP="003331C5">
      <w:pPr>
        <w:pStyle w:val="Definition0"/>
        <w:rPr>
          <w:sz w:val="24"/>
        </w:rPr>
      </w:pPr>
      <w:r w:rsidRPr="00883399">
        <w:rPr>
          <w:b/>
          <w:i/>
          <w:sz w:val="24"/>
        </w:rPr>
        <w:lastRenderedPageBreak/>
        <w:t>CH</w:t>
      </w:r>
      <w:r w:rsidRPr="00883399">
        <w:rPr>
          <w:b/>
          <w:i/>
          <w:sz w:val="24"/>
          <w:vertAlign w:val="subscript"/>
        </w:rPr>
        <w:t>4genlwz</w:t>
      </w:r>
      <w:r w:rsidRPr="00883399">
        <w:rPr>
          <w:sz w:val="24"/>
        </w:rPr>
        <w:t xml:space="preserve"> is the quantity of methane generated from legacy waste in a sub</w:t>
      </w:r>
      <w:r w:rsidRPr="00883399">
        <w:rPr>
          <w:sz w:val="24"/>
        </w:rPr>
        <w:noBreakHyphen/>
        <w:t>facility zone, measured in CO</w:t>
      </w:r>
      <w:r w:rsidRPr="00883399">
        <w:rPr>
          <w:sz w:val="24"/>
          <w:vertAlign w:val="subscript"/>
        </w:rPr>
        <w:t>2</w:t>
      </w:r>
      <w:r w:rsidRPr="00883399">
        <w:rPr>
          <w:sz w:val="24"/>
        </w:rPr>
        <w:noBreakHyphen/>
        <w:t>e tonnes.</w:t>
      </w:r>
    </w:p>
    <w:p w14:paraId="5C3AD25B" w14:textId="77777777" w:rsidR="003331C5" w:rsidRPr="00883399" w:rsidRDefault="003331C5" w:rsidP="003331C5">
      <w:pPr>
        <w:pStyle w:val="Definition0"/>
        <w:rPr>
          <w:sz w:val="24"/>
        </w:rPr>
      </w:pPr>
      <w:r w:rsidRPr="00883399">
        <w:rPr>
          <w:b/>
          <w:i/>
          <w:sz w:val="24"/>
        </w:rPr>
        <w:t>CH4</w:t>
      </w:r>
      <w:r w:rsidRPr="00883399">
        <w:rPr>
          <w:b/>
          <w:i/>
          <w:sz w:val="24"/>
          <w:vertAlign w:val="subscript"/>
        </w:rPr>
        <w:t>genz</w:t>
      </w:r>
      <w:r w:rsidRPr="00883399">
        <w:rPr>
          <w:sz w:val="24"/>
        </w:rPr>
        <w:t xml:space="preserve"> is the methane generated from total waste deposited in a sub</w:t>
      </w:r>
      <w:r w:rsidRPr="00883399">
        <w:rPr>
          <w:sz w:val="24"/>
        </w:rPr>
        <w:noBreakHyphen/>
        <w:t>facility zone, measured in CO</w:t>
      </w:r>
      <w:r w:rsidRPr="00883399">
        <w:rPr>
          <w:sz w:val="24"/>
          <w:vertAlign w:val="subscript"/>
        </w:rPr>
        <w:t>2</w:t>
      </w:r>
      <w:r w:rsidRPr="00883399">
        <w:rPr>
          <w:sz w:val="24"/>
        </w:rPr>
        <w:noBreakHyphen/>
        <w:t>e tonnes.</w:t>
      </w:r>
    </w:p>
    <w:p w14:paraId="57A4D19C" w14:textId="3FA2FC91" w:rsidR="003331C5" w:rsidRPr="00883399" w:rsidRDefault="003331C5" w:rsidP="003331C5">
      <w:pPr>
        <w:pStyle w:val="ActHead5"/>
        <w:rPr>
          <w:sz w:val="28"/>
        </w:rPr>
      </w:pPr>
      <w:bookmarkStart w:id="1195" w:name="_Toc455152649"/>
      <w:bookmarkStart w:id="1196" w:name="_Toc495653121"/>
      <w:r w:rsidRPr="00883399">
        <w:rPr>
          <w:rStyle w:val="CharSectno"/>
          <w:sz w:val="28"/>
        </w:rPr>
        <w:t>5.22C</w:t>
      </w:r>
      <w:r w:rsidRPr="00883399">
        <w:rPr>
          <w:sz w:val="28"/>
        </w:rPr>
        <w:t xml:space="preserve">  How to estimate quantity of methane captured for combustion from legacy waste for each sub</w:t>
      </w:r>
      <w:r w:rsidRPr="00883399">
        <w:rPr>
          <w:sz w:val="28"/>
        </w:rPr>
        <w:noBreakHyphen/>
        <w:t>facility zone</w:t>
      </w:r>
      <w:bookmarkEnd w:id="1195"/>
      <w:bookmarkEnd w:id="1196"/>
    </w:p>
    <w:p w14:paraId="690A44BB" w14:textId="77777777" w:rsidR="003331C5" w:rsidRPr="00883399" w:rsidRDefault="003331C5" w:rsidP="003331C5">
      <w:pPr>
        <w:pStyle w:val="subsection"/>
        <w:rPr>
          <w:sz w:val="24"/>
        </w:rPr>
      </w:pPr>
      <w:r w:rsidRPr="00883399">
        <w:rPr>
          <w:sz w:val="24"/>
        </w:rPr>
        <w:tab/>
      </w:r>
      <w:r w:rsidRPr="00883399">
        <w:rPr>
          <w:sz w:val="24"/>
        </w:rPr>
        <w:tab/>
        <w:t>The quantity of methane captured for combustion from legacy waste during the reporting year for each sub</w:t>
      </w:r>
      <w:r w:rsidRPr="00883399">
        <w:rPr>
          <w:sz w:val="24"/>
        </w:rPr>
        <w:noBreakHyphen/>
        <w:t>facility zone must be estimated using the following formula:</w:t>
      </w:r>
    </w:p>
    <w:p w14:paraId="49FBABD3" w14:textId="77777777" w:rsidR="003331C5" w:rsidRPr="00883399" w:rsidRDefault="003331C5" w:rsidP="003331C5">
      <w:pPr>
        <w:pStyle w:val="subsection2"/>
        <w:rPr>
          <w:sz w:val="24"/>
        </w:rPr>
      </w:pPr>
      <w:r w:rsidRPr="00883399">
        <w:rPr>
          <w:position w:val="-12"/>
          <w:sz w:val="24"/>
        </w:rPr>
        <w:object w:dxaOrig="1880" w:dyaOrig="440" w14:anchorId="03F01A54">
          <v:shape id="_x0000_i1093" type="#_x0000_t75" style="width:93.75pt;height:21.75pt" o:ole="">
            <v:imagedata r:id="rId288" o:title=""/>
          </v:shape>
          <o:OLEObject Type="Embed" ProgID="Equation.DSMT4" ShapeID="_x0000_i1093" DrawAspect="Content" ObjectID="_1594105984" r:id="rId289"/>
        </w:object>
      </w:r>
    </w:p>
    <w:p w14:paraId="56FB9B16" w14:textId="77777777" w:rsidR="003331C5" w:rsidRPr="00883399" w:rsidRDefault="003331C5" w:rsidP="003331C5">
      <w:pPr>
        <w:pStyle w:val="subsection2"/>
        <w:rPr>
          <w:sz w:val="24"/>
        </w:rPr>
      </w:pPr>
      <w:r w:rsidRPr="00883399">
        <w:rPr>
          <w:sz w:val="24"/>
        </w:rPr>
        <w:t>where:</w:t>
      </w:r>
    </w:p>
    <w:p w14:paraId="0D79883E" w14:textId="77777777" w:rsidR="003331C5" w:rsidRPr="00883399" w:rsidRDefault="003331C5" w:rsidP="003331C5">
      <w:pPr>
        <w:pStyle w:val="Definition0"/>
        <w:rPr>
          <w:sz w:val="24"/>
        </w:rPr>
      </w:pPr>
      <w:r w:rsidRPr="00883399">
        <w:rPr>
          <w:b/>
          <w:i/>
          <w:sz w:val="24"/>
        </w:rPr>
        <w:t>Q</w:t>
      </w:r>
      <w:r w:rsidRPr="00883399">
        <w:rPr>
          <w:b/>
          <w:i/>
          <w:sz w:val="24"/>
          <w:vertAlign w:val="subscript"/>
        </w:rPr>
        <w:t>caplw z</w:t>
      </w:r>
      <w:r w:rsidRPr="00883399">
        <w:rPr>
          <w:sz w:val="24"/>
        </w:rPr>
        <w:t xml:space="preserve"> is the quantity of methane captured for combustion from landfill legacy waste in each sub</w:t>
      </w:r>
      <w:r w:rsidRPr="00883399">
        <w:rPr>
          <w:sz w:val="24"/>
        </w:rPr>
        <w:noBreakHyphen/>
        <w:t>facility zone during a reporting year.</w:t>
      </w:r>
    </w:p>
    <w:p w14:paraId="0A6C5F8F" w14:textId="77777777" w:rsidR="003331C5" w:rsidRPr="00883399" w:rsidRDefault="003331C5" w:rsidP="003331C5">
      <w:pPr>
        <w:pStyle w:val="Definition0"/>
        <w:rPr>
          <w:sz w:val="24"/>
        </w:rPr>
      </w:pPr>
      <w:r w:rsidRPr="00883399">
        <w:rPr>
          <w:b/>
          <w:i/>
          <w:sz w:val="24"/>
        </w:rPr>
        <w:t>Q</w:t>
      </w:r>
      <w:r w:rsidRPr="00883399">
        <w:rPr>
          <w:b/>
          <w:i/>
          <w:sz w:val="24"/>
          <w:vertAlign w:val="subscript"/>
        </w:rPr>
        <w:t>cap z</w:t>
      </w:r>
      <w:r w:rsidRPr="00883399">
        <w:rPr>
          <w:sz w:val="24"/>
        </w:rPr>
        <w:t xml:space="preserve"> is the total quantity of methane in landfill gas captured for combustion from the sub</w:t>
      </w:r>
      <w:r w:rsidRPr="00883399">
        <w:rPr>
          <w:sz w:val="24"/>
        </w:rPr>
        <w:noBreakHyphen/>
        <w:t>facility zone during the reporting year, measured in cubic metres in accordance with Division 2.3.6.</w:t>
      </w:r>
    </w:p>
    <w:p w14:paraId="7A9AAACA" w14:textId="77777777" w:rsidR="003331C5" w:rsidRPr="00883399" w:rsidRDefault="003331C5" w:rsidP="003331C5">
      <w:pPr>
        <w:pStyle w:val="Definition0"/>
        <w:rPr>
          <w:sz w:val="24"/>
        </w:rPr>
      </w:pPr>
      <w:r w:rsidRPr="00883399">
        <w:rPr>
          <w:b/>
          <w:i/>
          <w:sz w:val="24"/>
        </w:rPr>
        <w:t>Lr</w:t>
      </w:r>
      <w:r w:rsidRPr="00883399">
        <w:rPr>
          <w:b/>
          <w:i/>
          <w:sz w:val="24"/>
          <w:vertAlign w:val="subscript"/>
        </w:rPr>
        <w:t>z</w:t>
      </w:r>
      <w:r w:rsidRPr="00883399">
        <w:rPr>
          <w:sz w:val="24"/>
        </w:rPr>
        <w:t xml:space="preserve"> is the ratio of methane generated by legacy waste deposited in a sub</w:t>
      </w:r>
      <w:r w:rsidRPr="00883399">
        <w:rPr>
          <w:sz w:val="24"/>
        </w:rPr>
        <w:noBreakHyphen/>
        <w:t>facility zone to methane generated by all waste deposited in a sub</w:t>
      </w:r>
      <w:r w:rsidRPr="00883399">
        <w:rPr>
          <w:sz w:val="24"/>
        </w:rPr>
        <w:noBreakHyphen/>
        <w:t>facility zone.</w:t>
      </w:r>
    </w:p>
    <w:p w14:paraId="1A971048" w14:textId="160162F6" w:rsidR="003331C5" w:rsidRPr="00883399" w:rsidRDefault="003331C5" w:rsidP="003331C5">
      <w:pPr>
        <w:pStyle w:val="ActHead5"/>
        <w:rPr>
          <w:sz w:val="28"/>
        </w:rPr>
      </w:pPr>
      <w:bookmarkStart w:id="1197" w:name="_Toc455152650"/>
      <w:bookmarkStart w:id="1198" w:name="_Toc495653122"/>
      <w:r w:rsidRPr="00883399">
        <w:rPr>
          <w:rStyle w:val="CharSectno"/>
          <w:sz w:val="28"/>
        </w:rPr>
        <w:t>5.22D</w:t>
      </w:r>
      <w:r w:rsidRPr="00883399">
        <w:rPr>
          <w:sz w:val="28"/>
        </w:rPr>
        <w:t xml:space="preserve">  How to estimate quantity of methane in landfill gas flared from legacy waste in a sub</w:t>
      </w:r>
      <w:r w:rsidRPr="00883399">
        <w:rPr>
          <w:sz w:val="28"/>
          <w:szCs w:val="22"/>
        </w:rPr>
        <w:noBreakHyphen/>
      </w:r>
      <w:r w:rsidRPr="00883399">
        <w:rPr>
          <w:sz w:val="28"/>
        </w:rPr>
        <w:t>facility zone</w:t>
      </w:r>
      <w:bookmarkEnd w:id="1197"/>
      <w:bookmarkEnd w:id="1198"/>
    </w:p>
    <w:p w14:paraId="3058483D" w14:textId="77777777" w:rsidR="003331C5" w:rsidRPr="00883399" w:rsidRDefault="003331C5" w:rsidP="003331C5">
      <w:pPr>
        <w:pStyle w:val="subsection"/>
        <w:rPr>
          <w:sz w:val="24"/>
        </w:rPr>
      </w:pPr>
      <w:r w:rsidRPr="00883399">
        <w:rPr>
          <w:sz w:val="24"/>
        </w:rPr>
        <w:tab/>
      </w:r>
      <w:r w:rsidRPr="00883399">
        <w:rPr>
          <w:sz w:val="24"/>
        </w:rPr>
        <w:tab/>
        <w:t>The quantity of methane in landfill gas flared from landfill legacy waste during the reporting year for each sub</w:t>
      </w:r>
      <w:r w:rsidRPr="00883399">
        <w:rPr>
          <w:sz w:val="24"/>
        </w:rPr>
        <w:noBreakHyphen/>
        <w:t>facility zone must be estimated using the following formula:</w:t>
      </w:r>
    </w:p>
    <w:p w14:paraId="45D81AD6" w14:textId="77777777" w:rsidR="003331C5" w:rsidRPr="00883399" w:rsidRDefault="003331C5" w:rsidP="003331C5">
      <w:pPr>
        <w:pStyle w:val="subsection2"/>
        <w:rPr>
          <w:sz w:val="24"/>
        </w:rPr>
      </w:pPr>
      <w:r w:rsidRPr="00883399">
        <w:rPr>
          <w:position w:val="-10"/>
          <w:sz w:val="24"/>
        </w:rPr>
        <w:object w:dxaOrig="1700" w:dyaOrig="420" w14:anchorId="2D2EB9E5">
          <v:shape id="_x0000_i1094" type="#_x0000_t75" style="width:84.75pt;height:21.75pt" o:ole="">
            <v:imagedata r:id="rId290" o:title=""/>
          </v:shape>
          <o:OLEObject Type="Embed" ProgID="Equation.DSMT4" ShapeID="_x0000_i1094" DrawAspect="Content" ObjectID="_1594105985" r:id="rId291"/>
        </w:object>
      </w:r>
    </w:p>
    <w:p w14:paraId="0E8A52F2" w14:textId="77777777" w:rsidR="003331C5" w:rsidRPr="00883399" w:rsidRDefault="003331C5" w:rsidP="003331C5">
      <w:pPr>
        <w:pStyle w:val="subsection2"/>
        <w:rPr>
          <w:sz w:val="24"/>
        </w:rPr>
      </w:pPr>
      <w:r w:rsidRPr="00883399">
        <w:rPr>
          <w:sz w:val="24"/>
        </w:rPr>
        <w:t>where:</w:t>
      </w:r>
    </w:p>
    <w:p w14:paraId="6B9CC12A" w14:textId="77777777" w:rsidR="003331C5" w:rsidRPr="00883399" w:rsidRDefault="003331C5" w:rsidP="003331C5">
      <w:pPr>
        <w:pStyle w:val="Definition0"/>
        <w:rPr>
          <w:sz w:val="24"/>
        </w:rPr>
      </w:pPr>
      <w:r w:rsidRPr="00883399">
        <w:rPr>
          <w:b/>
          <w:i/>
          <w:sz w:val="24"/>
        </w:rPr>
        <w:t>Q</w:t>
      </w:r>
      <w:r w:rsidRPr="00883399">
        <w:rPr>
          <w:b/>
          <w:i/>
          <w:sz w:val="24"/>
          <w:vertAlign w:val="subscript"/>
        </w:rPr>
        <w:t>fllw z</w:t>
      </w:r>
      <w:r w:rsidRPr="00883399">
        <w:rPr>
          <w:sz w:val="24"/>
        </w:rPr>
        <w:t xml:space="preserve"> is the estimated quantity of methane in landfill gas flared from landfill legacy waste during the reporting year for each sub</w:t>
      </w:r>
      <w:r w:rsidRPr="00883399">
        <w:rPr>
          <w:sz w:val="24"/>
        </w:rPr>
        <w:noBreakHyphen/>
        <w:t>facility zone.</w:t>
      </w:r>
    </w:p>
    <w:p w14:paraId="77AB4B63" w14:textId="77777777" w:rsidR="003331C5" w:rsidRPr="00883399" w:rsidRDefault="003331C5" w:rsidP="003331C5">
      <w:pPr>
        <w:pStyle w:val="Definition0"/>
        <w:rPr>
          <w:sz w:val="24"/>
        </w:rPr>
      </w:pPr>
      <w:r w:rsidRPr="00883399">
        <w:rPr>
          <w:b/>
          <w:i/>
          <w:sz w:val="24"/>
        </w:rPr>
        <w:t>Q</w:t>
      </w:r>
      <w:r w:rsidRPr="00883399">
        <w:rPr>
          <w:b/>
          <w:i/>
          <w:sz w:val="24"/>
          <w:vertAlign w:val="subscript"/>
        </w:rPr>
        <w:t>fl z</w:t>
      </w:r>
      <w:r w:rsidRPr="00883399">
        <w:rPr>
          <w:sz w:val="24"/>
        </w:rPr>
        <w:t xml:space="preserve"> is the total quantity of methane in landfill gas flared from the sub</w:t>
      </w:r>
      <w:r w:rsidRPr="00883399">
        <w:rPr>
          <w:sz w:val="24"/>
        </w:rPr>
        <w:noBreakHyphen/>
        <w:t>facility zone during the reporting year, measured in cubic metres in accordance with Division 2.3.6.</w:t>
      </w:r>
    </w:p>
    <w:p w14:paraId="0177FACC" w14:textId="77777777" w:rsidR="003331C5" w:rsidRPr="00883399" w:rsidRDefault="003331C5" w:rsidP="003331C5">
      <w:pPr>
        <w:pStyle w:val="Definition0"/>
        <w:rPr>
          <w:sz w:val="24"/>
        </w:rPr>
      </w:pPr>
      <w:r w:rsidRPr="00883399">
        <w:rPr>
          <w:b/>
          <w:i/>
          <w:sz w:val="24"/>
        </w:rPr>
        <w:t>Lr</w:t>
      </w:r>
      <w:r w:rsidRPr="00883399">
        <w:rPr>
          <w:b/>
          <w:i/>
          <w:sz w:val="24"/>
          <w:vertAlign w:val="subscript"/>
        </w:rPr>
        <w:t>z</w:t>
      </w:r>
      <w:r w:rsidRPr="00883399">
        <w:rPr>
          <w:sz w:val="24"/>
        </w:rPr>
        <w:t xml:space="preserve"> is the ratio of methane generated by legacy waste deposited in a sub</w:t>
      </w:r>
      <w:r w:rsidRPr="00883399">
        <w:rPr>
          <w:sz w:val="24"/>
        </w:rPr>
        <w:noBreakHyphen/>
        <w:t>facility zone to methane generated by all waste deposited in a sub</w:t>
      </w:r>
      <w:r w:rsidRPr="00883399">
        <w:rPr>
          <w:sz w:val="24"/>
        </w:rPr>
        <w:noBreakHyphen/>
        <w:t>facility zone.</w:t>
      </w:r>
    </w:p>
    <w:p w14:paraId="72DD11E3" w14:textId="66EFEB51" w:rsidR="003331C5" w:rsidRPr="00883399" w:rsidRDefault="003331C5" w:rsidP="003331C5">
      <w:pPr>
        <w:pStyle w:val="ActHead5"/>
        <w:rPr>
          <w:sz w:val="28"/>
        </w:rPr>
      </w:pPr>
      <w:bookmarkStart w:id="1199" w:name="_Toc455152651"/>
      <w:bookmarkStart w:id="1200" w:name="_Toc495653123"/>
      <w:r w:rsidRPr="00883399">
        <w:rPr>
          <w:rStyle w:val="CharSectno"/>
          <w:sz w:val="28"/>
        </w:rPr>
        <w:lastRenderedPageBreak/>
        <w:t>5.22E</w:t>
      </w:r>
      <w:r w:rsidRPr="00883399">
        <w:rPr>
          <w:sz w:val="28"/>
        </w:rPr>
        <w:t xml:space="preserve">  How to estimate quantity of methane captured for transfer out of landfill from legacy waste for each </w:t>
      </w:r>
      <w:r w:rsidRPr="00883399">
        <w:rPr>
          <w:sz w:val="28"/>
          <w:szCs w:val="22"/>
        </w:rPr>
        <w:t>sub</w:t>
      </w:r>
      <w:r w:rsidRPr="00883399">
        <w:rPr>
          <w:sz w:val="28"/>
          <w:szCs w:val="22"/>
        </w:rPr>
        <w:noBreakHyphen/>
        <w:t>facility zone</w:t>
      </w:r>
      <w:bookmarkEnd w:id="1199"/>
      <w:bookmarkEnd w:id="1200"/>
    </w:p>
    <w:p w14:paraId="260430FF" w14:textId="77777777" w:rsidR="003331C5" w:rsidRPr="00883399" w:rsidRDefault="003331C5" w:rsidP="003331C5">
      <w:pPr>
        <w:pStyle w:val="subsection"/>
        <w:rPr>
          <w:sz w:val="24"/>
        </w:rPr>
      </w:pPr>
      <w:r w:rsidRPr="00883399">
        <w:rPr>
          <w:sz w:val="24"/>
        </w:rPr>
        <w:tab/>
      </w:r>
      <w:r w:rsidRPr="00883399">
        <w:rPr>
          <w:sz w:val="24"/>
        </w:rPr>
        <w:tab/>
        <w:t>The quantity of methane captured for transfer out of the landfill from legacy waste for each sub</w:t>
      </w:r>
      <w:r w:rsidRPr="00883399">
        <w:rPr>
          <w:sz w:val="24"/>
        </w:rPr>
        <w:noBreakHyphen/>
        <w:t>facility zone must be estimated using the following formula:</w:t>
      </w:r>
    </w:p>
    <w:p w14:paraId="09D86B80" w14:textId="77777777" w:rsidR="003331C5" w:rsidRPr="00883399" w:rsidRDefault="003331C5" w:rsidP="003331C5">
      <w:pPr>
        <w:pStyle w:val="subsection2"/>
        <w:rPr>
          <w:sz w:val="24"/>
        </w:rPr>
      </w:pPr>
      <w:r w:rsidRPr="00883399">
        <w:rPr>
          <w:position w:val="-10"/>
          <w:sz w:val="24"/>
        </w:rPr>
        <w:object w:dxaOrig="1719" w:dyaOrig="420" w14:anchorId="749E5490">
          <v:shape id="_x0000_i1095" type="#_x0000_t75" style="width:84.75pt;height:21.75pt" o:ole="">
            <v:imagedata r:id="rId292" o:title=""/>
          </v:shape>
          <o:OLEObject Type="Embed" ProgID="Equation.DSMT4" ShapeID="_x0000_i1095" DrawAspect="Content" ObjectID="_1594105986" r:id="rId293"/>
        </w:object>
      </w:r>
    </w:p>
    <w:p w14:paraId="4EA0BE34" w14:textId="77777777" w:rsidR="003331C5" w:rsidRPr="00883399" w:rsidRDefault="003331C5" w:rsidP="003331C5">
      <w:pPr>
        <w:pStyle w:val="subsection2"/>
        <w:rPr>
          <w:sz w:val="24"/>
        </w:rPr>
      </w:pPr>
      <w:r w:rsidRPr="00883399">
        <w:rPr>
          <w:sz w:val="24"/>
        </w:rPr>
        <w:t>where:</w:t>
      </w:r>
    </w:p>
    <w:p w14:paraId="07ADAD48" w14:textId="77777777" w:rsidR="003331C5" w:rsidRPr="00883399" w:rsidRDefault="003331C5" w:rsidP="003331C5">
      <w:pPr>
        <w:pStyle w:val="Definition0"/>
        <w:rPr>
          <w:sz w:val="24"/>
        </w:rPr>
      </w:pPr>
      <w:r w:rsidRPr="00883399">
        <w:rPr>
          <w:b/>
          <w:i/>
          <w:sz w:val="24"/>
        </w:rPr>
        <w:t>Q</w:t>
      </w:r>
      <w:r w:rsidRPr="00883399">
        <w:rPr>
          <w:b/>
          <w:i/>
          <w:sz w:val="24"/>
          <w:vertAlign w:val="subscript"/>
        </w:rPr>
        <w:t>trlw z</w:t>
      </w:r>
      <w:r w:rsidRPr="00883399">
        <w:rPr>
          <w:sz w:val="24"/>
        </w:rPr>
        <w:t xml:space="preserve"> is the estimated quantity of methane captured for transfer out of the landfill from legacy waste for each sub</w:t>
      </w:r>
      <w:r w:rsidRPr="00883399">
        <w:rPr>
          <w:sz w:val="24"/>
        </w:rPr>
        <w:noBreakHyphen/>
        <w:t>facility zone.</w:t>
      </w:r>
    </w:p>
    <w:p w14:paraId="2CDD5536" w14:textId="77777777" w:rsidR="003331C5" w:rsidRPr="00883399" w:rsidRDefault="003331C5" w:rsidP="003331C5">
      <w:pPr>
        <w:pStyle w:val="Definition0"/>
        <w:rPr>
          <w:sz w:val="24"/>
        </w:rPr>
      </w:pPr>
      <w:r w:rsidRPr="00883399">
        <w:rPr>
          <w:b/>
          <w:i/>
          <w:sz w:val="24"/>
        </w:rPr>
        <w:t>Q</w:t>
      </w:r>
      <w:r w:rsidRPr="00883399">
        <w:rPr>
          <w:b/>
          <w:i/>
          <w:sz w:val="24"/>
          <w:vertAlign w:val="subscript"/>
        </w:rPr>
        <w:t>tr z</w:t>
      </w:r>
      <w:r w:rsidRPr="00883399">
        <w:rPr>
          <w:sz w:val="24"/>
        </w:rPr>
        <w:t xml:space="preserve"> is the total quantity of methane in landfill gas transferred out of the sub</w:t>
      </w:r>
      <w:r w:rsidRPr="00883399">
        <w:rPr>
          <w:sz w:val="24"/>
        </w:rPr>
        <w:noBreakHyphen/>
        <w:t>facility zone during the reporting year, measured in cubic metres in accordance with Division 2.3.6.</w:t>
      </w:r>
    </w:p>
    <w:p w14:paraId="421AB8FB" w14:textId="77777777" w:rsidR="003331C5" w:rsidRPr="00883399" w:rsidRDefault="003331C5" w:rsidP="003331C5">
      <w:pPr>
        <w:pStyle w:val="Definition0"/>
        <w:rPr>
          <w:sz w:val="24"/>
        </w:rPr>
      </w:pPr>
      <w:r w:rsidRPr="00883399">
        <w:rPr>
          <w:b/>
          <w:i/>
          <w:sz w:val="24"/>
        </w:rPr>
        <w:t>Lr</w:t>
      </w:r>
      <w:r w:rsidRPr="00883399">
        <w:rPr>
          <w:b/>
          <w:i/>
          <w:sz w:val="24"/>
          <w:vertAlign w:val="subscript"/>
        </w:rPr>
        <w:t>z</w:t>
      </w:r>
      <w:r w:rsidRPr="00883399">
        <w:rPr>
          <w:sz w:val="24"/>
        </w:rPr>
        <w:t xml:space="preserve"> is the ratio of methane generated by legacy waste deposited in a sub</w:t>
      </w:r>
      <w:r w:rsidRPr="00883399">
        <w:rPr>
          <w:sz w:val="24"/>
        </w:rPr>
        <w:noBreakHyphen/>
        <w:t>facility zone to methane generated by all waste deposited in a sub</w:t>
      </w:r>
      <w:r w:rsidRPr="00883399">
        <w:rPr>
          <w:sz w:val="24"/>
        </w:rPr>
        <w:noBreakHyphen/>
        <w:t>facility zone.</w:t>
      </w:r>
    </w:p>
    <w:p w14:paraId="16375026" w14:textId="75576D7D" w:rsidR="003331C5" w:rsidRPr="00883399" w:rsidRDefault="003331C5" w:rsidP="003331C5">
      <w:pPr>
        <w:pStyle w:val="ActHead5"/>
        <w:rPr>
          <w:sz w:val="28"/>
        </w:rPr>
      </w:pPr>
      <w:bookmarkStart w:id="1201" w:name="_Toc455152652"/>
      <w:bookmarkStart w:id="1202" w:name="_Toc495653124"/>
      <w:r w:rsidRPr="00883399">
        <w:rPr>
          <w:rStyle w:val="CharSectno"/>
          <w:sz w:val="28"/>
        </w:rPr>
        <w:t>5.22F</w:t>
      </w:r>
      <w:r w:rsidRPr="00883399">
        <w:rPr>
          <w:sz w:val="28"/>
        </w:rPr>
        <w:t xml:space="preserve">  How to calculate the quantity of methane generated from legacy waste for a sub</w:t>
      </w:r>
      <w:r w:rsidRPr="00883399">
        <w:rPr>
          <w:sz w:val="28"/>
        </w:rPr>
        <w:noBreakHyphen/>
        <w:t xml:space="preserve">facility zone </w:t>
      </w:r>
      <w:r w:rsidRPr="00883399">
        <w:rPr>
          <w:rFonts w:cs="Arial"/>
          <w:sz w:val="28"/>
        </w:rPr>
        <w:t>(CH</w:t>
      </w:r>
      <w:r w:rsidRPr="00883399">
        <w:rPr>
          <w:rFonts w:cs="Arial"/>
          <w:sz w:val="28"/>
          <w:vertAlign w:val="subscript"/>
        </w:rPr>
        <w:t>4gen</w:t>
      </w:r>
      <w:r w:rsidRPr="00883399">
        <w:rPr>
          <w:rFonts w:cs="Arial"/>
          <w:sz w:val="28"/>
          <w:szCs w:val="22"/>
          <w:vertAlign w:val="subscript"/>
        </w:rPr>
        <w:t>lw</w:t>
      </w:r>
      <w:r w:rsidRPr="00883399">
        <w:rPr>
          <w:rFonts w:cs="Arial"/>
          <w:sz w:val="28"/>
          <w:szCs w:val="22"/>
        </w:rPr>
        <w:t xml:space="preserve"> </w:t>
      </w:r>
      <w:r w:rsidRPr="00883399">
        <w:rPr>
          <w:rFonts w:cs="Arial"/>
          <w:sz w:val="28"/>
          <w:szCs w:val="22"/>
          <w:vertAlign w:val="subscript"/>
        </w:rPr>
        <w:t>z</w:t>
      </w:r>
      <w:r w:rsidRPr="00883399">
        <w:rPr>
          <w:rFonts w:cs="Arial"/>
          <w:sz w:val="28"/>
        </w:rPr>
        <w:t>)</w:t>
      </w:r>
      <w:bookmarkEnd w:id="1201"/>
      <w:bookmarkEnd w:id="1202"/>
    </w:p>
    <w:p w14:paraId="630A88E9" w14:textId="77777777" w:rsidR="003331C5" w:rsidRPr="00883399" w:rsidRDefault="003331C5" w:rsidP="003331C5">
      <w:pPr>
        <w:pStyle w:val="subsection"/>
        <w:rPr>
          <w:sz w:val="24"/>
        </w:rPr>
      </w:pPr>
      <w:r w:rsidRPr="00883399">
        <w:rPr>
          <w:sz w:val="24"/>
        </w:rPr>
        <w:tab/>
      </w:r>
      <w:r w:rsidRPr="00883399">
        <w:rPr>
          <w:sz w:val="24"/>
        </w:rPr>
        <w:tab/>
        <w:t xml:space="preserve">Calculate </w:t>
      </w:r>
      <w:r w:rsidRPr="00883399">
        <w:rPr>
          <w:rFonts w:ascii="TimesNewRomanPS-ItalicMT" w:hAnsi="TimesNewRomanPS-ItalicMT" w:cs="TimesNewRomanPS-ItalicMT"/>
          <w:sz w:val="24"/>
        </w:rPr>
        <w:t>CH</w:t>
      </w:r>
      <w:r w:rsidRPr="00883399">
        <w:rPr>
          <w:rFonts w:ascii="TimesNewRomanPS-ItalicMT" w:hAnsi="TimesNewRomanPS-ItalicMT" w:cs="TimesNewRomanPS-ItalicMT"/>
          <w:sz w:val="24"/>
          <w:vertAlign w:val="subscript"/>
        </w:rPr>
        <w:t>4gen</w:t>
      </w:r>
      <w:r w:rsidRPr="00883399">
        <w:rPr>
          <w:sz w:val="24"/>
          <w:vertAlign w:val="subscript"/>
        </w:rPr>
        <w:t>lw</w:t>
      </w:r>
      <w:r w:rsidRPr="00883399">
        <w:rPr>
          <w:sz w:val="24"/>
        </w:rPr>
        <w:t xml:space="preserve"> </w:t>
      </w:r>
      <w:r w:rsidRPr="00883399">
        <w:rPr>
          <w:sz w:val="24"/>
          <w:vertAlign w:val="subscript"/>
        </w:rPr>
        <w:t>z</w:t>
      </w:r>
      <w:r w:rsidRPr="00883399">
        <w:rPr>
          <w:sz w:val="24"/>
        </w:rPr>
        <w:t>:</w:t>
      </w:r>
    </w:p>
    <w:p w14:paraId="26333AF2" w14:textId="77777777" w:rsidR="003331C5" w:rsidRPr="00883399" w:rsidRDefault="003331C5" w:rsidP="003331C5">
      <w:pPr>
        <w:pStyle w:val="paragraph"/>
        <w:rPr>
          <w:sz w:val="24"/>
        </w:rPr>
      </w:pPr>
      <w:r w:rsidRPr="00883399">
        <w:rPr>
          <w:sz w:val="24"/>
        </w:rPr>
        <w:tab/>
        <w:t>(a)</w:t>
      </w:r>
      <w:r w:rsidRPr="00883399">
        <w:rPr>
          <w:sz w:val="24"/>
        </w:rPr>
        <w:tab/>
        <w:t>using the estimates, equations and methods set out in sections 5.4 to 5.22K; and</w:t>
      </w:r>
    </w:p>
    <w:p w14:paraId="166929C3" w14:textId="77777777" w:rsidR="003331C5" w:rsidRPr="00883399" w:rsidRDefault="003331C5" w:rsidP="003331C5">
      <w:pPr>
        <w:pStyle w:val="paragraph"/>
        <w:rPr>
          <w:sz w:val="24"/>
        </w:rPr>
      </w:pPr>
      <w:r w:rsidRPr="00883399">
        <w:rPr>
          <w:sz w:val="24"/>
        </w:rPr>
        <w:tab/>
        <w:t>(b)</w:t>
      </w:r>
      <w:r w:rsidRPr="00883399">
        <w:rPr>
          <w:sz w:val="24"/>
        </w:rPr>
        <w:tab/>
        <w:t>when using those estimates, equations and methods—by replacing:</w:t>
      </w:r>
    </w:p>
    <w:p w14:paraId="5B73DB21" w14:textId="77777777" w:rsidR="003331C5" w:rsidRPr="00883399" w:rsidRDefault="003331C5" w:rsidP="003331C5">
      <w:pPr>
        <w:pStyle w:val="paragraphsub"/>
        <w:rPr>
          <w:sz w:val="24"/>
        </w:rPr>
      </w:pPr>
      <w:r w:rsidRPr="00883399">
        <w:rPr>
          <w:sz w:val="24"/>
        </w:rPr>
        <w:tab/>
        <w:t>(i)</w:t>
      </w:r>
      <w:r w:rsidRPr="00883399">
        <w:rPr>
          <w:sz w:val="24"/>
        </w:rPr>
        <w:tab/>
        <w:t>waste deposited in a landfill with legacy waste deposited in a sub</w:t>
      </w:r>
      <w:r w:rsidRPr="00883399">
        <w:rPr>
          <w:sz w:val="24"/>
        </w:rPr>
        <w:noBreakHyphen/>
        <w:t>facility zone; and</w:t>
      </w:r>
    </w:p>
    <w:p w14:paraId="06AA7129" w14:textId="77777777" w:rsidR="003331C5" w:rsidRPr="00883399" w:rsidRDefault="003331C5" w:rsidP="003331C5">
      <w:pPr>
        <w:pStyle w:val="paragraphsub"/>
        <w:rPr>
          <w:sz w:val="24"/>
        </w:rPr>
      </w:pPr>
      <w:r w:rsidRPr="00883399">
        <w:rPr>
          <w:sz w:val="24"/>
        </w:rPr>
        <w:tab/>
        <w:t>(ii)</w:t>
      </w:r>
      <w:r w:rsidRPr="00883399">
        <w:rPr>
          <w:sz w:val="24"/>
        </w:rPr>
        <w:tab/>
        <w:t>the quantity of methane in landfill gas captured for combustion from the landfill with the quantity of methane in landfill gas captured for combustion from legacy waste in the sub</w:t>
      </w:r>
      <w:r w:rsidRPr="00883399">
        <w:rPr>
          <w:sz w:val="24"/>
        </w:rPr>
        <w:noBreakHyphen/>
        <w:t>facility zone; and</w:t>
      </w:r>
    </w:p>
    <w:p w14:paraId="53C3E226" w14:textId="77777777" w:rsidR="003331C5" w:rsidRPr="00883399" w:rsidRDefault="003331C5" w:rsidP="003331C5">
      <w:pPr>
        <w:pStyle w:val="paragraphsub"/>
        <w:rPr>
          <w:sz w:val="24"/>
        </w:rPr>
      </w:pPr>
      <w:r w:rsidRPr="00883399">
        <w:rPr>
          <w:sz w:val="24"/>
        </w:rPr>
        <w:tab/>
        <w:t>(iii)</w:t>
      </w:r>
      <w:r w:rsidRPr="00883399">
        <w:rPr>
          <w:sz w:val="24"/>
        </w:rPr>
        <w:tab/>
        <w:t>the quantity of methane in landfill gas flared from the landfill with the quantity of methane in landfill gas flared from legacy waste in the sub</w:t>
      </w:r>
      <w:r w:rsidRPr="00883399">
        <w:rPr>
          <w:sz w:val="24"/>
        </w:rPr>
        <w:noBreakHyphen/>
        <w:t>facility zone; and</w:t>
      </w:r>
    </w:p>
    <w:p w14:paraId="1CC7A4BF" w14:textId="77777777" w:rsidR="003331C5" w:rsidRPr="00883399" w:rsidRDefault="003331C5" w:rsidP="003331C5">
      <w:pPr>
        <w:pStyle w:val="paragraphsub"/>
        <w:rPr>
          <w:sz w:val="24"/>
        </w:rPr>
      </w:pPr>
      <w:r w:rsidRPr="00883399">
        <w:rPr>
          <w:sz w:val="24"/>
        </w:rPr>
        <w:tab/>
        <w:t>(iv)</w:t>
      </w:r>
      <w:r w:rsidRPr="00883399">
        <w:rPr>
          <w:sz w:val="24"/>
        </w:rPr>
        <w:tab/>
        <w:t>the quantity of methane in landfill gas captured for transfer out of the landfill with the quantity of methane in landfill gas captured for transfer out of the landfill from legacy waste in the sub</w:t>
      </w:r>
      <w:r w:rsidRPr="00883399">
        <w:rPr>
          <w:sz w:val="24"/>
        </w:rPr>
        <w:noBreakHyphen/>
        <w:t>facility zone.</w:t>
      </w:r>
    </w:p>
    <w:p w14:paraId="3207FE2B" w14:textId="0B5C620C" w:rsidR="003331C5" w:rsidRPr="00883399" w:rsidRDefault="003331C5" w:rsidP="003331C5">
      <w:pPr>
        <w:pStyle w:val="ActHead5"/>
        <w:rPr>
          <w:sz w:val="28"/>
        </w:rPr>
      </w:pPr>
      <w:bookmarkStart w:id="1203" w:name="_Toc455152653"/>
      <w:bookmarkStart w:id="1204" w:name="_Toc495653125"/>
      <w:r w:rsidRPr="00883399">
        <w:rPr>
          <w:rStyle w:val="CharSectno"/>
          <w:sz w:val="28"/>
        </w:rPr>
        <w:lastRenderedPageBreak/>
        <w:t>5.22G</w:t>
      </w:r>
      <w:r w:rsidRPr="00883399">
        <w:rPr>
          <w:sz w:val="28"/>
        </w:rPr>
        <w:t xml:space="preserve">  How to calculate total methane generated from legacy waste</w:t>
      </w:r>
      <w:bookmarkEnd w:id="1203"/>
      <w:bookmarkEnd w:id="1204"/>
    </w:p>
    <w:p w14:paraId="77AE75BC" w14:textId="77777777" w:rsidR="003331C5" w:rsidRPr="00883399" w:rsidRDefault="003331C5" w:rsidP="003331C5">
      <w:pPr>
        <w:pStyle w:val="subsection"/>
        <w:rPr>
          <w:sz w:val="24"/>
        </w:rPr>
      </w:pPr>
      <w:r w:rsidRPr="00883399">
        <w:rPr>
          <w:sz w:val="24"/>
        </w:rPr>
        <w:tab/>
      </w:r>
      <w:r w:rsidRPr="00883399">
        <w:rPr>
          <w:sz w:val="24"/>
        </w:rPr>
        <w:tab/>
        <w:t>Total methane generated from legacy waste is equal to the sum of methane generated from legacy waste for all sub</w:t>
      </w:r>
      <w:r w:rsidRPr="00883399">
        <w:rPr>
          <w:sz w:val="24"/>
        </w:rPr>
        <w:noBreakHyphen/>
        <w:t>facility zones and is calculated using the following formula:</w:t>
      </w:r>
    </w:p>
    <w:p w14:paraId="7AE79D63" w14:textId="77777777" w:rsidR="003331C5" w:rsidRPr="00883399" w:rsidRDefault="003331C5" w:rsidP="003331C5">
      <w:pPr>
        <w:pStyle w:val="subsection2"/>
        <w:rPr>
          <w:sz w:val="24"/>
        </w:rPr>
      </w:pPr>
      <w:r w:rsidRPr="00883399">
        <w:rPr>
          <w:position w:val="-14"/>
          <w:sz w:val="24"/>
        </w:rPr>
        <w:object w:dxaOrig="2079" w:dyaOrig="480" w14:anchorId="791F185D">
          <v:shape id="_x0000_i1096" type="#_x0000_t75" style="width:105.75pt;height:24pt" o:ole="">
            <v:imagedata r:id="rId294" o:title=""/>
          </v:shape>
          <o:OLEObject Type="Embed" ProgID="Equation.DSMT4" ShapeID="_x0000_i1096" DrawAspect="Content" ObjectID="_1594105987" r:id="rId295"/>
        </w:object>
      </w:r>
    </w:p>
    <w:p w14:paraId="228DD4FB" w14:textId="77777777" w:rsidR="003331C5" w:rsidRPr="00883399" w:rsidRDefault="003331C5" w:rsidP="003331C5">
      <w:pPr>
        <w:pStyle w:val="subsection2"/>
        <w:rPr>
          <w:sz w:val="24"/>
        </w:rPr>
      </w:pPr>
      <w:r w:rsidRPr="00883399">
        <w:rPr>
          <w:sz w:val="24"/>
        </w:rPr>
        <w:t>where:</w:t>
      </w:r>
    </w:p>
    <w:p w14:paraId="363057F5" w14:textId="77777777" w:rsidR="003331C5" w:rsidRPr="00883399" w:rsidRDefault="003331C5" w:rsidP="003331C5">
      <w:pPr>
        <w:pStyle w:val="Definition0"/>
        <w:rPr>
          <w:sz w:val="24"/>
        </w:rPr>
      </w:pPr>
      <w:r w:rsidRPr="00883399">
        <w:rPr>
          <w:b/>
          <w:i/>
          <w:sz w:val="24"/>
        </w:rPr>
        <w:t>CH4</w:t>
      </w:r>
      <w:r w:rsidRPr="00883399">
        <w:rPr>
          <w:b/>
          <w:i/>
          <w:sz w:val="24"/>
          <w:vertAlign w:val="subscript"/>
        </w:rPr>
        <w:t>genlw</w:t>
      </w:r>
      <w:r w:rsidRPr="00883399">
        <w:rPr>
          <w:sz w:val="24"/>
        </w:rPr>
        <w:t xml:space="preserve"> is the methane generated from legacy waste deposited at the landfill, measured in CO</w:t>
      </w:r>
      <w:r w:rsidRPr="00883399">
        <w:rPr>
          <w:sz w:val="24"/>
          <w:vertAlign w:val="subscript"/>
        </w:rPr>
        <w:t>2</w:t>
      </w:r>
      <w:r w:rsidRPr="00883399">
        <w:rPr>
          <w:sz w:val="24"/>
        </w:rPr>
        <w:noBreakHyphen/>
        <w:t>e tonnes.</w:t>
      </w:r>
    </w:p>
    <w:p w14:paraId="77AB235F" w14:textId="77777777" w:rsidR="003331C5" w:rsidRPr="00883399" w:rsidRDefault="003331C5" w:rsidP="003331C5">
      <w:pPr>
        <w:pStyle w:val="Definition0"/>
        <w:rPr>
          <w:sz w:val="24"/>
        </w:rPr>
      </w:pPr>
      <w:r w:rsidRPr="00883399">
        <w:rPr>
          <w:b/>
          <w:i/>
          <w:sz w:val="24"/>
        </w:rPr>
        <w:t>∑</w:t>
      </w:r>
      <w:r w:rsidRPr="00883399">
        <w:rPr>
          <w:b/>
          <w:i/>
          <w:sz w:val="24"/>
          <w:vertAlign w:val="subscript"/>
        </w:rPr>
        <w:t>z</w:t>
      </w:r>
      <w:r w:rsidRPr="00883399">
        <w:rPr>
          <w:sz w:val="24"/>
        </w:rPr>
        <w:t xml:space="preserve"> is the sum of all sub</w:t>
      </w:r>
      <w:r w:rsidRPr="00883399">
        <w:rPr>
          <w:sz w:val="24"/>
        </w:rPr>
        <w:noBreakHyphen/>
        <w:t>facility zones.</w:t>
      </w:r>
    </w:p>
    <w:p w14:paraId="7B78FDC0" w14:textId="77777777" w:rsidR="003331C5" w:rsidRPr="00883399" w:rsidRDefault="003331C5" w:rsidP="003331C5">
      <w:pPr>
        <w:pStyle w:val="Definition0"/>
        <w:rPr>
          <w:sz w:val="24"/>
        </w:rPr>
      </w:pPr>
      <w:r w:rsidRPr="00883399">
        <w:rPr>
          <w:b/>
          <w:i/>
          <w:sz w:val="24"/>
        </w:rPr>
        <w:t>CH</w:t>
      </w:r>
      <w:r w:rsidRPr="00883399">
        <w:rPr>
          <w:b/>
          <w:i/>
          <w:sz w:val="24"/>
          <w:vertAlign w:val="subscript"/>
        </w:rPr>
        <w:t>4genlw z</w:t>
      </w:r>
      <w:r w:rsidRPr="00883399">
        <w:rPr>
          <w:sz w:val="24"/>
        </w:rPr>
        <w:t xml:space="preserve"> is the quantity of methane generated from legacy waste in a sub</w:t>
      </w:r>
      <w:r w:rsidRPr="00883399">
        <w:rPr>
          <w:sz w:val="24"/>
        </w:rPr>
        <w:noBreakHyphen/>
        <w:t>facility zone, measured in CO</w:t>
      </w:r>
      <w:r w:rsidRPr="00883399">
        <w:rPr>
          <w:sz w:val="24"/>
          <w:vertAlign w:val="subscript"/>
        </w:rPr>
        <w:t>2</w:t>
      </w:r>
      <w:r w:rsidRPr="00883399">
        <w:rPr>
          <w:sz w:val="24"/>
        </w:rPr>
        <w:noBreakHyphen/>
        <w:t>e tonnes, calculated in accordance with section 5.22F.</w:t>
      </w:r>
    </w:p>
    <w:p w14:paraId="6BABB3E5" w14:textId="4B4907AC" w:rsidR="003331C5" w:rsidRPr="00883399" w:rsidRDefault="003331C5" w:rsidP="003331C5">
      <w:pPr>
        <w:pStyle w:val="ActHead5"/>
        <w:rPr>
          <w:sz w:val="28"/>
        </w:rPr>
      </w:pPr>
      <w:bookmarkStart w:id="1205" w:name="_Toc455152654"/>
      <w:bookmarkStart w:id="1206" w:name="_Toc495653126"/>
      <w:r w:rsidRPr="00883399">
        <w:rPr>
          <w:rStyle w:val="CharSectno"/>
          <w:sz w:val="28"/>
        </w:rPr>
        <w:t>5.22H</w:t>
      </w:r>
      <w:r w:rsidRPr="00883399">
        <w:rPr>
          <w:sz w:val="28"/>
        </w:rPr>
        <w:t xml:space="preserve">  How to calculate total methane captured and combusted from methane generated from legacy waste</w:t>
      </w:r>
      <w:bookmarkEnd w:id="1205"/>
      <w:bookmarkEnd w:id="1206"/>
    </w:p>
    <w:p w14:paraId="35214FDA" w14:textId="77777777" w:rsidR="003331C5" w:rsidRPr="00883399" w:rsidRDefault="003331C5" w:rsidP="003331C5">
      <w:pPr>
        <w:pStyle w:val="subsection"/>
        <w:rPr>
          <w:sz w:val="24"/>
        </w:rPr>
      </w:pPr>
      <w:r w:rsidRPr="00883399">
        <w:rPr>
          <w:sz w:val="24"/>
        </w:rPr>
        <w:tab/>
      </w:r>
      <w:r w:rsidRPr="00883399">
        <w:rPr>
          <w:sz w:val="24"/>
        </w:rPr>
        <w:tab/>
        <w:t>Total methane captured and combusted from methane generated from legacy waste is equal to the sum of methane captured and combusted from methane generated from legacy waste for all sub</w:t>
      </w:r>
      <w:r w:rsidRPr="00883399">
        <w:rPr>
          <w:sz w:val="24"/>
        </w:rPr>
        <w:noBreakHyphen/>
        <w:t>facility zones and is calculated using the following formula:</w:t>
      </w:r>
    </w:p>
    <w:p w14:paraId="5A013B2E" w14:textId="77777777" w:rsidR="003331C5" w:rsidRPr="00883399" w:rsidRDefault="003331C5" w:rsidP="003331C5">
      <w:pPr>
        <w:pStyle w:val="subsection2"/>
        <w:rPr>
          <w:sz w:val="24"/>
        </w:rPr>
      </w:pPr>
      <w:r w:rsidRPr="00883399">
        <w:rPr>
          <w:position w:val="-14"/>
          <w:sz w:val="24"/>
        </w:rPr>
        <w:object w:dxaOrig="1680" w:dyaOrig="480" w14:anchorId="38F691F6">
          <v:shape id="_x0000_i1097" type="#_x0000_t75" style="width:83.25pt;height:24pt" o:ole="">
            <v:imagedata r:id="rId296" o:title=""/>
          </v:shape>
          <o:OLEObject Type="Embed" ProgID="Equation.DSMT4" ShapeID="_x0000_i1097" DrawAspect="Content" ObjectID="_1594105988" r:id="rId297"/>
        </w:object>
      </w:r>
    </w:p>
    <w:p w14:paraId="7C483D82" w14:textId="77777777" w:rsidR="003331C5" w:rsidRPr="00883399" w:rsidRDefault="003331C5" w:rsidP="003331C5">
      <w:pPr>
        <w:pStyle w:val="subsection2"/>
        <w:rPr>
          <w:sz w:val="24"/>
        </w:rPr>
      </w:pPr>
      <w:r w:rsidRPr="00883399">
        <w:rPr>
          <w:sz w:val="24"/>
        </w:rPr>
        <w:t>where:</w:t>
      </w:r>
    </w:p>
    <w:p w14:paraId="7A6C9058" w14:textId="77777777" w:rsidR="003331C5" w:rsidRPr="00883399" w:rsidRDefault="003331C5" w:rsidP="003331C5">
      <w:pPr>
        <w:pStyle w:val="Definition0"/>
        <w:rPr>
          <w:sz w:val="24"/>
        </w:rPr>
      </w:pPr>
      <w:r w:rsidRPr="00883399">
        <w:rPr>
          <w:b/>
          <w:i/>
          <w:sz w:val="24"/>
        </w:rPr>
        <w:t>Q</w:t>
      </w:r>
      <w:r w:rsidRPr="00883399">
        <w:rPr>
          <w:b/>
          <w:i/>
          <w:sz w:val="24"/>
          <w:vertAlign w:val="subscript"/>
        </w:rPr>
        <w:t>caplw</w:t>
      </w:r>
      <w:r w:rsidRPr="00883399">
        <w:rPr>
          <w:sz w:val="24"/>
        </w:rPr>
        <w:t xml:space="preserve"> is the quantity of methane captured for combustion from landfill legacy waste during a reporting year.</w:t>
      </w:r>
    </w:p>
    <w:p w14:paraId="31EA845E" w14:textId="77777777" w:rsidR="003331C5" w:rsidRPr="00883399" w:rsidRDefault="003331C5" w:rsidP="003331C5">
      <w:pPr>
        <w:pStyle w:val="Definition0"/>
        <w:rPr>
          <w:sz w:val="24"/>
        </w:rPr>
      </w:pPr>
      <w:r w:rsidRPr="00883399">
        <w:rPr>
          <w:b/>
          <w:i/>
          <w:sz w:val="24"/>
        </w:rPr>
        <w:t>∑</w:t>
      </w:r>
      <w:r w:rsidRPr="00883399">
        <w:rPr>
          <w:b/>
          <w:i/>
          <w:sz w:val="24"/>
          <w:vertAlign w:val="subscript"/>
        </w:rPr>
        <w:t>z</w:t>
      </w:r>
      <w:r w:rsidRPr="00883399">
        <w:rPr>
          <w:sz w:val="24"/>
        </w:rPr>
        <w:t xml:space="preserve"> is the sum of all sub</w:t>
      </w:r>
      <w:r w:rsidRPr="00883399">
        <w:rPr>
          <w:sz w:val="24"/>
        </w:rPr>
        <w:noBreakHyphen/>
        <w:t>facility zones.</w:t>
      </w:r>
    </w:p>
    <w:p w14:paraId="0CE4E27E" w14:textId="77777777" w:rsidR="003331C5" w:rsidRPr="00883399" w:rsidRDefault="003331C5" w:rsidP="003331C5">
      <w:pPr>
        <w:pStyle w:val="Definition0"/>
        <w:rPr>
          <w:sz w:val="24"/>
        </w:rPr>
      </w:pPr>
      <w:r w:rsidRPr="00883399">
        <w:rPr>
          <w:b/>
          <w:i/>
          <w:sz w:val="24"/>
        </w:rPr>
        <w:t>Q</w:t>
      </w:r>
      <w:r w:rsidRPr="00883399">
        <w:rPr>
          <w:b/>
          <w:i/>
          <w:sz w:val="24"/>
          <w:vertAlign w:val="subscript"/>
        </w:rPr>
        <w:t>caplw z</w:t>
      </w:r>
      <w:r w:rsidRPr="00883399">
        <w:rPr>
          <w:sz w:val="24"/>
        </w:rPr>
        <w:t xml:space="preserve"> is the quantity of methane captured for combustion from each sub</w:t>
      </w:r>
      <w:r w:rsidRPr="00883399">
        <w:rPr>
          <w:sz w:val="24"/>
        </w:rPr>
        <w:noBreakHyphen/>
        <w:t>facility zone during a reporting year, estimated in accordance with section 5.22C.</w:t>
      </w:r>
    </w:p>
    <w:p w14:paraId="43D1B52B" w14:textId="235E132F" w:rsidR="003331C5" w:rsidRPr="00883399" w:rsidRDefault="003331C5" w:rsidP="003331C5">
      <w:pPr>
        <w:pStyle w:val="ActHead5"/>
        <w:rPr>
          <w:sz w:val="28"/>
        </w:rPr>
      </w:pPr>
      <w:bookmarkStart w:id="1207" w:name="_Toc455152655"/>
      <w:bookmarkStart w:id="1208" w:name="_Toc495653127"/>
      <w:r w:rsidRPr="00883399">
        <w:rPr>
          <w:rStyle w:val="CharSectno"/>
          <w:sz w:val="28"/>
        </w:rPr>
        <w:t>5.22J</w:t>
      </w:r>
      <w:r w:rsidRPr="00883399">
        <w:rPr>
          <w:sz w:val="28"/>
        </w:rPr>
        <w:t xml:space="preserve">  How to calculate total methane captured and transferred offsite from methane generated from legacy waste</w:t>
      </w:r>
      <w:bookmarkEnd w:id="1207"/>
      <w:bookmarkEnd w:id="1208"/>
    </w:p>
    <w:p w14:paraId="5F2011B4" w14:textId="77777777" w:rsidR="003331C5" w:rsidRPr="00883399" w:rsidRDefault="003331C5" w:rsidP="003331C5">
      <w:pPr>
        <w:pStyle w:val="subsection"/>
        <w:rPr>
          <w:sz w:val="24"/>
        </w:rPr>
      </w:pPr>
      <w:r w:rsidRPr="00883399">
        <w:rPr>
          <w:sz w:val="24"/>
        </w:rPr>
        <w:tab/>
      </w:r>
      <w:r w:rsidRPr="00883399">
        <w:rPr>
          <w:sz w:val="24"/>
        </w:rPr>
        <w:tab/>
        <w:t>Total methane captured and transferred offsite from methane generated from legacy waste is equal to the sum of methane captured and transferred offsite from methane generated from legacy waste for all sub</w:t>
      </w:r>
      <w:r w:rsidRPr="00883399">
        <w:rPr>
          <w:sz w:val="24"/>
        </w:rPr>
        <w:noBreakHyphen/>
        <w:t>facility zones and is calculated using the following formula:</w:t>
      </w:r>
    </w:p>
    <w:p w14:paraId="6C54137C" w14:textId="77777777" w:rsidR="003331C5" w:rsidRPr="00883399" w:rsidRDefault="003331C5" w:rsidP="003331C5">
      <w:pPr>
        <w:pStyle w:val="subsection2"/>
        <w:rPr>
          <w:sz w:val="24"/>
        </w:rPr>
      </w:pPr>
      <w:r w:rsidRPr="00883399">
        <w:rPr>
          <w:position w:val="-14"/>
          <w:sz w:val="24"/>
        </w:rPr>
        <w:object w:dxaOrig="1500" w:dyaOrig="480" w14:anchorId="664A4CAD">
          <v:shape id="_x0000_i1098" type="#_x0000_t75" style="width:75.75pt;height:24pt" o:ole="">
            <v:imagedata r:id="rId298" o:title=""/>
          </v:shape>
          <o:OLEObject Type="Embed" ProgID="Equation.DSMT4" ShapeID="_x0000_i1098" DrawAspect="Content" ObjectID="_1594105989" r:id="rId299"/>
        </w:object>
      </w:r>
    </w:p>
    <w:p w14:paraId="707C67DE" w14:textId="77777777" w:rsidR="003331C5" w:rsidRPr="00883399" w:rsidRDefault="003331C5" w:rsidP="003331C5">
      <w:pPr>
        <w:pStyle w:val="subsection2"/>
        <w:rPr>
          <w:sz w:val="24"/>
        </w:rPr>
      </w:pPr>
      <w:r w:rsidRPr="00883399">
        <w:rPr>
          <w:sz w:val="24"/>
        </w:rPr>
        <w:t>where:</w:t>
      </w:r>
    </w:p>
    <w:p w14:paraId="6FA9982C" w14:textId="77777777" w:rsidR="003331C5" w:rsidRPr="00883399" w:rsidRDefault="003331C5" w:rsidP="003331C5">
      <w:pPr>
        <w:pStyle w:val="Definition0"/>
        <w:rPr>
          <w:sz w:val="24"/>
        </w:rPr>
      </w:pPr>
      <w:r w:rsidRPr="00883399">
        <w:rPr>
          <w:b/>
          <w:i/>
          <w:sz w:val="24"/>
        </w:rPr>
        <w:t>Q</w:t>
      </w:r>
      <w:r w:rsidRPr="00883399">
        <w:rPr>
          <w:b/>
          <w:i/>
          <w:sz w:val="24"/>
          <w:vertAlign w:val="subscript"/>
        </w:rPr>
        <w:t>trlw</w:t>
      </w:r>
      <w:r w:rsidRPr="00883399">
        <w:rPr>
          <w:sz w:val="24"/>
        </w:rPr>
        <w:t xml:space="preserve"> is the total methane captured and transferred offsite from methane generated from legacy waste deposited at the landfill.</w:t>
      </w:r>
    </w:p>
    <w:p w14:paraId="583FB8CF" w14:textId="77777777" w:rsidR="003331C5" w:rsidRPr="00883399" w:rsidRDefault="003331C5" w:rsidP="003331C5">
      <w:pPr>
        <w:pStyle w:val="Definition0"/>
        <w:rPr>
          <w:sz w:val="24"/>
        </w:rPr>
      </w:pPr>
      <w:r w:rsidRPr="00883399">
        <w:rPr>
          <w:b/>
          <w:i/>
          <w:sz w:val="24"/>
        </w:rPr>
        <w:t>∑</w:t>
      </w:r>
      <w:r w:rsidRPr="00883399">
        <w:rPr>
          <w:b/>
          <w:i/>
          <w:sz w:val="24"/>
          <w:vertAlign w:val="subscript"/>
        </w:rPr>
        <w:t>z</w:t>
      </w:r>
      <w:r w:rsidRPr="00883399">
        <w:rPr>
          <w:sz w:val="24"/>
        </w:rPr>
        <w:t xml:space="preserve"> is the sum of all sub</w:t>
      </w:r>
      <w:r w:rsidRPr="00883399">
        <w:rPr>
          <w:sz w:val="24"/>
        </w:rPr>
        <w:noBreakHyphen/>
        <w:t>facility zones.</w:t>
      </w:r>
    </w:p>
    <w:p w14:paraId="1FA1BB89" w14:textId="77777777" w:rsidR="003331C5" w:rsidRPr="00883399" w:rsidRDefault="003331C5" w:rsidP="003331C5">
      <w:pPr>
        <w:pStyle w:val="Definition0"/>
        <w:rPr>
          <w:sz w:val="24"/>
        </w:rPr>
      </w:pPr>
      <w:r w:rsidRPr="00883399">
        <w:rPr>
          <w:b/>
          <w:i/>
          <w:sz w:val="24"/>
        </w:rPr>
        <w:t>Q</w:t>
      </w:r>
      <w:r w:rsidRPr="00883399">
        <w:rPr>
          <w:b/>
          <w:i/>
          <w:sz w:val="24"/>
          <w:vertAlign w:val="subscript"/>
        </w:rPr>
        <w:t>trlw z</w:t>
      </w:r>
      <w:r w:rsidRPr="00883399">
        <w:rPr>
          <w:sz w:val="24"/>
        </w:rPr>
        <w:t xml:space="preserve"> is the estimated quantity of methane captured for transfer out of the landfill from legacy waste for each sub</w:t>
      </w:r>
      <w:r w:rsidRPr="00883399">
        <w:rPr>
          <w:sz w:val="24"/>
        </w:rPr>
        <w:noBreakHyphen/>
        <w:t>facility zone, estimated in accordance with section 5.22E.</w:t>
      </w:r>
    </w:p>
    <w:p w14:paraId="1AA4448C" w14:textId="512E1B4B" w:rsidR="003331C5" w:rsidRPr="00883399" w:rsidRDefault="003331C5" w:rsidP="003331C5">
      <w:pPr>
        <w:pStyle w:val="ActHead5"/>
        <w:rPr>
          <w:sz w:val="28"/>
        </w:rPr>
      </w:pPr>
      <w:bookmarkStart w:id="1209" w:name="_Toc455152656"/>
      <w:bookmarkStart w:id="1210" w:name="_Toc495653128"/>
      <w:r w:rsidRPr="00883399">
        <w:rPr>
          <w:rStyle w:val="CharSectno"/>
          <w:sz w:val="28"/>
        </w:rPr>
        <w:t>5.22K</w:t>
      </w:r>
      <w:r w:rsidRPr="00883399">
        <w:rPr>
          <w:sz w:val="28"/>
        </w:rPr>
        <w:t xml:space="preserve">  How to calculate total methane flared from methane generated from legacy waste</w:t>
      </w:r>
      <w:bookmarkEnd w:id="1209"/>
      <w:bookmarkEnd w:id="1210"/>
    </w:p>
    <w:p w14:paraId="2AE6772B" w14:textId="77777777" w:rsidR="003331C5" w:rsidRPr="00883399" w:rsidRDefault="003331C5" w:rsidP="003331C5">
      <w:pPr>
        <w:pStyle w:val="subsection"/>
        <w:rPr>
          <w:sz w:val="24"/>
        </w:rPr>
      </w:pPr>
      <w:r w:rsidRPr="00883399">
        <w:rPr>
          <w:sz w:val="24"/>
        </w:rPr>
        <w:tab/>
      </w:r>
      <w:r w:rsidRPr="00883399">
        <w:rPr>
          <w:sz w:val="24"/>
        </w:rPr>
        <w:tab/>
        <w:t>Total methane flared from methane generated from legacy waste is equal to the sum of methane flared from methane generated from legacy waste for all sub</w:t>
      </w:r>
      <w:r w:rsidRPr="00883399">
        <w:rPr>
          <w:sz w:val="24"/>
        </w:rPr>
        <w:noBreakHyphen/>
        <w:t>facility zones and is calculated using the following formula:</w:t>
      </w:r>
    </w:p>
    <w:p w14:paraId="66766AF6" w14:textId="77777777" w:rsidR="003331C5" w:rsidRPr="00883399" w:rsidRDefault="003331C5" w:rsidP="003331C5">
      <w:pPr>
        <w:pStyle w:val="subsection2"/>
        <w:rPr>
          <w:sz w:val="24"/>
        </w:rPr>
      </w:pPr>
      <w:r w:rsidRPr="00883399">
        <w:rPr>
          <w:position w:val="-14"/>
          <w:sz w:val="24"/>
        </w:rPr>
        <w:object w:dxaOrig="1500" w:dyaOrig="480" w14:anchorId="4B6C7F89">
          <v:shape id="_x0000_i1099" type="#_x0000_t75" style="width:75.75pt;height:24pt" o:ole="">
            <v:imagedata r:id="rId300" o:title=""/>
          </v:shape>
          <o:OLEObject Type="Embed" ProgID="Equation.DSMT4" ShapeID="_x0000_i1099" DrawAspect="Content" ObjectID="_1594105990" r:id="rId301"/>
        </w:object>
      </w:r>
    </w:p>
    <w:p w14:paraId="67F23E00" w14:textId="77777777" w:rsidR="003331C5" w:rsidRPr="00883399" w:rsidRDefault="003331C5" w:rsidP="003331C5">
      <w:pPr>
        <w:pStyle w:val="subsection2"/>
        <w:rPr>
          <w:sz w:val="24"/>
        </w:rPr>
      </w:pPr>
      <w:r w:rsidRPr="00883399">
        <w:rPr>
          <w:sz w:val="24"/>
        </w:rPr>
        <w:t>where:</w:t>
      </w:r>
    </w:p>
    <w:p w14:paraId="53416FA6" w14:textId="77777777" w:rsidR="003331C5" w:rsidRPr="00883399" w:rsidRDefault="003331C5" w:rsidP="003331C5">
      <w:pPr>
        <w:pStyle w:val="Definition0"/>
        <w:rPr>
          <w:sz w:val="24"/>
        </w:rPr>
      </w:pPr>
      <w:r w:rsidRPr="00883399">
        <w:rPr>
          <w:b/>
          <w:i/>
          <w:sz w:val="24"/>
        </w:rPr>
        <w:t>Q</w:t>
      </w:r>
      <w:r w:rsidRPr="00883399">
        <w:rPr>
          <w:b/>
          <w:i/>
          <w:sz w:val="24"/>
          <w:vertAlign w:val="subscript"/>
        </w:rPr>
        <w:t>fllw</w:t>
      </w:r>
      <w:r w:rsidRPr="00883399">
        <w:rPr>
          <w:sz w:val="24"/>
        </w:rPr>
        <w:t xml:space="preserve"> is the quantity of methane flared from landfill legacy waste during the reporting year.</w:t>
      </w:r>
    </w:p>
    <w:p w14:paraId="1065117E" w14:textId="77777777" w:rsidR="003331C5" w:rsidRPr="00883399" w:rsidRDefault="003331C5" w:rsidP="003331C5">
      <w:pPr>
        <w:pStyle w:val="Definition0"/>
        <w:rPr>
          <w:sz w:val="24"/>
        </w:rPr>
      </w:pPr>
      <w:r w:rsidRPr="00883399">
        <w:rPr>
          <w:b/>
          <w:i/>
          <w:sz w:val="24"/>
        </w:rPr>
        <w:t>∑</w:t>
      </w:r>
      <w:r w:rsidRPr="00883399">
        <w:rPr>
          <w:b/>
          <w:i/>
          <w:sz w:val="24"/>
          <w:vertAlign w:val="subscript"/>
        </w:rPr>
        <w:t>z</w:t>
      </w:r>
      <w:r w:rsidRPr="00883399">
        <w:rPr>
          <w:sz w:val="24"/>
        </w:rPr>
        <w:t xml:space="preserve"> is the sum of all sub</w:t>
      </w:r>
      <w:r w:rsidRPr="00883399">
        <w:rPr>
          <w:sz w:val="24"/>
        </w:rPr>
        <w:noBreakHyphen/>
        <w:t>facility zones.</w:t>
      </w:r>
    </w:p>
    <w:p w14:paraId="105CCE9E" w14:textId="77777777" w:rsidR="003331C5" w:rsidRPr="00883399" w:rsidRDefault="003331C5" w:rsidP="003331C5">
      <w:pPr>
        <w:pStyle w:val="Definition0"/>
        <w:rPr>
          <w:b/>
          <w:i/>
          <w:sz w:val="24"/>
        </w:rPr>
      </w:pPr>
      <w:r w:rsidRPr="00883399">
        <w:rPr>
          <w:b/>
          <w:i/>
          <w:sz w:val="24"/>
        </w:rPr>
        <w:t>Q</w:t>
      </w:r>
      <w:r w:rsidRPr="00883399">
        <w:rPr>
          <w:b/>
          <w:i/>
          <w:sz w:val="24"/>
          <w:vertAlign w:val="subscript"/>
        </w:rPr>
        <w:t>fllw z</w:t>
      </w:r>
      <w:r w:rsidRPr="00883399">
        <w:rPr>
          <w:sz w:val="24"/>
        </w:rPr>
        <w:t xml:space="preserve"> is the quantity of methane in landfill gas from landfill legacy waste for each sub</w:t>
      </w:r>
      <w:r w:rsidRPr="00883399">
        <w:rPr>
          <w:sz w:val="24"/>
        </w:rPr>
        <w:noBreakHyphen/>
        <w:t>facility zone during the reporting year, estimated in accordance with section 5.22D.</w:t>
      </w:r>
    </w:p>
    <w:p w14:paraId="536F2D95" w14:textId="0B2C064B" w:rsidR="003331C5" w:rsidRPr="00883399" w:rsidRDefault="003331C5" w:rsidP="003331C5">
      <w:pPr>
        <w:pStyle w:val="ActHead5"/>
        <w:rPr>
          <w:sz w:val="28"/>
        </w:rPr>
      </w:pPr>
      <w:bookmarkStart w:id="1211" w:name="_Toc455152657"/>
      <w:bookmarkStart w:id="1212" w:name="_Toc495653129"/>
      <w:r w:rsidRPr="00883399">
        <w:rPr>
          <w:rStyle w:val="CharSectno"/>
          <w:sz w:val="28"/>
        </w:rPr>
        <w:t>5.22L</w:t>
      </w:r>
      <w:r w:rsidRPr="00883399">
        <w:rPr>
          <w:sz w:val="28"/>
        </w:rPr>
        <w:t xml:space="preserve">  How to calculate methane generated in landfill gas from non</w:t>
      </w:r>
      <w:r w:rsidRPr="00883399">
        <w:rPr>
          <w:i/>
          <w:sz w:val="28"/>
        </w:rPr>
        <w:noBreakHyphen/>
      </w:r>
      <w:r w:rsidRPr="00883399">
        <w:rPr>
          <w:sz w:val="28"/>
        </w:rPr>
        <w:t>legacy waste</w:t>
      </w:r>
      <w:bookmarkEnd w:id="1211"/>
      <w:bookmarkEnd w:id="1212"/>
    </w:p>
    <w:p w14:paraId="6B349115" w14:textId="77777777" w:rsidR="003331C5" w:rsidRPr="00883399" w:rsidRDefault="003331C5" w:rsidP="003331C5">
      <w:pPr>
        <w:pStyle w:val="subsection"/>
        <w:rPr>
          <w:sz w:val="24"/>
        </w:rPr>
      </w:pPr>
      <w:r w:rsidRPr="00883399">
        <w:rPr>
          <w:sz w:val="24"/>
        </w:rPr>
        <w:tab/>
        <w:t>(1)</w:t>
      </w:r>
      <w:r w:rsidRPr="00883399">
        <w:rPr>
          <w:sz w:val="24"/>
        </w:rPr>
        <w:tab/>
        <w:t>Methane generated in landfill gas from non</w:t>
      </w:r>
      <w:r w:rsidRPr="00883399">
        <w:rPr>
          <w:sz w:val="24"/>
        </w:rPr>
        <w:noBreakHyphen/>
        <w:t>legacy waste must be calculated using the following formula:</w:t>
      </w:r>
    </w:p>
    <w:p w14:paraId="5AAEB84E" w14:textId="77777777" w:rsidR="003331C5" w:rsidRPr="00883399" w:rsidRDefault="003331C5" w:rsidP="003331C5">
      <w:pPr>
        <w:pStyle w:val="subsection2"/>
        <w:rPr>
          <w:sz w:val="24"/>
        </w:rPr>
      </w:pPr>
      <w:r w:rsidRPr="00883399">
        <w:rPr>
          <w:position w:val="-12"/>
          <w:sz w:val="24"/>
        </w:rPr>
        <w:object w:dxaOrig="2620" w:dyaOrig="440" w14:anchorId="1C6579D2">
          <v:shape id="_x0000_i1100" type="#_x0000_t75" style="width:132pt;height:21.75pt" o:ole="">
            <v:imagedata r:id="rId302" o:title=""/>
          </v:shape>
          <o:OLEObject Type="Embed" ProgID="Equation.DSMT4" ShapeID="_x0000_i1100" DrawAspect="Content" ObjectID="_1594105991" r:id="rId303"/>
        </w:object>
      </w:r>
    </w:p>
    <w:p w14:paraId="7BE174E7" w14:textId="77777777" w:rsidR="003331C5" w:rsidRPr="00883399" w:rsidRDefault="003331C5" w:rsidP="003331C5">
      <w:pPr>
        <w:pStyle w:val="subsection2"/>
        <w:rPr>
          <w:sz w:val="24"/>
        </w:rPr>
      </w:pPr>
      <w:r w:rsidRPr="00883399">
        <w:rPr>
          <w:sz w:val="24"/>
        </w:rPr>
        <w:t>where:</w:t>
      </w:r>
    </w:p>
    <w:p w14:paraId="134EC9B1" w14:textId="77777777" w:rsidR="003331C5" w:rsidRPr="00883399" w:rsidRDefault="003331C5" w:rsidP="003331C5">
      <w:pPr>
        <w:pStyle w:val="Definition0"/>
        <w:rPr>
          <w:sz w:val="24"/>
        </w:rPr>
      </w:pPr>
      <w:r w:rsidRPr="00883399">
        <w:rPr>
          <w:b/>
          <w:i/>
          <w:sz w:val="24"/>
        </w:rPr>
        <w:t>CH</w:t>
      </w:r>
      <w:r w:rsidRPr="00883399">
        <w:rPr>
          <w:b/>
          <w:i/>
          <w:sz w:val="24"/>
          <w:vertAlign w:val="subscript"/>
        </w:rPr>
        <w:t>4gennlw</w:t>
      </w:r>
      <w:r w:rsidRPr="00883399">
        <w:rPr>
          <w:sz w:val="24"/>
        </w:rPr>
        <w:t xml:space="preserve"> is the methane generated in landfill gas from non</w:t>
      </w:r>
      <w:r w:rsidRPr="00883399">
        <w:rPr>
          <w:sz w:val="24"/>
        </w:rPr>
        <w:noBreakHyphen/>
        <w:t>legacy waste, measured in CO</w:t>
      </w:r>
      <w:r w:rsidRPr="00883399">
        <w:rPr>
          <w:sz w:val="24"/>
          <w:vertAlign w:val="subscript"/>
        </w:rPr>
        <w:t>2</w:t>
      </w:r>
      <w:r w:rsidRPr="00883399">
        <w:rPr>
          <w:sz w:val="24"/>
        </w:rPr>
        <w:noBreakHyphen/>
        <w:t>e tonnes.</w:t>
      </w:r>
    </w:p>
    <w:p w14:paraId="509C43DF" w14:textId="77777777" w:rsidR="003331C5" w:rsidRPr="00883399" w:rsidRDefault="003331C5" w:rsidP="003331C5">
      <w:pPr>
        <w:pStyle w:val="Definition0"/>
        <w:rPr>
          <w:sz w:val="24"/>
        </w:rPr>
      </w:pPr>
      <w:r w:rsidRPr="00883399">
        <w:rPr>
          <w:b/>
          <w:i/>
          <w:sz w:val="24"/>
        </w:rPr>
        <w:t>CH</w:t>
      </w:r>
      <w:r w:rsidRPr="00883399">
        <w:rPr>
          <w:b/>
          <w:i/>
          <w:sz w:val="24"/>
          <w:vertAlign w:val="subscript"/>
        </w:rPr>
        <w:t>4genj</w:t>
      </w:r>
      <w:r w:rsidRPr="00883399">
        <w:rPr>
          <w:sz w:val="24"/>
        </w:rPr>
        <w:t xml:space="preserve"> is the methane generated in landfill gas from total waste deposited at the landfill, measured in CO</w:t>
      </w:r>
      <w:r w:rsidRPr="00883399">
        <w:rPr>
          <w:sz w:val="24"/>
          <w:vertAlign w:val="subscript"/>
        </w:rPr>
        <w:t>2</w:t>
      </w:r>
      <w:r w:rsidRPr="00883399">
        <w:rPr>
          <w:sz w:val="24"/>
        </w:rPr>
        <w:noBreakHyphen/>
        <w:t>e tonnes.</w:t>
      </w:r>
    </w:p>
    <w:p w14:paraId="15E4A12C" w14:textId="77777777" w:rsidR="003331C5" w:rsidRPr="00883399" w:rsidRDefault="003331C5" w:rsidP="003331C5">
      <w:pPr>
        <w:pStyle w:val="Definition0"/>
        <w:rPr>
          <w:sz w:val="28"/>
          <w:szCs w:val="24"/>
        </w:rPr>
      </w:pPr>
      <w:r w:rsidRPr="00883399">
        <w:rPr>
          <w:b/>
          <w:i/>
          <w:sz w:val="24"/>
        </w:rPr>
        <w:lastRenderedPageBreak/>
        <w:t>CH4</w:t>
      </w:r>
      <w:r w:rsidRPr="00883399">
        <w:rPr>
          <w:b/>
          <w:i/>
          <w:sz w:val="24"/>
          <w:vertAlign w:val="subscript"/>
        </w:rPr>
        <w:t>genlw</w:t>
      </w:r>
      <w:r w:rsidRPr="00883399">
        <w:rPr>
          <w:sz w:val="24"/>
        </w:rPr>
        <w:t xml:space="preserve"> is the methane generated in landfill gas from legacy waste deposited at the landfill, measured in CO</w:t>
      </w:r>
      <w:r w:rsidRPr="00883399">
        <w:rPr>
          <w:sz w:val="24"/>
          <w:vertAlign w:val="subscript"/>
        </w:rPr>
        <w:t>2</w:t>
      </w:r>
      <w:r w:rsidRPr="00883399">
        <w:rPr>
          <w:sz w:val="24"/>
        </w:rPr>
        <w:noBreakHyphen/>
        <w:t>e tonnes.</w:t>
      </w:r>
    </w:p>
    <w:p w14:paraId="7F07E2AE" w14:textId="77777777" w:rsidR="003331C5" w:rsidRPr="00883399" w:rsidRDefault="003331C5" w:rsidP="003331C5">
      <w:pPr>
        <w:pStyle w:val="subsection"/>
        <w:rPr>
          <w:sz w:val="24"/>
        </w:rPr>
      </w:pPr>
      <w:r w:rsidRPr="00883399">
        <w:rPr>
          <w:sz w:val="24"/>
        </w:rPr>
        <w:tab/>
        <w:t>(2)</w:t>
      </w:r>
      <w:r w:rsidRPr="00883399">
        <w:rPr>
          <w:sz w:val="24"/>
        </w:rPr>
        <w:tab/>
        <w:t>Emissions from non</w:t>
      </w:r>
      <w:r w:rsidRPr="00883399">
        <w:rPr>
          <w:i/>
          <w:sz w:val="24"/>
        </w:rPr>
        <w:noBreakHyphen/>
      </w:r>
      <w:r w:rsidRPr="00883399">
        <w:rPr>
          <w:sz w:val="24"/>
        </w:rPr>
        <w:t>legacy waste must be calculated using the following formula, measured in CO</w:t>
      </w:r>
      <w:r w:rsidRPr="00883399">
        <w:rPr>
          <w:sz w:val="24"/>
          <w:vertAlign w:val="subscript"/>
        </w:rPr>
        <w:t>2</w:t>
      </w:r>
      <w:r w:rsidRPr="00883399">
        <w:rPr>
          <w:sz w:val="24"/>
        </w:rPr>
        <w:noBreakHyphen/>
        <w:t>e tonnes:</w:t>
      </w:r>
    </w:p>
    <w:p w14:paraId="6C903B46" w14:textId="77777777" w:rsidR="003331C5" w:rsidRPr="00883399" w:rsidRDefault="003331C5" w:rsidP="003331C5">
      <w:pPr>
        <w:pStyle w:val="subsection2"/>
        <w:rPr>
          <w:sz w:val="24"/>
        </w:rPr>
      </w:pPr>
      <w:r w:rsidRPr="00883399">
        <w:rPr>
          <w:position w:val="-12"/>
          <w:sz w:val="24"/>
        </w:rPr>
        <w:object w:dxaOrig="1520" w:dyaOrig="440" w14:anchorId="7BFF38F7">
          <v:shape id="_x0000_i1101" type="#_x0000_t75" style="width:76.5pt;height:23.25pt" o:ole="">
            <v:imagedata r:id="rId304" o:title=""/>
          </v:shape>
          <o:OLEObject Type="Embed" ProgID="Equation.DSMT4" ShapeID="_x0000_i1101" DrawAspect="Content" ObjectID="_1594105992" r:id="rId305"/>
        </w:object>
      </w:r>
    </w:p>
    <w:p w14:paraId="743ED540" w14:textId="77777777" w:rsidR="003331C5" w:rsidRPr="00883399" w:rsidRDefault="003331C5" w:rsidP="003331C5">
      <w:pPr>
        <w:pStyle w:val="subsection2"/>
        <w:rPr>
          <w:sz w:val="24"/>
        </w:rPr>
      </w:pPr>
      <w:r w:rsidRPr="00883399">
        <w:rPr>
          <w:sz w:val="24"/>
        </w:rPr>
        <w:t>where:</w:t>
      </w:r>
    </w:p>
    <w:p w14:paraId="2987FCF3" w14:textId="77777777" w:rsidR="003331C5" w:rsidRPr="00883399" w:rsidRDefault="003331C5" w:rsidP="003331C5">
      <w:pPr>
        <w:pStyle w:val="Definition0"/>
        <w:rPr>
          <w:sz w:val="24"/>
        </w:rPr>
      </w:pPr>
      <w:r w:rsidRPr="00883399">
        <w:rPr>
          <w:b/>
          <w:i/>
          <w:sz w:val="24"/>
        </w:rPr>
        <w:t>E</w:t>
      </w:r>
      <w:r w:rsidRPr="00883399">
        <w:rPr>
          <w:b/>
          <w:i/>
          <w:sz w:val="24"/>
          <w:vertAlign w:val="subscript"/>
        </w:rPr>
        <w:t>nlw</w:t>
      </w:r>
      <w:r w:rsidRPr="00883399">
        <w:rPr>
          <w:sz w:val="24"/>
        </w:rPr>
        <w:t xml:space="preserve"> are the emissions from non</w:t>
      </w:r>
      <w:r w:rsidRPr="00883399">
        <w:rPr>
          <w:sz w:val="24"/>
        </w:rPr>
        <w:noBreakHyphen/>
        <w:t>legacy waste.</w:t>
      </w:r>
    </w:p>
    <w:p w14:paraId="60FFC420" w14:textId="77777777" w:rsidR="003331C5" w:rsidRPr="00883399" w:rsidRDefault="003331C5" w:rsidP="003331C5">
      <w:pPr>
        <w:pStyle w:val="Definition0"/>
        <w:rPr>
          <w:sz w:val="24"/>
        </w:rPr>
      </w:pPr>
      <w:r w:rsidRPr="00883399">
        <w:rPr>
          <w:b/>
          <w:i/>
          <w:sz w:val="24"/>
        </w:rPr>
        <w:t>E</w:t>
      </w:r>
      <w:r w:rsidRPr="00883399">
        <w:rPr>
          <w:b/>
          <w:i/>
          <w:sz w:val="24"/>
          <w:vertAlign w:val="subscript"/>
        </w:rPr>
        <w:t>j</w:t>
      </w:r>
      <w:r w:rsidRPr="00883399">
        <w:rPr>
          <w:sz w:val="24"/>
        </w:rPr>
        <w:t xml:space="preserve"> is the quantity of methane from waste deposited at the landfill, measured in CO</w:t>
      </w:r>
      <w:r w:rsidRPr="00883399">
        <w:rPr>
          <w:sz w:val="24"/>
          <w:vertAlign w:val="subscript"/>
        </w:rPr>
        <w:t>2</w:t>
      </w:r>
      <w:r w:rsidRPr="00883399">
        <w:rPr>
          <w:sz w:val="24"/>
        </w:rPr>
        <w:noBreakHyphen/>
        <w:t>e tonnes:</w:t>
      </w:r>
    </w:p>
    <w:p w14:paraId="4F13F543" w14:textId="77777777" w:rsidR="003331C5" w:rsidRPr="00883399" w:rsidRDefault="003331C5" w:rsidP="003331C5">
      <w:pPr>
        <w:pStyle w:val="Definition0"/>
        <w:rPr>
          <w:sz w:val="24"/>
        </w:rPr>
      </w:pPr>
      <w:r w:rsidRPr="00883399">
        <w:rPr>
          <w:b/>
          <w:i/>
          <w:sz w:val="24"/>
        </w:rPr>
        <w:t>E</w:t>
      </w:r>
      <w:r w:rsidRPr="00883399">
        <w:rPr>
          <w:b/>
          <w:i/>
          <w:sz w:val="24"/>
          <w:vertAlign w:val="subscript"/>
        </w:rPr>
        <w:t>lw</w:t>
      </w:r>
      <w:r w:rsidRPr="00883399">
        <w:rPr>
          <w:sz w:val="24"/>
        </w:rPr>
        <w:t xml:space="preserve"> is the quantity of methane from legacy waste deposited at the landfill, measured in CO</w:t>
      </w:r>
      <w:r w:rsidRPr="00883399">
        <w:rPr>
          <w:sz w:val="24"/>
          <w:vertAlign w:val="subscript"/>
        </w:rPr>
        <w:t>2</w:t>
      </w:r>
      <w:r w:rsidRPr="00883399">
        <w:rPr>
          <w:sz w:val="24"/>
        </w:rPr>
        <w:noBreakHyphen/>
        <w:t>e tonnes.</w:t>
      </w:r>
    </w:p>
    <w:p w14:paraId="4BB4EBEC" w14:textId="17531A0C" w:rsidR="003331C5" w:rsidRPr="00883399" w:rsidRDefault="003331C5" w:rsidP="003331C5">
      <w:pPr>
        <w:pStyle w:val="ActHead5"/>
        <w:rPr>
          <w:rFonts w:eastAsia="Arial"/>
          <w:sz w:val="28"/>
        </w:rPr>
      </w:pPr>
      <w:bookmarkStart w:id="1213" w:name="_Toc455152658"/>
      <w:bookmarkStart w:id="1214" w:name="_Toc495653130"/>
      <w:r w:rsidRPr="00883399">
        <w:rPr>
          <w:rStyle w:val="CharSectno"/>
          <w:rFonts w:eastAsia="Arial"/>
          <w:sz w:val="28"/>
        </w:rPr>
        <w:t>5.22M</w:t>
      </w:r>
      <w:r w:rsidRPr="00883399">
        <w:rPr>
          <w:rFonts w:eastAsia="Arial"/>
          <w:sz w:val="28"/>
        </w:rPr>
        <w:t xml:space="preserve">  Calculating amount of total waste deposited at landfill</w:t>
      </w:r>
      <w:bookmarkEnd w:id="1213"/>
      <w:bookmarkEnd w:id="1214"/>
    </w:p>
    <w:p w14:paraId="76CB9BBE" w14:textId="77777777" w:rsidR="003331C5" w:rsidRPr="00883399" w:rsidRDefault="003331C5" w:rsidP="003331C5">
      <w:pPr>
        <w:pStyle w:val="subsection"/>
        <w:rPr>
          <w:b/>
          <w:sz w:val="24"/>
        </w:rPr>
      </w:pPr>
      <w:r w:rsidRPr="00883399">
        <w:rPr>
          <w:sz w:val="24"/>
        </w:rPr>
        <w:tab/>
      </w:r>
      <w:r w:rsidRPr="00883399">
        <w:rPr>
          <w:sz w:val="24"/>
        </w:rPr>
        <w:tab/>
        <w:t>To calculate the amount of total waste deposited at a landfill, add the amount of legacy waste deposited at the landfill to the amount of non</w:t>
      </w:r>
      <w:r w:rsidRPr="00883399">
        <w:rPr>
          <w:sz w:val="24"/>
        </w:rPr>
        <w:noBreakHyphen/>
        <w:t>legacy waste deposited at the landfill.</w:t>
      </w:r>
    </w:p>
    <w:p w14:paraId="7C22AE26" w14:textId="77777777" w:rsidR="003331C5" w:rsidRPr="00883399" w:rsidRDefault="003331C5" w:rsidP="00872C03">
      <w:pPr>
        <w:pStyle w:val="subsection"/>
        <w:rPr>
          <w:sz w:val="24"/>
        </w:rPr>
      </w:pPr>
    </w:p>
    <w:p w14:paraId="597FD7D2" w14:textId="79FB64F8" w:rsidR="00872C03" w:rsidRPr="00883399" w:rsidRDefault="00872C03" w:rsidP="00872C03">
      <w:pPr>
        <w:pStyle w:val="ActHead2"/>
        <w:pageBreakBefore/>
        <w:rPr>
          <w:sz w:val="36"/>
        </w:rPr>
      </w:pPr>
      <w:bookmarkStart w:id="1215" w:name="_Toc423517187"/>
      <w:bookmarkStart w:id="1216" w:name="_Toc495653131"/>
      <w:r w:rsidRPr="00883399">
        <w:rPr>
          <w:rStyle w:val="CharPartNo"/>
          <w:sz w:val="36"/>
        </w:rPr>
        <w:lastRenderedPageBreak/>
        <w:t>Part 5.3</w:t>
      </w:r>
      <w:r w:rsidRPr="00883399">
        <w:rPr>
          <w:sz w:val="36"/>
        </w:rPr>
        <w:t>—</w:t>
      </w:r>
      <w:r w:rsidRPr="00883399">
        <w:rPr>
          <w:rStyle w:val="CharPartText"/>
          <w:sz w:val="36"/>
        </w:rPr>
        <w:t>Wastewater handling (domestic and commercial)</w:t>
      </w:r>
      <w:bookmarkEnd w:id="1215"/>
      <w:bookmarkEnd w:id="1216"/>
    </w:p>
    <w:p w14:paraId="18878269" w14:textId="721EA76C" w:rsidR="00872C03" w:rsidRPr="00883399" w:rsidRDefault="00872C03" w:rsidP="00872C03">
      <w:pPr>
        <w:pStyle w:val="ActHead3"/>
        <w:rPr>
          <w:sz w:val="32"/>
        </w:rPr>
      </w:pPr>
      <w:bookmarkStart w:id="1217" w:name="_Toc423517188"/>
      <w:bookmarkStart w:id="1218" w:name="_Toc495653132"/>
      <w:r w:rsidRPr="00883399">
        <w:rPr>
          <w:rStyle w:val="CharDivNo"/>
          <w:sz w:val="32"/>
        </w:rPr>
        <w:t>Division 5.3.1</w:t>
      </w:r>
      <w:r w:rsidRPr="00883399">
        <w:rPr>
          <w:sz w:val="32"/>
        </w:rPr>
        <w:t>—</w:t>
      </w:r>
      <w:r w:rsidRPr="00883399">
        <w:rPr>
          <w:rStyle w:val="CharDivText"/>
          <w:sz w:val="32"/>
        </w:rPr>
        <w:t>Preliminary</w:t>
      </w:r>
      <w:bookmarkEnd w:id="1217"/>
      <w:bookmarkEnd w:id="1218"/>
    </w:p>
    <w:p w14:paraId="21A2B7EF" w14:textId="51C5F874" w:rsidR="00872C03" w:rsidRPr="00883399" w:rsidRDefault="00872C03" w:rsidP="00872C03">
      <w:pPr>
        <w:pStyle w:val="ActHead5"/>
        <w:rPr>
          <w:sz w:val="28"/>
        </w:rPr>
      </w:pPr>
      <w:bookmarkStart w:id="1219" w:name="_Toc423517189"/>
      <w:bookmarkStart w:id="1220" w:name="_Toc495653133"/>
      <w:r w:rsidRPr="00883399">
        <w:rPr>
          <w:rStyle w:val="CharSectno"/>
          <w:sz w:val="28"/>
        </w:rPr>
        <w:t>5.23</w:t>
      </w:r>
      <w:r w:rsidRPr="00883399">
        <w:rPr>
          <w:sz w:val="28"/>
        </w:rPr>
        <w:t xml:space="preserve">  Application</w:t>
      </w:r>
      <w:bookmarkEnd w:id="1219"/>
      <w:bookmarkEnd w:id="1220"/>
    </w:p>
    <w:p w14:paraId="7A7711BB" w14:textId="77777777" w:rsidR="00872C03" w:rsidRPr="00883399" w:rsidRDefault="00872C03" w:rsidP="00872C03">
      <w:pPr>
        <w:pStyle w:val="subsection"/>
        <w:rPr>
          <w:sz w:val="24"/>
        </w:rPr>
      </w:pPr>
      <w:r w:rsidRPr="00883399">
        <w:rPr>
          <w:sz w:val="24"/>
        </w:rPr>
        <w:tab/>
        <w:t>(1)</w:t>
      </w:r>
      <w:r w:rsidRPr="00883399">
        <w:rPr>
          <w:sz w:val="24"/>
        </w:rPr>
        <w:tab/>
        <w:t>This Part applies to emissions released from the decomposition of organic material, nitrification and denitrification processes, and flaring of sludge biogas, resulting from the handling of domestic or commercial wastewater through:</w:t>
      </w:r>
    </w:p>
    <w:p w14:paraId="44F01ED5" w14:textId="77777777" w:rsidR="00872C03" w:rsidRPr="00883399" w:rsidRDefault="00872C03" w:rsidP="00872C03">
      <w:pPr>
        <w:pStyle w:val="paragraph"/>
        <w:rPr>
          <w:sz w:val="24"/>
        </w:rPr>
      </w:pPr>
      <w:r w:rsidRPr="00883399">
        <w:rPr>
          <w:sz w:val="24"/>
        </w:rPr>
        <w:tab/>
        <w:t>(a)</w:t>
      </w:r>
      <w:r w:rsidRPr="00883399">
        <w:rPr>
          <w:sz w:val="24"/>
        </w:rPr>
        <w:tab/>
        <w:t>treatment in wastewater collection and treatment systems; or</w:t>
      </w:r>
    </w:p>
    <w:p w14:paraId="4ADB9A6F" w14:textId="77777777" w:rsidR="00872C03" w:rsidRPr="00883399" w:rsidRDefault="00872C03" w:rsidP="00872C03">
      <w:pPr>
        <w:pStyle w:val="paragraph"/>
        <w:rPr>
          <w:sz w:val="24"/>
        </w:rPr>
      </w:pPr>
      <w:r w:rsidRPr="00883399">
        <w:rPr>
          <w:sz w:val="24"/>
        </w:rPr>
        <w:tab/>
        <w:t>(b)</w:t>
      </w:r>
      <w:r w:rsidRPr="00883399">
        <w:rPr>
          <w:sz w:val="24"/>
        </w:rPr>
        <w:tab/>
        <w:t>discharge into surface waters.</w:t>
      </w:r>
    </w:p>
    <w:p w14:paraId="65C071FC" w14:textId="77777777" w:rsidR="00872C03" w:rsidRPr="00883399" w:rsidRDefault="00872C03" w:rsidP="00872C03">
      <w:pPr>
        <w:pStyle w:val="subsection"/>
        <w:rPr>
          <w:sz w:val="24"/>
        </w:rPr>
      </w:pPr>
      <w:r w:rsidRPr="00883399">
        <w:rPr>
          <w:sz w:val="24"/>
        </w:rPr>
        <w:tab/>
        <w:t>(2)</w:t>
      </w:r>
      <w:r w:rsidRPr="00883399">
        <w:rPr>
          <w:sz w:val="24"/>
        </w:rPr>
        <w:tab/>
        <w:t xml:space="preserve">In this section, </w:t>
      </w:r>
      <w:r w:rsidRPr="00883399">
        <w:rPr>
          <w:b/>
          <w:i/>
          <w:sz w:val="24"/>
        </w:rPr>
        <w:t>domestic or commercial wastewater</w:t>
      </w:r>
      <w:r w:rsidRPr="00883399">
        <w:rPr>
          <w:sz w:val="24"/>
        </w:rPr>
        <w:t xml:space="preserve"> means liquid wastes and sludge (including human waste) from housing or commercial premises.</w:t>
      </w:r>
    </w:p>
    <w:p w14:paraId="22E1AC56" w14:textId="777A2C2F" w:rsidR="006C7995" w:rsidRPr="00883399" w:rsidRDefault="006C7995" w:rsidP="006C7995">
      <w:pPr>
        <w:pStyle w:val="Caption"/>
        <w:rPr>
          <w:rStyle w:val="CharSectno"/>
          <w:rFonts w:ascii="Arial" w:hAnsi="Arial" w:cs="Arial"/>
          <w:b w:val="0"/>
          <w:sz w:val="22"/>
          <w:szCs w:val="22"/>
        </w:rPr>
      </w:pPr>
      <w:bookmarkStart w:id="1221" w:name="_Toc329350827"/>
      <w:r w:rsidRPr="00883399">
        <w:rPr>
          <w:rStyle w:val="CharSectno"/>
          <w:rFonts w:ascii="Arial" w:hAnsi="Arial" w:cs="Arial"/>
          <w:b w:val="0"/>
          <w:sz w:val="22"/>
          <w:szCs w:val="22"/>
        </w:rPr>
        <w:t>Note: Part 5.3 is intended for use by centralised municipal wastewater treatment plants. Onsite industrial wastewater treatment is covered under part 5.4.</w:t>
      </w:r>
      <w:bookmarkEnd w:id="1221"/>
    </w:p>
    <w:p w14:paraId="469D2646" w14:textId="6F15C523" w:rsidR="00872C03" w:rsidRPr="00883399" w:rsidRDefault="00872C03" w:rsidP="00872C03">
      <w:pPr>
        <w:pStyle w:val="ActHead5"/>
        <w:rPr>
          <w:sz w:val="28"/>
        </w:rPr>
      </w:pPr>
      <w:bookmarkStart w:id="1222" w:name="_Toc423517190"/>
      <w:bookmarkStart w:id="1223" w:name="_Toc495653134"/>
      <w:r w:rsidRPr="00883399">
        <w:rPr>
          <w:rStyle w:val="CharSectno"/>
          <w:sz w:val="28"/>
        </w:rPr>
        <w:t>5.24</w:t>
      </w:r>
      <w:r w:rsidRPr="00883399">
        <w:rPr>
          <w:sz w:val="28"/>
        </w:rPr>
        <w:t xml:space="preserve">  Available methods</w:t>
      </w:r>
      <w:bookmarkEnd w:id="1222"/>
      <w:bookmarkEnd w:id="1223"/>
    </w:p>
    <w:p w14:paraId="15D22CC4" w14:textId="77777777" w:rsidR="00872C03" w:rsidRPr="00883399" w:rsidRDefault="00872C03" w:rsidP="00872C03">
      <w:pPr>
        <w:pStyle w:val="subsection"/>
        <w:rPr>
          <w:sz w:val="24"/>
        </w:rPr>
      </w:pPr>
      <w:r w:rsidRPr="00883399">
        <w:rPr>
          <w:sz w:val="24"/>
        </w:rPr>
        <w:tab/>
        <w:t>(1)</w:t>
      </w:r>
      <w:r w:rsidRPr="00883399">
        <w:rPr>
          <w:sz w:val="24"/>
        </w:rPr>
        <w:tab/>
        <w:t xml:space="preserve">Subject to section 1.18, for estimating emissions released from the operation of a facility that is constituted by wastewater handling (domestic and commercial) (the </w:t>
      </w:r>
      <w:r w:rsidRPr="00883399">
        <w:rPr>
          <w:b/>
          <w:i/>
          <w:sz w:val="24"/>
        </w:rPr>
        <w:t>plant</w:t>
      </w:r>
      <w:r w:rsidRPr="00883399">
        <w:rPr>
          <w:sz w:val="24"/>
        </w:rPr>
        <w:t>) during a year:</w:t>
      </w:r>
    </w:p>
    <w:p w14:paraId="3B0C0CCE" w14:textId="77777777" w:rsidR="00872C03" w:rsidRPr="00883399" w:rsidRDefault="00872C03" w:rsidP="00872C03">
      <w:pPr>
        <w:pStyle w:val="paragraph"/>
        <w:rPr>
          <w:sz w:val="24"/>
        </w:rPr>
      </w:pPr>
      <w:r w:rsidRPr="00883399">
        <w:rPr>
          <w:sz w:val="24"/>
        </w:rPr>
        <w:tab/>
        <w:t>(a)</w:t>
      </w:r>
      <w:r w:rsidRPr="00883399">
        <w:rPr>
          <w:sz w:val="24"/>
        </w:rPr>
        <w:tab/>
        <w:t>one of the following methods must be used for emissions of methane from the plant (other than from flaring of methane):</w:t>
      </w:r>
    </w:p>
    <w:p w14:paraId="58541E1D" w14:textId="77777777" w:rsidR="00872C03" w:rsidRPr="00883399" w:rsidRDefault="00872C03" w:rsidP="00872C03">
      <w:pPr>
        <w:pStyle w:val="paragraphsub"/>
        <w:rPr>
          <w:sz w:val="24"/>
        </w:rPr>
      </w:pPr>
      <w:r w:rsidRPr="00883399">
        <w:rPr>
          <w:sz w:val="24"/>
        </w:rPr>
        <w:tab/>
        <w:t>(i)</w:t>
      </w:r>
      <w:r w:rsidRPr="00883399">
        <w:rPr>
          <w:sz w:val="24"/>
        </w:rPr>
        <w:tab/>
        <w:t>method 1 under section 5.25;</w:t>
      </w:r>
    </w:p>
    <w:p w14:paraId="2E14323A" w14:textId="77777777" w:rsidR="00872C03" w:rsidRPr="00883399" w:rsidRDefault="00872C03" w:rsidP="00872C03">
      <w:pPr>
        <w:pStyle w:val="paragraphsub"/>
        <w:rPr>
          <w:sz w:val="24"/>
        </w:rPr>
      </w:pPr>
      <w:r w:rsidRPr="00883399">
        <w:rPr>
          <w:sz w:val="24"/>
        </w:rPr>
        <w:tab/>
        <w:t>(ii)</w:t>
      </w:r>
      <w:r w:rsidRPr="00883399">
        <w:rPr>
          <w:sz w:val="24"/>
        </w:rPr>
        <w:tab/>
        <w:t>method 2 under section 5.26;</w:t>
      </w:r>
    </w:p>
    <w:p w14:paraId="57D79FEE" w14:textId="77777777" w:rsidR="00872C03" w:rsidRPr="00883399" w:rsidRDefault="00872C03" w:rsidP="00872C03">
      <w:pPr>
        <w:pStyle w:val="paragraphsub"/>
        <w:rPr>
          <w:sz w:val="24"/>
        </w:rPr>
      </w:pPr>
      <w:r w:rsidRPr="00883399">
        <w:rPr>
          <w:sz w:val="24"/>
        </w:rPr>
        <w:tab/>
        <w:t>(iii)</w:t>
      </w:r>
      <w:r w:rsidRPr="00883399">
        <w:rPr>
          <w:sz w:val="24"/>
        </w:rPr>
        <w:tab/>
        <w:t>method 3 under section 5.30; and</w:t>
      </w:r>
    </w:p>
    <w:p w14:paraId="061F4488" w14:textId="77777777" w:rsidR="00872C03" w:rsidRPr="00883399" w:rsidRDefault="00872C03" w:rsidP="00872C03">
      <w:pPr>
        <w:pStyle w:val="paragraph"/>
        <w:rPr>
          <w:sz w:val="24"/>
        </w:rPr>
      </w:pPr>
      <w:r w:rsidRPr="00883399">
        <w:rPr>
          <w:sz w:val="24"/>
        </w:rPr>
        <w:tab/>
        <w:t>(b)</w:t>
      </w:r>
      <w:r w:rsidRPr="00883399">
        <w:rPr>
          <w:sz w:val="24"/>
        </w:rPr>
        <w:tab/>
        <w:t>one of the following methods must be used for emissions of nitrous oxide from the plant (other than from flaring of methane):</w:t>
      </w:r>
    </w:p>
    <w:p w14:paraId="7894CB6D" w14:textId="77777777" w:rsidR="00872C03" w:rsidRPr="00883399" w:rsidRDefault="00872C03" w:rsidP="00872C03">
      <w:pPr>
        <w:pStyle w:val="paragraphsub"/>
        <w:rPr>
          <w:sz w:val="24"/>
        </w:rPr>
      </w:pPr>
      <w:r w:rsidRPr="00883399">
        <w:rPr>
          <w:sz w:val="24"/>
        </w:rPr>
        <w:tab/>
        <w:t>(i)</w:t>
      </w:r>
      <w:r w:rsidRPr="00883399">
        <w:rPr>
          <w:sz w:val="24"/>
        </w:rPr>
        <w:tab/>
        <w:t>method 1 under section 5.31;</w:t>
      </w:r>
    </w:p>
    <w:p w14:paraId="7F4D135F" w14:textId="77777777" w:rsidR="00872C03" w:rsidRPr="00883399" w:rsidRDefault="00872C03" w:rsidP="00872C03">
      <w:pPr>
        <w:pStyle w:val="paragraphsub"/>
        <w:rPr>
          <w:sz w:val="24"/>
        </w:rPr>
      </w:pPr>
      <w:r w:rsidRPr="00883399">
        <w:rPr>
          <w:sz w:val="24"/>
        </w:rPr>
        <w:tab/>
        <w:t>(ii)</w:t>
      </w:r>
      <w:r w:rsidRPr="00883399">
        <w:rPr>
          <w:sz w:val="24"/>
        </w:rPr>
        <w:tab/>
        <w:t>method 2 under section 5.32;</w:t>
      </w:r>
    </w:p>
    <w:p w14:paraId="4AED309A" w14:textId="77777777" w:rsidR="00872C03" w:rsidRPr="00883399" w:rsidRDefault="00872C03" w:rsidP="00872C03">
      <w:pPr>
        <w:pStyle w:val="paragraphsub"/>
        <w:rPr>
          <w:sz w:val="24"/>
        </w:rPr>
      </w:pPr>
      <w:r w:rsidRPr="00883399">
        <w:rPr>
          <w:sz w:val="24"/>
        </w:rPr>
        <w:tab/>
        <w:t>(iii)</w:t>
      </w:r>
      <w:r w:rsidRPr="00883399">
        <w:rPr>
          <w:sz w:val="24"/>
        </w:rPr>
        <w:tab/>
        <w:t>method 3 under section 5.36; and</w:t>
      </w:r>
    </w:p>
    <w:p w14:paraId="086E5EFD" w14:textId="77777777" w:rsidR="001745EA" w:rsidRPr="00883399" w:rsidRDefault="001745EA" w:rsidP="00872C03">
      <w:pPr>
        <w:pStyle w:val="paragraphsub"/>
        <w:rPr>
          <w:sz w:val="24"/>
        </w:rPr>
      </w:pPr>
    </w:p>
    <w:p w14:paraId="0D3EB7A0" w14:textId="77777777" w:rsidR="001745EA" w:rsidRPr="00883399" w:rsidRDefault="001745EA" w:rsidP="00872C03">
      <w:pPr>
        <w:pStyle w:val="paragraphsub"/>
        <w:rPr>
          <w:sz w:val="24"/>
        </w:rPr>
      </w:pPr>
    </w:p>
    <w:p w14:paraId="3A1732F1" w14:textId="77777777" w:rsidR="001745EA" w:rsidRPr="00883399" w:rsidRDefault="001745EA" w:rsidP="00872C03">
      <w:pPr>
        <w:pStyle w:val="paragraphsub"/>
        <w:rPr>
          <w:sz w:val="24"/>
        </w:rPr>
      </w:pPr>
    </w:p>
    <w:p w14:paraId="270A1BC6" w14:textId="77777777" w:rsidR="001745EA" w:rsidRPr="00883399" w:rsidRDefault="001745EA" w:rsidP="00872C03">
      <w:pPr>
        <w:pStyle w:val="paragraphsub"/>
        <w:rPr>
          <w:sz w:val="24"/>
        </w:rPr>
      </w:pPr>
    </w:p>
    <w:p w14:paraId="49D834B3" w14:textId="77777777" w:rsidR="001745EA" w:rsidRPr="00883399" w:rsidRDefault="001745EA" w:rsidP="00872C03">
      <w:pPr>
        <w:pStyle w:val="paragraphsub"/>
        <w:rPr>
          <w:sz w:val="24"/>
        </w:rPr>
      </w:pPr>
    </w:p>
    <w:p w14:paraId="066A9298" w14:textId="77777777" w:rsidR="001745EA" w:rsidRPr="00883399" w:rsidRDefault="001745EA" w:rsidP="001745EA">
      <w:pPr>
        <w:rPr>
          <w:b/>
        </w:rPr>
      </w:pPr>
      <w:r w:rsidRPr="00883399">
        <w:rPr>
          <w:b/>
        </w:rPr>
        <w:lastRenderedPageBreak/>
        <w:t>Summary of available methods by emissions of gas type (j)</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2"/>
        <w:gridCol w:w="1238"/>
        <w:gridCol w:w="1320"/>
        <w:gridCol w:w="1435"/>
      </w:tblGrid>
      <w:tr w:rsidR="001745EA" w:rsidRPr="00883399" w14:paraId="667B1D60" w14:textId="77777777" w:rsidTr="00002D0E">
        <w:tc>
          <w:tcPr>
            <w:tcW w:w="1762" w:type="dxa"/>
            <w:shd w:val="clear" w:color="auto" w:fill="E6E6E6"/>
          </w:tcPr>
          <w:p w14:paraId="41868359" w14:textId="77777777" w:rsidR="001745EA" w:rsidRPr="00883399" w:rsidRDefault="001745EA" w:rsidP="00002D0E">
            <w:pPr>
              <w:pStyle w:val="Note"/>
              <w:ind w:left="0"/>
              <w:rPr>
                <w:b/>
                <w:color w:val="000000"/>
              </w:rPr>
            </w:pPr>
          </w:p>
        </w:tc>
        <w:tc>
          <w:tcPr>
            <w:tcW w:w="1238" w:type="dxa"/>
            <w:shd w:val="clear" w:color="auto" w:fill="E6E6E6"/>
          </w:tcPr>
          <w:p w14:paraId="6069B4AA" w14:textId="77777777" w:rsidR="001745EA" w:rsidRPr="00883399" w:rsidRDefault="001745EA" w:rsidP="00002D0E">
            <w:pPr>
              <w:pStyle w:val="Note"/>
              <w:ind w:left="0"/>
              <w:jc w:val="center"/>
              <w:rPr>
                <w:b/>
                <w:color w:val="000000"/>
              </w:rPr>
            </w:pPr>
            <w:r w:rsidRPr="00883399">
              <w:rPr>
                <w:b/>
                <w:color w:val="000000"/>
              </w:rPr>
              <w:t>CO</w:t>
            </w:r>
            <w:r w:rsidRPr="00883399">
              <w:rPr>
                <w:b/>
                <w:color w:val="000000"/>
                <w:vertAlign w:val="subscript"/>
              </w:rPr>
              <w:t>2</w:t>
            </w:r>
          </w:p>
        </w:tc>
        <w:tc>
          <w:tcPr>
            <w:tcW w:w="1320" w:type="dxa"/>
            <w:shd w:val="clear" w:color="auto" w:fill="E6E6E6"/>
          </w:tcPr>
          <w:p w14:paraId="5244B499" w14:textId="77777777" w:rsidR="001745EA" w:rsidRPr="00883399" w:rsidRDefault="001745EA" w:rsidP="00002D0E">
            <w:pPr>
              <w:pStyle w:val="Note"/>
              <w:ind w:left="0"/>
              <w:jc w:val="center"/>
              <w:rPr>
                <w:b/>
                <w:color w:val="000000"/>
              </w:rPr>
            </w:pPr>
            <w:r w:rsidRPr="00883399">
              <w:rPr>
                <w:b/>
                <w:color w:val="000000"/>
              </w:rPr>
              <w:t>CH</w:t>
            </w:r>
            <w:r w:rsidRPr="00883399">
              <w:rPr>
                <w:b/>
                <w:color w:val="000000"/>
                <w:vertAlign w:val="subscript"/>
              </w:rPr>
              <w:t>4</w:t>
            </w:r>
          </w:p>
        </w:tc>
        <w:tc>
          <w:tcPr>
            <w:tcW w:w="1435" w:type="dxa"/>
            <w:shd w:val="clear" w:color="auto" w:fill="E6E6E6"/>
          </w:tcPr>
          <w:p w14:paraId="30D13F6E" w14:textId="77777777" w:rsidR="001745EA" w:rsidRPr="00883399" w:rsidRDefault="001745EA" w:rsidP="00002D0E">
            <w:pPr>
              <w:pStyle w:val="Note"/>
              <w:ind w:left="0"/>
              <w:jc w:val="center"/>
              <w:rPr>
                <w:b/>
                <w:color w:val="000000"/>
              </w:rPr>
            </w:pPr>
            <w:r w:rsidRPr="00883399">
              <w:rPr>
                <w:b/>
                <w:color w:val="000000"/>
              </w:rPr>
              <w:t>N</w:t>
            </w:r>
            <w:r w:rsidRPr="00883399">
              <w:rPr>
                <w:b/>
                <w:color w:val="000000"/>
                <w:vertAlign w:val="subscript"/>
              </w:rPr>
              <w:t>2</w:t>
            </w:r>
            <w:r w:rsidRPr="00883399">
              <w:rPr>
                <w:b/>
                <w:color w:val="000000"/>
              </w:rPr>
              <w:t>O</w:t>
            </w:r>
          </w:p>
        </w:tc>
      </w:tr>
      <w:tr w:rsidR="001745EA" w:rsidRPr="00883399" w14:paraId="7ECB1AD8" w14:textId="77777777" w:rsidTr="00002D0E">
        <w:tc>
          <w:tcPr>
            <w:tcW w:w="5755" w:type="dxa"/>
            <w:gridSpan w:val="4"/>
          </w:tcPr>
          <w:p w14:paraId="1C22D17B" w14:textId="77777777" w:rsidR="001745EA" w:rsidRPr="00883399" w:rsidRDefault="001745EA" w:rsidP="00002D0E">
            <w:pPr>
              <w:pStyle w:val="Note"/>
              <w:ind w:left="0"/>
              <w:jc w:val="center"/>
              <w:rPr>
                <w:i/>
                <w:color w:val="000000"/>
              </w:rPr>
            </w:pPr>
            <w:r w:rsidRPr="00883399">
              <w:rPr>
                <w:i/>
                <w:color w:val="000000"/>
              </w:rPr>
              <w:t>Domestic and Commercial waste water management</w:t>
            </w:r>
          </w:p>
        </w:tc>
      </w:tr>
      <w:tr w:rsidR="001745EA" w:rsidRPr="00883399" w14:paraId="3A427FC6" w14:textId="77777777" w:rsidTr="00002D0E">
        <w:tc>
          <w:tcPr>
            <w:tcW w:w="1762" w:type="dxa"/>
          </w:tcPr>
          <w:p w14:paraId="50D1D564" w14:textId="77777777" w:rsidR="001745EA" w:rsidRPr="00883399" w:rsidRDefault="001745EA" w:rsidP="00002D0E">
            <w:pPr>
              <w:pStyle w:val="Note"/>
              <w:ind w:left="0"/>
              <w:rPr>
                <w:color w:val="000000"/>
              </w:rPr>
            </w:pPr>
            <w:r w:rsidRPr="00883399">
              <w:rPr>
                <w:color w:val="000000"/>
              </w:rPr>
              <w:t>Method 1</w:t>
            </w:r>
          </w:p>
        </w:tc>
        <w:tc>
          <w:tcPr>
            <w:tcW w:w="1238" w:type="dxa"/>
          </w:tcPr>
          <w:p w14:paraId="1CF44029" w14:textId="77777777" w:rsidR="001745EA" w:rsidRPr="00883399" w:rsidRDefault="001745EA" w:rsidP="00002D0E">
            <w:pPr>
              <w:pStyle w:val="Note"/>
              <w:ind w:left="0"/>
              <w:jc w:val="center"/>
              <w:rPr>
                <w:color w:val="000000"/>
              </w:rPr>
            </w:pPr>
            <w:r w:rsidRPr="00883399">
              <w:rPr>
                <w:color w:val="000000"/>
              </w:rPr>
              <w:t>NA</w:t>
            </w:r>
          </w:p>
        </w:tc>
        <w:tc>
          <w:tcPr>
            <w:tcW w:w="1320" w:type="dxa"/>
          </w:tcPr>
          <w:p w14:paraId="614E2EC6" w14:textId="77777777" w:rsidR="001745EA" w:rsidRPr="00883399" w:rsidRDefault="001745EA" w:rsidP="00002D0E">
            <w:pPr>
              <w:pStyle w:val="Note"/>
              <w:ind w:left="0"/>
              <w:jc w:val="center"/>
              <w:rPr>
                <w:color w:val="000000"/>
              </w:rPr>
            </w:pPr>
            <w:r w:rsidRPr="00883399">
              <w:rPr>
                <w:color w:val="000000"/>
              </w:rPr>
              <w:t>Section 5.25</w:t>
            </w:r>
          </w:p>
        </w:tc>
        <w:tc>
          <w:tcPr>
            <w:tcW w:w="1435" w:type="dxa"/>
          </w:tcPr>
          <w:p w14:paraId="0F653F85" w14:textId="77777777" w:rsidR="001745EA" w:rsidRPr="00883399" w:rsidRDefault="001745EA" w:rsidP="00002D0E">
            <w:pPr>
              <w:pStyle w:val="Note"/>
              <w:ind w:left="0"/>
              <w:jc w:val="center"/>
              <w:rPr>
                <w:color w:val="000000"/>
              </w:rPr>
            </w:pPr>
            <w:r w:rsidRPr="00883399">
              <w:rPr>
                <w:color w:val="000000"/>
              </w:rPr>
              <w:t>Section 5.31</w:t>
            </w:r>
          </w:p>
        </w:tc>
      </w:tr>
      <w:tr w:rsidR="001745EA" w:rsidRPr="00883399" w14:paraId="00AC7636" w14:textId="77777777" w:rsidTr="00002D0E">
        <w:tc>
          <w:tcPr>
            <w:tcW w:w="1762" w:type="dxa"/>
          </w:tcPr>
          <w:p w14:paraId="242C9A16" w14:textId="77777777" w:rsidR="001745EA" w:rsidRPr="00883399" w:rsidRDefault="001745EA" w:rsidP="00002D0E">
            <w:pPr>
              <w:pStyle w:val="Note"/>
              <w:ind w:left="0"/>
              <w:rPr>
                <w:color w:val="000000"/>
              </w:rPr>
            </w:pPr>
            <w:r w:rsidRPr="00883399">
              <w:rPr>
                <w:color w:val="000000"/>
              </w:rPr>
              <w:t>Method 2</w:t>
            </w:r>
          </w:p>
        </w:tc>
        <w:tc>
          <w:tcPr>
            <w:tcW w:w="1238" w:type="dxa"/>
          </w:tcPr>
          <w:p w14:paraId="5E1FF896" w14:textId="77777777" w:rsidR="001745EA" w:rsidRPr="00883399" w:rsidRDefault="001745EA" w:rsidP="00002D0E">
            <w:pPr>
              <w:pStyle w:val="Note"/>
              <w:ind w:left="0"/>
              <w:jc w:val="center"/>
              <w:rPr>
                <w:color w:val="000000"/>
              </w:rPr>
            </w:pPr>
            <w:r w:rsidRPr="00883399">
              <w:rPr>
                <w:color w:val="000000"/>
              </w:rPr>
              <w:t>NA</w:t>
            </w:r>
          </w:p>
        </w:tc>
        <w:tc>
          <w:tcPr>
            <w:tcW w:w="1320" w:type="dxa"/>
          </w:tcPr>
          <w:p w14:paraId="0B906DFC" w14:textId="77777777" w:rsidR="001745EA" w:rsidRPr="00883399" w:rsidRDefault="001745EA" w:rsidP="00002D0E">
            <w:pPr>
              <w:pStyle w:val="Note"/>
              <w:ind w:left="0"/>
              <w:jc w:val="center"/>
              <w:rPr>
                <w:color w:val="000000"/>
              </w:rPr>
            </w:pPr>
            <w:r w:rsidRPr="00883399">
              <w:rPr>
                <w:color w:val="000000"/>
              </w:rPr>
              <w:t>Section 5.26</w:t>
            </w:r>
          </w:p>
        </w:tc>
        <w:tc>
          <w:tcPr>
            <w:tcW w:w="1435" w:type="dxa"/>
          </w:tcPr>
          <w:p w14:paraId="3ED807B5" w14:textId="77777777" w:rsidR="001745EA" w:rsidRPr="00883399" w:rsidRDefault="001745EA" w:rsidP="00002D0E">
            <w:pPr>
              <w:pStyle w:val="Note"/>
              <w:ind w:left="0"/>
              <w:jc w:val="center"/>
              <w:rPr>
                <w:color w:val="000000"/>
              </w:rPr>
            </w:pPr>
            <w:r w:rsidRPr="00883399">
              <w:rPr>
                <w:color w:val="000000"/>
              </w:rPr>
              <w:t>Section 5.32</w:t>
            </w:r>
          </w:p>
        </w:tc>
      </w:tr>
      <w:tr w:rsidR="001745EA" w:rsidRPr="00883399" w14:paraId="5DB5249C" w14:textId="77777777" w:rsidTr="00002D0E">
        <w:tc>
          <w:tcPr>
            <w:tcW w:w="1762" w:type="dxa"/>
          </w:tcPr>
          <w:p w14:paraId="733FA5B8" w14:textId="77777777" w:rsidR="001745EA" w:rsidRPr="00883399" w:rsidRDefault="001745EA" w:rsidP="00002D0E">
            <w:pPr>
              <w:pStyle w:val="Note"/>
              <w:ind w:left="0"/>
              <w:rPr>
                <w:color w:val="000000"/>
              </w:rPr>
            </w:pPr>
            <w:r w:rsidRPr="00883399">
              <w:rPr>
                <w:color w:val="000000"/>
              </w:rPr>
              <w:t>Method 3</w:t>
            </w:r>
          </w:p>
        </w:tc>
        <w:tc>
          <w:tcPr>
            <w:tcW w:w="1238" w:type="dxa"/>
          </w:tcPr>
          <w:p w14:paraId="6BC57536" w14:textId="77777777" w:rsidR="001745EA" w:rsidRPr="00883399" w:rsidRDefault="001745EA" w:rsidP="00002D0E">
            <w:pPr>
              <w:pStyle w:val="Note"/>
              <w:ind w:left="0"/>
              <w:jc w:val="center"/>
              <w:rPr>
                <w:color w:val="000000"/>
              </w:rPr>
            </w:pPr>
            <w:r w:rsidRPr="00883399">
              <w:rPr>
                <w:color w:val="000000"/>
              </w:rPr>
              <w:t>NA</w:t>
            </w:r>
          </w:p>
        </w:tc>
        <w:tc>
          <w:tcPr>
            <w:tcW w:w="1320" w:type="dxa"/>
          </w:tcPr>
          <w:p w14:paraId="112E7741" w14:textId="77777777" w:rsidR="001745EA" w:rsidRPr="00883399" w:rsidRDefault="001745EA" w:rsidP="00002D0E">
            <w:pPr>
              <w:pStyle w:val="Note"/>
              <w:ind w:left="0"/>
              <w:jc w:val="center"/>
              <w:rPr>
                <w:color w:val="000000"/>
              </w:rPr>
            </w:pPr>
            <w:r w:rsidRPr="00883399">
              <w:rPr>
                <w:color w:val="000000"/>
              </w:rPr>
              <w:t>Section 5.30</w:t>
            </w:r>
          </w:p>
        </w:tc>
        <w:tc>
          <w:tcPr>
            <w:tcW w:w="1435" w:type="dxa"/>
          </w:tcPr>
          <w:p w14:paraId="3EA1BBF9" w14:textId="77777777" w:rsidR="001745EA" w:rsidRPr="00883399" w:rsidRDefault="001745EA" w:rsidP="00002D0E">
            <w:pPr>
              <w:pStyle w:val="Note"/>
              <w:ind w:left="0"/>
              <w:jc w:val="center"/>
              <w:rPr>
                <w:color w:val="000000"/>
              </w:rPr>
            </w:pPr>
            <w:r w:rsidRPr="00883399">
              <w:rPr>
                <w:color w:val="000000"/>
              </w:rPr>
              <w:t>Section 5.36</w:t>
            </w:r>
          </w:p>
        </w:tc>
      </w:tr>
      <w:tr w:rsidR="001745EA" w:rsidRPr="00883399" w14:paraId="4E91A73D" w14:textId="77777777" w:rsidTr="00002D0E">
        <w:tc>
          <w:tcPr>
            <w:tcW w:w="1762" w:type="dxa"/>
          </w:tcPr>
          <w:p w14:paraId="094A56C2" w14:textId="77777777" w:rsidR="001745EA" w:rsidRPr="00883399" w:rsidRDefault="001745EA" w:rsidP="00002D0E">
            <w:pPr>
              <w:pStyle w:val="Note"/>
              <w:ind w:left="0"/>
              <w:rPr>
                <w:color w:val="000000"/>
              </w:rPr>
            </w:pPr>
            <w:r w:rsidRPr="00883399">
              <w:rPr>
                <w:color w:val="000000"/>
              </w:rPr>
              <w:t>Method 4</w:t>
            </w:r>
          </w:p>
        </w:tc>
        <w:tc>
          <w:tcPr>
            <w:tcW w:w="1238" w:type="dxa"/>
          </w:tcPr>
          <w:p w14:paraId="03EEFB0A" w14:textId="77777777" w:rsidR="001745EA" w:rsidRPr="00883399" w:rsidRDefault="001745EA" w:rsidP="00002D0E">
            <w:pPr>
              <w:pStyle w:val="Note"/>
              <w:ind w:left="0"/>
              <w:jc w:val="center"/>
              <w:rPr>
                <w:color w:val="000000"/>
              </w:rPr>
            </w:pPr>
            <w:r w:rsidRPr="00883399">
              <w:rPr>
                <w:color w:val="000000"/>
              </w:rPr>
              <w:t xml:space="preserve">NA </w:t>
            </w:r>
          </w:p>
        </w:tc>
        <w:tc>
          <w:tcPr>
            <w:tcW w:w="1320" w:type="dxa"/>
          </w:tcPr>
          <w:p w14:paraId="022168B5" w14:textId="77777777" w:rsidR="001745EA" w:rsidRPr="00883399" w:rsidRDefault="001745EA" w:rsidP="00002D0E">
            <w:pPr>
              <w:pStyle w:val="Note"/>
              <w:ind w:left="0"/>
              <w:jc w:val="center"/>
              <w:rPr>
                <w:color w:val="000000"/>
              </w:rPr>
            </w:pPr>
            <w:r w:rsidRPr="00883399">
              <w:rPr>
                <w:color w:val="000000"/>
              </w:rPr>
              <w:t>NA</w:t>
            </w:r>
          </w:p>
        </w:tc>
        <w:tc>
          <w:tcPr>
            <w:tcW w:w="1435" w:type="dxa"/>
          </w:tcPr>
          <w:p w14:paraId="56BA9276" w14:textId="77777777" w:rsidR="001745EA" w:rsidRPr="00883399" w:rsidRDefault="001745EA" w:rsidP="00002D0E">
            <w:pPr>
              <w:pStyle w:val="Note"/>
              <w:ind w:left="0"/>
              <w:jc w:val="center"/>
              <w:rPr>
                <w:color w:val="000000"/>
              </w:rPr>
            </w:pPr>
            <w:r w:rsidRPr="00883399">
              <w:rPr>
                <w:color w:val="000000"/>
              </w:rPr>
              <w:t>NA</w:t>
            </w:r>
          </w:p>
        </w:tc>
      </w:tr>
      <w:tr w:rsidR="001745EA" w:rsidRPr="00883399" w14:paraId="084B2C54" w14:textId="77777777" w:rsidTr="00002D0E">
        <w:tc>
          <w:tcPr>
            <w:tcW w:w="5755" w:type="dxa"/>
            <w:gridSpan w:val="4"/>
          </w:tcPr>
          <w:p w14:paraId="44C9AEFE" w14:textId="77777777" w:rsidR="001745EA" w:rsidRPr="00883399" w:rsidRDefault="001745EA" w:rsidP="00002D0E">
            <w:pPr>
              <w:pStyle w:val="Note"/>
              <w:ind w:left="0"/>
              <w:jc w:val="center"/>
              <w:rPr>
                <w:i/>
                <w:color w:val="000000"/>
              </w:rPr>
            </w:pPr>
            <w:r w:rsidRPr="00883399">
              <w:rPr>
                <w:i/>
                <w:color w:val="000000"/>
              </w:rPr>
              <w:t>Methane flared from the operation of the facility</w:t>
            </w:r>
          </w:p>
        </w:tc>
      </w:tr>
      <w:tr w:rsidR="001745EA" w:rsidRPr="00883399" w14:paraId="0050959B" w14:textId="77777777" w:rsidTr="00002D0E">
        <w:tc>
          <w:tcPr>
            <w:tcW w:w="1762" w:type="dxa"/>
          </w:tcPr>
          <w:p w14:paraId="46F05520" w14:textId="77777777" w:rsidR="001745EA" w:rsidRPr="00883399" w:rsidRDefault="001745EA" w:rsidP="00002D0E">
            <w:pPr>
              <w:pStyle w:val="Note"/>
              <w:ind w:left="0"/>
              <w:rPr>
                <w:color w:val="000000"/>
              </w:rPr>
            </w:pPr>
            <w:r w:rsidRPr="00883399">
              <w:rPr>
                <w:color w:val="000000"/>
              </w:rPr>
              <w:t>Method 1</w:t>
            </w:r>
          </w:p>
        </w:tc>
        <w:tc>
          <w:tcPr>
            <w:tcW w:w="1238" w:type="dxa"/>
          </w:tcPr>
          <w:p w14:paraId="0CFE98D3" w14:textId="77777777" w:rsidR="001745EA" w:rsidRPr="00883399" w:rsidRDefault="001745EA" w:rsidP="00002D0E">
            <w:pPr>
              <w:pStyle w:val="Note"/>
              <w:ind w:left="0"/>
              <w:jc w:val="center"/>
              <w:rPr>
                <w:color w:val="000000"/>
              </w:rPr>
            </w:pPr>
            <w:r w:rsidRPr="00883399">
              <w:rPr>
                <w:color w:val="000000"/>
              </w:rPr>
              <w:t>NA</w:t>
            </w:r>
          </w:p>
        </w:tc>
        <w:tc>
          <w:tcPr>
            <w:tcW w:w="1320" w:type="dxa"/>
          </w:tcPr>
          <w:p w14:paraId="1E399538" w14:textId="77777777" w:rsidR="001745EA" w:rsidRPr="00883399" w:rsidRDefault="001745EA" w:rsidP="00002D0E">
            <w:pPr>
              <w:pStyle w:val="Note"/>
              <w:ind w:left="0"/>
              <w:jc w:val="center"/>
              <w:rPr>
                <w:color w:val="000000"/>
              </w:rPr>
            </w:pPr>
            <w:r w:rsidRPr="00883399">
              <w:rPr>
                <w:color w:val="000000"/>
              </w:rPr>
              <w:t>Section 5.37</w:t>
            </w:r>
          </w:p>
        </w:tc>
        <w:tc>
          <w:tcPr>
            <w:tcW w:w="1435" w:type="dxa"/>
          </w:tcPr>
          <w:p w14:paraId="221E5286" w14:textId="77777777" w:rsidR="001745EA" w:rsidRPr="00883399" w:rsidRDefault="001745EA" w:rsidP="00002D0E">
            <w:pPr>
              <w:pStyle w:val="Note"/>
              <w:ind w:left="0"/>
              <w:jc w:val="center"/>
              <w:rPr>
                <w:color w:val="000000"/>
              </w:rPr>
            </w:pPr>
            <w:r w:rsidRPr="00883399">
              <w:rPr>
                <w:color w:val="000000"/>
              </w:rPr>
              <w:t>Section 5.37</w:t>
            </w:r>
          </w:p>
        </w:tc>
      </w:tr>
      <w:tr w:rsidR="001745EA" w:rsidRPr="00883399" w14:paraId="09A814BE" w14:textId="77777777" w:rsidTr="00002D0E">
        <w:tc>
          <w:tcPr>
            <w:tcW w:w="1762" w:type="dxa"/>
          </w:tcPr>
          <w:p w14:paraId="2E881441" w14:textId="77777777" w:rsidR="001745EA" w:rsidRPr="00883399" w:rsidRDefault="001745EA" w:rsidP="00002D0E">
            <w:pPr>
              <w:pStyle w:val="Note"/>
              <w:ind w:left="0"/>
              <w:rPr>
                <w:color w:val="000000"/>
              </w:rPr>
            </w:pPr>
            <w:r w:rsidRPr="00883399">
              <w:rPr>
                <w:color w:val="000000"/>
              </w:rPr>
              <w:t>Method 2</w:t>
            </w:r>
          </w:p>
        </w:tc>
        <w:tc>
          <w:tcPr>
            <w:tcW w:w="1238" w:type="dxa"/>
          </w:tcPr>
          <w:p w14:paraId="357DDD41" w14:textId="77777777" w:rsidR="001745EA" w:rsidRPr="00883399" w:rsidRDefault="001745EA" w:rsidP="00002D0E">
            <w:pPr>
              <w:pStyle w:val="Note"/>
              <w:ind w:left="0"/>
              <w:jc w:val="center"/>
              <w:rPr>
                <w:color w:val="000000"/>
              </w:rPr>
            </w:pPr>
            <w:r w:rsidRPr="00883399">
              <w:rPr>
                <w:color w:val="000000"/>
              </w:rPr>
              <w:t>NA</w:t>
            </w:r>
          </w:p>
        </w:tc>
        <w:tc>
          <w:tcPr>
            <w:tcW w:w="1320" w:type="dxa"/>
          </w:tcPr>
          <w:p w14:paraId="389DCE18" w14:textId="77777777" w:rsidR="001745EA" w:rsidRPr="00883399" w:rsidRDefault="001745EA" w:rsidP="00002D0E">
            <w:pPr>
              <w:pStyle w:val="Note"/>
              <w:ind w:left="0"/>
              <w:jc w:val="center"/>
              <w:rPr>
                <w:color w:val="000000"/>
              </w:rPr>
            </w:pPr>
            <w:r w:rsidRPr="00883399">
              <w:rPr>
                <w:color w:val="000000"/>
              </w:rPr>
              <w:t>Section 5.38</w:t>
            </w:r>
          </w:p>
        </w:tc>
        <w:tc>
          <w:tcPr>
            <w:tcW w:w="1435" w:type="dxa"/>
          </w:tcPr>
          <w:p w14:paraId="18F85380" w14:textId="77777777" w:rsidR="001745EA" w:rsidRPr="00883399" w:rsidRDefault="001745EA" w:rsidP="00002D0E">
            <w:pPr>
              <w:pStyle w:val="Note"/>
              <w:ind w:left="0"/>
              <w:jc w:val="center"/>
              <w:rPr>
                <w:color w:val="000000"/>
              </w:rPr>
            </w:pPr>
            <w:r w:rsidRPr="00883399">
              <w:rPr>
                <w:color w:val="000000"/>
              </w:rPr>
              <w:t>Section 5.38</w:t>
            </w:r>
          </w:p>
        </w:tc>
      </w:tr>
      <w:tr w:rsidR="001745EA" w:rsidRPr="00883399" w14:paraId="2F26E4C3" w14:textId="77777777" w:rsidTr="00002D0E">
        <w:tc>
          <w:tcPr>
            <w:tcW w:w="1762" w:type="dxa"/>
          </w:tcPr>
          <w:p w14:paraId="10307C31" w14:textId="77777777" w:rsidR="001745EA" w:rsidRPr="00883399" w:rsidRDefault="001745EA" w:rsidP="00002D0E">
            <w:pPr>
              <w:pStyle w:val="Note"/>
              <w:ind w:left="0"/>
              <w:rPr>
                <w:color w:val="000000"/>
              </w:rPr>
            </w:pPr>
            <w:r w:rsidRPr="00883399">
              <w:rPr>
                <w:color w:val="000000"/>
              </w:rPr>
              <w:t>Method 3</w:t>
            </w:r>
          </w:p>
        </w:tc>
        <w:tc>
          <w:tcPr>
            <w:tcW w:w="1238" w:type="dxa"/>
          </w:tcPr>
          <w:p w14:paraId="2F191C00" w14:textId="77777777" w:rsidR="001745EA" w:rsidRPr="00883399" w:rsidRDefault="001745EA" w:rsidP="00002D0E">
            <w:pPr>
              <w:pStyle w:val="Note"/>
              <w:ind w:left="0"/>
              <w:jc w:val="center"/>
              <w:rPr>
                <w:color w:val="000000"/>
              </w:rPr>
            </w:pPr>
            <w:r w:rsidRPr="00883399">
              <w:rPr>
                <w:color w:val="000000"/>
              </w:rPr>
              <w:t>NA</w:t>
            </w:r>
          </w:p>
        </w:tc>
        <w:tc>
          <w:tcPr>
            <w:tcW w:w="1320" w:type="dxa"/>
          </w:tcPr>
          <w:p w14:paraId="7153E851" w14:textId="77777777" w:rsidR="001745EA" w:rsidRPr="00883399" w:rsidRDefault="001745EA" w:rsidP="00002D0E">
            <w:pPr>
              <w:pStyle w:val="Note"/>
              <w:ind w:left="0"/>
              <w:jc w:val="center"/>
              <w:rPr>
                <w:color w:val="000000"/>
              </w:rPr>
            </w:pPr>
            <w:r w:rsidRPr="00883399">
              <w:rPr>
                <w:color w:val="000000"/>
              </w:rPr>
              <w:t>Section 5.39</w:t>
            </w:r>
          </w:p>
        </w:tc>
        <w:tc>
          <w:tcPr>
            <w:tcW w:w="1435" w:type="dxa"/>
          </w:tcPr>
          <w:p w14:paraId="3B044DBB" w14:textId="77777777" w:rsidR="001745EA" w:rsidRPr="00883399" w:rsidRDefault="001745EA" w:rsidP="00002D0E">
            <w:pPr>
              <w:pStyle w:val="Note"/>
              <w:ind w:left="0"/>
              <w:jc w:val="center"/>
              <w:rPr>
                <w:color w:val="000000"/>
              </w:rPr>
            </w:pPr>
            <w:r w:rsidRPr="00883399">
              <w:rPr>
                <w:color w:val="000000"/>
              </w:rPr>
              <w:t>Section 5.39</w:t>
            </w:r>
          </w:p>
        </w:tc>
      </w:tr>
      <w:tr w:rsidR="001745EA" w:rsidRPr="00883399" w14:paraId="6B7455A2" w14:textId="77777777" w:rsidTr="00002D0E">
        <w:tc>
          <w:tcPr>
            <w:tcW w:w="1762" w:type="dxa"/>
          </w:tcPr>
          <w:p w14:paraId="0222E0EA" w14:textId="77777777" w:rsidR="001745EA" w:rsidRPr="00883399" w:rsidRDefault="001745EA" w:rsidP="00002D0E">
            <w:pPr>
              <w:pStyle w:val="Note"/>
              <w:ind w:left="0"/>
              <w:rPr>
                <w:color w:val="000000"/>
              </w:rPr>
            </w:pPr>
            <w:r w:rsidRPr="00883399">
              <w:rPr>
                <w:color w:val="000000"/>
              </w:rPr>
              <w:t>Method 4</w:t>
            </w:r>
          </w:p>
        </w:tc>
        <w:tc>
          <w:tcPr>
            <w:tcW w:w="1238" w:type="dxa"/>
          </w:tcPr>
          <w:p w14:paraId="0F1B1CD8" w14:textId="77777777" w:rsidR="001745EA" w:rsidRPr="00883399" w:rsidRDefault="001745EA" w:rsidP="00002D0E">
            <w:pPr>
              <w:pStyle w:val="Note"/>
              <w:ind w:left="0"/>
              <w:jc w:val="center"/>
              <w:rPr>
                <w:color w:val="000000"/>
              </w:rPr>
            </w:pPr>
            <w:r w:rsidRPr="00883399">
              <w:rPr>
                <w:color w:val="000000"/>
              </w:rPr>
              <w:t>NA</w:t>
            </w:r>
          </w:p>
        </w:tc>
        <w:tc>
          <w:tcPr>
            <w:tcW w:w="1320" w:type="dxa"/>
          </w:tcPr>
          <w:p w14:paraId="1E2E47EA" w14:textId="77777777" w:rsidR="001745EA" w:rsidRPr="00883399" w:rsidRDefault="001745EA" w:rsidP="00002D0E">
            <w:pPr>
              <w:pStyle w:val="Note"/>
              <w:ind w:left="0"/>
              <w:jc w:val="center"/>
              <w:rPr>
                <w:color w:val="000000"/>
              </w:rPr>
            </w:pPr>
            <w:r w:rsidRPr="00883399">
              <w:rPr>
                <w:color w:val="000000"/>
              </w:rPr>
              <w:t>NA</w:t>
            </w:r>
          </w:p>
        </w:tc>
        <w:tc>
          <w:tcPr>
            <w:tcW w:w="1435" w:type="dxa"/>
          </w:tcPr>
          <w:p w14:paraId="7089A463" w14:textId="77777777" w:rsidR="001745EA" w:rsidRPr="00883399" w:rsidRDefault="001745EA" w:rsidP="00002D0E">
            <w:pPr>
              <w:pStyle w:val="Note"/>
              <w:ind w:left="0"/>
              <w:jc w:val="center"/>
              <w:rPr>
                <w:color w:val="000000"/>
              </w:rPr>
            </w:pPr>
            <w:r w:rsidRPr="00883399">
              <w:rPr>
                <w:color w:val="000000"/>
              </w:rPr>
              <w:t>NA</w:t>
            </w:r>
          </w:p>
        </w:tc>
      </w:tr>
    </w:tbl>
    <w:p w14:paraId="690628CD" w14:textId="77777777" w:rsidR="001745EA" w:rsidRPr="00883399" w:rsidRDefault="001745EA" w:rsidP="001745EA">
      <w:pPr>
        <w:pStyle w:val="R2"/>
        <w:ind w:hanging="4"/>
        <w:rPr>
          <w:color w:val="000000"/>
          <w:sz w:val="20"/>
          <w:szCs w:val="20"/>
        </w:rPr>
      </w:pPr>
      <w:r w:rsidRPr="00883399">
        <w:rPr>
          <w:color w:val="000000"/>
          <w:sz w:val="20"/>
          <w:szCs w:val="20"/>
        </w:rPr>
        <w:tab/>
        <w:t>NA = Not available. NO = Not occurring.</w:t>
      </w:r>
    </w:p>
    <w:p w14:paraId="2C58318A" w14:textId="77777777" w:rsidR="001745EA" w:rsidRPr="00883399" w:rsidRDefault="001745EA" w:rsidP="00872C03">
      <w:pPr>
        <w:pStyle w:val="paragraphsub"/>
        <w:rPr>
          <w:sz w:val="24"/>
        </w:rPr>
      </w:pPr>
    </w:p>
    <w:p w14:paraId="4E7158A5" w14:textId="77777777" w:rsidR="00872C03" w:rsidRPr="00883399" w:rsidRDefault="00872C03" w:rsidP="00872C03">
      <w:pPr>
        <w:pStyle w:val="paragraph"/>
        <w:rPr>
          <w:sz w:val="24"/>
        </w:rPr>
      </w:pPr>
      <w:r w:rsidRPr="00883399">
        <w:rPr>
          <w:sz w:val="24"/>
        </w:rPr>
        <w:tab/>
        <w:t>(c)</w:t>
      </w:r>
      <w:r w:rsidRPr="00883399">
        <w:rPr>
          <w:sz w:val="24"/>
        </w:rPr>
        <w:tab/>
        <w:t>one of the following methods must be used for emissions for each gas type as a result of methane flared from the plant:</w:t>
      </w:r>
    </w:p>
    <w:p w14:paraId="6D627FCA" w14:textId="77777777" w:rsidR="00872C03" w:rsidRPr="00883399" w:rsidRDefault="00872C03" w:rsidP="00872C03">
      <w:pPr>
        <w:pStyle w:val="paragraphsub"/>
        <w:rPr>
          <w:sz w:val="24"/>
        </w:rPr>
      </w:pPr>
      <w:r w:rsidRPr="00883399">
        <w:rPr>
          <w:sz w:val="24"/>
        </w:rPr>
        <w:tab/>
        <w:t>(i)</w:t>
      </w:r>
      <w:r w:rsidRPr="00883399">
        <w:rPr>
          <w:sz w:val="24"/>
        </w:rPr>
        <w:tab/>
        <w:t>method 1 under section 5.37;</w:t>
      </w:r>
    </w:p>
    <w:p w14:paraId="76CD5E04" w14:textId="77777777" w:rsidR="00872C03" w:rsidRPr="00883399" w:rsidRDefault="00872C03" w:rsidP="00872C03">
      <w:pPr>
        <w:pStyle w:val="paragraphsub"/>
        <w:rPr>
          <w:sz w:val="24"/>
        </w:rPr>
      </w:pPr>
      <w:r w:rsidRPr="00883399">
        <w:rPr>
          <w:sz w:val="24"/>
        </w:rPr>
        <w:tab/>
        <w:t>(ii)</w:t>
      </w:r>
      <w:r w:rsidRPr="00883399">
        <w:rPr>
          <w:sz w:val="24"/>
        </w:rPr>
        <w:tab/>
        <w:t>method 2 under section 5.38;</w:t>
      </w:r>
    </w:p>
    <w:p w14:paraId="3F9CC68D" w14:textId="77777777" w:rsidR="00872C03" w:rsidRPr="00883399" w:rsidRDefault="00872C03" w:rsidP="00872C03">
      <w:pPr>
        <w:pStyle w:val="paragraphsub"/>
        <w:rPr>
          <w:sz w:val="24"/>
        </w:rPr>
      </w:pPr>
      <w:r w:rsidRPr="00883399">
        <w:rPr>
          <w:sz w:val="24"/>
        </w:rPr>
        <w:tab/>
        <w:t>(iii)</w:t>
      </w:r>
      <w:r w:rsidRPr="00883399">
        <w:rPr>
          <w:sz w:val="24"/>
        </w:rPr>
        <w:tab/>
        <w:t>method 3 under section 5.39.</w:t>
      </w:r>
    </w:p>
    <w:p w14:paraId="7C79D5E0" w14:textId="77777777" w:rsidR="00872C03" w:rsidRPr="00883399" w:rsidRDefault="00872C03" w:rsidP="00872C03">
      <w:pPr>
        <w:pStyle w:val="subsection"/>
        <w:rPr>
          <w:sz w:val="24"/>
        </w:rPr>
      </w:pPr>
      <w:r w:rsidRPr="00883399">
        <w:rPr>
          <w:sz w:val="24"/>
        </w:rPr>
        <w:tab/>
        <w:t>(2)</w:t>
      </w:r>
      <w:r w:rsidRPr="00883399">
        <w:rPr>
          <w:sz w:val="24"/>
        </w:rPr>
        <w:tab/>
        <w:t>Under paragraph (1)(c), the same method must be used for estimating emissions of each gas type.</w:t>
      </w:r>
    </w:p>
    <w:p w14:paraId="690EFD97" w14:textId="77777777" w:rsidR="00872C03" w:rsidRPr="00883399" w:rsidRDefault="00872C03" w:rsidP="00872C03">
      <w:pPr>
        <w:pStyle w:val="subsection"/>
        <w:rPr>
          <w:sz w:val="24"/>
        </w:rPr>
      </w:pPr>
      <w:r w:rsidRPr="00883399">
        <w:rPr>
          <w:sz w:val="24"/>
        </w:rPr>
        <w:tab/>
        <w:t>(3)</w:t>
      </w:r>
      <w:r w:rsidRPr="00883399">
        <w:rPr>
          <w:sz w:val="24"/>
        </w:rPr>
        <w:tab/>
        <w:t>For incidental emissions another method may be used that is consistent with the principles in section 1.13.</w:t>
      </w:r>
    </w:p>
    <w:p w14:paraId="7F237693" w14:textId="77777777" w:rsidR="00872C03" w:rsidRPr="00883399" w:rsidRDefault="00872C03" w:rsidP="00872C03">
      <w:pPr>
        <w:pStyle w:val="notetext"/>
        <w:rPr>
          <w:sz w:val="20"/>
        </w:rPr>
      </w:pPr>
      <w:r w:rsidRPr="00883399">
        <w:rPr>
          <w:sz w:val="20"/>
        </w:rPr>
        <w:t>Note:</w:t>
      </w:r>
      <w:r w:rsidRPr="00883399">
        <w:rPr>
          <w:sz w:val="20"/>
        </w:rPr>
        <w:tab/>
        <w:t>There is no method 4 for paragraphs (1)(a), (b) and (c).</w:t>
      </w:r>
    </w:p>
    <w:p w14:paraId="0E88D4C0" w14:textId="5C636EB0" w:rsidR="00872C03" w:rsidRPr="00883399" w:rsidRDefault="00872C03" w:rsidP="00872C03">
      <w:pPr>
        <w:pStyle w:val="ActHead3"/>
        <w:pageBreakBefore/>
        <w:rPr>
          <w:sz w:val="32"/>
        </w:rPr>
      </w:pPr>
      <w:bookmarkStart w:id="1224" w:name="_Toc423517191"/>
      <w:bookmarkStart w:id="1225" w:name="_Toc495653135"/>
      <w:r w:rsidRPr="00883399">
        <w:rPr>
          <w:rStyle w:val="CharDivNo"/>
          <w:sz w:val="32"/>
        </w:rPr>
        <w:lastRenderedPageBreak/>
        <w:t>Division 5.3.2</w:t>
      </w:r>
      <w:r w:rsidRPr="00883399">
        <w:rPr>
          <w:sz w:val="32"/>
        </w:rPr>
        <w:t>—</w:t>
      </w:r>
      <w:r w:rsidRPr="00883399">
        <w:rPr>
          <w:rStyle w:val="CharDivText"/>
          <w:sz w:val="32"/>
        </w:rPr>
        <w:t>Method 1—methane released from wastewater handling (domestic and commercial)</w:t>
      </w:r>
      <w:bookmarkEnd w:id="1224"/>
      <w:bookmarkEnd w:id="1225"/>
    </w:p>
    <w:p w14:paraId="32567A3B" w14:textId="443E4E26" w:rsidR="00872C03" w:rsidRPr="00883399" w:rsidRDefault="00872C03" w:rsidP="00872C03">
      <w:pPr>
        <w:pStyle w:val="ActHead5"/>
        <w:rPr>
          <w:sz w:val="28"/>
        </w:rPr>
      </w:pPr>
      <w:bookmarkStart w:id="1226" w:name="_Toc423517192"/>
      <w:bookmarkStart w:id="1227" w:name="_Toc495653136"/>
      <w:r w:rsidRPr="00883399">
        <w:rPr>
          <w:rStyle w:val="CharSectno"/>
          <w:sz w:val="28"/>
        </w:rPr>
        <w:t>5.25</w:t>
      </w:r>
      <w:r w:rsidRPr="00883399">
        <w:rPr>
          <w:sz w:val="28"/>
        </w:rPr>
        <w:t xml:space="preserve">  Method 1—methane released from wastewater handling (domestic and commercial)</w:t>
      </w:r>
      <w:bookmarkEnd w:id="1226"/>
      <w:bookmarkEnd w:id="1227"/>
    </w:p>
    <w:p w14:paraId="3A9BF0EA" w14:textId="77777777" w:rsidR="001745EA" w:rsidRPr="00883399" w:rsidRDefault="001745EA" w:rsidP="001745EA">
      <w:pPr>
        <w:pStyle w:val="Text"/>
        <w:rPr>
          <w:rFonts w:ascii="Arial" w:hAnsi="Arial" w:cs="Arial"/>
          <w:sz w:val="22"/>
          <w:szCs w:val="22"/>
        </w:rPr>
      </w:pPr>
      <w:r w:rsidRPr="00883399">
        <w:rPr>
          <w:rFonts w:ascii="Arial" w:hAnsi="Arial" w:cs="Arial"/>
          <w:sz w:val="22"/>
          <w:szCs w:val="22"/>
        </w:rPr>
        <w:t xml:space="preserve">Section 5.25 sets out Method 1 for wastewater handling – domestic and commercial. </w:t>
      </w:r>
    </w:p>
    <w:p w14:paraId="0B7625CA" w14:textId="77777777" w:rsidR="001745EA" w:rsidRPr="00883399" w:rsidRDefault="001745EA" w:rsidP="001745EA">
      <w:pPr>
        <w:pStyle w:val="Text"/>
        <w:rPr>
          <w:rFonts w:ascii="Arial" w:hAnsi="Arial" w:cs="Arial"/>
          <w:sz w:val="22"/>
          <w:szCs w:val="22"/>
        </w:rPr>
      </w:pPr>
      <w:r w:rsidRPr="00883399">
        <w:rPr>
          <w:rFonts w:ascii="Arial" w:hAnsi="Arial" w:cs="Arial"/>
          <w:sz w:val="22"/>
          <w:szCs w:val="22"/>
        </w:rPr>
        <w:t xml:space="preserve">Method 1 for wastewater handling is based on the </w:t>
      </w:r>
      <w:r w:rsidRPr="00883399">
        <w:rPr>
          <w:rFonts w:ascii="Arial" w:hAnsi="Arial" w:cs="Arial"/>
          <w:i/>
          <w:sz w:val="22"/>
          <w:szCs w:val="22"/>
        </w:rPr>
        <w:t>National Greenhouse Accounts</w:t>
      </w:r>
      <w:r w:rsidRPr="00883399">
        <w:rPr>
          <w:rFonts w:ascii="Arial" w:hAnsi="Arial" w:cs="Arial"/>
          <w:sz w:val="22"/>
          <w:szCs w:val="22"/>
        </w:rPr>
        <w:t xml:space="preserve"> methods, except in certain circumstances, specified below. </w:t>
      </w:r>
    </w:p>
    <w:p w14:paraId="4E94759F" w14:textId="77777777" w:rsidR="001745EA" w:rsidRPr="00883399" w:rsidRDefault="001745EA" w:rsidP="001745EA">
      <w:pPr>
        <w:pStyle w:val="Text"/>
        <w:rPr>
          <w:rFonts w:ascii="Arial" w:hAnsi="Arial" w:cs="Arial"/>
          <w:sz w:val="22"/>
          <w:szCs w:val="22"/>
        </w:rPr>
      </w:pPr>
      <w:r w:rsidRPr="00883399">
        <w:rPr>
          <w:rFonts w:ascii="Arial" w:hAnsi="Arial" w:cs="Arial"/>
          <w:sz w:val="22"/>
          <w:szCs w:val="22"/>
        </w:rPr>
        <w:t>Total greenhouse gas emissions from domestic and commercial wastewater are the sum of emissions from wastewater treatment and sludge treatment. The total quantity of wastewater treated depends on the size of the population that is generating wastewater.</w:t>
      </w:r>
    </w:p>
    <w:p w14:paraId="30713A4A" w14:textId="77777777" w:rsidR="001745EA" w:rsidRPr="00883399" w:rsidRDefault="001745EA" w:rsidP="001745EA">
      <w:pPr>
        <w:pStyle w:val="Text"/>
        <w:rPr>
          <w:rFonts w:ascii="Arial" w:hAnsi="Arial" w:cs="Arial"/>
          <w:sz w:val="22"/>
          <w:szCs w:val="22"/>
        </w:rPr>
      </w:pPr>
      <w:r w:rsidRPr="00883399">
        <w:rPr>
          <w:rFonts w:ascii="Arial" w:hAnsi="Arial" w:cs="Arial"/>
          <w:sz w:val="22"/>
          <w:szCs w:val="22"/>
        </w:rPr>
        <w:t>Method 1 provides a method for estimating emissions in the absence of data on Chemical Oxygen Demand (COD) or Biochemical Oxygen Demand (BOD) estimates of on-site wastewater and sludge.</w:t>
      </w:r>
    </w:p>
    <w:p w14:paraId="02D60772" w14:textId="77777777" w:rsidR="001745EA" w:rsidRPr="00883399" w:rsidRDefault="001745EA" w:rsidP="001745EA">
      <w:pPr>
        <w:pStyle w:val="Text"/>
        <w:rPr>
          <w:rFonts w:ascii="Arial" w:hAnsi="Arial" w:cs="Arial"/>
          <w:sz w:val="22"/>
          <w:szCs w:val="22"/>
        </w:rPr>
      </w:pPr>
      <w:r w:rsidRPr="00883399">
        <w:rPr>
          <w:rFonts w:ascii="Arial" w:hAnsi="Arial" w:cs="Arial"/>
          <w:sz w:val="22"/>
          <w:szCs w:val="22"/>
        </w:rPr>
        <w:t xml:space="preserve">Section 5.25 sets out that under certain specific circumstances an alternative estimation approach should apply. These circumstances are for facilities that capture methane generated by the wastewater handling and where the estimates of the quantity of methane captured for combustion (either at the facility or elsewhere) or flaring exceed 75 per cent of the estimated emissions generated from the wastewater from the facility according to the application of the emissions generation model. </w:t>
      </w:r>
    </w:p>
    <w:p w14:paraId="67E85CBB" w14:textId="77777777" w:rsidR="001745EA" w:rsidRPr="00883399" w:rsidRDefault="001745EA" w:rsidP="001745EA">
      <w:pPr>
        <w:pStyle w:val="Text"/>
        <w:rPr>
          <w:rFonts w:ascii="Arial" w:hAnsi="Arial" w:cs="Arial"/>
          <w:sz w:val="22"/>
          <w:szCs w:val="22"/>
        </w:rPr>
      </w:pPr>
      <w:r w:rsidRPr="00883399">
        <w:rPr>
          <w:rFonts w:ascii="Arial" w:hAnsi="Arial" w:cs="Arial"/>
          <w:sz w:val="22"/>
          <w:szCs w:val="22"/>
        </w:rPr>
        <w:t>The method to be applied in these circumstances is as for the solid waste disposal method set out in section 5.4 with the exception of subsection (5) which provides a calculation specific to wastewater handling based on chemical oxygen demand (COD) in the wastewater and uses methane correction factors (MCF</w:t>
      </w:r>
      <w:r w:rsidRPr="00883399">
        <w:rPr>
          <w:rStyle w:val="Subscript"/>
          <w:b/>
          <w:i/>
          <w:color w:val="000000"/>
        </w:rPr>
        <w:t xml:space="preserve">WW </w:t>
      </w:r>
      <w:r w:rsidRPr="00883399">
        <w:rPr>
          <w:rFonts w:ascii="Arial" w:hAnsi="Arial" w:cs="Arial"/>
          <w:sz w:val="22"/>
          <w:szCs w:val="22"/>
        </w:rPr>
        <w:t>and MCF</w:t>
      </w:r>
      <w:r w:rsidRPr="00883399">
        <w:rPr>
          <w:rStyle w:val="Subscript"/>
          <w:b/>
          <w:i/>
          <w:color w:val="000000"/>
        </w:rPr>
        <w:t>sl</w:t>
      </w:r>
      <w:r w:rsidRPr="00883399">
        <w:rPr>
          <w:rFonts w:ascii="Arial" w:hAnsi="Arial" w:cs="Arial"/>
          <w:sz w:val="22"/>
          <w:szCs w:val="22"/>
        </w:rPr>
        <w:t>) for the wastewater and sludge. The methane correction factors are the fractions of COD anaerobically treated by the plant. Methane will only be generated through anaerobic treatment of the COD and emissions estimates must be corrected to eliminate any COD that is not anaerobically treated.</w:t>
      </w:r>
    </w:p>
    <w:p w14:paraId="583A543E" w14:textId="77777777" w:rsidR="001745EA" w:rsidRPr="00883399" w:rsidRDefault="001745EA" w:rsidP="001745EA">
      <w:pPr>
        <w:pStyle w:val="Text"/>
        <w:rPr>
          <w:rFonts w:ascii="Arial" w:hAnsi="Arial" w:cs="Arial"/>
          <w:sz w:val="22"/>
          <w:szCs w:val="22"/>
        </w:rPr>
      </w:pPr>
      <w:r w:rsidRPr="00883399">
        <w:rPr>
          <w:rFonts w:ascii="Arial" w:hAnsi="Arial" w:cs="Arial"/>
          <w:sz w:val="22"/>
          <w:szCs w:val="22"/>
        </w:rPr>
        <w:t xml:space="preserve">As for solid waste disposal, it is intended that Reporters will be able to use direct emissions monitoring systems to establish higher capture efficiencies and to establish emissions directly.  This will require the development of direct monitoring </w:t>
      </w:r>
      <w:r w:rsidRPr="00883399">
        <w:rPr>
          <w:rFonts w:ascii="Arial" w:hAnsi="Arial" w:cs="Arial"/>
          <w:sz w:val="22"/>
          <w:szCs w:val="22"/>
        </w:rPr>
        <w:lastRenderedPageBreak/>
        <w:t xml:space="preserve">methods.  None have been specified in this Determination. Further development work and consultation is required to establish the appropriateness of various monitoring techniques before their inclusion. </w:t>
      </w:r>
    </w:p>
    <w:p w14:paraId="50BEA4FD" w14:textId="77777777" w:rsidR="001745EA" w:rsidRPr="00883399" w:rsidRDefault="001745EA" w:rsidP="001745EA">
      <w:pPr>
        <w:pStyle w:val="Text"/>
        <w:rPr>
          <w:rFonts w:ascii="Arial" w:hAnsi="Arial" w:cs="Arial"/>
          <w:sz w:val="22"/>
          <w:szCs w:val="22"/>
        </w:rPr>
      </w:pPr>
      <w:r w:rsidRPr="00883399">
        <w:rPr>
          <w:rFonts w:ascii="Arial" w:hAnsi="Arial" w:cs="Arial"/>
          <w:sz w:val="22"/>
          <w:szCs w:val="22"/>
        </w:rPr>
        <w:t>The intent of the following equation is to reconcile the estimated theoretical amount of methane generated at the wastewater treatment plant (CH4*) with the actual amount of methane measured in the captured sludge biogas. The difference between the theoretical and measured amounts is assumed to be emitted to the atmosphere and forms the methane emissions estimate from wastewater handling for the facility.</w:t>
      </w:r>
    </w:p>
    <w:p w14:paraId="3CCC6F47" w14:textId="77777777" w:rsidR="001745EA" w:rsidRPr="00883399" w:rsidRDefault="001745EA" w:rsidP="001745EA">
      <w:pPr>
        <w:pStyle w:val="subsection"/>
        <w:rPr>
          <w:rFonts w:ascii="Arial" w:hAnsi="Arial" w:cs="Arial"/>
          <w:szCs w:val="22"/>
        </w:rPr>
      </w:pPr>
    </w:p>
    <w:p w14:paraId="09D5C9D1" w14:textId="77777777" w:rsidR="00872C03" w:rsidRPr="00883399" w:rsidRDefault="00872C03" w:rsidP="001745EA">
      <w:pPr>
        <w:pStyle w:val="subsection"/>
        <w:rPr>
          <w:sz w:val="24"/>
        </w:rPr>
      </w:pPr>
      <w:r w:rsidRPr="00883399">
        <w:rPr>
          <w:sz w:val="24"/>
        </w:rPr>
        <w:tab/>
        <w:t>(1)</w:t>
      </w:r>
      <w:r w:rsidRPr="00883399">
        <w:rPr>
          <w:sz w:val="24"/>
        </w:rPr>
        <w:tab/>
        <w:t>For subparagraph 5.24(1)(a)(i), method 1 is:</w:t>
      </w:r>
    </w:p>
    <w:p w14:paraId="69AC144A" w14:textId="74721C87"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0939471B" wp14:editId="75699585">
            <wp:extent cx="2422525" cy="320675"/>
            <wp:effectExtent l="1905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06"/>
                    <a:srcRect/>
                    <a:stretch>
                      <a:fillRect/>
                    </a:stretch>
                  </pic:blipFill>
                  <pic:spPr bwMode="auto">
                    <a:xfrm>
                      <a:off x="0" y="0"/>
                      <a:ext cx="2422525" cy="320675"/>
                    </a:xfrm>
                    <a:prstGeom prst="rect">
                      <a:avLst/>
                    </a:prstGeom>
                    <a:noFill/>
                    <a:ln w="9525">
                      <a:noFill/>
                      <a:miter lim="800000"/>
                      <a:headEnd/>
                      <a:tailEnd/>
                    </a:ln>
                  </pic:spPr>
                </pic:pic>
              </a:graphicData>
            </a:graphic>
          </wp:inline>
        </w:drawing>
      </w:r>
    </w:p>
    <w:p w14:paraId="09935206" w14:textId="77777777" w:rsidR="00872C03" w:rsidRPr="00883399" w:rsidRDefault="00872C03" w:rsidP="00872C03">
      <w:pPr>
        <w:pStyle w:val="subsection2"/>
        <w:rPr>
          <w:sz w:val="24"/>
        </w:rPr>
      </w:pPr>
      <w:r w:rsidRPr="00883399">
        <w:rPr>
          <w:sz w:val="24"/>
        </w:rPr>
        <w:t>where:</w:t>
      </w:r>
    </w:p>
    <w:p w14:paraId="73BE5C4F" w14:textId="77777777" w:rsidR="00872C03" w:rsidRPr="00883399" w:rsidRDefault="00872C03" w:rsidP="00872C03">
      <w:pPr>
        <w:pStyle w:val="Definition0"/>
        <w:rPr>
          <w:sz w:val="24"/>
        </w:rPr>
      </w:pPr>
      <w:r w:rsidRPr="00883399">
        <w:rPr>
          <w:b/>
          <w:i/>
          <w:sz w:val="24"/>
        </w:rPr>
        <w:t>E</w:t>
      </w:r>
      <w:r w:rsidRPr="00883399">
        <w:rPr>
          <w:rStyle w:val="charSubscript"/>
          <w:b/>
          <w:i/>
          <w:sz w:val="22"/>
        </w:rPr>
        <w:t>j</w:t>
      </w:r>
      <w:r w:rsidRPr="00883399">
        <w:rPr>
          <w:b/>
          <w:i/>
          <w:sz w:val="24"/>
        </w:rPr>
        <w:t xml:space="preserve"> </w:t>
      </w:r>
      <w:r w:rsidRPr="00883399">
        <w:rPr>
          <w:sz w:val="24"/>
        </w:rPr>
        <w:t>is the emissions of methane released by the plant during the year measured in CO</w:t>
      </w:r>
      <w:r w:rsidRPr="00883399">
        <w:rPr>
          <w:sz w:val="24"/>
          <w:vertAlign w:val="subscript"/>
        </w:rPr>
        <w:t>2</w:t>
      </w:r>
      <w:r w:rsidRPr="00883399">
        <w:rPr>
          <w:sz w:val="24"/>
        </w:rPr>
        <w:noBreakHyphen/>
        <w:t>e tonnes.</w:t>
      </w:r>
    </w:p>
    <w:p w14:paraId="68E84260" w14:textId="77777777" w:rsidR="00872C03" w:rsidRPr="00883399" w:rsidRDefault="00872C03" w:rsidP="00872C03">
      <w:pPr>
        <w:pStyle w:val="Definition0"/>
        <w:rPr>
          <w:sz w:val="24"/>
        </w:rPr>
      </w:pPr>
      <w:r w:rsidRPr="00883399">
        <w:rPr>
          <w:b/>
          <w:i/>
          <w:sz w:val="24"/>
        </w:rPr>
        <w:t>CH</w:t>
      </w:r>
      <w:r w:rsidRPr="00883399">
        <w:rPr>
          <w:b/>
          <w:i/>
          <w:sz w:val="24"/>
          <w:vertAlign w:val="subscript"/>
        </w:rPr>
        <w:t>4</w:t>
      </w:r>
      <w:r w:rsidRPr="00883399">
        <w:rPr>
          <w:b/>
          <w:i/>
          <w:position w:val="6"/>
          <w:sz w:val="18"/>
          <w:vertAlign w:val="superscript"/>
        </w:rPr>
        <w:t>*</w:t>
      </w:r>
      <w:r w:rsidRPr="00883399">
        <w:rPr>
          <w:b/>
          <w:i/>
          <w:sz w:val="24"/>
          <w:vertAlign w:val="superscript"/>
        </w:rPr>
        <w:t xml:space="preserve"> </w:t>
      </w:r>
      <w:r w:rsidRPr="00883399">
        <w:rPr>
          <w:sz w:val="24"/>
        </w:rPr>
        <w:t>is the estimated quantity of methane in sludge biogas released by the plant during the year measured in CO</w:t>
      </w:r>
      <w:r w:rsidRPr="00883399">
        <w:rPr>
          <w:sz w:val="24"/>
          <w:vertAlign w:val="subscript"/>
        </w:rPr>
        <w:t>2</w:t>
      </w:r>
      <w:r w:rsidRPr="00883399">
        <w:rPr>
          <w:sz w:val="24"/>
        </w:rPr>
        <w:noBreakHyphen/>
        <w:t>e tonnes as determined under subsections (2) and (3).</w:t>
      </w:r>
    </w:p>
    <w:p w14:paraId="31474A7F" w14:textId="77777777" w:rsidR="00872C03" w:rsidRPr="00883399" w:rsidRDefault="00872C03" w:rsidP="00872C03">
      <w:pPr>
        <w:pStyle w:val="Definition0"/>
        <w:rPr>
          <w:sz w:val="24"/>
        </w:rPr>
      </w:pPr>
      <w:r w:rsidRPr="00883399">
        <w:rPr>
          <w:b/>
          <w:i/>
          <w:sz w:val="24"/>
        </w:rPr>
        <w:t xml:space="preserve">γ </w:t>
      </w:r>
      <w:r w:rsidRPr="00883399">
        <w:rPr>
          <w:sz w:val="24"/>
        </w:rPr>
        <w:t>is the factor 6.784 x 10</w:t>
      </w:r>
      <w:r w:rsidRPr="00883399">
        <w:rPr>
          <w:sz w:val="24"/>
          <w:vertAlign w:val="superscript"/>
        </w:rPr>
        <w:noBreakHyphen/>
        <w:t xml:space="preserve">4 </w:t>
      </w:r>
      <w:r w:rsidRPr="00883399">
        <w:rPr>
          <w:sz w:val="24"/>
        </w:rPr>
        <w:t>x 25 converting cubic metres of methane at standard conditions to CO</w:t>
      </w:r>
      <w:r w:rsidRPr="00883399">
        <w:rPr>
          <w:sz w:val="24"/>
          <w:vertAlign w:val="subscript"/>
        </w:rPr>
        <w:t>2</w:t>
      </w:r>
      <w:r w:rsidRPr="00883399">
        <w:rPr>
          <w:sz w:val="24"/>
        </w:rPr>
        <w:noBreakHyphen/>
        <w:t>e tonnes.</w:t>
      </w:r>
    </w:p>
    <w:p w14:paraId="1701BA03" w14:textId="77777777" w:rsidR="00872C03" w:rsidRPr="00883399" w:rsidRDefault="00872C03" w:rsidP="00872C03">
      <w:pPr>
        <w:pStyle w:val="Definition0"/>
        <w:rPr>
          <w:sz w:val="24"/>
        </w:rPr>
      </w:pPr>
      <w:r w:rsidRPr="00883399">
        <w:rPr>
          <w:b/>
          <w:i/>
          <w:sz w:val="24"/>
        </w:rPr>
        <w:t>Q</w:t>
      </w:r>
      <w:r w:rsidRPr="00883399">
        <w:rPr>
          <w:b/>
          <w:i/>
          <w:sz w:val="24"/>
          <w:vertAlign w:val="subscript"/>
        </w:rPr>
        <w:t>cap</w:t>
      </w:r>
      <w:r w:rsidRPr="00883399">
        <w:rPr>
          <w:b/>
          <w:i/>
          <w:sz w:val="24"/>
        </w:rPr>
        <w:t xml:space="preserve"> </w:t>
      </w:r>
      <w:r w:rsidRPr="00883399">
        <w:rPr>
          <w:sz w:val="24"/>
        </w:rPr>
        <w:t>is the quantity of methane in sludge biogas captured for combustion for use by the plant during the year measured in cubic metres in accordance with Division 2.3.6.</w:t>
      </w:r>
    </w:p>
    <w:p w14:paraId="3849D0B1" w14:textId="77777777" w:rsidR="00872C03" w:rsidRPr="00883399" w:rsidRDefault="00872C03" w:rsidP="00872C03">
      <w:pPr>
        <w:pStyle w:val="Definition0"/>
        <w:rPr>
          <w:sz w:val="24"/>
        </w:rPr>
      </w:pPr>
      <w:r w:rsidRPr="00883399">
        <w:rPr>
          <w:b/>
          <w:i/>
          <w:sz w:val="24"/>
        </w:rPr>
        <w:t>Q</w:t>
      </w:r>
      <w:r w:rsidRPr="00883399">
        <w:rPr>
          <w:b/>
          <w:i/>
          <w:sz w:val="24"/>
          <w:vertAlign w:val="subscript"/>
        </w:rPr>
        <w:t xml:space="preserve">flared </w:t>
      </w:r>
      <w:r w:rsidRPr="00883399">
        <w:rPr>
          <w:sz w:val="24"/>
        </w:rPr>
        <w:t>is the quantity of methane in sludge biogas flared during the year by the plant measured in cubic metres in accordance with Division 2.3.6.</w:t>
      </w:r>
    </w:p>
    <w:p w14:paraId="02D7FAB5" w14:textId="77777777" w:rsidR="00872C03" w:rsidRPr="00883399" w:rsidRDefault="00872C03" w:rsidP="00872C03">
      <w:pPr>
        <w:pStyle w:val="Definition0"/>
        <w:rPr>
          <w:sz w:val="24"/>
        </w:rPr>
      </w:pPr>
      <w:r w:rsidRPr="00883399">
        <w:rPr>
          <w:b/>
          <w:i/>
          <w:sz w:val="24"/>
        </w:rPr>
        <w:t>Q</w:t>
      </w:r>
      <w:r w:rsidRPr="00883399">
        <w:rPr>
          <w:b/>
          <w:i/>
          <w:sz w:val="24"/>
          <w:vertAlign w:val="subscript"/>
        </w:rPr>
        <w:t>tr</w:t>
      </w:r>
      <w:r w:rsidRPr="00883399">
        <w:rPr>
          <w:b/>
          <w:i/>
          <w:sz w:val="24"/>
        </w:rPr>
        <w:t xml:space="preserve"> </w:t>
      </w:r>
      <w:r w:rsidRPr="00883399">
        <w:rPr>
          <w:sz w:val="24"/>
        </w:rPr>
        <w:t>is the quantity of methane in sludge biogas transferred out of the plant during the year measured in cubic metres in accordance with Division 2.3.6.</w:t>
      </w:r>
    </w:p>
    <w:p w14:paraId="32B9B484" w14:textId="77777777" w:rsidR="00872C03" w:rsidRPr="00883399" w:rsidRDefault="00872C03" w:rsidP="00872C03">
      <w:pPr>
        <w:pStyle w:val="subsection"/>
        <w:rPr>
          <w:sz w:val="24"/>
        </w:rPr>
      </w:pPr>
      <w:r w:rsidRPr="00883399">
        <w:rPr>
          <w:sz w:val="24"/>
        </w:rPr>
        <w:tab/>
        <w:t>(2)</w:t>
      </w:r>
      <w:r w:rsidRPr="00883399">
        <w:rPr>
          <w:sz w:val="24"/>
        </w:rPr>
        <w:tab/>
        <w:t>For subsection (1), if:</w:t>
      </w:r>
    </w:p>
    <w:p w14:paraId="194EFFBA" w14:textId="31625946"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6E9A10CA" wp14:editId="278310CB">
            <wp:extent cx="1484630" cy="487045"/>
            <wp:effectExtent l="1905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07"/>
                    <a:srcRect/>
                    <a:stretch>
                      <a:fillRect/>
                    </a:stretch>
                  </pic:blipFill>
                  <pic:spPr bwMode="auto">
                    <a:xfrm>
                      <a:off x="0" y="0"/>
                      <a:ext cx="1484630" cy="487045"/>
                    </a:xfrm>
                    <a:prstGeom prst="rect">
                      <a:avLst/>
                    </a:prstGeom>
                    <a:noFill/>
                    <a:ln w="9525">
                      <a:noFill/>
                      <a:miter lim="800000"/>
                      <a:headEnd/>
                      <a:tailEnd/>
                    </a:ln>
                  </pic:spPr>
                </pic:pic>
              </a:graphicData>
            </a:graphic>
          </wp:inline>
        </w:drawing>
      </w:r>
    </w:p>
    <w:p w14:paraId="06B54FE6" w14:textId="77777777" w:rsidR="00872C03" w:rsidRPr="00883399" w:rsidRDefault="00872C03" w:rsidP="00872C03">
      <w:pPr>
        <w:pStyle w:val="subsection2"/>
        <w:rPr>
          <w:sz w:val="24"/>
        </w:rPr>
      </w:pPr>
      <w:r w:rsidRPr="00883399">
        <w:rPr>
          <w:sz w:val="24"/>
        </w:rPr>
        <w:t>is less than or equal to 0.75, then:</w:t>
      </w:r>
    </w:p>
    <w:p w14:paraId="74C6EF69" w14:textId="2B84EEAD" w:rsidR="00872C03" w:rsidRPr="00883399" w:rsidRDefault="00872C03" w:rsidP="00872C03">
      <w:pPr>
        <w:pStyle w:val="subsection2"/>
        <w:spacing w:before="120" w:after="120"/>
        <w:rPr>
          <w:sz w:val="24"/>
        </w:rPr>
      </w:pPr>
      <w:r w:rsidRPr="00883399">
        <w:rPr>
          <w:noProof/>
          <w:sz w:val="24"/>
        </w:rPr>
        <w:drawing>
          <wp:inline distT="0" distB="0" distL="0" distR="0" wp14:anchorId="6A27F583" wp14:editId="1A02A485">
            <wp:extent cx="997585" cy="249555"/>
            <wp:effectExtent l="1905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47"/>
                    <a:srcRect/>
                    <a:stretch>
                      <a:fillRect/>
                    </a:stretch>
                  </pic:blipFill>
                  <pic:spPr bwMode="auto">
                    <a:xfrm>
                      <a:off x="0" y="0"/>
                      <a:ext cx="997585" cy="249555"/>
                    </a:xfrm>
                    <a:prstGeom prst="rect">
                      <a:avLst/>
                    </a:prstGeom>
                    <a:noFill/>
                    <a:ln w="9525">
                      <a:noFill/>
                      <a:miter lim="800000"/>
                      <a:headEnd/>
                      <a:tailEnd/>
                    </a:ln>
                  </pic:spPr>
                </pic:pic>
              </a:graphicData>
            </a:graphic>
          </wp:inline>
        </w:drawing>
      </w:r>
    </w:p>
    <w:p w14:paraId="0EDB8C94" w14:textId="77777777" w:rsidR="00872C03" w:rsidRPr="00883399" w:rsidRDefault="00872C03" w:rsidP="00872C03">
      <w:pPr>
        <w:pStyle w:val="subsection2"/>
        <w:rPr>
          <w:sz w:val="24"/>
        </w:rPr>
      </w:pPr>
      <w:r w:rsidRPr="00883399">
        <w:rPr>
          <w:sz w:val="24"/>
        </w:rPr>
        <w:lastRenderedPageBreak/>
        <w:t>where:</w:t>
      </w:r>
    </w:p>
    <w:p w14:paraId="17ACBFF1" w14:textId="77777777" w:rsidR="00872C03" w:rsidRPr="00883399" w:rsidRDefault="00872C03" w:rsidP="00872C03">
      <w:pPr>
        <w:pStyle w:val="Definition0"/>
        <w:rPr>
          <w:sz w:val="24"/>
        </w:rPr>
      </w:pPr>
      <w:r w:rsidRPr="00883399">
        <w:rPr>
          <w:b/>
          <w:i/>
          <w:sz w:val="24"/>
        </w:rPr>
        <w:t>CH</w:t>
      </w:r>
      <w:r w:rsidRPr="00883399">
        <w:rPr>
          <w:b/>
          <w:i/>
          <w:sz w:val="24"/>
          <w:vertAlign w:val="subscript"/>
        </w:rPr>
        <w:t>4gen</w:t>
      </w:r>
      <w:r w:rsidRPr="00883399">
        <w:rPr>
          <w:b/>
          <w:i/>
          <w:sz w:val="24"/>
        </w:rPr>
        <w:t xml:space="preserve"> </w:t>
      </w:r>
      <w:r w:rsidRPr="00883399">
        <w:rPr>
          <w:sz w:val="24"/>
        </w:rPr>
        <w:t>is the quantity of methane in sludge biogas produced by the plant during the year, estimated in accordance with subsection (5) and measured in CO</w:t>
      </w:r>
      <w:r w:rsidRPr="00883399">
        <w:rPr>
          <w:sz w:val="24"/>
          <w:vertAlign w:val="subscript"/>
        </w:rPr>
        <w:t>2</w:t>
      </w:r>
      <w:r w:rsidRPr="00883399">
        <w:rPr>
          <w:sz w:val="24"/>
        </w:rPr>
        <w:noBreakHyphen/>
        <w:t>e tonnes.</w:t>
      </w:r>
    </w:p>
    <w:p w14:paraId="594C408A" w14:textId="77777777" w:rsidR="00872C03" w:rsidRPr="00883399" w:rsidRDefault="00872C03" w:rsidP="00872C03">
      <w:pPr>
        <w:pStyle w:val="subsection"/>
        <w:rPr>
          <w:sz w:val="24"/>
        </w:rPr>
      </w:pPr>
      <w:r w:rsidRPr="00883399">
        <w:rPr>
          <w:sz w:val="24"/>
        </w:rPr>
        <w:tab/>
        <w:t>(3)</w:t>
      </w:r>
      <w:r w:rsidRPr="00883399">
        <w:rPr>
          <w:sz w:val="24"/>
        </w:rPr>
        <w:tab/>
        <w:t>For subsection (1), if:</w:t>
      </w:r>
    </w:p>
    <w:p w14:paraId="5D54CC9E" w14:textId="5CE2DC22"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726E3471" wp14:editId="08DEC0C0">
            <wp:extent cx="1484630" cy="487045"/>
            <wp:effectExtent l="1905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08"/>
                    <a:srcRect/>
                    <a:stretch>
                      <a:fillRect/>
                    </a:stretch>
                  </pic:blipFill>
                  <pic:spPr bwMode="auto">
                    <a:xfrm>
                      <a:off x="0" y="0"/>
                      <a:ext cx="1484630" cy="487045"/>
                    </a:xfrm>
                    <a:prstGeom prst="rect">
                      <a:avLst/>
                    </a:prstGeom>
                    <a:noFill/>
                    <a:ln w="9525">
                      <a:noFill/>
                      <a:miter lim="800000"/>
                      <a:headEnd/>
                      <a:tailEnd/>
                    </a:ln>
                  </pic:spPr>
                </pic:pic>
              </a:graphicData>
            </a:graphic>
          </wp:inline>
        </w:drawing>
      </w:r>
    </w:p>
    <w:p w14:paraId="193AA51D" w14:textId="77777777" w:rsidR="00872C03" w:rsidRPr="00883399" w:rsidRDefault="00872C03" w:rsidP="00872C03">
      <w:pPr>
        <w:pStyle w:val="subsection2"/>
        <w:rPr>
          <w:sz w:val="24"/>
        </w:rPr>
      </w:pPr>
      <w:r w:rsidRPr="00883399">
        <w:rPr>
          <w:sz w:val="24"/>
        </w:rPr>
        <w:t>is greater than 0.75, then:</w:t>
      </w:r>
    </w:p>
    <w:p w14:paraId="79DD0998" w14:textId="0999C81C" w:rsidR="00872C03" w:rsidRPr="00883399" w:rsidRDefault="00872C03" w:rsidP="00872C03">
      <w:pPr>
        <w:pStyle w:val="subsection2"/>
        <w:spacing w:before="120" w:after="120"/>
        <w:rPr>
          <w:sz w:val="24"/>
        </w:rPr>
      </w:pPr>
      <w:r w:rsidRPr="00883399">
        <w:rPr>
          <w:noProof/>
          <w:sz w:val="24"/>
        </w:rPr>
        <w:drawing>
          <wp:inline distT="0" distB="0" distL="0" distR="0" wp14:anchorId="6495363A" wp14:editId="4B4E3CEA">
            <wp:extent cx="2624455" cy="487045"/>
            <wp:effectExtent l="0" t="0" r="4445"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49"/>
                    <a:srcRect/>
                    <a:stretch>
                      <a:fillRect/>
                    </a:stretch>
                  </pic:blipFill>
                  <pic:spPr bwMode="auto">
                    <a:xfrm>
                      <a:off x="0" y="0"/>
                      <a:ext cx="2624455" cy="487045"/>
                    </a:xfrm>
                    <a:prstGeom prst="rect">
                      <a:avLst/>
                    </a:prstGeom>
                    <a:noFill/>
                    <a:ln w="9525">
                      <a:noFill/>
                      <a:miter lim="800000"/>
                      <a:headEnd/>
                      <a:tailEnd/>
                    </a:ln>
                  </pic:spPr>
                </pic:pic>
              </a:graphicData>
            </a:graphic>
          </wp:inline>
        </w:drawing>
      </w:r>
    </w:p>
    <w:p w14:paraId="2FC61809" w14:textId="77777777" w:rsidR="00872C03" w:rsidRPr="00883399" w:rsidRDefault="00872C03" w:rsidP="00872C03">
      <w:pPr>
        <w:pStyle w:val="subsection2"/>
        <w:rPr>
          <w:sz w:val="24"/>
        </w:rPr>
      </w:pPr>
      <w:r w:rsidRPr="00883399">
        <w:rPr>
          <w:sz w:val="24"/>
        </w:rPr>
        <w:t>where:</w:t>
      </w:r>
    </w:p>
    <w:p w14:paraId="5D94E902" w14:textId="77777777" w:rsidR="00872C03" w:rsidRPr="00883399" w:rsidRDefault="00872C03" w:rsidP="00872C03">
      <w:pPr>
        <w:pStyle w:val="Definition0"/>
        <w:rPr>
          <w:sz w:val="24"/>
        </w:rPr>
      </w:pPr>
      <w:r w:rsidRPr="00883399">
        <w:rPr>
          <w:b/>
          <w:i/>
          <w:sz w:val="24"/>
        </w:rPr>
        <w:t xml:space="preserve">γ </w:t>
      </w:r>
      <w:r w:rsidRPr="00883399">
        <w:rPr>
          <w:sz w:val="24"/>
        </w:rPr>
        <w:t>is the factor 6.784 x 10</w:t>
      </w:r>
      <w:r w:rsidRPr="00883399">
        <w:rPr>
          <w:sz w:val="24"/>
          <w:vertAlign w:val="superscript"/>
        </w:rPr>
        <w:noBreakHyphen/>
        <w:t xml:space="preserve">4 </w:t>
      </w:r>
      <w:r w:rsidRPr="00883399">
        <w:rPr>
          <w:sz w:val="24"/>
        </w:rPr>
        <w:t>x 25 converting cubic metres of methane at standard conditions to CO</w:t>
      </w:r>
      <w:r w:rsidRPr="00883399">
        <w:rPr>
          <w:sz w:val="24"/>
          <w:vertAlign w:val="subscript"/>
        </w:rPr>
        <w:t>2</w:t>
      </w:r>
      <w:r w:rsidRPr="00883399">
        <w:rPr>
          <w:sz w:val="24"/>
        </w:rPr>
        <w:noBreakHyphen/>
        <w:t>e tonnes.</w:t>
      </w:r>
    </w:p>
    <w:p w14:paraId="34BBE677" w14:textId="77777777" w:rsidR="00872C03" w:rsidRPr="00883399" w:rsidRDefault="00872C03" w:rsidP="00872C03">
      <w:pPr>
        <w:pStyle w:val="Definition0"/>
        <w:rPr>
          <w:sz w:val="24"/>
        </w:rPr>
      </w:pPr>
      <w:r w:rsidRPr="00883399">
        <w:rPr>
          <w:b/>
          <w:i/>
          <w:sz w:val="24"/>
        </w:rPr>
        <w:t>Q</w:t>
      </w:r>
      <w:r w:rsidRPr="00883399">
        <w:rPr>
          <w:b/>
          <w:i/>
          <w:sz w:val="24"/>
          <w:vertAlign w:val="subscript"/>
        </w:rPr>
        <w:t>cap</w:t>
      </w:r>
      <w:r w:rsidRPr="00883399">
        <w:rPr>
          <w:b/>
          <w:i/>
          <w:sz w:val="24"/>
        </w:rPr>
        <w:t xml:space="preserve"> </w:t>
      </w:r>
      <w:r w:rsidRPr="00883399">
        <w:rPr>
          <w:sz w:val="24"/>
        </w:rPr>
        <w:t>is the quantity of methane in sludge biogas captured for combustion by the plant, measured in cubic metres in accordance with Division 2.3.6.</w:t>
      </w:r>
    </w:p>
    <w:p w14:paraId="27853CEC" w14:textId="77777777" w:rsidR="00872C03" w:rsidRPr="00883399" w:rsidRDefault="00872C03" w:rsidP="00872C03">
      <w:pPr>
        <w:pStyle w:val="subsection"/>
        <w:rPr>
          <w:sz w:val="24"/>
        </w:rPr>
      </w:pPr>
      <w:r w:rsidRPr="00883399">
        <w:rPr>
          <w:sz w:val="24"/>
        </w:rPr>
        <w:tab/>
        <w:t>(4)</w:t>
      </w:r>
      <w:r w:rsidRPr="00883399">
        <w:rPr>
          <w:sz w:val="24"/>
        </w:rPr>
        <w:tab/>
        <w:t xml:space="preserve">For subsections (1) and (3), </w:t>
      </w:r>
      <w:r w:rsidRPr="00883399">
        <w:rPr>
          <w:b/>
          <w:i/>
          <w:sz w:val="24"/>
        </w:rPr>
        <w:t>Q</w:t>
      </w:r>
      <w:r w:rsidRPr="00883399">
        <w:rPr>
          <w:b/>
          <w:i/>
          <w:sz w:val="24"/>
          <w:vertAlign w:val="subscript"/>
        </w:rPr>
        <w:t>cap</w:t>
      </w:r>
      <w:r w:rsidRPr="00883399">
        <w:rPr>
          <w:sz w:val="24"/>
        </w:rPr>
        <w:t xml:space="preserve"> is to be calculated in accordance with Division 2.3.6.</w:t>
      </w:r>
    </w:p>
    <w:p w14:paraId="3D7EED78" w14:textId="77777777" w:rsidR="00872C03" w:rsidRPr="00883399" w:rsidRDefault="00872C03" w:rsidP="00872C03">
      <w:pPr>
        <w:pStyle w:val="subsection"/>
        <w:rPr>
          <w:sz w:val="24"/>
        </w:rPr>
      </w:pPr>
      <w:r w:rsidRPr="00883399">
        <w:rPr>
          <w:sz w:val="24"/>
        </w:rPr>
        <w:tab/>
        <w:t>(5)</w:t>
      </w:r>
      <w:r w:rsidRPr="00883399">
        <w:rPr>
          <w:sz w:val="24"/>
        </w:rPr>
        <w:tab/>
        <w:t>For subsection (2):</w:t>
      </w:r>
    </w:p>
    <w:p w14:paraId="4968F63A" w14:textId="54D0A9AF"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1383C1CA" wp14:editId="40AE219F">
            <wp:extent cx="3681095" cy="558165"/>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09"/>
                    <a:srcRect/>
                    <a:stretch>
                      <a:fillRect/>
                    </a:stretch>
                  </pic:blipFill>
                  <pic:spPr bwMode="auto">
                    <a:xfrm>
                      <a:off x="0" y="0"/>
                      <a:ext cx="3681095" cy="558165"/>
                    </a:xfrm>
                    <a:prstGeom prst="rect">
                      <a:avLst/>
                    </a:prstGeom>
                    <a:noFill/>
                    <a:ln w="9525">
                      <a:noFill/>
                      <a:miter lim="800000"/>
                      <a:headEnd/>
                      <a:tailEnd/>
                    </a:ln>
                  </pic:spPr>
                </pic:pic>
              </a:graphicData>
            </a:graphic>
          </wp:inline>
        </w:drawing>
      </w:r>
    </w:p>
    <w:p w14:paraId="5ABADC8B" w14:textId="77777777" w:rsidR="00872C03" w:rsidRPr="00883399" w:rsidRDefault="00872C03" w:rsidP="00872C03">
      <w:pPr>
        <w:pStyle w:val="Definition0"/>
        <w:rPr>
          <w:sz w:val="24"/>
        </w:rPr>
      </w:pPr>
      <w:r w:rsidRPr="00883399">
        <w:rPr>
          <w:sz w:val="24"/>
        </w:rPr>
        <w:t>where:</w:t>
      </w:r>
    </w:p>
    <w:p w14:paraId="4DABB9A8" w14:textId="77777777" w:rsidR="00872C03" w:rsidRPr="00883399" w:rsidRDefault="00872C03" w:rsidP="00872C03">
      <w:pPr>
        <w:pStyle w:val="Definition0"/>
        <w:rPr>
          <w:sz w:val="24"/>
        </w:rPr>
      </w:pPr>
      <w:r w:rsidRPr="00883399">
        <w:rPr>
          <w:b/>
          <w:i/>
          <w:sz w:val="24"/>
        </w:rPr>
        <w:t>COD</w:t>
      </w:r>
      <w:r w:rsidRPr="00883399">
        <w:rPr>
          <w:b/>
          <w:i/>
          <w:sz w:val="24"/>
          <w:vertAlign w:val="subscript"/>
        </w:rPr>
        <w:t>W</w:t>
      </w:r>
      <w:r w:rsidRPr="00883399">
        <w:rPr>
          <w:b/>
          <w:i/>
          <w:sz w:val="24"/>
        </w:rPr>
        <w:t xml:space="preserve"> </w:t>
      </w:r>
      <w:r w:rsidRPr="00883399">
        <w:rPr>
          <w:sz w:val="24"/>
        </w:rPr>
        <w:t>is the factor worked out as follows:</w:t>
      </w:r>
    </w:p>
    <w:p w14:paraId="4FFE30DB" w14:textId="3BEF2A14" w:rsidR="00872C03" w:rsidRPr="00883399" w:rsidRDefault="00872C03" w:rsidP="00872C03">
      <w:pPr>
        <w:pStyle w:val="Definition0"/>
        <w:spacing w:before="120" w:after="120"/>
        <w:rPr>
          <w:sz w:val="24"/>
          <w:vertAlign w:val="subscript"/>
        </w:rPr>
      </w:pPr>
      <w:r w:rsidRPr="00883399">
        <w:rPr>
          <w:noProof/>
          <w:sz w:val="24"/>
          <w:vertAlign w:val="subscript"/>
        </w:rPr>
        <w:drawing>
          <wp:inline distT="0" distB="0" distL="0" distR="0" wp14:anchorId="734CB649" wp14:editId="60FA1371">
            <wp:extent cx="1377315" cy="225425"/>
            <wp:effectExtent l="1905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10"/>
                    <a:srcRect/>
                    <a:stretch>
                      <a:fillRect/>
                    </a:stretch>
                  </pic:blipFill>
                  <pic:spPr bwMode="auto">
                    <a:xfrm>
                      <a:off x="0" y="0"/>
                      <a:ext cx="1377315" cy="225425"/>
                    </a:xfrm>
                    <a:prstGeom prst="rect">
                      <a:avLst/>
                    </a:prstGeom>
                    <a:noFill/>
                    <a:ln w="9525">
                      <a:noFill/>
                      <a:miter lim="800000"/>
                      <a:headEnd/>
                      <a:tailEnd/>
                    </a:ln>
                  </pic:spPr>
                </pic:pic>
              </a:graphicData>
            </a:graphic>
          </wp:inline>
        </w:drawing>
      </w:r>
    </w:p>
    <w:p w14:paraId="65A51EB1" w14:textId="77777777" w:rsidR="00872C03" w:rsidRPr="00883399" w:rsidRDefault="00872C03" w:rsidP="00872C03">
      <w:pPr>
        <w:pStyle w:val="Definition0"/>
        <w:ind w:left="1701"/>
        <w:rPr>
          <w:sz w:val="24"/>
        </w:rPr>
      </w:pPr>
      <w:r w:rsidRPr="00883399">
        <w:rPr>
          <w:sz w:val="24"/>
        </w:rPr>
        <w:t>where:</w:t>
      </w:r>
    </w:p>
    <w:p w14:paraId="0A97640A" w14:textId="77777777" w:rsidR="00872C03" w:rsidRPr="00883399" w:rsidRDefault="00872C03" w:rsidP="00872C03">
      <w:pPr>
        <w:pStyle w:val="Definition0"/>
        <w:ind w:left="1701"/>
        <w:rPr>
          <w:sz w:val="24"/>
        </w:rPr>
      </w:pPr>
      <w:r w:rsidRPr="00883399">
        <w:rPr>
          <w:b/>
          <w:i/>
          <w:sz w:val="24"/>
        </w:rPr>
        <w:t xml:space="preserve">P </w:t>
      </w:r>
      <w:r w:rsidRPr="00883399">
        <w:rPr>
          <w:sz w:val="24"/>
        </w:rPr>
        <w:t>is the population served by the operation of the plant during the year and measured in numbers of persons.</w:t>
      </w:r>
    </w:p>
    <w:p w14:paraId="6CE59126" w14:textId="77777777" w:rsidR="00872C03" w:rsidRPr="00883399" w:rsidRDefault="00872C03" w:rsidP="00872C03">
      <w:pPr>
        <w:pStyle w:val="Definition0"/>
        <w:ind w:left="1701"/>
        <w:rPr>
          <w:sz w:val="24"/>
        </w:rPr>
      </w:pPr>
      <w:r w:rsidRPr="00883399">
        <w:rPr>
          <w:b/>
          <w:i/>
          <w:sz w:val="24"/>
        </w:rPr>
        <w:t>DC</w:t>
      </w:r>
      <w:r w:rsidRPr="00883399">
        <w:rPr>
          <w:rStyle w:val="charSubscript"/>
          <w:b/>
          <w:i/>
          <w:sz w:val="22"/>
        </w:rPr>
        <w:t>w</w:t>
      </w:r>
      <w:r w:rsidRPr="00883399">
        <w:rPr>
          <w:b/>
          <w:i/>
          <w:sz w:val="24"/>
        </w:rPr>
        <w:t xml:space="preserve"> </w:t>
      </w:r>
      <w:r w:rsidRPr="00883399">
        <w:rPr>
          <w:sz w:val="24"/>
        </w:rPr>
        <w:t>is the quantity in tonnes of COD per capita of wastewater for a year using a default of 0.0585 tonnes per person.</w:t>
      </w:r>
    </w:p>
    <w:p w14:paraId="3DFE3D84" w14:textId="77777777" w:rsidR="00872C03" w:rsidRPr="00883399" w:rsidRDefault="00872C03" w:rsidP="00872C03">
      <w:pPr>
        <w:pStyle w:val="Definition0"/>
        <w:rPr>
          <w:sz w:val="24"/>
        </w:rPr>
      </w:pPr>
      <w:r w:rsidRPr="00883399">
        <w:rPr>
          <w:b/>
          <w:i/>
          <w:sz w:val="24"/>
        </w:rPr>
        <w:t>CH</w:t>
      </w:r>
      <w:r w:rsidRPr="00883399">
        <w:rPr>
          <w:b/>
          <w:i/>
          <w:sz w:val="24"/>
          <w:vertAlign w:val="subscript"/>
        </w:rPr>
        <w:t>4gen</w:t>
      </w:r>
      <w:r w:rsidRPr="00883399">
        <w:rPr>
          <w:rStyle w:val="charSubscript"/>
          <w:b/>
          <w:i/>
          <w:iCs/>
          <w:sz w:val="22"/>
        </w:rPr>
        <w:t xml:space="preserve"> </w:t>
      </w:r>
      <w:r w:rsidRPr="00883399">
        <w:rPr>
          <w:sz w:val="24"/>
        </w:rPr>
        <w:t>is the methane generated from commercial wastewater and sludge treatment by the plant during the year measured in CO</w:t>
      </w:r>
      <w:r w:rsidRPr="00883399">
        <w:rPr>
          <w:sz w:val="24"/>
          <w:vertAlign w:val="subscript"/>
        </w:rPr>
        <w:t>2</w:t>
      </w:r>
      <w:r w:rsidRPr="00883399">
        <w:rPr>
          <w:sz w:val="24"/>
        </w:rPr>
        <w:noBreakHyphen/>
        <w:t>e tonnes.</w:t>
      </w:r>
    </w:p>
    <w:p w14:paraId="5D8ABB35" w14:textId="77777777" w:rsidR="00872C03" w:rsidRPr="00883399" w:rsidRDefault="00872C03" w:rsidP="00872C03">
      <w:pPr>
        <w:pStyle w:val="Definition0"/>
        <w:rPr>
          <w:sz w:val="24"/>
        </w:rPr>
      </w:pPr>
      <w:r w:rsidRPr="00883399">
        <w:rPr>
          <w:b/>
          <w:i/>
          <w:sz w:val="24"/>
        </w:rPr>
        <w:lastRenderedPageBreak/>
        <w:t>COD</w:t>
      </w:r>
      <w:r w:rsidRPr="00883399">
        <w:rPr>
          <w:rStyle w:val="charSubscript"/>
          <w:b/>
          <w:i/>
          <w:sz w:val="22"/>
        </w:rPr>
        <w:t>w</w:t>
      </w:r>
      <w:r w:rsidRPr="00883399">
        <w:rPr>
          <w:b/>
          <w:i/>
          <w:sz w:val="24"/>
        </w:rPr>
        <w:t xml:space="preserve"> </w:t>
      </w:r>
      <w:r w:rsidRPr="00883399">
        <w:rPr>
          <w:sz w:val="24"/>
        </w:rPr>
        <w:t>is the chemical oxygen demand (</w:t>
      </w:r>
      <w:r w:rsidRPr="00883399">
        <w:rPr>
          <w:b/>
          <w:i/>
          <w:sz w:val="24"/>
        </w:rPr>
        <w:t>COD</w:t>
      </w:r>
      <w:r w:rsidRPr="00883399">
        <w:rPr>
          <w:sz w:val="24"/>
        </w:rPr>
        <w:t>) in wastewater entering the plant during the year measured in tonnes.</w:t>
      </w:r>
    </w:p>
    <w:p w14:paraId="2E3CBA52" w14:textId="77777777" w:rsidR="00872C03" w:rsidRPr="00883399" w:rsidRDefault="00872C03" w:rsidP="00872C03">
      <w:pPr>
        <w:pStyle w:val="Definition0"/>
        <w:rPr>
          <w:sz w:val="24"/>
        </w:rPr>
      </w:pPr>
      <w:r w:rsidRPr="00883399">
        <w:rPr>
          <w:b/>
          <w:i/>
          <w:sz w:val="24"/>
        </w:rPr>
        <w:t>COD</w:t>
      </w:r>
      <w:r w:rsidRPr="00883399">
        <w:rPr>
          <w:b/>
          <w:i/>
          <w:sz w:val="24"/>
          <w:vertAlign w:val="subscript"/>
        </w:rPr>
        <w:t>sl</w:t>
      </w:r>
      <w:r w:rsidRPr="00883399">
        <w:rPr>
          <w:b/>
          <w:i/>
          <w:sz w:val="24"/>
        </w:rPr>
        <w:t xml:space="preserve"> </w:t>
      </w:r>
      <w:r w:rsidRPr="00883399">
        <w:rPr>
          <w:sz w:val="24"/>
        </w:rPr>
        <w:t>is the quantity of COD removed as sludge from wastewater and treated in the plant measured in tonnes of COD and worked out as follows:</w:t>
      </w:r>
    </w:p>
    <w:p w14:paraId="6AC49C00" w14:textId="76EAE2DE" w:rsidR="00872C03" w:rsidRPr="00883399" w:rsidRDefault="00872C03" w:rsidP="00872C03">
      <w:pPr>
        <w:pStyle w:val="Definition0"/>
        <w:spacing w:before="120" w:after="120"/>
        <w:rPr>
          <w:sz w:val="24"/>
        </w:rPr>
      </w:pPr>
      <w:r w:rsidRPr="00883399">
        <w:rPr>
          <w:noProof/>
          <w:sz w:val="24"/>
        </w:rPr>
        <w:drawing>
          <wp:inline distT="0" distB="0" distL="0" distR="0" wp14:anchorId="74C8B8E1" wp14:editId="53697FFB">
            <wp:extent cx="1697990" cy="237490"/>
            <wp:effectExtent l="1905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11"/>
                    <a:srcRect/>
                    <a:stretch>
                      <a:fillRect/>
                    </a:stretch>
                  </pic:blipFill>
                  <pic:spPr bwMode="auto">
                    <a:xfrm>
                      <a:off x="0" y="0"/>
                      <a:ext cx="1697990" cy="237490"/>
                    </a:xfrm>
                    <a:prstGeom prst="rect">
                      <a:avLst/>
                    </a:prstGeom>
                    <a:noFill/>
                    <a:ln w="9525">
                      <a:noFill/>
                      <a:miter lim="800000"/>
                      <a:headEnd/>
                      <a:tailEnd/>
                    </a:ln>
                  </pic:spPr>
                </pic:pic>
              </a:graphicData>
            </a:graphic>
          </wp:inline>
        </w:drawing>
      </w:r>
    </w:p>
    <w:p w14:paraId="13A19F65" w14:textId="77777777" w:rsidR="00872C03" w:rsidRPr="00883399" w:rsidRDefault="00872C03" w:rsidP="00872C03">
      <w:pPr>
        <w:pStyle w:val="Definition0"/>
        <w:ind w:left="1701"/>
        <w:rPr>
          <w:sz w:val="24"/>
        </w:rPr>
      </w:pPr>
      <w:r w:rsidRPr="00883399">
        <w:rPr>
          <w:sz w:val="24"/>
        </w:rPr>
        <w:t>where:</w:t>
      </w:r>
    </w:p>
    <w:p w14:paraId="3A6C8EAE" w14:textId="77777777" w:rsidR="00872C03" w:rsidRPr="00883399" w:rsidRDefault="00872C03" w:rsidP="00872C03">
      <w:pPr>
        <w:pStyle w:val="Definition0"/>
        <w:ind w:left="1701"/>
        <w:rPr>
          <w:sz w:val="24"/>
        </w:rPr>
      </w:pPr>
      <w:r w:rsidRPr="00883399">
        <w:rPr>
          <w:b/>
          <w:i/>
          <w:sz w:val="24"/>
        </w:rPr>
        <w:t>COD</w:t>
      </w:r>
      <w:r w:rsidRPr="00883399">
        <w:rPr>
          <w:b/>
          <w:i/>
          <w:sz w:val="24"/>
          <w:vertAlign w:val="subscript"/>
        </w:rPr>
        <w:t>psl</w:t>
      </w:r>
      <w:r w:rsidRPr="00883399">
        <w:rPr>
          <w:b/>
          <w:i/>
          <w:sz w:val="32"/>
        </w:rPr>
        <w:t xml:space="preserve"> </w:t>
      </w:r>
      <w:r w:rsidRPr="00883399">
        <w:rPr>
          <w:sz w:val="24"/>
        </w:rPr>
        <w:t>is the quantity of COD removed as primary sludge from wastewater and treated in the plant measured in tonnes of COD and estimated under subsection (7).</w:t>
      </w:r>
    </w:p>
    <w:p w14:paraId="71AA6A65" w14:textId="77777777" w:rsidR="00872C03" w:rsidRPr="00883399" w:rsidRDefault="00872C03" w:rsidP="00872C03">
      <w:pPr>
        <w:pStyle w:val="Definition0"/>
        <w:ind w:left="1701"/>
        <w:rPr>
          <w:sz w:val="24"/>
        </w:rPr>
      </w:pPr>
      <w:r w:rsidRPr="00883399">
        <w:rPr>
          <w:b/>
          <w:i/>
          <w:sz w:val="24"/>
        </w:rPr>
        <w:t>COD</w:t>
      </w:r>
      <w:r w:rsidRPr="00883399">
        <w:rPr>
          <w:b/>
          <w:i/>
          <w:sz w:val="24"/>
          <w:vertAlign w:val="subscript"/>
        </w:rPr>
        <w:t>wasl</w:t>
      </w:r>
      <w:r w:rsidRPr="00883399">
        <w:rPr>
          <w:b/>
          <w:i/>
          <w:sz w:val="32"/>
        </w:rPr>
        <w:t xml:space="preserve"> </w:t>
      </w:r>
      <w:r w:rsidRPr="00883399">
        <w:rPr>
          <w:sz w:val="24"/>
        </w:rPr>
        <w:t>is the quantity of COD removed as waste activated sludge from wastewater and treated in the plant measured in tonnes of COD and estimated under subsection (8).</w:t>
      </w:r>
    </w:p>
    <w:p w14:paraId="31C0A5F2" w14:textId="77777777" w:rsidR="00872C03" w:rsidRPr="00883399" w:rsidRDefault="00872C03" w:rsidP="00872C03">
      <w:pPr>
        <w:pStyle w:val="Definition0"/>
        <w:rPr>
          <w:sz w:val="24"/>
        </w:rPr>
      </w:pPr>
      <w:r w:rsidRPr="00883399">
        <w:rPr>
          <w:b/>
          <w:i/>
          <w:sz w:val="24"/>
        </w:rPr>
        <w:t>COD</w:t>
      </w:r>
      <w:r w:rsidRPr="00883399">
        <w:rPr>
          <w:b/>
          <w:i/>
          <w:sz w:val="24"/>
          <w:vertAlign w:val="subscript"/>
        </w:rPr>
        <w:t>eff</w:t>
      </w:r>
      <w:r w:rsidRPr="00883399">
        <w:rPr>
          <w:b/>
          <w:i/>
          <w:sz w:val="24"/>
        </w:rPr>
        <w:t xml:space="preserve"> </w:t>
      </w:r>
      <w:r w:rsidRPr="00883399">
        <w:rPr>
          <w:sz w:val="24"/>
        </w:rPr>
        <w:t>is the quantity of COD in effluent leaving the plant during the year measured in tonnes.</w:t>
      </w:r>
    </w:p>
    <w:p w14:paraId="46AAF521" w14:textId="77777777" w:rsidR="00872C03" w:rsidRPr="00883399" w:rsidRDefault="00872C03" w:rsidP="00872C03">
      <w:pPr>
        <w:pStyle w:val="Definition0"/>
        <w:rPr>
          <w:sz w:val="24"/>
        </w:rPr>
      </w:pPr>
      <w:r w:rsidRPr="00883399">
        <w:rPr>
          <w:b/>
          <w:i/>
          <w:sz w:val="24"/>
        </w:rPr>
        <w:t>MCF</w:t>
      </w:r>
      <w:r w:rsidRPr="00883399">
        <w:rPr>
          <w:rStyle w:val="charSubscript"/>
          <w:b/>
          <w:i/>
          <w:sz w:val="22"/>
        </w:rPr>
        <w:t>ww</w:t>
      </w:r>
      <w:r w:rsidRPr="00883399">
        <w:rPr>
          <w:b/>
          <w:i/>
          <w:sz w:val="24"/>
        </w:rPr>
        <w:t xml:space="preserve"> </w:t>
      </w:r>
      <w:r w:rsidRPr="00883399">
        <w:rPr>
          <w:sz w:val="24"/>
        </w:rPr>
        <w:t>is the methane correction factor for wastewater treated at the plant during the year.</w:t>
      </w:r>
    </w:p>
    <w:p w14:paraId="278AC004" w14:textId="77777777" w:rsidR="00872C03" w:rsidRPr="00883399" w:rsidRDefault="00872C03" w:rsidP="00872C03">
      <w:pPr>
        <w:pStyle w:val="notetext"/>
        <w:rPr>
          <w:sz w:val="20"/>
        </w:rPr>
      </w:pPr>
      <w:r w:rsidRPr="00883399">
        <w:rPr>
          <w:sz w:val="20"/>
        </w:rPr>
        <w:t>Note:</w:t>
      </w:r>
      <w:r w:rsidRPr="00883399">
        <w:rPr>
          <w:sz w:val="20"/>
        </w:rPr>
        <w:tab/>
        <w:t>IPCC default methane correction factors for various types of treatment are:</w:t>
      </w:r>
    </w:p>
    <w:p w14:paraId="10F528CE" w14:textId="77777777" w:rsidR="00872C03" w:rsidRPr="00883399" w:rsidRDefault="00872C03" w:rsidP="00872C03">
      <w:pPr>
        <w:pStyle w:val="notepara1"/>
        <w:rPr>
          <w:sz w:val="20"/>
        </w:rPr>
      </w:pPr>
      <w:r w:rsidRPr="00883399">
        <w:rPr>
          <w:sz w:val="20"/>
        </w:rPr>
        <w:sym w:font="Symbol" w:char="00B7"/>
      </w:r>
      <w:r w:rsidRPr="00883399">
        <w:rPr>
          <w:sz w:val="20"/>
        </w:rPr>
        <w:tab/>
        <w:t>managed aerobic treatment: 0</w:t>
      </w:r>
    </w:p>
    <w:p w14:paraId="282B2806" w14:textId="77777777" w:rsidR="00872C03" w:rsidRPr="00883399" w:rsidRDefault="00872C03" w:rsidP="00872C03">
      <w:pPr>
        <w:pStyle w:val="notepara1"/>
        <w:rPr>
          <w:sz w:val="20"/>
        </w:rPr>
      </w:pPr>
      <w:r w:rsidRPr="00883399">
        <w:rPr>
          <w:sz w:val="20"/>
        </w:rPr>
        <w:sym w:font="Symbol" w:char="00B7"/>
      </w:r>
      <w:r w:rsidRPr="00883399">
        <w:rPr>
          <w:sz w:val="20"/>
        </w:rPr>
        <w:tab/>
        <w:t>unmanaged aerobic treatment: 0.3</w:t>
      </w:r>
    </w:p>
    <w:p w14:paraId="1AAB4912" w14:textId="77777777" w:rsidR="00872C03" w:rsidRPr="00883399" w:rsidRDefault="00872C03" w:rsidP="00872C03">
      <w:pPr>
        <w:pStyle w:val="notepara1"/>
        <w:rPr>
          <w:sz w:val="20"/>
        </w:rPr>
      </w:pPr>
      <w:r w:rsidRPr="00883399">
        <w:rPr>
          <w:sz w:val="20"/>
        </w:rPr>
        <w:sym w:font="Symbol" w:char="00B7"/>
      </w:r>
      <w:r w:rsidRPr="00883399">
        <w:rPr>
          <w:sz w:val="20"/>
        </w:rPr>
        <w:tab/>
        <w:t>anaerobic digester/reactor: 0.8</w:t>
      </w:r>
    </w:p>
    <w:p w14:paraId="381EF7AE" w14:textId="77777777" w:rsidR="00872C03" w:rsidRPr="00883399" w:rsidRDefault="00872C03" w:rsidP="00872C03">
      <w:pPr>
        <w:pStyle w:val="notepara1"/>
        <w:rPr>
          <w:sz w:val="20"/>
        </w:rPr>
      </w:pPr>
      <w:r w:rsidRPr="00883399">
        <w:rPr>
          <w:sz w:val="20"/>
        </w:rPr>
        <w:sym w:font="Symbol" w:char="00B7"/>
      </w:r>
      <w:r w:rsidRPr="00883399">
        <w:rPr>
          <w:sz w:val="20"/>
        </w:rPr>
        <w:tab/>
        <w:t>shallow anaerobic lagoon (&lt;2 metres): 0.2</w:t>
      </w:r>
    </w:p>
    <w:p w14:paraId="17109446" w14:textId="77777777" w:rsidR="00872C03" w:rsidRPr="00883399" w:rsidRDefault="00872C03" w:rsidP="00872C03">
      <w:pPr>
        <w:pStyle w:val="notepara1"/>
        <w:rPr>
          <w:sz w:val="20"/>
        </w:rPr>
      </w:pPr>
      <w:r w:rsidRPr="00883399">
        <w:rPr>
          <w:sz w:val="20"/>
        </w:rPr>
        <w:sym w:font="Symbol" w:char="00B7"/>
      </w:r>
      <w:r w:rsidRPr="00883399">
        <w:rPr>
          <w:sz w:val="20"/>
        </w:rPr>
        <w:tab/>
        <w:t>deep anaerobic lagoon (&gt;2 metres): 0.8.</w:t>
      </w:r>
    </w:p>
    <w:p w14:paraId="7214EE89" w14:textId="77777777" w:rsidR="00872C03" w:rsidRPr="00883399" w:rsidRDefault="00872C03" w:rsidP="00872C03">
      <w:pPr>
        <w:pStyle w:val="Definition0"/>
        <w:rPr>
          <w:sz w:val="24"/>
        </w:rPr>
      </w:pPr>
      <w:r w:rsidRPr="00883399">
        <w:rPr>
          <w:b/>
          <w:i/>
          <w:sz w:val="24"/>
        </w:rPr>
        <w:t>EF</w:t>
      </w:r>
      <w:r w:rsidRPr="00883399">
        <w:rPr>
          <w:rStyle w:val="charSubscript"/>
          <w:b/>
          <w:i/>
          <w:sz w:val="22"/>
        </w:rPr>
        <w:t>wij</w:t>
      </w:r>
      <w:r w:rsidRPr="00883399">
        <w:rPr>
          <w:b/>
          <w:i/>
          <w:sz w:val="24"/>
        </w:rPr>
        <w:t xml:space="preserve"> </w:t>
      </w:r>
      <w:r w:rsidRPr="00883399">
        <w:rPr>
          <w:sz w:val="24"/>
        </w:rPr>
        <w:t>is the default methane emission factor for wastewater with a value of 6.3 CO</w:t>
      </w:r>
      <w:r w:rsidRPr="00883399">
        <w:rPr>
          <w:sz w:val="24"/>
          <w:vertAlign w:val="subscript"/>
        </w:rPr>
        <w:t>2</w:t>
      </w:r>
      <w:r w:rsidRPr="00883399">
        <w:rPr>
          <w:sz w:val="24"/>
        </w:rPr>
        <w:noBreakHyphen/>
        <w:t>e tonnes per tonne COD.</w:t>
      </w:r>
    </w:p>
    <w:p w14:paraId="280FE4F3" w14:textId="77777777" w:rsidR="00872C03" w:rsidRPr="00883399" w:rsidRDefault="00872C03" w:rsidP="00872C03">
      <w:pPr>
        <w:pStyle w:val="Definition0"/>
        <w:rPr>
          <w:sz w:val="24"/>
        </w:rPr>
      </w:pPr>
      <w:r w:rsidRPr="00883399">
        <w:rPr>
          <w:b/>
          <w:i/>
          <w:sz w:val="24"/>
        </w:rPr>
        <w:t>COD</w:t>
      </w:r>
      <w:r w:rsidRPr="00883399">
        <w:rPr>
          <w:rStyle w:val="charSubscript"/>
          <w:b/>
          <w:i/>
          <w:sz w:val="22"/>
        </w:rPr>
        <w:t>trl</w:t>
      </w:r>
      <w:r w:rsidRPr="00883399">
        <w:rPr>
          <w:b/>
          <w:i/>
          <w:sz w:val="24"/>
        </w:rPr>
        <w:t xml:space="preserve"> </w:t>
      </w:r>
      <w:r w:rsidRPr="00883399">
        <w:rPr>
          <w:sz w:val="24"/>
        </w:rPr>
        <w:t>is the quantity of COD in sludge transferred out of the plant and removed to landfill measured in tonnes of COD.</w:t>
      </w:r>
    </w:p>
    <w:p w14:paraId="04CEF667" w14:textId="77777777" w:rsidR="00872C03" w:rsidRPr="00883399" w:rsidRDefault="00872C03" w:rsidP="00872C03">
      <w:pPr>
        <w:pStyle w:val="Definition0"/>
        <w:rPr>
          <w:sz w:val="24"/>
        </w:rPr>
      </w:pPr>
      <w:r w:rsidRPr="00883399">
        <w:rPr>
          <w:b/>
          <w:i/>
          <w:sz w:val="24"/>
        </w:rPr>
        <w:t>COD</w:t>
      </w:r>
      <w:r w:rsidRPr="00883399">
        <w:rPr>
          <w:rStyle w:val="charSubscript"/>
          <w:b/>
          <w:i/>
          <w:sz w:val="22"/>
        </w:rPr>
        <w:t>tro</w:t>
      </w:r>
      <w:r w:rsidRPr="00883399">
        <w:rPr>
          <w:b/>
          <w:i/>
          <w:sz w:val="24"/>
        </w:rPr>
        <w:t xml:space="preserve"> </w:t>
      </w:r>
      <w:r w:rsidRPr="00883399">
        <w:rPr>
          <w:sz w:val="24"/>
        </w:rPr>
        <w:t>is the quantity of COD in sludge transferred out of the plant and removed to a site other than landfill measured in tonnes of COD.</w:t>
      </w:r>
    </w:p>
    <w:p w14:paraId="12CF82C5" w14:textId="77777777" w:rsidR="00872C03" w:rsidRPr="00883399" w:rsidRDefault="00872C03" w:rsidP="00872C03">
      <w:pPr>
        <w:pStyle w:val="Definition0"/>
        <w:rPr>
          <w:sz w:val="24"/>
        </w:rPr>
      </w:pPr>
      <w:r w:rsidRPr="00883399">
        <w:rPr>
          <w:b/>
          <w:i/>
          <w:sz w:val="24"/>
        </w:rPr>
        <w:t>MCF</w:t>
      </w:r>
      <w:r w:rsidRPr="00883399">
        <w:rPr>
          <w:rStyle w:val="charSubscript"/>
          <w:b/>
          <w:i/>
          <w:sz w:val="22"/>
        </w:rPr>
        <w:t xml:space="preserve">sl </w:t>
      </w:r>
      <w:r w:rsidRPr="00883399">
        <w:rPr>
          <w:sz w:val="24"/>
        </w:rPr>
        <w:t>is the methane correction factor for sludge treated at the plant during the year.</w:t>
      </w:r>
    </w:p>
    <w:p w14:paraId="3DD87FA1" w14:textId="77777777" w:rsidR="00872C03" w:rsidRPr="00883399" w:rsidRDefault="00872C03" w:rsidP="00872C03">
      <w:pPr>
        <w:pStyle w:val="notetext"/>
        <w:rPr>
          <w:sz w:val="20"/>
        </w:rPr>
      </w:pPr>
      <w:r w:rsidRPr="00883399">
        <w:rPr>
          <w:sz w:val="20"/>
        </w:rPr>
        <w:t>Note:</w:t>
      </w:r>
      <w:r w:rsidRPr="00883399">
        <w:rPr>
          <w:sz w:val="20"/>
        </w:rPr>
        <w:tab/>
        <w:t>IPCC default</w:t>
      </w:r>
      <w:r w:rsidRPr="00883399">
        <w:rPr>
          <w:i/>
          <w:sz w:val="20"/>
        </w:rPr>
        <w:t xml:space="preserve"> </w:t>
      </w:r>
      <w:r w:rsidRPr="00883399">
        <w:rPr>
          <w:sz w:val="20"/>
        </w:rPr>
        <w:t>methane correction factors for various types of treatment are:</w:t>
      </w:r>
    </w:p>
    <w:p w14:paraId="35A528F1" w14:textId="77777777" w:rsidR="00872C03" w:rsidRPr="00883399" w:rsidRDefault="00872C03" w:rsidP="00872C03">
      <w:pPr>
        <w:pStyle w:val="notepara1"/>
        <w:rPr>
          <w:sz w:val="20"/>
        </w:rPr>
      </w:pPr>
      <w:r w:rsidRPr="00883399">
        <w:rPr>
          <w:sz w:val="20"/>
        </w:rPr>
        <w:sym w:font="Symbol" w:char="00B7"/>
      </w:r>
      <w:r w:rsidRPr="00883399">
        <w:rPr>
          <w:sz w:val="20"/>
        </w:rPr>
        <w:tab/>
        <w:t>managed aerobic treatment: 0</w:t>
      </w:r>
    </w:p>
    <w:p w14:paraId="1C207D25" w14:textId="77777777" w:rsidR="00872C03" w:rsidRPr="00883399" w:rsidRDefault="00872C03" w:rsidP="00872C03">
      <w:pPr>
        <w:pStyle w:val="notepara1"/>
        <w:rPr>
          <w:sz w:val="20"/>
        </w:rPr>
      </w:pPr>
      <w:r w:rsidRPr="00883399">
        <w:rPr>
          <w:sz w:val="20"/>
        </w:rPr>
        <w:sym w:font="Symbol" w:char="00B7"/>
      </w:r>
      <w:r w:rsidRPr="00883399">
        <w:rPr>
          <w:sz w:val="20"/>
        </w:rPr>
        <w:tab/>
        <w:t>unmanaged aerobic treatment: 0.3</w:t>
      </w:r>
    </w:p>
    <w:p w14:paraId="256DB4E2" w14:textId="77777777" w:rsidR="00872C03" w:rsidRPr="00883399" w:rsidRDefault="00872C03" w:rsidP="00872C03">
      <w:pPr>
        <w:pStyle w:val="notepara1"/>
        <w:rPr>
          <w:sz w:val="20"/>
        </w:rPr>
      </w:pPr>
      <w:r w:rsidRPr="00883399">
        <w:rPr>
          <w:sz w:val="20"/>
        </w:rPr>
        <w:sym w:font="Symbol" w:char="00B7"/>
      </w:r>
      <w:r w:rsidRPr="00883399">
        <w:rPr>
          <w:sz w:val="20"/>
        </w:rPr>
        <w:tab/>
        <w:t>anaerobic digester/reactor: 0.8</w:t>
      </w:r>
    </w:p>
    <w:p w14:paraId="7CC0FDAB" w14:textId="77777777" w:rsidR="00872C03" w:rsidRPr="00883399" w:rsidRDefault="00872C03" w:rsidP="00872C03">
      <w:pPr>
        <w:pStyle w:val="notepara1"/>
        <w:rPr>
          <w:sz w:val="20"/>
        </w:rPr>
      </w:pPr>
      <w:r w:rsidRPr="00883399">
        <w:rPr>
          <w:sz w:val="20"/>
        </w:rPr>
        <w:sym w:font="Symbol" w:char="00B7"/>
      </w:r>
      <w:r w:rsidRPr="00883399">
        <w:rPr>
          <w:sz w:val="20"/>
        </w:rPr>
        <w:tab/>
        <w:t>shallow anaerobic lagoon (&lt;2 metres): 0.2</w:t>
      </w:r>
    </w:p>
    <w:p w14:paraId="12D07279" w14:textId="77777777" w:rsidR="00872C03" w:rsidRPr="00883399" w:rsidRDefault="00872C03" w:rsidP="00872C03">
      <w:pPr>
        <w:pStyle w:val="notepara1"/>
        <w:rPr>
          <w:sz w:val="20"/>
        </w:rPr>
      </w:pPr>
      <w:r w:rsidRPr="00883399">
        <w:rPr>
          <w:sz w:val="20"/>
        </w:rPr>
        <w:sym w:font="Symbol" w:char="00B7"/>
      </w:r>
      <w:r w:rsidRPr="00883399">
        <w:rPr>
          <w:sz w:val="20"/>
        </w:rPr>
        <w:tab/>
        <w:t>deep anaerobic lagoon (&gt;2 metres): 0.8.</w:t>
      </w:r>
    </w:p>
    <w:p w14:paraId="61C44E6B" w14:textId="77777777" w:rsidR="00872C03" w:rsidRPr="00883399" w:rsidRDefault="00872C03" w:rsidP="00872C03">
      <w:pPr>
        <w:pStyle w:val="Definition0"/>
        <w:rPr>
          <w:sz w:val="24"/>
        </w:rPr>
      </w:pPr>
      <w:r w:rsidRPr="00883399">
        <w:rPr>
          <w:b/>
          <w:i/>
          <w:sz w:val="24"/>
        </w:rPr>
        <w:lastRenderedPageBreak/>
        <w:t>EF</w:t>
      </w:r>
      <w:r w:rsidRPr="00883399">
        <w:rPr>
          <w:rStyle w:val="charSubscript"/>
          <w:b/>
          <w:i/>
          <w:sz w:val="22"/>
        </w:rPr>
        <w:t>slij</w:t>
      </w:r>
      <w:r w:rsidRPr="00883399">
        <w:rPr>
          <w:b/>
          <w:i/>
          <w:sz w:val="24"/>
        </w:rPr>
        <w:t xml:space="preserve"> </w:t>
      </w:r>
      <w:r w:rsidRPr="00883399">
        <w:rPr>
          <w:sz w:val="24"/>
        </w:rPr>
        <w:t>is the default methane emission factor for sludge with a value of 6.3 CO</w:t>
      </w:r>
      <w:r w:rsidRPr="00883399">
        <w:rPr>
          <w:sz w:val="24"/>
          <w:vertAlign w:val="subscript"/>
        </w:rPr>
        <w:t>2</w:t>
      </w:r>
      <w:r w:rsidRPr="00883399">
        <w:rPr>
          <w:sz w:val="24"/>
        </w:rPr>
        <w:noBreakHyphen/>
        <w:t>e tonnes per tonne COD (sludge).</w:t>
      </w:r>
    </w:p>
    <w:p w14:paraId="43013D22" w14:textId="77777777" w:rsidR="00872C03" w:rsidRPr="00883399" w:rsidRDefault="00872C03" w:rsidP="00872C03">
      <w:pPr>
        <w:pStyle w:val="subsection"/>
        <w:rPr>
          <w:sz w:val="24"/>
        </w:rPr>
      </w:pPr>
      <w:r w:rsidRPr="00883399">
        <w:rPr>
          <w:sz w:val="24"/>
        </w:rPr>
        <w:tab/>
        <w:t>(6)</w:t>
      </w:r>
      <w:r w:rsidRPr="00883399">
        <w:rPr>
          <w:sz w:val="24"/>
        </w:rPr>
        <w:tab/>
        <w:t xml:space="preserve">For subsection (5), an operator of the plant must choose a treatment for </w:t>
      </w:r>
      <w:r w:rsidRPr="00883399">
        <w:rPr>
          <w:b/>
          <w:i/>
          <w:sz w:val="24"/>
        </w:rPr>
        <w:t>MCF</w:t>
      </w:r>
      <w:r w:rsidRPr="00883399">
        <w:rPr>
          <w:b/>
          <w:i/>
          <w:sz w:val="24"/>
          <w:szCs w:val="22"/>
          <w:vertAlign w:val="subscript"/>
        </w:rPr>
        <w:t>w</w:t>
      </w:r>
      <w:r w:rsidRPr="00883399">
        <w:rPr>
          <w:rStyle w:val="charSubscript"/>
          <w:b/>
          <w:i/>
          <w:sz w:val="24"/>
          <w:szCs w:val="22"/>
        </w:rPr>
        <w:t xml:space="preserve">w  </w:t>
      </w:r>
      <w:r w:rsidRPr="00883399">
        <w:rPr>
          <w:sz w:val="24"/>
        </w:rPr>
        <w:t xml:space="preserve">and estimate the quantity of COD removed from the wastewater as sludge </w:t>
      </w:r>
      <w:r w:rsidRPr="00883399">
        <w:rPr>
          <w:i/>
          <w:sz w:val="24"/>
        </w:rPr>
        <w:t>(</w:t>
      </w:r>
      <w:r w:rsidRPr="00883399">
        <w:rPr>
          <w:b/>
          <w:i/>
          <w:sz w:val="24"/>
        </w:rPr>
        <w:t>COD</w:t>
      </w:r>
      <w:r w:rsidRPr="00883399">
        <w:rPr>
          <w:rStyle w:val="charSubscript"/>
          <w:b/>
          <w:i/>
          <w:sz w:val="24"/>
        </w:rPr>
        <w:t>sl</w:t>
      </w:r>
      <w:r w:rsidRPr="00883399">
        <w:rPr>
          <w:rStyle w:val="charSubscript"/>
          <w:sz w:val="24"/>
        </w:rPr>
        <w:t>)</w:t>
      </w:r>
      <w:r w:rsidRPr="00883399">
        <w:rPr>
          <w:sz w:val="24"/>
        </w:rPr>
        <w:t>.</w:t>
      </w:r>
    </w:p>
    <w:p w14:paraId="21930829" w14:textId="77777777" w:rsidR="00872C03" w:rsidRPr="00883399" w:rsidRDefault="00872C03" w:rsidP="00872C03">
      <w:pPr>
        <w:pStyle w:val="subsection"/>
        <w:rPr>
          <w:sz w:val="24"/>
        </w:rPr>
      </w:pPr>
      <w:r w:rsidRPr="00883399">
        <w:rPr>
          <w:sz w:val="24"/>
        </w:rPr>
        <w:tab/>
        <w:t>(7)</w:t>
      </w:r>
      <w:r w:rsidRPr="00883399">
        <w:rPr>
          <w:sz w:val="24"/>
        </w:rPr>
        <w:tab/>
        <w:t>For subsection (5), COD</w:t>
      </w:r>
      <w:r w:rsidRPr="00883399">
        <w:rPr>
          <w:sz w:val="24"/>
          <w:vertAlign w:val="subscript"/>
        </w:rPr>
        <w:t>psl</w:t>
      </w:r>
      <w:r w:rsidRPr="00883399">
        <w:rPr>
          <w:sz w:val="24"/>
        </w:rPr>
        <w:t xml:space="preserve"> may be estimated using the following formula:</w:t>
      </w:r>
    </w:p>
    <w:p w14:paraId="20ACD953" w14:textId="7BFCFA91"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115F9DEC" wp14:editId="1C3A2321">
            <wp:extent cx="772160" cy="237490"/>
            <wp:effectExtent l="19050" t="0" r="889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12"/>
                    <a:srcRect/>
                    <a:stretch>
                      <a:fillRect/>
                    </a:stretch>
                  </pic:blipFill>
                  <pic:spPr bwMode="auto">
                    <a:xfrm>
                      <a:off x="0" y="0"/>
                      <a:ext cx="772160" cy="237490"/>
                    </a:xfrm>
                    <a:prstGeom prst="rect">
                      <a:avLst/>
                    </a:prstGeom>
                    <a:noFill/>
                    <a:ln w="9525">
                      <a:noFill/>
                      <a:miter lim="800000"/>
                      <a:headEnd/>
                      <a:tailEnd/>
                    </a:ln>
                  </pic:spPr>
                </pic:pic>
              </a:graphicData>
            </a:graphic>
          </wp:inline>
        </w:drawing>
      </w:r>
    </w:p>
    <w:p w14:paraId="221A031F" w14:textId="77777777" w:rsidR="00872C03" w:rsidRPr="00883399" w:rsidRDefault="00872C03" w:rsidP="00872C03">
      <w:pPr>
        <w:pStyle w:val="subsection2"/>
        <w:rPr>
          <w:sz w:val="24"/>
        </w:rPr>
      </w:pPr>
      <w:r w:rsidRPr="00883399">
        <w:rPr>
          <w:sz w:val="24"/>
        </w:rPr>
        <w:t>where:</w:t>
      </w:r>
    </w:p>
    <w:p w14:paraId="5AF6780E" w14:textId="77777777" w:rsidR="00872C03" w:rsidRPr="00883399" w:rsidRDefault="00872C03" w:rsidP="00872C03">
      <w:pPr>
        <w:pStyle w:val="Definition0"/>
        <w:rPr>
          <w:rFonts w:ascii="Arial" w:hAnsi="Arial" w:cs="Arial"/>
          <w:sz w:val="24"/>
        </w:rPr>
      </w:pPr>
      <w:r w:rsidRPr="00883399">
        <w:rPr>
          <w:rFonts w:ascii="TimesNewRoman,BoldItalic" w:hAnsi="TimesNewRoman,BoldItalic" w:cs="TimesNewRoman,BoldItalic"/>
          <w:b/>
          <w:bCs/>
          <w:i/>
          <w:iCs/>
          <w:sz w:val="24"/>
        </w:rPr>
        <w:t>VS</w:t>
      </w:r>
      <w:r w:rsidRPr="00883399">
        <w:rPr>
          <w:rFonts w:ascii="TimesNewRoman,BoldItalic" w:hAnsi="TimesNewRoman,BoldItalic" w:cs="TimesNewRoman,BoldItalic"/>
          <w:b/>
          <w:bCs/>
          <w:i/>
          <w:iCs/>
          <w:sz w:val="24"/>
          <w:vertAlign w:val="subscript"/>
        </w:rPr>
        <w:t xml:space="preserve">psl </w:t>
      </w:r>
      <w:r w:rsidRPr="00883399">
        <w:rPr>
          <w:sz w:val="24"/>
        </w:rPr>
        <w:t>is the estimated volatile solids in the primary sludge</w:t>
      </w:r>
      <w:r w:rsidRPr="00883399">
        <w:rPr>
          <w:rFonts w:ascii="Arial" w:hAnsi="Arial" w:cs="Arial"/>
          <w:sz w:val="24"/>
        </w:rPr>
        <w:t>.</w:t>
      </w:r>
    </w:p>
    <w:p w14:paraId="3C6888FA" w14:textId="77777777" w:rsidR="00872C03" w:rsidRPr="00883399" w:rsidRDefault="00872C03" w:rsidP="00872C03">
      <w:pPr>
        <w:pStyle w:val="subsection"/>
        <w:rPr>
          <w:sz w:val="24"/>
        </w:rPr>
      </w:pPr>
      <w:r w:rsidRPr="00883399">
        <w:rPr>
          <w:sz w:val="24"/>
        </w:rPr>
        <w:tab/>
        <w:t>(8)</w:t>
      </w:r>
      <w:r w:rsidRPr="00883399">
        <w:rPr>
          <w:sz w:val="24"/>
        </w:rPr>
        <w:tab/>
        <w:t>For subsection (5), COD</w:t>
      </w:r>
      <w:r w:rsidRPr="00883399">
        <w:rPr>
          <w:sz w:val="24"/>
          <w:vertAlign w:val="subscript"/>
        </w:rPr>
        <w:t>wasl</w:t>
      </w:r>
      <w:r w:rsidRPr="00883399">
        <w:rPr>
          <w:sz w:val="24"/>
        </w:rPr>
        <w:t xml:space="preserve"> may be estimated using the following formula:</w:t>
      </w:r>
    </w:p>
    <w:p w14:paraId="115BBB23" w14:textId="0B90AB48"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7D626BE5" wp14:editId="43D23843">
            <wp:extent cx="843280" cy="225425"/>
            <wp:effectExtent l="1905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13"/>
                    <a:srcRect/>
                    <a:stretch>
                      <a:fillRect/>
                    </a:stretch>
                  </pic:blipFill>
                  <pic:spPr bwMode="auto">
                    <a:xfrm>
                      <a:off x="0" y="0"/>
                      <a:ext cx="843280" cy="225425"/>
                    </a:xfrm>
                    <a:prstGeom prst="rect">
                      <a:avLst/>
                    </a:prstGeom>
                    <a:noFill/>
                    <a:ln w="9525">
                      <a:noFill/>
                      <a:miter lim="800000"/>
                      <a:headEnd/>
                      <a:tailEnd/>
                    </a:ln>
                  </pic:spPr>
                </pic:pic>
              </a:graphicData>
            </a:graphic>
          </wp:inline>
        </w:drawing>
      </w:r>
    </w:p>
    <w:p w14:paraId="0726D8CD" w14:textId="77777777" w:rsidR="00872C03" w:rsidRPr="00883399" w:rsidRDefault="00872C03" w:rsidP="00872C03">
      <w:pPr>
        <w:pStyle w:val="subsection2"/>
        <w:rPr>
          <w:sz w:val="24"/>
        </w:rPr>
      </w:pPr>
      <w:r w:rsidRPr="00883399">
        <w:rPr>
          <w:sz w:val="24"/>
        </w:rPr>
        <w:t>where:</w:t>
      </w:r>
    </w:p>
    <w:p w14:paraId="7857F4F4" w14:textId="77777777" w:rsidR="00872C03" w:rsidRPr="00883399" w:rsidRDefault="00872C03" w:rsidP="00872C03">
      <w:pPr>
        <w:pStyle w:val="Definition0"/>
        <w:rPr>
          <w:rFonts w:ascii="Arial" w:hAnsi="Arial" w:cs="Arial"/>
          <w:sz w:val="24"/>
        </w:rPr>
      </w:pPr>
      <w:r w:rsidRPr="00883399">
        <w:rPr>
          <w:rFonts w:ascii="TimesNewRoman,BoldItalic" w:hAnsi="TimesNewRoman,BoldItalic" w:cs="TimesNewRoman,BoldItalic"/>
          <w:b/>
          <w:bCs/>
          <w:i/>
          <w:iCs/>
          <w:sz w:val="24"/>
        </w:rPr>
        <w:t>VS</w:t>
      </w:r>
      <w:r w:rsidRPr="00883399">
        <w:rPr>
          <w:rFonts w:ascii="TimesNewRoman,BoldItalic" w:hAnsi="TimesNewRoman,BoldItalic" w:cs="TimesNewRoman,BoldItalic"/>
          <w:b/>
          <w:bCs/>
          <w:i/>
          <w:iCs/>
          <w:sz w:val="24"/>
          <w:vertAlign w:val="subscript"/>
        </w:rPr>
        <w:t xml:space="preserve">wasl </w:t>
      </w:r>
      <w:r w:rsidRPr="00883399">
        <w:rPr>
          <w:sz w:val="24"/>
        </w:rPr>
        <w:t>is the estimated volatile solids in the waste activated sludge</w:t>
      </w:r>
      <w:r w:rsidRPr="00883399">
        <w:rPr>
          <w:rFonts w:ascii="Arial" w:hAnsi="Arial" w:cs="Arial"/>
          <w:sz w:val="24"/>
        </w:rPr>
        <w:t>.</w:t>
      </w:r>
    </w:p>
    <w:p w14:paraId="615D3597" w14:textId="77777777" w:rsidR="00872C03" w:rsidRPr="00883399" w:rsidRDefault="00872C03" w:rsidP="00872C03">
      <w:pPr>
        <w:pStyle w:val="subsection"/>
        <w:rPr>
          <w:sz w:val="24"/>
        </w:rPr>
      </w:pPr>
      <w:r w:rsidRPr="00883399">
        <w:rPr>
          <w:sz w:val="24"/>
        </w:rPr>
        <w:tab/>
        <w:t>(9)</w:t>
      </w:r>
      <w:r w:rsidRPr="00883399">
        <w:rPr>
          <w:sz w:val="24"/>
        </w:rPr>
        <w:tab/>
        <w:t>In this section:</w:t>
      </w:r>
    </w:p>
    <w:p w14:paraId="4FDDD2EC" w14:textId="77777777" w:rsidR="00872C03" w:rsidRPr="00883399" w:rsidRDefault="00872C03" w:rsidP="00872C03">
      <w:pPr>
        <w:pStyle w:val="Definition0"/>
        <w:rPr>
          <w:sz w:val="24"/>
        </w:rPr>
      </w:pPr>
      <w:r w:rsidRPr="00883399">
        <w:rPr>
          <w:b/>
          <w:i/>
          <w:sz w:val="24"/>
        </w:rPr>
        <w:t xml:space="preserve">methane correction factor </w:t>
      </w:r>
      <w:r w:rsidRPr="00883399">
        <w:rPr>
          <w:sz w:val="24"/>
        </w:rPr>
        <w:t>is the fraction of COD anaerobically treated.</w:t>
      </w:r>
    </w:p>
    <w:p w14:paraId="0BF18540" w14:textId="77777777" w:rsidR="00872C03" w:rsidRPr="00883399" w:rsidRDefault="00872C03" w:rsidP="00872C03">
      <w:pPr>
        <w:pStyle w:val="Definition0"/>
        <w:rPr>
          <w:sz w:val="24"/>
        </w:rPr>
      </w:pPr>
      <w:r w:rsidRPr="00883399">
        <w:rPr>
          <w:b/>
          <w:i/>
          <w:sz w:val="24"/>
        </w:rPr>
        <w:t xml:space="preserve">primary sludge </w:t>
      </w:r>
      <w:r w:rsidRPr="00883399">
        <w:rPr>
          <w:sz w:val="24"/>
        </w:rPr>
        <w:t>means sludge from the first major treatment process in a wastewater treatment facility that is designed primarily to remove a substantial amount of suspended matter but little or no colloidal or dissolved matter.</w:t>
      </w:r>
    </w:p>
    <w:p w14:paraId="4B918FBD" w14:textId="77777777" w:rsidR="00872C03" w:rsidRPr="00883399" w:rsidRDefault="00872C03" w:rsidP="00872C03">
      <w:pPr>
        <w:pStyle w:val="Definition0"/>
        <w:rPr>
          <w:sz w:val="24"/>
        </w:rPr>
      </w:pPr>
      <w:r w:rsidRPr="00883399">
        <w:rPr>
          <w:b/>
          <w:i/>
          <w:sz w:val="24"/>
        </w:rPr>
        <w:t xml:space="preserve">waste activated sludge </w:t>
      </w:r>
      <w:r w:rsidRPr="00883399">
        <w:rPr>
          <w:sz w:val="24"/>
        </w:rPr>
        <w:t>means sludge from a secondary treatment process in a wastewater treatment facility involving aeration and active biological material.</w:t>
      </w:r>
    </w:p>
    <w:p w14:paraId="2A4414F0" w14:textId="77777777" w:rsidR="001745EA" w:rsidRPr="00883399" w:rsidRDefault="001745EA" w:rsidP="001745EA">
      <w:pPr>
        <w:spacing w:before="240" w:line="312" w:lineRule="auto"/>
        <w:rPr>
          <w:rFonts w:ascii="Arial" w:hAnsi="Arial" w:cs="Arial"/>
          <w:sz w:val="22"/>
        </w:rPr>
      </w:pPr>
      <w:r w:rsidRPr="00883399">
        <w:rPr>
          <w:rFonts w:ascii="Arial" w:hAnsi="Arial" w:cs="Arial"/>
          <w:sz w:val="22"/>
        </w:rPr>
        <w:t xml:space="preserve">The intent of the equation in 5.25 (5) is to estimate the theoretical quantity of methane generated at the plant, based on a simple COD mass balance. The equation is divided into two parts. </w:t>
      </w:r>
    </w:p>
    <w:p w14:paraId="10E3F569" w14:textId="77777777" w:rsidR="001745EA" w:rsidRPr="00883399" w:rsidRDefault="001745EA" w:rsidP="001745EA">
      <w:pPr>
        <w:spacing w:before="240" w:line="312" w:lineRule="auto"/>
        <w:rPr>
          <w:rFonts w:ascii="Arial" w:hAnsi="Arial" w:cs="Arial"/>
          <w:sz w:val="22"/>
        </w:rPr>
      </w:pPr>
      <w:r w:rsidRPr="00883399">
        <w:rPr>
          <w:rFonts w:ascii="Arial" w:hAnsi="Arial" w:cs="Arial"/>
          <w:sz w:val="22"/>
        </w:rPr>
        <w:t>The first part is a simple COD mass balance over the main wastewater treatment processes (i.e. “liquid train” primary and secondary treatment). The second part is a simple COD mass balance over the sludge treatment processes (e.g. anaerobic digesters, lagoons, dewatering, etc.).</w:t>
      </w:r>
    </w:p>
    <w:p w14:paraId="144A75CB" w14:textId="77777777" w:rsidR="001745EA" w:rsidRPr="00883399" w:rsidRDefault="001745EA" w:rsidP="001745EA">
      <w:pPr>
        <w:spacing w:before="240" w:line="312" w:lineRule="auto"/>
        <w:rPr>
          <w:rFonts w:ascii="Arial" w:hAnsi="Arial" w:cs="Arial"/>
          <w:sz w:val="22"/>
        </w:rPr>
      </w:pPr>
      <w:r w:rsidRPr="00883399">
        <w:rPr>
          <w:rFonts w:ascii="Arial" w:hAnsi="Arial" w:cs="Arial"/>
          <w:sz w:val="22"/>
        </w:rPr>
        <w:t xml:space="preserve">Each COD mass balance determines how much COD is consumed in the treatment process by converting it to a gas. Multiplying by the maximum methane generation </w:t>
      </w:r>
      <w:r w:rsidRPr="00883399">
        <w:rPr>
          <w:rFonts w:ascii="Arial" w:hAnsi="Arial" w:cs="Arial"/>
          <w:sz w:val="22"/>
        </w:rPr>
        <w:lastRenderedPageBreak/>
        <w:t>factor (EF) calculates how much CH</w:t>
      </w:r>
      <w:r w:rsidRPr="00883399">
        <w:rPr>
          <w:rFonts w:ascii="Arial" w:hAnsi="Arial" w:cs="Arial"/>
          <w:sz w:val="22"/>
          <w:vertAlign w:val="subscript"/>
        </w:rPr>
        <w:t>4</w:t>
      </w:r>
      <w:r w:rsidRPr="00883399">
        <w:rPr>
          <w:rFonts w:ascii="Arial" w:hAnsi="Arial" w:cs="Arial"/>
          <w:sz w:val="22"/>
        </w:rPr>
        <w:t xml:space="preserve"> would be generated if </w:t>
      </w:r>
      <w:r w:rsidRPr="00883399">
        <w:rPr>
          <w:rFonts w:ascii="Arial" w:hAnsi="Arial" w:cs="Arial"/>
          <w:i/>
          <w:sz w:val="22"/>
        </w:rPr>
        <w:t>all</w:t>
      </w:r>
      <w:r w:rsidRPr="00883399">
        <w:rPr>
          <w:rFonts w:ascii="Arial" w:hAnsi="Arial" w:cs="Arial"/>
          <w:sz w:val="22"/>
        </w:rPr>
        <w:t xml:space="preserve"> the COD consumed is converted to CH</w:t>
      </w:r>
      <w:r w:rsidRPr="00883399">
        <w:rPr>
          <w:rFonts w:ascii="Arial" w:hAnsi="Arial" w:cs="Arial"/>
          <w:sz w:val="22"/>
          <w:vertAlign w:val="subscript"/>
        </w:rPr>
        <w:t>4</w:t>
      </w:r>
      <w:r w:rsidRPr="00883399">
        <w:rPr>
          <w:rFonts w:ascii="Arial" w:hAnsi="Arial" w:cs="Arial"/>
          <w:sz w:val="22"/>
        </w:rPr>
        <w:t>. Then, multiplying by the process-specific Methane Correction Factor (F</w:t>
      </w:r>
      <w:r w:rsidRPr="00883399">
        <w:rPr>
          <w:rFonts w:ascii="Arial" w:hAnsi="Arial" w:cs="Arial"/>
          <w:sz w:val="22"/>
          <w:vertAlign w:val="subscript"/>
        </w:rPr>
        <w:t>wan</w:t>
      </w:r>
      <w:r w:rsidRPr="00883399">
        <w:rPr>
          <w:rFonts w:ascii="Arial" w:hAnsi="Arial" w:cs="Arial"/>
          <w:sz w:val="22"/>
        </w:rPr>
        <w:t xml:space="preserve"> or F</w:t>
      </w:r>
      <w:r w:rsidRPr="00883399">
        <w:rPr>
          <w:rFonts w:ascii="Arial" w:hAnsi="Arial" w:cs="Arial"/>
          <w:sz w:val="22"/>
          <w:vertAlign w:val="subscript"/>
        </w:rPr>
        <w:t>slan</w:t>
      </w:r>
      <w:r w:rsidRPr="00883399">
        <w:rPr>
          <w:rFonts w:ascii="Arial" w:hAnsi="Arial" w:cs="Arial"/>
          <w:sz w:val="22"/>
        </w:rPr>
        <w:t>) calculates the expected fraction of methane emissions for that particular type of process.</w:t>
      </w:r>
    </w:p>
    <w:p w14:paraId="0795AC84" w14:textId="2FF5EEB3" w:rsidR="001745EA" w:rsidRPr="00883399" w:rsidRDefault="001745EA" w:rsidP="001745EA">
      <w:r w:rsidRPr="00883399">
        <w:rPr>
          <w:noProof/>
        </w:rPr>
        <w:drawing>
          <wp:inline distT="0" distB="0" distL="0" distR="0" wp14:anchorId="72C536C8" wp14:editId="12D38BB3">
            <wp:extent cx="5219700" cy="3409950"/>
            <wp:effectExtent l="1905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4"/>
                    <a:srcRect/>
                    <a:stretch>
                      <a:fillRect/>
                    </a:stretch>
                  </pic:blipFill>
                  <pic:spPr bwMode="auto">
                    <a:xfrm>
                      <a:off x="0" y="0"/>
                      <a:ext cx="5219700" cy="3409950"/>
                    </a:xfrm>
                    <a:prstGeom prst="rect">
                      <a:avLst/>
                    </a:prstGeom>
                    <a:noFill/>
                    <a:ln w="9525">
                      <a:noFill/>
                      <a:miter lim="800000"/>
                      <a:headEnd/>
                      <a:tailEnd/>
                    </a:ln>
                  </pic:spPr>
                </pic:pic>
              </a:graphicData>
            </a:graphic>
          </wp:inline>
        </w:drawing>
      </w:r>
    </w:p>
    <w:p w14:paraId="1407E72C" w14:textId="5FDBE6E1" w:rsidR="00872C03" w:rsidRPr="00883399" w:rsidRDefault="00872C03" w:rsidP="00872C03">
      <w:pPr>
        <w:pStyle w:val="ActHead3"/>
        <w:pageBreakBefore/>
        <w:rPr>
          <w:sz w:val="32"/>
        </w:rPr>
      </w:pPr>
      <w:bookmarkStart w:id="1228" w:name="_Toc423517193"/>
      <w:bookmarkStart w:id="1229" w:name="_Toc495653137"/>
      <w:r w:rsidRPr="00883399">
        <w:rPr>
          <w:rStyle w:val="CharDivNo"/>
          <w:sz w:val="32"/>
        </w:rPr>
        <w:lastRenderedPageBreak/>
        <w:t>Division 5.3.3</w:t>
      </w:r>
      <w:r w:rsidRPr="00883399">
        <w:rPr>
          <w:sz w:val="32"/>
        </w:rPr>
        <w:t>—</w:t>
      </w:r>
      <w:r w:rsidRPr="00883399">
        <w:rPr>
          <w:rStyle w:val="CharDivText"/>
          <w:sz w:val="32"/>
        </w:rPr>
        <w:t>Method 2—methane released from wastewater handling (domestic and commercial)</w:t>
      </w:r>
      <w:bookmarkEnd w:id="1228"/>
      <w:bookmarkEnd w:id="1229"/>
    </w:p>
    <w:p w14:paraId="0E3C44B3" w14:textId="77777777" w:rsidR="001745EA" w:rsidRPr="00883399" w:rsidRDefault="001745EA" w:rsidP="001745EA">
      <w:pPr>
        <w:pStyle w:val="Text"/>
        <w:rPr>
          <w:rFonts w:ascii="Arial" w:hAnsi="Arial" w:cs="Arial"/>
          <w:sz w:val="22"/>
          <w:szCs w:val="22"/>
        </w:rPr>
      </w:pPr>
      <w:bookmarkStart w:id="1230" w:name="_Toc423517194"/>
      <w:r w:rsidRPr="00883399">
        <w:rPr>
          <w:rFonts w:ascii="Arial" w:hAnsi="Arial" w:cs="Arial"/>
          <w:sz w:val="22"/>
          <w:szCs w:val="22"/>
        </w:rPr>
        <w:t>Division 5.3.3 sets out Method 2 for the estimation of methane emissions from wastewater handling, which requires estimates of Chemical Oxygen Demand concentrations in wastewater estimated using general sampling provisions for the Guidelines and analysis conducted in accordance with listed Australian or international standards or an equivalent standard. It is likely that many facilities collect this data routinely for existing regulatory reasons.</w:t>
      </w:r>
    </w:p>
    <w:p w14:paraId="392445F8" w14:textId="3D5DDB0B" w:rsidR="00872C03" w:rsidRPr="00883399" w:rsidRDefault="00872C03" w:rsidP="00872C03">
      <w:pPr>
        <w:pStyle w:val="ActHead5"/>
        <w:rPr>
          <w:sz w:val="28"/>
        </w:rPr>
      </w:pPr>
      <w:bookmarkStart w:id="1231" w:name="_Toc495653138"/>
      <w:r w:rsidRPr="00883399">
        <w:rPr>
          <w:rStyle w:val="CharSectno"/>
          <w:sz w:val="28"/>
        </w:rPr>
        <w:t>5.26</w:t>
      </w:r>
      <w:r w:rsidRPr="00883399">
        <w:rPr>
          <w:sz w:val="28"/>
        </w:rPr>
        <w:t xml:space="preserve">  Method 2—methane released from wastewater handling (domestic and commercial)</w:t>
      </w:r>
      <w:bookmarkEnd w:id="1230"/>
      <w:bookmarkEnd w:id="1231"/>
    </w:p>
    <w:p w14:paraId="3F9D04C0" w14:textId="77777777" w:rsidR="00872C03" w:rsidRPr="00883399" w:rsidRDefault="00872C03" w:rsidP="00872C03">
      <w:pPr>
        <w:pStyle w:val="subsection"/>
        <w:rPr>
          <w:sz w:val="24"/>
        </w:rPr>
      </w:pPr>
      <w:r w:rsidRPr="00883399">
        <w:rPr>
          <w:sz w:val="24"/>
        </w:rPr>
        <w:tab/>
        <w:t>(1)</w:t>
      </w:r>
      <w:r w:rsidRPr="00883399">
        <w:rPr>
          <w:sz w:val="24"/>
        </w:rPr>
        <w:tab/>
        <w:t>Method 2 is:</w:t>
      </w:r>
    </w:p>
    <w:p w14:paraId="05CC026F" w14:textId="77777777" w:rsidR="00872C03" w:rsidRPr="00883399" w:rsidRDefault="00872C03" w:rsidP="00872C03">
      <w:pPr>
        <w:pStyle w:val="BoxStep"/>
        <w:rPr>
          <w:sz w:val="24"/>
        </w:rPr>
      </w:pPr>
      <w:r w:rsidRPr="00883399">
        <w:rPr>
          <w:sz w:val="24"/>
        </w:rPr>
        <w:t>Step 1.</w:t>
      </w:r>
      <w:r w:rsidRPr="00883399">
        <w:rPr>
          <w:sz w:val="24"/>
        </w:rPr>
        <w:tab/>
        <w:t>Calculate the amount of emissions of methane released for each sub</w:t>
      </w:r>
      <w:r w:rsidRPr="00883399">
        <w:rPr>
          <w:sz w:val="24"/>
        </w:rPr>
        <w:noBreakHyphen/>
        <w:t>facility of a plant during the reporting year, measured in CO</w:t>
      </w:r>
      <w:r w:rsidRPr="00883399">
        <w:rPr>
          <w:sz w:val="24"/>
          <w:vertAlign w:val="subscript"/>
        </w:rPr>
        <w:t>2</w:t>
      </w:r>
      <w:r w:rsidRPr="00883399">
        <w:rPr>
          <w:sz w:val="24"/>
        </w:rPr>
        <w:noBreakHyphen/>
        <w:t>e tonnes, using the equation:</w:t>
      </w:r>
    </w:p>
    <w:p w14:paraId="7E861724" w14:textId="77777777" w:rsidR="00872C03" w:rsidRPr="00883399" w:rsidRDefault="00872C03" w:rsidP="00872C03">
      <w:pPr>
        <w:pStyle w:val="BoxStep"/>
        <w:rPr>
          <w:sz w:val="24"/>
        </w:rPr>
      </w:pPr>
      <w:r w:rsidRPr="00883399">
        <w:rPr>
          <w:sz w:val="24"/>
        </w:rPr>
        <w:tab/>
      </w:r>
      <w:r w:rsidRPr="00883399">
        <w:rPr>
          <w:position w:val="-24"/>
          <w:sz w:val="24"/>
        </w:rPr>
        <w:object w:dxaOrig="3060" w:dyaOrig="580" w14:anchorId="58A2FB03">
          <v:shape id="_x0000_i1102" type="#_x0000_t75" style="width:153pt;height:27.75pt" o:ole="">
            <v:imagedata r:id="rId315" o:title=""/>
          </v:shape>
          <o:OLEObject Type="Embed" ProgID="Equation.DSMT4" ShapeID="_x0000_i1102" DrawAspect="Content" ObjectID="_1594105993" r:id="rId316"/>
        </w:object>
      </w:r>
    </w:p>
    <w:p w14:paraId="7932B078" w14:textId="77777777" w:rsidR="00872C03" w:rsidRPr="00883399" w:rsidRDefault="00872C03" w:rsidP="00872C03">
      <w:pPr>
        <w:pStyle w:val="BoxStep"/>
        <w:rPr>
          <w:sz w:val="24"/>
        </w:rPr>
      </w:pPr>
      <w:r w:rsidRPr="00883399">
        <w:rPr>
          <w:sz w:val="24"/>
        </w:rPr>
        <w:tab/>
        <w:t>where:</w:t>
      </w:r>
    </w:p>
    <w:p w14:paraId="28A8D71E" w14:textId="77777777" w:rsidR="00872C03" w:rsidRPr="00883399" w:rsidRDefault="00872C03" w:rsidP="00872C03">
      <w:pPr>
        <w:pStyle w:val="BoxStep"/>
        <w:rPr>
          <w:sz w:val="24"/>
        </w:rPr>
      </w:pPr>
      <w:r w:rsidRPr="00883399">
        <w:rPr>
          <w:sz w:val="24"/>
        </w:rPr>
        <w:tab/>
      </w:r>
      <w:r w:rsidRPr="00883399">
        <w:rPr>
          <w:b/>
          <w:i/>
          <w:sz w:val="24"/>
        </w:rPr>
        <w:t>γ</w:t>
      </w:r>
      <w:r w:rsidRPr="00883399">
        <w:rPr>
          <w:sz w:val="24"/>
        </w:rPr>
        <w:t xml:space="preserve"> is the factor 6.784 x 10</w:t>
      </w:r>
      <w:r w:rsidRPr="00883399">
        <w:rPr>
          <w:sz w:val="24"/>
          <w:vertAlign w:val="superscript"/>
        </w:rPr>
        <w:noBreakHyphen/>
        <w:t xml:space="preserve">4 </w:t>
      </w:r>
      <w:r w:rsidRPr="00883399">
        <w:rPr>
          <w:sz w:val="24"/>
        </w:rPr>
        <w:t>x 25 for converting cubic metres of methane at standard conditions to CO</w:t>
      </w:r>
      <w:r w:rsidRPr="00883399">
        <w:rPr>
          <w:sz w:val="24"/>
          <w:vertAlign w:val="subscript"/>
        </w:rPr>
        <w:t>2</w:t>
      </w:r>
      <w:r w:rsidRPr="00883399">
        <w:rPr>
          <w:sz w:val="24"/>
        </w:rPr>
        <w:noBreakHyphen/>
        <w:t>e tonnes.</w:t>
      </w:r>
    </w:p>
    <w:p w14:paraId="7051668C" w14:textId="77777777" w:rsidR="00872C03" w:rsidRPr="00883399" w:rsidRDefault="00872C03" w:rsidP="00872C03">
      <w:pPr>
        <w:pStyle w:val="BoxStep"/>
        <w:rPr>
          <w:sz w:val="24"/>
        </w:rPr>
      </w:pPr>
      <w:r w:rsidRPr="00883399">
        <w:rPr>
          <w:sz w:val="24"/>
        </w:rPr>
        <w:tab/>
      </w:r>
      <w:r w:rsidRPr="00883399">
        <w:rPr>
          <w:b/>
          <w:i/>
          <w:sz w:val="24"/>
        </w:rPr>
        <w:t>CH</w:t>
      </w:r>
      <w:r w:rsidRPr="00883399">
        <w:rPr>
          <w:b/>
          <w:i/>
          <w:sz w:val="24"/>
          <w:vertAlign w:val="subscript"/>
        </w:rPr>
        <w:t>4genz</w:t>
      </w:r>
      <w:r w:rsidRPr="00883399">
        <w:rPr>
          <w:sz w:val="24"/>
        </w:rPr>
        <w:t xml:space="preserve"> is the estimated quantity of methane in sludge biogas generated by the sub</w:t>
      </w:r>
      <w:r w:rsidRPr="00883399">
        <w:rPr>
          <w:sz w:val="24"/>
        </w:rPr>
        <w:noBreakHyphen/>
        <w:t>facility during the reporting year, worked out in accordance with subsection (2), measured in CO</w:t>
      </w:r>
      <w:r w:rsidRPr="00883399">
        <w:rPr>
          <w:sz w:val="24"/>
          <w:vertAlign w:val="subscript"/>
        </w:rPr>
        <w:t>2</w:t>
      </w:r>
      <w:r w:rsidRPr="00883399">
        <w:rPr>
          <w:sz w:val="24"/>
        </w:rPr>
        <w:noBreakHyphen/>
        <w:t>e tonnes.</w:t>
      </w:r>
    </w:p>
    <w:p w14:paraId="7DD80217" w14:textId="77777777" w:rsidR="00872C03" w:rsidRPr="00883399" w:rsidRDefault="00872C03" w:rsidP="00872C03">
      <w:pPr>
        <w:pStyle w:val="BoxStep"/>
        <w:rPr>
          <w:sz w:val="24"/>
        </w:rPr>
      </w:pPr>
      <w:r w:rsidRPr="00883399">
        <w:rPr>
          <w:sz w:val="24"/>
        </w:rPr>
        <w:tab/>
      </w:r>
      <w:r w:rsidRPr="00883399">
        <w:rPr>
          <w:b/>
          <w:i/>
          <w:sz w:val="24"/>
        </w:rPr>
        <w:t>Q</w:t>
      </w:r>
      <w:r w:rsidRPr="00883399">
        <w:rPr>
          <w:b/>
          <w:i/>
          <w:sz w:val="24"/>
          <w:vertAlign w:val="subscript"/>
        </w:rPr>
        <w:t>capz</w:t>
      </w:r>
      <w:r w:rsidRPr="00883399">
        <w:rPr>
          <w:sz w:val="24"/>
        </w:rPr>
        <w:t xml:space="preserve"> is the quantity of methane in sludge biogas that is captured for combustion by the sub</w:t>
      </w:r>
      <w:r w:rsidRPr="00883399">
        <w:rPr>
          <w:sz w:val="24"/>
        </w:rPr>
        <w:noBreakHyphen/>
        <w:t>facility during the reporting year, measured in cubic metres in accordance with Division 2.3.6.</w:t>
      </w:r>
    </w:p>
    <w:p w14:paraId="62D528A9" w14:textId="77777777" w:rsidR="00872C03" w:rsidRPr="00883399" w:rsidRDefault="00872C03" w:rsidP="00872C03">
      <w:pPr>
        <w:pStyle w:val="BoxStep"/>
        <w:rPr>
          <w:sz w:val="24"/>
        </w:rPr>
      </w:pPr>
      <w:r w:rsidRPr="00883399">
        <w:rPr>
          <w:sz w:val="24"/>
        </w:rPr>
        <w:tab/>
      </w:r>
      <w:r w:rsidRPr="00883399">
        <w:rPr>
          <w:b/>
          <w:i/>
          <w:sz w:val="24"/>
        </w:rPr>
        <w:t>Q</w:t>
      </w:r>
      <w:r w:rsidRPr="00883399">
        <w:rPr>
          <w:b/>
          <w:i/>
          <w:sz w:val="24"/>
          <w:vertAlign w:val="subscript"/>
        </w:rPr>
        <w:t>flaredz</w:t>
      </w:r>
      <w:r w:rsidRPr="00883399">
        <w:rPr>
          <w:sz w:val="24"/>
        </w:rPr>
        <w:t xml:space="preserve"> is the quantity of methane in sludge biogas flared by the sub</w:t>
      </w:r>
      <w:r w:rsidRPr="00883399">
        <w:rPr>
          <w:sz w:val="24"/>
        </w:rPr>
        <w:noBreakHyphen/>
        <w:t>facility during the reporting year, measured in cubic metres in accordance with Division 2.3.6.</w:t>
      </w:r>
    </w:p>
    <w:p w14:paraId="2685C26C" w14:textId="77777777" w:rsidR="00872C03" w:rsidRPr="00883399" w:rsidRDefault="00872C03" w:rsidP="00872C03">
      <w:pPr>
        <w:pStyle w:val="BoxStep"/>
        <w:rPr>
          <w:sz w:val="24"/>
        </w:rPr>
      </w:pPr>
      <w:r w:rsidRPr="00883399">
        <w:rPr>
          <w:sz w:val="24"/>
        </w:rPr>
        <w:tab/>
      </w:r>
      <w:r w:rsidRPr="00883399">
        <w:rPr>
          <w:b/>
          <w:i/>
          <w:sz w:val="24"/>
        </w:rPr>
        <w:t>Q</w:t>
      </w:r>
      <w:r w:rsidRPr="00883399">
        <w:rPr>
          <w:b/>
          <w:i/>
          <w:sz w:val="24"/>
          <w:vertAlign w:val="subscript"/>
        </w:rPr>
        <w:t>trz</w:t>
      </w:r>
      <w:r w:rsidRPr="00883399">
        <w:rPr>
          <w:sz w:val="24"/>
        </w:rPr>
        <w:t xml:space="preserve"> is the quantity of methane in sludge biogas transferred out of the plant during the reporting year by the sub</w:t>
      </w:r>
      <w:r w:rsidRPr="00883399">
        <w:rPr>
          <w:sz w:val="24"/>
        </w:rPr>
        <w:noBreakHyphen/>
        <w:t>facility, measured in cubic metres in accordance with Division 2.3.6.</w:t>
      </w:r>
    </w:p>
    <w:p w14:paraId="748079B4" w14:textId="77777777" w:rsidR="00872C03" w:rsidRPr="00883399" w:rsidRDefault="00872C03" w:rsidP="00872C03">
      <w:pPr>
        <w:pStyle w:val="BoxNote"/>
        <w:rPr>
          <w:sz w:val="20"/>
        </w:rPr>
      </w:pPr>
      <w:r w:rsidRPr="00883399">
        <w:rPr>
          <w:sz w:val="20"/>
        </w:rPr>
        <w:lastRenderedPageBreak/>
        <w:tab/>
        <w:t>Note:</w:t>
      </w:r>
      <w:r w:rsidRPr="00883399">
        <w:rPr>
          <w:sz w:val="20"/>
        </w:rPr>
        <w:tab/>
        <w:t>For the number of sub</w:t>
      </w:r>
      <w:r w:rsidRPr="00883399">
        <w:rPr>
          <w:sz w:val="20"/>
        </w:rPr>
        <w:noBreakHyphen/>
        <w:t>facilities a plant operator may select and requirements in relation to each sub</w:t>
      </w:r>
      <w:r w:rsidRPr="00883399">
        <w:rPr>
          <w:sz w:val="20"/>
        </w:rPr>
        <w:noBreakHyphen/>
        <w:t>facility, see section 5.26A.</w:t>
      </w:r>
    </w:p>
    <w:p w14:paraId="7FC9F1BD" w14:textId="77777777" w:rsidR="00872C03" w:rsidRPr="00883399" w:rsidRDefault="00872C03" w:rsidP="00872C03">
      <w:pPr>
        <w:pStyle w:val="BoxStep"/>
        <w:rPr>
          <w:sz w:val="24"/>
        </w:rPr>
      </w:pPr>
      <w:r w:rsidRPr="00883399">
        <w:rPr>
          <w:sz w:val="24"/>
        </w:rPr>
        <w:t>Step 2.</w:t>
      </w:r>
      <w:r w:rsidRPr="00883399">
        <w:rPr>
          <w:sz w:val="24"/>
        </w:rPr>
        <w:tab/>
        <w:t>To calculate the amount of methane emissions released by the plant during the reporting year, measured in CO</w:t>
      </w:r>
      <w:r w:rsidRPr="00883399">
        <w:rPr>
          <w:sz w:val="24"/>
          <w:vertAlign w:val="subscript"/>
        </w:rPr>
        <w:t>2</w:t>
      </w:r>
      <w:r w:rsidRPr="00883399">
        <w:rPr>
          <w:sz w:val="24"/>
        </w:rPr>
        <w:noBreakHyphen/>
        <w:t>e tonnes, add together the amount worked out for each sub</w:t>
      </w:r>
      <w:r w:rsidRPr="00883399">
        <w:rPr>
          <w:sz w:val="24"/>
        </w:rPr>
        <w:noBreakHyphen/>
        <w:t>facility under step 1.</w:t>
      </w:r>
    </w:p>
    <w:p w14:paraId="014BC98A" w14:textId="77777777" w:rsidR="00872C03" w:rsidRPr="00883399" w:rsidRDefault="00872C03" w:rsidP="00872C03">
      <w:pPr>
        <w:pStyle w:val="subsection"/>
        <w:rPr>
          <w:sz w:val="24"/>
        </w:rPr>
      </w:pPr>
      <w:r w:rsidRPr="00883399">
        <w:rPr>
          <w:sz w:val="24"/>
        </w:rPr>
        <w:tab/>
        <w:t>(2)</w:t>
      </w:r>
      <w:r w:rsidRPr="00883399">
        <w:rPr>
          <w:sz w:val="24"/>
        </w:rPr>
        <w:tab/>
        <w:t xml:space="preserve">Subject to subsection (8), the factor </w:t>
      </w:r>
      <w:r w:rsidRPr="00883399">
        <w:rPr>
          <w:b/>
          <w:i/>
          <w:sz w:val="24"/>
        </w:rPr>
        <w:t>CH</w:t>
      </w:r>
      <w:r w:rsidRPr="00883399">
        <w:rPr>
          <w:b/>
          <w:i/>
          <w:sz w:val="24"/>
          <w:vertAlign w:val="subscript"/>
        </w:rPr>
        <w:t>4genz</w:t>
      </w:r>
      <w:r w:rsidRPr="00883399">
        <w:rPr>
          <w:sz w:val="24"/>
        </w:rPr>
        <w:t xml:space="preserve"> in subsection (1) is worked out for a sub</w:t>
      </w:r>
      <w:r w:rsidRPr="00883399">
        <w:rPr>
          <w:sz w:val="24"/>
        </w:rPr>
        <w:noBreakHyphen/>
        <w:t>facility as follows:</w:t>
      </w:r>
    </w:p>
    <w:p w14:paraId="537F5992" w14:textId="77777777" w:rsidR="00872C03" w:rsidRPr="00883399" w:rsidRDefault="00872C03" w:rsidP="00872C03">
      <w:pPr>
        <w:pStyle w:val="BoxStep"/>
        <w:keepNext/>
        <w:keepLines/>
        <w:rPr>
          <w:sz w:val="24"/>
        </w:rPr>
      </w:pPr>
      <w:r w:rsidRPr="00883399">
        <w:rPr>
          <w:sz w:val="24"/>
        </w:rPr>
        <w:t>Step 1.</w:t>
      </w:r>
      <w:r w:rsidRPr="00883399">
        <w:rPr>
          <w:sz w:val="24"/>
        </w:rPr>
        <w:tab/>
        <w:t>Calculate the following for the sub</w:t>
      </w:r>
      <w:r w:rsidRPr="00883399">
        <w:rPr>
          <w:sz w:val="24"/>
        </w:rPr>
        <w:noBreakHyphen/>
        <w:t>facility:</w:t>
      </w:r>
    </w:p>
    <w:p w14:paraId="579C16D9" w14:textId="77777777" w:rsidR="00872C03" w:rsidRPr="00883399" w:rsidRDefault="00872C03" w:rsidP="00872C03">
      <w:pPr>
        <w:pStyle w:val="BoxStep"/>
        <w:rPr>
          <w:sz w:val="24"/>
        </w:rPr>
      </w:pPr>
      <w:r w:rsidRPr="00883399">
        <w:rPr>
          <w:sz w:val="24"/>
        </w:rPr>
        <w:tab/>
      </w:r>
      <w:r w:rsidRPr="00883399">
        <w:rPr>
          <w:position w:val="-112"/>
          <w:sz w:val="24"/>
        </w:rPr>
        <w:object w:dxaOrig="4819" w:dyaOrig="1719" w14:anchorId="7F8489A3">
          <v:shape id="_x0000_i1103" type="#_x0000_t75" style="width:241.5pt;height:84.75pt" o:ole="">
            <v:imagedata r:id="rId317" o:title=""/>
          </v:shape>
          <o:OLEObject Type="Embed" ProgID="Equation.DSMT4" ShapeID="_x0000_i1103" DrawAspect="Content" ObjectID="_1594105994" r:id="rId318"/>
        </w:object>
      </w:r>
    </w:p>
    <w:p w14:paraId="1A255BD9" w14:textId="77777777" w:rsidR="00872C03" w:rsidRPr="00883399" w:rsidRDefault="00872C03" w:rsidP="00872C03">
      <w:pPr>
        <w:pStyle w:val="BoxStep"/>
        <w:rPr>
          <w:sz w:val="24"/>
        </w:rPr>
      </w:pPr>
      <w:r w:rsidRPr="00883399">
        <w:rPr>
          <w:sz w:val="24"/>
        </w:rPr>
        <w:tab/>
        <w:t>where:</w:t>
      </w:r>
    </w:p>
    <w:p w14:paraId="26416595" w14:textId="77777777" w:rsidR="00872C03" w:rsidRPr="00883399" w:rsidRDefault="00872C03" w:rsidP="00872C03">
      <w:pPr>
        <w:pStyle w:val="BoxStep"/>
        <w:rPr>
          <w:sz w:val="24"/>
        </w:rPr>
      </w:pPr>
      <w:r w:rsidRPr="00883399">
        <w:rPr>
          <w:sz w:val="24"/>
        </w:rPr>
        <w:tab/>
      </w:r>
      <w:r w:rsidRPr="00883399">
        <w:rPr>
          <w:b/>
          <w:i/>
          <w:sz w:val="24"/>
        </w:rPr>
        <w:t>γ</w:t>
      </w:r>
      <w:r w:rsidRPr="00883399">
        <w:rPr>
          <w:sz w:val="24"/>
        </w:rPr>
        <w:t xml:space="preserve"> has the same meaning as in step 1 in subsection (1).</w:t>
      </w:r>
    </w:p>
    <w:p w14:paraId="35E2BF20" w14:textId="77777777" w:rsidR="00872C03" w:rsidRPr="00883399" w:rsidRDefault="00872C03" w:rsidP="00872C03">
      <w:pPr>
        <w:pStyle w:val="BoxStep"/>
        <w:rPr>
          <w:sz w:val="24"/>
        </w:rPr>
      </w:pPr>
      <w:r w:rsidRPr="00883399">
        <w:rPr>
          <w:sz w:val="24"/>
        </w:rPr>
        <w:tab/>
      </w:r>
      <w:r w:rsidRPr="00883399">
        <w:rPr>
          <w:b/>
          <w:i/>
          <w:sz w:val="24"/>
        </w:rPr>
        <w:t>COD</w:t>
      </w:r>
      <w:r w:rsidRPr="00883399">
        <w:rPr>
          <w:b/>
          <w:i/>
          <w:sz w:val="24"/>
          <w:vertAlign w:val="subscript"/>
        </w:rPr>
        <w:t>effz</w:t>
      </w:r>
      <w:r w:rsidRPr="00883399">
        <w:rPr>
          <w:sz w:val="24"/>
        </w:rPr>
        <w:t xml:space="preserve"> is the quantity of COD in effluent leaving the sub</w:t>
      </w:r>
      <w:r w:rsidRPr="00883399">
        <w:rPr>
          <w:sz w:val="24"/>
        </w:rPr>
        <w:noBreakHyphen/>
        <w:t>facility during the reporting year, measured in tonnes of COD and calculated by using:</w:t>
      </w:r>
    </w:p>
    <w:p w14:paraId="56CAF8BA" w14:textId="77777777" w:rsidR="00872C03" w:rsidRPr="00883399" w:rsidRDefault="00872C03" w:rsidP="00872C03">
      <w:pPr>
        <w:pStyle w:val="BoxPara"/>
        <w:rPr>
          <w:sz w:val="24"/>
        </w:rPr>
      </w:pPr>
      <w:r w:rsidRPr="00883399">
        <w:rPr>
          <w:sz w:val="24"/>
        </w:rPr>
        <w:tab/>
        <w:t>(a)</w:t>
      </w:r>
      <w:r w:rsidRPr="00883399">
        <w:rPr>
          <w:sz w:val="24"/>
        </w:rPr>
        <w:tab/>
        <w:t>facility operating data that measures the volumetric effluent rate and the effluent rate of COD concentration; or</w:t>
      </w:r>
    </w:p>
    <w:p w14:paraId="43B4EA10" w14:textId="77777777" w:rsidR="00872C03" w:rsidRPr="00883399" w:rsidRDefault="00872C03" w:rsidP="00872C03">
      <w:pPr>
        <w:pStyle w:val="BoxPara"/>
        <w:rPr>
          <w:sz w:val="24"/>
        </w:rPr>
      </w:pPr>
      <w:r w:rsidRPr="00883399">
        <w:rPr>
          <w:sz w:val="24"/>
        </w:rPr>
        <w:tab/>
        <w:t>(b)</w:t>
      </w:r>
      <w:r w:rsidRPr="00883399">
        <w:rPr>
          <w:sz w:val="24"/>
        </w:rPr>
        <w:tab/>
        <w:t>if data is available on the biochemical oxygen demand (</w:t>
      </w:r>
      <w:r w:rsidRPr="00883399">
        <w:rPr>
          <w:b/>
          <w:i/>
          <w:sz w:val="24"/>
        </w:rPr>
        <w:t>BOD</w:t>
      </w:r>
      <w:r w:rsidRPr="00883399">
        <w:rPr>
          <w:sz w:val="24"/>
        </w:rPr>
        <w:t>) in the effluent—that data converted to COD in accordance with the following formula:</w:t>
      </w:r>
    </w:p>
    <w:p w14:paraId="0E843046" w14:textId="77777777" w:rsidR="00872C03" w:rsidRPr="00883399" w:rsidRDefault="00872C03" w:rsidP="00872C03">
      <w:pPr>
        <w:pStyle w:val="BoxPara"/>
        <w:rPr>
          <w:sz w:val="24"/>
        </w:rPr>
      </w:pPr>
      <w:r w:rsidRPr="00883399">
        <w:rPr>
          <w:sz w:val="24"/>
        </w:rPr>
        <w:tab/>
      </w:r>
      <w:r w:rsidRPr="00883399">
        <w:rPr>
          <w:sz w:val="24"/>
        </w:rPr>
        <w:tab/>
      </w:r>
      <w:r w:rsidRPr="00883399">
        <w:rPr>
          <w:position w:val="-24"/>
          <w:sz w:val="24"/>
        </w:rPr>
        <w:object w:dxaOrig="1860" w:dyaOrig="580" w14:anchorId="1AA13378">
          <v:shape id="_x0000_i1104" type="#_x0000_t75" style="width:91.5pt;height:27.75pt" o:ole="">
            <v:imagedata r:id="rId319" o:title=""/>
          </v:shape>
          <o:OLEObject Type="Embed" ProgID="Equation.DSMT4" ShapeID="_x0000_i1104" DrawAspect="Content" ObjectID="_1594105995" r:id="rId320"/>
        </w:object>
      </w:r>
    </w:p>
    <w:p w14:paraId="003C9359" w14:textId="77777777" w:rsidR="00872C03" w:rsidRPr="00883399" w:rsidRDefault="00872C03" w:rsidP="00872C03">
      <w:pPr>
        <w:pStyle w:val="BoxStep"/>
        <w:rPr>
          <w:sz w:val="24"/>
        </w:rPr>
      </w:pPr>
      <w:r w:rsidRPr="00883399">
        <w:rPr>
          <w:sz w:val="24"/>
        </w:rPr>
        <w:tab/>
      </w:r>
      <w:r w:rsidRPr="00883399">
        <w:rPr>
          <w:b/>
          <w:i/>
          <w:sz w:val="24"/>
        </w:rPr>
        <w:t>COD</w:t>
      </w:r>
      <w:r w:rsidRPr="00883399">
        <w:rPr>
          <w:b/>
          <w:i/>
          <w:sz w:val="24"/>
          <w:vertAlign w:val="subscript"/>
        </w:rPr>
        <w:t>slz</w:t>
      </w:r>
      <w:r w:rsidRPr="00883399">
        <w:rPr>
          <w:sz w:val="24"/>
        </w:rPr>
        <w:t xml:space="preserve"> is the quantity of COD removed as sludge from wastewater and treated in the sub</w:t>
      </w:r>
      <w:r w:rsidRPr="00883399">
        <w:rPr>
          <w:sz w:val="24"/>
        </w:rPr>
        <w:noBreakHyphen/>
        <w:t>facility, measured in tonnes of COD and worked out using the formula mentioned in subsection (4).</w:t>
      </w:r>
    </w:p>
    <w:p w14:paraId="2EED6D5D" w14:textId="77777777" w:rsidR="00872C03" w:rsidRPr="00883399" w:rsidRDefault="00872C03" w:rsidP="00872C03">
      <w:pPr>
        <w:pStyle w:val="BoxStep"/>
        <w:rPr>
          <w:sz w:val="24"/>
        </w:rPr>
      </w:pPr>
      <w:r w:rsidRPr="00883399">
        <w:rPr>
          <w:b/>
          <w:i/>
          <w:sz w:val="24"/>
        </w:rPr>
        <w:tab/>
        <w:t>COD</w:t>
      </w:r>
      <w:r w:rsidRPr="00883399">
        <w:rPr>
          <w:b/>
          <w:i/>
          <w:sz w:val="24"/>
          <w:vertAlign w:val="subscript"/>
        </w:rPr>
        <w:t>trlz</w:t>
      </w:r>
      <w:r w:rsidRPr="00883399">
        <w:rPr>
          <w:sz w:val="24"/>
        </w:rPr>
        <w:t xml:space="preserve"> is the quantity of COD in sludge transferred out of the sub</w:t>
      </w:r>
      <w:r w:rsidRPr="00883399">
        <w:rPr>
          <w:sz w:val="24"/>
        </w:rPr>
        <w:noBreakHyphen/>
        <w:t>facility and removed to landfill, measured in tonnes of COD.</w:t>
      </w:r>
    </w:p>
    <w:p w14:paraId="65894CD2" w14:textId="77777777" w:rsidR="00872C03" w:rsidRPr="00883399" w:rsidRDefault="00872C03" w:rsidP="00872C03">
      <w:pPr>
        <w:pStyle w:val="BoxStep"/>
        <w:rPr>
          <w:sz w:val="24"/>
        </w:rPr>
      </w:pPr>
      <w:r w:rsidRPr="00883399">
        <w:rPr>
          <w:sz w:val="24"/>
        </w:rPr>
        <w:lastRenderedPageBreak/>
        <w:tab/>
      </w:r>
      <w:r w:rsidRPr="00883399">
        <w:rPr>
          <w:b/>
          <w:i/>
          <w:sz w:val="24"/>
        </w:rPr>
        <w:t>COD</w:t>
      </w:r>
      <w:r w:rsidRPr="00883399">
        <w:rPr>
          <w:b/>
          <w:i/>
          <w:sz w:val="24"/>
          <w:vertAlign w:val="subscript"/>
        </w:rPr>
        <w:t>troz</w:t>
      </w:r>
      <w:r w:rsidRPr="00883399">
        <w:rPr>
          <w:sz w:val="24"/>
        </w:rPr>
        <w:t xml:space="preserve"> is the quantity of COD in sludge transferred out of the sub</w:t>
      </w:r>
      <w:r w:rsidRPr="00883399">
        <w:rPr>
          <w:sz w:val="24"/>
        </w:rPr>
        <w:noBreakHyphen/>
        <w:t>facility and removed to a site other than landfill, measured in tonnes of COD.</w:t>
      </w:r>
    </w:p>
    <w:p w14:paraId="5F54F9D1" w14:textId="77777777" w:rsidR="00872C03" w:rsidRPr="00883399" w:rsidRDefault="00872C03" w:rsidP="00872C03">
      <w:pPr>
        <w:pStyle w:val="BoxStep"/>
        <w:rPr>
          <w:sz w:val="24"/>
        </w:rPr>
      </w:pPr>
      <w:r w:rsidRPr="00883399">
        <w:rPr>
          <w:sz w:val="24"/>
        </w:rPr>
        <w:tab/>
      </w:r>
      <w:r w:rsidRPr="00883399">
        <w:rPr>
          <w:b/>
          <w:i/>
          <w:sz w:val="24"/>
        </w:rPr>
        <w:t>COD</w:t>
      </w:r>
      <w:r w:rsidRPr="00883399">
        <w:rPr>
          <w:b/>
          <w:i/>
          <w:sz w:val="24"/>
          <w:vertAlign w:val="subscript"/>
        </w:rPr>
        <w:t>wz</w:t>
      </w:r>
      <w:r w:rsidRPr="00883399">
        <w:rPr>
          <w:sz w:val="24"/>
          <w:vertAlign w:val="subscript"/>
        </w:rPr>
        <w:t xml:space="preserve"> </w:t>
      </w:r>
      <w:r w:rsidRPr="00883399">
        <w:rPr>
          <w:sz w:val="24"/>
        </w:rPr>
        <w:t>is the quantity of COD in wastewater entering the sub</w:t>
      </w:r>
      <w:r w:rsidRPr="00883399">
        <w:rPr>
          <w:sz w:val="24"/>
        </w:rPr>
        <w:noBreakHyphen/>
        <w:t>facility during the year, measured in tonnes of COD and calculated by using:</w:t>
      </w:r>
    </w:p>
    <w:p w14:paraId="5A00A57C" w14:textId="77777777" w:rsidR="00872C03" w:rsidRPr="00883399" w:rsidRDefault="00872C03" w:rsidP="00872C03">
      <w:pPr>
        <w:pStyle w:val="BoxPara"/>
        <w:rPr>
          <w:sz w:val="24"/>
        </w:rPr>
      </w:pPr>
      <w:r w:rsidRPr="00883399">
        <w:rPr>
          <w:sz w:val="24"/>
        </w:rPr>
        <w:tab/>
        <w:t>(a)</w:t>
      </w:r>
      <w:r w:rsidRPr="00883399">
        <w:rPr>
          <w:sz w:val="24"/>
        </w:rPr>
        <w:tab/>
        <w:t>facility operating data that measures the volumetric influent rate and the influent rate of COD concentration; or</w:t>
      </w:r>
    </w:p>
    <w:p w14:paraId="65D968BA" w14:textId="77777777" w:rsidR="00872C03" w:rsidRPr="00883399" w:rsidRDefault="00872C03" w:rsidP="00872C03">
      <w:pPr>
        <w:pStyle w:val="BoxPara"/>
        <w:rPr>
          <w:sz w:val="24"/>
        </w:rPr>
      </w:pPr>
      <w:r w:rsidRPr="00883399">
        <w:rPr>
          <w:sz w:val="24"/>
        </w:rPr>
        <w:tab/>
        <w:t>(b)</w:t>
      </w:r>
      <w:r w:rsidRPr="00883399">
        <w:rPr>
          <w:sz w:val="24"/>
        </w:rPr>
        <w:tab/>
        <w:t>if data is available on the biochemical oxygen demand (</w:t>
      </w:r>
      <w:r w:rsidRPr="00883399">
        <w:rPr>
          <w:b/>
          <w:i/>
          <w:sz w:val="24"/>
        </w:rPr>
        <w:t>BOD</w:t>
      </w:r>
      <w:r w:rsidRPr="00883399">
        <w:rPr>
          <w:sz w:val="24"/>
        </w:rPr>
        <w:t>) in the wastewater—that data converted to COD in accordance with the following formula:</w:t>
      </w:r>
    </w:p>
    <w:p w14:paraId="609389E0" w14:textId="77777777" w:rsidR="00872C03" w:rsidRPr="00883399" w:rsidRDefault="00872C03" w:rsidP="00872C03">
      <w:pPr>
        <w:pStyle w:val="BoxPara"/>
        <w:rPr>
          <w:sz w:val="24"/>
        </w:rPr>
      </w:pPr>
      <w:r w:rsidRPr="00883399">
        <w:rPr>
          <w:sz w:val="24"/>
        </w:rPr>
        <w:tab/>
      </w:r>
      <w:r w:rsidRPr="00883399">
        <w:rPr>
          <w:sz w:val="24"/>
        </w:rPr>
        <w:tab/>
      </w:r>
      <w:r w:rsidRPr="00883399">
        <w:rPr>
          <w:sz w:val="24"/>
        </w:rPr>
        <w:object w:dxaOrig="1840" w:dyaOrig="300" w14:anchorId="354042CF">
          <v:shape id="_x0000_i1105" type="#_x0000_t75" style="width:91.5pt;height:15pt" o:ole="">
            <v:imagedata r:id="rId321" o:title=""/>
          </v:shape>
          <o:OLEObject Type="Embed" ProgID="Equation.DSMT4" ShapeID="_x0000_i1105" DrawAspect="Content" ObjectID="_1594105996" r:id="rId322"/>
        </w:object>
      </w:r>
    </w:p>
    <w:p w14:paraId="171D3C35" w14:textId="77777777" w:rsidR="00872C03" w:rsidRPr="00883399" w:rsidRDefault="00872C03" w:rsidP="00872C03">
      <w:pPr>
        <w:pStyle w:val="BoxStep"/>
        <w:rPr>
          <w:sz w:val="24"/>
        </w:rPr>
      </w:pPr>
      <w:r w:rsidRPr="00883399">
        <w:rPr>
          <w:sz w:val="24"/>
        </w:rPr>
        <w:tab/>
      </w:r>
      <w:r w:rsidRPr="00883399">
        <w:rPr>
          <w:b/>
          <w:i/>
          <w:sz w:val="24"/>
        </w:rPr>
        <w:t>EF</w:t>
      </w:r>
      <w:r w:rsidRPr="00883399">
        <w:rPr>
          <w:b/>
          <w:i/>
          <w:sz w:val="24"/>
          <w:vertAlign w:val="subscript"/>
        </w:rPr>
        <w:t>slijz</w:t>
      </w:r>
      <w:r w:rsidRPr="00883399">
        <w:rPr>
          <w:sz w:val="24"/>
        </w:rPr>
        <w:t xml:space="preserve"> is the default methane emission factor for sludge with a value of 6.3 CO</w:t>
      </w:r>
      <w:r w:rsidRPr="00883399">
        <w:rPr>
          <w:sz w:val="24"/>
          <w:vertAlign w:val="subscript"/>
        </w:rPr>
        <w:t>2</w:t>
      </w:r>
      <w:r w:rsidRPr="00883399">
        <w:rPr>
          <w:sz w:val="24"/>
        </w:rPr>
        <w:noBreakHyphen/>
        <w:t>e tonnes per tonne of COD (sludge).</w:t>
      </w:r>
    </w:p>
    <w:p w14:paraId="579B6AF6" w14:textId="77777777" w:rsidR="00872C03" w:rsidRPr="00883399" w:rsidRDefault="00872C03" w:rsidP="00872C03">
      <w:pPr>
        <w:pStyle w:val="BoxStep"/>
        <w:rPr>
          <w:sz w:val="24"/>
        </w:rPr>
      </w:pPr>
      <w:r w:rsidRPr="00883399">
        <w:rPr>
          <w:sz w:val="24"/>
        </w:rPr>
        <w:tab/>
      </w:r>
      <w:r w:rsidRPr="00883399">
        <w:rPr>
          <w:b/>
          <w:i/>
          <w:sz w:val="24"/>
        </w:rPr>
        <w:t>EF</w:t>
      </w:r>
      <w:r w:rsidRPr="00883399">
        <w:rPr>
          <w:b/>
          <w:i/>
          <w:sz w:val="24"/>
          <w:vertAlign w:val="subscript"/>
        </w:rPr>
        <w:t>wijz</w:t>
      </w:r>
      <w:r w:rsidRPr="00883399">
        <w:rPr>
          <w:sz w:val="24"/>
        </w:rPr>
        <w:t xml:space="preserve"> is the default methane emission factor for wastewater with a value of 6.3 CO</w:t>
      </w:r>
      <w:r w:rsidRPr="00883399">
        <w:rPr>
          <w:sz w:val="24"/>
          <w:vertAlign w:val="subscript"/>
        </w:rPr>
        <w:t>2</w:t>
      </w:r>
      <w:r w:rsidRPr="00883399">
        <w:rPr>
          <w:sz w:val="24"/>
        </w:rPr>
        <w:noBreakHyphen/>
        <w:t>e tonnes per tonne of COD.</w:t>
      </w:r>
    </w:p>
    <w:p w14:paraId="00633191" w14:textId="77777777" w:rsidR="00872C03" w:rsidRPr="00883399" w:rsidRDefault="00872C03" w:rsidP="00872C03">
      <w:pPr>
        <w:pStyle w:val="BoxStep"/>
        <w:rPr>
          <w:sz w:val="24"/>
        </w:rPr>
      </w:pPr>
      <w:r w:rsidRPr="00883399">
        <w:rPr>
          <w:sz w:val="24"/>
        </w:rPr>
        <w:tab/>
      </w:r>
      <w:r w:rsidRPr="00883399">
        <w:rPr>
          <w:b/>
          <w:i/>
          <w:sz w:val="24"/>
        </w:rPr>
        <w:t>MCF</w:t>
      </w:r>
      <w:r w:rsidRPr="00883399">
        <w:rPr>
          <w:b/>
          <w:i/>
          <w:sz w:val="24"/>
          <w:vertAlign w:val="subscript"/>
        </w:rPr>
        <w:t>slz</w:t>
      </w:r>
      <w:r w:rsidRPr="00883399">
        <w:rPr>
          <w:sz w:val="24"/>
        </w:rPr>
        <w:t xml:space="preserve"> is the methane correction factor for sludge treated at the sub</w:t>
      </w:r>
      <w:r w:rsidRPr="00883399">
        <w:rPr>
          <w:sz w:val="24"/>
        </w:rPr>
        <w:noBreakHyphen/>
        <w:t>facility during the reporting year.</w:t>
      </w:r>
    </w:p>
    <w:p w14:paraId="7871451D" w14:textId="77777777" w:rsidR="00872C03" w:rsidRPr="00883399" w:rsidRDefault="00872C03" w:rsidP="00872C03">
      <w:pPr>
        <w:pStyle w:val="BoxStep"/>
        <w:rPr>
          <w:sz w:val="24"/>
        </w:rPr>
      </w:pPr>
      <w:r w:rsidRPr="00883399">
        <w:rPr>
          <w:b/>
          <w:i/>
          <w:sz w:val="24"/>
        </w:rPr>
        <w:tab/>
        <w:t>MCF</w:t>
      </w:r>
      <w:r w:rsidRPr="00883399">
        <w:rPr>
          <w:b/>
          <w:i/>
          <w:sz w:val="24"/>
          <w:vertAlign w:val="subscript"/>
        </w:rPr>
        <w:t>wwz</w:t>
      </w:r>
      <w:r w:rsidRPr="00883399">
        <w:rPr>
          <w:sz w:val="24"/>
        </w:rPr>
        <w:t xml:space="preserve"> is the methane correction factor for wastewater treated at the sub</w:t>
      </w:r>
      <w:r w:rsidRPr="00883399">
        <w:rPr>
          <w:sz w:val="24"/>
        </w:rPr>
        <w:noBreakHyphen/>
        <w:t>facility during the reporting year.</w:t>
      </w:r>
    </w:p>
    <w:p w14:paraId="2C7567A4" w14:textId="77777777" w:rsidR="00872C03" w:rsidRPr="00883399" w:rsidRDefault="00872C03" w:rsidP="00872C03">
      <w:pPr>
        <w:pStyle w:val="BoxStep"/>
        <w:rPr>
          <w:sz w:val="24"/>
        </w:rPr>
      </w:pPr>
      <w:r w:rsidRPr="00883399">
        <w:rPr>
          <w:b/>
          <w:i/>
          <w:sz w:val="24"/>
        </w:rPr>
        <w:tab/>
        <w:t>Q</w:t>
      </w:r>
      <w:r w:rsidRPr="00883399">
        <w:rPr>
          <w:b/>
          <w:i/>
          <w:sz w:val="24"/>
          <w:vertAlign w:val="subscript"/>
        </w:rPr>
        <w:t>capz</w:t>
      </w:r>
      <w:r w:rsidRPr="00883399">
        <w:rPr>
          <w:sz w:val="24"/>
        </w:rPr>
        <w:t xml:space="preserve"> has the same meaning as in step 1 in subsection (1).</w:t>
      </w:r>
    </w:p>
    <w:p w14:paraId="2F15DB6A" w14:textId="77777777" w:rsidR="00872C03" w:rsidRPr="00883399" w:rsidRDefault="00872C03" w:rsidP="00872C03">
      <w:pPr>
        <w:pStyle w:val="BoxStep"/>
        <w:rPr>
          <w:sz w:val="24"/>
        </w:rPr>
      </w:pPr>
      <w:r w:rsidRPr="00883399">
        <w:rPr>
          <w:sz w:val="24"/>
        </w:rPr>
        <w:tab/>
      </w:r>
      <w:r w:rsidRPr="00883399">
        <w:rPr>
          <w:b/>
          <w:i/>
          <w:sz w:val="24"/>
        </w:rPr>
        <w:t>Q</w:t>
      </w:r>
      <w:r w:rsidRPr="00883399">
        <w:rPr>
          <w:b/>
          <w:i/>
          <w:sz w:val="24"/>
          <w:vertAlign w:val="subscript"/>
        </w:rPr>
        <w:t>flaredz</w:t>
      </w:r>
      <w:r w:rsidRPr="00883399">
        <w:rPr>
          <w:sz w:val="24"/>
        </w:rPr>
        <w:t xml:space="preserve"> has the same meaning as in step 1 in subsection (1).</w:t>
      </w:r>
    </w:p>
    <w:p w14:paraId="748F4D5E" w14:textId="77777777" w:rsidR="00872C03" w:rsidRPr="00883399" w:rsidRDefault="00872C03" w:rsidP="00872C03">
      <w:pPr>
        <w:pStyle w:val="BoxStep"/>
        <w:rPr>
          <w:sz w:val="24"/>
        </w:rPr>
      </w:pPr>
      <w:r w:rsidRPr="00883399">
        <w:rPr>
          <w:sz w:val="24"/>
        </w:rPr>
        <w:tab/>
      </w:r>
      <w:r w:rsidRPr="00883399">
        <w:rPr>
          <w:b/>
          <w:i/>
          <w:sz w:val="24"/>
        </w:rPr>
        <w:t>Q</w:t>
      </w:r>
      <w:r w:rsidRPr="00883399">
        <w:rPr>
          <w:b/>
          <w:i/>
          <w:sz w:val="24"/>
          <w:vertAlign w:val="subscript"/>
        </w:rPr>
        <w:t>trz</w:t>
      </w:r>
      <w:r w:rsidRPr="00883399">
        <w:rPr>
          <w:sz w:val="24"/>
        </w:rPr>
        <w:t xml:space="preserve"> has the same meaning as in step 1 in subsection (1).</w:t>
      </w:r>
    </w:p>
    <w:p w14:paraId="38980383" w14:textId="77777777" w:rsidR="00872C03" w:rsidRPr="00883399" w:rsidRDefault="00872C03" w:rsidP="00872C03">
      <w:pPr>
        <w:pStyle w:val="BoxStep"/>
        <w:rPr>
          <w:sz w:val="24"/>
        </w:rPr>
      </w:pPr>
      <w:r w:rsidRPr="00883399">
        <w:rPr>
          <w:sz w:val="24"/>
        </w:rPr>
        <w:t>Step 2.</w:t>
      </w:r>
      <w:r w:rsidRPr="00883399">
        <w:rPr>
          <w:sz w:val="24"/>
        </w:rPr>
        <w:tab/>
        <w:t xml:space="preserve">If the quantity worked out under step 1 is less than or equal to 1.00, work out </w:t>
      </w:r>
      <w:r w:rsidRPr="00883399">
        <w:rPr>
          <w:b/>
          <w:i/>
          <w:sz w:val="24"/>
        </w:rPr>
        <w:t>CH</w:t>
      </w:r>
      <w:r w:rsidRPr="00883399">
        <w:rPr>
          <w:b/>
          <w:i/>
          <w:sz w:val="24"/>
          <w:vertAlign w:val="subscript"/>
        </w:rPr>
        <w:t>4genz</w:t>
      </w:r>
      <w:r w:rsidRPr="00883399">
        <w:rPr>
          <w:sz w:val="24"/>
        </w:rPr>
        <w:t xml:space="preserve"> using the following formula:</w:t>
      </w:r>
    </w:p>
    <w:p w14:paraId="3ACB95E0" w14:textId="77777777" w:rsidR="00872C03" w:rsidRPr="00883399" w:rsidRDefault="00872C03" w:rsidP="00872C03">
      <w:pPr>
        <w:pStyle w:val="BoxStep"/>
        <w:rPr>
          <w:sz w:val="24"/>
        </w:rPr>
      </w:pPr>
      <w:r w:rsidRPr="00883399">
        <w:rPr>
          <w:sz w:val="24"/>
        </w:rPr>
        <w:tab/>
      </w:r>
      <w:r w:rsidRPr="00883399">
        <w:rPr>
          <w:position w:val="-48"/>
          <w:sz w:val="24"/>
        </w:rPr>
        <w:object w:dxaOrig="4599" w:dyaOrig="1060" w14:anchorId="7D4FCC39">
          <v:shape id="_x0000_i1106" type="#_x0000_t75" style="width:228.75pt;height:54pt" o:ole="">
            <v:imagedata r:id="rId323" o:title=""/>
          </v:shape>
          <o:OLEObject Type="Embed" ProgID="Equation.DSMT4" ShapeID="_x0000_i1106" DrawAspect="Content" ObjectID="_1594105997" r:id="rId324"/>
        </w:object>
      </w:r>
    </w:p>
    <w:p w14:paraId="2F4191AF" w14:textId="77777777" w:rsidR="00872C03" w:rsidRPr="00883399" w:rsidRDefault="00872C03" w:rsidP="00872C03">
      <w:pPr>
        <w:pStyle w:val="BoxStep"/>
        <w:rPr>
          <w:sz w:val="24"/>
        </w:rPr>
      </w:pPr>
      <w:r w:rsidRPr="00883399">
        <w:rPr>
          <w:sz w:val="24"/>
        </w:rPr>
        <w:tab/>
        <w:t>where:</w:t>
      </w:r>
    </w:p>
    <w:p w14:paraId="017EC237" w14:textId="77777777" w:rsidR="00872C03" w:rsidRPr="00883399" w:rsidRDefault="00872C03" w:rsidP="00872C03">
      <w:pPr>
        <w:pStyle w:val="BoxStep"/>
        <w:rPr>
          <w:sz w:val="24"/>
        </w:rPr>
      </w:pPr>
      <w:r w:rsidRPr="00883399">
        <w:rPr>
          <w:sz w:val="24"/>
        </w:rPr>
        <w:tab/>
      </w:r>
      <w:r w:rsidRPr="00883399">
        <w:rPr>
          <w:b/>
          <w:i/>
          <w:sz w:val="24"/>
        </w:rPr>
        <w:t>COD</w:t>
      </w:r>
      <w:r w:rsidRPr="00883399">
        <w:rPr>
          <w:b/>
          <w:i/>
          <w:sz w:val="24"/>
          <w:vertAlign w:val="subscript"/>
        </w:rPr>
        <w:t>effz</w:t>
      </w:r>
      <w:r w:rsidRPr="00883399">
        <w:rPr>
          <w:sz w:val="24"/>
        </w:rPr>
        <w:t xml:space="preserve"> has the same meaning as in step 1.</w:t>
      </w:r>
    </w:p>
    <w:p w14:paraId="76ED7113" w14:textId="77777777" w:rsidR="00872C03" w:rsidRPr="00883399" w:rsidRDefault="00872C03" w:rsidP="00872C03">
      <w:pPr>
        <w:pStyle w:val="BoxStep"/>
        <w:rPr>
          <w:b/>
          <w:i/>
          <w:sz w:val="24"/>
        </w:rPr>
      </w:pPr>
      <w:r w:rsidRPr="00883399">
        <w:rPr>
          <w:b/>
          <w:i/>
          <w:sz w:val="24"/>
        </w:rPr>
        <w:lastRenderedPageBreak/>
        <w:tab/>
        <w:t>COD</w:t>
      </w:r>
      <w:r w:rsidRPr="00883399">
        <w:rPr>
          <w:b/>
          <w:i/>
          <w:sz w:val="24"/>
          <w:vertAlign w:val="subscript"/>
        </w:rPr>
        <w:t>slz</w:t>
      </w:r>
      <w:r w:rsidRPr="00883399">
        <w:rPr>
          <w:sz w:val="24"/>
        </w:rPr>
        <w:t xml:space="preserve"> has the same meaning as in step 1.</w:t>
      </w:r>
    </w:p>
    <w:p w14:paraId="0E17CF7B" w14:textId="77777777" w:rsidR="00872C03" w:rsidRPr="00883399" w:rsidRDefault="00872C03" w:rsidP="00872C03">
      <w:pPr>
        <w:pStyle w:val="BoxStep"/>
        <w:rPr>
          <w:sz w:val="24"/>
        </w:rPr>
      </w:pPr>
      <w:r w:rsidRPr="00883399">
        <w:rPr>
          <w:b/>
          <w:i/>
          <w:sz w:val="24"/>
        </w:rPr>
        <w:tab/>
        <w:t>COD</w:t>
      </w:r>
      <w:r w:rsidRPr="00883399">
        <w:rPr>
          <w:b/>
          <w:i/>
          <w:sz w:val="24"/>
          <w:vertAlign w:val="subscript"/>
        </w:rPr>
        <w:t>trlz</w:t>
      </w:r>
      <w:r w:rsidRPr="00883399">
        <w:rPr>
          <w:sz w:val="24"/>
        </w:rPr>
        <w:t xml:space="preserve"> has the same meaning as in step 1.</w:t>
      </w:r>
    </w:p>
    <w:p w14:paraId="427F5E27" w14:textId="77777777" w:rsidR="00872C03" w:rsidRPr="00883399" w:rsidRDefault="00872C03" w:rsidP="00872C03">
      <w:pPr>
        <w:pStyle w:val="BoxStep"/>
        <w:rPr>
          <w:b/>
          <w:i/>
          <w:sz w:val="24"/>
        </w:rPr>
      </w:pPr>
      <w:r w:rsidRPr="00883399">
        <w:rPr>
          <w:b/>
          <w:i/>
          <w:sz w:val="24"/>
        </w:rPr>
        <w:tab/>
        <w:t>COD</w:t>
      </w:r>
      <w:r w:rsidRPr="00883399">
        <w:rPr>
          <w:b/>
          <w:i/>
          <w:sz w:val="24"/>
          <w:vertAlign w:val="subscript"/>
        </w:rPr>
        <w:t>troz</w:t>
      </w:r>
      <w:r w:rsidRPr="00883399">
        <w:rPr>
          <w:sz w:val="24"/>
        </w:rPr>
        <w:t xml:space="preserve"> has the same meaning as in step 1.</w:t>
      </w:r>
    </w:p>
    <w:p w14:paraId="2B4BC80D" w14:textId="77777777" w:rsidR="00872C03" w:rsidRPr="00883399" w:rsidRDefault="00872C03" w:rsidP="00872C03">
      <w:pPr>
        <w:pStyle w:val="BoxStep"/>
        <w:rPr>
          <w:sz w:val="24"/>
        </w:rPr>
      </w:pPr>
      <w:r w:rsidRPr="00883399">
        <w:rPr>
          <w:b/>
          <w:i/>
          <w:sz w:val="24"/>
        </w:rPr>
        <w:tab/>
        <w:t>COD</w:t>
      </w:r>
      <w:r w:rsidRPr="00883399">
        <w:rPr>
          <w:b/>
          <w:i/>
          <w:sz w:val="24"/>
          <w:vertAlign w:val="subscript"/>
        </w:rPr>
        <w:t>wz</w:t>
      </w:r>
      <w:r w:rsidRPr="00883399">
        <w:rPr>
          <w:sz w:val="24"/>
        </w:rPr>
        <w:t xml:space="preserve"> has the same meaning as in step 1.</w:t>
      </w:r>
    </w:p>
    <w:p w14:paraId="154651F3" w14:textId="77777777" w:rsidR="00872C03" w:rsidRPr="00883399" w:rsidRDefault="00872C03" w:rsidP="00872C03">
      <w:pPr>
        <w:pStyle w:val="BoxStep"/>
        <w:rPr>
          <w:sz w:val="24"/>
        </w:rPr>
      </w:pPr>
      <w:r w:rsidRPr="00883399">
        <w:rPr>
          <w:sz w:val="24"/>
        </w:rPr>
        <w:tab/>
      </w:r>
      <w:r w:rsidRPr="00883399">
        <w:rPr>
          <w:b/>
          <w:i/>
          <w:sz w:val="24"/>
        </w:rPr>
        <w:t>EF</w:t>
      </w:r>
      <w:r w:rsidRPr="00883399">
        <w:rPr>
          <w:b/>
          <w:i/>
          <w:sz w:val="24"/>
          <w:vertAlign w:val="subscript"/>
        </w:rPr>
        <w:t>slijz</w:t>
      </w:r>
      <w:r w:rsidRPr="00883399">
        <w:rPr>
          <w:sz w:val="24"/>
        </w:rPr>
        <w:t xml:space="preserve"> has the same meaning as in step 1.</w:t>
      </w:r>
    </w:p>
    <w:p w14:paraId="45C285BC" w14:textId="77777777" w:rsidR="00872C03" w:rsidRPr="00883399" w:rsidRDefault="00872C03" w:rsidP="00872C03">
      <w:pPr>
        <w:pStyle w:val="BoxStep"/>
        <w:rPr>
          <w:sz w:val="24"/>
        </w:rPr>
      </w:pPr>
      <w:r w:rsidRPr="00883399">
        <w:rPr>
          <w:sz w:val="24"/>
        </w:rPr>
        <w:tab/>
      </w:r>
      <w:r w:rsidRPr="00883399">
        <w:rPr>
          <w:b/>
          <w:i/>
          <w:sz w:val="24"/>
        </w:rPr>
        <w:t>EF</w:t>
      </w:r>
      <w:r w:rsidRPr="00883399">
        <w:rPr>
          <w:b/>
          <w:i/>
          <w:sz w:val="24"/>
          <w:vertAlign w:val="subscript"/>
        </w:rPr>
        <w:t>wijz</w:t>
      </w:r>
      <w:r w:rsidRPr="00883399">
        <w:rPr>
          <w:sz w:val="24"/>
        </w:rPr>
        <w:t xml:space="preserve"> has the same meaning as in step 1.</w:t>
      </w:r>
    </w:p>
    <w:p w14:paraId="52914873" w14:textId="77777777" w:rsidR="00872C03" w:rsidRPr="00883399" w:rsidRDefault="00872C03" w:rsidP="00872C03">
      <w:pPr>
        <w:pStyle w:val="BoxStep"/>
        <w:rPr>
          <w:sz w:val="24"/>
        </w:rPr>
      </w:pPr>
      <w:r w:rsidRPr="00883399">
        <w:rPr>
          <w:sz w:val="24"/>
        </w:rPr>
        <w:tab/>
      </w:r>
      <w:r w:rsidRPr="00883399">
        <w:rPr>
          <w:b/>
          <w:i/>
          <w:sz w:val="24"/>
        </w:rPr>
        <w:t>MCF</w:t>
      </w:r>
      <w:r w:rsidRPr="00883399">
        <w:rPr>
          <w:b/>
          <w:i/>
          <w:sz w:val="24"/>
          <w:vertAlign w:val="subscript"/>
        </w:rPr>
        <w:t>wwz</w:t>
      </w:r>
      <w:r w:rsidRPr="00883399">
        <w:rPr>
          <w:sz w:val="24"/>
        </w:rPr>
        <w:t xml:space="preserve"> has the same meaning as in step 1.</w:t>
      </w:r>
    </w:p>
    <w:p w14:paraId="2A9544BC" w14:textId="77777777" w:rsidR="00872C03" w:rsidRPr="00883399" w:rsidRDefault="00872C03" w:rsidP="00872C03">
      <w:pPr>
        <w:pStyle w:val="BoxStep"/>
        <w:rPr>
          <w:sz w:val="24"/>
        </w:rPr>
      </w:pPr>
      <w:r w:rsidRPr="00883399">
        <w:rPr>
          <w:sz w:val="24"/>
        </w:rPr>
        <w:tab/>
      </w:r>
      <w:r w:rsidRPr="00883399">
        <w:rPr>
          <w:b/>
          <w:i/>
          <w:sz w:val="24"/>
        </w:rPr>
        <w:t>MCF</w:t>
      </w:r>
      <w:r w:rsidRPr="00883399">
        <w:rPr>
          <w:b/>
          <w:i/>
          <w:sz w:val="24"/>
          <w:vertAlign w:val="subscript"/>
        </w:rPr>
        <w:t>slz</w:t>
      </w:r>
      <w:r w:rsidRPr="00883399">
        <w:rPr>
          <w:sz w:val="24"/>
        </w:rPr>
        <w:t xml:space="preserve"> has the same meaning as in step 1.</w:t>
      </w:r>
    </w:p>
    <w:p w14:paraId="3B7ABBC9" w14:textId="77777777" w:rsidR="00872C03" w:rsidRPr="00883399" w:rsidRDefault="00872C03" w:rsidP="00872C03">
      <w:pPr>
        <w:pStyle w:val="BoxStep"/>
        <w:rPr>
          <w:sz w:val="24"/>
        </w:rPr>
      </w:pPr>
      <w:r w:rsidRPr="00883399">
        <w:rPr>
          <w:sz w:val="24"/>
        </w:rPr>
        <w:t>Step 3.</w:t>
      </w:r>
      <w:r w:rsidRPr="00883399">
        <w:rPr>
          <w:sz w:val="24"/>
        </w:rPr>
        <w:tab/>
        <w:t xml:space="preserve">If the quantity worked out under step 1 is greater than 1.00, work out </w:t>
      </w:r>
      <w:r w:rsidRPr="00883399">
        <w:rPr>
          <w:b/>
          <w:i/>
          <w:sz w:val="24"/>
        </w:rPr>
        <w:t>CH</w:t>
      </w:r>
      <w:r w:rsidRPr="00883399">
        <w:rPr>
          <w:b/>
          <w:i/>
          <w:sz w:val="24"/>
          <w:vertAlign w:val="subscript"/>
        </w:rPr>
        <w:t>4genz</w:t>
      </w:r>
      <w:r w:rsidRPr="00883399">
        <w:rPr>
          <w:sz w:val="24"/>
        </w:rPr>
        <w:t xml:space="preserve"> using the formula:</w:t>
      </w:r>
    </w:p>
    <w:p w14:paraId="6E82DF8A" w14:textId="77777777" w:rsidR="00872C03" w:rsidRPr="00883399" w:rsidRDefault="00872C03" w:rsidP="00872C03">
      <w:pPr>
        <w:pStyle w:val="BoxStep"/>
        <w:rPr>
          <w:sz w:val="24"/>
        </w:rPr>
      </w:pPr>
      <w:r w:rsidRPr="00883399">
        <w:rPr>
          <w:sz w:val="24"/>
        </w:rPr>
        <w:tab/>
      </w:r>
      <w:r w:rsidRPr="00883399">
        <w:rPr>
          <w:position w:val="-36"/>
          <w:sz w:val="24"/>
        </w:rPr>
        <w:object w:dxaOrig="3040" w:dyaOrig="820" w14:anchorId="795A9C6B">
          <v:shape id="_x0000_i1107" type="#_x0000_t75" style="width:152.25pt;height:41.25pt" o:ole="">
            <v:imagedata r:id="rId325" o:title=""/>
          </v:shape>
          <o:OLEObject Type="Embed" ProgID="Equation.DSMT4" ShapeID="_x0000_i1107" DrawAspect="Content" ObjectID="_1594105998" r:id="rId326"/>
        </w:object>
      </w:r>
    </w:p>
    <w:p w14:paraId="2DC6A2F3" w14:textId="77777777" w:rsidR="00872C03" w:rsidRPr="00883399" w:rsidRDefault="00872C03" w:rsidP="00872C03">
      <w:pPr>
        <w:pStyle w:val="BoxStep"/>
        <w:rPr>
          <w:sz w:val="24"/>
        </w:rPr>
      </w:pPr>
      <w:r w:rsidRPr="00883399">
        <w:rPr>
          <w:sz w:val="24"/>
        </w:rPr>
        <w:tab/>
        <w:t>where:</w:t>
      </w:r>
    </w:p>
    <w:p w14:paraId="38661AD2" w14:textId="77777777" w:rsidR="00872C03" w:rsidRPr="00883399" w:rsidRDefault="00872C03" w:rsidP="00872C03">
      <w:pPr>
        <w:pStyle w:val="BoxStep"/>
        <w:rPr>
          <w:sz w:val="24"/>
        </w:rPr>
      </w:pPr>
      <w:r w:rsidRPr="00883399">
        <w:rPr>
          <w:sz w:val="24"/>
        </w:rPr>
        <w:tab/>
      </w:r>
      <w:r w:rsidRPr="00883399">
        <w:rPr>
          <w:b/>
          <w:i/>
          <w:sz w:val="24"/>
        </w:rPr>
        <w:t>γ</w:t>
      </w:r>
      <w:r w:rsidRPr="00883399">
        <w:rPr>
          <w:sz w:val="24"/>
        </w:rPr>
        <w:t xml:space="preserve"> has the same meaning as in step 1 in subsection (1).</w:t>
      </w:r>
    </w:p>
    <w:p w14:paraId="401FBC43" w14:textId="77777777" w:rsidR="00872C03" w:rsidRPr="00883399" w:rsidRDefault="00872C03" w:rsidP="00872C03">
      <w:pPr>
        <w:pStyle w:val="BoxStep"/>
        <w:rPr>
          <w:sz w:val="24"/>
        </w:rPr>
      </w:pPr>
      <w:r w:rsidRPr="00883399">
        <w:rPr>
          <w:sz w:val="24"/>
        </w:rPr>
        <w:tab/>
      </w:r>
      <w:r w:rsidRPr="00883399">
        <w:rPr>
          <w:b/>
          <w:i/>
          <w:sz w:val="24"/>
        </w:rPr>
        <w:t>Q</w:t>
      </w:r>
      <w:r w:rsidRPr="00883399">
        <w:rPr>
          <w:b/>
          <w:i/>
          <w:sz w:val="24"/>
          <w:vertAlign w:val="subscript"/>
        </w:rPr>
        <w:t>capz</w:t>
      </w:r>
      <w:r w:rsidRPr="00883399">
        <w:rPr>
          <w:sz w:val="24"/>
        </w:rPr>
        <w:t xml:space="preserve"> has the same meaning as in step 1 in subsection (1).</w:t>
      </w:r>
    </w:p>
    <w:p w14:paraId="1C86253E" w14:textId="77777777" w:rsidR="00872C03" w:rsidRPr="00883399" w:rsidRDefault="00872C03" w:rsidP="00872C03">
      <w:pPr>
        <w:pStyle w:val="BoxStep"/>
        <w:rPr>
          <w:sz w:val="24"/>
        </w:rPr>
      </w:pPr>
      <w:r w:rsidRPr="00883399">
        <w:rPr>
          <w:sz w:val="24"/>
        </w:rPr>
        <w:tab/>
      </w:r>
      <w:r w:rsidRPr="00883399">
        <w:rPr>
          <w:b/>
          <w:i/>
          <w:sz w:val="24"/>
        </w:rPr>
        <w:t>Q</w:t>
      </w:r>
      <w:r w:rsidRPr="00883399">
        <w:rPr>
          <w:b/>
          <w:i/>
          <w:sz w:val="24"/>
          <w:vertAlign w:val="subscript"/>
        </w:rPr>
        <w:t>flaredz</w:t>
      </w:r>
      <w:r w:rsidRPr="00883399">
        <w:rPr>
          <w:sz w:val="24"/>
        </w:rPr>
        <w:t xml:space="preserve"> has the same meaning as in step 1 in subsection (1).</w:t>
      </w:r>
    </w:p>
    <w:p w14:paraId="614F7943" w14:textId="77777777" w:rsidR="00872C03" w:rsidRPr="00883399" w:rsidRDefault="00872C03" w:rsidP="00872C03">
      <w:pPr>
        <w:pStyle w:val="BoxStep"/>
        <w:rPr>
          <w:sz w:val="24"/>
        </w:rPr>
      </w:pPr>
      <w:r w:rsidRPr="00883399">
        <w:rPr>
          <w:sz w:val="24"/>
        </w:rPr>
        <w:tab/>
      </w:r>
      <w:r w:rsidRPr="00883399">
        <w:rPr>
          <w:b/>
          <w:i/>
          <w:sz w:val="24"/>
        </w:rPr>
        <w:t>Q</w:t>
      </w:r>
      <w:r w:rsidRPr="00883399">
        <w:rPr>
          <w:b/>
          <w:i/>
          <w:sz w:val="24"/>
          <w:vertAlign w:val="subscript"/>
        </w:rPr>
        <w:t>trz</w:t>
      </w:r>
      <w:r w:rsidRPr="00883399">
        <w:rPr>
          <w:sz w:val="24"/>
        </w:rPr>
        <w:t xml:space="preserve"> has the same meaning as in step 1 in subsection (1).</w:t>
      </w:r>
    </w:p>
    <w:p w14:paraId="40EBF2F4" w14:textId="77777777" w:rsidR="00872C03" w:rsidRPr="00883399" w:rsidRDefault="00872C03" w:rsidP="00872C03">
      <w:pPr>
        <w:pStyle w:val="subsection"/>
        <w:rPr>
          <w:sz w:val="24"/>
        </w:rPr>
      </w:pPr>
      <w:r w:rsidRPr="00883399">
        <w:rPr>
          <w:sz w:val="24"/>
        </w:rPr>
        <w:tab/>
        <w:t>(3)</w:t>
      </w:r>
      <w:r w:rsidRPr="00883399">
        <w:rPr>
          <w:sz w:val="24"/>
        </w:rPr>
        <w:tab/>
        <w:t xml:space="preserve">For steps 1 and 2 in subsection (2), an operator of the plant must choose a treatment for </w:t>
      </w:r>
      <w:r w:rsidRPr="00883399">
        <w:rPr>
          <w:b/>
          <w:i/>
          <w:sz w:val="24"/>
        </w:rPr>
        <w:t>MCF</w:t>
      </w:r>
      <w:r w:rsidRPr="00883399">
        <w:rPr>
          <w:b/>
          <w:i/>
          <w:sz w:val="24"/>
          <w:vertAlign w:val="subscript"/>
        </w:rPr>
        <w:t>wwz</w:t>
      </w:r>
      <w:r w:rsidRPr="00883399">
        <w:rPr>
          <w:sz w:val="24"/>
        </w:rPr>
        <w:t xml:space="preserve"> and estimate the quantity of COD removed from the wastewater as sludge (</w:t>
      </w:r>
      <w:r w:rsidRPr="00883399">
        <w:rPr>
          <w:b/>
          <w:i/>
          <w:sz w:val="24"/>
        </w:rPr>
        <w:t>COD</w:t>
      </w:r>
      <w:r w:rsidRPr="00883399">
        <w:rPr>
          <w:b/>
          <w:i/>
          <w:sz w:val="24"/>
          <w:vertAlign w:val="subscript"/>
        </w:rPr>
        <w:t>slz</w:t>
      </w:r>
      <w:r w:rsidRPr="00883399">
        <w:rPr>
          <w:sz w:val="24"/>
        </w:rPr>
        <w:t>).</w:t>
      </w:r>
    </w:p>
    <w:p w14:paraId="36D45EE5" w14:textId="77777777" w:rsidR="00872C03" w:rsidRPr="00883399" w:rsidRDefault="00872C03" w:rsidP="00872C03">
      <w:pPr>
        <w:pStyle w:val="subsection"/>
        <w:rPr>
          <w:sz w:val="24"/>
        </w:rPr>
      </w:pPr>
      <w:r w:rsidRPr="00883399">
        <w:rPr>
          <w:sz w:val="24"/>
        </w:rPr>
        <w:tab/>
        <w:t>(4)</w:t>
      </w:r>
      <w:r w:rsidRPr="00883399">
        <w:rPr>
          <w:sz w:val="24"/>
        </w:rPr>
        <w:tab/>
        <w:t xml:space="preserve">For steps 1 and 2 in subsection (2), </w:t>
      </w:r>
      <w:r w:rsidRPr="00883399">
        <w:rPr>
          <w:b/>
          <w:i/>
          <w:sz w:val="24"/>
        </w:rPr>
        <w:t>COD</w:t>
      </w:r>
      <w:r w:rsidRPr="00883399">
        <w:rPr>
          <w:b/>
          <w:i/>
          <w:sz w:val="24"/>
          <w:vertAlign w:val="subscript"/>
        </w:rPr>
        <w:t>slz</w:t>
      </w:r>
      <w:r w:rsidRPr="00883399">
        <w:rPr>
          <w:sz w:val="24"/>
        </w:rPr>
        <w:t xml:space="preserve"> is worked out using the formula:</w:t>
      </w:r>
    </w:p>
    <w:p w14:paraId="0C495262" w14:textId="77777777" w:rsidR="00872C03" w:rsidRPr="00883399" w:rsidRDefault="00872C03" w:rsidP="00872C03">
      <w:pPr>
        <w:pStyle w:val="subsection2"/>
        <w:rPr>
          <w:sz w:val="24"/>
        </w:rPr>
      </w:pPr>
      <w:r w:rsidRPr="00883399">
        <w:rPr>
          <w:position w:val="-24"/>
          <w:sz w:val="24"/>
        </w:rPr>
        <w:object w:dxaOrig="1760" w:dyaOrig="580" w14:anchorId="242F9C80">
          <v:shape id="_x0000_i1108" type="#_x0000_t75" style="width:87.75pt;height:30pt" o:ole="">
            <v:imagedata r:id="rId327" o:title=""/>
          </v:shape>
          <o:OLEObject Type="Embed" ProgID="Equation.DSMT4" ShapeID="_x0000_i1108" DrawAspect="Content" ObjectID="_1594105999" r:id="rId328"/>
        </w:object>
      </w:r>
    </w:p>
    <w:p w14:paraId="73EA2F3F" w14:textId="77777777" w:rsidR="00872C03" w:rsidRPr="00883399" w:rsidRDefault="00872C03" w:rsidP="00872C03">
      <w:pPr>
        <w:pStyle w:val="subsection2"/>
        <w:rPr>
          <w:sz w:val="24"/>
        </w:rPr>
      </w:pPr>
      <w:r w:rsidRPr="00883399">
        <w:rPr>
          <w:sz w:val="24"/>
        </w:rPr>
        <w:t>where:</w:t>
      </w:r>
    </w:p>
    <w:p w14:paraId="7A23862F" w14:textId="77777777" w:rsidR="00872C03" w:rsidRPr="00883399" w:rsidRDefault="00872C03" w:rsidP="00872C03">
      <w:pPr>
        <w:pStyle w:val="Definition0"/>
        <w:rPr>
          <w:sz w:val="24"/>
        </w:rPr>
      </w:pPr>
      <w:r w:rsidRPr="00883399">
        <w:rPr>
          <w:b/>
          <w:i/>
          <w:sz w:val="24"/>
        </w:rPr>
        <w:t>COD</w:t>
      </w:r>
      <w:r w:rsidRPr="00883399">
        <w:rPr>
          <w:b/>
          <w:i/>
          <w:sz w:val="24"/>
          <w:vertAlign w:val="subscript"/>
        </w:rPr>
        <w:t>pslz</w:t>
      </w:r>
      <w:r w:rsidRPr="00883399">
        <w:rPr>
          <w:sz w:val="24"/>
        </w:rPr>
        <w:t xml:space="preserve"> is the quantity of COD removed as primary sludge from wastewater and treated in the sub</w:t>
      </w:r>
      <w:r w:rsidRPr="00883399">
        <w:rPr>
          <w:sz w:val="24"/>
        </w:rPr>
        <w:noBreakHyphen/>
        <w:t>facility measured in tonnes of COD and may be estimated using the formula in subsection (5).</w:t>
      </w:r>
    </w:p>
    <w:p w14:paraId="3FDFB47B" w14:textId="77777777" w:rsidR="00872C03" w:rsidRPr="00883399" w:rsidRDefault="00872C03" w:rsidP="00872C03">
      <w:pPr>
        <w:pStyle w:val="Definition0"/>
        <w:rPr>
          <w:sz w:val="24"/>
        </w:rPr>
      </w:pPr>
      <w:r w:rsidRPr="00883399">
        <w:rPr>
          <w:b/>
          <w:i/>
          <w:sz w:val="24"/>
        </w:rPr>
        <w:lastRenderedPageBreak/>
        <w:t>COD</w:t>
      </w:r>
      <w:r w:rsidRPr="00883399">
        <w:rPr>
          <w:b/>
          <w:i/>
          <w:sz w:val="24"/>
          <w:vertAlign w:val="subscript"/>
        </w:rPr>
        <w:t>waslz</w:t>
      </w:r>
      <w:r w:rsidRPr="00883399">
        <w:rPr>
          <w:sz w:val="24"/>
        </w:rPr>
        <w:t xml:space="preserve"> is the quantity of COD removed as waste activated sludge from wastewater and treated in the sub</w:t>
      </w:r>
      <w:r w:rsidRPr="00883399">
        <w:rPr>
          <w:sz w:val="24"/>
        </w:rPr>
        <w:noBreakHyphen/>
        <w:t>facility measured in tonnes of COD and may be estimated using the formula in subsection (6).</w:t>
      </w:r>
    </w:p>
    <w:p w14:paraId="041BB2D2" w14:textId="77777777" w:rsidR="00872C03" w:rsidRPr="00883399" w:rsidRDefault="00872C03" w:rsidP="00872C03">
      <w:pPr>
        <w:pStyle w:val="subsection"/>
        <w:rPr>
          <w:sz w:val="24"/>
        </w:rPr>
      </w:pPr>
      <w:r w:rsidRPr="00883399">
        <w:rPr>
          <w:sz w:val="24"/>
        </w:rPr>
        <w:tab/>
        <w:t>(5)</w:t>
      </w:r>
      <w:r w:rsidRPr="00883399">
        <w:rPr>
          <w:sz w:val="24"/>
        </w:rPr>
        <w:tab/>
        <w:t xml:space="preserve">For subsection (4), </w:t>
      </w:r>
      <w:r w:rsidRPr="00883399">
        <w:rPr>
          <w:b/>
          <w:i/>
          <w:sz w:val="24"/>
        </w:rPr>
        <w:t>COD</w:t>
      </w:r>
      <w:r w:rsidRPr="00883399">
        <w:rPr>
          <w:b/>
          <w:i/>
          <w:sz w:val="24"/>
          <w:vertAlign w:val="subscript"/>
        </w:rPr>
        <w:t>pslz</w:t>
      </w:r>
      <w:r w:rsidRPr="00883399">
        <w:rPr>
          <w:sz w:val="24"/>
        </w:rPr>
        <w:t xml:space="preserve"> may be estimated in accordance with the following formula:</w:t>
      </w:r>
    </w:p>
    <w:p w14:paraId="35A7D77D" w14:textId="77777777" w:rsidR="00872C03" w:rsidRPr="00883399" w:rsidRDefault="00872C03" w:rsidP="00872C03">
      <w:pPr>
        <w:pStyle w:val="subsection2"/>
        <w:rPr>
          <w:sz w:val="24"/>
        </w:rPr>
      </w:pPr>
      <w:r w:rsidRPr="00883399">
        <w:rPr>
          <w:position w:val="-12"/>
          <w:sz w:val="24"/>
        </w:rPr>
        <w:object w:dxaOrig="1160" w:dyaOrig="440" w14:anchorId="51939611">
          <v:shape id="_x0000_i1109" type="#_x0000_t75" style="width:60pt;height:22.5pt" o:ole="">
            <v:imagedata r:id="rId329" o:title=""/>
          </v:shape>
          <o:OLEObject Type="Embed" ProgID="Equation.DSMT4" ShapeID="_x0000_i1109" DrawAspect="Content" ObjectID="_1594106000" r:id="rId330"/>
        </w:object>
      </w:r>
    </w:p>
    <w:p w14:paraId="0302AEE8" w14:textId="77777777" w:rsidR="00872C03" w:rsidRPr="00883399" w:rsidRDefault="00872C03" w:rsidP="00872C03">
      <w:pPr>
        <w:pStyle w:val="subsection2"/>
        <w:rPr>
          <w:sz w:val="24"/>
        </w:rPr>
      </w:pPr>
      <w:r w:rsidRPr="00883399">
        <w:rPr>
          <w:sz w:val="24"/>
        </w:rPr>
        <w:t>where:</w:t>
      </w:r>
    </w:p>
    <w:p w14:paraId="18FC9B41" w14:textId="77777777" w:rsidR="00872C03" w:rsidRPr="00883399" w:rsidRDefault="00872C03" w:rsidP="00872C03">
      <w:pPr>
        <w:pStyle w:val="Definition0"/>
        <w:rPr>
          <w:sz w:val="24"/>
        </w:rPr>
      </w:pPr>
      <w:r w:rsidRPr="00883399">
        <w:rPr>
          <w:b/>
          <w:i/>
          <w:sz w:val="24"/>
        </w:rPr>
        <w:t>VS</w:t>
      </w:r>
      <w:r w:rsidRPr="00883399">
        <w:rPr>
          <w:b/>
          <w:i/>
          <w:sz w:val="24"/>
          <w:vertAlign w:val="subscript"/>
        </w:rPr>
        <w:t>pslz</w:t>
      </w:r>
      <w:r w:rsidRPr="00883399">
        <w:rPr>
          <w:sz w:val="24"/>
        </w:rPr>
        <w:t xml:space="preserve"> is the estimated volatile solids in the primary sludge.</w:t>
      </w:r>
    </w:p>
    <w:p w14:paraId="2DDCBD18" w14:textId="77777777" w:rsidR="00872C03" w:rsidRPr="00883399" w:rsidRDefault="00872C03" w:rsidP="00872C03">
      <w:pPr>
        <w:pStyle w:val="subsection"/>
        <w:rPr>
          <w:sz w:val="24"/>
        </w:rPr>
      </w:pPr>
      <w:r w:rsidRPr="00883399">
        <w:rPr>
          <w:sz w:val="24"/>
        </w:rPr>
        <w:tab/>
        <w:t>(6)</w:t>
      </w:r>
      <w:r w:rsidRPr="00883399">
        <w:rPr>
          <w:sz w:val="24"/>
        </w:rPr>
        <w:tab/>
        <w:t xml:space="preserve">For subsection (4), </w:t>
      </w:r>
      <w:r w:rsidRPr="00883399">
        <w:rPr>
          <w:b/>
          <w:i/>
          <w:sz w:val="24"/>
        </w:rPr>
        <w:t>COD</w:t>
      </w:r>
      <w:r w:rsidRPr="00883399">
        <w:rPr>
          <w:b/>
          <w:i/>
          <w:sz w:val="24"/>
          <w:vertAlign w:val="subscript"/>
        </w:rPr>
        <w:t>waslz</w:t>
      </w:r>
      <w:r w:rsidRPr="00883399">
        <w:rPr>
          <w:sz w:val="24"/>
        </w:rPr>
        <w:t xml:space="preserve"> may be estimated in accordance with the following formula:</w:t>
      </w:r>
    </w:p>
    <w:p w14:paraId="084F2035" w14:textId="77777777" w:rsidR="00872C03" w:rsidRPr="00883399" w:rsidRDefault="00872C03" w:rsidP="00872C03">
      <w:pPr>
        <w:pStyle w:val="subsection2"/>
        <w:rPr>
          <w:sz w:val="24"/>
        </w:rPr>
      </w:pPr>
      <w:r w:rsidRPr="00883399">
        <w:rPr>
          <w:position w:val="-10"/>
          <w:sz w:val="24"/>
        </w:rPr>
        <w:object w:dxaOrig="1240" w:dyaOrig="420" w14:anchorId="25F0F387">
          <v:shape id="_x0000_i1110" type="#_x0000_t75" style="width:61.5pt;height:21.75pt" o:ole="">
            <v:imagedata r:id="rId331" o:title=""/>
          </v:shape>
          <o:OLEObject Type="Embed" ProgID="Equation.DSMT4" ShapeID="_x0000_i1110" DrawAspect="Content" ObjectID="_1594106001" r:id="rId332"/>
        </w:object>
      </w:r>
    </w:p>
    <w:p w14:paraId="5E93469A" w14:textId="77777777" w:rsidR="00872C03" w:rsidRPr="00883399" w:rsidRDefault="00872C03" w:rsidP="00872C03">
      <w:pPr>
        <w:pStyle w:val="subsection2"/>
        <w:rPr>
          <w:sz w:val="24"/>
        </w:rPr>
      </w:pPr>
      <w:r w:rsidRPr="00883399">
        <w:rPr>
          <w:sz w:val="24"/>
        </w:rPr>
        <w:t>where:</w:t>
      </w:r>
    </w:p>
    <w:p w14:paraId="5308685F" w14:textId="77777777" w:rsidR="00872C03" w:rsidRPr="00883399" w:rsidRDefault="00872C03" w:rsidP="00872C03">
      <w:pPr>
        <w:pStyle w:val="Definition0"/>
        <w:rPr>
          <w:sz w:val="24"/>
        </w:rPr>
      </w:pPr>
      <w:r w:rsidRPr="00883399">
        <w:rPr>
          <w:b/>
          <w:i/>
          <w:sz w:val="24"/>
        </w:rPr>
        <w:t>VS</w:t>
      </w:r>
      <w:r w:rsidRPr="00883399">
        <w:rPr>
          <w:b/>
          <w:i/>
          <w:sz w:val="24"/>
          <w:vertAlign w:val="subscript"/>
        </w:rPr>
        <w:t>waslz</w:t>
      </w:r>
      <w:r w:rsidRPr="00883399">
        <w:rPr>
          <w:sz w:val="24"/>
        </w:rPr>
        <w:t xml:space="preserve"> is the estimated volatile solids in the waste activated sludge.</w:t>
      </w:r>
    </w:p>
    <w:p w14:paraId="0498E9F8" w14:textId="77777777" w:rsidR="00872C03" w:rsidRPr="00883399" w:rsidRDefault="00872C03" w:rsidP="00872C03">
      <w:pPr>
        <w:pStyle w:val="subsection"/>
        <w:rPr>
          <w:sz w:val="24"/>
        </w:rPr>
      </w:pPr>
      <w:r w:rsidRPr="00883399">
        <w:rPr>
          <w:sz w:val="24"/>
        </w:rPr>
        <w:tab/>
        <w:t>(7)</w:t>
      </w:r>
      <w:r w:rsidRPr="00883399">
        <w:rPr>
          <w:sz w:val="24"/>
        </w:rPr>
        <w:tab/>
        <w:t>Wastewater used for the purposes of subsection (2) must be sampled and analysed for COD in accordance with the requirements in sections 5.27, 5.28 and 5.29.</w:t>
      </w:r>
    </w:p>
    <w:p w14:paraId="79548052" w14:textId="77777777" w:rsidR="00872C03" w:rsidRPr="00883399" w:rsidRDefault="00872C03" w:rsidP="00872C03">
      <w:pPr>
        <w:pStyle w:val="subsection"/>
        <w:rPr>
          <w:sz w:val="24"/>
        </w:rPr>
      </w:pPr>
      <w:r w:rsidRPr="00883399">
        <w:rPr>
          <w:sz w:val="24"/>
        </w:rPr>
        <w:tab/>
        <w:t>(8)</w:t>
      </w:r>
      <w:r w:rsidRPr="00883399">
        <w:rPr>
          <w:sz w:val="24"/>
        </w:rPr>
        <w:tab/>
        <w:t>If the sub</w:t>
      </w:r>
      <w:r w:rsidRPr="00883399">
        <w:rPr>
          <w:sz w:val="24"/>
        </w:rPr>
        <w:noBreakHyphen/>
        <w:t xml:space="preserve">facility is an anaerobic sludge lagoon, the method set out in the document entitled “Fugitive Emissions from Sludge Lagoons Technical Paper”, published by the Water Services Association of Australia in April 2014, may be used to estimate </w:t>
      </w:r>
      <w:r w:rsidRPr="00883399">
        <w:rPr>
          <w:b/>
          <w:i/>
          <w:sz w:val="24"/>
        </w:rPr>
        <w:t>CH</w:t>
      </w:r>
      <w:r w:rsidRPr="00883399">
        <w:rPr>
          <w:b/>
          <w:i/>
          <w:sz w:val="24"/>
          <w:vertAlign w:val="subscript"/>
        </w:rPr>
        <w:t>4genz</w:t>
      </w:r>
      <w:r w:rsidRPr="00883399">
        <w:rPr>
          <w:sz w:val="24"/>
        </w:rPr>
        <w:t xml:space="preserve"> for the sub</w:t>
      </w:r>
      <w:r w:rsidRPr="00883399">
        <w:rPr>
          <w:sz w:val="24"/>
        </w:rPr>
        <w:noBreakHyphen/>
        <w:t>facility.</w:t>
      </w:r>
    </w:p>
    <w:p w14:paraId="39CBB097" w14:textId="77777777" w:rsidR="00872C03" w:rsidRPr="00883399" w:rsidRDefault="00872C03" w:rsidP="00872C03">
      <w:pPr>
        <w:pStyle w:val="notetext"/>
        <w:rPr>
          <w:sz w:val="20"/>
        </w:rPr>
      </w:pPr>
      <w:r w:rsidRPr="00883399">
        <w:rPr>
          <w:sz w:val="20"/>
        </w:rPr>
        <w:t>Note:</w:t>
      </w:r>
      <w:r w:rsidRPr="00883399">
        <w:rPr>
          <w:sz w:val="20"/>
        </w:rPr>
        <w:tab/>
        <w:t xml:space="preserve">The </w:t>
      </w:r>
      <w:r w:rsidRPr="00883399">
        <w:rPr>
          <w:i/>
          <w:sz w:val="20"/>
        </w:rPr>
        <w:t>Fugitive Emissions from Sludge Lagoons Technical Paper</w:t>
      </w:r>
      <w:r w:rsidRPr="00883399">
        <w:rPr>
          <w:sz w:val="20"/>
        </w:rPr>
        <w:t xml:space="preserve"> could in 2014 be viewed on the Water Services Association of Australia’s website (http://www.wsaa.asn.au).</w:t>
      </w:r>
    </w:p>
    <w:p w14:paraId="564272C9" w14:textId="77777777" w:rsidR="00872C03" w:rsidRPr="00883399" w:rsidRDefault="00872C03" w:rsidP="00872C03">
      <w:pPr>
        <w:pStyle w:val="subsection"/>
        <w:rPr>
          <w:sz w:val="24"/>
        </w:rPr>
      </w:pPr>
      <w:r w:rsidRPr="00883399">
        <w:rPr>
          <w:sz w:val="24"/>
        </w:rPr>
        <w:tab/>
        <w:t>(9)</w:t>
      </w:r>
      <w:r w:rsidRPr="00883399">
        <w:rPr>
          <w:sz w:val="24"/>
        </w:rPr>
        <w:tab/>
        <w:t>In this section:</w:t>
      </w:r>
    </w:p>
    <w:p w14:paraId="4E3A725E" w14:textId="77777777" w:rsidR="00872C03" w:rsidRPr="00883399" w:rsidRDefault="00872C03" w:rsidP="00872C03">
      <w:pPr>
        <w:pStyle w:val="Definition0"/>
        <w:rPr>
          <w:sz w:val="24"/>
        </w:rPr>
      </w:pPr>
      <w:r w:rsidRPr="00883399">
        <w:rPr>
          <w:b/>
          <w:i/>
          <w:sz w:val="24"/>
        </w:rPr>
        <w:t>methane correction factor</w:t>
      </w:r>
      <w:r w:rsidRPr="00883399">
        <w:rPr>
          <w:sz w:val="24"/>
        </w:rPr>
        <w:t xml:space="preserve"> is the fraction of COD anaerobically treated.</w:t>
      </w:r>
    </w:p>
    <w:p w14:paraId="334268D3" w14:textId="77777777" w:rsidR="00872C03" w:rsidRPr="00883399" w:rsidRDefault="00872C03" w:rsidP="00872C03">
      <w:pPr>
        <w:pStyle w:val="notetext"/>
        <w:rPr>
          <w:sz w:val="20"/>
        </w:rPr>
      </w:pPr>
      <w:r w:rsidRPr="00883399">
        <w:rPr>
          <w:sz w:val="20"/>
        </w:rPr>
        <w:t>Note:</w:t>
      </w:r>
      <w:r w:rsidRPr="00883399">
        <w:rPr>
          <w:sz w:val="20"/>
        </w:rPr>
        <w:tab/>
        <w:t>IPCC default methane correction factors for various types of treatment are as follows:</w:t>
      </w:r>
    </w:p>
    <w:p w14:paraId="15BC36FA" w14:textId="77777777" w:rsidR="00872C03" w:rsidRPr="00883399" w:rsidRDefault="00872C03" w:rsidP="00872C03">
      <w:pPr>
        <w:pStyle w:val="notepara1"/>
        <w:rPr>
          <w:sz w:val="20"/>
        </w:rPr>
      </w:pPr>
      <w:r w:rsidRPr="00883399">
        <w:rPr>
          <w:sz w:val="20"/>
        </w:rPr>
        <w:t>(a)</w:t>
      </w:r>
      <w:r w:rsidRPr="00883399">
        <w:rPr>
          <w:sz w:val="20"/>
        </w:rPr>
        <w:tab/>
        <w:t>managed aerobic treatment: 0;</w:t>
      </w:r>
    </w:p>
    <w:p w14:paraId="7095E3DE" w14:textId="77777777" w:rsidR="00872C03" w:rsidRPr="00883399" w:rsidRDefault="00872C03" w:rsidP="00872C03">
      <w:pPr>
        <w:pStyle w:val="notepara1"/>
        <w:rPr>
          <w:sz w:val="20"/>
        </w:rPr>
      </w:pPr>
      <w:r w:rsidRPr="00883399">
        <w:rPr>
          <w:sz w:val="20"/>
        </w:rPr>
        <w:t>(b)</w:t>
      </w:r>
      <w:r w:rsidRPr="00883399">
        <w:rPr>
          <w:sz w:val="20"/>
        </w:rPr>
        <w:tab/>
        <w:t>unmanaged aerobic treatment: 0.3;</w:t>
      </w:r>
    </w:p>
    <w:p w14:paraId="4153ADB1" w14:textId="77777777" w:rsidR="00872C03" w:rsidRPr="00883399" w:rsidRDefault="00872C03" w:rsidP="00872C03">
      <w:pPr>
        <w:pStyle w:val="notepara1"/>
        <w:rPr>
          <w:sz w:val="20"/>
        </w:rPr>
      </w:pPr>
      <w:r w:rsidRPr="00883399">
        <w:rPr>
          <w:sz w:val="20"/>
        </w:rPr>
        <w:t>(c)</w:t>
      </w:r>
      <w:r w:rsidRPr="00883399">
        <w:rPr>
          <w:sz w:val="20"/>
        </w:rPr>
        <w:tab/>
        <w:t>anaerobic digester/reactor: 0.8;</w:t>
      </w:r>
    </w:p>
    <w:p w14:paraId="423B2476" w14:textId="77777777" w:rsidR="00872C03" w:rsidRPr="00883399" w:rsidRDefault="00872C03" w:rsidP="00872C03">
      <w:pPr>
        <w:pStyle w:val="notepara1"/>
        <w:rPr>
          <w:sz w:val="20"/>
        </w:rPr>
      </w:pPr>
      <w:r w:rsidRPr="00883399">
        <w:rPr>
          <w:sz w:val="20"/>
        </w:rPr>
        <w:t>(d)</w:t>
      </w:r>
      <w:r w:rsidRPr="00883399">
        <w:rPr>
          <w:sz w:val="20"/>
        </w:rPr>
        <w:tab/>
        <w:t>shallow anaerobic lagoon (&lt;2 metres): 0.2;</w:t>
      </w:r>
    </w:p>
    <w:p w14:paraId="71F28F71" w14:textId="77777777" w:rsidR="00872C03" w:rsidRPr="00883399" w:rsidRDefault="00872C03" w:rsidP="00872C03">
      <w:pPr>
        <w:pStyle w:val="notepara1"/>
        <w:rPr>
          <w:sz w:val="20"/>
        </w:rPr>
      </w:pPr>
      <w:r w:rsidRPr="00883399">
        <w:rPr>
          <w:sz w:val="20"/>
        </w:rPr>
        <w:t>(e)</w:t>
      </w:r>
      <w:r w:rsidRPr="00883399">
        <w:rPr>
          <w:sz w:val="20"/>
        </w:rPr>
        <w:tab/>
        <w:t>deep anaerobic lagoon (&gt;2 metres): 0.8.</w:t>
      </w:r>
    </w:p>
    <w:p w14:paraId="0175D452" w14:textId="77777777" w:rsidR="00872C03" w:rsidRPr="00883399" w:rsidRDefault="00872C03" w:rsidP="00872C03">
      <w:pPr>
        <w:pStyle w:val="Definition0"/>
        <w:rPr>
          <w:sz w:val="24"/>
        </w:rPr>
      </w:pPr>
      <w:r w:rsidRPr="00883399">
        <w:rPr>
          <w:b/>
          <w:i/>
          <w:sz w:val="24"/>
        </w:rPr>
        <w:t>primary sludge</w:t>
      </w:r>
      <w:r w:rsidRPr="00883399">
        <w:rPr>
          <w:sz w:val="24"/>
        </w:rPr>
        <w:t xml:space="preserve"> means sludge from the first major treatment process in a wastewater treatment facility that is designed primarily to remove a substantial amount of suspended matter but little or no colloidal or dissolved matter.</w:t>
      </w:r>
    </w:p>
    <w:p w14:paraId="205F016B" w14:textId="77777777" w:rsidR="00872C03" w:rsidRPr="00883399" w:rsidRDefault="00872C03" w:rsidP="00872C03">
      <w:pPr>
        <w:pStyle w:val="Definition0"/>
        <w:rPr>
          <w:sz w:val="24"/>
        </w:rPr>
      </w:pPr>
      <w:r w:rsidRPr="00883399">
        <w:rPr>
          <w:b/>
          <w:i/>
          <w:sz w:val="24"/>
        </w:rPr>
        <w:lastRenderedPageBreak/>
        <w:t>waste activated sludge</w:t>
      </w:r>
      <w:r w:rsidRPr="00883399">
        <w:rPr>
          <w:sz w:val="24"/>
        </w:rPr>
        <w:t xml:space="preserve"> means sludge from a secondary treatment process in a wastewater treatment facility involving aeration and active biological material.</w:t>
      </w:r>
    </w:p>
    <w:p w14:paraId="77C61F1D" w14:textId="60583389" w:rsidR="00872C03" w:rsidRPr="00883399" w:rsidRDefault="00872C03" w:rsidP="00872C03">
      <w:pPr>
        <w:pStyle w:val="ActHead5"/>
        <w:rPr>
          <w:sz w:val="28"/>
        </w:rPr>
      </w:pPr>
      <w:bookmarkStart w:id="1232" w:name="_Toc423517195"/>
      <w:bookmarkStart w:id="1233" w:name="_Toc495653139"/>
      <w:r w:rsidRPr="00883399">
        <w:rPr>
          <w:rStyle w:val="CharSectno"/>
          <w:sz w:val="28"/>
        </w:rPr>
        <w:t>5.26A</w:t>
      </w:r>
      <w:r w:rsidRPr="00883399">
        <w:rPr>
          <w:sz w:val="28"/>
        </w:rPr>
        <w:t xml:space="preserve">  Requirements relating to sub</w:t>
      </w:r>
      <w:r w:rsidRPr="00883399">
        <w:rPr>
          <w:sz w:val="28"/>
        </w:rPr>
        <w:noBreakHyphen/>
        <w:t>facilities</w:t>
      </w:r>
      <w:bookmarkEnd w:id="1232"/>
      <w:bookmarkEnd w:id="1233"/>
    </w:p>
    <w:p w14:paraId="06A49E8D" w14:textId="77777777" w:rsidR="00872C03" w:rsidRPr="00883399" w:rsidRDefault="00872C03" w:rsidP="00872C03">
      <w:pPr>
        <w:pStyle w:val="subsection"/>
        <w:rPr>
          <w:sz w:val="24"/>
        </w:rPr>
      </w:pPr>
      <w:r w:rsidRPr="00883399">
        <w:rPr>
          <w:sz w:val="24"/>
        </w:rPr>
        <w:tab/>
        <w:t>(1)</w:t>
      </w:r>
      <w:r w:rsidRPr="00883399">
        <w:rPr>
          <w:sz w:val="24"/>
        </w:rPr>
        <w:tab/>
        <w:t>A plant operator may select one or more sub</w:t>
      </w:r>
      <w:r w:rsidRPr="00883399">
        <w:rPr>
          <w:sz w:val="24"/>
        </w:rPr>
        <w:noBreakHyphen/>
        <w:t>facilities for the plant to estimate emissions released by the plant.</w:t>
      </w:r>
    </w:p>
    <w:p w14:paraId="74633E97" w14:textId="77777777" w:rsidR="00872C03" w:rsidRPr="00883399" w:rsidRDefault="00872C03" w:rsidP="00872C03">
      <w:pPr>
        <w:pStyle w:val="subsection"/>
        <w:rPr>
          <w:sz w:val="24"/>
        </w:rPr>
      </w:pPr>
      <w:r w:rsidRPr="00883399">
        <w:rPr>
          <w:sz w:val="24"/>
        </w:rPr>
        <w:tab/>
        <w:t>(2)</w:t>
      </w:r>
      <w:r w:rsidRPr="00883399">
        <w:rPr>
          <w:sz w:val="24"/>
        </w:rPr>
        <w:tab/>
        <w:t>A sub</w:t>
      </w:r>
      <w:r w:rsidRPr="00883399">
        <w:rPr>
          <w:sz w:val="24"/>
        </w:rPr>
        <w:noBreakHyphen/>
        <w:t>facility selected:</w:t>
      </w:r>
    </w:p>
    <w:p w14:paraId="1E652FFA" w14:textId="77777777" w:rsidR="00872C03" w:rsidRPr="00883399" w:rsidRDefault="00872C03" w:rsidP="00872C03">
      <w:pPr>
        <w:pStyle w:val="paragraph"/>
        <w:rPr>
          <w:sz w:val="24"/>
        </w:rPr>
      </w:pPr>
      <w:r w:rsidRPr="00883399">
        <w:rPr>
          <w:sz w:val="24"/>
        </w:rPr>
        <w:tab/>
        <w:t>(a)</w:t>
      </w:r>
      <w:r w:rsidRPr="00883399">
        <w:rPr>
          <w:sz w:val="24"/>
        </w:rPr>
        <w:tab/>
        <w:t>must be an area within a plant covering a discrete treatment stage; and</w:t>
      </w:r>
    </w:p>
    <w:p w14:paraId="2AEE4CE2" w14:textId="77777777" w:rsidR="00872C03" w:rsidRPr="00883399" w:rsidRDefault="00872C03" w:rsidP="00872C03">
      <w:pPr>
        <w:pStyle w:val="paragraph"/>
        <w:rPr>
          <w:sz w:val="24"/>
        </w:rPr>
      </w:pPr>
      <w:r w:rsidRPr="00883399">
        <w:rPr>
          <w:sz w:val="24"/>
        </w:rPr>
        <w:tab/>
        <w:t>(b)</w:t>
      </w:r>
      <w:r w:rsidRPr="00883399">
        <w:rPr>
          <w:sz w:val="24"/>
        </w:rPr>
        <w:tab/>
        <w:t>must have a uniform treatment of COD so that the estimates of the methane generated by the sub</w:t>
      </w:r>
      <w:r w:rsidRPr="00883399">
        <w:rPr>
          <w:sz w:val="24"/>
        </w:rPr>
        <w:noBreakHyphen/>
        <w:t>facility are consistent with the principles mentioned in section 1.13; and</w:t>
      </w:r>
    </w:p>
    <w:p w14:paraId="13084362" w14:textId="77777777" w:rsidR="00872C03" w:rsidRPr="00883399" w:rsidRDefault="00872C03" w:rsidP="00872C03">
      <w:pPr>
        <w:pStyle w:val="paragraph"/>
        <w:rPr>
          <w:sz w:val="24"/>
        </w:rPr>
      </w:pPr>
      <w:r w:rsidRPr="00883399">
        <w:rPr>
          <w:sz w:val="24"/>
        </w:rPr>
        <w:tab/>
        <w:t>(c)</w:t>
      </w:r>
      <w:r w:rsidRPr="00883399">
        <w:rPr>
          <w:sz w:val="24"/>
        </w:rPr>
        <w:tab/>
        <w:t>must not be subject to:</w:t>
      </w:r>
    </w:p>
    <w:p w14:paraId="3F0DD2CE" w14:textId="77777777" w:rsidR="00872C03" w:rsidRPr="00883399" w:rsidRDefault="00872C03" w:rsidP="00872C03">
      <w:pPr>
        <w:pStyle w:val="paragraphsub"/>
        <w:rPr>
          <w:sz w:val="24"/>
        </w:rPr>
      </w:pPr>
      <w:r w:rsidRPr="00883399">
        <w:rPr>
          <w:sz w:val="24"/>
        </w:rPr>
        <w:tab/>
        <w:t>(i)</w:t>
      </w:r>
      <w:r w:rsidRPr="00883399">
        <w:rPr>
          <w:sz w:val="24"/>
        </w:rPr>
        <w:tab/>
        <w:t>sludge biogas inflow from another sub</w:t>
      </w:r>
      <w:r w:rsidRPr="00883399">
        <w:rPr>
          <w:sz w:val="24"/>
        </w:rPr>
        <w:noBreakHyphen/>
        <w:t>facility; or</w:t>
      </w:r>
    </w:p>
    <w:p w14:paraId="105CF843" w14:textId="77777777" w:rsidR="00872C03" w:rsidRPr="00883399" w:rsidRDefault="00872C03" w:rsidP="00872C03">
      <w:pPr>
        <w:pStyle w:val="paragraphsub"/>
        <w:rPr>
          <w:sz w:val="24"/>
        </w:rPr>
      </w:pPr>
      <w:r w:rsidRPr="00883399">
        <w:rPr>
          <w:sz w:val="24"/>
        </w:rPr>
        <w:tab/>
        <w:t>(ii)</w:t>
      </w:r>
      <w:r w:rsidRPr="00883399">
        <w:rPr>
          <w:sz w:val="24"/>
        </w:rPr>
        <w:tab/>
        <w:t>sludge biogas outflow to another sub</w:t>
      </w:r>
      <w:r w:rsidRPr="00883399">
        <w:rPr>
          <w:sz w:val="24"/>
        </w:rPr>
        <w:noBreakHyphen/>
        <w:t>facility.</w:t>
      </w:r>
    </w:p>
    <w:p w14:paraId="59ACEA7F" w14:textId="071859F8" w:rsidR="00872C03" w:rsidRPr="00883399" w:rsidRDefault="00872C03" w:rsidP="00872C03">
      <w:pPr>
        <w:pStyle w:val="ActHead5"/>
        <w:rPr>
          <w:sz w:val="28"/>
        </w:rPr>
      </w:pPr>
      <w:bookmarkStart w:id="1234" w:name="_Toc423517196"/>
      <w:bookmarkStart w:id="1235" w:name="_Toc495653140"/>
      <w:r w:rsidRPr="00883399">
        <w:rPr>
          <w:rStyle w:val="CharSectno"/>
          <w:sz w:val="28"/>
        </w:rPr>
        <w:t>5.27</w:t>
      </w:r>
      <w:r w:rsidRPr="00883399">
        <w:rPr>
          <w:sz w:val="28"/>
        </w:rPr>
        <w:t xml:space="preserve">  General requirements for sampling under method 2</w:t>
      </w:r>
      <w:bookmarkEnd w:id="1234"/>
      <w:bookmarkEnd w:id="1235"/>
    </w:p>
    <w:p w14:paraId="59ACE0E7" w14:textId="77777777" w:rsidR="00872C03" w:rsidRPr="00883399" w:rsidRDefault="00872C03" w:rsidP="00872C03">
      <w:pPr>
        <w:pStyle w:val="subsection"/>
        <w:rPr>
          <w:sz w:val="24"/>
        </w:rPr>
      </w:pPr>
      <w:r w:rsidRPr="00883399">
        <w:rPr>
          <w:sz w:val="24"/>
        </w:rPr>
        <w:tab/>
        <w:t>(1)</w:t>
      </w:r>
      <w:r w:rsidRPr="00883399">
        <w:rPr>
          <w:sz w:val="24"/>
        </w:rPr>
        <w:tab/>
        <w:t>A sample must be representative of the wastewater and the COD concentrations at the plant.</w:t>
      </w:r>
    </w:p>
    <w:p w14:paraId="583CE4CB" w14:textId="77777777" w:rsidR="00872C03" w:rsidRPr="00883399" w:rsidRDefault="00872C03" w:rsidP="00872C03">
      <w:pPr>
        <w:pStyle w:val="subsection"/>
        <w:rPr>
          <w:sz w:val="24"/>
        </w:rPr>
      </w:pPr>
      <w:r w:rsidRPr="00883399">
        <w:rPr>
          <w:sz w:val="24"/>
        </w:rPr>
        <w:tab/>
        <w:t>(2)</w:t>
      </w:r>
      <w:r w:rsidRPr="00883399">
        <w:rPr>
          <w:sz w:val="24"/>
        </w:rPr>
        <w:tab/>
        <w:t>The samples must be collected on enough occasions to produce a representative sample.</w:t>
      </w:r>
    </w:p>
    <w:p w14:paraId="332228A6" w14:textId="77777777" w:rsidR="00872C03" w:rsidRPr="00883399" w:rsidRDefault="00872C03" w:rsidP="00872C03">
      <w:pPr>
        <w:pStyle w:val="subsection"/>
        <w:rPr>
          <w:sz w:val="24"/>
        </w:rPr>
      </w:pPr>
      <w:r w:rsidRPr="00883399">
        <w:rPr>
          <w:sz w:val="24"/>
        </w:rPr>
        <w:tab/>
        <w:t>(3)</w:t>
      </w:r>
      <w:r w:rsidRPr="00883399">
        <w:rPr>
          <w:sz w:val="24"/>
        </w:rPr>
        <w:tab/>
        <w:t>The samples must also be free of bias so that any estimates are neither over nor under estimates of the true value.</w:t>
      </w:r>
    </w:p>
    <w:p w14:paraId="407E272B" w14:textId="77777777" w:rsidR="00872C03" w:rsidRPr="00883399" w:rsidRDefault="00872C03" w:rsidP="00872C03">
      <w:pPr>
        <w:pStyle w:val="subsection"/>
        <w:rPr>
          <w:sz w:val="24"/>
        </w:rPr>
      </w:pPr>
      <w:r w:rsidRPr="00883399">
        <w:rPr>
          <w:sz w:val="24"/>
        </w:rPr>
        <w:tab/>
        <w:t>(4)</w:t>
      </w:r>
      <w:r w:rsidRPr="00883399">
        <w:rPr>
          <w:sz w:val="24"/>
        </w:rPr>
        <w:tab/>
        <w:t>Bias may be tested in accordance with an appropriate standard (if any).</w:t>
      </w:r>
    </w:p>
    <w:p w14:paraId="42B185AC" w14:textId="77777777" w:rsidR="00872C03" w:rsidRPr="00883399" w:rsidRDefault="00872C03" w:rsidP="00872C03">
      <w:pPr>
        <w:pStyle w:val="subsection"/>
        <w:rPr>
          <w:sz w:val="24"/>
        </w:rPr>
      </w:pPr>
      <w:r w:rsidRPr="00883399">
        <w:rPr>
          <w:sz w:val="24"/>
        </w:rPr>
        <w:tab/>
        <w:t>(5)</w:t>
      </w:r>
      <w:r w:rsidRPr="00883399">
        <w:rPr>
          <w:sz w:val="24"/>
        </w:rPr>
        <w:tab/>
        <w:t>The value obtained from the sample must only be used for the plant for which it was intended to be representative.</w:t>
      </w:r>
    </w:p>
    <w:p w14:paraId="2F61E44A" w14:textId="3666800D" w:rsidR="00872C03" w:rsidRPr="00883399" w:rsidRDefault="00872C03" w:rsidP="00872C03">
      <w:pPr>
        <w:pStyle w:val="ActHead5"/>
        <w:rPr>
          <w:sz w:val="28"/>
        </w:rPr>
      </w:pPr>
      <w:bookmarkStart w:id="1236" w:name="_Toc423517197"/>
      <w:bookmarkStart w:id="1237" w:name="_Toc495653141"/>
      <w:r w:rsidRPr="00883399">
        <w:rPr>
          <w:rStyle w:val="CharSectno"/>
          <w:sz w:val="28"/>
        </w:rPr>
        <w:t>5.28</w:t>
      </w:r>
      <w:r w:rsidRPr="00883399">
        <w:rPr>
          <w:sz w:val="28"/>
        </w:rPr>
        <w:t xml:space="preserve">  Standards for analysis</w:t>
      </w:r>
      <w:bookmarkEnd w:id="1236"/>
      <w:bookmarkEnd w:id="1237"/>
    </w:p>
    <w:p w14:paraId="597FA553" w14:textId="77777777" w:rsidR="00872C03" w:rsidRPr="00883399" w:rsidRDefault="00872C03" w:rsidP="00872C03">
      <w:pPr>
        <w:pStyle w:val="subsection"/>
        <w:rPr>
          <w:sz w:val="24"/>
        </w:rPr>
      </w:pPr>
      <w:r w:rsidRPr="00883399">
        <w:rPr>
          <w:sz w:val="24"/>
        </w:rPr>
        <w:tab/>
        <w:t>(1)</w:t>
      </w:r>
      <w:r w:rsidRPr="00883399">
        <w:rPr>
          <w:sz w:val="24"/>
        </w:rPr>
        <w:tab/>
        <w:t>Samples of wastewater must be analysed for COD in accordance with:</w:t>
      </w:r>
    </w:p>
    <w:p w14:paraId="10F65512" w14:textId="77777777" w:rsidR="00872C03" w:rsidRPr="00883399" w:rsidRDefault="00872C03" w:rsidP="00872C03">
      <w:pPr>
        <w:pStyle w:val="paragraph"/>
        <w:rPr>
          <w:sz w:val="24"/>
        </w:rPr>
      </w:pPr>
      <w:r w:rsidRPr="00883399">
        <w:rPr>
          <w:sz w:val="24"/>
        </w:rPr>
        <w:tab/>
        <w:t>(a)</w:t>
      </w:r>
      <w:r w:rsidRPr="00883399">
        <w:rPr>
          <w:sz w:val="24"/>
        </w:rPr>
        <w:tab/>
        <w:t>ISO 6060:1989; or</w:t>
      </w:r>
    </w:p>
    <w:p w14:paraId="552A46F0" w14:textId="77777777" w:rsidR="00872C03" w:rsidRPr="00883399" w:rsidRDefault="00872C03" w:rsidP="00872C03">
      <w:pPr>
        <w:pStyle w:val="paragraph"/>
        <w:rPr>
          <w:sz w:val="24"/>
        </w:rPr>
      </w:pPr>
      <w:r w:rsidRPr="00883399">
        <w:rPr>
          <w:sz w:val="24"/>
        </w:rPr>
        <w:tab/>
        <w:t>(b)</w:t>
      </w:r>
      <w:r w:rsidRPr="00883399">
        <w:rPr>
          <w:sz w:val="24"/>
        </w:rPr>
        <w:tab/>
        <w:t>sections 5220B, 5220C or 5220D of APHA (1995); or</w:t>
      </w:r>
    </w:p>
    <w:p w14:paraId="51F05641" w14:textId="77777777" w:rsidR="00872C03" w:rsidRPr="00883399" w:rsidRDefault="00872C03" w:rsidP="00872C03">
      <w:pPr>
        <w:pStyle w:val="paragraph"/>
        <w:rPr>
          <w:sz w:val="24"/>
        </w:rPr>
      </w:pPr>
      <w:r w:rsidRPr="00883399">
        <w:rPr>
          <w:sz w:val="24"/>
        </w:rPr>
        <w:tab/>
        <w:t>(c)</w:t>
      </w:r>
      <w:r w:rsidRPr="00883399">
        <w:rPr>
          <w:sz w:val="24"/>
        </w:rPr>
        <w:tab/>
        <w:t>an equivalent Australian or international standard.</w:t>
      </w:r>
    </w:p>
    <w:p w14:paraId="0C29D921" w14:textId="77777777" w:rsidR="00872C03" w:rsidRPr="00883399" w:rsidRDefault="00872C03" w:rsidP="00872C03">
      <w:pPr>
        <w:pStyle w:val="subsection"/>
        <w:rPr>
          <w:sz w:val="24"/>
        </w:rPr>
      </w:pPr>
      <w:r w:rsidRPr="00883399">
        <w:rPr>
          <w:sz w:val="24"/>
        </w:rPr>
        <w:tab/>
        <w:t>(2)</w:t>
      </w:r>
      <w:r w:rsidRPr="00883399">
        <w:rPr>
          <w:sz w:val="24"/>
        </w:rPr>
        <w:tab/>
        <w:t>Samples of wastewater must be analysed for BOD in accordance with:</w:t>
      </w:r>
    </w:p>
    <w:p w14:paraId="3C7B6E7A" w14:textId="77777777" w:rsidR="00872C03" w:rsidRPr="00883399" w:rsidRDefault="00872C03" w:rsidP="00872C03">
      <w:pPr>
        <w:pStyle w:val="paragraph"/>
        <w:rPr>
          <w:sz w:val="24"/>
        </w:rPr>
      </w:pPr>
      <w:r w:rsidRPr="00883399">
        <w:rPr>
          <w:sz w:val="24"/>
        </w:rPr>
        <w:tab/>
        <w:t>(a)</w:t>
      </w:r>
      <w:r w:rsidRPr="00883399">
        <w:rPr>
          <w:sz w:val="24"/>
        </w:rPr>
        <w:tab/>
        <w:t>AS 4351.5—1996; or</w:t>
      </w:r>
    </w:p>
    <w:p w14:paraId="664A0D98" w14:textId="77777777" w:rsidR="00872C03" w:rsidRPr="00883399" w:rsidRDefault="00872C03" w:rsidP="00872C03">
      <w:pPr>
        <w:pStyle w:val="paragraph"/>
        <w:rPr>
          <w:sz w:val="24"/>
        </w:rPr>
      </w:pPr>
      <w:r w:rsidRPr="00883399">
        <w:rPr>
          <w:sz w:val="24"/>
        </w:rPr>
        <w:tab/>
        <w:t>(b)</w:t>
      </w:r>
      <w:r w:rsidRPr="00883399">
        <w:rPr>
          <w:sz w:val="24"/>
        </w:rPr>
        <w:tab/>
        <w:t>section 5210B of APHA (1995); or</w:t>
      </w:r>
    </w:p>
    <w:p w14:paraId="41F860CD" w14:textId="77777777" w:rsidR="00872C03" w:rsidRPr="00883399" w:rsidRDefault="00872C03" w:rsidP="00872C03">
      <w:pPr>
        <w:pStyle w:val="paragraph"/>
        <w:rPr>
          <w:sz w:val="24"/>
        </w:rPr>
      </w:pPr>
      <w:r w:rsidRPr="00883399">
        <w:rPr>
          <w:sz w:val="24"/>
        </w:rPr>
        <w:lastRenderedPageBreak/>
        <w:tab/>
        <w:t>(c)</w:t>
      </w:r>
      <w:r w:rsidRPr="00883399">
        <w:rPr>
          <w:sz w:val="24"/>
        </w:rPr>
        <w:tab/>
        <w:t>an equivalent Australian or international standard.</w:t>
      </w:r>
    </w:p>
    <w:p w14:paraId="70A6777B" w14:textId="3D156C9E" w:rsidR="00872C03" w:rsidRPr="00883399" w:rsidRDefault="00872C03" w:rsidP="00872C03">
      <w:pPr>
        <w:pStyle w:val="ActHead5"/>
        <w:rPr>
          <w:sz w:val="28"/>
        </w:rPr>
      </w:pPr>
      <w:bookmarkStart w:id="1238" w:name="_Toc423517198"/>
      <w:bookmarkStart w:id="1239" w:name="_Toc495653142"/>
      <w:r w:rsidRPr="00883399">
        <w:rPr>
          <w:rStyle w:val="CharSectno"/>
          <w:sz w:val="28"/>
        </w:rPr>
        <w:t>5.29</w:t>
      </w:r>
      <w:r w:rsidRPr="00883399">
        <w:rPr>
          <w:sz w:val="28"/>
        </w:rPr>
        <w:t xml:space="preserve">  Frequency of sampling and analysis</w:t>
      </w:r>
      <w:bookmarkEnd w:id="1238"/>
      <w:bookmarkEnd w:id="1239"/>
    </w:p>
    <w:p w14:paraId="3D428FD0" w14:textId="77777777" w:rsidR="00872C03" w:rsidRPr="00883399" w:rsidRDefault="00872C03" w:rsidP="00872C03">
      <w:pPr>
        <w:pStyle w:val="subsection"/>
        <w:rPr>
          <w:sz w:val="24"/>
        </w:rPr>
      </w:pPr>
      <w:r w:rsidRPr="00883399">
        <w:rPr>
          <w:sz w:val="24"/>
        </w:rPr>
        <w:tab/>
      </w:r>
      <w:r w:rsidRPr="00883399">
        <w:rPr>
          <w:sz w:val="24"/>
        </w:rPr>
        <w:tab/>
        <w:t>Wastewater must be sampled and analysed on at least a monthly basis.</w:t>
      </w:r>
    </w:p>
    <w:p w14:paraId="3D93E838" w14:textId="61F9F9F3" w:rsidR="00872C03" w:rsidRPr="00883399" w:rsidRDefault="00872C03" w:rsidP="00872C03">
      <w:pPr>
        <w:pStyle w:val="ActHead3"/>
        <w:pageBreakBefore/>
        <w:rPr>
          <w:sz w:val="32"/>
        </w:rPr>
      </w:pPr>
      <w:bookmarkStart w:id="1240" w:name="_Toc423517199"/>
      <w:bookmarkStart w:id="1241" w:name="_Toc495653143"/>
      <w:r w:rsidRPr="00883399">
        <w:rPr>
          <w:rStyle w:val="CharDivNo"/>
          <w:sz w:val="32"/>
        </w:rPr>
        <w:lastRenderedPageBreak/>
        <w:t>Division 5.3.4</w:t>
      </w:r>
      <w:r w:rsidRPr="00883399">
        <w:rPr>
          <w:sz w:val="32"/>
        </w:rPr>
        <w:t>—</w:t>
      </w:r>
      <w:r w:rsidRPr="00883399">
        <w:rPr>
          <w:rStyle w:val="CharDivText"/>
          <w:sz w:val="32"/>
        </w:rPr>
        <w:t>Method 3—methane released from wastewater handling (domestic and commercial)</w:t>
      </w:r>
      <w:bookmarkEnd w:id="1240"/>
      <w:bookmarkEnd w:id="1241"/>
    </w:p>
    <w:p w14:paraId="6E407506" w14:textId="77777777" w:rsidR="001745EA" w:rsidRPr="00883399" w:rsidRDefault="001745EA" w:rsidP="001745EA">
      <w:pPr>
        <w:pStyle w:val="Text"/>
        <w:rPr>
          <w:rStyle w:val="CharSectno"/>
          <w:rFonts w:ascii="Arial" w:hAnsi="Arial" w:cs="Arial"/>
          <w:sz w:val="22"/>
          <w:szCs w:val="22"/>
        </w:rPr>
      </w:pPr>
      <w:bookmarkStart w:id="1242" w:name="_Toc423517200"/>
      <w:r w:rsidRPr="00883399">
        <w:rPr>
          <w:rFonts w:ascii="Arial" w:hAnsi="Arial" w:cs="Arial"/>
          <w:sz w:val="22"/>
          <w:szCs w:val="22"/>
        </w:rPr>
        <w:t>Division 5.3.4 sets out Method 3 for the estimation of methane emissions from wastewater handling, which requires estimates of Chemical Oxygen Demand concentrations in wastewater estimated using sampling and analysis conducted in accordance with listed Australian or international standards or an equivalent standard.</w:t>
      </w:r>
    </w:p>
    <w:p w14:paraId="39D6485D" w14:textId="4B70A894" w:rsidR="00872C03" w:rsidRPr="00883399" w:rsidRDefault="00872C03" w:rsidP="00872C03">
      <w:pPr>
        <w:pStyle w:val="ActHead5"/>
        <w:rPr>
          <w:sz w:val="28"/>
        </w:rPr>
      </w:pPr>
      <w:bookmarkStart w:id="1243" w:name="_Toc495653144"/>
      <w:r w:rsidRPr="00883399">
        <w:rPr>
          <w:rStyle w:val="CharSectno"/>
          <w:sz w:val="28"/>
        </w:rPr>
        <w:t>5.30</w:t>
      </w:r>
      <w:r w:rsidRPr="00883399">
        <w:rPr>
          <w:sz w:val="28"/>
        </w:rPr>
        <w:t xml:space="preserve">  Method 3—methane released from wastewater handling (domestic and commercial)</w:t>
      </w:r>
      <w:bookmarkEnd w:id="1242"/>
      <w:bookmarkEnd w:id="1243"/>
    </w:p>
    <w:p w14:paraId="6CA2E1E3" w14:textId="77777777" w:rsidR="00872C03" w:rsidRPr="00883399" w:rsidRDefault="00872C03" w:rsidP="00872C03">
      <w:pPr>
        <w:pStyle w:val="subsection"/>
        <w:rPr>
          <w:sz w:val="24"/>
        </w:rPr>
      </w:pPr>
      <w:r w:rsidRPr="00883399">
        <w:rPr>
          <w:sz w:val="24"/>
        </w:rPr>
        <w:tab/>
        <w:t>(1)</w:t>
      </w:r>
      <w:r w:rsidRPr="00883399">
        <w:rPr>
          <w:sz w:val="24"/>
        </w:rPr>
        <w:tab/>
        <w:t>For subparagraph 5.24(a)(iii) and subject to subsection (2), method 3 is the same as method 2 under section 5.26.</w:t>
      </w:r>
    </w:p>
    <w:p w14:paraId="3FC0B3F5" w14:textId="77777777" w:rsidR="00872C03" w:rsidRPr="00883399" w:rsidRDefault="00872C03" w:rsidP="00872C03">
      <w:pPr>
        <w:pStyle w:val="subsection"/>
        <w:rPr>
          <w:sz w:val="24"/>
        </w:rPr>
      </w:pPr>
      <w:r w:rsidRPr="00883399">
        <w:rPr>
          <w:sz w:val="24"/>
        </w:rPr>
        <w:tab/>
        <w:t>(2)</w:t>
      </w:r>
      <w:r w:rsidRPr="00883399">
        <w:rPr>
          <w:sz w:val="24"/>
        </w:rPr>
        <w:tab/>
        <w:t>In applying method 2 under section 5.26, the wastewater must be sampled in accordance with AS/NZS 5667.10:1998 or an equivalent Australian or international standard.</w:t>
      </w:r>
    </w:p>
    <w:p w14:paraId="5EC48675" w14:textId="5A69C0F2" w:rsidR="00872C03" w:rsidRPr="00883399" w:rsidRDefault="00872C03" w:rsidP="00872C03">
      <w:pPr>
        <w:pStyle w:val="ActHead3"/>
        <w:pageBreakBefore/>
        <w:rPr>
          <w:sz w:val="32"/>
        </w:rPr>
      </w:pPr>
      <w:bookmarkStart w:id="1244" w:name="_Toc423517201"/>
      <w:bookmarkStart w:id="1245" w:name="_Toc495653145"/>
      <w:r w:rsidRPr="00883399">
        <w:rPr>
          <w:rStyle w:val="CharDivNo"/>
          <w:sz w:val="32"/>
        </w:rPr>
        <w:lastRenderedPageBreak/>
        <w:t>Division 5.3.5</w:t>
      </w:r>
      <w:r w:rsidRPr="00883399">
        <w:rPr>
          <w:sz w:val="32"/>
        </w:rPr>
        <w:t>—</w:t>
      </w:r>
      <w:r w:rsidRPr="00883399">
        <w:rPr>
          <w:rStyle w:val="CharDivText"/>
          <w:sz w:val="32"/>
        </w:rPr>
        <w:t>Method 1—emissions of nitrous oxide released from wastewater handling (domestic and commercial)</w:t>
      </w:r>
      <w:bookmarkEnd w:id="1244"/>
      <w:bookmarkEnd w:id="1245"/>
    </w:p>
    <w:p w14:paraId="34672925" w14:textId="40136254" w:rsidR="00872C03" w:rsidRPr="00883399" w:rsidRDefault="00872C03" w:rsidP="00872C03">
      <w:pPr>
        <w:pStyle w:val="ActHead5"/>
        <w:rPr>
          <w:sz w:val="28"/>
        </w:rPr>
      </w:pPr>
      <w:bookmarkStart w:id="1246" w:name="_Toc423517202"/>
      <w:bookmarkStart w:id="1247" w:name="_Toc495653146"/>
      <w:r w:rsidRPr="00883399">
        <w:rPr>
          <w:rStyle w:val="CharSectno"/>
          <w:sz w:val="28"/>
        </w:rPr>
        <w:t>5.31</w:t>
      </w:r>
      <w:r w:rsidRPr="00883399">
        <w:rPr>
          <w:sz w:val="28"/>
        </w:rPr>
        <w:t xml:space="preserve">  Method 1—nitrous oxide released from wastewater handling (domestic and commercial)</w:t>
      </w:r>
      <w:bookmarkEnd w:id="1246"/>
      <w:bookmarkEnd w:id="1247"/>
    </w:p>
    <w:p w14:paraId="74A246D5" w14:textId="77777777" w:rsidR="001745EA" w:rsidRPr="00883399" w:rsidRDefault="001745EA" w:rsidP="001745EA">
      <w:pPr>
        <w:spacing w:line="312" w:lineRule="auto"/>
        <w:outlineLvl w:val="0"/>
        <w:rPr>
          <w:rFonts w:ascii="Arial" w:hAnsi="Arial" w:cs="Arial"/>
          <w:sz w:val="22"/>
          <w:szCs w:val="22"/>
        </w:rPr>
      </w:pPr>
    </w:p>
    <w:p w14:paraId="108443C8" w14:textId="77777777" w:rsidR="001745EA" w:rsidRPr="00883399" w:rsidRDefault="001745EA" w:rsidP="001745EA">
      <w:pPr>
        <w:spacing w:line="312" w:lineRule="auto"/>
        <w:outlineLvl w:val="0"/>
        <w:rPr>
          <w:rFonts w:ascii="Arial" w:hAnsi="Arial" w:cs="Arial"/>
          <w:sz w:val="22"/>
          <w:szCs w:val="22"/>
        </w:rPr>
      </w:pPr>
      <w:r w:rsidRPr="00883399">
        <w:rPr>
          <w:rFonts w:ascii="Arial" w:hAnsi="Arial" w:cs="Arial"/>
          <w:sz w:val="22"/>
          <w:szCs w:val="22"/>
        </w:rPr>
        <w:t xml:space="preserve">Section 5.31 sets out Method 1 for the estimation of nitrous oxide emissions.  </w:t>
      </w:r>
    </w:p>
    <w:p w14:paraId="3D29006F" w14:textId="77777777" w:rsidR="00872C03" w:rsidRPr="00883399" w:rsidRDefault="00872C03" w:rsidP="00872C03">
      <w:pPr>
        <w:pStyle w:val="subsection"/>
        <w:rPr>
          <w:sz w:val="24"/>
        </w:rPr>
      </w:pPr>
      <w:r w:rsidRPr="00883399">
        <w:rPr>
          <w:sz w:val="24"/>
        </w:rPr>
        <w:tab/>
        <w:t>(1)</w:t>
      </w:r>
      <w:r w:rsidRPr="00883399">
        <w:rPr>
          <w:sz w:val="24"/>
        </w:rPr>
        <w:tab/>
        <w:t>For paragraph 5.24(1)(b), method 1 is:</w:t>
      </w:r>
    </w:p>
    <w:p w14:paraId="690285AD" w14:textId="0DE0D13A"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27BB445B" wp14:editId="563A2761">
            <wp:extent cx="3705225" cy="237490"/>
            <wp:effectExtent l="19050" t="0" r="9525"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33"/>
                    <a:srcRect/>
                    <a:stretch>
                      <a:fillRect/>
                    </a:stretch>
                  </pic:blipFill>
                  <pic:spPr bwMode="auto">
                    <a:xfrm>
                      <a:off x="0" y="0"/>
                      <a:ext cx="3705225" cy="237490"/>
                    </a:xfrm>
                    <a:prstGeom prst="rect">
                      <a:avLst/>
                    </a:prstGeom>
                    <a:noFill/>
                    <a:ln w="9525">
                      <a:noFill/>
                      <a:miter lim="800000"/>
                      <a:headEnd/>
                      <a:tailEnd/>
                    </a:ln>
                  </pic:spPr>
                </pic:pic>
              </a:graphicData>
            </a:graphic>
          </wp:inline>
        </w:drawing>
      </w:r>
    </w:p>
    <w:p w14:paraId="20CF3882" w14:textId="77777777" w:rsidR="00872C03" w:rsidRPr="00883399" w:rsidRDefault="00872C03" w:rsidP="00872C03">
      <w:pPr>
        <w:pStyle w:val="subsection2"/>
        <w:rPr>
          <w:sz w:val="24"/>
        </w:rPr>
      </w:pPr>
      <w:r w:rsidRPr="00883399">
        <w:rPr>
          <w:sz w:val="24"/>
        </w:rPr>
        <w:t>where:</w:t>
      </w:r>
    </w:p>
    <w:p w14:paraId="48B793F7" w14:textId="77777777" w:rsidR="00872C03" w:rsidRPr="00883399" w:rsidRDefault="00872C03" w:rsidP="00872C03">
      <w:pPr>
        <w:pStyle w:val="Definition0"/>
        <w:rPr>
          <w:sz w:val="24"/>
        </w:rPr>
      </w:pPr>
      <w:r w:rsidRPr="00883399">
        <w:rPr>
          <w:b/>
          <w:i/>
          <w:sz w:val="24"/>
        </w:rPr>
        <w:t>E</w:t>
      </w:r>
      <w:r w:rsidRPr="00883399">
        <w:rPr>
          <w:b/>
          <w:i/>
          <w:sz w:val="24"/>
          <w:vertAlign w:val="subscript"/>
        </w:rPr>
        <w:t>j</w:t>
      </w:r>
      <w:r w:rsidRPr="00883399">
        <w:rPr>
          <w:b/>
          <w:i/>
          <w:sz w:val="24"/>
        </w:rPr>
        <w:t xml:space="preserve"> </w:t>
      </w:r>
      <w:r w:rsidRPr="00883399">
        <w:rPr>
          <w:sz w:val="24"/>
        </w:rPr>
        <w:t>is the emissions of nitrous oxide released from human sewage treated by the plant during the year, measured in tonnes of nitrous oxide and expressed in CO</w:t>
      </w:r>
      <w:r w:rsidRPr="00883399">
        <w:rPr>
          <w:sz w:val="24"/>
          <w:vertAlign w:val="subscript"/>
        </w:rPr>
        <w:t>2</w:t>
      </w:r>
      <w:r w:rsidRPr="00883399">
        <w:rPr>
          <w:sz w:val="24"/>
        </w:rPr>
        <w:noBreakHyphen/>
        <w:t>e tonnes.</w:t>
      </w:r>
    </w:p>
    <w:p w14:paraId="45B4422C" w14:textId="77777777" w:rsidR="00872C03" w:rsidRPr="00883399" w:rsidRDefault="00872C03" w:rsidP="00872C03">
      <w:pPr>
        <w:pStyle w:val="Definition0"/>
        <w:rPr>
          <w:sz w:val="24"/>
        </w:rPr>
      </w:pPr>
      <w:r w:rsidRPr="00883399">
        <w:rPr>
          <w:b/>
          <w:i/>
          <w:sz w:val="24"/>
        </w:rPr>
        <w:t>N</w:t>
      </w:r>
      <w:r w:rsidRPr="00883399">
        <w:rPr>
          <w:b/>
          <w:i/>
          <w:sz w:val="24"/>
          <w:vertAlign w:val="subscript"/>
        </w:rPr>
        <w:t>in</w:t>
      </w:r>
      <w:r w:rsidRPr="00883399">
        <w:rPr>
          <w:b/>
          <w:i/>
          <w:sz w:val="24"/>
        </w:rPr>
        <w:t xml:space="preserve"> </w:t>
      </w:r>
      <w:r w:rsidRPr="00883399">
        <w:rPr>
          <w:sz w:val="24"/>
        </w:rPr>
        <w:t>is the quantity of nitrogen entering the plant during the year, measured in tonnes of nitrogen and worked out:</w:t>
      </w:r>
    </w:p>
    <w:p w14:paraId="2F5B6ADA" w14:textId="77777777" w:rsidR="00872C03" w:rsidRPr="00883399" w:rsidRDefault="00872C03" w:rsidP="00872C03">
      <w:pPr>
        <w:pStyle w:val="paragraph"/>
        <w:rPr>
          <w:sz w:val="24"/>
        </w:rPr>
      </w:pPr>
      <w:r w:rsidRPr="00883399">
        <w:rPr>
          <w:sz w:val="24"/>
        </w:rPr>
        <w:tab/>
        <w:t>(a)</w:t>
      </w:r>
      <w:r w:rsidRPr="00883399">
        <w:rPr>
          <w:sz w:val="24"/>
        </w:rPr>
        <w:tab/>
        <w:t>for primary wastewater treatment plants, using the following formula:</w:t>
      </w:r>
    </w:p>
    <w:p w14:paraId="611EF101" w14:textId="77777777" w:rsidR="00872C03" w:rsidRPr="00883399" w:rsidRDefault="00872C03" w:rsidP="00872C03">
      <w:pPr>
        <w:pStyle w:val="paragraph"/>
        <w:spacing w:before="120" w:after="120"/>
        <w:rPr>
          <w:sz w:val="24"/>
        </w:rPr>
      </w:pPr>
      <w:r w:rsidRPr="00883399">
        <w:rPr>
          <w:sz w:val="24"/>
        </w:rPr>
        <w:tab/>
      </w:r>
      <w:r w:rsidRPr="00883399">
        <w:rPr>
          <w:sz w:val="24"/>
        </w:rPr>
        <w:tab/>
        <w:t>N</w:t>
      </w:r>
      <w:r w:rsidRPr="00883399">
        <w:rPr>
          <w:sz w:val="24"/>
          <w:vertAlign w:val="subscript"/>
        </w:rPr>
        <w:t>in</w:t>
      </w:r>
      <w:r w:rsidRPr="00883399">
        <w:rPr>
          <w:sz w:val="24"/>
        </w:rPr>
        <w:t xml:space="preserve"> = N</w:t>
      </w:r>
      <w:r w:rsidRPr="00883399">
        <w:rPr>
          <w:sz w:val="24"/>
          <w:vertAlign w:val="subscript"/>
        </w:rPr>
        <w:t xml:space="preserve">trl </w:t>
      </w:r>
      <w:r w:rsidRPr="00883399">
        <w:rPr>
          <w:sz w:val="24"/>
        </w:rPr>
        <w:t>+ N</w:t>
      </w:r>
      <w:r w:rsidRPr="00883399">
        <w:rPr>
          <w:sz w:val="24"/>
          <w:vertAlign w:val="subscript"/>
        </w:rPr>
        <w:t xml:space="preserve">tro </w:t>
      </w:r>
      <w:r w:rsidRPr="00883399">
        <w:rPr>
          <w:sz w:val="24"/>
        </w:rPr>
        <w:t>+ N</w:t>
      </w:r>
      <w:r w:rsidRPr="00883399">
        <w:rPr>
          <w:sz w:val="24"/>
          <w:vertAlign w:val="subscript"/>
        </w:rPr>
        <w:t>outdisij</w:t>
      </w:r>
    </w:p>
    <w:p w14:paraId="7B109BF6" w14:textId="77777777" w:rsidR="00872C03" w:rsidRPr="00883399" w:rsidRDefault="00872C03" w:rsidP="00872C03">
      <w:pPr>
        <w:pStyle w:val="subsection2"/>
        <w:rPr>
          <w:sz w:val="24"/>
        </w:rPr>
      </w:pPr>
      <w:r w:rsidRPr="00883399">
        <w:rPr>
          <w:sz w:val="24"/>
        </w:rPr>
        <w:t>where:</w:t>
      </w:r>
    </w:p>
    <w:p w14:paraId="473C1C16" w14:textId="77777777" w:rsidR="00872C03" w:rsidRPr="00883399" w:rsidRDefault="00872C03" w:rsidP="00872C03">
      <w:pPr>
        <w:pStyle w:val="Definition0"/>
        <w:rPr>
          <w:sz w:val="24"/>
        </w:rPr>
      </w:pPr>
      <w:r w:rsidRPr="00883399">
        <w:rPr>
          <w:b/>
          <w:i/>
          <w:sz w:val="24"/>
        </w:rPr>
        <w:t>N</w:t>
      </w:r>
      <w:r w:rsidRPr="00883399">
        <w:rPr>
          <w:b/>
          <w:i/>
          <w:sz w:val="24"/>
          <w:vertAlign w:val="subscript"/>
        </w:rPr>
        <w:t>trl</w:t>
      </w:r>
      <w:r w:rsidRPr="00883399">
        <w:rPr>
          <w:b/>
          <w:i/>
          <w:sz w:val="24"/>
        </w:rPr>
        <w:t xml:space="preserve"> </w:t>
      </w:r>
      <w:r w:rsidRPr="00883399">
        <w:rPr>
          <w:sz w:val="24"/>
        </w:rPr>
        <w:t>is the quantity of nitrogen in sludge transferred out of the plant and removed to landfill during the year, measured in tonnes of nitrogen and worked out using the following formula:</w:t>
      </w:r>
    </w:p>
    <w:p w14:paraId="680E4B3C" w14:textId="03EE4A91" w:rsidR="00872C03" w:rsidRPr="00883399" w:rsidRDefault="00872C03" w:rsidP="00872C03">
      <w:pPr>
        <w:pStyle w:val="Definition0"/>
        <w:spacing w:before="120" w:after="120"/>
        <w:rPr>
          <w:sz w:val="24"/>
        </w:rPr>
      </w:pPr>
      <w:r w:rsidRPr="00883399">
        <w:rPr>
          <w:noProof/>
          <w:sz w:val="24"/>
        </w:rPr>
        <w:drawing>
          <wp:inline distT="0" distB="0" distL="0" distR="0" wp14:anchorId="1005A9A7" wp14:editId="444A3758">
            <wp:extent cx="1116330" cy="225425"/>
            <wp:effectExtent l="19050" t="0" r="762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34"/>
                    <a:srcRect/>
                    <a:stretch>
                      <a:fillRect/>
                    </a:stretch>
                  </pic:blipFill>
                  <pic:spPr bwMode="auto">
                    <a:xfrm>
                      <a:off x="0" y="0"/>
                      <a:ext cx="1116330" cy="225425"/>
                    </a:xfrm>
                    <a:prstGeom prst="rect">
                      <a:avLst/>
                    </a:prstGeom>
                    <a:noFill/>
                    <a:ln w="9525">
                      <a:noFill/>
                      <a:miter lim="800000"/>
                      <a:headEnd/>
                      <a:tailEnd/>
                    </a:ln>
                  </pic:spPr>
                </pic:pic>
              </a:graphicData>
            </a:graphic>
          </wp:inline>
        </w:drawing>
      </w:r>
    </w:p>
    <w:p w14:paraId="0769356F" w14:textId="77777777" w:rsidR="00872C03" w:rsidRPr="00883399" w:rsidRDefault="00872C03" w:rsidP="00872C03">
      <w:pPr>
        <w:pStyle w:val="Definition0"/>
        <w:rPr>
          <w:sz w:val="24"/>
        </w:rPr>
      </w:pPr>
      <w:r w:rsidRPr="00883399">
        <w:rPr>
          <w:b/>
          <w:i/>
          <w:sz w:val="24"/>
        </w:rPr>
        <w:t>N</w:t>
      </w:r>
      <w:r w:rsidRPr="00883399">
        <w:rPr>
          <w:b/>
          <w:i/>
          <w:sz w:val="24"/>
          <w:vertAlign w:val="subscript"/>
        </w:rPr>
        <w:t>tro</w:t>
      </w:r>
      <w:r w:rsidRPr="00883399">
        <w:rPr>
          <w:b/>
          <w:i/>
          <w:sz w:val="24"/>
        </w:rPr>
        <w:t xml:space="preserve"> </w:t>
      </w:r>
      <w:r w:rsidRPr="00883399">
        <w:rPr>
          <w:sz w:val="24"/>
        </w:rPr>
        <w:t>is the quantity of nitrogen in sludge transferred out of the plant and removed to a site other than landfill during the year, measured in tonnes of nitrogen and worked out as follows:</w:t>
      </w:r>
    </w:p>
    <w:p w14:paraId="6A33A7BB" w14:textId="31A0BB23" w:rsidR="00872C03" w:rsidRPr="00883399" w:rsidRDefault="00872C03" w:rsidP="00872C03">
      <w:pPr>
        <w:pStyle w:val="Definition0"/>
        <w:spacing w:before="120" w:after="120"/>
        <w:rPr>
          <w:sz w:val="24"/>
        </w:rPr>
      </w:pPr>
      <w:r w:rsidRPr="00883399">
        <w:rPr>
          <w:noProof/>
          <w:sz w:val="24"/>
        </w:rPr>
        <w:drawing>
          <wp:inline distT="0" distB="0" distL="0" distR="0" wp14:anchorId="6E3A1657" wp14:editId="4577EC9C">
            <wp:extent cx="1247140" cy="225425"/>
            <wp:effectExtent l="1905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35"/>
                    <a:srcRect/>
                    <a:stretch>
                      <a:fillRect/>
                    </a:stretch>
                  </pic:blipFill>
                  <pic:spPr bwMode="auto">
                    <a:xfrm>
                      <a:off x="0" y="0"/>
                      <a:ext cx="1247140" cy="225425"/>
                    </a:xfrm>
                    <a:prstGeom prst="rect">
                      <a:avLst/>
                    </a:prstGeom>
                    <a:noFill/>
                    <a:ln w="9525">
                      <a:noFill/>
                      <a:miter lim="800000"/>
                      <a:headEnd/>
                      <a:tailEnd/>
                    </a:ln>
                  </pic:spPr>
                </pic:pic>
              </a:graphicData>
            </a:graphic>
          </wp:inline>
        </w:drawing>
      </w:r>
    </w:p>
    <w:p w14:paraId="5AB6AAEA" w14:textId="77777777" w:rsidR="00872C03" w:rsidRPr="00883399" w:rsidRDefault="00872C03" w:rsidP="00872C03">
      <w:pPr>
        <w:pStyle w:val="Definition0"/>
        <w:rPr>
          <w:sz w:val="24"/>
        </w:rPr>
      </w:pPr>
      <w:r w:rsidRPr="00883399">
        <w:rPr>
          <w:b/>
          <w:i/>
          <w:sz w:val="24"/>
        </w:rPr>
        <w:t>N</w:t>
      </w:r>
      <w:r w:rsidRPr="00883399">
        <w:rPr>
          <w:b/>
          <w:i/>
          <w:sz w:val="24"/>
          <w:vertAlign w:val="subscript"/>
        </w:rPr>
        <w:t>outdisij</w:t>
      </w:r>
      <w:r w:rsidRPr="00883399">
        <w:rPr>
          <w:b/>
          <w:i/>
          <w:sz w:val="24"/>
        </w:rPr>
        <w:t xml:space="preserve"> </w:t>
      </w:r>
      <w:r w:rsidRPr="00883399">
        <w:rPr>
          <w:sz w:val="24"/>
        </w:rPr>
        <w:t>is the quantity of nitrogen leaving the plant, differentiated by discharge environment; or</w:t>
      </w:r>
    </w:p>
    <w:p w14:paraId="2CC7C81F" w14:textId="77777777" w:rsidR="00872C03" w:rsidRPr="00883399" w:rsidRDefault="00872C03" w:rsidP="00872C03">
      <w:pPr>
        <w:pStyle w:val="paragraph"/>
        <w:rPr>
          <w:sz w:val="24"/>
        </w:rPr>
      </w:pPr>
      <w:r w:rsidRPr="00883399">
        <w:rPr>
          <w:sz w:val="24"/>
        </w:rPr>
        <w:tab/>
        <w:t>(b)</w:t>
      </w:r>
      <w:r w:rsidRPr="00883399">
        <w:rPr>
          <w:sz w:val="24"/>
        </w:rPr>
        <w:tab/>
        <w:t>for any other kind of wastewater treatment plant, using the following formula:</w:t>
      </w:r>
    </w:p>
    <w:p w14:paraId="0755236F" w14:textId="6A4E901F" w:rsidR="00872C03" w:rsidRPr="00883399" w:rsidRDefault="00872C03" w:rsidP="00872C03">
      <w:pPr>
        <w:pStyle w:val="paragraph"/>
        <w:spacing w:before="120" w:after="120"/>
        <w:rPr>
          <w:sz w:val="24"/>
        </w:rPr>
      </w:pPr>
      <w:r w:rsidRPr="00883399">
        <w:rPr>
          <w:sz w:val="24"/>
        </w:rPr>
        <w:tab/>
      </w:r>
      <w:r w:rsidRPr="00883399">
        <w:rPr>
          <w:sz w:val="24"/>
        </w:rPr>
        <w:tab/>
      </w:r>
      <w:r w:rsidRPr="00883399">
        <w:rPr>
          <w:noProof/>
          <w:sz w:val="24"/>
        </w:rPr>
        <w:drawing>
          <wp:inline distT="0" distB="0" distL="0" distR="0" wp14:anchorId="24BCF0D1" wp14:editId="7F6F5B16">
            <wp:extent cx="1638935" cy="225425"/>
            <wp:effectExtent l="1905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36"/>
                    <a:srcRect/>
                    <a:stretch>
                      <a:fillRect/>
                    </a:stretch>
                  </pic:blipFill>
                  <pic:spPr bwMode="auto">
                    <a:xfrm>
                      <a:off x="0" y="0"/>
                      <a:ext cx="1638935" cy="225425"/>
                    </a:xfrm>
                    <a:prstGeom prst="rect">
                      <a:avLst/>
                    </a:prstGeom>
                    <a:noFill/>
                    <a:ln w="9525">
                      <a:noFill/>
                      <a:miter lim="800000"/>
                      <a:headEnd/>
                      <a:tailEnd/>
                    </a:ln>
                  </pic:spPr>
                </pic:pic>
              </a:graphicData>
            </a:graphic>
          </wp:inline>
        </w:drawing>
      </w:r>
    </w:p>
    <w:p w14:paraId="683D0874" w14:textId="77777777" w:rsidR="00872C03" w:rsidRPr="00883399" w:rsidRDefault="00872C03" w:rsidP="00872C03">
      <w:pPr>
        <w:pStyle w:val="subsection2"/>
        <w:rPr>
          <w:sz w:val="24"/>
        </w:rPr>
      </w:pPr>
      <w:r w:rsidRPr="00883399">
        <w:rPr>
          <w:sz w:val="24"/>
        </w:rPr>
        <w:lastRenderedPageBreak/>
        <w:t>where:</w:t>
      </w:r>
    </w:p>
    <w:p w14:paraId="087A2DA6" w14:textId="77777777" w:rsidR="00872C03" w:rsidRPr="00883399" w:rsidRDefault="00872C03" w:rsidP="00872C03">
      <w:pPr>
        <w:pStyle w:val="Definition0"/>
        <w:rPr>
          <w:sz w:val="24"/>
        </w:rPr>
      </w:pPr>
      <w:r w:rsidRPr="00883399">
        <w:rPr>
          <w:b/>
          <w:bCs/>
          <w:i/>
          <w:iCs/>
          <w:sz w:val="24"/>
        </w:rPr>
        <w:t>Protein</w:t>
      </w:r>
      <w:r w:rsidRPr="00883399">
        <w:rPr>
          <w:b/>
          <w:i/>
          <w:sz w:val="24"/>
        </w:rPr>
        <w:t xml:space="preserve"> </w:t>
      </w:r>
      <w:r w:rsidRPr="00883399">
        <w:rPr>
          <w:sz w:val="24"/>
        </w:rPr>
        <w:t>is the annual per capita protein intake of the population being served by the plant, measured in tonnes per person.</w:t>
      </w:r>
    </w:p>
    <w:p w14:paraId="5235F52C" w14:textId="77777777" w:rsidR="00872C03" w:rsidRPr="00883399" w:rsidRDefault="00872C03" w:rsidP="00872C03">
      <w:pPr>
        <w:pStyle w:val="Definition0"/>
        <w:rPr>
          <w:sz w:val="24"/>
        </w:rPr>
      </w:pPr>
      <w:r w:rsidRPr="00883399">
        <w:rPr>
          <w:b/>
          <w:i/>
          <w:sz w:val="24"/>
        </w:rPr>
        <w:t>Frac</w:t>
      </w:r>
      <w:r w:rsidRPr="00883399">
        <w:rPr>
          <w:rStyle w:val="charSubscript"/>
          <w:b/>
          <w:i/>
          <w:sz w:val="22"/>
        </w:rPr>
        <w:t>Pr</w:t>
      </w:r>
      <w:r w:rsidRPr="00883399">
        <w:rPr>
          <w:b/>
          <w:i/>
          <w:sz w:val="24"/>
        </w:rPr>
        <w:t xml:space="preserve"> </w:t>
      </w:r>
      <w:r w:rsidRPr="00883399">
        <w:rPr>
          <w:sz w:val="24"/>
        </w:rPr>
        <w:t>is the fraction of nitrogen in protein.</w:t>
      </w:r>
    </w:p>
    <w:p w14:paraId="7B0B77D7" w14:textId="77777777" w:rsidR="00872C03" w:rsidRPr="00883399" w:rsidRDefault="00872C03" w:rsidP="00872C03">
      <w:pPr>
        <w:pStyle w:val="Definition0"/>
        <w:rPr>
          <w:sz w:val="24"/>
        </w:rPr>
      </w:pPr>
      <w:r w:rsidRPr="00883399">
        <w:rPr>
          <w:b/>
          <w:i/>
          <w:sz w:val="24"/>
        </w:rPr>
        <w:t xml:space="preserve">P </w:t>
      </w:r>
      <w:r w:rsidRPr="00883399">
        <w:rPr>
          <w:sz w:val="24"/>
        </w:rPr>
        <w:t>is the population serviced by the plant during the year.</w:t>
      </w:r>
    </w:p>
    <w:p w14:paraId="020171AA" w14:textId="77777777" w:rsidR="00872C03" w:rsidRPr="00883399" w:rsidRDefault="00872C03" w:rsidP="00872C03">
      <w:pPr>
        <w:pStyle w:val="Definition0"/>
        <w:rPr>
          <w:sz w:val="24"/>
        </w:rPr>
      </w:pPr>
      <w:r w:rsidRPr="00883399">
        <w:rPr>
          <w:b/>
          <w:i/>
          <w:sz w:val="24"/>
        </w:rPr>
        <w:t>N</w:t>
      </w:r>
      <w:r w:rsidRPr="00883399">
        <w:rPr>
          <w:b/>
          <w:i/>
          <w:sz w:val="24"/>
          <w:vertAlign w:val="subscript"/>
        </w:rPr>
        <w:t>trl</w:t>
      </w:r>
      <w:r w:rsidRPr="00883399">
        <w:rPr>
          <w:b/>
          <w:i/>
          <w:sz w:val="24"/>
        </w:rPr>
        <w:t xml:space="preserve"> </w:t>
      </w:r>
      <w:r w:rsidRPr="00883399">
        <w:rPr>
          <w:sz w:val="24"/>
        </w:rPr>
        <w:t>is the quantity of nitrogen in sludge transferred out of the plant and removed to landfill during the year, measured in tonnes of nitrogen and worked out as follows:</w:t>
      </w:r>
    </w:p>
    <w:p w14:paraId="0C72324B" w14:textId="4470EEA8" w:rsidR="00872C03" w:rsidRPr="00883399" w:rsidRDefault="00872C03" w:rsidP="00872C03">
      <w:pPr>
        <w:pStyle w:val="Definition0"/>
        <w:spacing w:before="120" w:after="120"/>
        <w:rPr>
          <w:sz w:val="24"/>
        </w:rPr>
      </w:pPr>
      <w:r w:rsidRPr="00883399">
        <w:rPr>
          <w:noProof/>
          <w:sz w:val="24"/>
        </w:rPr>
        <w:drawing>
          <wp:inline distT="0" distB="0" distL="0" distR="0" wp14:anchorId="6E066109" wp14:editId="05C594D4">
            <wp:extent cx="1116330" cy="225425"/>
            <wp:effectExtent l="19050" t="0" r="762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34"/>
                    <a:srcRect/>
                    <a:stretch>
                      <a:fillRect/>
                    </a:stretch>
                  </pic:blipFill>
                  <pic:spPr bwMode="auto">
                    <a:xfrm>
                      <a:off x="0" y="0"/>
                      <a:ext cx="1116330" cy="225425"/>
                    </a:xfrm>
                    <a:prstGeom prst="rect">
                      <a:avLst/>
                    </a:prstGeom>
                    <a:noFill/>
                    <a:ln w="9525">
                      <a:noFill/>
                      <a:miter lim="800000"/>
                      <a:headEnd/>
                      <a:tailEnd/>
                    </a:ln>
                  </pic:spPr>
                </pic:pic>
              </a:graphicData>
            </a:graphic>
          </wp:inline>
        </w:drawing>
      </w:r>
    </w:p>
    <w:p w14:paraId="14002F2F" w14:textId="77777777" w:rsidR="00872C03" w:rsidRPr="00883399" w:rsidRDefault="00872C03" w:rsidP="00872C03">
      <w:pPr>
        <w:pStyle w:val="Definition0"/>
        <w:rPr>
          <w:sz w:val="24"/>
        </w:rPr>
      </w:pPr>
      <w:r w:rsidRPr="00883399">
        <w:rPr>
          <w:sz w:val="24"/>
        </w:rPr>
        <w:t>where:</w:t>
      </w:r>
    </w:p>
    <w:p w14:paraId="661ED091" w14:textId="77777777" w:rsidR="00872C03" w:rsidRPr="00883399" w:rsidRDefault="00872C03" w:rsidP="00872C03">
      <w:pPr>
        <w:pStyle w:val="Definition0"/>
        <w:rPr>
          <w:sz w:val="24"/>
        </w:rPr>
      </w:pPr>
      <w:r w:rsidRPr="00883399">
        <w:rPr>
          <w:b/>
          <w:i/>
          <w:sz w:val="24"/>
        </w:rPr>
        <w:t>F</w:t>
      </w:r>
      <w:r w:rsidRPr="00883399">
        <w:rPr>
          <w:b/>
          <w:i/>
          <w:sz w:val="24"/>
          <w:vertAlign w:val="subscript"/>
        </w:rPr>
        <w:t>Ntrl</w:t>
      </w:r>
      <w:r w:rsidRPr="00883399">
        <w:rPr>
          <w:b/>
          <w:i/>
          <w:sz w:val="24"/>
        </w:rPr>
        <w:t xml:space="preserve"> </w:t>
      </w:r>
      <w:r w:rsidRPr="00883399">
        <w:rPr>
          <w:sz w:val="24"/>
        </w:rPr>
        <w:t>is the fraction of nitrogen in the sludge transferred out of the plant.</w:t>
      </w:r>
    </w:p>
    <w:p w14:paraId="4734259A" w14:textId="77777777" w:rsidR="00872C03" w:rsidRPr="00883399" w:rsidRDefault="00872C03" w:rsidP="00872C03">
      <w:pPr>
        <w:pStyle w:val="Definition0"/>
        <w:rPr>
          <w:sz w:val="24"/>
        </w:rPr>
      </w:pPr>
      <w:r w:rsidRPr="00883399">
        <w:rPr>
          <w:b/>
          <w:i/>
          <w:sz w:val="24"/>
        </w:rPr>
        <w:t>M</w:t>
      </w:r>
      <w:r w:rsidRPr="00883399">
        <w:rPr>
          <w:b/>
          <w:i/>
          <w:sz w:val="24"/>
          <w:vertAlign w:val="subscript"/>
        </w:rPr>
        <w:t>trl</w:t>
      </w:r>
      <w:r w:rsidRPr="00883399">
        <w:rPr>
          <w:b/>
          <w:i/>
          <w:sz w:val="24"/>
        </w:rPr>
        <w:t xml:space="preserve"> </w:t>
      </w:r>
      <w:r w:rsidRPr="00883399">
        <w:rPr>
          <w:sz w:val="24"/>
        </w:rPr>
        <w:t>is the dry mass of sludge transferred out of the plant to landfill during the year, measured in tonnes.</w:t>
      </w:r>
    </w:p>
    <w:p w14:paraId="36935BB7" w14:textId="77777777" w:rsidR="00872C03" w:rsidRPr="00883399" w:rsidRDefault="00872C03" w:rsidP="00872C03">
      <w:pPr>
        <w:pStyle w:val="Definition0"/>
        <w:rPr>
          <w:sz w:val="24"/>
        </w:rPr>
      </w:pPr>
      <w:r w:rsidRPr="00883399">
        <w:rPr>
          <w:b/>
          <w:i/>
          <w:sz w:val="24"/>
        </w:rPr>
        <w:t>N</w:t>
      </w:r>
      <w:r w:rsidRPr="00883399">
        <w:rPr>
          <w:b/>
          <w:i/>
          <w:sz w:val="24"/>
          <w:vertAlign w:val="subscript"/>
        </w:rPr>
        <w:t>tro</w:t>
      </w:r>
      <w:r w:rsidRPr="00883399">
        <w:rPr>
          <w:b/>
          <w:i/>
          <w:sz w:val="24"/>
        </w:rPr>
        <w:t xml:space="preserve"> </w:t>
      </w:r>
      <w:r w:rsidRPr="00883399">
        <w:rPr>
          <w:sz w:val="24"/>
        </w:rPr>
        <w:t>is the quantity of nitrogen in sludge transferred out of the plant and removed to a site other than landfill during the year, measured in tonnes of nitrogen and worked out as follows:</w:t>
      </w:r>
    </w:p>
    <w:p w14:paraId="4E323BFE" w14:textId="12C7D7C2" w:rsidR="00872C03" w:rsidRPr="00883399" w:rsidRDefault="00872C03" w:rsidP="00872C03">
      <w:pPr>
        <w:pStyle w:val="Definition0"/>
        <w:spacing w:before="120" w:after="120"/>
        <w:rPr>
          <w:sz w:val="24"/>
        </w:rPr>
      </w:pPr>
      <w:r w:rsidRPr="00883399">
        <w:rPr>
          <w:noProof/>
          <w:sz w:val="24"/>
        </w:rPr>
        <w:drawing>
          <wp:inline distT="0" distB="0" distL="0" distR="0" wp14:anchorId="07EB348D" wp14:editId="654BCD27">
            <wp:extent cx="1247140" cy="225425"/>
            <wp:effectExtent l="1905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35"/>
                    <a:srcRect/>
                    <a:stretch>
                      <a:fillRect/>
                    </a:stretch>
                  </pic:blipFill>
                  <pic:spPr bwMode="auto">
                    <a:xfrm>
                      <a:off x="0" y="0"/>
                      <a:ext cx="1247140" cy="225425"/>
                    </a:xfrm>
                    <a:prstGeom prst="rect">
                      <a:avLst/>
                    </a:prstGeom>
                    <a:noFill/>
                    <a:ln w="9525">
                      <a:noFill/>
                      <a:miter lim="800000"/>
                      <a:headEnd/>
                      <a:tailEnd/>
                    </a:ln>
                  </pic:spPr>
                </pic:pic>
              </a:graphicData>
            </a:graphic>
          </wp:inline>
        </w:drawing>
      </w:r>
    </w:p>
    <w:p w14:paraId="7834682C" w14:textId="77777777" w:rsidR="00872C03" w:rsidRPr="00883399" w:rsidRDefault="00872C03" w:rsidP="00872C03">
      <w:pPr>
        <w:pStyle w:val="Definition0"/>
        <w:rPr>
          <w:sz w:val="24"/>
        </w:rPr>
      </w:pPr>
      <w:r w:rsidRPr="00883399">
        <w:rPr>
          <w:sz w:val="24"/>
        </w:rPr>
        <w:t>where:</w:t>
      </w:r>
    </w:p>
    <w:p w14:paraId="0D8D4537" w14:textId="77777777" w:rsidR="00872C03" w:rsidRPr="00883399" w:rsidRDefault="00872C03" w:rsidP="00872C03">
      <w:pPr>
        <w:pStyle w:val="Definition0"/>
        <w:rPr>
          <w:sz w:val="24"/>
        </w:rPr>
      </w:pPr>
      <w:r w:rsidRPr="00883399">
        <w:rPr>
          <w:b/>
          <w:i/>
          <w:sz w:val="24"/>
        </w:rPr>
        <w:t>F</w:t>
      </w:r>
      <w:r w:rsidRPr="00883399">
        <w:rPr>
          <w:b/>
          <w:i/>
          <w:sz w:val="24"/>
          <w:vertAlign w:val="subscript"/>
        </w:rPr>
        <w:t>Ntro</w:t>
      </w:r>
      <w:r w:rsidRPr="00883399">
        <w:rPr>
          <w:b/>
          <w:i/>
          <w:sz w:val="24"/>
        </w:rPr>
        <w:t xml:space="preserve"> </w:t>
      </w:r>
      <w:r w:rsidRPr="00883399">
        <w:rPr>
          <w:sz w:val="24"/>
        </w:rPr>
        <w:t>is the fraction of nitrogen in the sludge transferred out of the plant to a site other than landfill.</w:t>
      </w:r>
    </w:p>
    <w:p w14:paraId="7FA511BD" w14:textId="77777777" w:rsidR="00872C03" w:rsidRPr="00883399" w:rsidRDefault="00872C03" w:rsidP="00872C03">
      <w:pPr>
        <w:pStyle w:val="Definition0"/>
        <w:rPr>
          <w:sz w:val="24"/>
        </w:rPr>
      </w:pPr>
      <w:r w:rsidRPr="00883399">
        <w:rPr>
          <w:b/>
          <w:i/>
          <w:sz w:val="24"/>
        </w:rPr>
        <w:t>M</w:t>
      </w:r>
      <w:r w:rsidRPr="00883399">
        <w:rPr>
          <w:b/>
          <w:i/>
          <w:sz w:val="24"/>
          <w:vertAlign w:val="subscript"/>
        </w:rPr>
        <w:t>tro</w:t>
      </w:r>
      <w:r w:rsidRPr="00883399">
        <w:rPr>
          <w:b/>
          <w:i/>
          <w:sz w:val="24"/>
        </w:rPr>
        <w:t xml:space="preserve"> </w:t>
      </w:r>
      <w:r w:rsidRPr="00883399">
        <w:rPr>
          <w:sz w:val="24"/>
        </w:rPr>
        <w:t>is the dry mass of sludge transferred out of the plant to a site other than landfill during the year, measured in tonnes.</w:t>
      </w:r>
    </w:p>
    <w:p w14:paraId="7AA679CA" w14:textId="77777777" w:rsidR="00872C03" w:rsidRPr="00883399" w:rsidRDefault="00872C03" w:rsidP="00872C03">
      <w:pPr>
        <w:pStyle w:val="Definition0"/>
        <w:rPr>
          <w:sz w:val="24"/>
        </w:rPr>
      </w:pPr>
      <w:r w:rsidRPr="00883399">
        <w:rPr>
          <w:b/>
          <w:i/>
          <w:sz w:val="24"/>
        </w:rPr>
        <w:t>N</w:t>
      </w:r>
      <w:r w:rsidRPr="00883399">
        <w:rPr>
          <w:b/>
          <w:i/>
          <w:sz w:val="24"/>
          <w:vertAlign w:val="subscript"/>
        </w:rPr>
        <w:t>outdisij</w:t>
      </w:r>
      <w:r w:rsidRPr="00883399">
        <w:rPr>
          <w:b/>
          <w:i/>
          <w:sz w:val="24"/>
        </w:rPr>
        <w:t xml:space="preserve"> </w:t>
      </w:r>
      <w:r w:rsidRPr="00883399">
        <w:rPr>
          <w:sz w:val="24"/>
        </w:rPr>
        <w:t>is the quantity of nitrogen leaving the plant, differentiated by discharge environment.</w:t>
      </w:r>
    </w:p>
    <w:p w14:paraId="5F9B3D95" w14:textId="77777777" w:rsidR="00872C03" w:rsidRPr="00883399" w:rsidRDefault="00872C03" w:rsidP="00872C03">
      <w:pPr>
        <w:pStyle w:val="Definition0"/>
        <w:rPr>
          <w:sz w:val="24"/>
        </w:rPr>
      </w:pPr>
      <w:r w:rsidRPr="00883399">
        <w:rPr>
          <w:b/>
          <w:i/>
          <w:sz w:val="24"/>
        </w:rPr>
        <w:t>EF</w:t>
      </w:r>
      <w:r w:rsidRPr="00883399">
        <w:rPr>
          <w:b/>
          <w:i/>
          <w:sz w:val="24"/>
          <w:vertAlign w:val="subscript"/>
        </w:rPr>
        <w:t>secij</w:t>
      </w:r>
      <w:r w:rsidRPr="00883399">
        <w:rPr>
          <w:b/>
          <w:i/>
          <w:sz w:val="24"/>
        </w:rPr>
        <w:t xml:space="preserve"> </w:t>
      </w:r>
      <w:r w:rsidRPr="00883399">
        <w:rPr>
          <w:sz w:val="24"/>
        </w:rPr>
        <w:t>is the emission factor for wastewater treatment.</w:t>
      </w:r>
    </w:p>
    <w:p w14:paraId="61965910" w14:textId="77777777" w:rsidR="00872C03" w:rsidRPr="00883399" w:rsidRDefault="00872C03" w:rsidP="00872C03">
      <w:pPr>
        <w:pStyle w:val="Definition0"/>
        <w:rPr>
          <w:sz w:val="24"/>
        </w:rPr>
      </w:pPr>
      <w:r w:rsidRPr="00883399">
        <w:rPr>
          <w:b/>
          <w:i/>
          <w:sz w:val="24"/>
        </w:rPr>
        <w:t>EF</w:t>
      </w:r>
      <w:r w:rsidRPr="00883399">
        <w:rPr>
          <w:rStyle w:val="charSubscript"/>
          <w:b/>
          <w:i/>
          <w:sz w:val="22"/>
        </w:rPr>
        <w:t>disij</w:t>
      </w:r>
      <w:r w:rsidRPr="00883399">
        <w:rPr>
          <w:b/>
          <w:i/>
          <w:sz w:val="24"/>
        </w:rPr>
        <w:t xml:space="preserve"> </w:t>
      </w:r>
      <w:r w:rsidRPr="00883399">
        <w:rPr>
          <w:sz w:val="24"/>
        </w:rPr>
        <w:t>is the emission factor for nitrogen discharge, differentiated by the discharge environment.</w:t>
      </w:r>
    </w:p>
    <w:p w14:paraId="5FE3B625" w14:textId="77777777" w:rsidR="00872C03" w:rsidRPr="00883399" w:rsidRDefault="00872C03" w:rsidP="00872C03">
      <w:pPr>
        <w:pStyle w:val="subsection"/>
        <w:rPr>
          <w:sz w:val="24"/>
        </w:rPr>
      </w:pPr>
      <w:r w:rsidRPr="00883399">
        <w:rPr>
          <w:sz w:val="24"/>
        </w:rPr>
        <w:tab/>
        <w:t>(2)</w:t>
      </w:r>
      <w:r w:rsidRPr="00883399">
        <w:rPr>
          <w:sz w:val="24"/>
        </w:rPr>
        <w:tab/>
        <w:t xml:space="preserve">For </w:t>
      </w:r>
      <w:r w:rsidRPr="00883399">
        <w:rPr>
          <w:b/>
          <w:i/>
          <w:sz w:val="24"/>
        </w:rPr>
        <w:t>Protein</w:t>
      </w:r>
      <w:r w:rsidRPr="00883399">
        <w:rPr>
          <w:b/>
          <w:sz w:val="24"/>
        </w:rPr>
        <w:t xml:space="preserve"> </w:t>
      </w:r>
      <w:r w:rsidRPr="00883399">
        <w:rPr>
          <w:sz w:val="24"/>
        </w:rPr>
        <w:t>in</w:t>
      </w:r>
      <w:r w:rsidRPr="00883399">
        <w:rPr>
          <w:b/>
          <w:sz w:val="24"/>
        </w:rPr>
        <w:t xml:space="preserve"> </w:t>
      </w:r>
      <w:r w:rsidRPr="00883399">
        <w:rPr>
          <w:sz w:val="24"/>
        </w:rPr>
        <w:t>subsection (1), the annual per capita protein intake is 0.036 tonnes per year.</w:t>
      </w:r>
    </w:p>
    <w:p w14:paraId="3DCF8288" w14:textId="77777777" w:rsidR="00872C03" w:rsidRPr="00883399" w:rsidRDefault="00872C03" w:rsidP="00872C03">
      <w:pPr>
        <w:pStyle w:val="subsection"/>
        <w:rPr>
          <w:sz w:val="24"/>
        </w:rPr>
      </w:pPr>
      <w:r w:rsidRPr="00883399">
        <w:rPr>
          <w:sz w:val="24"/>
        </w:rPr>
        <w:tab/>
        <w:t>(3)</w:t>
      </w:r>
      <w:r w:rsidRPr="00883399">
        <w:rPr>
          <w:sz w:val="24"/>
        </w:rPr>
        <w:tab/>
        <w:t xml:space="preserve">For </w:t>
      </w:r>
      <w:r w:rsidRPr="00883399">
        <w:rPr>
          <w:b/>
          <w:i/>
          <w:sz w:val="24"/>
        </w:rPr>
        <w:t>Frac</w:t>
      </w:r>
      <w:r w:rsidRPr="00883399">
        <w:rPr>
          <w:b/>
          <w:i/>
          <w:sz w:val="24"/>
          <w:vertAlign w:val="subscript"/>
        </w:rPr>
        <w:t>Pr</w:t>
      </w:r>
      <w:r w:rsidRPr="00883399">
        <w:rPr>
          <w:sz w:val="24"/>
        </w:rPr>
        <w:t xml:space="preserve"> in subsection (1), the factor is 0.16 tonnes of nitrogen per tonne of protein.</w:t>
      </w:r>
    </w:p>
    <w:p w14:paraId="5CCF741F" w14:textId="77777777" w:rsidR="00872C03" w:rsidRPr="00883399" w:rsidRDefault="00872C03" w:rsidP="00872C03">
      <w:pPr>
        <w:pStyle w:val="subsection"/>
        <w:rPr>
          <w:sz w:val="24"/>
        </w:rPr>
      </w:pPr>
      <w:r w:rsidRPr="00883399">
        <w:rPr>
          <w:sz w:val="24"/>
        </w:rPr>
        <w:tab/>
        <w:t>(4)</w:t>
      </w:r>
      <w:r w:rsidRPr="00883399">
        <w:rPr>
          <w:sz w:val="24"/>
        </w:rPr>
        <w:tab/>
        <w:t xml:space="preserve">For </w:t>
      </w:r>
      <w:r w:rsidRPr="00883399">
        <w:rPr>
          <w:b/>
          <w:i/>
          <w:sz w:val="24"/>
        </w:rPr>
        <w:t>F</w:t>
      </w:r>
      <w:r w:rsidRPr="00883399">
        <w:rPr>
          <w:b/>
          <w:i/>
          <w:sz w:val="24"/>
          <w:vertAlign w:val="subscript"/>
        </w:rPr>
        <w:t>Ntrl</w:t>
      </w:r>
      <w:r w:rsidRPr="00883399">
        <w:rPr>
          <w:sz w:val="24"/>
        </w:rPr>
        <w:t xml:space="preserve"> and </w:t>
      </w:r>
      <w:r w:rsidRPr="00883399">
        <w:rPr>
          <w:b/>
          <w:i/>
          <w:sz w:val="24"/>
        </w:rPr>
        <w:t>F</w:t>
      </w:r>
      <w:r w:rsidRPr="00883399">
        <w:rPr>
          <w:b/>
          <w:i/>
          <w:sz w:val="24"/>
          <w:vertAlign w:val="subscript"/>
        </w:rPr>
        <w:t>Ntro</w:t>
      </w:r>
      <w:r w:rsidRPr="00883399">
        <w:rPr>
          <w:sz w:val="24"/>
        </w:rPr>
        <w:t xml:space="preserve"> in subsection (1), the factor is 0.05.</w:t>
      </w:r>
    </w:p>
    <w:p w14:paraId="1DA6A580" w14:textId="77777777" w:rsidR="00872C03" w:rsidRPr="00883399" w:rsidRDefault="00872C03" w:rsidP="00872C03">
      <w:pPr>
        <w:pStyle w:val="subsection"/>
        <w:rPr>
          <w:sz w:val="24"/>
        </w:rPr>
      </w:pPr>
      <w:r w:rsidRPr="00883399">
        <w:rPr>
          <w:sz w:val="24"/>
        </w:rPr>
        <w:lastRenderedPageBreak/>
        <w:tab/>
        <w:t>(5)</w:t>
      </w:r>
      <w:r w:rsidRPr="00883399">
        <w:rPr>
          <w:sz w:val="24"/>
        </w:rPr>
        <w:tab/>
        <w:t xml:space="preserve">For </w:t>
      </w:r>
      <w:r w:rsidRPr="00883399">
        <w:rPr>
          <w:b/>
          <w:i/>
          <w:sz w:val="24"/>
        </w:rPr>
        <w:t>N</w:t>
      </w:r>
      <w:r w:rsidRPr="00883399">
        <w:rPr>
          <w:b/>
          <w:i/>
          <w:sz w:val="24"/>
          <w:vertAlign w:val="subscript"/>
        </w:rPr>
        <w:t>outdisij</w:t>
      </w:r>
      <w:r w:rsidRPr="00883399">
        <w:rPr>
          <w:sz w:val="24"/>
        </w:rPr>
        <w:t xml:space="preserve"> in subsection (1), discharge environments mentioned in column 2 of an item of the following table are defined in column 3 for the item.</w:t>
      </w:r>
    </w:p>
    <w:p w14:paraId="1D27E9FB" w14:textId="77777777" w:rsidR="00872C03" w:rsidRPr="00883399" w:rsidRDefault="00872C03" w:rsidP="00872C03">
      <w:pPr>
        <w:pStyle w:val="Tabletext0"/>
        <w:rPr>
          <w:sz w:val="22"/>
        </w:rPr>
      </w:pPr>
    </w:p>
    <w:tbl>
      <w:tblPr>
        <w:tblW w:w="8549"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75"/>
        <w:gridCol w:w="2268"/>
        <w:gridCol w:w="5606"/>
      </w:tblGrid>
      <w:tr w:rsidR="00872C03" w:rsidRPr="00883399" w14:paraId="32DC6915" w14:textId="77777777" w:rsidTr="0031057E">
        <w:trPr>
          <w:tblHeader/>
        </w:trPr>
        <w:tc>
          <w:tcPr>
            <w:tcW w:w="675" w:type="dxa"/>
            <w:tcBorders>
              <w:top w:val="single" w:sz="12" w:space="0" w:color="auto"/>
              <w:bottom w:val="single" w:sz="12" w:space="0" w:color="auto"/>
            </w:tcBorders>
            <w:shd w:val="clear" w:color="auto" w:fill="auto"/>
            <w:hideMark/>
          </w:tcPr>
          <w:p w14:paraId="1F480ACB" w14:textId="77777777" w:rsidR="00872C03" w:rsidRPr="00883399" w:rsidRDefault="00872C03" w:rsidP="0031057E">
            <w:pPr>
              <w:pStyle w:val="TableHeading"/>
              <w:rPr>
                <w:sz w:val="22"/>
              </w:rPr>
            </w:pPr>
            <w:r w:rsidRPr="00883399">
              <w:rPr>
                <w:sz w:val="22"/>
              </w:rPr>
              <w:t>Item</w:t>
            </w:r>
          </w:p>
        </w:tc>
        <w:tc>
          <w:tcPr>
            <w:tcW w:w="2268" w:type="dxa"/>
            <w:tcBorders>
              <w:top w:val="single" w:sz="12" w:space="0" w:color="auto"/>
              <w:bottom w:val="single" w:sz="12" w:space="0" w:color="auto"/>
            </w:tcBorders>
            <w:shd w:val="clear" w:color="auto" w:fill="auto"/>
            <w:hideMark/>
          </w:tcPr>
          <w:p w14:paraId="29D2C199" w14:textId="77777777" w:rsidR="00872C03" w:rsidRPr="00883399" w:rsidRDefault="00872C03" w:rsidP="0031057E">
            <w:pPr>
              <w:pStyle w:val="TableHeading"/>
              <w:rPr>
                <w:sz w:val="22"/>
              </w:rPr>
            </w:pPr>
            <w:r w:rsidRPr="00883399">
              <w:rPr>
                <w:sz w:val="22"/>
              </w:rPr>
              <w:t>Discharge environment</w:t>
            </w:r>
          </w:p>
        </w:tc>
        <w:tc>
          <w:tcPr>
            <w:tcW w:w="5606" w:type="dxa"/>
            <w:tcBorders>
              <w:top w:val="single" w:sz="12" w:space="0" w:color="auto"/>
              <w:bottom w:val="single" w:sz="12" w:space="0" w:color="auto"/>
            </w:tcBorders>
            <w:shd w:val="clear" w:color="auto" w:fill="auto"/>
            <w:hideMark/>
          </w:tcPr>
          <w:p w14:paraId="1559D8BC" w14:textId="77777777" w:rsidR="00872C03" w:rsidRPr="00883399" w:rsidRDefault="00872C03" w:rsidP="0031057E">
            <w:pPr>
              <w:pStyle w:val="TableHeading"/>
              <w:rPr>
                <w:sz w:val="22"/>
              </w:rPr>
            </w:pPr>
            <w:r w:rsidRPr="00883399">
              <w:rPr>
                <w:sz w:val="22"/>
              </w:rPr>
              <w:t>Definition</w:t>
            </w:r>
          </w:p>
        </w:tc>
      </w:tr>
      <w:tr w:rsidR="00872C03" w:rsidRPr="00883399" w14:paraId="346AF796" w14:textId="77777777" w:rsidTr="0031057E">
        <w:tc>
          <w:tcPr>
            <w:tcW w:w="675" w:type="dxa"/>
            <w:tcBorders>
              <w:top w:val="single" w:sz="12" w:space="0" w:color="auto"/>
            </w:tcBorders>
            <w:shd w:val="clear" w:color="auto" w:fill="auto"/>
            <w:hideMark/>
          </w:tcPr>
          <w:p w14:paraId="4CB81ABA" w14:textId="77777777" w:rsidR="00872C03" w:rsidRPr="00883399" w:rsidRDefault="00872C03" w:rsidP="0031057E">
            <w:pPr>
              <w:pStyle w:val="Tabletext0"/>
              <w:rPr>
                <w:sz w:val="22"/>
              </w:rPr>
            </w:pPr>
            <w:r w:rsidRPr="00883399">
              <w:rPr>
                <w:sz w:val="22"/>
              </w:rPr>
              <w:t>1</w:t>
            </w:r>
          </w:p>
        </w:tc>
        <w:tc>
          <w:tcPr>
            <w:tcW w:w="2268" w:type="dxa"/>
            <w:tcBorders>
              <w:top w:val="single" w:sz="12" w:space="0" w:color="auto"/>
            </w:tcBorders>
            <w:shd w:val="clear" w:color="auto" w:fill="auto"/>
            <w:hideMark/>
          </w:tcPr>
          <w:p w14:paraId="4DE63214" w14:textId="77777777" w:rsidR="00872C03" w:rsidRPr="00883399" w:rsidRDefault="00872C03" w:rsidP="0031057E">
            <w:pPr>
              <w:pStyle w:val="Tabletext0"/>
              <w:rPr>
                <w:b/>
                <w:i/>
                <w:sz w:val="22"/>
              </w:rPr>
            </w:pPr>
            <w:r w:rsidRPr="00883399">
              <w:rPr>
                <w:b/>
                <w:i/>
                <w:sz w:val="22"/>
              </w:rPr>
              <w:t>Enclosed waters</w:t>
            </w:r>
          </w:p>
        </w:tc>
        <w:tc>
          <w:tcPr>
            <w:tcW w:w="5606" w:type="dxa"/>
            <w:tcBorders>
              <w:top w:val="single" w:sz="12" w:space="0" w:color="auto"/>
            </w:tcBorders>
            <w:shd w:val="clear" w:color="auto" w:fill="auto"/>
            <w:hideMark/>
          </w:tcPr>
          <w:p w14:paraId="131C014F" w14:textId="77777777" w:rsidR="00872C03" w:rsidRPr="00883399" w:rsidRDefault="00872C03" w:rsidP="0031057E">
            <w:pPr>
              <w:pStyle w:val="Tabletext0"/>
              <w:rPr>
                <w:sz w:val="22"/>
              </w:rPr>
            </w:pPr>
            <w:r w:rsidRPr="00883399">
              <w:rPr>
                <w:sz w:val="22"/>
              </w:rPr>
              <w:t>All waters other than open coastal waters or estuarine waters</w:t>
            </w:r>
          </w:p>
        </w:tc>
      </w:tr>
      <w:tr w:rsidR="00872C03" w:rsidRPr="00883399" w14:paraId="67398D77" w14:textId="77777777" w:rsidTr="0031057E">
        <w:tc>
          <w:tcPr>
            <w:tcW w:w="675" w:type="dxa"/>
            <w:tcBorders>
              <w:bottom w:val="single" w:sz="4" w:space="0" w:color="auto"/>
            </w:tcBorders>
            <w:shd w:val="clear" w:color="auto" w:fill="auto"/>
            <w:hideMark/>
          </w:tcPr>
          <w:p w14:paraId="06A8FEB3" w14:textId="77777777" w:rsidR="00872C03" w:rsidRPr="00883399" w:rsidRDefault="00872C03" w:rsidP="0031057E">
            <w:pPr>
              <w:pStyle w:val="Tabletext0"/>
              <w:rPr>
                <w:sz w:val="22"/>
              </w:rPr>
            </w:pPr>
            <w:r w:rsidRPr="00883399">
              <w:rPr>
                <w:sz w:val="22"/>
              </w:rPr>
              <w:t>2</w:t>
            </w:r>
          </w:p>
        </w:tc>
        <w:tc>
          <w:tcPr>
            <w:tcW w:w="2268" w:type="dxa"/>
            <w:tcBorders>
              <w:bottom w:val="single" w:sz="4" w:space="0" w:color="auto"/>
            </w:tcBorders>
            <w:shd w:val="clear" w:color="auto" w:fill="auto"/>
            <w:hideMark/>
          </w:tcPr>
          <w:p w14:paraId="1C3FDE43" w14:textId="77777777" w:rsidR="00872C03" w:rsidRPr="00883399" w:rsidRDefault="00872C03" w:rsidP="0031057E">
            <w:pPr>
              <w:pStyle w:val="Tabletext0"/>
              <w:rPr>
                <w:b/>
                <w:i/>
                <w:sz w:val="22"/>
              </w:rPr>
            </w:pPr>
            <w:r w:rsidRPr="00883399">
              <w:rPr>
                <w:b/>
                <w:i/>
                <w:sz w:val="22"/>
              </w:rPr>
              <w:t>Estuarine waters</w:t>
            </w:r>
          </w:p>
        </w:tc>
        <w:tc>
          <w:tcPr>
            <w:tcW w:w="5606" w:type="dxa"/>
            <w:tcBorders>
              <w:bottom w:val="single" w:sz="4" w:space="0" w:color="auto"/>
            </w:tcBorders>
            <w:shd w:val="clear" w:color="auto" w:fill="auto"/>
            <w:hideMark/>
          </w:tcPr>
          <w:p w14:paraId="593E83E2" w14:textId="77777777" w:rsidR="00872C03" w:rsidRPr="00883399" w:rsidRDefault="00872C03" w:rsidP="0031057E">
            <w:pPr>
              <w:pStyle w:val="Tabletext0"/>
              <w:rPr>
                <w:sz w:val="22"/>
              </w:rPr>
            </w:pPr>
            <w:r w:rsidRPr="00883399">
              <w:rPr>
                <w:sz w:val="22"/>
              </w:rPr>
              <w:t>All waters (other than open coastal waters) that are:</w:t>
            </w:r>
          </w:p>
          <w:p w14:paraId="4E56633F" w14:textId="77777777" w:rsidR="00872C03" w:rsidRPr="00883399" w:rsidRDefault="00872C03" w:rsidP="0031057E">
            <w:pPr>
              <w:pStyle w:val="Tablea"/>
              <w:rPr>
                <w:sz w:val="22"/>
              </w:rPr>
            </w:pPr>
            <w:r w:rsidRPr="00883399">
              <w:rPr>
                <w:sz w:val="22"/>
              </w:rPr>
              <w:t>(a) ordinarily subject to tidal influence; and</w:t>
            </w:r>
          </w:p>
          <w:p w14:paraId="632A422C" w14:textId="77777777" w:rsidR="00872C03" w:rsidRPr="00883399" w:rsidRDefault="00872C03" w:rsidP="0031057E">
            <w:pPr>
              <w:pStyle w:val="Tablea"/>
              <w:rPr>
                <w:sz w:val="22"/>
              </w:rPr>
            </w:pPr>
            <w:r w:rsidRPr="00883399">
              <w:rPr>
                <w:sz w:val="22"/>
              </w:rPr>
              <w:t>(b) enclosed by a straight line drawn between the low water marks of consecutive headlands</w:t>
            </w:r>
          </w:p>
        </w:tc>
      </w:tr>
      <w:tr w:rsidR="00872C03" w:rsidRPr="00883399" w14:paraId="70791455" w14:textId="77777777" w:rsidTr="0031057E">
        <w:trPr>
          <w:cantSplit/>
        </w:trPr>
        <w:tc>
          <w:tcPr>
            <w:tcW w:w="675" w:type="dxa"/>
            <w:tcBorders>
              <w:bottom w:val="single" w:sz="12" w:space="0" w:color="auto"/>
            </w:tcBorders>
            <w:shd w:val="clear" w:color="auto" w:fill="auto"/>
            <w:hideMark/>
          </w:tcPr>
          <w:p w14:paraId="25F4F542" w14:textId="77777777" w:rsidR="00872C03" w:rsidRPr="00883399" w:rsidDel="00D957B3" w:rsidRDefault="00872C03" w:rsidP="0031057E">
            <w:pPr>
              <w:pStyle w:val="Tabletext0"/>
              <w:rPr>
                <w:sz w:val="22"/>
              </w:rPr>
            </w:pPr>
            <w:r w:rsidRPr="00883399">
              <w:rPr>
                <w:sz w:val="22"/>
              </w:rPr>
              <w:t>3</w:t>
            </w:r>
          </w:p>
        </w:tc>
        <w:tc>
          <w:tcPr>
            <w:tcW w:w="2268" w:type="dxa"/>
            <w:tcBorders>
              <w:bottom w:val="single" w:sz="12" w:space="0" w:color="auto"/>
            </w:tcBorders>
            <w:shd w:val="clear" w:color="auto" w:fill="auto"/>
            <w:hideMark/>
          </w:tcPr>
          <w:p w14:paraId="4171B573" w14:textId="77777777" w:rsidR="00872C03" w:rsidRPr="00883399" w:rsidDel="00D957B3" w:rsidRDefault="00872C03" w:rsidP="0031057E">
            <w:pPr>
              <w:pStyle w:val="Tabletext0"/>
              <w:rPr>
                <w:b/>
                <w:i/>
                <w:sz w:val="22"/>
              </w:rPr>
            </w:pPr>
            <w:r w:rsidRPr="00883399">
              <w:rPr>
                <w:b/>
                <w:i/>
                <w:sz w:val="22"/>
              </w:rPr>
              <w:t>Open coastal waters (ocean and deep ocean)</w:t>
            </w:r>
          </w:p>
        </w:tc>
        <w:tc>
          <w:tcPr>
            <w:tcW w:w="5606" w:type="dxa"/>
            <w:tcBorders>
              <w:bottom w:val="single" w:sz="12" w:space="0" w:color="auto"/>
            </w:tcBorders>
            <w:shd w:val="clear" w:color="auto" w:fill="auto"/>
            <w:hideMark/>
          </w:tcPr>
          <w:p w14:paraId="424AD9C3" w14:textId="77777777" w:rsidR="00872C03" w:rsidRPr="00883399" w:rsidRDefault="00872C03" w:rsidP="0031057E">
            <w:pPr>
              <w:pStyle w:val="Tablea"/>
              <w:rPr>
                <w:sz w:val="22"/>
              </w:rPr>
            </w:pPr>
            <w:r w:rsidRPr="00883399">
              <w:rPr>
                <w:sz w:val="22"/>
              </w:rPr>
              <w:t xml:space="preserve">(a) for New South Wales—has the meaning given by the definition of </w:t>
            </w:r>
            <w:r w:rsidRPr="00883399">
              <w:rPr>
                <w:b/>
                <w:i/>
                <w:sz w:val="22"/>
              </w:rPr>
              <w:t>open coastal waters</w:t>
            </w:r>
            <w:r w:rsidRPr="00883399">
              <w:rPr>
                <w:sz w:val="22"/>
              </w:rPr>
              <w:t xml:space="preserve"> in Schedule 3 to the </w:t>
            </w:r>
            <w:r w:rsidRPr="00883399">
              <w:rPr>
                <w:i/>
                <w:sz w:val="22"/>
              </w:rPr>
              <w:t>Protection of the Environment Operations (General) Regulation 2009</w:t>
            </w:r>
            <w:r w:rsidRPr="00883399">
              <w:rPr>
                <w:sz w:val="22"/>
              </w:rPr>
              <w:t xml:space="preserve"> (NSW), as in force on 8 June 2012; and</w:t>
            </w:r>
          </w:p>
          <w:p w14:paraId="4C90F7A3" w14:textId="77777777" w:rsidR="00872C03" w:rsidRPr="00883399" w:rsidRDefault="00872C03" w:rsidP="0031057E">
            <w:pPr>
              <w:pStyle w:val="Tablea"/>
              <w:rPr>
                <w:sz w:val="22"/>
              </w:rPr>
            </w:pPr>
            <w:r w:rsidRPr="00883399">
              <w:rPr>
                <w:sz w:val="22"/>
              </w:rPr>
              <w:t>(b) otherwise—means all waters of the Pacific Ocean, Southern Ocean and Indian Ocean, except those waters enclosed by a straight line drawn between the low water marks of consecutive headlands</w:t>
            </w:r>
          </w:p>
        </w:tc>
      </w:tr>
    </w:tbl>
    <w:p w14:paraId="700E0533" w14:textId="77777777" w:rsidR="00872C03" w:rsidRPr="00883399" w:rsidRDefault="00872C03" w:rsidP="00872C03">
      <w:pPr>
        <w:pStyle w:val="notetext"/>
        <w:rPr>
          <w:sz w:val="20"/>
        </w:rPr>
      </w:pPr>
      <w:r w:rsidRPr="00883399">
        <w:rPr>
          <w:sz w:val="20"/>
        </w:rPr>
        <w:t>Note:</w:t>
      </w:r>
      <w:r w:rsidRPr="00883399">
        <w:rPr>
          <w:sz w:val="20"/>
        </w:rPr>
        <w:tab/>
        <w:t xml:space="preserve">Historical versions of the </w:t>
      </w:r>
      <w:r w:rsidRPr="00883399">
        <w:rPr>
          <w:i/>
          <w:sz w:val="20"/>
        </w:rPr>
        <w:t>Protection of the Environment Operations (General) Regulation 2009</w:t>
      </w:r>
      <w:r w:rsidRPr="00883399">
        <w:rPr>
          <w:sz w:val="20"/>
        </w:rPr>
        <w:t xml:space="preserve"> (NSW) are available at </w:t>
      </w:r>
      <w:r w:rsidRPr="00883399">
        <w:rPr>
          <w:sz w:val="20"/>
          <w:u w:val="single"/>
        </w:rPr>
        <w:t>www.legislation.nsw.gov.au</w:t>
      </w:r>
      <w:r w:rsidRPr="00883399">
        <w:rPr>
          <w:sz w:val="20"/>
        </w:rPr>
        <w:t>.</w:t>
      </w:r>
    </w:p>
    <w:p w14:paraId="64EA6D56" w14:textId="77777777" w:rsidR="00872C03" w:rsidRPr="00883399" w:rsidRDefault="00872C03" w:rsidP="00872C03">
      <w:pPr>
        <w:pStyle w:val="subsection"/>
        <w:rPr>
          <w:sz w:val="24"/>
        </w:rPr>
      </w:pPr>
      <w:r w:rsidRPr="00883399">
        <w:rPr>
          <w:sz w:val="24"/>
        </w:rPr>
        <w:tab/>
        <w:t>(6)</w:t>
      </w:r>
      <w:r w:rsidRPr="00883399">
        <w:rPr>
          <w:sz w:val="24"/>
        </w:rPr>
        <w:tab/>
        <w:t xml:space="preserve">For </w:t>
      </w:r>
      <w:r w:rsidRPr="00883399">
        <w:rPr>
          <w:b/>
          <w:i/>
          <w:sz w:val="24"/>
        </w:rPr>
        <w:t>EF</w:t>
      </w:r>
      <w:r w:rsidRPr="00883399">
        <w:rPr>
          <w:b/>
          <w:i/>
          <w:sz w:val="24"/>
          <w:vertAlign w:val="subscript"/>
        </w:rPr>
        <w:t>secij</w:t>
      </w:r>
      <w:r w:rsidRPr="00883399">
        <w:rPr>
          <w:i/>
          <w:sz w:val="24"/>
        </w:rPr>
        <w:t xml:space="preserve"> </w:t>
      </w:r>
      <w:r w:rsidRPr="00883399">
        <w:rPr>
          <w:sz w:val="24"/>
        </w:rPr>
        <w:t>in subsection (1), the emission factor is 4.9 tonnes of nitrous oxide, measured in CO</w:t>
      </w:r>
      <w:r w:rsidRPr="00883399">
        <w:rPr>
          <w:sz w:val="24"/>
          <w:vertAlign w:val="subscript"/>
        </w:rPr>
        <w:t>2</w:t>
      </w:r>
      <w:r w:rsidRPr="00883399">
        <w:rPr>
          <w:sz w:val="24"/>
        </w:rPr>
        <w:noBreakHyphen/>
        <w:t>e per tonne of nitrogen produced.</w:t>
      </w:r>
    </w:p>
    <w:p w14:paraId="1071672B" w14:textId="77777777" w:rsidR="00872C03" w:rsidRPr="00883399" w:rsidRDefault="00872C03" w:rsidP="00872C03">
      <w:pPr>
        <w:pStyle w:val="subsection"/>
        <w:rPr>
          <w:sz w:val="24"/>
        </w:rPr>
      </w:pPr>
      <w:r w:rsidRPr="00883399">
        <w:rPr>
          <w:sz w:val="24"/>
        </w:rPr>
        <w:tab/>
        <w:t>(7)</w:t>
      </w:r>
      <w:r w:rsidRPr="00883399">
        <w:rPr>
          <w:sz w:val="24"/>
        </w:rPr>
        <w:tab/>
        <w:t xml:space="preserve">For </w:t>
      </w:r>
      <w:r w:rsidRPr="00883399">
        <w:rPr>
          <w:b/>
          <w:i/>
          <w:sz w:val="24"/>
        </w:rPr>
        <w:t>EF</w:t>
      </w:r>
      <w:r w:rsidRPr="00883399">
        <w:rPr>
          <w:rStyle w:val="charSubscript"/>
          <w:b/>
          <w:i/>
          <w:sz w:val="24"/>
        </w:rPr>
        <w:t>disij</w:t>
      </w:r>
      <w:r w:rsidRPr="00883399">
        <w:rPr>
          <w:rStyle w:val="charSubscript"/>
          <w:sz w:val="24"/>
        </w:rPr>
        <w:t xml:space="preserve"> </w:t>
      </w:r>
      <w:r w:rsidRPr="00883399">
        <w:rPr>
          <w:sz w:val="24"/>
        </w:rPr>
        <w:t>in subsection (1), the emission factor mentioned in column 3 of an item of the following table must be used for the discharge environment mentioned in column 2 for the item.</w:t>
      </w:r>
    </w:p>
    <w:p w14:paraId="698F97D0" w14:textId="77777777" w:rsidR="00872C03" w:rsidRPr="00883399" w:rsidRDefault="00872C03" w:rsidP="00872C03">
      <w:pPr>
        <w:pStyle w:val="Tabletext0"/>
        <w:rPr>
          <w:sz w:val="22"/>
        </w:rPr>
      </w:pPr>
    </w:p>
    <w:tbl>
      <w:tblPr>
        <w:tblW w:w="6377" w:type="dxa"/>
        <w:tblInd w:w="110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700"/>
        <w:gridCol w:w="4402"/>
        <w:gridCol w:w="1275"/>
      </w:tblGrid>
      <w:tr w:rsidR="00872C03" w:rsidRPr="00883399" w14:paraId="23D9A91E" w14:textId="77777777" w:rsidTr="0031057E">
        <w:tc>
          <w:tcPr>
            <w:tcW w:w="700" w:type="dxa"/>
            <w:tcBorders>
              <w:top w:val="single" w:sz="12" w:space="0" w:color="auto"/>
              <w:bottom w:val="single" w:sz="12" w:space="0" w:color="auto"/>
            </w:tcBorders>
            <w:shd w:val="clear" w:color="auto" w:fill="auto"/>
            <w:hideMark/>
          </w:tcPr>
          <w:p w14:paraId="44BFF36F" w14:textId="77777777" w:rsidR="00872C03" w:rsidRPr="00883399" w:rsidRDefault="00872C03" w:rsidP="0031057E">
            <w:pPr>
              <w:pStyle w:val="TableHeading"/>
              <w:rPr>
                <w:sz w:val="22"/>
              </w:rPr>
            </w:pPr>
            <w:r w:rsidRPr="00883399">
              <w:rPr>
                <w:sz w:val="22"/>
              </w:rPr>
              <w:t>Item</w:t>
            </w:r>
          </w:p>
        </w:tc>
        <w:tc>
          <w:tcPr>
            <w:tcW w:w="4402" w:type="dxa"/>
            <w:tcBorders>
              <w:top w:val="single" w:sz="12" w:space="0" w:color="auto"/>
              <w:bottom w:val="single" w:sz="12" w:space="0" w:color="auto"/>
            </w:tcBorders>
            <w:shd w:val="clear" w:color="auto" w:fill="auto"/>
            <w:hideMark/>
          </w:tcPr>
          <w:p w14:paraId="12EAC03E" w14:textId="77777777" w:rsidR="00872C03" w:rsidRPr="00883399" w:rsidRDefault="00872C03" w:rsidP="0031057E">
            <w:pPr>
              <w:pStyle w:val="TableHeading"/>
              <w:rPr>
                <w:sz w:val="22"/>
              </w:rPr>
            </w:pPr>
            <w:r w:rsidRPr="00883399">
              <w:rPr>
                <w:sz w:val="22"/>
              </w:rPr>
              <w:t>Discharge environment</w:t>
            </w:r>
          </w:p>
        </w:tc>
        <w:tc>
          <w:tcPr>
            <w:tcW w:w="1275" w:type="dxa"/>
            <w:tcBorders>
              <w:top w:val="single" w:sz="12" w:space="0" w:color="auto"/>
              <w:bottom w:val="single" w:sz="12" w:space="0" w:color="auto"/>
            </w:tcBorders>
            <w:shd w:val="clear" w:color="auto" w:fill="auto"/>
            <w:hideMark/>
          </w:tcPr>
          <w:p w14:paraId="52DDD8F9" w14:textId="77777777" w:rsidR="00872C03" w:rsidRPr="00883399" w:rsidRDefault="00872C03" w:rsidP="0031057E">
            <w:pPr>
              <w:pStyle w:val="TableHeading"/>
              <w:rPr>
                <w:i/>
                <w:sz w:val="22"/>
              </w:rPr>
            </w:pPr>
            <w:r w:rsidRPr="00883399">
              <w:rPr>
                <w:i/>
                <w:sz w:val="22"/>
              </w:rPr>
              <w:t>EF</w:t>
            </w:r>
            <w:r w:rsidRPr="00883399">
              <w:rPr>
                <w:i/>
                <w:sz w:val="22"/>
                <w:vertAlign w:val="subscript"/>
              </w:rPr>
              <w:t>disij</w:t>
            </w:r>
          </w:p>
        </w:tc>
      </w:tr>
      <w:tr w:rsidR="00872C03" w:rsidRPr="00883399" w14:paraId="5FFAF166" w14:textId="77777777" w:rsidTr="0031057E">
        <w:tc>
          <w:tcPr>
            <w:tcW w:w="700" w:type="dxa"/>
            <w:tcBorders>
              <w:top w:val="single" w:sz="12" w:space="0" w:color="auto"/>
            </w:tcBorders>
            <w:shd w:val="clear" w:color="auto" w:fill="auto"/>
            <w:hideMark/>
          </w:tcPr>
          <w:p w14:paraId="7039A383" w14:textId="77777777" w:rsidR="00872C03" w:rsidRPr="00883399" w:rsidRDefault="00872C03" w:rsidP="0031057E">
            <w:pPr>
              <w:pStyle w:val="Tabletext0"/>
              <w:rPr>
                <w:sz w:val="22"/>
              </w:rPr>
            </w:pPr>
            <w:r w:rsidRPr="00883399">
              <w:rPr>
                <w:sz w:val="22"/>
              </w:rPr>
              <w:t>1</w:t>
            </w:r>
          </w:p>
        </w:tc>
        <w:tc>
          <w:tcPr>
            <w:tcW w:w="4402" w:type="dxa"/>
            <w:tcBorders>
              <w:top w:val="single" w:sz="12" w:space="0" w:color="auto"/>
            </w:tcBorders>
            <w:shd w:val="clear" w:color="auto" w:fill="auto"/>
            <w:hideMark/>
          </w:tcPr>
          <w:p w14:paraId="6E42BA98" w14:textId="77777777" w:rsidR="00872C03" w:rsidRPr="00883399" w:rsidRDefault="00872C03" w:rsidP="0031057E">
            <w:pPr>
              <w:pStyle w:val="Tabletext0"/>
              <w:rPr>
                <w:sz w:val="22"/>
              </w:rPr>
            </w:pPr>
            <w:r w:rsidRPr="00883399">
              <w:rPr>
                <w:sz w:val="22"/>
              </w:rPr>
              <w:t>Enclosed waters</w:t>
            </w:r>
          </w:p>
        </w:tc>
        <w:tc>
          <w:tcPr>
            <w:tcW w:w="1275" w:type="dxa"/>
            <w:tcBorders>
              <w:top w:val="single" w:sz="12" w:space="0" w:color="auto"/>
            </w:tcBorders>
            <w:shd w:val="clear" w:color="auto" w:fill="auto"/>
            <w:hideMark/>
          </w:tcPr>
          <w:p w14:paraId="10FD498A" w14:textId="77777777" w:rsidR="00872C03" w:rsidRPr="00883399" w:rsidRDefault="00872C03" w:rsidP="0031057E">
            <w:pPr>
              <w:pStyle w:val="Tabletext0"/>
              <w:rPr>
                <w:sz w:val="22"/>
              </w:rPr>
            </w:pPr>
            <w:r w:rsidRPr="00883399">
              <w:rPr>
                <w:sz w:val="22"/>
              </w:rPr>
              <w:t>4.7</w:t>
            </w:r>
          </w:p>
        </w:tc>
      </w:tr>
      <w:tr w:rsidR="00872C03" w:rsidRPr="00883399" w14:paraId="6AEC7D31" w14:textId="77777777" w:rsidTr="0031057E">
        <w:tc>
          <w:tcPr>
            <w:tcW w:w="700" w:type="dxa"/>
            <w:tcBorders>
              <w:bottom w:val="single" w:sz="4" w:space="0" w:color="auto"/>
            </w:tcBorders>
            <w:shd w:val="clear" w:color="auto" w:fill="auto"/>
            <w:hideMark/>
          </w:tcPr>
          <w:p w14:paraId="390BADB9" w14:textId="77777777" w:rsidR="00872C03" w:rsidRPr="00883399" w:rsidRDefault="00872C03" w:rsidP="0031057E">
            <w:pPr>
              <w:pStyle w:val="Tabletext0"/>
              <w:rPr>
                <w:sz w:val="22"/>
              </w:rPr>
            </w:pPr>
            <w:r w:rsidRPr="00883399">
              <w:rPr>
                <w:sz w:val="22"/>
              </w:rPr>
              <w:t>2</w:t>
            </w:r>
          </w:p>
        </w:tc>
        <w:tc>
          <w:tcPr>
            <w:tcW w:w="4402" w:type="dxa"/>
            <w:tcBorders>
              <w:bottom w:val="single" w:sz="4" w:space="0" w:color="auto"/>
            </w:tcBorders>
            <w:shd w:val="clear" w:color="auto" w:fill="auto"/>
            <w:hideMark/>
          </w:tcPr>
          <w:p w14:paraId="1014599E" w14:textId="77777777" w:rsidR="00872C03" w:rsidRPr="00883399" w:rsidRDefault="00872C03" w:rsidP="0031057E">
            <w:pPr>
              <w:pStyle w:val="Tabletext0"/>
              <w:rPr>
                <w:sz w:val="22"/>
              </w:rPr>
            </w:pPr>
            <w:r w:rsidRPr="00883399">
              <w:rPr>
                <w:sz w:val="22"/>
              </w:rPr>
              <w:t>Estuarine waters</w:t>
            </w:r>
          </w:p>
        </w:tc>
        <w:tc>
          <w:tcPr>
            <w:tcW w:w="1275" w:type="dxa"/>
            <w:tcBorders>
              <w:bottom w:val="single" w:sz="4" w:space="0" w:color="auto"/>
            </w:tcBorders>
            <w:shd w:val="clear" w:color="auto" w:fill="auto"/>
            <w:hideMark/>
          </w:tcPr>
          <w:p w14:paraId="77BEB9D8" w14:textId="77777777" w:rsidR="00872C03" w:rsidRPr="00883399" w:rsidRDefault="00872C03" w:rsidP="0031057E">
            <w:pPr>
              <w:pStyle w:val="Tabletext0"/>
              <w:rPr>
                <w:sz w:val="22"/>
              </w:rPr>
            </w:pPr>
            <w:r w:rsidRPr="00883399">
              <w:rPr>
                <w:sz w:val="22"/>
              </w:rPr>
              <w:t>1.2</w:t>
            </w:r>
          </w:p>
        </w:tc>
      </w:tr>
      <w:tr w:rsidR="00872C03" w:rsidRPr="00883399" w14:paraId="33796984" w14:textId="77777777" w:rsidTr="0031057E">
        <w:tc>
          <w:tcPr>
            <w:tcW w:w="700" w:type="dxa"/>
            <w:tcBorders>
              <w:bottom w:val="single" w:sz="12" w:space="0" w:color="auto"/>
            </w:tcBorders>
            <w:shd w:val="clear" w:color="auto" w:fill="auto"/>
            <w:hideMark/>
          </w:tcPr>
          <w:p w14:paraId="0D8BA608" w14:textId="77777777" w:rsidR="00872C03" w:rsidRPr="00883399" w:rsidRDefault="00872C03" w:rsidP="0031057E">
            <w:pPr>
              <w:pStyle w:val="Tabletext0"/>
              <w:rPr>
                <w:sz w:val="22"/>
              </w:rPr>
            </w:pPr>
            <w:r w:rsidRPr="00883399">
              <w:rPr>
                <w:sz w:val="22"/>
              </w:rPr>
              <w:t>3</w:t>
            </w:r>
          </w:p>
        </w:tc>
        <w:tc>
          <w:tcPr>
            <w:tcW w:w="4402" w:type="dxa"/>
            <w:tcBorders>
              <w:bottom w:val="single" w:sz="12" w:space="0" w:color="auto"/>
            </w:tcBorders>
            <w:shd w:val="clear" w:color="auto" w:fill="auto"/>
            <w:hideMark/>
          </w:tcPr>
          <w:p w14:paraId="416D43AB" w14:textId="77777777" w:rsidR="00872C03" w:rsidRPr="00883399" w:rsidRDefault="00872C03" w:rsidP="0031057E">
            <w:pPr>
              <w:pStyle w:val="Tabletext0"/>
              <w:rPr>
                <w:sz w:val="22"/>
              </w:rPr>
            </w:pPr>
            <w:r w:rsidRPr="00883399">
              <w:rPr>
                <w:sz w:val="22"/>
              </w:rPr>
              <w:t>Open coastal waters (ocean and deep ocean)</w:t>
            </w:r>
          </w:p>
        </w:tc>
        <w:tc>
          <w:tcPr>
            <w:tcW w:w="1275" w:type="dxa"/>
            <w:tcBorders>
              <w:bottom w:val="single" w:sz="12" w:space="0" w:color="auto"/>
            </w:tcBorders>
            <w:shd w:val="clear" w:color="auto" w:fill="auto"/>
            <w:hideMark/>
          </w:tcPr>
          <w:p w14:paraId="17C9CAE5" w14:textId="77777777" w:rsidR="00872C03" w:rsidRPr="00883399" w:rsidRDefault="00872C03" w:rsidP="0031057E">
            <w:pPr>
              <w:pStyle w:val="Tabletext0"/>
              <w:rPr>
                <w:sz w:val="22"/>
              </w:rPr>
            </w:pPr>
            <w:r w:rsidRPr="00883399">
              <w:rPr>
                <w:sz w:val="22"/>
              </w:rPr>
              <w:t>0.0</w:t>
            </w:r>
          </w:p>
        </w:tc>
      </w:tr>
    </w:tbl>
    <w:p w14:paraId="53D1BAE1" w14:textId="75672EAD" w:rsidR="00872C03" w:rsidRPr="00883399" w:rsidRDefault="00872C03" w:rsidP="00872C03">
      <w:pPr>
        <w:pStyle w:val="ActHead3"/>
        <w:pageBreakBefore/>
        <w:rPr>
          <w:sz w:val="32"/>
        </w:rPr>
      </w:pPr>
      <w:bookmarkStart w:id="1248" w:name="_Toc423517203"/>
      <w:bookmarkStart w:id="1249" w:name="_Toc495653147"/>
      <w:r w:rsidRPr="00883399">
        <w:rPr>
          <w:rStyle w:val="CharDivNo"/>
          <w:sz w:val="32"/>
        </w:rPr>
        <w:lastRenderedPageBreak/>
        <w:t>Division 5.3.6</w:t>
      </w:r>
      <w:r w:rsidRPr="00883399">
        <w:rPr>
          <w:sz w:val="32"/>
        </w:rPr>
        <w:t>—</w:t>
      </w:r>
      <w:r w:rsidRPr="00883399">
        <w:rPr>
          <w:rStyle w:val="CharDivText"/>
          <w:sz w:val="32"/>
        </w:rPr>
        <w:t>Method 2—emissions of nitrous oxide released from wastewater handling (domestic and commercial)</w:t>
      </w:r>
      <w:bookmarkEnd w:id="1248"/>
      <w:bookmarkEnd w:id="1249"/>
    </w:p>
    <w:p w14:paraId="2FFB1FFB" w14:textId="77777777" w:rsidR="001745EA" w:rsidRPr="00883399" w:rsidRDefault="001745EA" w:rsidP="001745EA">
      <w:pPr>
        <w:pStyle w:val="Text"/>
        <w:rPr>
          <w:rStyle w:val="CharSectno"/>
          <w:rFonts w:ascii="Arial" w:hAnsi="Arial" w:cs="Arial"/>
          <w:sz w:val="22"/>
          <w:szCs w:val="22"/>
        </w:rPr>
      </w:pPr>
      <w:bookmarkStart w:id="1250" w:name="_Toc423517204"/>
      <w:r w:rsidRPr="00883399">
        <w:rPr>
          <w:rFonts w:ascii="Arial" w:hAnsi="Arial" w:cs="Arial"/>
          <w:sz w:val="22"/>
          <w:szCs w:val="22"/>
        </w:rPr>
        <w:t>Section 5.32 to 5.35 sets out Method 2 for the estimation of nitrous oxide emissions from wastewater handling.  Method 2 requires the sampling and analysis of nitrogen quantities in the wastewater and sludge in accordance with listed Australian or international standards or an equivalent standard.  It is likely that many facilities collect this data routinely for regulatory reasons.</w:t>
      </w:r>
    </w:p>
    <w:p w14:paraId="5006BCA5" w14:textId="2EF63F20" w:rsidR="00872C03" w:rsidRPr="00883399" w:rsidRDefault="00872C03" w:rsidP="00872C03">
      <w:pPr>
        <w:pStyle w:val="ActHead5"/>
        <w:rPr>
          <w:sz w:val="28"/>
        </w:rPr>
      </w:pPr>
      <w:bookmarkStart w:id="1251" w:name="_Toc495653148"/>
      <w:r w:rsidRPr="00883399">
        <w:rPr>
          <w:rStyle w:val="CharSectno"/>
          <w:sz w:val="28"/>
        </w:rPr>
        <w:t>5.32</w:t>
      </w:r>
      <w:r w:rsidRPr="00883399">
        <w:rPr>
          <w:sz w:val="28"/>
        </w:rPr>
        <w:t xml:space="preserve">  Method 2—nitrous oxide released from wastewater handling (domestic and commercial)</w:t>
      </w:r>
      <w:bookmarkEnd w:id="1250"/>
      <w:bookmarkEnd w:id="1251"/>
    </w:p>
    <w:p w14:paraId="2D7FE554" w14:textId="77777777" w:rsidR="00872C03" w:rsidRPr="00883399" w:rsidRDefault="00872C03" w:rsidP="00872C03">
      <w:pPr>
        <w:pStyle w:val="subsection"/>
        <w:rPr>
          <w:sz w:val="24"/>
        </w:rPr>
      </w:pPr>
      <w:r w:rsidRPr="00883399">
        <w:rPr>
          <w:sz w:val="24"/>
        </w:rPr>
        <w:tab/>
        <w:t>(1)</w:t>
      </w:r>
      <w:r w:rsidRPr="00883399">
        <w:rPr>
          <w:sz w:val="24"/>
        </w:rPr>
        <w:tab/>
        <w:t>For subparagraph 5.24(1)(b)(ii) and subject to this section, method 2 is the same as method 1 under section 5.31.</w:t>
      </w:r>
    </w:p>
    <w:p w14:paraId="1E8D83C3" w14:textId="77777777" w:rsidR="00872C03" w:rsidRPr="00883399" w:rsidRDefault="00872C03" w:rsidP="00872C03">
      <w:pPr>
        <w:pStyle w:val="subsection"/>
        <w:rPr>
          <w:sz w:val="24"/>
        </w:rPr>
      </w:pPr>
      <w:r w:rsidRPr="00883399">
        <w:rPr>
          <w:sz w:val="24"/>
        </w:rPr>
        <w:tab/>
        <w:t>(2)</w:t>
      </w:r>
      <w:r w:rsidRPr="00883399">
        <w:rPr>
          <w:sz w:val="24"/>
        </w:rPr>
        <w:tab/>
        <w:t>In applying method 1 under section 5.31, nitrogen must be calculated:</w:t>
      </w:r>
    </w:p>
    <w:p w14:paraId="360484D1" w14:textId="77777777" w:rsidR="00872C03" w:rsidRPr="00883399" w:rsidRDefault="00872C03" w:rsidP="00872C03">
      <w:pPr>
        <w:pStyle w:val="paragraph"/>
        <w:rPr>
          <w:sz w:val="24"/>
        </w:rPr>
      </w:pPr>
      <w:r w:rsidRPr="00883399">
        <w:rPr>
          <w:sz w:val="24"/>
        </w:rPr>
        <w:tab/>
        <w:t>(a)</w:t>
      </w:r>
      <w:r w:rsidRPr="00883399">
        <w:rPr>
          <w:sz w:val="24"/>
        </w:rPr>
        <w:tab/>
        <w:t>by using facility operating data that measures the volumetric influent and effluent rates and the influent and effluent rates of nitrogen concentrations; or</w:t>
      </w:r>
    </w:p>
    <w:p w14:paraId="66680982" w14:textId="77777777" w:rsidR="00872C03" w:rsidRPr="00883399" w:rsidRDefault="00872C03" w:rsidP="00872C03">
      <w:pPr>
        <w:pStyle w:val="paragraph"/>
        <w:rPr>
          <w:sz w:val="24"/>
        </w:rPr>
      </w:pPr>
      <w:r w:rsidRPr="00883399">
        <w:rPr>
          <w:sz w:val="24"/>
        </w:rPr>
        <w:tab/>
        <w:t>(b)</w:t>
      </w:r>
      <w:r w:rsidRPr="00883399">
        <w:rPr>
          <w:sz w:val="24"/>
        </w:rPr>
        <w:tab/>
        <w:t>for primary wastewater treatment plants, using the following formula:</w:t>
      </w:r>
    </w:p>
    <w:p w14:paraId="4041BA49" w14:textId="77777777" w:rsidR="00872C03" w:rsidRPr="00883399" w:rsidRDefault="00872C03" w:rsidP="00872C03">
      <w:pPr>
        <w:pStyle w:val="paragraph"/>
        <w:spacing w:before="120" w:after="120"/>
        <w:rPr>
          <w:sz w:val="24"/>
        </w:rPr>
      </w:pPr>
      <w:r w:rsidRPr="00883399">
        <w:rPr>
          <w:sz w:val="24"/>
        </w:rPr>
        <w:tab/>
      </w:r>
      <w:r w:rsidRPr="00883399">
        <w:rPr>
          <w:sz w:val="24"/>
        </w:rPr>
        <w:tab/>
        <w:t>N</w:t>
      </w:r>
      <w:r w:rsidRPr="00883399">
        <w:rPr>
          <w:sz w:val="24"/>
          <w:vertAlign w:val="subscript"/>
        </w:rPr>
        <w:t>in</w:t>
      </w:r>
      <w:r w:rsidRPr="00883399">
        <w:rPr>
          <w:sz w:val="24"/>
        </w:rPr>
        <w:t xml:space="preserve"> = N</w:t>
      </w:r>
      <w:r w:rsidRPr="00883399">
        <w:rPr>
          <w:sz w:val="24"/>
          <w:vertAlign w:val="subscript"/>
        </w:rPr>
        <w:t xml:space="preserve">trl </w:t>
      </w:r>
      <w:r w:rsidRPr="00883399">
        <w:rPr>
          <w:sz w:val="24"/>
        </w:rPr>
        <w:t>+ N</w:t>
      </w:r>
      <w:r w:rsidRPr="00883399">
        <w:rPr>
          <w:sz w:val="24"/>
          <w:vertAlign w:val="subscript"/>
        </w:rPr>
        <w:t xml:space="preserve">tro </w:t>
      </w:r>
      <w:r w:rsidRPr="00883399">
        <w:rPr>
          <w:sz w:val="24"/>
        </w:rPr>
        <w:t>+ N</w:t>
      </w:r>
      <w:r w:rsidRPr="00883399">
        <w:rPr>
          <w:sz w:val="24"/>
          <w:vertAlign w:val="subscript"/>
        </w:rPr>
        <w:t>outdisij</w:t>
      </w:r>
    </w:p>
    <w:p w14:paraId="3494583D" w14:textId="77777777" w:rsidR="00872C03" w:rsidRPr="00883399" w:rsidRDefault="00872C03" w:rsidP="00872C03">
      <w:pPr>
        <w:pStyle w:val="subsection2"/>
        <w:rPr>
          <w:sz w:val="24"/>
        </w:rPr>
      </w:pPr>
      <w:r w:rsidRPr="00883399">
        <w:rPr>
          <w:sz w:val="24"/>
        </w:rPr>
        <w:t>where:</w:t>
      </w:r>
    </w:p>
    <w:p w14:paraId="3A09EE35" w14:textId="77777777" w:rsidR="00872C03" w:rsidRPr="00883399" w:rsidRDefault="00872C03" w:rsidP="00872C03">
      <w:pPr>
        <w:pStyle w:val="Definition0"/>
        <w:rPr>
          <w:sz w:val="24"/>
        </w:rPr>
      </w:pPr>
      <w:r w:rsidRPr="00883399">
        <w:rPr>
          <w:b/>
          <w:i/>
          <w:sz w:val="24"/>
        </w:rPr>
        <w:t>N</w:t>
      </w:r>
      <w:r w:rsidRPr="00883399">
        <w:rPr>
          <w:b/>
          <w:i/>
          <w:sz w:val="24"/>
          <w:vertAlign w:val="subscript"/>
        </w:rPr>
        <w:t>in</w:t>
      </w:r>
      <w:r w:rsidRPr="00883399">
        <w:rPr>
          <w:b/>
          <w:i/>
          <w:sz w:val="24"/>
        </w:rPr>
        <w:t xml:space="preserve"> </w:t>
      </w:r>
      <w:r w:rsidRPr="00883399">
        <w:rPr>
          <w:sz w:val="24"/>
        </w:rPr>
        <w:t>is the quantity of nitrogen entering the plant during the year, measured in tonnes of nitrogen.</w:t>
      </w:r>
    </w:p>
    <w:p w14:paraId="2A043D20" w14:textId="77777777" w:rsidR="00872C03" w:rsidRPr="00883399" w:rsidRDefault="00872C03" w:rsidP="00872C03">
      <w:pPr>
        <w:pStyle w:val="Definition0"/>
        <w:rPr>
          <w:sz w:val="24"/>
        </w:rPr>
      </w:pPr>
      <w:r w:rsidRPr="00883399">
        <w:rPr>
          <w:b/>
          <w:i/>
          <w:sz w:val="24"/>
        </w:rPr>
        <w:t>N</w:t>
      </w:r>
      <w:r w:rsidRPr="00883399">
        <w:rPr>
          <w:b/>
          <w:i/>
          <w:sz w:val="24"/>
          <w:vertAlign w:val="subscript"/>
        </w:rPr>
        <w:t>trl</w:t>
      </w:r>
      <w:r w:rsidRPr="00883399">
        <w:rPr>
          <w:b/>
          <w:i/>
          <w:sz w:val="24"/>
        </w:rPr>
        <w:t xml:space="preserve"> </w:t>
      </w:r>
      <w:r w:rsidRPr="00883399">
        <w:rPr>
          <w:sz w:val="24"/>
        </w:rPr>
        <w:t>is the quantity of nitrogen in sludge transferred out of the plant and removed to landfill during the year, measured in tonnes of nitrogen and worked out using the following formula:</w:t>
      </w:r>
    </w:p>
    <w:p w14:paraId="7FA9AE3E" w14:textId="67C6673A" w:rsidR="00872C03" w:rsidRPr="00883399" w:rsidRDefault="00872C03" w:rsidP="00872C03">
      <w:pPr>
        <w:pStyle w:val="Definition0"/>
        <w:spacing w:before="120" w:after="120"/>
        <w:rPr>
          <w:sz w:val="24"/>
        </w:rPr>
      </w:pPr>
      <w:r w:rsidRPr="00883399">
        <w:rPr>
          <w:noProof/>
          <w:sz w:val="24"/>
        </w:rPr>
        <w:drawing>
          <wp:inline distT="0" distB="0" distL="0" distR="0" wp14:anchorId="280A3965" wp14:editId="2B48A492">
            <wp:extent cx="1116330" cy="225425"/>
            <wp:effectExtent l="19050" t="0" r="762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34"/>
                    <a:srcRect/>
                    <a:stretch>
                      <a:fillRect/>
                    </a:stretch>
                  </pic:blipFill>
                  <pic:spPr bwMode="auto">
                    <a:xfrm>
                      <a:off x="0" y="0"/>
                      <a:ext cx="1116330" cy="225425"/>
                    </a:xfrm>
                    <a:prstGeom prst="rect">
                      <a:avLst/>
                    </a:prstGeom>
                    <a:noFill/>
                    <a:ln w="9525">
                      <a:noFill/>
                      <a:miter lim="800000"/>
                      <a:headEnd/>
                      <a:tailEnd/>
                    </a:ln>
                  </pic:spPr>
                </pic:pic>
              </a:graphicData>
            </a:graphic>
          </wp:inline>
        </w:drawing>
      </w:r>
    </w:p>
    <w:p w14:paraId="2B8E7484" w14:textId="77777777" w:rsidR="00872C03" w:rsidRPr="00883399" w:rsidRDefault="00872C03" w:rsidP="00872C03">
      <w:pPr>
        <w:pStyle w:val="Definition0"/>
        <w:rPr>
          <w:sz w:val="24"/>
        </w:rPr>
      </w:pPr>
      <w:r w:rsidRPr="00883399">
        <w:rPr>
          <w:b/>
          <w:i/>
          <w:sz w:val="24"/>
        </w:rPr>
        <w:t>N</w:t>
      </w:r>
      <w:r w:rsidRPr="00883399">
        <w:rPr>
          <w:b/>
          <w:i/>
          <w:sz w:val="24"/>
          <w:vertAlign w:val="subscript"/>
        </w:rPr>
        <w:t>tro</w:t>
      </w:r>
      <w:r w:rsidRPr="00883399">
        <w:rPr>
          <w:b/>
          <w:i/>
          <w:sz w:val="24"/>
        </w:rPr>
        <w:t xml:space="preserve"> </w:t>
      </w:r>
      <w:r w:rsidRPr="00883399">
        <w:rPr>
          <w:sz w:val="24"/>
        </w:rPr>
        <w:t>is the quantity of nitrogen in sludge transferred out of the plant and removed to a site other than landfill during the year, measured in tonnes of nitrogen and worked out as follows:</w:t>
      </w:r>
    </w:p>
    <w:p w14:paraId="1318A653" w14:textId="082DC697" w:rsidR="00872C03" w:rsidRPr="00883399" w:rsidRDefault="00872C03" w:rsidP="00872C03">
      <w:pPr>
        <w:pStyle w:val="Definition0"/>
        <w:spacing w:before="120" w:after="120"/>
        <w:rPr>
          <w:sz w:val="24"/>
        </w:rPr>
      </w:pPr>
      <w:r w:rsidRPr="00883399">
        <w:rPr>
          <w:noProof/>
          <w:sz w:val="24"/>
        </w:rPr>
        <w:drawing>
          <wp:inline distT="0" distB="0" distL="0" distR="0" wp14:anchorId="1CDE3674" wp14:editId="13DBC993">
            <wp:extent cx="1247140" cy="225425"/>
            <wp:effectExtent l="1905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35"/>
                    <a:srcRect/>
                    <a:stretch>
                      <a:fillRect/>
                    </a:stretch>
                  </pic:blipFill>
                  <pic:spPr bwMode="auto">
                    <a:xfrm>
                      <a:off x="0" y="0"/>
                      <a:ext cx="1247140" cy="225425"/>
                    </a:xfrm>
                    <a:prstGeom prst="rect">
                      <a:avLst/>
                    </a:prstGeom>
                    <a:noFill/>
                    <a:ln w="9525">
                      <a:noFill/>
                      <a:miter lim="800000"/>
                      <a:headEnd/>
                      <a:tailEnd/>
                    </a:ln>
                  </pic:spPr>
                </pic:pic>
              </a:graphicData>
            </a:graphic>
          </wp:inline>
        </w:drawing>
      </w:r>
    </w:p>
    <w:p w14:paraId="33B184BC" w14:textId="77777777" w:rsidR="00872C03" w:rsidRPr="00883399" w:rsidRDefault="00872C03" w:rsidP="00872C03">
      <w:pPr>
        <w:pStyle w:val="Definition0"/>
        <w:rPr>
          <w:sz w:val="24"/>
        </w:rPr>
      </w:pPr>
      <w:r w:rsidRPr="00883399">
        <w:rPr>
          <w:b/>
          <w:i/>
          <w:sz w:val="24"/>
        </w:rPr>
        <w:t>N</w:t>
      </w:r>
      <w:r w:rsidRPr="00883399">
        <w:rPr>
          <w:b/>
          <w:i/>
          <w:sz w:val="24"/>
          <w:vertAlign w:val="subscript"/>
        </w:rPr>
        <w:t>outdisij</w:t>
      </w:r>
      <w:r w:rsidRPr="00883399">
        <w:rPr>
          <w:b/>
          <w:i/>
          <w:sz w:val="24"/>
        </w:rPr>
        <w:t xml:space="preserve"> </w:t>
      </w:r>
      <w:r w:rsidRPr="00883399">
        <w:rPr>
          <w:sz w:val="24"/>
        </w:rPr>
        <w:t>is the quantity of nitrogen leaving the plant, differentiated by discharge environment.</w:t>
      </w:r>
    </w:p>
    <w:p w14:paraId="3C3DFE2F" w14:textId="77777777" w:rsidR="00872C03" w:rsidRPr="00883399" w:rsidRDefault="00872C03" w:rsidP="00872C03">
      <w:pPr>
        <w:pStyle w:val="subsection"/>
        <w:rPr>
          <w:sz w:val="24"/>
        </w:rPr>
      </w:pPr>
      <w:r w:rsidRPr="00883399">
        <w:rPr>
          <w:sz w:val="24"/>
        </w:rPr>
        <w:lastRenderedPageBreak/>
        <w:tab/>
        <w:t>(3)</w:t>
      </w:r>
      <w:r w:rsidRPr="00883399">
        <w:rPr>
          <w:sz w:val="24"/>
        </w:rPr>
        <w:tab/>
        <w:t>Wastewater used for the purposes of subsection (2), must be sampled and analysed for nitrogen in accordance with the requirements in sections 5.33, 5.34 and 5.35.</w:t>
      </w:r>
    </w:p>
    <w:p w14:paraId="314D1B68" w14:textId="619F7AF1" w:rsidR="00872C03" w:rsidRPr="00883399" w:rsidRDefault="00872C03" w:rsidP="00872C03">
      <w:pPr>
        <w:pStyle w:val="ActHead5"/>
        <w:rPr>
          <w:sz w:val="28"/>
        </w:rPr>
      </w:pPr>
      <w:bookmarkStart w:id="1252" w:name="_Toc423517205"/>
      <w:bookmarkStart w:id="1253" w:name="_Toc495653149"/>
      <w:r w:rsidRPr="00883399">
        <w:rPr>
          <w:rStyle w:val="CharSectno"/>
          <w:sz w:val="28"/>
        </w:rPr>
        <w:t>5.33</w:t>
      </w:r>
      <w:r w:rsidRPr="00883399">
        <w:rPr>
          <w:sz w:val="28"/>
        </w:rPr>
        <w:t xml:space="preserve">  General requirements for sampling under method 2</w:t>
      </w:r>
      <w:bookmarkEnd w:id="1252"/>
      <w:bookmarkEnd w:id="1253"/>
    </w:p>
    <w:p w14:paraId="76211F72" w14:textId="77777777" w:rsidR="00872C03" w:rsidRPr="00883399" w:rsidRDefault="00872C03" w:rsidP="00872C03">
      <w:pPr>
        <w:pStyle w:val="subsection"/>
        <w:rPr>
          <w:sz w:val="24"/>
        </w:rPr>
      </w:pPr>
      <w:r w:rsidRPr="00883399">
        <w:rPr>
          <w:sz w:val="24"/>
        </w:rPr>
        <w:tab/>
        <w:t>(1)</w:t>
      </w:r>
      <w:r w:rsidRPr="00883399">
        <w:rPr>
          <w:sz w:val="24"/>
        </w:rPr>
        <w:tab/>
        <w:t>A sample must be representative of the wastewater and the nitrogen concentrations at the plant.</w:t>
      </w:r>
    </w:p>
    <w:p w14:paraId="6FC0613B" w14:textId="77777777" w:rsidR="00872C03" w:rsidRPr="00883399" w:rsidRDefault="00872C03" w:rsidP="00872C03">
      <w:pPr>
        <w:pStyle w:val="subsection"/>
        <w:rPr>
          <w:sz w:val="24"/>
        </w:rPr>
      </w:pPr>
      <w:r w:rsidRPr="00883399">
        <w:rPr>
          <w:sz w:val="24"/>
        </w:rPr>
        <w:tab/>
        <w:t>(2)</w:t>
      </w:r>
      <w:r w:rsidRPr="00883399">
        <w:rPr>
          <w:sz w:val="24"/>
        </w:rPr>
        <w:tab/>
        <w:t>The samples must be collected on enough occasions to produce a representative sample.</w:t>
      </w:r>
    </w:p>
    <w:p w14:paraId="425F0859" w14:textId="77777777" w:rsidR="00872C03" w:rsidRPr="00883399" w:rsidRDefault="00872C03" w:rsidP="00872C03">
      <w:pPr>
        <w:pStyle w:val="subsection"/>
        <w:rPr>
          <w:sz w:val="24"/>
        </w:rPr>
      </w:pPr>
      <w:r w:rsidRPr="00883399">
        <w:rPr>
          <w:sz w:val="24"/>
        </w:rPr>
        <w:tab/>
        <w:t>(3)</w:t>
      </w:r>
      <w:r w:rsidRPr="00883399">
        <w:rPr>
          <w:sz w:val="24"/>
        </w:rPr>
        <w:tab/>
        <w:t>The samples must also be free of bias so that any estimates are neither over nor under estimates of the true value.</w:t>
      </w:r>
    </w:p>
    <w:p w14:paraId="52D0182C" w14:textId="77777777" w:rsidR="00872C03" w:rsidRPr="00883399" w:rsidRDefault="00872C03" w:rsidP="00872C03">
      <w:pPr>
        <w:pStyle w:val="subsection"/>
        <w:rPr>
          <w:sz w:val="24"/>
        </w:rPr>
      </w:pPr>
      <w:r w:rsidRPr="00883399">
        <w:rPr>
          <w:sz w:val="24"/>
        </w:rPr>
        <w:tab/>
        <w:t>(4)</w:t>
      </w:r>
      <w:r w:rsidRPr="00883399">
        <w:rPr>
          <w:sz w:val="24"/>
        </w:rPr>
        <w:tab/>
        <w:t>Bias must be tested in accordance with an appropriate standard (if any).</w:t>
      </w:r>
    </w:p>
    <w:p w14:paraId="143C21A9" w14:textId="77777777" w:rsidR="00872C03" w:rsidRPr="00883399" w:rsidRDefault="00872C03" w:rsidP="00872C03">
      <w:pPr>
        <w:pStyle w:val="subsection"/>
        <w:rPr>
          <w:sz w:val="24"/>
        </w:rPr>
      </w:pPr>
      <w:r w:rsidRPr="00883399">
        <w:rPr>
          <w:sz w:val="24"/>
        </w:rPr>
        <w:tab/>
        <w:t>(5)</w:t>
      </w:r>
      <w:r w:rsidRPr="00883399">
        <w:rPr>
          <w:sz w:val="24"/>
        </w:rPr>
        <w:tab/>
        <w:t>The value obtained from the sample must only be used for the plant for which it was intended to be representative.</w:t>
      </w:r>
    </w:p>
    <w:p w14:paraId="61E4036B" w14:textId="4609CF7D" w:rsidR="00872C03" w:rsidRPr="00883399" w:rsidRDefault="00872C03" w:rsidP="00872C03">
      <w:pPr>
        <w:pStyle w:val="ActHead5"/>
        <w:rPr>
          <w:sz w:val="28"/>
        </w:rPr>
      </w:pPr>
      <w:bookmarkStart w:id="1254" w:name="_Toc423517206"/>
      <w:bookmarkStart w:id="1255" w:name="_Toc495653150"/>
      <w:r w:rsidRPr="00883399">
        <w:rPr>
          <w:rStyle w:val="CharSectno"/>
          <w:sz w:val="28"/>
        </w:rPr>
        <w:t>5.34</w:t>
      </w:r>
      <w:r w:rsidRPr="00883399">
        <w:rPr>
          <w:sz w:val="28"/>
        </w:rPr>
        <w:t xml:space="preserve">  Standards for analysis</w:t>
      </w:r>
      <w:bookmarkEnd w:id="1254"/>
      <w:bookmarkEnd w:id="1255"/>
    </w:p>
    <w:p w14:paraId="03641477" w14:textId="77777777" w:rsidR="00872C03" w:rsidRPr="00883399" w:rsidRDefault="00872C03" w:rsidP="00872C03">
      <w:pPr>
        <w:pStyle w:val="subsection"/>
        <w:rPr>
          <w:sz w:val="24"/>
        </w:rPr>
      </w:pPr>
      <w:r w:rsidRPr="00883399">
        <w:rPr>
          <w:sz w:val="24"/>
        </w:rPr>
        <w:tab/>
        <w:t>(1)</w:t>
      </w:r>
      <w:r w:rsidRPr="00883399">
        <w:rPr>
          <w:sz w:val="24"/>
        </w:rPr>
        <w:tab/>
        <w:t>Samples of wastewater must be analysed for nitrogen in accordance with:</w:t>
      </w:r>
    </w:p>
    <w:p w14:paraId="3171BE9F" w14:textId="77777777" w:rsidR="00872C03" w:rsidRPr="00883399" w:rsidRDefault="00872C03" w:rsidP="00872C03">
      <w:pPr>
        <w:pStyle w:val="paragraph"/>
        <w:rPr>
          <w:sz w:val="24"/>
        </w:rPr>
      </w:pPr>
      <w:r w:rsidRPr="00883399">
        <w:rPr>
          <w:sz w:val="24"/>
        </w:rPr>
        <w:tab/>
        <w:t>(a)</w:t>
      </w:r>
      <w:r w:rsidRPr="00883399">
        <w:rPr>
          <w:sz w:val="24"/>
        </w:rPr>
        <w:tab/>
        <w:t>ISO 11905</w:t>
      </w:r>
      <w:r w:rsidRPr="00883399">
        <w:rPr>
          <w:sz w:val="24"/>
        </w:rPr>
        <w:noBreakHyphen/>
        <w:t>1:1997; or</w:t>
      </w:r>
    </w:p>
    <w:p w14:paraId="73AAA5BC" w14:textId="77777777" w:rsidR="00872C03" w:rsidRPr="00883399" w:rsidRDefault="00872C03" w:rsidP="00872C03">
      <w:pPr>
        <w:pStyle w:val="paragraph"/>
        <w:rPr>
          <w:sz w:val="24"/>
        </w:rPr>
      </w:pPr>
      <w:r w:rsidRPr="00883399">
        <w:rPr>
          <w:sz w:val="24"/>
        </w:rPr>
        <w:tab/>
        <w:t>(b)</w:t>
      </w:r>
      <w:r w:rsidRPr="00883399">
        <w:rPr>
          <w:sz w:val="24"/>
        </w:rPr>
        <w:tab/>
        <w:t>sections 4500</w:t>
      </w:r>
      <w:r w:rsidRPr="00883399">
        <w:rPr>
          <w:sz w:val="24"/>
        </w:rPr>
        <w:noBreakHyphen/>
        <w:t>N</w:t>
      </w:r>
      <w:r w:rsidRPr="00883399">
        <w:rPr>
          <w:sz w:val="24"/>
          <w:vertAlign w:val="subscript"/>
        </w:rPr>
        <w:t>org</w:t>
      </w:r>
      <w:r w:rsidRPr="00883399">
        <w:rPr>
          <w:sz w:val="24"/>
        </w:rPr>
        <w:t xml:space="preserve"> B, 4500</w:t>
      </w:r>
      <w:r w:rsidRPr="00883399">
        <w:rPr>
          <w:sz w:val="24"/>
        </w:rPr>
        <w:noBreakHyphen/>
        <w:t>N</w:t>
      </w:r>
      <w:r w:rsidRPr="00883399">
        <w:rPr>
          <w:sz w:val="24"/>
          <w:vertAlign w:val="subscript"/>
        </w:rPr>
        <w:t>org</w:t>
      </w:r>
      <w:r w:rsidRPr="00883399">
        <w:rPr>
          <w:sz w:val="24"/>
        </w:rPr>
        <w:t xml:space="preserve"> C or 4500</w:t>
      </w:r>
      <w:r w:rsidRPr="00883399">
        <w:rPr>
          <w:sz w:val="24"/>
        </w:rPr>
        <w:noBreakHyphen/>
        <w:t>N</w:t>
      </w:r>
      <w:r w:rsidRPr="00883399">
        <w:rPr>
          <w:sz w:val="24"/>
          <w:vertAlign w:val="subscript"/>
        </w:rPr>
        <w:t>org</w:t>
      </w:r>
      <w:r w:rsidRPr="00883399">
        <w:rPr>
          <w:sz w:val="24"/>
        </w:rPr>
        <w:t xml:space="preserve"> D of APHA (1995); or</w:t>
      </w:r>
    </w:p>
    <w:p w14:paraId="74A5248A" w14:textId="77777777" w:rsidR="00872C03" w:rsidRPr="00883399" w:rsidRDefault="00872C03" w:rsidP="00872C03">
      <w:pPr>
        <w:pStyle w:val="paragraph"/>
        <w:rPr>
          <w:sz w:val="24"/>
        </w:rPr>
      </w:pPr>
      <w:r w:rsidRPr="00883399">
        <w:rPr>
          <w:sz w:val="24"/>
        </w:rPr>
        <w:tab/>
        <w:t>(c)</w:t>
      </w:r>
      <w:r w:rsidRPr="00883399">
        <w:rPr>
          <w:sz w:val="24"/>
        </w:rPr>
        <w:tab/>
        <w:t>an equivalent Australian or international standard.</w:t>
      </w:r>
    </w:p>
    <w:p w14:paraId="7E77BD16" w14:textId="77777777" w:rsidR="00872C03" w:rsidRPr="00883399" w:rsidRDefault="00872C03" w:rsidP="00872C03">
      <w:pPr>
        <w:pStyle w:val="subsection"/>
        <w:rPr>
          <w:sz w:val="24"/>
        </w:rPr>
      </w:pPr>
      <w:r w:rsidRPr="00883399">
        <w:rPr>
          <w:sz w:val="24"/>
        </w:rPr>
        <w:tab/>
        <w:t>(2)</w:t>
      </w:r>
      <w:r w:rsidRPr="00883399">
        <w:rPr>
          <w:sz w:val="24"/>
        </w:rPr>
        <w:tab/>
        <w:t>Samples of sludge must be analysed for nitrogen in accordance with:</w:t>
      </w:r>
    </w:p>
    <w:p w14:paraId="529DF80A" w14:textId="77777777" w:rsidR="00872C03" w:rsidRPr="00883399" w:rsidRDefault="00872C03" w:rsidP="00872C03">
      <w:pPr>
        <w:pStyle w:val="paragraph"/>
        <w:rPr>
          <w:sz w:val="24"/>
        </w:rPr>
      </w:pPr>
      <w:r w:rsidRPr="00883399">
        <w:rPr>
          <w:sz w:val="24"/>
        </w:rPr>
        <w:tab/>
        <w:t>(a)</w:t>
      </w:r>
      <w:r w:rsidRPr="00883399">
        <w:rPr>
          <w:sz w:val="24"/>
        </w:rPr>
        <w:tab/>
        <w:t>EN 13342:2000; or</w:t>
      </w:r>
    </w:p>
    <w:p w14:paraId="11418C00" w14:textId="77777777" w:rsidR="00872C03" w:rsidRPr="00883399" w:rsidRDefault="00872C03" w:rsidP="00872C03">
      <w:pPr>
        <w:pStyle w:val="paragraph"/>
        <w:rPr>
          <w:sz w:val="24"/>
        </w:rPr>
      </w:pPr>
      <w:r w:rsidRPr="00883399">
        <w:rPr>
          <w:sz w:val="24"/>
        </w:rPr>
        <w:tab/>
        <w:t>(b)</w:t>
      </w:r>
      <w:r w:rsidRPr="00883399">
        <w:rPr>
          <w:sz w:val="24"/>
        </w:rPr>
        <w:tab/>
        <w:t>section 4500</w:t>
      </w:r>
      <w:r w:rsidRPr="00883399">
        <w:rPr>
          <w:sz w:val="24"/>
        </w:rPr>
        <w:noBreakHyphen/>
        <w:t>N</w:t>
      </w:r>
      <w:r w:rsidRPr="00883399">
        <w:rPr>
          <w:sz w:val="24"/>
          <w:vertAlign w:val="subscript"/>
        </w:rPr>
        <w:t>org</w:t>
      </w:r>
      <w:r w:rsidRPr="00883399">
        <w:rPr>
          <w:sz w:val="24"/>
        </w:rPr>
        <w:t xml:space="preserve"> B of APHA (1995); or</w:t>
      </w:r>
    </w:p>
    <w:p w14:paraId="1AA492DA" w14:textId="77777777" w:rsidR="00872C03" w:rsidRPr="00883399" w:rsidRDefault="00872C03" w:rsidP="00872C03">
      <w:pPr>
        <w:pStyle w:val="paragraph"/>
        <w:rPr>
          <w:sz w:val="24"/>
        </w:rPr>
      </w:pPr>
      <w:r w:rsidRPr="00883399">
        <w:rPr>
          <w:sz w:val="24"/>
        </w:rPr>
        <w:tab/>
        <w:t>(c)</w:t>
      </w:r>
      <w:r w:rsidRPr="00883399">
        <w:rPr>
          <w:sz w:val="24"/>
        </w:rPr>
        <w:tab/>
        <w:t>an equivalent Australian or international standard.</w:t>
      </w:r>
    </w:p>
    <w:p w14:paraId="36A2672C" w14:textId="485F445B" w:rsidR="00872C03" w:rsidRPr="00883399" w:rsidRDefault="00872C03" w:rsidP="00872C03">
      <w:pPr>
        <w:pStyle w:val="ActHead5"/>
        <w:rPr>
          <w:sz w:val="28"/>
        </w:rPr>
      </w:pPr>
      <w:bookmarkStart w:id="1256" w:name="_Toc423517207"/>
      <w:bookmarkStart w:id="1257" w:name="_Toc495653151"/>
      <w:r w:rsidRPr="00883399">
        <w:rPr>
          <w:rStyle w:val="CharSectno"/>
          <w:sz w:val="28"/>
        </w:rPr>
        <w:t>5.35</w:t>
      </w:r>
      <w:r w:rsidRPr="00883399">
        <w:rPr>
          <w:sz w:val="28"/>
        </w:rPr>
        <w:t xml:space="preserve">  Frequency of sampling and analysis</w:t>
      </w:r>
      <w:bookmarkEnd w:id="1256"/>
      <w:bookmarkEnd w:id="1257"/>
    </w:p>
    <w:p w14:paraId="0F5CE2BF" w14:textId="77777777" w:rsidR="00872C03" w:rsidRPr="00883399" w:rsidRDefault="00872C03" w:rsidP="00872C03">
      <w:pPr>
        <w:pStyle w:val="subsection"/>
        <w:rPr>
          <w:sz w:val="24"/>
        </w:rPr>
      </w:pPr>
      <w:r w:rsidRPr="00883399">
        <w:rPr>
          <w:sz w:val="24"/>
        </w:rPr>
        <w:tab/>
      </w:r>
      <w:r w:rsidRPr="00883399">
        <w:rPr>
          <w:sz w:val="24"/>
        </w:rPr>
        <w:tab/>
        <w:t>Wastewater must be sampled and analysed on at least a monthly basis.</w:t>
      </w:r>
    </w:p>
    <w:p w14:paraId="7973721B" w14:textId="52358378" w:rsidR="00872C03" w:rsidRPr="00883399" w:rsidRDefault="00872C03" w:rsidP="00872C03">
      <w:pPr>
        <w:pStyle w:val="ActHead3"/>
        <w:pageBreakBefore/>
        <w:rPr>
          <w:sz w:val="32"/>
        </w:rPr>
      </w:pPr>
      <w:bookmarkStart w:id="1258" w:name="_Toc423517208"/>
      <w:bookmarkStart w:id="1259" w:name="_Toc495653152"/>
      <w:r w:rsidRPr="00883399">
        <w:rPr>
          <w:rStyle w:val="CharDivNo"/>
          <w:sz w:val="32"/>
        </w:rPr>
        <w:lastRenderedPageBreak/>
        <w:t>Division 5.3.7</w:t>
      </w:r>
      <w:r w:rsidRPr="00883399">
        <w:rPr>
          <w:sz w:val="32"/>
        </w:rPr>
        <w:t>—</w:t>
      </w:r>
      <w:r w:rsidRPr="00883399">
        <w:rPr>
          <w:rStyle w:val="CharDivText"/>
          <w:sz w:val="32"/>
        </w:rPr>
        <w:t>Method 3—emissions of nitrous oxide released from wastewater handling (domestic and commercial)</w:t>
      </w:r>
      <w:bookmarkEnd w:id="1258"/>
      <w:bookmarkEnd w:id="1259"/>
    </w:p>
    <w:p w14:paraId="5CED62E7" w14:textId="18A3BBBC" w:rsidR="00872C03" w:rsidRPr="00883399" w:rsidRDefault="00872C03" w:rsidP="00872C03">
      <w:pPr>
        <w:pStyle w:val="ActHead5"/>
        <w:rPr>
          <w:sz w:val="28"/>
        </w:rPr>
      </w:pPr>
      <w:bookmarkStart w:id="1260" w:name="_Toc423517209"/>
      <w:bookmarkStart w:id="1261" w:name="_Toc495653153"/>
      <w:r w:rsidRPr="00883399">
        <w:rPr>
          <w:rStyle w:val="CharSectno"/>
          <w:sz w:val="28"/>
        </w:rPr>
        <w:t>5.36</w:t>
      </w:r>
      <w:r w:rsidRPr="00883399">
        <w:rPr>
          <w:sz w:val="28"/>
        </w:rPr>
        <w:t xml:space="preserve">  Method 3—nitrous oxide released from wastewater handling (domestic and commercial)</w:t>
      </w:r>
      <w:bookmarkEnd w:id="1260"/>
      <w:bookmarkEnd w:id="1261"/>
    </w:p>
    <w:p w14:paraId="19F823BE" w14:textId="77777777" w:rsidR="001745EA" w:rsidRPr="00883399" w:rsidRDefault="001745EA" w:rsidP="001745EA">
      <w:pPr>
        <w:pStyle w:val="Text"/>
        <w:rPr>
          <w:rFonts w:ascii="Arial" w:hAnsi="Arial" w:cs="Arial"/>
          <w:sz w:val="22"/>
          <w:szCs w:val="22"/>
        </w:rPr>
      </w:pPr>
      <w:r w:rsidRPr="00883399">
        <w:rPr>
          <w:rFonts w:ascii="Arial" w:hAnsi="Arial" w:cs="Arial"/>
          <w:sz w:val="22"/>
          <w:szCs w:val="22"/>
        </w:rPr>
        <w:t>Section 5.36 sets out Method 3 for the estimation of nitrous oxide emissions from wastewater handling.  Method 3 is very similar to Method 2, except that sampling of the water and sludge must be undertaken in accordance with listed Australian or international standards or an equivalent standard.</w:t>
      </w:r>
    </w:p>
    <w:p w14:paraId="5F7FF21C" w14:textId="77777777" w:rsidR="00872C03" w:rsidRPr="00883399" w:rsidRDefault="00872C03" w:rsidP="00872C03">
      <w:pPr>
        <w:pStyle w:val="subsection"/>
        <w:rPr>
          <w:sz w:val="24"/>
        </w:rPr>
      </w:pPr>
      <w:r w:rsidRPr="00883399">
        <w:rPr>
          <w:sz w:val="24"/>
        </w:rPr>
        <w:tab/>
        <w:t>(1)</w:t>
      </w:r>
      <w:r w:rsidRPr="00883399">
        <w:rPr>
          <w:sz w:val="24"/>
        </w:rPr>
        <w:tab/>
        <w:t>For subparagraph 5.24(1)(b)(iii) and subject to subsection (2), method 3 is the same as method 2 under section 5.32.</w:t>
      </w:r>
    </w:p>
    <w:p w14:paraId="4A77FDF4" w14:textId="77777777" w:rsidR="00872C03" w:rsidRPr="00883399" w:rsidRDefault="00872C03" w:rsidP="00872C03">
      <w:pPr>
        <w:pStyle w:val="subsection"/>
        <w:rPr>
          <w:sz w:val="24"/>
        </w:rPr>
      </w:pPr>
      <w:r w:rsidRPr="00883399">
        <w:rPr>
          <w:sz w:val="24"/>
        </w:rPr>
        <w:tab/>
        <w:t>(2)</w:t>
      </w:r>
      <w:r w:rsidRPr="00883399">
        <w:rPr>
          <w:sz w:val="24"/>
        </w:rPr>
        <w:tab/>
        <w:t>In applying method 2 under section 5.32, the wastewater must be sampled in accordance with AS/NZS 5667.10:1998 or an equivalent Australian or international standard.</w:t>
      </w:r>
    </w:p>
    <w:p w14:paraId="7856550D" w14:textId="77777777" w:rsidR="00872C03" w:rsidRPr="00883399" w:rsidRDefault="00872C03" w:rsidP="00872C03">
      <w:pPr>
        <w:pStyle w:val="subsection"/>
        <w:rPr>
          <w:sz w:val="24"/>
        </w:rPr>
      </w:pPr>
      <w:r w:rsidRPr="00883399">
        <w:rPr>
          <w:sz w:val="24"/>
        </w:rPr>
        <w:tab/>
        <w:t>(3)</w:t>
      </w:r>
      <w:r w:rsidRPr="00883399">
        <w:rPr>
          <w:sz w:val="24"/>
        </w:rPr>
        <w:tab/>
        <w:t>In applying method 2 under section 5.32, the sludge must be sampled in accordance with ISO 5667</w:t>
      </w:r>
      <w:r w:rsidRPr="00883399">
        <w:rPr>
          <w:sz w:val="24"/>
        </w:rPr>
        <w:noBreakHyphen/>
        <w:t>13:1997 or an equivalent Australian or international standard.</w:t>
      </w:r>
    </w:p>
    <w:p w14:paraId="2309C4A4" w14:textId="6933109E" w:rsidR="00872C03" w:rsidRPr="00883399" w:rsidRDefault="00872C03" w:rsidP="00872C03">
      <w:pPr>
        <w:pStyle w:val="ActHead3"/>
        <w:pageBreakBefore/>
        <w:rPr>
          <w:sz w:val="32"/>
        </w:rPr>
      </w:pPr>
      <w:bookmarkStart w:id="1262" w:name="_Toc423517210"/>
      <w:bookmarkStart w:id="1263" w:name="_Toc495653154"/>
      <w:r w:rsidRPr="00883399">
        <w:rPr>
          <w:rStyle w:val="CharDivNo"/>
          <w:sz w:val="32"/>
        </w:rPr>
        <w:lastRenderedPageBreak/>
        <w:t>Division 5.3.8</w:t>
      </w:r>
      <w:r w:rsidRPr="00883399">
        <w:rPr>
          <w:sz w:val="32"/>
        </w:rPr>
        <w:t>—</w:t>
      </w:r>
      <w:r w:rsidRPr="00883399">
        <w:rPr>
          <w:rStyle w:val="CharDivText"/>
          <w:sz w:val="32"/>
        </w:rPr>
        <w:t>Wastewater handling (domestic and commercial)—Flaring</w:t>
      </w:r>
      <w:bookmarkEnd w:id="1262"/>
      <w:bookmarkEnd w:id="1263"/>
    </w:p>
    <w:p w14:paraId="48C9973A" w14:textId="77777777" w:rsidR="001745EA" w:rsidRPr="00883399" w:rsidRDefault="001745EA" w:rsidP="001745EA">
      <w:pPr>
        <w:pStyle w:val="Text"/>
        <w:rPr>
          <w:rFonts w:ascii="Arial" w:hAnsi="Arial" w:cs="Arial"/>
          <w:sz w:val="22"/>
          <w:szCs w:val="22"/>
        </w:rPr>
      </w:pPr>
      <w:bookmarkStart w:id="1264" w:name="_Toc423517211"/>
      <w:r w:rsidRPr="00883399">
        <w:rPr>
          <w:rFonts w:ascii="Arial" w:hAnsi="Arial" w:cs="Arial"/>
          <w:sz w:val="22"/>
          <w:szCs w:val="22"/>
        </w:rPr>
        <w:t xml:space="preserve">Sections 5.37-5.39 set out Methods 1, 2 and 3 for the flaring of gas.  Method 1 is derived from the methods used for the </w:t>
      </w:r>
      <w:r w:rsidRPr="00883399">
        <w:rPr>
          <w:rFonts w:ascii="Arial" w:hAnsi="Arial" w:cs="Arial"/>
          <w:i/>
          <w:sz w:val="22"/>
          <w:szCs w:val="22"/>
        </w:rPr>
        <w:t>National Greenhouse Accounts</w:t>
      </w:r>
      <w:r w:rsidRPr="00883399">
        <w:rPr>
          <w:rFonts w:ascii="Arial" w:hAnsi="Arial" w:cs="Arial"/>
          <w:sz w:val="22"/>
          <w:szCs w:val="22"/>
        </w:rPr>
        <w:t>.  Methods 2 and 3 rely on the sampling and analysis of the fuel to estimate the gas composition of the fuel in order to estimate the quantity of methane flared more accurately.</w:t>
      </w:r>
    </w:p>
    <w:p w14:paraId="78BB6921" w14:textId="6813C4C6" w:rsidR="00872C03" w:rsidRPr="00883399" w:rsidRDefault="00872C03" w:rsidP="00872C03">
      <w:pPr>
        <w:pStyle w:val="ActHead5"/>
        <w:rPr>
          <w:sz w:val="28"/>
        </w:rPr>
      </w:pPr>
      <w:bookmarkStart w:id="1265" w:name="_Toc495653155"/>
      <w:r w:rsidRPr="00883399">
        <w:rPr>
          <w:rStyle w:val="CharSectno"/>
          <w:sz w:val="28"/>
        </w:rPr>
        <w:t>5.37</w:t>
      </w:r>
      <w:r w:rsidRPr="00883399">
        <w:rPr>
          <w:sz w:val="28"/>
        </w:rPr>
        <w:t xml:space="preserve">  Method 1—Flaring of methane in sludge biogas from wastewater handling (domestic and commercial)</w:t>
      </w:r>
      <w:bookmarkEnd w:id="1264"/>
      <w:bookmarkEnd w:id="1265"/>
    </w:p>
    <w:p w14:paraId="48BD07C1" w14:textId="77777777" w:rsidR="00872C03" w:rsidRPr="00883399" w:rsidRDefault="00872C03" w:rsidP="00872C03">
      <w:pPr>
        <w:pStyle w:val="subsection"/>
        <w:rPr>
          <w:sz w:val="24"/>
        </w:rPr>
      </w:pPr>
      <w:r w:rsidRPr="00883399">
        <w:rPr>
          <w:sz w:val="24"/>
        </w:rPr>
        <w:tab/>
        <w:t>(1)</w:t>
      </w:r>
      <w:r w:rsidRPr="00883399">
        <w:rPr>
          <w:sz w:val="24"/>
        </w:rPr>
        <w:tab/>
        <w:t>For subparagraph 5.24(1)(c)(i), method 1 is:</w:t>
      </w:r>
    </w:p>
    <w:p w14:paraId="16DF5F31" w14:textId="3B56E7E3"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71D0C02D" wp14:editId="70696BE4">
            <wp:extent cx="1983105" cy="415925"/>
            <wp:effectExtent l="1905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37"/>
                    <a:srcRect/>
                    <a:stretch>
                      <a:fillRect/>
                    </a:stretch>
                  </pic:blipFill>
                  <pic:spPr bwMode="auto">
                    <a:xfrm>
                      <a:off x="0" y="0"/>
                      <a:ext cx="1983105" cy="415925"/>
                    </a:xfrm>
                    <a:prstGeom prst="rect">
                      <a:avLst/>
                    </a:prstGeom>
                    <a:noFill/>
                    <a:ln w="9525">
                      <a:noFill/>
                      <a:miter lim="800000"/>
                      <a:headEnd/>
                      <a:tailEnd/>
                    </a:ln>
                  </pic:spPr>
                </pic:pic>
              </a:graphicData>
            </a:graphic>
          </wp:inline>
        </w:drawing>
      </w:r>
    </w:p>
    <w:p w14:paraId="125399BE" w14:textId="77777777" w:rsidR="00872C03" w:rsidRPr="00883399" w:rsidRDefault="00872C03" w:rsidP="00872C03">
      <w:pPr>
        <w:pStyle w:val="Definition0"/>
        <w:rPr>
          <w:sz w:val="24"/>
        </w:rPr>
      </w:pPr>
      <w:r w:rsidRPr="00883399">
        <w:rPr>
          <w:sz w:val="24"/>
        </w:rPr>
        <w:t xml:space="preserve">where </w:t>
      </w:r>
    </w:p>
    <w:p w14:paraId="2C3DD7AE" w14:textId="77777777" w:rsidR="00872C03" w:rsidRPr="00883399" w:rsidRDefault="00872C03" w:rsidP="00872C03">
      <w:pPr>
        <w:pStyle w:val="Definition0"/>
        <w:rPr>
          <w:sz w:val="24"/>
          <w:vertAlign w:val="subscript"/>
        </w:rPr>
      </w:pPr>
      <w:r w:rsidRPr="00883399">
        <w:rPr>
          <w:b/>
          <w:i/>
          <w:sz w:val="24"/>
        </w:rPr>
        <w:t>E</w:t>
      </w:r>
      <w:r w:rsidRPr="00883399">
        <w:rPr>
          <w:b/>
          <w:i/>
          <w:sz w:val="24"/>
          <w:vertAlign w:val="subscript"/>
        </w:rPr>
        <w:t xml:space="preserve">j flared </w:t>
      </w:r>
      <w:r w:rsidRPr="00883399">
        <w:rPr>
          <w:sz w:val="24"/>
        </w:rPr>
        <w:t>is the emissions of gas type (</w:t>
      </w:r>
      <w:r w:rsidRPr="00883399">
        <w:rPr>
          <w:b/>
          <w:i/>
          <w:sz w:val="24"/>
        </w:rPr>
        <w:t>j</w:t>
      </w:r>
      <w:r w:rsidRPr="00883399">
        <w:rPr>
          <w:sz w:val="24"/>
        </w:rPr>
        <w:t>) released from the plant from flaring of the methane in sludge biogas from the plant during the year measured in CO</w:t>
      </w:r>
      <w:r w:rsidRPr="00883399">
        <w:rPr>
          <w:sz w:val="24"/>
          <w:vertAlign w:val="subscript"/>
        </w:rPr>
        <w:t>2</w:t>
      </w:r>
      <w:r w:rsidRPr="00883399">
        <w:rPr>
          <w:sz w:val="24"/>
        </w:rPr>
        <w:noBreakHyphen/>
        <w:t>e tonnes.</w:t>
      </w:r>
    </w:p>
    <w:p w14:paraId="5B87F6E4" w14:textId="77777777" w:rsidR="00872C03" w:rsidRPr="00883399" w:rsidRDefault="00872C03" w:rsidP="00872C03">
      <w:pPr>
        <w:pStyle w:val="Definition0"/>
        <w:rPr>
          <w:sz w:val="24"/>
        </w:rPr>
      </w:pPr>
      <w:r w:rsidRPr="00883399">
        <w:rPr>
          <w:b/>
          <w:i/>
          <w:sz w:val="24"/>
        </w:rPr>
        <w:t>Q</w:t>
      </w:r>
      <w:r w:rsidRPr="00883399">
        <w:rPr>
          <w:b/>
          <w:i/>
          <w:sz w:val="24"/>
          <w:vertAlign w:val="subscript"/>
        </w:rPr>
        <w:t xml:space="preserve">flared </w:t>
      </w:r>
      <w:r w:rsidRPr="00883399">
        <w:rPr>
          <w:sz w:val="24"/>
        </w:rPr>
        <w:t>is the quantity of methane in sludge biogas flared from the plant during the year measured in cubic metres in accordance with Division 2.3.6.</w:t>
      </w:r>
    </w:p>
    <w:p w14:paraId="0A176A04" w14:textId="77777777" w:rsidR="00872C03" w:rsidRPr="00883399" w:rsidRDefault="00872C03" w:rsidP="00872C03">
      <w:pPr>
        <w:pStyle w:val="Definition0"/>
        <w:rPr>
          <w:sz w:val="24"/>
        </w:rPr>
      </w:pPr>
      <w:r w:rsidRPr="00883399">
        <w:rPr>
          <w:b/>
          <w:i/>
          <w:sz w:val="24"/>
        </w:rPr>
        <w:t>EC</w:t>
      </w:r>
      <w:r w:rsidRPr="00883399">
        <w:rPr>
          <w:b/>
          <w:i/>
          <w:sz w:val="24"/>
          <w:vertAlign w:val="subscript"/>
        </w:rPr>
        <w:t xml:space="preserve">i </w:t>
      </w:r>
      <w:r w:rsidRPr="00883399">
        <w:rPr>
          <w:sz w:val="24"/>
        </w:rPr>
        <w:t>is the energy content factor of methane in sludge biogas in gigajoules per cubic metre (see Schedule 1).</w:t>
      </w:r>
    </w:p>
    <w:p w14:paraId="3F4ABF1F" w14:textId="77777777" w:rsidR="00872C03" w:rsidRPr="00883399" w:rsidRDefault="00872C03" w:rsidP="00872C03">
      <w:pPr>
        <w:pStyle w:val="Definition0"/>
        <w:rPr>
          <w:sz w:val="24"/>
        </w:rPr>
      </w:pPr>
      <w:r w:rsidRPr="00883399">
        <w:rPr>
          <w:b/>
          <w:i/>
          <w:sz w:val="24"/>
        </w:rPr>
        <w:t>EF</w:t>
      </w:r>
      <w:r w:rsidRPr="00883399">
        <w:rPr>
          <w:b/>
          <w:i/>
          <w:sz w:val="24"/>
          <w:vertAlign w:val="subscript"/>
        </w:rPr>
        <w:t>ij</w:t>
      </w:r>
      <w:r w:rsidRPr="00883399">
        <w:rPr>
          <w:b/>
          <w:i/>
          <w:sz w:val="24"/>
        </w:rPr>
        <w:t xml:space="preserve"> </w:t>
      </w:r>
      <w:r w:rsidRPr="00883399">
        <w:rPr>
          <w:sz w:val="24"/>
        </w:rPr>
        <w:t>is the relevant emission factor for gas type (</w:t>
      </w:r>
      <w:r w:rsidRPr="00883399">
        <w:rPr>
          <w:b/>
          <w:i/>
          <w:sz w:val="24"/>
        </w:rPr>
        <w:t>j</w:t>
      </w:r>
      <w:r w:rsidRPr="00883399">
        <w:rPr>
          <w:sz w:val="24"/>
        </w:rPr>
        <w:t>) for methane in sludge biogas measured in CO</w:t>
      </w:r>
      <w:r w:rsidRPr="00883399">
        <w:rPr>
          <w:sz w:val="24"/>
          <w:vertAlign w:val="subscript"/>
        </w:rPr>
        <w:t>2</w:t>
      </w:r>
      <w:r w:rsidRPr="00883399">
        <w:rPr>
          <w:sz w:val="24"/>
        </w:rPr>
        <w:noBreakHyphen/>
        <w:t>e per gigajoule (see Schedule 1).</w:t>
      </w:r>
    </w:p>
    <w:p w14:paraId="3192CD6C" w14:textId="77777777" w:rsidR="00872C03" w:rsidRPr="00883399" w:rsidRDefault="00872C03" w:rsidP="00872C03">
      <w:pPr>
        <w:pStyle w:val="subsection"/>
        <w:rPr>
          <w:sz w:val="24"/>
        </w:rPr>
      </w:pPr>
      <w:r w:rsidRPr="00883399">
        <w:rPr>
          <w:sz w:val="24"/>
        </w:rPr>
        <w:tab/>
        <w:t>(2)</w:t>
      </w:r>
      <w:r w:rsidRPr="00883399">
        <w:rPr>
          <w:sz w:val="24"/>
        </w:rPr>
        <w:tab/>
        <w:t xml:space="preserve">For </w:t>
      </w:r>
      <w:r w:rsidRPr="00883399">
        <w:rPr>
          <w:b/>
          <w:i/>
          <w:sz w:val="24"/>
        </w:rPr>
        <w:t>Q</w:t>
      </w:r>
      <w:r w:rsidRPr="00883399">
        <w:rPr>
          <w:b/>
          <w:i/>
          <w:sz w:val="24"/>
          <w:vertAlign w:val="subscript"/>
        </w:rPr>
        <w:t>flared</w:t>
      </w:r>
      <w:r w:rsidRPr="00883399">
        <w:rPr>
          <w:sz w:val="24"/>
        </w:rPr>
        <w:t xml:space="preserve"> in subsection (1), the methane in sludge biogas is taken to constitute 70% of the sludge biogas.</w:t>
      </w:r>
    </w:p>
    <w:p w14:paraId="67DF74CF" w14:textId="77777777" w:rsidR="00872C03" w:rsidRPr="00883399" w:rsidRDefault="00872C03" w:rsidP="00872C03">
      <w:pPr>
        <w:pStyle w:val="ActHead5"/>
        <w:rPr>
          <w:sz w:val="28"/>
        </w:rPr>
      </w:pPr>
      <w:bookmarkStart w:id="1266" w:name="_Toc423517212"/>
      <w:bookmarkStart w:id="1267" w:name="_Toc495653156"/>
      <w:r w:rsidRPr="00883399">
        <w:rPr>
          <w:rStyle w:val="CharSectno"/>
          <w:sz w:val="28"/>
        </w:rPr>
        <w:t>5.38</w:t>
      </w:r>
      <w:r w:rsidRPr="00883399">
        <w:rPr>
          <w:sz w:val="28"/>
        </w:rPr>
        <w:t xml:space="preserve">  Method 2—flaring of methane in sludge biogas</w:t>
      </w:r>
      <w:bookmarkEnd w:id="1266"/>
      <w:bookmarkEnd w:id="1267"/>
      <w:r w:rsidRPr="00883399">
        <w:rPr>
          <w:sz w:val="28"/>
        </w:rPr>
        <w:t xml:space="preserve"> </w:t>
      </w:r>
    </w:p>
    <w:p w14:paraId="02911B78" w14:textId="77777777" w:rsidR="00872C03" w:rsidRPr="00883399" w:rsidRDefault="00872C03" w:rsidP="00872C03">
      <w:pPr>
        <w:pStyle w:val="subsection"/>
        <w:rPr>
          <w:sz w:val="24"/>
        </w:rPr>
      </w:pPr>
      <w:r w:rsidRPr="00883399">
        <w:rPr>
          <w:sz w:val="24"/>
        </w:rPr>
        <w:tab/>
        <w:t>(1)</w:t>
      </w:r>
      <w:r w:rsidRPr="00883399">
        <w:rPr>
          <w:sz w:val="24"/>
        </w:rPr>
        <w:tab/>
        <w:t>For subparagraph 5.24(1)(c)(ii) and subject to this section, method 2 is the same as method 1 under section 5.37.</w:t>
      </w:r>
    </w:p>
    <w:p w14:paraId="13D77E26" w14:textId="77777777" w:rsidR="00872C03" w:rsidRPr="00883399" w:rsidRDefault="00872C03" w:rsidP="00872C03">
      <w:pPr>
        <w:pStyle w:val="subsection"/>
        <w:rPr>
          <w:sz w:val="24"/>
        </w:rPr>
      </w:pPr>
      <w:r w:rsidRPr="00883399">
        <w:rPr>
          <w:sz w:val="24"/>
        </w:rPr>
        <w:tab/>
        <w:t>(2)</w:t>
      </w:r>
      <w:r w:rsidRPr="00883399">
        <w:rPr>
          <w:sz w:val="24"/>
        </w:rPr>
        <w:tab/>
        <w:t xml:space="preserve">In applying method 1 under section 5.37, </w:t>
      </w:r>
      <w:r w:rsidRPr="00883399">
        <w:rPr>
          <w:b/>
          <w:i/>
          <w:sz w:val="24"/>
        </w:rPr>
        <w:t>Q</w:t>
      </w:r>
      <w:r w:rsidRPr="00883399">
        <w:rPr>
          <w:b/>
          <w:i/>
          <w:sz w:val="24"/>
          <w:vertAlign w:val="subscript"/>
        </w:rPr>
        <w:t>flared</w:t>
      </w:r>
      <w:r w:rsidRPr="00883399">
        <w:rPr>
          <w:sz w:val="24"/>
        </w:rPr>
        <w:t xml:space="preserve"> must be determined in accordance with the sampling and analysis requirements in Subdivision 2.3.3.2 and the measuring requirements in Division 2.3.6.</w:t>
      </w:r>
    </w:p>
    <w:p w14:paraId="4D0F2A15" w14:textId="3CA2C121" w:rsidR="00872C03" w:rsidRPr="00883399" w:rsidRDefault="00872C03" w:rsidP="00872C03">
      <w:pPr>
        <w:pStyle w:val="ActHead5"/>
        <w:rPr>
          <w:sz w:val="28"/>
        </w:rPr>
      </w:pPr>
      <w:bookmarkStart w:id="1268" w:name="_Toc423517213"/>
      <w:bookmarkStart w:id="1269" w:name="_Toc495653157"/>
      <w:r w:rsidRPr="00883399">
        <w:rPr>
          <w:rStyle w:val="CharSectno"/>
          <w:sz w:val="28"/>
        </w:rPr>
        <w:lastRenderedPageBreak/>
        <w:t>5.39</w:t>
      </w:r>
      <w:r w:rsidRPr="00883399">
        <w:rPr>
          <w:sz w:val="28"/>
        </w:rPr>
        <w:t xml:space="preserve">  Method 3—flaring of methane in sludge biogas</w:t>
      </w:r>
      <w:bookmarkEnd w:id="1268"/>
      <w:bookmarkEnd w:id="1269"/>
    </w:p>
    <w:p w14:paraId="59CE53E6" w14:textId="77777777" w:rsidR="00872C03" w:rsidRPr="00883399" w:rsidRDefault="00872C03" w:rsidP="00872C03">
      <w:pPr>
        <w:pStyle w:val="subsection"/>
        <w:rPr>
          <w:sz w:val="24"/>
        </w:rPr>
      </w:pPr>
      <w:r w:rsidRPr="00883399">
        <w:rPr>
          <w:sz w:val="24"/>
        </w:rPr>
        <w:tab/>
        <w:t>(1)</w:t>
      </w:r>
      <w:r w:rsidRPr="00883399">
        <w:rPr>
          <w:sz w:val="24"/>
        </w:rPr>
        <w:tab/>
        <w:t>For subparagraph 5.24(1)(c)(iii) and subject to this section, method 3 is the same as method 1 under section 5.37.</w:t>
      </w:r>
    </w:p>
    <w:p w14:paraId="5B758A73" w14:textId="77777777" w:rsidR="00872C03" w:rsidRPr="00883399" w:rsidRDefault="00872C03" w:rsidP="00872C03">
      <w:pPr>
        <w:pStyle w:val="subsection"/>
        <w:rPr>
          <w:sz w:val="24"/>
        </w:rPr>
      </w:pPr>
      <w:r w:rsidRPr="00883399">
        <w:rPr>
          <w:sz w:val="24"/>
        </w:rPr>
        <w:tab/>
        <w:t>(2)</w:t>
      </w:r>
      <w:r w:rsidRPr="00883399">
        <w:rPr>
          <w:sz w:val="24"/>
        </w:rPr>
        <w:tab/>
        <w:t xml:space="preserve">In applying method 1 under section 5.37, </w:t>
      </w:r>
      <w:r w:rsidRPr="00883399">
        <w:rPr>
          <w:b/>
          <w:i/>
          <w:sz w:val="24"/>
        </w:rPr>
        <w:t>Q</w:t>
      </w:r>
      <w:r w:rsidRPr="00883399">
        <w:rPr>
          <w:b/>
          <w:i/>
          <w:sz w:val="24"/>
          <w:vertAlign w:val="subscript"/>
        </w:rPr>
        <w:t>flared</w:t>
      </w:r>
      <w:r w:rsidRPr="00883399">
        <w:rPr>
          <w:sz w:val="24"/>
        </w:rPr>
        <w:t xml:space="preserve"> must be determined in accordance with the sampling and analysis requirements in Division 2.3.4 and the measuring requirements in Division 2.3.6.</w:t>
      </w:r>
    </w:p>
    <w:p w14:paraId="474D4D32" w14:textId="2DCD868E" w:rsidR="00872C03" w:rsidRPr="00883399" w:rsidRDefault="00872C03" w:rsidP="00872C03">
      <w:pPr>
        <w:pStyle w:val="ActHead2"/>
        <w:pageBreakBefore/>
        <w:rPr>
          <w:sz w:val="36"/>
        </w:rPr>
      </w:pPr>
      <w:bookmarkStart w:id="1270" w:name="_Toc423517214"/>
      <w:bookmarkStart w:id="1271" w:name="_Toc495653158"/>
      <w:r w:rsidRPr="00883399">
        <w:rPr>
          <w:rStyle w:val="CharPartNo"/>
          <w:sz w:val="36"/>
        </w:rPr>
        <w:lastRenderedPageBreak/>
        <w:t>Part 5.4</w:t>
      </w:r>
      <w:r w:rsidRPr="00883399">
        <w:rPr>
          <w:sz w:val="36"/>
        </w:rPr>
        <w:t>—</w:t>
      </w:r>
      <w:r w:rsidRPr="00883399">
        <w:rPr>
          <w:rStyle w:val="CharPartText"/>
          <w:sz w:val="36"/>
        </w:rPr>
        <w:t>Wastewater handling (industrial)</w:t>
      </w:r>
      <w:bookmarkEnd w:id="1270"/>
      <w:bookmarkEnd w:id="1271"/>
    </w:p>
    <w:p w14:paraId="7B9754D2" w14:textId="6D752B10" w:rsidR="00872C03" w:rsidRPr="00883399" w:rsidRDefault="00872C03" w:rsidP="00872C03">
      <w:pPr>
        <w:pStyle w:val="ActHead3"/>
        <w:rPr>
          <w:sz w:val="32"/>
        </w:rPr>
      </w:pPr>
      <w:bookmarkStart w:id="1272" w:name="_Toc423517215"/>
      <w:bookmarkStart w:id="1273" w:name="_Toc495653159"/>
      <w:r w:rsidRPr="00883399">
        <w:rPr>
          <w:rStyle w:val="CharDivNo"/>
          <w:sz w:val="32"/>
        </w:rPr>
        <w:t>Division 5.4.1</w:t>
      </w:r>
      <w:r w:rsidRPr="00883399">
        <w:rPr>
          <w:sz w:val="32"/>
        </w:rPr>
        <w:t>—</w:t>
      </w:r>
      <w:r w:rsidRPr="00883399">
        <w:rPr>
          <w:rStyle w:val="CharDivText"/>
          <w:sz w:val="32"/>
        </w:rPr>
        <w:t>Preliminary</w:t>
      </w:r>
      <w:bookmarkEnd w:id="1272"/>
      <w:bookmarkEnd w:id="1273"/>
    </w:p>
    <w:p w14:paraId="779DFE70" w14:textId="5C6332F0" w:rsidR="00872C03" w:rsidRPr="00883399" w:rsidRDefault="00872C03" w:rsidP="00872C03">
      <w:pPr>
        <w:pStyle w:val="ActHead5"/>
        <w:rPr>
          <w:sz w:val="28"/>
        </w:rPr>
      </w:pPr>
      <w:bookmarkStart w:id="1274" w:name="_Toc423517216"/>
      <w:bookmarkStart w:id="1275" w:name="_Toc495653160"/>
      <w:r w:rsidRPr="00883399">
        <w:rPr>
          <w:rStyle w:val="CharSectno"/>
          <w:sz w:val="28"/>
        </w:rPr>
        <w:t>5.40</w:t>
      </w:r>
      <w:r w:rsidRPr="00883399">
        <w:rPr>
          <w:sz w:val="28"/>
        </w:rPr>
        <w:t xml:space="preserve">  Application</w:t>
      </w:r>
      <w:bookmarkEnd w:id="1274"/>
      <w:bookmarkEnd w:id="1275"/>
    </w:p>
    <w:p w14:paraId="0336FC29" w14:textId="77777777" w:rsidR="00872C03" w:rsidRPr="00883399" w:rsidRDefault="00872C03" w:rsidP="00872C03">
      <w:pPr>
        <w:pStyle w:val="subsection"/>
        <w:rPr>
          <w:sz w:val="24"/>
        </w:rPr>
      </w:pPr>
      <w:r w:rsidRPr="00883399">
        <w:rPr>
          <w:sz w:val="24"/>
        </w:rPr>
        <w:tab/>
        <w:t>(1)</w:t>
      </w:r>
      <w:r w:rsidRPr="00883399">
        <w:rPr>
          <w:sz w:val="24"/>
        </w:rPr>
        <w:tab/>
        <w:t>This Part applies to emissions released from the decomposition of organic material and the flaring of sludge biogas, resulting from the handling of industrial wastewater through treatment in wastewater collection and treatment systems.</w:t>
      </w:r>
    </w:p>
    <w:p w14:paraId="6F7472E7" w14:textId="77777777" w:rsidR="00872C03" w:rsidRPr="00883399" w:rsidRDefault="00872C03" w:rsidP="00872C03">
      <w:pPr>
        <w:pStyle w:val="subsection"/>
        <w:rPr>
          <w:sz w:val="24"/>
        </w:rPr>
      </w:pPr>
      <w:r w:rsidRPr="00883399">
        <w:rPr>
          <w:sz w:val="24"/>
        </w:rPr>
        <w:tab/>
        <w:t>(2)</w:t>
      </w:r>
      <w:r w:rsidRPr="00883399">
        <w:rPr>
          <w:sz w:val="24"/>
        </w:rPr>
        <w:tab/>
        <w:t xml:space="preserve">In this section, </w:t>
      </w:r>
      <w:r w:rsidRPr="00883399">
        <w:rPr>
          <w:b/>
          <w:i/>
          <w:sz w:val="24"/>
        </w:rPr>
        <w:t>industrial wastewater</w:t>
      </w:r>
      <w:r w:rsidRPr="00883399">
        <w:rPr>
          <w:sz w:val="24"/>
        </w:rPr>
        <w:t xml:space="preserve"> means liquid wastes and sludge resulting from the production of a commodity, by an industry, mentioned in column 1 of an item of the table in subsection 5.42(8).</w:t>
      </w:r>
    </w:p>
    <w:p w14:paraId="61690918" w14:textId="1A3BF761" w:rsidR="00872C03" w:rsidRPr="00883399" w:rsidRDefault="00872C03" w:rsidP="00872C03">
      <w:pPr>
        <w:pStyle w:val="ActHead5"/>
        <w:rPr>
          <w:sz w:val="28"/>
        </w:rPr>
      </w:pPr>
      <w:bookmarkStart w:id="1276" w:name="_Toc423517217"/>
      <w:bookmarkStart w:id="1277" w:name="_Toc495653161"/>
      <w:r w:rsidRPr="00883399">
        <w:rPr>
          <w:rStyle w:val="CharSectno"/>
          <w:sz w:val="28"/>
        </w:rPr>
        <w:t>5.41</w:t>
      </w:r>
      <w:r w:rsidRPr="00883399">
        <w:rPr>
          <w:sz w:val="28"/>
        </w:rPr>
        <w:t xml:space="preserve">  Available methods</w:t>
      </w:r>
      <w:bookmarkEnd w:id="1276"/>
      <w:bookmarkEnd w:id="1277"/>
    </w:p>
    <w:p w14:paraId="158ED455" w14:textId="77777777" w:rsidR="00872C03" w:rsidRPr="00883399" w:rsidRDefault="00872C03" w:rsidP="00872C03">
      <w:pPr>
        <w:pStyle w:val="subsection"/>
        <w:rPr>
          <w:sz w:val="24"/>
        </w:rPr>
      </w:pPr>
      <w:r w:rsidRPr="00883399">
        <w:rPr>
          <w:sz w:val="24"/>
        </w:rPr>
        <w:tab/>
        <w:t>(1)</w:t>
      </w:r>
      <w:r w:rsidRPr="00883399">
        <w:rPr>
          <w:sz w:val="24"/>
        </w:rPr>
        <w:tab/>
        <w:t xml:space="preserve">Subject to section 1.18 one of the following methods must be used for estimating emissions of methane released from the operation of a facility (other than by flaring of landfill gas containing methane) that is constituted by wastewater handling generated by the relevant industries (the </w:t>
      </w:r>
      <w:r w:rsidRPr="00883399">
        <w:rPr>
          <w:b/>
          <w:i/>
          <w:sz w:val="24"/>
        </w:rPr>
        <w:t>plant)</w:t>
      </w:r>
      <w:r w:rsidRPr="00883399">
        <w:rPr>
          <w:sz w:val="24"/>
        </w:rPr>
        <w:t xml:space="preserve"> during a year:</w:t>
      </w:r>
    </w:p>
    <w:p w14:paraId="237488F6" w14:textId="77777777" w:rsidR="00872C03" w:rsidRPr="00883399" w:rsidRDefault="00872C03" w:rsidP="00872C03">
      <w:pPr>
        <w:pStyle w:val="paragraph"/>
        <w:rPr>
          <w:sz w:val="24"/>
        </w:rPr>
      </w:pPr>
      <w:r w:rsidRPr="00883399">
        <w:rPr>
          <w:sz w:val="24"/>
        </w:rPr>
        <w:tab/>
        <w:t>(a)</w:t>
      </w:r>
      <w:r w:rsidRPr="00883399">
        <w:rPr>
          <w:sz w:val="24"/>
        </w:rPr>
        <w:tab/>
        <w:t>method 1 under section 5.42;</w:t>
      </w:r>
    </w:p>
    <w:p w14:paraId="48B7152A" w14:textId="77777777" w:rsidR="00872C03" w:rsidRPr="00883399" w:rsidRDefault="00872C03" w:rsidP="00872C03">
      <w:pPr>
        <w:pStyle w:val="paragraph"/>
        <w:rPr>
          <w:sz w:val="24"/>
        </w:rPr>
      </w:pPr>
      <w:r w:rsidRPr="00883399">
        <w:rPr>
          <w:sz w:val="24"/>
        </w:rPr>
        <w:tab/>
        <w:t>(b)</w:t>
      </w:r>
      <w:r w:rsidRPr="00883399">
        <w:rPr>
          <w:sz w:val="24"/>
        </w:rPr>
        <w:tab/>
        <w:t>method 2 under section 5.43;</w:t>
      </w:r>
    </w:p>
    <w:p w14:paraId="32B3D742" w14:textId="77777777" w:rsidR="00872C03" w:rsidRPr="00883399" w:rsidRDefault="00872C03" w:rsidP="00872C03">
      <w:pPr>
        <w:pStyle w:val="paragraph"/>
        <w:rPr>
          <w:sz w:val="24"/>
        </w:rPr>
      </w:pPr>
      <w:r w:rsidRPr="00883399">
        <w:rPr>
          <w:sz w:val="24"/>
        </w:rPr>
        <w:tab/>
        <w:t>(c)</w:t>
      </w:r>
      <w:r w:rsidRPr="00883399">
        <w:rPr>
          <w:sz w:val="24"/>
        </w:rPr>
        <w:tab/>
        <w:t>method 3 under section 5.47.</w:t>
      </w:r>
    </w:p>
    <w:p w14:paraId="3855C124" w14:textId="77777777" w:rsidR="00872C03" w:rsidRPr="00883399" w:rsidRDefault="00872C03" w:rsidP="00872C03">
      <w:pPr>
        <w:pStyle w:val="subsection"/>
        <w:rPr>
          <w:sz w:val="24"/>
        </w:rPr>
      </w:pPr>
      <w:r w:rsidRPr="00883399">
        <w:rPr>
          <w:sz w:val="24"/>
        </w:rPr>
        <w:tab/>
        <w:t>(2)</w:t>
      </w:r>
      <w:r w:rsidRPr="00883399">
        <w:rPr>
          <w:sz w:val="24"/>
        </w:rPr>
        <w:tab/>
        <w:t>Subject to section 1.18, one of the following methods must also be used for estimating emissions of each gas type released as a result of methane in sludge biogas flared from the operation of the plant during a year:</w:t>
      </w:r>
    </w:p>
    <w:p w14:paraId="4CDF4477" w14:textId="77777777" w:rsidR="00872C03" w:rsidRPr="00883399" w:rsidRDefault="00872C03" w:rsidP="00872C03">
      <w:pPr>
        <w:pStyle w:val="paragraph"/>
        <w:rPr>
          <w:sz w:val="24"/>
        </w:rPr>
      </w:pPr>
      <w:r w:rsidRPr="00883399">
        <w:rPr>
          <w:sz w:val="24"/>
        </w:rPr>
        <w:tab/>
        <w:t>(a)</w:t>
      </w:r>
      <w:r w:rsidRPr="00883399">
        <w:rPr>
          <w:sz w:val="24"/>
        </w:rPr>
        <w:tab/>
        <w:t>method 1 under section 5.48;</w:t>
      </w:r>
    </w:p>
    <w:p w14:paraId="2C526086" w14:textId="77777777" w:rsidR="00872C03" w:rsidRPr="00883399" w:rsidRDefault="00872C03" w:rsidP="00872C03">
      <w:pPr>
        <w:pStyle w:val="paragraph"/>
        <w:rPr>
          <w:sz w:val="24"/>
        </w:rPr>
      </w:pPr>
      <w:r w:rsidRPr="00883399">
        <w:rPr>
          <w:sz w:val="24"/>
        </w:rPr>
        <w:tab/>
        <w:t>(b)</w:t>
      </w:r>
      <w:r w:rsidRPr="00883399">
        <w:rPr>
          <w:sz w:val="24"/>
        </w:rPr>
        <w:tab/>
        <w:t>method 2 under section 5.49;</w:t>
      </w:r>
    </w:p>
    <w:p w14:paraId="6F4DBF9B" w14:textId="77777777" w:rsidR="00872C03" w:rsidRPr="00883399" w:rsidRDefault="00872C03" w:rsidP="00872C03">
      <w:pPr>
        <w:pStyle w:val="paragraph"/>
        <w:rPr>
          <w:sz w:val="24"/>
        </w:rPr>
      </w:pPr>
      <w:r w:rsidRPr="00883399">
        <w:rPr>
          <w:sz w:val="24"/>
        </w:rPr>
        <w:tab/>
        <w:t>(c)</w:t>
      </w:r>
      <w:r w:rsidRPr="00883399">
        <w:rPr>
          <w:sz w:val="24"/>
        </w:rPr>
        <w:tab/>
        <w:t>method 3 under section 5.50.</w:t>
      </w:r>
    </w:p>
    <w:p w14:paraId="14BC8FBA" w14:textId="77777777" w:rsidR="00872C03" w:rsidRPr="00883399" w:rsidRDefault="00872C03" w:rsidP="00872C03">
      <w:pPr>
        <w:pStyle w:val="subsection"/>
        <w:rPr>
          <w:sz w:val="24"/>
        </w:rPr>
      </w:pPr>
      <w:r w:rsidRPr="00883399">
        <w:rPr>
          <w:sz w:val="24"/>
        </w:rPr>
        <w:tab/>
        <w:t>(3)</w:t>
      </w:r>
      <w:r w:rsidRPr="00883399">
        <w:rPr>
          <w:sz w:val="24"/>
        </w:rPr>
        <w:tab/>
        <w:t>Under subsection (2), the same method must be used for estimating emissions of each gas type.</w:t>
      </w:r>
    </w:p>
    <w:p w14:paraId="20E29423" w14:textId="77777777" w:rsidR="00872C03" w:rsidRPr="00883399" w:rsidRDefault="00872C03" w:rsidP="00872C03">
      <w:pPr>
        <w:pStyle w:val="subsection"/>
        <w:rPr>
          <w:sz w:val="24"/>
        </w:rPr>
      </w:pPr>
      <w:r w:rsidRPr="00883399">
        <w:rPr>
          <w:sz w:val="24"/>
        </w:rPr>
        <w:tab/>
        <w:t>(4)</w:t>
      </w:r>
      <w:r w:rsidRPr="00883399">
        <w:rPr>
          <w:sz w:val="24"/>
        </w:rPr>
        <w:tab/>
        <w:t>For incidental emissions another method may be used that is consistent with the principles in section 1.13.</w:t>
      </w:r>
    </w:p>
    <w:p w14:paraId="2F59B3B8" w14:textId="77777777" w:rsidR="00872C03" w:rsidRPr="00883399" w:rsidRDefault="00872C03" w:rsidP="00872C03">
      <w:pPr>
        <w:pStyle w:val="notetext"/>
        <w:rPr>
          <w:sz w:val="20"/>
        </w:rPr>
      </w:pPr>
      <w:r w:rsidRPr="00883399">
        <w:rPr>
          <w:sz w:val="20"/>
        </w:rPr>
        <w:t>Note:</w:t>
      </w:r>
      <w:r w:rsidRPr="00883399">
        <w:rPr>
          <w:sz w:val="20"/>
        </w:rPr>
        <w:tab/>
        <w:t>There is no method 4 for subsection (1) or (2).</w:t>
      </w:r>
    </w:p>
    <w:p w14:paraId="1F506BBE" w14:textId="77777777" w:rsidR="001745EA" w:rsidRPr="00883399" w:rsidRDefault="001745EA" w:rsidP="00872C03">
      <w:pPr>
        <w:pStyle w:val="notetext"/>
        <w:rPr>
          <w:sz w:val="20"/>
        </w:rPr>
      </w:pPr>
    </w:p>
    <w:p w14:paraId="6B421FF4" w14:textId="77777777" w:rsidR="001745EA" w:rsidRPr="00883399" w:rsidRDefault="001745EA" w:rsidP="00872C03">
      <w:pPr>
        <w:pStyle w:val="notetext"/>
        <w:rPr>
          <w:sz w:val="20"/>
        </w:rPr>
      </w:pPr>
    </w:p>
    <w:p w14:paraId="62D0BBDD" w14:textId="77777777" w:rsidR="001745EA" w:rsidRPr="00883399" w:rsidRDefault="001745EA" w:rsidP="00872C03">
      <w:pPr>
        <w:pStyle w:val="notetext"/>
        <w:rPr>
          <w:sz w:val="20"/>
        </w:rPr>
      </w:pPr>
    </w:p>
    <w:p w14:paraId="7CC40099" w14:textId="77777777" w:rsidR="001745EA" w:rsidRPr="00883399" w:rsidRDefault="001745EA" w:rsidP="001745EA">
      <w:pPr>
        <w:pStyle w:val="Note"/>
        <w:spacing w:line="240" w:lineRule="auto"/>
        <w:ind w:left="958"/>
        <w:outlineLvl w:val="0"/>
        <w:rPr>
          <w:b/>
          <w:color w:val="000000"/>
        </w:rPr>
      </w:pPr>
      <w:r w:rsidRPr="00883399">
        <w:rPr>
          <w:b/>
          <w:color w:val="000000"/>
        </w:rPr>
        <w:t>Summary of available methods, by emissions of gas type (j)</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1560"/>
        <w:gridCol w:w="1440"/>
        <w:gridCol w:w="1560"/>
      </w:tblGrid>
      <w:tr w:rsidR="001745EA" w:rsidRPr="00883399" w14:paraId="22A3A9F8" w14:textId="77777777" w:rsidTr="00002D0E">
        <w:tc>
          <w:tcPr>
            <w:tcW w:w="1920" w:type="dxa"/>
            <w:shd w:val="clear" w:color="auto" w:fill="E6E6E6"/>
          </w:tcPr>
          <w:p w14:paraId="0657DC54" w14:textId="77777777" w:rsidR="001745EA" w:rsidRPr="00883399" w:rsidRDefault="001745EA" w:rsidP="00002D0E">
            <w:pPr>
              <w:pStyle w:val="Note"/>
              <w:ind w:left="0"/>
              <w:rPr>
                <w:b/>
                <w:color w:val="000000"/>
              </w:rPr>
            </w:pPr>
          </w:p>
        </w:tc>
        <w:tc>
          <w:tcPr>
            <w:tcW w:w="1560" w:type="dxa"/>
            <w:shd w:val="clear" w:color="auto" w:fill="E6E6E6"/>
          </w:tcPr>
          <w:p w14:paraId="73AC47F9" w14:textId="77777777" w:rsidR="001745EA" w:rsidRPr="00883399" w:rsidRDefault="001745EA" w:rsidP="00002D0E">
            <w:pPr>
              <w:pStyle w:val="Note"/>
              <w:ind w:left="0"/>
              <w:jc w:val="center"/>
              <w:rPr>
                <w:b/>
                <w:color w:val="000000"/>
              </w:rPr>
            </w:pPr>
            <w:r w:rsidRPr="00883399">
              <w:rPr>
                <w:b/>
                <w:color w:val="000000"/>
              </w:rPr>
              <w:t>CO</w:t>
            </w:r>
            <w:r w:rsidRPr="00883399">
              <w:rPr>
                <w:b/>
                <w:color w:val="000000"/>
                <w:vertAlign w:val="subscript"/>
              </w:rPr>
              <w:t>2</w:t>
            </w:r>
          </w:p>
        </w:tc>
        <w:tc>
          <w:tcPr>
            <w:tcW w:w="1440" w:type="dxa"/>
            <w:shd w:val="clear" w:color="auto" w:fill="E6E6E6"/>
          </w:tcPr>
          <w:p w14:paraId="335203E8" w14:textId="77777777" w:rsidR="001745EA" w:rsidRPr="00883399" w:rsidRDefault="001745EA" w:rsidP="00002D0E">
            <w:pPr>
              <w:pStyle w:val="Note"/>
              <w:ind w:left="0"/>
              <w:jc w:val="center"/>
              <w:rPr>
                <w:b/>
                <w:color w:val="000000"/>
              </w:rPr>
            </w:pPr>
            <w:r w:rsidRPr="00883399">
              <w:rPr>
                <w:b/>
                <w:color w:val="000000"/>
              </w:rPr>
              <w:t>CH</w:t>
            </w:r>
            <w:r w:rsidRPr="00883399">
              <w:rPr>
                <w:b/>
                <w:color w:val="000000"/>
                <w:vertAlign w:val="subscript"/>
              </w:rPr>
              <w:t>4</w:t>
            </w:r>
          </w:p>
        </w:tc>
        <w:tc>
          <w:tcPr>
            <w:tcW w:w="1560" w:type="dxa"/>
            <w:shd w:val="clear" w:color="auto" w:fill="E6E6E6"/>
          </w:tcPr>
          <w:p w14:paraId="6C6CBD36" w14:textId="77777777" w:rsidR="001745EA" w:rsidRPr="00883399" w:rsidRDefault="001745EA" w:rsidP="00002D0E">
            <w:pPr>
              <w:pStyle w:val="Note"/>
              <w:ind w:left="0"/>
              <w:jc w:val="center"/>
              <w:rPr>
                <w:b/>
                <w:color w:val="000000"/>
              </w:rPr>
            </w:pPr>
            <w:r w:rsidRPr="00883399">
              <w:rPr>
                <w:b/>
                <w:color w:val="000000"/>
              </w:rPr>
              <w:t>N</w:t>
            </w:r>
            <w:r w:rsidRPr="00883399">
              <w:rPr>
                <w:b/>
                <w:color w:val="000000"/>
                <w:vertAlign w:val="subscript"/>
              </w:rPr>
              <w:t>2</w:t>
            </w:r>
            <w:r w:rsidRPr="00883399">
              <w:rPr>
                <w:b/>
                <w:color w:val="000000"/>
              </w:rPr>
              <w:t>O</w:t>
            </w:r>
          </w:p>
        </w:tc>
      </w:tr>
      <w:tr w:rsidR="001745EA" w:rsidRPr="00883399" w14:paraId="029192DA" w14:textId="77777777" w:rsidTr="00002D0E">
        <w:tc>
          <w:tcPr>
            <w:tcW w:w="6480" w:type="dxa"/>
            <w:gridSpan w:val="4"/>
          </w:tcPr>
          <w:p w14:paraId="7BBC518D" w14:textId="77777777" w:rsidR="001745EA" w:rsidRPr="00883399" w:rsidRDefault="001745EA" w:rsidP="00002D0E">
            <w:pPr>
              <w:pStyle w:val="Note"/>
              <w:ind w:left="0"/>
              <w:jc w:val="left"/>
              <w:rPr>
                <w:color w:val="000000"/>
              </w:rPr>
            </w:pPr>
            <w:r w:rsidRPr="00883399">
              <w:rPr>
                <w:color w:val="000000"/>
              </w:rPr>
              <w:t>Domestic and Commercial waste water management</w:t>
            </w:r>
          </w:p>
        </w:tc>
      </w:tr>
      <w:tr w:rsidR="001745EA" w:rsidRPr="00883399" w14:paraId="190EF292" w14:textId="77777777" w:rsidTr="00002D0E">
        <w:tc>
          <w:tcPr>
            <w:tcW w:w="1920" w:type="dxa"/>
          </w:tcPr>
          <w:p w14:paraId="25BB55CB" w14:textId="77777777" w:rsidR="001745EA" w:rsidRPr="00883399" w:rsidRDefault="001745EA" w:rsidP="00002D0E">
            <w:pPr>
              <w:pStyle w:val="Note"/>
              <w:ind w:left="0"/>
              <w:rPr>
                <w:color w:val="000000"/>
              </w:rPr>
            </w:pPr>
            <w:r w:rsidRPr="00883399">
              <w:rPr>
                <w:color w:val="000000"/>
              </w:rPr>
              <w:t>Method 1</w:t>
            </w:r>
          </w:p>
        </w:tc>
        <w:tc>
          <w:tcPr>
            <w:tcW w:w="1560" w:type="dxa"/>
          </w:tcPr>
          <w:p w14:paraId="1ED700C0" w14:textId="77777777" w:rsidR="001745EA" w:rsidRPr="00883399" w:rsidRDefault="001745EA" w:rsidP="00002D0E">
            <w:pPr>
              <w:pStyle w:val="Note"/>
              <w:ind w:left="0"/>
              <w:jc w:val="center"/>
              <w:rPr>
                <w:color w:val="000000"/>
              </w:rPr>
            </w:pPr>
            <w:r w:rsidRPr="00883399">
              <w:rPr>
                <w:color w:val="000000"/>
              </w:rPr>
              <w:t>NA</w:t>
            </w:r>
          </w:p>
        </w:tc>
        <w:tc>
          <w:tcPr>
            <w:tcW w:w="1440" w:type="dxa"/>
          </w:tcPr>
          <w:p w14:paraId="3944927A" w14:textId="77777777" w:rsidR="001745EA" w:rsidRPr="00883399" w:rsidRDefault="001745EA" w:rsidP="00002D0E">
            <w:pPr>
              <w:pStyle w:val="Note"/>
              <w:ind w:left="0"/>
              <w:jc w:val="center"/>
              <w:rPr>
                <w:color w:val="000000"/>
              </w:rPr>
            </w:pPr>
            <w:r w:rsidRPr="00883399">
              <w:rPr>
                <w:color w:val="000000"/>
              </w:rPr>
              <w:t>Section 5.42</w:t>
            </w:r>
          </w:p>
        </w:tc>
        <w:tc>
          <w:tcPr>
            <w:tcW w:w="1560" w:type="dxa"/>
          </w:tcPr>
          <w:p w14:paraId="16B42C2A" w14:textId="77777777" w:rsidR="001745EA" w:rsidRPr="00883399" w:rsidRDefault="001745EA" w:rsidP="00002D0E">
            <w:pPr>
              <w:pStyle w:val="Note"/>
              <w:ind w:left="0"/>
              <w:jc w:val="center"/>
              <w:rPr>
                <w:color w:val="000000"/>
              </w:rPr>
            </w:pPr>
            <w:r w:rsidRPr="00883399">
              <w:rPr>
                <w:color w:val="000000"/>
              </w:rPr>
              <w:t>NO</w:t>
            </w:r>
          </w:p>
        </w:tc>
      </w:tr>
      <w:tr w:rsidR="001745EA" w:rsidRPr="00883399" w14:paraId="6499A83F" w14:textId="77777777" w:rsidTr="00002D0E">
        <w:tc>
          <w:tcPr>
            <w:tcW w:w="1920" w:type="dxa"/>
          </w:tcPr>
          <w:p w14:paraId="6D7C7E10" w14:textId="77777777" w:rsidR="001745EA" w:rsidRPr="00883399" w:rsidRDefault="001745EA" w:rsidP="00002D0E">
            <w:pPr>
              <w:pStyle w:val="Note"/>
              <w:ind w:left="0"/>
              <w:rPr>
                <w:color w:val="000000"/>
              </w:rPr>
            </w:pPr>
            <w:r w:rsidRPr="00883399">
              <w:rPr>
                <w:color w:val="000000"/>
              </w:rPr>
              <w:t>Method 2</w:t>
            </w:r>
          </w:p>
        </w:tc>
        <w:tc>
          <w:tcPr>
            <w:tcW w:w="1560" w:type="dxa"/>
          </w:tcPr>
          <w:p w14:paraId="5BFD2066" w14:textId="77777777" w:rsidR="001745EA" w:rsidRPr="00883399" w:rsidRDefault="001745EA" w:rsidP="00002D0E">
            <w:pPr>
              <w:pStyle w:val="Note"/>
              <w:ind w:left="0"/>
              <w:jc w:val="center"/>
              <w:rPr>
                <w:color w:val="000000"/>
              </w:rPr>
            </w:pPr>
            <w:r w:rsidRPr="00883399">
              <w:rPr>
                <w:color w:val="000000"/>
              </w:rPr>
              <w:t>NA</w:t>
            </w:r>
          </w:p>
        </w:tc>
        <w:tc>
          <w:tcPr>
            <w:tcW w:w="1440" w:type="dxa"/>
          </w:tcPr>
          <w:p w14:paraId="18D0DB2C" w14:textId="77777777" w:rsidR="001745EA" w:rsidRPr="00883399" w:rsidRDefault="001745EA" w:rsidP="00002D0E">
            <w:pPr>
              <w:pStyle w:val="Note"/>
              <w:ind w:left="0"/>
              <w:jc w:val="center"/>
              <w:rPr>
                <w:color w:val="000000"/>
              </w:rPr>
            </w:pPr>
            <w:r w:rsidRPr="00883399">
              <w:rPr>
                <w:color w:val="000000"/>
              </w:rPr>
              <w:t>Section 5.43</w:t>
            </w:r>
          </w:p>
        </w:tc>
        <w:tc>
          <w:tcPr>
            <w:tcW w:w="1560" w:type="dxa"/>
          </w:tcPr>
          <w:p w14:paraId="1F74F2F7" w14:textId="77777777" w:rsidR="001745EA" w:rsidRPr="00883399" w:rsidRDefault="001745EA" w:rsidP="00002D0E">
            <w:pPr>
              <w:pStyle w:val="Note"/>
              <w:ind w:left="0"/>
              <w:jc w:val="center"/>
              <w:rPr>
                <w:color w:val="000000"/>
              </w:rPr>
            </w:pPr>
            <w:r w:rsidRPr="00883399">
              <w:rPr>
                <w:color w:val="000000"/>
              </w:rPr>
              <w:t>NO</w:t>
            </w:r>
          </w:p>
        </w:tc>
      </w:tr>
      <w:tr w:rsidR="001745EA" w:rsidRPr="00883399" w14:paraId="5CD21A2A" w14:textId="77777777" w:rsidTr="00002D0E">
        <w:tc>
          <w:tcPr>
            <w:tcW w:w="1920" w:type="dxa"/>
          </w:tcPr>
          <w:p w14:paraId="75D873C4" w14:textId="77777777" w:rsidR="001745EA" w:rsidRPr="00883399" w:rsidRDefault="001745EA" w:rsidP="00002D0E">
            <w:pPr>
              <w:pStyle w:val="Note"/>
              <w:ind w:left="0"/>
              <w:rPr>
                <w:color w:val="000000"/>
              </w:rPr>
            </w:pPr>
            <w:r w:rsidRPr="00883399">
              <w:rPr>
                <w:color w:val="000000"/>
              </w:rPr>
              <w:t>Method 3</w:t>
            </w:r>
          </w:p>
        </w:tc>
        <w:tc>
          <w:tcPr>
            <w:tcW w:w="1560" w:type="dxa"/>
          </w:tcPr>
          <w:p w14:paraId="0BDE2237" w14:textId="77777777" w:rsidR="001745EA" w:rsidRPr="00883399" w:rsidRDefault="001745EA" w:rsidP="00002D0E">
            <w:pPr>
              <w:pStyle w:val="Note"/>
              <w:ind w:left="0"/>
              <w:jc w:val="center"/>
              <w:rPr>
                <w:color w:val="000000"/>
              </w:rPr>
            </w:pPr>
            <w:r w:rsidRPr="00883399">
              <w:rPr>
                <w:color w:val="000000"/>
              </w:rPr>
              <w:t>NA</w:t>
            </w:r>
          </w:p>
        </w:tc>
        <w:tc>
          <w:tcPr>
            <w:tcW w:w="1440" w:type="dxa"/>
          </w:tcPr>
          <w:p w14:paraId="63D33CC5" w14:textId="77777777" w:rsidR="001745EA" w:rsidRPr="00883399" w:rsidRDefault="001745EA" w:rsidP="00002D0E">
            <w:pPr>
              <w:pStyle w:val="Note"/>
              <w:ind w:left="0"/>
              <w:jc w:val="center"/>
              <w:rPr>
                <w:color w:val="000000"/>
              </w:rPr>
            </w:pPr>
            <w:r w:rsidRPr="00883399">
              <w:rPr>
                <w:color w:val="000000"/>
              </w:rPr>
              <w:t>Section 5.47</w:t>
            </w:r>
          </w:p>
        </w:tc>
        <w:tc>
          <w:tcPr>
            <w:tcW w:w="1560" w:type="dxa"/>
          </w:tcPr>
          <w:p w14:paraId="39CF3286" w14:textId="77777777" w:rsidR="001745EA" w:rsidRPr="00883399" w:rsidRDefault="001745EA" w:rsidP="00002D0E">
            <w:pPr>
              <w:pStyle w:val="Note"/>
              <w:ind w:left="0"/>
              <w:jc w:val="center"/>
              <w:rPr>
                <w:color w:val="000000"/>
              </w:rPr>
            </w:pPr>
            <w:r w:rsidRPr="00883399">
              <w:rPr>
                <w:color w:val="000000"/>
              </w:rPr>
              <w:t>NO</w:t>
            </w:r>
          </w:p>
        </w:tc>
      </w:tr>
      <w:tr w:rsidR="001745EA" w:rsidRPr="00883399" w14:paraId="41808C5F" w14:textId="77777777" w:rsidTr="00002D0E">
        <w:tc>
          <w:tcPr>
            <w:tcW w:w="1920" w:type="dxa"/>
          </w:tcPr>
          <w:p w14:paraId="0342B526" w14:textId="77777777" w:rsidR="001745EA" w:rsidRPr="00883399" w:rsidRDefault="001745EA" w:rsidP="00002D0E">
            <w:pPr>
              <w:pStyle w:val="Note"/>
              <w:ind w:left="0"/>
              <w:rPr>
                <w:color w:val="000000"/>
              </w:rPr>
            </w:pPr>
            <w:r w:rsidRPr="00883399">
              <w:rPr>
                <w:color w:val="000000"/>
              </w:rPr>
              <w:t>Method 4</w:t>
            </w:r>
          </w:p>
        </w:tc>
        <w:tc>
          <w:tcPr>
            <w:tcW w:w="1560" w:type="dxa"/>
          </w:tcPr>
          <w:p w14:paraId="312C17E5" w14:textId="77777777" w:rsidR="001745EA" w:rsidRPr="00883399" w:rsidRDefault="001745EA" w:rsidP="00002D0E">
            <w:pPr>
              <w:pStyle w:val="Note"/>
              <w:ind w:left="0"/>
              <w:jc w:val="center"/>
              <w:rPr>
                <w:color w:val="000000"/>
              </w:rPr>
            </w:pPr>
            <w:r w:rsidRPr="00883399">
              <w:rPr>
                <w:color w:val="000000"/>
              </w:rPr>
              <w:t>NA</w:t>
            </w:r>
          </w:p>
        </w:tc>
        <w:tc>
          <w:tcPr>
            <w:tcW w:w="1440" w:type="dxa"/>
          </w:tcPr>
          <w:p w14:paraId="039D82AA" w14:textId="77777777" w:rsidR="001745EA" w:rsidRPr="00883399" w:rsidRDefault="001745EA" w:rsidP="00002D0E">
            <w:pPr>
              <w:pStyle w:val="Note"/>
              <w:ind w:left="0"/>
              <w:jc w:val="center"/>
              <w:rPr>
                <w:color w:val="000000"/>
              </w:rPr>
            </w:pPr>
            <w:r w:rsidRPr="00883399">
              <w:rPr>
                <w:color w:val="000000"/>
              </w:rPr>
              <w:t>NA</w:t>
            </w:r>
          </w:p>
        </w:tc>
        <w:tc>
          <w:tcPr>
            <w:tcW w:w="1560" w:type="dxa"/>
          </w:tcPr>
          <w:p w14:paraId="4CAA6F66" w14:textId="77777777" w:rsidR="001745EA" w:rsidRPr="00883399" w:rsidRDefault="001745EA" w:rsidP="00002D0E">
            <w:pPr>
              <w:pStyle w:val="Note"/>
              <w:ind w:left="0"/>
              <w:jc w:val="center"/>
              <w:rPr>
                <w:color w:val="000000"/>
              </w:rPr>
            </w:pPr>
            <w:r w:rsidRPr="00883399">
              <w:rPr>
                <w:color w:val="000000"/>
              </w:rPr>
              <w:t>NO</w:t>
            </w:r>
          </w:p>
        </w:tc>
      </w:tr>
      <w:tr w:rsidR="001745EA" w:rsidRPr="00883399" w14:paraId="441A45E0" w14:textId="77777777" w:rsidTr="00002D0E">
        <w:tc>
          <w:tcPr>
            <w:tcW w:w="6480" w:type="dxa"/>
            <w:gridSpan w:val="4"/>
          </w:tcPr>
          <w:p w14:paraId="7B95FD10" w14:textId="77777777" w:rsidR="001745EA" w:rsidRPr="00883399" w:rsidRDefault="001745EA" w:rsidP="00002D0E">
            <w:pPr>
              <w:pStyle w:val="Note"/>
              <w:ind w:left="0"/>
              <w:jc w:val="left"/>
              <w:rPr>
                <w:color w:val="000000"/>
              </w:rPr>
            </w:pPr>
            <w:r w:rsidRPr="00883399">
              <w:rPr>
                <w:color w:val="000000"/>
              </w:rPr>
              <w:t>Methane flared from the operation of the facility</w:t>
            </w:r>
          </w:p>
        </w:tc>
      </w:tr>
      <w:tr w:rsidR="001745EA" w:rsidRPr="00883399" w14:paraId="7A5B007D" w14:textId="77777777" w:rsidTr="00002D0E">
        <w:tc>
          <w:tcPr>
            <w:tcW w:w="1920" w:type="dxa"/>
          </w:tcPr>
          <w:p w14:paraId="3EF76DFA" w14:textId="77777777" w:rsidR="001745EA" w:rsidRPr="00883399" w:rsidRDefault="001745EA" w:rsidP="00002D0E">
            <w:pPr>
              <w:pStyle w:val="Note"/>
              <w:ind w:left="0"/>
              <w:rPr>
                <w:color w:val="000000"/>
              </w:rPr>
            </w:pPr>
            <w:r w:rsidRPr="00883399">
              <w:rPr>
                <w:color w:val="000000"/>
              </w:rPr>
              <w:t>Method 1</w:t>
            </w:r>
          </w:p>
        </w:tc>
        <w:tc>
          <w:tcPr>
            <w:tcW w:w="1560" w:type="dxa"/>
          </w:tcPr>
          <w:p w14:paraId="3542F43A" w14:textId="77777777" w:rsidR="001745EA" w:rsidRPr="00883399" w:rsidRDefault="001745EA" w:rsidP="00002D0E">
            <w:pPr>
              <w:pStyle w:val="Note"/>
              <w:ind w:left="0"/>
              <w:jc w:val="center"/>
              <w:rPr>
                <w:color w:val="000000"/>
              </w:rPr>
            </w:pPr>
            <w:r w:rsidRPr="00883399">
              <w:rPr>
                <w:color w:val="000000"/>
              </w:rPr>
              <w:t>NA</w:t>
            </w:r>
          </w:p>
        </w:tc>
        <w:tc>
          <w:tcPr>
            <w:tcW w:w="1440" w:type="dxa"/>
          </w:tcPr>
          <w:p w14:paraId="64A017D4" w14:textId="77777777" w:rsidR="001745EA" w:rsidRPr="00883399" w:rsidRDefault="001745EA" w:rsidP="00002D0E">
            <w:pPr>
              <w:pStyle w:val="Note"/>
              <w:ind w:left="0"/>
              <w:jc w:val="center"/>
              <w:rPr>
                <w:color w:val="000000"/>
              </w:rPr>
            </w:pPr>
            <w:r w:rsidRPr="00883399">
              <w:rPr>
                <w:color w:val="000000"/>
              </w:rPr>
              <w:t>Section 5.48</w:t>
            </w:r>
          </w:p>
        </w:tc>
        <w:tc>
          <w:tcPr>
            <w:tcW w:w="1560" w:type="dxa"/>
          </w:tcPr>
          <w:p w14:paraId="6CBF1A25" w14:textId="77777777" w:rsidR="001745EA" w:rsidRPr="00883399" w:rsidRDefault="001745EA" w:rsidP="00002D0E">
            <w:pPr>
              <w:pStyle w:val="Note"/>
              <w:ind w:left="0"/>
              <w:jc w:val="center"/>
              <w:rPr>
                <w:color w:val="000000"/>
              </w:rPr>
            </w:pPr>
            <w:r w:rsidRPr="00883399">
              <w:rPr>
                <w:color w:val="000000"/>
              </w:rPr>
              <w:t>Section 5.48</w:t>
            </w:r>
          </w:p>
        </w:tc>
      </w:tr>
      <w:tr w:rsidR="001745EA" w:rsidRPr="00883399" w14:paraId="0A1F08C7" w14:textId="77777777" w:rsidTr="00002D0E">
        <w:tc>
          <w:tcPr>
            <w:tcW w:w="1920" w:type="dxa"/>
          </w:tcPr>
          <w:p w14:paraId="102EAFC7" w14:textId="77777777" w:rsidR="001745EA" w:rsidRPr="00883399" w:rsidRDefault="001745EA" w:rsidP="00002D0E">
            <w:pPr>
              <w:pStyle w:val="Note"/>
              <w:ind w:left="0"/>
              <w:rPr>
                <w:color w:val="000000"/>
              </w:rPr>
            </w:pPr>
            <w:r w:rsidRPr="00883399">
              <w:rPr>
                <w:color w:val="000000"/>
              </w:rPr>
              <w:t>Method 2</w:t>
            </w:r>
          </w:p>
        </w:tc>
        <w:tc>
          <w:tcPr>
            <w:tcW w:w="1560" w:type="dxa"/>
          </w:tcPr>
          <w:p w14:paraId="6A1A1C37" w14:textId="77777777" w:rsidR="001745EA" w:rsidRPr="00883399" w:rsidRDefault="001745EA" w:rsidP="00002D0E">
            <w:pPr>
              <w:pStyle w:val="Note"/>
              <w:ind w:left="0"/>
              <w:jc w:val="center"/>
              <w:rPr>
                <w:color w:val="000000"/>
              </w:rPr>
            </w:pPr>
            <w:r w:rsidRPr="00883399">
              <w:rPr>
                <w:color w:val="000000"/>
              </w:rPr>
              <w:t>NA</w:t>
            </w:r>
          </w:p>
        </w:tc>
        <w:tc>
          <w:tcPr>
            <w:tcW w:w="1440" w:type="dxa"/>
          </w:tcPr>
          <w:p w14:paraId="06B9494B" w14:textId="77777777" w:rsidR="001745EA" w:rsidRPr="00883399" w:rsidRDefault="001745EA" w:rsidP="00002D0E">
            <w:pPr>
              <w:pStyle w:val="Note"/>
              <w:ind w:left="0"/>
              <w:jc w:val="center"/>
              <w:rPr>
                <w:color w:val="000000"/>
              </w:rPr>
            </w:pPr>
            <w:r w:rsidRPr="00883399">
              <w:rPr>
                <w:color w:val="000000"/>
              </w:rPr>
              <w:t>Section 5.49</w:t>
            </w:r>
          </w:p>
        </w:tc>
        <w:tc>
          <w:tcPr>
            <w:tcW w:w="1560" w:type="dxa"/>
          </w:tcPr>
          <w:p w14:paraId="0D3D7786" w14:textId="77777777" w:rsidR="001745EA" w:rsidRPr="00883399" w:rsidRDefault="001745EA" w:rsidP="00002D0E">
            <w:pPr>
              <w:pStyle w:val="Note"/>
              <w:ind w:left="0"/>
              <w:jc w:val="center"/>
              <w:rPr>
                <w:color w:val="000000"/>
              </w:rPr>
            </w:pPr>
            <w:r w:rsidRPr="00883399">
              <w:rPr>
                <w:color w:val="000000"/>
              </w:rPr>
              <w:t>Section 5.49</w:t>
            </w:r>
          </w:p>
        </w:tc>
      </w:tr>
      <w:tr w:rsidR="001745EA" w:rsidRPr="00883399" w14:paraId="0588DB06" w14:textId="77777777" w:rsidTr="00002D0E">
        <w:tc>
          <w:tcPr>
            <w:tcW w:w="1920" w:type="dxa"/>
          </w:tcPr>
          <w:p w14:paraId="63A07D80" w14:textId="77777777" w:rsidR="001745EA" w:rsidRPr="00883399" w:rsidRDefault="001745EA" w:rsidP="00002D0E">
            <w:pPr>
              <w:pStyle w:val="Note"/>
              <w:ind w:left="0"/>
              <w:rPr>
                <w:color w:val="000000"/>
              </w:rPr>
            </w:pPr>
            <w:r w:rsidRPr="00883399">
              <w:rPr>
                <w:color w:val="000000"/>
              </w:rPr>
              <w:t>Method 3</w:t>
            </w:r>
          </w:p>
        </w:tc>
        <w:tc>
          <w:tcPr>
            <w:tcW w:w="1560" w:type="dxa"/>
          </w:tcPr>
          <w:p w14:paraId="1EFB9515" w14:textId="77777777" w:rsidR="001745EA" w:rsidRPr="00883399" w:rsidRDefault="001745EA" w:rsidP="00002D0E">
            <w:pPr>
              <w:pStyle w:val="Note"/>
              <w:ind w:left="0"/>
              <w:jc w:val="center"/>
              <w:rPr>
                <w:color w:val="000000"/>
              </w:rPr>
            </w:pPr>
            <w:r w:rsidRPr="00883399">
              <w:rPr>
                <w:color w:val="000000"/>
              </w:rPr>
              <w:t>NA</w:t>
            </w:r>
          </w:p>
        </w:tc>
        <w:tc>
          <w:tcPr>
            <w:tcW w:w="1440" w:type="dxa"/>
          </w:tcPr>
          <w:p w14:paraId="34930A97" w14:textId="77777777" w:rsidR="001745EA" w:rsidRPr="00883399" w:rsidRDefault="001745EA" w:rsidP="00002D0E">
            <w:pPr>
              <w:pStyle w:val="Note"/>
              <w:ind w:left="0"/>
              <w:jc w:val="center"/>
              <w:rPr>
                <w:color w:val="000000"/>
              </w:rPr>
            </w:pPr>
            <w:r w:rsidRPr="00883399">
              <w:rPr>
                <w:color w:val="000000"/>
              </w:rPr>
              <w:t>Section 5.50</w:t>
            </w:r>
          </w:p>
        </w:tc>
        <w:tc>
          <w:tcPr>
            <w:tcW w:w="1560" w:type="dxa"/>
          </w:tcPr>
          <w:p w14:paraId="080A1308" w14:textId="77777777" w:rsidR="001745EA" w:rsidRPr="00883399" w:rsidRDefault="001745EA" w:rsidP="00002D0E">
            <w:pPr>
              <w:pStyle w:val="Note"/>
              <w:ind w:left="0"/>
              <w:jc w:val="center"/>
              <w:rPr>
                <w:color w:val="000000"/>
              </w:rPr>
            </w:pPr>
            <w:r w:rsidRPr="00883399">
              <w:rPr>
                <w:color w:val="000000"/>
              </w:rPr>
              <w:t>Section 5.50</w:t>
            </w:r>
          </w:p>
        </w:tc>
      </w:tr>
      <w:tr w:rsidR="001745EA" w:rsidRPr="00883399" w14:paraId="556C0B98" w14:textId="77777777" w:rsidTr="00002D0E">
        <w:tc>
          <w:tcPr>
            <w:tcW w:w="1920" w:type="dxa"/>
          </w:tcPr>
          <w:p w14:paraId="6E4722BC" w14:textId="77777777" w:rsidR="001745EA" w:rsidRPr="00883399" w:rsidRDefault="001745EA" w:rsidP="00002D0E">
            <w:pPr>
              <w:pStyle w:val="Note"/>
              <w:ind w:left="0"/>
              <w:rPr>
                <w:color w:val="000000"/>
              </w:rPr>
            </w:pPr>
            <w:r w:rsidRPr="00883399">
              <w:rPr>
                <w:color w:val="000000"/>
              </w:rPr>
              <w:t>Method 4</w:t>
            </w:r>
          </w:p>
        </w:tc>
        <w:tc>
          <w:tcPr>
            <w:tcW w:w="1560" w:type="dxa"/>
          </w:tcPr>
          <w:p w14:paraId="3A0C70EC" w14:textId="77777777" w:rsidR="001745EA" w:rsidRPr="00883399" w:rsidRDefault="001745EA" w:rsidP="00002D0E">
            <w:pPr>
              <w:pStyle w:val="Note"/>
              <w:ind w:left="0"/>
              <w:jc w:val="center"/>
              <w:rPr>
                <w:color w:val="000000"/>
              </w:rPr>
            </w:pPr>
            <w:r w:rsidRPr="00883399">
              <w:rPr>
                <w:color w:val="000000"/>
              </w:rPr>
              <w:t>NA</w:t>
            </w:r>
          </w:p>
        </w:tc>
        <w:tc>
          <w:tcPr>
            <w:tcW w:w="1440" w:type="dxa"/>
          </w:tcPr>
          <w:p w14:paraId="0A54D37F" w14:textId="77777777" w:rsidR="001745EA" w:rsidRPr="00883399" w:rsidRDefault="001745EA" w:rsidP="00002D0E">
            <w:pPr>
              <w:pStyle w:val="Note"/>
              <w:ind w:left="0"/>
              <w:jc w:val="center"/>
              <w:rPr>
                <w:color w:val="000000"/>
              </w:rPr>
            </w:pPr>
            <w:r w:rsidRPr="00883399">
              <w:rPr>
                <w:color w:val="000000"/>
              </w:rPr>
              <w:t>NA</w:t>
            </w:r>
          </w:p>
        </w:tc>
        <w:tc>
          <w:tcPr>
            <w:tcW w:w="1560" w:type="dxa"/>
          </w:tcPr>
          <w:p w14:paraId="734266BB" w14:textId="77777777" w:rsidR="001745EA" w:rsidRPr="00883399" w:rsidRDefault="001745EA" w:rsidP="00002D0E">
            <w:pPr>
              <w:pStyle w:val="Note"/>
              <w:ind w:left="0"/>
              <w:jc w:val="center"/>
              <w:rPr>
                <w:color w:val="000000"/>
              </w:rPr>
            </w:pPr>
            <w:r w:rsidRPr="00883399">
              <w:rPr>
                <w:color w:val="000000"/>
              </w:rPr>
              <w:t>NA</w:t>
            </w:r>
          </w:p>
        </w:tc>
      </w:tr>
    </w:tbl>
    <w:p w14:paraId="2D05A335" w14:textId="77777777" w:rsidR="001745EA" w:rsidRPr="00883399" w:rsidRDefault="001745EA" w:rsidP="001745EA">
      <w:pPr>
        <w:pStyle w:val="Note"/>
      </w:pPr>
      <w:r w:rsidRPr="00883399">
        <w:rPr>
          <w:color w:val="000000"/>
        </w:rPr>
        <w:t>NA = Not available.  NO = Not occurring.</w:t>
      </w:r>
    </w:p>
    <w:p w14:paraId="4C52EBB0" w14:textId="54DBD676" w:rsidR="00872C03" w:rsidRPr="00883399" w:rsidRDefault="00872C03" w:rsidP="00872C03">
      <w:pPr>
        <w:pStyle w:val="ActHead3"/>
        <w:pageBreakBefore/>
        <w:rPr>
          <w:sz w:val="32"/>
        </w:rPr>
      </w:pPr>
      <w:bookmarkStart w:id="1278" w:name="_Toc423517218"/>
      <w:bookmarkStart w:id="1279" w:name="_Toc495653162"/>
      <w:r w:rsidRPr="00883399">
        <w:rPr>
          <w:rStyle w:val="CharDivNo"/>
          <w:sz w:val="32"/>
        </w:rPr>
        <w:lastRenderedPageBreak/>
        <w:t>Division 5.4.2</w:t>
      </w:r>
      <w:r w:rsidRPr="00883399">
        <w:rPr>
          <w:sz w:val="32"/>
        </w:rPr>
        <w:t>—</w:t>
      </w:r>
      <w:r w:rsidRPr="00883399">
        <w:rPr>
          <w:rStyle w:val="CharDivText"/>
          <w:sz w:val="32"/>
        </w:rPr>
        <w:t>Method 1—methane released from wastewater handling (industrial)</w:t>
      </w:r>
      <w:bookmarkEnd w:id="1278"/>
      <w:bookmarkEnd w:id="1279"/>
    </w:p>
    <w:p w14:paraId="2428AB10" w14:textId="44486B5D" w:rsidR="00872C03" w:rsidRPr="00883399" w:rsidRDefault="00872C03" w:rsidP="00872C03">
      <w:pPr>
        <w:pStyle w:val="ActHead5"/>
        <w:rPr>
          <w:sz w:val="28"/>
        </w:rPr>
      </w:pPr>
      <w:bookmarkStart w:id="1280" w:name="_Toc423517219"/>
      <w:bookmarkStart w:id="1281" w:name="_Toc495653163"/>
      <w:r w:rsidRPr="00883399">
        <w:rPr>
          <w:rStyle w:val="CharSectno"/>
          <w:sz w:val="28"/>
        </w:rPr>
        <w:t>5.42</w:t>
      </w:r>
      <w:r w:rsidRPr="00883399">
        <w:rPr>
          <w:sz w:val="28"/>
        </w:rPr>
        <w:t xml:space="preserve">  Method 1—methane released from wastewater handling (industrial)</w:t>
      </w:r>
      <w:bookmarkEnd w:id="1280"/>
      <w:bookmarkEnd w:id="1281"/>
    </w:p>
    <w:p w14:paraId="47373C69" w14:textId="77777777" w:rsidR="001745EA" w:rsidRPr="00883399" w:rsidRDefault="001745EA" w:rsidP="001745EA">
      <w:pPr>
        <w:pStyle w:val="Text"/>
        <w:tabs>
          <w:tab w:val="left" w:pos="8400"/>
        </w:tabs>
        <w:rPr>
          <w:rFonts w:ascii="Arial" w:hAnsi="Arial" w:cs="Arial"/>
          <w:sz w:val="22"/>
          <w:szCs w:val="22"/>
        </w:rPr>
      </w:pPr>
      <w:r w:rsidRPr="00883399">
        <w:rPr>
          <w:rFonts w:ascii="Arial" w:hAnsi="Arial" w:cs="Arial"/>
          <w:sz w:val="22"/>
          <w:szCs w:val="22"/>
        </w:rPr>
        <w:t>Section 5.42 sets out Method 1 for methane emissions from wastewater handling – industrial. It is intended that this method applies to industries producing the following commodities under the applicable ANZSIC codes:</w:t>
      </w:r>
    </w:p>
    <w:tbl>
      <w:tblPr>
        <w:tblW w:w="7341" w:type="dxa"/>
        <w:tblInd w:w="392" w:type="dxa"/>
        <w:tblLook w:val="0000" w:firstRow="0" w:lastRow="0" w:firstColumn="0" w:lastColumn="0" w:noHBand="0" w:noVBand="0"/>
      </w:tblPr>
      <w:tblGrid>
        <w:gridCol w:w="7341"/>
      </w:tblGrid>
      <w:tr w:rsidR="001745EA" w:rsidRPr="00883399" w14:paraId="271520F7" w14:textId="77777777" w:rsidTr="00002D0E">
        <w:trPr>
          <w:cantSplit/>
        </w:trPr>
        <w:tc>
          <w:tcPr>
            <w:tcW w:w="7341" w:type="dxa"/>
          </w:tcPr>
          <w:p w14:paraId="2D155971" w14:textId="77777777" w:rsidR="001745EA" w:rsidRPr="00883399" w:rsidRDefault="001745EA" w:rsidP="00002D0E">
            <w:pPr>
              <w:numPr>
                <w:ilvl w:val="0"/>
                <w:numId w:val="32"/>
              </w:numPr>
              <w:rPr>
                <w:rFonts w:ascii="Arial" w:hAnsi="Arial" w:cs="Arial"/>
                <w:sz w:val="22"/>
                <w:szCs w:val="22"/>
              </w:rPr>
            </w:pPr>
            <w:r w:rsidRPr="00883399">
              <w:rPr>
                <w:rFonts w:ascii="Arial" w:hAnsi="Arial" w:cs="Arial"/>
                <w:sz w:val="22"/>
                <w:szCs w:val="22"/>
              </w:rPr>
              <w:t>Dairy products (ANZSIC code 113)</w:t>
            </w:r>
          </w:p>
        </w:tc>
      </w:tr>
      <w:tr w:rsidR="001745EA" w:rsidRPr="00883399" w14:paraId="06DD4E69" w14:textId="77777777" w:rsidTr="00002D0E">
        <w:trPr>
          <w:cantSplit/>
        </w:trPr>
        <w:tc>
          <w:tcPr>
            <w:tcW w:w="7341" w:type="dxa"/>
          </w:tcPr>
          <w:p w14:paraId="709E6032" w14:textId="77777777" w:rsidR="001745EA" w:rsidRPr="00883399" w:rsidRDefault="001745EA" w:rsidP="00002D0E">
            <w:pPr>
              <w:numPr>
                <w:ilvl w:val="0"/>
                <w:numId w:val="32"/>
              </w:numPr>
              <w:rPr>
                <w:rFonts w:ascii="Arial" w:hAnsi="Arial" w:cs="Arial"/>
                <w:sz w:val="22"/>
                <w:szCs w:val="22"/>
              </w:rPr>
            </w:pPr>
            <w:r w:rsidRPr="00883399">
              <w:rPr>
                <w:rFonts w:ascii="Arial" w:hAnsi="Arial" w:cs="Arial"/>
                <w:sz w:val="22"/>
                <w:szCs w:val="22"/>
              </w:rPr>
              <w:t>Pulp, paper and paperboard (ANZSIC code 1510)</w:t>
            </w:r>
          </w:p>
        </w:tc>
      </w:tr>
      <w:tr w:rsidR="001745EA" w:rsidRPr="00883399" w14:paraId="25E0AFB6" w14:textId="77777777" w:rsidTr="00002D0E">
        <w:trPr>
          <w:cantSplit/>
        </w:trPr>
        <w:tc>
          <w:tcPr>
            <w:tcW w:w="7341" w:type="dxa"/>
          </w:tcPr>
          <w:p w14:paraId="7315C984" w14:textId="77777777" w:rsidR="001745EA" w:rsidRPr="00883399" w:rsidRDefault="001745EA" w:rsidP="00002D0E">
            <w:pPr>
              <w:numPr>
                <w:ilvl w:val="0"/>
                <w:numId w:val="32"/>
              </w:numPr>
              <w:rPr>
                <w:rFonts w:ascii="Arial" w:hAnsi="Arial" w:cs="Arial"/>
                <w:sz w:val="22"/>
                <w:szCs w:val="22"/>
              </w:rPr>
            </w:pPr>
            <w:r w:rsidRPr="00883399">
              <w:rPr>
                <w:rFonts w:ascii="Arial" w:hAnsi="Arial" w:cs="Arial"/>
                <w:sz w:val="22"/>
                <w:szCs w:val="22"/>
              </w:rPr>
              <w:t>Meat and poultry (ANZSIC codes 1111 and 1112)</w:t>
            </w:r>
          </w:p>
        </w:tc>
      </w:tr>
      <w:tr w:rsidR="001745EA" w:rsidRPr="00883399" w14:paraId="199159FE" w14:textId="77777777" w:rsidTr="00002D0E">
        <w:trPr>
          <w:cantSplit/>
        </w:trPr>
        <w:tc>
          <w:tcPr>
            <w:tcW w:w="7341" w:type="dxa"/>
          </w:tcPr>
          <w:p w14:paraId="37C19C2E" w14:textId="77777777" w:rsidR="001745EA" w:rsidRPr="00883399" w:rsidRDefault="001745EA" w:rsidP="00002D0E">
            <w:pPr>
              <w:numPr>
                <w:ilvl w:val="0"/>
                <w:numId w:val="32"/>
              </w:numPr>
              <w:rPr>
                <w:rFonts w:ascii="Arial" w:hAnsi="Arial" w:cs="Arial"/>
                <w:sz w:val="22"/>
                <w:szCs w:val="22"/>
              </w:rPr>
            </w:pPr>
            <w:r w:rsidRPr="00883399">
              <w:rPr>
                <w:rFonts w:ascii="Arial" w:hAnsi="Arial" w:cs="Arial"/>
                <w:sz w:val="22"/>
                <w:szCs w:val="22"/>
              </w:rPr>
              <w:t>Organic chemicals (ANZSIC codes 18 and 19)</w:t>
            </w:r>
          </w:p>
        </w:tc>
      </w:tr>
      <w:tr w:rsidR="001745EA" w:rsidRPr="00883399" w14:paraId="5214E4BE" w14:textId="77777777" w:rsidTr="00002D0E">
        <w:trPr>
          <w:cantSplit/>
        </w:trPr>
        <w:tc>
          <w:tcPr>
            <w:tcW w:w="7341" w:type="dxa"/>
          </w:tcPr>
          <w:p w14:paraId="78363179" w14:textId="77777777" w:rsidR="001745EA" w:rsidRPr="00883399" w:rsidRDefault="001745EA" w:rsidP="00002D0E">
            <w:pPr>
              <w:numPr>
                <w:ilvl w:val="0"/>
                <w:numId w:val="32"/>
              </w:numPr>
              <w:rPr>
                <w:rFonts w:ascii="Arial" w:hAnsi="Arial" w:cs="Arial"/>
                <w:sz w:val="22"/>
                <w:szCs w:val="22"/>
              </w:rPr>
            </w:pPr>
            <w:r w:rsidRPr="00883399">
              <w:rPr>
                <w:rFonts w:ascii="Arial" w:hAnsi="Arial" w:cs="Arial"/>
                <w:sz w:val="22"/>
                <w:szCs w:val="22"/>
              </w:rPr>
              <w:t>Raw sugar (ANZSIC code 1181)</w:t>
            </w:r>
          </w:p>
        </w:tc>
      </w:tr>
      <w:tr w:rsidR="001745EA" w:rsidRPr="00883399" w14:paraId="19311A44" w14:textId="77777777" w:rsidTr="00002D0E">
        <w:trPr>
          <w:cantSplit/>
        </w:trPr>
        <w:tc>
          <w:tcPr>
            <w:tcW w:w="7341" w:type="dxa"/>
          </w:tcPr>
          <w:p w14:paraId="06983B8C" w14:textId="77777777" w:rsidR="001745EA" w:rsidRPr="00883399" w:rsidRDefault="001745EA" w:rsidP="00002D0E">
            <w:pPr>
              <w:numPr>
                <w:ilvl w:val="0"/>
                <w:numId w:val="32"/>
              </w:numPr>
              <w:rPr>
                <w:rFonts w:ascii="Arial" w:hAnsi="Arial" w:cs="Arial"/>
                <w:sz w:val="22"/>
                <w:szCs w:val="22"/>
              </w:rPr>
            </w:pPr>
            <w:r w:rsidRPr="00883399">
              <w:rPr>
                <w:rFonts w:ascii="Arial" w:hAnsi="Arial" w:cs="Arial"/>
                <w:sz w:val="22"/>
                <w:szCs w:val="22"/>
              </w:rPr>
              <w:t>Beer (ANZSIC code 1212)</w:t>
            </w:r>
          </w:p>
        </w:tc>
      </w:tr>
      <w:tr w:rsidR="001745EA" w:rsidRPr="00883399" w14:paraId="47F01DE1" w14:textId="77777777" w:rsidTr="00002D0E">
        <w:trPr>
          <w:cantSplit/>
        </w:trPr>
        <w:tc>
          <w:tcPr>
            <w:tcW w:w="7341" w:type="dxa"/>
          </w:tcPr>
          <w:p w14:paraId="0BC96338" w14:textId="77777777" w:rsidR="001745EA" w:rsidRPr="00883399" w:rsidRDefault="001745EA" w:rsidP="00002D0E">
            <w:pPr>
              <w:numPr>
                <w:ilvl w:val="0"/>
                <w:numId w:val="32"/>
              </w:numPr>
              <w:rPr>
                <w:rFonts w:ascii="Arial" w:hAnsi="Arial" w:cs="Arial"/>
                <w:sz w:val="22"/>
                <w:szCs w:val="22"/>
              </w:rPr>
            </w:pPr>
            <w:r w:rsidRPr="00883399">
              <w:rPr>
                <w:rFonts w:ascii="Arial" w:hAnsi="Arial" w:cs="Arial"/>
                <w:sz w:val="22"/>
                <w:szCs w:val="22"/>
              </w:rPr>
              <w:t>Wine and Other Alcoholic Beverages (ANZSIC code 1214)</w:t>
            </w:r>
          </w:p>
        </w:tc>
      </w:tr>
      <w:tr w:rsidR="001745EA" w:rsidRPr="00883399" w14:paraId="4A385DC8" w14:textId="77777777" w:rsidTr="00002D0E">
        <w:trPr>
          <w:cantSplit/>
        </w:trPr>
        <w:tc>
          <w:tcPr>
            <w:tcW w:w="7341" w:type="dxa"/>
          </w:tcPr>
          <w:p w14:paraId="61B725F7" w14:textId="77777777" w:rsidR="001745EA" w:rsidRPr="00883399" w:rsidRDefault="001745EA" w:rsidP="00002D0E">
            <w:pPr>
              <w:numPr>
                <w:ilvl w:val="0"/>
                <w:numId w:val="32"/>
              </w:numPr>
              <w:rPr>
                <w:rFonts w:ascii="Arial" w:hAnsi="Arial" w:cs="Arial"/>
                <w:sz w:val="22"/>
                <w:szCs w:val="22"/>
              </w:rPr>
            </w:pPr>
            <w:r w:rsidRPr="00883399">
              <w:rPr>
                <w:rFonts w:ascii="Arial" w:hAnsi="Arial" w:cs="Arial"/>
                <w:sz w:val="22"/>
                <w:szCs w:val="22"/>
              </w:rPr>
              <w:t>Fruit and vegetables (ANZSIC code 1140)</w:t>
            </w:r>
          </w:p>
        </w:tc>
      </w:tr>
    </w:tbl>
    <w:p w14:paraId="6F728E75" w14:textId="77777777" w:rsidR="001745EA" w:rsidRPr="00883399" w:rsidRDefault="001745EA" w:rsidP="001745EA">
      <w:pPr>
        <w:pStyle w:val="Text"/>
        <w:tabs>
          <w:tab w:val="left" w:pos="8400"/>
        </w:tabs>
        <w:rPr>
          <w:rFonts w:ascii="Arial" w:hAnsi="Arial" w:cs="Arial"/>
          <w:sz w:val="22"/>
          <w:szCs w:val="22"/>
        </w:rPr>
      </w:pPr>
      <w:r w:rsidRPr="00883399">
        <w:rPr>
          <w:rFonts w:ascii="Arial" w:hAnsi="Arial" w:cs="Arial"/>
          <w:sz w:val="22"/>
          <w:szCs w:val="22"/>
        </w:rPr>
        <w:t xml:space="preserve">ANZSIC codes and descriptions of the activities included under each code can be found on the Australian Bureau of Statistics website at </w:t>
      </w:r>
      <w:hyperlink r:id="rId338" w:history="1">
        <w:r w:rsidRPr="00883399">
          <w:rPr>
            <w:rStyle w:val="Hyperlink"/>
            <w:rFonts w:ascii="Arial" w:hAnsi="Arial" w:cs="Arial"/>
            <w:color w:val="auto"/>
            <w:sz w:val="22"/>
            <w:szCs w:val="22"/>
          </w:rPr>
          <w:t>http://www.abs.gov.au</w:t>
        </w:r>
      </w:hyperlink>
      <w:r w:rsidRPr="00883399">
        <w:rPr>
          <w:rFonts w:ascii="Arial" w:hAnsi="Arial" w:cs="Arial"/>
          <w:sz w:val="22"/>
          <w:szCs w:val="22"/>
        </w:rPr>
        <w:t>.</w:t>
      </w:r>
    </w:p>
    <w:p w14:paraId="18CFFF50" w14:textId="77777777" w:rsidR="001745EA" w:rsidRPr="00883399" w:rsidRDefault="001745EA" w:rsidP="001745EA">
      <w:pPr>
        <w:pStyle w:val="Text"/>
        <w:tabs>
          <w:tab w:val="left" w:pos="8400"/>
        </w:tabs>
        <w:rPr>
          <w:rFonts w:ascii="Arial" w:hAnsi="Arial" w:cs="Arial"/>
          <w:sz w:val="22"/>
          <w:szCs w:val="22"/>
        </w:rPr>
      </w:pPr>
      <w:r w:rsidRPr="00883399">
        <w:rPr>
          <w:rFonts w:ascii="Arial" w:hAnsi="Arial" w:cs="Arial"/>
          <w:sz w:val="22"/>
          <w:szCs w:val="22"/>
        </w:rPr>
        <w:t>Note the definition of raw sugar is as follows:</w:t>
      </w:r>
    </w:p>
    <w:p w14:paraId="7E826D9C" w14:textId="77777777" w:rsidR="001745EA" w:rsidRPr="00883399" w:rsidRDefault="001745EA" w:rsidP="001745EA">
      <w:pPr>
        <w:pStyle w:val="definition"/>
        <w:rPr>
          <w:i/>
          <w:iCs/>
          <w:color w:val="000000"/>
        </w:rPr>
      </w:pPr>
      <w:r w:rsidRPr="00883399">
        <w:rPr>
          <w:b/>
          <w:i/>
          <w:color w:val="000000"/>
        </w:rPr>
        <w:t xml:space="preserve">raw sugar </w:t>
      </w:r>
      <w:r w:rsidRPr="00883399">
        <w:rPr>
          <w:color w:val="000000"/>
        </w:rPr>
        <w:t xml:space="preserve">has the meaning given by Chapter 17, Section IV, Schedule 3 of the </w:t>
      </w:r>
      <w:r w:rsidRPr="00883399">
        <w:rPr>
          <w:i/>
          <w:iCs/>
          <w:color w:val="000000"/>
        </w:rPr>
        <w:t>Customs Tariff Act 1995</w:t>
      </w:r>
    </w:p>
    <w:p w14:paraId="6CB3F9CC" w14:textId="77777777" w:rsidR="001745EA" w:rsidRPr="00883399" w:rsidRDefault="001745EA" w:rsidP="001745EA">
      <w:pPr>
        <w:pStyle w:val="definition"/>
        <w:spacing w:before="240" w:line="312" w:lineRule="auto"/>
        <w:ind w:left="0"/>
        <w:jc w:val="left"/>
        <w:rPr>
          <w:rFonts w:ascii="Arial" w:hAnsi="Arial" w:cs="Arial"/>
          <w:i/>
          <w:iCs/>
          <w:color w:val="000000"/>
          <w:sz w:val="22"/>
          <w:szCs w:val="22"/>
        </w:rPr>
      </w:pPr>
      <w:r w:rsidRPr="00883399">
        <w:rPr>
          <w:rFonts w:ascii="Arial" w:hAnsi="Arial" w:cs="Arial"/>
          <w:iCs/>
          <w:color w:val="000000"/>
          <w:sz w:val="22"/>
          <w:szCs w:val="22"/>
        </w:rPr>
        <w:t xml:space="preserve">The following is an excerpt from </w:t>
      </w:r>
      <w:r w:rsidRPr="00883399">
        <w:rPr>
          <w:rFonts w:ascii="Arial" w:hAnsi="Arial" w:cs="Arial"/>
          <w:color w:val="000000"/>
          <w:sz w:val="22"/>
          <w:szCs w:val="22"/>
        </w:rPr>
        <w:t xml:space="preserve">Chapter 17, Section IV, Schedule 3 of the </w:t>
      </w:r>
      <w:r w:rsidRPr="00883399">
        <w:rPr>
          <w:rFonts w:ascii="Arial" w:hAnsi="Arial" w:cs="Arial"/>
          <w:i/>
          <w:iCs/>
          <w:color w:val="000000"/>
          <w:sz w:val="22"/>
          <w:szCs w:val="22"/>
        </w:rPr>
        <w:t>Customs Tariff Act 1995</w:t>
      </w:r>
    </w:p>
    <w:p w14:paraId="4F82F853" w14:textId="77777777" w:rsidR="001745EA" w:rsidRPr="00883399" w:rsidRDefault="001745EA" w:rsidP="001745EA">
      <w:pPr>
        <w:pStyle w:val="definition"/>
        <w:rPr>
          <w:i/>
          <w:iCs/>
          <w:color w:val="000000"/>
        </w:rPr>
      </w:pPr>
    </w:p>
    <w:p w14:paraId="6E7D73AC" w14:textId="77777777" w:rsidR="001745EA" w:rsidRPr="00883399" w:rsidRDefault="001745EA" w:rsidP="001745EA">
      <w:pPr>
        <w:autoSpaceDE w:val="0"/>
        <w:autoSpaceDN w:val="0"/>
        <w:adjustRightInd w:val="0"/>
        <w:ind w:left="993"/>
        <w:rPr>
          <w:sz w:val="22"/>
          <w:szCs w:val="22"/>
        </w:rPr>
      </w:pPr>
      <w:r w:rsidRPr="00883399">
        <w:rPr>
          <w:sz w:val="22"/>
          <w:szCs w:val="22"/>
        </w:rPr>
        <w:t>“ “raw sugar” means sugar whose content of sucrose by weight, in the dry state, corresponds to a polarimeter reading of less than 99.55.”</w:t>
      </w:r>
    </w:p>
    <w:p w14:paraId="5DCB806C" w14:textId="77777777" w:rsidR="001745EA" w:rsidRPr="00883399" w:rsidRDefault="001745EA" w:rsidP="001745EA">
      <w:pPr>
        <w:pStyle w:val="Text"/>
        <w:tabs>
          <w:tab w:val="left" w:pos="8400"/>
        </w:tabs>
        <w:rPr>
          <w:rFonts w:ascii="Arial" w:hAnsi="Arial" w:cs="Arial"/>
          <w:sz w:val="22"/>
          <w:szCs w:val="22"/>
        </w:rPr>
      </w:pPr>
      <w:r w:rsidRPr="00883399">
        <w:rPr>
          <w:rFonts w:ascii="Arial" w:hAnsi="Arial" w:cs="Arial"/>
          <w:sz w:val="22"/>
          <w:szCs w:val="22"/>
        </w:rPr>
        <w:lastRenderedPageBreak/>
        <w:t xml:space="preserve">As for domestic and commercial wastewater handling facilities, Method 1 for industrial wastewater handling is based on the </w:t>
      </w:r>
      <w:r w:rsidRPr="00883399">
        <w:rPr>
          <w:rFonts w:ascii="Arial" w:hAnsi="Arial" w:cs="Arial"/>
          <w:i/>
          <w:sz w:val="22"/>
          <w:szCs w:val="22"/>
        </w:rPr>
        <w:t>National Greenhouse Accounts</w:t>
      </w:r>
      <w:r w:rsidRPr="00883399">
        <w:rPr>
          <w:rFonts w:ascii="Arial" w:hAnsi="Arial" w:cs="Arial"/>
          <w:sz w:val="22"/>
          <w:szCs w:val="22"/>
        </w:rPr>
        <w:t xml:space="preserve"> methods, except in certain circumstances.  </w:t>
      </w:r>
    </w:p>
    <w:p w14:paraId="630AA1A6" w14:textId="77777777" w:rsidR="001745EA" w:rsidRPr="00883399" w:rsidRDefault="001745EA" w:rsidP="001745EA">
      <w:pPr>
        <w:pStyle w:val="ZR1"/>
        <w:keepNext w:val="0"/>
        <w:keepLines w:val="0"/>
        <w:tabs>
          <w:tab w:val="left" w:pos="8400"/>
        </w:tabs>
        <w:spacing w:before="240" w:line="312" w:lineRule="auto"/>
        <w:ind w:left="0" w:firstLine="0"/>
        <w:jc w:val="left"/>
        <w:rPr>
          <w:rFonts w:ascii="Arial" w:hAnsi="Arial" w:cs="Arial"/>
          <w:sz w:val="22"/>
          <w:szCs w:val="22"/>
        </w:rPr>
      </w:pPr>
      <w:r w:rsidRPr="00883399">
        <w:rPr>
          <w:rFonts w:ascii="Arial" w:hAnsi="Arial" w:cs="Arial"/>
          <w:sz w:val="22"/>
          <w:szCs w:val="22"/>
        </w:rPr>
        <w:tab/>
        <w:t>It is intended in time that Reporters will be able to use direct emissions monitoring systems to establish higher capture efficiencies and to establish emissions directly.  This will require the development of direct monitoring methods.  None have been specified in these Guidelines. Further development work and consultation is required to establish the appropriateness of various monitoring techniques before their inclusion.</w:t>
      </w:r>
    </w:p>
    <w:p w14:paraId="29E84528" w14:textId="77777777" w:rsidR="00872C03" w:rsidRPr="00883399" w:rsidRDefault="00872C03" w:rsidP="00872C03">
      <w:pPr>
        <w:pStyle w:val="subsection"/>
        <w:rPr>
          <w:sz w:val="24"/>
        </w:rPr>
      </w:pPr>
      <w:r w:rsidRPr="00883399">
        <w:rPr>
          <w:sz w:val="24"/>
        </w:rPr>
        <w:tab/>
        <w:t>(1)</w:t>
      </w:r>
      <w:r w:rsidRPr="00883399">
        <w:rPr>
          <w:sz w:val="24"/>
        </w:rPr>
        <w:tab/>
        <w:t>For paragraph 5.41(1)(a), method 1 is:</w:t>
      </w:r>
    </w:p>
    <w:p w14:paraId="4EB1DFEE" w14:textId="73913B95"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175CF940" wp14:editId="64D2C39F">
            <wp:extent cx="2482215" cy="320675"/>
            <wp:effectExtent l="1905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39"/>
                    <a:srcRect/>
                    <a:stretch>
                      <a:fillRect/>
                    </a:stretch>
                  </pic:blipFill>
                  <pic:spPr bwMode="auto">
                    <a:xfrm>
                      <a:off x="0" y="0"/>
                      <a:ext cx="2482215" cy="320675"/>
                    </a:xfrm>
                    <a:prstGeom prst="rect">
                      <a:avLst/>
                    </a:prstGeom>
                    <a:noFill/>
                    <a:ln w="9525">
                      <a:noFill/>
                      <a:miter lim="800000"/>
                      <a:headEnd/>
                      <a:tailEnd/>
                    </a:ln>
                  </pic:spPr>
                </pic:pic>
              </a:graphicData>
            </a:graphic>
          </wp:inline>
        </w:drawing>
      </w:r>
    </w:p>
    <w:p w14:paraId="18E8837B" w14:textId="77777777" w:rsidR="00872C03" w:rsidRPr="00883399" w:rsidRDefault="00872C03" w:rsidP="00872C03">
      <w:pPr>
        <w:pStyle w:val="subsection2"/>
        <w:rPr>
          <w:sz w:val="24"/>
        </w:rPr>
      </w:pPr>
      <w:r w:rsidRPr="00883399">
        <w:rPr>
          <w:sz w:val="24"/>
        </w:rPr>
        <w:t>where:</w:t>
      </w:r>
    </w:p>
    <w:p w14:paraId="2B08CD3E" w14:textId="77777777" w:rsidR="00872C03" w:rsidRPr="00883399" w:rsidRDefault="00872C03" w:rsidP="00872C03">
      <w:pPr>
        <w:pStyle w:val="Definition0"/>
        <w:rPr>
          <w:sz w:val="24"/>
        </w:rPr>
      </w:pPr>
      <w:r w:rsidRPr="00883399">
        <w:rPr>
          <w:b/>
          <w:i/>
          <w:sz w:val="24"/>
        </w:rPr>
        <w:t>E</w:t>
      </w:r>
      <w:r w:rsidRPr="00883399">
        <w:rPr>
          <w:rStyle w:val="charSubscript"/>
          <w:b/>
          <w:i/>
          <w:sz w:val="22"/>
        </w:rPr>
        <w:t>j</w:t>
      </w:r>
      <w:r w:rsidRPr="00883399">
        <w:rPr>
          <w:b/>
          <w:i/>
          <w:sz w:val="24"/>
        </w:rPr>
        <w:t xml:space="preserve"> </w:t>
      </w:r>
      <w:r w:rsidRPr="00883399">
        <w:rPr>
          <w:sz w:val="24"/>
        </w:rPr>
        <w:t>is the emissions of methane released from the plant during the year measured in CO</w:t>
      </w:r>
      <w:r w:rsidRPr="00883399">
        <w:rPr>
          <w:sz w:val="24"/>
          <w:vertAlign w:val="subscript"/>
        </w:rPr>
        <w:t>2</w:t>
      </w:r>
      <w:r w:rsidRPr="00883399">
        <w:rPr>
          <w:sz w:val="24"/>
        </w:rPr>
        <w:noBreakHyphen/>
        <w:t>e tonnes.</w:t>
      </w:r>
    </w:p>
    <w:p w14:paraId="0BB688E9" w14:textId="77777777" w:rsidR="00872C03" w:rsidRPr="00883399" w:rsidRDefault="00872C03" w:rsidP="00872C03">
      <w:pPr>
        <w:pStyle w:val="Definition0"/>
        <w:rPr>
          <w:sz w:val="24"/>
        </w:rPr>
      </w:pPr>
      <w:r w:rsidRPr="00883399">
        <w:rPr>
          <w:b/>
          <w:i/>
          <w:sz w:val="24"/>
        </w:rPr>
        <w:t>CH</w:t>
      </w:r>
      <w:r w:rsidRPr="00883399">
        <w:rPr>
          <w:b/>
          <w:i/>
          <w:sz w:val="24"/>
          <w:vertAlign w:val="subscript"/>
        </w:rPr>
        <w:t>4</w:t>
      </w:r>
      <w:r w:rsidRPr="00883399">
        <w:rPr>
          <w:b/>
          <w:i/>
          <w:position w:val="6"/>
          <w:sz w:val="18"/>
          <w:vertAlign w:val="superscript"/>
        </w:rPr>
        <w:t>*</w:t>
      </w:r>
      <w:r w:rsidRPr="00883399">
        <w:rPr>
          <w:b/>
          <w:i/>
          <w:sz w:val="24"/>
          <w:vertAlign w:val="superscript"/>
        </w:rPr>
        <w:t xml:space="preserve"> </w:t>
      </w:r>
      <w:r w:rsidRPr="00883399">
        <w:rPr>
          <w:sz w:val="24"/>
        </w:rPr>
        <w:t>is the estimated quantity of methane in sludge biogas generated by the plant during the year measured in CO</w:t>
      </w:r>
      <w:r w:rsidRPr="00883399">
        <w:rPr>
          <w:sz w:val="24"/>
          <w:vertAlign w:val="subscript"/>
        </w:rPr>
        <w:t>2</w:t>
      </w:r>
      <w:r w:rsidRPr="00883399">
        <w:rPr>
          <w:sz w:val="24"/>
        </w:rPr>
        <w:noBreakHyphen/>
        <w:t>e tonnes as determined under subsections (2) and (3).</w:t>
      </w:r>
    </w:p>
    <w:p w14:paraId="74AF0DC3" w14:textId="77777777" w:rsidR="00872C03" w:rsidRPr="00883399" w:rsidRDefault="00872C03" w:rsidP="00872C03">
      <w:pPr>
        <w:pStyle w:val="Definition0"/>
        <w:rPr>
          <w:sz w:val="24"/>
        </w:rPr>
      </w:pPr>
      <w:r w:rsidRPr="00883399">
        <w:rPr>
          <w:b/>
          <w:i/>
          <w:sz w:val="24"/>
        </w:rPr>
        <w:t xml:space="preserve">γ </w:t>
      </w:r>
      <w:r w:rsidRPr="00883399">
        <w:rPr>
          <w:sz w:val="24"/>
        </w:rPr>
        <w:t>is the factor 6.784 × 10</w:t>
      </w:r>
      <w:r w:rsidRPr="00883399">
        <w:rPr>
          <w:sz w:val="24"/>
          <w:vertAlign w:val="superscript"/>
        </w:rPr>
        <w:noBreakHyphen/>
        <w:t>4.</w:t>
      </w:r>
      <w:r w:rsidRPr="00883399">
        <w:rPr>
          <w:sz w:val="24"/>
        </w:rPr>
        <w:t>× 25 converting cubic metres of methane at standard conditions to CO</w:t>
      </w:r>
      <w:r w:rsidRPr="00883399">
        <w:rPr>
          <w:sz w:val="24"/>
          <w:vertAlign w:val="subscript"/>
        </w:rPr>
        <w:t>2</w:t>
      </w:r>
      <w:r w:rsidRPr="00883399">
        <w:rPr>
          <w:sz w:val="24"/>
        </w:rPr>
        <w:noBreakHyphen/>
        <w:t>e tonnes.</w:t>
      </w:r>
    </w:p>
    <w:p w14:paraId="7AAFD7BD" w14:textId="77777777" w:rsidR="00872C03" w:rsidRPr="00883399" w:rsidRDefault="00872C03" w:rsidP="00872C03">
      <w:pPr>
        <w:pStyle w:val="Definition0"/>
        <w:rPr>
          <w:sz w:val="24"/>
        </w:rPr>
      </w:pPr>
      <w:r w:rsidRPr="00883399">
        <w:rPr>
          <w:b/>
          <w:i/>
          <w:sz w:val="24"/>
        </w:rPr>
        <w:t>Q</w:t>
      </w:r>
      <w:r w:rsidRPr="00883399">
        <w:rPr>
          <w:b/>
          <w:i/>
          <w:sz w:val="24"/>
          <w:vertAlign w:val="subscript"/>
        </w:rPr>
        <w:t>cap</w:t>
      </w:r>
      <w:r w:rsidRPr="00883399">
        <w:rPr>
          <w:b/>
          <w:i/>
          <w:sz w:val="24"/>
        </w:rPr>
        <w:t xml:space="preserve"> </w:t>
      </w:r>
      <w:r w:rsidRPr="00883399">
        <w:rPr>
          <w:sz w:val="24"/>
        </w:rPr>
        <w:t>is the quantity of methane in sludge biogas captured for combustion for the plant during the year measured in cubic metres in accordance with Division 2.3.6.</w:t>
      </w:r>
    </w:p>
    <w:p w14:paraId="46F46F10" w14:textId="77777777" w:rsidR="00872C03" w:rsidRPr="00883399" w:rsidRDefault="00872C03" w:rsidP="00872C03">
      <w:pPr>
        <w:pStyle w:val="Definition0"/>
        <w:rPr>
          <w:sz w:val="24"/>
        </w:rPr>
      </w:pPr>
      <w:r w:rsidRPr="00883399">
        <w:rPr>
          <w:b/>
          <w:i/>
          <w:sz w:val="24"/>
        </w:rPr>
        <w:t>Q</w:t>
      </w:r>
      <w:r w:rsidRPr="00883399">
        <w:rPr>
          <w:b/>
          <w:i/>
          <w:sz w:val="24"/>
          <w:vertAlign w:val="subscript"/>
        </w:rPr>
        <w:t xml:space="preserve">flared </w:t>
      </w:r>
      <w:r w:rsidRPr="00883399">
        <w:rPr>
          <w:sz w:val="24"/>
        </w:rPr>
        <w:t>is the quantity of methane in sludge biogas flared by the plant during the year measured in cubic metres in accordance with Division 2.3.6.</w:t>
      </w:r>
    </w:p>
    <w:p w14:paraId="2A5586F7" w14:textId="77777777" w:rsidR="00872C03" w:rsidRPr="00883399" w:rsidRDefault="00872C03" w:rsidP="00872C03">
      <w:pPr>
        <w:pStyle w:val="Definition0"/>
        <w:rPr>
          <w:sz w:val="24"/>
        </w:rPr>
      </w:pPr>
      <w:r w:rsidRPr="00883399">
        <w:rPr>
          <w:b/>
          <w:i/>
          <w:sz w:val="24"/>
        </w:rPr>
        <w:t>Q</w:t>
      </w:r>
      <w:r w:rsidRPr="00883399">
        <w:rPr>
          <w:b/>
          <w:i/>
          <w:sz w:val="24"/>
          <w:vertAlign w:val="subscript"/>
        </w:rPr>
        <w:t>tr</w:t>
      </w:r>
      <w:r w:rsidRPr="00883399">
        <w:rPr>
          <w:b/>
          <w:i/>
          <w:sz w:val="24"/>
        </w:rPr>
        <w:t xml:space="preserve"> </w:t>
      </w:r>
      <w:r w:rsidRPr="00883399">
        <w:rPr>
          <w:sz w:val="24"/>
        </w:rPr>
        <w:t>is the quantity of methane in sludge biogas transferred out of the plant during the year measured in cubic metres in accordance with Division 2.3.6.</w:t>
      </w:r>
    </w:p>
    <w:p w14:paraId="2E277684" w14:textId="77777777" w:rsidR="00872C03" w:rsidRPr="00883399" w:rsidRDefault="00872C03" w:rsidP="00872C03">
      <w:pPr>
        <w:pStyle w:val="subsection"/>
        <w:rPr>
          <w:sz w:val="24"/>
        </w:rPr>
      </w:pPr>
      <w:r w:rsidRPr="00883399">
        <w:rPr>
          <w:sz w:val="24"/>
        </w:rPr>
        <w:tab/>
        <w:t>(2)</w:t>
      </w:r>
      <w:r w:rsidRPr="00883399">
        <w:rPr>
          <w:sz w:val="24"/>
        </w:rPr>
        <w:tab/>
        <w:t>For subsection (1), if:</w:t>
      </w:r>
    </w:p>
    <w:p w14:paraId="3AFA760D" w14:textId="0E30AF8C"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04A78D85" wp14:editId="2AECEA3B">
            <wp:extent cx="1484630" cy="487045"/>
            <wp:effectExtent l="1905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246"/>
                    <a:srcRect/>
                    <a:stretch>
                      <a:fillRect/>
                    </a:stretch>
                  </pic:blipFill>
                  <pic:spPr bwMode="auto">
                    <a:xfrm>
                      <a:off x="0" y="0"/>
                      <a:ext cx="1484630" cy="487045"/>
                    </a:xfrm>
                    <a:prstGeom prst="rect">
                      <a:avLst/>
                    </a:prstGeom>
                    <a:noFill/>
                    <a:ln w="9525">
                      <a:noFill/>
                      <a:miter lim="800000"/>
                      <a:headEnd/>
                      <a:tailEnd/>
                    </a:ln>
                  </pic:spPr>
                </pic:pic>
              </a:graphicData>
            </a:graphic>
          </wp:inline>
        </w:drawing>
      </w:r>
    </w:p>
    <w:p w14:paraId="358FB13B" w14:textId="77777777" w:rsidR="00872C03" w:rsidRPr="00883399" w:rsidRDefault="00872C03" w:rsidP="00872C03">
      <w:pPr>
        <w:pStyle w:val="subsection2"/>
        <w:rPr>
          <w:sz w:val="24"/>
        </w:rPr>
      </w:pPr>
      <w:r w:rsidRPr="00883399">
        <w:rPr>
          <w:sz w:val="24"/>
        </w:rPr>
        <w:t>is less than or equal to 0.75, then:</w:t>
      </w:r>
    </w:p>
    <w:p w14:paraId="648EFC79" w14:textId="53B10D93" w:rsidR="00872C03" w:rsidRPr="00883399" w:rsidRDefault="00872C03" w:rsidP="00872C03">
      <w:pPr>
        <w:pStyle w:val="subsection2"/>
        <w:spacing w:before="120" w:after="120"/>
        <w:rPr>
          <w:sz w:val="24"/>
        </w:rPr>
      </w:pPr>
      <w:r w:rsidRPr="00883399">
        <w:rPr>
          <w:noProof/>
          <w:sz w:val="24"/>
        </w:rPr>
        <w:lastRenderedPageBreak/>
        <w:drawing>
          <wp:inline distT="0" distB="0" distL="0" distR="0" wp14:anchorId="5DE294C6" wp14:editId="58726ABC">
            <wp:extent cx="997585" cy="249555"/>
            <wp:effectExtent l="1905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47"/>
                    <a:srcRect/>
                    <a:stretch>
                      <a:fillRect/>
                    </a:stretch>
                  </pic:blipFill>
                  <pic:spPr bwMode="auto">
                    <a:xfrm>
                      <a:off x="0" y="0"/>
                      <a:ext cx="997585" cy="249555"/>
                    </a:xfrm>
                    <a:prstGeom prst="rect">
                      <a:avLst/>
                    </a:prstGeom>
                    <a:noFill/>
                    <a:ln w="9525">
                      <a:noFill/>
                      <a:miter lim="800000"/>
                      <a:headEnd/>
                      <a:tailEnd/>
                    </a:ln>
                  </pic:spPr>
                </pic:pic>
              </a:graphicData>
            </a:graphic>
          </wp:inline>
        </w:drawing>
      </w:r>
    </w:p>
    <w:p w14:paraId="5C789834" w14:textId="77777777" w:rsidR="00872C03" w:rsidRPr="00883399" w:rsidRDefault="00872C03" w:rsidP="00872C03">
      <w:pPr>
        <w:pStyle w:val="subsection2"/>
        <w:rPr>
          <w:sz w:val="24"/>
        </w:rPr>
      </w:pPr>
      <w:r w:rsidRPr="00883399">
        <w:rPr>
          <w:sz w:val="24"/>
        </w:rPr>
        <w:t>where:</w:t>
      </w:r>
    </w:p>
    <w:p w14:paraId="1973F276" w14:textId="77777777" w:rsidR="00872C03" w:rsidRPr="00883399" w:rsidRDefault="00872C03" w:rsidP="00872C03">
      <w:pPr>
        <w:pStyle w:val="Definition0"/>
        <w:rPr>
          <w:sz w:val="24"/>
        </w:rPr>
      </w:pPr>
      <w:r w:rsidRPr="00883399">
        <w:rPr>
          <w:b/>
          <w:i/>
          <w:sz w:val="24"/>
        </w:rPr>
        <w:t>CH</w:t>
      </w:r>
      <w:r w:rsidRPr="00883399">
        <w:rPr>
          <w:b/>
          <w:i/>
          <w:sz w:val="24"/>
          <w:vertAlign w:val="subscript"/>
        </w:rPr>
        <w:t>4gen</w:t>
      </w:r>
      <w:r w:rsidRPr="00883399">
        <w:rPr>
          <w:b/>
          <w:i/>
          <w:sz w:val="24"/>
        </w:rPr>
        <w:t xml:space="preserve"> </w:t>
      </w:r>
      <w:r w:rsidRPr="00883399">
        <w:rPr>
          <w:sz w:val="24"/>
        </w:rPr>
        <w:t>is the quantity of methane in sludge biogas produced by the plant during the year, estimated in accordance with subsection (5) and measured in CO</w:t>
      </w:r>
      <w:r w:rsidRPr="00883399">
        <w:rPr>
          <w:sz w:val="24"/>
          <w:vertAlign w:val="subscript"/>
        </w:rPr>
        <w:t>2</w:t>
      </w:r>
      <w:r w:rsidRPr="00883399">
        <w:rPr>
          <w:sz w:val="24"/>
        </w:rPr>
        <w:noBreakHyphen/>
        <w:t>e tonnes.</w:t>
      </w:r>
    </w:p>
    <w:p w14:paraId="10295E1B" w14:textId="77777777" w:rsidR="00872C03" w:rsidRPr="00883399" w:rsidRDefault="00872C03" w:rsidP="00872C03">
      <w:pPr>
        <w:pStyle w:val="subsection"/>
        <w:rPr>
          <w:sz w:val="24"/>
        </w:rPr>
      </w:pPr>
      <w:r w:rsidRPr="00883399">
        <w:rPr>
          <w:sz w:val="24"/>
        </w:rPr>
        <w:tab/>
        <w:t>(3)</w:t>
      </w:r>
      <w:r w:rsidRPr="00883399">
        <w:rPr>
          <w:sz w:val="24"/>
        </w:rPr>
        <w:tab/>
        <w:t>For subsection (1), if:</w:t>
      </w:r>
    </w:p>
    <w:p w14:paraId="1E0BDEFE" w14:textId="75E1B3BE"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3875A356" wp14:editId="1407E972">
            <wp:extent cx="1484630" cy="487045"/>
            <wp:effectExtent l="1905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248"/>
                    <a:srcRect/>
                    <a:stretch>
                      <a:fillRect/>
                    </a:stretch>
                  </pic:blipFill>
                  <pic:spPr bwMode="auto">
                    <a:xfrm>
                      <a:off x="0" y="0"/>
                      <a:ext cx="1484630" cy="487045"/>
                    </a:xfrm>
                    <a:prstGeom prst="rect">
                      <a:avLst/>
                    </a:prstGeom>
                    <a:noFill/>
                    <a:ln w="9525">
                      <a:noFill/>
                      <a:miter lim="800000"/>
                      <a:headEnd/>
                      <a:tailEnd/>
                    </a:ln>
                  </pic:spPr>
                </pic:pic>
              </a:graphicData>
            </a:graphic>
          </wp:inline>
        </w:drawing>
      </w:r>
    </w:p>
    <w:p w14:paraId="48767E0E" w14:textId="77777777" w:rsidR="00872C03" w:rsidRPr="00883399" w:rsidRDefault="00872C03" w:rsidP="00872C03">
      <w:pPr>
        <w:pStyle w:val="subsection2"/>
        <w:rPr>
          <w:sz w:val="24"/>
        </w:rPr>
      </w:pPr>
      <w:r w:rsidRPr="00883399">
        <w:rPr>
          <w:sz w:val="24"/>
        </w:rPr>
        <w:t>is greater than 0.75, then:</w:t>
      </w:r>
    </w:p>
    <w:p w14:paraId="04CEB961" w14:textId="33D23741" w:rsidR="00872C03" w:rsidRPr="00883399" w:rsidRDefault="00872C03" w:rsidP="00872C03">
      <w:pPr>
        <w:pStyle w:val="subsection2"/>
        <w:spacing w:before="120" w:after="120"/>
        <w:rPr>
          <w:sz w:val="24"/>
        </w:rPr>
      </w:pPr>
      <w:r w:rsidRPr="00883399">
        <w:rPr>
          <w:noProof/>
          <w:sz w:val="24"/>
        </w:rPr>
        <w:drawing>
          <wp:inline distT="0" distB="0" distL="0" distR="0" wp14:anchorId="0E936DAB" wp14:editId="48E2F5E3">
            <wp:extent cx="2588895" cy="427355"/>
            <wp:effectExtent l="0" t="0" r="1905"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40"/>
                    <a:srcRect/>
                    <a:stretch>
                      <a:fillRect/>
                    </a:stretch>
                  </pic:blipFill>
                  <pic:spPr bwMode="auto">
                    <a:xfrm>
                      <a:off x="0" y="0"/>
                      <a:ext cx="2588895" cy="427355"/>
                    </a:xfrm>
                    <a:prstGeom prst="rect">
                      <a:avLst/>
                    </a:prstGeom>
                    <a:noFill/>
                    <a:ln w="9525">
                      <a:noFill/>
                      <a:miter lim="800000"/>
                      <a:headEnd/>
                      <a:tailEnd/>
                    </a:ln>
                  </pic:spPr>
                </pic:pic>
              </a:graphicData>
            </a:graphic>
          </wp:inline>
        </w:drawing>
      </w:r>
    </w:p>
    <w:p w14:paraId="09AA6CFF" w14:textId="77777777" w:rsidR="00872C03" w:rsidRPr="00883399" w:rsidRDefault="00872C03" w:rsidP="00872C03">
      <w:pPr>
        <w:pStyle w:val="subsection2"/>
        <w:rPr>
          <w:sz w:val="24"/>
        </w:rPr>
      </w:pPr>
      <w:r w:rsidRPr="00883399">
        <w:rPr>
          <w:sz w:val="24"/>
        </w:rPr>
        <w:t>where:</w:t>
      </w:r>
    </w:p>
    <w:p w14:paraId="6A24334C" w14:textId="77777777" w:rsidR="00872C03" w:rsidRPr="00883399" w:rsidRDefault="00872C03" w:rsidP="00872C03">
      <w:pPr>
        <w:pStyle w:val="Definition0"/>
        <w:rPr>
          <w:sz w:val="24"/>
        </w:rPr>
      </w:pPr>
      <w:r w:rsidRPr="00883399">
        <w:rPr>
          <w:b/>
          <w:i/>
          <w:sz w:val="24"/>
        </w:rPr>
        <w:t xml:space="preserve">γ </w:t>
      </w:r>
      <w:r w:rsidRPr="00883399">
        <w:rPr>
          <w:sz w:val="24"/>
        </w:rPr>
        <w:t>is the factor 6.784 x 10</w:t>
      </w:r>
      <w:r w:rsidRPr="00883399">
        <w:rPr>
          <w:sz w:val="24"/>
          <w:vertAlign w:val="superscript"/>
        </w:rPr>
        <w:noBreakHyphen/>
        <w:t xml:space="preserve">4 </w:t>
      </w:r>
      <w:r w:rsidRPr="00883399">
        <w:rPr>
          <w:sz w:val="24"/>
        </w:rPr>
        <w:t>x 25 converting cubic metres of methane at standard conditions to CO</w:t>
      </w:r>
      <w:r w:rsidRPr="00883399">
        <w:rPr>
          <w:sz w:val="24"/>
          <w:vertAlign w:val="subscript"/>
        </w:rPr>
        <w:t>2</w:t>
      </w:r>
      <w:r w:rsidRPr="00883399">
        <w:rPr>
          <w:sz w:val="24"/>
        </w:rPr>
        <w:noBreakHyphen/>
        <w:t>e tonnes.</w:t>
      </w:r>
    </w:p>
    <w:p w14:paraId="09D0E173" w14:textId="77777777" w:rsidR="00872C03" w:rsidRPr="00883399" w:rsidRDefault="00872C03" w:rsidP="00872C03">
      <w:pPr>
        <w:pStyle w:val="Definition0"/>
        <w:rPr>
          <w:sz w:val="24"/>
        </w:rPr>
      </w:pPr>
      <w:r w:rsidRPr="00883399">
        <w:rPr>
          <w:b/>
          <w:i/>
          <w:sz w:val="24"/>
        </w:rPr>
        <w:t>Q</w:t>
      </w:r>
      <w:r w:rsidRPr="00883399">
        <w:rPr>
          <w:b/>
          <w:i/>
          <w:sz w:val="24"/>
          <w:vertAlign w:val="subscript"/>
        </w:rPr>
        <w:t>cap</w:t>
      </w:r>
      <w:r w:rsidRPr="00883399">
        <w:rPr>
          <w:b/>
          <w:i/>
          <w:sz w:val="24"/>
        </w:rPr>
        <w:t xml:space="preserve"> </w:t>
      </w:r>
      <w:r w:rsidRPr="00883399">
        <w:rPr>
          <w:sz w:val="24"/>
        </w:rPr>
        <w:t>is the quantity of methane in sludge biogas captured for combustion for the operation of the plant measured in cubic metres.</w:t>
      </w:r>
    </w:p>
    <w:p w14:paraId="2D65AF67" w14:textId="77777777" w:rsidR="00872C03" w:rsidRPr="00883399" w:rsidRDefault="00872C03" w:rsidP="00872C03">
      <w:pPr>
        <w:pStyle w:val="subsection"/>
        <w:rPr>
          <w:sz w:val="24"/>
        </w:rPr>
      </w:pPr>
      <w:r w:rsidRPr="00883399">
        <w:rPr>
          <w:sz w:val="24"/>
        </w:rPr>
        <w:tab/>
        <w:t>(4)</w:t>
      </w:r>
      <w:r w:rsidRPr="00883399">
        <w:rPr>
          <w:sz w:val="24"/>
        </w:rPr>
        <w:tab/>
        <w:t xml:space="preserve">For subsections (1) and (3), </w:t>
      </w:r>
      <w:r w:rsidRPr="00883399">
        <w:rPr>
          <w:b/>
          <w:i/>
          <w:sz w:val="24"/>
        </w:rPr>
        <w:t>Q</w:t>
      </w:r>
      <w:r w:rsidRPr="00883399">
        <w:rPr>
          <w:b/>
          <w:i/>
          <w:sz w:val="24"/>
          <w:vertAlign w:val="subscript"/>
        </w:rPr>
        <w:t>cap</w:t>
      </w:r>
      <w:r w:rsidRPr="00883399">
        <w:rPr>
          <w:i/>
          <w:sz w:val="24"/>
        </w:rPr>
        <w:t xml:space="preserve"> </w:t>
      </w:r>
      <w:r w:rsidRPr="00883399">
        <w:rPr>
          <w:sz w:val="24"/>
        </w:rPr>
        <w:t>is to be calculated in accordance with Division 2.3.6.</w:t>
      </w:r>
    </w:p>
    <w:p w14:paraId="3106C5DB" w14:textId="77777777" w:rsidR="00872C03" w:rsidRPr="00883399" w:rsidRDefault="00872C03" w:rsidP="00872C03">
      <w:pPr>
        <w:pStyle w:val="subsection"/>
        <w:rPr>
          <w:sz w:val="24"/>
        </w:rPr>
      </w:pPr>
      <w:r w:rsidRPr="00883399">
        <w:rPr>
          <w:sz w:val="24"/>
        </w:rPr>
        <w:tab/>
        <w:t>(5)</w:t>
      </w:r>
      <w:r w:rsidRPr="00883399">
        <w:rPr>
          <w:sz w:val="24"/>
        </w:rPr>
        <w:tab/>
        <w:t xml:space="preserve">For subsection (2) the factor </w:t>
      </w:r>
      <w:r w:rsidRPr="00883399">
        <w:rPr>
          <w:b/>
          <w:i/>
          <w:sz w:val="24"/>
        </w:rPr>
        <w:t>CH</w:t>
      </w:r>
      <w:r w:rsidRPr="00883399">
        <w:rPr>
          <w:b/>
          <w:i/>
          <w:sz w:val="24"/>
          <w:vertAlign w:val="subscript"/>
        </w:rPr>
        <w:t>4gen</w:t>
      </w:r>
      <w:r w:rsidRPr="00883399">
        <w:rPr>
          <w:sz w:val="24"/>
        </w:rPr>
        <w:t xml:space="preserve"> is estimated as follows:</w:t>
      </w:r>
    </w:p>
    <w:p w14:paraId="6BE12851" w14:textId="77777777" w:rsidR="00872C03" w:rsidRPr="00883399" w:rsidRDefault="00872C03" w:rsidP="00872C03">
      <w:pPr>
        <w:pStyle w:val="subsection2"/>
        <w:rPr>
          <w:sz w:val="24"/>
        </w:rPr>
      </w:pPr>
      <w:r w:rsidRPr="00883399">
        <w:rPr>
          <w:position w:val="-50"/>
          <w:sz w:val="24"/>
        </w:rPr>
        <w:object w:dxaOrig="5679" w:dyaOrig="1100" w14:anchorId="45FFEB38">
          <v:shape id="_x0000_i1111" type="#_x0000_t75" style="width:238.5pt;height:45.75pt" o:ole="">
            <v:imagedata r:id="rId341" o:title=""/>
          </v:shape>
          <o:OLEObject Type="Embed" ProgID="Equation.DSMT4" ShapeID="_x0000_i1111" DrawAspect="Content" ObjectID="_1594106002" r:id="rId342"/>
        </w:object>
      </w:r>
    </w:p>
    <w:p w14:paraId="37D48963" w14:textId="77777777" w:rsidR="00872C03" w:rsidRPr="00883399" w:rsidRDefault="00872C03" w:rsidP="00872C03">
      <w:pPr>
        <w:pStyle w:val="subsection2"/>
        <w:rPr>
          <w:sz w:val="24"/>
        </w:rPr>
      </w:pPr>
      <w:r w:rsidRPr="00883399">
        <w:rPr>
          <w:sz w:val="24"/>
        </w:rPr>
        <w:t>where:</w:t>
      </w:r>
    </w:p>
    <w:p w14:paraId="6FA76C69" w14:textId="77777777" w:rsidR="00872C03" w:rsidRPr="00883399" w:rsidRDefault="00872C03" w:rsidP="00872C03">
      <w:pPr>
        <w:pStyle w:val="Definition0"/>
        <w:rPr>
          <w:sz w:val="24"/>
        </w:rPr>
      </w:pPr>
      <w:r w:rsidRPr="00883399">
        <w:rPr>
          <w:b/>
          <w:i/>
          <w:sz w:val="24"/>
        </w:rPr>
        <w:t>Σ</w:t>
      </w:r>
      <w:r w:rsidRPr="00883399">
        <w:rPr>
          <w:b/>
          <w:i/>
          <w:sz w:val="24"/>
          <w:vertAlign w:val="subscript"/>
        </w:rPr>
        <w:t>w,i</w:t>
      </w:r>
      <w:r w:rsidRPr="00883399">
        <w:rPr>
          <w:b/>
          <w:i/>
          <w:sz w:val="24"/>
        </w:rPr>
        <w:t xml:space="preserve"> </w:t>
      </w:r>
      <w:r w:rsidRPr="00883399">
        <w:rPr>
          <w:sz w:val="24"/>
        </w:rPr>
        <w:t xml:space="preserve">is the total </w:t>
      </w:r>
      <w:r w:rsidRPr="00883399">
        <w:rPr>
          <w:b/>
          <w:i/>
          <w:sz w:val="24"/>
        </w:rPr>
        <w:t>COD</w:t>
      </w:r>
      <w:r w:rsidRPr="00883399">
        <w:rPr>
          <w:b/>
          <w:i/>
          <w:sz w:val="24"/>
          <w:vertAlign w:val="subscript"/>
        </w:rPr>
        <w:t>w,i</w:t>
      </w:r>
      <w:r w:rsidRPr="00883399">
        <w:rPr>
          <w:b/>
          <w:i/>
          <w:sz w:val="24"/>
        </w:rPr>
        <w:t xml:space="preserve"> </w:t>
      </w:r>
      <w:r w:rsidRPr="00883399">
        <w:rPr>
          <w:sz w:val="24"/>
        </w:rPr>
        <w:t>of wastewater entering the plant.</w:t>
      </w:r>
    </w:p>
    <w:p w14:paraId="04F6E2FF" w14:textId="77777777" w:rsidR="00872C03" w:rsidRPr="00883399" w:rsidRDefault="00872C03" w:rsidP="00872C03">
      <w:pPr>
        <w:pStyle w:val="Definition0"/>
        <w:rPr>
          <w:sz w:val="24"/>
        </w:rPr>
      </w:pPr>
      <w:r w:rsidRPr="00883399">
        <w:rPr>
          <w:b/>
          <w:i/>
          <w:sz w:val="24"/>
        </w:rPr>
        <w:t>COD</w:t>
      </w:r>
      <w:r w:rsidRPr="00883399">
        <w:rPr>
          <w:rStyle w:val="charSubscript"/>
          <w:b/>
          <w:i/>
          <w:sz w:val="22"/>
        </w:rPr>
        <w:t>w,i</w:t>
      </w:r>
      <w:r w:rsidRPr="00883399">
        <w:rPr>
          <w:b/>
          <w:i/>
          <w:sz w:val="24"/>
          <w:vertAlign w:val="subscript"/>
        </w:rPr>
        <w:t xml:space="preserve"> </w:t>
      </w:r>
      <w:r w:rsidRPr="00883399">
        <w:rPr>
          <w:sz w:val="24"/>
        </w:rPr>
        <w:t>is the COD in wastewater entering the plant related to the production by the plant of any commodity mentioned in column 1 of the table in subsection (8) during the year measured in tonnes of COD, worked out as follows:</w:t>
      </w:r>
    </w:p>
    <w:p w14:paraId="0E6F0504" w14:textId="4CC60CAD" w:rsidR="00872C03" w:rsidRPr="00883399" w:rsidRDefault="00872C03" w:rsidP="00872C03">
      <w:pPr>
        <w:pStyle w:val="Definition0"/>
        <w:spacing w:before="120" w:after="120"/>
        <w:rPr>
          <w:sz w:val="24"/>
        </w:rPr>
      </w:pPr>
      <w:r w:rsidRPr="00883399">
        <w:rPr>
          <w:noProof/>
          <w:sz w:val="24"/>
        </w:rPr>
        <w:drawing>
          <wp:inline distT="0" distB="0" distL="0" distR="0" wp14:anchorId="05EF9073" wp14:editId="52853BBB">
            <wp:extent cx="2363470" cy="415925"/>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43"/>
                    <a:srcRect/>
                    <a:stretch>
                      <a:fillRect/>
                    </a:stretch>
                  </pic:blipFill>
                  <pic:spPr bwMode="auto">
                    <a:xfrm>
                      <a:off x="0" y="0"/>
                      <a:ext cx="2363470" cy="415925"/>
                    </a:xfrm>
                    <a:prstGeom prst="rect">
                      <a:avLst/>
                    </a:prstGeom>
                    <a:noFill/>
                    <a:ln w="9525">
                      <a:noFill/>
                      <a:miter lim="800000"/>
                      <a:headEnd/>
                      <a:tailEnd/>
                    </a:ln>
                  </pic:spPr>
                </pic:pic>
              </a:graphicData>
            </a:graphic>
          </wp:inline>
        </w:drawing>
      </w:r>
    </w:p>
    <w:p w14:paraId="54201CA7" w14:textId="77777777" w:rsidR="00872C03" w:rsidRPr="00883399" w:rsidRDefault="00872C03" w:rsidP="00872C03">
      <w:pPr>
        <w:pStyle w:val="Definition0"/>
        <w:ind w:left="1701"/>
        <w:rPr>
          <w:sz w:val="24"/>
        </w:rPr>
      </w:pPr>
      <w:r w:rsidRPr="00883399">
        <w:rPr>
          <w:sz w:val="24"/>
        </w:rPr>
        <w:t>where:</w:t>
      </w:r>
    </w:p>
    <w:p w14:paraId="6EF82754" w14:textId="77777777" w:rsidR="00872C03" w:rsidRPr="00883399" w:rsidRDefault="00872C03" w:rsidP="00872C03">
      <w:pPr>
        <w:pStyle w:val="Definition0"/>
        <w:ind w:left="1701"/>
        <w:rPr>
          <w:sz w:val="24"/>
        </w:rPr>
      </w:pPr>
      <w:r w:rsidRPr="00883399">
        <w:rPr>
          <w:b/>
          <w:bCs/>
          <w:i/>
          <w:iCs/>
          <w:sz w:val="24"/>
        </w:rPr>
        <w:t>Prod</w:t>
      </w:r>
      <w:r w:rsidRPr="00883399">
        <w:rPr>
          <w:b/>
          <w:bCs/>
          <w:i/>
          <w:iCs/>
          <w:sz w:val="24"/>
          <w:vertAlign w:val="subscript"/>
        </w:rPr>
        <w:t xml:space="preserve">i </w:t>
      </w:r>
      <w:r w:rsidRPr="00883399">
        <w:rPr>
          <w:sz w:val="24"/>
        </w:rPr>
        <w:t>has the meaning given by the table in subsection 5.42(9).</w:t>
      </w:r>
    </w:p>
    <w:p w14:paraId="4109BA9A" w14:textId="77777777" w:rsidR="00872C03" w:rsidRPr="00883399" w:rsidRDefault="00872C03" w:rsidP="00872C03">
      <w:pPr>
        <w:pStyle w:val="Definition0"/>
        <w:ind w:left="1701"/>
        <w:rPr>
          <w:sz w:val="24"/>
        </w:rPr>
      </w:pPr>
      <w:r w:rsidRPr="00883399">
        <w:rPr>
          <w:b/>
          <w:i/>
          <w:sz w:val="24"/>
        </w:rPr>
        <w:lastRenderedPageBreak/>
        <w:t>W</w:t>
      </w:r>
      <w:r w:rsidRPr="00883399">
        <w:rPr>
          <w:b/>
          <w:i/>
          <w:sz w:val="24"/>
          <w:vertAlign w:val="subscript"/>
        </w:rPr>
        <w:t xml:space="preserve">gen,i </w:t>
      </w:r>
      <w:r w:rsidRPr="00883399">
        <w:rPr>
          <w:sz w:val="24"/>
        </w:rPr>
        <w:t>is the wastewater generation rate from the production of any commodity mentioned in column 1 of the table in subsection (8) produced during the year and measured in cubic metres or kilolitres per tonne of commodity.</w:t>
      </w:r>
    </w:p>
    <w:p w14:paraId="2D486DCE" w14:textId="77777777" w:rsidR="00872C03" w:rsidRPr="00883399" w:rsidRDefault="00872C03" w:rsidP="00872C03">
      <w:pPr>
        <w:pStyle w:val="Definition0"/>
        <w:ind w:left="1701"/>
        <w:rPr>
          <w:sz w:val="24"/>
        </w:rPr>
      </w:pPr>
      <w:r w:rsidRPr="00883399">
        <w:rPr>
          <w:b/>
          <w:i/>
          <w:sz w:val="24"/>
        </w:rPr>
        <w:t>COD</w:t>
      </w:r>
      <w:r w:rsidRPr="00883399">
        <w:rPr>
          <w:rStyle w:val="charSubscript"/>
          <w:b/>
          <w:i/>
          <w:sz w:val="22"/>
        </w:rPr>
        <w:t>con,i</w:t>
      </w:r>
      <w:r w:rsidRPr="00883399">
        <w:rPr>
          <w:b/>
          <w:i/>
          <w:sz w:val="24"/>
          <w:vertAlign w:val="subscript"/>
        </w:rPr>
        <w:t xml:space="preserve"> </w:t>
      </w:r>
      <w:r w:rsidRPr="00883399">
        <w:rPr>
          <w:sz w:val="24"/>
        </w:rPr>
        <w:t>is the COD concentration in kilograms of COD per cubic metre of wastewater entering the plant during the year from the production of any commodity mentioned in column 1 of the table in subsection (8).</w:t>
      </w:r>
    </w:p>
    <w:p w14:paraId="4EA932BB" w14:textId="77777777" w:rsidR="00872C03" w:rsidRPr="00883399" w:rsidRDefault="00872C03" w:rsidP="00872C03">
      <w:pPr>
        <w:pStyle w:val="Definition0"/>
        <w:rPr>
          <w:sz w:val="24"/>
        </w:rPr>
      </w:pPr>
      <w:r w:rsidRPr="00883399">
        <w:rPr>
          <w:b/>
          <w:i/>
          <w:sz w:val="24"/>
        </w:rPr>
        <w:t>COD</w:t>
      </w:r>
      <w:r w:rsidRPr="00883399">
        <w:rPr>
          <w:rStyle w:val="charSubscript"/>
          <w:b/>
          <w:i/>
          <w:sz w:val="22"/>
        </w:rPr>
        <w:t xml:space="preserve">sl </w:t>
      </w:r>
      <w:r w:rsidRPr="00883399">
        <w:rPr>
          <w:sz w:val="24"/>
        </w:rPr>
        <w:t>is the quantity of COD removed as sludge from wastewater during the year measured in tonnes of COD</w:t>
      </w:r>
      <w:r w:rsidRPr="00883399">
        <w:rPr>
          <w:b/>
          <w:i/>
          <w:sz w:val="24"/>
        </w:rPr>
        <w:t xml:space="preserve">, </w:t>
      </w:r>
      <w:r w:rsidRPr="00883399">
        <w:rPr>
          <w:sz w:val="24"/>
        </w:rPr>
        <w:t>worked out as follows:</w:t>
      </w:r>
    </w:p>
    <w:p w14:paraId="4C0C00EE" w14:textId="515206CE" w:rsidR="00872C03" w:rsidRPr="00883399" w:rsidRDefault="00872C03" w:rsidP="00872C03">
      <w:pPr>
        <w:pStyle w:val="Definition0"/>
        <w:spacing w:before="120" w:after="120"/>
        <w:rPr>
          <w:sz w:val="24"/>
        </w:rPr>
      </w:pPr>
      <w:r w:rsidRPr="00883399">
        <w:rPr>
          <w:noProof/>
          <w:sz w:val="24"/>
        </w:rPr>
        <w:drawing>
          <wp:inline distT="0" distB="0" distL="0" distR="0" wp14:anchorId="5C51585D" wp14:editId="37B7C30C">
            <wp:extent cx="1401445" cy="237490"/>
            <wp:effectExtent l="19050" t="0" r="8255"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44"/>
                    <a:srcRect/>
                    <a:stretch>
                      <a:fillRect/>
                    </a:stretch>
                  </pic:blipFill>
                  <pic:spPr bwMode="auto">
                    <a:xfrm>
                      <a:off x="0" y="0"/>
                      <a:ext cx="1401445" cy="237490"/>
                    </a:xfrm>
                    <a:prstGeom prst="rect">
                      <a:avLst/>
                    </a:prstGeom>
                    <a:noFill/>
                    <a:ln w="9525">
                      <a:noFill/>
                      <a:miter lim="800000"/>
                      <a:headEnd/>
                      <a:tailEnd/>
                    </a:ln>
                  </pic:spPr>
                </pic:pic>
              </a:graphicData>
            </a:graphic>
          </wp:inline>
        </w:drawing>
      </w:r>
    </w:p>
    <w:p w14:paraId="038C91DE" w14:textId="77777777" w:rsidR="00872C03" w:rsidRPr="00883399" w:rsidRDefault="00872C03" w:rsidP="00872C03">
      <w:pPr>
        <w:pStyle w:val="subsection2"/>
        <w:ind w:left="1701"/>
        <w:rPr>
          <w:sz w:val="24"/>
        </w:rPr>
      </w:pPr>
      <w:r w:rsidRPr="00883399">
        <w:rPr>
          <w:sz w:val="24"/>
        </w:rPr>
        <w:t>where:</w:t>
      </w:r>
    </w:p>
    <w:p w14:paraId="42C4983D" w14:textId="77777777" w:rsidR="00872C03" w:rsidRPr="00883399" w:rsidRDefault="00872C03" w:rsidP="00872C03">
      <w:pPr>
        <w:pStyle w:val="Definition0"/>
        <w:ind w:left="1701"/>
        <w:rPr>
          <w:sz w:val="24"/>
        </w:rPr>
      </w:pPr>
      <w:r w:rsidRPr="00883399">
        <w:rPr>
          <w:b/>
          <w:i/>
          <w:sz w:val="24"/>
        </w:rPr>
        <w:t>COD</w:t>
      </w:r>
      <w:r w:rsidRPr="00883399">
        <w:rPr>
          <w:rStyle w:val="charSubscript"/>
          <w:b/>
          <w:i/>
          <w:sz w:val="22"/>
        </w:rPr>
        <w:t>w,i</w:t>
      </w:r>
      <w:r w:rsidRPr="00883399">
        <w:rPr>
          <w:b/>
          <w:i/>
          <w:sz w:val="24"/>
          <w:vertAlign w:val="subscript"/>
        </w:rPr>
        <w:t xml:space="preserve"> </w:t>
      </w:r>
      <w:r w:rsidRPr="00883399">
        <w:rPr>
          <w:sz w:val="24"/>
        </w:rPr>
        <w:t>is the COD in wastewater entering the plant used in the production of any commodity mentioned in column 1 of the table in subsection (8) during the year measured in tonnes of COD.</w:t>
      </w:r>
    </w:p>
    <w:p w14:paraId="0B11248B" w14:textId="77777777" w:rsidR="00872C03" w:rsidRPr="00883399" w:rsidRDefault="00872C03" w:rsidP="00872C03">
      <w:pPr>
        <w:pStyle w:val="Definition0"/>
        <w:ind w:left="1701"/>
        <w:rPr>
          <w:sz w:val="24"/>
        </w:rPr>
      </w:pPr>
      <w:r w:rsidRPr="00883399">
        <w:rPr>
          <w:b/>
          <w:i/>
          <w:sz w:val="24"/>
        </w:rPr>
        <w:t>F</w:t>
      </w:r>
      <w:r w:rsidRPr="00883399">
        <w:rPr>
          <w:rStyle w:val="charSubscript"/>
          <w:b/>
          <w:i/>
          <w:sz w:val="22"/>
        </w:rPr>
        <w:t>sl</w:t>
      </w:r>
      <w:r w:rsidRPr="00883399">
        <w:rPr>
          <w:b/>
          <w:i/>
          <w:sz w:val="24"/>
        </w:rPr>
        <w:t xml:space="preserve"> </w:t>
      </w:r>
      <w:r w:rsidRPr="00883399">
        <w:rPr>
          <w:sz w:val="24"/>
        </w:rPr>
        <w:t>is the fraction of COD removed from wastewater as sludge by the plant during the year.</w:t>
      </w:r>
    </w:p>
    <w:p w14:paraId="2BB3ADCE" w14:textId="77777777" w:rsidR="00872C03" w:rsidRPr="00883399" w:rsidRDefault="00872C03" w:rsidP="00872C03">
      <w:pPr>
        <w:pStyle w:val="Definition0"/>
        <w:rPr>
          <w:sz w:val="24"/>
        </w:rPr>
      </w:pPr>
      <w:r w:rsidRPr="00883399">
        <w:rPr>
          <w:b/>
          <w:i/>
          <w:sz w:val="24"/>
        </w:rPr>
        <w:t>COD</w:t>
      </w:r>
      <w:r w:rsidRPr="00883399">
        <w:rPr>
          <w:b/>
          <w:i/>
          <w:sz w:val="24"/>
          <w:vertAlign w:val="subscript"/>
        </w:rPr>
        <w:t>eff</w:t>
      </w:r>
      <w:r w:rsidRPr="00883399">
        <w:rPr>
          <w:b/>
          <w:i/>
          <w:sz w:val="24"/>
        </w:rPr>
        <w:t xml:space="preserve"> </w:t>
      </w:r>
      <w:r w:rsidRPr="00883399">
        <w:rPr>
          <w:sz w:val="24"/>
        </w:rPr>
        <w:t>is the quantity of COD effluent leaving the plant during the year, measured in tonnes.</w:t>
      </w:r>
    </w:p>
    <w:p w14:paraId="271F925A" w14:textId="77777777" w:rsidR="00872C03" w:rsidRPr="00883399" w:rsidRDefault="00872C03" w:rsidP="00872C03">
      <w:pPr>
        <w:pStyle w:val="Definition0"/>
        <w:rPr>
          <w:sz w:val="24"/>
        </w:rPr>
      </w:pPr>
      <w:r w:rsidRPr="00883399">
        <w:rPr>
          <w:b/>
          <w:i/>
          <w:sz w:val="24"/>
        </w:rPr>
        <w:t>MCF</w:t>
      </w:r>
      <w:r w:rsidRPr="00883399">
        <w:rPr>
          <w:rStyle w:val="charSubscript"/>
          <w:b/>
          <w:i/>
          <w:sz w:val="22"/>
        </w:rPr>
        <w:t>ww</w:t>
      </w:r>
      <w:r w:rsidRPr="00883399">
        <w:rPr>
          <w:b/>
          <w:i/>
          <w:sz w:val="24"/>
        </w:rPr>
        <w:t xml:space="preserve"> </w:t>
      </w:r>
      <w:r w:rsidRPr="00883399">
        <w:rPr>
          <w:sz w:val="24"/>
        </w:rPr>
        <w:t>is the methane correction factor for wastewater treated at the plant during the year.</w:t>
      </w:r>
    </w:p>
    <w:p w14:paraId="013E4A5C" w14:textId="77777777" w:rsidR="00872C03" w:rsidRPr="00883399" w:rsidRDefault="00872C03" w:rsidP="00872C03">
      <w:pPr>
        <w:pStyle w:val="notetext"/>
        <w:rPr>
          <w:sz w:val="20"/>
        </w:rPr>
      </w:pPr>
      <w:r w:rsidRPr="00883399">
        <w:rPr>
          <w:sz w:val="20"/>
        </w:rPr>
        <w:t>Note:</w:t>
      </w:r>
      <w:r w:rsidRPr="00883399">
        <w:rPr>
          <w:sz w:val="20"/>
        </w:rPr>
        <w:tab/>
        <w:t>IPCC default methane correction factors for various types of treatment are:</w:t>
      </w:r>
    </w:p>
    <w:p w14:paraId="4DB75FB9" w14:textId="77777777" w:rsidR="00872C03" w:rsidRPr="00883399" w:rsidRDefault="00872C03" w:rsidP="00872C03">
      <w:pPr>
        <w:pStyle w:val="notepara1"/>
        <w:rPr>
          <w:sz w:val="20"/>
        </w:rPr>
      </w:pPr>
      <w:r w:rsidRPr="00883399">
        <w:rPr>
          <w:sz w:val="20"/>
        </w:rPr>
        <w:sym w:font="Symbol" w:char="00B7"/>
      </w:r>
      <w:r w:rsidRPr="00883399">
        <w:rPr>
          <w:sz w:val="20"/>
        </w:rPr>
        <w:tab/>
        <w:t>managed aerobic treatment: 0</w:t>
      </w:r>
    </w:p>
    <w:p w14:paraId="0EE00DCF" w14:textId="77777777" w:rsidR="00872C03" w:rsidRPr="00883399" w:rsidRDefault="00872C03" w:rsidP="00872C03">
      <w:pPr>
        <w:pStyle w:val="notepara1"/>
        <w:rPr>
          <w:sz w:val="20"/>
        </w:rPr>
      </w:pPr>
      <w:r w:rsidRPr="00883399">
        <w:rPr>
          <w:sz w:val="20"/>
        </w:rPr>
        <w:sym w:font="Symbol" w:char="00B7"/>
      </w:r>
      <w:r w:rsidRPr="00883399">
        <w:rPr>
          <w:sz w:val="20"/>
        </w:rPr>
        <w:tab/>
        <w:t>unmanaged aerobic treatment: 0.3</w:t>
      </w:r>
    </w:p>
    <w:p w14:paraId="447E75B9" w14:textId="77777777" w:rsidR="00872C03" w:rsidRPr="00883399" w:rsidRDefault="00872C03" w:rsidP="00872C03">
      <w:pPr>
        <w:pStyle w:val="notepara1"/>
        <w:rPr>
          <w:sz w:val="20"/>
        </w:rPr>
      </w:pPr>
      <w:r w:rsidRPr="00883399">
        <w:rPr>
          <w:sz w:val="20"/>
        </w:rPr>
        <w:sym w:font="Symbol" w:char="00B7"/>
      </w:r>
      <w:r w:rsidRPr="00883399">
        <w:rPr>
          <w:sz w:val="20"/>
        </w:rPr>
        <w:tab/>
        <w:t>anaerobic digester/reactor: 0.8</w:t>
      </w:r>
    </w:p>
    <w:p w14:paraId="42770489" w14:textId="77777777" w:rsidR="00872C03" w:rsidRPr="00883399" w:rsidRDefault="00872C03" w:rsidP="00872C03">
      <w:pPr>
        <w:pStyle w:val="notepara1"/>
        <w:rPr>
          <w:sz w:val="20"/>
        </w:rPr>
      </w:pPr>
      <w:r w:rsidRPr="00883399">
        <w:rPr>
          <w:sz w:val="20"/>
        </w:rPr>
        <w:sym w:font="Symbol" w:char="00B7"/>
      </w:r>
      <w:r w:rsidRPr="00883399">
        <w:rPr>
          <w:sz w:val="20"/>
        </w:rPr>
        <w:tab/>
        <w:t>shallow anaerobic lagoon (&lt;2 metres): 0.2</w:t>
      </w:r>
    </w:p>
    <w:p w14:paraId="6AF5DCCD" w14:textId="77777777" w:rsidR="00872C03" w:rsidRPr="00883399" w:rsidRDefault="00872C03" w:rsidP="00872C03">
      <w:pPr>
        <w:pStyle w:val="notepara1"/>
        <w:rPr>
          <w:sz w:val="20"/>
        </w:rPr>
      </w:pPr>
      <w:r w:rsidRPr="00883399">
        <w:rPr>
          <w:sz w:val="20"/>
        </w:rPr>
        <w:sym w:font="Symbol" w:char="00B7"/>
      </w:r>
      <w:r w:rsidRPr="00883399">
        <w:rPr>
          <w:sz w:val="20"/>
        </w:rPr>
        <w:tab/>
        <w:t>deep anaerobic lagoon (&gt;2 metres): 0.8.</w:t>
      </w:r>
    </w:p>
    <w:p w14:paraId="752486ED" w14:textId="77777777" w:rsidR="00872C03" w:rsidRPr="00883399" w:rsidRDefault="00872C03" w:rsidP="00872C03">
      <w:pPr>
        <w:pStyle w:val="Definition0"/>
        <w:rPr>
          <w:sz w:val="24"/>
        </w:rPr>
      </w:pPr>
      <w:r w:rsidRPr="00883399">
        <w:rPr>
          <w:b/>
          <w:i/>
          <w:sz w:val="24"/>
        </w:rPr>
        <w:t>EF</w:t>
      </w:r>
      <w:r w:rsidRPr="00883399">
        <w:rPr>
          <w:b/>
          <w:i/>
          <w:sz w:val="24"/>
          <w:vertAlign w:val="subscript"/>
        </w:rPr>
        <w:t>wij</w:t>
      </w:r>
      <w:r w:rsidRPr="00883399">
        <w:rPr>
          <w:b/>
          <w:i/>
          <w:sz w:val="24"/>
        </w:rPr>
        <w:t xml:space="preserve"> </w:t>
      </w:r>
      <w:r w:rsidRPr="00883399">
        <w:rPr>
          <w:sz w:val="24"/>
        </w:rPr>
        <w:t>is the methane emission factor for industrial wastewater.</w:t>
      </w:r>
    </w:p>
    <w:p w14:paraId="15592604" w14:textId="77777777" w:rsidR="00872C03" w:rsidRPr="00883399" w:rsidRDefault="00872C03" w:rsidP="00872C03">
      <w:pPr>
        <w:pStyle w:val="Definition0"/>
        <w:rPr>
          <w:sz w:val="24"/>
        </w:rPr>
      </w:pPr>
      <w:r w:rsidRPr="00883399">
        <w:rPr>
          <w:b/>
          <w:i/>
          <w:sz w:val="24"/>
        </w:rPr>
        <w:t>COD</w:t>
      </w:r>
      <w:r w:rsidRPr="00883399">
        <w:rPr>
          <w:b/>
          <w:i/>
          <w:sz w:val="24"/>
          <w:vertAlign w:val="subscript"/>
        </w:rPr>
        <w:t>trl</w:t>
      </w:r>
      <w:r w:rsidRPr="00883399">
        <w:rPr>
          <w:b/>
          <w:i/>
          <w:sz w:val="24"/>
        </w:rPr>
        <w:t xml:space="preserve"> </w:t>
      </w:r>
      <w:r w:rsidRPr="00883399">
        <w:rPr>
          <w:sz w:val="24"/>
        </w:rPr>
        <w:t>is the quantity of COD in sludge transferred out of the plant and removed to landfill during the year measured in tonnes of COD.</w:t>
      </w:r>
    </w:p>
    <w:p w14:paraId="18141AEE" w14:textId="77777777" w:rsidR="00872C03" w:rsidRPr="00883399" w:rsidRDefault="00872C03" w:rsidP="00872C03">
      <w:pPr>
        <w:pStyle w:val="Definition0"/>
        <w:rPr>
          <w:sz w:val="24"/>
        </w:rPr>
      </w:pPr>
      <w:r w:rsidRPr="00883399">
        <w:rPr>
          <w:b/>
          <w:i/>
          <w:sz w:val="24"/>
        </w:rPr>
        <w:t>COD</w:t>
      </w:r>
      <w:r w:rsidRPr="00883399">
        <w:rPr>
          <w:b/>
          <w:i/>
          <w:sz w:val="24"/>
          <w:vertAlign w:val="subscript"/>
        </w:rPr>
        <w:t>tro</w:t>
      </w:r>
      <w:r w:rsidRPr="00883399">
        <w:rPr>
          <w:b/>
          <w:i/>
          <w:sz w:val="24"/>
        </w:rPr>
        <w:t xml:space="preserve"> </w:t>
      </w:r>
      <w:r w:rsidRPr="00883399">
        <w:rPr>
          <w:sz w:val="24"/>
        </w:rPr>
        <w:t>is the quantity of COD in sludge transferred out of the plant and removed to a site other than landfill during the year measured in tonnes of COD.</w:t>
      </w:r>
    </w:p>
    <w:p w14:paraId="5659EE22" w14:textId="77777777" w:rsidR="00872C03" w:rsidRPr="00883399" w:rsidRDefault="00872C03" w:rsidP="00872C03">
      <w:pPr>
        <w:pStyle w:val="Definition0"/>
        <w:rPr>
          <w:sz w:val="24"/>
        </w:rPr>
      </w:pPr>
      <w:r w:rsidRPr="00883399">
        <w:rPr>
          <w:b/>
          <w:i/>
          <w:sz w:val="24"/>
        </w:rPr>
        <w:t>MCF</w:t>
      </w:r>
      <w:r w:rsidRPr="00883399">
        <w:rPr>
          <w:rStyle w:val="charSubscript"/>
          <w:b/>
          <w:i/>
          <w:sz w:val="22"/>
        </w:rPr>
        <w:t>sl</w:t>
      </w:r>
      <w:r w:rsidRPr="00883399">
        <w:rPr>
          <w:b/>
          <w:i/>
          <w:sz w:val="24"/>
        </w:rPr>
        <w:t xml:space="preserve"> </w:t>
      </w:r>
      <w:r w:rsidRPr="00883399">
        <w:rPr>
          <w:sz w:val="24"/>
        </w:rPr>
        <w:t>is the methane correction factor for sludge treated at the plant during the year.</w:t>
      </w:r>
    </w:p>
    <w:p w14:paraId="531167BD" w14:textId="77777777" w:rsidR="00002D0E" w:rsidRPr="00883399" w:rsidRDefault="00002D0E" w:rsidP="00002D0E">
      <w:pPr>
        <w:pStyle w:val="Text"/>
        <w:tabs>
          <w:tab w:val="left" w:pos="8400"/>
        </w:tabs>
        <w:rPr>
          <w:rFonts w:ascii="Arial" w:hAnsi="Arial" w:cs="Arial"/>
          <w:sz w:val="22"/>
          <w:szCs w:val="22"/>
        </w:rPr>
      </w:pPr>
      <w:r w:rsidRPr="00883399">
        <w:rPr>
          <w:rFonts w:ascii="Arial" w:hAnsi="Arial" w:cs="Arial"/>
          <w:sz w:val="22"/>
          <w:szCs w:val="22"/>
        </w:rPr>
        <w:lastRenderedPageBreak/>
        <w:t xml:space="preserve">While default MCF values are provided under method 1, it is also possible to self select an appropriate MCF value based on the type of wastewater treatment system employed in the industrial plant.  The following table is provided to assist in the MCF selection process.  </w:t>
      </w:r>
    </w:p>
    <w:p w14:paraId="5DC5B23F" w14:textId="77777777" w:rsidR="00872C03" w:rsidRPr="00883399" w:rsidRDefault="00872C03" w:rsidP="00872C03">
      <w:pPr>
        <w:pStyle w:val="notetext"/>
        <w:rPr>
          <w:sz w:val="20"/>
        </w:rPr>
      </w:pPr>
      <w:r w:rsidRPr="00883399">
        <w:rPr>
          <w:sz w:val="20"/>
        </w:rPr>
        <w:t>Note:</w:t>
      </w:r>
      <w:r w:rsidRPr="00883399">
        <w:rPr>
          <w:sz w:val="20"/>
        </w:rPr>
        <w:tab/>
        <w:t>IPCC default methane correction factors for various types of treatment are:</w:t>
      </w:r>
    </w:p>
    <w:p w14:paraId="04540D02" w14:textId="77777777" w:rsidR="00872C03" w:rsidRPr="00883399" w:rsidRDefault="00872C03" w:rsidP="00872C03">
      <w:pPr>
        <w:pStyle w:val="notepara1"/>
        <w:rPr>
          <w:sz w:val="20"/>
        </w:rPr>
      </w:pPr>
      <w:r w:rsidRPr="00883399">
        <w:rPr>
          <w:sz w:val="20"/>
        </w:rPr>
        <w:sym w:font="Symbol" w:char="00B7"/>
      </w:r>
      <w:r w:rsidRPr="00883399">
        <w:rPr>
          <w:sz w:val="20"/>
        </w:rPr>
        <w:tab/>
        <w:t>managed aerobic treatment: 0</w:t>
      </w:r>
    </w:p>
    <w:p w14:paraId="2783AB58" w14:textId="77777777" w:rsidR="00872C03" w:rsidRPr="00883399" w:rsidRDefault="00872C03" w:rsidP="00872C03">
      <w:pPr>
        <w:pStyle w:val="notepara1"/>
        <w:rPr>
          <w:sz w:val="20"/>
        </w:rPr>
      </w:pPr>
      <w:r w:rsidRPr="00883399">
        <w:rPr>
          <w:sz w:val="20"/>
        </w:rPr>
        <w:sym w:font="Symbol" w:char="00B7"/>
      </w:r>
      <w:r w:rsidRPr="00883399">
        <w:rPr>
          <w:sz w:val="20"/>
        </w:rPr>
        <w:tab/>
        <w:t>unmanaged aerobic treatment: 0.3</w:t>
      </w:r>
    </w:p>
    <w:p w14:paraId="0151097E" w14:textId="77777777" w:rsidR="00872C03" w:rsidRPr="00883399" w:rsidRDefault="00872C03" w:rsidP="00872C03">
      <w:pPr>
        <w:pStyle w:val="notepara1"/>
        <w:rPr>
          <w:sz w:val="20"/>
        </w:rPr>
      </w:pPr>
      <w:r w:rsidRPr="00883399">
        <w:rPr>
          <w:sz w:val="20"/>
        </w:rPr>
        <w:sym w:font="Symbol" w:char="00B7"/>
      </w:r>
      <w:r w:rsidRPr="00883399">
        <w:rPr>
          <w:sz w:val="20"/>
        </w:rPr>
        <w:tab/>
        <w:t>anaerobic digester/reactor: 0.8</w:t>
      </w:r>
    </w:p>
    <w:p w14:paraId="1CE5D4EF" w14:textId="77777777" w:rsidR="00872C03" w:rsidRPr="00883399" w:rsidRDefault="00872C03" w:rsidP="00872C03">
      <w:pPr>
        <w:pStyle w:val="notepara1"/>
        <w:rPr>
          <w:sz w:val="20"/>
        </w:rPr>
      </w:pPr>
      <w:r w:rsidRPr="00883399">
        <w:rPr>
          <w:sz w:val="20"/>
        </w:rPr>
        <w:sym w:font="Symbol" w:char="00B7"/>
      </w:r>
      <w:r w:rsidRPr="00883399">
        <w:rPr>
          <w:sz w:val="20"/>
        </w:rPr>
        <w:tab/>
        <w:t>shallow anaerobic lagoon (&lt;2 metres): 0.2</w:t>
      </w:r>
    </w:p>
    <w:p w14:paraId="3826841B" w14:textId="77777777" w:rsidR="00872C03" w:rsidRPr="00883399" w:rsidRDefault="00872C03" w:rsidP="00872C03">
      <w:pPr>
        <w:pStyle w:val="notepara1"/>
        <w:rPr>
          <w:sz w:val="20"/>
        </w:rPr>
      </w:pPr>
      <w:r w:rsidRPr="00883399">
        <w:rPr>
          <w:sz w:val="20"/>
        </w:rPr>
        <w:sym w:font="Symbol" w:char="00B7"/>
      </w:r>
      <w:r w:rsidRPr="00883399">
        <w:rPr>
          <w:sz w:val="20"/>
        </w:rPr>
        <w:tab/>
        <w:t>deep anaerobic lagoon (&gt;2 metres): 0.8.</w:t>
      </w:r>
    </w:p>
    <w:p w14:paraId="38A6D664" w14:textId="77777777" w:rsidR="00872C03" w:rsidRPr="00883399" w:rsidRDefault="00872C03" w:rsidP="00872C03">
      <w:pPr>
        <w:pStyle w:val="Definition0"/>
        <w:rPr>
          <w:sz w:val="24"/>
        </w:rPr>
      </w:pPr>
      <w:r w:rsidRPr="00883399">
        <w:rPr>
          <w:b/>
          <w:i/>
          <w:sz w:val="24"/>
        </w:rPr>
        <w:t>EF</w:t>
      </w:r>
      <w:r w:rsidRPr="00883399">
        <w:rPr>
          <w:b/>
          <w:i/>
          <w:sz w:val="24"/>
          <w:vertAlign w:val="subscript"/>
        </w:rPr>
        <w:t>slij</w:t>
      </w:r>
      <w:r w:rsidRPr="00883399">
        <w:rPr>
          <w:sz w:val="24"/>
        </w:rPr>
        <w:t xml:space="preserve"> is the methane emission factor for the treatment of sludge by the plant.</w:t>
      </w:r>
    </w:p>
    <w:p w14:paraId="737B7C90" w14:textId="77777777" w:rsidR="00872C03" w:rsidRPr="00883399" w:rsidRDefault="00872C03" w:rsidP="00872C03">
      <w:pPr>
        <w:pStyle w:val="subsection"/>
        <w:rPr>
          <w:sz w:val="24"/>
        </w:rPr>
      </w:pPr>
      <w:r w:rsidRPr="00883399">
        <w:rPr>
          <w:sz w:val="24"/>
        </w:rPr>
        <w:tab/>
        <w:t>(6)</w:t>
      </w:r>
      <w:r w:rsidRPr="00883399">
        <w:rPr>
          <w:sz w:val="24"/>
        </w:rPr>
        <w:tab/>
        <w:t xml:space="preserve">For </w:t>
      </w:r>
      <w:r w:rsidRPr="00883399">
        <w:rPr>
          <w:b/>
          <w:i/>
          <w:sz w:val="24"/>
        </w:rPr>
        <w:t>EF</w:t>
      </w:r>
      <w:r w:rsidRPr="00883399">
        <w:rPr>
          <w:rStyle w:val="charSubscript"/>
          <w:b/>
          <w:i/>
          <w:sz w:val="24"/>
        </w:rPr>
        <w:t>wij</w:t>
      </w:r>
      <w:r w:rsidRPr="00883399">
        <w:rPr>
          <w:rStyle w:val="charSubscript"/>
          <w:sz w:val="24"/>
        </w:rPr>
        <w:t xml:space="preserve"> </w:t>
      </w:r>
      <w:r w:rsidRPr="00883399">
        <w:rPr>
          <w:sz w:val="24"/>
        </w:rPr>
        <w:t>in subsection (5), an emission factor of 6.3 CO2</w:t>
      </w:r>
      <w:r w:rsidRPr="00883399">
        <w:rPr>
          <w:sz w:val="24"/>
        </w:rPr>
        <w:noBreakHyphen/>
        <w:t>e tonnes per tonne of COD may be used.</w:t>
      </w:r>
    </w:p>
    <w:p w14:paraId="63669007" w14:textId="77777777" w:rsidR="00872C03" w:rsidRPr="00883399" w:rsidRDefault="00872C03" w:rsidP="00872C03">
      <w:pPr>
        <w:pStyle w:val="subsection"/>
        <w:rPr>
          <w:sz w:val="24"/>
        </w:rPr>
      </w:pPr>
      <w:r w:rsidRPr="00883399">
        <w:rPr>
          <w:sz w:val="24"/>
        </w:rPr>
        <w:tab/>
        <w:t>(7)</w:t>
      </w:r>
      <w:r w:rsidRPr="00883399">
        <w:rPr>
          <w:sz w:val="24"/>
        </w:rPr>
        <w:tab/>
        <w:t xml:space="preserve">For </w:t>
      </w:r>
      <w:r w:rsidRPr="00883399">
        <w:rPr>
          <w:b/>
          <w:i/>
          <w:sz w:val="24"/>
        </w:rPr>
        <w:t>EF</w:t>
      </w:r>
      <w:r w:rsidRPr="00883399">
        <w:rPr>
          <w:rStyle w:val="charSubscript"/>
          <w:b/>
          <w:i/>
          <w:sz w:val="24"/>
        </w:rPr>
        <w:t>slij</w:t>
      </w:r>
      <w:r w:rsidRPr="00883399">
        <w:rPr>
          <w:i/>
          <w:sz w:val="24"/>
        </w:rPr>
        <w:t xml:space="preserve"> </w:t>
      </w:r>
      <w:r w:rsidRPr="00883399">
        <w:rPr>
          <w:sz w:val="24"/>
        </w:rPr>
        <w:t>in subsection (5), a methane emission factor of 6.3 CO</w:t>
      </w:r>
      <w:r w:rsidRPr="00883399">
        <w:rPr>
          <w:sz w:val="24"/>
          <w:vertAlign w:val="subscript"/>
        </w:rPr>
        <w:t>2</w:t>
      </w:r>
      <w:r w:rsidRPr="00883399">
        <w:rPr>
          <w:sz w:val="24"/>
        </w:rPr>
        <w:noBreakHyphen/>
        <w:t>e tonnes per tonne of COD may be used.</w:t>
      </w:r>
    </w:p>
    <w:p w14:paraId="70B05626" w14:textId="77777777" w:rsidR="00872C03" w:rsidRPr="00883399" w:rsidRDefault="00872C03" w:rsidP="00872C03">
      <w:pPr>
        <w:pStyle w:val="subsection"/>
        <w:rPr>
          <w:sz w:val="24"/>
        </w:rPr>
      </w:pPr>
      <w:r w:rsidRPr="00883399">
        <w:rPr>
          <w:sz w:val="24"/>
        </w:rPr>
        <w:tab/>
        <w:t>(8)</w:t>
      </w:r>
      <w:r w:rsidRPr="00883399">
        <w:rPr>
          <w:sz w:val="24"/>
        </w:rPr>
        <w:tab/>
        <w:t>For subsection (5), COD must be estimated for a commodity set out in column 1 of an item in the following table that is produced by the industry referred to by the ANZSIC code set out in column 1 for that item:</w:t>
      </w:r>
    </w:p>
    <w:p w14:paraId="37E5E871" w14:textId="77777777" w:rsidR="00872C03" w:rsidRPr="00883399" w:rsidRDefault="00872C03" w:rsidP="00872C03">
      <w:pPr>
        <w:pStyle w:val="paragraph"/>
        <w:rPr>
          <w:sz w:val="24"/>
        </w:rPr>
      </w:pPr>
      <w:r w:rsidRPr="00883399">
        <w:rPr>
          <w:sz w:val="24"/>
        </w:rPr>
        <w:tab/>
        <w:t>(a)</w:t>
      </w:r>
      <w:r w:rsidRPr="00883399">
        <w:rPr>
          <w:sz w:val="24"/>
        </w:rPr>
        <w:tab/>
        <w:t xml:space="preserve">by using the default values for </w:t>
      </w:r>
      <w:r w:rsidRPr="00883399">
        <w:rPr>
          <w:b/>
          <w:i/>
          <w:sz w:val="24"/>
        </w:rPr>
        <w:t>W</w:t>
      </w:r>
      <w:r w:rsidRPr="00883399">
        <w:rPr>
          <w:b/>
          <w:i/>
          <w:sz w:val="24"/>
          <w:vertAlign w:val="subscript"/>
        </w:rPr>
        <w:t>gen,i</w:t>
      </w:r>
      <w:r w:rsidRPr="00883399">
        <w:rPr>
          <w:sz w:val="24"/>
        </w:rPr>
        <w:t xml:space="preserve"> and </w:t>
      </w:r>
      <w:r w:rsidRPr="00883399">
        <w:rPr>
          <w:b/>
          <w:i/>
          <w:sz w:val="24"/>
        </w:rPr>
        <w:t>COD</w:t>
      </w:r>
      <w:r w:rsidRPr="00883399">
        <w:rPr>
          <w:b/>
          <w:i/>
          <w:sz w:val="24"/>
          <w:vertAlign w:val="subscript"/>
        </w:rPr>
        <w:t>con,i</w:t>
      </w:r>
      <w:r w:rsidRPr="00883399">
        <w:rPr>
          <w:sz w:val="24"/>
        </w:rPr>
        <w:t xml:space="preserve"> set out in columns 2 and 3 for that item; or</w:t>
      </w:r>
    </w:p>
    <w:p w14:paraId="0A12FB9D" w14:textId="77777777" w:rsidR="00872C03" w:rsidRPr="00883399" w:rsidRDefault="00872C03" w:rsidP="00872C03">
      <w:pPr>
        <w:pStyle w:val="paragraph"/>
        <w:rPr>
          <w:sz w:val="24"/>
        </w:rPr>
      </w:pPr>
      <w:r w:rsidRPr="00883399">
        <w:rPr>
          <w:sz w:val="24"/>
        </w:rPr>
        <w:tab/>
        <w:t>(b)</w:t>
      </w:r>
      <w:r w:rsidRPr="00883399">
        <w:rPr>
          <w:sz w:val="24"/>
        </w:rPr>
        <w:tab/>
        <w:t>in accordance with industry practice relevant to the measurement of the quantity of wastewater.</w:t>
      </w:r>
    </w:p>
    <w:p w14:paraId="154B713B" w14:textId="77777777" w:rsidR="00872C03" w:rsidRPr="00883399" w:rsidRDefault="00872C03" w:rsidP="00872C03">
      <w:pPr>
        <w:pStyle w:val="Tabletext0"/>
        <w:rPr>
          <w:sz w:val="22"/>
        </w:rPr>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4"/>
        <w:gridCol w:w="3969"/>
        <w:gridCol w:w="1843"/>
        <w:gridCol w:w="1797"/>
      </w:tblGrid>
      <w:tr w:rsidR="00872C03" w:rsidRPr="00883399" w14:paraId="6101B677" w14:textId="77777777" w:rsidTr="0031057E">
        <w:trPr>
          <w:tblHeader/>
        </w:trPr>
        <w:tc>
          <w:tcPr>
            <w:tcW w:w="8313" w:type="dxa"/>
            <w:gridSpan w:val="4"/>
            <w:tcBorders>
              <w:top w:val="single" w:sz="12" w:space="0" w:color="auto"/>
              <w:bottom w:val="single" w:sz="6" w:space="0" w:color="auto"/>
            </w:tcBorders>
            <w:shd w:val="clear" w:color="auto" w:fill="auto"/>
          </w:tcPr>
          <w:p w14:paraId="0A43AAF2" w14:textId="77777777" w:rsidR="00872C03" w:rsidRPr="00883399" w:rsidRDefault="00872C03" w:rsidP="0031057E">
            <w:pPr>
              <w:pStyle w:val="TableHeading"/>
              <w:rPr>
                <w:sz w:val="22"/>
              </w:rPr>
            </w:pPr>
            <w:r w:rsidRPr="00883399">
              <w:rPr>
                <w:sz w:val="22"/>
              </w:rPr>
              <w:t>Estimate of COD for a commodity and industry</w:t>
            </w:r>
          </w:p>
        </w:tc>
      </w:tr>
      <w:tr w:rsidR="00872C03" w:rsidRPr="00883399" w14:paraId="4E7DD53B" w14:textId="77777777" w:rsidTr="0031057E">
        <w:trPr>
          <w:tblHeader/>
        </w:trPr>
        <w:tc>
          <w:tcPr>
            <w:tcW w:w="704" w:type="dxa"/>
            <w:tcBorders>
              <w:top w:val="single" w:sz="6" w:space="0" w:color="auto"/>
              <w:bottom w:val="nil"/>
            </w:tcBorders>
            <w:shd w:val="clear" w:color="auto" w:fill="auto"/>
          </w:tcPr>
          <w:p w14:paraId="19C1E80C" w14:textId="77777777" w:rsidR="00872C03" w:rsidRPr="00883399" w:rsidRDefault="00872C03" w:rsidP="0031057E">
            <w:pPr>
              <w:pStyle w:val="TableHeading"/>
              <w:rPr>
                <w:sz w:val="22"/>
              </w:rPr>
            </w:pPr>
            <w:r w:rsidRPr="00883399">
              <w:rPr>
                <w:sz w:val="22"/>
              </w:rPr>
              <w:t>Item</w:t>
            </w:r>
          </w:p>
        </w:tc>
        <w:tc>
          <w:tcPr>
            <w:tcW w:w="3969" w:type="dxa"/>
            <w:tcBorders>
              <w:top w:val="single" w:sz="6" w:space="0" w:color="auto"/>
              <w:bottom w:val="nil"/>
            </w:tcBorders>
            <w:shd w:val="clear" w:color="auto" w:fill="auto"/>
          </w:tcPr>
          <w:p w14:paraId="3EEFCEA7" w14:textId="77777777" w:rsidR="00872C03" w:rsidRPr="00883399" w:rsidRDefault="00872C03" w:rsidP="0031057E">
            <w:pPr>
              <w:pStyle w:val="TableHeading"/>
              <w:rPr>
                <w:sz w:val="22"/>
              </w:rPr>
            </w:pPr>
            <w:r w:rsidRPr="00883399">
              <w:rPr>
                <w:sz w:val="22"/>
              </w:rPr>
              <w:t>Column 1</w:t>
            </w:r>
          </w:p>
        </w:tc>
        <w:tc>
          <w:tcPr>
            <w:tcW w:w="1843" w:type="dxa"/>
            <w:tcBorders>
              <w:top w:val="single" w:sz="6" w:space="0" w:color="auto"/>
              <w:bottom w:val="nil"/>
            </w:tcBorders>
            <w:shd w:val="clear" w:color="auto" w:fill="auto"/>
          </w:tcPr>
          <w:p w14:paraId="10D7C2A6" w14:textId="77777777" w:rsidR="00872C03" w:rsidRPr="00883399" w:rsidRDefault="00872C03" w:rsidP="0031057E">
            <w:pPr>
              <w:pStyle w:val="TableHeading"/>
              <w:rPr>
                <w:sz w:val="22"/>
              </w:rPr>
            </w:pPr>
            <w:r w:rsidRPr="00883399">
              <w:rPr>
                <w:sz w:val="22"/>
              </w:rPr>
              <w:t>Column 2</w:t>
            </w:r>
          </w:p>
        </w:tc>
        <w:tc>
          <w:tcPr>
            <w:tcW w:w="1797" w:type="dxa"/>
            <w:tcBorders>
              <w:top w:val="single" w:sz="6" w:space="0" w:color="auto"/>
              <w:bottom w:val="nil"/>
            </w:tcBorders>
            <w:shd w:val="clear" w:color="auto" w:fill="auto"/>
          </w:tcPr>
          <w:p w14:paraId="405315F3" w14:textId="77777777" w:rsidR="00872C03" w:rsidRPr="00883399" w:rsidRDefault="00872C03" w:rsidP="0031057E">
            <w:pPr>
              <w:pStyle w:val="TableHeading"/>
              <w:rPr>
                <w:sz w:val="22"/>
              </w:rPr>
            </w:pPr>
            <w:r w:rsidRPr="00883399">
              <w:rPr>
                <w:sz w:val="22"/>
              </w:rPr>
              <w:t>Column 3</w:t>
            </w:r>
          </w:p>
        </w:tc>
      </w:tr>
      <w:tr w:rsidR="00872C03" w:rsidRPr="00883399" w14:paraId="57FD072B" w14:textId="77777777" w:rsidTr="0031057E">
        <w:trPr>
          <w:tblHeader/>
        </w:trPr>
        <w:tc>
          <w:tcPr>
            <w:tcW w:w="704" w:type="dxa"/>
            <w:tcBorders>
              <w:top w:val="nil"/>
              <w:bottom w:val="single" w:sz="12" w:space="0" w:color="auto"/>
            </w:tcBorders>
            <w:shd w:val="clear" w:color="auto" w:fill="auto"/>
          </w:tcPr>
          <w:p w14:paraId="4C6A1CFD" w14:textId="77777777" w:rsidR="00872C03" w:rsidRPr="00883399" w:rsidRDefault="00872C03" w:rsidP="0031057E">
            <w:pPr>
              <w:pStyle w:val="TableHeading"/>
              <w:rPr>
                <w:sz w:val="22"/>
              </w:rPr>
            </w:pPr>
          </w:p>
        </w:tc>
        <w:tc>
          <w:tcPr>
            <w:tcW w:w="3969" w:type="dxa"/>
            <w:tcBorders>
              <w:top w:val="nil"/>
              <w:bottom w:val="single" w:sz="12" w:space="0" w:color="auto"/>
            </w:tcBorders>
            <w:shd w:val="clear" w:color="auto" w:fill="auto"/>
          </w:tcPr>
          <w:p w14:paraId="1DE6E69C" w14:textId="77777777" w:rsidR="00872C03" w:rsidRPr="00883399" w:rsidRDefault="00872C03" w:rsidP="0031057E">
            <w:pPr>
              <w:pStyle w:val="TableHeading"/>
              <w:rPr>
                <w:sz w:val="22"/>
              </w:rPr>
            </w:pPr>
            <w:r w:rsidRPr="00883399">
              <w:rPr>
                <w:sz w:val="22"/>
              </w:rPr>
              <w:t>Commodity and industry</w:t>
            </w:r>
          </w:p>
        </w:tc>
        <w:tc>
          <w:tcPr>
            <w:tcW w:w="1843" w:type="dxa"/>
            <w:tcBorders>
              <w:top w:val="nil"/>
              <w:bottom w:val="single" w:sz="12" w:space="0" w:color="auto"/>
            </w:tcBorders>
            <w:shd w:val="clear" w:color="auto" w:fill="auto"/>
          </w:tcPr>
          <w:p w14:paraId="3E29BA33" w14:textId="77777777" w:rsidR="00872C03" w:rsidRPr="00883399" w:rsidRDefault="00872C03" w:rsidP="0031057E">
            <w:pPr>
              <w:pStyle w:val="TableHeading"/>
              <w:rPr>
                <w:i/>
                <w:sz w:val="22"/>
              </w:rPr>
            </w:pPr>
            <w:r w:rsidRPr="00883399">
              <w:rPr>
                <w:i/>
                <w:sz w:val="22"/>
              </w:rPr>
              <w:t>W</w:t>
            </w:r>
            <w:r w:rsidRPr="00883399">
              <w:rPr>
                <w:i/>
                <w:sz w:val="22"/>
                <w:vertAlign w:val="subscript"/>
              </w:rPr>
              <w:t>gen,i</w:t>
            </w:r>
          </w:p>
          <w:p w14:paraId="61D913F6" w14:textId="77777777" w:rsidR="00872C03" w:rsidRPr="00883399" w:rsidRDefault="00872C03" w:rsidP="0031057E">
            <w:pPr>
              <w:pStyle w:val="TableHeading"/>
              <w:rPr>
                <w:sz w:val="22"/>
              </w:rPr>
            </w:pPr>
            <w:r w:rsidRPr="00883399">
              <w:rPr>
                <w:sz w:val="22"/>
              </w:rPr>
              <w:t>default value</w:t>
            </w:r>
          </w:p>
        </w:tc>
        <w:tc>
          <w:tcPr>
            <w:tcW w:w="1797" w:type="dxa"/>
            <w:tcBorders>
              <w:top w:val="nil"/>
              <w:bottom w:val="single" w:sz="12" w:space="0" w:color="auto"/>
            </w:tcBorders>
            <w:shd w:val="clear" w:color="auto" w:fill="auto"/>
          </w:tcPr>
          <w:p w14:paraId="5FDFB19C" w14:textId="77777777" w:rsidR="00872C03" w:rsidRPr="00883399" w:rsidRDefault="00872C03" w:rsidP="0031057E">
            <w:pPr>
              <w:pStyle w:val="TableHeading"/>
              <w:rPr>
                <w:i/>
                <w:sz w:val="22"/>
              </w:rPr>
            </w:pPr>
            <w:r w:rsidRPr="00883399">
              <w:rPr>
                <w:i/>
                <w:sz w:val="22"/>
              </w:rPr>
              <w:t>COD</w:t>
            </w:r>
            <w:r w:rsidRPr="00883399">
              <w:rPr>
                <w:i/>
                <w:sz w:val="22"/>
                <w:vertAlign w:val="subscript"/>
              </w:rPr>
              <w:t>con,i</w:t>
            </w:r>
          </w:p>
          <w:p w14:paraId="23ADA76F" w14:textId="77777777" w:rsidR="00872C03" w:rsidRPr="00883399" w:rsidRDefault="00872C03" w:rsidP="0031057E">
            <w:pPr>
              <w:pStyle w:val="TableHeading"/>
              <w:rPr>
                <w:sz w:val="22"/>
              </w:rPr>
            </w:pPr>
            <w:r w:rsidRPr="00883399">
              <w:rPr>
                <w:sz w:val="22"/>
              </w:rPr>
              <w:t>default value</w:t>
            </w:r>
          </w:p>
        </w:tc>
      </w:tr>
      <w:tr w:rsidR="00872C03" w:rsidRPr="00883399" w14:paraId="417955B5" w14:textId="77777777" w:rsidTr="0031057E">
        <w:tc>
          <w:tcPr>
            <w:tcW w:w="704" w:type="dxa"/>
            <w:tcBorders>
              <w:top w:val="single" w:sz="12" w:space="0" w:color="auto"/>
            </w:tcBorders>
            <w:shd w:val="clear" w:color="auto" w:fill="auto"/>
          </w:tcPr>
          <w:p w14:paraId="2108DF27" w14:textId="77777777" w:rsidR="00872C03" w:rsidRPr="00883399" w:rsidRDefault="00872C03" w:rsidP="0031057E">
            <w:pPr>
              <w:pStyle w:val="Tabletext0"/>
              <w:rPr>
                <w:sz w:val="22"/>
              </w:rPr>
            </w:pPr>
            <w:r w:rsidRPr="00883399">
              <w:rPr>
                <w:sz w:val="22"/>
              </w:rPr>
              <w:t>1</w:t>
            </w:r>
          </w:p>
        </w:tc>
        <w:tc>
          <w:tcPr>
            <w:tcW w:w="3969" w:type="dxa"/>
            <w:tcBorders>
              <w:top w:val="single" w:sz="12" w:space="0" w:color="auto"/>
            </w:tcBorders>
            <w:shd w:val="clear" w:color="auto" w:fill="auto"/>
          </w:tcPr>
          <w:p w14:paraId="6C65AF89" w14:textId="77777777" w:rsidR="00872C03" w:rsidRPr="00883399" w:rsidRDefault="00872C03" w:rsidP="0031057E">
            <w:pPr>
              <w:pStyle w:val="Tabletext0"/>
              <w:rPr>
                <w:sz w:val="22"/>
              </w:rPr>
            </w:pPr>
            <w:r w:rsidRPr="00883399">
              <w:rPr>
                <w:sz w:val="22"/>
              </w:rPr>
              <w:t>Dairy product (ANZSIC code 113)</w:t>
            </w:r>
          </w:p>
        </w:tc>
        <w:tc>
          <w:tcPr>
            <w:tcW w:w="1843" w:type="dxa"/>
            <w:tcBorders>
              <w:top w:val="single" w:sz="12" w:space="0" w:color="auto"/>
            </w:tcBorders>
            <w:shd w:val="clear" w:color="auto" w:fill="auto"/>
          </w:tcPr>
          <w:p w14:paraId="140C08D8" w14:textId="77777777" w:rsidR="00872C03" w:rsidRPr="00883399" w:rsidRDefault="00872C03" w:rsidP="0031057E">
            <w:pPr>
              <w:pStyle w:val="Tabletext0"/>
              <w:tabs>
                <w:tab w:val="decimal" w:pos="800"/>
              </w:tabs>
              <w:rPr>
                <w:sz w:val="22"/>
              </w:rPr>
            </w:pPr>
            <w:r w:rsidRPr="00883399">
              <w:rPr>
                <w:sz w:val="22"/>
              </w:rPr>
              <w:t>5.7</w:t>
            </w:r>
          </w:p>
        </w:tc>
        <w:tc>
          <w:tcPr>
            <w:tcW w:w="1797" w:type="dxa"/>
            <w:tcBorders>
              <w:top w:val="single" w:sz="12" w:space="0" w:color="auto"/>
            </w:tcBorders>
            <w:shd w:val="clear" w:color="auto" w:fill="auto"/>
          </w:tcPr>
          <w:p w14:paraId="2CBBF381" w14:textId="77777777" w:rsidR="00872C03" w:rsidRPr="00883399" w:rsidRDefault="00872C03" w:rsidP="0031057E">
            <w:pPr>
              <w:pStyle w:val="Tabletext0"/>
              <w:tabs>
                <w:tab w:val="decimal" w:pos="800"/>
              </w:tabs>
              <w:rPr>
                <w:sz w:val="22"/>
              </w:rPr>
            </w:pPr>
            <w:r w:rsidRPr="00883399">
              <w:rPr>
                <w:sz w:val="22"/>
              </w:rPr>
              <w:t>0.9</w:t>
            </w:r>
          </w:p>
        </w:tc>
      </w:tr>
      <w:tr w:rsidR="00872C03" w:rsidRPr="00883399" w14:paraId="1F048399" w14:textId="77777777" w:rsidTr="0031057E">
        <w:tc>
          <w:tcPr>
            <w:tcW w:w="704" w:type="dxa"/>
            <w:shd w:val="clear" w:color="auto" w:fill="auto"/>
          </w:tcPr>
          <w:p w14:paraId="66D9E348" w14:textId="77777777" w:rsidR="00872C03" w:rsidRPr="00883399" w:rsidRDefault="00872C03" w:rsidP="0031057E">
            <w:pPr>
              <w:pStyle w:val="Tabletext0"/>
              <w:rPr>
                <w:sz w:val="22"/>
              </w:rPr>
            </w:pPr>
            <w:r w:rsidRPr="00883399">
              <w:rPr>
                <w:sz w:val="22"/>
              </w:rPr>
              <w:t>2</w:t>
            </w:r>
          </w:p>
        </w:tc>
        <w:tc>
          <w:tcPr>
            <w:tcW w:w="3969" w:type="dxa"/>
            <w:shd w:val="clear" w:color="auto" w:fill="auto"/>
          </w:tcPr>
          <w:p w14:paraId="4FF13BE3" w14:textId="77777777" w:rsidR="00872C03" w:rsidRPr="00883399" w:rsidRDefault="00872C03" w:rsidP="0031057E">
            <w:pPr>
              <w:pStyle w:val="Tabletext0"/>
              <w:rPr>
                <w:sz w:val="22"/>
              </w:rPr>
            </w:pPr>
            <w:r w:rsidRPr="00883399">
              <w:rPr>
                <w:sz w:val="22"/>
              </w:rPr>
              <w:t>Pulp, paper and paperboard (ANZSIC code 1510)</w:t>
            </w:r>
          </w:p>
        </w:tc>
        <w:tc>
          <w:tcPr>
            <w:tcW w:w="1843" w:type="dxa"/>
            <w:shd w:val="clear" w:color="auto" w:fill="auto"/>
          </w:tcPr>
          <w:p w14:paraId="74936188" w14:textId="77777777" w:rsidR="00872C03" w:rsidRPr="00883399" w:rsidRDefault="00872C03" w:rsidP="0031057E">
            <w:pPr>
              <w:pStyle w:val="Tabletext0"/>
              <w:tabs>
                <w:tab w:val="decimal" w:pos="800"/>
              </w:tabs>
              <w:rPr>
                <w:sz w:val="22"/>
              </w:rPr>
            </w:pPr>
            <w:r w:rsidRPr="00883399">
              <w:rPr>
                <w:sz w:val="22"/>
              </w:rPr>
              <w:t>26.7</w:t>
            </w:r>
          </w:p>
        </w:tc>
        <w:tc>
          <w:tcPr>
            <w:tcW w:w="1797" w:type="dxa"/>
            <w:shd w:val="clear" w:color="auto" w:fill="auto"/>
          </w:tcPr>
          <w:p w14:paraId="55119817" w14:textId="77777777" w:rsidR="00872C03" w:rsidRPr="00883399" w:rsidRDefault="00872C03" w:rsidP="0031057E">
            <w:pPr>
              <w:pStyle w:val="Tabletext0"/>
              <w:tabs>
                <w:tab w:val="decimal" w:pos="800"/>
              </w:tabs>
              <w:rPr>
                <w:sz w:val="22"/>
              </w:rPr>
            </w:pPr>
            <w:r w:rsidRPr="00883399">
              <w:rPr>
                <w:sz w:val="22"/>
              </w:rPr>
              <w:t>0.4</w:t>
            </w:r>
          </w:p>
        </w:tc>
      </w:tr>
      <w:tr w:rsidR="00872C03" w:rsidRPr="00883399" w14:paraId="2E68F80B" w14:textId="77777777" w:rsidTr="0031057E">
        <w:tc>
          <w:tcPr>
            <w:tcW w:w="704" w:type="dxa"/>
            <w:shd w:val="clear" w:color="auto" w:fill="auto"/>
          </w:tcPr>
          <w:p w14:paraId="0B3944E0" w14:textId="77777777" w:rsidR="00872C03" w:rsidRPr="00883399" w:rsidRDefault="00872C03" w:rsidP="0031057E">
            <w:pPr>
              <w:pStyle w:val="Tabletext0"/>
              <w:rPr>
                <w:sz w:val="22"/>
              </w:rPr>
            </w:pPr>
            <w:r w:rsidRPr="00883399">
              <w:rPr>
                <w:sz w:val="22"/>
              </w:rPr>
              <w:t>3</w:t>
            </w:r>
          </w:p>
        </w:tc>
        <w:tc>
          <w:tcPr>
            <w:tcW w:w="3969" w:type="dxa"/>
            <w:shd w:val="clear" w:color="auto" w:fill="auto"/>
          </w:tcPr>
          <w:p w14:paraId="2F13F302" w14:textId="77777777" w:rsidR="00872C03" w:rsidRPr="00883399" w:rsidRDefault="00872C03" w:rsidP="0031057E">
            <w:pPr>
              <w:pStyle w:val="Tabletext0"/>
              <w:rPr>
                <w:sz w:val="22"/>
              </w:rPr>
            </w:pPr>
            <w:r w:rsidRPr="00883399">
              <w:rPr>
                <w:sz w:val="22"/>
                <w:szCs w:val="22"/>
              </w:rPr>
              <w:t>Meat and poultry (</w:t>
            </w:r>
            <w:r w:rsidRPr="00883399">
              <w:rPr>
                <w:sz w:val="22"/>
              </w:rPr>
              <w:t>ANZSIC codes 1111 and 1112)</w:t>
            </w:r>
          </w:p>
        </w:tc>
        <w:tc>
          <w:tcPr>
            <w:tcW w:w="1843" w:type="dxa"/>
            <w:shd w:val="clear" w:color="auto" w:fill="auto"/>
          </w:tcPr>
          <w:p w14:paraId="2B5E5EF5" w14:textId="77777777" w:rsidR="00872C03" w:rsidRPr="00883399" w:rsidRDefault="00872C03" w:rsidP="0031057E">
            <w:pPr>
              <w:pStyle w:val="Tabletext0"/>
              <w:tabs>
                <w:tab w:val="decimal" w:pos="800"/>
              </w:tabs>
              <w:rPr>
                <w:sz w:val="22"/>
              </w:rPr>
            </w:pPr>
            <w:r w:rsidRPr="00883399">
              <w:rPr>
                <w:sz w:val="22"/>
              </w:rPr>
              <w:t>13.7</w:t>
            </w:r>
          </w:p>
        </w:tc>
        <w:tc>
          <w:tcPr>
            <w:tcW w:w="1797" w:type="dxa"/>
            <w:shd w:val="clear" w:color="auto" w:fill="auto"/>
          </w:tcPr>
          <w:p w14:paraId="5E6D9E91" w14:textId="77777777" w:rsidR="00872C03" w:rsidRPr="00883399" w:rsidRDefault="00872C03" w:rsidP="0031057E">
            <w:pPr>
              <w:pStyle w:val="Tabletext0"/>
              <w:tabs>
                <w:tab w:val="decimal" w:pos="800"/>
              </w:tabs>
              <w:rPr>
                <w:sz w:val="22"/>
              </w:rPr>
            </w:pPr>
            <w:r w:rsidRPr="00883399">
              <w:rPr>
                <w:sz w:val="22"/>
              </w:rPr>
              <w:t>6.1</w:t>
            </w:r>
          </w:p>
        </w:tc>
      </w:tr>
      <w:tr w:rsidR="00872C03" w:rsidRPr="00883399" w14:paraId="610E3172" w14:textId="77777777" w:rsidTr="0031057E">
        <w:tc>
          <w:tcPr>
            <w:tcW w:w="704" w:type="dxa"/>
            <w:shd w:val="clear" w:color="auto" w:fill="auto"/>
          </w:tcPr>
          <w:p w14:paraId="0C008FE5" w14:textId="77777777" w:rsidR="00872C03" w:rsidRPr="00883399" w:rsidRDefault="00872C03" w:rsidP="0031057E">
            <w:pPr>
              <w:pStyle w:val="Tabletext0"/>
              <w:rPr>
                <w:sz w:val="22"/>
              </w:rPr>
            </w:pPr>
            <w:r w:rsidRPr="00883399">
              <w:rPr>
                <w:sz w:val="22"/>
              </w:rPr>
              <w:t>4</w:t>
            </w:r>
          </w:p>
        </w:tc>
        <w:tc>
          <w:tcPr>
            <w:tcW w:w="3969" w:type="dxa"/>
            <w:shd w:val="clear" w:color="auto" w:fill="auto"/>
          </w:tcPr>
          <w:p w14:paraId="0C9D0C20" w14:textId="77777777" w:rsidR="00872C03" w:rsidRPr="00883399" w:rsidRDefault="00872C03" w:rsidP="0031057E">
            <w:pPr>
              <w:pStyle w:val="Tabletext0"/>
              <w:rPr>
                <w:sz w:val="22"/>
              </w:rPr>
            </w:pPr>
            <w:r w:rsidRPr="00883399">
              <w:rPr>
                <w:sz w:val="22"/>
              </w:rPr>
              <w:t>Organic chemicals (ANZSIC codes 18 and 19)</w:t>
            </w:r>
          </w:p>
        </w:tc>
        <w:tc>
          <w:tcPr>
            <w:tcW w:w="1843" w:type="dxa"/>
            <w:shd w:val="clear" w:color="auto" w:fill="auto"/>
          </w:tcPr>
          <w:p w14:paraId="7FE6E97C" w14:textId="77777777" w:rsidR="00872C03" w:rsidRPr="00883399" w:rsidRDefault="00872C03" w:rsidP="0031057E">
            <w:pPr>
              <w:pStyle w:val="Tabletext0"/>
              <w:tabs>
                <w:tab w:val="decimal" w:pos="800"/>
              </w:tabs>
              <w:rPr>
                <w:sz w:val="22"/>
              </w:rPr>
            </w:pPr>
            <w:r w:rsidRPr="00883399">
              <w:rPr>
                <w:sz w:val="22"/>
              </w:rPr>
              <w:t>67.0</w:t>
            </w:r>
          </w:p>
        </w:tc>
        <w:tc>
          <w:tcPr>
            <w:tcW w:w="1797" w:type="dxa"/>
            <w:shd w:val="clear" w:color="auto" w:fill="auto"/>
          </w:tcPr>
          <w:p w14:paraId="58982D49" w14:textId="77777777" w:rsidR="00872C03" w:rsidRPr="00883399" w:rsidRDefault="00872C03" w:rsidP="0031057E">
            <w:pPr>
              <w:pStyle w:val="Tabletext0"/>
              <w:tabs>
                <w:tab w:val="decimal" w:pos="800"/>
              </w:tabs>
              <w:rPr>
                <w:sz w:val="22"/>
              </w:rPr>
            </w:pPr>
            <w:r w:rsidRPr="00883399">
              <w:rPr>
                <w:sz w:val="22"/>
              </w:rPr>
              <w:t>3.0</w:t>
            </w:r>
          </w:p>
        </w:tc>
      </w:tr>
      <w:tr w:rsidR="00872C03" w:rsidRPr="00883399" w14:paraId="1751CD7B" w14:textId="77777777" w:rsidTr="0031057E">
        <w:tc>
          <w:tcPr>
            <w:tcW w:w="704" w:type="dxa"/>
            <w:shd w:val="clear" w:color="auto" w:fill="auto"/>
          </w:tcPr>
          <w:p w14:paraId="788BB9C7" w14:textId="77777777" w:rsidR="00872C03" w:rsidRPr="00883399" w:rsidRDefault="00872C03" w:rsidP="0031057E">
            <w:pPr>
              <w:pStyle w:val="Tabletext0"/>
              <w:rPr>
                <w:sz w:val="22"/>
              </w:rPr>
            </w:pPr>
            <w:r w:rsidRPr="00883399">
              <w:rPr>
                <w:sz w:val="22"/>
              </w:rPr>
              <w:t>5</w:t>
            </w:r>
          </w:p>
        </w:tc>
        <w:tc>
          <w:tcPr>
            <w:tcW w:w="3969" w:type="dxa"/>
            <w:shd w:val="clear" w:color="auto" w:fill="auto"/>
          </w:tcPr>
          <w:p w14:paraId="2362FF8E" w14:textId="77777777" w:rsidR="00872C03" w:rsidRPr="00883399" w:rsidRDefault="00872C03" w:rsidP="0031057E">
            <w:pPr>
              <w:pStyle w:val="Tabletext0"/>
              <w:rPr>
                <w:sz w:val="22"/>
              </w:rPr>
            </w:pPr>
            <w:r w:rsidRPr="00883399">
              <w:rPr>
                <w:sz w:val="22"/>
              </w:rPr>
              <w:t>Raw sugar (ANZSIC code 1181)</w:t>
            </w:r>
          </w:p>
        </w:tc>
        <w:tc>
          <w:tcPr>
            <w:tcW w:w="1843" w:type="dxa"/>
            <w:shd w:val="clear" w:color="auto" w:fill="auto"/>
          </w:tcPr>
          <w:p w14:paraId="27F2B298" w14:textId="77777777" w:rsidR="00872C03" w:rsidRPr="00883399" w:rsidRDefault="00872C03" w:rsidP="0031057E">
            <w:pPr>
              <w:pStyle w:val="Tabletext0"/>
              <w:tabs>
                <w:tab w:val="decimal" w:pos="800"/>
              </w:tabs>
              <w:rPr>
                <w:sz w:val="22"/>
              </w:rPr>
            </w:pPr>
            <w:r w:rsidRPr="00883399">
              <w:rPr>
                <w:sz w:val="22"/>
              </w:rPr>
              <w:t>0.4</w:t>
            </w:r>
          </w:p>
        </w:tc>
        <w:tc>
          <w:tcPr>
            <w:tcW w:w="1797" w:type="dxa"/>
            <w:shd w:val="clear" w:color="auto" w:fill="auto"/>
          </w:tcPr>
          <w:p w14:paraId="24BA3A0D" w14:textId="77777777" w:rsidR="00872C03" w:rsidRPr="00883399" w:rsidRDefault="00872C03" w:rsidP="0031057E">
            <w:pPr>
              <w:pStyle w:val="Tabletext0"/>
              <w:tabs>
                <w:tab w:val="decimal" w:pos="800"/>
              </w:tabs>
              <w:rPr>
                <w:sz w:val="22"/>
              </w:rPr>
            </w:pPr>
            <w:r w:rsidRPr="00883399">
              <w:rPr>
                <w:sz w:val="22"/>
              </w:rPr>
              <w:t>3.8</w:t>
            </w:r>
          </w:p>
        </w:tc>
      </w:tr>
      <w:tr w:rsidR="00872C03" w:rsidRPr="00883399" w14:paraId="6E6529A6" w14:textId="77777777" w:rsidTr="0031057E">
        <w:tc>
          <w:tcPr>
            <w:tcW w:w="704" w:type="dxa"/>
            <w:shd w:val="clear" w:color="auto" w:fill="auto"/>
          </w:tcPr>
          <w:p w14:paraId="3844A979" w14:textId="77777777" w:rsidR="00872C03" w:rsidRPr="00883399" w:rsidRDefault="00872C03" w:rsidP="0031057E">
            <w:pPr>
              <w:pStyle w:val="Tabletext0"/>
              <w:rPr>
                <w:sz w:val="22"/>
              </w:rPr>
            </w:pPr>
            <w:r w:rsidRPr="00883399">
              <w:rPr>
                <w:sz w:val="22"/>
              </w:rPr>
              <w:t>6</w:t>
            </w:r>
          </w:p>
        </w:tc>
        <w:tc>
          <w:tcPr>
            <w:tcW w:w="3969" w:type="dxa"/>
            <w:shd w:val="clear" w:color="auto" w:fill="auto"/>
          </w:tcPr>
          <w:p w14:paraId="3D264CDE" w14:textId="77777777" w:rsidR="00872C03" w:rsidRPr="00883399" w:rsidRDefault="00872C03" w:rsidP="0031057E">
            <w:pPr>
              <w:pStyle w:val="Tabletext0"/>
              <w:rPr>
                <w:sz w:val="22"/>
              </w:rPr>
            </w:pPr>
            <w:r w:rsidRPr="00883399">
              <w:rPr>
                <w:sz w:val="22"/>
              </w:rPr>
              <w:t>Beer (ANZSIC code 1212)</w:t>
            </w:r>
          </w:p>
        </w:tc>
        <w:tc>
          <w:tcPr>
            <w:tcW w:w="1843" w:type="dxa"/>
            <w:shd w:val="clear" w:color="auto" w:fill="auto"/>
          </w:tcPr>
          <w:p w14:paraId="015FA630" w14:textId="77777777" w:rsidR="00872C03" w:rsidRPr="00883399" w:rsidRDefault="00872C03" w:rsidP="0031057E">
            <w:pPr>
              <w:pStyle w:val="Tabletext0"/>
              <w:tabs>
                <w:tab w:val="decimal" w:pos="800"/>
              </w:tabs>
              <w:rPr>
                <w:sz w:val="22"/>
              </w:rPr>
            </w:pPr>
            <w:r w:rsidRPr="00883399">
              <w:rPr>
                <w:sz w:val="22"/>
              </w:rPr>
              <w:t>5.3</w:t>
            </w:r>
          </w:p>
        </w:tc>
        <w:tc>
          <w:tcPr>
            <w:tcW w:w="1797" w:type="dxa"/>
            <w:shd w:val="clear" w:color="auto" w:fill="auto"/>
          </w:tcPr>
          <w:p w14:paraId="4D772221" w14:textId="77777777" w:rsidR="00872C03" w:rsidRPr="00883399" w:rsidRDefault="00872C03" w:rsidP="0031057E">
            <w:pPr>
              <w:pStyle w:val="Tabletext0"/>
              <w:tabs>
                <w:tab w:val="decimal" w:pos="800"/>
              </w:tabs>
              <w:rPr>
                <w:sz w:val="22"/>
              </w:rPr>
            </w:pPr>
            <w:r w:rsidRPr="00883399">
              <w:rPr>
                <w:sz w:val="22"/>
              </w:rPr>
              <w:t>6.0</w:t>
            </w:r>
          </w:p>
        </w:tc>
      </w:tr>
      <w:tr w:rsidR="00872C03" w:rsidRPr="00883399" w14:paraId="4BF8565C" w14:textId="77777777" w:rsidTr="0031057E">
        <w:tc>
          <w:tcPr>
            <w:tcW w:w="704" w:type="dxa"/>
            <w:tcBorders>
              <w:bottom w:val="single" w:sz="4" w:space="0" w:color="auto"/>
            </w:tcBorders>
            <w:shd w:val="clear" w:color="auto" w:fill="auto"/>
          </w:tcPr>
          <w:p w14:paraId="39FBAC8E" w14:textId="77777777" w:rsidR="00872C03" w:rsidRPr="00883399" w:rsidRDefault="00872C03" w:rsidP="0031057E">
            <w:pPr>
              <w:pStyle w:val="Tabletext0"/>
              <w:rPr>
                <w:sz w:val="22"/>
              </w:rPr>
            </w:pPr>
            <w:r w:rsidRPr="00883399">
              <w:rPr>
                <w:sz w:val="22"/>
              </w:rPr>
              <w:t>7</w:t>
            </w:r>
          </w:p>
        </w:tc>
        <w:tc>
          <w:tcPr>
            <w:tcW w:w="3969" w:type="dxa"/>
            <w:tcBorders>
              <w:bottom w:val="single" w:sz="4" w:space="0" w:color="auto"/>
            </w:tcBorders>
            <w:shd w:val="clear" w:color="auto" w:fill="auto"/>
          </w:tcPr>
          <w:p w14:paraId="0717A91E" w14:textId="77777777" w:rsidR="00872C03" w:rsidRPr="00883399" w:rsidRDefault="00872C03" w:rsidP="0031057E">
            <w:pPr>
              <w:pStyle w:val="Tabletext0"/>
              <w:rPr>
                <w:sz w:val="22"/>
              </w:rPr>
            </w:pPr>
            <w:r w:rsidRPr="00883399">
              <w:rPr>
                <w:sz w:val="22"/>
              </w:rPr>
              <w:t>Wine and other alcoholic beverage (ANZSIC code 1214)</w:t>
            </w:r>
          </w:p>
        </w:tc>
        <w:tc>
          <w:tcPr>
            <w:tcW w:w="1843" w:type="dxa"/>
            <w:tcBorders>
              <w:bottom w:val="single" w:sz="4" w:space="0" w:color="auto"/>
            </w:tcBorders>
            <w:shd w:val="clear" w:color="auto" w:fill="auto"/>
          </w:tcPr>
          <w:p w14:paraId="31BF9C19" w14:textId="77777777" w:rsidR="00872C03" w:rsidRPr="00883399" w:rsidRDefault="00872C03" w:rsidP="0031057E">
            <w:pPr>
              <w:pStyle w:val="Tabletext0"/>
              <w:tabs>
                <w:tab w:val="decimal" w:pos="800"/>
              </w:tabs>
              <w:rPr>
                <w:sz w:val="22"/>
              </w:rPr>
            </w:pPr>
            <w:r w:rsidRPr="00883399">
              <w:rPr>
                <w:sz w:val="22"/>
              </w:rPr>
              <w:t>23.0</w:t>
            </w:r>
          </w:p>
        </w:tc>
        <w:tc>
          <w:tcPr>
            <w:tcW w:w="1797" w:type="dxa"/>
            <w:tcBorders>
              <w:bottom w:val="single" w:sz="4" w:space="0" w:color="auto"/>
            </w:tcBorders>
            <w:shd w:val="clear" w:color="auto" w:fill="auto"/>
          </w:tcPr>
          <w:p w14:paraId="1ED42767" w14:textId="77777777" w:rsidR="00872C03" w:rsidRPr="00883399" w:rsidRDefault="00872C03" w:rsidP="0031057E">
            <w:pPr>
              <w:pStyle w:val="Tabletext0"/>
              <w:tabs>
                <w:tab w:val="decimal" w:pos="800"/>
              </w:tabs>
              <w:rPr>
                <w:sz w:val="22"/>
              </w:rPr>
            </w:pPr>
            <w:r w:rsidRPr="00883399">
              <w:rPr>
                <w:sz w:val="22"/>
              </w:rPr>
              <w:t>1.5</w:t>
            </w:r>
          </w:p>
        </w:tc>
      </w:tr>
      <w:tr w:rsidR="00872C03" w:rsidRPr="00883399" w14:paraId="1739C670" w14:textId="77777777" w:rsidTr="0031057E">
        <w:tc>
          <w:tcPr>
            <w:tcW w:w="704" w:type="dxa"/>
            <w:tcBorders>
              <w:bottom w:val="single" w:sz="12" w:space="0" w:color="auto"/>
            </w:tcBorders>
            <w:shd w:val="clear" w:color="auto" w:fill="auto"/>
          </w:tcPr>
          <w:p w14:paraId="1115ED41" w14:textId="77777777" w:rsidR="00872C03" w:rsidRPr="00883399" w:rsidRDefault="00872C03" w:rsidP="0031057E">
            <w:pPr>
              <w:pStyle w:val="Tabletext0"/>
              <w:rPr>
                <w:sz w:val="22"/>
              </w:rPr>
            </w:pPr>
            <w:r w:rsidRPr="00883399">
              <w:rPr>
                <w:sz w:val="22"/>
              </w:rPr>
              <w:lastRenderedPageBreak/>
              <w:t>8</w:t>
            </w:r>
          </w:p>
        </w:tc>
        <w:tc>
          <w:tcPr>
            <w:tcW w:w="3969" w:type="dxa"/>
            <w:tcBorders>
              <w:bottom w:val="single" w:sz="12" w:space="0" w:color="auto"/>
            </w:tcBorders>
            <w:shd w:val="clear" w:color="auto" w:fill="auto"/>
          </w:tcPr>
          <w:p w14:paraId="113B8453" w14:textId="77777777" w:rsidR="00872C03" w:rsidRPr="00883399" w:rsidRDefault="00872C03" w:rsidP="0031057E">
            <w:pPr>
              <w:pStyle w:val="Tabletext0"/>
              <w:rPr>
                <w:sz w:val="22"/>
              </w:rPr>
            </w:pPr>
            <w:r w:rsidRPr="00883399">
              <w:rPr>
                <w:sz w:val="22"/>
              </w:rPr>
              <w:t xml:space="preserve">Fruit and vegetable </w:t>
            </w:r>
            <w:r w:rsidRPr="00883399">
              <w:rPr>
                <w:sz w:val="22"/>
              </w:rPr>
              <w:br/>
              <w:t>(ANZSIC code 1140)</w:t>
            </w:r>
          </w:p>
        </w:tc>
        <w:tc>
          <w:tcPr>
            <w:tcW w:w="1843" w:type="dxa"/>
            <w:tcBorders>
              <w:bottom w:val="single" w:sz="12" w:space="0" w:color="auto"/>
            </w:tcBorders>
            <w:shd w:val="clear" w:color="auto" w:fill="auto"/>
          </w:tcPr>
          <w:p w14:paraId="33500FFD" w14:textId="77777777" w:rsidR="00872C03" w:rsidRPr="00883399" w:rsidRDefault="00872C03" w:rsidP="0031057E">
            <w:pPr>
              <w:pStyle w:val="Tabletext0"/>
              <w:tabs>
                <w:tab w:val="decimal" w:pos="800"/>
              </w:tabs>
              <w:rPr>
                <w:sz w:val="22"/>
              </w:rPr>
            </w:pPr>
            <w:r w:rsidRPr="00883399">
              <w:rPr>
                <w:sz w:val="22"/>
              </w:rPr>
              <w:t>20.0</w:t>
            </w:r>
          </w:p>
        </w:tc>
        <w:tc>
          <w:tcPr>
            <w:tcW w:w="1797" w:type="dxa"/>
            <w:tcBorders>
              <w:bottom w:val="single" w:sz="12" w:space="0" w:color="auto"/>
            </w:tcBorders>
            <w:shd w:val="clear" w:color="auto" w:fill="auto"/>
          </w:tcPr>
          <w:p w14:paraId="21821A5B" w14:textId="77777777" w:rsidR="00872C03" w:rsidRPr="00883399" w:rsidRDefault="00872C03" w:rsidP="0031057E">
            <w:pPr>
              <w:pStyle w:val="Tabletext0"/>
              <w:tabs>
                <w:tab w:val="decimal" w:pos="800"/>
              </w:tabs>
              <w:rPr>
                <w:sz w:val="22"/>
              </w:rPr>
            </w:pPr>
            <w:r w:rsidRPr="00883399">
              <w:rPr>
                <w:sz w:val="22"/>
              </w:rPr>
              <w:t>0.2</w:t>
            </w:r>
          </w:p>
        </w:tc>
      </w:tr>
    </w:tbl>
    <w:p w14:paraId="1E7E8511" w14:textId="77777777" w:rsidR="00872C03" w:rsidRPr="00883399" w:rsidRDefault="00872C03" w:rsidP="00872C03">
      <w:pPr>
        <w:pStyle w:val="subsection"/>
        <w:rPr>
          <w:sz w:val="24"/>
        </w:rPr>
      </w:pPr>
      <w:r w:rsidRPr="00883399">
        <w:rPr>
          <w:sz w:val="24"/>
        </w:rPr>
        <w:tab/>
        <w:t>(9)</w:t>
      </w:r>
      <w:r w:rsidRPr="00883399">
        <w:rPr>
          <w:sz w:val="24"/>
        </w:rPr>
        <w:tab/>
        <w:t xml:space="preserve">For subsection (5), </w:t>
      </w:r>
      <w:r w:rsidRPr="00883399">
        <w:rPr>
          <w:b/>
          <w:bCs/>
          <w:i/>
          <w:iCs/>
          <w:sz w:val="24"/>
        </w:rPr>
        <w:t>Prod</w:t>
      </w:r>
      <w:r w:rsidRPr="00883399">
        <w:rPr>
          <w:b/>
          <w:bCs/>
          <w:i/>
          <w:iCs/>
          <w:sz w:val="24"/>
          <w:vertAlign w:val="subscript"/>
        </w:rPr>
        <w:t>i</w:t>
      </w:r>
      <w:r w:rsidRPr="00883399">
        <w:rPr>
          <w:b/>
          <w:bCs/>
          <w:iCs/>
          <w:sz w:val="24"/>
          <w:vertAlign w:val="subscript"/>
        </w:rPr>
        <w:t xml:space="preserve"> </w:t>
      </w:r>
      <w:r w:rsidRPr="00883399">
        <w:rPr>
          <w:sz w:val="24"/>
        </w:rPr>
        <w:t>is the amount of any commodity set out in column 2 of an item in the following table, produced by the industry set out in column 2 for that item, and measured in accordance with the corresponding units of measurement set out in column 3 for that item.</w:t>
      </w:r>
    </w:p>
    <w:p w14:paraId="76C39080" w14:textId="77777777" w:rsidR="00872C03" w:rsidRPr="00883399" w:rsidRDefault="00872C03" w:rsidP="00872C03">
      <w:pPr>
        <w:pStyle w:val="Tabletext0"/>
        <w:rPr>
          <w:sz w:val="22"/>
        </w:rPr>
      </w:pPr>
    </w:p>
    <w:tbl>
      <w:tblPr>
        <w:tblW w:w="0" w:type="auto"/>
        <w:tblInd w:w="108" w:type="dxa"/>
        <w:tblBorders>
          <w:top w:val="single" w:sz="4" w:space="0" w:color="auto"/>
          <w:bottom w:val="single" w:sz="2" w:space="0" w:color="auto"/>
          <w:insideH w:val="single" w:sz="4" w:space="0" w:color="auto"/>
        </w:tblBorders>
        <w:tblLook w:val="0000" w:firstRow="0" w:lastRow="0" w:firstColumn="0" w:lastColumn="0" w:noHBand="0" w:noVBand="0"/>
      </w:tblPr>
      <w:tblGrid>
        <w:gridCol w:w="656"/>
        <w:gridCol w:w="5077"/>
        <w:gridCol w:w="2472"/>
      </w:tblGrid>
      <w:tr w:rsidR="00872C03" w:rsidRPr="00883399" w14:paraId="484EE94D" w14:textId="77777777" w:rsidTr="0031057E">
        <w:trPr>
          <w:tblHeader/>
        </w:trPr>
        <w:tc>
          <w:tcPr>
            <w:tcW w:w="636" w:type="dxa"/>
            <w:tcBorders>
              <w:top w:val="single" w:sz="12" w:space="0" w:color="auto"/>
              <w:bottom w:val="single" w:sz="12" w:space="0" w:color="auto"/>
            </w:tcBorders>
            <w:shd w:val="clear" w:color="auto" w:fill="auto"/>
          </w:tcPr>
          <w:p w14:paraId="478B6899" w14:textId="77777777" w:rsidR="00872C03" w:rsidRPr="00883399" w:rsidRDefault="00872C03" w:rsidP="0031057E">
            <w:pPr>
              <w:pStyle w:val="TableHeading"/>
              <w:rPr>
                <w:sz w:val="22"/>
                <w:szCs w:val="18"/>
              </w:rPr>
            </w:pPr>
            <w:r w:rsidRPr="00883399">
              <w:rPr>
                <w:sz w:val="22"/>
                <w:szCs w:val="18"/>
              </w:rPr>
              <w:t>Item</w:t>
            </w:r>
          </w:p>
        </w:tc>
        <w:tc>
          <w:tcPr>
            <w:tcW w:w="5260" w:type="dxa"/>
            <w:tcBorders>
              <w:top w:val="single" w:sz="12" w:space="0" w:color="auto"/>
              <w:bottom w:val="single" w:sz="12" w:space="0" w:color="auto"/>
            </w:tcBorders>
            <w:shd w:val="clear" w:color="auto" w:fill="auto"/>
          </w:tcPr>
          <w:p w14:paraId="4A389737" w14:textId="77777777" w:rsidR="00872C03" w:rsidRPr="00883399" w:rsidRDefault="00872C03" w:rsidP="0031057E">
            <w:pPr>
              <w:pStyle w:val="TableHeading"/>
              <w:rPr>
                <w:sz w:val="22"/>
                <w:szCs w:val="18"/>
              </w:rPr>
            </w:pPr>
            <w:r w:rsidRPr="00883399">
              <w:rPr>
                <w:sz w:val="22"/>
                <w:szCs w:val="18"/>
              </w:rPr>
              <w:t xml:space="preserve">Commodity and industry </w:t>
            </w:r>
          </w:p>
        </w:tc>
        <w:tc>
          <w:tcPr>
            <w:tcW w:w="2520" w:type="dxa"/>
            <w:tcBorders>
              <w:top w:val="single" w:sz="12" w:space="0" w:color="auto"/>
              <w:bottom w:val="single" w:sz="12" w:space="0" w:color="auto"/>
            </w:tcBorders>
            <w:shd w:val="clear" w:color="auto" w:fill="auto"/>
          </w:tcPr>
          <w:p w14:paraId="780DE674" w14:textId="77777777" w:rsidR="00872C03" w:rsidRPr="00883399" w:rsidRDefault="00872C03" w:rsidP="0031057E">
            <w:pPr>
              <w:pStyle w:val="TableHeading"/>
              <w:rPr>
                <w:sz w:val="22"/>
                <w:szCs w:val="18"/>
              </w:rPr>
            </w:pPr>
            <w:r w:rsidRPr="00883399">
              <w:rPr>
                <w:sz w:val="22"/>
                <w:szCs w:val="18"/>
              </w:rPr>
              <w:t>Units of measurement</w:t>
            </w:r>
          </w:p>
        </w:tc>
      </w:tr>
      <w:tr w:rsidR="00872C03" w:rsidRPr="00883399" w14:paraId="76B72A21" w14:textId="77777777" w:rsidTr="0031057E">
        <w:tc>
          <w:tcPr>
            <w:tcW w:w="636" w:type="dxa"/>
            <w:tcBorders>
              <w:top w:val="single" w:sz="12" w:space="0" w:color="auto"/>
            </w:tcBorders>
            <w:shd w:val="clear" w:color="auto" w:fill="auto"/>
          </w:tcPr>
          <w:p w14:paraId="1658FDE0" w14:textId="77777777" w:rsidR="00872C03" w:rsidRPr="00883399" w:rsidRDefault="00872C03" w:rsidP="0031057E">
            <w:pPr>
              <w:pStyle w:val="Tabletext0"/>
              <w:rPr>
                <w:sz w:val="22"/>
              </w:rPr>
            </w:pPr>
            <w:r w:rsidRPr="00883399">
              <w:rPr>
                <w:sz w:val="22"/>
              </w:rPr>
              <w:t>1</w:t>
            </w:r>
          </w:p>
        </w:tc>
        <w:tc>
          <w:tcPr>
            <w:tcW w:w="5260" w:type="dxa"/>
            <w:tcBorders>
              <w:top w:val="single" w:sz="12" w:space="0" w:color="auto"/>
            </w:tcBorders>
            <w:shd w:val="clear" w:color="auto" w:fill="auto"/>
          </w:tcPr>
          <w:p w14:paraId="6F10381D" w14:textId="77777777" w:rsidR="00872C03" w:rsidRPr="00883399" w:rsidRDefault="00872C03" w:rsidP="0031057E">
            <w:pPr>
              <w:pStyle w:val="Tabletext0"/>
              <w:rPr>
                <w:sz w:val="22"/>
              </w:rPr>
            </w:pPr>
            <w:r w:rsidRPr="00883399">
              <w:rPr>
                <w:sz w:val="22"/>
              </w:rPr>
              <w:t>Dairy product (ANZSIC code 113)</w:t>
            </w:r>
          </w:p>
        </w:tc>
        <w:tc>
          <w:tcPr>
            <w:tcW w:w="2520" w:type="dxa"/>
            <w:tcBorders>
              <w:top w:val="single" w:sz="12" w:space="0" w:color="auto"/>
            </w:tcBorders>
            <w:shd w:val="clear" w:color="auto" w:fill="auto"/>
          </w:tcPr>
          <w:p w14:paraId="5C45A426" w14:textId="77777777" w:rsidR="00872C03" w:rsidRPr="00883399" w:rsidRDefault="00872C03" w:rsidP="0031057E">
            <w:pPr>
              <w:pStyle w:val="Tabletext0"/>
              <w:rPr>
                <w:sz w:val="22"/>
              </w:rPr>
            </w:pPr>
            <w:r w:rsidRPr="00883399">
              <w:rPr>
                <w:sz w:val="22"/>
              </w:rPr>
              <w:t>tonne of product</w:t>
            </w:r>
          </w:p>
        </w:tc>
      </w:tr>
      <w:tr w:rsidR="00872C03" w:rsidRPr="00883399" w14:paraId="753602B7" w14:textId="77777777" w:rsidTr="0031057E">
        <w:tc>
          <w:tcPr>
            <w:tcW w:w="636" w:type="dxa"/>
            <w:shd w:val="clear" w:color="auto" w:fill="auto"/>
          </w:tcPr>
          <w:p w14:paraId="6BD83C81" w14:textId="77777777" w:rsidR="00872C03" w:rsidRPr="00883399" w:rsidRDefault="00872C03" w:rsidP="0031057E">
            <w:pPr>
              <w:pStyle w:val="Tabletext0"/>
              <w:rPr>
                <w:sz w:val="22"/>
              </w:rPr>
            </w:pPr>
            <w:r w:rsidRPr="00883399">
              <w:rPr>
                <w:sz w:val="22"/>
              </w:rPr>
              <w:t>2</w:t>
            </w:r>
          </w:p>
        </w:tc>
        <w:tc>
          <w:tcPr>
            <w:tcW w:w="5260" w:type="dxa"/>
            <w:shd w:val="clear" w:color="auto" w:fill="auto"/>
          </w:tcPr>
          <w:p w14:paraId="61961F44" w14:textId="77777777" w:rsidR="00872C03" w:rsidRPr="00883399" w:rsidRDefault="00872C03" w:rsidP="0031057E">
            <w:pPr>
              <w:pStyle w:val="Tabletext0"/>
              <w:rPr>
                <w:sz w:val="22"/>
              </w:rPr>
            </w:pPr>
            <w:r w:rsidRPr="00883399">
              <w:rPr>
                <w:sz w:val="22"/>
              </w:rPr>
              <w:t>Pulp, paper and paperboard (ANZSIC code 1510)</w:t>
            </w:r>
          </w:p>
        </w:tc>
        <w:tc>
          <w:tcPr>
            <w:tcW w:w="2520" w:type="dxa"/>
            <w:shd w:val="clear" w:color="auto" w:fill="auto"/>
          </w:tcPr>
          <w:p w14:paraId="573A5E06" w14:textId="77777777" w:rsidR="00872C03" w:rsidRPr="00883399" w:rsidRDefault="00872C03" w:rsidP="0031057E">
            <w:pPr>
              <w:pStyle w:val="Tabletext0"/>
              <w:rPr>
                <w:sz w:val="22"/>
              </w:rPr>
            </w:pPr>
            <w:r w:rsidRPr="00883399">
              <w:rPr>
                <w:sz w:val="22"/>
              </w:rPr>
              <w:t>tonne of product</w:t>
            </w:r>
          </w:p>
        </w:tc>
      </w:tr>
      <w:tr w:rsidR="00872C03" w:rsidRPr="00883399" w14:paraId="14E9BC00" w14:textId="77777777" w:rsidTr="0031057E">
        <w:tc>
          <w:tcPr>
            <w:tcW w:w="636" w:type="dxa"/>
            <w:shd w:val="clear" w:color="auto" w:fill="auto"/>
          </w:tcPr>
          <w:p w14:paraId="34130DF5" w14:textId="77777777" w:rsidR="00872C03" w:rsidRPr="00883399" w:rsidRDefault="00872C03" w:rsidP="0031057E">
            <w:pPr>
              <w:pStyle w:val="Tabletext0"/>
              <w:rPr>
                <w:sz w:val="22"/>
              </w:rPr>
            </w:pPr>
            <w:r w:rsidRPr="00883399">
              <w:rPr>
                <w:sz w:val="22"/>
              </w:rPr>
              <w:t>3</w:t>
            </w:r>
          </w:p>
        </w:tc>
        <w:tc>
          <w:tcPr>
            <w:tcW w:w="5260" w:type="dxa"/>
            <w:shd w:val="clear" w:color="auto" w:fill="auto"/>
          </w:tcPr>
          <w:p w14:paraId="5A0B43FF" w14:textId="77777777" w:rsidR="00872C03" w:rsidRPr="00883399" w:rsidRDefault="00872C03" w:rsidP="0031057E">
            <w:pPr>
              <w:pStyle w:val="Tabletext0"/>
              <w:rPr>
                <w:sz w:val="22"/>
              </w:rPr>
            </w:pPr>
            <w:r w:rsidRPr="00883399">
              <w:rPr>
                <w:sz w:val="22"/>
                <w:szCs w:val="22"/>
              </w:rPr>
              <w:t>Meat and poultry (</w:t>
            </w:r>
            <w:r w:rsidRPr="00883399">
              <w:rPr>
                <w:sz w:val="22"/>
              </w:rPr>
              <w:t>ANZSIC codes 1111 and 1112)</w:t>
            </w:r>
          </w:p>
        </w:tc>
        <w:tc>
          <w:tcPr>
            <w:tcW w:w="2520" w:type="dxa"/>
            <w:shd w:val="clear" w:color="auto" w:fill="auto"/>
          </w:tcPr>
          <w:p w14:paraId="7D3C7F39" w14:textId="77777777" w:rsidR="00872C03" w:rsidRPr="00883399" w:rsidRDefault="00872C03" w:rsidP="0031057E">
            <w:pPr>
              <w:pStyle w:val="Tabletext0"/>
              <w:rPr>
                <w:sz w:val="22"/>
              </w:rPr>
            </w:pPr>
            <w:r w:rsidRPr="00883399">
              <w:rPr>
                <w:sz w:val="22"/>
              </w:rPr>
              <w:t>tonne of product</w:t>
            </w:r>
          </w:p>
        </w:tc>
      </w:tr>
      <w:tr w:rsidR="00872C03" w:rsidRPr="00883399" w14:paraId="231E827F" w14:textId="77777777" w:rsidTr="0031057E">
        <w:tc>
          <w:tcPr>
            <w:tcW w:w="636" w:type="dxa"/>
            <w:shd w:val="clear" w:color="auto" w:fill="auto"/>
          </w:tcPr>
          <w:p w14:paraId="65DDFD13" w14:textId="77777777" w:rsidR="00872C03" w:rsidRPr="00883399" w:rsidRDefault="00872C03" w:rsidP="0031057E">
            <w:pPr>
              <w:pStyle w:val="Tabletext0"/>
              <w:rPr>
                <w:sz w:val="22"/>
              </w:rPr>
            </w:pPr>
            <w:r w:rsidRPr="00883399">
              <w:rPr>
                <w:sz w:val="22"/>
              </w:rPr>
              <w:t>4</w:t>
            </w:r>
          </w:p>
        </w:tc>
        <w:tc>
          <w:tcPr>
            <w:tcW w:w="5260" w:type="dxa"/>
            <w:shd w:val="clear" w:color="auto" w:fill="auto"/>
          </w:tcPr>
          <w:p w14:paraId="1042C122" w14:textId="77777777" w:rsidR="00872C03" w:rsidRPr="00883399" w:rsidRDefault="00872C03" w:rsidP="0031057E">
            <w:pPr>
              <w:pStyle w:val="Tabletext0"/>
              <w:rPr>
                <w:sz w:val="22"/>
              </w:rPr>
            </w:pPr>
            <w:r w:rsidRPr="00883399">
              <w:rPr>
                <w:sz w:val="22"/>
              </w:rPr>
              <w:t>Organic chemicals (ANZSIC codes 18 and 19)</w:t>
            </w:r>
          </w:p>
        </w:tc>
        <w:tc>
          <w:tcPr>
            <w:tcW w:w="2520" w:type="dxa"/>
            <w:shd w:val="clear" w:color="auto" w:fill="auto"/>
          </w:tcPr>
          <w:p w14:paraId="6BF7F929" w14:textId="77777777" w:rsidR="00872C03" w:rsidRPr="00883399" w:rsidRDefault="00872C03" w:rsidP="0031057E">
            <w:pPr>
              <w:pStyle w:val="Tabletext0"/>
              <w:rPr>
                <w:sz w:val="22"/>
              </w:rPr>
            </w:pPr>
            <w:r w:rsidRPr="00883399">
              <w:rPr>
                <w:sz w:val="22"/>
              </w:rPr>
              <w:t>tonne of product</w:t>
            </w:r>
          </w:p>
        </w:tc>
      </w:tr>
      <w:tr w:rsidR="00872C03" w:rsidRPr="00883399" w14:paraId="1C072AE0" w14:textId="77777777" w:rsidTr="0031057E">
        <w:tc>
          <w:tcPr>
            <w:tcW w:w="636" w:type="dxa"/>
            <w:shd w:val="clear" w:color="auto" w:fill="auto"/>
          </w:tcPr>
          <w:p w14:paraId="64810B7D" w14:textId="77777777" w:rsidR="00872C03" w:rsidRPr="00883399" w:rsidRDefault="00872C03" w:rsidP="0031057E">
            <w:pPr>
              <w:pStyle w:val="Tabletext0"/>
              <w:rPr>
                <w:sz w:val="22"/>
              </w:rPr>
            </w:pPr>
            <w:r w:rsidRPr="00883399">
              <w:rPr>
                <w:sz w:val="22"/>
              </w:rPr>
              <w:t>5</w:t>
            </w:r>
          </w:p>
        </w:tc>
        <w:tc>
          <w:tcPr>
            <w:tcW w:w="5260" w:type="dxa"/>
            <w:shd w:val="clear" w:color="auto" w:fill="auto"/>
          </w:tcPr>
          <w:p w14:paraId="45A2B3F2" w14:textId="77777777" w:rsidR="00872C03" w:rsidRPr="00883399" w:rsidRDefault="00872C03" w:rsidP="0031057E">
            <w:pPr>
              <w:pStyle w:val="Tabletext0"/>
              <w:rPr>
                <w:sz w:val="22"/>
              </w:rPr>
            </w:pPr>
            <w:r w:rsidRPr="00883399">
              <w:rPr>
                <w:sz w:val="22"/>
              </w:rPr>
              <w:t>Raw sugar (ANZSIC code 1181)</w:t>
            </w:r>
          </w:p>
        </w:tc>
        <w:tc>
          <w:tcPr>
            <w:tcW w:w="2520" w:type="dxa"/>
            <w:shd w:val="clear" w:color="auto" w:fill="auto"/>
          </w:tcPr>
          <w:p w14:paraId="0DDE1638" w14:textId="77777777" w:rsidR="00872C03" w:rsidRPr="00883399" w:rsidRDefault="00872C03" w:rsidP="0031057E">
            <w:pPr>
              <w:pStyle w:val="Tabletext0"/>
              <w:rPr>
                <w:sz w:val="22"/>
              </w:rPr>
            </w:pPr>
            <w:r w:rsidRPr="00883399">
              <w:rPr>
                <w:sz w:val="22"/>
              </w:rPr>
              <w:t>tonne of product</w:t>
            </w:r>
          </w:p>
        </w:tc>
      </w:tr>
      <w:tr w:rsidR="00872C03" w:rsidRPr="00883399" w14:paraId="75B103E7" w14:textId="77777777" w:rsidTr="0031057E">
        <w:tc>
          <w:tcPr>
            <w:tcW w:w="636" w:type="dxa"/>
            <w:shd w:val="clear" w:color="auto" w:fill="auto"/>
          </w:tcPr>
          <w:p w14:paraId="5A04A69E" w14:textId="77777777" w:rsidR="00872C03" w:rsidRPr="00883399" w:rsidRDefault="00872C03" w:rsidP="0031057E">
            <w:pPr>
              <w:pStyle w:val="Tabletext0"/>
              <w:rPr>
                <w:sz w:val="22"/>
              </w:rPr>
            </w:pPr>
            <w:r w:rsidRPr="00883399">
              <w:rPr>
                <w:sz w:val="22"/>
              </w:rPr>
              <w:t>6</w:t>
            </w:r>
          </w:p>
        </w:tc>
        <w:tc>
          <w:tcPr>
            <w:tcW w:w="5260" w:type="dxa"/>
            <w:shd w:val="clear" w:color="auto" w:fill="auto"/>
          </w:tcPr>
          <w:p w14:paraId="7F78F408" w14:textId="77777777" w:rsidR="00872C03" w:rsidRPr="00883399" w:rsidRDefault="00872C03" w:rsidP="0031057E">
            <w:pPr>
              <w:pStyle w:val="Tabletext0"/>
              <w:rPr>
                <w:sz w:val="22"/>
              </w:rPr>
            </w:pPr>
            <w:r w:rsidRPr="00883399">
              <w:rPr>
                <w:sz w:val="22"/>
              </w:rPr>
              <w:t>Beer (ANZSIC code 1212)</w:t>
            </w:r>
          </w:p>
        </w:tc>
        <w:tc>
          <w:tcPr>
            <w:tcW w:w="2520" w:type="dxa"/>
            <w:shd w:val="clear" w:color="auto" w:fill="auto"/>
          </w:tcPr>
          <w:p w14:paraId="5E36C1AD" w14:textId="77777777" w:rsidR="00872C03" w:rsidRPr="00883399" w:rsidRDefault="00872C03" w:rsidP="0031057E">
            <w:pPr>
              <w:pStyle w:val="Tabletext0"/>
              <w:rPr>
                <w:sz w:val="22"/>
              </w:rPr>
            </w:pPr>
            <w:r w:rsidRPr="00883399">
              <w:rPr>
                <w:sz w:val="22"/>
              </w:rPr>
              <w:t xml:space="preserve">tonne of product </w:t>
            </w:r>
          </w:p>
        </w:tc>
      </w:tr>
      <w:tr w:rsidR="00872C03" w:rsidRPr="00883399" w14:paraId="5183C20D" w14:textId="77777777" w:rsidTr="0031057E">
        <w:tc>
          <w:tcPr>
            <w:tcW w:w="636" w:type="dxa"/>
            <w:tcBorders>
              <w:bottom w:val="single" w:sz="4" w:space="0" w:color="auto"/>
            </w:tcBorders>
            <w:shd w:val="clear" w:color="auto" w:fill="auto"/>
          </w:tcPr>
          <w:p w14:paraId="22EFB100" w14:textId="77777777" w:rsidR="00872C03" w:rsidRPr="00883399" w:rsidRDefault="00872C03" w:rsidP="0031057E">
            <w:pPr>
              <w:pStyle w:val="Tabletext0"/>
              <w:rPr>
                <w:sz w:val="22"/>
              </w:rPr>
            </w:pPr>
            <w:r w:rsidRPr="00883399">
              <w:rPr>
                <w:sz w:val="22"/>
              </w:rPr>
              <w:t>7</w:t>
            </w:r>
          </w:p>
        </w:tc>
        <w:tc>
          <w:tcPr>
            <w:tcW w:w="5260" w:type="dxa"/>
            <w:tcBorders>
              <w:bottom w:val="single" w:sz="4" w:space="0" w:color="auto"/>
            </w:tcBorders>
            <w:shd w:val="clear" w:color="auto" w:fill="auto"/>
          </w:tcPr>
          <w:p w14:paraId="60661F0B" w14:textId="77777777" w:rsidR="00872C03" w:rsidRPr="00883399" w:rsidRDefault="00872C03" w:rsidP="0031057E">
            <w:pPr>
              <w:pStyle w:val="Tabletext0"/>
              <w:rPr>
                <w:sz w:val="22"/>
              </w:rPr>
            </w:pPr>
            <w:r w:rsidRPr="00883399">
              <w:rPr>
                <w:sz w:val="22"/>
              </w:rPr>
              <w:t>Wine and other alcoholic beverage (ANZSIC code 1214)</w:t>
            </w:r>
          </w:p>
        </w:tc>
        <w:tc>
          <w:tcPr>
            <w:tcW w:w="2520" w:type="dxa"/>
            <w:tcBorders>
              <w:bottom w:val="single" w:sz="4" w:space="0" w:color="auto"/>
            </w:tcBorders>
            <w:shd w:val="clear" w:color="auto" w:fill="auto"/>
          </w:tcPr>
          <w:p w14:paraId="48C1E53A" w14:textId="77777777" w:rsidR="00872C03" w:rsidRPr="00883399" w:rsidRDefault="00872C03" w:rsidP="0031057E">
            <w:pPr>
              <w:pStyle w:val="Tabletext0"/>
              <w:rPr>
                <w:sz w:val="22"/>
              </w:rPr>
            </w:pPr>
            <w:r w:rsidRPr="00883399">
              <w:rPr>
                <w:sz w:val="22"/>
              </w:rPr>
              <w:t>tonne of product</w:t>
            </w:r>
          </w:p>
        </w:tc>
      </w:tr>
      <w:tr w:rsidR="00872C03" w:rsidRPr="00883399" w14:paraId="16A0732E" w14:textId="77777777" w:rsidTr="0031057E">
        <w:tc>
          <w:tcPr>
            <w:tcW w:w="636" w:type="dxa"/>
            <w:tcBorders>
              <w:bottom w:val="single" w:sz="12" w:space="0" w:color="auto"/>
            </w:tcBorders>
            <w:shd w:val="clear" w:color="auto" w:fill="auto"/>
          </w:tcPr>
          <w:p w14:paraId="46B860B6" w14:textId="77777777" w:rsidR="00872C03" w:rsidRPr="00883399" w:rsidRDefault="00872C03" w:rsidP="0031057E">
            <w:pPr>
              <w:pStyle w:val="Tabletext0"/>
              <w:rPr>
                <w:sz w:val="22"/>
              </w:rPr>
            </w:pPr>
            <w:r w:rsidRPr="00883399">
              <w:rPr>
                <w:sz w:val="22"/>
              </w:rPr>
              <w:t>8</w:t>
            </w:r>
          </w:p>
        </w:tc>
        <w:tc>
          <w:tcPr>
            <w:tcW w:w="5260" w:type="dxa"/>
            <w:tcBorders>
              <w:bottom w:val="single" w:sz="12" w:space="0" w:color="auto"/>
            </w:tcBorders>
            <w:shd w:val="clear" w:color="auto" w:fill="auto"/>
          </w:tcPr>
          <w:p w14:paraId="2A6306DA" w14:textId="77777777" w:rsidR="00872C03" w:rsidRPr="00883399" w:rsidRDefault="00872C03" w:rsidP="0031057E">
            <w:pPr>
              <w:pStyle w:val="Tabletext0"/>
              <w:rPr>
                <w:sz w:val="22"/>
              </w:rPr>
            </w:pPr>
            <w:r w:rsidRPr="00883399">
              <w:rPr>
                <w:sz w:val="22"/>
              </w:rPr>
              <w:t>Fruit and vegetable (ANZSIC code 1140)</w:t>
            </w:r>
          </w:p>
        </w:tc>
        <w:tc>
          <w:tcPr>
            <w:tcW w:w="2520" w:type="dxa"/>
            <w:tcBorders>
              <w:bottom w:val="single" w:sz="12" w:space="0" w:color="auto"/>
            </w:tcBorders>
            <w:shd w:val="clear" w:color="auto" w:fill="auto"/>
          </w:tcPr>
          <w:p w14:paraId="340A9FC7" w14:textId="77777777" w:rsidR="00872C03" w:rsidRPr="00883399" w:rsidRDefault="00872C03" w:rsidP="0031057E">
            <w:pPr>
              <w:pStyle w:val="Tabletext0"/>
              <w:rPr>
                <w:sz w:val="22"/>
              </w:rPr>
            </w:pPr>
            <w:r w:rsidRPr="00883399">
              <w:rPr>
                <w:sz w:val="22"/>
              </w:rPr>
              <w:t>tonne of product</w:t>
            </w:r>
          </w:p>
        </w:tc>
      </w:tr>
    </w:tbl>
    <w:p w14:paraId="246F760B" w14:textId="77777777" w:rsidR="00872C03" w:rsidRPr="00883399" w:rsidRDefault="00872C03" w:rsidP="00872C03">
      <w:pPr>
        <w:pStyle w:val="subsection"/>
        <w:rPr>
          <w:sz w:val="24"/>
        </w:rPr>
      </w:pPr>
      <w:r w:rsidRPr="00883399">
        <w:rPr>
          <w:sz w:val="24"/>
        </w:rPr>
        <w:tab/>
        <w:t>(10)</w:t>
      </w:r>
      <w:r w:rsidRPr="00883399">
        <w:rPr>
          <w:sz w:val="24"/>
        </w:rPr>
        <w:tab/>
        <w:t>In this section:</w:t>
      </w:r>
    </w:p>
    <w:p w14:paraId="63103EAA" w14:textId="77777777" w:rsidR="00872C03" w:rsidRPr="00883399" w:rsidRDefault="00872C03" w:rsidP="00872C03">
      <w:pPr>
        <w:pStyle w:val="Definition0"/>
        <w:rPr>
          <w:sz w:val="24"/>
        </w:rPr>
      </w:pPr>
      <w:r w:rsidRPr="00883399">
        <w:rPr>
          <w:b/>
          <w:i/>
          <w:sz w:val="24"/>
        </w:rPr>
        <w:t xml:space="preserve">methane correction factor </w:t>
      </w:r>
      <w:r w:rsidRPr="00883399">
        <w:rPr>
          <w:sz w:val="24"/>
        </w:rPr>
        <w:t>is the fraction of COD anaerobically treated.</w:t>
      </w:r>
    </w:p>
    <w:p w14:paraId="0140E238" w14:textId="533EFDFF" w:rsidR="00872C03" w:rsidRPr="00883399" w:rsidRDefault="00872C03" w:rsidP="00872C03">
      <w:pPr>
        <w:pStyle w:val="ActHead3"/>
        <w:pageBreakBefore/>
        <w:rPr>
          <w:sz w:val="32"/>
        </w:rPr>
      </w:pPr>
      <w:bookmarkStart w:id="1282" w:name="_Toc423517220"/>
      <w:bookmarkStart w:id="1283" w:name="_Toc495653164"/>
      <w:r w:rsidRPr="00883399">
        <w:rPr>
          <w:rStyle w:val="CharDivNo"/>
          <w:sz w:val="32"/>
        </w:rPr>
        <w:lastRenderedPageBreak/>
        <w:t>Division 5.4.3</w:t>
      </w:r>
      <w:r w:rsidRPr="00883399">
        <w:rPr>
          <w:sz w:val="32"/>
        </w:rPr>
        <w:t>—</w:t>
      </w:r>
      <w:r w:rsidRPr="00883399">
        <w:rPr>
          <w:rStyle w:val="CharDivText"/>
          <w:sz w:val="32"/>
        </w:rPr>
        <w:t>Method 2—methane released from wastewater handling (industrial)</w:t>
      </w:r>
      <w:bookmarkEnd w:id="1282"/>
      <w:bookmarkEnd w:id="1283"/>
    </w:p>
    <w:p w14:paraId="31332562" w14:textId="6AA9A67F" w:rsidR="00872C03" w:rsidRPr="00883399" w:rsidRDefault="00872C03" w:rsidP="00872C03">
      <w:pPr>
        <w:pStyle w:val="ActHead5"/>
        <w:rPr>
          <w:sz w:val="28"/>
        </w:rPr>
      </w:pPr>
      <w:bookmarkStart w:id="1284" w:name="_Toc423517221"/>
      <w:bookmarkStart w:id="1285" w:name="_Toc495653165"/>
      <w:r w:rsidRPr="00883399">
        <w:rPr>
          <w:rStyle w:val="CharSectno"/>
          <w:sz w:val="28"/>
        </w:rPr>
        <w:t>5.43</w:t>
      </w:r>
      <w:r w:rsidRPr="00883399">
        <w:rPr>
          <w:sz w:val="28"/>
        </w:rPr>
        <w:t xml:space="preserve">  Method 2—methane released from wastewater handling (industrial)</w:t>
      </w:r>
      <w:bookmarkEnd w:id="1284"/>
      <w:bookmarkEnd w:id="1285"/>
    </w:p>
    <w:p w14:paraId="122DEC6F" w14:textId="77777777" w:rsidR="00002D0E" w:rsidRPr="00883399" w:rsidRDefault="00002D0E" w:rsidP="00002D0E">
      <w:pPr>
        <w:pStyle w:val="Text"/>
        <w:rPr>
          <w:rFonts w:ascii="Arial" w:hAnsi="Arial" w:cs="Arial"/>
          <w:sz w:val="22"/>
          <w:szCs w:val="22"/>
        </w:rPr>
      </w:pPr>
      <w:r w:rsidRPr="00883399">
        <w:rPr>
          <w:rFonts w:ascii="Arial" w:hAnsi="Arial" w:cs="Arial"/>
          <w:sz w:val="22"/>
          <w:szCs w:val="22"/>
        </w:rPr>
        <w:t>Sections 5.43-5.46 set out Method 2 for wastewater handling. Method 2 requires estimates of Chemical Oxygen Demand concentrations in wastewater estimated using general sampling provisions for these Guidelines and analysis conducted in accordance with listed Australian or international standards or an equivalent standard.</w:t>
      </w:r>
    </w:p>
    <w:p w14:paraId="06D41669" w14:textId="77777777" w:rsidR="00872C03" w:rsidRPr="00883399" w:rsidRDefault="00872C03" w:rsidP="00872C03">
      <w:pPr>
        <w:pStyle w:val="subsection"/>
        <w:rPr>
          <w:sz w:val="24"/>
        </w:rPr>
      </w:pPr>
      <w:r w:rsidRPr="00883399">
        <w:rPr>
          <w:sz w:val="24"/>
        </w:rPr>
        <w:tab/>
        <w:t>(1)</w:t>
      </w:r>
      <w:r w:rsidRPr="00883399">
        <w:rPr>
          <w:sz w:val="24"/>
        </w:rPr>
        <w:tab/>
        <w:t>For paragraph 5.41(1)(b) and subject to this section, method 2 for wastewater handling (industrial) is the same as method 1 under section 5.42.</w:t>
      </w:r>
    </w:p>
    <w:p w14:paraId="116C7F32" w14:textId="77777777" w:rsidR="00872C03" w:rsidRPr="00883399" w:rsidRDefault="00872C03" w:rsidP="00872C03">
      <w:pPr>
        <w:pStyle w:val="subsection"/>
        <w:rPr>
          <w:sz w:val="24"/>
        </w:rPr>
      </w:pPr>
      <w:r w:rsidRPr="00883399">
        <w:rPr>
          <w:sz w:val="24"/>
        </w:rPr>
        <w:tab/>
        <w:t>(2)</w:t>
      </w:r>
      <w:r w:rsidRPr="00883399">
        <w:rPr>
          <w:sz w:val="24"/>
        </w:rPr>
        <w:tab/>
        <w:t xml:space="preserve">In applying method 1 under section 5.42, each mention of </w:t>
      </w:r>
      <w:r w:rsidRPr="00883399">
        <w:rPr>
          <w:b/>
          <w:i/>
          <w:sz w:val="24"/>
        </w:rPr>
        <w:t>COD</w:t>
      </w:r>
      <w:r w:rsidRPr="00883399">
        <w:rPr>
          <w:b/>
          <w:i/>
          <w:sz w:val="24"/>
          <w:vertAlign w:val="subscript"/>
        </w:rPr>
        <w:t>w,i</w:t>
      </w:r>
      <w:r w:rsidRPr="00883399">
        <w:rPr>
          <w:sz w:val="24"/>
        </w:rPr>
        <w:t xml:space="preserve"> in subsection 5.42(5) must be estimated from wastewater entering the plant and must be calculated by using:</w:t>
      </w:r>
    </w:p>
    <w:p w14:paraId="0A58501C" w14:textId="77777777" w:rsidR="00872C03" w:rsidRPr="00883399" w:rsidRDefault="00872C03" w:rsidP="00872C03">
      <w:pPr>
        <w:pStyle w:val="paragraph"/>
        <w:rPr>
          <w:sz w:val="24"/>
        </w:rPr>
      </w:pPr>
      <w:r w:rsidRPr="00883399">
        <w:rPr>
          <w:sz w:val="24"/>
        </w:rPr>
        <w:tab/>
        <w:t>(a)</w:t>
      </w:r>
      <w:r w:rsidRPr="00883399">
        <w:rPr>
          <w:sz w:val="24"/>
        </w:rPr>
        <w:tab/>
        <w:t>facility operating data that measures the volumetric influent rate and the influent rate of COD concentrations; or</w:t>
      </w:r>
    </w:p>
    <w:p w14:paraId="79060112" w14:textId="77777777" w:rsidR="00872C03" w:rsidRPr="00883399" w:rsidRDefault="00872C03" w:rsidP="00872C03">
      <w:pPr>
        <w:pStyle w:val="paragraph"/>
        <w:rPr>
          <w:sz w:val="24"/>
        </w:rPr>
      </w:pPr>
      <w:r w:rsidRPr="00883399">
        <w:rPr>
          <w:sz w:val="24"/>
        </w:rPr>
        <w:tab/>
        <w:t>(b)</w:t>
      </w:r>
      <w:r w:rsidRPr="00883399">
        <w:rPr>
          <w:sz w:val="24"/>
        </w:rPr>
        <w:tab/>
        <w:t>if data is available on the biochemical oxygen demand (</w:t>
      </w:r>
      <w:r w:rsidRPr="00883399">
        <w:rPr>
          <w:b/>
          <w:i/>
          <w:sz w:val="24"/>
        </w:rPr>
        <w:t>BOD</w:t>
      </w:r>
      <w:r w:rsidRPr="00883399">
        <w:rPr>
          <w:sz w:val="24"/>
        </w:rPr>
        <w:t>) in the wastewater—that data converted to COD in accordance with the following formula:</w:t>
      </w:r>
    </w:p>
    <w:p w14:paraId="76640F40" w14:textId="33934DB5" w:rsidR="00872C03" w:rsidRPr="00883399" w:rsidRDefault="00872C03" w:rsidP="00872C03">
      <w:pPr>
        <w:pStyle w:val="paragraph"/>
        <w:spacing w:before="120" w:after="120"/>
        <w:rPr>
          <w:sz w:val="24"/>
        </w:rPr>
      </w:pPr>
      <w:r w:rsidRPr="00883399">
        <w:rPr>
          <w:sz w:val="24"/>
        </w:rPr>
        <w:tab/>
      </w:r>
      <w:r w:rsidRPr="00883399">
        <w:rPr>
          <w:sz w:val="24"/>
        </w:rPr>
        <w:tab/>
      </w:r>
      <w:r w:rsidRPr="00883399">
        <w:rPr>
          <w:noProof/>
          <w:sz w:val="24"/>
        </w:rPr>
        <w:drawing>
          <wp:inline distT="0" distB="0" distL="0" distR="0" wp14:anchorId="1FC28658" wp14:editId="04A88F6D">
            <wp:extent cx="1401445" cy="225425"/>
            <wp:effectExtent l="19050" t="0" r="8255"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45"/>
                    <a:srcRect/>
                    <a:stretch>
                      <a:fillRect/>
                    </a:stretch>
                  </pic:blipFill>
                  <pic:spPr bwMode="auto">
                    <a:xfrm>
                      <a:off x="0" y="0"/>
                      <a:ext cx="1401445" cy="225425"/>
                    </a:xfrm>
                    <a:prstGeom prst="rect">
                      <a:avLst/>
                    </a:prstGeom>
                    <a:noFill/>
                    <a:ln w="9525">
                      <a:noFill/>
                      <a:miter lim="800000"/>
                      <a:headEnd/>
                      <a:tailEnd/>
                    </a:ln>
                  </pic:spPr>
                </pic:pic>
              </a:graphicData>
            </a:graphic>
          </wp:inline>
        </w:drawing>
      </w:r>
    </w:p>
    <w:p w14:paraId="77AA0EA5" w14:textId="77777777" w:rsidR="00872C03" w:rsidRPr="00883399" w:rsidRDefault="00872C03" w:rsidP="00872C03">
      <w:pPr>
        <w:pStyle w:val="subsection"/>
        <w:rPr>
          <w:sz w:val="24"/>
        </w:rPr>
      </w:pPr>
      <w:r w:rsidRPr="00883399">
        <w:rPr>
          <w:sz w:val="24"/>
        </w:rPr>
        <w:tab/>
        <w:t>(2A)</w:t>
      </w:r>
      <w:r w:rsidRPr="00883399">
        <w:rPr>
          <w:sz w:val="24"/>
        </w:rPr>
        <w:tab/>
        <w:t>In applying method 1 under section 5.42, the reference to 0.75 in subsections 5.42(2) and (3) is to read as a reference to 1.00.</w:t>
      </w:r>
    </w:p>
    <w:p w14:paraId="5200CEA5" w14:textId="77777777" w:rsidR="00872C03" w:rsidRPr="00883399" w:rsidRDefault="00872C03" w:rsidP="00872C03">
      <w:pPr>
        <w:pStyle w:val="subsection"/>
        <w:rPr>
          <w:sz w:val="24"/>
        </w:rPr>
      </w:pPr>
      <w:r w:rsidRPr="00883399">
        <w:rPr>
          <w:sz w:val="24"/>
        </w:rPr>
        <w:tab/>
        <w:t>(3)</w:t>
      </w:r>
      <w:r w:rsidRPr="00883399">
        <w:rPr>
          <w:sz w:val="24"/>
        </w:rPr>
        <w:tab/>
        <w:t>Wastewater used for the purposes of subsection (2), must be sampled and analysed for COD in accordance with the requirements in sections 5.44, 5.45 and 5.46.</w:t>
      </w:r>
    </w:p>
    <w:p w14:paraId="04046FC7" w14:textId="6402A009" w:rsidR="00872C03" w:rsidRPr="00883399" w:rsidRDefault="00872C03" w:rsidP="00872C03">
      <w:pPr>
        <w:pStyle w:val="ActHead5"/>
        <w:rPr>
          <w:sz w:val="28"/>
        </w:rPr>
      </w:pPr>
      <w:bookmarkStart w:id="1286" w:name="_Toc423517222"/>
      <w:bookmarkStart w:id="1287" w:name="_Toc495653166"/>
      <w:r w:rsidRPr="00883399">
        <w:rPr>
          <w:rStyle w:val="CharSectno"/>
          <w:sz w:val="28"/>
        </w:rPr>
        <w:t>5.44</w:t>
      </w:r>
      <w:r w:rsidRPr="00883399">
        <w:rPr>
          <w:sz w:val="28"/>
        </w:rPr>
        <w:t xml:space="preserve">  General requirements for sampling under method 2</w:t>
      </w:r>
      <w:bookmarkEnd w:id="1286"/>
      <w:bookmarkEnd w:id="1287"/>
    </w:p>
    <w:p w14:paraId="3940E4FC" w14:textId="77777777" w:rsidR="00872C03" w:rsidRPr="00883399" w:rsidRDefault="00872C03" w:rsidP="00872C03">
      <w:pPr>
        <w:pStyle w:val="subsection"/>
        <w:rPr>
          <w:sz w:val="24"/>
        </w:rPr>
      </w:pPr>
      <w:r w:rsidRPr="00883399">
        <w:rPr>
          <w:sz w:val="24"/>
        </w:rPr>
        <w:tab/>
        <w:t>(1)</w:t>
      </w:r>
      <w:r w:rsidRPr="00883399">
        <w:rPr>
          <w:sz w:val="24"/>
        </w:rPr>
        <w:tab/>
        <w:t>A sample must be representative of the wastewater and the COD concentrations at the plant.</w:t>
      </w:r>
    </w:p>
    <w:p w14:paraId="099D5A29" w14:textId="77777777" w:rsidR="00872C03" w:rsidRPr="00883399" w:rsidRDefault="00872C03" w:rsidP="00872C03">
      <w:pPr>
        <w:pStyle w:val="subsection"/>
        <w:rPr>
          <w:sz w:val="24"/>
        </w:rPr>
      </w:pPr>
      <w:r w:rsidRPr="00883399">
        <w:rPr>
          <w:sz w:val="24"/>
        </w:rPr>
        <w:tab/>
        <w:t>(2)</w:t>
      </w:r>
      <w:r w:rsidRPr="00883399">
        <w:rPr>
          <w:sz w:val="24"/>
        </w:rPr>
        <w:tab/>
        <w:t>The samples must be collected on enough occasions to produce a representative sample.</w:t>
      </w:r>
    </w:p>
    <w:p w14:paraId="74989CBA" w14:textId="77777777" w:rsidR="00872C03" w:rsidRPr="00883399" w:rsidRDefault="00872C03" w:rsidP="00872C03">
      <w:pPr>
        <w:pStyle w:val="subsection"/>
        <w:rPr>
          <w:sz w:val="24"/>
        </w:rPr>
      </w:pPr>
      <w:r w:rsidRPr="00883399">
        <w:rPr>
          <w:sz w:val="24"/>
        </w:rPr>
        <w:tab/>
        <w:t>(3)</w:t>
      </w:r>
      <w:r w:rsidRPr="00883399">
        <w:rPr>
          <w:sz w:val="24"/>
        </w:rPr>
        <w:tab/>
        <w:t>The samples must also be free of bias so that any estimates are neither over nor under estimates of the true value.</w:t>
      </w:r>
    </w:p>
    <w:p w14:paraId="1DC17080" w14:textId="77777777" w:rsidR="00872C03" w:rsidRPr="00883399" w:rsidRDefault="00872C03" w:rsidP="00872C03">
      <w:pPr>
        <w:pStyle w:val="subsection"/>
        <w:rPr>
          <w:sz w:val="24"/>
        </w:rPr>
      </w:pPr>
      <w:r w:rsidRPr="00883399">
        <w:rPr>
          <w:sz w:val="24"/>
        </w:rPr>
        <w:lastRenderedPageBreak/>
        <w:tab/>
        <w:t>(4)</w:t>
      </w:r>
      <w:r w:rsidRPr="00883399">
        <w:rPr>
          <w:sz w:val="24"/>
        </w:rPr>
        <w:tab/>
        <w:t>Bias must be tested in accordance with an appropriate standard (if any).</w:t>
      </w:r>
    </w:p>
    <w:p w14:paraId="2105ABC1" w14:textId="77777777" w:rsidR="00872C03" w:rsidRPr="00883399" w:rsidRDefault="00872C03" w:rsidP="00872C03">
      <w:pPr>
        <w:pStyle w:val="subsection"/>
        <w:rPr>
          <w:sz w:val="24"/>
        </w:rPr>
      </w:pPr>
      <w:r w:rsidRPr="00883399">
        <w:rPr>
          <w:sz w:val="24"/>
        </w:rPr>
        <w:tab/>
        <w:t>(5)</w:t>
      </w:r>
      <w:r w:rsidRPr="00883399">
        <w:rPr>
          <w:sz w:val="24"/>
        </w:rPr>
        <w:tab/>
        <w:t>The value obtained from the sample must only be used for the plant for which it was intended to be representative.</w:t>
      </w:r>
    </w:p>
    <w:p w14:paraId="719AC900" w14:textId="7B4BF0C3" w:rsidR="00872C03" w:rsidRPr="00883399" w:rsidRDefault="00872C03" w:rsidP="00872C03">
      <w:pPr>
        <w:pStyle w:val="ActHead5"/>
        <w:rPr>
          <w:sz w:val="28"/>
        </w:rPr>
      </w:pPr>
      <w:bookmarkStart w:id="1288" w:name="_Toc423517223"/>
      <w:bookmarkStart w:id="1289" w:name="_Toc495653167"/>
      <w:r w:rsidRPr="00883399">
        <w:rPr>
          <w:rStyle w:val="CharSectno"/>
          <w:sz w:val="28"/>
        </w:rPr>
        <w:t>5.45</w:t>
      </w:r>
      <w:r w:rsidRPr="00883399">
        <w:rPr>
          <w:sz w:val="28"/>
        </w:rPr>
        <w:t xml:space="preserve">  Standards for analysis</w:t>
      </w:r>
      <w:bookmarkEnd w:id="1288"/>
      <w:bookmarkEnd w:id="1289"/>
    </w:p>
    <w:p w14:paraId="5A1E068D" w14:textId="77777777" w:rsidR="00872C03" w:rsidRPr="00883399" w:rsidRDefault="00872C03" w:rsidP="00872C03">
      <w:pPr>
        <w:pStyle w:val="subsection"/>
        <w:rPr>
          <w:sz w:val="24"/>
        </w:rPr>
      </w:pPr>
      <w:r w:rsidRPr="00883399">
        <w:rPr>
          <w:sz w:val="24"/>
        </w:rPr>
        <w:tab/>
        <w:t>(1)</w:t>
      </w:r>
      <w:r w:rsidRPr="00883399">
        <w:rPr>
          <w:sz w:val="24"/>
        </w:rPr>
        <w:tab/>
        <w:t>Samples of wastewater must be analysed for COD in accordance with:</w:t>
      </w:r>
    </w:p>
    <w:p w14:paraId="4CEE2B4F" w14:textId="77777777" w:rsidR="00872C03" w:rsidRPr="00883399" w:rsidRDefault="00872C03" w:rsidP="00872C03">
      <w:pPr>
        <w:pStyle w:val="paragraph"/>
        <w:rPr>
          <w:sz w:val="24"/>
        </w:rPr>
      </w:pPr>
      <w:r w:rsidRPr="00883399">
        <w:rPr>
          <w:sz w:val="24"/>
        </w:rPr>
        <w:tab/>
        <w:t>(a)</w:t>
      </w:r>
      <w:r w:rsidRPr="00883399">
        <w:rPr>
          <w:sz w:val="24"/>
        </w:rPr>
        <w:tab/>
        <w:t>ISO 6060:1989; or</w:t>
      </w:r>
    </w:p>
    <w:p w14:paraId="6800589A" w14:textId="77777777" w:rsidR="00872C03" w:rsidRPr="00883399" w:rsidRDefault="00872C03" w:rsidP="00872C03">
      <w:pPr>
        <w:pStyle w:val="paragraph"/>
        <w:rPr>
          <w:sz w:val="24"/>
        </w:rPr>
      </w:pPr>
      <w:r w:rsidRPr="00883399">
        <w:rPr>
          <w:sz w:val="24"/>
        </w:rPr>
        <w:tab/>
        <w:t>(b)</w:t>
      </w:r>
      <w:r w:rsidRPr="00883399">
        <w:rPr>
          <w:sz w:val="24"/>
        </w:rPr>
        <w:tab/>
        <w:t>sections 5220B, 5220C or 5220D of APHA (1995); or</w:t>
      </w:r>
    </w:p>
    <w:p w14:paraId="70540327" w14:textId="77777777" w:rsidR="00872C03" w:rsidRPr="00883399" w:rsidRDefault="00872C03" w:rsidP="00872C03">
      <w:pPr>
        <w:pStyle w:val="paragraph"/>
        <w:rPr>
          <w:sz w:val="24"/>
        </w:rPr>
      </w:pPr>
      <w:r w:rsidRPr="00883399">
        <w:rPr>
          <w:sz w:val="24"/>
        </w:rPr>
        <w:tab/>
        <w:t>(c)</w:t>
      </w:r>
      <w:r w:rsidRPr="00883399">
        <w:rPr>
          <w:sz w:val="24"/>
        </w:rPr>
        <w:tab/>
        <w:t>an equivalent Australian or international standard.</w:t>
      </w:r>
    </w:p>
    <w:p w14:paraId="6209EEFE" w14:textId="77777777" w:rsidR="00872C03" w:rsidRPr="00883399" w:rsidRDefault="00872C03" w:rsidP="00872C03">
      <w:pPr>
        <w:pStyle w:val="subsection"/>
        <w:rPr>
          <w:sz w:val="24"/>
        </w:rPr>
      </w:pPr>
      <w:r w:rsidRPr="00883399">
        <w:rPr>
          <w:sz w:val="24"/>
        </w:rPr>
        <w:tab/>
        <w:t>(2)</w:t>
      </w:r>
      <w:r w:rsidRPr="00883399">
        <w:rPr>
          <w:sz w:val="24"/>
        </w:rPr>
        <w:tab/>
        <w:t>Samples of wastewater must be analysed for BOD in accordance with:</w:t>
      </w:r>
    </w:p>
    <w:p w14:paraId="322281FB" w14:textId="77777777" w:rsidR="00872C03" w:rsidRPr="00883399" w:rsidRDefault="00872C03" w:rsidP="00872C03">
      <w:pPr>
        <w:pStyle w:val="paragraph"/>
        <w:rPr>
          <w:sz w:val="24"/>
        </w:rPr>
      </w:pPr>
      <w:r w:rsidRPr="00883399">
        <w:rPr>
          <w:sz w:val="24"/>
        </w:rPr>
        <w:tab/>
        <w:t>(a)</w:t>
      </w:r>
      <w:r w:rsidRPr="00883399">
        <w:rPr>
          <w:sz w:val="24"/>
        </w:rPr>
        <w:tab/>
        <w:t>AS 4351.5—1996; or</w:t>
      </w:r>
    </w:p>
    <w:p w14:paraId="70E14FC0" w14:textId="77777777" w:rsidR="00872C03" w:rsidRPr="00883399" w:rsidRDefault="00872C03" w:rsidP="00872C03">
      <w:pPr>
        <w:pStyle w:val="paragraph"/>
        <w:rPr>
          <w:sz w:val="24"/>
        </w:rPr>
      </w:pPr>
      <w:r w:rsidRPr="00883399">
        <w:rPr>
          <w:sz w:val="24"/>
        </w:rPr>
        <w:tab/>
        <w:t>(b)</w:t>
      </w:r>
      <w:r w:rsidRPr="00883399">
        <w:rPr>
          <w:sz w:val="24"/>
        </w:rPr>
        <w:tab/>
        <w:t>section 5210B of APHA (1995); or</w:t>
      </w:r>
    </w:p>
    <w:p w14:paraId="0EBD633A" w14:textId="77777777" w:rsidR="00872C03" w:rsidRPr="00883399" w:rsidRDefault="00872C03" w:rsidP="00872C03">
      <w:pPr>
        <w:pStyle w:val="paragraph"/>
        <w:rPr>
          <w:sz w:val="24"/>
        </w:rPr>
      </w:pPr>
      <w:r w:rsidRPr="00883399">
        <w:rPr>
          <w:sz w:val="24"/>
        </w:rPr>
        <w:tab/>
        <w:t>(c)</w:t>
      </w:r>
      <w:r w:rsidRPr="00883399">
        <w:rPr>
          <w:sz w:val="24"/>
        </w:rPr>
        <w:tab/>
        <w:t>an equivalent Australian or international standard.</w:t>
      </w:r>
    </w:p>
    <w:p w14:paraId="12945FE5" w14:textId="5CC7BEC7" w:rsidR="00872C03" w:rsidRPr="00883399" w:rsidRDefault="00872C03" w:rsidP="00872C03">
      <w:pPr>
        <w:pStyle w:val="ActHead5"/>
        <w:rPr>
          <w:sz w:val="28"/>
        </w:rPr>
      </w:pPr>
      <w:bookmarkStart w:id="1290" w:name="_Toc423517224"/>
      <w:bookmarkStart w:id="1291" w:name="_Toc495653168"/>
      <w:r w:rsidRPr="00883399">
        <w:rPr>
          <w:rStyle w:val="CharSectno"/>
          <w:sz w:val="28"/>
        </w:rPr>
        <w:t>5.46</w:t>
      </w:r>
      <w:r w:rsidRPr="00883399">
        <w:rPr>
          <w:sz w:val="28"/>
        </w:rPr>
        <w:t xml:space="preserve">  Frequency of sampling and analysis</w:t>
      </w:r>
      <w:bookmarkEnd w:id="1290"/>
      <w:bookmarkEnd w:id="1291"/>
    </w:p>
    <w:p w14:paraId="612F9407" w14:textId="77777777" w:rsidR="00872C03" w:rsidRPr="00883399" w:rsidRDefault="00872C03" w:rsidP="00872C03">
      <w:pPr>
        <w:pStyle w:val="subsection"/>
        <w:rPr>
          <w:sz w:val="24"/>
        </w:rPr>
      </w:pPr>
      <w:r w:rsidRPr="00883399">
        <w:rPr>
          <w:sz w:val="24"/>
        </w:rPr>
        <w:tab/>
      </w:r>
      <w:r w:rsidRPr="00883399">
        <w:rPr>
          <w:sz w:val="24"/>
        </w:rPr>
        <w:tab/>
        <w:t>Wastewater must be sampled and analysed on at least a monthly basis.</w:t>
      </w:r>
    </w:p>
    <w:p w14:paraId="794EC773" w14:textId="23C9C417" w:rsidR="00872C03" w:rsidRPr="00883399" w:rsidRDefault="00872C03" w:rsidP="00872C03">
      <w:pPr>
        <w:pStyle w:val="ActHead3"/>
        <w:pageBreakBefore/>
        <w:rPr>
          <w:sz w:val="32"/>
        </w:rPr>
      </w:pPr>
      <w:bookmarkStart w:id="1292" w:name="_Toc423517225"/>
      <w:bookmarkStart w:id="1293" w:name="_Toc495653169"/>
      <w:r w:rsidRPr="00883399">
        <w:rPr>
          <w:rStyle w:val="CharDivNo"/>
          <w:sz w:val="32"/>
        </w:rPr>
        <w:lastRenderedPageBreak/>
        <w:t>Division 5.4.4</w:t>
      </w:r>
      <w:r w:rsidRPr="00883399">
        <w:rPr>
          <w:sz w:val="32"/>
        </w:rPr>
        <w:t>—</w:t>
      </w:r>
      <w:r w:rsidRPr="00883399">
        <w:rPr>
          <w:rStyle w:val="CharDivText"/>
          <w:sz w:val="32"/>
        </w:rPr>
        <w:t>Method 3—methane released from wastewater handling (industrial)</w:t>
      </w:r>
      <w:bookmarkEnd w:id="1292"/>
      <w:bookmarkEnd w:id="1293"/>
    </w:p>
    <w:p w14:paraId="5E469118" w14:textId="2DAADD8C" w:rsidR="00872C03" w:rsidRPr="00883399" w:rsidRDefault="00872C03" w:rsidP="00872C03">
      <w:pPr>
        <w:pStyle w:val="ActHead5"/>
        <w:rPr>
          <w:sz w:val="28"/>
        </w:rPr>
      </w:pPr>
      <w:bookmarkStart w:id="1294" w:name="_Toc423517226"/>
      <w:bookmarkStart w:id="1295" w:name="_Toc495653170"/>
      <w:r w:rsidRPr="00883399">
        <w:rPr>
          <w:rStyle w:val="CharSectno"/>
          <w:sz w:val="28"/>
        </w:rPr>
        <w:t>5.47</w:t>
      </w:r>
      <w:r w:rsidRPr="00883399">
        <w:rPr>
          <w:sz w:val="28"/>
        </w:rPr>
        <w:t xml:space="preserve">  Method 3—methane released from wastewater handling (industrial)</w:t>
      </w:r>
      <w:bookmarkEnd w:id="1294"/>
      <w:bookmarkEnd w:id="1295"/>
    </w:p>
    <w:p w14:paraId="54392B8C" w14:textId="77777777" w:rsidR="00002D0E" w:rsidRPr="00883399" w:rsidRDefault="00002D0E" w:rsidP="00002D0E">
      <w:pPr>
        <w:pStyle w:val="Text"/>
        <w:rPr>
          <w:rFonts w:ascii="Arial" w:hAnsi="Arial" w:cs="Arial"/>
          <w:sz w:val="22"/>
          <w:szCs w:val="22"/>
        </w:rPr>
      </w:pPr>
      <w:r w:rsidRPr="00883399">
        <w:rPr>
          <w:rFonts w:ascii="Arial" w:hAnsi="Arial" w:cs="Arial"/>
          <w:sz w:val="22"/>
          <w:szCs w:val="22"/>
        </w:rPr>
        <w:t>Section 5.47 sets out Method 3 for wastewater handling. The Method requires estimates of Chemical Oxygen Demand concentrations in wastewater estimated using sampling and analysis conducted in accordance with listed Australian or international standards or an equivalent standard.</w:t>
      </w:r>
    </w:p>
    <w:p w14:paraId="30486DEE" w14:textId="77777777" w:rsidR="00872C03" w:rsidRPr="00883399" w:rsidRDefault="00872C03" w:rsidP="00872C03">
      <w:pPr>
        <w:pStyle w:val="subsection"/>
        <w:rPr>
          <w:sz w:val="24"/>
        </w:rPr>
      </w:pPr>
      <w:r w:rsidRPr="00883399">
        <w:rPr>
          <w:sz w:val="24"/>
        </w:rPr>
        <w:tab/>
        <w:t>(1)</w:t>
      </w:r>
      <w:r w:rsidRPr="00883399">
        <w:rPr>
          <w:sz w:val="24"/>
        </w:rPr>
        <w:tab/>
        <w:t>For paragraph 5.41(1)(c) and subject to subsection (2), method 3 is the same as method 2 under section 5.43.</w:t>
      </w:r>
    </w:p>
    <w:p w14:paraId="65AE15A8" w14:textId="77777777" w:rsidR="00872C03" w:rsidRPr="00883399" w:rsidRDefault="00872C03" w:rsidP="00872C03">
      <w:pPr>
        <w:pStyle w:val="subsection"/>
        <w:rPr>
          <w:sz w:val="24"/>
        </w:rPr>
      </w:pPr>
      <w:r w:rsidRPr="00883399">
        <w:rPr>
          <w:sz w:val="24"/>
        </w:rPr>
        <w:tab/>
        <w:t>(2)</w:t>
      </w:r>
      <w:r w:rsidRPr="00883399">
        <w:rPr>
          <w:sz w:val="24"/>
        </w:rPr>
        <w:tab/>
        <w:t>In applying method 2 under section 5.43, the wastewater must be sampled in accordance with AS/NZS 5667.10:1998 or an equivalent Australian or international standard.</w:t>
      </w:r>
    </w:p>
    <w:p w14:paraId="6281B1D5" w14:textId="51A17BC6" w:rsidR="00872C03" w:rsidRPr="00883399" w:rsidRDefault="00872C03" w:rsidP="00872C03">
      <w:pPr>
        <w:pStyle w:val="ActHead3"/>
        <w:pageBreakBefore/>
        <w:rPr>
          <w:sz w:val="32"/>
        </w:rPr>
      </w:pPr>
      <w:bookmarkStart w:id="1296" w:name="_Toc423517227"/>
      <w:bookmarkStart w:id="1297" w:name="_Toc495653171"/>
      <w:r w:rsidRPr="00883399">
        <w:rPr>
          <w:rStyle w:val="CharDivNo"/>
          <w:sz w:val="32"/>
        </w:rPr>
        <w:lastRenderedPageBreak/>
        <w:t>Division 5.4.5</w:t>
      </w:r>
      <w:r w:rsidRPr="00883399">
        <w:rPr>
          <w:sz w:val="32"/>
        </w:rPr>
        <w:t>—</w:t>
      </w:r>
      <w:r w:rsidRPr="00883399">
        <w:rPr>
          <w:rStyle w:val="CharDivText"/>
          <w:sz w:val="32"/>
        </w:rPr>
        <w:t>Wastewater handling (industrial)—Flaring of methane in sludge biogas</w:t>
      </w:r>
      <w:bookmarkEnd w:id="1296"/>
      <w:bookmarkEnd w:id="1297"/>
    </w:p>
    <w:p w14:paraId="2490367C" w14:textId="77777777" w:rsidR="00002D0E" w:rsidRPr="00883399" w:rsidRDefault="00002D0E" w:rsidP="00002D0E">
      <w:pPr>
        <w:pStyle w:val="Text"/>
        <w:rPr>
          <w:rFonts w:ascii="Arial" w:hAnsi="Arial" w:cs="Arial"/>
          <w:sz w:val="22"/>
          <w:szCs w:val="22"/>
        </w:rPr>
      </w:pPr>
      <w:bookmarkStart w:id="1298" w:name="_Toc423517228"/>
      <w:r w:rsidRPr="00883399">
        <w:rPr>
          <w:rFonts w:ascii="Arial" w:hAnsi="Arial" w:cs="Arial"/>
          <w:sz w:val="22"/>
          <w:szCs w:val="22"/>
        </w:rPr>
        <w:t xml:space="preserve">Sections 5.48-5.50 set out Methods 1, 2 and 3 for the flaring of methane in sludge biogas.  Method 1 is derived from the methods used for the </w:t>
      </w:r>
      <w:r w:rsidRPr="00883399">
        <w:rPr>
          <w:rFonts w:ascii="Arial" w:hAnsi="Arial" w:cs="Arial"/>
          <w:i/>
          <w:sz w:val="22"/>
          <w:szCs w:val="22"/>
        </w:rPr>
        <w:t>National Greenhouse Accounts</w:t>
      </w:r>
      <w:r w:rsidRPr="00883399">
        <w:rPr>
          <w:rFonts w:ascii="Arial" w:hAnsi="Arial" w:cs="Arial"/>
          <w:sz w:val="22"/>
          <w:szCs w:val="22"/>
        </w:rPr>
        <w:t>.  Methods 2 and 3 rely on the sampling and analysis of the fuel to estimate the gas composition of the fuel in order to estimate the quantity of methane flared more accurately.</w:t>
      </w:r>
    </w:p>
    <w:p w14:paraId="4B87016C" w14:textId="6FA26962" w:rsidR="00872C03" w:rsidRPr="00883399" w:rsidRDefault="00872C03" w:rsidP="00872C03">
      <w:pPr>
        <w:pStyle w:val="ActHead5"/>
        <w:rPr>
          <w:sz w:val="28"/>
        </w:rPr>
      </w:pPr>
      <w:bookmarkStart w:id="1299" w:name="_Toc495653172"/>
      <w:r w:rsidRPr="00883399">
        <w:rPr>
          <w:rStyle w:val="CharSectno"/>
          <w:sz w:val="28"/>
        </w:rPr>
        <w:t>5.48</w:t>
      </w:r>
      <w:r w:rsidRPr="00883399">
        <w:rPr>
          <w:sz w:val="28"/>
        </w:rPr>
        <w:t xml:space="preserve">  Method 1—flaring of methane in sludge biogas</w:t>
      </w:r>
      <w:bookmarkEnd w:id="1298"/>
      <w:bookmarkEnd w:id="1299"/>
    </w:p>
    <w:p w14:paraId="154E65ED" w14:textId="77777777" w:rsidR="00872C03" w:rsidRPr="00883399" w:rsidRDefault="00872C03" w:rsidP="00872C03">
      <w:pPr>
        <w:pStyle w:val="subsection"/>
        <w:rPr>
          <w:sz w:val="24"/>
        </w:rPr>
      </w:pPr>
      <w:r w:rsidRPr="00883399">
        <w:rPr>
          <w:sz w:val="24"/>
        </w:rPr>
        <w:tab/>
        <w:t>(1)</w:t>
      </w:r>
      <w:r w:rsidRPr="00883399">
        <w:rPr>
          <w:sz w:val="24"/>
        </w:rPr>
        <w:tab/>
        <w:t>For paragraph 5.41(2)(a), method 1 is:</w:t>
      </w:r>
    </w:p>
    <w:p w14:paraId="7BA8F8D4" w14:textId="123314F6"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5192F794" wp14:editId="0E30BE56">
            <wp:extent cx="2149475" cy="451485"/>
            <wp:effectExtent l="1905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46"/>
                    <a:srcRect/>
                    <a:stretch>
                      <a:fillRect/>
                    </a:stretch>
                  </pic:blipFill>
                  <pic:spPr bwMode="auto">
                    <a:xfrm>
                      <a:off x="0" y="0"/>
                      <a:ext cx="2149475" cy="451485"/>
                    </a:xfrm>
                    <a:prstGeom prst="rect">
                      <a:avLst/>
                    </a:prstGeom>
                    <a:noFill/>
                    <a:ln w="9525">
                      <a:noFill/>
                      <a:miter lim="800000"/>
                      <a:headEnd/>
                      <a:tailEnd/>
                    </a:ln>
                  </pic:spPr>
                </pic:pic>
              </a:graphicData>
            </a:graphic>
          </wp:inline>
        </w:drawing>
      </w:r>
    </w:p>
    <w:p w14:paraId="1C5EE503" w14:textId="77777777" w:rsidR="00872C03" w:rsidRPr="00883399" w:rsidRDefault="00872C03" w:rsidP="00872C03">
      <w:pPr>
        <w:pStyle w:val="subsection2"/>
        <w:rPr>
          <w:sz w:val="24"/>
        </w:rPr>
      </w:pPr>
      <w:r w:rsidRPr="00883399">
        <w:rPr>
          <w:sz w:val="24"/>
        </w:rPr>
        <w:t>where:</w:t>
      </w:r>
    </w:p>
    <w:p w14:paraId="7F8471A3" w14:textId="77777777" w:rsidR="00872C03" w:rsidRPr="00883399" w:rsidRDefault="00872C03" w:rsidP="00872C03">
      <w:pPr>
        <w:pStyle w:val="Definition0"/>
        <w:rPr>
          <w:sz w:val="24"/>
          <w:vertAlign w:val="subscript"/>
        </w:rPr>
      </w:pPr>
      <w:r w:rsidRPr="00883399">
        <w:rPr>
          <w:b/>
          <w:i/>
          <w:sz w:val="24"/>
        </w:rPr>
        <w:t>E</w:t>
      </w:r>
      <w:r w:rsidRPr="00883399">
        <w:rPr>
          <w:b/>
          <w:i/>
          <w:sz w:val="24"/>
          <w:vertAlign w:val="subscript"/>
        </w:rPr>
        <w:t>j</w:t>
      </w:r>
      <w:r w:rsidRPr="00883399">
        <w:rPr>
          <w:b/>
          <w:i/>
          <w:sz w:val="24"/>
        </w:rPr>
        <w:t xml:space="preserve"> </w:t>
      </w:r>
      <w:r w:rsidRPr="00883399">
        <w:rPr>
          <w:b/>
          <w:sz w:val="24"/>
          <w:vertAlign w:val="subscript"/>
        </w:rPr>
        <w:t xml:space="preserve">flared </w:t>
      </w:r>
      <w:r w:rsidRPr="00883399">
        <w:rPr>
          <w:sz w:val="24"/>
        </w:rPr>
        <w:t>is the emissions of gas type (</w:t>
      </w:r>
      <w:r w:rsidRPr="00883399">
        <w:rPr>
          <w:b/>
          <w:i/>
          <w:sz w:val="24"/>
        </w:rPr>
        <w:t>j</w:t>
      </w:r>
      <w:r w:rsidRPr="00883399">
        <w:rPr>
          <w:sz w:val="24"/>
        </w:rPr>
        <w:t>) released from flaring of the methane in sludge biogas by the plant during the year measured in CO</w:t>
      </w:r>
      <w:r w:rsidRPr="00883399">
        <w:rPr>
          <w:sz w:val="24"/>
          <w:vertAlign w:val="subscript"/>
        </w:rPr>
        <w:t>2</w:t>
      </w:r>
      <w:r w:rsidRPr="00883399">
        <w:rPr>
          <w:sz w:val="24"/>
        </w:rPr>
        <w:noBreakHyphen/>
        <w:t>e tonnes.</w:t>
      </w:r>
    </w:p>
    <w:p w14:paraId="17087A58" w14:textId="77777777" w:rsidR="00872C03" w:rsidRPr="00883399" w:rsidRDefault="00872C03" w:rsidP="00872C03">
      <w:pPr>
        <w:pStyle w:val="Definition0"/>
        <w:rPr>
          <w:sz w:val="24"/>
        </w:rPr>
      </w:pPr>
      <w:r w:rsidRPr="00883399">
        <w:rPr>
          <w:b/>
          <w:i/>
          <w:sz w:val="24"/>
        </w:rPr>
        <w:t>Q</w:t>
      </w:r>
      <w:r w:rsidRPr="00883399">
        <w:rPr>
          <w:b/>
          <w:i/>
          <w:sz w:val="24"/>
          <w:vertAlign w:val="subscript"/>
        </w:rPr>
        <w:t xml:space="preserve">flared </w:t>
      </w:r>
      <w:r w:rsidRPr="00883399">
        <w:rPr>
          <w:sz w:val="24"/>
        </w:rPr>
        <w:t>is the quantity of methane in sludge biogas flared by the plant during the year measured in cubic metres in accordance with Division 2.3.6.</w:t>
      </w:r>
    </w:p>
    <w:p w14:paraId="3B4A4CD3" w14:textId="77777777" w:rsidR="00872C03" w:rsidRPr="00883399" w:rsidRDefault="00872C03" w:rsidP="00872C03">
      <w:pPr>
        <w:pStyle w:val="Definition0"/>
        <w:rPr>
          <w:sz w:val="24"/>
        </w:rPr>
      </w:pPr>
      <w:r w:rsidRPr="00883399">
        <w:rPr>
          <w:b/>
          <w:i/>
          <w:sz w:val="24"/>
        </w:rPr>
        <w:t>EC</w:t>
      </w:r>
      <w:r w:rsidRPr="00883399">
        <w:rPr>
          <w:b/>
          <w:i/>
          <w:sz w:val="24"/>
          <w:vertAlign w:val="subscript"/>
        </w:rPr>
        <w:t xml:space="preserve">i </w:t>
      </w:r>
      <w:r w:rsidRPr="00883399">
        <w:rPr>
          <w:sz w:val="24"/>
        </w:rPr>
        <w:t>is the energy content factor of methane in sludge biogas measured in gigajoules per cubic metre (see Schedule 1).</w:t>
      </w:r>
    </w:p>
    <w:p w14:paraId="2C71FFBD" w14:textId="77777777" w:rsidR="00872C03" w:rsidRPr="00883399" w:rsidRDefault="00872C03" w:rsidP="00872C03">
      <w:pPr>
        <w:pStyle w:val="Definition0"/>
        <w:rPr>
          <w:sz w:val="24"/>
        </w:rPr>
      </w:pPr>
      <w:r w:rsidRPr="00883399">
        <w:rPr>
          <w:b/>
          <w:i/>
          <w:sz w:val="24"/>
        </w:rPr>
        <w:t>EF</w:t>
      </w:r>
      <w:r w:rsidRPr="00883399">
        <w:rPr>
          <w:b/>
          <w:i/>
          <w:sz w:val="24"/>
          <w:vertAlign w:val="subscript"/>
        </w:rPr>
        <w:t>ij</w:t>
      </w:r>
      <w:r w:rsidRPr="00883399">
        <w:rPr>
          <w:b/>
          <w:i/>
          <w:sz w:val="24"/>
        </w:rPr>
        <w:t xml:space="preserve"> </w:t>
      </w:r>
      <w:r w:rsidRPr="00883399">
        <w:rPr>
          <w:sz w:val="24"/>
        </w:rPr>
        <w:t>is the relevant emission factor for gas type (</w:t>
      </w:r>
      <w:r w:rsidRPr="00883399">
        <w:rPr>
          <w:b/>
          <w:i/>
          <w:sz w:val="24"/>
        </w:rPr>
        <w:t>j</w:t>
      </w:r>
      <w:r w:rsidRPr="00883399">
        <w:rPr>
          <w:sz w:val="24"/>
        </w:rPr>
        <w:t>) for methane in sludge biogas in CO</w:t>
      </w:r>
      <w:r w:rsidRPr="00883399">
        <w:rPr>
          <w:sz w:val="24"/>
          <w:vertAlign w:val="subscript"/>
        </w:rPr>
        <w:t>2</w:t>
      </w:r>
      <w:r w:rsidRPr="00883399">
        <w:rPr>
          <w:sz w:val="24"/>
        </w:rPr>
        <w:noBreakHyphen/>
        <w:t>e tonnes per gigajoule (see Schedule 1).</w:t>
      </w:r>
    </w:p>
    <w:p w14:paraId="2C6CBB45" w14:textId="77777777" w:rsidR="00872C03" w:rsidRPr="00883399" w:rsidRDefault="00872C03" w:rsidP="00872C03">
      <w:pPr>
        <w:pStyle w:val="subsection"/>
        <w:rPr>
          <w:sz w:val="24"/>
        </w:rPr>
      </w:pPr>
      <w:r w:rsidRPr="00883399">
        <w:rPr>
          <w:sz w:val="24"/>
        </w:rPr>
        <w:tab/>
        <w:t>(2)</w:t>
      </w:r>
      <w:r w:rsidRPr="00883399">
        <w:rPr>
          <w:sz w:val="24"/>
        </w:rPr>
        <w:tab/>
        <w:t xml:space="preserve">For </w:t>
      </w:r>
      <w:r w:rsidRPr="00883399">
        <w:rPr>
          <w:b/>
          <w:i/>
          <w:sz w:val="24"/>
        </w:rPr>
        <w:t>Q</w:t>
      </w:r>
      <w:r w:rsidRPr="00883399">
        <w:rPr>
          <w:b/>
          <w:i/>
          <w:sz w:val="24"/>
          <w:vertAlign w:val="subscript"/>
        </w:rPr>
        <w:t>flared</w:t>
      </w:r>
      <w:r w:rsidRPr="00883399">
        <w:rPr>
          <w:sz w:val="24"/>
        </w:rPr>
        <w:t xml:space="preserve"> in subsection (1), the methane in sludge biogas is taken to constitute 70% of the sludge biogas.</w:t>
      </w:r>
    </w:p>
    <w:p w14:paraId="62591617" w14:textId="77777777" w:rsidR="00872C03" w:rsidRPr="00883399" w:rsidRDefault="00872C03" w:rsidP="00872C03">
      <w:pPr>
        <w:pStyle w:val="ActHead5"/>
        <w:rPr>
          <w:sz w:val="28"/>
        </w:rPr>
      </w:pPr>
      <w:bookmarkStart w:id="1300" w:name="_Toc423517229"/>
      <w:bookmarkStart w:id="1301" w:name="_Toc495653173"/>
      <w:r w:rsidRPr="00883399">
        <w:rPr>
          <w:rStyle w:val="CharSectno"/>
          <w:sz w:val="28"/>
        </w:rPr>
        <w:t>5.49</w:t>
      </w:r>
      <w:r w:rsidRPr="00883399">
        <w:rPr>
          <w:sz w:val="28"/>
        </w:rPr>
        <w:t xml:space="preserve">  Method 2—flaring of methane in sludge biogas</w:t>
      </w:r>
      <w:bookmarkEnd w:id="1300"/>
      <w:bookmarkEnd w:id="1301"/>
      <w:r w:rsidRPr="00883399">
        <w:rPr>
          <w:sz w:val="28"/>
        </w:rPr>
        <w:t xml:space="preserve"> </w:t>
      </w:r>
    </w:p>
    <w:p w14:paraId="0EB149E6" w14:textId="77777777" w:rsidR="00872C03" w:rsidRPr="00883399" w:rsidRDefault="00872C03" w:rsidP="00872C03">
      <w:pPr>
        <w:pStyle w:val="subsection"/>
        <w:rPr>
          <w:sz w:val="24"/>
        </w:rPr>
      </w:pPr>
      <w:r w:rsidRPr="00883399">
        <w:rPr>
          <w:sz w:val="24"/>
        </w:rPr>
        <w:tab/>
        <w:t>(1)</w:t>
      </w:r>
      <w:r w:rsidRPr="00883399">
        <w:rPr>
          <w:sz w:val="24"/>
        </w:rPr>
        <w:tab/>
        <w:t>For paragraph 5.41(2)(b) and subject to this section, method 2 is the same as method 1 under section 5.48.</w:t>
      </w:r>
    </w:p>
    <w:p w14:paraId="426CB25A" w14:textId="77777777" w:rsidR="00872C03" w:rsidRPr="00883399" w:rsidRDefault="00872C03" w:rsidP="00872C03">
      <w:pPr>
        <w:pStyle w:val="subsection"/>
        <w:rPr>
          <w:sz w:val="24"/>
        </w:rPr>
      </w:pPr>
      <w:r w:rsidRPr="00883399">
        <w:rPr>
          <w:sz w:val="24"/>
        </w:rPr>
        <w:tab/>
        <w:t>(2)</w:t>
      </w:r>
      <w:r w:rsidRPr="00883399">
        <w:rPr>
          <w:sz w:val="24"/>
        </w:rPr>
        <w:tab/>
        <w:t xml:space="preserve">In applying method 1 under section 5.48, </w:t>
      </w:r>
      <w:r w:rsidRPr="00883399">
        <w:rPr>
          <w:b/>
          <w:i/>
          <w:sz w:val="24"/>
        </w:rPr>
        <w:t>Q</w:t>
      </w:r>
      <w:r w:rsidRPr="00883399">
        <w:rPr>
          <w:b/>
          <w:i/>
          <w:sz w:val="24"/>
          <w:vertAlign w:val="subscript"/>
        </w:rPr>
        <w:t>flared</w:t>
      </w:r>
      <w:r w:rsidRPr="00883399">
        <w:rPr>
          <w:sz w:val="24"/>
        </w:rPr>
        <w:t xml:space="preserve"> must be determined in accordance with the sampling and analysis requirements in Subdivision 2.3.3.2 and the measuring requirements in Division 2.3.6. </w:t>
      </w:r>
    </w:p>
    <w:p w14:paraId="5F031091" w14:textId="77777777" w:rsidR="00872C03" w:rsidRPr="00883399" w:rsidRDefault="00872C03" w:rsidP="00872C03">
      <w:pPr>
        <w:pStyle w:val="ActHead5"/>
        <w:rPr>
          <w:sz w:val="28"/>
        </w:rPr>
      </w:pPr>
      <w:bookmarkStart w:id="1302" w:name="_Toc423517230"/>
      <w:bookmarkStart w:id="1303" w:name="_Toc495653174"/>
      <w:r w:rsidRPr="00883399">
        <w:rPr>
          <w:rStyle w:val="CharSectno"/>
          <w:sz w:val="28"/>
        </w:rPr>
        <w:lastRenderedPageBreak/>
        <w:t>5.50</w:t>
      </w:r>
      <w:r w:rsidRPr="00883399">
        <w:rPr>
          <w:sz w:val="28"/>
        </w:rPr>
        <w:t xml:space="preserve">  Method 3—flaring of methane in sludge biogas</w:t>
      </w:r>
      <w:bookmarkEnd w:id="1302"/>
      <w:bookmarkEnd w:id="1303"/>
      <w:r w:rsidRPr="00883399">
        <w:rPr>
          <w:sz w:val="28"/>
        </w:rPr>
        <w:t xml:space="preserve"> </w:t>
      </w:r>
    </w:p>
    <w:p w14:paraId="139F7DC5" w14:textId="77777777" w:rsidR="00872C03" w:rsidRPr="00883399" w:rsidRDefault="00872C03" w:rsidP="00872C03">
      <w:pPr>
        <w:pStyle w:val="subsection"/>
        <w:rPr>
          <w:sz w:val="24"/>
        </w:rPr>
      </w:pPr>
      <w:r w:rsidRPr="00883399">
        <w:rPr>
          <w:sz w:val="24"/>
        </w:rPr>
        <w:tab/>
        <w:t>(1)</w:t>
      </w:r>
      <w:r w:rsidRPr="00883399">
        <w:rPr>
          <w:sz w:val="24"/>
        </w:rPr>
        <w:tab/>
        <w:t>For paragraph 5.41(2)(c) and subject to this section, method 3 is the same as method 1 under section 5.48.</w:t>
      </w:r>
    </w:p>
    <w:p w14:paraId="68A8A20A" w14:textId="77777777" w:rsidR="00872C03" w:rsidRPr="00883399" w:rsidRDefault="00872C03" w:rsidP="00872C03">
      <w:pPr>
        <w:pStyle w:val="subsection"/>
        <w:rPr>
          <w:sz w:val="24"/>
        </w:rPr>
      </w:pPr>
      <w:r w:rsidRPr="00883399">
        <w:rPr>
          <w:sz w:val="24"/>
        </w:rPr>
        <w:tab/>
        <w:t>(2)</w:t>
      </w:r>
      <w:r w:rsidRPr="00883399">
        <w:rPr>
          <w:sz w:val="24"/>
        </w:rPr>
        <w:tab/>
        <w:t xml:space="preserve">In applying method 1 under section 5.48, </w:t>
      </w:r>
      <w:r w:rsidRPr="00883399">
        <w:rPr>
          <w:b/>
          <w:i/>
          <w:sz w:val="24"/>
        </w:rPr>
        <w:t>Q</w:t>
      </w:r>
      <w:r w:rsidRPr="00883399">
        <w:rPr>
          <w:b/>
          <w:i/>
          <w:sz w:val="24"/>
          <w:vertAlign w:val="subscript"/>
        </w:rPr>
        <w:t>flared</w:t>
      </w:r>
      <w:r w:rsidRPr="00883399">
        <w:rPr>
          <w:sz w:val="24"/>
        </w:rPr>
        <w:t xml:space="preserve"> must be determined in accordance with the sampling and analysis requirements in Division 2.3.4 and the measuring requirements in Division 2.3.6. </w:t>
      </w:r>
    </w:p>
    <w:p w14:paraId="285D51AB" w14:textId="162A954D" w:rsidR="00872C03" w:rsidRPr="00883399" w:rsidRDefault="00872C03" w:rsidP="00872C03">
      <w:pPr>
        <w:pStyle w:val="ActHead2"/>
        <w:pageBreakBefore/>
        <w:rPr>
          <w:sz w:val="36"/>
        </w:rPr>
      </w:pPr>
      <w:bookmarkStart w:id="1304" w:name="_Toc423517231"/>
      <w:bookmarkStart w:id="1305" w:name="_Toc495653175"/>
      <w:r w:rsidRPr="00883399">
        <w:rPr>
          <w:rStyle w:val="CharPartNo"/>
          <w:sz w:val="36"/>
        </w:rPr>
        <w:lastRenderedPageBreak/>
        <w:t>Part 5.5</w:t>
      </w:r>
      <w:r w:rsidRPr="00883399">
        <w:rPr>
          <w:sz w:val="36"/>
        </w:rPr>
        <w:t>—</w:t>
      </w:r>
      <w:r w:rsidRPr="00883399">
        <w:rPr>
          <w:rStyle w:val="CharPartText"/>
          <w:sz w:val="36"/>
        </w:rPr>
        <w:t>Waste incineration</w:t>
      </w:r>
      <w:bookmarkEnd w:id="1304"/>
      <w:bookmarkEnd w:id="1305"/>
    </w:p>
    <w:p w14:paraId="1F12E683" w14:textId="77777777" w:rsidR="00872C03" w:rsidRPr="00883399" w:rsidRDefault="00872C03" w:rsidP="00872C03">
      <w:pPr>
        <w:pStyle w:val="Header"/>
        <w:rPr>
          <w:sz w:val="18"/>
        </w:rPr>
      </w:pPr>
      <w:r w:rsidRPr="00883399">
        <w:rPr>
          <w:rStyle w:val="CharDivNo"/>
          <w:sz w:val="18"/>
        </w:rPr>
        <w:t xml:space="preserve"> </w:t>
      </w:r>
      <w:r w:rsidRPr="00883399">
        <w:rPr>
          <w:rStyle w:val="CharDivText"/>
          <w:sz w:val="18"/>
        </w:rPr>
        <w:t xml:space="preserve"> </w:t>
      </w:r>
    </w:p>
    <w:p w14:paraId="3321FDD1" w14:textId="1DFD3DC4" w:rsidR="00872C03" w:rsidRPr="00883399" w:rsidRDefault="00872C03" w:rsidP="00872C03">
      <w:pPr>
        <w:pStyle w:val="ActHead5"/>
        <w:rPr>
          <w:sz w:val="28"/>
        </w:rPr>
      </w:pPr>
      <w:bookmarkStart w:id="1306" w:name="_Toc423517232"/>
      <w:bookmarkStart w:id="1307" w:name="_Toc495653176"/>
      <w:r w:rsidRPr="00883399">
        <w:rPr>
          <w:rStyle w:val="CharSectno"/>
          <w:sz w:val="28"/>
        </w:rPr>
        <w:t>5.51</w:t>
      </w:r>
      <w:r w:rsidRPr="00883399">
        <w:rPr>
          <w:sz w:val="28"/>
        </w:rPr>
        <w:t xml:space="preserve">  Application</w:t>
      </w:r>
      <w:bookmarkEnd w:id="1306"/>
      <w:bookmarkEnd w:id="1307"/>
    </w:p>
    <w:p w14:paraId="3A1306AE" w14:textId="77777777" w:rsidR="00872C03" w:rsidRPr="00883399" w:rsidRDefault="00872C03" w:rsidP="00872C03">
      <w:pPr>
        <w:pStyle w:val="subsection"/>
        <w:rPr>
          <w:sz w:val="24"/>
        </w:rPr>
      </w:pPr>
      <w:r w:rsidRPr="00883399">
        <w:rPr>
          <w:sz w:val="24"/>
        </w:rPr>
        <w:tab/>
      </w:r>
      <w:r w:rsidRPr="00883399">
        <w:rPr>
          <w:sz w:val="24"/>
        </w:rPr>
        <w:tab/>
        <w:t>This Part applies to emissions released from waste incineration, other than incineration for energy production.</w:t>
      </w:r>
    </w:p>
    <w:p w14:paraId="06F40D31" w14:textId="7F2112F5" w:rsidR="00872C03" w:rsidRPr="00883399" w:rsidRDefault="00872C03" w:rsidP="00872C03">
      <w:pPr>
        <w:pStyle w:val="ActHead5"/>
        <w:rPr>
          <w:sz w:val="28"/>
        </w:rPr>
      </w:pPr>
      <w:bookmarkStart w:id="1308" w:name="_Toc423517233"/>
      <w:bookmarkStart w:id="1309" w:name="_Toc495653177"/>
      <w:r w:rsidRPr="00883399">
        <w:rPr>
          <w:rStyle w:val="CharSectno"/>
          <w:sz w:val="28"/>
        </w:rPr>
        <w:t>5.52</w:t>
      </w:r>
      <w:r w:rsidRPr="00883399">
        <w:rPr>
          <w:sz w:val="28"/>
        </w:rPr>
        <w:t xml:space="preserve">  Available methods—emissions of carbon dioxide from waste incineration</w:t>
      </w:r>
      <w:bookmarkEnd w:id="1308"/>
      <w:bookmarkEnd w:id="1309"/>
    </w:p>
    <w:p w14:paraId="5BAACB52" w14:textId="77777777" w:rsidR="00872C03" w:rsidRPr="00883399" w:rsidRDefault="00872C03" w:rsidP="00872C03">
      <w:pPr>
        <w:pStyle w:val="subsection"/>
        <w:rPr>
          <w:sz w:val="24"/>
        </w:rPr>
      </w:pPr>
      <w:r w:rsidRPr="00883399">
        <w:rPr>
          <w:sz w:val="24"/>
        </w:rPr>
        <w:tab/>
        <w:t>(1)</w:t>
      </w:r>
      <w:r w:rsidRPr="00883399">
        <w:rPr>
          <w:sz w:val="24"/>
        </w:rPr>
        <w:tab/>
        <w:t xml:space="preserve">Subject to section 1.18, one of the following methods must be used for estimating emissions of carbon dioxide released from the operation of a facility that is constituted by waste incineration (the </w:t>
      </w:r>
      <w:r w:rsidRPr="00883399">
        <w:rPr>
          <w:b/>
          <w:i/>
          <w:sz w:val="24"/>
        </w:rPr>
        <w:t>plant</w:t>
      </w:r>
      <w:r w:rsidRPr="00883399">
        <w:rPr>
          <w:sz w:val="24"/>
        </w:rPr>
        <w:t>):</w:t>
      </w:r>
    </w:p>
    <w:p w14:paraId="4246DD4F" w14:textId="77777777" w:rsidR="00872C03" w:rsidRPr="00883399" w:rsidRDefault="00872C03" w:rsidP="00872C03">
      <w:pPr>
        <w:pStyle w:val="paragraph"/>
        <w:rPr>
          <w:sz w:val="24"/>
        </w:rPr>
      </w:pPr>
      <w:r w:rsidRPr="00883399">
        <w:rPr>
          <w:sz w:val="24"/>
        </w:rPr>
        <w:tab/>
        <w:t>(a)</w:t>
      </w:r>
      <w:r w:rsidRPr="00883399">
        <w:rPr>
          <w:sz w:val="24"/>
        </w:rPr>
        <w:tab/>
        <w:t>method 1 under section 5.53;</w:t>
      </w:r>
    </w:p>
    <w:p w14:paraId="33A4F558" w14:textId="77777777" w:rsidR="00872C03" w:rsidRPr="00883399" w:rsidRDefault="00872C03" w:rsidP="00872C03">
      <w:pPr>
        <w:pStyle w:val="paragraph"/>
        <w:rPr>
          <w:sz w:val="24"/>
        </w:rPr>
      </w:pPr>
      <w:r w:rsidRPr="00883399">
        <w:rPr>
          <w:sz w:val="24"/>
        </w:rPr>
        <w:tab/>
        <w:t>(b)</w:t>
      </w:r>
      <w:r w:rsidRPr="00883399">
        <w:rPr>
          <w:sz w:val="24"/>
        </w:rPr>
        <w:tab/>
        <w:t>method 4 under Part 1.3.</w:t>
      </w:r>
    </w:p>
    <w:p w14:paraId="5A64FC0C" w14:textId="77777777" w:rsidR="00872C03" w:rsidRPr="00883399" w:rsidRDefault="00872C03" w:rsidP="00872C03">
      <w:pPr>
        <w:pStyle w:val="notetext"/>
        <w:rPr>
          <w:sz w:val="20"/>
        </w:rPr>
      </w:pPr>
      <w:r w:rsidRPr="00883399">
        <w:rPr>
          <w:sz w:val="20"/>
        </w:rPr>
        <w:t>Note:</w:t>
      </w:r>
      <w:r w:rsidRPr="00883399">
        <w:rPr>
          <w:sz w:val="20"/>
        </w:rPr>
        <w:tab/>
        <w:t>There is no method 2 or 3 for this section.</w:t>
      </w:r>
    </w:p>
    <w:p w14:paraId="6F263258" w14:textId="77777777" w:rsidR="00872C03" w:rsidRPr="00883399" w:rsidRDefault="00872C03" w:rsidP="00872C03">
      <w:pPr>
        <w:pStyle w:val="subsection"/>
        <w:rPr>
          <w:sz w:val="24"/>
        </w:rPr>
      </w:pPr>
      <w:r w:rsidRPr="00883399">
        <w:rPr>
          <w:sz w:val="24"/>
        </w:rPr>
        <w:tab/>
        <w:t>(2)</w:t>
      </w:r>
      <w:r w:rsidRPr="00883399">
        <w:rPr>
          <w:sz w:val="24"/>
        </w:rPr>
        <w:tab/>
        <w:t>For incidental emissions, another method may be used that is consistent with the principles in section 1.13.</w:t>
      </w:r>
    </w:p>
    <w:p w14:paraId="27665FF1" w14:textId="76868CC3" w:rsidR="00872C03" w:rsidRPr="00883399" w:rsidRDefault="00872C03" w:rsidP="00872C03">
      <w:pPr>
        <w:pStyle w:val="ActHead5"/>
        <w:rPr>
          <w:sz w:val="28"/>
        </w:rPr>
      </w:pPr>
      <w:bookmarkStart w:id="1310" w:name="_Toc423517234"/>
      <w:bookmarkStart w:id="1311" w:name="_Toc495653178"/>
      <w:r w:rsidRPr="00883399">
        <w:rPr>
          <w:rStyle w:val="CharSectno"/>
          <w:sz w:val="28"/>
        </w:rPr>
        <w:t>5.53</w:t>
      </w:r>
      <w:r w:rsidRPr="00883399">
        <w:rPr>
          <w:sz w:val="28"/>
        </w:rPr>
        <w:t xml:space="preserve">  Method 1—emissions of carbon dioxide released from waste incineration</w:t>
      </w:r>
      <w:bookmarkEnd w:id="1310"/>
      <w:bookmarkEnd w:id="1311"/>
    </w:p>
    <w:p w14:paraId="1D7B71B3" w14:textId="77777777" w:rsidR="00872C03" w:rsidRPr="00883399" w:rsidRDefault="00872C03" w:rsidP="00872C03">
      <w:pPr>
        <w:pStyle w:val="subsection"/>
        <w:rPr>
          <w:sz w:val="24"/>
        </w:rPr>
      </w:pPr>
      <w:r w:rsidRPr="00883399">
        <w:rPr>
          <w:sz w:val="24"/>
        </w:rPr>
        <w:tab/>
        <w:t>(1)</w:t>
      </w:r>
      <w:r w:rsidRPr="00883399">
        <w:rPr>
          <w:sz w:val="24"/>
        </w:rPr>
        <w:tab/>
        <w:t>Method 1 is:</w:t>
      </w:r>
    </w:p>
    <w:p w14:paraId="23C5AF01" w14:textId="11C1BE83" w:rsidR="00872C03" w:rsidRPr="00883399" w:rsidRDefault="00872C03" w:rsidP="00872C03">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7F02AD59" wp14:editId="24C133CF">
            <wp:extent cx="2861945" cy="237490"/>
            <wp:effectExtent l="1905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47"/>
                    <a:srcRect/>
                    <a:stretch>
                      <a:fillRect/>
                    </a:stretch>
                  </pic:blipFill>
                  <pic:spPr bwMode="auto">
                    <a:xfrm>
                      <a:off x="0" y="0"/>
                      <a:ext cx="2861945" cy="237490"/>
                    </a:xfrm>
                    <a:prstGeom prst="rect">
                      <a:avLst/>
                    </a:prstGeom>
                    <a:noFill/>
                    <a:ln w="9525">
                      <a:noFill/>
                      <a:miter lim="800000"/>
                      <a:headEnd/>
                      <a:tailEnd/>
                    </a:ln>
                  </pic:spPr>
                </pic:pic>
              </a:graphicData>
            </a:graphic>
          </wp:inline>
        </w:drawing>
      </w:r>
    </w:p>
    <w:p w14:paraId="71D77E12" w14:textId="77777777" w:rsidR="00872C03" w:rsidRPr="00883399" w:rsidRDefault="00872C03" w:rsidP="00872C03">
      <w:pPr>
        <w:pStyle w:val="subsection2"/>
        <w:rPr>
          <w:sz w:val="24"/>
        </w:rPr>
      </w:pPr>
      <w:r w:rsidRPr="00883399">
        <w:rPr>
          <w:sz w:val="24"/>
        </w:rPr>
        <w:t>where:</w:t>
      </w:r>
    </w:p>
    <w:p w14:paraId="730C6808" w14:textId="77777777" w:rsidR="00872C03" w:rsidRPr="00883399" w:rsidRDefault="00872C03" w:rsidP="00872C03">
      <w:pPr>
        <w:pStyle w:val="Definition0"/>
        <w:rPr>
          <w:sz w:val="24"/>
        </w:rPr>
      </w:pPr>
      <w:r w:rsidRPr="00883399">
        <w:rPr>
          <w:b/>
          <w:i/>
          <w:sz w:val="24"/>
        </w:rPr>
        <w:t>E</w:t>
      </w:r>
      <w:r w:rsidRPr="00883399">
        <w:rPr>
          <w:b/>
          <w:i/>
          <w:sz w:val="24"/>
          <w:vertAlign w:val="subscript"/>
        </w:rPr>
        <w:t>i</w:t>
      </w:r>
      <w:r w:rsidRPr="00883399">
        <w:rPr>
          <w:b/>
          <w:i/>
          <w:sz w:val="24"/>
        </w:rPr>
        <w:t xml:space="preserve"> </w:t>
      </w:r>
      <w:r w:rsidRPr="00883399">
        <w:rPr>
          <w:sz w:val="24"/>
        </w:rPr>
        <w:t>is the emissions of carbon dioxide released from the incineration of waste type (</w:t>
      </w:r>
      <w:r w:rsidRPr="00883399">
        <w:rPr>
          <w:b/>
          <w:i/>
          <w:sz w:val="24"/>
        </w:rPr>
        <w:t>i</w:t>
      </w:r>
      <w:r w:rsidRPr="00883399">
        <w:rPr>
          <w:sz w:val="24"/>
        </w:rPr>
        <w:t>) by the plant during the year measured in CO</w:t>
      </w:r>
      <w:r w:rsidRPr="00883399">
        <w:rPr>
          <w:sz w:val="24"/>
          <w:vertAlign w:val="subscript"/>
        </w:rPr>
        <w:t>2</w:t>
      </w:r>
      <w:r w:rsidRPr="00883399">
        <w:rPr>
          <w:sz w:val="24"/>
        </w:rPr>
        <w:noBreakHyphen/>
        <w:t>e tonnes.</w:t>
      </w:r>
    </w:p>
    <w:p w14:paraId="3DFFDF89" w14:textId="77777777" w:rsidR="00872C03" w:rsidRPr="00883399" w:rsidRDefault="00872C03" w:rsidP="00872C03">
      <w:pPr>
        <w:pStyle w:val="Definition0"/>
        <w:rPr>
          <w:sz w:val="24"/>
        </w:rPr>
      </w:pPr>
      <w:r w:rsidRPr="00883399">
        <w:rPr>
          <w:b/>
          <w:i/>
          <w:sz w:val="24"/>
        </w:rPr>
        <w:t>Q</w:t>
      </w:r>
      <w:r w:rsidRPr="00883399">
        <w:rPr>
          <w:b/>
          <w:i/>
          <w:sz w:val="24"/>
          <w:vertAlign w:val="subscript"/>
        </w:rPr>
        <w:t>i</w:t>
      </w:r>
      <w:r w:rsidRPr="00883399">
        <w:rPr>
          <w:b/>
          <w:i/>
          <w:sz w:val="24"/>
        </w:rPr>
        <w:t xml:space="preserve"> </w:t>
      </w:r>
      <w:r w:rsidRPr="00883399">
        <w:rPr>
          <w:sz w:val="24"/>
        </w:rPr>
        <w:t>is the quantity of waste type (</w:t>
      </w:r>
      <w:r w:rsidRPr="00883399">
        <w:rPr>
          <w:b/>
          <w:i/>
          <w:sz w:val="24"/>
        </w:rPr>
        <w:t>i</w:t>
      </w:r>
      <w:r w:rsidRPr="00883399">
        <w:rPr>
          <w:sz w:val="24"/>
        </w:rPr>
        <w:t>) incinerated by the plant during the year measured in tonnes of wet weight value in accordance with:</w:t>
      </w:r>
    </w:p>
    <w:p w14:paraId="1C2F6283" w14:textId="77777777" w:rsidR="00872C03" w:rsidRPr="00883399" w:rsidRDefault="00872C03" w:rsidP="00872C03">
      <w:pPr>
        <w:pStyle w:val="paragraph"/>
        <w:rPr>
          <w:sz w:val="24"/>
        </w:rPr>
      </w:pPr>
      <w:r w:rsidRPr="00883399">
        <w:rPr>
          <w:sz w:val="24"/>
        </w:rPr>
        <w:tab/>
        <w:t>(a)</w:t>
      </w:r>
      <w:r w:rsidRPr="00883399">
        <w:rPr>
          <w:sz w:val="24"/>
        </w:rPr>
        <w:tab/>
        <w:t>Division 2.2.5 for solid fuels; and</w:t>
      </w:r>
    </w:p>
    <w:p w14:paraId="60E309F7" w14:textId="77777777" w:rsidR="00872C03" w:rsidRPr="00883399" w:rsidRDefault="00872C03" w:rsidP="00872C03">
      <w:pPr>
        <w:pStyle w:val="paragraph"/>
        <w:rPr>
          <w:sz w:val="24"/>
        </w:rPr>
      </w:pPr>
      <w:r w:rsidRPr="00883399">
        <w:rPr>
          <w:sz w:val="24"/>
        </w:rPr>
        <w:tab/>
        <w:t>(b)</w:t>
      </w:r>
      <w:r w:rsidRPr="00883399">
        <w:rPr>
          <w:sz w:val="24"/>
        </w:rPr>
        <w:tab/>
        <w:t xml:space="preserve">Division 2.3.6 for gaseous fuels; and </w:t>
      </w:r>
    </w:p>
    <w:p w14:paraId="0102226C" w14:textId="77777777" w:rsidR="00872C03" w:rsidRPr="00883399" w:rsidRDefault="00872C03" w:rsidP="00872C03">
      <w:pPr>
        <w:pStyle w:val="paragraph"/>
        <w:rPr>
          <w:sz w:val="24"/>
        </w:rPr>
      </w:pPr>
      <w:r w:rsidRPr="00883399">
        <w:rPr>
          <w:sz w:val="24"/>
        </w:rPr>
        <w:tab/>
        <w:t>(c)</w:t>
      </w:r>
      <w:r w:rsidRPr="00883399">
        <w:rPr>
          <w:sz w:val="24"/>
        </w:rPr>
        <w:tab/>
        <w:t>Division 2.4.6 for liquid fuels.</w:t>
      </w:r>
    </w:p>
    <w:p w14:paraId="49EF4CF8" w14:textId="77777777" w:rsidR="00872C03" w:rsidRPr="00883399" w:rsidRDefault="00872C03" w:rsidP="00872C03">
      <w:pPr>
        <w:pStyle w:val="Definition0"/>
        <w:rPr>
          <w:sz w:val="24"/>
        </w:rPr>
      </w:pPr>
      <w:r w:rsidRPr="00883399">
        <w:rPr>
          <w:b/>
          <w:i/>
          <w:sz w:val="24"/>
        </w:rPr>
        <w:t>CC</w:t>
      </w:r>
      <w:r w:rsidRPr="00883399">
        <w:rPr>
          <w:b/>
          <w:i/>
          <w:sz w:val="24"/>
          <w:vertAlign w:val="subscript"/>
        </w:rPr>
        <w:t>i</w:t>
      </w:r>
      <w:r w:rsidRPr="00883399">
        <w:rPr>
          <w:b/>
          <w:i/>
          <w:sz w:val="24"/>
        </w:rPr>
        <w:t xml:space="preserve"> </w:t>
      </w:r>
      <w:r w:rsidRPr="00883399">
        <w:rPr>
          <w:sz w:val="24"/>
        </w:rPr>
        <w:t>is the carbon content of waste type (</w:t>
      </w:r>
      <w:r w:rsidRPr="00883399">
        <w:rPr>
          <w:b/>
          <w:i/>
          <w:sz w:val="24"/>
        </w:rPr>
        <w:t>i</w:t>
      </w:r>
      <w:r w:rsidRPr="00883399">
        <w:rPr>
          <w:sz w:val="24"/>
        </w:rPr>
        <w:t>).</w:t>
      </w:r>
    </w:p>
    <w:p w14:paraId="7C68A7B9" w14:textId="77777777" w:rsidR="00872C03" w:rsidRPr="00883399" w:rsidRDefault="00872C03" w:rsidP="00872C03">
      <w:pPr>
        <w:pStyle w:val="Definition0"/>
        <w:rPr>
          <w:sz w:val="24"/>
        </w:rPr>
      </w:pPr>
      <w:r w:rsidRPr="00883399">
        <w:rPr>
          <w:b/>
          <w:i/>
          <w:sz w:val="24"/>
        </w:rPr>
        <w:t>FCC</w:t>
      </w:r>
      <w:r w:rsidRPr="00883399">
        <w:rPr>
          <w:b/>
          <w:i/>
          <w:sz w:val="24"/>
          <w:vertAlign w:val="subscript"/>
        </w:rPr>
        <w:t>i</w:t>
      </w:r>
      <w:r w:rsidRPr="00883399">
        <w:rPr>
          <w:b/>
          <w:i/>
          <w:sz w:val="24"/>
        </w:rPr>
        <w:t xml:space="preserve"> </w:t>
      </w:r>
      <w:r w:rsidRPr="00883399">
        <w:rPr>
          <w:sz w:val="24"/>
        </w:rPr>
        <w:t>is the proportion of carbon in waste type (</w:t>
      </w:r>
      <w:r w:rsidRPr="00883399">
        <w:rPr>
          <w:b/>
          <w:i/>
          <w:sz w:val="24"/>
        </w:rPr>
        <w:t>i</w:t>
      </w:r>
      <w:r w:rsidRPr="00883399">
        <w:rPr>
          <w:sz w:val="24"/>
        </w:rPr>
        <w:t>) that is of fossil origin.</w:t>
      </w:r>
    </w:p>
    <w:p w14:paraId="55F76382" w14:textId="77777777" w:rsidR="00872C03" w:rsidRPr="00883399" w:rsidRDefault="00872C03" w:rsidP="00872C03">
      <w:pPr>
        <w:pStyle w:val="Definition0"/>
        <w:rPr>
          <w:sz w:val="24"/>
        </w:rPr>
      </w:pPr>
      <w:r w:rsidRPr="00883399">
        <w:rPr>
          <w:b/>
          <w:i/>
          <w:sz w:val="24"/>
        </w:rPr>
        <w:t>OF</w:t>
      </w:r>
      <w:r w:rsidRPr="00883399">
        <w:rPr>
          <w:b/>
          <w:i/>
          <w:sz w:val="24"/>
          <w:vertAlign w:val="subscript"/>
        </w:rPr>
        <w:t>i</w:t>
      </w:r>
      <w:r w:rsidRPr="00883399">
        <w:rPr>
          <w:b/>
          <w:i/>
          <w:sz w:val="24"/>
        </w:rPr>
        <w:t xml:space="preserve"> </w:t>
      </w:r>
      <w:r w:rsidRPr="00883399">
        <w:rPr>
          <w:sz w:val="24"/>
        </w:rPr>
        <w:t>is the oxidation factor for waste type (</w:t>
      </w:r>
      <w:r w:rsidRPr="00883399">
        <w:rPr>
          <w:b/>
          <w:i/>
          <w:sz w:val="24"/>
        </w:rPr>
        <w:t>i</w:t>
      </w:r>
      <w:r w:rsidRPr="00883399">
        <w:rPr>
          <w:sz w:val="24"/>
        </w:rPr>
        <w:t>).</w:t>
      </w:r>
    </w:p>
    <w:p w14:paraId="0EB16372" w14:textId="77777777" w:rsidR="00872C03" w:rsidRPr="00883399" w:rsidRDefault="00872C03" w:rsidP="00872C03">
      <w:pPr>
        <w:pStyle w:val="subsection"/>
        <w:rPr>
          <w:sz w:val="24"/>
        </w:rPr>
      </w:pPr>
      <w:r w:rsidRPr="00883399">
        <w:rPr>
          <w:sz w:val="24"/>
        </w:rPr>
        <w:lastRenderedPageBreak/>
        <w:tab/>
        <w:t>(2)</w:t>
      </w:r>
      <w:r w:rsidRPr="00883399">
        <w:rPr>
          <w:sz w:val="24"/>
        </w:rPr>
        <w:tab/>
        <w:t>If waste materials other than clinical wastes have been incinerated by the plant, appropriate values for the carbon content of the waste material incinerated must be derived from Schedule 3.</w:t>
      </w:r>
    </w:p>
    <w:p w14:paraId="4640D17F" w14:textId="77777777" w:rsidR="00872C03" w:rsidRPr="00883399" w:rsidRDefault="00872C03" w:rsidP="00872C03">
      <w:pPr>
        <w:pStyle w:val="subsection"/>
        <w:rPr>
          <w:sz w:val="24"/>
        </w:rPr>
      </w:pPr>
      <w:r w:rsidRPr="00883399">
        <w:rPr>
          <w:sz w:val="24"/>
        </w:rPr>
        <w:tab/>
        <w:t>(3)</w:t>
      </w:r>
      <w:r w:rsidRPr="00883399">
        <w:rPr>
          <w:sz w:val="24"/>
        </w:rPr>
        <w:tab/>
        <w:t xml:space="preserve">For </w:t>
      </w:r>
      <w:r w:rsidRPr="00883399">
        <w:rPr>
          <w:b/>
          <w:i/>
          <w:sz w:val="24"/>
        </w:rPr>
        <w:t>CC</w:t>
      </w:r>
      <w:r w:rsidRPr="00883399">
        <w:rPr>
          <w:b/>
          <w:i/>
          <w:sz w:val="24"/>
          <w:vertAlign w:val="subscript"/>
        </w:rPr>
        <w:t>i</w:t>
      </w:r>
      <w:r w:rsidRPr="00883399">
        <w:rPr>
          <w:sz w:val="24"/>
        </w:rPr>
        <w:t xml:space="preserve"> in subsection (1), the IPCC default of 0.60 for clinical waste must be used.</w:t>
      </w:r>
    </w:p>
    <w:p w14:paraId="3FB1E11C" w14:textId="77777777" w:rsidR="00872C03" w:rsidRPr="00883399" w:rsidRDefault="00872C03" w:rsidP="00872C03">
      <w:pPr>
        <w:pStyle w:val="subsection"/>
        <w:rPr>
          <w:sz w:val="24"/>
        </w:rPr>
      </w:pPr>
      <w:r w:rsidRPr="00883399">
        <w:rPr>
          <w:sz w:val="24"/>
        </w:rPr>
        <w:tab/>
        <w:t>(4)</w:t>
      </w:r>
      <w:r w:rsidRPr="00883399">
        <w:rPr>
          <w:sz w:val="24"/>
        </w:rPr>
        <w:tab/>
        <w:t xml:space="preserve">For </w:t>
      </w:r>
      <w:r w:rsidRPr="00883399">
        <w:rPr>
          <w:b/>
          <w:i/>
          <w:sz w:val="24"/>
        </w:rPr>
        <w:t>FCC</w:t>
      </w:r>
      <w:r w:rsidRPr="00883399">
        <w:rPr>
          <w:b/>
          <w:i/>
          <w:sz w:val="24"/>
          <w:vertAlign w:val="subscript"/>
        </w:rPr>
        <w:t>i</w:t>
      </w:r>
      <w:r w:rsidRPr="00883399">
        <w:rPr>
          <w:sz w:val="24"/>
          <w:vertAlign w:val="subscript"/>
        </w:rPr>
        <w:t xml:space="preserve"> </w:t>
      </w:r>
      <w:r w:rsidRPr="00883399">
        <w:rPr>
          <w:sz w:val="24"/>
        </w:rPr>
        <w:t>in subsection (1), the IPCC default of 0.40 for clinical waste must be used.</w:t>
      </w:r>
    </w:p>
    <w:p w14:paraId="2615BF32" w14:textId="77777777" w:rsidR="00872C03" w:rsidRPr="00883399" w:rsidRDefault="00872C03" w:rsidP="00872C03">
      <w:pPr>
        <w:pStyle w:val="subsection"/>
        <w:rPr>
          <w:sz w:val="24"/>
        </w:rPr>
      </w:pPr>
      <w:r w:rsidRPr="00883399">
        <w:rPr>
          <w:sz w:val="24"/>
        </w:rPr>
        <w:tab/>
        <w:t>(5)</w:t>
      </w:r>
      <w:r w:rsidRPr="00883399">
        <w:rPr>
          <w:sz w:val="24"/>
        </w:rPr>
        <w:tab/>
        <w:t xml:space="preserve">For </w:t>
      </w:r>
      <w:r w:rsidRPr="00883399">
        <w:rPr>
          <w:b/>
          <w:i/>
          <w:sz w:val="24"/>
        </w:rPr>
        <w:t>OF</w:t>
      </w:r>
      <w:r w:rsidRPr="00883399">
        <w:rPr>
          <w:b/>
          <w:i/>
          <w:sz w:val="24"/>
          <w:vertAlign w:val="subscript"/>
        </w:rPr>
        <w:t>i</w:t>
      </w:r>
      <w:r w:rsidRPr="00883399">
        <w:rPr>
          <w:sz w:val="24"/>
        </w:rPr>
        <w:t xml:space="preserve"> in subsection (1), the IPCC default of 1.00 for clinical waste must be used.</w:t>
      </w:r>
    </w:p>
    <w:p w14:paraId="2B54BAB4" w14:textId="6A72BBEB" w:rsidR="00872C03" w:rsidRPr="00883399" w:rsidRDefault="00872C03" w:rsidP="00872C03">
      <w:pPr>
        <w:pStyle w:val="ActHead1"/>
        <w:pageBreakBefore/>
        <w:rPr>
          <w:sz w:val="40"/>
        </w:rPr>
      </w:pPr>
      <w:bookmarkStart w:id="1312" w:name="_Toc423517235"/>
      <w:bookmarkStart w:id="1313" w:name="_Toc495653179"/>
      <w:r w:rsidRPr="00883399">
        <w:rPr>
          <w:rStyle w:val="CharChapNo"/>
          <w:sz w:val="40"/>
        </w:rPr>
        <w:lastRenderedPageBreak/>
        <w:t>Chapter 6</w:t>
      </w:r>
      <w:r w:rsidRPr="00883399">
        <w:rPr>
          <w:sz w:val="40"/>
        </w:rPr>
        <w:t>—</w:t>
      </w:r>
      <w:r w:rsidRPr="00883399">
        <w:rPr>
          <w:rStyle w:val="CharChapText"/>
          <w:sz w:val="40"/>
        </w:rPr>
        <w:t>Energy</w:t>
      </w:r>
      <w:bookmarkEnd w:id="1312"/>
      <w:bookmarkEnd w:id="1313"/>
    </w:p>
    <w:p w14:paraId="6C8B678D" w14:textId="2ECFE911" w:rsidR="00872C03" w:rsidRPr="00883399" w:rsidRDefault="00872C03" w:rsidP="00872C03">
      <w:pPr>
        <w:pStyle w:val="ActHead2"/>
        <w:rPr>
          <w:sz w:val="36"/>
        </w:rPr>
      </w:pPr>
      <w:bookmarkStart w:id="1314" w:name="_Toc423517236"/>
      <w:bookmarkStart w:id="1315" w:name="_Toc495653180"/>
      <w:r w:rsidRPr="00883399">
        <w:rPr>
          <w:rStyle w:val="CharPartNo"/>
          <w:sz w:val="36"/>
        </w:rPr>
        <w:t>Part 6.1</w:t>
      </w:r>
      <w:r w:rsidRPr="00883399">
        <w:rPr>
          <w:sz w:val="36"/>
        </w:rPr>
        <w:t>—</w:t>
      </w:r>
      <w:r w:rsidRPr="00883399">
        <w:rPr>
          <w:rStyle w:val="CharPartText"/>
          <w:sz w:val="36"/>
        </w:rPr>
        <w:t>Production</w:t>
      </w:r>
      <w:bookmarkEnd w:id="1314"/>
      <w:bookmarkEnd w:id="1315"/>
    </w:p>
    <w:p w14:paraId="3B107619" w14:textId="77777777" w:rsidR="00872C03" w:rsidRPr="00883399" w:rsidRDefault="00872C03" w:rsidP="00872C03">
      <w:pPr>
        <w:pStyle w:val="Header"/>
        <w:rPr>
          <w:sz w:val="18"/>
        </w:rPr>
      </w:pPr>
      <w:r w:rsidRPr="00883399">
        <w:rPr>
          <w:rStyle w:val="CharDivNo"/>
          <w:sz w:val="18"/>
        </w:rPr>
        <w:t xml:space="preserve"> </w:t>
      </w:r>
      <w:r w:rsidRPr="00883399">
        <w:rPr>
          <w:rStyle w:val="CharDivText"/>
          <w:sz w:val="18"/>
        </w:rPr>
        <w:t xml:space="preserve"> </w:t>
      </w:r>
    </w:p>
    <w:p w14:paraId="018F69E3" w14:textId="6423DC18" w:rsidR="00872C03" w:rsidRPr="00883399" w:rsidRDefault="00872C03" w:rsidP="00872C03">
      <w:pPr>
        <w:pStyle w:val="ActHead5"/>
        <w:rPr>
          <w:sz w:val="28"/>
        </w:rPr>
      </w:pPr>
      <w:bookmarkStart w:id="1316" w:name="_Toc423517237"/>
      <w:bookmarkStart w:id="1317" w:name="_Toc495653181"/>
      <w:r w:rsidRPr="00883399">
        <w:rPr>
          <w:rStyle w:val="CharSectno"/>
          <w:sz w:val="28"/>
        </w:rPr>
        <w:t>6.1</w:t>
      </w:r>
      <w:r w:rsidRPr="00883399">
        <w:rPr>
          <w:sz w:val="28"/>
        </w:rPr>
        <w:t xml:space="preserve">  Purpose</w:t>
      </w:r>
      <w:bookmarkEnd w:id="1316"/>
      <w:bookmarkEnd w:id="1317"/>
    </w:p>
    <w:p w14:paraId="75DDE3E8" w14:textId="77777777" w:rsidR="00872C03" w:rsidRPr="00883399" w:rsidRDefault="00872C03" w:rsidP="00872C03">
      <w:pPr>
        <w:pStyle w:val="subsection"/>
        <w:rPr>
          <w:sz w:val="24"/>
        </w:rPr>
      </w:pPr>
      <w:r w:rsidRPr="00883399">
        <w:rPr>
          <w:sz w:val="24"/>
        </w:rPr>
        <w:tab/>
      </w:r>
      <w:r w:rsidRPr="00883399">
        <w:rPr>
          <w:sz w:val="24"/>
        </w:rPr>
        <w:tab/>
        <w:t>The purpose of this Part is to provide for the estimation of the energy content of energy produced from the operation of a facility during a year.</w:t>
      </w:r>
    </w:p>
    <w:p w14:paraId="5C7D2F32" w14:textId="77777777" w:rsidR="00872C03" w:rsidRPr="00883399" w:rsidRDefault="00872C03" w:rsidP="00872C03">
      <w:pPr>
        <w:pStyle w:val="notetext"/>
        <w:rPr>
          <w:sz w:val="20"/>
        </w:rPr>
      </w:pPr>
      <w:r w:rsidRPr="00883399">
        <w:rPr>
          <w:sz w:val="20"/>
        </w:rPr>
        <w:t>Note 1:</w:t>
      </w:r>
      <w:r w:rsidRPr="00883399">
        <w:rPr>
          <w:sz w:val="20"/>
        </w:rPr>
        <w:tab/>
        <w:t>Energy produced from the operation of a facility is dealt with in regulation 2.25 of the Regulations.</w:t>
      </w:r>
    </w:p>
    <w:p w14:paraId="4988768B" w14:textId="77777777" w:rsidR="00872C03" w:rsidRPr="00883399" w:rsidRDefault="00872C03" w:rsidP="00872C03">
      <w:pPr>
        <w:pStyle w:val="notetext"/>
        <w:rPr>
          <w:sz w:val="20"/>
        </w:rPr>
      </w:pPr>
      <w:r w:rsidRPr="00883399">
        <w:rPr>
          <w:sz w:val="20"/>
        </w:rPr>
        <w:t>Note 2:</w:t>
      </w:r>
      <w:r w:rsidRPr="00883399">
        <w:rPr>
          <w:sz w:val="20"/>
        </w:rPr>
        <w:tab/>
        <w:t xml:space="preserve">Energy includes the fuels and energy commodities listed in Schedule 1 to the Regulations. See the definition of </w:t>
      </w:r>
      <w:r w:rsidRPr="00883399">
        <w:rPr>
          <w:b/>
          <w:i/>
          <w:sz w:val="20"/>
        </w:rPr>
        <w:t>energy</w:t>
      </w:r>
      <w:r w:rsidRPr="00883399">
        <w:rPr>
          <w:sz w:val="20"/>
        </w:rPr>
        <w:t xml:space="preserve"> in section 7 of the Act and in regulation 2.03 of the Regulations.</w:t>
      </w:r>
    </w:p>
    <w:p w14:paraId="1338831F" w14:textId="6955013A" w:rsidR="00872C03" w:rsidRPr="00883399" w:rsidRDefault="00872C03" w:rsidP="00872C03">
      <w:pPr>
        <w:pStyle w:val="ActHead5"/>
        <w:rPr>
          <w:sz w:val="28"/>
        </w:rPr>
      </w:pPr>
      <w:bookmarkStart w:id="1318" w:name="_Toc423517238"/>
      <w:bookmarkStart w:id="1319" w:name="_Toc495653182"/>
      <w:r w:rsidRPr="00883399">
        <w:rPr>
          <w:rStyle w:val="CharSectno"/>
          <w:sz w:val="28"/>
        </w:rPr>
        <w:t>6.2</w:t>
      </w:r>
      <w:r w:rsidRPr="00883399">
        <w:rPr>
          <w:sz w:val="28"/>
        </w:rPr>
        <w:t xml:space="preserve">  Quantity of energy produced</w:t>
      </w:r>
      <w:bookmarkEnd w:id="1318"/>
      <w:bookmarkEnd w:id="1319"/>
    </w:p>
    <w:p w14:paraId="7A0B00D1" w14:textId="77777777" w:rsidR="0000292E" w:rsidRPr="00E25764" w:rsidRDefault="00872C03" w:rsidP="0000292E">
      <w:pPr>
        <w:pStyle w:val="subsection"/>
      </w:pPr>
      <w:r w:rsidRPr="00883399">
        <w:rPr>
          <w:sz w:val="24"/>
        </w:rPr>
        <w:tab/>
      </w:r>
      <w:r w:rsidR="0000292E" w:rsidRPr="00883399">
        <w:t>(1)</w:t>
      </w:r>
      <w:r w:rsidR="0000292E" w:rsidRPr="00883399">
        <w:tab/>
        <w:t xml:space="preserve">The </w:t>
      </w:r>
      <w:r w:rsidR="0000292E" w:rsidRPr="00E25764">
        <w:t>quantity of an energy produced from the operation of the facility during the year must be estimated:</w:t>
      </w:r>
    </w:p>
    <w:p w14:paraId="132B59D9" w14:textId="77777777" w:rsidR="0000292E" w:rsidRPr="00E25764" w:rsidRDefault="0000292E" w:rsidP="0000292E">
      <w:pPr>
        <w:tabs>
          <w:tab w:val="right" w:pos="1531"/>
        </w:tabs>
        <w:spacing w:before="40" w:after="0" w:line="240" w:lineRule="auto"/>
        <w:ind w:left="1644" w:hanging="1644"/>
        <w:rPr>
          <w:i/>
          <w:sz w:val="22"/>
          <w:szCs w:val="20"/>
        </w:rPr>
      </w:pPr>
      <w:r w:rsidRPr="00E25764">
        <w:rPr>
          <w:sz w:val="22"/>
          <w:szCs w:val="20"/>
        </w:rPr>
        <w:tab/>
        <w:t>(a)</w:t>
      </w:r>
      <w:r w:rsidRPr="00E25764">
        <w:rPr>
          <w:sz w:val="22"/>
          <w:szCs w:val="20"/>
        </w:rPr>
        <w:tab/>
        <w:t>if the energy is a solid fuel, gaseous fuel, sulphur, uranium or hydrogen—in accordance with industry practice; or</w:t>
      </w:r>
    </w:p>
    <w:p w14:paraId="0122A07E" w14:textId="77777777" w:rsidR="0000292E" w:rsidRPr="00E25764" w:rsidRDefault="0000292E" w:rsidP="0000292E">
      <w:pPr>
        <w:tabs>
          <w:tab w:val="right" w:pos="1531"/>
        </w:tabs>
        <w:spacing w:before="40" w:after="0" w:line="240" w:lineRule="auto"/>
        <w:ind w:left="1644" w:hanging="1644"/>
        <w:rPr>
          <w:sz w:val="22"/>
          <w:szCs w:val="20"/>
        </w:rPr>
      </w:pPr>
      <w:r w:rsidRPr="00E25764">
        <w:rPr>
          <w:sz w:val="22"/>
          <w:szCs w:val="20"/>
        </w:rPr>
        <w:tab/>
        <w:t>(b)</w:t>
      </w:r>
      <w:r w:rsidRPr="00E25764">
        <w:rPr>
          <w:sz w:val="22"/>
          <w:szCs w:val="20"/>
        </w:rPr>
        <w:tab/>
        <w:t>if the energy is a liquid fuel—by either of the following:</w:t>
      </w:r>
    </w:p>
    <w:p w14:paraId="2873C044" w14:textId="77777777" w:rsidR="0000292E" w:rsidRPr="00883399" w:rsidRDefault="0000292E" w:rsidP="0000292E">
      <w:pPr>
        <w:tabs>
          <w:tab w:val="right" w:pos="1985"/>
        </w:tabs>
        <w:spacing w:before="40" w:after="0" w:line="240" w:lineRule="auto"/>
        <w:ind w:left="2098" w:hanging="2098"/>
        <w:rPr>
          <w:sz w:val="22"/>
          <w:szCs w:val="20"/>
        </w:rPr>
      </w:pPr>
      <w:r w:rsidRPr="00E25764">
        <w:rPr>
          <w:sz w:val="22"/>
          <w:szCs w:val="20"/>
        </w:rPr>
        <w:tab/>
        <w:t>(i)</w:t>
      </w:r>
      <w:r w:rsidRPr="00E25764">
        <w:rPr>
          <w:sz w:val="22"/>
          <w:szCs w:val="20"/>
        </w:rPr>
        <w:tab/>
        <w:t xml:space="preserve">using </w:t>
      </w:r>
      <w:r w:rsidRPr="00883399">
        <w:rPr>
          <w:sz w:val="22"/>
          <w:szCs w:val="20"/>
        </w:rPr>
        <w:t>bulk filling meters corrected to 15° celsius;</w:t>
      </w:r>
    </w:p>
    <w:p w14:paraId="7BA3B6E9" w14:textId="77777777" w:rsidR="0000292E" w:rsidRPr="00883399" w:rsidRDefault="0000292E" w:rsidP="0000292E">
      <w:pPr>
        <w:tabs>
          <w:tab w:val="right" w:pos="1985"/>
        </w:tabs>
        <w:spacing w:before="40" w:after="0" w:line="240" w:lineRule="auto"/>
        <w:ind w:left="2098" w:hanging="2098"/>
        <w:rPr>
          <w:sz w:val="22"/>
          <w:szCs w:val="20"/>
        </w:rPr>
      </w:pPr>
      <w:r w:rsidRPr="00883399">
        <w:rPr>
          <w:sz w:val="22"/>
          <w:szCs w:val="20"/>
        </w:rPr>
        <w:tab/>
        <w:t>(ii)</w:t>
      </w:r>
      <w:r w:rsidRPr="00883399">
        <w:rPr>
          <w:sz w:val="22"/>
          <w:szCs w:val="20"/>
        </w:rPr>
        <w:tab/>
        <w:t>by the physical measurement of the fuel corrected to its notional volumetric equivalent at a temperature of 15° Celsius; or</w:t>
      </w:r>
    </w:p>
    <w:p w14:paraId="52ACF58D" w14:textId="77777777" w:rsidR="0000292E" w:rsidRPr="00883399" w:rsidRDefault="0000292E" w:rsidP="0000292E">
      <w:pPr>
        <w:tabs>
          <w:tab w:val="right" w:pos="1531"/>
        </w:tabs>
        <w:spacing w:before="40" w:after="0" w:line="240" w:lineRule="auto"/>
        <w:ind w:left="1644" w:hanging="1644"/>
        <w:rPr>
          <w:sz w:val="22"/>
          <w:szCs w:val="20"/>
        </w:rPr>
      </w:pPr>
      <w:r w:rsidRPr="00883399">
        <w:rPr>
          <w:sz w:val="22"/>
          <w:szCs w:val="20"/>
        </w:rPr>
        <w:tab/>
        <w:t>(c)</w:t>
      </w:r>
      <w:r w:rsidRPr="00883399">
        <w:rPr>
          <w:sz w:val="22"/>
          <w:szCs w:val="20"/>
        </w:rPr>
        <w:tab/>
        <w:t>if the energy is electricity produced for use during the operation of the facility—as the difference between:</w:t>
      </w:r>
    </w:p>
    <w:p w14:paraId="50550FD8" w14:textId="77777777" w:rsidR="0000292E" w:rsidRPr="00883399" w:rsidRDefault="0000292E" w:rsidP="0000292E">
      <w:pPr>
        <w:tabs>
          <w:tab w:val="right" w:pos="1985"/>
        </w:tabs>
        <w:spacing w:before="40" w:after="0" w:line="240" w:lineRule="auto"/>
        <w:ind w:left="2098" w:hanging="2098"/>
        <w:rPr>
          <w:sz w:val="22"/>
          <w:szCs w:val="20"/>
        </w:rPr>
      </w:pPr>
      <w:r w:rsidRPr="00883399">
        <w:rPr>
          <w:sz w:val="22"/>
          <w:szCs w:val="20"/>
        </w:rPr>
        <w:tab/>
        <w:t>(i)</w:t>
      </w:r>
      <w:r w:rsidRPr="00883399">
        <w:rPr>
          <w:sz w:val="22"/>
          <w:szCs w:val="20"/>
        </w:rPr>
        <w:tab/>
        <w:t>the amount of electricity produced by the electricity generating unit for the facility as measured at the unit’s terminals; and</w:t>
      </w:r>
    </w:p>
    <w:p w14:paraId="6A4DA157" w14:textId="77777777" w:rsidR="0000292E" w:rsidRPr="00883399" w:rsidRDefault="0000292E" w:rsidP="0000292E">
      <w:pPr>
        <w:tabs>
          <w:tab w:val="right" w:pos="1985"/>
        </w:tabs>
        <w:spacing w:before="40" w:after="0" w:line="240" w:lineRule="auto"/>
        <w:ind w:left="2098" w:hanging="2098"/>
        <w:rPr>
          <w:sz w:val="22"/>
          <w:szCs w:val="20"/>
        </w:rPr>
      </w:pPr>
      <w:r w:rsidRPr="00883399">
        <w:rPr>
          <w:sz w:val="22"/>
          <w:szCs w:val="20"/>
        </w:rPr>
        <w:tab/>
        <w:t>(ii)</w:t>
      </w:r>
      <w:r w:rsidRPr="00883399">
        <w:rPr>
          <w:sz w:val="22"/>
          <w:szCs w:val="20"/>
        </w:rPr>
        <w:tab/>
        <w:t>the sum of the amounts of electricity supplied to an electricity transmission or distribution network measured at the connection point for the network in accordance with either of the measurement requirements specified in subsection (3) and the amount of electricity supplied for use outside the operation of the facility that is not supplied to the network; or</w:t>
      </w:r>
    </w:p>
    <w:p w14:paraId="3F337892" w14:textId="77777777" w:rsidR="0000292E" w:rsidRPr="00883399" w:rsidRDefault="0000292E" w:rsidP="0000292E">
      <w:pPr>
        <w:tabs>
          <w:tab w:val="right" w:pos="1531"/>
        </w:tabs>
        <w:spacing w:before="40" w:after="0" w:line="240" w:lineRule="auto"/>
        <w:ind w:left="1644" w:hanging="1644"/>
        <w:rPr>
          <w:sz w:val="22"/>
          <w:szCs w:val="20"/>
        </w:rPr>
      </w:pPr>
      <w:r w:rsidRPr="00883399">
        <w:rPr>
          <w:sz w:val="22"/>
          <w:szCs w:val="20"/>
        </w:rPr>
        <w:tab/>
        <w:t>(d)</w:t>
      </w:r>
      <w:r w:rsidRPr="00883399">
        <w:rPr>
          <w:sz w:val="22"/>
          <w:szCs w:val="20"/>
        </w:rPr>
        <w:tab/>
        <w:t>if the energy is electricity produced for use outside the operation of the facility other than for supply to an electricity transmission network or distribution network—as the amount of electricity supplied for use outside the operation of the facility that is not supplied to an electricity transmission or distribution network; or</w:t>
      </w:r>
    </w:p>
    <w:p w14:paraId="34A55D72" w14:textId="77777777" w:rsidR="0000292E" w:rsidRPr="00883399" w:rsidRDefault="0000292E" w:rsidP="0000292E">
      <w:pPr>
        <w:tabs>
          <w:tab w:val="right" w:pos="1531"/>
        </w:tabs>
        <w:spacing w:before="40" w:after="0" w:line="240" w:lineRule="auto"/>
        <w:ind w:left="1644" w:hanging="1644"/>
        <w:rPr>
          <w:sz w:val="22"/>
          <w:szCs w:val="20"/>
        </w:rPr>
      </w:pPr>
      <w:r w:rsidRPr="00883399">
        <w:rPr>
          <w:sz w:val="22"/>
          <w:szCs w:val="20"/>
        </w:rPr>
        <w:tab/>
        <w:t>(e)</w:t>
      </w:r>
      <w:r w:rsidRPr="00883399">
        <w:rPr>
          <w:sz w:val="22"/>
          <w:szCs w:val="20"/>
        </w:rPr>
        <w:tab/>
        <w:t xml:space="preserve">if the energy is electricity supplied to an electricity transmission or distribution network—as the amount of electricity for use outside the operation of the facility for supply to the network measured at the </w:t>
      </w:r>
      <w:r w:rsidRPr="00883399">
        <w:rPr>
          <w:sz w:val="22"/>
          <w:szCs w:val="20"/>
        </w:rPr>
        <w:lastRenderedPageBreak/>
        <w:t>connection point for the network in accordance with either of the measurement requirements specified in subsection (3).</w:t>
      </w:r>
    </w:p>
    <w:p w14:paraId="46FEA12D" w14:textId="77777777" w:rsidR="00872C03" w:rsidRPr="00883399" w:rsidRDefault="00872C03" w:rsidP="0000292E">
      <w:pPr>
        <w:pStyle w:val="subsection"/>
        <w:rPr>
          <w:sz w:val="20"/>
        </w:rPr>
      </w:pPr>
      <w:r w:rsidRPr="00883399">
        <w:rPr>
          <w:sz w:val="20"/>
        </w:rPr>
        <w:t>Note:</w:t>
      </w:r>
      <w:r w:rsidRPr="00883399">
        <w:rPr>
          <w:sz w:val="20"/>
        </w:rPr>
        <w:tab/>
        <w:t xml:space="preserve">Energy includes the fuels and energy commodities listed in Schedule 1 to the Regulations. See the definition of </w:t>
      </w:r>
      <w:r w:rsidRPr="00883399">
        <w:rPr>
          <w:b/>
          <w:i/>
          <w:sz w:val="20"/>
        </w:rPr>
        <w:t>energy</w:t>
      </w:r>
      <w:r w:rsidRPr="00883399">
        <w:rPr>
          <w:sz w:val="20"/>
        </w:rPr>
        <w:t xml:space="preserve"> in section 7 of the Act and regulation 2.03 of the Regulations.</w:t>
      </w:r>
    </w:p>
    <w:p w14:paraId="317A0F1E" w14:textId="77777777" w:rsidR="00872C03" w:rsidRPr="00883399" w:rsidRDefault="00872C03" w:rsidP="00872C03">
      <w:pPr>
        <w:pStyle w:val="subsection"/>
        <w:rPr>
          <w:sz w:val="24"/>
        </w:rPr>
      </w:pPr>
      <w:r w:rsidRPr="00883399">
        <w:rPr>
          <w:sz w:val="24"/>
        </w:rPr>
        <w:tab/>
        <w:t>(1A)</w:t>
      </w:r>
      <w:r w:rsidRPr="00883399">
        <w:rPr>
          <w:sz w:val="24"/>
        </w:rPr>
        <w:tab/>
        <w:t>For incidental energy production, another method may be used that is consistent with the principles in section 1.13.</w:t>
      </w:r>
    </w:p>
    <w:p w14:paraId="32A2CE96" w14:textId="77777777" w:rsidR="00872C03" w:rsidRPr="00883399" w:rsidRDefault="00872C03" w:rsidP="00872C03">
      <w:pPr>
        <w:pStyle w:val="subsection"/>
        <w:rPr>
          <w:sz w:val="24"/>
        </w:rPr>
      </w:pPr>
      <w:r w:rsidRPr="00883399">
        <w:rPr>
          <w:sz w:val="24"/>
        </w:rPr>
        <w:tab/>
        <w:t>(2)</w:t>
      </w:r>
      <w:r w:rsidRPr="00883399">
        <w:rPr>
          <w:sz w:val="24"/>
        </w:rPr>
        <w:tab/>
        <w:t>For subsection (1), if the fuel is coal, its quantity must be estimated in the form of saleable coal on a washed basis.</w:t>
      </w:r>
    </w:p>
    <w:p w14:paraId="2ADC1E6B" w14:textId="77777777" w:rsidR="00872C03" w:rsidRPr="00883399" w:rsidRDefault="00872C03" w:rsidP="00872C03">
      <w:pPr>
        <w:pStyle w:val="subsection"/>
        <w:rPr>
          <w:sz w:val="24"/>
        </w:rPr>
      </w:pPr>
      <w:r w:rsidRPr="00883399">
        <w:rPr>
          <w:sz w:val="24"/>
        </w:rPr>
        <w:tab/>
        <w:t>(3)</w:t>
      </w:r>
      <w:r w:rsidRPr="00883399">
        <w:rPr>
          <w:sz w:val="24"/>
        </w:rPr>
        <w:tab/>
        <w:t>For paragraphs (1)(c) and (e), the measurement requirements are as follows:</w:t>
      </w:r>
    </w:p>
    <w:p w14:paraId="5987C51D" w14:textId="77777777" w:rsidR="00872C03" w:rsidRPr="00883399" w:rsidRDefault="00872C03" w:rsidP="00872C03">
      <w:pPr>
        <w:pStyle w:val="paragraph"/>
        <w:rPr>
          <w:sz w:val="24"/>
        </w:rPr>
      </w:pPr>
      <w:r w:rsidRPr="00883399">
        <w:rPr>
          <w:sz w:val="24"/>
        </w:rPr>
        <w:tab/>
        <w:t>(a)</w:t>
      </w:r>
      <w:r w:rsidRPr="00883399">
        <w:rPr>
          <w:sz w:val="24"/>
        </w:rPr>
        <w:tab/>
        <w:t xml:space="preserve">Chapter 7 of the </w:t>
      </w:r>
      <w:r w:rsidRPr="00883399">
        <w:rPr>
          <w:i/>
          <w:sz w:val="24"/>
        </w:rPr>
        <w:t xml:space="preserve">National Electricity Rules </w:t>
      </w:r>
      <w:r w:rsidRPr="00883399">
        <w:rPr>
          <w:sz w:val="24"/>
        </w:rPr>
        <w:t xml:space="preserve">made under the National Electricity Law set out in the </w:t>
      </w:r>
      <w:r w:rsidRPr="00883399">
        <w:rPr>
          <w:i/>
          <w:sz w:val="24"/>
        </w:rPr>
        <w:t>National Electricity (South Australia) Act 1996</w:t>
      </w:r>
      <w:r w:rsidRPr="00883399">
        <w:rPr>
          <w:sz w:val="24"/>
        </w:rPr>
        <w:t>;</w:t>
      </w:r>
    </w:p>
    <w:p w14:paraId="48A1C5FF" w14:textId="77777777" w:rsidR="00872C03" w:rsidRPr="00883399" w:rsidRDefault="00872C03" w:rsidP="00872C03">
      <w:pPr>
        <w:pStyle w:val="paragraph"/>
        <w:rPr>
          <w:sz w:val="24"/>
        </w:rPr>
      </w:pPr>
      <w:r w:rsidRPr="00883399">
        <w:rPr>
          <w:sz w:val="24"/>
        </w:rPr>
        <w:tab/>
        <w:t>(b)</w:t>
      </w:r>
      <w:r w:rsidRPr="00883399">
        <w:rPr>
          <w:sz w:val="24"/>
        </w:rPr>
        <w:tab/>
        <w:t>metering requirements applicable to the region in which the facility is located.</w:t>
      </w:r>
    </w:p>
    <w:p w14:paraId="0135A706" w14:textId="77777777" w:rsidR="00A96BC3" w:rsidRPr="00883399" w:rsidRDefault="00A96BC3" w:rsidP="00002D0E">
      <w:pPr>
        <w:pStyle w:val="Text"/>
        <w:rPr>
          <w:rFonts w:ascii="Arial" w:hAnsi="Arial" w:cs="Arial"/>
          <w:sz w:val="22"/>
          <w:szCs w:val="22"/>
        </w:rPr>
      </w:pPr>
      <w:bookmarkStart w:id="1320" w:name="_Toc423517239"/>
      <w:r w:rsidRPr="00883399">
        <w:rPr>
          <w:rFonts w:ascii="Arial" w:hAnsi="Arial" w:cs="Arial"/>
          <w:sz w:val="22"/>
          <w:szCs w:val="22"/>
        </w:rPr>
        <w:t>The requirement to report the production and consumption of the energy commodities hydrogen, sulphur and uranium does not apply where the hydrogen, uranium, or sulphur is present within another fuel or energy commodity listed in Schedule 1 of the NGER regulations (e.g. hydrogen in natural gas), or where another chemical substance, in which it exists in a molecularly bonded form, is consumed (e.g. sulphur in sulphuric acid).</w:t>
      </w:r>
    </w:p>
    <w:p w14:paraId="02554D6D" w14:textId="77777777" w:rsidR="00002D0E" w:rsidRPr="00883399" w:rsidRDefault="00002D0E" w:rsidP="00002D0E">
      <w:pPr>
        <w:pStyle w:val="Text"/>
        <w:rPr>
          <w:rFonts w:ascii="Arial" w:hAnsi="Arial" w:cs="Arial"/>
          <w:sz w:val="22"/>
          <w:szCs w:val="22"/>
        </w:rPr>
      </w:pPr>
      <w:r w:rsidRPr="00883399">
        <w:rPr>
          <w:rFonts w:ascii="Arial" w:hAnsi="Arial" w:cs="Arial"/>
          <w:sz w:val="22"/>
          <w:szCs w:val="22"/>
        </w:rPr>
        <w:t xml:space="preserve">An example of metering requirements applicable to a region is the </w:t>
      </w:r>
      <w:hyperlink r:id="rId348" w:history="1">
        <w:r w:rsidRPr="00883399">
          <w:rPr>
            <w:rStyle w:val="Hyperlink"/>
            <w:rFonts w:ascii="Arial" w:hAnsi="Arial" w:cs="Arial"/>
            <w:i/>
            <w:color w:val="auto"/>
            <w:sz w:val="22"/>
            <w:szCs w:val="22"/>
            <w:u w:val="none"/>
          </w:rPr>
          <w:t>Wholesale Electricity Market Amending Rules</w:t>
        </w:r>
      </w:hyperlink>
      <w:r w:rsidRPr="00883399">
        <w:rPr>
          <w:rFonts w:ascii="Arial" w:hAnsi="Arial" w:cs="Arial"/>
          <w:sz w:val="22"/>
          <w:szCs w:val="22"/>
        </w:rPr>
        <w:t xml:space="preserve"> in Western Australia’s South West Interconnected System. </w:t>
      </w:r>
    </w:p>
    <w:p w14:paraId="1D880393" w14:textId="77777777" w:rsidR="00002D0E" w:rsidRPr="00883399" w:rsidRDefault="00002D0E" w:rsidP="00002D0E">
      <w:pPr>
        <w:pStyle w:val="Text"/>
        <w:rPr>
          <w:rFonts w:ascii="Arial" w:hAnsi="Arial" w:cs="Arial"/>
          <w:sz w:val="22"/>
          <w:szCs w:val="22"/>
        </w:rPr>
      </w:pPr>
      <w:r w:rsidRPr="00883399">
        <w:rPr>
          <w:rFonts w:ascii="Arial" w:hAnsi="Arial" w:cs="Arial"/>
          <w:sz w:val="22"/>
          <w:szCs w:val="22"/>
        </w:rPr>
        <w:t xml:space="preserve">The requirements above are generally sourced from definitions contained in the National Electricity Rules and measurement requirements from the </w:t>
      </w:r>
      <w:r w:rsidRPr="00883399">
        <w:rPr>
          <w:rFonts w:ascii="Arial" w:hAnsi="Arial" w:cs="Arial"/>
          <w:i/>
          <w:sz w:val="22"/>
          <w:szCs w:val="22"/>
        </w:rPr>
        <w:t xml:space="preserve">Generator Efficiency Standards </w:t>
      </w:r>
      <w:r w:rsidRPr="00883399">
        <w:rPr>
          <w:rFonts w:ascii="Arial" w:hAnsi="Arial" w:cs="Arial"/>
          <w:sz w:val="22"/>
          <w:szCs w:val="22"/>
        </w:rPr>
        <w:t xml:space="preserve">program. </w:t>
      </w:r>
    </w:p>
    <w:p w14:paraId="05FDED7E" w14:textId="77777777" w:rsidR="00002D0E" w:rsidRPr="00883399" w:rsidRDefault="00002D0E" w:rsidP="00002D0E">
      <w:pPr>
        <w:pStyle w:val="Text"/>
        <w:rPr>
          <w:rFonts w:ascii="Arial" w:hAnsi="Arial" w:cs="Arial"/>
          <w:sz w:val="22"/>
          <w:szCs w:val="22"/>
        </w:rPr>
      </w:pPr>
      <w:r w:rsidRPr="00883399">
        <w:rPr>
          <w:rFonts w:ascii="Arial" w:hAnsi="Arial" w:cs="Arial"/>
          <w:sz w:val="22"/>
          <w:szCs w:val="22"/>
        </w:rPr>
        <w:t>The metering requirements specified in 6.2 (3) apply to the measurement of electricity supplied to an electricity transmission and distribution network measured at the connection point to the network.</w:t>
      </w:r>
    </w:p>
    <w:p w14:paraId="798C9FBF" w14:textId="77777777" w:rsidR="00002D0E" w:rsidRPr="00883399" w:rsidRDefault="00002D0E" w:rsidP="00002D0E">
      <w:pPr>
        <w:pStyle w:val="Text"/>
        <w:rPr>
          <w:rFonts w:ascii="Arial" w:hAnsi="Arial" w:cs="Arial"/>
          <w:sz w:val="22"/>
          <w:szCs w:val="22"/>
        </w:rPr>
      </w:pPr>
      <w:r w:rsidRPr="00883399">
        <w:rPr>
          <w:rFonts w:ascii="Arial" w:hAnsi="Arial" w:cs="Arial"/>
          <w:sz w:val="22"/>
          <w:szCs w:val="22"/>
        </w:rPr>
        <w:t xml:space="preserve">Metering requirements are not specified for the amount of electricity produced by the electricity generation unit measured at the unit’s terminals or the amount supplied for use outside the facility which is not supplied to the network.  Measurement of these </w:t>
      </w:r>
      <w:r w:rsidRPr="00883399">
        <w:rPr>
          <w:rFonts w:ascii="Arial" w:hAnsi="Arial" w:cs="Arial"/>
          <w:sz w:val="22"/>
          <w:szCs w:val="22"/>
        </w:rPr>
        <w:lastRenderedPageBreak/>
        <w:t>quantities of electricity should make use of existing data and be consistent with the general principles set out in 1.13.</w:t>
      </w:r>
    </w:p>
    <w:p w14:paraId="22D967F3" w14:textId="2AB1B2A6" w:rsidR="0000292E" w:rsidRPr="00E25764" w:rsidRDefault="0000292E" w:rsidP="0000292E">
      <w:pPr>
        <w:keepNext/>
        <w:keepLines/>
        <w:spacing w:before="280" w:after="0" w:line="240" w:lineRule="auto"/>
        <w:ind w:left="1134" w:hanging="1134"/>
        <w:outlineLvl w:val="4"/>
        <w:rPr>
          <w:b/>
          <w:kern w:val="28"/>
          <w:szCs w:val="20"/>
        </w:rPr>
      </w:pPr>
      <w:bookmarkStart w:id="1321" w:name="_Toc486862390"/>
      <w:bookmarkEnd w:id="1320"/>
      <w:r w:rsidRPr="00883399">
        <w:rPr>
          <w:b/>
          <w:kern w:val="28"/>
          <w:szCs w:val="20"/>
        </w:rPr>
        <w:t xml:space="preserve">6.3  Energy content of fuel </w:t>
      </w:r>
      <w:r w:rsidRPr="00E25764">
        <w:rPr>
          <w:b/>
          <w:kern w:val="28"/>
          <w:szCs w:val="20"/>
        </w:rPr>
        <w:t>produced</w:t>
      </w:r>
      <w:bookmarkEnd w:id="1321"/>
    </w:p>
    <w:p w14:paraId="09759366" w14:textId="77777777" w:rsidR="0000292E" w:rsidRPr="00E25764" w:rsidRDefault="0000292E" w:rsidP="0000292E">
      <w:pPr>
        <w:tabs>
          <w:tab w:val="right" w:pos="1021"/>
        </w:tabs>
        <w:spacing w:before="180" w:after="0" w:line="240" w:lineRule="auto"/>
        <w:ind w:left="1134" w:hanging="1134"/>
        <w:rPr>
          <w:sz w:val="22"/>
          <w:szCs w:val="20"/>
        </w:rPr>
      </w:pPr>
      <w:r w:rsidRPr="00E25764">
        <w:rPr>
          <w:sz w:val="22"/>
          <w:szCs w:val="20"/>
        </w:rPr>
        <w:tab/>
        <w:t>(1)</w:t>
      </w:r>
      <w:r w:rsidRPr="00E25764">
        <w:rPr>
          <w:sz w:val="22"/>
          <w:szCs w:val="20"/>
        </w:rPr>
        <w:tab/>
        <w:t>The energy content of a kind of energy (</w:t>
      </w:r>
      <w:r w:rsidRPr="00E25764">
        <w:rPr>
          <w:b/>
          <w:i/>
          <w:sz w:val="22"/>
          <w:szCs w:val="20"/>
        </w:rPr>
        <w:t>fuel</w:t>
      </w:r>
      <w:r w:rsidRPr="00E25764">
        <w:rPr>
          <w:sz w:val="22"/>
          <w:szCs w:val="20"/>
        </w:rPr>
        <w:t>), other than sulphur, uranium or hydrogen, produced from the operation of the facility during the year is to be worked out as follows:</w:t>
      </w:r>
    </w:p>
    <w:p w14:paraId="7EA4536B" w14:textId="211B5D0E" w:rsidR="0000292E" w:rsidRPr="00E25764" w:rsidRDefault="0000292E" w:rsidP="0000292E">
      <w:pPr>
        <w:tabs>
          <w:tab w:val="right" w:pos="1021"/>
        </w:tabs>
        <w:spacing w:before="120" w:line="240" w:lineRule="auto"/>
        <w:ind w:left="1134" w:hanging="1134"/>
        <w:rPr>
          <w:sz w:val="22"/>
          <w:szCs w:val="20"/>
        </w:rPr>
      </w:pPr>
      <w:r w:rsidRPr="00E25764">
        <w:rPr>
          <w:sz w:val="22"/>
          <w:szCs w:val="20"/>
        </w:rPr>
        <w:tab/>
      </w:r>
      <w:r w:rsidRPr="00E25764">
        <w:rPr>
          <w:sz w:val="22"/>
          <w:szCs w:val="20"/>
        </w:rPr>
        <w:tab/>
      </w:r>
      <w:r w:rsidRPr="00E25764">
        <w:rPr>
          <w:noProof/>
          <w:sz w:val="22"/>
          <w:szCs w:val="20"/>
        </w:rPr>
        <w:drawing>
          <wp:inline distT="0" distB="0" distL="0" distR="0" wp14:anchorId="22ED4512" wp14:editId="037F9836">
            <wp:extent cx="914400" cy="245745"/>
            <wp:effectExtent l="0" t="0" r="0"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914400" cy="245745"/>
                    </a:xfrm>
                    <a:prstGeom prst="rect">
                      <a:avLst/>
                    </a:prstGeom>
                    <a:noFill/>
                    <a:ln>
                      <a:noFill/>
                    </a:ln>
                  </pic:spPr>
                </pic:pic>
              </a:graphicData>
            </a:graphic>
          </wp:inline>
        </w:drawing>
      </w:r>
    </w:p>
    <w:p w14:paraId="012125E3" w14:textId="77777777" w:rsidR="0000292E" w:rsidRPr="00E25764" w:rsidRDefault="0000292E" w:rsidP="0000292E">
      <w:pPr>
        <w:spacing w:before="40" w:after="0" w:line="240" w:lineRule="auto"/>
        <w:ind w:left="1134"/>
        <w:rPr>
          <w:sz w:val="22"/>
          <w:szCs w:val="20"/>
        </w:rPr>
      </w:pPr>
      <w:r w:rsidRPr="00E25764">
        <w:rPr>
          <w:sz w:val="22"/>
          <w:szCs w:val="20"/>
        </w:rPr>
        <w:t>where:</w:t>
      </w:r>
    </w:p>
    <w:p w14:paraId="6FB72C3C" w14:textId="77777777" w:rsidR="0000292E" w:rsidRPr="00883399" w:rsidRDefault="0000292E" w:rsidP="0000292E">
      <w:pPr>
        <w:spacing w:before="180" w:after="0" w:line="240" w:lineRule="auto"/>
        <w:ind w:left="1134"/>
        <w:rPr>
          <w:sz w:val="22"/>
          <w:szCs w:val="20"/>
        </w:rPr>
      </w:pPr>
      <w:r w:rsidRPr="00E25764">
        <w:rPr>
          <w:b/>
          <w:i/>
          <w:sz w:val="22"/>
          <w:szCs w:val="20"/>
        </w:rPr>
        <w:t>Z</w:t>
      </w:r>
      <w:r w:rsidRPr="00E25764">
        <w:rPr>
          <w:b/>
          <w:i/>
          <w:sz w:val="22"/>
          <w:szCs w:val="20"/>
          <w:vertAlign w:val="subscript"/>
        </w:rPr>
        <w:t>i</w:t>
      </w:r>
      <w:r w:rsidRPr="00E25764">
        <w:rPr>
          <w:b/>
          <w:i/>
          <w:sz w:val="22"/>
          <w:szCs w:val="20"/>
        </w:rPr>
        <w:t xml:space="preserve"> </w:t>
      </w:r>
      <w:r w:rsidRPr="00E25764">
        <w:rPr>
          <w:sz w:val="22"/>
          <w:szCs w:val="20"/>
        </w:rPr>
        <w:t>is the energy content of fuel type (</w:t>
      </w:r>
      <w:r w:rsidRPr="00E25764">
        <w:rPr>
          <w:b/>
          <w:i/>
          <w:sz w:val="22"/>
          <w:szCs w:val="20"/>
        </w:rPr>
        <w:t>i</w:t>
      </w:r>
      <w:r w:rsidRPr="00E25764">
        <w:rPr>
          <w:sz w:val="22"/>
          <w:szCs w:val="20"/>
        </w:rPr>
        <w:t xml:space="preserve">) </w:t>
      </w:r>
      <w:r w:rsidRPr="00883399">
        <w:rPr>
          <w:sz w:val="22"/>
          <w:szCs w:val="20"/>
        </w:rPr>
        <w:t>produced during the year and measured in gigajoules.</w:t>
      </w:r>
    </w:p>
    <w:p w14:paraId="6128F188" w14:textId="77777777" w:rsidR="0000292E" w:rsidRPr="00883399" w:rsidRDefault="0000292E" w:rsidP="0000292E">
      <w:pPr>
        <w:spacing w:before="180" w:after="0" w:line="240" w:lineRule="auto"/>
        <w:ind w:left="1134"/>
        <w:rPr>
          <w:sz w:val="22"/>
          <w:szCs w:val="20"/>
        </w:rPr>
      </w:pPr>
      <w:r w:rsidRPr="00883399">
        <w:rPr>
          <w:b/>
          <w:i/>
          <w:sz w:val="22"/>
          <w:szCs w:val="20"/>
        </w:rPr>
        <w:t>Q</w:t>
      </w:r>
      <w:r w:rsidRPr="00883399">
        <w:rPr>
          <w:b/>
          <w:i/>
          <w:sz w:val="22"/>
          <w:szCs w:val="20"/>
          <w:vertAlign w:val="subscript"/>
        </w:rPr>
        <w:t xml:space="preserve">i </w:t>
      </w:r>
      <w:r w:rsidRPr="00883399">
        <w:rPr>
          <w:sz w:val="22"/>
          <w:szCs w:val="20"/>
        </w:rPr>
        <w:t>is the quantity of fuel type (</w:t>
      </w:r>
      <w:r w:rsidRPr="00883399">
        <w:rPr>
          <w:b/>
          <w:i/>
          <w:sz w:val="22"/>
          <w:szCs w:val="20"/>
        </w:rPr>
        <w:t>i</w:t>
      </w:r>
      <w:r w:rsidRPr="00883399">
        <w:rPr>
          <w:sz w:val="22"/>
          <w:szCs w:val="20"/>
        </w:rPr>
        <w:t>) produced during the year.</w:t>
      </w:r>
    </w:p>
    <w:p w14:paraId="7AC6DDD2" w14:textId="77777777" w:rsidR="0000292E" w:rsidRPr="00883399" w:rsidRDefault="0000292E" w:rsidP="0000292E">
      <w:pPr>
        <w:spacing w:before="180" w:after="0" w:line="240" w:lineRule="auto"/>
        <w:ind w:left="1134"/>
        <w:rPr>
          <w:sz w:val="22"/>
          <w:szCs w:val="20"/>
        </w:rPr>
      </w:pPr>
      <w:r w:rsidRPr="00883399">
        <w:rPr>
          <w:b/>
          <w:i/>
          <w:sz w:val="22"/>
          <w:szCs w:val="20"/>
        </w:rPr>
        <w:t>EC</w:t>
      </w:r>
      <w:r w:rsidRPr="00883399">
        <w:rPr>
          <w:b/>
          <w:i/>
          <w:sz w:val="22"/>
          <w:szCs w:val="20"/>
          <w:vertAlign w:val="subscript"/>
        </w:rPr>
        <w:t>i</w:t>
      </w:r>
      <w:r w:rsidRPr="00883399">
        <w:rPr>
          <w:b/>
          <w:i/>
          <w:sz w:val="22"/>
          <w:szCs w:val="20"/>
        </w:rPr>
        <w:t xml:space="preserve"> </w:t>
      </w:r>
      <w:r w:rsidRPr="00883399">
        <w:rPr>
          <w:sz w:val="22"/>
          <w:szCs w:val="20"/>
        </w:rPr>
        <w:t>is the energy content factor of fuel type (</w:t>
      </w:r>
      <w:r w:rsidRPr="00883399">
        <w:rPr>
          <w:b/>
          <w:i/>
          <w:sz w:val="22"/>
          <w:szCs w:val="20"/>
        </w:rPr>
        <w:t>i</w:t>
      </w:r>
      <w:r w:rsidRPr="00883399">
        <w:rPr>
          <w:sz w:val="22"/>
          <w:szCs w:val="20"/>
        </w:rPr>
        <w:t>), measured as energy content according to the fuel type measured in gigajoules:</w:t>
      </w:r>
    </w:p>
    <w:p w14:paraId="3A38C550" w14:textId="77777777" w:rsidR="0000292E" w:rsidRPr="00883399" w:rsidRDefault="0000292E" w:rsidP="0000292E">
      <w:pPr>
        <w:tabs>
          <w:tab w:val="right" w:pos="1531"/>
        </w:tabs>
        <w:spacing w:before="40" w:after="0" w:line="240" w:lineRule="auto"/>
        <w:ind w:left="1644" w:hanging="1644"/>
        <w:rPr>
          <w:sz w:val="22"/>
          <w:szCs w:val="20"/>
        </w:rPr>
      </w:pPr>
      <w:r w:rsidRPr="00883399">
        <w:rPr>
          <w:sz w:val="22"/>
          <w:szCs w:val="20"/>
        </w:rPr>
        <w:tab/>
        <w:t>(a)</w:t>
      </w:r>
      <w:r w:rsidRPr="00883399">
        <w:rPr>
          <w:sz w:val="22"/>
          <w:szCs w:val="20"/>
        </w:rPr>
        <w:tab/>
        <w:t>as mentioned in Schedule 1; or</w:t>
      </w:r>
    </w:p>
    <w:p w14:paraId="2EF66A00" w14:textId="77777777" w:rsidR="0000292E" w:rsidRPr="00883399" w:rsidRDefault="0000292E" w:rsidP="0000292E">
      <w:pPr>
        <w:tabs>
          <w:tab w:val="right" w:pos="1531"/>
        </w:tabs>
        <w:spacing w:before="40" w:after="0" w:line="240" w:lineRule="auto"/>
        <w:ind w:left="1644" w:hanging="1644"/>
        <w:rPr>
          <w:sz w:val="22"/>
          <w:szCs w:val="20"/>
        </w:rPr>
      </w:pPr>
      <w:r w:rsidRPr="00883399">
        <w:rPr>
          <w:sz w:val="22"/>
          <w:szCs w:val="20"/>
        </w:rPr>
        <w:tab/>
        <w:t>(b)</w:t>
      </w:r>
      <w:r w:rsidRPr="00883399">
        <w:rPr>
          <w:sz w:val="22"/>
          <w:szCs w:val="20"/>
        </w:rPr>
        <w:tab/>
        <w:t>in accordance with Divisions 2.2.3 and 2.2.4 (solid fuels), Divisions 2.3.3 and 2.3.4 (gaseous fuels) or Divisions 2.4.3 and 2.4.4 (liquid fuels); or</w:t>
      </w:r>
    </w:p>
    <w:p w14:paraId="3E4D56F8" w14:textId="77777777" w:rsidR="0000292E" w:rsidRPr="00883399" w:rsidRDefault="0000292E" w:rsidP="0000292E">
      <w:pPr>
        <w:tabs>
          <w:tab w:val="right" w:pos="1531"/>
        </w:tabs>
        <w:spacing w:before="40" w:after="0" w:line="240" w:lineRule="auto"/>
        <w:ind w:left="1644" w:hanging="1644"/>
        <w:rPr>
          <w:sz w:val="22"/>
          <w:szCs w:val="20"/>
        </w:rPr>
      </w:pPr>
      <w:r w:rsidRPr="00883399">
        <w:rPr>
          <w:sz w:val="22"/>
          <w:szCs w:val="20"/>
        </w:rPr>
        <w:tab/>
        <w:t>(c)</w:t>
      </w:r>
      <w:r w:rsidRPr="00883399">
        <w:rPr>
          <w:sz w:val="22"/>
          <w:szCs w:val="20"/>
        </w:rPr>
        <w:tab/>
        <w:t>for electricity measured in kilowatt hours</w:t>
      </w:r>
      <w:r w:rsidRPr="00883399">
        <w:rPr>
          <w:i/>
          <w:sz w:val="22"/>
          <w:szCs w:val="20"/>
        </w:rPr>
        <w:t xml:space="preserve">, </w:t>
      </w:r>
      <w:r w:rsidRPr="00883399">
        <w:rPr>
          <w:b/>
          <w:i/>
          <w:sz w:val="22"/>
          <w:szCs w:val="20"/>
        </w:rPr>
        <w:t>EC</w:t>
      </w:r>
      <w:r w:rsidRPr="00883399">
        <w:rPr>
          <w:b/>
          <w:i/>
          <w:sz w:val="22"/>
          <w:szCs w:val="20"/>
          <w:vertAlign w:val="subscript"/>
        </w:rPr>
        <w:t xml:space="preserve">i </w:t>
      </w:r>
      <w:r w:rsidRPr="00883399">
        <w:rPr>
          <w:sz w:val="22"/>
          <w:szCs w:val="20"/>
        </w:rPr>
        <w:t>is equal to 0.0036; or</w:t>
      </w:r>
    </w:p>
    <w:p w14:paraId="380E412F" w14:textId="77777777" w:rsidR="0000292E" w:rsidRPr="00883399" w:rsidRDefault="0000292E" w:rsidP="0000292E">
      <w:pPr>
        <w:tabs>
          <w:tab w:val="right" w:pos="1531"/>
        </w:tabs>
        <w:spacing w:before="40" w:after="0" w:line="240" w:lineRule="auto"/>
        <w:ind w:left="1644" w:hanging="1644"/>
        <w:rPr>
          <w:sz w:val="22"/>
          <w:szCs w:val="20"/>
        </w:rPr>
      </w:pPr>
      <w:r w:rsidRPr="00883399">
        <w:rPr>
          <w:sz w:val="22"/>
          <w:szCs w:val="20"/>
        </w:rPr>
        <w:tab/>
        <w:t>(d)</w:t>
      </w:r>
      <w:r w:rsidRPr="00883399">
        <w:rPr>
          <w:sz w:val="22"/>
          <w:szCs w:val="20"/>
        </w:rPr>
        <w:tab/>
        <w:t xml:space="preserve">for fuels measured in gigajoules, </w:t>
      </w:r>
      <w:r w:rsidRPr="00883399">
        <w:rPr>
          <w:b/>
          <w:i/>
          <w:sz w:val="22"/>
          <w:szCs w:val="20"/>
        </w:rPr>
        <w:t>EC</w:t>
      </w:r>
      <w:r w:rsidRPr="00883399">
        <w:rPr>
          <w:b/>
          <w:i/>
          <w:sz w:val="22"/>
          <w:szCs w:val="20"/>
          <w:vertAlign w:val="subscript"/>
        </w:rPr>
        <w:t xml:space="preserve">i </w:t>
      </w:r>
      <w:r w:rsidRPr="00883399">
        <w:rPr>
          <w:sz w:val="22"/>
          <w:szCs w:val="20"/>
        </w:rPr>
        <w:t>is equal to 1.</w:t>
      </w:r>
    </w:p>
    <w:p w14:paraId="15E780CB" w14:textId="77777777" w:rsidR="0000292E" w:rsidRPr="00883399" w:rsidRDefault="0000292E" w:rsidP="0000292E">
      <w:pPr>
        <w:spacing w:before="122" w:after="0" w:line="240" w:lineRule="auto"/>
        <w:ind w:left="1985" w:hanging="851"/>
        <w:rPr>
          <w:sz w:val="18"/>
          <w:szCs w:val="20"/>
        </w:rPr>
      </w:pPr>
      <w:r w:rsidRPr="00883399">
        <w:rPr>
          <w:sz w:val="18"/>
          <w:szCs w:val="20"/>
        </w:rPr>
        <w:t>Note:</w:t>
      </w:r>
      <w:r w:rsidRPr="00883399">
        <w:rPr>
          <w:sz w:val="18"/>
          <w:szCs w:val="20"/>
        </w:rPr>
        <w:tab/>
        <w:t xml:space="preserve">Energy includes the fuels and energy commodities listed in Schedule 1 to the Regulations. See the definition of </w:t>
      </w:r>
      <w:r w:rsidRPr="00883399">
        <w:rPr>
          <w:b/>
          <w:i/>
          <w:sz w:val="18"/>
          <w:szCs w:val="20"/>
        </w:rPr>
        <w:t>energy</w:t>
      </w:r>
      <w:r w:rsidRPr="00883399">
        <w:rPr>
          <w:sz w:val="18"/>
          <w:szCs w:val="20"/>
        </w:rPr>
        <w:t xml:space="preserve"> in section 7 of the Act and regulation 2.03 of the Regulations.</w:t>
      </w:r>
    </w:p>
    <w:p w14:paraId="6D44A19E" w14:textId="77777777" w:rsidR="0000292E" w:rsidRPr="00883399" w:rsidRDefault="0000292E" w:rsidP="0000292E">
      <w:pPr>
        <w:tabs>
          <w:tab w:val="right" w:pos="1021"/>
        </w:tabs>
        <w:spacing w:before="180" w:after="0" w:line="240" w:lineRule="auto"/>
        <w:ind w:left="1134" w:hanging="1134"/>
        <w:rPr>
          <w:sz w:val="22"/>
          <w:szCs w:val="20"/>
        </w:rPr>
      </w:pPr>
      <w:r w:rsidRPr="00883399">
        <w:rPr>
          <w:sz w:val="22"/>
          <w:szCs w:val="20"/>
        </w:rPr>
        <w:tab/>
        <w:t>(2)</w:t>
      </w:r>
      <w:r w:rsidRPr="00883399">
        <w:rPr>
          <w:sz w:val="22"/>
          <w:szCs w:val="20"/>
        </w:rPr>
        <w:tab/>
        <w:t>The amount of electricity produced from the operation of the facility during the year must be evidenced by invoices, contractual arrangements or industry metering records.</w:t>
      </w:r>
    </w:p>
    <w:p w14:paraId="7CF91B3D" w14:textId="77777777" w:rsidR="0000292E" w:rsidRPr="00883399" w:rsidRDefault="0000292E" w:rsidP="0000292E">
      <w:pPr>
        <w:keepNext/>
        <w:keepLines/>
        <w:spacing w:before="240" w:after="0" w:line="240" w:lineRule="auto"/>
        <w:ind w:left="1134"/>
        <w:rPr>
          <w:i/>
          <w:sz w:val="22"/>
          <w:szCs w:val="20"/>
        </w:rPr>
      </w:pPr>
      <w:r w:rsidRPr="00883399">
        <w:rPr>
          <w:i/>
          <w:sz w:val="22"/>
          <w:szCs w:val="20"/>
        </w:rPr>
        <w:t>Sulphur, uranium or hydrogen</w:t>
      </w:r>
    </w:p>
    <w:p w14:paraId="7B96E247" w14:textId="77777777" w:rsidR="0000292E" w:rsidRPr="00883399" w:rsidRDefault="0000292E" w:rsidP="0000292E">
      <w:pPr>
        <w:tabs>
          <w:tab w:val="right" w:pos="1021"/>
        </w:tabs>
        <w:spacing w:before="180" w:after="0" w:line="240" w:lineRule="auto"/>
        <w:ind w:left="1134" w:hanging="1134"/>
        <w:rPr>
          <w:sz w:val="22"/>
          <w:szCs w:val="20"/>
        </w:rPr>
      </w:pPr>
      <w:r w:rsidRPr="00883399">
        <w:rPr>
          <w:sz w:val="22"/>
          <w:szCs w:val="20"/>
        </w:rPr>
        <w:tab/>
        <w:t>(3)</w:t>
      </w:r>
      <w:r w:rsidRPr="00883399">
        <w:rPr>
          <w:sz w:val="22"/>
          <w:szCs w:val="20"/>
        </w:rPr>
        <w:tab/>
        <w:t>The energy content of sulphur, uranium or hydrogen produced from the operation of the facility during the year is worked out using the following formula:</w:t>
      </w:r>
    </w:p>
    <w:p w14:paraId="6673A604" w14:textId="77777777" w:rsidR="0000292E" w:rsidRPr="00883399" w:rsidRDefault="0000292E" w:rsidP="0000292E">
      <w:pPr>
        <w:spacing w:before="40" w:after="0" w:line="240" w:lineRule="auto"/>
        <w:ind w:left="1134"/>
        <w:rPr>
          <w:sz w:val="22"/>
          <w:szCs w:val="20"/>
        </w:rPr>
      </w:pPr>
      <w:r w:rsidRPr="00883399">
        <w:rPr>
          <w:position w:val="-10"/>
          <w:sz w:val="22"/>
          <w:szCs w:val="20"/>
        </w:rPr>
        <w:object w:dxaOrig="1200" w:dyaOrig="420" w14:anchorId="50FF0CD5">
          <v:shape id="_x0000_i1112" type="#_x0000_t75" style="width:60pt;height:21.75pt" o:ole="">
            <v:imagedata r:id="rId350" o:title=""/>
          </v:shape>
          <o:OLEObject Type="Embed" ProgID="Equation.DSMT4" ShapeID="_x0000_i1112" DrawAspect="Content" ObjectID="_1594106003" r:id="rId351"/>
        </w:object>
      </w:r>
    </w:p>
    <w:p w14:paraId="7DB4DAC4" w14:textId="77777777" w:rsidR="0000292E" w:rsidRPr="00883399" w:rsidRDefault="0000292E" w:rsidP="0000292E">
      <w:pPr>
        <w:spacing w:before="40" w:after="0" w:line="240" w:lineRule="auto"/>
        <w:ind w:left="1134"/>
        <w:rPr>
          <w:sz w:val="22"/>
          <w:szCs w:val="20"/>
        </w:rPr>
      </w:pPr>
      <w:r w:rsidRPr="00883399">
        <w:rPr>
          <w:sz w:val="22"/>
          <w:szCs w:val="20"/>
        </w:rPr>
        <w:t>where:</w:t>
      </w:r>
    </w:p>
    <w:p w14:paraId="1E397FF3" w14:textId="77777777" w:rsidR="0000292E" w:rsidRPr="00883399" w:rsidRDefault="0000292E" w:rsidP="0000292E">
      <w:pPr>
        <w:spacing w:before="180" w:after="0" w:line="240" w:lineRule="auto"/>
        <w:ind w:left="1134"/>
        <w:rPr>
          <w:sz w:val="22"/>
          <w:szCs w:val="20"/>
        </w:rPr>
      </w:pPr>
      <w:r w:rsidRPr="00883399">
        <w:rPr>
          <w:b/>
          <w:i/>
          <w:sz w:val="22"/>
          <w:szCs w:val="20"/>
        </w:rPr>
        <w:t>EC</w:t>
      </w:r>
      <w:r w:rsidRPr="00883399">
        <w:rPr>
          <w:sz w:val="22"/>
          <w:szCs w:val="20"/>
        </w:rPr>
        <w:t xml:space="preserve"> is the energy content factor of sulphur, uranium or hydrogen (whichever is applicable) mentioned in Part 7 of Schedule 1, measured in gigajoules per tonne.</w:t>
      </w:r>
    </w:p>
    <w:p w14:paraId="1EEE52BD" w14:textId="77777777" w:rsidR="0000292E" w:rsidRPr="00883399" w:rsidRDefault="0000292E" w:rsidP="0000292E">
      <w:pPr>
        <w:spacing w:before="180" w:after="0" w:line="240" w:lineRule="auto"/>
        <w:ind w:left="1134"/>
        <w:rPr>
          <w:sz w:val="22"/>
          <w:szCs w:val="20"/>
        </w:rPr>
      </w:pPr>
      <w:r w:rsidRPr="00883399">
        <w:rPr>
          <w:b/>
          <w:i/>
          <w:sz w:val="22"/>
          <w:szCs w:val="20"/>
        </w:rPr>
        <w:t>Q</w:t>
      </w:r>
      <w:r w:rsidRPr="00883399">
        <w:rPr>
          <w:sz w:val="22"/>
          <w:szCs w:val="20"/>
        </w:rPr>
        <w:t xml:space="preserve"> is the quantity of sulphur, uranium or hydrogen (whichever is applicable) produced during the year and measured in tonnes.</w:t>
      </w:r>
    </w:p>
    <w:p w14:paraId="37E8DEBF" w14:textId="77777777" w:rsidR="0000292E" w:rsidRPr="00883399" w:rsidRDefault="0000292E" w:rsidP="0000292E">
      <w:pPr>
        <w:spacing w:before="180" w:after="0" w:line="240" w:lineRule="auto"/>
        <w:ind w:left="1134"/>
        <w:rPr>
          <w:sz w:val="22"/>
          <w:szCs w:val="20"/>
        </w:rPr>
      </w:pPr>
      <w:r w:rsidRPr="00883399">
        <w:rPr>
          <w:b/>
          <w:i/>
          <w:sz w:val="22"/>
          <w:szCs w:val="20"/>
        </w:rPr>
        <w:t>Z</w:t>
      </w:r>
      <w:r w:rsidRPr="00883399">
        <w:rPr>
          <w:sz w:val="22"/>
          <w:szCs w:val="20"/>
        </w:rPr>
        <w:t xml:space="preserve"> is the energy content of sulphur, uranium or hydrogen (whichever is applicable) produced during the year and measured in gigajoules.</w:t>
      </w:r>
    </w:p>
    <w:p w14:paraId="7BB6272A" w14:textId="2B331E1E" w:rsidR="00002D0E" w:rsidRPr="00883399" w:rsidRDefault="00002D0E" w:rsidP="00002D0E">
      <w:pPr>
        <w:pStyle w:val="Text"/>
        <w:rPr>
          <w:rFonts w:ascii="Arial" w:hAnsi="Arial" w:cs="Arial"/>
          <w:sz w:val="22"/>
          <w:szCs w:val="22"/>
        </w:rPr>
      </w:pPr>
      <w:r w:rsidRPr="00883399">
        <w:rPr>
          <w:rFonts w:ascii="Arial" w:hAnsi="Arial" w:cs="Arial"/>
          <w:sz w:val="22"/>
          <w:szCs w:val="22"/>
        </w:rPr>
        <w:lastRenderedPageBreak/>
        <w:t xml:space="preserve">Estimates of energy produced do not enter emission calculations and will be used for statistical purposes.   </w:t>
      </w:r>
    </w:p>
    <w:p w14:paraId="16097809" w14:textId="77777777" w:rsidR="00002D0E" w:rsidRPr="00883399" w:rsidRDefault="00002D0E" w:rsidP="00872C03">
      <w:pPr>
        <w:pStyle w:val="subsection"/>
        <w:rPr>
          <w:sz w:val="24"/>
        </w:rPr>
      </w:pPr>
    </w:p>
    <w:p w14:paraId="044EBBD4" w14:textId="50AD542D" w:rsidR="00872C03" w:rsidRPr="00883399" w:rsidRDefault="00872C03" w:rsidP="00872C03">
      <w:pPr>
        <w:pStyle w:val="ActHead2"/>
        <w:pageBreakBefore/>
        <w:rPr>
          <w:sz w:val="36"/>
        </w:rPr>
      </w:pPr>
      <w:bookmarkStart w:id="1322" w:name="_Toc423517240"/>
      <w:bookmarkStart w:id="1323" w:name="_Toc495653183"/>
      <w:r w:rsidRPr="00883399">
        <w:rPr>
          <w:rStyle w:val="CharPartNo"/>
          <w:sz w:val="36"/>
        </w:rPr>
        <w:lastRenderedPageBreak/>
        <w:t>Part 6.2</w:t>
      </w:r>
      <w:r w:rsidRPr="00883399">
        <w:rPr>
          <w:sz w:val="36"/>
        </w:rPr>
        <w:t>—</w:t>
      </w:r>
      <w:r w:rsidRPr="00883399">
        <w:rPr>
          <w:rStyle w:val="CharPartText"/>
          <w:sz w:val="36"/>
        </w:rPr>
        <w:t>Consumption</w:t>
      </w:r>
      <w:bookmarkEnd w:id="1322"/>
      <w:bookmarkEnd w:id="1323"/>
    </w:p>
    <w:p w14:paraId="5B885D3A" w14:textId="77777777" w:rsidR="00872C03" w:rsidRPr="00883399" w:rsidRDefault="00872C03" w:rsidP="00872C03">
      <w:pPr>
        <w:pStyle w:val="Header"/>
        <w:rPr>
          <w:sz w:val="18"/>
        </w:rPr>
      </w:pPr>
      <w:r w:rsidRPr="00883399">
        <w:rPr>
          <w:rStyle w:val="CharDivNo"/>
          <w:sz w:val="18"/>
        </w:rPr>
        <w:t xml:space="preserve"> </w:t>
      </w:r>
      <w:r w:rsidRPr="00883399">
        <w:rPr>
          <w:rStyle w:val="CharDivText"/>
          <w:sz w:val="18"/>
        </w:rPr>
        <w:t xml:space="preserve"> </w:t>
      </w:r>
    </w:p>
    <w:p w14:paraId="196D502A" w14:textId="1A3471BC" w:rsidR="00872C03" w:rsidRPr="00883399" w:rsidRDefault="00872C03" w:rsidP="00872C03">
      <w:pPr>
        <w:pStyle w:val="ActHead5"/>
        <w:rPr>
          <w:sz w:val="28"/>
        </w:rPr>
      </w:pPr>
      <w:bookmarkStart w:id="1324" w:name="_Toc423517241"/>
      <w:bookmarkStart w:id="1325" w:name="_Toc495653184"/>
      <w:r w:rsidRPr="00883399">
        <w:rPr>
          <w:rStyle w:val="CharSectno"/>
          <w:sz w:val="28"/>
        </w:rPr>
        <w:t>6.4</w:t>
      </w:r>
      <w:r w:rsidRPr="00883399">
        <w:rPr>
          <w:sz w:val="28"/>
        </w:rPr>
        <w:t xml:space="preserve">  Purpose</w:t>
      </w:r>
      <w:bookmarkEnd w:id="1324"/>
      <w:bookmarkEnd w:id="1325"/>
    </w:p>
    <w:p w14:paraId="11A929C9" w14:textId="77777777" w:rsidR="00F656F7" w:rsidRPr="00883399" w:rsidRDefault="00872C03" w:rsidP="00F656F7">
      <w:pPr>
        <w:pStyle w:val="subsection"/>
        <w:rPr>
          <w:sz w:val="24"/>
        </w:rPr>
      </w:pPr>
      <w:r w:rsidRPr="00883399">
        <w:rPr>
          <w:sz w:val="24"/>
        </w:rPr>
        <w:tab/>
      </w:r>
      <w:r w:rsidRPr="00883399">
        <w:rPr>
          <w:sz w:val="24"/>
        </w:rPr>
        <w:tab/>
      </w:r>
      <w:bookmarkStart w:id="1326" w:name="_Toc423517242"/>
      <w:r w:rsidR="00F656F7" w:rsidRPr="00883399">
        <w:rPr>
          <w:sz w:val="24"/>
        </w:rPr>
        <w:tab/>
        <w:t>The purpose of this Part is to provide for the estimation of the energy content of energy consumed from the operation of a facility during a year.</w:t>
      </w:r>
    </w:p>
    <w:p w14:paraId="21B4C549" w14:textId="77777777" w:rsidR="00F656F7" w:rsidRPr="00883399" w:rsidRDefault="00F656F7" w:rsidP="00F656F7">
      <w:pPr>
        <w:pStyle w:val="notetext"/>
        <w:rPr>
          <w:sz w:val="20"/>
        </w:rPr>
      </w:pPr>
      <w:r w:rsidRPr="00883399">
        <w:rPr>
          <w:sz w:val="20"/>
        </w:rPr>
        <w:t>Note 1:</w:t>
      </w:r>
      <w:r w:rsidRPr="00883399">
        <w:rPr>
          <w:sz w:val="20"/>
        </w:rPr>
        <w:tab/>
        <w:t xml:space="preserve">Energy includes the fuels and energy commodities listed in Schedule 1 to the Regulations. See the definition of </w:t>
      </w:r>
      <w:r w:rsidRPr="00883399">
        <w:rPr>
          <w:b/>
          <w:i/>
          <w:sz w:val="20"/>
        </w:rPr>
        <w:t>energy</w:t>
      </w:r>
      <w:r w:rsidRPr="00883399">
        <w:rPr>
          <w:sz w:val="20"/>
        </w:rPr>
        <w:t xml:space="preserve"> in section 7 of the Act and regulations 2.03 of the Regulations.</w:t>
      </w:r>
    </w:p>
    <w:p w14:paraId="2F013D04" w14:textId="77777777" w:rsidR="00F656F7" w:rsidRPr="00883399" w:rsidRDefault="00F656F7" w:rsidP="00F656F7">
      <w:pPr>
        <w:pStyle w:val="notetext"/>
        <w:rPr>
          <w:sz w:val="20"/>
        </w:rPr>
      </w:pPr>
      <w:r w:rsidRPr="00883399">
        <w:rPr>
          <w:sz w:val="20"/>
        </w:rPr>
        <w:t>Note 2:</w:t>
      </w:r>
      <w:r w:rsidRPr="00883399">
        <w:rPr>
          <w:sz w:val="20"/>
        </w:rPr>
        <w:tab/>
        <w:t>Energy consumed from the operation of a facility is dealt with in regulation 2.26 of the Regulations.</w:t>
      </w:r>
    </w:p>
    <w:p w14:paraId="5D8E7E78" w14:textId="77777777" w:rsidR="00F656F7" w:rsidRPr="00883399" w:rsidRDefault="00F656F7" w:rsidP="00F656F7">
      <w:pPr>
        <w:pStyle w:val="notetext"/>
        <w:rPr>
          <w:sz w:val="20"/>
        </w:rPr>
      </w:pPr>
      <w:r w:rsidRPr="00883399">
        <w:rPr>
          <w:sz w:val="20"/>
        </w:rPr>
        <w:t>Note 3:</w:t>
      </w:r>
      <w:r w:rsidRPr="00883399">
        <w:rPr>
          <w:sz w:val="20"/>
        </w:rPr>
        <w:tab/>
        <w:t>Energy consumed is subject to the thresholds mentioned in sections 2.2, 2.18 and 2.39 of this Determination.</w:t>
      </w:r>
    </w:p>
    <w:p w14:paraId="3E96AE64" w14:textId="77777777" w:rsidR="00002D0E" w:rsidRPr="00883399" w:rsidRDefault="00002D0E" w:rsidP="00F656F7">
      <w:pPr>
        <w:pStyle w:val="subsection"/>
        <w:rPr>
          <w:rFonts w:ascii="Arial" w:hAnsi="Arial" w:cs="Arial"/>
          <w:szCs w:val="22"/>
        </w:rPr>
      </w:pPr>
      <w:r w:rsidRPr="00883399">
        <w:rPr>
          <w:rFonts w:ascii="Arial" w:hAnsi="Arial" w:cs="Arial"/>
          <w:szCs w:val="22"/>
        </w:rPr>
        <w:t xml:space="preserve">Calculating the energy content of fuels and energy commodities consumed is an intermediate step in the estimation of emissions from fuel combustion using methods 1, 2 or 3 in Chapter 2.  Consequently this data will serve the dual purpose of providing an estimation of energy consumed and a step in the estimation of emissions. </w:t>
      </w:r>
    </w:p>
    <w:p w14:paraId="35AD0247" w14:textId="77777777" w:rsidR="00545B62" w:rsidRPr="00883399" w:rsidRDefault="00545B62" w:rsidP="00545B62">
      <w:pPr>
        <w:keepNext/>
        <w:keepLines/>
        <w:spacing w:before="280" w:after="0" w:line="240" w:lineRule="auto"/>
        <w:ind w:left="1134" w:hanging="1134"/>
        <w:outlineLvl w:val="4"/>
        <w:rPr>
          <w:b/>
          <w:kern w:val="28"/>
          <w:szCs w:val="20"/>
        </w:rPr>
      </w:pPr>
      <w:bookmarkStart w:id="1327" w:name="_Toc486862393"/>
      <w:bookmarkStart w:id="1328" w:name="_Toc423517243"/>
      <w:bookmarkEnd w:id="1326"/>
      <w:r w:rsidRPr="00883399">
        <w:rPr>
          <w:b/>
          <w:kern w:val="28"/>
          <w:szCs w:val="20"/>
        </w:rPr>
        <w:t>6.5  Energy content of energy consumed</w:t>
      </w:r>
      <w:bookmarkEnd w:id="1327"/>
    </w:p>
    <w:p w14:paraId="493D305D" w14:textId="77777777" w:rsidR="00545B62" w:rsidRPr="00883399" w:rsidRDefault="00545B62" w:rsidP="00545B62">
      <w:pPr>
        <w:tabs>
          <w:tab w:val="right" w:pos="1021"/>
        </w:tabs>
        <w:spacing w:before="180" w:after="0" w:line="240" w:lineRule="auto"/>
        <w:ind w:left="1134" w:hanging="1134"/>
        <w:rPr>
          <w:sz w:val="22"/>
          <w:szCs w:val="20"/>
        </w:rPr>
      </w:pPr>
      <w:r w:rsidRPr="00883399">
        <w:rPr>
          <w:sz w:val="22"/>
          <w:szCs w:val="20"/>
        </w:rPr>
        <w:tab/>
        <w:t>(1)</w:t>
      </w:r>
      <w:r w:rsidRPr="00883399">
        <w:rPr>
          <w:sz w:val="22"/>
          <w:szCs w:val="20"/>
        </w:rPr>
        <w:tab/>
        <w:t>The energy content of a kind of energy (</w:t>
      </w:r>
      <w:r w:rsidRPr="00883399">
        <w:rPr>
          <w:b/>
          <w:i/>
          <w:sz w:val="22"/>
          <w:szCs w:val="20"/>
        </w:rPr>
        <w:t>fuel</w:t>
      </w:r>
      <w:r w:rsidRPr="00883399">
        <w:rPr>
          <w:i/>
          <w:sz w:val="22"/>
          <w:szCs w:val="20"/>
        </w:rPr>
        <w:t>)</w:t>
      </w:r>
      <w:r w:rsidRPr="00883399">
        <w:rPr>
          <w:sz w:val="22"/>
          <w:szCs w:val="20"/>
        </w:rPr>
        <w:t>, other than sulphur, uranium or hydrogen, consumed from the operation of the facility during the year is to be worked out as follows:</w:t>
      </w:r>
    </w:p>
    <w:p w14:paraId="4B754011" w14:textId="77777777" w:rsidR="00545B62" w:rsidRPr="00883399" w:rsidRDefault="00545B62" w:rsidP="00545B62">
      <w:pPr>
        <w:tabs>
          <w:tab w:val="right" w:pos="1021"/>
        </w:tabs>
        <w:spacing w:before="120" w:line="240" w:lineRule="auto"/>
        <w:ind w:left="1134" w:hanging="1134"/>
        <w:rPr>
          <w:sz w:val="22"/>
          <w:szCs w:val="20"/>
        </w:rPr>
      </w:pPr>
      <w:r w:rsidRPr="00883399">
        <w:rPr>
          <w:sz w:val="22"/>
          <w:szCs w:val="20"/>
        </w:rPr>
        <w:tab/>
      </w:r>
      <w:r w:rsidRPr="00883399">
        <w:rPr>
          <w:sz w:val="22"/>
          <w:szCs w:val="20"/>
        </w:rPr>
        <w:tab/>
      </w:r>
      <w:r w:rsidRPr="00883399">
        <w:rPr>
          <w:noProof/>
          <w:sz w:val="22"/>
          <w:szCs w:val="20"/>
        </w:rPr>
        <w:drawing>
          <wp:inline distT="0" distB="0" distL="0" distR="0" wp14:anchorId="639C3094" wp14:editId="7A007880">
            <wp:extent cx="927735" cy="245745"/>
            <wp:effectExtent l="0" t="0" r="5715" b="190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927735" cy="245745"/>
                    </a:xfrm>
                    <a:prstGeom prst="rect">
                      <a:avLst/>
                    </a:prstGeom>
                    <a:noFill/>
                    <a:ln>
                      <a:noFill/>
                    </a:ln>
                  </pic:spPr>
                </pic:pic>
              </a:graphicData>
            </a:graphic>
          </wp:inline>
        </w:drawing>
      </w:r>
    </w:p>
    <w:p w14:paraId="6C27B5AC" w14:textId="77777777" w:rsidR="00545B62" w:rsidRPr="00883399" w:rsidRDefault="00545B62" w:rsidP="00545B62">
      <w:pPr>
        <w:spacing w:before="40" w:after="0" w:line="240" w:lineRule="auto"/>
        <w:ind w:left="1134"/>
        <w:rPr>
          <w:sz w:val="22"/>
          <w:szCs w:val="20"/>
        </w:rPr>
      </w:pPr>
      <w:r w:rsidRPr="00883399">
        <w:rPr>
          <w:sz w:val="22"/>
          <w:szCs w:val="20"/>
        </w:rPr>
        <w:t>where:</w:t>
      </w:r>
    </w:p>
    <w:p w14:paraId="4A717E18" w14:textId="77777777" w:rsidR="00545B62" w:rsidRPr="00883399" w:rsidRDefault="00545B62" w:rsidP="00545B62">
      <w:pPr>
        <w:spacing w:before="180" w:after="0" w:line="240" w:lineRule="auto"/>
        <w:ind w:left="1134"/>
        <w:rPr>
          <w:sz w:val="22"/>
          <w:szCs w:val="20"/>
        </w:rPr>
      </w:pPr>
      <w:r w:rsidRPr="00883399">
        <w:rPr>
          <w:i/>
          <w:sz w:val="22"/>
          <w:szCs w:val="20"/>
        </w:rPr>
        <w:t>Z</w:t>
      </w:r>
      <w:r w:rsidRPr="00883399">
        <w:rPr>
          <w:i/>
          <w:sz w:val="22"/>
          <w:szCs w:val="20"/>
          <w:vertAlign w:val="subscript"/>
        </w:rPr>
        <w:t>i</w:t>
      </w:r>
      <w:r w:rsidRPr="00883399">
        <w:rPr>
          <w:b/>
          <w:i/>
          <w:sz w:val="22"/>
          <w:szCs w:val="20"/>
        </w:rPr>
        <w:t xml:space="preserve"> </w:t>
      </w:r>
      <w:r w:rsidRPr="00883399">
        <w:rPr>
          <w:sz w:val="22"/>
          <w:szCs w:val="20"/>
        </w:rPr>
        <w:t>is the energy content of fuel type (</w:t>
      </w:r>
      <w:r w:rsidRPr="00883399">
        <w:rPr>
          <w:b/>
          <w:i/>
          <w:sz w:val="22"/>
          <w:szCs w:val="20"/>
        </w:rPr>
        <w:t>i</w:t>
      </w:r>
      <w:r w:rsidRPr="00883399">
        <w:rPr>
          <w:sz w:val="22"/>
          <w:szCs w:val="20"/>
        </w:rPr>
        <w:t>) consumed during the year and measured in gigajoules.</w:t>
      </w:r>
    </w:p>
    <w:p w14:paraId="7EFF4D3C" w14:textId="77777777" w:rsidR="00545B62" w:rsidRPr="00883399" w:rsidRDefault="00545B62" w:rsidP="00545B62">
      <w:pPr>
        <w:spacing w:before="180" w:after="0" w:line="240" w:lineRule="auto"/>
        <w:ind w:left="1134"/>
        <w:rPr>
          <w:sz w:val="22"/>
          <w:szCs w:val="20"/>
        </w:rPr>
      </w:pPr>
      <w:r w:rsidRPr="00883399">
        <w:rPr>
          <w:b/>
          <w:i/>
          <w:sz w:val="22"/>
          <w:szCs w:val="20"/>
        </w:rPr>
        <w:t>Q</w:t>
      </w:r>
      <w:r w:rsidRPr="00883399">
        <w:rPr>
          <w:b/>
          <w:i/>
          <w:sz w:val="22"/>
          <w:szCs w:val="20"/>
          <w:vertAlign w:val="subscript"/>
        </w:rPr>
        <w:t>i</w:t>
      </w:r>
      <w:r w:rsidRPr="00883399">
        <w:rPr>
          <w:sz w:val="22"/>
          <w:szCs w:val="20"/>
        </w:rPr>
        <w:t xml:space="preserve"> is the quantity of fuel type (</w:t>
      </w:r>
      <w:r w:rsidRPr="00883399">
        <w:rPr>
          <w:b/>
          <w:i/>
          <w:sz w:val="22"/>
          <w:szCs w:val="20"/>
        </w:rPr>
        <w:t>i</w:t>
      </w:r>
      <w:r w:rsidRPr="00883399">
        <w:rPr>
          <w:sz w:val="22"/>
          <w:szCs w:val="20"/>
        </w:rPr>
        <w:t>) consumed during the year estimated in accordance with:</w:t>
      </w:r>
    </w:p>
    <w:p w14:paraId="2342F3EE" w14:textId="77777777" w:rsidR="00545B62" w:rsidRPr="00883399" w:rsidRDefault="00545B62" w:rsidP="00545B62">
      <w:pPr>
        <w:tabs>
          <w:tab w:val="right" w:pos="1531"/>
        </w:tabs>
        <w:spacing w:before="40" w:after="0" w:line="240" w:lineRule="auto"/>
        <w:ind w:left="1644" w:hanging="1644"/>
        <w:rPr>
          <w:sz w:val="22"/>
          <w:szCs w:val="20"/>
        </w:rPr>
      </w:pPr>
      <w:r w:rsidRPr="00883399">
        <w:rPr>
          <w:sz w:val="22"/>
          <w:szCs w:val="20"/>
        </w:rPr>
        <w:tab/>
        <w:t>(a)</w:t>
      </w:r>
      <w:r w:rsidRPr="00883399">
        <w:rPr>
          <w:sz w:val="22"/>
          <w:szCs w:val="20"/>
        </w:rPr>
        <w:tab/>
        <w:t>Parts 2.2 (solid fuels), 2.3 (gaseous fuels) and 2.4 (liquid fuels); or</w:t>
      </w:r>
    </w:p>
    <w:p w14:paraId="5A94B21F" w14:textId="77777777" w:rsidR="00545B62" w:rsidRPr="00883399" w:rsidRDefault="00545B62" w:rsidP="00545B62">
      <w:pPr>
        <w:tabs>
          <w:tab w:val="right" w:pos="1531"/>
        </w:tabs>
        <w:spacing w:before="40" w:after="0" w:line="240" w:lineRule="auto"/>
        <w:ind w:left="1644" w:hanging="1644"/>
        <w:rPr>
          <w:sz w:val="22"/>
          <w:szCs w:val="20"/>
        </w:rPr>
      </w:pPr>
      <w:r w:rsidRPr="00883399">
        <w:rPr>
          <w:sz w:val="22"/>
          <w:szCs w:val="20"/>
        </w:rPr>
        <w:tab/>
        <w:t>(b)</w:t>
      </w:r>
      <w:r w:rsidRPr="00883399">
        <w:rPr>
          <w:sz w:val="22"/>
          <w:szCs w:val="20"/>
        </w:rPr>
        <w:tab/>
        <w:t>subsection (2) for electricity.</w:t>
      </w:r>
    </w:p>
    <w:p w14:paraId="1582461A" w14:textId="77777777" w:rsidR="00545B62" w:rsidRPr="00883399" w:rsidRDefault="00545B62" w:rsidP="00545B62">
      <w:pPr>
        <w:spacing w:before="180" w:after="0" w:line="240" w:lineRule="auto"/>
        <w:ind w:left="1134"/>
        <w:rPr>
          <w:sz w:val="22"/>
          <w:szCs w:val="20"/>
        </w:rPr>
      </w:pPr>
      <w:r w:rsidRPr="00883399">
        <w:rPr>
          <w:b/>
          <w:bCs/>
          <w:i/>
          <w:iCs/>
          <w:sz w:val="22"/>
          <w:szCs w:val="20"/>
        </w:rPr>
        <w:t>EC</w:t>
      </w:r>
      <w:r w:rsidRPr="00883399">
        <w:rPr>
          <w:b/>
          <w:bCs/>
          <w:i/>
          <w:iCs/>
          <w:sz w:val="22"/>
          <w:szCs w:val="20"/>
          <w:vertAlign w:val="subscript"/>
        </w:rPr>
        <w:t>i,</w:t>
      </w:r>
      <w:r w:rsidRPr="00883399">
        <w:rPr>
          <w:b/>
          <w:i/>
          <w:sz w:val="22"/>
          <w:szCs w:val="20"/>
          <w:vertAlign w:val="subscript"/>
        </w:rPr>
        <w:t xml:space="preserve"> </w:t>
      </w:r>
      <w:r w:rsidRPr="00883399">
        <w:rPr>
          <w:sz w:val="22"/>
          <w:szCs w:val="20"/>
        </w:rPr>
        <w:t xml:space="preserve">is the energy content factor of fuel type </w:t>
      </w:r>
      <w:r w:rsidRPr="00883399">
        <w:rPr>
          <w:b/>
          <w:i/>
          <w:sz w:val="22"/>
          <w:szCs w:val="20"/>
        </w:rPr>
        <w:t xml:space="preserve">(i) </w:t>
      </w:r>
      <w:r w:rsidRPr="00883399">
        <w:rPr>
          <w:sz w:val="22"/>
          <w:szCs w:val="20"/>
        </w:rPr>
        <w:t>and is:</w:t>
      </w:r>
    </w:p>
    <w:p w14:paraId="41C80A11" w14:textId="77777777" w:rsidR="00545B62" w:rsidRPr="00883399" w:rsidRDefault="00545B62" w:rsidP="00545B62">
      <w:pPr>
        <w:tabs>
          <w:tab w:val="right" w:pos="1531"/>
        </w:tabs>
        <w:spacing w:before="40" w:after="0" w:line="240" w:lineRule="auto"/>
        <w:ind w:left="1644" w:hanging="1644"/>
        <w:rPr>
          <w:sz w:val="22"/>
          <w:szCs w:val="20"/>
        </w:rPr>
      </w:pPr>
      <w:r w:rsidRPr="00883399">
        <w:rPr>
          <w:sz w:val="22"/>
          <w:szCs w:val="20"/>
        </w:rPr>
        <w:tab/>
        <w:t>(a)</w:t>
      </w:r>
      <w:r w:rsidRPr="00883399">
        <w:rPr>
          <w:sz w:val="22"/>
          <w:szCs w:val="20"/>
        </w:rPr>
        <w:tab/>
        <w:t>for solid fuels, measured in gigajoules per tonne:</w:t>
      </w:r>
    </w:p>
    <w:p w14:paraId="323717FA" w14:textId="77777777" w:rsidR="00545B62" w:rsidRPr="00883399" w:rsidRDefault="00545B62" w:rsidP="00545B62">
      <w:pPr>
        <w:tabs>
          <w:tab w:val="right" w:pos="1985"/>
        </w:tabs>
        <w:spacing w:before="40" w:after="0" w:line="240" w:lineRule="auto"/>
        <w:ind w:left="2098" w:hanging="2098"/>
        <w:rPr>
          <w:sz w:val="22"/>
          <w:szCs w:val="20"/>
        </w:rPr>
      </w:pPr>
      <w:r w:rsidRPr="00883399">
        <w:rPr>
          <w:sz w:val="22"/>
          <w:szCs w:val="20"/>
        </w:rPr>
        <w:tab/>
        <w:t>(i)</w:t>
      </w:r>
      <w:r w:rsidRPr="00883399">
        <w:rPr>
          <w:sz w:val="22"/>
          <w:szCs w:val="20"/>
        </w:rPr>
        <w:tab/>
        <w:t>as mentioned in Part 1 of Schedule 1; or</w:t>
      </w:r>
    </w:p>
    <w:p w14:paraId="069F9795" w14:textId="77777777" w:rsidR="00545B62" w:rsidRPr="00883399" w:rsidRDefault="00545B62" w:rsidP="00545B62">
      <w:pPr>
        <w:tabs>
          <w:tab w:val="right" w:pos="1985"/>
        </w:tabs>
        <w:spacing w:before="40" w:after="0" w:line="240" w:lineRule="auto"/>
        <w:ind w:left="2098" w:hanging="2098"/>
        <w:rPr>
          <w:sz w:val="20"/>
          <w:szCs w:val="20"/>
        </w:rPr>
      </w:pPr>
      <w:r w:rsidRPr="00883399">
        <w:rPr>
          <w:sz w:val="22"/>
          <w:szCs w:val="20"/>
        </w:rPr>
        <w:tab/>
        <w:t>(ii)</w:t>
      </w:r>
      <w:r w:rsidRPr="00883399">
        <w:rPr>
          <w:sz w:val="22"/>
          <w:szCs w:val="20"/>
        </w:rPr>
        <w:tab/>
        <w:t>estimated by analysis of the fuel in accordance with the standard indicated for that energy content factor in Schedule 2 or an equivalent standard; or</w:t>
      </w:r>
    </w:p>
    <w:p w14:paraId="3386E6BA" w14:textId="77777777" w:rsidR="00545B62" w:rsidRPr="00883399" w:rsidRDefault="00545B62" w:rsidP="00545B62">
      <w:pPr>
        <w:tabs>
          <w:tab w:val="right" w:pos="1531"/>
        </w:tabs>
        <w:spacing w:before="40" w:after="0" w:line="240" w:lineRule="auto"/>
        <w:ind w:left="1644" w:hanging="1644"/>
        <w:rPr>
          <w:sz w:val="22"/>
          <w:szCs w:val="20"/>
        </w:rPr>
      </w:pPr>
      <w:r w:rsidRPr="00883399">
        <w:rPr>
          <w:sz w:val="22"/>
          <w:szCs w:val="20"/>
        </w:rPr>
        <w:tab/>
        <w:t>(b)</w:t>
      </w:r>
      <w:r w:rsidRPr="00883399">
        <w:rPr>
          <w:sz w:val="22"/>
          <w:szCs w:val="20"/>
        </w:rPr>
        <w:tab/>
        <w:t xml:space="preserve">for gaseous fuels, measured in gigajoules per cubic metre: </w:t>
      </w:r>
    </w:p>
    <w:p w14:paraId="594E3EDE" w14:textId="77777777" w:rsidR="00545B62" w:rsidRPr="00883399" w:rsidRDefault="00545B62" w:rsidP="00545B62">
      <w:pPr>
        <w:tabs>
          <w:tab w:val="right" w:pos="1985"/>
        </w:tabs>
        <w:spacing w:before="40" w:after="0" w:line="240" w:lineRule="auto"/>
        <w:ind w:left="2098" w:hanging="2098"/>
        <w:rPr>
          <w:sz w:val="22"/>
          <w:szCs w:val="20"/>
        </w:rPr>
      </w:pPr>
      <w:r w:rsidRPr="00883399">
        <w:rPr>
          <w:sz w:val="22"/>
          <w:szCs w:val="20"/>
        </w:rPr>
        <w:tab/>
        <w:t>(i)</w:t>
      </w:r>
      <w:r w:rsidRPr="00883399">
        <w:rPr>
          <w:sz w:val="22"/>
          <w:szCs w:val="20"/>
        </w:rPr>
        <w:tab/>
        <w:t>as mentioned in Part 2 of Schedule 1; or</w:t>
      </w:r>
    </w:p>
    <w:p w14:paraId="29CEA790" w14:textId="77777777" w:rsidR="00545B62" w:rsidRPr="00883399" w:rsidRDefault="00545B62" w:rsidP="00545B62">
      <w:pPr>
        <w:tabs>
          <w:tab w:val="right" w:pos="1985"/>
        </w:tabs>
        <w:spacing w:before="40" w:after="0" w:line="240" w:lineRule="auto"/>
        <w:ind w:left="2098" w:hanging="2098"/>
        <w:rPr>
          <w:sz w:val="22"/>
          <w:szCs w:val="20"/>
        </w:rPr>
      </w:pPr>
      <w:r w:rsidRPr="00883399">
        <w:rPr>
          <w:sz w:val="22"/>
          <w:szCs w:val="20"/>
        </w:rPr>
        <w:lastRenderedPageBreak/>
        <w:tab/>
        <w:t>(ii)</w:t>
      </w:r>
      <w:r w:rsidRPr="00883399">
        <w:rPr>
          <w:sz w:val="22"/>
          <w:szCs w:val="20"/>
        </w:rPr>
        <w:tab/>
        <w:t>estimated by analysis under Subdivision 2.3.3.2; or</w:t>
      </w:r>
    </w:p>
    <w:p w14:paraId="77FEFBC7" w14:textId="77777777" w:rsidR="00545B62" w:rsidRPr="00883399" w:rsidRDefault="00545B62" w:rsidP="00545B62">
      <w:pPr>
        <w:tabs>
          <w:tab w:val="right" w:pos="1531"/>
        </w:tabs>
        <w:spacing w:before="40" w:after="0" w:line="240" w:lineRule="auto"/>
        <w:ind w:left="1644" w:hanging="1644"/>
        <w:rPr>
          <w:sz w:val="22"/>
          <w:szCs w:val="20"/>
        </w:rPr>
      </w:pPr>
      <w:r w:rsidRPr="00883399">
        <w:rPr>
          <w:sz w:val="22"/>
          <w:szCs w:val="20"/>
        </w:rPr>
        <w:tab/>
        <w:t>(c)</w:t>
      </w:r>
      <w:r w:rsidRPr="00883399">
        <w:rPr>
          <w:sz w:val="22"/>
          <w:szCs w:val="20"/>
        </w:rPr>
        <w:tab/>
        <w:t xml:space="preserve">for gaseous fuels measured in gigajoules—equal to 1; or </w:t>
      </w:r>
    </w:p>
    <w:p w14:paraId="0C0DF18A" w14:textId="77777777" w:rsidR="00545B62" w:rsidRPr="00883399" w:rsidRDefault="00545B62" w:rsidP="00545B62">
      <w:pPr>
        <w:tabs>
          <w:tab w:val="right" w:pos="1531"/>
        </w:tabs>
        <w:spacing w:before="40" w:after="0" w:line="240" w:lineRule="auto"/>
        <w:ind w:left="1644" w:hanging="1644"/>
        <w:rPr>
          <w:sz w:val="22"/>
          <w:szCs w:val="20"/>
        </w:rPr>
      </w:pPr>
      <w:r w:rsidRPr="00883399">
        <w:rPr>
          <w:sz w:val="22"/>
          <w:szCs w:val="20"/>
        </w:rPr>
        <w:tab/>
        <w:t>(d)</w:t>
      </w:r>
      <w:r w:rsidRPr="00883399">
        <w:rPr>
          <w:sz w:val="22"/>
          <w:szCs w:val="20"/>
        </w:rPr>
        <w:tab/>
        <w:t>for liquid fuels, measured in gigajoules per kilolitre:</w:t>
      </w:r>
    </w:p>
    <w:p w14:paraId="0DF7F282" w14:textId="77777777" w:rsidR="00545B62" w:rsidRPr="00883399" w:rsidRDefault="00545B62" w:rsidP="00545B62">
      <w:pPr>
        <w:tabs>
          <w:tab w:val="right" w:pos="1985"/>
        </w:tabs>
        <w:spacing w:before="40" w:after="0" w:line="240" w:lineRule="auto"/>
        <w:ind w:left="2098" w:hanging="2098"/>
        <w:rPr>
          <w:sz w:val="22"/>
          <w:szCs w:val="20"/>
        </w:rPr>
      </w:pPr>
      <w:r w:rsidRPr="00883399">
        <w:rPr>
          <w:sz w:val="22"/>
          <w:szCs w:val="20"/>
        </w:rPr>
        <w:tab/>
        <w:t>(i)</w:t>
      </w:r>
      <w:r w:rsidRPr="00883399">
        <w:rPr>
          <w:sz w:val="22"/>
          <w:szCs w:val="20"/>
        </w:rPr>
        <w:tab/>
        <w:t>as mentioned in Part 3 of Schedule 1 for stationary energy purposes; or</w:t>
      </w:r>
    </w:p>
    <w:p w14:paraId="7C1F219E" w14:textId="77777777" w:rsidR="00545B62" w:rsidRPr="00883399" w:rsidRDefault="00545B62" w:rsidP="00545B62">
      <w:pPr>
        <w:tabs>
          <w:tab w:val="right" w:pos="1985"/>
        </w:tabs>
        <w:spacing w:before="40" w:after="0" w:line="240" w:lineRule="auto"/>
        <w:ind w:left="2098" w:hanging="2098"/>
        <w:rPr>
          <w:sz w:val="22"/>
          <w:szCs w:val="20"/>
        </w:rPr>
      </w:pPr>
      <w:r w:rsidRPr="00883399">
        <w:rPr>
          <w:sz w:val="22"/>
          <w:szCs w:val="20"/>
        </w:rPr>
        <w:tab/>
        <w:t>(ii)</w:t>
      </w:r>
      <w:r w:rsidRPr="00883399">
        <w:rPr>
          <w:sz w:val="22"/>
          <w:szCs w:val="20"/>
        </w:rPr>
        <w:tab/>
        <w:t>as mentioned in Division 4.1 of Schedule 1 for transport energy purposes; or</w:t>
      </w:r>
    </w:p>
    <w:p w14:paraId="515993AC" w14:textId="77777777" w:rsidR="00545B62" w:rsidRPr="00883399" w:rsidRDefault="00545B62" w:rsidP="00545B62">
      <w:pPr>
        <w:tabs>
          <w:tab w:val="right" w:pos="1985"/>
        </w:tabs>
        <w:spacing w:before="40" w:after="0" w:line="240" w:lineRule="auto"/>
        <w:ind w:left="2098" w:hanging="2098"/>
        <w:rPr>
          <w:sz w:val="22"/>
          <w:szCs w:val="20"/>
        </w:rPr>
      </w:pPr>
      <w:r w:rsidRPr="00883399">
        <w:rPr>
          <w:sz w:val="22"/>
          <w:szCs w:val="20"/>
        </w:rPr>
        <w:tab/>
        <w:t>(iii)</w:t>
      </w:r>
      <w:r w:rsidRPr="00883399">
        <w:rPr>
          <w:sz w:val="22"/>
          <w:szCs w:val="20"/>
        </w:rPr>
        <w:tab/>
        <w:t>estimated by analysis under Subdivision 2.4.3.2; or</w:t>
      </w:r>
    </w:p>
    <w:p w14:paraId="74830F43" w14:textId="77777777" w:rsidR="00545B62" w:rsidRPr="00883399" w:rsidRDefault="00545B62" w:rsidP="00545B62">
      <w:pPr>
        <w:tabs>
          <w:tab w:val="right" w:pos="1531"/>
        </w:tabs>
        <w:spacing w:before="40" w:after="0" w:line="240" w:lineRule="auto"/>
        <w:ind w:left="1644" w:hanging="1644"/>
        <w:rPr>
          <w:sz w:val="22"/>
          <w:szCs w:val="20"/>
        </w:rPr>
      </w:pPr>
      <w:r w:rsidRPr="00883399">
        <w:rPr>
          <w:sz w:val="22"/>
          <w:szCs w:val="20"/>
        </w:rPr>
        <w:tab/>
        <w:t>(e)</w:t>
      </w:r>
      <w:r w:rsidRPr="00883399">
        <w:rPr>
          <w:sz w:val="22"/>
          <w:szCs w:val="20"/>
        </w:rPr>
        <w:tab/>
        <w:t>for electricity measured in kilowatt hours—equal to 0.0036.</w:t>
      </w:r>
    </w:p>
    <w:p w14:paraId="62ED7F1D" w14:textId="77777777" w:rsidR="00545B62" w:rsidRPr="00883399" w:rsidRDefault="00545B62" w:rsidP="00545B62">
      <w:pPr>
        <w:spacing w:before="122" w:after="0" w:line="240" w:lineRule="auto"/>
        <w:ind w:left="1985" w:hanging="851"/>
        <w:rPr>
          <w:sz w:val="18"/>
          <w:szCs w:val="20"/>
        </w:rPr>
      </w:pPr>
      <w:r w:rsidRPr="00883399">
        <w:rPr>
          <w:sz w:val="18"/>
          <w:szCs w:val="20"/>
        </w:rPr>
        <w:t>Note:</w:t>
      </w:r>
      <w:r w:rsidRPr="00883399">
        <w:rPr>
          <w:sz w:val="18"/>
          <w:szCs w:val="20"/>
        </w:rPr>
        <w:tab/>
        <w:t xml:space="preserve">Energy includes the fuels and energy commodities listed in Schedule 1 to the Regulations. See the definition of </w:t>
      </w:r>
      <w:r w:rsidRPr="00883399">
        <w:rPr>
          <w:b/>
          <w:i/>
          <w:sz w:val="18"/>
          <w:szCs w:val="20"/>
        </w:rPr>
        <w:t>energy</w:t>
      </w:r>
      <w:r w:rsidRPr="00883399">
        <w:rPr>
          <w:sz w:val="18"/>
          <w:szCs w:val="20"/>
        </w:rPr>
        <w:t xml:space="preserve"> in section 7 of the Act and regulation 2.03 of the Regulations.</w:t>
      </w:r>
    </w:p>
    <w:p w14:paraId="4C326C74" w14:textId="77777777" w:rsidR="00545B62" w:rsidRPr="00883399" w:rsidRDefault="00545B62" w:rsidP="00545B62">
      <w:pPr>
        <w:tabs>
          <w:tab w:val="right" w:pos="1021"/>
        </w:tabs>
        <w:spacing w:before="180" w:after="0" w:line="240" w:lineRule="auto"/>
        <w:ind w:left="1134" w:hanging="1134"/>
        <w:rPr>
          <w:sz w:val="22"/>
          <w:szCs w:val="20"/>
        </w:rPr>
      </w:pPr>
      <w:r w:rsidRPr="00883399">
        <w:rPr>
          <w:sz w:val="22"/>
          <w:szCs w:val="20"/>
        </w:rPr>
        <w:tab/>
        <w:t>(1A)</w:t>
      </w:r>
      <w:r w:rsidRPr="00883399">
        <w:rPr>
          <w:sz w:val="22"/>
          <w:szCs w:val="20"/>
        </w:rPr>
        <w:tab/>
        <w:t>Despite subsection (1), if:</w:t>
      </w:r>
    </w:p>
    <w:p w14:paraId="45776DB7" w14:textId="77777777" w:rsidR="00545B62" w:rsidRPr="00883399" w:rsidRDefault="00545B62" w:rsidP="00545B62">
      <w:pPr>
        <w:tabs>
          <w:tab w:val="right" w:pos="1531"/>
        </w:tabs>
        <w:spacing w:before="40" w:after="0" w:line="240" w:lineRule="auto"/>
        <w:ind w:left="1644" w:hanging="1644"/>
        <w:rPr>
          <w:sz w:val="22"/>
          <w:szCs w:val="20"/>
        </w:rPr>
      </w:pPr>
      <w:r w:rsidRPr="00883399">
        <w:rPr>
          <w:sz w:val="22"/>
          <w:szCs w:val="20"/>
        </w:rPr>
        <w:tab/>
        <w:t>(a)</w:t>
      </w:r>
      <w:r w:rsidRPr="00883399">
        <w:rPr>
          <w:sz w:val="22"/>
          <w:szCs w:val="20"/>
        </w:rPr>
        <w:tab/>
        <w:t>the kind of energy is one of the following:</w:t>
      </w:r>
    </w:p>
    <w:p w14:paraId="11B8DB94" w14:textId="77777777" w:rsidR="00545B62" w:rsidRPr="00883399" w:rsidRDefault="00545B62" w:rsidP="00545B62">
      <w:pPr>
        <w:tabs>
          <w:tab w:val="right" w:pos="1985"/>
        </w:tabs>
        <w:spacing w:before="40" w:after="0" w:line="240" w:lineRule="auto"/>
        <w:ind w:left="2098" w:hanging="2098"/>
        <w:rPr>
          <w:sz w:val="22"/>
          <w:szCs w:val="20"/>
        </w:rPr>
      </w:pPr>
      <w:r w:rsidRPr="00883399">
        <w:rPr>
          <w:sz w:val="22"/>
          <w:szCs w:val="20"/>
        </w:rPr>
        <w:tab/>
        <w:t>(i)</w:t>
      </w:r>
      <w:r w:rsidRPr="00883399">
        <w:rPr>
          <w:sz w:val="22"/>
          <w:szCs w:val="20"/>
        </w:rPr>
        <w:tab/>
        <w:t>solar energy for electricity generation;</w:t>
      </w:r>
    </w:p>
    <w:p w14:paraId="7BCC64ED" w14:textId="77777777" w:rsidR="00545B62" w:rsidRPr="00883399" w:rsidRDefault="00545B62" w:rsidP="00545B62">
      <w:pPr>
        <w:tabs>
          <w:tab w:val="right" w:pos="1985"/>
        </w:tabs>
        <w:spacing w:before="40" w:after="0" w:line="240" w:lineRule="auto"/>
        <w:ind w:left="2098" w:hanging="2098"/>
        <w:rPr>
          <w:sz w:val="22"/>
          <w:szCs w:val="20"/>
        </w:rPr>
      </w:pPr>
      <w:r w:rsidRPr="00883399">
        <w:rPr>
          <w:sz w:val="22"/>
          <w:szCs w:val="20"/>
        </w:rPr>
        <w:tab/>
        <w:t>(ii)</w:t>
      </w:r>
      <w:r w:rsidRPr="00883399">
        <w:rPr>
          <w:sz w:val="22"/>
          <w:szCs w:val="20"/>
        </w:rPr>
        <w:tab/>
        <w:t>wind energy for electricity generation;</w:t>
      </w:r>
    </w:p>
    <w:p w14:paraId="6B48BFB9" w14:textId="77777777" w:rsidR="00545B62" w:rsidRPr="00883399" w:rsidRDefault="00545B62" w:rsidP="00545B62">
      <w:pPr>
        <w:tabs>
          <w:tab w:val="right" w:pos="1985"/>
        </w:tabs>
        <w:spacing w:before="40" w:after="0" w:line="240" w:lineRule="auto"/>
        <w:ind w:left="2098" w:hanging="2098"/>
        <w:rPr>
          <w:sz w:val="22"/>
          <w:szCs w:val="20"/>
        </w:rPr>
      </w:pPr>
      <w:r w:rsidRPr="00883399">
        <w:rPr>
          <w:sz w:val="22"/>
          <w:szCs w:val="20"/>
        </w:rPr>
        <w:tab/>
        <w:t>(iii)</w:t>
      </w:r>
      <w:r w:rsidRPr="00883399">
        <w:rPr>
          <w:sz w:val="22"/>
          <w:szCs w:val="20"/>
        </w:rPr>
        <w:tab/>
        <w:t>water energy for electricity generation;</w:t>
      </w:r>
    </w:p>
    <w:p w14:paraId="60EFFE23" w14:textId="77777777" w:rsidR="00545B62" w:rsidRPr="00883399" w:rsidRDefault="00545B62" w:rsidP="00545B62">
      <w:pPr>
        <w:tabs>
          <w:tab w:val="right" w:pos="1985"/>
        </w:tabs>
        <w:spacing w:before="40" w:after="0" w:line="240" w:lineRule="auto"/>
        <w:ind w:left="2098" w:hanging="2098"/>
        <w:rPr>
          <w:sz w:val="22"/>
          <w:szCs w:val="20"/>
        </w:rPr>
      </w:pPr>
      <w:r w:rsidRPr="00883399">
        <w:rPr>
          <w:sz w:val="22"/>
          <w:szCs w:val="20"/>
        </w:rPr>
        <w:tab/>
        <w:t>(iv)</w:t>
      </w:r>
      <w:r w:rsidRPr="00883399">
        <w:rPr>
          <w:sz w:val="22"/>
          <w:szCs w:val="20"/>
        </w:rPr>
        <w:tab/>
        <w:t>geothermal energy for electricity generation; and</w:t>
      </w:r>
    </w:p>
    <w:p w14:paraId="71F56E23" w14:textId="77777777" w:rsidR="00545B62" w:rsidRPr="00883399" w:rsidRDefault="00545B62" w:rsidP="00545B62">
      <w:pPr>
        <w:tabs>
          <w:tab w:val="right" w:pos="1531"/>
        </w:tabs>
        <w:spacing w:before="40" w:after="0" w:line="240" w:lineRule="auto"/>
        <w:ind w:left="1644" w:hanging="1644"/>
        <w:rPr>
          <w:sz w:val="22"/>
          <w:szCs w:val="20"/>
        </w:rPr>
      </w:pPr>
      <w:r w:rsidRPr="00883399">
        <w:rPr>
          <w:sz w:val="22"/>
          <w:szCs w:val="20"/>
        </w:rPr>
        <w:tab/>
        <w:t>(b)</w:t>
      </w:r>
      <w:r w:rsidRPr="00883399">
        <w:rPr>
          <w:sz w:val="22"/>
          <w:szCs w:val="20"/>
        </w:rPr>
        <w:tab/>
        <w:t>the energy is consumed from the operation of the facility during the year; and</w:t>
      </w:r>
    </w:p>
    <w:p w14:paraId="6F8F245B" w14:textId="77777777" w:rsidR="00545B62" w:rsidRPr="00883399" w:rsidRDefault="00545B62" w:rsidP="00545B62">
      <w:pPr>
        <w:tabs>
          <w:tab w:val="right" w:pos="1531"/>
        </w:tabs>
        <w:spacing w:before="40" w:after="0" w:line="240" w:lineRule="auto"/>
        <w:ind w:left="1644" w:hanging="1644"/>
        <w:rPr>
          <w:sz w:val="22"/>
          <w:szCs w:val="20"/>
        </w:rPr>
      </w:pPr>
      <w:r w:rsidRPr="00883399">
        <w:rPr>
          <w:sz w:val="22"/>
          <w:szCs w:val="20"/>
        </w:rPr>
        <w:tab/>
        <w:t>(c)</w:t>
      </w:r>
      <w:r w:rsidRPr="00883399">
        <w:rPr>
          <w:sz w:val="22"/>
          <w:szCs w:val="20"/>
        </w:rPr>
        <w:tab/>
        <w:t>from that consumption of energy, electricity is produced from the operation of the facility during the year;</w:t>
      </w:r>
    </w:p>
    <w:p w14:paraId="6172A9C6" w14:textId="77777777" w:rsidR="00545B62" w:rsidRPr="00883399" w:rsidRDefault="00545B62" w:rsidP="00545B62">
      <w:pPr>
        <w:spacing w:before="40" w:after="0" w:line="240" w:lineRule="auto"/>
        <w:ind w:left="1134"/>
        <w:rPr>
          <w:sz w:val="22"/>
          <w:szCs w:val="20"/>
        </w:rPr>
      </w:pPr>
      <w:r w:rsidRPr="00883399">
        <w:rPr>
          <w:sz w:val="22"/>
          <w:szCs w:val="20"/>
        </w:rPr>
        <w:t>then the energy content of the consumed energy is taken to be equal to the energy content of the electricity produced as estimated under Part 6.1.</w:t>
      </w:r>
    </w:p>
    <w:p w14:paraId="06E7EE5E" w14:textId="77777777" w:rsidR="00545B62" w:rsidRPr="00883399" w:rsidRDefault="00545B62" w:rsidP="00545B62">
      <w:pPr>
        <w:tabs>
          <w:tab w:val="right" w:pos="1021"/>
        </w:tabs>
        <w:spacing w:before="180" w:after="0" w:line="240" w:lineRule="auto"/>
        <w:ind w:left="1134" w:hanging="1134"/>
        <w:rPr>
          <w:sz w:val="22"/>
          <w:szCs w:val="20"/>
        </w:rPr>
      </w:pPr>
      <w:r w:rsidRPr="00883399">
        <w:rPr>
          <w:sz w:val="22"/>
          <w:szCs w:val="20"/>
        </w:rPr>
        <w:tab/>
        <w:t>(2)</w:t>
      </w:r>
      <w:r w:rsidRPr="00883399">
        <w:rPr>
          <w:sz w:val="22"/>
          <w:szCs w:val="20"/>
        </w:rPr>
        <w:tab/>
        <w:t>The amount of electricity consumed from the operation of the facility during the year must be:</w:t>
      </w:r>
    </w:p>
    <w:p w14:paraId="0AB05309" w14:textId="77777777" w:rsidR="00545B62" w:rsidRPr="00883399" w:rsidRDefault="00545B62" w:rsidP="00545B62">
      <w:pPr>
        <w:tabs>
          <w:tab w:val="right" w:pos="1531"/>
        </w:tabs>
        <w:spacing w:before="40" w:after="0" w:line="240" w:lineRule="auto"/>
        <w:ind w:left="1644" w:hanging="1644"/>
        <w:rPr>
          <w:sz w:val="22"/>
          <w:szCs w:val="20"/>
        </w:rPr>
      </w:pPr>
      <w:r w:rsidRPr="00883399">
        <w:rPr>
          <w:sz w:val="22"/>
          <w:szCs w:val="20"/>
        </w:rPr>
        <w:tab/>
        <w:t>(a)</w:t>
      </w:r>
      <w:r w:rsidRPr="00883399">
        <w:rPr>
          <w:sz w:val="22"/>
          <w:szCs w:val="20"/>
        </w:rPr>
        <w:tab/>
        <w:t>evidenced by invoices, contractual arrangements or industry metering records; or</w:t>
      </w:r>
    </w:p>
    <w:p w14:paraId="296E2D4E" w14:textId="77777777" w:rsidR="00545B62" w:rsidRPr="00883399" w:rsidRDefault="00545B62" w:rsidP="00545B62">
      <w:pPr>
        <w:tabs>
          <w:tab w:val="right" w:pos="1531"/>
        </w:tabs>
        <w:spacing w:before="40" w:after="0" w:line="240" w:lineRule="auto"/>
        <w:ind w:left="1644" w:hanging="1644"/>
        <w:rPr>
          <w:sz w:val="22"/>
          <w:szCs w:val="20"/>
        </w:rPr>
      </w:pPr>
      <w:r w:rsidRPr="00883399">
        <w:rPr>
          <w:sz w:val="22"/>
          <w:szCs w:val="20"/>
        </w:rPr>
        <w:tab/>
        <w:t>(b)</w:t>
      </w:r>
      <w:r w:rsidRPr="00883399">
        <w:rPr>
          <w:sz w:val="22"/>
          <w:szCs w:val="20"/>
        </w:rPr>
        <w:tab/>
        <w:t xml:space="preserve">estimated in accordance with industry practice, if the evidence under paragraph (a) is unavailable. </w:t>
      </w:r>
    </w:p>
    <w:p w14:paraId="02CCC32F" w14:textId="77777777" w:rsidR="00545B62" w:rsidRPr="00883399" w:rsidRDefault="00545B62" w:rsidP="00545B62">
      <w:pPr>
        <w:tabs>
          <w:tab w:val="right" w:pos="1021"/>
        </w:tabs>
        <w:spacing w:before="180" w:after="0" w:line="240" w:lineRule="auto"/>
        <w:ind w:left="1134" w:hanging="1134"/>
        <w:rPr>
          <w:sz w:val="22"/>
          <w:szCs w:val="20"/>
        </w:rPr>
      </w:pPr>
      <w:r w:rsidRPr="00883399">
        <w:rPr>
          <w:sz w:val="22"/>
          <w:szCs w:val="20"/>
        </w:rPr>
        <w:tab/>
        <w:t>(3)</w:t>
      </w:r>
      <w:r w:rsidRPr="00883399">
        <w:rPr>
          <w:sz w:val="22"/>
          <w:szCs w:val="20"/>
        </w:rPr>
        <w:tab/>
        <w:t>If, in relation to a year:</w:t>
      </w:r>
    </w:p>
    <w:p w14:paraId="04689E3F" w14:textId="77777777" w:rsidR="00545B62" w:rsidRPr="00883399" w:rsidRDefault="00545B62" w:rsidP="00545B62">
      <w:pPr>
        <w:tabs>
          <w:tab w:val="right" w:pos="1531"/>
        </w:tabs>
        <w:spacing w:before="40" w:after="0" w:line="240" w:lineRule="auto"/>
        <w:ind w:left="1644" w:hanging="1644"/>
        <w:rPr>
          <w:sz w:val="22"/>
          <w:szCs w:val="20"/>
        </w:rPr>
      </w:pPr>
      <w:r w:rsidRPr="00883399">
        <w:rPr>
          <w:sz w:val="22"/>
          <w:szCs w:val="20"/>
        </w:rPr>
        <w:tab/>
        <w:t>(a)</w:t>
      </w:r>
      <w:r w:rsidRPr="00883399">
        <w:rPr>
          <w:sz w:val="22"/>
          <w:szCs w:val="20"/>
        </w:rPr>
        <w:tab/>
        <w:t xml:space="preserve">a method used by a person requires the </w:t>
      </w:r>
      <w:r w:rsidRPr="00883399">
        <w:rPr>
          <w:b/>
          <w:bCs/>
          <w:i/>
          <w:iCs/>
          <w:sz w:val="22"/>
          <w:szCs w:val="20"/>
        </w:rPr>
        <w:t>EC</w:t>
      </w:r>
      <w:r w:rsidRPr="00883399">
        <w:rPr>
          <w:b/>
          <w:bCs/>
          <w:i/>
          <w:iCs/>
          <w:sz w:val="22"/>
          <w:szCs w:val="20"/>
          <w:vertAlign w:val="subscript"/>
        </w:rPr>
        <w:t>i</w:t>
      </w:r>
      <w:r w:rsidRPr="00883399">
        <w:rPr>
          <w:b/>
          <w:i/>
          <w:sz w:val="22"/>
          <w:szCs w:val="20"/>
        </w:rPr>
        <w:t xml:space="preserve"> </w:t>
      </w:r>
      <w:r w:rsidRPr="00883399">
        <w:rPr>
          <w:sz w:val="22"/>
          <w:szCs w:val="20"/>
        </w:rPr>
        <w:t>factor to be estimated under this section in relation to a particular fuel type (</w:t>
      </w:r>
      <w:r w:rsidRPr="00883399">
        <w:rPr>
          <w:b/>
          <w:i/>
          <w:sz w:val="22"/>
          <w:szCs w:val="20"/>
        </w:rPr>
        <w:t>i</w:t>
      </w:r>
      <w:r w:rsidRPr="00883399">
        <w:rPr>
          <w:sz w:val="22"/>
          <w:szCs w:val="20"/>
        </w:rPr>
        <w:t>); and</w:t>
      </w:r>
    </w:p>
    <w:p w14:paraId="3C8B84E5" w14:textId="77777777" w:rsidR="00545B62" w:rsidRPr="00883399" w:rsidRDefault="00545B62" w:rsidP="00545B62">
      <w:pPr>
        <w:tabs>
          <w:tab w:val="right" w:pos="1531"/>
        </w:tabs>
        <w:spacing w:before="40" w:after="0" w:line="240" w:lineRule="auto"/>
        <w:ind w:left="1644" w:hanging="1644"/>
        <w:rPr>
          <w:sz w:val="22"/>
          <w:szCs w:val="20"/>
        </w:rPr>
      </w:pPr>
      <w:r w:rsidRPr="00883399">
        <w:rPr>
          <w:sz w:val="22"/>
          <w:szCs w:val="20"/>
        </w:rPr>
        <w:tab/>
        <w:t>(b)</w:t>
      </w:r>
      <w:r w:rsidRPr="00883399">
        <w:rPr>
          <w:sz w:val="22"/>
          <w:szCs w:val="20"/>
        </w:rPr>
        <w:tab/>
        <w:t>a way of estimating is chosen for the fuel type as required by this section; and</w:t>
      </w:r>
    </w:p>
    <w:p w14:paraId="4F7623E4" w14:textId="77777777" w:rsidR="00545B62" w:rsidRPr="00883399" w:rsidRDefault="00545B62" w:rsidP="00545B62">
      <w:pPr>
        <w:tabs>
          <w:tab w:val="right" w:pos="1531"/>
        </w:tabs>
        <w:spacing w:before="40" w:after="0" w:line="240" w:lineRule="auto"/>
        <w:ind w:left="1644" w:hanging="1644"/>
        <w:rPr>
          <w:sz w:val="22"/>
          <w:szCs w:val="20"/>
        </w:rPr>
      </w:pPr>
      <w:r w:rsidRPr="00883399">
        <w:rPr>
          <w:sz w:val="22"/>
          <w:szCs w:val="20"/>
        </w:rPr>
        <w:tab/>
        <w:t>(c)</w:t>
      </w:r>
      <w:r w:rsidRPr="00883399">
        <w:rPr>
          <w:sz w:val="22"/>
          <w:szCs w:val="20"/>
        </w:rPr>
        <w:tab/>
        <w:t xml:space="preserve">other methods used by the person for the same fuel type also require the </w:t>
      </w:r>
      <w:r w:rsidRPr="00883399">
        <w:rPr>
          <w:b/>
          <w:bCs/>
          <w:i/>
          <w:iCs/>
          <w:sz w:val="22"/>
          <w:szCs w:val="20"/>
        </w:rPr>
        <w:t>EC</w:t>
      </w:r>
      <w:r w:rsidRPr="00883399">
        <w:rPr>
          <w:b/>
          <w:bCs/>
          <w:i/>
          <w:iCs/>
          <w:sz w:val="22"/>
          <w:szCs w:val="20"/>
          <w:vertAlign w:val="subscript"/>
        </w:rPr>
        <w:t>i</w:t>
      </w:r>
      <w:r w:rsidRPr="00883399">
        <w:rPr>
          <w:b/>
          <w:i/>
          <w:sz w:val="22"/>
          <w:szCs w:val="20"/>
        </w:rPr>
        <w:t xml:space="preserve"> </w:t>
      </w:r>
      <w:r w:rsidRPr="00883399">
        <w:rPr>
          <w:sz w:val="22"/>
          <w:szCs w:val="20"/>
        </w:rPr>
        <w:t>factor to be estimated under this section;</w:t>
      </w:r>
    </w:p>
    <w:p w14:paraId="024BC32A" w14:textId="77777777" w:rsidR="00545B62" w:rsidRPr="00883399" w:rsidRDefault="00545B62" w:rsidP="00545B62">
      <w:pPr>
        <w:spacing w:before="40" w:after="0" w:line="240" w:lineRule="auto"/>
        <w:ind w:left="1134"/>
        <w:rPr>
          <w:sz w:val="22"/>
          <w:szCs w:val="20"/>
        </w:rPr>
      </w:pPr>
      <w:r w:rsidRPr="00883399">
        <w:rPr>
          <w:sz w:val="22"/>
          <w:szCs w:val="20"/>
        </w:rPr>
        <w:t>then the chosen way of estimating, and the amount estimated, must also be applied in using the other methods for the fuel type in relation to that year.</w:t>
      </w:r>
    </w:p>
    <w:p w14:paraId="2F8AD3DD" w14:textId="77777777" w:rsidR="00545B62" w:rsidRPr="00883399" w:rsidRDefault="00545B62" w:rsidP="00545B62">
      <w:pPr>
        <w:keepNext/>
        <w:keepLines/>
        <w:spacing w:before="240" w:after="0" w:line="240" w:lineRule="auto"/>
        <w:ind w:left="1134"/>
        <w:rPr>
          <w:i/>
          <w:sz w:val="22"/>
          <w:szCs w:val="20"/>
        </w:rPr>
      </w:pPr>
      <w:r w:rsidRPr="00883399">
        <w:rPr>
          <w:i/>
          <w:sz w:val="22"/>
          <w:szCs w:val="20"/>
        </w:rPr>
        <w:lastRenderedPageBreak/>
        <w:t>Sulphur, uranium or hydrogen</w:t>
      </w:r>
    </w:p>
    <w:p w14:paraId="7BEE8233" w14:textId="77777777" w:rsidR="00545B62" w:rsidRPr="00883399" w:rsidRDefault="00545B62" w:rsidP="00545B62">
      <w:pPr>
        <w:tabs>
          <w:tab w:val="right" w:pos="1021"/>
        </w:tabs>
        <w:spacing w:before="180" w:after="0" w:line="240" w:lineRule="auto"/>
        <w:ind w:left="1134" w:hanging="1134"/>
        <w:rPr>
          <w:sz w:val="22"/>
          <w:szCs w:val="20"/>
        </w:rPr>
      </w:pPr>
      <w:r w:rsidRPr="00883399">
        <w:rPr>
          <w:sz w:val="22"/>
          <w:szCs w:val="20"/>
        </w:rPr>
        <w:tab/>
        <w:t>(4)</w:t>
      </w:r>
      <w:r w:rsidRPr="00883399">
        <w:rPr>
          <w:sz w:val="22"/>
          <w:szCs w:val="20"/>
        </w:rPr>
        <w:tab/>
        <w:t>The energy content of sulphur, uranium or hydrogen consumed from the operation of the facility during the year is worked out using the following formula:</w:t>
      </w:r>
    </w:p>
    <w:p w14:paraId="0805E939" w14:textId="77777777" w:rsidR="00545B62" w:rsidRPr="00883399" w:rsidRDefault="00545B62" w:rsidP="00545B62">
      <w:pPr>
        <w:spacing w:before="40" w:after="0" w:line="240" w:lineRule="auto"/>
        <w:ind w:left="1134"/>
        <w:rPr>
          <w:sz w:val="22"/>
          <w:szCs w:val="20"/>
        </w:rPr>
      </w:pPr>
      <w:r w:rsidRPr="00883399">
        <w:rPr>
          <w:position w:val="-10"/>
          <w:sz w:val="22"/>
          <w:szCs w:val="20"/>
        </w:rPr>
        <w:object w:dxaOrig="1200" w:dyaOrig="420" w14:anchorId="7F1BC56D">
          <v:shape id="_x0000_i1113" type="#_x0000_t75" style="width:60pt;height:21.75pt" o:ole="">
            <v:imagedata r:id="rId350" o:title=""/>
          </v:shape>
          <o:OLEObject Type="Embed" ProgID="Equation.DSMT4" ShapeID="_x0000_i1113" DrawAspect="Content" ObjectID="_1594106004" r:id="rId353"/>
        </w:object>
      </w:r>
    </w:p>
    <w:p w14:paraId="65D0EB93" w14:textId="77777777" w:rsidR="00545B62" w:rsidRPr="00883399" w:rsidRDefault="00545B62" w:rsidP="00545B62">
      <w:pPr>
        <w:spacing w:before="40" w:after="0" w:line="240" w:lineRule="auto"/>
        <w:ind w:left="1134"/>
        <w:rPr>
          <w:sz w:val="22"/>
          <w:szCs w:val="20"/>
        </w:rPr>
      </w:pPr>
      <w:r w:rsidRPr="00883399">
        <w:rPr>
          <w:sz w:val="22"/>
          <w:szCs w:val="20"/>
        </w:rPr>
        <w:t>where:</w:t>
      </w:r>
    </w:p>
    <w:p w14:paraId="1AEA4544" w14:textId="77777777" w:rsidR="00545B62" w:rsidRPr="00883399" w:rsidRDefault="00545B62" w:rsidP="00545B62">
      <w:pPr>
        <w:spacing w:before="180" w:after="0" w:line="240" w:lineRule="auto"/>
        <w:ind w:left="1134"/>
        <w:rPr>
          <w:sz w:val="22"/>
          <w:szCs w:val="20"/>
        </w:rPr>
      </w:pPr>
      <w:r w:rsidRPr="00883399">
        <w:rPr>
          <w:b/>
          <w:i/>
          <w:sz w:val="22"/>
          <w:szCs w:val="20"/>
        </w:rPr>
        <w:t>EC</w:t>
      </w:r>
      <w:r w:rsidRPr="00883399">
        <w:rPr>
          <w:sz w:val="22"/>
          <w:szCs w:val="20"/>
        </w:rPr>
        <w:t xml:space="preserve"> is the energy content factor of sulphur, uranium or hydrogen (whichever is applicable) mentioned in Part 7 of Schedule 1, measured in gigajoules per tonne.</w:t>
      </w:r>
    </w:p>
    <w:p w14:paraId="286FF388" w14:textId="77777777" w:rsidR="00545B62" w:rsidRPr="00883399" w:rsidRDefault="00545B62" w:rsidP="00545B62">
      <w:pPr>
        <w:spacing w:before="180" w:after="0" w:line="240" w:lineRule="auto"/>
        <w:ind w:left="1134"/>
        <w:rPr>
          <w:sz w:val="22"/>
          <w:szCs w:val="20"/>
        </w:rPr>
      </w:pPr>
      <w:r w:rsidRPr="00883399">
        <w:rPr>
          <w:b/>
          <w:i/>
          <w:sz w:val="22"/>
          <w:szCs w:val="20"/>
        </w:rPr>
        <w:t>Q</w:t>
      </w:r>
      <w:r w:rsidRPr="00883399">
        <w:rPr>
          <w:sz w:val="22"/>
          <w:szCs w:val="20"/>
        </w:rPr>
        <w:t xml:space="preserve"> is the quantity of sulphur, uranium or hydrogen (whichever is applicable) consumed during the year and measured in tonnes.</w:t>
      </w:r>
    </w:p>
    <w:p w14:paraId="69DE7A3A" w14:textId="77777777" w:rsidR="00545B62" w:rsidRPr="00883399" w:rsidRDefault="00545B62" w:rsidP="00545B62">
      <w:pPr>
        <w:spacing w:before="180" w:after="0" w:line="240" w:lineRule="auto"/>
        <w:ind w:left="1134"/>
        <w:rPr>
          <w:sz w:val="22"/>
          <w:szCs w:val="20"/>
        </w:rPr>
      </w:pPr>
      <w:r w:rsidRPr="00883399">
        <w:rPr>
          <w:b/>
          <w:i/>
          <w:sz w:val="22"/>
          <w:szCs w:val="20"/>
        </w:rPr>
        <w:t>Z</w:t>
      </w:r>
      <w:r w:rsidRPr="00883399">
        <w:rPr>
          <w:sz w:val="22"/>
          <w:szCs w:val="20"/>
        </w:rPr>
        <w:t xml:space="preserve"> is the energy content of sulphur, uranium or hydrogen (whichever is applicable) consumed during the year and measured in gigajoules.</w:t>
      </w:r>
    </w:p>
    <w:p w14:paraId="1703EA66" w14:textId="77777777" w:rsidR="00A96BC3" w:rsidRPr="00883399" w:rsidRDefault="00A96BC3" w:rsidP="00545B62">
      <w:pPr>
        <w:spacing w:before="180" w:after="0" w:line="240" w:lineRule="auto"/>
        <w:ind w:left="1134"/>
        <w:rPr>
          <w:sz w:val="22"/>
          <w:szCs w:val="20"/>
        </w:rPr>
      </w:pPr>
    </w:p>
    <w:p w14:paraId="0C44110B" w14:textId="77777777" w:rsidR="00A96BC3" w:rsidRPr="00883399" w:rsidRDefault="00A96BC3" w:rsidP="00A96BC3">
      <w:pPr>
        <w:pStyle w:val="Text"/>
        <w:rPr>
          <w:rFonts w:ascii="Arial" w:hAnsi="Arial" w:cs="Arial"/>
          <w:sz w:val="22"/>
          <w:szCs w:val="22"/>
        </w:rPr>
      </w:pPr>
      <w:r w:rsidRPr="00883399">
        <w:rPr>
          <w:rFonts w:ascii="Arial" w:hAnsi="Arial" w:cs="Arial"/>
          <w:sz w:val="22"/>
          <w:szCs w:val="22"/>
        </w:rPr>
        <w:t>The requirement to report the production and consumption of the energy commodities hydrogen, sulphur and uranium does not apply where the hydrogen, uranium, or sulphur is present within another fuel or energy commodity listed in Schedule 1 of the NGER regulations (e.g. hydrogen in natural gas), or where another chemical substance, in which it exists in a molecularly bonded form, is consumed (e.g. sulphur in sulphuric acid).</w:t>
      </w:r>
    </w:p>
    <w:p w14:paraId="2A4E7923" w14:textId="77777777" w:rsidR="00A96BC3" w:rsidRPr="00883399" w:rsidRDefault="00A96BC3" w:rsidP="00545B62">
      <w:pPr>
        <w:spacing w:before="180" w:after="0" w:line="240" w:lineRule="auto"/>
        <w:ind w:left="1134"/>
        <w:rPr>
          <w:sz w:val="22"/>
          <w:szCs w:val="20"/>
        </w:rPr>
      </w:pPr>
    </w:p>
    <w:p w14:paraId="1F89F8A7" w14:textId="77777777" w:rsidR="00872C03" w:rsidRPr="00883399" w:rsidRDefault="00872C03" w:rsidP="00962770">
      <w:pPr>
        <w:pStyle w:val="ActHead1"/>
        <w:pageBreakBefore/>
        <w:rPr>
          <w:sz w:val="18"/>
        </w:rPr>
      </w:pPr>
      <w:bookmarkStart w:id="1329" w:name="_Toc495653185"/>
      <w:r w:rsidRPr="00883399">
        <w:rPr>
          <w:rStyle w:val="CharChapNo"/>
          <w:sz w:val="40"/>
        </w:rPr>
        <w:lastRenderedPageBreak/>
        <w:t>Chapter 7</w:t>
      </w:r>
      <w:r w:rsidRPr="00883399">
        <w:rPr>
          <w:sz w:val="40"/>
        </w:rPr>
        <w:t>—</w:t>
      </w:r>
      <w:r w:rsidRPr="00883399">
        <w:rPr>
          <w:rStyle w:val="CharChapText"/>
          <w:sz w:val="40"/>
        </w:rPr>
        <w:t>Scope 2 emissions</w:t>
      </w:r>
      <w:bookmarkEnd w:id="1328"/>
      <w:bookmarkEnd w:id="1329"/>
      <w:r w:rsidRPr="00883399">
        <w:rPr>
          <w:rStyle w:val="CharPartNo"/>
          <w:sz w:val="18"/>
        </w:rPr>
        <w:t xml:space="preserve"> </w:t>
      </w:r>
      <w:r w:rsidRPr="00883399">
        <w:rPr>
          <w:rStyle w:val="CharPartText"/>
          <w:sz w:val="18"/>
        </w:rPr>
        <w:t xml:space="preserve"> </w:t>
      </w:r>
    </w:p>
    <w:p w14:paraId="0B14D658" w14:textId="77777777" w:rsidR="00872C03" w:rsidRPr="00883399" w:rsidRDefault="00872C03" w:rsidP="00872C03">
      <w:pPr>
        <w:pStyle w:val="Header"/>
        <w:rPr>
          <w:sz w:val="18"/>
        </w:rPr>
      </w:pPr>
      <w:r w:rsidRPr="00883399">
        <w:rPr>
          <w:rStyle w:val="CharDivNo"/>
          <w:sz w:val="18"/>
        </w:rPr>
        <w:t xml:space="preserve"> </w:t>
      </w:r>
      <w:r w:rsidRPr="00883399">
        <w:rPr>
          <w:rStyle w:val="CharDivText"/>
          <w:sz w:val="18"/>
        </w:rPr>
        <w:t xml:space="preserve"> </w:t>
      </w:r>
    </w:p>
    <w:p w14:paraId="396F9FDF" w14:textId="19941EA3" w:rsidR="00872C03" w:rsidRPr="00883399" w:rsidRDefault="00872C03" w:rsidP="00872C03">
      <w:pPr>
        <w:pStyle w:val="ActHead5"/>
        <w:rPr>
          <w:sz w:val="28"/>
        </w:rPr>
      </w:pPr>
      <w:bookmarkStart w:id="1330" w:name="_Toc423517244"/>
      <w:bookmarkStart w:id="1331" w:name="_Toc495653186"/>
      <w:r w:rsidRPr="00883399">
        <w:rPr>
          <w:rStyle w:val="CharSectno"/>
          <w:sz w:val="28"/>
        </w:rPr>
        <w:t>7.1</w:t>
      </w:r>
      <w:r w:rsidRPr="00883399">
        <w:rPr>
          <w:sz w:val="28"/>
        </w:rPr>
        <w:t xml:space="preserve">  Application</w:t>
      </w:r>
      <w:bookmarkEnd w:id="1330"/>
      <w:bookmarkEnd w:id="1331"/>
    </w:p>
    <w:p w14:paraId="0A5506CE" w14:textId="77777777" w:rsidR="00002D0E" w:rsidRPr="00883399" w:rsidRDefault="00002D0E" w:rsidP="00002D0E">
      <w:pPr>
        <w:pStyle w:val="R1"/>
        <w:keepLines w:val="0"/>
        <w:tabs>
          <w:tab w:val="left" w:pos="624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Chapters 1-5 relate to the estimation of scope 1 emissions.  </w:t>
      </w:r>
    </w:p>
    <w:p w14:paraId="7AF2C9AD" w14:textId="77777777" w:rsidR="00002D0E" w:rsidRPr="00883399" w:rsidRDefault="00002D0E" w:rsidP="00002D0E">
      <w:pPr>
        <w:pStyle w:val="R1"/>
        <w:keepLines w:val="0"/>
        <w:tabs>
          <w:tab w:val="left" w:pos="6240"/>
        </w:tabs>
        <w:spacing w:before="240" w:line="312" w:lineRule="auto"/>
        <w:ind w:left="0" w:firstLine="0"/>
        <w:jc w:val="left"/>
        <w:rPr>
          <w:rFonts w:ascii="Arial" w:hAnsi="Arial" w:cs="Arial"/>
          <w:sz w:val="22"/>
          <w:szCs w:val="22"/>
        </w:rPr>
      </w:pPr>
      <w:r w:rsidRPr="00883399">
        <w:rPr>
          <w:rFonts w:ascii="Arial" w:hAnsi="Arial" w:cs="Arial"/>
          <w:sz w:val="22"/>
          <w:szCs w:val="22"/>
        </w:rPr>
        <w:t>This chapter concerns scope 2 emissions which result from activities that generate electricity, heating, cooling or steam that is consumed by a facility but that do not form part of the facility. This Chapter applies if the amount of purchased electricity consumed from the operation of a facility during a year that result in scope 2 emissions is more than 20 000 kilowatt hours.</w:t>
      </w:r>
    </w:p>
    <w:p w14:paraId="4F2FDE91" w14:textId="77777777" w:rsidR="00002D0E" w:rsidRPr="00883399" w:rsidRDefault="00002D0E" w:rsidP="00002D0E">
      <w:pPr>
        <w:spacing w:before="120" w:line="312" w:lineRule="auto"/>
        <w:rPr>
          <w:rFonts w:ascii="Arial" w:hAnsi="Arial" w:cs="Arial"/>
          <w:sz w:val="22"/>
          <w:szCs w:val="22"/>
        </w:rPr>
      </w:pPr>
      <w:r w:rsidRPr="00883399">
        <w:rPr>
          <w:rFonts w:ascii="Arial" w:hAnsi="Arial" w:cs="Arial"/>
          <w:sz w:val="22"/>
          <w:szCs w:val="22"/>
        </w:rPr>
        <w:t>Measuring and reporting energy consumption and scope 2 emissions from purchased electricity are optional if the amount purchased that results in scope 2 emissions is less than 20,000 kilowatt hours at a facility. Companies may continue to report these emissions if it is more efficient to do so.</w:t>
      </w:r>
    </w:p>
    <w:p w14:paraId="7A7A5017" w14:textId="0981BBDE" w:rsidR="00002D0E" w:rsidRPr="00883399" w:rsidRDefault="00002D0E" w:rsidP="00002D0E">
      <w:pPr>
        <w:pStyle w:val="R1"/>
        <w:keepLines w:val="0"/>
        <w:tabs>
          <w:tab w:val="left" w:pos="624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The method is applicable for electricity consumed by transmission and distribution companies, consistent with </w:t>
      </w:r>
      <w:r w:rsidRPr="00883399">
        <w:rPr>
          <w:rFonts w:ascii="Arial" w:hAnsi="Arial" w:cs="Arial"/>
          <w:i/>
          <w:sz w:val="22"/>
          <w:szCs w:val="22"/>
        </w:rPr>
        <w:t>The Greenhouse Gas Protocol: A Corporate Accounting and Reporting Standard</w:t>
      </w:r>
      <w:r w:rsidRPr="00883399">
        <w:rPr>
          <w:rFonts w:ascii="Arial" w:hAnsi="Arial" w:cs="Arial"/>
          <w:sz w:val="22"/>
          <w:szCs w:val="22"/>
        </w:rPr>
        <w:t xml:space="preserve"> of the World Resources Institute/World Business Council for Sustainable Development (the GHG Protocol). The method accommodates electricity measured either in kilowatt hours or gigajoules.</w:t>
      </w:r>
    </w:p>
    <w:p w14:paraId="415F8661" w14:textId="77777777" w:rsidR="00002D0E" w:rsidRPr="00883399" w:rsidRDefault="00002D0E" w:rsidP="00002D0E">
      <w:pPr>
        <w:pStyle w:val="R2"/>
        <w:keepLines w:val="0"/>
        <w:spacing w:before="240" w:line="312" w:lineRule="auto"/>
        <w:ind w:left="0" w:firstLine="0"/>
        <w:jc w:val="left"/>
        <w:rPr>
          <w:rFonts w:ascii="Arial" w:hAnsi="Arial" w:cs="Arial"/>
          <w:sz w:val="22"/>
          <w:szCs w:val="22"/>
        </w:rPr>
      </w:pPr>
      <w:r w:rsidRPr="00883399">
        <w:rPr>
          <w:rFonts w:ascii="Arial" w:hAnsi="Arial" w:cs="Arial"/>
          <w:sz w:val="22"/>
          <w:szCs w:val="22"/>
        </w:rPr>
        <w:t>Scope 2 emissions factors are be updated each year.</w:t>
      </w:r>
    </w:p>
    <w:p w14:paraId="08B3132E" w14:textId="77777777" w:rsidR="00002D0E" w:rsidRPr="00883399" w:rsidRDefault="00002D0E" w:rsidP="00002D0E">
      <w:pPr>
        <w:pStyle w:val="R2"/>
        <w:keepLines w:val="0"/>
        <w:tabs>
          <w:tab w:val="clear" w:pos="794"/>
          <w:tab w:val="right" w:pos="0"/>
          <w:tab w:val="left" w:pos="624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Scope 2 emissions also arise from electricity acquired from off-grid sources that do not form part of the facility. These Scope 2 emissions may be estimated using section 7.3 below. Emission factors can be provided by the supplier of the electricity, or if unavailable, the emission factor for NT may be used.  NT electricity generation primarily represents a mix of natural gas and diesel generation which is a reasonable match for the fuel mix used in the generation of off-grid electricity generation. </w:t>
      </w:r>
    </w:p>
    <w:p w14:paraId="58F37A51" w14:textId="77777777" w:rsidR="00545B62" w:rsidRPr="00883399" w:rsidRDefault="00872C03" w:rsidP="00545B62">
      <w:pPr>
        <w:pStyle w:val="subsection"/>
      </w:pPr>
      <w:r w:rsidRPr="00883399">
        <w:rPr>
          <w:sz w:val="24"/>
        </w:rPr>
        <w:tab/>
      </w:r>
      <w:r w:rsidR="00545B62" w:rsidRPr="00883399">
        <w:t>(1)</w:t>
      </w:r>
      <w:r w:rsidR="00545B62" w:rsidRPr="00883399">
        <w:tab/>
        <w:t>This Chapter specifies a method of determining scope 2 emissions from the consumption of purchased electricity, or the loss of electricity from an electricity transmission network or distribution network.</w:t>
      </w:r>
    </w:p>
    <w:p w14:paraId="0FA84E85" w14:textId="77777777" w:rsidR="00545B62" w:rsidRPr="00883399" w:rsidRDefault="00545B62" w:rsidP="00545B62">
      <w:pPr>
        <w:tabs>
          <w:tab w:val="right" w:pos="1021"/>
        </w:tabs>
        <w:spacing w:before="180" w:after="0" w:line="240" w:lineRule="auto"/>
        <w:ind w:left="1134" w:hanging="1134"/>
        <w:rPr>
          <w:sz w:val="22"/>
          <w:szCs w:val="20"/>
        </w:rPr>
      </w:pPr>
      <w:r w:rsidRPr="00883399">
        <w:rPr>
          <w:sz w:val="22"/>
          <w:szCs w:val="20"/>
        </w:rPr>
        <w:tab/>
        <w:t>(2)</w:t>
      </w:r>
      <w:r w:rsidRPr="00883399">
        <w:rPr>
          <w:sz w:val="22"/>
          <w:szCs w:val="20"/>
        </w:rPr>
        <w:tab/>
        <w:t>This Chapter applies if the amount of purchased electricity consumed from the operation of a facility during a year that results in scope 2 emissions is more than 20 000 kilowatt hours.</w:t>
      </w:r>
    </w:p>
    <w:p w14:paraId="46D8F6AB" w14:textId="77777777" w:rsidR="00545B62" w:rsidRPr="00883399" w:rsidRDefault="00545B62" w:rsidP="00545B62">
      <w:pPr>
        <w:spacing w:before="122" w:after="0" w:line="240" w:lineRule="auto"/>
        <w:ind w:left="1985" w:hanging="851"/>
        <w:rPr>
          <w:sz w:val="18"/>
          <w:szCs w:val="20"/>
        </w:rPr>
      </w:pPr>
      <w:r w:rsidRPr="00883399">
        <w:rPr>
          <w:sz w:val="18"/>
          <w:szCs w:val="20"/>
        </w:rPr>
        <w:t xml:space="preserve">Note: </w:t>
      </w:r>
      <w:r w:rsidRPr="00883399">
        <w:rPr>
          <w:sz w:val="18"/>
          <w:szCs w:val="20"/>
        </w:rPr>
        <w:tab/>
        <w:t>Scope 2 emissions result from activities that generate electricity, heating, cooling or steam that is consumed by a facility but that do not form part of the facility (see regulation 2.24 of the Regulations).</w:t>
      </w:r>
    </w:p>
    <w:p w14:paraId="0C7BDA5C" w14:textId="1E91670A" w:rsidR="00545B62" w:rsidRPr="00883399" w:rsidRDefault="00545B62" w:rsidP="00545B62">
      <w:pPr>
        <w:keepNext/>
        <w:keepLines/>
        <w:spacing w:before="280" w:after="0" w:line="240" w:lineRule="auto"/>
        <w:ind w:left="1134" w:hanging="1134"/>
        <w:outlineLvl w:val="4"/>
        <w:rPr>
          <w:b/>
          <w:kern w:val="28"/>
          <w:szCs w:val="20"/>
        </w:rPr>
      </w:pPr>
      <w:bookmarkStart w:id="1332" w:name="_Toc486862396"/>
      <w:r w:rsidRPr="00883399">
        <w:rPr>
          <w:b/>
          <w:kern w:val="28"/>
          <w:szCs w:val="20"/>
        </w:rPr>
        <w:t>7.2  Method 1—purchase and loss of electricity from main electricity grid in a State or Territory</w:t>
      </w:r>
      <w:bookmarkEnd w:id="1332"/>
    </w:p>
    <w:p w14:paraId="0674C5E8" w14:textId="77777777" w:rsidR="00545B62" w:rsidRPr="00883399" w:rsidRDefault="00545B62" w:rsidP="00545B62">
      <w:pPr>
        <w:tabs>
          <w:tab w:val="right" w:pos="1021"/>
        </w:tabs>
        <w:spacing w:before="180" w:after="0" w:line="240" w:lineRule="auto"/>
        <w:ind w:left="1134" w:hanging="1134"/>
        <w:rPr>
          <w:sz w:val="22"/>
          <w:szCs w:val="20"/>
        </w:rPr>
      </w:pPr>
      <w:r w:rsidRPr="00883399">
        <w:rPr>
          <w:sz w:val="22"/>
          <w:szCs w:val="20"/>
        </w:rPr>
        <w:tab/>
        <w:t>(1)</w:t>
      </w:r>
      <w:r w:rsidRPr="00883399">
        <w:rPr>
          <w:sz w:val="22"/>
          <w:szCs w:val="20"/>
        </w:rPr>
        <w:tab/>
        <w:t>The following method must be used for estimating scope 2 emissions released from electricity purchased from the main electricity grid in a State or Territory and consumed from the operation of a facility during a year:</w:t>
      </w:r>
    </w:p>
    <w:p w14:paraId="48D8F786" w14:textId="10E60757" w:rsidR="00545B62" w:rsidRPr="00883399" w:rsidRDefault="00545B62" w:rsidP="00545B62">
      <w:pPr>
        <w:tabs>
          <w:tab w:val="right" w:pos="1021"/>
        </w:tabs>
        <w:spacing w:before="120" w:line="240" w:lineRule="auto"/>
        <w:ind w:left="1134" w:hanging="1134"/>
        <w:rPr>
          <w:sz w:val="22"/>
          <w:szCs w:val="20"/>
        </w:rPr>
      </w:pPr>
      <w:r w:rsidRPr="00883399">
        <w:rPr>
          <w:sz w:val="22"/>
          <w:szCs w:val="20"/>
        </w:rPr>
        <w:tab/>
      </w:r>
      <w:r w:rsidRPr="00883399">
        <w:rPr>
          <w:sz w:val="22"/>
          <w:szCs w:val="20"/>
        </w:rPr>
        <w:tab/>
      </w:r>
      <w:r w:rsidRPr="00883399">
        <w:rPr>
          <w:noProof/>
          <w:sz w:val="22"/>
          <w:szCs w:val="20"/>
        </w:rPr>
        <w:drawing>
          <wp:inline distT="0" distB="0" distL="0" distR="0" wp14:anchorId="6771DB69" wp14:editId="15FB2BE1">
            <wp:extent cx="955040" cy="38227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955040" cy="382270"/>
                    </a:xfrm>
                    <a:prstGeom prst="rect">
                      <a:avLst/>
                    </a:prstGeom>
                    <a:noFill/>
                    <a:ln>
                      <a:noFill/>
                    </a:ln>
                  </pic:spPr>
                </pic:pic>
              </a:graphicData>
            </a:graphic>
          </wp:inline>
        </w:drawing>
      </w:r>
    </w:p>
    <w:p w14:paraId="469CA9E5" w14:textId="77777777" w:rsidR="00545B62" w:rsidRPr="00883399" w:rsidRDefault="00545B62" w:rsidP="00545B62">
      <w:pPr>
        <w:spacing w:before="40" w:after="0" w:line="240" w:lineRule="auto"/>
        <w:ind w:left="1134"/>
        <w:rPr>
          <w:sz w:val="22"/>
          <w:szCs w:val="20"/>
        </w:rPr>
      </w:pPr>
      <w:r w:rsidRPr="00883399">
        <w:rPr>
          <w:sz w:val="22"/>
          <w:szCs w:val="20"/>
        </w:rPr>
        <w:t>where:</w:t>
      </w:r>
    </w:p>
    <w:p w14:paraId="032E8458" w14:textId="77777777" w:rsidR="00545B62" w:rsidRPr="00883399" w:rsidRDefault="00545B62" w:rsidP="00545B62">
      <w:pPr>
        <w:spacing w:before="180" w:after="0" w:line="240" w:lineRule="auto"/>
        <w:ind w:left="1134"/>
        <w:rPr>
          <w:sz w:val="22"/>
          <w:szCs w:val="20"/>
        </w:rPr>
      </w:pPr>
      <w:r w:rsidRPr="00883399">
        <w:rPr>
          <w:b/>
          <w:i/>
          <w:sz w:val="22"/>
          <w:szCs w:val="20"/>
        </w:rPr>
        <w:t xml:space="preserve">Y </w:t>
      </w:r>
      <w:r w:rsidRPr="00883399">
        <w:rPr>
          <w:sz w:val="22"/>
          <w:szCs w:val="20"/>
        </w:rPr>
        <w:t>is the scope 2 emissions measured in CO</w:t>
      </w:r>
      <w:r w:rsidRPr="00883399">
        <w:rPr>
          <w:iCs/>
          <w:sz w:val="20"/>
          <w:szCs w:val="20"/>
          <w:vertAlign w:val="subscript"/>
        </w:rPr>
        <w:t>2</w:t>
      </w:r>
      <w:r w:rsidRPr="00883399">
        <w:rPr>
          <w:sz w:val="22"/>
          <w:szCs w:val="20"/>
        </w:rPr>
        <w:noBreakHyphen/>
        <w:t>e tonnes.</w:t>
      </w:r>
    </w:p>
    <w:p w14:paraId="2A97E8C1" w14:textId="77777777" w:rsidR="00545B62" w:rsidRPr="00883399" w:rsidRDefault="00545B62" w:rsidP="00545B62">
      <w:pPr>
        <w:spacing w:before="180" w:after="0" w:line="240" w:lineRule="auto"/>
        <w:ind w:left="1134"/>
        <w:rPr>
          <w:sz w:val="22"/>
          <w:szCs w:val="20"/>
        </w:rPr>
      </w:pPr>
      <w:r w:rsidRPr="00883399">
        <w:rPr>
          <w:b/>
          <w:i/>
          <w:sz w:val="22"/>
          <w:szCs w:val="20"/>
        </w:rPr>
        <w:t>Q</w:t>
      </w:r>
      <w:r w:rsidRPr="00883399">
        <w:rPr>
          <w:sz w:val="22"/>
          <w:szCs w:val="20"/>
        </w:rPr>
        <w:t xml:space="preserve"> is the quantity of electricity purchased from the electricity grid during the year and consumed from the operation of the facility measured in kilowatt hours.</w:t>
      </w:r>
    </w:p>
    <w:p w14:paraId="20C90437" w14:textId="77777777" w:rsidR="00545B62" w:rsidRPr="00883399" w:rsidRDefault="00545B62" w:rsidP="00545B62">
      <w:pPr>
        <w:spacing w:before="180" w:after="0" w:line="240" w:lineRule="auto"/>
        <w:ind w:left="1134"/>
        <w:rPr>
          <w:sz w:val="22"/>
          <w:szCs w:val="20"/>
        </w:rPr>
      </w:pPr>
      <w:r w:rsidRPr="00883399">
        <w:rPr>
          <w:b/>
          <w:i/>
          <w:sz w:val="22"/>
          <w:szCs w:val="20"/>
        </w:rPr>
        <w:t xml:space="preserve">EF </w:t>
      </w:r>
      <w:r w:rsidRPr="00883399">
        <w:rPr>
          <w:sz w:val="22"/>
          <w:szCs w:val="20"/>
        </w:rPr>
        <w:t>is the scope 2 emission factor, in kilograms of CO</w:t>
      </w:r>
      <w:r w:rsidRPr="00883399">
        <w:rPr>
          <w:iCs/>
          <w:sz w:val="20"/>
          <w:szCs w:val="20"/>
          <w:vertAlign w:val="subscript"/>
        </w:rPr>
        <w:t>2</w:t>
      </w:r>
      <w:r w:rsidRPr="00883399">
        <w:rPr>
          <w:sz w:val="22"/>
          <w:szCs w:val="20"/>
        </w:rPr>
        <w:noBreakHyphen/>
        <w:t>e emissions per kilowatt hour, for the State or Territory in which the consumption occurs as mentioned in Part 6 of Schedule 1.</w:t>
      </w:r>
    </w:p>
    <w:p w14:paraId="5AB38320" w14:textId="77777777" w:rsidR="00545B62" w:rsidRPr="00883399" w:rsidRDefault="00545B62" w:rsidP="00545B62">
      <w:pPr>
        <w:spacing w:before="122" w:after="0" w:line="240" w:lineRule="auto"/>
        <w:ind w:left="1985" w:hanging="851"/>
        <w:rPr>
          <w:sz w:val="18"/>
          <w:szCs w:val="20"/>
        </w:rPr>
      </w:pPr>
      <w:r w:rsidRPr="00883399">
        <w:rPr>
          <w:sz w:val="18"/>
          <w:szCs w:val="20"/>
        </w:rPr>
        <w:t>Note:</w:t>
      </w:r>
      <w:r w:rsidRPr="00883399">
        <w:rPr>
          <w:sz w:val="18"/>
          <w:szCs w:val="20"/>
        </w:rPr>
        <w:tab/>
        <w:t>There is no other method for this section.</w:t>
      </w:r>
    </w:p>
    <w:p w14:paraId="33BA57F7" w14:textId="77777777" w:rsidR="00545B62" w:rsidRPr="00883399" w:rsidRDefault="00545B62" w:rsidP="00545B62">
      <w:pPr>
        <w:tabs>
          <w:tab w:val="right" w:pos="1021"/>
        </w:tabs>
        <w:spacing w:before="180" w:after="0" w:line="240" w:lineRule="auto"/>
        <w:ind w:left="1134" w:hanging="1134"/>
        <w:rPr>
          <w:sz w:val="22"/>
          <w:szCs w:val="20"/>
        </w:rPr>
      </w:pPr>
      <w:r w:rsidRPr="00883399">
        <w:rPr>
          <w:sz w:val="22"/>
          <w:szCs w:val="20"/>
        </w:rPr>
        <w:tab/>
        <w:t>(1A)</w:t>
      </w:r>
      <w:r w:rsidRPr="00883399">
        <w:rPr>
          <w:sz w:val="22"/>
          <w:szCs w:val="20"/>
        </w:rPr>
        <w:tab/>
        <w:t>The method in subsection (1) must, subject to subsection (2), also be used for estimating scope 2 emissions released from electricity consumed from the operation of a facility during a year if the operation of the facility is constituted by an electricity transmission network or distribution network that is, or is part of, the main electricity grid in a State or Territory.</w:t>
      </w:r>
    </w:p>
    <w:p w14:paraId="0ECD6371" w14:textId="77777777" w:rsidR="00545B62" w:rsidRPr="00883399" w:rsidRDefault="00545B62" w:rsidP="00545B62">
      <w:pPr>
        <w:tabs>
          <w:tab w:val="right" w:pos="1021"/>
        </w:tabs>
        <w:spacing w:before="180" w:after="0" w:line="240" w:lineRule="auto"/>
        <w:ind w:left="1134" w:hanging="1134"/>
        <w:rPr>
          <w:sz w:val="22"/>
          <w:szCs w:val="20"/>
        </w:rPr>
      </w:pPr>
      <w:r w:rsidRPr="00883399">
        <w:rPr>
          <w:sz w:val="22"/>
          <w:szCs w:val="20"/>
        </w:rPr>
        <w:tab/>
        <w:t>(2)</w:t>
      </w:r>
      <w:r w:rsidRPr="00883399">
        <w:rPr>
          <w:sz w:val="22"/>
          <w:szCs w:val="20"/>
        </w:rPr>
        <w:tab/>
        <w:t xml:space="preserve">In applying that method for the purposes of subsection (1A), </w:t>
      </w:r>
      <w:r w:rsidRPr="00883399">
        <w:rPr>
          <w:b/>
          <w:i/>
          <w:sz w:val="22"/>
          <w:szCs w:val="20"/>
        </w:rPr>
        <w:t>Q</w:t>
      </w:r>
      <w:r w:rsidRPr="00883399">
        <w:rPr>
          <w:sz w:val="22"/>
          <w:szCs w:val="20"/>
        </w:rPr>
        <w:t xml:space="preserve"> is the quantity of electricity losses for that network during the year.</w:t>
      </w:r>
    </w:p>
    <w:p w14:paraId="786CAF2D" w14:textId="77777777" w:rsidR="00545B62" w:rsidRPr="00883399" w:rsidRDefault="00545B62" w:rsidP="00545B62">
      <w:pPr>
        <w:tabs>
          <w:tab w:val="right" w:pos="1021"/>
        </w:tabs>
        <w:spacing w:before="180" w:after="0" w:line="240" w:lineRule="auto"/>
        <w:ind w:left="1134" w:hanging="1134"/>
        <w:rPr>
          <w:sz w:val="22"/>
          <w:szCs w:val="20"/>
        </w:rPr>
      </w:pPr>
      <w:r w:rsidRPr="00883399">
        <w:rPr>
          <w:sz w:val="22"/>
          <w:szCs w:val="20"/>
        </w:rPr>
        <w:tab/>
        <w:t>(3)</w:t>
      </w:r>
      <w:r w:rsidRPr="00883399">
        <w:rPr>
          <w:sz w:val="22"/>
          <w:szCs w:val="20"/>
        </w:rPr>
        <w:tab/>
        <w:t xml:space="preserve">For </w:t>
      </w:r>
      <w:r w:rsidRPr="00883399">
        <w:rPr>
          <w:b/>
          <w:i/>
          <w:sz w:val="22"/>
          <w:szCs w:val="20"/>
        </w:rPr>
        <w:t>Q</w:t>
      </w:r>
      <w:r w:rsidRPr="00883399">
        <w:rPr>
          <w:sz w:val="22"/>
          <w:szCs w:val="20"/>
        </w:rPr>
        <w:t>, if the electricity purchased (or lost) is measured in gigajoules, the quantity of kilowatt hours must be calculated by dividing the amount of gigajoules by 0.0036.</w:t>
      </w:r>
    </w:p>
    <w:p w14:paraId="7C895C56" w14:textId="77777777" w:rsidR="00545B62" w:rsidRPr="00883399" w:rsidRDefault="00545B62" w:rsidP="00545B62">
      <w:pPr>
        <w:tabs>
          <w:tab w:val="right" w:pos="1021"/>
        </w:tabs>
        <w:spacing w:before="180" w:after="0" w:line="240" w:lineRule="auto"/>
        <w:ind w:left="1134" w:hanging="1134"/>
        <w:rPr>
          <w:sz w:val="22"/>
          <w:szCs w:val="20"/>
        </w:rPr>
      </w:pPr>
      <w:r w:rsidRPr="00883399">
        <w:rPr>
          <w:sz w:val="22"/>
          <w:szCs w:val="20"/>
        </w:rPr>
        <w:tab/>
        <w:t>(4)</w:t>
      </w:r>
      <w:r w:rsidRPr="00883399">
        <w:rPr>
          <w:sz w:val="22"/>
          <w:szCs w:val="20"/>
        </w:rPr>
        <w:tab/>
        <w:t xml:space="preserve">The </w:t>
      </w:r>
      <w:r w:rsidRPr="00883399">
        <w:rPr>
          <w:b/>
          <w:i/>
          <w:sz w:val="22"/>
          <w:szCs w:val="20"/>
        </w:rPr>
        <w:t>main electricity grid</w:t>
      </w:r>
      <w:r w:rsidRPr="00883399">
        <w:rPr>
          <w:sz w:val="22"/>
          <w:szCs w:val="20"/>
        </w:rPr>
        <w:t>, for a State or Territory, means:</w:t>
      </w:r>
    </w:p>
    <w:p w14:paraId="3CA84D59" w14:textId="77777777" w:rsidR="00545B62" w:rsidRPr="00883399" w:rsidRDefault="00545B62" w:rsidP="00545B62">
      <w:pPr>
        <w:tabs>
          <w:tab w:val="right" w:pos="1531"/>
        </w:tabs>
        <w:spacing w:before="40" w:after="0" w:line="240" w:lineRule="auto"/>
        <w:ind w:left="1644" w:hanging="1644"/>
        <w:rPr>
          <w:sz w:val="22"/>
          <w:szCs w:val="20"/>
        </w:rPr>
      </w:pPr>
      <w:r w:rsidRPr="00883399">
        <w:rPr>
          <w:sz w:val="22"/>
          <w:szCs w:val="20"/>
        </w:rPr>
        <w:tab/>
        <w:t>(a)</w:t>
      </w:r>
      <w:r w:rsidRPr="00883399">
        <w:rPr>
          <w:sz w:val="22"/>
          <w:szCs w:val="20"/>
        </w:rPr>
        <w:tab/>
        <w:t>for Western Australia—the Southwest Interconnected System; and</w:t>
      </w:r>
    </w:p>
    <w:p w14:paraId="1FAC1DC9" w14:textId="77777777" w:rsidR="00545B62" w:rsidRPr="00883399" w:rsidRDefault="00545B62" w:rsidP="00545B62">
      <w:pPr>
        <w:tabs>
          <w:tab w:val="right" w:pos="1531"/>
        </w:tabs>
        <w:spacing w:before="40" w:after="0" w:line="240" w:lineRule="auto"/>
        <w:ind w:left="1644" w:hanging="1644"/>
        <w:rPr>
          <w:sz w:val="22"/>
          <w:szCs w:val="20"/>
        </w:rPr>
      </w:pPr>
      <w:r w:rsidRPr="00883399">
        <w:rPr>
          <w:sz w:val="22"/>
          <w:szCs w:val="20"/>
        </w:rPr>
        <w:tab/>
        <w:t>(b)</w:t>
      </w:r>
      <w:r w:rsidRPr="00883399">
        <w:rPr>
          <w:sz w:val="22"/>
          <w:szCs w:val="20"/>
        </w:rPr>
        <w:tab/>
        <w:t>for each other State or Territory—the electricity grid that provides electricity to the largest percentage of the State’s or Territory’s population.</w:t>
      </w:r>
    </w:p>
    <w:p w14:paraId="28FF6251" w14:textId="16BF7032" w:rsidR="00545B62" w:rsidRPr="00883399" w:rsidRDefault="00545B62" w:rsidP="00545B62">
      <w:pPr>
        <w:keepNext/>
        <w:keepLines/>
        <w:spacing w:before="280" w:after="0" w:line="240" w:lineRule="auto"/>
        <w:ind w:left="1134" w:hanging="1134"/>
        <w:outlineLvl w:val="4"/>
        <w:rPr>
          <w:b/>
          <w:kern w:val="28"/>
          <w:szCs w:val="20"/>
        </w:rPr>
      </w:pPr>
      <w:bookmarkStart w:id="1333" w:name="_Toc486862397"/>
      <w:r w:rsidRPr="00883399">
        <w:rPr>
          <w:b/>
          <w:kern w:val="28"/>
          <w:szCs w:val="20"/>
        </w:rPr>
        <w:t>7.3  Method 1—purchase and loss of electricity from other sources</w:t>
      </w:r>
      <w:bookmarkEnd w:id="1333"/>
    </w:p>
    <w:p w14:paraId="686B7D0A" w14:textId="77777777" w:rsidR="00545B62" w:rsidRPr="00883399" w:rsidRDefault="00545B62" w:rsidP="00545B62">
      <w:pPr>
        <w:tabs>
          <w:tab w:val="right" w:pos="1021"/>
        </w:tabs>
        <w:spacing w:before="180" w:after="0" w:line="240" w:lineRule="auto"/>
        <w:ind w:left="1134" w:hanging="1134"/>
        <w:rPr>
          <w:sz w:val="22"/>
          <w:szCs w:val="20"/>
        </w:rPr>
      </w:pPr>
      <w:r w:rsidRPr="00883399">
        <w:rPr>
          <w:sz w:val="22"/>
          <w:szCs w:val="20"/>
        </w:rPr>
        <w:tab/>
        <w:t>(1)</w:t>
      </w:r>
      <w:r w:rsidRPr="00883399">
        <w:rPr>
          <w:sz w:val="22"/>
          <w:szCs w:val="20"/>
        </w:rPr>
        <w:tab/>
        <w:t>The following formula must be used for estimating scope 2 emissions released from electricity:</w:t>
      </w:r>
    </w:p>
    <w:p w14:paraId="7EA8CAA3" w14:textId="77777777" w:rsidR="00545B62" w:rsidRPr="00883399" w:rsidRDefault="00545B62" w:rsidP="00545B62">
      <w:pPr>
        <w:tabs>
          <w:tab w:val="right" w:pos="1531"/>
        </w:tabs>
        <w:spacing w:before="40" w:after="0" w:line="240" w:lineRule="auto"/>
        <w:ind w:left="1644" w:hanging="1644"/>
        <w:rPr>
          <w:sz w:val="22"/>
          <w:szCs w:val="20"/>
        </w:rPr>
      </w:pPr>
      <w:r w:rsidRPr="00883399">
        <w:rPr>
          <w:sz w:val="22"/>
          <w:szCs w:val="20"/>
        </w:rPr>
        <w:tab/>
        <w:t>(a)</w:t>
      </w:r>
      <w:r w:rsidRPr="00883399">
        <w:rPr>
          <w:sz w:val="22"/>
          <w:szCs w:val="20"/>
        </w:rPr>
        <w:tab/>
        <w:t>purchased from a grid other than the main electricity grid in a State or Territory; and</w:t>
      </w:r>
    </w:p>
    <w:p w14:paraId="2C72BF89" w14:textId="77777777" w:rsidR="00545B62" w:rsidRPr="00883399" w:rsidRDefault="00545B62" w:rsidP="00545B62">
      <w:pPr>
        <w:tabs>
          <w:tab w:val="right" w:pos="1531"/>
        </w:tabs>
        <w:spacing w:before="40" w:after="0" w:line="240" w:lineRule="auto"/>
        <w:ind w:left="1644" w:hanging="1644"/>
        <w:rPr>
          <w:sz w:val="22"/>
          <w:szCs w:val="20"/>
        </w:rPr>
      </w:pPr>
      <w:r w:rsidRPr="00883399">
        <w:rPr>
          <w:sz w:val="22"/>
          <w:szCs w:val="20"/>
        </w:rPr>
        <w:tab/>
        <w:t>(b)</w:t>
      </w:r>
      <w:r w:rsidRPr="00883399">
        <w:rPr>
          <w:sz w:val="22"/>
          <w:szCs w:val="20"/>
        </w:rPr>
        <w:tab/>
        <w:t>consumed from the operation of a facility during a year:</w:t>
      </w:r>
    </w:p>
    <w:p w14:paraId="492AA909" w14:textId="7A4FD9A2" w:rsidR="00545B62" w:rsidRPr="00883399" w:rsidRDefault="00545B62" w:rsidP="00545B62">
      <w:pPr>
        <w:tabs>
          <w:tab w:val="right" w:pos="1531"/>
        </w:tabs>
        <w:spacing w:before="120" w:line="240" w:lineRule="auto"/>
        <w:ind w:left="1644" w:hanging="1644"/>
        <w:rPr>
          <w:sz w:val="22"/>
          <w:szCs w:val="20"/>
        </w:rPr>
      </w:pPr>
      <w:r w:rsidRPr="00883399">
        <w:rPr>
          <w:sz w:val="22"/>
          <w:szCs w:val="20"/>
        </w:rPr>
        <w:tab/>
      </w:r>
      <w:r w:rsidRPr="00883399">
        <w:rPr>
          <w:sz w:val="22"/>
          <w:szCs w:val="20"/>
        </w:rPr>
        <w:tab/>
      </w:r>
      <w:r w:rsidRPr="00883399">
        <w:rPr>
          <w:noProof/>
          <w:sz w:val="22"/>
          <w:szCs w:val="20"/>
        </w:rPr>
        <w:drawing>
          <wp:inline distT="0" distB="0" distL="0" distR="0" wp14:anchorId="5FCF1D52" wp14:editId="27A4B0AD">
            <wp:extent cx="1118870" cy="38227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118870" cy="382270"/>
                    </a:xfrm>
                    <a:prstGeom prst="rect">
                      <a:avLst/>
                    </a:prstGeom>
                    <a:noFill/>
                    <a:ln>
                      <a:noFill/>
                    </a:ln>
                  </pic:spPr>
                </pic:pic>
              </a:graphicData>
            </a:graphic>
          </wp:inline>
        </w:drawing>
      </w:r>
    </w:p>
    <w:p w14:paraId="04A395F1" w14:textId="77777777" w:rsidR="00545B62" w:rsidRPr="00883399" w:rsidRDefault="00545B62" w:rsidP="00545B62">
      <w:pPr>
        <w:spacing w:before="40" w:after="0" w:line="240" w:lineRule="auto"/>
        <w:ind w:left="1134"/>
        <w:rPr>
          <w:sz w:val="22"/>
          <w:szCs w:val="20"/>
        </w:rPr>
      </w:pPr>
      <w:r w:rsidRPr="00883399">
        <w:rPr>
          <w:sz w:val="22"/>
          <w:szCs w:val="20"/>
        </w:rPr>
        <w:t>where:</w:t>
      </w:r>
    </w:p>
    <w:p w14:paraId="12BBDF99" w14:textId="77777777" w:rsidR="00545B62" w:rsidRPr="00883399" w:rsidRDefault="00545B62" w:rsidP="00545B62">
      <w:pPr>
        <w:spacing w:before="180" w:after="0" w:line="240" w:lineRule="auto"/>
        <w:ind w:left="1134"/>
        <w:rPr>
          <w:sz w:val="22"/>
          <w:szCs w:val="20"/>
        </w:rPr>
      </w:pPr>
      <w:r w:rsidRPr="00883399">
        <w:rPr>
          <w:b/>
          <w:i/>
          <w:sz w:val="22"/>
          <w:szCs w:val="20"/>
        </w:rPr>
        <w:t xml:space="preserve">Y </w:t>
      </w:r>
      <w:r w:rsidRPr="00883399">
        <w:rPr>
          <w:sz w:val="22"/>
          <w:szCs w:val="20"/>
        </w:rPr>
        <w:t>is the scope 2 emissions measured in CO</w:t>
      </w:r>
      <w:r w:rsidRPr="00883399">
        <w:rPr>
          <w:b/>
          <w:i/>
          <w:sz w:val="22"/>
          <w:szCs w:val="20"/>
          <w:vertAlign w:val="subscript"/>
        </w:rPr>
        <w:t>2</w:t>
      </w:r>
      <w:r w:rsidRPr="00883399">
        <w:rPr>
          <w:sz w:val="22"/>
          <w:szCs w:val="20"/>
        </w:rPr>
        <w:noBreakHyphen/>
        <w:t>e tonnes during the year.</w:t>
      </w:r>
    </w:p>
    <w:p w14:paraId="4C7DA807" w14:textId="77777777" w:rsidR="00545B62" w:rsidRPr="00883399" w:rsidRDefault="00545B62" w:rsidP="00545B62">
      <w:pPr>
        <w:spacing w:before="180" w:after="0" w:line="240" w:lineRule="auto"/>
        <w:ind w:left="1134"/>
        <w:rPr>
          <w:sz w:val="22"/>
          <w:szCs w:val="20"/>
        </w:rPr>
      </w:pPr>
      <w:r w:rsidRPr="00883399">
        <w:rPr>
          <w:b/>
          <w:i/>
          <w:sz w:val="22"/>
          <w:szCs w:val="20"/>
        </w:rPr>
        <w:t>Q</w:t>
      </w:r>
      <w:r w:rsidRPr="00883399">
        <w:rPr>
          <w:sz w:val="22"/>
          <w:szCs w:val="20"/>
        </w:rPr>
        <w:t xml:space="preserve"> is the quantity of electricity purchased during the year and consumed from the operation of the facility, measured in kilowatt hours.</w:t>
      </w:r>
    </w:p>
    <w:p w14:paraId="0BA3FE45" w14:textId="77777777" w:rsidR="00545B62" w:rsidRPr="00883399" w:rsidRDefault="00545B62" w:rsidP="00545B62">
      <w:pPr>
        <w:spacing w:before="180" w:after="0" w:line="240" w:lineRule="auto"/>
        <w:ind w:left="1134"/>
        <w:rPr>
          <w:sz w:val="22"/>
          <w:szCs w:val="20"/>
        </w:rPr>
      </w:pPr>
      <w:r w:rsidRPr="00883399">
        <w:rPr>
          <w:b/>
          <w:bCs/>
          <w:i/>
          <w:iCs/>
          <w:sz w:val="22"/>
          <w:szCs w:val="20"/>
        </w:rPr>
        <w:t>E</w:t>
      </w:r>
      <w:r w:rsidRPr="00883399">
        <w:rPr>
          <w:b/>
          <w:i/>
          <w:sz w:val="22"/>
          <w:szCs w:val="20"/>
        </w:rPr>
        <w:t xml:space="preserve">F </w:t>
      </w:r>
      <w:r w:rsidRPr="00883399">
        <w:rPr>
          <w:sz w:val="22"/>
          <w:szCs w:val="20"/>
        </w:rPr>
        <w:t>is the scope 2 emission factor, in kilograms of CO</w:t>
      </w:r>
      <w:r w:rsidRPr="00883399">
        <w:rPr>
          <w:b/>
          <w:i/>
          <w:sz w:val="22"/>
          <w:szCs w:val="20"/>
          <w:vertAlign w:val="subscript"/>
        </w:rPr>
        <w:t>2</w:t>
      </w:r>
      <w:r w:rsidRPr="00883399">
        <w:rPr>
          <w:sz w:val="22"/>
          <w:szCs w:val="20"/>
        </w:rPr>
        <w:noBreakHyphen/>
        <w:t>e emissions per kilowatt hour, either:</w:t>
      </w:r>
    </w:p>
    <w:p w14:paraId="2D5E5BDC" w14:textId="77777777" w:rsidR="00545B62" w:rsidRPr="00883399" w:rsidRDefault="00545B62" w:rsidP="00545B62">
      <w:pPr>
        <w:tabs>
          <w:tab w:val="right" w:pos="1531"/>
        </w:tabs>
        <w:spacing w:before="40" w:after="0" w:line="240" w:lineRule="auto"/>
        <w:ind w:left="1644" w:hanging="1644"/>
        <w:rPr>
          <w:sz w:val="22"/>
          <w:szCs w:val="20"/>
        </w:rPr>
      </w:pPr>
      <w:r w:rsidRPr="00883399">
        <w:rPr>
          <w:sz w:val="22"/>
          <w:szCs w:val="20"/>
        </w:rPr>
        <w:tab/>
        <w:t>(a)</w:t>
      </w:r>
      <w:r w:rsidRPr="00883399">
        <w:rPr>
          <w:sz w:val="22"/>
          <w:szCs w:val="20"/>
        </w:rPr>
        <w:tab/>
        <w:t xml:space="preserve">provided by the supplier of the electricity; or </w:t>
      </w:r>
    </w:p>
    <w:p w14:paraId="17F6C2A4" w14:textId="77777777" w:rsidR="00545B62" w:rsidRPr="00883399" w:rsidRDefault="00545B62" w:rsidP="00545B62">
      <w:pPr>
        <w:tabs>
          <w:tab w:val="right" w:pos="1531"/>
        </w:tabs>
        <w:spacing w:before="40" w:after="0" w:line="240" w:lineRule="auto"/>
        <w:ind w:left="1644" w:hanging="1644"/>
        <w:rPr>
          <w:sz w:val="22"/>
          <w:szCs w:val="20"/>
        </w:rPr>
      </w:pPr>
      <w:r w:rsidRPr="00883399">
        <w:rPr>
          <w:sz w:val="22"/>
          <w:szCs w:val="20"/>
        </w:rPr>
        <w:tab/>
        <w:t>(b)</w:t>
      </w:r>
      <w:r w:rsidRPr="00883399">
        <w:rPr>
          <w:sz w:val="22"/>
          <w:szCs w:val="20"/>
        </w:rPr>
        <w:tab/>
        <w:t>if that factor is not available, the emission factor for the Northern Territory as mentioned in Part 6 of Schedule 1.</w:t>
      </w:r>
    </w:p>
    <w:p w14:paraId="7095DE7F" w14:textId="77777777" w:rsidR="00545B62" w:rsidRPr="00883399" w:rsidRDefault="00545B62" w:rsidP="00545B62">
      <w:pPr>
        <w:spacing w:before="122" w:after="0" w:line="240" w:lineRule="auto"/>
        <w:ind w:left="1985" w:hanging="851"/>
        <w:rPr>
          <w:sz w:val="18"/>
          <w:szCs w:val="20"/>
        </w:rPr>
      </w:pPr>
      <w:r w:rsidRPr="00883399">
        <w:rPr>
          <w:sz w:val="18"/>
          <w:szCs w:val="20"/>
        </w:rPr>
        <w:t>Note:</w:t>
      </w:r>
      <w:r w:rsidRPr="00883399">
        <w:rPr>
          <w:sz w:val="18"/>
          <w:szCs w:val="20"/>
        </w:rPr>
        <w:tab/>
        <w:t>There is no other method for this section.</w:t>
      </w:r>
    </w:p>
    <w:p w14:paraId="4085B4EF" w14:textId="77777777" w:rsidR="00545B62" w:rsidRPr="00883399" w:rsidRDefault="00545B62" w:rsidP="00545B62">
      <w:pPr>
        <w:tabs>
          <w:tab w:val="right" w:pos="1021"/>
        </w:tabs>
        <w:spacing w:before="180" w:after="0" w:line="240" w:lineRule="auto"/>
        <w:ind w:left="1134" w:hanging="1134"/>
        <w:rPr>
          <w:sz w:val="22"/>
          <w:szCs w:val="20"/>
        </w:rPr>
      </w:pPr>
      <w:r w:rsidRPr="00883399">
        <w:rPr>
          <w:sz w:val="22"/>
          <w:szCs w:val="20"/>
        </w:rPr>
        <w:tab/>
        <w:t>(1A)</w:t>
      </w:r>
      <w:r w:rsidRPr="00883399">
        <w:rPr>
          <w:sz w:val="22"/>
          <w:szCs w:val="20"/>
        </w:rPr>
        <w:tab/>
        <w:t>The formula in subsection (1) must, subject to subsection (2), also be used for estimating scope 2 emissions released from electricity consumed from the operation of facility during a year if the operation of the facility is constituted by an electricity transmission network or distribution network that is not, and is not part of, the main electricity grid in a State or Territory.</w:t>
      </w:r>
    </w:p>
    <w:p w14:paraId="647B05F8" w14:textId="77777777" w:rsidR="00545B62" w:rsidRPr="00883399" w:rsidRDefault="00545B62" w:rsidP="00545B62">
      <w:pPr>
        <w:tabs>
          <w:tab w:val="right" w:pos="1021"/>
        </w:tabs>
        <w:spacing w:before="180" w:after="0" w:line="240" w:lineRule="auto"/>
        <w:ind w:left="1134" w:hanging="1134"/>
        <w:rPr>
          <w:sz w:val="22"/>
          <w:szCs w:val="20"/>
        </w:rPr>
      </w:pPr>
      <w:r w:rsidRPr="00883399">
        <w:rPr>
          <w:sz w:val="22"/>
          <w:szCs w:val="20"/>
        </w:rPr>
        <w:tab/>
        <w:t>(2)</w:t>
      </w:r>
      <w:r w:rsidRPr="00883399">
        <w:rPr>
          <w:sz w:val="22"/>
          <w:szCs w:val="20"/>
        </w:rPr>
        <w:tab/>
        <w:t xml:space="preserve">In applying that formula for the purposes of subsection (1A), </w:t>
      </w:r>
      <w:r w:rsidRPr="00883399">
        <w:rPr>
          <w:b/>
          <w:i/>
          <w:sz w:val="22"/>
          <w:szCs w:val="20"/>
        </w:rPr>
        <w:t>Q</w:t>
      </w:r>
      <w:r w:rsidRPr="00883399">
        <w:rPr>
          <w:sz w:val="22"/>
          <w:szCs w:val="20"/>
        </w:rPr>
        <w:t xml:space="preserve"> is the quantity of electricity losses for that network during the year.</w:t>
      </w:r>
    </w:p>
    <w:p w14:paraId="5EA0F06E" w14:textId="77777777" w:rsidR="00545B62" w:rsidRPr="00883399" w:rsidRDefault="00545B62" w:rsidP="00545B62">
      <w:pPr>
        <w:tabs>
          <w:tab w:val="right" w:pos="1021"/>
        </w:tabs>
        <w:spacing w:before="180" w:after="0" w:line="240" w:lineRule="auto"/>
        <w:ind w:left="1134" w:hanging="1134"/>
        <w:rPr>
          <w:sz w:val="22"/>
          <w:szCs w:val="20"/>
        </w:rPr>
      </w:pPr>
      <w:r w:rsidRPr="00883399">
        <w:rPr>
          <w:sz w:val="22"/>
          <w:szCs w:val="20"/>
        </w:rPr>
        <w:tab/>
        <w:t>(3)</w:t>
      </w:r>
      <w:r w:rsidRPr="00883399">
        <w:rPr>
          <w:sz w:val="22"/>
          <w:szCs w:val="20"/>
        </w:rPr>
        <w:tab/>
        <w:t xml:space="preserve">For </w:t>
      </w:r>
      <w:r w:rsidRPr="00883399">
        <w:rPr>
          <w:b/>
          <w:bCs/>
          <w:i/>
          <w:iCs/>
          <w:sz w:val="22"/>
          <w:szCs w:val="20"/>
        </w:rPr>
        <w:t>Q</w:t>
      </w:r>
      <w:r w:rsidRPr="00883399">
        <w:rPr>
          <w:sz w:val="22"/>
          <w:szCs w:val="20"/>
        </w:rPr>
        <w:t>, if the electricity purchased (or lost) is measured in gigajoules, the quantity of kilowatt hours must be calculated by dividing the amount of gigajoules by 0.0036.</w:t>
      </w:r>
    </w:p>
    <w:p w14:paraId="5F349708" w14:textId="77777777" w:rsidR="00002D0E" w:rsidRPr="00883399" w:rsidRDefault="00002D0E" w:rsidP="00545B62">
      <w:pPr>
        <w:pStyle w:val="subsection"/>
        <w:rPr>
          <w:sz w:val="24"/>
        </w:rPr>
      </w:pPr>
    </w:p>
    <w:p w14:paraId="7F92FD65" w14:textId="74108519" w:rsidR="00002D0E" w:rsidRPr="00883399" w:rsidRDefault="00002D0E" w:rsidP="00002D0E">
      <w:pPr>
        <w:pStyle w:val="Schedulepart"/>
      </w:pPr>
      <w:bookmarkStart w:id="1334" w:name="_Toc227734121"/>
      <w:bookmarkStart w:id="1335" w:name="_Toc265135648"/>
      <w:bookmarkStart w:id="1336" w:name="_Toc495653187"/>
      <w:r w:rsidRPr="00883399">
        <w:rPr>
          <w:rStyle w:val="CharSchPTText"/>
        </w:rPr>
        <w:t xml:space="preserve">Table 7.2 </w:t>
      </w:r>
      <w:r w:rsidRPr="00883399">
        <w:rPr>
          <w:rStyle w:val="CharSchPTText"/>
        </w:rPr>
        <w:tab/>
        <w:t>Indirect (scope 2) emission factors from consumption of purchased electricity from a grid</w:t>
      </w:r>
      <w:bookmarkEnd w:id="1334"/>
      <w:bookmarkEnd w:id="1335"/>
      <w:bookmarkEnd w:id="1336"/>
    </w:p>
    <w:tbl>
      <w:tblPr>
        <w:tblW w:w="8301" w:type="dxa"/>
        <w:tblInd w:w="108" w:type="dxa"/>
        <w:tblLook w:val="0000" w:firstRow="0" w:lastRow="0" w:firstColumn="0" w:lastColumn="0" w:noHBand="0" w:noVBand="0"/>
      </w:tblPr>
      <w:tblGrid>
        <w:gridCol w:w="588"/>
        <w:gridCol w:w="430"/>
        <w:gridCol w:w="5340"/>
        <w:gridCol w:w="165"/>
        <w:gridCol w:w="1778"/>
      </w:tblGrid>
      <w:tr w:rsidR="00002D0E" w:rsidRPr="00883399" w14:paraId="1C1C9CFF" w14:textId="77777777" w:rsidTr="00002D0E">
        <w:trPr>
          <w:cantSplit/>
          <w:tblHeader/>
        </w:trPr>
        <w:tc>
          <w:tcPr>
            <w:tcW w:w="1018" w:type="dxa"/>
            <w:gridSpan w:val="2"/>
            <w:tcBorders>
              <w:bottom w:val="single" w:sz="4" w:space="0" w:color="auto"/>
            </w:tcBorders>
          </w:tcPr>
          <w:p w14:paraId="451016AF" w14:textId="77777777" w:rsidR="00002D0E" w:rsidRPr="00883399" w:rsidRDefault="00002D0E" w:rsidP="00002D0E">
            <w:pPr>
              <w:pStyle w:val="TableColHead"/>
              <w:rPr>
                <w:rFonts w:cs="Arial"/>
                <w:bCs/>
                <w:szCs w:val="18"/>
              </w:rPr>
            </w:pPr>
            <w:r w:rsidRPr="00883399">
              <w:rPr>
                <w:rFonts w:cs="Arial"/>
                <w:bCs/>
                <w:szCs w:val="18"/>
              </w:rPr>
              <w:t>Item</w:t>
            </w:r>
          </w:p>
        </w:tc>
        <w:tc>
          <w:tcPr>
            <w:tcW w:w="5505" w:type="dxa"/>
            <w:gridSpan w:val="2"/>
            <w:tcBorders>
              <w:bottom w:val="single" w:sz="4" w:space="0" w:color="auto"/>
            </w:tcBorders>
          </w:tcPr>
          <w:p w14:paraId="15430F51" w14:textId="77777777" w:rsidR="00002D0E" w:rsidRPr="00883399" w:rsidRDefault="00002D0E" w:rsidP="00002D0E">
            <w:pPr>
              <w:pStyle w:val="TableColHead"/>
              <w:rPr>
                <w:rFonts w:cs="Arial"/>
                <w:bCs/>
                <w:szCs w:val="18"/>
              </w:rPr>
            </w:pPr>
            <w:r w:rsidRPr="00883399">
              <w:rPr>
                <w:rFonts w:cs="Arial"/>
                <w:bCs/>
                <w:szCs w:val="18"/>
              </w:rPr>
              <w:t>State, Territory or grid description</w:t>
            </w:r>
          </w:p>
        </w:tc>
        <w:tc>
          <w:tcPr>
            <w:tcW w:w="1778" w:type="dxa"/>
            <w:tcBorders>
              <w:bottom w:val="single" w:sz="4" w:space="0" w:color="auto"/>
            </w:tcBorders>
          </w:tcPr>
          <w:p w14:paraId="48AF64CD" w14:textId="77777777" w:rsidR="00002D0E" w:rsidRPr="00883399" w:rsidRDefault="00002D0E" w:rsidP="00002D0E">
            <w:pPr>
              <w:pStyle w:val="TableColHead"/>
              <w:rPr>
                <w:rFonts w:cs="Arial"/>
                <w:bCs/>
                <w:szCs w:val="18"/>
              </w:rPr>
            </w:pPr>
            <w:r w:rsidRPr="00883399">
              <w:rPr>
                <w:rFonts w:cs="Arial"/>
                <w:bCs/>
                <w:szCs w:val="18"/>
              </w:rPr>
              <w:t>Emission factor</w:t>
            </w:r>
          </w:p>
          <w:p w14:paraId="0BBAE62A" w14:textId="77777777" w:rsidR="00002D0E" w:rsidRPr="00883399" w:rsidRDefault="00002D0E" w:rsidP="00002D0E">
            <w:pPr>
              <w:pStyle w:val="TableColHead"/>
              <w:rPr>
                <w:rFonts w:cs="Arial"/>
                <w:szCs w:val="18"/>
              </w:rPr>
            </w:pPr>
            <w:r w:rsidRPr="00883399">
              <w:rPr>
                <w:rFonts w:cs="Arial"/>
                <w:bCs/>
                <w:szCs w:val="18"/>
              </w:rPr>
              <w:t>kg CO</w:t>
            </w:r>
            <w:r w:rsidRPr="00883399">
              <w:rPr>
                <w:rFonts w:ascii="Arial Bold" w:hAnsi="Arial Bold" w:cs="Arial"/>
                <w:bCs/>
                <w:szCs w:val="18"/>
                <w:vertAlign w:val="subscript"/>
              </w:rPr>
              <w:t>2</w:t>
            </w:r>
            <w:r w:rsidRPr="00883399">
              <w:rPr>
                <w:rFonts w:cs="Arial"/>
                <w:bCs/>
                <w:szCs w:val="18"/>
              </w:rPr>
              <w:noBreakHyphen/>
              <w:t>e/kWh</w:t>
            </w:r>
          </w:p>
        </w:tc>
      </w:tr>
      <w:tr w:rsidR="00D666D1" w:rsidRPr="00883399" w14:paraId="44196741" w14:textId="77777777" w:rsidTr="00002D0E">
        <w:trPr>
          <w:cantSplit/>
        </w:trPr>
        <w:tc>
          <w:tcPr>
            <w:tcW w:w="588" w:type="dxa"/>
            <w:tcBorders>
              <w:top w:val="single" w:sz="4" w:space="0" w:color="auto"/>
            </w:tcBorders>
          </w:tcPr>
          <w:p w14:paraId="10BF9DE9" w14:textId="77777777" w:rsidR="00D666D1" w:rsidRPr="00883399" w:rsidRDefault="00D666D1" w:rsidP="00002D0E">
            <w:pPr>
              <w:pStyle w:val="TableText"/>
              <w:keepNext/>
              <w:keepLines/>
              <w:ind w:left="113"/>
              <w:rPr>
                <w:snapToGrid w:val="0"/>
                <w:color w:val="000000"/>
                <w:szCs w:val="22"/>
              </w:rPr>
            </w:pPr>
            <w:r w:rsidRPr="00883399">
              <w:rPr>
                <w:snapToGrid w:val="0"/>
                <w:color w:val="000000"/>
                <w:szCs w:val="22"/>
              </w:rPr>
              <w:t>77</w:t>
            </w:r>
          </w:p>
        </w:tc>
        <w:tc>
          <w:tcPr>
            <w:tcW w:w="5770" w:type="dxa"/>
            <w:gridSpan w:val="2"/>
            <w:tcBorders>
              <w:top w:val="single" w:sz="4" w:space="0" w:color="auto"/>
            </w:tcBorders>
          </w:tcPr>
          <w:p w14:paraId="22199AC2" w14:textId="77777777" w:rsidR="00D666D1" w:rsidRPr="00883399" w:rsidRDefault="00D666D1" w:rsidP="00002D0E">
            <w:pPr>
              <w:pStyle w:val="TableText"/>
              <w:keepNext/>
              <w:keepLines/>
              <w:rPr>
                <w:snapToGrid w:val="0"/>
                <w:color w:val="000000"/>
                <w:szCs w:val="22"/>
              </w:rPr>
            </w:pPr>
            <w:r w:rsidRPr="00883399">
              <w:rPr>
                <w:snapToGrid w:val="0"/>
                <w:color w:val="000000"/>
                <w:szCs w:val="22"/>
              </w:rPr>
              <w:t>New South Wales and Australian Capital Territory</w:t>
            </w:r>
          </w:p>
        </w:tc>
        <w:tc>
          <w:tcPr>
            <w:tcW w:w="1943" w:type="dxa"/>
            <w:gridSpan w:val="2"/>
            <w:tcBorders>
              <w:top w:val="single" w:sz="4" w:space="0" w:color="auto"/>
            </w:tcBorders>
          </w:tcPr>
          <w:p w14:paraId="4B52D746" w14:textId="77777777" w:rsidR="00D666D1" w:rsidRPr="00883399" w:rsidRDefault="00545B62" w:rsidP="00074C6B">
            <w:pPr>
              <w:pStyle w:val="Tabletext0"/>
              <w:jc w:val="right"/>
              <w:rPr>
                <w:sz w:val="22"/>
              </w:rPr>
            </w:pPr>
            <w:r w:rsidRPr="00883399">
              <w:rPr>
                <w:sz w:val="22"/>
              </w:rPr>
              <w:t>0.83</w:t>
            </w:r>
          </w:p>
        </w:tc>
      </w:tr>
      <w:tr w:rsidR="00D666D1" w:rsidRPr="00883399" w14:paraId="0AD8B0CB" w14:textId="77777777" w:rsidTr="00002D0E">
        <w:trPr>
          <w:cantSplit/>
        </w:trPr>
        <w:tc>
          <w:tcPr>
            <w:tcW w:w="588" w:type="dxa"/>
          </w:tcPr>
          <w:p w14:paraId="1D9B05C0" w14:textId="77777777" w:rsidR="00D666D1" w:rsidRPr="00883399" w:rsidRDefault="00D666D1" w:rsidP="00002D0E">
            <w:pPr>
              <w:pStyle w:val="TableText"/>
              <w:keepNext/>
              <w:keepLines/>
              <w:ind w:left="113"/>
              <w:rPr>
                <w:snapToGrid w:val="0"/>
                <w:color w:val="000000"/>
                <w:szCs w:val="22"/>
              </w:rPr>
            </w:pPr>
            <w:r w:rsidRPr="00883399">
              <w:rPr>
                <w:snapToGrid w:val="0"/>
                <w:color w:val="000000"/>
                <w:szCs w:val="22"/>
              </w:rPr>
              <w:t>78</w:t>
            </w:r>
          </w:p>
        </w:tc>
        <w:tc>
          <w:tcPr>
            <w:tcW w:w="5770" w:type="dxa"/>
            <w:gridSpan w:val="2"/>
          </w:tcPr>
          <w:p w14:paraId="5F38681F" w14:textId="77777777" w:rsidR="00D666D1" w:rsidRPr="00883399" w:rsidRDefault="00D666D1" w:rsidP="00002D0E">
            <w:pPr>
              <w:pStyle w:val="TableText"/>
              <w:keepNext/>
              <w:keepLines/>
              <w:rPr>
                <w:snapToGrid w:val="0"/>
                <w:color w:val="000000"/>
                <w:szCs w:val="22"/>
              </w:rPr>
            </w:pPr>
            <w:r w:rsidRPr="00883399">
              <w:rPr>
                <w:snapToGrid w:val="0"/>
                <w:color w:val="000000"/>
                <w:szCs w:val="22"/>
              </w:rPr>
              <w:t>Victoria</w:t>
            </w:r>
          </w:p>
        </w:tc>
        <w:tc>
          <w:tcPr>
            <w:tcW w:w="1943" w:type="dxa"/>
            <w:gridSpan w:val="2"/>
          </w:tcPr>
          <w:p w14:paraId="11FF5125" w14:textId="77777777" w:rsidR="00D666D1" w:rsidRPr="00883399" w:rsidRDefault="00545B62" w:rsidP="00074C6B">
            <w:pPr>
              <w:pStyle w:val="Tabletext0"/>
              <w:jc w:val="right"/>
              <w:rPr>
                <w:sz w:val="22"/>
              </w:rPr>
            </w:pPr>
            <w:r w:rsidRPr="00883399">
              <w:rPr>
                <w:sz w:val="22"/>
              </w:rPr>
              <w:t>1.08</w:t>
            </w:r>
          </w:p>
        </w:tc>
      </w:tr>
      <w:tr w:rsidR="00D666D1" w:rsidRPr="00883399" w14:paraId="521AE58A" w14:textId="77777777" w:rsidTr="00002D0E">
        <w:trPr>
          <w:cantSplit/>
        </w:trPr>
        <w:tc>
          <w:tcPr>
            <w:tcW w:w="588" w:type="dxa"/>
          </w:tcPr>
          <w:p w14:paraId="3602FFA3" w14:textId="77777777" w:rsidR="00D666D1" w:rsidRPr="00883399" w:rsidRDefault="00D666D1" w:rsidP="00002D0E">
            <w:pPr>
              <w:pStyle w:val="TableText"/>
              <w:ind w:left="113"/>
              <w:rPr>
                <w:snapToGrid w:val="0"/>
                <w:color w:val="000000"/>
                <w:szCs w:val="22"/>
              </w:rPr>
            </w:pPr>
            <w:r w:rsidRPr="00883399">
              <w:rPr>
                <w:snapToGrid w:val="0"/>
                <w:color w:val="000000"/>
                <w:szCs w:val="22"/>
              </w:rPr>
              <w:t>79</w:t>
            </w:r>
          </w:p>
        </w:tc>
        <w:tc>
          <w:tcPr>
            <w:tcW w:w="5770" w:type="dxa"/>
            <w:gridSpan w:val="2"/>
          </w:tcPr>
          <w:p w14:paraId="2C15EA48" w14:textId="77777777" w:rsidR="00D666D1" w:rsidRPr="00883399" w:rsidRDefault="00D666D1" w:rsidP="00002D0E">
            <w:pPr>
              <w:pStyle w:val="TableText"/>
              <w:rPr>
                <w:snapToGrid w:val="0"/>
                <w:color w:val="000000"/>
                <w:szCs w:val="22"/>
              </w:rPr>
            </w:pPr>
            <w:r w:rsidRPr="00883399">
              <w:rPr>
                <w:snapToGrid w:val="0"/>
                <w:color w:val="000000"/>
                <w:szCs w:val="22"/>
              </w:rPr>
              <w:t>Queensland</w:t>
            </w:r>
          </w:p>
        </w:tc>
        <w:tc>
          <w:tcPr>
            <w:tcW w:w="1943" w:type="dxa"/>
            <w:gridSpan w:val="2"/>
          </w:tcPr>
          <w:p w14:paraId="5FC98C5E" w14:textId="77777777" w:rsidR="00D666D1" w:rsidRPr="00883399" w:rsidRDefault="00D666D1" w:rsidP="00074C6B">
            <w:pPr>
              <w:pStyle w:val="Tabletext0"/>
              <w:jc w:val="right"/>
              <w:rPr>
                <w:sz w:val="22"/>
              </w:rPr>
            </w:pPr>
            <w:r w:rsidRPr="00883399">
              <w:rPr>
                <w:sz w:val="22"/>
              </w:rPr>
              <w:t>0.79</w:t>
            </w:r>
          </w:p>
        </w:tc>
      </w:tr>
      <w:tr w:rsidR="00D666D1" w:rsidRPr="00883399" w14:paraId="7AAC43D0" w14:textId="77777777" w:rsidTr="00002D0E">
        <w:trPr>
          <w:cantSplit/>
        </w:trPr>
        <w:tc>
          <w:tcPr>
            <w:tcW w:w="588" w:type="dxa"/>
          </w:tcPr>
          <w:p w14:paraId="6CE4AE7B" w14:textId="77777777" w:rsidR="00D666D1" w:rsidRPr="00883399" w:rsidRDefault="00D666D1" w:rsidP="00002D0E">
            <w:pPr>
              <w:pStyle w:val="TableText"/>
              <w:ind w:left="113"/>
              <w:rPr>
                <w:snapToGrid w:val="0"/>
                <w:color w:val="000000"/>
                <w:szCs w:val="22"/>
              </w:rPr>
            </w:pPr>
            <w:r w:rsidRPr="00883399">
              <w:rPr>
                <w:snapToGrid w:val="0"/>
                <w:color w:val="000000"/>
                <w:szCs w:val="22"/>
              </w:rPr>
              <w:t>80</w:t>
            </w:r>
          </w:p>
        </w:tc>
        <w:tc>
          <w:tcPr>
            <w:tcW w:w="5770" w:type="dxa"/>
            <w:gridSpan w:val="2"/>
          </w:tcPr>
          <w:p w14:paraId="1C068C3D" w14:textId="77777777" w:rsidR="00D666D1" w:rsidRPr="00883399" w:rsidRDefault="00D666D1" w:rsidP="00002D0E">
            <w:pPr>
              <w:pStyle w:val="TableText"/>
              <w:rPr>
                <w:snapToGrid w:val="0"/>
                <w:color w:val="000000"/>
                <w:szCs w:val="22"/>
              </w:rPr>
            </w:pPr>
            <w:r w:rsidRPr="00883399">
              <w:rPr>
                <w:snapToGrid w:val="0"/>
                <w:color w:val="000000"/>
                <w:szCs w:val="22"/>
              </w:rPr>
              <w:t>South Australia</w:t>
            </w:r>
          </w:p>
        </w:tc>
        <w:tc>
          <w:tcPr>
            <w:tcW w:w="1943" w:type="dxa"/>
            <w:gridSpan w:val="2"/>
          </w:tcPr>
          <w:p w14:paraId="423EB4D6" w14:textId="77777777" w:rsidR="00D666D1" w:rsidRPr="00883399" w:rsidRDefault="00545B62" w:rsidP="00074C6B">
            <w:pPr>
              <w:pStyle w:val="Tabletext0"/>
              <w:jc w:val="right"/>
              <w:rPr>
                <w:sz w:val="22"/>
              </w:rPr>
            </w:pPr>
            <w:r w:rsidRPr="00883399">
              <w:rPr>
                <w:sz w:val="22"/>
              </w:rPr>
              <w:t>0.49</w:t>
            </w:r>
          </w:p>
        </w:tc>
      </w:tr>
      <w:tr w:rsidR="00D666D1" w:rsidRPr="00883399" w14:paraId="2DC88F4D" w14:textId="77777777" w:rsidTr="00002D0E">
        <w:trPr>
          <w:cantSplit/>
        </w:trPr>
        <w:tc>
          <w:tcPr>
            <w:tcW w:w="588" w:type="dxa"/>
          </w:tcPr>
          <w:p w14:paraId="3DB28D1B" w14:textId="77777777" w:rsidR="00D666D1" w:rsidRPr="00883399" w:rsidRDefault="00D666D1" w:rsidP="00002D0E">
            <w:pPr>
              <w:pStyle w:val="TableText"/>
              <w:ind w:left="113"/>
              <w:rPr>
                <w:snapToGrid w:val="0"/>
                <w:color w:val="000000"/>
                <w:szCs w:val="22"/>
              </w:rPr>
            </w:pPr>
            <w:r w:rsidRPr="00883399">
              <w:rPr>
                <w:snapToGrid w:val="0"/>
                <w:color w:val="000000"/>
                <w:szCs w:val="22"/>
              </w:rPr>
              <w:t>81</w:t>
            </w:r>
          </w:p>
        </w:tc>
        <w:tc>
          <w:tcPr>
            <w:tcW w:w="5770" w:type="dxa"/>
            <w:gridSpan w:val="2"/>
          </w:tcPr>
          <w:p w14:paraId="05DC191B" w14:textId="77777777" w:rsidR="00D666D1" w:rsidRPr="00883399" w:rsidRDefault="00D666D1" w:rsidP="00002D0E">
            <w:pPr>
              <w:pStyle w:val="TableText"/>
              <w:rPr>
                <w:snapToGrid w:val="0"/>
                <w:color w:val="000000"/>
                <w:szCs w:val="22"/>
              </w:rPr>
            </w:pPr>
            <w:r w:rsidRPr="00883399">
              <w:rPr>
                <w:snapToGrid w:val="0"/>
                <w:color w:val="000000"/>
                <w:szCs w:val="22"/>
              </w:rPr>
              <w:t>South West Interconnected System in Western Australia</w:t>
            </w:r>
          </w:p>
        </w:tc>
        <w:tc>
          <w:tcPr>
            <w:tcW w:w="1943" w:type="dxa"/>
            <w:gridSpan w:val="2"/>
          </w:tcPr>
          <w:p w14:paraId="67BBE18B" w14:textId="77777777" w:rsidR="00D666D1" w:rsidRPr="00883399" w:rsidRDefault="00545B62" w:rsidP="00074C6B">
            <w:pPr>
              <w:pStyle w:val="Tabletext0"/>
              <w:jc w:val="right"/>
              <w:rPr>
                <w:sz w:val="22"/>
              </w:rPr>
            </w:pPr>
            <w:r w:rsidRPr="00883399">
              <w:rPr>
                <w:sz w:val="22"/>
              </w:rPr>
              <w:t>0.70</w:t>
            </w:r>
          </w:p>
        </w:tc>
      </w:tr>
      <w:tr w:rsidR="00D666D1" w:rsidRPr="00883399" w14:paraId="37777208" w14:textId="77777777" w:rsidTr="00002D0E">
        <w:trPr>
          <w:cantSplit/>
        </w:trPr>
        <w:tc>
          <w:tcPr>
            <w:tcW w:w="588" w:type="dxa"/>
          </w:tcPr>
          <w:p w14:paraId="022E55D7" w14:textId="77777777" w:rsidR="00D666D1" w:rsidRPr="00883399" w:rsidRDefault="00D666D1" w:rsidP="00002D0E">
            <w:pPr>
              <w:pStyle w:val="TableText"/>
              <w:ind w:left="113"/>
              <w:rPr>
                <w:snapToGrid w:val="0"/>
                <w:color w:val="000000"/>
                <w:szCs w:val="22"/>
              </w:rPr>
            </w:pPr>
            <w:r w:rsidRPr="00883399">
              <w:rPr>
                <w:snapToGrid w:val="0"/>
                <w:color w:val="000000"/>
                <w:szCs w:val="22"/>
              </w:rPr>
              <w:t>82</w:t>
            </w:r>
          </w:p>
        </w:tc>
        <w:tc>
          <w:tcPr>
            <w:tcW w:w="5770" w:type="dxa"/>
            <w:gridSpan w:val="2"/>
          </w:tcPr>
          <w:p w14:paraId="469FDCEA" w14:textId="77777777" w:rsidR="00D666D1" w:rsidRPr="00883399" w:rsidRDefault="00D666D1" w:rsidP="00002D0E">
            <w:pPr>
              <w:pStyle w:val="TableText"/>
              <w:rPr>
                <w:snapToGrid w:val="0"/>
                <w:color w:val="000000"/>
                <w:szCs w:val="22"/>
              </w:rPr>
            </w:pPr>
            <w:r w:rsidRPr="00883399">
              <w:rPr>
                <w:snapToGrid w:val="0"/>
                <w:color w:val="000000"/>
                <w:szCs w:val="22"/>
              </w:rPr>
              <w:t>Tasmania</w:t>
            </w:r>
          </w:p>
        </w:tc>
        <w:tc>
          <w:tcPr>
            <w:tcW w:w="1943" w:type="dxa"/>
            <w:gridSpan w:val="2"/>
          </w:tcPr>
          <w:p w14:paraId="7DEAE59B" w14:textId="77777777" w:rsidR="00D666D1" w:rsidRPr="00883399" w:rsidRDefault="00545B62" w:rsidP="00074C6B">
            <w:pPr>
              <w:pStyle w:val="Tabletext0"/>
              <w:jc w:val="right"/>
              <w:rPr>
                <w:sz w:val="22"/>
              </w:rPr>
            </w:pPr>
            <w:r w:rsidRPr="00883399">
              <w:rPr>
                <w:sz w:val="22"/>
              </w:rPr>
              <w:t>0.14</w:t>
            </w:r>
          </w:p>
        </w:tc>
      </w:tr>
      <w:tr w:rsidR="00D666D1" w:rsidRPr="00883399" w14:paraId="363C5AE6" w14:textId="77777777" w:rsidTr="00002D0E">
        <w:trPr>
          <w:cantSplit/>
        </w:trPr>
        <w:tc>
          <w:tcPr>
            <w:tcW w:w="588" w:type="dxa"/>
            <w:tcBorders>
              <w:bottom w:val="single" w:sz="4" w:space="0" w:color="auto"/>
            </w:tcBorders>
          </w:tcPr>
          <w:p w14:paraId="7C5E6728" w14:textId="77777777" w:rsidR="00D666D1" w:rsidRPr="00883399" w:rsidRDefault="00D666D1" w:rsidP="00002D0E">
            <w:pPr>
              <w:pStyle w:val="TableText"/>
              <w:ind w:left="113"/>
              <w:rPr>
                <w:snapToGrid w:val="0"/>
                <w:color w:val="000000"/>
                <w:szCs w:val="22"/>
              </w:rPr>
            </w:pPr>
            <w:r w:rsidRPr="00883399">
              <w:rPr>
                <w:snapToGrid w:val="0"/>
                <w:color w:val="000000"/>
                <w:szCs w:val="22"/>
              </w:rPr>
              <w:t>83</w:t>
            </w:r>
          </w:p>
        </w:tc>
        <w:tc>
          <w:tcPr>
            <w:tcW w:w="5770" w:type="dxa"/>
            <w:gridSpan w:val="2"/>
            <w:tcBorders>
              <w:bottom w:val="single" w:sz="4" w:space="0" w:color="auto"/>
            </w:tcBorders>
          </w:tcPr>
          <w:p w14:paraId="4CA869F5" w14:textId="77777777" w:rsidR="00D666D1" w:rsidRPr="00883399" w:rsidRDefault="00D666D1" w:rsidP="00002D0E">
            <w:pPr>
              <w:pStyle w:val="TableText"/>
              <w:rPr>
                <w:snapToGrid w:val="0"/>
                <w:color w:val="000000"/>
                <w:szCs w:val="22"/>
              </w:rPr>
            </w:pPr>
            <w:r w:rsidRPr="00883399">
              <w:rPr>
                <w:snapToGrid w:val="0"/>
                <w:color w:val="000000"/>
                <w:szCs w:val="22"/>
              </w:rPr>
              <w:t>Northern Territory</w:t>
            </w:r>
          </w:p>
        </w:tc>
        <w:tc>
          <w:tcPr>
            <w:tcW w:w="1943" w:type="dxa"/>
            <w:gridSpan w:val="2"/>
            <w:tcBorders>
              <w:bottom w:val="single" w:sz="4" w:space="0" w:color="auto"/>
            </w:tcBorders>
          </w:tcPr>
          <w:p w14:paraId="73F5C2BA" w14:textId="77777777" w:rsidR="00D666D1" w:rsidRPr="00883399" w:rsidRDefault="00545B62" w:rsidP="00074C6B">
            <w:pPr>
              <w:pStyle w:val="Tabletext0"/>
              <w:jc w:val="right"/>
              <w:rPr>
                <w:sz w:val="22"/>
              </w:rPr>
            </w:pPr>
            <w:r w:rsidRPr="00883399">
              <w:rPr>
                <w:sz w:val="22"/>
              </w:rPr>
              <w:t>0.64</w:t>
            </w:r>
          </w:p>
        </w:tc>
      </w:tr>
    </w:tbl>
    <w:p w14:paraId="4477F0D0" w14:textId="77777777" w:rsidR="00002D0E" w:rsidRPr="00883399" w:rsidRDefault="00002D0E" w:rsidP="00002D0E">
      <w:pPr>
        <w:rPr>
          <w:b/>
          <w:bCs/>
          <w:caps/>
        </w:rPr>
      </w:pPr>
    </w:p>
    <w:p w14:paraId="485E2B70" w14:textId="77777777" w:rsidR="00002D0E" w:rsidRPr="00883399" w:rsidRDefault="00002D0E" w:rsidP="00002D0E">
      <w:pPr>
        <w:rPr>
          <w:rFonts w:ascii="Arial" w:hAnsi="Arial" w:cs="Arial"/>
          <w:b/>
          <w:sz w:val="22"/>
          <w:szCs w:val="22"/>
        </w:rPr>
      </w:pPr>
      <w:r w:rsidRPr="00883399">
        <w:rPr>
          <w:rFonts w:ascii="Arial" w:hAnsi="Arial" w:cs="Arial"/>
          <w:b/>
          <w:sz w:val="22"/>
          <w:szCs w:val="22"/>
        </w:rPr>
        <w:br w:type="page"/>
      </w:r>
    </w:p>
    <w:p w14:paraId="5FB5334A" w14:textId="77777777" w:rsidR="00002D0E" w:rsidRPr="00883399" w:rsidRDefault="00002D0E" w:rsidP="00002D0E">
      <w:pPr>
        <w:pStyle w:val="R2"/>
        <w:tabs>
          <w:tab w:val="left" w:pos="6240"/>
        </w:tabs>
        <w:spacing w:line="312" w:lineRule="auto"/>
        <w:outlineLvl w:val="0"/>
        <w:rPr>
          <w:rFonts w:ascii="Arial" w:hAnsi="Arial" w:cs="Arial"/>
          <w:b/>
          <w:sz w:val="22"/>
          <w:szCs w:val="22"/>
        </w:rPr>
      </w:pPr>
      <w:r w:rsidRPr="00883399">
        <w:rPr>
          <w:rFonts w:ascii="Arial" w:hAnsi="Arial" w:cs="Arial"/>
          <w:b/>
          <w:sz w:val="22"/>
          <w:szCs w:val="22"/>
        </w:rPr>
        <w:t>Other Scope 2 Emissions</w:t>
      </w:r>
    </w:p>
    <w:p w14:paraId="457D8249" w14:textId="77777777" w:rsidR="00002D0E" w:rsidRPr="00883399" w:rsidRDefault="00002D0E" w:rsidP="00002D0E">
      <w:pPr>
        <w:pStyle w:val="R2"/>
        <w:keepLines w:val="0"/>
        <w:tabs>
          <w:tab w:val="clear" w:pos="794"/>
          <w:tab w:val="right" w:pos="0"/>
          <w:tab w:val="left" w:pos="6240"/>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Scope 2 emissions also arise from heating, cooling, or steam acquired from outside the facility. </w:t>
      </w:r>
    </w:p>
    <w:p w14:paraId="7AFC13A4" w14:textId="77777777" w:rsidR="00002D0E" w:rsidRPr="00883399" w:rsidRDefault="00002D0E" w:rsidP="00002D0E">
      <w:pPr>
        <w:pStyle w:val="R2"/>
        <w:keepLines w:val="0"/>
        <w:tabs>
          <w:tab w:val="clear" w:pos="794"/>
          <w:tab w:val="right" w:pos="0"/>
          <w:tab w:val="left" w:pos="6240"/>
        </w:tabs>
        <w:spacing w:before="240" w:line="312" w:lineRule="auto"/>
        <w:ind w:left="0" w:firstLine="0"/>
        <w:jc w:val="left"/>
        <w:rPr>
          <w:rFonts w:ascii="Arial" w:hAnsi="Arial" w:cs="Arial"/>
          <w:b/>
          <w:sz w:val="22"/>
          <w:szCs w:val="22"/>
        </w:rPr>
      </w:pPr>
      <w:r w:rsidRPr="00883399">
        <w:rPr>
          <w:rFonts w:ascii="Arial" w:hAnsi="Arial" w:cs="Arial"/>
          <w:sz w:val="22"/>
          <w:szCs w:val="22"/>
        </w:rPr>
        <w:t>These Scope 2 emissions may be estimated in consultation with the vendor of the heating, cooling or steam to ensure consistency and completeness with the vendor’s estimates of scope 1 emissions for those energy commodities.</w:t>
      </w:r>
    </w:p>
    <w:p w14:paraId="338A74B6" w14:textId="77777777" w:rsidR="00002D0E" w:rsidRPr="00883399" w:rsidRDefault="00002D0E" w:rsidP="00002D0E">
      <w:pPr>
        <w:pStyle w:val="Text"/>
        <w:pBdr>
          <w:top w:val="single" w:sz="4" w:space="1" w:color="auto"/>
          <w:left w:val="single" w:sz="4" w:space="4" w:color="auto"/>
          <w:bottom w:val="single" w:sz="4" w:space="1" w:color="auto"/>
          <w:right w:val="single" w:sz="4" w:space="5" w:color="auto"/>
        </w:pBdr>
        <w:outlineLvl w:val="0"/>
        <w:rPr>
          <w:b/>
        </w:rPr>
      </w:pPr>
      <w:r w:rsidRPr="00883399">
        <w:rPr>
          <w:b/>
        </w:rPr>
        <w:t>Example A</w:t>
      </w:r>
    </w:p>
    <w:p w14:paraId="61AC46F4" w14:textId="77777777" w:rsidR="00002D0E" w:rsidRPr="00883399" w:rsidRDefault="00002D0E" w:rsidP="00002D0E">
      <w:pPr>
        <w:pStyle w:val="Text"/>
        <w:pBdr>
          <w:top w:val="single" w:sz="4" w:space="1" w:color="auto"/>
          <w:left w:val="single" w:sz="4" w:space="4" w:color="auto"/>
          <w:bottom w:val="single" w:sz="4" w:space="1" w:color="auto"/>
          <w:right w:val="single" w:sz="4" w:space="5" w:color="auto"/>
        </w:pBdr>
      </w:pPr>
      <w:r w:rsidRPr="00883399">
        <w:t>A company has operations in NSW and Queensland. A component of the company’s energy use is electricity purchased from the grid. During the year the NSW operations consumed 11,300,000 kWh of electricity, while the Queensland operations consumed 14,600,000 kWh.  Emissions are estimated as follows:</w:t>
      </w:r>
    </w:p>
    <w:p w14:paraId="292ADA81" w14:textId="77777777" w:rsidR="00002D0E" w:rsidRPr="00883399" w:rsidRDefault="00002D0E" w:rsidP="00002D0E">
      <w:pPr>
        <w:pStyle w:val="Text"/>
        <w:pBdr>
          <w:top w:val="single" w:sz="4" w:space="1" w:color="auto"/>
          <w:left w:val="single" w:sz="4" w:space="4" w:color="auto"/>
          <w:bottom w:val="single" w:sz="4" w:space="1" w:color="auto"/>
          <w:right w:val="single" w:sz="4" w:space="5" w:color="auto"/>
        </w:pBdr>
        <w:jc w:val="center"/>
        <w:outlineLvl w:val="0"/>
      </w:pPr>
      <w:r w:rsidRPr="00883399">
        <w:t>Y = Q x EF/1000</w:t>
      </w:r>
    </w:p>
    <w:p w14:paraId="6C0D54DC" w14:textId="77777777" w:rsidR="00002D0E" w:rsidRPr="00883399" w:rsidRDefault="00002D0E" w:rsidP="00002D0E">
      <w:pPr>
        <w:pStyle w:val="Text"/>
        <w:pBdr>
          <w:top w:val="single" w:sz="4" w:space="1" w:color="auto"/>
          <w:left w:val="single" w:sz="4" w:space="4" w:color="auto"/>
          <w:bottom w:val="single" w:sz="4" w:space="1" w:color="auto"/>
          <w:right w:val="single" w:sz="4" w:space="5" w:color="auto"/>
        </w:pBdr>
      </w:pPr>
      <w:r w:rsidRPr="00883399">
        <w:t>where:</w:t>
      </w:r>
    </w:p>
    <w:p w14:paraId="567D7F7F" w14:textId="77777777" w:rsidR="00002D0E" w:rsidRPr="00883399" w:rsidRDefault="00002D0E" w:rsidP="00002D0E">
      <w:pPr>
        <w:pStyle w:val="Text"/>
        <w:pBdr>
          <w:top w:val="single" w:sz="4" w:space="1" w:color="auto"/>
          <w:left w:val="single" w:sz="4" w:space="4" w:color="auto"/>
          <w:bottom w:val="single" w:sz="4" w:space="1" w:color="auto"/>
          <w:right w:val="single" w:sz="4" w:space="5" w:color="auto"/>
        </w:pBdr>
      </w:pPr>
      <w:r w:rsidRPr="00883399">
        <w:t>Y is the scope 2 emissions.</w:t>
      </w:r>
    </w:p>
    <w:p w14:paraId="2791037B" w14:textId="77777777" w:rsidR="00002D0E" w:rsidRPr="00883399" w:rsidRDefault="00002D0E" w:rsidP="00002D0E">
      <w:pPr>
        <w:pStyle w:val="Text"/>
        <w:pBdr>
          <w:top w:val="single" w:sz="4" w:space="1" w:color="auto"/>
          <w:left w:val="single" w:sz="4" w:space="4" w:color="auto"/>
          <w:bottom w:val="single" w:sz="4" w:space="1" w:color="auto"/>
          <w:right w:val="single" w:sz="4" w:space="5" w:color="auto"/>
        </w:pBdr>
      </w:pPr>
      <w:r w:rsidRPr="00883399">
        <w:t xml:space="preserve">Q  is the quantity of electricity purchased from the electricity grid measured in kilowatt hours. </w:t>
      </w:r>
      <w:r w:rsidRPr="00883399">
        <w:rPr>
          <w:b/>
        </w:rPr>
        <w:t>In this case, 11,300,000 kWh from NSW and 14,600,000 kWh from QLD.</w:t>
      </w:r>
    </w:p>
    <w:p w14:paraId="013F3F15" w14:textId="77777777" w:rsidR="00002D0E" w:rsidRPr="00883399" w:rsidRDefault="00002D0E" w:rsidP="00002D0E">
      <w:pPr>
        <w:pStyle w:val="Text"/>
        <w:pBdr>
          <w:top w:val="single" w:sz="4" w:space="1" w:color="auto"/>
          <w:left w:val="single" w:sz="4" w:space="4" w:color="auto"/>
          <w:bottom w:val="single" w:sz="4" w:space="1" w:color="auto"/>
          <w:right w:val="single" w:sz="4" w:space="5" w:color="auto"/>
        </w:pBdr>
        <w:rPr>
          <w:b/>
          <w:i/>
        </w:rPr>
      </w:pPr>
      <w:r w:rsidRPr="00883399">
        <w:t>EF is the scope 2 emission factor, in either kilograms of CO</w:t>
      </w:r>
      <w:r w:rsidRPr="00883399">
        <w:rPr>
          <w:vertAlign w:val="subscript"/>
        </w:rPr>
        <w:t>2</w:t>
      </w:r>
      <w:r w:rsidRPr="00883399">
        <w:t xml:space="preserve"> e emissions per kilowatt hour for the State or Territory in which the consumption occurs as specified in Part 6 of Schedule 1 (of the Determination). </w:t>
      </w:r>
      <w:r w:rsidRPr="00883399">
        <w:rPr>
          <w:b/>
        </w:rPr>
        <w:t>In this case it is 0.8</w:t>
      </w:r>
      <w:r w:rsidR="00545B62" w:rsidRPr="00883399">
        <w:rPr>
          <w:b/>
        </w:rPr>
        <w:t>3</w:t>
      </w:r>
      <w:r w:rsidRPr="00883399">
        <w:rPr>
          <w:b/>
        </w:rPr>
        <w:t xml:space="preserve"> kg CO</w:t>
      </w:r>
      <w:r w:rsidRPr="00883399">
        <w:rPr>
          <w:b/>
          <w:vertAlign w:val="subscript"/>
        </w:rPr>
        <w:t>2</w:t>
      </w:r>
      <w:r w:rsidR="00545B62" w:rsidRPr="00883399">
        <w:rPr>
          <w:b/>
        </w:rPr>
        <w:t>-e/kWh for NSW and 0.79</w:t>
      </w:r>
      <w:r w:rsidRPr="00883399">
        <w:rPr>
          <w:b/>
        </w:rPr>
        <w:t xml:space="preserve"> CO</w:t>
      </w:r>
      <w:r w:rsidRPr="00883399">
        <w:rPr>
          <w:rFonts w:ascii="Times New Roman Bold" w:hAnsi="Times New Roman Bold"/>
          <w:b/>
          <w:vertAlign w:val="subscript"/>
        </w:rPr>
        <w:t>2</w:t>
      </w:r>
      <w:r w:rsidRPr="00883399">
        <w:rPr>
          <w:b/>
        </w:rPr>
        <w:t>-e/kWh for QLD.</w:t>
      </w:r>
    </w:p>
    <w:p w14:paraId="7263C159" w14:textId="77777777" w:rsidR="00002D0E" w:rsidRPr="00883399" w:rsidRDefault="00002D0E" w:rsidP="00002D0E">
      <w:pPr>
        <w:pStyle w:val="Text"/>
        <w:pBdr>
          <w:top w:val="single" w:sz="4" w:space="1" w:color="auto"/>
          <w:left w:val="single" w:sz="4" w:space="4" w:color="auto"/>
          <w:bottom w:val="single" w:sz="4" w:space="1" w:color="auto"/>
          <w:right w:val="single" w:sz="4" w:space="5" w:color="auto"/>
        </w:pBdr>
      </w:pPr>
      <w:r w:rsidRPr="00883399">
        <w:t>Therefore, to calculate Scope 2 emissions:</w:t>
      </w:r>
    </w:p>
    <w:p w14:paraId="77FD606D" w14:textId="77777777" w:rsidR="00002D0E" w:rsidRPr="00883399" w:rsidRDefault="00002D0E" w:rsidP="00002D0E">
      <w:pPr>
        <w:pStyle w:val="Text"/>
        <w:pBdr>
          <w:top w:val="single" w:sz="4" w:space="1" w:color="auto"/>
          <w:left w:val="single" w:sz="4" w:space="4" w:color="auto"/>
          <w:bottom w:val="single" w:sz="4" w:space="1" w:color="auto"/>
          <w:right w:val="single" w:sz="4" w:space="5" w:color="auto"/>
        </w:pBdr>
        <w:outlineLvl w:val="0"/>
      </w:pPr>
      <w:r w:rsidRPr="00883399">
        <w:tab/>
        <w:t>For NSW operations</w:t>
      </w:r>
    </w:p>
    <w:p w14:paraId="4E692CF5" w14:textId="77777777" w:rsidR="00002D0E" w:rsidRPr="00883399" w:rsidRDefault="00002D0E" w:rsidP="00002D0E">
      <w:pPr>
        <w:pStyle w:val="Text"/>
        <w:pBdr>
          <w:top w:val="single" w:sz="4" w:space="1" w:color="auto"/>
          <w:left w:val="single" w:sz="4" w:space="4" w:color="auto"/>
          <w:bottom w:val="single" w:sz="4" w:space="1" w:color="auto"/>
          <w:right w:val="single" w:sz="4" w:space="5" w:color="auto"/>
        </w:pBdr>
        <w:ind w:firstLine="2160"/>
      </w:pPr>
      <w:r w:rsidRPr="00883399">
        <w:t>=(11,300,000 x 0.8</w:t>
      </w:r>
      <w:r w:rsidR="00545B62" w:rsidRPr="00883399">
        <w:t>3</w:t>
      </w:r>
      <w:r w:rsidRPr="00883399">
        <w:t>)/1000</w:t>
      </w:r>
    </w:p>
    <w:p w14:paraId="33EE9A7B" w14:textId="77777777" w:rsidR="00002D0E" w:rsidRPr="00883399" w:rsidRDefault="00545B62" w:rsidP="00002D0E">
      <w:pPr>
        <w:pStyle w:val="Text"/>
        <w:pBdr>
          <w:top w:val="single" w:sz="4" w:space="1" w:color="auto"/>
          <w:left w:val="single" w:sz="4" w:space="4" w:color="auto"/>
          <w:bottom w:val="single" w:sz="4" w:space="1" w:color="auto"/>
          <w:right w:val="single" w:sz="4" w:space="5" w:color="auto"/>
        </w:pBdr>
        <w:ind w:firstLine="2160"/>
      </w:pPr>
      <w:r w:rsidRPr="00883399">
        <w:t>= 9,379</w:t>
      </w:r>
      <w:r w:rsidR="00002D0E" w:rsidRPr="00883399">
        <w:t xml:space="preserve"> t Scope 2 CO</w:t>
      </w:r>
      <w:r w:rsidR="00002D0E" w:rsidRPr="00883399">
        <w:rPr>
          <w:vertAlign w:val="subscript"/>
        </w:rPr>
        <w:t>2</w:t>
      </w:r>
      <w:r w:rsidR="00002D0E" w:rsidRPr="00883399">
        <w:t>-e</w:t>
      </w:r>
    </w:p>
    <w:p w14:paraId="63A9349A" w14:textId="77777777" w:rsidR="00002D0E" w:rsidRPr="00883399" w:rsidRDefault="00002D0E" w:rsidP="00002D0E">
      <w:pPr>
        <w:pStyle w:val="Text"/>
        <w:pBdr>
          <w:top w:val="single" w:sz="4" w:space="1" w:color="auto"/>
          <w:left w:val="single" w:sz="4" w:space="4" w:color="auto"/>
          <w:bottom w:val="single" w:sz="4" w:space="1" w:color="auto"/>
          <w:right w:val="single" w:sz="4" w:space="5" w:color="auto"/>
        </w:pBdr>
        <w:ind w:firstLine="720"/>
      </w:pPr>
      <w:r w:rsidRPr="00883399">
        <w:t>For QLD operations</w:t>
      </w:r>
    </w:p>
    <w:p w14:paraId="6D53E291" w14:textId="77777777" w:rsidR="00002D0E" w:rsidRPr="00883399" w:rsidRDefault="00962770" w:rsidP="00002D0E">
      <w:pPr>
        <w:pStyle w:val="Text"/>
        <w:pBdr>
          <w:top w:val="single" w:sz="4" w:space="1" w:color="auto"/>
          <w:left w:val="single" w:sz="4" w:space="4" w:color="auto"/>
          <w:bottom w:val="single" w:sz="4" w:space="1" w:color="auto"/>
          <w:right w:val="single" w:sz="4" w:space="5" w:color="auto"/>
        </w:pBdr>
        <w:ind w:firstLine="2160"/>
      </w:pPr>
      <w:r w:rsidRPr="00883399">
        <w:t>=(14,600,000 x 0.79</w:t>
      </w:r>
      <w:r w:rsidR="00002D0E" w:rsidRPr="00883399">
        <w:t>)/1000</w:t>
      </w:r>
    </w:p>
    <w:p w14:paraId="4627C0B9" w14:textId="77777777" w:rsidR="00002D0E" w:rsidRPr="00883399" w:rsidRDefault="00962770" w:rsidP="00002D0E">
      <w:pPr>
        <w:pStyle w:val="Text"/>
        <w:pBdr>
          <w:top w:val="single" w:sz="4" w:space="1" w:color="auto"/>
          <w:left w:val="single" w:sz="4" w:space="4" w:color="auto"/>
          <w:bottom w:val="single" w:sz="4" w:space="1" w:color="auto"/>
          <w:right w:val="single" w:sz="4" w:space="5" w:color="auto"/>
        </w:pBdr>
        <w:ind w:firstLine="2160"/>
      </w:pPr>
      <w:r w:rsidRPr="00883399">
        <w:t>= 11,534</w:t>
      </w:r>
      <w:r w:rsidR="00002D0E" w:rsidRPr="00883399">
        <w:t xml:space="preserve"> t Scope 2 CO</w:t>
      </w:r>
      <w:r w:rsidR="00002D0E" w:rsidRPr="00883399">
        <w:rPr>
          <w:vertAlign w:val="subscript"/>
        </w:rPr>
        <w:t>2</w:t>
      </w:r>
      <w:r w:rsidR="00002D0E" w:rsidRPr="00883399">
        <w:t>-e</w:t>
      </w:r>
    </w:p>
    <w:p w14:paraId="7E195058" w14:textId="77777777" w:rsidR="00002D0E" w:rsidRPr="00883399" w:rsidRDefault="00002D0E" w:rsidP="00002D0E">
      <w:pPr>
        <w:pStyle w:val="Text"/>
        <w:rPr>
          <w:rFonts w:ascii="Arial" w:hAnsi="Arial" w:cs="Arial"/>
          <w:sz w:val="22"/>
          <w:szCs w:val="22"/>
        </w:rPr>
      </w:pPr>
    </w:p>
    <w:p w14:paraId="2C2C49B0" w14:textId="77777777" w:rsidR="00002D0E" w:rsidRPr="00883399" w:rsidRDefault="00002D0E" w:rsidP="00002D0E">
      <w:pPr>
        <w:pStyle w:val="Text"/>
        <w:pBdr>
          <w:top w:val="single" w:sz="4" w:space="1" w:color="auto"/>
          <w:left w:val="single" w:sz="4" w:space="4" w:color="auto"/>
          <w:bottom w:val="single" w:sz="4" w:space="1" w:color="auto"/>
          <w:right w:val="single" w:sz="4" w:space="5" w:color="auto"/>
        </w:pBdr>
        <w:outlineLvl w:val="0"/>
        <w:rPr>
          <w:b/>
        </w:rPr>
      </w:pPr>
      <w:r w:rsidRPr="00883399">
        <w:rPr>
          <w:b/>
        </w:rPr>
        <w:t>Example B</w:t>
      </w:r>
    </w:p>
    <w:p w14:paraId="3A13B962" w14:textId="77777777" w:rsidR="00002D0E" w:rsidRPr="00883399" w:rsidRDefault="00002D0E" w:rsidP="00002D0E">
      <w:pPr>
        <w:pStyle w:val="Text"/>
        <w:pBdr>
          <w:top w:val="single" w:sz="4" w:space="1" w:color="auto"/>
          <w:left w:val="single" w:sz="4" w:space="4" w:color="auto"/>
          <w:bottom w:val="single" w:sz="4" w:space="1" w:color="auto"/>
          <w:right w:val="single" w:sz="4" w:space="5" w:color="auto"/>
        </w:pBdr>
      </w:pPr>
      <w:r w:rsidRPr="00883399">
        <w:t>A company uses steam from another facility to provide heat and returns condensate back to the other facility. During the year the company consumed 5,700 gigajoules of energy from the steam. Emissions are estimated as follows:</w:t>
      </w:r>
    </w:p>
    <w:p w14:paraId="21BBB347" w14:textId="77777777" w:rsidR="00002D0E" w:rsidRPr="00883399" w:rsidRDefault="00002D0E" w:rsidP="00002D0E">
      <w:pPr>
        <w:pStyle w:val="Text"/>
        <w:pBdr>
          <w:top w:val="single" w:sz="4" w:space="1" w:color="auto"/>
          <w:left w:val="single" w:sz="4" w:space="4" w:color="auto"/>
          <w:bottom w:val="single" w:sz="4" w:space="1" w:color="auto"/>
          <w:right w:val="single" w:sz="4" w:space="5" w:color="auto"/>
        </w:pBdr>
        <w:jc w:val="center"/>
        <w:outlineLvl w:val="0"/>
      </w:pPr>
      <w:r w:rsidRPr="00883399">
        <w:t>Y = Q x EF/1000</w:t>
      </w:r>
    </w:p>
    <w:p w14:paraId="38D979FE" w14:textId="77777777" w:rsidR="00002D0E" w:rsidRPr="00883399" w:rsidRDefault="00002D0E" w:rsidP="00002D0E">
      <w:pPr>
        <w:pStyle w:val="Text"/>
        <w:pBdr>
          <w:top w:val="single" w:sz="4" w:space="1" w:color="auto"/>
          <w:left w:val="single" w:sz="4" w:space="4" w:color="auto"/>
          <w:bottom w:val="single" w:sz="4" w:space="1" w:color="auto"/>
          <w:right w:val="single" w:sz="4" w:space="5" w:color="auto"/>
        </w:pBdr>
      </w:pPr>
      <w:r w:rsidRPr="00883399">
        <w:t>where:</w:t>
      </w:r>
    </w:p>
    <w:p w14:paraId="0A29DEE4" w14:textId="77777777" w:rsidR="00002D0E" w:rsidRPr="00883399" w:rsidRDefault="00002D0E" w:rsidP="00002D0E">
      <w:pPr>
        <w:pStyle w:val="Text"/>
        <w:pBdr>
          <w:top w:val="single" w:sz="4" w:space="1" w:color="auto"/>
          <w:left w:val="single" w:sz="4" w:space="4" w:color="auto"/>
          <w:bottom w:val="single" w:sz="4" w:space="1" w:color="auto"/>
          <w:right w:val="single" w:sz="4" w:space="5" w:color="auto"/>
        </w:pBdr>
      </w:pPr>
      <w:r w:rsidRPr="00883399">
        <w:t>Y is the scope 2 emissions.</w:t>
      </w:r>
    </w:p>
    <w:p w14:paraId="03588D99" w14:textId="77777777" w:rsidR="00002D0E" w:rsidRPr="00883399" w:rsidRDefault="00002D0E" w:rsidP="00002D0E">
      <w:pPr>
        <w:pStyle w:val="Text"/>
        <w:pBdr>
          <w:top w:val="single" w:sz="4" w:space="1" w:color="auto"/>
          <w:left w:val="single" w:sz="4" w:space="4" w:color="auto"/>
          <w:bottom w:val="single" w:sz="4" w:space="1" w:color="auto"/>
          <w:right w:val="single" w:sz="4" w:space="5" w:color="auto"/>
        </w:pBdr>
      </w:pPr>
      <w:r w:rsidRPr="00883399">
        <w:t xml:space="preserve">Q  is the quantity of steam purchased from the other facility. </w:t>
      </w:r>
      <w:r w:rsidRPr="00883399">
        <w:rPr>
          <w:b/>
        </w:rPr>
        <w:t>In this case the quantity of steam purchased is 5,700 GJ.</w:t>
      </w:r>
    </w:p>
    <w:p w14:paraId="773CE5F8" w14:textId="77777777" w:rsidR="00002D0E" w:rsidRPr="00883399" w:rsidRDefault="00002D0E" w:rsidP="00002D0E">
      <w:pPr>
        <w:pStyle w:val="Text"/>
        <w:pBdr>
          <w:top w:val="single" w:sz="4" w:space="1" w:color="auto"/>
          <w:left w:val="single" w:sz="4" w:space="4" w:color="auto"/>
          <w:bottom w:val="single" w:sz="4" w:space="1" w:color="auto"/>
          <w:right w:val="single" w:sz="4" w:space="5" w:color="auto"/>
        </w:pBdr>
        <w:rPr>
          <w:b/>
          <w:i/>
        </w:rPr>
      </w:pPr>
      <w:r w:rsidRPr="00883399">
        <w:t>EF is the scope 2 emission factor for the steam, in this case measured in kg CO</w:t>
      </w:r>
      <w:r w:rsidRPr="00883399">
        <w:rPr>
          <w:vertAlign w:val="subscript"/>
        </w:rPr>
        <w:t>2</w:t>
      </w:r>
      <w:r w:rsidRPr="00883399">
        <w:t>-e/GJ. The vendor has provided a scope 2 emission factor for the steam of 400 kg CO</w:t>
      </w:r>
      <w:r w:rsidRPr="00883399">
        <w:rPr>
          <w:vertAlign w:val="subscript"/>
        </w:rPr>
        <w:t>2</w:t>
      </w:r>
      <w:r w:rsidRPr="00883399">
        <w:t>-e/GJ.</w:t>
      </w:r>
    </w:p>
    <w:p w14:paraId="764F4E8E" w14:textId="77777777" w:rsidR="00002D0E" w:rsidRPr="00883399" w:rsidRDefault="00002D0E" w:rsidP="00002D0E">
      <w:pPr>
        <w:pStyle w:val="Text"/>
        <w:pBdr>
          <w:top w:val="single" w:sz="4" w:space="1" w:color="auto"/>
          <w:left w:val="single" w:sz="4" w:space="4" w:color="auto"/>
          <w:bottom w:val="single" w:sz="4" w:space="1" w:color="auto"/>
          <w:right w:val="single" w:sz="4" w:space="5" w:color="auto"/>
        </w:pBdr>
      </w:pPr>
      <w:r w:rsidRPr="00883399">
        <w:t>Therefore, to calculate Scope 2 emissions:</w:t>
      </w:r>
    </w:p>
    <w:p w14:paraId="5B859A57" w14:textId="77777777" w:rsidR="00002D0E" w:rsidRPr="00883399" w:rsidRDefault="00002D0E" w:rsidP="00002D0E">
      <w:pPr>
        <w:pStyle w:val="Text"/>
        <w:pBdr>
          <w:top w:val="single" w:sz="4" w:space="1" w:color="auto"/>
          <w:left w:val="single" w:sz="4" w:space="4" w:color="auto"/>
          <w:bottom w:val="single" w:sz="4" w:space="1" w:color="auto"/>
          <w:right w:val="single" w:sz="4" w:space="5" w:color="auto"/>
        </w:pBdr>
      </w:pPr>
      <w:r w:rsidRPr="00883399">
        <w:tab/>
        <w:t>Scope 2 emissions</w:t>
      </w:r>
    </w:p>
    <w:p w14:paraId="2F7EE614" w14:textId="77777777" w:rsidR="00002D0E" w:rsidRPr="00883399" w:rsidRDefault="00002D0E" w:rsidP="00002D0E">
      <w:pPr>
        <w:pStyle w:val="Text"/>
        <w:pBdr>
          <w:top w:val="single" w:sz="4" w:space="1" w:color="auto"/>
          <w:left w:val="single" w:sz="4" w:space="4" w:color="auto"/>
          <w:bottom w:val="single" w:sz="4" w:space="1" w:color="auto"/>
          <w:right w:val="single" w:sz="4" w:space="5" w:color="auto"/>
        </w:pBdr>
        <w:ind w:firstLine="2160"/>
      </w:pPr>
      <w:r w:rsidRPr="00883399">
        <w:t>= (5,700 x 400) / 1000</w:t>
      </w:r>
    </w:p>
    <w:p w14:paraId="324D6B60" w14:textId="77777777" w:rsidR="00002D0E" w:rsidRPr="00883399" w:rsidRDefault="00002D0E" w:rsidP="00002D0E">
      <w:pPr>
        <w:pStyle w:val="Text"/>
        <w:pBdr>
          <w:top w:val="single" w:sz="4" w:space="1" w:color="auto"/>
          <w:left w:val="single" w:sz="4" w:space="4" w:color="auto"/>
          <w:bottom w:val="single" w:sz="4" w:space="1" w:color="auto"/>
          <w:right w:val="single" w:sz="4" w:space="5" w:color="auto"/>
        </w:pBdr>
        <w:ind w:firstLine="2160"/>
      </w:pPr>
      <w:r w:rsidRPr="00883399">
        <w:t>= 2280 t Scope 2 CO</w:t>
      </w:r>
      <w:r w:rsidRPr="00883399">
        <w:rPr>
          <w:vertAlign w:val="subscript"/>
        </w:rPr>
        <w:t>2</w:t>
      </w:r>
      <w:r w:rsidRPr="00883399">
        <w:t>-e</w:t>
      </w:r>
    </w:p>
    <w:p w14:paraId="5F1D211B" w14:textId="77777777" w:rsidR="00002D0E" w:rsidRPr="00883399" w:rsidRDefault="00002D0E" w:rsidP="00002D0E">
      <w:pPr>
        <w:pStyle w:val="Text"/>
        <w:rPr>
          <w:rFonts w:ascii="Arial" w:hAnsi="Arial" w:cs="Arial"/>
          <w:sz w:val="22"/>
          <w:szCs w:val="22"/>
        </w:rPr>
      </w:pPr>
      <w:r w:rsidRPr="00883399">
        <w:rPr>
          <w:rFonts w:ascii="Arial" w:hAnsi="Arial" w:cs="Arial"/>
          <w:sz w:val="22"/>
          <w:szCs w:val="22"/>
        </w:rPr>
        <w:t>The scope 2 emission factors are state-based emission factors from on-grid electricity generation calculated systematically from the physical characteristics of the electricity grid. The state-based emission factor calculates an average emission factor for all electricity consumed from the grid in a given state, territory or electricity grid. All emissions attributable to a state territory or grid’s electricity consumption are allocated amongst individual consumers in proportion to their relative level of consumption. In effect, the likelihood of a particular generator supplying a particular consumer is assumed to reflect each generator’s relative level of supply to the grid. The reason for this approach is that within an electricity grid it is impossible to physically trace or control the actual physical source of electricity received by each customer.</w:t>
      </w:r>
    </w:p>
    <w:p w14:paraId="7B8C03D6" w14:textId="77777777" w:rsidR="00002D0E" w:rsidRPr="00883399" w:rsidRDefault="00002D0E" w:rsidP="00002D0E">
      <w:pPr>
        <w:pStyle w:val="Table"/>
        <w:spacing w:before="240"/>
        <w:rPr>
          <w:sz w:val="22"/>
          <w:szCs w:val="22"/>
        </w:rPr>
      </w:pPr>
      <w:r w:rsidRPr="00883399">
        <w:rPr>
          <w:sz w:val="22"/>
          <w:szCs w:val="22"/>
        </w:rPr>
        <w:t>This approach minimises information requirements for the system and produces factors that are relatively easy to interpret and apply, and which are used to support a range of specific government programs and policies. Consistent adoption of these ‘physical’ state-based emission factors ensures the emissions generated in each state are fully accounted for by the end-users of the purchased electricity and double counting is avoided.</w:t>
      </w:r>
    </w:p>
    <w:p w14:paraId="457C32AF" w14:textId="77777777" w:rsidR="00002D0E" w:rsidRPr="00883399" w:rsidRDefault="00002D0E" w:rsidP="00002D0E">
      <w:pPr>
        <w:pStyle w:val="Text"/>
        <w:rPr>
          <w:rFonts w:ascii="Arial" w:hAnsi="Arial" w:cs="Arial"/>
          <w:sz w:val="22"/>
          <w:szCs w:val="22"/>
        </w:rPr>
      </w:pPr>
      <w:r w:rsidRPr="00883399">
        <w:rPr>
          <w:rFonts w:ascii="Arial" w:hAnsi="Arial" w:cs="Arial"/>
          <w:sz w:val="22"/>
          <w:szCs w:val="22"/>
        </w:rPr>
        <w:t xml:space="preserve">It is recognised that this approach does not serve all possible policy purposes and that alternative, more data-intensive approaches are possible.  Reporters will be able to provide additional data on a voluntary basis on consumption of certain renewable products.  </w:t>
      </w:r>
    </w:p>
    <w:p w14:paraId="48B14CD9" w14:textId="77777777" w:rsidR="00002D0E" w:rsidRPr="00883399" w:rsidRDefault="00002D0E" w:rsidP="00002D0E">
      <w:pPr>
        <w:pStyle w:val="Text"/>
        <w:outlineLvl w:val="0"/>
        <w:rPr>
          <w:rFonts w:ascii="Arial" w:hAnsi="Arial" w:cs="Arial"/>
          <w:i/>
          <w:sz w:val="22"/>
          <w:szCs w:val="22"/>
        </w:rPr>
      </w:pPr>
      <w:r w:rsidRPr="00883399">
        <w:rPr>
          <w:rFonts w:ascii="Arial" w:hAnsi="Arial" w:cs="Arial"/>
          <w:i/>
          <w:sz w:val="22"/>
          <w:szCs w:val="22"/>
        </w:rPr>
        <w:t>Background to Scope 2 factor estimates</w:t>
      </w:r>
    </w:p>
    <w:p w14:paraId="54DE028A" w14:textId="77777777" w:rsidR="00002D0E" w:rsidRPr="00883399" w:rsidRDefault="00002D0E" w:rsidP="00002D0E">
      <w:pPr>
        <w:pStyle w:val="Text"/>
        <w:rPr>
          <w:rFonts w:ascii="Arial" w:hAnsi="Arial" w:cs="Arial"/>
          <w:sz w:val="22"/>
          <w:szCs w:val="22"/>
        </w:rPr>
      </w:pPr>
      <w:r w:rsidRPr="00883399">
        <w:rPr>
          <w:rFonts w:ascii="Arial" w:hAnsi="Arial" w:cs="Arial"/>
          <w:sz w:val="22"/>
          <w:szCs w:val="22"/>
        </w:rPr>
        <w:t>The scope 2 emission factors reflect data that are based on:</w:t>
      </w:r>
    </w:p>
    <w:p w14:paraId="64143C93" w14:textId="77777777" w:rsidR="00002D0E" w:rsidRPr="00883399" w:rsidRDefault="00002D0E" w:rsidP="00002D0E">
      <w:pPr>
        <w:pStyle w:val="ListBullet"/>
        <w:numPr>
          <w:ilvl w:val="0"/>
          <w:numId w:val="21"/>
        </w:numPr>
        <w:spacing w:before="240" w:line="312" w:lineRule="auto"/>
        <w:rPr>
          <w:rFonts w:ascii="Arial" w:hAnsi="Arial" w:cs="Arial"/>
          <w:sz w:val="22"/>
          <w:szCs w:val="22"/>
        </w:rPr>
      </w:pPr>
      <w:r w:rsidRPr="00883399">
        <w:rPr>
          <w:rFonts w:ascii="Arial" w:hAnsi="Arial" w:cs="Arial"/>
          <w:sz w:val="22"/>
          <w:szCs w:val="22"/>
        </w:rPr>
        <w:t>on-grid activity only;</w:t>
      </w:r>
    </w:p>
    <w:p w14:paraId="7764C870" w14:textId="77777777" w:rsidR="00002D0E" w:rsidRPr="00883399" w:rsidRDefault="00002D0E" w:rsidP="00002D0E">
      <w:pPr>
        <w:pStyle w:val="ListBullet"/>
        <w:numPr>
          <w:ilvl w:val="0"/>
          <w:numId w:val="21"/>
        </w:numPr>
        <w:spacing w:before="240" w:line="312" w:lineRule="auto"/>
        <w:rPr>
          <w:rFonts w:ascii="Arial" w:hAnsi="Arial" w:cs="Arial"/>
          <w:sz w:val="22"/>
          <w:szCs w:val="22"/>
        </w:rPr>
      </w:pPr>
      <w:r w:rsidRPr="00883399">
        <w:rPr>
          <w:rFonts w:ascii="Arial" w:hAnsi="Arial" w:cs="Arial"/>
          <w:sz w:val="22"/>
          <w:szCs w:val="22"/>
        </w:rPr>
        <w:t>state-based activity;</w:t>
      </w:r>
    </w:p>
    <w:p w14:paraId="706A663F" w14:textId="77777777" w:rsidR="00002D0E" w:rsidRPr="00883399" w:rsidRDefault="00002D0E" w:rsidP="00002D0E">
      <w:pPr>
        <w:pStyle w:val="ListBullet"/>
        <w:numPr>
          <w:ilvl w:val="0"/>
          <w:numId w:val="21"/>
        </w:numPr>
        <w:spacing w:before="240" w:line="312" w:lineRule="auto"/>
        <w:rPr>
          <w:rFonts w:ascii="Arial" w:hAnsi="Arial" w:cs="Arial"/>
          <w:sz w:val="22"/>
          <w:szCs w:val="22"/>
        </w:rPr>
      </w:pPr>
      <w:r w:rsidRPr="00883399">
        <w:rPr>
          <w:rFonts w:ascii="Arial" w:hAnsi="Arial" w:cs="Arial"/>
          <w:sz w:val="22"/>
          <w:szCs w:val="22"/>
        </w:rPr>
        <w:t>annual financial year averages;</w:t>
      </w:r>
    </w:p>
    <w:p w14:paraId="3CE17EF1" w14:textId="77777777" w:rsidR="00002D0E" w:rsidRPr="00883399" w:rsidRDefault="00002D0E" w:rsidP="00002D0E">
      <w:pPr>
        <w:pStyle w:val="ListBullet"/>
        <w:numPr>
          <w:ilvl w:val="0"/>
          <w:numId w:val="21"/>
        </w:numPr>
        <w:spacing w:before="240" w:line="312" w:lineRule="auto"/>
        <w:rPr>
          <w:rFonts w:ascii="Arial" w:hAnsi="Arial" w:cs="Arial"/>
          <w:sz w:val="22"/>
          <w:szCs w:val="22"/>
        </w:rPr>
      </w:pPr>
      <w:r w:rsidRPr="00883399">
        <w:rPr>
          <w:rFonts w:ascii="Arial" w:hAnsi="Arial" w:cs="Arial"/>
          <w:sz w:val="22"/>
          <w:szCs w:val="22"/>
        </w:rPr>
        <w:t>physical characteristics of the electricity supply and demand.</w:t>
      </w:r>
    </w:p>
    <w:p w14:paraId="31CFA75D" w14:textId="77777777" w:rsidR="00002D0E" w:rsidRPr="00883399" w:rsidRDefault="00002D0E" w:rsidP="00002D0E">
      <w:pPr>
        <w:pStyle w:val="Text"/>
        <w:rPr>
          <w:rFonts w:ascii="Arial" w:hAnsi="Arial" w:cs="Arial"/>
          <w:sz w:val="22"/>
          <w:szCs w:val="22"/>
        </w:rPr>
      </w:pPr>
      <w:r w:rsidRPr="00883399">
        <w:rPr>
          <w:rFonts w:ascii="Arial" w:hAnsi="Arial" w:cs="Arial"/>
          <w:sz w:val="22"/>
          <w:szCs w:val="22"/>
        </w:rPr>
        <w:t xml:space="preserve">The estimated electricity emission factors have been aligned with the definitions used in </w:t>
      </w:r>
      <w:r w:rsidRPr="00883399">
        <w:rPr>
          <w:rFonts w:ascii="Arial" w:hAnsi="Arial" w:cs="Arial"/>
          <w:i/>
          <w:sz w:val="22"/>
          <w:szCs w:val="22"/>
        </w:rPr>
        <w:t>The Greenhouse Gas Protocol: A Corporate Accounting and Reporting Standard</w:t>
      </w:r>
      <w:r w:rsidRPr="00883399">
        <w:rPr>
          <w:rFonts w:ascii="Arial" w:hAnsi="Arial" w:cs="Arial"/>
          <w:sz w:val="22"/>
          <w:szCs w:val="22"/>
        </w:rPr>
        <w:t xml:space="preserve"> of the World Resources Institute/World Business Council for Sustainable Development (the GHG Protocol).</w:t>
      </w:r>
    </w:p>
    <w:p w14:paraId="06545D07" w14:textId="77777777" w:rsidR="00002D0E" w:rsidRPr="00883399" w:rsidRDefault="00002D0E" w:rsidP="00002D0E">
      <w:pPr>
        <w:pStyle w:val="Text"/>
        <w:rPr>
          <w:rFonts w:ascii="Arial" w:hAnsi="Arial" w:cs="Arial"/>
          <w:sz w:val="22"/>
          <w:szCs w:val="22"/>
        </w:rPr>
      </w:pPr>
      <w:r w:rsidRPr="00883399">
        <w:rPr>
          <w:rFonts w:ascii="Arial" w:hAnsi="Arial" w:cs="Arial"/>
          <w:sz w:val="22"/>
          <w:szCs w:val="22"/>
        </w:rPr>
        <w:t xml:space="preserve">The emission factor for scope 2 is defined in terms of energy sent out on the grid rather than energy delivered because this effectively ensures that end users of electricity are allocated only the scope 2 emissions attributable to the electricity they consume and not the scope 2 emissions attributable to electricity lost in transmission and distribution. The latter are allocated to the transmission and distribution network. This follows </w:t>
      </w:r>
      <w:r w:rsidRPr="00883399">
        <w:rPr>
          <w:rFonts w:ascii="Arial" w:hAnsi="Arial" w:cs="Arial"/>
          <w:iCs/>
          <w:sz w:val="22"/>
          <w:szCs w:val="22"/>
        </w:rPr>
        <w:t>the GHG Protocol</w:t>
      </w:r>
      <w:r w:rsidRPr="00883399">
        <w:rPr>
          <w:rFonts w:ascii="Arial" w:hAnsi="Arial" w:cs="Arial"/>
          <w:sz w:val="22"/>
          <w:szCs w:val="22"/>
        </w:rPr>
        <w:t xml:space="preserve"> guidance that scope 2 emissions be reported by the organisation owning or controlling the plant or equipment where the electricity is consumed. Companies that own or control transmission and distribution networks report their transmission and distribution loss emissions under scope 2.  </w:t>
      </w:r>
    </w:p>
    <w:p w14:paraId="6D817888" w14:textId="77777777" w:rsidR="00002D0E" w:rsidRPr="00883399" w:rsidRDefault="00002D0E" w:rsidP="00002D0E">
      <w:pPr>
        <w:pStyle w:val="Text"/>
        <w:rPr>
          <w:rFonts w:ascii="Arial" w:hAnsi="Arial" w:cs="Arial"/>
          <w:sz w:val="22"/>
          <w:szCs w:val="22"/>
        </w:rPr>
      </w:pPr>
      <w:r w:rsidRPr="00883399">
        <w:rPr>
          <w:rFonts w:ascii="Arial" w:hAnsi="Arial" w:cs="Arial"/>
          <w:sz w:val="22"/>
          <w:szCs w:val="22"/>
        </w:rPr>
        <w:t>The emission factors are calculated as financial year averages based on electricity generation within each state and territory and take into account interstate electricity flows (where they exist) and the emissions attributable to those flows. To reduce volatility scope 2 emission factors are calculated as a three-year moving average.</w:t>
      </w:r>
    </w:p>
    <w:p w14:paraId="1AF9F2F1" w14:textId="77777777" w:rsidR="00002D0E" w:rsidRPr="00883399" w:rsidRDefault="00002D0E" w:rsidP="00002D0E">
      <w:pPr>
        <w:pStyle w:val="Text"/>
        <w:rPr>
          <w:rFonts w:ascii="Arial" w:hAnsi="Arial" w:cs="Arial"/>
          <w:sz w:val="22"/>
          <w:szCs w:val="22"/>
        </w:rPr>
      </w:pPr>
      <w:r w:rsidRPr="00883399">
        <w:rPr>
          <w:rFonts w:ascii="Arial" w:hAnsi="Arial" w:cs="Arial"/>
          <w:sz w:val="22"/>
          <w:szCs w:val="22"/>
        </w:rPr>
        <w:t>Scope 2 emissions result from the generation of purchased electricity from each state’s electricity grid. The emission factor at generation (</w:t>
      </w:r>
      <w:r w:rsidRPr="00883399">
        <w:rPr>
          <w:rFonts w:ascii="Arial" w:hAnsi="Arial" w:cs="Arial"/>
          <w:i/>
          <w:sz w:val="22"/>
          <w:szCs w:val="22"/>
        </w:rPr>
        <w:t>EFG scope2</w:t>
      </w:r>
      <w:r w:rsidRPr="00883399">
        <w:rPr>
          <w:rStyle w:val="Superscript"/>
          <w:rFonts w:ascii="Arial" w:hAnsi="Arial" w:cs="Arial"/>
          <w:sz w:val="22"/>
          <w:szCs w:val="22"/>
        </w:rPr>
        <w:t>t</w:t>
      </w:r>
      <w:r w:rsidRPr="00883399">
        <w:rPr>
          <w:rFonts w:ascii="Arial" w:hAnsi="Arial" w:cs="Arial"/>
          <w:sz w:val="22"/>
          <w:szCs w:val="22"/>
          <w:vertAlign w:val="subscript"/>
        </w:rPr>
        <w:t>i</w:t>
      </w:r>
      <w:r w:rsidRPr="00883399">
        <w:rPr>
          <w:rFonts w:ascii="Arial" w:hAnsi="Arial" w:cs="Arial"/>
          <w:sz w:val="22"/>
          <w:szCs w:val="22"/>
        </w:rPr>
        <w:t>) is used to calculate scope 2 emissions and is defined for state i and financial year t:</w:t>
      </w:r>
    </w:p>
    <w:p w14:paraId="01E9D302" w14:textId="77777777" w:rsidR="00002D0E" w:rsidRPr="00883399" w:rsidRDefault="00002D0E" w:rsidP="00002D0E">
      <w:pPr>
        <w:pStyle w:val="Text"/>
        <w:spacing w:before="0"/>
        <w:rPr>
          <w:rFonts w:ascii="Arial" w:hAnsi="Arial" w:cs="Arial"/>
          <w:sz w:val="22"/>
          <w:szCs w:val="22"/>
        </w:rPr>
      </w:pPr>
    </w:p>
    <w:p w14:paraId="0250A3D6" w14:textId="77777777" w:rsidR="00002D0E" w:rsidRPr="00883399" w:rsidRDefault="00002D0E" w:rsidP="00002D0E">
      <w:pPr>
        <w:pStyle w:val="Text"/>
        <w:spacing w:before="0"/>
        <w:rPr>
          <w:sz w:val="22"/>
          <w:szCs w:val="22"/>
        </w:rPr>
      </w:pPr>
      <w:r w:rsidRPr="00883399">
        <w:rPr>
          <w:i/>
          <w:iCs/>
          <w:position w:val="-32"/>
          <w:sz w:val="22"/>
          <w:szCs w:val="22"/>
        </w:rPr>
        <w:object w:dxaOrig="9780" w:dyaOrig="760" w14:anchorId="741AA72C">
          <v:shape id="_x0000_i1114" type="#_x0000_t75" style="width:409.5pt;height:33pt" o:ole="">
            <v:imagedata r:id="rId356" o:title=""/>
          </v:shape>
          <o:OLEObject Type="Embed" ProgID="Equation.3" ShapeID="_x0000_i1114" DrawAspect="Content" ObjectID="_1594106005" r:id="rId357"/>
        </w:object>
      </w:r>
    </w:p>
    <w:p w14:paraId="6AA9ED62" w14:textId="77777777" w:rsidR="00002D0E" w:rsidRPr="00883399" w:rsidRDefault="00002D0E" w:rsidP="00002D0E">
      <w:pPr>
        <w:pStyle w:val="EquationNote"/>
        <w:keepNext/>
        <w:spacing w:before="0"/>
        <w:ind w:left="357" w:hanging="357"/>
        <w:outlineLvl w:val="0"/>
        <w:rPr>
          <w:rFonts w:ascii="Times New Roman" w:hAnsi="Times New Roman" w:cs="Times New Roman"/>
          <w:iCs w:val="0"/>
          <w:sz w:val="24"/>
          <w:szCs w:val="24"/>
        </w:rPr>
      </w:pPr>
      <w:r w:rsidRPr="00883399">
        <w:rPr>
          <w:rFonts w:ascii="Times New Roman" w:hAnsi="Times New Roman" w:cs="Times New Roman"/>
          <w:iCs w:val="0"/>
          <w:sz w:val="24"/>
          <w:szCs w:val="24"/>
        </w:rPr>
        <w:t>Where</w:t>
      </w:r>
    </w:p>
    <w:p w14:paraId="1404B2A0" w14:textId="77777777" w:rsidR="00002D0E" w:rsidRPr="00883399" w:rsidRDefault="00002D0E" w:rsidP="00002D0E">
      <w:pPr>
        <w:pStyle w:val="EquationNote"/>
        <w:keepNext/>
        <w:spacing w:before="0"/>
        <w:ind w:left="357" w:hanging="357"/>
        <w:rPr>
          <w:rFonts w:ascii="Times New Roman" w:hAnsi="Times New Roman" w:cs="Times New Roman"/>
          <w:iCs w:val="0"/>
          <w:sz w:val="24"/>
          <w:szCs w:val="24"/>
        </w:rPr>
      </w:pPr>
      <w:r w:rsidRPr="00883399">
        <w:rPr>
          <w:rFonts w:ascii="Times New Roman" w:hAnsi="Times New Roman" w:cs="Times New Roman"/>
          <w:iCs w:val="0"/>
          <w:sz w:val="22"/>
          <w:szCs w:val="22"/>
        </w:rPr>
        <w:tab/>
      </w:r>
      <w:r w:rsidRPr="00883399">
        <w:rPr>
          <w:rFonts w:ascii="Times New Roman" w:hAnsi="Times New Roman" w:cs="Times New Roman"/>
          <w:iCs w:val="0"/>
          <w:sz w:val="24"/>
          <w:szCs w:val="24"/>
        </w:rPr>
        <w:t>‘combustion emissions from electricity consumed from the grid in state i’ (CE_C</w:t>
      </w:r>
      <w:r w:rsidRPr="00883399">
        <w:rPr>
          <w:rFonts w:ascii="Times New Roman" w:hAnsi="Times New Roman" w:cs="Times New Roman"/>
          <w:iCs w:val="0"/>
          <w:sz w:val="24"/>
          <w:szCs w:val="24"/>
          <w:vertAlign w:val="subscript"/>
        </w:rPr>
        <w:t>ti</w:t>
      </w:r>
      <w:r w:rsidRPr="00883399">
        <w:rPr>
          <w:rFonts w:ascii="Times New Roman" w:hAnsi="Times New Roman" w:cs="Times New Roman"/>
          <w:iCs w:val="0"/>
          <w:sz w:val="24"/>
          <w:szCs w:val="24"/>
        </w:rPr>
        <w:t>) and ‘energy sent out consumed from the grid in state i’ (ESO_C</w:t>
      </w:r>
      <w:r w:rsidRPr="00883399">
        <w:rPr>
          <w:rFonts w:ascii="Times New Roman" w:hAnsi="Times New Roman" w:cs="Times New Roman"/>
          <w:iCs w:val="0"/>
          <w:sz w:val="24"/>
          <w:szCs w:val="24"/>
          <w:vertAlign w:val="subscript"/>
        </w:rPr>
        <w:t>ti</w:t>
      </w:r>
      <w:r w:rsidRPr="00883399">
        <w:rPr>
          <w:rFonts w:ascii="Times New Roman" w:hAnsi="Times New Roman" w:cs="Times New Roman"/>
          <w:iCs w:val="0"/>
          <w:sz w:val="24"/>
          <w:szCs w:val="24"/>
        </w:rPr>
        <w:t>) are defined in terms of the state’s electricity grid generation, imports and exports as follows:</w:t>
      </w:r>
    </w:p>
    <w:p w14:paraId="134550C9" w14:textId="77777777" w:rsidR="00002D0E" w:rsidRPr="00883399" w:rsidRDefault="00002D0E" w:rsidP="00002D0E">
      <w:pPr>
        <w:pStyle w:val="EquationNote"/>
        <w:keepNext/>
        <w:spacing w:before="0"/>
        <w:ind w:left="357" w:hanging="357"/>
        <w:rPr>
          <w:sz w:val="22"/>
          <w:szCs w:val="22"/>
        </w:rPr>
      </w:pPr>
    </w:p>
    <w:p w14:paraId="6538EC62" w14:textId="77777777" w:rsidR="00002D0E" w:rsidRPr="00883399" w:rsidRDefault="00002D0E" w:rsidP="00002D0E">
      <w:pPr>
        <w:pStyle w:val="Equation"/>
        <w:spacing w:before="0"/>
        <w:rPr>
          <w:sz w:val="22"/>
          <w:szCs w:val="22"/>
        </w:rPr>
      </w:pPr>
      <w:r w:rsidRPr="00883399">
        <w:rPr>
          <w:position w:val="-34"/>
          <w:sz w:val="22"/>
          <w:szCs w:val="22"/>
        </w:rPr>
        <w:object w:dxaOrig="7339" w:dyaOrig="800" w14:anchorId="3D8C4A61">
          <v:shape id="_x0000_i1115" type="#_x0000_t75" style="width:363pt;height:39pt" o:ole="">
            <v:imagedata r:id="rId358" o:title=""/>
          </v:shape>
          <o:OLEObject Type="Embed" ProgID="Equation.3" ShapeID="_x0000_i1115" DrawAspect="Content" ObjectID="_1594106006" r:id="rId359"/>
        </w:object>
      </w:r>
    </w:p>
    <w:p w14:paraId="53D162BD" w14:textId="77777777" w:rsidR="00002D0E" w:rsidRPr="00883399" w:rsidRDefault="00002D0E" w:rsidP="00002D0E">
      <w:pPr>
        <w:pStyle w:val="Equation"/>
        <w:spacing w:before="0"/>
        <w:rPr>
          <w:sz w:val="22"/>
          <w:szCs w:val="22"/>
        </w:rPr>
      </w:pPr>
      <w:r w:rsidRPr="00883399">
        <w:rPr>
          <w:position w:val="-32"/>
          <w:sz w:val="22"/>
          <w:szCs w:val="22"/>
        </w:rPr>
        <w:object w:dxaOrig="5200" w:dyaOrig="720" w14:anchorId="4A0E4DC5">
          <v:shape id="_x0000_i1116" type="#_x0000_t75" style="width:258pt;height:37.5pt" o:ole="">
            <v:imagedata r:id="rId360" o:title=""/>
          </v:shape>
          <o:OLEObject Type="Embed" ProgID="Equation.3" ShapeID="_x0000_i1116" DrawAspect="Content" ObjectID="_1594106007" r:id="rId361"/>
        </w:object>
      </w:r>
    </w:p>
    <w:p w14:paraId="22C5BF29" w14:textId="77777777" w:rsidR="00002D0E" w:rsidRPr="00883399" w:rsidRDefault="00002D0E" w:rsidP="00002D0E">
      <w:pPr>
        <w:pStyle w:val="EquationNote"/>
        <w:spacing w:before="0"/>
        <w:rPr>
          <w:sz w:val="22"/>
          <w:szCs w:val="22"/>
        </w:rPr>
      </w:pPr>
      <w:r w:rsidRPr="00883399">
        <w:rPr>
          <w:sz w:val="22"/>
          <w:szCs w:val="22"/>
        </w:rPr>
        <w:t xml:space="preserve">where </w:t>
      </w:r>
    </w:p>
    <w:p w14:paraId="17433AD9" w14:textId="77777777" w:rsidR="00002D0E" w:rsidRPr="00883399" w:rsidRDefault="00002D0E" w:rsidP="00002D0E">
      <w:pPr>
        <w:pStyle w:val="EquationNote"/>
        <w:spacing w:before="0"/>
        <w:rPr>
          <w:rFonts w:ascii="Times New Roman" w:hAnsi="Times New Roman" w:cs="Times New Roman"/>
          <w:iCs w:val="0"/>
          <w:sz w:val="20"/>
        </w:rPr>
      </w:pPr>
      <w:r w:rsidRPr="00883399">
        <w:rPr>
          <w:rFonts w:ascii="Times New Roman" w:hAnsi="Times New Roman" w:cs="Times New Roman"/>
          <w:iCs w:val="0"/>
          <w:sz w:val="20"/>
        </w:rPr>
        <w:tab/>
        <w:t>CE_P</w:t>
      </w:r>
      <w:r w:rsidRPr="00883399">
        <w:rPr>
          <w:rFonts w:ascii="Times New Roman" w:hAnsi="Times New Roman" w:cs="Times New Roman"/>
          <w:iCs w:val="0"/>
          <w:sz w:val="20"/>
          <w:vertAlign w:val="subscript"/>
        </w:rPr>
        <w:t>ti</w:t>
      </w:r>
      <w:r w:rsidRPr="00883399">
        <w:rPr>
          <w:rFonts w:ascii="Times New Roman" w:hAnsi="Times New Roman" w:cs="Times New Roman"/>
          <w:iCs w:val="0"/>
          <w:sz w:val="20"/>
        </w:rPr>
        <w:t xml:space="preserve"> is the total CO</w:t>
      </w:r>
      <w:r w:rsidRPr="00883399">
        <w:rPr>
          <w:rFonts w:ascii="Times New Roman" w:hAnsi="Times New Roman" w:cs="Times New Roman"/>
          <w:iCs w:val="0"/>
          <w:sz w:val="20"/>
          <w:vertAlign w:val="subscript"/>
        </w:rPr>
        <w:t>2</w:t>
      </w:r>
      <w:r w:rsidRPr="00883399">
        <w:rPr>
          <w:rFonts w:ascii="Times New Roman" w:hAnsi="Times New Roman" w:cs="Times New Roman"/>
          <w:iCs w:val="0"/>
          <w:sz w:val="20"/>
        </w:rPr>
        <w:t>-e emissions from fuel combustion at generation attributed to the electricity generated/produced for the grid in state i in financial year t</w:t>
      </w:r>
    </w:p>
    <w:p w14:paraId="09355E18" w14:textId="77777777" w:rsidR="00002D0E" w:rsidRPr="00883399" w:rsidRDefault="00002D0E" w:rsidP="00002D0E">
      <w:pPr>
        <w:pStyle w:val="EquationNote"/>
        <w:spacing w:before="0"/>
        <w:rPr>
          <w:rFonts w:ascii="Times New Roman" w:hAnsi="Times New Roman" w:cs="Times New Roman"/>
          <w:iCs w:val="0"/>
          <w:sz w:val="20"/>
        </w:rPr>
      </w:pPr>
      <w:r w:rsidRPr="00883399">
        <w:rPr>
          <w:rFonts w:ascii="Times New Roman" w:hAnsi="Times New Roman" w:cs="Times New Roman"/>
          <w:iCs w:val="0"/>
          <w:sz w:val="20"/>
        </w:rPr>
        <w:tab/>
        <w:t>CE_P</w:t>
      </w:r>
      <w:r w:rsidRPr="00883399">
        <w:rPr>
          <w:rFonts w:ascii="Times New Roman" w:hAnsi="Times New Roman" w:cs="Times New Roman"/>
          <w:iCs w:val="0"/>
          <w:sz w:val="20"/>
          <w:vertAlign w:val="subscript"/>
        </w:rPr>
        <w:t>tj</w:t>
      </w:r>
      <w:r w:rsidRPr="00883399">
        <w:rPr>
          <w:rFonts w:ascii="Times New Roman" w:hAnsi="Times New Roman" w:cs="Times New Roman"/>
          <w:iCs w:val="0"/>
          <w:sz w:val="20"/>
        </w:rPr>
        <w:t xml:space="preserve"> is the total CO</w:t>
      </w:r>
      <w:r w:rsidRPr="00883399">
        <w:rPr>
          <w:rFonts w:ascii="Times New Roman" w:hAnsi="Times New Roman" w:cs="Times New Roman"/>
          <w:iCs w:val="0"/>
          <w:sz w:val="20"/>
          <w:vertAlign w:val="subscript"/>
        </w:rPr>
        <w:t>2</w:t>
      </w:r>
      <w:r w:rsidRPr="00883399">
        <w:rPr>
          <w:rFonts w:ascii="Times New Roman" w:hAnsi="Times New Roman" w:cs="Times New Roman"/>
          <w:iCs w:val="0"/>
          <w:sz w:val="20"/>
        </w:rPr>
        <w:t>-e emissions from fuel combustion at generation attributed to the electricity generated for the grid in state j in financial year t</w:t>
      </w:r>
    </w:p>
    <w:p w14:paraId="5F67683A" w14:textId="77777777" w:rsidR="00002D0E" w:rsidRPr="00883399" w:rsidRDefault="00002D0E" w:rsidP="00002D0E">
      <w:pPr>
        <w:pStyle w:val="EquationNote"/>
        <w:spacing w:before="0"/>
        <w:rPr>
          <w:rFonts w:ascii="Times New Roman" w:hAnsi="Times New Roman" w:cs="Times New Roman"/>
          <w:iCs w:val="0"/>
          <w:sz w:val="20"/>
        </w:rPr>
      </w:pPr>
      <w:r w:rsidRPr="00883399">
        <w:rPr>
          <w:rFonts w:ascii="Times New Roman" w:hAnsi="Times New Roman" w:cs="Times New Roman"/>
          <w:iCs w:val="0"/>
          <w:sz w:val="20"/>
        </w:rPr>
        <w:tab/>
        <w:t>ESO_M</w:t>
      </w:r>
      <w:r w:rsidRPr="00883399">
        <w:rPr>
          <w:rFonts w:ascii="Times New Roman" w:hAnsi="Times New Roman" w:cs="Times New Roman"/>
          <w:iCs w:val="0"/>
          <w:sz w:val="20"/>
          <w:vertAlign w:val="subscript"/>
        </w:rPr>
        <w:t xml:space="preserve">tj,i </w:t>
      </w:r>
      <w:r w:rsidRPr="00883399">
        <w:rPr>
          <w:rFonts w:ascii="Times New Roman" w:hAnsi="Times New Roman" w:cs="Times New Roman"/>
          <w:iCs w:val="0"/>
          <w:sz w:val="20"/>
        </w:rPr>
        <w:t>is the imports of energy sent out from state j to state i in financial year t. Imports are calculated from the interregional flows of electricity across the interconnectors published by the National Electricity Market Management Company (NEMMCO)</w:t>
      </w:r>
    </w:p>
    <w:p w14:paraId="1D166B0A" w14:textId="77777777" w:rsidR="00002D0E" w:rsidRPr="00883399" w:rsidRDefault="00002D0E" w:rsidP="00002D0E">
      <w:pPr>
        <w:pStyle w:val="EquationNote"/>
        <w:spacing w:before="0"/>
        <w:rPr>
          <w:rFonts w:ascii="Times New Roman" w:hAnsi="Times New Roman" w:cs="Times New Roman"/>
          <w:iCs w:val="0"/>
          <w:sz w:val="20"/>
        </w:rPr>
      </w:pPr>
      <w:r w:rsidRPr="00883399">
        <w:rPr>
          <w:rFonts w:ascii="Times New Roman" w:hAnsi="Times New Roman" w:cs="Times New Roman"/>
          <w:iCs w:val="0"/>
          <w:sz w:val="20"/>
        </w:rPr>
        <w:tab/>
        <w:t>ESO_X</w:t>
      </w:r>
      <w:r w:rsidRPr="00883399">
        <w:rPr>
          <w:rFonts w:ascii="Times New Roman" w:hAnsi="Times New Roman" w:cs="Times New Roman"/>
          <w:iCs w:val="0"/>
          <w:sz w:val="20"/>
          <w:vertAlign w:val="subscript"/>
        </w:rPr>
        <w:t xml:space="preserve">ti,k </w:t>
      </w:r>
      <w:r w:rsidRPr="00883399">
        <w:rPr>
          <w:rFonts w:ascii="Times New Roman" w:hAnsi="Times New Roman" w:cs="Times New Roman"/>
          <w:iCs w:val="0"/>
          <w:sz w:val="20"/>
        </w:rPr>
        <w:t>is the exports of energy sent out from state i to state k in financial year t. Exports are calculated from the inter-regional flows of electricity across the interconnectors published by NEMMCO</w:t>
      </w:r>
    </w:p>
    <w:p w14:paraId="00151CAD" w14:textId="77777777" w:rsidR="00002D0E" w:rsidRPr="00883399" w:rsidRDefault="00002D0E" w:rsidP="00002D0E">
      <w:pPr>
        <w:pStyle w:val="EquationNote"/>
        <w:spacing w:before="0"/>
        <w:outlineLvl w:val="0"/>
        <w:rPr>
          <w:rFonts w:ascii="Times New Roman" w:hAnsi="Times New Roman" w:cs="Times New Roman"/>
          <w:iCs w:val="0"/>
          <w:sz w:val="20"/>
        </w:rPr>
      </w:pPr>
      <w:r w:rsidRPr="00883399">
        <w:rPr>
          <w:rFonts w:ascii="Times New Roman" w:hAnsi="Times New Roman" w:cs="Times New Roman"/>
          <w:iCs w:val="0"/>
          <w:sz w:val="20"/>
        </w:rPr>
        <w:tab/>
        <w:t>ESO_P</w:t>
      </w:r>
      <w:r w:rsidRPr="00883399">
        <w:rPr>
          <w:rFonts w:ascii="Times New Roman" w:hAnsi="Times New Roman" w:cs="Times New Roman"/>
          <w:iCs w:val="0"/>
          <w:sz w:val="20"/>
          <w:vertAlign w:val="subscript"/>
        </w:rPr>
        <w:t>tj</w:t>
      </w:r>
      <w:r w:rsidRPr="00883399">
        <w:rPr>
          <w:rFonts w:ascii="Times New Roman" w:hAnsi="Times New Roman" w:cs="Times New Roman"/>
          <w:iCs w:val="0"/>
          <w:sz w:val="20"/>
        </w:rPr>
        <w:t xml:space="preserve"> is the total energy sent out on the grid that is generated within state j in financial year t</w:t>
      </w:r>
    </w:p>
    <w:p w14:paraId="44F9DB9C" w14:textId="77777777" w:rsidR="00002D0E" w:rsidRPr="00883399" w:rsidRDefault="00002D0E" w:rsidP="00002D0E">
      <w:pPr>
        <w:pStyle w:val="EquationNote"/>
        <w:spacing w:before="0"/>
        <w:rPr>
          <w:rFonts w:ascii="Times New Roman" w:hAnsi="Times New Roman" w:cs="Times New Roman"/>
          <w:iCs w:val="0"/>
          <w:sz w:val="20"/>
        </w:rPr>
      </w:pPr>
      <w:r w:rsidRPr="00883399">
        <w:rPr>
          <w:rFonts w:ascii="Times New Roman" w:hAnsi="Times New Roman" w:cs="Times New Roman"/>
          <w:iCs w:val="0"/>
          <w:sz w:val="20"/>
        </w:rPr>
        <w:tab/>
        <w:t>ESO_P</w:t>
      </w:r>
      <w:r w:rsidRPr="00883399">
        <w:rPr>
          <w:rFonts w:ascii="Times New Roman" w:hAnsi="Times New Roman" w:cs="Times New Roman"/>
          <w:iCs w:val="0"/>
          <w:sz w:val="20"/>
          <w:vertAlign w:val="subscript"/>
        </w:rPr>
        <w:t>ti</w:t>
      </w:r>
      <w:r w:rsidRPr="00883399">
        <w:rPr>
          <w:rFonts w:ascii="Times New Roman" w:hAnsi="Times New Roman" w:cs="Times New Roman"/>
          <w:iCs w:val="0"/>
          <w:sz w:val="20"/>
        </w:rPr>
        <w:t xml:space="preserve"> is total energy sent out on the grid that is generated within state i in financial year t</w:t>
      </w:r>
    </w:p>
    <w:p w14:paraId="406AC372" w14:textId="7C6BBCCF" w:rsidR="00002D0E" w:rsidRPr="00883399" w:rsidRDefault="00002D0E" w:rsidP="00002D0E">
      <w:pPr>
        <w:pStyle w:val="Text"/>
        <w:rPr>
          <w:rFonts w:ascii="Arial" w:hAnsi="Arial" w:cs="Arial"/>
          <w:sz w:val="22"/>
          <w:szCs w:val="22"/>
        </w:rPr>
        <w:sectPr w:rsidR="00002D0E" w:rsidRPr="00883399" w:rsidSect="001809E7">
          <w:headerReference w:type="even" r:id="rId362"/>
          <w:headerReference w:type="default" r:id="rId363"/>
          <w:footerReference w:type="even" r:id="rId364"/>
          <w:footerReference w:type="default" r:id="rId365"/>
          <w:headerReference w:type="first" r:id="rId366"/>
          <w:footerReference w:type="first" r:id="rId367"/>
          <w:pgSz w:w="11907" w:h="16839" w:code="9"/>
          <w:pgMar w:top="1440" w:right="1797" w:bottom="1440" w:left="1797" w:header="720" w:footer="720" w:gutter="0"/>
          <w:cols w:space="708"/>
          <w:docGrid w:linePitch="360"/>
        </w:sectPr>
      </w:pPr>
      <w:r w:rsidRPr="00883399">
        <w:rPr>
          <w:rFonts w:ascii="Arial" w:hAnsi="Arial" w:cs="Arial"/>
          <w:sz w:val="22"/>
          <w:szCs w:val="22"/>
        </w:rPr>
        <w:t xml:space="preserve">The estimated ‘Scope 2’ emission factors for consumption of purchased electricity use data obtained under the National Greenhouse and Energy Reporting Act  and is supplemented with data from the Australian Energy Market Operator, ABARE and the </w:t>
      </w:r>
      <w:r w:rsidR="00B771BC" w:rsidRPr="00883399">
        <w:rPr>
          <w:rFonts w:ascii="Arial" w:hAnsi="Arial" w:cs="Arial"/>
          <w:sz w:val="22"/>
          <w:szCs w:val="22"/>
        </w:rPr>
        <w:t>Australian Energy Council</w:t>
      </w:r>
      <w:r w:rsidRPr="00883399">
        <w:rPr>
          <w:rFonts w:ascii="Arial" w:hAnsi="Arial" w:cs="Arial"/>
          <w:sz w:val="22"/>
          <w:szCs w:val="22"/>
        </w:rPr>
        <w:t xml:space="preserve">. Emission estimates are taken from the National Greenhouse Accounts. Further detail on the approach to calculating electricity emission estimates is available in the </w:t>
      </w:r>
      <w:r w:rsidRPr="00883399">
        <w:rPr>
          <w:rFonts w:ascii="Arial" w:hAnsi="Arial" w:cs="Arial"/>
          <w:i/>
          <w:iCs/>
          <w:sz w:val="22"/>
          <w:szCs w:val="22"/>
        </w:rPr>
        <w:t xml:space="preserve">National Inventory Report </w:t>
      </w:r>
      <w:r w:rsidR="00906EEC" w:rsidRPr="00883399">
        <w:rPr>
          <w:rFonts w:ascii="Arial" w:hAnsi="Arial" w:cs="Arial"/>
          <w:i/>
          <w:iCs/>
          <w:sz w:val="22"/>
          <w:szCs w:val="22"/>
        </w:rPr>
        <w:t>2015</w:t>
      </w:r>
      <w:r w:rsidRPr="00883399">
        <w:rPr>
          <w:rFonts w:ascii="Arial" w:hAnsi="Arial" w:cs="Arial"/>
          <w:sz w:val="22"/>
          <w:szCs w:val="22"/>
        </w:rPr>
        <w:t>.</w:t>
      </w:r>
    </w:p>
    <w:p w14:paraId="5AD8B05F" w14:textId="283E7AA9" w:rsidR="00872C03" w:rsidRPr="00883399" w:rsidRDefault="00872C03" w:rsidP="00872C03">
      <w:pPr>
        <w:pStyle w:val="ActHead1"/>
        <w:pageBreakBefore/>
        <w:rPr>
          <w:sz w:val="40"/>
        </w:rPr>
      </w:pPr>
      <w:bookmarkStart w:id="1337" w:name="_Toc423517247"/>
      <w:bookmarkStart w:id="1338" w:name="_Toc495653188"/>
      <w:r w:rsidRPr="00883399">
        <w:rPr>
          <w:rStyle w:val="CharChapNo"/>
          <w:sz w:val="40"/>
        </w:rPr>
        <w:t>Chapter 8</w:t>
      </w:r>
      <w:r w:rsidRPr="00883399">
        <w:rPr>
          <w:sz w:val="40"/>
        </w:rPr>
        <w:t>—</w:t>
      </w:r>
      <w:r w:rsidRPr="00883399">
        <w:rPr>
          <w:rStyle w:val="CharChapText"/>
          <w:sz w:val="40"/>
        </w:rPr>
        <w:t>Assessment of uncertainty</w:t>
      </w:r>
      <w:bookmarkEnd w:id="1337"/>
      <w:bookmarkEnd w:id="1338"/>
    </w:p>
    <w:p w14:paraId="45F3230C" w14:textId="77777777" w:rsidR="00D666D1" w:rsidRPr="00883399" w:rsidRDefault="00D666D1" w:rsidP="00D666D1">
      <w:pPr>
        <w:pStyle w:val="R1"/>
        <w:tabs>
          <w:tab w:val="clear" w:pos="794"/>
          <w:tab w:val="right" w:pos="-120"/>
        </w:tabs>
        <w:spacing w:before="240" w:line="312" w:lineRule="auto"/>
        <w:ind w:left="0" w:firstLine="0"/>
        <w:jc w:val="left"/>
        <w:rPr>
          <w:rFonts w:ascii="Arial" w:hAnsi="Arial" w:cs="Arial"/>
          <w:sz w:val="22"/>
          <w:szCs w:val="22"/>
        </w:rPr>
      </w:pPr>
      <w:bookmarkStart w:id="1339" w:name="_Toc423517248"/>
      <w:r w:rsidRPr="00883399">
        <w:rPr>
          <w:rFonts w:ascii="Arial" w:hAnsi="Arial" w:cs="Arial"/>
          <w:sz w:val="22"/>
          <w:szCs w:val="22"/>
        </w:rPr>
        <w:t>Proposed changes to the NGER Regulations will only require reporters with emissions of more than 25 kilotonnes of CO</w:t>
      </w:r>
      <w:r w:rsidRPr="00883399">
        <w:rPr>
          <w:rFonts w:ascii="Arial" w:hAnsi="Arial" w:cs="Arial"/>
          <w:sz w:val="22"/>
          <w:szCs w:val="22"/>
          <w:vertAlign w:val="subscript"/>
        </w:rPr>
        <w:t>2</w:t>
      </w:r>
      <w:r w:rsidRPr="00883399">
        <w:rPr>
          <w:rFonts w:ascii="Arial" w:hAnsi="Arial" w:cs="Arial"/>
          <w:sz w:val="22"/>
          <w:szCs w:val="22"/>
        </w:rPr>
        <w:t>-e from the combustion of a fuel type, or a source other than fuel combustion to calculate and report the statistical uncertainty associated with their scope 1 emissions. Sources are defined in section 1.10 of the Measurement Determination and fuel types are set out in Schedule 1 of the NGER Regulations.</w:t>
      </w:r>
    </w:p>
    <w:p w14:paraId="1B946AD7" w14:textId="723DCB03" w:rsidR="00872C03" w:rsidRPr="00883399" w:rsidRDefault="00872C03" w:rsidP="00872C03">
      <w:pPr>
        <w:pStyle w:val="ActHead2"/>
        <w:rPr>
          <w:sz w:val="36"/>
        </w:rPr>
      </w:pPr>
      <w:bookmarkStart w:id="1340" w:name="_Toc495653189"/>
      <w:r w:rsidRPr="00883399">
        <w:rPr>
          <w:rStyle w:val="CharPartNo"/>
          <w:sz w:val="36"/>
        </w:rPr>
        <w:t>Part 8.1</w:t>
      </w:r>
      <w:r w:rsidRPr="00883399">
        <w:rPr>
          <w:sz w:val="36"/>
        </w:rPr>
        <w:t>—</w:t>
      </w:r>
      <w:r w:rsidRPr="00883399">
        <w:rPr>
          <w:rStyle w:val="CharPartText"/>
          <w:sz w:val="36"/>
        </w:rPr>
        <w:t>Preliminary</w:t>
      </w:r>
      <w:bookmarkEnd w:id="1339"/>
      <w:bookmarkEnd w:id="1340"/>
    </w:p>
    <w:p w14:paraId="27D367AA" w14:textId="77777777" w:rsidR="00872C03" w:rsidRPr="00883399" w:rsidRDefault="00872C03" w:rsidP="00872C03">
      <w:pPr>
        <w:pStyle w:val="Header"/>
        <w:rPr>
          <w:sz w:val="18"/>
        </w:rPr>
      </w:pPr>
      <w:r w:rsidRPr="00883399">
        <w:rPr>
          <w:rStyle w:val="CharDivNo"/>
          <w:sz w:val="18"/>
        </w:rPr>
        <w:t xml:space="preserve"> </w:t>
      </w:r>
      <w:r w:rsidRPr="00883399">
        <w:rPr>
          <w:rStyle w:val="CharDivText"/>
          <w:sz w:val="18"/>
        </w:rPr>
        <w:t xml:space="preserve"> </w:t>
      </w:r>
    </w:p>
    <w:p w14:paraId="743CA904" w14:textId="77777777" w:rsidR="00D666D1" w:rsidRPr="00883399" w:rsidRDefault="00D666D1" w:rsidP="00D666D1">
      <w:pPr>
        <w:pStyle w:val="Note"/>
        <w:keepLines w:val="0"/>
        <w:spacing w:before="240" w:line="312" w:lineRule="auto"/>
        <w:ind w:left="0"/>
        <w:jc w:val="left"/>
        <w:rPr>
          <w:rFonts w:ascii="Arial" w:hAnsi="Arial" w:cs="Arial"/>
          <w:i/>
          <w:sz w:val="22"/>
          <w:szCs w:val="22"/>
        </w:rPr>
      </w:pPr>
      <w:bookmarkStart w:id="1341" w:name="_Toc423517249"/>
      <w:r w:rsidRPr="00883399">
        <w:rPr>
          <w:rFonts w:ascii="Arial" w:hAnsi="Arial" w:cs="Arial"/>
          <w:sz w:val="22"/>
          <w:szCs w:val="22"/>
        </w:rPr>
        <w:t xml:space="preserve">The </w:t>
      </w:r>
      <w:r w:rsidRPr="00883399">
        <w:rPr>
          <w:rFonts w:ascii="Arial" w:hAnsi="Arial" w:cs="Arial"/>
          <w:i/>
          <w:sz w:val="22"/>
          <w:szCs w:val="22"/>
        </w:rPr>
        <w:t>GHG Protocol guidance on uncertainty assessment in GHG inventories and calculating statistical parameter uncertainty (September 2003) v1.0 (the uncertainty protocol)</w:t>
      </w:r>
      <w:r w:rsidRPr="00883399">
        <w:rPr>
          <w:rFonts w:ascii="Arial" w:hAnsi="Arial" w:cs="Arial"/>
          <w:sz w:val="22"/>
          <w:szCs w:val="22"/>
        </w:rPr>
        <w:t xml:space="preserve"> is the source document for the methodology of calculating uncertainty under NGERS. It is referred to in this chapter as </w:t>
      </w:r>
      <w:r w:rsidRPr="00883399">
        <w:rPr>
          <w:rFonts w:ascii="Arial" w:hAnsi="Arial" w:cs="Arial"/>
          <w:i/>
          <w:sz w:val="22"/>
          <w:szCs w:val="22"/>
        </w:rPr>
        <w:t>the uncertainty protocol.</w:t>
      </w:r>
    </w:p>
    <w:p w14:paraId="562CEA80" w14:textId="77777777" w:rsidR="00D666D1" w:rsidRPr="00883399" w:rsidRDefault="00D666D1" w:rsidP="00D666D1">
      <w:pPr>
        <w:pStyle w:val="Note"/>
        <w:keepLines w:val="0"/>
        <w:spacing w:before="240" w:line="312" w:lineRule="auto"/>
        <w:ind w:left="0"/>
        <w:jc w:val="left"/>
        <w:rPr>
          <w:rFonts w:ascii="Arial" w:hAnsi="Arial" w:cs="Arial"/>
          <w:sz w:val="22"/>
          <w:szCs w:val="22"/>
        </w:rPr>
      </w:pPr>
      <w:r w:rsidRPr="00883399">
        <w:rPr>
          <w:rFonts w:ascii="Arial" w:hAnsi="Arial" w:cs="Arial"/>
          <w:sz w:val="22"/>
          <w:szCs w:val="22"/>
        </w:rPr>
        <w:t xml:space="preserve">This document is produced by the World Resources Institute and the World Business Council on Sustainable Development and is available at </w:t>
      </w:r>
      <w:hyperlink r:id="rId368" w:history="1">
        <w:r w:rsidRPr="00883399">
          <w:rPr>
            <w:rStyle w:val="Hyperlink"/>
            <w:rFonts w:ascii="Arial" w:hAnsi="Arial" w:cs="Arial"/>
            <w:color w:val="auto"/>
            <w:sz w:val="22"/>
            <w:szCs w:val="22"/>
          </w:rPr>
          <w:t>http://www.ghgprotocol.org/calculation-tools/all-tools</w:t>
        </w:r>
      </w:hyperlink>
      <w:r w:rsidRPr="00883399">
        <w:rPr>
          <w:rFonts w:ascii="Arial" w:hAnsi="Arial" w:cs="Arial"/>
          <w:sz w:val="22"/>
          <w:szCs w:val="22"/>
          <w:u w:val="single"/>
        </w:rPr>
        <w:t xml:space="preserve"> </w:t>
      </w:r>
      <w:r w:rsidRPr="00883399">
        <w:rPr>
          <w:rFonts w:ascii="Arial" w:hAnsi="Arial" w:cs="Arial"/>
          <w:sz w:val="22"/>
          <w:szCs w:val="22"/>
        </w:rPr>
        <w:t>and has detailed information about the calculation of uncertainty in greenhouse gas inventories.</w:t>
      </w:r>
    </w:p>
    <w:p w14:paraId="142D07A5" w14:textId="77777777" w:rsidR="00D666D1" w:rsidRPr="00883399" w:rsidRDefault="00D666D1" w:rsidP="00D666D1">
      <w:pPr>
        <w:pStyle w:val="Note"/>
        <w:keepLines w:val="0"/>
        <w:spacing w:before="240" w:line="312" w:lineRule="auto"/>
        <w:ind w:left="0"/>
        <w:jc w:val="left"/>
        <w:rPr>
          <w:rFonts w:ascii="Arial" w:hAnsi="Arial" w:cs="Arial"/>
          <w:sz w:val="22"/>
          <w:szCs w:val="22"/>
        </w:rPr>
      </w:pPr>
      <w:r w:rsidRPr="00883399">
        <w:rPr>
          <w:rFonts w:ascii="Arial" w:hAnsi="Arial" w:cs="Arial"/>
          <w:sz w:val="22"/>
          <w:szCs w:val="22"/>
        </w:rPr>
        <w:t xml:space="preserve">There are a number of different sources of uncertainty identified in the uncertainty protocol – however corporations are only asked to estimate the statistical uncertainty.   This type of uncertainty results from natural variations (for example, random human errors in the measurement process and fluctuations in measurement equipment).  More information is provided in the uncertainty protocol.  </w:t>
      </w:r>
    </w:p>
    <w:p w14:paraId="1E8B01EF" w14:textId="77777777" w:rsidR="00D666D1" w:rsidRPr="00883399" w:rsidRDefault="00D666D1" w:rsidP="00D666D1">
      <w:pPr>
        <w:pStyle w:val="Note"/>
        <w:keepLines w:val="0"/>
        <w:spacing w:before="240" w:line="312" w:lineRule="auto"/>
        <w:ind w:left="0"/>
        <w:jc w:val="left"/>
        <w:rPr>
          <w:rFonts w:ascii="Arial" w:hAnsi="Arial" w:cs="Arial"/>
          <w:sz w:val="22"/>
          <w:szCs w:val="22"/>
        </w:rPr>
      </w:pPr>
      <w:r w:rsidRPr="00883399">
        <w:rPr>
          <w:rFonts w:ascii="Arial" w:hAnsi="Arial" w:cs="Arial"/>
          <w:sz w:val="22"/>
          <w:szCs w:val="22"/>
        </w:rPr>
        <w:t>Proposed ammendments to the NGER Regulations will require only reporters with the largest sources of emissions (25,000 tonnes of CO2-e or over) to calculate and report the statistical uncertainty associated with emissions reporting.</w:t>
      </w:r>
    </w:p>
    <w:p w14:paraId="55D6021E" w14:textId="1452CAF0" w:rsidR="00872C03" w:rsidRPr="00883399" w:rsidRDefault="00872C03" w:rsidP="00872C03">
      <w:pPr>
        <w:pStyle w:val="ActHead5"/>
        <w:rPr>
          <w:sz w:val="28"/>
        </w:rPr>
      </w:pPr>
      <w:bookmarkStart w:id="1342" w:name="_Toc495653190"/>
      <w:r w:rsidRPr="00883399">
        <w:rPr>
          <w:rStyle w:val="CharSectno"/>
          <w:sz w:val="28"/>
        </w:rPr>
        <w:t>8.1</w:t>
      </w:r>
      <w:r w:rsidRPr="00883399">
        <w:rPr>
          <w:sz w:val="28"/>
        </w:rPr>
        <w:t xml:space="preserve">  Outline of Chapter</w:t>
      </w:r>
      <w:bookmarkEnd w:id="1341"/>
      <w:bookmarkEnd w:id="1342"/>
    </w:p>
    <w:p w14:paraId="0E1C2001" w14:textId="77777777" w:rsidR="00872C03" w:rsidRPr="00883399" w:rsidRDefault="00872C03" w:rsidP="00872C03">
      <w:pPr>
        <w:pStyle w:val="subsection"/>
        <w:rPr>
          <w:sz w:val="24"/>
        </w:rPr>
      </w:pPr>
      <w:r w:rsidRPr="00883399">
        <w:rPr>
          <w:sz w:val="24"/>
        </w:rPr>
        <w:tab/>
        <w:t>(1)</w:t>
      </w:r>
      <w:r w:rsidRPr="00883399">
        <w:rPr>
          <w:sz w:val="24"/>
        </w:rPr>
        <w:tab/>
        <w:t>This Chapter sets out rules about how uncertainty is to be assessed in working out estimates of scope 1 emissions for a source.</w:t>
      </w:r>
    </w:p>
    <w:p w14:paraId="68047770" w14:textId="77777777" w:rsidR="00872C03" w:rsidRPr="00883399" w:rsidRDefault="00872C03" w:rsidP="00872C03">
      <w:pPr>
        <w:pStyle w:val="subsection"/>
        <w:rPr>
          <w:sz w:val="24"/>
        </w:rPr>
      </w:pPr>
      <w:r w:rsidRPr="00883399">
        <w:rPr>
          <w:sz w:val="24"/>
        </w:rPr>
        <w:tab/>
        <w:t>(2)</w:t>
      </w:r>
      <w:r w:rsidRPr="00883399">
        <w:rPr>
          <w:sz w:val="24"/>
        </w:rPr>
        <w:tab/>
        <w:t>Part 8.2 sets out general rules for assessing uncertainty of scope 1 emissions estimates.</w:t>
      </w:r>
    </w:p>
    <w:p w14:paraId="0E6702EB" w14:textId="77777777" w:rsidR="00872C03" w:rsidRPr="00883399" w:rsidRDefault="00872C03" w:rsidP="00872C03">
      <w:pPr>
        <w:pStyle w:val="subsection"/>
        <w:rPr>
          <w:sz w:val="24"/>
        </w:rPr>
      </w:pPr>
      <w:r w:rsidRPr="00883399">
        <w:rPr>
          <w:sz w:val="24"/>
        </w:rPr>
        <w:tab/>
        <w:t>(3)</w:t>
      </w:r>
      <w:r w:rsidRPr="00883399">
        <w:rPr>
          <w:sz w:val="24"/>
        </w:rPr>
        <w:tab/>
        <w:t>Part 8.3 sets out how to assess the uncertainty of estimates of scope 1 emissions that have been estimated using method 1.</w:t>
      </w:r>
    </w:p>
    <w:p w14:paraId="20E7B52F" w14:textId="77777777" w:rsidR="00872C03" w:rsidRPr="00883399" w:rsidRDefault="00872C03" w:rsidP="00872C03">
      <w:pPr>
        <w:pStyle w:val="subsection"/>
        <w:rPr>
          <w:sz w:val="24"/>
        </w:rPr>
      </w:pPr>
      <w:r w:rsidRPr="00883399">
        <w:rPr>
          <w:sz w:val="24"/>
        </w:rPr>
        <w:tab/>
        <w:t>(4)</w:t>
      </w:r>
      <w:r w:rsidRPr="00883399">
        <w:rPr>
          <w:sz w:val="24"/>
        </w:rPr>
        <w:tab/>
        <w:t>Part 8.4 sets out how to assess the uncertainty of estimates of scope 1 emissions that have been estimated using method 2, 3 or 4.</w:t>
      </w:r>
    </w:p>
    <w:p w14:paraId="741E8E4F" w14:textId="77777777" w:rsidR="00872C03" w:rsidRPr="00883399" w:rsidRDefault="00872C03" w:rsidP="00872C03">
      <w:pPr>
        <w:pStyle w:val="subsection"/>
        <w:rPr>
          <w:sz w:val="24"/>
        </w:rPr>
      </w:pPr>
      <w:r w:rsidRPr="00883399">
        <w:rPr>
          <w:sz w:val="24"/>
        </w:rPr>
        <w:tab/>
        <w:t>(5)</w:t>
      </w:r>
      <w:r w:rsidRPr="00883399">
        <w:rPr>
          <w:sz w:val="24"/>
        </w:rPr>
        <w:tab/>
        <w:t>Emissions estimates for a source that are calculated using method 1, 2 or 3 are a function of a number of parameters. The uncertainty of the emissions estimates consists of the uncertainty associated with each of these parameters, which may include one or more of the following parameters:</w:t>
      </w:r>
    </w:p>
    <w:p w14:paraId="53465C6B" w14:textId="77777777" w:rsidR="00872C03" w:rsidRPr="00883399" w:rsidRDefault="00872C03" w:rsidP="00872C03">
      <w:pPr>
        <w:pStyle w:val="paragraph"/>
        <w:rPr>
          <w:sz w:val="24"/>
        </w:rPr>
      </w:pPr>
      <w:r w:rsidRPr="00883399">
        <w:rPr>
          <w:sz w:val="24"/>
        </w:rPr>
        <w:tab/>
        <w:t>(a)</w:t>
      </w:r>
      <w:r w:rsidRPr="00883399">
        <w:rPr>
          <w:sz w:val="24"/>
        </w:rPr>
        <w:tab/>
        <w:t>energy content factor;</w:t>
      </w:r>
    </w:p>
    <w:p w14:paraId="4D54481E" w14:textId="77777777" w:rsidR="00872C03" w:rsidRPr="00883399" w:rsidRDefault="00872C03" w:rsidP="00872C03">
      <w:pPr>
        <w:pStyle w:val="paragraph"/>
        <w:rPr>
          <w:sz w:val="24"/>
        </w:rPr>
      </w:pPr>
      <w:r w:rsidRPr="00883399">
        <w:rPr>
          <w:sz w:val="24"/>
        </w:rPr>
        <w:tab/>
        <w:t>(b)</w:t>
      </w:r>
      <w:r w:rsidRPr="00883399">
        <w:rPr>
          <w:sz w:val="24"/>
        </w:rPr>
        <w:tab/>
        <w:t>emissions factor;</w:t>
      </w:r>
    </w:p>
    <w:p w14:paraId="355F792C" w14:textId="77777777" w:rsidR="00872C03" w:rsidRPr="00883399" w:rsidRDefault="00872C03" w:rsidP="00872C03">
      <w:pPr>
        <w:pStyle w:val="paragraph"/>
        <w:rPr>
          <w:sz w:val="24"/>
        </w:rPr>
      </w:pPr>
      <w:r w:rsidRPr="00883399">
        <w:rPr>
          <w:sz w:val="24"/>
        </w:rPr>
        <w:tab/>
        <w:t>(c)</w:t>
      </w:r>
      <w:r w:rsidRPr="00883399">
        <w:rPr>
          <w:sz w:val="24"/>
        </w:rPr>
        <w:tab/>
        <w:t>activity data.</w:t>
      </w:r>
    </w:p>
    <w:p w14:paraId="2AB85165" w14:textId="77777777" w:rsidR="00872C03" w:rsidRPr="00883399" w:rsidRDefault="00872C03" w:rsidP="00872C03">
      <w:pPr>
        <w:pStyle w:val="notetext"/>
        <w:rPr>
          <w:sz w:val="20"/>
        </w:rPr>
      </w:pPr>
      <w:r w:rsidRPr="00883399">
        <w:rPr>
          <w:sz w:val="20"/>
        </w:rPr>
        <w:t>Note:</w:t>
      </w:r>
      <w:r w:rsidRPr="00883399">
        <w:rPr>
          <w:sz w:val="20"/>
        </w:rPr>
        <w:tab/>
        <w:t>In the case of fuel combustion, activity data refers to the quantity of fuel combusted. In the case of industrial processes, activity data refers to the quantity of product consumed or produced, as appropriate.</w:t>
      </w:r>
    </w:p>
    <w:p w14:paraId="7C17634F" w14:textId="77777777" w:rsidR="00872C03" w:rsidRPr="00883399" w:rsidRDefault="00872C03" w:rsidP="00872C03">
      <w:pPr>
        <w:pStyle w:val="subsection"/>
        <w:rPr>
          <w:sz w:val="24"/>
        </w:rPr>
      </w:pPr>
      <w:r w:rsidRPr="00883399">
        <w:rPr>
          <w:sz w:val="24"/>
        </w:rPr>
        <w:tab/>
        <w:t>(6)</w:t>
      </w:r>
      <w:r w:rsidRPr="00883399">
        <w:rPr>
          <w:sz w:val="24"/>
        </w:rPr>
        <w:tab/>
        <w:t>Estimates of emissions need only provide for statistical uncertainty.</w:t>
      </w:r>
    </w:p>
    <w:p w14:paraId="2849C2D0" w14:textId="77777777" w:rsidR="00872C03" w:rsidRPr="00883399" w:rsidRDefault="00872C03" w:rsidP="00872C03">
      <w:pPr>
        <w:pStyle w:val="notetext"/>
        <w:rPr>
          <w:sz w:val="20"/>
        </w:rPr>
      </w:pPr>
      <w:r w:rsidRPr="00883399">
        <w:rPr>
          <w:sz w:val="20"/>
        </w:rPr>
        <w:t>Note:</w:t>
      </w:r>
      <w:r w:rsidRPr="00883399">
        <w:rPr>
          <w:sz w:val="20"/>
        </w:rPr>
        <w:tab/>
        <w:t>The uncertainty protocol provides information about the assessment of uncertainty.</w:t>
      </w:r>
    </w:p>
    <w:p w14:paraId="30C37BCE" w14:textId="46C1BDC4" w:rsidR="00872C03" w:rsidRPr="00883399" w:rsidRDefault="00872C03" w:rsidP="00872C03">
      <w:pPr>
        <w:pStyle w:val="ActHead2"/>
        <w:pageBreakBefore/>
        <w:rPr>
          <w:sz w:val="36"/>
        </w:rPr>
      </w:pPr>
      <w:bookmarkStart w:id="1343" w:name="_Toc423517250"/>
      <w:bookmarkStart w:id="1344" w:name="_Toc495653191"/>
      <w:r w:rsidRPr="00883399">
        <w:rPr>
          <w:rStyle w:val="CharPartNo"/>
          <w:sz w:val="36"/>
        </w:rPr>
        <w:t>Part 8.2</w:t>
      </w:r>
      <w:r w:rsidRPr="00883399">
        <w:rPr>
          <w:sz w:val="36"/>
        </w:rPr>
        <w:t>—</w:t>
      </w:r>
      <w:r w:rsidRPr="00883399">
        <w:rPr>
          <w:rStyle w:val="CharPartText"/>
          <w:sz w:val="36"/>
        </w:rPr>
        <w:t>General rules for assessing uncertainty</w:t>
      </w:r>
      <w:bookmarkEnd w:id="1343"/>
      <w:bookmarkEnd w:id="1344"/>
    </w:p>
    <w:p w14:paraId="56716A4C" w14:textId="77777777" w:rsidR="00872C03" w:rsidRPr="00883399" w:rsidRDefault="00872C03" w:rsidP="00872C03">
      <w:pPr>
        <w:pStyle w:val="Header"/>
        <w:rPr>
          <w:sz w:val="18"/>
        </w:rPr>
      </w:pPr>
      <w:r w:rsidRPr="00883399">
        <w:rPr>
          <w:rStyle w:val="CharDivNo"/>
          <w:sz w:val="18"/>
        </w:rPr>
        <w:t xml:space="preserve"> </w:t>
      </w:r>
      <w:r w:rsidRPr="00883399">
        <w:rPr>
          <w:rStyle w:val="CharDivText"/>
          <w:sz w:val="18"/>
        </w:rPr>
        <w:t xml:space="preserve"> </w:t>
      </w:r>
    </w:p>
    <w:p w14:paraId="5807C4FE" w14:textId="77777777" w:rsidR="00D666D1" w:rsidRPr="00883399" w:rsidRDefault="00D666D1" w:rsidP="00D666D1">
      <w:pPr>
        <w:pStyle w:val="P1"/>
        <w:keepLines w:val="0"/>
        <w:tabs>
          <w:tab w:val="clear" w:pos="1191"/>
          <w:tab w:val="right" w:pos="0"/>
        </w:tabs>
        <w:spacing w:before="240" w:line="312" w:lineRule="auto"/>
        <w:ind w:left="0" w:firstLine="0"/>
        <w:jc w:val="left"/>
        <w:rPr>
          <w:rFonts w:ascii="Arial" w:hAnsi="Arial" w:cs="Arial"/>
          <w:sz w:val="22"/>
          <w:szCs w:val="22"/>
        </w:rPr>
      </w:pPr>
      <w:bookmarkStart w:id="1345" w:name="_Toc423517251"/>
      <w:r w:rsidRPr="00883399">
        <w:rPr>
          <w:rFonts w:ascii="Arial" w:hAnsi="Arial" w:cs="Arial"/>
          <w:sz w:val="22"/>
          <w:szCs w:val="22"/>
        </w:rPr>
        <w:t>Note that there is a difference in meaning between the common usage of the word ‘confidence’ and its statistical usage in relation to ‘95% confidence interval’. In natural science and technical experiments it is often standard practice to estimate uncertainty at the 95% confidence interval. The ‘confidence interval’ is defined by a probability value (in this case a probability of 95%) and confidence limits on either side of the mean value.</w:t>
      </w:r>
    </w:p>
    <w:p w14:paraId="3D1D26E1" w14:textId="77777777" w:rsidR="00D666D1" w:rsidRPr="00883399" w:rsidRDefault="00D666D1" w:rsidP="00D666D1">
      <w:pPr>
        <w:spacing w:before="240" w:line="312" w:lineRule="auto"/>
        <w:rPr>
          <w:rFonts w:ascii="Arial" w:hAnsi="Arial" w:cs="Arial"/>
          <w:sz w:val="22"/>
          <w:szCs w:val="22"/>
        </w:rPr>
      </w:pPr>
      <w:r w:rsidRPr="00883399">
        <w:rPr>
          <w:rFonts w:ascii="Arial" w:hAnsi="Arial" w:cs="Arial"/>
          <w:sz w:val="22"/>
          <w:szCs w:val="22"/>
        </w:rPr>
        <w:t>This means that the uncertainty level (the +/- percentages – otherwise known as the confidence limits) is to be calculated so that there is a 95% probability that the true value of the estimate is encompassed by the estimated uncertainty levels (the confidence limits). For example, an emission estimate of 100kt +/- 10% at the 95% confidence interval means that the true value lies between 90kt and 110kt with a probability of 95%.</w:t>
      </w:r>
    </w:p>
    <w:p w14:paraId="22696114" w14:textId="42BBF58C" w:rsidR="00872C03" w:rsidRPr="00883399" w:rsidRDefault="00872C03" w:rsidP="00872C03">
      <w:pPr>
        <w:pStyle w:val="ActHead5"/>
        <w:rPr>
          <w:sz w:val="28"/>
        </w:rPr>
      </w:pPr>
      <w:bookmarkStart w:id="1346" w:name="_Toc495653192"/>
      <w:r w:rsidRPr="00883399">
        <w:rPr>
          <w:rStyle w:val="CharSectno"/>
          <w:sz w:val="28"/>
        </w:rPr>
        <w:t>8.2</w:t>
      </w:r>
      <w:r w:rsidRPr="00883399">
        <w:rPr>
          <w:sz w:val="28"/>
        </w:rPr>
        <w:t xml:space="preserve">  Range for emission estimates</w:t>
      </w:r>
      <w:bookmarkEnd w:id="1345"/>
      <w:bookmarkEnd w:id="1346"/>
    </w:p>
    <w:p w14:paraId="3FBDFFDA" w14:textId="77777777" w:rsidR="00872C03" w:rsidRPr="00883399" w:rsidRDefault="00872C03" w:rsidP="00872C03">
      <w:pPr>
        <w:pStyle w:val="subsection"/>
        <w:rPr>
          <w:sz w:val="24"/>
        </w:rPr>
      </w:pPr>
      <w:r w:rsidRPr="00883399">
        <w:rPr>
          <w:sz w:val="24"/>
        </w:rPr>
        <w:tab/>
      </w:r>
      <w:r w:rsidRPr="00883399">
        <w:rPr>
          <w:sz w:val="24"/>
        </w:rPr>
        <w:tab/>
        <w:t>Uncertainty must be assessed so that the range for an emissions estimate encompasses the actual amount of the emissions with 95% confidence.</w:t>
      </w:r>
    </w:p>
    <w:p w14:paraId="770D21E3" w14:textId="5B441DB6" w:rsidR="00872C03" w:rsidRPr="00883399" w:rsidRDefault="00872C03" w:rsidP="00872C03">
      <w:pPr>
        <w:pStyle w:val="ActHead5"/>
        <w:rPr>
          <w:sz w:val="28"/>
        </w:rPr>
      </w:pPr>
      <w:bookmarkStart w:id="1347" w:name="_Toc423517252"/>
      <w:bookmarkStart w:id="1348" w:name="_Toc495653193"/>
      <w:r w:rsidRPr="00883399">
        <w:rPr>
          <w:rStyle w:val="CharSectno"/>
          <w:sz w:val="28"/>
        </w:rPr>
        <w:t>8.3</w:t>
      </w:r>
      <w:r w:rsidRPr="00883399">
        <w:rPr>
          <w:sz w:val="28"/>
        </w:rPr>
        <w:t xml:space="preserve">  </w:t>
      </w:r>
      <w:bookmarkEnd w:id="1347"/>
      <w:r w:rsidR="00FC4C3A" w:rsidRPr="00883399">
        <w:rPr>
          <w:sz w:val="28"/>
        </w:rPr>
        <w:t>Required method</w:t>
      </w:r>
      <w:bookmarkEnd w:id="1348"/>
    </w:p>
    <w:p w14:paraId="4DD9FD8C" w14:textId="77777777" w:rsidR="00D666D1" w:rsidRPr="00883399" w:rsidRDefault="00D666D1" w:rsidP="00D666D1">
      <w:pPr>
        <w:spacing w:before="240" w:line="312" w:lineRule="auto"/>
        <w:rPr>
          <w:rFonts w:ascii="Arial" w:hAnsi="Arial" w:cs="Arial"/>
          <w:sz w:val="22"/>
          <w:szCs w:val="22"/>
        </w:rPr>
      </w:pPr>
      <w:r w:rsidRPr="00883399">
        <w:rPr>
          <w:rFonts w:ascii="Arial" w:hAnsi="Arial" w:cs="Arial"/>
          <w:sz w:val="22"/>
          <w:szCs w:val="22"/>
        </w:rPr>
        <w:t>The calculation of uncertainty for a registered corporation should take into account the uncertainty associated with all the sources of emissions reported by the corporation. The uncertainty associated with each emission source is to be aggregated to the “subtotal” of uncertainty at the facility level and the uncertainty associated with each facility if to be aggregated to the “total” of uncertainty at the corporation level.</w:t>
      </w:r>
    </w:p>
    <w:p w14:paraId="3EE0B5E8" w14:textId="77777777" w:rsidR="00D666D1" w:rsidRPr="00883399" w:rsidRDefault="00D666D1" w:rsidP="00D666D1">
      <w:pPr>
        <w:spacing w:before="240" w:line="312" w:lineRule="auto"/>
        <w:rPr>
          <w:rFonts w:ascii="Arial" w:hAnsi="Arial" w:cs="Arial"/>
          <w:sz w:val="22"/>
          <w:szCs w:val="22"/>
        </w:rPr>
      </w:pPr>
      <w:r w:rsidRPr="00883399">
        <w:rPr>
          <w:rFonts w:ascii="Arial" w:hAnsi="Arial" w:cs="Arial"/>
          <w:sz w:val="22"/>
          <w:szCs w:val="22"/>
        </w:rPr>
        <w:t>In the calculation of uncertainty, it is important that the corporation calculates their uncertainty at the same level of disaggregation to which the emission estimate was calculated. For example, if a facility uses multiple types and qualities of a fuel (e.g. different types of coals) for which it has data on, and the emission calculation incorporates the data on each different fuel types, then the uncertainty calculation should also be performed at the same level of disaggregation. In other words, the uncertainty calculation should incorporate uncertainty data on the different fuel types at the same level of detail that was performed in the emission calculation.</w:t>
      </w:r>
    </w:p>
    <w:p w14:paraId="4DAF5B26" w14:textId="77777777" w:rsidR="00872C03" w:rsidRPr="00883399" w:rsidRDefault="00872C03" w:rsidP="00872C03">
      <w:pPr>
        <w:pStyle w:val="subsection"/>
        <w:rPr>
          <w:sz w:val="24"/>
        </w:rPr>
      </w:pPr>
      <w:r w:rsidRPr="00883399">
        <w:rPr>
          <w:sz w:val="24"/>
        </w:rPr>
        <w:tab/>
        <w:t>(1)</w:t>
      </w:r>
      <w:r w:rsidRPr="00883399">
        <w:rPr>
          <w:sz w:val="24"/>
        </w:rPr>
        <w:tab/>
      </w:r>
      <w:r w:rsidR="00FC4C3A" w:rsidRPr="00883399">
        <w:rPr>
          <w:sz w:val="24"/>
        </w:rPr>
        <w:t>Uncertainty of estimates of scope 1 emissions must be assessed in accordance with Part 8.3 or with the uncertainty protocol, as appropriate.</w:t>
      </w:r>
    </w:p>
    <w:p w14:paraId="5B48A0C9" w14:textId="77777777" w:rsidR="00872C03" w:rsidRPr="00883399" w:rsidRDefault="00872C03" w:rsidP="00872C03">
      <w:pPr>
        <w:pStyle w:val="subsection"/>
        <w:rPr>
          <w:sz w:val="24"/>
        </w:rPr>
      </w:pPr>
      <w:r w:rsidRPr="00883399">
        <w:rPr>
          <w:sz w:val="24"/>
        </w:rPr>
        <w:tab/>
        <w:t>(2)</w:t>
      </w:r>
      <w:r w:rsidRPr="00883399">
        <w:rPr>
          <w:sz w:val="24"/>
        </w:rPr>
        <w:tab/>
        <w:t>For corporations that have sources of scope 1 emissions that are estimated using a variety of method 1, 2, 3 or 4, the uncertainty associated with the emissions must be aggregated in accordance with section 8 of the uncertainty protocol.</w:t>
      </w:r>
    </w:p>
    <w:p w14:paraId="0C4D3303" w14:textId="59ECCB7F" w:rsidR="00872C03" w:rsidRPr="00883399" w:rsidRDefault="00872C03" w:rsidP="00872C03">
      <w:pPr>
        <w:pStyle w:val="ActHead2"/>
        <w:pageBreakBefore/>
        <w:rPr>
          <w:sz w:val="36"/>
        </w:rPr>
      </w:pPr>
      <w:bookmarkStart w:id="1349" w:name="_Toc423517253"/>
      <w:bookmarkStart w:id="1350" w:name="_Toc495653194"/>
      <w:r w:rsidRPr="00883399">
        <w:rPr>
          <w:rStyle w:val="CharPartNo"/>
          <w:sz w:val="36"/>
        </w:rPr>
        <w:t>Part 8.3</w:t>
      </w:r>
      <w:r w:rsidRPr="00883399">
        <w:rPr>
          <w:sz w:val="36"/>
        </w:rPr>
        <w:t>—</w:t>
      </w:r>
      <w:r w:rsidRPr="00883399">
        <w:rPr>
          <w:rStyle w:val="CharPartText"/>
          <w:sz w:val="36"/>
        </w:rPr>
        <w:t>How to assess uncertainty when using method 1</w:t>
      </w:r>
      <w:bookmarkEnd w:id="1349"/>
      <w:bookmarkEnd w:id="1350"/>
    </w:p>
    <w:p w14:paraId="08AAB476" w14:textId="77777777" w:rsidR="00872C03" w:rsidRPr="00883399" w:rsidRDefault="00872C03" w:rsidP="00872C03">
      <w:pPr>
        <w:pStyle w:val="Header"/>
        <w:rPr>
          <w:sz w:val="18"/>
        </w:rPr>
      </w:pPr>
      <w:r w:rsidRPr="00883399">
        <w:rPr>
          <w:rStyle w:val="CharDivNo"/>
          <w:sz w:val="18"/>
        </w:rPr>
        <w:t xml:space="preserve"> </w:t>
      </w:r>
      <w:r w:rsidRPr="00883399">
        <w:rPr>
          <w:rStyle w:val="CharDivText"/>
          <w:sz w:val="18"/>
        </w:rPr>
        <w:t xml:space="preserve"> </w:t>
      </w:r>
    </w:p>
    <w:p w14:paraId="17D9D974" w14:textId="53FCF89C" w:rsidR="00872C03" w:rsidRPr="00883399" w:rsidRDefault="00872C03" w:rsidP="00872C03">
      <w:pPr>
        <w:pStyle w:val="ActHead5"/>
        <w:rPr>
          <w:sz w:val="28"/>
        </w:rPr>
      </w:pPr>
      <w:bookmarkStart w:id="1351" w:name="_Toc423517254"/>
      <w:bookmarkStart w:id="1352" w:name="_Toc495653195"/>
      <w:r w:rsidRPr="00883399">
        <w:rPr>
          <w:rStyle w:val="CharSectno"/>
          <w:sz w:val="28"/>
        </w:rPr>
        <w:t>8.4</w:t>
      </w:r>
      <w:r w:rsidRPr="00883399">
        <w:rPr>
          <w:sz w:val="28"/>
        </w:rPr>
        <w:t xml:space="preserve">  Purpose of Part</w:t>
      </w:r>
      <w:bookmarkEnd w:id="1351"/>
      <w:bookmarkEnd w:id="1352"/>
    </w:p>
    <w:p w14:paraId="1B77EEAA" w14:textId="77777777" w:rsidR="00FC4C3A" w:rsidRPr="00883399" w:rsidRDefault="00872C03" w:rsidP="00FC4C3A">
      <w:pPr>
        <w:pStyle w:val="subsection"/>
        <w:rPr>
          <w:sz w:val="24"/>
        </w:rPr>
      </w:pPr>
      <w:r w:rsidRPr="00883399">
        <w:rPr>
          <w:sz w:val="24"/>
        </w:rPr>
        <w:tab/>
      </w:r>
      <w:r w:rsidRPr="00883399">
        <w:rPr>
          <w:sz w:val="24"/>
        </w:rPr>
        <w:tab/>
      </w:r>
      <w:bookmarkStart w:id="1353" w:name="_Toc423517255"/>
      <w:r w:rsidR="00FC4C3A" w:rsidRPr="00883399">
        <w:rPr>
          <w:sz w:val="24"/>
        </w:rPr>
        <w:t>This Part sets out how to assess uncertainty of scope 1 emissions if method 1 is used to estimate scope 1 emissions for a source.</w:t>
      </w:r>
    </w:p>
    <w:p w14:paraId="630BBA16" w14:textId="1C9BA12F" w:rsidR="00872C03" w:rsidRPr="00883399" w:rsidRDefault="00872C03" w:rsidP="00FC4C3A">
      <w:pPr>
        <w:pStyle w:val="subsection"/>
        <w:rPr>
          <w:rStyle w:val="CharSectno"/>
          <w:b/>
          <w:kern w:val="28"/>
          <w:sz w:val="28"/>
          <w:szCs w:val="28"/>
        </w:rPr>
      </w:pPr>
      <w:r w:rsidRPr="00883399">
        <w:rPr>
          <w:rStyle w:val="CharSectno"/>
          <w:b/>
          <w:kern w:val="28"/>
          <w:sz w:val="28"/>
          <w:szCs w:val="28"/>
        </w:rPr>
        <w:t>8.5  General rules about uncertainty estimates for emissions estimates using method 1</w:t>
      </w:r>
      <w:bookmarkEnd w:id="1353"/>
    </w:p>
    <w:p w14:paraId="53EEBF06" w14:textId="77777777" w:rsidR="00FC4C3A" w:rsidRPr="00883399" w:rsidRDefault="00872C03" w:rsidP="00FC4C3A">
      <w:pPr>
        <w:pStyle w:val="subsection"/>
        <w:rPr>
          <w:sz w:val="24"/>
        </w:rPr>
      </w:pPr>
      <w:r w:rsidRPr="00883399">
        <w:rPr>
          <w:sz w:val="24"/>
        </w:rPr>
        <w:tab/>
      </w:r>
      <w:bookmarkStart w:id="1354" w:name="_Toc423517256"/>
      <w:r w:rsidR="00FC4C3A" w:rsidRPr="00883399">
        <w:rPr>
          <w:sz w:val="24"/>
        </w:rPr>
        <w:tab/>
        <w:t>The total uncertainty of scope 1 emissions estimates for a source in relation to a registered corporation is to be worked out by aggregating, as applicable, the uncertainty of the emissions factor, the energy content factor and the activity data for the source in accordance with the formula in section 8.11.</w:t>
      </w:r>
    </w:p>
    <w:p w14:paraId="09232BA4" w14:textId="77777777" w:rsidR="00FC4C3A" w:rsidRPr="00883399" w:rsidRDefault="00FC4C3A" w:rsidP="00FC4C3A">
      <w:pPr>
        <w:pStyle w:val="notetext"/>
        <w:rPr>
          <w:sz w:val="20"/>
        </w:rPr>
      </w:pPr>
      <w:r w:rsidRPr="00883399">
        <w:rPr>
          <w:sz w:val="20"/>
        </w:rPr>
        <w:t>Note:</w:t>
      </w:r>
      <w:r w:rsidRPr="00883399">
        <w:rPr>
          <w:sz w:val="20"/>
        </w:rPr>
        <w:tab/>
        <w:t>This is generally referred to as the aggregated uncertainty for the source.</w:t>
      </w:r>
    </w:p>
    <w:p w14:paraId="254DD99E" w14:textId="22471112" w:rsidR="00872C03" w:rsidRPr="00883399" w:rsidRDefault="00872C03" w:rsidP="00FC4C3A">
      <w:pPr>
        <w:pStyle w:val="subsection"/>
        <w:rPr>
          <w:b/>
          <w:sz w:val="28"/>
        </w:rPr>
      </w:pPr>
      <w:r w:rsidRPr="00883399">
        <w:rPr>
          <w:rStyle w:val="CharSectno"/>
          <w:b/>
          <w:sz w:val="28"/>
        </w:rPr>
        <w:t>8.6</w:t>
      </w:r>
      <w:r w:rsidRPr="00883399">
        <w:rPr>
          <w:b/>
          <w:sz w:val="28"/>
        </w:rPr>
        <w:t xml:space="preserve">  Assessment of uncertainty for estimates of carbon dioxide emissions from combustion of fuels</w:t>
      </w:r>
      <w:bookmarkEnd w:id="1354"/>
    </w:p>
    <w:p w14:paraId="36A24E3A" w14:textId="77777777" w:rsidR="00872C03" w:rsidRPr="00883399" w:rsidRDefault="00872C03" w:rsidP="00872C03">
      <w:pPr>
        <w:pStyle w:val="subsection"/>
        <w:rPr>
          <w:sz w:val="24"/>
        </w:rPr>
      </w:pPr>
      <w:r w:rsidRPr="00883399">
        <w:rPr>
          <w:sz w:val="24"/>
        </w:rPr>
        <w:tab/>
        <w:t>(1)</w:t>
      </w:r>
      <w:r w:rsidRPr="00883399">
        <w:rPr>
          <w:sz w:val="24"/>
        </w:rPr>
        <w:tab/>
        <w:t>In assessing uncertainty of the estimates of carbon dioxide emissions estimated using method 1 for a source that involves the combustion of a fuel, the assessment must include the statistical uncertainty associated with the following parameters:</w:t>
      </w:r>
    </w:p>
    <w:p w14:paraId="0B9FDA05" w14:textId="77777777" w:rsidR="00872C03" w:rsidRPr="00883399" w:rsidRDefault="00872C03" w:rsidP="00872C03">
      <w:pPr>
        <w:pStyle w:val="paragraph"/>
        <w:rPr>
          <w:sz w:val="24"/>
        </w:rPr>
      </w:pPr>
      <w:r w:rsidRPr="00883399">
        <w:rPr>
          <w:sz w:val="24"/>
        </w:rPr>
        <w:tab/>
        <w:t>(a)</w:t>
      </w:r>
      <w:r w:rsidRPr="00883399">
        <w:rPr>
          <w:sz w:val="24"/>
        </w:rPr>
        <w:tab/>
        <w:t>the energy content factor of the fuel (as specified in column 3 of the following table or as worked out in accordance with item 1, 2 or 3 of section 7 of the uncertainty protocol);</w:t>
      </w:r>
    </w:p>
    <w:p w14:paraId="0E7BA838" w14:textId="77777777" w:rsidR="00872C03" w:rsidRPr="00883399" w:rsidRDefault="00872C03" w:rsidP="00872C03">
      <w:pPr>
        <w:pStyle w:val="paragraph"/>
        <w:rPr>
          <w:sz w:val="24"/>
        </w:rPr>
      </w:pPr>
      <w:r w:rsidRPr="00883399">
        <w:rPr>
          <w:sz w:val="24"/>
        </w:rPr>
        <w:tab/>
        <w:t>(b)</w:t>
      </w:r>
      <w:r w:rsidRPr="00883399">
        <w:rPr>
          <w:sz w:val="24"/>
        </w:rPr>
        <w:tab/>
        <w:t>the carbon dioxide emission factor of the fuel (as specified in column 4 of the following table or as worked out in accordance with item 1, 2 or 3 of section 7 of the uncertainty protocol);</w:t>
      </w:r>
    </w:p>
    <w:p w14:paraId="38F11AE0" w14:textId="77777777" w:rsidR="00872C03" w:rsidRPr="00883399" w:rsidRDefault="00872C03" w:rsidP="00872C03">
      <w:pPr>
        <w:pStyle w:val="paragraph"/>
        <w:rPr>
          <w:sz w:val="24"/>
        </w:rPr>
      </w:pPr>
      <w:r w:rsidRPr="00883399">
        <w:rPr>
          <w:sz w:val="24"/>
        </w:rPr>
        <w:tab/>
        <w:t>(c)</w:t>
      </w:r>
      <w:r w:rsidRPr="00883399">
        <w:rPr>
          <w:sz w:val="24"/>
        </w:rPr>
        <w:tab/>
        <w:t>the quantity of fuel combusted (as worked out in accordance with subsection (3) or as worked out in accordance with item 1, 2 or 3 of section 7 of the uncertainty protocol).</w:t>
      </w:r>
    </w:p>
    <w:p w14:paraId="14A0D580" w14:textId="77777777" w:rsidR="00872C03" w:rsidRPr="00883399" w:rsidRDefault="00872C03" w:rsidP="00872C03">
      <w:pPr>
        <w:pStyle w:val="Tabletext0"/>
        <w:rPr>
          <w:sz w:val="22"/>
        </w:rPr>
      </w:pPr>
    </w:p>
    <w:tbl>
      <w:tblPr>
        <w:tblW w:w="8364" w:type="dxa"/>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5103"/>
        <w:gridCol w:w="1259"/>
        <w:gridCol w:w="9"/>
        <w:gridCol w:w="1284"/>
      </w:tblGrid>
      <w:tr w:rsidR="00872C03" w:rsidRPr="00883399" w14:paraId="26870D7E" w14:textId="77777777" w:rsidTr="0031057E">
        <w:trPr>
          <w:tblHeader/>
        </w:trPr>
        <w:tc>
          <w:tcPr>
            <w:tcW w:w="709" w:type="dxa"/>
            <w:tcBorders>
              <w:top w:val="single" w:sz="12" w:space="0" w:color="auto"/>
              <w:bottom w:val="single" w:sz="12" w:space="0" w:color="auto"/>
            </w:tcBorders>
            <w:shd w:val="clear" w:color="auto" w:fill="auto"/>
          </w:tcPr>
          <w:p w14:paraId="792B45F8" w14:textId="77777777" w:rsidR="00872C03" w:rsidRPr="00883399" w:rsidRDefault="00872C03" w:rsidP="0031057E">
            <w:pPr>
              <w:pStyle w:val="TableHeading"/>
              <w:rPr>
                <w:sz w:val="22"/>
                <w:szCs w:val="18"/>
              </w:rPr>
            </w:pPr>
            <w:r w:rsidRPr="00883399">
              <w:rPr>
                <w:sz w:val="22"/>
                <w:szCs w:val="18"/>
              </w:rPr>
              <w:t>Item</w:t>
            </w:r>
          </w:p>
        </w:tc>
        <w:tc>
          <w:tcPr>
            <w:tcW w:w="5103" w:type="dxa"/>
            <w:tcBorders>
              <w:top w:val="single" w:sz="12" w:space="0" w:color="auto"/>
              <w:bottom w:val="single" w:sz="12" w:space="0" w:color="auto"/>
            </w:tcBorders>
            <w:shd w:val="clear" w:color="auto" w:fill="auto"/>
          </w:tcPr>
          <w:p w14:paraId="0C283D53" w14:textId="77777777" w:rsidR="00872C03" w:rsidRPr="00883399" w:rsidRDefault="00872C03" w:rsidP="0031057E">
            <w:pPr>
              <w:pStyle w:val="TableHeading"/>
              <w:rPr>
                <w:sz w:val="22"/>
                <w:szCs w:val="18"/>
              </w:rPr>
            </w:pPr>
            <w:r w:rsidRPr="00883399">
              <w:rPr>
                <w:sz w:val="22"/>
                <w:szCs w:val="18"/>
              </w:rPr>
              <w:t>Fuel Combusted</w:t>
            </w:r>
          </w:p>
        </w:tc>
        <w:tc>
          <w:tcPr>
            <w:tcW w:w="1259" w:type="dxa"/>
            <w:tcBorders>
              <w:top w:val="single" w:sz="12" w:space="0" w:color="auto"/>
              <w:bottom w:val="single" w:sz="12" w:space="0" w:color="auto"/>
            </w:tcBorders>
            <w:shd w:val="clear" w:color="auto" w:fill="auto"/>
          </w:tcPr>
          <w:p w14:paraId="7EC540F0" w14:textId="77777777" w:rsidR="00872C03" w:rsidRPr="00883399" w:rsidRDefault="00872C03" w:rsidP="0031057E">
            <w:pPr>
              <w:pStyle w:val="TableHeading"/>
              <w:rPr>
                <w:sz w:val="22"/>
                <w:szCs w:val="18"/>
              </w:rPr>
            </w:pPr>
            <w:r w:rsidRPr="00883399">
              <w:rPr>
                <w:sz w:val="22"/>
                <w:szCs w:val="18"/>
              </w:rPr>
              <w:t>Energy content uncertainty level (%)</w:t>
            </w:r>
          </w:p>
        </w:tc>
        <w:tc>
          <w:tcPr>
            <w:tcW w:w="1293" w:type="dxa"/>
            <w:gridSpan w:val="2"/>
            <w:tcBorders>
              <w:top w:val="single" w:sz="12" w:space="0" w:color="auto"/>
              <w:bottom w:val="single" w:sz="12" w:space="0" w:color="auto"/>
            </w:tcBorders>
            <w:shd w:val="clear" w:color="auto" w:fill="auto"/>
          </w:tcPr>
          <w:p w14:paraId="70592255" w14:textId="77777777" w:rsidR="00872C03" w:rsidRPr="00883399" w:rsidRDefault="00872C03" w:rsidP="0031057E">
            <w:pPr>
              <w:pStyle w:val="TableHeading"/>
              <w:rPr>
                <w:sz w:val="22"/>
                <w:szCs w:val="18"/>
              </w:rPr>
            </w:pPr>
            <w:r w:rsidRPr="00883399">
              <w:rPr>
                <w:sz w:val="22"/>
                <w:szCs w:val="18"/>
              </w:rPr>
              <w:t>Carbon dioxide emission factor uncertainty level (%)</w:t>
            </w:r>
          </w:p>
        </w:tc>
      </w:tr>
      <w:tr w:rsidR="00872C03" w:rsidRPr="00883399" w:rsidDel="008F16F2" w14:paraId="162522CB" w14:textId="77777777" w:rsidTr="0031057E">
        <w:tc>
          <w:tcPr>
            <w:tcW w:w="709" w:type="dxa"/>
            <w:tcBorders>
              <w:top w:val="single" w:sz="12" w:space="0" w:color="auto"/>
              <w:bottom w:val="single" w:sz="4" w:space="0" w:color="auto"/>
            </w:tcBorders>
            <w:shd w:val="clear" w:color="auto" w:fill="auto"/>
          </w:tcPr>
          <w:p w14:paraId="261D62EE" w14:textId="77777777" w:rsidR="00872C03" w:rsidRPr="00883399" w:rsidDel="008F16F2" w:rsidRDefault="00872C03" w:rsidP="0031057E">
            <w:pPr>
              <w:pStyle w:val="Tabletext0"/>
              <w:rPr>
                <w:sz w:val="22"/>
              </w:rPr>
            </w:pPr>
            <w:r w:rsidRPr="00883399">
              <w:rPr>
                <w:sz w:val="22"/>
              </w:rPr>
              <w:t>1</w:t>
            </w:r>
          </w:p>
        </w:tc>
        <w:tc>
          <w:tcPr>
            <w:tcW w:w="5103" w:type="dxa"/>
            <w:tcBorders>
              <w:top w:val="single" w:sz="12" w:space="0" w:color="auto"/>
              <w:bottom w:val="single" w:sz="4" w:space="0" w:color="auto"/>
            </w:tcBorders>
            <w:shd w:val="clear" w:color="auto" w:fill="auto"/>
          </w:tcPr>
          <w:p w14:paraId="50691B3A" w14:textId="77777777" w:rsidR="00872C03" w:rsidRPr="00883399" w:rsidDel="008F16F2" w:rsidRDefault="00872C03" w:rsidP="0031057E">
            <w:pPr>
              <w:pStyle w:val="Tabletext0"/>
              <w:rPr>
                <w:sz w:val="22"/>
              </w:rPr>
            </w:pPr>
            <w:r w:rsidRPr="00883399">
              <w:rPr>
                <w:sz w:val="22"/>
              </w:rPr>
              <w:t>Bituminous coal</w:t>
            </w:r>
          </w:p>
        </w:tc>
        <w:tc>
          <w:tcPr>
            <w:tcW w:w="1268" w:type="dxa"/>
            <w:gridSpan w:val="2"/>
            <w:tcBorders>
              <w:top w:val="single" w:sz="12" w:space="0" w:color="auto"/>
              <w:bottom w:val="single" w:sz="4" w:space="0" w:color="auto"/>
            </w:tcBorders>
            <w:shd w:val="clear" w:color="auto" w:fill="auto"/>
          </w:tcPr>
          <w:p w14:paraId="6B4666F2" w14:textId="77777777" w:rsidR="00872C03" w:rsidRPr="00883399" w:rsidDel="008F16F2" w:rsidRDefault="00872C03" w:rsidP="0031057E">
            <w:pPr>
              <w:pStyle w:val="Tabletext0"/>
              <w:rPr>
                <w:sz w:val="22"/>
              </w:rPr>
            </w:pPr>
            <w:r w:rsidRPr="00883399">
              <w:rPr>
                <w:sz w:val="22"/>
              </w:rPr>
              <w:t>28</w:t>
            </w:r>
          </w:p>
        </w:tc>
        <w:tc>
          <w:tcPr>
            <w:tcW w:w="1284" w:type="dxa"/>
            <w:tcBorders>
              <w:top w:val="single" w:sz="12" w:space="0" w:color="auto"/>
              <w:bottom w:val="single" w:sz="4" w:space="0" w:color="auto"/>
            </w:tcBorders>
            <w:shd w:val="clear" w:color="auto" w:fill="auto"/>
          </w:tcPr>
          <w:p w14:paraId="06E83AD1" w14:textId="77777777" w:rsidR="00872C03" w:rsidRPr="00883399" w:rsidDel="008F16F2" w:rsidRDefault="00872C03" w:rsidP="0031057E">
            <w:pPr>
              <w:pStyle w:val="Tabletext0"/>
              <w:rPr>
                <w:sz w:val="22"/>
              </w:rPr>
            </w:pPr>
            <w:r w:rsidRPr="00883399">
              <w:rPr>
                <w:sz w:val="22"/>
              </w:rPr>
              <w:t>5</w:t>
            </w:r>
          </w:p>
        </w:tc>
      </w:tr>
      <w:tr w:rsidR="00872C03" w:rsidRPr="00883399" w:rsidDel="008F16F2" w14:paraId="269BFD24" w14:textId="77777777" w:rsidTr="0031057E">
        <w:tc>
          <w:tcPr>
            <w:tcW w:w="709" w:type="dxa"/>
            <w:tcBorders>
              <w:top w:val="single" w:sz="4" w:space="0" w:color="auto"/>
            </w:tcBorders>
            <w:shd w:val="clear" w:color="auto" w:fill="auto"/>
          </w:tcPr>
          <w:p w14:paraId="29B4886F" w14:textId="77777777" w:rsidR="00872C03" w:rsidRPr="00883399" w:rsidDel="008F16F2" w:rsidRDefault="00872C03" w:rsidP="0031057E">
            <w:pPr>
              <w:pStyle w:val="Tabletext0"/>
              <w:rPr>
                <w:sz w:val="22"/>
              </w:rPr>
            </w:pPr>
            <w:r w:rsidRPr="00883399">
              <w:rPr>
                <w:sz w:val="22"/>
              </w:rPr>
              <w:t>1A</w:t>
            </w:r>
          </w:p>
        </w:tc>
        <w:tc>
          <w:tcPr>
            <w:tcW w:w="5103" w:type="dxa"/>
            <w:tcBorders>
              <w:top w:val="single" w:sz="4" w:space="0" w:color="auto"/>
            </w:tcBorders>
            <w:shd w:val="clear" w:color="auto" w:fill="auto"/>
          </w:tcPr>
          <w:p w14:paraId="0DE2D721" w14:textId="77777777" w:rsidR="00872C03" w:rsidRPr="00883399" w:rsidDel="008F16F2" w:rsidRDefault="00872C03" w:rsidP="0031057E">
            <w:pPr>
              <w:pStyle w:val="Tabletext0"/>
              <w:rPr>
                <w:sz w:val="22"/>
              </w:rPr>
            </w:pPr>
            <w:r w:rsidRPr="00883399">
              <w:rPr>
                <w:sz w:val="22"/>
              </w:rPr>
              <w:t>Sub</w:t>
            </w:r>
            <w:r w:rsidRPr="00883399">
              <w:rPr>
                <w:sz w:val="22"/>
              </w:rPr>
              <w:noBreakHyphen/>
              <w:t>bituminous coal</w:t>
            </w:r>
          </w:p>
        </w:tc>
        <w:tc>
          <w:tcPr>
            <w:tcW w:w="1268" w:type="dxa"/>
            <w:gridSpan w:val="2"/>
            <w:tcBorders>
              <w:top w:val="single" w:sz="4" w:space="0" w:color="auto"/>
            </w:tcBorders>
            <w:shd w:val="clear" w:color="auto" w:fill="auto"/>
          </w:tcPr>
          <w:p w14:paraId="5263C76E" w14:textId="77777777" w:rsidR="00872C03" w:rsidRPr="00883399" w:rsidDel="008F16F2" w:rsidRDefault="00872C03" w:rsidP="0031057E">
            <w:pPr>
              <w:pStyle w:val="Tabletext0"/>
              <w:rPr>
                <w:sz w:val="22"/>
              </w:rPr>
            </w:pPr>
            <w:r w:rsidRPr="00883399">
              <w:rPr>
                <w:sz w:val="22"/>
              </w:rPr>
              <w:t>28</w:t>
            </w:r>
          </w:p>
        </w:tc>
        <w:tc>
          <w:tcPr>
            <w:tcW w:w="1284" w:type="dxa"/>
            <w:tcBorders>
              <w:top w:val="single" w:sz="4" w:space="0" w:color="auto"/>
            </w:tcBorders>
            <w:shd w:val="clear" w:color="auto" w:fill="auto"/>
          </w:tcPr>
          <w:p w14:paraId="58E6BAE0" w14:textId="77777777" w:rsidR="00872C03" w:rsidRPr="00883399" w:rsidDel="008F16F2" w:rsidRDefault="00872C03" w:rsidP="0031057E">
            <w:pPr>
              <w:pStyle w:val="Tabletext0"/>
              <w:rPr>
                <w:sz w:val="22"/>
              </w:rPr>
            </w:pPr>
            <w:r w:rsidRPr="00883399">
              <w:rPr>
                <w:sz w:val="22"/>
              </w:rPr>
              <w:t>5</w:t>
            </w:r>
          </w:p>
        </w:tc>
      </w:tr>
      <w:tr w:rsidR="00872C03" w:rsidRPr="00883399" w:rsidDel="008F16F2" w14:paraId="73B58203" w14:textId="77777777" w:rsidTr="0031057E">
        <w:tc>
          <w:tcPr>
            <w:tcW w:w="709" w:type="dxa"/>
            <w:shd w:val="clear" w:color="auto" w:fill="auto"/>
          </w:tcPr>
          <w:p w14:paraId="494B18C8" w14:textId="77777777" w:rsidR="00872C03" w:rsidRPr="00883399" w:rsidDel="008F16F2" w:rsidRDefault="00872C03" w:rsidP="0031057E">
            <w:pPr>
              <w:pStyle w:val="Tabletext0"/>
              <w:rPr>
                <w:sz w:val="22"/>
              </w:rPr>
            </w:pPr>
            <w:r w:rsidRPr="00883399">
              <w:rPr>
                <w:sz w:val="22"/>
              </w:rPr>
              <w:t>1B</w:t>
            </w:r>
          </w:p>
        </w:tc>
        <w:tc>
          <w:tcPr>
            <w:tcW w:w="5103" w:type="dxa"/>
            <w:shd w:val="clear" w:color="auto" w:fill="auto"/>
          </w:tcPr>
          <w:p w14:paraId="61028E2A" w14:textId="77777777" w:rsidR="00872C03" w:rsidRPr="00883399" w:rsidDel="008F16F2" w:rsidRDefault="00872C03" w:rsidP="0031057E">
            <w:pPr>
              <w:pStyle w:val="Tabletext0"/>
              <w:rPr>
                <w:sz w:val="22"/>
              </w:rPr>
            </w:pPr>
            <w:r w:rsidRPr="00883399">
              <w:rPr>
                <w:sz w:val="22"/>
              </w:rPr>
              <w:t>Anthracite</w:t>
            </w:r>
          </w:p>
        </w:tc>
        <w:tc>
          <w:tcPr>
            <w:tcW w:w="1268" w:type="dxa"/>
            <w:gridSpan w:val="2"/>
            <w:shd w:val="clear" w:color="auto" w:fill="auto"/>
          </w:tcPr>
          <w:p w14:paraId="3A14D579" w14:textId="77777777" w:rsidR="00872C03" w:rsidRPr="00883399" w:rsidDel="008F16F2" w:rsidRDefault="00872C03" w:rsidP="0031057E">
            <w:pPr>
              <w:pStyle w:val="Tabletext0"/>
              <w:rPr>
                <w:sz w:val="22"/>
              </w:rPr>
            </w:pPr>
            <w:r w:rsidRPr="00883399">
              <w:rPr>
                <w:sz w:val="22"/>
              </w:rPr>
              <w:t>28</w:t>
            </w:r>
          </w:p>
        </w:tc>
        <w:tc>
          <w:tcPr>
            <w:tcW w:w="1284" w:type="dxa"/>
            <w:shd w:val="clear" w:color="auto" w:fill="auto"/>
          </w:tcPr>
          <w:p w14:paraId="4C4E523B" w14:textId="77777777" w:rsidR="00872C03" w:rsidRPr="00883399" w:rsidDel="008F16F2" w:rsidRDefault="00872C03" w:rsidP="0031057E">
            <w:pPr>
              <w:pStyle w:val="Tabletext0"/>
              <w:rPr>
                <w:sz w:val="22"/>
              </w:rPr>
            </w:pPr>
            <w:r w:rsidRPr="00883399">
              <w:rPr>
                <w:sz w:val="22"/>
              </w:rPr>
              <w:t>5</w:t>
            </w:r>
          </w:p>
        </w:tc>
      </w:tr>
      <w:tr w:rsidR="00872C03" w:rsidRPr="00883399" w14:paraId="466E0277" w14:textId="77777777" w:rsidTr="0031057E">
        <w:tc>
          <w:tcPr>
            <w:tcW w:w="709" w:type="dxa"/>
            <w:shd w:val="clear" w:color="auto" w:fill="auto"/>
          </w:tcPr>
          <w:p w14:paraId="1549B277" w14:textId="77777777" w:rsidR="00872C03" w:rsidRPr="00883399" w:rsidRDefault="00872C03" w:rsidP="0031057E">
            <w:pPr>
              <w:pStyle w:val="Tabletext0"/>
              <w:rPr>
                <w:sz w:val="22"/>
              </w:rPr>
            </w:pPr>
            <w:r w:rsidRPr="00883399">
              <w:rPr>
                <w:sz w:val="22"/>
              </w:rPr>
              <w:t>2</w:t>
            </w:r>
          </w:p>
        </w:tc>
        <w:tc>
          <w:tcPr>
            <w:tcW w:w="5103" w:type="dxa"/>
            <w:shd w:val="clear" w:color="auto" w:fill="auto"/>
          </w:tcPr>
          <w:p w14:paraId="47503EFF" w14:textId="77777777" w:rsidR="00872C03" w:rsidRPr="00883399" w:rsidRDefault="00872C03" w:rsidP="0031057E">
            <w:pPr>
              <w:pStyle w:val="Tabletext0"/>
              <w:rPr>
                <w:sz w:val="22"/>
              </w:rPr>
            </w:pPr>
            <w:r w:rsidRPr="00883399">
              <w:rPr>
                <w:sz w:val="22"/>
              </w:rPr>
              <w:t>Brown coal</w:t>
            </w:r>
          </w:p>
        </w:tc>
        <w:tc>
          <w:tcPr>
            <w:tcW w:w="1268" w:type="dxa"/>
            <w:gridSpan w:val="2"/>
            <w:shd w:val="clear" w:color="auto" w:fill="auto"/>
          </w:tcPr>
          <w:p w14:paraId="6C8D8637" w14:textId="77777777" w:rsidR="00872C03" w:rsidRPr="00883399" w:rsidRDefault="00872C03" w:rsidP="0031057E">
            <w:pPr>
              <w:pStyle w:val="Tabletext0"/>
              <w:rPr>
                <w:sz w:val="22"/>
              </w:rPr>
            </w:pPr>
            <w:r w:rsidRPr="00883399">
              <w:rPr>
                <w:sz w:val="22"/>
              </w:rPr>
              <w:t>50</w:t>
            </w:r>
          </w:p>
        </w:tc>
        <w:tc>
          <w:tcPr>
            <w:tcW w:w="1284" w:type="dxa"/>
            <w:shd w:val="clear" w:color="auto" w:fill="auto"/>
          </w:tcPr>
          <w:p w14:paraId="0C62D40F" w14:textId="77777777" w:rsidR="00872C03" w:rsidRPr="00883399" w:rsidRDefault="00872C03" w:rsidP="0031057E">
            <w:pPr>
              <w:pStyle w:val="Tabletext0"/>
              <w:rPr>
                <w:sz w:val="22"/>
              </w:rPr>
            </w:pPr>
            <w:r w:rsidRPr="00883399">
              <w:rPr>
                <w:sz w:val="22"/>
              </w:rPr>
              <w:t>12</w:t>
            </w:r>
          </w:p>
        </w:tc>
      </w:tr>
      <w:tr w:rsidR="00872C03" w:rsidRPr="00883399" w14:paraId="6219DA01" w14:textId="77777777" w:rsidTr="0031057E">
        <w:tc>
          <w:tcPr>
            <w:tcW w:w="709" w:type="dxa"/>
            <w:shd w:val="clear" w:color="auto" w:fill="auto"/>
          </w:tcPr>
          <w:p w14:paraId="05615FDB" w14:textId="77777777" w:rsidR="00872C03" w:rsidRPr="00883399" w:rsidRDefault="00872C03" w:rsidP="0031057E">
            <w:pPr>
              <w:pStyle w:val="Tabletext0"/>
              <w:rPr>
                <w:sz w:val="22"/>
              </w:rPr>
            </w:pPr>
            <w:r w:rsidRPr="00883399">
              <w:rPr>
                <w:sz w:val="22"/>
              </w:rPr>
              <w:t>3</w:t>
            </w:r>
          </w:p>
        </w:tc>
        <w:tc>
          <w:tcPr>
            <w:tcW w:w="5103" w:type="dxa"/>
            <w:shd w:val="clear" w:color="auto" w:fill="auto"/>
          </w:tcPr>
          <w:p w14:paraId="03A7191F" w14:textId="77777777" w:rsidR="00872C03" w:rsidRPr="00883399" w:rsidRDefault="00872C03" w:rsidP="0031057E">
            <w:pPr>
              <w:pStyle w:val="Tabletext0"/>
              <w:rPr>
                <w:sz w:val="22"/>
              </w:rPr>
            </w:pPr>
            <w:r w:rsidRPr="00883399">
              <w:rPr>
                <w:sz w:val="22"/>
              </w:rPr>
              <w:t>Coking coal</w:t>
            </w:r>
          </w:p>
        </w:tc>
        <w:tc>
          <w:tcPr>
            <w:tcW w:w="1268" w:type="dxa"/>
            <w:gridSpan w:val="2"/>
            <w:shd w:val="clear" w:color="auto" w:fill="auto"/>
          </w:tcPr>
          <w:p w14:paraId="3C7B7575" w14:textId="77777777" w:rsidR="00872C03" w:rsidRPr="00883399" w:rsidRDefault="00872C03" w:rsidP="0031057E">
            <w:pPr>
              <w:pStyle w:val="Tabletext0"/>
              <w:rPr>
                <w:sz w:val="22"/>
              </w:rPr>
            </w:pPr>
            <w:r w:rsidRPr="00883399">
              <w:rPr>
                <w:sz w:val="22"/>
              </w:rPr>
              <w:t>12</w:t>
            </w:r>
          </w:p>
        </w:tc>
        <w:tc>
          <w:tcPr>
            <w:tcW w:w="1284" w:type="dxa"/>
            <w:shd w:val="clear" w:color="auto" w:fill="auto"/>
          </w:tcPr>
          <w:p w14:paraId="6755D002" w14:textId="77777777" w:rsidR="00872C03" w:rsidRPr="00883399" w:rsidRDefault="00872C03" w:rsidP="0031057E">
            <w:pPr>
              <w:pStyle w:val="Tabletext0"/>
              <w:rPr>
                <w:sz w:val="22"/>
              </w:rPr>
            </w:pPr>
            <w:r w:rsidRPr="00883399">
              <w:rPr>
                <w:sz w:val="22"/>
              </w:rPr>
              <w:t>7</w:t>
            </w:r>
          </w:p>
        </w:tc>
      </w:tr>
      <w:tr w:rsidR="00872C03" w:rsidRPr="00883399" w14:paraId="3DBC13FD" w14:textId="77777777" w:rsidTr="0031057E">
        <w:tc>
          <w:tcPr>
            <w:tcW w:w="709" w:type="dxa"/>
            <w:shd w:val="clear" w:color="auto" w:fill="auto"/>
          </w:tcPr>
          <w:p w14:paraId="14CD4D2E" w14:textId="77777777" w:rsidR="00872C03" w:rsidRPr="00883399" w:rsidRDefault="00872C03" w:rsidP="0031057E">
            <w:pPr>
              <w:pStyle w:val="Tabletext0"/>
              <w:rPr>
                <w:sz w:val="22"/>
              </w:rPr>
            </w:pPr>
            <w:r w:rsidRPr="00883399">
              <w:rPr>
                <w:sz w:val="22"/>
              </w:rPr>
              <w:t>4</w:t>
            </w:r>
          </w:p>
        </w:tc>
        <w:tc>
          <w:tcPr>
            <w:tcW w:w="5103" w:type="dxa"/>
            <w:shd w:val="clear" w:color="auto" w:fill="auto"/>
          </w:tcPr>
          <w:p w14:paraId="23169802" w14:textId="77777777" w:rsidR="00872C03" w:rsidRPr="00883399" w:rsidRDefault="00872C03" w:rsidP="0031057E">
            <w:pPr>
              <w:pStyle w:val="Tabletext0"/>
              <w:rPr>
                <w:sz w:val="22"/>
                <w:szCs w:val="22"/>
              </w:rPr>
            </w:pPr>
            <w:r w:rsidRPr="00883399">
              <w:rPr>
                <w:sz w:val="22"/>
              </w:rPr>
              <w:t>Coal briquettes</w:t>
            </w:r>
          </w:p>
        </w:tc>
        <w:tc>
          <w:tcPr>
            <w:tcW w:w="1268" w:type="dxa"/>
            <w:gridSpan w:val="2"/>
            <w:shd w:val="clear" w:color="auto" w:fill="auto"/>
          </w:tcPr>
          <w:p w14:paraId="34D24457" w14:textId="77777777" w:rsidR="00872C03" w:rsidRPr="00883399" w:rsidRDefault="00872C03" w:rsidP="0031057E">
            <w:pPr>
              <w:pStyle w:val="Tabletext0"/>
              <w:rPr>
                <w:sz w:val="22"/>
              </w:rPr>
            </w:pPr>
            <w:r w:rsidRPr="00883399">
              <w:rPr>
                <w:sz w:val="22"/>
              </w:rPr>
              <w:t>40</w:t>
            </w:r>
          </w:p>
        </w:tc>
        <w:tc>
          <w:tcPr>
            <w:tcW w:w="1284" w:type="dxa"/>
            <w:shd w:val="clear" w:color="auto" w:fill="auto"/>
          </w:tcPr>
          <w:p w14:paraId="01949F9E" w14:textId="77777777" w:rsidR="00872C03" w:rsidRPr="00883399" w:rsidRDefault="00872C03" w:rsidP="0031057E">
            <w:pPr>
              <w:pStyle w:val="Tabletext0"/>
              <w:rPr>
                <w:sz w:val="22"/>
              </w:rPr>
            </w:pPr>
            <w:r w:rsidRPr="00883399">
              <w:rPr>
                <w:sz w:val="22"/>
              </w:rPr>
              <w:t>11</w:t>
            </w:r>
          </w:p>
        </w:tc>
      </w:tr>
      <w:tr w:rsidR="00872C03" w:rsidRPr="00883399" w14:paraId="519B0605" w14:textId="77777777" w:rsidTr="0031057E">
        <w:tc>
          <w:tcPr>
            <w:tcW w:w="709" w:type="dxa"/>
            <w:shd w:val="clear" w:color="auto" w:fill="auto"/>
          </w:tcPr>
          <w:p w14:paraId="7357B576" w14:textId="77777777" w:rsidR="00872C03" w:rsidRPr="00883399" w:rsidRDefault="00872C03" w:rsidP="0031057E">
            <w:pPr>
              <w:pStyle w:val="Tabletext0"/>
              <w:rPr>
                <w:sz w:val="22"/>
              </w:rPr>
            </w:pPr>
            <w:r w:rsidRPr="00883399">
              <w:rPr>
                <w:sz w:val="22"/>
              </w:rPr>
              <w:t>5</w:t>
            </w:r>
          </w:p>
        </w:tc>
        <w:tc>
          <w:tcPr>
            <w:tcW w:w="5103" w:type="dxa"/>
            <w:shd w:val="clear" w:color="auto" w:fill="auto"/>
          </w:tcPr>
          <w:p w14:paraId="06D97265" w14:textId="77777777" w:rsidR="00872C03" w:rsidRPr="00883399" w:rsidRDefault="00872C03" w:rsidP="0031057E">
            <w:pPr>
              <w:pStyle w:val="Tabletext0"/>
              <w:rPr>
                <w:sz w:val="22"/>
                <w:szCs w:val="22"/>
              </w:rPr>
            </w:pPr>
            <w:r w:rsidRPr="00883399">
              <w:rPr>
                <w:sz w:val="22"/>
              </w:rPr>
              <w:t>Coal coke</w:t>
            </w:r>
          </w:p>
        </w:tc>
        <w:tc>
          <w:tcPr>
            <w:tcW w:w="1268" w:type="dxa"/>
            <w:gridSpan w:val="2"/>
            <w:shd w:val="clear" w:color="auto" w:fill="auto"/>
          </w:tcPr>
          <w:p w14:paraId="5F06505A" w14:textId="77777777" w:rsidR="00872C03" w:rsidRPr="00883399" w:rsidRDefault="00872C03" w:rsidP="0031057E">
            <w:pPr>
              <w:pStyle w:val="Tabletext0"/>
              <w:rPr>
                <w:sz w:val="22"/>
              </w:rPr>
            </w:pPr>
            <w:r w:rsidRPr="00883399">
              <w:rPr>
                <w:sz w:val="22"/>
              </w:rPr>
              <w:t>9</w:t>
            </w:r>
          </w:p>
        </w:tc>
        <w:tc>
          <w:tcPr>
            <w:tcW w:w="1284" w:type="dxa"/>
            <w:shd w:val="clear" w:color="auto" w:fill="auto"/>
          </w:tcPr>
          <w:p w14:paraId="1045675D" w14:textId="77777777" w:rsidR="00872C03" w:rsidRPr="00883399" w:rsidRDefault="00872C03" w:rsidP="0031057E">
            <w:pPr>
              <w:pStyle w:val="Tabletext0"/>
              <w:rPr>
                <w:sz w:val="22"/>
              </w:rPr>
            </w:pPr>
            <w:r w:rsidRPr="00883399">
              <w:rPr>
                <w:sz w:val="22"/>
              </w:rPr>
              <w:t>11</w:t>
            </w:r>
          </w:p>
        </w:tc>
      </w:tr>
      <w:tr w:rsidR="00872C03" w:rsidRPr="00883399" w14:paraId="61005D10" w14:textId="77777777" w:rsidTr="0031057E">
        <w:tc>
          <w:tcPr>
            <w:tcW w:w="709" w:type="dxa"/>
            <w:shd w:val="clear" w:color="auto" w:fill="auto"/>
          </w:tcPr>
          <w:p w14:paraId="4342C03D" w14:textId="77777777" w:rsidR="00872C03" w:rsidRPr="00883399" w:rsidRDefault="00872C03" w:rsidP="0031057E">
            <w:pPr>
              <w:pStyle w:val="Tabletext0"/>
              <w:rPr>
                <w:sz w:val="22"/>
              </w:rPr>
            </w:pPr>
            <w:r w:rsidRPr="00883399">
              <w:rPr>
                <w:sz w:val="22"/>
              </w:rPr>
              <w:t>6</w:t>
            </w:r>
          </w:p>
        </w:tc>
        <w:tc>
          <w:tcPr>
            <w:tcW w:w="5103" w:type="dxa"/>
            <w:shd w:val="clear" w:color="auto" w:fill="auto"/>
          </w:tcPr>
          <w:p w14:paraId="72D5B681" w14:textId="77777777" w:rsidR="00872C03" w:rsidRPr="00883399" w:rsidRDefault="00872C03" w:rsidP="0031057E">
            <w:pPr>
              <w:pStyle w:val="Tabletext0"/>
              <w:rPr>
                <w:sz w:val="22"/>
              </w:rPr>
            </w:pPr>
            <w:r w:rsidRPr="00883399">
              <w:rPr>
                <w:sz w:val="22"/>
              </w:rPr>
              <w:t>Coal tar</w:t>
            </w:r>
          </w:p>
        </w:tc>
        <w:tc>
          <w:tcPr>
            <w:tcW w:w="1268" w:type="dxa"/>
            <w:gridSpan w:val="2"/>
            <w:shd w:val="clear" w:color="auto" w:fill="auto"/>
          </w:tcPr>
          <w:p w14:paraId="0BC7649C" w14:textId="77777777" w:rsidR="00872C03" w:rsidRPr="00883399" w:rsidRDefault="00872C03" w:rsidP="0031057E">
            <w:pPr>
              <w:pStyle w:val="Tabletext0"/>
              <w:rPr>
                <w:sz w:val="22"/>
              </w:rPr>
            </w:pPr>
            <w:r w:rsidRPr="00883399">
              <w:rPr>
                <w:sz w:val="22"/>
              </w:rPr>
              <w:t>50</w:t>
            </w:r>
          </w:p>
        </w:tc>
        <w:tc>
          <w:tcPr>
            <w:tcW w:w="1284" w:type="dxa"/>
            <w:shd w:val="clear" w:color="auto" w:fill="auto"/>
          </w:tcPr>
          <w:p w14:paraId="7B6B5DF4" w14:textId="77777777" w:rsidR="00872C03" w:rsidRPr="00883399" w:rsidRDefault="00872C03" w:rsidP="0031057E">
            <w:pPr>
              <w:pStyle w:val="Tabletext0"/>
              <w:rPr>
                <w:sz w:val="22"/>
              </w:rPr>
            </w:pPr>
            <w:r w:rsidRPr="00883399">
              <w:rPr>
                <w:sz w:val="22"/>
              </w:rPr>
              <w:t>17</w:t>
            </w:r>
          </w:p>
        </w:tc>
      </w:tr>
      <w:tr w:rsidR="00872C03" w:rsidRPr="00883399" w14:paraId="0BE8ADB1" w14:textId="77777777" w:rsidTr="0031057E">
        <w:tc>
          <w:tcPr>
            <w:tcW w:w="709" w:type="dxa"/>
            <w:shd w:val="clear" w:color="auto" w:fill="auto"/>
          </w:tcPr>
          <w:p w14:paraId="65FF1FBA" w14:textId="77777777" w:rsidR="00872C03" w:rsidRPr="00883399" w:rsidRDefault="00872C03" w:rsidP="0031057E">
            <w:pPr>
              <w:pStyle w:val="Tabletext0"/>
              <w:rPr>
                <w:sz w:val="22"/>
              </w:rPr>
            </w:pPr>
            <w:r w:rsidRPr="00883399">
              <w:rPr>
                <w:sz w:val="22"/>
              </w:rPr>
              <w:t>7</w:t>
            </w:r>
          </w:p>
        </w:tc>
        <w:tc>
          <w:tcPr>
            <w:tcW w:w="5103" w:type="dxa"/>
            <w:shd w:val="clear" w:color="auto" w:fill="auto"/>
          </w:tcPr>
          <w:p w14:paraId="07711883" w14:textId="77777777" w:rsidR="00872C03" w:rsidRPr="00883399" w:rsidRDefault="00872C03" w:rsidP="0031057E">
            <w:pPr>
              <w:pStyle w:val="Tabletext0"/>
              <w:rPr>
                <w:sz w:val="22"/>
              </w:rPr>
            </w:pPr>
            <w:r w:rsidRPr="00883399">
              <w:rPr>
                <w:sz w:val="22"/>
              </w:rPr>
              <w:t>Solid fossil fuels other than those mentioned in items 1 to 5</w:t>
            </w:r>
          </w:p>
        </w:tc>
        <w:tc>
          <w:tcPr>
            <w:tcW w:w="1268" w:type="dxa"/>
            <w:gridSpan w:val="2"/>
            <w:shd w:val="clear" w:color="auto" w:fill="auto"/>
          </w:tcPr>
          <w:p w14:paraId="18C60952" w14:textId="77777777" w:rsidR="00872C03" w:rsidRPr="00883399" w:rsidRDefault="00872C03" w:rsidP="0031057E">
            <w:pPr>
              <w:pStyle w:val="Tabletext0"/>
              <w:rPr>
                <w:sz w:val="22"/>
              </w:rPr>
            </w:pPr>
            <w:r w:rsidRPr="00883399">
              <w:rPr>
                <w:sz w:val="22"/>
              </w:rPr>
              <w:t>50</w:t>
            </w:r>
          </w:p>
        </w:tc>
        <w:tc>
          <w:tcPr>
            <w:tcW w:w="1284" w:type="dxa"/>
            <w:shd w:val="clear" w:color="auto" w:fill="auto"/>
          </w:tcPr>
          <w:p w14:paraId="00605D51" w14:textId="77777777" w:rsidR="00872C03" w:rsidRPr="00883399" w:rsidRDefault="00872C03" w:rsidP="0031057E">
            <w:pPr>
              <w:pStyle w:val="Tabletext0"/>
              <w:rPr>
                <w:sz w:val="22"/>
              </w:rPr>
            </w:pPr>
            <w:r w:rsidRPr="00883399">
              <w:rPr>
                <w:sz w:val="22"/>
              </w:rPr>
              <w:t>15</w:t>
            </w:r>
          </w:p>
        </w:tc>
      </w:tr>
      <w:tr w:rsidR="00872C03" w:rsidRPr="00883399" w14:paraId="06666333" w14:textId="77777777" w:rsidTr="0031057E">
        <w:tc>
          <w:tcPr>
            <w:tcW w:w="709" w:type="dxa"/>
            <w:shd w:val="clear" w:color="auto" w:fill="auto"/>
          </w:tcPr>
          <w:p w14:paraId="785C1ACB" w14:textId="77777777" w:rsidR="00872C03" w:rsidRPr="00883399" w:rsidRDefault="00872C03" w:rsidP="0031057E">
            <w:pPr>
              <w:pStyle w:val="Tabletext0"/>
              <w:rPr>
                <w:sz w:val="22"/>
              </w:rPr>
            </w:pPr>
            <w:r w:rsidRPr="00883399">
              <w:rPr>
                <w:sz w:val="22"/>
              </w:rPr>
              <w:t>8</w:t>
            </w:r>
          </w:p>
        </w:tc>
        <w:tc>
          <w:tcPr>
            <w:tcW w:w="5103" w:type="dxa"/>
            <w:shd w:val="clear" w:color="auto" w:fill="auto"/>
          </w:tcPr>
          <w:p w14:paraId="007CCE82" w14:textId="77777777" w:rsidR="00872C03" w:rsidRPr="00883399" w:rsidRDefault="00872C03" w:rsidP="0031057E">
            <w:pPr>
              <w:pStyle w:val="Tabletext0"/>
              <w:rPr>
                <w:sz w:val="22"/>
              </w:rPr>
            </w:pPr>
            <w:r w:rsidRPr="00883399">
              <w:rPr>
                <w:sz w:val="22"/>
              </w:rPr>
              <w:t>Industrial materials and tyres that are derived from fossil fuels, if recycled and combusted to produce heat or electricity</w:t>
            </w:r>
          </w:p>
        </w:tc>
        <w:tc>
          <w:tcPr>
            <w:tcW w:w="1268" w:type="dxa"/>
            <w:gridSpan w:val="2"/>
            <w:shd w:val="clear" w:color="auto" w:fill="auto"/>
          </w:tcPr>
          <w:p w14:paraId="4F0B03A7" w14:textId="77777777" w:rsidR="00872C03" w:rsidRPr="00883399" w:rsidRDefault="00872C03" w:rsidP="0031057E">
            <w:pPr>
              <w:pStyle w:val="Tabletext0"/>
              <w:rPr>
                <w:sz w:val="22"/>
              </w:rPr>
            </w:pPr>
            <w:r w:rsidRPr="00883399">
              <w:rPr>
                <w:sz w:val="22"/>
              </w:rPr>
              <w:t>50</w:t>
            </w:r>
          </w:p>
        </w:tc>
        <w:tc>
          <w:tcPr>
            <w:tcW w:w="1284" w:type="dxa"/>
            <w:shd w:val="clear" w:color="auto" w:fill="auto"/>
          </w:tcPr>
          <w:p w14:paraId="749800DF" w14:textId="77777777" w:rsidR="00872C03" w:rsidRPr="00883399" w:rsidRDefault="00872C03" w:rsidP="0031057E">
            <w:pPr>
              <w:pStyle w:val="Tabletext0"/>
              <w:rPr>
                <w:sz w:val="22"/>
              </w:rPr>
            </w:pPr>
            <w:r w:rsidRPr="00883399">
              <w:rPr>
                <w:sz w:val="22"/>
              </w:rPr>
              <w:t>26</w:t>
            </w:r>
          </w:p>
        </w:tc>
      </w:tr>
      <w:tr w:rsidR="00872C03" w:rsidRPr="00883399" w14:paraId="149083CF" w14:textId="77777777" w:rsidTr="0031057E">
        <w:tc>
          <w:tcPr>
            <w:tcW w:w="709" w:type="dxa"/>
            <w:shd w:val="clear" w:color="auto" w:fill="auto"/>
          </w:tcPr>
          <w:p w14:paraId="20F85C7E" w14:textId="77777777" w:rsidR="00872C03" w:rsidRPr="00883399" w:rsidRDefault="00872C03" w:rsidP="0031057E">
            <w:pPr>
              <w:pStyle w:val="Tabletext0"/>
              <w:rPr>
                <w:sz w:val="22"/>
              </w:rPr>
            </w:pPr>
            <w:r w:rsidRPr="00883399">
              <w:rPr>
                <w:sz w:val="22"/>
              </w:rPr>
              <w:t>9</w:t>
            </w:r>
          </w:p>
        </w:tc>
        <w:tc>
          <w:tcPr>
            <w:tcW w:w="5103" w:type="dxa"/>
            <w:shd w:val="clear" w:color="auto" w:fill="auto"/>
          </w:tcPr>
          <w:p w14:paraId="730113C1" w14:textId="77777777" w:rsidR="00872C03" w:rsidRPr="00883399" w:rsidRDefault="00872C03" w:rsidP="0031057E">
            <w:pPr>
              <w:pStyle w:val="Tabletext0"/>
              <w:rPr>
                <w:sz w:val="22"/>
              </w:rPr>
            </w:pPr>
            <w:r w:rsidRPr="00883399">
              <w:rPr>
                <w:sz w:val="22"/>
              </w:rPr>
              <w:t>Non</w:t>
            </w:r>
            <w:r w:rsidRPr="00883399">
              <w:rPr>
                <w:sz w:val="22"/>
              </w:rPr>
              <w:noBreakHyphen/>
              <w:t>biomass municipal materials, if recycled and combusted to produce heat or electricity</w:t>
            </w:r>
          </w:p>
        </w:tc>
        <w:tc>
          <w:tcPr>
            <w:tcW w:w="1268" w:type="dxa"/>
            <w:gridSpan w:val="2"/>
            <w:shd w:val="clear" w:color="auto" w:fill="auto"/>
          </w:tcPr>
          <w:p w14:paraId="0B5FC5FB" w14:textId="77777777" w:rsidR="00872C03" w:rsidRPr="00883399" w:rsidRDefault="00872C03" w:rsidP="0031057E">
            <w:pPr>
              <w:pStyle w:val="Tabletext0"/>
              <w:rPr>
                <w:sz w:val="22"/>
              </w:rPr>
            </w:pPr>
            <w:r w:rsidRPr="00883399">
              <w:rPr>
                <w:sz w:val="22"/>
              </w:rPr>
              <w:t>50</w:t>
            </w:r>
          </w:p>
        </w:tc>
        <w:tc>
          <w:tcPr>
            <w:tcW w:w="1284" w:type="dxa"/>
            <w:shd w:val="clear" w:color="auto" w:fill="auto"/>
          </w:tcPr>
          <w:p w14:paraId="743AF331" w14:textId="77777777" w:rsidR="00872C03" w:rsidRPr="00883399" w:rsidRDefault="00872C03" w:rsidP="0031057E">
            <w:pPr>
              <w:pStyle w:val="Tabletext0"/>
              <w:rPr>
                <w:sz w:val="22"/>
              </w:rPr>
            </w:pPr>
            <w:r w:rsidRPr="00883399">
              <w:rPr>
                <w:sz w:val="22"/>
              </w:rPr>
              <w:t>26</w:t>
            </w:r>
          </w:p>
        </w:tc>
      </w:tr>
      <w:tr w:rsidR="00872C03" w:rsidRPr="00883399" w14:paraId="46B105E4" w14:textId="77777777" w:rsidTr="0031057E">
        <w:tc>
          <w:tcPr>
            <w:tcW w:w="709" w:type="dxa"/>
            <w:shd w:val="clear" w:color="auto" w:fill="auto"/>
          </w:tcPr>
          <w:p w14:paraId="071D49FC" w14:textId="77777777" w:rsidR="00872C03" w:rsidRPr="00883399" w:rsidRDefault="00872C03" w:rsidP="0031057E">
            <w:pPr>
              <w:pStyle w:val="Tabletext0"/>
              <w:rPr>
                <w:sz w:val="22"/>
              </w:rPr>
            </w:pPr>
            <w:r w:rsidRPr="00883399">
              <w:rPr>
                <w:sz w:val="22"/>
              </w:rPr>
              <w:t>10</w:t>
            </w:r>
          </w:p>
        </w:tc>
        <w:tc>
          <w:tcPr>
            <w:tcW w:w="5103" w:type="dxa"/>
            <w:shd w:val="clear" w:color="auto" w:fill="auto"/>
          </w:tcPr>
          <w:p w14:paraId="09ABFB5A" w14:textId="77777777" w:rsidR="00872C03" w:rsidRPr="00883399" w:rsidRDefault="00872C03" w:rsidP="0031057E">
            <w:pPr>
              <w:pStyle w:val="Tabletext0"/>
              <w:rPr>
                <w:sz w:val="22"/>
              </w:rPr>
            </w:pPr>
            <w:r w:rsidRPr="00883399">
              <w:rPr>
                <w:sz w:val="22"/>
              </w:rPr>
              <w:t>Dry wood</w:t>
            </w:r>
          </w:p>
        </w:tc>
        <w:tc>
          <w:tcPr>
            <w:tcW w:w="1268" w:type="dxa"/>
            <w:gridSpan w:val="2"/>
            <w:shd w:val="clear" w:color="auto" w:fill="auto"/>
          </w:tcPr>
          <w:p w14:paraId="25D66504" w14:textId="77777777" w:rsidR="00872C03" w:rsidRPr="00883399" w:rsidRDefault="00872C03" w:rsidP="0031057E">
            <w:pPr>
              <w:pStyle w:val="Tabletext0"/>
              <w:rPr>
                <w:sz w:val="22"/>
              </w:rPr>
            </w:pPr>
            <w:r w:rsidRPr="00883399">
              <w:rPr>
                <w:sz w:val="22"/>
              </w:rPr>
              <w:t>50</w:t>
            </w:r>
          </w:p>
        </w:tc>
        <w:tc>
          <w:tcPr>
            <w:tcW w:w="1284" w:type="dxa"/>
            <w:shd w:val="clear" w:color="auto" w:fill="auto"/>
          </w:tcPr>
          <w:p w14:paraId="2CEE2292" w14:textId="77777777" w:rsidR="00872C03" w:rsidRPr="00883399" w:rsidRDefault="00872C03" w:rsidP="0031057E">
            <w:pPr>
              <w:pStyle w:val="Tabletext0"/>
              <w:rPr>
                <w:sz w:val="22"/>
              </w:rPr>
            </w:pPr>
            <w:r w:rsidRPr="00883399">
              <w:rPr>
                <w:sz w:val="22"/>
              </w:rPr>
              <w:t>NA</w:t>
            </w:r>
          </w:p>
        </w:tc>
      </w:tr>
      <w:tr w:rsidR="00872C03" w:rsidRPr="00883399" w14:paraId="1CAB4005" w14:textId="77777777" w:rsidTr="0031057E">
        <w:tc>
          <w:tcPr>
            <w:tcW w:w="709" w:type="dxa"/>
            <w:shd w:val="clear" w:color="auto" w:fill="auto"/>
          </w:tcPr>
          <w:p w14:paraId="103BE747" w14:textId="77777777" w:rsidR="00872C03" w:rsidRPr="00883399" w:rsidRDefault="00872C03" w:rsidP="0031057E">
            <w:pPr>
              <w:pStyle w:val="Tabletext0"/>
              <w:rPr>
                <w:sz w:val="22"/>
              </w:rPr>
            </w:pPr>
            <w:r w:rsidRPr="00883399">
              <w:rPr>
                <w:sz w:val="22"/>
              </w:rPr>
              <w:t>11</w:t>
            </w:r>
          </w:p>
        </w:tc>
        <w:tc>
          <w:tcPr>
            <w:tcW w:w="5103" w:type="dxa"/>
            <w:shd w:val="clear" w:color="auto" w:fill="auto"/>
          </w:tcPr>
          <w:p w14:paraId="65245466" w14:textId="77777777" w:rsidR="00872C03" w:rsidRPr="00883399" w:rsidRDefault="00872C03" w:rsidP="0031057E">
            <w:pPr>
              <w:pStyle w:val="Tabletext0"/>
              <w:rPr>
                <w:sz w:val="22"/>
              </w:rPr>
            </w:pPr>
            <w:r w:rsidRPr="00883399">
              <w:rPr>
                <w:sz w:val="22"/>
              </w:rPr>
              <w:t>Green and air</w:t>
            </w:r>
            <w:r w:rsidRPr="00883399">
              <w:rPr>
                <w:sz w:val="22"/>
              </w:rPr>
              <w:noBreakHyphen/>
              <w:t>dried wood</w:t>
            </w:r>
          </w:p>
        </w:tc>
        <w:tc>
          <w:tcPr>
            <w:tcW w:w="1268" w:type="dxa"/>
            <w:gridSpan w:val="2"/>
            <w:shd w:val="clear" w:color="auto" w:fill="auto"/>
          </w:tcPr>
          <w:p w14:paraId="3DC6C371" w14:textId="77777777" w:rsidR="00872C03" w:rsidRPr="00883399" w:rsidRDefault="00872C03" w:rsidP="0031057E">
            <w:pPr>
              <w:pStyle w:val="Tabletext0"/>
              <w:rPr>
                <w:sz w:val="22"/>
              </w:rPr>
            </w:pPr>
            <w:r w:rsidRPr="00883399">
              <w:rPr>
                <w:sz w:val="22"/>
              </w:rPr>
              <w:t>50</w:t>
            </w:r>
          </w:p>
        </w:tc>
        <w:tc>
          <w:tcPr>
            <w:tcW w:w="1284" w:type="dxa"/>
            <w:shd w:val="clear" w:color="auto" w:fill="auto"/>
          </w:tcPr>
          <w:p w14:paraId="0D449F98" w14:textId="77777777" w:rsidR="00872C03" w:rsidRPr="00883399" w:rsidRDefault="00872C03" w:rsidP="0031057E">
            <w:pPr>
              <w:pStyle w:val="Tabletext0"/>
              <w:rPr>
                <w:sz w:val="22"/>
              </w:rPr>
            </w:pPr>
            <w:r w:rsidRPr="00883399">
              <w:rPr>
                <w:sz w:val="22"/>
              </w:rPr>
              <w:t>NA</w:t>
            </w:r>
          </w:p>
        </w:tc>
      </w:tr>
      <w:tr w:rsidR="00872C03" w:rsidRPr="00883399" w14:paraId="0E90E4E6" w14:textId="77777777" w:rsidTr="0031057E">
        <w:tc>
          <w:tcPr>
            <w:tcW w:w="709" w:type="dxa"/>
            <w:shd w:val="clear" w:color="auto" w:fill="auto"/>
          </w:tcPr>
          <w:p w14:paraId="70C3C353" w14:textId="77777777" w:rsidR="00872C03" w:rsidRPr="00883399" w:rsidRDefault="00872C03" w:rsidP="0031057E">
            <w:pPr>
              <w:pStyle w:val="Tabletext0"/>
              <w:rPr>
                <w:sz w:val="22"/>
              </w:rPr>
            </w:pPr>
            <w:r w:rsidRPr="00883399">
              <w:rPr>
                <w:sz w:val="22"/>
              </w:rPr>
              <w:t>12</w:t>
            </w:r>
          </w:p>
        </w:tc>
        <w:tc>
          <w:tcPr>
            <w:tcW w:w="5103" w:type="dxa"/>
            <w:shd w:val="clear" w:color="auto" w:fill="auto"/>
          </w:tcPr>
          <w:p w14:paraId="21293A3F" w14:textId="77777777" w:rsidR="00872C03" w:rsidRPr="00883399" w:rsidRDefault="00872C03" w:rsidP="0031057E">
            <w:pPr>
              <w:pStyle w:val="Tabletext0"/>
              <w:rPr>
                <w:sz w:val="22"/>
              </w:rPr>
            </w:pPr>
            <w:r w:rsidRPr="00883399">
              <w:rPr>
                <w:sz w:val="22"/>
              </w:rPr>
              <w:t>Sulphite lyes</w:t>
            </w:r>
          </w:p>
        </w:tc>
        <w:tc>
          <w:tcPr>
            <w:tcW w:w="1268" w:type="dxa"/>
            <w:gridSpan w:val="2"/>
            <w:shd w:val="clear" w:color="auto" w:fill="auto"/>
          </w:tcPr>
          <w:p w14:paraId="45AC365D" w14:textId="77777777" w:rsidR="00872C03" w:rsidRPr="00883399" w:rsidRDefault="00872C03" w:rsidP="0031057E">
            <w:pPr>
              <w:pStyle w:val="Tabletext0"/>
              <w:rPr>
                <w:sz w:val="22"/>
              </w:rPr>
            </w:pPr>
            <w:r w:rsidRPr="00883399">
              <w:rPr>
                <w:sz w:val="22"/>
              </w:rPr>
              <w:t>50</w:t>
            </w:r>
          </w:p>
        </w:tc>
        <w:tc>
          <w:tcPr>
            <w:tcW w:w="1284" w:type="dxa"/>
            <w:shd w:val="clear" w:color="auto" w:fill="auto"/>
          </w:tcPr>
          <w:p w14:paraId="7AAE5F74" w14:textId="77777777" w:rsidR="00872C03" w:rsidRPr="00883399" w:rsidRDefault="00872C03" w:rsidP="0031057E">
            <w:pPr>
              <w:pStyle w:val="Tabletext0"/>
              <w:rPr>
                <w:sz w:val="22"/>
              </w:rPr>
            </w:pPr>
            <w:r w:rsidRPr="00883399">
              <w:rPr>
                <w:sz w:val="22"/>
              </w:rPr>
              <w:t>NA</w:t>
            </w:r>
          </w:p>
        </w:tc>
      </w:tr>
      <w:tr w:rsidR="00872C03" w:rsidRPr="00883399" w14:paraId="4FFB0D46" w14:textId="77777777" w:rsidTr="0031057E">
        <w:tc>
          <w:tcPr>
            <w:tcW w:w="709" w:type="dxa"/>
            <w:shd w:val="clear" w:color="auto" w:fill="auto"/>
          </w:tcPr>
          <w:p w14:paraId="67A9F37D" w14:textId="77777777" w:rsidR="00872C03" w:rsidRPr="00883399" w:rsidRDefault="00872C03" w:rsidP="0031057E">
            <w:pPr>
              <w:pStyle w:val="Tabletext0"/>
              <w:rPr>
                <w:sz w:val="22"/>
              </w:rPr>
            </w:pPr>
            <w:r w:rsidRPr="00883399">
              <w:rPr>
                <w:sz w:val="22"/>
              </w:rPr>
              <w:t>13</w:t>
            </w:r>
          </w:p>
        </w:tc>
        <w:tc>
          <w:tcPr>
            <w:tcW w:w="5103" w:type="dxa"/>
            <w:shd w:val="clear" w:color="auto" w:fill="auto"/>
          </w:tcPr>
          <w:p w14:paraId="7DEEFB7E" w14:textId="77777777" w:rsidR="00872C03" w:rsidRPr="00883399" w:rsidRDefault="00872C03" w:rsidP="0031057E">
            <w:pPr>
              <w:pStyle w:val="Tabletext0"/>
              <w:rPr>
                <w:sz w:val="22"/>
              </w:rPr>
            </w:pPr>
            <w:r w:rsidRPr="00883399">
              <w:rPr>
                <w:sz w:val="22"/>
              </w:rPr>
              <w:t>Bagasse</w:t>
            </w:r>
          </w:p>
        </w:tc>
        <w:tc>
          <w:tcPr>
            <w:tcW w:w="1268" w:type="dxa"/>
            <w:gridSpan w:val="2"/>
            <w:shd w:val="clear" w:color="auto" w:fill="auto"/>
          </w:tcPr>
          <w:p w14:paraId="5432FEFE" w14:textId="77777777" w:rsidR="00872C03" w:rsidRPr="00883399" w:rsidRDefault="00872C03" w:rsidP="0031057E">
            <w:pPr>
              <w:pStyle w:val="Tabletext0"/>
              <w:rPr>
                <w:sz w:val="22"/>
              </w:rPr>
            </w:pPr>
            <w:r w:rsidRPr="00883399">
              <w:rPr>
                <w:sz w:val="22"/>
              </w:rPr>
              <w:t>50</w:t>
            </w:r>
          </w:p>
        </w:tc>
        <w:tc>
          <w:tcPr>
            <w:tcW w:w="1284" w:type="dxa"/>
            <w:shd w:val="clear" w:color="auto" w:fill="auto"/>
          </w:tcPr>
          <w:p w14:paraId="436D379B" w14:textId="77777777" w:rsidR="00872C03" w:rsidRPr="00883399" w:rsidRDefault="00872C03" w:rsidP="0031057E">
            <w:pPr>
              <w:pStyle w:val="Tabletext0"/>
              <w:rPr>
                <w:sz w:val="22"/>
              </w:rPr>
            </w:pPr>
            <w:r w:rsidRPr="00883399">
              <w:rPr>
                <w:sz w:val="22"/>
              </w:rPr>
              <w:t>NA</w:t>
            </w:r>
          </w:p>
        </w:tc>
      </w:tr>
      <w:tr w:rsidR="00872C03" w:rsidRPr="00883399" w14:paraId="27C05AAD" w14:textId="77777777" w:rsidTr="0031057E">
        <w:tc>
          <w:tcPr>
            <w:tcW w:w="709" w:type="dxa"/>
            <w:shd w:val="clear" w:color="auto" w:fill="auto"/>
          </w:tcPr>
          <w:p w14:paraId="6D3919B5" w14:textId="77777777" w:rsidR="00872C03" w:rsidRPr="00883399" w:rsidRDefault="00872C03" w:rsidP="0031057E">
            <w:pPr>
              <w:pStyle w:val="Tabletext0"/>
              <w:rPr>
                <w:sz w:val="22"/>
              </w:rPr>
            </w:pPr>
            <w:r w:rsidRPr="00883399">
              <w:rPr>
                <w:sz w:val="22"/>
              </w:rPr>
              <w:t>14</w:t>
            </w:r>
          </w:p>
        </w:tc>
        <w:tc>
          <w:tcPr>
            <w:tcW w:w="5103" w:type="dxa"/>
            <w:shd w:val="clear" w:color="auto" w:fill="auto"/>
          </w:tcPr>
          <w:p w14:paraId="429C2871" w14:textId="77777777" w:rsidR="00872C03" w:rsidRPr="00883399" w:rsidRDefault="00872C03" w:rsidP="0031057E">
            <w:pPr>
              <w:pStyle w:val="Tabletext0"/>
              <w:rPr>
                <w:sz w:val="22"/>
              </w:rPr>
            </w:pPr>
            <w:r w:rsidRPr="00883399">
              <w:rPr>
                <w:sz w:val="22"/>
              </w:rPr>
              <w:t>Biomass municipal and industrial materials, if recycled and combusted to produce heat or energy</w:t>
            </w:r>
          </w:p>
        </w:tc>
        <w:tc>
          <w:tcPr>
            <w:tcW w:w="1268" w:type="dxa"/>
            <w:gridSpan w:val="2"/>
            <w:shd w:val="clear" w:color="auto" w:fill="auto"/>
          </w:tcPr>
          <w:p w14:paraId="7BC86245" w14:textId="77777777" w:rsidR="00872C03" w:rsidRPr="00883399" w:rsidRDefault="00872C03" w:rsidP="0031057E">
            <w:pPr>
              <w:pStyle w:val="Tabletext0"/>
              <w:rPr>
                <w:sz w:val="22"/>
              </w:rPr>
            </w:pPr>
            <w:r w:rsidRPr="00883399">
              <w:rPr>
                <w:sz w:val="22"/>
              </w:rPr>
              <w:t>50</w:t>
            </w:r>
          </w:p>
        </w:tc>
        <w:tc>
          <w:tcPr>
            <w:tcW w:w="1284" w:type="dxa"/>
            <w:shd w:val="clear" w:color="auto" w:fill="auto"/>
          </w:tcPr>
          <w:p w14:paraId="516EEE7F" w14:textId="77777777" w:rsidR="00872C03" w:rsidRPr="00883399" w:rsidRDefault="00872C03" w:rsidP="0031057E">
            <w:pPr>
              <w:pStyle w:val="Tabletext0"/>
              <w:rPr>
                <w:sz w:val="22"/>
              </w:rPr>
            </w:pPr>
            <w:r w:rsidRPr="00883399">
              <w:rPr>
                <w:sz w:val="22"/>
              </w:rPr>
              <w:t>NA</w:t>
            </w:r>
          </w:p>
        </w:tc>
      </w:tr>
      <w:tr w:rsidR="00872C03" w:rsidRPr="00883399" w14:paraId="5F566815" w14:textId="77777777" w:rsidTr="0031057E">
        <w:tc>
          <w:tcPr>
            <w:tcW w:w="709" w:type="dxa"/>
            <w:shd w:val="clear" w:color="auto" w:fill="auto"/>
          </w:tcPr>
          <w:p w14:paraId="19635ED7" w14:textId="77777777" w:rsidR="00872C03" w:rsidRPr="00883399" w:rsidRDefault="00872C03" w:rsidP="0031057E">
            <w:pPr>
              <w:pStyle w:val="Tabletext0"/>
              <w:rPr>
                <w:sz w:val="22"/>
              </w:rPr>
            </w:pPr>
            <w:r w:rsidRPr="00883399">
              <w:rPr>
                <w:sz w:val="22"/>
              </w:rPr>
              <w:t>15</w:t>
            </w:r>
          </w:p>
        </w:tc>
        <w:tc>
          <w:tcPr>
            <w:tcW w:w="5103" w:type="dxa"/>
            <w:shd w:val="clear" w:color="auto" w:fill="auto"/>
          </w:tcPr>
          <w:p w14:paraId="143A163B" w14:textId="77777777" w:rsidR="00872C03" w:rsidRPr="00883399" w:rsidRDefault="00872C03" w:rsidP="0031057E">
            <w:pPr>
              <w:pStyle w:val="Tabletext0"/>
              <w:rPr>
                <w:sz w:val="22"/>
              </w:rPr>
            </w:pPr>
            <w:r w:rsidRPr="00883399">
              <w:rPr>
                <w:sz w:val="22"/>
              </w:rPr>
              <w:t>Charcoal</w:t>
            </w:r>
          </w:p>
        </w:tc>
        <w:tc>
          <w:tcPr>
            <w:tcW w:w="1268" w:type="dxa"/>
            <w:gridSpan w:val="2"/>
            <w:shd w:val="clear" w:color="auto" w:fill="auto"/>
          </w:tcPr>
          <w:p w14:paraId="13738AC9" w14:textId="77777777" w:rsidR="00872C03" w:rsidRPr="00883399" w:rsidRDefault="00872C03" w:rsidP="0031057E">
            <w:pPr>
              <w:pStyle w:val="Tabletext0"/>
              <w:rPr>
                <w:sz w:val="22"/>
              </w:rPr>
            </w:pPr>
            <w:r w:rsidRPr="00883399">
              <w:rPr>
                <w:sz w:val="22"/>
              </w:rPr>
              <w:t>50</w:t>
            </w:r>
          </w:p>
        </w:tc>
        <w:tc>
          <w:tcPr>
            <w:tcW w:w="1284" w:type="dxa"/>
            <w:shd w:val="clear" w:color="auto" w:fill="auto"/>
          </w:tcPr>
          <w:p w14:paraId="52A00115" w14:textId="77777777" w:rsidR="00872C03" w:rsidRPr="00883399" w:rsidRDefault="00872C03" w:rsidP="0031057E">
            <w:pPr>
              <w:pStyle w:val="Tabletext0"/>
              <w:rPr>
                <w:sz w:val="22"/>
              </w:rPr>
            </w:pPr>
            <w:r w:rsidRPr="00883399">
              <w:rPr>
                <w:sz w:val="22"/>
              </w:rPr>
              <w:t>NA</w:t>
            </w:r>
          </w:p>
        </w:tc>
      </w:tr>
      <w:tr w:rsidR="00872C03" w:rsidRPr="00883399" w14:paraId="33B23299" w14:textId="77777777" w:rsidTr="0031057E">
        <w:tc>
          <w:tcPr>
            <w:tcW w:w="709" w:type="dxa"/>
            <w:shd w:val="clear" w:color="auto" w:fill="auto"/>
          </w:tcPr>
          <w:p w14:paraId="10E3C539" w14:textId="77777777" w:rsidR="00872C03" w:rsidRPr="00883399" w:rsidRDefault="00872C03" w:rsidP="0031057E">
            <w:pPr>
              <w:pStyle w:val="Tabletext0"/>
              <w:rPr>
                <w:sz w:val="22"/>
              </w:rPr>
            </w:pPr>
            <w:r w:rsidRPr="00883399">
              <w:rPr>
                <w:sz w:val="22"/>
              </w:rPr>
              <w:t>16</w:t>
            </w:r>
          </w:p>
        </w:tc>
        <w:tc>
          <w:tcPr>
            <w:tcW w:w="5103" w:type="dxa"/>
            <w:shd w:val="clear" w:color="auto" w:fill="auto"/>
          </w:tcPr>
          <w:p w14:paraId="0D11DC26" w14:textId="77777777" w:rsidR="00872C03" w:rsidRPr="00883399" w:rsidRDefault="00872C03" w:rsidP="0031057E">
            <w:pPr>
              <w:pStyle w:val="Tabletext0"/>
              <w:rPr>
                <w:sz w:val="22"/>
              </w:rPr>
            </w:pPr>
            <w:r w:rsidRPr="00883399">
              <w:rPr>
                <w:sz w:val="22"/>
              </w:rPr>
              <w:t>Primary solid biomass fuels other than those mentioned in items 10 to 15</w:t>
            </w:r>
          </w:p>
        </w:tc>
        <w:tc>
          <w:tcPr>
            <w:tcW w:w="1268" w:type="dxa"/>
            <w:gridSpan w:val="2"/>
            <w:shd w:val="clear" w:color="auto" w:fill="auto"/>
          </w:tcPr>
          <w:p w14:paraId="01375960" w14:textId="77777777" w:rsidR="00872C03" w:rsidRPr="00883399" w:rsidRDefault="00872C03" w:rsidP="0031057E">
            <w:pPr>
              <w:pStyle w:val="Tabletext0"/>
              <w:rPr>
                <w:sz w:val="22"/>
              </w:rPr>
            </w:pPr>
            <w:r w:rsidRPr="00883399">
              <w:rPr>
                <w:sz w:val="22"/>
              </w:rPr>
              <w:t>50</w:t>
            </w:r>
          </w:p>
        </w:tc>
        <w:tc>
          <w:tcPr>
            <w:tcW w:w="1284" w:type="dxa"/>
            <w:shd w:val="clear" w:color="auto" w:fill="auto"/>
          </w:tcPr>
          <w:p w14:paraId="436C7ADC" w14:textId="77777777" w:rsidR="00872C03" w:rsidRPr="00883399" w:rsidRDefault="00872C03" w:rsidP="0031057E">
            <w:pPr>
              <w:pStyle w:val="Tabletext0"/>
              <w:rPr>
                <w:sz w:val="22"/>
              </w:rPr>
            </w:pPr>
            <w:r w:rsidRPr="00883399">
              <w:rPr>
                <w:sz w:val="22"/>
              </w:rPr>
              <w:t>NA</w:t>
            </w:r>
          </w:p>
        </w:tc>
      </w:tr>
      <w:tr w:rsidR="00872C03" w:rsidRPr="00883399" w14:paraId="524CBB76" w14:textId="77777777" w:rsidTr="0031057E">
        <w:tc>
          <w:tcPr>
            <w:tcW w:w="709" w:type="dxa"/>
            <w:shd w:val="clear" w:color="auto" w:fill="auto"/>
          </w:tcPr>
          <w:p w14:paraId="564BF35E" w14:textId="77777777" w:rsidR="00872C03" w:rsidRPr="00883399" w:rsidRDefault="00872C03" w:rsidP="0031057E">
            <w:pPr>
              <w:pStyle w:val="Tabletext0"/>
              <w:rPr>
                <w:sz w:val="22"/>
              </w:rPr>
            </w:pPr>
            <w:r w:rsidRPr="00883399">
              <w:rPr>
                <w:sz w:val="22"/>
              </w:rPr>
              <w:t>17</w:t>
            </w:r>
          </w:p>
        </w:tc>
        <w:tc>
          <w:tcPr>
            <w:tcW w:w="5103" w:type="dxa"/>
            <w:shd w:val="clear" w:color="auto" w:fill="auto"/>
          </w:tcPr>
          <w:p w14:paraId="3AC44A8B" w14:textId="77777777" w:rsidR="00872C03" w:rsidRPr="00883399" w:rsidRDefault="00872C03" w:rsidP="0031057E">
            <w:pPr>
              <w:pStyle w:val="Tabletext0"/>
              <w:rPr>
                <w:sz w:val="22"/>
              </w:rPr>
            </w:pPr>
            <w:r w:rsidRPr="00883399">
              <w:rPr>
                <w:sz w:val="22"/>
              </w:rPr>
              <w:t>Natural gas if distributed in a pipeline</w:t>
            </w:r>
          </w:p>
        </w:tc>
        <w:tc>
          <w:tcPr>
            <w:tcW w:w="1268" w:type="dxa"/>
            <w:gridSpan w:val="2"/>
            <w:shd w:val="clear" w:color="auto" w:fill="auto"/>
          </w:tcPr>
          <w:p w14:paraId="176C97D5" w14:textId="77777777" w:rsidR="00872C03" w:rsidRPr="00883399" w:rsidRDefault="00872C03" w:rsidP="0031057E">
            <w:pPr>
              <w:pStyle w:val="Tabletext0"/>
              <w:rPr>
                <w:sz w:val="22"/>
              </w:rPr>
            </w:pPr>
            <w:r w:rsidRPr="00883399">
              <w:rPr>
                <w:sz w:val="22"/>
              </w:rPr>
              <w:t>4</w:t>
            </w:r>
          </w:p>
        </w:tc>
        <w:tc>
          <w:tcPr>
            <w:tcW w:w="1284" w:type="dxa"/>
            <w:shd w:val="clear" w:color="auto" w:fill="auto"/>
          </w:tcPr>
          <w:p w14:paraId="3C0977FB" w14:textId="77777777" w:rsidR="00872C03" w:rsidRPr="00883399" w:rsidRDefault="00872C03" w:rsidP="0031057E">
            <w:pPr>
              <w:pStyle w:val="Tabletext0"/>
              <w:rPr>
                <w:sz w:val="22"/>
              </w:rPr>
            </w:pPr>
            <w:r w:rsidRPr="00883399">
              <w:rPr>
                <w:sz w:val="22"/>
              </w:rPr>
              <w:t>4</w:t>
            </w:r>
          </w:p>
        </w:tc>
      </w:tr>
      <w:tr w:rsidR="00872C03" w:rsidRPr="00883399" w14:paraId="09821AD9" w14:textId="77777777" w:rsidTr="0031057E">
        <w:tc>
          <w:tcPr>
            <w:tcW w:w="709" w:type="dxa"/>
            <w:shd w:val="clear" w:color="auto" w:fill="auto"/>
          </w:tcPr>
          <w:p w14:paraId="64C0918E" w14:textId="77777777" w:rsidR="00872C03" w:rsidRPr="00883399" w:rsidRDefault="00872C03" w:rsidP="0031057E">
            <w:pPr>
              <w:pStyle w:val="Tabletext0"/>
              <w:rPr>
                <w:sz w:val="22"/>
              </w:rPr>
            </w:pPr>
            <w:r w:rsidRPr="00883399">
              <w:rPr>
                <w:sz w:val="22"/>
              </w:rPr>
              <w:t>18</w:t>
            </w:r>
          </w:p>
        </w:tc>
        <w:tc>
          <w:tcPr>
            <w:tcW w:w="5103" w:type="dxa"/>
            <w:shd w:val="clear" w:color="auto" w:fill="auto"/>
          </w:tcPr>
          <w:p w14:paraId="4A9CDFCF" w14:textId="77777777" w:rsidR="00872C03" w:rsidRPr="00883399" w:rsidRDefault="00872C03" w:rsidP="0031057E">
            <w:pPr>
              <w:pStyle w:val="Tabletext0"/>
              <w:rPr>
                <w:sz w:val="22"/>
              </w:rPr>
            </w:pPr>
            <w:r w:rsidRPr="00883399">
              <w:rPr>
                <w:sz w:val="22"/>
              </w:rPr>
              <w:t>Coal seam methane that is captured for combustion</w:t>
            </w:r>
          </w:p>
        </w:tc>
        <w:tc>
          <w:tcPr>
            <w:tcW w:w="1268" w:type="dxa"/>
            <w:gridSpan w:val="2"/>
            <w:shd w:val="clear" w:color="auto" w:fill="auto"/>
          </w:tcPr>
          <w:p w14:paraId="7F42DF43" w14:textId="77777777" w:rsidR="00872C03" w:rsidRPr="00883399" w:rsidRDefault="00872C03" w:rsidP="0031057E">
            <w:pPr>
              <w:pStyle w:val="Tabletext0"/>
              <w:rPr>
                <w:sz w:val="22"/>
              </w:rPr>
            </w:pPr>
            <w:r w:rsidRPr="00883399">
              <w:rPr>
                <w:sz w:val="22"/>
              </w:rPr>
              <w:t>4</w:t>
            </w:r>
          </w:p>
        </w:tc>
        <w:tc>
          <w:tcPr>
            <w:tcW w:w="1284" w:type="dxa"/>
            <w:shd w:val="clear" w:color="auto" w:fill="auto"/>
          </w:tcPr>
          <w:p w14:paraId="437C1017" w14:textId="77777777" w:rsidR="00872C03" w:rsidRPr="00883399" w:rsidRDefault="00872C03" w:rsidP="0031057E">
            <w:pPr>
              <w:pStyle w:val="Tabletext0"/>
              <w:rPr>
                <w:sz w:val="22"/>
              </w:rPr>
            </w:pPr>
            <w:r w:rsidRPr="00883399">
              <w:rPr>
                <w:sz w:val="22"/>
              </w:rPr>
              <w:t>4</w:t>
            </w:r>
          </w:p>
        </w:tc>
      </w:tr>
      <w:tr w:rsidR="00872C03" w:rsidRPr="00883399" w14:paraId="7C5012F9" w14:textId="77777777" w:rsidTr="0031057E">
        <w:tc>
          <w:tcPr>
            <w:tcW w:w="709" w:type="dxa"/>
            <w:shd w:val="clear" w:color="auto" w:fill="auto"/>
          </w:tcPr>
          <w:p w14:paraId="5F4CBE2A" w14:textId="77777777" w:rsidR="00872C03" w:rsidRPr="00883399" w:rsidRDefault="00872C03" w:rsidP="0031057E">
            <w:pPr>
              <w:pStyle w:val="Tabletext0"/>
              <w:rPr>
                <w:sz w:val="22"/>
              </w:rPr>
            </w:pPr>
            <w:r w:rsidRPr="00883399">
              <w:rPr>
                <w:sz w:val="22"/>
              </w:rPr>
              <w:t>19</w:t>
            </w:r>
          </w:p>
        </w:tc>
        <w:tc>
          <w:tcPr>
            <w:tcW w:w="5103" w:type="dxa"/>
            <w:shd w:val="clear" w:color="auto" w:fill="auto"/>
          </w:tcPr>
          <w:p w14:paraId="1E28281A" w14:textId="77777777" w:rsidR="00872C03" w:rsidRPr="00883399" w:rsidRDefault="00872C03" w:rsidP="0031057E">
            <w:pPr>
              <w:pStyle w:val="Tabletext0"/>
              <w:rPr>
                <w:sz w:val="22"/>
              </w:rPr>
            </w:pPr>
            <w:r w:rsidRPr="00883399">
              <w:rPr>
                <w:sz w:val="22"/>
              </w:rPr>
              <w:t>Coal mine waste gas that is captured for combustion</w:t>
            </w:r>
          </w:p>
        </w:tc>
        <w:tc>
          <w:tcPr>
            <w:tcW w:w="1268" w:type="dxa"/>
            <w:gridSpan w:val="2"/>
            <w:shd w:val="clear" w:color="auto" w:fill="auto"/>
          </w:tcPr>
          <w:p w14:paraId="059734EE" w14:textId="77777777" w:rsidR="00872C03" w:rsidRPr="00883399" w:rsidRDefault="00872C03" w:rsidP="0031057E">
            <w:pPr>
              <w:pStyle w:val="Tabletext0"/>
              <w:rPr>
                <w:sz w:val="22"/>
              </w:rPr>
            </w:pPr>
            <w:r w:rsidRPr="00883399">
              <w:rPr>
                <w:sz w:val="22"/>
              </w:rPr>
              <w:t>4</w:t>
            </w:r>
          </w:p>
        </w:tc>
        <w:tc>
          <w:tcPr>
            <w:tcW w:w="1284" w:type="dxa"/>
            <w:shd w:val="clear" w:color="auto" w:fill="auto"/>
          </w:tcPr>
          <w:p w14:paraId="14D64CE1" w14:textId="77777777" w:rsidR="00872C03" w:rsidRPr="00883399" w:rsidRDefault="00872C03" w:rsidP="0031057E">
            <w:pPr>
              <w:pStyle w:val="Tabletext0"/>
              <w:rPr>
                <w:sz w:val="22"/>
              </w:rPr>
            </w:pPr>
            <w:r w:rsidRPr="00883399">
              <w:rPr>
                <w:sz w:val="22"/>
              </w:rPr>
              <w:t>4</w:t>
            </w:r>
          </w:p>
        </w:tc>
      </w:tr>
      <w:tr w:rsidR="00872C03" w:rsidRPr="00883399" w14:paraId="01245F71" w14:textId="77777777" w:rsidTr="0031057E">
        <w:tc>
          <w:tcPr>
            <w:tcW w:w="709" w:type="dxa"/>
            <w:shd w:val="clear" w:color="auto" w:fill="auto"/>
          </w:tcPr>
          <w:p w14:paraId="26F4E65A" w14:textId="77777777" w:rsidR="00872C03" w:rsidRPr="00883399" w:rsidRDefault="00872C03" w:rsidP="0031057E">
            <w:pPr>
              <w:pStyle w:val="Tabletext0"/>
              <w:rPr>
                <w:sz w:val="22"/>
              </w:rPr>
            </w:pPr>
            <w:r w:rsidRPr="00883399">
              <w:rPr>
                <w:sz w:val="22"/>
              </w:rPr>
              <w:t>20</w:t>
            </w:r>
          </w:p>
        </w:tc>
        <w:tc>
          <w:tcPr>
            <w:tcW w:w="5103" w:type="dxa"/>
            <w:shd w:val="clear" w:color="auto" w:fill="auto"/>
          </w:tcPr>
          <w:p w14:paraId="1C35C2F8" w14:textId="77777777" w:rsidR="00872C03" w:rsidRPr="00883399" w:rsidRDefault="00872C03" w:rsidP="0031057E">
            <w:pPr>
              <w:pStyle w:val="Tabletext0"/>
              <w:rPr>
                <w:sz w:val="22"/>
              </w:rPr>
            </w:pPr>
            <w:r w:rsidRPr="00883399">
              <w:rPr>
                <w:sz w:val="22"/>
              </w:rPr>
              <w:t>Compressed natural gas that has reverted to standard conditions</w:t>
            </w:r>
          </w:p>
        </w:tc>
        <w:tc>
          <w:tcPr>
            <w:tcW w:w="1268" w:type="dxa"/>
            <w:gridSpan w:val="2"/>
            <w:shd w:val="clear" w:color="auto" w:fill="auto"/>
          </w:tcPr>
          <w:p w14:paraId="55856761" w14:textId="77777777" w:rsidR="00872C03" w:rsidRPr="00883399" w:rsidRDefault="00872C03" w:rsidP="0031057E">
            <w:pPr>
              <w:pStyle w:val="Tabletext0"/>
              <w:rPr>
                <w:sz w:val="22"/>
              </w:rPr>
            </w:pPr>
            <w:r w:rsidRPr="00883399">
              <w:rPr>
                <w:sz w:val="22"/>
              </w:rPr>
              <w:t>4</w:t>
            </w:r>
          </w:p>
        </w:tc>
        <w:tc>
          <w:tcPr>
            <w:tcW w:w="1284" w:type="dxa"/>
            <w:shd w:val="clear" w:color="auto" w:fill="auto"/>
          </w:tcPr>
          <w:p w14:paraId="79DBD26C" w14:textId="77777777" w:rsidR="00872C03" w:rsidRPr="00883399" w:rsidRDefault="00872C03" w:rsidP="0031057E">
            <w:pPr>
              <w:pStyle w:val="Tabletext0"/>
              <w:rPr>
                <w:sz w:val="22"/>
              </w:rPr>
            </w:pPr>
            <w:r w:rsidRPr="00883399">
              <w:rPr>
                <w:sz w:val="22"/>
              </w:rPr>
              <w:t>4</w:t>
            </w:r>
          </w:p>
        </w:tc>
      </w:tr>
      <w:tr w:rsidR="00872C03" w:rsidRPr="00883399" w14:paraId="63308430" w14:textId="77777777" w:rsidTr="0031057E">
        <w:tc>
          <w:tcPr>
            <w:tcW w:w="709" w:type="dxa"/>
            <w:shd w:val="clear" w:color="auto" w:fill="auto"/>
          </w:tcPr>
          <w:p w14:paraId="6B6E1C3C" w14:textId="77777777" w:rsidR="00872C03" w:rsidRPr="00883399" w:rsidRDefault="00872C03" w:rsidP="0031057E">
            <w:pPr>
              <w:pStyle w:val="Tabletext0"/>
              <w:rPr>
                <w:sz w:val="22"/>
              </w:rPr>
            </w:pPr>
            <w:r w:rsidRPr="00883399">
              <w:rPr>
                <w:sz w:val="22"/>
              </w:rPr>
              <w:t>21</w:t>
            </w:r>
          </w:p>
        </w:tc>
        <w:tc>
          <w:tcPr>
            <w:tcW w:w="5103" w:type="dxa"/>
            <w:shd w:val="clear" w:color="auto" w:fill="auto"/>
          </w:tcPr>
          <w:p w14:paraId="7A3E0DC0" w14:textId="77777777" w:rsidR="00872C03" w:rsidRPr="00883399" w:rsidRDefault="00872C03" w:rsidP="0031057E">
            <w:pPr>
              <w:pStyle w:val="Tabletext0"/>
              <w:rPr>
                <w:sz w:val="22"/>
              </w:rPr>
            </w:pPr>
            <w:r w:rsidRPr="00883399">
              <w:rPr>
                <w:sz w:val="22"/>
              </w:rPr>
              <w:t>Unprocessed natural gas</w:t>
            </w:r>
          </w:p>
        </w:tc>
        <w:tc>
          <w:tcPr>
            <w:tcW w:w="1268" w:type="dxa"/>
            <w:gridSpan w:val="2"/>
            <w:shd w:val="clear" w:color="auto" w:fill="auto"/>
          </w:tcPr>
          <w:p w14:paraId="39A26FF8" w14:textId="77777777" w:rsidR="00872C03" w:rsidRPr="00883399" w:rsidRDefault="00872C03" w:rsidP="0031057E">
            <w:pPr>
              <w:pStyle w:val="Tabletext0"/>
              <w:rPr>
                <w:sz w:val="22"/>
              </w:rPr>
            </w:pPr>
            <w:r w:rsidRPr="00883399">
              <w:rPr>
                <w:sz w:val="22"/>
              </w:rPr>
              <w:t>4</w:t>
            </w:r>
          </w:p>
        </w:tc>
        <w:tc>
          <w:tcPr>
            <w:tcW w:w="1284" w:type="dxa"/>
            <w:shd w:val="clear" w:color="auto" w:fill="auto"/>
          </w:tcPr>
          <w:p w14:paraId="27AE4241" w14:textId="77777777" w:rsidR="00872C03" w:rsidRPr="00883399" w:rsidRDefault="00872C03" w:rsidP="0031057E">
            <w:pPr>
              <w:pStyle w:val="Tabletext0"/>
              <w:rPr>
                <w:sz w:val="22"/>
              </w:rPr>
            </w:pPr>
            <w:r w:rsidRPr="00883399">
              <w:rPr>
                <w:sz w:val="22"/>
              </w:rPr>
              <w:t>4</w:t>
            </w:r>
          </w:p>
        </w:tc>
      </w:tr>
      <w:tr w:rsidR="00872C03" w:rsidRPr="00883399" w14:paraId="1E478AF5" w14:textId="77777777" w:rsidTr="0031057E">
        <w:tc>
          <w:tcPr>
            <w:tcW w:w="709" w:type="dxa"/>
            <w:shd w:val="clear" w:color="auto" w:fill="auto"/>
          </w:tcPr>
          <w:p w14:paraId="574C17B4" w14:textId="77777777" w:rsidR="00872C03" w:rsidRPr="00883399" w:rsidRDefault="00872C03" w:rsidP="0031057E">
            <w:pPr>
              <w:pStyle w:val="Tabletext0"/>
              <w:rPr>
                <w:sz w:val="22"/>
              </w:rPr>
            </w:pPr>
            <w:r w:rsidRPr="00883399">
              <w:rPr>
                <w:sz w:val="22"/>
              </w:rPr>
              <w:t>22</w:t>
            </w:r>
          </w:p>
        </w:tc>
        <w:tc>
          <w:tcPr>
            <w:tcW w:w="5103" w:type="dxa"/>
            <w:shd w:val="clear" w:color="auto" w:fill="auto"/>
          </w:tcPr>
          <w:p w14:paraId="1D362E4F" w14:textId="77777777" w:rsidR="00872C03" w:rsidRPr="00883399" w:rsidRDefault="00872C03" w:rsidP="0031057E">
            <w:pPr>
              <w:pStyle w:val="Tabletext0"/>
              <w:rPr>
                <w:sz w:val="22"/>
              </w:rPr>
            </w:pPr>
            <w:r w:rsidRPr="00883399">
              <w:rPr>
                <w:sz w:val="22"/>
              </w:rPr>
              <w:t>Ethane</w:t>
            </w:r>
          </w:p>
        </w:tc>
        <w:tc>
          <w:tcPr>
            <w:tcW w:w="1268" w:type="dxa"/>
            <w:gridSpan w:val="2"/>
            <w:shd w:val="clear" w:color="auto" w:fill="auto"/>
          </w:tcPr>
          <w:p w14:paraId="429B3EFA" w14:textId="77777777" w:rsidR="00872C03" w:rsidRPr="00883399" w:rsidRDefault="00872C03" w:rsidP="0031057E">
            <w:pPr>
              <w:pStyle w:val="Tabletext0"/>
              <w:rPr>
                <w:sz w:val="22"/>
              </w:rPr>
            </w:pPr>
            <w:r w:rsidRPr="00883399">
              <w:rPr>
                <w:sz w:val="22"/>
              </w:rPr>
              <w:t>4</w:t>
            </w:r>
          </w:p>
        </w:tc>
        <w:tc>
          <w:tcPr>
            <w:tcW w:w="1284" w:type="dxa"/>
            <w:shd w:val="clear" w:color="auto" w:fill="auto"/>
          </w:tcPr>
          <w:p w14:paraId="58CBD216" w14:textId="77777777" w:rsidR="00872C03" w:rsidRPr="00883399" w:rsidRDefault="00872C03" w:rsidP="0031057E">
            <w:pPr>
              <w:pStyle w:val="Tabletext0"/>
              <w:rPr>
                <w:sz w:val="22"/>
              </w:rPr>
            </w:pPr>
            <w:r w:rsidRPr="00883399">
              <w:rPr>
                <w:sz w:val="22"/>
              </w:rPr>
              <w:t>10</w:t>
            </w:r>
          </w:p>
        </w:tc>
      </w:tr>
      <w:tr w:rsidR="00872C03" w:rsidRPr="00883399" w14:paraId="53FF8554" w14:textId="77777777" w:rsidTr="0031057E">
        <w:tc>
          <w:tcPr>
            <w:tcW w:w="709" w:type="dxa"/>
            <w:shd w:val="clear" w:color="auto" w:fill="auto"/>
          </w:tcPr>
          <w:p w14:paraId="39AAA13C" w14:textId="77777777" w:rsidR="00872C03" w:rsidRPr="00883399" w:rsidRDefault="00872C03" w:rsidP="0031057E">
            <w:pPr>
              <w:pStyle w:val="Tabletext0"/>
              <w:rPr>
                <w:sz w:val="22"/>
              </w:rPr>
            </w:pPr>
            <w:r w:rsidRPr="00883399">
              <w:rPr>
                <w:sz w:val="22"/>
              </w:rPr>
              <w:t>23</w:t>
            </w:r>
          </w:p>
        </w:tc>
        <w:tc>
          <w:tcPr>
            <w:tcW w:w="5103" w:type="dxa"/>
            <w:shd w:val="clear" w:color="auto" w:fill="auto"/>
          </w:tcPr>
          <w:p w14:paraId="61F85888" w14:textId="77777777" w:rsidR="00872C03" w:rsidRPr="00883399" w:rsidRDefault="00872C03" w:rsidP="0031057E">
            <w:pPr>
              <w:pStyle w:val="Tabletext0"/>
              <w:rPr>
                <w:sz w:val="22"/>
              </w:rPr>
            </w:pPr>
            <w:r w:rsidRPr="00883399">
              <w:rPr>
                <w:sz w:val="22"/>
              </w:rPr>
              <w:t>Coke oven gas</w:t>
            </w:r>
          </w:p>
        </w:tc>
        <w:tc>
          <w:tcPr>
            <w:tcW w:w="1268" w:type="dxa"/>
            <w:gridSpan w:val="2"/>
            <w:shd w:val="clear" w:color="auto" w:fill="auto"/>
          </w:tcPr>
          <w:p w14:paraId="0F693C2A" w14:textId="77777777" w:rsidR="00872C03" w:rsidRPr="00883399" w:rsidRDefault="00872C03" w:rsidP="0031057E">
            <w:pPr>
              <w:pStyle w:val="Tabletext0"/>
              <w:rPr>
                <w:sz w:val="22"/>
              </w:rPr>
            </w:pPr>
            <w:r w:rsidRPr="00883399">
              <w:rPr>
                <w:sz w:val="22"/>
              </w:rPr>
              <w:t>50</w:t>
            </w:r>
          </w:p>
        </w:tc>
        <w:tc>
          <w:tcPr>
            <w:tcW w:w="1284" w:type="dxa"/>
            <w:shd w:val="clear" w:color="auto" w:fill="auto"/>
          </w:tcPr>
          <w:p w14:paraId="5335DA2B" w14:textId="77777777" w:rsidR="00872C03" w:rsidRPr="00883399" w:rsidRDefault="00872C03" w:rsidP="0031057E">
            <w:pPr>
              <w:pStyle w:val="Tabletext0"/>
              <w:rPr>
                <w:sz w:val="22"/>
              </w:rPr>
            </w:pPr>
            <w:r w:rsidRPr="00883399">
              <w:rPr>
                <w:sz w:val="22"/>
              </w:rPr>
              <w:t>19</w:t>
            </w:r>
          </w:p>
        </w:tc>
      </w:tr>
      <w:tr w:rsidR="00872C03" w:rsidRPr="00883399" w14:paraId="2F2B346D" w14:textId="77777777" w:rsidTr="0031057E">
        <w:tc>
          <w:tcPr>
            <w:tcW w:w="709" w:type="dxa"/>
            <w:shd w:val="clear" w:color="auto" w:fill="auto"/>
          </w:tcPr>
          <w:p w14:paraId="0CAABBF7" w14:textId="77777777" w:rsidR="00872C03" w:rsidRPr="00883399" w:rsidRDefault="00872C03" w:rsidP="0031057E">
            <w:pPr>
              <w:pStyle w:val="Tabletext0"/>
              <w:rPr>
                <w:sz w:val="22"/>
              </w:rPr>
            </w:pPr>
            <w:r w:rsidRPr="00883399">
              <w:rPr>
                <w:sz w:val="22"/>
              </w:rPr>
              <w:t>24</w:t>
            </w:r>
          </w:p>
        </w:tc>
        <w:tc>
          <w:tcPr>
            <w:tcW w:w="5103" w:type="dxa"/>
            <w:shd w:val="clear" w:color="auto" w:fill="auto"/>
          </w:tcPr>
          <w:p w14:paraId="0CF99B0C" w14:textId="77777777" w:rsidR="00872C03" w:rsidRPr="00883399" w:rsidRDefault="00872C03" w:rsidP="0031057E">
            <w:pPr>
              <w:pStyle w:val="Tabletext0"/>
              <w:rPr>
                <w:sz w:val="22"/>
              </w:rPr>
            </w:pPr>
            <w:r w:rsidRPr="00883399">
              <w:rPr>
                <w:sz w:val="22"/>
              </w:rPr>
              <w:t>Blast furnace gas</w:t>
            </w:r>
          </w:p>
        </w:tc>
        <w:tc>
          <w:tcPr>
            <w:tcW w:w="1268" w:type="dxa"/>
            <w:gridSpan w:val="2"/>
            <w:shd w:val="clear" w:color="auto" w:fill="auto"/>
          </w:tcPr>
          <w:p w14:paraId="5EBDC432" w14:textId="77777777" w:rsidR="00872C03" w:rsidRPr="00883399" w:rsidRDefault="00872C03" w:rsidP="0031057E">
            <w:pPr>
              <w:pStyle w:val="Tabletext0"/>
              <w:rPr>
                <w:sz w:val="22"/>
              </w:rPr>
            </w:pPr>
            <w:r w:rsidRPr="00883399">
              <w:rPr>
                <w:sz w:val="22"/>
              </w:rPr>
              <w:t>50</w:t>
            </w:r>
          </w:p>
        </w:tc>
        <w:tc>
          <w:tcPr>
            <w:tcW w:w="1284" w:type="dxa"/>
            <w:shd w:val="clear" w:color="auto" w:fill="auto"/>
          </w:tcPr>
          <w:p w14:paraId="311C8BC8" w14:textId="77777777" w:rsidR="00872C03" w:rsidRPr="00883399" w:rsidRDefault="00872C03" w:rsidP="0031057E">
            <w:pPr>
              <w:pStyle w:val="Tabletext0"/>
              <w:rPr>
                <w:sz w:val="22"/>
              </w:rPr>
            </w:pPr>
            <w:r w:rsidRPr="00883399">
              <w:rPr>
                <w:sz w:val="22"/>
              </w:rPr>
              <w:t>17</w:t>
            </w:r>
          </w:p>
        </w:tc>
      </w:tr>
      <w:tr w:rsidR="00872C03" w:rsidRPr="00883399" w14:paraId="40A45184" w14:textId="77777777" w:rsidTr="0031057E">
        <w:tc>
          <w:tcPr>
            <w:tcW w:w="709" w:type="dxa"/>
            <w:shd w:val="clear" w:color="auto" w:fill="auto"/>
          </w:tcPr>
          <w:p w14:paraId="2786F8FD" w14:textId="77777777" w:rsidR="00872C03" w:rsidRPr="00883399" w:rsidRDefault="00872C03" w:rsidP="0031057E">
            <w:pPr>
              <w:pStyle w:val="Tabletext0"/>
              <w:rPr>
                <w:sz w:val="22"/>
              </w:rPr>
            </w:pPr>
            <w:r w:rsidRPr="00883399">
              <w:rPr>
                <w:sz w:val="22"/>
              </w:rPr>
              <w:t>25</w:t>
            </w:r>
          </w:p>
        </w:tc>
        <w:tc>
          <w:tcPr>
            <w:tcW w:w="5103" w:type="dxa"/>
            <w:shd w:val="clear" w:color="auto" w:fill="auto"/>
          </w:tcPr>
          <w:p w14:paraId="000ACF04" w14:textId="77777777" w:rsidR="00872C03" w:rsidRPr="00883399" w:rsidRDefault="00872C03" w:rsidP="0031057E">
            <w:pPr>
              <w:pStyle w:val="Tabletext0"/>
              <w:rPr>
                <w:sz w:val="22"/>
              </w:rPr>
            </w:pPr>
            <w:r w:rsidRPr="00883399">
              <w:rPr>
                <w:sz w:val="22"/>
              </w:rPr>
              <w:t>Town gas</w:t>
            </w:r>
          </w:p>
        </w:tc>
        <w:tc>
          <w:tcPr>
            <w:tcW w:w="1268" w:type="dxa"/>
            <w:gridSpan w:val="2"/>
            <w:shd w:val="clear" w:color="auto" w:fill="auto"/>
          </w:tcPr>
          <w:p w14:paraId="39B47C68" w14:textId="77777777" w:rsidR="00872C03" w:rsidRPr="00883399" w:rsidRDefault="00872C03" w:rsidP="0031057E">
            <w:pPr>
              <w:pStyle w:val="Tabletext0"/>
              <w:rPr>
                <w:sz w:val="22"/>
              </w:rPr>
            </w:pPr>
            <w:r w:rsidRPr="00883399">
              <w:rPr>
                <w:sz w:val="22"/>
              </w:rPr>
              <w:t>4</w:t>
            </w:r>
          </w:p>
        </w:tc>
        <w:tc>
          <w:tcPr>
            <w:tcW w:w="1284" w:type="dxa"/>
            <w:shd w:val="clear" w:color="auto" w:fill="auto"/>
          </w:tcPr>
          <w:p w14:paraId="5C158536" w14:textId="77777777" w:rsidR="00872C03" w:rsidRPr="00883399" w:rsidRDefault="00872C03" w:rsidP="0031057E">
            <w:pPr>
              <w:pStyle w:val="Tabletext0"/>
              <w:rPr>
                <w:sz w:val="22"/>
              </w:rPr>
            </w:pPr>
            <w:r w:rsidRPr="00883399">
              <w:rPr>
                <w:sz w:val="22"/>
              </w:rPr>
              <w:t>4</w:t>
            </w:r>
          </w:p>
        </w:tc>
      </w:tr>
      <w:tr w:rsidR="00872C03" w:rsidRPr="00883399" w14:paraId="6B98C34B" w14:textId="77777777" w:rsidTr="0031057E">
        <w:tc>
          <w:tcPr>
            <w:tcW w:w="709" w:type="dxa"/>
            <w:shd w:val="clear" w:color="auto" w:fill="auto"/>
          </w:tcPr>
          <w:p w14:paraId="7AD81A2E" w14:textId="77777777" w:rsidR="00872C03" w:rsidRPr="00883399" w:rsidRDefault="00872C03" w:rsidP="0031057E">
            <w:pPr>
              <w:pStyle w:val="Tabletext0"/>
              <w:rPr>
                <w:sz w:val="22"/>
              </w:rPr>
            </w:pPr>
            <w:r w:rsidRPr="00883399">
              <w:rPr>
                <w:sz w:val="22"/>
              </w:rPr>
              <w:t>26</w:t>
            </w:r>
          </w:p>
        </w:tc>
        <w:tc>
          <w:tcPr>
            <w:tcW w:w="5103" w:type="dxa"/>
            <w:shd w:val="clear" w:color="auto" w:fill="auto"/>
          </w:tcPr>
          <w:p w14:paraId="4F713FC3" w14:textId="77777777" w:rsidR="00872C03" w:rsidRPr="00883399" w:rsidRDefault="00872C03" w:rsidP="0031057E">
            <w:pPr>
              <w:pStyle w:val="Tabletext0"/>
              <w:rPr>
                <w:sz w:val="22"/>
              </w:rPr>
            </w:pPr>
            <w:r w:rsidRPr="00883399">
              <w:rPr>
                <w:sz w:val="22"/>
              </w:rPr>
              <w:t>Liquefied natural gas</w:t>
            </w:r>
          </w:p>
        </w:tc>
        <w:tc>
          <w:tcPr>
            <w:tcW w:w="1268" w:type="dxa"/>
            <w:gridSpan w:val="2"/>
            <w:shd w:val="clear" w:color="auto" w:fill="auto"/>
          </w:tcPr>
          <w:p w14:paraId="46A7E8CB" w14:textId="77777777" w:rsidR="00872C03" w:rsidRPr="00883399" w:rsidRDefault="00872C03" w:rsidP="0031057E">
            <w:pPr>
              <w:pStyle w:val="Tabletext0"/>
              <w:rPr>
                <w:sz w:val="22"/>
              </w:rPr>
            </w:pPr>
            <w:r w:rsidRPr="00883399">
              <w:rPr>
                <w:sz w:val="22"/>
              </w:rPr>
              <w:t>7</w:t>
            </w:r>
          </w:p>
        </w:tc>
        <w:tc>
          <w:tcPr>
            <w:tcW w:w="1284" w:type="dxa"/>
            <w:shd w:val="clear" w:color="auto" w:fill="auto"/>
          </w:tcPr>
          <w:p w14:paraId="329A7C21" w14:textId="77777777" w:rsidR="00872C03" w:rsidRPr="00883399" w:rsidRDefault="00872C03" w:rsidP="0031057E">
            <w:pPr>
              <w:pStyle w:val="Tabletext0"/>
              <w:rPr>
                <w:sz w:val="22"/>
              </w:rPr>
            </w:pPr>
            <w:r w:rsidRPr="00883399">
              <w:rPr>
                <w:sz w:val="22"/>
              </w:rPr>
              <w:t>4</w:t>
            </w:r>
          </w:p>
        </w:tc>
      </w:tr>
      <w:tr w:rsidR="00872C03" w:rsidRPr="00883399" w14:paraId="40FFD7E8" w14:textId="77777777" w:rsidTr="0031057E">
        <w:tc>
          <w:tcPr>
            <w:tcW w:w="709" w:type="dxa"/>
            <w:shd w:val="clear" w:color="auto" w:fill="auto"/>
          </w:tcPr>
          <w:p w14:paraId="5E89151F" w14:textId="77777777" w:rsidR="00872C03" w:rsidRPr="00883399" w:rsidRDefault="00872C03" w:rsidP="0031057E">
            <w:pPr>
              <w:pStyle w:val="Tabletext0"/>
              <w:rPr>
                <w:sz w:val="22"/>
              </w:rPr>
            </w:pPr>
            <w:r w:rsidRPr="00883399">
              <w:rPr>
                <w:sz w:val="22"/>
              </w:rPr>
              <w:t>27</w:t>
            </w:r>
          </w:p>
        </w:tc>
        <w:tc>
          <w:tcPr>
            <w:tcW w:w="5103" w:type="dxa"/>
            <w:shd w:val="clear" w:color="auto" w:fill="auto"/>
          </w:tcPr>
          <w:p w14:paraId="4BFC3049" w14:textId="77777777" w:rsidR="00872C03" w:rsidRPr="00883399" w:rsidRDefault="00872C03" w:rsidP="0031057E">
            <w:pPr>
              <w:pStyle w:val="Tabletext0"/>
              <w:rPr>
                <w:sz w:val="22"/>
              </w:rPr>
            </w:pPr>
            <w:r w:rsidRPr="00883399">
              <w:rPr>
                <w:sz w:val="22"/>
              </w:rPr>
              <w:t>Gaseous fossil fuels other than those mentioned in items 17 to 26</w:t>
            </w:r>
          </w:p>
        </w:tc>
        <w:tc>
          <w:tcPr>
            <w:tcW w:w="1268" w:type="dxa"/>
            <w:gridSpan w:val="2"/>
            <w:shd w:val="clear" w:color="auto" w:fill="auto"/>
          </w:tcPr>
          <w:p w14:paraId="24D53B2F" w14:textId="77777777" w:rsidR="00872C03" w:rsidRPr="00883399" w:rsidRDefault="00872C03" w:rsidP="0031057E">
            <w:pPr>
              <w:pStyle w:val="Tabletext0"/>
              <w:rPr>
                <w:sz w:val="22"/>
              </w:rPr>
            </w:pPr>
            <w:r w:rsidRPr="00883399">
              <w:rPr>
                <w:sz w:val="22"/>
              </w:rPr>
              <w:t>50</w:t>
            </w:r>
          </w:p>
        </w:tc>
        <w:tc>
          <w:tcPr>
            <w:tcW w:w="1284" w:type="dxa"/>
            <w:shd w:val="clear" w:color="auto" w:fill="auto"/>
          </w:tcPr>
          <w:p w14:paraId="234C4BAC" w14:textId="77777777" w:rsidR="00872C03" w:rsidRPr="00883399" w:rsidRDefault="00872C03" w:rsidP="0031057E">
            <w:pPr>
              <w:pStyle w:val="Tabletext0"/>
              <w:rPr>
                <w:sz w:val="22"/>
              </w:rPr>
            </w:pPr>
            <w:r w:rsidRPr="00883399">
              <w:rPr>
                <w:sz w:val="22"/>
              </w:rPr>
              <w:t>10</w:t>
            </w:r>
          </w:p>
        </w:tc>
      </w:tr>
      <w:tr w:rsidR="00872C03" w:rsidRPr="00883399" w14:paraId="501CC91B" w14:textId="77777777" w:rsidTr="0031057E">
        <w:tc>
          <w:tcPr>
            <w:tcW w:w="709" w:type="dxa"/>
            <w:shd w:val="clear" w:color="auto" w:fill="auto"/>
          </w:tcPr>
          <w:p w14:paraId="320AB1A1" w14:textId="77777777" w:rsidR="00872C03" w:rsidRPr="00883399" w:rsidRDefault="00872C03" w:rsidP="0031057E">
            <w:pPr>
              <w:pStyle w:val="Tabletext0"/>
              <w:rPr>
                <w:sz w:val="22"/>
              </w:rPr>
            </w:pPr>
            <w:r w:rsidRPr="00883399">
              <w:rPr>
                <w:sz w:val="22"/>
              </w:rPr>
              <w:t>28</w:t>
            </w:r>
          </w:p>
        </w:tc>
        <w:tc>
          <w:tcPr>
            <w:tcW w:w="5103" w:type="dxa"/>
            <w:shd w:val="clear" w:color="auto" w:fill="auto"/>
          </w:tcPr>
          <w:p w14:paraId="5F4D38DD" w14:textId="77777777" w:rsidR="00872C03" w:rsidRPr="00883399" w:rsidRDefault="00872C03" w:rsidP="0031057E">
            <w:pPr>
              <w:pStyle w:val="Tabletext0"/>
              <w:rPr>
                <w:sz w:val="22"/>
              </w:rPr>
            </w:pPr>
            <w:r w:rsidRPr="00883399">
              <w:rPr>
                <w:sz w:val="22"/>
              </w:rPr>
              <w:t>Landfill biogas that is captured for combustion (methane only)</w:t>
            </w:r>
          </w:p>
        </w:tc>
        <w:tc>
          <w:tcPr>
            <w:tcW w:w="1268" w:type="dxa"/>
            <w:gridSpan w:val="2"/>
            <w:shd w:val="clear" w:color="auto" w:fill="auto"/>
          </w:tcPr>
          <w:p w14:paraId="308B6C26" w14:textId="77777777" w:rsidR="00872C03" w:rsidRPr="00883399" w:rsidRDefault="00872C03" w:rsidP="0031057E">
            <w:pPr>
              <w:pStyle w:val="Tabletext0"/>
              <w:rPr>
                <w:sz w:val="22"/>
              </w:rPr>
            </w:pPr>
            <w:r w:rsidRPr="00883399">
              <w:rPr>
                <w:sz w:val="22"/>
              </w:rPr>
              <w:t>50</w:t>
            </w:r>
          </w:p>
        </w:tc>
        <w:tc>
          <w:tcPr>
            <w:tcW w:w="1284" w:type="dxa"/>
            <w:shd w:val="clear" w:color="auto" w:fill="auto"/>
          </w:tcPr>
          <w:p w14:paraId="6FC0BCED" w14:textId="77777777" w:rsidR="00872C03" w:rsidRPr="00883399" w:rsidRDefault="00872C03" w:rsidP="0031057E">
            <w:pPr>
              <w:pStyle w:val="Tabletext0"/>
              <w:rPr>
                <w:sz w:val="22"/>
              </w:rPr>
            </w:pPr>
            <w:r w:rsidRPr="00883399">
              <w:rPr>
                <w:sz w:val="22"/>
              </w:rPr>
              <w:t>NA</w:t>
            </w:r>
          </w:p>
        </w:tc>
      </w:tr>
      <w:tr w:rsidR="00872C03" w:rsidRPr="00883399" w14:paraId="0F2BEC6D" w14:textId="77777777" w:rsidTr="0031057E">
        <w:tc>
          <w:tcPr>
            <w:tcW w:w="709" w:type="dxa"/>
            <w:shd w:val="clear" w:color="auto" w:fill="auto"/>
          </w:tcPr>
          <w:p w14:paraId="7B5BF822" w14:textId="77777777" w:rsidR="00872C03" w:rsidRPr="00883399" w:rsidRDefault="00872C03" w:rsidP="0031057E">
            <w:pPr>
              <w:pStyle w:val="Tabletext0"/>
              <w:rPr>
                <w:sz w:val="22"/>
              </w:rPr>
            </w:pPr>
            <w:r w:rsidRPr="00883399">
              <w:rPr>
                <w:sz w:val="22"/>
              </w:rPr>
              <w:t>29</w:t>
            </w:r>
          </w:p>
        </w:tc>
        <w:tc>
          <w:tcPr>
            <w:tcW w:w="5103" w:type="dxa"/>
            <w:shd w:val="clear" w:color="auto" w:fill="auto"/>
          </w:tcPr>
          <w:p w14:paraId="124B1CB3" w14:textId="77777777" w:rsidR="00872C03" w:rsidRPr="00883399" w:rsidRDefault="00872C03" w:rsidP="0031057E">
            <w:pPr>
              <w:pStyle w:val="Tabletext0"/>
              <w:rPr>
                <w:sz w:val="22"/>
              </w:rPr>
            </w:pPr>
            <w:r w:rsidRPr="00883399">
              <w:rPr>
                <w:sz w:val="22"/>
              </w:rPr>
              <w:t>Sludge biogas that is captured for combustion (methane only)</w:t>
            </w:r>
          </w:p>
        </w:tc>
        <w:tc>
          <w:tcPr>
            <w:tcW w:w="1268" w:type="dxa"/>
            <w:gridSpan w:val="2"/>
            <w:shd w:val="clear" w:color="auto" w:fill="auto"/>
          </w:tcPr>
          <w:p w14:paraId="6698CBAD" w14:textId="77777777" w:rsidR="00872C03" w:rsidRPr="00883399" w:rsidRDefault="00872C03" w:rsidP="0031057E">
            <w:pPr>
              <w:pStyle w:val="Tabletext0"/>
              <w:rPr>
                <w:sz w:val="22"/>
              </w:rPr>
            </w:pPr>
            <w:r w:rsidRPr="00883399">
              <w:rPr>
                <w:sz w:val="22"/>
              </w:rPr>
              <w:t>50</w:t>
            </w:r>
          </w:p>
        </w:tc>
        <w:tc>
          <w:tcPr>
            <w:tcW w:w="1284" w:type="dxa"/>
            <w:shd w:val="clear" w:color="auto" w:fill="auto"/>
          </w:tcPr>
          <w:p w14:paraId="0ECAA516" w14:textId="77777777" w:rsidR="00872C03" w:rsidRPr="00883399" w:rsidRDefault="00872C03" w:rsidP="0031057E">
            <w:pPr>
              <w:pStyle w:val="Tabletext0"/>
              <w:rPr>
                <w:sz w:val="22"/>
              </w:rPr>
            </w:pPr>
            <w:r w:rsidRPr="00883399">
              <w:rPr>
                <w:sz w:val="22"/>
              </w:rPr>
              <w:t>NA</w:t>
            </w:r>
          </w:p>
        </w:tc>
      </w:tr>
      <w:tr w:rsidR="00872C03" w:rsidRPr="00883399" w14:paraId="519F9726" w14:textId="77777777" w:rsidTr="0031057E">
        <w:tc>
          <w:tcPr>
            <w:tcW w:w="709" w:type="dxa"/>
            <w:shd w:val="clear" w:color="auto" w:fill="auto"/>
          </w:tcPr>
          <w:p w14:paraId="2319C440" w14:textId="77777777" w:rsidR="00872C03" w:rsidRPr="00883399" w:rsidRDefault="00872C03" w:rsidP="0031057E">
            <w:pPr>
              <w:pStyle w:val="Tabletext0"/>
              <w:rPr>
                <w:sz w:val="22"/>
              </w:rPr>
            </w:pPr>
            <w:r w:rsidRPr="00883399">
              <w:rPr>
                <w:sz w:val="22"/>
              </w:rPr>
              <w:t>30</w:t>
            </w:r>
          </w:p>
        </w:tc>
        <w:tc>
          <w:tcPr>
            <w:tcW w:w="5103" w:type="dxa"/>
            <w:shd w:val="clear" w:color="auto" w:fill="auto"/>
          </w:tcPr>
          <w:p w14:paraId="2E8A9D00" w14:textId="77777777" w:rsidR="00872C03" w:rsidRPr="00883399" w:rsidRDefault="00872C03" w:rsidP="0031057E">
            <w:pPr>
              <w:pStyle w:val="Tabletext0"/>
              <w:rPr>
                <w:sz w:val="22"/>
              </w:rPr>
            </w:pPr>
            <w:r w:rsidRPr="00883399">
              <w:rPr>
                <w:sz w:val="22"/>
              </w:rPr>
              <w:t>A biogas that is captured for combustion, other than those mentioned in items 28 and 29 (methane only)</w:t>
            </w:r>
          </w:p>
        </w:tc>
        <w:tc>
          <w:tcPr>
            <w:tcW w:w="1268" w:type="dxa"/>
            <w:gridSpan w:val="2"/>
            <w:shd w:val="clear" w:color="auto" w:fill="auto"/>
          </w:tcPr>
          <w:p w14:paraId="16B5C2FF" w14:textId="77777777" w:rsidR="00872C03" w:rsidRPr="00883399" w:rsidRDefault="00872C03" w:rsidP="0031057E">
            <w:pPr>
              <w:pStyle w:val="Tabletext0"/>
              <w:rPr>
                <w:sz w:val="22"/>
              </w:rPr>
            </w:pPr>
            <w:r w:rsidRPr="00883399">
              <w:rPr>
                <w:sz w:val="22"/>
              </w:rPr>
              <w:t>50</w:t>
            </w:r>
          </w:p>
        </w:tc>
        <w:tc>
          <w:tcPr>
            <w:tcW w:w="1284" w:type="dxa"/>
            <w:shd w:val="clear" w:color="auto" w:fill="auto"/>
          </w:tcPr>
          <w:p w14:paraId="56067ABD" w14:textId="77777777" w:rsidR="00872C03" w:rsidRPr="00883399" w:rsidRDefault="00872C03" w:rsidP="0031057E">
            <w:pPr>
              <w:pStyle w:val="Tabletext0"/>
              <w:rPr>
                <w:sz w:val="22"/>
              </w:rPr>
            </w:pPr>
            <w:r w:rsidRPr="00883399">
              <w:rPr>
                <w:sz w:val="22"/>
              </w:rPr>
              <w:t>NA</w:t>
            </w:r>
          </w:p>
        </w:tc>
      </w:tr>
      <w:tr w:rsidR="00872C03" w:rsidRPr="00883399" w14:paraId="71E2E181" w14:textId="77777777" w:rsidTr="0031057E">
        <w:tc>
          <w:tcPr>
            <w:tcW w:w="709" w:type="dxa"/>
            <w:shd w:val="clear" w:color="auto" w:fill="auto"/>
          </w:tcPr>
          <w:p w14:paraId="72767B9F" w14:textId="77777777" w:rsidR="00872C03" w:rsidRPr="00883399" w:rsidRDefault="00872C03" w:rsidP="0031057E">
            <w:pPr>
              <w:pStyle w:val="Tabletext0"/>
              <w:rPr>
                <w:sz w:val="22"/>
              </w:rPr>
            </w:pPr>
            <w:r w:rsidRPr="00883399">
              <w:rPr>
                <w:sz w:val="22"/>
              </w:rPr>
              <w:t>31</w:t>
            </w:r>
          </w:p>
        </w:tc>
        <w:tc>
          <w:tcPr>
            <w:tcW w:w="5103" w:type="dxa"/>
            <w:shd w:val="clear" w:color="auto" w:fill="auto"/>
          </w:tcPr>
          <w:p w14:paraId="46717567" w14:textId="77777777" w:rsidR="00872C03" w:rsidRPr="00883399" w:rsidRDefault="00872C03" w:rsidP="0031057E">
            <w:pPr>
              <w:pStyle w:val="Tabletext0"/>
              <w:rPr>
                <w:sz w:val="22"/>
              </w:rPr>
            </w:pPr>
            <w:r w:rsidRPr="00883399">
              <w:rPr>
                <w:sz w:val="22"/>
              </w:rPr>
              <w:t>Petroleum based oils (other than petroleum based oils used as fuel)</w:t>
            </w:r>
          </w:p>
        </w:tc>
        <w:tc>
          <w:tcPr>
            <w:tcW w:w="1268" w:type="dxa"/>
            <w:gridSpan w:val="2"/>
            <w:shd w:val="clear" w:color="auto" w:fill="auto"/>
          </w:tcPr>
          <w:p w14:paraId="09B1C6F7" w14:textId="77777777" w:rsidR="00872C03" w:rsidRPr="00883399" w:rsidRDefault="00872C03" w:rsidP="0031057E">
            <w:pPr>
              <w:pStyle w:val="Tabletext0"/>
              <w:rPr>
                <w:sz w:val="22"/>
              </w:rPr>
            </w:pPr>
            <w:r w:rsidRPr="00883399">
              <w:rPr>
                <w:sz w:val="22"/>
              </w:rPr>
              <w:t>11</w:t>
            </w:r>
          </w:p>
        </w:tc>
        <w:tc>
          <w:tcPr>
            <w:tcW w:w="1284" w:type="dxa"/>
            <w:shd w:val="clear" w:color="auto" w:fill="auto"/>
          </w:tcPr>
          <w:p w14:paraId="042A9D58" w14:textId="77777777" w:rsidR="00872C03" w:rsidRPr="00883399" w:rsidRDefault="00872C03" w:rsidP="0031057E">
            <w:pPr>
              <w:pStyle w:val="Tabletext0"/>
              <w:rPr>
                <w:sz w:val="22"/>
              </w:rPr>
            </w:pPr>
            <w:r w:rsidRPr="00883399">
              <w:rPr>
                <w:sz w:val="22"/>
              </w:rPr>
              <w:t>2</w:t>
            </w:r>
          </w:p>
        </w:tc>
      </w:tr>
      <w:tr w:rsidR="00872C03" w:rsidRPr="00883399" w14:paraId="4F3E6A34" w14:textId="77777777" w:rsidTr="0031057E">
        <w:tc>
          <w:tcPr>
            <w:tcW w:w="709" w:type="dxa"/>
            <w:shd w:val="clear" w:color="auto" w:fill="auto"/>
          </w:tcPr>
          <w:p w14:paraId="27F1F5F8" w14:textId="77777777" w:rsidR="00872C03" w:rsidRPr="00883399" w:rsidRDefault="00872C03" w:rsidP="0031057E">
            <w:pPr>
              <w:pStyle w:val="Tabletext0"/>
              <w:rPr>
                <w:sz w:val="22"/>
              </w:rPr>
            </w:pPr>
            <w:r w:rsidRPr="00883399">
              <w:rPr>
                <w:sz w:val="22"/>
              </w:rPr>
              <w:t>32</w:t>
            </w:r>
          </w:p>
        </w:tc>
        <w:tc>
          <w:tcPr>
            <w:tcW w:w="5103" w:type="dxa"/>
            <w:shd w:val="clear" w:color="auto" w:fill="auto"/>
          </w:tcPr>
          <w:p w14:paraId="0875F859" w14:textId="77777777" w:rsidR="00872C03" w:rsidRPr="00883399" w:rsidRDefault="00872C03" w:rsidP="0031057E">
            <w:pPr>
              <w:pStyle w:val="Tabletext0"/>
              <w:rPr>
                <w:sz w:val="22"/>
              </w:rPr>
            </w:pPr>
            <w:r w:rsidRPr="00883399">
              <w:rPr>
                <w:sz w:val="22"/>
              </w:rPr>
              <w:t>Petroleum based greases</w:t>
            </w:r>
          </w:p>
        </w:tc>
        <w:tc>
          <w:tcPr>
            <w:tcW w:w="1268" w:type="dxa"/>
            <w:gridSpan w:val="2"/>
            <w:shd w:val="clear" w:color="auto" w:fill="auto"/>
          </w:tcPr>
          <w:p w14:paraId="30C52C39" w14:textId="77777777" w:rsidR="00872C03" w:rsidRPr="00883399" w:rsidRDefault="00872C03" w:rsidP="0031057E">
            <w:pPr>
              <w:pStyle w:val="Tabletext0"/>
              <w:rPr>
                <w:sz w:val="22"/>
              </w:rPr>
            </w:pPr>
            <w:r w:rsidRPr="00883399">
              <w:rPr>
                <w:sz w:val="22"/>
              </w:rPr>
              <w:t>11</w:t>
            </w:r>
          </w:p>
        </w:tc>
        <w:tc>
          <w:tcPr>
            <w:tcW w:w="1284" w:type="dxa"/>
            <w:shd w:val="clear" w:color="auto" w:fill="auto"/>
          </w:tcPr>
          <w:p w14:paraId="173E61E6" w14:textId="77777777" w:rsidR="00872C03" w:rsidRPr="00883399" w:rsidRDefault="00872C03" w:rsidP="0031057E">
            <w:pPr>
              <w:pStyle w:val="Tabletext0"/>
              <w:rPr>
                <w:sz w:val="22"/>
              </w:rPr>
            </w:pPr>
            <w:r w:rsidRPr="00883399">
              <w:rPr>
                <w:sz w:val="22"/>
              </w:rPr>
              <w:t>2</w:t>
            </w:r>
          </w:p>
        </w:tc>
      </w:tr>
      <w:tr w:rsidR="00872C03" w:rsidRPr="00883399" w14:paraId="7F8DB8B2" w14:textId="77777777" w:rsidTr="0031057E">
        <w:tc>
          <w:tcPr>
            <w:tcW w:w="709" w:type="dxa"/>
            <w:shd w:val="clear" w:color="auto" w:fill="auto"/>
          </w:tcPr>
          <w:p w14:paraId="287D28D4" w14:textId="77777777" w:rsidR="00872C03" w:rsidRPr="00883399" w:rsidRDefault="00872C03" w:rsidP="0031057E">
            <w:pPr>
              <w:pStyle w:val="Tabletext0"/>
              <w:rPr>
                <w:sz w:val="22"/>
              </w:rPr>
            </w:pPr>
            <w:r w:rsidRPr="00883399">
              <w:rPr>
                <w:sz w:val="22"/>
              </w:rPr>
              <w:t>33</w:t>
            </w:r>
          </w:p>
        </w:tc>
        <w:tc>
          <w:tcPr>
            <w:tcW w:w="5103" w:type="dxa"/>
            <w:shd w:val="clear" w:color="auto" w:fill="auto"/>
          </w:tcPr>
          <w:p w14:paraId="649421FB" w14:textId="77777777" w:rsidR="00872C03" w:rsidRPr="00883399" w:rsidRDefault="00872C03" w:rsidP="0031057E">
            <w:pPr>
              <w:pStyle w:val="Tabletext0"/>
              <w:rPr>
                <w:sz w:val="22"/>
              </w:rPr>
            </w:pPr>
            <w:r w:rsidRPr="00883399">
              <w:rPr>
                <w:sz w:val="22"/>
              </w:rPr>
              <w:t>Crude oil including crude oil condensates</w:t>
            </w:r>
          </w:p>
        </w:tc>
        <w:tc>
          <w:tcPr>
            <w:tcW w:w="1268" w:type="dxa"/>
            <w:gridSpan w:val="2"/>
            <w:shd w:val="clear" w:color="auto" w:fill="auto"/>
          </w:tcPr>
          <w:p w14:paraId="21E899A4" w14:textId="77777777" w:rsidR="00872C03" w:rsidRPr="00883399" w:rsidRDefault="00872C03" w:rsidP="0031057E">
            <w:pPr>
              <w:pStyle w:val="Tabletext0"/>
              <w:rPr>
                <w:sz w:val="22"/>
              </w:rPr>
            </w:pPr>
            <w:r w:rsidRPr="00883399">
              <w:rPr>
                <w:sz w:val="22"/>
              </w:rPr>
              <w:t>6</w:t>
            </w:r>
          </w:p>
        </w:tc>
        <w:tc>
          <w:tcPr>
            <w:tcW w:w="1284" w:type="dxa"/>
            <w:shd w:val="clear" w:color="auto" w:fill="auto"/>
          </w:tcPr>
          <w:p w14:paraId="735ADAED" w14:textId="77777777" w:rsidR="00872C03" w:rsidRPr="00883399" w:rsidRDefault="00872C03" w:rsidP="0031057E">
            <w:pPr>
              <w:pStyle w:val="Tabletext0"/>
              <w:rPr>
                <w:sz w:val="22"/>
              </w:rPr>
            </w:pPr>
            <w:r w:rsidRPr="00883399">
              <w:rPr>
                <w:sz w:val="22"/>
              </w:rPr>
              <w:t>3</w:t>
            </w:r>
          </w:p>
        </w:tc>
      </w:tr>
      <w:tr w:rsidR="00872C03" w:rsidRPr="00883399" w14:paraId="7FC034C1" w14:textId="77777777" w:rsidTr="0031057E">
        <w:tc>
          <w:tcPr>
            <w:tcW w:w="709" w:type="dxa"/>
            <w:shd w:val="clear" w:color="auto" w:fill="auto"/>
          </w:tcPr>
          <w:p w14:paraId="7AF37594" w14:textId="77777777" w:rsidR="00872C03" w:rsidRPr="00883399" w:rsidRDefault="00872C03" w:rsidP="0031057E">
            <w:pPr>
              <w:pStyle w:val="Tabletext0"/>
              <w:rPr>
                <w:sz w:val="22"/>
              </w:rPr>
            </w:pPr>
            <w:r w:rsidRPr="00883399">
              <w:rPr>
                <w:sz w:val="22"/>
              </w:rPr>
              <w:t>34</w:t>
            </w:r>
          </w:p>
        </w:tc>
        <w:tc>
          <w:tcPr>
            <w:tcW w:w="5103" w:type="dxa"/>
            <w:shd w:val="clear" w:color="auto" w:fill="auto"/>
          </w:tcPr>
          <w:p w14:paraId="68F2A4C7" w14:textId="77777777" w:rsidR="00872C03" w:rsidRPr="00883399" w:rsidRDefault="00872C03" w:rsidP="0031057E">
            <w:pPr>
              <w:pStyle w:val="Tabletext0"/>
              <w:rPr>
                <w:sz w:val="22"/>
              </w:rPr>
            </w:pPr>
            <w:r w:rsidRPr="00883399">
              <w:rPr>
                <w:sz w:val="22"/>
              </w:rPr>
              <w:t>Other natural gas liquids</w:t>
            </w:r>
          </w:p>
        </w:tc>
        <w:tc>
          <w:tcPr>
            <w:tcW w:w="1268" w:type="dxa"/>
            <w:gridSpan w:val="2"/>
            <w:shd w:val="clear" w:color="auto" w:fill="auto"/>
          </w:tcPr>
          <w:p w14:paraId="3FA8436E" w14:textId="77777777" w:rsidR="00872C03" w:rsidRPr="00883399" w:rsidRDefault="00872C03" w:rsidP="0031057E">
            <w:pPr>
              <w:pStyle w:val="Tabletext0"/>
              <w:rPr>
                <w:sz w:val="22"/>
              </w:rPr>
            </w:pPr>
            <w:r w:rsidRPr="00883399">
              <w:rPr>
                <w:sz w:val="22"/>
              </w:rPr>
              <w:t>7</w:t>
            </w:r>
          </w:p>
        </w:tc>
        <w:tc>
          <w:tcPr>
            <w:tcW w:w="1284" w:type="dxa"/>
            <w:shd w:val="clear" w:color="auto" w:fill="auto"/>
          </w:tcPr>
          <w:p w14:paraId="352FA456" w14:textId="77777777" w:rsidR="00872C03" w:rsidRPr="00883399" w:rsidRDefault="00872C03" w:rsidP="0031057E">
            <w:pPr>
              <w:pStyle w:val="Tabletext0"/>
              <w:rPr>
                <w:sz w:val="22"/>
              </w:rPr>
            </w:pPr>
            <w:r w:rsidRPr="00883399">
              <w:rPr>
                <w:sz w:val="22"/>
              </w:rPr>
              <w:t>9</w:t>
            </w:r>
          </w:p>
        </w:tc>
      </w:tr>
      <w:tr w:rsidR="00872C03" w:rsidRPr="00883399" w14:paraId="6839A6CF" w14:textId="77777777" w:rsidTr="0031057E">
        <w:tc>
          <w:tcPr>
            <w:tcW w:w="709" w:type="dxa"/>
            <w:shd w:val="clear" w:color="auto" w:fill="auto"/>
          </w:tcPr>
          <w:p w14:paraId="0BB4D530" w14:textId="77777777" w:rsidR="00872C03" w:rsidRPr="00883399" w:rsidRDefault="00872C03" w:rsidP="0031057E">
            <w:pPr>
              <w:pStyle w:val="Tabletext0"/>
              <w:rPr>
                <w:sz w:val="22"/>
              </w:rPr>
            </w:pPr>
            <w:r w:rsidRPr="00883399">
              <w:rPr>
                <w:sz w:val="22"/>
              </w:rPr>
              <w:t>35</w:t>
            </w:r>
          </w:p>
        </w:tc>
        <w:tc>
          <w:tcPr>
            <w:tcW w:w="5103" w:type="dxa"/>
            <w:shd w:val="clear" w:color="auto" w:fill="auto"/>
          </w:tcPr>
          <w:p w14:paraId="33635CB1" w14:textId="77777777" w:rsidR="00872C03" w:rsidRPr="00883399" w:rsidRDefault="00872C03" w:rsidP="0031057E">
            <w:pPr>
              <w:pStyle w:val="Tabletext0"/>
              <w:rPr>
                <w:sz w:val="22"/>
              </w:rPr>
            </w:pPr>
            <w:r w:rsidRPr="00883399">
              <w:rPr>
                <w:sz w:val="22"/>
              </w:rPr>
              <w:t>Gasoline (other than for use as fuel in an aircraft)</w:t>
            </w:r>
          </w:p>
        </w:tc>
        <w:tc>
          <w:tcPr>
            <w:tcW w:w="1268" w:type="dxa"/>
            <w:gridSpan w:val="2"/>
            <w:shd w:val="clear" w:color="auto" w:fill="auto"/>
          </w:tcPr>
          <w:p w14:paraId="05E7CC5E" w14:textId="77777777" w:rsidR="00872C03" w:rsidRPr="00883399" w:rsidRDefault="00872C03" w:rsidP="0031057E">
            <w:pPr>
              <w:pStyle w:val="Tabletext0"/>
              <w:rPr>
                <w:sz w:val="22"/>
              </w:rPr>
            </w:pPr>
            <w:r w:rsidRPr="00883399">
              <w:rPr>
                <w:sz w:val="22"/>
              </w:rPr>
              <w:t>3</w:t>
            </w:r>
          </w:p>
        </w:tc>
        <w:tc>
          <w:tcPr>
            <w:tcW w:w="1284" w:type="dxa"/>
            <w:shd w:val="clear" w:color="auto" w:fill="auto"/>
          </w:tcPr>
          <w:p w14:paraId="2897F25D" w14:textId="77777777" w:rsidR="00872C03" w:rsidRPr="00883399" w:rsidRDefault="00872C03" w:rsidP="0031057E">
            <w:pPr>
              <w:pStyle w:val="Tabletext0"/>
              <w:rPr>
                <w:sz w:val="22"/>
              </w:rPr>
            </w:pPr>
            <w:r w:rsidRPr="00883399">
              <w:rPr>
                <w:sz w:val="22"/>
              </w:rPr>
              <w:t>4</w:t>
            </w:r>
          </w:p>
        </w:tc>
      </w:tr>
      <w:tr w:rsidR="00872C03" w:rsidRPr="00883399" w14:paraId="15220F22" w14:textId="77777777" w:rsidTr="0031057E">
        <w:tc>
          <w:tcPr>
            <w:tcW w:w="709" w:type="dxa"/>
            <w:shd w:val="clear" w:color="auto" w:fill="auto"/>
          </w:tcPr>
          <w:p w14:paraId="06C148EA" w14:textId="77777777" w:rsidR="00872C03" w:rsidRPr="00883399" w:rsidRDefault="00872C03" w:rsidP="0031057E">
            <w:pPr>
              <w:pStyle w:val="Tabletext0"/>
              <w:rPr>
                <w:sz w:val="22"/>
              </w:rPr>
            </w:pPr>
            <w:r w:rsidRPr="00883399">
              <w:rPr>
                <w:sz w:val="22"/>
              </w:rPr>
              <w:t>36</w:t>
            </w:r>
          </w:p>
        </w:tc>
        <w:tc>
          <w:tcPr>
            <w:tcW w:w="5103" w:type="dxa"/>
            <w:shd w:val="clear" w:color="auto" w:fill="auto"/>
          </w:tcPr>
          <w:p w14:paraId="4016FA32" w14:textId="77777777" w:rsidR="00872C03" w:rsidRPr="00883399" w:rsidRDefault="00872C03" w:rsidP="0031057E">
            <w:pPr>
              <w:pStyle w:val="Tabletext0"/>
              <w:rPr>
                <w:sz w:val="22"/>
              </w:rPr>
            </w:pPr>
            <w:r w:rsidRPr="00883399">
              <w:rPr>
                <w:sz w:val="22"/>
              </w:rPr>
              <w:t>Gasoline for use as fuel in an aircraft</w:t>
            </w:r>
          </w:p>
        </w:tc>
        <w:tc>
          <w:tcPr>
            <w:tcW w:w="1268" w:type="dxa"/>
            <w:gridSpan w:val="2"/>
            <w:shd w:val="clear" w:color="auto" w:fill="auto"/>
          </w:tcPr>
          <w:p w14:paraId="4C892B0D" w14:textId="77777777" w:rsidR="00872C03" w:rsidRPr="00883399" w:rsidRDefault="00872C03" w:rsidP="0031057E">
            <w:pPr>
              <w:pStyle w:val="Tabletext0"/>
              <w:rPr>
                <w:sz w:val="22"/>
              </w:rPr>
            </w:pPr>
            <w:r w:rsidRPr="00883399">
              <w:rPr>
                <w:sz w:val="22"/>
              </w:rPr>
              <w:t>3</w:t>
            </w:r>
          </w:p>
        </w:tc>
        <w:tc>
          <w:tcPr>
            <w:tcW w:w="1284" w:type="dxa"/>
            <w:shd w:val="clear" w:color="auto" w:fill="auto"/>
          </w:tcPr>
          <w:p w14:paraId="45457839" w14:textId="77777777" w:rsidR="00872C03" w:rsidRPr="00883399" w:rsidRDefault="00872C03" w:rsidP="0031057E">
            <w:pPr>
              <w:pStyle w:val="Tabletext0"/>
              <w:rPr>
                <w:sz w:val="22"/>
              </w:rPr>
            </w:pPr>
            <w:r w:rsidRPr="00883399">
              <w:rPr>
                <w:sz w:val="22"/>
              </w:rPr>
              <w:t>4</w:t>
            </w:r>
          </w:p>
        </w:tc>
      </w:tr>
      <w:tr w:rsidR="00872C03" w:rsidRPr="00883399" w14:paraId="39826EE0" w14:textId="77777777" w:rsidTr="0031057E">
        <w:tc>
          <w:tcPr>
            <w:tcW w:w="709" w:type="dxa"/>
            <w:shd w:val="clear" w:color="auto" w:fill="auto"/>
          </w:tcPr>
          <w:p w14:paraId="56AB3875" w14:textId="77777777" w:rsidR="00872C03" w:rsidRPr="00883399" w:rsidRDefault="00872C03" w:rsidP="0031057E">
            <w:pPr>
              <w:pStyle w:val="Tabletext0"/>
              <w:rPr>
                <w:sz w:val="22"/>
              </w:rPr>
            </w:pPr>
            <w:r w:rsidRPr="00883399">
              <w:rPr>
                <w:sz w:val="22"/>
              </w:rPr>
              <w:t>37</w:t>
            </w:r>
          </w:p>
        </w:tc>
        <w:tc>
          <w:tcPr>
            <w:tcW w:w="5103" w:type="dxa"/>
            <w:shd w:val="clear" w:color="auto" w:fill="auto"/>
          </w:tcPr>
          <w:p w14:paraId="01A1C7AF" w14:textId="77777777" w:rsidR="00872C03" w:rsidRPr="00883399" w:rsidRDefault="00872C03" w:rsidP="0031057E">
            <w:pPr>
              <w:pStyle w:val="Tabletext0"/>
              <w:rPr>
                <w:sz w:val="22"/>
              </w:rPr>
            </w:pPr>
            <w:r w:rsidRPr="00883399">
              <w:rPr>
                <w:sz w:val="22"/>
              </w:rPr>
              <w:t>Kerosene (other than for use as fuel in an aircraft)</w:t>
            </w:r>
          </w:p>
        </w:tc>
        <w:tc>
          <w:tcPr>
            <w:tcW w:w="1268" w:type="dxa"/>
            <w:gridSpan w:val="2"/>
            <w:shd w:val="clear" w:color="auto" w:fill="auto"/>
          </w:tcPr>
          <w:p w14:paraId="36763C9F" w14:textId="77777777" w:rsidR="00872C03" w:rsidRPr="00883399" w:rsidRDefault="00872C03" w:rsidP="0031057E">
            <w:pPr>
              <w:pStyle w:val="Tabletext0"/>
              <w:rPr>
                <w:sz w:val="22"/>
              </w:rPr>
            </w:pPr>
            <w:r w:rsidRPr="00883399">
              <w:rPr>
                <w:sz w:val="22"/>
              </w:rPr>
              <w:t>3</w:t>
            </w:r>
          </w:p>
        </w:tc>
        <w:tc>
          <w:tcPr>
            <w:tcW w:w="1284" w:type="dxa"/>
            <w:shd w:val="clear" w:color="auto" w:fill="auto"/>
          </w:tcPr>
          <w:p w14:paraId="71007481" w14:textId="77777777" w:rsidR="00872C03" w:rsidRPr="00883399" w:rsidRDefault="00872C03" w:rsidP="0031057E">
            <w:pPr>
              <w:pStyle w:val="Tabletext0"/>
              <w:rPr>
                <w:sz w:val="22"/>
              </w:rPr>
            </w:pPr>
            <w:r w:rsidRPr="00883399">
              <w:rPr>
                <w:sz w:val="22"/>
              </w:rPr>
              <w:t>2</w:t>
            </w:r>
          </w:p>
        </w:tc>
      </w:tr>
      <w:tr w:rsidR="00872C03" w:rsidRPr="00883399" w14:paraId="16E9D1D7" w14:textId="77777777" w:rsidTr="0031057E">
        <w:tc>
          <w:tcPr>
            <w:tcW w:w="709" w:type="dxa"/>
            <w:shd w:val="clear" w:color="auto" w:fill="auto"/>
          </w:tcPr>
          <w:p w14:paraId="5BE46482" w14:textId="77777777" w:rsidR="00872C03" w:rsidRPr="00883399" w:rsidRDefault="00872C03" w:rsidP="0031057E">
            <w:pPr>
              <w:pStyle w:val="Tabletext0"/>
              <w:rPr>
                <w:sz w:val="22"/>
              </w:rPr>
            </w:pPr>
            <w:r w:rsidRPr="00883399">
              <w:rPr>
                <w:sz w:val="22"/>
              </w:rPr>
              <w:t>38</w:t>
            </w:r>
          </w:p>
        </w:tc>
        <w:tc>
          <w:tcPr>
            <w:tcW w:w="5103" w:type="dxa"/>
            <w:shd w:val="clear" w:color="auto" w:fill="auto"/>
          </w:tcPr>
          <w:p w14:paraId="63F0C6F6" w14:textId="77777777" w:rsidR="00872C03" w:rsidRPr="00883399" w:rsidRDefault="00872C03" w:rsidP="0031057E">
            <w:pPr>
              <w:pStyle w:val="Tabletext0"/>
              <w:rPr>
                <w:sz w:val="22"/>
              </w:rPr>
            </w:pPr>
            <w:r w:rsidRPr="00883399">
              <w:rPr>
                <w:sz w:val="22"/>
              </w:rPr>
              <w:t>Kerosene for use as fuel in an aircraft</w:t>
            </w:r>
          </w:p>
        </w:tc>
        <w:tc>
          <w:tcPr>
            <w:tcW w:w="1268" w:type="dxa"/>
            <w:gridSpan w:val="2"/>
            <w:shd w:val="clear" w:color="auto" w:fill="auto"/>
          </w:tcPr>
          <w:p w14:paraId="270DAF40" w14:textId="77777777" w:rsidR="00872C03" w:rsidRPr="00883399" w:rsidRDefault="00872C03" w:rsidP="0031057E">
            <w:pPr>
              <w:pStyle w:val="Tabletext0"/>
              <w:rPr>
                <w:sz w:val="22"/>
              </w:rPr>
            </w:pPr>
            <w:r w:rsidRPr="00883399">
              <w:rPr>
                <w:sz w:val="22"/>
              </w:rPr>
              <w:t>3</w:t>
            </w:r>
          </w:p>
        </w:tc>
        <w:tc>
          <w:tcPr>
            <w:tcW w:w="1284" w:type="dxa"/>
            <w:shd w:val="clear" w:color="auto" w:fill="auto"/>
          </w:tcPr>
          <w:p w14:paraId="5308E298" w14:textId="77777777" w:rsidR="00872C03" w:rsidRPr="00883399" w:rsidRDefault="00872C03" w:rsidP="0031057E">
            <w:pPr>
              <w:pStyle w:val="Tabletext0"/>
              <w:rPr>
                <w:sz w:val="22"/>
              </w:rPr>
            </w:pPr>
            <w:r w:rsidRPr="00883399">
              <w:rPr>
                <w:sz w:val="22"/>
              </w:rPr>
              <w:t>3</w:t>
            </w:r>
          </w:p>
        </w:tc>
      </w:tr>
      <w:tr w:rsidR="00872C03" w:rsidRPr="00883399" w14:paraId="25BE9974" w14:textId="77777777" w:rsidTr="0031057E">
        <w:tc>
          <w:tcPr>
            <w:tcW w:w="709" w:type="dxa"/>
            <w:shd w:val="clear" w:color="auto" w:fill="auto"/>
          </w:tcPr>
          <w:p w14:paraId="2323D8CF" w14:textId="77777777" w:rsidR="00872C03" w:rsidRPr="00883399" w:rsidRDefault="00872C03" w:rsidP="0031057E">
            <w:pPr>
              <w:pStyle w:val="Tabletext0"/>
              <w:rPr>
                <w:sz w:val="22"/>
              </w:rPr>
            </w:pPr>
            <w:r w:rsidRPr="00883399">
              <w:rPr>
                <w:sz w:val="22"/>
              </w:rPr>
              <w:t>39</w:t>
            </w:r>
          </w:p>
        </w:tc>
        <w:tc>
          <w:tcPr>
            <w:tcW w:w="5103" w:type="dxa"/>
            <w:shd w:val="clear" w:color="auto" w:fill="auto"/>
          </w:tcPr>
          <w:p w14:paraId="31413D6A" w14:textId="77777777" w:rsidR="00872C03" w:rsidRPr="00883399" w:rsidRDefault="00872C03" w:rsidP="0031057E">
            <w:pPr>
              <w:pStyle w:val="Tabletext0"/>
              <w:rPr>
                <w:sz w:val="22"/>
              </w:rPr>
            </w:pPr>
            <w:r w:rsidRPr="00883399">
              <w:rPr>
                <w:sz w:val="22"/>
              </w:rPr>
              <w:t>Heating oil</w:t>
            </w:r>
          </w:p>
        </w:tc>
        <w:tc>
          <w:tcPr>
            <w:tcW w:w="1268" w:type="dxa"/>
            <w:gridSpan w:val="2"/>
            <w:shd w:val="clear" w:color="auto" w:fill="auto"/>
          </w:tcPr>
          <w:p w14:paraId="2EDDD889" w14:textId="77777777" w:rsidR="00872C03" w:rsidRPr="00883399" w:rsidRDefault="00872C03" w:rsidP="0031057E">
            <w:pPr>
              <w:pStyle w:val="Tabletext0"/>
              <w:rPr>
                <w:sz w:val="22"/>
              </w:rPr>
            </w:pPr>
            <w:r w:rsidRPr="00883399">
              <w:rPr>
                <w:sz w:val="22"/>
              </w:rPr>
              <w:t>5</w:t>
            </w:r>
          </w:p>
        </w:tc>
        <w:tc>
          <w:tcPr>
            <w:tcW w:w="1284" w:type="dxa"/>
            <w:shd w:val="clear" w:color="auto" w:fill="auto"/>
          </w:tcPr>
          <w:p w14:paraId="0FC8CF1F" w14:textId="77777777" w:rsidR="00872C03" w:rsidRPr="00883399" w:rsidRDefault="00872C03" w:rsidP="0031057E">
            <w:pPr>
              <w:pStyle w:val="Tabletext0"/>
              <w:rPr>
                <w:sz w:val="22"/>
              </w:rPr>
            </w:pPr>
            <w:r w:rsidRPr="00883399">
              <w:rPr>
                <w:sz w:val="22"/>
              </w:rPr>
              <w:t>2</w:t>
            </w:r>
          </w:p>
        </w:tc>
      </w:tr>
      <w:tr w:rsidR="00872C03" w:rsidRPr="00883399" w14:paraId="75F4D2B9" w14:textId="77777777" w:rsidTr="0031057E">
        <w:tc>
          <w:tcPr>
            <w:tcW w:w="709" w:type="dxa"/>
            <w:shd w:val="clear" w:color="auto" w:fill="auto"/>
          </w:tcPr>
          <w:p w14:paraId="1C11ABAB" w14:textId="77777777" w:rsidR="00872C03" w:rsidRPr="00883399" w:rsidRDefault="00872C03" w:rsidP="0031057E">
            <w:pPr>
              <w:pStyle w:val="Tabletext0"/>
              <w:rPr>
                <w:sz w:val="22"/>
              </w:rPr>
            </w:pPr>
            <w:r w:rsidRPr="00883399">
              <w:rPr>
                <w:sz w:val="22"/>
              </w:rPr>
              <w:t>40</w:t>
            </w:r>
          </w:p>
        </w:tc>
        <w:tc>
          <w:tcPr>
            <w:tcW w:w="5103" w:type="dxa"/>
            <w:shd w:val="clear" w:color="auto" w:fill="auto"/>
          </w:tcPr>
          <w:p w14:paraId="6CF37F42" w14:textId="77777777" w:rsidR="00872C03" w:rsidRPr="00883399" w:rsidRDefault="00872C03" w:rsidP="0031057E">
            <w:pPr>
              <w:pStyle w:val="Tabletext0"/>
              <w:rPr>
                <w:sz w:val="22"/>
              </w:rPr>
            </w:pPr>
            <w:r w:rsidRPr="00883399">
              <w:rPr>
                <w:sz w:val="22"/>
              </w:rPr>
              <w:t>Diesel oil</w:t>
            </w:r>
          </w:p>
        </w:tc>
        <w:tc>
          <w:tcPr>
            <w:tcW w:w="1268" w:type="dxa"/>
            <w:gridSpan w:val="2"/>
            <w:shd w:val="clear" w:color="auto" w:fill="auto"/>
          </w:tcPr>
          <w:p w14:paraId="5465F366" w14:textId="77777777" w:rsidR="00872C03" w:rsidRPr="00883399" w:rsidRDefault="00872C03" w:rsidP="0031057E">
            <w:pPr>
              <w:pStyle w:val="Tabletext0"/>
              <w:rPr>
                <w:sz w:val="22"/>
              </w:rPr>
            </w:pPr>
            <w:r w:rsidRPr="00883399">
              <w:rPr>
                <w:sz w:val="22"/>
              </w:rPr>
              <w:t>2</w:t>
            </w:r>
          </w:p>
        </w:tc>
        <w:tc>
          <w:tcPr>
            <w:tcW w:w="1284" w:type="dxa"/>
            <w:shd w:val="clear" w:color="auto" w:fill="auto"/>
          </w:tcPr>
          <w:p w14:paraId="66376399" w14:textId="77777777" w:rsidR="00872C03" w:rsidRPr="00883399" w:rsidRDefault="00872C03" w:rsidP="0031057E">
            <w:pPr>
              <w:pStyle w:val="Tabletext0"/>
              <w:rPr>
                <w:sz w:val="22"/>
              </w:rPr>
            </w:pPr>
            <w:r w:rsidRPr="00883399">
              <w:rPr>
                <w:sz w:val="22"/>
              </w:rPr>
              <w:t>2</w:t>
            </w:r>
          </w:p>
        </w:tc>
      </w:tr>
      <w:tr w:rsidR="00872C03" w:rsidRPr="00883399" w14:paraId="4DBCB2D6" w14:textId="77777777" w:rsidTr="0031057E">
        <w:tc>
          <w:tcPr>
            <w:tcW w:w="709" w:type="dxa"/>
            <w:shd w:val="clear" w:color="auto" w:fill="auto"/>
          </w:tcPr>
          <w:p w14:paraId="4C4503DC" w14:textId="77777777" w:rsidR="00872C03" w:rsidRPr="00883399" w:rsidRDefault="00872C03" w:rsidP="0031057E">
            <w:pPr>
              <w:pStyle w:val="Tabletext0"/>
              <w:rPr>
                <w:sz w:val="22"/>
              </w:rPr>
            </w:pPr>
            <w:r w:rsidRPr="00883399">
              <w:rPr>
                <w:sz w:val="22"/>
              </w:rPr>
              <w:t>41</w:t>
            </w:r>
          </w:p>
        </w:tc>
        <w:tc>
          <w:tcPr>
            <w:tcW w:w="5103" w:type="dxa"/>
            <w:shd w:val="clear" w:color="auto" w:fill="auto"/>
          </w:tcPr>
          <w:p w14:paraId="0EB1E41E" w14:textId="77777777" w:rsidR="00872C03" w:rsidRPr="00883399" w:rsidRDefault="00872C03" w:rsidP="0031057E">
            <w:pPr>
              <w:pStyle w:val="Tabletext0"/>
              <w:rPr>
                <w:sz w:val="22"/>
              </w:rPr>
            </w:pPr>
            <w:r w:rsidRPr="00883399">
              <w:rPr>
                <w:sz w:val="22"/>
              </w:rPr>
              <w:t>Fuel oil</w:t>
            </w:r>
          </w:p>
        </w:tc>
        <w:tc>
          <w:tcPr>
            <w:tcW w:w="1268" w:type="dxa"/>
            <w:gridSpan w:val="2"/>
            <w:shd w:val="clear" w:color="auto" w:fill="auto"/>
          </w:tcPr>
          <w:p w14:paraId="59891A87" w14:textId="77777777" w:rsidR="00872C03" w:rsidRPr="00883399" w:rsidRDefault="00872C03" w:rsidP="0031057E">
            <w:pPr>
              <w:pStyle w:val="Tabletext0"/>
              <w:rPr>
                <w:sz w:val="22"/>
              </w:rPr>
            </w:pPr>
            <w:r w:rsidRPr="00883399">
              <w:rPr>
                <w:sz w:val="22"/>
              </w:rPr>
              <w:t>2</w:t>
            </w:r>
          </w:p>
        </w:tc>
        <w:tc>
          <w:tcPr>
            <w:tcW w:w="1284" w:type="dxa"/>
            <w:shd w:val="clear" w:color="auto" w:fill="auto"/>
          </w:tcPr>
          <w:p w14:paraId="7BCB9FC1" w14:textId="77777777" w:rsidR="00872C03" w:rsidRPr="00883399" w:rsidRDefault="00872C03" w:rsidP="0031057E">
            <w:pPr>
              <w:pStyle w:val="Tabletext0"/>
              <w:rPr>
                <w:sz w:val="22"/>
              </w:rPr>
            </w:pPr>
            <w:r w:rsidRPr="00883399">
              <w:rPr>
                <w:sz w:val="22"/>
              </w:rPr>
              <w:t>2</w:t>
            </w:r>
          </w:p>
        </w:tc>
      </w:tr>
      <w:tr w:rsidR="00872C03" w:rsidRPr="00883399" w14:paraId="77DFB655" w14:textId="77777777" w:rsidTr="0031057E">
        <w:tc>
          <w:tcPr>
            <w:tcW w:w="709" w:type="dxa"/>
            <w:shd w:val="clear" w:color="auto" w:fill="auto"/>
          </w:tcPr>
          <w:p w14:paraId="5B25A22B" w14:textId="77777777" w:rsidR="00872C03" w:rsidRPr="00883399" w:rsidRDefault="00872C03" w:rsidP="0031057E">
            <w:pPr>
              <w:pStyle w:val="Tabletext0"/>
              <w:rPr>
                <w:sz w:val="22"/>
              </w:rPr>
            </w:pPr>
            <w:r w:rsidRPr="00883399">
              <w:rPr>
                <w:sz w:val="22"/>
              </w:rPr>
              <w:t>42</w:t>
            </w:r>
          </w:p>
        </w:tc>
        <w:tc>
          <w:tcPr>
            <w:tcW w:w="5103" w:type="dxa"/>
            <w:shd w:val="clear" w:color="auto" w:fill="auto"/>
          </w:tcPr>
          <w:p w14:paraId="4DCB3113" w14:textId="77777777" w:rsidR="00872C03" w:rsidRPr="00883399" w:rsidRDefault="00872C03" w:rsidP="0031057E">
            <w:pPr>
              <w:pStyle w:val="Tabletext0"/>
              <w:rPr>
                <w:sz w:val="22"/>
              </w:rPr>
            </w:pPr>
            <w:r w:rsidRPr="00883399">
              <w:rPr>
                <w:sz w:val="22"/>
              </w:rPr>
              <w:t>Liquefied aromatic hydrocarbons</w:t>
            </w:r>
          </w:p>
        </w:tc>
        <w:tc>
          <w:tcPr>
            <w:tcW w:w="1268" w:type="dxa"/>
            <w:gridSpan w:val="2"/>
            <w:shd w:val="clear" w:color="auto" w:fill="auto"/>
          </w:tcPr>
          <w:p w14:paraId="07267D7F" w14:textId="77777777" w:rsidR="00872C03" w:rsidRPr="00883399" w:rsidRDefault="00872C03" w:rsidP="0031057E">
            <w:pPr>
              <w:pStyle w:val="Tabletext0"/>
              <w:rPr>
                <w:sz w:val="22"/>
              </w:rPr>
            </w:pPr>
            <w:r w:rsidRPr="00883399">
              <w:rPr>
                <w:sz w:val="22"/>
              </w:rPr>
              <w:t>5</w:t>
            </w:r>
          </w:p>
        </w:tc>
        <w:tc>
          <w:tcPr>
            <w:tcW w:w="1284" w:type="dxa"/>
            <w:shd w:val="clear" w:color="auto" w:fill="auto"/>
          </w:tcPr>
          <w:p w14:paraId="6AA93193" w14:textId="77777777" w:rsidR="00872C03" w:rsidRPr="00883399" w:rsidRDefault="00872C03" w:rsidP="0031057E">
            <w:pPr>
              <w:pStyle w:val="Tabletext0"/>
              <w:rPr>
                <w:sz w:val="22"/>
              </w:rPr>
            </w:pPr>
            <w:r w:rsidRPr="00883399">
              <w:rPr>
                <w:sz w:val="22"/>
              </w:rPr>
              <w:t>2</w:t>
            </w:r>
          </w:p>
        </w:tc>
      </w:tr>
      <w:tr w:rsidR="00872C03" w:rsidRPr="00883399" w14:paraId="5946A6B4" w14:textId="77777777" w:rsidTr="0031057E">
        <w:tc>
          <w:tcPr>
            <w:tcW w:w="709" w:type="dxa"/>
            <w:shd w:val="clear" w:color="auto" w:fill="auto"/>
          </w:tcPr>
          <w:p w14:paraId="5C62C43A" w14:textId="77777777" w:rsidR="00872C03" w:rsidRPr="00883399" w:rsidRDefault="00872C03" w:rsidP="0031057E">
            <w:pPr>
              <w:pStyle w:val="Tabletext0"/>
              <w:rPr>
                <w:sz w:val="22"/>
              </w:rPr>
            </w:pPr>
            <w:r w:rsidRPr="00883399">
              <w:rPr>
                <w:sz w:val="22"/>
              </w:rPr>
              <w:t>43</w:t>
            </w:r>
          </w:p>
        </w:tc>
        <w:tc>
          <w:tcPr>
            <w:tcW w:w="5103" w:type="dxa"/>
            <w:shd w:val="clear" w:color="auto" w:fill="auto"/>
          </w:tcPr>
          <w:p w14:paraId="540ECDE5" w14:textId="77777777" w:rsidR="00872C03" w:rsidRPr="00883399" w:rsidRDefault="00872C03" w:rsidP="0031057E">
            <w:pPr>
              <w:pStyle w:val="Tabletext0"/>
              <w:rPr>
                <w:sz w:val="22"/>
              </w:rPr>
            </w:pPr>
            <w:r w:rsidRPr="00883399">
              <w:rPr>
                <w:sz w:val="22"/>
              </w:rPr>
              <w:t>Solvents if mineral turpentine or white spirits</w:t>
            </w:r>
          </w:p>
        </w:tc>
        <w:tc>
          <w:tcPr>
            <w:tcW w:w="1268" w:type="dxa"/>
            <w:gridSpan w:val="2"/>
            <w:shd w:val="clear" w:color="auto" w:fill="auto"/>
          </w:tcPr>
          <w:p w14:paraId="56FDA873" w14:textId="77777777" w:rsidR="00872C03" w:rsidRPr="00883399" w:rsidRDefault="00872C03" w:rsidP="0031057E">
            <w:pPr>
              <w:pStyle w:val="Tabletext0"/>
              <w:rPr>
                <w:sz w:val="22"/>
              </w:rPr>
            </w:pPr>
            <w:r w:rsidRPr="00883399">
              <w:rPr>
                <w:sz w:val="22"/>
              </w:rPr>
              <w:t>18</w:t>
            </w:r>
          </w:p>
        </w:tc>
        <w:tc>
          <w:tcPr>
            <w:tcW w:w="1284" w:type="dxa"/>
            <w:shd w:val="clear" w:color="auto" w:fill="auto"/>
          </w:tcPr>
          <w:p w14:paraId="5C3430F2" w14:textId="77777777" w:rsidR="00872C03" w:rsidRPr="00883399" w:rsidRDefault="00872C03" w:rsidP="0031057E">
            <w:pPr>
              <w:pStyle w:val="Tabletext0"/>
              <w:rPr>
                <w:sz w:val="22"/>
              </w:rPr>
            </w:pPr>
            <w:r w:rsidRPr="00883399">
              <w:rPr>
                <w:sz w:val="22"/>
              </w:rPr>
              <w:t>2</w:t>
            </w:r>
          </w:p>
        </w:tc>
      </w:tr>
      <w:tr w:rsidR="00872C03" w:rsidRPr="00883399" w14:paraId="5AFCD465" w14:textId="77777777" w:rsidTr="0031057E">
        <w:tc>
          <w:tcPr>
            <w:tcW w:w="709" w:type="dxa"/>
            <w:shd w:val="clear" w:color="auto" w:fill="auto"/>
          </w:tcPr>
          <w:p w14:paraId="06762BB9" w14:textId="77777777" w:rsidR="00872C03" w:rsidRPr="00883399" w:rsidRDefault="00872C03" w:rsidP="0031057E">
            <w:pPr>
              <w:pStyle w:val="Tabletext0"/>
              <w:rPr>
                <w:sz w:val="22"/>
              </w:rPr>
            </w:pPr>
            <w:r w:rsidRPr="00883399">
              <w:rPr>
                <w:sz w:val="22"/>
              </w:rPr>
              <w:t>44</w:t>
            </w:r>
          </w:p>
        </w:tc>
        <w:tc>
          <w:tcPr>
            <w:tcW w:w="5103" w:type="dxa"/>
            <w:shd w:val="clear" w:color="auto" w:fill="auto"/>
          </w:tcPr>
          <w:p w14:paraId="7E7813FF" w14:textId="77777777" w:rsidR="00872C03" w:rsidRPr="00883399" w:rsidRDefault="00872C03" w:rsidP="0031057E">
            <w:pPr>
              <w:pStyle w:val="Tabletext0"/>
              <w:rPr>
                <w:sz w:val="22"/>
              </w:rPr>
            </w:pPr>
            <w:r w:rsidRPr="00883399">
              <w:rPr>
                <w:sz w:val="22"/>
              </w:rPr>
              <w:t>Liquid petroleum gas</w:t>
            </w:r>
          </w:p>
        </w:tc>
        <w:tc>
          <w:tcPr>
            <w:tcW w:w="1268" w:type="dxa"/>
            <w:gridSpan w:val="2"/>
            <w:shd w:val="clear" w:color="auto" w:fill="auto"/>
          </w:tcPr>
          <w:p w14:paraId="5FA41BE4" w14:textId="77777777" w:rsidR="00872C03" w:rsidRPr="00883399" w:rsidRDefault="00872C03" w:rsidP="0031057E">
            <w:pPr>
              <w:pStyle w:val="Tabletext0"/>
              <w:rPr>
                <w:sz w:val="22"/>
              </w:rPr>
            </w:pPr>
            <w:r w:rsidRPr="00883399">
              <w:rPr>
                <w:sz w:val="22"/>
              </w:rPr>
              <w:t>8</w:t>
            </w:r>
          </w:p>
        </w:tc>
        <w:tc>
          <w:tcPr>
            <w:tcW w:w="1284" w:type="dxa"/>
            <w:shd w:val="clear" w:color="auto" w:fill="auto"/>
          </w:tcPr>
          <w:p w14:paraId="35CED637" w14:textId="77777777" w:rsidR="00872C03" w:rsidRPr="00883399" w:rsidRDefault="00872C03" w:rsidP="0031057E">
            <w:pPr>
              <w:pStyle w:val="Tabletext0"/>
              <w:rPr>
                <w:sz w:val="22"/>
              </w:rPr>
            </w:pPr>
            <w:r w:rsidRPr="00883399">
              <w:rPr>
                <w:sz w:val="22"/>
              </w:rPr>
              <w:t>3</w:t>
            </w:r>
          </w:p>
        </w:tc>
      </w:tr>
      <w:tr w:rsidR="00872C03" w:rsidRPr="00883399" w14:paraId="0D992933" w14:textId="77777777" w:rsidTr="0031057E">
        <w:tc>
          <w:tcPr>
            <w:tcW w:w="709" w:type="dxa"/>
            <w:shd w:val="clear" w:color="auto" w:fill="auto"/>
          </w:tcPr>
          <w:p w14:paraId="306D0D6B" w14:textId="77777777" w:rsidR="00872C03" w:rsidRPr="00883399" w:rsidRDefault="00872C03" w:rsidP="0031057E">
            <w:pPr>
              <w:pStyle w:val="Tabletext0"/>
              <w:rPr>
                <w:sz w:val="22"/>
              </w:rPr>
            </w:pPr>
            <w:r w:rsidRPr="00883399">
              <w:rPr>
                <w:sz w:val="22"/>
              </w:rPr>
              <w:t>45</w:t>
            </w:r>
          </w:p>
        </w:tc>
        <w:tc>
          <w:tcPr>
            <w:tcW w:w="5103" w:type="dxa"/>
            <w:shd w:val="clear" w:color="auto" w:fill="auto"/>
          </w:tcPr>
          <w:p w14:paraId="62A89CD5" w14:textId="77777777" w:rsidR="00872C03" w:rsidRPr="00883399" w:rsidRDefault="00872C03" w:rsidP="0031057E">
            <w:pPr>
              <w:pStyle w:val="Tabletext0"/>
              <w:rPr>
                <w:sz w:val="22"/>
              </w:rPr>
            </w:pPr>
            <w:r w:rsidRPr="00883399">
              <w:rPr>
                <w:sz w:val="22"/>
              </w:rPr>
              <w:t>Naphtha</w:t>
            </w:r>
          </w:p>
        </w:tc>
        <w:tc>
          <w:tcPr>
            <w:tcW w:w="1268" w:type="dxa"/>
            <w:gridSpan w:val="2"/>
            <w:shd w:val="clear" w:color="auto" w:fill="auto"/>
          </w:tcPr>
          <w:p w14:paraId="799584D9" w14:textId="77777777" w:rsidR="00872C03" w:rsidRPr="00883399" w:rsidRDefault="00872C03" w:rsidP="0031057E">
            <w:pPr>
              <w:pStyle w:val="Tabletext0"/>
              <w:rPr>
                <w:sz w:val="22"/>
              </w:rPr>
            </w:pPr>
            <w:r w:rsidRPr="00883399">
              <w:rPr>
                <w:sz w:val="22"/>
              </w:rPr>
              <w:t>5</w:t>
            </w:r>
          </w:p>
        </w:tc>
        <w:tc>
          <w:tcPr>
            <w:tcW w:w="1284" w:type="dxa"/>
            <w:shd w:val="clear" w:color="auto" w:fill="auto"/>
          </w:tcPr>
          <w:p w14:paraId="78166121" w14:textId="77777777" w:rsidR="00872C03" w:rsidRPr="00883399" w:rsidRDefault="00872C03" w:rsidP="0031057E">
            <w:pPr>
              <w:pStyle w:val="Tabletext0"/>
              <w:rPr>
                <w:sz w:val="22"/>
              </w:rPr>
            </w:pPr>
            <w:r w:rsidRPr="00883399">
              <w:rPr>
                <w:sz w:val="22"/>
              </w:rPr>
              <w:t>5</w:t>
            </w:r>
          </w:p>
        </w:tc>
      </w:tr>
      <w:tr w:rsidR="00872C03" w:rsidRPr="00883399" w14:paraId="5DCE9038" w14:textId="77777777" w:rsidTr="0031057E">
        <w:tc>
          <w:tcPr>
            <w:tcW w:w="709" w:type="dxa"/>
            <w:shd w:val="clear" w:color="auto" w:fill="auto"/>
          </w:tcPr>
          <w:p w14:paraId="47CE46E5" w14:textId="77777777" w:rsidR="00872C03" w:rsidRPr="00883399" w:rsidRDefault="00872C03" w:rsidP="0031057E">
            <w:pPr>
              <w:pStyle w:val="Tabletext0"/>
              <w:rPr>
                <w:sz w:val="22"/>
              </w:rPr>
            </w:pPr>
            <w:r w:rsidRPr="00883399">
              <w:rPr>
                <w:sz w:val="22"/>
              </w:rPr>
              <w:t>46</w:t>
            </w:r>
          </w:p>
        </w:tc>
        <w:tc>
          <w:tcPr>
            <w:tcW w:w="5103" w:type="dxa"/>
            <w:shd w:val="clear" w:color="auto" w:fill="auto"/>
          </w:tcPr>
          <w:p w14:paraId="4F828FF7" w14:textId="77777777" w:rsidR="00872C03" w:rsidRPr="00883399" w:rsidRDefault="00872C03" w:rsidP="0031057E">
            <w:pPr>
              <w:pStyle w:val="Tabletext0"/>
              <w:rPr>
                <w:sz w:val="22"/>
              </w:rPr>
            </w:pPr>
            <w:r w:rsidRPr="00883399">
              <w:rPr>
                <w:sz w:val="22"/>
              </w:rPr>
              <w:t>Petroleum coke</w:t>
            </w:r>
          </w:p>
        </w:tc>
        <w:tc>
          <w:tcPr>
            <w:tcW w:w="1268" w:type="dxa"/>
            <w:gridSpan w:val="2"/>
            <w:shd w:val="clear" w:color="auto" w:fill="auto"/>
          </w:tcPr>
          <w:p w14:paraId="5ED9C93A" w14:textId="77777777" w:rsidR="00872C03" w:rsidRPr="00883399" w:rsidRDefault="00872C03" w:rsidP="0031057E">
            <w:pPr>
              <w:pStyle w:val="Tabletext0"/>
              <w:rPr>
                <w:sz w:val="22"/>
              </w:rPr>
            </w:pPr>
            <w:r w:rsidRPr="00883399">
              <w:rPr>
                <w:sz w:val="22"/>
              </w:rPr>
              <w:t>19</w:t>
            </w:r>
          </w:p>
        </w:tc>
        <w:tc>
          <w:tcPr>
            <w:tcW w:w="1284" w:type="dxa"/>
            <w:shd w:val="clear" w:color="auto" w:fill="auto"/>
          </w:tcPr>
          <w:p w14:paraId="64098F62" w14:textId="77777777" w:rsidR="00872C03" w:rsidRPr="00883399" w:rsidRDefault="00872C03" w:rsidP="0031057E">
            <w:pPr>
              <w:pStyle w:val="Tabletext0"/>
              <w:rPr>
                <w:sz w:val="22"/>
              </w:rPr>
            </w:pPr>
            <w:r w:rsidRPr="00883399">
              <w:rPr>
                <w:sz w:val="22"/>
              </w:rPr>
              <w:t>17</w:t>
            </w:r>
          </w:p>
        </w:tc>
      </w:tr>
      <w:tr w:rsidR="00872C03" w:rsidRPr="00883399" w14:paraId="482B24EB" w14:textId="77777777" w:rsidTr="0031057E">
        <w:tc>
          <w:tcPr>
            <w:tcW w:w="709" w:type="dxa"/>
            <w:shd w:val="clear" w:color="auto" w:fill="auto"/>
          </w:tcPr>
          <w:p w14:paraId="587FAA94" w14:textId="77777777" w:rsidR="00872C03" w:rsidRPr="00883399" w:rsidRDefault="00872C03" w:rsidP="0031057E">
            <w:pPr>
              <w:pStyle w:val="Tabletext0"/>
              <w:rPr>
                <w:sz w:val="22"/>
              </w:rPr>
            </w:pPr>
            <w:r w:rsidRPr="00883399">
              <w:rPr>
                <w:sz w:val="22"/>
              </w:rPr>
              <w:t>47</w:t>
            </w:r>
          </w:p>
        </w:tc>
        <w:tc>
          <w:tcPr>
            <w:tcW w:w="5103" w:type="dxa"/>
            <w:shd w:val="clear" w:color="auto" w:fill="auto"/>
          </w:tcPr>
          <w:p w14:paraId="34BFE1BC" w14:textId="77777777" w:rsidR="00872C03" w:rsidRPr="00883399" w:rsidRDefault="00872C03" w:rsidP="0031057E">
            <w:pPr>
              <w:pStyle w:val="Tabletext0"/>
              <w:rPr>
                <w:sz w:val="22"/>
              </w:rPr>
            </w:pPr>
            <w:r w:rsidRPr="00883399">
              <w:rPr>
                <w:sz w:val="22"/>
              </w:rPr>
              <w:t>Refinery gas and liquids</w:t>
            </w:r>
          </w:p>
        </w:tc>
        <w:tc>
          <w:tcPr>
            <w:tcW w:w="1268" w:type="dxa"/>
            <w:gridSpan w:val="2"/>
            <w:shd w:val="clear" w:color="auto" w:fill="auto"/>
          </w:tcPr>
          <w:p w14:paraId="4043A756" w14:textId="77777777" w:rsidR="00872C03" w:rsidRPr="00883399" w:rsidRDefault="00872C03" w:rsidP="0031057E">
            <w:pPr>
              <w:pStyle w:val="Tabletext0"/>
              <w:rPr>
                <w:sz w:val="22"/>
              </w:rPr>
            </w:pPr>
            <w:r w:rsidRPr="00883399">
              <w:rPr>
                <w:sz w:val="22"/>
              </w:rPr>
              <w:t>19</w:t>
            </w:r>
          </w:p>
        </w:tc>
        <w:tc>
          <w:tcPr>
            <w:tcW w:w="1284" w:type="dxa"/>
            <w:shd w:val="clear" w:color="auto" w:fill="auto"/>
          </w:tcPr>
          <w:p w14:paraId="7E77775D" w14:textId="77777777" w:rsidR="00872C03" w:rsidRPr="00883399" w:rsidRDefault="00872C03" w:rsidP="0031057E">
            <w:pPr>
              <w:pStyle w:val="Tabletext0"/>
              <w:rPr>
                <w:sz w:val="22"/>
              </w:rPr>
            </w:pPr>
            <w:r w:rsidRPr="00883399">
              <w:rPr>
                <w:sz w:val="22"/>
              </w:rPr>
              <w:t>18</w:t>
            </w:r>
          </w:p>
        </w:tc>
      </w:tr>
      <w:tr w:rsidR="00872C03" w:rsidRPr="00883399" w14:paraId="7AC3F069" w14:textId="77777777" w:rsidTr="0031057E">
        <w:tc>
          <w:tcPr>
            <w:tcW w:w="709" w:type="dxa"/>
            <w:shd w:val="clear" w:color="auto" w:fill="auto"/>
          </w:tcPr>
          <w:p w14:paraId="3A342835" w14:textId="77777777" w:rsidR="00872C03" w:rsidRPr="00883399" w:rsidRDefault="00872C03" w:rsidP="0031057E">
            <w:pPr>
              <w:pStyle w:val="Tabletext0"/>
              <w:rPr>
                <w:sz w:val="22"/>
              </w:rPr>
            </w:pPr>
            <w:r w:rsidRPr="00883399">
              <w:rPr>
                <w:sz w:val="22"/>
              </w:rPr>
              <w:t>48</w:t>
            </w:r>
          </w:p>
        </w:tc>
        <w:tc>
          <w:tcPr>
            <w:tcW w:w="5103" w:type="dxa"/>
            <w:shd w:val="clear" w:color="auto" w:fill="auto"/>
          </w:tcPr>
          <w:p w14:paraId="7DF7551D" w14:textId="77777777" w:rsidR="00872C03" w:rsidRPr="00883399" w:rsidRDefault="00872C03" w:rsidP="0031057E">
            <w:pPr>
              <w:pStyle w:val="Tabletext0"/>
              <w:rPr>
                <w:sz w:val="22"/>
              </w:rPr>
            </w:pPr>
            <w:r w:rsidRPr="00883399">
              <w:rPr>
                <w:sz w:val="22"/>
              </w:rPr>
              <w:t>Refinery coke</w:t>
            </w:r>
          </w:p>
        </w:tc>
        <w:tc>
          <w:tcPr>
            <w:tcW w:w="1268" w:type="dxa"/>
            <w:gridSpan w:val="2"/>
            <w:shd w:val="clear" w:color="auto" w:fill="auto"/>
          </w:tcPr>
          <w:p w14:paraId="14892DE7" w14:textId="77777777" w:rsidR="00872C03" w:rsidRPr="00883399" w:rsidRDefault="00872C03" w:rsidP="0031057E">
            <w:pPr>
              <w:pStyle w:val="Tabletext0"/>
              <w:rPr>
                <w:sz w:val="22"/>
              </w:rPr>
            </w:pPr>
            <w:r w:rsidRPr="00883399">
              <w:rPr>
                <w:sz w:val="22"/>
              </w:rPr>
              <w:t>19</w:t>
            </w:r>
          </w:p>
        </w:tc>
        <w:tc>
          <w:tcPr>
            <w:tcW w:w="1284" w:type="dxa"/>
            <w:shd w:val="clear" w:color="auto" w:fill="auto"/>
          </w:tcPr>
          <w:p w14:paraId="6DB2ADD7" w14:textId="77777777" w:rsidR="00872C03" w:rsidRPr="00883399" w:rsidRDefault="00872C03" w:rsidP="0031057E">
            <w:pPr>
              <w:pStyle w:val="Tabletext0"/>
              <w:rPr>
                <w:sz w:val="22"/>
              </w:rPr>
            </w:pPr>
            <w:r w:rsidRPr="00883399">
              <w:rPr>
                <w:sz w:val="22"/>
              </w:rPr>
              <w:t>17</w:t>
            </w:r>
          </w:p>
        </w:tc>
      </w:tr>
      <w:tr w:rsidR="00872C03" w:rsidRPr="00883399" w14:paraId="4C61B38D" w14:textId="77777777" w:rsidTr="0031057E">
        <w:tc>
          <w:tcPr>
            <w:tcW w:w="709" w:type="dxa"/>
            <w:shd w:val="clear" w:color="auto" w:fill="auto"/>
          </w:tcPr>
          <w:p w14:paraId="49EAEE25" w14:textId="77777777" w:rsidR="00872C03" w:rsidRPr="00883399" w:rsidRDefault="00872C03" w:rsidP="0031057E">
            <w:pPr>
              <w:pStyle w:val="Tabletext0"/>
              <w:rPr>
                <w:sz w:val="22"/>
              </w:rPr>
            </w:pPr>
            <w:r w:rsidRPr="00883399">
              <w:rPr>
                <w:sz w:val="22"/>
              </w:rPr>
              <w:t>49</w:t>
            </w:r>
          </w:p>
        </w:tc>
        <w:tc>
          <w:tcPr>
            <w:tcW w:w="5103" w:type="dxa"/>
            <w:shd w:val="clear" w:color="auto" w:fill="auto"/>
          </w:tcPr>
          <w:p w14:paraId="54BEE0F9" w14:textId="77777777" w:rsidR="00872C03" w:rsidRPr="00883399" w:rsidRDefault="00872C03" w:rsidP="0031057E">
            <w:pPr>
              <w:pStyle w:val="Tabletext0"/>
              <w:rPr>
                <w:sz w:val="22"/>
              </w:rPr>
            </w:pPr>
            <w:r w:rsidRPr="00883399">
              <w:rPr>
                <w:sz w:val="22"/>
              </w:rPr>
              <w:t>Petroleum based products other than:</w:t>
            </w:r>
          </w:p>
          <w:p w14:paraId="39C9A100" w14:textId="77777777" w:rsidR="00872C03" w:rsidRPr="00883399" w:rsidRDefault="00872C03" w:rsidP="0031057E">
            <w:pPr>
              <w:pStyle w:val="Tablea"/>
              <w:rPr>
                <w:sz w:val="22"/>
              </w:rPr>
            </w:pPr>
            <w:r w:rsidRPr="00883399">
              <w:rPr>
                <w:sz w:val="22"/>
              </w:rPr>
              <w:t>(a) petroleum based oils and petroleum based greases mentioned in items 31 and 32; and</w:t>
            </w:r>
          </w:p>
          <w:p w14:paraId="07325019" w14:textId="77777777" w:rsidR="00872C03" w:rsidRPr="00883399" w:rsidRDefault="00872C03" w:rsidP="0031057E">
            <w:pPr>
              <w:pStyle w:val="Tablea"/>
              <w:rPr>
                <w:sz w:val="22"/>
              </w:rPr>
            </w:pPr>
            <w:r w:rsidRPr="00883399">
              <w:rPr>
                <w:sz w:val="22"/>
              </w:rPr>
              <w:t>(b) the petroleum based products mentioned in items 33 to 48</w:t>
            </w:r>
          </w:p>
        </w:tc>
        <w:tc>
          <w:tcPr>
            <w:tcW w:w="1268" w:type="dxa"/>
            <w:gridSpan w:val="2"/>
            <w:shd w:val="clear" w:color="auto" w:fill="auto"/>
          </w:tcPr>
          <w:p w14:paraId="3037936B" w14:textId="77777777" w:rsidR="00872C03" w:rsidRPr="00883399" w:rsidRDefault="00872C03" w:rsidP="0031057E">
            <w:pPr>
              <w:pStyle w:val="Tabletext0"/>
              <w:rPr>
                <w:sz w:val="22"/>
              </w:rPr>
            </w:pPr>
            <w:r w:rsidRPr="00883399">
              <w:rPr>
                <w:sz w:val="22"/>
              </w:rPr>
              <w:t>18</w:t>
            </w:r>
          </w:p>
        </w:tc>
        <w:tc>
          <w:tcPr>
            <w:tcW w:w="1284" w:type="dxa"/>
            <w:shd w:val="clear" w:color="auto" w:fill="auto"/>
          </w:tcPr>
          <w:p w14:paraId="5F1F3C85" w14:textId="77777777" w:rsidR="00872C03" w:rsidRPr="00883399" w:rsidRDefault="00872C03" w:rsidP="0031057E">
            <w:pPr>
              <w:pStyle w:val="Tabletext0"/>
              <w:rPr>
                <w:sz w:val="22"/>
              </w:rPr>
            </w:pPr>
            <w:r w:rsidRPr="00883399">
              <w:rPr>
                <w:sz w:val="22"/>
              </w:rPr>
              <w:t>2</w:t>
            </w:r>
          </w:p>
        </w:tc>
      </w:tr>
      <w:tr w:rsidR="00872C03" w:rsidRPr="00883399" w14:paraId="170EFFFD" w14:textId="77777777" w:rsidTr="0031057E">
        <w:tc>
          <w:tcPr>
            <w:tcW w:w="709" w:type="dxa"/>
            <w:shd w:val="clear" w:color="auto" w:fill="auto"/>
          </w:tcPr>
          <w:p w14:paraId="5B31FE04" w14:textId="77777777" w:rsidR="00872C03" w:rsidRPr="00883399" w:rsidRDefault="00872C03" w:rsidP="0031057E">
            <w:pPr>
              <w:pStyle w:val="Tabletext0"/>
              <w:rPr>
                <w:sz w:val="22"/>
              </w:rPr>
            </w:pPr>
            <w:r w:rsidRPr="00883399">
              <w:rPr>
                <w:sz w:val="22"/>
              </w:rPr>
              <w:t>50</w:t>
            </w:r>
          </w:p>
        </w:tc>
        <w:tc>
          <w:tcPr>
            <w:tcW w:w="5103" w:type="dxa"/>
            <w:shd w:val="clear" w:color="auto" w:fill="auto"/>
          </w:tcPr>
          <w:p w14:paraId="27EAB878" w14:textId="77777777" w:rsidR="00872C03" w:rsidRPr="00883399" w:rsidRDefault="00872C03" w:rsidP="0031057E">
            <w:pPr>
              <w:pStyle w:val="Tabletext0"/>
              <w:rPr>
                <w:sz w:val="22"/>
              </w:rPr>
            </w:pPr>
            <w:r w:rsidRPr="00883399">
              <w:rPr>
                <w:sz w:val="22"/>
              </w:rPr>
              <w:t>Biodiesel</w:t>
            </w:r>
          </w:p>
        </w:tc>
        <w:tc>
          <w:tcPr>
            <w:tcW w:w="1268" w:type="dxa"/>
            <w:gridSpan w:val="2"/>
            <w:shd w:val="clear" w:color="auto" w:fill="auto"/>
          </w:tcPr>
          <w:p w14:paraId="72B3A556" w14:textId="77777777" w:rsidR="00872C03" w:rsidRPr="00883399" w:rsidRDefault="00872C03" w:rsidP="0031057E">
            <w:pPr>
              <w:pStyle w:val="Tabletext0"/>
              <w:rPr>
                <w:sz w:val="22"/>
              </w:rPr>
            </w:pPr>
            <w:r w:rsidRPr="00883399">
              <w:rPr>
                <w:sz w:val="22"/>
              </w:rPr>
              <w:t>50</w:t>
            </w:r>
          </w:p>
        </w:tc>
        <w:tc>
          <w:tcPr>
            <w:tcW w:w="1284" w:type="dxa"/>
            <w:shd w:val="clear" w:color="auto" w:fill="auto"/>
          </w:tcPr>
          <w:p w14:paraId="70DADAF6" w14:textId="77777777" w:rsidR="00872C03" w:rsidRPr="00883399" w:rsidRDefault="00872C03" w:rsidP="0031057E">
            <w:pPr>
              <w:pStyle w:val="Tabletext0"/>
              <w:rPr>
                <w:sz w:val="22"/>
              </w:rPr>
            </w:pPr>
            <w:r w:rsidRPr="00883399">
              <w:rPr>
                <w:sz w:val="22"/>
              </w:rPr>
              <w:t>NA</w:t>
            </w:r>
          </w:p>
        </w:tc>
      </w:tr>
      <w:tr w:rsidR="00872C03" w:rsidRPr="00883399" w14:paraId="2085F1F2" w14:textId="77777777" w:rsidTr="0031057E">
        <w:tc>
          <w:tcPr>
            <w:tcW w:w="709" w:type="dxa"/>
            <w:tcBorders>
              <w:bottom w:val="single" w:sz="4" w:space="0" w:color="auto"/>
            </w:tcBorders>
            <w:shd w:val="clear" w:color="auto" w:fill="auto"/>
          </w:tcPr>
          <w:p w14:paraId="357F40B0" w14:textId="77777777" w:rsidR="00872C03" w:rsidRPr="00883399" w:rsidRDefault="00872C03" w:rsidP="0031057E">
            <w:pPr>
              <w:pStyle w:val="Tabletext0"/>
              <w:rPr>
                <w:sz w:val="22"/>
              </w:rPr>
            </w:pPr>
            <w:r w:rsidRPr="00883399">
              <w:rPr>
                <w:sz w:val="22"/>
              </w:rPr>
              <w:t>51</w:t>
            </w:r>
          </w:p>
        </w:tc>
        <w:tc>
          <w:tcPr>
            <w:tcW w:w="5103" w:type="dxa"/>
            <w:tcBorders>
              <w:bottom w:val="single" w:sz="4" w:space="0" w:color="auto"/>
            </w:tcBorders>
            <w:shd w:val="clear" w:color="auto" w:fill="auto"/>
          </w:tcPr>
          <w:p w14:paraId="6DE1671E" w14:textId="77777777" w:rsidR="00872C03" w:rsidRPr="00883399" w:rsidRDefault="00872C03" w:rsidP="0031057E">
            <w:pPr>
              <w:pStyle w:val="Tabletext0"/>
              <w:rPr>
                <w:sz w:val="22"/>
              </w:rPr>
            </w:pPr>
            <w:r w:rsidRPr="00883399">
              <w:rPr>
                <w:sz w:val="22"/>
              </w:rPr>
              <w:t>Ethanol for use as a fuel in an internal combustion engine</w:t>
            </w:r>
          </w:p>
        </w:tc>
        <w:tc>
          <w:tcPr>
            <w:tcW w:w="1268" w:type="dxa"/>
            <w:gridSpan w:val="2"/>
            <w:tcBorders>
              <w:bottom w:val="single" w:sz="4" w:space="0" w:color="auto"/>
            </w:tcBorders>
            <w:shd w:val="clear" w:color="auto" w:fill="auto"/>
          </w:tcPr>
          <w:p w14:paraId="7B3DD92A" w14:textId="77777777" w:rsidR="00872C03" w:rsidRPr="00883399" w:rsidRDefault="00872C03" w:rsidP="0031057E">
            <w:pPr>
              <w:pStyle w:val="Tabletext0"/>
              <w:rPr>
                <w:sz w:val="22"/>
              </w:rPr>
            </w:pPr>
            <w:r w:rsidRPr="00883399">
              <w:rPr>
                <w:sz w:val="22"/>
              </w:rPr>
              <w:t>50</w:t>
            </w:r>
          </w:p>
        </w:tc>
        <w:tc>
          <w:tcPr>
            <w:tcW w:w="1284" w:type="dxa"/>
            <w:tcBorders>
              <w:bottom w:val="single" w:sz="4" w:space="0" w:color="auto"/>
            </w:tcBorders>
            <w:shd w:val="clear" w:color="auto" w:fill="auto"/>
          </w:tcPr>
          <w:p w14:paraId="0EC1166C" w14:textId="77777777" w:rsidR="00872C03" w:rsidRPr="00883399" w:rsidRDefault="00872C03" w:rsidP="0031057E">
            <w:pPr>
              <w:pStyle w:val="Tabletext0"/>
              <w:rPr>
                <w:sz w:val="22"/>
              </w:rPr>
            </w:pPr>
            <w:r w:rsidRPr="00883399">
              <w:rPr>
                <w:sz w:val="22"/>
              </w:rPr>
              <w:t>NA</w:t>
            </w:r>
          </w:p>
        </w:tc>
      </w:tr>
      <w:tr w:rsidR="00872C03" w:rsidRPr="00883399" w14:paraId="47EC81B8" w14:textId="77777777" w:rsidTr="0031057E">
        <w:tc>
          <w:tcPr>
            <w:tcW w:w="709" w:type="dxa"/>
            <w:tcBorders>
              <w:bottom w:val="single" w:sz="12" w:space="0" w:color="auto"/>
            </w:tcBorders>
            <w:shd w:val="clear" w:color="auto" w:fill="auto"/>
          </w:tcPr>
          <w:p w14:paraId="4D9F9A0B" w14:textId="77777777" w:rsidR="00872C03" w:rsidRPr="00883399" w:rsidRDefault="00872C03" w:rsidP="0031057E">
            <w:pPr>
              <w:pStyle w:val="Tabletext0"/>
              <w:rPr>
                <w:sz w:val="22"/>
              </w:rPr>
            </w:pPr>
            <w:r w:rsidRPr="00883399">
              <w:rPr>
                <w:sz w:val="22"/>
              </w:rPr>
              <w:t>52</w:t>
            </w:r>
          </w:p>
        </w:tc>
        <w:tc>
          <w:tcPr>
            <w:tcW w:w="5103" w:type="dxa"/>
            <w:tcBorders>
              <w:bottom w:val="single" w:sz="12" w:space="0" w:color="auto"/>
            </w:tcBorders>
            <w:shd w:val="clear" w:color="auto" w:fill="auto"/>
          </w:tcPr>
          <w:p w14:paraId="7EE57C9F" w14:textId="77777777" w:rsidR="00872C03" w:rsidRPr="00883399" w:rsidRDefault="00872C03" w:rsidP="0031057E">
            <w:pPr>
              <w:pStyle w:val="Tabletext0"/>
              <w:rPr>
                <w:sz w:val="22"/>
              </w:rPr>
            </w:pPr>
            <w:r w:rsidRPr="00883399">
              <w:rPr>
                <w:sz w:val="22"/>
              </w:rPr>
              <w:t>Biofuels other than those mentioned in items 50 and 51</w:t>
            </w:r>
          </w:p>
        </w:tc>
        <w:tc>
          <w:tcPr>
            <w:tcW w:w="1268" w:type="dxa"/>
            <w:gridSpan w:val="2"/>
            <w:tcBorders>
              <w:bottom w:val="single" w:sz="12" w:space="0" w:color="auto"/>
            </w:tcBorders>
            <w:shd w:val="clear" w:color="auto" w:fill="auto"/>
          </w:tcPr>
          <w:p w14:paraId="44EADDCB" w14:textId="77777777" w:rsidR="00872C03" w:rsidRPr="00883399" w:rsidRDefault="00872C03" w:rsidP="0031057E">
            <w:pPr>
              <w:pStyle w:val="Tabletext0"/>
              <w:rPr>
                <w:sz w:val="22"/>
              </w:rPr>
            </w:pPr>
            <w:r w:rsidRPr="00883399">
              <w:rPr>
                <w:sz w:val="22"/>
              </w:rPr>
              <w:t>50</w:t>
            </w:r>
          </w:p>
        </w:tc>
        <w:tc>
          <w:tcPr>
            <w:tcW w:w="1284" w:type="dxa"/>
            <w:tcBorders>
              <w:bottom w:val="single" w:sz="12" w:space="0" w:color="auto"/>
            </w:tcBorders>
            <w:shd w:val="clear" w:color="auto" w:fill="auto"/>
          </w:tcPr>
          <w:p w14:paraId="014B7C4F" w14:textId="77777777" w:rsidR="00872C03" w:rsidRPr="00883399" w:rsidRDefault="00872C03" w:rsidP="0031057E">
            <w:pPr>
              <w:pStyle w:val="Tabletext0"/>
              <w:rPr>
                <w:sz w:val="22"/>
              </w:rPr>
            </w:pPr>
            <w:r w:rsidRPr="00883399">
              <w:rPr>
                <w:sz w:val="22"/>
              </w:rPr>
              <w:t>NA</w:t>
            </w:r>
          </w:p>
        </w:tc>
      </w:tr>
    </w:tbl>
    <w:p w14:paraId="57395153" w14:textId="77777777" w:rsidR="00872C03" w:rsidRPr="00883399" w:rsidRDefault="00872C03" w:rsidP="00872C03">
      <w:pPr>
        <w:pStyle w:val="subsection"/>
        <w:rPr>
          <w:sz w:val="24"/>
        </w:rPr>
      </w:pPr>
      <w:r w:rsidRPr="00883399">
        <w:rPr>
          <w:sz w:val="24"/>
        </w:rPr>
        <w:tab/>
        <w:t>(2)</w:t>
      </w:r>
      <w:r w:rsidRPr="00883399">
        <w:rPr>
          <w:sz w:val="24"/>
        </w:rPr>
        <w:tab/>
        <w:t xml:space="preserve">In the table in subsection (1), </w:t>
      </w:r>
      <w:r w:rsidRPr="00883399">
        <w:rPr>
          <w:b/>
          <w:i/>
          <w:sz w:val="24"/>
        </w:rPr>
        <w:t>NA</w:t>
      </w:r>
      <w:r w:rsidRPr="00883399">
        <w:rPr>
          <w:sz w:val="24"/>
        </w:rPr>
        <w:t xml:space="preserve"> means not applicable.</w:t>
      </w:r>
    </w:p>
    <w:p w14:paraId="4CF1CE85" w14:textId="77777777" w:rsidR="00872C03" w:rsidRPr="00883399" w:rsidRDefault="00872C03" w:rsidP="00872C03">
      <w:pPr>
        <w:pStyle w:val="subsection"/>
        <w:rPr>
          <w:sz w:val="24"/>
        </w:rPr>
      </w:pPr>
      <w:r w:rsidRPr="00883399">
        <w:rPr>
          <w:sz w:val="24"/>
        </w:rPr>
        <w:tab/>
        <w:t>(3)</w:t>
      </w:r>
      <w:r w:rsidRPr="00883399">
        <w:rPr>
          <w:sz w:val="24"/>
        </w:rPr>
        <w:tab/>
        <w:t>For a fuel type specified in column 2 of an item of the following table:</w:t>
      </w:r>
    </w:p>
    <w:p w14:paraId="738C9756" w14:textId="77777777" w:rsidR="00872C03" w:rsidRPr="00883399" w:rsidRDefault="00872C03" w:rsidP="00872C03">
      <w:pPr>
        <w:pStyle w:val="paragraph"/>
        <w:rPr>
          <w:sz w:val="24"/>
        </w:rPr>
      </w:pPr>
      <w:r w:rsidRPr="00883399">
        <w:rPr>
          <w:sz w:val="24"/>
        </w:rPr>
        <w:tab/>
        <w:t>(a)</w:t>
      </w:r>
      <w:r w:rsidRPr="00883399">
        <w:rPr>
          <w:sz w:val="24"/>
        </w:rPr>
        <w:tab/>
        <w:t xml:space="preserve">column 3 for the item sets out the uncertainty level for the estimated quantities of fuel combusted using criterion A in Chapter 2; and </w:t>
      </w:r>
    </w:p>
    <w:p w14:paraId="7396A1F8" w14:textId="77777777" w:rsidR="00872C03" w:rsidRPr="00883399" w:rsidRDefault="00872C03" w:rsidP="00872C03">
      <w:pPr>
        <w:pStyle w:val="paragraph"/>
        <w:rPr>
          <w:sz w:val="24"/>
        </w:rPr>
      </w:pPr>
      <w:r w:rsidRPr="00883399">
        <w:rPr>
          <w:sz w:val="24"/>
        </w:rPr>
        <w:tab/>
        <w:t>(b)</w:t>
      </w:r>
      <w:r w:rsidRPr="00883399">
        <w:rPr>
          <w:sz w:val="24"/>
        </w:rPr>
        <w:tab/>
        <w:t>column 4 for the item sets out the uncertainty level for the estimated quantities of fuel combusted using criterion AA in Chapter 2; and</w:t>
      </w:r>
    </w:p>
    <w:p w14:paraId="74D09E4D" w14:textId="77777777" w:rsidR="00872C03" w:rsidRPr="00883399" w:rsidRDefault="00872C03" w:rsidP="00872C03">
      <w:pPr>
        <w:pStyle w:val="paragraph"/>
        <w:rPr>
          <w:sz w:val="24"/>
        </w:rPr>
      </w:pPr>
      <w:r w:rsidRPr="00883399">
        <w:rPr>
          <w:sz w:val="24"/>
        </w:rPr>
        <w:tab/>
        <w:t>(c)</w:t>
      </w:r>
      <w:r w:rsidRPr="00883399">
        <w:rPr>
          <w:sz w:val="24"/>
        </w:rPr>
        <w:tab/>
        <w:t>column 5 for the item sets out the uncertainty level for the estimated quantities of fuel combusted using criterion AAA in Chapter 2; and</w:t>
      </w:r>
    </w:p>
    <w:p w14:paraId="0255EFE1" w14:textId="77777777" w:rsidR="00872C03" w:rsidRPr="00883399" w:rsidRDefault="00872C03" w:rsidP="00872C03">
      <w:pPr>
        <w:pStyle w:val="paragraph"/>
        <w:rPr>
          <w:sz w:val="24"/>
        </w:rPr>
      </w:pPr>
      <w:r w:rsidRPr="00883399">
        <w:rPr>
          <w:sz w:val="24"/>
        </w:rPr>
        <w:tab/>
        <w:t>(d)</w:t>
      </w:r>
      <w:r w:rsidRPr="00883399">
        <w:rPr>
          <w:sz w:val="24"/>
        </w:rPr>
        <w:tab/>
        <w:t>column 6 for the item sets out the uncertainty level for the estimated quantities of fuel combusted using criterion BBB in Chapter 2.</w:t>
      </w:r>
    </w:p>
    <w:p w14:paraId="35E0409D" w14:textId="77777777" w:rsidR="00872C03" w:rsidRPr="00883399" w:rsidRDefault="00872C03" w:rsidP="00872C03">
      <w:pPr>
        <w:pStyle w:val="notetext"/>
        <w:rPr>
          <w:sz w:val="20"/>
        </w:rPr>
      </w:pPr>
      <w:r w:rsidRPr="00883399">
        <w:rPr>
          <w:sz w:val="20"/>
        </w:rPr>
        <w:t>Note:</w:t>
      </w:r>
      <w:r w:rsidRPr="00883399">
        <w:rPr>
          <w:sz w:val="20"/>
        </w:rPr>
        <w:tab/>
        <w:t>Division 2.2.5 sets out the relevant criteria for solid fuels; Division 2.3.6 sets out the relevant criteria for gaseous fuels; and Division 2.4.6 sets out the relevant criteria for liquid fuels.</w:t>
      </w:r>
    </w:p>
    <w:p w14:paraId="771B9183" w14:textId="77777777" w:rsidR="00872C03" w:rsidRPr="00883399" w:rsidRDefault="00872C03" w:rsidP="00872C03">
      <w:pPr>
        <w:pStyle w:val="Tabletext0"/>
        <w:rPr>
          <w:sz w:val="22"/>
        </w:rPr>
      </w:pPr>
    </w:p>
    <w:tbl>
      <w:tblPr>
        <w:tblW w:w="8278" w:type="dxa"/>
        <w:tblInd w:w="108" w:type="dxa"/>
        <w:tblLayout w:type="fixed"/>
        <w:tblLook w:val="0000" w:firstRow="0" w:lastRow="0" w:firstColumn="0" w:lastColumn="0" w:noHBand="0" w:noVBand="0"/>
      </w:tblPr>
      <w:tblGrid>
        <w:gridCol w:w="840"/>
        <w:gridCol w:w="2160"/>
        <w:gridCol w:w="1319"/>
        <w:gridCol w:w="1320"/>
        <w:gridCol w:w="1319"/>
        <w:gridCol w:w="1320"/>
      </w:tblGrid>
      <w:tr w:rsidR="00872C03" w:rsidRPr="00883399" w14:paraId="2D575D0D" w14:textId="77777777" w:rsidTr="0031057E">
        <w:trPr>
          <w:trHeight w:val="264"/>
        </w:trPr>
        <w:tc>
          <w:tcPr>
            <w:tcW w:w="840" w:type="dxa"/>
            <w:vMerge w:val="restart"/>
            <w:tcBorders>
              <w:top w:val="single" w:sz="12" w:space="0" w:color="auto"/>
            </w:tcBorders>
            <w:shd w:val="clear" w:color="auto" w:fill="auto"/>
            <w:noWrap/>
          </w:tcPr>
          <w:p w14:paraId="77AA548F" w14:textId="77777777" w:rsidR="00872C03" w:rsidRPr="00883399" w:rsidRDefault="00872C03" w:rsidP="0031057E">
            <w:pPr>
              <w:pStyle w:val="TableHeading"/>
              <w:rPr>
                <w:sz w:val="22"/>
              </w:rPr>
            </w:pPr>
            <w:r w:rsidRPr="00883399">
              <w:rPr>
                <w:sz w:val="22"/>
              </w:rPr>
              <w:t>Item</w:t>
            </w:r>
          </w:p>
        </w:tc>
        <w:tc>
          <w:tcPr>
            <w:tcW w:w="2160" w:type="dxa"/>
            <w:vMerge w:val="restart"/>
            <w:tcBorders>
              <w:top w:val="single" w:sz="12" w:space="0" w:color="auto"/>
            </w:tcBorders>
            <w:shd w:val="clear" w:color="auto" w:fill="auto"/>
            <w:noWrap/>
          </w:tcPr>
          <w:p w14:paraId="5C7AE975" w14:textId="77777777" w:rsidR="00872C03" w:rsidRPr="00883399" w:rsidRDefault="00872C03" w:rsidP="0031057E">
            <w:pPr>
              <w:pStyle w:val="TableHeading"/>
              <w:rPr>
                <w:sz w:val="22"/>
              </w:rPr>
            </w:pPr>
            <w:r w:rsidRPr="00883399">
              <w:rPr>
                <w:sz w:val="22"/>
              </w:rPr>
              <w:t>Fuel type</w:t>
            </w:r>
          </w:p>
        </w:tc>
        <w:tc>
          <w:tcPr>
            <w:tcW w:w="5278" w:type="dxa"/>
            <w:gridSpan w:val="4"/>
            <w:tcBorders>
              <w:top w:val="single" w:sz="12" w:space="0" w:color="auto"/>
              <w:bottom w:val="single" w:sz="4" w:space="0" w:color="auto"/>
            </w:tcBorders>
            <w:shd w:val="clear" w:color="auto" w:fill="auto"/>
            <w:noWrap/>
            <w:vAlign w:val="bottom"/>
          </w:tcPr>
          <w:p w14:paraId="725B22EA" w14:textId="77777777" w:rsidR="00872C03" w:rsidRPr="00883399" w:rsidRDefault="00872C03" w:rsidP="0031057E">
            <w:pPr>
              <w:pStyle w:val="TableHeading"/>
              <w:rPr>
                <w:sz w:val="22"/>
              </w:rPr>
            </w:pPr>
            <w:r w:rsidRPr="00883399">
              <w:rPr>
                <w:sz w:val="22"/>
              </w:rPr>
              <w:t>Uncertainty levels for quantities of fuel combusted (%)</w:t>
            </w:r>
          </w:p>
        </w:tc>
      </w:tr>
      <w:tr w:rsidR="00872C03" w:rsidRPr="00883399" w14:paraId="046F2F74" w14:textId="77777777" w:rsidTr="0031057E">
        <w:trPr>
          <w:trHeight w:val="264"/>
        </w:trPr>
        <w:tc>
          <w:tcPr>
            <w:tcW w:w="840" w:type="dxa"/>
            <w:vMerge/>
            <w:shd w:val="clear" w:color="auto" w:fill="auto"/>
            <w:noWrap/>
            <w:vAlign w:val="bottom"/>
          </w:tcPr>
          <w:p w14:paraId="0B9980E3" w14:textId="77777777" w:rsidR="00872C03" w:rsidRPr="00883399" w:rsidRDefault="00872C03" w:rsidP="0031057E"/>
        </w:tc>
        <w:tc>
          <w:tcPr>
            <w:tcW w:w="2160" w:type="dxa"/>
            <w:vMerge/>
            <w:shd w:val="clear" w:color="auto" w:fill="auto"/>
            <w:noWrap/>
            <w:vAlign w:val="bottom"/>
          </w:tcPr>
          <w:p w14:paraId="1AF22AAE" w14:textId="77777777" w:rsidR="00872C03" w:rsidRPr="00883399" w:rsidRDefault="00872C03" w:rsidP="0031057E"/>
        </w:tc>
        <w:tc>
          <w:tcPr>
            <w:tcW w:w="5278" w:type="dxa"/>
            <w:gridSpan w:val="4"/>
            <w:tcBorders>
              <w:top w:val="single" w:sz="4" w:space="0" w:color="auto"/>
              <w:bottom w:val="single" w:sz="4" w:space="0" w:color="auto"/>
            </w:tcBorders>
            <w:shd w:val="clear" w:color="auto" w:fill="auto"/>
            <w:noWrap/>
            <w:vAlign w:val="bottom"/>
          </w:tcPr>
          <w:p w14:paraId="575C211D" w14:textId="77777777" w:rsidR="00872C03" w:rsidRPr="00883399" w:rsidRDefault="00872C03" w:rsidP="0031057E">
            <w:pPr>
              <w:pStyle w:val="TableHeading"/>
              <w:rPr>
                <w:sz w:val="22"/>
              </w:rPr>
            </w:pPr>
            <w:r w:rsidRPr="00883399">
              <w:rPr>
                <w:sz w:val="22"/>
              </w:rPr>
              <w:t xml:space="preserve">Criterion used for estimation of quantity of fuel combusted </w:t>
            </w:r>
          </w:p>
        </w:tc>
      </w:tr>
      <w:tr w:rsidR="00872C03" w:rsidRPr="00883399" w14:paraId="61BD5D5A" w14:textId="77777777" w:rsidTr="0031057E">
        <w:trPr>
          <w:trHeight w:val="264"/>
        </w:trPr>
        <w:tc>
          <w:tcPr>
            <w:tcW w:w="840" w:type="dxa"/>
            <w:vMerge/>
            <w:tcBorders>
              <w:bottom w:val="single" w:sz="12" w:space="0" w:color="auto"/>
            </w:tcBorders>
            <w:shd w:val="clear" w:color="auto" w:fill="auto"/>
            <w:noWrap/>
            <w:vAlign w:val="bottom"/>
          </w:tcPr>
          <w:p w14:paraId="387C276B" w14:textId="77777777" w:rsidR="00872C03" w:rsidRPr="00883399" w:rsidRDefault="00872C03" w:rsidP="0031057E"/>
        </w:tc>
        <w:tc>
          <w:tcPr>
            <w:tcW w:w="2160" w:type="dxa"/>
            <w:vMerge/>
            <w:tcBorders>
              <w:bottom w:val="single" w:sz="12" w:space="0" w:color="auto"/>
            </w:tcBorders>
            <w:shd w:val="clear" w:color="auto" w:fill="auto"/>
            <w:noWrap/>
            <w:vAlign w:val="bottom"/>
          </w:tcPr>
          <w:p w14:paraId="0E010925" w14:textId="77777777" w:rsidR="00872C03" w:rsidRPr="00883399" w:rsidRDefault="00872C03" w:rsidP="0031057E"/>
        </w:tc>
        <w:tc>
          <w:tcPr>
            <w:tcW w:w="1319" w:type="dxa"/>
            <w:tcBorders>
              <w:top w:val="single" w:sz="4" w:space="0" w:color="auto"/>
              <w:bottom w:val="single" w:sz="12" w:space="0" w:color="auto"/>
            </w:tcBorders>
            <w:shd w:val="clear" w:color="auto" w:fill="auto"/>
            <w:noWrap/>
            <w:vAlign w:val="bottom"/>
          </w:tcPr>
          <w:p w14:paraId="58C878AD" w14:textId="77777777" w:rsidR="00872C03" w:rsidRPr="00883399" w:rsidRDefault="00872C03" w:rsidP="0031057E">
            <w:pPr>
              <w:pStyle w:val="TableHeading"/>
              <w:rPr>
                <w:sz w:val="22"/>
              </w:rPr>
            </w:pPr>
            <w:r w:rsidRPr="00883399">
              <w:rPr>
                <w:sz w:val="22"/>
              </w:rPr>
              <w:t>A</w:t>
            </w:r>
          </w:p>
        </w:tc>
        <w:tc>
          <w:tcPr>
            <w:tcW w:w="1320" w:type="dxa"/>
            <w:tcBorders>
              <w:top w:val="single" w:sz="4" w:space="0" w:color="auto"/>
              <w:bottom w:val="single" w:sz="12" w:space="0" w:color="auto"/>
            </w:tcBorders>
            <w:shd w:val="clear" w:color="auto" w:fill="auto"/>
            <w:noWrap/>
            <w:vAlign w:val="bottom"/>
          </w:tcPr>
          <w:p w14:paraId="1DCA7372" w14:textId="77777777" w:rsidR="00872C03" w:rsidRPr="00883399" w:rsidRDefault="00872C03" w:rsidP="0031057E">
            <w:pPr>
              <w:pStyle w:val="TableHeading"/>
              <w:rPr>
                <w:sz w:val="22"/>
              </w:rPr>
            </w:pPr>
            <w:r w:rsidRPr="00883399">
              <w:rPr>
                <w:sz w:val="22"/>
              </w:rPr>
              <w:t>AA</w:t>
            </w:r>
          </w:p>
        </w:tc>
        <w:tc>
          <w:tcPr>
            <w:tcW w:w="1319" w:type="dxa"/>
            <w:tcBorders>
              <w:top w:val="single" w:sz="4" w:space="0" w:color="auto"/>
              <w:bottom w:val="single" w:sz="12" w:space="0" w:color="auto"/>
            </w:tcBorders>
            <w:shd w:val="clear" w:color="auto" w:fill="auto"/>
            <w:noWrap/>
            <w:vAlign w:val="bottom"/>
          </w:tcPr>
          <w:p w14:paraId="7ABB93C8" w14:textId="77777777" w:rsidR="00872C03" w:rsidRPr="00883399" w:rsidRDefault="00872C03" w:rsidP="0031057E">
            <w:pPr>
              <w:pStyle w:val="TableHeading"/>
              <w:rPr>
                <w:sz w:val="22"/>
              </w:rPr>
            </w:pPr>
            <w:r w:rsidRPr="00883399">
              <w:rPr>
                <w:sz w:val="22"/>
              </w:rPr>
              <w:t>AAA</w:t>
            </w:r>
          </w:p>
        </w:tc>
        <w:tc>
          <w:tcPr>
            <w:tcW w:w="1320" w:type="dxa"/>
            <w:tcBorders>
              <w:top w:val="single" w:sz="4" w:space="0" w:color="auto"/>
              <w:bottom w:val="single" w:sz="12" w:space="0" w:color="auto"/>
            </w:tcBorders>
            <w:shd w:val="clear" w:color="auto" w:fill="auto"/>
            <w:noWrap/>
            <w:vAlign w:val="bottom"/>
          </w:tcPr>
          <w:p w14:paraId="092168C7" w14:textId="77777777" w:rsidR="00872C03" w:rsidRPr="00883399" w:rsidRDefault="00872C03" w:rsidP="0031057E">
            <w:pPr>
              <w:pStyle w:val="TableHeading"/>
              <w:rPr>
                <w:sz w:val="22"/>
              </w:rPr>
            </w:pPr>
            <w:r w:rsidRPr="00883399">
              <w:rPr>
                <w:sz w:val="22"/>
              </w:rPr>
              <w:t>BBB</w:t>
            </w:r>
          </w:p>
        </w:tc>
      </w:tr>
      <w:tr w:rsidR="00872C03" w:rsidRPr="00883399" w14:paraId="35B3D993" w14:textId="77777777" w:rsidTr="0031057E">
        <w:trPr>
          <w:trHeight w:val="264"/>
        </w:trPr>
        <w:tc>
          <w:tcPr>
            <w:tcW w:w="840" w:type="dxa"/>
            <w:tcBorders>
              <w:top w:val="single" w:sz="12" w:space="0" w:color="auto"/>
              <w:bottom w:val="single" w:sz="4" w:space="0" w:color="auto"/>
            </w:tcBorders>
            <w:shd w:val="clear" w:color="auto" w:fill="auto"/>
            <w:noWrap/>
            <w:vAlign w:val="bottom"/>
          </w:tcPr>
          <w:p w14:paraId="38B33557" w14:textId="77777777" w:rsidR="00872C03" w:rsidRPr="00883399" w:rsidRDefault="00872C03" w:rsidP="0031057E">
            <w:pPr>
              <w:pStyle w:val="Tabletext0"/>
              <w:rPr>
                <w:sz w:val="22"/>
              </w:rPr>
            </w:pPr>
            <w:r w:rsidRPr="00883399">
              <w:rPr>
                <w:sz w:val="22"/>
              </w:rPr>
              <w:t>1</w:t>
            </w:r>
          </w:p>
        </w:tc>
        <w:tc>
          <w:tcPr>
            <w:tcW w:w="2160" w:type="dxa"/>
            <w:tcBorders>
              <w:top w:val="single" w:sz="12" w:space="0" w:color="auto"/>
              <w:bottom w:val="single" w:sz="4" w:space="0" w:color="auto"/>
            </w:tcBorders>
            <w:shd w:val="clear" w:color="auto" w:fill="auto"/>
            <w:vAlign w:val="bottom"/>
          </w:tcPr>
          <w:p w14:paraId="4E1216CF" w14:textId="77777777" w:rsidR="00872C03" w:rsidRPr="00883399" w:rsidRDefault="00872C03" w:rsidP="0031057E">
            <w:pPr>
              <w:pStyle w:val="Tabletext0"/>
              <w:rPr>
                <w:sz w:val="22"/>
              </w:rPr>
            </w:pPr>
            <w:r w:rsidRPr="00883399">
              <w:rPr>
                <w:sz w:val="22"/>
              </w:rPr>
              <w:t>Solid fuel</w:t>
            </w:r>
          </w:p>
        </w:tc>
        <w:tc>
          <w:tcPr>
            <w:tcW w:w="1319" w:type="dxa"/>
            <w:tcBorders>
              <w:top w:val="single" w:sz="12" w:space="0" w:color="auto"/>
              <w:bottom w:val="single" w:sz="4" w:space="0" w:color="auto"/>
            </w:tcBorders>
            <w:shd w:val="clear" w:color="auto" w:fill="auto"/>
            <w:noWrap/>
            <w:vAlign w:val="bottom"/>
          </w:tcPr>
          <w:p w14:paraId="2701D2A0" w14:textId="77777777" w:rsidR="00872C03" w:rsidRPr="00883399" w:rsidRDefault="00872C03" w:rsidP="0031057E">
            <w:pPr>
              <w:pStyle w:val="Tabletext0"/>
              <w:rPr>
                <w:sz w:val="22"/>
              </w:rPr>
            </w:pPr>
            <w:r w:rsidRPr="00883399">
              <w:rPr>
                <w:sz w:val="22"/>
              </w:rPr>
              <w:t>2.5</w:t>
            </w:r>
          </w:p>
        </w:tc>
        <w:tc>
          <w:tcPr>
            <w:tcW w:w="1320" w:type="dxa"/>
            <w:tcBorders>
              <w:top w:val="single" w:sz="12" w:space="0" w:color="auto"/>
              <w:bottom w:val="single" w:sz="4" w:space="0" w:color="auto"/>
            </w:tcBorders>
            <w:shd w:val="clear" w:color="auto" w:fill="auto"/>
            <w:noWrap/>
            <w:vAlign w:val="bottom"/>
          </w:tcPr>
          <w:p w14:paraId="0BFA0C49" w14:textId="77777777" w:rsidR="00872C03" w:rsidRPr="00883399" w:rsidRDefault="00872C03" w:rsidP="0031057E">
            <w:pPr>
              <w:pStyle w:val="Tabletext0"/>
              <w:rPr>
                <w:sz w:val="22"/>
              </w:rPr>
            </w:pPr>
            <w:r w:rsidRPr="00883399">
              <w:rPr>
                <w:sz w:val="22"/>
              </w:rPr>
              <w:t>2.5</w:t>
            </w:r>
          </w:p>
        </w:tc>
        <w:tc>
          <w:tcPr>
            <w:tcW w:w="1319" w:type="dxa"/>
            <w:tcBorders>
              <w:top w:val="single" w:sz="12" w:space="0" w:color="auto"/>
              <w:bottom w:val="single" w:sz="4" w:space="0" w:color="auto"/>
            </w:tcBorders>
            <w:shd w:val="clear" w:color="auto" w:fill="auto"/>
            <w:noWrap/>
            <w:vAlign w:val="bottom"/>
          </w:tcPr>
          <w:p w14:paraId="12B5FCED" w14:textId="77777777" w:rsidR="00872C03" w:rsidRPr="00883399" w:rsidRDefault="00872C03" w:rsidP="0031057E">
            <w:pPr>
              <w:pStyle w:val="Tabletext0"/>
              <w:rPr>
                <w:sz w:val="22"/>
              </w:rPr>
            </w:pPr>
            <w:r w:rsidRPr="00883399">
              <w:rPr>
                <w:sz w:val="22"/>
              </w:rPr>
              <w:t>1.5</w:t>
            </w:r>
          </w:p>
        </w:tc>
        <w:tc>
          <w:tcPr>
            <w:tcW w:w="1320" w:type="dxa"/>
            <w:tcBorders>
              <w:top w:val="single" w:sz="12" w:space="0" w:color="auto"/>
              <w:bottom w:val="single" w:sz="4" w:space="0" w:color="auto"/>
            </w:tcBorders>
            <w:shd w:val="clear" w:color="auto" w:fill="auto"/>
            <w:noWrap/>
            <w:vAlign w:val="bottom"/>
          </w:tcPr>
          <w:p w14:paraId="6AB4D09C" w14:textId="77777777" w:rsidR="00872C03" w:rsidRPr="00883399" w:rsidRDefault="00872C03" w:rsidP="0031057E">
            <w:pPr>
              <w:pStyle w:val="Tabletext0"/>
              <w:rPr>
                <w:sz w:val="22"/>
              </w:rPr>
            </w:pPr>
            <w:r w:rsidRPr="00883399">
              <w:rPr>
                <w:sz w:val="22"/>
              </w:rPr>
              <w:t>7.5</w:t>
            </w:r>
          </w:p>
        </w:tc>
      </w:tr>
      <w:tr w:rsidR="00872C03" w:rsidRPr="00883399" w14:paraId="5A8FB6CA" w14:textId="77777777" w:rsidTr="0031057E">
        <w:trPr>
          <w:trHeight w:val="264"/>
        </w:trPr>
        <w:tc>
          <w:tcPr>
            <w:tcW w:w="840" w:type="dxa"/>
            <w:tcBorders>
              <w:top w:val="single" w:sz="4" w:space="0" w:color="auto"/>
              <w:bottom w:val="single" w:sz="4" w:space="0" w:color="auto"/>
            </w:tcBorders>
            <w:shd w:val="clear" w:color="auto" w:fill="auto"/>
            <w:noWrap/>
            <w:vAlign w:val="bottom"/>
          </w:tcPr>
          <w:p w14:paraId="4FAE9B44" w14:textId="77777777" w:rsidR="00872C03" w:rsidRPr="00883399" w:rsidRDefault="00872C03" w:rsidP="0031057E">
            <w:pPr>
              <w:pStyle w:val="Tabletext0"/>
              <w:rPr>
                <w:sz w:val="22"/>
              </w:rPr>
            </w:pPr>
            <w:r w:rsidRPr="00883399">
              <w:rPr>
                <w:sz w:val="22"/>
              </w:rPr>
              <w:t>2</w:t>
            </w:r>
          </w:p>
        </w:tc>
        <w:tc>
          <w:tcPr>
            <w:tcW w:w="2160" w:type="dxa"/>
            <w:tcBorders>
              <w:top w:val="single" w:sz="4" w:space="0" w:color="auto"/>
              <w:bottom w:val="single" w:sz="4" w:space="0" w:color="auto"/>
            </w:tcBorders>
            <w:shd w:val="clear" w:color="auto" w:fill="auto"/>
            <w:vAlign w:val="bottom"/>
          </w:tcPr>
          <w:p w14:paraId="788768C0" w14:textId="77777777" w:rsidR="00872C03" w:rsidRPr="00883399" w:rsidRDefault="00872C03" w:rsidP="0031057E">
            <w:pPr>
              <w:pStyle w:val="Tabletext0"/>
              <w:rPr>
                <w:sz w:val="22"/>
              </w:rPr>
            </w:pPr>
            <w:r w:rsidRPr="00883399">
              <w:rPr>
                <w:sz w:val="22"/>
              </w:rPr>
              <w:t>Liquid fuel</w:t>
            </w:r>
          </w:p>
        </w:tc>
        <w:tc>
          <w:tcPr>
            <w:tcW w:w="1319" w:type="dxa"/>
            <w:tcBorders>
              <w:top w:val="single" w:sz="4" w:space="0" w:color="auto"/>
              <w:bottom w:val="single" w:sz="4" w:space="0" w:color="auto"/>
            </w:tcBorders>
            <w:shd w:val="clear" w:color="auto" w:fill="auto"/>
            <w:noWrap/>
            <w:vAlign w:val="bottom"/>
          </w:tcPr>
          <w:p w14:paraId="7DCA80E9" w14:textId="77777777" w:rsidR="00872C03" w:rsidRPr="00883399" w:rsidRDefault="00872C03" w:rsidP="0031057E">
            <w:pPr>
              <w:pStyle w:val="Tabletext0"/>
              <w:rPr>
                <w:sz w:val="22"/>
              </w:rPr>
            </w:pPr>
            <w:r w:rsidRPr="00883399">
              <w:rPr>
                <w:sz w:val="22"/>
              </w:rPr>
              <w:t>1.5</w:t>
            </w:r>
          </w:p>
        </w:tc>
        <w:tc>
          <w:tcPr>
            <w:tcW w:w="1320" w:type="dxa"/>
            <w:tcBorders>
              <w:top w:val="single" w:sz="4" w:space="0" w:color="auto"/>
              <w:bottom w:val="single" w:sz="4" w:space="0" w:color="auto"/>
            </w:tcBorders>
            <w:shd w:val="clear" w:color="auto" w:fill="auto"/>
            <w:noWrap/>
            <w:vAlign w:val="bottom"/>
          </w:tcPr>
          <w:p w14:paraId="5CC071E3" w14:textId="77777777" w:rsidR="00872C03" w:rsidRPr="00883399" w:rsidRDefault="00872C03" w:rsidP="0031057E">
            <w:pPr>
              <w:pStyle w:val="Tabletext0"/>
              <w:rPr>
                <w:sz w:val="22"/>
              </w:rPr>
            </w:pPr>
            <w:r w:rsidRPr="00883399">
              <w:rPr>
                <w:sz w:val="22"/>
              </w:rPr>
              <w:t>1.5</w:t>
            </w:r>
          </w:p>
        </w:tc>
        <w:tc>
          <w:tcPr>
            <w:tcW w:w="1319" w:type="dxa"/>
            <w:tcBorders>
              <w:top w:val="single" w:sz="4" w:space="0" w:color="auto"/>
              <w:bottom w:val="single" w:sz="4" w:space="0" w:color="auto"/>
            </w:tcBorders>
            <w:shd w:val="clear" w:color="auto" w:fill="auto"/>
            <w:noWrap/>
            <w:vAlign w:val="bottom"/>
          </w:tcPr>
          <w:p w14:paraId="5DDE0C6C" w14:textId="77777777" w:rsidR="00872C03" w:rsidRPr="00883399" w:rsidRDefault="00872C03" w:rsidP="0031057E">
            <w:pPr>
              <w:pStyle w:val="Tabletext0"/>
              <w:rPr>
                <w:sz w:val="22"/>
              </w:rPr>
            </w:pPr>
            <w:r w:rsidRPr="00883399">
              <w:rPr>
                <w:sz w:val="22"/>
              </w:rPr>
              <w:t>1.5</w:t>
            </w:r>
          </w:p>
        </w:tc>
        <w:tc>
          <w:tcPr>
            <w:tcW w:w="1320" w:type="dxa"/>
            <w:tcBorders>
              <w:top w:val="single" w:sz="4" w:space="0" w:color="auto"/>
              <w:bottom w:val="single" w:sz="4" w:space="0" w:color="auto"/>
            </w:tcBorders>
            <w:shd w:val="clear" w:color="auto" w:fill="auto"/>
            <w:noWrap/>
            <w:vAlign w:val="bottom"/>
          </w:tcPr>
          <w:p w14:paraId="2A8F67D9" w14:textId="77777777" w:rsidR="00872C03" w:rsidRPr="00883399" w:rsidRDefault="00872C03" w:rsidP="0031057E">
            <w:pPr>
              <w:pStyle w:val="Tabletext0"/>
              <w:rPr>
                <w:sz w:val="22"/>
              </w:rPr>
            </w:pPr>
            <w:r w:rsidRPr="00883399">
              <w:rPr>
                <w:sz w:val="22"/>
              </w:rPr>
              <w:t>7.5</w:t>
            </w:r>
          </w:p>
        </w:tc>
      </w:tr>
      <w:tr w:rsidR="00872C03" w:rsidRPr="00883399" w14:paraId="13CFFDC9" w14:textId="77777777" w:rsidTr="0031057E">
        <w:trPr>
          <w:trHeight w:val="264"/>
        </w:trPr>
        <w:tc>
          <w:tcPr>
            <w:tcW w:w="840" w:type="dxa"/>
            <w:tcBorders>
              <w:top w:val="single" w:sz="4" w:space="0" w:color="auto"/>
              <w:bottom w:val="single" w:sz="12" w:space="0" w:color="auto"/>
            </w:tcBorders>
            <w:shd w:val="clear" w:color="auto" w:fill="auto"/>
            <w:noWrap/>
            <w:vAlign w:val="bottom"/>
          </w:tcPr>
          <w:p w14:paraId="56643DBF" w14:textId="77777777" w:rsidR="00872C03" w:rsidRPr="00883399" w:rsidRDefault="00872C03" w:rsidP="0031057E">
            <w:pPr>
              <w:pStyle w:val="Tabletext0"/>
              <w:rPr>
                <w:sz w:val="22"/>
              </w:rPr>
            </w:pPr>
            <w:r w:rsidRPr="00883399">
              <w:rPr>
                <w:sz w:val="22"/>
              </w:rPr>
              <w:t>3</w:t>
            </w:r>
          </w:p>
        </w:tc>
        <w:tc>
          <w:tcPr>
            <w:tcW w:w="2160" w:type="dxa"/>
            <w:tcBorders>
              <w:top w:val="single" w:sz="4" w:space="0" w:color="auto"/>
              <w:bottom w:val="single" w:sz="12" w:space="0" w:color="auto"/>
            </w:tcBorders>
            <w:shd w:val="clear" w:color="auto" w:fill="auto"/>
            <w:vAlign w:val="bottom"/>
          </w:tcPr>
          <w:p w14:paraId="5EA1A479" w14:textId="77777777" w:rsidR="00872C03" w:rsidRPr="00883399" w:rsidRDefault="00872C03" w:rsidP="0031057E">
            <w:pPr>
              <w:pStyle w:val="Tabletext0"/>
              <w:rPr>
                <w:sz w:val="22"/>
              </w:rPr>
            </w:pPr>
            <w:r w:rsidRPr="00883399">
              <w:rPr>
                <w:sz w:val="22"/>
              </w:rPr>
              <w:t>Gaseous fuel</w:t>
            </w:r>
          </w:p>
        </w:tc>
        <w:tc>
          <w:tcPr>
            <w:tcW w:w="1319" w:type="dxa"/>
            <w:tcBorders>
              <w:top w:val="single" w:sz="4" w:space="0" w:color="auto"/>
              <w:bottom w:val="single" w:sz="12" w:space="0" w:color="auto"/>
            </w:tcBorders>
            <w:shd w:val="clear" w:color="auto" w:fill="auto"/>
            <w:noWrap/>
            <w:vAlign w:val="bottom"/>
          </w:tcPr>
          <w:p w14:paraId="7A2F98DC" w14:textId="77777777" w:rsidR="00872C03" w:rsidRPr="00883399" w:rsidRDefault="00872C03" w:rsidP="0031057E">
            <w:pPr>
              <w:pStyle w:val="Tabletext0"/>
              <w:rPr>
                <w:sz w:val="22"/>
              </w:rPr>
            </w:pPr>
            <w:r w:rsidRPr="00883399">
              <w:rPr>
                <w:sz w:val="22"/>
              </w:rPr>
              <w:t>1.5</w:t>
            </w:r>
          </w:p>
        </w:tc>
        <w:tc>
          <w:tcPr>
            <w:tcW w:w="1320" w:type="dxa"/>
            <w:tcBorders>
              <w:top w:val="single" w:sz="4" w:space="0" w:color="auto"/>
              <w:bottom w:val="single" w:sz="12" w:space="0" w:color="auto"/>
            </w:tcBorders>
            <w:shd w:val="clear" w:color="auto" w:fill="auto"/>
            <w:noWrap/>
            <w:vAlign w:val="bottom"/>
          </w:tcPr>
          <w:p w14:paraId="0F082723" w14:textId="77777777" w:rsidR="00872C03" w:rsidRPr="00883399" w:rsidRDefault="00872C03" w:rsidP="0031057E">
            <w:pPr>
              <w:pStyle w:val="Tabletext0"/>
              <w:rPr>
                <w:sz w:val="22"/>
              </w:rPr>
            </w:pPr>
            <w:r w:rsidRPr="00883399">
              <w:rPr>
                <w:sz w:val="22"/>
              </w:rPr>
              <w:t>1.5</w:t>
            </w:r>
          </w:p>
        </w:tc>
        <w:tc>
          <w:tcPr>
            <w:tcW w:w="1319" w:type="dxa"/>
            <w:tcBorders>
              <w:top w:val="single" w:sz="4" w:space="0" w:color="auto"/>
              <w:bottom w:val="single" w:sz="12" w:space="0" w:color="auto"/>
            </w:tcBorders>
            <w:shd w:val="clear" w:color="auto" w:fill="auto"/>
            <w:noWrap/>
            <w:vAlign w:val="bottom"/>
          </w:tcPr>
          <w:p w14:paraId="46D21CE4" w14:textId="77777777" w:rsidR="00872C03" w:rsidRPr="00883399" w:rsidRDefault="00872C03" w:rsidP="0031057E">
            <w:pPr>
              <w:pStyle w:val="Tabletext0"/>
              <w:rPr>
                <w:sz w:val="22"/>
              </w:rPr>
            </w:pPr>
            <w:r w:rsidRPr="00883399">
              <w:rPr>
                <w:sz w:val="22"/>
              </w:rPr>
              <w:t>1.5</w:t>
            </w:r>
          </w:p>
        </w:tc>
        <w:tc>
          <w:tcPr>
            <w:tcW w:w="1320" w:type="dxa"/>
            <w:tcBorders>
              <w:top w:val="single" w:sz="4" w:space="0" w:color="auto"/>
              <w:bottom w:val="single" w:sz="12" w:space="0" w:color="auto"/>
            </w:tcBorders>
            <w:shd w:val="clear" w:color="auto" w:fill="auto"/>
            <w:noWrap/>
            <w:vAlign w:val="bottom"/>
          </w:tcPr>
          <w:p w14:paraId="05AB32FE" w14:textId="77777777" w:rsidR="00872C03" w:rsidRPr="00883399" w:rsidRDefault="00872C03" w:rsidP="0031057E">
            <w:pPr>
              <w:pStyle w:val="Tabletext0"/>
              <w:rPr>
                <w:sz w:val="22"/>
              </w:rPr>
            </w:pPr>
            <w:r w:rsidRPr="00883399">
              <w:rPr>
                <w:sz w:val="22"/>
              </w:rPr>
              <w:t>7.5</w:t>
            </w:r>
          </w:p>
        </w:tc>
      </w:tr>
    </w:tbl>
    <w:p w14:paraId="2D47D4BF" w14:textId="78B0C291" w:rsidR="00872C03" w:rsidRPr="00883399" w:rsidRDefault="00872C03" w:rsidP="00872C03">
      <w:pPr>
        <w:pStyle w:val="ActHead5"/>
        <w:rPr>
          <w:sz w:val="28"/>
        </w:rPr>
      </w:pPr>
      <w:bookmarkStart w:id="1355" w:name="_Toc423517257"/>
      <w:bookmarkStart w:id="1356" w:name="_Toc495653196"/>
      <w:r w:rsidRPr="00883399">
        <w:rPr>
          <w:rStyle w:val="CharSectno"/>
          <w:sz w:val="28"/>
        </w:rPr>
        <w:t>8.7</w:t>
      </w:r>
      <w:r w:rsidRPr="00883399">
        <w:rPr>
          <w:sz w:val="28"/>
        </w:rPr>
        <w:t xml:space="preserve">  Assessment of uncertainty for estimates of methane and nitrous oxide emissions from combustion of fuels</w:t>
      </w:r>
      <w:bookmarkEnd w:id="1355"/>
      <w:bookmarkEnd w:id="1356"/>
    </w:p>
    <w:p w14:paraId="37B97D3A" w14:textId="77777777" w:rsidR="00872C03" w:rsidRPr="00883399" w:rsidRDefault="00872C03" w:rsidP="00872C03">
      <w:pPr>
        <w:pStyle w:val="subsection"/>
        <w:rPr>
          <w:sz w:val="24"/>
        </w:rPr>
      </w:pPr>
      <w:r w:rsidRPr="00883399">
        <w:rPr>
          <w:sz w:val="24"/>
        </w:rPr>
        <w:tab/>
        <w:t>(1)</w:t>
      </w:r>
      <w:r w:rsidRPr="00883399">
        <w:rPr>
          <w:sz w:val="24"/>
        </w:rPr>
        <w:tab/>
        <w:t>In assessing uncertainty of the estimates of methane and nitrous oxide emissions estimated using method 1 for a source that involves the combustion of a fuel specified in column 2 of an item in the table in subsection 8.6(1):</w:t>
      </w:r>
    </w:p>
    <w:p w14:paraId="6205EBBE" w14:textId="77777777" w:rsidR="00872C03" w:rsidRPr="00883399" w:rsidRDefault="00872C03" w:rsidP="00872C03">
      <w:pPr>
        <w:pStyle w:val="paragraph"/>
        <w:rPr>
          <w:sz w:val="24"/>
        </w:rPr>
      </w:pPr>
      <w:r w:rsidRPr="00883399">
        <w:rPr>
          <w:sz w:val="24"/>
        </w:rPr>
        <w:tab/>
        <w:t>(a)</w:t>
      </w:r>
      <w:r w:rsidRPr="00883399">
        <w:rPr>
          <w:sz w:val="24"/>
        </w:rPr>
        <w:tab/>
        <w:t>the uncertainty level of the energy content factor is:</w:t>
      </w:r>
    </w:p>
    <w:p w14:paraId="1831B16A" w14:textId="77777777" w:rsidR="00872C03" w:rsidRPr="00883399" w:rsidRDefault="00872C03" w:rsidP="00872C03">
      <w:pPr>
        <w:pStyle w:val="paragraphsub"/>
        <w:rPr>
          <w:sz w:val="24"/>
        </w:rPr>
      </w:pPr>
      <w:r w:rsidRPr="00883399">
        <w:rPr>
          <w:sz w:val="24"/>
        </w:rPr>
        <w:tab/>
        <w:t>(i)</w:t>
      </w:r>
      <w:r w:rsidRPr="00883399">
        <w:rPr>
          <w:sz w:val="24"/>
        </w:rPr>
        <w:tab/>
        <w:t>as specified in column 3 for the item; or</w:t>
      </w:r>
    </w:p>
    <w:p w14:paraId="456FFDBC" w14:textId="77777777" w:rsidR="00872C03" w:rsidRPr="00883399" w:rsidRDefault="00872C03" w:rsidP="00872C03">
      <w:pPr>
        <w:pStyle w:val="paragraphsub"/>
        <w:rPr>
          <w:sz w:val="24"/>
        </w:rPr>
      </w:pPr>
      <w:r w:rsidRPr="00883399">
        <w:rPr>
          <w:sz w:val="24"/>
        </w:rPr>
        <w:tab/>
        <w:t>(ii)</w:t>
      </w:r>
      <w:r w:rsidRPr="00883399">
        <w:rPr>
          <w:sz w:val="24"/>
        </w:rPr>
        <w:tab/>
        <w:t>as worked out in accordance with section 7 of the uncertainty protocol; and</w:t>
      </w:r>
    </w:p>
    <w:p w14:paraId="7465E10C" w14:textId="77777777" w:rsidR="00872C03" w:rsidRPr="00883399" w:rsidRDefault="00872C03" w:rsidP="00872C03">
      <w:pPr>
        <w:pStyle w:val="paragraph"/>
        <w:rPr>
          <w:sz w:val="24"/>
        </w:rPr>
      </w:pPr>
      <w:r w:rsidRPr="00883399">
        <w:rPr>
          <w:sz w:val="24"/>
        </w:rPr>
        <w:tab/>
        <w:t>(b)</w:t>
      </w:r>
      <w:r w:rsidRPr="00883399">
        <w:rPr>
          <w:sz w:val="24"/>
        </w:rPr>
        <w:tab/>
        <w:t>the uncertainty level of the emissions factor is:</w:t>
      </w:r>
    </w:p>
    <w:p w14:paraId="03777BB4" w14:textId="77777777" w:rsidR="00872C03" w:rsidRPr="00883399" w:rsidRDefault="00872C03" w:rsidP="00872C03">
      <w:pPr>
        <w:pStyle w:val="paragraphsub"/>
        <w:rPr>
          <w:sz w:val="24"/>
        </w:rPr>
      </w:pPr>
      <w:r w:rsidRPr="00883399">
        <w:rPr>
          <w:sz w:val="24"/>
        </w:rPr>
        <w:tab/>
        <w:t>(i)</w:t>
      </w:r>
      <w:r w:rsidRPr="00883399">
        <w:rPr>
          <w:sz w:val="24"/>
        </w:rPr>
        <w:tab/>
        <w:t>50%; or</w:t>
      </w:r>
    </w:p>
    <w:p w14:paraId="19D16310" w14:textId="77777777" w:rsidR="00872C03" w:rsidRPr="00883399" w:rsidRDefault="00872C03" w:rsidP="00872C03">
      <w:pPr>
        <w:pStyle w:val="paragraphsub"/>
        <w:rPr>
          <w:sz w:val="24"/>
        </w:rPr>
      </w:pPr>
      <w:r w:rsidRPr="00883399">
        <w:rPr>
          <w:sz w:val="24"/>
        </w:rPr>
        <w:tab/>
        <w:t>(ii)</w:t>
      </w:r>
      <w:r w:rsidRPr="00883399">
        <w:rPr>
          <w:sz w:val="24"/>
        </w:rPr>
        <w:tab/>
        <w:t>as worked out in accordance with section 7 of the uncertainty protocol.</w:t>
      </w:r>
    </w:p>
    <w:p w14:paraId="10D218E8" w14:textId="77777777" w:rsidR="00872C03" w:rsidRPr="00883399" w:rsidRDefault="00872C03" w:rsidP="00872C03">
      <w:pPr>
        <w:pStyle w:val="subsection"/>
        <w:rPr>
          <w:sz w:val="24"/>
        </w:rPr>
      </w:pPr>
      <w:r w:rsidRPr="00883399">
        <w:rPr>
          <w:sz w:val="24"/>
        </w:rPr>
        <w:tab/>
        <w:t>(2)</w:t>
      </w:r>
      <w:r w:rsidRPr="00883399">
        <w:rPr>
          <w:sz w:val="24"/>
        </w:rPr>
        <w:tab/>
        <w:t>In assessing uncertainty of the estimates of methane and nitrous oxide emissions estimated using method 1 for a source that involves the combustion of a fuel type specified in column 2 of an item in the table in subsection 8.6(3):</w:t>
      </w:r>
    </w:p>
    <w:p w14:paraId="671249AE" w14:textId="77777777" w:rsidR="00872C03" w:rsidRPr="00883399" w:rsidRDefault="00872C03" w:rsidP="00872C03">
      <w:pPr>
        <w:pStyle w:val="paragraph"/>
        <w:rPr>
          <w:sz w:val="24"/>
        </w:rPr>
      </w:pPr>
      <w:r w:rsidRPr="00883399">
        <w:rPr>
          <w:sz w:val="24"/>
        </w:rPr>
        <w:tab/>
        <w:t>(a)</w:t>
      </w:r>
      <w:r w:rsidRPr="00883399">
        <w:rPr>
          <w:sz w:val="24"/>
        </w:rPr>
        <w:tab/>
        <w:t xml:space="preserve">column 3 for the item sets out the uncertainty level for the estimated quantities of fuel combusted using criterion A in Chapter 2; and </w:t>
      </w:r>
    </w:p>
    <w:p w14:paraId="43A18A67" w14:textId="77777777" w:rsidR="00872C03" w:rsidRPr="00883399" w:rsidRDefault="00872C03" w:rsidP="00872C03">
      <w:pPr>
        <w:pStyle w:val="paragraph"/>
        <w:rPr>
          <w:sz w:val="24"/>
        </w:rPr>
      </w:pPr>
      <w:r w:rsidRPr="00883399">
        <w:rPr>
          <w:sz w:val="24"/>
        </w:rPr>
        <w:tab/>
        <w:t>(b)</w:t>
      </w:r>
      <w:r w:rsidRPr="00883399">
        <w:rPr>
          <w:sz w:val="24"/>
        </w:rPr>
        <w:tab/>
        <w:t>column 4 for the item sets out the uncertainty level for the estimated quantities of fuel combusted using criterion AA in Chapter 2; and</w:t>
      </w:r>
    </w:p>
    <w:p w14:paraId="2747645E" w14:textId="77777777" w:rsidR="00872C03" w:rsidRPr="00883399" w:rsidRDefault="00872C03" w:rsidP="00872C03">
      <w:pPr>
        <w:pStyle w:val="paragraph"/>
        <w:rPr>
          <w:sz w:val="24"/>
        </w:rPr>
      </w:pPr>
      <w:r w:rsidRPr="00883399">
        <w:rPr>
          <w:sz w:val="24"/>
        </w:rPr>
        <w:tab/>
        <w:t>(c)</w:t>
      </w:r>
      <w:r w:rsidRPr="00883399">
        <w:rPr>
          <w:sz w:val="24"/>
        </w:rPr>
        <w:tab/>
        <w:t>column 5 for the item sets out the uncertainty level for the estimated quantities of fuel combusted using criterion AAA in Chapter 2; and</w:t>
      </w:r>
    </w:p>
    <w:p w14:paraId="78E2208B" w14:textId="77777777" w:rsidR="00872C03" w:rsidRPr="00883399" w:rsidRDefault="00872C03" w:rsidP="00872C03">
      <w:pPr>
        <w:pStyle w:val="paragraph"/>
        <w:rPr>
          <w:sz w:val="24"/>
        </w:rPr>
      </w:pPr>
      <w:r w:rsidRPr="00883399">
        <w:rPr>
          <w:sz w:val="24"/>
        </w:rPr>
        <w:tab/>
        <w:t>(d)</w:t>
      </w:r>
      <w:r w:rsidRPr="00883399">
        <w:rPr>
          <w:sz w:val="24"/>
        </w:rPr>
        <w:tab/>
        <w:t>column 6 for the item sets out the uncertainty level for the estimated quantities of fuel combusted using criterion BBB in Chapter 2.</w:t>
      </w:r>
    </w:p>
    <w:p w14:paraId="16076FC2" w14:textId="77777777" w:rsidR="00872C03" w:rsidRPr="00883399" w:rsidRDefault="00872C03" w:rsidP="00872C03">
      <w:pPr>
        <w:pStyle w:val="notetext"/>
        <w:rPr>
          <w:sz w:val="20"/>
        </w:rPr>
      </w:pPr>
      <w:r w:rsidRPr="00883399">
        <w:rPr>
          <w:sz w:val="20"/>
        </w:rPr>
        <w:t>Note:</w:t>
      </w:r>
      <w:r w:rsidRPr="00883399">
        <w:rPr>
          <w:sz w:val="20"/>
        </w:rPr>
        <w:tab/>
        <w:t>Division 2.2.5 sets out the relevant criteria for solid fuels; Division 2.3.6 sets out the relevant criteria for gaseous fuels; and Division 2.4.6 sets out the relevant criteria for liquid fuels.</w:t>
      </w:r>
    </w:p>
    <w:p w14:paraId="3657114F" w14:textId="0432F7D2" w:rsidR="00872C03" w:rsidRPr="00883399" w:rsidRDefault="00872C03" w:rsidP="00872C03">
      <w:pPr>
        <w:pStyle w:val="ActHead5"/>
        <w:rPr>
          <w:sz w:val="28"/>
        </w:rPr>
      </w:pPr>
      <w:bookmarkStart w:id="1357" w:name="_Toc423517258"/>
      <w:bookmarkStart w:id="1358" w:name="_Toc495653197"/>
      <w:r w:rsidRPr="00883399">
        <w:rPr>
          <w:rStyle w:val="CharSectno"/>
          <w:sz w:val="28"/>
        </w:rPr>
        <w:t>8.8</w:t>
      </w:r>
      <w:r w:rsidRPr="00883399">
        <w:rPr>
          <w:sz w:val="28"/>
        </w:rPr>
        <w:t xml:space="preserve">  Assessment of uncertainty for estimates of fugitive emissions</w:t>
      </w:r>
      <w:bookmarkEnd w:id="1357"/>
      <w:bookmarkEnd w:id="1358"/>
    </w:p>
    <w:p w14:paraId="453FE781" w14:textId="77777777" w:rsidR="00D666D1" w:rsidRPr="00883399" w:rsidRDefault="00D666D1" w:rsidP="00D666D1">
      <w:pPr>
        <w:spacing w:before="240" w:line="312" w:lineRule="auto"/>
        <w:rPr>
          <w:rStyle w:val="CharSectno"/>
          <w:rFonts w:ascii="Arial" w:hAnsi="Arial" w:cs="Arial"/>
          <w:sz w:val="22"/>
          <w:szCs w:val="22"/>
        </w:rPr>
      </w:pPr>
      <w:r w:rsidRPr="00883399">
        <w:rPr>
          <w:rStyle w:val="CharSectno"/>
          <w:rFonts w:ascii="Arial" w:hAnsi="Arial" w:cs="Arial"/>
          <w:sz w:val="22"/>
          <w:szCs w:val="22"/>
        </w:rPr>
        <w:t>Note that the uncertainty levels in this section are the aggregate uncertainty levels for the source and may be used by substituting directly into the aggregation equations for facilities and the corporation in sections 8.12 and 8.13 as appropriate. Default individual parameter uncertainties have not been provided for fugitive emissions that are calculated under method 1 and hence the parameter aggregation equation in section 8.11 is not applicable when these defaults are used.</w:t>
      </w:r>
    </w:p>
    <w:p w14:paraId="3FA1179B" w14:textId="77777777" w:rsidR="00872C03" w:rsidRPr="00883399" w:rsidRDefault="00872C03" w:rsidP="00872C03">
      <w:pPr>
        <w:pStyle w:val="subsection"/>
        <w:rPr>
          <w:sz w:val="24"/>
        </w:rPr>
      </w:pPr>
      <w:r w:rsidRPr="00883399">
        <w:rPr>
          <w:sz w:val="24"/>
        </w:rPr>
        <w:tab/>
      </w:r>
      <w:r w:rsidRPr="00883399">
        <w:rPr>
          <w:sz w:val="24"/>
        </w:rPr>
        <w:tab/>
        <w:t>The aggregated uncertainty of the estimates of fugitive emissions estimated using method 1 for a source mentioned in column 2 of an item of the following table is:</w:t>
      </w:r>
    </w:p>
    <w:p w14:paraId="221363B0" w14:textId="77777777" w:rsidR="00872C03" w:rsidRPr="00883399" w:rsidRDefault="00872C03" w:rsidP="00872C03">
      <w:pPr>
        <w:pStyle w:val="paragraph"/>
        <w:rPr>
          <w:sz w:val="24"/>
        </w:rPr>
      </w:pPr>
      <w:r w:rsidRPr="00883399">
        <w:rPr>
          <w:sz w:val="24"/>
        </w:rPr>
        <w:tab/>
        <w:t>(a)</w:t>
      </w:r>
      <w:r w:rsidRPr="00883399">
        <w:rPr>
          <w:sz w:val="24"/>
        </w:rPr>
        <w:tab/>
        <w:t>as specified in column 3 for the item; or</w:t>
      </w:r>
    </w:p>
    <w:p w14:paraId="5CE40A43" w14:textId="77777777" w:rsidR="00872C03" w:rsidRPr="00883399" w:rsidRDefault="00872C03" w:rsidP="00872C03">
      <w:pPr>
        <w:pStyle w:val="paragraph"/>
        <w:rPr>
          <w:sz w:val="24"/>
        </w:rPr>
      </w:pPr>
      <w:r w:rsidRPr="00883399">
        <w:rPr>
          <w:sz w:val="24"/>
        </w:rPr>
        <w:tab/>
        <w:t>(b)</w:t>
      </w:r>
      <w:r w:rsidRPr="00883399">
        <w:rPr>
          <w:sz w:val="24"/>
        </w:rPr>
        <w:tab/>
        <w:t>as worked out in accordance with the uncertainty protocol.</w:t>
      </w:r>
    </w:p>
    <w:p w14:paraId="336A9670" w14:textId="77777777" w:rsidR="00872C03" w:rsidRPr="00883399" w:rsidRDefault="00872C03" w:rsidP="00872C03">
      <w:pPr>
        <w:pStyle w:val="Tabletext0"/>
        <w:rPr>
          <w:sz w:val="22"/>
        </w:rPr>
      </w:pPr>
    </w:p>
    <w:tbl>
      <w:tblPr>
        <w:tblW w:w="0" w:type="auto"/>
        <w:tblInd w:w="108" w:type="dxa"/>
        <w:tblBorders>
          <w:top w:val="single" w:sz="4" w:space="0" w:color="auto"/>
          <w:bottom w:val="single" w:sz="2" w:space="0" w:color="auto"/>
          <w:insideH w:val="single" w:sz="4" w:space="0" w:color="auto"/>
        </w:tblBorders>
        <w:tblLook w:val="0000" w:firstRow="0" w:lastRow="0" w:firstColumn="0" w:lastColumn="0" w:noHBand="0" w:noVBand="0"/>
      </w:tblPr>
      <w:tblGrid>
        <w:gridCol w:w="707"/>
        <w:gridCol w:w="6194"/>
        <w:gridCol w:w="1304"/>
      </w:tblGrid>
      <w:tr w:rsidR="00872C03" w:rsidRPr="00883399" w14:paraId="415EEB53" w14:textId="77777777" w:rsidTr="0031057E">
        <w:trPr>
          <w:tblHeader/>
        </w:trPr>
        <w:tc>
          <w:tcPr>
            <w:tcW w:w="709" w:type="dxa"/>
            <w:tcBorders>
              <w:top w:val="single" w:sz="12" w:space="0" w:color="auto"/>
              <w:bottom w:val="single" w:sz="12" w:space="0" w:color="auto"/>
            </w:tcBorders>
            <w:shd w:val="clear" w:color="auto" w:fill="auto"/>
          </w:tcPr>
          <w:p w14:paraId="1B1A2852" w14:textId="77777777" w:rsidR="00872C03" w:rsidRPr="00883399" w:rsidRDefault="00872C03" w:rsidP="0031057E">
            <w:pPr>
              <w:pStyle w:val="TableHeading"/>
              <w:rPr>
                <w:sz w:val="22"/>
                <w:szCs w:val="18"/>
              </w:rPr>
            </w:pPr>
            <w:r w:rsidRPr="00883399">
              <w:rPr>
                <w:sz w:val="22"/>
                <w:szCs w:val="18"/>
              </w:rPr>
              <w:t>Item</w:t>
            </w:r>
          </w:p>
        </w:tc>
        <w:tc>
          <w:tcPr>
            <w:tcW w:w="6363" w:type="dxa"/>
            <w:tcBorders>
              <w:top w:val="single" w:sz="12" w:space="0" w:color="auto"/>
              <w:bottom w:val="single" w:sz="12" w:space="0" w:color="auto"/>
            </w:tcBorders>
            <w:shd w:val="clear" w:color="auto" w:fill="auto"/>
          </w:tcPr>
          <w:p w14:paraId="55899F44" w14:textId="77777777" w:rsidR="00872C03" w:rsidRPr="00883399" w:rsidRDefault="00872C03" w:rsidP="0031057E">
            <w:pPr>
              <w:pStyle w:val="TableHeading"/>
              <w:rPr>
                <w:sz w:val="22"/>
                <w:szCs w:val="18"/>
              </w:rPr>
            </w:pPr>
            <w:r w:rsidRPr="00883399">
              <w:rPr>
                <w:sz w:val="22"/>
                <w:szCs w:val="18"/>
              </w:rPr>
              <w:t>Sources</w:t>
            </w:r>
          </w:p>
        </w:tc>
        <w:tc>
          <w:tcPr>
            <w:tcW w:w="1258" w:type="dxa"/>
            <w:tcBorders>
              <w:top w:val="single" w:sz="12" w:space="0" w:color="auto"/>
              <w:bottom w:val="single" w:sz="12" w:space="0" w:color="auto"/>
            </w:tcBorders>
            <w:shd w:val="clear" w:color="auto" w:fill="auto"/>
          </w:tcPr>
          <w:p w14:paraId="1BAFC680" w14:textId="77777777" w:rsidR="00872C03" w:rsidRPr="00883399" w:rsidRDefault="00872C03" w:rsidP="0031057E">
            <w:pPr>
              <w:pStyle w:val="TableHeading"/>
              <w:rPr>
                <w:rStyle w:val="Strong"/>
                <w:rFonts w:cs="Arial"/>
                <w:b/>
                <w:sz w:val="22"/>
                <w:szCs w:val="18"/>
              </w:rPr>
            </w:pPr>
            <w:r w:rsidRPr="00883399">
              <w:rPr>
                <w:sz w:val="22"/>
                <w:szCs w:val="18"/>
              </w:rPr>
              <w:t>Aggregated uncertainty level (%)</w:t>
            </w:r>
          </w:p>
        </w:tc>
      </w:tr>
      <w:tr w:rsidR="00872C03" w:rsidRPr="00883399" w14:paraId="0402814E" w14:textId="77777777" w:rsidTr="0031057E">
        <w:tc>
          <w:tcPr>
            <w:tcW w:w="709" w:type="dxa"/>
            <w:tcBorders>
              <w:top w:val="single" w:sz="12" w:space="0" w:color="auto"/>
            </w:tcBorders>
            <w:shd w:val="clear" w:color="auto" w:fill="auto"/>
          </w:tcPr>
          <w:p w14:paraId="7176AC49" w14:textId="77777777" w:rsidR="00872C03" w:rsidRPr="00883399" w:rsidRDefault="00872C03" w:rsidP="0031057E">
            <w:pPr>
              <w:pStyle w:val="Tabletext0"/>
              <w:rPr>
                <w:sz w:val="22"/>
              </w:rPr>
            </w:pPr>
            <w:r w:rsidRPr="00883399">
              <w:rPr>
                <w:sz w:val="22"/>
              </w:rPr>
              <w:t>1</w:t>
            </w:r>
          </w:p>
        </w:tc>
        <w:tc>
          <w:tcPr>
            <w:tcW w:w="6363" w:type="dxa"/>
            <w:tcBorders>
              <w:top w:val="single" w:sz="12" w:space="0" w:color="auto"/>
            </w:tcBorders>
            <w:shd w:val="clear" w:color="auto" w:fill="auto"/>
          </w:tcPr>
          <w:p w14:paraId="70BC6441" w14:textId="77777777" w:rsidR="00872C03" w:rsidRPr="00883399" w:rsidRDefault="00872C03" w:rsidP="0031057E">
            <w:pPr>
              <w:pStyle w:val="Tabletext0"/>
              <w:rPr>
                <w:sz w:val="22"/>
              </w:rPr>
            </w:pPr>
            <w:r w:rsidRPr="00883399">
              <w:rPr>
                <w:sz w:val="22"/>
              </w:rPr>
              <w:t>Underground mines</w:t>
            </w:r>
            <w:r w:rsidRPr="00883399" w:rsidDel="00A71F54">
              <w:rPr>
                <w:sz w:val="22"/>
              </w:rPr>
              <w:t xml:space="preserve"> </w:t>
            </w:r>
          </w:p>
        </w:tc>
        <w:tc>
          <w:tcPr>
            <w:tcW w:w="1258" w:type="dxa"/>
            <w:tcBorders>
              <w:top w:val="single" w:sz="12" w:space="0" w:color="auto"/>
            </w:tcBorders>
            <w:shd w:val="clear" w:color="auto" w:fill="auto"/>
          </w:tcPr>
          <w:p w14:paraId="065EF5A5" w14:textId="77777777" w:rsidR="00872C03" w:rsidRPr="00883399" w:rsidRDefault="00872C03" w:rsidP="0031057E">
            <w:pPr>
              <w:pStyle w:val="Tabletext0"/>
              <w:rPr>
                <w:sz w:val="22"/>
              </w:rPr>
            </w:pPr>
            <w:r w:rsidRPr="00883399">
              <w:rPr>
                <w:sz w:val="22"/>
              </w:rPr>
              <w:t>50</w:t>
            </w:r>
          </w:p>
        </w:tc>
      </w:tr>
      <w:tr w:rsidR="00872C03" w:rsidRPr="00883399" w14:paraId="71F461E8" w14:textId="77777777" w:rsidTr="0031057E">
        <w:tc>
          <w:tcPr>
            <w:tcW w:w="709" w:type="dxa"/>
            <w:shd w:val="clear" w:color="auto" w:fill="auto"/>
          </w:tcPr>
          <w:p w14:paraId="6F272FF3" w14:textId="77777777" w:rsidR="00872C03" w:rsidRPr="00883399" w:rsidRDefault="00872C03" w:rsidP="0031057E">
            <w:pPr>
              <w:pStyle w:val="Tabletext0"/>
              <w:rPr>
                <w:sz w:val="22"/>
              </w:rPr>
            </w:pPr>
            <w:r w:rsidRPr="00883399">
              <w:rPr>
                <w:sz w:val="22"/>
              </w:rPr>
              <w:t>2</w:t>
            </w:r>
          </w:p>
        </w:tc>
        <w:tc>
          <w:tcPr>
            <w:tcW w:w="6363" w:type="dxa"/>
            <w:shd w:val="clear" w:color="auto" w:fill="auto"/>
          </w:tcPr>
          <w:p w14:paraId="4D677A55" w14:textId="77777777" w:rsidR="00872C03" w:rsidRPr="00883399" w:rsidRDefault="00872C03" w:rsidP="0031057E">
            <w:pPr>
              <w:pStyle w:val="Tabletext0"/>
              <w:rPr>
                <w:sz w:val="22"/>
              </w:rPr>
            </w:pPr>
            <w:r w:rsidRPr="00883399">
              <w:rPr>
                <w:sz w:val="22"/>
              </w:rPr>
              <w:t xml:space="preserve">Open cut mines </w:t>
            </w:r>
          </w:p>
        </w:tc>
        <w:tc>
          <w:tcPr>
            <w:tcW w:w="1258" w:type="dxa"/>
            <w:shd w:val="clear" w:color="auto" w:fill="auto"/>
          </w:tcPr>
          <w:p w14:paraId="15CCEEDD" w14:textId="77777777" w:rsidR="00872C03" w:rsidRPr="00883399" w:rsidRDefault="00872C03" w:rsidP="0031057E">
            <w:pPr>
              <w:pStyle w:val="Tabletext0"/>
              <w:rPr>
                <w:sz w:val="22"/>
              </w:rPr>
            </w:pPr>
            <w:r w:rsidRPr="00883399">
              <w:rPr>
                <w:sz w:val="22"/>
              </w:rPr>
              <w:t>50</w:t>
            </w:r>
          </w:p>
        </w:tc>
      </w:tr>
      <w:tr w:rsidR="00872C03" w:rsidRPr="00883399" w14:paraId="0B0E5F92" w14:textId="77777777" w:rsidTr="0031057E">
        <w:tc>
          <w:tcPr>
            <w:tcW w:w="709" w:type="dxa"/>
            <w:shd w:val="clear" w:color="auto" w:fill="auto"/>
          </w:tcPr>
          <w:p w14:paraId="475D0860" w14:textId="77777777" w:rsidR="00872C03" w:rsidRPr="00883399" w:rsidRDefault="00872C03" w:rsidP="0031057E">
            <w:pPr>
              <w:pStyle w:val="Tabletext0"/>
              <w:rPr>
                <w:sz w:val="22"/>
              </w:rPr>
            </w:pPr>
            <w:r w:rsidRPr="00883399">
              <w:rPr>
                <w:sz w:val="22"/>
              </w:rPr>
              <w:t>3</w:t>
            </w:r>
          </w:p>
        </w:tc>
        <w:tc>
          <w:tcPr>
            <w:tcW w:w="6363" w:type="dxa"/>
            <w:shd w:val="clear" w:color="auto" w:fill="auto"/>
          </w:tcPr>
          <w:p w14:paraId="571737E5" w14:textId="77777777" w:rsidR="00872C03" w:rsidRPr="00883399" w:rsidRDefault="00872C03" w:rsidP="0031057E">
            <w:pPr>
              <w:pStyle w:val="Tabletext0"/>
              <w:rPr>
                <w:sz w:val="22"/>
              </w:rPr>
            </w:pPr>
            <w:r w:rsidRPr="00883399">
              <w:rPr>
                <w:sz w:val="22"/>
              </w:rPr>
              <w:t>Decommissioned underground mines</w:t>
            </w:r>
          </w:p>
        </w:tc>
        <w:tc>
          <w:tcPr>
            <w:tcW w:w="1258" w:type="dxa"/>
            <w:shd w:val="clear" w:color="auto" w:fill="auto"/>
          </w:tcPr>
          <w:p w14:paraId="30C8310C" w14:textId="77777777" w:rsidR="00872C03" w:rsidRPr="00883399" w:rsidRDefault="00872C03" w:rsidP="0031057E">
            <w:pPr>
              <w:pStyle w:val="Tabletext0"/>
              <w:rPr>
                <w:sz w:val="22"/>
              </w:rPr>
            </w:pPr>
            <w:r w:rsidRPr="00883399">
              <w:rPr>
                <w:sz w:val="22"/>
              </w:rPr>
              <w:t>50</w:t>
            </w:r>
          </w:p>
        </w:tc>
      </w:tr>
      <w:tr w:rsidR="00872C03" w:rsidRPr="00883399" w14:paraId="76BD75A8" w14:textId="77777777" w:rsidTr="0031057E">
        <w:tc>
          <w:tcPr>
            <w:tcW w:w="709" w:type="dxa"/>
            <w:shd w:val="clear" w:color="auto" w:fill="auto"/>
          </w:tcPr>
          <w:p w14:paraId="41751F15" w14:textId="77777777" w:rsidR="00872C03" w:rsidRPr="00883399" w:rsidRDefault="00872C03" w:rsidP="0031057E">
            <w:pPr>
              <w:pStyle w:val="Tabletext0"/>
              <w:rPr>
                <w:sz w:val="22"/>
              </w:rPr>
            </w:pPr>
            <w:r w:rsidRPr="00883399">
              <w:rPr>
                <w:sz w:val="22"/>
              </w:rPr>
              <w:t>4</w:t>
            </w:r>
          </w:p>
        </w:tc>
        <w:tc>
          <w:tcPr>
            <w:tcW w:w="6363" w:type="dxa"/>
            <w:shd w:val="clear" w:color="auto" w:fill="auto"/>
          </w:tcPr>
          <w:p w14:paraId="45364790" w14:textId="77777777" w:rsidR="00872C03" w:rsidRPr="00883399" w:rsidRDefault="00872C03" w:rsidP="0031057E">
            <w:pPr>
              <w:pStyle w:val="Tabletext0"/>
              <w:rPr>
                <w:sz w:val="22"/>
              </w:rPr>
            </w:pPr>
            <w:r w:rsidRPr="00883399">
              <w:rPr>
                <w:sz w:val="22"/>
              </w:rPr>
              <w:t>Oil or gas exploration</w:t>
            </w:r>
          </w:p>
        </w:tc>
        <w:tc>
          <w:tcPr>
            <w:tcW w:w="1258" w:type="dxa"/>
            <w:shd w:val="clear" w:color="auto" w:fill="auto"/>
          </w:tcPr>
          <w:p w14:paraId="4E643E79" w14:textId="77777777" w:rsidR="00872C03" w:rsidRPr="00883399" w:rsidRDefault="00872C03" w:rsidP="0031057E">
            <w:pPr>
              <w:pStyle w:val="Tabletext0"/>
              <w:rPr>
                <w:sz w:val="22"/>
              </w:rPr>
            </w:pPr>
            <w:r w:rsidRPr="00883399">
              <w:rPr>
                <w:sz w:val="22"/>
              </w:rPr>
              <w:t>50</w:t>
            </w:r>
          </w:p>
        </w:tc>
      </w:tr>
      <w:tr w:rsidR="00872C03" w:rsidRPr="00883399" w14:paraId="5DFC1077" w14:textId="77777777" w:rsidTr="0031057E">
        <w:tc>
          <w:tcPr>
            <w:tcW w:w="709" w:type="dxa"/>
            <w:shd w:val="clear" w:color="auto" w:fill="auto"/>
          </w:tcPr>
          <w:p w14:paraId="5D5795BB" w14:textId="77777777" w:rsidR="00872C03" w:rsidRPr="00883399" w:rsidRDefault="00872C03" w:rsidP="0031057E">
            <w:pPr>
              <w:pStyle w:val="Tabletext0"/>
              <w:rPr>
                <w:sz w:val="22"/>
              </w:rPr>
            </w:pPr>
            <w:r w:rsidRPr="00883399">
              <w:rPr>
                <w:sz w:val="22"/>
              </w:rPr>
              <w:t>5</w:t>
            </w:r>
          </w:p>
        </w:tc>
        <w:tc>
          <w:tcPr>
            <w:tcW w:w="6363" w:type="dxa"/>
            <w:shd w:val="clear" w:color="auto" w:fill="auto"/>
          </w:tcPr>
          <w:p w14:paraId="04180FC3" w14:textId="77777777" w:rsidR="00872C03" w:rsidRPr="00883399" w:rsidRDefault="00872C03" w:rsidP="0031057E">
            <w:pPr>
              <w:pStyle w:val="Tabletext0"/>
              <w:rPr>
                <w:sz w:val="22"/>
              </w:rPr>
            </w:pPr>
            <w:r w:rsidRPr="00883399">
              <w:rPr>
                <w:sz w:val="22"/>
              </w:rPr>
              <w:t>Crude oil production</w:t>
            </w:r>
          </w:p>
        </w:tc>
        <w:tc>
          <w:tcPr>
            <w:tcW w:w="1258" w:type="dxa"/>
            <w:shd w:val="clear" w:color="auto" w:fill="auto"/>
          </w:tcPr>
          <w:p w14:paraId="2A2163BD" w14:textId="77777777" w:rsidR="00872C03" w:rsidRPr="00883399" w:rsidRDefault="00872C03" w:rsidP="0031057E">
            <w:pPr>
              <w:pStyle w:val="Tabletext0"/>
              <w:rPr>
                <w:sz w:val="22"/>
              </w:rPr>
            </w:pPr>
            <w:r w:rsidRPr="00883399">
              <w:rPr>
                <w:sz w:val="22"/>
              </w:rPr>
              <w:t>50</w:t>
            </w:r>
          </w:p>
        </w:tc>
      </w:tr>
      <w:tr w:rsidR="00872C03" w:rsidRPr="00883399" w14:paraId="69E01A78" w14:textId="77777777" w:rsidTr="0031057E">
        <w:tc>
          <w:tcPr>
            <w:tcW w:w="709" w:type="dxa"/>
            <w:shd w:val="clear" w:color="auto" w:fill="auto"/>
          </w:tcPr>
          <w:p w14:paraId="2A109806" w14:textId="77777777" w:rsidR="00872C03" w:rsidRPr="00883399" w:rsidRDefault="00872C03" w:rsidP="0031057E">
            <w:pPr>
              <w:pStyle w:val="Tabletext0"/>
              <w:rPr>
                <w:sz w:val="22"/>
              </w:rPr>
            </w:pPr>
            <w:r w:rsidRPr="00883399">
              <w:rPr>
                <w:sz w:val="22"/>
              </w:rPr>
              <w:t>6</w:t>
            </w:r>
          </w:p>
        </w:tc>
        <w:tc>
          <w:tcPr>
            <w:tcW w:w="6363" w:type="dxa"/>
            <w:shd w:val="clear" w:color="auto" w:fill="auto"/>
          </w:tcPr>
          <w:p w14:paraId="59A4DC25" w14:textId="77777777" w:rsidR="00872C03" w:rsidRPr="00883399" w:rsidRDefault="00872C03" w:rsidP="0031057E">
            <w:pPr>
              <w:pStyle w:val="Tabletext0"/>
              <w:rPr>
                <w:sz w:val="22"/>
              </w:rPr>
            </w:pPr>
            <w:r w:rsidRPr="00883399">
              <w:rPr>
                <w:sz w:val="22"/>
              </w:rPr>
              <w:t>Crude oil transport</w:t>
            </w:r>
          </w:p>
        </w:tc>
        <w:tc>
          <w:tcPr>
            <w:tcW w:w="1258" w:type="dxa"/>
            <w:shd w:val="clear" w:color="auto" w:fill="auto"/>
          </w:tcPr>
          <w:p w14:paraId="249E5999" w14:textId="77777777" w:rsidR="00872C03" w:rsidRPr="00883399" w:rsidRDefault="00872C03" w:rsidP="0031057E">
            <w:pPr>
              <w:pStyle w:val="Tabletext0"/>
              <w:rPr>
                <w:sz w:val="22"/>
              </w:rPr>
            </w:pPr>
            <w:r w:rsidRPr="00883399">
              <w:rPr>
                <w:sz w:val="22"/>
              </w:rPr>
              <w:t>50</w:t>
            </w:r>
          </w:p>
        </w:tc>
      </w:tr>
      <w:tr w:rsidR="00872C03" w:rsidRPr="00883399" w14:paraId="72E51746" w14:textId="77777777" w:rsidTr="0031057E">
        <w:tc>
          <w:tcPr>
            <w:tcW w:w="709" w:type="dxa"/>
            <w:shd w:val="clear" w:color="auto" w:fill="auto"/>
          </w:tcPr>
          <w:p w14:paraId="55647045" w14:textId="77777777" w:rsidR="00872C03" w:rsidRPr="00883399" w:rsidRDefault="00872C03" w:rsidP="0031057E">
            <w:pPr>
              <w:pStyle w:val="Tabletext0"/>
              <w:rPr>
                <w:sz w:val="22"/>
              </w:rPr>
            </w:pPr>
            <w:r w:rsidRPr="00883399">
              <w:rPr>
                <w:sz w:val="22"/>
              </w:rPr>
              <w:t>7</w:t>
            </w:r>
          </w:p>
        </w:tc>
        <w:tc>
          <w:tcPr>
            <w:tcW w:w="6363" w:type="dxa"/>
            <w:shd w:val="clear" w:color="auto" w:fill="auto"/>
          </w:tcPr>
          <w:p w14:paraId="0933D884" w14:textId="77777777" w:rsidR="00872C03" w:rsidRPr="00883399" w:rsidRDefault="00872C03" w:rsidP="0031057E">
            <w:pPr>
              <w:pStyle w:val="Tabletext0"/>
              <w:rPr>
                <w:sz w:val="22"/>
              </w:rPr>
            </w:pPr>
            <w:r w:rsidRPr="00883399">
              <w:rPr>
                <w:sz w:val="22"/>
              </w:rPr>
              <w:t>Crude oil refining</w:t>
            </w:r>
          </w:p>
        </w:tc>
        <w:tc>
          <w:tcPr>
            <w:tcW w:w="1258" w:type="dxa"/>
            <w:shd w:val="clear" w:color="auto" w:fill="auto"/>
          </w:tcPr>
          <w:p w14:paraId="25060471" w14:textId="77777777" w:rsidR="00872C03" w:rsidRPr="00883399" w:rsidRDefault="00872C03" w:rsidP="0031057E">
            <w:pPr>
              <w:pStyle w:val="Tabletext0"/>
              <w:rPr>
                <w:sz w:val="22"/>
              </w:rPr>
            </w:pPr>
            <w:r w:rsidRPr="00883399">
              <w:rPr>
                <w:sz w:val="22"/>
              </w:rPr>
              <w:t>50</w:t>
            </w:r>
          </w:p>
        </w:tc>
      </w:tr>
      <w:tr w:rsidR="00872C03" w:rsidRPr="00883399" w14:paraId="18146DC1" w14:textId="77777777" w:rsidTr="0031057E">
        <w:tc>
          <w:tcPr>
            <w:tcW w:w="709" w:type="dxa"/>
            <w:shd w:val="clear" w:color="auto" w:fill="auto"/>
          </w:tcPr>
          <w:p w14:paraId="59BAC96C" w14:textId="77777777" w:rsidR="00872C03" w:rsidRPr="00883399" w:rsidRDefault="00872C03" w:rsidP="0031057E">
            <w:pPr>
              <w:pStyle w:val="Tabletext0"/>
              <w:rPr>
                <w:sz w:val="22"/>
              </w:rPr>
            </w:pPr>
            <w:r w:rsidRPr="00883399">
              <w:rPr>
                <w:sz w:val="22"/>
              </w:rPr>
              <w:t>8</w:t>
            </w:r>
          </w:p>
        </w:tc>
        <w:tc>
          <w:tcPr>
            <w:tcW w:w="6363" w:type="dxa"/>
            <w:shd w:val="clear" w:color="auto" w:fill="auto"/>
          </w:tcPr>
          <w:p w14:paraId="6DCE0AC6" w14:textId="77777777" w:rsidR="00872C03" w:rsidRPr="00883399" w:rsidRDefault="00872C03" w:rsidP="0031057E">
            <w:pPr>
              <w:pStyle w:val="Tabletext0"/>
              <w:rPr>
                <w:sz w:val="22"/>
              </w:rPr>
            </w:pPr>
            <w:r w:rsidRPr="00883399">
              <w:rPr>
                <w:sz w:val="22"/>
              </w:rPr>
              <w:t>Natural gas production or processing (other than emissions that are flared)</w:t>
            </w:r>
          </w:p>
        </w:tc>
        <w:tc>
          <w:tcPr>
            <w:tcW w:w="1258" w:type="dxa"/>
            <w:shd w:val="clear" w:color="auto" w:fill="auto"/>
          </w:tcPr>
          <w:p w14:paraId="14804644" w14:textId="77777777" w:rsidR="00872C03" w:rsidRPr="00883399" w:rsidRDefault="00872C03" w:rsidP="0031057E">
            <w:pPr>
              <w:pStyle w:val="Tabletext0"/>
              <w:rPr>
                <w:sz w:val="22"/>
              </w:rPr>
            </w:pPr>
            <w:r w:rsidRPr="00883399">
              <w:rPr>
                <w:sz w:val="22"/>
              </w:rPr>
              <w:t>50</w:t>
            </w:r>
          </w:p>
        </w:tc>
      </w:tr>
      <w:tr w:rsidR="00872C03" w:rsidRPr="00883399" w14:paraId="29F1800B" w14:textId="77777777" w:rsidTr="0031057E">
        <w:tc>
          <w:tcPr>
            <w:tcW w:w="709" w:type="dxa"/>
            <w:shd w:val="clear" w:color="auto" w:fill="auto"/>
          </w:tcPr>
          <w:p w14:paraId="62C350CA" w14:textId="77777777" w:rsidR="00872C03" w:rsidRPr="00883399" w:rsidRDefault="00872C03" w:rsidP="0031057E">
            <w:pPr>
              <w:pStyle w:val="Tabletext0"/>
              <w:rPr>
                <w:sz w:val="22"/>
              </w:rPr>
            </w:pPr>
            <w:r w:rsidRPr="00883399">
              <w:rPr>
                <w:sz w:val="22"/>
              </w:rPr>
              <w:t>9</w:t>
            </w:r>
          </w:p>
        </w:tc>
        <w:tc>
          <w:tcPr>
            <w:tcW w:w="6363" w:type="dxa"/>
            <w:shd w:val="clear" w:color="auto" w:fill="auto"/>
          </w:tcPr>
          <w:p w14:paraId="79FF40C0" w14:textId="77777777" w:rsidR="00872C03" w:rsidRPr="00883399" w:rsidRDefault="00872C03" w:rsidP="0031057E">
            <w:pPr>
              <w:pStyle w:val="Tabletext0"/>
              <w:rPr>
                <w:sz w:val="22"/>
              </w:rPr>
            </w:pPr>
            <w:r w:rsidRPr="00883399">
              <w:rPr>
                <w:sz w:val="22"/>
              </w:rPr>
              <w:t>Natural gas transmission</w:t>
            </w:r>
          </w:p>
        </w:tc>
        <w:tc>
          <w:tcPr>
            <w:tcW w:w="1258" w:type="dxa"/>
            <w:shd w:val="clear" w:color="auto" w:fill="auto"/>
          </w:tcPr>
          <w:p w14:paraId="5064111E" w14:textId="77777777" w:rsidR="00872C03" w:rsidRPr="00883399" w:rsidRDefault="00872C03" w:rsidP="0031057E">
            <w:pPr>
              <w:pStyle w:val="Tabletext0"/>
              <w:rPr>
                <w:sz w:val="22"/>
              </w:rPr>
            </w:pPr>
            <w:r w:rsidRPr="00883399">
              <w:rPr>
                <w:sz w:val="22"/>
              </w:rPr>
              <w:t>50</w:t>
            </w:r>
          </w:p>
        </w:tc>
      </w:tr>
      <w:tr w:rsidR="00872C03" w:rsidRPr="00883399" w14:paraId="61B198F4" w14:textId="77777777" w:rsidTr="0031057E">
        <w:tc>
          <w:tcPr>
            <w:tcW w:w="709" w:type="dxa"/>
            <w:tcBorders>
              <w:bottom w:val="single" w:sz="4" w:space="0" w:color="auto"/>
            </w:tcBorders>
            <w:shd w:val="clear" w:color="auto" w:fill="auto"/>
          </w:tcPr>
          <w:p w14:paraId="30C9FF29" w14:textId="77777777" w:rsidR="00872C03" w:rsidRPr="00883399" w:rsidRDefault="00872C03" w:rsidP="0031057E">
            <w:pPr>
              <w:pStyle w:val="Tabletext0"/>
              <w:rPr>
                <w:sz w:val="22"/>
              </w:rPr>
            </w:pPr>
            <w:r w:rsidRPr="00883399">
              <w:rPr>
                <w:sz w:val="22"/>
              </w:rPr>
              <w:t>10</w:t>
            </w:r>
          </w:p>
        </w:tc>
        <w:tc>
          <w:tcPr>
            <w:tcW w:w="6363" w:type="dxa"/>
            <w:tcBorders>
              <w:bottom w:val="single" w:sz="4" w:space="0" w:color="auto"/>
            </w:tcBorders>
            <w:shd w:val="clear" w:color="auto" w:fill="auto"/>
          </w:tcPr>
          <w:p w14:paraId="504EA794" w14:textId="77777777" w:rsidR="00872C03" w:rsidRPr="00883399" w:rsidRDefault="00872C03" w:rsidP="0031057E">
            <w:pPr>
              <w:pStyle w:val="Tabletext0"/>
              <w:rPr>
                <w:sz w:val="22"/>
              </w:rPr>
            </w:pPr>
            <w:r w:rsidRPr="00883399">
              <w:rPr>
                <w:sz w:val="22"/>
              </w:rPr>
              <w:t>Natural gas distribution</w:t>
            </w:r>
          </w:p>
        </w:tc>
        <w:tc>
          <w:tcPr>
            <w:tcW w:w="1258" w:type="dxa"/>
            <w:tcBorders>
              <w:bottom w:val="single" w:sz="4" w:space="0" w:color="auto"/>
            </w:tcBorders>
            <w:shd w:val="clear" w:color="auto" w:fill="auto"/>
          </w:tcPr>
          <w:p w14:paraId="747FB0E1" w14:textId="77777777" w:rsidR="00872C03" w:rsidRPr="00883399" w:rsidRDefault="00872C03" w:rsidP="0031057E">
            <w:pPr>
              <w:pStyle w:val="Tabletext0"/>
              <w:rPr>
                <w:sz w:val="22"/>
              </w:rPr>
            </w:pPr>
            <w:r w:rsidRPr="00883399">
              <w:rPr>
                <w:sz w:val="22"/>
              </w:rPr>
              <w:t>50</w:t>
            </w:r>
          </w:p>
        </w:tc>
      </w:tr>
      <w:tr w:rsidR="00872C03" w:rsidRPr="00883399" w14:paraId="413A2F99" w14:textId="77777777" w:rsidTr="0031057E">
        <w:tc>
          <w:tcPr>
            <w:tcW w:w="709" w:type="dxa"/>
            <w:tcBorders>
              <w:bottom w:val="single" w:sz="12" w:space="0" w:color="auto"/>
            </w:tcBorders>
            <w:shd w:val="clear" w:color="auto" w:fill="auto"/>
          </w:tcPr>
          <w:p w14:paraId="7545B429" w14:textId="77777777" w:rsidR="00872C03" w:rsidRPr="00883399" w:rsidRDefault="00872C03" w:rsidP="0031057E">
            <w:pPr>
              <w:pStyle w:val="Tabletext0"/>
              <w:rPr>
                <w:sz w:val="22"/>
              </w:rPr>
            </w:pPr>
            <w:r w:rsidRPr="00883399">
              <w:rPr>
                <w:sz w:val="22"/>
              </w:rPr>
              <w:t>11</w:t>
            </w:r>
          </w:p>
        </w:tc>
        <w:tc>
          <w:tcPr>
            <w:tcW w:w="6363" w:type="dxa"/>
            <w:tcBorders>
              <w:bottom w:val="single" w:sz="12" w:space="0" w:color="auto"/>
            </w:tcBorders>
            <w:shd w:val="clear" w:color="auto" w:fill="auto"/>
          </w:tcPr>
          <w:p w14:paraId="0E1D7BD7" w14:textId="77777777" w:rsidR="00872C03" w:rsidRPr="00883399" w:rsidRDefault="00872C03" w:rsidP="0031057E">
            <w:pPr>
              <w:pStyle w:val="Tabletext0"/>
              <w:rPr>
                <w:sz w:val="22"/>
              </w:rPr>
            </w:pPr>
            <w:r w:rsidRPr="00883399">
              <w:rPr>
                <w:sz w:val="22"/>
              </w:rPr>
              <w:t>Natural gas production or processing—flaring</w:t>
            </w:r>
          </w:p>
        </w:tc>
        <w:tc>
          <w:tcPr>
            <w:tcW w:w="1258" w:type="dxa"/>
            <w:tcBorders>
              <w:bottom w:val="single" w:sz="12" w:space="0" w:color="auto"/>
            </w:tcBorders>
            <w:shd w:val="clear" w:color="auto" w:fill="auto"/>
          </w:tcPr>
          <w:p w14:paraId="1C248CCC" w14:textId="77777777" w:rsidR="00872C03" w:rsidRPr="00883399" w:rsidRDefault="00872C03" w:rsidP="0031057E">
            <w:pPr>
              <w:pStyle w:val="Tabletext0"/>
              <w:rPr>
                <w:sz w:val="22"/>
              </w:rPr>
            </w:pPr>
            <w:r w:rsidRPr="00883399">
              <w:rPr>
                <w:sz w:val="22"/>
              </w:rPr>
              <w:t>25</w:t>
            </w:r>
          </w:p>
        </w:tc>
      </w:tr>
    </w:tbl>
    <w:p w14:paraId="7040D0FA" w14:textId="1D4BF4B9" w:rsidR="00872C03" w:rsidRPr="00883399" w:rsidRDefault="00872C03" w:rsidP="00872C03">
      <w:pPr>
        <w:pStyle w:val="ActHead5"/>
        <w:rPr>
          <w:sz w:val="28"/>
        </w:rPr>
      </w:pPr>
      <w:bookmarkStart w:id="1359" w:name="_Toc423517259"/>
      <w:bookmarkStart w:id="1360" w:name="_Toc495653198"/>
      <w:r w:rsidRPr="00883399">
        <w:rPr>
          <w:rStyle w:val="CharSectno"/>
          <w:sz w:val="28"/>
        </w:rPr>
        <w:t>8.9</w:t>
      </w:r>
      <w:r w:rsidRPr="00883399">
        <w:rPr>
          <w:sz w:val="28"/>
        </w:rPr>
        <w:t xml:space="preserve">  Assessment of uncertainty for estimates of emissions from industrial process sources</w:t>
      </w:r>
      <w:bookmarkEnd w:id="1359"/>
      <w:bookmarkEnd w:id="1360"/>
    </w:p>
    <w:p w14:paraId="019E0335" w14:textId="77777777" w:rsidR="00872C03" w:rsidRPr="00883399" w:rsidRDefault="00872C03" w:rsidP="00872C03">
      <w:pPr>
        <w:pStyle w:val="subsection"/>
        <w:rPr>
          <w:sz w:val="24"/>
        </w:rPr>
      </w:pPr>
      <w:r w:rsidRPr="00883399">
        <w:rPr>
          <w:sz w:val="24"/>
        </w:rPr>
        <w:tab/>
        <w:t>(1)</w:t>
      </w:r>
      <w:r w:rsidRPr="00883399">
        <w:rPr>
          <w:sz w:val="24"/>
        </w:rPr>
        <w:tab/>
        <w:t>In assessing uncertainty of the estimates of emissions estimated using method 1 for the industrial process sources mentioned in column 2 of an item of the following table, the assessment must include the uncertainty level for the emission factor and activity data associated with the source:</w:t>
      </w:r>
    </w:p>
    <w:p w14:paraId="25EDA973" w14:textId="77777777" w:rsidR="00872C03" w:rsidRPr="00883399" w:rsidRDefault="00872C03" w:rsidP="00872C03">
      <w:pPr>
        <w:pStyle w:val="paragraph"/>
        <w:rPr>
          <w:sz w:val="24"/>
        </w:rPr>
      </w:pPr>
      <w:r w:rsidRPr="00883399">
        <w:rPr>
          <w:sz w:val="24"/>
        </w:rPr>
        <w:tab/>
        <w:t>(a)</w:t>
      </w:r>
      <w:r w:rsidRPr="00883399">
        <w:rPr>
          <w:sz w:val="24"/>
        </w:rPr>
        <w:tab/>
        <w:t>as specified:</w:t>
      </w:r>
    </w:p>
    <w:p w14:paraId="298A662A" w14:textId="77777777" w:rsidR="00872C03" w:rsidRPr="00883399" w:rsidRDefault="00872C03" w:rsidP="00872C03">
      <w:pPr>
        <w:pStyle w:val="paragraphsub"/>
        <w:rPr>
          <w:sz w:val="24"/>
        </w:rPr>
      </w:pPr>
      <w:r w:rsidRPr="00883399">
        <w:rPr>
          <w:sz w:val="24"/>
        </w:rPr>
        <w:tab/>
        <w:t>(i)</w:t>
      </w:r>
      <w:r w:rsidRPr="00883399">
        <w:rPr>
          <w:sz w:val="24"/>
        </w:rPr>
        <w:tab/>
        <w:t>for the emission factor—in column 3 for the item; and</w:t>
      </w:r>
    </w:p>
    <w:p w14:paraId="3D7E1FE1" w14:textId="77777777" w:rsidR="00872C03" w:rsidRPr="00883399" w:rsidRDefault="00872C03" w:rsidP="00872C03">
      <w:pPr>
        <w:pStyle w:val="paragraphsub"/>
        <w:rPr>
          <w:sz w:val="24"/>
        </w:rPr>
      </w:pPr>
      <w:r w:rsidRPr="00883399">
        <w:rPr>
          <w:sz w:val="24"/>
        </w:rPr>
        <w:tab/>
        <w:t>(ii)</w:t>
      </w:r>
      <w:r w:rsidRPr="00883399">
        <w:rPr>
          <w:sz w:val="24"/>
        </w:rPr>
        <w:tab/>
        <w:t>for the activity data—in column 4 for the item; or</w:t>
      </w:r>
    </w:p>
    <w:p w14:paraId="2A99C8ED" w14:textId="77777777" w:rsidR="00872C03" w:rsidRPr="00883399" w:rsidRDefault="00872C03" w:rsidP="00872C03">
      <w:pPr>
        <w:pStyle w:val="paragraph"/>
        <w:rPr>
          <w:sz w:val="24"/>
        </w:rPr>
      </w:pPr>
      <w:r w:rsidRPr="00883399">
        <w:rPr>
          <w:sz w:val="24"/>
        </w:rPr>
        <w:tab/>
        <w:t>(b)</w:t>
      </w:r>
      <w:r w:rsidRPr="00883399">
        <w:rPr>
          <w:sz w:val="24"/>
        </w:rPr>
        <w:tab/>
        <w:t>as worked out in accordance with the uncertainty protocol.</w:t>
      </w:r>
    </w:p>
    <w:p w14:paraId="68BE0782" w14:textId="77777777" w:rsidR="00872C03" w:rsidRPr="00883399" w:rsidRDefault="00872C03" w:rsidP="00872C03">
      <w:pPr>
        <w:pStyle w:val="Tabletext0"/>
        <w:rPr>
          <w:sz w:val="22"/>
        </w:rPr>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5116"/>
        <w:gridCol w:w="1248"/>
        <w:gridCol w:w="1236"/>
      </w:tblGrid>
      <w:tr w:rsidR="00872C03" w:rsidRPr="00883399" w14:paraId="4B27313A" w14:textId="77777777" w:rsidTr="0031057E">
        <w:trPr>
          <w:tblHeader/>
        </w:trPr>
        <w:tc>
          <w:tcPr>
            <w:tcW w:w="714" w:type="dxa"/>
            <w:tcBorders>
              <w:top w:val="single" w:sz="12" w:space="0" w:color="auto"/>
              <w:bottom w:val="single" w:sz="12" w:space="0" w:color="auto"/>
            </w:tcBorders>
            <w:shd w:val="clear" w:color="auto" w:fill="auto"/>
          </w:tcPr>
          <w:p w14:paraId="5D32F724" w14:textId="77777777" w:rsidR="00872C03" w:rsidRPr="00883399" w:rsidRDefault="00872C03" w:rsidP="0031057E">
            <w:pPr>
              <w:pStyle w:val="TableHeading"/>
              <w:rPr>
                <w:sz w:val="22"/>
                <w:szCs w:val="18"/>
              </w:rPr>
            </w:pPr>
            <w:r w:rsidRPr="00883399">
              <w:rPr>
                <w:sz w:val="22"/>
                <w:szCs w:val="18"/>
              </w:rPr>
              <w:t>Item</w:t>
            </w:r>
          </w:p>
        </w:tc>
        <w:tc>
          <w:tcPr>
            <w:tcW w:w="5116" w:type="dxa"/>
            <w:tcBorders>
              <w:top w:val="single" w:sz="12" w:space="0" w:color="auto"/>
              <w:bottom w:val="single" w:sz="12" w:space="0" w:color="auto"/>
            </w:tcBorders>
            <w:shd w:val="clear" w:color="auto" w:fill="auto"/>
          </w:tcPr>
          <w:p w14:paraId="07401605" w14:textId="77777777" w:rsidR="00872C03" w:rsidRPr="00883399" w:rsidRDefault="00872C03" w:rsidP="0031057E">
            <w:pPr>
              <w:pStyle w:val="TableHeading"/>
              <w:rPr>
                <w:sz w:val="22"/>
                <w:szCs w:val="18"/>
              </w:rPr>
            </w:pPr>
            <w:r w:rsidRPr="00883399">
              <w:rPr>
                <w:sz w:val="22"/>
                <w:szCs w:val="18"/>
              </w:rPr>
              <w:t>Industrial process sources</w:t>
            </w:r>
          </w:p>
        </w:tc>
        <w:tc>
          <w:tcPr>
            <w:tcW w:w="1248" w:type="dxa"/>
            <w:tcBorders>
              <w:top w:val="single" w:sz="12" w:space="0" w:color="auto"/>
              <w:bottom w:val="single" w:sz="12" w:space="0" w:color="auto"/>
            </w:tcBorders>
            <w:shd w:val="clear" w:color="auto" w:fill="auto"/>
          </w:tcPr>
          <w:p w14:paraId="40996D8C" w14:textId="77777777" w:rsidR="00872C03" w:rsidRPr="00883399" w:rsidRDefault="00872C03" w:rsidP="0031057E">
            <w:pPr>
              <w:pStyle w:val="TableHeading"/>
              <w:rPr>
                <w:rStyle w:val="Strong"/>
                <w:rFonts w:cs="Arial"/>
                <w:b/>
                <w:sz w:val="22"/>
                <w:szCs w:val="18"/>
              </w:rPr>
            </w:pPr>
            <w:r w:rsidRPr="00883399">
              <w:rPr>
                <w:sz w:val="22"/>
                <w:szCs w:val="18"/>
              </w:rPr>
              <w:t>Emission factor uncertainty level (%)</w:t>
            </w:r>
          </w:p>
        </w:tc>
        <w:tc>
          <w:tcPr>
            <w:tcW w:w="1236" w:type="dxa"/>
            <w:tcBorders>
              <w:top w:val="single" w:sz="12" w:space="0" w:color="auto"/>
              <w:bottom w:val="single" w:sz="12" w:space="0" w:color="auto"/>
            </w:tcBorders>
            <w:shd w:val="clear" w:color="auto" w:fill="auto"/>
          </w:tcPr>
          <w:p w14:paraId="590C6262" w14:textId="77777777" w:rsidR="00872C03" w:rsidRPr="00883399" w:rsidRDefault="00872C03" w:rsidP="0031057E">
            <w:pPr>
              <w:pStyle w:val="TableHeading"/>
              <w:rPr>
                <w:sz w:val="22"/>
                <w:szCs w:val="18"/>
              </w:rPr>
            </w:pPr>
            <w:r w:rsidRPr="00883399">
              <w:rPr>
                <w:sz w:val="22"/>
                <w:szCs w:val="18"/>
              </w:rPr>
              <w:t>Activity data uncertainty (%)</w:t>
            </w:r>
          </w:p>
        </w:tc>
      </w:tr>
      <w:tr w:rsidR="00872C03" w:rsidRPr="00883399" w14:paraId="7FECD766" w14:textId="77777777" w:rsidTr="0031057E">
        <w:tc>
          <w:tcPr>
            <w:tcW w:w="714" w:type="dxa"/>
            <w:tcBorders>
              <w:top w:val="single" w:sz="12" w:space="0" w:color="auto"/>
            </w:tcBorders>
            <w:shd w:val="clear" w:color="auto" w:fill="auto"/>
          </w:tcPr>
          <w:p w14:paraId="39985FED" w14:textId="77777777" w:rsidR="00872C03" w:rsidRPr="00883399" w:rsidRDefault="00872C03" w:rsidP="0031057E">
            <w:pPr>
              <w:pStyle w:val="Tabletext0"/>
              <w:rPr>
                <w:sz w:val="22"/>
              </w:rPr>
            </w:pPr>
            <w:r w:rsidRPr="00883399">
              <w:rPr>
                <w:sz w:val="22"/>
              </w:rPr>
              <w:t>1</w:t>
            </w:r>
          </w:p>
        </w:tc>
        <w:tc>
          <w:tcPr>
            <w:tcW w:w="5116" w:type="dxa"/>
            <w:tcBorders>
              <w:top w:val="single" w:sz="12" w:space="0" w:color="auto"/>
            </w:tcBorders>
            <w:shd w:val="clear" w:color="auto" w:fill="auto"/>
          </w:tcPr>
          <w:p w14:paraId="25A4E97B" w14:textId="77777777" w:rsidR="00872C03" w:rsidRPr="00883399" w:rsidRDefault="00872C03" w:rsidP="0031057E">
            <w:pPr>
              <w:pStyle w:val="Tabletext0"/>
              <w:rPr>
                <w:sz w:val="22"/>
                <w:szCs w:val="22"/>
                <w:vertAlign w:val="superscript"/>
              </w:rPr>
            </w:pPr>
            <w:r w:rsidRPr="00883399">
              <w:rPr>
                <w:sz w:val="22"/>
              </w:rPr>
              <w:t>Cement clinker production</w:t>
            </w:r>
          </w:p>
        </w:tc>
        <w:tc>
          <w:tcPr>
            <w:tcW w:w="1248" w:type="dxa"/>
            <w:tcBorders>
              <w:top w:val="single" w:sz="12" w:space="0" w:color="auto"/>
            </w:tcBorders>
            <w:shd w:val="clear" w:color="auto" w:fill="auto"/>
          </w:tcPr>
          <w:p w14:paraId="429DDA1E" w14:textId="77777777" w:rsidR="00872C03" w:rsidRPr="00883399" w:rsidRDefault="00872C03" w:rsidP="0031057E">
            <w:pPr>
              <w:pStyle w:val="Tabletext0"/>
              <w:rPr>
                <w:sz w:val="22"/>
              </w:rPr>
            </w:pPr>
            <w:r w:rsidRPr="00883399">
              <w:rPr>
                <w:sz w:val="22"/>
              </w:rPr>
              <w:t>6</w:t>
            </w:r>
          </w:p>
        </w:tc>
        <w:tc>
          <w:tcPr>
            <w:tcW w:w="1236" w:type="dxa"/>
            <w:tcBorders>
              <w:top w:val="single" w:sz="12" w:space="0" w:color="auto"/>
            </w:tcBorders>
            <w:shd w:val="clear" w:color="auto" w:fill="auto"/>
          </w:tcPr>
          <w:p w14:paraId="3CC580D9" w14:textId="77777777" w:rsidR="00872C03" w:rsidRPr="00883399" w:rsidRDefault="00872C03" w:rsidP="0031057E">
            <w:pPr>
              <w:pStyle w:val="Tabletext0"/>
              <w:rPr>
                <w:sz w:val="22"/>
              </w:rPr>
            </w:pPr>
            <w:r w:rsidRPr="00883399">
              <w:rPr>
                <w:sz w:val="22"/>
              </w:rPr>
              <w:t>1.5</w:t>
            </w:r>
          </w:p>
        </w:tc>
      </w:tr>
      <w:tr w:rsidR="00872C03" w:rsidRPr="00883399" w14:paraId="58A16084" w14:textId="77777777" w:rsidTr="0031057E">
        <w:tc>
          <w:tcPr>
            <w:tcW w:w="714" w:type="dxa"/>
            <w:shd w:val="clear" w:color="auto" w:fill="auto"/>
          </w:tcPr>
          <w:p w14:paraId="3C106AB4" w14:textId="77777777" w:rsidR="00872C03" w:rsidRPr="00883399" w:rsidRDefault="00872C03" w:rsidP="0031057E">
            <w:pPr>
              <w:pStyle w:val="Tabletext0"/>
              <w:rPr>
                <w:sz w:val="22"/>
              </w:rPr>
            </w:pPr>
            <w:r w:rsidRPr="00883399">
              <w:rPr>
                <w:sz w:val="22"/>
              </w:rPr>
              <w:t>2</w:t>
            </w:r>
          </w:p>
        </w:tc>
        <w:tc>
          <w:tcPr>
            <w:tcW w:w="5116" w:type="dxa"/>
            <w:shd w:val="clear" w:color="auto" w:fill="auto"/>
          </w:tcPr>
          <w:p w14:paraId="5CDA3E9A" w14:textId="77777777" w:rsidR="00872C03" w:rsidRPr="00883399" w:rsidRDefault="00872C03" w:rsidP="0031057E">
            <w:pPr>
              <w:pStyle w:val="Tabletext0"/>
              <w:rPr>
                <w:sz w:val="22"/>
              </w:rPr>
            </w:pPr>
            <w:r w:rsidRPr="00883399">
              <w:rPr>
                <w:sz w:val="22"/>
              </w:rPr>
              <w:t>Lime production</w:t>
            </w:r>
          </w:p>
        </w:tc>
        <w:tc>
          <w:tcPr>
            <w:tcW w:w="1248" w:type="dxa"/>
            <w:shd w:val="clear" w:color="auto" w:fill="auto"/>
          </w:tcPr>
          <w:p w14:paraId="3BA0712A" w14:textId="77777777" w:rsidR="00872C03" w:rsidRPr="00883399" w:rsidRDefault="00872C03" w:rsidP="0031057E">
            <w:pPr>
              <w:pStyle w:val="Tabletext0"/>
              <w:rPr>
                <w:sz w:val="22"/>
              </w:rPr>
            </w:pPr>
            <w:r w:rsidRPr="00883399">
              <w:rPr>
                <w:sz w:val="22"/>
              </w:rPr>
              <w:t>6</w:t>
            </w:r>
          </w:p>
        </w:tc>
        <w:tc>
          <w:tcPr>
            <w:tcW w:w="1236" w:type="dxa"/>
            <w:shd w:val="clear" w:color="auto" w:fill="auto"/>
          </w:tcPr>
          <w:p w14:paraId="15221C39" w14:textId="77777777" w:rsidR="00872C03" w:rsidRPr="00883399" w:rsidRDefault="00872C03" w:rsidP="0031057E">
            <w:pPr>
              <w:pStyle w:val="Tabletext0"/>
              <w:rPr>
                <w:sz w:val="22"/>
              </w:rPr>
            </w:pPr>
            <w:r w:rsidRPr="00883399">
              <w:rPr>
                <w:sz w:val="22"/>
              </w:rPr>
              <w:t>1.5</w:t>
            </w:r>
          </w:p>
        </w:tc>
      </w:tr>
      <w:tr w:rsidR="00872C03" w:rsidRPr="00883399" w14:paraId="14300F97" w14:textId="77777777" w:rsidTr="0031057E">
        <w:tc>
          <w:tcPr>
            <w:tcW w:w="714" w:type="dxa"/>
            <w:shd w:val="clear" w:color="auto" w:fill="auto"/>
          </w:tcPr>
          <w:p w14:paraId="42008F6E" w14:textId="77777777" w:rsidR="00872C03" w:rsidRPr="00883399" w:rsidRDefault="00872C03" w:rsidP="0031057E">
            <w:pPr>
              <w:pStyle w:val="Tabletext0"/>
              <w:rPr>
                <w:sz w:val="22"/>
              </w:rPr>
            </w:pPr>
            <w:r w:rsidRPr="00883399">
              <w:rPr>
                <w:sz w:val="22"/>
              </w:rPr>
              <w:t>3</w:t>
            </w:r>
          </w:p>
        </w:tc>
        <w:tc>
          <w:tcPr>
            <w:tcW w:w="5116" w:type="dxa"/>
            <w:shd w:val="clear" w:color="auto" w:fill="auto"/>
          </w:tcPr>
          <w:p w14:paraId="2A8B42E2" w14:textId="77777777" w:rsidR="00872C03" w:rsidRPr="00883399" w:rsidRDefault="00872C03" w:rsidP="0031057E">
            <w:pPr>
              <w:pStyle w:val="Tabletext0"/>
              <w:rPr>
                <w:sz w:val="22"/>
              </w:rPr>
            </w:pPr>
            <w:r w:rsidRPr="00883399">
              <w:rPr>
                <w:sz w:val="22"/>
              </w:rPr>
              <w:t xml:space="preserve">Soda ash use </w:t>
            </w:r>
          </w:p>
        </w:tc>
        <w:tc>
          <w:tcPr>
            <w:tcW w:w="1248" w:type="dxa"/>
            <w:shd w:val="clear" w:color="auto" w:fill="auto"/>
          </w:tcPr>
          <w:p w14:paraId="3B919C5D" w14:textId="77777777" w:rsidR="00872C03" w:rsidRPr="00883399" w:rsidRDefault="00872C03" w:rsidP="0031057E">
            <w:pPr>
              <w:pStyle w:val="Tabletext0"/>
              <w:rPr>
                <w:sz w:val="22"/>
              </w:rPr>
            </w:pPr>
            <w:r w:rsidRPr="00883399">
              <w:rPr>
                <w:sz w:val="22"/>
              </w:rPr>
              <w:t>5</w:t>
            </w:r>
          </w:p>
        </w:tc>
        <w:tc>
          <w:tcPr>
            <w:tcW w:w="1236" w:type="dxa"/>
            <w:shd w:val="clear" w:color="auto" w:fill="auto"/>
          </w:tcPr>
          <w:p w14:paraId="5C286178" w14:textId="77777777" w:rsidR="00872C03" w:rsidRPr="00883399" w:rsidRDefault="00872C03" w:rsidP="0031057E">
            <w:pPr>
              <w:pStyle w:val="Tabletext0"/>
              <w:rPr>
                <w:sz w:val="22"/>
              </w:rPr>
            </w:pPr>
            <w:r w:rsidRPr="00883399">
              <w:rPr>
                <w:sz w:val="22"/>
              </w:rPr>
              <w:t>1.5</w:t>
            </w:r>
          </w:p>
        </w:tc>
      </w:tr>
      <w:tr w:rsidR="00872C03" w:rsidRPr="00883399" w14:paraId="52AA9B52" w14:textId="77777777" w:rsidTr="0031057E">
        <w:tc>
          <w:tcPr>
            <w:tcW w:w="714" w:type="dxa"/>
            <w:shd w:val="clear" w:color="auto" w:fill="auto"/>
          </w:tcPr>
          <w:p w14:paraId="12D2C2EA" w14:textId="77777777" w:rsidR="00872C03" w:rsidRPr="00883399" w:rsidRDefault="00872C03" w:rsidP="0031057E">
            <w:pPr>
              <w:pStyle w:val="Tabletext0"/>
              <w:rPr>
                <w:sz w:val="22"/>
              </w:rPr>
            </w:pPr>
            <w:r w:rsidRPr="00883399">
              <w:rPr>
                <w:sz w:val="22"/>
              </w:rPr>
              <w:t>4</w:t>
            </w:r>
          </w:p>
        </w:tc>
        <w:tc>
          <w:tcPr>
            <w:tcW w:w="5116" w:type="dxa"/>
            <w:shd w:val="clear" w:color="auto" w:fill="auto"/>
          </w:tcPr>
          <w:p w14:paraId="3A8C412E" w14:textId="77777777" w:rsidR="00872C03" w:rsidRPr="00883399" w:rsidRDefault="00872C03" w:rsidP="0031057E">
            <w:pPr>
              <w:pStyle w:val="Tabletext0"/>
              <w:rPr>
                <w:sz w:val="22"/>
              </w:rPr>
            </w:pPr>
            <w:r w:rsidRPr="00883399">
              <w:rPr>
                <w:sz w:val="22"/>
              </w:rPr>
              <w:t>Use of carbonates for the production of a product other than cement clinker, lime or soda ash</w:t>
            </w:r>
          </w:p>
        </w:tc>
        <w:tc>
          <w:tcPr>
            <w:tcW w:w="1248" w:type="dxa"/>
            <w:shd w:val="clear" w:color="auto" w:fill="auto"/>
          </w:tcPr>
          <w:p w14:paraId="31AD6810" w14:textId="77777777" w:rsidR="00872C03" w:rsidRPr="00883399" w:rsidRDefault="00872C03" w:rsidP="0031057E">
            <w:pPr>
              <w:pStyle w:val="Tabletext0"/>
              <w:rPr>
                <w:sz w:val="22"/>
              </w:rPr>
            </w:pPr>
            <w:r w:rsidRPr="00883399">
              <w:rPr>
                <w:sz w:val="22"/>
              </w:rPr>
              <w:t>5</w:t>
            </w:r>
          </w:p>
        </w:tc>
        <w:tc>
          <w:tcPr>
            <w:tcW w:w="1236" w:type="dxa"/>
            <w:shd w:val="clear" w:color="auto" w:fill="auto"/>
          </w:tcPr>
          <w:p w14:paraId="647E0C4C" w14:textId="77777777" w:rsidR="00872C03" w:rsidRPr="00883399" w:rsidRDefault="00872C03" w:rsidP="0031057E">
            <w:pPr>
              <w:pStyle w:val="Tabletext0"/>
              <w:rPr>
                <w:sz w:val="22"/>
              </w:rPr>
            </w:pPr>
            <w:r w:rsidRPr="00883399">
              <w:rPr>
                <w:sz w:val="22"/>
              </w:rPr>
              <w:t>1.5</w:t>
            </w:r>
          </w:p>
        </w:tc>
      </w:tr>
      <w:tr w:rsidR="00872C03" w:rsidRPr="00883399" w14:paraId="1BAFD510" w14:textId="77777777" w:rsidTr="0031057E">
        <w:tc>
          <w:tcPr>
            <w:tcW w:w="714" w:type="dxa"/>
            <w:shd w:val="clear" w:color="auto" w:fill="auto"/>
          </w:tcPr>
          <w:p w14:paraId="76157F37" w14:textId="77777777" w:rsidR="00872C03" w:rsidRPr="00883399" w:rsidRDefault="00872C03" w:rsidP="0031057E">
            <w:pPr>
              <w:pStyle w:val="Tabletext0"/>
              <w:rPr>
                <w:sz w:val="22"/>
              </w:rPr>
            </w:pPr>
            <w:r w:rsidRPr="00883399">
              <w:rPr>
                <w:sz w:val="22"/>
              </w:rPr>
              <w:t>5</w:t>
            </w:r>
          </w:p>
        </w:tc>
        <w:tc>
          <w:tcPr>
            <w:tcW w:w="5116" w:type="dxa"/>
            <w:shd w:val="clear" w:color="auto" w:fill="auto"/>
          </w:tcPr>
          <w:p w14:paraId="31BE466F" w14:textId="77777777" w:rsidR="00872C03" w:rsidRPr="00883399" w:rsidRDefault="00872C03" w:rsidP="0031057E">
            <w:pPr>
              <w:pStyle w:val="Tabletext0"/>
              <w:rPr>
                <w:sz w:val="22"/>
              </w:rPr>
            </w:pPr>
            <w:r w:rsidRPr="00883399">
              <w:rPr>
                <w:sz w:val="22"/>
              </w:rPr>
              <w:t>Nitric acid production</w:t>
            </w:r>
          </w:p>
        </w:tc>
        <w:tc>
          <w:tcPr>
            <w:tcW w:w="1248" w:type="dxa"/>
            <w:shd w:val="clear" w:color="auto" w:fill="auto"/>
          </w:tcPr>
          <w:p w14:paraId="6BA0E810" w14:textId="77777777" w:rsidR="00872C03" w:rsidRPr="00883399" w:rsidRDefault="00872C03" w:rsidP="0031057E">
            <w:pPr>
              <w:pStyle w:val="Tabletext0"/>
              <w:rPr>
                <w:sz w:val="22"/>
              </w:rPr>
            </w:pPr>
            <w:r w:rsidRPr="00883399">
              <w:rPr>
                <w:sz w:val="22"/>
              </w:rPr>
              <w:t>40</w:t>
            </w:r>
          </w:p>
        </w:tc>
        <w:tc>
          <w:tcPr>
            <w:tcW w:w="1236" w:type="dxa"/>
            <w:shd w:val="clear" w:color="auto" w:fill="auto"/>
          </w:tcPr>
          <w:p w14:paraId="16F3A28E" w14:textId="77777777" w:rsidR="00872C03" w:rsidRPr="00883399" w:rsidRDefault="00872C03" w:rsidP="0031057E">
            <w:pPr>
              <w:pStyle w:val="Tabletext0"/>
              <w:rPr>
                <w:sz w:val="22"/>
              </w:rPr>
            </w:pPr>
            <w:r w:rsidRPr="00883399">
              <w:rPr>
                <w:sz w:val="22"/>
              </w:rPr>
              <w:t>1.5</w:t>
            </w:r>
          </w:p>
        </w:tc>
      </w:tr>
      <w:tr w:rsidR="00872C03" w:rsidRPr="00883399" w14:paraId="007BF4D2" w14:textId="77777777" w:rsidTr="0031057E">
        <w:tc>
          <w:tcPr>
            <w:tcW w:w="714" w:type="dxa"/>
            <w:shd w:val="clear" w:color="auto" w:fill="auto"/>
          </w:tcPr>
          <w:p w14:paraId="438D987C" w14:textId="77777777" w:rsidR="00872C03" w:rsidRPr="00883399" w:rsidRDefault="00872C03" w:rsidP="0031057E">
            <w:pPr>
              <w:pStyle w:val="Tabletext0"/>
              <w:rPr>
                <w:sz w:val="22"/>
              </w:rPr>
            </w:pPr>
            <w:r w:rsidRPr="00883399">
              <w:rPr>
                <w:sz w:val="22"/>
              </w:rPr>
              <w:t>6</w:t>
            </w:r>
          </w:p>
        </w:tc>
        <w:tc>
          <w:tcPr>
            <w:tcW w:w="5116" w:type="dxa"/>
            <w:shd w:val="clear" w:color="auto" w:fill="auto"/>
          </w:tcPr>
          <w:p w14:paraId="2A1FA670" w14:textId="77777777" w:rsidR="00872C03" w:rsidRPr="00883399" w:rsidRDefault="00872C03" w:rsidP="0031057E">
            <w:pPr>
              <w:pStyle w:val="Tabletext0"/>
              <w:rPr>
                <w:sz w:val="22"/>
              </w:rPr>
            </w:pPr>
            <w:r w:rsidRPr="00883399">
              <w:rPr>
                <w:sz w:val="22"/>
              </w:rPr>
              <w:t>Adipic acid production</w:t>
            </w:r>
          </w:p>
        </w:tc>
        <w:tc>
          <w:tcPr>
            <w:tcW w:w="1248" w:type="dxa"/>
            <w:shd w:val="clear" w:color="auto" w:fill="auto"/>
          </w:tcPr>
          <w:p w14:paraId="1B40E4EA" w14:textId="77777777" w:rsidR="00872C03" w:rsidRPr="00883399" w:rsidRDefault="00872C03" w:rsidP="0031057E">
            <w:pPr>
              <w:pStyle w:val="Tabletext0"/>
              <w:rPr>
                <w:sz w:val="22"/>
              </w:rPr>
            </w:pPr>
            <w:r w:rsidRPr="00883399">
              <w:rPr>
                <w:sz w:val="22"/>
              </w:rPr>
              <w:t>10</w:t>
            </w:r>
          </w:p>
        </w:tc>
        <w:tc>
          <w:tcPr>
            <w:tcW w:w="1236" w:type="dxa"/>
            <w:shd w:val="clear" w:color="auto" w:fill="auto"/>
          </w:tcPr>
          <w:p w14:paraId="239AB0C3" w14:textId="77777777" w:rsidR="00872C03" w:rsidRPr="00883399" w:rsidRDefault="00872C03" w:rsidP="0031057E">
            <w:pPr>
              <w:pStyle w:val="Tabletext0"/>
              <w:rPr>
                <w:sz w:val="22"/>
              </w:rPr>
            </w:pPr>
            <w:r w:rsidRPr="00883399">
              <w:rPr>
                <w:sz w:val="22"/>
              </w:rPr>
              <w:t>1.5</w:t>
            </w:r>
          </w:p>
        </w:tc>
      </w:tr>
      <w:tr w:rsidR="00872C03" w:rsidRPr="00883399" w14:paraId="2FBCAC6C" w14:textId="77777777" w:rsidTr="0031057E">
        <w:tc>
          <w:tcPr>
            <w:tcW w:w="714" w:type="dxa"/>
            <w:tcBorders>
              <w:bottom w:val="single" w:sz="4" w:space="0" w:color="auto"/>
            </w:tcBorders>
            <w:shd w:val="clear" w:color="auto" w:fill="auto"/>
          </w:tcPr>
          <w:p w14:paraId="2E6BD6CF" w14:textId="77777777" w:rsidR="00872C03" w:rsidRPr="00883399" w:rsidRDefault="00872C03" w:rsidP="0031057E">
            <w:pPr>
              <w:pStyle w:val="Tabletext0"/>
              <w:rPr>
                <w:sz w:val="22"/>
              </w:rPr>
            </w:pPr>
            <w:r w:rsidRPr="00883399">
              <w:rPr>
                <w:sz w:val="22"/>
              </w:rPr>
              <w:t>7</w:t>
            </w:r>
          </w:p>
        </w:tc>
        <w:tc>
          <w:tcPr>
            <w:tcW w:w="5116" w:type="dxa"/>
            <w:tcBorders>
              <w:bottom w:val="single" w:sz="4" w:space="0" w:color="auto"/>
            </w:tcBorders>
            <w:shd w:val="clear" w:color="auto" w:fill="auto"/>
          </w:tcPr>
          <w:p w14:paraId="7A1C97B7" w14:textId="77777777" w:rsidR="00872C03" w:rsidRPr="00883399" w:rsidRDefault="00872C03" w:rsidP="0031057E">
            <w:pPr>
              <w:pStyle w:val="Tabletext0"/>
              <w:rPr>
                <w:sz w:val="22"/>
              </w:rPr>
            </w:pPr>
            <w:r w:rsidRPr="00883399">
              <w:rPr>
                <w:sz w:val="22"/>
              </w:rPr>
              <w:t>Aluminium (carbon anode consumption)</w:t>
            </w:r>
          </w:p>
        </w:tc>
        <w:tc>
          <w:tcPr>
            <w:tcW w:w="1248" w:type="dxa"/>
            <w:tcBorders>
              <w:bottom w:val="single" w:sz="4" w:space="0" w:color="auto"/>
            </w:tcBorders>
            <w:shd w:val="clear" w:color="auto" w:fill="auto"/>
          </w:tcPr>
          <w:p w14:paraId="35F54EFD" w14:textId="77777777" w:rsidR="00872C03" w:rsidRPr="00883399" w:rsidRDefault="00872C03" w:rsidP="0031057E">
            <w:pPr>
              <w:pStyle w:val="Tabletext0"/>
              <w:rPr>
                <w:sz w:val="22"/>
              </w:rPr>
            </w:pPr>
            <w:r w:rsidRPr="00883399">
              <w:rPr>
                <w:sz w:val="22"/>
              </w:rPr>
              <w:t>5</w:t>
            </w:r>
          </w:p>
        </w:tc>
        <w:tc>
          <w:tcPr>
            <w:tcW w:w="1236" w:type="dxa"/>
            <w:tcBorders>
              <w:bottom w:val="single" w:sz="4" w:space="0" w:color="auto"/>
            </w:tcBorders>
            <w:shd w:val="clear" w:color="auto" w:fill="auto"/>
          </w:tcPr>
          <w:p w14:paraId="1EE419C0" w14:textId="77777777" w:rsidR="00872C03" w:rsidRPr="00883399" w:rsidRDefault="00872C03" w:rsidP="0031057E">
            <w:pPr>
              <w:pStyle w:val="Tabletext0"/>
              <w:rPr>
                <w:sz w:val="22"/>
              </w:rPr>
            </w:pPr>
            <w:r w:rsidRPr="00883399">
              <w:rPr>
                <w:sz w:val="22"/>
              </w:rPr>
              <w:t>1</w:t>
            </w:r>
          </w:p>
        </w:tc>
      </w:tr>
      <w:tr w:rsidR="00872C03" w:rsidRPr="00883399" w14:paraId="65C58BFE" w14:textId="77777777" w:rsidTr="0031057E">
        <w:tc>
          <w:tcPr>
            <w:tcW w:w="714" w:type="dxa"/>
            <w:tcBorders>
              <w:bottom w:val="single" w:sz="12" w:space="0" w:color="auto"/>
            </w:tcBorders>
            <w:shd w:val="clear" w:color="auto" w:fill="auto"/>
          </w:tcPr>
          <w:p w14:paraId="742F849F" w14:textId="77777777" w:rsidR="00872C03" w:rsidRPr="00883399" w:rsidRDefault="00872C03" w:rsidP="0031057E">
            <w:pPr>
              <w:pStyle w:val="Tabletext0"/>
              <w:rPr>
                <w:sz w:val="22"/>
              </w:rPr>
            </w:pPr>
            <w:r w:rsidRPr="00883399">
              <w:rPr>
                <w:sz w:val="22"/>
              </w:rPr>
              <w:t>8</w:t>
            </w:r>
          </w:p>
        </w:tc>
        <w:tc>
          <w:tcPr>
            <w:tcW w:w="5116" w:type="dxa"/>
            <w:tcBorders>
              <w:bottom w:val="single" w:sz="12" w:space="0" w:color="auto"/>
            </w:tcBorders>
            <w:shd w:val="clear" w:color="auto" w:fill="auto"/>
          </w:tcPr>
          <w:p w14:paraId="5DFFBC59" w14:textId="77777777" w:rsidR="00872C03" w:rsidRPr="00883399" w:rsidRDefault="00872C03" w:rsidP="0031057E">
            <w:pPr>
              <w:pStyle w:val="Tabletext0"/>
              <w:rPr>
                <w:sz w:val="22"/>
              </w:rPr>
            </w:pPr>
            <w:r w:rsidRPr="00883399">
              <w:rPr>
                <w:sz w:val="22"/>
              </w:rPr>
              <w:t>Aluminium production (perfluoronated carbon compound emissions)</w:t>
            </w:r>
          </w:p>
        </w:tc>
        <w:tc>
          <w:tcPr>
            <w:tcW w:w="1248" w:type="dxa"/>
            <w:tcBorders>
              <w:bottom w:val="single" w:sz="12" w:space="0" w:color="auto"/>
            </w:tcBorders>
            <w:shd w:val="clear" w:color="auto" w:fill="auto"/>
          </w:tcPr>
          <w:p w14:paraId="36E99473" w14:textId="77777777" w:rsidR="00872C03" w:rsidRPr="00883399" w:rsidRDefault="00872C03" w:rsidP="0031057E">
            <w:pPr>
              <w:pStyle w:val="Tabletext0"/>
              <w:rPr>
                <w:sz w:val="22"/>
              </w:rPr>
            </w:pPr>
            <w:r w:rsidRPr="00883399">
              <w:rPr>
                <w:sz w:val="22"/>
              </w:rPr>
              <w:t>6</w:t>
            </w:r>
          </w:p>
        </w:tc>
        <w:tc>
          <w:tcPr>
            <w:tcW w:w="1236" w:type="dxa"/>
            <w:tcBorders>
              <w:bottom w:val="single" w:sz="12" w:space="0" w:color="auto"/>
            </w:tcBorders>
            <w:shd w:val="clear" w:color="auto" w:fill="auto"/>
          </w:tcPr>
          <w:p w14:paraId="39F0CBC1" w14:textId="77777777" w:rsidR="00872C03" w:rsidRPr="00883399" w:rsidRDefault="00872C03" w:rsidP="0031057E">
            <w:pPr>
              <w:pStyle w:val="Tabletext0"/>
              <w:rPr>
                <w:sz w:val="22"/>
              </w:rPr>
            </w:pPr>
            <w:r w:rsidRPr="00883399">
              <w:rPr>
                <w:sz w:val="22"/>
              </w:rPr>
              <w:t>1</w:t>
            </w:r>
          </w:p>
        </w:tc>
      </w:tr>
    </w:tbl>
    <w:p w14:paraId="66988A27" w14:textId="77777777" w:rsidR="00D666D1" w:rsidRPr="00883399" w:rsidRDefault="00872C03" w:rsidP="00D666D1">
      <w:pPr>
        <w:spacing w:before="240" w:line="312" w:lineRule="auto"/>
        <w:ind w:left="1440" w:hanging="720"/>
        <w:rPr>
          <w:rStyle w:val="CharSectno"/>
          <w:rFonts w:ascii="Arial" w:hAnsi="Arial" w:cs="Arial"/>
          <w:sz w:val="22"/>
          <w:szCs w:val="22"/>
        </w:rPr>
      </w:pPr>
      <w:r w:rsidRPr="00883399">
        <w:t>(2)</w:t>
      </w:r>
      <w:r w:rsidRPr="00883399">
        <w:tab/>
        <w:t>In assessing uncertainty of the estimates of emissions estimated using method 1 for industrial process sources mentioned in column 2 of an item of the following table, column 3 for the item sets out the aggregated uncertainty level associated with the source.</w:t>
      </w:r>
      <w:r w:rsidR="00D666D1" w:rsidRPr="00883399">
        <w:rPr>
          <w:rStyle w:val="CharSectno"/>
          <w:rFonts w:ascii="Arial" w:hAnsi="Arial" w:cs="Arial"/>
          <w:sz w:val="22"/>
          <w:szCs w:val="22"/>
        </w:rPr>
        <w:t xml:space="preserve"> </w:t>
      </w:r>
    </w:p>
    <w:p w14:paraId="04F8F62E" w14:textId="77777777" w:rsidR="00872C03" w:rsidRPr="00883399" w:rsidRDefault="00D666D1" w:rsidP="00D666D1">
      <w:pPr>
        <w:spacing w:before="240" w:line="312" w:lineRule="auto"/>
      </w:pPr>
      <w:r w:rsidRPr="00883399">
        <w:rPr>
          <w:rStyle w:val="CharSectno"/>
          <w:rFonts w:ascii="Arial" w:hAnsi="Arial" w:cs="Arial"/>
          <w:sz w:val="22"/>
          <w:szCs w:val="22"/>
        </w:rPr>
        <w:t xml:space="preserve">For aluminium production the uncertainty for estimates of emissions may be assessed using the information provided in Chapter 4 of the </w:t>
      </w:r>
      <w:r w:rsidRPr="00883399">
        <w:rPr>
          <w:rStyle w:val="CharSectno"/>
          <w:rFonts w:ascii="Arial" w:hAnsi="Arial" w:cs="Arial"/>
          <w:i/>
          <w:sz w:val="22"/>
          <w:szCs w:val="22"/>
        </w:rPr>
        <w:t>2006 IPCC Guidelines for National Greenhouse Gas Inventories (Volume 3)</w:t>
      </w:r>
      <w:r w:rsidRPr="00883399">
        <w:rPr>
          <w:rStyle w:val="CharSectno"/>
          <w:rFonts w:ascii="Arial" w:hAnsi="Arial" w:cs="Arial"/>
          <w:sz w:val="22"/>
          <w:szCs w:val="22"/>
        </w:rPr>
        <w:t xml:space="preserve">. </w:t>
      </w:r>
    </w:p>
    <w:p w14:paraId="5E08E76D" w14:textId="77777777" w:rsidR="00872C03" w:rsidRPr="00883399" w:rsidRDefault="00872C03" w:rsidP="00872C03">
      <w:pPr>
        <w:pStyle w:val="Tabletext0"/>
        <w:rPr>
          <w:sz w:val="22"/>
        </w:rPr>
      </w:pPr>
    </w:p>
    <w:tbl>
      <w:tblPr>
        <w:tblW w:w="0" w:type="auto"/>
        <w:tblInd w:w="108" w:type="dxa"/>
        <w:tblBorders>
          <w:top w:val="single" w:sz="4" w:space="0" w:color="auto"/>
          <w:bottom w:val="single" w:sz="2" w:space="0" w:color="auto"/>
          <w:insideH w:val="single" w:sz="4" w:space="0" w:color="auto"/>
        </w:tblBorders>
        <w:tblLook w:val="0000" w:firstRow="0" w:lastRow="0" w:firstColumn="0" w:lastColumn="0" w:noHBand="0" w:noVBand="0"/>
      </w:tblPr>
      <w:tblGrid>
        <w:gridCol w:w="656"/>
        <w:gridCol w:w="5997"/>
        <w:gridCol w:w="1552"/>
      </w:tblGrid>
      <w:tr w:rsidR="00872C03" w:rsidRPr="00883399" w14:paraId="44ECE031" w14:textId="77777777" w:rsidTr="00D666D1">
        <w:trPr>
          <w:tblHeader/>
        </w:trPr>
        <w:tc>
          <w:tcPr>
            <w:tcW w:w="656" w:type="dxa"/>
            <w:tcBorders>
              <w:top w:val="single" w:sz="12" w:space="0" w:color="auto"/>
              <w:bottom w:val="single" w:sz="12" w:space="0" w:color="auto"/>
            </w:tcBorders>
            <w:shd w:val="clear" w:color="auto" w:fill="auto"/>
          </w:tcPr>
          <w:p w14:paraId="16A31A97" w14:textId="77777777" w:rsidR="00872C03" w:rsidRPr="00883399" w:rsidRDefault="00872C03" w:rsidP="0031057E">
            <w:pPr>
              <w:pStyle w:val="TableHeading"/>
              <w:rPr>
                <w:sz w:val="22"/>
                <w:szCs w:val="18"/>
              </w:rPr>
            </w:pPr>
            <w:r w:rsidRPr="00883399">
              <w:rPr>
                <w:sz w:val="22"/>
                <w:szCs w:val="18"/>
              </w:rPr>
              <w:t>Item</w:t>
            </w:r>
          </w:p>
        </w:tc>
        <w:tc>
          <w:tcPr>
            <w:tcW w:w="6092" w:type="dxa"/>
            <w:tcBorders>
              <w:top w:val="single" w:sz="12" w:space="0" w:color="auto"/>
              <w:bottom w:val="single" w:sz="12" w:space="0" w:color="auto"/>
            </w:tcBorders>
            <w:shd w:val="clear" w:color="auto" w:fill="auto"/>
          </w:tcPr>
          <w:p w14:paraId="0A3FCC1B" w14:textId="77777777" w:rsidR="00872C03" w:rsidRPr="00883399" w:rsidRDefault="00872C03" w:rsidP="0031057E">
            <w:pPr>
              <w:pStyle w:val="TableHeading"/>
              <w:rPr>
                <w:sz w:val="22"/>
                <w:szCs w:val="18"/>
              </w:rPr>
            </w:pPr>
            <w:r w:rsidRPr="00883399">
              <w:rPr>
                <w:sz w:val="22"/>
                <w:szCs w:val="18"/>
              </w:rPr>
              <w:t>Industrial process sources</w:t>
            </w:r>
          </w:p>
        </w:tc>
        <w:tc>
          <w:tcPr>
            <w:tcW w:w="1558" w:type="dxa"/>
            <w:tcBorders>
              <w:top w:val="single" w:sz="12" w:space="0" w:color="auto"/>
              <w:bottom w:val="single" w:sz="12" w:space="0" w:color="auto"/>
            </w:tcBorders>
            <w:shd w:val="clear" w:color="auto" w:fill="auto"/>
          </w:tcPr>
          <w:p w14:paraId="4C85D298" w14:textId="77777777" w:rsidR="00872C03" w:rsidRPr="00883399" w:rsidRDefault="00872C03" w:rsidP="0031057E">
            <w:pPr>
              <w:pStyle w:val="TableHeading"/>
              <w:rPr>
                <w:rStyle w:val="Strong"/>
                <w:rFonts w:cs="Arial"/>
                <w:b/>
                <w:sz w:val="22"/>
                <w:szCs w:val="18"/>
              </w:rPr>
            </w:pPr>
            <w:r w:rsidRPr="00883399">
              <w:rPr>
                <w:sz w:val="22"/>
                <w:szCs w:val="18"/>
              </w:rPr>
              <w:t>Aggregated uncertainty level (%)</w:t>
            </w:r>
          </w:p>
        </w:tc>
      </w:tr>
      <w:tr w:rsidR="00872C03" w:rsidRPr="00883399" w14:paraId="48994270" w14:textId="77777777" w:rsidTr="00D666D1">
        <w:tc>
          <w:tcPr>
            <w:tcW w:w="656" w:type="dxa"/>
            <w:tcBorders>
              <w:top w:val="single" w:sz="12" w:space="0" w:color="auto"/>
              <w:bottom w:val="single" w:sz="12" w:space="0" w:color="auto"/>
            </w:tcBorders>
            <w:shd w:val="clear" w:color="auto" w:fill="auto"/>
          </w:tcPr>
          <w:p w14:paraId="4E61A2DF" w14:textId="77777777" w:rsidR="00872C03" w:rsidRPr="00883399" w:rsidRDefault="00872C03" w:rsidP="0031057E">
            <w:pPr>
              <w:pStyle w:val="Tabletext0"/>
              <w:rPr>
                <w:sz w:val="22"/>
              </w:rPr>
            </w:pPr>
            <w:r w:rsidRPr="00883399">
              <w:rPr>
                <w:sz w:val="22"/>
              </w:rPr>
              <w:t>1</w:t>
            </w:r>
          </w:p>
        </w:tc>
        <w:tc>
          <w:tcPr>
            <w:tcW w:w="6092" w:type="dxa"/>
            <w:tcBorders>
              <w:top w:val="single" w:sz="12" w:space="0" w:color="auto"/>
              <w:bottom w:val="single" w:sz="12" w:space="0" w:color="auto"/>
            </w:tcBorders>
            <w:shd w:val="clear" w:color="auto" w:fill="auto"/>
          </w:tcPr>
          <w:p w14:paraId="12B23482" w14:textId="77777777" w:rsidR="00872C03" w:rsidRPr="00883399" w:rsidRDefault="00872C03" w:rsidP="0031057E">
            <w:pPr>
              <w:pStyle w:val="Tabletext0"/>
              <w:rPr>
                <w:sz w:val="22"/>
              </w:rPr>
            </w:pPr>
            <w:r w:rsidRPr="00883399">
              <w:rPr>
                <w:sz w:val="22"/>
              </w:rPr>
              <w:t>Emissions of hydrofluorocarbons and sulphur hexafluoride gas</w:t>
            </w:r>
          </w:p>
        </w:tc>
        <w:tc>
          <w:tcPr>
            <w:tcW w:w="1558" w:type="dxa"/>
            <w:tcBorders>
              <w:top w:val="single" w:sz="12" w:space="0" w:color="auto"/>
              <w:bottom w:val="single" w:sz="12" w:space="0" w:color="auto"/>
            </w:tcBorders>
            <w:shd w:val="clear" w:color="auto" w:fill="auto"/>
          </w:tcPr>
          <w:p w14:paraId="59951D7E" w14:textId="77777777" w:rsidR="00872C03" w:rsidRPr="00883399" w:rsidRDefault="00872C03" w:rsidP="0031057E">
            <w:pPr>
              <w:pStyle w:val="Tabletext0"/>
              <w:rPr>
                <w:sz w:val="22"/>
              </w:rPr>
            </w:pPr>
            <w:r w:rsidRPr="00883399">
              <w:rPr>
                <w:sz w:val="22"/>
              </w:rPr>
              <w:t>30</w:t>
            </w:r>
          </w:p>
        </w:tc>
      </w:tr>
    </w:tbl>
    <w:p w14:paraId="3A96B075" w14:textId="77777777" w:rsidR="00D666D1" w:rsidRPr="00883399" w:rsidRDefault="00D666D1" w:rsidP="00D666D1">
      <w:pPr>
        <w:spacing w:before="240" w:line="312" w:lineRule="auto"/>
        <w:rPr>
          <w:rFonts w:ascii="Arial" w:hAnsi="Arial" w:cs="Arial"/>
          <w:sz w:val="22"/>
          <w:szCs w:val="22"/>
        </w:rPr>
      </w:pPr>
      <w:r w:rsidRPr="00883399">
        <w:rPr>
          <w:rStyle w:val="CharSectno"/>
          <w:rFonts w:ascii="Arial" w:hAnsi="Arial" w:cs="Arial"/>
          <w:sz w:val="22"/>
          <w:szCs w:val="22"/>
        </w:rPr>
        <w:t>Note that the above uncertainty level is the aggregate uncertainty level for the source (</w:t>
      </w:r>
      <w:r w:rsidRPr="00883399">
        <w:rPr>
          <w:rFonts w:ascii="Arial" w:hAnsi="Arial" w:cs="Arial"/>
          <w:sz w:val="22"/>
          <w:szCs w:val="22"/>
        </w:rPr>
        <w:t>Emissions of hydrofluorocarbons and sulphur hexafluoride gas)</w:t>
      </w:r>
      <w:r w:rsidRPr="00883399">
        <w:rPr>
          <w:rStyle w:val="CharSectno"/>
          <w:rFonts w:ascii="Arial" w:hAnsi="Arial" w:cs="Arial"/>
          <w:sz w:val="22"/>
          <w:szCs w:val="22"/>
        </w:rPr>
        <w:t xml:space="preserve"> and may be used by substituting directly into the aggregation equations for facilities and the corporation in sections 8.12 and 8.13 as appropriate. Default individual parameter uncertainties have not been provided for this emission source calculated under method 1 and hence the parameter aggregation equation in section 8.11 is not applicable when the above default is used.</w:t>
      </w:r>
    </w:p>
    <w:p w14:paraId="41FC5650" w14:textId="77777777" w:rsidR="00872C03" w:rsidRPr="00883399" w:rsidRDefault="00872C03" w:rsidP="00872C03">
      <w:pPr>
        <w:pStyle w:val="subsection"/>
        <w:rPr>
          <w:sz w:val="24"/>
        </w:rPr>
      </w:pPr>
      <w:r w:rsidRPr="00883399">
        <w:rPr>
          <w:sz w:val="24"/>
        </w:rPr>
        <w:tab/>
        <w:t>(3)</w:t>
      </w:r>
      <w:r w:rsidRPr="00883399">
        <w:rPr>
          <w:sz w:val="24"/>
        </w:rPr>
        <w:tab/>
        <w:t>The uncertainty of estimates of emissions for industrial process sources that are not mentioned in subsections (1) or (2) must be assessed:</w:t>
      </w:r>
    </w:p>
    <w:p w14:paraId="69F8182C" w14:textId="38AFA31C" w:rsidR="00872C03" w:rsidRPr="00883399" w:rsidRDefault="00872C03" w:rsidP="00872C03">
      <w:pPr>
        <w:pStyle w:val="paragraphsub"/>
        <w:rPr>
          <w:sz w:val="24"/>
        </w:rPr>
      </w:pPr>
      <w:r w:rsidRPr="00883399">
        <w:rPr>
          <w:sz w:val="24"/>
        </w:rPr>
        <w:tab/>
        <w:t>(a)</w:t>
      </w:r>
      <w:r w:rsidRPr="00883399">
        <w:rPr>
          <w:sz w:val="24"/>
        </w:rPr>
        <w:tab/>
        <w:t>if the industrial process source involves the combustion of fuel—in accordance with:</w:t>
      </w:r>
      <w:r w:rsidRPr="00883399">
        <w:rPr>
          <w:sz w:val="24"/>
        </w:rPr>
        <w:tab/>
        <w:t>(i)</w:t>
      </w:r>
      <w:r w:rsidRPr="00883399">
        <w:rPr>
          <w:sz w:val="24"/>
        </w:rPr>
        <w:tab/>
        <w:t>for carbon dioxide emissions—section 8.6; and</w:t>
      </w:r>
    </w:p>
    <w:p w14:paraId="6DC43210" w14:textId="77777777" w:rsidR="00872C03" w:rsidRPr="00883399" w:rsidRDefault="00872C03" w:rsidP="00872C03">
      <w:pPr>
        <w:pStyle w:val="paragraphsub"/>
        <w:rPr>
          <w:sz w:val="24"/>
        </w:rPr>
      </w:pPr>
      <w:r w:rsidRPr="00883399">
        <w:rPr>
          <w:sz w:val="24"/>
        </w:rPr>
        <w:tab/>
        <w:t>(ii)</w:t>
      </w:r>
      <w:r w:rsidRPr="00883399">
        <w:rPr>
          <w:sz w:val="24"/>
        </w:rPr>
        <w:tab/>
        <w:t>for methane and nitrous oxide emissions—section 8.7; and</w:t>
      </w:r>
    </w:p>
    <w:p w14:paraId="1AC1871A" w14:textId="77777777" w:rsidR="00872C03" w:rsidRPr="00883399" w:rsidRDefault="00872C03" w:rsidP="00872C03">
      <w:pPr>
        <w:pStyle w:val="paragraph"/>
        <w:rPr>
          <w:sz w:val="24"/>
        </w:rPr>
      </w:pPr>
      <w:r w:rsidRPr="00883399">
        <w:rPr>
          <w:sz w:val="24"/>
        </w:rPr>
        <w:tab/>
        <w:t>(b)</w:t>
      </w:r>
      <w:r w:rsidRPr="00883399">
        <w:rPr>
          <w:sz w:val="24"/>
        </w:rPr>
        <w:tab/>
        <w:t>if the industrial process source does not involve the combustion of fuel—in accordance with the uncertainty protocol.</w:t>
      </w:r>
    </w:p>
    <w:p w14:paraId="0D68AA85" w14:textId="543E5E3E" w:rsidR="00872C03" w:rsidRPr="00883399" w:rsidRDefault="00872C03" w:rsidP="00872C03">
      <w:pPr>
        <w:pStyle w:val="ActHead5"/>
        <w:rPr>
          <w:sz w:val="28"/>
        </w:rPr>
      </w:pPr>
      <w:bookmarkStart w:id="1361" w:name="_Toc423517260"/>
      <w:bookmarkStart w:id="1362" w:name="_Toc495653199"/>
      <w:r w:rsidRPr="00883399">
        <w:rPr>
          <w:rStyle w:val="CharSectno"/>
          <w:sz w:val="28"/>
        </w:rPr>
        <w:t>8.10</w:t>
      </w:r>
      <w:r w:rsidRPr="00883399">
        <w:rPr>
          <w:sz w:val="28"/>
        </w:rPr>
        <w:t xml:space="preserve">  Assessment of uncertainty for estimates of emissions from waste</w:t>
      </w:r>
      <w:bookmarkEnd w:id="1361"/>
      <w:bookmarkEnd w:id="1362"/>
    </w:p>
    <w:p w14:paraId="03625B08" w14:textId="77777777" w:rsidR="00454B2E" w:rsidRPr="00883399" w:rsidRDefault="00454B2E" w:rsidP="00454B2E">
      <w:pPr>
        <w:spacing w:before="240" w:line="312" w:lineRule="auto"/>
        <w:rPr>
          <w:rStyle w:val="CharSectno"/>
          <w:rFonts w:ascii="Arial" w:hAnsi="Arial" w:cs="Arial"/>
          <w:sz w:val="22"/>
          <w:szCs w:val="22"/>
        </w:rPr>
      </w:pPr>
      <w:r w:rsidRPr="00883399">
        <w:rPr>
          <w:rStyle w:val="CharSectno"/>
          <w:rFonts w:ascii="Arial" w:hAnsi="Arial" w:cs="Arial"/>
          <w:sz w:val="22"/>
          <w:szCs w:val="22"/>
        </w:rPr>
        <w:t>Note that the uncertainty levels in this section are the aggregate uncertainty levels for the source and may be used by substituting directly into the aggregation equations for facilities and the corporation in sections 8.12 and 8.13 as appropriate. Default individual parameter uncertainties have not been provided for waste sector emissions calculated under method 1 and hence the parameter aggregation equation in section 8.11 is not applicable when these defaults are used.</w:t>
      </w:r>
    </w:p>
    <w:p w14:paraId="6F4AE38C" w14:textId="77777777" w:rsidR="00872C03" w:rsidRPr="00883399" w:rsidRDefault="00872C03" w:rsidP="00872C03">
      <w:pPr>
        <w:pStyle w:val="subsection"/>
        <w:rPr>
          <w:sz w:val="24"/>
        </w:rPr>
      </w:pPr>
      <w:r w:rsidRPr="00883399">
        <w:rPr>
          <w:sz w:val="24"/>
        </w:rPr>
        <w:tab/>
      </w:r>
      <w:r w:rsidRPr="00883399">
        <w:rPr>
          <w:sz w:val="24"/>
        </w:rPr>
        <w:tab/>
        <w:t>In assessing uncertainty of the estimates of emissions from waste estimated using method 1 for the activities mentioned in column 2 of an item of the following table, the assessment must include the aggregated uncertainty level:</w:t>
      </w:r>
    </w:p>
    <w:p w14:paraId="2708610E" w14:textId="77777777" w:rsidR="00872C03" w:rsidRPr="00883399" w:rsidRDefault="00872C03" w:rsidP="00872C03">
      <w:pPr>
        <w:pStyle w:val="paragraph"/>
        <w:rPr>
          <w:sz w:val="24"/>
        </w:rPr>
      </w:pPr>
      <w:r w:rsidRPr="00883399">
        <w:rPr>
          <w:sz w:val="24"/>
        </w:rPr>
        <w:tab/>
        <w:t>(a)</w:t>
      </w:r>
      <w:r w:rsidRPr="00883399">
        <w:rPr>
          <w:sz w:val="24"/>
        </w:rPr>
        <w:tab/>
        <w:t>as specified in column 3 for the item; or</w:t>
      </w:r>
    </w:p>
    <w:p w14:paraId="07801ED8" w14:textId="77777777" w:rsidR="00872C03" w:rsidRPr="00883399" w:rsidRDefault="00872C03" w:rsidP="00872C03">
      <w:pPr>
        <w:pStyle w:val="paragraph"/>
        <w:rPr>
          <w:sz w:val="24"/>
        </w:rPr>
      </w:pPr>
      <w:r w:rsidRPr="00883399">
        <w:rPr>
          <w:sz w:val="24"/>
        </w:rPr>
        <w:tab/>
        <w:t>(b)</w:t>
      </w:r>
      <w:r w:rsidRPr="00883399">
        <w:rPr>
          <w:sz w:val="24"/>
        </w:rPr>
        <w:tab/>
        <w:t>as worked out in accordance with the uncertainty protocol.</w:t>
      </w:r>
    </w:p>
    <w:p w14:paraId="592C0641" w14:textId="77777777" w:rsidR="00872C03" w:rsidRPr="00883399" w:rsidRDefault="00872C03" w:rsidP="00872C03">
      <w:pPr>
        <w:pStyle w:val="Tabletext0"/>
        <w:rPr>
          <w:sz w:val="22"/>
        </w:rPr>
      </w:pPr>
    </w:p>
    <w:tbl>
      <w:tblPr>
        <w:tblW w:w="0" w:type="auto"/>
        <w:tblInd w:w="108" w:type="dxa"/>
        <w:tblBorders>
          <w:top w:val="single" w:sz="4" w:space="0" w:color="auto"/>
          <w:bottom w:val="single" w:sz="2" w:space="0" w:color="auto"/>
          <w:insideH w:val="single" w:sz="4" w:space="0" w:color="auto"/>
        </w:tblBorders>
        <w:tblLook w:val="0000" w:firstRow="0" w:lastRow="0" w:firstColumn="0" w:lastColumn="0" w:noHBand="0" w:noVBand="0"/>
      </w:tblPr>
      <w:tblGrid>
        <w:gridCol w:w="719"/>
        <w:gridCol w:w="4393"/>
        <w:gridCol w:w="3093"/>
      </w:tblGrid>
      <w:tr w:rsidR="00872C03" w:rsidRPr="00883399" w14:paraId="373CC8BF" w14:textId="77777777" w:rsidTr="0031057E">
        <w:trPr>
          <w:tblHeader/>
        </w:trPr>
        <w:tc>
          <w:tcPr>
            <w:tcW w:w="720" w:type="dxa"/>
            <w:tcBorders>
              <w:top w:val="single" w:sz="12" w:space="0" w:color="auto"/>
              <w:bottom w:val="single" w:sz="12" w:space="0" w:color="auto"/>
            </w:tcBorders>
            <w:shd w:val="clear" w:color="auto" w:fill="auto"/>
            <w:vAlign w:val="bottom"/>
          </w:tcPr>
          <w:p w14:paraId="08F8D7E3" w14:textId="77777777" w:rsidR="00872C03" w:rsidRPr="00883399" w:rsidRDefault="00872C03" w:rsidP="0031057E">
            <w:pPr>
              <w:pStyle w:val="TableHeading"/>
              <w:rPr>
                <w:sz w:val="22"/>
              </w:rPr>
            </w:pPr>
            <w:r w:rsidRPr="00883399">
              <w:rPr>
                <w:sz w:val="22"/>
              </w:rPr>
              <w:t>Item</w:t>
            </w:r>
          </w:p>
        </w:tc>
        <w:tc>
          <w:tcPr>
            <w:tcW w:w="4440" w:type="dxa"/>
            <w:tcBorders>
              <w:top w:val="single" w:sz="12" w:space="0" w:color="auto"/>
              <w:bottom w:val="single" w:sz="12" w:space="0" w:color="auto"/>
            </w:tcBorders>
            <w:shd w:val="clear" w:color="auto" w:fill="auto"/>
            <w:vAlign w:val="bottom"/>
          </w:tcPr>
          <w:p w14:paraId="4D7EE4FF" w14:textId="77777777" w:rsidR="00872C03" w:rsidRPr="00883399" w:rsidRDefault="00872C03" w:rsidP="0031057E">
            <w:pPr>
              <w:pStyle w:val="TableHeading"/>
              <w:rPr>
                <w:rStyle w:val="Strong"/>
                <w:b/>
                <w:bCs w:val="0"/>
                <w:sz w:val="22"/>
                <w:szCs w:val="22"/>
              </w:rPr>
            </w:pPr>
            <w:r w:rsidRPr="00883399">
              <w:rPr>
                <w:sz w:val="22"/>
              </w:rPr>
              <w:t>Activities</w:t>
            </w:r>
          </w:p>
        </w:tc>
        <w:tc>
          <w:tcPr>
            <w:tcW w:w="3120" w:type="dxa"/>
            <w:tcBorders>
              <w:top w:val="single" w:sz="12" w:space="0" w:color="auto"/>
              <w:bottom w:val="single" w:sz="12" w:space="0" w:color="auto"/>
            </w:tcBorders>
            <w:shd w:val="clear" w:color="auto" w:fill="auto"/>
          </w:tcPr>
          <w:p w14:paraId="1823FA0F" w14:textId="77777777" w:rsidR="00872C03" w:rsidRPr="00883399" w:rsidRDefault="00872C03" w:rsidP="0031057E">
            <w:pPr>
              <w:pStyle w:val="TableHeading"/>
              <w:rPr>
                <w:rStyle w:val="Strong"/>
                <w:rFonts w:cs="Arial"/>
                <w:b/>
                <w:sz w:val="22"/>
                <w:szCs w:val="18"/>
              </w:rPr>
            </w:pPr>
            <w:r w:rsidRPr="00883399">
              <w:rPr>
                <w:sz w:val="22"/>
              </w:rPr>
              <w:t>Aggregated uncertainty level (%)</w:t>
            </w:r>
          </w:p>
        </w:tc>
      </w:tr>
      <w:tr w:rsidR="00872C03" w:rsidRPr="00883399" w14:paraId="4A575701" w14:textId="77777777" w:rsidTr="0031057E">
        <w:tc>
          <w:tcPr>
            <w:tcW w:w="720" w:type="dxa"/>
            <w:tcBorders>
              <w:top w:val="single" w:sz="12" w:space="0" w:color="auto"/>
            </w:tcBorders>
            <w:shd w:val="clear" w:color="auto" w:fill="auto"/>
          </w:tcPr>
          <w:p w14:paraId="31EE232D" w14:textId="77777777" w:rsidR="00872C03" w:rsidRPr="00883399" w:rsidRDefault="00872C03" w:rsidP="0031057E">
            <w:pPr>
              <w:pStyle w:val="Tabletext0"/>
              <w:rPr>
                <w:sz w:val="22"/>
              </w:rPr>
            </w:pPr>
            <w:r w:rsidRPr="00883399">
              <w:rPr>
                <w:sz w:val="22"/>
              </w:rPr>
              <w:t>1</w:t>
            </w:r>
          </w:p>
        </w:tc>
        <w:tc>
          <w:tcPr>
            <w:tcW w:w="4440" w:type="dxa"/>
            <w:tcBorders>
              <w:top w:val="single" w:sz="12" w:space="0" w:color="auto"/>
            </w:tcBorders>
            <w:shd w:val="clear" w:color="auto" w:fill="auto"/>
          </w:tcPr>
          <w:p w14:paraId="17C83C62" w14:textId="77777777" w:rsidR="00872C03" w:rsidRPr="00883399" w:rsidRDefault="00872C03" w:rsidP="0031057E">
            <w:pPr>
              <w:pStyle w:val="Tabletext0"/>
              <w:rPr>
                <w:sz w:val="22"/>
              </w:rPr>
            </w:pPr>
            <w:r w:rsidRPr="00883399">
              <w:rPr>
                <w:sz w:val="22"/>
              </w:rPr>
              <w:t>Solid waste disposal on land</w:t>
            </w:r>
          </w:p>
        </w:tc>
        <w:tc>
          <w:tcPr>
            <w:tcW w:w="3120" w:type="dxa"/>
            <w:tcBorders>
              <w:top w:val="single" w:sz="12" w:space="0" w:color="auto"/>
            </w:tcBorders>
            <w:shd w:val="clear" w:color="auto" w:fill="auto"/>
          </w:tcPr>
          <w:p w14:paraId="77C13691" w14:textId="77777777" w:rsidR="00872C03" w:rsidRPr="00883399" w:rsidRDefault="00872C03" w:rsidP="0031057E">
            <w:pPr>
              <w:pStyle w:val="Tabletext0"/>
              <w:rPr>
                <w:sz w:val="22"/>
              </w:rPr>
            </w:pPr>
            <w:r w:rsidRPr="00883399">
              <w:rPr>
                <w:sz w:val="22"/>
              </w:rPr>
              <w:t>35</w:t>
            </w:r>
          </w:p>
        </w:tc>
      </w:tr>
      <w:tr w:rsidR="00872C03" w:rsidRPr="00883399" w14:paraId="7BE9FD91" w14:textId="77777777" w:rsidTr="0031057E">
        <w:tc>
          <w:tcPr>
            <w:tcW w:w="720" w:type="dxa"/>
            <w:shd w:val="clear" w:color="auto" w:fill="auto"/>
          </w:tcPr>
          <w:p w14:paraId="13B1A4CC" w14:textId="77777777" w:rsidR="00872C03" w:rsidRPr="00883399" w:rsidRDefault="00872C03" w:rsidP="0031057E">
            <w:pPr>
              <w:pStyle w:val="Tabletext0"/>
              <w:rPr>
                <w:sz w:val="22"/>
              </w:rPr>
            </w:pPr>
            <w:r w:rsidRPr="00883399">
              <w:rPr>
                <w:sz w:val="22"/>
              </w:rPr>
              <w:t>2</w:t>
            </w:r>
          </w:p>
        </w:tc>
        <w:tc>
          <w:tcPr>
            <w:tcW w:w="4440" w:type="dxa"/>
            <w:shd w:val="clear" w:color="auto" w:fill="auto"/>
          </w:tcPr>
          <w:p w14:paraId="210BDB03" w14:textId="77777777" w:rsidR="00872C03" w:rsidRPr="00883399" w:rsidRDefault="00872C03" w:rsidP="0031057E">
            <w:pPr>
              <w:pStyle w:val="Tabletext0"/>
              <w:rPr>
                <w:sz w:val="22"/>
              </w:rPr>
            </w:pPr>
            <w:r w:rsidRPr="00883399">
              <w:rPr>
                <w:sz w:val="22"/>
              </w:rPr>
              <w:t>Wastewater handling (industrial)</w:t>
            </w:r>
          </w:p>
        </w:tc>
        <w:tc>
          <w:tcPr>
            <w:tcW w:w="3120" w:type="dxa"/>
            <w:shd w:val="clear" w:color="auto" w:fill="auto"/>
          </w:tcPr>
          <w:p w14:paraId="5EDDBEB5" w14:textId="77777777" w:rsidR="00872C03" w:rsidRPr="00883399" w:rsidRDefault="00872C03" w:rsidP="0031057E">
            <w:pPr>
              <w:pStyle w:val="Tabletext0"/>
              <w:rPr>
                <w:sz w:val="22"/>
              </w:rPr>
            </w:pPr>
            <w:r w:rsidRPr="00883399">
              <w:rPr>
                <w:sz w:val="22"/>
              </w:rPr>
              <w:t>65</w:t>
            </w:r>
          </w:p>
        </w:tc>
      </w:tr>
      <w:tr w:rsidR="00872C03" w:rsidRPr="00883399" w14:paraId="2A83D4DF" w14:textId="77777777" w:rsidTr="0031057E">
        <w:tc>
          <w:tcPr>
            <w:tcW w:w="720" w:type="dxa"/>
            <w:tcBorders>
              <w:bottom w:val="single" w:sz="4" w:space="0" w:color="auto"/>
            </w:tcBorders>
            <w:shd w:val="clear" w:color="auto" w:fill="auto"/>
          </w:tcPr>
          <w:p w14:paraId="5AB19F62" w14:textId="77777777" w:rsidR="00872C03" w:rsidRPr="00883399" w:rsidRDefault="00872C03" w:rsidP="0031057E">
            <w:pPr>
              <w:pStyle w:val="Tabletext0"/>
              <w:rPr>
                <w:sz w:val="22"/>
              </w:rPr>
            </w:pPr>
            <w:r w:rsidRPr="00883399">
              <w:rPr>
                <w:sz w:val="22"/>
              </w:rPr>
              <w:t>3</w:t>
            </w:r>
          </w:p>
        </w:tc>
        <w:tc>
          <w:tcPr>
            <w:tcW w:w="4440" w:type="dxa"/>
            <w:tcBorders>
              <w:bottom w:val="single" w:sz="4" w:space="0" w:color="auto"/>
            </w:tcBorders>
            <w:shd w:val="clear" w:color="auto" w:fill="auto"/>
          </w:tcPr>
          <w:p w14:paraId="6B3C483E" w14:textId="77777777" w:rsidR="00872C03" w:rsidRPr="00883399" w:rsidRDefault="00872C03" w:rsidP="0031057E">
            <w:pPr>
              <w:pStyle w:val="Tabletext0"/>
              <w:rPr>
                <w:sz w:val="22"/>
                <w:szCs w:val="22"/>
                <w:vertAlign w:val="superscript"/>
              </w:rPr>
            </w:pPr>
            <w:r w:rsidRPr="00883399">
              <w:rPr>
                <w:sz w:val="22"/>
              </w:rPr>
              <w:t>Wastewater handling (domestic or commercial)</w:t>
            </w:r>
          </w:p>
        </w:tc>
        <w:tc>
          <w:tcPr>
            <w:tcW w:w="3120" w:type="dxa"/>
            <w:tcBorders>
              <w:bottom w:val="single" w:sz="4" w:space="0" w:color="auto"/>
            </w:tcBorders>
            <w:shd w:val="clear" w:color="auto" w:fill="auto"/>
          </w:tcPr>
          <w:p w14:paraId="02AC63F8" w14:textId="77777777" w:rsidR="00872C03" w:rsidRPr="00883399" w:rsidRDefault="00872C03" w:rsidP="0031057E">
            <w:pPr>
              <w:pStyle w:val="Tabletext0"/>
              <w:rPr>
                <w:sz w:val="22"/>
              </w:rPr>
            </w:pPr>
            <w:r w:rsidRPr="00883399">
              <w:rPr>
                <w:sz w:val="22"/>
              </w:rPr>
              <w:t>40</w:t>
            </w:r>
          </w:p>
        </w:tc>
      </w:tr>
      <w:tr w:rsidR="00872C03" w:rsidRPr="00883399" w14:paraId="44AFF1CE" w14:textId="77777777" w:rsidTr="0031057E">
        <w:tc>
          <w:tcPr>
            <w:tcW w:w="720" w:type="dxa"/>
            <w:tcBorders>
              <w:bottom w:val="single" w:sz="12" w:space="0" w:color="auto"/>
            </w:tcBorders>
            <w:shd w:val="clear" w:color="auto" w:fill="auto"/>
          </w:tcPr>
          <w:p w14:paraId="1E8A3633" w14:textId="77777777" w:rsidR="00872C03" w:rsidRPr="00883399" w:rsidRDefault="00872C03" w:rsidP="0031057E">
            <w:pPr>
              <w:pStyle w:val="Tabletext0"/>
              <w:rPr>
                <w:sz w:val="22"/>
              </w:rPr>
            </w:pPr>
            <w:r w:rsidRPr="00883399">
              <w:rPr>
                <w:sz w:val="22"/>
              </w:rPr>
              <w:t>4</w:t>
            </w:r>
          </w:p>
        </w:tc>
        <w:tc>
          <w:tcPr>
            <w:tcW w:w="4440" w:type="dxa"/>
            <w:tcBorders>
              <w:bottom w:val="single" w:sz="12" w:space="0" w:color="auto"/>
            </w:tcBorders>
            <w:shd w:val="clear" w:color="auto" w:fill="auto"/>
          </w:tcPr>
          <w:p w14:paraId="374DFC13" w14:textId="77777777" w:rsidR="00872C03" w:rsidRPr="00883399" w:rsidRDefault="00872C03" w:rsidP="0031057E">
            <w:pPr>
              <w:pStyle w:val="Tabletext0"/>
              <w:rPr>
                <w:sz w:val="22"/>
              </w:rPr>
            </w:pPr>
            <w:r w:rsidRPr="00883399">
              <w:rPr>
                <w:sz w:val="22"/>
              </w:rPr>
              <w:t>Waste incineration</w:t>
            </w:r>
          </w:p>
        </w:tc>
        <w:tc>
          <w:tcPr>
            <w:tcW w:w="3120" w:type="dxa"/>
            <w:tcBorders>
              <w:bottom w:val="single" w:sz="12" w:space="0" w:color="auto"/>
            </w:tcBorders>
            <w:shd w:val="clear" w:color="auto" w:fill="auto"/>
          </w:tcPr>
          <w:p w14:paraId="45CC2B8F" w14:textId="77777777" w:rsidR="00872C03" w:rsidRPr="00883399" w:rsidRDefault="00872C03" w:rsidP="0031057E">
            <w:pPr>
              <w:pStyle w:val="Tabletext0"/>
              <w:rPr>
                <w:sz w:val="22"/>
              </w:rPr>
            </w:pPr>
            <w:r w:rsidRPr="00883399">
              <w:rPr>
                <w:sz w:val="22"/>
              </w:rPr>
              <w:t>40</w:t>
            </w:r>
          </w:p>
        </w:tc>
      </w:tr>
    </w:tbl>
    <w:p w14:paraId="2CDC320C" w14:textId="2A5B7D5D" w:rsidR="00872C03" w:rsidRPr="00883399" w:rsidRDefault="00872C03" w:rsidP="00872C03">
      <w:pPr>
        <w:pStyle w:val="ActHead5"/>
        <w:rPr>
          <w:sz w:val="28"/>
        </w:rPr>
      </w:pPr>
      <w:bookmarkStart w:id="1363" w:name="_Toc423517261"/>
      <w:bookmarkStart w:id="1364" w:name="_Toc495653200"/>
      <w:r w:rsidRPr="00883399">
        <w:rPr>
          <w:rStyle w:val="CharSectno"/>
          <w:sz w:val="28"/>
        </w:rPr>
        <w:t>8.11</w:t>
      </w:r>
      <w:r w:rsidRPr="00883399">
        <w:rPr>
          <w:sz w:val="28"/>
        </w:rPr>
        <w:t xml:space="preserve">  Assessing uncertainty of emissions estimates for a source by aggregating parameter uncertainties</w:t>
      </w:r>
      <w:bookmarkEnd w:id="1363"/>
      <w:bookmarkEnd w:id="1364"/>
    </w:p>
    <w:p w14:paraId="1678B168" w14:textId="77777777" w:rsidR="00454B2E" w:rsidRPr="00883399" w:rsidRDefault="00454B2E" w:rsidP="00454B2E">
      <w:pPr>
        <w:pStyle w:val="P1"/>
        <w:keepLines w:val="0"/>
        <w:spacing w:before="240" w:line="312" w:lineRule="auto"/>
        <w:ind w:left="0" w:firstLine="0"/>
        <w:jc w:val="left"/>
        <w:rPr>
          <w:rFonts w:ascii="Arial" w:hAnsi="Arial" w:cs="Arial"/>
          <w:sz w:val="22"/>
          <w:szCs w:val="22"/>
        </w:rPr>
      </w:pPr>
      <w:r w:rsidRPr="00883399">
        <w:rPr>
          <w:rFonts w:ascii="Arial" w:hAnsi="Arial" w:cs="Arial"/>
          <w:sz w:val="22"/>
          <w:szCs w:val="22"/>
        </w:rPr>
        <w:t>The technique used in this chapter for aggregating the uncertainty is known as first order error propagation. Further information and guidance is given in the uncertainty protocol and its reference documents. There are four key assumptions that are made when this technique is used and should be considered when applying these formulas which are:</w:t>
      </w:r>
    </w:p>
    <w:p w14:paraId="2F3A9B5A" w14:textId="77777777" w:rsidR="00454B2E" w:rsidRPr="00883399" w:rsidRDefault="00454B2E" w:rsidP="00454B2E">
      <w:pPr>
        <w:pStyle w:val="OutlineNumbered1"/>
        <w:tabs>
          <w:tab w:val="clear" w:pos="567"/>
          <w:tab w:val="num" w:pos="709"/>
        </w:tabs>
        <w:spacing w:before="240" w:line="312" w:lineRule="auto"/>
        <w:ind w:left="284" w:firstLine="0"/>
        <w:rPr>
          <w:rFonts w:ascii="Arial" w:hAnsi="Arial" w:cs="Arial"/>
          <w:color w:val="auto"/>
          <w:sz w:val="22"/>
          <w:szCs w:val="22"/>
        </w:rPr>
      </w:pPr>
      <w:r w:rsidRPr="00883399">
        <w:rPr>
          <w:rFonts w:ascii="Arial" w:hAnsi="Arial" w:cs="Arial"/>
          <w:color w:val="auto"/>
          <w:sz w:val="22"/>
          <w:szCs w:val="22"/>
        </w:rPr>
        <w:t>The error in each parameter is normally distributed</w:t>
      </w:r>
    </w:p>
    <w:p w14:paraId="7666AADA" w14:textId="77777777" w:rsidR="00454B2E" w:rsidRPr="00883399" w:rsidRDefault="00454B2E" w:rsidP="00454B2E">
      <w:pPr>
        <w:pStyle w:val="OutlineNumbered1"/>
        <w:tabs>
          <w:tab w:val="clear" w:pos="567"/>
          <w:tab w:val="num" w:pos="709"/>
        </w:tabs>
        <w:spacing w:before="240" w:line="312" w:lineRule="auto"/>
        <w:ind w:left="709" w:hanging="425"/>
        <w:rPr>
          <w:rFonts w:ascii="Arial" w:hAnsi="Arial" w:cs="Arial"/>
          <w:color w:val="auto"/>
          <w:sz w:val="22"/>
          <w:szCs w:val="22"/>
        </w:rPr>
      </w:pPr>
      <w:r w:rsidRPr="00883399">
        <w:rPr>
          <w:rFonts w:ascii="Arial" w:hAnsi="Arial" w:cs="Arial"/>
          <w:color w:val="auto"/>
          <w:sz w:val="22"/>
          <w:szCs w:val="22"/>
        </w:rPr>
        <w:t>There are no biases in the estimator function, (i.e. the estimated value is the mean value)</w:t>
      </w:r>
    </w:p>
    <w:p w14:paraId="5BB56142" w14:textId="77777777" w:rsidR="00454B2E" w:rsidRPr="00883399" w:rsidRDefault="00454B2E" w:rsidP="00454B2E">
      <w:pPr>
        <w:pStyle w:val="OutlineNumbered1"/>
        <w:tabs>
          <w:tab w:val="clear" w:pos="567"/>
          <w:tab w:val="num" w:pos="709"/>
        </w:tabs>
        <w:spacing w:before="240" w:line="312" w:lineRule="auto"/>
        <w:ind w:left="284" w:firstLine="0"/>
        <w:rPr>
          <w:rFonts w:ascii="Arial" w:hAnsi="Arial" w:cs="Arial"/>
          <w:color w:val="auto"/>
          <w:sz w:val="22"/>
          <w:szCs w:val="22"/>
        </w:rPr>
      </w:pPr>
      <w:r w:rsidRPr="00883399">
        <w:rPr>
          <w:rFonts w:ascii="Arial" w:hAnsi="Arial" w:cs="Arial"/>
          <w:color w:val="auto"/>
          <w:sz w:val="22"/>
          <w:szCs w:val="22"/>
        </w:rPr>
        <w:t>The estimated parameters are uncorrelated</w:t>
      </w:r>
    </w:p>
    <w:p w14:paraId="586108C0" w14:textId="77777777" w:rsidR="00454B2E" w:rsidRPr="00883399" w:rsidRDefault="00454B2E" w:rsidP="00454B2E">
      <w:pPr>
        <w:pStyle w:val="OutlineNumbered1"/>
        <w:tabs>
          <w:tab w:val="clear" w:pos="567"/>
          <w:tab w:val="num" w:pos="709"/>
        </w:tabs>
        <w:spacing w:before="240" w:line="312" w:lineRule="auto"/>
        <w:ind w:left="284" w:firstLine="0"/>
        <w:rPr>
          <w:rFonts w:ascii="Arial" w:hAnsi="Arial" w:cs="Arial"/>
          <w:color w:val="auto"/>
          <w:sz w:val="22"/>
          <w:szCs w:val="22"/>
        </w:rPr>
      </w:pPr>
      <w:r w:rsidRPr="00883399">
        <w:rPr>
          <w:rFonts w:ascii="Arial" w:hAnsi="Arial" w:cs="Arial"/>
          <w:color w:val="auto"/>
          <w:sz w:val="22"/>
          <w:szCs w:val="22"/>
        </w:rPr>
        <w:t>Individual uncertainties in each parameter must be less than 60% of the mean</w:t>
      </w:r>
    </w:p>
    <w:p w14:paraId="1D999D8C" w14:textId="77777777" w:rsidR="00454B2E" w:rsidRPr="00883399" w:rsidRDefault="00454B2E" w:rsidP="00454B2E">
      <w:pPr>
        <w:pStyle w:val="OutlineNumbered1"/>
        <w:numPr>
          <w:ilvl w:val="0"/>
          <w:numId w:val="0"/>
        </w:numPr>
        <w:spacing w:before="240" w:line="312" w:lineRule="auto"/>
        <w:rPr>
          <w:rFonts w:ascii="Arial" w:hAnsi="Arial" w:cs="Arial"/>
          <w:color w:val="auto"/>
          <w:sz w:val="22"/>
          <w:szCs w:val="22"/>
        </w:rPr>
      </w:pPr>
      <w:r w:rsidRPr="00883399">
        <w:rPr>
          <w:rFonts w:ascii="Arial" w:hAnsi="Arial" w:cs="Arial"/>
          <w:color w:val="auto"/>
          <w:sz w:val="22"/>
          <w:szCs w:val="22"/>
        </w:rPr>
        <w:t xml:space="preserve">In most cases it will be reasonable to assume that the above conditions are satisfied and that any uncertainty calculation will be reasonable. </w:t>
      </w:r>
    </w:p>
    <w:p w14:paraId="293DB7A3" w14:textId="77777777" w:rsidR="00454DE8" w:rsidRPr="00883399" w:rsidRDefault="00872C03" w:rsidP="00454DE8">
      <w:pPr>
        <w:pStyle w:val="subsection"/>
        <w:rPr>
          <w:sz w:val="24"/>
        </w:rPr>
      </w:pPr>
      <w:r w:rsidRPr="00883399">
        <w:rPr>
          <w:sz w:val="24"/>
        </w:rPr>
        <w:tab/>
      </w:r>
      <w:bookmarkStart w:id="1365" w:name="_Toc423517262"/>
      <w:r w:rsidR="00454DE8" w:rsidRPr="00883399">
        <w:rPr>
          <w:sz w:val="24"/>
        </w:rPr>
        <w:t>(1)</w:t>
      </w:r>
      <w:r w:rsidR="00454DE8" w:rsidRPr="00883399">
        <w:rPr>
          <w:sz w:val="24"/>
        </w:rPr>
        <w:tab/>
        <w:t>For section 8.5 and subject to subsections (2) and (3), in assessing uncertainty of the estimates of scope 1 emissions that are estimated using method 1 for a source, the aggregated uncertainty for emissions from the source is to be worked out in accordance with the following formula:</w:t>
      </w:r>
    </w:p>
    <w:p w14:paraId="3FBAAF66" w14:textId="77777777" w:rsidR="00454DE8" w:rsidRPr="00883399" w:rsidRDefault="00454DE8" w:rsidP="00454DE8">
      <w:pPr>
        <w:pStyle w:val="subsection"/>
        <w:spacing w:before="120" w:after="120"/>
        <w:rPr>
          <w:sz w:val="24"/>
        </w:rPr>
      </w:pPr>
      <w:r w:rsidRPr="00883399">
        <w:rPr>
          <w:sz w:val="24"/>
        </w:rPr>
        <w:tab/>
      </w:r>
      <w:r w:rsidRPr="00883399">
        <w:rPr>
          <w:sz w:val="24"/>
        </w:rPr>
        <w:tab/>
      </w:r>
      <w:r w:rsidRPr="00883399">
        <w:rPr>
          <w:noProof/>
          <w:sz w:val="24"/>
        </w:rPr>
        <w:drawing>
          <wp:inline distT="0" distB="0" distL="0" distR="0" wp14:anchorId="21CA52F0" wp14:editId="69DC88E4">
            <wp:extent cx="1616075" cy="233680"/>
            <wp:effectExtent l="19050" t="0" r="317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69"/>
                    <a:srcRect/>
                    <a:stretch>
                      <a:fillRect/>
                    </a:stretch>
                  </pic:blipFill>
                  <pic:spPr bwMode="auto">
                    <a:xfrm>
                      <a:off x="0" y="0"/>
                      <a:ext cx="1616075" cy="233680"/>
                    </a:xfrm>
                    <a:prstGeom prst="rect">
                      <a:avLst/>
                    </a:prstGeom>
                    <a:noFill/>
                    <a:ln w="9525">
                      <a:noFill/>
                      <a:miter lim="800000"/>
                      <a:headEnd/>
                      <a:tailEnd/>
                    </a:ln>
                  </pic:spPr>
                </pic:pic>
              </a:graphicData>
            </a:graphic>
          </wp:inline>
        </w:drawing>
      </w:r>
    </w:p>
    <w:p w14:paraId="77E7A4F5" w14:textId="77777777" w:rsidR="00454DE8" w:rsidRPr="00883399" w:rsidRDefault="00454DE8" w:rsidP="00454DE8">
      <w:pPr>
        <w:pStyle w:val="subsection2"/>
        <w:rPr>
          <w:sz w:val="24"/>
        </w:rPr>
      </w:pPr>
      <w:r w:rsidRPr="00883399">
        <w:rPr>
          <w:sz w:val="24"/>
        </w:rPr>
        <w:t>where:</w:t>
      </w:r>
    </w:p>
    <w:p w14:paraId="0CB04118" w14:textId="77777777" w:rsidR="00454DE8" w:rsidRPr="00883399" w:rsidRDefault="00454DE8" w:rsidP="00454DE8">
      <w:pPr>
        <w:pStyle w:val="Definition0"/>
        <w:rPr>
          <w:sz w:val="24"/>
        </w:rPr>
      </w:pPr>
      <w:r w:rsidRPr="00883399">
        <w:rPr>
          <w:b/>
          <w:i/>
          <w:sz w:val="24"/>
        </w:rPr>
        <w:t xml:space="preserve">D </w:t>
      </w:r>
      <w:r w:rsidRPr="00883399">
        <w:rPr>
          <w:sz w:val="24"/>
        </w:rPr>
        <w:t>is the aggregated percentage uncertainty for the emission source.</w:t>
      </w:r>
    </w:p>
    <w:p w14:paraId="60BDF362" w14:textId="77777777" w:rsidR="00454DE8" w:rsidRPr="00883399" w:rsidRDefault="00454DE8" w:rsidP="00454DE8">
      <w:pPr>
        <w:pStyle w:val="Definition0"/>
        <w:rPr>
          <w:b/>
          <w:i/>
          <w:sz w:val="24"/>
        </w:rPr>
      </w:pPr>
      <w:r w:rsidRPr="00883399">
        <w:rPr>
          <w:b/>
          <w:i/>
          <w:sz w:val="24"/>
        </w:rPr>
        <w:t xml:space="preserve">A </w:t>
      </w:r>
      <w:r w:rsidRPr="00883399">
        <w:rPr>
          <w:sz w:val="24"/>
        </w:rPr>
        <w:t>is the uncertainty associated with the emission factor for the source, expressed as a percentage.</w:t>
      </w:r>
    </w:p>
    <w:p w14:paraId="722EE33F" w14:textId="77777777" w:rsidR="00454DE8" w:rsidRPr="00883399" w:rsidRDefault="00454DE8" w:rsidP="00454DE8">
      <w:pPr>
        <w:pStyle w:val="Definition0"/>
        <w:rPr>
          <w:b/>
          <w:i/>
          <w:sz w:val="24"/>
        </w:rPr>
      </w:pPr>
      <w:r w:rsidRPr="00883399">
        <w:rPr>
          <w:b/>
          <w:i/>
          <w:sz w:val="24"/>
        </w:rPr>
        <w:t xml:space="preserve">B </w:t>
      </w:r>
      <w:r w:rsidRPr="00883399">
        <w:rPr>
          <w:sz w:val="24"/>
        </w:rPr>
        <w:t>is the uncertainty associated with the energy content factor for the source, expressed as a percentage.</w:t>
      </w:r>
    </w:p>
    <w:p w14:paraId="0BD0D044" w14:textId="77777777" w:rsidR="00454DE8" w:rsidRPr="00883399" w:rsidRDefault="00454DE8" w:rsidP="00454DE8">
      <w:pPr>
        <w:pStyle w:val="Definition0"/>
        <w:rPr>
          <w:sz w:val="24"/>
        </w:rPr>
      </w:pPr>
      <w:r w:rsidRPr="00883399">
        <w:rPr>
          <w:b/>
          <w:i/>
          <w:sz w:val="24"/>
        </w:rPr>
        <w:t xml:space="preserve">C </w:t>
      </w:r>
      <w:r w:rsidRPr="00883399">
        <w:rPr>
          <w:sz w:val="24"/>
        </w:rPr>
        <w:t>is the uncertainty associated with the activity data for the source, expressed as a percentage.</w:t>
      </w:r>
    </w:p>
    <w:p w14:paraId="64D2753A" w14:textId="77777777" w:rsidR="00454DE8" w:rsidRPr="00883399" w:rsidRDefault="00454DE8" w:rsidP="00454DE8">
      <w:pPr>
        <w:pStyle w:val="subsection"/>
        <w:rPr>
          <w:sz w:val="24"/>
        </w:rPr>
      </w:pPr>
      <w:r w:rsidRPr="00883399">
        <w:rPr>
          <w:sz w:val="24"/>
        </w:rPr>
        <w:tab/>
        <w:t>(2)</w:t>
      </w:r>
      <w:r w:rsidRPr="00883399">
        <w:rPr>
          <w:sz w:val="24"/>
        </w:rPr>
        <w:tab/>
        <w:t>If an assessment of uncertainty of emissions for the source does not require the use of emissions factor uncertainty, energy content factor uncertainty or activity data uncertainty, then A, B or C, as appropriate, in the formula in subsection (1) is taken to be zero.</w:t>
      </w:r>
    </w:p>
    <w:p w14:paraId="78E81892" w14:textId="77777777" w:rsidR="00454DE8" w:rsidRPr="00883399" w:rsidRDefault="00454DE8" w:rsidP="00454DE8">
      <w:pPr>
        <w:pStyle w:val="notetext"/>
        <w:rPr>
          <w:sz w:val="20"/>
        </w:rPr>
      </w:pPr>
      <w:r w:rsidRPr="00883399">
        <w:rPr>
          <w:sz w:val="20"/>
        </w:rPr>
        <w:t>Example:</w:t>
      </w:r>
      <w:r w:rsidRPr="00883399">
        <w:rPr>
          <w:sz w:val="20"/>
        </w:rPr>
        <w:tab/>
        <w:t>If energy content factor uncertainty is not required for an industrial process source, then B would be taken to be zero in the formula in subsection (1) when assessing the aggregated uncertainty for the source.</w:t>
      </w:r>
    </w:p>
    <w:p w14:paraId="7B038575" w14:textId="77777777" w:rsidR="00454DE8" w:rsidRPr="00883399" w:rsidRDefault="00454DE8" w:rsidP="00454DE8">
      <w:pPr>
        <w:pStyle w:val="subsection"/>
        <w:rPr>
          <w:sz w:val="24"/>
        </w:rPr>
      </w:pPr>
      <w:r w:rsidRPr="00883399">
        <w:rPr>
          <w:sz w:val="24"/>
        </w:rPr>
        <w:tab/>
        <w:t>(3)</w:t>
      </w:r>
      <w:r w:rsidRPr="00883399">
        <w:rPr>
          <w:sz w:val="24"/>
        </w:rPr>
        <w:tab/>
        <w:t>Subsection (1) does not apply to:</w:t>
      </w:r>
    </w:p>
    <w:p w14:paraId="5123D369" w14:textId="77777777" w:rsidR="00454DE8" w:rsidRPr="00883399" w:rsidRDefault="00454DE8" w:rsidP="00454DE8">
      <w:pPr>
        <w:pStyle w:val="paragraph"/>
        <w:rPr>
          <w:sz w:val="24"/>
        </w:rPr>
      </w:pPr>
      <w:r w:rsidRPr="00883399">
        <w:rPr>
          <w:sz w:val="24"/>
        </w:rPr>
        <w:tab/>
        <w:t>(a)</w:t>
      </w:r>
      <w:r w:rsidRPr="00883399">
        <w:rPr>
          <w:sz w:val="24"/>
        </w:rPr>
        <w:tab/>
        <w:t>estimates of fugitive emissions that are assessed by using the aggregated uncertainty level in column 3 of the table in section 8.8; or</w:t>
      </w:r>
    </w:p>
    <w:p w14:paraId="6672515D" w14:textId="77777777" w:rsidR="00454DE8" w:rsidRPr="00883399" w:rsidRDefault="00454DE8" w:rsidP="00454DE8">
      <w:pPr>
        <w:pStyle w:val="paragraph"/>
        <w:rPr>
          <w:sz w:val="24"/>
        </w:rPr>
      </w:pPr>
      <w:r w:rsidRPr="00883399">
        <w:rPr>
          <w:sz w:val="24"/>
        </w:rPr>
        <w:tab/>
        <w:t>(b)</w:t>
      </w:r>
      <w:r w:rsidRPr="00883399">
        <w:rPr>
          <w:sz w:val="24"/>
        </w:rPr>
        <w:tab/>
        <w:t>estimates of emissions from industrial processes that are assessed by using the aggregated uncertainty level in column 3 of the table in subsection 8.9(2); or</w:t>
      </w:r>
    </w:p>
    <w:p w14:paraId="4AA83E0B" w14:textId="77777777" w:rsidR="00454DE8" w:rsidRPr="00883399" w:rsidRDefault="00454DE8" w:rsidP="00454DE8">
      <w:pPr>
        <w:pStyle w:val="paragraph"/>
        <w:rPr>
          <w:sz w:val="24"/>
        </w:rPr>
      </w:pPr>
      <w:r w:rsidRPr="00883399">
        <w:rPr>
          <w:sz w:val="24"/>
        </w:rPr>
        <w:tab/>
        <w:t>(c)</w:t>
      </w:r>
      <w:r w:rsidRPr="00883399">
        <w:rPr>
          <w:sz w:val="24"/>
        </w:rPr>
        <w:tab/>
        <w:t>estimates of emissions from waste activities that are assessed by using the aggregated uncertainty level in column 3 of the table in section 8.10.</w:t>
      </w:r>
    </w:p>
    <w:p w14:paraId="3360FCFF" w14:textId="78DFEFE4" w:rsidR="00872C03" w:rsidRPr="00883399" w:rsidRDefault="00872C03" w:rsidP="00872C03">
      <w:pPr>
        <w:pStyle w:val="ActHead2"/>
        <w:pageBreakBefore/>
        <w:rPr>
          <w:sz w:val="36"/>
        </w:rPr>
      </w:pPr>
      <w:bookmarkStart w:id="1366" w:name="_Toc423517264"/>
      <w:bookmarkStart w:id="1367" w:name="_Toc495653201"/>
      <w:bookmarkEnd w:id="1365"/>
      <w:r w:rsidRPr="00883399">
        <w:rPr>
          <w:rStyle w:val="CharPartNo"/>
          <w:sz w:val="36"/>
        </w:rPr>
        <w:t>Part 8.4</w:t>
      </w:r>
      <w:r w:rsidRPr="00883399">
        <w:rPr>
          <w:sz w:val="36"/>
        </w:rPr>
        <w:t>—</w:t>
      </w:r>
      <w:r w:rsidRPr="00883399">
        <w:rPr>
          <w:rStyle w:val="CharPartText"/>
          <w:sz w:val="36"/>
        </w:rPr>
        <w:t>How to assess uncertainty levels when using method 2, 3 or 4</w:t>
      </w:r>
      <w:bookmarkEnd w:id="1366"/>
      <w:bookmarkEnd w:id="1367"/>
    </w:p>
    <w:p w14:paraId="2AD683AD" w14:textId="77777777" w:rsidR="00872C03" w:rsidRPr="00883399" w:rsidRDefault="00872C03" w:rsidP="00872C03">
      <w:pPr>
        <w:pStyle w:val="Header"/>
        <w:rPr>
          <w:sz w:val="18"/>
        </w:rPr>
      </w:pPr>
      <w:r w:rsidRPr="00883399">
        <w:rPr>
          <w:rStyle w:val="CharDivNo"/>
          <w:sz w:val="18"/>
        </w:rPr>
        <w:t xml:space="preserve"> </w:t>
      </w:r>
      <w:r w:rsidRPr="00883399">
        <w:rPr>
          <w:rStyle w:val="CharDivText"/>
          <w:sz w:val="18"/>
        </w:rPr>
        <w:t xml:space="preserve"> </w:t>
      </w:r>
    </w:p>
    <w:p w14:paraId="028650CE" w14:textId="0038847C" w:rsidR="00872C03" w:rsidRPr="00883399" w:rsidRDefault="00872C03" w:rsidP="00872C03">
      <w:pPr>
        <w:pStyle w:val="ActHead5"/>
        <w:rPr>
          <w:sz w:val="28"/>
        </w:rPr>
      </w:pPr>
      <w:bookmarkStart w:id="1368" w:name="_Toc423517265"/>
      <w:bookmarkStart w:id="1369" w:name="_Toc495653202"/>
      <w:r w:rsidRPr="00883399">
        <w:rPr>
          <w:rStyle w:val="CharSectno"/>
          <w:sz w:val="28"/>
        </w:rPr>
        <w:t>8.14</w:t>
      </w:r>
      <w:r w:rsidRPr="00883399">
        <w:rPr>
          <w:sz w:val="28"/>
        </w:rPr>
        <w:t xml:space="preserve">  Purpose of Part</w:t>
      </w:r>
      <w:bookmarkEnd w:id="1368"/>
      <w:bookmarkEnd w:id="1369"/>
    </w:p>
    <w:p w14:paraId="75D690DA" w14:textId="77777777" w:rsidR="00872C03" w:rsidRPr="00883399" w:rsidRDefault="00872C03" w:rsidP="00872C03">
      <w:pPr>
        <w:pStyle w:val="subsection"/>
        <w:rPr>
          <w:sz w:val="24"/>
        </w:rPr>
      </w:pPr>
      <w:r w:rsidRPr="00883399">
        <w:rPr>
          <w:sz w:val="24"/>
        </w:rPr>
        <w:tab/>
      </w:r>
      <w:r w:rsidRPr="00883399">
        <w:rPr>
          <w:sz w:val="24"/>
        </w:rPr>
        <w:tab/>
      </w:r>
      <w:r w:rsidR="00454DE8" w:rsidRPr="00883399">
        <w:rPr>
          <w:sz w:val="24"/>
        </w:rPr>
        <w:t>This Part sets out rules that apply in the assessment of uncertainty of scope 1 emissions for a source that are estimated using method 2, 3 or 4.</w:t>
      </w:r>
    </w:p>
    <w:p w14:paraId="437FE6DF" w14:textId="4C6964AF" w:rsidR="00872C03" w:rsidRPr="00883399" w:rsidRDefault="00872C03" w:rsidP="00872C03">
      <w:pPr>
        <w:pStyle w:val="ActHead5"/>
        <w:rPr>
          <w:sz w:val="28"/>
        </w:rPr>
      </w:pPr>
      <w:bookmarkStart w:id="1370" w:name="_Toc423517266"/>
      <w:bookmarkStart w:id="1371" w:name="_Toc495653203"/>
      <w:r w:rsidRPr="00883399">
        <w:rPr>
          <w:rStyle w:val="CharSectno"/>
          <w:sz w:val="28"/>
        </w:rPr>
        <w:t>8.15</w:t>
      </w:r>
      <w:r w:rsidRPr="00883399">
        <w:rPr>
          <w:sz w:val="28"/>
        </w:rPr>
        <w:t xml:space="preserve">  Rules for assessment of uncertainty using method 2, 3 or 4</w:t>
      </w:r>
      <w:bookmarkEnd w:id="1370"/>
      <w:bookmarkEnd w:id="1371"/>
    </w:p>
    <w:p w14:paraId="1CC8C42B" w14:textId="77777777" w:rsidR="00872C03" w:rsidRPr="00883399" w:rsidRDefault="00872C03" w:rsidP="00872C03">
      <w:pPr>
        <w:pStyle w:val="subsection"/>
        <w:rPr>
          <w:sz w:val="24"/>
        </w:rPr>
      </w:pPr>
      <w:r w:rsidRPr="00883399">
        <w:rPr>
          <w:sz w:val="24"/>
        </w:rPr>
        <w:tab/>
        <w:t>(1)</w:t>
      </w:r>
      <w:r w:rsidRPr="00883399">
        <w:rPr>
          <w:sz w:val="24"/>
        </w:rPr>
        <w:tab/>
        <w:t>Subject to this section:</w:t>
      </w:r>
    </w:p>
    <w:p w14:paraId="5D1A6037" w14:textId="77777777" w:rsidR="00872C03" w:rsidRPr="00883399" w:rsidRDefault="00872C03" w:rsidP="00872C03">
      <w:pPr>
        <w:pStyle w:val="paragraph"/>
        <w:rPr>
          <w:sz w:val="24"/>
        </w:rPr>
      </w:pPr>
      <w:r w:rsidRPr="00883399">
        <w:rPr>
          <w:sz w:val="24"/>
        </w:rPr>
        <w:tab/>
        <w:t>(a)</w:t>
      </w:r>
      <w:r w:rsidRPr="00883399">
        <w:rPr>
          <w:sz w:val="24"/>
        </w:rPr>
        <w:tab/>
        <w:t>the uncertainty of the following must be assessed in accordance with the uncertainty protocol:</w:t>
      </w:r>
    </w:p>
    <w:p w14:paraId="57E9F977" w14:textId="77777777" w:rsidR="00872C03" w:rsidRPr="00883399" w:rsidRDefault="00872C03" w:rsidP="00872C03">
      <w:pPr>
        <w:pStyle w:val="paragraphsub"/>
        <w:rPr>
          <w:sz w:val="24"/>
        </w:rPr>
      </w:pPr>
      <w:r w:rsidRPr="00883399">
        <w:rPr>
          <w:sz w:val="24"/>
        </w:rPr>
        <w:tab/>
        <w:t>(i)</w:t>
      </w:r>
      <w:r w:rsidRPr="00883399">
        <w:rPr>
          <w:sz w:val="24"/>
        </w:rPr>
        <w:tab/>
        <w:t>scope 1 emissions estimates that are estimated using method 2, 3 or 4;</w:t>
      </w:r>
    </w:p>
    <w:p w14:paraId="4614421E" w14:textId="77777777" w:rsidR="00872C03" w:rsidRPr="00883399" w:rsidRDefault="00872C03" w:rsidP="00872C03">
      <w:pPr>
        <w:pStyle w:val="paragraphsub"/>
        <w:rPr>
          <w:sz w:val="24"/>
        </w:rPr>
      </w:pPr>
      <w:r w:rsidRPr="00883399">
        <w:rPr>
          <w:sz w:val="24"/>
        </w:rPr>
        <w:tab/>
        <w:t>(ii)</w:t>
      </w:r>
      <w:r w:rsidRPr="00883399">
        <w:rPr>
          <w:sz w:val="24"/>
        </w:rPr>
        <w:tab/>
        <w:t>scope 1 fugitive emissions estimates for open cut coal mines that are estimated using method 4; and</w:t>
      </w:r>
    </w:p>
    <w:p w14:paraId="1239445B" w14:textId="77777777" w:rsidR="00872C03" w:rsidRPr="00883399" w:rsidRDefault="00872C03" w:rsidP="00872C03">
      <w:pPr>
        <w:pStyle w:val="paragraph"/>
        <w:rPr>
          <w:sz w:val="24"/>
        </w:rPr>
      </w:pPr>
      <w:r w:rsidRPr="00883399">
        <w:rPr>
          <w:sz w:val="24"/>
        </w:rPr>
        <w:tab/>
        <w:t>(b)</w:t>
      </w:r>
      <w:r w:rsidRPr="00883399">
        <w:rPr>
          <w:sz w:val="24"/>
        </w:rPr>
        <w:tab/>
        <w:t>the uncertainty of scope 1 fugitive emissions estimates for open cut coal mines that are estimated using method 2 or 3 must be:</w:t>
      </w:r>
    </w:p>
    <w:p w14:paraId="3A00072A" w14:textId="77777777" w:rsidR="00872C03" w:rsidRPr="00883399" w:rsidRDefault="00872C03" w:rsidP="00872C03">
      <w:pPr>
        <w:pStyle w:val="paragraphsub"/>
        <w:rPr>
          <w:sz w:val="24"/>
        </w:rPr>
      </w:pPr>
      <w:r w:rsidRPr="00883399">
        <w:rPr>
          <w:sz w:val="24"/>
        </w:rPr>
        <w:tab/>
        <w:t>(i)</w:t>
      </w:r>
      <w:r w:rsidRPr="00883399">
        <w:rPr>
          <w:sz w:val="24"/>
        </w:rPr>
        <w:tab/>
        <w:t>assessed in accordance with the uncertainty protocol; and</w:t>
      </w:r>
    </w:p>
    <w:p w14:paraId="2E1FA143" w14:textId="77777777" w:rsidR="00872C03" w:rsidRPr="00883399" w:rsidRDefault="00872C03" w:rsidP="00872C03">
      <w:pPr>
        <w:pStyle w:val="paragraphsub"/>
        <w:rPr>
          <w:sz w:val="24"/>
        </w:rPr>
      </w:pPr>
      <w:r w:rsidRPr="00883399">
        <w:rPr>
          <w:sz w:val="24"/>
        </w:rPr>
        <w:tab/>
        <w:t>(ii)</w:t>
      </w:r>
      <w:r w:rsidRPr="00883399">
        <w:rPr>
          <w:sz w:val="24"/>
        </w:rPr>
        <w:tab/>
        <w:t>estimated using the method included in section 5 of the ACARP Guidelines.</w:t>
      </w:r>
    </w:p>
    <w:p w14:paraId="0E7A5A5D" w14:textId="77777777" w:rsidR="00872C03" w:rsidRPr="00883399" w:rsidRDefault="00872C03" w:rsidP="00872C03">
      <w:pPr>
        <w:pStyle w:val="subsection"/>
        <w:rPr>
          <w:sz w:val="24"/>
        </w:rPr>
      </w:pPr>
      <w:r w:rsidRPr="00883399">
        <w:rPr>
          <w:sz w:val="24"/>
        </w:rPr>
        <w:tab/>
        <w:t>(2)</w:t>
      </w:r>
      <w:r w:rsidRPr="00883399">
        <w:rPr>
          <w:sz w:val="24"/>
        </w:rPr>
        <w:tab/>
        <w:t>Item 4 of Part 7 of the uncertainty protocol must not be used when emissions are estimated using method 2, 3 or 4.</w:t>
      </w:r>
    </w:p>
    <w:p w14:paraId="06E95F28" w14:textId="77777777" w:rsidR="00872C03" w:rsidRPr="00883399" w:rsidRDefault="00872C03" w:rsidP="00872C03">
      <w:pPr>
        <w:pStyle w:val="subsection"/>
        <w:rPr>
          <w:sz w:val="24"/>
        </w:rPr>
      </w:pPr>
      <w:r w:rsidRPr="00883399">
        <w:rPr>
          <w:sz w:val="24"/>
        </w:rPr>
        <w:tab/>
        <w:t>(2A)</w:t>
      </w:r>
      <w:r w:rsidRPr="00883399">
        <w:rPr>
          <w:sz w:val="24"/>
        </w:rPr>
        <w:tab/>
        <w:t>Subsection (2) does not apply to assessing the uncertainty of scope 1 fugitive emissions estimates for open cut coal mines using method 2, 3 or 4.</w:t>
      </w:r>
    </w:p>
    <w:p w14:paraId="41F42BF1" w14:textId="77777777" w:rsidR="00872C03" w:rsidRPr="00883399" w:rsidRDefault="00872C03" w:rsidP="00872C03">
      <w:pPr>
        <w:pStyle w:val="subsection"/>
        <w:rPr>
          <w:sz w:val="24"/>
        </w:rPr>
      </w:pPr>
      <w:r w:rsidRPr="00883399">
        <w:rPr>
          <w:sz w:val="24"/>
        </w:rPr>
        <w:tab/>
        <w:t>(3)</w:t>
      </w:r>
      <w:r w:rsidRPr="00883399">
        <w:rPr>
          <w:sz w:val="24"/>
        </w:rPr>
        <w:tab/>
        <w:t>Estimates need only provide for statistical uncertainties in accordance with the uncertainty protocol.</w:t>
      </w:r>
    </w:p>
    <w:p w14:paraId="4F468F0C" w14:textId="77777777" w:rsidR="00803768" w:rsidRPr="00883399" w:rsidRDefault="00803768" w:rsidP="00803768">
      <w:pPr>
        <w:pStyle w:val="R2"/>
      </w:pPr>
    </w:p>
    <w:p w14:paraId="60EA98AC" w14:textId="77777777" w:rsidR="00803768" w:rsidRPr="00883399" w:rsidRDefault="00803768" w:rsidP="00AF52A2">
      <w:pPr>
        <w:pStyle w:val="R2"/>
        <w:keepLines w:val="0"/>
        <w:tabs>
          <w:tab w:val="clear" w:pos="794"/>
          <w:tab w:val="right" w:pos="142"/>
        </w:tabs>
        <w:spacing w:before="240" w:line="312" w:lineRule="auto"/>
        <w:ind w:left="0" w:firstLine="0"/>
        <w:jc w:val="left"/>
        <w:rPr>
          <w:rFonts w:ascii="Arial" w:hAnsi="Arial" w:cs="Arial"/>
          <w:sz w:val="22"/>
          <w:szCs w:val="22"/>
        </w:rPr>
      </w:pPr>
      <w:r w:rsidRPr="00883399">
        <w:rPr>
          <w:rFonts w:ascii="Arial" w:hAnsi="Arial" w:cs="Arial"/>
          <w:sz w:val="22"/>
          <w:szCs w:val="22"/>
        </w:rPr>
        <w:t xml:space="preserve">The technique described in the </w:t>
      </w:r>
      <w:r w:rsidRPr="00883399">
        <w:rPr>
          <w:rFonts w:ascii="Arial" w:hAnsi="Arial" w:cs="Arial"/>
          <w:i/>
          <w:sz w:val="22"/>
          <w:szCs w:val="22"/>
        </w:rPr>
        <w:t>GHG uncertainty protocol</w:t>
      </w:r>
      <w:r w:rsidRPr="00883399">
        <w:rPr>
          <w:rFonts w:ascii="Arial" w:hAnsi="Arial" w:cs="Arial"/>
          <w:sz w:val="22"/>
          <w:szCs w:val="22"/>
        </w:rPr>
        <w:t xml:space="preserve"> to be applied when methods 2, 3 and 4 are used to estimate emissions is similar to the technique outlined for the calculation of uncertainty for method 1. The key difference is that the parameter uncertainties should be estimated directly rather than taken from the default tables in sections 8.6 to 8.10. Techniques for estimating these parameters are given in section 7 of the uncertainty protocol. Also, further guidance and discussion on calculation of uncertainty is given in uncertainty protocol.</w:t>
      </w:r>
    </w:p>
    <w:p w14:paraId="22EFEC1B" w14:textId="77777777" w:rsidR="00803768" w:rsidRPr="00883399" w:rsidRDefault="00803768" w:rsidP="00AF52A2">
      <w:pPr>
        <w:pStyle w:val="R2"/>
        <w:keepLines w:val="0"/>
        <w:tabs>
          <w:tab w:val="clear" w:pos="794"/>
          <w:tab w:val="right" w:pos="142"/>
        </w:tabs>
        <w:spacing w:before="240" w:line="312" w:lineRule="auto"/>
        <w:ind w:left="0" w:firstLine="0"/>
        <w:jc w:val="left"/>
        <w:rPr>
          <w:rFonts w:ascii="Arial" w:hAnsi="Arial" w:cs="Arial"/>
          <w:sz w:val="22"/>
          <w:szCs w:val="22"/>
        </w:rPr>
      </w:pPr>
      <w:r w:rsidRPr="00883399">
        <w:rPr>
          <w:rFonts w:ascii="Arial" w:hAnsi="Arial" w:cs="Arial"/>
          <w:sz w:val="22"/>
          <w:szCs w:val="22"/>
        </w:rPr>
        <w:t>Generally, the uncertainties estimated under the higher order methods 2, 3 and 4 are likely to be lower than those calculated under method 1, indicating that the emission estimate using the higher order methods is more accurate than that calculated under method 1. The main reason for this is that in method 1 default energy content factors are used and there is significant uncertainty around these defaults, particularly for solid fuels such as coal (note that electricity generators are required to use methods 2 or higher for emissions estimates). Higher order methods of analysis require direct analysis of the fuel giving a much more accurate estimation of the carbon content of fuels and hence the emissions.</w:t>
      </w:r>
    </w:p>
    <w:tbl>
      <w:tblPr>
        <w:tblStyle w:val="TableGrid"/>
        <w:tblW w:w="0" w:type="auto"/>
        <w:tblLook w:val="04A0" w:firstRow="1" w:lastRow="0" w:firstColumn="1" w:lastColumn="0" w:noHBand="0" w:noVBand="1"/>
      </w:tblPr>
      <w:tblGrid>
        <w:gridCol w:w="8303"/>
      </w:tblGrid>
      <w:tr w:rsidR="00A527B9" w:rsidRPr="00883399" w14:paraId="77EB68DF" w14:textId="77777777" w:rsidTr="00A527B9">
        <w:tc>
          <w:tcPr>
            <w:tcW w:w="8529" w:type="dxa"/>
          </w:tcPr>
          <w:p w14:paraId="694197AE" w14:textId="77777777" w:rsidR="00A527B9" w:rsidRPr="00883399" w:rsidRDefault="00A527B9" w:rsidP="00A527B9">
            <w:pPr>
              <w:outlineLvl w:val="0"/>
              <w:rPr>
                <w:b/>
                <w:sz w:val="20"/>
                <w:szCs w:val="20"/>
              </w:rPr>
            </w:pPr>
            <w:r w:rsidRPr="00883399">
              <w:rPr>
                <w:b/>
                <w:sz w:val="20"/>
                <w:szCs w:val="20"/>
              </w:rPr>
              <w:t>Example</w:t>
            </w:r>
          </w:p>
          <w:p w14:paraId="1464E02E" w14:textId="77777777" w:rsidR="00A527B9" w:rsidRPr="00883399" w:rsidRDefault="00A527B9" w:rsidP="00A527B9">
            <w:pPr>
              <w:pStyle w:val="R2"/>
              <w:tabs>
                <w:tab w:val="clear" w:pos="794"/>
                <w:tab w:val="right" w:pos="142"/>
              </w:tabs>
              <w:ind w:left="0" w:firstLine="0"/>
              <w:rPr>
                <w:sz w:val="20"/>
                <w:szCs w:val="20"/>
              </w:rPr>
            </w:pPr>
            <w:r w:rsidRPr="00883399">
              <w:rPr>
                <w:sz w:val="20"/>
                <w:szCs w:val="20"/>
              </w:rPr>
              <w:t>Estimates of emissions and uncertainty for the same corporation (combusting the same estimated fuel quantities) are now given using method 2. The parameters used in the method 2 emissions calculation are different to that of method 1 and the source of parameter uncertainty is estimated by the corporation (rather than taken from tables). Note that calculations for aggregating uncertainties are similar to those for method 1 and guidance is given in the uncertainty protocol.</w:t>
            </w:r>
          </w:p>
          <w:p w14:paraId="7CF902C0" w14:textId="77777777" w:rsidR="00A527B9" w:rsidRPr="00883399" w:rsidRDefault="00A527B9" w:rsidP="00A527B9">
            <w:pPr>
              <w:pStyle w:val="R2"/>
              <w:keepLines w:val="0"/>
              <w:tabs>
                <w:tab w:val="clear" w:pos="794"/>
                <w:tab w:val="right" w:pos="142"/>
              </w:tabs>
              <w:spacing w:before="240" w:line="312" w:lineRule="auto"/>
              <w:ind w:left="0" w:firstLine="0"/>
              <w:jc w:val="left"/>
              <w:rPr>
                <w:rFonts w:ascii="Arial" w:hAnsi="Arial" w:cs="Arial"/>
                <w:sz w:val="22"/>
                <w:szCs w:val="22"/>
              </w:rPr>
            </w:pPr>
            <w:r w:rsidRPr="00883399">
              <w:rPr>
                <w:sz w:val="20"/>
                <w:szCs w:val="20"/>
              </w:rPr>
              <w:t>Note that guidance on estimating the parameter uncertainties is given in section 7 of the GHG protocol, (although item 4 in the list of available methods in section 7 is not to be used).</w:t>
            </w:r>
          </w:p>
        </w:tc>
      </w:tr>
    </w:tbl>
    <w:p w14:paraId="1D232D39" w14:textId="77777777" w:rsidR="009A1D64" w:rsidRPr="00883399" w:rsidRDefault="009A1D64" w:rsidP="00AF52A2">
      <w:pPr>
        <w:pStyle w:val="R2"/>
        <w:keepLines w:val="0"/>
        <w:tabs>
          <w:tab w:val="clear" w:pos="794"/>
          <w:tab w:val="right" w:pos="142"/>
        </w:tabs>
        <w:spacing w:before="240" w:line="312" w:lineRule="auto"/>
        <w:ind w:left="0" w:firstLine="0"/>
        <w:jc w:val="left"/>
        <w:rPr>
          <w:rFonts w:ascii="Arial" w:hAnsi="Arial" w:cs="Arial"/>
          <w:sz w:val="22"/>
          <w:szCs w:val="22"/>
        </w:rPr>
      </w:pPr>
    </w:p>
    <w:p w14:paraId="698AA112" w14:textId="77777777" w:rsidR="00403589" w:rsidRPr="00883399" w:rsidRDefault="00803768">
      <w:pPr>
        <w:ind w:left="993"/>
        <w:jc w:val="both"/>
        <w:rPr>
          <w:sz w:val="20"/>
          <w:szCs w:val="20"/>
        </w:rPr>
      </w:pPr>
      <w:r w:rsidRPr="00883399">
        <w:rPr>
          <w:sz w:val="20"/>
          <w:szCs w:val="20"/>
        </w:rPr>
        <w:t xml:space="preserve"> </w:t>
      </w:r>
    </w:p>
    <w:p w14:paraId="065226AE" w14:textId="77777777" w:rsidR="00647300" w:rsidRPr="00883399" w:rsidRDefault="00803768" w:rsidP="009A1D64">
      <w:pPr>
        <w:ind w:left="142"/>
        <w:rPr>
          <w:sz w:val="20"/>
          <w:szCs w:val="20"/>
        </w:rPr>
      </w:pPr>
      <w:r w:rsidRPr="00883399">
        <w:br w:type="page"/>
      </w:r>
    </w:p>
    <w:tbl>
      <w:tblPr>
        <w:tblW w:w="9580" w:type="dxa"/>
        <w:tblInd w:w="-417" w:type="dxa"/>
        <w:tblLook w:val="04A0" w:firstRow="1" w:lastRow="0" w:firstColumn="1" w:lastColumn="0" w:noHBand="0" w:noVBand="1"/>
      </w:tblPr>
      <w:tblGrid>
        <w:gridCol w:w="2134"/>
        <w:gridCol w:w="1125"/>
        <w:gridCol w:w="1143"/>
        <w:gridCol w:w="808"/>
        <w:gridCol w:w="564"/>
        <w:gridCol w:w="152"/>
        <w:gridCol w:w="157"/>
        <w:gridCol w:w="303"/>
        <w:gridCol w:w="415"/>
        <w:gridCol w:w="403"/>
        <w:gridCol w:w="726"/>
        <w:gridCol w:w="740"/>
        <w:gridCol w:w="1067"/>
      </w:tblGrid>
      <w:tr w:rsidR="00647300" w:rsidRPr="00883399" w14:paraId="2F154249" w14:textId="77777777" w:rsidTr="009A1D64">
        <w:trPr>
          <w:trHeight w:val="301"/>
        </w:trPr>
        <w:tc>
          <w:tcPr>
            <w:tcW w:w="9580" w:type="dxa"/>
            <w:gridSpan w:val="13"/>
            <w:tcBorders>
              <w:top w:val="single" w:sz="4" w:space="0" w:color="auto"/>
              <w:left w:val="single" w:sz="4" w:space="0" w:color="auto"/>
              <w:bottom w:val="single" w:sz="4" w:space="0" w:color="auto"/>
              <w:right w:val="single" w:sz="4" w:space="0" w:color="auto"/>
            </w:tcBorders>
            <w:noWrap/>
            <w:vAlign w:val="bottom"/>
            <w:hideMark/>
          </w:tcPr>
          <w:p w14:paraId="18A28D59" w14:textId="77777777" w:rsidR="00647300" w:rsidRPr="00883399" w:rsidRDefault="00647300" w:rsidP="00647300">
            <w:pPr>
              <w:jc w:val="center"/>
              <w:rPr>
                <w:rFonts w:ascii="Calibri" w:hAnsi="Calibri"/>
                <w:b/>
                <w:bCs/>
                <w:color w:val="000000"/>
                <w:sz w:val="22"/>
                <w:szCs w:val="22"/>
              </w:rPr>
            </w:pPr>
            <w:r w:rsidRPr="00883399">
              <w:rPr>
                <w:rFonts w:ascii="Calibri" w:hAnsi="Calibri"/>
                <w:b/>
                <w:bCs/>
                <w:color w:val="000000"/>
                <w:sz w:val="22"/>
                <w:szCs w:val="22"/>
              </w:rPr>
              <w:t>Facility 1</w:t>
            </w:r>
          </w:p>
        </w:tc>
      </w:tr>
      <w:tr w:rsidR="00647300" w:rsidRPr="00883399" w14:paraId="7134EF0C" w14:textId="77777777" w:rsidTr="009A1D64">
        <w:trPr>
          <w:trHeight w:val="572"/>
        </w:trPr>
        <w:tc>
          <w:tcPr>
            <w:tcW w:w="2134" w:type="dxa"/>
            <w:vMerge w:val="restart"/>
            <w:tcBorders>
              <w:top w:val="nil"/>
              <w:left w:val="single" w:sz="4" w:space="0" w:color="auto"/>
              <w:bottom w:val="single" w:sz="4" w:space="0" w:color="000000"/>
              <w:right w:val="single" w:sz="4" w:space="0" w:color="auto"/>
            </w:tcBorders>
            <w:vAlign w:val="center"/>
            <w:hideMark/>
          </w:tcPr>
          <w:p w14:paraId="5D9CB1C6" w14:textId="77777777" w:rsidR="00647300" w:rsidRPr="00883399" w:rsidRDefault="00647300" w:rsidP="00647300">
            <w:pPr>
              <w:jc w:val="center"/>
              <w:rPr>
                <w:rFonts w:ascii="Calibri" w:hAnsi="Calibri"/>
                <w:b/>
                <w:bCs/>
                <w:color w:val="000000"/>
                <w:sz w:val="20"/>
                <w:szCs w:val="20"/>
              </w:rPr>
            </w:pPr>
            <w:r w:rsidRPr="00883399">
              <w:rPr>
                <w:rFonts w:ascii="Calibri" w:hAnsi="Calibri"/>
                <w:b/>
                <w:bCs/>
                <w:color w:val="000000"/>
                <w:sz w:val="20"/>
                <w:szCs w:val="20"/>
              </w:rPr>
              <w:t>Combustion of Diesel Oil</w:t>
            </w:r>
          </w:p>
        </w:tc>
        <w:tc>
          <w:tcPr>
            <w:tcW w:w="1125" w:type="dxa"/>
            <w:tcBorders>
              <w:top w:val="nil"/>
              <w:left w:val="nil"/>
              <w:bottom w:val="single" w:sz="4" w:space="0" w:color="auto"/>
              <w:right w:val="single" w:sz="4" w:space="0" w:color="auto"/>
            </w:tcBorders>
            <w:noWrap/>
            <w:vAlign w:val="center"/>
            <w:hideMark/>
          </w:tcPr>
          <w:p w14:paraId="5F5CEF2A"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Q - kL</w:t>
            </w:r>
          </w:p>
        </w:tc>
        <w:tc>
          <w:tcPr>
            <w:tcW w:w="1143" w:type="dxa"/>
            <w:tcBorders>
              <w:top w:val="nil"/>
              <w:left w:val="nil"/>
              <w:bottom w:val="single" w:sz="4" w:space="0" w:color="auto"/>
              <w:right w:val="single" w:sz="4" w:space="0" w:color="auto"/>
            </w:tcBorders>
            <w:vAlign w:val="center"/>
            <w:hideMark/>
          </w:tcPr>
          <w:p w14:paraId="0B50103A"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 carbon</w:t>
            </w:r>
          </w:p>
        </w:tc>
        <w:tc>
          <w:tcPr>
            <w:tcW w:w="808" w:type="dxa"/>
            <w:tcBorders>
              <w:top w:val="nil"/>
              <w:left w:val="nil"/>
              <w:bottom w:val="single" w:sz="4" w:space="0" w:color="auto"/>
              <w:right w:val="single" w:sz="4" w:space="0" w:color="auto"/>
            </w:tcBorders>
            <w:vAlign w:val="center"/>
            <w:hideMark/>
          </w:tcPr>
          <w:p w14:paraId="198B3F1D"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Fuel density kg/kL</w:t>
            </w:r>
          </w:p>
        </w:tc>
        <w:tc>
          <w:tcPr>
            <w:tcW w:w="716" w:type="dxa"/>
            <w:gridSpan w:val="2"/>
            <w:tcBorders>
              <w:top w:val="nil"/>
              <w:left w:val="nil"/>
              <w:bottom w:val="single" w:sz="4" w:space="0" w:color="auto"/>
              <w:right w:val="single" w:sz="4" w:space="0" w:color="auto"/>
            </w:tcBorders>
            <w:vAlign w:val="center"/>
            <w:hideMark/>
          </w:tcPr>
          <w:p w14:paraId="0E00FE4D"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EC</w:t>
            </w:r>
          </w:p>
        </w:tc>
        <w:tc>
          <w:tcPr>
            <w:tcW w:w="718" w:type="dxa"/>
            <w:gridSpan w:val="3"/>
            <w:tcBorders>
              <w:top w:val="nil"/>
              <w:left w:val="nil"/>
              <w:bottom w:val="single" w:sz="4" w:space="0" w:color="auto"/>
              <w:right w:val="single" w:sz="4" w:space="0" w:color="auto"/>
            </w:tcBorders>
            <w:noWrap/>
            <w:vAlign w:val="center"/>
            <w:hideMark/>
          </w:tcPr>
          <w:p w14:paraId="57287D61"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OF</w:t>
            </w:r>
          </w:p>
        </w:tc>
        <w:tc>
          <w:tcPr>
            <w:tcW w:w="1129" w:type="dxa"/>
            <w:gridSpan w:val="2"/>
            <w:tcBorders>
              <w:top w:val="nil"/>
              <w:left w:val="nil"/>
              <w:bottom w:val="single" w:sz="4" w:space="0" w:color="auto"/>
              <w:right w:val="single" w:sz="4" w:space="0" w:color="auto"/>
            </w:tcBorders>
            <w:noWrap/>
            <w:vAlign w:val="center"/>
            <w:hideMark/>
          </w:tcPr>
          <w:p w14:paraId="475ECEED"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Constant</w:t>
            </w:r>
          </w:p>
        </w:tc>
        <w:tc>
          <w:tcPr>
            <w:tcW w:w="740" w:type="dxa"/>
            <w:tcBorders>
              <w:top w:val="nil"/>
              <w:left w:val="nil"/>
              <w:bottom w:val="single" w:sz="4" w:space="0" w:color="auto"/>
              <w:right w:val="single" w:sz="4" w:space="0" w:color="auto"/>
            </w:tcBorders>
            <w:noWrap/>
            <w:vAlign w:val="center"/>
            <w:hideMark/>
          </w:tcPr>
          <w:p w14:paraId="1B352807"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EF</w:t>
            </w:r>
          </w:p>
        </w:tc>
        <w:tc>
          <w:tcPr>
            <w:tcW w:w="1067" w:type="dxa"/>
            <w:tcBorders>
              <w:top w:val="nil"/>
              <w:left w:val="nil"/>
              <w:bottom w:val="single" w:sz="4" w:space="0" w:color="auto"/>
              <w:right w:val="single" w:sz="4" w:space="0" w:color="auto"/>
            </w:tcBorders>
            <w:noWrap/>
            <w:vAlign w:val="center"/>
            <w:hideMark/>
          </w:tcPr>
          <w:p w14:paraId="614D446C"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Emission</w:t>
            </w:r>
          </w:p>
          <w:p w14:paraId="6C46BFB2" w14:textId="77777777" w:rsidR="00804B19" w:rsidRPr="00883399" w:rsidRDefault="00804B19" w:rsidP="00804B19">
            <w:pPr>
              <w:jc w:val="center"/>
              <w:rPr>
                <w:rFonts w:ascii="Calibri" w:hAnsi="Calibri"/>
                <w:color w:val="000000"/>
                <w:sz w:val="22"/>
                <w:szCs w:val="22"/>
              </w:rPr>
            </w:pPr>
            <w:r w:rsidRPr="00883399">
              <w:rPr>
                <w:rFonts w:ascii="Calibri" w:hAnsi="Calibri"/>
                <w:color w:val="000000"/>
                <w:sz w:val="22"/>
                <w:szCs w:val="22"/>
              </w:rPr>
              <w:t>(tonnes)</w:t>
            </w:r>
          </w:p>
        </w:tc>
      </w:tr>
      <w:tr w:rsidR="00647300" w:rsidRPr="00883399" w14:paraId="74F140AD" w14:textId="77777777" w:rsidTr="009A1D64">
        <w:trPr>
          <w:trHeight w:val="301"/>
        </w:trPr>
        <w:tc>
          <w:tcPr>
            <w:tcW w:w="2134" w:type="dxa"/>
            <w:vMerge/>
            <w:tcBorders>
              <w:top w:val="nil"/>
              <w:left w:val="single" w:sz="4" w:space="0" w:color="auto"/>
              <w:bottom w:val="single" w:sz="4" w:space="0" w:color="000000"/>
              <w:right w:val="single" w:sz="4" w:space="0" w:color="auto"/>
            </w:tcBorders>
            <w:vAlign w:val="center"/>
            <w:hideMark/>
          </w:tcPr>
          <w:p w14:paraId="16C3820B" w14:textId="77777777" w:rsidR="00647300" w:rsidRPr="00883399" w:rsidRDefault="00647300" w:rsidP="00647300">
            <w:pPr>
              <w:rPr>
                <w:rFonts w:ascii="Calibri" w:hAnsi="Calibri"/>
                <w:b/>
                <w:bCs/>
                <w:color w:val="000000"/>
                <w:sz w:val="20"/>
                <w:szCs w:val="20"/>
              </w:rPr>
            </w:pPr>
          </w:p>
        </w:tc>
        <w:tc>
          <w:tcPr>
            <w:tcW w:w="1125" w:type="dxa"/>
            <w:tcBorders>
              <w:top w:val="nil"/>
              <w:left w:val="nil"/>
              <w:bottom w:val="single" w:sz="4" w:space="0" w:color="auto"/>
              <w:right w:val="single" w:sz="4" w:space="0" w:color="auto"/>
            </w:tcBorders>
            <w:noWrap/>
            <w:vAlign w:val="bottom"/>
            <w:hideMark/>
          </w:tcPr>
          <w:p w14:paraId="65609C03" w14:textId="77777777" w:rsidR="00647300" w:rsidRPr="00883399" w:rsidRDefault="00647300" w:rsidP="00647300">
            <w:pPr>
              <w:jc w:val="center"/>
              <w:rPr>
                <w:rFonts w:ascii="Calibri" w:hAnsi="Calibri"/>
                <w:i/>
                <w:iCs/>
                <w:color w:val="000000"/>
                <w:sz w:val="20"/>
                <w:szCs w:val="20"/>
              </w:rPr>
            </w:pPr>
            <w:r w:rsidRPr="00883399">
              <w:rPr>
                <w:rFonts w:ascii="Calibri" w:hAnsi="Calibri"/>
                <w:i/>
                <w:iCs/>
                <w:color w:val="000000"/>
                <w:sz w:val="20"/>
                <w:szCs w:val="20"/>
              </w:rPr>
              <w:t>1,000</w:t>
            </w:r>
          </w:p>
        </w:tc>
        <w:tc>
          <w:tcPr>
            <w:tcW w:w="1143" w:type="dxa"/>
            <w:tcBorders>
              <w:top w:val="nil"/>
              <w:left w:val="nil"/>
              <w:bottom w:val="single" w:sz="4" w:space="0" w:color="auto"/>
              <w:right w:val="single" w:sz="4" w:space="0" w:color="auto"/>
            </w:tcBorders>
            <w:noWrap/>
            <w:vAlign w:val="bottom"/>
            <w:hideMark/>
          </w:tcPr>
          <w:p w14:paraId="464E0BE3" w14:textId="77777777" w:rsidR="00647300" w:rsidRPr="00883399" w:rsidRDefault="00647300" w:rsidP="00647300">
            <w:pPr>
              <w:jc w:val="center"/>
              <w:rPr>
                <w:rFonts w:ascii="Calibri" w:hAnsi="Calibri"/>
                <w:i/>
                <w:iCs/>
                <w:color w:val="000000"/>
                <w:sz w:val="22"/>
                <w:szCs w:val="22"/>
              </w:rPr>
            </w:pPr>
            <w:r w:rsidRPr="00883399">
              <w:rPr>
                <w:rFonts w:ascii="Calibri" w:hAnsi="Calibri"/>
                <w:i/>
                <w:iCs/>
                <w:color w:val="000000"/>
                <w:sz w:val="22"/>
                <w:szCs w:val="22"/>
              </w:rPr>
              <w:t>85.2</w:t>
            </w:r>
          </w:p>
        </w:tc>
        <w:tc>
          <w:tcPr>
            <w:tcW w:w="808" w:type="dxa"/>
            <w:tcBorders>
              <w:top w:val="nil"/>
              <w:left w:val="nil"/>
              <w:bottom w:val="single" w:sz="4" w:space="0" w:color="auto"/>
              <w:right w:val="single" w:sz="4" w:space="0" w:color="auto"/>
            </w:tcBorders>
            <w:noWrap/>
            <w:vAlign w:val="bottom"/>
            <w:hideMark/>
          </w:tcPr>
          <w:p w14:paraId="3B2AD36A" w14:textId="77777777" w:rsidR="00647300" w:rsidRPr="00883399" w:rsidRDefault="00647300" w:rsidP="00647300">
            <w:pPr>
              <w:jc w:val="center"/>
              <w:rPr>
                <w:rFonts w:ascii="Calibri" w:hAnsi="Calibri"/>
                <w:i/>
                <w:iCs/>
                <w:color w:val="000000"/>
                <w:sz w:val="22"/>
                <w:szCs w:val="22"/>
              </w:rPr>
            </w:pPr>
            <w:r w:rsidRPr="00883399">
              <w:rPr>
                <w:rFonts w:ascii="Calibri" w:hAnsi="Calibri"/>
                <w:i/>
                <w:iCs/>
                <w:color w:val="000000"/>
                <w:sz w:val="22"/>
                <w:szCs w:val="22"/>
              </w:rPr>
              <w:t>850</w:t>
            </w:r>
          </w:p>
        </w:tc>
        <w:tc>
          <w:tcPr>
            <w:tcW w:w="716" w:type="dxa"/>
            <w:gridSpan w:val="2"/>
            <w:tcBorders>
              <w:top w:val="nil"/>
              <w:left w:val="nil"/>
              <w:bottom w:val="single" w:sz="4" w:space="0" w:color="auto"/>
              <w:right w:val="single" w:sz="4" w:space="0" w:color="auto"/>
            </w:tcBorders>
            <w:noWrap/>
            <w:vAlign w:val="bottom"/>
            <w:hideMark/>
          </w:tcPr>
          <w:p w14:paraId="74FD5C13"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38.6</w:t>
            </w:r>
          </w:p>
        </w:tc>
        <w:tc>
          <w:tcPr>
            <w:tcW w:w="718" w:type="dxa"/>
            <w:gridSpan w:val="3"/>
            <w:tcBorders>
              <w:top w:val="nil"/>
              <w:left w:val="nil"/>
              <w:bottom w:val="single" w:sz="4" w:space="0" w:color="auto"/>
              <w:right w:val="single" w:sz="4" w:space="0" w:color="auto"/>
            </w:tcBorders>
            <w:noWrap/>
            <w:vAlign w:val="bottom"/>
            <w:hideMark/>
          </w:tcPr>
          <w:p w14:paraId="36C24B8D"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0.99</w:t>
            </w:r>
          </w:p>
        </w:tc>
        <w:tc>
          <w:tcPr>
            <w:tcW w:w="1129" w:type="dxa"/>
            <w:gridSpan w:val="2"/>
            <w:tcBorders>
              <w:top w:val="nil"/>
              <w:left w:val="nil"/>
              <w:bottom w:val="single" w:sz="4" w:space="0" w:color="auto"/>
              <w:right w:val="single" w:sz="4" w:space="0" w:color="auto"/>
            </w:tcBorders>
            <w:noWrap/>
            <w:vAlign w:val="bottom"/>
            <w:hideMark/>
          </w:tcPr>
          <w:p w14:paraId="56D9236F"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3.664</w:t>
            </w:r>
          </w:p>
        </w:tc>
        <w:tc>
          <w:tcPr>
            <w:tcW w:w="740" w:type="dxa"/>
            <w:tcBorders>
              <w:top w:val="nil"/>
              <w:left w:val="nil"/>
              <w:bottom w:val="single" w:sz="4" w:space="0" w:color="auto"/>
              <w:right w:val="single" w:sz="4" w:space="0" w:color="auto"/>
            </w:tcBorders>
            <w:noWrap/>
            <w:vAlign w:val="bottom"/>
            <w:hideMark/>
          </w:tcPr>
          <w:p w14:paraId="6331308A"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68.1</w:t>
            </w:r>
          </w:p>
        </w:tc>
        <w:tc>
          <w:tcPr>
            <w:tcW w:w="1067" w:type="dxa"/>
            <w:tcBorders>
              <w:top w:val="nil"/>
              <w:left w:val="nil"/>
              <w:bottom w:val="single" w:sz="4" w:space="0" w:color="auto"/>
              <w:right w:val="single" w:sz="4" w:space="0" w:color="auto"/>
            </w:tcBorders>
            <w:noWrap/>
            <w:vAlign w:val="bottom"/>
            <w:hideMark/>
          </w:tcPr>
          <w:p w14:paraId="71200874"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2,62</w:t>
            </w:r>
            <w:r w:rsidR="00804B19" w:rsidRPr="00883399">
              <w:rPr>
                <w:rFonts w:ascii="Calibri" w:hAnsi="Calibri"/>
                <w:color w:val="000000"/>
                <w:sz w:val="20"/>
                <w:szCs w:val="20"/>
              </w:rPr>
              <w:t>7</w:t>
            </w:r>
          </w:p>
        </w:tc>
      </w:tr>
      <w:tr w:rsidR="00647300" w:rsidRPr="00883399" w14:paraId="6B6B8E06" w14:textId="77777777" w:rsidTr="009A1D64">
        <w:trPr>
          <w:trHeight w:val="301"/>
        </w:trPr>
        <w:tc>
          <w:tcPr>
            <w:tcW w:w="2134" w:type="dxa"/>
            <w:tcBorders>
              <w:top w:val="nil"/>
              <w:left w:val="single" w:sz="4" w:space="0" w:color="auto"/>
              <w:bottom w:val="single" w:sz="4" w:space="0" w:color="auto"/>
              <w:right w:val="single" w:sz="4" w:space="0" w:color="auto"/>
            </w:tcBorders>
            <w:vAlign w:val="bottom"/>
            <w:hideMark/>
          </w:tcPr>
          <w:p w14:paraId="664B1479" w14:textId="77777777" w:rsidR="00647300" w:rsidRPr="00883399" w:rsidRDefault="00647300" w:rsidP="00647300">
            <w:pPr>
              <w:rPr>
                <w:rFonts w:ascii="Calibri" w:hAnsi="Calibri"/>
                <w:color w:val="000000"/>
                <w:sz w:val="20"/>
                <w:szCs w:val="20"/>
              </w:rPr>
            </w:pPr>
            <w:r w:rsidRPr="00883399">
              <w:rPr>
                <w:rFonts w:ascii="Calibri" w:hAnsi="Calibri"/>
                <w:color w:val="000000"/>
                <w:sz w:val="20"/>
                <w:szCs w:val="20"/>
              </w:rPr>
              <w:t>Uncertainty</w:t>
            </w:r>
          </w:p>
        </w:tc>
        <w:tc>
          <w:tcPr>
            <w:tcW w:w="1125" w:type="dxa"/>
            <w:tcBorders>
              <w:top w:val="nil"/>
              <w:left w:val="nil"/>
              <w:bottom w:val="single" w:sz="4" w:space="0" w:color="auto"/>
              <w:right w:val="single" w:sz="4" w:space="0" w:color="auto"/>
            </w:tcBorders>
            <w:noWrap/>
            <w:vAlign w:val="bottom"/>
            <w:hideMark/>
          </w:tcPr>
          <w:p w14:paraId="695D47E3"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1.5%</w:t>
            </w:r>
          </w:p>
        </w:tc>
        <w:tc>
          <w:tcPr>
            <w:tcW w:w="1143" w:type="dxa"/>
            <w:tcBorders>
              <w:top w:val="nil"/>
              <w:left w:val="nil"/>
              <w:bottom w:val="single" w:sz="4" w:space="0" w:color="auto"/>
              <w:right w:val="single" w:sz="4" w:space="0" w:color="auto"/>
            </w:tcBorders>
            <w:noWrap/>
            <w:vAlign w:val="bottom"/>
            <w:hideMark/>
          </w:tcPr>
          <w:p w14:paraId="3A9BB8D1"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1.5%</w:t>
            </w:r>
          </w:p>
        </w:tc>
        <w:tc>
          <w:tcPr>
            <w:tcW w:w="808" w:type="dxa"/>
            <w:tcBorders>
              <w:top w:val="nil"/>
              <w:left w:val="nil"/>
              <w:bottom w:val="single" w:sz="4" w:space="0" w:color="auto"/>
              <w:right w:val="single" w:sz="4" w:space="0" w:color="auto"/>
            </w:tcBorders>
            <w:noWrap/>
            <w:vAlign w:val="bottom"/>
            <w:hideMark/>
          </w:tcPr>
          <w:p w14:paraId="030DEC3E"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1.0%</w:t>
            </w:r>
          </w:p>
        </w:tc>
        <w:tc>
          <w:tcPr>
            <w:tcW w:w="716" w:type="dxa"/>
            <w:gridSpan w:val="2"/>
            <w:tcBorders>
              <w:top w:val="nil"/>
              <w:left w:val="nil"/>
              <w:bottom w:val="single" w:sz="4" w:space="0" w:color="auto"/>
              <w:right w:val="single" w:sz="4" w:space="0" w:color="auto"/>
            </w:tcBorders>
            <w:noWrap/>
            <w:vAlign w:val="bottom"/>
            <w:hideMark/>
          </w:tcPr>
          <w:p w14:paraId="482CB07C"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NA</w:t>
            </w:r>
          </w:p>
        </w:tc>
        <w:tc>
          <w:tcPr>
            <w:tcW w:w="718" w:type="dxa"/>
            <w:gridSpan w:val="3"/>
            <w:tcBorders>
              <w:top w:val="nil"/>
              <w:left w:val="nil"/>
              <w:bottom w:val="single" w:sz="4" w:space="0" w:color="auto"/>
              <w:right w:val="single" w:sz="4" w:space="0" w:color="auto"/>
            </w:tcBorders>
            <w:noWrap/>
            <w:vAlign w:val="bottom"/>
            <w:hideMark/>
          </w:tcPr>
          <w:p w14:paraId="757B5418"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0.0%</w:t>
            </w:r>
          </w:p>
        </w:tc>
        <w:tc>
          <w:tcPr>
            <w:tcW w:w="1129" w:type="dxa"/>
            <w:gridSpan w:val="2"/>
            <w:tcBorders>
              <w:top w:val="nil"/>
              <w:left w:val="nil"/>
              <w:bottom w:val="single" w:sz="4" w:space="0" w:color="auto"/>
              <w:right w:val="single" w:sz="4" w:space="0" w:color="auto"/>
            </w:tcBorders>
            <w:noWrap/>
            <w:vAlign w:val="bottom"/>
            <w:hideMark/>
          </w:tcPr>
          <w:p w14:paraId="175625C4"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NA</w:t>
            </w:r>
          </w:p>
        </w:tc>
        <w:tc>
          <w:tcPr>
            <w:tcW w:w="740" w:type="dxa"/>
            <w:tcBorders>
              <w:top w:val="nil"/>
              <w:left w:val="nil"/>
              <w:bottom w:val="single" w:sz="4" w:space="0" w:color="auto"/>
              <w:right w:val="single" w:sz="4" w:space="0" w:color="auto"/>
            </w:tcBorders>
            <w:noWrap/>
            <w:vAlign w:val="bottom"/>
            <w:hideMark/>
          </w:tcPr>
          <w:p w14:paraId="5EF38C38"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1.8%</w:t>
            </w:r>
          </w:p>
        </w:tc>
        <w:tc>
          <w:tcPr>
            <w:tcW w:w="1067" w:type="dxa"/>
            <w:tcBorders>
              <w:top w:val="nil"/>
              <w:left w:val="nil"/>
              <w:bottom w:val="single" w:sz="4" w:space="0" w:color="auto"/>
              <w:right w:val="single" w:sz="4" w:space="0" w:color="auto"/>
            </w:tcBorders>
            <w:noWrap/>
            <w:vAlign w:val="bottom"/>
            <w:hideMark/>
          </w:tcPr>
          <w:p w14:paraId="40572D24"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2.3%</w:t>
            </w:r>
          </w:p>
        </w:tc>
      </w:tr>
      <w:tr w:rsidR="00647300" w:rsidRPr="00883399" w14:paraId="3B0CE249" w14:textId="77777777" w:rsidTr="009A1D64">
        <w:trPr>
          <w:trHeight w:val="301"/>
        </w:trPr>
        <w:tc>
          <w:tcPr>
            <w:tcW w:w="2134" w:type="dxa"/>
            <w:tcBorders>
              <w:top w:val="nil"/>
              <w:left w:val="single" w:sz="4" w:space="0" w:color="auto"/>
              <w:bottom w:val="single" w:sz="4" w:space="0" w:color="auto"/>
              <w:right w:val="single" w:sz="4" w:space="0" w:color="auto"/>
            </w:tcBorders>
            <w:vAlign w:val="bottom"/>
            <w:hideMark/>
          </w:tcPr>
          <w:p w14:paraId="1834751E" w14:textId="77777777" w:rsidR="00647300" w:rsidRPr="00883399" w:rsidRDefault="00647300" w:rsidP="00647300">
            <w:pPr>
              <w:rPr>
                <w:rFonts w:ascii="Calibri" w:hAnsi="Calibri"/>
                <w:color w:val="000000"/>
                <w:sz w:val="20"/>
                <w:szCs w:val="20"/>
              </w:rPr>
            </w:pPr>
            <w:r w:rsidRPr="00883399">
              <w:rPr>
                <w:rFonts w:ascii="Calibri" w:hAnsi="Calibri"/>
                <w:color w:val="000000"/>
                <w:sz w:val="20"/>
                <w:szCs w:val="20"/>
              </w:rPr>
              <w:t>Source of Uncertainty</w:t>
            </w:r>
          </w:p>
        </w:tc>
        <w:tc>
          <w:tcPr>
            <w:tcW w:w="1125" w:type="dxa"/>
            <w:tcBorders>
              <w:top w:val="nil"/>
              <w:left w:val="nil"/>
              <w:bottom w:val="single" w:sz="4" w:space="0" w:color="auto"/>
              <w:right w:val="single" w:sz="4" w:space="0" w:color="auto"/>
            </w:tcBorders>
            <w:noWrap/>
            <w:vAlign w:val="bottom"/>
            <w:hideMark/>
          </w:tcPr>
          <w:p w14:paraId="2F7DB9F8"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a</w:t>
            </w:r>
          </w:p>
        </w:tc>
        <w:tc>
          <w:tcPr>
            <w:tcW w:w="1143" w:type="dxa"/>
            <w:tcBorders>
              <w:top w:val="nil"/>
              <w:left w:val="nil"/>
              <w:bottom w:val="single" w:sz="4" w:space="0" w:color="auto"/>
              <w:right w:val="single" w:sz="4" w:space="0" w:color="auto"/>
            </w:tcBorders>
            <w:noWrap/>
            <w:vAlign w:val="bottom"/>
            <w:hideMark/>
          </w:tcPr>
          <w:p w14:paraId="0554302C"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b</w:t>
            </w:r>
          </w:p>
        </w:tc>
        <w:tc>
          <w:tcPr>
            <w:tcW w:w="808" w:type="dxa"/>
            <w:tcBorders>
              <w:top w:val="nil"/>
              <w:left w:val="nil"/>
              <w:bottom w:val="single" w:sz="4" w:space="0" w:color="auto"/>
              <w:right w:val="single" w:sz="4" w:space="0" w:color="auto"/>
            </w:tcBorders>
            <w:noWrap/>
            <w:vAlign w:val="bottom"/>
            <w:hideMark/>
          </w:tcPr>
          <w:p w14:paraId="09C8A9A1"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c</w:t>
            </w:r>
          </w:p>
        </w:tc>
        <w:tc>
          <w:tcPr>
            <w:tcW w:w="716" w:type="dxa"/>
            <w:gridSpan w:val="2"/>
            <w:tcBorders>
              <w:top w:val="nil"/>
              <w:left w:val="nil"/>
              <w:bottom w:val="single" w:sz="4" w:space="0" w:color="auto"/>
              <w:right w:val="single" w:sz="4" w:space="0" w:color="auto"/>
            </w:tcBorders>
            <w:noWrap/>
            <w:vAlign w:val="bottom"/>
            <w:hideMark/>
          </w:tcPr>
          <w:p w14:paraId="72204E51"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d</w:t>
            </w:r>
          </w:p>
        </w:tc>
        <w:tc>
          <w:tcPr>
            <w:tcW w:w="718" w:type="dxa"/>
            <w:gridSpan w:val="3"/>
            <w:tcBorders>
              <w:top w:val="nil"/>
              <w:left w:val="nil"/>
              <w:bottom w:val="single" w:sz="4" w:space="0" w:color="auto"/>
              <w:right w:val="single" w:sz="4" w:space="0" w:color="auto"/>
            </w:tcBorders>
            <w:noWrap/>
            <w:vAlign w:val="bottom"/>
            <w:hideMark/>
          </w:tcPr>
          <w:p w14:paraId="5C69688B"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e</w:t>
            </w:r>
          </w:p>
        </w:tc>
        <w:tc>
          <w:tcPr>
            <w:tcW w:w="1129" w:type="dxa"/>
            <w:gridSpan w:val="2"/>
            <w:tcBorders>
              <w:top w:val="nil"/>
              <w:left w:val="nil"/>
              <w:bottom w:val="single" w:sz="4" w:space="0" w:color="auto"/>
              <w:right w:val="single" w:sz="4" w:space="0" w:color="auto"/>
            </w:tcBorders>
            <w:noWrap/>
            <w:vAlign w:val="bottom"/>
            <w:hideMark/>
          </w:tcPr>
          <w:p w14:paraId="52DC84B8"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f</w:t>
            </w:r>
          </w:p>
        </w:tc>
        <w:tc>
          <w:tcPr>
            <w:tcW w:w="740" w:type="dxa"/>
            <w:tcBorders>
              <w:top w:val="nil"/>
              <w:left w:val="nil"/>
              <w:bottom w:val="single" w:sz="4" w:space="0" w:color="auto"/>
              <w:right w:val="single" w:sz="4" w:space="0" w:color="auto"/>
            </w:tcBorders>
            <w:noWrap/>
            <w:vAlign w:val="bottom"/>
            <w:hideMark/>
          </w:tcPr>
          <w:p w14:paraId="70DC7A15"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g</w:t>
            </w:r>
          </w:p>
        </w:tc>
        <w:tc>
          <w:tcPr>
            <w:tcW w:w="1067" w:type="dxa"/>
            <w:tcBorders>
              <w:top w:val="nil"/>
              <w:left w:val="nil"/>
              <w:bottom w:val="single" w:sz="4" w:space="0" w:color="auto"/>
              <w:right w:val="single" w:sz="4" w:space="0" w:color="auto"/>
            </w:tcBorders>
            <w:noWrap/>
            <w:vAlign w:val="bottom"/>
            <w:hideMark/>
          </w:tcPr>
          <w:p w14:paraId="55445F67"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g</w:t>
            </w:r>
          </w:p>
        </w:tc>
      </w:tr>
      <w:tr w:rsidR="00647300" w:rsidRPr="00883399" w14:paraId="08540B88" w14:textId="77777777" w:rsidTr="009A1D64">
        <w:trPr>
          <w:trHeight w:val="301"/>
        </w:trPr>
        <w:tc>
          <w:tcPr>
            <w:tcW w:w="2134" w:type="dxa"/>
            <w:vMerge w:val="restart"/>
            <w:tcBorders>
              <w:top w:val="nil"/>
              <w:left w:val="single" w:sz="4" w:space="0" w:color="auto"/>
              <w:bottom w:val="single" w:sz="4" w:space="0" w:color="000000"/>
              <w:right w:val="single" w:sz="4" w:space="0" w:color="auto"/>
            </w:tcBorders>
            <w:vAlign w:val="center"/>
            <w:hideMark/>
          </w:tcPr>
          <w:p w14:paraId="7851EBA0" w14:textId="77777777" w:rsidR="00647300" w:rsidRPr="00883399" w:rsidRDefault="00647300" w:rsidP="00647300">
            <w:pPr>
              <w:jc w:val="center"/>
              <w:rPr>
                <w:rFonts w:ascii="Calibri" w:hAnsi="Calibri"/>
                <w:b/>
                <w:bCs/>
                <w:color w:val="000000"/>
                <w:sz w:val="20"/>
                <w:szCs w:val="20"/>
              </w:rPr>
            </w:pPr>
            <w:r w:rsidRPr="00883399">
              <w:rPr>
                <w:rFonts w:ascii="Calibri" w:hAnsi="Calibri"/>
                <w:b/>
                <w:bCs/>
                <w:color w:val="000000"/>
                <w:sz w:val="20"/>
                <w:szCs w:val="20"/>
              </w:rPr>
              <w:t>Combustion of Black Coal</w:t>
            </w:r>
          </w:p>
        </w:tc>
        <w:tc>
          <w:tcPr>
            <w:tcW w:w="1125" w:type="dxa"/>
            <w:tcBorders>
              <w:top w:val="nil"/>
              <w:left w:val="nil"/>
              <w:bottom w:val="single" w:sz="4" w:space="0" w:color="auto"/>
              <w:right w:val="single" w:sz="4" w:space="0" w:color="auto"/>
            </w:tcBorders>
            <w:noWrap/>
            <w:vAlign w:val="center"/>
            <w:hideMark/>
          </w:tcPr>
          <w:p w14:paraId="79C9428C"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Q - t</w:t>
            </w:r>
          </w:p>
        </w:tc>
        <w:tc>
          <w:tcPr>
            <w:tcW w:w="1143" w:type="dxa"/>
            <w:tcBorders>
              <w:top w:val="nil"/>
              <w:left w:val="nil"/>
              <w:bottom w:val="single" w:sz="4" w:space="0" w:color="auto"/>
              <w:right w:val="single" w:sz="4" w:space="0" w:color="auto"/>
            </w:tcBorders>
            <w:vAlign w:val="center"/>
            <w:hideMark/>
          </w:tcPr>
          <w:p w14:paraId="390AE494"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 carbon</w:t>
            </w:r>
          </w:p>
        </w:tc>
        <w:tc>
          <w:tcPr>
            <w:tcW w:w="808" w:type="dxa"/>
            <w:tcBorders>
              <w:top w:val="nil"/>
              <w:left w:val="nil"/>
              <w:bottom w:val="single" w:sz="4" w:space="0" w:color="auto"/>
              <w:right w:val="single" w:sz="4" w:space="0" w:color="auto"/>
            </w:tcBorders>
            <w:noWrap/>
            <w:vAlign w:val="center"/>
            <w:hideMark/>
          </w:tcPr>
          <w:p w14:paraId="71EFD502"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 </w:t>
            </w:r>
          </w:p>
        </w:tc>
        <w:tc>
          <w:tcPr>
            <w:tcW w:w="716" w:type="dxa"/>
            <w:gridSpan w:val="2"/>
            <w:tcBorders>
              <w:top w:val="nil"/>
              <w:left w:val="nil"/>
              <w:bottom w:val="single" w:sz="4" w:space="0" w:color="auto"/>
              <w:right w:val="single" w:sz="4" w:space="0" w:color="auto"/>
            </w:tcBorders>
            <w:vAlign w:val="center"/>
            <w:hideMark/>
          </w:tcPr>
          <w:p w14:paraId="18CBA65D"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EC</w:t>
            </w:r>
          </w:p>
        </w:tc>
        <w:tc>
          <w:tcPr>
            <w:tcW w:w="718" w:type="dxa"/>
            <w:gridSpan w:val="3"/>
            <w:tcBorders>
              <w:top w:val="nil"/>
              <w:left w:val="nil"/>
              <w:bottom w:val="single" w:sz="4" w:space="0" w:color="auto"/>
              <w:right w:val="single" w:sz="4" w:space="0" w:color="auto"/>
            </w:tcBorders>
            <w:noWrap/>
            <w:vAlign w:val="center"/>
            <w:hideMark/>
          </w:tcPr>
          <w:p w14:paraId="57BA0258"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OF</w:t>
            </w:r>
          </w:p>
        </w:tc>
        <w:tc>
          <w:tcPr>
            <w:tcW w:w="1129" w:type="dxa"/>
            <w:gridSpan w:val="2"/>
            <w:tcBorders>
              <w:top w:val="nil"/>
              <w:left w:val="nil"/>
              <w:bottom w:val="single" w:sz="4" w:space="0" w:color="auto"/>
              <w:right w:val="single" w:sz="4" w:space="0" w:color="auto"/>
            </w:tcBorders>
            <w:noWrap/>
            <w:vAlign w:val="center"/>
            <w:hideMark/>
          </w:tcPr>
          <w:p w14:paraId="15F8CB87"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Constant</w:t>
            </w:r>
          </w:p>
        </w:tc>
        <w:tc>
          <w:tcPr>
            <w:tcW w:w="740" w:type="dxa"/>
            <w:tcBorders>
              <w:top w:val="nil"/>
              <w:left w:val="nil"/>
              <w:bottom w:val="single" w:sz="4" w:space="0" w:color="auto"/>
              <w:right w:val="single" w:sz="4" w:space="0" w:color="auto"/>
            </w:tcBorders>
            <w:noWrap/>
            <w:vAlign w:val="center"/>
            <w:hideMark/>
          </w:tcPr>
          <w:p w14:paraId="04A4C08E"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EF</w:t>
            </w:r>
          </w:p>
        </w:tc>
        <w:tc>
          <w:tcPr>
            <w:tcW w:w="1067" w:type="dxa"/>
            <w:tcBorders>
              <w:top w:val="nil"/>
              <w:left w:val="nil"/>
              <w:bottom w:val="single" w:sz="4" w:space="0" w:color="auto"/>
              <w:right w:val="single" w:sz="4" w:space="0" w:color="auto"/>
            </w:tcBorders>
            <w:noWrap/>
            <w:vAlign w:val="center"/>
            <w:hideMark/>
          </w:tcPr>
          <w:p w14:paraId="3F7BB824"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Emission</w:t>
            </w:r>
          </w:p>
        </w:tc>
      </w:tr>
      <w:tr w:rsidR="00647300" w:rsidRPr="00883399" w14:paraId="6AED004A" w14:textId="77777777" w:rsidTr="009A1D64">
        <w:trPr>
          <w:trHeight w:val="301"/>
        </w:trPr>
        <w:tc>
          <w:tcPr>
            <w:tcW w:w="2134" w:type="dxa"/>
            <w:vMerge/>
            <w:tcBorders>
              <w:top w:val="nil"/>
              <w:left w:val="single" w:sz="4" w:space="0" w:color="auto"/>
              <w:bottom w:val="single" w:sz="4" w:space="0" w:color="000000"/>
              <w:right w:val="single" w:sz="4" w:space="0" w:color="auto"/>
            </w:tcBorders>
            <w:vAlign w:val="center"/>
            <w:hideMark/>
          </w:tcPr>
          <w:p w14:paraId="1B4B1AB4" w14:textId="77777777" w:rsidR="00647300" w:rsidRPr="00883399" w:rsidRDefault="00647300" w:rsidP="00647300">
            <w:pPr>
              <w:rPr>
                <w:rFonts w:ascii="Calibri" w:hAnsi="Calibri"/>
                <w:b/>
                <w:bCs/>
                <w:color w:val="000000"/>
                <w:sz w:val="20"/>
                <w:szCs w:val="20"/>
              </w:rPr>
            </w:pPr>
          </w:p>
        </w:tc>
        <w:tc>
          <w:tcPr>
            <w:tcW w:w="1125" w:type="dxa"/>
            <w:tcBorders>
              <w:top w:val="nil"/>
              <w:left w:val="nil"/>
              <w:bottom w:val="single" w:sz="4" w:space="0" w:color="auto"/>
              <w:right w:val="single" w:sz="4" w:space="0" w:color="auto"/>
            </w:tcBorders>
            <w:noWrap/>
            <w:vAlign w:val="bottom"/>
            <w:hideMark/>
          </w:tcPr>
          <w:p w14:paraId="2B4C2B02" w14:textId="77777777" w:rsidR="00647300" w:rsidRPr="00883399" w:rsidRDefault="00647300" w:rsidP="00647300">
            <w:pPr>
              <w:jc w:val="center"/>
              <w:rPr>
                <w:rFonts w:ascii="Calibri" w:hAnsi="Calibri"/>
                <w:i/>
                <w:iCs/>
                <w:color w:val="000000"/>
                <w:sz w:val="20"/>
                <w:szCs w:val="20"/>
              </w:rPr>
            </w:pPr>
            <w:r w:rsidRPr="00883399">
              <w:rPr>
                <w:rFonts w:ascii="Calibri" w:hAnsi="Calibri"/>
                <w:i/>
                <w:iCs/>
                <w:color w:val="000000"/>
                <w:sz w:val="20"/>
                <w:szCs w:val="20"/>
              </w:rPr>
              <w:t>5,000</w:t>
            </w:r>
          </w:p>
        </w:tc>
        <w:tc>
          <w:tcPr>
            <w:tcW w:w="1143" w:type="dxa"/>
            <w:tcBorders>
              <w:top w:val="nil"/>
              <w:left w:val="nil"/>
              <w:bottom w:val="single" w:sz="4" w:space="0" w:color="auto"/>
              <w:right w:val="single" w:sz="4" w:space="0" w:color="auto"/>
            </w:tcBorders>
            <w:noWrap/>
            <w:vAlign w:val="bottom"/>
            <w:hideMark/>
          </w:tcPr>
          <w:p w14:paraId="241AA75F" w14:textId="77777777" w:rsidR="00647300" w:rsidRPr="00883399" w:rsidRDefault="00647300" w:rsidP="00647300">
            <w:pPr>
              <w:jc w:val="center"/>
              <w:rPr>
                <w:rFonts w:ascii="Calibri" w:hAnsi="Calibri"/>
                <w:i/>
                <w:iCs/>
                <w:color w:val="000000"/>
                <w:sz w:val="22"/>
                <w:szCs w:val="22"/>
              </w:rPr>
            </w:pPr>
            <w:r w:rsidRPr="00883399">
              <w:rPr>
                <w:rFonts w:ascii="Calibri" w:hAnsi="Calibri"/>
                <w:i/>
                <w:iCs/>
                <w:color w:val="000000"/>
                <w:sz w:val="22"/>
                <w:szCs w:val="22"/>
              </w:rPr>
              <w:t>62.2</w:t>
            </w:r>
          </w:p>
        </w:tc>
        <w:tc>
          <w:tcPr>
            <w:tcW w:w="808" w:type="dxa"/>
            <w:tcBorders>
              <w:top w:val="nil"/>
              <w:left w:val="nil"/>
              <w:bottom w:val="single" w:sz="4" w:space="0" w:color="auto"/>
              <w:right w:val="single" w:sz="4" w:space="0" w:color="auto"/>
            </w:tcBorders>
            <w:noWrap/>
            <w:vAlign w:val="bottom"/>
            <w:hideMark/>
          </w:tcPr>
          <w:p w14:paraId="2D93B178"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NA</w:t>
            </w:r>
          </w:p>
        </w:tc>
        <w:tc>
          <w:tcPr>
            <w:tcW w:w="716" w:type="dxa"/>
            <w:gridSpan w:val="2"/>
            <w:tcBorders>
              <w:top w:val="nil"/>
              <w:left w:val="nil"/>
              <w:bottom w:val="single" w:sz="4" w:space="0" w:color="auto"/>
              <w:right w:val="single" w:sz="4" w:space="0" w:color="auto"/>
            </w:tcBorders>
            <w:noWrap/>
            <w:vAlign w:val="bottom"/>
            <w:hideMark/>
          </w:tcPr>
          <w:p w14:paraId="160C06CA"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27</w:t>
            </w:r>
          </w:p>
        </w:tc>
        <w:tc>
          <w:tcPr>
            <w:tcW w:w="718" w:type="dxa"/>
            <w:gridSpan w:val="3"/>
            <w:tcBorders>
              <w:top w:val="nil"/>
              <w:left w:val="nil"/>
              <w:bottom w:val="single" w:sz="4" w:space="0" w:color="auto"/>
              <w:right w:val="single" w:sz="4" w:space="0" w:color="auto"/>
            </w:tcBorders>
            <w:noWrap/>
            <w:vAlign w:val="bottom"/>
            <w:hideMark/>
          </w:tcPr>
          <w:p w14:paraId="666D1DB7"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0.98</w:t>
            </w:r>
          </w:p>
        </w:tc>
        <w:tc>
          <w:tcPr>
            <w:tcW w:w="1129" w:type="dxa"/>
            <w:gridSpan w:val="2"/>
            <w:tcBorders>
              <w:top w:val="nil"/>
              <w:left w:val="nil"/>
              <w:bottom w:val="single" w:sz="4" w:space="0" w:color="auto"/>
              <w:right w:val="single" w:sz="4" w:space="0" w:color="auto"/>
            </w:tcBorders>
            <w:noWrap/>
            <w:vAlign w:val="bottom"/>
            <w:hideMark/>
          </w:tcPr>
          <w:p w14:paraId="0319E760"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3.664</w:t>
            </w:r>
          </w:p>
        </w:tc>
        <w:tc>
          <w:tcPr>
            <w:tcW w:w="740" w:type="dxa"/>
            <w:tcBorders>
              <w:top w:val="nil"/>
              <w:left w:val="nil"/>
              <w:bottom w:val="single" w:sz="4" w:space="0" w:color="auto"/>
              <w:right w:val="single" w:sz="4" w:space="0" w:color="auto"/>
            </w:tcBorders>
            <w:noWrap/>
            <w:vAlign w:val="bottom"/>
            <w:hideMark/>
          </w:tcPr>
          <w:p w14:paraId="13CE04F3"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82.7</w:t>
            </w:r>
          </w:p>
        </w:tc>
        <w:tc>
          <w:tcPr>
            <w:tcW w:w="1067" w:type="dxa"/>
            <w:tcBorders>
              <w:top w:val="nil"/>
              <w:left w:val="nil"/>
              <w:bottom w:val="single" w:sz="4" w:space="0" w:color="auto"/>
              <w:right w:val="single" w:sz="4" w:space="0" w:color="auto"/>
            </w:tcBorders>
            <w:noWrap/>
            <w:vAlign w:val="bottom"/>
            <w:hideMark/>
          </w:tcPr>
          <w:p w14:paraId="61A0A529"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11,167</w:t>
            </w:r>
          </w:p>
        </w:tc>
      </w:tr>
      <w:tr w:rsidR="00647300" w:rsidRPr="00883399" w14:paraId="40DB4F69" w14:textId="77777777" w:rsidTr="009A1D64">
        <w:trPr>
          <w:trHeight w:val="301"/>
        </w:trPr>
        <w:tc>
          <w:tcPr>
            <w:tcW w:w="2134" w:type="dxa"/>
            <w:tcBorders>
              <w:top w:val="nil"/>
              <w:left w:val="single" w:sz="4" w:space="0" w:color="auto"/>
              <w:bottom w:val="single" w:sz="4" w:space="0" w:color="auto"/>
              <w:right w:val="single" w:sz="4" w:space="0" w:color="auto"/>
            </w:tcBorders>
            <w:vAlign w:val="bottom"/>
            <w:hideMark/>
          </w:tcPr>
          <w:p w14:paraId="21311464" w14:textId="77777777" w:rsidR="00647300" w:rsidRPr="00883399" w:rsidRDefault="00647300" w:rsidP="00647300">
            <w:pPr>
              <w:rPr>
                <w:rFonts w:ascii="Calibri" w:hAnsi="Calibri"/>
                <w:color w:val="000000"/>
                <w:sz w:val="20"/>
                <w:szCs w:val="20"/>
              </w:rPr>
            </w:pPr>
            <w:r w:rsidRPr="00883399">
              <w:rPr>
                <w:rFonts w:ascii="Calibri" w:hAnsi="Calibri"/>
                <w:color w:val="000000"/>
                <w:sz w:val="20"/>
                <w:szCs w:val="20"/>
              </w:rPr>
              <w:t>Uncertainty</w:t>
            </w:r>
          </w:p>
        </w:tc>
        <w:tc>
          <w:tcPr>
            <w:tcW w:w="1125" w:type="dxa"/>
            <w:tcBorders>
              <w:top w:val="nil"/>
              <w:left w:val="nil"/>
              <w:bottom w:val="nil"/>
              <w:right w:val="single" w:sz="4" w:space="0" w:color="auto"/>
            </w:tcBorders>
            <w:noWrap/>
            <w:vAlign w:val="bottom"/>
            <w:hideMark/>
          </w:tcPr>
          <w:p w14:paraId="72E7FD64"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2.5%</w:t>
            </w:r>
          </w:p>
        </w:tc>
        <w:tc>
          <w:tcPr>
            <w:tcW w:w="1143" w:type="dxa"/>
            <w:tcBorders>
              <w:top w:val="nil"/>
              <w:left w:val="nil"/>
              <w:bottom w:val="nil"/>
              <w:right w:val="single" w:sz="4" w:space="0" w:color="auto"/>
            </w:tcBorders>
            <w:noWrap/>
            <w:vAlign w:val="bottom"/>
            <w:hideMark/>
          </w:tcPr>
          <w:p w14:paraId="48F0E6F4"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3.0%</w:t>
            </w:r>
          </w:p>
        </w:tc>
        <w:tc>
          <w:tcPr>
            <w:tcW w:w="808" w:type="dxa"/>
            <w:tcBorders>
              <w:top w:val="nil"/>
              <w:left w:val="nil"/>
              <w:bottom w:val="nil"/>
              <w:right w:val="single" w:sz="4" w:space="0" w:color="auto"/>
            </w:tcBorders>
            <w:noWrap/>
            <w:vAlign w:val="bottom"/>
            <w:hideMark/>
          </w:tcPr>
          <w:p w14:paraId="5CD901C5"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NA</w:t>
            </w:r>
          </w:p>
        </w:tc>
        <w:tc>
          <w:tcPr>
            <w:tcW w:w="716" w:type="dxa"/>
            <w:gridSpan w:val="2"/>
            <w:tcBorders>
              <w:top w:val="nil"/>
              <w:left w:val="nil"/>
              <w:bottom w:val="nil"/>
              <w:right w:val="single" w:sz="4" w:space="0" w:color="auto"/>
            </w:tcBorders>
            <w:noWrap/>
            <w:vAlign w:val="bottom"/>
            <w:hideMark/>
          </w:tcPr>
          <w:p w14:paraId="0C25C853"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NA</w:t>
            </w:r>
          </w:p>
        </w:tc>
        <w:tc>
          <w:tcPr>
            <w:tcW w:w="718" w:type="dxa"/>
            <w:gridSpan w:val="3"/>
            <w:tcBorders>
              <w:top w:val="nil"/>
              <w:left w:val="nil"/>
              <w:bottom w:val="nil"/>
              <w:right w:val="single" w:sz="4" w:space="0" w:color="auto"/>
            </w:tcBorders>
            <w:noWrap/>
            <w:vAlign w:val="bottom"/>
            <w:hideMark/>
          </w:tcPr>
          <w:p w14:paraId="2082BEE4"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0.0%</w:t>
            </w:r>
          </w:p>
        </w:tc>
        <w:tc>
          <w:tcPr>
            <w:tcW w:w="1129" w:type="dxa"/>
            <w:gridSpan w:val="2"/>
            <w:tcBorders>
              <w:top w:val="nil"/>
              <w:left w:val="nil"/>
              <w:bottom w:val="nil"/>
              <w:right w:val="single" w:sz="4" w:space="0" w:color="auto"/>
            </w:tcBorders>
            <w:noWrap/>
            <w:vAlign w:val="bottom"/>
            <w:hideMark/>
          </w:tcPr>
          <w:p w14:paraId="52E20725"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NA</w:t>
            </w:r>
          </w:p>
        </w:tc>
        <w:tc>
          <w:tcPr>
            <w:tcW w:w="740" w:type="dxa"/>
            <w:tcBorders>
              <w:top w:val="nil"/>
              <w:left w:val="nil"/>
              <w:bottom w:val="nil"/>
              <w:right w:val="single" w:sz="4" w:space="0" w:color="auto"/>
            </w:tcBorders>
            <w:noWrap/>
            <w:vAlign w:val="bottom"/>
            <w:hideMark/>
          </w:tcPr>
          <w:p w14:paraId="4438F9DF"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3.0%</w:t>
            </w:r>
          </w:p>
        </w:tc>
        <w:tc>
          <w:tcPr>
            <w:tcW w:w="1067" w:type="dxa"/>
            <w:tcBorders>
              <w:top w:val="nil"/>
              <w:left w:val="nil"/>
              <w:bottom w:val="nil"/>
              <w:right w:val="single" w:sz="4" w:space="0" w:color="auto"/>
            </w:tcBorders>
            <w:noWrap/>
            <w:vAlign w:val="bottom"/>
            <w:hideMark/>
          </w:tcPr>
          <w:p w14:paraId="58D6BB46"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3.9%</w:t>
            </w:r>
          </w:p>
        </w:tc>
      </w:tr>
      <w:tr w:rsidR="00647300" w:rsidRPr="00883399" w14:paraId="4AE08732" w14:textId="77777777" w:rsidTr="009A1D64">
        <w:trPr>
          <w:trHeight w:val="301"/>
        </w:trPr>
        <w:tc>
          <w:tcPr>
            <w:tcW w:w="2134" w:type="dxa"/>
            <w:tcBorders>
              <w:top w:val="nil"/>
              <w:left w:val="single" w:sz="4" w:space="0" w:color="auto"/>
              <w:bottom w:val="single" w:sz="4" w:space="0" w:color="auto"/>
              <w:right w:val="single" w:sz="4" w:space="0" w:color="auto"/>
            </w:tcBorders>
            <w:vAlign w:val="bottom"/>
            <w:hideMark/>
          </w:tcPr>
          <w:p w14:paraId="388246F6" w14:textId="77777777" w:rsidR="00647300" w:rsidRPr="00883399" w:rsidRDefault="00647300" w:rsidP="00647300">
            <w:pPr>
              <w:rPr>
                <w:rFonts w:ascii="Calibri" w:hAnsi="Calibri"/>
                <w:color w:val="000000"/>
                <w:sz w:val="20"/>
                <w:szCs w:val="20"/>
              </w:rPr>
            </w:pPr>
            <w:r w:rsidRPr="00883399">
              <w:rPr>
                <w:rFonts w:ascii="Calibri" w:hAnsi="Calibri"/>
                <w:color w:val="000000"/>
                <w:sz w:val="20"/>
                <w:szCs w:val="20"/>
              </w:rPr>
              <w:t>Source of Uncertainty</w:t>
            </w:r>
          </w:p>
        </w:tc>
        <w:tc>
          <w:tcPr>
            <w:tcW w:w="1125" w:type="dxa"/>
            <w:tcBorders>
              <w:top w:val="single" w:sz="4" w:space="0" w:color="auto"/>
              <w:left w:val="nil"/>
              <w:bottom w:val="single" w:sz="4" w:space="0" w:color="auto"/>
              <w:right w:val="single" w:sz="4" w:space="0" w:color="auto"/>
            </w:tcBorders>
            <w:noWrap/>
            <w:vAlign w:val="bottom"/>
            <w:hideMark/>
          </w:tcPr>
          <w:p w14:paraId="78E920B5"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a</w:t>
            </w:r>
          </w:p>
        </w:tc>
        <w:tc>
          <w:tcPr>
            <w:tcW w:w="1143" w:type="dxa"/>
            <w:tcBorders>
              <w:top w:val="single" w:sz="4" w:space="0" w:color="auto"/>
              <w:left w:val="nil"/>
              <w:bottom w:val="single" w:sz="4" w:space="0" w:color="auto"/>
              <w:right w:val="single" w:sz="4" w:space="0" w:color="auto"/>
            </w:tcBorders>
            <w:noWrap/>
            <w:vAlign w:val="bottom"/>
            <w:hideMark/>
          </w:tcPr>
          <w:p w14:paraId="2298BBB0"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b</w:t>
            </w:r>
          </w:p>
        </w:tc>
        <w:tc>
          <w:tcPr>
            <w:tcW w:w="808" w:type="dxa"/>
            <w:tcBorders>
              <w:top w:val="single" w:sz="4" w:space="0" w:color="auto"/>
              <w:left w:val="nil"/>
              <w:bottom w:val="single" w:sz="4" w:space="0" w:color="auto"/>
              <w:right w:val="single" w:sz="4" w:space="0" w:color="auto"/>
            </w:tcBorders>
            <w:noWrap/>
            <w:vAlign w:val="bottom"/>
            <w:hideMark/>
          </w:tcPr>
          <w:p w14:paraId="58651332"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 </w:t>
            </w:r>
          </w:p>
        </w:tc>
        <w:tc>
          <w:tcPr>
            <w:tcW w:w="716" w:type="dxa"/>
            <w:gridSpan w:val="2"/>
            <w:tcBorders>
              <w:top w:val="single" w:sz="4" w:space="0" w:color="auto"/>
              <w:left w:val="nil"/>
              <w:bottom w:val="single" w:sz="4" w:space="0" w:color="auto"/>
              <w:right w:val="single" w:sz="4" w:space="0" w:color="auto"/>
            </w:tcBorders>
            <w:noWrap/>
            <w:vAlign w:val="bottom"/>
            <w:hideMark/>
          </w:tcPr>
          <w:p w14:paraId="389E5136"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d</w:t>
            </w:r>
          </w:p>
        </w:tc>
        <w:tc>
          <w:tcPr>
            <w:tcW w:w="718" w:type="dxa"/>
            <w:gridSpan w:val="3"/>
            <w:tcBorders>
              <w:top w:val="single" w:sz="4" w:space="0" w:color="auto"/>
              <w:left w:val="nil"/>
              <w:bottom w:val="single" w:sz="4" w:space="0" w:color="auto"/>
              <w:right w:val="single" w:sz="4" w:space="0" w:color="auto"/>
            </w:tcBorders>
            <w:noWrap/>
            <w:vAlign w:val="bottom"/>
            <w:hideMark/>
          </w:tcPr>
          <w:p w14:paraId="2C9E5B9C"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e</w:t>
            </w:r>
          </w:p>
        </w:tc>
        <w:tc>
          <w:tcPr>
            <w:tcW w:w="1129" w:type="dxa"/>
            <w:gridSpan w:val="2"/>
            <w:tcBorders>
              <w:top w:val="single" w:sz="4" w:space="0" w:color="auto"/>
              <w:left w:val="nil"/>
              <w:bottom w:val="single" w:sz="4" w:space="0" w:color="auto"/>
              <w:right w:val="single" w:sz="4" w:space="0" w:color="auto"/>
            </w:tcBorders>
            <w:noWrap/>
            <w:vAlign w:val="bottom"/>
            <w:hideMark/>
          </w:tcPr>
          <w:p w14:paraId="522D4517"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f</w:t>
            </w:r>
          </w:p>
        </w:tc>
        <w:tc>
          <w:tcPr>
            <w:tcW w:w="740" w:type="dxa"/>
            <w:tcBorders>
              <w:top w:val="single" w:sz="4" w:space="0" w:color="auto"/>
              <w:left w:val="nil"/>
              <w:bottom w:val="single" w:sz="4" w:space="0" w:color="auto"/>
              <w:right w:val="single" w:sz="4" w:space="0" w:color="auto"/>
            </w:tcBorders>
            <w:noWrap/>
            <w:vAlign w:val="bottom"/>
            <w:hideMark/>
          </w:tcPr>
          <w:p w14:paraId="2DC05FE5"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g</w:t>
            </w:r>
          </w:p>
        </w:tc>
        <w:tc>
          <w:tcPr>
            <w:tcW w:w="1067" w:type="dxa"/>
            <w:tcBorders>
              <w:top w:val="single" w:sz="4" w:space="0" w:color="auto"/>
              <w:left w:val="nil"/>
              <w:bottom w:val="single" w:sz="4" w:space="0" w:color="auto"/>
              <w:right w:val="single" w:sz="4" w:space="0" w:color="auto"/>
            </w:tcBorders>
            <w:noWrap/>
            <w:vAlign w:val="bottom"/>
            <w:hideMark/>
          </w:tcPr>
          <w:p w14:paraId="482B942E"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g</w:t>
            </w:r>
          </w:p>
        </w:tc>
      </w:tr>
      <w:tr w:rsidR="00647300" w:rsidRPr="00883399" w14:paraId="7EEB1E3A" w14:textId="77777777" w:rsidTr="009A1D64">
        <w:trPr>
          <w:trHeight w:val="301"/>
        </w:trPr>
        <w:tc>
          <w:tcPr>
            <w:tcW w:w="2134" w:type="dxa"/>
            <w:tcBorders>
              <w:top w:val="nil"/>
              <w:left w:val="single" w:sz="4" w:space="0" w:color="auto"/>
              <w:bottom w:val="nil"/>
              <w:right w:val="nil"/>
            </w:tcBorders>
            <w:vAlign w:val="bottom"/>
            <w:hideMark/>
          </w:tcPr>
          <w:p w14:paraId="22AF64E1" w14:textId="77777777" w:rsidR="00647300" w:rsidRPr="00883399" w:rsidRDefault="00647300" w:rsidP="00647300">
            <w:pPr>
              <w:rPr>
                <w:rFonts w:ascii="Calibri" w:hAnsi="Calibri"/>
                <w:color w:val="000000"/>
                <w:sz w:val="20"/>
                <w:szCs w:val="20"/>
              </w:rPr>
            </w:pPr>
            <w:r w:rsidRPr="00883399">
              <w:rPr>
                <w:rFonts w:ascii="Calibri" w:hAnsi="Calibri"/>
                <w:color w:val="000000"/>
                <w:sz w:val="20"/>
                <w:szCs w:val="20"/>
              </w:rPr>
              <w:t> </w:t>
            </w:r>
          </w:p>
        </w:tc>
        <w:tc>
          <w:tcPr>
            <w:tcW w:w="1125" w:type="dxa"/>
            <w:tcBorders>
              <w:top w:val="nil"/>
              <w:left w:val="nil"/>
              <w:bottom w:val="nil"/>
              <w:right w:val="nil"/>
            </w:tcBorders>
            <w:noWrap/>
            <w:vAlign w:val="bottom"/>
            <w:hideMark/>
          </w:tcPr>
          <w:p w14:paraId="3DBDCBCD" w14:textId="77777777" w:rsidR="00647300" w:rsidRPr="00883399" w:rsidRDefault="00647300" w:rsidP="00647300">
            <w:pPr>
              <w:rPr>
                <w:rFonts w:ascii="Calibri" w:hAnsi="Calibri"/>
                <w:color w:val="000000"/>
                <w:sz w:val="22"/>
                <w:szCs w:val="22"/>
              </w:rPr>
            </w:pPr>
          </w:p>
        </w:tc>
        <w:tc>
          <w:tcPr>
            <w:tcW w:w="1143" w:type="dxa"/>
            <w:tcBorders>
              <w:top w:val="nil"/>
              <w:left w:val="nil"/>
              <w:bottom w:val="nil"/>
              <w:right w:val="nil"/>
            </w:tcBorders>
            <w:noWrap/>
            <w:vAlign w:val="bottom"/>
            <w:hideMark/>
          </w:tcPr>
          <w:p w14:paraId="35405CED" w14:textId="77777777" w:rsidR="00647300" w:rsidRPr="00883399" w:rsidRDefault="00647300" w:rsidP="00647300">
            <w:pPr>
              <w:rPr>
                <w:rFonts w:ascii="Calibri" w:hAnsi="Calibri"/>
                <w:color w:val="000000"/>
                <w:sz w:val="22"/>
                <w:szCs w:val="22"/>
              </w:rPr>
            </w:pPr>
          </w:p>
        </w:tc>
        <w:tc>
          <w:tcPr>
            <w:tcW w:w="808" w:type="dxa"/>
            <w:tcBorders>
              <w:top w:val="nil"/>
              <w:left w:val="nil"/>
              <w:bottom w:val="nil"/>
              <w:right w:val="nil"/>
            </w:tcBorders>
            <w:noWrap/>
            <w:vAlign w:val="bottom"/>
            <w:hideMark/>
          </w:tcPr>
          <w:p w14:paraId="0139C7B1" w14:textId="77777777" w:rsidR="00647300" w:rsidRPr="00883399" w:rsidRDefault="00647300" w:rsidP="00647300">
            <w:pPr>
              <w:rPr>
                <w:rFonts w:ascii="Calibri" w:hAnsi="Calibri"/>
                <w:color w:val="000000"/>
                <w:sz w:val="22"/>
                <w:szCs w:val="22"/>
              </w:rPr>
            </w:pPr>
          </w:p>
        </w:tc>
        <w:tc>
          <w:tcPr>
            <w:tcW w:w="716" w:type="dxa"/>
            <w:gridSpan w:val="2"/>
            <w:tcBorders>
              <w:top w:val="nil"/>
              <w:left w:val="nil"/>
              <w:bottom w:val="nil"/>
              <w:right w:val="nil"/>
            </w:tcBorders>
            <w:noWrap/>
            <w:vAlign w:val="bottom"/>
            <w:hideMark/>
          </w:tcPr>
          <w:p w14:paraId="20AE91BE" w14:textId="77777777" w:rsidR="00647300" w:rsidRPr="00883399" w:rsidRDefault="00647300" w:rsidP="00647300">
            <w:pPr>
              <w:rPr>
                <w:rFonts w:ascii="Calibri" w:hAnsi="Calibri"/>
                <w:color w:val="000000"/>
                <w:sz w:val="22"/>
                <w:szCs w:val="22"/>
              </w:rPr>
            </w:pPr>
          </w:p>
        </w:tc>
        <w:tc>
          <w:tcPr>
            <w:tcW w:w="718" w:type="dxa"/>
            <w:gridSpan w:val="3"/>
            <w:tcBorders>
              <w:top w:val="nil"/>
              <w:left w:val="nil"/>
              <w:bottom w:val="nil"/>
              <w:right w:val="nil"/>
            </w:tcBorders>
            <w:noWrap/>
            <w:vAlign w:val="bottom"/>
            <w:hideMark/>
          </w:tcPr>
          <w:p w14:paraId="6419E197" w14:textId="77777777" w:rsidR="00647300" w:rsidRPr="00883399" w:rsidRDefault="00647300" w:rsidP="00647300">
            <w:pPr>
              <w:rPr>
                <w:rFonts w:ascii="Calibri" w:hAnsi="Calibri"/>
                <w:color w:val="000000"/>
                <w:sz w:val="22"/>
                <w:szCs w:val="22"/>
              </w:rPr>
            </w:pPr>
          </w:p>
        </w:tc>
        <w:tc>
          <w:tcPr>
            <w:tcW w:w="1129" w:type="dxa"/>
            <w:gridSpan w:val="2"/>
            <w:tcBorders>
              <w:top w:val="nil"/>
              <w:left w:val="nil"/>
              <w:bottom w:val="nil"/>
              <w:right w:val="nil"/>
            </w:tcBorders>
            <w:noWrap/>
            <w:vAlign w:val="bottom"/>
            <w:hideMark/>
          </w:tcPr>
          <w:p w14:paraId="4FF052B5" w14:textId="77777777" w:rsidR="00647300" w:rsidRPr="00883399" w:rsidRDefault="00647300" w:rsidP="00647300">
            <w:pPr>
              <w:rPr>
                <w:rFonts w:ascii="Calibri" w:hAnsi="Calibri"/>
                <w:color w:val="000000"/>
                <w:sz w:val="22"/>
                <w:szCs w:val="22"/>
              </w:rPr>
            </w:pPr>
          </w:p>
        </w:tc>
        <w:tc>
          <w:tcPr>
            <w:tcW w:w="740" w:type="dxa"/>
            <w:tcBorders>
              <w:top w:val="nil"/>
              <w:left w:val="nil"/>
              <w:bottom w:val="nil"/>
              <w:right w:val="nil"/>
            </w:tcBorders>
            <w:noWrap/>
            <w:vAlign w:val="bottom"/>
            <w:hideMark/>
          </w:tcPr>
          <w:p w14:paraId="51A1BAAD" w14:textId="77777777" w:rsidR="00647300" w:rsidRPr="00883399" w:rsidRDefault="00647300" w:rsidP="00647300">
            <w:pPr>
              <w:rPr>
                <w:rFonts w:ascii="Calibri" w:hAnsi="Calibri"/>
                <w:color w:val="000000"/>
                <w:sz w:val="22"/>
                <w:szCs w:val="22"/>
              </w:rPr>
            </w:pPr>
          </w:p>
        </w:tc>
        <w:tc>
          <w:tcPr>
            <w:tcW w:w="1067" w:type="dxa"/>
            <w:tcBorders>
              <w:top w:val="nil"/>
              <w:left w:val="nil"/>
              <w:bottom w:val="nil"/>
              <w:right w:val="single" w:sz="4" w:space="0" w:color="auto"/>
            </w:tcBorders>
            <w:noWrap/>
            <w:vAlign w:val="bottom"/>
            <w:hideMark/>
          </w:tcPr>
          <w:p w14:paraId="44835F48" w14:textId="77777777" w:rsidR="00647300" w:rsidRPr="00883399" w:rsidRDefault="00647300" w:rsidP="00647300">
            <w:pPr>
              <w:rPr>
                <w:rFonts w:ascii="Calibri" w:hAnsi="Calibri"/>
                <w:color w:val="000000"/>
                <w:sz w:val="22"/>
                <w:szCs w:val="22"/>
              </w:rPr>
            </w:pPr>
            <w:r w:rsidRPr="00883399">
              <w:rPr>
                <w:rFonts w:ascii="Calibri" w:hAnsi="Calibri"/>
                <w:color w:val="000000"/>
                <w:sz w:val="22"/>
                <w:szCs w:val="22"/>
              </w:rPr>
              <w:t> </w:t>
            </w:r>
          </w:p>
        </w:tc>
      </w:tr>
      <w:tr w:rsidR="00647300" w:rsidRPr="00883399" w14:paraId="1D8B6EBB" w14:textId="77777777" w:rsidTr="009A1D64">
        <w:trPr>
          <w:trHeight w:val="301"/>
        </w:trPr>
        <w:tc>
          <w:tcPr>
            <w:tcW w:w="8513" w:type="dxa"/>
            <w:gridSpan w:val="12"/>
            <w:tcBorders>
              <w:top w:val="single" w:sz="4" w:space="0" w:color="auto"/>
              <w:left w:val="single" w:sz="4" w:space="0" w:color="auto"/>
              <w:bottom w:val="single" w:sz="4" w:space="0" w:color="auto"/>
              <w:right w:val="single" w:sz="4" w:space="0" w:color="auto"/>
            </w:tcBorders>
            <w:vAlign w:val="bottom"/>
            <w:hideMark/>
          </w:tcPr>
          <w:p w14:paraId="1CF38571" w14:textId="77777777" w:rsidR="00647300" w:rsidRPr="00883399" w:rsidRDefault="00647300" w:rsidP="00647300">
            <w:pPr>
              <w:rPr>
                <w:rFonts w:ascii="Calibri" w:hAnsi="Calibri"/>
                <w:b/>
                <w:bCs/>
                <w:color w:val="000000"/>
                <w:sz w:val="20"/>
                <w:szCs w:val="20"/>
              </w:rPr>
            </w:pPr>
            <w:r w:rsidRPr="00883399">
              <w:rPr>
                <w:rFonts w:ascii="Calibri" w:hAnsi="Calibri"/>
                <w:b/>
                <w:bCs/>
                <w:color w:val="000000"/>
                <w:sz w:val="20"/>
                <w:szCs w:val="20"/>
              </w:rPr>
              <w:t>Facility 1 Subtotal</w:t>
            </w:r>
          </w:p>
        </w:tc>
        <w:tc>
          <w:tcPr>
            <w:tcW w:w="1067" w:type="dxa"/>
            <w:tcBorders>
              <w:top w:val="single" w:sz="4" w:space="0" w:color="auto"/>
              <w:left w:val="nil"/>
              <w:bottom w:val="single" w:sz="4" w:space="0" w:color="auto"/>
              <w:right w:val="single" w:sz="4" w:space="0" w:color="auto"/>
            </w:tcBorders>
            <w:noWrap/>
            <w:vAlign w:val="bottom"/>
            <w:hideMark/>
          </w:tcPr>
          <w:p w14:paraId="455308F5" w14:textId="77777777" w:rsidR="00647300" w:rsidRPr="00883399" w:rsidRDefault="00647300" w:rsidP="00647300">
            <w:pPr>
              <w:jc w:val="center"/>
              <w:rPr>
                <w:rFonts w:ascii="Calibri" w:hAnsi="Calibri"/>
                <w:b/>
                <w:bCs/>
                <w:color w:val="000000"/>
                <w:sz w:val="22"/>
                <w:szCs w:val="22"/>
              </w:rPr>
            </w:pPr>
            <w:r w:rsidRPr="00883399">
              <w:rPr>
                <w:rFonts w:ascii="Calibri" w:hAnsi="Calibri"/>
                <w:b/>
                <w:bCs/>
                <w:color w:val="000000"/>
                <w:sz w:val="22"/>
                <w:szCs w:val="22"/>
              </w:rPr>
              <w:t>13,794</w:t>
            </w:r>
          </w:p>
        </w:tc>
      </w:tr>
      <w:tr w:rsidR="00647300" w:rsidRPr="00883399" w14:paraId="5D190C72" w14:textId="77777777" w:rsidTr="009A1D64">
        <w:trPr>
          <w:trHeight w:val="301"/>
        </w:trPr>
        <w:tc>
          <w:tcPr>
            <w:tcW w:w="8513" w:type="dxa"/>
            <w:gridSpan w:val="12"/>
            <w:tcBorders>
              <w:top w:val="nil"/>
              <w:left w:val="single" w:sz="4" w:space="0" w:color="auto"/>
              <w:bottom w:val="single" w:sz="4" w:space="0" w:color="auto"/>
              <w:right w:val="single" w:sz="4" w:space="0" w:color="auto"/>
            </w:tcBorders>
            <w:vAlign w:val="bottom"/>
            <w:hideMark/>
          </w:tcPr>
          <w:p w14:paraId="0923B99A" w14:textId="77777777" w:rsidR="00647300" w:rsidRPr="00883399" w:rsidRDefault="00647300" w:rsidP="00647300">
            <w:pPr>
              <w:rPr>
                <w:rFonts w:ascii="Calibri" w:hAnsi="Calibri"/>
                <w:color w:val="000000"/>
                <w:sz w:val="20"/>
                <w:szCs w:val="20"/>
              </w:rPr>
            </w:pPr>
            <w:r w:rsidRPr="00883399">
              <w:rPr>
                <w:rFonts w:ascii="Calibri" w:hAnsi="Calibri"/>
                <w:color w:val="000000"/>
                <w:sz w:val="20"/>
                <w:szCs w:val="20"/>
              </w:rPr>
              <w:t>Uncertainty</w:t>
            </w:r>
          </w:p>
        </w:tc>
        <w:tc>
          <w:tcPr>
            <w:tcW w:w="1067" w:type="dxa"/>
            <w:tcBorders>
              <w:top w:val="nil"/>
              <w:left w:val="nil"/>
              <w:bottom w:val="single" w:sz="4" w:space="0" w:color="auto"/>
              <w:right w:val="single" w:sz="4" w:space="0" w:color="auto"/>
            </w:tcBorders>
            <w:noWrap/>
            <w:vAlign w:val="bottom"/>
            <w:hideMark/>
          </w:tcPr>
          <w:p w14:paraId="3A940F3B"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3.2%</w:t>
            </w:r>
          </w:p>
        </w:tc>
      </w:tr>
      <w:tr w:rsidR="00647300" w:rsidRPr="00883399" w14:paraId="60E8007C" w14:textId="77777777" w:rsidTr="009A1D64">
        <w:trPr>
          <w:trHeight w:val="301"/>
        </w:trPr>
        <w:tc>
          <w:tcPr>
            <w:tcW w:w="8513" w:type="dxa"/>
            <w:gridSpan w:val="12"/>
            <w:tcBorders>
              <w:top w:val="nil"/>
              <w:left w:val="single" w:sz="4" w:space="0" w:color="auto"/>
              <w:bottom w:val="single" w:sz="4" w:space="0" w:color="auto"/>
              <w:right w:val="single" w:sz="4" w:space="0" w:color="auto"/>
            </w:tcBorders>
            <w:vAlign w:val="bottom"/>
            <w:hideMark/>
          </w:tcPr>
          <w:p w14:paraId="24FF4C3B" w14:textId="77777777" w:rsidR="00647300" w:rsidRPr="00883399" w:rsidRDefault="00647300" w:rsidP="00647300">
            <w:pPr>
              <w:rPr>
                <w:rFonts w:ascii="Calibri" w:hAnsi="Calibri"/>
                <w:color w:val="000000"/>
                <w:sz w:val="20"/>
                <w:szCs w:val="20"/>
              </w:rPr>
            </w:pPr>
            <w:r w:rsidRPr="00883399">
              <w:rPr>
                <w:rFonts w:ascii="Calibri" w:hAnsi="Calibri"/>
                <w:color w:val="000000"/>
                <w:sz w:val="20"/>
                <w:szCs w:val="20"/>
              </w:rPr>
              <w:t>Source of Uncertainty</w:t>
            </w:r>
          </w:p>
        </w:tc>
        <w:tc>
          <w:tcPr>
            <w:tcW w:w="1067" w:type="dxa"/>
            <w:tcBorders>
              <w:top w:val="nil"/>
              <w:left w:val="nil"/>
              <w:bottom w:val="single" w:sz="4" w:space="0" w:color="auto"/>
              <w:right w:val="single" w:sz="4" w:space="0" w:color="auto"/>
            </w:tcBorders>
            <w:noWrap/>
            <w:vAlign w:val="bottom"/>
            <w:hideMark/>
          </w:tcPr>
          <w:p w14:paraId="711C2C9A"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h</w:t>
            </w:r>
          </w:p>
        </w:tc>
      </w:tr>
      <w:tr w:rsidR="00647300" w:rsidRPr="00883399" w14:paraId="3D27073D" w14:textId="77777777" w:rsidTr="009A1D64">
        <w:trPr>
          <w:trHeight w:val="301"/>
        </w:trPr>
        <w:tc>
          <w:tcPr>
            <w:tcW w:w="2134" w:type="dxa"/>
            <w:tcBorders>
              <w:top w:val="nil"/>
              <w:left w:val="nil"/>
              <w:bottom w:val="nil"/>
              <w:right w:val="nil"/>
            </w:tcBorders>
            <w:vAlign w:val="bottom"/>
            <w:hideMark/>
          </w:tcPr>
          <w:p w14:paraId="3F678EA8" w14:textId="77777777" w:rsidR="00647300" w:rsidRPr="00883399" w:rsidRDefault="00647300" w:rsidP="00647300">
            <w:pPr>
              <w:rPr>
                <w:rFonts w:ascii="Calibri" w:hAnsi="Calibri"/>
                <w:b/>
                <w:bCs/>
                <w:color w:val="000000"/>
                <w:sz w:val="20"/>
                <w:szCs w:val="20"/>
              </w:rPr>
            </w:pPr>
          </w:p>
        </w:tc>
        <w:tc>
          <w:tcPr>
            <w:tcW w:w="1125" w:type="dxa"/>
            <w:tcBorders>
              <w:top w:val="nil"/>
              <w:left w:val="nil"/>
              <w:bottom w:val="nil"/>
              <w:right w:val="nil"/>
            </w:tcBorders>
            <w:vAlign w:val="bottom"/>
            <w:hideMark/>
          </w:tcPr>
          <w:p w14:paraId="02D8954E" w14:textId="77777777" w:rsidR="00647300" w:rsidRPr="00883399" w:rsidRDefault="00647300" w:rsidP="00647300">
            <w:pPr>
              <w:rPr>
                <w:rFonts w:ascii="Calibri" w:hAnsi="Calibri"/>
                <w:b/>
                <w:bCs/>
                <w:color w:val="000000"/>
                <w:sz w:val="20"/>
                <w:szCs w:val="20"/>
              </w:rPr>
            </w:pPr>
          </w:p>
        </w:tc>
        <w:tc>
          <w:tcPr>
            <w:tcW w:w="1143" w:type="dxa"/>
            <w:tcBorders>
              <w:top w:val="nil"/>
              <w:left w:val="nil"/>
              <w:bottom w:val="nil"/>
              <w:right w:val="nil"/>
            </w:tcBorders>
            <w:vAlign w:val="bottom"/>
            <w:hideMark/>
          </w:tcPr>
          <w:p w14:paraId="49E495BF" w14:textId="77777777" w:rsidR="00647300" w:rsidRPr="00883399" w:rsidRDefault="00647300" w:rsidP="00647300">
            <w:pPr>
              <w:rPr>
                <w:rFonts w:ascii="Calibri" w:hAnsi="Calibri"/>
                <w:b/>
                <w:bCs/>
                <w:color w:val="000000"/>
                <w:sz w:val="20"/>
                <w:szCs w:val="20"/>
              </w:rPr>
            </w:pPr>
          </w:p>
        </w:tc>
        <w:tc>
          <w:tcPr>
            <w:tcW w:w="1372" w:type="dxa"/>
            <w:gridSpan w:val="2"/>
            <w:tcBorders>
              <w:top w:val="nil"/>
              <w:left w:val="nil"/>
              <w:bottom w:val="nil"/>
              <w:right w:val="nil"/>
            </w:tcBorders>
            <w:vAlign w:val="bottom"/>
            <w:hideMark/>
          </w:tcPr>
          <w:p w14:paraId="61519402" w14:textId="77777777" w:rsidR="00647300" w:rsidRPr="00883399" w:rsidRDefault="00647300" w:rsidP="00647300">
            <w:pPr>
              <w:rPr>
                <w:rFonts w:ascii="Calibri" w:hAnsi="Calibri"/>
                <w:b/>
                <w:bCs/>
                <w:color w:val="000000"/>
                <w:sz w:val="20"/>
                <w:szCs w:val="20"/>
              </w:rPr>
            </w:pPr>
          </w:p>
        </w:tc>
        <w:tc>
          <w:tcPr>
            <w:tcW w:w="546" w:type="dxa"/>
            <w:gridSpan w:val="3"/>
            <w:tcBorders>
              <w:top w:val="nil"/>
              <w:left w:val="nil"/>
              <w:bottom w:val="nil"/>
              <w:right w:val="nil"/>
            </w:tcBorders>
            <w:vAlign w:val="bottom"/>
            <w:hideMark/>
          </w:tcPr>
          <w:p w14:paraId="11A7F67B" w14:textId="77777777" w:rsidR="00647300" w:rsidRPr="00883399" w:rsidRDefault="00647300" w:rsidP="00647300">
            <w:pPr>
              <w:rPr>
                <w:rFonts w:ascii="Calibri" w:hAnsi="Calibri"/>
                <w:b/>
                <w:bCs/>
                <w:color w:val="000000"/>
                <w:sz w:val="20"/>
                <w:szCs w:val="20"/>
              </w:rPr>
            </w:pPr>
          </w:p>
        </w:tc>
        <w:tc>
          <w:tcPr>
            <w:tcW w:w="727" w:type="dxa"/>
            <w:gridSpan w:val="2"/>
            <w:tcBorders>
              <w:top w:val="nil"/>
              <w:left w:val="nil"/>
              <w:bottom w:val="nil"/>
              <w:right w:val="nil"/>
            </w:tcBorders>
            <w:vAlign w:val="bottom"/>
            <w:hideMark/>
          </w:tcPr>
          <w:p w14:paraId="73A799C8" w14:textId="77777777" w:rsidR="00647300" w:rsidRPr="00883399" w:rsidRDefault="00647300" w:rsidP="00647300">
            <w:pPr>
              <w:rPr>
                <w:rFonts w:ascii="Calibri" w:hAnsi="Calibri"/>
                <w:b/>
                <w:bCs/>
                <w:color w:val="000000"/>
                <w:sz w:val="20"/>
                <w:szCs w:val="20"/>
              </w:rPr>
            </w:pPr>
          </w:p>
        </w:tc>
        <w:tc>
          <w:tcPr>
            <w:tcW w:w="726" w:type="dxa"/>
            <w:tcBorders>
              <w:top w:val="nil"/>
              <w:left w:val="nil"/>
              <w:bottom w:val="nil"/>
              <w:right w:val="nil"/>
            </w:tcBorders>
            <w:vAlign w:val="bottom"/>
            <w:hideMark/>
          </w:tcPr>
          <w:p w14:paraId="7FC38A55" w14:textId="77777777" w:rsidR="00647300" w:rsidRPr="00883399" w:rsidRDefault="00647300" w:rsidP="00647300">
            <w:pPr>
              <w:rPr>
                <w:rFonts w:ascii="Calibri" w:hAnsi="Calibri"/>
                <w:b/>
                <w:bCs/>
                <w:color w:val="000000"/>
                <w:sz w:val="20"/>
                <w:szCs w:val="20"/>
              </w:rPr>
            </w:pPr>
          </w:p>
        </w:tc>
        <w:tc>
          <w:tcPr>
            <w:tcW w:w="740" w:type="dxa"/>
            <w:tcBorders>
              <w:top w:val="nil"/>
              <w:left w:val="nil"/>
              <w:bottom w:val="nil"/>
              <w:right w:val="nil"/>
            </w:tcBorders>
            <w:vAlign w:val="bottom"/>
            <w:hideMark/>
          </w:tcPr>
          <w:p w14:paraId="0B9EE8AD" w14:textId="77777777" w:rsidR="00647300" w:rsidRPr="00883399" w:rsidRDefault="00647300" w:rsidP="00647300">
            <w:pPr>
              <w:rPr>
                <w:rFonts w:ascii="Calibri" w:hAnsi="Calibri"/>
                <w:b/>
                <w:bCs/>
                <w:color w:val="000000"/>
                <w:sz w:val="20"/>
                <w:szCs w:val="20"/>
              </w:rPr>
            </w:pPr>
          </w:p>
        </w:tc>
        <w:tc>
          <w:tcPr>
            <w:tcW w:w="1067" w:type="dxa"/>
            <w:tcBorders>
              <w:top w:val="nil"/>
              <w:left w:val="nil"/>
              <w:bottom w:val="nil"/>
              <w:right w:val="nil"/>
            </w:tcBorders>
            <w:noWrap/>
            <w:vAlign w:val="bottom"/>
            <w:hideMark/>
          </w:tcPr>
          <w:p w14:paraId="6A50E9D2" w14:textId="77777777" w:rsidR="00647300" w:rsidRPr="00883399" w:rsidRDefault="00647300" w:rsidP="00647300">
            <w:pPr>
              <w:rPr>
                <w:rFonts w:ascii="Calibri" w:hAnsi="Calibri"/>
                <w:b/>
                <w:bCs/>
                <w:color w:val="000000"/>
                <w:sz w:val="20"/>
                <w:szCs w:val="20"/>
              </w:rPr>
            </w:pPr>
          </w:p>
        </w:tc>
      </w:tr>
      <w:tr w:rsidR="00647300" w:rsidRPr="00883399" w14:paraId="41A1E147" w14:textId="77777777" w:rsidTr="009A1D64">
        <w:trPr>
          <w:trHeight w:val="301"/>
        </w:trPr>
        <w:tc>
          <w:tcPr>
            <w:tcW w:w="9580" w:type="dxa"/>
            <w:gridSpan w:val="13"/>
            <w:tcBorders>
              <w:top w:val="single" w:sz="4" w:space="0" w:color="auto"/>
              <w:left w:val="single" w:sz="4" w:space="0" w:color="auto"/>
              <w:bottom w:val="single" w:sz="4" w:space="0" w:color="auto"/>
              <w:right w:val="single" w:sz="4" w:space="0" w:color="auto"/>
            </w:tcBorders>
            <w:noWrap/>
            <w:vAlign w:val="bottom"/>
            <w:hideMark/>
          </w:tcPr>
          <w:p w14:paraId="1D4D82DC" w14:textId="77777777" w:rsidR="00647300" w:rsidRPr="00883399" w:rsidRDefault="00647300" w:rsidP="00647300">
            <w:pPr>
              <w:jc w:val="center"/>
              <w:rPr>
                <w:rFonts w:ascii="Calibri" w:hAnsi="Calibri"/>
                <w:b/>
                <w:bCs/>
                <w:color w:val="000000"/>
                <w:sz w:val="22"/>
                <w:szCs w:val="22"/>
              </w:rPr>
            </w:pPr>
            <w:r w:rsidRPr="00883399">
              <w:rPr>
                <w:rFonts w:ascii="Calibri" w:hAnsi="Calibri"/>
                <w:b/>
                <w:bCs/>
                <w:color w:val="000000"/>
                <w:sz w:val="22"/>
                <w:szCs w:val="22"/>
              </w:rPr>
              <w:t>Facility 2</w:t>
            </w:r>
          </w:p>
        </w:tc>
      </w:tr>
      <w:tr w:rsidR="00647300" w:rsidRPr="00883399" w14:paraId="3D716E2E" w14:textId="77777777" w:rsidTr="009A1D64">
        <w:trPr>
          <w:trHeight w:val="617"/>
        </w:trPr>
        <w:tc>
          <w:tcPr>
            <w:tcW w:w="2134" w:type="dxa"/>
            <w:vMerge w:val="restart"/>
            <w:tcBorders>
              <w:top w:val="nil"/>
              <w:left w:val="single" w:sz="4" w:space="0" w:color="auto"/>
              <w:bottom w:val="single" w:sz="4" w:space="0" w:color="auto"/>
              <w:right w:val="single" w:sz="4" w:space="0" w:color="auto"/>
            </w:tcBorders>
            <w:vAlign w:val="center"/>
            <w:hideMark/>
          </w:tcPr>
          <w:p w14:paraId="7A4C32D6" w14:textId="77777777" w:rsidR="00647300" w:rsidRPr="00883399" w:rsidRDefault="00647300" w:rsidP="00647300">
            <w:pPr>
              <w:jc w:val="center"/>
              <w:rPr>
                <w:rFonts w:ascii="Calibri" w:hAnsi="Calibri"/>
                <w:b/>
                <w:bCs/>
                <w:color w:val="000000"/>
                <w:sz w:val="20"/>
                <w:szCs w:val="20"/>
              </w:rPr>
            </w:pPr>
            <w:r w:rsidRPr="00883399">
              <w:rPr>
                <w:rFonts w:ascii="Calibri" w:hAnsi="Calibri"/>
                <w:b/>
                <w:bCs/>
                <w:color w:val="000000"/>
                <w:sz w:val="20"/>
                <w:szCs w:val="20"/>
              </w:rPr>
              <w:t>Combustion of Natural Gas</w:t>
            </w:r>
          </w:p>
        </w:tc>
        <w:tc>
          <w:tcPr>
            <w:tcW w:w="1125" w:type="dxa"/>
            <w:tcBorders>
              <w:top w:val="nil"/>
              <w:left w:val="nil"/>
              <w:bottom w:val="single" w:sz="4" w:space="0" w:color="auto"/>
              <w:right w:val="single" w:sz="4" w:space="0" w:color="auto"/>
            </w:tcBorders>
            <w:noWrap/>
            <w:vAlign w:val="center"/>
            <w:hideMark/>
          </w:tcPr>
          <w:p w14:paraId="584737F9"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Q - m3</w:t>
            </w:r>
          </w:p>
        </w:tc>
        <w:tc>
          <w:tcPr>
            <w:tcW w:w="1143" w:type="dxa"/>
            <w:tcBorders>
              <w:top w:val="nil"/>
              <w:left w:val="nil"/>
              <w:bottom w:val="single" w:sz="4" w:space="0" w:color="auto"/>
              <w:right w:val="single" w:sz="4" w:space="0" w:color="auto"/>
            </w:tcBorders>
            <w:vAlign w:val="center"/>
            <w:hideMark/>
          </w:tcPr>
          <w:p w14:paraId="3F3B2B97" w14:textId="77777777" w:rsidR="00647300" w:rsidRPr="00883399" w:rsidRDefault="00647300" w:rsidP="00647300">
            <w:pPr>
              <w:jc w:val="center"/>
              <w:rPr>
                <w:rFonts w:ascii="Calibri" w:hAnsi="Calibri"/>
                <w:color w:val="000000"/>
                <w:sz w:val="18"/>
                <w:szCs w:val="18"/>
              </w:rPr>
            </w:pPr>
            <w:r w:rsidRPr="00883399">
              <w:rPr>
                <w:rFonts w:ascii="Calibri" w:hAnsi="Calibri"/>
                <w:color w:val="000000"/>
                <w:sz w:val="18"/>
                <w:szCs w:val="18"/>
              </w:rPr>
              <w:t>Gas Composition</w:t>
            </w:r>
          </w:p>
        </w:tc>
        <w:tc>
          <w:tcPr>
            <w:tcW w:w="808" w:type="dxa"/>
            <w:tcBorders>
              <w:top w:val="nil"/>
              <w:left w:val="nil"/>
              <w:bottom w:val="single" w:sz="4" w:space="0" w:color="auto"/>
              <w:right w:val="single" w:sz="4" w:space="0" w:color="auto"/>
            </w:tcBorders>
            <w:vAlign w:val="center"/>
            <w:hideMark/>
          </w:tcPr>
          <w:p w14:paraId="5C041B6B"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Fuel density kg/m3</w:t>
            </w:r>
          </w:p>
        </w:tc>
        <w:tc>
          <w:tcPr>
            <w:tcW w:w="873" w:type="dxa"/>
            <w:gridSpan w:val="3"/>
            <w:tcBorders>
              <w:top w:val="nil"/>
              <w:left w:val="nil"/>
              <w:bottom w:val="single" w:sz="4" w:space="0" w:color="auto"/>
              <w:right w:val="single" w:sz="4" w:space="0" w:color="auto"/>
            </w:tcBorders>
            <w:vAlign w:val="center"/>
            <w:hideMark/>
          </w:tcPr>
          <w:p w14:paraId="249CB05D"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EC</w:t>
            </w:r>
          </w:p>
        </w:tc>
        <w:tc>
          <w:tcPr>
            <w:tcW w:w="561" w:type="dxa"/>
            <w:gridSpan w:val="2"/>
            <w:tcBorders>
              <w:top w:val="nil"/>
              <w:left w:val="nil"/>
              <w:bottom w:val="single" w:sz="4" w:space="0" w:color="auto"/>
              <w:right w:val="single" w:sz="4" w:space="0" w:color="auto"/>
            </w:tcBorders>
            <w:noWrap/>
            <w:vAlign w:val="center"/>
            <w:hideMark/>
          </w:tcPr>
          <w:p w14:paraId="2A26A71E"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OF</w:t>
            </w:r>
          </w:p>
        </w:tc>
        <w:tc>
          <w:tcPr>
            <w:tcW w:w="1129" w:type="dxa"/>
            <w:gridSpan w:val="2"/>
            <w:tcBorders>
              <w:top w:val="nil"/>
              <w:left w:val="nil"/>
              <w:bottom w:val="single" w:sz="4" w:space="0" w:color="auto"/>
              <w:right w:val="single" w:sz="4" w:space="0" w:color="auto"/>
            </w:tcBorders>
            <w:noWrap/>
            <w:vAlign w:val="center"/>
            <w:hideMark/>
          </w:tcPr>
          <w:p w14:paraId="27E600BE"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Constant</w:t>
            </w:r>
          </w:p>
        </w:tc>
        <w:tc>
          <w:tcPr>
            <w:tcW w:w="740" w:type="dxa"/>
            <w:tcBorders>
              <w:top w:val="nil"/>
              <w:left w:val="nil"/>
              <w:bottom w:val="single" w:sz="4" w:space="0" w:color="auto"/>
              <w:right w:val="single" w:sz="4" w:space="0" w:color="auto"/>
            </w:tcBorders>
            <w:noWrap/>
            <w:vAlign w:val="center"/>
            <w:hideMark/>
          </w:tcPr>
          <w:p w14:paraId="3DB74081"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 xml:space="preserve">EF </w:t>
            </w:r>
          </w:p>
        </w:tc>
        <w:tc>
          <w:tcPr>
            <w:tcW w:w="1067" w:type="dxa"/>
            <w:tcBorders>
              <w:top w:val="nil"/>
              <w:left w:val="nil"/>
              <w:bottom w:val="single" w:sz="4" w:space="0" w:color="auto"/>
              <w:right w:val="single" w:sz="4" w:space="0" w:color="auto"/>
            </w:tcBorders>
            <w:noWrap/>
            <w:vAlign w:val="center"/>
            <w:hideMark/>
          </w:tcPr>
          <w:p w14:paraId="3A3279A4"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Emission</w:t>
            </w:r>
          </w:p>
        </w:tc>
      </w:tr>
      <w:tr w:rsidR="00647300" w:rsidRPr="00883399" w14:paraId="25F6E00C" w14:textId="77777777" w:rsidTr="009A1D64">
        <w:trPr>
          <w:trHeight w:val="301"/>
        </w:trPr>
        <w:tc>
          <w:tcPr>
            <w:tcW w:w="2134" w:type="dxa"/>
            <w:vMerge/>
            <w:tcBorders>
              <w:top w:val="nil"/>
              <w:left w:val="single" w:sz="4" w:space="0" w:color="auto"/>
              <w:bottom w:val="single" w:sz="4" w:space="0" w:color="auto"/>
              <w:right w:val="single" w:sz="4" w:space="0" w:color="auto"/>
            </w:tcBorders>
            <w:vAlign w:val="center"/>
            <w:hideMark/>
          </w:tcPr>
          <w:p w14:paraId="439CC03D" w14:textId="77777777" w:rsidR="00647300" w:rsidRPr="00883399" w:rsidRDefault="00647300" w:rsidP="00647300">
            <w:pPr>
              <w:rPr>
                <w:rFonts w:ascii="Calibri" w:hAnsi="Calibri"/>
                <w:b/>
                <w:bCs/>
                <w:color w:val="000000"/>
                <w:sz w:val="20"/>
                <w:szCs w:val="20"/>
              </w:rPr>
            </w:pPr>
          </w:p>
        </w:tc>
        <w:tc>
          <w:tcPr>
            <w:tcW w:w="1125" w:type="dxa"/>
            <w:tcBorders>
              <w:top w:val="nil"/>
              <w:left w:val="nil"/>
              <w:bottom w:val="single" w:sz="4" w:space="0" w:color="auto"/>
              <w:right w:val="single" w:sz="4" w:space="0" w:color="auto"/>
            </w:tcBorders>
            <w:noWrap/>
            <w:vAlign w:val="bottom"/>
            <w:hideMark/>
          </w:tcPr>
          <w:p w14:paraId="6F87C2B8" w14:textId="77777777" w:rsidR="00647300" w:rsidRPr="00883399" w:rsidRDefault="00647300" w:rsidP="00647300">
            <w:pPr>
              <w:jc w:val="center"/>
              <w:rPr>
                <w:rFonts w:ascii="Calibri" w:hAnsi="Calibri"/>
                <w:i/>
                <w:iCs/>
                <w:color w:val="000000"/>
                <w:sz w:val="20"/>
                <w:szCs w:val="20"/>
              </w:rPr>
            </w:pPr>
            <w:r w:rsidRPr="00883399">
              <w:rPr>
                <w:rFonts w:ascii="Calibri" w:hAnsi="Calibri"/>
                <w:i/>
                <w:iCs/>
                <w:color w:val="000000"/>
                <w:sz w:val="20"/>
                <w:szCs w:val="20"/>
              </w:rPr>
              <w:t>9,000,000</w:t>
            </w:r>
          </w:p>
        </w:tc>
        <w:tc>
          <w:tcPr>
            <w:tcW w:w="1143" w:type="dxa"/>
            <w:tcBorders>
              <w:top w:val="nil"/>
              <w:left w:val="nil"/>
              <w:bottom w:val="single" w:sz="4" w:space="0" w:color="auto"/>
              <w:right w:val="single" w:sz="4" w:space="0" w:color="auto"/>
            </w:tcBorders>
            <w:noWrap/>
            <w:vAlign w:val="bottom"/>
            <w:hideMark/>
          </w:tcPr>
          <w:p w14:paraId="4645EF86"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NA</w:t>
            </w:r>
          </w:p>
        </w:tc>
        <w:tc>
          <w:tcPr>
            <w:tcW w:w="808" w:type="dxa"/>
            <w:tcBorders>
              <w:top w:val="nil"/>
              <w:left w:val="nil"/>
              <w:bottom w:val="single" w:sz="4" w:space="0" w:color="auto"/>
              <w:right w:val="single" w:sz="4" w:space="0" w:color="auto"/>
            </w:tcBorders>
            <w:noWrap/>
            <w:vAlign w:val="bottom"/>
            <w:hideMark/>
          </w:tcPr>
          <w:p w14:paraId="0402CA11" w14:textId="77777777" w:rsidR="00647300" w:rsidRPr="00883399" w:rsidRDefault="00647300" w:rsidP="00647300">
            <w:pPr>
              <w:jc w:val="center"/>
              <w:rPr>
                <w:rFonts w:ascii="Calibri" w:hAnsi="Calibri"/>
                <w:i/>
                <w:iCs/>
                <w:color w:val="000000"/>
                <w:sz w:val="22"/>
                <w:szCs w:val="22"/>
              </w:rPr>
            </w:pPr>
            <w:r w:rsidRPr="00883399">
              <w:rPr>
                <w:rFonts w:ascii="Calibri" w:hAnsi="Calibri"/>
                <w:i/>
                <w:iCs/>
                <w:color w:val="000000"/>
                <w:sz w:val="22"/>
                <w:szCs w:val="22"/>
              </w:rPr>
              <w:t>0.74</w:t>
            </w:r>
          </w:p>
        </w:tc>
        <w:tc>
          <w:tcPr>
            <w:tcW w:w="873" w:type="dxa"/>
            <w:gridSpan w:val="3"/>
            <w:tcBorders>
              <w:top w:val="nil"/>
              <w:left w:val="nil"/>
              <w:bottom w:val="single" w:sz="4" w:space="0" w:color="auto"/>
              <w:right w:val="single" w:sz="4" w:space="0" w:color="auto"/>
            </w:tcBorders>
            <w:noWrap/>
            <w:vAlign w:val="bottom"/>
            <w:hideMark/>
          </w:tcPr>
          <w:p w14:paraId="7A0E8E3E"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0.0393</w:t>
            </w:r>
          </w:p>
        </w:tc>
        <w:tc>
          <w:tcPr>
            <w:tcW w:w="561" w:type="dxa"/>
            <w:gridSpan w:val="2"/>
            <w:tcBorders>
              <w:top w:val="nil"/>
              <w:left w:val="nil"/>
              <w:bottom w:val="single" w:sz="4" w:space="0" w:color="auto"/>
              <w:right w:val="single" w:sz="4" w:space="0" w:color="auto"/>
            </w:tcBorders>
            <w:noWrap/>
            <w:vAlign w:val="bottom"/>
            <w:hideMark/>
          </w:tcPr>
          <w:p w14:paraId="1B73D6D6"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0.995</w:t>
            </w:r>
          </w:p>
        </w:tc>
        <w:tc>
          <w:tcPr>
            <w:tcW w:w="1129" w:type="dxa"/>
            <w:gridSpan w:val="2"/>
            <w:tcBorders>
              <w:top w:val="nil"/>
              <w:left w:val="nil"/>
              <w:bottom w:val="single" w:sz="4" w:space="0" w:color="auto"/>
              <w:right w:val="single" w:sz="4" w:space="0" w:color="auto"/>
            </w:tcBorders>
            <w:noWrap/>
            <w:vAlign w:val="bottom"/>
            <w:hideMark/>
          </w:tcPr>
          <w:p w14:paraId="4605A263"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2.743</w:t>
            </w:r>
          </w:p>
        </w:tc>
        <w:tc>
          <w:tcPr>
            <w:tcW w:w="740" w:type="dxa"/>
            <w:tcBorders>
              <w:top w:val="nil"/>
              <w:left w:val="nil"/>
              <w:bottom w:val="single" w:sz="4" w:space="0" w:color="auto"/>
              <w:right w:val="single" w:sz="4" w:space="0" w:color="auto"/>
            </w:tcBorders>
            <w:noWrap/>
            <w:vAlign w:val="bottom"/>
            <w:hideMark/>
          </w:tcPr>
          <w:p w14:paraId="61339737"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51.4</w:t>
            </w:r>
          </w:p>
        </w:tc>
        <w:tc>
          <w:tcPr>
            <w:tcW w:w="1067" w:type="dxa"/>
            <w:tcBorders>
              <w:top w:val="nil"/>
              <w:left w:val="nil"/>
              <w:bottom w:val="single" w:sz="4" w:space="0" w:color="auto"/>
              <w:right w:val="single" w:sz="4" w:space="0" w:color="auto"/>
            </w:tcBorders>
            <w:noWrap/>
            <w:vAlign w:val="bottom"/>
            <w:hideMark/>
          </w:tcPr>
          <w:p w14:paraId="133CFE5D"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18,17</w:t>
            </w:r>
            <w:r w:rsidR="00804B19" w:rsidRPr="00883399">
              <w:rPr>
                <w:rFonts w:ascii="Calibri" w:hAnsi="Calibri"/>
                <w:color w:val="000000"/>
                <w:sz w:val="20"/>
                <w:szCs w:val="20"/>
              </w:rPr>
              <w:t>8</w:t>
            </w:r>
          </w:p>
        </w:tc>
      </w:tr>
      <w:tr w:rsidR="00647300" w:rsidRPr="00883399" w14:paraId="4BB91653" w14:textId="77777777" w:rsidTr="009A1D64">
        <w:trPr>
          <w:trHeight w:val="301"/>
        </w:trPr>
        <w:tc>
          <w:tcPr>
            <w:tcW w:w="2134" w:type="dxa"/>
            <w:tcBorders>
              <w:top w:val="nil"/>
              <w:left w:val="single" w:sz="4" w:space="0" w:color="auto"/>
              <w:bottom w:val="single" w:sz="4" w:space="0" w:color="auto"/>
              <w:right w:val="single" w:sz="4" w:space="0" w:color="auto"/>
            </w:tcBorders>
            <w:vAlign w:val="bottom"/>
            <w:hideMark/>
          </w:tcPr>
          <w:p w14:paraId="0AFDF0EC" w14:textId="77777777" w:rsidR="00647300" w:rsidRPr="00883399" w:rsidRDefault="00647300" w:rsidP="00647300">
            <w:pPr>
              <w:rPr>
                <w:rFonts w:ascii="Calibri" w:hAnsi="Calibri"/>
                <w:color w:val="000000"/>
                <w:sz w:val="20"/>
                <w:szCs w:val="20"/>
              </w:rPr>
            </w:pPr>
            <w:r w:rsidRPr="00883399">
              <w:rPr>
                <w:rFonts w:ascii="Calibri" w:hAnsi="Calibri"/>
                <w:color w:val="000000"/>
                <w:sz w:val="20"/>
                <w:szCs w:val="20"/>
              </w:rPr>
              <w:t>Uncertainty</w:t>
            </w:r>
          </w:p>
        </w:tc>
        <w:tc>
          <w:tcPr>
            <w:tcW w:w="1125" w:type="dxa"/>
            <w:tcBorders>
              <w:top w:val="nil"/>
              <w:left w:val="nil"/>
              <w:bottom w:val="single" w:sz="4" w:space="0" w:color="auto"/>
              <w:right w:val="single" w:sz="4" w:space="0" w:color="auto"/>
            </w:tcBorders>
            <w:noWrap/>
            <w:vAlign w:val="bottom"/>
            <w:hideMark/>
          </w:tcPr>
          <w:p w14:paraId="4B1048ED"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1.5%</w:t>
            </w:r>
          </w:p>
        </w:tc>
        <w:tc>
          <w:tcPr>
            <w:tcW w:w="1143" w:type="dxa"/>
            <w:tcBorders>
              <w:top w:val="nil"/>
              <w:left w:val="nil"/>
              <w:bottom w:val="single" w:sz="4" w:space="0" w:color="auto"/>
              <w:right w:val="single" w:sz="4" w:space="0" w:color="auto"/>
            </w:tcBorders>
            <w:noWrap/>
            <w:vAlign w:val="bottom"/>
            <w:hideMark/>
          </w:tcPr>
          <w:p w14:paraId="4ACA98F8"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3.0%</w:t>
            </w:r>
          </w:p>
        </w:tc>
        <w:tc>
          <w:tcPr>
            <w:tcW w:w="808" w:type="dxa"/>
            <w:tcBorders>
              <w:top w:val="nil"/>
              <w:left w:val="nil"/>
              <w:bottom w:val="single" w:sz="4" w:space="0" w:color="auto"/>
              <w:right w:val="single" w:sz="4" w:space="0" w:color="auto"/>
            </w:tcBorders>
            <w:noWrap/>
            <w:vAlign w:val="bottom"/>
            <w:hideMark/>
          </w:tcPr>
          <w:p w14:paraId="595B3902"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1.0%</w:t>
            </w:r>
          </w:p>
        </w:tc>
        <w:tc>
          <w:tcPr>
            <w:tcW w:w="873" w:type="dxa"/>
            <w:gridSpan w:val="3"/>
            <w:tcBorders>
              <w:top w:val="nil"/>
              <w:left w:val="nil"/>
              <w:bottom w:val="single" w:sz="4" w:space="0" w:color="auto"/>
              <w:right w:val="single" w:sz="4" w:space="0" w:color="auto"/>
            </w:tcBorders>
            <w:noWrap/>
            <w:vAlign w:val="bottom"/>
            <w:hideMark/>
          </w:tcPr>
          <w:p w14:paraId="1BA6F68B"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NA</w:t>
            </w:r>
          </w:p>
        </w:tc>
        <w:tc>
          <w:tcPr>
            <w:tcW w:w="561" w:type="dxa"/>
            <w:gridSpan w:val="2"/>
            <w:tcBorders>
              <w:top w:val="nil"/>
              <w:left w:val="nil"/>
              <w:bottom w:val="single" w:sz="4" w:space="0" w:color="auto"/>
              <w:right w:val="single" w:sz="4" w:space="0" w:color="auto"/>
            </w:tcBorders>
            <w:noWrap/>
            <w:vAlign w:val="bottom"/>
            <w:hideMark/>
          </w:tcPr>
          <w:p w14:paraId="6F4CECCA"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0.0%</w:t>
            </w:r>
          </w:p>
        </w:tc>
        <w:tc>
          <w:tcPr>
            <w:tcW w:w="1129" w:type="dxa"/>
            <w:gridSpan w:val="2"/>
            <w:tcBorders>
              <w:top w:val="nil"/>
              <w:left w:val="nil"/>
              <w:bottom w:val="single" w:sz="4" w:space="0" w:color="auto"/>
              <w:right w:val="single" w:sz="4" w:space="0" w:color="auto"/>
            </w:tcBorders>
            <w:noWrap/>
            <w:vAlign w:val="bottom"/>
            <w:hideMark/>
          </w:tcPr>
          <w:p w14:paraId="7524E75B"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NA</w:t>
            </w:r>
          </w:p>
        </w:tc>
        <w:tc>
          <w:tcPr>
            <w:tcW w:w="740" w:type="dxa"/>
            <w:tcBorders>
              <w:top w:val="nil"/>
              <w:left w:val="nil"/>
              <w:bottom w:val="single" w:sz="4" w:space="0" w:color="auto"/>
              <w:right w:val="single" w:sz="4" w:space="0" w:color="auto"/>
            </w:tcBorders>
            <w:noWrap/>
            <w:vAlign w:val="bottom"/>
            <w:hideMark/>
          </w:tcPr>
          <w:p w14:paraId="23CC9681"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3.2%</w:t>
            </w:r>
          </w:p>
        </w:tc>
        <w:tc>
          <w:tcPr>
            <w:tcW w:w="1067" w:type="dxa"/>
            <w:tcBorders>
              <w:top w:val="nil"/>
              <w:left w:val="nil"/>
              <w:bottom w:val="single" w:sz="4" w:space="0" w:color="auto"/>
              <w:right w:val="single" w:sz="4" w:space="0" w:color="auto"/>
            </w:tcBorders>
            <w:noWrap/>
            <w:vAlign w:val="bottom"/>
            <w:hideMark/>
          </w:tcPr>
          <w:p w14:paraId="7AB6A3DC"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3.5%</w:t>
            </w:r>
          </w:p>
        </w:tc>
      </w:tr>
      <w:tr w:rsidR="00647300" w:rsidRPr="00883399" w14:paraId="1D5FE65D" w14:textId="77777777" w:rsidTr="009A1D64">
        <w:trPr>
          <w:trHeight w:val="301"/>
        </w:trPr>
        <w:tc>
          <w:tcPr>
            <w:tcW w:w="2134" w:type="dxa"/>
            <w:tcBorders>
              <w:top w:val="nil"/>
              <w:left w:val="single" w:sz="4" w:space="0" w:color="auto"/>
              <w:bottom w:val="single" w:sz="4" w:space="0" w:color="auto"/>
              <w:right w:val="single" w:sz="4" w:space="0" w:color="auto"/>
            </w:tcBorders>
            <w:vAlign w:val="bottom"/>
            <w:hideMark/>
          </w:tcPr>
          <w:p w14:paraId="169A3B1B" w14:textId="77777777" w:rsidR="00647300" w:rsidRPr="00883399" w:rsidRDefault="00647300" w:rsidP="00647300">
            <w:pPr>
              <w:rPr>
                <w:rFonts w:ascii="Calibri" w:hAnsi="Calibri"/>
                <w:color w:val="000000"/>
                <w:sz w:val="20"/>
                <w:szCs w:val="20"/>
              </w:rPr>
            </w:pPr>
            <w:r w:rsidRPr="00883399">
              <w:rPr>
                <w:rFonts w:ascii="Calibri" w:hAnsi="Calibri"/>
                <w:color w:val="000000"/>
                <w:sz w:val="20"/>
                <w:szCs w:val="20"/>
              </w:rPr>
              <w:t>Source of Uncertainty</w:t>
            </w:r>
          </w:p>
        </w:tc>
        <w:tc>
          <w:tcPr>
            <w:tcW w:w="1125" w:type="dxa"/>
            <w:tcBorders>
              <w:top w:val="nil"/>
              <w:left w:val="nil"/>
              <w:bottom w:val="single" w:sz="4" w:space="0" w:color="auto"/>
              <w:right w:val="single" w:sz="4" w:space="0" w:color="auto"/>
            </w:tcBorders>
            <w:noWrap/>
            <w:vAlign w:val="bottom"/>
            <w:hideMark/>
          </w:tcPr>
          <w:p w14:paraId="35DA4331"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a</w:t>
            </w:r>
          </w:p>
        </w:tc>
        <w:tc>
          <w:tcPr>
            <w:tcW w:w="1143" w:type="dxa"/>
            <w:tcBorders>
              <w:top w:val="nil"/>
              <w:left w:val="nil"/>
              <w:bottom w:val="single" w:sz="4" w:space="0" w:color="auto"/>
              <w:right w:val="single" w:sz="4" w:space="0" w:color="auto"/>
            </w:tcBorders>
            <w:noWrap/>
            <w:vAlign w:val="bottom"/>
            <w:hideMark/>
          </w:tcPr>
          <w:p w14:paraId="1150741D"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i</w:t>
            </w:r>
          </w:p>
        </w:tc>
        <w:tc>
          <w:tcPr>
            <w:tcW w:w="808" w:type="dxa"/>
            <w:tcBorders>
              <w:top w:val="nil"/>
              <w:left w:val="nil"/>
              <w:bottom w:val="single" w:sz="4" w:space="0" w:color="auto"/>
              <w:right w:val="single" w:sz="4" w:space="0" w:color="auto"/>
            </w:tcBorders>
            <w:noWrap/>
            <w:vAlign w:val="bottom"/>
            <w:hideMark/>
          </w:tcPr>
          <w:p w14:paraId="568330AF"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c</w:t>
            </w:r>
          </w:p>
        </w:tc>
        <w:tc>
          <w:tcPr>
            <w:tcW w:w="873" w:type="dxa"/>
            <w:gridSpan w:val="3"/>
            <w:tcBorders>
              <w:top w:val="nil"/>
              <w:left w:val="nil"/>
              <w:bottom w:val="single" w:sz="4" w:space="0" w:color="auto"/>
              <w:right w:val="single" w:sz="4" w:space="0" w:color="auto"/>
            </w:tcBorders>
            <w:noWrap/>
            <w:vAlign w:val="bottom"/>
            <w:hideMark/>
          </w:tcPr>
          <w:p w14:paraId="01EF939A"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d</w:t>
            </w:r>
          </w:p>
        </w:tc>
        <w:tc>
          <w:tcPr>
            <w:tcW w:w="561" w:type="dxa"/>
            <w:gridSpan w:val="2"/>
            <w:tcBorders>
              <w:top w:val="nil"/>
              <w:left w:val="nil"/>
              <w:bottom w:val="single" w:sz="4" w:space="0" w:color="auto"/>
              <w:right w:val="single" w:sz="4" w:space="0" w:color="auto"/>
            </w:tcBorders>
            <w:noWrap/>
            <w:vAlign w:val="bottom"/>
            <w:hideMark/>
          </w:tcPr>
          <w:p w14:paraId="5EFE2F3E"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e</w:t>
            </w:r>
          </w:p>
        </w:tc>
        <w:tc>
          <w:tcPr>
            <w:tcW w:w="1129" w:type="dxa"/>
            <w:gridSpan w:val="2"/>
            <w:tcBorders>
              <w:top w:val="nil"/>
              <w:left w:val="nil"/>
              <w:bottom w:val="single" w:sz="4" w:space="0" w:color="auto"/>
              <w:right w:val="single" w:sz="4" w:space="0" w:color="auto"/>
            </w:tcBorders>
            <w:noWrap/>
            <w:vAlign w:val="bottom"/>
            <w:hideMark/>
          </w:tcPr>
          <w:p w14:paraId="5867557C"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f</w:t>
            </w:r>
          </w:p>
        </w:tc>
        <w:tc>
          <w:tcPr>
            <w:tcW w:w="740" w:type="dxa"/>
            <w:tcBorders>
              <w:top w:val="nil"/>
              <w:left w:val="nil"/>
              <w:bottom w:val="single" w:sz="4" w:space="0" w:color="auto"/>
              <w:right w:val="single" w:sz="4" w:space="0" w:color="auto"/>
            </w:tcBorders>
            <w:noWrap/>
            <w:vAlign w:val="bottom"/>
            <w:hideMark/>
          </w:tcPr>
          <w:p w14:paraId="0F475F79"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g</w:t>
            </w:r>
          </w:p>
        </w:tc>
        <w:tc>
          <w:tcPr>
            <w:tcW w:w="1067" w:type="dxa"/>
            <w:tcBorders>
              <w:top w:val="nil"/>
              <w:left w:val="nil"/>
              <w:bottom w:val="single" w:sz="4" w:space="0" w:color="auto"/>
              <w:right w:val="single" w:sz="4" w:space="0" w:color="auto"/>
            </w:tcBorders>
            <w:noWrap/>
            <w:vAlign w:val="bottom"/>
            <w:hideMark/>
          </w:tcPr>
          <w:p w14:paraId="40266E3D" w14:textId="77777777" w:rsidR="00647300" w:rsidRPr="00883399" w:rsidRDefault="00804B19" w:rsidP="00647300">
            <w:pPr>
              <w:jc w:val="center"/>
              <w:rPr>
                <w:rFonts w:ascii="Calibri" w:hAnsi="Calibri"/>
                <w:color w:val="000000"/>
                <w:sz w:val="22"/>
                <w:szCs w:val="22"/>
              </w:rPr>
            </w:pPr>
            <w:r w:rsidRPr="00883399">
              <w:rPr>
                <w:rFonts w:ascii="Calibri" w:hAnsi="Calibri"/>
                <w:color w:val="000000"/>
                <w:sz w:val="22"/>
                <w:szCs w:val="22"/>
              </w:rPr>
              <w:t>G</w:t>
            </w:r>
          </w:p>
        </w:tc>
      </w:tr>
      <w:tr w:rsidR="00647300" w:rsidRPr="00883399" w14:paraId="1509EE76" w14:textId="77777777" w:rsidTr="009A1D64">
        <w:trPr>
          <w:trHeight w:val="512"/>
        </w:trPr>
        <w:tc>
          <w:tcPr>
            <w:tcW w:w="2134" w:type="dxa"/>
            <w:vMerge w:val="restart"/>
            <w:tcBorders>
              <w:top w:val="nil"/>
              <w:left w:val="single" w:sz="4" w:space="0" w:color="auto"/>
              <w:bottom w:val="single" w:sz="4" w:space="0" w:color="auto"/>
              <w:right w:val="single" w:sz="4" w:space="0" w:color="auto"/>
            </w:tcBorders>
            <w:vAlign w:val="center"/>
            <w:hideMark/>
          </w:tcPr>
          <w:p w14:paraId="03154D37" w14:textId="77777777" w:rsidR="00647300" w:rsidRPr="00883399" w:rsidRDefault="00647300" w:rsidP="00647300">
            <w:pPr>
              <w:jc w:val="center"/>
              <w:rPr>
                <w:rFonts w:ascii="Calibri" w:hAnsi="Calibri"/>
                <w:b/>
                <w:bCs/>
                <w:color w:val="000000"/>
                <w:sz w:val="20"/>
                <w:szCs w:val="20"/>
              </w:rPr>
            </w:pPr>
            <w:r w:rsidRPr="00883399">
              <w:rPr>
                <w:rFonts w:ascii="Calibri" w:hAnsi="Calibri"/>
                <w:b/>
                <w:bCs/>
                <w:color w:val="000000"/>
                <w:sz w:val="20"/>
                <w:szCs w:val="20"/>
              </w:rPr>
              <w:t>Combustion of Gasoline</w:t>
            </w:r>
          </w:p>
        </w:tc>
        <w:tc>
          <w:tcPr>
            <w:tcW w:w="1125" w:type="dxa"/>
            <w:tcBorders>
              <w:top w:val="nil"/>
              <w:left w:val="nil"/>
              <w:bottom w:val="single" w:sz="4" w:space="0" w:color="auto"/>
              <w:right w:val="single" w:sz="4" w:space="0" w:color="auto"/>
            </w:tcBorders>
            <w:noWrap/>
            <w:vAlign w:val="center"/>
            <w:hideMark/>
          </w:tcPr>
          <w:p w14:paraId="633FD8C5"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Q - kL</w:t>
            </w:r>
          </w:p>
        </w:tc>
        <w:tc>
          <w:tcPr>
            <w:tcW w:w="1143" w:type="dxa"/>
            <w:tcBorders>
              <w:top w:val="nil"/>
              <w:left w:val="nil"/>
              <w:bottom w:val="single" w:sz="4" w:space="0" w:color="auto"/>
              <w:right w:val="single" w:sz="4" w:space="0" w:color="auto"/>
            </w:tcBorders>
            <w:vAlign w:val="center"/>
            <w:hideMark/>
          </w:tcPr>
          <w:p w14:paraId="236BFAB3"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 carbon</w:t>
            </w:r>
          </w:p>
        </w:tc>
        <w:tc>
          <w:tcPr>
            <w:tcW w:w="808" w:type="dxa"/>
            <w:tcBorders>
              <w:top w:val="nil"/>
              <w:left w:val="nil"/>
              <w:bottom w:val="single" w:sz="4" w:space="0" w:color="auto"/>
              <w:right w:val="single" w:sz="4" w:space="0" w:color="auto"/>
            </w:tcBorders>
            <w:vAlign w:val="center"/>
            <w:hideMark/>
          </w:tcPr>
          <w:p w14:paraId="007D7C8C"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Fuel density kg/kL</w:t>
            </w:r>
          </w:p>
        </w:tc>
        <w:tc>
          <w:tcPr>
            <w:tcW w:w="873" w:type="dxa"/>
            <w:gridSpan w:val="3"/>
            <w:tcBorders>
              <w:top w:val="nil"/>
              <w:left w:val="nil"/>
              <w:bottom w:val="single" w:sz="4" w:space="0" w:color="auto"/>
              <w:right w:val="single" w:sz="4" w:space="0" w:color="auto"/>
            </w:tcBorders>
            <w:vAlign w:val="center"/>
            <w:hideMark/>
          </w:tcPr>
          <w:p w14:paraId="691FC054"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EC</w:t>
            </w:r>
          </w:p>
        </w:tc>
        <w:tc>
          <w:tcPr>
            <w:tcW w:w="561" w:type="dxa"/>
            <w:gridSpan w:val="2"/>
            <w:tcBorders>
              <w:top w:val="nil"/>
              <w:left w:val="nil"/>
              <w:bottom w:val="single" w:sz="4" w:space="0" w:color="auto"/>
              <w:right w:val="single" w:sz="4" w:space="0" w:color="auto"/>
            </w:tcBorders>
            <w:noWrap/>
            <w:vAlign w:val="center"/>
            <w:hideMark/>
          </w:tcPr>
          <w:p w14:paraId="02223C93"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OF</w:t>
            </w:r>
          </w:p>
        </w:tc>
        <w:tc>
          <w:tcPr>
            <w:tcW w:w="1129" w:type="dxa"/>
            <w:gridSpan w:val="2"/>
            <w:tcBorders>
              <w:top w:val="nil"/>
              <w:left w:val="nil"/>
              <w:bottom w:val="single" w:sz="4" w:space="0" w:color="auto"/>
              <w:right w:val="single" w:sz="4" w:space="0" w:color="auto"/>
            </w:tcBorders>
            <w:noWrap/>
            <w:vAlign w:val="center"/>
            <w:hideMark/>
          </w:tcPr>
          <w:p w14:paraId="767A7B1D"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Constant</w:t>
            </w:r>
          </w:p>
        </w:tc>
        <w:tc>
          <w:tcPr>
            <w:tcW w:w="740" w:type="dxa"/>
            <w:tcBorders>
              <w:top w:val="nil"/>
              <w:left w:val="nil"/>
              <w:bottom w:val="single" w:sz="4" w:space="0" w:color="auto"/>
              <w:right w:val="single" w:sz="4" w:space="0" w:color="auto"/>
            </w:tcBorders>
            <w:noWrap/>
            <w:vAlign w:val="center"/>
            <w:hideMark/>
          </w:tcPr>
          <w:p w14:paraId="53D1EBB7"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EF</w:t>
            </w:r>
          </w:p>
        </w:tc>
        <w:tc>
          <w:tcPr>
            <w:tcW w:w="1067" w:type="dxa"/>
            <w:tcBorders>
              <w:top w:val="nil"/>
              <w:left w:val="nil"/>
              <w:bottom w:val="single" w:sz="4" w:space="0" w:color="auto"/>
              <w:right w:val="single" w:sz="4" w:space="0" w:color="auto"/>
            </w:tcBorders>
            <w:noWrap/>
            <w:vAlign w:val="center"/>
            <w:hideMark/>
          </w:tcPr>
          <w:p w14:paraId="374CB6B4"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Emission</w:t>
            </w:r>
          </w:p>
        </w:tc>
      </w:tr>
      <w:tr w:rsidR="00647300" w:rsidRPr="00883399" w14:paraId="2B4E5FCF" w14:textId="77777777" w:rsidTr="009A1D64">
        <w:trPr>
          <w:trHeight w:val="301"/>
        </w:trPr>
        <w:tc>
          <w:tcPr>
            <w:tcW w:w="2134" w:type="dxa"/>
            <w:vMerge/>
            <w:tcBorders>
              <w:top w:val="nil"/>
              <w:left w:val="single" w:sz="4" w:space="0" w:color="auto"/>
              <w:bottom w:val="single" w:sz="4" w:space="0" w:color="auto"/>
              <w:right w:val="single" w:sz="4" w:space="0" w:color="auto"/>
            </w:tcBorders>
            <w:vAlign w:val="center"/>
            <w:hideMark/>
          </w:tcPr>
          <w:p w14:paraId="390DDAE4" w14:textId="77777777" w:rsidR="00647300" w:rsidRPr="00883399" w:rsidRDefault="00647300" w:rsidP="00647300">
            <w:pPr>
              <w:rPr>
                <w:rFonts w:ascii="Calibri" w:hAnsi="Calibri"/>
                <w:b/>
                <w:bCs/>
                <w:color w:val="000000"/>
                <w:sz w:val="20"/>
                <w:szCs w:val="20"/>
              </w:rPr>
            </w:pPr>
          </w:p>
        </w:tc>
        <w:tc>
          <w:tcPr>
            <w:tcW w:w="1125" w:type="dxa"/>
            <w:tcBorders>
              <w:top w:val="nil"/>
              <w:left w:val="nil"/>
              <w:bottom w:val="single" w:sz="4" w:space="0" w:color="auto"/>
              <w:right w:val="single" w:sz="4" w:space="0" w:color="auto"/>
            </w:tcBorders>
            <w:noWrap/>
            <w:vAlign w:val="bottom"/>
            <w:hideMark/>
          </w:tcPr>
          <w:p w14:paraId="6393353E" w14:textId="77777777" w:rsidR="00647300" w:rsidRPr="00883399" w:rsidRDefault="00647300" w:rsidP="00647300">
            <w:pPr>
              <w:jc w:val="center"/>
              <w:rPr>
                <w:rFonts w:ascii="Calibri" w:hAnsi="Calibri"/>
                <w:i/>
                <w:iCs/>
                <w:color w:val="000000"/>
                <w:sz w:val="20"/>
                <w:szCs w:val="20"/>
              </w:rPr>
            </w:pPr>
            <w:r w:rsidRPr="00883399">
              <w:rPr>
                <w:rFonts w:ascii="Calibri" w:hAnsi="Calibri"/>
                <w:i/>
                <w:iCs/>
                <w:color w:val="000000"/>
                <w:sz w:val="20"/>
                <w:szCs w:val="20"/>
              </w:rPr>
              <w:t>3,000</w:t>
            </w:r>
          </w:p>
        </w:tc>
        <w:tc>
          <w:tcPr>
            <w:tcW w:w="1143" w:type="dxa"/>
            <w:tcBorders>
              <w:top w:val="nil"/>
              <w:left w:val="nil"/>
              <w:bottom w:val="single" w:sz="4" w:space="0" w:color="auto"/>
              <w:right w:val="single" w:sz="4" w:space="0" w:color="auto"/>
            </w:tcBorders>
            <w:noWrap/>
            <w:vAlign w:val="bottom"/>
            <w:hideMark/>
          </w:tcPr>
          <w:p w14:paraId="216E7241" w14:textId="77777777" w:rsidR="00647300" w:rsidRPr="00883399" w:rsidRDefault="00647300" w:rsidP="00647300">
            <w:pPr>
              <w:jc w:val="center"/>
              <w:rPr>
                <w:rFonts w:ascii="Calibri" w:hAnsi="Calibri"/>
                <w:i/>
                <w:iCs/>
                <w:color w:val="000000"/>
                <w:sz w:val="22"/>
                <w:szCs w:val="22"/>
              </w:rPr>
            </w:pPr>
            <w:r w:rsidRPr="00883399">
              <w:rPr>
                <w:rFonts w:ascii="Calibri" w:hAnsi="Calibri"/>
                <w:i/>
                <w:iCs/>
                <w:color w:val="000000"/>
                <w:sz w:val="22"/>
                <w:szCs w:val="22"/>
              </w:rPr>
              <w:t>85.2</w:t>
            </w:r>
          </w:p>
        </w:tc>
        <w:tc>
          <w:tcPr>
            <w:tcW w:w="808" w:type="dxa"/>
            <w:tcBorders>
              <w:top w:val="nil"/>
              <w:left w:val="nil"/>
              <w:bottom w:val="single" w:sz="4" w:space="0" w:color="auto"/>
              <w:right w:val="single" w:sz="4" w:space="0" w:color="auto"/>
            </w:tcBorders>
            <w:noWrap/>
            <w:vAlign w:val="bottom"/>
            <w:hideMark/>
          </w:tcPr>
          <w:p w14:paraId="2521DC37" w14:textId="77777777" w:rsidR="00647300" w:rsidRPr="00883399" w:rsidRDefault="00647300" w:rsidP="00647300">
            <w:pPr>
              <w:jc w:val="center"/>
              <w:rPr>
                <w:rFonts w:ascii="Calibri" w:hAnsi="Calibri"/>
                <w:i/>
                <w:iCs/>
                <w:color w:val="000000"/>
                <w:sz w:val="22"/>
                <w:szCs w:val="22"/>
              </w:rPr>
            </w:pPr>
            <w:r w:rsidRPr="00883399">
              <w:rPr>
                <w:rFonts w:ascii="Calibri" w:hAnsi="Calibri"/>
                <w:i/>
                <w:iCs/>
                <w:color w:val="000000"/>
                <w:sz w:val="22"/>
                <w:szCs w:val="22"/>
              </w:rPr>
              <w:t>720</w:t>
            </w:r>
          </w:p>
        </w:tc>
        <w:tc>
          <w:tcPr>
            <w:tcW w:w="873" w:type="dxa"/>
            <w:gridSpan w:val="3"/>
            <w:tcBorders>
              <w:top w:val="nil"/>
              <w:left w:val="nil"/>
              <w:bottom w:val="single" w:sz="4" w:space="0" w:color="auto"/>
              <w:right w:val="single" w:sz="4" w:space="0" w:color="auto"/>
            </w:tcBorders>
            <w:noWrap/>
            <w:vAlign w:val="bottom"/>
            <w:hideMark/>
          </w:tcPr>
          <w:p w14:paraId="1F09F117"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34.2</w:t>
            </w:r>
          </w:p>
        </w:tc>
        <w:tc>
          <w:tcPr>
            <w:tcW w:w="561" w:type="dxa"/>
            <w:gridSpan w:val="2"/>
            <w:tcBorders>
              <w:top w:val="nil"/>
              <w:left w:val="nil"/>
              <w:bottom w:val="single" w:sz="4" w:space="0" w:color="auto"/>
              <w:right w:val="single" w:sz="4" w:space="0" w:color="auto"/>
            </w:tcBorders>
            <w:noWrap/>
            <w:vAlign w:val="bottom"/>
            <w:hideMark/>
          </w:tcPr>
          <w:p w14:paraId="5B72C14B"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0.99</w:t>
            </w:r>
          </w:p>
        </w:tc>
        <w:tc>
          <w:tcPr>
            <w:tcW w:w="1129" w:type="dxa"/>
            <w:gridSpan w:val="2"/>
            <w:tcBorders>
              <w:top w:val="nil"/>
              <w:left w:val="nil"/>
              <w:bottom w:val="single" w:sz="4" w:space="0" w:color="auto"/>
              <w:right w:val="single" w:sz="4" w:space="0" w:color="auto"/>
            </w:tcBorders>
            <w:noWrap/>
            <w:vAlign w:val="bottom"/>
            <w:hideMark/>
          </w:tcPr>
          <w:p w14:paraId="5C6E2E17"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3.664</w:t>
            </w:r>
          </w:p>
        </w:tc>
        <w:tc>
          <w:tcPr>
            <w:tcW w:w="740" w:type="dxa"/>
            <w:tcBorders>
              <w:top w:val="nil"/>
              <w:left w:val="nil"/>
              <w:bottom w:val="single" w:sz="4" w:space="0" w:color="auto"/>
              <w:right w:val="single" w:sz="4" w:space="0" w:color="auto"/>
            </w:tcBorders>
            <w:noWrap/>
            <w:vAlign w:val="bottom"/>
            <w:hideMark/>
          </w:tcPr>
          <w:p w14:paraId="09EB0C04"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65.1</w:t>
            </w:r>
          </w:p>
        </w:tc>
        <w:tc>
          <w:tcPr>
            <w:tcW w:w="1067" w:type="dxa"/>
            <w:tcBorders>
              <w:top w:val="nil"/>
              <w:left w:val="nil"/>
              <w:bottom w:val="single" w:sz="4" w:space="0" w:color="auto"/>
              <w:right w:val="single" w:sz="4" w:space="0" w:color="auto"/>
            </w:tcBorders>
            <w:noWrap/>
            <w:vAlign w:val="bottom"/>
            <w:hideMark/>
          </w:tcPr>
          <w:p w14:paraId="193898E6" w14:textId="77777777" w:rsidR="00647300" w:rsidRPr="00883399" w:rsidRDefault="00804B19" w:rsidP="00647300">
            <w:pPr>
              <w:jc w:val="center"/>
              <w:rPr>
                <w:rFonts w:ascii="Calibri" w:hAnsi="Calibri"/>
                <w:color w:val="000000"/>
                <w:sz w:val="20"/>
                <w:szCs w:val="20"/>
              </w:rPr>
            </w:pPr>
            <w:r w:rsidRPr="00883399">
              <w:rPr>
                <w:rFonts w:ascii="Calibri" w:hAnsi="Calibri"/>
                <w:color w:val="000000"/>
                <w:sz w:val="20"/>
                <w:szCs w:val="20"/>
              </w:rPr>
              <w:t>6,676</w:t>
            </w:r>
          </w:p>
        </w:tc>
      </w:tr>
      <w:tr w:rsidR="00647300" w:rsidRPr="00883399" w14:paraId="0D09E7B4" w14:textId="77777777" w:rsidTr="009A1D64">
        <w:trPr>
          <w:trHeight w:val="301"/>
        </w:trPr>
        <w:tc>
          <w:tcPr>
            <w:tcW w:w="2134" w:type="dxa"/>
            <w:tcBorders>
              <w:top w:val="nil"/>
              <w:left w:val="single" w:sz="4" w:space="0" w:color="auto"/>
              <w:bottom w:val="nil"/>
              <w:right w:val="single" w:sz="4" w:space="0" w:color="auto"/>
            </w:tcBorders>
            <w:vAlign w:val="bottom"/>
            <w:hideMark/>
          </w:tcPr>
          <w:p w14:paraId="78BE6123" w14:textId="77777777" w:rsidR="00647300" w:rsidRPr="00883399" w:rsidRDefault="00647300" w:rsidP="00647300">
            <w:pPr>
              <w:rPr>
                <w:rFonts w:ascii="Calibri" w:hAnsi="Calibri"/>
                <w:color w:val="000000"/>
                <w:sz w:val="20"/>
                <w:szCs w:val="20"/>
              </w:rPr>
            </w:pPr>
            <w:r w:rsidRPr="00883399">
              <w:rPr>
                <w:rFonts w:ascii="Calibri" w:hAnsi="Calibri"/>
                <w:color w:val="000000"/>
                <w:sz w:val="20"/>
                <w:szCs w:val="20"/>
              </w:rPr>
              <w:t>Uncertainty</w:t>
            </w:r>
          </w:p>
        </w:tc>
        <w:tc>
          <w:tcPr>
            <w:tcW w:w="1125" w:type="dxa"/>
            <w:tcBorders>
              <w:top w:val="nil"/>
              <w:left w:val="nil"/>
              <w:bottom w:val="nil"/>
              <w:right w:val="single" w:sz="4" w:space="0" w:color="auto"/>
            </w:tcBorders>
            <w:noWrap/>
            <w:vAlign w:val="bottom"/>
            <w:hideMark/>
          </w:tcPr>
          <w:p w14:paraId="3AA16CDB"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1.5%</w:t>
            </w:r>
          </w:p>
        </w:tc>
        <w:tc>
          <w:tcPr>
            <w:tcW w:w="1143" w:type="dxa"/>
            <w:tcBorders>
              <w:top w:val="nil"/>
              <w:left w:val="nil"/>
              <w:bottom w:val="nil"/>
              <w:right w:val="single" w:sz="4" w:space="0" w:color="auto"/>
            </w:tcBorders>
            <w:noWrap/>
            <w:vAlign w:val="bottom"/>
            <w:hideMark/>
          </w:tcPr>
          <w:p w14:paraId="5DD9F230"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2.0%</w:t>
            </w:r>
          </w:p>
        </w:tc>
        <w:tc>
          <w:tcPr>
            <w:tcW w:w="808" w:type="dxa"/>
            <w:tcBorders>
              <w:top w:val="nil"/>
              <w:left w:val="nil"/>
              <w:bottom w:val="nil"/>
              <w:right w:val="single" w:sz="4" w:space="0" w:color="auto"/>
            </w:tcBorders>
            <w:noWrap/>
            <w:vAlign w:val="bottom"/>
            <w:hideMark/>
          </w:tcPr>
          <w:p w14:paraId="0D2CF31B"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1.0%</w:t>
            </w:r>
          </w:p>
        </w:tc>
        <w:tc>
          <w:tcPr>
            <w:tcW w:w="873" w:type="dxa"/>
            <w:gridSpan w:val="3"/>
            <w:tcBorders>
              <w:top w:val="nil"/>
              <w:left w:val="nil"/>
              <w:bottom w:val="nil"/>
              <w:right w:val="single" w:sz="4" w:space="0" w:color="auto"/>
            </w:tcBorders>
            <w:noWrap/>
            <w:vAlign w:val="bottom"/>
            <w:hideMark/>
          </w:tcPr>
          <w:p w14:paraId="10771A38"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NA</w:t>
            </w:r>
          </w:p>
        </w:tc>
        <w:tc>
          <w:tcPr>
            <w:tcW w:w="561" w:type="dxa"/>
            <w:gridSpan w:val="2"/>
            <w:tcBorders>
              <w:top w:val="nil"/>
              <w:left w:val="nil"/>
              <w:bottom w:val="nil"/>
              <w:right w:val="single" w:sz="4" w:space="0" w:color="auto"/>
            </w:tcBorders>
            <w:noWrap/>
            <w:vAlign w:val="bottom"/>
            <w:hideMark/>
          </w:tcPr>
          <w:p w14:paraId="44358DCA"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0.0%</w:t>
            </w:r>
          </w:p>
        </w:tc>
        <w:tc>
          <w:tcPr>
            <w:tcW w:w="1129" w:type="dxa"/>
            <w:gridSpan w:val="2"/>
            <w:tcBorders>
              <w:top w:val="nil"/>
              <w:left w:val="nil"/>
              <w:bottom w:val="nil"/>
              <w:right w:val="single" w:sz="4" w:space="0" w:color="auto"/>
            </w:tcBorders>
            <w:noWrap/>
            <w:vAlign w:val="bottom"/>
            <w:hideMark/>
          </w:tcPr>
          <w:p w14:paraId="558D681B"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NA</w:t>
            </w:r>
          </w:p>
        </w:tc>
        <w:tc>
          <w:tcPr>
            <w:tcW w:w="740" w:type="dxa"/>
            <w:tcBorders>
              <w:top w:val="nil"/>
              <w:left w:val="nil"/>
              <w:bottom w:val="nil"/>
              <w:right w:val="single" w:sz="4" w:space="0" w:color="auto"/>
            </w:tcBorders>
            <w:noWrap/>
            <w:vAlign w:val="bottom"/>
            <w:hideMark/>
          </w:tcPr>
          <w:p w14:paraId="2CDFB8F7"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2.2%</w:t>
            </w:r>
          </w:p>
        </w:tc>
        <w:tc>
          <w:tcPr>
            <w:tcW w:w="1067" w:type="dxa"/>
            <w:tcBorders>
              <w:top w:val="nil"/>
              <w:left w:val="nil"/>
              <w:bottom w:val="nil"/>
              <w:right w:val="single" w:sz="4" w:space="0" w:color="auto"/>
            </w:tcBorders>
            <w:noWrap/>
            <w:vAlign w:val="bottom"/>
            <w:hideMark/>
          </w:tcPr>
          <w:p w14:paraId="1DC79773"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2.7%</w:t>
            </w:r>
          </w:p>
        </w:tc>
      </w:tr>
      <w:tr w:rsidR="00647300" w:rsidRPr="00883399" w14:paraId="3C0E95FC" w14:textId="77777777" w:rsidTr="009A1D64">
        <w:trPr>
          <w:trHeight w:val="301"/>
        </w:trPr>
        <w:tc>
          <w:tcPr>
            <w:tcW w:w="2134" w:type="dxa"/>
            <w:tcBorders>
              <w:top w:val="single" w:sz="4" w:space="0" w:color="auto"/>
              <w:left w:val="single" w:sz="4" w:space="0" w:color="auto"/>
              <w:bottom w:val="single" w:sz="4" w:space="0" w:color="auto"/>
              <w:right w:val="single" w:sz="4" w:space="0" w:color="auto"/>
            </w:tcBorders>
            <w:vAlign w:val="bottom"/>
            <w:hideMark/>
          </w:tcPr>
          <w:p w14:paraId="500A9E76" w14:textId="77777777" w:rsidR="00647300" w:rsidRPr="00883399" w:rsidRDefault="00647300" w:rsidP="00647300">
            <w:pPr>
              <w:rPr>
                <w:rFonts w:ascii="Calibri" w:hAnsi="Calibri"/>
                <w:color w:val="000000"/>
                <w:sz w:val="20"/>
                <w:szCs w:val="20"/>
              </w:rPr>
            </w:pPr>
            <w:r w:rsidRPr="00883399">
              <w:rPr>
                <w:rFonts w:ascii="Calibri" w:hAnsi="Calibri"/>
                <w:color w:val="000000"/>
                <w:sz w:val="20"/>
                <w:szCs w:val="20"/>
              </w:rPr>
              <w:t>Source of Uncertainty</w:t>
            </w:r>
          </w:p>
        </w:tc>
        <w:tc>
          <w:tcPr>
            <w:tcW w:w="1125" w:type="dxa"/>
            <w:tcBorders>
              <w:top w:val="single" w:sz="4" w:space="0" w:color="auto"/>
              <w:left w:val="nil"/>
              <w:bottom w:val="single" w:sz="4" w:space="0" w:color="auto"/>
              <w:right w:val="single" w:sz="4" w:space="0" w:color="auto"/>
            </w:tcBorders>
            <w:noWrap/>
            <w:vAlign w:val="bottom"/>
            <w:hideMark/>
          </w:tcPr>
          <w:p w14:paraId="426DE5F1"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a</w:t>
            </w:r>
          </w:p>
        </w:tc>
        <w:tc>
          <w:tcPr>
            <w:tcW w:w="1143" w:type="dxa"/>
            <w:tcBorders>
              <w:top w:val="single" w:sz="4" w:space="0" w:color="auto"/>
              <w:left w:val="nil"/>
              <w:bottom w:val="single" w:sz="4" w:space="0" w:color="auto"/>
              <w:right w:val="single" w:sz="4" w:space="0" w:color="auto"/>
            </w:tcBorders>
            <w:noWrap/>
            <w:vAlign w:val="bottom"/>
            <w:hideMark/>
          </w:tcPr>
          <w:p w14:paraId="0D1B168F"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b</w:t>
            </w:r>
          </w:p>
        </w:tc>
        <w:tc>
          <w:tcPr>
            <w:tcW w:w="808" w:type="dxa"/>
            <w:tcBorders>
              <w:top w:val="single" w:sz="4" w:space="0" w:color="auto"/>
              <w:left w:val="nil"/>
              <w:bottom w:val="single" w:sz="4" w:space="0" w:color="auto"/>
              <w:right w:val="single" w:sz="4" w:space="0" w:color="auto"/>
            </w:tcBorders>
            <w:noWrap/>
            <w:vAlign w:val="bottom"/>
            <w:hideMark/>
          </w:tcPr>
          <w:p w14:paraId="633D34C7"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c</w:t>
            </w:r>
          </w:p>
        </w:tc>
        <w:tc>
          <w:tcPr>
            <w:tcW w:w="873" w:type="dxa"/>
            <w:gridSpan w:val="3"/>
            <w:tcBorders>
              <w:top w:val="single" w:sz="4" w:space="0" w:color="auto"/>
              <w:left w:val="nil"/>
              <w:bottom w:val="single" w:sz="4" w:space="0" w:color="auto"/>
              <w:right w:val="single" w:sz="4" w:space="0" w:color="auto"/>
            </w:tcBorders>
            <w:noWrap/>
            <w:vAlign w:val="bottom"/>
            <w:hideMark/>
          </w:tcPr>
          <w:p w14:paraId="3E1EA569"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d</w:t>
            </w:r>
          </w:p>
        </w:tc>
        <w:tc>
          <w:tcPr>
            <w:tcW w:w="561" w:type="dxa"/>
            <w:gridSpan w:val="2"/>
            <w:tcBorders>
              <w:top w:val="single" w:sz="4" w:space="0" w:color="auto"/>
              <w:left w:val="nil"/>
              <w:bottom w:val="single" w:sz="4" w:space="0" w:color="auto"/>
              <w:right w:val="single" w:sz="4" w:space="0" w:color="auto"/>
            </w:tcBorders>
            <w:noWrap/>
            <w:vAlign w:val="bottom"/>
            <w:hideMark/>
          </w:tcPr>
          <w:p w14:paraId="38BC954C"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e</w:t>
            </w:r>
          </w:p>
        </w:tc>
        <w:tc>
          <w:tcPr>
            <w:tcW w:w="1129" w:type="dxa"/>
            <w:gridSpan w:val="2"/>
            <w:tcBorders>
              <w:top w:val="single" w:sz="4" w:space="0" w:color="auto"/>
              <w:left w:val="nil"/>
              <w:bottom w:val="single" w:sz="4" w:space="0" w:color="auto"/>
              <w:right w:val="single" w:sz="4" w:space="0" w:color="auto"/>
            </w:tcBorders>
            <w:noWrap/>
            <w:vAlign w:val="bottom"/>
            <w:hideMark/>
          </w:tcPr>
          <w:p w14:paraId="35B84A85"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f</w:t>
            </w:r>
          </w:p>
        </w:tc>
        <w:tc>
          <w:tcPr>
            <w:tcW w:w="740" w:type="dxa"/>
            <w:tcBorders>
              <w:top w:val="single" w:sz="4" w:space="0" w:color="auto"/>
              <w:left w:val="nil"/>
              <w:bottom w:val="single" w:sz="4" w:space="0" w:color="auto"/>
              <w:right w:val="single" w:sz="4" w:space="0" w:color="auto"/>
            </w:tcBorders>
            <w:noWrap/>
            <w:vAlign w:val="bottom"/>
            <w:hideMark/>
          </w:tcPr>
          <w:p w14:paraId="7A0F95D9" w14:textId="77777777" w:rsidR="00647300" w:rsidRPr="00883399" w:rsidRDefault="00647300" w:rsidP="00647300">
            <w:pPr>
              <w:jc w:val="center"/>
              <w:rPr>
                <w:rFonts w:ascii="Calibri" w:hAnsi="Calibri"/>
                <w:color w:val="000000"/>
                <w:sz w:val="22"/>
                <w:szCs w:val="22"/>
              </w:rPr>
            </w:pPr>
            <w:r w:rsidRPr="00883399">
              <w:rPr>
                <w:rFonts w:ascii="Calibri" w:hAnsi="Calibri"/>
                <w:color w:val="000000"/>
                <w:sz w:val="22"/>
                <w:szCs w:val="22"/>
              </w:rPr>
              <w:t>g</w:t>
            </w:r>
          </w:p>
        </w:tc>
        <w:tc>
          <w:tcPr>
            <w:tcW w:w="1067" w:type="dxa"/>
            <w:tcBorders>
              <w:top w:val="single" w:sz="4" w:space="0" w:color="auto"/>
              <w:left w:val="nil"/>
              <w:bottom w:val="single" w:sz="4" w:space="0" w:color="auto"/>
              <w:right w:val="single" w:sz="4" w:space="0" w:color="auto"/>
            </w:tcBorders>
            <w:noWrap/>
            <w:vAlign w:val="bottom"/>
            <w:hideMark/>
          </w:tcPr>
          <w:p w14:paraId="42F49540" w14:textId="77777777" w:rsidR="00647300" w:rsidRPr="00883399" w:rsidRDefault="00804B19" w:rsidP="00647300">
            <w:pPr>
              <w:jc w:val="center"/>
              <w:rPr>
                <w:rFonts w:ascii="Calibri" w:hAnsi="Calibri"/>
                <w:color w:val="000000"/>
                <w:sz w:val="22"/>
                <w:szCs w:val="22"/>
              </w:rPr>
            </w:pPr>
            <w:r w:rsidRPr="00883399">
              <w:rPr>
                <w:rFonts w:ascii="Calibri" w:hAnsi="Calibri"/>
                <w:color w:val="000000"/>
                <w:sz w:val="22"/>
                <w:szCs w:val="22"/>
              </w:rPr>
              <w:t>G</w:t>
            </w:r>
          </w:p>
        </w:tc>
      </w:tr>
      <w:tr w:rsidR="00647300" w:rsidRPr="00883399" w14:paraId="17990DBF" w14:textId="77777777" w:rsidTr="009A1D64">
        <w:trPr>
          <w:trHeight w:val="301"/>
        </w:trPr>
        <w:tc>
          <w:tcPr>
            <w:tcW w:w="2134" w:type="dxa"/>
            <w:tcBorders>
              <w:top w:val="nil"/>
              <w:left w:val="single" w:sz="4" w:space="0" w:color="auto"/>
              <w:bottom w:val="nil"/>
              <w:right w:val="nil"/>
            </w:tcBorders>
            <w:noWrap/>
            <w:vAlign w:val="bottom"/>
            <w:hideMark/>
          </w:tcPr>
          <w:p w14:paraId="169CC74E" w14:textId="77777777" w:rsidR="00647300" w:rsidRPr="00883399" w:rsidRDefault="00647300" w:rsidP="00647300">
            <w:pPr>
              <w:rPr>
                <w:rFonts w:ascii="Calibri" w:hAnsi="Calibri"/>
                <w:color w:val="000000"/>
                <w:sz w:val="22"/>
                <w:szCs w:val="22"/>
              </w:rPr>
            </w:pPr>
            <w:r w:rsidRPr="00883399">
              <w:rPr>
                <w:rFonts w:ascii="Calibri" w:hAnsi="Calibri"/>
                <w:color w:val="000000"/>
                <w:sz w:val="22"/>
                <w:szCs w:val="22"/>
              </w:rPr>
              <w:t> </w:t>
            </w:r>
          </w:p>
        </w:tc>
        <w:tc>
          <w:tcPr>
            <w:tcW w:w="1125" w:type="dxa"/>
            <w:tcBorders>
              <w:top w:val="nil"/>
              <w:left w:val="nil"/>
              <w:bottom w:val="nil"/>
              <w:right w:val="nil"/>
            </w:tcBorders>
            <w:noWrap/>
            <w:vAlign w:val="bottom"/>
            <w:hideMark/>
          </w:tcPr>
          <w:p w14:paraId="1796BE40" w14:textId="77777777" w:rsidR="00647300" w:rsidRPr="00883399" w:rsidRDefault="00647300" w:rsidP="00647300">
            <w:pPr>
              <w:rPr>
                <w:rFonts w:ascii="Calibri" w:hAnsi="Calibri"/>
                <w:color w:val="000000"/>
                <w:sz w:val="22"/>
                <w:szCs w:val="22"/>
              </w:rPr>
            </w:pPr>
          </w:p>
        </w:tc>
        <w:tc>
          <w:tcPr>
            <w:tcW w:w="1143" w:type="dxa"/>
            <w:tcBorders>
              <w:top w:val="nil"/>
              <w:left w:val="nil"/>
              <w:bottom w:val="nil"/>
              <w:right w:val="nil"/>
            </w:tcBorders>
            <w:noWrap/>
            <w:vAlign w:val="bottom"/>
            <w:hideMark/>
          </w:tcPr>
          <w:p w14:paraId="0D0D5899" w14:textId="77777777" w:rsidR="00647300" w:rsidRPr="00883399" w:rsidRDefault="00647300" w:rsidP="00647300">
            <w:pPr>
              <w:rPr>
                <w:rFonts w:ascii="Calibri" w:hAnsi="Calibri"/>
                <w:color w:val="000000"/>
                <w:sz w:val="22"/>
                <w:szCs w:val="22"/>
              </w:rPr>
            </w:pPr>
          </w:p>
        </w:tc>
        <w:tc>
          <w:tcPr>
            <w:tcW w:w="808" w:type="dxa"/>
            <w:tcBorders>
              <w:top w:val="nil"/>
              <w:left w:val="nil"/>
              <w:bottom w:val="nil"/>
              <w:right w:val="nil"/>
            </w:tcBorders>
            <w:noWrap/>
            <w:vAlign w:val="bottom"/>
            <w:hideMark/>
          </w:tcPr>
          <w:p w14:paraId="540C93A9" w14:textId="77777777" w:rsidR="00647300" w:rsidRPr="00883399" w:rsidRDefault="00647300" w:rsidP="00647300">
            <w:pPr>
              <w:rPr>
                <w:rFonts w:ascii="Calibri" w:hAnsi="Calibri"/>
                <w:color w:val="000000"/>
                <w:sz w:val="22"/>
                <w:szCs w:val="22"/>
              </w:rPr>
            </w:pPr>
          </w:p>
        </w:tc>
        <w:tc>
          <w:tcPr>
            <w:tcW w:w="873" w:type="dxa"/>
            <w:gridSpan w:val="3"/>
            <w:tcBorders>
              <w:top w:val="nil"/>
              <w:left w:val="nil"/>
              <w:bottom w:val="nil"/>
              <w:right w:val="nil"/>
            </w:tcBorders>
            <w:noWrap/>
            <w:vAlign w:val="bottom"/>
            <w:hideMark/>
          </w:tcPr>
          <w:p w14:paraId="0189AF70" w14:textId="77777777" w:rsidR="00647300" w:rsidRPr="00883399" w:rsidRDefault="00647300" w:rsidP="00647300">
            <w:pPr>
              <w:rPr>
                <w:rFonts w:ascii="Calibri" w:hAnsi="Calibri"/>
                <w:color w:val="000000"/>
                <w:sz w:val="22"/>
                <w:szCs w:val="22"/>
              </w:rPr>
            </w:pPr>
          </w:p>
        </w:tc>
        <w:tc>
          <w:tcPr>
            <w:tcW w:w="561" w:type="dxa"/>
            <w:gridSpan w:val="2"/>
            <w:tcBorders>
              <w:top w:val="nil"/>
              <w:left w:val="nil"/>
              <w:bottom w:val="nil"/>
              <w:right w:val="nil"/>
            </w:tcBorders>
            <w:noWrap/>
            <w:vAlign w:val="bottom"/>
            <w:hideMark/>
          </w:tcPr>
          <w:p w14:paraId="1A1C0487" w14:textId="77777777" w:rsidR="00647300" w:rsidRPr="00883399" w:rsidRDefault="00647300" w:rsidP="00647300">
            <w:pPr>
              <w:rPr>
                <w:rFonts w:ascii="Calibri" w:hAnsi="Calibri"/>
                <w:color w:val="000000"/>
                <w:sz w:val="22"/>
                <w:szCs w:val="22"/>
              </w:rPr>
            </w:pPr>
          </w:p>
        </w:tc>
        <w:tc>
          <w:tcPr>
            <w:tcW w:w="1129" w:type="dxa"/>
            <w:gridSpan w:val="2"/>
            <w:tcBorders>
              <w:top w:val="nil"/>
              <w:left w:val="nil"/>
              <w:bottom w:val="nil"/>
              <w:right w:val="nil"/>
            </w:tcBorders>
            <w:noWrap/>
            <w:vAlign w:val="bottom"/>
            <w:hideMark/>
          </w:tcPr>
          <w:p w14:paraId="3FE6624C" w14:textId="77777777" w:rsidR="00647300" w:rsidRPr="00883399" w:rsidRDefault="00647300" w:rsidP="00647300">
            <w:pPr>
              <w:rPr>
                <w:rFonts w:ascii="Calibri" w:hAnsi="Calibri"/>
                <w:color w:val="000000"/>
                <w:sz w:val="22"/>
                <w:szCs w:val="22"/>
              </w:rPr>
            </w:pPr>
          </w:p>
        </w:tc>
        <w:tc>
          <w:tcPr>
            <w:tcW w:w="740" w:type="dxa"/>
            <w:tcBorders>
              <w:top w:val="nil"/>
              <w:left w:val="nil"/>
              <w:bottom w:val="nil"/>
              <w:right w:val="nil"/>
            </w:tcBorders>
            <w:noWrap/>
            <w:vAlign w:val="bottom"/>
            <w:hideMark/>
          </w:tcPr>
          <w:p w14:paraId="0455C5E2" w14:textId="77777777" w:rsidR="00647300" w:rsidRPr="00883399" w:rsidRDefault="00647300" w:rsidP="00647300">
            <w:pPr>
              <w:rPr>
                <w:rFonts w:ascii="Calibri" w:hAnsi="Calibri"/>
                <w:color w:val="000000"/>
                <w:sz w:val="22"/>
                <w:szCs w:val="22"/>
              </w:rPr>
            </w:pPr>
          </w:p>
        </w:tc>
        <w:tc>
          <w:tcPr>
            <w:tcW w:w="1067" w:type="dxa"/>
            <w:tcBorders>
              <w:top w:val="nil"/>
              <w:left w:val="nil"/>
              <w:bottom w:val="nil"/>
              <w:right w:val="single" w:sz="4" w:space="0" w:color="auto"/>
            </w:tcBorders>
            <w:noWrap/>
            <w:vAlign w:val="bottom"/>
            <w:hideMark/>
          </w:tcPr>
          <w:p w14:paraId="699516D0" w14:textId="77777777" w:rsidR="00647300" w:rsidRPr="00883399" w:rsidRDefault="00647300" w:rsidP="00647300">
            <w:pPr>
              <w:rPr>
                <w:rFonts w:ascii="Calibri" w:hAnsi="Calibri"/>
                <w:color w:val="000000"/>
                <w:sz w:val="22"/>
                <w:szCs w:val="22"/>
              </w:rPr>
            </w:pPr>
            <w:r w:rsidRPr="00883399">
              <w:rPr>
                <w:rFonts w:ascii="Calibri" w:hAnsi="Calibri"/>
                <w:color w:val="000000"/>
                <w:sz w:val="22"/>
                <w:szCs w:val="22"/>
              </w:rPr>
              <w:t> </w:t>
            </w:r>
          </w:p>
        </w:tc>
      </w:tr>
      <w:tr w:rsidR="00647300" w:rsidRPr="00883399" w14:paraId="3FDB0098" w14:textId="77777777" w:rsidTr="009A1D64">
        <w:trPr>
          <w:trHeight w:val="301"/>
        </w:trPr>
        <w:tc>
          <w:tcPr>
            <w:tcW w:w="8513" w:type="dxa"/>
            <w:gridSpan w:val="12"/>
            <w:tcBorders>
              <w:top w:val="single" w:sz="4" w:space="0" w:color="auto"/>
              <w:left w:val="single" w:sz="4" w:space="0" w:color="auto"/>
              <w:bottom w:val="single" w:sz="4" w:space="0" w:color="auto"/>
              <w:right w:val="single" w:sz="4" w:space="0" w:color="auto"/>
            </w:tcBorders>
            <w:vAlign w:val="bottom"/>
            <w:hideMark/>
          </w:tcPr>
          <w:p w14:paraId="65B1063E" w14:textId="77777777" w:rsidR="00647300" w:rsidRPr="00883399" w:rsidRDefault="00647300" w:rsidP="00647300">
            <w:pPr>
              <w:rPr>
                <w:rFonts w:ascii="Calibri" w:hAnsi="Calibri"/>
                <w:b/>
                <w:bCs/>
                <w:color w:val="000000"/>
                <w:sz w:val="20"/>
                <w:szCs w:val="20"/>
              </w:rPr>
            </w:pPr>
            <w:r w:rsidRPr="00883399">
              <w:rPr>
                <w:rFonts w:ascii="Calibri" w:hAnsi="Calibri"/>
                <w:b/>
                <w:bCs/>
                <w:color w:val="000000"/>
                <w:sz w:val="20"/>
                <w:szCs w:val="20"/>
              </w:rPr>
              <w:t>Facility 2 Subtotal</w:t>
            </w:r>
          </w:p>
        </w:tc>
        <w:tc>
          <w:tcPr>
            <w:tcW w:w="1067" w:type="dxa"/>
            <w:tcBorders>
              <w:top w:val="single" w:sz="4" w:space="0" w:color="auto"/>
              <w:left w:val="nil"/>
              <w:bottom w:val="single" w:sz="4" w:space="0" w:color="auto"/>
              <w:right w:val="single" w:sz="4" w:space="0" w:color="auto"/>
            </w:tcBorders>
            <w:noWrap/>
            <w:vAlign w:val="bottom"/>
            <w:hideMark/>
          </w:tcPr>
          <w:p w14:paraId="534958A8" w14:textId="77777777" w:rsidR="00647300" w:rsidRPr="00883399" w:rsidRDefault="00647300" w:rsidP="00647300">
            <w:pPr>
              <w:jc w:val="center"/>
              <w:rPr>
                <w:rFonts w:ascii="Calibri" w:hAnsi="Calibri"/>
                <w:b/>
                <w:bCs/>
                <w:color w:val="000000"/>
                <w:sz w:val="22"/>
                <w:szCs w:val="22"/>
              </w:rPr>
            </w:pPr>
            <w:r w:rsidRPr="00883399">
              <w:rPr>
                <w:rFonts w:ascii="Calibri" w:hAnsi="Calibri"/>
                <w:b/>
                <w:bCs/>
                <w:color w:val="000000"/>
                <w:sz w:val="22"/>
                <w:szCs w:val="22"/>
              </w:rPr>
              <w:t>24,854</w:t>
            </w:r>
          </w:p>
        </w:tc>
      </w:tr>
      <w:tr w:rsidR="00647300" w:rsidRPr="00883399" w14:paraId="7E3AA29E" w14:textId="77777777" w:rsidTr="009A1D64">
        <w:trPr>
          <w:trHeight w:val="301"/>
        </w:trPr>
        <w:tc>
          <w:tcPr>
            <w:tcW w:w="8513" w:type="dxa"/>
            <w:gridSpan w:val="12"/>
            <w:tcBorders>
              <w:top w:val="nil"/>
              <w:left w:val="single" w:sz="4" w:space="0" w:color="auto"/>
              <w:bottom w:val="single" w:sz="4" w:space="0" w:color="auto"/>
              <w:right w:val="single" w:sz="4" w:space="0" w:color="auto"/>
            </w:tcBorders>
            <w:vAlign w:val="bottom"/>
            <w:hideMark/>
          </w:tcPr>
          <w:p w14:paraId="4FB29FB5" w14:textId="77777777" w:rsidR="00647300" w:rsidRPr="00883399" w:rsidRDefault="00647300" w:rsidP="00647300">
            <w:pPr>
              <w:rPr>
                <w:rFonts w:ascii="Calibri" w:hAnsi="Calibri"/>
                <w:color w:val="000000"/>
                <w:sz w:val="20"/>
                <w:szCs w:val="20"/>
              </w:rPr>
            </w:pPr>
            <w:r w:rsidRPr="00883399">
              <w:rPr>
                <w:rFonts w:ascii="Calibri" w:hAnsi="Calibri"/>
                <w:color w:val="000000"/>
                <w:sz w:val="20"/>
                <w:szCs w:val="20"/>
              </w:rPr>
              <w:t>Uncertainty</w:t>
            </w:r>
          </w:p>
        </w:tc>
        <w:tc>
          <w:tcPr>
            <w:tcW w:w="1067" w:type="dxa"/>
            <w:tcBorders>
              <w:top w:val="nil"/>
              <w:left w:val="nil"/>
              <w:bottom w:val="single" w:sz="4" w:space="0" w:color="auto"/>
              <w:right w:val="single" w:sz="4" w:space="0" w:color="auto"/>
            </w:tcBorders>
            <w:noWrap/>
            <w:vAlign w:val="bottom"/>
            <w:hideMark/>
          </w:tcPr>
          <w:p w14:paraId="12A5D074"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2.7%</w:t>
            </w:r>
          </w:p>
        </w:tc>
      </w:tr>
      <w:tr w:rsidR="00647300" w:rsidRPr="00883399" w14:paraId="04091F52" w14:textId="77777777" w:rsidTr="009A1D64">
        <w:trPr>
          <w:trHeight w:val="301"/>
        </w:trPr>
        <w:tc>
          <w:tcPr>
            <w:tcW w:w="8513" w:type="dxa"/>
            <w:gridSpan w:val="12"/>
            <w:tcBorders>
              <w:top w:val="nil"/>
              <w:left w:val="single" w:sz="4" w:space="0" w:color="auto"/>
              <w:bottom w:val="single" w:sz="4" w:space="0" w:color="auto"/>
              <w:right w:val="single" w:sz="4" w:space="0" w:color="auto"/>
            </w:tcBorders>
            <w:vAlign w:val="bottom"/>
            <w:hideMark/>
          </w:tcPr>
          <w:p w14:paraId="2A7D753F" w14:textId="77777777" w:rsidR="00647300" w:rsidRPr="00883399" w:rsidRDefault="00647300" w:rsidP="00647300">
            <w:pPr>
              <w:rPr>
                <w:rFonts w:ascii="Calibri" w:hAnsi="Calibri"/>
                <w:color w:val="000000"/>
                <w:sz w:val="20"/>
                <w:szCs w:val="20"/>
              </w:rPr>
            </w:pPr>
            <w:r w:rsidRPr="00883399">
              <w:rPr>
                <w:rFonts w:ascii="Calibri" w:hAnsi="Calibri"/>
                <w:color w:val="000000"/>
                <w:sz w:val="20"/>
                <w:szCs w:val="20"/>
              </w:rPr>
              <w:t>Source of Uncertainty</w:t>
            </w:r>
          </w:p>
        </w:tc>
        <w:tc>
          <w:tcPr>
            <w:tcW w:w="1067" w:type="dxa"/>
            <w:tcBorders>
              <w:top w:val="nil"/>
              <w:left w:val="nil"/>
              <w:bottom w:val="single" w:sz="4" w:space="0" w:color="auto"/>
              <w:right w:val="single" w:sz="4" w:space="0" w:color="auto"/>
            </w:tcBorders>
            <w:noWrap/>
            <w:vAlign w:val="bottom"/>
            <w:hideMark/>
          </w:tcPr>
          <w:p w14:paraId="2A07B074" w14:textId="77777777" w:rsidR="00647300" w:rsidRPr="00883399" w:rsidRDefault="00804B19" w:rsidP="00647300">
            <w:pPr>
              <w:jc w:val="center"/>
              <w:rPr>
                <w:rFonts w:ascii="Calibri" w:hAnsi="Calibri"/>
                <w:color w:val="000000"/>
                <w:sz w:val="20"/>
                <w:szCs w:val="20"/>
              </w:rPr>
            </w:pPr>
            <w:r w:rsidRPr="00883399">
              <w:rPr>
                <w:rFonts w:ascii="Calibri" w:hAnsi="Calibri"/>
                <w:color w:val="000000"/>
                <w:sz w:val="20"/>
                <w:szCs w:val="20"/>
              </w:rPr>
              <w:t>H</w:t>
            </w:r>
          </w:p>
        </w:tc>
      </w:tr>
      <w:tr w:rsidR="00647300" w:rsidRPr="00883399" w14:paraId="73147090" w14:textId="77777777" w:rsidTr="009A1D64">
        <w:trPr>
          <w:trHeight w:val="301"/>
        </w:trPr>
        <w:tc>
          <w:tcPr>
            <w:tcW w:w="2134" w:type="dxa"/>
            <w:tcBorders>
              <w:top w:val="nil"/>
              <w:left w:val="nil"/>
              <w:bottom w:val="nil"/>
              <w:right w:val="nil"/>
            </w:tcBorders>
            <w:noWrap/>
            <w:vAlign w:val="bottom"/>
            <w:hideMark/>
          </w:tcPr>
          <w:p w14:paraId="6D0343B6" w14:textId="77777777" w:rsidR="00647300" w:rsidRPr="00883399" w:rsidRDefault="00647300" w:rsidP="00647300">
            <w:pPr>
              <w:rPr>
                <w:rFonts w:ascii="Calibri" w:hAnsi="Calibri"/>
                <w:color w:val="000000"/>
                <w:sz w:val="22"/>
                <w:szCs w:val="22"/>
              </w:rPr>
            </w:pPr>
          </w:p>
        </w:tc>
        <w:tc>
          <w:tcPr>
            <w:tcW w:w="1125" w:type="dxa"/>
            <w:tcBorders>
              <w:top w:val="nil"/>
              <w:left w:val="nil"/>
              <w:bottom w:val="nil"/>
              <w:right w:val="nil"/>
            </w:tcBorders>
            <w:noWrap/>
            <w:vAlign w:val="bottom"/>
            <w:hideMark/>
          </w:tcPr>
          <w:p w14:paraId="31497C6D" w14:textId="77777777" w:rsidR="00647300" w:rsidRPr="00883399" w:rsidRDefault="00647300" w:rsidP="00647300">
            <w:pPr>
              <w:rPr>
                <w:rFonts w:ascii="Calibri" w:hAnsi="Calibri"/>
                <w:color w:val="000000"/>
                <w:sz w:val="22"/>
                <w:szCs w:val="22"/>
              </w:rPr>
            </w:pPr>
          </w:p>
        </w:tc>
        <w:tc>
          <w:tcPr>
            <w:tcW w:w="1143" w:type="dxa"/>
            <w:tcBorders>
              <w:top w:val="nil"/>
              <w:left w:val="nil"/>
              <w:bottom w:val="nil"/>
              <w:right w:val="nil"/>
            </w:tcBorders>
            <w:noWrap/>
            <w:vAlign w:val="bottom"/>
            <w:hideMark/>
          </w:tcPr>
          <w:p w14:paraId="6B373D3C" w14:textId="77777777" w:rsidR="00647300" w:rsidRPr="00883399" w:rsidRDefault="00647300" w:rsidP="00647300">
            <w:pPr>
              <w:rPr>
                <w:rFonts w:ascii="Calibri" w:hAnsi="Calibri"/>
                <w:color w:val="000000"/>
                <w:sz w:val="22"/>
                <w:szCs w:val="22"/>
              </w:rPr>
            </w:pPr>
          </w:p>
        </w:tc>
        <w:tc>
          <w:tcPr>
            <w:tcW w:w="1372" w:type="dxa"/>
            <w:gridSpan w:val="2"/>
            <w:tcBorders>
              <w:top w:val="nil"/>
              <w:left w:val="nil"/>
              <w:bottom w:val="nil"/>
              <w:right w:val="nil"/>
            </w:tcBorders>
            <w:noWrap/>
            <w:vAlign w:val="bottom"/>
            <w:hideMark/>
          </w:tcPr>
          <w:p w14:paraId="41350641" w14:textId="77777777" w:rsidR="00647300" w:rsidRPr="00883399" w:rsidRDefault="00647300" w:rsidP="00647300">
            <w:pPr>
              <w:rPr>
                <w:rFonts w:ascii="Calibri" w:hAnsi="Calibri"/>
                <w:color w:val="000000"/>
                <w:sz w:val="22"/>
                <w:szCs w:val="22"/>
              </w:rPr>
            </w:pPr>
          </w:p>
        </w:tc>
        <w:tc>
          <w:tcPr>
            <w:tcW w:w="546" w:type="dxa"/>
            <w:gridSpan w:val="3"/>
            <w:tcBorders>
              <w:top w:val="nil"/>
              <w:left w:val="nil"/>
              <w:bottom w:val="nil"/>
              <w:right w:val="nil"/>
            </w:tcBorders>
            <w:noWrap/>
            <w:vAlign w:val="bottom"/>
            <w:hideMark/>
          </w:tcPr>
          <w:p w14:paraId="2A3DD557" w14:textId="77777777" w:rsidR="00647300" w:rsidRPr="00883399" w:rsidRDefault="00647300" w:rsidP="00647300">
            <w:pPr>
              <w:rPr>
                <w:rFonts w:ascii="Calibri" w:hAnsi="Calibri"/>
                <w:color w:val="000000"/>
                <w:sz w:val="22"/>
                <w:szCs w:val="22"/>
              </w:rPr>
            </w:pPr>
          </w:p>
        </w:tc>
        <w:tc>
          <w:tcPr>
            <w:tcW w:w="727" w:type="dxa"/>
            <w:gridSpan w:val="2"/>
            <w:tcBorders>
              <w:top w:val="nil"/>
              <w:left w:val="nil"/>
              <w:bottom w:val="nil"/>
              <w:right w:val="nil"/>
            </w:tcBorders>
            <w:noWrap/>
            <w:vAlign w:val="bottom"/>
            <w:hideMark/>
          </w:tcPr>
          <w:p w14:paraId="212E2966" w14:textId="77777777" w:rsidR="00647300" w:rsidRPr="00883399" w:rsidRDefault="00647300" w:rsidP="00647300">
            <w:pPr>
              <w:rPr>
                <w:rFonts w:ascii="Calibri" w:hAnsi="Calibri"/>
                <w:color w:val="000000"/>
                <w:sz w:val="22"/>
                <w:szCs w:val="22"/>
              </w:rPr>
            </w:pPr>
          </w:p>
        </w:tc>
        <w:tc>
          <w:tcPr>
            <w:tcW w:w="726" w:type="dxa"/>
            <w:tcBorders>
              <w:top w:val="nil"/>
              <w:left w:val="nil"/>
              <w:bottom w:val="nil"/>
              <w:right w:val="nil"/>
            </w:tcBorders>
            <w:noWrap/>
            <w:vAlign w:val="bottom"/>
            <w:hideMark/>
          </w:tcPr>
          <w:p w14:paraId="02F6E9C7" w14:textId="77777777" w:rsidR="00647300" w:rsidRPr="00883399" w:rsidRDefault="00647300" w:rsidP="00647300">
            <w:pPr>
              <w:rPr>
                <w:rFonts w:ascii="Calibri" w:hAnsi="Calibri"/>
                <w:color w:val="000000"/>
                <w:sz w:val="22"/>
                <w:szCs w:val="22"/>
              </w:rPr>
            </w:pPr>
          </w:p>
        </w:tc>
        <w:tc>
          <w:tcPr>
            <w:tcW w:w="740" w:type="dxa"/>
            <w:tcBorders>
              <w:top w:val="nil"/>
              <w:left w:val="nil"/>
              <w:bottom w:val="nil"/>
              <w:right w:val="nil"/>
            </w:tcBorders>
            <w:noWrap/>
            <w:vAlign w:val="bottom"/>
            <w:hideMark/>
          </w:tcPr>
          <w:p w14:paraId="557321DA" w14:textId="77777777" w:rsidR="00647300" w:rsidRPr="00883399" w:rsidRDefault="00647300" w:rsidP="00647300">
            <w:pPr>
              <w:rPr>
                <w:rFonts w:ascii="Calibri" w:hAnsi="Calibri"/>
                <w:color w:val="000000"/>
                <w:sz w:val="22"/>
                <w:szCs w:val="22"/>
              </w:rPr>
            </w:pPr>
          </w:p>
        </w:tc>
        <w:tc>
          <w:tcPr>
            <w:tcW w:w="1067" w:type="dxa"/>
            <w:tcBorders>
              <w:top w:val="nil"/>
              <w:left w:val="nil"/>
              <w:bottom w:val="nil"/>
              <w:right w:val="nil"/>
            </w:tcBorders>
            <w:noWrap/>
            <w:vAlign w:val="bottom"/>
            <w:hideMark/>
          </w:tcPr>
          <w:p w14:paraId="3CE688A2" w14:textId="77777777" w:rsidR="00647300" w:rsidRPr="00883399" w:rsidRDefault="00647300" w:rsidP="00647300">
            <w:pPr>
              <w:rPr>
                <w:rFonts w:ascii="Calibri" w:hAnsi="Calibri"/>
                <w:color w:val="000000"/>
                <w:sz w:val="22"/>
                <w:szCs w:val="22"/>
              </w:rPr>
            </w:pPr>
          </w:p>
        </w:tc>
      </w:tr>
      <w:tr w:rsidR="00647300" w:rsidRPr="00883399" w14:paraId="70444DD7" w14:textId="77777777" w:rsidTr="009A1D64">
        <w:trPr>
          <w:trHeight w:val="301"/>
        </w:trPr>
        <w:tc>
          <w:tcPr>
            <w:tcW w:w="8513" w:type="dxa"/>
            <w:gridSpan w:val="12"/>
            <w:tcBorders>
              <w:top w:val="single" w:sz="4" w:space="0" w:color="auto"/>
              <w:left w:val="single" w:sz="4" w:space="0" w:color="auto"/>
              <w:bottom w:val="single" w:sz="4" w:space="0" w:color="auto"/>
              <w:right w:val="single" w:sz="4" w:space="0" w:color="auto"/>
            </w:tcBorders>
            <w:vAlign w:val="bottom"/>
            <w:hideMark/>
          </w:tcPr>
          <w:p w14:paraId="722F299D" w14:textId="77777777" w:rsidR="00647300" w:rsidRPr="00883399" w:rsidRDefault="00647300" w:rsidP="00647300">
            <w:pPr>
              <w:rPr>
                <w:rFonts w:ascii="Calibri" w:hAnsi="Calibri"/>
                <w:b/>
                <w:bCs/>
                <w:color w:val="000000"/>
                <w:sz w:val="20"/>
                <w:szCs w:val="20"/>
              </w:rPr>
            </w:pPr>
            <w:r w:rsidRPr="00883399">
              <w:rPr>
                <w:rFonts w:ascii="Calibri" w:hAnsi="Calibri"/>
                <w:b/>
                <w:bCs/>
                <w:color w:val="000000"/>
                <w:sz w:val="20"/>
                <w:szCs w:val="20"/>
              </w:rPr>
              <w:t>Corporation Total - CO</w:t>
            </w:r>
            <w:r w:rsidRPr="00883399">
              <w:rPr>
                <w:rFonts w:ascii="Calibri" w:hAnsi="Calibri"/>
                <w:b/>
                <w:bCs/>
                <w:color w:val="000000"/>
                <w:sz w:val="20"/>
                <w:szCs w:val="20"/>
                <w:vertAlign w:val="subscript"/>
              </w:rPr>
              <w:t xml:space="preserve">2 </w:t>
            </w:r>
            <w:r w:rsidRPr="00883399">
              <w:rPr>
                <w:rFonts w:ascii="Calibri" w:hAnsi="Calibri"/>
                <w:b/>
                <w:bCs/>
                <w:color w:val="000000"/>
                <w:sz w:val="20"/>
                <w:szCs w:val="20"/>
              </w:rPr>
              <w:t>emissions</w:t>
            </w:r>
          </w:p>
        </w:tc>
        <w:tc>
          <w:tcPr>
            <w:tcW w:w="1067" w:type="dxa"/>
            <w:tcBorders>
              <w:top w:val="single" w:sz="4" w:space="0" w:color="auto"/>
              <w:left w:val="nil"/>
              <w:bottom w:val="single" w:sz="4" w:space="0" w:color="auto"/>
              <w:right w:val="single" w:sz="4" w:space="0" w:color="auto"/>
            </w:tcBorders>
            <w:noWrap/>
            <w:vAlign w:val="bottom"/>
            <w:hideMark/>
          </w:tcPr>
          <w:p w14:paraId="165C5C0E" w14:textId="77777777" w:rsidR="00647300" w:rsidRPr="00883399" w:rsidRDefault="00647300" w:rsidP="00647300">
            <w:pPr>
              <w:jc w:val="center"/>
              <w:rPr>
                <w:rFonts w:ascii="Calibri" w:hAnsi="Calibri"/>
                <w:b/>
                <w:bCs/>
                <w:color w:val="000000"/>
                <w:sz w:val="22"/>
                <w:szCs w:val="22"/>
              </w:rPr>
            </w:pPr>
            <w:r w:rsidRPr="00883399">
              <w:rPr>
                <w:rFonts w:ascii="Calibri" w:hAnsi="Calibri"/>
                <w:b/>
                <w:bCs/>
                <w:color w:val="000000"/>
                <w:sz w:val="22"/>
                <w:szCs w:val="22"/>
              </w:rPr>
              <w:t>38,648</w:t>
            </w:r>
          </w:p>
        </w:tc>
      </w:tr>
      <w:tr w:rsidR="00647300" w:rsidRPr="00883399" w14:paraId="5B118FBD" w14:textId="77777777" w:rsidTr="009A1D64">
        <w:trPr>
          <w:trHeight w:val="301"/>
        </w:trPr>
        <w:tc>
          <w:tcPr>
            <w:tcW w:w="8513" w:type="dxa"/>
            <w:gridSpan w:val="12"/>
            <w:tcBorders>
              <w:top w:val="single" w:sz="4" w:space="0" w:color="auto"/>
              <w:left w:val="single" w:sz="4" w:space="0" w:color="auto"/>
              <w:bottom w:val="single" w:sz="4" w:space="0" w:color="auto"/>
              <w:right w:val="single" w:sz="4" w:space="0" w:color="auto"/>
            </w:tcBorders>
            <w:vAlign w:val="bottom"/>
            <w:hideMark/>
          </w:tcPr>
          <w:p w14:paraId="076B1942" w14:textId="77777777" w:rsidR="00647300" w:rsidRPr="00883399" w:rsidRDefault="00647300" w:rsidP="00647300">
            <w:pPr>
              <w:rPr>
                <w:rFonts w:ascii="Calibri" w:hAnsi="Calibri"/>
                <w:color w:val="000000"/>
                <w:sz w:val="20"/>
                <w:szCs w:val="20"/>
              </w:rPr>
            </w:pPr>
            <w:r w:rsidRPr="00883399">
              <w:rPr>
                <w:rFonts w:ascii="Calibri" w:hAnsi="Calibri"/>
                <w:color w:val="000000"/>
                <w:sz w:val="20"/>
                <w:szCs w:val="20"/>
              </w:rPr>
              <w:t>Uncertainty</w:t>
            </w:r>
          </w:p>
        </w:tc>
        <w:tc>
          <w:tcPr>
            <w:tcW w:w="1067" w:type="dxa"/>
            <w:tcBorders>
              <w:top w:val="nil"/>
              <w:left w:val="nil"/>
              <w:bottom w:val="single" w:sz="4" w:space="0" w:color="auto"/>
              <w:right w:val="single" w:sz="4" w:space="0" w:color="auto"/>
            </w:tcBorders>
            <w:noWrap/>
            <w:vAlign w:val="bottom"/>
            <w:hideMark/>
          </w:tcPr>
          <w:p w14:paraId="32B4BF09"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2.1%</w:t>
            </w:r>
          </w:p>
        </w:tc>
      </w:tr>
      <w:tr w:rsidR="00647300" w:rsidRPr="00883399" w14:paraId="4B8868E9" w14:textId="77777777" w:rsidTr="009A1D64">
        <w:trPr>
          <w:trHeight w:val="301"/>
        </w:trPr>
        <w:tc>
          <w:tcPr>
            <w:tcW w:w="8513" w:type="dxa"/>
            <w:gridSpan w:val="12"/>
            <w:tcBorders>
              <w:top w:val="nil"/>
              <w:left w:val="single" w:sz="4" w:space="0" w:color="auto"/>
              <w:bottom w:val="single" w:sz="4" w:space="0" w:color="auto"/>
              <w:right w:val="single" w:sz="4" w:space="0" w:color="auto"/>
            </w:tcBorders>
            <w:vAlign w:val="bottom"/>
            <w:hideMark/>
          </w:tcPr>
          <w:p w14:paraId="4BC42CD6" w14:textId="77777777" w:rsidR="00647300" w:rsidRPr="00883399" w:rsidRDefault="00647300" w:rsidP="00647300">
            <w:pPr>
              <w:rPr>
                <w:rFonts w:ascii="Calibri" w:hAnsi="Calibri"/>
                <w:color w:val="000000"/>
                <w:sz w:val="20"/>
                <w:szCs w:val="20"/>
              </w:rPr>
            </w:pPr>
            <w:r w:rsidRPr="00883399">
              <w:rPr>
                <w:rFonts w:ascii="Calibri" w:hAnsi="Calibri"/>
                <w:color w:val="000000"/>
                <w:sz w:val="20"/>
                <w:szCs w:val="20"/>
              </w:rPr>
              <w:t>Source of Uncertainty</w:t>
            </w:r>
          </w:p>
        </w:tc>
        <w:tc>
          <w:tcPr>
            <w:tcW w:w="1067" w:type="dxa"/>
            <w:tcBorders>
              <w:top w:val="nil"/>
              <w:left w:val="nil"/>
              <w:bottom w:val="single" w:sz="4" w:space="0" w:color="auto"/>
              <w:right w:val="single" w:sz="4" w:space="0" w:color="auto"/>
            </w:tcBorders>
            <w:noWrap/>
            <w:vAlign w:val="bottom"/>
            <w:hideMark/>
          </w:tcPr>
          <w:p w14:paraId="3FF8EC27" w14:textId="77777777" w:rsidR="00647300" w:rsidRPr="00883399" w:rsidRDefault="00804B19" w:rsidP="00647300">
            <w:pPr>
              <w:jc w:val="center"/>
              <w:rPr>
                <w:rFonts w:ascii="Calibri" w:hAnsi="Calibri"/>
                <w:color w:val="000000"/>
                <w:sz w:val="20"/>
                <w:szCs w:val="20"/>
              </w:rPr>
            </w:pPr>
            <w:r w:rsidRPr="00883399">
              <w:rPr>
                <w:rFonts w:ascii="Calibri" w:hAnsi="Calibri"/>
                <w:color w:val="000000"/>
                <w:sz w:val="20"/>
                <w:szCs w:val="20"/>
              </w:rPr>
              <w:t>H</w:t>
            </w:r>
          </w:p>
        </w:tc>
      </w:tr>
      <w:tr w:rsidR="00647300" w:rsidRPr="00883399" w14:paraId="2D90AB3E" w14:textId="77777777" w:rsidTr="009A1D64">
        <w:trPr>
          <w:trHeight w:val="301"/>
        </w:trPr>
        <w:tc>
          <w:tcPr>
            <w:tcW w:w="2134" w:type="dxa"/>
            <w:tcBorders>
              <w:top w:val="nil"/>
              <w:left w:val="nil"/>
              <w:bottom w:val="nil"/>
              <w:right w:val="nil"/>
            </w:tcBorders>
            <w:noWrap/>
            <w:vAlign w:val="bottom"/>
            <w:hideMark/>
          </w:tcPr>
          <w:p w14:paraId="4B2D9D31" w14:textId="77777777" w:rsidR="00647300" w:rsidRPr="00883399" w:rsidRDefault="00647300" w:rsidP="00647300">
            <w:pPr>
              <w:rPr>
                <w:rFonts w:ascii="Calibri" w:hAnsi="Calibri"/>
                <w:color w:val="000000"/>
                <w:sz w:val="22"/>
                <w:szCs w:val="22"/>
              </w:rPr>
            </w:pPr>
          </w:p>
        </w:tc>
        <w:tc>
          <w:tcPr>
            <w:tcW w:w="1125" w:type="dxa"/>
            <w:tcBorders>
              <w:top w:val="nil"/>
              <w:left w:val="nil"/>
              <w:bottom w:val="nil"/>
              <w:right w:val="nil"/>
            </w:tcBorders>
            <w:noWrap/>
            <w:vAlign w:val="bottom"/>
            <w:hideMark/>
          </w:tcPr>
          <w:p w14:paraId="2FF445E1" w14:textId="77777777" w:rsidR="00647300" w:rsidRPr="00883399" w:rsidRDefault="00647300" w:rsidP="00647300">
            <w:pPr>
              <w:rPr>
                <w:rFonts w:ascii="Calibri" w:hAnsi="Calibri"/>
                <w:color w:val="000000"/>
                <w:sz w:val="22"/>
                <w:szCs w:val="22"/>
              </w:rPr>
            </w:pPr>
          </w:p>
        </w:tc>
        <w:tc>
          <w:tcPr>
            <w:tcW w:w="1143" w:type="dxa"/>
            <w:tcBorders>
              <w:top w:val="nil"/>
              <w:left w:val="nil"/>
              <w:bottom w:val="nil"/>
              <w:right w:val="nil"/>
            </w:tcBorders>
            <w:noWrap/>
            <w:vAlign w:val="bottom"/>
            <w:hideMark/>
          </w:tcPr>
          <w:p w14:paraId="4929A3DA" w14:textId="77777777" w:rsidR="00647300" w:rsidRPr="00883399" w:rsidRDefault="00647300" w:rsidP="00647300">
            <w:pPr>
              <w:rPr>
                <w:rFonts w:ascii="Calibri" w:hAnsi="Calibri"/>
                <w:color w:val="000000"/>
                <w:sz w:val="22"/>
                <w:szCs w:val="22"/>
              </w:rPr>
            </w:pPr>
          </w:p>
        </w:tc>
        <w:tc>
          <w:tcPr>
            <w:tcW w:w="1372" w:type="dxa"/>
            <w:gridSpan w:val="2"/>
            <w:tcBorders>
              <w:top w:val="nil"/>
              <w:left w:val="nil"/>
              <w:bottom w:val="nil"/>
              <w:right w:val="nil"/>
            </w:tcBorders>
            <w:noWrap/>
            <w:vAlign w:val="bottom"/>
            <w:hideMark/>
          </w:tcPr>
          <w:p w14:paraId="5D7FB73D" w14:textId="77777777" w:rsidR="00647300" w:rsidRPr="00883399" w:rsidRDefault="00647300" w:rsidP="00647300">
            <w:pPr>
              <w:rPr>
                <w:rFonts w:ascii="Calibri" w:hAnsi="Calibri"/>
                <w:color w:val="000000"/>
                <w:sz w:val="22"/>
                <w:szCs w:val="22"/>
              </w:rPr>
            </w:pPr>
          </w:p>
        </w:tc>
        <w:tc>
          <w:tcPr>
            <w:tcW w:w="546" w:type="dxa"/>
            <w:gridSpan w:val="3"/>
            <w:tcBorders>
              <w:top w:val="nil"/>
              <w:left w:val="nil"/>
              <w:bottom w:val="nil"/>
              <w:right w:val="nil"/>
            </w:tcBorders>
            <w:noWrap/>
            <w:vAlign w:val="bottom"/>
            <w:hideMark/>
          </w:tcPr>
          <w:p w14:paraId="07A57F39" w14:textId="77777777" w:rsidR="00647300" w:rsidRPr="00883399" w:rsidRDefault="00647300" w:rsidP="00647300">
            <w:pPr>
              <w:rPr>
                <w:rFonts w:ascii="Calibri" w:hAnsi="Calibri"/>
                <w:color w:val="000000"/>
                <w:sz w:val="22"/>
                <w:szCs w:val="22"/>
              </w:rPr>
            </w:pPr>
          </w:p>
        </w:tc>
        <w:tc>
          <w:tcPr>
            <w:tcW w:w="727" w:type="dxa"/>
            <w:gridSpan w:val="2"/>
            <w:tcBorders>
              <w:top w:val="nil"/>
              <w:left w:val="nil"/>
              <w:bottom w:val="nil"/>
              <w:right w:val="nil"/>
            </w:tcBorders>
            <w:noWrap/>
            <w:vAlign w:val="bottom"/>
            <w:hideMark/>
          </w:tcPr>
          <w:p w14:paraId="730E5BEF" w14:textId="77777777" w:rsidR="00647300" w:rsidRPr="00883399" w:rsidRDefault="00647300" w:rsidP="00647300">
            <w:pPr>
              <w:rPr>
                <w:rFonts w:ascii="Calibri" w:hAnsi="Calibri"/>
                <w:color w:val="000000"/>
                <w:sz w:val="22"/>
                <w:szCs w:val="22"/>
              </w:rPr>
            </w:pPr>
          </w:p>
        </w:tc>
        <w:tc>
          <w:tcPr>
            <w:tcW w:w="726" w:type="dxa"/>
            <w:tcBorders>
              <w:top w:val="nil"/>
              <w:left w:val="nil"/>
              <w:bottom w:val="nil"/>
              <w:right w:val="nil"/>
            </w:tcBorders>
            <w:noWrap/>
            <w:vAlign w:val="bottom"/>
            <w:hideMark/>
          </w:tcPr>
          <w:p w14:paraId="08E9E2CD" w14:textId="77777777" w:rsidR="00647300" w:rsidRPr="00883399" w:rsidRDefault="00647300" w:rsidP="00647300">
            <w:pPr>
              <w:rPr>
                <w:rFonts w:ascii="Calibri" w:hAnsi="Calibri"/>
                <w:color w:val="000000"/>
                <w:sz w:val="22"/>
                <w:szCs w:val="22"/>
              </w:rPr>
            </w:pPr>
          </w:p>
        </w:tc>
        <w:tc>
          <w:tcPr>
            <w:tcW w:w="740" w:type="dxa"/>
            <w:tcBorders>
              <w:top w:val="nil"/>
              <w:left w:val="nil"/>
              <w:bottom w:val="nil"/>
              <w:right w:val="nil"/>
            </w:tcBorders>
            <w:noWrap/>
            <w:vAlign w:val="bottom"/>
            <w:hideMark/>
          </w:tcPr>
          <w:p w14:paraId="0FAE996F" w14:textId="77777777" w:rsidR="00647300" w:rsidRPr="00883399" w:rsidRDefault="00647300" w:rsidP="00647300">
            <w:pPr>
              <w:rPr>
                <w:rFonts w:ascii="Calibri" w:hAnsi="Calibri"/>
                <w:color w:val="000000"/>
                <w:sz w:val="22"/>
                <w:szCs w:val="22"/>
              </w:rPr>
            </w:pPr>
          </w:p>
        </w:tc>
        <w:tc>
          <w:tcPr>
            <w:tcW w:w="1067" w:type="dxa"/>
            <w:tcBorders>
              <w:top w:val="nil"/>
              <w:left w:val="nil"/>
              <w:bottom w:val="nil"/>
              <w:right w:val="nil"/>
            </w:tcBorders>
            <w:noWrap/>
            <w:vAlign w:val="bottom"/>
            <w:hideMark/>
          </w:tcPr>
          <w:p w14:paraId="3840EB53" w14:textId="77777777" w:rsidR="00647300" w:rsidRPr="00883399" w:rsidRDefault="00647300" w:rsidP="00647300">
            <w:pPr>
              <w:rPr>
                <w:rFonts w:ascii="Calibri" w:hAnsi="Calibri"/>
                <w:color w:val="000000"/>
                <w:sz w:val="22"/>
                <w:szCs w:val="22"/>
              </w:rPr>
            </w:pPr>
          </w:p>
        </w:tc>
      </w:tr>
      <w:tr w:rsidR="00647300" w:rsidRPr="00883399" w14:paraId="52525EA5" w14:textId="77777777" w:rsidTr="009A1D64">
        <w:trPr>
          <w:trHeight w:val="301"/>
        </w:trPr>
        <w:tc>
          <w:tcPr>
            <w:tcW w:w="8513" w:type="dxa"/>
            <w:gridSpan w:val="12"/>
            <w:tcBorders>
              <w:top w:val="single" w:sz="4" w:space="0" w:color="auto"/>
              <w:left w:val="single" w:sz="4" w:space="0" w:color="auto"/>
              <w:bottom w:val="single" w:sz="4" w:space="0" w:color="auto"/>
              <w:right w:val="single" w:sz="4" w:space="0" w:color="auto"/>
            </w:tcBorders>
            <w:noWrap/>
            <w:vAlign w:val="bottom"/>
            <w:hideMark/>
          </w:tcPr>
          <w:p w14:paraId="22062611" w14:textId="77777777" w:rsidR="00647300" w:rsidRPr="00883399" w:rsidRDefault="00647300" w:rsidP="00647300">
            <w:pPr>
              <w:rPr>
                <w:rFonts w:ascii="Calibri" w:hAnsi="Calibri"/>
                <w:b/>
                <w:bCs/>
                <w:color w:val="000000"/>
                <w:sz w:val="20"/>
                <w:szCs w:val="20"/>
              </w:rPr>
            </w:pPr>
            <w:r w:rsidRPr="00883399">
              <w:rPr>
                <w:rFonts w:ascii="Calibri" w:hAnsi="Calibri"/>
                <w:b/>
                <w:bCs/>
                <w:color w:val="000000"/>
                <w:sz w:val="20"/>
                <w:szCs w:val="20"/>
              </w:rPr>
              <w:t>Corporation Total CH</w:t>
            </w:r>
            <w:r w:rsidRPr="00883399">
              <w:rPr>
                <w:rFonts w:ascii="Calibri" w:hAnsi="Calibri"/>
                <w:b/>
                <w:bCs/>
                <w:color w:val="000000"/>
                <w:sz w:val="20"/>
                <w:szCs w:val="20"/>
                <w:vertAlign w:val="subscript"/>
              </w:rPr>
              <w:t>4</w:t>
            </w:r>
            <w:r w:rsidRPr="00883399">
              <w:rPr>
                <w:rFonts w:ascii="Calibri" w:hAnsi="Calibri"/>
                <w:b/>
                <w:bCs/>
                <w:color w:val="000000"/>
                <w:sz w:val="20"/>
                <w:szCs w:val="20"/>
              </w:rPr>
              <w:t xml:space="preserve"> and N20 emissions - kg CO</w:t>
            </w:r>
            <w:r w:rsidRPr="00883399">
              <w:rPr>
                <w:rFonts w:ascii="Calibri" w:hAnsi="Calibri"/>
                <w:b/>
                <w:bCs/>
                <w:color w:val="000000"/>
                <w:sz w:val="20"/>
                <w:szCs w:val="20"/>
                <w:vertAlign w:val="subscript"/>
              </w:rPr>
              <w:t>2</w:t>
            </w:r>
            <w:r w:rsidRPr="00883399">
              <w:rPr>
                <w:rFonts w:ascii="Calibri" w:hAnsi="Calibri"/>
                <w:b/>
                <w:bCs/>
                <w:color w:val="000000"/>
                <w:sz w:val="20"/>
                <w:szCs w:val="20"/>
              </w:rPr>
              <w:t>-e (using method 1)</w:t>
            </w:r>
          </w:p>
        </w:tc>
        <w:tc>
          <w:tcPr>
            <w:tcW w:w="1067" w:type="dxa"/>
            <w:tcBorders>
              <w:top w:val="single" w:sz="4" w:space="0" w:color="auto"/>
              <w:left w:val="nil"/>
              <w:bottom w:val="single" w:sz="4" w:space="0" w:color="auto"/>
              <w:right w:val="single" w:sz="4" w:space="0" w:color="auto"/>
            </w:tcBorders>
            <w:noWrap/>
            <w:vAlign w:val="bottom"/>
            <w:hideMark/>
          </w:tcPr>
          <w:p w14:paraId="60EF2B06" w14:textId="77777777" w:rsidR="00647300" w:rsidRPr="00883399" w:rsidRDefault="00647300" w:rsidP="00647300">
            <w:pPr>
              <w:jc w:val="center"/>
              <w:rPr>
                <w:rFonts w:ascii="Calibri" w:hAnsi="Calibri"/>
                <w:b/>
                <w:bCs/>
                <w:color w:val="000000"/>
                <w:sz w:val="20"/>
                <w:szCs w:val="20"/>
              </w:rPr>
            </w:pPr>
            <w:r w:rsidRPr="00883399">
              <w:rPr>
                <w:rFonts w:ascii="Calibri" w:hAnsi="Calibri"/>
                <w:b/>
                <w:bCs/>
                <w:color w:val="000000"/>
                <w:sz w:val="20"/>
                <w:szCs w:val="20"/>
              </w:rPr>
              <w:t>1</w:t>
            </w:r>
            <w:r w:rsidR="00804B19" w:rsidRPr="00883399">
              <w:rPr>
                <w:rFonts w:ascii="Calibri" w:hAnsi="Calibri"/>
                <w:b/>
                <w:bCs/>
                <w:color w:val="000000"/>
                <w:sz w:val="20"/>
                <w:szCs w:val="20"/>
              </w:rPr>
              <w:t>30</w:t>
            </w:r>
          </w:p>
        </w:tc>
      </w:tr>
      <w:tr w:rsidR="00647300" w:rsidRPr="00883399" w14:paraId="48A66DAF" w14:textId="77777777" w:rsidTr="009A1D64">
        <w:trPr>
          <w:trHeight w:val="301"/>
        </w:trPr>
        <w:tc>
          <w:tcPr>
            <w:tcW w:w="8513" w:type="dxa"/>
            <w:gridSpan w:val="12"/>
            <w:tcBorders>
              <w:top w:val="single" w:sz="4" w:space="0" w:color="auto"/>
              <w:left w:val="single" w:sz="4" w:space="0" w:color="auto"/>
              <w:bottom w:val="single" w:sz="4" w:space="0" w:color="auto"/>
              <w:right w:val="single" w:sz="4" w:space="0" w:color="auto"/>
            </w:tcBorders>
            <w:noWrap/>
            <w:vAlign w:val="bottom"/>
            <w:hideMark/>
          </w:tcPr>
          <w:p w14:paraId="3D05B523" w14:textId="77777777" w:rsidR="00647300" w:rsidRPr="00883399" w:rsidRDefault="00647300" w:rsidP="00647300">
            <w:pPr>
              <w:rPr>
                <w:rFonts w:ascii="Calibri" w:hAnsi="Calibri"/>
                <w:color w:val="000000"/>
                <w:sz w:val="20"/>
                <w:szCs w:val="20"/>
              </w:rPr>
            </w:pPr>
            <w:r w:rsidRPr="00883399">
              <w:rPr>
                <w:rFonts w:ascii="Calibri" w:hAnsi="Calibri"/>
                <w:color w:val="000000"/>
                <w:sz w:val="20"/>
                <w:szCs w:val="20"/>
              </w:rPr>
              <w:t>Uncertainty level</w:t>
            </w:r>
          </w:p>
        </w:tc>
        <w:tc>
          <w:tcPr>
            <w:tcW w:w="1067" w:type="dxa"/>
            <w:tcBorders>
              <w:top w:val="nil"/>
              <w:left w:val="nil"/>
              <w:bottom w:val="single" w:sz="4" w:space="0" w:color="auto"/>
              <w:right w:val="single" w:sz="4" w:space="0" w:color="auto"/>
            </w:tcBorders>
            <w:noWrap/>
            <w:vAlign w:val="bottom"/>
            <w:hideMark/>
          </w:tcPr>
          <w:p w14:paraId="1F02C759"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22.1%</w:t>
            </w:r>
          </w:p>
        </w:tc>
      </w:tr>
      <w:tr w:rsidR="00647300" w:rsidRPr="00883399" w14:paraId="01CC4A1B" w14:textId="77777777" w:rsidTr="009A1D64">
        <w:trPr>
          <w:trHeight w:val="301"/>
        </w:trPr>
        <w:tc>
          <w:tcPr>
            <w:tcW w:w="9580" w:type="dxa"/>
            <w:gridSpan w:val="13"/>
            <w:tcBorders>
              <w:top w:val="single" w:sz="4" w:space="0" w:color="auto"/>
              <w:left w:val="single" w:sz="4" w:space="0" w:color="auto"/>
              <w:bottom w:val="single" w:sz="4" w:space="0" w:color="auto"/>
              <w:right w:val="single" w:sz="4" w:space="0" w:color="auto"/>
            </w:tcBorders>
            <w:noWrap/>
            <w:vAlign w:val="bottom"/>
            <w:hideMark/>
          </w:tcPr>
          <w:p w14:paraId="33CAAFF0" w14:textId="77777777" w:rsidR="00647300" w:rsidRPr="00883399" w:rsidRDefault="00647300" w:rsidP="00647300">
            <w:pPr>
              <w:rPr>
                <w:rFonts w:ascii="Calibri" w:hAnsi="Calibri"/>
                <w:color w:val="000000"/>
                <w:sz w:val="20"/>
                <w:szCs w:val="20"/>
              </w:rPr>
            </w:pPr>
            <w:r w:rsidRPr="00883399">
              <w:rPr>
                <w:rFonts w:ascii="Calibri" w:hAnsi="Calibri"/>
                <w:color w:val="000000"/>
                <w:sz w:val="20"/>
                <w:szCs w:val="20"/>
              </w:rPr>
              <w:t>Source of Uncertainty Assessment - Similar to CO</w:t>
            </w:r>
            <w:r w:rsidRPr="00883399">
              <w:rPr>
                <w:rFonts w:ascii="Calibri" w:hAnsi="Calibri"/>
                <w:color w:val="000000"/>
                <w:sz w:val="20"/>
                <w:szCs w:val="20"/>
                <w:vertAlign w:val="subscript"/>
              </w:rPr>
              <w:t>2</w:t>
            </w:r>
            <w:r w:rsidRPr="00883399">
              <w:rPr>
                <w:rFonts w:ascii="Calibri" w:hAnsi="Calibri"/>
                <w:color w:val="000000"/>
                <w:sz w:val="20"/>
                <w:szCs w:val="20"/>
              </w:rPr>
              <w:t xml:space="preserve"> Calculations for method 1</w:t>
            </w:r>
          </w:p>
        </w:tc>
      </w:tr>
      <w:tr w:rsidR="00647300" w:rsidRPr="00883399" w14:paraId="09F909FB" w14:textId="77777777" w:rsidTr="009A1D64">
        <w:trPr>
          <w:trHeight w:val="301"/>
        </w:trPr>
        <w:tc>
          <w:tcPr>
            <w:tcW w:w="2134" w:type="dxa"/>
            <w:tcBorders>
              <w:top w:val="nil"/>
              <w:left w:val="nil"/>
              <w:bottom w:val="nil"/>
              <w:right w:val="nil"/>
            </w:tcBorders>
            <w:noWrap/>
            <w:vAlign w:val="bottom"/>
            <w:hideMark/>
          </w:tcPr>
          <w:p w14:paraId="15439EF7" w14:textId="77777777" w:rsidR="00647300" w:rsidRPr="00883399" w:rsidRDefault="00647300" w:rsidP="00647300">
            <w:pPr>
              <w:rPr>
                <w:rFonts w:ascii="Calibri" w:hAnsi="Calibri"/>
                <w:color w:val="000000"/>
                <w:sz w:val="22"/>
                <w:szCs w:val="22"/>
              </w:rPr>
            </w:pPr>
          </w:p>
        </w:tc>
        <w:tc>
          <w:tcPr>
            <w:tcW w:w="1125" w:type="dxa"/>
            <w:tcBorders>
              <w:top w:val="nil"/>
              <w:left w:val="nil"/>
              <w:bottom w:val="nil"/>
              <w:right w:val="nil"/>
            </w:tcBorders>
            <w:noWrap/>
            <w:vAlign w:val="bottom"/>
            <w:hideMark/>
          </w:tcPr>
          <w:p w14:paraId="5E362334" w14:textId="77777777" w:rsidR="00647300" w:rsidRPr="00883399" w:rsidRDefault="00647300" w:rsidP="00647300">
            <w:pPr>
              <w:rPr>
                <w:rFonts w:ascii="Calibri" w:hAnsi="Calibri"/>
                <w:color w:val="000000"/>
                <w:sz w:val="22"/>
                <w:szCs w:val="22"/>
              </w:rPr>
            </w:pPr>
          </w:p>
        </w:tc>
        <w:tc>
          <w:tcPr>
            <w:tcW w:w="1143" w:type="dxa"/>
            <w:tcBorders>
              <w:top w:val="nil"/>
              <w:left w:val="nil"/>
              <w:bottom w:val="nil"/>
              <w:right w:val="nil"/>
            </w:tcBorders>
            <w:noWrap/>
            <w:vAlign w:val="bottom"/>
            <w:hideMark/>
          </w:tcPr>
          <w:p w14:paraId="5DF15895" w14:textId="77777777" w:rsidR="00647300" w:rsidRPr="00883399" w:rsidRDefault="00647300" w:rsidP="00647300">
            <w:pPr>
              <w:rPr>
                <w:rFonts w:ascii="Calibri" w:hAnsi="Calibri"/>
                <w:color w:val="000000"/>
                <w:sz w:val="22"/>
                <w:szCs w:val="22"/>
              </w:rPr>
            </w:pPr>
          </w:p>
        </w:tc>
        <w:tc>
          <w:tcPr>
            <w:tcW w:w="1372" w:type="dxa"/>
            <w:gridSpan w:val="2"/>
            <w:tcBorders>
              <w:top w:val="nil"/>
              <w:left w:val="nil"/>
              <w:bottom w:val="nil"/>
              <w:right w:val="nil"/>
            </w:tcBorders>
            <w:noWrap/>
            <w:vAlign w:val="bottom"/>
            <w:hideMark/>
          </w:tcPr>
          <w:p w14:paraId="0EE02C0A" w14:textId="77777777" w:rsidR="00647300" w:rsidRPr="00883399" w:rsidRDefault="00647300" w:rsidP="00647300">
            <w:pPr>
              <w:rPr>
                <w:rFonts w:ascii="Calibri" w:hAnsi="Calibri"/>
                <w:color w:val="000000"/>
                <w:sz w:val="22"/>
                <w:szCs w:val="22"/>
              </w:rPr>
            </w:pPr>
          </w:p>
        </w:tc>
        <w:tc>
          <w:tcPr>
            <w:tcW w:w="546" w:type="dxa"/>
            <w:gridSpan w:val="3"/>
            <w:tcBorders>
              <w:top w:val="nil"/>
              <w:left w:val="nil"/>
              <w:bottom w:val="nil"/>
              <w:right w:val="nil"/>
            </w:tcBorders>
            <w:noWrap/>
            <w:vAlign w:val="bottom"/>
            <w:hideMark/>
          </w:tcPr>
          <w:p w14:paraId="4906424A" w14:textId="77777777" w:rsidR="00647300" w:rsidRPr="00883399" w:rsidRDefault="00647300" w:rsidP="00647300">
            <w:pPr>
              <w:rPr>
                <w:rFonts w:ascii="Calibri" w:hAnsi="Calibri"/>
                <w:color w:val="000000"/>
                <w:sz w:val="22"/>
                <w:szCs w:val="22"/>
              </w:rPr>
            </w:pPr>
          </w:p>
        </w:tc>
        <w:tc>
          <w:tcPr>
            <w:tcW w:w="727" w:type="dxa"/>
            <w:gridSpan w:val="2"/>
            <w:tcBorders>
              <w:top w:val="nil"/>
              <w:left w:val="nil"/>
              <w:bottom w:val="nil"/>
              <w:right w:val="nil"/>
            </w:tcBorders>
            <w:noWrap/>
            <w:vAlign w:val="bottom"/>
            <w:hideMark/>
          </w:tcPr>
          <w:p w14:paraId="1029F5BD" w14:textId="77777777" w:rsidR="00647300" w:rsidRPr="00883399" w:rsidRDefault="00647300" w:rsidP="00647300">
            <w:pPr>
              <w:rPr>
                <w:rFonts w:ascii="Calibri" w:hAnsi="Calibri"/>
                <w:color w:val="000000"/>
                <w:sz w:val="22"/>
                <w:szCs w:val="22"/>
              </w:rPr>
            </w:pPr>
          </w:p>
        </w:tc>
        <w:tc>
          <w:tcPr>
            <w:tcW w:w="726" w:type="dxa"/>
            <w:tcBorders>
              <w:top w:val="nil"/>
              <w:left w:val="nil"/>
              <w:bottom w:val="nil"/>
              <w:right w:val="nil"/>
            </w:tcBorders>
            <w:noWrap/>
            <w:vAlign w:val="bottom"/>
            <w:hideMark/>
          </w:tcPr>
          <w:p w14:paraId="34C519DE" w14:textId="77777777" w:rsidR="00647300" w:rsidRPr="00883399" w:rsidRDefault="00647300" w:rsidP="00647300">
            <w:pPr>
              <w:rPr>
                <w:rFonts w:ascii="Calibri" w:hAnsi="Calibri"/>
                <w:color w:val="000000"/>
                <w:sz w:val="22"/>
                <w:szCs w:val="22"/>
              </w:rPr>
            </w:pPr>
          </w:p>
        </w:tc>
        <w:tc>
          <w:tcPr>
            <w:tcW w:w="740" w:type="dxa"/>
            <w:tcBorders>
              <w:top w:val="nil"/>
              <w:left w:val="nil"/>
              <w:bottom w:val="nil"/>
              <w:right w:val="nil"/>
            </w:tcBorders>
            <w:noWrap/>
            <w:vAlign w:val="bottom"/>
            <w:hideMark/>
          </w:tcPr>
          <w:p w14:paraId="087E3B0F" w14:textId="77777777" w:rsidR="00647300" w:rsidRPr="00883399" w:rsidRDefault="00647300" w:rsidP="00647300">
            <w:pPr>
              <w:rPr>
                <w:rFonts w:ascii="Calibri" w:hAnsi="Calibri"/>
                <w:color w:val="000000"/>
                <w:sz w:val="22"/>
                <w:szCs w:val="22"/>
              </w:rPr>
            </w:pPr>
          </w:p>
        </w:tc>
        <w:tc>
          <w:tcPr>
            <w:tcW w:w="1067" w:type="dxa"/>
            <w:tcBorders>
              <w:top w:val="nil"/>
              <w:left w:val="nil"/>
              <w:bottom w:val="nil"/>
              <w:right w:val="nil"/>
            </w:tcBorders>
            <w:noWrap/>
            <w:vAlign w:val="bottom"/>
            <w:hideMark/>
          </w:tcPr>
          <w:p w14:paraId="6DAC6705" w14:textId="77777777" w:rsidR="00647300" w:rsidRPr="00883399" w:rsidRDefault="00647300" w:rsidP="00647300">
            <w:pPr>
              <w:rPr>
                <w:rFonts w:ascii="Calibri" w:hAnsi="Calibri"/>
                <w:color w:val="000000"/>
                <w:sz w:val="22"/>
                <w:szCs w:val="22"/>
              </w:rPr>
            </w:pPr>
          </w:p>
        </w:tc>
      </w:tr>
      <w:tr w:rsidR="00647300" w:rsidRPr="00883399" w14:paraId="10DCA510" w14:textId="77777777" w:rsidTr="009A1D64">
        <w:trPr>
          <w:trHeight w:val="301"/>
        </w:trPr>
        <w:tc>
          <w:tcPr>
            <w:tcW w:w="8513" w:type="dxa"/>
            <w:gridSpan w:val="12"/>
            <w:tcBorders>
              <w:top w:val="single" w:sz="4" w:space="0" w:color="auto"/>
              <w:left w:val="single" w:sz="4" w:space="0" w:color="auto"/>
              <w:bottom w:val="single" w:sz="4" w:space="0" w:color="auto"/>
              <w:right w:val="single" w:sz="4" w:space="0" w:color="auto"/>
            </w:tcBorders>
            <w:noWrap/>
            <w:vAlign w:val="bottom"/>
            <w:hideMark/>
          </w:tcPr>
          <w:p w14:paraId="320089AC" w14:textId="77777777" w:rsidR="00647300" w:rsidRPr="00883399" w:rsidRDefault="00647300" w:rsidP="00647300">
            <w:pPr>
              <w:rPr>
                <w:rFonts w:ascii="Calibri" w:hAnsi="Calibri"/>
                <w:b/>
                <w:bCs/>
                <w:color w:val="000000"/>
                <w:sz w:val="20"/>
                <w:szCs w:val="20"/>
              </w:rPr>
            </w:pPr>
            <w:r w:rsidRPr="00883399">
              <w:rPr>
                <w:rFonts w:ascii="Calibri" w:hAnsi="Calibri"/>
                <w:b/>
                <w:bCs/>
                <w:color w:val="000000"/>
                <w:sz w:val="20"/>
                <w:szCs w:val="20"/>
              </w:rPr>
              <w:t>Corporation Total CO</w:t>
            </w:r>
            <w:r w:rsidRPr="00883399">
              <w:rPr>
                <w:rFonts w:ascii="Calibri" w:hAnsi="Calibri"/>
                <w:b/>
                <w:bCs/>
                <w:color w:val="000000"/>
                <w:sz w:val="20"/>
                <w:szCs w:val="20"/>
                <w:vertAlign w:val="subscript"/>
              </w:rPr>
              <w:t>2</w:t>
            </w:r>
            <w:r w:rsidRPr="00883399">
              <w:rPr>
                <w:rFonts w:ascii="Calibri" w:hAnsi="Calibri"/>
                <w:b/>
                <w:bCs/>
                <w:color w:val="000000"/>
                <w:sz w:val="20"/>
                <w:szCs w:val="20"/>
              </w:rPr>
              <w:t>-e emissions</w:t>
            </w:r>
          </w:p>
        </w:tc>
        <w:tc>
          <w:tcPr>
            <w:tcW w:w="1067" w:type="dxa"/>
            <w:tcBorders>
              <w:top w:val="single" w:sz="4" w:space="0" w:color="auto"/>
              <w:left w:val="nil"/>
              <w:bottom w:val="single" w:sz="4" w:space="0" w:color="auto"/>
              <w:right w:val="single" w:sz="4" w:space="0" w:color="auto"/>
            </w:tcBorders>
            <w:noWrap/>
            <w:vAlign w:val="bottom"/>
            <w:hideMark/>
          </w:tcPr>
          <w:p w14:paraId="59AE5AC2" w14:textId="77777777" w:rsidR="00647300" w:rsidRPr="00883399" w:rsidRDefault="00647300" w:rsidP="00647300">
            <w:pPr>
              <w:jc w:val="center"/>
              <w:rPr>
                <w:rFonts w:ascii="Calibri" w:hAnsi="Calibri"/>
                <w:b/>
                <w:bCs/>
                <w:color w:val="000000"/>
                <w:sz w:val="20"/>
                <w:szCs w:val="20"/>
              </w:rPr>
            </w:pPr>
            <w:r w:rsidRPr="00883399">
              <w:rPr>
                <w:rFonts w:ascii="Calibri" w:hAnsi="Calibri"/>
                <w:b/>
                <w:bCs/>
                <w:color w:val="000000"/>
                <w:sz w:val="20"/>
                <w:szCs w:val="20"/>
              </w:rPr>
              <w:t>38,77</w:t>
            </w:r>
            <w:r w:rsidR="00804B19" w:rsidRPr="00883399">
              <w:rPr>
                <w:rFonts w:ascii="Calibri" w:hAnsi="Calibri"/>
                <w:b/>
                <w:bCs/>
                <w:color w:val="000000"/>
                <w:sz w:val="20"/>
                <w:szCs w:val="20"/>
              </w:rPr>
              <w:t>8</w:t>
            </w:r>
          </w:p>
        </w:tc>
      </w:tr>
      <w:tr w:rsidR="00647300" w:rsidRPr="00883399" w14:paraId="77C2CD81" w14:textId="77777777" w:rsidTr="009A1D64">
        <w:trPr>
          <w:trHeight w:val="301"/>
        </w:trPr>
        <w:tc>
          <w:tcPr>
            <w:tcW w:w="8513" w:type="dxa"/>
            <w:gridSpan w:val="12"/>
            <w:tcBorders>
              <w:top w:val="single" w:sz="4" w:space="0" w:color="auto"/>
              <w:left w:val="single" w:sz="4" w:space="0" w:color="auto"/>
              <w:bottom w:val="single" w:sz="4" w:space="0" w:color="auto"/>
              <w:right w:val="single" w:sz="4" w:space="0" w:color="auto"/>
            </w:tcBorders>
            <w:noWrap/>
            <w:vAlign w:val="bottom"/>
            <w:hideMark/>
          </w:tcPr>
          <w:p w14:paraId="7BB50F74" w14:textId="77777777" w:rsidR="00647300" w:rsidRPr="00883399" w:rsidRDefault="00647300" w:rsidP="00647300">
            <w:pPr>
              <w:rPr>
                <w:rFonts w:ascii="Calibri" w:hAnsi="Calibri"/>
                <w:color w:val="000000"/>
                <w:sz w:val="20"/>
                <w:szCs w:val="20"/>
              </w:rPr>
            </w:pPr>
            <w:r w:rsidRPr="00883399">
              <w:rPr>
                <w:rFonts w:ascii="Calibri" w:hAnsi="Calibri"/>
                <w:color w:val="000000"/>
                <w:sz w:val="20"/>
                <w:szCs w:val="20"/>
              </w:rPr>
              <w:t>Uncertainty level</w:t>
            </w:r>
          </w:p>
        </w:tc>
        <w:tc>
          <w:tcPr>
            <w:tcW w:w="1067" w:type="dxa"/>
            <w:tcBorders>
              <w:top w:val="nil"/>
              <w:left w:val="nil"/>
              <w:bottom w:val="single" w:sz="4" w:space="0" w:color="auto"/>
              <w:right w:val="single" w:sz="4" w:space="0" w:color="auto"/>
            </w:tcBorders>
            <w:noWrap/>
            <w:vAlign w:val="bottom"/>
            <w:hideMark/>
          </w:tcPr>
          <w:p w14:paraId="6C1EE1A1" w14:textId="77777777" w:rsidR="00647300" w:rsidRPr="00883399" w:rsidRDefault="00647300" w:rsidP="00647300">
            <w:pPr>
              <w:jc w:val="center"/>
              <w:rPr>
                <w:rFonts w:ascii="Calibri" w:hAnsi="Calibri"/>
                <w:color w:val="000000"/>
                <w:sz w:val="20"/>
                <w:szCs w:val="20"/>
              </w:rPr>
            </w:pPr>
            <w:r w:rsidRPr="00883399">
              <w:rPr>
                <w:rFonts w:ascii="Calibri" w:hAnsi="Calibri"/>
                <w:color w:val="000000"/>
                <w:sz w:val="20"/>
                <w:szCs w:val="20"/>
              </w:rPr>
              <w:t>2.0%</w:t>
            </w:r>
          </w:p>
        </w:tc>
      </w:tr>
      <w:tr w:rsidR="00647300" w:rsidRPr="00883399" w14:paraId="14F67606" w14:textId="77777777" w:rsidTr="009A1D64">
        <w:trPr>
          <w:trHeight w:val="301"/>
        </w:trPr>
        <w:tc>
          <w:tcPr>
            <w:tcW w:w="8513" w:type="dxa"/>
            <w:gridSpan w:val="12"/>
            <w:tcBorders>
              <w:top w:val="single" w:sz="4" w:space="0" w:color="auto"/>
              <w:left w:val="single" w:sz="4" w:space="0" w:color="auto"/>
              <w:bottom w:val="single" w:sz="4" w:space="0" w:color="auto"/>
              <w:right w:val="single" w:sz="4" w:space="0" w:color="auto"/>
            </w:tcBorders>
            <w:noWrap/>
            <w:vAlign w:val="bottom"/>
            <w:hideMark/>
          </w:tcPr>
          <w:p w14:paraId="0752BCFC" w14:textId="77777777" w:rsidR="00647300" w:rsidRPr="00883399" w:rsidRDefault="00647300" w:rsidP="00647300">
            <w:pPr>
              <w:rPr>
                <w:rFonts w:ascii="Calibri" w:hAnsi="Calibri"/>
                <w:color w:val="000000"/>
                <w:sz w:val="20"/>
                <w:szCs w:val="20"/>
              </w:rPr>
            </w:pPr>
            <w:r w:rsidRPr="00883399">
              <w:rPr>
                <w:rFonts w:ascii="Calibri" w:hAnsi="Calibri"/>
                <w:color w:val="000000"/>
                <w:sz w:val="20"/>
                <w:szCs w:val="20"/>
              </w:rPr>
              <w:t>Source of Uncertainty Assessment</w:t>
            </w:r>
          </w:p>
        </w:tc>
        <w:tc>
          <w:tcPr>
            <w:tcW w:w="1067" w:type="dxa"/>
            <w:tcBorders>
              <w:top w:val="nil"/>
              <w:left w:val="nil"/>
              <w:bottom w:val="single" w:sz="4" w:space="0" w:color="auto"/>
              <w:right w:val="single" w:sz="4" w:space="0" w:color="auto"/>
            </w:tcBorders>
            <w:noWrap/>
            <w:vAlign w:val="bottom"/>
            <w:hideMark/>
          </w:tcPr>
          <w:p w14:paraId="0C28D16A" w14:textId="77777777" w:rsidR="00647300" w:rsidRPr="00883399" w:rsidRDefault="00804B19" w:rsidP="00647300">
            <w:pPr>
              <w:jc w:val="center"/>
              <w:rPr>
                <w:rFonts w:ascii="Calibri" w:hAnsi="Calibri"/>
                <w:color w:val="000000"/>
                <w:sz w:val="20"/>
                <w:szCs w:val="20"/>
              </w:rPr>
            </w:pPr>
            <w:r w:rsidRPr="00883399">
              <w:rPr>
                <w:rFonts w:ascii="Calibri" w:hAnsi="Calibri"/>
                <w:color w:val="000000"/>
                <w:sz w:val="20"/>
                <w:szCs w:val="20"/>
              </w:rPr>
              <w:t>H</w:t>
            </w:r>
          </w:p>
        </w:tc>
      </w:tr>
    </w:tbl>
    <w:p w14:paraId="4E1A8597" w14:textId="77777777" w:rsidR="00647300" w:rsidRPr="00883399" w:rsidRDefault="00647300" w:rsidP="00803768">
      <w:pPr>
        <w:rPr>
          <w:sz w:val="20"/>
          <w:szCs w:val="20"/>
        </w:rPr>
      </w:pPr>
    </w:p>
    <w:p w14:paraId="6A83E1A5" w14:textId="77777777" w:rsidR="00803768" w:rsidRPr="00883399" w:rsidRDefault="00803768" w:rsidP="00803768">
      <w:pPr>
        <w:rPr>
          <w:sz w:val="18"/>
          <w:szCs w:val="18"/>
        </w:rPr>
      </w:pPr>
      <w:r w:rsidRPr="00883399">
        <w:rPr>
          <w:sz w:val="18"/>
          <w:szCs w:val="18"/>
        </w:rPr>
        <w:t>Notes:</w:t>
      </w:r>
    </w:p>
    <w:tbl>
      <w:tblPr>
        <w:tblW w:w="9398" w:type="dxa"/>
        <w:tblInd w:w="93" w:type="dxa"/>
        <w:tblLook w:val="04A0" w:firstRow="1" w:lastRow="0" w:firstColumn="1" w:lastColumn="0" w:noHBand="0" w:noVBand="1"/>
      </w:tblPr>
      <w:tblGrid>
        <w:gridCol w:w="306"/>
        <w:gridCol w:w="9092"/>
      </w:tblGrid>
      <w:tr w:rsidR="00803768" w:rsidRPr="00883399" w14:paraId="63F1117C" w14:textId="77777777" w:rsidTr="00647300">
        <w:trPr>
          <w:trHeight w:val="300"/>
        </w:trPr>
        <w:tc>
          <w:tcPr>
            <w:tcW w:w="306" w:type="dxa"/>
            <w:tcBorders>
              <w:top w:val="nil"/>
              <w:left w:val="nil"/>
              <w:bottom w:val="nil"/>
              <w:right w:val="nil"/>
            </w:tcBorders>
            <w:noWrap/>
          </w:tcPr>
          <w:p w14:paraId="60747771" w14:textId="77777777" w:rsidR="00803768" w:rsidRPr="00883399" w:rsidRDefault="00803768" w:rsidP="00803768">
            <w:pPr>
              <w:rPr>
                <w:sz w:val="18"/>
                <w:szCs w:val="18"/>
              </w:rPr>
            </w:pPr>
            <w:r w:rsidRPr="00883399">
              <w:rPr>
                <w:sz w:val="18"/>
                <w:szCs w:val="18"/>
              </w:rPr>
              <w:t>a</w:t>
            </w:r>
          </w:p>
        </w:tc>
        <w:tc>
          <w:tcPr>
            <w:tcW w:w="9092" w:type="dxa"/>
            <w:tcBorders>
              <w:top w:val="nil"/>
              <w:left w:val="nil"/>
              <w:bottom w:val="nil"/>
              <w:right w:val="nil"/>
            </w:tcBorders>
            <w:noWrap/>
          </w:tcPr>
          <w:p w14:paraId="6F171798" w14:textId="77777777" w:rsidR="00803768" w:rsidRPr="00883399" w:rsidRDefault="00803768" w:rsidP="00803768">
            <w:pPr>
              <w:rPr>
                <w:sz w:val="18"/>
                <w:szCs w:val="18"/>
              </w:rPr>
            </w:pPr>
            <w:r w:rsidRPr="00883399">
              <w:rPr>
                <w:sz w:val="18"/>
                <w:szCs w:val="18"/>
              </w:rPr>
              <w:t>Uncertainty potentially assessed on fuel measurement instrument precision. Fuel use from stockpiles, for example, may generate larger uncertainties which may need to be considered.</w:t>
            </w:r>
          </w:p>
        </w:tc>
      </w:tr>
      <w:tr w:rsidR="00803768" w:rsidRPr="00883399" w14:paraId="20B2E3C7" w14:textId="77777777" w:rsidTr="00647300">
        <w:trPr>
          <w:trHeight w:val="300"/>
        </w:trPr>
        <w:tc>
          <w:tcPr>
            <w:tcW w:w="306" w:type="dxa"/>
            <w:tcBorders>
              <w:top w:val="nil"/>
              <w:left w:val="nil"/>
              <w:bottom w:val="nil"/>
              <w:right w:val="nil"/>
            </w:tcBorders>
            <w:noWrap/>
          </w:tcPr>
          <w:p w14:paraId="3238B836" w14:textId="77777777" w:rsidR="00803768" w:rsidRPr="00883399" w:rsidRDefault="00803768" w:rsidP="00803768">
            <w:pPr>
              <w:rPr>
                <w:sz w:val="18"/>
                <w:szCs w:val="18"/>
              </w:rPr>
            </w:pPr>
            <w:r w:rsidRPr="00883399">
              <w:rPr>
                <w:sz w:val="18"/>
                <w:szCs w:val="18"/>
              </w:rPr>
              <w:t>b</w:t>
            </w:r>
          </w:p>
        </w:tc>
        <w:tc>
          <w:tcPr>
            <w:tcW w:w="9092" w:type="dxa"/>
            <w:tcBorders>
              <w:top w:val="nil"/>
              <w:left w:val="nil"/>
              <w:bottom w:val="nil"/>
              <w:right w:val="nil"/>
            </w:tcBorders>
            <w:noWrap/>
          </w:tcPr>
          <w:p w14:paraId="44FFB440" w14:textId="77777777" w:rsidR="00803768" w:rsidRPr="00883399" w:rsidRDefault="00803768" w:rsidP="00803768">
            <w:pPr>
              <w:rPr>
                <w:sz w:val="18"/>
                <w:szCs w:val="18"/>
              </w:rPr>
            </w:pPr>
            <w:r w:rsidRPr="00883399">
              <w:rPr>
                <w:sz w:val="18"/>
                <w:szCs w:val="18"/>
              </w:rPr>
              <w:t>Sampling and analysis uncertainty, either through instrument precision or other statistical method</w:t>
            </w:r>
          </w:p>
        </w:tc>
      </w:tr>
      <w:tr w:rsidR="00803768" w:rsidRPr="00883399" w14:paraId="6C87C4CA" w14:textId="77777777" w:rsidTr="00647300">
        <w:trPr>
          <w:trHeight w:val="300"/>
        </w:trPr>
        <w:tc>
          <w:tcPr>
            <w:tcW w:w="306" w:type="dxa"/>
            <w:tcBorders>
              <w:top w:val="nil"/>
              <w:left w:val="nil"/>
              <w:bottom w:val="nil"/>
              <w:right w:val="nil"/>
            </w:tcBorders>
            <w:noWrap/>
          </w:tcPr>
          <w:p w14:paraId="09D90BAF" w14:textId="77777777" w:rsidR="00803768" w:rsidRPr="00883399" w:rsidRDefault="00803768" w:rsidP="00803768">
            <w:pPr>
              <w:rPr>
                <w:sz w:val="18"/>
                <w:szCs w:val="18"/>
              </w:rPr>
            </w:pPr>
            <w:r w:rsidRPr="00883399">
              <w:rPr>
                <w:sz w:val="18"/>
                <w:szCs w:val="18"/>
              </w:rPr>
              <w:t>c</w:t>
            </w:r>
          </w:p>
        </w:tc>
        <w:tc>
          <w:tcPr>
            <w:tcW w:w="9092" w:type="dxa"/>
            <w:tcBorders>
              <w:top w:val="nil"/>
              <w:left w:val="nil"/>
              <w:bottom w:val="nil"/>
              <w:right w:val="nil"/>
            </w:tcBorders>
            <w:noWrap/>
          </w:tcPr>
          <w:p w14:paraId="66A1E980" w14:textId="77777777" w:rsidR="00803768" w:rsidRPr="00883399" w:rsidRDefault="00803768" w:rsidP="00803768">
            <w:pPr>
              <w:rPr>
                <w:sz w:val="18"/>
                <w:szCs w:val="18"/>
              </w:rPr>
            </w:pPr>
            <w:r w:rsidRPr="00883399">
              <w:rPr>
                <w:sz w:val="18"/>
                <w:szCs w:val="18"/>
              </w:rPr>
              <w:t>Uncertainty associated with fuel density from sampling and analysis</w:t>
            </w:r>
          </w:p>
        </w:tc>
      </w:tr>
      <w:tr w:rsidR="00803768" w:rsidRPr="00883399" w14:paraId="6F4585A2" w14:textId="77777777" w:rsidTr="00647300">
        <w:trPr>
          <w:trHeight w:val="300"/>
        </w:trPr>
        <w:tc>
          <w:tcPr>
            <w:tcW w:w="306" w:type="dxa"/>
            <w:tcBorders>
              <w:top w:val="nil"/>
              <w:left w:val="nil"/>
              <w:bottom w:val="nil"/>
              <w:right w:val="nil"/>
            </w:tcBorders>
            <w:noWrap/>
          </w:tcPr>
          <w:p w14:paraId="2F956BCD" w14:textId="77777777" w:rsidR="00803768" w:rsidRPr="00883399" w:rsidRDefault="00803768" w:rsidP="00803768">
            <w:pPr>
              <w:rPr>
                <w:sz w:val="18"/>
                <w:szCs w:val="18"/>
              </w:rPr>
            </w:pPr>
            <w:r w:rsidRPr="00883399">
              <w:rPr>
                <w:sz w:val="18"/>
                <w:szCs w:val="18"/>
              </w:rPr>
              <w:t>d</w:t>
            </w:r>
          </w:p>
        </w:tc>
        <w:tc>
          <w:tcPr>
            <w:tcW w:w="9092" w:type="dxa"/>
            <w:tcBorders>
              <w:top w:val="nil"/>
              <w:left w:val="nil"/>
              <w:bottom w:val="nil"/>
              <w:right w:val="nil"/>
            </w:tcBorders>
            <w:noWrap/>
          </w:tcPr>
          <w:p w14:paraId="1255590A" w14:textId="77777777" w:rsidR="00803768" w:rsidRPr="00883399" w:rsidRDefault="00803768" w:rsidP="00803768">
            <w:pPr>
              <w:rPr>
                <w:sz w:val="18"/>
                <w:szCs w:val="18"/>
              </w:rPr>
            </w:pPr>
            <w:r w:rsidRPr="00883399">
              <w:rPr>
                <w:sz w:val="18"/>
                <w:szCs w:val="18"/>
              </w:rPr>
              <w:t>Uncertainty associated with energy content not relevant to method 2 since energy content factor falls out in calculation of emissions</w:t>
            </w:r>
          </w:p>
        </w:tc>
      </w:tr>
      <w:tr w:rsidR="00803768" w:rsidRPr="00883399" w14:paraId="671F4D53" w14:textId="77777777" w:rsidTr="00647300">
        <w:trPr>
          <w:trHeight w:val="300"/>
        </w:trPr>
        <w:tc>
          <w:tcPr>
            <w:tcW w:w="306" w:type="dxa"/>
            <w:tcBorders>
              <w:top w:val="nil"/>
              <w:left w:val="nil"/>
              <w:bottom w:val="nil"/>
              <w:right w:val="nil"/>
            </w:tcBorders>
            <w:noWrap/>
          </w:tcPr>
          <w:p w14:paraId="5924901C" w14:textId="77777777" w:rsidR="00803768" w:rsidRPr="00883399" w:rsidRDefault="00803768" w:rsidP="00803768">
            <w:pPr>
              <w:rPr>
                <w:sz w:val="18"/>
                <w:szCs w:val="18"/>
              </w:rPr>
            </w:pPr>
            <w:r w:rsidRPr="00883399">
              <w:rPr>
                <w:sz w:val="18"/>
                <w:szCs w:val="18"/>
              </w:rPr>
              <w:t>e</w:t>
            </w:r>
          </w:p>
        </w:tc>
        <w:tc>
          <w:tcPr>
            <w:tcW w:w="9092" w:type="dxa"/>
            <w:tcBorders>
              <w:top w:val="nil"/>
              <w:left w:val="nil"/>
              <w:bottom w:val="nil"/>
              <w:right w:val="nil"/>
            </w:tcBorders>
            <w:noWrap/>
          </w:tcPr>
          <w:p w14:paraId="6AB9708A" w14:textId="77777777" w:rsidR="00803768" w:rsidRPr="00883399" w:rsidRDefault="00803768" w:rsidP="00803768">
            <w:pPr>
              <w:rPr>
                <w:sz w:val="18"/>
                <w:szCs w:val="18"/>
              </w:rPr>
            </w:pPr>
            <w:r w:rsidRPr="00883399">
              <w:rPr>
                <w:sz w:val="18"/>
                <w:szCs w:val="18"/>
              </w:rPr>
              <w:t>Uncertainty associated with the oxidation factor assumed to be zero in these cases though may be incorporated in an uncertainty calculation where considered significant</w:t>
            </w:r>
          </w:p>
        </w:tc>
      </w:tr>
      <w:tr w:rsidR="00803768" w:rsidRPr="00883399" w14:paraId="37B42541" w14:textId="77777777" w:rsidTr="00647300">
        <w:trPr>
          <w:trHeight w:val="300"/>
        </w:trPr>
        <w:tc>
          <w:tcPr>
            <w:tcW w:w="306" w:type="dxa"/>
            <w:tcBorders>
              <w:top w:val="nil"/>
              <w:left w:val="nil"/>
              <w:bottom w:val="nil"/>
              <w:right w:val="nil"/>
            </w:tcBorders>
            <w:noWrap/>
          </w:tcPr>
          <w:p w14:paraId="36E65846" w14:textId="77777777" w:rsidR="00803768" w:rsidRPr="00883399" w:rsidRDefault="00803768" w:rsidP="00803768">
            <w:pPr>
              <w:rPr>
                <w:sz w:val="18"/>
                <w:szCs w:val="18"/>
              </w:rPr>
            </w:pPr>
            <w:r w:rsidRPr="00883399">
              <w:rPr>
                <w:sz w:val="18"/>
                <w:szCs w:val="18"/>
              </w:rPr>
              <w:t>f</w:t>
            </w:r>
          </w:p>
        </w:tc>
        <w:tc>
          <w:tcPr>
            <w:tcW w:w="9092" w:type="dxa"/>
            <w:tcBorders>
              <w:top w:val="nil"/>
              <w:left w:val="nil"/>
              <w:bottom w:val="nil"/>
              <w:right w:val="nil"/>
            </w:tcBorders>
            <w:noWrap/>
          </w:tcPr>
          <w:p w14:paraId="3DD53738" w14:textId="77777777" w:rsidR="00803768" w:rsidRPr="00883399" w:rsidRDefault="00803768" w:rsidP="00803768">
            <w:pPr>
              <w:rPr>
                <w:sz w:val="18"/>
                <w:szCs w:val="18"/>
              </w:rPr>
            </w:pPr>
            <w:r w:rsidRPr="00883399">
              <w:rPr>
                <w:sz w:val="18"/>
                <w:szCs w:val="18"/>
              </w:rPr>
              <w:t>Uncertainty associated with these molecular mass constants is not statistical uncertainty as defined by the uncertainty protocol and hence is not incorporated</w:t>
            </w:r>
          </w:p>
        </w:tc>
      </w:tr>
      <w:tr w:rsidR="00803768" w:rsidRPr="00883399" w14:paraId="21D0BB96" w14:textId="77777777" w:rsidTr="00647300">
        <w:trPr>
          <w:trHeight w:val="300"/>
        </w:trPr>
        <w:tc>
          <w:tcPr>
            <w:tcW w:w="306" w:type="dxa"/>
            <w:tcBorders>
              <w:top w:val="nil"/>
              <w:left w:val="nil"/>
              <w:bottom w:val="nil"/>
              <w:right w:val="nil"/>
            </w:tcBorders>
            <w:noWrap/>
          </w:tcPr>
          <w:p w14:paraId="1505F426" w14:textId="77777777" w:rsidR="00803768" w:rsidRPr="00883399" w:rsidRDefault="00803768" w:rsidP="00803768">
            <w:pPr>
              <w:rPr>
                <w:sz w:val="18"/>
                <w:szCs w:val="18"/>
              </w:rPr>
            </w:pPr>
            <w:r w:rsidRPr="00883399">
              <w:rPr>
                <w:sz w:val="18"/>
                <w:szCs w:val="18"/>
              </w:rPr>
              <w:t>g</w:t>
            </w:r>
          </w:p>
        </w:tc>
        <w:tc>
          <w:tcPr>
            <w:tcW w:w="9092" w:type="dxa"/>
            <w:tcBorders>
              <w:top w:val="nil"/>
              <w:left w:val="nil"/>
              <w:bottom w:val="nil"/>
              <w:right w:val="nil"/>
            </w:tcBorders>
            <w:noWrap/>
          </w:tcPr>
          <w:p w14:paraId="20741EDD" w14:textId="77777777" w:rsidR="00803768" w:rsidRPr="00883399" w:rsidRDefault="00803768" w:rsidP="00803768">
            <w:pPr>
              <w:rPr>
                <w:sz w:val="18"/>
                <w:szCs w:val="18"/>
              </w:rPr>
            </w:pPr>
            <w:r w:rsidRPr="00883399">
              <w:rPr>
                <w:sz w:val="18"/>
                <w:szCs w:val="18"/>
              </w:rPr>
              <w:t>This uncertainty is aggregated using the method in section 7 of the uncertainty protocol</w:t>
            </w:r>
          </w:p>
        </w:tc>
      </w:tr>
      <w:tr w:rsidR="00803768" w:rsidRPr="00883399" w14:paraId="50BE24C0" w14:textId="77777777" w:rsidTr="00647300">
        <w:trPr>
          <w:trHeight w:val="300"/>
        </w:trPr>
        <w:tc>
          <w:tcPr>
            <w:tcW w:w="306" w:type="dxa"/>
            <w:tcBorders>
              <w:top w:val="nil"/>
              <w:left w:val="nil"/>
              <w:bottom w:val="nil"/>
              <w:right w:val="nil"/>
            </w:tcBorders>
            <w:noWrap/>
          </w:tcPr>
          <w:p w14:paraId="5FB91EEA" w14:textId="77777777" w:rsidR="00803768" w:rsidRPr="00883399" w:rsidRDefault="00803768" w:rsidP="00803768">
            <w:pPr>
              <w:rPr>
                <w:sz w:val="18"/>
                <w:szCs w:val="18"/>
              </w:rPr>
            </w:pPr>
            <w:r w:rsidRPr="00883399">
              <w:rPr>
                <w:sz w:val="18"/>
                <w:szCs w:val="18"/>
              </w:rPr>
              <w:t>h</w:t>
            </w:r>
          </w:p>
        </w:tc>
        <w:tc>
          <w:tcPr>
            <w:tcW w:w="9092" w:type="dxa"/>
            <w:tcBorders>
              <w:top w:val="nil"/>
              <w:left w:val="nil"/>
              <w:bottom w:val="nil"/>
              <w:right w:val="nil"/>
            </w:tcBorders>
            <w:noWrap/>
          </w:tcPr>
          <w:p w14:paraId="5BE3E467" w14:textId="77777777" w:rsidR="00803768" w:rsidRPr="00883399" w:rsidRDefault="00803768" w:rsidP="00803768">
            <w:pPr>
              <w:rPr>
                <w:sz w:val="18"/>
                <w:szCs w:val="18"/>
              </w:rPr>
            </w:pPr>
            <w:r w:rsidRPr="00883399">
              <w:rPr>
                <w:sz w:val="18"/>
                <w:szCs w:val="18"/>
              </w:rPr>
              <w:t>This uncertainty is aggregated using the method in section 8 of the uncertainty protocol</w:t>
            </w:r>
          </w:p>
        </w:tc>
      </w:tr>
      <w:tr w:rsidR="00803768" w:rsidRPr="00883399" w14:paraId="6FF4B22A" w14:textId="77777777" w:rsidTr="00647300">
        <w:trPr>
          <w:trHeight w:val="300"/>
        </w:trPr>
        <w:tc>
          <w:tcPr>
            <w:tcW w:w="306" w:type="dxa"/>
            <w:tcBorders>
              <w:top w:val="nil"/>
              <w:left w:val="nil"/>
              <w:bottom w:val="nil"/>
              <w:right w:val="nil"/>
            </w:tcBorders>
            <w:noWrap/>
          </w:tcPr>
          <w:p w14:paraId="2994B1B8" w14:textId="77777777" w:rsidR="00803768" w:rsidRPr="00883399" w:rsidRDefault="00803768" w:rsidP="00803768">
            <w:pPr>
              <w:rPr>
                <w:sz w:val="18"/>
                <w:szCs w:val="18"/>
              </w:rPr>
            </w:pPr>
            <w:r w:rsidRPr="00883399">
              <w:rPr>
                <w:sz w:val="18"/>
                <w:szCs w:val="18"/>
              </w:rPr>
              <w:t>i</w:t>
            </w:r>
          </w:p>
        </w:tc>
        <w:tc>
          <w:tcPr>
            <w:tcW w:w="9092" w:type="dxa"/>
            <w:tcBorders>
              <w:top w:val="nil"/>
              <w:left w:val="nil"/>
              <w:bottom w:val="nil"/>
              <w:right w:val="nil"/>
            </w:tcBorders>
            <w:noWrap/>
          </w:tcPr>
          <w:p w14:paraId="48729CC3" w14:textId="77777777" w:rsidR="00803768" w:rsidRPr="00883399" w:rsidRDefault="00803768" w:rsidP="00803768">
            <w:pPr>
              <w:rPr>
                <w:sz w:val="18"/>
                <w:szCs w:val="18"/>
              </w:rPr>
            </w:pPr>
            <w:r w:rsidRPr="00883399">
              <w:rPr>
                <w:sz w:val="18"/>
                <w:szCs w:val="18"/>
              </w:rPr>
              <w:t>Sampling and analysis uncertainty of gas composition (assumed to be 100% methane in the emission calculation)</w:t>
            </w:r>
          </w:p>
        </w:tc>
      </w:tr>
    </w:tbl>
    <w:p w14:paraId="1963E07C" w14:textId="77777777" w:rsidR="00803768" w:rsidRPr="00883399" w:rsidRDefault="00803768" w:rsidP="00803768">
      <w:pPr>
        <w:rPr>
          <w:color w:val="FF0000"/>
        </w:rPr>
      </w:pPr>
    </w:p>
    <w:p w14:paraId="27A7A5D4" w14:textId="77777777" w:rsidR="007261F7" w:rsidRPr="00883399" w:rsidRDefault="007261F7"/>
    <w:p w14:paraId="65917301" w14:textId="77777777" w:rsidR="007261F7" w:rsidRPr="00883399" w:rsidRDefault="007261F7" w:rsidP="00B97294">
      <w:pPr>
        <w:pStyle w:val="MainBodySectionBreak"/>
        <w:sectPr w:rsidR="007261F7" w:rsidRPr="00883399" w:rsidSect="00872C03">
          <w:headerReference w:type="even" r:id="rId370"/>
          <w:headerReference w:type="default" r:id="rId371"/>
          <w:pgSz w:w="11907" w:h="16839" w:code="9"/>
          <w:pgMar w:top="1440" w:right="1797" w:bottom="1440" w:left="1797" w:header="720" w:footer="720" w:gutter="0"/>
          <w:cols w:space="708"/>
          <w:docGrid w:linePitch="360"/>
        </w:sectPr>
      </w:pPr>
    </w:p>
    <w:p w14:paraId="17F5E806" w14:textId="093A4B6A" w:rsidR="007261F7" w:rsidRPr="00883399" w:rsidRDefault="0084491A">
      <w:pPr>
        <w:pStyle w:val="Scheduletitle"/>
        <w:pageBreakBefore/>
      </w:pPr>
      <w:bookmarkStart w:id="1372" w:name="_Toc265135669"/>
      <w:bookmarkStart w:id="1373" w:name="_Toc227734142"/>
      <w:bookmarkStart w:id="1374" w:name="_Toc495653204"/>
      <w:r w:rsidRPr="00883399">
        <w:rPr>
          <w:rStyle w:val="CharAmSchNo"/>
        </w:rPr>
        <w:t xml:space="preserve">Appendix A: </w:t>
      </w:r>
      <w:r w:rsidRPr="00883399">
        <w:rPr>
          <w:rStyle w:val="CharAmSchNo"/>
        </w:rPr>
        <w:tab/>
      </w:r>
      <w:r w:rsidR="00AB1027" w:rsidRPr="00883399">
        <w:rPr>
          <w:color w:val="000000"/>
        </w:rPr>
        <w:t>Schedule 3</w:t>
      </w:r>
      <w:r w:rsidR="00AB1027" w:rsidRPr="00883399">
        <w:rPr>
          <w:color w:val="000000"/>
        </w:rPr>
        <w:tab/>
        <w:t>Carbon content factors</w:t>
      </w:r>
      <w:bookmarkEnd w:id="1372"/>
      <w:bookmarkEnd w:id="1373"/>
      <w:bookmarkEnd w:id="1374"/>
    </w:p>
    <w:p w14:paraId="4FD2EEEB" w14:textId="77777777" w:rsidR="007261F7" w:rsidRPr="00883399" w:rsidRDefault="007261F7">
      <w:pPr>
        <w:pStyle w:val="Schedulereference"/>
      </w:pPr>
      <w:r w:rsidRPr="00883399">
        <w:t>(subsection 2.61 (1), sections 3.65, 4.66 and subsections 4.67 (2) and 4.68 (2))</w:t>
      </w:r>
    </w:p>
    <w:p w14:paraId="6A2484CF" w14:textId="77777777" w:rsidR="007261F7" w:rsidRPr="00883399" w:rsidRDefault="007261F7">
      <w:pPr>
        <w:pStyle w:val="Note"/>
      </w:pPr>
      <w:r w:rsidRPr="00883399">
        <w:rPr>
          <w:i/>
        </w:rPr>
        <w:t>Note 1   </w:t>
      </w:r>
      <w:r w:rsidRPr="00883399">
        <w:t>Under the 2006 IPCC Guidelines, the emission factor for CO</w:t>
      </w:r>
      <w:r w:rsidRPr="00883399">
        <w:rPr>
          <w:rStyle w:val="Subscript"/>
        </w:rPr>
        <w:t>2</w:t>
      </w:r>
      <w:r w:rsidRPr="00883399">
        <w:t xml:space="preserve"> released from combustion of biogenic carbon fuels is zero.</w:t>
      </w:r>
    </w:p>
    <w:p w14:paraId="1607F86E" w14:textId="77777777" w:rsidR="007261F7" w:rsidRPr="00883399" w:rsidRDefault="007261F7">
      <w:pPr>
        <w:pStyle w:val="Note"/>
      </w:pPr>
      <w:r w:rsidRPr="00883399">
        <w:rPr>
          <w:i/>
        </w:rPr>
        <w:t>Note 2   </w:t>
      </w:r>
      <w:r w:rsidRPr="00883399">
        <w:t>The carbon content factors in this Schedule do not include relevant oxidation factors.</w:t>
      </w:r>
    </w:p>
    <w:p w14:paraId="4AD257C5" w14:textId="77777777" w:rsidR="00854872" w:rsidRPr="00883399" w:rsidRDefault="00854872">
      <w:pPr>
        <w:pStyle w:val="Note"/>
      </w:pPr>
      <w:r w:rsidRPr="00883399">
        <w:rPr>
          <w:i/>
        </w:rPr>
        <w:t>Note 3   </w:t>
      </w:r>
      <w:r w:rsidRPr="00883399">
        <w:t xml:space="preserve">Energy content and emission factors for coal products are measured on an as combusted basis. </w:t>
      </w:r>
      <w:r w:rsidR="007D6D15" w:rsidRPr="00883399">
        <w:t>T</w:t>
      </w:r>
      <w:r w:rsidRPr="00883399">
        <w:t>he energy content for black coal and coking coal (metallurgical coal) is on a washed basis.</w:t>
      </w:r>
    </w:p>
    <w:p w14:paraId="027E092C" w14:textId="77777777" w:rsidR="00A74347" w:rsidRPr="00883399" w:rsidRDefault="00A74347" w:rsidP="00A74347">
      <w:pPr>
        <w:pStyle w:val="Note"/>
      </w:pPr>
      <w:r w:rsidRPr="00883399">
        <w:rPr>
          <w:i/>
        </w:rPr>
        <w:t xml:space="preserve">Note 4  </w:t>
      </w:r>
      <w:r w:rsidRPr="00883399">
        <w:t>The default carbon content factors are not separately listed for sub bituminous coal, bituminous coal and anthracite in the table below, however they can be derived using the respective default emission factors and energy content factors published in the Determination.</w:t>
      </w:r>
    </w:p>
    <w:p w14:paraId="38327FFA" w14:textId="77777777" w:rsidR="00A74347" w:rsidRPr="00883399" w:rsidRDefault="00A74347">
      <w:pPr>
        <w:pStyle w:val="Note"/>
      </w:pPr>
      <w:r w:rsidRPr="00883399">
        <w:t>Carbon content factors are estimated from the CO</w:t>
      </w:r>
      <w:r w:rsidRPr="00883399">
        <w:rPr>
          <w:vertAlign w:val="subscript"/>
        </w:rPr>
        <w:t>2</w:t>
      </w:r>
      <w:r w:rsidRPr="00883399">
        <w:t xml:space="preserve"> emission factor, the oxidation factor and the energy content factor of fuels. </w:t>
      </w:r>
    </w:p>
    <w:p w14:paraId="04646CFF" w14:textId="44FEBE0A" w:rsidR="007261F7" w:rsidRPr="00883399" w:rsidRDefault="007261F7">
      <w:pPr>
        <w:pStyle w:val="Schedulepart"/>
      </w:pPr>
      <w:bookmarkStart w:id="1375" w:name="_Toc227734143"/>
      <w:bookmarkStart w:id="1376" w:name="_Toc265135670"/>
      <w:bookmarkStart w:id="1377" w:name="_Toc495653205"/>
      <w:r w:rsidRPr="00883399">
        <w:rPr>
          <w:rStyle w:val="CharSchPTNo"/>
        </w:rPr>
        <w:t>Part 1</w:t>
      </w:r>
      <w:r w:rsidRPr="00883399">
        <w:tab/>
      </w:r>
      <w:r w:rsidRPr="00883399">
        <w:rPr>
          <w:rStyle w:val="CharSchPTText"/>
        </w:rPr>
        <w:t>Solid fuels and certain coal</w:t>
      </w:r>
      <w:r w:rsidRPr="00883399">
        <w:rPr>
          <w:rStyle w:val="CharSchPTText"/>
        </w:rPr>
        <w:noBreakHyphen/>
        <w:t>based products</w:t>
      </w:r>
      <w:bookmarkEnd w:id="1375"/>
      <w:bookmarkEnd w:id="1376"/>
      <w:bookmarkEnd w:id="1377"/>
    </w:p>
    <w:p w14:paraId="1BB62E95" w14:textId="77777777" w:rsidR="007261F7" w:rsidRPr="00883399" w:rsidRDefault="007261F7"/>
    <w:tbl>
      <w:tblPr>
        <w:tblW w:w="83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72"/>
        <w:gridCol w:w="1941"/>
      </w:tblGrid>
      <w:tr w:rsidR="007261F7" w:rsidRPr="00883399" w14:paraId="02D41249" w14:textId="77777777">
        <w:trPr>
          <w:cantSplit/>
          <w:tblHeader/>
        </w:trPr>
        <w:tc>
          <w:tcPr>
            <w:tcW w:w="588" w:type="dxa"/>
            <w:tcBorders>
              <w:top w:val="nil"/>
              <w:left w:val="nil"/>
              <w:right w:val="nil"/>
            </w:tcBorders>
          </w:tcPr>
          <w:p w14:paraId="3725C998" w14:textId="77777777" w:rsidR="007261F7" w:rsidRPr="00883399" w:rsidRDefault="007261F7">
            <w:pPr>
              <w:pStyle w:val="Table"/>
              <w:jc w:val="right"/>
              <w:rPr>
                <w:rStyle w:val="Strong"/>
                <w:rFonts w:cs="Arial"/>
                <w:sz w:val="18"/>
              </w:rPr>
            </w:pPr>
            <w:r w:rsidRPr="00883399">
              <w:rPr>
                <w:rStyle w:val="Strong"/>
                <w:rFonts w:cs="Arial"/>
                <w:sz w:val="18"/>
              </w:rPr>
              <w:t>Item</w:t>
            </w:r>
          </w:p>
        </w:tc>
        <w:tc>
          <w:tcPr>
            <w:tcW w:w="5772" w:type="dxa"/>
            <w:tcBorders>
              <w:top w:val="nil"/>
              <w:left w:val="nil"/>
              <w:right w:val="nil"/>
            </w:tcBorders>
          </w:tcPr>
          <w:p w14:paraId="3FB3A04A" w14:textId="77777777" w:rsidR="007261F7" w:rsidRPr="00883399" w:rsidRDefault="007261F7">
            <w:pPr>
              <w:pStyle w:val="TableCentre"/>
              <w:jc w:val="left"/>
              <w:rPr>
                <w:rStyle w:val="Strong"/>
                <w:rFonts w:cs="Arial"/>
                <w:sz w:val="18"/>
              </w:rPr>
            </w:pPr>
            <w:r w:rsidRPr="00883399">
              <w:rPr>
                <w:rStyle w:val="Strong"/>
                <w:rFonts w:cs="Arial"/>
                <w:sz w:val="18"/>
              </w:rPr>
              <w:t>Fuel type</w:t>
            </w:r>
          </w:p>
        </w:tc>
        <w:tc>
          <w:tcPr>
            <w:tcW w:w="1941" w:type="dxa"/>
            <w:tcBorders>
              <w:top w:val="nil"/>
              <w:left w:val="nil"/>
              <w:right w:val="nil"/>
            </w:tcBorders>
          </w:tcPr>
          <w:p w14:paraId="69190914" w14:textId="77777777" w:rsidR="00845263" w:rsidRPr="00883399" w:rsidRDefault="007261F7" w:rsidP="00845263">
            <w:pPr>
              <w:pStyle w:val="Heading1Like"/>
              <w:spacing w:after="60"/>
              <w:ind w:left="0" w:firstLine="0"/>
              <w:rPr>
                <w:rFonts w:ascii="Arial" w:hAnsi="Arial"/>
                <w:caps w:val="0"/>
                <w:sz w:val="18"/>
              </w:rPr>
            </w:pPr>
            <w:r w:rsidRPr="00883399">
              <w:rPr>
                <w:rFonts w:ascii="Arial" w:hAnsi="Arial"/>
                <w:caps w:val="0"/>
                <w:sz w:val="18"/>
              </w:rPr>
              <w:t>Carbon content factor</w:t>
            </w:r>
          </w:p>
          <w:p w14:paraId="007E2813" w14:textId="77777777" w:rsidR="007261F7" w:rsidRPr="00883399" w:rsidRDefault="007261F7" w:rsidP="00845263">
            <w:pPr>
              <w:pStyle w:val="Heading1Like"/>
              <w:spacing w:before="60" w:after="60"/>
              <w:ind w:left="0" w:firstLine="0"/>
              <w:rPr>
                <w:rFonts w:ascii="Arial" w:hAnsi="Arial"/>
                <w:sz w:val="18"/>
              </w:rPr>
            </w:pPr>
            <w:r w:rsidRPr="00883399">
              <w:rPr>
                <w:rFonts w:ascii="Arial" w:hAnsi="Arial"/>
                <w:caps w:val="0"/>
                <w:sz w:val="18"/>
              </w:rPr>
              <w:t>tC/t fuel</w:t>
            </w:r>
          </w:p>
        </w:tc>
      </w:tr>
      <w:tr w:rsidR="007261F7" w:rsidRPr="00883399" w14:paraId="2B0FA099" w14:textId="77777777">
        <w:trPr>
          <w:cantSplit/>
          <w:trHeight w:val="20"/>
        </w:trPr>
        <w:tc>
          <w:tcPr>
            <w:tcW w:w="8301" w:type="dxa"/>
            <w:gridSpan w:val="3"/>
            <w:tcBorders>
              <w:left w:val="nil"/>
              <w:bottom w:val="nil"/>
              <w:right w:val="nil"/>
            </w:tcBorders>
          </w:tcPr>
          <w:p w14:paraId="1CCE2289" w14:textId="77777777" w:rsidR="007261F7" w:rsidRPr="00883399" w:rsidRDefault="007261F7">
            <w:pPr>
              <w:pStyle w:val="TableText"/>
              <w:rPr>
                <w:snapToGrid w:val="0"/>
              </w:rPr>
            </w:pPr>
            <w:r w:rsidRPr="00883399">
              <w:rPr>
                <w:i/>
                <w:snapToGrid w:val="0"/>
                <w:szCs w:val="22"/>
              </w:rPr>
              <w:t>Solid fossil fuels</w:t>
            </w:r>
          </w:p>
        </w:tc>
      </w:tr>
      <w:tr w:rsidR="007261F7" w:rsidRPr="00883399" w14:paraId="3424C666" w14:textId="77777777">
        <w:trPr>
          <w:cantSplit/>
          <w:trHeight w:val="20"/>
        </w:trPr>
        <w:tc>
          <w:tcPr>
            <w:tcW w:w="588" w:type="dxa"/>
            <w:tcBorders>
              <w:top w:val="nil"/>
              <w:left w:val="nil"/>
              <w:bottom w:val="nil"/>
              <w:right w:val="nil"/>
            </w:tcBorders>
          </w:tcPr>
          <w:p w14:paraId="1190C8F7" w14:textId="77777777" w:rsidR="007261F7" w:rsidRPr="00883399" w:rsidRDefault="007261F7">
            <w:pPr>
              <w:pStyle w:val="TableText"/>
              <w:rPr>
                <w:szCs w:val="22"/>
              </w:rPr>
            </w:pPr>
            <w:r w:rsidRPr="00883399">
              <w:rPr>
                <w:szCs w:val="22"/>
              </w:rPr>
              <w:t>1</w:t>
            </w:r>
          </w:p>
        </w:tc>
        <w:tc>
          <w:tcPr>
            <w:tcW w:w="5772" w:type="dxa"/>
            <w:tcBorders>
              <w:top w:val="nil"/>
              <w:left w:val="nil"/>
              <w:bottom w:val="nil"/>
              <w:right w:val="nil"/>
            </w:tcBorders>
          </w:tcPr>
          <w:p w14:paraId="7A7A7079" w14:textId="77777777" w:rsidR="007261F7" w:rsidRPr="00883399" w:rsidRDefault="006E08CF">
            <w:pPr>
              <w:pStyle w:val="TableText"/>
              <w:rPr>
                <w:szCs w:val="22"/>
              </w:rPr>
            </w:pPr>
            <w:r w:rsidRPr="00883399">
              <w:rPr>
                <w:snapToGrid w:val="0"/>
                <w:szCs w:val="22"/>
              </w:rPr>
              <w:t>Bituminous coal</w:t>
            </w:r>
          </w:p>
        </w:tc>
        <w:tc>
          <w:tcPr>
            <w:tcW w:w="1941" w:type="dxa"/>
            <w:tcBorders>
              <w:top w:val="nil"/>
              <w:left w:val="nil"/>
              <w:bottom w:val="nil"/>
              <w:right w:val="nil"/>
            </w:tcBorders>
          </w:tcPr>
          <w:p w14:paraId="4639D81E" w14:textId="77777777" w:rsidR="007261F7" w:rsidRPr="00883399" w:rsidRDefault="007261F7">
            <w:pPr>
              <w:pStyle w:val="TableText"/>
              <w:rPr>
                <w:szCs w:val="22"/>
              </w:rPr>
            </w:pPr>
            <w:r w:rsidRPr="00883399">
              <w:rPr>
                <w:szCs w:val="22"/>
              </w:rPr>
              <w:t>0.663</w:t>
            </w:r>
          </w:p>
        </w:tc>
      </w:tr>
      <w:tr w:rsidR="006E08CF" w:rsidRPr="00883399" w14:paraId="1DCAC228" w14:textId="77777777">
        <w:trPr>
          <w:cantSplit/>
          <w:trHeight w:val="20"/>
        </w:trPr>
        <w:tc>
          <w:tcPr>
            <w:tcW w:w="588" w:type="dxa"/>
            <w:tcBorders>
              <w:top w:val="nil"/>
              <w:left w:val="nil"/>
              <w:bottom w:val="nil"/>
              <w:right w:val="nil"/>
            </w:tcBorders>
          </w:tcPr>
          <w:p w14:paraId="01DC062F" w14:textId="77777777" w:rsidR="006E08CF" w:rsidRPr="00883399" w:rsidRDefault="006E08CF">
            <w:pPr>
              <w:pStyle w:val="TableText"/>
              <w:rPr>
                <w:szCs w:val="22"/>
              </w:rPr>
            </w:pPr>
            <w:r w:rsidRPr="00883399">
              <w:rPr>
                <w:szCs w:val="22"/>
              </w:rPr>
              <w:t>1A</w:t>
            </w:r>
          </w:p>
        </w:tc>
        <w:tc>
          <w:tcPr>
            <w:tcW w:w="5772" w:type="dxa"/>
            <w:tcBorders>
              <w:top w:val="nil"/>
              <w:left w:val="nil"/>
              <w:bottom w:val="nil"/>
              <w:right w:val="nil"/>
            </w:tcBorders>
          </w:tcPr>
          <w:p w14:paraId="70E5E55B" w14:textId="77777777" w:rsidR="006E08CF" w:rsidRPr="00883399" w:rsidRDefault="006E08CF">
            <w:pPr>
              <w:pStyle w:val="TableText"/>
              <w:rPr>
                <w:snapToGrid w:val="0"/>
                <w:szCs w:val="22"/>
              </w:rPr>
            </w:pPr>
            <w:r w:rsidRPr="00883399">
              <w:rPr>
                <w:snapToGrid w:val="0"/>
                <w:szCs w:val="22"/>
              </w:rPr>
              <w:t>Sub-bituminous coal</w:t>
            </w:r>
          </w:p>
        </w:tc>
        <w:tc>
          <w:tcPr>
            <w:tcW w:w="1941" w:type="dxa"/>
            <w:tcBorders>
              <w:top w:val="nil"/>
              <w:left w:val="nil"/>
              <w:bottom w:val="nil"/>
              <w:right w:val="nil"/>
            </w:tcBorders>
          </w:tcPr>
          <w:p w14:paraId="3E9CBB50" w14:textId="77777777" w:rsidR="006E08CF" w:rsidRPr="00883399" w:rsidRDefault="006E08CF" w:rsidP="009D7092">
            <w:pPr>
              <w:pStyle w:val="TableText"/>
              <w:rPr>
                <w:szCs w:val="22"/>
              </w:rPr>
            </w:pPr>
            <w:r w:rsidRPr="00883399">
              <w:rPr>
                <w:szCs w:val="22"/>
              </w:rPr>
              <w:t>0.</w:t>
            </w:r>
            <w:r w:rsidR="009D7092" w:rsidRPr="00883399">
              <w:rPr>
                <w:szCs w:val="22"/>
              </w:rPr>
              <w:t>515</w:t>
            </w:r>
          </w:p>
        </w:tc>
      </w:tr>
      <w:tr w:rsidR="006E08CF" w:rsidRPr="00883399" w14:paraId="1575C0D7" w14:textId="77777777">
        <w:trPr>
          <w:cantSplit/>
          <w:trHeight w:val="20"/>
        </w:trPr>
        <w:tc>
          <w:tcPr>
            <w:tcW w:w="588" w:type="dxa"/>
            <w:tcBorders>
              <w:top w:val="nil"/>
              <w:left w:val="nil"/>
              <w:bottom w:val="nil"/>
              <w:right w:val="nil"/>
            </w:tcBorders>
          </w:tcPr>
          <w:p w14:paraId="0687470F" w14:textId="77777777" w:rsidR="006E08CF" w:rsidRPr="00883399" w:rsidRDefault="006E08CF">
            <w:pPr>
              <w:pStyle w:val="TableText"/>
              <w:rPr>
                <w:szCs w:val="22"/>
              </w:rPr>
            </w:pPr>
            <w:r w:rsidRPr="00883399">
              <w:rPr>
                <w:szCs w:val="22"/>
              </w:rPr>
              <w:t>1B</w:t>
            </w:r>
          </w:p>
        </w:tc>
        <w:tc>
          <w:tcPr>
            <w:tcW w:w="5772" w:type="dxa"/>
            <w:tcBorders>
              <w:top w:val="nil"/>
              <w:left w:val="nil"/>
              <w:bottom w:val="nil"/>
              <w:right w:val="nil"/>
            </w:tcBorders>
          </w:tcPr>
          <w:p w14:paraId="0EBDCBB7" w14:textId="77777777" w:rsidR="006E08CF" w:rsidRPr="00883399" w:rsidRDefault="006E08CF">
            <w:pPr>
              <w:pStyle w:val="TableText"/>
              <w:rPr>
                <w:snapToGrid w:val="0"/>
                <w:szCs w:val="22"/>
              </w:rPr>
            </w:pPr>
            <w:r w:rsidRPr="00883399">
              <w:rPr>
                <w:snapToGrid w:val="0"/>
                <w:szCs w:val="22"/>
              </w:rPr>
              <w:t>Anthracite</w:t>
            </w:r>
          </w:p>
        </w:tc>
        <w:tc>
          <w:tcPr>
            <w:tcW w:w="1941" w:type="dxa"/>
            <w:tcBorders>
              <w:top w:val="nil"/>
              <w:left w:val="nil"/>
              <w:bottom w:val="nil"/>
              <w:right w:val="nil"/>
            </w:tcBorders>
          </w:tcPr>
          <w:p w14:paraId="223CE6FA" w14:textId="77777777" w:rsidR="006E08CF" w:rsidRPr="00883399" w:rsidRDefault="006E08CF" w:rsidP="009D7092">
            <w:pPr>
              <w:pStyle w:val="TableText"/>
              <w:rPr>
                <w:szCs w:val="22"/>
              </w:rPr>
            </w:pPr>
            <w:r w:rsidRPr="00883399">
              <w:rPr>
                <w:szCs w:val="22"/>
              </w:rPr>
              <w:t>0.</w:t>
            </w:r>
            <w:r w:rsidR="009D7092" w:rsidRPr="00883399">
              <w:rPr>
                <w:szCs w:val="22"/>
              </w:rPr>
              <w:t>712</w:t>
            </w:r>
          </w:p>
        </w:tc>
      </w:tr>
      <w:tr w:rsidR="007261F7" w:rsidRPr="00883399" w14:paraId="45B640CF" w14:textId="77777777">
        <w:trPr>
          <w:cantSplit/>
          <w:trHeight w:val="20"/>
        </w:trPr>
        <w:tc>
          <w:tcPr>
            <w:tcW w:w="588" w:type="dxa"/>
            <w:tcBorders>
              <w:top w:val="nil"/>
              <w:left w:val="nil"/>
              <w:bottom w:val="nil"/>
              <w:right w:val="nil"/>
            </w:tcBorders>
          </w:tcPr>
          <w:p w14:paraId="6173BE89" w14:textId="77777777" w:rsidR="007261F7" w:rsidRPr="00883399" w:rsidRDefault="007261F7">
            <w:pPr>
              <w:pStyle w:val="TableText"/>
              <w:rPr>
                <w:szCs w:val="22"/>
              </w:rPr>
            </w:pPr>
            <w:r w:rsidRPr="00883399">
              <w:rPr>
                <w:szCs w:val="22"/>
              </w:rPr>
              <w:t>2</w:t>
            </w:r>
          </w:p>
        </w:tc>
        <w:tc>
          <w:tcPr>
            <w:tcW w:w="5772" w:type="dxa"/>
            <w:tcBorders>
              <w:top w:val="nil"/>
              <w:left w:val="nil"/>
              <w:bottom w:val="nil"/>
              <w:right w:val="nil"/>
            </w:tcBorders>
          </w:tcPr>
          <w:p w14:paraId="30618415" w14:textId="77777777" w:rsidR="007261F7" w:rsidRPr="00883399" w:rsidRDefault="007261F7">
            <w:pPr>
              <w:pStyle w:val="TableText"/>
              <w:rPr>
                <w:snapToGrid w:val="0"/>
                <w:szCs w:val="22"/>
              </w:rPr>
            </w:pPr>
            <w:r w:rsidRPr="00883399">
              <w:rPr>
                <w:snapToGrid w:val="0"/>
                <w:szCs w:val="22"/>
              </w:rPr>
              <w:t>Brown coal</w:t>
            </w:r>
          </w:p>
        </w:tc>
        <w:tc>
          <w:tcPr>
            <w:tcW w:w="1941" w:type="dxa"/>
            <w:tcBorders>
              <w:top w:val="nil"/>
              <w:left w:val="nil"/>
              <w:bottom w:val="nil"/>
              <w:right w:val="nil"/>
            </w:tcBorders>
          </w:tcPr>
          <w:p w14:paraId="2814EC34" w14:textId="77777777" w:rsidR="007261F7" w:rsidRPr="00883399" w:rsidRDefault="007261F7">
            <w:pPr>
              <w:pStyle w:val="TableText"/>
              <w:rPr>
                <w:szCs w:val="22"/>
              </w:rPr>
            </w:pPr>
            <w:r w:rsidRPr="00883399">
              <w:rPr>
                <w:szCs w:val="22"/>
              </w:rPr>
              <w:t>0.260</w:t>
            </w:r>
          </w:p>
        </w:tc>
      </w:tr>
      <w:tr w:rsidR="007261F7" w:rsidRPr="00883399" w14:paraId="6061010B" w14:textId="77777777">
        <w:trPr>
          <w:cantSplit/>
          <w:trHeight w:val="20"/>
        </w:trPr>
        <w:tc>
          <w:tcPr>
            <w:tcW w:w="588" w:type="dxa"/>
            <w:tcBorders>
              <w:top w:val="nil"/>
              <w:left w:val="nil"/>
              <w:bottom w:val="nil"/>
              <w:right w:val="nil"/>
            </w:tcBorders>
          </w:tcPr>
          <w:p w14:paraId="7BE12EB2" w14:textId="77777777" w:rsidR="007261F7" w:rsidRPr="00883399" w:rsidRDefault="007261F7">
            <w:pPr>
              <w:pStyle w:val="TableText"/>
              <w:rPr>
                <w:szCs w:val="22"/>
              </w:rPr>
            </w:pPr>
            <w:r w:rsidRPr="00883399">
              <w:rPr>
                <w:szCs w:val="22"/>
              </w:rPr>
              <w:t>3</w:t>
            </w:r>
          </w:p>
        </w:tc>
        <w:tc>
          <w:tcPr>
            <w:tcW w:w="5772" w:type="dxa"/>
            <w:tcBorders>
              <w:top w:val="nil"/>
              <w:left w:val="nil"/>
              <w:bottom w:val="nil"/>
              <w:right w:val="nil"/>
            </w:tcBorders>
          </w:tcPr>
          <w:p w14:paraId="08C95947" w14:textId="77777777" w:rsidR="007261F7" w:rsidRPr="00883399" w:rsidRDefault="007261F7">
            <w:pPr>
              <w:pStyle w:val="TableText"/>
              <w:rPr>
                <w:szCs w:val="22"/>
              </w:rPr>
            </w:pPr>
            <w:r w:rsidRPr="00883399">
              <w:rPr>
                <w:szCs w:val="22"/>
              </w:rPr>
              <w:t xml:space="preserve">Coking coal </w:t>
            </w:r>
          </w:p>
        </w:tc>
        <w:tc>
          <w:tcPr>
            <w:tcW w:w="1941" w:type="dxa"/>
            <w:tcBorders>
              <w:top w:val="nil"/>
              <w:left w:val="nil"/>
              <w:bottom w:val="nil"/>
              <w:right w:val="nil"/>
            </w:tcBorders>
          </w:tcPr>
          <w:p w14:paraId="2F72C0F3" w14:textId="77777777" w:rsidR="007261F7" w:rsidRPr="00883399" w:rsidRDefault="007261F7">
            <w:pPr>
              <w:pStyle w:val="TableText"/>
              <w:rPr>
                <w:szCs w:val="22"/>
              </w:rPr>
            </w:pPr>
            <w:r w:rsidRPr="00883399">
              <w:rPr>
                <w:szCs w:val="22"/>
              </w:rPr>
              <w:t>0.752</w:t>
            </w:r>
          </w:p>
        </w:tc>
      </w:tr>
      <w:tr w:rsidR="007261F7" w:rsidRPr="00883399" w14:paraId="2B2E3F10" w14:textId="77777777">
        <w:trPr>
          <w:cantSplit/>
          <w:trHeight w:val="20"/>
        </w:trPr>
        <w:tc>
          <w:tcPr>
            <w:tcW w:w="588" w:type="dxa"/>
            <w:tcBorders>
              <w:top w:val="nil"/>
              <w:left w:val="nil"/>
              <w:bottom w:val="nil"/>
              <w:right w:val="nil"/>
            </w:tcBorders>
          </w:tcPr>
          <w:p w14:paraId="0471E9E0" w14:textId="77777777" w:rsidR="007261F7" w:rsidRPr="00883399" w:rsidRDefault="007261F7">
            <w:pPr>
              <w:pStyle w:val="TableText"/>
              <w:rPr>
                <w:szCs w:val="22"/>
              </w:rPr>
            </w:pPr>
            <w:r w:rsidRPr="00883399">
              <w:rPr>
                <w:szCs w:val="22"/>
              </w:rPr>
              <w:t>4</w:t>
            </w:r>
          </w:p>
        </w:tc>
        <w:tc>
          <w:tcPr>
            <w:tcW w:w="5772" w:type="dxa"/>
            <w:tcBorders>
              <w:top w:val="nil"/>
              <w:left w:val="nil"/>
              <w:bottom w:val="nil"/>
              <w:right w:val="nil"/>
            </w:tcBorders>
          </w:tcPr>
          <w:p w14:paraId="2125F8EA" w14:textId="77777777" w:rsidR="007261F7" w:rsidRPr="00883399" w:rsidRDefault="00217E66" w:rsidP="00217E66">
            <w:pPr>
              <w:pStyle w:val="TableText"/>
              <w:rPr>
                <w:szCs w:val="22"/>
              </w:rPr>
            </w:pPr>
            <w:r w:rsidRPr="00883399">
              <w:rPr>
                <w:szCs w:val="22"/>
              </w:rPr>
              <w:t>C</w:t>
            </w:r>
            <w:r w:rsidR="007261F7" w:rsidRPr="00883399">
              <w:rPr>
                <w:szCs w:val="22"/>
              </w:rPr>
              <w:t>oal briquettes</w:t>
            </w:r>
          </w:p>
        </w:tc>
        <w:tc>
          <w:tcPr>
            <w:tcW w:w="1941" w:type="dxa"/>
            <w:tcBorders>
              <w:top w:val="nil"/>
              <w:left w:val="nil"/>
              <w:bottom w:val="nil"/>
              <w:right w:val="nil"/>
            </w:tcBorders>
          </w:tcPr>
          <w:p w14:paraId="48CAE7DF" w14:textId="77777777" w:rsidR="007261F7" w:rsidRPr="00883399" w:rsidRDefault="007261F7">
            <w:pPr>
              <w:pStyle w:val="TableText"/>
              <w:rPr>
                <w:szCs w:val="22"/>
              </w:rPr>
            </w:pPr>
            <w:r w:rsidRPr="00883399">
              <w:rPr>
                <w:szCs w:val="22"/>
              </w:rPr>
              <w:t>0.574</w:t>
            </w:r>
          </w:p>
        </w:tc>
      </w:tr>
      <w:tr w:rsidR="007261F7" w:rsidRPr="00883399" w14:paraId="1014DD95" w14:textId="77777777">
        <w:trPr>
          <w:cantSplit/>
          <w:trHeight w:val="20"/>
        </w:trPr>
        <w:tc>
          <w:tcPr>
            <w:tcW w:w="588" w:type="dxa"/>
            <w:tcBorders>
              <w:top w:val="nil"/>
              <w:left w:val="nil"/>
              <w:bottom w:val="nil"/>
              <w:right w:val="nil"/>
            </w:tcBorders>
          </w:tcPr>
          <w:p w14:paraId="2836159E" w14:textId="77777777" w:rsidR="007261F7" w:rsidRPr="00883399" w:rsidRDefault="007261F7">
            <w:pPr>
              <w:pStyle w:val="TableText"/>
              <w:rPr>
                <w:szCs w:val="22"/>
              </w:rPr>
            </w:pPr>
            <w:r w:rsidRPr="00883399">
              <w:rPr>
                <w:szCs w:val="22"/>
              </w:rPr>
              <w:t>5</w:t>
            </w:r>
          </w:p>
        </w:tc>
        <w:tc>
          <w:tcPr>
            <w:tcW w:w="5772" w:type="dxa"/>
            <w:tcBorders>
              <w:top w:val="nil"/>
              <w:left w:val="nil"/>
              <w:bottom w:val="nil"/>
              <w:right w:val="nil"/>
            </w:tcBorders>
          </w:tcPr>
          <w:p w14:paraId="3DE808D8" w14:textId="77777777" w:rsidR="007261F7" w:rsidRPr="00883399" w:rsidRDefault="007261F7" w:rsidP="00217E66">
            <w:pPr>
              <w:pStyle w:val="TableText"/>
              <w:rPr>
                <w:szCs w:val="22"/>
              </w:rPr>
            </w:pPr>
            <w:r w:rsidRPr="00883399">
              <w:rPr>
                <w:szCs w:val="22"/>
              </w:rPr>
              <w:t>Co</w:t>
            </w:r>
            <w:r w:rsidR="00217E66" w:rsidRPr="00883399">
              <w:rPr>
                <w:szCs w:val="22"/>
              </w:rPr>
              <w:t xml:space="preserve">al </w:t>
            </w:r>
            <w:r w:rsidRPr="00883399">
              <w:rPr>
                <w:szCs w:val="22"/>
              </w:rPr>
              <w:t>coke</w:t>
            </w:r>
          </w:p>
        </w:tc>
        <w:tc>
          <w:tcPr>
            <w:tcW w:w="1941" w:type="dxa"/>
            <w:tcBorders>
              <w:top w:val="nil"/>
              <w:left w:val="nil"/>
              <w:bottom w:val="nil"/>
              <w:right w:val="nil"/>
            </w:tcBorders>
          </w:tcPr>
          <w:p w14:paraId="09A81406" w14:textId="77777777" w:rsidR="007261F7" w:rsidRPr="00883399" w:rsidRDefault="007261F7">
            <w:pPr>
              <w:pStyle w:val="TableText"/>
              <w:rPr>
                <w:szCs w:val="22"/>
              </w:rPr>
            </w:pPr>
            <w:r w:rsidRPr="00883399">
              <w:rPr>
                <w:szCs w:val="22"/>
              </w:rPr>
              <w:t>0.789</w:t>
            </w:r>
          </w:p>
        </w:tc>
      </w:tr>
      <w:tr w:rsidR="007261F7" w:rsidRPr="00883399" w14:paraId="68EB057C" w14:textId="77777777">
        <w:trPr>
          <w:cantSplit/>
          <w:trHeight w:val="20"/>
        </w:trPr>
        <w:tc>
          <w:tcPr>
            <w:tcW w:w="588" w:type="dxa"/>
            <w:tcBorders>
              <w:top w:val="nil"/>
              <w:left w:val="nil"/>
              <w:bottom w:val="nil"/>
              <w:right w:val="nil"/>
            </w:tcBorders>
          </w:tcPr>
          <w:p w14:paraId="0B8567D6" w14:textId="77777777" w:rsidR="007261F7" w:rsidRPr="00883399" w:rsidRDefault="007261F7">
            <w:pPr>
              <w:pStyle w:val="TableText"/>
              <w:rPr>
                <w:szCs w:val="22"/>
              </w:rPr>
            </w:pPr>
            <w:r w:rsidRPr="00883399">
              <w:rPr>
                <w:szCs w:val="22"/>
              </w:rPr>
              <w:t>6</w:t>
            </w:r>
          </w:p>
        </w:tc>
        <w:tc>
          <w:tcPr>
            <w:tcW w:w="5772" w:type="dxa"/>
            <w:tcBorders>
              <w:top w:val="nil"/>
              <w:left w:val="nil"/>
              <w:bottom w:val="nil"/>
              <w:right w:val="nil"/>
            </w:tcBorders>
          </w:tcPr>
          <w:p w14:paraId="17ED33E4" w14:textId="77777777" w:rsidR="007261F7" w:rsidRPr="00883399" w:rsidRDefault="007261F7">
            <w:pPr>
              <w:pStyle w:val="TableText"/>
              <w:rPr>
                <w:szCs w:val="22"/>
              </w:rPr>
            </w:pPr>
            <w:r w:rsidRPr="00883399">
              <w:rPr>
                <w:szCs w:val="22"/>
              </w:rPr>
              <w:t>Coal tar</w:t>
            </w:r>
          </w:p>
        </w:tc>
        <w:tc>
          <w:tcPr>
            <w:tcW w:w="1941" w:type="dxa"/>
            <w:tcBorders>
              <w:top w:val="nil"/>
              <w:left w:val="nil"/>
              <w:bottom w:val="nil"/>
              <w:right w:val="nil"/>
            </w:tcBorders>
          </w:tcPr>
          <w:p w14:paraId="01EC7FAF" w14:textId="77777777" w:rsidR="007261F7" w:rsidRPr="00883399" w:rsidRDefault="007261F7">
            <w:pPr>
              <w:pStyle w:val="TableText"/>
              <w:rPr>
                <w:szCs w:val="22"/>
              </w:rPr>
            </w:pPr>
            <w:r w:rsidRPr="00883399">
              <w:rPr>
                <w:szCs w:val="22"/>
              </w:rPr>
              <w:t>0.837</w:t>
            </w:r>
          </w:p>
        </w:tc>
      </w:tr>
      <w:tr w:rsidR="007261F7" w:rsidRPr="00883399" w14:paraId="33AC01B8" w14:textId="77777777">
        <w:trPr>
          <w:cantSplit/>
          <w:trHeight w:val="20"/>
        </w:trPr>
        <w:tc>
          <w:tcPr>
            <w:tcW w:w="588" w:type="dxa"/>
            <w:tcBorders>
              <w:top w:val="nil"/>
              <w:left w:val="nil"/>
              <w:bottom w:val="nil"/>
              <w:right w:val="nil"/>
            </w:tcBorders>
          </w:tcPr>
          <w:p w14:paraId="1B3E46A2" w14:textId="77777777" w:rsidR="007261F7" w:rsidRPr="00883399" w:rsidRDefault="007261F7">
            <w:pPr>
              <w:pStyle w:val="TableText"/>
              <w:rPr>
                <w:szCs w:val="22"/>
              </w:rPr>
            </w:pPr>
            <w:r w:rsidRPr="00883399">
              <w:rPr>
                <w:szCs w:val="22"/>
              </w:rPr>
              <w:t>7</w:t>
            </w:r>
          </w:p>
        </w:tc>
        <w:tc>
          <w:tcPr>
            <w:tcW w:w="5772" w:type="dxa"/>
            <w:tcBorders>
              <w:top w:val="nil"/>
              <w:left w:val="nil"/>
              <w:bottom w:val="nil"/>
              <w:right w:val="nil"/>
            </w:tcBorders>
          </w:tcPr>
          <w:p w14:paraId="3F288480" w14:textId="77777777" w:rsidR="007261F7" w:rsidRPr="00883399" w:rsidRDefault="007261F7">
            <w:pPr>
              <w:pStyle w:val="TableText"/>
              <w:rPr>
                <w:szCs w:val="22"/>
              </w:rPr>
            </w:pPr>
            <w:r w:rsidRPr="00883399">
              <w:rPr>
                <w:snapToGrid w:val="0"/>
                <w:szCs w:val="22"/>
              </w:rPr>
              <w:t>Solid fossil fuels other than those mentioned in items 1 to 5</w:t>
            </w:r>
          </w:p>
        </w:tc>
        <w:tc>
          <w:tcPr>
            <w:tcW w:w="1941" w:type="dxa"/>
            <w:tcBorders>
              <w:top w:val="nil"/>
              <w:left w:val="nil"/>
              <w:bottom w:val="nil"/>
              <w:right w:val="nil"/>
            </w:tcBorders>
          </w:tcPr>
          <w:p w14:paraId="106FFF90" w14:textId="77777777" w:rsidR="007261F7" w:rsidRPr="00883399" w:rsidRDefault="007261F7">
            <w:pPr>
              <w:pStyle w:val="TableText"/>
              <w:rPr>
                <w:szCs w:val="22"/>
              </w:rPr>
            </w:pPr>
            <w:r w:rsidRPr="00883399">
              <w:rPr>
                <w:szCs w:val="22"/>
              </w:rPr>
              <w:t>0.574</w:t>
            </w:r>
          </w:p>
        </w:tc>
      </w:tr>
      <w:tr w:rsidR="007261F7" w:rsidRPr="00883399" w14:paraId="43079A05" w14:textId="77777777">
        <w:trPr>
          <w:cantSplit/>
          <w:trHeight w:val="20"/>
        </w:trPr>
        <w:tc>
          <w:tcPr>
            <w:tcW w:w="8301" w:type="dxa"/>
            <w:gridSpan w:val="3"/>
            <w:tcBorders>
              <w:top w:val="nil"/>
              <w:left w:val="nil"/>
              <w:bottom w:val="nil"/>
              <w:right w:val="nil"/>
            </w:tcBorders>
          </w:tcPr>
          <w:p w14:paraId="68CAB17B" w14:textId="77777777" w:rsidR="007261F7" w:rsidRPr="00883399" w:rsidRDefault="007261F7">
            <w:pPr>
              <w:pStyle w:val="TableText"/>
              <w:rPr>
                <w:i/>
                <w:szCs w:val="22"/>
              </w:rPr>
            </w:pPr>
            <w:r w:rsidRPr="00883399">
              <w:rPr>
                <w:i/>
                <w:snapToGrid w:val="0"/>
                <w:szCs w:val="22"/>
              </w:rPr>
              <w:t>Fuels derived from recycled materials</w:t>
            </w:r>
          </w:p>
        </w:tc>
      </w:tr>
      <w:tr w:rsidR="007261F7" w:rsidRPr="00883399" w14:paraId="7820C53C" w14:textId="77777777">
        <w:trPr>
          <w:cantSplit/>
          <w:trHeight w:val="20"/>
        </w:trPr>
        <w:tc>
          <w:tcPr>
            <w:tcW w:w="588" w:type="dxa"/>
            <w:tcBorders>
              <w:top w:val="nil"/>
              <w:left w:val="nil"/>
              <w:bottom w:val="nil"/>
              <w:right w:val="nil"/>
            </w:tcBorders>
          </w:tcPr>
          <w:p w14:paraId="15AC7F98" w14:textId="77777777" w:rsidR="007261F7" w:rsidRPr="00883399" w:rsidRDefault="007261F7">
            <w:pPr>
              <w:pStyle w:val="TableText"/>
              <w:rPr>
                <w:szCs w:val="22"/>
              </w:rPr>
            </w:pPr>
            <w:r w:rsidRPr="00883399">
              <w:rPr>
                <w:szCs w:val="22"/>
              </w:rPr>
              <w:t>8</w:t>
            </w:r>
          </w:p>
        </w:tc>
        <w:tc>
          <w:tcPr>
            <w:tcW w:w="5772" w:type="dxa"/>
            <w:tcBorders>
              <w:top w:val="nil"/>
              <w:left w:val="nil"/>
              <w:bottom w:val="nil"/>
              <w:right w:val="nil"/>
            </w:tcBorders>
          </w:tcPr>
          <w:p w14:paraId="15A7B287" w14:textId="77777777" w:rsidR="007261F7" w:rsidRPr="00883399" w:rsidRDefault="007261F7">
            <w:pPr>
              <w:pStyle w:val="TableText"/>
              <w:rPr>
                <w:szCs w:val="22"/>
              </w:rPr>
            </w:pPr>
            <w:r w:rsidRPr="00883399">
              <w:rPr>
                <w:snapToGrid w:val="0"/>
                <w:szCs w:val="22"/>
              </w:rPr>
              <w:t xml:space="preserve">Industrial </w:t>
            </w:r>
            <w:r w:rsidRPr="00883399">
              <w:t xml:space="preserve">materials and tyres that </w:t>
            </w:r>
            <w:r w:rsidRPr="00883399">
              <w:rPr>
                <w:snapToGrid w:val="0"/>
                <w:szCs w:val="22"/>
              </w:rPr>
              <w:t>are derived from fossil fuels, if recycled and combusted to produce heat or electricity</w:t>
            </w:r>
          </w:p>
        </w:tc>
        <w:tc>
          <w:tcPr>
            <w:tcW w:w="1941" w:type="dxa"/>
            <w:tcBorders>
              <w:top w:val="nil"/>
              <w:left w:val="nil"/>
              <w:bottom w:val="nil"/>
              <w:right w:val="nil"/>
            </w:tcBorders>
          </w:tcPr>
          <w:p w14:paraId="5D78A362" w14:textId="77777777" w:rsidR="007261F7" w:rsidRPr="00883399" w:rsidRDefault="007261F7">
            <w:pPr>
              <w:pStyle w:val="TableText"/>
              <w:rPr>
                <w:szCs w:val="22"/>
              </w:rPr>
            </w:pPr>
            <w:r w:rsidRPr="00883399">
              <w:rPr>
                <w:szCs w:val="22"/>
              </w:rPr>
              <w:t>0.585</w:t>
            </w:r>
          </w:p>
        </w:tc>
      </w:tr>
      <w:tr w:rsidR="007261F7" w:rsidRPr="00883399" w14:paraId="3EF8740A" w14:textId="77777777">
        <w:trPr>
          <w:cantSplit/>
          <w:trHeight w:val="20"/>
        </w:trPr>
        <w:tc>
          <w:tcPr>
            <w:tcW w:w="588" w:type="dxa"/>
            <w:tcBorders>
              <w:top w:val="nil"/>
              <w:left w:val="nil"/>
              <w:bottom w:val="nil"/>
              <w:right w:val="nil"/>
            </w:tcBorders>
          </w:tcPr>
          <w:p w14:paraId="1C3B7873" w14:textId="77777777" w:rsidR="007261F7" w:rsidRPr="00883399" w:rsidRDefault="007261F7">
            <w:pPr>
              <w:pStyle w:val="TableText"/>
              <w:rPr>
                <w:szCs w:val="22"/>
              </w:rPr>
            </w:pPr>
            <w:r w:rsidRPr="00883399">
              <w:rPr>
                <w:szCs w:val="22"/>
              </w:rPr>
              <w:t>9</w:t>
            </w:r>
          </w:p>
        </w:tc>
        <w:tc>
          <w:tcPr>
            <w:tcW w:w="5772" w:type="dxa"/>
            <w:tcBorders>
              <w:top w:val="nil"/>
              <w:left w:val="nil"/>
              <w:bottom w:val="nil"/>
              <w:right w:val="nil"/>
            </w:tcBorders>
          </w:tcPr>
          <w:p w14:paraId="30888BC0" w14:textId="77777777" w:rsidR="007261F7" w:rsidRPr="00883399" w:rsidRDefault="007261F7">
            <w:pPr>
              <w:pStyle w:val="TableText"/>
              <w:rPr>
                <w:szCs w:val="22"/>
              </w:rPr>
            </w:pPr>
            <w:r w:rsidRPr="00883399">
              <w:rPr>
                <w:snapToGrid w:val="0"/>
                <w:szCs w:val="22"/>
              </w:rPr>
              <w:t>Non</w:t>
            </w:r>
            <w:r w:rsidRPr="00883399">
              <w:rPr>
                <w:snapToGrid w:val="0"/>
                <w:szCs w:val="22"/>
              </w:rPr>
              <w:noBreakHyphen/>
              <w:t>biomass municipal materials, if recycled and combusted to produce heat or electricity</w:t>
            </w:r>
          </w:p>
        </w:tc>
        <w:tc>
          <w:tcPr>
            <w:tcW w:w="1941" w:type="dxa"/>
            <w:tcBorders>
              <w:top w:val="nil"/>
              <w:left w:val="nil"/>
              <w:bottom w:val="nil"/>
              <w:right w:val="nil"/>
            </w:tcBorders>
          </w:tcPr>
          <w:p w14:paraId="01661288" w14:textId="77777777" w:rsidR="007261F7" w:rsidRPr="00883399" w:rsidRDefault="007261F7">
            <w:pPr>
              <w:pStyle w:val="TableText"/>
              <w:rPr>
                <w:szCs w:val="22"/>
              </w:rPr>
            </w:pPr>
            <w:r w:rsidRPr="00883399">
              <w:rPr>
                <w:szCs w:val="22"/>
              </w:rPr>
              <w:t>0.250</w:t>
            </w:r>
          </w:p>
          <w:p w14:paraId="43E18D59" w14:textId="77777777" w:rsidR="007261F7" w:rsidRPr="00883399" w:rsidRDefault="007261F7">
            <w:pPr>
              <w:pStyle w:val="TableText"/>
              <w:rPr>
                <w:szCs w:val="22"/>
              </w:rPr>
            </w:pPr>
          </w:p>
        </w:tc>
      </w:tr>
      <w:tr w:rsidR="007261F7" w:rsidRPr="00883399" w14:paraId="77F262C7" w14:textId="77777777">
        <w:trPr>
          <w:cantSplit/>
          <w:trHeight w:val="20"/>
        </w:trPr>
        <w:tc>
          <w:tcPr>
            <w:tcW w:w="8301" w:type="dxa"/>
            <w:gridSpan w:val="3"/>
            <w:tcBorders>
              <w:top w:val="nil"/>
              <w:left w:val="nil"/>
              <w:bottom w:val="nil"/>
              <w:right w:val="nil"/>
            </w:tcBorders>
          </w:tcPr>
          <w:p w14:paraId="5C88675E" w14:textId="77777777" w:rsidR="007261F7" w:rsidRPr="00883399" w:rsidRDefault="007261F7">
            <w:pPr>
              <w:pStyle w:val="TableText"/>
              <w:rPr>
                <w:i/>
                <w:szCs w:val="22"/>
              </w:rPr>
            </w:pPr>
            <w:r w:rsidRPr="00883399">
              <w:rPr>
                <w:i/>
                <w:szCs w:val="22"/>
              </w:rPr>
              <w:t>Primary solid biomass fuels</w:t>
            </w:r>
          </w:p>
        </w:tc>
      </w:tr>
      <w:tr w:rsidR="007261F7" w:rsidRPr="00883399" w14:paraId="33D0B468" w14:textId="77777777">
        <w:trPr>
          <w:cantSplit/>
          <w:trHeight w:val="20"/>
        </w:trPr>
        <w:tc>
          <w:tcPr>
            <w:tcW w:w="588" w:type="dxa"/>
            <w:tcBorders>
              <w:top w:val="nil"/>
              <w:left w:val="nil"/>
              <w:bottom w:val="nil"/>
              <w:right w:val="nil"/>
            </w:tcBorders>
          </w:tcPr>
          <w:p w14:paraId="28C46022" w14:textId="77777777" w:rsidR="007261F7" w:rsidRPr="00883399" w:rsidRDefault="007261F7">
            <w:pPr>
              <w:pStyle w:val="TableText"/>
              <w:rPr>
                <w:szCs w:val="22"/>
              </w:rPr>
            </w:pPr>
            <w:r w:rsidRPr="00883399">
              <w:rPr>
                <w:szCs w:val="22"/>
              </w:rPr>
              <w:t>10</w:t>
            </w:r>
          </w:p>
        </w:tc>
        <w:tc>
          <w:tcPr>
            <w:tcW w:w="5772" w:type="dxa"/>
            <w:tcBorders>
              <w:top w:val="nil"/>
              <w:left w:val="nil"/>
              <w:bottom w:val="nil"/>
              <w:right w:val="nil"/>
            </w:tcBorders>
          </w:tcPr>
          <w:p w14:paraId="10A8CB4D" w14:textId="77777777" w:rsidR="007261F7" w:rsidRPr="00883399" w:rsidRDefault="007261F7">
            <w:pPr>
              <w:pStyle w:val="TableText"/>
              <w:rPr>
                <w:szCs w:val="22"/>
              </w:rPr>
            </w:pPr>
            <w:r w:rsidRPr="00883399">
              <w:rPr>
                <w:szCs w:val="22"/>
              </w:rPr>
              <w:t xml:space="preserve">Dry wood </w:t>
            </w:r>
          </w:p>
        </w:tc>
        <w:tc>
          <w:tcPr>
            <w:tcW w:w="1941" w:type="dxa"/>
            <w:tcBorders>
              <w:top w:val="nil"/>
              <w:left w:val="nil"/>
              <w:bottom w:val="nil"/>
              <w:right w:val="nil"/>
            </w:tcBorders>
          </w:tcPr>
          <w:p w14:paraId="368BFF5F" w14:textId="77777777" w:rsidR="007261F7" w:rsidRPr="00883399" w:rsidRDefault="007261F7">
            <w:pPr>
              <w:pStyle w:val="TableText"/>
              <w:rPr>
                <w:szCs w:val="22"/>
              </w:rPr>
            </w:pPr>
            <w:r w:rsidRPr="00883399">
              <w:rPr>
                <w:szCs w:val="22"/>
              </w:rPr>
              <w:t>0</w:t>
            </w:r>
          </w:p>
        </w:tc>
      </w:tr>
      <w:tr w:rsidR="007261F7" w:rsidRPr="00883399" w14:paraId="7B1750D1" w14:textId="77777777">
        <w:trPr>
          <w:cantSplit/>
          <w:trHeight w:val="20"/>
        </w:trPr>
        <w:tc>
          <w:tcPr>
            <w:tcW w:w="588" w:type="dxa"/>
            <w:tcBorders>
              <w:top w:val="nil"/>
              <w:left w:val="nil"/>
              <w:bottom w:val="nil"/>
              <w:right w:val="nil"/>
            </w:tcBorders>
          </w:tcPr>
          <w:p w14:paraId="68A5CBE7" w14:textId="77777777" w:rsidR="007261F7" w:rsidRPr="00883399" w:rsidRDefault="007261F7">
            <w:pPr>
              <w:pStyle w:val="TableText"/>
              <w:rPr>
                <w:szCs w:val="22"/>
              </w:rPr>
            </w:pPr>
            <w:r w:rsidRPr="00883399">
              <w:rPr>
                <w:szCs w:val="22"/>
              </w:rPr>
              <w:t>11</w:t>
            </w:r>
          </w:p>
        </w:tc>
        <w:tc>
          <w:tcPr>
            <w:tcW w:w="5772" w:type="dxa"/>
            <w:tcBorders>
              <w:top w:val="nil"/>
              <w:left w:val="nil"/>
              <w:bottom w:val="nil"/>
              <w:right w:val="nil"/>
            </w:tcBorders>
          </w:tcPr>
          <w:p w14:paraId="3B8C39C1" w14:textId="77777777" w:rsidR="007261F7" w:rsidRPr="00883399" w:rsidRDefault="007261F7">
            <w:pPr>
              <w:pStyle w:val="TableText"/>
              <w:rPr>
                <w:szCs w:val="22"/>
              </w:rPr>
            </w:pPr>
            <w:r w:rsidRPr="00883399">
              <w:rPr>
                <w:szCs w:val="22"/>
              </w:rPr>
              <w:t>Green and air dried wood</w:t>
            </w:r>
          </w:p>
        </w:tc>
        <w:tc>
          <w:tcPr>
            <w:tcW w:w="1941" w:type="dxa"/>
            <w:tcBorders>
              <w:top w:val="nil"/>
              <w:left w:val="nil"/>
              <w:bottom w:val="nil"/>
              <w:right w:val="nil"/>
            </w:tcBorders>
          </w:tcPr>
          <w:p w14:paraId="0D907CFB" w14:textId="77777777" w:rsidR="007261F7" w:rsidRPr="00883399" w:rsidRDefault="007261F7">
            <w:pPr>
              <w:pStyle w:val="TableText"/>
              <w:rPr>
                <w:szCs w:val="22"/>
              </w:rPr>
            </w:pPr>
            <w:r w:rsidRPr="00883399">
              <w:rPr>
                <w:szCs w:val="22"/>
              </w:rPr>
              <w:t>0</w:t>
            </w:r>
          </w:p>
        </w:tc>
      </w:tr>
      <w:tr w:rsidR="007261F7" w:rsidRPr="00883399" w14:paraId="2F0A075F" w14:textId="77777777">
        <w:trPr>
          <w:cantSplit/>
          <w:trHeight w:val="20"/>
        </w:trPr>
        <w:tc>
          <w:tcPr>
            <w:tcW w:w="588" w:type="dxa"/>
            <w:tcBorders>
              <w:top w:val="nil"/>
              <w:left w:val="nil"/>
              <w:bottom w:val="nil"/>
              <w:right w:val="nil"/>
            </w:tcBorders>
          </w:tcPr>
          <w:p w14:paraId="48846580" w14:textId="77777777" w:rsidR="007261F7" w:rsidRPr="00883399" w:rsidRDefault="007261F7">
            <w:pPr>
              <w:pStyle w:val="TableText"/>
              <w:rPr>
                <w:szCs w:val="22"/>
              </w:rPr>
            </w:pPr>
            <w:r w:rsidRPr="00883399">
              <w:rPr>
                <w:szCs w:val="22"/>
              </w:rPr>
              <w:t>12</w:t>
            </w:r>
          </w:p>
        </w:tc>
        <w:tc>
          <w:tcPr>
            <w:tcW w:w="5772" w:type="dxa"/>
            <w:tcBorders>
              <w:top w:val="nil"/>
              <w:left w:val="nil"/>
              <w:bottom w:val="nil"/>
              <w:right w:val="nil"/>
            </w:tcBorders>
          </w:tcPr>
          <w:p w14:paraId="1A36B7D8" w14:textId="77777777" w:rsidR="007261F7" w:rsidRPr="00883399" w:rsidRDefault="007261F7">
            <w:pPr>
              <w:pStyle w:val="TableText"/>
              <w:rPr>
                <w:szCs w:val="22"/>
              </w:rPr>
            </w:pPr>
            <w:r w:rsidRPr="00883399">
              <w:rPr>
                <w:szCs w:val="22"/>
              </w:rPr>
              <w:t>Sulphite lyes</w:t>
            </w:r>
          </w:p>
        </w:tc>
        <w:tc>
          <w:tcPr>
            <w:tcW w:w="1941" w:type="dxa"/>
            <w:tcBorders>
              <w:top w:val="nil"/>
              <w:left w:val="nil"/>
              <w:bottom w:val="nil"/>
              <w:right w:val="nil"/>
            </w:tcBorders>
          </w:tcPr>
          <w:p w14:paraId="403792DD" w14:textId="77777777" w:rsidR="007261F7" w:rsidRPr="00883399" w:rsidRDefault="007261F7">
            <w:pPr>
              <w:pStyle w:val="TableText"/>
              <w:rPr>
                <w:szCs w:val="22"/>
              </w:rPr>
            </w:pPr>
            <w:r w:rsidRPr="00883399">
              <w:rPr>
                <w:szCs w:val="22"/>
              </w:rPr>
              <w:t>0</w:t>
            </w:r>
          </w:p>
        </w:tc>
      </w:tr>
      <w:tr w:rsidR="007261F7" w:rsidRPr="00883399" w14:paraId="3255CEA7" w14:textId="77777777">
        <w:trPr>
          <w:cantSplit/>
          <w:trHeight w:val="20"/>
        </w:trPr>
        <w:tc>
          <w:tcPr>
            <w:tcW w:w="588" w:type="dxa"/>
            <w:tcBorders>
              <w:top w:val="nil"/>
              <w:left w:val="nil"/>
              <w:bottom w:val="nil"/>
              <w:right w:val="nil"/>
            </w:tcBorders>
          </w:tcPr>
          <w:p w14:paraId="2EC98E3F" w14:textId="77777777" w:rsidR="007261F7" w:rsidRPr="00883399" w:rsidRDefault="007261F7">
            <w:pPr>
              <w:pStyle w:val="TableText"/>
              <w:rPr>
                <w:szCs w:val="22"/>
              </w:rPr>
            </w:pPr>
            <w:r w:rsidRPr="00883399">
              <w:rPr>
                <w:szCs w:val="22"/>
              </w:rPr>
              <w:t>13</w:t>
            </w:r>
          </w:p>
        </w:tc>
        <w:tc>
          <w:tcPr>
            <w:tcW w:w="5772" w:type="dxa"/>
            <w:tcBorders>
              <w:top w:val="nil"/>
              <w:left w:val="nil"/>
              <w:bottom w:val="nil"/>
              <w:right w:val="nil"/>
            </w:tcBorders>
          </w:tcPr>
          <w:p w14:paraId="0562CC59" w14:textId="77777777" w:rsidR="007261F7" w:rsidRPr="00883399" w:rsidRDefault="007261F7">
            <w:pPr>
              <w:pStyle w:val="TableText"/>
              <w:rPr>
                <w:szCs w:val="22"/>
              </w:rPr>
            </w:pPr>
            <w:r w:rsidRPr="00883399">
              <w:rPr>
                <w:szCs w:val="22"/>
              </w:rPr>
              <w:t>Bagasse</w:t>
            </w:r>
          </w:p>
        </w:tc>
        <w:tc>
          <w:tcPr>
            <w:tcW w:w="1941" w:type="dxa"/>
            <w:tcBorders>
              <w:top w:val="nil"/>
              <w:left w:val="nil"/>
              <w:bottom w:val="nil"/>
              <w:right w:val="nil"/>
            </w:tcBorders>
          </w:tcPr>
          <w:p w14:paraId="3A46346B" w14:textId="77777777" w:rsidR="007261F7" w:rsidRPr="00883399" w:rsidRDefault="007261F7">
            <w:pPr>
              <w:pStyle w:val="TableText"/>
              <w:rPr>
                <w:szCs w:val="22"/>
              </w:rPr>
            </w:pPr>
            <w:r w:rsidRPr="00883399">
              <w:rPr>
                <w:szCs w:val="22"/>
              </w:rPr>
              <w:t>0</w:t>
            </w:r>
          </w:p>
        </w:tc>
      </w:tr>
      <w:tr w:rsidR="007261F7" w:rsidRPr="00883399" w14:paraId="3BA7F066" w14:textId="77777777">
        <w:trPr>
          <w:cantSplit/>
          <w:trHeight w:val="20"/>
        </w:trPr>
        <w:tc>
          <w:tcPr>
            <w:tcW w:w="588" w:type="dxa"/>
            <w:tcBorders>
              <w:top w:val="nil"/>
              <w:left w:val="nil"/>
              <w:bottom w:val="nil"/>
              <w:right w:val="nil"/>
            </w:tcBorders>
          </w:tcPr>
          <w:p w14:paraId="20E5B815" w14:textId="77777777" w:rsidR="007261F7" w:rsidRPr="00883399" w:rsidRDefault="007261F7">
            <w:pPr>
              <w:pStyle w:val="TableText"/>
              <w:rPr>
                <w:szCs w:val="22"/>
              </w:rPr>
            </w:pPr>
            <w:r w:rsidRPr="00883399">
              <w:rPr>
                <w:szCs w:val="22"/>
              </w:rPr>
              <w:t>14</w:t>
            </w:r>
          </w:p>
        </w:tc>
        <w:tc>
          <w:tcPr>
            <w:tcW w:w="5772" w:type="dxa"/>
            <w:tcBorders>
              <w:top w:val="nil"/>
              <w:left w:val="nil"/>
              <w:bottom w:val="nil"/>
              <w:right w:val="nil"/>
            </w:tcBorders>
          </w:tcPr>
          <w:p w14:paraId="27D3C82F" w14:textId="77777777" w:rsidR="007261F7" w:rsidRPr="00883399" w:rsidRDefault="007261F7">
            <w:pPr>
              <w:pStyle w:val="TableText"/>
              <w:rPr>
                <w:szCs w:val="22"/>
              </w:rPr>
            </w:pPr>
            <w:r w:rsidRPr="00883399">
              <w:rPr>
                <w:szCs w:val="22"/>
              </w:rPr>
              <w:t>Biomass municipal and industrial materials, if recycled and combusted to produce heat or electricity</w:t>
            </w:r>
          </w:p>
        </w:tc>
        <w:tc>
          <w:tcPr>
            <w:tcW w:w="1941" w:type="dxa"/>
            <w:tcBorders>
              <w:top w:val="nil"/>
              <w:left w:val="nil"/>
              <w:bottom w:val="nil"/>
              <w:right w:val="nil"/>
            </w:tcBorders>
          </w:tcPr>
          <w:p w14:paraId="02B382A7" w14:textId="77777777" w:rsidR="007261F7" w:rsidRPr="00883399" w:rsidRDefault="007261F7">
            <w:pPr>
              <w:pStyle w:val="TableText"/>
              <w:rPr>
                <w:szCs w:val="22"/>
              </w:rPr>
            </w:pPr>
            <w:r w:rsidRPr="00883399">
              <w:rPr>
                <w:szCs w:val="22"/>
              </w:rPr>
              <w:t>0</w:t>
            </w:r>
          </w:p>
        </w:tc>
      </w:tr>
      <w:tr w:rsidR="007261F7" w:rsidRPr="00883399" w14:paraId="69D46FE4" w14:textId="77777777">
        <w:trPr>
          <w:cantSplit/>
          <w:trHeight w:val="20"/>
        </w:trPr>
        <w:tc>
          <w:tcPr>
            <w:tcW w:w="588" w:type="dxa"/>
            <w:tcBorders>
              <w:top w:val="nil"/>
              <w:left w:val="nil"/>
              <w:bottom w:val="nil"/>
              <w:right w:val="nil"/>
            </w:tcBorders>
          </w:tcPr>
          <w:p w14:paraId="34BE4795" w14:textId="77777777" w:rsidR="007261F7" w:rsidRPr="00883399" w:rsidRDefault="007261F7">
            <w:pPr>
              <w:pStyle w:val="TableText"/>
              <w:rPr>
                <w:szCs w:val="22"/>
              </w:rPr>
            </w:pPr>
            <w:r w:rsidRPr="00883399">
              <w:rPr>
                <w:szCs w:val="22"/>
              </w:rPr>
              <w:t>15</w:t>
            </w:r>
          </w:p>
        </w:tc>
        <w:tc>
          <w:tcPr>
            <w:tcW w:w="5772" w:type="dxa"/>
            <w:tcBorders>
              <w:top w:val="nil"/>
              <w:left w:val="nil"/>
              <w:bottom w:val="nil"/>
              <w:right w:val="nil"/>
            </w:tcBorders>
          </w:tcPr>
          <w:p w14:paraId="02CCF766" w14:textId="77777777" w:rsidR="007261F7" w:rsidRPr="00883399" w:rsidRDefault="007261F7">
            <w:pPr>
              <w:pStyle w:val="TableText"/>
              <w:rPr>
                <w:szCs w:val="22"/>
              </w:rPr>
            </w:pPr>
            <w:r w:rsidRPr="00883399">
              <w:rPr>
                <w:szCs w:val="22"/>
              </w:rPr>
              <w:t xml:space="preserve">Charcoal </w:t>
            </w:r>
          </w:p>
        </w:tc>
        <w:tc>
          <w:tcPr>
            <w:tcW w:w="1941" w:type="dxa"/>
            <w:tcBorders>
              <w:top w:val="nil"/>
              <w:left w:val="nil"/>
              <w:bottom w:val="nil"/>
              <w:right w:val="nil"/>
            </w:tcBorders>
          </w:tcPr>
          <w:p w14:paraId="0C3BB67C" w14:textId="77777777" w:rsidR="007261F7" w:rsidRPr="00883399" w:rsidRDefault="007261F7">
            <w:pPr>
              <w:pStyle w:val="TableText"/>
              <w:rPr>
                <w:szCs w:val="22"/>
              </w:rPr>
            </w:pPr>
            <w:r w:rsidRPr="00883399">
              <w:rPr>
                <w:szCs w:val="22"/>
              </w:rPr>
              <w:t>0</w:t>
            </w:r>
          </w:p>
        </w:tc>
      </w:tr>
      <w:tr w:rsidR="007261F7" w:rsidRPr="00883399" w14:paraId="570551BC" w14:textId="77777777">
        <w:trPr>
          <w:cantSplit/>
          <w:trHeight w:val="20"/>
        </w:trPr>
        <w:tc>
          <w:tcPr>
            <w:tcW w:w="588" w:type="dxa"/>
            <w:tcBorders>
              <w:top w:val="nil"/>
              <w:left w:val="nil"/>
              <w:bottom w:val="nil"/>
              <w:right w:val="nil"/>
            </w:tcBorders>
          </w:tcPr>
          <w:p w14:paraId="15D55B2F" w14:textId="77777777" w:rsidR="007261F7" w:rsidRPr="00883399" w:rsidRDefault="007261F7">
            <w:pPr>
              <w:pStyle w:val="TableText"/>
              <w:rPr>
                <w:szCs w:val="22"/>
              </w:rPr>
            </w:pPr>
            <w:r w:rsidRPr="00883399">
              <w:rPr>
                <w:szCs w:val="22"/>
              </w:rPr>
              <w:t>16</w:t>
            </w:r>
          </w:p>
        </w:tc>
        <w:tc>
          <w:tcPr>
            <w:tcW w:w="5772" w:type="dxa"/>
            <w:tcBorders>
              <w:top w:val="nil"/>
              <w:left w:val="nil"/>
              <w:bottom w:val="nil"/>
              <w:right w:val="nil"/>
            </w:tcBorders>
          </w:tcPr>
          <w:p w14:paraId="3517CAB4" w14:textId="77777777" w:rsidR="007261F7" w:rsidRPr="00883399" w:rsidRDefault="007261F7">
            <w:pPr>
              <w:pStyle w:val="TableText"/>
              <w:rPr>
                <w:szCs w:val="22"/>
              </w:rPr>
            </w:pPr>
            <w:r w:rsidRPr="00883399">
              <w:rPr>
                <w:szCs w:val="22"/>
              </w:rPr>
              <w:t>Primary solid biomass fuels other than those mentioned in items 10 to 15</w:t>
            </w:r>
          </w:p>
        </w:tc>
        <w:tc>
          <w:tcPr>
            <w:tcW w:w="1941" w:type="dxa"/>
            <w:tcBorders>
              <w:top w:val="nil"/>
              <w:left w:val="nil"/>
              <w:bottom w:val="nil"/>
              <w:right w:val="nil"/>
            </w:tcBorders>
          </w:tcPr>
          <w:p w14:paraId="6CC830CE" w14:textId="77777777" w:rsidR="007261F7" w:rsidRPr="00883399" w:rsidRDefault="007261F7">
            <w:pPr>
              <w:pStyle w:val="TableText"/>
              <w:rPr>
                <w:szCs w:val="22"/>
              </w:rPr>
            </w:pPr>
            <w:r w:rsidRPr="00883399">
              <w:rPr>
                <w:szCs w:val="22"/>
              </w:rPr>
              <w:t>0</w:t>
            </w:r>
          </w:p>
        </w:tc>
      </w:tr>
    </w:tbl>
    <w:p w14:paraId="021D7FBA" w14:textId="211E0873" w:rsidR="007261F7" w:rsidRPr="00883399" w:rsidRDefault="007261F7">
      <w:pPr>
        <w:pStyle w:val="Schedulepart"/>
        <w:rPr>
          <w:rStyle w:val="CharSchPTText"/>
        </w:rPr>
      </w:pPr>
      <w:bookmarkStart w:id="1378" w:name="_Toc227734144"/>
      <w:bookmarkStart w:id="1379" w:name="_Toc265135671"/>
      <w:bookmarkStart w:id="1380" w:name="_Toc495653206"/>
      <w:r w:rsidRPr="00883399">
        <w:rPr>
          <w:rStyle w:val="CharSchPTNo"/>
        </w:rPr>
        <w:t>Part 2</w:t>
      </w:r>
      <w:r w:rsidRPr="00883399">
        <w:tab/>
      </w:r>
      <w:r w:rsidRPr="00883399">
        <w:rPr>
          <w:rStyle w:val="CharSchPTText"/>
        </w:rPr>
        <w:t>Gaseous fuels</w:t>
      </w:r>
      <w:bookmarkEnd w:id="1378"/>
      <w:bookmarkEnd w:id="1379"/>
      <w:bookmarkEnd w:id="1380"/>
    </w:p>
    <w:p w14:paraId="40B9C1A9" w14:textId="77777777" w:rsidR="007261F7" w:rsidRPr="00883399" w:rsidRDefault="007261F7">
      <w:pPr>
        <w:keepNext/>
      </w:pPr>
    </w:p>
    <w:tbl>
      <w:tblPr>
        <w:tblW w:w="83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5766"/>
        <w:gridCol w:w="1940"/>
      </w:tblGrid>
      <w:tr w:rsidR="007261F7" w:rsidRPr="00883399" w14:paraId="3D90FEDD" w14:textId="77777777">
        <w:trPr>
          <w:cantSplit/>
          <w:trHeight w:val="20"/>
          <w:tblHeader/>
        </w:trPr>
        <w:tc>
          <w:tcPr>
            <w:tcW w:w="588" w:type="dxa"/>
            <w:tcBorders>
              <w:top w:val="nil"/>
              <w:left w:val="nil"/>
              <w:right w:val="nil"/>
            </w:tcBorders>
          </w:tcPr>
          <w:p w14:paraId="314747FD" w14:textId="77777777" w:rsidR="007261F7" w:rsidRPr="00883399" w:rsidRDefault="007261F7" w:rsidP="00845263">
            <w:pPr>
              <w:pStyle w:val="Table"/>
              <w:keepNext/>
              <w:spacing w:before="0"/>
              <w:jc w:val="right"/>
              <w:rPr>
                <w:rStyle w:val="Strong"/>
                <w:rFonts w:cs="Arial"/>
                <w:sz w:val="18"/>
              </w:rPr>
            </w:pPr>
            <w:r w:rsidRPr="00883399">
              <w:rPr>
                <w:rStyle w:val="Strong"/>
                <w:rFonts w:cs="Arial"/>
                <w:sz w:val="18"/>
              </w:rPr>
              <w:t>Item</w:t>
            </w:r>
          </w:p>
        </w:tc>
        <w:tc>
          <w:tcPr>
            <w:tcW w:w="5772" w:type="dxa"/>
            <w:tcBorders>
              <w:top w:val="nil"/>
              <w:left w:val="nil"/>
              <w:right w:val="nil"/>
            </w:tcBorders>
          </w:tcPr>
          <w:p w14:paraId="16A18C5B" w14:textId="77777777" w:rsidR="007261F7" w:rsidRPr="00883399" w:rsidRDefault="007261F7" w:rsidP="00845263">
            <w:pPr>
              <w:pStyle w:val="TableCentre"/>
              <w:keepNext/>
              <w:spacing w:before="0"/>
              <w:jc w:val="left"/>
              <w:rPr>
                <w:rStyle w:val="Strong"/>
                <w:rFonts w:cs="Arial"/>
                <w:sz w:val="18"/>
              </w:rPr>
            </w:pPr>
            <w:r w:rsidRPr="00883399">
              <w:rPr>
                <w:rStyle w:val="Strong"/>
                <w:rFonts w:cs="Arial"/>
                <w:sz w:val="18"/>
              </w:rPr>
              <w:t>Fuel type</w:t>
            </w:r>
          </w:p>
        </w:tc>
        <w:tc>
          <w:tcPr>
            <w:tcW w:w="1941" w:type="dxa"/>
            <w:tcBorders>
              <w:top w:val="nil"/>
              <w:left w:val="nil"/>
              <w:right w:val="nil"/>
            </w:tcBorders>
          </w:tcPr>
          <w:p w14:paraId="4E92318F" w14:textId="77777777" w:rsidR="00845263" w:rsidRPr="00883399" w:rsidRDefault="007261F7" w:rsidP="00845263">
            <w:pPr>
              <w:pStyle w:val="Heading1Like"/>
              <w:spacing w:after="0" w:line="312" w:lineRule="auto"/>
              <w:ind w:left="0" w:firstLine="0"/>
              <w:rPr>
                <w:rFonts w:ascii="Arial" w:hAnsi="Arial"/>
                <w:caps w:val="0"/>
                <w:sz w:val="18"/>
              </w:rPr>
            </w:pPr>
            <w:r w:rsidRPr="00883399">
              <w:rPr>
                <w:rFonts w:ascii="Arial" w:hAnsi="Arial"/>
                <w:caps w:val="0"/>
                <w:sz w:val="18"/>
              </w:rPr>
              <w:t>Carbon content factor</w:t>
            </w:r>
          </w:p>
          <w:p w14:paraId="5984251F" w14:textId="77777777" w:rsidR="007261F7" w:rsidRPr="00883399" w:rsidRDefault="007261F7" w:rsidP="00CF0298">
            <w:pPr>
              <w:pStyle w:val="Heading1Like"/>
              <w:spacing w:before="60" w:after="0" w:line="312" w:lineRule="auto"/>
              <w:ind w:left="0" w:firstLine="0"/>
              <w:rPr>
                <w:rFonts w:ascii="Arial" w:hAnsi="Arial"/>
                <w:sz w:val="18"/>
              </w:rPr>
            </w:pPr>
            <w:r w:rsidRPr="00883399">
              <w:rPr>
                <w:rFonts w:ascii="Arial" w:hAnsi="Arial"/>
                <w:caps w:val="0"/>
                <w:sz w:val="18"/>
              </w:rPr>
              <w:t>(tC/m</w:t>
            </w:r>
            <w:r w:rsidRPr="00883399">
              <w:rPr>
                <w:rFonts w:ascii="Arial" w:hAnsi="Arial"/>
                <w:caps w:val="0"/>
                <w:sz w:val="18"/>
                <w:vertAlign w:val="superscript"/>
              </w:rPr>
              <w:t>3</w:t>
            </w:r>
            <w:r w:rsidRPr="00883399">
              <w:rPr>
                <w:rFonts w:ascii="Arial" w:hAnsi="Arial"/>
                <w:caps w:val="0"/>
                <w:sz w:val="18"/>
              </w:rPr>
              <w:t xml:space="preserve"> of fuel unless otherwise specified)</w:t>
            </w:r>
          </w:p>
        </w:tc>
      </w:tr>
      <w:tr w:rsidR="007261F7" w:rsidRPr="00883399" w14:paraId="2F79BFC0" w14:textId="77777777">
        <w:trPr>
          <w:cantSplit/>
          <w:trHeight w:val="20"/>
        </w:trPr>
        <w:tc>
          <w:tcPr>
            <w:tcW w:w="8301" w:type="dxa"/>
            <w:gridSpan w:val="3"/>
            <w:tcBorders>
              <w:left w:val="nil"/>
              <w:bottom w:val="nil"/>
              <w:right w:val="nil"/>
            </w:tcBorders>
          </w:tcPr>
          <w:p w14:paraId="7E8E2DA3" w14:textId="77777777" w:rsidR="007261F7" w:rsidRPr="00883399" w:rsidRDefault="007261F7">
            <w:pPr>
              <w:pStyle w:val="TableText"/>
              <w:keepNext/>
              <w:rPr>
                <w:i/>
                <w:szCs w:val="22"/>
              </w:rPr>
            </w:pPr>
            <w:r w:rsidRPr="00883399">
              <w:rPr>
                <w:i/>
                <w:szCs w:val="22"/>
              </w:rPr>
              <w:t>Gaseous fossil fuels</w:t>
            </w:r>
          </w:p>
        </w:tc>
      </w:tr>
      <w:tr w:rsidR="007261F7" w:rsidRPr="00883399" w14:paraId="2527D95D" w14:textId="77777777">
        <w:trPr>
          <w:cantSplit/>
          <w:trHeight w:val="20"/>
        </w:trPr>
        <w:tc>
          <w:tcPr>
            <w:tcW w:w="588" w:type="dxa"/>
            <w:tcBorders>
              <w:top w:val="nil"/>
              <w:left w:val="nil"/>
              <w:bottom w:val="nil"/>
              <w:right w:val="nil"/>
            </w:tcBorders>
          </w:tcPr>
          <w:p w14:paraId="6CBDF433" w14:textId="77777777" w:rsidR="007261F7" w:rsidRPr="00883399" w:rsidRDefault="007261F7">
            <w:pPr>
              <w:pStyle w:val="TableText"/>
              <w:keepNext/>
              <w:rPr>
                <w:szCs w:val="22"/>
              </w:rPr>
            </w:pPr>
            <w:r w:rsidRPr="00883399">
              <w:rPr>
                <w:szCs w:val="22"/>
              </w:rPr>
              <w:t>17</w:t>
            </w:r>
          </w:p>
        </w:tc>
        <w:tc>
          <w:tcPr>
            <w:tcW w:w="5772" w:type="dxa"/>
            <w:tcBorders>
              <w:top w:val="nil"/>
              <w:left w:val="nil"/>
              <w:bottom w:val="nil"/>
              <w:right w:val="nil"/>
            </w:tcBorders>
          </w:tcPr>
          <w:p w14:paraId="4E4E455B" w14:textId="77777777" w:rsidR="007261F7" w:rsidRPr="00883399" w:rsidRDefault="007261F7">
            <w:pPr>
              <w:pStyle w:val="TableText"/>
              <w:keepNext/>
              <w:rPr>
                <w:szCs w:val="22"/>
              </w:rPr>
            </w:pPr>
            <w:r w:rsidRPr="00883399">
              <w:rPr>
                <w:szCs w:val="22"/>
              </w:rPr>
              <w:t>Natural gas if distributed in a pipeline</w:t>
            </w:r>
          </w:p>
        </w:tc>
        <w:tc>
          <w:tcPr>
            <w:tcW w:w="1941" w:type="dxa"/>
            <w:tcBorders>
              <w:top w:val="nil"/>
              <w:left w:val="nil"/>
              <w:bottom w:val="nil"/>
              <w:right w:val="nil"/>
            </w:tcBorders>
          </w:tcPr>
          <w:p w14:paraId="2BC7A594" w14:textId="77777777" w:rsidR="007261F7" w:rsidRPr="00883399" w:rsidRDefault="007261F7">
            <w:pPr>
              <w:pStyle w:val="TableText"/>
              <w:keepNext/>
              <w:rPr>
                <w:szCs w:val="22"/>
              </w:rPr>
            </w:pPr>
            <w:r w:rsidRPr="00883399">
              <w:rPr>
                <w:szCs w:val="22"/>
              </w:rPr>
              <w:t>5.52 × 10</w:t>
            </w:r>
            <w:r w:rsidRPr="00883399">
              <w:rPr>
                <w:szCs w:val="22"/>
                <w:vertAlign w:val="superscript"/>
              </w:rPr>
              <w:noBreakHyphen/>
              <w:t>4</w:t>
            </w:r>
          </w:p>
        </w:tc>
      </w:tr>
      <w:tr w:rsidR="00C243A4" w:rsidRPr="00883399" w14:paraId="76723EF8" w14:textId="77777777">
        <w:trPr>
          <w:cantSplit/>
          <w:trHeight w:val="20"/>
        </w:trPr>
        <w:tc>
          <w:tcPr>
            <w:tcW w:w="588" w:type="dxa"/>
            <w:tcBorders>
              <w:top w:val="nil"/>
              <w:left w:val="nil"/>
              <w:bottom w:val="nil"/>
              <w:right w:val="nil"/>
            </w:tcBorders>
          </w:tcPr>
          <w:p w14:paraId="04CA79EA" w14:textId="77777777" w:rsidR="00C243A4" w:rsidRPr="00883399" w:rsidRDefault="00C243A4">
            <w:pPr>
              <w:pStyle w:val="TableText"/>
              <w:keepNext/>
              <w:rPr>
                <w:szCs w:val="22"/>
              </w:rPr>
            </w:pPr>
            <w:r w:rsidRPr="00883399">
              <w:rPr>
                <w:szCs w:val="22"/>
              </w:rPr>
              <w:t>17A</w:t>
            </w:r>
          </w:p>
        </w:tc>
        <w:tc>
          <w:tcPr>
            <w:tcW w:w="5772" w:type="dxa"/>
            <w:tcBorders>
              <w:top w:val="nil"/>
              <w:left w:val="nil"/>
              <w:bottom w:val="nil"/>
              <w:right w:val="nil"/>
            </w:tcBorders>
          </w:tcPr>
          <w:p w14:paraId="66B3B12A" w14:textId="77777777" w:rsidR="00C243A4" w:rsidRPr="00883399" w:rsidRDefault="00C243A4" w:rsidP="00C243A4">
            <w:pPr>
              <w:pStyle w:val="TableText"/>
              <w:keepNext/>
              <w:rPr>
                <w:szCs w:val="22"/>
              </w:rPr>
            </w:pPr>
            <w:r w:rsidRPr="00883399">
              <w:rPr>
                <w:szCs w:val="22"/>
              </w:rPr>
              <w:t>Natural gas, if:</w:t>
            </w:r>
          </w:p>
          <w:p w14:paraId="16A08A14" w14:textId="77777777" w:rsidR="00C243A4" w:rsidRPr="00883399" w:rsidRDefault="00C243A4" w:rsidP="00C243A4">
            <w:pPr>
              <w:pStyle w:val="TableP1a"/>
              <w:keepNext/>
              <w:ind w:left="941"/>
            </w:pPr>
            <w:r w:rsidRPr="00883399">
              <w:t>(a)    distributed in a pipeline; and</w:t>
            </w:r>
          </w:p>
          <w:p w14:paraId="27DDD15F" w14:textId="77777777" w:rsidR="00C243A4" w:rsidRPr="00883399" w:rsidRDefault="00C243A4" w:rsidP="00C243A4">
            <w:pPr>
              <w:pStyle w:val="TableText"/>
              <w:keepNext/>
              <w:ind w:left="408"/>
              <w:rPr>
                <w:szCs w:val="22"/>
              </w:rPr>
            </w:pPr>
            <w:r w:rsidRPr="00883399">
              <w:t>(b)    measured in units of gigajoules only</w:t>
            </w:r>
          </w:p>
        </w:tc>
        <w:tc>
          <w:tcPr>
            <w:tcW w:w="1941" w:type="dxa"/>
            <w:tcBorders>
              <w:top w:val="nil"/>
              <w:left w:val="nil"/>
              <w:bottom w:val="nil"/>
              <w:right w:val="nil"/>
            </w:tcBorders>
          </w:tcPr>
          <w:p w14:paraId="03B5F485" w14:textId="77777777" w:rsidR="00C243A4" w:rsidRPr="00883399" w:rsidRDefault="00C243A4">
            <w:pPr>
              <w:pStyle w:val="TableText"/>
              <w:keepNext/>
              <w:rPr>
                <w:szCs w:val="22"/>
              </w:rPr>
            </w:pPr>
            <w:r w:rsidRPr="00883399">
              <w:rPr>
                <w:szCs w:val="22"/>
              </w:rPr>
              <w:t>1.40 × 10</w:t>
            </w:r>
            <w:r w:rsidRPr="00883399">
              <w:rPr>
                <w:szCs w:val="22"/>
                <w:vertAlign w:val="superscript"/>
              </w:rPr>
              <w:noBreakHyphen/>
              <w:t xml:space="preserve">2 </w:t>
            </w:r>
            <w:r w:rsidRPr="00883399">
              <w:rPr>
                <w:szCs w:val="22"/>
              </w:rPr>
              <w:t>tC/GJ of fuel</w:t>
            </w:r>
          </w:p>
        </w:tc>
      </w:tr>
      <w:tr w:rsidR="007261F7" w:rsidRPr="00883399" w14:paraId="07ADD1BE" w14:textId="77777777">
        <w:trPr>
          <w:cantSplit/>
          <w:trHeight w:val="20"/>
        </w:trPr>
        <w:tc>
          <w:tcPr>
            <w:tcW w:w="588" w:type="dxa"/>
            <w:tcBorders>
              <w:top w:val="nil"/>
              <w:left w:val="nil"/>
              <w:bottom w:val="nil"/>
              <w:right w:val="nil"/>
            </w:tcBorders>
          </w:tcPr>
          <w:p w14:paraId="17E6BA30" w14:textId="77777777" w:rsidR="007261F7" w:rsidRPr="00883399" w:rsidRDefault="007261F7">
            <w:pPr>
              <w:pStyle w:val="TableText"/>
              <w:keepNext/>
              <w:rPr>
                <w:szCs w:val="22"/>
              </w:rPr>
            </w:pPr>
            <w:r w:rsidRPr="00883399">
              <w:rPr>
                <w:szCs w:val="22"/>
              </w:rPr>
              <w:t>18</w:t>
            </w:r>
          </w:p>
        </w:tc>
        <w:tc>
          <w:tcPr>
            <w:tcW w:w="5772" w:type="dxa"/>
            <w:tcBorders>
              <w:top w:val="nil"/>
              <w:left w:val="nil"/>
              <w:bottom w:val="nil"/>
              <w:right w:val="nil"/>
            </w:tcBorders>
          </w:tcPr>
          <w:p w14:paraId="0981944A" w14:textId="77777777" w:rsidR="007261F7" w:rsidRPr="00883399" w:rsidRDefault="007261F7">
            <w:pPr>
              <w:pStyle w:val="TableText"/>
              <w:keepNext/>
              <w:rPr>
                <w:szCs w:val="22"/>
              </w:rPr>
            </w:pPr>
            <w:r w:rsidRPr="00883399">
              <w:rPr>
                <w:szCs w:val="22"/>
              </w:rPr>
              <w:t>Coal seam methane that is captured for combustion</w:t>
            </w:r>
          </w:p>
        </w:tc>
        <w:tc>
          <w:tcPr>
            <w:tcW w:w="1941" w:type="dxa"/>
            <w:tcBorders>
              <w:top w:val="nil"/>
              <w:left w:val="nil"/>
              <w:bottom w:val="nil"/>
              <w:right w:val="nil"/>
            </w:tcBorders>
          </w:tcPr>
          <w:p w14:paraId="4B228DFC" w14:textId="77777777" w:rsidR="007261F7" w:rsidRPr="00883399" w:rsidRDefault="007261F7">
            <w:pPr>
              <w:pStyle w:val="TableText"/>
              <w:keepNext/>
              <w:rPr>
                <w:szCs w:val="22"/>
              </w:rPr>
            </w:pPr>
            <w:r w:rsidRPr="00883399">
              <w:rPr>
                <w:szCs w:val="22"/>
              </w:rPr>
              <w:t>5.29 × 10</w:t>
            </w:r>
            <w:r w:rsidRPr="00883399">
              <w:rPr>
                <w:szCs w:val="22"/>
                <w:vertAlign w:val="superscript"/>
              </w:rPr>
              <w:noBreakHyphen/>
              <w:t>4</w:t>
            </w:r>
          </w:p>
        </w:tc>
      </w:tr>
      <w:tr w:rsidR="007261F7" w:rsidRPr="00883399" w14:paraId="016E01A6" w14:textId="77777777">
        <w:trPr>
          <w:cantSplit/>
          <w:trHeight w:val="20"/>
        </w:trPr>
        <w:tc>
          <w:tcPr>
            <w:tcW w:w="588" w:type="dxa"/>
            <w:tcBorders>
              <w:top w:val="nil"/>
              <w:left w:val="nil"/>
              <w:bottom w:val="nil"/>
              <w:right w:val="nil"/>
            </w:tcBorders>
          </w:tcPr>
          <w:p w14:paraId="32542DA8" w14:textId="77777777" w:rsidR="007261F7" w:rsidRPr="00883399" w:rsidRDefault="007261F7">
            <w:pPr>
              <w:pStyle w:val="TableText"/>
              <w:keepNext/>
              <w:rPr>
                <w:szCs w:val="22"/>
              </w:rPr>
            </w:pPr>
            <w:r w:rsidRPr="00883399">
              <w:rPr>
                <w:szCs w:val="22"/>
              </w:rPr>
              <w:t>19</w:t>
            </w:r>
          </w:p>
        </w:tc>
        <w:tc>
          <w:tcPr>
            <w:tcW w:w="5772" w:type="dxa"/>
            <w:tcBorders>
              <w:top w:val="nil"/>
              <w:left w:val="nil"/>
              <w:bottom w:val="nil"/>
              <w:right w:val="nil"/>
            </w:tcBorders>
          </w:tcPr>
          <w:p w14:paraId="62685262" w14:textId="77777777" w:rsidR="007261F7" w:rsidRPr="00883399" w:rsidRDefault="007261F7">
            <w:pPr>
              <w:pStyle w:val="TableText"/>
              <w:keepNext/>
              <w:rPr>
                <w:szCs w:val="22"/>
              </w:rPr>
            </w:pPr>
            <w:r w:rsidRPr="00883399">
              <w:rPr>
                <w:szCs w:val="22"/>
              </w:rPr>
              <w:t>Coal mine waste gas that is captured for combustion</w:t>
            </w:r>
          </w:p>
        </w:tc>
        <w:tc>
          <w:tcPr>
            <w:tcW w:w="1941" w:type="dxa"/>
            <w:tcBorders>
              <w:top w:val="nil"/>
              <w:left w:val="nil"/>
              <w:bottom w:val="nil"/>
              <w:right w:val="nil"/>
            </w:tcBorders>
          </w:tcPr>
          <w:p w14:paraId="572D56F6" w14:textId="77777777" w:rsidR="007261F7" w:rsidRPr="00883399" w:rsidRDefault="007261F7">
            <w:pPr>
              <w:pStyle w:val="TableText"/>
              <w:keepNext/>
              <w:rPr>
                <w:szCs w:val="22"/>
              </w:rPr>
            </w:pPr>
            <w:r w:rsidRPr="00883399">
              <w:rPr>
                <w:szCs w:val="22"/>
              </w:rPr>
              <w:t>5.34 × 10</w:t>
            </w:r>
            <w:r w:rsidRPr="00883399">
              <w:rPr>
                <w:szCs w:val="22"/>
                <w:vertAlign w:val="superscript"/>
              </w:rPr>
              <w:noBreakHyphen/>
              <w:t>4</w:t>
            </w:r>
          </w:p>
        </w:tc>
      </w:tr>
      <w:tr w:rsidR="007261F7" w:rsidRPr="00883399" w14:paraId="0FEB052E" w14:textId="77777777">
        <w:trPr>
          <w:cantSplit/>
          <w:trHeight w:val="20"/>
        </w:trPr>
        <w:tc>
          <w:tcPr>
            <w:tcW w:w="588" w:type="dxa"/>
            <w:tcBorders>
              <w:top w:val="nil"/>
              <w:left w:val="nil"/>
              <w:bottom w:val="nil"/>
              <w:right w:val="nil"/>
            </w:tcBorders>
          </w:tcPr>
          <w:p w14:paraId="7441EE74" w14:textId="77777777" w:rsidR="007261F7" w:rsidRPr="00883399" w:rsidRDefault="007261F7">
            <w:pPr>
              <w:pStyle w:val="TableText"/>
              <w:rPr>
                <w:szCs w:val="22"/>
              </w:rPr>
            </w:pPr>
            <w:r w:rsidRPr="00883399">
              <w:rPr>
                <w:szCs w:val="22"/>
              </w:rPr>
              <w:t>20</w:t>
            </w:r>
          </w:p>
        </w:tc>
        <w:tc>
          <w:tcPr>
            <w:tcW w:w="5772" w:type="dxa"/>
            <w:tcBorders>
              <w:top w:val="nil"/>
              <w:left w:val="nil"/>
              <w:bottom w:val="nil"/>
              <w:right w:val="nil"/>
            </w:tcBorders>
          </w:tcPr>
          <w:p w14:paraId="2065DE57" w14:textId="77777777" w:rsidR="007261F7" w:rsidRPr="00883399" w:rsidRDefault="00C62996">
            <w:pPr>
              <w:pStyle w:val="TableText"/>
              <w:rPr>
                <w:szCs w:val="22"/>
              </w:rPr>
            </w:pPr>
            <w:r w:rsidRPr="00883399">
              <w:rPr>
                <w:szCs w:val="22"/>
              </w:rPr>
              <w:t>Compressed natural gas that has reverted to standard conditions</w:t>
            </w:r>
          </w:p>
        </w:tc>
        <w:tc>
          <w:tcPr>
            <w:tcW w:w="1941" w:type="dxa"/>
            <w:tcBorders>
              <w:top w:val="nil"/>
              <w:left w:val="nil"/>
              <w:bottom w:val="nil"/>
              <w:right w:val="nil"/>
            </w:tcBorders>
          </w:tcPr>
          <w:p w14:paraId="7F0F7AE8" w14:textId="77777777" w:rsidR="007261F7" w:rsidRPr="00883399" w:rsidRDefault="007261F7">
            <w:pPr>
              <w:pStyle w:val="TableText"/>
              <w:rPr>
                <w:szCs w:val="22"/>
              </w:rPr>
            </w:pPr>
            <w:r w:rsidRPr="00883399">
              <w:rPr>
                <w:szCs w:val="22"/>
              </w:rPr>
              <w:t>5.52 × 10</w:t>
            </w:r>
            <w:r w:rsidRPr="00883399">
              <w:rPr>
                <w:szCs w:val="22"/>
                <w:vertAlign w:val="superscript"/>
              </w:rPr>
              <w:noBreakHyphen/>
              <w:t>4</w:t>
            </w:r>
          </w:p>
        </w:tc>
      </w:tr>
      <w:tr w:rsidR="007261F7" w:rsidRPr="00883399" w14:paraId="67AB37B1" w14:textId="77777777">
        <w:trPr>
          <w:cantSplit/>
          <w:trHeight w:val="20"/>
        </w:trPr>
        <w:tc>
          <w:tcPr>
            <w:tcW w:w="588" w:type="dxa"/>
            <w:tcBorders>
              <w:top w:val="nil"/>
              <w:left w:val="nil"/>
              <w:bottom w:val="nil"/>
              <w:right w:val="nil"/>
            </w:tcBorders>
          </w:tcPr>
          <w:p w14:paraId="46326298" w14:textId="77777777" w:rsidR="007261F7" w:rsidRPr="00883399" w:rsidRDefault="007261F7">
            <w:pPr>
              <w:pStyle w:val="TableText"/>
              <w:rPr>
                <w:szCs w:val="22"/>
              </w:rPr>
            </w:pPr>
            <w:r w:rsidRPr="00883399">
              <w:rPr>
                <w:szCs w:val="22"/>
              </w:rPr>
              <w:t>21</w:t>
            </w:r>
          </w:p>
        </w:tc>
        <w:tc>
          <w:tcPr>
            <w:tcW w:w="5772" w:type="dxa"/>
            <w:tcBorders>
              <w:top w:val="nil"/>
              <w:left w:val="nil"/>
              <w:bottom w:val="nil"/>
              <w:right w:val="nil"/>
            </w:tcBorders>
          </w:tcPr>
          <w:p w14:paraId="15FD337E" w14:textId="77777777" w:rsidR="007261F7" w:rsidRPr="00883399" w:rsidRDefault="007261F7">
            <w:pPr>
              <w:pStyle w:val="TableText"/>
              <w:rPr>
                <w:szCs w:val="22"/>
              </w:rPr>
            </w:pPr>
            <w:r w:rsidRPr="00883399">
              <w:rPr>
                <w:szCs w:val="22"/>
              </w:rPr>
              <w:t>Unprocessed natural gas</w:t>
            </w:r>
          </w:p>
        </w:tc>
        <w:tc>
          <w:tcPr>
            <w:tcW w:w="1941" w:type="dxa"/>
            <w:tcBorders>
              <w:top w:val="nil"/>
              <w:left w:val="nil"/>
              <w:bottom w:val="nil"/>
              <w:right w:val="nil"/>
            </w:tcBorders>
          </w:tcPr>
          <w:p w14:paraId="2DAD2D2F" w14:textId="77777777" w:rsidR="007261F7" w:rsidRPr="00883399" w:rsidRDefault="007261F7">
            <w:pPr>
              <w:pStyle w:val="TableText"/>
              <w:rPr>
                <w:szCs w:val="22"/>
              </w:rPr>
            </w:pPr>
            <w:r w:rsidRPr="00883399">
              <w:rPr>
                <w:szCs w:val="22"/>
              </w:rPr>
              <w:t>5.52 × 10</w:t>
            </w:r>
            <w:r w:rsidRPr="00883399">
              <w:rPr>
                <w:szCs w:val="22"/>
                <w:vertAlign w:val="superscript"/>
              </w:rPr>
              <w:noBreakHyphen/>
              <w:t>4</w:t>
            </w:r>
          </w:p>
        </w:tc>
      </w:tr>
      <w:tr w:rsidR="007261F7" w:rsidRPr="00883399" w14:paraId="25252D1D" w14:textId="77777777">
        <w:trPr>
          <w:cantSplit/>
          <w:trHeight w:val="20"/>
        </w:trPr>
        <w:tc>
          <w:tcPr>
            <w:tcW w:w="588" w:type="dxa"/>
            <w:tcBorders>
              <w:top w:val="nil"/>
              <w:left w:val="nil"/>
              <w:bottom w:val="nil"/>
              <w:right w:val="nil"/>
            </w:tcBorders>
          </w:tcPr>
          <w:p w14:paraId="2E84766A" w14:textId="77777777" w:rsidR="007261F7" w:rsidRPr="00883399" w:rsidRDefault="007261F7">
            <w:pPr>
              <w:pStyle w:val="TableText"/>
              <w:rPr>
                <w:szCs w:val="22"/>
              </w:rPr>
            </w:pPr>
            <w:r w:rsidRPr="00883399">
              <w:rPr>
                <w:szCs w:val="22"/>
              </w:rPr>
              <w:t>22</w:t>
            </w:r>
          </w:p>
        </w:tc>
        <w:tc>
          <w:tcPr>
            <w:tcW w:w="5772" w:type="dxa"/>
            <w:tcBorders>
              <w:top w:val="nil"/>
              <w:left w:val="nil"/>
              <w:bottom w:val="nil"/>
              <w:right w:val="nil"/>
            </w:tcBorders>
          </w:tcPr>
          <w:p w14:paraId="2ABF96AD" w14:textId="77777777" w:rsidR="007261F7" w:rsidRPr="00883399" w:rsidRDefault="007261F7">
            <w:pPr>
              <w:pStyle w:val="TableText"/>
              <w:rPr>
                <w:szCs w:val="22"/>
              </w:rPr>
            </w:pPr>
            <w:r w:rsidRPr="00883399">
              <w:rPr>
                <w:szCs w:val="22"/>
              </w:rPr>
              <w:t>Ethane</w:t>
            </w:r>
          </w:p>
        </w:tc>
        <w:tc>
          <w:tcPr>
            <w:tcW w:w="1941" w:type="dxa"/>
            <w:tcBorders>
              <w:top w:val="nil"/>
              <w:left w:val="nil"/>
              <w:bottom w:val="nil"/>
              <w:right w:val="nil"/>
            </w:tcBorders>
          </w:tcPr>
          <w:p w14:paraId="13044058" w14:textId="77777777" w:rsidR="007261F7" w:rsidRPr="00883399" w:rsidRDefault="00AB1027" w:rsidP="00AB1027">
            <w:pPr>
              <w:pStyle w:val="TableText"/>
              <w:rPr>
                <w:szCs w:val="22"/>
              </w:rPr>
            </w:pPr>
            <w:r w:rsidRPr="00883399">
              <w:rPr>
                <w:color w:val="000000"/>
              </w:rPr>
              <w:t>9.70 × 10</w:t>
            </w:r>
            <w:r w:rsidR="00F0128C" w:rsidRPr="00883399">
              <w:rPr>
                <w:color w:val="000000"/>
                <w:vertAlign w:val="superscript"/>
              </w:rPr>
              <w:noBreakHyphen/>
              <w:t>4</w:t>
            </w:r>
          </w:p>
        </w:tc>
      </w:tr>
      <w:tr w:rsidR="007261F7" w:rsidRPr="00883399" w14:paraId="1335A35F" w14:textId="77777777">
        <w:trPr>
          <w:cantSplit/>
          <w:trHeight w:val="20"/>
        </w:trPr>
        <w:tc>
          <w:tcPr>
            <w:tcW w:w="588" w:type="dxa"/>
            <w:tcBorders>
              <w:top w:val="nil"/>
              <w:left w:val="nil"/>
              <w:bottom w:val="nil"/>
              <w:right w:val="nil"/>
            </w:tcBorders>
          </w:tcPr>
          <w:p w14:paraId="1E406D68" w14:textId="77777777" w:rsidR="007261F7" w:rsidRPr="00883399" w:rsidRDefault="007261F7">
            <w:pPr>
              <w:pStyle w:val="TableText"/>
              <w:rPr>
                <w:szCs w:val="22"/>
              </w:rPr>
            </w:pPr>
            <w:r w:rsidRPr="00883399">
              <w:rPr>
                <w:szCs w:val="22"/>
              </w:rPr>
              <w:t>23</w:t>
            </w:r>
          </w:p>
        </w:tc>
        <w:tc>
          <w:tcPr>
            <w:tcW w:w="5772" w:type="dxa"/>
            <w:tcBorders>
              <w:top w:val="nil"/>
              <w:left w:val="nil"/>
              <w:bottom w:val="nil"/>
              <w:right w:val="nil"/>
            </w:tcBorders>
          </w:tcPr>
          <w:p w14:paraId="28B1E747" w14:textId="77777777" w:rsidR="007261F7" w:rsidRPr="00883399" w:rsidRDefault="007261F7">
            <w:pPr>
              <w:pStyle w:val="TableText"/>
              <w:rPr>
                <w:szCs w:val="22"/>
              </w:rPr>
            </w:pPr>
            <w:r w:rsidRPr="00883399">
              <w:rPr>
                <w:szCs w:val="22"/>
              </w:rPr>
              <w:t>Coke oven gas</w:t>
            </w:r>
          </w:p>
        </w:tc>
        <w:tc>
          <w:tcPr>
            <w:tcW w:w="1941" w:type="dxa"/>
            <w:tcBorders>
              <w:top w:val="nil"/>
              <w:left w:val="nil"/>
              <w:bottom w:val="nil"/>
              <w:right w:val="nil"/>
            </w:tcBorders>
          </w:tcPr>
          <w:p w14:paraId="4C0266FC" w14:textId="77777777" w:rsidR="007261F7" w:rsidRPr="00883399" w:rsidRDefault="007261F7">
            <w:pPr>
              <w:pStyle w:val="TableText"/>
              <w:rPr>
                <w:szCs w:val="22"/>
              </w:rPr>
            </w:pPr>
            <w:r w:rsidRPr="00883399">
              <w:rPr>
                <w:szCs w:val="22"/>
              </w:rPr>
              <w:t>1.83 × 10</w:t>
            </w:r>
            <w:r w:rsidRPr="00883399">
              <w:rPr>
                <w:szCs w:val="22"/>
                <w:vertAlign w:val="superscript"/>
              </w:rPr>
              <w:noBreakHyphen/>
              <w:t>4</w:t>
            </w:r>
          </w:p>
        </w:tc>
      </w:tr>
      <w:tr w:rsidR="007261F7" w:rsidRPr="00883399" w14:paraId="07C00B0B" w14:textId="77777777">
        <w:trPr>
          <w:cantSplit/>
          <w:trHeight w:val="20"/>
        </w:trPr>
        <w:tc>
          <w:tcPr>
            <w:tcW w:w="588" w:type="dxa"/>
            <w:tcBorders>
              <w:top w:val="nil"/>
              <w:left w:val="nil"/>
              <w:bottom w:val="nil"/>
              <w:right w:val="nil"/>
            </w:tcBorders>
          </w:tcPr>
          <w:p w14:paraId="0BC9347A" w14:textId="77777777" w:rsidR="007261F7" w:rsidRPr="00883399" w:rsidRDefault="007261F7">
            <w:pPr>
              <w:pStyle w:val="TableText"/>
              <w:rPr>
                <w:szCs w:val="22"/>
              </w:rPr>
            </w:pPr>
            <w:r w:rsidRPr="00883399">
              <w:rPr>
                <w:szCs w:val="22"/>
              </w:rPr>
              <w:t>24</w:t>
            </w:r>
          </w:p>
        </w:tc>
        <w:tc>
          <w:tcPr>
            <w:tcW w:w="5772" w:type="dxa"/>
            <w:tcBorders>
              <w:top w:val="nil"/>
              <w:left w:val="nil"/>
              <w:bottom w:val="nil"/>
              <w:right w:val="nil"/>
            </w:tcBorders>
          </w:tcPr>
          <w:p w14:paraId="40EEF24E" w14:textId="77777777" w:rsidR="007261F7" w:rsidRPr="00883399" w:rsidRDefault="007261F7">
            <w:pPr>
              <w:pStyle w:val="TableText"/>
              <w:rPr>
                <w:szCs w:val="22"/>
              </w:rPr>
            </w:pPr>
            <w:r w:rsidRPr="00883399">
              <w:rPr>
                <w:szCs w:val="22"/>
              </w:rPr>
              <w:t>Blast furnace gas</w:t>
            </w:r>
          </w:p>
        </w:tc>
        <w:tc>
          <w:tcPr>
            <w:tcW w:w="1941" w:type="dxa"/>
            <w:tcBorders>
              <w:top w:val="nil"/>
              <w:left w:val="nil"/>
              <w:bottom w:val="nil"/>
              <w:right w:val="nil"/>
            </w:tcBorders>
          </w:tcPr>
          <w:p w14:paraId="29D266D7" w14:textId="77777777" w:rsidR="007261F7" w:rsidRPr="00883399" w:rsidRDefault="007261F7">
            <w:pPr>
              <w:pStyle w:val="TableText"/>
              <w:rPr>
                <w:szCs w:val="22"/>
              </w:rPr>
            </w:pPr>
            <w:r w:rsidRPr="00883399">
              <w:rPr>
                <w:szCs w:val="22"/>
              </w:rPr>
              <w:t>2.55 × 10</w:t>
            </w:r>
            <w:r w:rsidRPr="00883399">
              <w:rPr>
                <w:szCs w:val="22"/>
                <w:vertAlign w:val="superscript"/>
              </w:rPr>
              <w:noBreakHyphen/>
              <w:t>4</w:t>
            </w:r>
          </w:p>
        </w:tc>
      </w:tr>
      <w:tr w:rsidR="007261F7" w:rsidRPr="00883399" w14:paraId="2F03C910" w14:textId="77777777">
        <w:trPr>
          <w:cantSplit/>
          <w:trHeight w:val="20"/>
        </w:trPr>
        <w:tc>
          <w:tcPr>
            <w:tcW w:w="588" w:type="dxa"/>
            <w:tcBorders>
              <w:top w:val="nil"/>
              <w:left w:val="nil"/>
              <w:bottom w:val="nil"/>
              <w:right w:val="nil"/>
            </w:tcBorders>
          </w:tcPr>
          <w:p w14:paraId="6D745CAA" w14:textId="77777777" w:rsidR="007261F7" w:rsidRPr="00883399" w:rsidRDefault="007261F7">
            <w:pPr>
              <w:pStyle w:val="TableText"/>
              <w:rPr>
                <w:szCs w:val="22"/>
              </w:rPr>
            </w:pPr>
            <w:r w:rsidRPr="00883399">
              <w:rPr>
                <w:szCs w:val="22"/>
              </w:rPr>
              <w:t>25</w:t>
            </w:r>
          </w:p>
        </w:tc>
        <w:tc>
          <w:tcPr>
            <w:tcW w:w="5772" w:type="dxa"/>
            <w:tcBorders>
              <w:top w:val="nil"/>
              <w:left w:val="nil"/>
              <w:bottom w:val="nil"/>
              <w:right w:val="nil"/>
            </w:tcBorders>
          </w:tcPr>
          <w:p w14:paraId="2413E463" w14:textId="77777777" w:rsidR="007261F7" w:rsidRPr="00883399" w:rsidRDefault="007261F7">
            <w:pPr>
              <w:pStyle w:val="TableText"/>
              <w:rPr>
                <w:szCs w:val="22"/>
              </w:rPr>
            </w:pPr>
            <w:r w:rsidRPr="00883399">
              <w:rPr>
                <w:szCs w:val="22"/>
              </w:rPr>
              <w:t>Town gas</w:t>
            </w:r>
          </w:p>
        </w:tc>
        <w:tc>
          <w:tcPr>
            <w:tcW w:w="1941" w:type="dxa"/>
            <w:tcBorders>
              <w:top w:val="nil"/>
              <w:left w:val="nil"/>
              <w:bottom w:val="nil"/>
              <w:right w:val="nil"/>
            </w:tcBorders>
          </w:tcPr>
          <w:p w14:paraId="2A2D82E8" w14:textId="77777777" w:rsidR="007261F7" w:rsidRPr="00883399" w:rsidRDefault="007261F7">
            <w:pPr>
              <w:pStyle w:val="TableText"/>
              <w:rPr>
                <w:szCs w:val="22"/>
              </w:rPr>
            </w:pPr>
            <w:r w:rsidRPr="00883399">
              <w:rPr>
                <w:szCs w:val="22"/>
              </w:rPr>
              <w:t>6.41 × 10</w:t>
            </w:r>
            <w:r w:rsidRPr="00883399">
              <w:rPr>
                <w:szCs w:val="22"/>
                <w:vertAlign w:val="superscript"/>
              </w:rPr>
              <w:noBreakHyphen/>
              <w:t>4</w:t>
            </w:r>
          </w:p>
        </w:tc>
      </w:tr>
      <w:tr w:rsidR="007261F7" w:rsidRPr="00883399" w14:paraId="55831FD6" w14:textId="77777777">
        <w:trPr>
          <w:cantSplit/>
          <w:trHeight w:val="20"/>
        </w:trPr>
        <w:tc>
          <w:tcPr>
            <w:tcW w:w="588" w:type="dxa"/>
            <w:tcBorders>
              <w:top w:val="nil"/>
              <w:left w:val="nil"/>
              <w:bottom w:val="nil"/>
              <w:right w:val="nil"/>
            </w:tcBorders>
          </w:tcPr>
          <w:p w14:paraId="3F4528EE" w14:textId="77777777" w:rsidR="007261F7" w:rsidRPr="00883399" w:rsidRDefault="007261F7">
            <w:pPr>
              <w:pStyle w:val="TableText"/>
              <w:rPr>
                <w:szCs w:val="22"/>
              </w:rPr>
            </w:pPr>
            <w:r w:rsidRPr="00883399">
              <w:rPr>
                <w:szCs w:val="22"/>
              </w:rPr>
              <w:t>26</w:t>
            </w:r>
          </w:p>
        </w:tc>
        <w:tc>
          <w:tcPr>
            <w:tcW w:w="5772" w:type="dxa"/>
            <w:tcBorders>
              <w:top w:val="nil"/>
              <w:left w:val="nil"/>
              <w:bottom w:val="nil"/>
              <w:right w:val="nil"/>
            </w:tcBorders>
          </w:tcPr>
          <w:p w14:paraId="5B3FFC30" w14:textId="77777777" w:rsidR="007261F7" w:rsidRPr="00883399" w:rsidRDefault="007261F7">
            <w:pPr>
              <w:pStyle w:val="TableText"/>
              <w:rPr>
                <w:szCs w:val="22"/>
              </w:rPr>
            </w:pPr>
            <w:r w:rsidRPr="00883399">
              <w:rPr>
                <w:szCs w:val="22"/>
              </w:rPr>
              <w:t>Liquefied natural gas</w:t>
            </w:r>
          </w:p>
        </w:tc>
        <w:tc>
          <w:tcPr>
            <w:tcW w:w="1941" w:type="dxa"/>
            <w:tcBorders>
              <w:top w:val="nil"/>
              <w:left w:val="nil"/>
              <w:bottom w:val="nil"/>
              <w:right w:val="nil"/>
            </w:tcBorders>
          </w:tcPr>
          <w:p w14:paraId="40BAB373" w14:textId="77777777" w:rsidR="007261F7" w:rsidRPr="00883399" w:rsidRDefault="007261F7">
            <w:pPr>
              <w:pStyle w:val="TableText"/>
              <w:rPr>
                <w:szCs w:val="22"/>
                <w:vertAlign w:val="superscript"/>
              </w:rPr>
            </w:pPr>
            <w:r w:rsidRPr="00883399">
              <w:rPr>
                <w:szCs w:val="22"/>
              </w:rPr>
              <w:t>0.355</w:t>
            </w:r>
            <w:r w:rsidRPr="00883399">
              <w:rPr>
                <w:szCs w:val="22"/>
                <w:vertAlign w:val="superscript"/>
              </w:rPr>
              <w:t xml:space="preserve"> </w:t>
            </w:r>
            <w:r w:rsidRPr="00883399">
              <w:rPr>
                <w:szCs w:val="22"/>
              </w:rPr>
              <w:t>tC/kL of fuel</w:t>
            </w:r>
          </w:p>
        </w:tc>
      </w:tr>
      <w:tr w:rsidR="007261F7" w:rsidRPr="00883399" w14:paraId="00A66A90" w14:textId="77777777">
        <w:trPr>
          <w:cantSplit/>
          <w:trHeight w:val="20"/>
        </w:trPr>
        <w:tc>
          <w:tcPr>
            <w:tcW w:w="588" w:type="dxa"/>
            <w:tcBorders>
              <w:top w:val="nil"/>
              <w:left w:val="nil"/>
              <w:bottom w:val="nil"/>
              <w:right w:val="nil"/>
            </w:tcBorders>
          </w:tcPr>
          <w:p w14:paraId="22694583" w14:textId="77777777" w:rsidR="007261F7" w:rsidRPr="00883399" w:rsidRDefault="007261F7">
            <w:pPr>
              <w:pStyle w:val="TableText"/>
              <w:rPr>
                <w:szCs w:val="22"/>
              </w:rPr>
            </w:pPr>
            <w:r w:rsidRPr="00883399">
              <w:rPr>
                <w:szCs w:val="22"/>
              </w:rPr>
              <w:t>27</w:t>
            </w:r>
          </w:p>
        </w:tc>
        <w:tc>
          <w:tcPr>
            <w:tcW w:w="5772" w:type="dxa"/>
            <w:tcBorders>
              <w:top w:val="nil"/>
              <w:left w:val="nil"/>
              <w:bottom w:val="nil"/>
              <w:right w:val="nil"/>
            </w:tcBorders>
          </w:tcPr>
          <w:p w14:paraId="3B9C743A" w14:textId="77777777" w:rsidR="007261F7" w:rsidRPr="00883399" w:rsidRDefault="007261F7">
            <w:pPr>
              <w:pStyle w:val="TableText"/>
              <w:rPr>
                <w:szCs w:val="22"/>
              </w:rPr>
            </w:pPr>
            <w:r w:rsidRPr="00883399">
              <w:rPr>
                <w:szCs w:val="22"/>
              </w:rPr>
              <w:t>Gaseous fossil fuels other than those mentioned in items 17 to 26</w:t>
            </w:r>
          </w:p>
        </w:tc>
        <w:tc>
          <w:tcPr>
            <w:tcW w:w="1941" w:type="dxa"/>
            <w:tcBorders>
              <w:top w:val="nil"/>
              <w:left w:val="nil"/>
              <w:bottom w:val="nil"/>
              <w:right w:val="nil"/>
            </w:tcBorders>
          </w:tcPr>
          <w:p w14:paraId="7C23B367" w14:textId="77777777" w:rsidR="007261F7" w:rsidRPr="00883399" w:rsidRDefault="007261F7">
            <w:pPr>
              <w:pStyle w:val="TableText"/>
              <w:rPr>
                <w:szCs w:val="22"/>
              </w:rPr>
            </w:pPr>
            <w:r w:rsidRPr="00883399">
              <w:rPr>
                <w:szCs w:val="22"/>
              </w:rPr>
              <w:t>5.52 × 10</w:t>
            </w:r>
            <w:r w:rsidRPr="00883399">
              <w:rPr>
                <w:szCs w:val="22"/>
                <w:vertAlign w:val="superscript"/>
              </w:rPr>
              <w:noBreakHyphen/>
              <w:t>4</w:t>
            </w:r>
          </w:p>
        </w:tc>
      </w:tr>
      <w:tr w:rsidR="007261F7" w:rsidRPr="00883399" w14:paraId="7F793A0E" w14:textId="77777777">
        <w:trPr>
          <w:cantSplit/>
          <w:trHeight w:val="20"/>
        </w:trPr>
        <w:tc>
          <w:tcPr>
            <w:tcW w:w="8301" w:type="dxa"/>
            <w:gridSpan w:val="3"/>
            <w:tcBorders>
              <w:top w:val="nil"/>
              <w:left w:val="nil"/>
              <w:bottom w:val="nil"/>
              <w:right w:val="nil"/>
            </w:tcBorders>
          </w:tcPr>
          <w:p w14:paraId="0B52B869" w14:textId="77777777" w:rsidR="007261F7" w:rsidRPr="00883399" w:rsidRDefault="007261F7">
            <w:pPr>
              <w:pStyle w:val="TableText"/>
              <w:rPr>
                <w:i/>
                <w:szCs w:val="22"/>
              </w:rPr>
            </w:pPr>
            <w:r w:rsidRPr="00883399">
              <w:rPr>
                <w:i/>
                <w:szCs w:val="22"/>
              </w:rPr>
              <w:t>Biogas captured for combustion</w:t>
            </w:r>
          </w:p>
        </w:tc>
      </w:tr>
      <w:tr w:rsidR="007261F7" w:rsidRPr="00883399" w14:paraId="597C30AD" w14:textId="77777777">
        <w:trPr>
          <w:cantSplit/>
          <w:trHeight w:val="20"/>
        </w:trPr>
        <w:tc>
          <w:tcPr>
            <w:tcW w:w="588" w:type="dxa"/>
            <w:tcBorders>
              <w:top w:val="nil"/>
              <w:left w:val="nil"/>
              <w:bottom w:val="nil"/>
              <w:right w:val="nil"/>
            </w:tcBorders>
          </w:tcPr>
          <w:p w14:paraId="68B53357" w14:textId="77777777" w:rsidR="007261F7" w:rsidRPr="00883399" w:rsidRDefault="007261F7">
            <w:pPr>
              <w:pStyle w:val="TableText"/>
              <w:rPr>
                <w:szCs w:val="22"/>
              </w:rPr>
            </w:pPr>
            <w:r w:rsidRPr="00883399">
              <w:rPr>
                <w:szCs w:val="22"/>
              </w:rPr>
              <w:t>28</w:t>
            </w:r>
          </w:p>
        </w:tc>
        <w:tc>
          <w:tcPr>
            <w:tcW w:w="5772" w:type="dxa"/>
            <w:tcBorders>
              <w:top w:val="nil"/>
              <w:left w:val="nil"/>
              <w:bottom w:val="nil"/>
              <w:right w:val="nil"/>
            </w:tcBorders>
          </w:tcPr>
          <w:p w14:paraId="0A7F89C5" w14:textId="77777777" w:rsidR="007261F7" w:rsidRPr="00883399" w:rsidRDefault="007261F7">
            <w:pPr>
              <w:pStyle w:val="TableText"/>
              <w:rPr>
                <w:szCs w:val="22"/>
              </w:rPr>
            </w:pPr>
            <w:r w:rsidRPr="00883399">
              <w:rPr>
                <w:szCs w:val="22"/>
              </w:rPr>
              <w:t>Landfill biogas (methane) that is captured for combustion</w:t>
            </w:r>
          </w:p>
        </w:tc>
        <w:tc>
          <w:tcPr>
            <w:tcW w:w="1941" w:type="dxa"/>
            <w:tcBorders>
              <w:top w:val="nil"/>
              <w:left w:val="nil"/>
              <w:bottom w:val="nil"/>
              <w:right w:val="nil"/>
            </w:tcBorders>
          </w:tcPr>
          <w:p w14:paraId="59D4F307" w14:textId="77777777" w:rsidR="007261F7" w:rsidRPr="00883399" w:rsidRDefault="007261F7">
            <w:pPr>
              <w:pStyle w:val="TableText"/>
              <w:rPr>
                <w:szCs w:val="22"/>
              </w:rPr>
            </w:pPr>
            <w:r w:rsidRPr="00883399">
              <w:rPr>
                <w:szCs w:val="22"/>
              </w:rPr>
              <w:t>0</w:t>
            </w:r>
          </w:p>
        </w:tc>
      </w:tr>
      <w:tr w:rsidR="007261F7" w:rsidRPr="00883399" w14:paraId="55DCCDF1" w14:textId="77777777">
        <w:trPr>
          <w:cantSplit/>
          <w:trHeight w:val="20"/>
        </w:trPr>
        <w:tc>
          <w:tcPr>
            <w:tcW w:w="588" w:type="dxa"/>
            <w:tcBorders>
              <w:top w:val="nil"/>
              <w:left w:val="nil"/>
              <w:bottom w:val="nil"/>
              <w:right w:val="nil"/>
            </w:tcBorders>
          </w:tcPr>
          <w:p w14:paraId="0C645496" w14:textId="77777777" w:rsidR="007261F7" w:rsidRPr="00883399" w:rsidRDefault="007261F7">
            <w:pPr>
              <w:pStyle w:val="TableText"/>
              <w:rPr>
                <w:szCs w:val="22"/>
              </w:rPr>
            </w:pPr>
            <w:r w:rsidRPr="00883399">
              <w:rPr>
                <w:szCs w:val="22"/>
              </w:rPr>
              <w:t>29</w:t>
            </w:r>
          </w:p>
        </w:tc>
        <w:tc>
          <w:tcPr>
            <w:tcW w:w="5772" w:type="dxa"/>
            <w:tcBorders>
              <w:top w:val="nil"/>
              <w:left w:val="nil"/>
              <w:bottom w:val="nil"/>
              <w:right w:val="nil"/>
            </w:tcBorders>
          </w:tcPr>
          <w:p w14:paraId="000DBC03" w14:textId="77777777" w:rsidR="007261F7" w:rsidRPr="00883399" w:rsidRDefault="007261F7">
            <w:pPr>
              <w:pStyle w:val="TableText"/>
              <w:rPr>
                <w:szCs w:val="22"/>
              </w:rPr>
            </w:pPr>
            <w:r w:rsidRPr="00883399">
              <w:rPr>
                <w:szCs w:val="22"/>
              </w:rPr>
              <w:t xml:space="preserve">Sludge biogas (methane) that is captured for combustion </w:t>
            </w:r>
          </w:p>
        </w:tc>
        <w:tc>
          <w:tcPr>
            <w:tcW w:w="1941" w:type="dxa"/>
            <w:tcBorders>
              <w:top w:val="nil"/>
              <w:left w:val="nil"/>
              <w:bottom w:val="nil"/>
              <w:right w:val="nil"/>
            </w:tcBorders>
          </w:tcPr>
          <w:p w14:paraId="29F27770" w14:textId="77777777" w:rsidR="007261F7" w:rsidRPr="00883399" w:rsidRDefault="007261F7">
            <w:pPr>
              <w:pStyle w:val="TableText"/>
              <w:rPr>
                <w:szCs w:val="22"/>
              </w:rPr>
            </w:pPr>
            <w:r w:rsidRPr="00883399">
              <w:rPr>
                <w:szCs w:val="22"/>
              </w:rPr>
              <w:t>0</w:t>
            </w:r>
          </w:p>
        </w:tc>
      </w:tr>
      <w:tr w:rsidR="007261F7" w:rsidRPr="00883399" w14:paraId="28B88311" w14:textId="77777777">
        <w:trPr>
          <w:cantSplit/>
          <w:trHeight w:val="20"/>
        </w:trPr>
        <w:tc>
          <w:tcPr>
            <w:tcW w:w="588" w:type="dxa"/>
            <w:tcBorders>
              <w:top w:val="nil"/>
              <w:left w:val="nil"/>
              <w:bottom w:val="nil"/>
              <w:right w:val="nil"/>
            </w:tcBorders>
          </w:tcPr>
          <w:p w14:paraId="12D57E41" w14:textId="77777777" w:rsidR="007261F7" w:rsidRPr="00883399" w:rsidRDefault="007261F7">
            <w:pPr>
              <w:pStyle w:val="TableText"/>
              <w:rPr>
                <w:szCs w:val="22"/>
              </w:rPr>
            </w:pPr>
            <w:r w:rsidRPr="00883399">
              <w:rPr>
                <w:szCs w:val="22"/>
              </w:rPr>
              <w:t>30</w:t>
            </w:r>
          </w:p>
        </w:tc>
        <w:tc>
          <w:tcPr>
            <w:tcW w:w="5772" w:type="dxa"/>
            <w:tcBorders>
              <w:top w:val="nil"/>
              <w:left w:val="nil"/>
              <w:bottom w:val="nil"/>
              <w:right w:val="nil"/>
            </w:tcBorders>
          </w:tcPr>
          <w:p w14:paraId="23594614" w14:textId="77777777" w:rsidR="007261F7" w:rsidRPr="00883399" w:rsidRDefault="007261F7">
            <w:pPr>
              <w:pStyle w:val="TableText"/>
              <w:rPr>
                <w:szCs w:val="22"/>
              </w:rPr>
            </w:pPr>
            <w:r w:rsidRPr="00883399">
              <w:rPr>
                <w:szCs w:val="22"/>
              </w:rPr>
              <w:t>A biogas (methane) that is captured for combustion, other than those mentioned in items 28 and 29</w:t>
            </w:r>
          </w:p>
        </w:tc>
        <w:tc>
          <w:tcPr>
            <w:tcW w:w="1941" w:type="dxa"/>
            <w:tcBorders>
              <w:top w:val="nil"/>
              <w:left w:val="nil"/>
              <w:bottom w:val="nil"/>
              <w:right w:val="nil"/>
            </w:tcBorders>
          </w:tcPr>
          <w:p w14:paraId="32E2252A" w14:textId="77777777" w:rsidR="007261F7" w:rsidRPr="00883399" w:rsidRDefault="007261F7">
            <w:pPr>
              <w:pStyle w:val="TableText"/>
              <w:rPr>
                <w:szCs w:val="22"/>
              </w:rPr>
            </w:pPr>
            <w:r w:rsidRPr="00883399">
              <w:rPr>
                <w:szCs w:val="22"/>
              </w:rPr>
              <w:t>0</w:t>
            </w:r>
          </w:p>
        </w:tc>
      </w:tr>
    </w:tbl>
    <w:p w14:paraId="4988EF9A" w14:textId="1BDCCBCE" w:rsidR="007261F7" w:rsidRPr="00883399" w:rsidRDefault="007261F7">
      <w:pPr>
        <w:pStyle w:val="Schedulepart"/>
        <w:rPr>
          <w:rStyle w:val="CharSchPTText"/>
        </w:rPr>
      </w:pPr>
      <w:bookmarkStart w:id="1381" w:name="_Toc227734145"/>
      <w:bookmarkStart w:id="1382" w:name="_Toc265135672"/>
      <w:bookmarkStart w:id="1383" w:name="_Toc495653207"/>
      <w:r w:rsidRPr="00883399">
        <w:rPr>
          <w:rStyle w:val="CharSchPTNo"/>
        </w:rPr>
        <w:t>Part 3</w:t>
      </w:r>
      <w:r w:rsidRPr="00883399">
        <w:tab/>
      </w:r>
      <w:r w:rsidRPr="00883399">
        <w:rPr>
          <w:rStyle w:val="CharSchPTText"/>
        </w:rPr>
        <w:t>Liquid fuels and certain petroleum</w:t>
      </w:r>
      <w:r w:rsidRPr="00883399">
        <w:rPr>
          <w:rStyle w:val="CharSchPTText"/>
        </w:rPr>
        <w:noBreakHyphen/>
        <w:t>based products</w:t>
      </w:r>
      <w:bookmarkEnd w:id="1381"/>
      <w:bookmarkEnd w:id="1382"/>
      <w:bookmarkEnd w:id="1383"/>
    </w:p>
    <w:p w14:paraId="255CCB47" w14:textId="77777777" w:rsidR="007261F7" w:rsidRPr="00883399" w:rsidRDefault="007261F7"/>
    <w:tbl>
      <w:tblPr>
        <w:tblW w:w="83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72"/>
        <w:gridCol w:w="1941"/>
      </w:tblGrid>
      <w:tr w:rsidR="007261F7" w:rsidRPr="00883399" w14:paraId="299F0BE1" w14:textId="77777777">
        <w:trPr>
          <w:cantSplit/>
          <w:trHeight w:val="20"/>
          <w:tblHeader/>
        </w:trPr>
        <w:tc>
          <w:tcPr>
            <w:tcW w:w="588" w:type="dxa"/>
            <w:tcBorders>
              <w:top w:val="nil"/>
              <w:left w:val="nil"/>
              <w:right w:val="nil"/>
            </w:tcBorders>
          </w:tcPr>
          <w:p w14:paraId="73EF1E95" w14:textId="77777777" w:rsidR="007261F7" w:rsidRPr="00883399" w:rsidRDefault="007261F7" w:rsidP="00CF0298">
            <w:pPr>
              <w:pStyle w:val="Table"/>
              <w:spacing w:before="0"/>
              <w:jc w:val="right"/>
              <w:rPr>
                <w:rStyle w:val="Strong"/>
                <w:rFonts w:cs="Arial"/>
                <w:sz w:val="18"/>
              </w:rPr>
            </w:pPr>
            <w:r w:rsidRPr="00883399">
              <w:rPr>
                <w:rStyle w:val="Strong"/>
                <w:rFonts w:cs="Arial"/>
                <w:sz w:val="18"/>
              </w:rPr>
              <w:t>Item</w:t>
            </w:r>
          </w:p>
        </w:tc>
        <w:tc>
          <w:tcPr>
            <w:tcW w:w="5772" w:type="dxa"/>
            <w:tcBorders>
              <w:top w:val="nil"/>
              <w:left w:val="nil"/>
              <w:right w:val="nil"/>
            </w:tcBorders>
          </w:tcPr>
          <w:p w14:paraId="37753862" w14:textId="77777777" w:rsidR="007261F7" w:rsidRPr="00883399" w:rsidRDefault="007261F7" w:rsidP="00CF0298">
            <w:pPr>
              <w:pStyle w:val="TableCentre"/>
              <w:spacing w:before="0"/>
              <w:jc w:val="left"/>
              <w:rPr>
                <w:rStyle w:val="Strong"/>
                <w:rFonts w:cs="Arial"/>
                <w:sz w:val="18"/>
              </w:rPr>
            </w:pPr>
            <w:r w:rsidRPr="00883399">
              <w:rPr>
                <w:rStyle w:val="Strong"/>
                <w:rFonts w:cs="Arial"/>
                <w:sz w:val="18"/>
              </w:rPr>
              <w:t>Fuel type</w:t>
            </w:r>
          </w:p>
        </w:tc>
        <w:tc>
          <w:tcPr>
            <w:tcW w:w="1941" w:type="dxa"/>
            <w:tcBorders>
              <w:top w:val="nil"/>
              <w:left w:val="nil"/>
              <w:right w:val="nil"/>
            </w:tcBorders>
          </w:tcPr>
          <w:p w14:paraId="2700E3FD" w14:textId="77777777" w:rsidR="00CF0298" w:rsidRPr="00883399" w:rsidRDefault="007261F7" w:rsidP="00CF0298">
            <w:pPr>
              <w:pStyle w:val="Heading1Like"/>
              <w:spacing w:after="0" w:line="312" w:lineRule="auto"/>
              <w:ind w:left="0" w:firstLine="0"/>
              <w:rPr>
                <w:rFonts w:ascii="Arial" w:hAnsi="Arial"/>
                <w:caps w:val="0"/>
                <w:sz w:val="18"/>
              </w:rPr>
            </w:pPr>
            <w:r w:rsidRPr="00883399">
              <w:rPr>
                <w:rFonts w:ascii="Arial" w:hAnsi="Arial"/>
                <w:caps w:val="0"/>
                <w:sz w:val="18"/>
              </w:rPr>
              <w:t>Carbon content factor</w:t>
            </w:r>
          </w:p>
          <w:p w14:paraId="68373953" w14:textId="77777777" w:rsidR="007261F7" w:rsidRPr="00883399" w:rsidRDefault="007261F7" w:rsidP="00CF0298">
            <w:pPr>
              <w:pStyle w:val="Heading1Like"/>
              <w:spacing w:before="60" w:after="0" w:line="312" w:lineRule="auto"/>
              <w:ind w:left="0" w:firstLine="0"/>
              <w:rPr>
                <w:rFonts w:ascii="Arial" w:hAnsi="Arial"/>
                <w:sz w:val="18"/>
              </w:rPr>
            </w:pPr>
            <w:r w:rsidRPr="00883399">
              <w:rPr>
                <w:rFonts w:ascii="Arial" w:hAnsi="Arial"/>
                <w:caps w:val="0"/>
                <w:sz w:val="18"/>
              </w:rPr>
              <w:t>(tC/kL of fuel</w:t>
            </w:r>
            <w:r w:rsidRPr="00883399">
              <w:rPr>
                <w:rFonts w:ascii="Arial" w:hAnsi="Arial"/>
                <w:caps w:val="0"/>
                <w:sz w:val="18"/>
              </w:rPr>
              <w:br/>
              <w:t>unless otherwise specified)</w:t>
            </w:r>
          </w:p>
        </w:tc>
      </w:tr>
      <w:tr w:rsidR="007261F7" w:rsidRPr="00883399" w14:paraId="32BD6D80" w14:textId="77777777">
        <w:trPr>
          <w:cantSplit/>
          <w:trHeight w:val="20"/>
        </w:trPr>
        <w:tc>
          <w:tcPr>
            <w:tcW w:w="8301" w:type="dxa"/>
            <w:gridSpan w:val="3"/>
            <w:tcBorders>
              <w:left w:val="nil"/>
              <w:bottom w:val="nil"/>
              <w:right w:val="nil"/>
            </w:tcBorders>
          </w:tcPr>
          <w:p w14:paraId="559791B3" w14:textId="77777777" w:rsidR="007261F7" w:rsidRPr="00883399" w:rsidRDefault="007261F7">
            <w:pPr>
              <w:pStyle w:val="TableText"/>
              <w:rPr>
                <w:i/>
                <w:szCs w:val="22"/>
              </w:rPr>
            </w:pPr>
            <w:r w:rsidRPr="00883399">
              <w:rPr>
                <w:i/>
                <w:snapToGrid w:val="0"/>
                <w:szCs w:val="22"/>
              </w:rPr>
              <w:t>Petroleum based oils and petroleum based greases</w:t>
            </w:r>
          </w:p>
        </w:tc>
      </w:tr>
      <w:tr w:rsidR="007261F7" w:rsidRPr="00883399" w14:paraId="7F6F699D" w14:textId="77777777">
        <w:trPr>
          <w:cantSplit/>
          <w:trHeight w:val="20"/>
        </w:trPr>
        <w:tc>
          <w:tcPr>
            <w:tcW w:w="588" w:type="dxa"/>
            <w:tcBorders>
              <w:top w:val="nil"/>
              <w:left w:val="nil"/>
              <w:bottom w:val="nil"/>
              <w:right w:val="nil"/>
            </w:tcBorders>
          </w:tcPr>
          <w:p w14:paraId="281E8970" w14:textId="77777777" w:rsidR="007261F7" w:rsidRPr="00883399" w:rsidRDefault="007261F7">
            <w:pPr>
              <w:pStyle w:val="TableText"/>
              <w:rPr>
                <w:szCs w:val="22"/>
              </w:rPr>
            </w:pPr>
            <w:r w:rsidRPr="00883399">
              <w:rPr>
                <w:szCs w:val="22"/>
              </w:rPr>
              <w:t>31</w:t>
            </w:r>
          </w:p>
        </w:tc>
        <w:tc>
          <w:tcPr>
            <w:tcW w:w="5772" w:type="dxa"/>
            <w:tcBorders>
              <w:top w:val="nil"/>
              <w:left w:val="nil"/>
              <w:bottom w:val="nil"/>
              <w:right w:val="nil"/>
            </w:tcBorders>
          </w:tcPr>
          <w:p w14:paraId="368B6188" w14:textId="77777777" w:rsidR="007261F7" w:rsidRPr="00883399" w:rsidRDefault="007261F7">
            <w:pPr>
              <w:pStyle w:val="TableText"/>
              <w:rPr>
                <w:szCs w:val="22"/>
              </w:rPr>
            </w:pPr>
            <w:r w:rsidRPr="00883399">
              <w:rPr>
                <w:snapToGrid w:val="0"/>
                <w:szCs w:val="22"/>
              </w:rPr>
              <w:t>Petroleum based oils</w:t>
            </w:r>
            <w:r w:rsidRPr="00883399">
              <w:t xml:space="preserve"> (other than petroleum based oils used as fuel)</w:t>
            </w:r>
          </w:p>
        </w:tc>
        <w:tc>
          <w:tcPr>
            <w:tcW w:w="1941" w:type="dxa"/>
            <w:tcBorders>
              <w:top w:val="nil"/>
              <w:left w:val="nil"/>
              <w:bottom w:val="nil"/>
              <w:right w:val="nil"/>
            </w:tcBorders>
          </w:tcPr>
          <w:p w14:paraId="1C298210" w14:textId="77777777" w:rsidR="007261F7" w:rsidRPr="00883399" w:rsidRDefault="007261F7">
            <w:pPr>
              <w:pStyle w:val="TableText"/>
              <w:rPr>
                <w:szCs w:val="22"/>
              </w:rPr>
            </w:pPr>
            <w:r w:rsidRPr="00883399">
              <w:rPr>
                <w:szCs w:val="22"/>
              </w:rPr>
              <w:t>0.737</w:t>
            </w:r>
          </w:p>
        </w:tc>
      </w:tr>
      <w:tr w:rsidR="007261F7" w:rsidRPr="00883399" w14:paraId="2A37A7F2" w14:textId="77777777">
        <w:trPr>
          <w:cantSplit/>
          <w:trHeight w:val="20"/>
        </w:trPr>
        <w:tc>
          <w:tcPr>
            <w:tcW w:w="588" w:type="dxa"/>
            <w:tcBorders>
              <w:top w:val="nil"/>
              <w:left w:val="nil"/>
              <w:bottom w:val="nil"/>
              <w:right w:val="nil"/>
            </w:tcBorders>
          </w:tcPr>
          <w:p w14:paraId="7033A903" w14:textId="77777777" w:rsidR="007261F7" w:rsidRPr="00883399" w:rsidRDefault="007261F7">
            <w:pPr>
              <w:pStyle w:val="TableText"/>
              <w:rPr>
                <w:szCs w:val="22"/>
              </w:rPr>
            </w:pPr>
            <w:r w:rsidRPr="00883399">
              <w:rPr>
                <w:szCs w:val="22"/>
              </w:rPr>
              <w:t>32</w:t>
            </w:r>
          </w:p>
        </w:tc>
        <w:tc>
          <w:tcPr>
            <w:tcW w:w="5772" w:type="dxa"/>
            <w:tcBorders>
              <w:top w:val="nil"/>
              <w:left w:val="nil"/>
              <w:bottom w:val="nil"/>
              <w:right w:val="nil"/>
            </w:tcBorders>
          </w:tcPr>
          <w:p w14:paraId="08E7D766" w14:textId="77777777" w:rsidR="007261F7" w:rsidRPr="00883399" w:rsidRDefault="007261F7">
            <w:pPr>
              <w:pStyle w:val="TableText"/>
              <w:rPr>
                <w:szCs w:val="22"/>
              </w:rPr>
            </w:pPr>
            <w:r w:rsidRPr="00883399">
              <w:rPr>
                <w:snapToGrid w:val="0"/>
                <w:szCs w:val="22"/>
              </w:rPr>
              <w:t>Petroleum based greases</w:t>
            </w:r>
          </w:p>
        </w:tc>
        <w:tc>
          <w:tcPr>
            <w:tcW w:w="1941" w:type="dxa"/>
            <w:tcBorders>
              <w:top w:val="nil"/>
              <w:left w:val="nil"/>
              <w:bottom w:val="nil"/>
              <w:right w:val="nil"/>
            </w:tcBorders>
          </w:tcPr>
          <w:p w14:paraId="413F088C" w14:textId="77777777" w:rsidR="007261F7" w:rsidRPr="00883399" w:rsidRDefault="007261F7">
            <w:pPr>
              <w:pStyle w:val="TableText"/>
              <w:rPr>
                <w:szCs w:val="22"/>
              </w:rPr>
            </w:pPr>
            <w:r w:rsidRPr="00883399">
              <w:rPr>
                <w:szCs w:val="22"/>
              </w:rPr>
              <w:t>0.737</w:t>
            </w:r>
          </w:p>
        </w:tc>
      </w:tr>
      <w:tr w:rsidR="007261F7" w:rsidRPr="00883399" w14:paraId="184448B5" w14:textId="77777777">
        <w:trPr>
          <w:cantSplit/>
          <w:trHeight w:val="20"/>
        </w:trPr>
        <w:tc>
          <w:tcPr>
            <w:tcW w:w="8301" w:type="dxa"/>
            <w:gridSpan w:val="3"/>
            <w:tcBorders>
              <w:top w:val="nil"/>
              <w:left w:val="nil"/>
              <w:bottom w:val="nil"/>
              <w:right w:val="nil"/>
            </w:tcBorders>
          </w:tcPr>
          <w:p w14:paraId="3432B486" w14:textId="77777777" w:rsidR="007261F7" w:rsidRPr="00883399" w:rsidRDefault="007261F7">
            <w:pPr>
              <w:pStyle w:val="TableText"/>
              <w:rPr>
                <w:i/>
                <w:szCs w:val="22"/>
              </w:rPr>
            </w:pPr>
            <w:r w:rsidRPr="00883399">
              <w:rPr>
                <w:i/>
                <w:snapToGrid w:val="0"/>
                <w:szCs w:val="22"/>
              </w:rPr>
              <w:t>Petroleum based products other than petroleum based oils and petroleum based greases</w:t>
            </w:r>
          </w:p>
        </w:tc>
      </w:tr>
      <w:tr w:rsidR="007261F7" w:rsidRPr="00883399" w14:paraId="1420FAF2" w14:textId="77777777">
        <w:trPr>
          <w:cantSplit/>
          <w:trHeight w:val="20"/>
        </w:trPr>
        <w:tc>
          <w:tcPr>
            <w:tcW w:w="588" w:type="dxa"/>
            <w:tcBorders>
              <w:top w:val="nil"/>
              <w:left w:val="nil"/>
              <w:bottom w:val="nil"/>
              <w:right w:val="nil"/>
            </w:tcBorders>
          </w:tcPr>
          <w:p w14:paraId="0EA5FAEF" w14:textId="77777777" w:rsidR="007261F7" w:rsidRPr="00883399" w:rsidRDefault="007261F7">
            <w:pPr>
              <w:pStyle w:val="TableText"/>
              <w:rPr>
                <w:szCs w:val="22"/>
              </w:rPr>
            </w:pPr>
            <w:r w:rsidRPr="00883399">
              <w:rPr>
                <w:szCs w:val="22"/>
              </w:rPr>
              <w:t>33</w:t>
            </w:r>
          </w:p>
        </w:tc>
        <w:tc>
          <w:tcPr>
            <w:tcW w:w="5772" w:type="dxa"/>
            <w:tcBorders>
              <w:top w:val="nil"/>
              <w:left w:val="nil"/>
              <w:bottom w:val="nil"/>
              <w:right w:val="nil"/>
            </w:tcBorders>
          </w:tcPr>
          <w:p w14:paraId="109858A0" w14:textId="77777777" w:rsidR="007261F7" w:rsidRPr="00883399" w:rsidRDefault="007261F7">
            <w:pPr>
              <w:pStyle w:val="TableText"/>
              <w:rPr>
                <w:szCs w:val="22"/>
              </w:rPr>
            </w:pPr>
            <w:r w:rsidRPr="00883399">
              <w:rPr>
                <w:szCs w:val="22"/>
              </w:rPr>
              <w:t>Crude oil including crude oil condensates</w:t>
            </w:r>
          </w:p>
        </w:tc>
        <w:tc>
          <w:tcPr>
            <w:tcW w:w="1941" w:type="dxa"/>
            <w:tcBorders>
              <w:top w:val="nil"/>
              <w:left w:val="nil"/>
              <w:bottom w:val="nil"/>
              <w:right w:val="nil"/>
            </w:tcBorders>
          </w:tcPr>
          <w:p w14:paraId="3F8CB5A3" w14:textId="77777777" w:rsidR="007261F7" w:rsidRPr="00883399" w:rsidRDefault="007261F7">
            <w:pPr>
              <w:pStyle w:val="TableText"/>
              <w:rPr>
                <w:szCs w:val="22"/>
              </w:rPr>
            </w:pPr>
            <w:r w:rsidRPr="00883399">
              <w:rPr>
                <w:szCs w:val="22"/>
              </w:rPr>
              <w:t>0.861 tC/t fuel</w:t>
            </w:r>
          </w:p>
        </w:tc>
      </w:tr>
      <w:tr w:rsidR="007261F7" w:rsidRPr="00883399" w14:paraId="2A564AA1" w14:textId="77777777">
        <w:trPr>
          <w:cantSplit/>
          <w:trHeight w:val="20"/>
        </w:trPr>
        <w:tc>
          <w:tcPr>
            <w:tcW w:w="588" w:type="dxa"/>
            <w:tcBorders>
              <w:top w:val="nil"/>
              <w:left w:val="nil"/>
              <w:bottom w:val="nil"/>
              <w:right w:val="nil"/>
            </w:tcBorders>
          </w:tcPr>
          <w:p w14:paraId="5047C964" w14:textId="77777777" w:rsidR="007261F7" w:rsidRPr="00883399" w:rsidRDefault="007261F7">
            <w:pPr>
              <w:pStyle w:val="TableText"/>
              <w:rPr>
                <w:szCs w:val="22"/>
              </w:rPr>
            </w:pPr>
            <w:r w:rsidRPr="00883399">
              <w:rPr>
                <w:szCs w:val="22"/>
              </w:rPr>
              <w:t>34</w:t>
            </w:r>
          </w:p>
        </w:tc>
        <w:tc>
          <w:tcPr>
            <w:tcW w:w="5772" w:type="dxa"/>
            <w:tcBorders>
              <w:top w:val="nil"/>
              <w:left w:val="nil"/>
              <w:bottom w:val="nil"/>
              <w:right w:val="nil"/>
            </w:tcBorders>
          </w:tcPr>
          <w:p w14:paraId="6D05D2FF" w14:textId="77777777" w:rsidR="007261F7" w:rsidRPr="00883399" w:rsidRDefault="007261F7">
            <w:pPr>
              <w:pStyle w:val="TableText"/>
              <w:rPr>
                <w:szCs w:val="22"/>
              </w:rPr>
            </w:pPr>
            <w:r w:rsidRPr="00883399">
              <w:rPr>
                <w:szCs w:val="22"/>
              </w:rPr>
              <w:t xml:space="preserve">Other natural gas liquids </w:t>
            </w:r>
          </w:p>
        </w:tc>
        <w:tc>
          <w:tcPr>
            <w:tcW w:w="1941" w:type="dxa"/>
            <w:tcBorders>
              <w:top w:val="nil"/>
              <w:left w:val="nil"/>
              <w:bottom w:val="nil"/>
              <w:right w:val="nil"/>
            </w:tcBorders>
          </w:tcPr>
          <w:p w14:paraId="137C8064" w14:textId="77777777" w:rsidR="007261F7" w:rsidRPr="00883399" w:rsidRDefault="007261F7">
            <w:pPr>
              <w:pStyle w:val="TableText"/>
              <w:rPr>
                <w:szCs w:val="22"/>
              </w:rPr>
            </w:pPr>
            <w:r w:rsidRPr="00883399">
              <w:rPr>
                <w:szCs w:val="22"/>
              </w:rPr>
              <w:t>0.774 tC/t fuel</w:t>
            </w:r>
          </w:p>
        </w:tc>
      </w:tr>
      <w:tr w:rsidR="007261F7" w:rsidRPr="00883399" w14:paraId="539A65FA" w14:textId="77777777">
        <w:trPr>
          <w:cantSplit/>
          <w:trHeight w:val="20"/>
        </w:trPr>
        <w:tc>
          <w:tcPr>
            <w:tcW w:w="588" w:type="dxa"/>
            <w:tcBorders>
              <w:top w:val="nil"/>
              <w:left w:val="nil"/>
              <w:bottom w:val="nil"/>
              <w:right w:val="nil"/>
            </w:tcBorders>
          </w:tcPr>
          <w:p w14:paraId="4B79D535" w14:textId="77777777" w:rsidR="007261F7" w:rsidRPr="00883399" w:rsidRDefault="007261F7">
            <w:pPr>
              <w:pStyle w:val="TableText"/>
              <w:rPr>
                <w:szCs w:val="22"/>
              </w:rPr>
            </w:pPr>
            <w:r w:rsidRPr="00883399">
              <w:rPr>
                <w:szCs w:val="22"/>
              </w:rPr>
              <w:t>35</w:t>
            </w:r>
          </w:p>
        </w:tc>
        <w:tc>
          <w:tcPr>
            <w:tcW w:w="5772" w:type="dxa"/>
            <w:tcBorders>
              <w:top w:val="nil"/>
              <w:left w:val="nil"/>
              <w:bottom w:val="nil"/>
              <w:right w:val="nil"/>
            </w:tcBorders>
          </w:tcPr>
          <w:p w14:paraId="1BF5407A" w14:textId="77777777" w:rsidR="007261F7" w:rsidRPr="00883399" w:rsidRDefault="007261F7">
            <w:pPr>
              <w:pStyle w:val="TableText"/>
              <w:rPr>
                <w:szCs w:val="22"/>
              </w:rPr>
            </w:pPr>
            <w:r w:rsidRPr="00883399">
              <w:rPr>
                <w:snapToGrid w:val="0"/>
                <w:szCs w:val="22"/>
              </w:rPr>
              <w:t>Gasoline (other than for use as fuel in an aircraft)</w:t>
            </w:r>
          </w:p>
        </w:tc>
        <w:tc>
          <w:tcPr>
            <w:tcW w:w="1941" w:type="dxa"/>
            <w:tcBorders>
              <w:top w:val="nil"/>
              <w:left w:val="nil"/>
              <w:bottom w:val="nil"/>
              <w:right w:val="nil"/>
            </w:tcBorders>
          </w:tcPr>
          <w:p w14:paraId="2AB74337" w14:textId="77777777" w:rsidR="007261F7" w:rsidRPr="00883399" w:rsidRDefault="007261F7">
            <w:pPr>
              <w:pStyle w:val="TableText"/>
              <w:rPr>
                <w:szCs w:val="22"/>
              </w:rPr>
            </w:pPr>
            <w:r w:rsidRPr="00883399">
              <w:rPr>
                <w:szCs w:val="22"/>
              </w:rPr>
              <w:t>0.629</w:t>
            </w:r>
          </w:p>
        </w:tc>
      </w:tr>
      <w:tr w:rsidR="007261F7" w:rsidRPr="00883399" w14:paraId="691C00C0" w14:textId="77777777">
        <w:trPr>
          <w:cantSplit/>
          <w:trHeight w:val="20"/>
        </w:trPr>
        <w:tc>
          <w:tcPr>
            <w:tcW w:w="588" w:type="dxa"/>
            <w:tcBorders>
              <w:top w:val="nil"/>
              <w:left w:val="nil"/>
              <w:bottom w:val="nil"/>
              <w:right w:val="nil"/>
            </w:tcBorders>
          </w:tcPr>
          <w:p w14:paraId="65470F38" w14:textId="77777777" w:rsidR="007261F7" w:rsidRPr="00883399" w:rsidRDefault="007261F7">
            <w:pPr>
              <w:pStyle w:val="TableText"/>
              <w:rPr>
                <w:szCs w:val="22"/>
              </w:rPr>
            </w:pPr>
            <w:r w:rsidRPr="00883399">
              <w:rPr>
                <w:szCs w:val="22"/>
              </w:rPr>
              <w:t>36</w:t>
            </w:r>
          </w:p>
        </w:tc>
        <w:tc>
          <w:tcPr>
            <w:tcW w:w="5772" w:type="dxa"/>
            <w:tcBorders>
              <w:top w:val="nil"/>
              <w:left w:val="nil"/>
              <w:bottom w:val="nil"/>
              <w:right w:val="nil"/>
            </w:tcBorders>
          </w:tcPr>
          <w:p w14:paraId="721FCAA8" w14:textId="77777777" w:rsidR="007261F7" w:rsidRPr="00883399" w:rsidRDefault="007261F7">
            <w:pPr>
              <w:pStyle w:val="TableText"/>
              <w:rPr>
                <w:szCs w:val="22"/>
              </w:rPr>
            </w:pPr>
            <w:r w:rsidRPr="00883399">
              <w:rPr>
                <w:snapToGrid w:val="0"/>
                <w:szCs w:val="22"/>
              </w:rPr>
              <w:t>Gasoline for use as fuel in an aircraft</w:t>
            </w:r>
          </w:p>
        </w:tc>
        <w:tc>
          <w:tcPr>
            <w:tcW w:w="1941" w:type="dxa"/>
            <w:tcBorders>
              <w:top w:val="nil"/>
              <w:left w:val="nil"/>
              <w:bottom w:val="nil"/>
              <w:right w:val="nil"/>
            </w:tcBorders>
          </w:tcPr>
          <w:p w14:paraId="48AE7DC6" w14:textId="77777777" w:rsidR="007261F7" w:rsidRPr="00883399" w:rsidRDefault="007261F7">
            <w:pPr>
              <w:pStyle w:val="TableText"/>
              <w:rPr>
                <w:szCs w:val="22"/>
              </w:rPr>
            </w:pPr>
            <w:r w:rsidRPr="00883399">
              <w:rPr>
                <w:szCs w:val="22"/>
              </w:rPr>
              <w:t>0.605</w:t>
            </w:r>
          </w:p>
        </w:tc>
      </w:tr>
      <w:tr w:rsidR="007261F7" w:rsidRPr="00883399" w14:paraId="172048F6" w14:textId="77777777">
        <w:trPr>
          <w:cantSplit/>
          <w:trHeight w:val="20"/>
        </w:trPr>
        <w:tc>
          <w:tcPr>
            <w:tcW w:w="588" w:type="dxa"/>
            <w:tcBorders>
              <w:top w:val="nil"/>
              <w:left w:val="nil"/>
              <w:bottom w:val="nil"/>
              <w:right w:val="nil"/>
            </w:tcBorders>
          </w:tcPr>
          <w:p w14:paraId="7255AE33" w14:textId="77777777" w:rsidR="007261F7" w:rsidRPr="00883399" w:rsidRDefault="007261F7">
            <w:pPr>
              <w:pStyle w:val="TableText"/>
              <w:rPr>
                <w:szCs w:val="22"/>
              </w:rPr>
            </w:pPr>
            <w:r w:rsidRPr="00883399">
              <w:rPr>
                <w:szCs w:val="22"/>
              </w:rPr>
              <w:t>37</w:t>
            </w:r>
          </w:p>
        </w:tc>
        <w:tc>
          <w:tcPr>
            <w:tcW w:w="5772" w:type="dxa"/>
            <w:tcBorders>
              <w:top w:val="nil"/>
              <w:left w:val="nil"/>
              <w:bottom w:val="nil"/>
              <w:right w:val="nil"/>
            </w:tcBorders>
          </w:tcPr>
          <w:p w14:paraId="5C08BC4F" w14:textId="77777777" w:rsidR="007261F7" w:rsidRPr="00883399" w:rsidRDefault="007261F7">
            <w:pPr>
              <w:pStyle w:val="TableText"/>
              <w:rPr>
                <w:szCs w:val="22"/>
              </w:rPr>
            </w:pPr>
            <w:r w:rsidRPr="00883399">
              <w:rPr>
                <w:snapToGrid w:val="0"/>
                <w:szCs w:val="22"/>
              </w:rPr>
              <w:t>Kerosene (other than for use as fuel in an aircraft)</w:t>
            </w:r>
          </w:p>
        </w:tc>
        <w:tc>
          <w:tcPr>
            <w:tcW w:w="1941" w:type="dxa"/>
            <w:tcBorders>
              <w:top w:val="nil"/>
              <w:left w:val="nil"/>
              <w:bottom w:val="nil"/>
              <w:right w:val="nil"/>
            </w:tcBorders>
          </w:tcPr>
          <w:p w14:paraId="562CFE30" w14:textId="77777777" w:rsidR="007261F7" w:rsidRPr="00883399" w:rsidRDefault="007261F7">
            <w:pPr>
              <w:pStyle w:val="TableText"/>
              <w:rPr>
                <w:szCs w:val="22"/>
              </w:rPr>
            </w:pPr>
            <w:r w:rsidRPr="00883399">
              <w:rPr>
                <w:szCs w:val="22"/>
              </w:rPr>
              <w:t>0.705</w:t>
            </w:r>
          </w:p>
        </w:tc>
      </w:tr>
      <w:tr w:rsidR="007261F7" w:rsidRPr="00883399" w14:paraId="170CD8B5" w14:textId="77777777">
        <w:trPr>
          <w:cantSplit/>
          <w:trHeight w:val="20"/>
        </w:trPr>
        <w:tc>
          <w:tcPr>
            <w:tcW w:w="588" w:type="dxa"/>
            <w:tcBorders>
              <w:top w:val="nil"/>
              <w:left w:val="nil"/>
              <w:bottom w:val="nil"/>
              <w:right w:val="nil"/>
            </w:tcBorders>
          </w:tcPr>
          <w:p w14:paraId="4C9BD0D2" w14:textId="77777777" w:rsidR="007261F7" w:rsidRPr="00883399" w:rsidRDefault="007261F7">
            <w:pPr>
              <w:pStyle w:val="TableText"/>
              <w:rPr>
                <w:szCs w:val="22"/>
              </w:rPr>
            </w:pPr>
            <w:r w:rsidRPr="00883399">
              <w:rPr>
                <w:szCs w:val="22"/>
              </w:rPr>
              <w:t>38</w:t>
            </w:r>
          </w:p>
        </w:tc>
        <w:tc>
          <w:tcPr>
            <w:tcW w:w="5772" w:type="dxa"/>
            <w:tcBorders>
              <w:top w:val="nil"/>
              <w:left w:val="nil"/>
              <w:bottom w:val="nil"/>
              <w:right w:val="nil"/>
            </w:tcBorders>
          </w:tcPr>
          <w:p w14:paraId="10A6DEC2" w14:textId="77777777" w:rsidR="007261F7" w:rsidRPr="00883399" w:rsidRDefault="007261F7">
            <w:pPr>
              <w:pStyle w:val="TableText"/>
              <w:rPr>
                <w:szCs w:val="22"/>
              </w:rPr>
            </w:pPr>
            <w:r w:rsidRPr="00883399">
              <w:rPr>
                <w:szCs w:val="22"/>
              </w:rPr>
              <w:t>Kerosene for use as fuel in an aircraft</w:t>
            </w:r>
          </w:p>
        </w:tc>
        <w:tc>
          <w:tcPr>
            <w:tcW w:w="1941" w:type="dxa"/>
            <w:tcBorders>
              <w:top w:val="nil"/>
              <w:left w:val="nil"/>
              <w:bottom w:val="nil"/>
              <w:right w:val="nil"/>
            </w:tcBorders>
          </w:tcPr>
          <w:p w14:paraId="6CBC837A" w14:textId="77777777" w:rsidR="007261F7" w:rsidRPr="00883399" w:rsidRDefault="007261F7">
            <w:pPr>
              <w:pStyle w:val="TableText"/>
              <w:rPr>
                <w:szCs w:val="22"/>
              </w:rPr>
            </w:pPr>
            <w:r w:rsidRPr="00883399">
              <w:rPr>
                <w:szCs w:val="22"/>
              </w:rPr>
              <w:t>0.699</w:t>
            </w:r>
          </w:p>
        </w:tc>
      </w:tr>
      <w:tr w:rsidR="007261F7" w:rsidRPr="00883399" w14:paraId="08592685" w14:textId="77777777">
        <w:trPr>
          <w:cantSplit/>
          <w:trHeight w:val="20"/>
        </w:trPr>
        <w:tc>
          <w:tcPr>
            <w:tcW w:w="588" w:type="dxa"/>
            <w:tcBorders>
              <w:top w:val="nil"/>
              <w:left w:val="nil"/>
              <w:bottom w:val="nil"/>
              <w:right w:val="nil"/>
            </w:tcBorders>
          </w:tcPr>
          <w:p w14:paraId="62E2551E" w14:textId="77777777" w:rsidR="007261F7" w:rsidRPr="00883399" w:rsidRDefault="007261F7">
            <w:pPr>
              <w:pStyle w:val="TableText"/>
              <w:rPr>
                <w:szCs w:val="22"/>
              </w:rPr>
            </w:pPr>
            <w:r w:rsidRPr="00883399">
              <w:rPr>
                <w:szCs w:val="22"/>
              </w:rPr>
              <w:t>39</w:t>
            </w:r>
          </w:p>
        </w:tc>
        <w:tc>
          <w:tcPr>
            <w:tcW w:w="5772" w:type="dxa"/>
            <w:tcBorders>
              <w:top w:val="nil"/>
              <w:left w:val="nil"/>
              <w:bottom w:val="nil"/>
              <w:right w:val="nil"/>
            </w:tcBorders>
          </w:tcPr>
          <w:p w14:paraId="1FE85709" w14:textId="77777777" w:rsidR="007261F7" w:rsidRPr="00883399" w:rsidRDefault="007261F7">
            <w:pPr>
              <w:pStyle w:val="TableText"/>
              <w:rPr>
                <w:szCs w:val="22"/>
              </w:rPr>
            </w:pPr>
            <w:r w:rsidRPr="00883399">
              <w:rPr>
                <w:szCs w:val="22"/>
              </w:rPr>
              <w:t>Heating oil</w:t>
            </w:r>
          </w:p>
        </w:tc>
        <w:tc>
          <w:tcPr>
            <w:tcW w:w="1941" w:type="dxa"/>
            <w:tcBorders>
              <w:top w:val="nil"/>
              <w:left w:val="nil"/>
              <w:bottom w:val="nil"/>
              <w:right w:val="nil"/>
            </w:tcBorders>
          </w:tcPr>
          <w:p w14:paraId="2F5FC6C4" w14:textId="77777777" w:rsidR="007261F7" w:rsidRPr="00883399" w:rsidRDefault="007261F7">
            <w:pPr>
              <w:pStyle w:val="TableText"/>
              <w:rPr>
                <w:szCs w:val="22"/>
              </w:rPr>
            </w:pPr>
            <w:r w:rsidRPr="00883399">
              <w:rPr>
                <w:szCs w:val="22"/>
              </w:rPr>
              <w:t>0.708</w:t>
            </w:r>
          </w:p>
        </w:tc>
      </w:tr>
      <w:tr w:rsidR="007261F7" w:rsidRPr="00883399" w14:paraId="104CB819" w14:textId="77777777">
        <w:trPr>
          <w:cantSplit/>
          <w:trHeight w:val="20"/>
        </w:trPr>
        <w:tc>
          <w:tcPr>
            <w:tcW w:w="588" w:type="dxa"/>
            <w:tcBorders>
              <w:top w:val="nil"/>
              <w:left w:val="nil"/>
              <w:bottom w:val="nil"/>
              <w:right w:val="nil"/>
            </w:tcBorders>
          </w:tcPr>
          <w:p w14:paraId="5F278392" w14:textId="77777777" w:rsidR="007261F7" w:rsidRPr="00883399" w:rsidRDefault="007261F7">
            <w:pPr>
              <w:pStyle w:val="TableText"/>
              <w:rPr>
                <w:szCs w:val="22"/>
              </w:rPr>
            </w:pPr>
            <w:r w:rsidRPr="00883399">
              <w:rPr>
                <w:szCs w:val="22"/>
              </w:rPr>
              <w:t>40</w:t>
            </w:r>
          </w:p>
        </w:tc>
        <w:tc>
          <w:tcPr>
            <w:tcW w:w="5772" w:type="dxa"/>
            <w:tcBorders>
              <w:top w:val="nil"/>
              <w:left w:val="nil"/>
              <w:bottom w:val="nil"/>
              <w:right w:val="nil"/>
            </w:tcBorders>
          </w:tcPr>
          <w:p w14:paraId="09EF6E48" w14:textId="77777777" w:rsidR="007261F7" w:rsidRPr="00883399" w:rsidRDefault="007261F7">
            <w:pPr>
              <w:pStyle w:val="TableText"/>
              <w:rPr>
                <w:szCs w:val="22"/>
              </w:rPr>
            </w:pPr>
            <w:r w:rsidRPr="00883399">
              <w:rPr>
                <w:szCs w:val="22"/>
              </w:rPr>
              <w:t>Diesel oil</w:t>
            </w:r>
          </w:p>
        </w:tc>
        <w:tc>
          <w:tcPr>
            <w:tcW w:w="1941" w:type="dxa"/>
            <w:tcBorders>
              <w:top w:val="nil"/>
              <w:left w:val="nil"/>
              <w:bottom w:val="nil"/>
              <w:right w:val="nil"/>
            </w:tcBorders>
          </w:tcPr>
          <w:p w14:paraId="41666565" w14:textId="77777777" w:rsidR="007261F7" w:rsidRPr="00883399" w:rsidRDefault="007261F7">
            <w:pPr>
              <w:pStyle w:val="TableText"/>
              <w:rPr>
                <w:szCs w:val="22"/>
              </w:rPr>
            </w:pPr>
            <w:r w:rsidRPr="00883399">
              <w:rPr>
                <w:szCs w:val="22"/>
              </w:rPr>
              <w:t>0.736</w:t>
            </w:r>
          </w:p>
        </w:tc>
      </w:tr>
      <w:tr w:rsidR="007261F7" w:rsidRPr="00883399" w14:paraId="245651C2" w14:textId="77777777">
        <w:trPr>
          <w:cantSplit/>
          <w:trHeight w:val="20"/>
        </w:trPr>
        <w:tc>
          <w:tcPr>
            <w:tcW w:w="588" w:type="dxa"/>
            <w:tcBorders>
              <w:top w:val="nil"/>
              <w:left w:val="nil"/>
              <w:bottom w:val="nil"/>
              <w:right w:val="nil"/>
            </w:tcBorders>
          </w:tcPr>
          <w:p w14:paraId="6A3F59D7" w14:textId="77777777" w:rsidR="007261F7" w:rsidRPr="00883399" w:rsidRDefault="007261F7">
            <w:pPr>
              <w:pStyle w:val="TableText"/>
              <w:rPr>
                <w:szCs w:val="22"/>
              </w:rPr>
            </w:pPr>
            <w:r w:rsidRPr="00883399">
              <w:rPr>
                <w:szCs w:val="22"/>
              </w:rPr>
              <w:t>41</w:t>
            </w:r>
          </w:p>
        </w:tc>
        <w:tc>
          <w:tcPr>
            <w:tcW w:w="5772" w:type="dxa"/>
            <w:tcBorders>
              <w:top w:val="nil"/>
              <w:left w:val="nil"/>
              <w:bottom w:val="nil"/>
              <w:right w:val="nil"/>
            </w:tcBorders>
          </w:tcPr>
          <w:p w14:paraId="1B66873E" w14:textId="77777777" w:rsidR="007261F7" w:rsidRPr="00883399" w:rsidRDefault="007261F7">
            <w:pPr>
              <w:pStyle w:val="TableText"/>
              <w:rPr>
                <w:szCs w:val="22"/>
              </w:rPr>
            </w:pPr>
            <w:r w:rsidRPr="00883399">
              <w:rPr>
                <w:szCs w:val="22"/>
              </w:rPr>
              <w:t>Fuel oil</w:t>
            </w:r>
          </w:p>
        </w:tc>
        <w:tc>
          <w:tcPr>
            <w:tcW w:w="1941" w:type="dxa"/>
            <w:tcBorders>
              <w:top w:val="nil"/>
              <w:left w:val="nil"/>
              <w:bottom w:val="nil"/>
              <w:right w:val="nil"/>
            </w:tcBorders>
          </w:tcPr>
          <w:p w14:paraId="475F0BD9" w14:textId="77777777" w:rsidR="007261F7" w:rsidRPr="00883399" w:rsidRDefault="007261F7">
            <w:pPr>
              <w:pStyle w:val="TableText"/>
              <w:rPr>
                <w:szCs w:val="22"/>
              </w:rPr>
            </w:pPr>
            <w:r w:rsidRPr="00883399">
              <w:rPr>
                <w:szCs w:val="22"/>
              </w:rPr>
              <w:t>0.797</w:t>
            </w:r>
          </w:p>
        </w:tc>
      </w:tr>
      <w:tr w:rsidR="007261F7" w:rsidRPr="00883399" w14:paraId="18213874" w14:textId="77777777">
        <w:trPr>
          <w:cantSplit/>
          <w:trHeight w:val="20"/>
        </w:trPr>
        <w:tc>
          <w:tcPr>
            <w:tcW w:w="588" w:type="dxa"/>
            <w:tcBorders>
              <w:top w:val="nil"/>
              <w:left w:val="nil"/>
              <w:bottom w:val="nil"/>
              <w:right w:val="nil"/>
            </w:tcBorders>
          </w:tcPr>
          <w:p w14:paraId="1E8B55B9" w14:textId="77777777" w:rsidR="007261F7" w:rsidRPr="00883399" w:rsidRDefault="007261F7">
            <w:pPr>
              <w:pStyle w:val="TableText"/>
              <w:rPr>
                <w:szCs w:val="22"/>
              </w:rPr>
            </w:pPr>
            <w:r w:rsidRPr="00883399">
              <w:rPr>
                <w:szCs w:val="22"/>
              </w:rPr>
              <w:t>42</w:t>
            </w:r>
          </w:p>
        </w:tc>
        <w:tc>
          <w:tcPr>
            <w:tcW w:w="5772" w:type="dxa"/>
            <w:tcBorders>
              <w:top w:val="nil"/>
              <w:left w:val="nil"/>
              <w:bottom w:val="nil"/>
              <w:right w:val="nil"/>
            </w:tcBorders>
          </w:tcPr>
          <w:p w14:paraId="6264504E" w14:textId="77777777" w:rsidR="007261F7" w:rsidRPr="00883399" w:rsidRDefault="007261F7">
            <w:pPr>
              <w:pStyle w:val="TableText"/>
              <w:rPr>
                <w:szCs w:val="22"/>
              </w:rPr>
            </w:pPr>
            <w:r w:rsidRPr="00883399">
              <w:rPr>
                <w:szCs w:val="22"/>
              </w:rPr>
              <w:t xml:space="preserve">Liquefied aromatic hydrocarbons </w:t>
            </w:r>
          </w:p>
        </w:tc>
        <w:tc>
          <w:tcPr>
            <w:tcW w:w="1941" w:type="dxa"/>
            <w:tcBorders>
              <w:top w:val="nil"/>
              <w:left w:val="nil"/>
              <w:bottom w:val="nil"/>
              <w:right w:val="nil"/>
            </w:tcBorders>
          </w:tcPr>
          <w:p w14:paraId="3D699FB8" w14:textId="77777777" w:rsidR="007261F7" w:rsidRPr="00883399" w:rsidRDefault="007261F7">
            <w:pPr>
              <w:pStyle w:val="TableText"/>
              <w:rPr>
                <w:szCs w:val="22"/>
              </w:rPr>
            </w:pPr>
            <w:r w:rsidRPr="00883399">
              <w:rPr>
                <w:szCs w:val="22"/>
              </w:rPr>
              <w:t>0.654</w:t>
            </w:r>
          </w:p>
        </w:tc>
      </w:tr>
      <w:tr w:rsidR="007261F7" w:rsidRPr="00883399" w14:paraId="6A7E13BD" w14:textId="77777777">
        <w:trPr>
          <w:cantSplit/>
          <w:trHeight w:val="20"/>
        </w:trPr>
        <w:tc>
          <w:tcPr>
            <w:tcW w:w="588" w:type="dxa"/>
            <w:tcBorders>
              <w:top w:val="nil"/>
              <w:left w:val="nil"/>
              <w:bottom w:val="nil"/>
              <w:right w:val="nil"/>
            </w:tcBorders>
          </w:tcPr>
          <w:p w14:paraId="4D7F6F1D" w14:textId="77777777" w:rsidR="007261F7" w:rsidRPr="00883399" w:rsidRDefault="007261F7">
            <w:pPr>
              <w:pStyle w:val="TableText"/>
              <w:rPr>
                <w:szCs w:val="22"/>
              </w:rPr>
            </w:pPr>
            <w:r w:rsidRPr="00883399">
              <w:rPr>
                <w:szCs w:val="22"/>
              </w:rPr>
              <w:t>43</w:t>
            </w:r>
          </w:p>
        </w:tc>
        <w:tc>
          <w:tcPr>
            <w:tcW w:w="5772" w:type="dxa"/>
            <w:tcBorders>
              <w:top w:val="nil"/>
              <w:left w:val="nil"/>
              <w:bottom w:val="nil"/>
              <w:right w:val="nil"/>
            </w:tcBorders>
          </w:tcPr>
          <w:p w14:paraId="2CD6957C" w14:textId="77777777" w:rsidR="007261F7" w:rsidRPr="00883399" w:rsidRDefault="007261F7">
            <w:pPr>
              <w:pStyle w:val="TableText"/>
              <w:rPr>
                <w:szCs w:val="22"/>
              </w:rPr>
            </w:pPr>
            <w:r w:rsidRPr="00883399">
              <w:rPr>
                <w:szCs w:val="22"/>
              </w:rPr>
              <w:t xml:space="preserve">Solvents </w:t>
            </w:r>
            <w:r w:rsidRPr="00883399">
              <w:rPr>
                <w:snapToGrid w:val="0"/>
                <w:szCs w:val="22"/>
              </w:rPr>
              <w:t>if mineral turpentine or white spirits</w:t>
            </w:r>
          </w:p>
        </w:tc>
        <w:tc>
          <w:tcPr>
            <w:tcW w:w="1941" w:type="dxa"/>
            <w:tcBorders>
              <w:top w:val="nil"/>
              <w:left w:val="nil"/>
              <w:bottom w:val="nil"/>
              <w:right w:val="nil"/>
            </w:tcBorders>
          </w:tcPr>
          <w:p w14:paraId="3F3189BE" w14:textId="77777777" w:rsidR="007261F7" w:rsidRPr="00883399" w:rsidRDefault="007261F7">
            <w:pPr>
              <w:pStyle w:val="TableText"/>
              <w:rPr>
                <w:szCs w:val="22"/>
              </w:rPr>
            </w:pPr>
            <w:r w:rsidRPr="00883399">
              <w:rPr>
                <w:szCs w:val="22"/>
              </w:rPr>
              <w:t>0.654</w:t>
            </w:r>
          </w:p>
        </w:tc>
      </w:tr>
      <w:tr w:rsidR="007261F7" w:rsidRPr="00883399" w14:paraId="027186D6" w14:textId="77777777">
        <w:trPr>
          <w:cantSplit/>
          <w:trHeight w:val="20"/>
        </w:trPr>
        <w:tc>
          <w:tcPr>
            <w:tcW w:w="588" w:type="dxa"/>
            <w:tcBorders>
              <w:top w:val="nil"/>
              <w:left w:val="nil"/>
              <w:bottom w:val="nil"/>
              <w:right w:val="nil"/>
            </w:tcBorders>
          </w:tcPr>
          <w:p w14:paraId="01C83213" w14:textId="77777777" w:rsidR="007261F7" w:rsidRPr="00883399" w:rsidRDefault="007261F7">
            <w:pPr>
              <w:pStyle w:val="TableText"/>
              <w:rPr>
                <w:szCs w:val="22"/>
              </w:rPr>
            </w:pPr>
            <w:r w:rsidRPr="00883399">
              <w:rPr>
                <w:szCs w:val="22"/>
              </w:rPr>
              <w:t>44</w:t>
            </w:r>
          </w:p>
        </w:tc>
        <w:tc>
          <w:tcPr>
            <w:tcW w:w="5772" w:type="dxa"/>
            <w:tcBorders>
              <w:top w:val="nil"/>
              <w:left w:val="nil"/>
              <w:bottom w:val="nil"/>
              <w:right w:val="nil"/>
            </w:tcBorders>
          </w:tcPr>
          <w:p w14:paraId="7835B267" w14:textId="77777777" w:rsidR="007261F7" w:rsidRPr="00883399" w:rsidRDefault="007261F7">
            <w:pPr>
              <w:pStyle w:val="TableText"/>
              <w:rPr>
                <w:szCs w:val="22"/>
              </w:rPr>
            </w:pPr>
            <w:r w:rsidRPr="00883399">
              <w:rPr>
                <w:szCs w:val="22"/>
              </w:rPr>
              <w:t>Liquefied petroleum gas</w:t>
            </w:r>
          </w:p>
        </w:tc>
        <w:tc>
          <w:tcPr>
            <w:tcW w:w="1941" w:type="dxa"/>
            <w:tcBorders>
              <w:top w:val="nil"/>
              <w:left w:val="nil"/>
              <w:bottom w:val="nil"/>
              <w:right w:val="nil"/>
            </w:tcBorders>
          </w:tcPr>
          <w:p w14:paraId="3F0A1FC4" w14:textId="77777777" w:rsidR="007261F7" w:rsidRPr="00883399" w:rsidRDefault="007261F7">
            <w:pPr>
              <w:pStyle w:val="TableText"/>
              <w:rPr>
                <w:szCs w:val="22"/>
              </w:rPr>
            </w:pPr>
            <w:r w:rsidRPr="00883399">
              <w:rPr>
                <w:szCs w:val="22"/>
              </w:rPr>
              <w:t>0.422</w:t>
            </w:r>
          </w:p>
        </w:tc>
      </w:tr>
      <w:tr w:rsidR="007261F7" w:rsidRPr="00883399" w14:paraId="14AE9E1D" w14:textId="77777777">
        <w:trPr>
          <w:cantSplit/>
          <w:trHeight w:val="20"/>
        </w:trPr>
        <w:tc>
          <w:tcPr>
            <w:tcW w:w="588" w:type="dxa"/>
            <w:tcBorders>
              <w:top w:val="nil"/>
              <w:left w:val="nil"/>
              <w:bottom w:val="nil"/>
              <w:right w:val="nil"/>
            </w:tcBorders>
          </w:tcPr>
          <w:p w14:paraId="584E710B" w14:textId="77777777" w:rsidR="007261F7" w:rsidRPr="00883399" w:rsidRDefault="007261F7">
            <w:pPr>
              <w:pStyle w:val="TableText"/>
              <w:rPr>
                <w:szCs w:val="22"/>
              </w:rPr>
            </w:pPr>
            <w:r w:rsidRPr="00883399">
              <w:rPr>
                <w:szCs w:val="22"/>
              </w:rPr>
              <w:t>45</w:t>
            </w:r>
          </w:p>
        </w:tc>
        <w:tc>
          <w:tcPr>
            <w:tcW w:w="5772" w:type="dxa"/>
            <w:tcBorders>
              <w:top w:val="nil"/>
              <w:left w:val="nil"/>
              <w:bottom w:val="nil"/>
              <w:right w:val="nil"/>
            </w:tcBorders>
          </w:tcPr>
          <w:p w14:paraId="5453A0C4" w14:textId="77777777" w:rsidR="007261F7" w:rsidRPr="00883399" w:rsidRDefault="007261F7">
            <w:pPr>
              <w:pStyle w:val="TableText"/>
              <w:rPr>
                <w:szCs w:val="22"/>
              </w:rPr>
            </w:pPr>
            <w:r w:rsidRPr="00883399">
              <w:rPr>
                <w:szCs w:val="22"/>
              </w:rPr>
              <w:t>Naphtha</w:t>
            </w:r>
          </w:p>
        </w:tc>
        <w:tc>
          <w:tcPr>
            <w:tcW w:w="1941" w:type="dxa"/>
            <w:tcBorders>
              <w:top w:val="nil"/>
              <w:left w:val="nil"/>
              <w:bottom w:val="nil"/>
              <w:right w:val="nil"/>
            </w:tcBorders>
          </w:tcPr>
          <w:p w14:paraId="274B7405" w14:textId="77777777" w:rsidR="007261F7" w:rsidRPr="00883399" w:rsidRDefault="007261F7">
            <w:pPr>
              <w:pStyle w:val="TableText"/>
              <w:rPr>
                <w:szCs w:val="22"/>
              </w:rPr>
            </w:pPr>
            <w:r w:rsidRPr="00883399">
              <w:rPr>
                <w:szCs w:val="22"/>
              </w:rPr>
              <w:t>0.597</w:t>
            </w:r>
          </w:p>
        </w:tc>
      </w:tr>
      <w:tr w:rsidR="007261F7" w:rsidRPr="00883399" w14:paraId="33C98E82" w14:textId="77777777">
        <w:trPr>
          <w:cantSplit/>
          <w:trHeight w:val="20"/>
        </w:trPr>
        <w:tc>
          <w:tcPr>
            <w:tcW w:w="588" w:type="dxa"/>
            <w:tcBorders>
              <w:top w:val="nil"/>
              <w:left w:val="nil"/>
              <w:bottom w:val="nil"/>
              <w:right w:val="nil"/>
            </w:tcBorders>
          </w:tcPr>
          <w:p w14:paraId="09F47E27" w14:textId="77777777" w:rsidR="007261F7" w:rsidRPr="00883399" w:rsidRDefault="007261F7">
            <w:pPr>
              <w:pStyle w:val="TableText"/>
              <w:rPr>
                <w:szCs w:val="22"/>
              </w:rPr>
            </w:pPr>
            <w:r w:rsidRPr="00883399">
              <w:rPr>
                <w:szCs w:val="22"/>
              </w:rPr>
              <w:t>46</w:t>
            </w:r>
          </w:p>
        </w:tc>
        <w:tc>
          <w:tcPr>
            <w:tcW w:w="5772" w:type="dxa"/>
            <w:tcBorders>
              <w:top w:val="nil"/>
              <w:left w:val="nil"/>
              <w:bottom w:val="nil"/>
              <w:right w:val="nil"/>
            </w:tcBorders>
          </w:tcPr>
          <w:p w14:paraId="039859D1" w14:textId="77777777" w:rsidR="007261F7" w:rsidRPr="00883399" w:rsidRDefault="007261F7">
            <w:pPr>
              <w:pStyle w:val="TableText"/>
              <w:rPr>
                <w:szCs w:val="22"/>
              </w:rPr>
            </w:pPr>
            <w:r w:rsidRPr="00883399">
              <w:rPr>
                <w:szCs w:val="22"/>
              </w:rPr>
              <w:t>Petroleum coke</w:t>
            </w:r>
          </w:p>
        </w:tc>
        <w:tc>
          <w:tcPr>
            <w:tcW w:w="1941" w:type="dxa"/>
            <w:tcBorders>
              <w:top w:val="nil"/>
              <w:left w:val="nil"/>
              <w:bottom w:val="nil"/>
              <w:right w:val="nil"/>
            </w:tcBorders>
          </w:tcPr>
          <w:p w14:paraId="06BA4A85" w14:textId="77777777" w:rsidR="007261F7" w:rsidRPr="00883399" w:rsidRDefault="007261F7">
            <w:pPr>
              <w:pStyle w:val="TableText"/>
              <w:rPr>
                <w:szCs w:val="22"/>
              </w:rPr>
            </w:pPr>
            <w:r w:rsidRPr="00883399">
              <w:rPr>
                <w:szCs w:val="22"/>
              </w:rPr>
              <w:t>0.856 tC/t fuel</w:t>
            </w:r>
          </w:p>
        </w:tc>
      </w:tr>
      <w:tr w:rsidR="007261F7" w:rsidRPr="00883399" w14:paraId="1697E233" w14:textId="77777777">
        <w:trPr>
          <w:cantSplit/>
          <w:trHeight w:val="20"/>
        </w:trPr>
        <w:tc>
          <w:tcPr>
            <w:tcW w:w="588" w:type="dxa"/>
            <w:tcBorders>
              <w:top w:val="nil"/>
              <w:left w:val="nil"/>
              <w:bottom w:val="nil"/>
              <w:right w:val="nil"/>
            </w:tcBorders>
          </w:tcPr>
          <w:p w14:paraId="566CE1EC" w14:textId="77777777" w:rsidR="007261F7" w:rsidRPr="00883399" w:rsidRDefault="007261F7">
            <w:pPr>
              <w:pStyle w:val="TableText"/>
              <w:rPr>
                <w:szCs w:val="22"/>
              </w:rPr>
            </w:pPr>
            <w:r w:rsidRPr="00883399">
              <w:rPr>
                <w:szCs w:val="22"/>
              </w:rPr>
              <w:t>47</w:t>
            </w:r>
          </w:p>
        </w:tc>
        <w:tc>
          <w:tcPr>
            <w:tcW w:w="5772" w:type="dxa"/>
            <w:tcBorders>
              <w:top w:val="nil"/>
              <w:left w:val="nil"/>
              <w:bottom w:val="nil"/>
              <w:right w:val="nil"/>
            </w:tcBorders>
          </w:tcPr>
          <w:p w14:paraId="2A240CA1" w14:textId="77777777" w:rsidR="007261F7" w:rsidRPr="00883399" w:rsidRDefault="007261F7">
            <w:pPr>
              <w:pStyle w:val="TableText"/>
              <w:rPr>
                <w:szCs w:val="22"/>
              </w:rPr>
            </w:pPr>
            <w:r w:rsidRPr="00883399">
              <w:rPr>
                <w:szCs w:val="22"/>
              </w:rPr>
              <w:t>Refinery gas and liquids</w:t>
            </w:r>
          </w:p>
        </w:tc>
        <w:tc>
          <w:tcPr>
            <w:tcW w:w="1941" w:type="dxa"/>
            <w:tcBorders>
              <w:top w:val="nil"/>
              <w:left w:val="nil"/>
              <w:bottom w:val="nil"/>
              <w:right w:val="nil"/>
            </w:tcBorders>
          </w:tcPr>
          <w:p w14:paraId="44053390" w14:textId="77777777" w:rsidR="007261F7" w:rsidRPr="00883399" w:rsidRDefault="007261F7">
            <w:pPr>
              <w:pStyle w:val="TableText"/>
              <w:rPr>
                <w:szCs w:val="22"/>
              </w:rPr>
            </w:pPr>
            <w:r w:rsidRPr="00883399">
              <w:rPr>
                <w:szCs w:val="22"/>
              </w:rPr>
              <w:t>0.641 tC/t fuel</w:t>
            </w:r>
          </w:p>
        </w:tc>
      </w:tr>
      <w:tr w:rsidR="007261F7" w:rsidRPr="00883399" w14:paraId="09714C43" w14:textId="77777777">
        <w:trPr>
          <w:cantSplit/>
          <w:trHeight w:val="20"/>
        </w:trPr>
        <w:tc>
          <w:tcPr>
            <w:tcW w:w="588" w:type="dxa"/>
            <w:tcBorders>
              <w:top w:val="nil"/>
              <w:left w:val="nil"/>
              <w:bottom w:val="nil"/>
              <w:right w:val="nil"/>
            </w:tcBorders>
          </w:tcPr>
          <w:p w14:paraId="5BCD6B8F" w14:textId="77777777" w:rsidR="007261F7" w:rsidRPr="00883399" w:rsidRDefault="007261F7">
            <w:pPr>
              <w:pStyle w:val="TableText"/>
              <w:rPr>
                <w:szCs w:val="22"/>
              </w:rPr>
            </w:pPr>
            <w:r w:rsidRPr="00883399">
              <w:rPr>
                <w:szCs w:val="22"/>
              </w:rPr>
              <w:t>48</w:t>
            </w:r>
          </w:p>
        </w:tc>
        <w:tc>
          <w:tcPr>
            <w:tcW w:w="5772" w:type="dxa"/>
            <w:tcBorders>
              <w:top w:val="nil"/>
              <w:left w:val="nil"/>
              <w:bottom w:val="nil"/>
              <w:right w:val="nil"/>
            </w:tcBorders>
          </w:tcPr>
          <w:p w14:paraId="72A42D28" w14:textId="77777777" w:rsidR="007261F7" w:rsidRPr="00883399" w:rsidRDefault="007261F7">
            <w:pPr>
              <w:pStyle w:val="TableText"/>
              <w:rPr>
                <w:szCs w:val="22"/>
              </w:rPr>
            </w:pPr>
            <w:r w:rsidRPr="00883399">
              <w:rPr>
                <w:szCs w:val="22"/>
              </w:rPr>
              <w:t>Refinery coke</w:t>
            </w:r>
          </w:p>
        </w:tc>
        <w:tc>
          <w:tcPr>
            <w:tcW w:w="1941" w:type="dxa"/>
            <w:tcBorders>
              <w:top w:val="nil"/>
              <w:left w:val="nil"/>
              <w:bottom w:val="nil"/>
              <w:right w:val="nil"/>
            </w:tcBorders>
          </w:tcPr>
          <w:p w14:paraId="1F653A10" w14:textId="77777777" w:rsidR="007261F7" w:rsidRPr="00883399" w:rsidRDefault="007261F7">
            <w:pPr>
              <w:pStyle w:val="TableText"/>
              <w:rPr>
                <w:szCs w:val="22"/>
              </w:rPr>
            </w:pPr>
            <w:r w:rsidRPr="00883399">
              <w:rPr>
                <w:szCs w:val="22"/>
              </w:rPr>
              <w:t>0.856 tC/t fuel</w:t>
            </w:r>
          </w:p>
        </w:tc>
      </w:tr>
      <w:tr w:rsidR="007261F7" w:rsidRPr="00883399" w14:paraId="40D59678" w14:textId="77777777">
        <w:trPr>
          <w:cantSplit/>
          <w:trHeight w:val="20"/>
        </w:trPr>
        <w:tc>
          <w:tcPr>
            <w:tcW w:w="588" w:type="dxa"/>
            <w:tcBorders>
              <w:top w:val="nil"/>
              <w:left w:val="nil"/>
              <w:bottom w:val="nil"/>
              <w:right w:val="nil"/>
            </w:tcBorders>
          </w:tcPr>
          <w:p w14:paraId="5A874EA6" w14:textId="77777777" w:rsidR="007261F7" w:rsidRPr="00883399" w:rsidRDefault="007261F7">
            <w:pPr>
              <w:pStyle w:val="TableText"/>
              <w:rPr>
                <w:szCs w:val="22"/>
              </w:rPr>
            </w:pPr>
            <w:r w:rsidRPr="00883399">
              <w:rPr>
                <w:szCs w:val="22"/>
              </w:rPr>
              <w:t>49</w:t>
            </w:r>
          </w:p>
        </w:tc>
        <w:tc>
          <w:tcPr>
            <w:tcW w:w="5772" w:type="dxa"/>
            <w:tcBorders>
              <w:top w:val="nil"/>
              <w:left w:val="nil"/>
              <w:bottom w:val="nil"/>
              <w:right w:val="nil"/>
            </w:tcBorders>
          </w:tcPr>
          <w:p w14:paraId="13E12BDF" w14:textId="77777777" w:rsidR="007261F7" w:rsidRPr="00883399" w:rsidRDefault="007261F7">
            <w:pPr>
              <w:pStyle w:val="TableText"/>
              <w:rPr>
                <w:szCs w:val="22"/>
              </w:rPr>
            </w:pPr>
            <w:r w:rsidRPr="00883399">
              <w:rPr>
                <w:snapToGrid w:val="0"/>
                <w:szCs w:val="22"/>
              </w:rPr>
              <w:t>Bitumen</w:t>
            </w:r>
          </w:p>
        </w:tc>
        <w:tc>
          <w:tcPr>
            <w:tcW w:w="1941" w:type="dxa"/>
            <w:tcBorders>
              <w:top w:val="nil"/>
              <w:left w:val="nil"/>
              <w:bottom w:val="nil"/>
              <w:right w:val="nil"/>
            </w:tcBorders>
          </w:tcPr>
          <w:p w14:paraId="405CBD43" w14:textId="77777777" w:rsidR="007261F7" w:rsidRPr="00883399" w:rsidRDefault="007261F7">
            <w:pPr>
              <w:pStyle w:val="TableText"/>
              <w:rPr>
                <w:szCs w:val="22"/>
              </w:rPr>
            </w:pPr>
            <w:r w:rsidRPr="00883399">
              <w:rPr>
                <w:szCs w:val="22"/>
              </w:rPr>
              <w:t>0.951 tC/t fuel</w:t>
            </w:r>
          </w:p>
        </w:tc>
      </w:tr>
      <w:tr w:rsidR="007261F7" w:rsidRPr="00883399" w14:paraId="3D226502" w14:textId="77777777">
        <w:trPr>
          <w:cantSplit/>
          <w:trHeight w:val="20"/>
        </w:trPr>
        <w:tc>
          <w:tcPr>
            <w:tcW w:w="588" w:type="dxa"/>
            <w:tcBorders>
              <w:top w:val="nil"/>
              <w:left w:val="nil"/>
              <w:bottom w:val="nil"/>
              <w:right w:val="nil"/>
            </w:tcBorders>
          </w:tcPr>
          <w:p w14:paraId="5CFA5F58" w14:textId="77777777" w:rsidR="007261F7" w:rsidRPr="00883399" w:rsidRDefault="007261F7">
            <w:pPr>
              <w:pStyle w:val="TableText"/>
              <w:rPr>
                <w:szCs w:val="22"/>
              </w:rPr>
            </w:pPr>
            <w:r w:rsidRPr="00883399">
              <w:rPr>
                <w:szCs w:val="22"/>
              </w:rPr>
              <w:t>50</w:t>
            </w:r>
          </w:p>
        </w:tc>
        <w:tc>
          <w:tcPr>
            <w:tcW w:w="5772" w:type="dxa"/>
            <w:tcBorders>
              <w:top w:val="nil"/>
              <w:left w:val="nil"/>
              <w:bottom w:val="nil"/>
              <w:right w:val="nil"/>
            </w:tcBorders>
          </w:tcPr>
          <w:p w14:paraId="0C28A670" w14:textId="77777777" w:rsidR="007261F7" w:rsidRPr="00883399" w:rsidRDefault="007261F7">
            <w:pPr>
              <w:pStyle w:val="TableText"/>
              <w:rPr>
                <w:szCs w:val="22"/>
              </w:rPr>
            </w:pPr>
            <w:r w:rsidRPr="00883399">
              <w:rPr>
                <w:snapToGrid w:val="0"/>
                <w:szCs w:val="22"/>
              </w:rPr>
              <w:t>Waxes</w:t>
            </w:r>
          </w:p>
        </w:tc>
        <w:tc>
          <w:tcPr>
            <w:tcW w:w="1941" w:type="dxa"/>
            <w:tcBorders>
              <w:top w:val="nil"/>
              <w:left w:val="nil"/>
              <w:bottom w:val="nil"/>
              <w:right w:val="nil"/>
            </w:tcBorders>
          </w:tcPr>
          <w:p w14:paraId="0E85C6A5" w14:textId="77777777" w:rsidR="007261F7" w:rsidRPr="00883399" w:rsidRDefault="007261F7">
            <w:pPr>
              <w:pStyle w:val="TableText"/>
              <w:rPr>
                <w:szCs w:val="22"/>
              </w:rPr>
            </w:pPr>
            <w:r w:rsidRPr="00883399">
              <w:rPr>
                <w:szCs w:val="22"/>
              </w:rPr>
              <w:t>0.871 tC/t fuel</w:t>
            </w:r>
          </w:p>
        </w:tc>
      </w:tr>
      <w:tr w:rsidR="007261F7" w:rsidRPr="00883399" w14:paraId="5EB849AB" w14:textId="77777777">
        <w:trPr>
          <w:cantSplit/>
          <w:trHeight w:val="20"/>
        </w:trPr>
        <w:tc>
          <w:tcPr>
            <w:tcW w:w="588" w:type="dxa"/>
            <w:tcBorders>
              <w:top w:val="nil"/>
              <w:left w:val="nil"/>
              <w:bottom w:val="nil"/>
              <w:right w:val="nil"/>
            </w:tcBorders>
          </w:tcPr>
          <w:p w14:paraId="6B89D8FD" w14:textId="77777777" w:rsidR="007261F7" w:rsidRPr="00883399" w:rsidRDefault="007261F7">
            <w:pPr>
              <w:pStyle w:val="TableText"/>
              <w:rPr>
                <w:szCs w:val="22"/>
              </w:rPr>
            </w:pPr>
            <w:r w:rsidRPr="00883399">
              <w:rPr>
                <w:szCs w:val="22"/>
              </w:rPr>
              <w:t>51</w:t>
            </w:r>
          </w:p>
        </w:tc>
        <w:tc>
          <w:tcPr>
            <w:tcW w:w="5772" w:type="dxa"/>
            <w:tcBorders>
              <w:top w:val="nil"/>
              <w:left w:val="nil"/>
              <w:bottom w:val="nil"/>
              <w:right w:val="nil"/>
            </w:tcBorders>
          </w:tcPr>
          <w:p w14:paraId="225644E4" w14:textId="77777777" w:rsidR="007261F7" w:rsidRPr="00883399" w:rsidRDefault="007261F7">
            <w:pPr>
              <w:pStyle w:val="TableText"/>
              <w:rPr>
                <w:snapToGrid w:val="0"/>
                <w:szCs w:val="22"/>
              </w:rPr>
            </w:pPr>
            <w:r w:rsidRPr="00883399">
              <w:rPr>
                <w:snapToGrid w:val="0"/>
                <w:szCs w:val="22"/>
              </w:rPr>
              <w:t>Petroleum based products other than:</w:t>
            </w:r>
          </w:p>
          <w:p w14:paraId="629DB6B8" w14:textId="77777777" w:rsidR="007261F7" w:rsidRPr="00883399" w:rsidRDefault="007261F7">
            <w:pPr>
              <w:pStyle w:val="TableP1a"/>
              <w:rPr>
                <w:snapToGrid w:val="0"/>
              </w:rPr>
            </w:pPr>
            <w:r w:rsidRPr="00883399">
              <w:rPr>
                <w:snapToGrid w:val="0"/>
              </w:rPr>
              <w:tab/>
              <w:t>(a)</w:t>
            </w:r>
            <w:r w:rsidRPr="00883399">
              <w:rPr>
                <w:snapToGrid w:val="0"/>
              </w:rPr>
              <w:tab/>
              <w:t>petroleum based oils and petroleum based greases mentioned in items 31 and 32; and</w:t>
            </w:r>
          </w:p>
          <w:p w14:paraId="57778D28" w14:textId="77777777" w:rsidR="007261F7" w:rsidRPr="00883399" w:rsidRDefault="007261F7">
            <w:pPr>
              <w:pStyle w:val="TableP1a"/>
              <w:rPr>
                <w:snapToGrid w:val="0"/>
              </w:rPr>
            </w:pPr>
            <w:r w:rsidRPr="00883399">
              <w:rPr>
                <w:snapToGrid w:val="0"/>
              </w:rPr>
              <w:tab/>
              <w:t>(b)</w:t>
            </w:r>
            <w:r w:rsidRPr="00883399">
              <w:rPr>
                <w:snapToGrid w:val="0"/>
              </w:rPr>
              <w:tab/>
              <w:t>the petroleum based products mentioned in items 33 to 50</w:t>
            </w:r>
          </w:p>
        </w:tc>
        <w:tc>
          <w:tcPr>
            <w:tcW w:w="1941" w:type="dxa"/>
            <w:tcBorders>
              <w:top w:val="nil"/>
              <w:left w:val="nil"/>
              <w:bottom w:val="nil"/>
              <w:right w:val="nil"/>
            </w:tcBorders>
          </w:tcPr>
          <w:p w14:paraId="206F08FB" w14:textId="77777777" w:rsidR="007261F7" w:rsidRPr="00883399" w:rsidRDefault="007261F7">
            <w:pPr>
              <w:pStyle w:val="TableText"/>
              <w:rPr>
                <w:szCs w:val="22"/>
              </w:rPr>
            </w:pPr>
            <w:r w:rsidRPr="00883399">
              <w:rPr>
                <w:szCs w:val="22"/>
              </w:rPr>
              <w:t>0.654</w:t>
            </w:r>
          </w:p>
        </w:tc>
      </w:tr>
      <w:tr w:rsidR="007261F7" w:rsidRPr="00883399" w14:paraId="11D4B3C0" w14:textId="77777777">
        <w:trPr>
          <w:cantSplit/>
          <w:trHeight w:val="20"/>
        </w:trPr>
        <w:tc>
          <w:tcPr>
            <w:tcW w:w="8301" w:type="dxa"/>
            <w:gridSpan w:val="3"/>
            <w:tcBorders>
              <w:top w:val="nil"/>
              <w:left w:val="nil"/>
              <w:bottom w:val="nil"/>
              <w:right w:val="nil"/>
            </w:tcBorders>
          </w:tcPr>
          <w:p w14:paraId="5EEEFFB5" w14:textId="77777777" w:rsidR="007261F7" w:rsidRPr="00883399" w:rsidRDefault="007261F7">
            <w:pPr>
              <w:pStyle w:val="TableText"/>
              <w:rPr>
                <w:i/>
                <w:szCs w:val="22"/>
              </w:rPr>
            </w:pPr>
            <w:r w:rsidRPr="00883399">
              <w:rPr>
                <w:i/>
                <w:snapToGrid w:val="0"/>
                <w:szCs w:val="22"/>
              </w:rPr>
              <w:t xml:space="preserve">Biofuels </w:t>
            </w:r>
          </w:p>
        </w:tc>
      </w:tr>
      <w:tr w:rsidR="007261F7" w:rsidRPr="00883399" w14:paraId="590D43CF" w14:textId="77777777">
        <w:trPr>
          <w:cantSplit/>
          <w:trHeight w:val="20"/>
        </w:trPr>
        <w:tc>
          <w:tcPr>
            <w:tcW w:w="588" w:type="dxa"/>
            <w:tcBorders>
              <w:top w:val="nil"/>
              <w:left w:val="nil"/>
              <w:bottom w:val="nil"/>
              <w:right w:val="nil"/>
            </w:tcBorders>
          </w:tcPr>
          <w:p w14:paraId="28007CEE" w14:textId="77777777" w:rsidR="007261F7" w:rsidRPr="00883399" w:rsidRDefault="007261F7">
            <w:pPr>
              <w:pStyle w:val="TableText"/>
              <w:rPr>
                <w:szCs w:val="22"/>
              </w:rPr>
            </w:pPr>
            <w:r w:rsidRPr="00883399">
              <w:rPr>
                <w:szCs w:val="22"/>
              </w:rPr>
              <w:t>52</w:t>
            </w:r>
          </w:p>
        </w:tc>
        <w:tc>
          <w:tcPr>
            <w:tcW w:w="5772" w:type="dxa"/>
            <w:tcBorders>
              <w:top w:val="nil"/>
              <w:left w:val="nil"/>
              <w:bottom w:val="nil"/>
              <w:right w:val="nil"/>
            </w:tcBorders>
          </w:tcPr>
          <w:p w14:paraId="35C5886F" w14:textId="77777777" w:rsidR="007261F7" w:rsidRPr="00883399" w:rsidRDefault="007261F7">
            <w:pPr>
              <w:pStyle w:val="TableText"/>
              <w:rPr>
                <w:szCs w:val="22"/>
              </w:rPr>
            </w:pPr>
            <w:r w:rsidRPr="00883399">
              <w:rPr>
                <w:szCs w:val="22"/>
              </w:rPr>
              <w:t>Biodiesel</w:t>
            </w:r>
          </w:p>
        </w:tc>
        <w:tc>
          <w:tcPr>
            <w:tcW w:w="1941" w:type="dxa"/>
            <w:tcBorders>
              <w:top w:val="nil"/>
              <w:left w:val="nil"/>
              <w:bottom w:val="nil"/>
              <w:right w:val="nil"/>
            </w:tcBorders>
          </w:tcPr>
          <w:p w14:paraId="760FD939" w14:textId="77777777" w:rsidR="007261F7" w:rsidRPr="00883399" w:rsidRDefault="007261F7">
            <w:pPr>
              <w:pStyle w:val="TableText"/>
              <w:rPr>
                <w:szCs w:val="22"/>
              </w:rPr>
            </w:pPr>
            <w:r w:rsidRPr="00883399">
              <w:rPr>
                <w:szCs w:val="22"/>
              </w:rPr>
              <w:t>0</w:t>
            </w:r>
          </w:p>
        </w:tc>
      </w:tr>
      <w:tr w:rsidR="007261F7" w:rsidRPr="00883399" w14:paraId="49E09F4A" w14:textId="77777777">
        <w:trPr>
          <w:cantSplit/>
          <w:trHeight w:val="20"/>
        </w:trPr>
        <w:tc>
          <w:tcPr>
            <w:tcW w:w="588" w:type="dxa"/>
            <w:tcBorders>
              <w:top w:val="nil"/>
              <w:left w:val="nil"/>
              <w:bottom w:val="nil"/>
              <w:right w:val="nil"/>
            </w:tcBorders>
          </w:tcPr>
          <w:p w14:paraId="6CEF4FD0" w14:textId="77777777" w:rsidR="007261F7" w:rsidRPr="00883399" w:rsidRDefault="007261F7">
            <w:pPr>
              <w:pStyle w:val="TableText"/>
              <w:rPr>
                <w:szCs w:val="22"/>
              </w:rPr>
            </w:pPr>
            <w:r w:rsidRPr="00883399">
              <w:rPr>
                <w:szCs w:val="22"/>
              </w:rPr>
              <w:t>53</w:t>
            </w:r>
          </w:p>
        </w:tc>
        <w:tc>
          <w:tcPr>
            <w:tcW w:w="5772" w:type="dxa"/>
            <w:tcBorders>
              <w:top w:val="nil"/>
              <w:left w:val="nil"/>
              <w:bottom w:val="nil"/>
              <w:right w:val="nil"/>
            </w:tcBorders>
          </w:tcPr>
          <w:p w14:paraId="33D5C2D1" w14:textId="77777777" w:rsidR="007261F7" w:rsidRPr="00883399" w:rsidRDefault="007261F7">
            <w:pPr>
              <w:pStyle w:val="TableText"/>
              <w:rPr>
                <w:szCs w:val="22"/>
              </w:rPr>
            </w:pPr>
            <w:r w:rsidRPr="00883399">
              <w:rPr>
                <w:szCs w:val="22"/>
              </w:rPr>
              <w:t xml:space="preserve">Ethanol </w:t>
            </w:r>
            <w:r w:rsidRPr="00883399">
              <w:t>for use as a fuel in an internal combustion engine</w:t>
            </w:r>
          </w:p>
        </w:tc>
        <w:tc>
          <w:tcPr>
            <w:tcW w:w="1941" w:type="dxa"/>
            <w:tcBorders>
              <w:top w:val="nil"/>
              <w:left w:val="nil"/>
              <w:bottom w:val="nil"/>
              <w:right w:val="nil"/>
            </w:tcBorders>
          </w:tcPr>
          <w:p w14:paraId="2A9FA744" w14:textId="77777777" w:rsidR="007261F7" w:rsidRPr="00883399" w:rsidRDefault="007261F7">
            <w:pPr>
              <w:pStyle w:val="TableText"/>
              <w:rPr>
                <w:szCs w:val="22"/>
              </w:rPr>
            </w:pPr>
            <w:r w:rsidRPr="00883399">
              <w:rPr>
                <w:szCs w:val="22"/>
              </w:rPr>
              <w:t>0</w:t>
            </w:r>
          </w:p>
        </w:tc>
      </w:tr>
      <w:tr w:rsidR="007261F7" w:rsidRPr="00883399" w14:paraId="281995AA" w14:textId="77777777">
        <w:trPr>
          <w:cantSplit/>
          <w:trHeight w:val="20"/>
        </w:trPr>
        <w:tc>
          <w:tcPr>
            <w:tcW w:w="588" w:type="dxa"/>
            <w:tcBorders>
              <w:top w:val="nil"/>
              <w:left w:val="nil"/>
              <w:bottom w:val="nil"/>
              <w:right w:val="nil"/>
            </w:tcBorders>
          </w:tcPr>
          <w:p w14:paraId="494BAD94" w14:textId="77777777" w:rsidR="007261F7" w:rsidRPr="00883399" w:rsidRDefault="007261F7">
            <w:pPr>
              <w:pStyle w:val="TableText"/>
              <w:rPr>
                <w:szCs w:val="22"/>
              </w:rPr>
            </w:pPr>
            <w:r w:rsidRPr="00883399">
              <w:rPr>
                <w:szCs w:val="22"/>
              </w:rPr>
              <w:t>54</w:t>
            </w:r>
          </w:p>
        </w:tc>
        <w:tc>
          <w:tcPr>
            <w:tcW w:w="5772" w:type="dxa"/>
            <w:tcBorders>
              <w:top w:val="nil"/>
              <w:left w:val="nil"/>
              <w:bottom w:val="nil"/>
              <w:right w:val="nil"/>
            </w:tcBorders>
          </w:tcPr>
          <w:p w14:paraId="774EDC7B" w14:textId="77777777" w:rsidR="007261F7" w:rsidRPr="00883399" w:rsidRDefault="007261F7">
            <w:pPr>
              <w:pStyle w:val="TableText"/>
              <w:rPr>
                <w:szCs w:val="22"/>
              </w:rPr>
            </w:pPr>
            <w:r w:rsidRPr="00883399">
              <w:rPr>
                <w:szCs w:val="22"/>
              </w:rPr>
              <w:t>Biofuels other than those mentioned in items 52 and 53</w:t>
            </w:r>
          </w:p>
        </w:tc>
        <w:tc>
          <w:tcPr>
            <w:tcW w:w="1941" w:type="dxa"/>
            <w:tcBorders>
              <w:top w:val="nil"/>
              <w:left w:val="nil"/>
              <w:bottom w:val="nil"/>
              <w:right w:val="nil"/>
            </w:tcBorders>
          </w:tcPr>
          <w:p w14:paraId="276D5318" w14:textId="77777777" w:rsidR="007261F7" w:rsidRPr="00883399" w:rsidRDefault="007261F7">
            <w:pPr>
              <w:pStyle w:val="TableText"/>
              <w:rPr>
                <w:szCs w:val="22"/>
              </w:rPr>
            </w:pPr>
            <w:r w:rsidRPr="00883399">
              <w:rPr>
                <w:szCs w:val="22"/>
              </w:rPr>
              <w:t>0</w:t>
            </w:r>
          </w:p>
        </w:tc>
      </w:tr>
    </w:tbl>
    <w:p w14:paraId="788F5B58" w14:textId="50A69F19" w:rsidR="007261F7" w:rsidRPr="00883399" w:rsidRDefault="007261F7">
      <w:pPr>
        <w:pStyle w:val="Schedulepart"/>
      </w:pPr>
      <w:bookmarkStart w:id="1384" w:name="_Toc227734146"/>
      <w:bookmarkStart w:id="1385" w:name="_Toc265135673"/>
      <w:bookmarkStart w:id="1386" w:name="_Toc495653208"/>
      <w:r w:rsidRPr="00883399">
        <w:rPr>
          <w:rStyle w:val="CharSchPTNo"/>
        </w:rPr>
        <w:t>Part 4</w:t>
      </w:r>
      <w:r w:rsidRPr="00883399">
        <w:tab/>
      </w:r>
      <w:r w:rsidRPr="00883399">
        <w:rPr>
          <w:rStyle w:val="CharSchPTText"/>
        </w:rPr>
        <w:t>Petrochemical feedstocks and products</w:t>
      </w:r>
      <w:bookmarkEnd w:id="1384"/>
      <w:bookmarkEnd w:id="1385"/>
      <w:bookmarkEnd w:id="1386"/>
    </w:p>
    <w:p w14:paraId="2EB02ED7" w14:textId="77777777" w:rsidR="007261F7" w:rsidRPr="00883399" w:rsidRDefault="007261F7"/>
    <w:tbl>
      <w:tblPr>
        <w:tblW w:w="83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72"/>
        <w:gridCol w:w="1941"/>
      </w:tblGrid>
      <w:tr w:rsidR="007261F7" w:rsidRPr="00883399" w14:paraId="005E9E82" w14:textId="77777777">
        <w:trPr>
          <w:cantSplit/>
          <w:trHeight w:val="20"/>
          <w:tblHeader/>
        </w:trPr>
        <w:tc>
          <w:tcPr>
            <w:tcW w:w="588" w:type="dxa"/>
            <w:tcBorders>
              <w:top w:val="nil"/>
              <w:left w:val="nil"/>
              <w:right w:val="nil"/>
            </w:tcBorders>
          </w:tcPr>
          <w:p w14:paraId="3801A8ED" w14:textId="77777777" w:rsidR="007261F7" w:rsidRPr="00883399" w:rsidRDefault="007261F7" w:rsidP="00CF0298">
            <w:pPr>
              <w:pStyle w:val="Table"/>
              <w:spacing w:before="0"/>
              <w:jc w:val="right"/>
              <w:rPr>
                <w:rStyle w:val="Strong"/>
                <w:rFonts w:cs="Arial"/>
                <w:sz w:val="18"/>
              </w:rPr>
            </w:pPr>
            <w:r w:rsidRPr="00883399">
              <w:rPr>
                <w:rStyle w:val="Strong"/>
                <w:rFonts w:cs="Arial"/>
                <w:sz w:val="18"/>
              </w:rPr>
              <w:t>Item</w:t>
            </w:r>
          </w:p>
        </w:tc>
        <w:tc>
          <w:tcPr>
            <w:tcW w:w="5772" w:type="dxa"/>
            <w:tcBorders>
              <w:top w:val="nil"/>
              <w:left w:val="nil"/>
              <w:right w:val="nil"/>
            </w:tcBorders>
          </w:tcPr>
          <w:p w14:paraId="32BA5621" w14:textId="77777777" w:rsidR="007261F7" w:rsidRPr="00883399" w:rsidRDefault="007261F7" w:rsidP="00CF0298">
            <w:pPr>
              <w:pStyle w:val="TableCentre"/>
              <w:spacing w:before="0"/>
              <w:jc w:val="left"/>
              <w:rPr>
                <w:rStyle w:val="Strong"/>
                <w:rFonts w:cs="Arial"/>
                <w:sz w:val="18"/>
              </w:rPr>
            </w:pPr>
            <w:r w:rsidRPr="00883399">
              <w:rPr>
                <w:rStyle w:val="Strong"/>
                <w:rFonts w:cs="Arial"/>
                <w:sz w:val="18"/>
              </w:rPr>
              <w:t>Fuel type</w:t>
            </w:r>
          </w:p>
        </w:tc>
        <w:tc>
          <w:tcPr>
            <w:tcW w:w="1941" w:type="dxa"/>
            <w:tcBorders>
              <w:top w:val="nil"/>
              <w:left w:val="nil"/>
              <w:right w:val="nil"/>
            </w:tcBorders>
          </w:tcPr>
          <w:p w14:paraId="3186F526" w14:textId="77777777" w:rsidR="00CF0298" w:rsidRPr="00883399" w:rsidRDefault="007261F7" w:rsidP="00CF0298">
            <w:pPr>
              <w:pStyle w:val="Heading1Like"/>
              <w:spacing w:after="0" w:line="312" w:lineRule="auto"/>
              <w:ind w:left="0" w:firstLine="0"/>
              <w:rPr>
                <w:rFonts w:ascii="Arial" w:hAnsi="Arial"/>
                <w:caps w:val="0"/>
                <w:sz w:val="18"/>
              </w:rPr>
            </w:pPr>
            <w:r w:rsidRPr="00883399">
              <w:rPr>
                <w:rFonts w:ascii="Arial" w:hAnsi="Arial"/>
                <w:caps w:val="0"/>
                <w:sz w:val="18"/>
              </w:rPr>
              <w:t>Carbon content factor</w:t>
            </w:r>
          </w:p>
          <w:p w14:paraId="21777F62" w14:textId="77777777" w:rsidR="007261F7" w:rsidRPr="00883399" w:rsidRDefault="007261F7" w:rsidP="00CF0298">
            <w:pPr>
              <w:pStyle w:val="Heading1Like"/>
              <w:spacing w:before="60" w:after="0" w:line="312" w:lineRule="auto"/>
              <w:ind w:left="0" w:firstLine="0"/>
              <w:rPr>
                <w:rFonts w:ascii="Arial" w:hAnsi="Arial"/>
                <w:sz w:val="18"/>
              </w:rPr>
            </w:pPr>
            <w:r w:rsidRPr="00883399">
              <w:rPr>
                <w:rFonts w:ascii="Arial" w:hAnsi="Arial"/>
                <w:caps w:val="0"/>
                <w:sz w:val="18"/>
              </w:rPr>
              <w:t>(tC/t fuel</w:t>
            </w:r>
            <w:r w:rsidRPr="00883399">
              <w:rPr>
                <w:rFonts w:ascii="Arial" w:hAnsi="Arial"/>
                <w:caps w:val="0"/>
                <w:sz w:val="18"/>
              </w:rPr>
              <w:br/>
              <w:t>unless otherwise specified)</w:t>
            </w:r>
          </w:p>
        </w:tc>
      </w:tr>
      <w:tr w:rsidR="007261F7" w:rsidRPr="00883399" w14:paraId="439F6EEF" w14:textId="77777777">
        <w:trPr>
          <w:cantSplit/>
          <w:trHeight w:val="20"/>
        </w:trPr>
        <w:tc>
          <w:tcPr>
            <w:tcW w:w="8301" w:type="dxa"/>
            <w:gridSpan w:val="3"/>
            <w:tcBorders>
              <w:left w:val="nil"/>
              <w:bottom w:val="nil"/>
              <w:right w:val="nil"/>
            </w:tcBorders>
          </w:tcPr>
          <w:p w14:paraId="48F394C7" w14:textId="77777777" w:rsidR="007261F7" w:rsidRPr="00883399" w:rsidRDefault="007261F7">
            <w:pPr>
              <w:pStyle w:val="TableText"/>
              <w:rPr>
                <w:i/>
                <w:szCs w:val="22"/>
              </w:rPr>
            </w:pPr>
            <w:r w:rsidRPr="00883399">
              <w:rPr>
                <w:i/>
                <w:szCs w:val="22"/>
              </w:rPr>
              <w:t>Petrochemical feedstocks</w:t>
            </w:r>
          </w:p>
        </w:tc>
      </w:tr>
      <w:tr w:rsidR="007261F7" w:rsidRPr="00883399" w14:paraId="500B397B" w14:textId="77777777">
        <w:trPr>
          <w:cantSplit/>
          <w:trHeight w:val="20"/>
        </w:trPr>
        <w:tc>
          <w:tcPr>
            <w:tcW w:w="588" w:type="dxa"/>
            <w:tcBorders>
              <w:top w:val="nil"/>
              <w:left w:val="nil"/>
              <w:bottom w:val="nil"/>
              <w:right w:val="nil"/>
            </w:tcBorders>
          </w:tcPr>
          <w:p w14:paraId="566FAA7A" w14:textId="77777777" w:rsidR="007261F7" w:rsidRPr="00883399" w:rsidRDefault="007261F7">
            <w:pPr>
              <w:pStyle w:val="TableText"/>
              <w:rPr>
                <w:snapToGrid w:val="0"/>
                <w:szCs w:val="22"/>
              </w:rPr>
            </w:pPr>
            <w:r w:rsidRPr="00883399">
              <w:rPr>
                <w:snapToGrid w:val="0"/>
                <w:szCs w:val="22"/>
              </w:rPr>
              <w:t>55</w:t>
            </w:r>
          </w:p>
        </w:tc>
        <w:tc>
          <w:tcPr>
            <w:tcW w:w="5772" w:type="dxa"/>
            <w:tcBorders>
              <w:top w:val="nil"/>
              <w:left w:val="nil"/>
              <w:bottom w:val="nil"/>
              <w:right w:val="nil"/>
            </w:tcBorders>
          </w:tcPr>
          <w:p w14:paraId="14EBFA7E" w14:textId="77777777" w:rsidR="007261F7" w:rsidRPr="00883399" w:rsidRDefault="007261F7">
            <w:pPr>
              <w:pStyle w:val="TableText"/>
              <w:rPr>
                <w:snapToGrid w:val="0"/>
                <w:szCs w:val="22"/>
              </w:rPr>
            </w:pPr>
            <w:r w:rsidRPr="00883399">
              <w:rPr>
                <w:snapToGrid w:val="0"/>
                <w:szCs w:val="22"/>
              </w:rPr>
              <w:t>Carbon black if used as a petrochemical feedstock</w:t>
            </w:r>
          </w:p>
        </w:tc>
        <w:tc>
          <w:tcPr>
            <w:tcW w:w="1941" w:type="dxa"/>
            <w:tcBorders>
              <w:top w:val="nil"/>
              <w:left w:val="nil"/>
              <w:bottom w:val="nil"/>
              <w:right w:val="nil"/>
            </w:tcBorders>
          </w:tcPr>
          <w:p w14:paraId="3BF56407" w14:textId="77777777" w:rsidR="007261F7" w:rsidRPr="00883399" w:rsidRDefault="007261F7">
            <w:pPr>
              <w:pStyle w:val="TableText"/>
              <w:rPr>
                <w:snapToGrid w:val="0"/>
                <w:szCs w:val="22"/>
              </w:rPr>
            </w:pPr>
            <w:r w:rsidRPr="00883399">
              <w:rPr>
                <w:snapToGrid w:val="0"/>
                <w:szCs w:val="22"/>
              </w:rPr>
              <w:t>1</w:t>
            </w:r>
          </w:p>
        </w:tc>
      </w:tr>
      <w:tr w:rsidR="007261F7" w:rsidRPr="00883399" w14:paraId="5BB24E47" w14:textId="77777777">
        <w:trPr>
          <w:cantSplit/>
          <w:trHeight w:val="20"/>
        </w:trPr>
        <w:tc>
          <w:tcPr>
            <w:tcW w:w="588" w:type="dxa"/>
            <w:tcBorders>
              <w:top w:val="nil"/>
              <w:left w:val="nil"/>
              <w:bottom w:val="nil"/>
              <w:right w:val="nil"/>
            </w:tcBorders>
          </w:tcPr>
          <w:p w14:paraId="59A914D3" w14:textId="77777777" w:rsidR="007261F7" w:rsidRPr="00883399" w:rsidRDefault="007261F7">
            <w:pPr>
              <w:pStyle w:val="TableText"/>
              <w:rPr>
                <w:snapToGrid w:val="0"/>
                <w:szCs w:val="22"/>
              </w:rPr>
            </w:pPr>
            <w:r w:rsidRPr="00883399">
              <w:rPr>
                <w:snapToGrid w:val="0"/>
                <w:szCs w:val="22"/>
              </w:rPr>
              <w:t>56</w:t>
            </w:r>
          </w:p>
        </w:tc>
        <w:tc>
          <w:tcPr>
            <w:tcW w:w="5772" w:type="dxa"/>
            <w:tcBorders>
              <w:top w:val="nil"/>
              <w:left w:val="nil"/>
              <w:bottom w:val="nil"/>
              <w:right w:val="nil"/>
            </w:tcBorders>
          </w:tcPr>
          <w:p w14:paraId="4690C722" w14:textId="77777777" w:rsidR="007261F7" w:rsidRPr="00883399" w:rsidRDefault="007261F7">
            <w:pPr>
              <w:pStyle w:val="TableText"/>
              <w:rPr>
                <w:snapToGrid w:val="0"/>
                <w:szCs w:val="22"/>
              </w:rPr>
            </w:pPr>
            <w:r w:rsidRPr="00883399">
              <w:rPr>
                <w:snapToGrid w:val="0"/>
                <w:szCs w:val="22"/>
              </w:rPr>
              <w:t>Ethylene if used as a petrochemical feedstock</w:t>
            </w:r>
          </w:p>
        </w:tc>
        <w:tc>
          <w:tcPr>
            <w:tcW w:w="1941" w:type="dxa"/>
            <w:tcBorders>
              <w:top w:val="nil"/>
              <w:left w:val="nil"/>
              <w:bottom w:val="nil"/>
              <w:right w:val="nil"/>
            </w:tcBorders>
          </w:tcPr>
          <w:p w14:paraId="3B342D15" w14:textId="77777777" w:rsidR="007261F7" w:rsidRPr="00883399" w:rsidRDefault="007261F7">
            <w:pPr>
              <w:pStyle w:val="TableText"/>
              <w:rPr>
                <w:snapToGrid w:val="0"/>
                <w:szCs w:val="22"/>
              </w:rPr>
            </w:pPr>
            <w:r w:rsidRPr="00883399">
              <w:rPr>
                <w:snapToGrid w:val="0"/>
                <w:szCs w:val="22"/>
              </w:rPr>
              <w:t>0.856</w:t>
            </w:r>
          </w:p>
        </w:tc>
      </w:tr>
      <w:tr w:rsidR="007261F7" w:rsidRPr="00883399" w14:paraId="4414667C" w14:textId="77777777">
        <w:trPr>
          <w:cantSplit/>
          <w:trHeight w:val="20"/>
        </w:trPr>
        <w:tc>
          <w:tcPr>
            <w:tcW w:w="588" w:type="dxa"/>
            <w:tcBorders>
              <w:top w:val="nil"/>
              <w:left w:val="nil"/>
              <w:bottom w:val="nil"/>
              <w:right w:val="nil"/>
            </w:tcBorders>
          </w:tcPr>
          <w:p w14:paraId="6271D6DA" w14:textId="77777777" w:rsidR="007261F7" w:rsidRPr="00883399" w:rsidRDefault="007261F7">
            <w:pPr>
              <w:pStyle w:val="TableText"/>
              <w:rPr>
                <w:snapToGrid w:val="0"/>
                <w:szCs w:val="22"/>
              </w:rPr>
            </w:pPr>
            <w:r w:rsidRPr="00883399">
              <w:rPr>
                <w:snapToGrid w:val="0"/>
                <w:szCs w:val="22"/>
              </w:rPr>
              <w:t>57</w:t>
            </w:r>
          </w:p>
        </w:tc>
        <w:tc>
          <w:tcPr>
            <w:tcW w:w="5772" w:type="dxa"/>
            <w:tcBorders>
              <w:top w:val="nil"/>
              <w:left w:val="nil"/>
              <w:bottom w:val="nil"/>
              <w:right w:val="nil"/>
            </w:tcBorders>
          </w:tcPr>
          <w:p w14:paraId="444C59F6" w14:textId="77777777" w:rsidR="007261F7" w:rsidRPr="00883399" w:rsidRDefault="007261F7">
            <w:pPr>
              <w:pStyle w:val="TableText"/>
              <w:rPr>
                <w:snapToGrid w:val="0"/>
                <w:szCs w:val="22"/>
              </w:rPr>
            </w:pPr>
            <w:r w:rsidRPr="00883399">
              <w:rPr>
                <w:snapToGrid w:val="0"/>
                <w:szCs w:val="22"/>
              </w:rPr>
              <w:t>Petrochemical feedstock other than those mentioned in items 55 and 56</w:t>
            </w:r>
          </w:p>
        </w:tc>
        <w:tc>
          <w:tcPr>
            <w:tcW w:w="1941" w:type="dxa"/>
            <w:tcBorders>
              <w:top w:val="nil"/>
              <w:left w:val="nil"/>
              <w:bottom w:val="nil"/>
              <w:right w:val="nil"/>
            </w:tcBorders>
          </w:tcPr>
          <w:p w14:paraId="40241A5E" w14:textId="77777777" w:rsidR="007261F7" w:rsidRPr="00883399" w:rsidRDefault="007261F7">
            <w:pPr>
              <w:pStyle w:val="TableText"/>
              <w:rPr>
                <w:snapToGrid w:val="0"/>
                <w:szCs w:val="22"/>
              </w:rPr>
            </w:pPr>
            <w:r w:rsidRPr="00883399">
              <w:rPr>
                <w:snapToGrid w:val="0"/>
                <w:szCs w:val="22"/>
              </w:rPr>
              <w:t>0.856</w:t>
            </w:r>
          </w:p>
        </w:tc>
      </w:tr>
      <w:tr w:rsidR="007261F7" w:rsidRPr="00883399" w14:paraId="3B7116F5" w14:textId="77777777">
        <w:trPr>
          <w:cantSplit/>
          <w:trHeight w:val="20"/>
        </w:trPr>
        <w:tc>
          <w:tcPr>
            <w:tcW w:w="8301" w:type="dxa"/>
            <w:gridSpan w:val="3"/>
            <w:tcBorders>
              <w:top w:val="nil"/>
              <w:left w:val="nil"/>
              <w:bottom w:val="nil"/>
              <w:right w:val="nil"/>
            </w:tcBorders>
          </w:tcPr>
          <w:p w14:paraId="5DAC70D2" w14:textId="77777777" w:rsidR="007261F7" w:rsidRPr="00883399" w:rsidRDefault="007261F7">
            <w:pPr>
              <w:pStyle w:val="TableText"/>
              <w:rPr>
                <w:i/>
                <w:szCs w:val="22"/>
              </w:rPr>
            </w:pPr>
            <w:r w:rsidRPr="00883399">
              <w:rPr>
                <w:i/>
                <w:szCs w:val="22"/>
              </w:rPr>
              <w:t>Petrochemical products</w:t>
            </w:r>
          </w:p>
        </w:tc>
      </w:tr>
      <w:tr w:rsidR="007261F7" w:rsidRPr="00883399" w14:paraId="3EBF132B" w14:textId="77777777">
        <w:trPr>
          <w:cantSplit/>
          <w:trHeight w:val="20"/>
        </w:trPr>
        <w:tc>
          <w:tcPr>
            <w:tcW w:w="588" w:type="dxa"/>
            <w:tcBorders>
              <w:top w:val="nil"/>
              <w:left w:val="nil"/>
              <w:bottom w:val="nil"/>
              <w:right w:val="nil"/>
            </w:tcBorders>
          </w:tcPr>
          <w:p w14:paraId="7C8A99B4" w14:textId="77777777" w:rsidR="007261F7" w:rsidRPr="00883399" w:rsidRDefault="007261F7">
            <w:pPr>
              <w:pStyle w:val="TableText"/>
              <w:rPr>
                <w:snapToGrid w:val="0"/>
                <w:szCs w:val="22"/>
              </w:rPr>
            </w:pPr>
            <w:r w:rsidRPr="00883399">
              <w:rPr>
                <w:snapToGrid w:val="0"/>
                <w:szCs w:val="22"/>
              </w:rPr>
              <w:t>58</w:t>
            </w:r>
          </w:p>
        </w:tc>
        <w:tc>
          <w:tcPr>
            <w:tcW w:w="5772" w:type="dxa"/>
            <w:tcBorders>
              <w:top w:val="nil"/>
              <w:left w:val="nil"/>
              <w:bottom w:val="nil"/>
              <w:right w:val="nil"/>
            </w:tcBorders>
          </w:tcPr>
          <w:p w14:paraId="6C379363" w14:textId="77777777" w:rsidR="007261F7" w:rsidRPr="00883399" w:rsidRDefault="007261F7">
            <w:pPr>
              <w:pStyle w:val="TableText"/>
              <w:rPr>
                <w:snapToGrid w:val="0"/>
                <w:szCs w:val="22"/>
              </w:rPr>
            </w:pPr>
            <w:r w:rsidRPr="00883399">
              <w:t>Propylene</w:t>
            </w:r>
          </w:p>
        </w:tc>
        <w:tc>
          <w:tcPr>
            <w:tcW w:w="1941" w:type="dxa"/>
            <w:tcBorders>
              <w:top w:val="nil"/>
              <w:left w:val="nil"/>
              <w:bottom w:val="nil"/>
              <w:right w:val="nil"/>
            </w:tcBorders>
          </w:tcPr>
          <w:p w14:paraId="2B1E26B1" w14:textId="77777777" w:rsidR="007261F7" w:rsidRPr="00883399" w:rsidRDefault="007261F7">
            <w:pPr>
              <w:pStyle w:val="TableText"/>
              <w:rPr>
                <w:snapToGrid w:val="0"/>
                <w:szCs w:val="22"/>
              </w:rPr>
            </w:pPr>
            <w:r w:rsidRPr="00883399">
              <w:rPr>
                <w:snapToGrid w:val="0"/>
                <w:szCs w:val="22"/>
              </w:rPr>
              <w:t>0.856</w:t>
            </w:r>
          </w:p>
        </w:tc>
      </w:tr>
      <w:tr w:rsidR="007261F7" w:rsidRPr="00883399" w14:paraId="2A4A9940" w14:textId="77777777">
        <w:trPr>
          <w:cantSplit/>
          <w:trHeight w:val="20"/>
        </w:trPr>
        <w:tc>
          <w:tcPr>
            <w:tcW w:w="588" w:type="dxa"/>
            <w:tcBorders>
              <w:top w:val="nil"/>
              <w:left w:val="nil"/>
              <w:bottom w:val="nil"/>
              <w:right w:val="nil"/>
            </w:tcBorders>
          </w:tcPr>
          <w:p w14:paraId="434F1B4F" w14:textId="77777777" w:rsidR="007261F7" w:rsidRPr="00883399" w:rsidRDefault="007261F7">
            <w:pPr>
              <w:pStyle w:val="TableText"/>
              <w:rPr>
                <w:snapToGrid w:val="0"/>
                <w:szCs w:val="22"/>
              </w:rPr>
            </w:pPr>
            <w:r w:rsidRPr="00883399">
              <w:rPr>
                <w:snapToGrid w:val="0"/>
                <w:szCs w:val="22"/>
              </w:rPr>
              <w:t>59</w:t>
            </w:r>
          </w:p>
        </w:tc>
        <w:tc>
          <w:tcPr>
            <w:tcW w:w="5772" w:type="dxa"/>
            <w:tcBorders>
              <w:top w:val="nil"/>
              <w:left w:val="nil"/>
              <w:bottom w:val="nil"/>
              <w:right w:val="nil"/>
            </w:tcBorders>
          </w:tcPr>
          <w:p w14:paraId="4CD77280" w14:textId="77777777" w:rsidR="007261F7" w:rsidRPr="00883399" w:rsidRDefault="007261F7">
            <w:pPr>
              <w:pStyle w:val="TableText"/>
              <w:rPr>
                <w:snapToGrid w:val="0"/>
                <w:szCs w:val="22"/>
              </w:rPr>
            </w:pPr>
            <w:r w:rsidRPr="00883399">
              <w:t>Polyethylene</w:t>
            </w:r>
          </w:p>
        </w:tc>
        <w:tc>
          <w:tcPr>
            <w:tcW w:w="1941" w:type="dxa"/>
            <w:tcBorders>
              <w:top w:val="nil"/>
              <w:left w:val="nil"/>
              <w:bottom w:val="nil"/>
              <w:right w:val="nil"/>
            </w:tcBorders>
          </w:tcPr>
          <w:p w14:paraId="00507950" w14:textId="77777777" w:rsidR="007261F7" w:rsidRPr="00883399" w:rsidRDefault="007261F7">
            <w:pPr>
              <w:pStyle w:val="TableText"/>
              <w:rPr>
                <w:snapToGrid w:val="0"/>
                <w:szCs w:val="22"/>
              </w:rPr>
            </w:pPr>
            <w:r w:rsidRPr="00883399">
              <w:rPr>
                <w:snapToGrid w:val="0"/>
                <w:szCs w:val="22"/>
              </w:rPr>
              <w:t>0.856</w:t>
            </w:r>
          </w:p>
        </w:tc>
      </w:tr>
      <w:tr w:rsidR="007261F7" w:rsidRPr="00883399" w14:paraId="0BE56CDB" w14:textId="77777777">
        <w:trPr>
          <w:cantSplit/>
          <w:trHeight w:val="20"/>
        </w:trPr>
        <w:tc>
          <w:tcPr>
            <w:tcW w:w="588" w:type="dxa"/>
            <w:tcBorders>
              <w:top w:val="nil"/>
              <w:left w:val="nil"/>
              <w:bottom w:val="nil"/>
              <w:right w:val="nil"/>
            </w:tcBorders>
          </w:tcPr>
          <w:p w14:paraId="0AE60605" w14:textId="77777777" w:rsidR="007261F7" w:rsidRPr="00883399" w:rsidRDefault="007261F7">
            <w:pPr>
              <w:pStyle w:val="TableText"/>
              <w:rPr>
                <w:snapToGrid w:val="0"/>
                <w:szCs w:val="22"/>
              </w:rPr>
            </w:pPr>
            <w:r w:rsidRPr="00883399">
              <w:rPr>
                <w:snapToGrid w:val="0"/>
                <w:szCs w:val="22"/>
              </w:rPr>
              <w:t>60</w:t>
            </w:r>
          </w:p>
        </w:tc>
        <w:tc>
          <w:tcPr>
            <w:tcW w:w="5772" w:type="dxa"/>
            <w:tcBorders>
              <w:top w:val="nil"/>
              <w:left w:val="nil"/>
              <w:bottom w:val="nil"/>
              <w:right w:val="nil"/>
            </w:tcBorders>
          </w:tcPr>
          <w:p w14:paraId="3581A08B" w14:textId="77777777" w:rsidR="007261F7" w:rsidRPr="00883399" w:rsidRDefault="007261F7">
            <w:pPr>
              <w:pStyle w:val="TableText"/>
              <w:rPr>
                <w:snapToGrid w:val="0"/>
                <w:szCs w:val="22"/>
              </w:rPr>
            </w:pPr>
            <w:r w:rsidRPr="00883399">
              <w:t>Polypropylene</w:t>
            </w:r>
          </w:p>
        </w:tc>
        <w:tc>
          <w:tcPr>
            <w:tcW w:w="1941" w:type="dxa"/>
            <w:tcBorders>
              <w:top w:val="nil"/>
              <w:left w:val="nil"/>
              <w:bottom w:val="nil"/>
              <w:right w:val="nil"/>
            </w:tcBorders>
          </w:tcPr>
          <w:p w14:paraId="48F8CD36" w14:textId="77777777" w:rsidR="007261F7" w:rsidRPr="00883399" w:rsidRDefault="007261F7">
            <w:pPr>
              <w:pStyle w:val="TableText"/>
              <w:rPr>
                <w:snapToGrid w:val="0"/>
                <w:szCs w:val="22"/>
              </w:rPr>
            </w:pPr>
            <w:r w:rsidRPr="00883399">
              <w:rPr>
                <w:snapToGrid w:val="0"/>
                <w:szCs w:val="22"/>
              </w:rPr>
              <w:t>0.856</w:t>
            </w:r>
          </w:p>
        </w:tc>
      </w:tr>
      <w:tr w:rsidR="007261F7" w:rsidRPr="00883399" w14:paraId="79B316E5" w14:textId="77777777">
        <w:trPr>
          <w:cantSplit/>
          <w:trHeight w:val="20"/>
        </w:trPr>
        <w:tc>
          <w:tcPr>
            <w:tcW w:w="588" w:type="dxa"/>
            <w:tcBorders>
              <w:top w:val="nil"/>
              <w:left w:val="nil"/>
              <w:bottom w:val="nil"/>
              <w:right w:val="nil"/>
            </w:tcBorders>
          </w:tcPr>
          <w:p w14:paraId="7B8DD809" w14:textId="77777777" w:rsidR="007261F7" w:rsidRPr="00883399" w:rsidRDefault="007261F7">
            <w:pPr>
              <w:pStyle w:val="TableText"/>
              <w:rPr>
                <w:snapToGrid w:val="0"/>
                <w:szCs w:val="22"/>
              </w:rPr>
            </w:pPr>
            <w:r w:rsidRPr="00883399">
              <w:rPr>
                <w:snapToGrid w:val="0"/>
                <w:szCs w:val="22"/>
              </w:rPr>
              <w:t>61</w:t>
            </w:r>
          </w:p>
        </w:tc>
        <w:tc>
          <w:tcPr>
            <w:tcW w:w="5772" w:type="dxa"/>
            <w:tcBorders>
              <w:top w:val="nil"/>
              <w:left w:val="nil"/>
              <w:bottom w:val="nil"/>
              <w:right w:val="nil"/>
            </w:tcBorders>
          </w:tcPr>
          <w:p w14:paraId="0BA5C03E" w14:textId="77777777" w:rsidR="007261F7" w:rsidRPr="00883399" w:rsidRDefault="007261F7">
            <w:pPr>
              <w:pStyle w:val="TableText"/>
              <w:rPr>
                <w:snapToGrid w:val="0"/>
                <w:szCs w:val="22"/>
              </w:rPr>
            </w:pPr>
            <w:r w:rsidRPr="00883399">
              <w:t>Butadiene</w:t>
            </w:r>
          </w:p>
        </w:tc>
        <w:tc>
          <w:tcPr>
            <w:tcW w:w="1941" w:type="dxa"/>
            <w:tcBorders>
              <w:top w:val="nil"/>
              <w:left w:val="nil"/>
              <w:bottom w:val="nil"/>
              <w:right w:val="nil"/>
            </w:tcBorders>
          </w:tcPr>
          <w:p w14:paraId="70CCBE72" w14:textId="77777777" w:rsidR="007261F7" w:rsidRPr="00883399" w:rsidRDefault="007261F7">
            <w:pPr>
              <w:pStyle w:val="TableText"/>
              <w:rPr>
                <w:snapToGrid w:val="0"/>
                <w:szCs w:val="22"/>
              </w:rPr>
            </w:pPr>
            <w:r w:rsidRPr="00883399">
              <w:rPr>
                <w:snapToGrid w:val="0"/>
                <w:szCs w:val="22"/>
              </w:rPr>
              <w:t>0.888</w:t>
            </w:r>
          </w:p>
        </w:tc>
      </w:tr>
      <w:tr w:rsidR="007261F7" w:rsidRPr="00883399" w14:paraId="6B1BD655" w14:textId="77777777">
        <w:trPr>
          <w:cantSplit/>
          <w:trHeight w:val="20"/>
        </w:trPr>
        <w:tc>
          <w:tcPr>
            <w:tcW w:w="588" w:type="dxa"/>
            <w:tcBorders>
              <w:top w:val="nil"/>
              <w:left w:val="nil"/>
              <w:right w:val="nil"/>
            </w:tcBorders>
          </w:tcPr>
          <w:p w14:paraId="66823637" w14:textId="77777777" w:rsidR="007261F7" w:rsidRPr="00883399" w:rsidRDefault="007261F7">
            <w:pPr>
              <w:pStyle w:val="TableText"/>
              <w:rPr>
                <w:snapToGrid w:val="0"/>
                <w:szCs w:val="22"/>
              </w:rPr>
            </w:pPr>
            <w:r w:rsidRPr="00883399">
              <w:rPr>
                <w:snapToGrid w:val="0"/>
                <w:szCs w:val="22"/>
              </w:rPr>
              <w:t>62</w:t>
            </w:r>
          </w:p>
        </w:tc>
        <w:tc>
          <w:tcPr>
            <w:tcW w:w="5772" w:type="dxa"/>
            <w:tcBorders>
              <w:top w:val="nil"/>
              <w:left w:val="nil"/>
              <w:right w:val="nil"/>
            </w:tcBorders>
          </w:tcPr>
          <w:p w14:paraId="2C66D2E5" w14:textId="77777777" w:rsidR="007261F7" w:rsidRPr="00883399" w:rsidRDefault="007261F7">
            <w:pPr>
              <w:pStyle w:val="TableText"/>
              <w:rPr>
                <w:snapToGrid w:val="0"/>
                <w:szCs w:val="22"/>
              </w:rPr>
            </w:pPr>
            <w:r w:rsidRPr="00883399">
              <w:t>Styrene</w:t>
            </w:r>
          </w:p>
        </w:tc>
        <w:tc>
          <w:tcPr>
            <w:tcW w:w="1941" w:type="dxa"/>
            <w:tcBorders>
              <w:top w:val="nil"/>
              <w:left w:val="nil"/>
              <w:right w:val="nil"/>
            </w:tcBorders>
          </w:tcPr>
          <w:p w14:paraId="7FB558C7" w14:textId="77777777" w:rsidR="007261F7" w:rsidRPr="00883399" w:rsidRDefault="007261F7">
            <w:pPr>
              <w:pStyle w:val="TableText"/>
              <w:rPr>
                <w:snapToGrid w:val="0"/>
                <w:szCs w:val="22"/>
              </w:rPr>
            </w:pPr>
            <w:r w:rsidRPr="00883399">
              <w:rPr>
                <w:snapToGrid w:val="0"/>
                <w:szCs w:val="22"/>
              </w:rPr>
              <w:t>0.923</w:t>
            </w:r>
          </w:p>
        </w:tc>
      </w:tr>
    </w:tbl>
    <w:p w14:paraId="25FA6774" w14:textId="77777777" w:rsidR="00257CE2" w:rsidRPr="00883399" w:rsidRDefault="00257CE2" w:rsidP="00DF00CD">
      <w:pPr>
        <w:pStyle w:val="NotesSectionBreak"/>
      </w:pPr>
    </w:p>
    <w:p w14:paraId="125F8843" w14:textId="6B142CDB" w:rsidR="00AB1027" w:rsidRPr="00883399" w:rsidRDefault="00AB1027" w:rsidP="00AB1027">
      <w:pPr>
        <w:pStyle w:val="Schedulepart"/>
        <w:spacing w:after="360"/>
        <w:rPr>
          <w:color w:val="000000"/>
        </w:rPr>
      </w:pPr>
      <w:bookmarkStart w:id="1387" w:name="_Toc265135674"/>
      <w:bookmarkStart w:id="1388" w:name="_Toc495653209"/>
      <w:r w:rsidRPr="00883399">
        <w:rPr>
          <w:color w:val="000000"/>
        </w:rPr>
        <w:t>Part 5</w:t>
      </w:r>
      <w:r w:rsidRPr="00883399">
        <w:rPr>
          <w:color w:val="000000"/>
        </w:rPr>
        <w:tab/>
        <w:t>Carbonates</w:t>
      </w:r>
      <w:bookmarkEnd w:id="1387"/>
      <w:bookmarkEnd w:id="1388"/>
    </w:p>
    <w:tbl>
      <w:tblPr>
        <w:tblW w:w="0" w:type="auto"/>
        <w:tblInd w:w="108" w:type="dxa"/>
        <w:tblLook w:val="04A0" w:firstRow="1" w:lastRow="0" w:firstColumn="1" w:lastColumn="0" w:noHBand="0" w:noVBand="1"/>
      </w:tblPr>
      <w:tblGrid>
        <w:gridCol w:w="1113"/>
        <w:gridCol w:w="4818"/>
        <w:gridCol w:w="2274"/>
      </w:tblGrid>
      <w:tr w:rsidR="00AB1027" w:rsidRPr="00883399" w14:paraId="63E49132" w14:textId="77777777" w:rsidTr="00AB1027">
        <w:tc>
          <w:tcPr>
            <w:tcW w:w="1134" w:type="dxa"/>
            <w:tcBorders>
              <w:bottom w:val="single" w:sz="4" w:space="0" w:color="auto"/>
            </w:tcBorders>
          </w:tcPr>
          <w:p w14:paraId="75FB31E0" w14:textId="77777777" w:rsidR="00AB1027" w:rsidRPr="00883399" w:rsidRDefault="00AB1027" w:rsidP="00AB1027">
            <w:pPr>
              <w:pStyle w:val="TableColHead"/>
              <w:rPr>
                <w:color w:val="000000"/>
              </w:rPr>
            </w:pPr>
            <w:r w:rsidRPr="00883399">
              <w:rPr>
                <w:color w:val="000000"/>
              </w:rPr>
              <w:t>Item</w:t>
            </w:r>
          </w:p>
        </w:tc>
        <w:tc>
          <w:tcPr>
            <w:tcW w:w="4964" w:type="dxa"/>
            <w:tcBorders>
              <w:bottom w:val="single" w:sz="4" w:space="0" w:color="auto"/>
            </w:tcBorders>
          </w:tcPr>
          <w:p w14:paraId="40B55FC7" w14:textId="77777777" w:rsidR="00AB1027" w:rsidRPr="00883399" w:rsidRDefault="00AB1027" w:rsidP="00AB1027">
            <w:pPr>
              <w:pStyle w:val="TableColHead"/>
              <w:rPr>
                <w:color w:val="000000"/>
              </w:rPr>
            </w:pPr>
            <w:r w:rsidRPr="00883399">
              <w:rPr>
                <w:color w:val="000000"/>
              </w:rPr>
              <w:t>Carbonate type</w:t>
            </w:r>
          </w:p>
        </w:tc>
        <w:tc>
          <w:tcPr>
            <w:tcW w:w="2323" w:type="dxa"/>
            <w:tcBorders>
              <w:bottom w:val="single" w:sz="4" w:space="0" w:color="auto"/>
            </w:tcBorders>
          </w:tcPr>
          <w:p w14:paraId="09282372" w14:textId="77777777" w:rsidR="00AB1027" w:rsidRPr="00883399" w:rsidRDefault="00AB1027" w:rsidP="00AB1027">
            <w:pPr>
              <w:pStyle w:val="TableColHead"/>
              <w:rPr>
                <w:color w:val="000000"/>
              </w:rPr>
            </w:pPr>
            <w:r w:rsidRPr="00883399">
              <w:rPr>
                <w:color w:val="000000"/>
              </w:rPr>
              <w:t>Carbon content factor (tC/t pure carbonate material unless otherwise specified)</w:t>
            </w:r>
          </w:p>
        </w:tc>
      </w:tr>
      <w:tr w:rsidR="00AB1027" w:rsidRPr="00883399" w14:paraId="66F7CA13" w14:textId="77777777" w:rsidTr="00AB1027">
        <w:tc>
          <w:tcPr>
            <w:tcW w:w="1134" w:type="dxa"/>
            <w:tcBorders>
              <w:top w:val="single" w:sz="4" w:space="0" w:color="auto"/>
            </w:tcBorders>
          </w:tcPr>
          <w:p w14:paraId="52A321A0" w14:textId="77777777" w:rsidR="00AB1027" w:rsidRPr="00883399" w:rsidRDefault="00711F2C" w:rsidP="00AB1027">
            <w:pPr>
              <w:pStyle w:val="TableText"/>
              <w:rPr>
                <w:color w:val="000000"/>
              </w:rPr>
            </w:pPr>
            <w:r w:rsidRPr="00883399">
              <w:rPr>
                <w:color w:val="000000"/>
              </w:rPr>
              <w:t>63</w:t>
            </w:r>
          </w:p>
        </w:tc>
        <w:tc>
          <w:tcPr>
            <w:tcW w:w="4964" w:type="dxa"/>
            <w:tcBorders>
              <w:top w:val="single" w:sz="4" w:space="0" w:color="auto"/>
            </w:tcBorders>
          </w:tcPr>
          <w:p w14:paraId="574DD7A2" w14:textId="77777777" w:rsidR="00AB1027" w:rsidRPr="00883399" w:rsidRDefault="00AB1027" w:rsidP="00AB1027">
            <w:pPr>
              <w:pStyle w:val="TableText"/>
              <w:rPr>
                <w:color w:val="000000"/>
              </w:rPr>
            </w:pPr>
            <w:r w:rsidRPr="00883399">
              <w:rPr>
                <w:color w:val="000000"/>
              </w:rPr>
              <w:t>Calcium carbonate</w:t>
            </w:r>
          </w:p>
        </w:tc>
        <w:tc>
          <w:tcPr>
            <w:tcW w:w="2323" w:type="dxa"/>
            <w:tcBorders>
              <w:top w:val="single" w:sz="4" w:space="0" w:color="auto"/>
            </w:tcBorders>
          </w:tcPr>
          <w:p w14:paraId="605639E4" w14:textId="77777777" w:rsidR="00AB1027" w:rsidRPr="00883399" w:rsidRDefault="00AB1027" w:rsidP="00AB1027">
            <w:pPr>
              <w:pStyle w:val="TableText"/>
              <w:rPr>
                <w:color w:val="000000"/>
              </w:rPr>
            </w:pPr>
            <w:r w:rsidRPr="00883399">
              <w:rPr>
                <w:color w:val="000000"/>
              </w:rPr>
              <w:t>0.120</w:t>
            </w:r>
          </w:p>
        </w:tc>
      </w:tr>
      <w:tr w:rsidR="00AB1027" w:rsidRPr="00883399" w14:paraId="1ABEEE1E" w14:textId="77777777" w:rsidTr="00AB1027">
        <w:tc>
          <w:tcPr>
            <w:tcW w:w="1134" w:type="dxa"/>
          </w:tcPr>
          <w:p w14:paraId="4B102A78" w14:textId="77777777" w:rsidR="00AB1027" w:rsidRPr="00883399" w:rsidRDefault="00711F2C" w:rsidP="00AB1027">
            <w:pPr>
              <w:pStyle w:val="TableText"/>
              <w:rPr>
                <w:color w:val="000000"/>
              </w:rPr>
            </w:pPr>
            <w:r w:rsidRPr="00883399">
              <w:rPr>
                <w:color w:val="000000"/>
              </w:rPr>
              <w:t>64</w:t>
            </w:r>
          </w:p>
        </w:tc>
        <w:tc>
          <w:tcPr>
            <w:tcW w:w="4964" w:type="dxa"/>
          </w:tcPr>
          <w:p w14:paraId="463A2931" w14:textId="77777777" w:rsidR="00AB1027" w:rsidRPr="00883399" w:rsidRDefault="00AB1027" w:rsidP="00AB1027">
            <w:pPr>
              <w:pStyle w:val="TableText"/>
              <w:rPr>
                <w:color w:val="000000"/>
              </w:rPr>
            </w:pPr>
            <w:r w:rsidRPr="00883399">
              <w:rPr>
                <w:color w:val="000000"/>
              </w:rPr>
              <w:t>Magnesium carbonate</w:t>
            </w:r>
          </w:p>
        </w:tc>
        <w:tc>
          <w:tcPr>
            <w:tcW w:w="2323" w:type="dxa"/>
          </w:tcPr>
          <w:p w14:paraId="404B1059" w14:textId="77777777" w:rsidR="00AB1027" w:rsidRPr="00883399" w:rsidRDefault="00AB1027" w:rsidP="00AB1027">
            <w:pPr>
              <w:pStyle w:val="TableText"/>
              <w:rPr>
                <w:color w:val="000000"/>
              </w:rPr>
            </w:pPr>
            <w:r w:rsidRPr="00883399">
              <w:rPr>
                <w:color w:val="000000"/>
              </w:rPr>
              <w:t>0.142</w:t>
            </w:r>
          </w:p>
        </w:tc>
      </w:tr>
      <w:tr w:rsidR="00AB1027" w:rsidRPr="00883399" w14:paraId="4D6A66B1" w14:textId="77777777" w:rsidTr="00AB1027">
        <w:tc>
          <w:tcPr>
            <w:tcW w:w="1134" w:type="dxa"/>
          </w:tcPr>
          <w:p w14:paraId="29C1A8D3" w14:textId="77777777" w:rsidR="00AB1027" w:rsidRPr="00883399" w:rsidRDefault="00711F2C" w:rsidP="00AB1027">
            <w:pPr>
              <w:pStyle w:val="TableText"/>
              <w:rPr>
                <w:color w:val="000000"/>
              </w:rPr>
            </w:pPr>
            <w:r w:rsidRPr="00883399">
              <w:rPr>
                <w:color w:val="000000"/>
              </w:rPr>
              <w:t>65</w:t>
            </w:r>
          </w:p>
        </w:tc>
        <w:tc>
          <w:tcPr>
            <w:tcW w:w="4964" w:type="dxa"/>
          </w:tcPr>
          <w:p w14:paraId="05767BC6" w14:textId="77777777" w:rsidR="00AB1027" w:rsidRPr="00883399" w:rsidRDefault="00AB1027" w:rsidP="00AB1027">
            <w:pPr>
              <w:pStyle w:val="TableText"/>
              <w:rPr>
                <w:color w:val="000000"/>
              </w:rPr>
            </w:pPr>
            <w:r w:rsidRPr="00883399">
              <w:rPr>
                <w:color w:val="000000"/>
              </w:rPr>
              <w:t>Sodium carbonate</w:t>
            </w:r>
          </w:p>
        </w:tc>
        <w:tc>
          <w:tcPr>
            <w:tcW w:w="2323" w:type="dxa"/>
          </w:tcPr>
          <w:p w14:paraId="2D771B98" w14:textId="77777777" w:rsidR="00AB1027" w:rsidRPr="00883399" w:rsidRDefault="00AB1027" w:rsidP="00AB1027">
            <w:pPr>
              <w:pStyle w:val="TableText"/>
              <w:rPr>
                <w:color w:val="000000"/>
              </w:rPr>
            </w:pPr>
            <w:r w:rsidRPr="00883399">
              <w:rPr>
                <w:color w:val="000000"/>
              </w:rPr>
              <w:t>0.113</w:t>
            </w:r>
          </w:p>
        </w:tc>
      </w:tr>
      <w:tr w:rsidR="00AB1027" w:rsidRPr="00883399" w14:paraId="5C26AAD1" w14:textId="77777777" w:rsidTr="00AB1027">
        <w:tc>
          <w:tcPr>
            <w:tcW w:w="1134" w:type="dxa"/>
            <w:tcBorders>
              <w:bottom w:val="single" w:sz="4" w:space="0" w:color="auto"/>
            </w:tcBorders>
          </w:tcPr>
          <w:p w14:paraId="05F2714A" w14:textId="77777777" w:rsidR="00AB1027" w:rsidRPr="00883399" w:rsidRDefault="00711F2C" w:rsidP="00AB1027">
            <w:pPr>
              <w:pStyle w:val="TableText"/>
              <w:rPr>
                <w:color w:val="000000"/>
              </w:rPr>
            </w:pPr>
            <w:r w:rsidRPr="00883399">
              <w:rPr>
                <w:color w:val="000000"/>
              </w:rPr>
              <w:t>66</w:t>
            </w:r>
          </w:p>
        </w:tc>
        <w:tc>
          <w:tcPr>
            <w:tcW w:w="4964" w:type="dxa"/>
            <w:tcBorders>
              <w:bottom w:val="single" w:sz="4" w:space="0" w:color="auto"/>
            </w:tcBorders>
          </w:tcPr>
          <w:p w14:paraId="40F0E752" w14:textId="77777777" w:rsidR="00AB1027" w:rsidRPr="00883399" w:rsidRDefault="00AB1027" w:rsidP="00AB1027">
            <w:pPr>
              <w:pStyle w:val="TableText"/>
              <w:rPr>
                <w:color w:val="000000"/>
              </w:rPr>
            </w:pPr>
            <w:r w:rsidRPr="00883399">
              <w:rPr>
                <w:color w:val="000000"/>
              </w:rPr>
              <w:t>Sodium bicarbonate</w:t>
            </w:r>
          </w:p>
        </w:tc>
        <w:tc>
          <w:tcPr>
            <w:tcW w:w="2323" w:type="dxa"/>
            <w:tcBorders>
              <w:bottom w:val="single" w:sz="4" w:space="0" w:color="auto"/>
            </w:tcBorders>
          </w:tcPr>
          <w:p w14:paraId="74E6FA8B" w14:textId="77777777" w:rsidR="00AB1027" w:rsidRPr="00883399" w:rsidRDefault="00AB1027" w:rsidP="00AB1027">
            <w:pPr>
              <w:pStyle w:val="TableText"/>
              <w:rPr>
                <w:color w:val="000000"/>
              </w:rPr>
            </w:pPr>
            <w:r w:rsidRPr="00883399">
              <w:rPr>
                <w:color w:val="000000"/>
              </w:rPr>
              <w:t>0.143</w:t>
            </w:r>
          </w:p>
        </w:tc>
      </w:tr>
    </w:tbl>
    <w:p w14:paraId="52740BBC" w14:textId="77777777" w:rsidR="009579B9" w:rsidRPr="00883399" w:rsidRDefault="009579B9"/>
    <w:p w14:paraId="48F31625" w14:textId="77777777" w:rsidR="007261F7" w:rsidRPr="00883399" w:rsidRDefault="007261F7" w:rsidP="00466A53">
      <w:pPr>
        <w:pStyle w:val="Text"/>
        <w:outlineLvl w:val="0"/>
        <w:rPr>
          <w:b/>
          <w:sz w:val="24"/>
          <w:szCs w:val="24"/>
        </w:rPr>
      </w:pPr>
      <w:r w:rsidRPr="00883399">
        <w:rPr>
          <w:b/>
          <w:sz w:val="24"/>
          <w:szCs w:val="24"/>
        </w:rPr>
        <w:t>Notes on Carbon Content Factors</w:t>
      </w:r>
    </w:p>
    <w:p w14:paraId="30A56408" w14:textId="77777777" w:rsidR="007261F7" w:rsidRPr="00883399" w:rsidRDefault="007261F7">
      <w:pPr>
        <w:rPr>
          <w:sz w:val="20"/>
          <w:szCs w:val="20"/>
        </w:rPr>
      </w:pPr>
      <w:r w:rsidRPr="00883399">
        <w:rPr>
          <w:sz w:val="20"/>
          <w:szCs w:val="20"/>
        </w:rPr>
        <w:t>1.</w:t>
      </w:r>
      <w:r w:rsidRPr="00883399">
        <w:rPr>
          <w:sz w:val="20"/>
          <w:szCs w:val="20"/>
        </w:rPr>
        <w:tab/>
        <w:t>Energy value: Source – ABARE</w:t>
      </w:r>
      <w:r w:rsidRPr="00883399">
        <w:rPr>
          <w:rFonts w:ascii="Times New (W1)" w:hAnsi="Times New (W1)"/>
          <w:sz w:val="20"/>
          <w:szCs w:val="20"/>
          <w:vertAlign w:val="subscript"/>
        </w:rPr>
        <w:t>1</w:t>
      </w:r>
      <w:r w:rsidRPr="00883399">
        <w:rPr>
          <w:sz w:val="20"/>
          <w:szCs w:val="20"/>
        </w:rPr>
        <w:t xml:space="preserve"> (washed steaming). CO</w:t>
      </w:r>
      <w:r w:rsidRPr="00883399">
        <w:rPr>
          <w:rFonts w:ascii="Times New (W1)" w:hAnsi="Times New (W1)"/>
          <w:sz w:val="20"/>
          <w:szCs w:val="20"/>
          <w:vertAlign w:val="subscript"/>
        </w:rPr>
        <w:t>2</w:t>
      </w:r>
      <w:r w:rsidRPr="00883399">
        <w:rPr>
          <w:sz w:val="20"/>
          <w:szCs w:val="20"/>
        </w:rPr>
        <w:t xml:space="preserve"> emission factor: Source - </w:t>
      </w:r>
      <w:r w:rsidR="00B95826" w:rsidRPr="00883399">
        <w:rPr>
          <w:sz w:val="20"/>
          <w:szCs w:val="20"/>
        </w:rPr>
        <w:t>National Inventory Report 2006, Department of Climate Change</w:t>
      </w:r>
      <w:r w:rsidRPr="00883399">
        <w:rPr>
          <w:sz w:val="20"/>
          <w:szCs w:val="20"/>
        </w:rPr>
        <w:t xml:space="preserve">.  </w:t>
      </w:r>
    </w:p>
    <w:p w14:paraId="53FB5189" w14:textId="77777777" w:rsidR="00CF321F" w:rsidRPr="00883399" w:rsidRDefault="00CF321F" w:rsidP="00CF321F">
      <w:pPr>
        <w:rPr>
          <w:sz w:val="20"/>
          <w:szCs w:val="20"/>
        </w:rPr>
      </w:pPr>
    </w:p>
    <w:p w14:paraId="6B73CB4F" w14:textId="77777777" w:rsidR="00CF321F" w:rsidRPr="00883399" w:rsidRDefault="00CF321F" w:rsidP="00CF321F">
      <w:pPr>
        <w:rPr>
          <w:sz w:val="20"/>
          <w:szCs w:val="20"/>
        </w:rPr>
      </w:pPr>
      <w:r w:rsidRPr="00883399">
        <w:rPr>
          <w:sz w:val="20"/>
          <w:szCs w:val="20"/>
        </w:rPr>
        <w:t>1A.</w:t>
      </w:r>
      <w:r w:rsidRPr="00883399">
        <w:rPr>
          <w:sz w:val="20"/>
          <w:szCs w:val="20"/>
        </w:rPr>
        <w:tab/>
        <w:t>Energy value: Source – ABARE</w:t>
      </w:r>
      <w:r w:rsidRPr="00883399">
        <w:rPr>
          <w:rFonts w:ascii="Times New (W1)" w:hAnsi="Times New (W1)"/>
          <w:sz w:val="20"/>
          <w:szCs w:val="20"/>
          <w:vertAlign w:val="subscript"/>
        </w:rPr>
        <w:t>1</w:t>
      </w:r>
      <w:r w:rsidRPr="00883399">
        <w:rPr>
          <w:sz w:val="20"/>
          <w:szCs w:val="20"/>
        </w:rPr>
        <w:t xml:space="preserve"> (washed steaming). CO</w:t>
      </w:r>
      <w:r w:rsidRPr="00883399">
        <w:rPr>
          <w:rFonts w:ascii="Times New (W1)" w:hAnsi="Times New (W1)"/>
          <w:sz w:val="20"/>
          <w:szCs w:val="20"/>
          <w:vertAlign w:val="subscript"/>
        </w:rPr>
        <w:t>2</w:t>
      </w:r>
      <w:r w:rsidRPr="00883399">
        <w:rPr>
          <w:sz w:val="20"/>
          <w:szCs w:val="20"/>
        </w:rPr>
        <w:t xml:space="preserve"> emission factor: Source - National Inventory Report 2006, Department of Climate Change.  </w:t>
      </w:r>
    </w:p>
    <w:p w14:paraId="544B8E08" w14:textId="77777777" w:rsidR="00CF321F" w:rsidRPr="00883399" w:rsidRDefault="00CF321F">
      <w:pPr>
        <w:rPr>
          <w:sz w:val="20"/>
          <w:szCs w:val="20"/>
        </w:rPr>
      </w:pPr>
    </w:p>
    <w:p w14:paraId="7194BE51" w14:textId="77777777" w:rsidR="00CF321F" w:rsidRPr="00883399" w:rsidRDefault="00CF321F" w:rsidP="00CF321F">
      <w:pPr>
        <w:rPr>
          <w:sz w:val="20"/>
          <w:szCs w:val="20"/>
        </w:rPr>
      </w:pPr>
      <w:r w:rsidRPr="00883399">
        <w:rPr>
          <w:sz w:val="20"/>
          <w:szCs w:val="20"/>
        </w:rPr>
        <w:t>1B.</w:t>
      </w:r>
      <w:r w:rsidRPr="00883399">
        <w:rPr>
          <w:sz w:val="20"/>
          <w:szCs w:val="20"/>
        </w:rPr>
        <w:tab/>
        <w:t>Energy value: Source – ABARE</w:t>
      </w:r>
      <w:r w:rsidRPr="00883399">
        <w:rPr>
          <w:rFonts w:ascii="Times New (W1)" w:hAnsi="Times New (W1)"/>
          <w:sz w:val="20"/>
          <w:szCs w:val="20"/>
          <w:vertAlign w:val="subscript"/>
        </w:rPr>
        <w:t>1</w:t>
      </w:r>
      <w:r w:rsidRPr="00883399">
        <w:rPr>
          <w:sz w:val="20"/>
          <w:szCs w:val="20"/>
        </w:rPr>
        <w:t xml:space="preserve"> (washed steaming). CO</w:t>
      </w:r>
      <w:r w:rsidRPr="00883399">
        <w:rPr>
          <w:rFonts w:ascii="Times New (W1)" w:hAnsi="Times New (W1)"/>
          <w:sz w:val="20"/>
          <w:szCs w:val="20"/>
          <w:vertAlign w:val="subscript"/>
        </w:rPr>
        <w:t>2</w:t>
      </w:r>
      <w:r w:rsidRPr="00883399">
        <w:rPr>
          <w:sz w:val="20"/>
          <w:szCs w:val="20"/>
        </w:rPr>
        <w:t xml:space="preserve"> emission factor: Source - National Inventory Report 2006, Department of Climate Change.  </w:t>
      </w:r>
    </w:p>
    <w:p w14:paraId="72561B77" w14:textId="77777777" w:rsidR="007261F7" w:rsidRPr="00883399" w:rsidRDefault="007261F7">
      <w:pPr>
        <w:rPr>
          <w:sz w:val="20"/>
          <w:szCs w:val="20"/>
        </w:rPr>
      </w:pPr>
    </w:p>
    <w:p w14:paraId="6C688FC0" w14:textId="77777777" w:rsidR="007261F7" w:rsidRPr="00883399" w:rsidRDefault="007261F7">
      <w:pPr>
        <w:rPr>
          <w:sz w:val="20"/>
          <w:szCs w:val="20"/>
        </w:rPr>
      </w:pPr>
      <w:r w:rsidRPr="00883399">
        <w:rPr>
          <w:sz w:val="20"/>
          <w:szCs w:val="20"/>
        </w:rPr>
        <w:t>2.</w:t>
      </w:r>
      <w:r w:rsidRPr="00883399">
        <w:rPr>
          <w:sz w:val="20"/>
          <w:szCs w:val="20"/>
        </w:rPr>
        <w:tab/>
        <w:t xml:space="preserve">Energy value: Source - AGEIS database, </w:t>
      </w:r>
      <w:r w:rsidR="003C0939" w:rsidRPr="00883399">
        <w:rPr>
          <w:sz w:val="20"/>
          <w:szCs w:val="20"/>
        </w:rPr>
        <w:t>Department of Climate Change and Energy Efficiency</w:t>
      </w:r>
      <w:r w:rsidRPr="00883399">
        <w:rPr>
          <w:sz w:val="20"/>
          <w:szCs w:val="20"/>
        </w:rPr>
        <w:t xml:space="preserve"> (based on facility reports).   CO</w:t>
      </w:r>
      <w:r w:rsidRPr="00883399">
        <w:rPr>
          <w:rFonts w:ascii="Times New (W1)" w:hAnsi="Times New (W1)"/>
          <w:sz w:val="20"/>
          <w:szCs w:val="20"/>
          <w:vertAlign w:val="subscript"/>
        </w:rPr>
        <w:t>2</w:t>
      </w:r>
      <w:r w:rsidRPr="00883399">
        <w:rPr>
          <w:sz w:val="20"/>
          <w:szCs w:val="20"/>
        </w:rPr>
        <w:t xml:space="preserve"> emission factor: Source - AGEIS database, </w:t>
      </w:r>
      <w:r w:rsidR="003C0939" w:rsidRPr="00883399">
        <w:rPr>
          <w:sz w:val="20"/>
          <w:szCs w:val="20"/>
        </w:rPr>
        <w:t>Department of Climate Change and Energy Efficiency</w:t>
      </w:r>
      <w:r w:rsidRPr="00883399">
        <w:rPr>
          <w:sz w:val="20"/>
          <w:szCs w:val="20"/>
        </w:rPr>
        <w:t xml:space="preserve"> (based on facility reports). </w:t>
      </w:r>
    </w:p>
    <w:p w14:paraId="025FABC5" w14:textId="77777777" w:rsidR="007261F7" w:rsidRPr="00883399" w:rsidRDefault="007261F7">
      <w:pPr>
        <w:spacing w:before="240"/>
        <w:rPr>
          <w:sz w:val="20"/>
          <w:szCs w:val="20"/>
        </w:rPr>
      </w:pPr>
      <w:r w:rsidRPr="00883399">
        <w:rPr>
          <w:sz w:val="20"/>
          <w:szCs w:val="20"/>
        </w:rPr>
        <w:t>3.</w:t>
      </w:r>
      <w:r w:rsidRPr="00883399">
        <w:rPr>
          <w:sz w:val="20"/>
          <w:szCs w:val="20"/>
        </w:rPr>
        <w:tab/>
        <w:t>Energy value: Source – ABARE</w:t>
      </w:r>
      <w:r w:rsidRPr="00883399">
        <w:rPr>
          <w:rFonts w:ascii="Times New (W1)" w:hAnsi="Times New (W1)"/>
          <w:sz w:val="20"/>
          <w:szCs w:val="20"/>
          <w:vertAlign w:val="subscript"/>
        </w:rPr>
        <w:t>1</w:t>
      </w:r>
      <w:r w:rsidRPr="00883399">
        <w:rPr>
          <w:sz w:val="20"/>
          <w:szCs w:val="20"/>
        </w:rPr>
        <w:t xml:space="preserve"> (washed coking).   CO</w:t>
      </w:r>
      <w:r w:rsidRPr="00883399">
        <w:rPr>
          <w:rFonts w:ascii="Times New (W1)" w:hAnsi="Times New (W1)"/>
          <w:sz w:val="20"/>
          <w:szCs w:val="20"/>
          <w:vertAlign w:val="subscript"/>
        </w:rPr>
        <w:t>2</w:t>
      </w:r>
      <w:r w:rsidRPr="00883399">
        <w:rPr>
          <w:sz w:val="20"/>
          <w:szCs w:val="20"/>
        </w:rPr>
        <w:t xml:space="preserve"> emission factor: Source - </w:t>
      </w:r>
      <w:r w:rsidR="00B95826" w:rsidRPr="00883399">
        <w:rPr>
          <w:sz w:val="20"/>
          <w:szCs w:val="20"/>
        </w:rPr>
        <w:t>National Inventory Report 2006, Department of Climate Change</w:t>
      </w:r>
      <w:r w:rsidRPr="00883399">
        <w:rPr>
          <w:sz w:val="20"/>
          <w:szCs w:val="20"/>
        </w:rPr>
        <w:t xml:space="preserve">.  </w:t>
      </w:r>
    </w:p>
    <w:p w14:paraId="2B4D5126" w14:textId="77777777" w:rsidR="007261F7" w:rsidRPr="00883399" w:rsidRDefault="007261F7">
      <w:pPr>
        <w:rPr>
          <w:sz w:val="20"/>
          <w:szCs w:val="20"/>
        </w:rPr>
      </w:pPr>
    </w:p>
    <w:p w14:paraId="502EFB91" w14:textId="77777777" w:rsidR="007261F7" w:rsidRPr="00883399" w:rsidRDefault="007261F7">
      <w:pPr>
        <w:rPr>
          <w:sz w:val="20"/>
          <w:szCs w:val="20"/>
        </w:rPr>
      </w:pPr>
      <w:r w:rsidRPr="00883399">
        <w:rPr>
          <w:sz w:val="20"/>
          <w:szCs w:val="20"/>
        </w:rPr>
        <w:t>4.</w:t>
      </w:r>
      <w:r w:rsidRPr="00883399">
        <w:rPr>
          <w:sz w:val="20"/>
          <w:szCs w:val="20"/>
        </w:rPr>
        <w:tab/>
        <w:t>Energy value: Source – ABARE</w:t>
      </w:r>
      <w:r w:rsidRPr="00883399">
        <w:rPr>
          <w:rFonts w:ascii="Times New (W1)" w:hAnsi="Times New (W1)"/>
          <w:sz w:val="20"/>
          <w:szCs w:val="20"/>
          <w:vertAlign w:val="subscript"/>
        </w:rPr>
        <w:t>1</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 AGEIS database, </w:t>
      </w:r>
      <w:r w:rsidR="003C0939" w:rsidRPr="00883399">
        <w:rPr>
          <w:sz w:val="20"/>
          <w:szCs w:val="20"/>
        </w:rPr>
        <w:t>Department of Climate Change and Energy Efficiency</w:t>
      </w:r>
      <w:r w:rsidRPr="00883399">
        <w:rPr>
          <w:sz w:val="20"/>
          <w:szCs w:val="20"/>
        </w:rPr>
        <w:t xml:space="preserve"> (based on facility reports).  </w:t>
      </w:r>
    </w:p>
    <w:p w14:paraId="3575D593" w14:textId="77777777" w:rsidR="007261F7" w:rsidRPr="00883399" w:rsidRDefault="007261F7">
      <w:pPr>
        <w:rPr>
          <w:sz w:val="20"/>
          <w:szCs w:val="20"/>
        </w:rPr>
      </w:pPr>
    </w:p>
    <w:p w14:paraId="048F3176" w14:textId="77777777" w:rsidR="007261F7" w:rsidRPr="00883399" w:rsidRDefault="007261F7">
      <w:pPr>
        <w:rPr>
          <w:sz w:val="20"/>
          <w:szCs w:val="20"/>
        </w:rPr>
      </w:pPr>
      <w:r w:rsidRPr="00883399">
        <w:rPr>
          <w:sz w:val="20"/>
          <w:szCs w:val="20"/>
        </w:rPr>
        <w:t>5.</w:t>
      </w:r>
      <w:r w:rsidRPr="00883399">
        <w:rPr>
          <w:sz w:val="20"/>
          <w:szCs w:val="20"/>
        </w:rPr>
        <w:tab/>
        <w:t>Energy value: Source – ABARE</w:t>
      </w:r>
      <w:r w:rsidRPr="00883399">
        <w:rPr>
          <w:rFonts w:ascii="Times New (W1)" w:hAnsi="Times New (W1)"/>
          <w:sz w:val="20"/>
          <w:szCs w:val="20"/>
          <w:vertAlign w:val="subscript"/>
        </w:rPr>
        <w:t>1</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 </w:t>
      </w:r>
      <w:r w:rsidR="00B95826" w:rsidRPr="00883399">
        <w:rPr>
          <w:sz w:val="20"/>
          <w:szCs w:val="20"/>
        </w:rPr>
        <w:t>National Inventory Report 2006, Department of Climate Change</w:t>
      </w:r>
      <w:r w:rsidRPr="00883399">
        <w:rPr>
          <w:sz w:val="20"/>
          <w:szCs w:val="20"/>
        </w:rPr>
        <w:t xml:space="preserve">.  </w:t>
      </w:r>
    </w:p>
    <w:p w14:paraId="0469332B" w14:textId="77777777" w:rsidR="007261F7" w:rsidRPr="00883399" w:rsidRDefault="007261F7">
      <w:pPr>
        <w:rPr>
          <w:sz w:val="20"/>
          <w:szCs w:val="20"/>
        </w:rPr>
      </w:pPr>
    </w:p>
    <w:p w14:paraId="52DCAE0B" w14:textId="77777777" w:rsidR="007261F7" w:rsidRPr="00883399" w:rsidRDefault="007261F7">
      <w:pPr>
        <w:rPr>
          <w:sz w:val="20"/>
          <w:szCs w:val="20"/>
        </w:rPr>
      </w:pPr>
      <w:r w:rsidRPr="00883399">
        <w:rPr>
          <w:sz w:val="20"/>
          <w:szCs w:val="20"/>
        </w:rPr>
        <w:t>6.</w:t>
      </w:r>
      <w:r w:rsidRPr="00883399">
        <w:rPr>
          <w:sz w:val="20"/>
          <w:szCs w:val="20"/>
        </w:rPr>
        <w:tab/>
        <w:t>Energy value: Source – ABARE</w:t>
      </w:r>
      <w:r w:rsidRPr="00883399">
        <w:rPr>
          <w:rFonts w:ascii="Times New (W1)" w:hAnsi="Times New (W1)"/>
          <w:sz w:val="20"/>
          <w:szCs w:val="20"/>
          <w:vertAlign w:val="subscript"/>
        </w:rPr>
        <w:t>1</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 </w:t>
      </w:r>
      <w:r w:rsidR="00B95826" w:rsidRPr="00883399">
        <w:rPr>
          <w:sz w:val="20"/>
          <w:szCs w:val="20"/>
        </w:rPr>
        <w:t>National Inventory Report 2006, Department of Climate Change</w:t>
      </w:r>
      <w:r w:rsidRPr="00883399">
        <w:rPr>
          <w:sz w:val="20"/>
          <w:szCs w:val="20"/>
        </w:rPr>
        <w:t xml:space="preserve"> (coal tar).  </w:t>
      </w:r>
    </w:p>
    <w:p w14:paraId="770DC963" w14:textId="77777777" w:rsidR="007261F7" w:rsidRPr="00883399" w:rsidRDefault="007261F7">
      <w:pPr>
        <w:rPr>
          <w:sz w:val="20"/>
          <w:szCs w:val="20"/>
        </w:rPr>
      </w:pPr>
    </w:p>
    <w:p w14:paraId="66F3E2A8" w14:textId="77777777" w:rsidR="007261F7" w:rsidRPr="00883399" w:rsidRDefault="007261F7">
      <w:pPr>
        <w:rPr>
          <w:sz w:val="20"/>
          <w:szCs w:val="20"/>
        </w:rPr>
      </w:pPr>
      <w:r w:rsidRPr="00883399">
        <w:rPr>
          <w:sz w:val="20"/>
          <w:szCs w:val="20"/>
        </w:rPr>
        <w:t>7.</w:t>
      </w:r>
      <w:r w:rsidRPr="00883399">
        <w:rPr>
          <w:sz w:val="20"/>
          <w:szCs w:val="20"/>
        </w:rPr>
        <w:tab/>
        <w:t>See (4)</w:t>
      </w:r>
    </w:p>
    <w:p w14:paraId="354B4570" w14:textId="77777777" w:rsidR="007261F7" w:rsidRPr="00883399" w:rsidRDefault="007261F7">
      <w:pPr>
        <w:rPr>
          <w:sz w:val="20"/>
          <w:szCs w:val="20"/>
        </w:rPr>
      </w:pPr>
    </w:p>
    <w:p w14:paraId="23B39D93" w14:textId="77777777" w:rsidR="007261F7" w:rsidRPr="00883399" w:rsidRDefault="007261F7">
      <w:pPr>
        <w:rPr>
          <w:sz w:val="20"/>
          <w:szCs w:val="20"/>
        </w:rPr>
      </w:pPr>
      <w:r w:rsidRPr="00883399">
        <w:rPr>
          <w:sz w:val="20"/>
          <w:szCs w:val="20"/>
        </w:rPr>
        <w:t>8.</w:t>
      </w:r>
      <w:r w:rsidRPr="00883399">
        <w:rPr>
          <w:sz w:val="20"/>
          <w:szCs w:val="20"/>
        </w:rPr>
        <w:tab/>
        <w:t>Energy value: Source – GHD Review of Sectoral Models, Internal report to the AGO, 2006. CO</w:t>
      </w:r>
      <w:r w:rsidRPr="00883399">
        <w:rPr>
          <w:rFonts w:ascii="Times New (W1)" w:hAnsi="Times New (W1)"/>
          <w:sz w:val="20"/>
          <w:szCs w:val="20"/>
          <w:vertAlign w:val="subscript"/>
        </w:rPr>
        <w:t xml:space="preserve">2 </w:t>
      </w:r>
      <w:r w:rsidRPr="00883399">
        <w:rPr>
          <w:sz w:val="20"/>
          <w:szCs w:val="20"/>
        </w:rPr>
        <w:t xml:space="preserve">emission factor: Source – </w:t>
      </w:r>
      <w:r w:rsidR="00B95826" w:rsidRPr="00883399">
        <w:rPr>
          <w:sz w:val="20"/>
          <w:szCs w:val="20"/>
        </w:rPr>
        <w:t>National Inventory Report 2006, Department of Climate Change</w:t>
      </w:r>
      <w:r w:rsidRPr="00883399">
        <w:rPr>
          <w:sz w:val="20"/>
          <w:szCs w:val="20"/>
        </w:rPr>
        <w:t xml:space="preserve">.  </w:t>
      </w:r>
    </w:p>
    <w:p w14:paraId="3CB0D99C" w14:textId="77777777" w:rsidR="007261F7" w:rsidRPr="00883399" w:rsidRDefault="007261F7">
      <w:pPr>
        <w:rPr>
          <w:sz w:val="20"/>
          <w:szCs w:val="20"/>
        </w:rPr>
      </w:pPr>
      <w:r w:rsidRPr="00883399">
        <w:rPr>
          <w:sz w:val="20"/>
          <w:szCs w:val="20"/>
        </w:rPr>
        <w:t xml:space="preserve"> </w:t>
      </w:r>
    </w:p>
    <w:p w14:paraId="6798FAE7" w14:textId="77777777" w:rsidR="007261F7" w:rsidRPr="00883399" w:rsidRDefault="007261F7">
      <w:pPr>
        <w:rPr>
          <w:sz w:val="20"/>
          <w:szCs w:val="20"/>
        </w:rPr>
      </w:pPr>
      <w:r w:rsidRPr="00883399">
        <w:rPr>
          <w:sz w:val="20"/>
          <w:szCs w:val="20"/>
        </w:rPr>
        <w:t>9.</w:t>
      </w:r>
      <w:r w:rsidRPr="00883399">
        <w:rPr>
          <w:sz w:val="20"/>
          <w:szCs w:val="20"/>
        </w:rPr>
        <w:tab/>
        <w:t>Energy value: Source – IPCC 2006. Derived from NCV using factor of 5% of gross calorific value</w:t>
      </w:r>
      <w:r w:rsidR="000D6261" w:rsidRPr="00883399">
        <w:rPr>
          <w:sz w:val="20"/>
          <w:szCs w:val="20"/>
        </w:rPr>
        <w:t>.</w:t>
      </w:r>
      <w:r w:rsidRPr="00883399">
        <w:rPr>
          <w:sz w:val="20"/>
          <w:szCs w:val="20"/>
        </w:rPr>
        <w:t xml:space="preserve"> CO</w:t>
      </w:r>
      <w:r w:rsidRPr="00883399">
        <w:rPr>
          <w:rFonts w:ascii="Times New (W1)" w:hAnsi="Times New (W1)"/>
          <w:sz w:val="20"/>
          <w:szCs w:val="20"/>
          <w:vertAlign w:val="subscript"/>
        </w:rPr>
        <w:t>2</w:t>
      </w:r>
      <w:r w:rsidRPr="00883399">
        <w:rPr>
          <w:sz w:val="20"/>
          <w:szCs w:val="20"/>
        </w:rPr>
        <w:t xml:space="preserve"> emission factor: Source: IPCC 2006. Derived using conversion factor of 0.95.</w:t>
      </w:r>
    </w:p>
    <w:p w14:paraId="72DE69D3" w14:textId="77777777" w:rsidR="007261F7" w:rsidRPr="00883399" w:rsidRDefault="007261F7">
      <w:pPr>
        <w:rPr>
          <w:sz w:val="20"/>
          <w:szCs w:val="20"/>
        </w:rPr>
      </w:pPr>
    </w:p>
    <w:p w14:paraId="598EB1CC" w14:textId="77777777" w:rsidR="007261F7" w:rsidRPr="00883399" w:rsidRDefault="007261F7">
      <w:pPr>
        <w:rPr>
          <w:sz w:val="20"/>
          <w:szCs w:val="20"/>
        </w:rPr>
      </w:pPr>
      <w:r w:rsidRPr="00883399">
        <w:rPr>
          <w:sz w:val="20"/>
          <w:szCs w:val="20"/>
        </w:rPr>
        <w:t>10.</w:t>
      </w:r>
      <w:r w:rsidRPr="00883399">
        <w:rPr>
          <w:sz w:val="20"/>
          <w:szCs w:val="20"/>
        </w:rPr>
        <w:tab/>
        <w:t>Energy value: Source: ABARE</w:t>
      </w:r>
      <w:r w:rsidRPr="00883399">
        <w:rPr>
          <w:rFonts w:ascii="Times New (W1)" w:hAnsi="Times New (W1)"/>
          <w:sz w:val="20"/>
          <w:szCs w:val="20"/>
          <w:vertAlign w:val="subscript"/>
        </w:rPr>
        <w:t>1</w:t>
      </w:r>
      <w:r w:rsidRPr="00883399">
        <w:rPr>
          <w:sz w:val="20"/>
          <w:szCs w:val="20"/>
        </w:rPr>
        <w:t xml:space="preserve"> (dry wood).  </w:t>
      </w:r>
    </w:p>
    <w:p w14:paraId="5247B98C" w14:textId="77777777" w:rsidR="007261F7" w:rsidRPr="00883399" w:rsidRDefault="007261F7">
      <w:pPr>
        <w:rPr>
          <w:sz w:val="20"/>
          <w:szCs w:val="20"/>
        </w:rPr>
      </w:pPr>
    </w:p>
    <w:p w14:paraId="24A612EB" w14:textId="77777777" w:rsidR="007261F7" w:rsidRPr="00883399" w:rsidRDefault="007261F7">
      <w:pPr>
        <w:rPr>
          <w:sz w:val="20"/>
          <w:szCs w:val="20"/>
        </w:rPr>
      </w:pPr>
      <w:r w:rsidRPr="00883399">
        <w:rPr>
          <w:sz w:val="20"/>
          <w:szCs w:val="20"/>
        </w:rPr>
        <w:t>11.</w:t>
      </w:r>
      <w:r w:rsidRPr="00883399">
        <w:rPr>
          <w:sz w:val="20"/>
          <w:szCs w:val="20"/>
        </w:rPr>
        <w:tab/>
        <w:t>Energy value: Source: ABARE</w:t>
      </w:r>
      <w:r w:rsidRPr="00883399">
        <w:rPr>
          <w:rFonts w:ascii="Times New (W1)" w:hAnsi="Times New (W1)"/>
          <w:sz w:val="20"/>
          <w:szCs w:val="20"/>
          <w:vertAlign w:val="subscript"/>
        </w:rPr>
        <w:t>1</w:t>
      </w:r>
      <w:r w:rsidRPr="00883399">
        <w:rPr>
          <w:sz w:val="20"/>
          <w:szCs w:val="20"/>
        </w:rPr>
        <w:t xml:space="preserve"> (green wood).  </w:t>
      </w:r>
    </w:p>
    <w:p w14:paraId="123079CC" w14:textId="77777777" w:rsidR="007261F7" w:rsidRPr="00883399" w:rsidRDefault="007261F7">
      <w:pPr>
        <w:rPr>
          <w:sz w:val="20"/>
          <w:szCs w:val="20"/>
        </w:rPr>
      </w:pPr>
    </w:p>
    <w:p w14:paraId="68BD31F7" w14:textId="77777777" w:rsidR="007261F7" w:rsidRPr="00883399" w:rsidRDefault="007261F7">
      <w:pPr>
        <w:rPr>
          <w:sz w:val="20"/>
          <w:szCs w:val="20"/>
        </w:rPr>
      </w:pPr>
      <w:r w:rsidRPr="00883399">
        <w:rPr>
          <w:sz w:val="20"/>
          <w:szCs w:val="20"/>
        </w:rPr>
        <w:t>12.</w:t>
      </w:r>
      <w:r w:rsidRPr="00883399">
        <w:rPr>
          <w:sz w:val="20"/>
          <w:szCs w:val="20"/>
        </w:rPr>
        <w:tab/>
        <w:t>Energy value: Source – IPCC 2006. Derived from NCV using factor of 5% of gross calorific value.  .</w:t>
      </w:r>
    </w:p>
    <w:p w14:paraId="3D32CD09" w14:textId="77777777" w:rsidR="007261F7" w:rsidRPr="00883399" w:rsidRDefault="007261F7">
      <w:pPr>
        <w:rPr>
          <w:sz w:val="20"/>
          <w:szCs w:val="20"/>
        </w:rPr>
      </w:pPr>
    </w:p>
    <w:p w14:paraId="60F0B938" w14:textId="77777777" w:rsidR="007261F7" w:rsidRPr="00883399" w:rsidRDefault="007261F7">
      <w:pPr>
        <w:rPr>
          <w:sz w:val="20"/>
          <w:szCs w:val="20"/>
        </w:rPr>
      </w:pPr>
      <w:r w:rsidRPr="00883399">
        <w:rPr>
          <w:sz w:val="20"/>
          <w:szCs w:val="20"/>
        </w:rPr>
        <w:t>13.</w:t>
      </w:r>
      <w:r w:rsidRPr="00883399">
        <w:rPr>
          <w:sz w:val="20"/>
          <w:szCs w:val="20"/>
        </w:rPr>
        <w:tab/>
        <w:t>Energy value: Source: ABARE</w:t>
      </w:r>
      <w:r w:rsidRPr="00883399">
        <w:rPr>
          <w:rFonts w:ascii="Times New (W1)" w:hAnsi="Times New (W1)"/>
          <w:sz w:val="20"/>
          <w:szCs w:val="20"/>
          <w:vertAlign w:val="subscript"/>
        </w:rPr>
        <w:t>1</w:t>
      </w:r>
      <w:r w:rsidRPr="00883399">
        <w:rPr>
          <w:sz w:val="20"/>
          <w:szCs w:val="20"/>
        </w:rPr>
        <w:t xml:space="preserve">.  </w:t>
      </w:r>
    </w:p>
    <w:p w14:paraId="0DFE8937" w14:textId="77777777" w:rsidR="007261F7" w:rsidRPr="00883399" w:rsidRDefault="007261F7">
      <w:pPr>
        <w:rPr>
          <w:sz w:val="20"/>
          <w:szCs w:val="20"/>
        </w:rPr>
      </w:pPr>
    </w:p>
    <w:p w14:paraId="78E2BDB9" w14:textId="77777777" w:rsidR="007261F7" w:rsidRPr="00883399" w:rsidRDefault="007261F7">
      <w:pPr>
        <w:rPr>
          <w:sz w:val="20"/>
          <w:szCs w:val="20"/>
        </w:rPr>
      </w:pPr>
      <w:r w:rsidRPr="00883399">
        <w:rPr>
          <w:sz w:val="20"/>
          <w:szCs w:val="20"/>
        </w:rPr>
        <w:t>14.</w:t>
      </w:r>
      <w:r w:rsidRPr="00883399">
        <w:rPr>
          <w:sz w:val="20"/>
          <w:szCs w:val="20"/>
        </w:rPr>
        <w:tab/>
        <w:t xml:space="preserve">Energy value: Source – IPCC 2006. Derived from NCV using factor of 5% of gross calorific value.  </w:t>
      </w:r>
    </w:p>
    <w:p w14:paraId="2D954BA2" w14:textId="77777777" w:rsidR="007261F7" w:rsidRPr="00883399" w:rsidRDefault="007261F7">
      <w:pPr>
        <w:rPr>
          <w:sz w:val="20"/>
          <w:szCs w:val="20"/>
        </w:rPr>
      </w:pPr>
    </w:p>
    <w:p w14:paraId="53834F35" w14:textId="77777777" w:rsidR="007261F7" w:rsidRPr="00883399" w:rsidRDefault="007261F7">
      <w:pPr>
        <w:rPr>
          <w:sz w:val="20"/>
          <w:szCs w:val="20"/>
        </w:rPr>
      </w:pPr>
      <w:r w:rsidRPr="00883399">
        <w:rPr>
          <w:sz w:val="20"/>
          <w:szCs w:val="20"/>
        </w:rPr>
        <w:t>15.</w:t>
      </w:r>
      <w:r w:rsidRPr="00883399">
        <w:rPr>
          <w:sz w:val="20"/>
          <w:szCs w:val="20"/>
        </w:rPr>
        <w:tab/>
        <w:t xml:space="preserve">Energy value: Source – IPCC 2006. Derived from NCV using factor of 5% of gross calorific value.  </w:t>
      </w:r>
    </w:p>
    <w:p w14:paraId="6F82776C" w14:textId="77777777" w:rsidR="007261F7" w:rsidRPr="00883399" w:rsidRDefault="007261F7">
      <w:pPr>
        <w:rPr>
          <w:sz w:val="20"/>
          <w:szCs w:val="20"/>
        </w:rPr>
      </w:pPr>
    </w:p>
    <w:p w14:paraId="7B2C5BE6" w14:textId="77777777" w:rsidR="007261F7" w:rsidRPr="00883399" w:rsidRDefault="007261F7">
      <w:pPr>
        <w:rPr>
          <w:sz w:val="20"/>
          <w:szCs w:val="20"/>
        </w:rPr>
      </w:pPr>
      <w:r w:rsidRPr="00883399">
        <w:rPr>
          <w:sz w:val="20"/>
          <w:szCs w:val="20"/>
        </w:rPr>
        <w:t>16.</w:t>
      </w:r>
      <w:r w:rsidRPr="00883399">
        <w:rPr>
          <w:sz w:val="20"/>
          <w:szCs w:val="20"/>
        </w:rPr>
        <w:tab/>
        <w:t>See (14)</w:t>
      </w:r>
    </w:p>
    <w:p w14:paraId="6FCE7585" w14:textId="77777777" w:rsidR="007261F7" w:rsidRPr="00883399" w:rsidRDefault="007261F7">
      <w:pPr>
        <w:rPr>
          <w:sz w:val="20"/>
          <w:szCs w:val="20"/>
        </w:rPr>
      </w:pPr>
    </w:p>
    <w:p w14:paraId="5E7F6FF7" w14:textId="77777777" w:rsidR="007261F7" w:rsidRPr="00883399" w:rsidRDefault="007261F7">
      <w:pPr>
        <w:rPr>
          <w:sz w:val="20"/>
          <w:szCs w:val="20"/>
        </w:rPr>
      </w:pPr>
      <w:r w:rsidRPr="00883399">
        <w:rPr>
          <w:sz w:val="20"/>
          <w:szCs w:val="20"/>
        </w:rPr>
        <w:t>17.</w:t>
      </w:r>
      <w:r w:rsidRPr="00883399">
        <w:rPr>
          <w:sz w:val="20"/>
          <w:szCs w:val="20"/>
        </w:rPr>
        <w:tab/>
        <w:t>Energy value: Source: ABARE</w:t>
      </w:r>
      <w:r w:rsidRPr="00883399">
        <w:rPr>
          <w:rFonts w:ascii="Times New (W1)" w:hAnsi="Times New (W1)"/>
          <w:sz w:val="20"/>
          <w:szCs w:val="20"/>
          <w:vertAlign w:val="subscript"/>
        </w:rPr>
        <w:t>1</w:t>
      </w:r>
      <w:r w:rsidRPr="00883399">
        <w:rPr>
          <w:sz w:val="20"/>
          <w:szCs w:val="20"/>
        </w:rPr>
        <w:t xml:space="preserve"> (weighted average). CO</w:t>
      </w:r>
      <w:r w:rsidRPr="00883399">
        <w:rPr>
          <w:rFonts w:ascii="Times New (W1)" w:hAnsi="Times New (W1)"/>
          <w:sz w:val="20"/>
          <w:szCs w:val="20"/>
          <w:vertAlign w:val="subscript"/>
        </w:rPr>
        <w:t>2</w:t>
      </w:r>
      <w:r w:rsidRPr="00883399">
        <w:rPr>
          <w:sz w:val="20"/>
          <w:szCs w:val="20"/>
        </w:rPr>
        <w:t xml:space="preserve"> emission factor: Source - AGEIS database, </w:t>
      </w:r>
      <w:r w:rsidR="003C0939" w:rsidRPr="00883399">
        <w:rPr>
          <w:sz w:val="20"/>
          <w:szCs w:val="20"/>
        </w:rPr>
        <w:t>Department of Climate Change and Energy Efficiency</w:t>
      </w:r>
      <w:r w:rsidRPr="00883399">
        <w:rPr>
          <w:sz w:val="20"/>
          <w:szCs w:val="20"/>
        </w:rPr>
        <w:t xml:space="preserve">. </w:t>
      </w:r>
    </w:p>
    <w:p w14:paraId="59F75249" w14:textId="77777777" w:rsidR="00B00371" w:rsidRPr="00883399" w:rsidRDefault="00B00371">
      <w:pPr>
        <w:rPr>
          <w:sz w:val="20"/>
          <w:szCs w:val="20"/>
        </w:rPr>
      </w:pPr>
    </w:p>
    <w:p w14:paraId="001CA885" w14:textId="77777777" w:rsidR="00B00371" w:rsidRPr="00883399" w:rsidRDefault="00B00371">
      <w:pPr>
        <w:rPr>
          <w:sz w:val="20"/>
          <w:szCs w:val="20"/>
        </w:rPr>
      </w:pPr>
      <w:r w:rsidRPr="00883399">
        <w:rPr>
          <w:sz w:val="20"/>
          <w:szCs w:val="20"/>
        </w:rPr>
        <w:t>17A</w:t>
      </w:r>
      <w:r w:rsidR="00A74347" w:rsidRPr="00883399">
        <w:rPr>
          <w:sz w:val="20"/>
          <w:szCs w:val="20"/>
        </w:rPr>
        <w:tab/>
        <w:t>Energy value: Source: ABARE1 (weighted average). CO</w:t>
      </w:r>
      <w:r w:rsidR="00A74347" w:rsidRPr="00883399">
        <w:rPr>
          <w:sz w:val="20"/>
          <w:szCs w:val="20"/>
          <w:vertAlign w:val="subscript"/>
        </w:rPr>
        <w:t>2</w:t>
      </w:r>
      <w:r w:rsidR="00A74347" w:rsidRPr="00883399">
        <w:rPr>
          <w:sz w:val="20"/>
          <w:szCs w:val="20"/>
        </w:rPr>
        <w:t xml:space="preserve"> emission factor: Source - AGEIS database, Department of Climate Change and Energy Efficiency.</w:t>
      </w:r>
    </w:p>
    <w:p w14:paraId="66799C4E" w14:textId="77777777" w:rsidR="007261F7" w:rsidRPr="00883399" w:rsidRDefault="007261F7">
      <w:pPr>
        <w:rPr>
          <w:sz w:val="20"/>
          <w:szCs w:val="20"/>
        </w:rPr>
      </w:pPr>
    </w:p>
    <w:p w14:paraId="626E39B2" w14:textId="77777777" w:rsidR="007261F7" w:rsidRPr="00883399" w:rsidRDefault="007261F7">
      <w:pPr>
        <w:rPr>
          <w:sz w:val="20"/>
          <w:szCs w:val="20"/>
        </w:rPr>
      </w:pPr>
      <w:r w:rsidRPr="00883399">
        <w:rPr>
          <w:sz w:val="20"/>
          <w:szCs w:val="20"/>
        </w:rPr>
        <w:t>18.</w:t>
      </w:r>
      <w:r w:rsidRPr="00883399">
        <w:rPr>
          <w:sz w:val="20"/>
          <w:szCs w:val="20"/>
        </w:rPr>
        <w:tab/>
        <w:t>Energy value: Source: ABARE</w:t>
      </w:r>
      <w:r w:rsidRPr="00883399">
        <w:rPr>
          <w:rFonts w:ascii="Times New (W1)" w:hAnsi="Times New (W1)"/>
          <w:sz w:val="20"/>
          <w:szCs w:val="20"/>
          <w:vertAlign w:val="subscript"/>
        </w:rPr>
        <w:t>1</w:t>
      </w:r>
      <w:r w:rsidRPr="00883399">
        <w:rPr>
          <w:sz w:val="20"/>
          <w:szCs w:val="20"/>
        </w:rPr>
        <w:t xml:space="preserve"> (coal seam methane). CO</w:t>
      </w:r>
      <w:r w:rsidRPr="00883399">
        <w:rPr>
          <w:rFonts w:ascii="Times New (W1)" w:hAnsi="Times New (W1)"/>
          <w:sz w:val="20"/>
          <w:szCs w:val="20"/>
          <w:vertAlign w:val="subscript"/>
        </w:rPr>
        <w:t>2</w:t>
      </w:r>
      <w:r w:rsidRPr="00883399">
        <w:rPr>
          <w:sz w:val="20"/>
          <w:szCs w:val="20"/>
        </w:rPr>
        <w:t xml:space="preserve"> emission factor: Source - AGEIS database, </w:t>
      </w:r>
      <w:r w:rsidR="003C0939" w:rsidRPr="00883399">
        <w:rPr>
          <w:sz w:val="20"/>
          <w:szCs w:val="20"/>
        </w:rPr>
        <w:t>Department of Climate Change and Energy Efficiency</w:t>
      </w:r>
      <w:r w:rsidRPr="00883399">
        <w:rPr>
          <w:sz w:val="20"/>
          <w:szCs w:val="20"/>
        </w:rPr>
        <w:t xml:space="preserve">. </w:t>
      </w:r>
    </w:p>
    <w:p w14:paraId="39A85654" w14:textId="77777777" w:rsidR="007261F7" w:rsidRPr="00883399" w:rsidRDefault="007261F7">
      <w:pPr>
        <w:rPr>
          <w:sz w:val="20"/>
          <w:szCs w:val="20"/>
        </w:rPr>
      </w:pPr>
    </w:p>
    <w:p w14:paraId="0A04A73D" w14:textId="77777777" w:rsidR="007261F7" w:rsidRPr="00883399" w:rsidRDefault="007261F7">
      <w:pPr>
        <w:rPr>
          <w:sz w:val="20"/>
          <w:szCs w:val="20"/>
        </w:rPr>
      </w:pPr>
      <w:r w:rsidRPr="00883399">
        <w:rPr>
          <w:sz w:val="20"/>
          <w:szCs w:val="20"/>
        </w:rPr>
        <w:t>19.</w:t>
      </w:r>
      <w:r w:rsidRPr="00883399">
        <w:rPr>
          <w:sz w:val="20"/>
          <w:szCs w:val="20"/>
        </w:rPr>
        <w:tab/>
        <w:t>Energy value: Source: ABARE</w:t>
      </w:r>
      <w:r w:rsidRPr="00883399">
        <w:rPr>
          <w:rFonts w:ascii="Times New (W1)" w:hAnsi="Times New (W1)"/>
          <w:sz w:val="20"/>
          <w:szCs w:val="20"/>
          <w:vertAlign w:val="subscript"/>
        </w:rPr>
        <w:t>1</w:t>
      </w:r>
      <w:r w:rsidRPr="00883399">
        <w:rPr>
          <w:sz w:val="20"/>
          <w:szCs w:val="20"/>
        </w:rPr>
        <w:t xml:space="preserve"> (coal seam methane). CO</w:t>
      </w:r>
      <w:r w:rsidRPr="00883399">
        <w:rPr>
          <w:rFonts w:ascii="Times New (W1)" w:hAnsi="Times New (W1)"/>
          <w:sz w:val="20"/>
          <w:szCs w:val="20"/>
          <w:vertAlign w:val="subscript"/>
        </w:rPr>
        <w:t>2</w:t>
      </w:r>
      <w:r w:rsidRPr="00883399">
        <w:rPr>
          <w:sz w:val="20"/>
          <w:szCs w:val="20"/>
        </w:rPr>
        <w:t xml:space="preserve"> emission factor: Source - AGEIS database, </w:t>
      </w:r>
      <w:r w:rsidR="003C0939" w:rsidRPr="00883399">
        <w:rPr>
          <w:sz w:val="20"/>
          <w:szCs w:val="20"/>
        </w:rPr>
        <w:t>Department of Climate Change and Energy Efficiency</w:t>
      </w:r>
      <w:r w:rsidRPr="00883399">
        <w:rPr>
          <w:sz w:val="20"/>
          <w:szCs w:val="20"/>
        </w:rPr>
        <w:t xml:space="preserve">. </w:t>
      </w:r>
    </w:p>
    <w:p w14:paraId="6F909704" w14:textId="77777777" w:rsidR="007261F7" w:rsidRPr="00883399" w:rsidRDefault="007261F7">
      <w:pPr>
        <w:rPr>
          <w:sz w:val="20"/>
          <w:szCs w:val="20"/>
        </w:rPr>
      </w:pPr>
    </w:p>
    <w:p w14:paraId="18FE55B6" w14:textId="77777777" w:rsidR="007261F7" w:rsidRPr="00883399" w:rsidRDefault="007261F7">
      <w:pPr>
        <w:rPr>
          <w:sz w:val="20"/>
          <w:szCs w:val="20"/>
        </w:rPr>
      </w:pPr>
      <w:r w:rsidRPr="00883399">
        <w:rPr>
          <w:sz w:val="20"/>
          <w:szCs w:val="20"/>
        </w:rPr>
        <w:t>20.</w:t>
      </w:r>
      <w:r w:rsidRPr="00883399">
        <w:rPr>
          <w:sz w:val="20"/>
          <w:szCs w:val="20"/>
        </w:rPr>
        <w:tab/>
        <w:t>See (17)</w:t>
      </w:r>
    </w:p>
    <w:p w14:paraId="702AF843" w14:textId="77777777" w:rsidR="007261F7" w:rsidRPr="00883399" w:rsidRDefault="007261F7">
      <w:pPr>
        <w:rPr>
          <w:sz w:val="20"/>
          <w:szCs w:val="20"/>
        </w:rPr>
      </w:pPr>
    </w:p>
    <w:p w14:paraId="3B8317AE" w14:textId="77777777" w:rsidR="007261F7" w:rsidRPr="00883399" w:rsidRDefault="007261F7">
      <w:pPr>
        <w:rPr>
          <w:sz w:val="20"/>
          <w:szCs w:val="20"/>
        </w:rPr>
      </w:pPr>
      <w:r w:rsidRPr="00883399">
        <w:rPr>
          <w:sz w:val="20"/>
          <w:szCs w:val="20"/>
        </w:rPr>
        <w:t>21.</w:t>
      </w:r>
      <w:r w:rsidRPr="00883399">
        <w:rPr>
          <w:sz w:val="20"/>
          <w:szCs w:val="20"/>
        </w:rPr>
        <w:tab/>
        <w:t>See (17)</w:t>
      </w:r>
    </w:p>
    <w:p w14:paraId="2F303312" w14:textId="77777777" w:rsidR="007261F7" w:rsidRPr="00883399" w:rsidRDefault="007261F7">
      <w:pPr>
        <w:rPr>
          <w:sz w:val="20"/>
          <w:szCs w:val="20"/>
        </w:rPr>
      </w:pPr>
    </w:p>
    <w:p w14:paraId="6724109B" w14:textId="77777777" w:rsidR="007261F7" w:rsidRPr="00883399" w:rsidRDefault="007261F7">
      <w:pPr>
        <w:rPr>
          <w:sz w:val="20"/>
          <w:szCs w:val="20"/>
        </w:rPr>
      </w:pPr>
      <w:r w:rsidRPr="00883399">
        <w:rPr>
          <w:sz w:val="20"/>
          <w:szCs w:val="20"/>
        </w:rPr>
        <w:t>22.</w:t>
      </w:r>
      <w:r w:rsidRPr="00883399">
        <w:rPr>
          <w:sz w:val="20"/>
          <w:szCs w:val="20"/>
        </w:rPr>
        <w:tab/>
        <w:t>Energy value: Source: ABARE</w:t>
      </w:r>
      <w:r w:rsidR="00A23F9E" w:rsidRPr="00883399">
        <w:rPr>
          <w:rFonts w:ascii="Times New (W1)" w:hAnsi="Times New (W1)"/>
          <w:sz w:val="20"/>
          <w:szCs w:val="20"/>
          <w:vertAlign w:val="subscript"/>
        </w:rPr>
        <w:t>1</w:t>
      </w:r>
      <w:r w:rsidRPr="00883399">
        <w:rPr>
          <w:sz w:val="20"/>
          <w:szCs w:val="20"/>
        </w:rPr>
        <w:t xml:space="preserve"> (average). CO</w:t>
      </w:r>
      <w:r w:rsidRPr="00883399">
        <w:rPr>
          <w:rFonts w:ascii="Times New (W1)" w:hAnsi="Times New (W1)"/>
          <w:sz w:val="20"/>
          <w:szCs w:val="20"/>
          <w:vertAlign w:val="subscript"/>
        </w:rPr>
        <w:t>2</w:t>
      </w:r>
      <w:r w:rsidRPr="00883399">
        <w:rPr>
          <w:sz w:val="20"/>
          <w:szCs w:val="20"/>
        </w:rPr>
        <w:t xml:space="preserve"> emission factor: Source – </w:t>
      </w:r>
      <w:r w:rsidR="004B6A92" w:rsidRPr="00883399">
        <w:rPr>
          <w:sz w:val="20"/>
          <w:szCs w:val="20"/>
        </w:rPr>
        <w:t>National Inventory Report 2008</w:t>
      </w:r>
      <w:r w:rsidRPr="00883399">
        <w:rPr>
          <w:sz w:val="20"/>
          <w:szCs w:val="20"/>
        </w:rPr>
        <w:t xml:space="preserve">, </w:t>
      </w:r>
      <w:r w:rsidR="003C0939" w:rsidRPr="00883399">
        <w:rPr>
          <w:sz w:val="20"/>
          <w:szCs w:val="20"/>
        </w:rPr>
        <w:t>Department of Climate Change and Energy Efficiency</w:t>
      </w:r>
      <w:r w:rsidRPr="00883399">
        <w:rPr>
          <w:sz w:val="20"/>
          <w:szCs w:val="20"/>
        </w:rPr>
        <w:t xml:space="preserve"> (forthcoming). </w:t>
      </w:r>
    </w:p>
    <w:p w14:paraId="6D9DE6B1" w14:textId="77777777" w:rsidR="007261F7" w:rsidRPr="00883399" w:rsidRDefault="007261F7">
      <w:pPr>
        <w:rPr>
          <w:sz w:val="20"/>
          <w:szCs w:val="20"/>
        </w:rPr>
      </w:pPr>
    </w:p>
    <w:p w14:paraId="5DA81314" w14:textId="77777777" w:rsidR="007261F7" w:rsidRPr="00883399" w:rsidRDefault="007261F7">
      <w:pPr>
        <w:rPr>
          <w:sz w:val="20"/>
          <w:szCs w:val="20"/>
        </w:rPr>
      </w:pPr>
      <w:r w:rsidRPr="00883399">
        <w:rPr>
          <w:sz w:val="20"/>
          <w:szCs w:val="20"/>
        </w:rPr>
        <w:t>23.</w:t>
      </w:r>
      <w:r w:rsidRPr="00883399">
        <w:rPr>
          <w:sz w:val="20"/>
          <w:szCs w:val="20"/>
        </w:rPr>
        <w:tab/>
        <w:t>Energy value: Source: ABARE</w:t>
      </w:r>
      <w:r w:rsidRPr="00883399">
        <w:rPr>
          <w:rFonts w:ascii="Times New (W1)" w:hAnsi="Times New (W1)"/>
          <w:sz w:val="20"/>
          <w:szCs w:val="20"/>
          <w:vertAlign w:val="subscript"/>
        </w:rPr>
        <w:t>1</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 </w:t>
      </w:r>
      <w:r w:rsidR="00B95826" w:rsidRPr="00883399">
        <w:rPr>
          <w:sz w:val="20"/>
          <w:szCs w:val="20"/>
        </w:rPr>
        <w:t>National Inventory Report 2006, Department of Climate Change</w:t>
      </w:r>
      <w:r w:rsidRPr="00883399">
        <w:rPr>
          <w:sz w:val="20"/>
          <w:szCs w:val="20"/>
        </w:rPr>
        <w:t xml:space="preserve">. </w:t>
      </w:r>
    </w:p>
    <w:p w14:paraId="13F0CCFF" w14:textId="77777777" w:rsidR="007261F7" w:rsidRPr="00883399" w:rsidRDefault="007261F7">
      <w:pPr>
        <w:rPr>
          <w:sz w:val="20"/>
          <w:szCs w:val="20"/>
        </w:rPr>
      </w:pPr>
    </w:p>
    <w:p w14:paraId="17F5073D" w14:textId="77777777" w:rsidR="007261F7" w:rsidRPr="00883399" w:rsidRDefault="007261F7">
      <w:pPr>
        <w:rPr>
          <w:sz w:val="20"/>
          <w:szCs w:val="20"/>
        </w:rPr>
      </w:pPr>
      <w:r w:rsidRPr="00883399">
        <w:rPr>
          <w:sz w:val="20"/>
          <w:szCs w:val="20"/>
        </w:rPr>
        <w:t>24.</w:t>
      </w:r>
      <w:r w:rsidRPr="00883399">
        <w:rPr>
          <w:sz w:val="20"/>
          <w:szCs w:val="20"/>
        </w:rPr>
        <w:tab/>
        <w:t>Energy value: Source – ABARE</w:t>
      </w:r>
      <w:r w:rsidRPr="00883399">
        <w:rPr>
          <w:rFonts w:ascii="Times New (W1)" w:hAnsi="Times New (W1)"/>
          <w:sz w:val="20"/>
          <w:szCs w:val="20"/>
          <w:vertAlign w:val="subscript"/>
        </w:rPr>
        <w:t>1</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IPCC 2006. Derived using conversion factor of 0.90.  </w:t>
      </w:r>
    </w:p>
    <w:p w14:paraId="2E237645" w14:textId="77777777" w:rsidR="007261F7" w:rsidRPr="00883399" w:rsidRDefault="007261F7">
      <w:pPr>
        <w:rPr>
          <w:sz w:val="20"/>
          <w:szCs w:val="20"/>
        </w:rPr>
      </w:pPr>
    </w:p>
    <w:p w14:paraId="217CF701" w14:textId="77777777" w:rsidR="007261F7" w:rsidRPr="00883399" w:rsidRDefault="007261F7">
      <w:pPr>
        <w:rPr>
          <w:sz w:val="20"/>
          <w:szCs w:val="20"/>
        </w:rPr>
      </w:pPr>
      <w:r w:rsidRPr="00883399">
        <w:rPr>
          <w:sz w:val="20"/>
          <w:szCs w:val="20"/>
        </w:rPr>
        <w:t>25.</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xml:space="preserve"> (synthetic natural gas).  CO</w:t>
      </w:r>
      <w:r w:rsidRPr="00883399">
        <w:rPr>
          <w:rFonts w:ascii="Times New (W1)" w:hAnsi="Times New (W1)"/>
          <w:sz w:val="20"/>
          <w:szCs w:val="20"/>
          <w:vertAlign w:val="subscript"/>
        </w:rPr>
        <w:t>2</w:t>
      </w:r>
      <w:r w:rsidRPr="00883399">
        <w:rPr>
          <w:sz w:val="20"/>
          <w:szCs w:val="20"/>
        </w:rPr>
        <w:t xml:space="preserve"> emission factor: Source: </w:t>
      </w:r>
      <w:r w:rsidR="00B95826" w:rsidRPr="00883399">
        <w:rPr>
          <w:sz w:val="20"/>
          <w:szCs w:val="20"/>
        </w:rPr>
        <w:t>National Inventory Report 2006, Department of Climate Change</w:t>
      </w:r>
      <w:r w:rsidRPr="00883399">
        <w:rPr>
          <w:sz w:val="20"/>
          <w:szCs w:val="20"/>
        </w:rPr>
        <w:t xml:space="preserve">. </w:t>
      </w:r>
    </w:p>
    <w:p w14:paraId="521CB535" w14:textId="77777777" w:rsidR="007261F7" w:rsidRPr="00883399" w:rsidRDefault="007261F7">
      <w:pPr>
        <w:rPr>
          <w:sz w:val="20"/>
          <w:szCs w:val="20"/>
        </w:rPr>
      </w:pPr>
    </w:p>
    <w:p w14:paraId="326095E9" w14:textId="77777777" w:rsidR="007261F7" w:rsidRPr="00883399" w:rsidRDefault="007261F7">
      <w:pPr>
        <w:rPr>
          <w:sz w:val="20"/>
          <w:szCs w:val="20"/>
        </w:rPr>
      </w:pPr>
      <w:r w:rsidRPr="00883399">
        <w:rPr>
          <w:sz w:val="20"/>
          <w:szCs w:val="20"/>
        </w:rPr>
        <w:t>26.</w:t>
      </w:r>
      <w:r w:rsidRPr="00883399">
        <w:rPr>
          <w:sz w:val="20"/>
          <w:szCs w:val="20"/>
        </w:rPr>
        <w:tab/>
        <w:t>Energy value: Source – ABARE</w:t>
      </w:r>
      <w:r w:rsidRPr="00883399">
        <w:rPr>
          <w:rFonts w:ascii="Times New (W1)" w:hAnsi="Times New (W1)"/>
          <w:sz w:val="20"/>
          <w:szCs w:val="20"/>
          <w:vertAlign w:val="subscript"/>
        </w:rPr>
        <w:t>1</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 AGEIS database, </w:t>
      </w:r>
      <w:r w:rsidR="003C0939" w:rsidRPr="00883399">
        <w:rPr>
          <w:sz w:val="20"/>
          <w:szCs w:val="20"/>
        </w:rPr>
        <w:t>Department of Climate Change and Energy Efficiency</w:t>
      </w:r>
      <w:r w:rsidRPr="00883399">
        <w:rPr>
          <w:sz w:val="20"/>
          <w:szCs w:val="20"/>
        </w:rPr>
        <w:t xml:space="preserve">. </w:t>
      </w:r>
    </w:p>
    <w:p w14:paraId="3E63D573" w14:textId="77777777" w:rsidR="007261F7" w:rsidRPr="00883399" w:rsidRDefault="007261F7">
      <w:pPr>
        <w:rPr>
          <w:sz w:val="20"/>
          <w:szCs w:val="20"/>
        </w:rPr>
      </w:pPr>
    </w:p>
    <w:p w14:paraId="17007366" w14:textId="77777777" w:rsidR="007261F7" w:rsidRPr="00883399" w:rsidRDefault="007261F7">
      <w:pPr>
        <w:rPr>
          <w:sz w:val="20"/>
          <w:szCs w:val="20"/>
        </w:rPr>
      </w:pPr>
      <w:r w:rsidRPr="00883399">
        <w:rPr>
          <w:sz w:val="20"/>
          <w:szCs w:val="20"/>
        </w:rPr>
        <w:t>27.</w:t>
      </w:r>
      <w:r w:rsidRPr="00883399">
        <w:rPr>
          <w:sz w:val="20"/>
          <w:szCs w:val="20"/>
        </w:rPr>
        <w:tab/>
        <w:t>See (17)</w:t>
      </w:r>
    </w:p>
    <w:p w14:paraId="0757C2A3" w14:textId="77777777" w:rsidR="007261F7" w:rsidRPr="00883399" w:rsidRDefault="007261F7">
      <w:pPr>
        <w:rPr>
          <w:sz w:val="20"/>
          <w:szCs w:val="20"/>
        </w:rPr>
      </w:pPr>
    </w:p>
    <w:p w14:paraId="4CD28BA1" w14:textId="77777777" w:rsidR="007261F7" w:rsidRPr="00883399" w:rsidRDefault="007261F7">
      <w:pPr>
        <w:rPr>
          <w:sz w:val="20"/>
          <w:szCs w:val="20"/>
        </w:rPr>
      </w:pPr>
      <w:r w:rsidRPr="00883399">
        <w:rPr>
          <w:sz w:val="20"/>
          <w:szCs w:val="20"/>
        </w:rPr>
        <w:t>28.</w:t>
      </w:r>
      <w:r w:rsidRPr="00883399">
        <w:rPr>
          <w:sz w:val="20"/>
          <w:szCs w:val="20"/>
        </w:rPr>
        <w:tab/>
        <w:t>Energy value: Source – ABARE</w:t>
      </w:r>
      <w:r w:rsidRPr="00883399">
        <w:rPr>
          <w:rFonts w:ascii="Times New (W1)" w:hAnsi="Times New (W1)"/>
          <w:sz w:val="20"/>
          <w:szCs w:val="20"/>
          <w:vertAlign w:val="subscript"/>
        </w:rPr>
        <w:t>1</w:t>
      </w:r>
      <w:r w:rsidRPr="00883399">
        <w:rPr>
          <w:sz w:val="20"/>
          <w:szCs w:val="20"/>
        </w:rPr>
        <w:t xml:space="preserve">.  </w:t>
      </w:r>
    </w:p>
    <w:p w14:paraId="444383F8" w14:textId="77777777" w:rsidR="007261F7" w:rsidRPr="00883399" w:rsidRDefault="007261F7">
      <w:pPr>
        <w:rPr>
          <w:sz w:val="20"/>
          <w:szCs w:val="20"/>
        </w:rPr>
      </w:pPr>
    </w:p>
    <w:p w14:paraId="6D2A8AD2" w14:textId="77777777" w:rsidR="007261F7" w:rsidRPr="00883399" w:rsidRDefault="007261F7">
      <w:pPr>
        <w:rPr>
          <w:sz w:val="20"/>
          <w:szCs w:val="20"/>
        </w:rPr>
      </w:pPr>
      <w:r w:rsidRPr="00883399">
        <w:rPr>
          <w:sz w:val="20"/>
          <w:szCs w:val="20"/>
        </w:rPr>
        <w:t>29.</w:t>
      </w:r>
      <w:r w:rsidRPr="00883399">
        <w:rPr>
          <w:sz w:val="20"/>
          <w:szCs w:val="20"/>
        </w:rPr>
        <w:tab/>
        <w:t>Energy value: Source – ABARE</w:t>
      </w:r>
      <w:r w:rsidRPr="00883399">
        <w:rPr>
          <w:rFonts w:ascii="Times New (W1)" w:hAnsi="Times New (W1)"/>
          <w:sz w:val="20"/>
          <w:szCs w:val="20"/>
          <w:vertAlign w:val="subscript"/>
        </w:rPr>
        <w:t>1</w:t>
      </w:r>
      <w:r w:rsidRPr="00883399">
        <w:rPr>
          <w:sz w:val="20"/>
          <w:szCs w:val="20"/>
        </w:rPr>
        <w:t xml:space="preserve">.  </w:t>
      </w:r>
    </w:p>
    <w:p w14:paraId="141C904E" w14:textId="77777777" w:rsidR="007261F7" w:rsidRPr="00883399" w:rsidRDefault="007261F7">
      <w:pPr>
        <w:rPr>
          <w:sz w:val="20"/>
          <w:szCs w:val="20"/>
        </w:rPr>
      </w:pPr>
    </w:p>
    <w:p w14:paraId="26D8B71C" w14:textId="77777777" w:rsidR="007261F7" w:rsidRPr="00883399" w:rsidRDefault="007261F7">
      <w:pPr>
        <w:rPr>
          <w:sz w:val="20"/>
          <w:szCs w:val="20"/>
        </w:rPr>
      </w:pPr>
      <w:r w:rsidRPr="00883399">
        <w:rPr>
          <w:sz w:val="20"/>
          <w:szCs w:val="20"/>
        </w:rPr>
        <w:t>30.</w:t>
      </w:r>
      <w:r w:rsidRPr="00883399">
        <w:rPr>
          <w:sz w:val="20"/>
          <w:szCs w:val="20"/>
        </w:rPr>
        <w:tab/>
        <w:t xml:space="preserve">See (28) </w:t>
      </w:r>
    </w:p>
    <w:p w14:paraId="62F57E8B" w14:textId="77777777" w:rsidR="007261F7" w:rsidRPr="00883399" w:rsidRDefault="007261F7">
      <w:pPr>
        <w:rPr>
          <w:sz w:val="20"/>
          <w:szCs w:val="20"/>
        </w:rPr>
      </w:pPr>
    </w:p>
    <w:p w14:paraId="7F047E5F" w14:textId="77777777" w:rsidR="007261F7" w:rsidRPr="00883399" w:rsidRDefault="007261F7">
      <w:pPr>
        <w:rPr>
          <w:sz w:val="20"/>
          <w:szCs w:val="20"/>
        </w:rPr>
      </w:pPr>
      <w:r w:rsidRPr="00883399">
        <w:rPr>
          <w:sz w:val="20"/>
          <w:szCs w:val="20"/>
        </w:rPr>
        <w:t>31.</w:t>
      </w:r>
      <w:r w:rsidRPr="00883399">
        <w:rPr>
          <w:sz w:val="20"/>
          <w:szCs w:val="20"/>
        </w:rPr>
        <w:tab/>
        <w:t>Energy value: Source – ABARE</w:t>
      </w:r>
      <w:r w:rsidRPr="00883399">
        <w:rPr>
          <w:rFonts w:ascii="Times New (W1)" w:hAnsi="Times New (W1)"/>
          <w:sz w:val="20"/>
          <w:szCs w:val="20"/>
          <w:vertAlign w:val="subscript"/>
        </w:rPr>
        <w:t>2</w:t>
      </w:r>
      <w:r w:rsidRPr="00883399">
        <w:rPr>
          <w:rFonts w:ascii="Times New (W1)" w:hAnsi="Times New (W1)"/>
          <w:sz w:val="20"/>
          <w:szCs w:val="20"/>
        </w:rPr>
        <w:t xml:space="preserve"> (lubricants and greases)</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w:t>
      </w:r>
      <w:r w:rsidR="00B95826" w:rsidRPr="00883399">
        <w:rPr>
          <w:sz w:val="20"/>
          <w:szCs w:val="20"/>
        </w:rPr>
        <w:t>National Inventory Report 2006, Department of Climate Change</w:t>
      </w:r>
      <w:r w:rsidRPr="00883399">
        <w:rPr>
          <w:rFonts w:ascii="Times New (W1)" w:hAnsi="Times New (W1)"/>
          <w:sz w:val="20"/>
          <w:szCs w:val="20"/>
        </w:rPr>
        <w:t xml:space="preserve"> (lubricants and greases)</w:t>
      </w:r>
      <w:r w:rsidRPr="00883399">
        <w:rPr>
          <w:sz w:val="20"/>
          <w:szCs w:val="20"/>
        </w:rPr>
        <w:t xml:space="preserve">. </w:t>
      </w:r>
    </w:p>
    <w:p w14:paraId="6A710795" w14:textId="77777777" w:rsidR="007261F7" w:rsidRPr="00883399" w:rsidRDefault="007261F7">
      <w:pPr>
        <w:rPr>
          <w:sz w:val="20"/>
          <w:szCs w:val="20"/>
        </w:rPr>
      </w:pPr>
    </w:p>
    <w:p w14:paraId="0D3CCFC0" w14:textId="77777777" w:rsidR="007261F7" w:rsidRPr="00883399" w:rsidRDefault="007261F7">
      <w:pPr>
        <w:rPr>
          <w:sz w:val="20"/>
          <w:szCs w:val="20"/>
        </w:rPr>
      </w:pPr>
      <w:r w:rsidRPr="00883399">
        <w:rPr>
          <w:sz w:val="20"/>
          <w:szCs w:val="20"/>
        </w:rPr>
        <w:t>32.</w:t>
      </w:r>
      <w:r w:rsidRPr="00883399">
        <w:rPr>
          <w:sz w:val="20"/>
          <w:szCs w:val="20"/>
        </w:rPr>
        <w:tab/>
        <w:t>Energy value: Source – ABARE</w:t>
      </w:r>
      <w:r w:rsidRPr="00883399">
        <w:rPr>
          <w:rFonts w:ascii="Times New (W1)" w:hAnsi="Times New (W1)"/>
          <w:sz w:val="20"/>
          <w:szCs w:val="20"/>
          <w:vertAlign w:val="subscript"/>
        </w:rPr>
        <w:t>2</w:t>
      </w:r>
      <w:r w:rsidRPr="00883399">
        <w:rPr>
          <w:rFonts w:ascii="Times New (W1)" w:hAnsi="Times New (W1)"/>
          <w:sz w:val="20"/>
          <w:szCs w:val="20"/>
        </w:rPr>
        <w:t xml:space="preserve"> (lubricants and greases)</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w:t>
      </w:r>
      <w:r w:rsidR="00B95826" w:rsidRPr="00883399">
        <w:rPr>
          <w:sz w:val="20"/>
          <w:szCs w:val="20"/>
        </w:rPr>
        <w:t>National Inventory Report 2006, Department of Climate Change</w:t>
      </w:r>
      <w:r w:rsidR="00B95826" w:rsidRPr="00883399">
        <w:rPr>
          <w:rFonts w:ascii="Times New (W1)" w:hAnsi="Times New (W1)"/>
          <w:sz w:val="20"/>
          <w:szCs w:val="20"/>
        </w:rPr>
        <w:t xml:space="preserve"> </w:t>
      </w:r>
      <w:r w:rsidRPr="00883399">
        <w:rPr>
          <w:rFonts w:ascii="Times New (W1)" w:hAnsi="Times New (W1)"/>
          <w:sz w:val="20"/>
          <w:szCs w:val="20"/>
        </w:rPr>
        <w:t>(lubricants and greases)</w:t>
      </w:r>
      <w:r w:rsidRPr="00883399">
        <w:rPr>
          <w:sz w:val="20"/>
          <w:szCs w:val="20"/>
        </w:rPr>
        <w:t xml:space="preserve">. </w:t>
      </w:r>
    </w:p>
    <w:p w14:paraId="70FAAC73" w14:textId="77777777" w:rsidR="007261F7" w:rsidRPr="00883399" w:rsidRDefault="007261F7">
      <w:pPr>
        <w:rPr>
          <w:sz w:val="20"/>
          <w:szCs w:val="20"/>
        </w:rPr>
      </w:pPr>
    </w:p>
    <w:p w14:paraId="5BB69E5A" w14:textId="77777777" w:rsidR="007261F7" w:rsidRPr="00883399" w:rsidRDefault="007261F7">
      <w:pPr>
        <w:rPr>
          <w:sz w:val="20"/>
          <w:szCs w:val="20"/>
        </w:rPr>
      </w:pPr>
      <w:r w:rsidRPr="00883399">
        <w:rPr>
          <w:sz w:val="20"/>
          <w:szCs w:val="20"/>
        </w:rPr>
        <w:t>33.</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xml:space="preserve"> (weighted average).  CO</w:t>
      </w:r>
      <w:r w:rsidRPr="00883399">
        <w:rPr>
          <w:rFonts w:ascii="Times New (W1)" w:hAnsi="Times New (W1)"/>
          <w:sz w:val="20"/>
          <w:szCs w:val="20"/>
          <w:vertAlign w:val="subscript"/>
        </w:rPr>
        <w:t>2</w:t>
      </w:r>
      <w:r w:rsidRPr="00883399">
        <w:rPr>
          <w:sz w:val="20"/>
          <w:szCs w:val="20"/>
        </w:rPr>
        <w:t xml:space="preserve"> emission factor: Source: IPCC 2006. Derived using conversion factor of 0.95.  </w:t>
      </w:r>
    </w:p>
    <w:p w14:paraId="07E5D62A" w14:textId="77777777" w:rsidR="007261F7" w:rsidRPr="00883399" w:rsidRDefault="007261F7">
      <w:pPr>
        <w:rPr>
          <w:sz w:val="20"/>
          <w:szCs w:val="20"/>
        </w:rPr>
      </w:pPr>
    </w:p>
    <w:p w14:paraId="1755B937" w14:textId="77777777" w:rsidR="007261F7" w:rsidRPr="00883399" w:rsidRDefault="007261F7">
      <w:pPr>
        <w:rPr>
          <w:sz w:val="20"/>
          <w:szCs w:val="20"/>
        </w:rPr>
      </w:pPr>
      <w:r w:rsidRPr="00883399">
        <w:rPr>
          <w:sz w:val="20"/>
          <w:szCs w:val="20"/>
        </w:rPr>
        <w:t>34.</w:t>
      </w:r>
      <w:r w:rsidRPr="00883399">
        <w:rPr>
          <w:sz w:val="20"/>
          <w:szCs w:val="20"/>
        </w:rPr>
        <w:tab/>
        <w:t>Energy value: Source – IPCC 2006. Derived from NCV using factor of 5% of gross calorific value. CO</w:t>
      </w:r>
      <w:r w:rsidRPr="00883399">
        <w:rPr>
          <w:rFonts w:ascii="Times New (W1)" w:hAnsi="Times New (W1)"/>
          <w:sz w:val="20"/>
          <w:szCs w:val="20"/>
          <w:vertAlign w:val="subscript"/>
        </w:rPr>
        <w:t>2</w:t>
      </w:r>
      <w:r w:rsidRPr="00883399">
        <w:rPr>
          <w:sz w:val="20"/>
          <w:szCs w:val="20"/>
        </w:rPr>
        <w:t xml:space="preserve"> emission factor: Source: IPCC 2006. Derived using conversion factor of 0.95.  </w:t>
      </w:r>
    </w:p>
    <w:p w14:paraId="4EAF300C" w14:textId="77777777" w:rsidR="007261F7" w:rsidRPr="00883399" w:rsidRDefault="007261F7">
      <w:pPr>
        <w:rPr>
          <w:sz w:val="20"/>
          <w:szCs w:val="20"/>
        </w:rPr>
      </w:pPr>
    </w:p>
    <w:p w14:paraId="31D317A0" w14:textId="77777777" w:rsidR="007261F7" w:rsidRPr="00883399" w:rsidRDefault="007261F7">
      <w:pPr>
        <w:rPr>
          <w:sz w:val="20"/>
          <w:szCs w:val="20"/>
        </w:rPr>
      </w:pPr>
      <w:r w:rsidRPr="00883399">
        <w:rPr>
          <w:sz w:val="20"/>
          <w:szCs w:val="20"/>
        </w:rPr>
        <w:t>35.</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w:t>
      </w:r>
      <w:r w:rsidR="00B95826" w:rsidRPr="00883399">
        <w:rPr>
          <w:sz w:val="20"/>
          <w:szCs w:val="20"/>
        </w:rPr>
        <w:t>National Inventory Report 2006, Department of Climate Change</w:t>
      </w:r>
      <w:r w:rsidRPr="00883399">
        <w:rPr>
          <w:sz w:val="20"/>
          <w:szCs w:val="20"/>
        </w:rPr>
        <w:t xml:space="preserve">. </w:t>
      </w:r>
    </w:p>
    <w:p w14:paraId="0A3E11BF" w14:textId="77777777" w:rsidR="007261F7" w:rsidRPr="00883399" w:rsidRDefault="007261F7">
      <w:pPr>
        <w:rPr>
          <w:sz w:val="20"/>
          <w:szCs w:val="20"/>
        </w:rPr>
      </w:pPr>
    </w:p>
    <w:p w14:paraId="0A3B7DD8" w14:textId="77777777" w:rsidR="007261F7" w:rsidRPr="00883399" w:rsidRDefault="007261F7">
      <w:pPr>
        <w:rPr>
          <w:sz w:val="20"/>
          <w:szCs w:val="20"/>
        </w:rPr>
      </w:pPr>
      <w:r w:rsidRPr="00883399">
        <w:rPr>
          <w:sz w:val="20"/>
          <w:szCs w:val="20"/>
        </w:rPr>
        <w:t>36.</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w:t>
      </w:r>
      <w:r w:rsidR="00B95826" w:rsidRPr="00883399">
        <w:rPr>
          <w:sz w:val="20"/>
          <w:szCs w:val="20"/>
        </w:rPr>
        <w:t>National Inventory Report 2006, Department of Climate Change</w:t>
      </w:r>
      <w:r w:rsidRPr="00883399">
        <w:rPr>
          <w:sz w:val="20"/>
          <w:szCs w:val="20"/>
        </w:rPr>
        <w:t xml:space="preserve">. </w:t>
      </w:r>
    </w:p>
    <w:p w14:paraId="27577673" w14:textId="77777777" w:rsidR="007261F7" w:rsidRPr="00883399" w:rsidRDefault="007261F7">
      <w:pPr>
        <w:rPr>
          <w:sz w:val="20"/>
          <w:szCs w:val="20"/>
        </w:rPr>
      </w:pPr>
    </w:p>
    <w:p w14:paraId="6167EF58" w14:textId="77777777" w:rsidR="007261F7" w:rsidRPr="00883399" w:rsidRDefault="007261F7">
      <w:pPr>
        <w:rPr>
          <w:sz w:val="20"/>
          <w:szCs w:val="20"/>
        </w:rPr>
      </w:pPr>
      <w:r w:rsidRPr="00883399">
        <w:rPr>
          <w:sz w:val="20"/>
          <w:szCs w:val="20"/>
        </w:rPr>
        <w:t>37.</w:t>
      </w:r>
      <w:r w:rsidRPr="00883399">
        <w:rPr>
          <w:sz w:val="20"/>
          <w:szCs w:val="20"/>
        </w:rPr>
        <w:tab/>
        <w:t>Energy value: Source – ABARE</w:t>
      </w:r>
      <w:r w:rsidRPr="00883399">
        <w:rPr>
          <w:rFonts w:ascii="Times New (W1)" w:hAnsi="Times New (W1)"/>
          <w:sz w:val="20"/>
          <w:szCs w:val="20"/>
          <w:vertAlign w:val="subscript"/>
        </w:rPr>
        <w:t>2</w:t>
      </w:r>
      <w:r w:rsidRPr="00883399">
        <w:rPr>
          <w:rFonts w:ascii="Times New (W1)" w:hAnsi="Times New (W1)"/>
          <w:sz w:val="20"/>
          <w:szCs w:val="20"/>
        </w:rPr>
        <w:t xml:space="preserve"> (power kerosene)</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w:t>
      </w:r>
      <w:r w:rsidR="00B95826" w:rsidRPr="00883399">
        <w:rPr>
          <w:sz w:val="20"/>
          <w:szCs w:val="20"/>
        </w:rPr>
        <w:t>National Inventory Report 2006, Department of Climate Change</w:t>
      </w:r>
      <w:r w:rsidRPr="00883399">
        <w:rPr>
          <w:sz w:val="20"/>
          <w:szCs w:val="20"/>
        </w:rPr>
        <w:t xml:space="preserve">. </w:t>
      </w:r>
    </w:p>
    <w:p w14:paraId="6B55ED71" w14:textId="77777777" w:rsidR="007261F7" w:rsidRPr="00883399" w:rsidRDefault="007261F7">
      <w:pPr>
        <w:rPr>
          <w:sz w:val="20"/>
          <w:szCs w:val="20"/>
        </w:rPr>
      </w:pPr>
    </w:p>
    <w:p w14:paraId="5A82E629" w14:textId="77777777" w:rsidR="007261F7" w:rsidRPr="00883399" w:rsidRDefault="007261F7">
      <w:pPr>
        <w:rPr>
          <w:sz w:val="20"/>
          <w:szCs w:val="20"/>
        </w:rPr>
      </w:pPr>
      <w:r w:rsidRPr="00883399">
        <w:rPr>
          <w:sz w:val="20"/>
          <w:szCs w:val="20"/>
        </w:rPr>
        <w:t>38.</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w:t>
      </w:r>
      <w:r w:rsidR="00B95826" w:rsidRPr="00883399">
        <w:rPr>
          <w:sz w:val="20"/>
          <w:szCs w:val="20"/>
        </w:rPr>
        <w:t>National Inventory Report 2006, Department of Climate Change</w:t>
      </w:r>
      <w:r w:rsidRPr="00883399">
        <w:rPr>
          <w:sz w:val="20"/>
          <w:szCs w:val="20"/>
        </w:rPr>
        <w:t xml:space="preserve">. </w:t>
      </w:r>
    </w:p>
    <w:p w14:paraId="6AC49220" w14:textId="77777777" w:rsidR="007261F7" w:rsidRPr="00883399" w:rsidRDefault="007261F7">
      <w:pPr>
        <w:rPr>
          <w:sz w:val="20"/>
          <w:szCs w:val="20"/>
        </w:rPr>
      </w:pPr>
    </w:p>
    <w:p w14:paraId="1226D0A9" w14:textId="77777777" w:rsidR="007261F7" w:rsidRPr="00883399" w:rsidRDefault="007261F7">
      <w:pPr>
        <w:rPr>
          <w:sz w:val="20"/>
          <w:szCs w:val="20"/>
        </w:rPr>
      </w:pPr>
      <w:r w:rsidRPr="00883399">
        <w:rPr>
          <w:sz w:val="20"/>
          <w:szCs w:val="20"/>
        </w:rPr>
        <w:t>39.</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w:t>
      </w:r>
      <w:r w:rsidR="00B95826" w:rsidRPr="00883399">
        <w:rPr>
          <w:sz w:val="20"/>
          <w:szCs w:val="20"/>
        </w:rPr>
        <w:t xml:space="preserve">National Inventory Report 2006, Department of Climate </w:t>
      </w:r>
      <w:r w:rsidR="000D6261" w:rsidRPr="00883399">
        <w:rPr>
          <w:sz w:val="20"/>
          <w:szCs w:val="20"/>
        </w:rPr>
        <w:t>Change.</w:t>
      </w:r>
    </w:p>
    <w:p w14:paraId="761FA09C" w14:textId="77777777" w:rsidR="007261F7" w:rsidRPr="00883399" w:rsidRDefault="007261F7">
      <w:pPr>
        <w:rPr>
          <w:sz w:val="20"/>
          <w:szCs w:val="20"/>
        </w:rPr>
      </w:pPr>
    </w:p>
    <w:p w14:paraId="366169DF" w14:textId="77777777" w:rsidR="007261F7" w:rsidRPr="00883399" w:rsidRDefault="007261F7">
      <w:pPr>
        <w:rPr>
          <w:sz w:val="20"/>
          <w:szCs w:val="20"/>
        </w:rPr>
      </w:pPr>
      <w:r w:rsidRPr="00883399">
        <w:rPr>
          <w:sz w:val="20"/>
          <w:szCs w:val="20"/>
        </w:rPr>
        <w:t>40.</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w:t>
      </w:r>
      <w:r w:rsidR="00B95826" w:rsidRPr="00883399">
        <w:rPr>
          <w:sz w:val="20"/>
          <w:szCs w:val="20"/>
        </w:rPr>
        <w:t>National Inventory Report 2006, Department of Climate Change</w:t>
      </w:r>
      <w:r w:rsidRPr="00883399">
        <w:rPr>
          <w:sz w:val="20"/>
          <w:szCs w:val="20"/>
        </w:rPr>
        <w:t xml:space="preserve">. </w:t>
      </w:r>
    </w:p>
    <w:p w14:paraId="52276AC0" w14:textId="77777777" w:rsidR="007261F7" w:rsidRPr="00883399" w:rsidRDefault="007261F7">
      <w:pPr>
        <w:rPr>
          <w:sz w:val="20"/>
          <w:szCs w:val="20"/>
        </w:rPr>
      </w:pPr>
    </w:p>
    <w:p w14:paraId="4D372051" w14:textId="77777777" w:rsidR="007261F7" w:rsidRPr="00883399" w:rsidRDefault="007261F7">
      <w:pPr>
        <w:rPr>
          <w:sz w:val="20"/>
          <w:szCs w:val="20"/>
        </w:rPr>
      </w:pPr>
      <w:r w:rsidRPr="00883399">
        <w:rPr>
          <w:sz w:val="20"/>
          <w:szCs w:val="20"/>
        </w:rPr>
        <w:t>41.</w:t>
      </w:r>
      <w:r w:rsidRPr="00883399">
        <w:rPr>
          <w:sz w:val="20"/>
          <w:szCs w:val="20"/>
        </w:rPr>
        <w:tab/>
        <w:t>Energy value: Source – ABARE</w:t>
      </w:r>
      <w:r w:rsidRPr="00883399">
        <w:rPr>
          <w:rFonts w:ascii="Times New (W1)" w:hAnsi="Times New (W1)"/>
          <w:sz w:val="20"/>
          <w:szCs w:val="20"/>
          <w:vertAlign w:val="subscript"/>
        </w:rPr>
        <w:t>2</w:t>
      </w:r>
      <w:r w:rsidRPr="00883399">
        <w:rPr>
          <w:rFonts w:ascii="Times New (W1)" w:hAnsi="Times New (W1)"/>
          <w:sz w:val="20"/>
          <w:szCs w:val="20"/>
        </w:rPr>
        <w:t xml:space="preserve"> (low </w:t>
      </w:r>
      <w:r w:rsidR="000D6261" w:rsidRPr="00883399">
        <w:rPr>
          <w:rFonts w:ascii="Times New (W1)" w:hAnsi="Times New (W1)"/>
          <w:sz w:val="20"/>
          <w:szCs w:val="20"/>
        </w:rPr>
        <w:t>sulphur</w:t>
      </w:r>
      <w:r w:rsidRPr="00883399">
        <w:rPr>
          <w:rFonts w:ascii="Times New (W1)" w:hAnsi="Times New (W1)"/>
          <w:sz w:val="20"/>
          <w:szCs w:val="20"/>
        </w:rPr>
        <w:t>)</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w:t>
      </w:r>
      <w:r w:rsidR="00B95826" w:rsidRPr="00883399">
        <w:rPr>
          <w:sz w:val="20"/>
          <w:szCs w:val="20"/>
        </w:rPr>
        <w:t>National Inventory Report 2006, Department of Climate Change</w:t>
      </w:r>
      <w:r w:rsidRPr="00883399">
        <w:rPr>
          <w:sz w:val="20"/>
          <w:szCs w:val="20"/>
        </w:rPr>
        <w:t xml:space="preserve">. Derived using conversion factor of 0.95.  </w:t>
      </w:r>
    </w:p>
    <w:p w14:paraId="56DF91BA" w14:textId="77777777" w:rsidR="007261F7" w:rsidRPr="00883399" w:rsidRDefault="007261F7">
      <w:pPr>
        <w:rPr>
          <w:sz w:val="20"/>
          <w:szCs w:val="20"/>
        </w:rPr>
      </w:pPr>
    </w:p>
    <w:p w14:paraId="59E65F4A" w14:textId="77777777" w:rsidR="007261F7" w:rsidRPr="00883399" w:rsidRDefault="007261F7">
      <w:pPr>
        <w:rPr>
          <w:sz w:val="20"/>
          <w:szCs w:val="20"/>
        </w:rPr>
      </w:pPr>
      <w:r w:rsidRPr="00883399">
        <w:rPr>
          <w:sz w:val="20"/>
          <w:szCs w:val="20"/>
        </w:rPr>
        <w:t>42.</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Given same energy content as solvents. CO</w:t>
      </w:r>
      <w:r w:rsidRPr="00883399">
        <w:rPr>
          <w:rFonts w:ascii="Times New (W1)" w:hAnsi="Times New (W1)"/>
          <w:sz w:val="20"/>
          <w:szCs w:val="20"/>
          <w:vertAlign w:val="subscript"/>
        </w:rPr>
        <w:t xml:space="preserve">2 </w:t>
      </w:r>
      <w:r w:rsidRPr="00883399">
        <w:rPr>
          <w:sz w:val="20"/>
          <w:szCs w:val="20"/>
        </w:rPr>
        <w:t xml:space="preserve">emission factor: Source: </w:t>
      </w:r>
      <w:r w:rsidR="00B95826" w:rsidRPr="00883399">
        <w:rPr>
          <w:sz w:val="20"/>
          <w:szCs w:val="20"/>
        </w:rPr>
        <w:t xml:space="preserve">National Inventory Report 2006, Department of Climate Change </w:t>
      </w:r>
      <w:r w:rsidRPr="00883399">
        <w:rPr>
          <w:sz w:val="20"/>
          <w:szCs w:val="20"/>
        </w:rPr>
        <w:t xml:space="preserve">(assumed same as solvents). </w:t>
      </w:r>
    </w:p>
    <w:p w14:paraId="75E28819" w14:textId="77777777" w:rsidR="007261F7" w:rsidRPr="00883399" w:rsidRDefault="007261F7">
      <w:pPr>
        <w:rPr>
          <w:sz w:val="20"/>
          <w:szCs w:val="20"/>
        </w:rPr>
      </w:pPr>
    </w:p>
    <w:p w14:paraId="0E8C2EB5" w14:textId="77777777" w:rsidR="007261F7" w:rsidRPr="00883399" w:rsidRDefault="007261F7">
      <w:pPr>
        <w:rPr>
          <w:sz w:val="20"/>
          <w:szCs w:val="20"/>
        </w:rPr>
      </w:pPr>
      <w:r w:rsidRPr="00883399">
        <w:rPr>
          <w:sz w:val="20"/>
          <w:szCs w:val="20"/>
        </w:rPr>
        <w:t>43.</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w:t>
      </w:r>
      <w:r w:rsidR="00B95826" w:rsidRPr="00883399">
        <w:rPr>
          <w:sz w:val="20"/>
          <w:szCs w:val="20"/>
        </w:rPr>
        <w:t>National Inventory Report 2006, Department of Climate Change</w:t>
      </w:r>
      <w:r w:rsidRPr="00883399">
        <w:rPr>
          <w:sz w:val="20"/>
          <w:szCs w:val="20"/>
        </w:rPr>
        <w:t xml:space="preserve">. </w:t>
      </w:r>
    </w:p>
    <w:p w14:paraId="32E8808A" w14:textId="77777777" w:rsidR="007261F7" w:rsidRPr="00883399" w:rsidRDefault="007261F7">
      <w:pPr>
        <w:rPr>
          <w:sz w:val="20"/>
          <w:szCs w:val="20"/>
        </w:rPr>
      </w:pPr>
    </w:p>
    <w:p w14:paraId="1C97FD1C" w14:textId="77777777" w:rsidR="007261F7" w:rsidRPr="00883399" w:rsidRDefault="007261F7">
      <w:pPr>
        <w:rPr>
          <w:sz w:val="20"/>
          <w:szCs w:val="20"/>
        </w:rPr>
      </w:pPr>
      <w:r w:rsidRPr="00883399">
        <w:rPr>
          <w:sz w:val="20"/>
          <w:szCs w:val="20"/>
        </w:rPr>
        <w:t>44.</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w:t>
      </w:r>
      <w:r w:rsidR="00B95826" w:rsidRPr="00883399">
        <w:rPr>
          <w:sz w:val="20"/>
          <w:szCs w:val="20"/>
        </w:rPr>
        <w:t>National Inventory Report 2006, Department of Climate Change</w:t>
      </w:r>
      <w:r w:rsidRPr="00883399">
        <w:rPr>
          <w:sz w:val="20"/>
          <w:szCs w:val="20"/>
        </w:rPr>
        <w:t>. .</w:t>
      </w:r>
    </w:p>
    <w:p w14:paraId="0DD5DFE2" w14:textId="77777777" w:rsidR="007261F7" w:rsidRPr="00883399" w:rsidRDefault="007261F7">
      <w:pPr>
        <w:rPr>
          <w:sz w:val="20"/>
          <w:szCs w:val="20"/>
        </w:rPr>
      </w:pPr>
    </w:p>
    <w:p w14:paraId="60FAAA3B" w14:textId="77777777" w:rsidR="007261F7" w:rsidRPr="00883399" w:rsidRDefault="007261F7">
      <w:pPr>
        <w:rPr>
          <w:sz w:val="20"/>
          <w:szCs w:val="20"/>
        </w:rPr>
      </w:pPr>
      <w:r w:rsidRPr="00883399">
        <w:rPr>
          <w:sz w:val="20"/>
          <w:szCs w:val="20"/>
        </w:rPr>
        <w:t>45.</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w:t>
      </w:r>
      <w:r w:rsidR="00B95826" w:rsidRPr="00883399">
        <w:rPr>
          <w:sz w:val="20"/>
          <w:szCs w:val="20"/>
        </w:rPr>
        <w:t>National Inventory Report 2006, Department of Climate Change</w:t>
      </w:r>
      <w:r w:rsidRPr="00883399">
        <w:rPr>
          <w:sz w:val="20"/>
          <w:szCs w:val="20"/>
        </w:rPr>
        <w:t xml:space="preserve">. </w:t>
      </w:r>
    </w:p>
    <w:p w14:paraId="0B617E11" w14:textId="77777777" w:rsidR="007261F7" w:rsidRPr="00883399" w:rsidRDefault="007261F7">
      <w:pPr>
        <w:rPr>
          <w:sz w:val="20"/>
          <w:szCs w:val="20"/>
        </w:rPr>
      </w:pPr>
    </w:p>
    <w:p w14:paraId="362E037B" w14:textId="77777777" w:rsidR="007261F7" w:rsidRPr="00883399" w:rsidRDefault="007261F7">
      <w:pPr>
        <w:rPr>
          <w:sz w:val="20"/>
          <w:szCs w:val="20"/>
        </w:rPr>
      </w:pPr>
      <w:r w:rsidRPr="00883399">
        <w:rPr>
          <w:sz w:val="20"/>
          <w:szCs w:val="20"/>
        </w:rPr>
        <w:t>46.</w:t>
      </w:r>
      <w:r w:rsidRPr="00883399">
        <w:rPr>
          <w:sz w:val="20"/>
          <w:szCs w:val="20"/>
        </w:rPr>
        <w:tab/>
        <w:t>Energy value: Source – IPCC 2006. CO</w:t>
      </w:r>
      <w:r w:rsidRPr="00883399">
        <w:rPr>
          <w:rFonts w:ascii="Times New (W1)" w:hAnsi="Times New (W1)"/>
          <w:sz w:val="20"/>
          <w:szCs w:val="20"/>
          <w:vertAlign w:val="subscript"/>
        </w:rPr>
        <w:t>2</w:t>
      </w:r>
      <w:r w:rsidRPr="00883399">
        <w:rPr>
          <w:sz w:val="20"/>
          <w:szCs w:val="20"/>
        </w:rPr>
        <w:t xml:space="preserve"> emission factor: Source: IPCC 2006. Derived using conversion factor of 0.95. </w:t>
      </w:r>
    </w:p>
    <w:p w14:paraId="1E484D18" w14:textId="77777777" w:rsidR="007261F7" w:rsidRPr="00883399" w:rsidRDefault="007261F7">
      <w:pPr>
        <w:rPr>
          <w:sz w:val="20"/>
          <w:szCs w:val="20"/>
        </w:rPr>
      </w:pPr>
    </w:p>
    <w:p w14:paraId="56C2492A" w14:textId="77777777" w:rsidR="007261F7" w:rsidRPr="00883399" w:rsidRDefault="007261F7">
      <w:pPr>
        <w:rPr>
          <w:sz w:val="20"/>
          <w:szCs w:val="20"/>
        </w:rPr>
      </w:pPr>
      <w:r w:rsidRPr="00883399">
        <w:rPr>
          <w:sz w:val="20"/>
          <w:szCs w:val="20"/>
        </w:rPr>
        <w:t>47.</w:t>
      </w:r>
      <w:r w:rsidRPr="00883399">
        <w:rPr>
          <w:sz w:val="20"/>
          <w:szCs w:val="20"/>
        </w:rPr>
        <w:tab/>
        <w:t>Energy value: Source – ABARE</w:t>
      </w:r>
      <w:r w:rsidRPr="00883399">
        <w:rPr>
          <w:rFonts w:ascii="Times New (W1)" w:hAnsi="Times New (W1)"/>
          <w:sz w:val="20"/>
          <w:szCs w:val="20"/>
          <w:vertAlign w:val="subscript"/>
        </w:rPr>
        <w:t>1</w:t>
      </w:r>
      <w:r w:rsidRPr="00883399">
        <w:rPr>
          <w:sz w:val="20"/>
          <w:szCs w:val="20"/>
        </w:rPr>
        <w:t xml:space="preserve"> (refinery fuel). CO</w:t>
      </w:r>
      <w:r w:rsidRPr="00883399">
        <w:rPr>
          <w:rFonts w:ascii="Times New (W1)" w:hAnsi="Times New (W1)"/>
          <w:sz w:val="20"/>
          <w:szCs w:val="20"/>
          <w:vertAlign w:val="subscript"/>
        </w:rPr>
        <w:t>2</w:t>
      </w:r>
      <w:r w:rsidRPr="00883399">
        <w:rPr>
          <w:sz w:val="20"/>
          <w:szCs w:val="20"/>
        </w:rPr>
        <w:t xml:space="preserve"> emission factor: Source: IPCC 2006. Derived using conversion factor of 0.95. </w:t>
      </w:r>
    </w:p>
    <w:p w14:paraId="767DB9FB" w14:textId="77777777" w:rsidR="007261F7" w:rsidRPr="00883399" w:rsidRDefault="007261F7">
      <w:pPr>
        <w:rPr>
          <w:sz w:val="20"/>
          <w:szCs w:val="20"/>
        </w:rPr>
      </w:pPr>
    </w:p>
    <w:p w14:paraId="5054B756" w14:textId="77777777" w:rsidR="007261F7" w:rsidRPr="00883399" w:rsidRDefault="007261F7">
      <w:pPr>
        <w:rPr>
          <w:sz w:val="20"/>
          <w:szCs w:val="20"/>
        </w:rPr>
      </w:pPr>
      <w:r w:rsidRPr="00883399">
        <w:rPr>
          <w:sz w:val="20"/>
          <w:szCs w:val="20"/>
        </w:rPr>
        <w:t>48.</w:t>
      </w:r>
      <w:r w:rsidRPr="00883399">
        <w:rPr>
          <w:sz w:val="20"/>
          <w:szCs w:val="20"/>
        </w:rPr>
        <w:tab/>
        <w:t>See (46)</w:t>
      </w:r>
    </w:p>
    <w:p w14:paraId="5D0A4079" w14:textId="77777777" w:rsidR="007261F7" w:rsidRPr="00883399" w:rsidRDefault="007261F7">
      <w:pPr>
        <w:rPr>
          <w:sz w:val="20"/>
          <w:szCs w:val="20"/>
        </w:rPr>
      </w:pPr>
    </w:p>
    <w:p w14:paraId="6D5840D0" w14:textId="77777777" w:rsidR="007261F7" w:rsidRPr="00883399" w:rsidRDefault="007261F7">
      <w:pPr>
        <w:rPr>
          <w:sz w:val="20"/>
          <w:szCs w:val="20"/>
        </w:rPr>
      </w:pPr>
      <w:r w:rsidRPr="00883399">
        <w:rPr>
          <w:sz w:val="20"/>
          <w:szCs w:val="20"/>
        </w:rPr>
        <w:t>49.</w:t>
      </w:r>
      <w:r w:rsidRPr="00883399">
        <w:rPr>
          <w:sz w:val="20"/>
          <w:szCs w:val="20"/>
        </w:rPr>
        <w:tab/>
        <w:t>Energy value: Source – ABARE</w:t>
      </w:r>
      <w:r w:rsidRPr="00883399">
        <w:rPr>
          <w:rFonts w:ascii="Times New (W1)" w:hAnsi="Times New (W1)"/>
          <w:sz w:val="20"/>
          <w:szCs w:val="20"/>
          <w:vertAlign w:val="subscript"/>
        </w:rPr>
        <w:t>1</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w:t>
      </w:r>
      <w:r w:rsidR="00B95826" w:rsidRPr="00883399">
        <w:rPr>
          <w:sz w:val="20"/>
          <w:szCs w:val="20"/>
        </w:rPr>
        <w:t>National Inventory Report 2006, Department of Climate Change</w:t>
      </w:r>
      <w:r w:rsidRPr="00883399">
        <w:rPr>
          <w:sz w:val="20"/>
          <w:szCs w:val="20"/>
        </w:rPr>
        <w:t xml:space="preserve">. </w:t>
      </w:r>
    </w:p>
    <w:p w14:paraId="6DBB6A1D" w14:textId="77777777" w:rsidR="007261F7" w:rsidRPr="00883399" w:rsidRDefault="007261F7">
      <w:pPr>
        <w:rPr>
          <w:sz w:val="20"/>
          <w:szCs w:val="20"/>
        </w:rPr>
      </w:pPr>
    </w:p>
    <w:p w14:paraId="49E2D2CB" w14:textId="77777777" w:rsidR="007261F7" w:rsidRPr="00883399" w:rsidRDefault="007261F7">
      <w:pPr>
        <w:rPr>
          <w:sz w:val="20"/>
          <w:szCs w:val="20"/>
        </w:rPr>
      </w:pPr>
      <w:r w:rsidRPr="00883399">
        <w:rPr>
          <w:sz w:val="20"/>
          <w:szCs w:val="20"/>
        </w:rPr>
        <w:t>50.</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CO</w:t>
      </w:r>
      <w:r w:rsidRPr="00883399">
        <w:rPr>
          <w:rFonts w:ascii="Times New (W1)" w:hAnsi="Times New (W1)"/>
          <w:sz w:val="20"/>
          <w:szCs w:val="20"/>
          <w:vertAlign w:val="subscript"/>
        </w:rPr>
        <w:t>2</w:t>
      </w:r>
      <w:r w:rsidRPr="00883399">
        <w:rPr>
          <w:sz w:val="20"/>
          <w:szCs w:val="20"/>
        </w:rPr>
        <w:t xml:space="preserve"> emission factor: Source: </w:t>
      </w:r>
      <w:r w:rsidR="00B95826" w:rsidRPr="00883399">
        <w:rPr>
          <w:sz w:val="20"/>
          <w:szCs w:val="20"/>
        </w:rPr>
        <w:t xml:space="preserve">National Inventory Report 2006, Department of Climate Change </w:t>
      </w:r>
      <w:r w:rsidRPr="00883399">
        <w:rPr>
          <w:sz w:val="20"/>
          <w:szCs w:val="20"/>
        </w:rPr>
        <w:t>(assumed same as solvents).</w:t>
      </w:r>
    </w:p>
    <w:p w14:paraId="1DBDA41E" w14:textId="77777777" w:rsidR="007261F7" w:rsidRPr="00883399" w:rsidRDefault="007261F7">
      <w:pPr>
        <w:rPr>
          <w:sz w:val="20"/>
          <w:szCs w:val="20"/>
        </w:rPr>
      </w:pPr>
    </w:p>
    <w:p w14:paraId="0F4DDBBB" w14:textId="77777777" w:rsidR="007261F7" w:rsidRPr="00883399" w:rsidRDefault="007261F7">
      <w:pPr>
        <w:rPr>
          <w:sz w:val="20"/>
          <w:szCs w:val="20"/>
        </w:rPr>
      </w:pPr>
      <w:r w:rsidRPr="00883399">
        <w:rPr>
          <w:sz w:val="20"/>
          <w:szCs w:val="20"/>
        </w:rPr>
        <w:t>51.</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Based on IPCC 2006, given same energy content as solvents. CO</w:t>
      </w:r>
      <w:r w:rsidRPr="00883399">
        <w:rPr>
          <w:rFonts w:ascii="Times New (W1)" w:hAnsi="Times New (W1)"/>
          <w:sz w:val="20"/>
          <w:szCs w:val="20"/>
          <w:vertAlign w:val="subscript"/>
        </w:rPr>
        <w:t>2</w:t>
      </w:r>
      <w:r w:rsidRPr="00883399">
        <w:rPr>
          <w:sz w:val="20"/>
          <w:szCs w:val="20"/>
        </w:rPr>
        <w:t xml:space="preserve"> emission factor: Source: </w:t>
      </w:r>
      <w:r w:rsidR="00B95826" w:rsidRPr="00883399">
        <w:rPr>
          <w:sz w:val="20"/>
          <w:szCs w:val="20"/>
        </w:rPr>
        <w:t xml:space="preserve">National Inventory Report 2006, Department of Climate Change </w:t>
      </w:r>
      <w:r w:rsidRPr="00883399">
        <w:rPr>
          <w:sz w:val="20"/>
          <w:szCs w:val="20"/>
        </w:rPr>
        <w:t xml:space="preserve">(set same as solvents). </w:t>
      </w:r>
    </w:p>
    <w:p w14:paraId="38F35DB1" w14:textId="77777777" w:rsidR="007261F7" w:rsidRPr="00883399" w:rsidRDefault="007261F7">
      <w:pPr>
        <w:rPr>
          <w:sz w:val="20"/>
          <w:szCs w:val="20"/>
        </w:rPr>
      </w:pPr>
    </w:p>
    <w:p w14:paraId="6B5E1116" w14:textId="77777777" w:rsidR="007261F7" w:rsidRPr="00883399" w:rsidRDefault="007261F7">
      <w:pPr>
        <w:rPr>
          <w:sz w:val="20"/>
          <w:szCs w:val="20"/>
        </w:rPr>
      </w:pPr>
      <w:r w:rsidRPr="00883399">
        <w:rPr>
          <w:sz w:val="20"/>
          <w:szCs w:val="20"/>
        </w:rPr>
        <w:t>52.</w:t>
      </w:r>
      <w:r w:rsidRPr="00883399">
        <w:rPr>
          <w:sz w:val="20"/>
          <w:szCs w:val="20"/>
        </w:rPr>
        <w:tab/>
        <w:t>Energy value: Source – Derived from US Department of Energy. Non-CO</w:t>
      </w:r>
      <w:r w:rsidRPr="00883399">
        <w:rPr>
          <w:rFonts w:ascii="Times New (W1)" w:hAnsi="Times New (W1)"/>
          <w:sz w:val="20"/>
          <w:szCs w:val="20"/>
          <w:vertAlign w:val="subscript"/>
        </w:rPr>
        <w:t>2</w:t>
      </w:r>
      <w:r w:rsidRPr="00883399">
        <w:rPr>
          <w:sz w:val="20"/>
          <w:szCs w:val="20"/>
        </w:rPr>
        <w:t xml:space="preserve"> factors:  IPCC 2006. Derived using conversion factor 0.95.</w:t>
      </w:r>
    </w:p>
    <w:p w14:paraId="12C26544" w14:textId="77777777" w:rsidR="007261F7" w:rsidRPr="00883399" w:rsidRDefault="007261F7">
      <w:pPr>
        <w:rPr>
          <w:sz w:val="20"/>
          <w:szCs w:val="20"/>
        </w:rPr>
      </w:pPr>
    </w:p>
    <w:p w14:paraId="46B3A750" w14:textId="77777777" w:rsidR="007261F7" w:rsidRPr="00883399" w:rsidRDefault="007261F7">
      <w:pPr>
        <w:rPr>
          <w:sz w:val="20"/>
          <w:szCs w:val="20"/>
        </w:rPr>
      </w:pPr>
      <w:r w:rsidRPr="00883399">
        <w:rPr>
          <w:sz w:val="20"/>
          <w:szCs w:val="20"/>
        </w:rPr>
        <w:t>53.</w:t>
      </w:r>
      <w:r w:rsidRPr="00883399">
        <w:rPr>
          <w:sz w:val="20"/>
          <w:szCs w:val="20"/>
        </w:rPr>
        <w:tab/>
        <w:t>Energy value: Source – ABARE</w:t>
      </w:r>
      <w:r w:rsidRPr="00883399">
        <w:rPr>
          <w:rFonts w:ascii="Times New (W1)" w:hAnsi="Times New (W1)"/>
          <w:sz w:val="20"/>
          <w:szCs w:val="20"/>
          <w:vertAlign w:val="subscript"/>
        </w:rPr>
        <w:t>2</w:t>
      </w:r>
      <w:r w:rsidRPr="00883399">
        <w:rPr>
          <w:sz w:val="20"/>
          <w:szCs w:val="20"/>
        </w:rPr>
        <w:t>. Non-CO</w:t>
      </w:r>
      <w:r w:rsidRPr="00883399">
        <w:rPr>
          <w:rFonts w:ascii="Times New (W1)" w:hAnsi="Times New (W1)"/>
          <w:sz w:val="20"/>
          <w:szCs w:val="20"/>
          <w:vertAlign w:val="subscript"/>
        </w:rPr>
        <w:t>2</w:t>
      </w:r>
      <w:r w:rsidRPr="00883399">
        <w:rPr>
          <w:sz w:val="20"/>
          <w:szCs w:val="20"/>
        </w:rPr>
        <w:t xml:space="preserve"> factors:  IPCC 2006. Derived using conversion factor 0.95.</w:t>
      </w:r>
    </w:p>
    <w:p w14:paraId="75267815" w14:textId="77777777" w:rsidR="007261F7" w:rsidRPr="00883399" w:rsidRDefault="007261F7">
      <w:pPr>
        <w:rPr>
          <w:sz w:val="20"/>
          <w:szCs w:val="20"/>
        </w:rPr>
      </w:pPr>
    </w:p>
    <w:p w14:paraId="5FD9BD88" w14:textId="77777777" w:rsidR="007261F7" w:rsidRPr="00883399" w:rsidRDefault="007261F7">
      <w:pPr>
        <w:rPr>
          <w:sz w:val="20"/>
          <w:szCs w:val="20"/>
        </w:rPr>
      </w:pPr>
      <w:r w:rsidRPr="00883399">
        <w:rPr>
          <w:sz w:val="20"/>
          <w:szCs w:val="20"/>
        </w:rPr>
        <w:t>54.</w:t>
      </w:r>
      <w:r w:rsidRPr="00883399">
        <w:rPr>
          <w:sz w:val="20"/>
          <w:szCs w:val="20"/>
        </w:rPr>
        <w:tab/>
        <w:t xml:space="preserve">See (53). </w:t>
      </w:r>
    </w:p>
    <w:p w14:paraId="3F48E6A5" w14:textId="77777777" w:rsidR="007261F7" w:rsidRPr="00883399" w:rsidRDefault="007261F7">
      <w:pPr>
        <w:rPr>
          <w:sz w:val="20"/>
          <w:szCs w:val="20"/>
        </w:rPr>
      </w:pPr>
    </w:p>
    <w:p w14:paraId="6AC5126B" w14:textId="77777777" w:rsidR="007261F7" w:rsidRPr="00883399" w:rsidRDefault="007261F7">
      <w:pPr>
        <w:rPr>
          <w:sz w:val="20"/>
          <w:szCs w:val="20"/>
        </w:rPr>
      </w:pPr>
      <w:r w:rsidRPr="00883399">
        <w:rPr>
          <w:sz w:val="20"/>
          <w:szCs w:val="20"/>
        </w:rPr>
        <w:t>55.</w:t>
      </w:r>
      <w:r w:rsidRPr="00883399">
        <w:rPr>
          <w:sz w:val="20"/>
          <w:szCs w:val="20"/>
        </w:rPr>
        <w:tab/>
        <w:t>Assumed to be 100% carbon</w:t>
      </w:r>
    </w:p>
    <w:p w14:paraId="256081D8" w14:textId="77777777" w:rsidR="007261F7" w:rsidRPr="00883399" w:rsidRDefault="007261F7">
      <w:pPr>
        <w:rPr>
          <w:sz w:val="20"/>
          <w:szCs w:val="20"/>
        </w:rPr>
      </w:pPr>
    </w:p>
    <w:p w14:paraId="0261EF66" w14:textId="77777777" w:rsidR="007261F7" w:rsidRPr="00883399" w:rsidRDefault="007261F7">
      <w:pPr>
        <w:rPr>
          <w:sz w:val="20"/>
          <w:szCs w:val="20"/>
        </w:rPr>
      </w:pPr>
      <w:r w:rsidRPr="00883399">
        <w:rPr>
          <w:sz w:val="20"/>
          <w:szCs w:val="20"/>
        </w:rPr>
        <w:t>56.</w:t>
      </w:r>
      <w:r w:rsidRPr="00883399">
        <w:rPr>
          <w:sz w:val="20"/>
          <w:szCs w:val="20"/>
        </w:rPr>
        <w:tab/>
        <w:t>Carbon content obtained through stoichiometric estimation</w:t>
      </w:r>
    </w:p>
    <w:p w14:paraId="0229CAD0" w14:textId="77777777" w:rsidR="007261F7" w:rsidRPr="00883399" w:rsidRDefault="007261F7">
      <w:pPr>
        <w:rPr>
          <w:sz w:val="20"/>
          <w:szCs w:val="20"/>
        </w:rPr>
      </w:pPr>
    </w:p>
    <w:p w14:paraId="18564E3B" w14:textId="77777777" w:rsidR="007261F7" w:rsidRPr="00883399" w:rsidRDefault="007261F7">
      <w:pPr>
        <w:rPr>
          <w:sz w:val="20"/>
          <w:szCs w:val="20"/>
        </w:rPr>
      </w:pPr>
      <w:r w:rsidRPr="00883399">
        <w:rPr>
          <w:sz w:val="20"/>
          <w:szCs w:val="20"/>
        </w:rPr>
        <w:t>57.</w:t>
      </w:r>
      <w:r w:rsidRPr="00883399">
        <w:rPr>
          <w:sz w:val="20"/>
          <w:szCs w:val="20"/>
        </w:rPr>
        <w:tab/>
        <w:t>Carbon content assumed the same as ethylene</w:t>
      </w:r>
    </w:p>
    <w:p w14:paraId="4203EE8B" w14:textId="77777777" w:rsidR="007261F7" w:rsidRPr="00883399" w:rsidRDefault="007261F7">
      <w:pPr>
        <w:rPr>
          <w:sz w:val="20"/>
          <w:szCs w:val="20"/>
        </w:rPr>
      </w:pPr>
    </w:p>
    <w:p w14:paraId="2BE316CB" w14:textId="77777777" w:rsidR="007261F7" w:rsidRPr="00883399" w:rsidRDefault="007261F7">
      <w:pPr>
        <w:rPr>
          <w:sz w:val="20"/>
          <w:szCs w:val="20"/>
        </w:rPr>
      </w:pPr>
      <w:r w:rsidRPr="00883399">
        <w:rPr>
          <w:sz w:val="20"/>
          <w:szCs w:val="20"/>
        </w:rPr>
        <w:t>58.</w:t>
      </w:r>
      <w:r w:rsidRPr="00883399">
        <w:rPr>
          <w:sz w:val="20"/>
          <w:szCs w:val="20"/>
        </w:rPr>
        <w:tab/>
        <w:t>Carbon content obtained through stoichiometric estimation</w:t>
      </w:r>
    </w:p>
    <w:p w14:paraId="41EE3845" w14:textId="77777777" w:rsidR="007261F7" w:rsidRPr="00883399" w:rsidRDefault="007261F7">
      <w:pPr>
        <w:rPr>
          <w:sz w:val="20"/>
          <w:szCs w:val="20"/>
        </w:rPr>
      </w:pPr>
    </w:p>
    <w:p w14:paraId="6AF196B1" w14:textId="77777777" w:rsidR="007261F7" w:rsidRPr="00883399" w:rsidRDefault="007261F7">
      <w:pPr>
        <w:rPr>
          <w:sz w:val="20"/>
          <w:szCs w:val="20"/>
        </w:rPr>
      </w:pPr>
      <w:r w:rsidRPr="00883399">
        <w:rPr>
          <w:sz w:val="20"/>
          <w:szCs w:val="20"/>
        </w:rPr>
        <w:t>59.</w:t>
      </w:r>
      <w:r w:rsidRPr="00883399">
        <w:rPr>
          <w:sz w:val="20"/>
          <w:szCs w:val="20"/>
        </w:rPr>
        <w:tab/>
        <w:t>Carbon content obtained through stoichiometric estimation</w:t>
      </w:r>
    </w:p>
    <w:p w14:paraId="512EE628" w14:textId="77777777" w:rsidR="007261F7" w:rsidRPr="00883399" w:rsidRDefault="007261F7">
      <w:pPr>
        <w:rPr>
          <w:sz w:val="20"/>
          <w:szCs w:val="20"/>
        </w:rPr>
      </w:pPr>
    </w:p>
    <w:p w14:paraId="0F406F11" w14:textId="77777777" w:rsidR="007261F7" w:rsidRPr="00883399" w:rsidRDefault="007261F7">
      <w:pPr>
        <w:rPr>
          <w:sz w:val="20"/>
          <w:szCs w:val="20"/>
        </w:rPr>
      </w:pPr>
      <w:r w:rsidRPr="00883399">
        <w:rPr>
          <w:sz w:val="20"/>
          <w:szCs w:val="20"/>
        </w:rPr>
        <w:t>60.</w:t>
      </w:r>
      <w:r w:rsidRPr="00883399">
        <w:rPr>
          <w:sz w:val="20"/>
          <w:szCs w:val="20"/>
        </w:rPr>
        <w:tab/>
        <w:t>Carbon content obtained through stoichiometric estimation</w:t>
      </w:r>
    </w:p>
    <w:p w14:paraId="35F18D2F" w14:textId="77777777" w:rsidR="007261F7" w:rsidRPr="00883399" w:rsidRDefault="007261F7">
      <w:pPr>
        <w:rPr>
          <w:sz w:val="20"/>
          <w:szCs w:val="20"/>
        </w:rPr>
      </w:pPr>
    </w:p>
    <w:p w14:paraId="0EC20BC9" w14:textId="77777777" w:rsidR="007261F7" w:rsidRPr="00883399" w:rsidRDefault="007261F7">
      <w:pPr>
        <w:rPr>
          <w:sz w:val="20"/>
          <w:szCs w:val="20"/>
        </w:rPr>
      </w:pPr>
      <w:r w:rsidRPr="00883399">
        <w:rPr>
          <w:sz w:val="20"/>
          <w:szCs w:val="20"/>
        </w:rPr>
        <w:t>61.</w:t>
      </w:r>
      <w:r w:rsidRPr="00883399">
        <w:rPr>
          <w:sz w:val="20"/>
          <w:szCs w:val="20"/>
        </w:rPr>
        <w:tab/>
        <w:t>Carbon content obtained through stoichiometric estimation</w:t>
      </w:r>
    </w:p>
    <w:p w14:paraId="454ACAFA" w14:textId="77777777" w:rsidR="007261F7" w:rsidRPr="00883399" w:rsidRDefault="007261F7">
      <w:pPr>
        <w:rPr>
          <w:sz w:val="20"/>
          <w:szCs w:val="20"/>
        </w:rPr>
      </w:pPr>
    </w:p>
    <w:p w14:paraId="6159B20F" w14:textId="77777777" w:rsidR="007261F7" w:rsidRPr="00883399" w:rsidRDefault="007261F7">
      <w:pPr>
        <w:rPr>
          <w:sz w:val="20"/>
          <w:szCs w:val="20"/>
        </w:rPr>
      </w:pPr>
      <w:r w:rsidRPr="00883399">
        <w:rPr>
          <w:sz w:val="20"/>
          <w:szCs w:val="20"/>
        </w:rPr>
        <w:t>62.</w:t>
      </w:r>
      <w:r w:rsidRPr="00883399">
        <w:rPr>
          <w:sz w:val="20"/>
          <w:szCs w:val="20"/>
        </w:rPr>
        <w:tab/>
        <w:t xml:space="preserve">Carbon content obtained through stoichiometric estimation </w:t>
      </w:r>
    </w:p>
    <w:p w14:paraId="4910D01A" w14:textId="77777777" w:rsidR="007261F7" w:rsidRPr="00883399" w:rsidRDefault="007261F7">
      <w:pPr>
        <w:rPr>
          <w:sz w:val="20"/>
          <w:szCs w:val="20"/>
        </w:rPr>
      </w:pPr>
    </w:p>
    <w:p w14:paraId="250C4971" w14:textId="77777777" w:rsidR="00711F2C" w:rsidRPr="00883399" w:rsidRDefault="00711F2C" w:rsidP="00711F2C">
      <w:pPr>
        <w:rPr>
          <w:sz w:val="20"/>
          <w:szCs w:val="20"/>
        </w:rPr>
      </w:pPr>
      <w:r w:rsidRPr="00883399">
        <w:rPr>
          <w:sz w:val="20"/>
          <w:szCs w:val="20"/>
        </w:rPr>
        <w:t>63.</w:t>
      </w:r>
      <w:r w:rsidRPr="00883399">
        <w:rPr>
          <w:sz w:val="20"/>
          <w:szCs w:val="20"/>
        </w:rPr>
        <w:tab/>
        <w:t xml:space="preserve">Carbon content obtained through stoichiometric estimation </w:t>
      </w:r>
    </w:p>
    <w:p w14:paraId="636A3F47" w14:textId="77777777" w:rsidR="00711F2C" w:rsidRPr="00883399" w:rsidRDefault="00711F2C">
      <w:pPr>
        <w:rPr>
          <w:sz w:val="20"/>
          <w:szCs w:val="20"/>
        </w:rPr>
      </w:pPr>
    </w:p>
    <w:p w14:paraId="7E0A6EB7" w14:textId="77777777" w:rsidR="00711F2C" w:rsidRPr="00883399" w:rsidRDefault="00711F2C" w:rsidP="00711F2C">
      <w:pPr>
        <w:rPr>
          <w:sz w:val="20"/>
          <w:szCs w:val="20"/>
        </w:rPr>
      </w:pPr>
      <w:r w:rsidRPr="00883399">
        <w:rPr>
          <w:sz w:val="20"/>
          <w:szCs w:val="20"/>
        </w:rPr>
        <w:t>64.</w:t>
      </w:r>
      <w:r w:rsidRPr="00883399">
        <w:rPr>
          <w:sz w:val="20"/>
          <w:szCs w:val="20"/>
        </w:rPr>
        <w:tab/>
        <w:t xml:space="preserve">Carbon content obtained through stoichiometric estimation </w:t>
      </w:r>
    </w:p>
    <w:p w14:paraId="71466035" w14:textId="77777777" w:rsidR="00711F2C" w:rsidRPr="00883399" w:rsidRDefault="00711F2C">
      <w:pPr>
        <w:rPr>
          <w:sz w:val="20"/>
          <w:szCs w:val="20"/>
        </w:rPr>
      </w:pPr>
    </w:p>
    <w:p w14:paraId="33E5C9AA" w14:textId="77777777" w:rsidR="00711F2C" w:rsidRPr="00883399" w:rsidRDefault="00711F2C" w:rsidP="00711F2C">
      <w:pPr>
        <w:rPr>
          <w:sz w:val="20"/>
          <w:szCs w:val="20"/>
        </w:rPr>
      </w:pPr>
      <w:r w:rsidRPr="00883399">
        <w:rPr>
          <w:sz w:val="20"/>
          <w:szCs w:val="20"/>
        </w:rPr>
        <w:t>65.</w:t>
      </w:r>
      <w:r w:rsidRPr="00883399">
        <w:rPr>
          <w:sz w:val="20"/>
          <w:szCs w:val="20"/>
        </w:rPr>
        <w:tab/>
        <w:t xml:space="preserve">Carbon content obtained through stoichiometric estimation </w:t>
      </w:r>
    </w:p>
    <w:p w14:paraId="117654B4" w14:textId="77777777" w:rsidR="00711F2C" w:rsidRPr="00883399" w:rsidRDefault="00711F2C">
      <w:pPr>
        <w:rPr>
          <w:sz w:val="20"/>
          <w:szCs w:val="20"/>
        </w:rPr>
      </w:pPr>
    </w:p>
    <w:p w14:paraId="039C3DFC" w14:textId="77777777" w:rsidR="00711F2C" w:rsidRPr="00883399" w:rsidRDefault="00711F2C" w:rsidP="00711F2C">
      <w:pPr>
        <w:rPr>
          <w:sz w:val="20"/>
          <w:szCs w:val="20"/>
        </w:rPr>
      </w:pPr>
      <w:r w:rsidRPr="00883399">
        <w:rPr>
          <w:sz w:val="20"/>
          <w:szCs w:val="20"/>
        </w:rPr>
        <w:t>66.</w:t>
      </w:r>
      <w:r w:rsidRPr="00883399">
        <w:rPr>
          <w:sz w:val="20"/>
          <w:szCs w:val="20"/>
        </w:rPr>
        <w:tab/>
        <w:t xml:space="preserve">Carbon content obtained through stoichiometric estimation </w:t>
      </w:r>
    </w:p>
    <w:p w14:paraId="1C028FB1" w14:textId="77777777" w:rsidR="007261F7" w:rsidRPr="00883399" w:rsidRDefault="007261F7">
      <w:pPr>
        <w:pStyle w:val="List"/>
      </w:pPr>
    </w:p>
    <w:p w14:paraId="294F340C" w14:textId="77777777" w:rsidR="007261F7" w:rsidRPr="00883399" w:rsidRDefault="007261F7">
      <w:pPr>
        <w:pStyle w:val="List"/>
        <w:rPr>
          <w:sz w:val="20"/>
          <w:szCs w:val="20"/>
        </w:rPr>
      </w:pPr>
      <w:r w:rsidRPr="00883399">
        <w:rPr>
          <w:sz w:val="20"/>
          <w:szCs w:val="20"/>
        </w:rPr>
        <w:t>Notes:</w:t>
      </w:r>
    </w:p>
    <w:p w14:paraId="5E8C736B" w14:textId="77777777" w:rsidR="007261F7" w:rsidRPr="00883399" w:rsidRDefault="007261F7">
      <w:pPr>
        <w:pStyle w:val="List"/>
        <w:rPr>
          <w:sz w:val="20"/>
          <w:szCs w:val="20"/>
        </w:rPr>
      </w:pPr>
    </w:p>
    <w:p w14:paraId="4D34BF84" w14:textId="77777777" w:rsidR="007261F7" w:rsidRPr="00883399" w:rsidRDefault="007261F7">
      <w:pPr>
        <w:pStyle w:val="List"/>
        <w:rPr>
          <w:i/>
          <w:sz w:val="20"/>
          <w:szCs w:val="20"/>
        </w:rPr>
      </w:pPr>
      <w:r w:rsidRPr="00883399">
        <w:rPr>
          <w:sz w:val="20"/>
          <w:szCs w:val="20"/>
        </w:rPr>
        <w:t>ABARE</w:t>
      </w:r>
      <w:r w:rsidRPr="00883399">
        <w:rPr>
          <w:sz w:val="20"/>
          <w:szCs w:val="20"/>
          <w:vertAlign w:val="subscript"/>
        </w:rPr>
        <w:t xml:space="preserve">1 </w:t>
      </w:r>
      <w:r w:rsidRPr="00883399">
        <w:rPr>
          <w:sz w:val="20"/>
          <w:szCs w:val="20"/>
        </w:rPr>
        <w:t xml:space="preserve">2007 </w:t>
      </w:r>
      <w:r w:rsidRPr="00883399">
        <w:rPr>
          <w:i/>
          <w:sz w:val="20"/>
          <w:szCs w:val="20"/>
        </w:rPr>
        <w:t xml:space="preserve">Fuel and Electricity Survey – Fuel Codes, </w:t>
      </w:r>
      <w:r w:rsidRPr="00883399">
        <w:rPr>
          <w:sz w:val="20"/>
          <w:szCs w:val="20"/>
        </w:rPr>
        <w:t>Australian Bureau of Agricultural and Resource Economics</w:t>
      </w:r>
      <w:r w:rsidRPr="00883399">
        <w:rPr>
          <w:i/>
          <w:sz w:val="20"/>
          <w:szCs w:val="20"/>
        </w:rPr>
        <w:t xml:space="preserve"> </w:t>
      </w:r>
      <w:hyperlink r:id="rId372" w:history="1">
        <w:r w:rsidRPr="00883399">
          <w:rPr>
            <w:rStyle w:val="Hyperlink"/>
            <w:i/>
            <w:color w:val="auto"/>
            <w:sz w:val="20"/>
            <w:szCs w:val="20"/>
          </w:rPr>
          <w:t>www.abareconomics.com/publications_html/surveys/surveys/surveys.html</w:t>
        </w:r>
      </w:hyperlink>
      <w:r w:rsidRPr="00883399">
        <w:rPr>
          <w:i/>
          <w:sz w:val="20"/>
          <w:szCs w:val="20"/>
        </w:rPr>
        <w:t xml:space="preserve">, </w:t>
      </w:r>
      <w:r w:rsidRPr="00883399">
        <w:rPr>
          <w:sz w:val="20"/>
          <w:szCs w:val="20"/>
        </w:rPr>
        <w:t>Commonwealth of Australia, Canberra.</w:t>
      </w:r>
    </w:p>
    <w:p w14:paraId="7BA3F727" w14:textId="77777777" w:rsidR="007261F7" w:rsidRPr="00883399" w:rsidRDefault="007261F7">
      <w:pPr>
        <w:pStyle w:val="List"/>
        <w:rPr>
          <w:sz w:val="20"/>
          <w:szCs w:val="20"/>
        </w:rPr>
      </w:pPr>
    </w:p>
    <w:p w14:paraId="5C4D88F4" w14:textId="77777777" w:rsidR="007261F7" w:rsidRPr="00883399" w:rsidRDefault="007261F7">
      <w:pPr>
        <w:pStyle w:val="List"/>
        <w:rPr>
          <w:sz w:val="20"/>
          <w:szCs w:val="20"/>
        </w:rPr>
      </w:pPr>
      <w:r w:rsidRPr="00883399">
        <w:rPr>
          <w:sz w:val="20"/>
          <w:szCs w:val="20"/>
        </w:rPr>
        <w:t>ABARE</w:t>
      </w:r>
      <w:r w:rsidRPr="00883399">
        <w:rPr>
          <w:sz w:val="20"/>
          <w:szCs w:val="20"/>
          <w:vertAlign w:val="subscript"/>
        </w:rPr>
        <w:t xml:space="preserve">2 </w:t>
      </w:r>
      <w:r w:rsidRPr="00883399">
        <w:rPr>
          <w:sz w:val="20"/>
          <w:szCs w:val="20"/>
        </w:rPr>
        <w:t xml:space="preserve">2007 </w:t>
      </w:r>
      <w:r w:rsidRPr="00883399">
        <w:rPr>
          <w:i/>
          <w:sz w:val="20"/>
          <w:szCs w:val="20"/>
        </w:rPr>
        <w:t xml:space="preserve">Energy in Australia 2006, </w:t>
      </w:r>
      <w:r w:rsidRPr="00883399">
        <w:rPr>
          <w:sz w:val="20"/>
          <w:szCs w:val="20"/>
        </w:rPr>
        <w:t xml:space="preserve">produced for Department of Industry, Tourism and Resources, pages 77-79, Commonwealth of </w:t>
      </w:r>
      <w:r w:rsidR="000D6261" w:rsidRPr="00883399">
        <w:rPr>
          <w:sz w:val="20"/>
          <w:szCs w:val="20"/>
        </w:rPr>
        <w:t>Australia, Canberra</w:t>
      </w:r>
      <w:r w:rsidRPr="00883399">
        <w:rPr>
          <w:sz w:val="20"/>
          <w:szCs w:val="20"/>
        </w:rPr>
        <w:t>.</w:t>
      </w:r>
    </w:p>
    <w:p w14:paraId="258BE729" w14:textId="77777777" w:rsidR="007261F7" w:rsidRPr="00883399" w:rsidRDefault="007261F7">
      <w:pPr>
        <w:rPr>
          <w:sz w:val="20"/>
          <w:szCs w:val="20"/>
        </w:rPr>
      </w:pPr>
    </w:p>
    <w:p w14:paraId="032FE6AA" w14:textId="77777777" w:rsidR="007261F7" w:rsidRPr="00883399" w:rsidRDefault="003C0939">
      <w:pPr>
        <w:rPr>
          <w:sz w:val="20"/>
          <w:szCs w:val="20"/>
        </w:rPr>
      </w:pPr>
      <w:r w:rsidRPr="00883399">
        <w:rPr>
          <w:sz w:val="20"/>
          <w:szCs w:val="20"/>
        </w:rPr>
        <w:t>Department of Climate Change and Energy Efficiency</w:t>
      </w:r>
      <w:r w:rsidR="007261F7" w:rsidRPr="00883399">
        <w:rPr>
          <w:sz w:val="20"/>
          <w:szCs w:val="20"/>
        </w:rPr>
        <w:t xml:space="preserve"> (2008), </w:t>
      </w:r>
      <w:r w:rsidR="007261F7" w:rsidRPr="00883399">
        <w:rPr>
          <w:i/>
          <w:sz w:val="20"/>
          <w:szCs w:val="20"/>
        </w:rPr>
        <w:t>National Inventory Report 2006</w:t>
      </w:r>
      <w:r w:rsidR="007261F7" w:rsidRPr="00883399">
        <w:rPr>
          <w:sz w:val="20"/>
          <w:szCs w:val="20"/>
        </w:rPr>
        <w:t>, Commonwealth of Australia, Canberra</w:t>
      </w:r>
    </w:p>
    <w:p w14:paraId="5FB0C845" w14:textId="77777777" w:rsidR="00B95826" w:rsidRPr="00883399" w:rsidRDefault="00B95826">
      <w:pPr>
        <w:rPr>
          <w:sz w:val="20"/>
          <w:szCs w:val="20"/>
        </w:rPr>
      </w:pPr>
    </w:p>
    <w:p w14:paraId="1BFFE7F9" w14:textId="77777777" w:rsidR="007261F7" w:rsidRPr="00883399" w:rsidRDefault="007261F7">
      <w:pPr>
        <w:pStyle w:val="List"/>
      </w:pPr>
      <w:r w:rsidRPr="00883399">
        <w:rPr>
          <w:sz w:val="20"/>
          <w:szCs w:val="20"/>
        </w:rPr>
        <w:t xml:space="preserve">Intergovernmental Report on Climate Change (2006), </w:t>
      </w:r>
      <w:r w:rsidRPr="00883399">
        <w:rPr>
          <w:i/>
          <w:iCs/>
          <w:sz w:val="20"/>
          <w:szCs w:val="20"/>
        </w:rPr>
        <w:t xml:space="preserve">2006 IPCC Guidelines for National Greenhouse Gas Inventories; </w:t>
      </w:r>
      <w:r w:rsidRPr="00883399">
        <w:rPr>
          <w:iCs/>
          <w:sz w:val="20"/>
          <w:szCs w:val="20"/>
        </w:rPr>
        <w:t>Japan</w:t>
      </w:r>
      <w:r w:rsidRPr="00883399">
        <w:rPr>
          <w:i/>
          <w:iCs/>
        </w:rPr>
        <w:t>.</w:t>
      </w:r>
    </w:p>
    <w:p w14:paraId="4372EAF6" w14:textId="77777777" w:rsidR="007261F7" w:rsidRPr="00883399" w:rsidRDefault="007261F7">
      <w:pPr>
        <w:sectPr w:rsidR="007261F7" w:rsidRPr="00883399" w:rsidSect="001809E7">
          <w:headerReference w:type="even" r:id="rId373"/>
          <w:headerReference w:type="default" r:id="rId374"/>
          <w:footerReference w:type="even" r:id="rId375"/>
          <w:footerReference w:type="default" r:id="rId376"/>
          <w:headerReference w:type="first" r:id="rId377"/>
          <w:footerReference w:type="first" r:id="rId378"/>
          <w:type w:val="continuous"/>
          <w:pgSz w:w="11907" w:h="16839" w:code="9"/>
          <w:pgMar w:top="1440" w:right="1797" w:bottom="1440" w:left="1797" w:header="709" w:footer="709" w:gutter="0"/>
          <w:cols w:space="708"/>
          <w:docGrid w:linePitch="360"/>
        </w:sectPr>
      </w:pPr>
    </w:p>
    <w:p w14:paraId="2AACBF5A" w14:textId="77777777" w:rsidR="007261F7" w:rsidRPr="00883399" w:rsidRDefault="0084491A" w:rsidP="00466A53">
      <w:pPr>
        <w:pStyle w:val="Scheduletitle"/>
        <w:pageBreakBefore/>
        <w:outlineLvl w:val="0"/>
      </w:pPr>
      <w:bookmarkStart w:id="1389" w:name="_Toc227734147"/>
      <w:bookmarkStart w:id="1390" w:name="_Toc265135675"/>
      <w:bookmarkStart w:id="1391" w:name="_Toc495653210"/>
      <w:bookmarkStart w:id="1392" w:name="_Toc202001977"/>
      <w:r w:rsidRPr="00883399">
        <w:rPr>
          <w:rStyle w:val="CharAmSchNo"/>
        </w:rPr>
        <w:t>Appendix B:</w:t>
      </w:r>
      <w:r w:rsidRPr="00883399">
        <w:rPr>
          <w:rStyle w:val="CharAmSchNo"/>
        </w:rPr>
        <w:tab/>
      </w:r>
      <w:r w:rsidR="007261F7" w:rsidRPr="00883399">
        <w:rPr>
          <w:rStyle w:val="CharDivText"/>
        </w:rPr>
        <w:t>Definitions and interpretation</w:t>
      </w:r>
      <w:bookmarkEnd w:id="1389"/>
      <w:bookmarkEnd w:id="1390"/>
      <w:bookmarkEnd w:id="1391"/>
      <w:r w:rsidR="007261F7" w:rsidRPr="00883399">
        <w:rPr>
          <w:rStyle w:val="CharAmSchText"/>
        </w:rPr>
        <w:t xml:space="preserve"> </w:t>
      </w:r>
    </w:p>
    <w:p w14:paraId="4035AD52" w14:textId="71B3B843" w:rsidR="007261F7" w:rsidRPr="00883399" w:rsidRDefault="007261F7" w:rsidP="00466A53">
      <w:pPr>
        <w:pStyle w:val="Text"/>
        <w:outlineLvl w:val="0"/>
        <w:rPr>
          <w:b/>
          <w:sz w:val="24"/>
          <w:szCs w:val="24"/>
        </w:rPr>
      </w:pPr>
      <w:bookmarkStart w:id="1393" w:name="_Toc202001978"/>
      <w:bookmarkEnd w:id="1392"/>
      <w:r w:rsidRPr="00883399">
        <w:rPr>
          <w:b/>
          <w:sz w:val="24"/>
          <w:szCs w:val="24"/>
        </w:rPr>
        <w:t>Definitions</w:t>
      </w:r>
      <w:bookmarkEnd w:id="1393"/>
    </w:p>
    <w:p w14:paraId="66470385" w14:textId="77777777" w:rsidR="007261F7" w:rsidRPr="00883399" w:rsidRDefault="007261F7">
      <w:pPr>
        <w:pStyle w:val="R1"/>
      </w:pPr>
      <w:r w:rsidRPr="00883399">
        <w:tab/>
      </w:r>
    </w:p>
    <w:p w14:paraId="4D5EF243" w14:textId="77777777" w:rsidR="00454DE8" w:rsidRPr="00883399" w:rsidRDefault="00454DE8" w:rsidP="00454DE8">
      <w:pPr>
        <w:pStyle w:val="Definition0"/>
        <w:rPr>
          <w:sz w:val="24"/>
        </w:rPr>
      </w:pPr>
      <w:r w:rsidRPr="00883399">
        <w:rPr>
          <w:b/>
          <w:i/>
          <w:sz w:val="24"/>
        </w:rPr>
        <w:t xml:space="preserve">2006 IPCC Guidelines </w:t>
      </w:r>
      <w:r w:rsidRPr="00883399">
        <w:rPr>
          <w:sz w:val="24"/>
        </w:rPr>
        <w:t xml:space="preserve">means the </w:t>
      </w:r>
      <w:r w:rsidRPr="00883399">
        <w:rPr>
          <w:i/>
          <w:sz w:val="24"/>
        </w:rPr>
        <w:t xml:space="preserve">2006 IPCC Guidelines for National Greenhouse Gas Inventories </w:t>
      </w:r>
      <w:r w:rsidRPr="00883399">
        <w:rPr>
          <w:sz w:val="24"/>
        </w:rPr>
        <w:t>published by the IPCC.</w:t>
      </w:r>
    </w:p>
    <w:p w14:paraId="4E80D239" w14:textId="77777777" w:rsidR="00454DE8" w:rsidRPr="00883399" w:rsidRDefault="00454DE8" w:rsidP="00454DE8">
      <w:pPr>
        <w:pStyle w:val="Definition0"/>
        <w:rPr>
          <w:sz w:val="24"/>
        </w:rPr>
      </w:pPr>
      <w:r w:rsidRPr="00883399">
        <w:rPr>
          <w:b/>
          <w:i/>
          <w:sz w:val="24"/>
        </w:rPr>
        <w:t xml:space="preserve">ACARP Guidelines </w:t>
      </w:r>
      <w:r w:rsidRPr="00883399">
        <w:rPr>
          <w:sz w:val="24"/>
        </w:rPr>
        <w:t xml:space="preserve">means the document entitled </w:t>
      </w:r>
      <w:r w:rsidRPr="00883399">
        <w:rPr>
          <w:i/>
          <w:sz w:val="24"/>
        </w:rPr>
        <w:t xml:space="preserve">Guidelines for the Implementation of NGER Method 2 or 3 for Open Cut Coal Mine Fugitive GHG Emissions Reporting </w:t>
      </w:r>
      <w:r w:rsidRPr="00883399">
        <w:rPr>
          <w:sz w:val="24"/>
        </w:rPr>
        <w:t>(C20005), published by the Australian Coal Association Research Program in December 2011.</w:t>
      </w:r>
    </w:p>
    <w:p w14:paraId="3F0DC566" w14:textId="77777777" w:rsidR="00454DE8" w:rsidRPr="00883399" w:rsidRDefault="00454DE8" w:rsidP="00454DE8">
      <w:pPr>
        <w:pStyle w:val="Definition0"/>
        <w:rPr>
          <w:sz w:val="24"/>
        </w:rPr>
      </w:pPr>
      <w:r w:rsidRPr="00883399">
        <w:rPr>
          <w:b/>
          <w:i/>
          <w:sz w:val="24"/>
        </w:rPr>
        <w:t xml:space="preserve">accredited laboratory </w:t>
      </w:r>
      <w:r w:rsidRPr="00883399">
        <w:rPr>
          <w:sz w:val="24"/>
        </w:rPr>
        <w:t>means a laboratory accredited by the National Association of Testing Authorities or an equivalent member of the International Laboratory Accreditation Cooperation in accordance with AS ISO/IEC 17025:2005, and for the production of calibration gases, accredited to ISO Guide 34:2000.</w:t>
      </w:r>
    </w:p>
    <w:p w14:paraId="0E5ABB17" w14:textId="77777777" w:rsidR="00454DE8" w:rsidRPr="00883399" w:rsidRDefault="00454DE8" w:rsidP="00454DE8">
      <w:pPr>
        <w:pStyle w:val="Definition0"/>
        <w:rPr>
          <w:sz w:val="24"/>
        </w:rPr>
      </w:pPr>
      <w:r w:rsidRPr="00883399">
        <w:rPr>
          <w:b/>
          <w:i/>
          <w:sz w:val="24"/>
        </w:rPr>
        <w:t xml:space="preserve">Act </w:t>
      </w:r>
      <w:r w:rsidRPr="00883399">
        <w:rPr>
          <w:sz w:val="24"/>
        </w:rPr>
        <w:t xml:space="preserve">means the </w:t>
      </w:r>
      <w:r w:rsidRPr="00883399">
        <w:rPr>
          <w:i/>
          <w:sz w:val="24"/>
        </w:rPr>
        <w:t>National Greenhouse and Energy Reporting Act 2007</w:t>
      </w:r>
      <w:r w:rsidRPr="00883399">
        <w:rPr>
          <w:sz w:val="24"/>
        </w:rPr>
        <w:t>.</w:t>
      </w:r>
    </w:p>
    <w:p w14:paraId="49C81D73" w14:textId="77777777" w:rsidR="00454DE8" w:rsidRPr="00883399" w:rsidRDefault="00454DE8" w:rsidP="00454DE8">
      <w:pPr>
        <w:pStyle w:val="Definition0"/>
        <w:rPr>
          <w:sz w:val="24"/>
        </w:rPr>
      </w:pPr>
      <w:r w:rsidRPr="00883399">
        <w:rPr>
          <w:b/>
          <w:i/>
          <w:sz w:val="24"/>
        </w:rPr>
        <w:t>active gas collection</w:t>
      </w:r>
      <w:r w:rsidRPr="00883399">
        <w:rPr>
          <w:sz w:val="24"/>
        </w:rPr>
        <w:t xml:space="preserve"> means a system of wells and pipes that collect landfill gas through the use of vacuums or pumps.</w:t>
      </w:r>
    </w:p>
    <w:p w14:paraId="1D1E922E" w14:textId="77777777" w:rsidR="00454DE8" w:rsidRPr="00883399" w:rsidRDefault="00454DE8" w:rsidP="00454DE8">
      <w:pPr>
        <w:pStyle w:val="Definition0"/>
        <w:rPr>
          <w:sz w:val="24"/>
        </w:rPr>
      </w:pPr>
      <w:r w:rsidRPr="00883399">
        <w:rPr>
          <w:b/>
          <w:i/>
          <w:sz w:val="24"/>
        </w:rPr>
        <w:t>alternative waste treatment activity</w:t>
      </w:r>
      <w:r w:rsidRPr="00883399">
        <w:rPr>
          <w:sz w:val="24"/>
        </w:rPr>
        <w:t xml:space="preserve"> means an activity that:</w:t>
      </w:r>
    </w:p>
    <w:p w14:paraId="38DABA8A" w14:textId="77777777" w:rsidR="00454DE8" w:rsidRPr="00883399" w:rsidRDefault="00454DE8" w:rsidP="00454DE8">
      <w:pPr>
        <w:pStyle w:val="paragraph"/>
        <w:rPr>
          <w:sz w:val="24"/>
        </w:rPr>
      </w:pPr>
      <w:r w:rsidRPr="00883399">
        <w:rPr>
          <w:sz w:val="24"/>
        </w:rPr>
        <w:tab/>
        <w:t>(a)</w:t>
      </w:r>
      <w:r w:rsidRPr="00883399">
        <w:rPr>
          <w:sz w:val="24"/>
        </w:rPr>
        <w:tab/>
        <w:t>accepts and processes mixed waste using:</w:t>
      </w:r>
    </w:p>
    <w:p w14:paraId="3A331314" w14:textId="77777777" w:rsidR="00454DE8" w:rsidRPr="00883399" w:rsidRDefault="00454DE8" w:rsidP="00454DE8">
      <w:pPr>
        <w:pStyle w:val="paragraphsub"/>
        <w:rPr>
          <w:sz w:val="24"/>
        </w:rPr>
      </w:pPr>
      <w:r w:rsidRPr="00883399">
        <w:rPr>
          <w:sz w:val="24"/>
        </w:rPr>
        <w:tab/>
        <w:t>(i)</w:t>
      </w:r>
      <w:r w:rsidRPr="00883399">
        <w:rPr>
          <w:sz w:val="24"/>
        </w:rPr>
        <w:tab/>
        <w:t>mechanical processing; and</w:t>
      </w:r>
    </w:p>
    <w:p w14:paraId="546FC307" w14:textId="77777777" w:rsidR="00454DE8" w:rsidRPr="00883399" w:rsidRDefault="00454DE8" w:rsidP="00454DE8">
      <w:pPr>
        <w:pStyle w:val="paragraphsub"/>
        <w:rPr>
          <w:sz w:val="24"/>
        </w:rPr>
      </w:pPr>
      <w:r w:rsidRPr="00883399">
        <w:rPr>
          <w:sz w:val="24"/>
        </w:rPr>
        <w:tab/>
        <w:t>(ii)</w:t>
      </w:r>
      <w:r w:rsidRPr="00883399">
        <w:rPr>
          <w:sz w:val="24"/>
        </w:rPr>
        <w:tab/>
        <w:t>biological or thermal processing; and</w:t>
      </w:r>
    </w:p>
    <w:p w14:paraId="5E99B86F" w14:textId="77777777" w:rsidR="00454DE8" w:rsidRPr="00883399" w:rsidRDefault="00454DE8" w:rsidP="00454DE8">
      <w:pPr>
        <w:pStyle w:val="paragraph"/>
        <w:rPr>
          <w:sz w:val="24"/>
        </w:rPr>
      </w:pPr>
      <w:r w:rsidRPr="00883399">
        <w:rPr>
          <w:sz w:val="24"/>
        </w:rPr>
        <w:tab/>
        <w:t>(b)</w:t>
      </w:r>
      <w:r w:rsidRPr="00883399">
        <w:rPr>
          <w:sz w:val="24"/>
        </w:rPr>
        <w:tab/>
        <w:t>extracts recyclable materials from the mixed waste.</w:t>
      </w:r>
    </w:p>
    <w:p w14:paraId="4A4572CF" w14:textId="77777777" w:rsidR="00454DE8" w:rsidRPr="00883399" w:rsidRDefault="00454DE8" w:rsidP="00454DE8">
      <w:pPr>
        <w:pStyle w:val="Definition0"/>
        <w:rPr>
          <w:sz w:val="24"/>
        </w:rPr>
      </w:pPr>
      <w:r w:rsidRPr="00883399">
        <w:rPr>
          <w:b/>
          <w:i/>
          <w:sz w:val="24"/>
        </w:rPr>
        <w:t xml:space="preserve">alternative waste treatment residue </w:t>
      </w:r>
      <w:r w:rsidRPr="00883399">
        <w:rPr>
          <w:sz w:val="24"/>
        </w:rPr>
        <w:t>means the material that remains after waste has been processed and organic rich material has been removed by physical screening or sorting by an alternative waste treatment activity that produces compost, soil conditioners or mulch in accordance with:</w:t>
      </w:r>
    </w:p>
    <w:p w14:paraId="65524C09" w14:textId="77777777" w:rsidR="00454DE8" w:rsidRPr="00883399" w:rsidRDefault="00454DE8" w:rsidP="00454DE8">
      <w:pPr>
        <w:pStyle w:val="paragraph"/>
        <w:rPr>
          <w:sz w:val="24"/>
        </w:rPr>
      </w:pPr>
      <w:r w:rsidRPr="00883399">
        <w:rPr>
          <w:sz w:val="24"/>
        </w:rPr>
        <w:tab/>
        <w:t>(a)</w:t>
      </w:r>
      <w:r w:rsidRPr="00883399">
        <w:rPr>
          <w:sz w:val="24"/>
        </w:rPr>
        <w:tab/>
        <w:t>State or Territory legislation; or</w:t>
      </w:r>
    </w:p>
    <w:p w14:paraId="213BD122" w14:textId="77777777" w:rsidR="00454DE8" w:rsidRPr="00883399" w:rsidRDefault="00454DE8" w:rsidP="00454DE8">
      <w:pPr>
        <w:pStyle w:val="paragraph"/>
        <w:rPr>
          <w:sz w:val="24"/>
        </w:rPr>
      </w:pPr>
      <w:r w:rsidRPr="00883399">
        <w:rPr>
          <w:sz w:val="24"/>
        </w:rPr>
        <w:tab/>
        <w:t>(b)</w:t>
      </w:r>
      <w:r w:rsidRPr="00883399">
        <w:rPr>
          <w:sz w:val="24"/>
        </w:rPr>
        <w:tab/>
        <w:t>Australian Standard AS 4454:2012.</w:t>
      </w:r>
    </w:p>
    <w:p w14:paraId="0ED2D35B" w14:textId="77777777" w:rsidR="00454DE8" w:rsidRPr="00883399" w:rsidRDefault="00454DE8" w:rsidP="00454DE8">
      <w:pPr>
        <w:pStyle w:val="Definition0"/>
        <w:rPr>
          <w:sz w:val="24"/>
        </w:rPr>
      </w:pPr>
      <w:r w:rsidRPr="00883399">
        <w:rPr>
          <w:b/>
          <w:i/>
          <w:sz w:val="24"/>
        </w:rPr>
        <w:t xml:space="preserve">ANZSIC industry classification and code </w:t>
      </w:r>
      <w:r w:rsidRPr="00883399">
        <w:rPr>
          <w:sz w:val="24"/>
        </w:rPr>
        <w:t>means an industry classification and code for that classification published in the Australian and New Zealand Standard Industrial Classification (ANZSIC), 2006.</w:t>
      </w:r>
    </w:p>
    <w:p w14:paraId="490300E8" w14:textId="77777777" w:rsidR="00454DE8" w:rsidRPr="00883399" w:rsidRDefault="00454DE8" w:rsidP="00454DE8">
      <w:pPr>
        <w:pStyle w:val="Definition0"/>
        <w:rPr>
          <w:sz w:val="24"/>
        </w:rPr>
      </w:pPr>
      <w:r w:rsidRPr="00883399">
        <w:rPr>
          <w:b/>
          <w:i/>
          <w:sz w:val="24"/>
        </w:rPr>
        <w:t xml:space="preserve">APHA </w:t>
      </w:r>
      <w:r w:rsidRPr="00883399">
        <w:rPr>
          <w:sz w:val="24"/>
        </w:rPr>
        <w:t>followed by a number means a method of that number issued by the American Public Health Association and, if a date is included, of that date.</w:t>
      </w:r>
    </w:p>
    <w:p w14:paraId="13469CA0" w14:textId="77777777" w:rsidR="00454DE8" w:rsidRPr="00883399" w:rsidRDefault="00454DE8" w:rsidP="00454DE8">
      <w:pPr>
        <w:pStyle w:val="Definition0"/>
        <w:rPr>
          <w:sz w:val="24"/>
        </w:rPr>
      </w:pPr>
      <w:r w:rsidRPr="00883399">
        <w:rPr>
          <w:b/>
          <w:i/>
          <w:sz w:val="24"/>
        </w:rPr>
        <w:t xml:space="preserve">API Compendium </w:t>
      </w:r>
      <w:r w:rsidRPr="00883399">
        <w:rPr>
          <w:sz w:val="24"/>
        </w:rPr>
        <w:t xml:space="preserve">means the document entitled </w:t>
      </w:r>
      <w:r w:rsidRPr="00883399">
        <w:rPr>
          <w:i/>
          <w:sz w:val="24"/>
        </w:rPr>
        <w:t>Compendium of Greenhouse Gas Emissions Methodologies for the Oil and Natural Gas Industry</w:t>
      </w:r>
      <w:r w:rsidRPr="00883399">
        <w:rPr>
          <w:sz w:val="24"/>
        </w:rPr>
        <w:t>, published in August 2009 by the American Petroleum Institute.</w:t>
      </w:r>
    </w:p>
    <w:p w14:paraId="16F35F86" w14:textId="77777777" w:rsidR="00454DE8" w:rsidRPr="00883399" w:rsidRDefault="00454DE8" w:rsidP="00454DE8">
      <w:pPr>
        <w:pStyle w:val="notetext"/>
        <w:rPr>
          <w:sz w:val="20"/>
        </w:rPr>
      </w:pPr>
      <w:r w:rsidRPr="00883399">
        <w:rPr>
          <w:sz w:val="20"/>
        </w:rPr>
        <w:t>Note:</w:t>
      </w:r>
      <w:r w:rsidRPr="00883399">
        <w:rPr>
          <w:sz w:val="20"/>
        </w:rPr>
        <w:tab/>
        <w:t xml:space="preserve">The API Compendium is available at </w:t>
      </w:r>
      <w:r w:rsidRPr="00883399">
        <w:rPr>
          <w:sz w:val="20"/>
          <w:u w:val="single"/>
        </w:rPr>
        <w:t>www.api.org</w:t>
      </w:r>
      <w:r w:rsidRPr="00883399">
        <w:rPr>
          <w:sz w:val="20"/>
        </w:rPr>
        <w:t>.</w:t>
      </w:r>
    </w:p>
    <w:p w14:paraId="11A45067" w14:textId="77777777" w:rsidR="00454DE8" w:rsidRPr="00883399" w:rsidRDefault="00454DE8" w:rsidP="00454DE8">
      <w:pPr>
        <w:pStyle w:val="Definition0"/>
        <w:rPr>
          <w:sz w:val="24"/>
        </w:rPr>
      </w:pPr>
      <w:r w:rsidRPr="00883399">
        <w:rPr>
          <w:b/>
          <w:i/>
          <w:sz w:val="24"/>
        </w:rPr>
        <w:t>applicable State or Territory legislation</w:t>
      </w:r>
      <w:r w:rsidRPr="00883399">
        <w:rPr>
          <w:sz w:val="24"/>
        </w:rPr>
        <w:t>, for an underground mine, means a law of a State or Territory in which the mine is located that relates to coal mining health and safety, including such a law that prescribes performance</w:t>
      </w:r>
      <w:r w:rsidRPr="00883399">
        <w:rPr>
          <w:sz w:val="24"/>
        </w:rPr>
        <w:noBreakHyphen/>
        <w:t>based objectives, as in force on 1 July 2008.</w:t>
      </w:r>
    </w:p>
    <w:p w14:paraId="67AD4626" w14:textId="77777777" w:rsidR="00454DE8" w:rsidRPr="00883399" w:rsidRDefault="00454DE8" w:rsidP="00454DE8">
      <w:pPr>
        <w:pStyle w:val="notetext"/>
        <w:rPr>
          <w:sz w:val="20"/>
        </w:rPr>
      </w:pPr>
      <w:r w:rsidRPr="00883399">
        <w:rPr>
          <w:sz w:val="20"/>
        </w:rPr>
        <w:t>Note:</w:t>
      </w:r>
      <w:r w:rsidRPr="00883399">
        <w:rPr>
          <w:sz w:val="20"/>
        </w:rPr>
        <w:tab/>
        <w:t>Applicable State or Territory legislation includes:</w:t>
      </w:r>
    </w:p>
    <w:p w14:paraId="7D690BA0" w14:textId="77777777" w:rsidR="00454DE8" w:rsidRPr="00883399" w:rsidRDefault="00454DE8" w:rsidP="00454DE8">
      <w:pPr>
        <w:pStyle w:val="notepara1"/>
        <w:rPr>
          <w:sz w:val="20"/>
        </w:rPr>
      </w:pPr>
      <w:r w:rsidRPr="00883399">
        <w:rPr>
          <w:sz w:val="20"/>
        </w:rPr>
        <w:sym w:font="Symbol" w:char="F0B7"/>
      </w:r>
      <w:r w:rsidRPr="00883399">
        <w:rPr>
          <w:sz w:val="20"/>
        </w:rPr>
        <w:tab/>
      </w:r>
      <w:r w:rsidRPr="00883399">
        <w:rPr>
          <w:i/>
          <w:sz w:val="20"/>
        </w:rPr>
        <w:t>Coal Mine Health and Safety Act 2002</w:t>
      </w:r>
      <w:r w:rsidRPr="00883399">
        <w:rPr>
          <w:sz w:val="20"/>
        </w:rPr>
        <w:t xml:space="preserve"> (NSW) and the </w:t>
      </w:r>
      <w:r w:rsidRPr="00883399">
        <w:rPr>
          <w:i/>
          <w:sz w:val="20"/>
        </w:rPr>
        <w:t>Coal Mine Health and Safety Regulation 2006</w:t>
      </w:r>
      <w:r w:rsidRPr="00883399">
        <w:rPr>
          <w:sz w:val="20"/>
        </w:rPr>
        <w:t xml:space="preserve"> (NSW)</w:t>
      </w:r>
    </w:p>
    <w:p w14:paraId="41EFE193" w14:textId="77777777" w:rsidR="00454DE8" w:rsidRPr="00883399" w:rsidRDefault="00454DE8" w:rsidP="00454DE8">
      <w:pPr>
        <w:pStyle w:val="notepara1"/>
        <w:rPr>
          <w:sz w:val="20"/>
        </w:rPr>
      </w:pPr>
      <w:r w:rsidRPr="00883399">
        <w:rPr>
          <w:sz w:val="20"/>
        </w:rPr>
        <w:sym w:font="Symbol" w:char="F0B7"/>
      </w:r>
      <w:r w:rsidRPr="00883399">
        <w:rPr>
          <w:sz w:val="20"/>
        </w:rPr>
        <w:tab/>
      </w:r>
      <w:r w:rsidRPr="00883399">
        <w:rPr>
          <w:i/>
          <w:sz w:val="20"/>
        </w:rPr>
        <w:t>Coal Mining Safety and Health Act 1999</w:t>
      </w:r>
      <w:r w:rsidRPr="00883399">
        <w:rPr>
          <w:sz w:val="20"/>
        </w:rPr>
        <w:t xml:space="preserve"> (Qld) and the</w:t>
      </w:r>
      <w:r w:rsidRPr="00883399">
        <w:rPr>
          <w:i/>
          <w:sz w:val="20"/>
        </w:rPr>
        <w:t xml:space="preserve"> Coal Mining Safety and Health Regulation 2001</w:t>
      </w:r>
      <w:r w:rsidRPr="00883399">
        <w:rPr>
          <w:sz w:val="20"/>
        </w:rPr>
        <w:t xml:space="preserve"> (Qld).</w:t>
      </w:r>
    </w:p>
    <w:p w14:paraId="2AADA656" w14:textId="77777777" w:rsidR="00454DE8" w:rsidRPr="00883399" w:rsidRDefault="00454DE8" w:rsidP="00454DE8">
      <w:pPr>
        <w:pStyle w:val="Definition0"/>
        <w:rPr>
          <w:sz w:val="24"/>
        </w:rPr>
      </w:pPr>
      <w:r w:rsidRPr="00883399">
        <w:rPr>
          <w:b/>
          <w:i/>
          <w:sz w:val="24"/>
        </w:rPr>
        <w:t>appropriate standard</w:t>
      </w:r>
      <w:r w:rsidRPr="00883399">
        <w:rPr>
          <w:sz w:val="24"/>
        </w:rPr>
        <w:t>, for a matter or circumstance, means an Australian standard or an equivalent international standard that is appropriate for the matter or circumstance.</w:t>
      </w:r>
    </w:p>
    <w:p w14:paraId="62D2F43A" w14:textId="77777777" w:rsidR="00454DE8" w:rsidRPr="00883399" w:rsidRDefault="00454DE8" w:rsidP="00454DE8">
      <w:pPr>
        <w:pStyle w:val="Definition0"/>
        <w:rPr>
          <w:sz w:val="24"/>
        </w:rPr>
      </w:pPr>
      <w:r w:rsidRPr="00883399">
        <w:rPr>
          <w:b/>
          <w:i/>
          <w:sz w:val="24"/>
        </w:rPr>
        <w:t xml:space="preserve">appropriate unit </w:t>
      </w:r>
      <w:r w:rsidRPr="00883399">
        <w:rPr>
          <w:sz w:val="24"/>
        </w:rPr>
        <w:t>of measurement, in relation to a fuel type, means:</w:t>
      </w:r>
    </w:p>
    <w:p w14:paraId="51F03DBF" w14:textId="77777777" w:rsidR="00454DE8" w:rsidRPr="00883399" w:rsidRDefault="00454DE8" w:rsidP="00454DE8">
      <w:pPr>
        <w:pStyle w:val="paragraph"/>
        <w:rPr>
          <w:sz w:val="24"/>
        </w:rPr>
      </w:pPr>
      <w:r w:rsidRPr="00883399">
        <w:rPr>
          <w:sz w:val="24"/>
        </w:rPr>
        <w:tab/>
        <w:t>(a)</w:t>
      </w:r>
      <w:r w:rsidRPr="00883399">
        <w:rPr>
          <w:sz w:val="24"/>
        </w:rPr>
        <w:tab/>
        <w:t>for solid fuels—tonnes; and</w:t>
      </w:r>
    </w:p>
    <w:p w14:paraId="087D98B7" w14:textId="77777777" w:rsidR="00454DE8" w:rsidRPr="00883399" w:rsidRDefault="00454DE8" w:rsidP="00454DE8">
      <w:pPr>
        <w:pStyle w:val="paragraph"/>
        <w:rPr>
          <w:sz w:val="24"/>
        </w:rPr>
      </w:pPr>
      <w:r w:rsidRPr="00883399">
        <w:rPr>
          <w:sz w:val="24"/>
        </w:rPr>
        <w:tab/>
        <w:t>(b)</w:t>
      </w:r>
      <w:r w:rsidRPr="00883399">
        <w:rPr>
          <w:sz w:val="24"/>
        </w:rPr>
        <w:tab/>
        <w:t>for gaseous fuels—metres cubed or gigajoules, except for liquefied natural gas which is kilolitres; and</w:t>
      </w:r>
    </w:p>
    <w:p w14:paraId="55584D2A" w14:textId="77777777" w:rsidR="00454DE8" w:rsidRPr="00883399" w:rsidRDefault="00454DE8" w:rsidP="00454DE8">
      <w:pPr>
        <w:pStyle w:val="paragraph"/>
        <w:rPr>
          <w:sz w:val="24"/>
        </w:rPr>
      </w:pPr>
      <w:r w:rsidRPr="00883399">
        <w:rPr>
          <w:sz w:val="24"/>
        </w:rPr>
        <w:tab/>
        <w:t>(c)</w:t>
      </w:r>
      <w:r w:rsidRPr="00883399">
        <w:rPr>
          <w:sz w:val="24"/>
        </w:rPr>
        <w:tab/>
        <w:t>for liquid fuels other than those mentioned in paragraph (d)—kilolitres; and</w:t>
      </w:r>
    </w:p>
    <w:p w14:paraId="3795364D" w14:textId="77777777" w:rsidR="00454DE8" w:rsidRPr="00883399" w:rsidRDefault="00454DE8" w:rsidP="00454DE8">
      <w:pPr>
        <w:pStyle w:val="paragraph"/>
        <w:rPr>
          <w:sz w:val="24"/>
        </w:rPr>
      </w:pPr>
      <w:r w:rsidRPr="00883399">
        <w:rPr>
          <w:sz w:val="24"/>
        </w:rPr>
        <w:tab/>
        <w:t>(d)</w:t>
      </w:r>
      <w:r w:rsidRPr="00883399">
        <w:rPr>
          <w:sz w:val="24"/>
        </w:rPr>
        <w:tab/>
        <w:t>for liquid fuels of one of the following kinds—tonnes:</w:t>
      </w:r>
    </w:p>
    <w:p w14:paraId="7250ECFB" w14:textId="77777777" w:rsidR="00454DE8" w:rsidRPr="00883399" w:rsidRDefault="00454DE8" w:rsidP="00454DE8">
      <w:pPr>
        <w:pStyle w:val="paragraphsub"/>
        <w:rPr>
          <w:sz w:val="24"/>
        </w:rPr>
      </w:pPr>
      <w:r w:rsidRPr="00883399">
        <w:rPr>
          <w:sz w:val="24"/>
        </w:rPr>
        <w:tab/>
        <w:t>(i)</w:t>
      </w:r>
      <w:r w:rsidRPr="00883399">
        <w:rPr>
          <w:sz w:val="24"/>
        </w:rPr>
        <w:tab/>
        <w:t>crude oil, including crude oil condensates, other natural gas liquids;</w:t>
      </w:r>
    </w:p>
    <w:p w14:paraId="25A03E30" w14:textId="77777777" w:rsidR="00454DE8" w:rsidRPr="00883399" w:rsidRDefault="00454DE8" w:rsidP="00454DE8">
      <w:pPr>
        <w:pStyle w:val="paragraphsub"/>
        <w:rPr>
          <w:sz w:val="24"/>
        </w:rPr>
      </w:pPr>
      <w:r w:rsidRPr="00883399">
        <w:rPr>
          <w:sz w:val="24"/>
        </w:rPr>
        <w:tab/>
        <w:t>(ii)</w:t>
      </w:r>
      <w:r w:rsidRPr="00883399">
        <w:rPr>
          <w:sz w:val="24"/>
        </w:rPr>
        <w:tab/>
        <w:t>petroleum coke;</w:t>
      </w:r>
    </w:p>
    <w:p w14:paraId="0F7E8B96" w14:textId="77777777" w:rsidR="00454DE8" w:rsidRPr="00883399" w:rsidRDefault="00454DE8" w:rsidP="00454DE8">
      <w:pPr>
        <w:pStyle w:val="paragraphsub"/>
        <w:rPr>
          <w:sz w:val="24"/>
        </w:rPr>
      </w:pPr>
      <w:r w:rsidRPr="00883399">
        <w:rPr>
          <w:sz w:val="24"/>
        </w:rPr>
        <w:tab/>
        <w:t>(iii)</w:t>
      </w:r>
      <w:r w:rsidRPr="00883399">
        <w:rPr>
          <w:sz w:val="24"/>
        </w:rPr>
        <w:tab/>
        <w:t>refinery gas and liquids;</w:t>
      </w:r>
    </w:p>
    <w:p w14:paraId="04BDAC4C" w14:textId="77777777" w:rsidR="00454DE8" w:rsidRPr="00883399" w:rsidRDefault="00454DE8" w:rsidP="00454DE8">
      <w:pPr>
        <w:pStyle w:val="paragraphsub"/>
        <w:rPr>
          <w:sz w:val="24"/>
        </w:rPr>
      </w:pPr>
      <w:r w:rsidRPr="00883399">
        <w:rPr>
          <w:sz w:val="24"/>
        </w:rPr>
        <w:tab/>
        <w:t>(iv)</w:t>
      </w:r>
      <w:r w:rsidRPr="00883399">
        <w:rPr>
          <w:sz w:val="24"/>
        </w:rPr>
        <w:tab/>
        <w:t>refinery coke;</w:t>
      </w:r>
    </w:p>
    <w:p w14:paraId="7B8798ED" w14:textId="77777777" w:rsidR="00454DE8" w:rsidRPr="00883399" w:rsidRDefault="00454DE8" w:rsidP="00454DE8">
      <w:pPr>
        <w:pStyle w:val="paragraphsub"/>
        <w:rPr>
          <w:sz w:val="24"/>
        </w:rPr>
      </w:pPr>
      <w:r w:rsidRPr="00883399">
        <w:rPr>
          <w:sz w:val="24"/>
        </w:rPr>
        <w:tab/>
        <w:t>(v)</w:t>
      </w:r>
      <w:r w:rsidRPr="00883399">
        <w:rPr>
          <w:sz w:val="24"/>
        </w:rPr>
        <w:tab/>
        <w:t>bitumen:</w:t>
      </w:r>
    </w:p>
    <w:p w14:paraId="1C02BA94" w14:textId="77777777" w:rsidR="00454DE8" w:rsidRPr="00883399" w:rsidRDefault="00454DE8" w:rsidP="00454DE8">
      <w:pPr>
        <w:pStyle w:val="paragraphsub"/>
        <w:rPr>
          <w:sz w:val="24"/>
        </w:rPr>
      </w:pPr>
      <w:r w:rsidRPr="00883399">
        <w:rPr>
          <w:sz w:val="24"/>
        </w:rPr>
        <w:tab/>
        <w:t>(vi)</w:t>
      </w:r>
      <w:r w:rsidRPr="00883399">
        <w:rPr>
          <w:sz w:val="24"/>
        </w:rPr>
        <w:tab/>
        <w:t>waxes;</w:t>
      </w:r>
    </w:p>
    <w:p w14:paraId="2FBC8A9F" w14:textId="77777777" w:rsidR="00454DE8" w:rsidRPr="00883399" w:rsidRDefault="00454DE8" w:rsidP="00454DE8">
      <w:pPr>
        <w:pStyle w:val="paragraphsub"/>
        <w:rPr>
          <w:sz w:val="24"/>
        </w:rPr>
      </w:pPr>
      <w:r w:rsidRPr="00883399">
        <w:rPr>
          <w:sz w:val="24"/>
        </w:rPr>
        <w:tab/>
        <w:t>(vii)</w:t>
      </w:r>
      <w:r w:rsidRPr="00883399">
        <w:rPr>
          <w:sz w:val="24"/>
        </w:rPr>
        <w:tab/>
        <w:t>carbon black if used as petrochemical feedstock;</w:t>
      </w:r>
    </w:p>
    <w:p w14:paraId="6F1EBAD8" w14:textId="77777777" w:rsidR="00454DE8" w:rsidRPr="00883399" w:rsidRDefault="00454DE8" w:rsidP="00454DE8">
      <w:pPr>
        <w:pStyle w:val="paragraphsub"/>
        <w:rPr>
          <w:sz w:val="24"/>
        </w:rPr>
      </w:pPr>
      <w:r w:rsidRPr="00883399">
        <w:rPr>
          <w:sz w:val="24"/>
        </w:rPr>
        <w:tab/>
        <w:t>(viii)</w:t>
      </w:r>
      <w:r w:rsidRPr="00883399">
        <w:rPr>
          <w:sz w:val="24"/>
        </w:rPr>
        <w:tab/>
        <w:t>ethylene if used as a petrochemical feedstock;</w:t>
      </w:r>
    </w:p>
    <w:p w14:paraId="08F2DC72" w14:textId="77777777" w:rsidR="00454DE8" w:rsidRPr="00883399" w:rsidRDefault="00454DE8" w:rsidP="00454DE8">
      <w:pPr>
        <w:pStyle w:val="paragraphsub"/>
        <w:rPr>
          <w:sz w:val="24"/>
        </w:rPr>
      </w:pPr>
      <w:r w:rsidRPr="00883399">
        <w:rPr>
          <w:sz w:val="24"/>
        </w:rPr>
        <w:tab/>
        <w:t>(ix)</w:t>
      </w:r>
      <w:r w:rsidRPr="00883399">
        <w:rPr>
          <w:sz w:val="24"/>
        </w:rPr>
        <w:tab/>
        <w:t>petrochemical feedstock mentioned in item 57 of Schedule 1 to the Regulations.</w:t>
      </w:r>
    </w:p>
    <w:p w14:paraId="67FFAB26" w14:textId="77777777" w:rsidR="00454DE8" w:rsidRPr="00883399" w:rsidRDefault="00454DE8" w:rsidP="00454DE8">
      <w:pPr>
        <w:pStyle w:val="Definition0"/>
        <w:rPr>
          <w:sz w:val="24"/>
        </w:rPr>
      </w:pPr>
      <w:r w:rsidRPr="00883399">
        <w:rPr>
          <w:b/>
          <w:i/>
          <w:sz w:val="24"/>
        </w:rPr>
        <w:t xml:space="preserve">AS </w:t>
      </w:r>
      <w:r w:rsidRPr="00883399">
        <w:rPr>
          <w:sz w:val="24"/>
        </w:rPr>
        <w:t xml:space="preserve">or </w:t>
      </w:r>
      <w:r w:rsidRPr="00883399">
        <w:rPr>
          <w:b/>
          <w:i/>
          <w:sz w:val="24"/>
        </w:rPr>
        <w:t xml:space="preserve">Australian standard </w:t>
      </w:r>
      <w:r w:rsidRPr="00883399">
        <w:rPr>
          <w:sz w:val="24"/>
        </w:rPr>
        <w:t>followed by a number (for example, AS 4323.1—1995) means a standard of that number issued by Standards Australia Limited and, if a date is included, of that date.</w:t>
      </w:r>
    </w:p>
    <w:p w14:paraId="5655B150" w14:textId="77777777" w:rsidR="00454DE8" w:rsidRPr="00883399" w:rsidRDefault="00454DE8" w:rsidP="00454DE8">
      <w:pPr>
        <w:pStyle w:val="Definition0"/>
        <w:rPr>
          <w:sz w:val="24"/>
        </w:rPr>
      </w:pPr>
      <w:r w:rsidRPr="00883399">
        <w:rPr>
          <w:b/>
          <w:i/>
          <w:sz w:val="24"/>
        </w:rPr>
        <w:t xml:space="preserve">ASTM </w:t>
      </w:r>
      <w:r w:rsidRPr="00883399">
        <w:rPr>
          <w:sz w:val="24"/>
        </w:rPr>
        <w:t>followed by a number (for example, ASTM D6347/D6347M</w:t>
      </w:r>
      <w:r w:rsidRPr="00883399">
        <w:rPr>
          <w:sz w:val="24"/>
        </w:rPr>
        <w:noBreakHyphen/>
        <w:t>99) means a standard of that number issued by ASTM International and, if a date is included, of that date.</w:t>
      </w:r>
    </w:p>
    <w:p w14:paraId="3080221B" w14:textId="77777777" w:rsidR="00454DE8" w:rsidRPr="00883399" w:rsidRDefault="00454DE8" w:rsidP="00454DE8">
      <w:pPr>
        <w:pStyle w:val="Definition0"/>
        <w:rPr>
          <w:sz w:val="24"/>
        </w:rPr>
      </w:pPr>
      <w:r w:rsidRPr="00883399">
        <w:rPr>
          <w:b/>
          <w:i/>
          <w:sz w:val="24"/>
        </w:rPr>
        <w:t xml:space="preserve">Australian legal unit of measurement </w:t>
      </w:r>
      <w:r w:rsidRPr="00883399">
        <w:rPr>
          <w:sz w:val="24"/>
        </w:rPr>
        <w:t xml:space="preserve">has the meaning given by the </w:t>
      </w:r>
      <w:r w:rsidRPr="00883399">
        <w:rPr>
          <w:i/>
          <w:sz w:val="24"/>
        </w:rPr>
        <w:t>National Measurement Act 1960.</w:t>
      </w:r>
    </w:p>
    <w:p w14:paraId="3EA929B2" w14:textId="77777777" w:rsidR="00454DE8" w:rsidRPr="00883399" w:rsidRDefault="00454DE8" w:rsidP="00454DE8">
      <w:pPr>
        <w:pStyle w:val="Definition0"/>
        <w:rPr>
          <w:sz w:val="24"/>
        </w:rPr>
      </w:pPr>
      <w:r w:rsidRPr="00883399">
        <w:rPr>
          <w:b/>
          <w:i/>
          <w:sz w:val="24"/>
        </w:rPr>
        <w:t xml:space="preserve">base of the low gas zone </w:t>
      </w:r>
      <w:r w:rsidRPr="00883399">
        <w:rPr>
          <w:sz w:val="24"/>
        </w:rPr>
        <w:t>means the part of the low gas zone worked out in accordance with section 3.25A.</w:t>
      </w:r>
    </w:p>
    <w:p w14:paraId="7AB15ADE" w14:textId="77777777" w:rsidR="00454DE8" w:rsidRPr="00883399" w:rsidRDefault="00454DE8" w:rsidP="00454DE8">
      <w:pPr>
        <w:pStyle w:val="Definition0"/>
        <w:rPr>
          <w:sz w:val="24"/>
        </w:rPr>
      </w:pPr>
      <w:r w:rsidRPr="00883399">
        <w:rPr>
          <w:b/>
          <w:i/>
          <w:sz w:val="24"/>
        </w:rPr>
        <w:t>basin</w:t>
      </w:r>
      <w:r w:rsidRPr="00883399">
        <w:rPr>
          <w:sz w:val="24"/>
        </w:rPr>
        <w:t xml:space="preserve"> means a geological basin named in the </w:t>
      </w:r>
      <w:r w:rsidRPr="00883399">
        <w:rPr>
          <w:i/>
          <w:sz w:val="24"/>
        </w:rPr>
        <w:t>Australian Geological Provinces Database</w:t>
      </w:r>
      <w:r w:rsidRPr="00883399">
        <w:rPr>
          <w:sz w:val="24"/>
        </w:rPr>
        <w:t>.</w:t>
      </w:r>
    </w:p>
    <w:p w14:paraId="00F7E240" w14:textId="77777777" w:rsidR="00454DE8" w:rsidRPr="00883399" w:rsidRDefault="00454DE8" w:rsidP="00454DE8">
      <w:pPr>
        <w:pStyle w:val="notetext"/>
        <w:rPr>
          <w:sz w:val="20"/>
        </w:rPr>
      </w:pPr>
      <w:r w:rsidRPr="00883399">
        <w:rPr>
          <w:sz w:val="20"/>
        </w:rPr>
        <w:t>Note:</w:t>
      </w:r>
      <w:r w:rsidRPr="00883399">
        <w:rPr>
          <w:sz w:val="20"/>
        </w:rPr>
        <w:tab/>
        <w:t xml:space="preserve">The </w:t>
      </w:r>
      <w:r w:rsidRPr="00883399">
        <w:rPr>
          <w:i/>
          <w:sz w:val="20"/>
        </w:rPr>
        <w:t>Australian Geological Provinces Database</w:t>
      </w:r>
      <w:r w:rsidRPr="00883399">
        <w:rPr>
          <w:sz w:val="20"/>
        </w:rPr>
        <w:t xml:space="preserve"> is available at www.ga.gov.au.</w:t>
      </w:r>
    </w:p>
    <w:p w14:paraId="40AF5E6F" w14:textId="77777777" w:rsidR="00454DE8" w:rsidRPr="00883399" w:rsidRDefault="00454DE8" w:rsidP="00454DE8">
      <w:pPr>
        <w:pStyle w:val="Definition0"/>
        <w:rPr>
          <w:sz w:val="24"/>
        </w:rPr>
      </w:pPr>
      <w:r w:rsidRPr="00883399">
        <w:rPr>
          <w:b/>
          <w:i/>
          <w:sz w:val="24"/>
        </w:rPr>
        <w:t xml:space="preserve">biogenic carbon fuel </w:t>
      </w:r>
      <w:r w:rsidRPr="00883399">
        <w:rPr>
          <w:sz w:val="24"/>
        </w:rPr>
        <w:t>means energy that is:</w:t>
      </w:r>
    </w:p>
    <w:p w14:paraId="22C6901C" w14:textId="77777777" w:rsidR="00454DE8" w:rsidRPr="00883399" w:rsidRDefault="00454DE8" w:rsidP="00454DE8">
      <w:pPr>
        <w:pStyle w:val="paragraph"/>
        <w:rPr>
          <w:sz w:val="24"/>
        </w:rPr>
      </w:pPr>
      <w:r w:rsidRPr="00883399">
        <w:rPr>
          <w:sz w:val="24"/>
        </w:rPr>
        <w:tab/>
        <w:t>(a)</w:t>
      </w:r>
      <w:r w:rsidRPr="00883399">
        <w:rPr>
          <w:sz w:val="24"/>
        </w:rPr>
        <w:tab/>
        <w:t>derived from plant and animal material, such as wood from forests, residues from agriculture and forestry processes and industrial, human or animal wastes; and</w:t>
      </w:r>
    </w:p>
    <w:p w14:paraId="36934190" w14:textId="77777777" w:rsidR="00454DE8" w:rsidRPr="00883399" w:rsidRDefault="00454DE8" w:rsidP="00454DE8">
      <w:pPr>
        <w:pStyle w:val="paragraph"/>
        <w:rPr>
          <w:sz w:val="24"/>
        </w:rPr>
      </w:pPr>
      <w:r w:rsidRPr="00883399">
        <w:rPr>
          <w:sz w:val="24"/>
        </w:rPr>
        <w:tab/>
        <w:t>(b)</w:t>
      </w:r>
      <w:r w:rsidRPr="00883399">
        <w:rPr>
          <w:sz w:val="24"/>
        </w:rPr>
        <w:tab/>
        <w:t>not embedded in the earth for example, like coal oil or natural gas.</w:t>
      </w:r>
    </w:p>
    <w:p w14:paraId="4A46FE6A" w14:textId="77777777" w:rsidR="00454DE8" w:rsidRPr="00883399" w:rsidRDefault="00454DE8" w:rsidP="00454DE8">
      <w:pPr>
        <w:pStyle w:val="Definition0"/>
        <w:rPr>
          <w:sz w:val="24"/>
        </w:rPr>
      </w:pPr>
      <w:r w:rsidRPr="00883399">
        <w:rPr>
          <w:b/>
          <w:i/>
          <w:sz w:val="24"/>
        </w:rPr>
        <w:t>biological treatment of solid waste</w:t>
      </w:r>
      <w:r w:rsidRPr="00883399">
        <w:rPr>
          <w:sz w:val="24"/>
        </w:rPr>
        <w:t>:</w:t>
      </w:r>
    </w:p>
    <w:p w14:paraId="209AFED4" w14:textId="77777777" w:rsidR="00454DE8" w:rsidRPr="00883399" w:rsidRDefault="00454DE8" w:rsidP="00454DE8">
      <w:pPr>
        <w:pStyle w:val="paragraph"/>
        <w:rPr>
          <w:sz w:val="24"/>
        </w:rPr>
      </w:pPr>
      <w:r w:rsidRPr="00883399">
        <w:rPr>
          <w:sz w:val="24"/>
        </w:rPr>
        <w:tab/>
        <w:t>(a)</w:t>
      </w:r>
      <w:r w:rsidRPr="00883399">
        <w:rPr>
          <w:sz w:val="24"/>
        </w:rPr>
        <w:tab/>
        <w:t>means an alternative waste treatment activity consisting of a composting or anaerobic digestion process in which organic matter in solid waste is broken down by microorganisms; but</w:t>
      </w:r>
    </w:p>
    <w:p w14:paraId="752EC814" w14:textId="77777777" w:rsidR="00454DE8" w:rsidRPr="00883399" w:rsidRDefault="00454DE8" w:rsidP="00454DE8">
      <w:pPr>
        <w:pStyle w:val="paragraph"/>
        <w:rPr>
          <w:sz w:val="24"/>
        </w:rPr>
      </w:pPr>
      <w:r w:rsidRPr="00883399">
        <w:rPr>
          <w:sz w:val="24"/>
        </w:rPr>
        <w:tab/>
        <w:t>(b)</w:t>
      </w:r>
      <w:r w:rsidRPr="00883399">
        <w:rPr>
          <w:sz w:val="24"/>
        </w:rPr>
        <w:tab/>
        <w:t>does not include solid waste disposal in a landfill.</w:t>
      </w:r>
    </w:p>
    <w:p w14:paraId="1EBEA8E5" w14:textId="77777777" w:rsidR="00454DE8" w:rsidRPr="00883399" w:rsidRDefault="00454DE8" w:rsidP="00454DE8">
      <w:pPr>
        <w:pStyle w:val="notetext"/>
        <w:rPr>
          <w:sz w:val="20"/>
        </w:rPr>
      </w:pPr>
      <w:r w:rsidRPr="00883399">
        <w:rPr>
          <w:sz w:val="20"/>
        </w:rPr>
        <w:t>Note:</w:t>
      </w:r>
      <w:r w:rsidRPr="00883399">
        <w:rPr>
          <w:sz w:val="20"/>
        </w:rPr>
        <w:tab/>
        <w:t>Chapter 5 (waste) deals with solid waste disposal in a landfill as well as the biological treatment of solid waste (whether at a landfill or at a facility elsewhere).</w:t>
      </w:r>
    </w:p>
    <w:p w14:paraId="136215F6" w14:textId="77777777" w:rsidR="00454DE8" w:rsidRPr="00883399" w:rsidRDefault="00454DE8" w:rsidP="00454DE8">
      <w:pPr>
        <w:pStyle w:val="Definition0"/>
        <w:rPr>
          <w:sz w:val="24"/>
        </w:rPr>
      </w:pPr>
      <w:r w:rsidRPr="00883399">
        <w:rPr>
          <w:b/>
          <w:i/>
          <w:sz w:val="24"/>
        </w:rPr>
        <w:t xml:space="preserve">blended fuel </w:t>
      </w:r>
      <w:r w:rsidRPr="00883399">
        <w:rPr>
          <w:sz w:val="24"/>
        </w:rPr>
        <w:t>means fuel that is a blend of fossil and biogenic carbon fuels.</w:t>
      </w:r>
    </w:p>
    <w:p w14:paraId="34F13DC2" w14:textId="77777777" w:rsidR="00454DE8" w:rsidRPr="00883399" w:rsidRDefault="00454DE8" w:rsidP="00454DE8">
      <w:pPr>
        <w:pStyle w:val="Definition0"/>
        <w:rPr>
          <w:sz w:val="24"/>
        </w:rPr>
      </w:pPr>
      <w:r w:rsidRPr="00883399">
        <w:rPr>
          <w:b/>
          <w:i/>
          <w:sz w:val="24"/>
        </w:rPr>
        <w:t xml:space="preserve">briquette </w:t>
      </w:r>
      <w:r w:rsidRPr="00883399">
        <w:rPr>
          <w:sz w:val="24"/>
        </w:rPr>
        <w:t>means an agglomerate formed by compacting a particulate material in a briquette press, with or without added binder material.</w:t>
      </w:r>
    </w:p>
    <w:p w14:paraId="25DB0894" w14:textId="77777777" w:rsidR="00454DE8" w:rsidRPr="00883399" w:rsidRDefault="00454DE8" w:rsidP="00454DE8">
      <w:pPr>
        <w:pStyle w:val="Definition0"/>
        <w:rPr>
          <w:sz w:val="24"/>
        </w:rPr>
      </w:pPr>
      <w:r w:rsidRPr="00883399">
        <w:rPr>
          <w:b/>
          <w:i/>
          <w:sz w:val="24"/>
        </w:rPr>
        <w:t>calibrated to a measurement requirement</w:t>
      </w:r>
      <w:r w:rsidRPr="00883399">
        <w:rPr>
          <w:sz w:val="24"/>
        </w:rPr>
        <w:t>, for measuring equipment, means calibrated to a specific characteristic, for example a unit of weight, with the characteristic being traceable to:</w:t>
      </w:r>
    </w:p>
    <w:p w14:paraId="5EE4EC15" w14:textId="77777777" w:rsidR="00454DE8" w:rsidRPr="00883399" w:rsidRDefault="00454DE8" w:rsidP="00454DE8">
      <w:pPr>
        <w:pStyle w:val="paragraph"/>
        <w:rPr>
          <w:sz w:val="24"/>
        </w:rPr>
      </w:pPr>
      <w:r w:rsidRPr="00883399">
        <w:rPr>
          <w:sz w:val="24"/>
        </w:rPr>
        <w:tab/>
        <w:t>(a)</w:t>
      </w:r>
      <w:r w:rsidRPr="00883399">
        <w:rPr>
          <w:sz w:val="24"/>
        </w:rPr>
        <w:tab/>
        <w:t xml:space="preserve">a measurement requirement provided for under the </w:t>
      </w:r>
      <w:r w:rsidRPr="00883399">
        <w:rPr>
          <w:i/>
          <w:sz w:val="24"/>
        </w:rPr>
        <w:t xml:space="preserve">National Measurement Act 1960 </w:t>
      </w:r>
      <w:r w:rsidRPr="00883399">
        <w:rPr>
          <w:sz w:val="24"/>
        </w:rPr>
        <w:t>or any instrument under that Act for that equipment; or</w:t>
      </w:r>
    </w:p>
    <w:p w14:paraId="0F41C510" w14:textId="77777777" w:rsidR="00454DE8" w:rsidRPr="00883399" w:rsidRDefault="00454DE8" w:rsidP="00454DE8">
      <w:pPr>
        <w:pStyle w:val="paragraph"/>
        <w:rPr>
          <w:sz w:val="24"/>
        </w:rPr>
      </w:pPr>
      <w:r w:rsidRPr="00883399">
        <w:rPr>
          <w:sz w:val="24"/>
        </w:rPr>
        <w:tab/>
        <w:t>(b)</w:t>
      </w:r>
      <w:r w:rsidRPr="00883399">
        <w:rPr>
          <w:sz w:val="24"/>
        </w:rPr>
        <w:tab/>
        <w:t>a measurement requirement under an equivalent standard for that characteristic.</w:t>
      </w:r>
    </w:p>
    <w:p w14:paraId="6931ABB6" w14:textId="77777777" w:rsidR="00454DE8" w:rsidRPr="00883399" w:rsidRDefault="00454DE8" w:rsidP="00454DE8">
      <w:pPr>
        <w:pStyle w:val="Definition0"/>
        <w:rPr>
          <w:sz w:val="24"/>
        </w:rPr>
      </w:pPr>
      <w:r w:rsidRPr="00883399">
        <w:rPr>
          <w:b/>
          <w:i/>
          <w:sz w:val="24"/>
        </w:rPr>
        <w:t>captured for permanent storage</w:t>
      </w:r>
      <w:r w:rsidRPr="00883399">
        <w:rPr>
          <w:sz w:val="24"/>
        </w:rPr>
        <w:t>, in relation to a greenhouse gas, has the meaning given by section 1.19A.</w:t>
      </w:r>
    </w:p>
    <w:p w14:paraId="31954819" w14:textId="77777777" w:rsidR="00454DE8" w:rsidRPr="00883399" w:rsidRDefault="00454DE8" w:rsidP="00454DE8">
      <w:pPr>
        <w:pStyle w:val="Definition0"/>
        <w:rPr>
          <w:sz w:val="24"/>
        </w:rPr>
      </w:pPr>
      <w:r w:rsidRPr="00883399">
        <w:rPr>
          <w:b/>
          <w:i/>
          <w:sz w:val="24"/>
        </w:rPr>
        <w:t xml:space="preserve">CEM </w:t>
      </w:r>
      <w:r w:rsidRPr="00883399">
        <w:rPr>
          <w:sz w:val="24"/>
        </w:rPr>
        <w:t xml:space="preserve">or </w:t>
      </w:r>
      <w:r w:rsidRPr="00883399">
        <w:rPr>
          <w:b/>
          <w:i/>
          <w:sz w:val="24"/>
        </w:rPr>
        <w:t xml:space="preserve">continuous emissions monitoring </w:t>
      </w:r>
      <w:r w:rsidRPr="00883399">
        <w:rPr>
          <w:sz w:val="24"/>
        </w:rPr>
        <w:t>means continuous monitoring of emissions in accordance with Part 1.3.</w:t>
      </w:r>
    </w:p>
    <w:p w14:paraId="46FBBEE6" w14:textId="77777777" w:rsidR="00454DE8" w:rsidRPr="00883399" w:rsidRDefault="00454DE8" w:rsidP="00454DE8">
      <w:pPr>
        <w:pStyle w:val="Definition0"/>
        <w:rPr>
          <w:sz w:val="24"/>
        </w:rPr>
      </w:pPr>
      <w:r w:rsidRPr="00883399">
        <w:rPr>
          <w:b/>
          <w:i/>
          <w:sz w:val="24"/>
          <w:szCs w:val="22"/>
        </w:rPr>
        <w:t xml:space="preserve">CEN/TS </w:t>
      </w:r>
      <w:r w:rsidRPr="00883399">
        <w:rPr>
          <w:sz w:val="24"/>
        </w:rPr>
        <w:t xml:space="preserve">followed by a number (for example, </w:t>
      </w:r>
      <w:r w:rsidRPr="00883399">
        <w:rPr>
          <w:sz w:val="24"/>
          <w:szCs w:val="22"/>
        </w:rPr>
        <w:t xml:space="preserve">CEN/TS 15403) means a </w:t>
      </w:r>
      <w:r w:rsidRPr="00883399">
        <w:rPr>
          <w:sz w:val="24"/>
        </w:rPr>
        <w:t>technical specification (TS) of that number issued by the European Committee for Standardization and, if a date is included, of that date.</w:t>
      </w:r>
    </w:p>
    <w:p w14:paraId="42D752E6" w14:textId="77777777" w:rsidR="00454DE8" w:rsidRPr="00883399" w:rsidRDefault="00454DE8" w:rsidP="00454DE8">
      <w:pPr>
        <w:pStyle w:val="Definition0"/>
        <w:rPr>
          <w:sz w:val="24"/>
        </w:rPr>
      </w:pPr>
      <w:r w:rsidRPr="00883399">
        <w:rPr>
          <w:b/>
          <w:i/>
          <w:sz w:val="24"/>
        </w:rPr>
        <w:t>CO</w:t>
      </w:r>
      <w:r w:rsidRPr="00883399">
        <w:rPr>
          <w:b/>
          <w:i/>
          <w:sz w:val="24"/>
          <w:vertAlign w:val="subscript"/>
        </w:rPr>
        <w:t>2</w:t>
      </w:r>
      <w:r w:rsidRPr="00883399">
        <w:rPr>
          <w:b/>
          <w:i/>
          <w:sz w:val="24"/>
        </w:rPr>
        <w:noBreakHyphen/>
        <w:t xml:space="preserve">e </w:t>
      </w:r>
      <w:r w:rsidRPr="00883399">
        <w:rPr>
          <w:sz w:val="24"/>
        </w:rPr>
        <w:t>means carbon dioxide equivalence.</w:t>
      </w:r>
    </w:p>
    <w:p w14:paraId="5994171F" w14:textId="77777777" w:rsidR="00454DE8" w:rsidRPr="00883399" w:rsidRDefault="00454DE8" w:rsidP="00454DE8">
      <w:pPr>
        <w:pStyle w:val="Definition0"/>
        <w:rPr>
          <w:sz w:val="24"/>
        </w:rPr>
      </w:pPr>
      <w:r w:rsidRPr="00883399">
        <w:rPr>
          <w:b/>
          <w:i/>
          <w:sz w:val="24"/>
        </w:rPr>
        <w:t>coal seam methane</w:t>
      </w:r>
      <w:r w:rsidRPr="00883399">
        <w:rPr>
          <w:sz w:val="24"/>
        </w:rPr>
        <w:t xml:space="preserve"> has the same meaning as in the Regulations.</w:t>
      </w:r>
    </w:p>
    <w:p w14:paraId="2147EABD" w14:textId="77777777" w:rsidR="00454DE8" w:rsidRPr="00883399" w:rsidRDefault="00454DE8" w:rsidP="00454DE8">
      <w:pPr>
        <w:pStyle w:val="Definition0"/>
        <w:rPr>
          <w:sz w:val="24"/>
        </w:rPr>
      </w:pPr>
      <w:r w:rsidRPr="00883399">
        <w:rPr>
          <w:b/>
          <w:i/>
          <w:sz w:val="24"/>
        </w:rPr>
        <w:t xml:space="preserve">COD </w:t>
      </w:r>
      <w:r w:rsidRPr="00883399">
        <w:rPr>
          <w:sz w:val="24"/>
        </w:rPr>
        <w:t xml:space="preserve">or </w:t>
      </w:r>
      <w:r w:rsidRPr="00883399">
        <w:rPr>
          <w:b/>
          <w:i/>
          <w:sz w:val="24"/>
        </w:rPr>
        <w:t xml:space="preserve">chemical oxygen demand </w:t>
      </w:r>
      <w:r w:rsidRPr="00883399">
        <w:rPr>
          <w:sz w:val="24"/>
        </w:rPr>
        <w:t>means the total material available for chemical oxidation (both biodegradable and non</w:t>
      </w:r>
      <w:r w:rsidRPr="00883399">
        <w:rPr>
          <w:sz w:val="24"/>
        </w:rPr>
        <w:noBreakHyphen/>
        <w:t>biodegradable) measured in tonnes.</w:t>
      </w:r>
    </w:p>
    <w:p w14:paraId="5F050C68" w14:textId="77777777" w:rsidR="00454DE8" w:rsidRPr="00883399" w:rsidRDefault="00454DE8" w:rsidP="00454DE8">
      <w:pPr>
        <w:pStyle w:val="Definition0"/>
        <w:rPr>
          <w:sz w:val="24"/>
        </w:rPr>
      </w:pPr>
      <w:r w:rsidRPr="00883399">
        <w:rPr>
          <w:b/>
          <w:i/>
          <w:sz w:val="24"/>
        </w:rPr>
        <w:t xml:space="preserve">compressed natural gas </w:t>
      </w:r>
      <w:r w:rsidRPr="00883399">
        <w:rPr>
          <w:sz w:val="24"/>
        </w:rPr>
        <w:t>has the meaning given by the Regulations.</w:t>
      </w:r>
    </w:p>
    <w:p w14:paraId="5FB9D103" w14:textId="77777777" w:rsidR="00454DE8" w:rsidRPr="00883399" w:rsidRDefault="00454DE8" w:rsidP="00454DE8">
      <w:pPr>
        <w:pStyle w:val="Definition0"/>
        <w:rPr>
          <w:sz w:val="24"/>
        </w:rPr>
      </w:pPr>
      <w:r w:rsidRPr="00883399">
        <w:rPr>
          <w:b/>
          <w:i/>
          <w:sz w:val="24"/>
        </w:rPr>
        <w:t xml:space="preserve">core sample </w:t>
      </w:r>
      <w:r w:rsidRPr="00883399">
        <w:rPr>
          <w:sz w:val="24"/>
        </w:rPr>
        <w:t>means a cylindrical sample of the whole or part of a strata layer, or series of strata layers, obtained from drilling using a coring barrel with a diameter of between 50 mm and 2 000 mm.</w:t>
      </w:r>
    </w:p>
    <w:p w14:paraId="76945B1E" w14:textId="77777777" w:rsidR="00454DE8" w:rsidRPr="00883399" w:rsidRDefault="00454DE8" w:rsidP="00454DE8">
      <w:pPr>
        <w:pStyle w:val="Definition0"/>
        <w:rPr>
          <w:sz w:val="24"/>
        </w:rPr>
      </w:pPr>
      <w:r w:rsidRPr="00883399">
        <w:rPr>
          <w:b/>
          <w:i/>
          <w:sz w:val="24"/>
        </w:rPr>
        <w:t xml:space="preserve">crude oil condensates </w:t>
      </w:r>
      <w:r w:rsidRPr="00883399">
        <w:rPr>
          <w:sz w:val="24"/>
        </w:rPr>
        <w:t>has the meaning given by the Regulations.</w:t>
      </w:r>
    </w:p>
    <w:p w14:paraId="347897D8" w14:textId="77777777" w:rsidR="00454DE8" w:rsidRPr="00883399" w:rsidRDefault="00454DE8" w:rsidP="00454DE8">
      <w:pPr>
        <w:pStyle w:val="Definition0"/>
        <w:rPr>
          <w:sz w:val="24"/>
        </w:rPr>
      </w:pPr>
      <w:r w:rsidRPr="00883399">
        <w:rPr>
          <w:b/>
          <w:i/>
          <w:sz w:val="24"/>
        </w:rPr>
        <w:t xml:space="preserve">crude oil transport </w:t>
      </w:r>
      <w:r w:rsidRPr="00883399">
        <w:rPr>
          <w:sz w:val="24"/>
        </w:rPr>
        <w:t xml:space="preserve">means the transportation of marketable crude oil to heavy oil upgraders and refineries by means that include the following: </w:t>
      </w:r>
    </w:p>
    <w:p w14:paraId="1165FC62" w14:textId="77777777" w:rsidR="00454DE8" w:rsidRPr="00883399" w:rsidRDefault="00454DE8" w:rsidP="00454DE8">
      <w:pPr>
        <w:pStyle w:val="paragraph"/>
        <w:rPr>
          <w:sz w:val="24"/>
        </w:rPr>
      </w:pPr>
      <w:r w:rsidRPr="00883399">
        <w:rPr>
          <w:sz w:val="24"/>
        </w:rPr>
        <w:tab/>
        <w:t>(a)</w:t>
      </w:r>
      <w:r w:rsidRPr="00883399">
        <w:rPr>
          <w:sz w:val="24"/>
        </w:rPr>
        <w:tab/>
        <w:t>pipelines;</w:t>
      </w:r>
    </w:p>
    <w:p w14:paraId="108FF6F3" w14:textId="77777777" w:rsidR="00454DE8" w:rsidRPr="00883399" w:rsidRDefault="00454DE8" w:rsidP="00454DE8">
      <w:pPr>
        <w:pStyle w:val="paragraph"/>
        <w:rPr>
          <w:sz w:val="24"/>
        </w:rPr>
      </w:pPr>
      <w:r w:rsidRPr="00883399">
        <w:rPr>
          <w:sz w:val="24"/>
        </w:rPr>
        <w:tab/>
        <w:t>(b)</w:t>
      </w:r>
      <w:r w:rsidRPr="00883399">
        <w:rPr>
          <w:sz w:val="24"/>
        </w:rPr>
        <w:tab/>
        <w:t xml:space="preserve">marine tankers; </w:t>
      </w:r>
    </w:p>
    <w:p w14:paraId="7E01765B" w14:textId="77777777" w:rsidR="00454DE8" w:rsidRPr="00883399" w:rsidRDefault="00454DE8" w:rsidP="00454DE8">
      <w:pPr>
        <w:pStyle w:val="paragraph"/>
        <w:rPr>
          <w:sz w:val="24"/>
        </w:rPr>
      </w:pPr>
      <w:r w:rsidRPr="00883399">
        <w:rPr>
          <w:sz w:val="24"/>
        </w:rPr>
        <w:tab/>
        <w:t>(c)</w:t>
      </w:r>
      <w:r w:rsidRPr="00883399">
        <w:rPr>
          <w:sz w:val="24"/>
        </w:rPr>
        <w:tab/>
        <w:t xml:space="preserve">tank trucks;  </w:t>
      </w:r>
    </w:p>
    <w:p w14:paraId="19267619" w14:textId="77777777" w:rsidR="00454DE8" w:rsidRPr="00883399" w:rsidRDefault="00454DE8" w:rsidP="00454DE8">
      <w:pPr>
        <w:pStyle w:val="paragraph"/>
        <w:rPr>
          <w:sz w:val="24"/>
        </w:rPr>
      </w:pPr>
      <w:r w:rsidRPr="00883399">
        <w:rPr>
          <w:sz w:val="24"/>
        </w:rPr>
        <w:tab/>
        <w:t>(d)</w:t>
      </w:r>
      <w:r w:rsidRPr="00883399">
        <w:rPr>
          <w:sz w:val="24"/>
        </w:rPr>
        <w:tab/>
        <w:t>rail cars.</w:t>
      </w:r>
    </w:p>
    <w:p w14:paraId="738D6C6E" w14:textId="77777777" w:rsidR="00454DE8" w:rsidRPr="00883399" w:rsidRDefault="00454DE8" w:rsidP="00454DE8">
      <w:pPr>
        <w:pStyle w:val="Definition0"/>
        <w:rPr>
          <w:sz w:val="24"/>
        </w:rPr>
      </w:pPr>
      <w:r w:rsidRPr="00883399">
        <w:rPr>
          <w:b/>
          <w:i/>
          <w:sz w:val="24"/>
        </w:rPr>
        <w:t xml:space="preserve">detection agent </w:t>
      </w:r>
      <w:r w:rsidRPr="00883399">
        <w:rPr>
          <w:sz w:val="24"/>
        </w:rPr>
        <w:t xml:space="preserve">has the same meaning as in the </w:t>
      </w:r>
      <w:r w:rsidRPr="00883399">
        <w:rPr>
          <w:i/>
          <w:sz w:val="24"/>
        </w:rPr>
        <w:t>Offshore Petroleum and Greenhouse Gas Storage Act 2006</w:t>
      </w:r>
      <w:r w:rsidRPr="00883399">
        <w:rPr>
          <w:sz w:val="24"/>
        </w:rPr>
        <w:t>.</w:t>
      </w:r>
    </w:p>
    <w:p w14:paraId="13859F84" w14:textId="77777777" w:rsidR="00454DE8" w:rsidRPr="00883399" w:rsidRDefault="00454DE8" w:rsidP="00454DE8">
      <w:pPr>
        <w:pStyle w:val="Definition0"/>
        <w:rPr>
          <w:sz w:val="24"/>
        </w:rPr>
      </w:pPr>
      <w:r w:rsidRPr="00883399">
        <w:rPr>
          <w:b/>
          <w:i/>
          <w:sz w:val="24"/>
        </w:rPr>
        <w:t xml:space="preserve">documentary standard </w:t>
      </w:r>
      <w:r w:rsidRPr="00883399">
        <w:rPr>
          <w:sz w:val="24"/>
        </w:rPr>
        <w:t>means a published standard that sets out specifications and procedures designed to ensure that a material or other thing is fit for purpose and consistently performs in the way it was intended by the manufacturer of the material or thing.</w:t>
      </w:r>
    </w:p>
    <w:p w14:paraId="08453FA2" w14:textId="77777777" w:rsidR="00454DE8" w:rsidRPr="00883399" w:rsidRDefault="00454DE8" w:rsidP="00454DE8">
      <w:pPr>
        <w:pStyle w:val="Definition0"/>
        <w:rPr>
          <w:sz w:val="24"/>
        </w:rPr>
      </w:pPr>
      <w:r w:rsidRPr="00883399">
        <w:rPr>
          <w:b/>
          <w:bCs/>
          <w:i/>
          <w:iCs/>
          <w:sz w:val="24"/>
        </w:rPr>
        <w:t>domain</w:t>
      </w:r>
      <w:r w:rsidRPr="00883399">
        <w:rPr>
          <w:sz w:val="24"/>
        </w:rPr>
        <w:t>, of an open cut mine, means an area, volume or coal seam in which the variability of gas content and the variability of gas composition in the open cut mine have a consistent relationship with other geological, geophysical or spatial parameters located in the area, volume or coal seam.</w:t>
      </w:r>
    </w:p>
    <w:p w14:paraId="63A6D190" w14:textId="77777777" w:rsidR="00454DE8" w:rsidRPr="00883399" w:rsidRDefault="00454DE8" w:rsidP="00454DE8">
      <w:pPr>
        <w:pStyle w:val="Definition0"/>
        <w:rPr>
          <w:sz w:val="24"/>
        </w:rPr>
      </w:pPr>
      <w:r w:rsidRPr="00883399">
        <w:rPr>
          <w:b/>
          <w:i/>
          <w:sz w:val="24"/>
        </w:rPr>
        <w:t xml:space="preserve">dry wood </w:t>
      </w:r>
      <w:r w:rsidRPr="00883399">
        <w:rPr>
          <w:sz w:val="24"/>
        </w:rPr>
        <w:t>has the meaning given by the Regulations.</w:t>
      </w:r>
    </w:p>
    <w:p w14:paraId="11C2657F" w14:textId="77777777" w:rsidR="00454DE8" w:rsidRPr="00883399" w:rsidRDefault="00454DE8" w:rsidP="00454DE8">
      <w:pPr>
        <w:pStyle w:val="Definition0"/>
        <w:rPr>
          <w:sz w:val="24"/>
        </w:rPr>
      </w:pPr>
      <w:r w:rsidRPr="00883399">
        <w:rPr>
          <w:b/>
          <w:i/>
          <w:sz w:val="24"/>
        </w:rPr>
        <w:t xml:space="preserve">efficiency method </w:t>
      </w:r>
      <w:r w:rsidRPr="00883399">
        <w:rPr>
          <w:sz w:val="24"/>
        </w:rPr>
        <w:t>has the meaning given by subsection 2.70(2).</w:t>
      </w:r>
    </w:p>
    <w:p w14:paraId="69BC66FE" w14:textId="77777777" w:rsidR="00454DE8" w:rsidRPr="00883399" w:rsidRDefault="00454DE8" w:rsidP="00454DE8">
      <w:pPr>
        <w:pStyle w:val="Definition0"/>
        <w:rPr>
          <w:sz w:val="24"/>
        </w:rPr>
      </w:pPr>
      <w:r w:rsidRPr="00883399">
        <w:rPr>
          <w:b/>
          <w:i/>
          <w:sz w:val="24"/>
          <w:szCs w:val="22"/>
        </w:rPr>
        <w:t xml:space="preserve">EN </w:t>
      </w:r>
      <w:r w:rsidRPr="00883399">
        <w:rPr>
          <w:sz w:val="24"/>
        </w:rPr>
        <w:t xml:space="preserve">followed by a number (for example, </w:t>
      </w:r>
      <w:r w:rsidRPr="00883399">
        <w:rPr>
          <w:sz w:val="24"/>
          <w:szCs w:val="22"/>
        </w:rPr>
        <w:t xml:space="preserve">EN 15403) means a </w:t>
      </w:r>
      <w:r w:rsidRPr="00883399">
        <w:rPr>
          <w:sz w:val="24"/>
        </w:rPr>
        <w:t>standard of that number issued by the European Committee for Standardization and, if a date is included, of that date.</w:t>
      </w:r>
    </w:p>
    <w:p w14:paraId="7BC7FE67" w14:textId="77777777" w:rsidR="00454DE8" w:rsidRPr="00883399" w:rsidRDefault="00454DE8" w:rsidP="00454DE8">
      <w:pPr>
        <w:pStyle w:val="Definition0"/>
        <w:rPr>
          <w:sz w:val="24"/>
        </w:rPr>
      </w:pPr>
      <w:r w:rsidRPr="00883399">
        <w:rPr>
          <w:b/>
          <w:i/>
          <w:sz w:val="24"/>
        </w:rPr>
        <w:t>enclosed composting activity</w:t>
      </w:r>
      <w:r w:rsidRPr="00883399">
        <w:rPr>
          <w:sz w:val="24"/>
        </w:rPr>
        <w:t xml:space="preserve"> means a semi</w:t>
      </w:r>
      <w:r w:rsidRPr="00883399">
        <w:rPr>
          <w:sz w:val="24"/>
        </w:rPr>
        <w:noBreakHyphen/>
        <w:t>enclosed or enclosed alternative waste or composting technology where the composting process occurs within a reactor that:</w:t>
      </w:r>
    </w:p>
    <w:p w14:paraId="4277B758" w14:textId="77777777" w:rsidR="00454DE8" w:rsidRPr="00883399" w:rsidRDefault="00454DE8" w:rsidP="00454DE8">
      <w:pPr>
        <w:pStyle w:val="paragraph"/>
        <w:rPr>
          <w:sz w:val="24"/>
        </w:rPr>
      </w:pPr>
      <w:r w:rsidRPr="00883399">
        <w:rPr>
          <w:sz w:val="24"/>
        </w:rPr>
        <w:tab/>
        <w:t>(a)</w:t>
      </w:r>
      <w:r w:rsidRPr="00883399">
        <w:rPr>
          <w:sz w:val="24"/>
        </w:rPr>
        <w:tab/>
        <w:t>has hard walls or doors on all 4 sides; and</w:t>
      </w:r>
    </w:p>
    <w:p w14:paraId="05C1839D" w14:textId="77777777" w:rsidR="00454DE8" w:rsidRPr="00883399" w:rsidRDefault="00454DE8" w:rsidP="00454DE8">
      <w:pPr>
        <w:pStyle w:val="paragraph"/>
        <w:rPr>
          <w:sz w:val="24"/>
        </w:rPr>
      </w:pPr>
      <w:r w:rsidRPr="00883399">
        <w:rPr>
          <w:sz w:val="24"/>
        </w:rPr>
        <w:tab/>
        <w:t>(b)</w:t>
      </w:r>
      <w:r w:rsidRPr="00883399">
        <w:rPr>
          <w:sz w:val="24"/>
        </w:rPr>
        <w:tab/>
        <w:t>sits on a floor; and</w:t>
      </w:r>
    </w:p>
    <w:p w14:paraId="6BE2CCF0" w14:textId="77777777" w:rsidR="00454DE8" w:rsidRPr="00883399" w:rsidRDefault="00454DE8" w:rsidP="00454DE8">
      <w:pPr>
        <w:pStyle w:val="paragraph"/>
        <w:rPr>
          <w:sz w:val="24"/>
        </w:rPr>
      </w:pPr>
      <w:r w:rsidRPr="00883399">
        <w:rPr>
          <w:sz w:val="24"/>
        </w:rPr>
        <w:tab/>
        <w:t>(c)</w:t>
      </w:r>
      <w:r w:rsidRPr="00883399">
        <w:rPr>
          <w:sz w:val="24"/>
        </w:rPr>
        <w:tab/>
        <w:t>has a permanent positive or negative aeration system.</w:t>
      </w:r>
    </w:p>
    <w:p w14:paraId="76DD0826" w14:textId="77777777" w:rsidR="00454DE8" w:rsidRPr="00883399" w:rsidRDefault="00454DE8" w:rsidP="00454DE8">
      <w:pPr>
        <w:pStyle w:val="Definition0"/>
        <w:rPr>
          <w:sz w:val="24"/>
        </w:rPr>
      </w:pPr>
      <w:r w:rsidRPr="00883399">
        <w:rPr>
          <w:b/>
          <w:i/>
          <w:sz w:val="24"/>
        </w:rPr>
        <w:t>energy content factor</w:t>
      </w:r>
      <w:r w:rsidRPr="00883399">
        <w:rPr>
          <w:sz w:val="24"/>
        </w:rPr>
        <w:t>, for a fuel, means gigajoules of energy per unit of the fuel measured as gross calorific value.</w:t>
      </w:r>
    </w:p>
    <w:p w14:paraId="188E887A" w14:textId="77777777" w:rsidR="00454DE8" w:rsidRPr="00883399" w:rsidRDefault="00454DE8" w:rsidP="00454DE8">
      <w:pPr>
        <w:pStyle w:val="Definition0"/>
        <w:rPr>
          <w:sz w:val="24"/>
        </w:rPr>
      </w:pPr>
      <w:r w:rsidRPr="00883399">
        <w:rPr>
          <w:b/>
          <w:i/>
          <w:sz w:val="24"/>
        </w:rPr>
        <w:t>estimator</w:t>
      </w:r>
      <w:r w:rsidRPr="00883399">
        <w:rPr>
          <w:sz w:val="24"/>
        </w:rPr>
        <w:t>, of fugitive emissions from an open cut mine using method 2 under section 3.21 or method 3 under section 3.26, means:</w:t>
      </w:r>
    </w:p>
    <w:p w14:paraId="2F166EBD" w14:textId="77777777" w:rsidR="00454DE8" w:rsidRPr="00883399" w:rsidRDefault="00454DE8" w:rsidP="00454DE8">
      <w:pPr>
        <w:pStyle w:val="paragraph"/>
        <w:rPr>
          <w:sz w:val="24"/>
        </w:rPr>
      </w:pPr>
      <w:r w:rsidRPr="00883399">
        <w:rPr>
          <w:sz w:val="24"/>
        </w:rPr>
        <w:tab/>
        <w:t>(a)</w:t>
      </w:r>
      <w:r w:rsidRPr="00883399">
        <w:rPr>
          <w:sz w:val="24"/>
        </w:rPr>
        <w:tab/>
        <w:t>an individual who has the minimum qualifications of an estimator set out in the ACARP Guidelines; or</w:t>
      </w:r>
    </w:p>
    <w:p w14:paraId="0AA307E7" w14:textId="77777777" w:rsidR="00454DE8" w:rsidRPr="00883399" w:rsidRDefault="00454DE8" w:rsidP="00454DE8">
      <w:pPr>
        <w:pStyle w:val="paragraph"/>
        <w:rPr>
          <w:sz w:val="24"/>
        </w:rPr>
      </w:pPr>
      <w:r w:rsidRPr="00883399">
        <w:rPr>
          <w:sz w:val="24"/>
        </w:rPr>
        <w:tab/>
        <w:t>(b)</w:t>
      </w:r>
      <w:r w:rsidRPr="00883399">
        <w:rPr>
          <w:sz w:val="24"/>
        </w:rPr>
        <w:tab/>
        <w:t>individuals who jointly have those minimum qualifications.</w:t>
      </w:r>
    </w:p>
    <w:p w14:paraId="2B72E816" w14:textId="77777777" w:rsidR="00454DE8" w:rsidRPr="00883399" w:rsidRDefault="00454DE8" w:rsidP="00454DE8">
      <w:pPr>
        <w:pStyle w:val="Definition0"/>
        <w:rPr>
          <w:sz w:val="24"/>
        </w:rPr>
      </w:pPr>
      <w:r w:rsidRPr="00883399">
        <w:rPr>
          <w:b/>
          <w:i/>
          <w:sz w:val="24"/>
        </w:rPr>
        <w:t>extraction area</w:t>
      </w:r>
      <w:r w:rsidRPr="00883399">
        <w:rPr>
          <w:sz w:val="24"/>
        </w:rPr>
        <w:t>, in relation to an open cut mine, is the area of the mine from which coal is extracted.</w:t>
      </w:r>
    </w:p>
    <w:p w14:paraId="723E4C30" w14:textId="77777777" w:rsidR="00454DE8" w:rsidRPr="00883399" w:rsidRDefault="00454DE8" w:rsidP="00454DE8">
      <w:pPr>
        <w:pStyle w:val="Definition0"/>
        <w:rPr>
          <w:sz w:val="24"/>
        </w:rPr>
      </w:pPr>
      <w:r w:rsidRPr="00883399">
        <w:rPr>
          <w:b/>
          <w:i/>
          <w:sz w:val="24"/>
        </w:rPr>
        <w:t xml:space="preserve">feedstock </w:t>
      </w:r>
      <w:r w:rsidRPr="00883399">
        <w:rPr>
          <w:sz w:val="24"/>
        </w:rPr>
        <w:t>has the meaning given by the Regulations.</w:t>
      </w:r>
    </w:p>
    <w:p w14:paraId="5AFDB01E" w14:textId="77777777" w:rsidR="00454DE8" w:rsidRPr="00883399" w:rsidRDefault="00454DE8" w:rsidP="00454DE8">
      <w:pPr>
        <w:pStyle w:val="Definition0"/>
        <w:rPr>
          <w:sz w:val="24"/>
        </w:rPr>
      </w:pPr>
      <w:r w:rsidRPr="00883399">
        <w:rPr>
          <w:b/>
          <w:i/>
          <w:sz w:val="24"/>
        </w:rPr>
        <w:t xml:space="preserve">ferroalloy </w:t>
      </w:r>
      <w:r w:rsidRPr="00883399">
        <w:rPr>
          <w:sz w:val="24"/>
        </w:rPr>
        <w:t>has the meaning given by subsection 4.69(2).</w:t>
      </w:r>
    </w:p>
    <w:p w14:paraId="515A5147" w14:textId="77777777" w:rsidR="00454DE8" w:rsidRPr="00883399" w:rsidRDefault="00454DE8" w:rsidP="00454DE8">
      <w:pPr>
        <w:pStyle w:val="Definition0"/>
        <w:rPr>
          <w:sz w:val="24"/>
        </w:rPr>
      </w:pPr>
      <w:r w:rsidRPr="00883399">
        <w:rPr>
          <w:b/>
          <w:i/>
          <w:sz w:val="24"/>
        </w:rPr>
        <w:t xml:space="preserve">flaring </w:t>
      </w:r>
      <w:r w:rsidRPr="00883399">
        <w:rPr>
          <w:sz w:val="24"/>
        </w:rPr>
        <w:t>means the combustion of fuel for a purpose other than producing energy.</w:t>
      </w:r>
    </w:p>
    <w:p w14:paraId="10ECFD98" w14:textId="77777777" w:rsidR="00454DE8" w:rsidRPr="00883399" w:rsidRDefault="00454DE8" w:rsidP="00454DE8">
      <w:pPr>
        <w:pStyle w:val="notetext"/>
        <w:rPr>
          <w:sz w:val="20"/>
        </w:rPr>
      </w:pPr>
      <w:r w:rsidRPr="00883399">
        <w:rPr>
          <w:sz w:val="20"/>
        </w:rPr>
        <w:t>Example:</w:t>
      </w:r>
      <w:r w:rsidRPr="00883399">
        <w:rPr>
          <w:sz w:val="20"/>
        </w:rPr>
        <w:tab/>
        <w:t>The combustion of methane for the purpose of complying with health, safety and environmental requirements.</w:t>
      </w:r>
    </w:p>
    <w:p w14:paraId="6EC959CD" w14:textId="77777777" w:rsidR="00454DE8" w:rsidRPr="00883399" w:rsidRDefault="00454DE8" w:rsidP="00454DE8">
      <w:pPr>
        <w:pStyle w:val="Definition0"/>
        <w:rPr>
          <w:sz w:val="24"/>
        </w:rPr>
      </w:pPr>
      <w:r w:rsidRPr="00883399">
        <w:rPr>
          <w:b/>
          <w:i/>
          <w:sz w:val="24"/>
        </w:rPr>
        <w:t xml:space="preserve">fuel </w:t>
      </w:r>
      <w:r w:rsidRPr="00883399">
        <w:rPr>
          <w:sz w:val="24"/>
        </w:rPr>
        <w:t>means a substance mentioned in column 2 of an item in Schedule 1 to the Regulations other than a substance mentioned in items 58 to 66.</w:t>
      </w:r>
    </w:p>
    <w:p w14:paraId="3D870668" w14:textId="77777777" w:rsidR="00454DE8" w:rsidRPr="00883399" w:rsidRDefault="00454DE8" w:rsidP="00454DE8">
      <w:pPr>
        <w:pStyle w:val="Definition0"/>
        <w:rPr>
          <w:sz w:val="24"/>
        </w:rPr>
      </w:pPr>
      <w:r w:rsidRPr="00883399">
        <w:rPr>
          <w:b/>
          <w:i/>
          <w:sz w:val="24"/>
        </w:rPr>
        <w:t xml:space="preserve">fuel oil </w:t>
      </w:r>
      <w:r w:rsidRPr="00883399">
        <w:rPr>
          <w:sz w:val="24"/>
        </w:rPr>
        <w:t>has the meaning given by the Regulations.</w:t>
      </w:r>
    </w:p>
    <w:p w14:paraId="000DA438" w14:textId="77777777" w:rsidR="00454DE8" w:rsidRPr="00883399" w:rsidRDefault="00454DE8" w:rsidP="00454DE8">
      <w:pPr>
        <w:pStyle w:val="Definition0"/>
        <w:rPr>
          <w:sz w:val="24"/>
        </w:rPr>
      </w:pPr>
      <w:r w:rsidRPr="00883399">
        <w:rPr>
          <w:b/>
          <w:i/>
          <w:sz w:val="24"/>
        </w:rPr>
        <w:t>fugitive emissions</w:t>
      </w:r>
      <w:r w:rsidRPr="00883399">
        <w:rPr>
          <w:sz w:val="24"/>
        </w:rPr>
        <w:t xml:space="preserve"> has the meaning given by the </w:t>
      </w:r>
      <w:r w:rsidRPr="00883399">
        <w:rPr>
          <w:i/>
          <w:sz w:val="24"/>
        </w:rPr>
        <w:t>Clean Energy Regulations 2011</w:t>
      </w:r>
      <w:r w:rsidRPr="00883399">
        <w:rPr>
          <w:sz w:val="24"/>
        </w:rPr>
        <w:t>.</w:t>
      </w:r>
    </w:p>
    <w:p w14:paraId="2661A30E" w14:textId="77777777" w:rsidR="00454DE8" w:rsidRPr="00883399" w:rsidRDefault="00454DE8" w:rsidP="00454DE8">
      <w:pPr>
        <w:pStyle w:val="Definition0"/>
        <w:rPr>
          <w:sz w:val="24"/>
        </w:rPr>
      </w:pPr>
      <w:r w:rsidRPr="00883399">
        <w:rPr>
          <w:b/>
          <w:i/>
          <w:sz w:val="24"/>
        </w:rPr>
        <w:t xml:space="preserve">gas bearing strata </w:t>
      </w:r>
      <w:r w:rsidRPr="00883399">
        <w:rPr>
          <w:sz w:val="24"/>
        </w:rPr>
        <w:t>is coal and carbonaceous rock strata:</w:t>
      </w:r>
    </w:p>
    <w:p w14:paraId="0AB91819" w14:textId="77777777" w:rsidR="00454DE8" w:rsidRPr="00883399" w:rsidRDefault="00454DE8" w:rsidP="00454DE8">
      <w:pPr>
        <w:pStyle w:val="paragraph"/>
        <w:rPr>
          <w:sz w:val="24"/>
        </w:rPr>
      </w:pPr>
      <w:r w:rsidRPr="00883399">
        <w:rPr>
          <w:sz w:val="24"/>
        </w:rPr>
        <w:tab/>
        <w:t>(a)</w:t>
      </w:r>
      <w:r w:rsidRPr="00883399">
        <w:rPr>
          <w:sz w:val="24"/>
        </w:rPr>
        <w:tab/>
        <w:t>located in an open cut mine; and</w:t>
      </w:r>
    </w:p>
    <w:p w14:paraId="79DE272F" w14:textId="77777777" w:rsidR="00454DE8" w:rsidRPr="00883399" w:rsidRDefault="00454DE8" w:rsidP="00454DE8">
      <w:pPr>
        <w:pStyle w:val="paragraph"/>
        <w:rPr>
          <w:sz w:val="24"/>
        </w:rPr>
      </w:pPr>
      <w:r w:rsidRPr="00883399">
        <w:rPr>
          <w:sz w:val="24"/>
        </w:rPr>
        <w:tab/>
        <w:t>(b)</w:t>
      </w:r>
      <w:r w:rsidRPr="00883399">
        <w:rPr>
          <w:sz w:val="24"/>
        </w:rPr>
        <w:tab/>
        <w:t>that has a relative density of less than 1.95 g/cm</w:t>
      </w:r>
      <w:r w:rsidRPr="00883399">
        <w:rPr>
          <w:sz w:val="24"/>
          <w:vertAlign w:val="superscript"/>
        </w:rPr>
        <w:t>3</w:t>
      </w:r>
      <w:r w:rsidRPr="00883399">
        <w:rPr>
          <w:sz w:val="24"/>
        </w:rPr>
        <w:t>.</w:t>
      </w:r>
    </w:p>
    <w:p w14:paraId="5A922770" w14:textId="77777777" w:rsidR="00454DE8" w:rsidRPr="00883399" w:rsidRDefault="00454DE8" w:rsidP="00454DE8">
      <w:pPr>
        <w:pStyle w:val="Definition0"/>
        <w:rPr>
          <w:sz w:val="24"/>
        </w:rPr>
      </w:pPr>
      <w:r w:rsidRPr="00883399">
        <w:rPr>
          <w:b/>
          <w:i/>
          <w:sz w:val="24"/>
        </w:rPr>
        <w:t xml:space="preserve">gaseous fuel </w:t>
      </w:r>
      <w:r w:rsidRPr="00883399">
        <w:rPr>
          <w:sz w:val="24"/>
        </w:rPr>
        <w:t>means a fuel mentioned in column 2 of items 17 to 30 of Schedule 1 to the Regulations.</w:t>
      </w:r>
    </w:p>
    <w:p w14:paraId="33FFED26" w14:textId="77777777" w:rsidR="00454DE8" w:rsidRPr="00883399" w:rsidRDefault="00454DE8" w:rsidP="00454DE8">
      <w:pPr>
        <w:pStyle w:val="Definition0"/>
        <w:rPr>
          <w:sz w:val="24"/>
        </w:rPr>
      </w:pPr>
      <w:r w:rsidRPr="00883399">
        <w:rPr>
          <w:b/>
          <w:i/>
          <w:sz w:val="24"/>
        </w:rPr>
        <w:t xml:space="preserve">gas stream </w:t>
      </w:r>
      <w:r w:rsidRPr="00883399">
        <w:rPr>
          <w:sz w:val="24"/>
        </w:rPr>
        <w:t>means the flow of gas subject to monitoring under Part 1.3.</w:t>
      </w:r>
    </w:p>
    <w:p w14:paraId="7C398F23" w14:textId="77777777" w:rsidR="00454DE8" w:rsidRPr="00883399" w:rsidRDefault="00454DE8" w:rsidP="00454DE8">
      <w:pPr>
        <w:pStyle w:val="Definition0"/>
        <w:rPr>
          <w:sz w:val="24"/>
        </w:rPr>
      </w:pPr>
      <w:r w:rsidRPr="00883399">
        <w:rPr>
          <w:b/>
          <w:i/>
          <w:sz w:val="24"/>
        </w:rPr>
        <w:t xml:space="preserve">gassy mine </w:t>
      </w:r>
      <w:r w:rsidRPr="00883399">
        <w:rPr>
          <w:sz w:val="24"/>
        </w:rPr>
        <w:t>means an underground mine that has at least 0.1% methane in the mine’s return ventilation.</w:t>
      </w:r>
    </w:p>
    <w:p w14:paraId="473524BB" w14:textId="77777777" w:rsidR="00454DE8" w:rsidRPr="00883399" w:rsidRDefault="00454DE8" w:rsidP="00454DE8">
      <w:pPr>
        <w:pStyle w:val="Definition0"/>
        <w:rPr>
          <w:sz w:val="24"/>
        </w:rPr>
      </w:pPr>
      <w:r w:rsidRPr="00883399">
        <w:rPr>
          <w:b/>
          <w:i/>
          <w:sz w:val="24"/>
        </w:rPr>
        <w:t xml:space="preserve">Global Warming Potential </w:t>
      </w:r>
      <w:r w:rsidRPr="00883399">
        <w:rPr>
          <w:sz w:val="24"/>
        </w:rPr>
        <w:t>means, in relation to a greenhouse gas mentioned in column 2 of an item in the table in regulation 2.02 of the Regulations, the value mentioned in column 4 for that item.</w:t>
      </w:r>
    </w:p>
    <w:p w14:paraId="5CCEECE1" w14:textId="77777777" w:rsidR="00454DE8" w:rsidRPr="00883399" w:rsidRDefault="00454DE8" w:rsidP="00454DE8">
      <w:pPr>
        <w:pStyle w:val="Definition0"/>
        <w:rPr>
          <w:sz w:val="24"/>
        </w:rPr>
      </w:pPr>
      <w:r w:rsidRPr="00883399">
        <w:rPr>
          <w:b/>
          <w:i/>
          <w:sz w:val="24"/>
        </w:rPr>
        <w:t xml:space="preserve">GPA </w:t>
      </w:r>
      <w:r w:rsidRPr="00883399">
        <w:rPr>
          <w:sz w:val="24"/>
        </w:rPr>
        <w:t>followed by a number means a standard of that number issued by the Gas Processors Association and, if a date is included, of that date.</w:t>
      </w:r>
    </w:p>
    <w:p w14:paraId="09625081" w14:textId="77777777" w:rsidR="00454DE8" w:rsidRPr="00883399" w:rsidRDefault="00454DE8" w:rsidP="00454DE8">
      <w:pPr>
        <w:pStyle w:val="Definition0"/>
        <w:rPr>
          <w:sz w:val="24"/>
        </w:rPr>
      </w:pPr>
      <w:r w:rsidRPr="00883399">
        <w:rPr>
          <w:b/>
          <w:i/>
          <w:sz w:val="24"/>
        </w:rPr>
        <w:t xml:space="preserve">green and air dried wood </w:t>
      </w:r>
      <w:r w:rsidRPr="00883399">
        <w:rPr>
          <w:sz w:val="24"/>
        </w:rPr>
        <w:t>has the meaning given by the Regulations.</w:t>
      </w:r>
    </w:p>
    <w:p w14:paraId="1BB71365" w14:textId="77777777" w:rsidR="00454DE8" w:rsidRPr="00883399" w:rsidRDefault="00454DE8" w:rsidP="00454DE8">
      <w:pPr>
        <w:pStyle w:val="Definition0"/>
        <w:rPr>
          <w:sz w:val="24"/>
        </w:rPr>
      </w:pPr>
      <w:r w:rsidRPr="00883399">
        <w:rPr>
          <w:b/>
          <w:i/>
          <w:sz w:val="24"/>
        </w:rPr>
        <w:t>greenhouse gas stream</w:t>
      </w:r>
      <w:r w:rsidRPr="00883399">
        <w:rPr>
          <w:sz w:val="24"/>
        </w:rPr>
        <w:t xml:space="preserve"> means a stream consisting of a mixture of any or all of the following substances captured for injection into, and captured for permanent storage in, a geological formation:</w:t>
      </w:r>
    </w:p>
    <w:p w14:paraId="596FDBD0" w14:textId="77777777" w:rsidR="00454DE8" w:rsidRPr="00883399" w:rsidRDefault="00454DE8" w:rsidP="00454DE8">
      <w:pPr>
        <w:pStyle w:val="paragraph"/>
        <w:rPr>
          <w:sz w:val="24"/>
        </w:rPr>
      </w:pPr>
      <w:r w:rsidRPr="00883399">
        <w:rPr>
          <w:sz w:val="24"/>
        </w:rPr>
        <w:tab/>
        <w:t>(a)</w:t>
      </w:r>
      <w:r w:rsidRPr="00883399">
        <w:rPr>
          <w:sz w:val="24"/>
        </w:rPr>
        <w:tab/>
        <w:t>carbon dioxide, whether in a gaseous or liquid state;</w:t>
      </w:r>
    </w:p>
    <w:p w14:paraId="33509766" w14:textId="77777777" w:rsidR="00454DE8" w:rsidRPr="00883399" w:rsidRDefault="00454DE8" w:rsidP="00454DE8">
      <w:pPr>
        <w:pStyle w:val="paragraph"/>
        <w:rPr>
          <w:sz w:val="24"/>
        </w:rPr>
      </w:pPr>
      <w:r w:rsidRPr="00883399">
        <w:rPr>
          <w:sz w:val="24"/>
        </w:rPr>
        <w:tab/>
        <w:t>(b)</w:t>
      </w:r>
      <w:r w:rsidRPr="00883399">
        <w:rPr>
          <w:sz w:val="24"/>
        </w:rPr>
        <w:tab/>
        <w:t>a greenhouse gas other than carbon dioxide, whether in a gaseous or liquid state;</w:t>
      </w:r>
    </w:p>
    <w:p w14:paraId="35CCFFEB" w14:textId="77777777" w:rsidR="00454DE8" w:rsidRPr="00883399" w:rsidRDefault="00454DE8" w:rsidP="00454DE8">
      <w:pPr>
        <w:pStyle w:val="paragraph"/>
        <w:rPr>
          <w:sz w:val="24"/>
        </w:rPr>
      </w:pPr>
      <w:r w:rsidRPr="00883399">
        <w:rPr>
          <w:sz w:val="24"/>
        </w:rPr>
        <w:tab/>
        <w:t>(c)</w:t>
      </w:r>
      <w:r w:rsidRPr="00883399">
        <w:rPr>
          <w:sz w:val="24"/>
        </w:rPr>
        <w:tab/>
        <w:t>one or more incidental greenhouse gas</w:t>
      </w:r>
      <w:r w:rsidRPr="00883399">
        <w:rPr>
          <w:sz w:val="24"/>
        </w:rPr>
        <w:noBreakHyphen/>
        <w:t>related substances, whether in a gaseous or liquid state, that relate to either or both of the greenhouse gases mentioned in paragraph (a) and (b);</w:t>
      </w:r>
    </w:p>
    <w:p w14:paraId="1482A860" w14:textId="77777777" w:rsidR="00454DE8" w:rsidRPr="00883399" w:rsidRDefault="00454DE8" w:rsidP="00454DE8">
      <w:pPr>
        <w:pStyle w:val="paragraph"/>
        <w:rPr>
          <w:sz w:val="24"/>
        </w:rPr>
      </w:pPr>
      <w:r w:rsidRPr="00883399">
        <w:rPr>
          <w:sz w:val="24"/>
        </w:rPr>
        <w:tab/>
        <w:t>(d)</w:t>
      </w:r>
      <w:r w:rsidRPr="00883399">
        <w:rPr>
          <w:sz w:val="24"/>
        </w:rPr>
        <w:tab/>
        <w:t>a detection agent, whether in a gaseous or liquid state;</w:t>
      </w:r>
    </w:p>
    <w:p w14:paraId="738221B8" w14:textId="77777777" w:rsidR="00454DE8" w:rsidRPr="00883399" w:rsidRDefault="00454DE8" w:rsidP="00454DE8">
      <w:pPr>
        <w:pStyle w:val="subsection2"/>
        <w:rPr>
          <w:sz w:val="24"/>
        </w:rPr>
      </w:pPr>
      <w:r w:rsidRPr="00883399">
        <w:rPr>
          <w:sz w:val="24"/>
        </w:rPr>
        <w:t>so long as:</w:t>
      </w:r>
    </w:p>
    <w:p w14:paraId="62548E8C" w14:textId="77777777" w:rsidR="00454DE8" w:rsidRPr="00883399" w:rsidRDefault="00454DE8" w:rsidP="00454DE8">
      <w:pPr>
        <w:pStyle w:val="paragraph"/>
        <w:rPr>
          <w:sz w:val="24"/>
        </w:rPr>
      </w:pPr>
      <w:r w:rsidRPr="00883399">
        <w:rPr>
          <w:sz w:val="24"/>
        </w:rPr>
        <w:tab/>
        <w:t>(e)</w:t>
      </w:r>
      <w:r w:rsidRPr="00883399">
        <w:rPr>
          <w:sz w:val="24"/>
        </w:rPr>
        <w:tab/>
        <w:t>the mixture consists overwhelmingly of either or both of the greenhouse gases mentioned in paragraphs (a) and (b); and</w:t>
      </w:r>
    </w:p>
    <w:p w14:paraId="60ED70B1" w14:textId="77777777" w:rsidR="00454DE8" w:rsidRPr="00883399" w:rsidRDefault="00454DE8" w:rsidP="00454DE8">
      <w:pPr>
        <w:pStyle w:val="paragraph"/>
        <w:rPr>
          <w:sz w:val="24"/>
        </w:rPr>
      </w:pPr>
      <w:r w:rsidRPr="00883399">
        <w:rPr>
          <w:sz w:val="24"/>
        </w:rPr>
        <w:tab/>
        <w:t>(f)</w:t>
      </w:r>
      <w:r w:rsidRPr="00883399">
        <w:rPr>
          <w:sz w:val="24"/>
        </w:rPr>
        <w:tab/>
        <w:t xml:space="preserve">if the mixture includes a detection agent—the concentration of the detection agent in the mixture is not more than the concentration prescribed in relation to the detection agent for the purposes of subparagraph (vi) of paragraph (c) of the definition of </w:t>
      </w:r>
      <w:r w:rsidRPr="00883399">
        <w:rPr>
          <w:b/>
          <w:i/>
          <w:sz w:val="24"/>
        </w:rPr>
        <w:t xml:space="preserve">greenhouse gas substance </w:t>
      </w:r>
      <w:r w:rsidRPr="00883399">
        <w:rPr>
          <w:sz w:val="24"/>
        </w:rPr>
        <w:t xml:space="preserve">in section 7 of the </w:t>
      </w:r>
      <w:r w:rsidRPr="00883399">
        <w:rPr>
          <w:i/>
          <w:sz w:val="24"/>
        </w:rPr>
        <w:t>Offshore Petroleum and Greenhouse Gas Storage Act 2006</w:t>
      </w:r>
      <w:r w:rsidRPr="00883399">
        <w:rPr>
          <w:sz w:val="24"/>
        </w:rPr>
        <w:t>.</w:t>
      </w:r>
    </w:p>
    <w:p w14:paraId="10091C5B" w14:textId="77777777" w:rsidR="00454DE8" w:rsidRPr="00883399" w:rsidRDefault="00454DE8" w:rsidP="00454DE8">
      <w:pPr>
        <w:pStyle w:val="notetext"/>
        <w:rPr>
          <w:sz w:val="20"/>
        </w:rPr>
      </w:pPr>
      <w:r w:rsidRPr="00883399">
        <w:rPr>
          <w:sz w:val="20"/>
        </w:rPr>
        <w:t>Note:</w:t>
      </w:r>
      <w:r w:rsidRPr="00883399">
        <w:rPr>
          <w:sz w:val="20"/>
        </w:rPr>
        <w:tab/>
        <w:t xml:space="preserve">A greenhouse gas is </w:t>
      </w:r>
      <w:r w:rsidRPr="00883399">
        <w:rPr>
          <w:b/>
          <w:i/>
          <w:sz w:val="20"/>
        </w:rPr>
        <w:t>captured for permanent storage</w:t>
      </w:r>
      <w:r w:rsidRPr="00883399">
        <w:rPr>
          <w:sz w:val="20"/>
        </w:rPr>
        <w:t xml:space="preserve"> in a geological formation if the gas is captured by, or transferred to, the holder of a licence, lease or approval mentioned in section 1.19A, under a law mentioned in that section, for the purpose of being injected into a geological formation (however described) under the licence, lease or approval.</w:t>
      </w:r>
    </w:p>
    <w:p w14:paraId="489191AB" w14:textId="77777777" w:rsidR="00454DE8" w:rsidRPr="00883399" w:rsidRDefault="00454DE8" w:rsidP="00454DE8">
      <w:pPr>
        <w:pStyle w:val="Definition0"/>
        <w:rPr>
          <w:i/>
          <w:sz w:val="24"/>
        </w:rPr>
      </w:pPr>
      <w:r w:rsidRPr="00883399">
        <w:rPr>
          <w:b/>
          <w:i/>
          <w:sz w:val="24"/>
        </w:rPr>
        <w:t>GST group</w:t>
      </w:r>
      <w:r w:rsidRPr="00883399">
        <w:rPr>
          <w:sz w:val="24"/>
        </w:rPr>
        <w:t xml:space="preserve"> has the same meaning as in the </w:t>
      </w:r>
      <w:r w:rsidRPr="00883399">
        <w:rPr>
          <w:i/>
          <w:sz w:val="24"/>
        </w:rPr>
        <w:t>Fuel Tax Act 2006.</w:t>
      </w:r>
    </w:p>
    <w:p w14:paraId="138E3952" w14:textId="77777777" w:rsidR="00454DE8" w:rsidRPr="00883399" w:rsidRDefault="00454DE8" w:rsidP="00454DE8">
      <w:pPr>
        <w:pStyle w:val="Definition0"/>
        <w:rPr>
          <w:i/>
          <w:sz w:val="24"/>
        </w:rPr>
      </w:pPr>
      <w:r w:rsidRPr="00883399">
        <w:rPr>
          <w:b/>
          <w:i/>
          <w:sz w:val="24"/>
        </w:rPr>
        <w:t>GST joint venture</w:t>
      </w:r>
      <w:r w:rsidRPr="00883399">
        <w:rPr>
          <w:sz w:val="24"/>
        </w:rPr>
        <w:t xml:space="preserve"> has the same meaning as in the </w:t>
      </w:r>
      <w:r w:rsidRPr="00883399">
        <w:rPr>
          <w:i/>
          <w:sz w:val="24"/>
        </w:rPr>
        <w:t>Fuel Tax Act 2006.</w:t>
      </w:r>
    </w:p>
    <w:p w14:paraId="5239BD5A" w14:textId="77777777" w:rsidR="00454DE8" w:rsidRPr="00883399" w:rsidRDefault="00454DE8" w:rsidP="00454DE8">
      <w:pPr>
        <w:pStyle w:val="Definition0"/>
        <w:rPr>
          <w:sz w:val="24"/>
        </w:rPr>
      </w:pPr>
      <w:r w:rsidRPr="00883399">
        <w:rPr>
          <w:b/>
          <w:i/>
          <w:sz w:val="24"/>
        </w:rPr>
        <w:t xml:space="preserve">higher method </w:t>
      </w:r>
      <w:r w:rsidRPr="00883399">
        <w:rPr>
          <w:sz w:val="24"/>
        </w:rPr>
        <w:t>has the meaning given by subsection 1.18(5).</w:t>
      </w:r>
    </w:p>
    <w:p w14:paraId="0C22193D" w14:textId="77777777" w:rsidR="00454DE8" w:rsidRPr="00883399" w:rsidRDefault="00454DE8" w:rsidP="00454DE8">
      <w:pPr>
        <w:pStyle w:val="Definition0"/>
        <w:rPr>
          <w:sz w:val="24"/>
        </w:rPr>
      </w:pPr>
      <w:r w:rsidRPr="00883399">
        <w:rPr>
          <w:b/>
          <w:i/>
          <w:sz w:val="24"/>
        </w:rPr>
        <w:t xml:space="preserve">hydrofluorocarbons </w:t>
      </w:r>
      <w:r w:rsidRPr="00883399">
        <w:rPr>
          <w:sz w:val="24"/>
        </w:rPr>
        <w:t>has the meaning given by section 4.99.</w:t>
      </w:r>
    </w:p>
    <w:p w14:paraId="132EF016" w14:textId="77777777" w:rsidR="00454DE8" w:rsidRPr="00883399" w:rsidRDefault="00454DE8" w:rsidP="00454DE8">
      <w:pPr>
        <w:pStyle w:val="Definition0"/>
        <w:rPr>
          <w:sz w:val="24"/>
        </w:rPr>
      </w:pPr>
      <w:r w:rsidRPr="00883399">
        <w:rPr>
          <w:b/>
          <w:i/>
          <w:sz w:val="24"/>
        </w:rPr>
        <w:t xml:space="preserve">ideal gas law </w:t>
      </w:r>
      <w:r w:rsidRPr="00883399">
        <w:rPr>
          <w:sz w:val="24"/>
        </w:rPr>
        <w:t>means the state of a hypothetical ideal gas in which the amount of gas is determined by its pressure, volume and temperature.</w:t>
      </w:r>
    </w:p>
    <w:p w14:paraId="0ABD34F1" w14:textId="77777777" w:rsidR="00454DE8" w:rsidRPr="00883399" w:rsidRDefault="00454DE8" w:rsidP="00454DE8">
      <w:pPr>
        <w:pStyle w:val="Definition0"/>
        <w:rPr>
          <w:sz w:val="24"/>
        </w:rPr>
      </w:pPr>
      <w:r w:rsidRPr="00883399">
        <w:rPr>
          <w:b/>
          <w:i/>
          <w:sz w:val="24"/>
        </w:rPr>
        <w:t xml:space="preserve">IEC </w:t>
      </w:r>
      <w:r w:rsidRPr="00883399">
        <w:rPr>
          <w:sz w:val="24"/>
        </w:rPr>
        <w:t>followed by a number (for example, IEC 17025:2005) means a standard of that number issued by the International Electrotechnical Commission and, if a date is included, of that date.</w:t>
      </w:r>
    </w:p>
    <w:p w14:paraId="17A4B6D4" w14:textId="77777777" w:rsidR="00454DE8" w:rsidRPr="00883399" w:rsidRDefault="00454DE8" w:rsidP="00454DE8">
      <w:pPr>
        <w:pStyle w:val="Definition0"/>
        <w:rPr>
          <w:sz w:val="24"/>
        </w:rPr>
      </w:pPr>
      <w:r w:rsidRPr="00883399">
        <w:rPr>
          <w:b/>
          <w:i/>
          <w:sz w:val="24"/>
        </w:rPr>
        <w:t>incidental</w:t>
      </w:r>
      <w:r w:rsidRPr="00883399">
        <w:rPr>
          <w:sz w:val="24"/>
        </w:rPr>
        <w:t>, for an emission, has the meaning given by subregulation 4.27(5) of the Regulations.</w:t>
      </w:r>
    </w:p>
    <w:p w14:paraId="25069C1D" w14:textId="77777777" w:rsidR="00454DE8" w:rsidRPr="00883399" w:rsidRDefault="00454DE8" w:rsidP="00454DE8">
      <w:pPr>
        <w:pStyle w:val="Definition0"/>
        <w:rPr>
          <w:sz w:val="24"/>
        </w:rPr>
      </w:pPr>
      <w:r w:rsidRPr="00883399">
        <w:rPr>
          <w:b/>
          <w:i/>
          <w:sz w:val="24"/>
        </w:rPr>
        <w:t>incidental greenhouse gas</w:t>
      </w:r>
      <w:r w:rsidRPr="00883399">
        <w:rPr>
          <w:b/>
          <w:i/>
          <w:sz w:val="24"/>
        </w:rPr>
        <w:noBreakHyphen/>
        <w:t>related substance</w:t>
      </w:r>
      <w:r w:rsidRPr="00883399">
        <w:rPr>
          <w:b/>
          <w:sz w:val="24"/>
        </w:rPr>
        <w:t>,</w:t>
      </w:r>
      <w:r w:rsidRPr="00883399">
        <w:rPr>
          <w:sz w:val="24"/>
        </w:rPr>
        <w:t xml:space="preserve"> in relation to a greenhouse gas that is captured from a particular source material, means:</w:t>
      </w:r>
    </w:p>
    <w:p w14:paraId="099FC7C0" w14:textId="77777777" w:rsidR="00454DE8" w:rsidRPr="00883399" w:rsidRDefault="00454DE8" w:rsidP="00454DE8">
      <w:pPr>
        <w:pStyle w:val="paragraph"/>
        <w:rPr>
          <w:sz w:val="24"/>
        </w:rPr>
      </w:pPr>
      <w:r w:rsidRPr="00883399">
        <w:rPr>
          <w:sz w:val="24"/>
        </w:rPr>
        <w:tab/>
        <w:t>(a)</w:t>
      </w:r>
      <w:r w:rsidRPr="00883399">
        <w:rPr>
          <w:sz w:val="24"/>
        </w:rPr>
        <w:tab/>
        <w:t>any substance that is incidentally derived from the source material; or</w:t>
      </w:r>
    </w:p>
    <w:p w14:paraId="51BEC19A" w14:textId="77777777" w:rsidR="00454DE8" w:rsidRPr="00883399" w:rsidRDefault="00454DE8" w:rsidP="00454DE8">
      <w:pPr>
        <w:pStyle w:val="paragraph"/>
        <w:rPr>
          <w:sz w:val="24"/>
        </w:rPr>
      </w:pPr>
      <w:r w:rsidRPr="00883399">
        <w:rPr>
          <w:sz w:val="24"/>
        </w:rPr>
        <w:tab/>
        <w:t>(b)</w:t>
      </w:r>
      <w:r w:rsidRPr="00883399">
        <w:rPr>
          <w:sz w:val="24"/>
        </w:rPr>
        <w:tab/>
        <w:t>any substance that is incidentally derived from the capture; or</w:t>
      </w:r>
    </w:p>
    <w:p w14:paraId="1E161B45" w14:textId="77777777" w:rsidR="00454DE8" w:rsidRPr="00883399" w:rsidRDefault="00454DE8" w:rsidP="00454DE8">
      <w:pPr>
        <w:pStyle w:val="paragraph"/>
        <w:rPr>
          <w:sz w:val="24"/>
        </w:rPr>
      </w:pPr>
      <w:r w:rsidRPr="00883399">
        <w:rPr>
          <w:sz w:val="24"/>
        </w:rPr>
        <w:tab/>
        <w:t>(c)</w:t>
      </w:r>
      <w:r w:rsidRPr="00883399">
        <w:rPr>
          <w:sz w:val="24"/>
        </w:rPr>
        <w:tab/>
        <w:t>if the captured greenhouse gas, whether in a pure form or in a mixture with other substances, is transported—any substance that is incidentally derived from the transportation; or</w:t>
      </w:r>
    </w:p>
    <w:p w14:paraId="5120F63D" w14:textId="77777777" w:rsidR="00454DE8" w:rsidRPr="00883399" w:rsidRDefault="00454DE8" w:rsidP="00454DE8">
      <w:pPr>
        <w:pStyle w:val="paragraph"/>
        <w:rPr>
          <w:sz w:val="24"/>
        </w:rPr>
      </w:pPr>
      <w:r w:rsidRPr="00883399">
        <w:rPr>
          <w:sz w:val="24"/>
        </w:rPr>
        <w:tab/>
        <w:t>(d)</w:t>
      </w:r>
      <w:r w:rsidRPr="00883399">
        <w:rPr>
          <w:sz w:val="24"/>
        </w:rPr>
        <w:tab/>
        <w:t>if the captured greenhouse gas, whether in a pure form or in a mixture with other substances, is injected into a part of a geological formation—any substance that is incidentally derived from the injection; or</w:t>
      </w:r>
    </w:p>
    <w:p w14:paraId="789369A2" w14:textId="77777777" w:rsidR="00454DE8" w:rsidRPr="00883399" w:rsidRDefault="00454DE8" w:rsidP="00454DE8">
      <w:pPr>
        <w:pStyle w:val="paragraph"/>
        <w:rPr>
          <w:sz w:val="24"/>
        </w:rPr>
      </w:pPr>
      <w:r w:rsidRPr="00883399">
        <w:rPr>
          <w:sz w:val="24"/>
        </w:rPr>
        <w:tab/>
        <w:t>(e)</w:t>
      </w:r>
      <w:r w:rsidRPr="00883399">
        <w:rPr>
          <w:sz w:val="24"/>
        </w:rPr>
        <w:tab/>
        <w:t>if the captured greenhouse gas, whether in a pure form or in a mixture with other substances, is stored in a part of a geological formation—any substance that is incidentally derived from the storage.</w:t>
      </w:r>
    </w:p>
    <w:p w14:paraId="4A486622" w14:textId="77777777" w:rsidR="00454DE8" w:rsidRPr="00883399" w:rsidRDefault="00454DE8" w:rsidP="00454DE8">
      <w:pPr>
        <w:pStyle w:val="Definition0"/>
        <w:rPr>
          <w:sz w:val="24"/>
        </w:rPr>
      </w:pPr>
      <w:r w:rsidRPr="00883399">
        <w:rPr>
          <w:b/>
          <w:i/>
          <w:sz w:val="24"/>
        </w:rPr>
        <w:t>independent expert</w:t>
      </w:r>
      <w:r w:rsidRPr="00883399">
        <w:rPr>
          <w:sz w:val="24"/>
        </w:rPr>
        <w:t>, in relation to an operator of a landfill, means a person who:</w:t>
      </w:r>
    </w:p>
    <w:p w14:paraId="568310F9" w14:textId="77777777" w:rsidR="00454DE8" w:rsidRPr="00883399" w:rsidRDefault="00454DE8" w:rsidP="00454DE8">
      <w:pPr>
        <w:pStyle w:val="paragraph"/>
        <w:rPr>
          <w:sz w:val="24"/>
        </w:rPr>
      </w:pPr>
      <w:r w:rsidRPr="00883399">
        <w:rPr>
          <w:sz w:val="24"/>
        </w:rPr>
        <w:tab/>
        <w:t>(a)</w:t>
      </w:r>
      <w:r w:rsidRPr="00883399">
        <w:rPr>
          <w:sz w:val="24"/>
        </w:rPr>
        <w:tab/>
        <w:t>is independent of the operator of the landfill; and</w:t>
      </w:r>
    </w:p>
    <w:p w14:paraId="7D2F0C80" w14:textId="77777777" w:rsidR="00454DE8" w:rsidRPr="00883399" w:rsidRDefault="00454DE8" w:rsidP="00454DE8">
      <w:pPr>
        <w:pStyle w:val="paragraph"/>
        <w:rPr>
          <w:sz w:val="24"/>
        </w:rPr>
      </w:pPr>
      <w:r w:rsidRPr="00883399">
        <w:rPr>
          <w:sz w:val="24"/>
        </w:rPr>
        <w:tab/>
        <w:t>(b)</w:t>
      </w:r>
      <w:r w:rsidRPr="00883399">
        <w:rPr>
          <w:sz w:val="24"/>
        </w:rPr>
        <w:tab/>
        <w:t>has relevant expertise in estimating or monitoring landfill surface gas.</w:t>
      </w:r>
    </w:p>
    <w:p w14:paraId="10FF87DC" w14:textId="77777777" w:rsidR="00454DE8" w:rsidRPr="00883399" w:rsidRDefault="00454DE8" w:rsidP="00454DE8">
      <w:pPr>
        <w:pStyle w:val="Definition0"/>
        <w:rPr>
          <w:sz w:val="24"/>
        </w:rPr>
      </w:pPr>
      <w:r w:rsidRPr="00883399">
        <w:rPr>
          <w:b/>
          <w:i/>
          <w:sz w:val="24"/>
        </w:rPr>
        <w:t>inert waste</w:t>
      </w:r>
      <w:r w:rsidRPr="00883399">
        <w:rPr>
          <w:sz w:val="24"/>
        </w:rPr>
        <w:t xml:space="preserve"> means waste materials that contain no more than a negligible volume of degradable organic carbon and includes the following waste:</w:t>
      </w:r>
    </w:p>
    <w:p w14:paraId="360BB20D" w14:textId="77777777" w:rsidR="00454DE8" w:rsidRPr="00883399" w:rsidRDefault="00454DE8" w:rsidP="00454DE8">
      <w:pPr>
        <w:pStyle w:val="paragraph"/>
        <w:rPr>
          <w:sz w:val="24"/>
        </w:rPr>
      </w:pPr>
      <w:r w:rsidRPr="00883399">
        <w:rPr>
          <w:sz w:val="24"/>
        </w:rPr>
        <w:tab/>
        <w:t>(a)</w:t>
      </w:r>
      <w:r w:rsidRPr="00883399">
        <w:rPr>
          <w:sz w:val="24"/>
        </w:rPr>
        <w:tab/>
        <w:t>concrete;</w:t>
      </w:r>
    </w:p>
    <w:p w14:paraId="79BA8039" w14:textId="77777777" w:rsidR="00454DE8" w:rsidRPr="00883399" w:rsidRDefault="00454DE8" w:rsidP="00454DE8">
      <w:pPr>
        <w:pStyle w:val="paragraph"/>
        <w:rPr>
          <w:sz w:val="24"/>
        </w:rPr>
      </w:pPr>
      <w:r w:rsidRPr="00883399">
        <w:rPr>
          <w:sz w:val="24"/>
        </w:rPr>
        <w:tab/>
        <w:t>(b)</w:t>
      </w:r>
      <w:r w:rsidRPr="00883399">
        <w:rPr>
          <w:sz w:val="24"/>
        </w:rPr>
        <w:tab/>
        <w:t>metal;</w:t>
      </w:r>
    </w:p>
    <w:p w14:paraId="02D6134E" w14:textId="77777777" w:rsidR="00454DE8" w:rsidRPr="00883399" w:rsidRDefault="00454DE8" w:rsidP="00454DE8">
      <w:pPr>
        <w:pStyle w:val="paragraph"/>
        <w:rPr>
          <w:sz w:val="24"/>
        </w:rPr>
      </w:pPr>
      <w:r w:rsidRPr="00883399">
        <w:rPr>
          <w:sz w:val="24"/>
        </w:rPr>
        <w:tab/>
        <w:t>(c)</w:t>
      </w:r>
      <w:r w:rsidRPr="00883399">
        <w:rPr>
          <w:sz w:val="24"/>
        </w:rPr>
        <w:tab/>
        <w:t>plastic;</w:t>
      </w:r>
    </w:p>
    <w:p w14:paraId="69AF4FE8" w14:textId="77777777" w:rsidR="00454DE8" w:rsidRPr="00883399" w:rsidRDefault="00454DE8" w:rsidP="00454DE8">
      <w:pPr>
        <w:pStyle w:val="paragraph"/>
        <w:rPr>
          <w:sz w:val="24"/>
        </w:rPr>
      </w:pPr>
      <w:r w:rsidRPr="00883399">
        <w:rPr>
          <w:sz w:val="24"/>
        </w:rPr>
        <w:tab/>
        <w:t>(d)</w:t>
      </w:r>
      <w:r w:rsidRPr="00883399">
        <w:rPr>
          <w:sz w:val="24"/>
        </w:rPr>
        <w:tab/>
        <w:t>glass;</w:t>
      </w:r>
    </w:p>
    <w:p w14:paraId="05995672" w14:textId="77777777" w:rsidR="00454DE8" w:rsidRPr="00883399" w:rsidRDefault="00454DE8" w:rsidP="00454DE8">
      <w:pPr>
        <w:pStyle w:val="paragraph"/>
        <w:rPr>
          <w:sz w:val="24"/>
        </w:rPr>
      </w:pPr>
      <w:r w:rsidRPr="00883399">
        <w:rPr>
          <w:sz w:val="24"/>
        </w:rPr>
        <w:tab/>
        <w:t>(e)</w:t>
      </w:r>
      <w:r w:rsidRPr="00883399">
        <w:rPr>
          <w:sz w:val="24"/>
        </w:rPr>
        <w:tab/>
        <w:t>asbestos concrete;</w:t>
      </w:r>
    </w:p>
    <w:p w14:paraId="669611C1" w14:textId="77777777" w:rsidR="00454DE8" w:rsidRPr="00883399" w:rsidRDefault="00454DE8" w:rsidP="00454DE8">
      <w:pPr>
        <w:pStyle w:val="paragraph"/>
        <w:rPr>
          <w:sz w:val="24"/>
        </w:rPr>
      </w:pPr>
      <w:r w:rsidRPr="00883399">
        <w:rPr>
          <w:sz w:val="24"/>
        </w:rPr>
        <w:tab/>
        <w:t>(f)</w:t>
      </w:r>
      <w:r w:rsidRPr="00883399">
        <w:rPr>
          <w:sz w:val="24"/>
        </w:rPr>
        <w:tab/>
        <w:t>soil.</w:t>
      </w:r>
    </w:p>
    <w:p w14:paraId="2633F7C0" w14:textId="77777777" w:rsidR="00454DE8" w:rsidRPr="00883399" w:rsidRDefault="00454DE8" w:rsidP="00454DE8">
      <w:pPr>
        <w:pStyle w:val="Definition0"/>
        <w:rPr>
          <w:sz w:val="24"/>
        </w:rPr>
      </w:pPr>
      <w:r w:rsidRPr="00883399">
        <w:rPr>
          <w:b/>
          <w:i/>
          <w:sz w:val="24"/>
        </w:rPr>
        <w:t xml:space="preserve">integrated metalworks </w:t>
      </w:r>
      <w:r w:rsidRPr="00883399">
        <w:rPr>
          <w:sz w:val="24"/>
        </w:rPr>
        <w:t>has the meaning given by subsection 4.64(2).</w:t>
      </w:r>
    </w:p>
    <w:p w14:paraId="32B44409" w14:textId="77777777" w:rsidR="00454DE8" w:rsidRPr="00883399" w:rsidRDefault="00454DE8" w:rsidP="00454DE8">
      <w:pPr>
        <w:pStyle w:val="Definition0"/>
        <w:rPr>
          <w:sz w:val="24"/>
        </w:rPr>
      </w:pPr>
      <w:r w:rsidRPr="00883399">
        <w:rPr>
          <w:b/>
          <w:i/>
          <w:sz w:val="24"/>
        </w:rPr>
        <w:t xml:space="preserve">invoice </w:t>
      </w:r>
      <w:r w:rsidRPr="00883399">
        <w:rPr>
          <w:sz w:val="24"/>
        </w:rPr>
        <w:t>includes delivery record.</w:t>
      </w:r>
    </w:p>
    <w:p w14:paraId="48A2EB74" w14:textId="77777777" w:rsidR="00454DE8" w:rsidRPr="00883399" w:rsidRDefault="00454DE8" w:rsidP="00454DE8">
      <w:pPr>
        <w:pStyle w:val="Definition0"/>
        <w:rPr>
          <w:sz w:val="24"/>
        </w:rPr>
      </w:pPr>
      <w:r w:rsidRPr="00883399">
        <w:rPr>
          <w:b/>
          <w:i/>
          <w:sz w:val="24"/>
        </w:rPr>
        <w:t xml:space="preserve">IPCC </w:t>
      </w:r>
      <w:r w:rsidRPr="00883399">
        <w:rPr>
          <w:sz w:val="24"/>
        </w:rPr>
        <w:t>is short for Intergovernmental Panel on Climate Change established by the World Meteorological Organization and the United Nations Environment Programme.</w:t>
      </w:r>
    </w:p>
    <w:p w14:paraId="2D2FA758" w14:textId="77777777" w:rsidR="00454DE8" w:rsidRPr="00883399" w:rsidRDefault="00454DE8" w:rsidP="00454DE8">
      <w:pPr>
        <w:pStyle w:val="Definition0"/>
        <w:rPr>
          <w:sz w:val="24"/>
        </w:rPr>
      </w:pPr>
      <w:r w:rsidRPr="00883399">
        <w:rPr>
          <w:b/>
          <w:i/>
          <w:sz w:val="24"/>
        </w:rPr>
        <w:t xml:space="preserve">ISO </w:t>
      </w:r>
      <w:r w:rsidRPr="00883399">
        <w:rPr>
          <w:sz w:val="24"/>
        </w:rPr>
        <w:t>followed by a number (for example, ISO 10396:2007) means a standard of that number issued by the International Organization of Standardization and, if a date is included, of that date.</w:t>
      </w:r>
    </w:p>
    <w:p w14:paraId="1833AB85" w14:textId="77777777" w:rsidR="00454DE8" w:rsidRPr="00883399" w:rsidRDefault="00454DE8" w:rsidP="00454DE8">
      <w:pPr>
        <w:pStyle w:val="Definition0"/>
        <w:rPr>
          <w:b/>
          <w:i/>
          <w:sz w:val="24"/>
        </w:rPr>
      </w:pPr>
      <w:r w:rsidRPr="00883399">
        <w:rPr>
          <w:b/>
          <w:i/>
          <w:sz w:val="24"/>
        </w:rPr>
        <w:t>legacy emissions</w:t>
      </w:r>
      <w:r w:rsidRPr="00883399">
        <w:rPr>
          <w:sz w:val="24"/>
        </w:rPr>
        <w:t xml:space="preserve"> has the same meaning as in the </w:t>
      </w:r>
      <w:r w:rsidRPr="00883399">
        <w:rPr>
          <w:i/>
          <w:sz w:val="24"/>
        </w:rPr>
        <w:t>National Greenhouse and Energy Reporting (Safeguard Mechanism) Rule 2015</w:t>
      </w:r>
      <w:r w:rsidRPr="00883399">
        <w:rPr>
          <w:sz w:val="24"/>
        </w:rPr>
        <w:t>.</w:t>
      </w:r>
    </w:p>
    <w:p w14:paraId="1147CAE9" w14:textId="77777777" w:rsidR="00454DE8" w:rsidRPr="00883399" w:rsidRDefault="00454DE8" w:rsidP="00454DE8">
      <w:pPr>
        <w:pStyle w:val="Definition0"/>
        <w:rPr>
          <w:sz w:val="24"/>
        </w:rPr>
      </w:pPr>
      <w:r w:rsidRPr="00883399">
        <w:rPr>
          <w:b/>
          <w:i/>
          <w:sz w:val="24"/>
        </w:rPr>
        <w:t xml:space="preserve">legacy waste </w:t>
      </w:r>
      <w:r w:rsidRPr="00883399">
        <w:rPr>
          <w:sz w:val="24"/>
        </w:rPr>
        <w:t>means waste deposited at a landfill before 1 July 2016.</w:t>
      </w:r>
    </w:p>
    <w:p w14:paraId="0A400BF6" w14:textId="77777777" w:rsidR="00454DE8" w:rsidRPr="00883399" w:rsidRDefault="00454DE8" w:rsidP="00454DE8">
      <w:pPr>
        <w:pStyle w:val="Definition0"/>
        <w:rPr>
          <w:b/>
          <w:i/>
          <w:sz w:val="24"/>
        </w:rPr>
      </w:pPr>
      <w:r w:rsidRPr="00883399">
        <w:rPr>
          <w:b/>
          <w:i/>
          <w:sz w:val="24"/>
        </w:rPr>
        <w:t>liquefied natural gas</w:t>
      </w:r>
      <w:r w:rsidRPr="00883399">
        <w:rPr>
          <w:sz w:val="24"/>
        </w:rPr>
        <w:t xml:space="preserve"> has the same meaning as in the Regulations.</w:t>
      </w:r>
    </w:p>
    <w:p w14:paraId="5617A280" w14:textId="77777777" w:rsidR="00454DE8" w:rsidRPr="00883399" w:rsidRDefault="00454DE8" w:rsidP="00454DE8">
      <w:pPr>
        <w:pStyle w:val="Definition0"/>
        <w:rPr>
          <w:b/>
          <w:i/>
          <w:sz w:val="24"/>
        </w:rPr>
      </w:pPr>
      <w:r w:rsidRPr="00883399">
        <w:rPr>
          <w:b/>
          <w:i/>
          <w:sz w:val="24"/>
        </w:rPr>
        <w:t xml:space="preserve">liquefied petroleum gas </w:t>
      </w:r>
      <w:r w:rsidRPr="00883399">
        <w:rPr>
          <w:sz w:val="24"/>
        </w:rPr>
        <w:t>has the same meaning as in the Regulations.</w:t>
      </w:r>
    </w:p>
    <w:p w14:paraId="63C1E2F0" w14:textId="77777777" w:rsidR="00454DE8" w:rsidRPr="00883399" w:rsidRDefault="00454DE8" w:rsidP="00454DE8">
      <w:pPr>
        <w:pStyle w:val="Definition0"/>
        <w:rPr>
          <w:sz w:val="24"/>
        </w:rPr>
      </w:pPr>
      <w:r w:rsidRPr="00883399">
        <w:rPr>
          <w:b/>
          <w:i/>
          <w:sz w:val="24"/>
        </w:rPr>
        <w:t xml:space="preserve">liquid fuel </w:t>
      </w:r>
      <w:r w:rsidRPr="00883399">
        <w:rPr>
          <w:sz w:val="24"/>
        </w:rPr>
        <w:t>means a fuel mentioned in column 2 of items 31 to 54 of Schedule 1 to the Regulations.</w:t>
      </w:r>
    </w:p>
    <w:p w14:paraId="202BF43F" w14:textId="77777777" w:rsidR="00454DE8" w:rsidRPr="00883399" w:rsidRDefault="00454DE8" w:rsidP="00454DE8">
      <w:pPr>
        <w:pStyle w:val="Definition0"/>
        <w:rPr>
          <w:sz w:val="24"/>
        </w:rPr>
      </w:pPr>
      <w:r w:rsidRPr="00883399">
        <w:rPr>
          <w:b/>
          <w:i/>
          <w:sz w:val="24"/>
        </w:rPr>
        <w:t xml:space="preserve">lower method </w:t>
      </w:r>
      <w:r w:rsidRPr="00883399">
        <w:rPr>
          <w:sz w:val="24"/>
        </w:rPr>
        <w:t>has the meaning given by subsection 1.18(6).</w:t>
      </w:r>
    </w:p>
    <w:p w14:paraId="5145CD4F" w14:textId="77777777" w:rsidR="00454DE8" w:rsidRPr="00883399" w:rsidRDefault="00454DE8" w:rsidP="00454DE8">
      <w:pPr>
        <w:pStyle w:val="Definition0"/>
        <w:rPr>
          <w:sz w:val="24"/>
        </w:rPr>
      </w:pPr>
      <w:r w:rsidRPr="00883399">
        <w:rPr>
          <w:b/>
          <w:i/>
          <w:sz w:val="24"/>
        </w:rPr>
        <w:t xml:space="preserve">low gas zone </w:t>
      </w:r>
      <w:r w:rsidRPr="00883399">
        <w:rPr>
          <w:sz w:val="24"/>
        </w:rPr>
        <w:t>means the part of the gas bearing strata of an open cut mine:</w:t>
      </w:r>
    </w:p>
    <w:p w14:paraId="7DE220EB" w14:textId="77777777" w:rsidR="00454DE8" w:rsidRPr="00883399" w:rsidRDefault="00454DE8" w:rsidP="00454DE8">
      <w:pPr>
        <w:pStyle w:val="paragraph"/>
        <w:rPr>
          <w:sz w:val="24"/>
        </w:rPr>
      </w:pPr>
      <w:r w:rsidRPr="00883399">
        <w:rPr>
          <w:sz w:val="24"/>
        </w:rPr>
        <w:tab/>
        <w:t>(a)</w:t>
      </w:r>
      <w:r w:rsidRPr="00883399">
        <w:rPr>
          <w:sz w:val="24"/>
        </w:rPr>
        <w:tab/>
        <w:t>that is located immediately below the original surface of the mine and above the base of the low gas zone; and</w:t>
      </w:r>
    </w:p>
    <w:p w14:paraId="6715D3AD" w14:textId="77777777" w:rsidR="00454DE8" w:rsidRPr="00883399" w:rsidRDefault="00454DE8" w:rsidP="00454DE8">
      <w:pPr>
        <w:pStyle w:val="paragraph"/>
        <w:rPr>
          <w:sz w:val="24"/>
        </w:rPr>
      </w:pPr>
      <w:r w:rsidRPr="00883399">
        <w:rPr>
          <w:sz w:val="24"/>
        </w:rPr>
        <w:tab/>
        <w:t>(b)</w:t>
      </w:r>
      <w:r w:rsidRPr="00883399">
        <w:rPr>
          <w:sz w:val="24"/>
        </w:rPr>
        <w:tab/>
        <w:t>the area of which is worked out by working out the base of the low gas zone.</w:t>
      </w:r>
    </w:p>
    <w:p w14:paraId="4B667AE0" w14:textId="77777777" w:rsidR="00454DE8" w:rsidRPr="00883399" w:rsidRDefault="00454DE8" w:rsidP="00454DE8">
      <w:pPr>
        <w:pStyle w:val="Definition0"/>
        <w:rPr>
          <w:sz w:val="24"/>
        </w:rPr>
      </w:pPr>
      <w:r w:rsidRPr="00883399">
        <w:rPr>
          <w:b/>
          <w:i/>
          <w:sz w:val="24"/>
        </w:rPr>
        <w:t xml:space="preserve">main electricity grid </w:t>
      </w:r>
      <w:r w:rsidRPr="00883399">
        <w:rPr>
          <w:sz w:val="24"/>
        </w:rPr>
        <w:t>has the meaning given by subsection 7.2(4).</w:t>
      </w:r>
    </w:p>
    <w:p w14:paraId="3584B3D9" w14:textId="77777777" w:rsidR="00454DE8" w:rsidRPr="00883399" w:rsidRDefault="00454DE8" w:rsidP="00454DE8">
      <w:pPr>
        <w:pStyle w:val="Definition0"/>
        <w:rPr>
          <w:sz w:val="24"/>
        </w:rPr>
      </w:pPr>
      <w:r w:rsidRPr="00883399">
        <w:rPr>
          <w:b/>
          <w:i/>
          <w:sz w:val="24"/>
        </w:rPr>
        <w:t xml:space="preserve">marketable crude oil </w:t>
      </w:r>
      <w:r w:rsidRPr="00883399">
        <w:rPr>
          <w:sz w:val="24"/>
        </w:rPr>
        <w:t>includes:</w:t>
      </w:r>
    </w:p>
    <w:p w14:paraId="3EF468D2" w14:textId="77777777" w:rsidR="00454DE8" w:rsidRPr="00883399" w:rsidRDefault="00454DE8" w:rsidP="00454DE8">
      <w:pPr>
        <w:pStyle w:val="paragraph"/>
        <w:rPr>
          <w:sz w:val="24"/>
        </w:rPr>
      </w:pPr>
      <w:r w:rsidRPr="00883399">
        <w:rPr>
          <w:sz w:val="24"/>
        </w:rPr>
        <w:tab/>
        <w:t>(a)</w:t>
      </w:r>
      <w:r w:rsidRPr="00883399">
        <w:rPr>
          <w:sz w:val="24"/>
        </w:rPr>
        <w:tab/>
        <w:t>conventional crude oil; and</w:t>
      </w:r>
    </w:p>
    <w:p w14:paraId="416603BA" w14:textId="77777777" w:rsidR="00454DE8" w:rsidRPr="00883399" w:rsidRDefault="00454DE8" w:rsidP="00454DE8">
      <w:pPr>
        <w:pStyle w:val="paragraph"/>
        <w:rPr>
          <w:sz w:val="24"/>
        </w:rPr>
      </w:pPr>
      <w:r w:rsidRPr="00883399">
        <w:rPr>
          <w:sz w:val="24"/>
        </w:rPr>
        <w:tab/>
        <w:t>(b)</w:t>
      </w:r>
      <w:r w:rsidRPr="00883399">
        <w:rPr>
          <w:sz w:val="24"/>
        </w:rPr>
        <w:tab/>
        <w:t>heavy crude oil; and</w:t>
      </w:r>
    </w:p>
    <w:p w14:paraId="01A9BC55" w14:textId="77777777" w:rsidR="00454DE8" w:rsidRPr="00883399" w:rsidRDefault="00454DE8" w:rsidP="00454DE8">
      <w:pPr>
        <w:pStyle w:val="paragraph"/>
        <w:rPr>
          <w:sz w:val="24"/>
        </w:rPr>
      </w:pPr>
      <w:r w:rsidRPr="00883399">
        <w:rPr>
          <w:sz w:val="24"/>
        </w:rPr>
        <w:tab/>
        <w:t>(c)</w:t>
      </w:r>
      <w:r w:rsidRPr="00883399">
        <w:rPr>
          <w:sz w:val="24"/>
        </w:rPr>
        <w:tab/>
        <w:t>synthetic crude oil; and</w:t>
      </w:r>
    </w:p>
    <w:p w14:paraId="67AAC079" w14:textId="77777777" w:rsidR="00454DE8" w:rsidRPr="00883399" w:rsidRDefault="00454DE8" w:rsidP="00454DE8">
      <w:pPr>
        <w:pStyle w:val="paragraph"/>
        <w:rPr>
          <w:sz w:val="24"/>
        </w:rPr>
      </w:pPr>
      <w:r w:rsidRPr="00883399">
        <w:rPr>
          <w:sz w:val="24"/>
        </w:rPr>
        <w:tab/>
        <w:t>(d)</w:t>
      </w:r>
      <w:r w:rsidRPr="00883399">
        <w:rPr>
          <w:sz w:val="24"/>
        </w:rPr>
        <w:tab/>
        <w:t xml:space="preserve">bitumen. </w:t>
      </w:r>
    </w:p>
    <w:p w14:paraId="1CA6D99F" w14:textId="77777777" w:rsidR="00454DE8" w:rsidRPr="00883399" w:rsidRDefault="00454DE8" w:rsidP="00454DE8">
      <w:pPr>
        <w:pStyle w:val="Definition0"/>
        <w:rPr>
          <w:sz w:val="24"/>
        </w:rPr>
      </w:pPr>
      <w:r w:rsidRPr="00883399">
        <w:rPr>
          <w:b/>
          <w:i/>
          <w:sz w:val="24"/>
        </w:rPr>
        <w:t xml:space="preserve">method </w:t>
      </w:r>
      <w:r w:rsidRPr="00883399">
        <w:rPr>
          <w:sz w:val="24"/>
        </w:rPr>
        <w:t>means a method specified in this determination for estimating emissions released from the operation of a facility in relation to a source.</w:t>
      </w:r>
    </w:p>
    <w:p w14:paraId="47F76AC6" w14:textId="77777777" w:rsidR="00454DE8" w:rsidRPr="00883399" w:rsidRDefault="00454DE8" w:rsidP="00454DE8">
      <w:pPr>
        <w:pStyle w:val="Definition0"/>
        <w:rPr>
          <w:sz w:val="24"/>
        </w:rPr>
      </w:pPr>
      <w:r w:rsidRPr="00883399">
        <w:rPr>
          <w:b/>
          <w:i/>
          <w:sz w:val="24"/>
        </w:rPr>
        <w:t xml:space="preserve">municipal materials </w:t>
      </w:r>
      <w:r w:rsidRPr="00883399">
        <w:rPr>
          <w:sz w:val="24"/>
        </w:rPr>
        <w:t>has the meaning given by the Regulations.</w:t>
      </w:r>
    </w:p>
    <w:p w14:paraId="79C808BD" w14:textId="77777777" w:rsidR="00454DE8" w:rsidRPr="00883399" w:rsidRDefault="00454DE8" w:rsidP="00454DE8">
      <w:pPr>
        <w:pStyle w:val="Definition0"/>
        <w:rPr>
          <w:sz w:val="24"/>
        </w:rPr>
      </w:pPr>
      <w:r w:rsidRPr="00883399">
        <w:rPr>
          <w:b/>
          <w:i/>
          <w:sz w:val="24"/>
        </w:rPr>
        <w:t>municipal solid waste class I</w:t>
      </w:r>
      <w:r w:rsidRPr="00883399">
        <w:rPr>
          <w:sz w:val="24"/>
        </w:rPr>
        <w:t xml:space="preserve"> means waste from domestic premises, council collections and other municipal sources where:</w:t>
      </w:r>
    </w:p>
    <w:p w14:paraId="0A044090" w14:textId="77777777" w:rsidR="00454DE8" w:rsidRPr="00883399" w:rsidRDefault="00454DE8" w:rsidP="00454DE8">
      <w:pPr>
        <w:pStyle w:val="paragraph"/>
        <w:rPr>
          <w:sz w:val="24"/>
        </w:rPr>
      </w:pPr>
      <w:r w:rsidRPr="00883399">
        <w:rPr>
          <w:sz w:val="24"/>
        </w:rPr>
        <w:tab/>
        <w:t>(a)</w:t>
      </w:r>
      <w:r w:rsidRPr="00883399">
        <w:rPr>
          <w:sz w:val="24"/>
        </w:rPr>
        <w:tab/>
        <w:t>the collection of organic waste on a regular basis in a dedicated bin is not provided to residents of the municipality as a standard practice; or</w:t>
      </w:r>
    </w:p>
    <w:p w14:paraId="602D7834" w14:textId="77777777" w:rsidR="00454DE8" w:rsidRPr="00883399" w:rsidRDefault="00454DE8" w:rsidP="00454DE8">
      <w:pPr>
        <w:pStyle w:val="paragraph"/>
        <w:rPr>
          <w:sz w:val="24"/>
        </w:rPr>
      </w:pPr>
      <w:r w:rsidRPr="00883399">
        <w:rPr>
          <w:sz w:val="24"/>
        </w:rPr>
        <w:tab/>
        <w:t>(b)</w:t>
      </w:r>
      <w:r w:rsidRPr="00883399">
        <w:rPr>
          <w:sz w:val="24"/>
        </w:rPr>
        <w:tab/>
        <w:t>the collection of organic waste on a regular basis in a dedicated bin provided to residents of the municipality cannot be confirmed as standard practice.</w:t>
      </w:r>
    </w:p>
    <w:p w14:paraId="4B693CF4" w14:textId="77777777" w:rsidR="00454DE8" w:rsidRPr="00883399" w:rsidRDefault="00454DE8" w:rsidP="00454DE8">
      <w:pPr>
        <w:pStyle w:val="Definition0"/>
        <w:rPr>
          <w:sz w:val="24"/>
        </w:rPr>
      </w:pPr>
      <w:r w:rsidRPr="00883399">
        <w:rPr>
          <w:b/>
          <w:i/>
          <w:sz w:val="24"/>
        </w:rPr>
        <w:t xml:space="preserve">municipal solid waste class II </w:t>
      </w:r>
      <w:r w:rsidRPr="00883399">
        <w:rPr>
          <w:sz w:val="24"/>
        </w:rPr>
        <w:t>means waste from domestic premises, council collections and other municipal sources where a bin dedicated for garden waste is:</w:t>
      </w:r>
    </w:p>
    <w:p w14:paraId="1F544338" w14:textId="77777777" w:rsidR="00454DE8" w:rsidRPr="00883399" w:rsidRDefault="00454DE8" w:rsidP="00454DE8">
      <w:pPr>
        <w:pStyle w:val="paragraph"/>
        <w:rPr>
          <w:sz w:val="24"/>
        </w:rPr>
      </w:pPr>
      <w:r w:rsidRPr="00883399">
        <w:rPr>
          <w:sz w:val="24"/>
        </w:rPr>
        <w:tab/>
        <w:t>(a)</w:t>
      </w:r>
      <w:r w:rsidRPr="00883399">
        <w:rPr>
          <w:sz w:val="24"/>
        </w:rPr>
        <w:tab/>
        <w:t>provided to residents of the municipality as a standard practice; and</w:t>
      </w:r>
    </w:p>
    <w:p w14:paraId="7EA3885E" w14:textId="77777777" w:rsidR="00454DE8" w:rsidRPr="00883399" w:rsidRDefault="00454DE8" w:rsidP="00454DE8">
      <w:pPr>
        <w:pStyle w:val="paragraph"/>
        <w:rPr>
          <w:sz w:val="24"/>
        </w:rPr>
      </w:pPr>
      <w:r w:rsidRPr="00883399">
        <w:rPr>
          <w:sz w:val="24"/>
        </w:rPr>
        <w:tab/>
        <w:t>(b)</w:t>
      </w:r>
      <w:r w:rsidRPr="00883399">
        <w:rPr>
          <w:sz w:val="24"/>
        </w:rPr>
        <w:tab/>
        <w:t>collected on a regular basis.</w:t>
      </w:r>
    </w:p>
    <w:p w14:paraId="62B373DC" w14:textId="77777777" w:rsidR="00454DE8" w:rsidRPr="00883399" w:rsidRDefault="00454DE8" w:rsidP="00454DE8">
      <w:pPr>
        <w:pStyle w:val="Definition0"/>
        <w:rPr>
          <w:sz w:val="24"/>
        </w:rPr>
      </w:pPr>
      <w:r w:rsidRPr="00883399">
        <w:rPr>
          <w:b/>
          <w:i/>
          <w:sz w:val="24"/>
        </w:rPr>
        <w:t xml:space="preserve">N/A </w:t>
      </w:r>
      <w:r w:rsidRPr="00883399">
        <w:rPr>
          <w:sz w:val="24"/>
        </w:rPr>
        <w:t>means not available.</w:t>
      </w:r>
    </w:p>
    <w:p w14:paraId="1970A68D" w14:textId="77777777" w:rsidR="00454DE8" w:rsidRPr="00883399" w:rsidRDefault="00454DE8" w:rsidP="00454DE8">
      <w:pPr>
        <w:pStyle w:val="Definition0"/>
        <w:rPr>
          <w:sz w:val="24"/>
        </w:rPr>
      </w:pPr>
      <w:r w:rsidRPr="00883399">
        <w:rPr>
          <w:b/>
          <w:i/>
          <w:sz w:val="24"/>
        </w:rPr>
        <w:t xml:space="preserve">National Greenhouse Accounts </w:t>
      </w:r>
      <w:r w:rsidRPr="00883399">
        <w:rPr>
          <w:sz w:val="24"/>
        </w:rPr>
        <w:t>means the set of national greenhouse gas inventories, including the National Inventory Report 2005, submitted by the Australian government to meet its reporting commitments under the United Nations Framework Convention on Climate Change and the 1997 Kyoto Protocol to that Convention.</w:t>
      </w:r>
    </w:p>
    <w:p w14:paraId="11B22AB8" w14:textId="77777777" w:rsidR="00454DE8" w:rsidRPr="00883399" w:rsidRDefault="00454DE8" w:rsidP="00454DE8">
      <w:pPr>
        <w:pStyle w:val="Definition0"/>
        <w:rPr>
          <w:sz w:val="24"/>
        </w:rPr>
      </w:pPr>
      <w:r w:rsidRPr="00883399">
        <w:rPr>
          <w:b/>
          <w:i/>
          <w:sz w:val="24"/>
        </w:rPr>
        <w:t xml:space="preserve">natural gas </w:t>
      </w:r>
      <w:r w:rsidRPr="00883399">
        <w:rPr>
          <w:sz w:val="24"/>
        </w:rPr>
        <w:t>has the meaning given by the Regulations.</w:t>
      </w:r>
    </w:p>
    <w:p w14:paraId="7B1D90DC" w14:textId="77777777" w:rsidR="00454DE8" w:rsidRPr="00883399" w:rsidRDefault="00454DE8" w:rsidP="00454DE8">
      <w:pPr>
        <w:pStyle w:val="Definition0"/>
        <w:rPr>
          <w:sz w:val="24"/>
        </w:rPr>
      </w:pPr>
      <w:r w:rsidRPr="00883399">
        <w:rPr>
          <w:b/>
          <w:i/>
          <w:sz w:val="24"/>
        </w:rPr>
        <w:t xml:space="preserve">natural gas distribution </w:t>
      </w:r>
      <w:r w:rsidRPr="00883399">
        <w:rPr>
          <w:sz w:val="24"/>
        </w:rPr>
        <w:t>is distribution of natural gas through low</w:t>
      </w:r>
      <w:r w:rsidRPr="00883399">
        <w:rPr>
          <w:sz w:val="24"/>
        </w:rPr>
        <w:noBreakHyphen/>
        <w:t>pressure pipelines with pressure of 1 050 kilopascals or less.</w:t>
      </w:r>
    </w:p>
    <w:p w14:paraId="384B34B8" w14:textId="77777777" w:rsidR="00454DE8" w:rsidRPr="00883399" w:rsidRDefault="00454DE8" w:rsidP="00454DE8">
      <w:pPr>
        <w:pStyle w:val="Definition0"/>
        <w:rPr>
          <w:sz w:val="24"/>
        </w:rPr>
      </w:pPr>
      <w:r w:rsidRPr="00883399">
        <w:rPr>
          <w:b/>
          <w:i/>
          <w:sz w:val="24"/>
        </w:rPr>
        <w:t xml:space="preserve">natural gas liquids </w:t>
      </w:r>
      <w:r w:rsidRPr="00883399">
        <w:rPr>
          <w:sz w:val="24"/>
        </w:rPr>
        <w:t>has the meaning given by the Regulations.</w:t>
      </w:r>
    </w:p>
    <w:p w14:paraId="383246CB" w14:textId="77777777" w:rsidR="00454DE8" w:rsidRPr="00883399" w:rsidRDefault="00454DE8" w:rsidP="00454DE8">
      <w:pPr>
        <w:pStyle w:val="Definition0"/>
        <w:rPr>
          <w:sz w:val="24"/>
        </w:rPr>
      </w:pPr>
      <w:r w:rsidRPr="00883399">
        <w:rPr>
          <w:b/>
          <w:i/>
          <w:sz w:val="24"/>
        </w:rPr>
        <w:t xml:space="preserve">natural gas transmission </w:t>
      </w:r>
      <w:r w:rsidRPr="00883399">
        <w:rPr>
          <w:sz w:val="24"/>
        </w:rPr>
        <w:t>is transmission of natural gas through high</w:t>
      </w:r>
      <w:r w:rsidRPr="00883399">
        <w:rPr>
          <w:sz w:val="24"/>
        </w:rPr>
        <w:noBreakHyphen/>
        <w:t>pressure pipelines with pressure greater than 1 050 kilopascals.</w:t>
      </w:r>
    </w:p>
    <w:p w14:paraId="7BD2AC50" w14:textId="77777777" w:rsidR="00454DE8" w:rsidRPr="00883399" w:rsidRDefault="00454DE8" w:rsidP="00454DE8">
      <w:pPr>
        <w:pStyle w:val="Definition0"/>
        <w:rPr>
          <w:sz w:val="24"/>
        </w:rPr>
      </w:pPr>
      <w:r w:rsidRPr="00883399">
        <w:rPr>
          <w:b/>
          <w:i/>
          <w:sz w:val="24"/>
        </w:rPr>
        <w:t>non</w:t>
      </w:r>
      <w:r w:rsidRPr="00883399">
        <w:rPr>
          <w:b/>
          <w:i/>
          <w:sz w:val="24"/>
        </w:rPr>
        <w:noBreakHyphen/>
        <w:t xml:space="preserve">gassy mine </w:t>
      </w:r>
      <w:r w:rsidRPr="00883399">
        <w:rPr>
          <w:sz w:val="24"/>
        </w:rPr>
        <w:t>means an underground mine that has less than 0.1% methane in the mine’s return ventilation.</w:t>
      </w:r>
    </w:p>
    <w:p w14:paraId="5C297FB5" w14:textId="77777777" w:rsidR="00454DE8" w:rsidRPr="00883399" w:rsidRDefault="00454DE8" w:rsidP="00454DE8">
      <w:pPr>
        <w:pStyle w:val="Definition0"/>
        <w:rPr>
          <w:sz w:val="24"/>
        </w:rPr>
      </w:pPr>
      <w:r w:rsidRPr="00883399">
        <w:rPr>
          <w:b/>
          <w:i/>
          <w:sz w:val="24"/>
        </w:rPr>
        <w:t>non</w:t>
      </w:r>
      <w:r w:rsidRPr="00883399">
        <w:rPr>
          <w:b/>
          <w:i/>
          <w:sz w:val="24"/>
        </w:rPr>
        <w:noBreakHyphen/>
        <w:t xml:space="preserve">legacy waste </w:t>
      </w:r>
      <w:r w:rsidRPr="00883399">
        <w:rPr>
          <w:sz w:val="24"/>
        </w:rPr>
        <w:t>means waste deposited at a landfill on or after 1 July 2016.</w:t>
      </w:r>
    </w:p>
    <w:p w14:paraId="3F152C54" w14:textId="77777777" w:rsidR="00454DE8" w:rsidRPr="00883399" w:rsidRDefault="00454DE8" w:rsidP="00454DE8">
      <w:pPr>
        <w:pStyle w:val="Definition0"/>
        <w:rPr>
          <w:sz w:val="24"/>
        </w:rPr>
      </w:pPr>
      <w:r w:rsidRPr="00883399">
        <w:rPr>
          <w:b/>
          <w:i/>
          <w:sz w:val="24"/>
        </w:rPr>
        <w:t>open cut mine</w:t>
      </w:r>
      <w:r w:rsidRPr="00883399">
        <w:rPr>
          <w:sz w:val="24"/>
        </w:rPr>
        <w:t>:</w:t>
      </w:r>
    </w:p>
    <w:p w14:paraId="2A5269BC" w14:textId="77777777" w:rsidR="00454DE8" w:rsidRPr="00883399" w:rsidRDefault="00454DE8" w:rsidP="00454DE8">
      <w:pPr>
        <w:pStyle w:val="paragraph"/>
        <w:rPr>
          <w:sz w:val="24"/>
        </w:rPr>
      </w:pPr>
      <w:r w:rsidRPr="00883399">
        <w:rPr>
          <w:sz w:val="24"/>
        </w:rPr>
        <w:tab/>
        <w:t>(a)</w:t>
      </w:r>
      <w:r w:rsidRPr="00883399">
        <w:rPr>
          <w:sz w:val="24"/>
        </w:rPr>
        <w:tab/>
        <w:t>means a mine in which the overburden is removed from coal seams to allow coal extraction by mining that is not underground mining; and</w:t>
      </w:r>
    </w:p>
    <w:p w14:paraId="36AF1542" w14:textId="77777777" w:rsidR="00454DE8" w:rsidRPr="00883399" w:rsidRDefault="00454DE8" w:rsidP="00454DE8">
      <w:pPr>
        <w:pStyle w:val="paragraph"/>
        <w:rPr>
          <w:sz w:val="24"/>
        </w:rPr>
      </w:pPr>
      <w:r w:rsidRPr="00883399">
        <w:rPr>
          <w:sz w:val="24"/>
        </w:rPr>
        <w:tab/>
        <w:t>(b)</w:t>
      </w:r>
      <w:r w:rsidRPr="00883399">
        <w:rPr>
          <w:sz w:val="24"/>
        </w:rPr>
        <w:tab/>
        <w:t>for method 2 in section 3.21 or method 3 in section 3.26—includes a mine of the kind mentioned in paragraph (a):</w:t>
      </w:r>
    </w:p>
    <w:p w14:paraId="75CF5526" w14:textId="77777777" w:rsidR="00454DE8" w:rsidRPr="00883399" w:rsidRDefault="00454DE8" w:rsidP="00454DE8">
      <w:pPr>
        <w:pStyle w:val="paragraphsub"/>
        <w:rPr>
          <w:sz w:val="24"/>
        </w:rPr>
      </w:pPr>
      <w:r w:rsidRPr="00883399">
        <w:rPr>
          <w:sz w:val="24"/>
        </w:rPr>
        <w:tab/>
        <w:t>(i)</w:t>
      </w:r>
      <w:r w:rsidRPr="00883399">
        <w:rPr>
          <w:sz w:val="24"/>
        </w:rPr>
        <w:tab/>
        <w:t>for which an area has been established but coal production has not commenced; or</w:t>
      </w:r>
    </w:p>
    <w:p w14:paraId="2E027A48" w14:textId="77777777" w:rsidR="00454DE8" w:rsidRPr="00883399" w:rsidRDefault="00454DE8" w:rsidP="00454DE8">
      <w:pPr>
        <w:pStyle w:val="paragraphsub"/>
        <w:rPr>
          <w:sz w:val="24"/>
        </w:rPr>
      </w:pPr>
      <w:r w:rsidRPr="00883399">
        <w:rPr>
          <w:sz w:val="24"/>
        </w:rPr>
        <w:tab/>
        <w:t>(ii)</w:t>
      </w:r>
      <w:r w:rsidRPr="00883399">
        <w:rPr>
          <w:sz w:val="24"/>
        </w:rPr>
        <w:tab/>
        <w:t>in which coal production has commenced.</w:t>
      </w:r>
    </w:p>
    <w:p w14:paraId="3019F027" w14:textId="77777777" w:rsidR="00454DE8" w:rsidRPr="00883399" w:rsidRDefault="00454DE8" w:rsidP="00454DE8">
      <w:pPr>
        <w:pStyle w:val="Definition0"/>
        <w:rPr>
          <w:sz w:val="24"/>
        </w:rPr>
      </w:pPr>
      <w:r w:rsidRPr="00883399">
        <w:rPr>
          <w:b/>
          <w:i/>
          <w:sz w:val="24"/>
        </w:rPr>
        <w:t xml:space="preserve">PEM </w:t>
      </w:r>
      <w:r w:rsidRPr="00883399">
        <w:rPr>
          <w:sz w:val="24"/>
        </w:rPr>
        <w:t xml:space="preserve">or </w:t>
      </w:r>
      <w:r w:rsidRPr="00883399">
        <w:rPr>
          <w:b/>
          <w:i/>
          <w:sz w:val="24"/>
        </w:rPr>
        <w:t xml:space="preserve">periodic emissions monitoring </w:t>
      </w:r>
      <w:r w:rsidRPr="00883399">
        <w:rPr>
          <w:sz w:val="24"/>
        </w:rPr>
        <w:t>means periodic monitoring of emissions in accordance with Part 1.3.</w:t>
      </w:r>
    </w:p>
    <w:p w14:paraId="6E1ED365" w14:textId="77777777" w:rsidR="00454DE8" w:rsidRPr="00883399" w:rsidRDefault="00454DE8" w:rsidP="00454DE8">
      <w:pPr>
        <w:pStyle w:val="Definition0"/>
        <w:rPr>
          <w:sz w:val="24"/>
        </w:rPr>
      </w:pPr>
      <w:r w:rsidRPr="00883399">
        <w:rPr>
          <w:b/>
          <w:i/>
          <w:sz w:val="24"/>
        </w:rPr>
        <w:t xml:space="preserve">Perfluorocarbon protocol </w:t>
      </w:r>
      <w:r w:rsidRPr="00883399">
        <w:rPr>
          <w:sz w:val="24"/>
        </w:rPr>
        <w:t xml:space="preserve">means the </w:t>
      </w:r>
      <w:r w:rsidRPr="00883399">
        <w:rPr>
          <w:i/>
          <w:sz w:val="24"/>
        </w:rPr>
        <w:t>Protocol for Measurement of Tetrafluoromethane (CF</w:t>
      </w:r>
      <w:r w:rsidRPr="00883399">
        <w:rPr>
          <w:i/>
          <w:sz w:val="24"/>
          <w:vertAlign w:val="subscript"/>
        </w:rPr>
        <w:t>4</w:t>
      </w:r>
      <w:r w:rsidRPr="00883399">
        <w:rPr>
          <w:i/>
          <w:sz w:val="24"/>
        </w:rPr>
        <w:t>) and Hexafluoroethane (C</w:t>
      </w:r>
      <w:r w:rsidRPr="00883399">
        <w:rPr>
          <w:i/>
          <w:sz w:val="24"/>
          <w:vertAlign w:val="subscript"/>
        </w:rPr>
        <w:t>2</w:t>
      </w:r>
      <w:r w:rsidRPr="00883399">
        <w:rPr>
          <w:i/>
          <w:sz w:val="24"/>
        </w:rPr>
        <w:t>F</w:t>
      </w:r>
      <w:r w:rsidRPr="00883399">
        <w:rPr>
          <w:i/>
          <w:sz w:val="24"/>
          <w:vertAlign w:val="subscript"/>
        </w:rPr>
        <w:t>6</w:t>
      </w:r>
      <w:r w:rsidRPr="00883399">
        <w:rPr>
          <w:i/>
          <w:sz w:val="24"/>
        </w:rPr>
        <w:t xml:space="preserve">) Emissions from Primary Aluminium Production </w:t>
      </w:r>
      <w:r w:rsidRPr="00883399">
        <w:rPr>
          <w:sz w:val="24"/>
        </w:rPr>
        <w:t>published by the United States Environmental Protection Agency and the International Aluminium Institute.</w:t>
      </w:r>
    </w:p>
    <w:p w14:paraId="2FA0B19E" w14:textId="77777777" w:rsidR="00454DE8" w:rsidRPr="00883399" w:rsidRDefault="00454DE8" w:rsidP="00454DE8">
      <w:pPr>
        <w:pStyle w:val="Definition0"/>
        <w:rPr>
          <w:sz w:val="24"/>
        </w:rPr>
      </w:pPr>
      <w:r w:rsidRPr="00883399">
        <w:rPr>
          <w:b/>
          <w:i/>
          <w:sz w:val="24"/>
        </w:rPr>
        <w:t xml:space="preserve">petroleum based greases </w:t>
      </w:r>
      <w:r w:rsidRPr="00883399">
        <w:rPr>
          <w:sz w:val="24"/>
        </w:rPr>
        <w:t xml:space="preserve">has the meaning given by regulation 1.03 of the Regulations. </w:t>
      </w:r>
    </w:p>
    <w:p w14:paraId="42CAD1D7" w14:textId="77777777" w:rsidR="00454DE8" w:rsidRPr="00883399" w:rsidRDefault="00454DE8" w:rsidP="00454DE8">
      <w:pPr>
        <w:pStyle w:val="Definition0"/>
        <w:rPr>
          <w:sz w:val="24"/>
        </w:rPr>
      </w:pPr>
      <w:r w:rsidRPr="00883399">
        <w:rPr>
          <w:b/>
          <w:i/>
          <w:sz w:val="24"/>
        </w:rPr>
        <w:t xml:space="preserve">petroleum based oils </w:t>
      </w:r>
      <w:r w:rsidRPr="00883399">
        <w:rPr>
          <w:sz w:val="24"/>
        </w:rPr>
        <w:t>has the meaning given by the Regulations.</w:t>
      </w:r>
    </w:p>
    <w:p w14:paraId="79E0FDF8" w14:textId="77777777" w:rsidR="00454DE8" w:rsidRPr="00883399" w:rsidRDefault="00454DE8" w:rsidP="00454DE8">
      <w:pPr>
        <w:pStyle w:val="Definition0"/>
        <w:rPr>
          <w:sz w:val="24"/>
        </w:rPr>
      </w:pPr>
      <w:r w:rsidRPr="00883399">
        <w:rPr>
          <w:b/>
          <w:i/>
          <w:sz w:val="24"/>
        </w:rPr>
        <w:t xml:space="preserve">petroleum coke </w:t>
      </w:r>
      <w:r w:rsidRPr="00883399">
        <w:rPr>
          <w:sz w:val="24"/>
        </w:rPr>
        <w:t>has the meaning given by the Regulations.</w:t>
      </w:r>
    </w:p>
    <w:p w14:paraId="477BFD44" w14:textId="77777777" w:rsidR="00454DE8" w:rsidRPr="00883399" w:rsidRDefault="00454DE8" w:rsidP="00454DE8">
      <w:pPr>
        <w:pStyle w:val="Definition0"/>
        <w:rPr>
          <w:b/>
          <w:i/>
          <w:sz w:val="24"/>
        </w:rPr>
      </w:pPr>
      <w:r w:rsidRPr="00883399">
        <w:rPr>
          <w:b/>
          <w:i/>
          <w:sz w:val="24"/>
        </w:rPr>
        <w:t>phytocap</w:t>
      </w:r>
      <w:r w:rsidRPr="00883399">
        <w:rPr>
          <w:sz w:val="24"/>
        </w:rPr>
        <w:t xml:space="preserve"> means an evapotranspiration landfill capping system that makes use of soil and vegetation to store and release surface water.</w:t>
      </w:r>
    </w:p>
    <w:p w14:paraId="7AB00260" w14:textId="77777777" w:rsidR="00454DE8" w:rsidRPr="00883399" w:rsidRDefault="00454DE8" w:rsidP="00454DE8">
      <w:pPr>
        <w:pStyle w:val="Definition0"/>
        <w:rPr>
          <w:sz w:val="24"/>
        </w:rPr>
      </w:pPr>
      <w:r w:rsidRPr="00883399">
        <w:rPr>
          <w:b/>
          <w:i/>
          <w:sz w:val="24"/>
        </w:rPr>
        <w:t>post</w:t>
      </w:r>
      <w:r w:rsidRPr="00883399">
        <w:rPr>
          <w:b/>
          <w:i/>
          <w:sz w:val="24"/>
        </w:rPr>
        <w:noBreakHyphen/>
        <w:t>mining activities</w:t>
      </w:r>
      <w:r w:rsidRPr="00883399">
        <w:rPr>
          <w:sz w:val="24"/>
        </w:rPr>
        <w:t>, in relation to a mine, is the handling, stockpiling, processing and transportation of coal extracted from the mine.</w:t>
      </w:r>
    </w:p>
    <w:p w14:paraId="4D581390" w14:textId="77777777" w:rsidR="00454DE8" w:rsidRPr="00883399" w:rsidRDefault="00454DE8" w:rsidP="00454DE8">
      <w:pPr>
        <w:pStyle w:val="Definition0"/>
        <w:rPr>
          <w:sz w:val="24"/>
        </w:rPr>
      </w:pPr>
      <w:r w:rsidRPr="00883399">
        <w:rPr>
          <w:b/>
          <w:i/>
          <w:sz w:val="24"/>
        </w:rPr>
        <w:t>primary wastewater treatment plant</w:t>
      </w:r>
      <w:r w:rsidRPr="00883399">
        <w:rPr>
          <w:sz w:val="24"/>
        </w:rPr>
        <w:t>:</w:t>
      </w:r>
    </w:p>
    <w:p w14:paraId="46F34A5D" w14:textId="77777777" w:rsidR="00454DE8" w:rsidRPr="00883399" w:rsidRDefault="00454DE8" w:rsidP="00454DE8">
      <w:pPr>
        <w:pStyle w:val="paragraph"/>
        <w:rPr>
          <w:sz w:val="24"/>
        </w:rPr>
      </w:pPr>
      <w:r w:rsidRPr="00883399">
        <w:rPr>
          <w:sz w:val="24"/>
        </w:rPr>
        <w:tab/>
        <w:t>(a)</w:t>
      </w:r>
      <w:r w:rsidRPr="00883399">
        <w:rPr>
          <w:sz w:val="24"/>
        </w:rPr>
        <w:tab/>
        <w:t>means a treatment facility at which wastewater undergoes physical screening, degritting and sedimentation; and</w:t>
      </w:r>
    </w:p>
    <w:p w14:paraId="7E789D76" w14:textId="77777777" w:rsidR="00454DE8" w:rsidRPr="00883399" w:rsidRDefault="00454DE8" w:rsidP="00454DE8">
      <w:pPr>
        <w:pStyle w:val="paragraph"/>
        <w:rPr>
          <w:sz w:val="24"/>
        </w:rPr>
      </w:pPr>
      <w:r w:rsidRPr="00883399">
        <w:rPr>
          <w:sz w:val="24"/>
        </w:rPr>
        <w:tab/>
        <w:t>(b)</w:t>
      </w:r>
      <w:r w:rsidRPr="00883399">
        <w:rPr>
          <w:sz w:val="24"/>
        </w:rPr>
        <w:tab/>
        <w:t>does not include a treatment facility at which any kind of nitrification or denitrification treatment process occurs.</w:t>
      </w:r>
    </w:p>
    <w:p w14:paraId="743DA33D" w14:textId="77777777" w:rsidR="00454DE8" w:rsidRPr="00883399" w:rsidRDefault="00454DE8" w:rsidP="00454DE8">
      <w:pPr>
        <w:pStyle w:val="Definition0"/>
        <w:rPr>
          <w:sz w:val="24"/>
        </w:rPr>
      </w:pPr>
      <w:r w:rsidRPr="00883399">
        <w:rPr>
          <w:b/>
          <w:i/>
          <w:sz w:val="24"/>
        </w:rPr>
        <w:t>principal activity</w:t>
      </w:r>
      <w:r w:rsidRPr="00883399">
        <w:rPr>
          <w:sz w:val="24"/>
        </w:rPr>
        <w:t>, in relation to a facility, means the activity that:</w:t>
      </w:r>
    </w:p>
    <w:p w14:paraId="7BAC403C" w14:textId="77777777" w:rsidR="00454DE8" w:rsidRPr="00883399" w:rsidRDefault="00454DE8" w:rsidP="00454DE8">
      <w:pPr>
        <w:pStyle w:val="paragraph"/>
        <w:rPr>
          <w:sz w:val="24"/>
        </w:rPr>
      </w:pPr>
      <w:r w:rsidRPr="00883399">
        <w:rPr>
          <w:sz w:val="24"/>
        </w:rPr>
        <w:tab/>
        <w:t>(a)</w:t>
      </w:r>
      <w:r w:rsidRPr="00883399">
        <w:rPr>
          <w:sz w:val="24"/>
        </w:rPr>
        <w:tab/>
        <w:t>results in the production of a product or service that is produced for sale on the market; and</w:t>
      </w:r>
    </w:p>
    <w:p w14:paraId="1A293F5A" w14:textId="77777777" w:rsidR="00454DE8" w:rsidRPr="00883399" w:rsidRDefault="00454DE8" w:rsidP="00454DE8">
      <w:pPr>
        <w:pStyle w:val="paragraph"/>
        <w:rPr>
          <w:sz w:val="24"/>
        </w:rPr>
      </w:pPr>
      <w:r w:rsidRPr="00883399">
        <w:rPr>
          <w:sz w:val="24"/>
        </w:rPr>
        <w:tab/>
        <w:t>(b)</w:t>
      </w:r>
      <w:r w:rsidRPr="00883399">
        <w:rPr>
          <w:sz w:val="24"/>
        </w:rPr>
        <w:tab/>
        <w:t>produces the most value for the facility out of any of the activities forming part of the facility.</w:t>
      </w:r>
    </w:p>
    <w:p w14:paraId="3B70156B" w14:textId="77777777" w:rsidR="00454DE8" w:rsidRPr="00883399" w:rsidRDefault="00454DE8" w:rsidP="00454DE8">
      <w:pPr>
        <w:pStyle w:val="Definition0"/>
        <w:rPr>
          <w:sz w:val="24"/>
        </w:rPr>
      </w:pPr>
      <w:r w:rsidRPr="00883399">
        <w:rPr>
          <w:b/>
          <w:i/>
          <w:sz w:val="24"/>
        </w:rPr>
        <w:t xml:space="preserve">pyrolysis of coal </w:t>
      </w:r>
      <w:r w:rsidRPr="00883399">
        <w:rPr>
          <w:sz w:val="24"/>
        </w:rPr>
        <w:t>means the decomposition of coal by heat.</w:t>
      </w:r>
    </w:p>
    <w:p w14:paraId="55F28CC7" w14:textId="77777777" w:rsidR="00454DE8" w:rsidRPr="00883399" w:rsidRDefault="00454DE8" w:rsidP="00454DE8">
      <w:pPr>
        <w:pStyle w:val="Definition0"/>
        <w:rPr>
          <w:i/>
          <w:iCs/>
          <w:sz w:val="24"/>
          <w:szCs w:val="22"/>
        </w:rPr>
      </w:pPr>
      <w:r w:rsidRPr="00883399">
        <w:rPr>
          <w:b/>
          <w:i/>
          <w:sz w:val="24"/>
        </w:rPr>
        <w:t xml:space="preserve">raw sugar </w:t>
      </w:r>
      <w:r w:rsidRPr="00883399">
        <w:rPr>
          <w:sz w:val="24"/>
        </w:rPr>
        <w:t xml:space="preserve">has the meaning given by Chapter 17 of Section IV of Schedule 3 to the </w:t>
      </w:r>
      <w:r w:rsidRPr="00883399">
        <w:rPr>
          <w:i/>
          <w:iCs/>
          <w:sz w:val="24"/>
        </w:rPr>
        <w:t>Customs Tariff Act 1995</w:t>
      </w:r>
      <w:r w:rsidRPr="00883399">
        <w:rPr>
          <w:i/>
          <w:iCs/>
          <w:sz w:val="24"/>
          <w:szCs w:val="22"/>
        </w:rPr>
        <w:t>.</w:t>
      </w:r>
    </w:p>
    <w:p w14:paraId="550F7F24" w14:textId="77777777" w:rsidR="00454DE8" w:rsidRPr="00883399" w:rsidRDefault="00454DE8" w:rsidP="00454DE8">
      <w:pPr>
        <w:pStyle w:val="Definition0"/>
        <w:rPr>
          <w:sz w:val="24"/>
        </w:rPr>
      </w:pPr>
      <w:r w:rsidRPr="00883399">
        <w:rPr>
          <w:b/>
          <w:i/>
          <w:sz w:val="24"/>
        </w:rPr>
        <w:t>reductant</w:t>
      </w:r>
      <w:r w:rsidRPr="00883399">
        <w:rPr>
          <w:sz w:val="24"/>
        </w:rPr>
        <w:t>:</w:t>
      </w:r>
    </w:p>
    <w:p w14:paraId="4E8D618B" w14:textId="77777777" w:rsidR="00454DE8" w:rsidRPr="00883399" w:rsidRDefault="00454DE8" w:rsidP="00454DE8">
      <w:pPr>
        <w:pStyle w:val="paragraph"/>
        <w:rPr>
          <w:sz w:val="24"/>
        </w:rPr>
      </w:pPr>
      <w:r w:rsidRPr="00883399">
        <w:rPr>
          <w:sz w:val="24"/>
        </w:rPr>
        <w:tab/>
        <w:t>(a)</w:t>
      </w:r>
      <w:r w:rsidRPr="00883399">
        <w:rPr>
          <w:sz w:val="24"/>
        </w:rPr>
        <w:tab/>
        <w:t>means a reducing agent or substance:</w:t>
      </w:r>
    </w:p>
    <w:p w14:paraId="20E3E6B1" w14:textId="77777777" w:rsidR="00454DE8" w:rsidRPr="00883399" w:rsidRDefault="00454DE8" w:rsidP="00454DE8">
      <w:pPr>
        <w:pStyle w:val="paragraphsub"/>
        <w:rPr>
          <w:sz w:val="24"/>
        </w:rPr>
      </w:pPr>
      <w:r w:rsidRPr="00883399">
        <w:rPr>
          <w:sz w:val="24"/>
        </w:rPr>
        <w:tab/>
        <w:t>(i)</w:t>
      </w:r>
      <w:r w:rsidRPr="00883399">
        <w:rPr>
          <w:sz w:val="24"/>
        </w:rPr>
        <w:tab/>
        <w:t>that causes another substance to undergo reduction; and</w:t>
      </w:r>
    </w:p>
    <w:p w14:paraId="6215DBEE" w14:textId="77777777" w:rsidR="00454DE8" w:rsidRPr="00883399" w:rsidRDefault="00454DE8" w:rsidP="00454DE8">
      <w:pPr>
        <w:pStyle w:val="paragraphsub"/>
        <w:rPr>
          <w:sz w:val="24"/>
        </w:rPr>
      </w:pPr>
      <w:r w:rsidRPr="00883399">
        <w:rPr>
          <w:sz w:val="24"/>
        </w:rPr>
        <w:tab/>
        <w:t>(ii)</w:t>
      </w:r>
      <w:r w:rsidRPr="00883399">
        <w:rPr>
          <w:sz w:val="24"/>
        </w:rPr>
        <w:tab/>
        <w:t>that is oxidised while causing the substance to undergo reduction; and</w:t>
      </w:r>
    </w:p>
    <w:p w14:paraId="7BA32C2C" w14:textId="77777777" w:rsidR="00454DE8" w:rsidRPr="00883399" w:rsidRDefault="00454DE8" w:rsidP="00454DE8">
      <w:pPr>
        <w:pStyle w:val="paragraph"/>
        <w:rPr>
          <w:sz w:val="24"/>
        </w:rPr>
      </w:pPr>
      <w:r w:rsidRPr="00883399">
        <w:rPr>
          <w:sz w:val="24"/>
        </w:rPr>
        <w:tab/>
        <w:t>(b)</w:t>
      </w:r>
      <w:r w:rsidRPr="00883399">
        <w:rPr>
          <w:sz w:val="24"/>
        </w:rPr>
        <w:tab/>
        <w:t>does not include fuels that are combusted only to produce energy.</w:t>
      </w:r>
    </w:p>
    <w:p w14:paraId="3DE297B5" w14:textId="77777777" w:rsidR="00454DE8" w:rsidRPr="00883399" w:rsidRDefault="00454DE8" w:rsidP="00454DE8">
      <w:pPr>
        <w:pStyle w:val="Definition0"/>
        <w:rPr>
          <w:sz w:val="24"/>
        </w:rPr>
      </w:pPr>
      <w:r w:rsidRPr="00883399">
        <w:rPr>
          <w:b/>
          <w:i/>
          <w:sz w:val="24"/>
        </w:rPr>
        <w:t xml:space="preserve">refinery gases and liquids </w:t>
      </w:r>
      <w:r w:rsidRPr="00883399">
        <w:rPr>
          <w:sz w:val="24"/>
        </w:rPr>
        <w:t>has the meaning given by the Regulations.</w:t>
      </w:r>
    </w:p>
    <w:p w14:paraId="38E2E12E" w14:textId="77777777" w:rsidR="00454DE8" w:rsidRPr="00883399" w:rsidRDefault="00454DE8" w:rsidP="00454DE8">
      <w:pPr>
        <w:pStyle w:val="Definition0"/>
        <w:rPr>
          <w:sz w:val="24"/>
        </w:rPr>
      </w:pPr>
      <w:r w:rsidRPr="00883399">
        <w:rPr>
          <w:b/>
          <w:i/>
          <w:sz w:val="24"/>
        </w:rPr>
        <w:t xml:space="preserve">Regulations </w:t>
      </w:r>
      <w:r w:rsidRPr="00883399">
        <w:rPr>
          <w:sz w:val="24"/>
        </w:rPr>
        <w:t xml:space="preserve">means the </w:t>
      </w:r>
      <w:r w:rsidRPr="00883399">
        <w:rPr>
          <w:i/>
          <w:sz w:val="24"/>
        </w:rPr>
        <w:t>National Greenhouse and Energy Reporting Regulations 2008</w:t>
      </w:r>
      <w:r w:rsidRPr="00883399">
        <w:rPr>
          <w:sz w:val="24"/>
        </w:rPr>
        <w:t>.</w:t>
      </w:r>
    </w:p>
    <w:p w14:paraId="72E58729" w14:textId="77777777" w:rsidR="00454DE8" w:rsidRPr="00883399" w:rsidRDefault="00454DE8" w:rsidP="00454DE8">
      <w:pPr>
        <w:pStyle w:val="Definition0"/>
        <w:rPr>
          <w:sz w:val="24"/>
        </w:rPr>
      </w:pPr>
      <w:r w:rsidRPr="00883399">
        <w:rPr>
          <w:b/>
          <w:i/>
          <w:sz w:val="24"/>
        </w:rPr>
        <w:t xml:space="preserve">relevant person </w:t>
      </w:r>
      <w:r w:rsidRPr="00883399">
        <w:rPr>
          <w:sz w:val="24"/>
        </w:rPr>
        <w:t>means a person mentioned in paragraph 1.19A(a), (b), (c), (d), (e) or (f).</w:t>
      </w:r>
    </w:p>
    <w:p w14:paraId="6A7F2DD9" w14:textId="77777777" w:rsidR="00454DE8" w:rsidRPr="00883399" w:rsidRDefault="00454DE8" w:rsidP="00454DE8">
      <w:pPr>
        <w:pStyle w:val="Definition0"/>
        <w:rPr>
          <w:sz w:val="24"/>
        </w:rPr>
      </w:pPr>
      <w:r w:rsidRPr="00883399">
        <w:rPr>
          <w:b/>
          <w:i/>
          <w:sz w:val="24"/>
        </w:rPr>
        <w:t>run</w:t>
      </w:r>
      <w:r w:rsidRPr="00883399">
        <w:rPr>
          <w:b/>
          <w:i/>
          <w:sz w:val="24"/>
        </w:rPr>
        <w:noBreakHyphen/>
        <w:t>of</w:t>
      </w:r>
      <w:r w:rsidRPr="00883399">
        <w:rPr>
          <w:b/>
          <w:i/>
          <w:sz w:val="24"/>
        </w:rPr>
        <w:noBreakHyphen/>
        <w:t xml:space="preserve">mine coal </w:t>
      </w:r>
      <w:r w:rsidRPr="00883399">
        <w:rPr>
          <w:sz w:val="24"/>
        </w:rPr>
        <w:t>means coal that is produced by mining operations before screening, crushing or preparation of the coal has occurred.</w:t>
      </w:r>
    </w:p>
    <w:p w14:paraId="2C0EC4B6" w14:textId="77777777" w:rsidR="00454DE8" w:rsidRPr="00883399" w:rsidRDefault="00454DE8" w:rsidP="00454DE8">
      <w:pPr>
        <w:pStyle w:val="Definition0"/>
        <w:rPr>
          <w:sz w:val="24"/>
        </w:rPr>
      </w:pPr>
      <w:r w:rsidRPr="00883399">
        <w:rPr>
          <w:b/>
          <w:i/>
          <w:sz w:val="24"/>
        </w:rPr>
        <w:t>scope 1 emissions</w:t>
      </w:r>
      <w:r w:rsidRPr="00883399">
        <w:rPr>
          <w:sz w:val="24"/>
        </w:rPr>
        <w:t xml:space="preserve"> has the same meaning as in the Regulations.</w:t>
      </w:r>
    </w:p>
    <w:p w14:paraId="4D9D3CA7" w14:textId="77777777" w:rsidR="00454DE8" w:rsidRPr="00883399" w:rsidRDefault="00454DE8" w:rsidP="00454DE8">
      <w:pPr>
        <w:pStyle w:val="Definition0"/>
        <w:rPr>
          <w:sz w:val="24"/>
        </w:rPr>
      </w:pPr>
      <w:r w:rsidRPr="00883399">
        <w:rPr>
          <w:b/>
          <w:i/>
          <w:sz w:val="24"/>
        </w:rPr>
        <w:t>scope 2 emissions</w:t>
      </w:r>
      <w:r w:rsidRPr="00883399">
        <w:rPr>
          <w:sz w:val="24"/>
        </w:rPr>
        <w:t xml:space="preserve"> has the same meaning as in the Regulations.</w:t>
      </w:r>
    </w:p>
    <w:p w14:paraId="242CB7E6" w14:textId="77777777" w:rsidR="00454DE8" w:rsidRPr="00883399" w:rsidRDefault="00454DE8" w:rsidP="00454DE8">
      <w:pPr>
        <w:pStyle w:val="Definition0"/>
        <w:rPr>
          <w:sz w:val="24"/>
        </w:rPr>
      </w:pPr>
      <w:r w:rsidRPr="00883399">
        <w:rPr>
          <w:b/>
          <w:i/>
          <w:sz w:val="24"/>
        </w:rPr>
        <w:t>separate instance of a source</w:t>
      </w:r>
      <w:r w:rsidRPr="00883399">
        <w:rPr>
          <w:sz w:val="24"/>
        </w:rPr>
        <w:t xml:space="preserve"> has the meaning given by section 1.9A.</w:t>
      </w:r>
    </w:p>
    <w:p w14:paraId="6297B53D" w14:textId="77777777" w:rsidR="00454DE8" w:rsidRPr="00883399" w:rsidRDefault="00454DE8" w:rsidP="00454DE8">
      <w:pPr>
        <w:pStyle w:val="Definition0"/>
        <w:rPr>
          <w:sz w:val="24"/>
        </w:rPr>
      </w:pPr>
      <w:r w:rsidRPr="00883399">
        <w:rPr>
          <w:b/>
          <w:i/>
          <w:sz w:val="24"/>
        </w:rPr>
        <w:t>separate occurrence of a source</w:t>
      </w:r>
      <w:r w:rsidRPr="00883399">
        <w:rPr>
          <w:sz w:val="24"/>
        </w:rPr>
        <w:t xml:space="preserve"> has the meaning given by section 1.9B.</w:t>
      </w:r>
    </w:p>
    <w:p w14:paraId="7110D853" w14:textId="77777777" w:rsidR="00454DE8" w:rsidRPr="00883399" w:rsidRDefault="00454DE8" w:rsidP="00454DE8">
      <w:pPr>
        <w:pStyle w:val="Definition0"/>
        <w:rPr>
          <w:sz w:val="24"/>
        </w:rPr>
      </w:pPr>
      <w:r w:rsidRPr="00883399">
        <w:rPr>
          <w:b/>
          <w:i/>
          <w:sz w:val="24"/>
        </w:rPr>
        <w:t>shale gas</w:t>
      </w:r>
      <w:r w:rsidRPr="00883399">
        <w:rPr>
          <w:sz w:val="24"/>
        </w:rPr>
        <w:t xml:space="preserve"> means a substance that:</w:t>
      </w:r>
    </w:p>
    <w:p w14:paraId="2E47C8F6" w14:textId="77777777" w:rsidR="00454DE8" w:rsidRPr="00883399" w:rsidRDefault="00454DE8" w:rsidP="00454DE8">
      <w:pPr>
        <w:pStyle w:val="paragraph"/>
        <w:rPr>
          <w:sz w:val="24"/>
        </w:rPr>
      </w:pPr>
      <w:r w:rsidRPr="00883399">
        <w:rPr>
          <w:sz w:val="24"/>
        </w:rPr>
        <w:tab/>
        <w:t>(a)</w:t>
      </w:r>
      <w:r w:rsidRPr="00883399">
        <w:rPr>
          <w:sz w:val="24"/>
        </w:rPr>
        <w:tab/>
        <w:t>consists of:</w:t>
      </w:r>
    </w:p>
    <w:p w14:paraId="12F552EC" w14:textId="77777777" w:rsidR="00454DE8" w:rsidRPr="00883399" w:rsidRDefault="00454DE8" w:rsidP="00454DE8">
      <w:pPr>
        <w:pStyle w:val="paragraphsub"/>
        <w:rPr>
          <w:sz w:val="24"/>
        </w:rPr>
      </w:pPr>
      <w:r w:rsidRPr="00883399">
        <w:rPr>
          <w:sz w:val="24"/>
        </w:rPr>
        <w:tab/>
        <w:t>(i)</w:t>
      </w:r>
      <w:r w:rsidRPr="00883399">
        <w:rPr>
          <w:sz w:val="24"/>
        </w:rPr>
        <w:tab/>
        <w:t>naturally occurring hydrocarbons; or</w:t>
      </w:r>
    </w:p>
    <w:p w14:paraId="687ADB22" w14:textId="77777777" w:rsidR="00454DE8" w:rsidRPr="00883399" w:rsidRDefault="00454DE8" w:rsidP="00454DE8">
      <w:pPr>
        <w:pStyle w:val="paragraphsub"/>
        <w:rPr>
          <w:sz w:val="24"/>
        </w:rPr>
      </w:pPr>
      <w:r w:rsidRPr="00883399">
        <w:rPr>
          <w:sz w:val="24"/>
        </w:rPr>
        <w:tab/>
        <w:t>(ii)</w:t>
      </w:r>
      <w:r w:rsidRPr="00883399">
        <w:rPr>
          <w:sz w:val="24"/>
        </w:rPr>
        <w:tab/>
        <w:t>a naturally occurring mixture of hydrocarbons and non</w:t>
      </w:r>
      <w:r w:rsidRPr="00883399">
        <w:rPr>
          <w:sz w:val="24"/>
        </w:rPr>
        <w:noBreakHyphen/>
        <w:t>hydrocarbons; and</w:t>
      </w:r>
    </w:p>
    <w:p w14:paraId="4C35986B" w14:textId="77777777" w:rsidR="00454DE8" w:rsidRPr="00883399" w:rsidRDefault="00454DE8" w:rsidP="00454DE8">
      <w:pPr>
        <w:pStyle w:val="paragraph"/>
        <w:rPr>
          <w:sz w:val="24"/>
        </w:rPr>
      </w:pPr>
      <w:r w:rsidRPr="00883399">
        <w:rPr>
          <w:sz w:val="24"/>
        </w:rPr>
        <w:tab/>
        <w:t>(b)</w:t>
      </w:r>
      <w:r w:rsidRPr="00883399">
        <w:rPr>
          <w:sz w:val="24"/>
        </w:rPr>
        <w:tab/>
        <w:t>consists mainly of methane; and</w:t>
      </w:r>
    </w:p>
    <w:p w14:paraId="3F251E62" w14:textId="77777777" w:rsidR="00454DE8" w:rsidRPr="00883399" w:rsidRDefault="00454DE8" w:rsidP="00454DE8">
      <w:pPr>
        <w:pStyle w:val="paragraph"/>
        <w:rPr>
          <w:sz w:val="24"/>
        </w:rPr>
      </w:pPr>
      <w:r w:rsidRPr="00883399">
        <w:rPr>
          <w:sz w:val="24"/>
        </w:rPr>
        <w:tab/>
        <w:t>(c)</w:t>
      </w:r>
      <w:r w:rsidRPr="00883399">
        <w:rPr>
          <w:sz w:val="24"/>
        </w:rPr>
        <w:tab/>
        <w:t>is drained from shale formations.</w:t>
      </w:r>
    </w:p>
    <w:p w14:paraId="0E0B6375" w14:textId="77777777" w:rsidR="00454DE8" w:rsidRPr="00883399" w:rsidRDefault="00454DE8" w:rsidP="00454DE8">
      <w:pPr>
        <w:pStyle w:val="Definition0"/>
        <w:rPr>
          <w:sz w:val="24"/>
        </w:rPr>
      </w:pPr>
      <w:r w:rsidRPr="00883399">
        <w:rPr>
          <w:b/>
          <w:i/>
          <w:sz w:val="24"/>
        </w:rPr>
        <w:t>shredder flock</w:t>
      </w:r>
      <w:r w:rsidRPr="00883399">
        <w:rPr>
          <w:sz w:val="24"/>
        </w:rPr>
        <w:t xml:space="preserve"> means the residual waste generated from the process of scrap metal processing that ends up in landfill.</w:t>
      </w:r>
    </w:p>
    <w:p w14:paraId="65F3286A" w14:textId="77777777" w:rsidR="00454DE8" w:rsidRPr="00883399" w:rsidRDefault="00454DE8" w:rsidP="00454DE8">
      <w:pPr>
        <w:pStyle w:val="Definition0"/>
        <w:rPr>
          <w:sz w:val="24"/>
        </w:rPr>
      </w:pPr>
      <w:r w:rsidRPr="00883399">
        <w:rPr>
          <w:b/>
          <w:i/>
          <w:sz w:val="24"/>
        </w:rPr>
        <w:t xml:space="preserve">sludge biogas </w:t>
      </w:r>
      <w:r w:rsidRPr="00883399">
        <w:rPr>
          <w:sz w:val="24"/>
        </w:rPr>
        <w:t>has the meaning given by the Regulations.</w:t>
      </w:r>
    </w:p>
    <w:p w14:paraId="3C624B17" w14:textId="77777777" w:rsidR="00454DE8" w:rsidRPr="00883399" w:rsidRDefault="00454DE8" w:rsidP="00454DE8">
      <w:pPr>
        <w:pStyle w:val="Definition0"/>
        <w:rPr>
          <w:sz w:val="24"/>
        </w:rPr>
      </w:pPr>
      <w:r w:rsidRPr="00883399">
        <w:rPr>
          <w:b/>
          <w:i/>
          <w:sz w:val="24"/>
        </w:rPr>
        <w:t>sludge lagoon</w:t>
      </w:r>
      <w:r w:rsidRPr="00883399">
        <w:rPr>
          <w:sz w:val="24"/>
        </w:rPr>
        <w:t xml:space="preserve"> means a component of a wastewater treatment system that:</w:t>
      </w:r>
    </w:p>
    <w:p w14:paraId="21E7905E" w14:textId="77777777" w:rsidR="00454DE8" w:rsidRPr="00883399" w:rsidRDefault="00454DE8" w:rsidP="00454DE8">
      <w:pPr>
        <w:pStyle w:val="paragraph"/>
        <w:rPr>
          <w:sz w:val="24"/>
        </w:rPr>
      </w:pPr>
      <w:r w:rsidRPr="00883399">
        <w:rPr>
          <w:sz w:val="24"/>
        </w:rPr>
        <w:tab/>
        <w:t>(a)</w:t>
      </w:r>
      <w:r w:rsidRPr="00883399">
        <w:rPr>
          <w:sz w:val="24"/>
        </w:rPr>
        <w:tab/>
        <w:t>is used to stabilise and dry excess or wasted sludge from the liquid or solid phase treatment train of a wastewater treatment plant; and</w:t>
      </w:r>
    </w:p>
    <w:p w14:paraId="4B9A25E9" w14:textId="77777777" w:rsidR="00454DE8" w:rsidRPr="00883399" w:rsidRDefault="00454DE8" w:rsidP="00454DE8">
      <w:pPr>
        <w:pStyle w:val="paragraph"/>
        <w:rPr>
          <w:sz w:val="24"/>
        </w:rPr>
      </w:pPr>
      <w:r w:rsidRPr="00883399">
        <w:rPr>
          <w:sz w:val="24"/>
        </w:rPr>
        <w:tab/>
        <w:t>(b)</w:t>
      </w:r>
      <w:r w:rsidRPr="00883399">
        <w:rPr>
          <w:sz w:val="24"/>
        </w:rPr>
        <w:tab/>
        <w:t>involves biodegradation of COD in the form of sludge and the use of ambient climatic factors to reduce the moisture content of the sludge.</w:t>
      </w:r>
    </w:p>
    <w:p w14:paraId="73AD4B96" w14:textId="77777777" w:rsidR="00454DE8" w:rsidRPr="00883399" w:rsidRDefault="00454DE8" w:rsidP="00454DE8">
      <w:pPr>
        <w:pStyle w:val="Definition0"/>
        <w:rPr>
          <w:sz w:val="24"/>
        </w:rPr>
      </w:pPr>
      <w:r w:rsidRPr="00883399">
        <w:rPr>
          <w:b/>
          <w:i/>
          <w:sz w:val="24"/>
        </w:rPr>
        <w:t xml:space="preserve">solid fuel </w:t>
      </w:r>
      <w:r w:rsidRPr="00883399">
        <w:rPr>
          <w:sz w:val="24"/>
        </w:rPr>
        <w:t>means a fuel mentioned in column 2 of items 1 to 16 of Schedule 1 to the Regulations.</w:t>
      </w:r>
    </w:p>
    <w:p w14:paraId="5A39A191" w14:textId="77777777" w:rsidR="00454DE8" w:rsidRPr="00883399" w:rsidRDefault="00454DE8" w:rsidP="00454DE8">
      <w:pPr>
        <w:pStyle w:val="Definition0"/>
        <w:rPr>
          <w:sz w:val="24"/>
        </w:rPr>
      </w:pPr>
      <w:r w:rsidRPr="00883399">
        <w:rPr>
          <w:b/>
          <w:i/>
          <w:sz w:val="24"/>
        </w:rPr>
        <w:t xml:space="preserve">source </w:t>
      </w:r>
      <w:r w:rsidRPr="00883399">
        <w:rPr>
          <w:sz w:val="24"/>
        </w:rPr>
        <w:t>has the meaning given by section 1.10.</w:t>
      </w:r>
    </w:p>
    <w:p w14:paraId="6FF81D0D" w14:textId="77777777" w:rsidR="00454DE8" w:rsidRPr="00883399" w:rsidRDefault="00454DE8" w:rsidP="00454DE8">
      <w:pPr>
        <w:pStyle w:val="Definition0"/>
        <w:rPr>
          <w:sz w:val="24"/>
        </w:rPr>
      </w:pPr>
      <w:r w:rsidRPr="00883399">
        <w:rPr>
          <w:b/>
          <w:i/>
          <w:sz w:val="24"/>
        </w:rPr>
        <w:t>specified taxable fuel</w:t>
      </w:r>
      <w:r w:rsidRPr="00883399">
        <w:rPr>
          <w:sz w:val="24"/>
        </w:rPr>
        <w:t xml:space="preserve"> has the meaning given by regulation 3.30 of the </w:t>
      </w:r>
      <w:r w:rsidRPr="00883399">
        <w:rPr>
          <w:i/>
          <w:sz w:val="24"/>
        </w:rPr>
        <w:t>Clean Energy Regulations 2011</w:t>
      </w:r>
      <w:r w:rsidRPr="00883399">
        <w:rPr>
          <w:sz w:val="24"/>
        </w:rPr>
        <w:t>.</w:t>
      </w:r>
    </w:p>
    <w:p w14:paraId="1C7F72B6" w14:textId="77777777" w:rsidR="00454DE8" w:rsidRPr="00883399" w:rsidRDefault="00454DE8" w:rsidP="00454DE8">
      <w:pPr>
        <w:pStyle w:val="Definition0"/>
        <w:rPr>
          <w:sz w:val="24"/>
        </w:rPr>
      </w:pPr>
      <w:r w:rsidRPr="00883399">
        <w:rPr>
          <w:b/>
          <w:i/>
          <w:sz w:val="24"/>
        </w:rPr>
        <w:t xml:space="preserve">standard </w:t>
      </w:r>
      <w:r w:rsidRPr="00883399">
        <w:rPr>
          <w:sz w:val="24"/>
        </w:rPr>
        <w:t>includes a protocol, technical specification or USEPA method.</w:t>
      </w:r>
    </w:p>
    <w:p w14:paraId="606074AD" w14:textId="77777777" w:rsidR="00454DE8" w:rsidRPr="00883399" w:rsidRDefault="00454DE8" w:rsidP="00454DE8">
      <w:pPr>
        <w:pStyle w:val="Definition0"/>
        <w:rPr>
          <w:sz w:val="24"/>
        </w:rPr>
      </w:pPr>
      <w:r w:rsidRPr="00883399">
        <w:rPr>
          <w:b/>
          <w:i/>
          <w:sz w:val="24"/>
        </w:rPr>
        <w:t xml:space="preserve">standard conditions </w:t>
      </w:r>
      <w:r w:rsidRPr="00883399">
        <w:rPr>
          <w:sz w:val="24"/>
        </w:rPr>
        <w:t>has the meaning given by subsection 2.32(7).</w:t>
      </w:r>
    </w:p>
    <w:p w14:paraId="6F68F267" w14:textId="77777777" w:rsidR="00454DE8" w:rsidRPr="00883399" w:rsidRDefault="00454DE8" w:rsidP="00454DE8">
      <w:pPr>
        <w:pStyle w:val="Definition0"/>
        <w:rPr>
          <w:sz w:val="24"/>
        </w:rPr>
      </w:pPr>
      <w:r w:rsidRPr="00883399">
        <w:rPr>
          <w:b/>
          <w:i/>
          <w:sz w:val="24"/>
        </w:rPr>
        <w:t xml:space="preserve">sulphite lyes </w:t>
      </w:r>
      <w:r w:rsidRPr="00883399">
        <w:rPr>
          <w:sz w:val="24"/>
        </w:rPr>
        <w:t>has the meaning given by the Regulations.</w:t>
      </w:r>
    </w:p>
    <w:p w14:paraId="2828464A" w14:textId="77777777" w:rsidR="00454DE8" w:rsidRPr="00883399" w:rsidRDefault="00454DE8" w:rsidP="00454DE8">
      <w:pPr>
        <w:pStyle w:val="Definition0"/>
        <w:rPr>
          <w:sz w:val="24"/>
        </w:rPr>
      </w:pPr>
      <w:r w:rsidRPr="00883399">
        <w:rPr>
          <w:b/>
          <w:i/>
          <w:sz w:val="24"/>
        </w:rPr>
        <w:t>supply</w:t>
      </w:r>
      <w:r w:rsidRPr="00883399">
        <w:rPr>
          <w:sz w:val="24"/>
        </w:rPr>
        <w:t xml:space="preserve"> means supply by way of sale, exchange or gift.</w:t>
      </w:r>
    </w:p>
    <w:p w14:paraId="2C1D5BE0" w14:textId="77777777" w:rsidR="00454DE8" w:rsidRPr="00883399" w:rsidRDefault="00454DE8" w:rsidP="00454DE8">
      <w:pPr>
        <w:pStyle w:val="Definition0"/>
        <w:rPr>
          <w:sz w:val="24"/>
        </w:rPr>
      </w:pPr>
      <w:r w:rsidRPr="00883399">
        <w:rPr>
          <w:b/>
          <w:i/>
          <w:sz w:val="24"/>
        </w:rPr>
        <w:t xml:space="preserve">synthetic gas generating activities </w:t>
      </w:r>
      <w:r w:rsidRPr="00883399">
        <w:rPr>
          <w:sz w:val="24"/>
        </w:rPr>
        <w:t>has the meaning given by subsections 4.100(1) and (2).</w:t>
      </w:r>
    </w:p>
    <w:p w14:paraId="7D5A75CA" w14:textId="77777777" w:rsidR="00454DE8" w:rsidRPr="00883399" w:rsidRDefault="00454DE8" w:rsidP="00454DE8">
      <w:pPr>
        <w:pStyle w:val="Definition0"/>
        <w:rPr>
          <w:sz w:val="24"/>
        </w:rPr>
      </w:pPr>
      <w:r w:rsidRPr="00883399">
        <w:rPr>
          <w:b/>
          <w:i/>
          <w:sz w:val="24"/>
        </w:rPr>
        <w:t xml:space="preserve">technical guidelines </w:t>
      </w:r>
      <w:r w:rsidRPr="00883399">
        <w:rPr>
          <w:sz w:val="24"/>
        </w:rPr>
        <w:t xml:space="preserve">means the document published by the Department and known as the </w:t>
      </w:r>
      <w:r w:rsidRPr="00883399">
        <w:rPr>
          <w:i/>
          <w:sz w:val="24"/>
        </w:rPr>
        <w:t>National Greenhouse Energy and Reporting (Measurement) Technical Guidelines 2009</w:t>
      </w:r>
      <w:r w:rsidRPr="00883399">
        <w:rPr>
          <w:sz w:val="24"/>
        </w:rPr>
        <w:t>.</w:t>
      </w:r>
    </w:p>
    <w:p w14:paraId="1265C949" w14:textId="77777777" w:rsidR="00454DE8" w:rsidRPr="00883399" w:rsidRDefault="00454DE8" w:rsidP="00454DE8">
      <w:pPr>
        <w:pStyle w:val="Definition0"/>
        <w:rPr>
          <w:sz w:val="24"/>
        </w:rPr>
      </w:pPr>
      <w:r w:rsidRPr="00883399">
        <w:rPr>
          <w:b/>
          <w:i/>
          <w:sz w:val="24"/>
        </w:rPr>
        <w:t>tight gas</w:t>
      </w:r>
      <w:r w:rsidRPr="00883399">
        <w:rPr>
          <w:sz w:val="24"/>
        </w:rPr>
        <w:t xml:space="preserve"> means a substance that:</w:t>
      </w:r>
    </w:p>
    <w:p w14:paraId="65E7B595" w14:textId="77777777" w:rsidR="00454DE8" w:rsidRPr="00883399" w:rsidRDefault="00454DE8" w:rsidP="00454DE8">
      <w:pPr>
        <w:pStyle w:val="paragraph"/>
        <w:rPr>
          <w:sz w:val="24"/>
        </w:rPr>
      </w:pPr>
      <w:r w:rsidRPr="00883399">
        <w:rPr>
          <w:sz w:val="24"/>
        </w:rPr>
        <w:tab/>
        <w:t>(a)</w:t>
      </w:r>
      <w:r w:rsidRPr="00883399">
        <w:rPr>
          <w:sz w:val="24"/>
        </w:rPr>
        <w:tab/>
        <w:t>consists of:</w:t>
      </w:r>
    </w:p>
    <w:p w14:paraId="052DFA96" w14:textId="77777777" w:rsidR="00454DE8" w:rsidRPr="00883399" w:rsidRDefault="00454DE8" w:rsidP="00454DE8">
      <w:pPr>
        <w:pStyle w:val="paragraphsub"/>
        <w:rPr>
          <w:sz w:val="24"/>
        </w:rPr>
      </w:pPr>
      <w:r w:rsidRPr="00883399">
        <w:rPr>
          <w:sz w:val="24"/>
        </w:rPr>
        <w:tab/>
        <w:t>(i)</w:t>
      </w:r>
      <w:r w:rsidRPr="00883399">
        <w:rPr>
          <w:sz w:val="24"/>
        </w:rPr>
        <w:tab/>
        <w:t>naturally occurring hydrocarbons; or</w:t>
      </w:r>
    </w:p>
    <w:p w14:paraId="4FF2FDB8" w14:textId="77777777" w:rsidR="00454DE8" w:rsidRPr="00883399" w:rsidRDefault="00454DE8" w:rsidP="00454DE8">
      <w:pPr>
        <w:pStyle w:val="paragraphsub"/>
        <w:rPr>
          <w:sz w:val="24"/>
        </w:rPr>
      </w:pPr>
      <w:r w:rsidRPr="00883399">
        <w:rPr>
          <w:sz w:val="24"/>
        </w:rPr>
        <w:tab/>
        <w:t>(ii)</w:t>
      </w:r>
      <w:r w:rsidRPr="00883399">
        <w:rPr>
          <w:sz w:val="24"/>
        </w:rPr>
        <w:tab/>
        <w:t>a naturally occurring mixture of hydrocarbons and non</w:t>
      </w:r>
      <w:r w:rsidRPr="00883399">
        <w:rPr>
          <w:sz w:val="24"/>
        </w:rPr>
        <w:noBreakHyphen/>
        <w:t>hydrocarbons; and</w:t>
      </w:r>
    </w:p>
    <w:p w14:paraId="37FC62A5" w14:textId="77777777" w:rsidR="00454DE8" w:rsidRPr="00883399" w:rsidRDefault="00454DE8" w:rsidP="00454DE8">
      <w:pPr>
        <w:pStyle w:val="paragraph"/>
        <w:rPr>
          <w:sz w:val="24"/>
        </w:rPr>
      </w:pPr>
      <w:r w:rsidRPr="00883399">
        <w:rPr>
          <w:sz w:val="24"/>
        </w:rPr>
        <w:tab/>
        <w:t>(b)</w:t>
      </w:r>
      <w:r w:rsidRPr="00883399">
        <w:rPr>
          <w:sz w:val="24"/>
        </w:rPr>
        <w:tab/>
        <w:t>consists mainly of methane; and</w:t>
      </w:r>
    </w:p>
    <w:p w14:paraId="686135DF" w14:textId="77777777" w:rsidR="00454DE8" w:rsidRPr="00883399" w:rsidRDefault="00454DE8" w:rsidP="00454DE8">
      <w:pPr>
        <w:pStyle w:val="paragraph"/>
        <w:rPr>
          <w:sz w:val="24"/>
        </w:rPr>
      </w:pPr>
      <w:r w:rsidRPr="00883399">
        <w:rPr>
          <w:sz w:val="24"/>
        </w:rPr>
        <w:tab/>
        <w:t>(c)</w:t>
      </w:r>
      <w:r w:rsidRPr="00883399">
        <w:rPr>
          <w:sz w:val="24"/>
        </w:rPr>
        <w:tab/>
        <w:t>is drained from low permeability sandstone and limestone reservoirs.</w:t>
      </w:r>
    </w:p>
    <w:p w14:paraId="745C955C" w14:textId="77777777" w:rsidR="00454DE8" w:rsidRPr="00883399" w:rsidRDefault="00454DE8" w:rsidP="00454DE8">
      <w:pPr>
        <w:pStyle w:val="Definition0"/>
        <w:rPr>
          <w:sz w:val="24"/>
        </w:rPr>
      </w:pPr>
      <w:r w:rsidRPr="00883399">
        <w:rPr>
          <w:b/>
          <w:i/>
          <w:sz w:val="24"/>
        </w:rPr>
        <w:t xml:space="preserve">uncertainty protocol </w:t>
      </w:r>
      <w:r w:rsidRPr="00883399">
        <w:rPr>
          <w:sz w:val="24"/>
        </w:rPr>
        <w:t xml:space="preserve">means the publication known as the </w:t>
      </w:r>
      <w:r w:rsidRPr="00883399">
        <w:rPr>
          <w:i/>
          <w:sz w:val="24"/>
        </w:rPr>
        <w:t xml:space="preserve">GHG protocol guidance on uncertainty assessment in GHG inventories and calculating statistical parameter uncertainty </w:t>
      </w:r>
      <w:r w:rsidRPr="00883399">
        <w:rPr>
          <w:sz w:val="24"/>
        </w:rPr>
        <w:t>(September 2003) v1.0 issued by the World Resources Institute and the World Business Council for Sustainable Development.</w:t>
      </w:r>
    </w:p>
    <w:p w14:paraId="1EDAD319" w14:textId="77777777" w:rsidR="00454DE8" w:rsidRPr="00883399" w:rsidRDefault="00454DE8" w:rsidP="00454DE8">
      <w:pPr>
        <w:pStyle w:val="Definition0"/>
        <w:rPr>
          <w:sz w:val="24"/>
        </w:rPr>
      </w:pPr>
      <w:r w:rsidRPr="00883399">
        <w:rPr>
          <w:b/>
          <w:i/>
          <w:sz w:val="24"/>
        </w:rPr>
        <w:t xml:space="preserve">underground mine </w:t>
      </w:r>
      <w:r w:rsidRPr="00883399">
        <w:rPr>
          <w:sz w:val="24"/>
        </w:rPr>
        <w:t>means a coal mine that allows extraction of coal by mining at depth, after entry by shaft, adit or drift, without the removal of overburden.</w:t>
      </w:r>
    </w:p>
    <w:p w14:paraId="4BE1367B" w14:textId="77777777" w:rsidR="00454DE8" w:rsidRPr="00883399" w:rsidRDefault="00454DE8" w:rsidP="00454DE8">
      <w:pPr>
        <w:pStyle w:val="Definition0"/>
        <w:rPr>
          <w:sz w:val="24"/>
        </w:rPr>
      </w:pPr>
      <w:r w:rsidRPr="00883399">
        <w:rPr>
          <w:b/>
          <w:i/>
          <w:sz w:val="24"/>
        </w:rPr>
        <w:t xml:space="preserve">USEPA </w:t>
      </w:r>
      <w:r w:rsidRPr="00883399">
        <w:rPr>
          <w:sz w:val="24"/>
        </w:rPr>
        <w:t>followed by a reference to a method (for example, Method 3C) means a standard of that description issued by the United States Environmental Protection Agency.</w:t>
      </w:r>
    </w:p>
    <w:p w14:paraId="19F3E2B4" w14:textId="77777777" w:rsidR="00454DE8" w:rsidRPr="00883399" w:rsidRDefault="00454DE8" w:rsidP="00454DE8">
      <w:pPr>
        <w:pStyle w:val="Definition0"/>
        <w:rPr>
          <w:sz w:val="24"/>
        </w:rPr>
      </w:pPr>
      <w:r w:rsidRPr="00883399">
        <w:rPr>
          <w:b/>
          <w:i/>
          <w:sz w:val="24"/>
        </w:rPr>
        <w:t xml:space="preserve">waxes </w:t>
      </w:r>
      <w:r w:rsidRPr="00883399">
        <w:rPr>
          <w:sz w:val="24"/>
        </w:rPr>
        <w:t>has the meaning given by the Regulations.</w:t>
      </w:r>
    </w:p>
    <w:p w14:paraId="3C4CDAF3" w14:textId="77777777" w:rsidR="00454DE8" w:rsidRPr="00883399" w:rsidRDefault="00454DE8" w:rsidP="00454DE8">
      <w:pPr>
        <w:pStyle w:val="Definition0"/>
        <w:rPr>
          <w:sz w:val="24"/>
        </w:rPr>
      </w:pPr>
      <w:r w:rsidRPr="00883399">
        <w:rPr>
          <w:b/>
          <w:i/>
          <w:sz w:val="24"/>
        </w:rPr>
        <w:t>well completion</w:t>
      </w:r>
      <w:r w:rsidRPr="00883399">
        <w:rPr>
          <w:sz w:val="24"/>
        </w:rPr>
        <w:t xml:space="preserve"> means the period that:</w:t>
      </w:r>
    </w:p>
    <w:p w14:paraId="6B7861A9" w14:textId="77777777" w:rsidR="00454DE8" w:rsidRPr="00883399" w:rsidRDefault="00454DE8" w:rsidP="00454DE8">
      <w:pPr>
        <w:pStyle w:val="paragraph"/>
        <w:rPr>
          <w:sz w:val="24"/>
        </w:rPr>
      </w:pPr>
      <w:r w:rsidRPr="00883399">
        <w:rPr>
          <w:sz w:val="24"/>
        </w:rPr>
        <w:tab/>
        <w:t>(a)</w:t>
      </w:r>
      <w:r w:rsidRPr="00883399">
        <w:rPr>
          <w:sz w:val="24"/>
        </w:rPr>
        <w:tab/>
        <w:t>begins on the initial gas flow in the well; and</w:t>
      </w:r>
    </w:p>
    <w:p w14:paraId="044771E1" w14:textId="77777777" w:rsidR="00454DE8" w:rsidRPr="00883399" w:rsidRDefault="00454DE8" w:rsidP="00454DE8">
      <w:pPr>
        <w:pStyle w:val="paragraph"/>
        <w:rPr>
          <w:sz w:val="24"/>
        </w:rPr>
      </w:pPr>
      <w:r w:rsidRPr="00883399">
        <w:rPr>
          <w:sz w:val="24"/>
        </w:rPr>
        <w:tab/>
        <w:t>(b)</w:t>
      </w:r>
      <w:r w:rsidRPr="00883399">
        <w:rPr>
          <w:sz w:val="24"/>
        </w:rPr>
        <w:tab/>
        <w:t>ends on whichever of the following occurs first:</w:t>
      </w:r>
    </w:p>
    <w:p w14:paraId="43E8845A" w14:textId="77777777" w:rsidR="00454DE8" w:rsidRPr="00883399" w:rsidRDefault="00454DE8" w:rsidP="00454DE8">
      <w:pPr>
        <w:pStyle w:val="paragraphsub"/>
        <w:rPr>
          <w:sz w:val="24"/>
        </w:rPr>
      </w:pPr>
      <w:r w:rsidRPr="00883399">
        <w:rPr>
          <w:sz w:val="24"/>
        </w:rPr>
        <w:tab/>
        <w:t>(i)</w:t>
      </w:r>
      <w:r w:rsidRPr="00883399">
        <w:rPr>
          <w:sz w:val="24"/>
        </w:rPr>
        <w:tab/>
        <w:t>well shut in; or</w:t>
      </w:r>
    </w:p>
    <w:p w14:paraId="4A2A52B4" w14:textId="77777777" w:rsidR="00454DE8" w:rsidRPr="00883399" w:rsidRDefault="00454DE8" w:rsidP="00454DE8">
      <w:pPr>
        <w:pStyle w:val="paragraphsub"/>
        <w:rPr>
          <w:sz w:val="24"/>
        </w:rPr>
      </w:pPr>
      <w:r w:rsidRPr="00883399">
        <w:rPr>
          <w:sz w:val="24"/>
        </w:rPr>
        <w:tab/>
        <w:t>(ii)</w:t>
      </w:r>
      <w:r w:rsidRPr="00883399">
        <w:rPr>
          <w:sz w:val="24"/>
        </w:rPr>
        <w:tab/>
        <w:t>continuous gas flow from the well to a flow line or a storage vessel for collection.</w:t>
      </w:r>
    </w:p>
    <w:p w14:paraId="54B38D58" w14:textId="77777777" w:rsidR="00454DE8" w:rsidRPr="00883399" w:rsidRDefault="00454DE8" w:rsidP="00454DE8">
      <w:pPr>
        <w:pStyle w:val="Definition0"/>
        <w:rPr>
          <w:sz w:val="24"/>
        </w:rPr>
      </w:pPr>
      <w:r w:rsidRPr="00883399">
        <w:rPr>
          <w:b/>
          <w:i/>
          <w:sz w:val="24"/>
        </w:rPr>
        <w:t>well workover</w:t>
      </w:r>
      <w:r w:rsidRPr="00883399">
        <w:rPr>
          <w:sz w:val="24"/>
        </w:rPr>
        <w:t xml:space="preserve"> means the period that:</w:t>
      </w:r>
    </w:p>
    <w:p w14:paraId="07424D87" w14:textId="77777777" w:rsidR="00454DE8" w:rsidRPr="00883399" w:rsidRDefault="00454DE8" w:rsidP="00454DE8">
      <w:pPr>
        <w:pStyle w:val="paragraph"/>
        <w:rPr>
          <w:sz w:val="24"/>
        </w:rPr>
      </w:pPr>
      <w:r w:rsidRPr="00883399">
        <w:rPr>
          <w:sz w:val="24"/>
        </w:rPr>
        <w:tab/>
        <w:t>(a)</w:t>
      </w:r>
      <w:r w:rsidRPr="00883399">
        <w:rPr>
          <w:sz w:val="24"/>
        </w:rPr>
        <w:tab/>
        <w:t>begins on the initial gas flow in the well that follows remedial operations to increase the well’s production; and</w:t>
      </w:r>
    </w:p>
    <w:p w14:paraId="15A4DE61" w14:textId="77777777" w:rsidR="00454DE8" w:rsidRPr="00883399" w:rsidRDefault="00454DE8" w:rsidP="00454DE8">
      <w:pPr>
        <w:pStyle w:val="paragraph"/>
        <w:rPr>
          <w:sz w:val="24"/>
        </w:rPr>
      </w:pPr>
      <w:r w:rsidRPr="00883399">
        <w:rPr>
          <w:sz w:val="24"/>
        </w:rPr>
        <w:tab/>
        <w:t>(b)</w:t>
      </w:r>
      <w:r w:rsidRPr="00883399">
        <w:rPr>
          <w:sz w:val="24"/>
        </w:rPr>
        <w:tab/>
        <w:t>ends on whichever of the following occurs first:</w:t>
      </w:r>
    </w:p>
    <w:p w14:paraId="70F3FAC3" w14:textId="77777777" w:rsidR="00454DE8" w:rsidRPr="00883399" w:rsidRDefault="00454DE8" w:rsidP="00454DE8">
      <w:pPr>
        <w:pStyle w:val="paragraphsub"/>
        <w:rPr>
          <w:sz w:val="24"/>
        </w:rPr>
      </w:pPr>
      <w:r w:rsidRPr="00883399">
        <w:rPr>
          <w:sz w:val="24"/>
        </w:rPr>
        <w:tab/>
        <w:t>(i)</w:t>
      </w:r>
      <w:r w:rsidRPr="00883399">
        <w:rPr>
          <w:sz w:val="24"/>
        </w:rPr>
        <w:tab/>
        <w:t>well shut in; or</w:t>
      </w:r>
    </w:p>
    <w:p w14:paraId="5AE80EA3" w14:textId="77777777" w:rsidR="00454DE8" w:rsidRPr="00883399" w:rsidRDefault="00454DE8" w:rsidP="00454DE8">
      <w:pPr>
        <w:pStyle w:val="paragraphsub"/>
        <w:rPr>
          <w:sz w:val="24"/>
        </w:rPr>
      </w:pPr>
      <w:r w:rsidRPr="00883399">
        <w:rPr>
          <w:sz w:val="24"/>
        </w:rPr>
        <w:tab/>
        <w:t>(ii)</w:t>
      </w:r>
      <w:r w:rsidRPr="00883399">
        <w:rPr>
          <w:sz w:val="24"/>
        </w:rPr>
        <w:tab/>
        <w:t>continuous gas flow from the well to a flow line or a storage vessel for collection.</w:t>
      </w:r>
    </w:p>
    <w:p w14:paraId="1386708A" w14:textId="77777777" w:rsidR="00454DE8" w:rsidRPr="00883399" w:rsidRDefault="00454DE8" w:rsidP="00454DE8">
      <w:pPr>
        <w:pStyle w:val="Definition0"/>
        <w:rPr>
          <w:sz w:val="24"/>
        </w:rPr>
      </w:pPr>
      <w:r w:rsidRPr="00883399">
        <w:rPr>
          <w:b/>
          <w:i/>
          <w:sz w:val="24"/>
        </w:rPr>
        <w:t xml:space="preserve">year </w:t>
      </w:r>
      <w:r w:rsidRPr="00883399">
        <w:rPr>
          <w:sz w:val="24"/>
        </w:rPr>
        <w:t>means a financial year.</w:t>
      </w:r>
    </w:p>
    <w:p w14:paraId="27981223" w14:textId="77777777" w:rsidR="00454DE8" w:rsidRPr="00883399" w:rsidRDefault="00454DE8" w:rsidP="00454DE8">
      <w:pPr>
        <w:pStyle w:val="notetext"/>
        <w:rPr>
          <w:sz w:val="20"/>
        </w:rPr>
      </w:pPr>
      <w:r w:rsidRPr="00883399">
        <w:rPr>
          <w:sz w:val="20"/>
        </w:rPr>
        <w:t>Note:</w:t>
      </w:r>
      <w:r w:rsidRPr="00883399">
        <w:rPr>
          <w:sz w:val="20"/>
        </w:rPr>
        <w:tab/>
        <w:t>The following expressions in this Determination are defined in the Act:</w:t>
      </w:r>
    </w:p>
    <w:p w14:paraId="0FFC7E71" w14:textId="77777777" w:rsidR="00454DE8" w:rsidRPr="00883399" w:rsidRDefault="00454DE8" w:rsidP="00454DE8">
      <w:pPr>
        <w:pStyle w:val="notepara1"/>
        <w:rPr>
          <w:sz w:val="20"/>
        </w:rPr>
      </w:pPr>
      <w:r w:rsidRPr="00883399">
        <w:rPr>
          <w:sz w:val="20"/>
        </w:rPr>
        <w:sym w:font="Symbol" w:char="F0B7"/>
      </w:r>
      <w:r w:rsidRPr="00883399">
        <w:rPr>
          <w:sz w:val="20"/>
        </w:rPr>
        <w:tab/>
        <w:t>carbon dioxide equivalence</w:t>
      </w:r>
    </w:p>
    <w:p w14:paraId="648B7197" w14:textId="77777777" w:rsidR="00454DE8" w:rsidRPr="00883399" w:rsidRDefault="00454DE8" w:rsidP="00454DE8">
      <w:pPr>
        <w:pStyle w:val="notepara1"/>
        <w:rPr>
          <w:sz w:val="20"/>
        </w:rPr>
      </w:pPr>
      <w:r w:rsidRPr="00883399">
        <w:rPr>
          <w:sz w:val="20"/>
        </w:rPr>
        <w:sym w:font="Symbol" w:char="F0B7"/>
      </w:r>
      <w:r w:rsidRPr="00883399">
        <w:rPr>
          <w:sz w:val="20"/>
        </w:rPr>
        <w:tab/>
        <w:t>consumption of energy (see also regulation 2.26 of the Regulations)</w:t>
      </w:r>
    </w:p>
    <w:p w14:paraId="5491A511" w14:textId="77777777" w:rsidR="00454DE8" w:rsidRPr="00883399" w:rsidRDefault="00454DE8" w:rsidP="00454DE8">
      <w:pPr>
        <w:pStyle w:val="notepara1"/>
        <w:rPr>
          <w:sz w:val="20"/>
        </w:rPr>
      </w:pPr>
      <w:r w:rsidRPr="00883399">
        <w:rPr>
          <w:sz w:val="20"/>
        </w:rPr>
        <w:sym w:font="Symbol" w:char="F0B7"/>
      </w:r>
      <w:r w:rsidRPr="00883399">
        <w:rPr>
          <w:sz w:val="20"/>
        </w:rPr>
        <w:tab/>
        <w:t>energy</w:t>
      </w:r>
    </w:p>
    <w:p w14:paraId="727656A3" w14:textId="77777777" w:rsidR="00454DE8" w:rsidRPr="00883399" w:rsidRDefault="00454DE8" w:rsidP="00454DE8">
      <w:pPr>
        <w:pStyle w:val="notepara1"/>
        <w:rPr>
          <w:sz w:val="20"/>
        </w:rPr>
      </w:pPr>
      <w:r w:rsidRPr="00883399">
        <w:rPr>
          <w:sz w:val="20"/>
        </w:rPr>
        <w:sym w:font="Symbol" w:char="F0B7"/>
      </w:r>
      <w:r w:rsidRPr="00883399">
        <w:rPr>
          <w:sz w:val="20"/>
        </w:rPr>
        <w:tab/>
        <w:t>facility</w:t>
      </w:r>
    </w:p>
    <w:p w14:paraId="40E6A6C6" w14:textId="77777777" w:rsidR="00454DE8" w:rsidRPr="00883399" w:rsidRDefault="00454DE8" w:rsidP="00454DE8">
      <w:pPr>
        <w:pStyle w:val="notepara1"/>
        <w:rPr>
          <w:sz w:val="20"/>
        </w:rPr>
      </w:pPr>
      <w:r w:rsidRPr="00883399">
        <w:rPr>
          <w:sz w:val="20"/>
        </w:rPr>
        <w:sym w:font="Symbol" w:char="F0B7"/>
      </w:r>
      <w:r w:rsidRPr="00883399">
        <w:rPr>
          <w:sz w:val="20"/>
        </w:rPr>
        <w:tab/>
        <w:t>greenhouse gas</w:t>
      </w:r>
    </w:p>
    <w:p w14:paraId="6B98C1A2" w14:textId="77777777" w:rsidR="00454DE8" w:rsidRPr="00883399" w:rsidRDefault="00454DE8" w:rsidP="00454DE8">
      <w:pPr>
        <w:pStyle w:val="notepara1"/>
        <w:rPr>
          <w:sz w:val="20"/>
        </w:rPr>
      </w:pPr>
      <w:r w:rsidRPr="00883399">
        <w:rPr>
          <w:sz w:val="20"/>
        </w:rPr>
        <w:sym w:font="Symbol" w:char="F0B7"/>
      </w:r>
      <w:r w:rsidRPr="00883399">
        <w:rPr>
          <w:sz w:val="20"/>
        </w:rPr>
        <w:tab/>
        <w:t>group</w:t>
      </w:r>
    </w:p>
    <w:p w14:paraId="5E495D89" w14:textId="77777777" w:rsidR="00454DE8" w:rsidRPr="00883399" w:rsidRDefault="00454DE8" w:rsidP="00454DE8">
      <w:pPr>
        <w:pStyle w:val="notepara1"/>
        <w:rPr>
          <w:sz w:val="20"/>
        </w:rPr>
      </w:pPr>
      <w:r w:rsidRPr="00883399">
        <w:rPr>
          <w:sz w:val="20"/>
        </w:rPr>
        <w:sym w:font="Symbol" w:char="F0B7"/>
      </w:r>
      <w:r w:rsidRPr="00883399">
        <w:rPr>
          <w:sz w:val="20"/>
        </w:rPr>
        <w:tab/>
        <w:t>industry sector</w:t>
      </w:r>
    </w:p>
    <w:p w14:paraId="3F962A02" w14:textId="77777777" w:rsidR="00454DE8" w:rsidRPr="00883399" w:rsidRDefault="00454DE8" w:rsidP="00454DE8">
      <w:pPr>
        <w:pStyle w:val="notepara1"/>
        <w:rPr>
          <w:sz w:val="20"/>
        </w:rPr>
      </w:pPr>
      <w:r w:rsidRPr="00883399">
        <w:rPr>
          <w:sz w:val="20"/>
        </w:rPr>
        <w:sym w:font="Symbol" w:char="F0B7"/>
      </w:r>
      <w:r w:rsidRPr="00883399">
        <w:rPr>
          <w:sz w:val="20"/>
        </w:rPr>
        <w:tab/>
        <w:t>operational control</w:t>
      </w:r>
    </w:p>
    <w:p w14:paraId="7ED67560" w14:textId="77777777" w:rsidR="00454DE8" w:rsidRPr="00883399" w:rsidRDefault="00454DE8" w:rsidP="00454DE8">
      <w:pPr>
        <w:pStyle w:val="notepara1"/>
        <w:rPr>
          <w:sz w:val="20"/>
        </w:rPr>
      </w:pPr>
      <w:r w:rsidRPr="00883399">
        <w:rPr>
          <w:sz w:val="20"/>
        </w:rPr>
        <w:sym w:font="Symbol" w:char="F0B7"/>
      </w:r>
      <w:r w:rsidRPr="00883399">
        <w:rPr>
          <w:sz w:val="20"/>
        </w:rPr>
        <w:tab/>
        <w:t>potential greenhouse gas emissions</w:t>
      </w:r>
    </w:p>
    <w:p w14:paraId="0461DE3D" w14:textId="77777777" w:rsidR="00454DE8" w:rsidRPr="00883399" w:rsidRDefault="00454DE8" w:rsidP="00454DE8">
      <w:pPr>
        <w:pStyle w:val="notepara1"/>
        <w:rPr>
          <w:sz w:val="20"/>
        </w:rPr>
      </w:pPr>
      <w:r w:rsidRPr="00883399">
        <w:rPr>
          <w:sz w:val="20"/>
        </w:rPr>
        <w:sym w:font="Symbol" w:char="F0B7"/>
      </w:r>
      <w:r w:rsidRPr="00883399">
        <w:rPr>
          <w:sz w:val="20"/>
        </w:rPr>
        <w:tab/>
        <w:t>production of energy (see also regulation 2.25 of the Regulations)</w:t>
      </w:r>
    </w:p>
    <w:p w14:paraId="39976F1A" w14:textId="77777777" w:rsidR="00454DE8" w:rsidRPr="00883399" w:rsidRDefault="00454DE8" w:rsidP="00454DE8">
      <w:pPr>
        <w:pStyle w:val="notepara1"/>
        <w:rPr>
          <w:sz w:val="20"/>
        </w:rPr>
      </w:pPr>
      <w:r w:rsidRPr="00883399">
        <w:rPr>
          <w:sz w:val="20"/>
        </w:rPr>
        <w:sym w:font="Symbol" w:char="F0B7"/>
      </w:r>
      <w:r w:rsidRPr="00883399">
        <w:rPr>
          <w:sz w:val="20"/>
        </w:rPr>
        <w:tab/>
        <w:t>registered corporation</w:t>
      </w:r>
    </w:p>
    <w:p w14:paraId="018E00FB" w14:textId="77777777" w:rsidR="00454DE8" w:rsidRPr="00883399" w:rsidRDefault="00454DE8" w:rsidP="00454DE8">
      <w:pPr>
        <w:pStyle w:val="notepara1"/>
        <w:rPr>
          <w:sz w:val="20"/>
        </w:rPr>
      </w:pPr>
      <w:r w:rsidRPr="00883399">
        <w:rPr>
          <w:sz w:val="20"/>
        </w:rPr>
        <w:sym w:font="Symbol" w:char="F0B7"/>
      </w:r>
      <w:r w:rsidRPr="00883399">
        <w:rPr>
          <w:sz w:val="20"/>
        </w:rPr>
        <w:tab/>
        <w:t>scope 1 emission (see also regulation 2.23 of the Regulations)</w:t>
      </w:r>
    </w:p>
    <w:p w14:paraId="3FC84A11" w14:textId="77777777" w:rsidR="00454DE8" w:rsidRPr="00883399" w:rsidRDefault="00454DE8" w:rsidP="00454DE8">
      <w:pPr>
        <w:pStyle w:val="notepara1"/>
        <w:rPr>
          <w:sz w:val="20"/>
        </w:rPr>
      </w:pPr>
      <w:r w:rsidRPr="00883399">
        <w:rPr>
          <w:sz w:val="20"/>
        </w:rPr>
        <w:sym w:font="Symbol" w:char="F0B7"/>
      </w:r>
      <w:r w:rsidRPr="00883399">
        <w:rPr>
          <w:sz w:val="20"/>
        </w:rPr>
        <w:tab/>
        <w:t>scope 2 emission (see also regulation 2.24 of the Regulations).</w:t>
      </w:r>
    </w:p>
    <w:p w14:paraId="01CE4074" w14:textId="77777777" w:rsidR="007261F7" w:rsidRPr="00883399" w:rsidRDefault="007261F7"/>
    <w:p w14:paraId="608B4BA6" w14:textId="77777777" w:rsidR="00212702" w:rsidRPr="00883399" w:rsidRDefault="00212702">
      <w:pPr>
        <w:rPr>
          <w:b/>
        </w:rPr>
      </w:pPr>
    </w:p>
    <w:p w14:paraId="5AE21146" w14:textId="77777777" w:rsidR="00A527B9" w:rsidRPr="00883399" w:rsidRDefault="00A527B9">
      <w:pPr>
        <w:rPr>
          <w:b/>
        </w:rPr>
      </w:pPr>
      <w:r w:rsidRPr="00883399">
        <w:rPr>
          <w:b/>
        </w:rPr>
        <w:br w:type="page"/>
      </w:r>
    </w:p>
    <w:p w14:paraId="2DBD7F7A" w14:textId="77777777" w:rsidR="007261F7" w:rsidRPr="00883399" w:rsidRDefault="00212702" w:rsidP="00466A53">
      <w:pPr>
        <w:outlineLvl w:val="0"/>
        <w:rPr>
          <w:b/>
        </w:rPr>
      </w:pPr>
      <w:r w:rsidRPr="00883399">
        <w:rPr>
          <w:b/>
        </w:rPr>
        <w:t>Interpretation</w:t>
      </w:r>
    </w:p>
    <w:p w14:paraId="59D02504" w14:textId="77777777" w:rsidR="000A2823" w:rsidRPr="00883399" w:rsidRDefault="000A2823" w:rsidP="000A2823">
      <w:pPr>
        <w:pStyle w:val="R2"/>
        <w:ind w:hanging="4"/>
        <w:rPr>
          <w:color w:val="000000"/>
        </w:rPr>
      </w:pPr>
      <w:r w:rsidRPr="00883399">
        <w:rPr>
          <w:b/>
          <w:i/>
          <w:color w:val="000000"/>
        </w:rPr>
        <w:t>Ethanol</w:t>
      </w:r>
      <w:r w:rsidRPr="00883399">
        <w:rPr>
          <w:color w:val="000000"/>
        </w:rPr>
        <w:t xml:space="preserve"> </w:t>
      </w:r>
      <w:r w:rsidR="00EA426A" w:rsidRPr="00883399">
        <w:rPr>
          <w:color w:val="000000"/>
        </w:rPr>
        <w:t xml:space="preserve">is </w:t>
      </w:r>
      <w:r w:rsidRPr="00883399">
        <w:rPr>
          <w:color w:val="000000"/>
        </w:rPr>
        <w:t xml:space="preserve">the part of the fuel that relates to the </w:t>
      </w:r>
      <w:r w:rsidR="00902A41" w:rsidRPr="00883399">
        <w:rPr>
          <w:color w:val="000000"/>
        </w:rPr>
        <w:t>quantities</w:t>
      </w:r>
      <w:r w:rsidRPr="00883399">
        <w:rPr>
          <w:color w:val="000000"/>
        </w:rPr>
        <w:t xml:space="preserve"> of biofuel and not to the total volume of liquids into which the biofuels are blended. Emission and energy content factors</w:t>
      </w:r>
      <w:r w:rsidR="00EB4B93" w:rsidRPr="00883399">
        <w:rPr>
          <w:color w:val="000000"/>
        </w:rPr>
        <w:t xml:space="preserve"> for ethanol</w:t>
      </w:r>
      <w:r w:rsidRPr="00883399">
        <w:rPr>
          <w:color w:val="000000"/>
        </w:rPr>
        <w:t xml:space="preserve"> apply to pure ethanol and not ‘denatured’ ethanol.</w:t>
      </w:r>
    </w:p>
    <w:p w14:paraId="2128DF0D" w14:textId="77777777" w:rsidR="000A2823" w:rsidRPr="00883399" w:rsidRDefault="00694A36" w:rsidP="000A2823">
      <w:pPr>
        <w:pStyle w:val="R2"/>
        <w:ind w:hanging="4"/>
        <w:rPr>
          <w:color w:val="000000"/>
        </w:rPr>
      </w:pPr>
      <w:r w:rsidRPr="00883399">
        <w:rPr>
          <w:b/>
          <w:i/>
          <w:color w:val="000000"/>
        </w:rPr>
        <w:t>Liquefied</w:t>
      </w:r>
      <w:r w:rsidR="000A2823" w:rsidRPr="00883399">
        <w:rPr>
          <w:b/>
          <w:i/>
          <w:color w:val="000000"/>
        </w:rPr>
        <w:t xml:space="preserve"> petroleum gas </w:t>
      </w:r>
      <w:r w:rsidR="000A2823" w:rsidRPr="00883399">
        <w:rPr>
          <w:color w:val="000000"/>
        </w:rPr>
        <w:t>are derived from refinery processes, crude oil stabilisation plants and natural gas processing plants</w:t>
      </w:r>
      <w:r w:rsidR="00EB4B93" w:rsidRPr="00883399">
        <w:rPr>
          <w:color w:val="000000"/>
        </w:rPr>
        <w:t>,</w:t>
      </w:r>
      <w:r w:rsidR="000A2823" w:rsidRPr="00883399">
        <w:rPr>
          <w:color w:val="000000"/>
        </w:rPr>
        <w:t xml:space="preserve"> comprising propane, butane or a combination of the two. They are normally liquefied under pressure for transportation and storage.</w:t>
      </w:r>
    </w:p>
    <w:p w14:paraId="3801ABF9" w14:textId="77777777" w:rsidR="00212702" w:rsidRPr="00883399" w:rsidRDefault="00F0128C" w:rsidP="00212702">
      <w:pPr>
        <w:pStyle w:val="R2"/>
        <w:ind w:hanging="4"/>
        <w:rPr>
          <w:color w:val="000000"/>
        </w:rPr>
      </w:pPr>
      <w:r w:rsidRPr="00883399">
        <w:rPr>
          <w:b/>
          <w:i/>
          <w:color w:val="000000"/>
        </w:rPr>
        <w:t>C</w:t>
      </w:r>
      <w:r w:rsidR="00902A41" w:rsidRPr="00883399">
        <w:rPr>
          <w:b/>
          <w:i/>
          <w:color w:val="000000"/>
        </w:rPr>
        <w:t>oal seam methane that is captured for combustion</w:t>
      </w:r>
      <w:r w:rsidRPr="00883399">
        <w:rPr>
          <w:color w:val="000000"/>
        </w:rPr>
        <w:t xml:space="preserve"> can be applied to a pipeline</w:t>
      </w:r>
      <w:r w:rsidR="00027A85" w:rsidRPr="00883399">
        <w:rPr>
          <w:color w:val="000000"/>
        </w:rPr>
        <w:t xml:space="preserve"> containing</w:t>
      </w:r>
      <w:r w:rsidRPr="00883399">
        <w:rPr>
          <w:color w:val="000000"/>
        </w:rPr>
        <w:t xml:space="preserve"> natural gas. If consumers are unable to determine whether</w:t>
      </w:r>
      <w:r w:rsidR="00027A85" w:rsidRPr="00883399">
        <w:rPr>
          <w:color w:val="000000"/>
        </w:rPr>
        <w:t xml:space="preserve"> the</w:t>
      </w:r>
      <w:r w:rsidRPr="00883399">
        <w:rPr>
          <w:color w:val="000000"/>
        </w:rPr>
        <w:t xml:space="preserve"> natural gas</w:t>
      </w:r>
      <w:r w:rsidR="00027A85" w:rsidRPr="00883399">
        <w:rPr>
          <w:color w:val="000000"/>
        </w:rPr>
        <w:t xml:space="preserve"> distributed in a pipeline </w:t>
      </w:r>
      <w:r w:rsidRPr="00883399">
        <w:rPr>
          <w:color w:val="000000"/>
        </w:rPr>
        <w:t>is</w:t>
      </w:r>
      <w:r w:rsidR="00027A85" w:rsidRPr="00883399">
        <w:rPr>
          <w:color w:val="000000"/>
        </w:rPr>
        <w:t xml:space="preserve"> natural gas or </w:t>
      </w:r>
      <w:r w:rsidRPr="00883399">
        <w:rPr>
          <w:color w:val="000000"/>
        </w:rPr>
        <w:t xml:space="preserve">coal seam methane then it is reasonable to report the </w:t>
      </w:r>
      <w:r w:rsidR="00027A85" w:rsidRPr="00883399">
        <w:rPr>
          <w:color w:val="000000"/>
        </w:rPr>
        <w:t xml:space="preserve">fuel </w:t>
      </w:r>
      <w:r w:rsidRPr="00883399">
        <w:rPr>
          <w:color w:val="000000"/>
        </w:rPr>
        <w:t>consumption as natural gas distributed in a pipeline.</w:t>
      </w:r>
    </w:p>
    <w:p w14:paraId="332F366A" w14:textId="77777777" w:rsidR="00212702" w:rsidRPr="00883399" w:rsidRDefault="00212702"/>
    <w:p w14:paraId="35475ADF" w14:textId="24F3107B" w:rsidR="007261F7" w:rsidRPr="00883399" w:rsidRDefault="0084491A">
      <w:pPr>
        <w:pStyle w:val="Scheduletitle"/>
        <w:pageBreakBefore/>
        <w:rPr>
          <w:rStyle w:val="CharAmSchNo"/>
        </w:rPr>
      </w:pPr>
      <w:bookmarkStart w:id="1394" w:name="_Toc227734148"/>
      <w:bookmarkStart w:id="1395" w:name="_Toc265135676"/>
      <w:bookmarkStart w:id="1396" w:name="_Toc495653211"/>
      <w:r w:rsidRPr="00883399">
        <w:rPr>
          <w:rStyle w:val="CharAmSchNo"/>
        </w:rPr>
        <w:t>Appendix C:</w:t>
      </w:r>
      <w:r w:rsidRPr="00883399">
        <w:rPr>
          <w:rStyle w:val="CharAmSchNo"/>
        </w:rPr>
        <w:tab/>
      </w:r>
      <w:r w:rsidR="007261F7" w:rsidRPr="00883399">
        <w:rPr>
          <w:rStyle w:val="CharAmSchNo"/>
        </w:rPr>
        <w:t>Global Warming Potentials, Units and Conversions</w:t>
      </w:r>
      <w:bookmarkEnd w:id="1394"/>
      <w:bookmarkEnd w:id="1395"/>
      <w:bookmarkEnd w:id="1396"/>
    </w:p>
    <w:p w14:paraId="0D75F91A" w14:textId="77777777" w:rsidR="007261F7" w:rsidRPr="00883399" w:rsidRDefault="007261F7" w:rsidP="00466A53">
      <w:pPr>
        <w:pStyle w:val="Caption"/>
        <w:outlineLvl w:val="0"/>
      </w:pPr>
      <w:bookmarkStart w:id="1397" w:name="_Toc183776399"/>
      <w:r w:rsidRPr="00883399">
        <w:t>Global Warming Potentials</w:t>
      </w:r>
    </w:p>
    <w:tbl>
      <w:tblPr>
        <w:tblW w:w="8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4"/>
        <w:gridCol w:w="2780"/>
        <w:gridCol w:w="1927"/>
      </w:tblGrid>
      <w:tr w:rsidR="00543576" w:rsidRPr="00883399" w14:paraId="1673E451" w14:textId="77777777" w:rsidTr="00543576">
        <w:trPr>
          <w:trHeight w:val="1296"/>
        </w:trPr>
        <w:tc>
          <w:tcPr>
            <w:tcW w:w="3354" w:type="dxa"/>
            <w:shd w:val="pct15" w:color="auto" w:fill="auto"/>
          </w:tcPr>
          <w:p w14:paraId="01E216FE" w14:textId="77777777" w:rsidR="00543576" w:rsidRPr="00883399" w:rsidRDefault="00543576">
            <w:pPr>
              <w:pStyle w:val="Table"/>
              <w:rPr>
                <w:b/>
                <w:bCs/>
              </w:rPr>
            </w:pPr>
            <w:r w:rsidRPr="00883399">
              <w:rPr>
                <w:b/>
                <w:bCs/>
              </w:rPr>
              <w:t>Greenhouse Gas</w:t>
            </w:r>
          </w:p>
        </w:tc>
        <w:tc>
          <w:tcPr>
            <w:tcW w:w="2780" w:type="dxa"/>
            <w:shd w:val="pct15" w:color="auto" w:fill="auto"/>
          </w:tcPr>
          <w:p w14:paraId="5998B8C2" w14:textId="77777777" w:rsidR="00543576" w:rsidRPr="00883399" w:rsidRDefault="00543576">
            <w:pPr>
              <w:pStyle w:val="Table"/>
              <w:rPr>
                <w:b/>
                <w:bCs/>
              </w:rPr>
            </w:pPr>
            <w:r w:rsidRPr="00883399">
              <w:rPr>
                <w:b/>
                <w:bCs/>
              </w:rPr>
              <w:t>Chemical Formula</w:t>
            </w:r>
          </w:p>
        </w:tc>
        <w:tc>
          <w:tcPr>
            <w:tcW w:w="1927" w:type="dxa"/>
            <w:shd w:val="pct15" w:color="auto" w:fill="auto"/>
          </w:tcPr>
          <w:p w14:paraId="52F4C3F1" w14:textId="77777777" w:rsidR="00543576" w:rsidRPr="00883399" w:rsidRDefault="00543576">
            <w:pPr>
              <w:autoSpaceDE w:val="0"/>
              <w:autoSpaceDN w:val="0"/>
              <w:adjustRightInd w:val="0"/>
              <w:rPr>
                <w:rFonts w:ascii="Arial" w:hAnsi="Arial" w:cs="Arial"/>
                <w:b/>
                <w:bCs/>
                <w:sz w:val="16"/>
                <w:szCs w:val="20"/>
                <w:lang w:eastAsia="en-US"/>
              </w:rPr>
            </w:pPr>
            <w:r w:rsidRPr="00883399">
              <w:rPr>
                <w:rFonts w:ascii="Arial" w:hAnsi="Arial" w:cs="Arial"/>
                <w:b/>
                <w:bCs/>
                <w:sz w:val="16"/>
                <w:szCs w:val="20"/>
                <w:lang w:eastAsia="en-US"/>
              </w:rPr>
              <w:t>Global Warming</w:t>
            </w:r>
          </w:p>
          <w:p w14:paraId="130DE0C0" w14:textId="77777777" w:rsidR="00543576" w:rsidRPr="00883399" w:rsidRDefault="00543576">
            <w:pPr>
              <w:pStyle w:val="Table"/>
              <w:rPr>
                <w:b/>
                <w:bCs/>
              </w:rPr>
            </w:pPr>
            <w:r w:rsidRPr="00883399">
              <w:rPr>
                <w:b/>
                <w:bCs/>
              </w:rPr>
              <w:t>Potential (GWP)</w:t>
            </w:r>
          </w:p>
        </w:tc>
      </w:tr>
      <w:tr w:rsidR="00543576" w:rsidRPr="00883399" w14:paraId="1A8E5F9C" w14:textId="77777777" w:rsidTr="00543576">
        <w:trPr>
          <w:trHeight w:val="292"/>
        </w:trPr>
        <w:tc>
          <w:tcPr>
            <w:tcW w:w="3354" w:type="dxa"/>
            <w:vAlign w:val="center"/>
          </w:tcPr>
          <w:p w14:paraId="770AC499"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Carbon dioxide</w:t>
            </w:r>
          </w:p>
        </w:tc>
        <w:tc>
          <w:tcPr>
            <w:tcW w:w="2780" w:type="dxa"/>
            <w:vAlign w:val="center"/>
          </w:tcPr>
          <w:p w14:paraId="7325253A"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CO</w:t>
            </w:r>
            <w:r w:rsidRPr="00883399">
              <w:rPr>
                <w:rFonts w:ascii="Arial" w:hAnsi="Arial" w:cs="Arial"/>
                <w:sz w:val="16"/>
                <w:szCs w:val="16"/>
                <w:vertAlign w:val="subscript"/>
              </w:rPr>
              <w:t>2</w:t>
            </w:r>
          </w:p>
        </w:tc>
        <w:tc>
          <w:tcPr>
            <w:tcW w:w="1927" w:type="dxa"/>
            <w:vAlign w:val="center"/>
          </w:tcPr>
          <w:p w14:paraId="731227D1"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1</w:t>
            </w:r>
          </w:p>
        </w:tc>
      </w:tr>
      <w:tr w:rsidR="00543576" w:rsidRPr="00883399" w14:paraId="3F619675" w14:textId="77777777" w:rsidTr="00543576">
        <w:trPr>
          <w:trHeight w:val="292"/>
        </w:trPr>
        <w:tc>
          <w:tcPr>
            <w:tcW w:w="3354" w:type="dxa"/>
            <w:vAlign w:val="center"/>
          </w:tcPr>
          <w:p w14:paraId="62F69FB0"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Methane</w:t>
            </w:r>
          </w:p>
        </w:tc>
        <w:tc>
          <w:tcPr>
            <w:tcW w:w="2780" w:type="dxa"/>
            <w:vAlign w:val="center"/>
          </w:tcPr>
          <w:p w14:paraId="2A590FBC"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CH</w:t>
            </w:r>
            <w:r w:rsidRPr="00883399">
              <w:rPr>
                <w:rFonts w:ascii="Arial" w:hAnsi="Arial" w:cs="Arial"/>
                <w:sz w:val="16"/>
                <w:szCs w:val="16"/>
                <w:vertAlign w:val="subscript"/>
              </w:rPr>
              <w:t>4</w:t>
            </w:r>
          </w:p>
        </w:tc>
        <w:tc>
          <w:tcPr>
            <w:tcW w:w="1927" w:type="dxa"/>
            <w:vAlign w:val="center"/>
          </w:tcPr>
          <w:p w14:paraId="35BD6F3F"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25</w:t>
            </w:r>
          </w:p>
        </w:tc>
      </w:tr>
      <w:tr w:rsidR="00543576" w:rsidRPr="00883399" w14:paraId="26CA4EC2" w14:textId="77777777" w:rsidTr="00543576">
        <w:trPr>
          <w:trHeight w:val="324"/>
        </w:trPr>
        <w:tc>
          <w:tcPr>
            <w:tcW w:w="3354" w:type="dxa"/>
            <w:vAlign w:val="center"/>
          </w:tcPr>
          <w:p w14:paraId="1DD5E6CA"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Nitrous oxide</w:t>
            </w:r>
          </w:p>
        </w:tc>
        <w:tc>
          <w:tcPr>
            <w:tcW w:w="2780" w:type="dxa"/>
            <w:vAlign w:val="center"/>
          </w:tcPr>
          <w:p w14:paraId="32039685"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N</w:t>
            </w:r>
            <w:r w:rsidRPr="00883399">
              <w:rPr>
                <w:rFonts w:ascii="Arial" w:hAnsi="Arial" w:cs="Arial"/>
                <w:sz w:val="16"/>
                <w:szCs w:val="16"/>
                <w:vertAlign w:val="subscript"/>
              </w:rPr>
              <w:t>2</w:t>
            </w:r>
            <w:r w:rsidRPr="00883399">
              <w:rPr>
                <w:rFonts w:ascii="Arial" w:hAnsi="Arial" w:cs="Arial"/>
                <w:sz w:val="16"/>
                <w:szCs w:val="16"/>
              </w:rPr>
              <w:t>O</w:t>
            </w:r>
          </w:p>
        </w:tc>
        <w:tc>
          <w:tcPr>
            <w:tcW w:w="1927" w:type="dxa"/>
            <w:vAlign w:val="center"/>
          </w:tcPr>
          <w:p w14:paraId="4EB23C90"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298</w:t>
            </w:r>
          </w:p>
        </w:tc>
      </w:tr>
      <w:tr w:rsidR="00543576" w:rsidRPr="00883399" w14:paraId="47FAD403" w14:textId="77777777" w:rsidTr="00543576">
        <w:trPr>
          <w:trHeight w:val="292"/>
        </w:trPr>
        <w:tc>
          <w:tcPr>
            <w:tcW w:w="3354" w:type="dxa"/>
            <w:vAlign w:val="center"/>
          </w:tcPr>
          <w:p w14:paraId="3A3C3847"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Sulphur hexafluoride</w:t>
            </w:r>
          </w:p>
        </w:tc>
        <w:tc>
          <w:tcPr>
            <w:tcW w:w="2780" w:type="dxa"/>
            <w:vAlign w:val="center"/>
          </w:tcPr>
          <w:p w14:paraId="3347C06E"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SF</w:t>
            </w:r>
            <w:r w:rsidRPr="00883399">
              <w:rPr>
                <w:rFonts w:ascii="Arial" w:hAnsi="Arial" w:cs="Arial"/>
                <w:sz w:val="16"/>
                <w:szCs w:val="16"/>
                <w:vertAlign w:val="subscript"/>
              </w:rPr>
              <w:t>6</w:t>
            </w:r>
          </w:p>
        </w:tc>
        <w:tc>
          <w:tcPr>
            <w:tcW w:w="1927" w:type="dxa"/>
            <w:vAlign w:val="center"/>
          </w:tcPr>
          <w:p w14:paraId="62ADFE1F"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22 800</w:t>
            </w:r>
          </w:p>
        </w:tc>
      </w:tr>
      <w:tr w:rsidR="00543576" w:rsidRPr="00883399" w14:paraId="10A4195C" w14:textId="77777777" w:rsidTr="00543576">
        <w:trPr>
          <w:trHeight w:val="292"/>
        </w:trPr>
        <w:tc>
          <w:tcPr>
            <w:tcW w:w="3354" w:type="dxa"/>
            <w:vAlign w:val="center"/>
          </w:tcPr>
          <w:p w14:paraId="7CA44E61"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HFC</w:t>
            </w:r>
            <w:r w:rsidRPr="00883399">
              <w:rPr>
                <w:rFonts w:ascii="Arial" w:hAnsi="Arial" w:cs="Arial"/>
                <w:sz w:val="16"/>
                <w:szCs w:val="16"/>
              </w:rPr>
              <w:noBreakHyphen/>
              <w:t>23</w:t>
            </w:r>
          </w:p>
        </w:tc>
        <w:tc>
          <w:tcPr>
            <w:tcW w:w="2780" w:type="dxa"/>
            <w:vAlign w:val="center"/>
          </w:tcPr>
          <w:p w14:paraId="465FD088"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CHF</w:t>
            </w:r>
            <w:r w:rsidRPr="00883399">
              <w:rPr>
                <w:rFonts w:ascii="Arial" w:hAnsi="Arial" w:cs="Arial"/>
                <w:sz w:val="16"/>
                <w:szCs w:val="16"/>
                <w:vertAlign w:val="subscript"/>
              </w:rPr>
              <w:t>3</w:t>
            </w:r>
          </w:p>
        </w:tc>
        <w:tc>
          <w:tcPr>
            <w:tcW w:w="1927" w:type="dxa"/>
            <w:vAlign w:val="center"/>
          </w:tcPr>
          <w:p w14:paraId="64CFBD75"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14 800</w:t>
            </w:r>
          </w:p>
        </w:tc>
      </w:tr>
      <w:tr w:rsidR="00543576" w:rsidRPr="00883399" w14:paraId="654F628B" w14:textId="77777777" w:rsidTr="00543576">
        <w:trPr>
          <w:trHeight w:val="292"/>
        </w:trPr>
        <w:tc>
          <w:tcPr>
            <w:tcW w:w="3354" w:type="dxa"/>
            <w:vAlign w:val="center"/>
          </w:tcPr>
          <w:p w14:paraId="026D8876"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HFC</w:t>
            </w:r>
            <w:r w:rsidRPr="00883399">
              <w:rPr>
                <w:rFonts w:ascii="Arial" w:hAnsi="Arial" w:cs="Arial"/>
                <w:sz w:val="16"/>
                <w:szCs w:val="16"/>
              </w:rPr>
              <w:noBreakHyphen/>
              <w:t>32</w:t>
            </w:r>
          </w:p>
        </w:tc>
        <w:tc>
          <w:tcPr>
            <w:tcW w:w="2780" w:type="dxa"/>
            <w:vAlign w:val="center"/>
          </w:tcPr>
          <w:p w14:paraId="3F18C686"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CH</w:t>
            </w:r>
            <w:r w:rsidRPr="00883399">
              <w:rPr>
                <w:rFonts w:ascii="Arial" w:hAnsi="Arial" w:cs="Arial"/>
                <w:sz w:val="16"/>
                <w:szCs w:val="16"/>
                <w:vertAlign w:val="subscript"/>
              </w:rPr>
              <w:t>2</w:t>
            </w:r>
            <w:r w:rsidRPr="00883399">
              <w:rPr>
                <w:rFonts w:ascii="Arial" w:hAnsi="Arial" w:cs="Arial"/>
                <w:sz w:val="16"/>
                <w:szCs w:val="16"/>
              </w:rPr>
              <w:t>F</w:t>
            </w:r>
            <w:r w:rsidRPr="00883399">
              <w:rPr>
                <w:rFonts w:ascii="Arial" w:hAnsi="Arial" w:cs="Arial"/>
                <w:sz w:val="16"/>
                <w:szCs w:val="16"/>
                <w:vertAlign w:val="subscript"/>
              </w:rPr>
              <w:t>2</w:t>
            </w:r>
          </w:p>
        </w:tc>
        <w:tc>
          <w:tcPr>
            <w:tcW w:w="1927" w:type="dxa"/>
            <w:vAlign w:val="center"/>
          </w:tcPr>
          <w:p w14:paraId="3484CA3D"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675</w:t>
            </w:r>
          </w:p>
        </w:tc>
      </w:tr>
      <w:tr w:rsidR="00543576" w:rsidRPr="00883399" w14:paraId="271E493F" w14:textId="77777777" w:rsidTr="00543576">
        <w:trPr>
          <w:trHeight w:val="292"/>
        </w:trPr>
        <w:tc>
          <w:tcPr>
            <w:tcW w:w="3354" w:type="dxa"/>
            <w:vAlign w:val="center"/>
          </w:tcPr>
          <w:p w14:paraId="31846D47"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HFC</w:t>
            </w:r>
            <w:r w:rsidRPr="00883399">
              <w:rPr>
                <w:rFonts w:ascii="Arial" w:hAnsi="Arial" w:cs="Arial"/>
                <w:sz w:val="16"/>
                <w:szCs w:val="16"/>
              </w:rPr>
              <w:noBreakHyphen/>
              <w:t>41</w:t>
            </w:r>
          </w:p>
        </w:tc>
        <w:tc>
          <w:tcPr>
            <w:tcW w:w="2780" w:type="dxa"/>
            <w:vAlign w:val="center"/>
          </w:tcPr>
          <w:p w14:paraId="4060FD28"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CH</w:t>
            </w:r>
            <w:r w:rsidRPr="00883399">
              <w:rPr>
                <w:rFonts w:ascii="Arial" w:hAnsi="Arial" w:cs="Arial"/>
                <w:sz w:val="16"/>
                <w:szCs w:val="16"/>
                <w:vertAlign w:val="subscript"/>
              </w:rPr>
              <w:t>3</w:t>
            </w:r>
            <w:r w:rsidRPr="00883399">
              <w:rPr>
                <w:rFonts w:ascii="Arial" w:hAnsi="Arial" w:cs="Arial"/>
                <w:sz w:val="16"/>
                <w:szCs w:val="16"/>
              </w:rPr>
              <w:t>F</w:t>
            </w:r>
            <w:r w:rsidRPr="00883399">
              <w:rPr>
                <w:rFonts w:ascii="Arial" w:hAnsi="Arial" w:cs="Arial"/>
                <w:sz w:val="16"/>
                <w:szCs w:val="16"/>
                <w:vertAlign w:val="subscript"/>
              </w:rPr>
              <w:t>2</w:t>
            </w:r>
          </w:p>
        </w:tc>
        <w:tc>
          <w:tcPr>
            <w:tcW w:w="1927" w:type="dxa"/>
            <w:vAlign w:val="center"/>
          </w:tcPr>
          <w:p w14:paraId="63DCC27E"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92</w:t>
            </w:r>
          </w:p>
        </w:tc>
      </w:tr>
      <w:tr w:rsidR="00543576" w:rsidRPr="00883399" w14:paraId="3A4CA98D" w14:textId="77777777" w:rsidTr="00543576">
        <w:trPr>
          <w:trHeight w:val="324"/>
        </w:trPr>
        <w:tc>
          <w:tcPr>
            <w:tcW w:w="3354" w:type="dxa"/>
            <w:vAlign w:val="center"/>
          </w:tcPr>
          <w:p w14:paraId="4FECB7D3"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HFC</w:t>
            </w:r>
            <w:r w:rsidRPr="00883399">
              <w:rPr>
                <w:rFonts w:ascii="Arial" w:hAnsi="Arial" w:cs="Arial"/>
                <w:sz w:val="16"/>
                <w:szCs w:val="16"/>
              </w:rPr>
              <w:noBreakHyphen/>
              <w:t>43</w:t>
            </w:r>
            <w:r w:rsidRPr="00883399">
              <w:rPr>
                <w:rFonts w:ascii="Arial" w:hAnsi="Arial" w:cs="Arial"/>
                <w:sz w:val="16"/>
                <w:szCs w:val="16"/>
              </w:rPr>
              <w:noBreakHyphen/>
              <w:t>10mee</w:t>
            </w:r>
          </w:p>
        </w:tc>
        <w:tc>
          <w:tcPr>
            <w:tcW w:w="2780" w:type="dxa"/>
            <w:vAlign w:val="center"/>
          </w:tcPr>
          <w:p w14:paraId="4754ED7F"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C</w:t>
            </w:r>
            <w:r w:rsidRPr="00883399">
              <w:rPr>
                <w:rFonts w:ascii="Arial" w:hAnsi="Arial" w:cs="Arial"/>
                <w:sz w:val="16"/>
                <w:szCs w:val="16"/>
                <w:vertAlign w:val="subscript"/>
              </w:rPr>
              <w:t>5</w:t>
            </w:r>
            <w:r w:rsidRPr="00883399">
              <w:rPr>
                <w:rFonts w:ascii="Arial" w:hAnsi="Arial" w:cs="Arial"/>
                <w:sz w:val="16"/>
                <w:szCs w:val="16"/>
              </w:rPr>
              <w:t>H</w:t>
            </w:r>
            <w:r w:rsidRPr="00883399">
              <w:rPr>
                <w:rFonts w:ascii="Arial" w:hAnsi="Arial" w:cs="Arial"/>
                <w:sz w:val="16"/>
                <w:szCs w:val="16"/>
                <w:vertAlign w:val="subscript"/>
              </w:rPr>
              <w:t>2</w:t>
            </w:r>
            <w:r w:rsidRPr="00883399">
              <w:rPr>
                <w:rFonts w:ascii="Arial" w:hAnsi="Arial" w:cs="Arial"/>
                <w:sz w:val="16"/>
                <w:szCs w:val="16"/>
              </w:rPr>
              <w:t>F</w:t>
            </w:r>
            <w:r w:rsidRPr="00883399">
              <w:rPr>
                <w:rFonts w:ascii="Arial" w:hAnsi="Arial" w:cs="Arial"/>
                <w:sz w:val="16"/>
                <w:szCs w:val="16"/>
                <w:vertAlign w:val="subscript"/>
              </w:rPr>
              <w:t>10</w:t>
            </w:r>
          </w:p>
        </w:tc>
        <w:tc>
          <w:tcPr>
            <w:tcW w:w="1927" w:type="dxa"/>
            <w:vAlign w:val="center"/>
          </w:tcPr>
          <w:p w14:paraId="202804CB"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1 640</w:t>
            </w:r>
          </w:p>
        </w:tc>
      </w:tr>
      <w:tr w:rsidR="00543576" w:rsidRPr="00883399" w14:paraId="1AEF2359" w14:textId="77777777" w:rsidTr="00543576">
        <w:trPr>
          <w:trHeight w:val="292"/>
        </w:trPr>
        <w:tc>
          <w:tcPr>
            <w:tcW w:w="3354" w:type="dxa"/>
            <w:vAlign w:val="center"/>
          </w:tcPr>
          <w:p w14:paraId="2A115CD7"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HFC</w:t>
            </w:r>
            <w:r w:rsidRPr="00883399">
              <w:rPr>
                <w:rFonts w:ascii="Arial" w:hAnsi="Arial" w:cs="Arial"/>
                <w:sz w:val="16"/>
                <w:szCs w:val="16"/>
              </w:rPr>
              <w:noBreakHyphen/>
              <w:t>125</w:t>
            </w:r>
          </w:p>
        </w:tc>
        <w:tc>
          <w:tcPr>
            <w:tcW w:w="2780" w:type="dxa"/>
            <w:vAlign w:val="center"/>
          </w:tcPr>
          <w:p w14:paraId="77237D0B"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C</w:t>
            </w:r>
            <w:r w:rsidRPr="00883399">
              <w:rPr>
                <w:rFonts w:ascii="Arial" w:hAnsi="Arial" w:cs="Arial"/>
                <w:sz w:val="16"/>
                <w:szCs w:val="16"/>
                <w:vertAlign w:val="subscript"/>
              </w:rPr>
              <w:t>2</w:t>
            </w:r>
            <w:r w:rsidRPr="00883399">
              <w:rPr>
                <w:rFonts w:ascii="Arial" w:hAnsi="Arial" w:cs="Arial"/>
                <w:sz w:val="16"/>
                <w:szCs w:val="16"/>
              </w:rPr>
              <w:t>HF</w:t>
            </w:r>
            <w:r w:rsidRPr="00883399">
              <w:rPr>
                <w:rFonts w:ascii="Arial" w:hAnsi="Arial" w:cs="Arial"/>
                <w:sz w:val="16"/>
                <w:szCs w:val="16"/>
                <w:vertAlign w:val="subscript"/>
              </w:rPr>
              <w:t>5</w:t>
            </w:r>
          </w:p>
        </w:tc>
        <w:tc>
          <w:tcPr>
            <w:tcW w:w="1927" w:type="dxa"/>
            <w:vAlign w:val="center"/>
          </w:tcPr>
          <w:p w14:paraId="27810024"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3 500</w:t>
            </w:r>
          </w:p>
        </w:tc>
      </w:tr>
      <w:tr w:rsidR="00543576" w:rsidRPr="00883399" w14:paraId="33A1A1C4" w14:textId="77777777" w:rsidTr="00543576">
        <w:trPr>
          <w:trHeight w:val="292"/>
        </w:trPr>
        <w:tc>
          <w:tcPr>
            <w:tcW w:w="3354" w:type="dxa"/>
            <w:vAlign w:val="center"/>
          </w:tcPr>
          <w:p w14:paraId="632BBEA2"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HFC</w:t>
            </w:r>
            <w:r w:rsidRPr="00883399">
              <w:rPr>
                <w:rFonts w:ascii="Arial" w:hAnsi="Arial" w:cs="Arial"/>
                <w:sz w:val="16"/>
                <w:szCs w:val="16"/>
              </w:rPr>
              <w:noBreakHyphen/>
              <w:t>134</w:t>
            </w:r>
          </w:p>
        </w:tc>
        <w:tc>
          <w:tcPr>
            <w:tcW w:w="2780" w:type="dxa"/>
            <w:vAlign w:val="center"/>
          </w:tcPr>
          <w:p w14:paraId="203D3AA0"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C</w:t>
            </w:r>
            <w:r w:rsidRPr="00883399">
              <w:rPr>
                <w:rFonts w:ascii="Arial" w:hAnsi="Arial" w:cs="Arial"/>
                <w:sz w:val="16"/>
                <w:szCs w:val="16"/>
                <w:vertAlign w:val="subscript"/>
              </w:rPr>
              <w:t>2</w:t>
            </w:r>
            <w:r w:rsidRPr="00883399">
              <w:rPr>
                <w:rFonts w:ascii="Arial" w:hAnsi="Arial" w:cs="Arial"/>
                <w:sz w:val="16"/>
                <w:szCs w:val="16"/>
              </w:rPr>
              <w:t>H</w:t>
            </w:r>
            <w:r w:rsidRPr="00883399">
              <w:rPr>
                <w:rFonts w:ascii="Arial" w:hAnsi="Arial" w:cs="Arial"/>
                <w:sz w:val="16"/>
                <w:szCs w:val="16"/>
                <w:vertAlign w:val="subscript"/>
              </w:rPr>
              <w:t>2</w:t>
            </w:r>
            <w:r w:rsidRPr="00883399">
              <w:rPr>
                <w:rFonts w:ascii="Arial" w:hAnsi="Arial" w:cs="Arial"/>
                <w:sz w:val="16"/>
                <w:szCs w:val="16"/>
              </w:rPr>
              <w:t>F</w:t>
            </w:r>
            <w:r w:rsidRPr="00883399">
              <w:rPr>
                <w:rFonts w:ascii="Arial" w:hAnsi="Arial" w:cs="Arial"/>
                <w:sz w:val="16"/>
                <w:szCs w:val="16"/>
                <w:vertAlign w:val="subscript"/>
              </w:rPr>
              <w:t>4</w:t>
            </w:r>
            <w:r w:rsidRPr="00883399">
              <w:rPr>
                <w:rFonts w:ascii="Arial" w:hAnsi="Arial" w:cs="Arial"/>
                <w:sz w:val="16"/>
                <w:szCs w:val="16"/>
              </w:rPr>
              <w:t xml:space="preserve"> (CHF</w:t>
            </w:r>
            <w:r w:rsidRPr="00883399">
              <w:rPr>
                <w:rFonts w:ascii="Arial" w:hAnsi="Arial" w:cs="Arial"/>
                <w:sz w:val="16"/>
                <w:szCs w:val="16"/>
                <w:vertAlign w:val="subscript"/>
              </w:rPr>
              <w:t>2</w:t>
            </w:r>
            <w:r w:rsidRPr="00883399">
              <w:rPr>
                <w:rFonts w:ascii="Arial" w:hAnsi="Arial" w:cs="Arial"/>
                <w:sz w:val="16"/>
                <w:szCs w:val="16"/>
              </w:rPr>
              <w:t>CHF</w:t>
            </w:r>
            <w:r w:rsidRPr="00883399">
              <w:rPr>
                <w:rFonts w:ascii="Arial" w:hAnsi="Arial" w:cs="Arial"/>
                <w:sz w:val="16"/>
                <w:szCs w:val="16"/>
                <w:vertAlign w:val="subscript"/>
              </w:rPr>
              <w:t>2</w:t>
            </w:r>
            <w:r w:rsidRPr="00883399">
              <w:rPr>
                <w:rFonts w:ascii="Arial" w:hAnsi="Arial" w:cs="Arial"/>
                <w:sz w:val="16"/>
                <w:szCs w:val="16"/>
              </w:rPr>
              <w:t>)</w:t>
            </w:r>
          </w:p>
        </w:tc>
        <w:tc>
          <w:tcPr>
            <w:tcW w:w="1927" w:type="dxa"/>
            <w:vAlign w:val="center"/>
          </w:tcPr>
          <w:p w14:paraId="67FEC392"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1 100</w:t>
            </w:r>
          </w:p>
        </w:tc>
      </w:tr>
      <w:tr w:rsidR="00543576" w:rsidRPr="00883399" w14:paraId="0AC0489F" w14:textId="77777777" w:rsidTr="00543576">
        <w:trPr>
          <w:trHeight w:val="292"/>
        </w:trPr>
        <w:tc>
          <w:tcPr>
            <w:tcW w:w="3354" w:type="dxa"/>
            <w:vAlign w:val="center"/>
          </w:tcPr>
          <w:p w14:paraId="5AC79AFE"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HFC</w:t>
            </w:r>
            <w:r w:rsidRPr="00883399">
              <w:rPr>
                <w:rFonts w:ascii="Arial" w:hAnsi="Arial" w:cs="Arial"/>
                <w:sz w:val="16"/>
                <w:szCs w:val="16"/>
              </w:rPr>
              <w:noBreakHyphen/>
              <w:t>134a</w:t>
            </w:r>
          </w:p>
        </w:tc>
        <w:tc>
          <w:tcPr>
            <w:tcW w:w="2780" w:type="dxa"/>
            <w:vAlign w:val="center"/>
          </w:tcPr>
          <w:p w14:paraId="3691E45B"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C</w:t>
            </w:r>
            <w:r w:rsidRPr="00883399">
              <w:rPr>
                <w:rFonts w:ascii="Arial" w:hAnsi="Arial" w:cs="Arial"/>
                <w:sz w:val="16"/>
                <w:szCs w:val="16"/>
                <w:vertAlign w:val="subscript"/>
              </w:rPr>
              <w:t>2</w:t>
            </w:r>
            <w:r w:rsidRPr="00883399">
              <w:rPr>
                <w:rFonts w:ascii="Arial" w:hAnsi="Arial" w:cs="Arial"/>
                <w:sz w:val="16"/>
                <w:szCs w:val="16"/>
              </w:rPr>
              <w:t>H</w:t>
            </w:r>
            <w:r w:rsidRPr="00883399">
              <w:rPr>
                <w:rFonts w:ascii="Arial" w:hAnsi="Arial" w:cs="Arial"/>
                <w:sz w:val="16"/>
                <w:szCs w:val="16"/>
                <w:vertAlign w:val="subscript"/>
              </w:rPr>
              <w:t>2</w:t>
            </w:r>
            <w:r w:rsidRPr="00883399">
              <w:rPr>
                <w:rFonts w:ascii="Arial" w:hAnsi="Arial" w:cs="Arial"/>
                <w:sz w:val="16"/>
                <w:szCs w:val="16"/>
              </w:rPr>
              <w:t>F</w:t>
            </w:r>
            <w:r w:rsidRPr="00883399">
              <w:rPr>
                <w:rFonts w:ascii="Arial" w:hAnsi="Arial" w:cs="Arial"/>
                <w:sz w:val="16"/>
                <w:szCs w:val="16"/>
                <w:vertAlign w:val="subscript"/>
              </w:rPr>
              <w:t>4</w:t>
            </w:r>
            <w:r w:rsidRPr="00883399">
              <w:rPr>
                <w:rFonts w:ascii="Arial" w:hAnsi="Arial" w:cs="Arial"/>
                <w:sz w:val="16"/>
                <w:szCs w:val="16"/>
              </w:rPr>
              <w:t xml:space="preserve"> (CH</w:t>
            </w:r>
            <w:r w:rsidRPr="00883399">
              <w:rPr>
                <w:rFonts w:ascii="Arial" w:hAnsi="Arial" w:cs="Arial"/>
                <w:sz w:val="16"/>
                <w:szCs w:val="16"/>
                <w:vertAlign w:val="subscript"/>
              </w:rPr>
              <w:t>2</w:t>
            </w:r>
            <w:r w:rsidRPr="00883399">
              <w:rPr>
                <w:rFonts w:ascii="Arial" w:hAnsi="Arial" w:cs="Arial"/>
                <w:sz w:val="16"/>
                <w:szCs w:val="16"/>
              </w:rPr>
              <w:t>FCF</w:t>
            </w:r>
            <w:r w:rsidRPr="00883399">
              <w:rPr>
                <w:rFonts w:ascii="Arial" w:hAnsi="Arial" w:cs="Arial"/>
                <w:sz w:val="16"/>
                <w:szCs w:val="16"/>
                <w:vertAlign w:val="subscript"/>
              </w:rPr>
              <w:t>3</w:t>
            </w:r>
            <w:r w:rsidRPr="00883399">
              <w:rPr>
                <w:rFonts w:ascii="Arial" w:hAnsi="Arial" w:cs="Arial"/>
                <w:sz w:val="16"/>
                <w:szCs w:val="16"/>
              </w:rPr>
              <w:t>)</w:t>
            </w:r>
          </w:p>
        </w:tc>
        <w:tc>
          <w:tcPr>
            <w:tcW w:w="1927" w:type="dxa"/>
            <w:vAlign w:val="center"/>
          </w:tcPr>
          <w:p w14:paraId="15F247FC"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1 430</w:t>
            </w:r>
          </w:p>
        </w:tc>
      </w:tr>
      <w:tr w:rsidR="00543576" w:rsidRPr="00883399" w14:paraId="5CE4A811" w14:textId="77777777" w:rsidTr="00543576">
        <w:trPr>
          <w:trHeight w:val="324"/>
        </w:trPr>
        <w:tc>
          <w:tcPr>
            <w:tcW w:w="3354" w:type="dxa"/>
            <w:vAlign w:val="center"/>
          </w:tcPr>
          <w:p w14:paraId="0DAEA679"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HFC</w:t>
            </w:r>
            <w:r w:rsidRPr="00883399">
              <w:rPr>
                <w:rFonts w:ascii="Arial" w:hAnsi="Arial" w:cs="Arial"/>
                <w:sz w:val="16"/>
                <w:szCs w:val="16"/>
              </w:rPr>
              <w:noBreakHyphen/>
              <w:t>143</w:t>
            </w:r>
          </w:p>
        </w:tc>
        <w:tc>
          <w:tcPr>
            <w:tcW w:w="2780" w:type="dxa"/>
            <w:vAlign w:val="center"/>
          </w:tcPr>
          <w:p w14:paraId="003537F8"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C</w:t>
            </w:r>
            <w:r w:rsidRPr="00883399">
              <w:rPr>
                <w:rFonts w:ascii="Arial" w:hAnsi="Arial" w:cs="Arial"/>
                <w:sz w:val="16"/>
                <w:szCs w:val="16"/>
                <w:vertAlign w:val="subscript"/>
              </w:rPr>
              <w:t>2</w:t>
            </w:r>
            <w:r w:rsidRPr="00883399">
              <w:rPr>
                <w:rFonts w:ascii="Arial" w:hAnsi="Arial" w:cs="Arial"/>
                <w:sz w:val="16"/>
                <w:szCs w:val="16"/>
              </w:rPr>
              <w:t>H</w:t>
            </w:r>
            <w:r w:rsidRPr="00883399">
              <w:rPr>
                <w:rFonts w:ascii="Arial" w:hAnsi="Arial" w:cs="Arial"/>
                <w:sz w:val="16"/>
                <w:szCs w:val="16"/>
                <w:vertAlign w:val="subscript"/>
              </w:rPr>
              <w:t>3</w:t>
            </w:r>
            <w:r w:rsidRPr="00883399">
              <w:rPr>
                <w:rFonts w:ascii="Arial" w:hAnsi="Arial" w:cs="Arial"/>
                <w:sz w:val="16"/>
                <w:szCs w:val="16"/>
              </w:rPr>
              <w:t>F</w:t>
            </w:r>
            <w:r w:rsidRPr="00883399">
              <w:rPr>
                <w:rFonts w:ascii="Arial" w:hAnsi="Arial" w:cs="Arial"/>
                <w:sz w:val="16"/>
                <w:szCs w:val="16"/>
                <w:vertAlign w:val="subscript"/>
              </w:rPr>
              <w:t>3</w:t>
            </w:r>
            <w:r w:rsidRPr="00883399">
              <w:rPr>
                <w:rFonts w:ascii="Arial" w:hAnsi="Arial" w:cs="Arial"/>
                <w:sz w:val="16"/>
                <w:szCs w:val="16"/>
              </w:rPr>
              <w:t xml:space="preserve"> (CHF</w:t>
            </w:r>
            <w:r w:rsidRPr="00883399">
              <w:rPr>
                <w:rFonts w:ascii="Arial" w:hAnsi="Arial" w:cs="Arial"/>
                <w:sz w:val="16"/>
                <w:szCs w:val="16"/>
                <w:vertAlign w:val="subscript"/>
              </w:rPr>
              <w:t>2</w:t>
            </w:r>
            <w:r w:rsidRPr="00883399">
              <w:rPr>
                <w:rFonts w:ascii="Arial" w:hAnsi="Arial" w:cs="Arial"/>
                <w:sz w:val="16"/>
                <w:szCs w:val="16"/>
              </w:rPr>
              <w:t>CH</w:t>
            </w:r>
            <w:r w:rsidRPr="00883399">
              <w:rPr>
                <w:rFonts w:ascii="Arial" w:hAnsi="Arial" w:cs="Arial"/>
                <w:sz w:val="16"/>
                <w:szCs w:val="16"/>
                <w:vertAlign w:val="subscript"/>
              </w:rPr>
              <w:t>2</w:t>
            </w:r>
            <w:r w:rsidRPr="00883399">
              <w:rPr>
                <w:rFonts w:ascii="Arial" w:hAnsi="Arial" w:cs="Arial"/>
                <w:sz w:val="16"/>
                <w:szCs w:val="16"/>
              </w:rPr>
              <w:t>F)</w:t>
            </w:r>
          </w:p>
        </w:tc>
        <w:tc>
          <w:tcPr>
            <w:tcW w:w="1927" w:type="dxa"/>
            <w:vAlign w:val="center"/>
          </w:tcPr>
          <w:p w14:paraId="14B0C790"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353</w:t>
            </w:r>
          </w:p>
        </w:tc>
      </w:tr>
      <w:tr w:rsidR="00543576" w:rsidRPr="00883399" w14:paraId="6AA905C2" w14:textId="77777777" w:rsidTr="00543576">
        <w:trPr>
          <w:trHeight w:val="292"/>
        </w:trPr>
        <w:tc>
          <w:tcPr>
            <w:tcW w:w="3354" w:type="dxa"/>
            <w:vAlign w:val="center"/>
          </w:tcPr>
          <w:p w14:paraId="4B108AB1"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HFC</w:t>
            </w:r>
            <w:r w:rsidRPr="00883399">
              <w:rPr>
                <w:rFonts w:ascii="Arial" w:hAnsi="Arial" w:cs="Arial"/>
                <w:sz w:val="16"/>
                <w:szCs w:val="16"/>
              </w:rPr>
              <w:noBreakHyphen/>
              <w:t>143a</w:t>
            </w:r>
          </w:p>
        </w:tc>
        <w:tc>
          <w:tcPr>
            <w:tcW w:w="2780" w:type="dxa"/>
            <w:vAlign w:val="center"/>
          </w:tcPr>
          <w:p w14:paraId="54A597A5"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C</w:t>
            </w:r>
            <w:r w:rsidRPr="00883399">
              <w:rPr>
                <w:rFonts w:ascii="Arial" w:hAnsi="Arial" w:cs="Arial"/>
                <w:sz w:val="16"/>
                <w:szCs w:val="16"/>
                <w:vertAlign w:val="subscript"/>
              </w:rPr>
              <w:t>2</w:t>
            </w:r>
            <w:r w:rsidRPr="00883399">
              <w:rPr>
                <w:rFonts w:ascii="Arial" w:hAnsi="Arial" w:cs="Arial"/>
                <w:sz w:val="16"/>
                <w:szCs w:val="16"/>
              </w:rPr>
              <w:t>H</w:t>
            </w:r>
            <w:r w:rsidRPr="00883399">
              <w:rPr>
                <w:rFonts w:ascii="Arial" w:hAnsi="Arial" w:cs="Arial"/>
                <w:sz w:val="16"/>
                <w:szCs w:val="16"/>
                <w:vertAlign w:val="subscript"/>
              </w:rPr>
              <w:t>3</w:t>
            </w:r>
            <w:r w:rsidRPr="00883399">
              <w:rPr>
                <w:rFonts w:ascii="Arial" w:hAnsi="Arial" w:cs="Arial"/>
                <w:sz w:val="16"/>
                <w:szCs w:val="16"/>
              </w:rPr>
              <w:t>F</w:t>
            </w:r>
            <w:r w:rsidRPr="00883399">
              <w:rPr>
                <w:rFonts w:ascii="Arial" w:hAnsi="Arial" w:cs="Arial"/>
                <w:sz w:val="16"/>
                <w:szCs w:val="16"/>
                <w:vertAlign w:val="subscript"/>
              </w:rPr>
              <w:t>3</w:t>
            </w:r>
            <w:r w:rsidRPr="00883399">
              <w:rPr>
                <w:rFonts w:ascii="Arial" w:hAnsi="Arial" w:cs="Arial"/>
                <w:sz w:val="16"/>
                <w:szCs w:val="16"/>
              </w:rPr>
              <w:t xml:space="preserve"> (CF</w:t>
            </w:r>
            <w:r w:rsidRPr="00883399">
              <w:rPr>
                <w:rFonts w:ascii="Arial" w:hAnsi="Arial" w:cs="Arial"/>
                <w:sz w:val="16"/>
                <w:szCs w:val="16"/>
                <w:vertAlign w:val="subscript"/>
              </w:rPr>
              <w:t>3</w:t>
            </w:r>
            <w:r w:rsidRPr="00883399">
              <w:rPr>
                <w:rFonts w:ascii="Arial" w:hAnsi="Arial" w:cs="Arial"/>
                <w:sz w:val="16"/>
                <w:szCs w:val="16"/>
              </w:rPr>
              <w:t>CH</w:t>
            </w:r>
            <w:r w:rsidRPr="00883399">
              <w:rPr>
                <w:rFonts w:ascii="Arial" w:hAnsi="Arial" w:cs="Arial"/>
                <w:sz w:val="16"/>
                <w:szCs w:val="16"/>
                <w:vertAlign w:val="subscript"/>
              </w:rPr>
              <w:t>3</w:t>
            </w:r>
            <w:r w:rsidRPr="00883399">
              <w:rPr>
                <w:rFonts w:ascii="Arial" w:hAnsi="Arial" w:cs="Arial"/>
                <w:sz w:val="16"/>
                <w:szCs w:val="16"/>
              </w:rPr>
              <w:t>)</w:t>
            </w:r>
          </w:p>
        </w:tc>
        <w:tc>
          <w:tcPr>
            <w:tcW w:w="1927" w:type="dxa"/>
            <w:vAlign w:val="center"/>
          </w:tcPr>
          <w:p w14:paraId="6FB76BA1"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4 470</w:t>
            </w:r>
          </w:p>
        </w:tc>
      </w:tr>
      <w:tr w:rsidR="00543576" w:rsidRPr="00883399" w14:paraId="32B729E8" w14:textId="77777777" w:rsidTr="00543576">
        <w:trPr>
          <w:trHeight w:val="292"/>
        </w:trPr>
        <w:tc>
          <w:tcPr>
            <w:tcW w:w="3354" w:type="dxa"/>
            <w:vAlign w:val="center"/>
          </w:tcPr>
          <w:p w14:paraId="714ED07F"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HFC</w:t>
            </w:r>
            <w:r w:rsidRPr="00883399">
              <w:rPr>
                <w:rFonts w:ascii="Arial" w:hAnsi="Arial" w:cs="Arial"/>
                <w:sz w:val="16"/>
                <w:szCs w:val="16"/>
              </w:rPr>
              <w:noBreakHyphen/>
              <w:t>152a</w:t>
            </w:r>
          </w:p>
        </w:tc>
        <w:tc>
          <w:tcPr>
            <w:tcW w:w="2780" w:type="dxa"/>
            <w:vAlign w:val="center"/>
          </w:tcPr>
          <w:p w14:paraId="77A17CFD"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C</w:t>
            </w:r>
            <w:r w:rsidRPr="00883399">
              <w:rPr>
                <w:rFonts w:ascii="Arial" w:hAnsi="Arial" w:cs="Arial"/>
                <w:sz w:val="16"/>
                <w:szCs w:val="16"/>
                <w:vertAlign w:val="subscript"/>
              </w:rPr>
              <w:t>2</w:t>
            </w:r>
            <w:r w:rsidRPr="00883399">
              <w:rPr>
                <w:rFonts w:ascii="Arial" w:hAnsi="Arial" w:cs="Arial"/>
                <w:sz w:val="16"/>
                <w:szCs w:val="16"/>
              </w:rPr>
              <w:t>H</w:t>
            </w:r>
            <w:r w:rsidRPr="00883399">
              <w:rPr>
                <w:rFonts w:ascii="Arial" w:hAnsi="Arial" w:cs="Arial"/>
                <w:sz w:val="16"/>
                <w:szCs w:val="16"/>
                <w:vertAlign w:val="subscript"/>
              </w:rPr>
              <w:t>4</w:t>
            </w:r>
            <w:r w:rsidRPr="00883399">
              <w:rPr>
                <w:rFonts w:ascii="Arial" w:hAnsi="Arial" w:cs="Arial"/>
                <w:sz w:val="16"/>
                <w:szCs w:val="16"/>
              </w:rPr>
              <w:t>F</w:t>
            </w:r>
            <w:r w:rsidRPr="00883399">
              <w:rPr>
                <w:rFonts w:ascii="Arial" w:hAnsi="Arial" w:cs="Arial"/>
                <w:sz w:val="16"/>
                <w:szCs w:val="16"/>
                <w:vertAlign w:val="subscript"/>
              </w:rPr>
              <w:t>2</w:t>
            </w:r>
            <w:r w:rsidRPr="00883399">
              <w:rPr>
                <w:rFonts w:ascii="Arial" w:hAnsi="Arial" w:cs="Arial"/>
                <w:sz w:val="16"/>
                <w:szCs w:val="16"/>
              </w:rPr>
              <w:t xml:space="preserve"> (CH</w:t>
            </w:r>
            <w:r w:rsidRPr="00883399">
              <w:rPr>
                <w:rFonts w:ascii="Arial" w:hAnsi="Arial" w:cs="Arial"/>
                <w:sz w:val="16"/>
                <w:szCs w:val="16"/>
                <w:vertAlign w:val="subscript"/>
              </w:rPr>
              <w:t>3</w:t>
            </w:r>
            <w:r w:rsidRPr="00883399">
              <w:rPr>
                <w:rFonts w:ascii="Arial" w:hAnsi="Arial" w:cs="Arial"/>
                <w:sz w:val="16"/>
                <w:szCs w:val="16"/>
              </w:rPr>
              <w:t>CHF</w:t>
            </w:r>
            <w:r w:rsidRPr="00883399">
              <w:rPr>
                <w:rFonts w:ascii="Arial" w:hAnsi="Arial" w:cs="Arial"/>
                <w:sz w:val="16"/>
                <w:szCs w:val="16"/>
                <w:vertAlign w:val="subscript"/>
              </w:rPr>
              <w:t>2</w:t>
            </w:r>
            <w:r w:rsidRPr="00883399">
              <w:rPr>
                <w:rFonts w:ascii="Arial" w:hAnsi="Arial" w:cs="Arial"/>
                <w:sz w:val="16"/>
                <w:szCs w:val="16"/>
              </w:rPr>
              <w:t>)</w:t>
            </w:r>
          </w:p>
        </w:tc>
        <w:tc>
          <w:tcPr>
            <w:tcW w:w="1927" w:type="dxa"/>
            <w:vAlign w:val="center"/>
          </w:tcPr>
          <w:p w14:paraId="0944E2A3"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124</w:t>
            </w:r>
          </w:p>
        </w:tc>
      </w:tr>
      <w:tr w:rsidR="00543576" w:rsidRPr="00883399" w14:paraId="3A6BFD8C" w14:textId="77777777" w:rsidTr="00543576">
        <w:trPr>
          <w:trHeight w:val="292"/>
        </w:trPr>
        <w:tc>
          <w:tcPr>
            <w:tcW w:w="3354" w:type="dxa"/>
            <w:vAlign w:val="center"/>
          </w:tcPr>
          <w:p w14:paraId="37CF86F1"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HFC</w:t>
            </w:r>
            <w:r w:rsidRPr="00883399">
              <w:rPr>
                <w:rFonts w:ascii="Arial" w:hAnsi="Arial" w:cs="Arial"/>
                <w:sz w:val="16"/>
                <w:szCs w:val="16"/>
              </w:rPr>
              <w:noBreakHyphen/>
              <w:t>227ea</w:t>
            </w:r>
          </w:p>
        </w:tc>
        <w:tc>
          <w:tcPr>
            <w:tcW w:w="2780" w:type="dxa"/>
            <w:vAlign w:val="center"/>
          </w:tcPr>
          <w:p w14:paraId="2F78A757"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C</w:t>
            </w:r>
            <w:r w:rsidRPr="00883399">
              <w:rPr>
                <w:rFonts w:ascii="Arial" w:hAnsi="Arial" w:cs="Arial"/>
                <w:sz w:val="16"/>
                <w:szCs w:val="16"/>
                <w:vertAlign w:val="subscript"/>
              </w:rPr>
              <w:t>3</w:t>
            </w:r>
            <w:r w:rsidRPr="00883399">
              <w:rPr>
                <w:rFonts w:ascii="Arial" w:hAnsi="Arial" w:cs="Arial"/>
                <w:sz w:val="16"/>
                <w:szCs w:val="16"/>
              </w:rPr>
              <w:t>HF</w:t>
            </w:r>
            <w:r w:rsidRPr="00883399">
              <w:rPr>
                <w:rFonts w:ascii="Arial" w:hAnsi="Arial" w:cs="Arial"/>
                <w:sz w:val="16"/>
                <w:szCs w:val="16"/>
                <w:vertAlign w:val="subscript"/>
              </w:rPr>
              <w:t>7</w:t>
            </w:r>
          </w:p>
        </w:tc>
        <w:tc>
          <w:tcPr>
            <w:tcW w:w="1927" w:type="dxa"/>
            <w:vAlign w:val="center"/>
          </w:tcPr>
          <w:p w14:paraId="42B87BA3"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3 220</w:t>
            </w:r>
          </w:p>
        </w:tc>
      </w:tr>
      <w:tr w:rsidR="00543576" w:rsidRPr="00883399" w14:paraId="720BF306" w14:textId="77777777" w:rsidTr="00543576">
        <w:trPr>
          <w:trHeight w:val="324"/>
        </w:trPr>
        <w:tc>
          <w:tcPr>
            <w:tcW w:w="3354" w:type="dxa"/>
            <w:vAlign w:val="center"/>
          </w:tcPr>
          <w:p w14:paraId="5BEABBD3"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HFC</w:t>
            </w:r>
            <w:r w:rsidRPr="00883399">
              <w:rPr>
                <w:rFonts w:ascii="Arial" w:hAnsi="Arial" w:cs="Arial"/>
                <w:sz w:val="16"/>
                <w:szCs w:val="16"/>
              </w:rPr>
              <w:noBreakHyphen/>
              <w:t>236fa</w:t>
            </w:r>
          </w:p>
        </w:tc>
        <w:tc>
          <w:tcPr>
            <w:tcW w:w="2780" w:type="dxa"/>
            <w:vAlign w:val="center"/>
          </w:tcPr>
          <w:p w14:paraId="573470EE"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C</w:t>
            </w:r>
            <w:r w:rsidRPr="00883399">
              <w:rPr>
                <w:rFonts w:ascii="Arial" w:hAnsi="Arial" w:cs="Arial"/>
                <w:sz w:val="16"/>
                <w:szCs w:val="16"/>
                <w:vertAlign w:val="subscript"/>
              </w:rPr>
              <w:t>3</w:t>
            </w:r>
            <w:r w:rsidRPr="00883399">
              <w:rPr>
                <w:rFonts w:ascii="Arial" w:hAnsi="Arial" w:cs="Arial"/>
                <w:sz w:val="16"/>
                <w:szCs w:val="16"/>
              </w:rPr>
              <w:t>H</w:t>
            </w:r>
            <w:r w:rsidRPr="00883399">
              <w:rPr>
                <w:rFonts w:ascii="Arial" w:hAnsi="Arial" w:cs="Arial"/>
                <w:sz w:val="16"/>
                <w:szCs w:val="16"/>
                <w:vertAlign w:val="subscript"/>
              </w:rPr>
              <w:t>2</w:t>
            </w:r>
            <w:r w:rsidRPr="00883399">
              <w:rPr>
                <w:rFonts w:ascii="Arial" w:hAnsi="Arial" w:cs="Arial"/>
                <w:sz w:val="16"/>
                <w:szCs w:val="16"/>
              </w:rPr>
              <w:t>F</w:t>
            </w:r>
            <w:r w:rsidRPr="00883399">
              <w:rPr>
                <w:rFonts w:ascii="Arial" w:hAnsi="Arial" w:cs="Arial"/>
                <w:sz w:val="16"/>
                <w:szCs w:val="16"/>
                <w:vertAlign w:val="subscript"/>
              </w:rPr>
              <w:t>6</w:t>
            </w:r>
          </w:p>
        </w:tc>
        <w:tc>
          <w:tcPr>
            <w:tcW w:w="1927" w:type="dxa"/>
            <w:vAlign w:val="center"/>
          </w:tcPr>
          <w:p w14:paraId="11DD4E27"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9 810</w:t>
            </w:r>
          </w:p>
        </w:tc>
      </w:tr>
      <w:tr w:rsidR="00543576" w:rsidRPr="00883399" w14:paraId="6140EACB" w14:textId="77777777" w:rsidTr="00543576">
        <w:trPr>
          <w:trHeight w:val="292"/>
        </w:trPr>
        <w:tc>
          <w:tcPr>
            <w:tcW w:w="3354" w:type="dxa"/>
            <w:vAlign w:val="center"/>
          </w:tcPr>
          <w:p w14:paraId="4F772A9C"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HFC</w:t>
            </w:r>
            <w:r w:rsidRPr="00883399">
              <w:rPr>
                <w:rFonts w:ascii="Arial" w:hAnsi="Arial" w:cs="Arial"/>
                <w:sz w:val="16"/>
                <w:szCs w:val="16"/>
              </w:rPr>
              <w:noBreakHyphen/>
              <w:t>245ca</w:t>
            </w:r>
          </w:p>
        </w:tc>
        <w:tc>
          <w:tcPr>
            <w:tcW w:w="2780" w:type="dxa"/>
            <w:vAlign w:val="center"/>
          </w:tcPr>
          <w:p w14:paraId="29AA7F36"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C</w:t>
            </w:r>
            <w:r w:rsidRPr="00883399">
              <w:rPr>
                <w:rFonts w:ascii="Arial" w:hAnsi="Arial" w:cs="Arial"/>
                <w:sz w:val="16"/>
                <w:szCs w:val="16"/>
                <w:vertAlign w:val="subscript"/>
              </w:rPr>
              <w:t>3</w:t>
            </w:r>
            <w:r w:rsidRPr="00883399">
              <w:rPr>
                <w:rFonts w:ascii="Arial" w:hAnsi="Arial" w:cs="Arial"/>
                <w:sz w:val="16"/>
                <w:szCs w:val="16"/>
              </w:rPr>
              <w:t>H</w:t>
            </w:r>
            <w:r w:rsidRPr="00883399">
              <w:rPr>
                <w:rFonts w:ascii="Arial" w:hAnsi="Arial" w:cs="Arial"/>
                <w:sz w:val="16"/>
                <w:szCs w:val="16"/>
                <w:vertAlign w:val="subscript"/>
              </w:rPr>
              <w:t>3</w:t>
            </w:r>
            <w:r w:rsidRPr="00883399">
              <w:rPr>
                <w:rFonts w:ascii="Arial" w:hAnsi="Arial" w:cs="Arial"/>
                <w:sz w:val="16"/>
                <w:szCs w:val="16"/>
              </w:rPr>
              <w:t>F</w:t>
            </w:r>
            <w:r w:rsidRPr="00883399">
              <w:rPr>
                <w:rFonts w:ascii="Arial" w:hAnsi="Arial" w:cs="Arial"/>
                <w:sz w:val="16"/>
                <w:szCs w:val="16"/>
                <w:vertAlign w:val="subscript"/>
              </w:rPr>
              <w:t>5</w:t>
            </w:r>
          </w:p>
        </w:tc>
        <w:tc>
          <w:tcPr>
            <w:tcW w:w="1927" w:type="dxa"/>
            <w:vAlign w:val="center"/>
          </w:tcPr>
          <w:p w14:paraId="0CDEFA9C"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693</w:t>
            </w:r>
          </w:p>
        </w:tc>
      </w:tr>
      <w:tr w:rsidR="00543576" w:rsidRPr="00883399" w14:paraId="259DA69A" w14:textId="77777777" w:rsidTr="00543576">
        <w:trPr>
          <w:trHeight w:val="615"/>
        </w:trPr>
        <w:tc>
          <w:tcPr>
            <w:tcW w:w="3354" w:type="dxa"/>
            <w:vAlign w:val="center"/>
          </w:tcPr>
          <w:p w14:paraId="127C4976"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Perfluoromethane (tetrafluoromethane)</w:t>
            </w:r>
          </w:p>
        </w:tc>
        <w:tc>
          <w:tcPr>
            <w:tcW w:w="2780" w:type="dxa"/>
            <w:vAlign w:val="center"/>
          </w:tcPr>
          <w:p w14:paraId="451AF3EE"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CF</w:t>
            </w:r>
            <w:r w:rsidRPr="00883399">
              <w:rPr>
                <w:rFonts w:ascii="Arial" w:hAnsi="Arial" w:cs="Arial"/>
                <w:sz w:val="16"/>
                <w:szCs w:val="16"/>
                <w:vertAlign w:val="subscript"/>
              </w:rPr>
              <w:t>4</w:t>
            </w:r>
          </w:p>
        </w:tc>
        <w:tc>
          <w:tcPr>
            <w:tcW w:w="1927" w:type="dxa"/>
            <w:vAlign w:val="center"/>
          </w:tcPr>
          <w:p w14:paraId="360CD6EA"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7 390</w:t>
            </w:r>
          </w:p>
        </w:tc>
      </w:tr>
      <w:tr w:rsidR="00543576" w:rsidRPr="00883399" w14:paraId="5DC139C9" w14:textId="77777777" w:rsidTr="00543576">
        <w:trPr>
          <w:trHeight w:val="615"/>
        </w:trPr>
        <w:tc>
          <w:tcPr>
            <w:tcW w:w="3354" w:type="dxa"/>
            <w:vAlign w:val="center"/>
          </w:tcPr>
          <w:p w14:paraId="2C0D2263"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Perfluoroethane (hexafluoroethane)</w:t>
            </w:r>
          </w:p>
        </w:tc>
        <w:tc>
          <w:tcPr>
            <w:tcW w:w="2780" w:type="dxa"/>
            <w:vAlign w:val="center"/>
          </w:tcPr>
          <w:p w14:paraId="0EECEB89"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C</w:t>
            </w:r>
            <w:r w:rsidRPr="00883399">
              <w:rPr>
                <w:rFonts w:ascii="Arial" w:hAnsi="Arial" w:cs="Arial"/>
                <w:sz w:val="16"/>
                <w:szCs w:val="16"/>
                <w:vertAlign w:val="subscript"/>
              </w:rPr>
              <w:t>2</w:t>
            </w:r>
            <w:r w:rsidRPr="00883399">
              <w:rPr>
                <w:rFonts w:ascii="Arial" w:hAnsi="Arial" w:cs="Arial"/>
                <w:sz w:val="16"/>
                <w:szCs w:val="16"/>
              </w:rPr>
              <w:t>F</w:t>
            </w:r>
            <w:r w:rsidRPr="00883399">
              <w:rPr>
                <w:rFonts w:ascii="Arial" w:hAnsi="Arial" w:cs="Arial"/>
                <w:sz w:val="16"/>
                <w:szCs w:val="16"/>
                <w:vertAlign w:val="subscript"/>
              </w:rPr>
              <w:t>6</w:t>
            </w:r>
          </w:p>
        </w:tc>
        <w:tc>
          <w:tcPr>
            <w:tcW w:w="1927" w:type="dxa"/>
            <w:vAlign w:val="center"/>
          </w:tcPr>
          <w:p w14:paraId="3214A9C2"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12 200</w:t>
            </w:r>
          </w:p>
        </w:tc>
      </w:tr>
      <w:tr w:rsidR="00543576" w:rsidRPr="00883399" w14:paraId="3C371EF6" w14:textId="77777777" w:rsidTr="00543576">
        <w:trPr>
          <w:trHeight w:val="324"/>
        </w:trPr>
        <w:tc>
          <w:tcPr>
            <w:tcW w:w="3354" w:type="dxa"/>
            <w:vAlign w:val="center"/>
          </w:tcPr>
          <w:p w14:paraId="58D2CAB4"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Perfluoropropane</w:t>
            </w:r>
          </w:p>
        </w:tc>
        <w:tc>
          <w:tcPr>
            <w:tcW w:w="2780" w:type="dxa"/>
            <w:vAlign w:val="center"/>
          </w:tcPr>
          <w:p w14:paraId="29B750CE"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C</w:t>
            </w:r>
            <w:r w:rsidRPr="00883399">
              <w:rPr>
                <w:rFonts w:ascii="Arial" w:hAnsi="Arial" w:cs="Arial"/>
                <w:sz w:val="16"/>
                <w:szCs w:val="16"/>
                <w:vertAlign w:val="subscript"/>
              </w:rPr>
              <w:t>3</w:t>
            </w:r>
            <w:r w:rsidRPr="00883399">
              <w:rPr>
                <w:rFonts w:ascii="Arial" w:hAnsi="Arial" w:cs="Arial"/>
                <w:sz w:val="16"/>
                <w:szCs w:val="16"/>
              </w:rPr>
              <w:t>F</w:t>
            </w:r>
            <w:r w:rsidRPr="00883399">
              <w:rPr>
                <w:rFonts w:ascii="Arial" w:hAnsi="Arial" w:cs="Arial"/>
                <w:sz w:val="16"/>
                <w:szCs w:val="16"/>
                <w:vertAlign w:val="subscript"/>
              </w:rPr>
              <w:t>8</w:t>
            </w:r>
          </w:p>
        </w:tc>
        <w:tc>
          <w:tcPr>
            <w:tcW w:w="1927" w:type="dxa"/>
            <w:vAlign w:val="center"/>
          </w:tcPr>
          <w:p w14:paraId="78A3BA83"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8 830</w:t>
            </w:r>
          </w:p>
        </w:tc>
      </w:tr>
      <w:tr w:rsidR="00543576" w:rsidRPr="00883399" w14:paraId="36BEB40D" w14:textId="77777777" w:rsidTr="00543576">
        <w:trPr>
          <w:trHeight w:val="292"/>
        </w:trPr>
        <w:tc>
          <w:tcPr>
            <w:tcW w:w="3354" w:type="dxa"/>
            <w:vAlign w:val="center"/>
          </w:tcPr>
          <w:p w14:paraId="29ABA872"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Perfluorobutane</w:t>
            </w:r>
          </w:p>
        </w:tc>
        <w:tc>
          <w:tcPr>
            <w:tcW w:w="2780" w:type="dxa"/>
            <w:vAlign w:val="center"/>
          </w:tcPr>
          <w:p w14:paraId="3969F887"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C</w:t>
            </w:r>
            <w:r w:rsidRPr="00883399">
              <w:rPr>
                <w:rFonts w:ascii="Arial" w:hAnsi="Arial" w:cs="Arial"/>
                <w:sz w:val="16"/>
                <w:szCs w:val="16"/>
                <w:vertAlign w:val="subscript"/>
              </w:rPr>
              <w:t>4</w:t>
            </w:r>
            <w:r w:rsidRPr="00883399">
              <w:rPr>
                <w:rFonts w:ascii="Arial" w:hAnsi="Arial" w:cs="Arial"/>
                <w:sz w:val="16"/>
                <w:szCs w:val="16"/>
              </w:rPr>
              <w:t>F</w:t>
            </w:r>
            <w:r w:rsidRPr="00883399">
              <w:rPr>
                <w:rFonts w:ascii="Arial" w:hAnsi="Arial" w:cs="Arial"/>
                <w:sz w:val="16"/>
                <w:szCs w:val="16"/>
                <w:vertAlign w:val="subscript"/>
              </w:rPr>
              <w:t>10</w:t>
            </w:r>
          </w:p>
        </w:tc>
        <w:tc>
          <w:tcPr>
            <w:tcW w:w="1927" w:type="dxa"/>
            <w:vAlign w:val="center"/>
          </w:tcPr>
          <w:p w14:paraId="31702816"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8 860</w:t>
            </w:r>
          </w:p>
        </w:tc>
      </w:tr>
      <w:tr w:rsidR="00543576" w:rsidRPr="00883399" w14:paraId="4D36C038" w14:textId="77777777" w:rsidTr="00543576">
        <w:trPr>
          <w:trHeight w:val="292"/>
        </w:trPr>
        <w:tc>
          <w:tcPr>
            <w:tcW w:w="3354" w:type="dxa"/>
            <w:vAlign w:val="center"/>
          </w:tcPr>
          <w:p w14:paraId="4D0E2B51"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Perfluorocyclobutane</w:t>
            </w:r>
          </w:p>
        </w:tc>
        <w:tc>
          <w:tcPr>
            <w:tcW w:w="2780" w:type="dxa"/>
            <w:vAlign w:val="center"/>
          </w:tcPr>
          <w:p w14:paraId="33A09F0A"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c</w:t>
            </w:r>
            <w:r w:rsidRPr="00883399">
              <w:rPr>
                <w:rFonts w:ascii="Arial" w:hAnsi="Arial" w:cs="Arial"/>
                <w:sz w:val="16"/>
                <w:szCs w:val="16"/>
              </w:rPr>
              <w:noBreakHyphen/>
              <w:t>C</w:t>
            </w:r>
            <w:r w:rsidRPr="00883399">
              <w:rPr>
                <w:rFonts w:ascii="Arial" w:hAnsi="Arial" w:cs="Arial"/>
                <w:sz w:val="16"/>
                <w:szCs w:val="16"/>
                <w:vertAlign w:val="subscript"/>
              </w:rPr>
              <w:t>4</w:t>
            </w:r>
            <w:r w:rsidRPr="00883399">
              <w:rPr>
                <w:rFonts w:ascii="Arial" w:hAnsi="Arial" w:cs="Arial"/>
                <w:sz w:val="16"/>
                <w:szCs w:val="16"/>
              </w:rPr>
              <w:t>F</w:t>
            </w:r>
            <w:r w:rsidRPr="00883399">
              <w:rPr>
                <w:rFonts w:ascii="Arial" w:hAnsi="Arial" w:cs="Arial"/>
                <w:sz w:val="16"/>
                <w:szCs w:val="16"/>
                <w:vertAlign w:val="subscript"/>
              </w:rPr>
              <w:t>8</w:t>
            </w:r>
          </w:p>
        </w:tc>
        <w:tc>
          <w:tcPr>
            <w:tcW w:w="1927" w:type="dxa"/>
            <w:vAlign w:val="center"/>
          </w:tcPr>
          <w:p w14:paraId="34020997"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10 300</w:t>
            </w:r>
          </w:p>
        </w:tc>
      </w:tr>
      <w:tr w:rsidR="00543576" w:rsidRPr="00883399" w14:paraId="5ECD5099" w14:textId="77777777" w:rsidTr="00543576">
        <w:trPr>
          <w:trHeight w:val="292"/>
        </w:trPr>
        <w:tc>
          <w:tcPr>
            <w:tcW w:w="3354" w:type="dxa"/>
            <w:vAlign w:val="center"/>
          </w:tcPr>
          <w:p w14:paraId="4879006E"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Perfluoropentane</w:t>
            </w:r>
          </w:p>
        </w:tc>
        <w:tc>
          <w:tcPr>
            <w:tcW w:w="2780" w:type="dxa"/>
            <w:vAlign w:val="center"/>
          </w:tcPr>
          <w:p w14:paraId="65125EDD"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C</w:t>
            </w:r>
            <w:r w:rsidRPr="00883399">
              <w:rPr>
                <w:rFonts w:ascii="Arial" w:hAnsi="Arial" w:cs="Arial"/>
                <w:sz w:val="16"/>
                <w:szCs w:val="16"/>
                <w:vertAlign w:val="subscript"/>
              </w:rPr>
              <w:t>5</w:t>
            </w:r>
            <w:r w:rsidRPr="00883399">
              <w:rPr>
                <w:rFonts w:ascii="Arial" w:hAnsi="Arial" w:cs="Arial"/>
                <w:sz w:val="16"/>
                <w:szCs w:val="16"/>
              </w:rPr>
              <w:t>F</w:t>
            </w:r>
            <w:r w:rsidRPr="00883399">
              <w:rPr>
                <w:rFonts w:ascii="Arial" w:hAnsi="Arial" w:cs="Arial"/>
                <w:sz w:val="16"/>
                <w:szCs w:val="16"/>
                <w:vertAlign w:val="subscript"/>
              </w:rPr>
              <w:t>12</w:t>
            </w:r>
          </w:p>
        </w:tc>
        <w:tc>
          <w:tcPr>
            <w:tcW w:w="1927" w:type="dxa"/>
            <w:vAlign w:val="center"/>
          </w:tcPr>
          <w:p w14:paraId="0CCE3B80"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9 160</w:t>
            </w:r>
          </w:p>
        </w:tc>
      </w:tr>
      <w:tr w:rsidR="00543576" w:rsidRPr="00883399" w14:paraId="0CA3CC08" w14:textId="77777777" w:rsidTr="00543576">
        <w:trPr>
          <w:trHeight w:val="324"/>
        </w:trPr>
        <w:tc>
          <w:tcPr>
            <w:tcW w:w="3354" w:type="dxa"/>
            <w:vAlign w:val="center"/>
          </w:tcPr>
          <w:p w14:paraId="0599F925"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Perfluorohexane</w:t>
            </w:r>
          </w:p>
        </w:tc>
        <w:tc>
          <w:tcPr>
            <w:tcW w:w="2780" w:type="dxa"/>
            <w:vAlign w:val="center"/>
          </w:tcPr>
          <w:p w14:paraId="7EF7A1B5"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C</w:t>
            </w:r>
            <w:r w:rsidRPr="00883399">
              <w:rPr>
                <w:rFonts w:ascii="Arial" w:hAnsi="Arial" w:cs="Arial"/>
                <w:sz w:val="16"/>
                <w:szCs w:val="16"/>
                <w:vertAlign w:val="subscript"/>
              </w:rPr>
              <w:t>6</w:t>
            </w:r>
            <w:r w:rsidRPr="00883399">
              <w:rPr>
                <w:rFonts w:ascii="Arial" w:hAnsi="Arial" w:cs="Arial"/>
                <w:sz w:val="16"/>
                <w:szCs w:val="16"/>
              </w:rPr>
              <w:t>F</w:t>
            </w:r>
            <w:r w:rsidRPr="00883399">
              <w:rPr>
                <w:rFonts w:ascii="Arial" w:hAnsi="Arial" w:cs="Arial"/>
                <w:sz w:val="16"/>
                <w:szCs w:val="16"/>
                <w:vertAlign w:val="subscript"/>
              </w:rPr>
              <w:t>14</w:t>
            </w:r>
          </w:p>
        </w:tc>
        <w:tc>
          <w:tcPr>
            <w:tcW w:w="1927" w:type="dxa"/>
            <w:vAlign w:val="center"/>
          </w:tcPr>
          <w:p w14:paraId="7D038F77" w14:textId="77777777" w:rsidR="00543576" w:rsidRPr="00883399" w:rsidRDefault="00543576" w:rsidP="00543576">
            <w:pPr>
              <w:pStyle w:val="tabletext1"/>
              <w:jc w:val="center"/>
              <w:rPr>
                <w:rFonts w:ascii="Arial" w:hAnsi="Arial" w:cs="Arial"/>
                <w:sz w:val="16"/>
                <w:szCs w:val="16"/>
              </w:rPr>
            </w:pPr>
            <w:r w:rsidRPr="00883399">
              <w:rPr>
                <w:rFonts w:ascii="Arial" w:hAnsi="Arial" w:cs="Arial"/>
                <w:sz w:val="16"/>
                <w:szCs w:val="16"/>
              </w:rPr>
              <w:t>9 300</w:t>
            </w:r>
          </w:p>
        </w:tc>
      </w:tr>
    </w:tbl>
    <w:p w14:paraId="02D715DE" w14:textId="77777777" w:rsidR="007261F7" w:rsidRPr="00883399" w:rsidRDefault="007261F7"/>
    <w:p w14:paraId="106E99A7" w14:textId="77777777" w:rsidR="002C4B36" w:rsidRPr="00883399" w:rsidRDefault="002C4B36" w:rsidP="002C4B36">
      <w:pPr>
        <w:pStyle w:val="Caption"/>
        <w:outlineLvl w:val="0"/>
        <w:rPr>
          <w:rFonts w:ascii="Arial" w:hAnsi="Arial" w:cs="Arial"/>
          <w:b w:val="0"/>
          <w:i/>
          <w:iCs/>
          <w:sz w:val="16"/>
          <w:szCs w:val="16"/>
        </w:rPr>
      </w:pPr>
      <w:r w:rsidRPr="00883399">
        <w:rPr>
          <w:rFonts w:ascii="Arial" w:hAnsi="Arial" w:cs="Arial"/>
          <w:b w:val="0"/>
          <w:i/>
          <w:iCs/>
          <w:sz w:val="16"/>
          <w:szCs w:val="16"/>
        </w:rPr>
        <w:t>Note 1:       Global Warming Potential (also known as GWP) is defined in the Glossary published by the UNFCCC as an index representing the combined effect of the differing times greenhouse gases remain in the atmosphere and their relative effectiveness in absorbing outgoing infrared radiation.</w:t>
      </w:r>
    </w:p>
    <w:p w14:paraId="7E095164" w14:textId="77777777" w:rsidR="002C4B36" w:rsidRPr="00883399" w:rsidRDefault="002C4B36" w:rsidP="002C4B36">
      <w:pPr>
        <w:pStyle w:val="Caption"/>
        <w:outlineLvl w:val="0"/>
        <w:rPr>
          <w:rFonts w:ascii="Arial" w:hAnsi="Arial" w:cs="Arial"/>
          <w:b w:val="0"/>
          <w:i/>
          <w:iCs/>
          <w:sz w:val="16"/>
          <w:szCs w:val="16"/>
        </w:rPr>
      </w:pPr>
      <w:r w:rsidRPr="00883399">
        <w:rPr>
          <w:rFonts w:ascii="Arial" w:hAnsi="Arial" w:cs="Arial"/>
          <w:b w:val="0"/>
          <w:i/>
          <w:iCs/>
          <w:sz w:val="16"/>
          <w:szCs w:val="16"/>
        </w:rPr>
        <w:t>Note 2:       The Global Warming Potential figures in the above table are the figures published by the Intergovernmental Panel on Climate Change in Climate Change 2007: The Physical Science Basis (Cambridge, UK: Cambridge University Press, 2007).</w:t>
      </w:r>
    </w:p>
    <w:p w14:paraId="4684633D" w14:textId="5BD472DE" w:rsidR="007261F7" w:rsidRPr="00883399" w:rsidRDefault="007261F7" w:rsidP="00466A53">
      <w:pPr>
        <w:pStyle w:val="Caption"/>
        <w:outlineLvl w:val="0"/>
      </w:pPr>
      <w:r w:rsidRPr="00883399">
        <w:br w:type="page"/>
        <w:t>Metric prefixes</w:t>
      </w:r>
      <w:bookmarkEnd w:id="13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2700"/>
        <w:gridCol w:w="1800"/>
      </w:tblGrid>
      <w:tr w:rsidR="007261F7" w:rsidRPr="00883399" w14:paraId="0469D3F1" w14:textId="77777777">
        <w:tc>
          <w:tcPr>
            <w:tcW w:w="3060" w:type="dxa"/>
            <w:shd w:val="pct15" w:color="auto" w:fill="auto"/>
          </w:tcPr>
          <w:p w14:paraId="5FDFE304" w14:textId="77777777" w:rsidR="007261F7" w:rsidRPr="00883399" w:rsidRDefault="007261F7">
            <w:pPr>
              <w:pStyle w:val="Table"/>
              <w:rPr>
                <w:b/>
                <w:bCs/>
              </w:rPr>
            </w:pPr>
            <w:r w:rsidRPr="00883399">
              <w:rPr>
                <w:b/>
                <w:bCs/>
              </w:rPr>
              <w:t>Prefix</w:t>
            </w:r>
          </w:p>
        </w:tc>
        <w:tc>
          <w:tcPr>
            <w:tcW w:w="2700" w:type="dxa"/>
            <w:shd w:val="pct15" w:color="auto" w:fill="auto"/>
          </w:tcPr>
          <w:p w14:paraId="2B14F1B6" w14:textId="77777777" w:rsidR="007261F7" w:rsidRPr="00883399" w:rsidRDefault="007261F7">
            <w:pPr>
              <w:pStyle w:val="Table"/>
              <w:rPr>
                <w:b/>
                <w:bCs/>
              </w:rPr>
            </w:pPr>
            <w:r w:rsidRPr="00883399">
              <w:rPr>
                <w:b/>
                <w:bCs/>
              </w:rPr>
              <w:t>Abbreviation</w:t>
            </w:r>
          </w:p>
        </w:tc>
        <w:tc>
          <w:tcPr>
            <w:tcW w:w="1800" w:type="dxa"/>
            <w:shd w:val="pct15" w:color="auto" w:fill="auto"/>
          </w:tcPr>
          <w:p w14:paraId="5D89A41D" w14:textId="77777777" w:rsidR="007261F7" w:rsidRPr="00883399" w:rsidRDefault="007261F7">
            <w:pPr>
              <w:pStyle w:val="Table"/>
              <w:rPr>
                <w:b/>
                <w:bCs/>
              </w:rPr>
            </w:pPr>
            <w:r w:rsidRPr="00883399">
              <w:rPr>
                <w:b/>
                <w:bCs/>
              </w:rPr>
              <w:t>Symbol</w:t>
            </w:r>
          </w:p>
        </w:tc>
      </w:tr>
      <w:tr w:rsidR="007261F7" w:rsidRPr="00883399" w14:paraId="753DE899" w14:textId="77777777">
        <w:tc>
          <w:tcPr>
            <w:tcW w:w="3060" w:type="dxa"/>
          </w:tcPr>
          <w:p w14:paraId="6AF46B23" w14:textId="77777777" w:rsidR="007261F7" w:rsidRPr="00883399" w:rsidRDefault="007261F7">
            <w:pPr>
              <w:pStyle w:val="Table"/>
            </w:pPr>
            <w:r w:rsidRPr="00883399">
              <w:t>Peta (million billion [thousand trillion])</w:t>
            </w:r>
          </w:p>
        </w:tc>
        <w:tc>
          <w:tcPr>
            <w:tcW w:w="2700" w:type="dxa"/>
          </w:tcPr>
          <w:p w14:paraId="3DBF0C76" w14:textId="77777777" w:rsidR="007261F7" w:rsidRPr="00883399" w:rsidRDefault="007261F7">
            <w:pPr>
              <w:pStyle w:val="Table"/>
            </w:pPr>
            <w:r w:rsidRPr="00883399">
              <w:t>10</w:t>
            </w:r>
            <w:r w:rsidRPr="00883399">
              <w:rPr>
                <w:vertAlign w:val="superscript"/>
              </w:rPr>
              <w:t>15</w:t>
            </w:r>
            <w:r w:rsidRPr="00883399">
              <w:t xml:space="preserve"> (10</w:t>
            </w:r>
            <w:r w:rsidRPr="00883399">
              <w:rPr>
                <w:rStyle w:val="Superscript"/>
                <w:rFonts w:cs="Arial"/>
              </w:rPr>
              <w:t>6</w:t>
            </w:r>
            <w:r w:rsidRPr="00883399">
              <w:t>x10</w:t>
            </w:r>
            <w:r w:rsidRPr="00883399">
              <w:rPr>
                <w:rStyle w:val="Superscript"/>
                <w:rFonts w:cs="Arial"/>
              </w:rPr>
              <w:t>9</w:t>
            </w:r>
            <w:r w:rsidRPr="00883399">
              <w:t>)</w:t>
            </w:r>
          </w:p>
        </w:tc>
        <w:tc>
          <w:tcPr>
            <w:tcW w:w="1800" w:type="dxa"/>
          </w:tcPr>
          <w:p w14:paraId="654DD053" w14:textId="77777777" w:rsidR="007261F7" w:rsidRPr="00883399" w:rsidRDefault="007261F7">
            <w:pPr>
              <w:pStyle w:val="Table"/>
            </w:pPr>
            <w:r w:rsidRPr="00883399">
              <w:t>P</w:t>
            </w:r>
          </w:p>
        </w:tc>
      </w:tr>
      <w:tr w:rsidR="007261F7" w:rsidRPr="00883399" w14:paraId="4412EFE9" w14:textId="77777777">
        <w:tc>
          <w:tcPr>
            <w:tcW w:w="3060" w:type="dxa"/>
          </w:tcPr>
          <w:p w14:paraId="63113DBA" w14:textId="77777777" w:rsidR="007261F7" w:rsidRPr="00883399" w:rsidRDefault="007261F7">
            <w:pPr>
              <w:pStyle w:val="Table"/>
            </w:pPr>
            <w:r w:rsidRPr="00883399">
              <w:t>Tera (thousand billion [trillion])</w:t>
            </w:r>
          </w:p>
        </w:tc>
        <w:tc>
          <w:tcPr>
            <w:tcW w:w="2700" w:type="dxa"/>
          </w:tcPr>
          <w:p w14:paraId="2779E40F" w14:textId="77777777" w:rsidR="007261F7" w:rsidRPr="00883399" w:rsidRDefault="007261F7">
            <w:pPr>
              <w:pStyle w:val="Table"/>
            </w:pPr>
            <w:r w:rsidRPr="00883399">
              <w:t>10</w:t>
            </w:r>
            <w:r w:rsidRPr="00883399">
              <w:rPr>
                <w:vertAlign w:val="superscript"/>
              </w:rPr>
              <w:t>12</w:t>
            </w:r>
            <w:r w:rsidRPr="00883399">
              <w:t xml:space="preserve"> (10</w:t>
            </w:r>
            <w:r w:rsidRPr="00883399">
              <w:rPr>
                <w:rStyle w:val="Superscript"/>
                <w:rFonts w:cs="Arial"/>
              </w:rPr>
              <w:t>3</w:t>
            </w:r>
            <w:r w:rsidRPr="00883399">
              <w:t>x10</w:t>
            </w:r>
            <w:r w:rsidRPr="00883399">
              <w:rPr>
                <w:rStyle w:val="Superscript"/>
                <w:rFonts w:cs="Arial"/>
              </w:rPr>
              <w:t>9</w:t>
            </w:r>
            <w:r w:rsidRPr="00883399">
              <w:t>)</w:t>
            </w:r>
          </w:p>
        </w:tc>
        <w:tc>
          <w:tcPr>
            <w:tcW w:w="1800" w:type="dxa"/>
          </w:tcPr>
          <w:p w14:paraId="0A2EE4FA" w14:textId="77777777" w:rsidR="007261F7" w:rsidRPr="00883399" w:rsidRDefault="007261F7">
            <w:pPr>
              <w:pStyle w:val="Table"/>
            </w:pPr>
            <w:r w:rsidRPr="00883399">
              <w:t>T</w:t>
            </w:r>
          </w:p>
        </w:tc>
      </w:tr>
      <w:tr w:rsidR="007261F7" w:rsidRPr="00883399" w14:paraId="6F04F7E5" w14:textId="77777777">
        <w:tc>
          <w:tcPr>
            <w:tcW w:w="3060" w:type="dxa"/>
          </w:tcPr>
          <w:p w14:paraId="258A941D" w14:textId="77777777" w:rsidR="007261F7" w:rsidRPr="00883399" w:rsidRDefault="007261F7">
            <w:pPr>
              <w:pStyle w:val="Table"/>
            </w:pPr>
            <w:r w:rsidRPr="00883399">
              <w:t>Giga (billion)</w:t>
            </w:r>
          </w:p>
        </w:tc>
        <w:tc>
          <w:tcPr>
            <w:tcW w:w="2700" w:type="dxa"/>
          </w:tcPr>
          <w:p w14:paraId="5060E78A" w14:textId="77777777" w:rsidR="007261F7" w:rsidRPr="00883399" w:rsidRDefault="007261F7">
            <w:pPr>
              <w:pStyle w:val="Table"/>
            </w:pPr>
            <w:r w:rsidRPr="00883399">
              <w:t>10</w:t>
            </w:r>
            <w:r w:rsidRPr="00883399">
              <w:rPr>
                <w:rStyle w:val="Superscript"/>
                <w:rFonts w:cs="Arial"/>
              </w:rPr>
              <w:t>9</w:t>
            </w:r>
          </w:p>
        </w:tc>
        <w:tc>
          <w:tcPr>
            <w:tcW w:w="1800" w:type="dxa"/>
          </w:tcPr>
          <w:p w14:paraId="309F6C28" w14:textId="77777777" w:rsidR="007261F7" w:rsidRPr="00883399" w:rsidRDefault="007261F7">
            <w:pPr>
              <w:pStyle w:val="Table"/>
            </w:pPr>
            <w:r w:rsidRPr="00883399">
              <w:t>G</w:t>
            </w:r>
          </w:p>
        </w:tc>
      </w:tr>
      <w:tr w:rsidR="007261F7" w:rsidRPr="00883399" w14:paraId="77D94CD1" w14:textId="77777777">
        <w:tc>
          <w:tcPr>
            <w:tcW w:w="3060" w:type="dxa"/>
          </w:tcPr>
          <w:p w14:paraId="2CA70354" w14:textId="77777777" w:rsidR="007261F7" w:rsidRPr="00883399" w:rsidRDefault="007261F7">
            <w:pPr>
              <w:pStyle w:val="Table"/>
            </w:pPr>
            <w:r w:rsidRPr="00883399">
              <w:t>Mega (million)</w:t>
            </w:r>
          </w:p>
        </w:tc>
        <w:tc>
          <w:tcPr>
            <w:tcW w:w="2700" w:type="dxa"/>
          </w:tcPr>
          <w:p w14:paraId="1E37802A" w14:textId="77777777" w:rsidR="007261F7" w:rsidRPr="00883399" w:rsidRDefault="007261F7">
            <w:pPr>
              <w:pStyle w:val="Table"/>
            </w:pPr>
            <w:r w:rsidRPr="00883399">
              <w:t>10</w:t>
            </w:r>
            <w:r w:rsidRPr="00883399">
              <w:rPr>
                <w:rStyle w:val="Superscript"/>
                <w:rFonts w:cs="Arial"/>
              </w:rPr>
              <w:t>6</w:t>
            </w:r>
          </w:p>
        </w:tc>
        <w:tc>
          <w:tcPr>
            <w:tcW w:w="1800" w:type="dxa"/>
          </w:tcPr>
          <w:p w14:paraId="523C8C25" w14:textId="77777777" w:rsidR="007261F7" w:rsidRPr="00883399" w:rsidRDefault="007261F7">
            <w:pPr>
              <w:pStyle w:val="Table"/>
            </w:pPr>
            <w:r w:rsidRPr="00883399">
              <w:t>M</w:t>
            </w:r>
          </w:p>
        </w:tc>
      </w:tr>
      <w:tr w:rsidR="007261F7" w:rsidRPr="00883399" w14:paraId="6BB8214D" w14:textId="77777777">
        <w:tc>
          <w:tcPr>
            <w:tcW w:w="3060" w:type="dxa"/>
          </w:tcPr>
          <w:p w14:paraId="6664E4E9" w14:textId="77777777" w:rsidR="007261F7" w:rsidRPr="00883399" w:rsidRDefault="007261F7">
            <w:pPr>
              <w:pStyle w:val="Table"/>
            </w:pPr>
            <w:r w:rsidRPr="00883399">
              <w:t>kilo (thousand)</w:t>
            </w:r>
          </w:p>
        </w:tc>
        <w:tc>
          <w:tcPr>
            <w:tcW w:w="2700" w:type="dxa"/>
          </w:tcPr>
          <w:p w14:paraId="47AEA991" w14:textId="77777777" w:rsidR="007261F7" w:rsidRPr="00883399" w:rsidRDefault="007261F7">
            <w:pPr>
              <w:pStyle w:val="Table"/>
            </w:pPr>
            <w:r w:rsidRPr="00883399">
              <w:t>10</w:t>
            </w:r>
            <w:r w:rsidRPr="00883399">
              <w:rPr>
                <w:rStyle w:val="Superscript"/>
                <w:rFonts w:cs="Arial"/>
              </w:rPr>
              <w:t>3</w:t>
            </w:r>
          </w:p>
        </w:tc>
        <w:tc>
          <w:tcPr>
            <w:tcW w:w="1800" w:type="dxa"/>
          </w:tcPr>
          <w:p w14:paraId="12AC013C" w14:textId="77777777" w:rsidR="007261F7" w:rsidRPr="00883399" w:rsidRDefault="007261F7">
            <w:pPr>
              <w:pStyle w:val="Table"/>
            </w:pPr>
            <w:r w:rsidRPr="00883399">
              <w:t>k</w:t>
            </w:r>
          </w:p>
        </w:tc>
      </w:tr>
      <w:tr w:rsidR="007261F7" w:rsidRPr="00883399" w14:paraId="2EABCF93" w14:textId="77777777">
        <w:tc>
          <w:tcPr>
            <w:tcW w:w="3060" w:type="dxa"/>
          </w:tcPr>
          <w:p w14:paraId="11E28442" w14:textId="77777777" w:rsidR="007261F7" w:rsidRPr="00883399" w:rsidRDefault="007261F7">
            <w:pPr>
              <w:pStyle w:val="Table"/>
            </w:pPr>
            <w:r w:rsidRPr="00883399">
              <w:t>hecto</w:t>
            </w:r>
          </w:p>
        </w:tc>
        <w:tc>
          <w:tcPr>
            <w:tcW w:w="2700" w:type="dxa"/>
          </w:tcPr>
          <w:p w14:paraId="39F88010" w14:textId="77777777" w:rsidR="007261F7" w:rsidRPr="00883399" w:rsidRDefault="007261F7">
            <w:pPr>
              <w:pStyle w:val="Table"/>
            </w:pPr>
            <w:r w:rsidRPr="00883399">
              <w:t>10</w:t>
            </w:r>
            <w:r w:rsidRPr="00883399">
              <w:rPr>
                <w:rStyle w:val="Superscript"/>
                <w:rFonts w:cs="Arial"/>
              </w:rPr>
              <w:t>2</w:t>
            </w:r>
          </w:p>
        </w:tc>
        <w:tc>
          <w:tcPr>
            <w:tcW w:w="1800" w:type="dxa"/>
          </w:tcPr>
          <w:p w14:paraId="0D55C679" w14:textId="77777777" w:rsidR="007261F7" w:rsidRPr="00883399" w:rsidRDefault="007261F7">
            <w:pPr>
              <w:pStyle w:val="Table"/>
            </w:pPr>
            <w:r w:rsidRPr="00883399">
              <w:t>h</w:t>
            </w:r>
          </w:p>
        </w:tc>
      </w:tr>
      <w:tr w:rsidR="007261F7" w:rsidRPr="00883399" w14:paraId="1558CF19" w14:textId="77777777">
        <w:tc>
          <w:tcPr>
            <w:tcW w:w="3060" w:type="dxa"/>
          </w:tcPr>
          <w:p w14:paraId="1046F60C" w14:textId="77777777" w:rsidR="007261F7" w:rsidRPr="00883399" w:rsidRDefault="007261F7">
            <w:pPr>
              <w:pStyle w:val="Table"/>
            </w:pPr>
            <w:r w:rsidRPr="00883399">
              <w:t>deca</w:t>
            </w:r>
          </w:p>
        </w:tc>
        <w:tc>
          <w:tcPr>
            <w:tcW w:w="2700" w:type="dxa"/>
          </w:tcPr>
          <w:p w14:paraId="0D59F451" w14:textId="77777777" w:rsidR="007261F7" w:rsidRPr="00883399" w:rsidRDefault="007261F7">
            <w:pPr>
              <w:pStyle w:val="Table"/>
            </w:pPr>
            <w:r w:rsidRPr="00883399">
              <w:t>10</w:t>
            </w:r>
            <w:r w:rsidRPr="00883399">
              <w:rPr>
                <w:rStyle w:val="Superscript"/>
                <w:rFonts w:cs="Arial"/>
              </w:rPr>
              <w:t>1</w:t>
            </w:r>
          </w:p>
        </w:tc>
        <w:tc>
          <w:tcPr>
            <w:tcW w:w="1800" w:type="dxa"/>
          </w:tcPr>
          <w:p w14:paraId="4EFE859E" w14:textId="77777777" w:rsidR="007261F7" w:rsidRPr="00883399" w:rsidRDefault="007261F7">
            <w:pPr>
              <w:pStyle w:val="Table"/>
            </w:pPr>
            <w:r w:rsidRPr="00883399">
              <w:t>da</w:t>
            </w:r>
          </w:p>
        </w:tc>
      </w:tr>
      <w:tr w:rsidR="007261F7" w:rsidRPr="00883399" w14:paraId="0256C07C" w14:textId="77777777">
        <w:tc>
          <w:tcPr>
            <w:tcW w:w="3060" w:type="dxa"/>
          </w:tcPr>
          <w:p w14:paraId="0B0DBD9D" w14:textId="77777777" w:rsidR="007261F7" w:rsidRPr="00883399" w:rsidRDefault="007261F7">
            <w:pPr>
              <w:pStyle w:val="Table"/>
            </w:pPr>
            <w:r w:rsidRPr="00883399">
              <w:t>– (e.g. gram)</w:t>
            </w:r>
          </w:p>
        </w:tc>
        <w:tc>
          <w:tcPr>
            <w:tcW w:w="2700" w:type="dxa"/>
          </w:tcPr>
          <w:p w14:paraId="292FE71C" w14:textId="77777777" w:rsidR="007261F7" w:rsidRPr="00883399" w:rsidRDefault="007261F7">
            <w:pPr>
              <w:pStyle w:val="Table"/>
            </w:pPr>
            <w:r w:rsidRPr="00883399">
              <w:t>10</w:t>
            </w:r>
            <w:r w:rsidRPr="00883399">
              <w:rPr>
                <w:rStyle w:val="Superscript"/>
                <w:rFonts w:cs="Arial"/>
              </w:rPr>
              <w:t>0</w:t>
            </w:r>
          </w:p>
        </w:tc>
        <w:tc>
          <w:tcPr>
            <w:tcW w:w="1800" w:type="dxa"/>
          </w:tcPr>
          <w:p w14:paraId="2DC1E40E" w14:textId="77777777" w:rsidR="007261F7" w:rsidRPr="00883399" w:rsidRDefault="007261F7">
            <w:pPr>
              <w:pStyle w:val="Table"/>
            </w:pPr>
            <w:r w:rsidRPr="00883399">
              <w:t>g</w:t>
            </w:r>
          </w:p>
        </w:tc>
      </w:tr>
      <w:tr w:rsidR="007261F7" w:rsidRPr="00883399" w14:paraId="48C02FC0" w14:textId="77777777">
        <w:tc>
          <w:tcPr>
            <w:tcW w:w="3060" w:type="dxa"/>
          </w:tcPr>
          <w:p w14:paraId="55230EE4" w14:textId="77777777" w:rsidR="007261F7" w:rsidRPr="00883399" w:rsidRDefault="007261F7">
            <w:pPr>
              <w:pStyle w:val="Table"/>
            </w:pPr>
            <w:r w:rsidRPr="00883399">
              <w:t>deci</w:t>
            </w:r>
          </w:p>
        </w:tc>
        <w:tc>
          <w:tcPr>
            <w:tcW w:w="2700" w:type="dxa"/>
          </w:tcPr>
          <w:p w14:paraId="3CFF235D" w14:textId="77777777" w:rsidR="007261F7" w:rsidRPr="00883399" w:rsidRDefault="007261F7">
            <w:pPr>
              <w:pStyle w:val="Table"/>
            </w:pPr>
            <w:r w:rsidRPr="00883399">
              <w:t>10</w:t>
            </w:r>
            <w:r w:rsidRPr="00883399">
              <w:rPr>
                <w:rStyle w:val="Superscript"/>
                <w:rFonts w:cs="Arial"/>
              </w:rPr>
              <w:t>-1</w:t>
            </w:r>
          </w:p>
        </w:tc>
        <w:tc>
          <w:tcPr>
            <w:tcW w:w="1800" w:type="dxa"/>
          </w:tcPr>
          <w:p w14:paraId="22FC6BCC" w14:textId="77777777" w:rsidR="007261F7" w:rsidRPr="00883399" w:rsidRDefault="007261F7">
            <w:pPr>
              <w:pStyle w:val="Table"/>
            </w:pPr>
            <w:r w:rsidRPr="00883399">
              <w:t>d</w:t>
            </w:r>
          </w:p>
        </w:tc>
      </w:tr>
      <w:tr w:rsidR="007261F7" w:rsidRPr="00883399" w14:paraId="1D47E124" w14:textId="77777777">
        <w:tc>
          <w:tcPr>
            <w:tcW w:w="3060" w:type="dxa"/>
          </w:tcPr>
          <w:p w14:paraId="0FF4ACE6" w14:textId="77777777" w:rsidR="007261F7" w:rsidRPr="00883399" w:rsidRDefault="007261F7">
            <w:pPr>
              <w:pStyle w:val="Table"/>
            </w:pPr>
            <w:r w:rsidRPr="00883399">
              <w:t>centi</w:t>
            </w:r>
          </w:p>
        </w:tc>
        <w:tc>
          <w:tcPr>
            <w:tcW w:w="2700" w:type="dxa"/>
          </w:tcPr>
          <w:p w14:paraId="3899A65B" w14:textId="77777777" w:rsidR="007261F7" w:rsidRPr="00883399" w:rsidRDefault="007261F7">
            <w:pPr>
              <w:pStyle w:val="Table"/>
            </w:pPr>
            <w:r w:rsidRPr="00883399">
              <w:t>10</w:t>
            </w:r>
            <w:r w:rsidRPr="00883399">
              <w:rPr>
                <w:rStyle w:val="Superscript"/>
                <w:rFonts w:cs="Arial"/>
              </w:rPr>
              <w:t>-2</w:t>
            </w:r>
          </w:p>
        </w:tc>
        <w:tc>
          <w:tcPr>
            <w:tcW w:w="1800" w:type="dxa"/>
          </w:tcPr>
          <w:p w14:paraId="798FD0BD" w14:textId="77777777" w:rsidR="007261F7" w:rsidRPr="00883399" w:rsidRDefault="007261F7">
            <w:pPr>
              <w:pStyle w:val="Table"/>
            </w:pPr>
            <w:r w:rsidRPr="00883399">
              <w:t>c</w:t>
            </w:r>
          </w:p>
        </w:tc>
      </w:tr>
      <w:tr w:rsidR="007261F7" w:rsidRPr="00883399" w14:paraId="5DF816A3" w14:textId="77777777">
        <w:tc>
          <w:tcPr>
            <w:tcW w:w="3060" w:type="dxa"/>
          </w:tcPr>
          <w:p w14:paraId="6994ECEE" w14:textId="77777777" w:rsidR="007261F7" w:rsidRPr="00883399" w:rsidRDefault="007261F7">
            <w:pPr>
              <w:pStyle w:val="Table"/>
            </w:pPr>
            <w:r w:rsidRPr="00883399">
              <w:t>milli</w:t>
            </w:r>
          </w:p>
        </w:tc>
        <w:tc>
          <w:tcPr>
            <w:tcW w:w="2700" w:type="dxa"/>
          </w:tcPr>
          <w:p w14:paraId="115251E9" w14:textId="77777777" w:rsidR="007261F7" w:rsidRPr="00883399" w:rsidRDefault="007261F7">
            <w:pPr>
              <w:pStyle w:val="Table"/>
            </w:pPr>
            <w:r w:rsidRPr="00883399">
              <w:t>10</w:t>
            </w:r>
            <w:r w:rsidRPr="00883399">
              <w:rPr>
                <w:rStyle w:val="Superscript"/>
                <w:rFonts w:cs="Arial"/>
              </w:rPr>
              <w:t>-3</w:t>
            </w:r>
          </w:p>
        </w:tc>
        <w:tc>
          <w:tcPr>
            <w:tcW w:w="1800" w:type="dxa"/>
          </w:tcPr>
          <w:p w14:paraId="1E1D1D41" w14:textId="77777777" w:rsidR="007261F7" w:rsidRPr="00883399" w:rsidRDefault="007261F7">
            <w:pPr>
              <w:pStyle w:val="Table"/>
            </w:pPr>
            <w:r w:rsidRPr="00883399">
              <w:t>m</w:t>
            </w:r>
          </w:p>
        </w:tc>
      </w:tr>
      <w:tr w:rsidR="007261F7" w:rsidRPr="00883399" w14:paraId="7127440F" w14:textId="77777777">
        <w:tc>
          <w:tcPr>
            <w:tcW w:w="3060" w:type="dxa"/>
          </w:tcPr>
          <w:p w14:paraId="118944C2" w14:textId="77777777" w:rsidR="007261F7" w:rsidRPr="00883399" w:rsidRDefault="007261F7">
            <w:pPr>
              <w:pStyle w:val="Table"/>
            </w:pPr>
            <w:r w:rsidRPr="00883399">
              <w:t>micro</w:t>
            </w:r>
          </w:p>
        </w:tc>
        <w:tc>
          <w:tcPr>
            <w:tcW w:w="2700" w:type="dxa"/>
          </w:tcPr>
          <w:p w14:paraId="5A1F7C46" w14:textId="77777777" w:rsidR="007261F7" w:rsidRPr="00883399" w:rsidRDefault="007261F7">
            <w:pPr>
              <w:pStyle w:val="Table"/>
            </w:pPr>
            <w:r w:rsidRPr="00883399">
              <w:t>10</w:t>
            </w:r>
            <w:r w:rsidRPr="00883399">
              <w:rPr>
                <w:rStyle w:val="Superscript"/>
                <w:rFonts w:cs="Arial"/>
              </w:rPr>
              <w:t>-6</w:t>
            </w:r>
          </w:p>
        </w:tc>
        <w:tc>
          <w:tcPr>
            <w:tcW w:w="1800" w:type="dxa"/>
          </w:tcPr>
          <w:p w14:paraId="04EF734F" w14:textId="77777777" w:rsidR="007261F7" w:rsidRPr="00883399" w:rsidRDefault="007261F7">
            <w:pPr>
              <w:pStyle w:val="Table"/>
            </w:pPr>
            <w:r w:rsidRPr="00883399">
              <w:t>µ</w:t>
            </w:r>
          </w:p>
        </w:tc>
      </w:tr>
      <w:tr w:rsidR="007261F7" w:rsidRPr="00883399" w14:paraId="2D89DFC1" w14:textId="77777777">
        <w:tc>
          <w:tcPr>
            <w:tcW w:w="3060" w:type="dxa"/>
          </w:tcPr>
          <w:p w14:paraId="0A6AF3A8" w14:textId="77777777" w:rsidR="007261F7" w:rsidRPr="00883399" w:rsidRDefault="007261F7">
            <w:pPr>
              <w:pStyle w:val="Table"/>
            </w:pPr>
            <w:r w:rsidRPr="00883399">
              <w:t>nano</w:t>
            </w:r>
          </w:p>
        </w:tc>
        <w:tc>
          <w:tcPr>
            <w:tcW w:w="2700" w:type="dxa"/>
          </w:tcPr>
          <w:p w14:paraId="44121F6A" w14:textId="77777777" w:rsidR="007261F7" w:rsidRPr="00883399" w:rsidRDefault="007261F7">
            <w:pPr>
              <w:pStyle w:val="Table"/>
            </w:pPr>
            <w:r w:rsidRPr="00883399">
              <w:t>10</w:t>
            </w:r>
            <w:r w:rsidRPr="00883399">
              <w:rPr>
                <w:rStyle w:val="Superscript"/>
                <w:rFonts w:cs="Arial"/>
              </w:rPr>
              <w:t>-9</w:t>
            </w:r>
          </w:p>
        </w:tc>
        <w:tc>
          <w:tcPr>
            <w:tcW w:w="1800" w:type="dxa"/>
          </w:tcPr>
          <w:p w14:paraId="064C05DF" w14:textId="77777777" w:rsidR="007261F7" w:rsidRPr="00883399" w:rsidRDefault="007261F7">
            <w:pPr>
              <w:pStyle w:val="Table"/>
            </w:pPr>
            <w:r w:rsidRPr="00883399">
              <w:t>n</w:t>
            </w:r>
          </w:p>
        </w:tc>
      </w:tr>
      <w:tr w:rsidR="007261F7" w:rsidRPr="00883399" w14:paraId="437B7342" w14:textId="77777777">
        <w:tc>
          <w:tcPr>
            <w:tcW w:w="3060" w:type="dxa"/>
          </w:tcPr>
          <w:p w14:paraId="1D59BB3E" w14:textId="77777777" w:rsidR="007261F7" w:rsidRPr="00883399" w:rsidRDefault="007261F7">
            <w:pPr>
              <w:pStyle w:val="Table"/>
            </w:pPr>
            <w:r w:rsidRPr="00883399">
              <w:t>pico</w:t>
            </w:r>
          </w:p>
        </w:tc>
        <w:tc>
          <w:tcPr>
            <w:tcW w:w="2700" w:type="dxa"/>
          </w:tcPr>
          <w:p w14:paraId="167101FB" w14:textId="77777777" w:rsidR="007261F7" w:rsidRPr="00883399" w:rsidRDefault="007261F7">
            <w:pPr>
              <w:pStyle w:val="Table"/>
            </w:pPr>
            <w:r w:rsidRPr="00883399">
              <w:t>10</w:t>
            </w:r>
            <w:r w:rsidRPr="00883399">
              <w:rPr>
                <w:rStyle w:val="Superscript"/>
                <w:rFonts w:cs="Arial"/>
              </w:rPr>
              <w:t>-12</w:t>
            </w:r>
          </w:p>
        </w:tc>
        <w:tc>
          <w:tcPr>
            <w:tcW w:w="1800" w:type="dxa"/>
          </w:tcPr>
          <w:p w14:paraId="0865C677" w14:textId="77777777" w:rsidR="007261F7" w:rsidRPr="00883399" w:rsidRDefault="007261F7">
            <w:pPr>
              <w:pStyle w:val="Table"/>
            </w:pPr>
            <w:r w:rsidRPr="00883399">
              <w:t>p</w:t>
            </w:r>
          </w:p>
        </w:tc>
      </w:tr>
    </w:tbl>
    <w:p w14:paraId="7201955F" w14:textId="2AECFE94" w:rsidR="007261F7" w:rsidRPr="00883399" w:rsidRDefault="007261F7" w:rsidP="00466A53">
      <w:pPr>
        <w:pStyle w:val="Caption"/>
        <w:outlineLvl w:val="0"/>
      </w:pPr>
      <w:bookmarkStart w:id="1398" w:name="_Toc183776400"/>
      <w:r w:rsidRPr="00883399">
        <w:t>Unit equivalences</w:t>
      </w:r>
      <w:bookmarkEnd w:id="139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4500"/>
      </w:tblGrid>
      <w:tr w:rsidR="007261F7" w:rsidRPr="00883399" w14:paraId="5D1F385D" w14:textId="77777777">
        <w:tc>
          <w:tcPr>
            <w:tcW w:w="3060" w:type="dxa"/>
          </w:tcPr>
          <w:p w14:paraId="41CC5B04" w14:textId="77777777" w:rsidR="007261F7" w:rsidRPr="00883399" w:rsidRDefault="007261F7">
            <w:pPr>
              <w:pStyle w:val="Table"/>
            </w:pPr>
            <w:r w:rsidRPr="00883399">
              <w:t>1015 grams (Petagram)</w:t>
            </w:r>
          </w:p>
        </w:tc>
        <w:tc>
          <w:tcPr>
            <w:tcW w:w="4500" w:type="dxa"/>
          </w:tcPr>
          <w:p w14:paraId="57CC8BE2" w14:textId="77777777" w:rsidR="007261F7" w:rsidRPr="00883399" w:rsidRDefault="007261F7">
            <w:pPr>
              <w:pStyle w:val="Table"/>
            </w:pPr>
            <w:r w:rsidRPr="00883399">
              <w:t>Gigatonne (Gt)</w:t>
            </w:r>
          </w:p>
        </w:tc>
      </w:tr>
      <w:tr w:rsidR="007261F7" w:rsidRPr="00883399" w14:paraId="5E028A29" w14:textId="77777777">
        <w:tc>
          <w:tcPr>
            <w:tcW w:w="3060" w:type="dxa"/>
          </w:tcPr>
          <w:p w14:paraId="11C22AC5" w14:textId="77777777" w:rsidR="007261F7" w:rsidRPr="00883399" w:rsidRDefault="007261F7">
            <w:pPr>
              <w:pStyle w:val="Table"/>
            </w:pPr>
            <w:r w:rsidRPr="00883399">
              <w:t>1012 grams (Teragram)</w:t>
            </w:r>
          </w:p>
        </w:tc>
        <w:tc>
          <w:tcPr>
            <w:tcW w:w="4500" w:type="dxa"/>
          </w:tcPr>
          <w:p w14:paraId="60EF7904" w14:textId="77777777" w:rsidR="007261F7" w:rsidRPr="00883399" w:rsidRDefault="007261F7">
            <w:pPr>
              <w:pStyle w:val="Table"/>
            </w:pPr>
            <w:r w:rsidRPr="00883399">
              <w:t>Megatonne (Mt)</w:t>
            </w:r>
          </w:p>
        </w:tc>
      </w:tr>
      <w:tr w:rsidR="007261F7" w:rsidRPr="00883399" w14:paraId="5A4278B7" w14:textId="77777777">
        <w:tc>
          <w:tcPr>
            <w:tcW w:w="3060" w:type="dxa"/>
          </w:tcPr>
          <w:p w14:paraId="227B1C77" w14:textId="77777777" w:rsidR="007261F7" w:rsidRPr="00883399" w:rsidRDefault="007261F7">
            <w:pPr>
              <w:pStyle w:val="Table"/>
            </w:pPr>
            <w:r w:rsidRPr="00883399">
              <w:t>10</w:t>
            </w:r>
            <w:r w:rsidRPr="00883399">
              <w:rPr>
                <w:rStyle w:val="Superscript"/>
                <w:rFonts w:cs="Arial"/>
              </w:rPr>
              <w:t>9</w:t>
            </w:r>
            <w:r w:rsidRPr="00883399">
              <w:t xml:space="preserve"> grams (Gigagram)</w:t>
            </w:r>
          </w:p>
        </w:tc>
        <w:tc>
          <w:tcPr>
            <w:tcW w:w="4500" w:type="dxa"/>
          </w:tcPr>
          <w:p w14:paraId="67FFC557" w14:textId="77777777" w:rsidR="007261F7" w:rsidRPr="00883399" w:rsidRDefault="007261F7">
            <w:pPr>
              <w:pStyle w:val="Table"/>
            </w:pPr>
            <w:r w:rsidRPr="00883399">
              <w:t>kilotonnes (kt) (10</w:t>
            </w:r>
            <w:r w:rsidRPr="00883399">
              <w:rPr>
                <w:rStyle w:val="Superscript"/>
                <w:rFonts w:cs="Arial"/>
              </w:rPr>
              <w:t>3</w:t>
            </w:r>
            <w:r w:rsidRPr="00883399">
              <w:t xml:space="preserve"> tonnes)</w:t>
            </w:r>
          </w:p>
        </w:tc>
      </w:tr>
      <w:tr w:rsidR="007261F7" w:rsidRPr="00883399" w14:paraId="12666D63" w14:textId="77777777">
        <w:tc>
          <w:tcPr>
            <w:tcW w:w="3060" w:type="dxa"/>
          </w:tcPr>
          <w:p w14:paraId="431DE3B7" w14:textId="77777777" w:rsidR="007261F7" w:rsidRPr="00883399" w:rsidRDefault="007261F7">
            <w:pPr>
              <w:pStyle w:val="Table"/>
            </w:pPr>
            <w:r w:rsidRPr="00883399">
              <w:t>10</w:t>
            </w:r>
            <w:r w:rsidRPr="00883399">
              <w:rPr>
                <w:rStyle w:val="Superscript"/>
                <w:rFonts w:cs="Arial"/>
              </w:rPr>
              <w:t>6</w:t>
            </w:r>
            <w:r w:rsidRPr="00883399">
              <w:t xml:space="preserve"> grams (million grams)</w:t>
            </w:r>
          </w:p>
        </w:tc>
        <w:tc>
          <w:tcPr>
            <w:tcW w:w="4500" w:type="dxa"/>
          </w:tcPr>
          <w:p w14:paraId="6CB5B826" w14:textId="77777777" w:rsidR="007261F7" w:rsidRPr="00883399" w:rsidRDefault="007261F7">
            <w:pPr>
              <w:pStyle w:val="Table"/>
            </w:pPr>
            <w:r w:rsidRPr="00883399">
              <w:t>1 tonne</w:t>
            </w:r>
          </w:p>
        </w:tc>
      </w:tr>
      <w:tr w:rsidR="007261F7" w:rsidRPr="00883399" w14:paraId="280C3A13" w14:textId="77777777">
        <w:tc>
          <w:tcPr>
            <w:tcW w:w="3060" w:type="dxa"/>
          </w:tcPr>
          <w:p w14:paraId="7E7F31DF" w14:textId="77777777" w:rsidR="007261F7" w:rsidRPr="00883399" w:rsidRDefault="007261F7">
            <w:pPr>
              <w:pStyle w:val="Table"/>
            </w:pPr>
            <w:r w:rsidRPr="00883399">
              <w:t>kg/GJ (10</w:t>
            </w:r>
            <w:r w:rsidRPr="00883399">
              <w:rPr>
                <w:rStyle w:val="Superscript"/>
                <w:rFonts w:cs="Arial"/>
              </w:rPr>
              <w:t>3</w:t>
            </w:r>
            <w:r w:rsidRPr="00883399">
              <w:t>g/10</w:t>
            </w:r>
            <w:r w:rsidRPr="00883399">
              <w:rPr>
                <w:rStyle w:val="Superscript"/>
                <w:rFonts w:cs="Arial"/>
              </w:rPr>
              <w:t>9</w:t>
            </w:r>
            <w:r w:rsidRPr="00883399">
              <w:t>J)</w:t>
            </w:r>
          </w:p>
        </w:tc>
        <w:tc>
          <w:tcPr>
            <w:tcW w:w="4500" w:type="dxa"/>
          </w:tcPr>
          <w:p w14:paraId="70A94014" w14:textId="77777777" w:rsidR="007261F7" w:rsidRPr="00883399" w:rsidRDefault="007261F7">
            <w:pPr>
              <w:pStyle w:val="Table"/>
            </w:pPr>
            <w:r w:rsidRPr="00883399">
              <w:t>Gg/PJ (10</w:t>
            </w:r>
            <w:r w:rsidRPr="00883399">
              <w:rPr>
                <w:rStyle w:val="Superscript"/>
                <w:rFonts w:cs="Arial"/>
              </w:rPr>
              <w:t>9</w:t>
            </w:r>
            <w:r w:rsidRPr="00883399">
              <w:t>g/10</w:t>
            </w:r>
            <w:r w:rsidRPr="00883399">
              <w:rPr>
                <w:vertAlign w:val="superscript"/>
              </w:rPr>
              <w:t>15</w:t>
            </w:r>
            <w:r w:rsidRPr="00883399">
              <w:t>J)</w:t>
            </w:r>
          </w:p>
        </w:tc>
      </w:tr>
      <w:tr w:rsidR="007261F7" w:rsidRPr="00883399" w14:paraId="20B81463" w14:textId="77777777">
        <w:tc>
          <w:tcPr>
            <w:tcW w:w="3060" w:type="dxa"/>
          </w:tcPr>
          <w:p w14:paraId="781CB9A6" w14:textId="77777777" w:rsidR="007261F7" w:rsidRPr="00883399" w:rsidRDefault="007261F7">
            <w:pPr>
              <w:pStyle w:val="Table"/>
            </w:pPr>
            <w:r w:rsidRPr="00883399">
              <w:t>Mg/PJ (10</w:t>
            </w:r>
            <w:r w:rsidRPr="00883399">
              <w:rPr>
                <w:rStyle w:val="Superscript"/>
                <w:rFonts w:cs="Arial"/>
              </w:rPr>
              <w:t>6</w:t>
            </w:r>
            <w:r w:rsidRPr="00883399">
              <w:t>g/1015J)</w:t>
            </w:r>
          </w:p>
        </w:tc>
        <w:tc>
          <w:tcPr>
            <w:tcW w:w="4500" w:type="dxa"/>
          </w:tcPr>
          <w:p w14:paraId="010B11D7" w14:textId="77777777" w:rsidR="007261F7" w:rsidRPr="00883399" w:rsidRDefault="007261F7">
            <w:pPr>
              <w:pStyle w:val="Table"/>
            </w:pPr>
            <w:r w:rsidRPr="00883399">
              <w:t>g/GJ 10</w:t>
            </w:r>
            <w:r w:rsidRPr="00883399">
              <w:rPr>
                <w:rStyle w:val="Superscript"/>
                <w:rFonts w:cs="Arial"/>
              </w:rPr>
              <w:t>0</w:t>
            </w:r>
            <w:r w:rsidRPr="00883399">
              <w:t>g/10</w:t>
            </w:r>
            <w:r w:rsidRPr="00883399">
              <w:rPr>
                <w:rStyle w:val="Superscript"/>
                <w:rFonts w:cs="Arial"/>
              </w:rPr>
              <w:t>9</w:t>
            </w:r>
            <w:r w:rsidRPr="00883399">
              <w:t>J)</w:t>
            </w:r>
          </w:p>
        </w:tc>
      </w:tr>
    </w:tbl>
    <w:p w14:paraId="50F2E50B" w14:textId="77777777" w:rsidR="007261F7" w:rsidRPr="00883399" w:rsidRDefault="007261F7">
      <w:pPr>
        <w:pStyle w:val="TableNote"/>
      </w:pPr>
      <w:r w:rsidRPr="00883399">
        <w:t>For example: 423,000 Gg is equivalent to 423,000 kt and to 423 Mt</w:t>
      </w:r>
    </w:p>
    <w:p w14:paraId="1149BC7D" w14:textId="77777777" w:rsidR="007261F7" w:rsidRPr="00883399" w:rsidRDefault="007261F7" w:rsidP="00466A53">
      <w:pPr>
        <w:pStyle w:val="Text"/>
        <w:outlineLvl w:val="0"/>
        <w:rPr>
          <w:b/>
          <w:sz w:val="24"/>
          <w:szCs w:val="24"/>
        </w:rPr>
      </w:pPr>
      <w:r w:rsidRPr="00883399">
        <w:rPr>
          <w:b/>
          <w:sz w:val="24"/>
          <w:szCs w:val="24"/>
        </w:rPr>
        <w:t>Energy and power units</w:t>
      </w:r>
    </w:p>
    <w:p w14:paraId="54D0CF57" w14:textId="77777777" w:rsidR="00A527B9" w:rsidRPr="00883399" w:rsidRDefault="007261F7" w:rsidP="00A527B9">
      <w:pPr>
        <w:pStyle w:val="List"/>
        <w:rPr>
          <w:sz w:val="20"/>
          <w:szCs w:val="20"/>
        </w:rPr>
      </w:pPr>
      <w:r w:rsidRPr="00883399">
        <w:tab/>
      </w:r>
      <w:r w:rsidRPr="00883399">
        <w:rPr>
          <w:sz w:val="20"/>
          <w:szCs w:val="20"/>
        </w:rPr>
        <w:t>Unit of energy: Joule</w:t>
      </w:r>
      <w:r w:rsidR="00A527B9" w:rsidRPr="00883399">
        <w:rPr>
          <w:sz w:val="20"/>
          <w:szCs w:val="20"/>
        </w:rPr>
        <w:tab/>
      </w:r>
      <w:r w:rsidR="00A527B9" w:rsidRPr="00883399">
        <w:rPr>
          <w:sz w:val="20"/>
          <w:szCs w:val="20"/>
        </w:rPr>
        <w:tab/>
      </w:r>
      <w:r w:rsidR="00A527B9" w:rsidRPr="00883399">
        <w:rPr>
          <w:sz w:val="20"/>
          <w:szCs w:val="20"/>
        </w:rPr>
        <w:tab/>
      </w:r>
      <w:r w:rsidR="00A527B9" w:rsidRPr="00883399">
        <w:rPr>
          <w:sz w:val="20"/>
          <w:szCs w:val="20"/>
        </w:rPr>
        <w:tab/>
        <w:t>Unit of power (rate of energy usage): Watt</w:t>
      </w:r>
    </w:p>
    <w:p w14:paraId="69AF24D4" w14:textId="7F0130C3" w:rsidR="007261F7" w:rsidRPr="00883399" w:rsidRDefault="007261F7" w:rsidP="00466A53">
      <w:pPr>
        <w:pStyle w:val="Caption"/>
        <w:outlineLvl w:val="0"/>
      </w:pPr>
      <w:bookmarkStart w:id="1399" w:name="_Toc183776401"/>
      <w:r w:rsidRPr="00883399">
        <w:br w:type="page"/>
        <w:t>Energy conversion factors</w:t>
      </w:r>
      <w:bookmarkEnd w:id="139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9"/>
        <w:gridCol w:w="1388"/>
        <w:gridCol w:w="1352"/>
        <w:gridCol w:w="2716"/>
      </w:tblGrid>
      <w:tr w:rsidR="007261F7" w:rsidRPr="00883399" w14:paraId="41BCC164" w14:textId="77777777">
        <w:trPr>
          <w:cantSplit/>
        </w:trPr>
        <w:tc>
          <w:tcPr>
            <w:tcW w:w="9000" w:type="dxa"/>
            <w:gridSpan w:val="4"/>
            <w:shd w:val="pct15" w:color="auto" w:fill="auto"/>
          </w:tcPr>
          <w:p w14:paraId="7F24CC40" w14:textId="77777777" w:rsidR="007261F7" w:rsidRPr="00883399" w:rsidRDefault="007261F7">
            <w:pPr>
              <w:pStyle w:val="Table"/>
              <w:keepNext/>
              <w:rPr>
                <w:b/>
                <w:bCs/>
              </w:rPr>
            </w:pPr>
            <w:r w:rsidRPr="00883399">
              <w:rPr>
                <w:b/>
                <w:bCs/>
              </w:rPr>
              <w:t>Conversion factors</w:t>
            </w:r>
          </w:p>
        </w:tc>
      </w:tr>
      <w:tr w:rsidR="007261F7" w:rsidRPr="00883399" w14:paraId="37640C79" w14:textId="77777777">
        <w:tc>
          <w:tcPr>
            <w:tcW w:w="4500" w:type="dxa"/>
            <w:gridSpan w:val="2"/>
          </w:tcPr>
          <w:p w14:paraId="0153E2D6" w14:textId="77777777" w:rsidR="007261F7" w:rsidRPr="00883399" w:rsidRDefault="007261F7">
            <w:pPr>
              <w:pStyle w:val="Table"/>
              <w:keepNext/>
            </w:pPr>
            <w:r w:rsidRPr="00883399">
              <w:t>1 Watt</w:t>
            </w:r>
          </w:p>
        </w:tc>
        <w:tc>
          <w:tcPr>
            <w:tcW w:w="4500" w:type="dxa"/>
            <w:gridSpan w:val="2"/>
          </w:tcPr>
          <w:p w14:paraId="0A31E67D" w14:textId="77777777" w:rsidR="007261F7" w:rsidRPr="00883399" w:rsidRDefault="007261F7">
            <w:pPr>
              <w:pStyle w:val="Table"/>
            </w:pPr>
            <w:r w:rsidRPr="00883399">
              <w:t xml:space="preserve"> = 1 joule per second</w:t>
            </w:r>
          </w:p>
        </w:tc>
      </w:tr>
      <w:tr w:rsidR="007261F7" w:rsidRPr="00883399" w14:paraId="6903BC7D" w14:textId="77777777">
        <w:tc>
          <w:tcPr>
            <w:tcW w:w="4500" w:type="dxa"/>
            <w:gridSpan w:val="2"/>
          </w:tcPr>
          <w:p w14:paraId="143F52BE" w14:textId="77777777" w:rsidR="007261F7" w:rsidRPr="00883399" w:rsidRDefault="007261F7">
            <w:pPr>
              <w:pStyle w:val="Table"/>
              <w:keepNext/>
            </w:pPr>
            <w:r w:rsidRPr="00883399">
              <w:t>3600 Watt-seconds</w:t>
            </w:r>
          </w:p>
        </w:tc>
        <w:tc>
          <w:tcPr>
            <w:tcW w:w="4500" w:type="dxa"/>
            <w:gridSpan w:val="2"/>
          </w:tcPr>
          <w:p w14:paraId="5C55F779" w14:textId="77777777" w:rsidR="007261F7" w:rsidRPr="00883399" w:rsidRDefault="007261F7">
            <w:pPr>
              <w:pStyle w:val="Table"/>
            </w:pPr>
            <w:r w:rsidRPr="00883399">
              <w:t xml:space="preserve"> = 1 Watt-hour (3600 seconds in one hour)</w:t>
            </w:r>
          </w:p>
        </w:tc>
      </w:tr>
      <w:tr w:rsidR="007261F7" w:rsidRPr="00883399" w14:paraId="7EDAFCFE" w14:textId="77777777">
        <w:tc>
          <w:tcPr>
            <w:tcW w:w="4500" w:type="dxa"/>
            <w:gridSpan w:val="2"/>
          </w:tcPr>
          <w:p w14:paraId="4F62F7F4" w14:textId="77777777" w:rsidR="007261F7" w:rsidRPr="00883399" w:rsidRDefault="007261F7">
            <w:pPr>
              <w:pStyle w:val="Table"/>
              <w:keepNext/>
            </w:pPr>
            <w:r w:rsidRPr="00883399">
              <w:t>1 Watt-hour</w:t>
            </w:r>
          </w:p>
        </w:tc>
        <w:tc>
          <w:tcPr>
            <w:tcW w:w="4500" w:type="dxa"/>
            <w:gridSpan w:val="2"/>
          </w:tcPr>
          <w:p w14:paraId="22CF1EBD" w14:textId="77777777" w:rsidR="007261F7" w:rsidRPr="00883399" w:rsidRDefault="007261F7">
            <w:pPr>
              <w:pStyle w:val="Table"/>
            </w:pPr>
            <w:r w:rsidRPr="00883399">
              <w:t xml:space="preserve"> = 3600 joules</w:t>
            </w:r>
          </w:p>
        </w:tc>
      </w:tr>
      <w:tr w:rsidR="007261F7" w:rsidRPr="00883399" w14:paraId="03DD8DC8" w14:textId="77777777">
        <w:tc>
          <w:tcPr>
            <w:tcW w:w="4500" w:type="dxa"/>
            <w:gridSpan w:val="2"/>
          </w:tcPr>
          <w:p w14:paraId="32288F4A" w14:textId="77777777" w:rsidR="007261F7" w:rsidRPr="00883399" w:rsidRDefault="007261F7">
            <w:pPr>
              <w:pStyle w:val="Table"/>
              <w:keepNext/>
            </w:pPr>
            <w:r w:rsidRPr="00883399">
              <w:t>1000 Watt-hours</w:t>
            </w:r>
          </w:p>
        </w:tc>
        <w:tc>
          <w:tcPr>
            <w:tcW w:w="4500" w:type="dxa"/>
            <w:gridSpan w:val="2"/>
          </w:tcPr>
          <w:p w14:paraId="590DDCD4" w14:textId="77777777" w:rsidR="007261F7" w:rsidRPr="00883399" w:rsidRDefault="007261F7">
            <w:pPr>
              <w:pStyle w:val="Table"/>
            </w:pPr>
            <w:r w:rsidRPr="00883399">
              <w:t xml:space="preserve"> = 1 Kilowatt hour (kWh)</w:t>
            </w:r>
          </w:p>
        </w:tc>
      </w:tr>
      <w:tr w:rsidR="007261F7" w:rsidRPr="00883399" w14:paraId="351D41C9" w14:textId="77777777">
        <w:tc>
          <w:tcPr>
            <w:tcW w:w="4500" w:type="dxa"/>
            <w:gridSpan w:val="2"/>
          </w:tcPr>
          <w:p w14:paraId="6594E02F" w14:textId="77777777" w:rsidR="007261F7" w:rsidRPr="00883399" w:rsidRDefault="007261F7">
            <w:pPr>
              <w:pStyle w:val="Table"/>
              <w:keepNext/>
            </w:pPr>
            <w:r w:rsidRPr="00883399">
              <w:t>1 kWh</w:t>
            </w:r>
          </w:p>
        </w:tc>
        <w:tc>
          <w:tcPr>
            <w:tcW w:w="4500" w:type="dxa"/>
            <w:gridSpan w:val="2"/>
          </w:tcPr>
          <w:p w14:paraId="1B696390" w14:textId="77777777" w:rsidR="007261F7" w:rsidRPr="00883399" w:rsidRDefault="007261F7">
            <w:pPr>
              <w:pStyle w:val="Table"/>
            </w:pPr>
            <w:r w:rsidRPr="00883399">
              <w:t xml:space="preserve"> = 3.6 x 10</w:t>
            </w:r>
            <w:r w:rsidRPr="00883399">
              <w:rPr>
                <w:rStyle w:val="Superscript"/>
                <w:rFonts w:cs="Arial"/>
              </w:rPr>
              <w:t>6</w:t>
            </w:r>
            <w:r w:rsidRPr="00883399">
              <w:t xml:space="preserve"> joules = 3.6 mega joules</w:t>
            </w:r>
          </w:p>
        </w:tc>
      </w:tr>
      <w:tr w:rsidR="007261F7" w:rsidRPr="00883399" w14:paraId="7537CDA7" w14:textId="77777777">
        <w:tc>
          <w:tcPr>
            <w:tcW w:w="4500" w:type="dxa"/>
            <w:gridSpan w:val="2"/>
          </w:tcPr>
          <w:p w14:paraId="3E7197E2" w14:textId="77777777" w:rsidR="007261F7" w:rsidRPr="00883399" w:rsidRDefault="007261F7">
            <w:pPr>
              <w:pStyle w:val="Table"/>
            </w:pPr>
            <w:r w:rsidRPr="00883399">
              <w:t>1 kWh</w:t>
            </w:r>
          </w:p>
        </w:tc>
        <w:tc>
          <w:tcPr>
            <w:tcW w:w="4500" w:type="dxa"/>
            <w:gridSpan w:val="2"/>
          </w:tcPr>
          <w:p w14:paraId="26DC871B" w14:textId="77777777" w:rsidR="007261F7" w:rsidRPr="00883399" w:rsidRDefault="007261F7">
            <w:pPr>
              <w:pStyle w:val="Table"/>
            </w:pPr>
            <w:r w:rsidRPr="00883399">
              <w:t xml:space="preserve"> = 3.6 x 10</w:t>
            </w:r>
            <w:r w:rsidR="00081BEE" w:rsidRPr="00883399">
              <w:rPr>
                <w:vertAlign w:val="superscript"/>
              </w:rPr>
              <w:t>-3</w:t>
            </w:r>
            <w:r w:rsidRPr="00883399">
              <w:t xml:space="preserve"> GJ</w:t>
            </w:r>
          </w:p>
        </w:tc>
      </w:tr>
      <w:tr w:rsidR="007261F7" w:rsidRPr="00883399" w14:paraId="70E53018" w14:textId="77777777">
        <w:tc>
          <w:tcPr>
            <w:tcW w:w="4500" w:type="dxa"/>
            <w:gridSpan w:val="2"/>
          </w:tcPr>
          <w:p w14:paraId="78D97E5E" w14:textId="77777777" w:rsidR="007261F7" w:rsidRPr="00883399" w:rsidRDefault="007261F7">
            <w:pPr>
              <w:pStyle w:val="Table"/>
            </w:pPr>
            <w:r w:rsidRPr="00883399">
              <w:t>1 GJ</w:t>
            </w:r>
          </w:p>
        </w:tc>
        <w:tc>
          <w:tcPr>
            <w:tcW w:w="4500" w:type="dxa"/>
            <w:gridSpan w:val="2"/>
          </w:tcPr>
          <w:p w14:paraId="4AD1E258" w14:textId="77777777" w:rsidR="007261F7" w:rsidRPr="00883399" w:rsidRDefault="007261F7">
            <w:pPr>
              <w:pStyle w:val="Table"/>
            </w:pPr>
            <w:r w:rsidRPr="00883399">
              <w:t xml:space="preserve"> = 278 kWh</w:t>
            </w:r>
          </w:p>
        </w:tc>
      </w:tr>
      <w:tr w:rsidR="007261F7" w:rsidRPr="00883399" w14:paraId="6326C7A3" w14:textId="77777777">
        <w:tc>
          <w:tcPr>
            <w:tcW w:w="4500" w:type="dxa"/>
            <w:gridSpan w:val="2"/>
          </w:tcPr>
          <w:p w14:paraId="2372F8AA" w14:textId="77777777" w:rsidR="007261F7" w:rsidRPr="00883399" w:rsidRDefault="007261F7">
            <w:pPr>
              <w:pStyle w:val="Table"/>
            </w:pPr>
            <w:r w:rsidRPr="00883399">
              <w:t>1 PJ</w:t>
            </w:r>
          </w:p>
        </w:tc>
        <w:tc>
          <w:tcPr>
            <w:tcW w:w="4500" w:type="dxa"/>
            <w:gridSpan w:val="2"/>
          </w:tcPr>
          <w:p w14:paraId="0CBA53A0" w14:textId="77777777" w:rsidR="007261F7" w:rsidRPr="00883399" w:rsidRDefault="007261F7">
            <w:pPr>
              <w:pStyle w:val="Table"/>
            </w:pPr>
            <w:r w:rsidRPr="00883399">
              <w:t xml:space="preserve"> = 278 x 10</w:t>
            </w:r>
            <w:r w:rsidRPr="00883399">
              <w:rPr>
                <w:rStyle w:val="Superscript"/>
                <w:rFonts w:cs="Arial"/>
              </w:rPr>
              <w:t>6</w:t>
            </w:r>
            <w:r w:rsidRPr="00883399">
              <w:t xml:space="preserve"> kWh = 278 GWh</w:t>
            </w:r>
          </w:p>
        </w:tc>
      </w:tr>
      <w:tr w:rsidR="007261F7" w:rsidRPr="00883399" w14:paraId="08204BAB" w14:textId="77777777">
        <w:tc>
          <w:tcPr>
            <w:tcW w:w="3000" w:type="dxa"/>
            <w:shd w:val="pct15" w:color="auto" w:fill="auto"/>
          </w:tcPr>
          <w:p w14:paraId="61C59FFD" w14:textId="77777777" w:rsidR="007261F7" w:rsidRPr="00883399" w:rsidRDefault="007261F7">
            <w:pPr>
              <w:pStyle w:val="Table"/>
              <w:rPr>
                <w:b/>
                <w:bCs/>
              </w:rPr>
            </w:pPr>
            <w:r w:rsidRPr="00883399">
              <w:rPr>
                <w:b/>
                <w:bCs/>
              </w:rPr>
              <w:t>(A) For conversion from first unit to second unit:</w:t>
            </w:r>
          </w:p>
        </w:tc>
        <w:tc>
          <w:tcPr>
            <w:tcW w:w="3000" w:type="dxa"/>
            <w:gridSpan w:val="2"/>
            <w:shd w:val="pct15" w:color="auto" w:fill="auto"/>
          </w:tcPr>
          <w:p w14:paraId="75979CB3" w14:textId="77777777" w:rsidR="007261F7" w:rsidRPr="00883399" w:rsidRDefault="007261F7">
            <w:pPr>
              <w:pStyle w:val="Table"/>
              <w:rPr>
                <w:b/>
                <w:bCs/>
              </w:rPr>
            </w:pPr>
            <w:r w:rsidRPr="00883399">
              <w:rPr>
                <w:b/>
                <w:bCs/>
              </w:rPr>
              <w:t>(B) Multiply quantity in first unit by conversion factor:</w:t>
            </w:r>
          </w:p>
        </w:tc>
        <w:tc>
          <w:tcPr>
            <w:tcW w:w="3000" w:type="dxa"/>
            <w:shd w:val="pct15" w:color="auto" w:fill="auto"/>
          </w:tcPr>
          <w:p w14:paraId="54637F87" w14:textId="77777777" w:rsidR="007261F7" w:rsidRPr="00883399" w:rsidRDefault="007261F7">
            <w:pPr>
              <w:pStyle w:val="Table"/>
              <w:rPr>
                <w:b/>
                <w:bCs/>
              </w:rPr>
            </w:pPr>
            <w:r w:rsidRPr="00883399">
              <w:rPr>
                <w:b/>
                <w:bCs/>
              </w:rPr>
              <w:t>(C) To calculate quantity in second unit:</w:t>
            </w:r>
          </w:p>
        </w:tc>
      </w:tr>
      <w:tr w:rsidR="007261F7" w:rsidRPr="00883399" w14:paraId="2C3BF59F" w14:textId="77777777">
        <w:tc>
          <w:tcPr>
            <w:tcW w:w="3000" w:type="dxa"/>
          </w:tcPr>
          <w:p w14:paraId="5A0388A1" w14:textId="77777777" w:rsidR="007261F7" w:rsidRPr="00883399" w:rsidRDefault="007261F7">
            <w:pPr>
              <w:pStyle w:val="Table"/>
            </w:pPr>
            <w:r w:rsidRPr="00883399">
              <w:t>kWh to J</w:t>
            </w:r>
          </w:p>
        </w:tc>
        <w:tc>
          <w:tcPr>
            <w:tcW w:w="3000" w:type="dxa"/>
            <w:gridSpan w:val="2"/>
          </w:tcPr>
          <w:p w14:paraId="549D7A74" w14:textId="77777777" w:rsidR="007261F7" w:rsidRPr="00883399" w:rsidRDefault="007261F7">
            <w:pPr>
              <w:pStyle w:val="Table"/>
            </w:pPr>
            <w:r w:rsidRPr="00883399">
              <w:t>kWh x 3.6 x 10</w:t>
            </w:r>
            <w:r w:rsidRPr="00883399">
              <w:rPr>
                <w:rStyle w:val="Superscript"/>
                <w:rFonts w:cs="Arial"/>
              </w:rPr>
              <w:t>6</w:t>
            </w:r>
          </w:p>
        </w:tc>
        <w:tc>
          <w:tcPr>
            <w:tcW w:w="3000" w:type="dxa"/>
          </w:tcPr>
          <w:p w14:paraId="386F988C" w14:textId="77777777" w:rsidR="007261F7" w:rsidRPr="00883399" w:rsidRDefault="007261F7">
            <w:pPr>
              <w:pStyle w:val="Table"/>
            </w:pPr>
            <w:r w:rsidRPr="00883399">
              <w:t>Joules</w:t>
            </w:r>
          </w:p>
        </w:tc>
      </w:tr>
      <w:tr w:rsidR="007261F7" w:rsidRPr="00883399" w14:paraId="24D39430" w14:textId="77777777">
        <w:tc>
          <w:tcPr>
            <w:tcW w:w="3000" w:type="dxa"/>
          </w:tcPr>
          <w:p w14:paraId="134AA889" w14:textId="77777777" w:rsidR="007261F7" w:rsidRPr="00883399" w:rsidRDefault="007261F7">
            <w:pPr>
              <w:pStyle w:val="Table"/>
            </w:pPr>
            <w:r w:rsidRPr="00883399">
              <w:t>J to kWh</w:t>
            </w:r>
          </w:p>
        </w:tc>
        <w:tc>
          <w:tcPr>
            <w:tcW w:w="3000" w:type="dxa"/>
            <w:gridSpan w:val="2"/>
          </w:tcPr>
          <w:p w14:paraId="32304618" w14:textId="77777777" w:rsidR="007261F7" w:rsidRPr="00883399" w:rsidRDefault="007261F7">
            <w:pPr>
              <w:pStyle w:val="Table"/>
            </w:pPr>
            <w:r w:rsidRPr="00883399">
              <w:t>J x 1/3.6 x 10</w:t>
            </w:r>
            <w:r w:rsidR="00081BEE" w:rsidRPr="00883399">
              <w:rPr>
                <w:vertAlign w:val="superscript"/>
              </w:rPr>
              <w:t>-6</w:t>
            </w:r>
          </w:p>
        </w:tc>
        <w:tc>
          <w:tcPr>
            <w:tcW w:w="3000" w:type="dxa"/>
          </w:tcPr>
          <w:p w14:paraId="00FDD4A6" w14:textId="77777777" w:rsidR="007261F7" w:rsidRPr="00883399" w:rsidRDefault="007261F7">
            <w:pPr>
              <w:pStyle w:val="Table"/>
            </w:pPr>
            <w:r w:rsidRPr="00883399">
              <w:t>kWh</w:t>
            </w:r>
          </w:p>
        </w:tc>
      </w:tr>
      <w:tr w:rsidR="007261F7" w:rsidRPr="00883399" w14:paraId="51363D6B" w14:textId="77777777">
        <w:tc>
          <w:tcPr>
            <w:tcW w:w="3000" w:type="dxa"/>
          </w:tcPr>
          <w:p w14:paraId="63E8AB89" w14:textId="77777777" w:rsidR="007261F7" w:rsidRPr="00883399" w:rsidRDefault="007261F7">
            <w:pPr>
              <w:pStyle w:val="Table"/>
            </w:pPr>
            <w:r w:rsidRPr="00883399">
              <w:t>kWh to MJ</w:t>
            </w:r>
          </w:p>
        </w:tc>
        <w:tc>
          <w:tcPr>
            <w:tcW w:w="3000" w:type="dxa"/>
            <w:gridSpan w:val="2"/>
          </w:tcPr>
          <w:p w14:paraId="700991A7" w14:textId="77777777" w:rsidR="007261F7" w:rsidRPr="00883399" w:rsidRDefault="007261F7">
            <w:pPr>
              <w:pStyle w:val="Table"/>
            </w:pPr>
            <w:r w:rsidRPr="00883399">
              <w:t>kWh x 3.6</w:t>
            </w:r>
          </w:p>
        </w:tc>
        <w:tc>
          <w:tcPr>
            <w:tcW w:w="3000" w:type="dxa"/>
          </w:tcPr>
          <w:p w14:paraId="3A25A4F6" w14:textId="77777777" w:rsidR="007261F7" w:rsidRPr="00883399" w:rsidRDefault="007261F7">
            <w:pPr>
              <w:pStyle w:val="Table"/>
            </w:pPr>
            <w:r w:rsidRPr="00883399">
              <w:t>MJ</w:t>
            </w:r>
          </w:p>
        </w:tc>
      </w:tr>
      <w:tr w:rsidR="007261F7" w:rsidRPr="00883399" w14:paraId="7B6F3C12" w14:textId="77777777">
        <w:tc>
          <w:tcPr>
            <w:tcW w:w="3000" w:type="dxa"/>
          </w:tcPr>
          <w:p w14:paraId="28DF19B9" w14:textId="77777777" w:rsidR="007261F7" w:rsidRPr="00883399" w:rsidRDefault="007261F7">
            <w:pPr>
              <w:pStyle w:val="Table"/>
            </w:pPr>
            <w:r w:rsidRPr="00883399">
              <w:t>MJ to kWh</w:t>
            </w:r>
          </w:p>
        </w:tc>
        <w:tc>
          <w:tcPr>
            <w:tcW w:w="3000" w:type="dxa"/>
            <w:gridSpan w:val="2"/>
          </w:tcPr>
          <w:p w14:paraId="11EA9E9C" w14:textId="77777777" w:rsidR="007261F7" w:rsidRPr="00883399" w:rsidRDefault="007261F7">
            <w:pPr>
              <w:pStyle w:val="Table"/>
            </w:pPr>
            <w:r w:rsidRPr="00883399">
              <w:t>MJ x 0.278</w:t>
            </w:r>
          </w:p>
        </w:tc>
        <w:tc>
          <w:tcPr>
            <w:tcW w:w="3000" w:type="dxa"/>
          </w:tcPr>
          <w:p w14:paraId="70D37653" w14:textId="77777777" w:rsidR="007261F7" w:rsidRPr="00883399" w:rsidRDefault="007261F7">
            <w:pPr>
              <w:pStyle w:val="Table"/>
            </w:pPr>
            <w:r w:rsidRPr="00883399">
              <w:t>kWh</w:t>
            </w:r>
          </w:p>
        </w:tc>
      </w:tr>
      <w:tr w:rsidR="007261F7" w:rsidRPr="00883399" w14:paraId="4FE237EB" w14:textId="77777777">
        <w:tc>
          <w:tcPr>
            <w:tcW w:w="3000" w:type="dxa"/>
          </w:tcPr>
          <w:p w14:paraId="75606A5C" w14:textId="77777777" w:rsidR="007261F7" w:rsidRPr="00883399" w:rsidRDefault="007261F7">
            <w:pPr>
              <w:pStyle w:val="Table"/>
            </w:pPr>
            <w:r w:rsidRPr="00883399">
              <w:t>kWh to GJ</w:t>
            </w:r>
          </w:p>
        </w:tc>
        <w:tc>
          <w:tcPr>
            <w:tcW w:w="3000" w:type="dxa"/>
            <w:gridSpan w:val="2"/>
          </w:tcPr>
          <w:p w14:paraId="0EDD33F3" w14:textId="77777777" w:rsidR="007261F7" w:rsidRPr="00883399" w:rsidRDefault="007261F7">
            <w:pPr>
              <w:pStyle w:val="Table"/>
            </w:pPr>
            <w:r w:rsidRPr="00883399">
              <w:t>kWh x 3.6 x 10</w:t>
            </w:r>
            <w:r w:rsidR="00081BEE" w:rsidRPr="00883399">
              <w:rPr>
                <w:vertAlign w:val="superscript"/>
              </w:rPr>
              <w:t>-3</w:t>
            </w:r>
          </w:p>
        </w:tc>
        <w:tc>
          <w:tcPr>
            <w:tcW w:w="3000" w:type="dxa"/>
          </w:tcPr>
          <w:p w14:paraId="571EB3BD" w14:textId="77777777" w:rsidR="007261F7" w:rsidRPr="00883399" w:rsidRDefault="007261F7">
            <w:pPr>
              <w:pStyle w:val="Table"/>
            </w:pPr>
            <w:r w:rsidRPr="00883399">
              <w:t>GJ</w:t>
            </w:r>
          </w:p>
        </w:tc>
      </w:tr>
      <w:tr w:rsidR="007261F7" w:rsidRPr="00883399" w14:paraId="11CA7CF9" w14:textId="77777777">
        <w:tc>
          <w:tcPr>
            <w:tcW w:w="3000" w:type="dxa"/>
          </w:tcPr>
          <w:p w14:paraId="34881F8B" w14:textId="77777777" w:rsidR="007261F7" w:rsidRPr="00883399" w:rsidRDefault="007261F7">
            <w:pPr>
              <w:pStyle w:val="Table"/>
            </w:pPr>
            <w:r w:rsidRPr="00883399">
              <w:t>GJ to kWh</w:t>
            </w:r>
          </w:p>
        </w:tc>
        <w:tc>
          <w:tcPr>
            <w:tcW w:w="3000" w:type="dxa"/>
            <w:gridSpan w:val="2"/>
          </w:tcPr>
          <w:p w14:paraId="652EE3EC" w14:textId="77777777" w:rsidR="007261F7" w:rsidRPr="00883399" w:rsidRDefault="007261F7">
            <w:pPr>
              <w:pStyle w:val="Table"/>
            </w:pPr>
            <w:r w:rsidRPr="00883399">
              <w:t>GJ x 278</w:t>
            </w:r>
          </w:p>
        </w:tc>
        <w:tc>
          <w:tcPr>
            <w:tcW w:w="3000" w:type="dxa"/>
          </w:tcPr>
          <w:p w14:paraId="52EAB910" w14:textId="77777777" w:rsidR="007261F7" w:rsidRPr="00883399" w:rsidRDefault="007261F7">
            <w:pPr>
              <w:pStyle w:val="Table"/>
            </w:pPr>
            <w:r w:rsidRPr="00883399">
              <w:t>kWh</w:t>
            </w:r>
          </w:p>
        </w:tc>
      </w:tr>
      <w:tr w:rsidR="007261F7" w:rsidRPr="00883399" w14:paraId="0BAA1E00" w14:textId="77777777">
        <w:tc>
          <w:tcPr>
            <w:tcW w:w="3000" w:type="dxa"/>
          </w:tcPr>
          <w:p w14:paraId="20290DFD" w14:textId="77777777" w:rsidR="007261F7" w:rsidRPr="00883399" w:rsidRDefault="007261F7">
            <w:pPr>
              <w:pStyle w:val="Table"/>
            </w:pPr>
            <w:r w:rsidRPr="00883399">
              <w:t>kWh to PJ</w:t>
            </w:r>
          </w:p>
        </w:tc>
        <w:tc>
          <w:tcPr>
            <w:tcW w:w="3000" w:type="dxa"/>
            <w:gridSpan w:val="2"/>
          </w:tcPr>
          <w:p w14:paraId="620A58DB" w14:textId="77777777" w:rsidR="007261F7" w:rsidRPr="00883399" w:rsidRDefault="007261F7">
            <w:pPr>
              <w:pStyle w:val="Table"/>
            </w:pPr>
            <w:r w:rsidRPr="00883399">
              <w:t>kWh x 3.6 x 10</w:t>
            </w:r>
            <w:r w:rsidR="00081BEE" w:rsidRPr="00883399">
              <w:rPr>
                <w:vertAlign w:val="superscript"/>
              </w:rPr>
              <w:t>-9</w:t>
            </w:r>
          </w:p>
        </w:tc>
        <w:tc>
          <w:tcPr>
            <w:tcW w:w="3000" w:type="dxa"/>
          </w:tcPr>
          <w:p w14:paraId="41FFC15E" w14:textId="77777777" w:rsidR="007261F7" w:rsidRPr="00883399" w:rsidRDefault="007261F7">
            <w:pPr>
              <w:pStyle w:val="Table"/>
            </w:pPr>
            <w:r w:rsidRPr="00883399">
              <w:t>PJ</w:t>
            </w:r>
          </w:p>
        </w:tc>
      </w:tr>
      <w:tr w:rsidR="007261F7" w:rsidRPr="00883399" w14:paraId="4821AD16" w14:textId="77777777">
        <w:tc>
          <w:tcPr>
            <w:tcW w:w="3000" w:type="dxa"/>
          </w:tcPr>
          <w:p w14:paraId="184D9A3A" w14:textId="77777777" w:rsidR="007261F7" w:rsidRPr="00883399" w:rsidRDefault="007261F7">
            <w:pPr>
              <w:pStyle w:val="Table"/>
            </w:pPr>
            <w:r w:rsidRPr="00883399">
              <w:t>PJ to kWh</w:t>
            </w:r>
          </w:p>
        </w:tc>
        <w:tc>
          <w:tcPr>
            <w:tcW w:w="3000" w:type="dxa"/>
            <w:gridSpan w:val="2"/>
          </w:tcPr>
          <w:p w14:paraId="74226DB2" w14:textId="77777777" w:rsidR="007261F7" w:rsidRPr="00883399" w:rsidRDefault="007261F7">
            <w:pPr>
              <w:pStyle w:val="Table"/>
            </w:pPr>
            <w:r w:rsidRPr="00883399">
              <w:t>PJ x 278 x 10</w:t>
            </w:r>
            <w:r w:rsidRPr="00883399">
              <w:rPr>
                <w:rStyle w:val="Superscript"/>
                <w:rFonts w:cs="Arial"/>
              </w:rPr>
              <w:t>6</w:t>
            </w:r>
          </w:p>
        </w:tc>
        <w:tc>
          <w:tcPr>
            <w:tcW w:w="3000" w:type="dxa"/>
          </w:tcPr>
          <w:p w14:paraId="67D74291" w14:textId="77777777" w:rsidR="007261F7" w:rsidRPr="00883399" w:rsidRDefault="007261F7">
            <w:pPr>
              <w:pStyle w:val="Table"/>
            </w:pPr>
            <w:r w:rsidRPr="00883399">
              <w:t>kWh</w:t>
            </w:r>
          </w:p>
        </w:tc>
      </w:tr>
    </w:tbl>
    <w:p w14:paraId="4EF9FADC" w14:textId="77777777" w:rsidR="007261F7" w:rsidRPr="00883399" w:rsidRDefault="007261F7">
      <w:pPr>
        <w:pStyle w:val="Text"/>
      </w:pPr>
    </w:p>
    <w:p w14:paraId="6719A9E7" w14:textId="1178AEDD" w:rsidR="007261F7" w:rsidRPr="00883399" w:rsidRDefault="007261F7" w:rsidP="00466A53">
      <w:pPr>
        <w:pStyle w:val="Caption"/>
        <w:outlineLvl w:val="0"/>
      </w:pPr>
      <w:bookmarkStart w:id="1400" w:name="_Toc183776402"/>
      <w:r w:rsidRPr="00883399">
        <w:t>Municipal solid waste volume to weight conversion factors</w:t>
      </w:r>
      <w:bookmarkEnd w:id="140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9"/>
        <w:gridCol w:w="4096"/>
      </w:tblGrid>
      <w:tr w:rsidR="007261F7" w:rsidRPr="00883399" w14:paraId="0DC8770A" w14:textId="77777777">
        <w:tc>
          <w:tcPr>
            <w:tcW w:w="4500" w:type="dxa"/>
            <w:shd w:val="pct15" w:color="auto" w:fill="auto"/>
          </w:tcPr>
          <w:p w14:paraId="5E97F6E8" w14:textId="77777777" w:rsidR="007261F7" w:rsidRPr="00883399" w:rsidRDefault="007261F7">
            <w:pPr>
              <w:pStyle w:val="Table"/>
              <w:rPr>
                <w:b/>
                <w:bCs/>
              </w:rPr>
            </w:pPr>
            <w:r w:rsidRPr="00883399">
              <w:rPr>
                <w:b/>
                <w:bCs/>
              </w:rPr>
              <w:t>Material type</w:t>
            </w:r>
          </w:p>
        </w:tc>
        <w:tc>
          <w:tcPr>
            <w:tcW w:w="4500" w:type="dxa"/>
            <w:shd w:val="pct15" w:color="auto" w:fill="auto"/>
          </w:tcPr>
          <w:p w14:paraId="06E80304" w14:textId="77777777" w:rsidR="007261F7" w:rsidRPr="00883399" w:rsidRDefault="007261F7">
            <w:pPr>
              <w:pStyle w:val="Table"/>
              <w:rPr>
                <w:b/>
                <w:bCs/>
              </w:rPr>
            </w:pPr>
            <w:r w:rsidRPr="00883399">
              <w:rPr>
                <w:b/>
                <w:bCs/>
              </w:rPr>
              <w:t>Volume to weight</w:t>
            </w:r>
          </w:p>
        </w:tc>
      </w:tr>
      <w:tr w:rsidR="007261F7" w:rsidRPr="00883399" w14:paraId="775702F3" w14:textId="77777777">
        <w:tc>
          <w:tcPr>
            <w:tcW w:w="4500" w:type="dxa"/>
          </w:tcPr>
          <w:p w14:paraId="5E8B7227" w14:textId="77777777" w:rsidR="007261F7" w:rsidRPr="00883399" w:rsidRDefault="007261F7">
            <w:pPr>
              <w:pStyle w:val="Table"/>
            </w:pPr>
            <w:r w:rsidRPr="00883399">
              <w:t>Paper</w:t>
            </w:r>
          </w:p>
        </w:tc>
        <w:tc>
          <w:tcPr>
            <w:tcW w:w="4500" w:type="dxa"/>
          </w:tcPr>
          <w:p w14:paraId="26A732DD" w14:textId="77777777" w:rsidR="007261F7" w:rsidRPr="00883399" w:rsidRDefault="007261F7">
            <w:pPr>
              <w:pStyle w:val="Table"/>
            </w:pPr>
            <w:r w:rsidRPr="00883399">
              <w:t>0.09</w:t>
            </w:r>
          </w:p>
        </w:tc>
      </w:tr>
      <w:tr w:rsidR="007261F7" w:rsidRPr="00883399" w14:paraId="01ED519F" w14:textId="77777777">
        <w:tc>
          <w:tcPr>
            <w:tcW w:w="4500" w:type="dxa"/>
          </w:tcPr>
          <w:p w14:paraId="60192D18" w14:textId="77777777" w:rsidR="007261F7" w:rsidRPr="00883399" w:rsidRDefault="007261F7">
            <w:pPr>
              <w:pStyle w:val="Table"/>
            </w:pPr>
            <w:r w:rsidRPr="00883399">
              <w:t>Textiles</w:t>
            </w:r>
          </w:p>
        </w:tc>
        <w:tc>
          <w:tcPr>
            <w:tcW w:w="4500" w:type="dxa"/>
          </w:tcPr>
          <w:p w14:paraId="40E3E5A2" w14:textId="77777777" w:rsidR="007261F7" w:rsidRPr="00883399" w:rsidRDefault="007261F7">
            <w:pPr>
              <w:pStyle w:val="Table"/>
            </w:pPr>
            <w:r w:rsidRPr="00883399">
              <w:t>0.14</w:t>
            </w:r>
          </w:p>
        </w:tc>
      </w:tr>
      <w:tr w:rsidR="007261F7" w:rsidRPr="00883399" w14:paraId="6538E2D9" w14:textId="77777777">
        <w:tc>
          <w:tcPr>
            <w:tcW w:w="4500" w:type="dxa"/>
          </w:tcPr>
          <w:p w14:paraId="0860E51B" w14:textId="77777777" w:rsidR="007261F7" w:rsidRPr="00883399" w:rsidRDefault="007261F7">
            <w:pPr>
              <w:pStyle w:val="Table"/>
            </w:pPr>
            <w:r w:rsidRPr="00883399">
              <w:t>Wood</w:t>
            </w:r>
          </w:p>
        </w:tc>
        <w:tc>
          <w:tcPr>
            <w:tcW w:w="4500" w:type="dxa"/>
          </w:tcPr>
          <w:p w14:paraId="0841F3F6" w14:textId="77777777" w:rsidR="007261F7" w:rsidRPr="00883399" w:rsidRDefault="007261F7">
            <w:pPr>
              <w:pStyle w:val="Table"/>
            </w:pPr>
            <w:r w:rsidRPr="00883399">
              <w:t>0.15</w:t>
            </w:r>
          </w:p>
        </w:tc>
      </w:tr>
      <w:tr w:rsidR="007261F7" w:rsidRPr="00883399" w14:paraId="545B1295" w14:textId="77777777">
        <w:tc>
          <w:tcPr>
            <w:tcW w:w="4500" w:type="dxa"/>
          </w:tcPr>
          <w:p w14:paraId="52637C25" w14:textId="77777777" w:rsidR="007261F7" w:rsidRPr="00883399" w:rsidRDefault="007261F7">
            <w:pPr>
              <w:pStyle w:val="Table"/>
            </w:pPr>
            <w:r w:rsidRPr="00883399">
              <w:t>Garden</w:t>
            </w:r>
          </w:p>
        </w:tc>
        <w:tc>
          <w:tcPr>
            <w:tcW w:w="4500" w:type="dxa"/>
          </w:tcPr>
          <w:p w14:paraId="4D9E7E2B" w14:textId="77777777" w:rsidR="007261F7" w:rsidRPr="00883399" w:rsidRDefault="007261F7">
            <w:pPr>
              <w:pStyle w:val="Table"/>
            </w:pPr>
            <w:r w:rsidRPr="00883399">
              <w:t>0.24</w:t>
            </w:r>
          </w:p>
        </w:tc>
      </w:tr>
      <w:tr w:rsidR="007261F7" w:rsidRPr="00883399" w14:paraId="3F5375F2" w14:textId="77777777">
        <w:tc>
          <w:tcPr>
            <w:tcW w:w="4500" w:type="dxa"/>
          </w:tcPr>
          <w:p w14:paraId="44E4CB99" w14:textId="77777777" w:rsidR="007261F7" w:rsidRPr="00883399" w:rsidRDefault="007261F7">
            <w:pPr>
              <w:pStyle w:val="Table"/>
            </w:pPr>
            <w:r w:rsidRPr="00883399">
              <w:t>Food</w:t>
            </w:r>
          </w:p>
        </w:tc>
        <w:tc>
          <w:tcPr>
            <w:tcW w:w="4500" w:type="dxa"/>
          </w:tcPr>
          <w:p w14:paraId="186394E3" w14:textId="77777777" w:rsidR="007261F7" w:rsidRPr="00883399" w:rsidRDefault="007261F7">
            <w:pPr>
              <w:pStyle w:val="Table"/>
            </w:pPr>
            <w:r w:rsidRPr="00883399">
              <w:t>0.50</w:t>
            </w:r>
          </w:p>
        </w:tc>
      </w:tr>
      <w:tr w:rsidR="007261F7" w:rsidRPr="00883399" w14:paraId="376CDF29" w14:textId="77777777">
        <w:tc>
          <w:tcPr>
            <w:tcW w:w="4500" w:type="dxa"/>
          </w:tcPr>
          <w:p w14:paraId="7FE0A891" w14:textId="77777777" w:rsidR="007261F7" w:rsidRPr="00883399" w:rsidRDefault="007261F7">
            <w:pPr>
              <w:pStyle w:val="Table"/>
            </w:pPr>
            <w:r w:rsidRPr="00883399">
              <w:t>Co-mingled</w:t>
            </w:r>
          </w:p>
        </w:tc>
        <w:tc>
          <w:tcPr>
            <w:tcW w:w="4500" w:type="dxa"/>
          </w:tcPr>
          <w:p w14:paraId="68AFB2D7" w14:textId="77777777" w:rsidR="007261F7" w:rsidRPr="00883399" w:rsidRDefault="007261F7">
            <w:pPr>
              <w:pStyle w:val="Table"/>
            </w:pPr>
            <w:r w:rsidRPr="00883399">
              <w:t>0.12</w:t>
            </w:r>
          </w:p>
        </w:tc>
      </w:tr>
    </w:tbl>
    <w:p w14:paraId="66BA07CD" w14:textId="77777777" w:rsidR="007261F7" w:rsidRPr="00883399" w:rsidRDefault="007261F7">
      <w:pPr>
        <w:pStyle w:val="TableNote"/>
      </w:pPr>
      <w:r w:rsidRPr="00883399">
        <w:t>Note: Volume to weight conversions is an inexact science and conversion factors change if materials are compacted.</w:t>
      </w:r>
    </w:p>
    <w:p w14:paraId="09CA307F" w14:textId="77777777" w:rsidR="007261F7" w:rsidRPr="00883399" w:rsidRDefault="007261F7">
      <w:pPr>
        <w:pStyle w:val="TableNote"/>
      </w:pPr>
    </w:p>
    <w:p w14:paraId="2CB336A1" w14:textId="77777777" w:rsidR="007261F7" w:rsidRPr="00883399" w:rsidRDefault="007261F7">
      <w:pPr>
        <w:pStyle w:val="TableNote"/>
      </w:pPr>
    </w:p>
    <w:p w14:paraId="724384B1" w14:textId="77777777" w:rsidR="007261F7" w:rsidRPr="00883399" w:rsidRDefault="007261F7">
      <w:pPr>
        <w:pStyle w:val="TableNote"/>
      </w:pPr>
    </w:p>
    <w:p w14:paraId="23468213" w14:textId="77777777" w:rsidR="007261F7" w:rsidRPr="00883399" w:rsidRDefault="007261F7">
      <w:pPr>
        <w:pStyle w:val="TableNote"/>
      </w:pPr>
    </w:p>
    <w:p w14:paraId="62F8CB79" w14:textId="77777777" w:rsidR="007261F7" w:rsidRPr="00883399" w:rsidRDefault="007261F7">
      <w:pPr>
        <w:pStyle w:val="TableNote"/>
      </w:pPr>
    </w:p>
    <w:p w14:paraId="7DA2C01D" w14:textId="77777777" w:rsidR="007261F7" w:rsidRPr="00883399" w:rsidRDefault="007261F7">
      <w:pPr>
        <w:pStyle w:val="TableNote"/>
      </w:pPr>
    </w:p>
    <w:p w14:paraId="67B10C99" w14:textId="77777777" w:rsidR="007261F7" w:rsidRPr="00883399" w:rsidRDefault="007261F7">
      <w:pPr>
        <w:pStyle w:val="TableNote"/>
      </w:pPr>
    </w:p>
    <w:p w14:paraId="0E3D315C" w14:textId="77777777" w:rsidR="007261F7" w:rsidRPr="00883399" w:rsidRDefault="007261F7">
      <w:pPr>
        <w:pStyle w:val="TableNote"/>
      </w:pPr>
    </w:p>
    <w:p w14:paraId="5C9B5FDA" w14:textId="77777777" w:rsidR="007261F7" w:rsidRPr="00883399" w:rsidRDefault="007261F7">
      <w:pPr>
        <w:pStyle w:val="TableNote"/>
      </w:pPr>
    </w:p>
    <w:p w14:paraId="4FB90855" w14:textId="77777777" w:rsidR="007261F7" w:rsidRPr="00883399" w:rsidRDefault="007261F7">
      <w:pPr>
        <w:pStyle w:val="TableNote"/>
      </w:pPr>
    </w:p>
    <w:p w14:paraId="0881926E" w14:textId="77777777" w:rsidR="007261F7" w:rsidRPr="00883399" w:rsidRDefault="007261F7">
      <w:pPr>
        <w:pStyle w:val="TableNote"/>
      </w:pPr>
    </w:p>
    <w:p w14:paraId="6DDB2880" w14:textId="77777777" w:rsidR="007261F7" w:rsidRPr="00883399" w:rsidRDefault="007261F7">
      <w:pPr>
        <w:pStyle w:val="TableNote"/>
      </w:pPr>
    </w:p>
    <w:p w14:paraId="0BADAC97" w14:textId="77777777" w:rsidR="007261F7" w:rsidRPr="00883399" w:rsidRDefault="007261F7">
      <w:pPr>
        <w:pStyle w:val="TableNote"/>
      </w:pPr>
    </w:p>
    <w:p w14:paraId="20C2DA86" w14:textId="77777777" w:rsidR="007261F7" w:rsidRPr="00883399" w:rsidRDefault="007261F7">
      <w:pPr>
        <w:pStyle w:val="TableNote"/>
      </w:pPr>
    </w:p>
    <w:p w14:paraId="6E460CF6" w14:textId="404296C7" w:rsidR="007261F7" w:rsidRPr="00883399" w:rsidRDefault="0084491A" w:rsidP="00A527B9">
      <w:pPr>
        <w:pStyle w:val="Scheduletitle"/>
        <w:pageBreakBefore/>
        <w:spacing w:before="0" w:after="0"/>
        <w:ind w:left="0" w:firstLine="0"/>
        <w:outlineLvl w:val="0"/>
        <w:rPr>
          <w:rStyle w:val="CharAmSchNo"/>
        </w:rPr>
      </w:pPr>
      <w:bookmarkStart w:id="1401" w:name="_Toc227734149"/>
      <w:bookmarkStart w:id="1402" w:name="_Toc265135677"/>
      <w:bookmarkStart w:id="1403" w:name="_Toc495653212"/>
      <w:r w:rsidRPr="00883399">
        <w:rPr>
          <w:rStyle w:val="CharAmSchNo"/>
        </w:rPr>
        <w:t>Appendix D:</w:t>
      </w:r>
      <w:r w:rsidRPr="00883399">
        <w:rPr>
          <w:rStyle w:val="CharAmSchNo"/>
        </w:rPr>
        <w:tab/>
      </w:r>
      <w:r w:rsidR="007261F7" w:rsidRPr="00883399">
        <w:rPr>
          <w:rStyle w:val="CharAmSchNo"/>
        </w:rPr>
        <w:t>References</w:t>
      </w:r>
      <w:bookmarkEnd w:id="1401"/>
      <w:bookmarkEnd w:id="1402"/>
      <w:bookmarkEnd w:id="1403"/>
    </w:p>
    <w:p w14:paraId="106C21BF" w14:textId="77777777" w:rsidR="007261F7" w:rsidRPr="00883399" w:rsidRDefault="007261F7" w:rsidP="00A527B9">
      <w:pPr>
        <w:pStyle w:val="TableNote"/>
        <w:spacing w:after="0"/>
      </w:pPr>
    </w:p>
    <w:p w14:paraId="1F5750EA" w14:textId="77777777" w:rsidR="007261F7" w:rsidRPr="00883399" w:rsidRDefault="007261F7" w:rsidP="00A527B9">
      <w:pPr>
        <w:pStyle w:val="TableNote"/>
        <w:spacing w:after="0"/>
        <w:outlineLvl w:val="0"/>
        <w:rPr>
          <w:rFonts w:ascii="Times New Roman" w:hAnsi="Times New Roman" w:cs="Times New Roman"/>
          <w:b/>
          <w:sz w:val="24"/>
          <w:szCs w:val="24"/>
        </w:rPr>
      </w:pPr>
      <w:r w:rsidRPr="00883399">
        <w:rPr>
          <w:rFonts w:ascii="Times New Roman" w:hAnsi="Times New Roman" w:cs="Times New Roman"/>
          <w:b/>
          <w:sz w:val="24"/>
          <w:szCs w:val="24"/>
        </w:rPr>
        <w:t>Chapter 1 General</w:t>
      </w:r>
    </w:p>
    <w:p w14:paraId="73C7E125" w14:textId="77777777" w:rsidR="007261F7" w:rsidRPr="00883399" w:rsidRDefault="007261F7" w:rsidP="00A527B9">
      <w:pPr>
        <w:pStyle w:val="TableNote"/>
        <w:spacing w:after="0"/>
        <w:rPr>
          <w:rFonts w:ascii="Times New Roman" w:hAnsi="Times New Roman" w:cs="Times New Roman"/>
          <w:sz w:val="24"/>
          <w:szCs w:val="24"/>
        </w:rPr>
      </w:pPr>
    </w:p>
    <w:p w14:paraId="561534DD" w14:textId="77777777" w:rsidR="009B6DC6" w:rsidRPr="00883399" w:rsidRDefault="009B6DC6"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American Petroleum Institute, Compendium of Greenhouse Gas Emissions Methodologies for the Oil and Natural Gas Industry, August 2009. (s1.8)</w:t>
      </w:r>
    </w:p>
    <w:p w14:paraId="0699D5D6" w14:textId="77777777" w:rsidR="009B6DC6" w:rsidRPr="00883399" w:rsidRDefault="009B6DC6" w:rsidP="00A527B9">
      <w:pPr>
        <w:pStyle w:val="TableNote"/>
        <w:spacing w:after="0"/>
        <w:rPr>
          <w:rFonts w:ascii="Times New Roman" w:hAnsi="Times New Roman" w:cs="Times New Roman"/>
          <w:sz w:val="24"/>
          <w:szCs w:val="24"/>
        </w:rPr>
      </w:pPr>
    </w:p>
    <w:p w14:paraId="56AD1429" w14:textId="77777777" w:rsidR="009B6DC6" w:rsidRPr="00883399" w:rsidRDefault="009B6DC6"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Australian Coal Association Research Program, Guidelines for the Implementation of NGER Method 2 or 3 for Open Cut Coal Mine Fugitive GHG Emissions Reporting (C20005), December 2011. (s1.8)</w:t>
      </w:r>
    </w:p>
    <w:p w14:paraId="48EB432F" w14:textId="77777777" w:rsidR="00CF321F" w:rsidRPr="00883399" w:rsidRDefault="00CF321F" w:rsidP="00A527B9">
      <w:pPr>
        <w:pStyle w:val="TableNote"/>
        <w:spacing w:after="0"/>
        <w:rPr>
          <w:rFonts w:ascii="Times New Roman" w:hAnsi="Times New Roman" w:cs="Times New Roman"/>
          <w:sz w:val="24"/>
          <w:szCs w:val="24"/>
        </w:rPr>
      </w:pPr>
    </w:p>
    <w:p w14:paraId="047D3732"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Commission of the European Communities, Commission Decision establishing guidelines for the monitoring and reporting of greenhouse gas emissions pursuant to Directive 2003/87/EC of the European Parliament and of the Council. Brussels, 2006. (s1.20)</w:t>
      </w:r>
    </w:p>
    <w:p w14:paraId="52BB39D4" w14:textId="77777777" w:rsidR="007261F7" w:rsidRPr="00883399" w:rsidRDefault="007261F7" w:rsidP="00A527B9">
      <w:pPr>
        <w:pStyle w:val="TableNote"/>
        <w:spacing w:after="0"/>
        <w:rPr>
          <w:rFonts w:ascii="Times New Roman" w:hAnsi="Times New Roman" w:cs="Times New Roman"/>
          <w:sz w:val="24"/>
          <w:szCs w:val="24"/>
        </w:rPr>
      </w:pPr>
    </w:p>
    <w:p w14:paraId="19792242" w14:textId="5D3A471B" w:rsidR="009B6DC6" w:rsidRPr="00883399" w:rsidRDefault="00C91E15" w:rsidP="00A527B9">
      <w:pPr>
        <w:pStyle w:val="TableNote"/>
        <w:spacing w:after="0"/>
        <w:outlineLvl w:val="0"/>
        <w:rPr>
          <w:rFonts w:ascii="Times New Roman" w:hAnsi="Times New Roman" w:cs="Times New Roman"/>
          <w:sz w:val="24"/>
          <w:szCs w:val="24"/>
        </w:rPr>
      </w:pPr>
      <w:r w:rsidRPr="00883399">
        <w:rPr>
          <w:rFonts w:ascii="Times New Roman" w:hAnsi="Times New Roman" w:cs="Times New Roman"/>
          <w:sz w:val="24"/>
          <w:szCs w:val="24"/>
        </w:rPr>
        <w:t xml:space="preserve">Department </w:t>
      </w:r>
      <w:r w:rsidR="00F8313C">
        <w:rPr>
          <w:rFonts w:ascii="Times New Roman" w:hAnsi="Times New Roman" w:cs="Times New Roman"/>
          <w:sz w:val="24"/>
          <w:szCs w:val="24"/>
        </w:rPr>
        <w:t>of</w:t>
      </w:r>
      <w:r w:rsidRPr="00883399">
        <w:rPr>
          <w:rFonts w:ascii="Times New Roman" w:hAnsi="Times New Roman" w:cs="Times New Roman"/>
          <w:sz w:val="24"/>
          <w:szCs w:val="24"/>
        </w:rPr>
        <w:t xml:space="preserve"> the Environment</w:t>
      </w:r>
      <w:r w:rsidR="00F8313C">
        <w:rPr>
          <w:rFonts w:ascii="Times New Roman" w:hAnsi="Times New Roman" w:cs="Times New Roman"/>
          <w:sz w:val="24"/>
          <w:szCs w:val="24"/>
        </w:rPr>
        <w:t xml:space="preserve"> and Energy</w:t>
      </w:r>
      <w:r w:rsidR="009B6DC6" w:rsidRPr="00883399">
        <w:rPr>
          <w:rFonts w:ascii="Times New Roman" w:hAnsi="Times New Roman" w:cs="Times New Roman"/>
          <w:sz w:val="24"/>
          <w:szCs w:val="24"/>
        </w:rPr>
        <w:t>, National Inventory Report, 201</w:t>
      </w:r>
      <w:r w:rsidR="009D3717" w:rsidRPr="00883399">
        <w:rPr>
          <w:rFonts w:ascii="Times New Roman" w:hAnsi="Times New Roman" w:cs="Times New Roman"/>
          <w:sz w:val="24"/>
          <w:szCs w:val="24"/>
        </w:rPr>
        <w:t>5</w:t>
      </w:r>
      <w:r w:rsidR="009B6DC6" w:rsidRPr="00883399">
        <w:rPr>
          <w:rFonts w:ascii="Times New Roman" w:hAnsi="Times New Roman" w:cs="Times New Roman"/>
          <w:sz w:val="24"/>
          <w:szCs w:val="24"/>
        </w:rPr>
        <w:t>. (ss1.13)</w:t>
      </w:r>
    </w:p>
    <w:p w14:paraId="57240FA6" w14:textId="77777777" w:rsidR="00873B1A" w:rsidRPr="00883399" w:rsidRDefault="00873B1A" w:rsidP="00A527B9">
      <w:pPr>
        <w:pStyle w:val="TableNote"/>
        <w:spacing w:after="0"/>
        <w:rPr>
          <w:rFonts w:ascii="Times New Roman" w:hAnsi="Times New Roman" w:cs="Times New Roman"/>
          <w:sz w:val="24"/>
          <w:szCs w:val="24"/>
        </w:rPr>
      </w:pPr>
    </w:p>
    <w:p w14:paraId="1D792CB2" w14:textId="77777777" w:rsidR="00873B1A" w:rsidRPr="00883399" w:rsidRDefault="0037635D"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Department of Climate Change</w:t>
      </w:r>
      <w:r w:rsidR="002C770B" w:rsidRPr="00883399">
        <w:rPr>
          <w:rFonts w:ascii="Times New Roman" w:hAnsi="Times New Roman" w:cs="Times New Roman"/>
          <w:sz w:val="24"/>
          <w:szCs w:val="24"/>
        </w:rPr>
        <w:t xml:space="preserve"> and Energy Efficiency</w:t>
      </w:r>
      <w:r w:rsidR="00873B1A" w:rsidRPr="00883399">
        <w:rPr>
          <w:rFonts w:ascii="Times New Roman" w:hAnsi="Times New Roman" w:cs="Times New Roman"/>
          <w:sz w:val="24"/>
          <w:szCs w:val="24"/>
        </w:rPr>
        <w:t xml:space="preserve">, </w:t>
      </w:r>
      <w:r w:rsidR="00873B1A" w:rsidRPr="00883399">
        <w:rPr>
          <w:rFonts w:ascii="Times New Roman" w:hAnsi="Times New Roman" w:cs="Times New Roman"/>
          <w:color w:val="000000"/>
          <w:sz w:val="24"/>
          <w:szCs w:val="24"/>
        </w:rPr>
        <w:t xml:space="preserve">National Greenhouse Energy and Reporting (Measurement) Technical Guidelines </w:t>
      </w:r>
      <w:r w:rsidR="00035590" w:rsidRPr="00883399">
        <w:rPr>
          <w:rFonts w:ascii="Times New Roman" w:hAnsi="Times New Roman" w:cs="Times New Roman"/>
          <w:color w:val="000000"/>
          <w:sz w:val="24"/>
          <w:szCs w:val="24"/>
        </w:rPr>
        <w:t>201</w:t>
      </w:r>
      <w:r w:rsidR="00B220AE" w:rsidRPr="00883399">
        <w:rPr>
          <w:rFonts w:ascii="Times New Roman" w:hAnsi="Times New Roman" w:cs="Times New Roman"/>
          <w:color w:val="000000"/>
          <w:sz w:val="24"/>
          <w:szCs w:val="24"/>
        </w:rPr>
        <w:t>2</w:t>
      </w:r>
      <w:r w:rsidR="00265C83" w:rsidRPr="00883399">
        <w:rPr>
          <w:rFonts w:ascii="Times New Roman" w:hAnsi="Times New Roman" w:cs="Times New Roman"/>
          <w:color w:val="000000"/>
          <w:sz w:val="24"/>
          <w:szCs w:val="24"/>
        </w:rPr>
        <w:t>, (s</w:t>
      </w:r>
      <w:r w:rsidR="00873B1A" w:rsidRPr="00883399">
        <w:rPr>
          <w:rFonts w:ascii="Times New Roman" w:hAnsi="Times New Roman" w:cs="Times New Roman"/>
          <w:color w:val="000000"/>
          <w:sz w:val="24"/>
          <w:szCs w:val="24"/>
        </w:rPr>
        <w:t>1.8)</w:t>
      </w:r>
    </w:p>
    <w:p w14:paraId="4CB476E4" w14:textId="77777777" w:rsidR="007261F7" w:rsidRPr="00883399" w:rsidRDefault="007261F7" w:rsidP="00A527B9">
      <w:pPr>
        <w:pStyle w:val="TableNote"/>
        <w:spacing w:after="0"/>
        <w:rPr>
          <w:rFonts w:ascii="Times New Roman" w:hAnsi="Times New Roman" w:cs="Times New Roman"/>
          <w:sz w:val="24"/>
          <w:szCs w:val="24"/>
        </w:rPr>
      </w:pPr>
    </w:p>
    <w:p w14:paraId="4241D495"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Department of Environment and Heritage, National Pollutant Inventory – Emission Estimation Manual for Fossil Fuel Electric Power Generation, Version 2.4, March 2005. (s1.20)</w:t>
      </w:r>
    </w:p>
    <w:p w14:paraId="7285241A" w14:textId="77777777" w:rsidR="007261F7" w:rsidRPr="00883399" w:rsidRDefault="007261F7" w:rsidP="00A527B9">
      <w:pPr>
        <w:pStyle w:val="TableNote"/>
        <w:spacing w:after="0"/>
        <w:rPr>
          <w:rFonts w:ascii="Times New Roman" w:hAnsi="Times New Roman" w:cs="Times New Roman"/>
          <w:sz w:val="24"/>
          <w:szCs w:val="24"/>
        </w:rPr>
      </w:pPr>
    </w:p>
    <w:p w14:paraId="78C700B0"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Environmental Protection Agency, Load Calculation Protocol for use by holders of NSW environment protection licenses when calculating assessable pollutant loads. Department of Environment and Conservation (NSW), February 2005. (s1.20)</w:t>
      </w:r>
    </w:p>
    <w:p w14:paraId="05725AE6" w14:textId="77777777" w:rsidR="000B760D" w:rsidRPr="00883399" w:rsidRDefault="000B760D" w:rsidP="00A527B9">
      <w:pPr>
        <w:pStyle w:val="TableNote"/>
        <w:spacing w:after="0"/>
        <w:rPr>
          <w:rFonts w:ascii="Times New Roman" w:hAnsi="Times New Roman" w:cs="Times New Roman"/>
          <w:sz w:val="24"/>
          <w:szCs w:val="24"/>
        </w:rPr>
      </w:pPr>
    </w:p>
    <w:p w14:paraId="553A88AA" w14:textId="77777777" w:rsidR="005C7DBC" w:rsidRPr="00883399" w:rsidRDefault="005C7DBC" w:rsidP="005C7DBC">
      <w:pPr>
        <w:pStyle w:val="TableNote"/>
        <w:spacing w:after="0"/>
        <w:rPr>
          <w:rFonts w:ascii="Times New Roman" w:hAnsi="Times New Roman" w:cs="Times New Roman"/>
          <w:sz w:val="24"/>
          <w:szCs w:val="24"/>
        </w:rPr>
      </w:pPr>
    </w:p>
    <w:p w14:paraId="4199B800" w14:textId="77777777" w:rsidR="00CF321F" w:rsidRPr="00883399" w:rsidRDefault="005C7DBC" w:rsidP="005C7DBC">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Geoscience Australia, The Australian Geological Provinces Database can be obtained at: http://www.ga.gov.au/.</w:t>
      </w:r>
    </w:p>
    <w:p w14:paraId="4134B476" w14:textId="77777777" w:rsidR="00CF321F" w:rsidRPr="00883399" w:rsidRDefault="00CF321F" w:rsidP="005C7DBC">
      <w:pPr>
        <w:spacing w:after="0"/>
        <w:rPr>
          <w:rFonts w:eastAsia="Cambria"/>
          <w:lang w:eastAsia="en-US"/>
        </w:rPr>
      </w:pPr>
    </w:p>
    <w:p w14:paraId="1DFBF241" w14:textId="77777777" w:rsidR="00DA2A26" w:rsidRPr="00883399" w:rsidRDefault="00DA2A26" w:rsidP="005C7DBC">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Intergovernmental Panel on Climate Change (IPCC), The Physical Science Basis, 2007.</w:t>
      </w:r>
    </w:p>
    <w:p w14:paraId="658963DB" w14:textId="77777777" w:rsidR="00DA2A26" w:rsidRPr="00883399" w:rsidRDefault="00DA2A26" w:rsidP="00A527B9">
      <w:pPr>
        <w:pStyle w:val="TableNote"/>
        <w:spacing w:after="0"/>
        <w:rPr>
          <w:rFonts w:ascii="Times New Roman" w:hAnsi="Times New Roman" w:cs="Times New Roman"/>
          <w:sz w:val="24"/>
          <w:szCs w:val="24"/>
        </w:rPr>
      </w:pPr>
    </w:p>
    <w:p w14:paraId="62C8A3E5"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Guide 34: General requirements for the competence of reference material producers, 2000. (ss1.34 (4))</w:t>
      </w:r>
    </w:p>
    <w:p w14:paraId="46447224" w14:textId="77777777" w:rsidR="007261F7" w:rsidRPr="00883399" w:rsidRDefault="007261F7" w:rsidP="00A527B9">
      <w:pPr>
        <w:pStyle w:val="TableNote"/>
        <w:spacing w:after="0"/>
        <w:rPr>
          <w:rFonts w:ascii="Times New Roman" w:hAnsi="Times New Roman" w:cs="Times New Roman"/>
          <w:sz w:val="24"/>
          <w:szCs w:val="24"/>
        </w:rPr>
      </w:pPr>
    </w:p>
    <w:p w14:paraId="4ADBA2C6"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10012 Measurement management systems – Requirements for measurement processes and measuring equipment, 2003. (s1.23)</w:t>
      </w:r>
    </w:p>
    <w:p w14:paraId="67005BA5" w14:textId="77777777" w:rsidR="007261F7" w:rsidRPr="00883399" w:rsidRDefault="007261F7" w:rsidP="00A527B9">
      <w:pPr>
        <w:pStyle w:val="TableNote"/>
        <w:spacing w:after="0"/>
        <w:rPr>
          <w:rFonts w:ascii="Times New Roman" w:hAnsi="Times New Roman" w:cs="Times New Roman"/>
          <w:sz w:val="24"/>
          <w:szCs w:val="24"/>
        </w:rPr>
      </w:pPr>
    </w:p>
    <w:p w14:paraId="13C8C15B"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10780 Stationary source emissions – Measurement of velocity and volume of gas streams in ducts, 1994. (s1.24)</w:t>
      </w:r>
    </w:p>
    <w:p w14:paraId="17AE6F91" w14:textId="77777777" w:rsidR="007261F7" w:rsidRPr="00883399" w:rsidRDefault="007261F7" w:rsidP="00A527B9">
      <w:pPr>
        <w:pStyle w:val="TableNote"/>
        <w:spacing w:after="0"/>
        <w:rPr>
          <w:rFonts w:ascii="Times New Roman" w:hAnsi="Times New Roman" w:cs="Times New Roman"/>
          <w:sz w:val="24"/>
          <w:szCs w:val="24"/>
        </w:rPr>
      </w:pPr>
    </w:p>
    <w:p w14:paraId="19FAC74C"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10396 Stationary source emissions – Sampling for the automated determination of gas emission concentration, 2007. (s1.23)</w:t>
      </w:r>
    </w:p>
    <w:p w14:paraId="44BC7C3C" w14:textId="77777777" w:rsidR="007261F7" w:rsidRPr="00883399" w:rsidRDefault="007261F7" w:rsidP="00A527B9">
      <w:pPr>
        <w:pStyle w:val="TableNote"/>
        <w:spacing w:after="0"/>
        <w:rPr>
          <w:rFonts w:ascii="Times New Roman" w:hAnsi="Times New Roman" w:cs="Times New Roman"/>
          <w:sz w:val="24"/>
          <w:szCs w:val="24"/>
        </w:rPr>
      </w:pPr>
    </w:p>
    <w:p w14:paraId="0DF6EA88"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12039 Stationary source emissions – Determination of carbon monoxide, carbon dioxide and oxygen – Performance characteristics and calibration of automated measuring systems, 2001. (s1.25)</w:t>
      </w:r>
    </w:p>
    <w:p w14:paraId="549029FD" w14:textId="77777777" w:rsidR="007261F7" w:rsidRPr="00883399" w:rsidRDefault="007261F7" w:rsidP="00A527B9">
      <w:pPr>
        <w:pStyle w:val="TableNote"/>
        <w:spacing w:after="0"/>
        <w:rPr>
          <w:rFonts w:ascii="Times New Roman" w:hAnsi="Times New Roman" w:cs="Times New Roman"/>
          <w:sz w:val="24"/>
          <w:szCs w:val="24"/>
        </w:rPr>
      </w:pPr>
    </w:p>
    <w:p w14:paraId="39A7ACCC"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14164 Stationary source emissions – Determination of the volume flowrate of gas streams in ducts – Automated method, 1999. (s1.24)</w:t>
      </w:r>
    </w:p>
    <w:p w14:paraId="709CD870" w14:textId="77777777" w:rsidR="007261F7" w:rsidRPr="00883399" w:rsidRDefault="007261F7" w:rsidP="00A527B9">
      <w:pPr>
        <w:pStyle w:val="TableNote"/>
        <w:spacing w:after="0"/>
        <w:rPr>
          <w:rFonts w:ascii="Times New Roman" w:hAnsi="Times New Roman" w:cs="Times New Roman"/>
          <w:sz w:val="24"/>
          <w:szCs w:val="24"/>
        </w:rPr>
      </w:pPr>
    </w:p>
    <w:p w14:paraId="4C2821B8"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Mark, M., Worrall, R., Mallett, C., and Xue, S. (2001). Measuring and Reporting Greenhouse Gas Emissions. ACARP Project C8061. CSIRO Exploration and Mining Report 805C. (s1.21)</w:t>
      </w:r>
    </w:p>
    <w:p w14:paraId="3AA27260" w14:textId="77777777" w:rsidR="007261F7" w:rsidRPr="00883399" w:rsidRDefault="007261F7" w:rsidP="00A527B9">
      <w:pPr>
        <w:pStyle w:val="TableNote"/>
        <w:spacing w:after="0"/>
        <w:rPr>
          <w:rFonts w:ascii="Times New Roman" w:hAnsi="Times New Roman" w:cs="Times New Roman"/>
          <w:sz w:val="24"/>
          <w:szCs w:val="24"/>
        </w:rPr>
      </w:pPr>
    </w:p>
    <w:p w14:paraId="050AA140" w14:textId="77777777" w:rsidR="007261F7" w:rsidRPr="00883399" w:rsidRDefault="007261F7" w:rsidP="00A527B9">
      <w:pPr>
        <w:pStyle w:val="TableNote"/>
        <w:spacing w:after="0"/>
        <w:outlineLvl w:val="0"/>
        <w:rPr>
          <w:rFonts w:ascii="Times New Roman" w:hAnsi="Times New Roman" w:cs="Times New Roman"/>
          <w:sz w:val="24"/>
          <w:szCs w:val="24"/>
        </w:rPr>
      </w:pPr>
      <w:r w:rsidRPr="00883399">
        <w:rPr>
          <w:rFonts w:ascii="Times New Roman" w:hAnsi="Times New Roman" w:cs="Times New Roman"/>
          <w:i/>
          <w:sz w:val="24"/>
          <w:szCs w:val="24"/>
        </w:rPr>
        <w:t>National Greenhouse and Energy Reporting Act 2007</w:t>
      </w:r>
      <w:r w:rsidR="0037635D" w:rsidRPr="00883399">
        <w:rPr>
          <w:rFonts w:ascii="Times New Roman" w:hAnsi="Times New Roman" w:cs="Times New Roman"/>
          <w:i/>
          <w:sz w:val="24"/>
          <w:szCs w:val="24"/>
        </w:rPr>
        <w:t xml:space="preserve"> </w:t>
      </w:r>
      <w:r w:rsidRPr="00883399">
        <w:rPr>
          <w:rFonts w:ascii="Times New Roman" w:hAnsi="Times New Roman" w:cs="Times New Roman"/>
          <w:sz w:val="24"/>
          <w:szCs w:val="24"/>
        </w:rPr>
        <w:t>(ss1.3 (1))</w:t>
      </w:r>
    </w:p>
    <w:p w14:paraId="03D8B599" w14:textId="77777777" w:rsidR="007261F7" w:rsidRPr="00883399" w:rsidRDefault="007261F7" w:rsidP="00A527B9">
      <w:pPr>
        <w:pStyle w:val="TableNote"/>
        <w:spacing w:after="0"/>
        <w:rPr>
          <w:rFonts w:ascii="Times New Roman" w:hAnsi="Times New Roman" w:cs="Times New Roman"/>
          <w:sz w:val="24"/>
          <w:szCs w:val="24"/>
        </w:rPr>
      </w:pPr>
    </w:p>
    <w:p w14:paraId="2BBB5B8A" w14:textId="77777777" w:rsidR="007261F7" w:rsidRPr="00883399" w:rsidRDefault="007261F7" w:rsidP="00A527B9">
      <w:pPr>
        <w:pStyle w:val="TableNote"/>
        <w:spacing w:after="0"/>
        <w:outlineLvl w:val="0"/>
        <w:rPr>
          <w:rFonts w:ascii="Times New Roman" w:hAnsi="Times New Roman" w:cs="Times New Roman"/>
          <w:sz w:val="24"/>
          <w:szCs w:val="24"/>
        </w:rPr>
      </w:pPr>
      <w:r w:rsidRPr="00883399">
        <w:rPr>
          <w:rFonts w:ascii="Times New Roman" w:hAnsi="Times New Roman" w:cs="Times New Roman"/>
          <w:i/>
          <w:sz w:val="24"/>
          <w:szCs w:val="24"/>
        </w:rPr>
        <w:t>National Measurement Act 1960</w:t>
      </w:r>
      <w:r w:rsidRPr="00883399">
        <w:rPr>
          <w:rFonts w:ascii="Times New Roman" w:hAnsi="Times New Roman" w:cs="Times New Roman"/>
          <w:sz w:val="24"/>
          <w:szCs w:val="24"/>
        </w:rPr>
        <w:t xml:space="preserve"> (ss1.15 (4))</w:t>
      </w:r>
    </w:p>
    <w:p w14:paraId="4DB3965F" w14:textId="77777777" w:rsidR="007261F7" w:rsidRPr="00883399" w:rsidRDefault="007261F7" w:rsidP="00A527B9">
      <w:pPr>
        <w:pStyle w:val="TableNote"/>
        <w:spacing w:after="0"/>
        <w:rPr>
          <w:rFonts w:ascii="Times New Roman" w:hAnsi="Times New Roman" w:cs="Times New Roman"/>
          <w:sz w:val="24"/>
          <w:szCs w:val="24"/>
        </w:rPr>
      </w:pPr>
    </w:p>
    <w:p w14:paraId="7D9CA129" w14:textId="77777777" w:rsidR="005E316C" w:rsidRPr="00883399" w:rsidRDefault="005E316C"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NIST/SEMATECH e-Handbook of Statistical Methods, http://www.itl.nist.gov/div898/handbook/, 23 April 2009</w:t>
      </w:r>
    </w:p>
    <w:p w14:paraId="7CDF9C40" w14:textId="77777777" w:rsidR="005E316C" w:rsidRPr="00883399" w:rsidRDefault="005E316C" w:rsidP="00A527B9">
      <w:pPr>
        <w:pStyle w:val="TableNote"/>
        <w:spacing w:after="0"/>
        <w:rPr>
          <w:rFonts w:ascii="Times New Roman" w:hAnsi="Times New Roman" w:cs="Times New Roman"/>
          <w:sz w:val="24"/>
          <w:szCs w:val="24"/>
        </w:rPr>
      </w:pPr>
    </w:p>
    <w:p w14:paraId="297A34EB"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4323.1 Stationary source emissions – Selection of sampling positions (s1.23), 1995.</w:t>
      </w:r>
    </w:p>
    <w:p w14:paraId="504CE3FA" w14:textId="77777777" w:rsidR="007261F7" w:rsidRPr="00883399" w:rsidRDefault="007261F7" w:rsidP="00A527B9">
      <w:pPr>
        <w:pStyle w:val="TableNote"/>
        <w:spacing w:after="0"/>
        <w:rPr>
          <w:rFonts w:ascii="Times New Roman" w:hAnsi="Times New Roman" w:cs="Times New Roman"/>
          <w:sz w:val="24"/>
          <w:szCs w:val="24"/>
        </w:rPr>
      </w:pPr>
    </w:p>
    <w:p w14:paraId="30D2C809"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4323[1].1 Amdt 1 Stationary source emissions – Selection of sampling positions, 1995. (s1.23)</w:t>
      </w:r>
    </w:p>
    <w:p w14:paraId="2150CF6C" w14:textId="77777777" w:rsidR="007261F7" w:rsidRPr="00883399" w:rsidRDefault="007261F7" w:rsidP="00A527B9">
      <w:pPr>
        <w:pStyle w:val="TableNote"/>
        <w:spacing w:after="0"/>
        <w:rPr>
          <w:rFonts w:ascii="Times New Roman" w:hAnsi="Times New Roman" w:cs="Times New Roman"/>
          <w:sz w:val="24"/>
          <w:szCs w:val="24"/>
        </w:rPr>
      </w:pPr>
    </w:p>
    <w:p w14:paraId="34322705"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U.S. Environmental Protection Agency. 2003. Code of Federal Regulations: Standards of Performance for New Stationary Sources. Appendix A – Test Methods. 40 CFR 60 Appendix A. Washington, D.C. (s1.20)</w:t>
      </w:r>
    </w:p>
    <w:p w14:paraId="030FBAEB" w14:textId="77777777" w:rsidR="007261F7" w:rsidRPr="00883399" w:rsidRDefault="007261F7" w:rsidP="00A527B9">
      <w:pPr>
        <w:pStyle w:val="TableNote"/>
        <w:spacing w:after="0"/>
        <w:rPr>
          <w:rFonts w:ascii="Times New Roman" w:hAnsi="Times New Roman" w:cs="Times New Roman"/>
          <w:sz w:val="24"/>
          <w:szCs w:val="24"/>
        </w:rPr>
      </w:pPr>
    </w:p>
    <w:p w14:paraId="0D828385"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b/>
      </w:r>
      <w:r w:rsidRPr="00883399">
        <w:rPr>
          <w:rFonts w:ascii="Times New Roman" w:hAnsi="Times New Roman" w:cs="Times New Roman"/>
          <w:sz w:val="24"/>
          <w:szCs w:val="24"/>
        </w:rPr>
        <w:tab/>
        <w:t>– Method 1 – Sample and velocity traverses for stationary sources. (s1.23)</w:t>
      </w:r>
    </w:p>
    <w:p w14:paraId="62FC36FF" w14:textId="77777777" w:rsidR="007261F7" w:rsidRPr="00883399" w:rsidRDefault="007261F7" w:rsidP="00A527B9">
      <w:pPr>
        <w:pStyle w:val="TableNote"/>
        <w:spacing w:after="0"/>
        <w:rPr>
          <w:rFonts w:ascii="Times New Roman" w:hAnsi="Times New Roman" w:cs="Times New Roman"/>
          <w:sz w:val="24"/>
          <w:szCs w:val="24"/>
        </w:rPr>
      </w:pPr>
    </w:p>
    <w:p w14:paraId="00D6AF87" w14:textId="77777777" w:rsidR="007261F7" w:rsidRPr="00883399" w:rsidRDefault="007261F7" w:rsidP="00A527B9">
      <w:pPr>
        <w:pStyle w:val="TableNote"/>
        <w:spacing w:after="0"/>
        <w:ind w:left="720"/>
        <w:rPr>
          <w:rFonts w:ascii="Times New Roman" w:hAnsi="Times New Roman" w:cs="Times New Roman"/>
          <w:sz w:val="24"/>
          <w:szCs w:val="24"/>
        </w:rPr>
      </w:pPr>
      <w:r w:rsidRPr="00883399">
        <w:rPr>
          <w:rFonts w:ascii="Times New Roman" w:hAnsi="Times New Roman" w:cs="Times New Roman"/>
          <w:sz w:val="24"/>
          <w:szCs w:val="24"/>
        </w:rPr>
        <w:t>– Method 2 – Determination of stack velocity and volumetric flow rate (Type S Pitot tube) (2000). (s1.24)</w:t>
      </w:r>
    </w:p>
    <w:p w14:paraId="47188E2E" w14:textId="77777777" w:rsidR="007261F7" w:rsidRPr="00883399" w:rsidRDefault="007261F7" w:rsidP="00A527B9">
      <w:pPr>
        <w:pStyle w:val="TableNote"/>
        <w:spacing w:after="0"/>
        <w:rPr>
          <w:rFonts w:ascii="Times New Roman" w:hAnsi="Times New Roman" w:cs="Times New Roman"/>
          <w:sz w:val="24"/>
          <w:szCs w:val="24"/>
        </w:rPr>
      </w:pPr>
    </w:p>
    <w:p w14:paraId="14136723" w14:textId="77777777" w:rsidR="007261F7" w:rsidRPr="00883399" w:rsidRDefault="007261F7" w:rsidP="00A527B9">
      <w:pPr>
        <w:pStyle w:val="TableNote"/>
        <w:spacing w:after="0"/>
        <w:ind w:left="720"/>
        <w:rPr>
          <w:rFonts w:ascii="Times New Roman" w:hAnsi="Times New Roman" w:cs="Times New Roman"/>
          <w:sz w:val="24"/>
          <w:szCs w:val="24"/>
        </w:rPr>
      </w:pPr>
      <w:r w:rsidRPr="00883399">
        <w:rPr>
          <w:rFonts w:ascii="Times New Roman" w:hAnsi="Times New Roman" w:cs="Times New Roman"/>
          <w:sz w:val="24"/>
          <w:szCs w:val="24"/>
        </w:rPr>
        <w:t>– Method – 02A Direct measurement of gas volume through pipes and small ducts (2000). (s1.24)</w:t>
      </w:r>
    </w:p>
    <w:p w14:paraId="47686249" w14:textId="77777777" w:rsidR="007261F7" w:rsidRPr="00883399" w:rsidRDefault="007261F7" w:rsidP="00A527B9">
      <w:pPr>
        <w:pStyle w:val="TableNote"/>
        <w:spacing w:after="0"/>
        <w:rPr>
          <w:rFonts w:ascii="Times New Roman" w:hAnsi="Times New Roman" w:cs="Times New Roman"/>
          <w:sz w:val="24"/>
          <w:szCs w:val="24"/>
        </w:rPr>
      </w:pPr>
    </w:p>
    <w:p w14:paraId="0A8F69AF" w14:textId="77777777" w:rsidR="007261F7" w:rsidRPr="00883399" w:rsidRDefault="007261F7" w:rsidP="00A527B9">
      <w:pPr>
        <w:pStyle w:val="TableNote"/>
        <w:spacing w:after="0"/>
        <w:ind w:left="720"/>
        <w:rPr>
          <w:rFonts w:ascii="Times New Roman" w:hAnsi="Times New Roman" w:cs="Times New Roman"/>
          <w:sz w:val="24"/>
          <w:szCs w:val="24"/>
        </w:rPr>
      </w:pPr>
      <w:r w:rsidRPr="00883399">
        <w:rPr>
          <w:rFonts w:ascii="Times New Roman" w:hAnsi="Times New Roman" w:cs="Times New Roman"/>
          <w:sz w:val="24"/>
          <w:szCs w:val="24"/>
        </w:rPr>
        <w:t>– Method – 03A Determination of oxygen and carbon dioxide concentrations in emissions from stationary sources (Instrumental analyser procedure) (2006). (s1.25)</w:t>
      </w:r>
    </w:p>
    <w:p w14:paraId="3AD605EA" w14:textId="77777777" w:rsidR="007261F7" w:rsidRPr="00883399" w:rsidRDefault="007261F7" w:rsidP="00A527B9">
      <w:pPr>
        <w:pStyle w:val="TableNote"/>
        <w:spacing w:after="0"/>
        <w:rPr>
          <w:rFonts w:ascii="Times New Roman" w:hAnsi="Times New Roman" w:cs="Times New Roman"/>
          <w:sz w:val="24"/>
          <w:szCs w:val="24"/>
        </w:rPr>
      </w:pPr>
    </w:p>
    <w:p w14:paraId="3FADA358" w14:textId="77777777" w:rsidR="007261F7" w:rsidRPr="00883399" w:rsidRDefault="007261F7" w:rsidP="00A527B9">
      <w:pPr>
        <w:pStyle w:val="TableNote"/>
        <w:spacing w:after="0"/>
        <w:ind w:left="720"/>
        <w:rPr>
          <w:rFonts w:ascii="Times New Roman" w:hAnsi="Times New Roman" w:cs="Times New Roman"/>
          <w:sz w:val="24"/>
          <w:szCs w:val="24"/>
        </w:rPr>
      </w:pPr>
      <w:r w:rsidRPr="00883399">
        <w:rPr>
          <w:rFonts w:ascii="Times New Roman" w:hAnsi="Times New Roman" w:cs="Times New Roman"/>
          <w:sz w:val="24"/>
          <w:szCs w:val="24"/>
        </w:rPr>
        <w:t>– Method – 03C Determination of carbon dioxide, methane, nitrogen and oxygen from stationary sources (1996). (s1.25)</w:t>
      </w:r>
    </w:p>
    <w:p w14:paraId="03604FCC" w14:textId="77777777" w:rsidR="007261F7" w:rsidRPr="00883399" w:rsidRDefault="007261F7" w:rsidP="00A527B9">
      <w:pPr>
        <w:pStyle w:val="TableNote"/>
        <w:spacing w:after="0"/>
        <w:rPr>
          <w:rFonts w:ascii="Times New Roman" w:hAnsi="Times New Roman" w:cs="Times New Roman"/>
          <w:sz w:val="24"/>
          <w:szCs w:val="24"/>
        </w:rPr>
      </w:pPr>
    </w:p>
    <w:p w14:paraId="20E1FD02" w14:textId="77777777" w:rsidR="007E60C5" w:rsidRPr="00883399" w:rsidRDefault="007E60C5"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U.S. Environmental Protection Agency. 2009. Code of Federal Regulations: Proposed Rule; Mandatory Reporting of Greenhouse Gases; 40 CFR Parts 86, 87, 89, et al., Washington, D.C. (s1.4)</w:t>
      </w:r>
    </w:p>
    <w:p w14:paraId="18B3FC89" w14:textId="77777777" w:rsidR="007E60C5" w:rsidRPr="00883399" w:rsidRDefault="007E60C5" w:rsidP="00A527B9">
      <w:pPr>
        <w:pStyle w:val="TableNote"/>
        <w:spacing w:after="0"/>
        <w:rPr>
          <w:rFonts w:ascii="Times New Roman" w:hAnsi="Times New Roman" w:cs="Times New Roman"/>
          <w:sz w:val="24"/>
          <w:szCs w:val="24"/>
        </w:rPr>
      </w:pPr>
    </w:p>
    <w:p w14:paraId="4BEBE032"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West Australian Department of Environment and Conservation, Department of Environment and Conservation Continuous Emissions Monitoring System (CEMS) Code for Stationary Source Air Emissions, October 2006. (s1.20)</w:t>
      </w:r>
    </w:p>
    <w:p w14:paraId="3304C27F" w14:textId="77777777" w:rsidR="007261F7" w:rsidRPr="00883399" w:rsidRDefault="007261F7" w:rsidP="00A527B9">
      <w:pPr>
        <w:pStyle w:val="TableNote"/>
        <w:spacing w:after="0"/>
        <w:rPr>
          <w:rFonts w:ascii="Times New Roman" w:hAnsi="Times New Roman" w:cs="Times New Roman"/>
          <w:sz w:val="24"/>
          <w:szCs w:val="24"/>
        </w:rPr>
      </w:pPr>
    </w:p>
    <w:p w14:paraId="58A63DEE" w14:textId="77777777" w:rsidR="00265C83" w:rsidRPr="00883399" w:rsidRDefault="00265C83"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World Resources Institute/World Business Council on Sustainable Development, GHG Protocol guidance on uncertainty assessment in GHG inventories and calculating statistical parameter uncertainty. World Resources Institute and the World Business Council on Sustainable Development. September 2003 v1.0. (s1.8)</w:t>
      </w:r>
    </w:p>
    <w:p w14:paraId="7CA2AB59" w14:textId="77777777" w:rsidR="007261F7" w:rsidRPr="00883399" w:rsidRDefault="007261F7" w:rsidP="00A527B9">
      <w:pPr>
        <w:pStyle w:val="TableNote"/>
        <w:spacing w:after="0"/>
        <w:rPr>
          <w:rFonts w:ascii="Times New Roman" w:hAnsi="Times New Roman" w:cs="Times New Roman"/>
          <w:sz w:val="24"/>
          <w:szCs w:val="24"/>
        </w:rPr>
      </w:pPr>
    </w:p>
    <w:p w14:paraId="07947803" w14:textId="77777777" w:rsidR="007261F7" w:rsidRPr="00883399" w:rsidRDefault="007261F7" w:rsidP="00A527B9">
      <w:pPr>
        <w:pStyle w:val="TableNote"/>
        <w:spacing w:after="0"/>
        <w:outlineLvl w:val="0"/>
        <w:rPr>
          <w:rFonts w:ascii="Times New Roman" w:hAnsi="Times New Roman" w:cs="Times New Roman"/>
          <w:b/>
          <w:sz w:val="24"/>
          <w:szCs w:val="24"/>
        </w:rPr>
      </w:pPr>
      <w:r w:rsidRPr="00883399">
        <w:rPr>
          <w:rFonts w:ascii="Times New Roman" w:hAnsi="Times New Roman" w:cs="Times New Roman"/>
          <w:b/>
          <w:sz w:val="24"/>
          <w:szCs w:val="24"/>
        </w:rPr>
        <w:t xml:space="preserve">Chapter 2 Fuel Combustion </w:t>
      </w:r>
    </w:p>
    <w:p w14:paraId="65CCB62C" w14:textId="77777777" w:rsidR="007261F7" w:rsidRPr="00883399" w:rsidRDefault="007261F7" w:rsidP="00A527B9">
      <w:pPr>
        <w:pStyle w:val="TableNote"/>
        <w:spacing w:after="0"/>
        <w:rPr>
          <w:rFonts w:ascii="Times New Roman" w:hAnsi="Times New Roman" w:cs="Times New Roman"/>
          <w:sz w:val="24"/>
          <w:szCs w:val="24"/>
        </w:rPr>
      </w:pPr>
    </w:p>
    <w:p w14:paraId="7975A0D4"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Australian Bureau of Agriculture and Resource Economics (ABARE</w:t>
      </w:r>
      <w:r w:rsidRPr="00883399">
        <w:rPr>
          <w:rFonts w:ascii="Times New Roman" w:hAnsi="Times New Roman" w:cs="Times New Roman"/>
          <w:sz w:val="24"/>
          <w:szCs w:val="24"/>
          <w:vertAlign w:val="subscript"/>
        </w:rPr>
        <w:t>1</w:t>
      </w:r>
      <w:r w:rsidRPr="00883399">
        <w:rPr>
          <w:rFonts w:ascii="Times New Roman" w:hAnsi="Times New Roman" w:cs="Times New Roman"/>
          <w:sz w:val="24"/>
          <w:szCs w:val="24"/>
        </w:rPr>
        <w:t>), Fuel and Electricity Survey – Fuel Codes, Commonwealth of Australia, Canberra, 2007.</w:t>
      </w:r>
    </w:p>
    <w:p w14:paraId="30A7E5F8" w14:textId="77777777" w:rsidR="007261F7" w:rsidRPr="00883399" w:rsidRDefault="007261F7" w:rsidP="00A527B9">
      <w:pPr>
        <w:pStyle w:val="TableNote"/>
        <w:spacing w:after="0"/>
        <w:rPr>
          <w:rFonts w:ascii="Times New Roman" w:hAnsi="Times New Roman" w:cs="Times New Roman"/>
          <w:sz w:val="24"/>
          <w:szCs w:val="24"/>
        </w:rPr>
      </w:pPr>
    </w:p>
    <w:p w14:paraId="342E25CC"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ABARE</w:t>
      </w:r>
      <w:r w:rsidRPr="00883399">
        <w:rPr>
          <w:rFonts w:ascii="Times New Roman" w:hAnsi="Times New Roman" w:cs="Times New Roman"/>
          <w:sz w:val="24"/>
          <w:szCs w:val="24"/>
          <w:vertAlign w:val="subscript"/>
        </w:rPr>
        <w:t>2</w:t>
      </w:r>
      <w:r w:rsidRPr="00883399">
        <w:rPr>
          <w:rFonts w:ascii="Times New Roman" w:hAnsi="Times New Roman" w:cs="Times New Roman"/>
          <w:sz w:val="24"/>
          <w:szCs w:val="24"/>
        </w:rPr>
        <w:t>, Energy in Australia 2006, produced for Department of Industry, Tourism and Resources, Commonwealth of Australia, Canberra, 2007, pages 77-79.</w:t>
      </w:r>
    </w:p>
    <w:p w14:paraId="696CE09E" w14:textId="77777777" w:rsidR="007261F7" w:rsidRPr="00883399" w:rsidRDefault="007261F7" w:rsidP="00A527B9">
      <w:pPr>
        <w:pStyle w:val="TableNote"/>
        <w:spacing w:after="0"/>
        <w:rPr>
          <w:rFonts w:ascii="Times New Roman" w:hAnsi="Times New Roman" w:cs="Times New Roman"/>
          <w:sz w:val="24"/>
          <w:szCs w:val="24"/>
        </w:rPr>
      </w:pPr>
    </w:p>
    <w:p w14:paraId="10F2019E"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 xml:space="preserve">Australian Greenhouse Office, Technical Guidelines - Generator Efficiency Standards. Department of Environment and Heritage, December 2006 </w:t>
      </w:r>
    </w:p>
    <w:p w14:paraId="2F34B350" w14:textId="77777777" w:rsidR="007261F7" w:rsidRPr="00883399" w:rsidRDefault="007261F7" w:rsidP="00A527B9">
      <w:pPr>
        <w:pStyle w:val="TableNote"/>
        <w:spacing w:after="0"/>
        <w:rPr>
          <w:rFonts w:ascii="Times New Roman" w:hAnsi="Times New Roman" w:cs="Times New Roman"/>
          <w:sz w:val="24"/>
          <w:szCs w:val="24"/>
        </w:rPr>
      </w:pPr>
    </w:p>
    <w:p w14:paraId="13CFBE49"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American Gas Association, AGA Report No. 3, Orifice Metering of Natural Gas Part 1: General Equations &amp; Uncertainty Guidelines (1990, 2003). (2.32 (4a))</w:t>
      </w:r>
    </w:p>
    <w:p w14:paraId="23C3AF2B" w14:textId="77777777" w:rsidR="007261F7" w:rsidRPr="00883399" w:rsidRDefault="007261F7" w:rsidP="00A527B9">
      <w:pPr>
        <w:pStyle w:val="TableNote"/>
        <w:spacing w:after="0"/>
        <w:rPr>
          <w:rFonts w:ascii="Times New Roman" w:hAnsi="Times New Roman" w:cs="Times New Roman"/>
          <w:sz w:val="24"/>
          <w:szCs w:val="24"/>
        </w:rPr>
      </w:pPr>
    </w:p>
    <w:p w14:paraId="2523C463"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 xml:space="preserve">American Gas Association, AGA Report No. 3, Orifice Metering of Natural Gas Part 2: Specification and Installation Requirements (2000, 2003). (2.32 (4a)) </w:t>
      </w:r>
    </w:p>
    <w:p w14:paraId="6831D38B" w14:textId="77777777" w:rsidR="007261F7" w:rsidRPr="00883399" w:rsidRDefault="007261F7" w:rsidP="00A527B9">
      <w:pPr>
        <w:pStyle w:val="TableNote"/>
        <w:spacing w:after="0"/>
        <w:rPr>
          <w:rFonts w:ascii="Times New Roman" w:hAnsi="Times New Roman" w:cs="Times New Roman"/>
          <w:sz w:val="24"/>
          <w:szCs w:val="24"/>
        </w:rPr>
      </w:pPr>
    </w:p>
    <w:p w14:paraId="5A8D6392"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American Gas Association, AGA Report No. 3, Orifice Metering of Natural Gas Part 3: Natural Gas Applications (1992). (2.32 (4a))</w:t>
      </w:r>
    </w:p>
    <w:p w14:paraId="7D31BD57" w14:textId="77777777" w:rsidR="007261F7" w:rsidRPr="00883399" w:rsidRDefault="007261F7" w:rsidP="00A527B9">
      <w:pPr>
        <w:pStyle w:val="TableNote"/>
        <w:spacing w:after="0"/>
        <w:rPr>
          <w:rFonts w:ascii="Times New Roman" w:hAnsi="Times New Roman" w:cs="Times New Roman"/>
          <w:sz w:val="24"/>
          <w:szCs w:val="24"/>
        </w:rPr>
      </w:pPr>
    </w:p>
    <w:p w14:paraId="7839A29F"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American Gas Association, AGA Report No. 3, Orifice Metering of Natural Gas Part 4: Background, Development, Implementation Procedures and Subroutine Documentation (1992). (2.32 (4a))</w:t>
      </w:r>
    </w:p>
    <w:p w14:paraId="56209CE1" w14:textId="77777777" w:rsidR="007261F7" w:rsidRPr="00883399" w:rsidRDefault="007261F7" w:rsidP="00A527B9">
      <w:pPr>
        <w:pStyle w:val="TableNote"/>
        <w:spacing w:after="0"/>
        <w:rPr>
          <w:rFonts w:ascii="Times New Roman" w:hAnsi="Times New Roman" w:cs="Times New Roman"/>
          <w:sz w:val="24"/>
          <w:szCs w:val="24"/>
        </w:rPr>
      </w:pPr>
    </w:p>
    <w:p w14:paraId="3C2F4BF7"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American Gas Association, AGA Report No. 7, Measurement of natural gas by turbine meters (2006). (ss2.32 (4b))</w:t>
      </w:r>
    </w:p>
    <w:p w14:paraId="7D820F9A" w14:textId="77777777" w:rsidR="007261F7" w:rsidRPr="00883399" w:rsidRDefault="007261F7" w:rsidP="00A527B9">
      <w:pPr>
        <w:pStyle w:val="TableNote"/>
        <w:spacing w:after="0"/>
        <w:rPr>
          <w:rFonts w:ascii="Times New Roman" w:hAnsi="Times New Roman" w:cs="Times New Roman"/>
          <w:sz w:val="24"/>
          <w:szCs w:val="24"/>
        </w:rPr>
      </w:pPr>
    </w:p>
    <w:p w14:paraId="019D9517" w14:textId="77777777" w:rsidR="009B6DC6" w:rsidRPr="00883399" w:rsidRDefault="009B6DC6"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American Gas Association, AGA Report No. 8, Compressibility Factor of Natural Gas and Related Hydrocarbon Gases (1994). (ss1.19l)</w:t>
      </w:r>
    </w:p>
    <w:p w14:paraId="156D3680" w14:textId="77777777" w:rsidR="009B6DC6" w:rsidRPr="00883399" w:rsidRDefault="009B6DC6" w:rsidP="00A527B9">
      <w:pPr>
        <w:pStyle w:val="TableNote"/>
        <w:spacing w:after="0"/>
        <w:rPr>
          <w:rFonts w:ascii="Times New Roman" w:hAnsi="Times New Roman" w:cs="Times New Roman"/>
          <w:sz w:val="24"/>
          <w:szCs w:val="24"/>
        </w:rPr>
      </w:pPr>
    </w:p>
    <w:p w14:paraId="19D0873F"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American Gas Association, AGA Transmission Measurement Committee Report No. 8: Compressibility Factors of Natural Gas and Other Related Hydrocarbon Gases (2003). (ss2.33 (2))</w:t>
      </w:r>
    </w:p>
    <w:p w14:paraId="6FE14A72" w14:textId="77777777" w:rsidR="007261F7" w:rsidRPr="00883399" w:rsidRDefault="007261F7" w:rsidP="00A527B9">
      <w:pPr>
        <w:pStyle w:val="TableNote"/>
        <w:spacing w:after="0"/>
        <w:rPr>
          <w:rFonts w:ascii="Times New Roman" w:hAnsi="Times New Roman" w:cs="Times New Roman"/>
          <w:sz w:val="24"/>
          <w:szCs w:val="24"/>
        </w:rPr>
      </w:pPr>
    </w:p>
    <w:p w14:paraId="30F1F5B5"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American National Standards Institute, ANSI B109.3 Rotary-Type Gas Displacement Meters, 2000. (ss2.32 (4c)</w:t>
      </w:r>
    </w:p>
    <w:p w14:paraId="4D6BED68" w14:textId="77777777" w:rsidR="007261F7" w:rsidRPr="00883399" w:rsidRDefault="007261F7" w:rsidP="00A527B9">
      <w:pPr>
        <w:pStyle w:val="TableNote"/>
        <w:spacing w:after="0"/>
        <w:rPr>
          <w:rFonts w:ascii="Times New Roman" w:hAnsi="Times New Roman" w:cs="Times New Roman"/>
          <w:sz w:val="24"/>
          <w:szCs w:val="24"/>
        </w:rPr>
      </w:pPr>
    </w:p>
    <w:p w14:paraId="407F81A7"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American Petroleum Institute, Compendium of Greenhouse Gas Emissions Estimation Methodologies for the Oil and Gas Industry, 2004 (s2.56 (2))</w:t>
      </w:r>
    </w:p>
    <w:p w14:paraId="769DB975" w14:textId="77777777" w:rsidR="007261F7" w:rsidRPr="00883399" w:rsidRDefault="007261F7" w:rsidP="00A527B9">
      <w:pPr>
        <w:pStyle w:val="TableNote"/>
        <w:spacing w:after="0"/>
        <w:rPr>
          <w:rFonts w:ascii="Times New Roman" w:hAnsi="Times New Roman" w:cs="Times New Roman"/>
          <w:sz w:val="24"/>
          <w:szCs w:val="24"/>
        </w:rPr>
      </w:pPr>
    </w:p>
    <w:p w14:paraId="1BE0BCE2"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American Petroleum Institute, Manual of Petroleum Measurement Standards Part 1: General Equations &amp; Uncertainty Guidelines (1990) (reaffirmed 2003). (2.32 (4a))</w:t>
      </w:r>
    </w:p>
    <w:p w14:paraId="17BAFBDA" w14:textId="77777777" w:rsidR="007261F7" w:rsidRPr="00883399" w:rsidRDefault="007261F7" w:rsidP="00A527B9">
      <w:pPr>
        <w:pStyle w:val="TableNote"/>
        <w:spacing w:after="0"/>
        <w:rPr>
          <w:rFonts w:ascii="Times New Roman" w:hAnsi="Times New Roman" w:cs="Times New Roman"/>
          <w:sz w:val="24"/>
          <w:szCs w:val="24"/>
        </w:rPr>
      </w:pPr>
    </w:p>
    <w:p w14:paraId="7B5C9430"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American Petroleum Institute, Manual of Petroleum Measurement Standards Part 2: Specification and Installation Requirements (2000) (reaffirmed 2006). (2.32 (4a))</w:t>
      </w:r>
    </w:p>
    <w:p w14:paraId="29ADE5E8" w14:textId="77777777" w:rsidR="007261F7" w:rsidRPr="00883399" w:rsidRDefault="007261F7" w:rsidP="00A527B9">
      <w:pPr>
        <w:pStyle w:val="TableNote"/>
        <w:spacing w:after="0"/>
        <w:rPr>
          <w:rFonts w:ascii="Times New Roman" w:hAnsi="Times New Roman" w:cs="Times New Roman"/>
          <w:sz w:val="24"/>
          <w:szCs w:val="24"/>
        </w:rPr>
      </w:pPr>
    </w:p>
    <w:p w14:paraId="0F59C17D"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 xml:space="preserve">American Petroleum Institute, Manual of Petroleum Measurement Standards Part 3: Natural Gas Applications (1992) (reaffirmed 2003). (2.32 (4a)) </w:t>
      </w:r>
    </w:p>
    <w:p w14:paraId="0160817A" w14:textId="77777777" w:rsidR="007261F7" w:rsidRPr="00883399" w:rsidRDefault="007261F7" w:rsidP="00A527B9">
      <w:pPr>
        <w:pStyle w:val="TableNote"/>
        <w:spacing w:after="0"/>
        <w:rPr>
          <w:rFonts w:ascii="Times New Roman" w:hAnsi="Times New Roman" w:cs="Times New Roman"/>
          <w:sz w:val="24"/>
          <w:szCs w:val="24"/>
        </w:rPr>
      </w:pPr>
    </w:p>
    <w:p w14:paraId="6E53C71C"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American Petroleum Institute, Manual of Petroleum Measurement Standards Part 4: Background, Development, Implementation Procedures and Subroutine Documentation (1992)   (reaffirmed 2006). (2.32 (4a))</w:t>
      </w:r>
    </w:p>
    <w:p w14:paraId="1F0A7A4E" w14:textId="77777777" w:rsidR="007261F7" w:rsidRPr="00883399" w:rsidRDefault="007261F7" w:rsidP="00A527B9">
      <w:pPr>
        <w:pStyle w:val="TableNote"/>
        <w:spacing w:after="0"/>
        <w:rPr>
          <w:rFonts w:ascii="Times New Roman" w:hAnsi="Times New Roman" w:cs="Times New Roman"/>
          <w:sz w:val="24"/>
          <w:szCs w:val="24"/>
        </w:rPr>
      </w:pPr>
    </w:p>
    <w:p w14:paraId="7002CE63"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ASTM International, ASTM D240–02 Standard test method for heat of combustion of liquid hydrocarbon fuels by bomb calorimeter, 2007. (ss2.45 (1))</w:t>
      </w:r>
    </w:p>
    <w:p w14:paraId="36B493D1" w14:textId="77777777" w:rsidR="007261F7" w:rsidRPr="00883399" w:rsidRDefault="007261F7" w:rsidP="00A527B9">
      <w:pPr>
        <w:pStyle w:val="TableNote"/>
        <w:spacing w:after="0"/>
        <w:rPr>
          <w:rFonts w:ascii="Times New Roman" w:hAnsi="Times New Roman" w:cs="Times New Roman"/>
          <w:sz w:val="24"/>
          <w:szCs w:val="24"/>
        </w:rPr>
      </w:pPr>
    </w:p>
    <w:p w14:paraId="48978979"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ASTM International, ASTM D1265–05 Standard Practice for Sampling Liquefied Petroleum (LP) Gases (Manual Method), 2005. (2.47 (3))</w:t>
      </w:r>
    </w:p>
    <w:p w14:paraId="7881CAE9" w14:textId="77777777" w:rsidR="007261F7" w:rsidRPr="00883399" w:rsidRDefault="007261F7" w:rsidP="00A527B9">
      <w:pPr>
        <w:pStyle w:val="TableNote"/>
        <w:spacing w:after="0"/>
        <w:rPr>
          <w:rFonts w:ascii="Times New Roman" w:hAnsi="Times New Roman" w:cs="Times New Roman"/>
          <w:sz w:val="24"/>
          <w:szCs w:val="24"/>
        </w:rPr>
      </w:pPr>
    </w:p>
    <w:p w14:paraId="26523253"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ASTM International, ASTM D1298–99 Ed 2 Standard test method for density, relative density (specific gravity), or API gravity of crude petroleum and liquid petroleum products by hydrometer method, 1999. (ss2.45 (1))</w:t>
      </w:r>
    </w:p>
    <w:p w14:paraId="3A61605C" w14:textId="77777777" w:rsidR="007261F7" w:rsidRPr="00883399" w:rsidRDefault="007261F7" w:rsidP="00A527B9">
      <w:pPr>
        <w:pStyle w:val="TableNote"/>
        <w:spacing w:after="0"/>
        <w:rPr>
          <w:rFonts w:ascii="Times New Roman" w:hAnsi="Times New Roman" w:cs="Times New Roman"/>
          <w:sz w:val="24"/>
          <w:szCs w:val="24"/>
        </w:rPr>
      </w:pPr>
    </w:p>
    <w:p w14:paraId="44BA8AD4" w14:textId="77777777" w:rsidR="00902A5B" w:rsidRPr="00883399" w:rsidRDefault="00902A5B"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ASTM International, ASTM D1657 – 02 Standard Test Method for Density or Relative Density of Light Hydrocarbons by Pressure Hydrometer, 2007. (ss2.45 (1))</w:t>
      </w:r>
    </w:p>
    <w:p w14:paraId="436CC5F3" w14:textId="77777777" w:rsidR="00902A5B" w:rsidRPr="00883399" w:rsidRDefault="00902A5B" w:rsidP="00A527B9">
      <w:pPr>
        <w:pStyle w:val="TableNote"/>
        <w:spacing w:after="0"/>
        <w:rPr>
          <w:rFonts w:ascii="Times New Roman" w:hAnsi="Times New Roman" w:cs="Times New Roman"/>
          <w:sz w:val="24"/>
          <w:szCs w:val="24"/>
        </w:rPr>
      </w:pPr>
    </w:p>
    <w:p w14:paraId="3EF2DA70"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ASTM International, ASTM D1826 – 94 Standard test method for calorific (heating) value of gases in natural gas range by continuous recording calorimeter, 2003. (ss2.24 (1))</w:t>
      </w:r>
    </w:p>
    <w:p w14:paraId="05B2C864" w14:textId="77777777" w:rsidR="007261F7" w:rsidRPr="00883399" w:rsidRDefault="007261F7" w:rsidP="00A527B9">
      <w:pPr>
        <w:pStyle w:val="TableNote"/>
        <w:spacing w:after="0"/>
        <w:rPr>
          <w:rFonts w:ascii="Times New Roman" w:hAnsi="Times New Roman" w:cs="Times New Roman"/>
          <w:sz w:val="24"/>
          <w:szCs w:val="24"/>
        </w:rPr>
      </w:pPr>
    </w:p>
    <w:p w14:paraId="36BE65AB"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ASTM International, ASTM D1945 – 03 Standard test method for analysis of natural gas by gas chromatography, 2003. (ss2.24 (1))</w:t>
      </w:r>
    </w:p>
    <w:p w14:paraId="414F1395" w14:textId="77777777" w:rsidR="007261F7" w:rsidRPr="00883399" w:rsidRDefault="007261F7" w:rsidP="00A527B9">
      <w:pPr>
        <w:pStyle w:val="TableNote"/>
        <w:spacing w:after="0"/>
        <w:rPr>
          <w:rFonts w:ascii="Times New Roman" w:hAnsi="Times New Roman" w:cs="Times New Roman"/>
          <w:sz w:val="24"/>
          <w:szCs w:val="24"/>
        </w:rPr>
      </w:pPr>
    </w:p>
    <w:p w14:paraId="11AF1964"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ASTM International, ASTM D 1946 – 90 Standard practice for analysis of reformed gas by gas chromatography, 2006. (ss2.24 (1))</w:t>
      </w:r>
    </w:p>
    <w:p w14:paraId="056DD824" w14:textId="77777777" w:rsidR="007261F7" w:rsidRPr="00883399" w:rsidRDefault="007261F7" w:rsidP="00A527B9">
      <w:pPr>
        <w:pStyle w:val="TableNote"/>
        <w:spacing w:after="0"/>
        <w:rPr>
          <w:rFonts w:ascii="Times New Roman" w:hAnsi="Times New Roman" w:cs="Times New Roman"/>
          <w:sz w:val="24"/>
          <w:szCs w:val="24"/>
        </w:rPr>
      </w:pPr>
    </w:p>
    <w:p w14:paraId="62098324"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ASTM International, ASTM D3588 – 98 Standard practice for calculating heat value, compressibility factor, and relative density of gaseous fuels, 2003. (ss2.24 (1))</w:t>
      </w:r>
    </w:p>
    <w:p w14:paraId="21F8E069" w14:textId="77777777" w:rsidR="007261F7" w:rsidRPr="00883399" w:rsidRDefault="007261F7" w:rsidP="00A527B9">
      <w:pPr>
        <w:pStyle w:val="TableNote"/>
        <w:spacing w:after="0"/>
        <w:rPr>
          <w:rFonts w:ascii="Times New Roman" w:hAnsi="Times New Roman" w:cs="Times New Roman"/>
          <w:sz w:val="24"/>
          <w:szCs w:val="24"/>
        </w:rPr>
      </w:pPr>
    </w:p>
    <w:p w14:paraId="63C5D7EF" w14:textId="77777777" w:rsidR="00902A5B" w:rsidRPr="00883399" w:rsidRDefault="00902A5B"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ASTM International, ASTM D</w:t>
      </w:r>
      <w:r w:rsidR="00C67CE9" w:rsidRPr="00883399">
        <w:rPr>
          <w:rFonts w:ascii="Times New Roman" w:hAnsi="Times New Roman" w:cs="Times New Roman"/>
          <w:sz w:val="24"/>
          <w:szCs w:val="24"/>
        </w:rPr>
        <w:t>4052</w:t>
      </w:r>
      <w:r w:rsidRPr="00883399">
        <w:rPr>
          <w:rFonts w:ascii="Times New Roman" w:hAnsi="Times New Roman" w:cs="Times New Roman"/>
          <w:sz w:val="24"/>
          <w:szCs w:val="24"/>
        </w:rPr>
        <w:t xml:space="preserve"> – </w:t>
      </w:r>
      <w:r w:rsidR="00507DE3" w:rsidRPr="00883399">
        <w:rPr>
          <w:rFonts w:ascii="Times New Roman" w:hAnsi="Times New Roman" w:cs="Times New Roman"/>
          <w:sz w:val="24"/>
          <w:szCs w:val="24"/>
        </w:rPr>
        <w:t>96 e1</w:t>
      </w:r>
      <w:r w:rsidRPr="00883399">
        <w:rPr>
          <w:rFonts w:ascii="Times New Roman" w:hAnsi="Times New Roman" w:cs="Times New Roman"/>
          <w:sz w:val="24"/>
          <w:szCs w:val="24"/>
        </w:rPr>
        <w:t xml:space="preserve"> </w:t>
      </w:r>
      <w:r w:rsidR="00C67CE9" w:rsidRPr="00883399">
        <w:rPr>
          <w:rFonts w:ascii="Times New Roman" w:hAnsi="Times New Roman" w:cs="Times New Roman"/>
          <w:sz w:val="24"/>
          <w:szCs w:val="24"/>
        </w:rPr>
        <w:t>Standard Test Method for Density, Relative Density, and API Gravity of Liquids by Digital Density Meter</w:t>
      </w:r>
      <w:r w:rsidR="00507DE3" w:rsidRPr="00883399">
        <w:rPr>
          <w:rFonts w:ascii="Times New Roman" w:hAnsi="Times New Roman" w:cs="Times New Roman"/>
          <w:sz w:val="24"/>
          <w:szCs w:val="24"/>
        </w:rPr>
        <w:t>, 2002</w:t>
      </w:r>
      <w:r w:rsidRPr="00883399">
        <w:rPr>
          <w:rFonts w:ascii="Times New Roman" w:hAnsi="Times New Roman" w:cs="Times New Roman"/>
          <w:sz w:val="24"/>
          <w:szCs w:val="24"/>
        </w:rPr>
        <w:t>. (ss2.45 (1))</w:t>
      </w:r>
    </w:p>
    <w:p w14:paraId="37F9EA14" w14:textId="77777777" w:rsidR="00902A5B" w:rsidRPr="00883399" w:rsidRDefault="00902A5B" w:rsidP="00A527B9">
      <w:pPr>
        <w:pStyle w:val="TableNote"/>
        <w:spacing w:after="0"/>
        <w:rPr>
          <w:rFonts w:ascii="Times New Roman" w:hAnsi="Times New Roman" w:cs="Times New Roman"/>
          <w:sz w:val="24"/>
          <w:szCs w:val="24"/>
        </w:rPr>
      </w:pPr>
    </w:p>
    <w:p w14:paraId="0995DD95"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ASTM International, ASTM D4057– 06 Standard Practice for Manual Sampling of Petroleum and Petroleum Products, 2006. (2.47 (3))</w:t>
      </w:r>
    </w:p>
    <w:p w14:paraId="55624836" w14:textId="77777777" w:rsidR="007261F7" w:rsidRPr="00883399" w:rsidRDefault="007261F7" w:rsidP="00A527B9">
      <w:pPr>
        <w:pStyle w:val="TableNote"/>
        <w:spacing w:after="0"/>
        <w:rPr>
          <w:rFonts w:ascii="Times New Roman" w:hAnsi="Times New Roman" w:cs="Times New Roman"/>
          <w:sz w:val="24"/>
          <w:szCs w:val="24"/>
        </w:rPr>
      </w:pPr>
    </w:p>
    <w:p w14:paraId="36792A77"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ASTM International, ASTM D4177–95 Standard Practice for Automatic Sampling of Petroleum and Petroleum Products, 2005. (2.47 (3))</w:t>
      </w:r>
    </w:p>
    <w:p w14:paraId="615EF1D1" w14:textId="77777777" w:rsidR="007261F7" w:rsidRPr="00883399" w:rsidRDefault="007261F7" w:rsidP="00A527B9">
      <w:pPr>
        <w:pStyle w:val="TableNote"/>
        <w:spacing w:after="0"/>
        <w:rPr>
          <w:rFonts w:ascii="Times New Roman" w:hAnsi="Times New Roman" w:cs="Times New Roman"/>
          <w:sz w:val="24"/>
          <w:szCs w:val="24"/>
        </w:rPr>
      </w:pPr>
    </w:p>
    <w:p w14:paraId="126FCFEC"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ASTM International, ASTM D4809–06 Standard test method for heat of combustion of liquid hydrocarbon fuels by bomb calorimeter (precision method), 2006. (ss2.45 (1))</w:t>
      </w:r>
    </w:p>
    <w:p w14:paraId="668840E9"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p>
    <w:p w14:paraId="142F22FB"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ASTM International, ASTM D 4916 – 04 Standard Practice for Mechanical Auger Sampling, 2004. (2.15 (3))</w:t>
      </w:r>
    </w:p>
    <w:p w14:paraId="6F5DC615" w14:textId="77777777" w:rsidR="007261F7" w:rsidRPr="00883399" w:rsidRDefault="007261F7" w:rsidP="00A527B9">
      <w:pPr>
        <w:pStyle w:val="TableNote"/>
        <w:spacing w:after="0"/>
        <w:rPr>
          <w:rFonts w:ascii="Times New Roman" w:hAnsi="Times New Roman" w:cs="Times New Roman"/>
          <w:sz w:val="24"/>
          <w:szCs w:val="24"/>
        </w:rPr>
      </w:pPr>
    </w:p>
    <w:p w14:paraId="7B84F7BB" w14:textId="77777777" w:rsidR="00507DE3" w:rsidRPr="00883399" w:rsidRDefault="00507DE3"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ASTM International, ASTM D5002 – 99 Standard Test Method for Density and Relative Density of Crude Oils by Digital Density Analyzer, 2005. (ss2.45 (1))</w:t>
      </w:r>
    </w:p>
    <w:p w14:paraId="3720B48C" w14:textId="77777777" w:rsidR="00507DE3" w:rsidRPr="00883399" w:rsidRDefault="00507DE3" w:rsidP="00A527B9">
      <w:pPr>
        <w:pStyle w:val="TableNote"/>
        <w:spacing w:after="0"/>
        <w:rPr>
          <w:rFonts w:ascii="Times New Roman" w:hAnsi="Times New Roman" w:cs="Times New Roman"/>
          <w:sz w:val="24"/>
          <w:szCs w:val="24"/>
        </w:rPr>
      </w:pPr>
    </w:p>
    <w:p w14:paraId="7CBB432F"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ASTM International, ASTM D5287 – 97 Standard Practice for Automatic Sampling of Gaseous Fuels, 2002. (2.26 (3))</w:t>
      </w:r>
    </w:p>
    <w:p w14:paraId="370D6A98" w14:textId="77777777" w:rsidR="007261F7" w:rsidRPr="00883399" w:rsidRDefault="007261F7" w:rsidP="00A527B9">
      <w:pPr>
        <w:pStyle w:val="TableNote"/>
        <w:spacing w:after="0"/>
        <w:rPr>
          <w:rFonts w:ascii="Times New Roman" w:hAnsi="Times New Roman" w:cs="Times New Roman"/>
          <w:sz w:val="24"/>
          <w:szCs w:val="24"/>
        </w:rPr>
      </w:pPr>
    </w:p>
    <w:p w14:paraId="18BF2143"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ASTM International, ASTM D5291– 02 Standard test methods for instrumental determination of carbon, hydrogen, and nitrogen in petroleum products and lubricants, 2002. (ss2.45 (1))</w:t>
      </w:r>
    </w:p>
    <w:p w14:paraId="776BCB39" w14:textId="77777777" w:rsidR="007261F7" w:rsidRPr="00883399" w:rsidRDefault="007261F7" w:rsidP="00A527B9">
      <w:pPr>
        <w:pStyle w:val="TableNote"/>
        <w:spacing w:after="0"/>
        <w:rPr>
          <w:rFonts w:ascii="Times New Roman" w:hAnsi="Times New Roman" w:cs="Times New Roman"/>
          <w:sz w:val="24"/>
          <w:szCs w:val="24"/>
        </w:rPr>
      </w:pPr>
    </w:p>
    <w:p w14:paraId="7D603946"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ASTM International, ASTM D5503 – 94 Standard Practice for Natural Gas Sample-Handling and Conditioning Systems for Pipeline Instrumentation, 2003. (2.26 (3))</w:t>
      </w:r>
    </w:p>
    <w:p w14:paraId="6F821E19" w14:textId="77777777" w:rsidR="007261F7" w:rsidRPr="00883399" w:rsidRDefault="007261F7" w:rsidP="00A527B9">
      <w:pPr>
        <w:pStyle w:val="TableNote"/>
        <w:spacing w:after="0"/>
        <w:rPr>
          <w:rFonts w:ascii="Times New Roman" w:hAnsi="Times New Roman" w:cs="Times New Roman"/>
          <w:sz w:val="24"/>
          <w:szCs w:val="24"/>
        </w:rPr>
      </w:pPr>
    </w:p>
    <w:p w14:paraId="6DC9A608"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ASTM International, ASTM D6347/D6347M – 99 Standard Test Method for Determination of Bulk Density of Coal Using Nuclear Backscatter Depth Density Methods, 1999. (2.15 (3))</w:t>
      </w:r>
    </w:p>
    <w:p w14:paraId="6BF371F8" w14:textId="77777777" w:rsidR="007261F7" w:rsidRPr="00883399" w:rsidRDefault="007261F7" w:rsidP="00A527B9">
      <w:pPr>
        <w:pStyle w:val="TableNote"/>
        <w:spacing w:after="0"/>
        <w:rPr>
          <w:rFonts w:ascii="Times New Roman" w:hAnsi="Times New Roman" w:cs="Times New Roman"/>
          <w:sz w:val="24"/>
          <w:szCs w:val="24"/>
        </w:rPr>
      </w:pPr>
    </w:p>
    <w:p w14:paraId="75683B0A"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ASTM International, ASTM D6866.</w:t>
      </w:r>
      <w:r w:rsidR="00A34A43" w:rsidRPr="00883399">
        <w:rPr>
          <w:rFonts w:ascii="Times New Roman" w:hAnsi="Times New Roman" w:cs="Times New Roman"/>
          <w:sz w:val="24"/>
          <w:szCs w:val="24"/>
        </w:rPr>
        <w:t xml:space="preserve">08 </w:t>
      </w:r>
      <w:r w:rsidRPr="00883399">
        <w:rPr>
          <w:rFonts w:ascii="Times New Roman" w:hAnsi="Times New Roman" w:cs="Times New Roman"/>
          <w:sz w:val="24"/>
          <w:szCs w:val="24"/>
        </w:rPr>
        <w:t xml:space="preserve">– Determining the Bio-based Content of </w:t>
      </w:r>
      <w:r w:rsidR="00A34A43" w:rsidRPr="00883399">
        <w:rPr>
          <w:rFonts w:ascii="Times New Roman" w:hAnsi="Times New Roman" w:cs="Times New Roman"/>
          <w:sz w:val="24"/>
          <w:szCs w:val="24"/>
        </w:rPr>
        <w:t>Solid, Liquid and Gaseous Samples Using Radiocarbon Analysis</w:t>
      </w:r>
      <w:r w:rsidRPr="00883399">
        <w:rPr>
          <w:rFonts w:ascii="Times New Roman" w:hAnsi="Times New Roman" w:cs="Times New Roman"/>
          <w:sz w:val="24"/>
          <w:szCs w:val="24"/>
        </w:rPr>
        <w:t>, 200</w:t>
      </w:r>
      <w:r w:rsidR="00A34A43" w:rsidRPr="00883399">
        <w:rPr>
          <w:rFonts w:ascii="Times New Roman" w:hAnsi="Times New Roman" w:cs="Times New Roman"/>
          <w:sz w:val="24"/>
          <w:szCs w:val="24"/>
        </w:rPr>
        <w:t>8</w:t>
      </w:r>
      <w:r w:rsidRPr="00883399">
        <w:rPr>
          <w:rFonts w:ascii="Times New Roman" w:hAnsi="Times New Roman" w:cs="Times New Roman"/>
          <w:sz w:val="24"/>
          <w:szCs w:val="24"/>
        </w:rPr>
        <w:t>. (ss2.66</w:t>
      </w:r>
      <w:r w:rsidR="00265C83" w:rsidRPr="00883399">
        <w:rPr>
          <w:rFonts w:ascii="Times New Roman" w:hAnsi="Times New Roman" w:cs="Times New Roman"/>
          <w:sz w:val="24"/>
          <w:szCs w:val="24"/>
        </w:rPr>
        <w:t xml:space="preserve"> </w:t>
      </w:r>
      <w:r w:rsidRPr="00883399">
        <w:rPr>
          <w:rFonts w:ascii="Times New Roman" w:hAnsi="Times New Roman" w:cs="Times New Roman"/>
          <w:sz w:val="24"/>
          <w:szCs w:val="24"/>
        </w:rPr>
        <w:t>(1b)</w:t>
      </w:r>
      <w:r w:rsidR="00265C83" w:rsidRPr="00883399">
        <w:rPr>
          <w:rFonts w:ascii="Times New Roman" w:hAnsi="Times New Roman" w:cs="Times New Roman"/>
          <w:sz w:val="24"/>
          <w:szCs w:val="24"/>
        </w:rPr>
        <w:t xml:space="preserve"> and s2.67</w:t>
      </w:r>
      <w:r w:rsidRPr="00883399">
        <w:rPr>
          <w:rFonts w:ascii="Times New Roman" w:hAnsi="Times New Roman" w:cs="Times New Roman"/>
          <w:sz w:val="24"/>
          <w:szCs w:val="24"/>
        </w:rPr>
        <w:t>)</w:t>
      </w:r>
    </w:p>
    <w:p w14:paraId="3AADE9E4" w14:textId="77777777" w:rsidR="007261F7" w:rsidRPr="00883399" w:rsidRDefault="007261F7" w:rsidP="00A527B9">
      <w:pPr>
        <w:pStyle w:val="TableNote"/>
        <w:spacing w:after="0"/>
        <w:rPr>
          <w:rFonts w:ascii="Times New Roman" w:hAnsi="Times New Roman" w:cs="Times New Roman"/>
          <w:sz w:val="24"/>
          <w:szCs w:val="24"/>
        </w:rPr>
      </w:pPr>
    </w:p>
    <w:p w14:paraId="3CF2A206"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ASTM International, ASTM D7164 – 05 Standard practice for on-line/at-line heating value determination of gaseous fuels by gas chromatography, 2005. (ss2.24 (1))</w:t>
      </w:r>
    </w:p>
    <w:p w14:paraId="433EA3FC" w14:textId="77777777" w:rsidR="007261F7" w:rsidRPr="00883399" w:rsidRDefault="007261F7" w:rsidP="00A527B9">
      <w:pPr>
        <w:pStyle w:val="TableNote"/>
        <w:spacing w:after="0"/>
        <w:rPr>
          <w:rFonts w:ascii="Times New Roman" w:hAnsi="Times New Roman" w:cs="Times New Roman"/>
          <w:sz w:val="24"/>
          <w:szCs w:val="24"/>
        </w:rPr>
      </w:pPr>
    </w:p>
    <w:p w14:paraId="5525D249"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ASTM International, ASTM F307 – 02 Standard Practice for Sampling Pressurized Gas for Gas Analysis, 2007. (2.26 (3))</w:t>
      </w:r>
    </w:p>
    <w:p w14:paraId="27012F42" w14:textId="77777777" w:rsidR="007261F7" w:rsidRPr="00883399" w:rsidRDefault="007261F7" w:rsidP="00A527B9">
      <w:pPr>
        <w:pStyle w:val="TableNote"/>
        <w:spacing w:after="0"/>
        <w:rPr>
          <w:rFonts w:ascii="Times New Roman" w:hAnsi="Times New Roman" w:cs="Times New Roman"/>
          <w:sz w:val="24"/>
          <w:szCs w:val="24"/>
        </w:rPr>
      </w:pPr>
    </w:p>
    <w:p w14:paraId="737ED0AA" w14:textId="77777777" w:rsidR="007261F7" w:rsidRPr="00883399" w:rsidRDefault="009B6DC6" w:rsidP="00A527B9">
      <w:pPr>
        <w:pStyle w:val="TableNote"/>
        <w:spacing w:after="0"/>
        <w:outlineLvl w:val="0"/>
        <w:rPr>
          <w:rFonts w:ascii="Times New Roman" w:hAnsi="Times New Roman" w:cs="Times New Roman"/>
          <w:sz w:val="24"/>
          <w:szCs w:val="24"/>
        </w:rPr>
      </w:pPr>
      <w:r w:rsidRPr="00883399">
        <w:rPr>
          <w:rFonts w:ascii="Times New Roman" w:hAnsi="Times New Roman" w:cs="Times New Roman"/>
          <w:sz w:val="24"/>
          <w:szCs w:val="24"/>
        </w:rPr>
        <w:t xml:space="preserve">Commonwealth of Australia, </w:t>
      </w:r>
      <w:r w:rsidR="007261F7" w:rsidRPr="00883399">
        <w:rPr>
          <w:rFonts w:ascii="Times New Roman" w:hAnsi="Times New Roman" w:cs="Times New Roman"/>
          <w:sz w:val="24"/>
          <w:szCs w:val="24"/>
        </w:rPr>
        <w:t>Customs Act 1901</w:t>
      </w:r>
      <w:r w:rsidRPr="00883399">
        <w:rPr>
          <w:rFonts w:ascii="Times New Roman" w:hAnsi="Times New Roman" w:cs="Times New Roman"/>
          <w:sz w:val="24"/>
          <w:szCs w:val="24"/>
        </w:rPr>
        <w:t>.</w:t>
      </w:r>
    </w:p>
    <w:p w14:paraId="6317F3DB" w14:textId="77777777" w:rsidR="00750AA5" w:rsidRPr="00883399" w:rsidRDefault="00750AA5" w:rsidP="00A527B9">
      <w:pPr>
        <w:pStyle w:val="TableNote"/>
        <w:spacing w:after="0"/>
        <w:rPr>
          <w:rFonts w:ascii="Times New Roman" w:hAnsi="Times New Roman" w:cs="Times New Roman"/>
          <w:sz w:val="24"/>
          <w:szCs w:val="24"/>
        </w:rPr>
      </w:pPr>
    </w:p>
    <w:p w14:paraId="28F2FA31" w14:textId="03F18DDA" w:rsidR="00CF2098" w:rsidRPr="00883399" w:rsidRDefault="0037635D" w:rsidP="00A527B9">
      <w:pPr>
        <w:pStyle w:val="TableNote"/>
        <w:spacing w:after="0"/>
        <w:outlineLvl w:val="0"/>
        <w:rPr>
          <w:rFonts w:ascii="Times New Roman" w:hAnsi="Times New Roman" w:cs="Times New Roman"/>
          <w:sz w:val="24"/>
          <w:szCs w:val="24"/>
        </w:rPr>
      </w:pPr>
      <w:r w:rsidRPr="00883399">
        <w:rPr>
          <w:rFonts w:ascii="Times New Roman" w:hAnsi="Times New Roman" w:cs="Times New Roman"/>
          <w:sz w:val="24"/>
          <w:szCs w:val="24"/>
        </w:rPr>
        <w:t xml:space="preserve">Department of </w:t>
      </w:r>
      <w:r w:rsidR="00C91E15" w:rsidRPr="00883399">
        <w:rPr>
          <w:rFonts w:ascii="Times New Roman" w:hAnsi="Times New Roman" w:cs="Times New Roman"/>
          <w:sz w:val="24"/>
          <w:szCs w:val="24"/>
        </w:rPr>
        <w:t>the Environment</w:t>
      </w:r>
      <w:r w:rsidR="00F8313C">
        <w:rPr>
          <w:rFonts w:ascii="Times New Roman" w:hAnsi="Times New Roman" w:cs="Times New Roman"/>
          <w:sz w:val="24"/>
          <w:szCs w:val="24"/>
        </w:rPr>
        <w:t xml:space="preserve"> and Energy</w:t>
      </w:r>
      <w:r w:rsidR="00CF2098" w:rsidRPr="00883399">
        <w:rPr>
          <w:rFonts w:ascii="Times New Roman" w:hAnsi="Times New Roman" w:cs="Times New Roman"/>
          <w:sz w:val="24"/>
          <w:szCs w:val="24"/>
        </w:rPr>
        <w:t>, National Inventory Report, 20</w:t>
      </w:r>
      <w:r w:rsidR="002C770B" w:rsidRPr="00883399">
        <w:rPr>
          <w:rFonts w:ascii="Times New Roman" w:hAnsi="Times New Roman" w:cs="Times New Roman"/>
          <w:sz w:val="24"/>
          <w:szCs w:val="24"/>
        </w:rPr>
        <w:t>1</w:t>
      </w:r>
      <w:r w:rsidR="009D3717" w:rsidRPr="00883399">
        <w:rPr>
          <w:rFonts w:ascii="Times New Roman" w:hAnsi="Times New Roman" w:cs="Times New Roman"/>
          <w:sz w:val="24"/>
          <w:szCs w:val="24"/>
        </w:rPr>
        <w:t>5</w:t>
      </w:r>
      <w:r w:rsidR="00CF2098" w:rsidRPr="00883399">
        <w:rPr>
          <w:rFonts w:ascii="Times New Roman" w:hAnsi="Times New Roman" w:cs="Times New Roman"/>
          <w:sz w:val="24"/>
          <w:szCs w:val="24"/>
        </w:rPr>
        <w:t>. (ss2.4)</w:t>
      </w:r>
    </w:p>
    <w:p w14:paraId="0C74F748" w14:textId="77777777" w:rsidR="00CF2098" w:rsidRPr="00883399" w:rsidRDefault="00CF2098" w:rsidP="00A527B9">
      <w:pPr>
        <w:pStyle w:val="TableNote"/>
        <w:spacing w:after="0"/>
        <w:rPr>
          <w:rFonts w:ascii="Times New Roman" w:hAnsi="Times New Roman" w:cs="Times New Roman"/>
          <w:sz w:val="24"/>
          <w:szCs w:val="24"/>
        </w:rPr>
      </w:pPr>
    </w:p>
    <w:p w14:paraId="7E3F3196"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European Committee for Standard</w:t>
      </w:r>
      <w:r w:rsidR="00AF2958" w:rsidRPr="00883399">
        <w:rPr>
          <w:rFonts w:ascii="Times New Roman" w:hAnsi="Times New Roman" w:cs="Times New Roman"/>
          <w:sz w:val="24"/>
          <w:szCs w:val="24"/>
        </w:rPr>
        <w:t>ization, CEN/</w:t>
      </w:r>
      <w:r w:rsidRPr="00883399">
        <w:rPr>
          <w:rFonts w:ascii="Times New Roman" w:hAnsi="Times New Roman" w:cs="Times New Roman"/>
          <w:sz w:val="24"/>
          <w:szCs w:val="24"/>
        </w:rPr>
        <w:t>TS 15400 Solid Recovered Fuels – Methods for the Determination of Calorific Value, 2006.</w:t>
      </w:r>
    </w:p>
    <w:p w14:paraId="595E3CAE" w14:textId="77777777" w:rsidR="007261F7" w:rsidRPr="00883399" w:rsidRDefault="007261F7" w:rsidP="00A527B9">
      <w:pPr>
        <w:pStyle w:val="TableNote"/>
        <w:spacing w:after="0"/>
        <w:rPr>
          <w:rFonts w:ascii="Times New Roman" w:hAnsi="Times New Roman" w:cs="Times New Roman"/>
          <w:sz w:val="24"/>
          <w:szCs w:val="24"/>
        </w:rPr>
      </w:pPr>
    </w:p>
    <w:p w14:paraId="0F4ABC5A"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European Committee for Standardization, CEN/TS 15403 Solid Recovered Fuels – Methods for the Determination of ash Content, 2006.</w:t>
      </w:r>
    </w:p>
    <w:p w14:paraId="412873B4" w14:textId="77777777" w:rsidR="007261F7" w:rsidRPr="00883399" w:rsidRDefault="007261F7" w:rsidP="00A527B9">
      <w:pPr>
        <w:pStyle w:val="TableNote"/>
        <w:spacing w:after="0"/>
        <w:rPr>
          <w:rFonts w:ascii="Times New Roman" w:hAnsi="Times New Roman" w:cs="Times New Roman"/>
          <w:sz w:val="24"/>
          <w:szCs w:val="24"/>
        </w:rPr>
      </w:pPr>
    </w:p>
    <w:p w14:paraId="47EBA445"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European Committee for Standardization, CEN/TS 15407 Solid Recovered Fuels – Method for the Determination of Carbon (c), Hydrogen (h) and Nitrogen (N) content, 2006.</w:t>
      </w:r>
    </w:p>
    <w:p w14:paraId="3609C9C7" w14:textId="77777777" w:rsidR="007261F7" w:rsidRPr="00883399" w:rsidRDefault="007261F7" w:rsidP="00A527B9">
      <w:pPr>
        <w:pStyle w:val="TableNote"/>
        <w:spacing w:after="0"/>
        <w:rPr>
          <w:rFonts w:ascii="Times New Roman" w:hAnsi="Times New Roman" w:cs="Times New Roman"/>
          <w:sz w:val="24"/>
          <w:szCs w:val="24"/>
        </w:rPr>
      </w:pPr>
    </w:p>
    <w:p w14:paraId="308EA18C"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European Committee for Standardization, CEN/TS 15414 – 3 Solid Recovered Fuels – Determination of Moisture Content Using the Oven dry Method, 2006.</w:t>
      </w:r>
    </w:p>
    <w:p w14:paraId="6AD851EC" w14:textId="77777777" w:rsidR="007261F7" w:rsidRPr="00883399" w:rsidRDefault="007261F7" w:rsidP="00A527B9">
      <w:pPr>
        <w:pStyle w:val="TableNote"/>
        <w:spacing w:after="0"/>
        <w:rPr>
          <w:rFonts w:ascii="Times New Roman" w:hAnsi="Times New Roman" w:cs="Times New Roman"/>
          <w:sz w:val="24"/>
          <w:szCs w:val="24"/>
        </w:rPr>
      </w:pPr>
    </w:p>
    <w:p w14:paraId="07CBB151"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European Committee for Standardization, CEN TS 15440 Solid Recovered Fuels – Method for the Determination of Biomass Content, 2006. (ss2.66 (1b))</w:t>
      </w:r>
    </w:p>
    <w:p w14:paraId="2C5E172A" w14:textId="77777777" w:rsidR="007261F7" w:rsidRPr="00883399" w:rsidRDefault="007261F7" w:rsidP="00A527B9">
      <w:pPr>
        <w:pStyle w:val="TableNote"/>
        <w:spacing w:after="0"/>
        <w:rPr>
          <w:rFonts w:ascii="Times New Roman" w:hAnsi="Times New Roman" w:cs="Times New Roman"/>
          <w:sz w:val="24"/>
          <w:szCs w:val="24"/>
        </w:rPr>
      </w:pPr>
    </w:p>
    <w:p w14:paraId="30AB7C94"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European Committee for Standardization, CEN/TS 15442 Solid recovered fuels – Methods for sampling, 2006. (ss2.12 (3))</w:t>
      </w:r>
    </w:p>
    <w:p w14:paraId="3DD6F6D5" w14:textId="77777777" w:rsidR="007261F7" w:rsidRPr="00883399" w:rsidRDefault="007261F7" w:rsidP="00A527B9">
      <w:pPr>
        <w:pStyle w:val="TableNote"/>
        <w:spacing w:after="0"/>
        <w:rPr>
          <w:rFonts w:ascii="Times New Roman" w:hAnsi="Times New Roman" w:cs="Times New Roman"/>
          <w:sz w:val="24"/>
          <w:szCs w:val="24"/>
        </w:rPr>
      </w:pPr>
    </w:p>
    <w:p w14:paraId="7AC824A3"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European Committee for Standardization, CEN/TS 14778 – 1 Solid Biofuels – Sampling – Part 1– Methods for Sampling, 2005. (ss2.12 (3))</w:t>
      </w:r>
    </w:p>
    <w:p w14:paraId="6B328A8E" w14:textId="77777777" w:rsidR="007261F7" w:rsidRPr="00883399" w:rsidRDefault="007261F7" w:rsidP="00A527B9">
      <w:pPr>
        <w:pStyle w:val="TableNote"/>
        <w:spacing w:after="0"/>
        <w:rPr>
          <w:rFonts w:ascii="Times New Roman" w:hAnsi="Times New Roman" w:cs="Times New Roman"/>
          <w:sz w:val="24"/>
          <w:szCs w:val="24"/>
        </w:rPr>
      </w:pPr>
    </w:p>
    <w:p w14:paraId="0CFA67D8"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Gas Processors Association, GPA 2145 – 03 Table of Physical Constants for Hydrocarbons &amp; Other Compounds of Interest to the Natural Gas Industry, 2003. (ss2.24 (1))</w:t>
      </w:r>
    </w:p>
    <w:p w14:paraId="7D6E7F7D" w14:textId="77777777" w:rsidR="007261F7" w:rsidRPr="00883399" w:rsidRDefault="007261F7" w:rsidP="00A527B9">
      <w:pPr>
        <w:pStyle w:val="TableNote"/>
        <w:spacing w:after="0"/>
        <w:rPr>
          <w:rFonts w:ascii="Times New Roman" w:hAnsi="Times New Roman" w:cs="Times New Roman"/>
          <w:sz w:val="24"/>
          <w:szCs w:val="24"/>
        </w:rPr>
      </w:pPr>
    </w:p>
    <w:p w14:paraId="131DDD31"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Gas Processors Association, GPA 2166 – 05 Obtaining Natural Gas Samples for Analysis by Gas Chromatography, 2005. (ss2.12 (3))</w:t>
      </w:r>
    </w:p>
    <w:p w14:paraId="7BBB6129" w14:textId="77777777" w:rsidR="007261F7" w:rsidRPr="00883399" w:rsidRDefault="007261F7" w:rsidP="00A527B9">
      <w:pPr>
        <w:pStyle w:val="TableNote"/>
        <w:spacing w:after="0"/>
        <w:rPr>
          <w:rFonts w:ascii="Times New Roman" w:hAnsi="Times New Roman" w:cs="Times New Roman"/>
          <w:sz w:val="24"/>
          <w:szCs w:val="24"/>
        </w:rPr>
      </w:pPr>
    </w:p>
    <w:p w14:paraId="5E8B6338"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Gas Processors Association, GPA 2172 – 96 Calculation of Gross Heating Value, Relative Density, and Compressibility of Natural Gas Mixtures from Compositional Analysis, 1996. (ss2.24 (1))</w:t>
      </w:r>
    </w:p>
    <w:p w14:paraId="246A48F7" w14:textId="77777777" w:rsidR="007261F7" w:rsidRPr="00883399" w:rsidRDefault="007261F7" w:rsidP="00A527B9">
      <w:pPr>
        <w:pStyle w:val="TableNote"/>
        <w:spacing w:after="0"/>
        <w:rPr>
          <w:rFonts w:ascii="Times New Roman" w:hAnsi="Times New Roman" w:cs="Times New Roman"/>
          <w:sz w:val="24"/>
          <w:szCs w:val="24"/>
        </w:rPr>
      </w:pPr>
    </w:p>
    <w:p w14:paraId="1C7DFB9B"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Gas Processors Association, GPA 2261 – 00 Analysis for Natural Gas &amp; Similar Gaseous Mixtures by Gas Chromatography, 2000. (ss2.24 (1))</w:t>
      </w:r>
    </w:p>
    <w:p w14:paraId="282A34EA" w14:textId="77777777" w:rsidR="007261F7" w:rsidRPr="00883399" w:rsidRDefault="007261F7" w:rsidP="00A527B9">
      <w:pPr>
        <w:pStyle w:val="TableNote"/>
        <w:spacing w:after="0"/>
        <w:rPr>
          <w:rFonts w:ascii="Times New Roman" w:hAnsi="Times New Roman" w:cs="Times New Roman"/>
          <w:sz w:val="24"/>
          <w:szCs w:val="24"/>
        </w:rPr>
      </w:pPr>
    </w:p>
    <w:p w14:paraId="763CB30C"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Independent Pricing and Regulatory Tribunal, Notice from the Greenhouse Gas Abatement Scheme (GGAS) scheme administrator - Determining the energy content of waste methane under the generation rules, December 2006.</w:t>
      </w:r>
    </w:p>
    <w:p w14:paraId="11ADBC7D" w14:textId="77777777" w:rsidR="007261F7" w:rsidRPr="00883399" w:rsidRDefault="007261F7" w:rsidP="00A527B9">
      <w:pPr>
        <w:pStyle w:val="TableNote"/>
        <w:spacing w:after="0"/>
        <w:rPr>
          <w:rFonts w:ascii="Times New Roman" w:hAnsi="Times New Roman" w:cs="Times New Roman"/>
          <w:sz w:val="24"/>
          <w:szCs w:val="24"/>
        </w:rPr>
      </w:pPr>
    </w:p>
    <w:p w14:paraId="5124B4E4"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Intergovernmental Panel on Climate Change, IPCC 2006, 2006 IPCC Guidelines for National Greenhouse Gas Inventories, Volume 2 Energy. Prepared by the National Greenhouse Gas Inventories Programme. Published: IGES, Japan. (2.27 (2))</w:t>
      </w:r>
    </w:p>
    <w:p w14:paraId="083C727D" w14:textId="77777777" w:rsidR="007261F7" w:rsidRPr="00883399" w:rsidRDefault="007261F7" w:rsidP="00A527B9">
      <w:pPr>
        <w:pStyle w:val="TableNote"/>
        <w:spacing w:after="0"/>
        <w:rPr>
          <w:rFonts w:ascii="Times New Roman" w:hAnsi="Times New Roman" w:cs="Times New Roman"/>
          <w:sz w:val="24"/>
          <w:szCs w:val="24"/>
        </w:rPr>
      </w:pPr>
    </w:p>
    <w:p w14:paraId="1200C8DB"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3170 Petroleum liquids – Manual sampling, 2004. (2.47 (3))</w:t>
      </w:r>
    </w:p>
    <w:p w14:paraId="432629D0"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 xml:space="preserve"> </w:t>
      </w:r>
    </w:p>
    <w:p w14:paraId="2A1EE981"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3171 Petroleum liquids – Automatic pipeline sampling, 1988. (2.47 (3))</w:t>
      </w:r>
    </w:p>
    <w:p w14:paraId="7EF0C4A3" w14:textId="77777777" w:rsidR="007261F7" w:rsidRPr="00883399" w:rsidRDefault="007261F7" w:rsidP="00A527B9">
      <w:pPr>
        <w:pStyle w:val="TableNote"/>
        <w:spacing w:after="0"/>
        <w:rPr>
          <w:rFonts w:ascii="Times New Roman" w:hAnsi="Times New Roman" w:cs="Times New Roman"/>
          <w:sz w:val="24"/>
          <w:szCs w:val="24"/>
        </w:rPr>
      </w:pPr>
    </w:p>
    <w:p w14:paraId="75B4AC0E"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4257 Liquefied petroleum gases — Method of sampling, 2001. (2.47 (3))</w:t>
      </w:r>
    </w:p>
    <w:p w14:paraId="2F398541" w14:textId="77777777" w:rsidR="007261F7" w:rsidRPr="00883399" w:rsidRDefault="007261F7" w:rsidP="00A527B9">
      <w:pPr>
        <w:pStyle w:val="TableNote"/>
        <w:spacing w:after="0"/>
        <w:rPr>
          <w:rFonts w:ascii="Times New Roman" w:hAnsi="Times New Roman" w:cs="Times New Roman"/>
          <w:sz w:val="24"/>
          <w:szCs w:val="24"/>
        </w:rPr>
      </w:pPr>
    </w:p>
    <w:p w14:paraId="4CB9E54E"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6578 Refrigerated hydrocarbon liquids - Static measurement - Calculation procedure, 1991. (ss2.45 (1))</w:t>
      </w:r>
    </w:p>
    <w:p w14:paraId="129EC13F" w14:textId="77777777" w:rsidR="007261F7" w:rsidRPr="00883399" w:rsidRDefault="007261F7" w:rsidP="00A527B9">
      <w:pPr>
        <w:pStyle w:val="TableNote"/>
        <w:spacing w:after="0"/>
        <w:rPr>
          <w:rFonts w:ascii="Times New Roman" w:hAnsi="Times New Roman" w:cs="Times New Roman"/>
          <w:sz w:val="24"/>
          <w:szCs w:val="24"/>
        </w:rPr>
      </w:pPr>
    </w:p>
    <w:p w14:paraId="6F68548B"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6974 – 1: Natural gas – Determination of composition with defined uncertainty by gas chromatography. Part 1: Guidelines for tailored analysis, 2000. (ss2.24 (1))</w:t>
      </w:r>
    </w:p>
    <w:p w14:paraId="10803D5A" w14:textId="77777777" w:rsidR="007261F7" w:rsidRPr="00883399" w:rsidRDefault="007261F7" w:rsidP="00A527B9">
      <w:pPr>
        <w:pStyle w:val="TableNote"/>
        <w:spacing w:after="0"/>
        <w:rPr>
          <w:rFonts w:ascii="Times New Roman" w:hAnsi="Times New Roman" w:cs="Times New Roman"/>
          <w:sz w:val="24"/>
          <w:szCs w:val="24"/>
        </w:rPr>
      </w:pPr>
    </w:p>
    <w:p w14:paraId="22BE6C0E"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6974 – 2: Natural gas – Determination of composition with defined uncertainty by gas chromatography. Part 2: Measuring–system characteristics and statistics for processing of data, 2001. (ss2.24 (1))</w:t>
      </w:r>
    </w:p>
    <w:p w14:paraId="7E441E10" w14:textId="77777777" w:rsidR="007261F7" w:rsidRPr="00883399" w:rsidRDefault="007261F7" w:rsidP="00A527B9">
      <w:pPr>
        <w:pStyle w:val="TableNote"/>
        <w:spacing w:after="0"/>
        <w:rPr>
          <w:rFonts w:ascii="Times New Roman" w:hAnsi="Times New Roman" w:cs="Times New Roman"/>
          <w:sz w:val="24"/>
          <w:szCs w:val="24"/>
        </w:rPr>
      </w:pPr>
    </w:p>
    <w:p w14:paraId="164248DF"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6974 – 3: Natural gas – Determination of composition with defined uncertainty by gas chromatography. Part 3: Determination of hydrogen, helium, oxygen, nitrogen, carbon dioxide and hydrocarbons up to C8 using two packed columns, 2000. (ss2.24 (1))</w:t>
      </w:r>
    </w:p>
    <w:p w14:paraId="07F24CA3" w14:textId="77777777" w:rsidR="007261F7" w:rsidRPr="00883399" w:rsidRDefault="007261F7" w:rsidP="00A527B9">
      <w:pPr>
        <w:pStyle w:val="TableNote"/>
        <w:spacing w:after="0"/>
        <w:rPr>
          <w:rFonts w:ascii="Times New Roman" w:hAnsi="Times New Roman" w:cs="Times New Roman"/>
          <w:sz w:val="24"/>
          <w:szCs w:val="24"/>
        </w:rPr>
      </w:pPr>
    </w:p>
    <w:p w14:paraId="7572B079"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6974 – 4: Natural gas – Determination of composition with defined uncertainty by gas chromatography. Part 4: Determination of nitrogen, carbon dioxide and C1 to C5 and C6+ hydrocarbons for a laboratory and on-line measuring system using two columns, 2000. (ss2.24 (1))</w:t>
      </w:r>
    </w:p>
    <w:p w14:paraId="4BE9190D" w14:textId="77777777" w:rsidR="007261F7" w:rsidRPr="00883399" w:rsidRDefault="007261F7" w:rsidP="00A527B9">
      <w:pPr>
        <w:pStyle w:val="TableNote"/>
        <w:spacing w:after="0"/>
        <w:rPr>
          <w:rFonts w:ascii="Times New Roman" w:hAnsi="Times New Roman" w:cs="Times New Roman"/>
          <w:sz w:val="24"/>
          <w:szCs w:val="24"/>
        </w:rPr>
      </w:pPr>
    </w:p>
    <w:p w14:paraId="4872F4BE"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6974 – 5: Natural gas – Determination of composition with defined uncertainty by gas chromatography. Part 5: Determination of nitrogen, carbon dioxide and C1 to C5 and C6+ hydrocarbons for a laboratory and on-line process application using three columns, 2000. (ss2.24 (1))</w:t>
      </w:r>
    </w:p>
    <w:p w14:paraId="7D2401E0" w14:textId="77777777" w:rsidR="007261F7" w:rsidRPr="00883399" w:rsidRDefault="007261F7" w:rsidP="00A527B9">
      <w:pPr>
        <w:pStyle w:val="TableNote"/>
        <w:spacing w:after="0"/>
        <w:rPr>
          <w:rFonts w:ascii="Times New Roman" w:hAnsi="Times New Roman" w:cs="Times New Roman"/>
          <w:sz w:val="24"/>
          <w:szCs w:val="24"/>
        </w:rPr>
      </w:pPr>
    </w:p>
    <w:p w14:paraId="6968DAF2"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6974 – 6: Natural gas – Determination of composition with defined uncertainty by gas chromatography. Part 6: Determination of hydrogen, helium, oxygen, nitrogen, carbon dioxide and C1 to C8 hydrocarbons using three capillary columns, 2002. (ss2.24 (1))</w:t>
      </w:r>
    </w:p>
    <w:p w14:paraId="76A45765"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p>
    <w:p w14:paraId="19B9A399" w14:textId="77777777" w:rsidR="009B6DC6" w:rsidRPr="00883399" w:rsidRDefault="009B6DC6"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6975 Natural gas – Extended analysis – Gas-chromatographic method, 1997. (ss2.24(3))</w:t>
      </w:r>
    </w:p>
    <w:p w14:paraId="01C5D943" w14:textId="77777777" w:rsidR="009B6DC6" w:rsidRPr="00883399" w:rsidRDefault="009B6DC6" w:rsidP="00A527B9">
      <w:pPr>
        <w:pStyle w:val="TableNote"/>
        <w:spacing w:after="0"/>
        <w:rPr>
          <w:rFonts w:ascii="Times New Roman" w:hAnsi="Times New Roman" w:cs="Times New Roman"/>
          <w:sz w:val="24"/>
          <w:szCs w:val="24"/>
        </w:rPr>
      </w:pPr>
    </w:p>
    <w:p w14:paraId="1E2C870E"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6976: Natural gas – Calculation of calorific values, density, relative density and Wobbe index from composition, 1995. (ss2.24 (1))</w:t>
      </w:r>
    </w:p>
    <w:p w14:paraId="2D45E1E8" w14:textId="77777777" w:rsidR="007261F7" w:rsidRPr="00883399" w:rsidRDefault="007261F7" w:rsidP="00A527B9">
      <w:pPr>
        <w:pStyle w:val="TableNote"/>
        <w:spacing w:after="0"/>
        <w:rPr>
          <w:rFonts w:ascii="Times New Roman" w:hAnsi="Times New Roman" w:cs="Times New Roman"/>
          <w:sz w:val="24"/>
          <w:szCs w:val="24"/>
        </w:rPr>
      </w:pPr>
    </w:p>
    <w:p w14:paraId="6CF84623"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6976: Cor 2 Natural gas - Calculation of calorific values, density, relative density and Wobbe index from composition, 1997. (ss2.24 (1))</w:t>
      </w:r>
    </w:p>
    <w:p w14:paraId="0BA7AA26" w14:textId="77777777" w:rsidR="007261F7" w:rsidRPr="00883399" w:rsidRDefault="007261F7" w:rsidP="00A527B9">
      <w:pPr>
        <w:pStyle w:val="TableNote"/>
        <w:spacing w:after="0"/>
        <w:rPr>
          <w:rFonts w:ascii="Times New Roman" w:hAnsi="Times New Roman" w:cs="Times New Roman"/>
          <w:sz w:val="24"/>
          <w:szCs w:val="24"/>
        </w:rPr>
      </w:pPr>
    </w:p>
    <w:p w14:paraId="3A3729FB"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6976: Cor 3 Natural gas - Calculation of calorific values, density, relative density and Wobbe index from composition, 1999. (ss2.24 (1))</w:t>
      </w:r>
    </w:p>
    <w:p w14:paraId="7152422B" w14:textId="77777777" w:rsidR="007261F7" w:rsidRPr="00883399" w:rsidRDefault="007261F7" w:rsidP="00A527B9">
      <w:pPr>
        <w:pStyle w:val="TableNote"/>
        <w:spacing w:after="0"/>
        <w:rPr>
          <w:rFonts w:ascii="Times New Roman" w:hAnsi="Times New Roman" w:cs="Times New Roman"/>
          <w:sz w:val="24"/>
          <w:szCs w:val="24"/>
        </w:rPr>
      </w:pPr>
    </w:p>
    <w:p w14:paraId="7BC17077"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7941 Commercial propane and butane – Analysis by gas chromatography, 1988. (ss2.45 (1))</w:t>
      </w:r>
    </w:p>
    <w:p w14:paraId="47048761" w14:textId="77777777" w:rsidR="007261F7" w:rsidRPr="00883399" w:rsidRDefault="007261F7" w:rsidP="00A527B9">
      <w:pPr>
        <w:pStyle w:val="TableNote"/>
        <w:spacing w:after="0"/>
        <w:rPr>
          <w:rFonts w:ascii="Times New Roman" w:hAnsi="Times New Roman" w:cs="Times New Roman"/>
          <w:sz w:val="24"/>
          <w:szCs w:val="24"/>
        </w:rPr>
      </w:pPr>
    </w:p>
    <w:p w14:paraId="13CA81B6"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8943 Refrigerated light hydrocarbon fluids – Sampling of liquefied natural gas – Continuous and intermittent methods, 2007. (2.26 (3))</w:t>
      </w:r>
    </w:p>
    <w:p w14:paraId="5ADEE50E" w14:textId="77777777" w:rsidR="007261F7" w:rsidRPr="00883399" w:rsidRDefault="007261F7" w:rsidP="00A527B9">
      <w:pPr>
        <w:pStyle w:val="TableNote"/>
        <w:spacing w:after="0"/>
        <w:rPr>
          <w:rFonts w:ascii="Times New Roman" w:hAnsi="Times New Roman" w:cs="Times New Roman"/>
          <w:sz w:val="24"/>
          <w:szCs w:val="24"/>
        </w:rPr>
      </w:pPr>
    </w:p>
    <w:p w14:paraId="34061DEF"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10715 Natural gas – Sampling guidelines, 1997. (2.26 (3))</w:t>
      </w:r>
    </w:p>
    <w:p w14:paraId="69B7171D" w14:textId="77777777" w:rsidR="009B6DC6" w:rsidRPr="00883399" w:rsidRDefault="009B6DC6" w:rsidP="00A527B9">
      <w:pPr>
        <w:pStyle w:val="TableNote"/>
        <w:spacing w:after="0"/>
        <w:rPr>
          <w:rFonts w:ascii="Times New Roman" w:hAnsi="Times New Roman" w:cs="Times New Roman"/>
          <w:sz w:val="24"/>
          <w:szCs w:val="24"/>
        </w:rPr>
      </w:pPr>
    </w:p>
    <w:p w14:paraId="2FFEA3B4" w14:textId="77777777" w:rsidR="009B6DC6" w:rsidRPr="00883399" w:rsidRDefault="009B6DC6"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10723 Natural gas – Performance evaluation of on-line analytical systems, 2011. (ss1.10e)</w:t>
      </w:r>
    </w:p>
    <w:p w14:paraId="56DB0702" w14:textId="77777777" w:rsidR="009B6DC6" w:rsidRPr="00883399" w:rsidRDefault="009B6DC6" w:rsidP="00A527B9">
      <w:pPr>
        <w:pStyle w:val="TableNote"/>
        <w:spacing w:after="0"/>
        <w:rPr>
          <w:rFonts w:ascii="Times New Roman" w:hAnsi="Times New Roman" w:cs="Times New Roman"/>
          <w:sz w:val="24"/>
          <w:szCs w:val="24"/>
        </w:rPr>
      </w:pPr>
    </w:p>
    <w:p w14:paraId="2BA8B0AB" w14:textId="77777777" w:rsidR="009B6DC6" w:rsidRPr="00883399" w:rsidRDefault="009B6DC6" w:rsidP="00A527B9">
      <w:pPr>
        <w:pStyle w:val="TableNote"/>
        <w:spacing w:after="0"/>
        <w:outlineLvl w:val="0"/>
        <w:rPr>
          <w:rFonts w:ascii="Times New Roman" w:hAnsi="Times New Roman" w:cs="Times New Roman"/>
          <w:sz w:val="24"/>
          <w:szCs w:val="24"/>
        </w:rPr>
      </w:pPr>
      <w:r w:rsidRPr="00883399">
        <w:rPr>
          <w:rFonts w:ascii="Times New Roman" w:hAnsi="Times New Roman" w:cs="Times New Roman"/>
          <w:sz w:val="24"/>
          <w:szCs w:val="24"/>
        </w:rPr>
        <w:t>Commonwealth of Australia, National Greenhouse and Energy Reporting Regulations 2008</w:t>
      </w:r>
    </w:p>
    <w:p w14:paraId="018E5AE7" w14:textId="77777777" w:rsidR="009B6DC6" w:rsidRPr="00883399" w:rsidRDefault="009B6DC6" w:rsidP="00A527B9">
      <w:pPr>
        <w:pStyle w:val="TableNote"/>
        <w:spacing w:after="0"/>
        <w:rPr>
          <w:rFonts w:ascii="Times New Roman" w:hAnsi="Times New Roman" w:cs="Times New Roman"/>
          <w:sz w:val="24"/>
          <w:szCs w:val="24"/>
        </w:rPr>
      </w:pPr>
    </w:p>
    <w:p w14:paraId="4D420E08" w14:textId="77777777" w:rsidR="009B6DC6" w:rsidRPr="00883399" w:rsidRDefault="009B6DC6" w:rsidP="00A527B9">
      <w:pPr>
        <w:pStyle w:val="TableNote"/>
        <w:spacing w:after="0"/>
        <w:outlineLvl w:val="0"/>
        <w:rPr>
          <w:rFonts w:ascii="Times New Roman" w:hAnsi="Times New Roman" w:cs="Times New Roman"/>
          <w:sz w:val="24"/>
          <w:szCs w:val="24"/>
        </w:rPr>
      </w:pPr>
      <w:r w:rsidRPr="00883399">
        <w:rPr>
          <w:rFonts w:ascii="Times New Roman" w:hAnsi="Times New Roman" w:cs="Times New Roman"/>
          <w:sz w:val="24"/>
          <w:szCs w:val="24"/>
        </w:rPr>
        <w:t>Commonwealth of Australia, National Measurement Act 1960 (ss2.32 (6))</w:t>
      </w:r>
    </w:p>
    <w:p w14:paraId="7A2138FF" w14:textId="77777777" w:rsidR="007261F7" w:rsidRPr="00883399" w:rsidRDefault="007261F7" w:rsidP="00A527B9">
      <w:pPr>
        <w:pStyle w:val="TableNote"/>
        <w:spacing w:after="0"/>
        <w:rPr>
          <w:rFonts w:ascii="Times New Roman" w:hAnsi="Times New Roman" w:cs="Times New Roman"/>
          <w:sz w:val="24"/>
          <w:szCs w:val="24"/>
        </w:rPr>
      </w:pPr>
    </w:p>
    <w:p w14:paraId="6794901C"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1038.1 Coal and coke – Analysis and testing – Higher rank coal – Total moisture (supersedes 1038.1 – 1992), 2001.</w:t>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p>
    <w:p w14:paraId="49697D94"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AS1038.2 Coal and coke – Analysis and testing – coke – total moisture, 2002.</w:t>
      </w:r>
      <w:r w:rsidRPr="00883399">
        <w:rPr>
          <w:rFonts w:ascii="Times New Roman" w:hAnsi="Times New Roman" w:cs="Times New Roman"/>
          <w:sz w:val="24"/>
          <w:szCs w:val="24"/>
        </w:rPr>
        <w:tab/>
      </w:r>
    </w:p>
    <w:p w14:paraId="6F0376D2" w14:textId="77777777" w:rsidR="007261F7" w:rsidRPr="00883399" w:rsidRDefault="007261F7" w:rsidP="00A527B9">
      <w:pPr>
        <w:pStyle w:val="TableNote"/>
        <w:spacing w:after="0"/>
        <w:rPr>
          <w:rFonts w:ascii="Times New Roman" w:hAnsi="Times New Roman" w:cs="Times New Roman"/>
          <w:sz w:val="24"/>
          <w:szCs w:val="24"/>
        </w:rPr>
      </w:pPr>
    </w:p>
    <w:p w14:paraId="72F2513E"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1038.3 Coal and coke – Analysis and testing – Proximate analysis of higher rank coal, 2000.</w:t>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p>
    <w:p w14:paraId="5523BA92"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1038.5 Coal and coke – Analysis and testing - Gross calorific value, 1998.</w:t>
      </w:r>
      <w:r w:rsidRPr="00883399">
        <w:rPr>
          <w:rFonts w:ascii="Times New Roman" w:hAnsi="Times New Roman" w:cs="Times New Roman"/>
          <w:sz w:val="24"/>
          <w:szCs w:val="24"/>
        </w:rPr>
        <w:tab/>
      </w:r>
    </w:p>
    <w:p w14:paraId="56B96767" w14:textId="77777777" w:rsidR="007261F7" w:rsidRPr="00883399" w:rsidRDefault="007261F7" w:rsidP="00A527B9">
      <w:pPr>
        <w:pStyle w:val="TableNote"/>
        <w:spacing w:after="0"/>
        <w:rPr>
          <w:rFonts w:ascii="Times New Roman" w:hAnsi="Times New Roman" w:cs="Times New Roman"/>
          <w:sz w:val="24"/>
          <w:szCs w:val="24"/>
        </w:rPr>
      </w:pPr>
    </w:p>
    <w:p w14:paraId="21C0B7A2"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1038.6.1 Coal and coke – Analysis and testing – Higher rank coal and coke – Ultimate analysis – Carbon and hydrogen, 1997.</w:t>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p>
    <w:p w14:paraId="795173D3"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1038.6.4 Coal and coke – Analysis and testing – Higher rank coal and coke – Ultimate analysis – Carbon, hydrogen and nitrogen – Instrumental method, 2005.</w:t>
      </w:r>
    </w:p>
    <w:p w14:paraId="44D56BC6" w14:textId="77777777" w:rsidR="00902A5B" w:rsidRPr="00883399" w:rsidRDefault="00902A5B" w:rsidP="00A527B9">
      <w:pPr>
        <w:pStyle w:val="TableNote"/>
        <w:spacing w:after="0"/>
        <w:rPr>
          <w:rFonts w:ascii="Times New Roman" w:hAnsi="Times New Roman" w:cs="Times New Roman"/>
          <w:sz w:val="24"/>
          <w:szCs w:val="24"/>
        </w:rPr>
      </w:pPr>
    </w:p>
    <w:p w14:paraId="4A946A2A"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2434.1 Methods for the analysis and testing of lower rank coal and its chars –Determination of the total moisture content of lower rank coal, 1999.</w:t>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p>
    <w:p w14:paraId="3AB9A1ED" w14:textId="77777777" w:rsidR="007261F7" w:rsidRPr="00883399" w:rsidRDefault="007261F7" w:rsidP="00A527B9">
      <w:pPr>
        <w:pStyle w:val="TableNote"/>
        <w:spacing w:after="0"/>
        <w:rPr>
          <w:rFonts w:ascii="Times New Roman" w:hAnsi="Times New Roman" w:cs="Times New Roman"/>
          <w:sz w:val="24"/>
          <w:szCs w:val="24"/>
        </w:rPr>
      </w:pPr>
    </w:p>
    <w:p w14:paraId="7E85E4AD"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2434.6 Methods for the analysis and testing of lower rank coal and its chars – Lower rank coal – Ultimate analysis – Classical methods (supersedes AS2434.6.1-1986), 2002.</w:t>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p>
    <w:p w14:paraId="71A2AA0B"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2434.8 Methods for the analysis and testing of lower rank coal and its chars – Lower rank coal – Determination of ash (supersedes AS2434.8 – 1993), 2002.</w:t>
      </w:r>
    </w:p>
    <w:p w14:paraId="0862691A" w14:textId="77777777" w:rsidR="007261F7" w:rsidRPr="00883399" w:rsidRDefault="007261F7" w:rsidP="00A527B9">
      <w:pPr>
        <w:pStyle w:val="TableNote"/>
        <w:spacing w:after="0"/>
        <w:rPr>
          <w:rFonts w:ascii="Times New Roman" w:hAnsi="Times New Roman" w:cs="Times New Roman"/>
          <w:sz w:val="24"/>
          <w:szCs w:val="24"/>
        </w:rPr>
      </w:pPr>
    </w:p>
    <w:p w14:paraId="4266BCB9"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3583.2 Methods of test for supplementary cementitious materials for use with portland cement. Method 2: Determination of moisture content, 1991. (s2.9)</w:t>
      </w:r>
    </w:p>
    <w:p w14:paraId="7A62DA79" w14:textId="77777777" w:rsidR="007261F7" w:rsidRPr="00883399" w:rsidRDefault="007261F7" w:rsidP="00A527B9">
      <w:pPr>
        <w:pStyle w:val="TableNote"/>
        <w:spacing w:after="0"/>
        <w:rPr>
          <w:rFonts w:ascii="Times New Roman" w:hAnsi="Times New Roman" w:cs="Times New Roman"/>
          <w:sz w:val="24"/>
          <w:szCs w:val="24"/>
        </w:rPr>
      </w:pPr>
    </w:p>
    <w:p w14:paraId="3D6448EC"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3583.3 Methods of test for supplementary cementitious materials for use with portland cement. Method 3: Determination of loss on ignition, 1991. (s2.9)</w:t>
      </w:r>
      <w:r w:rsidRPr="00883399">
        <w:rPr>
          <w:rFonts w:ascii="Times New Roman" w:hAnsi="Times New Roman" w:cs="Times New Roman"/>
          <w:sz w:val="24"/>
          <w:szCs w:val="24"/>
        </w:rPr>
        <w:tab/>
      </w:r>
    </w:p>
    <w:p w14:paraId="4B4E4E0A" w14:textId="77777777" w:rsidR="007261F7" w:rsidRPr="00883399" w:rsidRDefault="007261F7" w:rsidP="00A527B9">
      <w:pPr>
        <w:pStyle w:val="TableNote"/>
        <w:spacing w:after="0"/>
        <w:rPr>
          <w:rFonts w:ascii="Times New Roman" w:hAnsi="Times New Roman" w:cs="Times New Roman"/>
          <w:sz w:val="24"/>
          <w:szCs w:val="24"/>
        </w:rPr>
      </w:pPr>
    </w:p>
    <w:p w14:paraId="1614BA57"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4264.4 Coal and coke – Sampling – Determination of precision and bias, 1996. (ss2.7 (4))</w:t>
      </w:r>
    </w:p>
    <w:p w14:paraId="343D53E1" w14:textId="77777777" w:rsidR="007261F7" w:rsidRPr="00883399" w:rsidRDefault="007261F7" w:rsidP="00A527B9">
      <w:pPr>
        <w:pStyle w:val="TableNote"/>
        <w:spacing w:after="0"/>
        <w:rPr>
          <w:rFonts w:ascii="Times New Roman" w:hAnsi="Times New Roman" w:cs="Times New Roman"/>
          <w:sz w:val="24"/>
          <w:szCs w:val="24"/>
        </w:rPr>
      </w:pPr>
    </w:p>
    <w:p w14:paraId="2FC7A206"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4323.1 Stationary source emissions – Selection of sampling positions, 1995. (s2.11)</w:t>
      </w:r>
    </w:p>
    <w:p w14:paraId="189F9E5E" w14:textId="77777777" w:rsidR="007261F7" w:rsidRPr="00883399" w:rsidRDefault="007261F7" w:rsidP="00A527B9">
      <w:pPr>
        <w:pStyle w:val="TableNote"/>
        <w:spacing w:after="0"/>
        <w:rPr>
          <w:rFonts w:ascii="Times New Roman" w:hAnsi="Times New Roman" w:cs="Times New Roman"/>
          <w:sz w:val="24"/>
          <w:szCs w:val="24"/>
        </w:rPr>
      </w:pPr>
    </w:p>
    <w:p w14:paraId="3E8B3BFD"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4323[1].1 Amdt 1 Stationary source emissions – Selection of sampling positions, 1995. (s2.11)</w:t>
      </w:r>
    </w:p>
    <w:p w14:paraId="7E892974" w14:textId="77777777" w:rsidR="007261F7" w:rsidRPr="00883399" w:rsidRDefault="007261F7" w:rsidP="00A527B9">
      <w:pPr>
        <w:pStyle w:val="TableNote"/>
        <w:spacing w:after="0"/>
        <w:rPr>
          <w:rFonts w:ascii="Times New Roman" w:hAnsi="Times New Roman" w:cs="Times New Roman"/>
          <w:sz w:val="24"/>
          <w:szCs w:val="24"/>
        </w:rPr>
      </w:pPr>
    </w:p>
    <w:p w14:paraId="6F085175"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4323.2 Stationary source emissions – Determination of total particulate matter – Isokinetic manual sampling – Gravimetric method, 1995. (s2.11)</w:t>
      </w:r>
    </w:p>
    <w:p w14:paraId="2D29DB55" w14:textId="77777777" w:rsidR="007261F7" w:rsidRPr="00883399" w:rsidRDefault="007261F7" w:rsidP="00A527B9">
      <w:pPr>
        <w:pStyle w:val="TableNote"/>
        <w:spacing w:after="0"/>
        <w:rPr>
          <w:rFonts w:ascii="Times New Roman" w:hAnsi="Times New Roman" w:cs="Times New Roman"/>
          <w:sz w:val="24"/>
          <w:szCs w:val="24"/>
        </w:rPr>
      </w:pPr>
    </w:p>
    <w:p w14:paraId="39D02006"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ISO/IEC – 17025: General requirements for the competence of testing and calibration laboratories, 2005. (ss2.8 (3))</w:t>
      </w:r>
    </w:p>
    <w:p w14:paraId="00695F59" w14:textId="77777777" w:rsidR="007261F7" w:rsidRPr="00883399" w:rsidRDefault="007261F7" w:rsidP="00A527B9">
      <w:pPr>
        <w:pStyle w:val="TableNote"/>
        <w:spacing w:after="0"/>
        <w:rPr>
          <w:rFonts w:ascii="Times New Roman" w:hAnsi="Times New Roman" w:cs="Times New Roman"/>
          <w:sz w:val="24"/>
          <w:szCs w:val="24"/>
        </w:rPr>
      </w:pPr>
    </w:p>
    <w:p w14:paraId="657B92A6"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ISO/IEC – 17025: General requirements for the competence of testing and calibration laboratories – Technical Corrigendum 1, 2005. (ss2.8 (3))</w:t>
      </w:r>
    </w:p>
    <w:p w14:paraId="50B5E8C9" w14:textId="77777777" w:rsidR="007261F7" w:rsidRPr="00883399" w:rsidRDefault="007261F7" w:rsidP="00A527B9">
      <w:pPr>
        <w:pStyle w:val="TableNote"/>
        <w:spacing w:after="0"/>
        <w:rPr>
          <w:rFonts w:ascii="Times New Roman" w:hAnsi="Times New Roman" w:cs="Times New Roman"/>
          <w:sz w:val="24"/>
          <w:szCs w:val="24"/>
        </w:rPr>
      </w:pPr>
    </w:p>
    <w:p w14:paraId="6DB04042"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4264.1 Coal and coke – Sampling – Higher rank coal – Sampling procedure, 1995. (ss2.12 (3)</w:t>
      </w:r>
    </w:p>
    <w:p w14:paraId="1D9E0AA1" w14:textId="77777777" w:rsidR="007261F7" w:rsidRPr="00883399" w:rsidRDefault="007261F7" w:rsidP="00A527B9">
      <w:pPr>
        <w:pStyle w:val="TableNote"/>
        <w:spacing w:after="0"/>
        <w:rPr>
          <w:rFonts w:ascii="Times New Roman" w:hAnsi="Times New Roman" w:cs="Times New Roman"/>
          <w:sz w:val="24"/>
          <w:szCs w:val="24"/>
        </w:rPr>
      </w:pPr>
    </w:p>
    <w:p w14:paraId="530A96A2"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4264.2 Coal and coke – Sampling – Coke – Sampling procedures, 1996. (ss2.12 (3)</w:t>
      </w:r>
      <w:r w:rsidRPr="00883399">
        <w:rPr>
          <w:rFonts w:ascii="Times New Roman" w:hAnsi="Times New Roman" w:cs="Times New Roman"/>
          <w:sz w:val="24"/>
          <w:szCs w:val="24"/>
        </w:rPr>
        <w:tab/>
      </w:r>
    </w:p>
    <w:p w14:paraId="58419E04" w14:textId="77777777" w:rsidR="007261F7" w:rsidRPr="00883399" w:rsidRDefault="007261F7" w:rsidP="00A527B9">
      <w:pPr>
        <w:pStyle w:val="TableNote"/>
        <w:spacing w:after="0"/>
        <w:rPr>
          <w:rFonts w:ascii="Times New Roman" w:hAnsi="Times New Roman" w:cs="Times New Roman"/>
          <w:sz w:val="24"/>
          <w:szCs w:val="24"/>
        </w:rPr>
      </w:pPr>
    </w:p>
    <w:p w14:paraId="6857DF22"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4264.3 Coal and coke – Sampling – Lower rank coal – Sampling procedures, 1996. (ss2.12 (3)</w:t>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r w:rsidRPr="00883399">
        <w:rPr>
          <w:rFonts w:ascii="Times New Roman" w:hAnsi="Times New Roman" w:cs="Times New Roman"/>
          <w:sz w:val="24"/>
          <w:szCs w:val="24"/>
        </w:rPr>
        <w:tab/>
      </w:r>
    </w:p>
    <w:p w14:paraId="0E1819D5" w14:textId="77777777" w:rsidR="007261F7" w:rsidRPr="00883399" w:rsidRDefault="007261F7" w:rsidP="00A527B9">
      <w:pPr>
        <w:pStyle w:val="TableNote"/>
        <w:spacing w:after="0"/>
        <w:rPr>
          <w:rFonts w:ascii="Times New Roman" w:hAnsi="Times New Roman" w:cs="Times New Roman"/>
          <w:sz w:val="24"/>
          <w:szCs w:val="24"/>
        </w:rPr>
      </w:pPr>
    </w:p>
    <w:p w14:paraId="4DA3CB3B" w14:textId="77777777" w:rsidR="007261F7" w:rsidRPr="00883399" w:rsidRDefault="007261F7" w:rsidP="00A527B9">
      <w:pPr>
        <w:pStyle w:val="TableNote"/>
        <w:spacing w:after="0"/>
        <w:outlineLvl w:val="0"/>
        <w:rPr>
          <w:rFonts w:ascii="Times New Roman" w:hAnsi="Times New Roman" w:cs="Times New Roman"/>
          <w:sz w:val="24"/>
          <w:szCs w:val="24"/>
        </w:rPr>
      </w:pPr>
      <w:r w:rsidRPr="00883399">
        <w:rPr>
          <w:rFonts w:ascii="Times New Roman" w:hAnsi="Times New Roman" w:cs="Times New Roman"/>
          <w:sz w:val="24"/>
          <w:szCs w:val="24"/>
        </w:rPr>
        <w:t>Standards New Zealand, NZS 5259 Gas Measurement, 2004. (ss2.32 (5))</w:t>
      </w:r>
    </w:p>
    <w:p w14:paraId="1FB881E2" w14:textId="77777777" w:rsidR="007261F7" w:rsidRPr="00883399" w:rsidRDefault="007261F7" w:rsidP="00A527B9">
      <w:pPr>
        <w:pStyle w:val="TableNote"/>
        <w:spacing w:after="0"/>
        <w:rPr>
          <w:rFonts w:ascii="Times New Roman" w:hAnsi="Times New Roman" w:cs="Times New Roman"/>
          <w:sz w:val="24"/>
          <w:szCs w:val="24"/>
        </w:rPr>
      </w:pPr>
    </w:p>
    <w:p w14:paraId="045B80B7"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World Business Council for Sustainable Development / World Resources Institute, Allocation of Emissions from a Combined Heat and Power (CHP) Plant – Guide to calculation worksheets (September 2006) v1.0. (ss2.70 (2))</w:t>
      </w:r>
    </w:p>
    <w:p w14:paraId="45659624" w14:textId="77777777" w:rsidR="007261F7" w:rsidRPr="00883399" w:rsidRDefault="007261F7" w:rsidP="00A527B9">
      <w:pPr>
        <w:pStyle w:val="TableNote"/>
        <w:spacing w:after="0"/>
        <w:rPr>
          <w:rFonts w:ascii="Times New Roman" w:hAnsi="Times New Roman" w:cs="Times New Roman"/>
          <w:sz w:val="24"/>
          <w:szCs w:val="24"/>
        </w:rPr>
      </w:pPr>
    </w:p>
    <w:p w14:paraId="653DBC9E" w14:textId="77777777" w:rsidR="007261F7" w:rsidRPr="00883399" w:rsidRDefault="007261F7" w:rsidP="00A527B9">
      <w:pPr>
        <w:pStyle w:val="TableNote"/>
        <w:spacing w:after="0"/>
        <w:outlineLvl w:val="0"/>
        <w:rPr>
          <w:rFonts w:ascii="Times New Roman" w:hAnsi="Times New Roman" w:cs="Times New Roman"/>
          <w:b/>
          <w:sz w:val="24"/>
          <w:szCs w:val="24"/>
        </w:rPr>
      </w:pPr>
      <w:r w:rsidRPr="00883399">
        <w:rPr>
          <w:rFonts w:ascii="Times New Roman" w:hAnsi="Times New Roman" w:cs="Times New Roman"/>
          <w:b/>
          <w:sz w:val="24"/>
          <w:szCs w:val="24"/>
        </w:rPr>
        <w:t xml:space="preserve">Chapter 3 Fugitive emissions from fuels </w:t>
      </w:r>
    </w:p>
    <w:p w14:paraId="0C79D590" w14:textId="77777777" w:rsidR="007261F7" w:rsidRPr="00883399" w:rsidRDefault="007261F7" w:rsidP="00A527B9">
      <w:pPr>
        <w:pStyle w:val="TableNote"/>
        <w:spacing w:after="0"/>
        <w:rPr>
          <w:rFonts w:ascii="Times New Roman" w:hAnsi="Times New Roman" w:cs="Times New Roman"/>
          <w:sz w:val="24"/>
          <w:szCs w:val="24"/>
        </w:rPr>
      </w:pPr>
    </w:p>
    <w:p w14:paraId="3902B8D3" w14:textId="77777777" w:rsidR="009B6DC6" w:rsidRPr="00883399" w:rsidRDefault="009B6DC6"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Australian Coal Association Research Program, Guidelines for the Implementation of NGER Method 2 or 3 for Open Cut Coal Mine Fugitive Emissions Reporting (C20005), December 2011. (s1.8)</w:t>
      </w:r>
    </w:p>
    <w:p w14:paraId="38794361" w14:textId="77777777" w:rsidR="009B6DC6" w:rsidRPr="00883399" w:rsidRDefault="009B6DC6" w:rsidP="00A527B9">
      <w:pPr>
        <w:pStyle w:val="TableNote"/>
        <w:spacing w:after="0"/>
        <w:rPr>
          <w:rFonts w:ascii="Times New Roman" w:hAnsi="Times New Roman" w:cs="Times New Roman"/>
          <w:sz w:val="24"/>
          <w:szCs w:val="24"/>
        </w:rPr>
      </w:pPr>
    </w:p>
    <w:p w14:paraId="1F1ABA14" w14:textId="77777777" w:rsidR="009B6DC6" w:rsidRPr="00883399" w:rsidRDefault="009B6DC6"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American Petroleum Institute, Compendium of Greenhouse Gas Emissions Estimation Methodologies for the Oil and Natural Gas Industry, August 2009.</w:t>
      </w:r>
    </w:p>
    <w:p w14:paraId="5F6162F0" w14:textId="77777777" w:rsidR="009B6DC6" w:rsidRPr="00883399" w:rsidRDefault="009B6DC6" w:rsidP="00A527B9">
      <w:pPr>
        <w:pStyle w:val="TableNote"/>
        <w:spacing w:after="0"/>
        <w:rPr>
          <w:rFonts w:ascii="Times New Roman" w:hAnsi="Times New Roman" w:cs="Times New Roman"/>
          <w:sz w:val="24"/>
          <w:szCs w:val="24"/>
        </w:rPr>
      </w:pPr>
    </w:p>
    <w:p w14:paraId="361D6A94"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American Petroleum Institute, Compendium of Greenhouse Gas Emissions Estimation Methodologies for the Oil and Gas Industry, 2005.</w:t>
      </w:r>
    </w:p>
    <w:p w14:paraId="218E7DFE" w14:textId="77777777" w:rsidR="007261F7" w:rsidRPr="00883399" w:rsidRDefault="007261F7" w:rsidP="00A527B9">
      <w:pPr>
        <w:pStyle w:val="TableNote"/>
        <w:spacing w:after="0"/>
        <w:rPr>
          <w:rFonts w:ascii="Times New Roman" w:hAnsi="Times New Roman" w:cs="Times New Roman"/>
          <w:sz w:val="24"/>
          <w:szCs w:val="24"/>
        </w:rPr>
      </w:pPr>
    </w:p>
    <w:p w14:paraId="72844506" w14:textId="77777777" w:rsidR="007261F7" w:rsidRPr="00883399" w:rsidRDefault="007261F7" w:rsidP="00A527B9">
      <w:pPr>
        <w:pStyle w:val="TableNote"/>
        <w:spacing w:after="0"/>
        <w:outlineLvl w:val="0"/>
        <w:rPr>
          <w:rFonts w:ascii="Times New Roman" w:hAnsi="Times New Roman" w:cs="Times New Roman"/>
          <w:sz w:val="24"/>
          <w:szCs w:val="24"/>
        </w:rPr>
      </w:pPr>
      <w:r w:rsidRPr="00883399">
        <w:rPr>
          <w:rFonts w:ascii="Times New Roman" w:hAnsi="Times New Roman" w:cs="Times New Roman"/>
          <w:i/>
          <w:sz w:val="24"/>
          <w:szCs w:val="24"/>
        </w:rPr>
        <w:t>Coal Mine Health and Safety Act 2002</w:t>
      </w:r>
      <w:r w:rsidRPr="00883399">
        <w:rPr>
          <w:rFonts w:ascii="Times New Roman" w:hAnsi="Times New Roman" w:cs="Times New Roman"/>
          <w:sz w:val="24"/>
          <w:szCs w:val="24"/>
        </w:rPr>
        <w:t>(NSW) (s3.9)</w:t>
      </w:r>
    </w:p>
    <w:p w14:paraId="5758E985" w14:textId="77777777" w:rsidR="007261F7" w:rsidRPr="00883399" w:rsidRDefault="007261F7" w:rsidP="00A527B9">
      <w:pPr>
        <w:pStyle w:val="TableNote"/>
        <w:spacing w:after="0"/>
        <w:rPr>
          <w:rFonts w:ascii="Times New Roman" w:hAnsi="Times New Roman" w:cs="Times New Roman"/>
          <w:sz w:val="24"/>
          <w:szCs w:val="24"/>
        </w:rPr>
      </w:pPr>
    </w:p>
    <w:p w14:paraId="0903745A" w14:textId="77777777" w:rsidR="007261F7" w:rsidRPr="00883399" w:rsidRDefault="007261F7" w:rsidP="00A527B9">
      <w:pPr>
        <w:pStyle w:val="TableNote"/>
        <w:spacing w:after="0"/>
        <w:outlineLvl w:val="0"/>
        <w:rPr>
          <w:rFonts w:ascii="Times New Roman" w:hAnsi="Times New Roman" w:cs="Times New Roman"/>
          <w:sz w:val="24"/>
          <w:szCs w:val="24"/>
        </w:rPr>
      </w:pPr>
      <w:r w:rsidRPr="00883399">
        <w:rPr>
          <w:rFonts w:ascii="Times New Roman" w:hAnsi="Times New Roman" w:cs="Times New Roman"/>
          <w:sz w:val="24"/>
          <w:szCs w:val="24"/>
        </w:rPr>
        <w:t>Coal Mine Health and Safety Regulation 2006(NSW) (s3.9)</w:t>
      </w:r>
    </w:p>
    <w:p w14:paraId="64935CC9" w14:textId="77777777" w:rsidR="007261F7" w:rsidRPr="00883399" w:rsidRDefault="007261F7" w:rsidP="00A527B9">
      <w:pPr>
        <w:pStyle w:val="TableNote"/>
        <w:spacing w:after="0"/>
        <w:rPr>
          <w:rFonts w:ascii="Times New Roman" w:hAnsi="Times New Roman" w:cs="Times New Roman"/>
          <w:sz w:val="24"/>
          <w:szCs w:val="24"/>
        </w:rPr>
      </w:pPr>
    </w:p>
    <w:p w14:paraId="045B7ECA" w14:textId="77777777" w:rsidR="007261F7" w:rsidRPr="00883399" w:rsidRDefault="007261F7" w:rsidP="00A527B9">
      <w:pPr>
        <w:pStyle w:val="TableNote"/>
        <w:spacing w:after="0"/>
        <w:outlineLvl w:val="0"/>
        <w:rPr>
          <w:rFonts w:ascii="Times New Roman" w:hAnsi="Times New Roman" w:cs="Times New Roman"/>
          <w:sz w:val="24"/>
          <w:szCs w:val="24"/>
        </w:rPr>
      </w:pPr>
      <w:r w:rsidRPr="00883399">
        <w:rPr>
          <w:rFonts w:ascii="Times New Roman" w:hAnsi="Times New Roman" w:cs="Times New Roman"/>
          <w:i/>
          <w:sz w:val="24"/>
          <w:szCs w:val="24"/>
        </w:rPr>
        <w:t>Coal mining safety and health Act 1999</w:t>
      </w:r>
      <w:r w:rsidRPr="00883399">
        <w:rPr>
          <w:rFonts w:ascii="Times New Roman" w:hAnsi="Times New Roman" w:cs="Times New Roman"/>
          <w:sz w:val="24"/>
          <w:szCs w:val="24"/>
        </w:rPr>
        <w:t>(QLD)  (s3.9)</w:t>
      </w:r>
    </w:p>
    <w:p w14:paraId="451BB0D9" w14:textId="77777777" w:rsidR="007261F7" w:rsidRPr="00883399" w:rsidRDefault="007261F7" w:rsidP="00A527B9">
      <w:pPr>
        <w:pStyle w:val="TableNote"/>
        <w:spacing w:after="0"/>
        <w:rPr>
          <w:rFonts w:ascii="Times New Roman" w:hAnsi="Times New Roman" w:cs="Times New Roman"/>
          <w:sz w:val="24"/>
          <w:szCs w:val="24"/>
        </w:rPr>
      </w:pPr>
    </w:p>
    <w:p w14:paraId="525C47C7" w14:textId="77777777" w:rsidR="007261F7" w:rsidRPr="00883399" w:rsidRDefault="007261F7" w:rsidP="00A527B9">
      <w:pPr>
        <w:pStyle w:val="TableNote"/>
        <w:spacing w:after="0"/>
        <w:outlineLvl w:val="0"/>
        <w:rPr>
          <w:rFonts w:ascii="Times New Roman" w:hAnsi="Times New Roman" w:cs="Times New Roman"/>
          <w:sz w:val="24"/>
          <w:szCs w:val="24"/>
        </w:rPr>
      </w:pPr>
      <w:r w:rsidRPr="00883399">
        <w:rPr>
          <w:rFonts w:ascii="Times New Roman" w:hAnsi="Times New Roman" w:cs="Times New Roman"/>
          <w:sz w:val="24"/>
          <w:szCs w:val="24"/>
        </w:rPr>
        <w:t>Coal mining safety and health regulation 2001(QLD) (s3.9)</w:t>
      </w:r>
    </w:p>
    <w:p w14:paraId="393A7A0E" w14:textId="77777777" w:rsidR="007261F7" w:rsidRPr="00883399" w:rsidRDefault="007261F7" w:rsidP="00A527B9">
      <w:pPr>
        <w:pStyle w:val="TableNote"/>
        <w:spacing w:after="0"/>
        <w:rPr>
          <w:rFonts w:ascii="Times New Roman" w:hAnsi="Times New Roman" w:cs="Times New Roman"/>
          <w:sz w:val="24"/>
          <w:szCs w:val="24"/>
        </w:rPr>
      </w:pPr>
    </w:p>
    <w:p w14:paraId="13693FFC" w14:textId="6147E155" w:rsidR="003421E9" w:rsidRPr="00883399" w:rsidRDefault="00C91E15" w:rsidP="00A527B9">
      <w:pPr>
        <w:pStyle w:val="TableNote"/>
        <w:spacing w:after="0"/>
        <w:outlineLvl w:val="0"/>
        <w:rPr>
          <w:rFonts w:ascii="Times New Roman" w:hAnsi="Times New Roman" w:cs="Times New Roman"/>
          <w:sz w:val="24"/>
          <w:szCs w:val="24"/>
        </w:rPr>
      </w:pPr>
      <w:r w:rsidRPr="00883399">
        <w:rPr>
          <w:rFonts w:ascii="Times New Roman" w:hAnsi="Times New Roman" w:cs="Times New Roman"/>
          <w:sz w:val="24"/>
          <w:szCs w:val="24"/>
        </w:rPr>
        <w:t>Department o</w:t>
      </w:r>
      <w:r w:rsidR="00B771BC" w:rsidRPr="00883399">
        <w:rPr>
          <w:rFonts w:ascii="Times New Roman" w:hAnsi="Times New Roman" w:cs="Times New Roman"/>
          <w:sz w:val="24"/>
          <w:szCs w:val="24"/>
        </w:rPr>
        <w:t>f</w:t>
      </w:r>
      <w:r w:rsidRPr="00883399">
        <w:rPr>
          <w:rFonts w:ascii="Times New Roman" w:hAnsi="Times New Roman" w:cs="Times New Roman"/>
          <w:sz w:val="24"/>
          <w:szCs w:val="24"/>
        </w:rPr>
        <w:t xml:space="preserve"> the Environment</w:t>
      </w:r>
      <w:r w:rsidR="00F8313C">
        <w:rPr>
          <w:rFonts w:ascii="Times New Roman" w:hAnsi="Times New Roman" w:cs="Times New Roman"/>
          <w:sz w:val="24"/>
          <w:szCs w:val="24"/>
        </w:rPr>
        <w:t xml:space="preserve"> and Energy</w:t>
      </w:r>
      <w:r w:rsidR="003421E9" w:rsidRPr="00883399">
        <w:rPr>
          <w:rFonts w:ascii="Times New Roman" w:hAnsi="Times New Roman" w:cs="Times New Roman"/>
          <w:sz w:val="24"/>
          <w:szCs w:val="24"/>
        </w:rPr>
        <w:t>, National Inventory Report, 201</w:t>
      </w:r>
      <w:r w:rsidR="00D57014" w:rsidRPr="00883399">
        <w:rPr>
          <w:rFonts w:ascii="Times New Roman" w:hAnsi="Times New Roman" w:cs="Times New Roman"/>
          <w:sz w:val="24"/>
          <w:szCs w:val="24"/>
        </w:rPr>
        <w:t>5</w:t>
      </w:r>
      <w:r w:rsidR="003421E9" w:rsidRPr="00883399">
        <w:rPr>
          <w:rFonts w:ascii="Times New Roman" w:hAnsi="Times New Roman" w:cs="Times New Roman"/>
          <w:sz w:val="24"/>
          <w:szCs w:val="24"/>
        </w:rPr>
        <w:t>. (ss3.17,3.2.3.2,3.32, 3.33,3.5)</w:t>
      </w:r>
    </w:p>
    <w:p w14:paraId="47C8524E" w14:textId="77777777" w:rsidR="007261F7" w:rsidRPr="00883399" w:rsidRDefault="007261F7" w:rsidP="00A527B9">
      <w:pPr>
        <w:pStyle w:val="TableNote"/>
        <w:spacing w:after="0"/>
        <w:rPr>
          <w:rFonts w:ascii="Times New Roman" w:hAnsi="Times New Roman" w:cs="Times New Roman"/>
          <w:sz w:val="24"/>
          <w:szCs w:val="24"/>
        </w:rPr>
      </w:pPr>
    </w:p>
    <w:p w14:paraId="6B0A572B"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Intergovernmental Panel on Climate Change, IPCC 2006, 2006 IPCC Guidelines for National Greenhouse Gas Inventories, Volume 2 Energy. Prepared by the National Greenhouse Gas Inventories Programme. Published: IGES, Japan.</w:t>
      </w:r>
    </w:p>
    <w:p w14:paraId="06BF0EDA" w14:textId="77777777" w:rsidR="007261F7" w:rsidRPr="00883399" w:rsidRDefault="007261F7" w:rsidP="00A527B9">
      <w:pPr>
        <w:pStyle w:val="TableNote"/>
        <w:spacing w:after="0"/>
        <w:rPr>
          <w:rFonts w:ascii="Times New Roman" w:hAnsi="Times New Roman" w:cs="Times New Roman"/>
          <w:sz w:val="24"/>
          <w:szCs w:val="24"/>
        </w:rPr>
      </w:pPr>
    </w:p>
    <w:p w14:paraId="6AA968FB"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Joint Ore Reserves Committee, The Australian code for reporting of exploration results, mineral resources and ore reserves. The Joint Ore Reserves Committee (JORC) Code, 2004 edition</w:t>
      </w:r>
    </w:p>
    <w:p w14:paraId="002D5056" w14:textId="77777777" w:rsidR="007261F7" w:rsidRPr="00883399" w:rsidRDefault="007261F7" w:rsidP="00A527B9">
      <w:pPr>
        <w:pStyle w:val="TableNote"/>
        <w:spacing w:after="0"/>
        <w:rPr>
          <w:rFonts w:ascii="Times New Roman" w:hAnsi="Times New Roman" w:cs="Times New Roman"/>
          <w:sz w:val="24"/>
          <w:szCs w:val="24"/>
        </w:rPr>
      </w:pPr>
    </w:p>
    <w:p w14:paraId="656F9CFA"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Joint Ore Reserves Committee, Australian Guidelines for Estimating and Reporting of Inventory Coal, Coal Resources and Coal Reserves. Prepared by the Coalfields Geology Council of NSW and the Queensland Mining Council, 2003.</w:t>
      </w:r>
    </w:p>
    <w:p w14:paraId="05E60355" w14:textId="77777777" w:rsidR="007261F7" w:rsidRPr="00883399" w:rsidRDefault="007261F7" w:rsidP="00A527B9">
      <w:pPr>
        <w:pStyle w:val="TableNote"/>
        <w:spacing w:after="0"/>
        <w:rPr>
          <w:rFonts w:ascii="Times New Roman" w:hAnsi="Times New Roman" w:cs="Times New Roman"/>
          <w:sz w:val="24"/>
          <w:szCs w:val="24"/>
        </w:rPr>
      </w:pPr>
    </w:p>
    <w:p w14:paraId="641A93F1"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Saghafi, A. (2008), Evaluating a tier 3 method for estimating fugitive emissions from open cut mining. Joint Research Project ACARP (C15076) and CSIRO. CSIRO Investigation Report ET/IR 1011.</w:t>
      </w:r>
    </w:p>
    <w:p w14:paraId="6AAA6A00" w14:textId="77777777" w:rsidR="007261F7" w:rsidRPr="00883399" w:rsidRDefault="007261F7" w:rsidP="00A527B9">
      <w:pPr>
        <w:pStyle w:val="TableNote"/>
        <w:spacing w:after="0"/>
        <w:rPr>
          <w:rFonts w:ascii="Times New Roman" w:hAnsi="Times New Roman" w:cs="Times New Roman"/>
          <w:sz w:val="24"/>
          <w:szCs w:val="24"/>
        </w:rPr>
      </w:pPr>
    </w:p>
    <w:p w14:paraId="26B17FF5"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10780 Stationary source emissions – Measurement of velocity and volume of gas streams in ducts, 1994. (s3.10)</w:t>
      </w:r>
    </w:p>
    <w:p w14:paraId="02869A72" w14:textId="77777777" w:rsidR="007261F7" w:rsidRPr="00883399" w:rsidRDefault="007261F7" w:rsidP="00A527B9">
      <w:pPr>
        <w:pStyle w:val="TableNote"/>
        <w:spacing w:after="0"/>
        <w:rPr>
          <w:rFonts w:ascii="Times New Roman" w:hAnsi="Times New Roman" w:cs="Times New Roman"/>
          <w:sz w:val="24"/>
          <w:szCs w:val="24"/>
        </w:rPr>
      </w:pPr>
    </w:p>
    <w:p w14:paraId="00DFC2FC"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14164 Stationary source emissions – Determination of the volume flowrate of gas streams in ducts – Automated method, 1999. (s3.10)</w:t>
      </w:r>
    </w:p>
    <w:p w14:paraId="2348008A" w14:textId="77777777" w:rsidR="007261F7" w:rsidRPr="00883399" w:rsidRDefault="007261F7" w:rsidP="00A527B9">
      <w:pPr>
        <w:pStyle w:val="TableNote"/>
        <w:spacing w:after="0"/>
        <w:rPr>
          <w:rFonts w:ascii="Times New Roman" w:hAnsi="Times New Roman" w:cs="Times New Roman"/>
          <w:sz w:val="24"/>
          <w:szCs w:val="24"/>
        </w:rPr>
      </w:pPr>
    </w:p>
    <w:p w14:paraId="1C496115"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2519 Guide to the technical evaluation of higher rank coal deposits, 1993. (s3.25)</w:t>
      </w:r>
    </w:p>
    <w:p w14:paraId="461E16BE" w14:textId="77777777" w:rsidR="007261F7" w:rsidRPr="00883399" w:rsidRDefault="007261F7" w:rsidP="00A527B9">
      <w:pPr>
        <w:pStyle w:val="TableNote"/>
        <w:spacing w:after="0"/>
        <w:rPr>
          <w:rFonts w:ascii="Times New Roman" w:hAnsi="Times New Roman" w:cs="Times New Roman"/>
          <w:sz w:val="24"/>
          <w:szCs w:val="24"/>
        </w:rPr>
      </w:pPr>
    </w:p>
    <w:p w14:paraId="0B5B4A62" w14:textId="77777777" w:rsidR="007261F7" w:rsidRPr="00883399" w:rsidRDefault="007261F7" w:rsidP="00A527B9">
      <w:pPr>
        <w:pStyle w:val="TableNote"/>
        <w:spacing w:after="0"/>
        <w:outlineLvl w:val="0"/>
        <w:rPr>
          <w:rFonts w:ascii="Times New Roman" w:hAnsi="Times New Roman" w:cs="Times New Roman"/>
          <w:sz w:val="24"/>
          <w:szCs w:val="24"/>
        </w:rPr>
      </w:pPr>
      <w:r w:rsidRPr="00883399">
        <w:rPr>
          <w:rFonts w:ascii="Times New Roman" w:hAnsi="Times New Roman" w:cs="Times New Roman"/>
          <w:sz w:val="24"/>
          <w:szCs w:val="24"/>
        </w:rPr>
        <w:t>Standards Australia, AS 2617 Sampling from coal seams, 1996. (s3.26)</w:t>
      </w:r>
    </w:p>
    <w:p w14:paraId="48415B2E" w14:textId="77777777" w:rsidR="007261F7" w:rsidRPr="00883399" w:rsidRDefault="007261F7" w:rsidP="00A527B9">
      <w:pPr>
        <w:pStyle w:val="TableNote"/>
        <w:spacing w:after="0"/>
        <w:rPr>
          <w:rFonts w:ascii="Times New Roman" w:hAnsi="Times New Roman" w:cs="Times New Roman"/>
          <w:sz w:val="24"/>
          <w:szCs w:val="24"/>
        </w:rPr>
      </w:pPr>
    </w:p>
    <w:p w14:paraId="0E53DBCA"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3980 Guide to the determination of gas content of coal – Direct desorption method, 1999. (s3.25)</w:t>
      </w:r>
    </w:p>
    <w:p w14:paraId="42239353" w14:textId="77777777" w:rsidR="007261F7" w:rsidRPr="00883399" w:rsidRDefault="007261F7" w:rsidP="00A527B9">
      <w:pPr>
        <w:pStyle w:val="TableNote"/>
        <w:spacing w:after="0"/>
        <w:rPr>
          <w:rFonts w:ascii="Times New Roman" w:hAnsi="Times New Roman" w:cs="Times New Roman"/>
          <w:sz w:val="24"/>
          <w:szCs w:val="24"/>
        </w:rPr>
      </w:pPr>
    </w:p>
    <w:p w14:paraId="69D7A0CE"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4323.1 Stationary source emissions – Selection of sampling positions, 1995. (s3.9)</w:t>
      </w:r>
    </w:p>
    <w:p w14:paraId="1040EDE2" w14:textId="77777777" w:rsidR="007261F7" w:rsidRPr="00883399" w:rsidRDefault="007261F7" w:rsidP="00A527B9">
      <w:pPr>
        <w:pStyle w:val="TableNote"/>
        <w:spacing w:after="0"/>
        <w:rPr>
          <w:rFonts w:ascii="Times New Roman" w:hAnsi="Times New Roman" w:cs="Times New Roman"/>
          <w:sz w:val="24"/>
          <w:szCs w:val="24"/>
        </w:rPr>
      </w:pPr>
    </w:p>
    <w:p w14:paraId="25F2B1EC"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4323[1].1 Amdt 1 Stationary source emissions – Selection of sampling positions, 1995. (s3.9)</w:t>
      </w:r>
    </w:p>
    <w:p w14:paraId="6AA074C3" w14:textId="77777777" w:rsidR="007261F7" w:rsidRPr="00883399" w:rsidRDefault="007261F7" w:rsidP="00A527B9">
      <w:pPr>
        <w:pStyle w:val="TableNote"/>
        <w:spacing w:after="0"/>
        <w:rPr>
          <w:rFonts w:ascii="Times New Roman" w:hAnsi="Times New Roman" w:cs="Times New Roman"/>
          <w:sz w:val="24"/>
          <w:szCs w:val="24"/>
        </w:rPr>
      </w:pPr>
    </w:p>
    <w:p w14:paraId="28AC485D"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U.S. Environmental Protection Agency. 2003. Code of Federal Regulations: Standards of Performance for New Stationary Sources. Appendix A – Test Methods. 40 CFR 60 Appendix A. Washington, D.C. (s1.20)</w:t>
      </w:r>
    </w:p>
    <w:p w14:paraId="7460E45C" w14:textId="77777777" w:rsidR="007261F7" w:rsidRPr="00883399" w:rsidRDefault="007261F7" w:rsidP="00A527B9">
      <w:pPr>
        <w:pStyle w:val="TableNote"/>
        <w:spacing w:after="0"/>
        <w:rPr>
          <w:rFonts w:ascii="Times New Roman" w:hAnsi="Times New Roman" w:cs="Times New Roman"/>
          <w:sz w:val="24"/>
          <w:szCs w:val="24"/>
        </w:rPr>
      </w:pPr>
    </w:p>
    <w:p w14:paraId="44258FB0"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b/>
      </w:r>
      <w:r w:rsidRPr="00883399">
        <w:rPr>
          <w:rFonts w:ascii="Times New Roman" w:hAnsi="Times New Roman" w:cs="Times New Roman"/>
          <w:sz w:val="24"/>
          <w:szCs w:val="24"/>
        </w:rPr>
        <w:tab/>
        <w:t>– Method 1 – Sample and velocity traverses for stationary sources. (s1.23)</w:t>
      </w:r>
    </w:p>
    <w:p w14:paraId="70062CEC" w14:textId="77777777" w:rsidR="007261F7" w:rsidRPr="00883399" w:rsidRDefault="007261F7" w:rsidP="00A527B9">
      <w:pPr>
        <w:pStyle w:val="TableNote"/>
        <w:spacing w:after="0"/>
        <w:rPr>
          <w:rFonts w:ascii="Times New Roman" w:hAnsi="Times New Roman" w:cs="Times New Roman"/>
          <w:sz w:val="24"/>
          <w:szCs w:val="24"/>
        </w:rPr>
      </w:pPr>
    </w:p>
    <w:p w14:paraId="37F65FB5" w14:textId="77777777" w:rsidR="007261F7" w:rsidRPr="00883399" w:rsidRDefault="007261F7" w:rsidP="00A527B9">
      <w:pPr>
        <w:pStyle w:val="TableNote"/>
        <w:spacing w:after="0"/>
        <w:ind w:left="720"/>
        <w:rPr>
          <w:rFonts w:ascii="Times New Roman" w:hAnsi="Times New Roman" w:cs="Times New Roman"/>
          <w:sz w:val="24"/>
          <w:szCs w:val="24"/>
        </w:rPr>
      </w:pPr>
      <w:r w:rsidRPr="00883399">
        <w:rPr>
          <w:rFonts w:ascii="Times New Roman" w:hAnsi="Times New Roman" w:cs="Times New Roman"/>
          <w:sz w:val="24"/>
          <w:szCs w:val="24"/>
        </w:rPr>
        <w:t>– Method 2 – Determination of stack velocity and volumetric flow rate (Type S Pitot tube) (2000). (s3.10)</w:t>
      </w:r>
    </w:p>
    <w:p w14:paraId="01C273E8" w14:textId="77777777" w:rsidR="007261F7" w:rsidRPr="00883399" w:rsidRDefault="007261F7" w:rsidP="00A527B9">
      <w:pPr>
        <w:pStyle w:val="TableNote"/>
        <w:spacing w:after="0"/>
        <w:rPr>
          <w:rFonts w:ascii="Times New Roman" w:hAnsi="Times New Roman" w:cs="Times New Roman"/>
          <w:sz w:val="24"/>
          <w:szCs w:val="24"/>
        </w:rPr>
      </w:pPr>
    </w:p>
    <w:p w14:paraId="1BE533E5" w14:textId="77777777" w:rsidR="007261F7" w:rsidRPr="00883399" w:rsidRDefault="007261F7" w:rsidP="00A527B9">
      <w:pPr>
        <w:pStyle w:val="TableNote"/>
        <w:spacing w:after="0"/>
        <w:ind w:left="720"/>
        <w:rPr>
          <w:rFonts w:ascii="Times New Roman" w:hAnsi="Times New Roman" w:cs="Times New Roman"/>
          <w:sz w:val="24"/>
          <w:szCs w:val="24"/>
        </w:rPr>
      </w:pPr>
      <w:r w:rsidRPr="00883399">
        <w:rPr>
          <w:rFonts w:ascii="Times New Roman" w:hAnsi="Times New Roman" w:cs="Times New Roman"/>
          <w:sz w:val="24"/>
          <w:szCs w:val="24"/>
        </w:rPr>
        <w:t>– Method – 02A Direct measurement of gas volume through pipes and small ducts (2000). (s3.10)</w:t>
      </w:r>
    </w:p>
    <w:p w14:paraId="43049CE7" w14:textId="77777777" w:rsidR="007261F7" w:rsidRPr="00883399" w:rsidRDefault="007261F7" w:rsidP="00A527B9">
      <w:pPr>
        <w:pStyle w:val="TableNote"/>
        <w:spacing w:after="0"/>
        <w:rPr>
          <w:rFonts w:ascii="Times New Roman" w:hAnsi="Times New Roman" w:cs="Times New Roman"/>
          <w:sz w:val="24"/>
          <w:szCs w:val="24"/>
        </w:rPr>
      </w:pPr>
    </w:p>
    <w:p w14:paraId="23042A0E" w14:textId="77777777" w:rsidR="007261F7" w:rsidRPr="00883399" w:rsidRDefault="007261F7" w:rsidP="00A527B9">
      <w:pPr>
        <w:pStyle w:val="TableNote"/>
        <w:spacing w:after="0"/>
        <w:ind w:left="720"/>
        <w:rPr>
          <w:rFonts w:ascii="Times New Roman" w:hAnsi="Times New Roman" w:cs="Times New Roman"/>
          <w:sz w:val="24"/>
          <w:szCs w:val="24"/>
        </w:rPr>
      </w:pPr>
      <w:r w:rsidRPr="00883399">
        <w:rPr>
          <w:rFonts w:ascii="Times New Roman" w:hAnsi="Times New Roman" w:cs="Times New Roman"/>
          <w:sz w:val="24"/>
          <w:szCs w:val="24"/>
        </w:rPr>
        <w:t>– Method – 03C Determination of carbon dioxide, methane, nitrogen and oxygen from stationary sources (1996). (s3.11)</w:t>
      </w:r>
    </w:p>
    <w:p w14:paraId="71CE1048" w14:textId="77777777" w:rsidR="005E099C" w:rsidRPr="00883399" w:rsidRDefault="005E099C" w:rsidP="00A527B9">
      <w:pPr>
        <w:pStyle w:val="TableNote"/>
        <w:spacing w:after="0"/>
        <w:rPr>
          <w:rFonts w:ascii="Times New Roman" w:hAnsi="Times New Roman" w:cs="Times New Roman"/>
          <w:sz w:val="24"/>
          <w:szCs w:val="24"/>
        </w:rPr>
      </w:pPr>
    </w:p>
    <w:p w14:paraId="09539903" w14:textId="77777777" w:rsidR="007261F7" w:rsidRPr="00883399" w:rsidRDefault="007261F7" w:rsidP="00A527B9">
      <w:pPr>
        <w:pStyle w:val="TableNote"/>
        <w:spacing w:after="0"/>
        <w:outlineLvl w:val="0"/>
        <w:rPr>
          <w:rFonts w:ascii="Times New Roman" w:hAnsi="Times New Roman" w:cs="Times New Roman"/>
          <w:b/>
          <w:sz w:val="24"/>
          <w:szCs w:val="24"/>
        </w:rPr>
      </w:pPr>
      <w:r w:rsidRPr="00883399">
        <w:rPr>
          <w:rFonts w:ascii="Times New Roman" w:hAnsi="Times New Roman" w:cs="Times New Roman"/>
          <w:b/>
          <w:sz w:val="24"/>
          <w:szCs w:val="24"/>
        </w:rPr>
        <w:t xml:space="preserve">Chapter 4 Industrial Processes Emissions </w:t>
      </w:r>
    </w:p>
    <w:p w14:paraId="6721CF7F" w14:textId="77777777" w:rsidR="001E36F1" w:rsidRPr="00883399" w:rsidRDefault="001E36F1" w:rsidP="00A527B9">
      <w:pPr>
        <w:pStyle w:val="TableNote"/>
        <w:spacing w:after="0"/>
        <w:rPr>
          <w:rFonts w:ascii="Times New Roman" w:hAnsi="Times New Roman" w:cs="Times New Roman"/>
          <w:sz w:val="24"/>
          <w:szCs w:val="24"/>
        </w:rPr>
      </w:pPr>
    </w:p>
    <w:p w14:paraId="172218F3" w14:textId="77777777" w:rsidR="001E36F1" w:rsidRPr="00883399" w:rsidRDefault="001E36F1"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ASTM International, ASTM C25-06, Standard Test Methods for Chemical Analysis of Limestone, Quicklime, and Hydrated Lime. (ss4.15 (1))</w:t>
      </w:r>
    </w:p>
    <w:p w14:paraId="1223E5A4" w14:textId="77777777" w:rsidR="001E36F1" w:rsidRPr="00883399" w:rsidRDefault="001E36F1" w:rsidP="00A527B9">
      <w:pPr>
        <w:pStyle w:val="TableNote"/>
        <w:spacing w:after="0"/>
        <w:rPr>
          <w:rFonts w:ascii="Times New Roman" w:hAnsi="Times New Roman" w:cs="Times New Roman"/>
          <w:sz w:val="24"/>
          <w:szCs w:val="24"/>
        </w:rPr>
      </w:pPr>
    </w:p>
    <w:p w14:paraId="062D835F" w14:textId="77777777" w:rsidR="001E36F1" w:rsidRPr="00883399" w:rsidRDefault="001E36F1"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ASTM International, ASTM C50-00 (2006), Standard Practice for Sampling, Sample Preparation, Packaging, and Marking of Lime and Limestone Products. (ss4.15 (1))</w:t>
      </w:r>
    </w:p>
    <w:p w14:paraId="1B158F3B" w14:textId="77777777" w:rsidR="001E36F1" w:rsidRPr="00883399" w:rsidRDefault="001E36F1" w:rsidP="00A527B9">
      <w:pPr>
        <w:pStyle w:val="TableNote"/>
        <w:spacing w:after="0"/>
        <w:rPr>
          <w:rFonts w:ascii="Times New Roman" w:hAnsi="Times New Roman" w:cs="Times New Roman"/>
          <w:sz w:val="24"/>
          <w:szCs w:val="24"/>
        </w:rPr>
      </w:pPr>
    </w:p>
    <w:p w14:paraId="25249B5C" w14:textId="3ABC4ED2" w:rsidR="005F7F08" w:rsidRPr="00883399" w:rsidRDefault="00C91E15" w:rsidP="00A527B9">
      <w:pPr>
        <w:pStyle w:val="TableNote"/>
        <w:spacing w:after="0"/>
        <w:outlineLvl w:val="0"/>
        <w:rPr>
          <w:rFonts w:ascii="Times New Roman" w:hAnsi="Times New Roman" w:cs="Times New Roman"/>
          <w:sz w:val="24"/>
          <w:szCs w:val="24"/>
        </w:rPr>
      </w:pPr>
      <w:r w:rsidRPr="00883399">
        <w:rPr>
          <w:rFonts w:ascii="Times New Roman" w:hAnsi="Times New Roman" w:cs="Times New Roman"/>
          <w:sz w:val="24"/>
          <w:szCs w:val="24"/>
        </w:rPr>
        <w:t>Department o</w:t>
      </w:r>
      <w:r w:rsidR="00B771BC" w:rsidRPr="00883399">
        <w:rPr>
          <w:rFonts w:ascii="Times New Roman" w:hAnsi="Times New Roman" w:cs="Times New Roman"/>
          <w:sz w:val="24"/>
          <w:szCs w:val="24"/>
        </w:rPr>
        <w:t>f</w:t>
      </w:r>
      <w:r w:rsidRPr="00883399">
        <w:rPr>
          <w:rFonts w:ascii="Times New Roman" w:hAnsi="Times New Roman" w:cs="Times New Roman"/>
          <w:sz w:val="24"/>
          <w:szCs w:val="24"/>
        </w:rPr>
        <w:t xml:space="preserve"> the Environment</w:t>
      </w:r>
      <w:r w:rsidR="00F8313C">
        <w:rPr>
          <w:rFonts w:ascii="Times New Roman" w:hAnsi="Times New Roman" w:cs="Times New Roman"/>
          <w:sz w:val="24"/>
          <w:szCs w:val="24"/>
        </w:rPr>
        <w:t xml:space="preserve"> and Energy</w:t>
      </w:r>
      <w:r w:rsidR="005F7F08" w:rsidRPr="00883399">
        <w:rPr>
          <w:rFonts w:ascii="Times New Roman" w:hAnsi="Times New Roman" w:cs="Times New Roman"/>
          <w:sz w:val="24"/>
          <w:szCs w:val="24"/>
        </w:rPr>
        <w:t>, National Inventory Report, 20</w:t>
      </w:r>
      <w:r w:rsidR="002C770B" w:rsidRPr="00883399">
        <w:rPr>
          <w:rFonts w:ascii="Times New Roman" w:hAnsi="Times New Roman" w:cs="Times New Roman"/>
          <w:sz w:val="24"/>
          <w:szCs w:val="24"/>
        </w:rPr>
        <w:t>1</w:t>
      </w:r>
      <w:r w:rsidR="009D3717" w:rsidRPr="00883399">
        <w:rPr>
          <w:rFonts w:ascii="Times New Roman" w:hAnsi="Times New Roman" w:cs="Times New Roman"/>
          <w:sz w:val="24"/>
          <w:szCs w:val="24"/>
        </w:rPr>
        <w:t>5</w:t>
      </w:r>
      <w:r w:rsidR="005F7F08" w:rsidRPr="00883399">
        <w:rPr>
          <w:rFonts w:ascii="Times New Roman" w:hAnsi="Times New Roman" w:cs="Times New Roman"/>
          <w:sz w:val="24"/>
          <w:szCs w:val="24"/>
        </w:rPr>
        <w:t>. (ss4.4, 4.13)</w:t>
      </w:r>
    </w:p>
    <w:p w14:paraId="0868D27F" w14:textId="77777777" w:rsidR="005F7F08" w:rsidRPr="00883399" w:rsidRDefault="005F7F08" w:rsidP="00A527B9">
      <w:pPr>
        <w:pStyle w:val="TableNote"/>
        <w:spacing w:after="0"/>
        <w:rPr>
          <w:rFonts w:ascii="Times New Roman" w:hAnsi="Times New Roman" w:cs="Times New Roman"/>
          <w:sz w:val="24"/>
          <w:szCs w:val="24"/>
        </w:rPr>
      </w:pPr>
    </w:p>
    <w:p w14:paraId="385FFCD9" w14:textId="77777777" w:rsidR="00A34A43" w:rsidRPr="00883399" w:rsidRDefault="00A34A43"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Energy Networks Australia, ENA Industry Guideline for SF</w:t>
      </w:r>
      <w:r w:rsidRPr="00883399">
        <w:rPr>
          <w:rFonts w:ascii="Times New Roman" w:hAnsi="Times New Roman" w:cs="Times New Roman"/>
          <w:sz w:val="24"/>
          <w:szCs w:val="24"/>
          <w:vertAlign w:val="subscript"/>
        </w:rPr>
        <w:t>6</w:t>
      </w:r>
      <w:r w:rsidRPr="00883399">
        <w:rPr>
          <w:rFonts w:ascii="Times New Roman" w:hAnsi="Times New Roman" w:cs="Times New Roman"/>
          <w:sz w:val="24"/>
          <w:szCs w:val="24"/>
        </w:rPr>
        <w:t xml:space="preserve"> Management, 2008</w:t>
      </w:r>
      <w:r w:rsidR="00DF030E" w:rsidRPr="00883399">
        <w:rPr>
          <w:rFonts w:ascii="Times New Roman" w:hAnsi="Times New Roman" w:cs="Times New Roman"/>
          <w:sz w:val="24"/>
          <w:szCs w:val="24"/>
        </w:rPr>
        <w:t>. (ss4.103)</w:t>
      </w:r>
    </w:p>
    <w:p w14:paraId="5573D8D6" w14:textId="77777777" w:rsidR="00A34A43" w:rsidRPr="00883399" w:rsidRDefault="00A34A43" w:rsidP="00A527B9">
      <w:pPr>
        <w:pStyle w:val="TableNote"/>
        <w:spacing w:after="0"/>
        <w:rPr>
          <w:rFonts w:ascii="Times New Roman" w:hAnsi="Times New Roman" w:cs="Times New Roman"/>
          <w:sz w:val="24"/>
          <w:szCs w:val="24"/>
        </w:rPr>
      </w:pPr>
    </w:p>
    <w:p w14:paraId="585278EF"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IPCC 2006, 2006 IPCC Guidelines for National Greenhouse Gas Inventories, Volume 3 Industrial process and product use. Prepared by the National Greenhouse Gas Inventories Programme, Eggleston H.S., Buendia L., Miwa K., Ngara T., and Tanabe K. (eds). Published: IGES, Japan. (ss4.7 (2))</w:t>
      </w:r>
    </w:p>
    <w:p w14:paraId="6EF657F1" w14:textId="77777777" w:rsidR="007261F7" w:rsidRPr="00883399" w:rsidRDefault="007261F7" w:rsidP="00A527B9">
      <w:pPr>
        <w:pStyle w:val="TableNote"/>
        <w:spacing w:after="0"/>
        <w:rPr>
          <w:rFonts w:ascii="Times New Roman" w:hAnsi="Times New Roman" w:cs="Times New Roman"/>
          <w:sz w:val="24"/>
          <w:szCs w:val="24"/>
        </w:rPr>
      </w:pPr>
    </w:p>
    <w:p w14:paraId="7B98A0B3"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4264.4 Coal and coke – Sampling – Determination of precision and bias, 1996. (ss4.15 (4))</w:t>
      </w:r>
    </w:p>
    <w:p w14:paraId="2959DF73" w14:textId="77777777" w:rsidR="001E36F1" w:rsidRPr="00883399" w:rsidRDefault="001E36F1" w:rsidP="00A527B9">
      <w:pPr>
        <w:pStyle w:val="TableNote"/>
        <w:spacing w:after="0"/>
        <w:rPr>
          <w:rFonts w:ascii="Times New Roman" w:hAnsi="Times New Roman" w:cs="Times New Roman"/>
          <w:sz w:val="24"/>
          <w:szCs w:val="24"/>
        </w:rPr>
      </w:pPr>
    </w:p>
    <w:p w14:paraId="77DE1252" w14:textId="77777777" w:rsidR="007261F7" w:rsidRPr="00883399" w:rsidRDefault="001E36F1"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4489.0–1997 Test methods for limes and limestones — General introduction and list of methods. (ss4.15 (1))</w:t>
      </w:r>
    </w:p>
    <w:p w14:paraId="1D71C1F0" w14:textId="77777777" w:rsidR="001E36F1" w:rsidRPr="00883399" w:rsidRDefault="001E36F1" w:rsidP="00A527B9">
      <w:pPr>
        <w:pStyle w:val="TableNote"/>
        <w:spacing w:after="0"/>
        <w:rPr>
          <w:rFonts w:ascii="Times New Roman" w:hAnsi="Times New Roman" w:cs="Times New Roman"/>
          <w:sz w:val="24"/>
          <w:szCs w:val="24"/>
        </w:rPr>
      </w:pPr>
    </w:p>
    <w:p w14:paraId="3029C844"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US EPA, International Aluminium Institute (2003), Protocol for Measurement of Tetrafluoromethane (CF4) and Hexafluoroethane (C2F6) Emissions from Primary Aluminium Production. (s4.86)</w:t>
      </w:r>
    </w:p>
    <w:p w14:paraId="4DF49565" w14:textId="77777777" w:rsidR="007261F7" w:rsidRPr="00883399" w:rsidRDefault="007261F7" w:rsidP="00A527B9">
      <w:pPr>
        <w:pStyle w:val="TableNote"/>
        <w:spacing w:after="0"/>
        <w:rPr>
          <w:rFonts w:ascii="Times New Roman" w:hAnsi="Times New Roman" w:cs="Times New Roman"/>
          <w:sz w:val="24"/>
          <w:szCs w:val="24"/>
        </w:rPr>
      </w:pPr>
    </w:p>
    <w:p w14:paraId="6528AC2C" w14:textId="77777777" w:rsidR="00F8313C" w:rsidRDefault="00F8313C" w:rsidP="00A527B9">
      <w:pPr>
        <w:pStyle w:val="TableNote"/>
        <w:spacing w:after="0"/>
        <w:outlineLvl w:val="0"/>
        <w:rPr>
          <w:rFonts w:ascii="Times New Roman" w:hAnsi="Times New Roman" w:cs="Times New Roman"/>
          <w:b/>
          <w:sz w:val="24"/>
          <w:szCs w:val="24"/>
        </w:rPr>
      </w:pPr>
    </w:p>
    <w:p w14:paraId="649E3731" w14:textId="77777777" w:rsidR="00F8313C" w:rsidRDefault="00F8313C" w:rsidP="00A527B9">
      <w:pPr>
        <w:pStyle w:val="TableNote"/>
        <w:spacing w:after="0"/>
        <w:outlineLvl w:val="0"/>
        <w:rPr>
          <w:rFonts w:ascii="Times New Roman" w:hAnsi="Times New Roman" w:cs="Times New Roman"/>
          <w:b/>
          <w:sz w:val="24"/>
          <w:szCs w:val="24"/>
        </w:rPr>
      </w:pPr>
    </w:p>
    <w:p w14:paraId="3B14227A" w14:textId="77777777" w:rsidR="007261F7" w:rsidRPr="00883399" w:rsidRDefault="007261F7" w:rsidP="00A527B9">
      <w:pPr>
        <w:pStyle w:val="TableNote"/>
        <w:spacing w:after="0"/>
        <w:outlineLvl w:val="0"/>
        <w:rPr>
          <w:rFonts w:ascii="Times New Roman" w:hAnsi="Times New Roman" w:cs="Times New Roman"/>
          <w:sz w:val="24"/>
          <w:szCs w:val="24"/>
        </w:rPr>
      </w:pPr>
      <w:r w:rsidRPr="00883399">
        <w:rPr>
          <w:rFonts w:ascii="Times New Roman" w:hAnsi="Times New Roman" w:cs="Times New Roman"/>
          <w:b/>
          <w:sz w:val="24"/>
          <w:szCs w:val="24"/>
        </w:rPr>
        <w:t xml:space="preserve">Chapter 5 Waste </w:t>
      </w:r>
    </w:p>
    <w:p w14:paraId="0E7B738C" w14:textId="77777777" w:rsidR="007261F7" w:rsidRPr="00883399" w:rsidRDefault="007261F7" w:rsidP="00A527B9">
      <w:pPr>
        <w:pStyle w:val="TableNote"/>
        <w:spacing w:after="0"/>
        <w:rPr>
          <w:rFonts w:ascii="Times New Roman" w:hAnsi="Times New Roman" w:cs="Times New Roman"/>
          <w:sz w:val="24"/>
          <w:szCs w:val="24"/>
        </w:rPr>
      </w:pPr>
    </w:p>
    <w:p w14:paraId="310C7171"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American Public Health Association, 1995. Standard methods for the examination of water and waste water. 19th Edition, American Public Health Association, USA.</w:t>
      </w:r>
    </w:p>
    <w:p w14:paraId="4568BCA4"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b/>
      </w:r>
      <w:r w:rsidRPr="00883399">
        <w:rPr>
          <w:rFonts w:ascii="Times New Roman" w:hAnsi="Times New Roman" w:cs="Times New Roman"/>
          <w:sz w:val="24"/>
          <w:szCs w:val="24"/>
        </w:rPr>
        <w:tab/>
        <w:t>– Section 4500-Norg B</w:t>
      </w:r>
    </w:p>
    <w:p w14:paraId="5E19A915"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b/>
      </w:r>
      <w:r w:rsidRPr="00883399">
        <w:rPr>
          <w:rFonts w:ascii="Times New Roman" w:hAnsi="Times New Roman" w:cs="Times New Roman"/>
          <w:sz w:val="24"/>
          <w:szCs w:val="24"/>
        </w:rPr>
        <w:tab/>
        <w:t>– Section 4500-Norg C</w:t>
      </w:r>
    </w:p>
    <w:p w14:paraId="19786BBD"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b/>
      </w:r>
      <w:r w:rsidRPr="00883399">
        <w:rPr>
          <w:rFonts w:ascii="Times New Roman" w:hAnsi="Times New Roman" w:cs="Times New Roman"/>
          <w:sz w:val="24"/>
          <w:szCs w:val="24"/>
        </w:rPr>
        <w:tab/>
        <w:t>– Section 4500-Norg D</w:t>
      </w:r>
    </w:p>
    <w:p w14:paraId="3BC9F4B9"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b/>
      </w:r>
      <w:r w:rsidRPr="00883399">
        <w:rPr>
          <w:rFonts w:ascii="Times New Roman" w:hAnsi="Times New Roman" w:cs="Times New Roman"/>
          <w:sz w:val="24"/>
          <w:szCs w:val="24"/>
        </w:rPr>
        <w:tab/>
        <w:t>– Section 5210 B</w:t>
      </w:r>
    </w:p>
    <w:p w14:paraId="4DBE267D"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b/>
      </w:r>
      <w:r w:rsidRPr="00883399">
        <w:rPr>
          <w:rFonts w:ascii="Times New Roman" w:hAnsi="Times New Roman" w:cs="Times New Roman"/>
          <w:sz w:val="24"/>
          <w:szCs w:val="24"/>
        </w:rPr>
        <w:tab/>
        <w:t>– Section 5220 B</w:t>
      </w:r>
    </w:p>
    <w:p w14:paraId="12D7559E"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b/>
      </w:r>
      <w:r w:rsidRPr="00883399">
        <w:rPr>
          <w:rFonts w:ascii="Times New Roman" w:hAnsi="Times New Roman" w:cs="Times New Roman"/>
          <w:sz w:val="24"/>
          <w:szCs w:val="24"/>
        </w:rPr>
        <w:tab/>
        <w:t>– Section 5220 C</w:t>
      </w:r>
    </w:p>
    <w:p w14:paraId="69FC3775"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b/>
      </w:r>
      <w:r w:rsidRPr="00883399">
        <w:rPr>
          <w:rFonts w:ascii="Times New Roman" w:hAnsi="Times New Roman" w:cs="Times New Roman"/>
          <w:sz w:val="24"/>
          <w:szCs w:val="24"/>
        </w:rPr>
        <w:tab/>
        <w:t>– Section 5220 D</w:t>
      </w:r>
    </w:p>
    <w:p w14:paraId="0BE87207" w14:textId="77777777" w:rsidR="007261F7" w:rsidRPr="00883399" w:rsidRDefault="007261F7" w:rsidP="00A527B9">
      <w:pPr>
        <w:pStyle w:val="TableNote"/>
        <w:spacing w:after="0"/>
        <w:rPr>
          <w:rFonts w:ascii="Times New Roman" w:hAnsi="Times New Roman" w:cs="Times New Roman"/>
          <w:sz w:val="24"/>
          <w:szCs w:val="24"/>
        </w:rPr>
      </w:pPr>
    </w:p>
    <w:p w14:paraId="6F6B26F2" w14:textId="77777777" w:rsidR="00A04FBE" w:rsidRPr="00883399" w:rsidRDefault="00A04FBE" w:rsidP="00A527B9">
      <w:pPr>
        <w:spacing w:after="0"/>
      </w:pPr>
      <w:r w:rsidRPr="00883399">
        <w:t>American Society for Testing and Materials, ASTM 5231-92 Standard Test Method for Determination of the Composition of Unprocessed Municipal Solid Waste, 2008. (ss5.11 (2))</w:t>
      </w:r>
    </w:p>
    <w:p w14:paraId="7CC1F8CA" w14:textId="77777777" w:rsidR="00265C83" w:rsidRPr="00883399" w:rsidRDefault="00265C83" w:rsidP="00A527B9">
      <w:pPr>
        <w:pStyle w:val="TableNote"/>
        <w:tabs>
          <w:tab w:val="clear" w:pos="180"/>
          <w:tab w:val="left" w:pos="1320"/>
        </w:tabs>
        <w:spacing w:after="0"/>
        <w:rPr>
          <w:rFonts w:ascii="Times New Roman" w:hAnsi="Times New Roman" w:cs="Times New Roman"/>
          <w:sz w:val="24"/>
          <w:szCs w:val="24"/>
        </w:rPr>
      </w:pPr>
    </w:p>
    <w:p w14:paraId="3872465C" w14:textId="77777777" w:rsidR="00265C83" w:rsidRPr="00883399" w:rsidRDefault="00265C83" w:rsidP="00A527B9">
      <w:pPr>
        <w:pStyle w:val="TableNote"/>
        <w:tabs>
          <w:tab w:val="clear" w:pos="180"/>
          <w:tab w:val="left" w:pos="1320"/>
        </w:tabs>
        <w:spacing w:after="0"/>
        <w:rPr>
          <w:rFonts w:ascii="Times New Roman" w:hAnsi="Times New Roman" w:cs="Times New Roman"/>
          <w:sz w:val="24"/>
          <w:szCs w:val="24"/>
        </w:rPr>
      </w:pPr>
      <w:r w:rsidRPr="00883399">
        <w:rPr>
          <w:rFonts w:ascii="Times New Roman" w:hAnsi="Times New Roman" w:cs="Times New Roman"/>
          <w:sz w:val="24"/>
          <w:szCs w:val="24"/>
        </w:rPr>
        <w:t>Bureau of Meteorology</w:t>
      </w:r>
      <w:r w:rsidR="00A7239F" w:rsidRPr="00883399">
        <w:rPr>
          <w:rFonts w:ascii="Times New Roman" w:hAnsi="Times New Roman" w:cs="Times New Roman"/>
          <w:sz w:val="24"/>
          <w:szCs w:val="24"/>
        </w:rPr>
        <w:t>,</w:t>
      </w:r>
      <w:r w:rsidRPr="00883399">
        <w:rPr>
          <w:rFonts w:ascii="Times New Roman" w:hAnsi="Times New Roman" w:cs="Times New Roman"/>
          <w:sz w:val="24"/>
          <w:szCs w:val="24"/>
        </w:rPr>
        <w:t xml:space="preserve"> Climate statistics for Australian locations</w:t>
      </w:r>
      <w:r w:rsidR="00A7239F" w:rsidRPr="00883399">
        <w:rPr>
          <w:rFonts w:ascii="Times New Roman" w:hAnsi="Times New Roman" w:cs="Times New Roman"/>
          <w:sz w:val="24"/>
          <w:szCs w:val="24"/>
        </w:rPr>
        <w:t>.</w:t>
      </w:r>
      <w:r w:rsidR="005875B3" w:rsidRPr="00883399">
        <w:rPr>
          <w:rFonts w:ascii="Times New Roman" w:hAnsi="Times New Roman" w:cs="Times New Roman"/>
          <w:sz w:val="24"/>
          <w:szCs w:val="24"/>
        </w:rPr>
        <w:t xml:space="preserve"> Available from: </w:t>
      </w:r>
      <w:hyperlink r:id="rId379" w:history="1">
        <w:r w:rsidR="00DA2A26" w:rsidRPr="00883399">
          <w:rPr>
            <w:rStyle w:val="Hyperlink"/>
            <w:rFonts w:ascii="Times New Roman" w:hAnsi="Times New Roman"/>
            <w:sz w:val="24"/>
            <w:szCs w:val="24"/>
          </w:rPr>
          <w:t>http://www.bom.gov.au/climate/cdo/about/about-stats.shtml</w:t>
        </w:r>
      </w:hyperlink>
      <w:r w:rsidR="005875B3" w:rsidRPr="00883399">
        <w:rPr>
          <w:rFonts w:ascii="Times New Roman" w:hAnsi="Times New Roman" w:cs="Times New Roman"/>
          <w:sz w:val="24"/>
          <w:szCs w:val="24"/>
        </w:rPr>
        <w:t>.</w:t>
      </w:r>
    </w:p>
    <w:p w14:paraId="1301FD55" w14:textId="77777777" w:rsidR="00DA2A26" w:rsidRPr="00883399" w:rsidRDefault="00DA2A26" w:rsidP="00A527B9">
      <w:pPr>
        <w:pStyle w:val="TableNote"/>
        <w:tabs>
          <w:tab w:val="clear" w:pos="180"/>
          <w:tab w:val="left" w:pos="1320"/>
        </w:tabs>
        <w:spacing w:after="0"/>
        <w:rPr>
          <w:rFonts w:ascii="Times New Roman" w:hAnsi="Times New Roman" w:cs="Times New Roman"/>
          <w:sz w:val="24"/>
          <w:szCs w:val="24"/>
        </w:rPr>
      </w:pPr>
    </w:p>
    <w:p w14:paraId="4E606B69" w14:textId="77777777" w:rsidR="00DA2A26" w:rsidRPr="00883399" w:rsidRDefault="00DA2A26" w:rsidP="00A527B9">
      <w:pPr>
        <w:pStyle w:val="TableNote"/>
        <w:tabs>
          <w:tab w:val="clear" w:pos="180"/>
          <w:tab w:val="left" w:pos="1320"/>
        </w:tabs>
        <w:spacing w:after="0"/>
        <w:rPr>
          <w:rFonts w:ascii="Times New Roman" w:hAnsi="Times New Roman" w:cs="Times New Roman"/>
          <w:sz w:val="24"/>
          <w:szCs w:val="24"/>
        </w:rPr>
      </w:pPr>
      <w:r w:rsidRPr="00883399">
        <w:rPr>
          <w:rFonts w:ascii="Times New Roman" w:hAnsi="Times New Roman" w:cs="Times New Roman"/>
          <w:sz w:val="24"/>
          <w:szCs w:val="24"/>
        </w:rPr>
        <w:t xml:space="preserve">Bureau of Meteorology, Climate statistics for Australian locations. Available from: </w:t>
      </w:r>
      <w:hyperlink r:id="rId380" w:history="1">
        <w:r w:rsidRPr="00883399">
          <w:rPr>
            <w:rStyle w:val="Hyperlink"/>
            <w:rFonts w:ascii="Times New Roman" w:hAnsi="Times New Roman"/>
            <w:sz w:val="24"/>
            <w:szCs w:val="24"/>
          </w:rPr>
          <w:t>http://www.bom.gov.au/climate/cdo/about/about-stats.shtml</w:t>
        </w:r>
      </w:hyperlink>
    </w:p>
    <w:p w14:paraId="64058A90" w14:textId="77777777" w:rsidR="00265C83" w:rsidRPr="00883399" w:rsidRDefault="00265C83" w:rsidP="00A527B9">
      <w:pPr>
        <w:pStyle w:val="TableNote"/>
        <w:tabs>
          <w:tab w:val="clear" w:pos="180"/>
          <w:tab w:val="left" w:pos="1320"/>
        </w:tabs>
        <w:spacing w:after="0"/>
        <w:rPr>
          <w:rFonts w:ascii="Times New Roman" w:hAnsi="Times New Roman" w:cs="Times New Roman"/>
          <w:sz w:val="24"/>
          <w:szCs w:val="24"/>
        </w:rPr>
      </w:pPr>
    </w:p>
    <w:p w14:paraId="43A193F9" w14:textId="77777777" w:rsidR="00265C83" w:rsidRPr="00883399" w:rsidRDefault="00265C83" w:rsidP="00A527B9">
      <w:pPr>
        <w:pStyle w:val="TableNote"/>
        <w:spacing w:after="0"/>
        <w:rPr>
          <w:rFonts w:ascii="Times New Roman" w:hAnsi="Times New Roman" w:cs="Times New Roman"/>
          <w:color w:val="000000"/>
          <w:sz w:val="24"/>
          <w:szCs w:val="24"/>
        </w:rPr>
      </w:pPr>
      <w:r w:rsidRPr="00883399">
        <w:rPr>
          <w:rFonts w:ascii="Times New Roman" w:hAnsi="Times New Roman" w:cs="Times New Roman"/>
          <w:color w:val="000000"/>
          <w:sz w:val="24"/>
          <w:szCs w:val="24"/>
        </w:rPr>
        <w:t>Environment Agency of the United Kingdom, Guidance on monitoring landfill gas surface emissions, September 2004, (s5.17F, s5.17G, 5.17H, 5.17J</w:t>
      </w:r>
    </w:p>
    <w:p w14:paraId="28B6933F" w14:textId="77777777" w:rsidR="00265C83" w:rsidRPr="00883399" w:rsidRDefault="00265C83" w:rsidP="00A527B9">
      <w:pPr>
        <w:pStyle w:val="TableNote"/>
        <w:spacing w:after="0"/>
        <w:rPr>
          <w:rFonts w:ascii="Times New Roman" w:hAnsi="Times New Roman" w:cs="Times New Roman"/>
          <w:color w:val="000000"/>
          <w:sz w:val="24"/>
          <w:szCs w:val="24"/>
        </w:rPr>
      </w:pPr>
    </w:p>
    <w:p w14:paraId="7F3B9EEA" w14:textId="77777777" w:rsidR="003421E9" w:rsidRPr="00883399" w:rsidRDefault="003421E9" w:rsidP="00A527B9">
      <w:pPr>
        <w:pStyle w:val="TableNote"/>
        <w:spacing w:after="0"/>
        <w:rPr>
          <w:rFonts w:ascii="Times New Roman" w:hAnsi="Times New Roman" w:cs="Times New Roman"/>
          <w:color w:val="000000"/>
          <w:sz w:val="24"/>
          <w:szCs w:val="24"/>
        </w:rPr>
      </w:pPr>
      <w:r w:rsidRPr="00883399">
        <w:rPr>
          <w:rFonts w:ascii="Times New Roman" w:hAnsi="Times New Roman" w:cs="Times New Roman"/>
          <w:color w:val="000000"/>
          <w:sz w:val="24"/>
          <w:szCs w:val="24"/>
        </w:rPr>
        <w:t>Department of Climate Change and Energy Efficiency,  Technical Guidelines for the estimation of greenhouse gas emissions by facilities in Australia, July 201</w:t>
      </w:r>
      <w:r w:rsidR="00B220AE" w:rsidRPr="00883399">
        <w:rPr>
          <w:rFonts w:ascii="Times New Roman" w:hAnsi="Times New Roman" w:cs="Times New Roman"/>
          <w:color w:val="000000"/>
          <w:sz w:val="24"/>
          <w:szCs w:val="24"/>
        </w:rPr>
        <w:t>2</w:t>
      </w:r>
      <w:r w:rsidRPr="00883399">
        <w:rPr>
          <w:rFonts w:ascii="Times New Roman" w:hAnsi="Times New Roman" w:cs="Times New Roman"/>
          <w:color w:val="000000"/>
          <w:sz w:val="24"/>
          <w:szCs w:val="24"/>
        </w:rPr>
        <w:t>. (s5.17)</w:t>
      </w:r>
    </w:p>
    <w:p w14:paraId="2D4C7EB4" w14:textId="77777777" w:rsidR="003421E9" w:rsidRPr="00883399" w:rsidRDefault="003421E9" w:rsidP="00F8313C">
      <w:pPr>
        <w:pStyle w:val="TableNote"/>
        <w:spacing w:after="0"/>
        <w:jc w:val="center"/>
        <w:rPr>
          <w:rFonts w:ascii="Times New Roman" w:hAnsi="Times New Roman" w:cs="Times New Roman"/>
          <w:color w:val="000000"/>
          <w:sz w:val="24"/>
          <w:szCs w:val="24"/>
        </w:rPr>
      </w:pPr>
    </w:p>
    <w:p w14:paraId="6AA5976E"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European Committee for Standardization, EN 13342 Characterization of sludges - Determination of kjeldahl nitrogen, 2000. (ss5.34 (2))</w:t>
      </w:r>
    </w:p>
    <w:p w14:paraId="6DAF4135" w14:textId="77777777" w:rsidR="007261F7" w:rsidRPr="00883399" w:rsidRDefault="007261F7" w:rsidP="00A527B9">
      <w:pPr>
        <w:pStyle w:val="TableNote"/>
        <w:spacing w:after="0"/>
        <w:rPr>
          <w:rFonts w:ascii="Times New Roman" w:hAnsi="Times New Roman" w:cs="Times New Roman"/>
          <w:sz w:val="24"/>
          <w:szCs w:val="24"/>
        </w:rPr>
      </w:pPr>
    </w:p>
    <w:p w14:paraId="77657DD2"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5667-13-1997 Water quality - Sampling - Part 13- Guidance on sampling of sludges from sewage and water treatment works, 1997. (ss5.36 (3))</w:t>
      </w:r>
    </w:p>
    <w:p w14:paraId="0B98CCF7" w14:textId="77777777" w:rsidR="007261F7" w:rsidRPr="00883399" w:rsidRDefault="007261F7" w:rsidP="00A527B9">
      <w:pPr>
        <w:pStyle w:val="TableNote"/>
        <w:spacing w:after="0"/>
        <w:rPr>
          <w:rFonts w:ascii="Times New Roman" w:hAnsi="Times New Roman" w:cs="Times New Roman"/>
          <w:sz w:val="24"/>
          <w:szCs w:val="24"/>
        </w:rPr>
      </w:pPr>
    </w:p>
    <w:p w14:paraId="7FFBD3F4"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6060 Water quality – Determination of the chemical oxygen demand, 1989. (5.28 (1)</w:t>
      </w:r>
    </w:p>
    <w:p w14:paraId="7AFF28A1" w14:textId="77777777" w:rsidR="007261F7" w:rsidRPr="00883399" w:rsidRDefault="007261F7" w:rsidP="00A527B9">
      <w:pPr>
        <w:pStyle w:val="TableNote"/>
        <w:spacing w:after="0"/>
        <w:rPr>
          <w:rFonts w:ascii="Times New Roman" w:hAnsi="Times New Roman" w:cs="Times New Roman"/>
          <w:sz w:val="24"/>
          <w:szCs w:val="24"/>
        </w:rPr>
      </w:pPr>
    </w:p>
    <w:p w14:paraId="29C6A565"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International Organization for Standardization, ISO 11905-1-1997 Water quality - Determination of nitrogen - Part 1- Method using oxidative digestion with peroxodisulfate, 1997. (ss5.34 (1))</w:t>
      </w:r>
    </w:p>
    <w:p w14:paraId="44C3E5BD" w14:textId="77777777" w:rsidR="007261F7" w:rsidRPr="00883399" w:rsidRDefault="007261F7" w:rsidP="00A527B9">
      <w:pPr>
        <w:pStyle w:val="TableNote"/>
        <w:spacing w:after="0"/>
        <w:rPr>
          <w:rFonts w:ascii="Times New Roman" w:hAnsi="Times New Roman" w:cs="Times New Roman"/>
          <w:sz w:val="24"/>
          <w:szCs w:val="24"/>
        </w:rPr>
      </w:pPr>
    </w:p>
    <w:p w14:paraId="2A515988"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Intergovernmental Panel on Climate Change, IPCC Guidelines for National Greenhouse Gas Inventories, Volume 5 Waste. Prepared by the National Greenhouse Gas Inventories Programme. Published: IGES, Japan, 2006. (ss5.4 (5))</w:t>
      </w:r>
    </w:p>
    <w:p w14:paraId="0DE47008" w14:textId="77777777" w:rsidR="007261F7" w:rsidRPr="00883399" w:rsidRDefault="007261F7" w:rsidP="00A527B9">
      <w:pPr>
        <w:pStyle w:val="TableNote"/>
        <w:spacing w:after="0"/>
        <w:rPr>
          <w:rFonts w:ascii="Times New Roman" w:hAnsi="Times New Roman" w:cs="Times New Roman"/>
          <w:sz w:val="24"/>
          <w:szCs w:val="24"/>
        </w:rPr>
      </w:pPr>
    </w:p>
    <w:p w14:paraId="0FAA8A2C" w14:textId="77777777" w:rsidR="003421E9" w:rsidRPr="00883399" w:rsidRDefault="003421E9"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Protection of the Environment Operations (General) Regulation 2009 (NSW). (ss5.31(5))</w:t>
      </w:r>
    </w:p>
    <w:p w14:paraId="1C83745B" w14:textId="77777777" w:rsidR="003421E9" w:rsidRPr="00883399" w:rsidRDefault="003421E9" w:rsidP="00A527B9">
      <w:pPr>
        <w:pStyle w:val="TableNote"/>
        <w:spacing w:after="0"/>
        <w:rPr>
          <w:rFonts w:ascii="Times New Roman" w:hAnsi="Times New Roman" w:cs="Times New Roman"/>
          <w:sz w:val="24"/>
          <w:szCs w:val="24"/>
        </w:rPr>
      </w:pPr>
    </w:p>
    <w:p w14:paraId="7A138DA3"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Intergovernmental Panel on Climate Change, IPCC Good Practice Guidance and Uncertainty Management in National Greenhouse Gas Inventories, Volume 5 Waste. Prepared by the National Greenhouse Gas Inventories Programme. Published: IGES, Japan, 2000. (ss5.15 (2).</w:t>
      </w:r>
    </w:p>
    <w:p w14:paraId="5B2DAA76" w14:textId="77777777" w:rsidR="007261F7" w:rsidRPr="00883399" w:rsidRDefault="007261F7" w:rsidP="00A527B9">
      <w:pPr>
        <w:pStyle w:val="TableNote"/>
        <w:spacing w:after="0"/>
        <w:rPr>
          <w:rFonts w:ascii="Times New Roman" w:hAnsi="Times New Roman" w:cs="Times New Roman"/>
          <w:sz w:val="24"/>
          <w:szCs w:val="24"/>
        </w:rPr>
      </w:pPr>
    </w:p>
    <w:p w14:paraId="01F161A3" w14:textId="77777777" w:rsidR="00265C83" w:rsidRPr="00883399" w:rsidRDefault="00265C83"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 xml:space="preserve">Standards Australia, </w:t>
      </w:r>
      <w:r w:rsidRPr="00883399">
        <w:rPr>
          <w:rStyle w:val="subtitle1"/>
          <w:rFonts w:ascii="Times New Roman" w:hAnsi="Times New Roman"/>
          <w:b w:val="0"/>
          <w:bCs w:val="0"/>
          <w:color w:val="000000"/>
          <w:sz w:val="24"/>
          <w:szCs w:val="24"/>
        </w:rPr>
        <w:t>AS/NZS 4323.4:2009 - Stationary source emissions - Area source sampling - Flux chamber technique, 2009. (s5.17H and s5.17J)</w:t>
      </w:r>
      <w:r w:rsidRPr="00883399">
        <w:rPr>
          <w:rFonts w:ascii="Times New Roman" w:hAnsi="Times New Roman" w:cs="Times New Roman"/>
          <w:sz w:val="24"/>
          <w:szCs w:val="24"/>
        </w:rPr>
        <w:t xml:space="preserve"> </w:t>
      </w:r>
    </w:p>
    <w:p w14:paraId="243B6BDB" w14:textId="77777777" w:rsidR="00265C83" w:rsidRPr="00883399" w:rsidRDefault="00265C83" w:rsidP="00A527B9">
      <w:pPr>
        <w:pStyle w:val="TableNote"/>
        <w:spacing w:after="0"/>
        <w:rPr>
          <w:rFonts w:ascii="Times New Roman" w:hAnsi="Times New Roman" w:cs="Times New Roman"/>
          <w:sz w:val="24"/>
          <w:szCs w:val="24"/>
        </w:rPr>
      </w:pPr>
    </w:p>
    <w:p w14:paraId="16A56889"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 4351.5 Biodegradability – Organic compounds in an aqueous medium – Determination by analysis of biochemical oxygen demand (closed bottle test), 1996. (ss5.28 (2))</w:t>
      </w:r>
    </w:p>
    <w:p w14:paraId="62A80E2F" w14:textId="77777777" w:rsidR="007261F7" w:rsidRPr="00883399" w:rsidRDefault="007261F7" w:rsidP="00A527B9">
      <w:pPr>
        <w:pStyle w:val="TableNote"/>
        <w:spacing w:after="0"/>
        <w:rPr>
          <w:rFonts w:ascii="Times New Roman" w:hAnsi="Times New Roman" w:cs="Times New Roman"/>
          <w:sz w:val="24"/>
          <w:szCs w:val="24"/>
        </w:rPr>
      </w:pPr>
    </w:p>
    <w:p w14:paraId="643506AD"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Standards Australia, AS/NZS 5667.10 Water Quality – Sampling. Part 10: Guidance on sampling of waste waters, 1998. (ss5.30 (2))</w:t>
      </w:r>
    </w:p>
    <w:p w14:paraId="614E0060" w14:textId="77777777" w:rsidR="007261F7" w:rsidRPr="00883399" w:rsidRDefault="007261F7" w:rsidP="00A527B9">
      <w:pPr>
        <w:pStyle w:val="TableNote"/>
        <w:spacing w:after="0"/>
        <w:rPr>
          <w:rFonts w:ascii="Times New Roman" w:hAnsi="Times New Roman" w:cs="Times New Roman"/>
          <w:sz w:val="24"/>
          <w:szCs w:val="24"/>
        </w:rPr>
      </w:pPr>
    </w:p>
    <w:p w14:paraId="08714170"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 xml:space="preserve">U.S. Environmental Protection Agency. 2003. Code of Federal Regulations: Standards of Performance for New Stationary Sources. Appendix A – Test Methods. 40 CFR 60 Appendix A. Washington, D.C. </w:t>
      </w:r>
    </w:p>
    <w:p w14:paraId="7BE82200" w14:textId="77777777" w:rsidR="007261F7" w:rsidRPr="00883399" w:rsidRDefault="007261F7" w:rsidP="00A527B9">
      <w:pPr>
        <w:pStyle w:val="TableNote"/>
        <w:spacing w:after="0"/>
        <w:rPr>
          <w:rFonts w:ascii="Times New Roman" w:hAnsi="Times New Roman" w:cs="Times New Roman"/>
          <w:sz w:val="24"/>
          <w:szCs w:val="24"/>
        </w:rPr>
      </w:pPr>
    </w:p>
    <w:p w14:paraId="136D62AC"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ab/>
      </w:r>
      <w:r w:rsidRPr="00883399">
        <w:rPr>
          <w:rFonts w:ascii="Times New Roman" w:hAnsi="Times New Roman" w:cs="Times New Roman"/>
          <w:sz w:val="24"/>
          <w:szCs w:val="24"/>
        </w:rPr>
        <w:tab/>
        <w:t>– Method 2E – Determination of landfill gas production flow rates (ss5.17 (2))</w:t>
      </w:r>
    </w:p>
    <w:p w14:paraId="666F1FF2" w14:textId="77777777" w:rsidR="007261F7" w:rsidRPr="00883399" w:rsidRDefault="007261F7" w:rsidP="00A527B9">
      <w:pPr>
        <w:pStyle w:val="TableNote"/>
        <w:spacing w:after="0"/>
        <w:rPr>
          <w:rFonts w:ascii="Times New Roman" w:hAnsi="Times New Roman" w:cs="Times New Roman"/>
          <w:sz w:val="24"/>
          <w:szCs w:val="24"/>
        </w:rPr>
      </w:pPr>
    </w:p>
    <w:p w14:paraId="50298159" w14:textId="77777777" w:rsidR="007261F7" w:rsidRPr="00883399" w:rsidRDefault="007261F7" w:rsidP="00A527B9">
      <w:pPr>
        <w:pStyle w:val="TableNote"/>
        <w:spacing w:after="0"/>
        <w:ind w:left="720"/>
        <w:rPr>
          <w:rFonts w:ascii="Times New Roman" w:hAnsi="Times New Roman" w:cs="Times New Roman"/>
          <w:sz w:val="24"/>
          <w:szCs w:val="24"/>
        </w:rPr>
      </w:pPr>
      <w:r w:rsidRPr="00883399">
        <w:rPr>
          <w:rFonts w:ascii="Times New Roman" w:hAnsi="Times New Roman" w:cs="Times New Roman"/>
          <w:sz w:val="24"/>
          <w:szCs w:val="24"/>
        </w:rPr>
        <w:t>– Method 3C – Determination of carbon dioxide, methane, nitrogen and oxygen from stationary sources (ss5.17 (2))</w:t>
      </w:r>
    </w:p>
    <w:p w14:paraId="63540587" w14:textId="77777777" w:rsidR="007261F7" w:rsidRPr="00883399" w:rsidRDefault="007261F7" w:rsidP="00A527B9">
      <w:pPr>
        <w:pStyle w:val="TableNote"/>
        <w:spacing w:after="0"/>
        <w:rPr>
          <w:rFonts w:ascii="Times New Roman" w:hAnsi="Times New Roman" w:cs="Times New Roman"/>
          <w:sz w:val="24"/>
          <w:szCs w:val="24"/>
        </w:rPr>
      </w:pPr>
    </w:p>
    <w:p w14:paraId="2964EFD9" w14:textId="77777777" w:rsidR="007261F7" w:rsidRPr="00883399" w:rsidRDefault="007261F7" w:rsidP="00A527B9">
      <w:pPr>
        <w:pStyle w:val="TableNote"/>
        <w:spacing w:after="0"/>
        <w:outlineLvl w:val="0"/>
        <w:rPr>
          <w:rFonts w:ascii="Times New Roman" w:hAnsi="Times New Roman" w:cs="Times New Roman"/>
          <w:b/>
          <w:sz w:val="24"/>
          <w:szCs w:val="24"/>
        </w:rPr>
      </w:pPr>
      <w:r w:rsidRPr="00883399">
        <w:rPr>
          <w:rFonts w:ascii="Times New Roman" w:hAnsi="Times New Roman" w:cs="Times New Roman"/>
          <w:b/>
          <w:sz w:val="24"/>
          <w:szCs w:val="24"/>
        </w:rPr>
        <w:t>Chapter 6 Energy</w:t>
      </w:r>
    </w:p>
    <w:p w14:paraId="20522F93" w14:textId="77777777" w:rsidR="007261F7" w:rsidRPr="00883399" w:rsidRDefault="007261F7" w:rsidP="00A527B9">
      <w:pPr>
        <w:pStyle w:val="TableNote"/>
        <w:spacing w:after="0"/>
        <w:rPr>
          <w:rFonts w:ascii="Times New Roman" w:hAnsi="Times New Roman" w:cs="Times New Roman"/>
          <w:sz w:val="24"/>
          <w:szCs w:val="24"/>
        </w:rPr>
      </w:pPr>
    </w:p>
    <w:p w14:paraId="0BF7E8C8" w14:textId="77777777" w:rsidR="007261F7" w:rsidRPr="00883399" w:rsidRDefault="007261F7" w:rsidP="00A527B9">
      <w:pPr>
        <w:pStyle w:val="TableNote"/>
        <w:spacing w:after="0"/>
        <w:outlineLvl w:val="0"/>
        <w:rPr>
          <w:rFonts w:ascii="Times New Roman" w:hAnsi="Times New Roman" w:cs="Times New Roman"/>
          <w:sz w:val="24"/>
          <w:szCs w:val="24"/>
        </w:rPr>
      </w:pPr>
      <w:r w:rsidRPr="00883399">
        <w:rPr>
          <w:rFonts w:ascii="Times New Roman" w:hAnsi="Times New Roman" w:cs="Times New Roman"/>
          <w:sz w:val="24"/>
          <w:szCs w:val="24"/>
        </w:rPr>
        <w:t xml:space="preserve">Australian Energy Market Commission, National Electricity Rules, Version 21, 2008. </w:t>
      </w:r>
    </w:p>
    <w:p w14:paraId="40A9F3FB" w14:textId="77777777" w:rsidR="007261F7" w:rsidRPr="00883399" w:rsidRDefault="007261F7" w:rsidP="00A527B9">
      <w:pPr>
        <w:pStyle w:val="TableNote"/>
        <w:spacing w:after="0"/>
        <w:rPr>
          <w:rFonts w:ascii="Times New Roman" w:hAnsi="Times New Roman" w:cs="Times New Roman"/>
          <w:sz w:val="24"/>
          <w:szCs w:val="24"/>
        </w:rPr>
      </w:pPr>
    </w:p>
    <w:p w14:paraId="5301CE48" w14:textId="77777777" w:rsidR="005F7F08" w:rsidRPr="00883399" w:rsidRDefault="005F7F08" w:rsidP="00A527B9">
      <w:pPr>
        <w:pStyle w:val="TableNote"/>
        <w:spacing w:after="0"/>
        <w:outlineLvl w:val="0"/>
        <w:rPr>
          <w:rFonts w:ascii="Times New Roman" w:hAnsi="Times New Roman" w:cs="Times New Roman"/>
          <w:b/>
          <w:sz w:val="24"/>
          <w:szCs w:val="24"/>
        </w:rPr>
      </w:pPr>
      <w:r w:rsidRPr="00883399">
        <w:rPr>
          <w:rFonts w:ascii="Times New Roman" w:hAnsi="Times New Roman" w:cs="Times New Roman"/>
          <w:b/>
          <w:sz w:val="24"/>
          <w:szCs w:val="24"/>
        </w:rPr>
        <w:t>Chapter 7 Scope 2 emissions</w:t>
      </w:r>
    </w:p>
    <w:p w14:paraId="075381CB" w14:textId="77777777" w:rsidR="005F7F08" w:rsidRPr="00883399" w:rsidRDefault="005F7F08" w:rsidP="00A527B9">
      <w:pPr>
        <w:pStyle w:val="TableNote"/>
        <w:spacing w:after="0"/>
        <w:rPr>
          <w:rFonts w:ascii="Times New Roman" w:hAnsi="Times New Roman" w:cs="Times New Roman"/>
          <w:sz w:val="24"/>
          <w:szCs w:val="24"/>
        </w:rPr>
      </w:pPr>
    </w:p>
    <w:p w14:paraId="29A6EFDC" w14:textId="72542675" w:rsidR="005F7F08" w:rsidRPr="00883399" w:rsidRDefault="00C91E15" w:rsidP="00A527B9">
      <w:pPr>
        <w:pStyle w:val="TableNote"/>
        <w:spacing w:after="0"/>
        <w:outlineLvl w:val="0"/>
        <w:rPr>
          <w:rFonts w:ascii="Times New Roman" w:hAnsi="Times New Roman" w:cs="Times New Roman"/>
          <w:sz w:val="24"/>
          <w:szCs w:val="24"/>
        </w:rPr>
      </w:pPr>
      <w:r w:rsidRPr="00883399">
        <w:rPr>
          <w:rFonts w:ascii="Times New Roman" w:hAnsi="Times New Roman" w:cs="Times New Roman"/>
          <w:sz w:val="24"/>
          <w:szCs w:val="24"/>
        </w:rPr>
        <w:t>Department o</w:t>
      </w:r>
      <w:r w:rsidR="00B771BC" w:rsidRPr="00883399">
        <w:rPr>
          <w:rFonts w:ascii="Times New Roman" w:hAnsi="Times New Roman" w:cs="Times New Roman"/>
          <w:sz w:val="24"/>
          <w:szCs w:val="24"/>
        </w:rPr>
        <w:t>f</w:t>
      </w:r>
      <w:r w:rsidRPr="00883399">
        <w:rPr>
          <w:rFonts w:ascii="Times New Roman" w:hAnsi="Times New Roman" w:cs="Times New Roman"/>
          <w:sz w:val="24"/>
          <w:szCs w:val="24"/>
        </w:rPr>
        <w:t xml:space="preserve"> the Environment</w:t>
      </w:r>
      <w:r w:rsidR="00F8313C">
        <w:rPr>
          <w:rFonts w:ascii="Times New Roman" w:hAnsi="Times New Roman" w:cs="Times New Roman"/>
          <w:sz w:val="24"/>
          <w:szCs w:val="24"/>
        </w:rPr>
        <w:t xml:space="preserve"> and Energy</w:t>
      </w:r>
      <w:r w:rsidR="005F7F08" w:rsidRPr="00883399">
        <w:rPr>
          <w:rFonts w:ascii="Times New Roman" w:hAnsi="Times New Roman" w:cs="Times New Roman"/>
          <w:sz w:val="24"/>
          <w:szCs w:val="24"/>
        </w:rPr>
        <w:t>, National Inventory Report, 20</w:t>
      </w:r>
      <w:r w:rsidR="002C770B" w:rsidRPr="00883399">
        <w:rPr>
          <w:rFonts w:ascii="Times New Roman" w:hAnsi="Times New Roman" w:cs="Times New Roman"/>
          <w:sz w:val="24"/>
          <w:szCs w:val="24"/>
        </w:rPr>
        <w:t>1</w:t>
      </w:r>
      <w:r w:rsidR="009D3717" w:rsidRPr="00883399">
        <w:rPr>
          <w:rFonts w:ascii="Times New Roman" w:hAnsi="Times New Roman" w:cs="Times New Roman"/>
          <w:sz w:val="24"/>
          <w:szCs w:val="24"/>
        </w:rPr>
        <w:t>5</w:t>
      </w:r>
      <w:r w:rsidR="005F7F08" w:rsidRPr="00883399">
        <w:rPr>
          <w:rFonts w:ascii="Times New Roman" w:hAnsi="Times New Roman" w:cs="Times New Roman"/>
          <w:sz w:val="24"/>
          <w:szCs w:val="24"/>
        </w:rPr>
        <w:t>.</w:t>
      </w:r>
    </w:p>
    <w:p w14:paraId="044C9DB9" w14:textId="77777777" w:rsidR="005F7F08" w:rsidRPr="00883399" w:rsidRDefault="005F7F08" w:rsidP="00A527B9">
      <w:pPr>
        <w:pStyle w:val="TableNote"/>
        <w:spacing w:after="0"/>
        <w:rPr>
          <w:rFonts w:ascii="Times New Roman" w:hAnsi="Times New Roman" w:cs="Times New Roman"/>
          <w:sz w:val="24"/>
          <w:szCs w:val="24"/>
        </w:rPr>
      </w:pPr>
    </w:p>
    <w:p w14:paraId="0A4B6AAC" w14:textId="77777777" w:rsidR="006527D4" w:rsidRPr="00883399" w:rsidRDefault="00F0128C"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World Resources Institute/World Business Council for Sustainable Development, The Greenhouse Gas Protocol: A Corporate Accounting and Reporting Standard</w:t>
      </w:r>
      <w:r w:rsidR="006527D4" w:rsidRPr="00883399">
        <w:rPr>
          <w:rFonts w:ascii="Times New Roman" w:hAnsi="Times New Roman" w:cs="Times New Roman"/>
          <w:sz w:val="24"/>
          <w:szCs w:val="24"/>
        </w:rPr>
        <w:t xml:space="preserve"> Revised Edition</w:t>
      </w:r>
      <w:r w:rsidRPr="00883399">
        <w:rPr>
          <w:rFonts w:ascii="Times New Roman" w:hAnsi="Times New Roman" w:cs="Times New Roman"/>
          <w:sz w:val="24"/>
          <w:szCs w:val="24"/>
        </w:rPr>
        <w:t xml:space="preserve">, </w:t>
      </w:r>
      <w:r w:rsidR="006527D4" w:rsidRPr="00883399">
        <w:rPr>
          <w:rFonts w:ascii="Times New Roman" w:hAnsi="Times New Roman" w:cs="Times New Roman"/>
          <w:sz w:val="24"/>
          <w:szCs w:val="24"/>
        </w:rPr>
        <w:t>2004.</w:t>
      </w:r>
    </w:p>
    <w:p w14:paraId="0A47FF43" w14:textId="77777777" w:rsidR="007261F7" w:rsidRPr="00883399" w:rsidRDefault="007261F7" w:rsidP="00A527B9">
      <w:pPr>
        <w:pStyle w:val="TableNote"/>
        <w:spacing w:after="0"/>
        <w:rPr>
          <w:rFonts w:ascii="Times New Roman" w:hAnsi="Times New Roman" w:cs="Times New Roman"/>
          <w:sz w:val="24"/>
          <w:szCs w:val="24"/>
        </w:rPr>
      </w:pPr>
    </w:p>
    <w:p w14:paraId="0718585A" w14:textId="77777777" w:rsidR="00520DB2" w:rsidRPr="00883399" w:rsidRDefault="00520DB2">
      <w:pPr>
        <w:rPr>
          <w:b/>
          <w:lang w:eastAsia="en-US"/>
        </w:rPr>
      </w:pPr>
      <w:r w:rsidRPr="00883399">
        <w:rPr>
          <w:b/>
        </w:rPr>
        <w:br w:type="page"/>
      </w:r>
    </w:p>
    <w:p w14:paraId="4C023236" w14:textId="77777777" w:rsidR="007261F7" w:rsidRPr="00883399" w:rsidRDefault="007261F7" w:rsidP="00A527B9">
      <w:pPr>
        <w:pStyle w:val="TableNote"/>
        <w:spacing w:after="0"/>
        <w:outlineLvl w:val="0"/>
        <w:rPr>
          <w:rFonts w:ascii="Times New Roman" w:hAnsi="Times New Roman" w:cs="Times New Roman"/>
          <w:b/>
          <w:sz w:val="24"/>
          <w:szCs w:val="24"/>
        </w:rPr>
      </w:pPr>
      <w:r w:rsidRPr="00883399">
        <w:rPr>
          <w:rFonts w:ascii="Times New Roman" w:hAnsi="Times New Roman" w:cs="Times New Roman"/>
          <w:b/>
          <w:sz w:val="24"/>
          <w:szCs w:val="24"/>
        </w:rPr>
        <w:t xml:space="preserve">Chapter 8 </w:t>
      </w:r>
      <w:r w:rsidR="00DF00CD" w:rsidRPr="00883399">
        <w:rPr>
          <w:rFonts w:ascii="Times New Roman" w:hAnsi="Times New Roman" w:cs="Times New Roman"/>
          <w:b/>
          <w:sz w:val="24"/>
          <w:szCs w:val="24"/>
        </w:rPr>
        <w:t xml:space="preserve">Assessment </w:t>
      </w:r>
      <w:r w:rsidRPr="00883399">
        <w:rPr>
          <w:rFonts w:ascii="Times New Roman" w:hAnsi="Times New Roman" w:cs="Times New Roman"/>
          <w:b/>
          <w:sz w:val="24"/>
          <w:szCs w:val="24"/>
        </w:rPr>
        <w:t>of Uncertainty</w:t>
      </w:r>
    </w:p>
    <w:p w14:paraId="0B4D2055" w14:textId="77777777" w:rsidR="007261F7" w:rsidRPr="00883399" w:rsidRDefault="007261F7" w:rsidP="00A527B9">
      <w:pPr>
        <w:pStyle w:val="TableNote"/>
        <w:spacing w:after="0"/>
        <w:rPr>
          <w:rFonts w:ascii="Times New Roman" w:hAnsi="Times New Roman" w:cs="Times New Roman"/>
          <w:sz w:val="24"/>
          <w:szCs w:val="24"/>
        </w:rPr>
      </w:pPr>
    </w:p>
    <w:p w14:paraId="28DE00C5"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Intergovernmental Panel on Climate Change, IPCC Guidelines for National Greenhouse Gas Inventories. Prepared by the National Greenhouse Gas Inventories Programme. Published: IGES, Japan, 2006.</w:t>
      </w:r>
    </w:p>
    <w:p w14:paraId="67D05FA1" w14:textId="77777777" w:rsidR="007261F7" w:rsidRPr="00883399" w:rsidRDefault="007261F7" w:rsidP="00A527B9">
      <w:pPr>
        <w:pStyle w:val="TableNote"/>
        <w:spacing w:after="0"/>
        <w:rPr>
          <w:rFonts w:ascii="Times New Roman" w:hAnsi="Times New Roman" w:cs="Times New Roman"/>
          <w:sz w:val="24"/>
          <w:szCs w:val="24"/>
        </w:rPr>
      </w:pPr>
    </w:p>
    <w:p w14:paraId="3FF18A11" w14:textId="77777777" w:rsidR="007261F7" w:rsidRPr="00883399" w:rsidRDefault="007261F7" w:rsidP="00A527B9">
      <w:pPr>
        <w:pStyle w:val="TableNote"/>
        <w:spacing w:after="0"/>
        <w:rPr>
          <w:rFonts w:ascii="Times New Roman" w:hAnsi="Times New Roman" w:cs="Times New Roman"/>
          <w:sz w:val="24"/>
          <w:szCs w:val="24"/>
        </w:rPr>
      </w:pPr>
      <w:r w:rsidRPr="00883399">
        <w:rPr>
          <w:rFonts w:ascii="Times New Roman" w:hAnsi="Times New Roman" w:cs="Times New Roman"/>
          <w:sz w:val="24"/>
          <w:szCs w:val="24"/>
        </w:rPr>
        <w:t>World Resources Institute/World Business Council on Sustainable Development, GHG Protocol guidance on uncertainty assessment in GHG inventories and calculating statistical parameter uncertainty. World Resources Institute and the World Business Council on Sustainable Development. September 2003 v1.0. (ss8.3 (1))</w:t>
      </w:r>
    </w:p>
    <w:p w14:paraId="304A7B34" w14:textId="77777777" w:rsidR="0025405B" w:rsidRPr="00883399" w:rsidRDefault="0025405B">
      <w:pPr>
        <w:pStyle w:val="TableNote"/>
        <w:rPr>
          <w:rFonts w:ascii="Times New Roman" w:hAnsi="Times New Roman" w:cs="Times New Roman"/>
          <w:sz w:val="24"/>
          <w:szCs w:val="24"/>
        </w:rPr>
      </w:pPr>
    </w:p>
    <w:p w14:paraId="3465493E" w14:textId="77777777" w:rsidR="00867B5C" w:rsidRPr="00883399" w:rsidRDefault="00867B5C">
      <w:pPr>
        <w:pStyle w:val="TableNote"/>
      </w:pPr>
    </w:p>
    <w:p w14:paraId="2CB790B6" w14:textId="77777777" w:rsidR="00BE2423" w:rsidRPr="00883399" w:rsidRDefault="00BE2423">
      <w:pPr>
        <w:pStyle w:val="TableNote"/>
        <w:sectPr w:rsidR="00BE2423" w:rsidRPr="00883399" w:rsidSect="001809E7">
          <w:headerReference w:type="even" r:id="rId381"/>
          <w:headerReference w:type="default" r:id="rId382"/>
          <w:footerReference w:type="even" r:id="rId383"/>
          <w:footerReference w:type="default" r:id="rId384"/>
          <w:footerReference w:type="first" r:id="rId385"/>
          <w:type w:val="continuous"/>
          <w:pgSz w:w="11907" w:h="16839" w:code="9"/>
          <w:pgMar w:top="1440" w:right="1797" w:bottom="1440" w:left="1797" w:header="709" w:footer="709" w:gutter="0"/>
          <w:cols w:space="708"/>
          <w:titlePg/>
          <w:docGrid w:linePitch="360"/>
        </w:sectPr>
      </w:pPr>
    </w:p>
    <w:p w14:paraId="19377102" w14:textId="4BDFA83D" w:rsidR="00867B5C" w:rsidRDefault="00D708C5" w:rsidP="00BE2423">
      <w:pPr>
        <w:pStyle w:val="TableNote"/>
      </w:pPr>
      <w:r w:rsidRPr="00883399">
        <w:rPr>
          <w:noProof/>
          <w:lang w:eastAsia="en-AU"/>
        </w:rPr>
        <w:drawing>
          <wp:anchor distT="0" distB="0" distL="114300" distR="114300" simplePos="0" relativeHeight="251658240" behindDoc="1" locked="0" layoutInCell="1" allowOverlap="1" wp14:anchorId="4C7C8C83" wp14:editId="612756D4">
            <wp:simplePos x="0" y="0"/>
            <wp:positionH relativeFrom="column">
              <wp:posOffset>-28717</wp:posOffset>
            </wp:positionH>
            <wp:positionV relativeFrom="paragraph">
              <wp:posOffset>-567055</wp:posOffset>
            </wp:positionV>
            <wp:extent cx="7637344" cy="10693021"/>
            <wp:effectExtent l="19050" t="0" r="1706" b="0"/>
            <wp:wrapNone/>
            <wp:docPr id="6" name="Picture 5" descr="cover image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image back.jpg"/>
                    <pic:cNvPicPr/>
                  </pic:nvPicPr>
                  <pic:blipFill>
                    <a:blip r:embed="rId386"/>
                    <a:stretch>
                      <a:fillRect/>
                    </a:stretch>
                  </pic:blipFill>
                  <pic:spPr>
                    <a:xfrm>
                      <a:off x="0" y="0"/>
                      <a:ext cx="7637344" cy="10693021"/>
                    </a:xfrm>
                    <a:prstGeom prst="rect">
                      <a:avLst/>
                    </a:prstGeom>
                  </pic:spPr>
                </pic:pic>
              </a:graphicData>
            </a:graphic>
          </wp:anchor>
        </w:drawing>
      </w:r>
    </w:p>
    <w:sectPr w:rsidR="00867B5C" w:rsidSect="0025405B">
      <w:pgSz w:w="11907" w:h="16839" w:code="9"/>
      <w:pgMar w:top="0" w:right="0" w:bottom="0" w:left="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6A938B" w14:textId="77777777" w:rsidR="0007263C" w:rsidRDefault="0007263C">
      <w:r>
        <w:separator/>
      </w:r>
    </w:p>
    <w:p w14:paraId="42AB34E2" w14:textId="77777777" w:rsidR="0007263C" w:rsidRDefault="0007263C"/>
  </w:endnote>
  <w:endnote w:type="continuationSeparator" w:id="0">
    <w:p w14:paraId="73544788" w14:textId="77777777" w:rsidR="0007263C" w:rsidRDefault="0007263C">
      <w:r>
        <w:continuationSeparator/>
      </w:r>
    </w:p>
    <w:p w14:paraId="034921F9" w14:textId="77777777" w:rsidR="0007263C" w:rsidRDefault="0007263C"/>
  </w:endnote>
  <w:endnote w:type="continuationNotice" w:id="1">
    <w:p w14:paraId="198FE2C2" w14:textId="77777777" w:rsidR="0007263C" w:rsidRDefault="000726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altName w:val="Arial"/>
    <w:panose1 w:val="020B0604020202020204"/>
    <w:charset w:val="00"/>
    <w:family w:val="swiss"/>
    <w:notTrueType/>
    <w:pitch w:val="variable"/>
    <w:sig w:usb0="00000003" w:usb1="00000000" w:usb2="00000000" w:usb3="00000000" w:csb0="00000001" w:csb1="00000000"/>
  </w:font>
  <w:font w:name="Arial Bold">
    <w:altName w:val="Arial"/>
    <w:panose1 w:val="00000000000000000000"/>
    <w:charset w:val="00"/>
    <w:family w:val="roman"/>
    <w:notTrueType/>
    <w:pitch w:val="default"/>
  </w:font>
  <w:font w:name="TimesNewRomanPS">
    <w:altName w:val="TimesNewRomanPS"/>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00"/>
    <w:family w:val="auto"/>
    <w:notTrueType/>
    <w:pitch w:val="default"/>
    <w:sig w:usb0="00000003" w:usb1="08070000" w:usb2="00000010" w:usb3="00000000" w:csb0="0002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T761o00">
    <w:panose1 w:val="00000000000000000000"/>
    <w:charset w:val="00"/>
    <w:family w:val="swiss"/>
    <w:notTrueType/>
    <w:pitch w:val="default"/>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Times New (W1)">
    <w:altName w:val="Times New Roman"/>
    <w:panose1 w:val="00000000000000000000"/>
    <w:charset w:val="00"/>
    <w:family w:val="roman"/>
    <w:notTrueType/>
    <w:pitch w:val="default"/>
  </w:font>
  <w:font w:name="Arial (W1)">
    <w:altName w:val="Arial"/>
    <w:charset w:val="00"/>
    <w:family w:val="swiss"/>
    <w:pitch w:val="variable"/>
    <w:sig w:usb0="00000003" w:usb1="C0007843" w:usb2="00000009" w:usb3="00000000" w:csb0="000001FF" w:csb1="00000000"/>
  </w:font>
  <w:font w:name="Times New Roman Bold Italic">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SymbolMT">
    <w:altName w:val="Microsoft JhengHei"/>
    <w:panose1 w:val="00000000000000000000"/>
    <w:charset w:val="88"/>
    <w:family w:val="auto"/>
    <w:notTrueType/>
    <w:pitch w:val="default"/>
    <w:sig w:usb0="00000001" w:usb1="08080000" w:usb2="00000010" w:usb3="00000000" w:csb0="00100000"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13DC7" w14:textId="77777777" w:rsidR="00F8313C" w:rsidRDefault="00F8313C">
    <w:pPr>
      <w:spacing w:line="200" w:lineRule="exact"/>
      <w:ind w:right="360"/>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F8313C" w14:paraId="1CB60F26" w14:textId="77777777">
      <w:tc>
        <w:tcPr>
          <w:tcW w:w="1134" w:type="dxa"/>
          <w:tcBorders>
            <w:top w:val="single" w:sz="4" w:space="0" w:color="auto"/>
          </w:tcBorders>
        </w:tcPr>
        <w:p w14:paraId="569BC70B" w14:textId="77777777" w:rsidR="00F8313C" w:rsidRDefault="00F8313C">
          <w:pPr>
            <w:spacing w:line="240" w:lineRule="exact"/>
            <w:rPr>
              <w:rFonts w:ascii="Arial" w:hAnsi="Arial" w:cs="Arial"/>
              <w:sz w:val="22"/>
              <w:szCs w:val="22"/>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4</w:t>
          </w:r>
          <w:r>
            <w:rPr>
              <w:rStyle w:val="PageNumber"/>
              <w:rFonts w:cs="Arial"/>
            </w:rPr>
            <w:fldChar w:fldCharType="end"/>
          </w:r>
        </w:p>
      </w:tc>
      <w:tc>
        <w:tcPr>
          <w:tcW w:w="6095" w:type="dxa"/>
          <w:tcBorders>
            <w:top w:val="single" w:sz="4" w:space="0" w:color="auto"/>
          </w:tcBorders>
        </w:tcPr>
        <w:p w14:paraId="312FE357" w14:textId="77777777" w:rsidR="00F8313C" w:rsidRDefault="00F8313C">
          <w:pPr>
            <w:pStyle w:val="FooterCitation"/>
            <w:spacing w:before="60"/>
          </w:pPr>
        </w:p>
      </w:tc>
      <w:tc>
        <w:tcPr>
          <w:tcW w:w="1134" w:type="dxa"/>
          <w:tcBorders>
            <w:top w:val="single" w:sz="4" w:space="0" w:color="auto"/>
          </w:tcBorders>
        </w:tcPr>
        <w:p w14:paraId="15313B21" w14:textId="77777777" w:rsidR="00F8313C" w:rsidRDefault="00F8313C">
          <w:pPr>
            <w:spacing w:line="240" w:lineRule="exact"/>
            <w:jc w:val="right"/>
            <w:rPr>
              <w:rStyle w:val="PageNumber"/>
            </w:rPr>
          </w:pPr>
        </w:p>
      </w:tc>
    </w:tr>
  </w:tbl>
  <w:p w14:paraId="0F6FD416" w14:textId="77777777" w:rsidR="00F8313C" w:rsidRDefault="00F8313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B6621" w14:textId="77777777" w:rsidR="00F8313C" w:rsidRDefault="00F8313C">
    <w:pPr>
      <w:spacing w:line="200" w:lineRule="exact"/>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F8313C" w14:paraId="09B2B1AF" w14:textId="77777777">
      <w:tc>
        <w:tcPr>
          <w:tcW w:w="1134" w:type="dxa"/>
          <w:tcBorders>
            <w:top w:val="single" w:sz="4" w:space="0" w:color="auto"/>
          </w:tcBorders>
        </w:tcPr>
        <w:p w14:paraId="2A99B244" w14:textId="77777777" w:rsidR="00F8313C" w:rsidRDefault="00F8313C">
          <w:pPr>
            <w:spacing w:line="240" w:lineRule="exact"/>
          </w:pPr>
        </w:p>
      </w:tc>
      <w:tc>
        <w:tcPr>
          <w:tcW w:w="6095" w:type="dxa"/>
          <w:tcBorders>
            <w:top w:val="single" w:sz="4" w:space="0" w:color="auto"/>
          </w:tcBorders>
        </w:tcPr>
        <w:p w14:paraId="6558AFF8" w14:textId="77777777" w:rsidR="00F8313C" w:rsidRDefault="00F8313C">
          <w:pPr>
            <w:pStyle w:val="FooterCitation"/>
            <w:spacing w:before="60"/>
          </w:pPr>
        </w:p>
      </w:tc>
      <w:tc>
        <w:tcPr>
          <w:tcW w:w="1134" w:type="dxa"/>
          <w:tcBorders>
            <w:top w:val="single" w:sz="4" w:space="0" w:color="auto"/>
          </w:tcBorders>
        </w:tcPr>
        <w:p w14:paraId="1663B20F" w14:textId="77777777" w:rsidR="00F8313C" w:rsidRDefault="00F8313C">
          <w:pPr>
            <w:spacing w:line="240" w:lineRule="exact"/>
            <w:jc w:val="right"/>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816652">
            <w:rPr>
              <w:rStyle w:val="PageNumber"/>
              <w:rFonts w:cs="Arial"/>
              <w:noProof/>
            </w:rPr>
            <w:t>560</w:t>
          </w:r>
          <w:r>
            <w:rPr>
              <w:rStyle w:val="PageNumber"/>
              <w:rFonts w:cs="Arial"/>
            </w:rPr>
            <w:fldChar w:fldCharType="end"/>
          </w:r>
        </w:p>
      </w:tc>
    </w:tr>
  </w:tbl>
  <w:p w14:paraId="27573DF3" w14:textId="77777777" w:rsidR="00F8313C" w:rsidRDefault="00F8313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1AD80" w14:textId="77777777" w:rsidR="00F8313C" w:rsidRDefault="00F8313C">
    <w:pPr>
      <w:pStyle w:val="FooterCitation"/>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4DCDE" w14:textId="77777777" w:rsidR="00F8313C" w:rsidRDefault="00F8313C">
    <w:pPr>
      <w:spacing w:line="200" w:lineRule="exact"/>
      <w:ind w:right="360"/>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F8313C" w14:paraId="652BDE79" w14:textId="77777777">
      <w:tc>
        <w:tcPr>
          <w:tcW w:w="1134" w:type="dxa"/>
          <w:tcBorders>
            <w:top w:val="single" w:sz="4" w:space="0" w:color="auto"/>
          </w:tcBorders>
        </w:tcPr>
        <w:p w14:paraId="11F9FB21" w14:textId="77777777" w:rsidR="00F8313C" w:rsidRDefault="00F8313C">
          <w:pPr>
            <w:spacing w:line="240" w:lineRule="exact"/>
            <w:rPr>
              <w:rFonts w:ascii="Arial" w:hAnsi="Arial" w:cs="Arial"/>
              <w:sz w:val="22"/>
              <w:szCs w:val="22"/>
            </w:rPr>
          </w:pPr>
          <w:r>
            <w:rPr>
              <w:rStyle w:val="PageNumber"/>
              <w:rFonts w:cs="Arial"/>
              <w:szCs w:val="22"/>
            </w:rPr>
            <w:fldChar w:fldCharType="begin"/>
          </w:r>
          <w:r>
            <w:rPr>
              <w:rStyle w:val="PageNumber"/>
              <w:rFonts w:cs="Arial"/>
              <w:szCs w:val="22"/>
            </w:rPr>
            <w:instrText xml:space="preserve">PAGE  </w:instrText>
          </w:r>
          <w:r>
            <w:rPr>
              <w:rStyle w:val="PageNumber"/>
              <w:rFonts w:cs="Arial"/>
              <w:szCs w:val="22"/>
            </w:rPr>
            <w:fldChar w:fldCharType="separate"/>
          </w:r>
          <w:r>
            <w:rPr>
              <w:rStyle w:val="PageNumber"/>
              <w:rFonts w:cs="Arial"/>
              <w:noProof/>
              <w:szCs w:val="22"/>
            </w:rPr>
            <w:t>478</w:t>
          </w:r>
          <w:r>
            <w:rPr>
              <w:rStyle w:val="PageNumber"/>
              <w:rFonts w:cs="Arial"/>
              <w:szCs w:val="22"/>
            </w:rPr>
            <w:fldChar w:fldCharType="end"/>
          </w:r>
        </w:p>
      </w:tc>
      <w:tc>
        <w:tcPr>
          <w:tcW w:w="6095" w:type="dxa"/>
          <w:tcBorders>
            <w:top w:val="single" w:sz="4" w:space="0" w:color="auto"/>
          </w:tcBorders>
        </w:tcPr>
        <w:p w14:paraId="3E23E998" w14:textId="77777777" w:rsidR="00F8313C" w:rsidRDefault="00F8313C">
          <w:pPr>
            <w:pStyle w:val="FooterCitation"/>
            <w:spacing w:before="60"/>
          </w:pPr>
        </w:p>
      </w:tc>
      <w:tc>
        <w:tcPr>
          <w:tcW w:w="1134" w:type="dxa"/>
          <w:tcBorders>
            <w:top w:val="single" w:sz="4" w:space="0" w:color="auto"/>
          </w:tcBorders>
        </w:tcPr>
        <w:p w14:paraId="02C54670" w14:textId="77777777" w:rsidR="00F8313C" w:rsidRDefault="00F8313C">
          <w:pPr>
            <w:spacing w:line="240" w:lineRule="exact"/>
            <w:jc w:val="right"/>
            <w:rPr>
              <w:rStyle w:val="PageNumber"/>
            </w:rPr>
          </w:pPr>
        </w:p>
      </w:tc>
    </w:tr>
  </w:tbl>
  <w:p w14:paraId="5F02B31B" w14:textId="77777777" w:rsidR="00F8313C" w:rsidRDefault="00F8313C">
    <w:pPr>
      <w:pStyle w:val="FooterInfo"/>
    </w:pPr>
  </w:p>
  <w:p w14:paraId="059DF9EA" w14:textId="77777777" w:rsidR="00F8313C" w:rsidRDefault="00F8313C"/>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31FDB" w14:textId="77777777" w:rsidR="00F8313C" w:rsidRDefault="00F8313C">
    <w:pPr>
      <w:spacing w:line="200" w:lineRule="exact"/>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F8313C" w14:paraId="5C1CDFCB" w14:textId="77777777">
      <w:tc>
        <w:tcPr>
          <w:tcW w:w="1134" w:type="dxa"/>
          <w:tcBorders>
            <w:top w:val="single" w:sz="4" w:space="0" w:color="auto"/>
          </w:tcBorders>
        </w:tcPr>
        <w:p w14:paraId="6FB9FEBB" w14:textId="77777777" w:rsidR="00F8313C" w:rsidRDefault="00F8313C">
          <w:pPr>
            <w:spacing w:line="240" w:lineRule="exact"/>
          </w:pPr>
        </w:p>
      </w:tc>
      <w:tc>
        <w:tcPr>
          <w:tcW w:w="6095" w:type="dxa"/>
          <w:tcBorders>
            <w:top w:val="single" w:sz="4" w:space="0" w:color="auto"/>
          </w:tcBorders>
        </w:tcPr>
        <w:p w14:paraId="4D6E3488" w14:textId="77777777" w:rsidR="00F8313C" w:rsidRDefault="00F8313C">
          <w:pPr>
            <w:pStyle w:val="FooterCitation"/>
            <w:spacing w:before="60"/>
          </w:pPr>
        </w:p>
      </w:tc>
      <w:tc>
        <w:tcPr>
          <w:tcW w:w="1134" w:type="dxa"/>
          <w:tcBorders>
            <w:top w:val="single" w:sz="4" w:space="0" w:color="auto"/>
          </w:tcBorders>
        </w:tcPr>
        <w:p w14:paraId="17E23521" w14:textId="77777777" w:rsidR="00F8313C" w:rsidRDefault="00F8313C">
          <w:pPr>
            <w:spacing w:line="240" w:lineRule="exact"/>
            <w:jc w:val="right"/>
            <w:rPr>
              <w:rStyle w:val="PageNumber"/>
              <w:rFonts w:cs="Arial"/>
              <w:szCs w:val="22"/>
            </w:rPr>
          </w:pPr>
          <w:r>
            <w:rPr>
              <w:rStyle w:val="PageNumber"/>
              <w:rFonts w:cs="Arial"/>
              <w:szCs w:val="22"/>
            </w:rPr>
            <w:fldChar w:fldCharType="begin"/>
          </w:r>
          <w:r>
            <w:rPr>
              <w:rStyle w:val="PageNumber"/>
              <w:rFonts w:cs="Arial"/>
              <w:szCs w:val="22"/>
            </w:rPr>
            <w:instrText xml:space="preserve">PAGE  </w:instrText>
          </w:r>
          <w:r>
            <w:rPr>
              <w:rStyle w:val="PageNumber"/>
              <w:rFonts w:cs="Arial"/>
              <w:szCs w:val="22"/>
            </w:rPr>
            <w:fldChar w:fldCharType="separate"/>
          </w:r>
          <w:r w:rsidR="00816652">
            <w:rPr>
              <w:rStyle w:val="PageNumber"/>
              <w:rFonts w:cs="Arial"/>
              <w:noProof/>
              <w:szCs w:val="22"/>
            </w:rPr>
            <w:t>600</w:t>
          </w:r>
          <w:r>
            <w:rPr>
              <w:rStyle w:val="PageNumber"/>
              <w:rFonts w:cs="Arial"/>
              <w:szCs w:val="22"/>
            </w:rPr>
            <w:fldChar w:fldCharType="end"/>
          </w:r>
        </w:p>
      </w:tc>
    </w:tr>
  </w:tbl>
  <w:p w14:paraId="5AC26069" w14:textId="77777777" w:rsidR="00F8313C" w:rsidRDefault="00F8313C">
    <w:pPr>
      <w:pStyle w:val="FooterInfo"/>
    </w:pPr>
  </w:p>
  <w:p w14:paraId="6DF98B09" w14:textId="77777777" w:rsidR="00F8313C" w:rsidRDefault="00F8313C"/>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B7715" w14:textId="77777777" w:rsidR="00F8313C" w:rsidRDefault="00F8313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35B88" w14:textId="77777777" w:rsidR="00F8313C" w:rsidRDefault="00F8313C">
    <w:pPr>
      <w:spacing w:line="200" w:lineRule="exact"/>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F8313C" w14:paraId="5E5A7E7F" w14:textId="77777777" w:rsidTr="009C5F74">
      <w:trPr>
        <w:trHeight w:val="85"/>
      </w:trPr>
      <w:tc>
        <w:tcPr>
          <w:tcW w:w="1134" w:type="dxa"/>
          <w:tcBorders>
            <w:top w:val="single" w:sz="4" w:space="0" w:color="auto"/>
          </w:tcBorders>
        </w:tcPr>
        <w:p w14:paraId="6EFB29A6" w14:textId="77777777" w:rsidR="00F8313C" w:rsidRDefault="00F8313C">
          <w:pPr>
            <w:spacing w:line="240" w:lineRule="exact"/>
          </w:pPr>
        </w:p>
      </w:tc>
      <w:tc>
        <w:tcPr>
          <w:tcW w:w="6095" w:type="dxa"/>
          <w:tcBorders>
            <w:top w:val="single" w:sz="4" w:space="0" w:color="auto"/>
          </w:tcBorders>
        </w:tcPr>
        <w:p w14:paraId="3479BCD1" w14:textId="77777777" w:rsidR="00F8313C" w:rsidRDefault="00F8313C">
          <w:pPr>
            <w:pStyle w:val="FooterCitation"/>
          </w:pPr>
        </w:p>
      </w:tc>
      <w:tc>
        <w:tcPr>
          <w:tcW w:w="1134" w:type="dxa"/>
          <w:tcBorders>
            <w:top w:val="single" w:sz="4" w:space="0" w:color="auto"/>
          </w:tcBorders>
        </w:tcPr>
        <w:p w14:paraId="3D4D6CFA" w14:textId="77777777" w:rsidR="00F8313C" w:rsidRDefault="00F8313C">
          <w:pPr>
            <w:spacing w:line="240" w:lineRule="exact"/>
            <w:jc w:val="right"/>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6B6CFF">
            <w:rPr>
              <w:rStyle w:val="PageNumber"/>
              <w:rFonts w:cs="Arial"/>
              <w:noProof/>
            </w:rPr>
            <w:t>2</w:t>
          </w:r>
          <w:r>
            <w:rPr>
              <w:rStyle w:val="PageNumber"/>
              <w:rFonts w:cs="Arial"/>
            </w:rPr>
            <w:fldChar w:fldCharType="end"/>
          </w:r>
        </w:p>
      </w:tc>
    </w:tr>
  </w:tbl>
  <w:p w14:paraId="50B3B982" w14:textId="77777777" w:rsidR="00F8313C" w:rsidRPr="009C5F74" w:rsidRDefault="00F8313C">
    <w:pPr>
      <w:pStyle w:val="FooterDraft"/>
      <w:rPr>
        <w:b w:val="0"/>
        <w:i/>
      </w:rPr>
    </w:pPr>
  </w:p>
  <w:p w14:paraId="19E0953C" w14:textId="77777777" w:rsidR="00F8313C" w:rsidRDefault="00F8313C">
    <w:pPr>
      <w:pStyle w:val="Footerinfo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1D59F" w14:textId="77777777" w:rsidR="00816652" w:rsidRDefault="008166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47CC2" w14:textId="77777777" w:rsidR="00F8313C" w:rsidRDefault="00F8313C">
    <w:pPr>
      <w:pStyle w:val="Footer"/>
    </w:pPr>
  </w:p>
  <w:p w14:paraId="6F6312EA" w14:textId="77777777" w:rsidR="00F8313C" w:rsidRDefault="00F8313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128BC" w14:textId="77777777" w:rsidR="00F8313C" w:rsidRDefault="00F8313C">
    <w:pPr>
      <w:spacing w:line="200" w:lineRule="exact"/>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F8313C" w14:paraId="38BB665C" w14:textId="77777777" w:rsidTr="004939A7">
      <w:trPr>
        <w:trHeight w:val="347"/>
      </w:trPr>
      <w:tc>
        <w:tcPr>
          <w:tcW w:w="1134" w:type="dxa"/>
          <w:tcBorders>
            <w:top w:val="single" w:sz="4" w:space="0" w:color="auto"/>
          </w:tcBorders>
        </w:tcPr>
        <w:p w14:paraId="5EB47509" w14:textId="77777777" w:rsidR="00F8313C" w:rsidRDefault="00F8313C">
          <w:pPr>
            <w:spacing w:line="240" w:lineRule="exact"/>
          </w:pPr>
        </w:p>
      </w:tc>
      <w:tc>
        <w:tcPr>
          <w:tcW w:w="6095" w:type="dxa"/>
          <w:tcBorders>
            <w:top w:val="single" w:sz="4" w:space="0" w:color="auto"/>
          </w:tcBorders>
        </w:tcPr>
        <w:p w14:paraId="4BFAB1B6" w14:textId="77777777" w:rsidR="00F8313C" w:rsidRDefault="00F8313C">
          <w:pPr>
            <w:pStyle w:val="FooterCitation"/>
            <w:spacing w:before="60"/>
          </w:pPr>
        </w:p>
      </w:tc>
      <w:tc>
        <w:tcPr>
          <w:tcW w:w="1134" w:type="dxa"/>
          <w:tcBorders>
            <w:top w:val="single" w:sz="4" w:space="0" w:color="auto"/>
          </w:tcBorders>
        </w:tcPr>
        <w:p w14:paraId="6B806BFB" w14:textId="77777777" w:rsidR="00F8313C" w:rsidRDefault="00F8313C">
          <w:pPr>
            <w:spacing w:line="240" w:lineRule="exact"/>
            <w:jc w:val="right"/>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6B6CFF">
            <w:rPr>
              <w:rStyle w:val="PageNumber"/>
              <w:rFonts w:cs="Arial"/>
              <w:noProof/>
            </w:rPr>
            <w:t>30</w:t>
          </w:r>
          <w:r>
            <w:rPr>
              <w:rStyle w:val="PageNumber"/>
              <w:rFonts w:cs="Arial"/>
            </w:rPr>
            <w:fldChar w:fldCharType="end"/>
          </w:r>
        </w:p>
      </w:tc>
    </w:tr>
  </w:tbl>
  <w:p w14:paraId="085299BD" w14:textId="77777777" w:rsidR="00F8313C" w:rsidRDefault="00F8313C">
    <w:pPr>
      <w:pStyle w:val="FooterInfo"/>
    </w:pPr>
  </w:p>
  <w:p w14:paraId="63E0919E" w14:textId="77777777" w:rsidR="00F8313C" w:rsidRDefault="00F8313C">
    <w:pPr>
      <w:pStyle w:val="Footerinfo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A4D64" w14:textId="77777777" w:rsidR="00F8313C" w:rsidRDefault="00F8313C">
    <w:pPr>
      <w:spacing w:line="200" w:lineRule="exact"/>
      <w:ind w:right="360"/>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F8313C" w14:paraId="51BF8C4E" w14:textId="77777777">
      <w:tc>
        <w:tcPr>
          <w:tcW w:w="1134" w:type="dxa"/>
          <w:tcBorders>
            <w:top w:val="single" w:sz="4" w:space="0" w:color="auto"/>
          </w:tcBorders>
        </w:tcPr>
        <w:p w14:paraId="77F7C234" w14:textId="77777777" w:rsidR="00F8313C" w:rsidRDefault="00F8313C">
          <w:pPr>
            <w:spacing w:line="240" w:lineRule="exact"/>
            <w:rPr>
              <w:rFonts w:ascii="Arial" w:hAnsi="Arial" w:cs="Arial"/>
              <w:sz w:val="22"/>
              <w:szCs w:val="22"/>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438</w:t>
          </w:r>
          <w:r>
            <w:rPr>
              <w:rStyle w:val="PageNumber"/>
              <w:rFonts w:cs="Arial"/>
            </w:rPr>
            <w:fldChar w:fldCharType="end"/>
          </w:r>
        </w:p>
      </w:tc>
      <w:tc>
        <w:tcPr>
          <w:tcW w:w="6095" w:type="dxa"/>
          <w:tcBorders>
            <w:top w:val="single" w:sz="4" w:space="0" w:color="auto"/>
          </w:tcBorders>
        </w:tcPr>
        <w:p w14:paraId="76E22CAA" w14:textId="77777777" w:rsidR="00F8313C" w:rsidRDefault="00F8313C">
          <w:pPr>
            <w:pStyle w:val="FooterCitation"/>
            <w:spacing w:before="60"/>
          </w:pPr>
        </w:p>
      </w:tc>
      <w:tc>
        <w:tcPr>
          <w:tcW w:w="1134" w:type="dxa"/>
          <w:tcBorders>
            <w:top w:val="single" w:sz="4" w:space="0" w:color="auto"/>
          </w:tcBorders>
        </w:tcPr>
        <w:p w14:paraId="5DD865A0" w14:textId="77777777" w:rsidR="00F8313C" w:rsidRDefault="00F8313C">
          <w:pPr>
            <w:spacing w:line="240" w:lineRule="exact"/>
            <w:jc w:val="right"/>
            <w:rPr>
              <w:rStyle w:val="PageNumber"/>
            </w:rPr>
          </w:pPr>
        </w:p>
      </w:tc>
    </w:tr>
  </w:tbl>
  <w:p w14:paraId="3C767CBB" w14:textId="77777777" w:rsidR="00F8313C" w:rsidRDefault="00F8313C">
    <w:pPr>
      <w:pStyle w:val="FooterInfo"/>
    </w:pPr>
  </w:p>
  <w:p w14:paraId="289BD718" w14:textId="77777777" w:rsidR="00F8313C" w:rsidRDefault="00F8313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1AF83" w14:textId="77777777" w:rsidR="00F8313C" w:rsidRDefault="00F8313C">
    <w:pPr>
      <w:spacing w:line="200" w:lineRule="exact"/>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F8313C" w14:paraId="69691427" w14:textId="77777777">
      <w:trPr>
        <w:trHeight w:val="70"/>
      </w:trPr>
      <w:tc>
        <w:tcPr>
          <w:tcW w:w="1134" w:type="dxa"/>
          <w:tcBorders>
            <w:top w:val="single" w:sz="4" w:space="0" w:color="auto"/>
          </w:tcBorders>
        </w:tcPr>
        <w:p w14:paraId="7F570E93" w14:textId="77777777" w:rsidR="00F8313C" w:rsidRDefault="00F8313C">
          <w:pPr>
            <w:spacing w:line="240" w:lineRule="exact"/>
          </w:pPr>
        </w:p>
      </w:tc>
      <w:tc>
        <w:tcPr>
          <w:tcW w:w="6095" w:type="dxa"/>
          <w:tcBorders>
            <w:top w:val="single" w:sz="4" w:space="0" w:color="auto"/>
          </w:tcBorders>
        </w:tcPr>
        <w:p w14:paraId="49D72360" w14:textId="77777777" w:rsidR="00F8313C" w:rsidRDefault="00F8313C">
          <w:pPr>
            <w:pStyle w:val="FooterCitation"/>
            <w:spacing w:before="60"/>
          </w:pPr>
        </w:p>
      </w:tc>
      <w:tc>
        <w:tcPr>
          <w:tcW w:w="1134" w:type="dxa"/>
          <w:tcBorders>
            <w:top w:val="single" w:sz="4" w:space="0" w:color="auto"/>
          </w:tcBorders>
        </w:tcPr>
        <w:p w14:paraId="5D74EB05" w14:textId="77777777" w:rsidR="00F8313C" w:rsidRDefault="00F8313C">
          <w:pPr>
            <w:spacing w:line="240" w:lineRule="exact"/>
            <w:jc w:val="right"/>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972151">
            <w:rPr>
              <w:rStyle w:val="PageNumber"/>
              <w:rFonts w:cs="Arial"/>
              <w:noProof/>
            </w:rPr>
            <w:t>140</w:t>
          </w:r>
          <w:r>
            <w:rPr>
              <w:rStyle w:val="PageNumber"/>
              <w:rFonts w:cs="Arial"/>
            </w:rPr>
            <w:fldChar w:fldCharType="end"/>
          </w:r>
        </w:p>
      </w:tc>
    </w:tr>
  </w:tbl>
  <w:p w14:paraId="7F37073D" w14:textId="77777777" w:rsidR="00F8313C" w:rsidRDefault="00F8313C">
    <w:pPr>
      <w:pStyle w:val="FooterInfo"/>
    </w:pPr>
  </w:p>
  <w:p w14:paraId="7D1D9EA6" w14:textId="77777777" w:rsidR="00F8313C" w:rsidRDefault="00F8313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C931A" w14:textId="77777777" w:rsidR="00F8313C" w:rsidRDefault="00F8313C">
    <w:pPr>
      <w:pStyle w:val="FooterCitation"/>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F767C" w14:textId="77777777" w:rsidR="00F8313C" w:rsidRDefault="00F8313C">
    <w:pPr>
      <w:spacing w:line="200" w:lineRule="exact"/>
      <w:ind w:right="360"/>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F8313C" w14:paraId="35BABD6B" w14:textId="77777777">
      <w:tc>
        <w:tcPr>
          <w:tcW w:w="1134" w:type="dxa"/>
          <w:tcBorders>
            <w:top w:val="single" w:sz="4" w:space="0" w:color="auto"/>
          </w:tcBorders>
        </w:tcPr>
        <w:p w14:paraId="57016217" w14:textId="77777777" w:rsidR="00F8313C" w:rsidRDefault="00F8313C">
          <w:pPr>
            <w:spacing w:line="240" w:lineRule="exact"/>
            <w:rPr>
              <w:rFonts w:ascii="Arial" w:hAnsi="Arial" w:cs="Arial"/>
              <w:sz w:val="22"/>
              <w:szCs w:val="22"/>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446</w:t>
          </w:r>
          <w:r>
            <w:rPr>
              <w:rStyle w:val="PageNumber"/>
              <w:rFonts w:cs="Arial"/>
            </w:rPr>
            <w:fldChar w:fldCharType="end"/>
          </w:r>
        </w:p>
      </w:tc>
      <w:tc>
        <w:tcPr>
          <w:tcW w:w="6095" w:type="dxa"/>
          <w:tcBorders>
            <w:top w:val="single" w:sz="4" w:space="0" w:color="auto"/>
          </w:tcBorders>
        </w:tcPr>
        <w:p w14:paraId="6B1CED89" w14:textId="77777777" w:rsidR="00F8313C" w:rsidRDefault="00F8313C">
          <w:pPr>
            <w:pStyle w:val="FooterCitation"/>
            <w:spacing w:before="60"/>
          </w:pPr>
        </w:p>
      </w:tc>
      <w:tc>
        <w:tcPr>
          <w:tcW w:w="1134" w:type="dxa"/>
          <w:tcBorders>
            <w:top w:val="single" w:sz="4" w:space="0" w:color="auto"/>
          </w:tcBorders>
        </w:tcPr>
        <w:p w14:paraId="4FD19129" w14:textId="77777777" w:rsidR="00F8313C" w:rsidRDefault="00F8313C">
          <w:pPr>
            <w:spacing w:line="240" w:lineRule="exact"/>
            <w:jc w:val="right"/>
            <w:rPr>
              <w:rStyle w:val="PageNumber"/>
            </w:rPr>
          </w:pPr>
        </w:p>
      </w:tc>
    </w:tr>
  </w:tbl>
  <w:p w14:paraId="58017E72" w14:textId="77777777" w:rsidR="00F8313C" w:rsidRDefault="00F831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4CB50" w14:textId="77777777" w:rsidR="0007263C" w:rsidRDefault="0007263C">
      <w:r>
        <w:separator/>
      </w:r>
    </w:p>
    <w:p w14:paraId="35987BAD" w14:textId="77777777" w:rsidR="0007263C" w:rsidRDefault="0007263C"/>
  </w:footnote>
  <w:footnote w:type="continuationSeparator" w:id="0">
    <w:p w14:paraId="27621B85" w14:textId="77777777" w:rsidR="0007263C" w:rsidRDefault="0007263C">
      <w:r>
        <w:continuationSeparator/>
      </w:r>
    </w:p>
    <w:p w14:paraId="79C67270" w14:textId="77777777" w:rsidR="0007263C" w:rsidRDefault="0007263C"/>
  </w:footnote>
  <w:footnote w:type="continuationNotice" w:id="1">
    <w:p w14:paraId="0C6B14DC" w14:textId="77777777" w:rsidR="0007263C" w:rsidRDefault="0007263C">
      <w:pPr>
        <w:spacing w:after="0" w:line="240" w:lineRule="auto"/>
      </w:pPr>
    </w:p>
  </w:footnote>
  <w:footnote w:id="2">
    <w:p w14:paraId="08C70038" w14:textId="5B6C6591" w:rsidR="00F8313C" w:rsidRDefault="00F8313C">
      <w:pPr>
        <w:pStyle w:val="FootnoteText"/>
      </w:pPr>
      <w:r>
        <w:rPr>
          <w:rStyle w:val="FootnoteReference"/>
        </w:rPr>
        <w:footnoteRef/>
      </w:r>
      <w:r>
        <w:t xml:space="preserve"> </w:t>
      </w:r>
      <w:r w:rsidRPr="00757627">
        <w:rPr>
          <w:sz w:val="18"/>
          <w:szCs w:val="18"/>
        </w:rPr>
        <w:t xml:space="preserve">The </w:t>
      </w:r>
      <w:r w:rsidRPr="00C443B6">
        <w:rPr>
          <w:sz w:val="18"/>
          <w:szCs w:val="18"/>
        </w:rPr>
        <w:t>Determination is available at http://www.cleanenergyregulator.gov.au/NGER/Legislation</w:t>
      </w:r>
      <w:r w:rsidRPr="002D5C9A">
        <w:t xml:space="preserve">. </w:t>
      </w:r>
      <w:r w:rsidRPr="00757627">
        <w:rPr>
          <w:sz w:val="18"/>
          <w:szCs w:val="18"/>
        </w:rPr>
        <w:t>In these Guidelines, indented text is based on the text of the Determination.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414" w:type="dxa"/>
      <w:tblLayout w:type="fixed"/>
      <w:tblLook w:val="01E0" w:firstRow="1" w:lastRow="1" w:firstColumn="1" w:lastColumn="1" w:noHBand="0" w:noVBand="0"/>
    </w:tblPr>
    <w:tblGrid>
      <w:gridCol w:w="1546"/>
      <w:gridCol w:w="6868"/>
    </w:tblGrid>
    <w:tr w:rsidR="00F8313C" w14:paraId="1F9A2F1A" w14:textId="77777777">
      <w:tc>
        <w:tcPr>
          <w:tcW w:w="1546" w:type="dxa"/>
        </w:tcPr>
        <w:p w14:paraId="2AA2C934" w14:textId="77777777" w:rsidR="00F8313C" w:rsidRDefault="00F8313C">
          <w:pPr>
            <w:pStyle w:val="HeaderLiteEven"/>
          </w:pPr>
        </w:p>
      </w:tc>
      <w:tc>
        <w:tcPr>
          <w:tcW w:w="6868" w:type="dxa"/>
          <w:vAlign w:val="bottom"/>
        </w:tcPr>
        <w:p w14:paraId="420D9F04" w14:textId="77777777" w:rsidR="00F8313C" w:rsidRDefault="00F8313C">
          <w:pPr>
            <w:pStyle w:val="HeaderLiteEven"/>
          </w:pPr>
        </w:p>
      </w:tc>
    </w:tr>
    <w:tr w:rsidR="00F8313C" w14:paraId="75CDCFAC" w14:textId="77777777">
      <w:tc>
        <w:tcPr>
          <w:tcW w:w="1546" w:type="dxa"/>
        </w:tcPr>
        <w:p w14:paraId="790DB954" w14:textId="77777777" w:rsidR="00F8313C" w:rsidRDefault="00F8313C">
          <w:pPr>
            <w:pStyle w:val="HeaderLiteEven"/>
          </w:pPr>
        </w:p>
      </w:tc>
      <w:tc>
        <w:tcPr>
          <w:tcW w:w="6868" w:type="dxa"/>
          <w:vAlign w:val="bottom"/>
        </w:tcPr>
        <w:p w14:paraId="1E8BD742" w14:textId="77777777" w:rsidR="00F8313C" w:rsidRDefault="00F8313C">
          <w:pPr>
            <w:pStyle w:val="HeaderLiteEven"/>
          </w:pPr>
        </w:p>
      </w:tc>
    </w:tr>
    <w:tr w:rsidR="00F8313C" w14:paraId="18E69F50" w14:textId="77777777">
      <w:tc>
        <w:tcPr>
          <w:tcW w:w="8414" w:type="dxa"/>
          <w:gridSpan w:val="2"/>
          <w:tcBorders>
            <w:bottom w:val="single" w:sz="4" w:space="0" w:color="auto"/>
          </w:tcBorders>
        </w:tcPr>
        <w:p w14:paraId="73A4EB5F" w14:textId="77777777" w:rsidR="00F8313C" w:rsidRDefault="00F8313C">
          <w:pPr>
            <w:pStyle w:val="HeaderLiteEven"/>
            <w:spacing w:before="120" w:after="60"/>
            <w:ind w:right="-108"/>
          </w:pPr>
        </w:p>
      </w:tc>
    </w:tr>
  </w:tbl>
  <w:p w14:paraId="627A8705" w14:textId="77777777" w:rsidR="00F8313C" w:rsidRDefault="00F8313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F310B" w14:textId="77777777" w:rsidR="00F8313C" w:rsidRPr="003E4BA7" w:rsidRDefault="00F8313C" w:rsidP="006B6ABD">
    <w:pPr>
      <w:jc w:val="center"/>
      <w:rPr>
        <w:rFonts w:ascii="Arial" w:hAnsi="Arial" w:cs="Arial"/>
        <w:i/>
      </w:rPr>
    </w:pPr>
  </w:p>
  <w:tbl>
    <w:tblPr>
      <w:tblW w:w="8346" w:type="dxa"/>
      <w:tblBorders>
        <w:bottom w:val="single" w:sz="4" w:space="0" w:color="auto"/>
      </w:tblBorders>
      <w:tblLayout w:type="fixed"/>
      <w:tblLook w:val="01E0" w:firstRow="1" w:lastRow="1" w:firstColumn="1" w:lastColumn="1" w:noHBand="0" w:noVBand="0"/>
    </w:tblPr>
    <w:tblGrid>
      <w:gridCol w:w="4361"/>
      <w:gridCol w:w="3985"/>
    </w:tblGrid>
    <w:tr w:rsidR="00F8313C" w14:paraId="3D6F8E9F" w14:textId="77777777" w:rsidTr="00642BA1">
      <w:tc>
        <w:tcPr>
          <w:tcW w:w="4361" w:type="dxa"/>
          <w:tcBorders>
            <w:bottom w:val="single" w:sz="4" w:space="0" w:color="auto"/>
          </w:tcBorders>
          <w:vAlign w:val="bottom"/>
        </w:tcPr>
        <w:p w14:paraId="7BA95EE4" w14:textId="77777777" w:rsidR="00F8313C" w:rsidRDefault="00F8313C">
          <w:pPr>
            <w:pStyle w:val="HeaderLiteOdd"/>
          </w:pPr>
        </w:p>
      </w:tc>
      <w:tc>
        <w:tcPr>
          <w:tcW w:w="3985" w:type="dxa"/>
          <w:tcBorders>
            <w:bottom w:val="single" w:sz="4" w:space="0" w:color="auto"/>
          </w:tcBorders>
        </w:tcPr>
        <w:p w14:paraId="2BAA4040" w14:textId="77777777" w:rsidR="00F8313C" w:rsidRDefault="00F8313C">
          <w:pPr>
            <w:pStyle w:val="HeaderLiteOdd"/>
          </w:pPr>
          <w:r>
            <w:t xml:space="preserve">Chapter 8 - </w:t>
          </w:r>
          <w:fldSimple w:instr=" STYLEREF CharChapText \*Charformat \l ">
            <w:r w:rsidR="00816652">
              <w:rPr>
                <w:noProof/>
              </w:rPr>
              <w:t>Assessment of uncertainty</w:t>
            </w:r>
          </w:fldSimple>
        </w:p>
      </w:tc>
    </w:tr>
  </w:tbl>
  <w:p w14:paraId="7BBF4C84" w14:textId="77777777" w:rsidR="00F8313C" w:rsidRDefault="00F8313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A8BD9" w14:textId="77777777" w:rsidR="00F8313C" w:rsidRPr="003E4BA7" w:rsidRDefault="00F8313C" w:rsidP="00BF0806">
    <w:pPr>
      <w:jc w:val="center"/>
      <w:rPr>
        <w:rFonts w:ascii="Arial" w:hAnsi="Arial" w:cs="Arial"/>
        <w:i/>
      </w:rPr>
    </w:pPr>
  </w:p>
  <w:tbl>
    <w:tblPr>
      <w:tblW w:w="8357" w:type="dxa"/>
      <w:tblLayout w:type="fixed"/>
      <w:tblLook w:val="01E0" w:firstRow="1" w:lastRow="1" w:firstColumn="1" w:lastColumn="1" w:noHBand="0" w:noVBand="0"/>
    </w:tblPr>
    <w:tblGrid>
      <w:gridCol w:w="8357"/>
    </w:tblGrid>
    <w:tr w:rsidR="00F8313C" w14:paraId="4EFADC18" w14:textId="77777777">
      <w:tc>
        <w:tcPr>
          <w:tcW w:w="8357" w:type="dxa"/>
          <w:tcBorders>
            <w:bottom w:val="single" w:sz="4" w:space="0" w:color="auto"/>
          </w:tcBorders>
        </w:tcPr>
        <w:p w14:paraId="262405AF" w14:textId="77777777" w:rsidR="00F8313C" w:rsidRPr="00BF0806" w:rsidRDefault="00F8313C">
          <w:pPr>
            <w:pStyle w:val="HeaderBoldEven"/>
            <w:rPr>
              <w:b w:val="0"/>
            </w:rPr>
          </w:pPr>
          <w:r w:rsidRPr="00AF7516">
            <w:rPr>
              <w:b w:val="0"/>
            </w:rPr>
            <w:t>Appendices</w:t>
          </w:r>
        </w:p>
      </w:tc>
    </w:tr>
  </w:tbl>
  <w:p w14:paraId="08DA768A" w14:textId="77777777" w:rsidR="00F8313C" w:rsidRDefault="00F8313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DBB2A" w14:textId="77777777" w:rsidR="00F8313C" w:rsidRPr="003E4BA7" w:rsidRDefault="00F8313C" w:rsidP="006B6ABD">
    <w:pPr>
      <w:jc w:val="center"/>
      <w:rPr>
        <w:rFonts w:ascii="Arial" w:hAnsi="Arial" w:cs="Arial"/>
        <w:i/>
      </w:rPr>
    </w:pPr>
  </w:p>
  <w:tbl>
    <w:tblPr>
      <w:tblW w:w="8357" w:type="dxa"/>
      <w:tblLayout w:type="fixed"/>
      <w:tblLook w:val="01E0" w:firstRow="1" w:lastRow="1" w:firstColumn="1" w:lastColumn="1" w:noHBand="0" w:noVBand="0"/>
    </w:tblPr>
    <w:tblGrid>
      <w:gridCol w:w="8357"/>
    </w:tblGrid>
    <w:tr w:rsidR="00F8313C" w14:paraId="01144087" w14:textId="77777777">
      <w:tc>
        <w:tcPr>
          <w:tcW w:w="8357" w:type="dxa"/>
        </w:tcPr>
        <w:p w14:paraId="5F920D47" w14:textId="77777777" w:rsidR="00F8313C" w:rsidRDefault="00F8313C" w:rsidP="006B6ABD">
          <w:pPr>
            <w:pStyle w:val="HeaderLiteOdd"/>
          </w:pPr>
        </w:p>
      </w:tc>
    </w:tr>
    <w:tr w:rsidR="00F8313C" w14:paraId="6435A5A3" w14:textId="77777777">
      <w:tc>
        <w:tcPr>
          <w:tcW w:w="8357" w:type="dxa"/>
          <w:tcBorders>
            <w:bottom w:val="single" w:sz="4" w:space="0" w:color="auto"/>
          </w:tcBorders>
        </w:tcPr>
        <w:p w14:paraId="00FC2575" w14:textId="77777777" w:rsidR="00F8313C" w:rsidRPr="006B6ABD" w:rsidRDefault="00F8313C">
          <w:pPr>
            <w:pStyle w:val="HeaderBoldOdd"/>
            <w:rPr>
              <w:b w:val="0"/>
              <w:sz w:val="18"/>
              <w:szCs w:val="18"/>
            </w:rPr>
          </w:pPr>
          <w:r w:rsidRPr="00AF7516">
            <w:rPr>
              <w:b w:val="0"/>
              <w:sz w:val="18"/>
              <w:szCs w:val="18"/>
            </w:rPr>
            <w:t>Appendices</w:t>
          </w:r>
        </w:p>
      </w:tc>
    </w:tr>
  </w:tbl>
  <w:p w14:paraId="79204306" w14:textId="77777777" w:rsidR="00F8313C" w:rsidRDefault="00F8313C"/>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D3C66" w14:textId="77777777" w:rsidR="00F8313C" w:rsidRDefault="00F8313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A4B8B" w14:textId="77777777" w:rsidR="00F8313C" w:rsidRPr="003E4BA7" w:rsidRDefault="00F8313C" w:rsidP="00BF0806">
    <w:pPr>
      <w:jc w:val="center"/>
      <w:rPr>
        <w:rFonts w:ascii="Arial" w:hAnsi="Arial" w:cs="Arial"/>
        <w:i/>
      </w:rPr>
    </w:pPr>
  </w:p>
  <w:tbl>
    <w:tblPr>
      <w:tblW w:w="0" w:type="auto"/>
      <w:tblLook w:val="01E0" w:firstRow="1" w:lastRow="1" w:firstColumn="1" w:lastColumn="1" w:noHBand="0" w:noVBand="0"/>
    </w:tblPr>
    <w:tblGrid>
      <w:gridCol w:w="8313"/>
    </w:tblGrid>
    <w:tr w:rsidR="00F8313C" w14:paraId="7944EC16" w14:textId="77777777">
      <w:tc>
        <w:tcPr>
          <w:tcW w:w="8385" w:type="dxa"/>
          <w:tcBorders>
            <w:bottom w:val="single" w:sz="4" w:space="0" w:color="auto"/>
          </w:tcBorders>
        </w:tcPr>
        <w:p w14:paraId="59B11379" w14:textId="77777777" w:rsidR="00F8313C" w:rsidRPr="00BF0806" w:rsidRDefault="00F8313C">
          <w:pPr>
            <w:pStyle w:val="HeaderBoldEven"/>
            <w:rPr>
              <w:b w:val="0"/>
              <w:sz w:val="18"/>
              <w:szCs w:val="18"/>
            </w:rPr>
          </w:pPr>
          <w:r w:rsidRPr="00AF7516">
            <w:rPr>
              <w:b w:val="0"/>
              <w:sz w:val="18"/>
              <w:szCs w:val="18"/>
            </w:rPr>
            <w:t>Appendices</w:t>
          </w:r>
        </w:p>
      </w:tc>
    </w:tr>
  </w:tbl>
  <w:p w14:paraId="6421EDBE" w14:textId="77777777" w:rsidR="00F8313C" w:rsidRDefault="00F8313C"/>
  <w:p w14:paraId="04AA85A4" w14:textId="77777777" w:rsidR="00F8313C" w:rsidRDefault="00F8313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6B0C8" w14:textId="77777777" w:rsidR="00F8313C" w:rsidRPr="003E4BA7" w:rsidRDefault="00F8313C" w:rsidP="00BF0806">
    <w:pPr>
      <w:jc w:val="center"/>
      <w:rPr>
        <w:rFonts w:ascii="Arial" w:hAnsi="Arial" w:cs="Arial"/>
        <w:i/>
      </w:rPr>
    </w:pPr>
  </w:p>
  <w:tbl>
    <w:tblPr>
      <w:tblW w:w="0" w:type="auto"/>
      <w:tblLook w:val="01E0" w:firstRow="1" w:lastRow="1" w:firstColumn="1" w:lastColumn="1" w:noHBand="0" w:noVBand="0"/>
    </w:tblPr>
    <w:tblGrid>
      <w:gridCol w:w="8313"/>
    </w:tblGrid>
    <w:tr w:rsidR="00F8313C" w14:paraId="0B1DB010" w14:textId="77777777">
      <w:tc>
        <w:tcPr>
          <w:tcW w:w="8385" w:type="dxa"/>
          <w:tcBorders>
            <w:bottom w:val="single" w:sz="4" w:space="0" w:color="auto"/>
          </w:tcBorders>
        </w:tcPr>
        <w:p w14:paraId="4378C4AB" w14:textId="77777777" w:rsidR="00F8313C" w:rsidRDefault="00F8313C" w:rsidP="00E71070">
          <w:pPr>
            <w:pStyle w:val="HeaderBoldOdd"/>
            <w:tabs>
              <w:tab w:val="left" w:pos="6663"/>
              <w:tab w:val="right" w:pos="8169"/>
            </w:tabs>
            <w:jc w:val="left"/>
          </w:pPr>
          <w:r>
            <w:rPr>
              <w:b w:val="0"/>
              <w:sz w:val="18"/>
            </w:rPr>
            <w:tab/>
          </w:r>
          <w:r>
            <w:rPr>
              <w:b w:val="0"/>
              <w:sz w:val="18"/>
            </w:rPr>
            <w:tab/>
            <w:t>Appendices</w:t>
          </w:r>
        </w:p>
      </w:tc>
    </w:tr>
  </w:tbl>
  <w:p w14:paraId="0CF8046C" w14:textId="77777777" w:rsidR="00F8313C" w:rsidRDefault="00F8313C"/>
  <w:p w14:paraId="21CE55F7" w14:textId="77777777" w:rsidR="00F8313C" w:rsidRDefault="00F8313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414" w:type="dxa"/>
      <w:tblLook w:val="01E0" w:firstRow="1" w:lastRow="1" w:firstColumn="1" w:lastColumn="1" w:noHBand="0" w:noVBand="0"/>
    </w:tblPr>
    <w:tblGrid>
      <w:gridCol w:w="6840"/>
      <w:gridCol w:w="1574"/>
    </w:tblGrid>
    <w:tr w:rsidR="00F8313C" w14:paraId="2C63E44D" w14:textId="77777777">
      <w:tc>
        <w:tcPr>
          <w:tcW w:w="6840" w:type="dxa"/>
          <w:vAlign w:val="bottom"/>
        </w:tcPr>
        <w:p w14:paraId="74BFB1CB" w14:textId="77777777" w:rsidR="00F8313C" w:rsidRDefault="00F8313C">
          <w:pPr>
            <w:pStyle w:val="HeaderLiteEven"/>
          </w:pPr>
        </w:p>
      </w:tc>
      <w:tc>
        <w:tcPr>
          <w:tcW w:w="1574" w:type="dxa"/>
        </w:tcPr>
        <w:p w14:paraId="7914C203" w14:textId="77777777" w:rsidR="00F8313C" w:rsidRDefault="00F8313C">
          <w:pPr>
            <w:pStyle w:val="HeaderLiteEven"/>
          </w:pPr>
        </w:p>
      </w:tc>
    </w:tr>
    <w:tr w:rsidR="00F8313C" w14:paraId="40D547A0" w14:textId="77777777">
      <w:tc>
        <w:tcPr>
          <w:tcW w:w="6840" w:type="dxa"/>
          <w:vAlign w:val="bottom"/>
        </w:tcPr>
        <w:p w14:paraId="0F3A3784" w14:textId="77777777" w:rsidR="00F8313C" w:rsidRDefault="00F8313C">
          <w:pPr>
            <w:pStyle w:val="HeaderLiteEven"/>
          </w:pPr>
        </w:p>
      </w:tc>
      <w:tc>
        <w:tcPr>
          <w:tcW w:w="1574" w:type="dxa"/>
        </w:tcPr>
        <w:p w14:paraId="477078C0" w14:textId="77777777" w:rsidR="00F8313C" w:rsidRDefault="00F8313C">
          <w:pPr>
            <w:pStyle w:val="HeaderLiteEven"/>
          </w:pPr>
        </w:p>
      </w:tc>
    </w:tr>
    <w:tr w:rsidR="00F8313C" w14:paraId="42CD3209" w14:textId="77777777">
      <w:tc>
        <w:tcPr>
          <w:tcW w:w="8414" w:type="dxa"/>
          <w:gridSpan w:val="2"/>
          <w:tcBorders>
            <w:bottom w:val="single" w:sz="4" w:space="0" w:color="auto"/>
          </w:tcBorders>
        </w:tcPr>
        <w:p w14:paraId="512991DA" w14:textId="77777777" w:rsidR="00F8313C" w:rsidRDefault="00F8313C">
          <w:pPr>
            <w:pStyle w:val="HeaderLiteEven"/>
            <w:spacing w:before="120" w:after="60"/>
            <w:ind w:right="-108"/>
          </w:pPr>
        </w:p>
      </w:tc>
    </w:tr>
  </w:tbl>
  <w:p w14:paraId="550554F1" w14:textId="77777777" w:rsidR="00F8313C" w:rsidRDefault="00F8313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6F190" w14:textId="77777777" w:rsidR="00816652" w:rsidRDefault="008166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7476" w:type="dxa"/>
      <w:tblLook w:val="01E0" w:firstRow="1" w:lastRow="1" w:firstColumn="1" w:lastColumn="1" w:noHBand="0" w:noVBand="0"/>
    </w:tblPr>
    <w:tblGrid>
      <w:gridCol w:w="2017"/>
      <w:gridCol w:w="4605"/>
      <w:gridCol w:w="7838"/>
      <w:gridCol w:w="3016"/>
    </w:tblGrid>
    <w:tr w:rsidR="00F8313C" w14:paraId="566F37A2" w14:textId="77777777" w:rsidTr="000C7647">
      <w:tc>
        <w:tcPr>
          <w:tcW w:w="10194" w:type="dxa"/>
          <w:gridSpan w:val="3"/>
          <w:vAlign w:val="bottom"/>
        </w:tcPr>
        <w:p w14:paraId="73BA22ED" w14:textId="77777777" w:rsidR="00F8313C" w:rsidRDefault="00F8313C">
          <w:pPr>
            <w:pStyle w:val="HeaderLiteEven"/>
          </w:pPr>
        </w:p>
      </w:tc>
      <w:tc>
        <w:tcPr>
          <w:tcW w:w="0" w:type="auto"/>
        </w:tcPr>
        <w:p w14:paraId="46DAE425" w14:textId="77777777" w:rsidR="00F8313C" w:rsidRDefault="00F8313C">
          <w:pPr>
            <w:pStyle w:val="HeaderLiteEven"/>
            <w:ind w:right="-108"/>
          </w:pPr>
        </w:p>
      </w:tc>
    </w:tr>
    <w:tr w:rsidR="00F8313C" w14:paraId="6C5B8882" w14:textId="77777777" w:rsidTr="000C7647">
      <w:trPr>
        <w:gridAfter w:val="1"/>
      </w:trPr>
      <w:tc>
        <w:tcPr>
          <w:tcW w:w="1320" w:type="dxa"/>
          <w:tcBorders>
            <w:bottom w:val="single" w:sz="4" w:space="0" w:color="auto"/>
          </w:tcBorders>
          <w:vAlign w:val="bottom"/>
        </w:tcPr>
        <w:p w14:paraId="03B613AD" w14:textId="77777777" w:rsidR="00F8313C" w:rsidRDefault="00F8313C">
          <w:pPr>
            <w:pStyle w:val="HeaderLiteEven"/>
            <w:ind w:right="-1682"/>
          </w:pPr>
        </w:p>
      </w:tc>
      <w:tc>
        <w:tcPr>
          <w:tcW w:w="0" w:type="auto"/>
        </w:tcPr>
        <w:p w14:paraId="7B1D94CF" w14:textId="77777777" w:rsidR="00F8313C" w:rsidRDefault="00F8313C">
          <w:pPr>
            <w:pStyle w:val="HeaderLiteEven"/>
            <w:ind w:right="-108"/>
          </w:pPr>
        </w:p>
      </w:tc>
      <w:tc>
        <w:tcPr>
          <w:tcW w:w="5131" w:type="dxa"/>
          <w:vAlign w:val="bottom"/>
        </w:tcPr>
        <w:p w14:paraId="38E2B58C" w14:textId="77777777" w:rsidR="00F8313C" w:rsidRDefault="00F8313C">
          <w:pPr>
            <w:pStyle w:val="HeaderLiteEven"/>
            <w:ind w:right="-108"/>
          </w:pPr>
        </w:p>
      </w:tc>
    </w:tr>
  </w:tbl>
  <w:p w14:paraId="0E90DC77" w14:textId="77777777" w:rsidR="00F8313C" w:rsidRDefault="00F8313C">
    <w:pPr>
      <w:pStyle w:val="HeaderContentsPag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25242" w:type="dxa"/>
      <w:tblLayout w:type="fixed"/>
      <w:tblLook w:val="01E0" w:firstRow="1" w:lastRow="1" w:firstColumn="1" w:lastColumn="1" w:noHBand="0" w:noVBand="0"/>
    </w:tblPr>
    <w:tblGrid>
      <w:gridCol w:w="8346"/>
      <w:gridCol w:w="68"/>
      <w:gridCol w:w="8414"/>
      <w:gridCol w:w="8414"/>
    </w:tblGrid>
    <w:tr w:rsidR="00F8313C" w14:paraId="0362C149" w14:textId="77777777" w:rsidTr="00012B06">
      <w:trPr>
        <w:trHeight w:val="366"/>
      </w:trPr>
      <w:tc>
        <w:tcPr>
          <w:tcW w:w="8414" w:type="dxa"/>
          <w:gridSpan w:val="2"/>
          <w:vAlign w:val="bottom"/>
        </w:tcPr>
        <w:p w14:paraId="03029C28" w14:textId="77777777" w:rsidR="00F8313C" w:rsidRDefault="00F8313C" w:rsidP="00074588">
          <w:pPr>
            <w:pStyle w:val="HeaderLiteOdd"/>
            <w:rPr>
              <w:szCs w:val="18"/>
            </w:rPr>
          </w:pPr>
        </w:p>
      </w:tc>
      <w:tc>
        <w:tcPr>
          <w:tcW w:w="8414" w:type="dxa"/>
        </w:tcPr>
        <w:p w14:paraId="162D4DAD" w14:textId="18962266" w:rsidR="00F8313C" w:rsidRDefault="00972151">
          <w:pPr>
            <w:pStyle w:val="HeaderLiteOdd"/>
          </w:pPr>
          <w:fldSimple w:instr=" STYLEREF CharChapNo \*Charformat \l ">
            <w:r w:rsidR="00C2330D">
              <w:rPr>
                <w:noProof/>
              </w:rPr>
              <w:t>Chapter 1</w:t>
            </w:r>
          </w:fldSimple>
        </w:p>
      </w:tc>
      <w:tc>
        <w:tcPr>
          <w:tcW w:w="8414" w:type="dxa"/>
        </w:tcPr>
        <w:p w14:paraId="6309A098" w14:textId="77777777" w:rsidR="00F8313C" w:rsidRDefault="00F8313C">
          <w:pPr>
            <w:pStyle w:val="HeaderLiteOdd"/>
          </w:pPr>
          <w:r>
            <w:t>Contents</w:t>
          </w:r>
        </w:p>
      </w:tc>
    </w:tr>
    <w:tr w:rsidR="00F8313C" w14:paraId="06EA7254" w14:textId="77777777">
      <w:trPr>
        <w:gridAfter w:val="3"/>
        <w:wAfter w:w="16896" w:type="dxa"/>
      </w:trPr>
      <w:tc>
        <w:tcPr>
          <w:tcW w:w="8346" w:type="dxa"/>
          <w:tcBorders>
            <w:bottom w:val="single" w:sz="4" w:space="0" w:color="auto"/>
          </w:tcBorders>
          <w:vAlign w:val="bottom"/>
        </w:tcPr>
        <w:p w14:paraId="7E9DCDBB" w14:textId="77777777" w:rsidR="00F8313C" w:rsidRDefault="00F8313C">
          <w:pPr>
            <w:pStyle w:val="HeaderBoldOdd"/>
            <w:rPr>
              <w:b w:val="0"/>
              <w:sz w:val="18"/>
              <w:szCs w:val="18"/>
            </w:rPr>
          </w:pPr>
        </w:p>
      </w:tc>
    </w:tr>
  </w:tbl>
  <w:p w14:paraId="6B30A980" w14:textId="77777777" w:rsidR="00F8313C" w:rsidRDefault="00F8313C">
    <w:pPr>
      <w:pStyle w:val="HeaderContentsPag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5AA3D" w14:textId="77777777" w:rsidR="00F8313C" w:rsidRPr="003E4BA7" w:rsidRDefault="00F8313C" w:rsidP="006B6ABD">
    <w:pPr>
      <w:jc w:val="center"/>
      <w:rPr>
        <w:rFonts w:ascii="Arial" w:hAnsi="Arial" w:cs="Arial"/>
        <w:i/>
      </w:rPr>
    </w:pPr>
  </w:p>
  <w:tbl>
    <w:tblPr>
      <w:tblW w:w="0" w:type="auto"/>
      <w:tblBorders>
        <w:bottom w:val="single" w:sz="4" w:space="0" w:color="auto"/>
      </w:tblBorders>
      <w:tblLayout w:type="fixed"/>
      <w:tblLook w:val="01E0" w:firstRow="1" w:lastRow="1" w:firstColumn="1" w:lastColumn="1" w:noHBand="0" w:noVBand="0"/>
    </w:tblPr>
    <w:tblGrid>
      <w:gridCol w:w="4316"/>
      <w:gridCol w:w="4030"/>
    </w:tblGrid>
    <w:tr w:rsidR="00F8313C" w14:paraId="3048174A" w14:textId="77777777" w:rsidTr="00642BA1">
      <w:tc>
        <w:tcPr>
          <w:tcW w:w="4316" w:type="dxa"/>
          <w:tcBorders>
            <w:bottom w:val="single" w:sz="4" w:space="0" w:color="auto"/>
          </w:tcBorders>
        </w:tcPr>
        <w:p w14:paraId="21C0D189" w14:textId="77777777" w:rsidR="00F8313C" w:rsidRDefault="00F8313C" w:rsidP="00642BA1">
          <w:pPr>
            <w:pStyle w:val="HeaderLiteEven"/>
            <w:tabs>
              <w:tab w:val="clear" w:pos="3969"/>
              <w:tab w:val="center" w:pos="4253"/>
            </w:tabs>
            <w:rPr>
              <w:noProof/>
            </w:rPr>
          </w:pPr>
          <w:r>
            <w:t xml:space="preserve">Chapter 7 - </w:t>
          </w:r>
          <w:fldSimple w:instr=" STYLEREF CharChapText \*Charformat ">
            <w:r w:rsidR="00766D30">
              <w:rPr>
                <w:noProof/>
              </w:rPr>
              <w:t>General</w:t>
            </w:r>
          </w:fldSimple>
        </w:p>
      </w:tc>
      <w:tc>
        <w:tcPr>
          <w:tcW w:w="4030" w:type="dxa"/>
          <w:tcBorders>
            <w:bottom w:val="single" w:sz="4" w:space="0" w:color="auto"/>
          </w:tcBorders>
          <w:vAlign w:val="bottom"/>
        </w:tcPr>
        <w:p w14:paraId="7D333368" w14:textId="77777777" w:rsidR="00F8313C" w:rsidRDefault="00F8313C">
          <w:pPr>
            <w:pStyle w:val="HeaderLiteEven"/>
          </w:pPr>
        </w:p>
      </w:tc>
    </w:tr>
  </w:tbl>
  <w:p w14:paraId="58B24B1F" w14:textId="77777777" w:rsidR="00F8313C" w:rsidRDefault="00F8313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D4701" w14:textId="77777777" w:rsidR="00F8313C" w:rsidRPr="003E4BA7" w:rsidRDefault="00F8313C" w:rsidP="006B6ABD">
    <w:pPr>
      <w:jc w:val="center"/>
      <w:rPr>
        <w:rFonts w:ascii="Arial" w:hAnsi="Arial" w:cs="Arial"/>
        <w:i/>
      </w:rPr>
    </w:pPr>
  </w:p>
  <w:tbl>
    <w:tblPr>
      <w:tblW w:w="8346" w:type="dxa"/>
      <w:tblBorders>
        <w:bottom w:val="single" w:sz="4" w:space="0" w:color="auto"/>
      </w:tblBorders>
      <w:tblLayout w:type="fixed"/>
      <w:tblLook w:val="01E0" w:firstRow="1" w:lastRow="1" w:firstColumn="1" w:lastColumn="1" w:noHBand="0" w:noVBand="0"/>
    </w:tblPr>
    <w:tblGrid>
      <w:gridCol w:w="4361"/>
      <w:gridCol w:w="3985"/>
    </w:tblGrid>
    <w:tr w:rsidR="00F8313C" w14:paraId="1793D407" w14:textId="77777777" w:rsidTr="00642BA1">
      <w:tc>
        <w:tcPr>
          <w:tcW w:w="4361" w:type="dxa"/>
          <w:tcBorders>
            <w:bottom w:val="single" w:sz="4" w:space="0" w:color="auto"/>
          </w:tcBorders>
          <w:vAlign w:val="bottom"/>
        </w:tcPr>
        <w:p w14:paraId="57E9BC97" w14:textId="77777777" w:rsidR="00F8313C" w:rsidRDefault="00F8313C">
          <w:pPr>
            <w:pStyle w:val="HeaderLiteOdd"/>
          </w:pPr>
        </w:p>
      </w:tc>
      <w:tc>
        <w:tcPr>
          <w:tcW w:w="3985" w:type="dxa"/>
          <w:tcBorders>
            <w:bottom w:val="single" w:sz="4" w:space="0" w:color="auto"/>
          </w:tcBorders>
        </w:tcPr>
        <w:p w14:paraId="3CF4D4C8" w14:textId="42479072" w:rsidR="00F8313C" w:rsidRDefault="00F8313C">
          <w:pPr>
            <w:pStyle w:val="HeaderLiteOdd"/>
          </w:pPr>
          <w:r>
            <w:t xml:space="preserve">Chapter 7 - </w:t>
          </w:r>
          <w:fldSimple w:instr=" STYLEREF CharChapText \*Charformat \l ">
            <w:r w:rsidR="00C2330D">
              <w:rPr>
                <w:noProof/>
              </w:rPr>
              <w:t>Energy</w:t>
            </w:r>
          </w:fldSimple>
        </w:p>
      </w:tc>
    </w:tr>
  </w:tbl>
  <w:p w14:paraId="1D39BC14" w14:textId="77777777" w:rsidR="00F8313C" w:rsidRDefault="00F8313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7A85A" w14:textId="77777777" w:rsidR="00F8313C" w:rsidRDefault="00F8313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53D33" w14:textId="77777777" w:rsidR="00F8313C" w:rsidRPr="003E4BA7" w:rsidRDefault="00F8313C" w:rsidP="006B6ABD">
    <w:pPr>
      <w:jc w:val="center"/>
      <w:rPr>
        <w:rFonts w:ascii="Arial" w:hAnsi="Arial" w:cs="Arial"/>
        <w:i/>
      </w:rPr>
    </w:pPr>
  </w:p>
  <w:tbl>
    <w:tblPr>
      <w:tblW w:w="0" w:type="auto"/>
      <w:tblBorders>
        <w:bottom w:val="single" w:sz="4" w:space="0" w:color="auto"/>
      </w:tblBorders>
      <w:tblLayout w:type="fixed"/>
      <w:tblLook w:val="01E0" w:firstRow="1" w:lastRow="1" w:firstColumn="1" w:lastColumn="1" w:noHBand="0" w:noVBand="0"/>
    </w:tblPr>
    <w:tblGrid>
      <w:gridCol w:w="4316"/>
      <w:gridCol w:w="4030"/>
    </w:tblGrid>
    <w:tr w:rsidR="00F8313C" w14:paraId="406A2AE3" w14:textId="77777777" w:rsidTr="00642BA1">
      <w:tc>
        <w:tcPr>
          <w:tcW w:w="4316" w:type="dxa"/>
          <w:tcBorders>
            <w:bottom w:val="single" w:sz="4" w:space="0" w:color="auto"/>
          </w:tcBorders>
        </w:tcPr>
        <w:p w14:paraId="22E98F3E" w14:textId="77777777" w:rsidR="00F8313C" w:rsidRDefault="00F8313C" w:rsidP="00642BA1">
          <w:pPr>
            <w:pStyle w:val="HeaderLiteEven"/>
            <w:tabs>
              <w:tab w:val="clear" w:pos="3969"/>
              <w:tab w:val="center" w:pos="4253"/>
            </w:tabs>
            <w:rPr>
              <w:noProof/>
            </w:rPr>
          </w:pPr>
          <w:r>
            <w:t xml:space="preserve">Chapter 8 - </w:t>
          </w:r>
          <w:fldSimple w:instr=" STYLEREF CharChapText \*Charformat ">
            <w:r w:rsidR="00766D30">
              <w:rPr>
                <w:noProof/>
              </w:rPr>
              <w:t>Scope 2 emissions</w:t>
            </w:r>
          </w:fldSimple>
        </w:p>
      </w:tc>
      <w:tc>
        <w:tcPr>
          <w:tcW w:w="4030" w:type="dxa"/>
          <w:tcBorders>
            <w:bottom w:val="single" w:sz="4" w:space="0" w:color="auto"/>
          </w:tcBorders>
          <w:vAlign w:val="bottom"/>
        </w:tcPr>
        <w:p w14:paraId="7528FC76" w14:textId="77777777" w:rsidR="00F8313C" w:rsidRDefault="00F8313C">
          <w:pPr>
            <w:pStyle w:val="HeaderLiteEven"/>
          </w:pPr>
        </w:p>
      </w:tc>
    </w:tr>
  </w:tbl>
  <w:p w14:paraId="43FC0F38" w14:textId="77777777" w:rsidR="00F8313C" w:rsidRDefault="00F8313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4459E"/>
    <w:multiLevelType w:val="hybridMultilevel"/>
    <w:tmpl w:val="E29E58C0"/>
    <w:lvl w:ilvl="0" w:tplc="0C090003">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04391E84"/>
    <w:multiLevelType w:val="hybridMultilevel"/>
    <w:tmpl w:val="8236BC8A"/>
    <w:lvl w:ilvl="0" w:tplc="6BDC6B4A">
      <w:start w:val="1"/>
      <w:numFmt w:val="lowerLetter"/>
      <w:lvlText w:val="(%1)"/>
      <w:lvlJc w:val="left"/>
      <w:pPr>
        <w:tabs>
          <w:tab w:val="num" w:pos="720"/>
        </w:tabs>
        <w:ind w:left="720" w:hanging="360"/>
      </w:pPr>
      <w:rPr>
        <w:rFonts w:cs="Times New Roman" w:hint="default"/>
      </w:rPr>
    </w:lvl>
    <w:lvl w:ilvl="1" w:tplc="F9A02628" w:tentative="1">
      <w:start w:val="1"/>
      <w:numFmt w:val="lowerLetter"/>
      <w:lvlText w:val="%2."/>
      <w:lvlJc w:val="left"/>
      <w:pPr>
        <w:tabs>
          <w:tab w:val="num" w:pos="1440"/>
        </w:tabs>
        <w:ind w:left="1440" w:hanging="360"/>
      </w:pPr>
      <w:rPr>
        <w:rFonts w:cs="Times New Roman"/>
      </w:rPr>
    </w:lvl>
    <w:lvl w:ilvl="2" w:tplc="270EB8F6" w:tentative="1">
      <w:start w:val="1"/>
      <w:numFmt w:val="lowerRoman"/>
      <w:lvlText w:val="%3."/>
      <w:lvlJc w:val="right"/>
      <w:pPr>
        <w:tabs>
          <w:tab w:val="num" w:pos="2160"/>
        </w:tabs>
        <w:ind w:left="2160" w:hanging="180"/>
      </w:pPr>
      <w:rPr>
        <w:rFonts w:cs="Times New Roman"/>
      </w:rPr>
    </w:lvl>
    <w:lvl w:ilvl="3" w:tplc="67048DE2" w:tentative="1">
      <w:start w:val="1"/>
      <w:numFmt w:val="decimal"/>
      <w:lvlText w:val="%4."/>
      <w:lvlJc w:val="left"/>
      <w:pPr>
        <w:tabs>
          <w:tab w:val="num" w:pos="2880"/>
        </w:tabs>
        <w:ind w:left="2880" w:hanging="360"/>
      </w:pPr>
      <w:rPr>
        <w:rFonts w:cs="Times New Roman"/>
      </w:rPr>
    </w:lvl>
    <w:lvl w:ilvl="4" w:tplc="7B1C3CCC" w:tentative="1">
      <w:start w:val="1"/>
      <w:numFmt w:val="lowerLetter"/>
      <w:lvlText w:val="%5."/>
      <w:lvlJc w:val="left"/>
      <w:pPr>
        <w:tabs>
          <w:tab w:val="num" w:pos="3600"/>
        </w:tabs>
        <w:ind w:left="3600" w:hanging="360"/>
      </w:pPr>
      <w:rPr>
        <w:rFonts w:cs="Times New Roman"/>
      </w:rPr>
    </w:lvl>
    <w:lvl w:ilvl="5" w:tplc="ACC6BC5E" w:tentative="1">
      <w:start w:val="1"/>
      <w:numFmt w:val="lowerRoman"/>
      <w:lvlText w:val="%6."/>
      <w:lvlJc w:val="right"/>
      <w:pPr>
        <w:tabs>
          <w:tab w:val="num" w:pos="4320"/>
        </w:tabs>
        <w:ind w:left="4320" w:hanging="180"/>
      </w:pPr>
      <w:rPr>
        <w:rFonts w:cs="Times New Roman"/>
      </w:rPr>
    </w:lvl>
    <w:lvl w:ilvl="6" w:tplc="F52E68D2" w:tentative="1">
      <w:start w:val="1"/>
      <w:numFmt w:val="decimal"/>
      <w:lvlText w:val="%7."/>
      <w:lvlJc w:val="left"/>
      <w:pPr>
        <w:tabs>
          <w:tab w:val="num" w:pos="5040"/>
        </w:tabs>
        <w:ind w:left="5040" w:hanging="360"/>
      </w:pPr>
      <w:rPr>
        <w:rFonts w:cs="Times New Roman"/>
      </w:rPr>
    </w:lvl>
    <w:lvl w:ilvl="7" w:tplc="CFDA67EC" w:tentative="1">
      <w:start w:val="1"/>
      <w:numFmt w:val="lowerLetter"/>
      <w:lvlText w:val="%8."/>
      <w:lvlJc w:val="left"/>
      <w:pPr>
        <w:tabs>
          <w:tab w:val="num" w:pos="5760"/>
        </w:tabs>
        <w:ind w:left="5760" w:hanging="360"/>
      </w:pPr>
      <w:rPr>
        <w:rFonts w:cs="Times New Roman"/>
      </w:rPr>
    </w:lvl>
    <w:lvl w:ilvl="8" w:tplc="40C097FE" w:tentative="1">
      <w:start w:val="1"/>
      <w:numFmt w:val="lowerRoman"/>
      <w:lvlText w:val="%9."/>
      <w:lvlJc w:val="right"/>
      <w:pPr>
        <w:tabs>
          <w:tab w:val="num" w:pos="6480"/>
        </w:tabs>
        <w:ind w:left="6480" w:hanging="180"/>
      </w:pPr>
      <w:rPr>
        <w:rFonts w:cs="Times New Roman"/>
      </w:rPr>
    </w:lvl>
  </w:abstractNum>
  <w:abstractNum w:abstractNumId="2" w15:restartNumberingAfterBreak="0">
    <w:nsid w:val="07AD18BA"/>
    <w:multiLevelType w:val="hybridMultilevel"/>
    <w:tmpl w:val="B58C5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166928"/>
    <w:multiLevelType w:val="hybridMultilevel"/>
    <w:tmpl w:val="EBFCD1A8"/>
    <w:lvl w:ilvl="0" w:tplc="C06C6882">
      <w:start w:val="1"/>
      <w:numFmt w:val="lowerLetter"/>
      <w:lvlText w:val="(%1)"/>
      <w:lvlJc w:val="left"/>
      <w:pPr>
        <w:tabs>
          <w:tab w:val="num" w:pos="525"/>
        </w:tabs>
        <w:ind w:left="525" w:hanging="360"/>
      </w:pPr>
      <w:rPr>
        <w:rFonts w:cs="Times New Roman" w:hint="default"/>
      </w:rPr>
    </w:lvl>
    <w:lvl w:ilvl="1" w:tplc="0C090019" w:tentative="1">
      <w:start w:val="1"/>
      <w:numFmt w:val="lowerLetter"/>
      <w:lvlText w:val="%2."/>
      <w:lvlJc w:val="left"/>
      <w:pPr>
        <w:tabs>
          <w:tab w:val="num" w:pos="1245"/>
        </w:tabs>
        <w:ind w:left="1245" w:hanging="360"/>
      </w:pPr>
      <w:rPr>
        <w:rFonts w:cs="Times New Roman"/>
      </w:rPr>
    </w:lvl>
    <w:lvl w:ilvl="2" w:tplc="0C09001B" w:tentative="1">
      <w:start w:val="1"/>
      <w:numFmt w:val="lowerRoman"/>
      <w:lvlText w:val="%3."/>
      <w:lvlJc w:val="right"/>
      <w:pPr>
        <w:tabs>
          <w:tab w:val="num" w:pos="1965"/>
        </w:tabs>
        <w:ind w:left="1965" w:hanging="180"/>
      </w:pPr>
      <w:rPr>
        <w:rFonts w:cs="Times New Roman"/>
      </w:rPr>
    </w:lvl>
    <w:lvl w:ilvl="3" w:tplc="0C09000F" w:tentative="1">
      <w:start w:val="1"/>
      <w:numFmt w:val="decimal"/>
      <w:lvlText w:val="%4."/>
      <w:lvlJc w:val="left"/>
      <w:pPr>
        <w:tabs>
          <w:tab w:val="num" w:pos="2685"/>
        </w:tabs>
        <w:ind w:left="2685" w:hanging="360"/>
      </w:pPr>
      <w:rPr>
        <w:rFonts w:cs="Times New Roman"/>
      </w:rPr>
    </w:lvl>
    <w:lvl w:ilvl="4" w:tplc="0C090019" w:tentative="1">
      <w:start w:val="1"/>
      <w:numFmt w:val="lowerLetter"/>
      <w:lvlText w:val="%5."/>
      <w:lvlJc w:val="left"/>
      <w:pPr>
        <w:tabs>
          <w:tab w:val="num" w:pos="3405"/>
        </w:tabs>
        <w:ind w:left="3405" w:hanging="360"/>
      </w:pPr>
      <w:rPr>
        <w:rFonts w:cs="Times New Roman"/>
      </w:rPr>
    </w:lvl>
    <w:lvl w:ilvl="5" w:tplc="0C09001B" w:tentative="1">
      <w:start w:val="1"/>
      <w:numFmt w:val="lowerRoman"/>
      <w:lvlText w:val="%6."/>
      <w:lvlJc w:val="right"/>
      <w:pPr>
        <w:tabs>
          <w:tab w:val="num" w:pos="4125"/>
        </w:tabs>
        <w:ind w:left="4125" w:hanging="180"/>
      </w:pPr>
      <w:rPr>
        <w:rFonts w:cs="Times New Roman"/>
      </w:rPr>
    </w:lvl>
    <w:lvl w:ilvl="6" w:tplc="0C09000F" w:tentative="1">
      <w:start w:val="1"/>
      <w:numFmt w:val="decimal"/>
      <w:lvlText w:val="%7."/>
      <w:lvlJc w:val="left"/>
      <w:pPr>
        <w:tabs>
          <w:tab w:val="num" w:pos="4845"/>
        </w:tabs>
        <w:ind w:left="4845" w:hanging="360"/>
      </w:pPr>
      <w:rPr>
        <w:rFonts w:cs="Times New Roman"/>
      </w:rPr>
    </w:lvl>
    <w:lvl w:ilvl="7" w:tplc="0C090019" w:tentative="1">
      <w:start w:val="1"/>
      <w:numFmt w:val="lowerLetter"/>
      <w:lvlText w:val="%8."/>
      <w:lvlJc w:val="left"/>
      <w:pPr>
        <w:tabs>
          <w:tab w:val="num" w:pos="5565"/>
        </w:tabs>
        <w:ind w:left="5565" w:hanging="360"/>
      </w:pPr>
      <w:rPr>
        <w:rFonts w:cs="Times New Roman"/>
      </w:rPr>
    </w:lvl>
    <w:lvl w:ilvl="8" w:tplc="0C09001B" w:tentative="1">
      <w:start w:val="1"/>
      <w:numFmt w:val="lowerRoman"/>
      <w:lvlText w:val="%9."/>
      <w:lvlJc w:val="right"/>
      <w:pPr>
        <w:tabs>
          <w:tab w:val="num" w:pos="6285"/>
        </w:tabs>
        <w:ind w:left="6285" w:hanging="180"/>
      </w:pPr>
      <w:rPr>
        <w:rFonts w:cs="Times New Roman"/>
      </w:rPr>
    </w:lvl>
  </w:abstractNum>
  <w:abstractNum w:abstractNumId="4" w15:restartNumberingAfterBreak="0">
    <w:nsid w:val="08DF7606"/>
    <w:multiLevelType w:val="hybridMultilevel"/>
    <w:tmpl w:val="05C83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0D356D"/>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 w15:restartNumberingAfterBreak="0">
    <w:nsid w:val="0EEF26E6"/>
    <w:multiLevelType w:val="hybridMultilevel"/>
    <w:tmpl w:val="22D6F30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9865C5"/>
    <w:multiLevelType w:val="hybridMultilevel"/>
    <w:tmpl w:val="EC507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353823"/>
    <w:multiLevelType w:val="hybridMultilevel"/>
    <w:tmpl w:val="919C7240"/>
    <w:lvl w:ilvl="0" w:tplc="C9DEFEAE">
      <w:start w:val="1"/>
      <w:numFmt w:val="bullet"/>
      <w:lvlText w:val=""/>
      <w:lvlJc w:val="left"/>
      <w:pPr>
        <w:tabs>
          <w:tab w:val="num" w:pos="720"/>
        </w:tabs>
        <w:ind w:left="720" w:hanging="360"/>
      </w:pPr>
      <w:rPr>
        <w:rFonts w:ascii="Symbol" w:hAnsi="Symbol" w:hint="default"/>
      </w:rPr>
    </w:lvl>
    <w:lvl w:ilvl="1" w:tplc="F5E27012" w:tentative="1">
      <w:start w:val="1"/>
      <w:numFmt w:val="bullet"/>
      <w:lvlText w:val="o"/>
      <w:lvlJc w:val="left"/>
      <w:pPr>
        <w:tabs>
          <w:tab w:val="num" w:pos="1440"/>
        </w:tabs>
        <w:ind w:left="1440" w:hanging="360"/>
      </w:pPr>
      <w:rPr>
        <w:rFonts w:ascii="Courier New" w:hAnsi="Courier New" w:hint="default"/>
      </w:rPr>
    </w:lvl>
    <w:lvl w:ilvl="2" w:tplc="F6BACF58" w:tentative="1">
      <w:start w:val="1"/>
      <w:numFmt w:val="bullet"/>
      <w:lvlText w:val=""/>
      <w:lvlJc w:val="left"/>
      <w:pPr>
        <w:tabs>
          <w:tab w:val="num" w:pos="2160"/>
        </w:tabs>
        <w:ind w:left="2160" w:hanging="360"/>
      </w:pPr>
      <w:rPr>
        <w:rFonts w:ascii="Wingdings" w:hAnsi="Wingdings" w:hint="default"/>
      </w:rPr>
    </w:lvl>
    <w:lvl w:ilvl="3" w:tplc="16CE52A2" w:tentative="1">
      <w:start w:val="1"/>
      <w:numFmt w:val="bullet"/>
      <w:lvlText w:val=""/>
      <w:lvlJc w:val="left"/>
      <w:pPr>
        <w:tabs>
          <w:tab w:val="num" w:pos="2880"/>
        </w:tabs>
        <w:ind w:left="2880" w:hanging="360"/>
      </w:pPr>
      <w:rPr>
        <w:rFonts w:ascii="Symbol" w:hAnsi="Symbol" w:hint="default"/>
      </w:rPr>
    </w:lvl>
    <w:lvl w:ilvl="4" w:tplc="9488CAF4" w:tentative="1">
      <w:start w:val="1"/>
      <w:numFmt w:val="bullet"/>
      <w:lvlText w:val="o"/>
      <w:lvlJc w:val="left"/>
      <w:pPr>
        <w:tabs>
          <w:tab w:val="num" w:pos="3600"/>
        </w:tabs>
        <w:ind w:left="3600" w:hanging="360"/>
      </w:pPr>
      <w:rPr>
        <w:rFonts w:ascii="Courier New" w:hAnsi="Courier New" w:hint="default"/>
      </w:rPr>
    </w:lvl>
    <w:lvl w:ilvl="5" w:tplc="ACDE2BDE" w:tentative="1">
      <w:start w:val="1"/>
      <w:numFmt w:val="bullet"/>
      <w:lvlText w:val=""/>
      <w:lvlJc w:val="left"/>
      <w:pPr>
        <w:tabs>
          <w:tab w:val="num" w:pos="4320"/>
        </w:tabs>
        <w:ind w:left="4320" w:hanging="360"/>
      </w:pPr>
      <w:rPr>
        <w:rFonts w:ascii="Wingdings" w:hAnsi="Wingdings" w:hint="default"/>
      </w:rPr>
    </w:lvl>
    <w:lvl w:ilvl="6" w:tplc="5DA63906" w:tentative="1">
      <w:start w:val="1"/>
      <w:numFmt w:val="bullet"/>
      <w:lvlText w:val=""/>
      <w:lvlJc w:val="left"/>
      <w:pPr>
        <w:tabs>
          <w:tab w:val="num" w:pos="5040"/>
        </w:tabs>
        <w:ind w:left="5040" w:hanging="360"/>
      </w:pPr>
      <w:rPr>
        <w:rFonts w:ascii="Symbol" w:hAnsi="Symbol" w:hint="default"/>
      </w:rPr>
    </w:lvl>
    <w:lvl w:ilvl="7" w:tplc="2EFE21C6" w:tentative="1">
      <w:start w:val="1"/>
      <w:numFmt w:val="bullet"/>
      <w:lvlText w:val="o"/>
      <w:lvlJc w:val="left"/>
      <w:pPr>
        <w:tabs>
          <w:tab w:val="num" w:pos="5760"/>
        </w:tabs>
        <w:ind w:left="5760" w:hanging="360"/>
      </w:pPr>
      <w:rPr>
        <w:rFonts w:ascii="Courier New" w:hAnsi="Courier New" w:hint="default"/>
      </w:rPr>
    </w:lvl>
    <w:lvl w:ilvl="8" w:tplc="0226AA3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8471C5"/>
    <w:multiLevelType w:val="hybridMultilevel"/>
    <w:tmpl w:val="C4A45C5E"/>
    <w:lvl w:ilvl="0" w:tplc="196A6B84">
      <w:start w:val="2"/>
      <w:numFmt w:val="lowerLetter"/>
      <w:lvlText w:val="(%1)"/>
      <w:lvlJc w:val="left"/>
      <w:pPr>
        <w:ind w:left="1324" w:hanging="360"/>
      </w:pPr>
      <w:rPr>
        <w:rFonts w:cs="Times New Roman"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3F25C16"/>
    <w:multiLevelType w:val="hybridMultilevel"/>
    <w:tmpl w:val="134471E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15016A82"/>
    <w:multiLevelType w:val="hybridMultilevel"/>
    <w:tmpl w:val="9348D11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18327664"/>
    <w:multiLevelType w:val="multilevel"/>
    <w:tmpl w:val="E0C2274A"/>
    <w:lvl w:ilvl="0">
      <w:start w:val="1"/>
      <w:numFmt w:val="decimal"/>
      <w:pStyle w:val="NumberLevel1"/>
      <w:lvlText w:val="%1."/>
      <w:lvlJc w:val="left"/>
      <w:pPr>
        <w:tabs>
          <w:tab w:val="num" w:pos="709"/>
        </w:tabs>
        <w:ind w:left="709" w:hanging="709"/>
      </w:pPr>
      <w:rPr>
        <w:rFonts w:cs="Times New Roman"/>
        <w:b w:val="0"/>
        <w:i w:val="0"/>
        <w:sz w:val="20"/>
      </w:rPr>
    </w:lvl>
    <w:lvl w:ilvl="1">
      <w:start w:val="1"/>
      <w:numFmt w:val="decimal"/>
      <w:pStyle w:val="NumberLevel2"/>
      <w:lvlText w:val="%1.%2."/>
      <w:lvlJc w:val="left"/>
      <w:pPr>
        <w:tabs>
          <w:tab w:val="num" w:pos="1429"/>
        </w:tabs>
        <w:ind w:left="1429" w:hanging="709"/>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2">
      <w:start w:val="1"/>
      <w:numFmt w:val="decimal"/>
      <w:pStyle w:val="NumberLevel3"/>
      <w:lvlText w:val="%1.%2.%3."/>
      <w:lvlJc w:val="left"/>
      <w:pPr>
        <w:tabs>
          <w:tab w:val="num" w:pos="709"/>
        </w:tabs>
        <w:ind w:left="709" w:hanging="709"/>
      </w:pPr>
      <w:rPr>
        <w:rFonts w:cs="Times New Roman"/>
        <w:sz w:val="20"/>
      </w:rPr>
    </w:lvl>
    <w:lvl w:ilvl="3">
      <w:start w:val="1"/>
      <w:numFmt w:val="lowerLetter"/>
      <w:pStyle w:val="NumberLevel4"/>
      <w:lvlText w:val="%4."/>
      <w:lvlJc w:val="left"/>
      <w:pPr>
        <w:tabs>
          <w:tab w:val="num" w:pos="425"/>
        </w:tabs>
        <w:ind w:left="425" w:hanging="425"/>
      </w:pPr>
      <w:rPr>
        <w:rFonts w:cs="Times New Roman"/>
      </w:rPr>
    </w:lvl>
    <w:lvl w:ilvl="4">
      <w:start w:val="1"/>
      <w:numFmt w:val="bullet"/>
      <w:pStyle w:val="NumberLevel5"/>
      <w:lvlText w:val="–"/>
      <w:lvlJc w:val="left"/>
      <w:pPr>
        <w:tabs>
          <w:tab w:val="num" w:pos="850"/>
        </w:tabs>
        <w:ind w:left="850" w:hanging="425"/>
      </w:pPr>
      <w:rPr>
        <w:b w:val="0"/>
        <w:i w:val="0"/>
      </w:rPr>
    </w:lvl>
    <w:lvl w:ilvl="5">
      <w:start w:val="1"/>
      <w:numFmt w:val="bullet"/>
      <w:pStyle w:val="NumberLevel6"/>
      <w:lvlText w:val="–"/>
      <w:lvlJc w:val="left"/>
      <w:pPr>
        <w:tabs>
          <w:tab w:val="num" w:pos="1276"/>
        </w:tabs>
        <w:ind w:left="1276" w:hanging="426"/>
      </w:pPr>
      <w:rPr>
        <w:b w:val="0"/>
        <w:i w:val="0"/>
      </w:rPr>
    </w:lvl>
    <w:lvl w:ilvl="6">
      <w:start w:val="1"/>
      <w:numFmt w:val="lowerRoman"/>
      <w:lvlText w:val="%7."/>
      <w:lvlJc w:val="right"/>
      <w:pPr>
        <w:tabs>
          <w:tab w:val="num" w:pos="1636"/>
        </w:tabs>
        <w:ind w:left="1636" w:hanging="360"/>
      </w:pPr>
      <w:rPr>
        <w:rFonts w:cs="Times New Roman"/>
        <w:b w:val="0"/>
        <w:i w:val="0"/>
        <w:sz w:val="20"/>
      </w:rPr>
    </w:lvl>
    <w:lvl w:ilvl="7">
      <w:start w:val="1"/>
      <w:numFmt w:val="lowerRoman"/>
      <w:lvlText w:val="%8."/>
      <w:lvlJc w:val="right"/>
      <w:pPr>
        <w:tabs>
          <w:tab w:val="num" w:pos="2061"/>
        </w:tabs>
        <w:ind w:left="2061" w:hanging="360"/>
      </w:pPr>
      <w:rPr>
        <w:rFonts w:cs="Times New Roman"/>
        <w:b w:val="0"/>
        <w:i w:val="0"/>
        <w:sz w:val="20"/>
      </w:rPr>
    </w:lvl>
    <w:lvl w:ilvl="8">
      <w:start w:val="1"/>
      <w:numFmt w:val="lowerLetter"/>
      <w:pStyle w:val="NumberLevel9"/>
      <w:lvlText w:val="(%9)"/>
      <w:lvlJc w:val="left"/>
      <w:pPr>
        <w:tabs>
          <w:tab w:val="num" w:pos="2551"/>
        </w:tabs>
        <w:ind w:left="2551" w:hanging="425"/>
      </w:pPr>
      <w:rPr>
        <w:rFonts w:ascii="Arial" w:eastAsia="Times New Roman" w:hAnsi="Arial" w:cs="Times New Roman"/>
        <w:b w:val="0"/>
        <w:i w:val="0"/>
      </w:rPr>
    </w:lvl>
  </w:abstractNum>
  <w:abstractNum w:abstractNumId="13" w15:restartNumberingAfterBreak="0">
    <w:nsid w:val="183904C8"/>
    <w:multiLevelType w:val="singleLevel"/>
    <w:tmpl w:val="33A005EE"/>
    <w:lvl w:ilvl="0">
      <w:start w:val="3"/>
      <w:numFmt w:val="decimal"/>
      <w:pStyle w:val="NumberedParagraph"/>
      <w:lvlText w:val="%1."/>
      <w:lvlJc w:val="left"/>
      <w:pPr>
        <w:tabs>
          <w:tab w:val="num" w:pos="567"/>
        </w:tabs>
      </w:pPr>
      <w:rPr>
        <w:rFonts w:cs="Times New Roman"/>
      </w:rPr>
    </w:lvl>
  </w:abstractNum>
  <w:abstractNum w:abstractNumId="14" w15:restartNumberingAfterBreak="0">
    <w:nsid w:val="18C15379"/>
    <w:multiLevelType w:val="hybridMultilevel"/>
    <w:tmpl w:val="143CA5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1B556F"/>
    <w:multiLevelType w:val="multilevel"/>
    <w:tmpl w:val="0C09001F"/>
    <w:name w:val="StandardNumberedParagraphList"/>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1D3E1060"/>
    <w:multiLevelType w:val="hybridMultilevel"/>
    <w:tmpl w:val="CAB40FCC"/>
    <w:lvl w:ilvl="0" w:tplc="85E6728A">
      <w:start w:val="1"/>
      <w:numFmt w:val="bullet"/>
      <w:lvlText w:val=""/>
      <w:lvlJc w:val="left"/>
      <w:pPr>
        <w:tabs>
          <w:tab w:val="num" w:pos="227"/>
        </w:tabs>
        <w:ind w:left="227" w:hanging="227"/>
      </w:pPr>
      <w:rPr>
        <w:rFonts w:ascii="Symbol" w:hAnsi="Symbol" w:hint="default"/>
      </w:rPr>
    </w:lvl>
    <w:lvl w:ilvl="1" w:tplc="BA049B10">
      <w:start w:val="1"/>
      <w:numFmt w:val="bullet"/>
      <w:lvlText w:val="o"/>
      <w:lvlJc w:val="left"/>
      <w:pPr>
        <w:tabs>
          <w:tab w:val="num" w:pos="2340"/>
        </w:tabs>
        <w:ind w:left="2340" w:hanging="360"/>
      </w:pPr>
      <w:rPr>
        <w:rFonts w:ascii="Courier New" w:hAnsi="Courier New" w:hint="default"/>
      </w:rPr>
    </w:lvl>
    <w:lvl w:ilvl="2" w:tplc="53741C0A" w:tentative="1">
      <w:start w:val="1"/>
      <w:numFmt w:val="bullet"/>
      <w:lvlText w:val=""/>
      <w:lvlJc w:val="left"/>
      <w:pPr>
        <w:tabs>
          <w:tab w:val="num" w:pos="3060"/>
        </w:tabs>
        <w:ind w:left="3060" w:hanging="360"/>
      </w:pPr>
      <w:rPr>
        <w:rFonts w:ascii="Wingdings" w:hAnsi="Wingdings" w:hint="default"/>
      </w:rPr>
    </w:lvl>
    <w:lvl w:ilvl="3" w:tplc="104CB20C" w:tentative="1">
      <w:start w:val="1"/>
      <w:numFmt w:val="bullet"/>
      <w:lvlText w:val=""/>
      <w:lvlJc w:val="left"/>
      <w:pPr>
        <w:tabs>
          <w:tab w:val="num" w:pos="3780"/>
        </w:tabs>
        <w:ind w:left="3780" w:hanging="360"/>
      </w:pPr>
      <w:rPr>
        <w:rFonts w:ascii="Symbol" w:hAnsi="Symbol" w:hint="default"/>
      </w:rPr>
    </w:lvl>
    <w:lvl w:ilvl="4" w:tplc="1A0CA6DC" w:tentative="1">
      <w:start w:val="1"/>
      <w:numFmt w:val="bullet"/>
      <w:lvlText w:val="o"/>
      <w:lvlJc w:val="left"/>
      <w:pPr>
        <w:tabs>
          <w:tab w:val="num" w:pos="4500"/>
        </w:tabs>
        <w:ind w:left="4500" w:hanging="360"/>
      </w:pPr>
      <w:rPr>
        <w:rFonts w:ascii="Courier New" w:hAnsi="Courier New" w:hint="default"/>
      </w:rPr>
    </w:lvl>
    <w:lvl w:ilvl="5" w:tplc="CDEED62E" w:tentative="1">
      <w:start w:val="1"/>
      <w:numFmt w:val="bullet"/>
      <w:lvlText w:val=""/>
      <w:lvlJc w:val="left"/>
      <w:pPr>
        <w:tabs>
          <w:tab w:val="num" w:pos="5220"/>
        </w:tabs>
        <w:ind w:left="5220" w:hanging="360"/>
      </w:pPr>
      <w:rPr>
        <w:rFonts w:ascii="Wingdings" w:hAnsi="Wingdings" w:hint="default"/>
      </w:rPr>
    </w:lvl>
    <w:lvl w:ilvl="6" w:tplc="4058ED9A" w:tentative="1">
      <w:start w:val="1"/>
      <w:numFmt w:val="bullet"/>
      <w:lvlText w:val=""/>
      <w:lvlJc w:val="left"/>
      <w:pPr>
        <w:tabs>
          <w:tab w:val="num" w:pos="5940"/>
        </w:tabs>
        <w:ind w:left="5940" w:hanging="360"/>
      </w:pPr>
      <w:rPr>
        <w:rFonts w:ascii="Symbol" w:hAnsi="Symbol" w:hint="default"/>
      </w:rPr>
    </w:lvl>
    <w:lvl w:ilvl="7" w:tplc="E8780B52" w:tentative="1">
      <w:start w:val="1"/>
      <w:numFmt w:val="bullet"/>
      <w:lvlText w:val="o"/>
      <w:lvlJc w:val="left"/>
      <w:pPr>
        <w:tabs>
          <w:tab w:val="num" w:pos="6660"/>
        </w:tabs>
        <w:ind w:left="6660" w:hanging="360"/>
      </w:pPr>
      <w:rPr>
        <w:rFonts w:ascii="Courier New" w:hAnsi="Courier New" w:hint="default"/>
      </w:rPr>
    </w:lvl>
    <w:lvl w:ilvl="8" w:tplc="C50AB874" w:tentative="1">
      <w:start w:val="1"/>
      <w:numFmt w:val="bullet"/>
      <w:lvlText w:val=""/>
      <w:lvlJc w:val="left"/>
      <w:pPr>
        <w:tabs>
          <w:tab w:val="num" w:pos="7380"/>
        </w:tabs>
        <w:ind w:left="7380" w:hanging="360"/>
      </w:pPr>
      <w:rPr>
        <w:rFonts w:ascii="Wingdings" w:hAnsi="Wingdings" w:hint="default"/>
      </w:rPr>
    </w:lvl>
  </w:abstractNum>
  <w:abstractNum w:abstractNumId="17" w15:restartNumberingAfterBreak="0">
    <w:nsid w:val="207E279D"/>
    <w:multiLevelType w:val="hybridMultilevel"/>
    <w:tmpl w:val="B25C0902"/>
    <w:lvl w:ilvl="0" w:tplc="0CB85110">
      <w:start w:val="1"/>
      <w:numFmt w:val="bullet"/>
      <w:lvlText w:val=""/>
      <w:lvlJc w:val="left"/>
      <w:pPr>
        <w:tabs>
          <w:tab w:val="num" w:pos="227"/>
        </w:tabs>
        <w:ind w:left="227" w:hanging="227"/>
      </w:pPr>
      <w:rPr>
        <w:rFonts w:ascii="Symbol" w:hAnsi="Symbol" w:hint="default"/>
      </w:rPr>
    </w:lvl>
    <w:lvl w:ilvl="1" w:tplc="6ADAB6D8">
      <w:start w:val="1"/>
      <w:numFmt w:val="bullet"/>
      <w:lvlText w:val="o"/>
      <w:lvlJc w:val="left"/>
      <w:pPr>
        <w:tabs>
          <w:tab w:val="num" w:pos="1270"/>
        </w:tabs>
        <w:ind w:left="1270" w:hanging="360"/>
      </w:pPr>
      <w:rPr>
        <w:rFonts w:ascii="Courier New" w:hAnsi="Courier New" w:hint="default"/>
      </w:rPr>
    </w:lvl>
    <w:lvl w:ilvl="2" w:tplc="0B4261DE" w:tentative="1">
      <w:start w:val="1"/>
      <w:numFmt w:val="bullet"/>
      <w:lvlText w:val=""/>
      <w:lvlJc w:val="left"/>
      <w:pPr>
        <w:tabs>
          <w:tab w:val="num" w:pos="1990"/>
        </w:tabs>
        <w:ind w:left="1990" w:hanging="360"/>
      </w:pPr>
      <w:rPr>
        <w:rFonts w:ascii="Wingdings" w:hAnsi="Wingdings" w:hint="default"/>
      </w:rPr>
    </w:lvl>
    <w:lvl w:ilvl="3" w:tplc="EF7CF544" w:tentative="1">
      <w:start w:val="1"/>
      <w:numFmt w:val="bullet"/>
      <w:lvlText w:val=""/>
      <w:lvlJc w:val="left"/>
      <w:pPr>
        <w:tabs>
          <w:tab w:val="num" w:pos="2710"/>
        </w:tabs>
        <w:ind w:left="2710" w:hanging="360"/>
      </w:pPr>
      <w:rPr>
        <w:rFonts w:ascii="Symbol" w:hAnsi="Symbol" w:hint="default"/>
      </w:rPr>
    </w:lvl>
    <w:lvl w:ilvl="4" w:tplc="D36438E6" w:tentative="1">
      <w:start w:val="1"/>
      <w:numFmt w:val="bullet"/>
      <w:lvlText w:val="o"/>
      <w:lvlJc w:val="left"/>
      <w:pPr>
        <w:tabs>
          <w:tab w:val="num" w:pos="3430"/>
        </w:tabs>
        <w:ind w:left="3430" w:hanging="360"/>
      </w:pPr>
      <w:rPr>
        <w:rFonts w:ascii="Courier New" w:hAnsi="Courier New" w:hint="default"/>
      </w:rPr>
    </w:lvl>
    <w:lvl w:ilvl="5" w:tplc="1B723DCC" w:tentative="1">
      <w:start w:val="1"/>
      <w:numFmt w:val="bullet"/>
      <w:lvlText w:val=""/>
      <w:lvlJc w:val="left"/>
      <w:pPr>
        <w:tabs>
          <w:tab w:val="num" w:pos="4150"/>
        </w:tabs>
        <w:ind w:left="4150" w:hanging="360"/>
      </w:pPr>
      <w:rPr>
        <w:rFonts w:ascii="Wingdings" w:hAnsi="Wingdings" w:hint="default"/>
      </w:rPr>
    </w:lvl>
    <w:lvl w:ilvl="6" w:tplc="228E0A2A" w:tentative="1">
      <w:start w:val="1"/>
      <w:numFmt w:val="bullet"/>
      <w:lvlText w:val=""/>
      <w:lvlJc w:val="left"/>
      <w:pPr>
        <w:tabs>
          <w:tab w:val="num" w:pos="4870"/>
        </w:tabs>
        <w:ind w:left="4870" w:hanging="360"/>
      </w:pPr>
      <w:rPr>
        <w:rFonts w:ascii="Symbol" w:hAnsi="Symbol" w:hint="default"/>
      </w:rPr>
    </w:lvl>
    <w:lvl w:ilvl="7" w:tplc="471A18A6" w:tentative="1">
      <w:start w:val="1"/>
      <w:numFmt w:val="bullet"/>
      <w:lvlText w:val="o"/>
      <w:lvlJc w:val="left"/>
      <w:pPr>
        <w:tabs>
          <w:tab w:val="num" w:pos="5590"/>
        </w:tabs>
        <w:ind w:left="5590" w:hanging="360"/>
      </w:pPr>
      <w:rPr>
        <w:rFonts w:ascii="Courier New" w:hAnsi="Courier New" w:hint="default"/>
      </w:rPr>
    </w:lvl>
    <w:lvl w:ilvl="8" w:tplc="DC600A82" w:tentative="1">
      <w:start w:val="1"/>
      <w:numFmt w:val="bullet"/>
      <w:lvlText w:val=""/>
      <w:lvlJc w:val="left"/>
      <w:pPr>
        <w:tabs>
          <w:tab w:val="num" w:pos="6310"/>
        </w:tabs>
        <w:ind w:left="6310" w:hanging="360"/>
      </w:pPr>
      <w:rPr>
        <w:rFonts w:ascii="Wingdings" w:hAnsi="Wingdings" w:hint="default"/>
      </w:rPr>
    </w:lvl>
  </w:abstractNum>
  <w:abstractNum w:abstractNumId="18" w15:restartNumberingAfterBreak="0">
    <w:nsid w:val="228A51CB"/>
    <w:multiLevelType w:val="hybridMultilevel"/>
    <w:tmpl w:val="594636E6"/>
    <w:lvl w:ilvl="0" w:tplc="6E74EB22">
      <w:start w:val="1"/>
      <w:numFmt w:val="bullet"/>
      <w:lvlText w:val="o"/>
      <w:lvlJc w:val="left"/>
      <w:pPr>
        <w:tabs>
          <w:tab w:val="num" w:pos="720"/>
        </w:tabs>
        <w:ind w:left="720" w:hanging="360"/>
      </w:pPr>
      <w:rPr>
        <w:rFonts w:ascii="Courier New" w:hAnsi="Courier New" w:hint="default"/>
      </w:rPr>
    </w:lvl>
    <w:lvl w:ilvl="1" w:tplc="0CB49F80">
      <w:start w:val="1"/>
      <w:numFmt w:val="bullet"/>
      <w:lvlText w:val="o"/>
      <w:lvlJc w:val="left"/>
      <w:pPr>
        <w:tabs>
          <w:tab w:val="num" w:pos="2340"/>
        </w:tabs>
        <w:ind w:left="2340" w:hanging="360"/>
      </w:pPr>
      <w:rPr>
        <w:rFonts w:ascii="Courier New" w:hAnsi="Courier New" w:hint="default"/>
      </w:rPr>
    </w:lvl>
    <w:lvl w:ilvl="2" w:tplc="6722D8E0" w:tentative="1">
      <w:start w:val="1"/>
      <w:numFmt w:val="bullet"/>
      <w:lvlText w:val=""/>
      <w:lvlJc w:val="left"/>
      <w:pPr>
        <w:tabs>
          <w:tab w:val="num" w:pos="3060"/>
        </w:tabs>
        <w:ind w:left="3060" w:hanging="360"/>
      </w:pPr>
      <w:rPr>
        <w:rFonts w:ascii="Wingdings" w:hAnsi="Wingdings" w:hint="default"/>
      </w:rPr>
    </w:lvl>
    <w:lvl w:ilvl="3" w:tplc="9E603A6C" w:tentative="1">
      <w:start w:val="1"/>
      <w:numFmt w:val="bullet"/>
      <w:lvlText w:val=""/>
      <w:lvlJc w:val="left"/>
      <w:pPr>
        <w:tabs>
          <w:tab w:val="num" w:pos="3780"/>
        </w:tabs>
        <w:ind w:left="3780" w:hanging="360"/>
      </w:pPr>
      <w:rPr>
        <w:rFonts w:ascii="Symbol" w:hAnsi="Symbol" w:hint="default"/>
      </w:rPr>
    </w:lvl>
    <w:lvl w:ilvl="4" w:tplc="9C9443C6" w:tentative="1">
      <w:start w:val="1"/>
      <w:numFmt w:val="bullet"/>
      <w:lvlText w:val="o"/>
      <w:lvlJc w:val="left"/>
      <w:pPr>
        <w:tabs>
          <w:tab w:val="num" w:pos="4500"/>
        </w:tabs>
        <w:ind w:left="4500" w:hanging="360"/>
      </w:pPr>
      <w:rPr>
        <w:rFonts w:ascii="Courier New" w:hAnsi="Courier New" w:hint="default"/>
      </w:rPr>
    </w:lvl>
    <w:lvl w:ilvl="5" w:tplc="98F6808C" w:tentative="1">
      <w:start w:val="1"/>
      <w:numFmt w:val="bullet"/>
      <w:lvlText w:val=""/>
      <w:lvlJc w:val="left"/>
      <w:pPr>
        <w:tabs>
          <w:tab w:val="num" w:pos="5220"/>
        </w:tabs>
        <w:ind w:left="5220" w:hanging="360"/>
      </w:pPr>
      <w:rPr>
        <w:rFonts w:ascii="Wingdings" w:hAnsi="Wingdings" w:hint="default"/>
      </w:rPr>
    </w:lvl>
    <w:lvl w:ilvl="6" w:tplc="147C3294" w:tentative="1">
      <w:start w:val="1"/>
      <w:numFmt w:val="bullet"/>
      <w:lvlText w:val=""/>
      <w:lvlJc w:val="left"/>
      <w:pPr>
        <w:tabs>
          <w:tab w:val="num" w:pos="5940"/>
        </w:tabs>
        <w:ind w:left="5940" w:hanging="360"/>
      </w:pPr>
      <w:rPr>
        <w:rFonts w:ascii="Symbol" w:hAnsi="Symbol" w:hint="default"/>
      </w:rPr>
    </w:lvl>
    <w:lvl w:ilvl="7" w:tplc="B32E9F36" w:tentative="1">
      <w:start w:val="1"/>
      <w:numFmt w:val="bullet"/>
      <w:lvlText w:val="o"/>
      <w:lvlJc w:val="left"/>
      <w:pPr>
        <w:tabs>
          <w:tab w:val="num" w:pos="6660"/>
        </w:tabs>
        <w:ind w:left="6660" w:hanging="360"/>
      </w:pPr>
      <w:rPr>
        <w:rFonts w:ascii="Courier New" w:hAnsi="Courier New" w:hint="default"/>
      </w:rPr>
    </w:lvl>
    <w:lvl w:ilvl="8" w:tplc="7576D10A" w:tentative="1">
      <w:start w:val="1"/>
      <w:numFmt w:val="bullet"/>
      <w:lvlText w:val=""/>
      <w:lvlJc w:val="left"/>
      <w:pPr>
        <w:tabs>
          <w:tab w:val="num" w:pos="7380"/>
        </w:tabs>
        <w:ind w:left="7380" w:hanging="360"/>
      </w:pPr>
      <w:rPr>
        <w:rFonts w:ascii="Wingdings" w:hAnsi="Wingdings" w:hint="default"/>
      </w:rPr>
    </w:lvl>
  </w:abstractNum>
  <w:abstractNum w:abstractNumId="19" w15:restartNumberingAfterBreak="0">
    <w:nsid w:val="2435492D"/>
    <w:multiLevelType w:val="hybridMultilevel"/>
    <w:tmpl w:val="346200E6"/>
    <w:lvl w:ilvl="0" w:tplc="B9E4F17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265B1B49"/>
    <w:multiLevelType w:val="multilevel"/>
    <w:tmpl w:val="55B093F8"/>
    <w:lvl w:ilvl="0">
      <w:start w:val="1"/>
      <w:numFmt w:val="none"/>
      <w:lvlRestart w:val="0"/>
      <w:pStyle w:val="Quotation"/>
      <w:suff w:val="nothing"/>
      <w:lvlText w:val=""/>
      <w:lvlJc w:val="left"/>
      <w:pPr>
        <w:tabs>
          <w:tab w:val="num" w:pos="425"/>
        </w:tabs>
        <w:ind w:left="425"/>
      </w:pPr>
      <w:rPr>
        <w:rFonts w:cs="Times New Roman"/>
      </w:rPr>
    </w:lvl>
    <w:lvl w:ilvl="1">
      <w:start w:val="1"/>
      <w:numFmt w:val="none"/>
      <w:lvlRestart w:val="0"/>
      <w:pStyle w:val="Quotation1"/>
      <w:suff w:val="nothing"/>
      <w:lvlText w:val=""/>
      <w:lvlJc w:val="left"/>
      <w:pPr>
        <w:tabs>
          <w:tab w:val="num" w:pos="425"/>
        </w:tabs>
        <w:ind w:left="425"/>
      </w:pPr>
      <w:rPr>
        <w:rFonts w:cs="Times New Roman"/>
      </w:rPr>
    </w:lvl>
    <w:lvl w:ilvl="2">
      <w:start w:val="1"/>
      <w:numFmt w:val="none"/>
      <w:lvlRestart w:val="0"/>
      <w:pStyle w:val="Quotation2"/>
      <w:suff w:val="nothing"/>
      <w:lvlText w:val=""/>
      <w:lvlJc w:val="left"/>
      <w:pPr>
        <w:tabs>
          <w:tab w:val="num" w:pos="850"/>
        </w:tabs>
        <w:ind w:left="850"/>
      </w:pPr>
      <w:rPr>
        <w:rFonts w:cs="Times New Roman"/>
      </w:rPr>
    </w:lvl>
    <w:lvl w:ilvl="3">
      <w:start w:val="1"/>
      <w:numFmt w:val="none"/>
      <w:lvlRestart w:val="0"/>
      <w:pStyle w:val="Quotation3"/>
      <w:suff w:val="nothing"/>
      <w:lvlText w:val=""/>
      <w:lvlJc w:val="left"/>
      <w:pPr>
        <w:tabs>
          <w:tab w:val="num" w:pos="1276"/>
        </w:tabs>
        <w:ind w:left="1276"/>
      </w:pPr>
      <w:rPr>
        <w:rFonts w:cs="Times New Roman"/>
      </w:rPr>
    </w:lvl>
    <w:lvl w:ilvl="4">
      <w:start w:val="1"/>
      <w:numFmt w:val="none"/>
      <w:lvlRestart w:val="0"/>
      <w:pStyle w:val="Quotation4"/>
      <w:suff w:val="nothing"/>
      <w:lvlText w:val=""/>
      <w:lvlJc w:val="left"/>
      <w:pPr>
        <w:tabs>
          <w:tab w:val="num" w:pos="1701"/>
        </w:tabs>
        <w:ind w:left="1701"/>
      </w:pPr>
      <w:rPr>
        <w:rFonts w:cs="Times New Roman"/>
      </w:rPr>
    </w:lvl>
    <w:lvl w:ilvl="5">
      <w:start w:val="1"/>
      <w:numFmt w:val="none"/>
      <w:lvlRestart w:val="0"/>
      <w:pStyle w:val="Quotation5"/>
      <w:suff w:val="nothing"/>
      <w:lvlText w:val=""/>
      <w:lvlJc w:val="left"/>
      <w:pPr>
        <w:tabs>
          <w:tab w:val="num" w:pos="2126"/>
        </w:tabs>
        <w:ind w:left="2126"/>
      </w:pPr>
      <w:rPr>
        <w:rFonts w:cs="Times New Roman"/>
      </w:rPr>
    </w:lvl>
    <w:lvl w:ilvl="6">
      <w:start w:val="1"/>
      <w:numFmt w:val="none"/>
      <w:lvlRestart w:val="0"/>
      <w:pStyle w:val="Quotation6"/>
      <w:suff w:val="nothing"/>
      <w:lvlText w:val=""/>
      <w:lvlJc w:val="left"/>
      <w:pPr>
        <w:tabs>
          <w:tab w:val="num" w:pos="2551"/>
        </w:tabs>
        <w:ind w:left="2551"/>
      </w:pPr>
      <w:rPr>
        <w:rFonts w:cs="Times New Roman"/>
      </w:rPr>
    </w:lvl>
    <w:lvl w:ilvl="7">
      <w:start w:val="1"/>
      <w:numFmt w:val="none"/>
      <w:lvlRestart w:val="0"/>
      <w:pStyle w:val="Quotation7"/>
      <w:suff w:val="nothing"/>
      <w:lvlText w:val=""/>
      <w:lvlJc w:val="left"/>
      <w:pPr>
        <w:tabs>
          <w:tab w:val="num" w:pos="2976"/>
        </w:tabs>
        <w:ind w:left="2976"/>
      </w:pPr>
      <w:rPr>
        <w:rFonts w:cs="Times New Roman"/>
      </w:rPr>
    </w:lvl>
    <w:lvl w:ilvl="8">
      <w:start w:val="1"/>
      <w:numFmt w:val="none"/>
      <w:lvlRestart w:val="0"/>
      <w:pStyle w:val="Quotation8"/>
      <w:suff w:val="nothing"/>
      <w:lvlText w:val=""/>
      <w:lvlJc w:val="left"/>
      <w:pPr>
        <w:tabs>
          <w:tab w:val="num" w:pos="3402"/>
        </w:tabs>
        <w:ind w:left="3402"/>
      </w:pPr>
      <w:rPr>
        <w:rFonts w:cs="Times New Roman"/>
      </w:rPr>
    </w:lvl>
  </w:abstractNum>
  <w:abstractNum w:abstractNumId="21" w15:restartNumberingAfterBreak="0">
    <w:nsid w:val="27290FB0"/>
    <w:multiLevelType w:val="hybridMultilevel"/>
    <w:tmpl w:val="FD3ED536"/>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2758175F"/>
    <w:multiLevelType w:val="hybridMultilevel"/>
    <w:tmpl w:val="C4A45C5E"/>
    <w:lvl w:ilvl="0" w:tplc="196A6B84">
      <w:start w:val="2"/>
      <w:numFmt w:val="lowerLetter"/>
      <w:lvlText w:val="(%1)"/>
      <w:lvlJc w:val="left"/>
      <w:pPr>
        <w:ind w:left="1324" w:hanging="360"/>
      </w:pPr>
      <w:rPr>
        <w:rFonts w:cs="Times New Roman"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275C3437"/>
    <w:multiLevelType w:val="hybridMultilevel"/>
    <w:tmpl w:val="DE00647A"/>
    <w:lvl w:ilvl="0" w:tplc="7B588150">
      <w:start w:val="1"/>
      <w:numFmt w:val="bullet"/>
      <w:lvlText w:val=""/>
      <w:lvlJc w:val="left"/>
      <w:pPr>
        <w:tabs>
          <w:tab w:val="num" w:pos="227"/>
        </w:tabs>
        <w:ind w:left="227" w:hanging="227"/>
      </w:pPr>
      <w:rPr>
        <w:rFonts w:ascii="Symbol" w:hAnsi="Symbol" w:hint="default"/>
      </w:rPr>
    </w:lvl>
    <w:lvl w:ilvl="1" w:tplc="4DB6A06C">
      <w:start w:val="1"/>
      <w:numFmt w:val="bullet"/>
      <w:lvlText w:val="o"/>
      <w:lvlJc w:val="left"/>
      <w:pPr>
        <w:tabs>
          <w:tab w:val="num" w:pos="2340"/>
        </w:tabs>
        <w:ind w:left="2340" w:hanging="360"/>
      </w:pPr>
      <w:rPr>
        <w:rFonts w:ascii="Courier New" w:hAnsi="Courier New" w:hint="default"/>
      </w:rPr>
    </w:lvl>
    <w:lvl w:ilvl="2" w:tplc="C87247D4" w:tentative="1">
      <w:start w:val="1"/>
      <w:numFmt w:val="bullet"/>
      <w:lvlText w:val=""/>
      <w:lvlJc w:val="left"/>
      <w:pPr>
        <w:tabs>
          <w:tab w:val="num" w:pos="3060"/>
        </w:tabs>
        <w:ind w:left="3060" w:hanging="360"/>
      </w:pPr>
      <w:rPr>
        <w:rFonts w:ascii="Wingdings" w:hAnsi="Wingdings" w:hint="default"/>
      </w:rPr>
    </w:lvl>
    <w:lvl w:ilvl="3" w:tplc="02D4F2EA" w:tentative="1">
      <w:start w:val="1"/>
      <w:numFmt w:val="bullet"/>
      <w:lvlText w:val=""/>
      <w:lvlJc w:val="left"/>
      <w:pPr>
        <w:tabs>
          <w:tab w:val="num" w:pos="3780"/>
        </w:tabs>
        <w:ind w:left="3780" w:hanging="360"/>
      </w:pPr>
      <w:rPr>
        <w:rFonts w:ascii="Symbol" w:hAnsi="Symbol" w:hint="default"/>
      </w:rPr>
    </w:lvl>
    <w:lvl w:ilvl="4" w:tplc="AEC437B6" w:tentative="1">
      <w:start w:val="1"/>
      <w:numFmt w:val="bullet"/>
      <w:lvlText w:val="o"/>
      <w:lvlJc w:val="left"/>
      <w:pPr>
        <w:tabs>
          <w:tab w:val="num" w:pos="4500"/>
        </w:tabs>
        <w:ind w:left="4500" w:hanging="360"/>
      </w:pPr>
      <w:rPr>
        <w:rFonts w:ascii="Courier New" w:hAnsi="Courier New" w:hint="default"/>
      </w:rPr>
    </w:lvl>
    <w:lvl w:ilvl="5" w:tplc="D22A3738" w:tentative="1">
      <w:start w:val="1"/>
      <w:numFmt w:val="bullet"/>
      <w:lvlText w:val=""/>
      <w:lvlJc w:val="left"/>
      <w:pPr>
        <w:tabs>
          <w:tab w:val="num" w:pos="5220"/>
        </w:tabs>
        <w:ind w:left="5220" w:hanging="360"/>
      </w:pPr>
      <w:rPr>
        <w:rFonts w:ascii="Wingdings" w:hAnsi="Wingdings" w:hint="default"/>
      </w:rPr>
    </w:lvl>
    <w:lvl w:ilvl="6" w:tplc="A89E657E" w:tentative="1">
      <w:start w:val="1"/>
      <w:numFmt w:val="bullet"/>
      <w:lvlText w:val=""/>
      <w:lvlJc w:val="left"/>
      <w:pPr>
        <w:tabs>
          <w:tab w:val="num" w:pos="5940"/>
        </w:tabs>
        <w:ind w:left="5940" w:hanging="360"/>
      </w:pPr>
      <w:rPr>
        <w:rFonts w:ascii="Symbol" w:hAnsi="Symbol" w:hint="default"/>
      </w:rPr>
    </w:lvl>
    <w:lvl w:ilvl="7" w:tplc="E7A2EE82" w:tentative="1">
      <w:start w:val="1"/>
      <w:numFmt w:val="bullet"/>
      <w:lvlText w:val="o"/>
      <w:lvlJc w:val="left"/>
      <w:pPr>
        <w:tabs>
          <w:tab w:val="num" w:pos="6660"/>
        </w:tabs>
        <w:ind w:left="6660" w:hanging="360"/>
      </w:pPr>
      <w:rPr>
        <w:rFonts w:ascii="Courier New" w:hAnsi="Courier New" w:hint="default"/>
      </w:rPr>
    </w:lvl>
    <w:lvl w:ilvl="8" w:tplc="84B8F240" w:tentative="1">
      <w:start w:val="1"/>
      <w:numFmt w:val="bullet"/>
      <w:lvlText w:val=""/>
      <w:lvlJc w:val="left"/>
      <w:pPr>
        <w:tabs>
          <w:tab w:val="num" w:pos="7380"/>
        </w:tabs>
        <w:ind w:left="7380" w:hanging="360"/>
      </w:pPr>
      <w:rPr>
        <w:rFonts w:ascii="Wingdings" w:hAnsi="Wingdings" w:hint="default"/>
      </w:rPr>
    </w:lvl>
  </w:abstractNum>
  <w:abstractNum w:abstractNumId="24" w15:restartNumberingAfterBreak="0">
    <w:nsid w:val="2833611A"/>
    <w:multiLevelType w:val="multilevel"/>
    <w:tmpl w:val="F4143C22"/>
    <w:lvl w:ilvl="0">
      <w:start w:val="1"/>
      <w:numFmt w:val="bullet"/>
      <w:pStyle w:val="Bullet"/>
      <w:lvlText w:val="•"/>
      <w:lvlJc w:val="left"/>
      <w:pPr>
        <w:tabs>
          <w:tab w:val="num" w:pos="520"/>
        </w:tabs>
        <w:ind w:left="520" w:hanging="520"/>
      </w:pPr>
      <w:rPr>
        <w:rFonts w:ascii="Times New Roman" w:hAnsi="Times New Roman"/>
      </w:rPr>
    </w:lvl>
    <w:lvl w:ilvl="1">
      <w:start w:val="1"/>
      <w:numFmt w:val="bullet"/>
      <w:pStyle w:val="Dash"/>
      <w:lvlText w:val="–"/>
      <w:lvlJc w:val="left"/>
      <w:pPr>
        <w:tabs>
          <w:tab w:val="num" w:pos="1040"/>
        </w:tabs>
        <w:ind w:left="1040" w:hanging="520"/>
      </w:pPr>
      <w:rPr>
        <w:rFonts w:ascii="Times New Roman" w:hAnsi="Times New Roman"/>
      </w:rPr>
    </w:lvl>
    <w:lvl w:ilvl="2">
      <w:start w:val="1"/>
      <w:numFmt w:val="bullet"/>
      <w:pStyle w:val="DoubleDot"/>
      <w:lvlText w:val=":"/>
      <w:lvlJc w:val="left"/>
      <w:pPr>
        <w:tabs>
          <w:tab w:val="num" w:pos="1560"/>
        </w:tabs>
        <w:ind w:left="1560" w:hanging="520"/>
      </w:pPr>
      <w:rPr>
        <w:rFonts w:ascii="Times New Roman" w:hAnsi="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15:restartNumberingAfterBreak="0">
    <w:nsid w:val="291C6334"/>
    <w:multiLevelType w:val="hybridMultilevel"/>
    <w:tmpl w:val="927AF1D2"/>
    <w:lvl w:ilvl="0" w:tplc="A942C156">
      <w:start w:val="1"/>
      <w:numFmt w:val="lowerLetter"/>
      <w:lvlText w:val="(%1)"/>
      <w:lvlJc w:val="left"/>
      <w:pPr>
        <w:ind w:left="1324" w:hanging="360"/>
      </w:pPr>
      <w:rPr>
        <w:rFonts w:hint="default"/>
      </w:rPr>
    </w:lvl>
    <w:lvl w:ilvl="1" w:tplc="0C090019">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26" w15:restartNumberingAfterBreak="0">
    <w:nsid w:val="2A565CB8"/>
    <w:multiLevelType w:val="hybridMultilevel"/>
    <w:tmpl w:val="8D7EBC6C"/>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7" w15:restartNumberingAfterBreak="0">
    <w:nsid w:val="2B836AD0"/>
    <w:multiLevelType w:val="hybridMultilevel"/>
    <w:tmpl w:val="3618AD24"/>
    <w:lvl w:ilvl="0" w:tplc="19924852">
      <w:start w:val="1"/>
      <w:numFmt w:val="lowerRoman"/>
      <w:lvlText w:val="%1)"/>
      <w:lvlJc w:val="left"/>
      <w:pPr>
        <w:tabs>
          <w:tab w:val="num" w:pos="716"/>
        </w:tabs>
        <w:ind w:left="716" w:hanging="720"/>
      </w:pPr>
      <w:rPr>
        <w:rFonts w:cs="Times New Roman" w:hint="default"/>
      </w:rPr>
    </w:lvl>
    <w:lvl w:ilvl="1" w:tplc="0C090019" w:tentative="1">
      <w:start w:val="1"/>
      <w:numFmt w:val="lowerLetter"/>
      <w:lvlText w:val="%2."/>
      <w:lvlJc w:val="left"/>
      <w:pPr>
        <w:tabs>
          <w:tab w:val="num" w:pos="1076"/>
        </w:tabs>
        <w:ind w:left="1076" w:hanging="360"/>
      </w:pPr>
      <w:rPr>
        <w:rFonts w:cs="Times New Roman"/>
      </w:rPr>
    </w:lvl>
    <w:lvl w:ilvl="2" w:tplc="0C09001B" w:tentative="1">
      <w:start w:val="1"/>
      <w:numFmt w:val="lowerRoman"/>
      <w:lvlText w:val="%3."/>
      <w:lvlJc w:val="right"/>
      <w:pPr>
        <w:tabs>
          <w:tab w:val="num" w:pos="1796"/>
        </w:tabs>
        <w:ind w:left="1796" w:hanging="180"/>
      </w:pPr>
      <w:rPr>
        <w:rFonts w:cs="Times New Roman"/>
      </w:rPr>
    </w:lvl>
    <w:lvl w:ilvl="3" w:tplc="0C09000F" w:tentative="1">
      <w:start w:val="1"/>
      <w:numFmt w:val="decimal"/>
      <w:lvlText w:val="%4."/>
      <w:lvlJc w:val="left"/>
      <w:pPr>
        <w:tabs>
          <w:tab w:val="num" w:pos="2516"/>
        </w:tabs>
        <w:ind w:left="2516" w:hanging="360"/>
      </w:pPr>
      <w:rPr>
        <w:rFonts w:cs="Times New Roman"/>
      </w:rPr>
    </w:lvl>
    <w:lvl w:ilvl="4" w:tplc="0C090019" w:tentative="1">
      <w:start w:val="1"/>
      <w:numFmt w:val="lowerLetter"/>
      <w:lvlText w:val="%5."/>
      <w:lvlJc w:val="left"/>
      <w:pPr>
        <w:tabs>
          <w:tab w:val="num" w:pos="3236"/>
        </w:tabs>
        <w:ind w:left="3236" w:hanging="360"/>
      </w:pPr>
      <w:rPr>
        <w:rFonts w:cs="Times New Roman"/>
      </w:rPr>
    </w:lvl>
    <w:lvl w:ilvl="5" w:tplc="0C09001B" w:tentative="1">
      <w:start w:val="1"/>
      <w:numFmt w:val="lowerRoman"/>
      <w:lvlText w:val="%6."/>
      <w:lvlJc w:val="right"/>
      <w:pPr>
        <w:tabs>
          <w:tab w:val="num" w:pos="3956"/>
        </w:tabs>
        <w:ind w:left="3956" w:hanging="180"/>
      </w:pPr>
      <w:rPr>
        <w:rFonts w:cs="Times New Roman"/>
      </w:rPr>
    </w:lvl>
    <w:lvl w:ilvl="6" w:tplc="0C09000F" w:tentative="1">
      <w:start w:val="1"/>
      <w:numFmt w:val="decimal"/>
      <w:lvlText w:val="%7."/>
      <w:lvlJc w:val="left"/>
      <w:pPr>
        <w:tabs>
          <w:tab w:val="num" w:pos="4676"/>
        </w:tabs>
        <w:ind w:left="4676" w:hanging="360"/>
      </w:pPr>
      <w:rPr>
        <w:rFonts w:cs="Times New Roman"/>
      </w:rPr>
    </w:lvl>
    <w:lvl w:ilvl="7" w:tplc="0C090019" w:tentative="1">
      <w:start w:val="1"/>
      <w:numFmt w:val="lowerLetter"/>
      <w:lvlText w:val="%8."/>
      <w:lvlJc w:val="left"/>
      <w:pPr>
        <w:tabs>
          <w:tab w:val="num" w:pos="5396"/>
        </w:tabs>
        <w:ind w:left="5396" w:hanging="360"/>
      </w:pPr>
      <w:rPr>
        <w:rFonts w:cs="Times New Roman"/>
      </w:rPr>
    </w:lvl>
    <w:lvl w:ilvl="8" w:tplc="0C09001B" w:tentative="1">
      <w:start w:val="1"/>
      <w:numFmt w:val="lowerRoman"/>
      <w:lvlText w:val="%9."/>
      <w:lvlJc w:val="right"/>
      <w:pPr>
        <w:tabs>
          <w:tab w:val="num" w:pos="6116"/>
        </w:tabs>
        <w:ind w:left="6116" w:hanging="180"/>
      </w:pPr>
      <w:rPr>
        <w:rFonts w:cs="Times New Roman"/>
      </w:rPr>
    </w:lvl>
  </w:abstractNum>
  <w:abstractNum w:abstractNumId="28" w15:restartNumberingAfterBreak="0">
    <w:nsid w:val="2F254E12"/>
    <w:multiLevelType w:val="multilevel"/>
    <w:tmpl w:val="B018F53C"/>
    <w:lvl w:ilvl="0">
      <w:start w:val="3"/>
      <w:numFmt w:val="decimal"/>
      <w:lvlText w:val="%1"/>
      <w:lvlJc w:val="left"/>
      <w:pPr>
        <w:tabs>
          <w:tab w:val="num" w:pos="960"/>
        </w:tabs>
        <w:ind w:left="960" w:hanging="960"/>
      </w:pPr>
      <w:rPr>
        <w:rFonts w:cs="Times New Roman" w:hint="default"/>
      </w:rPr>
    </w:lvl>
    <w:lvl w:ilvl="1">
      <w:start w:val="63"/>
      <w:numFmt w:val="decimal"/>
      <w:lvlText w:val="%1.%2"/>
      <w:lvlJc w:val="left"/>
      <w:pPr>
        <w:tabs>
          <w:tab w:val="num" w:pos="960"/>
        </w:tabs>
        <w:ind w:left="960" w:hanging="960"/>
      </w:pPr>
      <w:rPr>
        <w:rFonts w:cs="Times New Roman" w:hint="default"/>
      </w:rPr>
    </w:lvl>
    <w:lvl w:ilvl="2">
      <w:start w:val="1"/>
      <w:numFmt w:val="decimal"/>
      <w:lvlText w:val="%1.%2.%3"/>
      <w:lvlJc w:val="left"/>
      <w:pPr>
        <w:tabs>
          <w:tab w:val="num" w:pos="960"/>
        </w:tabs>
        <w:ind w:left="960" w:hanging="960"/>
      </w:pPr>
      <w:rPr>
        <w:rFonts w:cs="Times New Roman" w:hint="default"/>
      </w:rPr>
    </w:lvl>
    <w:lvl w:ilvl="3">
      <w:start w:val="1"/>
      <w:numFmt w:val="decimal"/>
      <w:lvlText w:val="%1.%2.%3.%4"/>
      <w:lvlJc w:val="left"/>
      <w:pPr>
        <w:tabs>
          <w:tab w:val="num" w:pos="960"/>
        </w:tabs>
        <w:ind w:left="960" w:hanging="96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30E91D2B"/>
    <w:multiLevelType w:val="hybridMultilevel"/>
    <w:tmpl w:val="552E2AEA"/>
    <w:lvl w:ilvl="0" w:tplc="73DE9E26">
      <w:start w:val="1"/>
      <w:numFmt w:val="bullet"/>
      <w:lvlText w:val=""/>
      <w:lvlJc w:val="left"/>
      <w:pPr>
        <w:ind w:left="720" w:hanging="360"/>
      </w:pPr>
      <w:rPr>
        <w:rFonts w:ascii="Symbol" w:hAnsi="Symbol" w:hint="default"/>
      </w:rPr>
    </w:lvl>
    <w:lvl w:ilvl="1" w:tplc="8E4A3E7E" w:tentative="1">
      <w:start w:val="1"/>
      <w:numFmt w:val="bullet"/>
      <w:lvlText w:val="o"/>
      <w:lvlJc w:val="left"/>
      <w:pPr>
        <w:ind w:left="1440" w:hanging="360"/>
      </w:pPr>
      <w:rPr>
        <w:rFonts w:ascii="Courier New" w:hAnsi="Courier New" w:hint="default"/>
      </w:rPr>
    </w:lvl>
    <w:lvl w:ilvl="2" w:tplc="F45280B8" w:tentative="1">
      <w:start w:val="1"/>
      <w:numFmt w:val="bullet"/>
      <w:lvlText w:val=""/>
      <w:lvlJc w:val="left"/>
      <w:pPr>
        <w:ind w:left="2160" w:hanging="360"/>
      </w:pPr>
      <w:rPr>
        <w:rFonts w:ascii="Wingdings" w:hAnsi="Wingdings" w:hint="default"/>
      </w:rPr>
    </w:lvl>
    <w:lvl w:ilvl="3" w:tplc="79C4DFB4" w:tentative="1">
      <w:start w:val="1"/>
      <w:numFmt w:val="bullet"/>
      <w:lvlText w:val=""/>
      <w:lvlJc w:val="left"/>
      <w:pPr>
        <w:ind w:left="2880" w:hanging="360"/>
      </w:pPr>
      <w:rPr>
        <w:rFonts w:ascii="Symbol" w:hAnsi="Symbol" w:hint="default"/>
      </w:rPr>
    </w:lvl>
    <w:lvl w:ilvl="4" w:tplc="7B24839E" w:tentative="1">
      <w:start w:val="1"/>
      <w:numFmt w:val="bullet"/>
      <w:lvlText w:val="o"/>
      <w:lvlJc w:val="left"/>
      <w:pPr>
        <w:ind w:left="3600" w:hanging="360"/>
      </w:pPr>
      <w:rPr>
        <w:rFonts w:ascii="Courier New" w:hAnsi="Courier New" w:hint="default"/>
      </w:rPr>
    </w:lvl>
    <w:lvl w:ilvl="5" w:tplc="CA5258C4" w:tentative="1">
      <w:start w:val="1"/>
      <w:numFmt w:val="bullet"/>
      <w:lvlText w:val=""/>
      <w:lvlJc w:val="left"/>
      <w:pPr>
        <w:ind w:left="4320" w:hanging="360"/>
      </w:pPr>
      <w:rPr>
        <w:rFonts w:ascii="Wingdings" w:hAnsi="Wingdings" w:hint="default"/>
      </w:rPr>
    </w:lvl>
    <w:lvl w:ilvl="6" w:tplc="F286AED6" w:tentative="1">
      <w:start w:val="1"/>
      <w:numFmt w:val="bullet"/>
      <w:lvlText w:val=""/>
      <w:lvlJc w:val="left"/>
      <w:pPr>
        <w:ind w:left="5040" w:hanging="360"/>
      </w:pPr>
      <w:rPr>
        <w:rFonts w:ascii="Symbol" w:hAnsi="Symbol" w:hint="default"/>
      </w:rPr>
    </w:lvl>
    <w:lvl w:ilvl="7" w:tplc="F0AA572C" w:tentative="1">
      <w:start w:val="1"/>
      <w:numFmt w:val="bullet"/>
      <w:lvlText w:val="o"/>
      <w:lvlJc w:val="left"/>
      <w:pPr>
        <w:ind w:left="5760" w:hanging="360"/>
      </w:pPr>
      <w:rPr>
        <w:rFonts w:ascii="Courier New" w:hAnsi="Courier New" w:hint="default"/>
      </w:rPr>
    </w:lvl>
    <w:lvl w:ilvl="8" w:tplc="C71CFDDA" w:tentative="1">
      <w:start w:val="1"/>
      <w:numFmt w:val="bullet"/>
      <w:lvlText w:val=""/>
      <w:lvlJc w:val="left"/>
      <w:pPr>
        <w:ind w:left="6480" w:hanging="360"/>
      </w:pPr>
      <w:rPr>
        <w:rFonts w:ascii="Wingdings" w:hAnsi="Wingdings" w:hint="default"/>
      </w:rPr>
    </w:lvl>
  </w:abstractNum>
  <w:abstractNum w:abstractNumId="30" w15:restartNumberingAfterBreak="0">
    <w:nsid w:val="32226F31"/>
    <w:multiLevelType w:val="hybridMultilevel"/>
    <w:tmpl w:val="EA183EA8"/>
    <w:lvl w:ilvl="0" w:tplc="FFFFFFFF">
      <w:start w:val="1"/>
      <w:numFmt w:val="bullet"/>
      <w:lvlText w:val="o"/>
      <w:lvlJc w:val="left"/>
      <w:pPr>
        <w:tabs>
          <w:tab w:val="num" w:pos="720"/>
        </w:tabs>
        <w:ind w:left="720" w:hanging="360"/>
      </w:pPr>
      <w:rPr>
        <w:rFonts w:ascii="Courier New" w:hAnsi="Courier New" w:hint="default"/>
      </w:rPr>
    </w:lvl>
    <w:lvl w:ilvl="1" w:tplc="0C090003">
      <w:start w:val="1"/>
      <w:numFmt w:val="bullet"/>
      <w:lvlText w:val="o"/>
      <w:lvlJc w:val="left"/>
      <w:pPr>
        <w:tabs>
          <w:tab w:val="num" w:pos="2340"/>
        </w:tabs>
        <w:ind w:left="2340" w:hanging="360"/>
      </w:pPr>
      <w:rPr>
        <w:rFonts w:ascii="Courier New" w:hAnsi="Courier New" w:hint="default"/>
      </w:rPr>
    </w:lvl>
    <w:lvl w:ilvl="2" w:tplc="0C090005" w:tentative="1">
      <w:start w:val="1"/>
      <w:numFmt w:val="bullet"/>
      <w:lvlText w:val=""/>
      <w:lvlJc w:val="left"/>
      <w:pPr>
        <w:tabs>
          <w:tab w:val="num" w:pos="3060"/>
        </w:tabs>
        <w:ind w:left="3060" w:hanging="360"/>
      </w:pPr>
      <w:rPr>
        <w:rFonts w:ascii="Wingdings" w:hAnsi="Wingdings" w:hint="default"/>
      </w:rPr>
    </w:lvl>
    <w:lvl w:ilvl="3" w:tplc="0C090001" w:tentative="1">
      <w:start w:val="1"/>
      <w:numFmt w:val="bullet"/>
      <w:lvlText w:val=""/>
      <w:lvlJc w:val="left"/>
      <w:pPr>
        <w:tabs>
          <w:tab w:val="num" w:pos="3780"/>
        </w:tabs>
        <w:ind w:left="3780" w:hanging="360"/>
      </w:pPr>
      <w:rPr>
        <w:rFonts w:ascii="Symbol" w:hAnsi="Symbol" w:hint="default"/>
      </w:rPr>
    </w:lvl>
    <w:lvl w:ilvl="4" w:tplc="0C090003" w:tentative="1">
      <w:start w:val="1"/>
      <w:numFmt w:val="bullet"/>
      <w:lvlText w:val="o"/>
      <w:lvlJc w:val="left"/>
      <w:pPr>
        <w:tabs>
          <w:tab w:val="num" w:pos="4500"/>
        </w:tabs>
        <w:ind w:left="4500" w:hanging="360"/>
      </w:pPr>
      <w:rPr>
        <w:rFonts w:ascii="Courier New" w:hAnsi="Courier New" w:hint="default"/>
      </w:rPr>
    </w:lvl>
    <w:lvl w:ilvl="5" w:tplc="0C090005" w:tentative="1">
      <w:start w:val="1"/>
      <w:numFmt w:val="bullet"/>
      <w:lvlText w:val=""/>
      <w:lvlJc w:val="left"/>
      <w:pPr>
        <w:tabs>
          <w:tab w:val="num" w:pos="5220"/>
        </w:tabs>
        <w:ind w:left="5220" w:hanging="360"/>
      </w:pPr>
      <w:rPr>
        <w:rFonts w:ascii="Wingdings" w:hAnsi="Wingdings" w:hint="default"/>
      </w:rPr>
    </w:lvl>
    <w:lvl w:ilvl="6" w:tplc="0C090001" w:tentative="1">
      <w:start w:val="1"/>
      <w:numFmt w:val="bullet"/>
      <w:lvlText w:val=""/>
      <w:lvlJc w:val="left"/>
      <w:pPr>
        <w:tabs>
          <w:tab w:val="num" w:pos="5940"/>
        </w:tabs>
        <w:ind w:left="5940" w:hanging="360"/>
      </w:pPr>
      <w:rPr>
        <w:rFonts w:ascii="Symbol" w:hAnsi="Symbol" w:hint="default"/>
      </w:rPr>
    </w:lvl>
    <w:lvl w:ilvl="7" w:tplc="0C090003" w:tentative="1">
      <w:start w:val="1"/>
      <w:numFmt w:val="bullet"/>
      <w:lvlText w:val="o"/>
      <w:lvlJc w:val="left"/>
      <w:pPr>
        <w:tabs>
          <w:tab w:val="num" w:pos="6660"/>
        </w:tabs>
        <w:ind w:left="6660" w:hanging="360"/>
      </w:pPr>
      <w:rPr>
        <w:rFonts w:ascii="Courier New" w:hAnsi="Courier New" w:hint="default"/>
      </w:rPr>
    </w:lvl>
    <w:lvl w:ilvl="8" w:tplc="0C090005" w:tentative="1">
      <w:start w:val="1"/>
      <w:numFmt w:val="bullet"/>
      <w:lvlText w:val=""/>
      <w:lvlJc w:val="left"/>
      <w:pPr>
        <w:tabs>
          <w:tab w:val="num" w:pos="7380"/>
        </w:tabs>
        <w:ind w:left="7380" w:hanging="360"/>
      </w:pPr>
      <w:rPr>
        <w:rFonts w:ascii="Wingdings" w:hAnsi="Wingdings" w:hint="default"/>
      </w:rPr>
    </w:lvl>
  </w:abstractNum>
  <w:abstractNum w:abstractNumId="31" w15:restartNumberingAfterBreak="0">
    <w:nsid w:val="3509608E"/>
    <w:multiLevelType w:val="multilevel"/>
    <w:tmpl w:val="8DA80E24"/>
    <w:lvl w:ilvl="0">
      <w:start w:val="1"/>
      <w:numFmt w:val="decimal"/>
      <w:pStyle w:val="OutlineNumbered1"/>
      <w:lvlText w:val="%1."/>
      <w:lvlJc w:val="left"/>
      <w:pPr>
        <w:tabs>
          <w:tab w:val="num" w:pos="567"/>
        </w:tabs>
        <w:ind w:left="567" w:hanging="567"/>
      </w:pPr>
      <w:rPr>
        <w:rFonts w:cs="Times New Roman"/>
      </w:rPr>
    </w:lvl>
    <w:lvl w:ilvl="1">
      <w:start w:val="1"/>
      <w:numFmt w:val="decimal"/>
      <w:pStyle w:val="OutlineNumbered2"/>
      <w:lvlText w:val="%1.%2."/>
      <w:lvlJc w:val="left"/>
      <w:pPr>
        <w:tabs>
          <w:tab w:val="num" w:pos="1134"/>
        </w:tabs>
        <w:ind w:left="1134" w:hanging="567"/>
      </w:pPr>
      <w:rPr>
        <w:rFonts w:cs="Times New Roman"/>
      </w:rPr>
    </w:lvl>
    <w:lvl w:ilvl="2">
      <w:start w:val="1"/>
      <w:numFmt w:val="decimal"/>
      <w:pStyle w:val="OutlineNumbered3"/>
      <w:lvlText w:val="%1.%2.%3."/>
      <w:lvlJc w:val="left"/>
      <w:pPr>
        <w:tabs>
          <w:tab w:val="num" w:pos="1701"/>
        </w:tabs>
        <w:ind w:left="1701" w:hanging="567"/>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2" w15:restartNumberingAfterBreak="0">
    <w:nsid w:val="36A63A3C"/>
    <w:multiLevelType w:val="hybridMultilevel"/>
    <w:tmpl w:val="7CB6B1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7393552"/>
    <w:multiLevelType w:val="hybridMultilevel"/>
    <w:tmpl w:val="B3E83B36"/>
    <w:name w:val="StandardNumberedList"/>
    <w:lvl w:ilvl="0" w:tplc="2B1C1508">
      <w:start w:val="1"/>
      <w:numFmt w:val="bullet"/>
      <w:lvlText w:val="-"/>
      <w:lvlJc w:val="left"/>
      <w:pPr>
        <w:ind w:left="1571" w:hanging="360"/>
      </w:pPr>
      <w:rPr>
        <w:rFonts w:ascii="Arial" w:eastAsia="Times New Roman" w:hAnsi="Arial" w:hint="default"/>
      </w:rPr>
    </w:lvl>
    <w:lvl w:ilvl="1" w:tplc="2512A85E" w:tentative="1">
      <w:start w:val="1"/>
      <w:numFmt w:val="bullet"/>
      <w:lvlText w:val="o"/>
      <w:lvlJc w:val="left"/>
      <w:pPr>
        <w:ind w:left="2291" w:hanging="360"/>
      </w:pPr>
      <w:rPr>
        <w:rFonts w:ascii="Courier New" w:hAnsi="Courier New" w:hint="default"/>
      </w:rPr>
    </w:lvl>
    <w:lvl w:ilvl="2" w:tplc="AA18E36E" w:tentative="1">
      <w:start w:val="1"/>
      <w:numFmt w:val="bullet"/>
      <w:lvlText w:val=""/>
      <w:lvlJc w:val="left"/>
      <w:pPr>
        <w:ind w:left="3011" w:hanging="360"/>
      </w:pPr>
      <w:rPr>
        <w:rFonts w:ascii="Wingdings" w:hAnsi="Wingdings" w:hint="default"/>
      </w:rPr>
    </w:lvl>
    <w:lvl w:ilvl="3" w:tplc="93EA23D8" w:tentative="1">
      <w:start w:val="1"/>
      <w:numFmt w:val="bullet"/>
      <w:lvlText w:val=""/>
      <w:lvlJc w:val="left"/>
      <w:pPr>
        <w:ind w:left="3731" w:hanging="360"/>
      </w:pPr>
      <w:rPr>
        <w:rFonts w:ascii="Symbol" w:hAnsi="Symbol" w:hint="default"/>
      </w:rPr>
    </w:lvl>
    <w:lvl w:ilvl="4" w:tplc="573AD6A4" w:tentative="1">
      <w:start w:val="1"/>
      <w:numFmt w:val="bullet"/>
      <w:lvlText w:val="o"/>
      <w:lvlJc w:val="left"/>
      <w:pPr>
        <w:ind w:left="4451" w:hanging="360"/>
      </w:pPr>
      <w:rPr>
        <w:rFonts w:ascii="Courier New" w:hAnsi="Courier New" w:hint="default"/>
      </w:rPr>
    </w:lvl>
    <w:lvl w:ilvl="5" w:tplc="06763D1E" w:tentative="1">
      <w:start w:val="1"/>
      <w:numFmt w:val="bullet"/>
      <w:lvlText w:val=""/>
      <w:lvlJc w:val="left"/>
      <w:pPr>
        <w:ind w:left="5171" w:hanging="360"/>
      </w:pPr>
      <w:rPr>
        <w:rFonts w:ascii="Wingdings" w:hAnsi="Wingdings" w:hint="default"/>
      </w:rPr>
    </w:lvl>
    <w:lvl w:ilvl="6" w:tplc="317017D2" w:tentative="1">
      <w:start w:val="1"/>
      <w:numFmt w:val="bullet"/>
      <w:lvlText w:val=""/>
      <w:lvlJc w:val="left"/>
      <w:pPr>
        <w:ind w:left="5891" w:hanging="360"/>
      </w:pPr>
      <w:rPr>
        <w:rFonts w:ascii="Symbol" w:hAnsi="Symbol" w:hint="default"/>
      </w:rPr>
    </w:lvl>
    <w:lvl w:ilvl="7" w:tplc="5522744E" w:tentative="1">
      <w:start w:val="1"/>
      <w:numFmt w:val="bullet"/>
      <w:lvlText w:val="o"/>
      <w:lvlJc w:val="left"/>
      <w:pPr>
        <w:ind w:left="6611" w:hanging="360"/>
      </w:pPr>
      <w:rPr>
        <w:rFonts w:ascii="Courier New" w:hAnsi="Courier New" w:hint="default"/>
      </w:rPr>
    </w:lvl>
    <w:lvl w:ilvl="8" w:tplc="5A2CB96C" w:tentative="1">
      <w:start w:val="1"/>
      <w:numFmt w:val="bullet"/>
      <w:lvlText w:val=""/>
      <w:lvlJc w:val="left"/>
      <w:pPr>
        <w:ind w:left="7331" w:hanging="360"/>
      </w:pPr>
      <w:rPr>
        <w:rFonts w:ascii="Wingdings" w:hAnsi="Wingdings" w:hint="default"/>
      </w:rPr>
    </w:lvl>
  </w:abstractNum>
  <w:abstractNum w:abstractNumId="34" w15:restartNumberingAfterBreak="0">
    <w:nsid w:val="388924FA"/>
    <w:multiLevelType w:val="hybridMultilevel"/>
    <w:tmpl w:val="5066BF8A"/>
    <w:lvl w:ilvl="0" w:tplc="EA28A9EA">
      <w:start w:val="1"/>
      <w:numFmt w:val="bullet"/>
      <w:lvlText w:val=""/>
      <w:lvlJc w:val="left"/>
      <w:pPr>
        <w:tabs>
          <w:tab w:val="num" w:pos="960"/>
        </w:tabs>
        <w:ind w:left="960" w:hanging="360"/>
      </w:pPr>
      <w:rPr>
        <w:rFonts w:ascii="Symbol" w:hAnsi="Symbol" w:hint="default"/>
        <w:sz w:val="24"/>
      </w:rPr>
    </w:lvl>
    <w:lvl w:ilvl="1" w:tplc="0C090003">
      <w:start w:val="1"/>
      <w:numFmt w:val="bullet"/>
      <w:lvlText w:val=""/>
      <w:lvlJc w:val="left"/>
      <w:pPr>
        <w:tabs>
          <w:tab w:val="num" w:pos="1620"/>
        </w:tabs>
        <w:ind w:left="1620" w:hanging="360"/>
      </w:pPr>
      <w:rPr>
        <w:rFonts w:ascii="Symbol" w:hAnsi="Symbol" w:hint="default"/>
        <w:sz w:val="24"/>
      </w:rPr>
    </w:lvl>
    <w:lvl w:ilvl="2" w:tplc="0C090005">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35" w15:restartNumberingAfterBreak="0">
    <w:nsid w:val="38C1773B"/>
    <w:multiLevelType w:val="hybridMultilevel"/>
    <w:tmpl w:val="B1963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A4B1C10"/>
    <w:multiLevelType w:val="hybridMultilevel"/>
    <w:tmpl w:val="C4A45C5E"/>
    <w:lvl w:ilvl="0" w:tplc="196A6B84">
      <w:start w:val="2"/>
      <w:numFmt w:val="lowerLetter"/>
      <w:lvlText w:val="(%1)"/>
      <w:lvlJc w:val="left"/>
      <w:pPr>
        <w:ind w:left="1324" w:hanging="360"/>
      </w:pPr>
      <w:rPr>
        <w:rFonts w:cs="Times New Roman"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38" w15:restartNumberingAfterBreak="0">
    <w:nsid w:val="3B2C5313"/>
    <w:multiLevelType w:val="hybridMultilevel"/>
    <w:tmpl w:val="AE7E87CA"/>
    <w:lvl w:ilvl="0" w:tplc="32901C20">
      <w:start w:val="1"/>
      <w:numFmt w:val="bullet"/>
      <w:lvlText w:val=""/>
      <w:lvlJc w:val="left"/>
      <w:pPr>
        <w:tabs>
          <w:tab w:val="num" w:pos="227"/>
        </w:tabs>
        <w:ind w:left="227" w:hanging="227"/>
      </w:pPr>
      <w:rPr>
        <w:rFonts w:ascii="Symbol" w:hAnsi="Symbol" w:hint="default"/>
      </w:rPr>
    </w:lvl>
    <w:lvl w:ilvl="1" w:tplc="48C8A500">
      <w:start w:val="1"/>
      <w:numFmt w:val="bullet"/>
      <w:lvlText w:val="o"/>
      <w:lvlJc w:val="left"/>
      <w:pPr>
        <w:tabs>
          <w:tab w:val="num" w:pos="1270"/>
        </w:tabs>
        <w:ind w:left="1270" w:hanging="360"/>
      </w:pPr>
      <w:rPr>
        <w:rFonts w:ascii="Courier New" w:hAnsi="Courier New" w:hint="default"/>
      </w:rPr>
    </w:lvl>
    <w:lvl w:ilvl="2" w:tplc="A24CC04C" w:tentative="1">
      <w:start w:val="1"/>
      <w:numFmt w:val="bullet"/>
      <w:lvlText w:val=""/>
      <w:lvlJc w:val="left"/>
      <w:pPr>
        <w:tabs>
          <w:tab w:val="num" w:pos="1990"/>
        </w:tabs>
        <w:ind w:left="1990" w:hanging="360"/>
      </w:pPr>
      <w:rPr>
        <w:rFonts w:ascii="Wingdings" w:hAnsi="Wingdings" w:hint="default"/>
      </w:rPr>
    </w:lvl>
    <w:lvl w:ilvl="3" w:tplc="BD0ABA80" w:tentative="1">
      <w:start w:val="1"/>
      <w:numFmt w:val="bullet"/>
      <w:lvlText w:val=""/>
      <w:lvlJc w:val="left"/>
      <w:pPr>
        <w:tabs>
          <w:tab w:val="num" w:pos="2710"/>
        </w:tabs>
        <w:ind w:left="2710" w:hanging="360"/>
      </w:pPr>
      <w:rPr>
        <w:rFonts w:ascii="Symbol" w:hAnsi="Symbol" w:hint="default"/>
      </w:rPr>
    </w:lvl>
    <w:lvl w:ilvl="4" w:tplc="72CEBA9A" w:tentative="1">
      <w:start w:val="1"/>
      <w:numFmt w:val="bullet"/>
      <w:lvlText w:val="o"/>
      <w:lvlJc w:val="left"/>
      <w:pPr>
        <w:tabs>
          <w:tab w:val="num" w:pos="3430"/>
        </w:tabs>
        <w:ind w:left="3430" w:hanging="360"/>
      </w:pPr>
      <w:rPr>
        <w:rFonts w:ascii="Courier New" w:hAnsi="Courier New" w:hint="default"/>
      </w:rPr>
    </w:lvl>
    <w:lvl w:ilvl="5" w:tplc="50D0AFCA" w:tentative="1">
      <w:start w:val="1"/>
      <w:numFmt w:val="bullet"/>
      <w:lvlText w:val=""/>
      <w:lvlJc w:val="left"/>
      <w:pPr>
        <w:tabs>
          <w:tab w:val="num" w:pos="4150"/>
        </w:tabs>
        <w:ind w:left="4150" w:hanging="360"/>
      </w:pPr>
      <w:rPr>
        <w:rFonts w:ascii="Wingdings" w:hAnsi="Wingdings" w:hint="default"/>
      </w:rPr>
    </w:lvl>
    <w:lvl w:ilvl="6" w:tplc="77242DEC" w:tentative="1">
      <w:start w:val="1"/>
      <w:numFmt w:val="bullet"/>
      <w:lvlText w:val=""/>
      <w:lvlJc w:val="left"/>
      <w:pPr>
        <w:tabs>
          <w:tab w:val="num" w:pos="4870"/>
        </w:tabs>
        <w:ind w:left="4870" w:hanging="360"/>
      </w:pPr>
      <w:rPr>
        <w:rFonts w:ascii="Symbol" w:hAnsi="Symbol" w:hint="default"/>
      </w:rPr>
    </w:lvl>
    <w:lvl w:ilvl="7" w:tplc="2C92284A" w:tentative="1">
      <w:start w:val="1"/>
      <w:numFmt w:val="bullet"/>
      <w:lvlText w:val="o"/>
      <w:lvlJc w:val="left"/>
      <w:pPr>
        <w:tabs>
          <w:tab w:val="num" w:pos="5590"/>
        </w:tabs>
        <w:ind w:left="5590" w:hanging="360"/>
      </w:pPr>
      <w:rPr>
        <w:rFonts w:ascii="Courier New" w:hAnsi="Courier New" w:hint="default"/>
      </w:rPr>
    </w:lvl>
    <w:lvl w:ilvl="8" w:tplc="159A08F6" w:tentative="1">
      <w:start w:val="1"/>
      <w:numFmt w:val="bullet"/>
      <w:lvlText w:val=""/>
      <w:lvlJc w:val="left"/>
      <w:pPr>
        <w:tabs>
          <w:tab w:val="num" w:pos="6310"/>
        </w:tabs>
        <w:ind w:left="6310" w:hanging="360"/>
      </w:pPr>
      <w:rPr>
        <w:rFonts w:ascii="Wingdings" w:hAnsi="Wingdings" w:hint="default"/>
      </w:rPr>
    </w:lvl>
  </w:abstractNum>
  <w:abstractNum w:abstractNumId="39" w15:restartNumberingAfterBreak="0">
    <w:nsid w:val="3BD81AE2"/>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0" w15:restartNumberingAfterBreak="0">
    <w:nsid w:val="3D150307"/>
    <w:multiLevelType w:val="hybridMultilevel"/>
    <w:tmpl w:val="E60CF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DFB784C"/>
    <w:multiLevelType w:val="hybridMultilevel"/>
    <w:tmpl w:val="803AC4DE"/>
    <w:lvl w:ilvl="0" w:tplc="04090001">
      <w:start w:val="1"/>
      <w:numFmt w:val="lowerLetter"/>
      <w:lvlText w:val="(%1)"/>
      <w:lvlJc w:val="left"/>
      <w:pPr>
        <w:ind w:left="1684" w:hanging="360"/>
      </w:pPr>
      <w:rPr>
        <w:rFonts w:cs="Times New Roman" w:hint="default"/>
      </w:rPr>
    </w:lvl>
    <w:lvl w:ilvl="1" w:tplc="0C090019" w:tentative="1">
      <w:start w:val="1"/>
      <w:numFmt w:val="lowerLetter"/>
      <w:lvlText w:val="%2."/>
      <w:lvlJc w:val="left"/>
      <w:pPr>
        <w:ind w:left="2404" w:hanging="360"/>
      </w:pPr>
    </w:lvl>
    <w:lvl w:ilvl="2" w:tplc="0C09001B" w:tentative="1">
      <w:start w:val="1"/>
      <w:numFmt w:val="lowerRoman"/>
      <w:lvlText w:val="%3."/>
      <w:lvlJc w:val="right"/>
      <w:pPr>
        <w:ind w:left="3124" w:hanging="180"/>
      </w:pPr>
    </w:lvl>
    <w:lvl w:ilvl="3" w:tplc="0C09000F" w:tentative="1">
      <w:start w:val="1"/>
      <w:numFmt w:val="decimal"/>
      <w:lvlText w:val="%4."/>
      <w:lvlJc w:val="left"/>
      <w:pPr>
        <w:ind w:left="3844" w:hanging="360"/>
      </w:pPr>
    </w:lvl>
    <w:lvl w:ilvl="4" w:tplc="0C090019" w:tentative="1">
      <w:start w:val="1"/>
      <w:numFmt w:val="lowerLetter"/>
      <w:lvlText w:val="%5."/>
      <w:lvlJc w:val="left"/>
      <w:pPr>
        <w:ind w:left="4564" w:hanging="360"/>
      </w:pPr>
    </w:lvl>
    <w:lvl w:ilvl="5" w:tplc="0C09001B" w:tentative="1">
      <w:start w:val="1"/>
      <w:numFmt w:val="lowerRoman"/>
      <w:lvlText w:val="%6."/>
      <w:lvlJc w:val="right"/>
      <w:pPr>
        <w:ind w:left="5284" w:hanging="180"/>
      </w:pPr>
    </w:lvl>
    <w:lvl w:ilvl="6" w:tplc="0C09000F" w:tentative="1">
      <w:start w:val="1"/>
      <w:numFmt w:val="decimal"/>
      <w:lvlText w:val="%7."/>
      <w:lvlJc w:val="left"/>
      <w:pPr>
        <w:ind w:left="6004" w:hanging="360"/>
      </w:pPr>
    </w:lvl>
    <w:lvl w:ilvl="7" w:tplc="0C090019" w:tentative="1">
      <w:start w:val="1"/>
      <w:numFmt w:val="lowerLetter"/>
      <w:lvlText w:val="%8."/>
      <w:lvlJc w:val="left"/>
      <w:pPr>
        <w:ind w:left="6724" w:hanging="360"/>
      </w:pPr>
    </w:lvl>
    <w:lvl w:ilvl="8" w:tplc="0C09001B" w:tentative="1">
      <w:start w:val="1"/>
      <w:numFmt w:val="lowerRoman"/>
      <w:lvlText w:val="%9."/>
      <w:lvlJc w:val="right"/>
      <w:pPr>
        <w:ind w:left="7444" w:hanging="180"/>
      </w:pPr>
    </w:lvl>
  </w:abstractNum>
  <w:abstractNum w:abstractNumId="42" w15:restartNumberingAfterBreak="0">
    <w:nsid w:val="3E1146A4"/>
    <w:multiLevelType w:val="hybridMultilevel"/>
    <w:tmpl w:val="C4A45C5E"/>
    <w:lvl w:ilvl="0" w:tplc="196A6B84">
      <w:start w:val="2"/>
      <w:numFmt w:val="lowerLetter"/>
      <w:lvlText w:val="(%1)"/>
      <w:lvlJc w:val="left"/>
      <w:pPr>
        <w:ind w:left="1324" w:hanging="360"/>
      </w:pPr>
      <w:rPr>
        <w:rFonts w:cs="Times New Roman"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3E404B55"/>
    <w:multiLevelType w:val="hybridMultilevel"/>
    <w:tmpl w:val="76B8F776"/>
    <w:lvl w:ilvl="0" w:tplc="5DBC7434">
      <w:start w:val="1"/>
      <w:numFmt w:val="bullet"/>
      <w:lvlText w:val=""/>
      <w:lvlJc w:val="left"/>
      <w:pPr>
        <w:tabs>
          <w:tab w:val="num" w:pos="720"/>
        </w:tabs>
        <w:ind w:left="720" w:hanging="360"/>
      </w:pPr>
      <w:rPr>
        <w:rFonts w:ascii="Symbol" w:hAnsi="Symbol" w:hint="default"/>
      </w:rPr>
    </w:lvl>
    <w:lvl w:ilvl="1" w:tplc="4BCA15C0" w:tentative="1">
      <w:start w:val="1"/>
      <w:numFmt w:val="bullet"/>
      <w:lvlText w:val="o"/>
      <w:lvlJc w:val="left"/>
      <w:pPr>
        <w:tabs>
          <w:tab w:val="num" w:pos="1440"/>
        </w:tabs>
        <w:ind w:left="1440" w:hanging="360"/>
      </w:pPr>
      <w:rPr>
        <w:rFonts w:ascii="Courier New" w:hAnsi="Courier New" w:hint="default"/>
      </w:rPr>
    </w:lvl>
    <w:lvl w:ilvl="2" w:tplc="E146F67E" w:tentative="1">
      <w:start w:val="1"/>
      <w:numFmt w:val="bullet"/>
      <w:lvlText w:val=""/>
      <w:lvlJc w:val="left"/>
      <w:pPr>
        <w:tabs>
          <w:tab w:val="num" w:pos="2160"/>
        </w:tabs>
        <w:ind w:left="2160" w:hanging="360"/>
      </w:pPr>
      <w:rPr>
        <w:rFonts w:ascii="Wingdings" w:hAnsi="Wingdings" w:hint="default"/>
      </w:rPr>
    </w:lvl>
    <w:lvl w:ilvl="3" w:tplc="F8D82194" w:tentative="1">
      <w:start w:val="1"/>
      <w:numFmt w:val="bullet"/>
      <w:lvlText w:val=""/>
      <w:lvlJc w:val="left"/>
      <w:pPr>
        <w:tabs>
          <w:tab w:val="num" w:pos="2880"/>
        </w:tabs>
        <w:ind w:left="2880" w:hanging="360"/>
      </w:pPr>
      <w:rPr>
        <w:rFonts w:ascii="Symbol" w:hAnsi="Symbol" w:hint="default"/>
      </w:rPr>
    </w:lvl>
    <w:lvl w:ilvl="4" w:tplc="7F347FF6" w:tentative="1">
      <w:start w:val="1"/>
      <w:numFmt w:val="bullet"/>
      <w:lvlText w:val="o"/>
      <w:lvlJc w:val="left"/>
      <w:pPr>
        <w:tabs>
          <w:tab w:val="num" w:pos="3600"/>
        </w:tabs>
        <w:ind w:left="3600" w:hanging="360"/>
      </w:pPr>
      <w:rPr>
        <w:rFonts w:ascii="Courier New" w:hAnsi="Courier New" w:hint="default"/>
      </w:rPr>
    </w:lvl>
    <w:lvl w:ilvl="5" w:tplc="5D24AD22" w:tentative="1">
      <w:start w:val="1"/>
      <w:numFmt w:val="bullet"/>
      <w:lvlText w:val=""/>
      <w:lvlJc w:val="left"/>
      <w:pPr>
        <w:tabs>
          <w:tab w:val="num" w:pos="4320"/>
        </w:tabs>
        <w:ind w:left="4320" w:hanging="360"/>
      </w:pPr>
      <w:rPr>
        <w:rFonts w:ascii="Wingdings" w:hAnsi="Wingdings" w:hint="default"/>
      </w:rPr>
    </w:lvl>
    <w:lvl w:ilvl="6" w:tplc="779C123E" w:tentative="1">
      <w:start w:val="1"/>
      <w:numFmt w:val="bullet"/>
      <w:lvlText w:val=""/>
      <w:lvlJc w:val="left"/>
      <w:pPr>
        <w:tabs>
          <w:tab w:val="num" w:pos="5040"/>
        </w:tabs>
        <w:ind w:left="5040" w:hanging="360"/>
      </w:pPr>
      <w:rPr>
        <w:rFonts w:ascii="Symbol" w:hAnsi="Symbol" w:hint="default"/>
      </w:rPr>
    </w:lvl>
    <w:lvl w:ilvl="7" w:tplc="538CB2CA" w:tentative="1">
      <w:start w:val="1"/>
      <w:numFmt w:val="bullet"/>
      <w:lvlText w:val="o"/>
      <w:lvlJc w:val="left"/>
      <w:pPr>
        <w:tabs>
          <w:tab w:val="num" w:pos="5760"/>
        </w:tabs>
        <w:ind w:left="5760" w:hanging="360"/>
      </w:pPr>
      <w:rPr>
        <w:rFonts w:ascii="Courier New" w:hAnsi="Courier New" w:hint="default"/>
      </w:rPr>
    </w:lvl>
    <w:lvl w:ilvl="8" w:tplc="8F4CC154"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06A7438"/>
    <w:multiLevelType w:val="hybridMultilevel"/>
    <w:tmpl w:val="ACCED168"/>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5" w15:restartNumberingAfterBreak="0">
    <w:nsid w:val="426B3612"/>
    <w:multiLevelType w:val="multilevel"/>
    <w:tmpl w:val="89DAFD34"/>
    <w:lvl w:ilvl="0">
      <w:start w:val="1"/>
      <w:numFmt w:val="bullet"/>
      <w:pStyle w:val="Bulleted"/>
      <w:lvlText w:val=""/>
      <w:lvlJc w:val="left"/>
      <w:pPr>
        <w:tabs>
          <w:tab w:val="num" w:pos="359"/>
        </w:tabs>
        <w:ind w:left="359" w:hanging="360"/>
      </w:pPr>
      <w:rPr>
        <w:rFonts w:ascii="Symbol" w:hAnsi="Symbol" w:hint="default"/>
      </w:rPr>
    </w:lvl>
    <w:lvl w:ilvl="1">
      <w:start w:val="1"/>
      <w:numFmt w:val="bullet"/>
      <w:lvlRestart w:val="0"/>
      <w:pStyle w:val="Bulleted"/>
      <w:lvlText w:val=""/>
      <w:lvlJc w:val="left"/>
      <w:pPr>
        <w:tabs>
          <w:tab w:val="num" w:pos="227"/>
        </w:tabs>
        <w:ind w:left="227" w:hanging="227"/>
      </w:pPr>
      <w:rPr>
        <w:rFonts w:ascii="Symbol" w:hAnsi="Symbol" w:hint="default"/>
      </w:rPr>
    </w:lvl>
    <w:lvl w:ilvl="2">
      <w:start w:val="1"/>
      <w:numFmt w:val="bullet"/>
      <w:suff w:val="space"/>
      <w:lvlText w:val=""/>
      <w:lvlJc w:val="left"/>
      <w:pPr>
        <w:ind w:left="397" w:hanging="170"/>
      </w:pPr>
      <w:rPr>
        <w:rFonts w:ascii="Symbol" w:hAnsi="Symbol" w:hint="default"/>
        <w:b w:val="0"/>
      </w:rPr>
    </w:lvl>
    <w:lvl w:ilvl="3">
      <w:start w:val="1"/>
      <w:numFmt w:val="none"/>
      <w:suff w:val="space"/>
      <w:lvlText w:val="%4%2"/>
      <w:lvlJc w:val="left"/>
      <w:pPr>
        <w:ind w:left="1511" w:hanging="504"/>
      </w:pPr>
      <w:rPr>
        <w:rFonts w:cs="Times New Roman" w:hint="default"/>
        <w:b w:val="0"/>
      </w:rPr>
    </w:lvl>
    <w:lvl w:ilvl="4">
      <w:start w:val="1"/>
      <w:numFmt w:val="decimal"/>
      <w:suff w:val="space"/>
      <w:lvlText w:val="%2"/>
      <w:lvlJc w:val="left"/>
      <w:pPr>
        <w:ind w:left="1943" w:hanging="648"/>
      </w:pPr>
      <w:rPr>
        <w:rFonts w:cs="Times New Roman" w:hint="default"/>
        <w:b w:val="0"/>
      </w:rPr>
    </w:lvl>
    <w:lvl w:ilvl="5">
      <w:start w:val="1"/>
      <w:numFmt w:val="decimal"/>
      <w:suff w:val="space"/>
      <w:lvlText w:val="%2"/>
      <w:lvlJc w:val="left"/>
      <w:pPr>
        <w:ind w:left="2375" w:hanging="792"/>
      </w:pPr>
      <w:rPr>
        <w:rFonts w:cs="Times New Roman" w:hint="default"/>
        <w:b w:val="0"/>
      </w:rPr>
    </w:lvl>
    <w:lvl w:ilvl="6">
      <w:start w:val="1"/>
      <w:numFmt w:val="none"/>
      <w:lvlText w:val=""/>
      <w:lvlJc w:val="left"/>
      <w:pPr>
        <w:tabs>
          <w:tab w:val="num" w:pos="5039"/>
        </w:tabs>
        <w:ind w:left="5039" w:hanging="360"/>
      </w:pPr>
      <w:rPr>
        <w:rFonts w:cs="Times New Roman" w:hint="default"/>
      </w:rPr>
    </w:lvl>
    <w:lvl w:ilvl="7">
      <w:start w:val="1"/>
      <w:numFmt w:val="none"/>
      <w:lvlText w:val=""/>
      <w:lvlJc w:val="left"/>
      <w:pPr>
        <w:tabs>
          <w:tab w:val="num" w:pos="5759"/>
        </w:tabs>
        <w:ind w:left="5759" w:hanging="360"/>
      </w:pPr>
      <w:rPr>
        <w:rFonts w:cs="Times New Roman" w:hint="default"/>
      </w:rPr>
    </w:lvl>
    <w:lvl w:ilvl="8">
      <w:start w:val="1"/>
      <w:numFmt w:val="none"/>
      <w:lvlText w:val=""/>
      <w:lvlJc w:val="right"/>
      <w:pPr>
        <w:tabs>
          <w:tab w:val="num" w:pos="6479"/>
        </w:tabs>
        <w:ind w:left="6479" w:hanging="180"/>
      </w:pPr>
      <w:rPr>
        <w:rFonts w:cs="Times New Roman" w:hint="default"/>
      </w:rPr>
    </w:lvl>
  </w:abstractNum>
  <w:abstractNum w:abstractNumId="46" w15:restartNumberingAfterBreak="0">
    <w:nsid w:val="450B01C5"/>
    <w:multiLevelType w:val="hybridMultilevel"/>
    <w:tmpl w:val="0FFA3ADE"/>
    <w:lvl w:ilvl="0" w:tplc="04090001">
      <w:start w:val="1"/>
      <w:numFmt w:val="lowerLetter"/>
      <w:lvlText w:val="(%1)"/>
      <w:lvlJc w:val="left"/>
      <w:pPr>
        <w:ind w:left="1684" w:hanging="360"/>
      </w:pPr>
      <w:rPr>
        <w:rFonts w:cs="Times New Roman" w:hint="default"/>
      </w:rPr>
    </w:lvl>
    <w:lvl w:ilvl="1" w:tplc="0C09001B">
      <w:start w:val="1"/>
      <w:numFmt w:val="lowerRoman"/>
      <w:lvlText w:val="%2."/>
      <w:lvlJc w:val="right"/>
      <w:pPr>
        <w:ind w:left="2404" w:hanging="360"/>
      </w:pPr>
    </w:lvl>
    <w:lvl w:ilvl="2" w:tplc="0C09001B" w:tentative="1">
      <w:start w:val="1"/>
      <w:numFmt w:val="lowerRoman"/>
      <w:lvlText w:val="%3."/>
      <w:lvlJc w:val="right"/>
      <w:pPr>
        <w:ind w:left="3124" w:hanging="180"/>
      </w:pPr>
    </w:lvl>
    <w:lvl w:ilvl="3" w:tplc="0C09000F" w:tentative="1">
      <w:start w:val="1"/>
      <w:numFmt w:val="decimal"/>
      <w:lvlText w:val="%4."/>
      <w:lvlJc w:val="left"/>
      <w:pPr>
        <w:ind w:left="3844" w:hanging="360"/>
      </w:pPr>
    </w:lvl>
    <w:lvl w:ilvl="4" w:tplc="0C090019" w:tentative="1">
      <w:start w:val="1"/>
      <w:numFmt w:val="lowerLetter"/>
      <w:lvlText w:val="%5."/>
      <w:lvlJc w:val="left"/>
      <w:pPr>
        <w:ind w:left="4564" w:hanging="360"/>
      </w:pPr>
    </w:lvl>
    <w:lvl w:ilvl="5" w:tplc="0C09001B" w:tentative="1">
      <w:start w:val="1"/>
      <w:numFmt w:val="lowerRoman"/>
      <w:lvlText w:val="%6."/>
      <w:lvlJc w:val="right"/>
      <w:pPr>
        <w:ind w:left="5284" w:hanging="180"/>
      </w:pPr>
    </w:lvl>
    <w:lvl w:ilvl="6" w:tplc="0C09000F" w:tentative="1">
      <w:start w:val="1"/>
      <w:numFmt w:val="decimal"/>
      <w:lvlText w:val="%7."/>
      <w:lvlJc w:val="left"/>
      <w:pPr>
        <w:ind w:left="6004" w:hanging="360"/>
      </w:pPr>
    </w:lvl>
    <w:lvl w:ilvl="7" w:tplc="0C090019" w:tentative="1">
      <w:start w:val="1"/>
      <w:numFmt w:val="lowerLetter"/>
      <w:lvlText w:val="%8."/>
      <w:lvlJc w:val="left"/>
      <w:pPr>
        <w:ind w:left="6724" w:hanging="360"/>
      </w:pPr>
    </w:lvl>
    <w:lvl w:ilvl="8" w:tplc="0C09001B" w:tentative="1">
      <w:start w:val="1"/>
      <w:numFmt w:val="lowerRoman"/>
      <w:lvlText w:val="%9."/>
      <w:lvlJc w:val="right"/>
      <w:pPr>
        <w:ind w:left="7444" w:hanging="180"/>
      </w:pPr>
    </w:lvl>
  </w:abstractNum>
  <w:abstractNum w:abstractNumId="47" w15:restartNumberingAfterBreak="0">
    <w:nsid w:val="46A15433"/>
    <w:multiLevelType w:val="multilevel"/>
    <w:tmpl w:val="FF6ECCEA"/>
    <w:lvl w:ilvl="0">
      <w:start w:val="1"/>
      <w:numFmt w:val="decimal"/>
      <w:lvlText w:val="%1"/>
      <w:lvlJc w:val="left"/>
      <w:pPr>
        <w:tabs>
          <w:tab w:val="num" w:pos="960"/>
        </w:tabs>
        <w:ind w:left="960" w:hanging="960"/>
      </w:pPr>
      <w:rPr>
        <w:rFonts w:cs="Times New Roman" w:hint="default"/>
      </w:rPr>
    </w:lvl>
    <w:lvl w:ilvl="1">
      <w:start w:val="22"/>
      <w:numFmt w:val="decimal"/>
      <w:lvlText w:val="%1.%2"/>
      <w:lvlJc w:val="left"/>
      <w:pPr>
        <w:tabs>
          <w:tab w:val="num" w:pos="960"/>
        </w:tabs>
        <w:ind w:left="960" w:hanging="960"/>
      </w:pPr>
      <w:rPr>
        <w:rFonts w:cs="Times New Roman" w:hint="default"/>
      </w:rPr>
    </w:lvl>
    <w:lvl w:ilvl="2">
      <w:start w:val="1"/>
      <w:numFmt w:val="decimal"/>
      <w:lvlText w:val="%1.%2.%3"/>
      <w:lvlJc w:val="left"/>
      <w:pPr>
        <w:tabs>
          <w:tab w:val="num" w:pos="960"/>
        </w:tabs>
        <w:ind w:left="960" w:hanging="960"/>
      </w:pPr>
      <w:rPr>
        <w:rFonts w:cs="Times New Roman" w:hint="default"/>
      </w:rPr>
    </w:lvl>
    <w:lvl w:ilvl="3">
      <w:start w:val="1"/>
      <w:numFmt w:val="decimal"/>
      <w:lvlText w:val="%1.%2.%3.%4"/>
      <w:lvlJc w:val="left"/>
      <w:pPr>
        <w:tabs>
          <w:tab w:val="num" w:pos="960"/>
        </w:tabs>
        <w:ind w:left="960" w:hanging="96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8" w15:restartNumberingAfterBreak="0">
    <w:nsid w:val="46F0174A"/>
    <w:multiLevelType w:val="hybridMultilevel"/>
    <w:tmpl w:val="E318C7FC"/>
    <w:lvl w:ilvl="0" w:tplc="AAD63E20">
      <w:start w:val="9"/>
      <w:numFmt w:val="lowerLetter"/>
      <w:lvlText w:val="(%1)"/>
      <w:lvlJc w:val="left"/>
      <w:pPr>
        <w:ind w:left="2040" w:hanging="360"/>
      </w:pPr>
      <w:rPr>
        <w:rFonts w:hint="default"/>
      </w:rPr>
    </w:lvl>
    <w:lvl w:ilvl="1" w:tplc="0C090019" w:tentative="1">
      <w:start w:val="1"/>
      <w:numFmt w:val="lowerLetter"/>
      <w:lvlText w:val="%2."/>
      <w:lvlJc w:val="left"/>
      <w:pPr>
        <w:ind w:left="2760" w:hanging="360"/>
      </w:pPr>
    </w:lvl>
    <w:lvl w:ilvl="2" w:tplc="0C09001B" w:tentative="1">
      <w:start w:val="1"/>
      <w:numFmt w:val="lowerRoman"/>
      <w:lvlText w:val="%3."/>
      <w:lvlJc w:val="right"/>
      <w:pPr>
        <w:ind w:left="3480" w:hanging="180"/>
      </w:pPr>
    </w:lvl>
    <w:lvl w:ilvl="3" w:tplc="0C09000F" w:tentative="1">
      <w:start w:val="1"/>
      <w:numFmt w:val="decimal"/>
      <w:lvlText w:val="%4."/>
      <w:lvlJc w:val="left"/>
      <w:pPr>
        <w:ind w:left="4200" w:hanging="360"/>
      </w:pPr>
    </w:lvl>
    <w:lvl w:ilvl="4" w:tplc="0C090019" w:tentative="1">
      <w:start w:val="1"/>
      <w:numFmt w:val="lowerLetter"/>
      <w:lvlText w:val="%5."/>
      <w:lvlJc w:val="left"/>
      <w:pPr>
        <w:ind w:left="4920" w:hanging="360"/>
      </w:pPr>
    </w:lvl>
    <w:lvl w:ilvl="5" w:tplc="0C09001B" w:tentative="1">
      <w:start w:val="1"/>
      <w:numFmt w:val="lowerRoman"/>
      <w:lvlText w:val="%6."/>
      <w:lvlJc w:val="right"/>
      <w:pPr>
        <w:ind w:left="5640" w:hanging="180"/>
      </w:pPr>
    </w:lvl>
    <w:lvl w:ilvl="6" w:tplc="0C09000F" w:tentative="1">
      <w:start w:val="1"/>
      <w:numFmt w:val="decimal"/>
      <w:lvlText w:val="%7."/>
      <w:lvlJc w:val="left"/>
      <w:pPr>
        <w:ind w:left="6360" w:hanging="360"/>
      </w:pPr>
    </w:lvl>
    <w:lvl w:ilvl="7" w:tplc="0C090019" w:tentative="1">
      <w:start w:val="1"/>
      <w:numFmt w:val="lowerLetter"/>
      <w:lvlText w:val="%8."/>
      <w:lvlJc w:val="left"/>
      <w:pPr>
        <w:ind w:left="7080" w:hanging="360"/>
      </w:pPr>
    </w:lvl>
    <w:lvl w:ilvl="8" w:tplc="0C09001B" w:tentative="1">
      <w:start w:val="1"/>
      <w:numFmt w:val="lowerRoman"/>
      <w:lvlText w:val="%9."/>
      <w:lvlJc w:val="right"/>
      <w:pPr>
        <w:ind w:left="7800" w:hanging="180"/>
      </w:pPr>
    </w:lvl>
  </w:abstractNum>
  <w:abstractNum w:abstractNumId="49" w15:restartNumberingAfterBreak="0">
    <w:nsid w:val="47B93F92"/>
    <w:multiLevelType w:val="hybridMultilevel"/>
    <w:tmpl w:val="14F2D6BC"/>
    <w:lvl w:ilvl="0" w:tplc="111CE2D8">
      <w:start w:val="1"/>
      <w:numFmt w:val="lowerLetter"/>
      <w:lvlText w:val="(%1)"/>
      <w:lvlJc w:val="left"/>
      <w:pPr>
        <w:ind w:left="1440" w:hanging="480"/>
      </w:pPr>
      <w:rPr>
        <w:rFonts w:hint="default"/>
      </w:rPr>
    </w:lvl>
    <w:lvl w:ilvl="1" w:tplc="0C090019">
      <w:start w:val="1"/>
      <w:numFmt w:val="lowerLetter"/>
      <w:lvlText w:val="%2."/>
      <w:lvlJc w:val="left"/>
      <w:pPr>
        <w:ind w:left="2040" w:hanging="360"/>
      </w:pPr>
    </w:lvl>
    <w:lvl w:ilvl="2" w:tplc="0C09001B" w:tentative="1">
      <w:start w:val="1"/>
      <w:numFmt w:val="lowerRoman"/>
      <w:lvlText w:val="%3."/>
      <w:lvlJc w:val="right"/>
      <w:pPr>
        <w:ind w:left="2760" w:hanging="180"/>
      </w:pPr>
    </w:lvl>
    <w:lvl w:ilvl="3" w:tplc="0C09000F" w:tentative="1">
      <w:start w:val="1"/>
      <w:numFmt w:val="decimal"/>
      <w:lvlText w:val="%4."/>
      <w:lvlJc w:val="left"/>
      <w:pPr>
        <w:ind w:left="3480" w:hanging="360"/>
      </w:pPr>
    </w:lvl>
    <w:lvl w:ilvl="4" w:tplc="0C090019" w:tentative="1">
      <w:start w:val="1"/>
      <w:numFmt w:val="lowerLetter"/>
      <w:lvlText w:val="%5."/>
      <w:lvlJc w:val="left"/>
      <w:pPr>
        <w:ind w:left="4200" w:hanging="360"/>
      </w:pPr>
    </w:lvl>
    <w:lvl w:ilvl="5" w:tplc="0C09001B" w:tentative="1">
      <w:start w:val="1"/>
      <w:numFmt w:val="lowerRoman"/>
      <w:lvlText w:val="%6."/>
      <w:lvlJc w:val="right"/>
      <w:pPr>
        <w:ind w:left="4920" w:hanging="180"/>
      </w:pPr>
    </w:lvl>
    <w:lvl w:ilvl="6" w:tplc="0C09000F" w:tentative="1">
      <w:start w:val="1"/>
      <w:numFmt w:val="decimal"/>
      <w:lvlText w:val="%7."/>
      <w:lvlJc w:val="left"/>
      <w:pPr>
        <w:ind w:left="5640" w:hanging="360"/>
      </w:pPr>
    </w:lvl>
    <w:lvl w:ilvl="7" w:tplc="0C090019" w:tentative="1">
      <w:start w:val="1"/>
      <w:numFmt w:val="lowerLetter"/>
      <w:lvlText w:val="%8."/>
      <w:lvlJc w:val="left"/>
      <w:pPr>
        <w:ind w:left="6360" w:hanging="360"/>
      </w:pPr>
    </w:lvl>
    <w:lvl w:ilvl="8" w:tplc="0C09001B" w:tentative="1">
      <w:start w:val="1"/>
      <w:numFmt w:val="lowerRoman"/>
      <w:lvlText w:val="%9."/>
      <w:lvlJc w:val="right"/>
      <w:pPr>
        <w:ind w:left="7080" w:hanging="180"/>
      </w:pPr>
    </w:lvl>
  </w:abstractNum>
  <w:abstractNum w:abstractNumId="50" w15:restartNumberingAfterBreak="0">
    <w:nsid w:val="4CD5495A"/>
    <w:multiLevelType w:val="hybridMultilevel"/>
    <w:tmpl w:val="9014F11A"/>
    <w:lvl w:ilvl="0" w:tplc="DF80C9BC">
      <w:start w:val="1"/>
      <w:numFmt w:val="lowerLetter"/>
      <w:lvlText w:val="(%1)"/>
      <w:lvlJc w:val="left"/>
      <w:pPr>
        <w:tabs>
          <w:tab w:val="num" w:pos="2164"/>
        </w:tabs>
        <w:ind w:left="2164" w:hanging="480"/>
      </w:pPr>
      <w:rPr>
        <w:rFonts w:cs="Times New Roman" w:hint="default"/>
      </w:rPr>
    </w:lvl>
    <w:lvl w:ilvl="1" w:tplc="C9B844C4" w:tentative="1">
      <w:start w:val="1"/>
      <w:numFmt w:val="lowerLetter"/>
      <w:lvlText w:val="%2."/>
      <w:lvlJc w:val="left"/>
      <w:pPr>
        <w:tabs>
          <w:tab w:val="num" w:pos="2764"/>
        </w:tabs>
        <w:ind w:left="2764" w:hanging="360"/>
      </w:pPr>
      <w:rPr>
        <w:rFonts w:cs="Times New Roman"/>
      </w:rPr>
    </w:lvl>
    <w:lvl w:ilvl="2" w:tplc="85D23624" w:tentative="1">
      <w:start w:val="1"/>
      <w:numFmt w:val="lowerRoman"/>
      <w:lvlText w:val="%3."/>
      <w:lvlJc w:val="right"/>
      <w:pPr>
        <w:tabs>
          <w:tab w:val="num" w:pos="3484"/>
        </w:tabs>
        <w:ind w:left="3484" w:hanging="180"/>
      </w:pPr>
      <w:rPr>
        <w:rFonts w:cs="Times New Roman"/>
      </w:rPr>
    </w:lvl>
    <w:lvl w:ilvl="3" w:tplc="8B605A3A" w:tentative="1">
      <w:start w:val="1"/>
      <w:numFmt w:val="decimal"/>
      <w:lvlText w:val="%4."/>
      <w:lvlJc w:val="left"/>
      <w:pPr>
        <w:tabs>
          <w:tab w:val="num" w:pos="4204"/>
        </w:tabs>
        <w:ind w:left="4204" w:hanging="360"/>
      </w:pPr>
      <w:rPr>
        <w:rFonts w:cs="Times New Roman"/>
      </w:rPr>
    </w:lvl>
    <w:lvl w:ilvl="4" w:tplc="E0302398" w:tentative="1">
      <w:start w:val="1"/>
      <w:numFmt w:val="lowerLetter"/>
      <w:lvlText w:val="%5."/>
      <w:lvlJc w:val="left"/>
      <w:pPr>
        <w:tabs>
          <w:tab w:val="num" w:pos="4924"/>
        </w:tabs>
        <w:ind w:left="4924" w:hanging="360"/>
      </w:pPr>
      <w:rPr>
        <w:rFonts w:cs="Times New Roman"/>
      </w:rPr>
    </w:lvl>
    <w:lvl w:ilvl="5" w:tplc="009E2624" w:tentative="1">
      <w:start w:val="1"/>
      <w:numFmt w:val="lowerRoman"/>
      <w:lvlText w:val="%6."/>
      <w:lvlJc w:val="right"/>
      <w:pPr>
        <w:tabs>
          <w:tab w:val="num" w:pos="5644"/>
        </w:tabs>
        <w:ind w:left="5644" w:hanging="180"/>
      </w:pPr>
      <w:rPr>
        <w:rFonts w:cs="Times New Roman"/>
      </w:rPr>
    </w:lvl>
    <w:lvl w:ilvl="6" w:tplc="92DED610" w:tentative="1">
      <w:start w:val="1"/>
      <w:numFmt w:val="decimal"/>
      <w:lvlText w:val="%7."/>
      <w:lvlJc w:val="left"/>
      <w:pPr>
        <w:tabs>
          <w:tab w:val="num" w:pos="6364"/>
        </w:tabs>
        <w:ind w:left="6364" w:hanging="360"/>
      </w:pPr>
      <w:rPr>
        <w:rFonts w:cs="Times New Roman"/>
      </w:rPr>
    </w:lvl>
    <w:lvl w:ilvl="7" w:tplc="B456F63A" w:tentative="1">
      <w:start w:val="1"/>
      <w:numFmt w:val="lowerLetter"/>
      <w:lvlText w:val="%8."/>
      <w:lvlJc w:val="left"/>
      <w:pPr>
        <w:tabs>
          <w:tab w:val="num" w:pos="7084"/>
        </w:tabs>
        <w:ind w:left="7084" w:hanging="360"/>
      </w:pPr>
      <w:rPr>
        <w:rFonts w:cs="Times New Roman"/>
      </w:rPr>
    </w:lvl>
    <w:lvl w:ilvl="8" w:tplc="997497FA" w:tentative="1">
      <w:start w:val="1"/>
      <w:numFmt w:val="lowerRoman"/>
      <w:lvlText w:val="%9."/>
      <w:lvlJc w:val="right"/>
      <w:pPr>
        <w:tabs>
          <w:tab w:val="num" w:pos="7804"/>
        </w:tabs>
        <w:ind w:left="7804" w:hanging="180"/>
      </w:pPr>
      <w:rPr>
        <w:rFonts w:cs="Times New Roman"/>
      </w:rPr>
    </w:lvl>
  </w:abstractNum>
  <w:abstractNum w:abstractNumId="51" w15:restartNumberingAfterBreak="0">
    <w:nsid w:val="4D83605A"/>
    <w:multiLevelType w:val="hybridMultilevel"/>
    <w:tmpl w:val="C4A45C5E"/>
    <w:lvl w:ilvl="0" w:tplc="196A6B84">
      <w:start w:val="2"/>
      <w:numFmt w:val="lowerLetter"/>
      <w:lvlText w:val="(%1)"/>
      <w:lvlJc w:val="left"/>
      <w:pPr>
        <w:ind w:left="1324" w:hanging="360"/>
      </w:pPr>
      <w:rPr>
        <w:rFonts w:cs="Times New Roman"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4DF91DF4"/>
    <w:multiLevelType w:val="hybridMultilevel"/>
    <w:tmpl w:val="E9C01C84"/>
    <w:name w:val="StandardBulletedList"/>
    <w:lvl w:ilvl="0" w:tplc="52226488">
      <w:start w:val="1"/>
      <w:numFmt w:val="decimal"/>
      <w:lvlText w:val="(%1)"/>
      <w:lvlJc w:val="left"/>
      <w:pPr>
        <w:ind w:left="1080" w:hanging="360"/>
      </w:pPr>
      <w:rPr>
        <w:rFonts w:cs="Times New Roman" w:hint="default"/>
      </w:rPr>
    </w:lvl>
    <w:lvl w:ilvl="1" w:tplc="1264C5B0" w:tentative="1">
      <w:start w:val="1"/>
      <w:numFmt w:val="lowerLetter"/>
      <w:lvlText w:val="%2."/>
      <w:lvlJc w:val="left"/>
      <w:pPr>
        <w:ind w:left="1800" w:hanging="360"/>
      </w:pPr>
      <w:rPr>
        <w:rFonts w:cs="Times New Roman"/>
      </w:rPr>
    </w:lvl>
    <w:lvl w:ilvl="2" w:tplc="90963EA8" w:tentative="1">
      <w:start w:val="1"/>
      <w:numFmt w:val="lowerRoman"/>
      <w:lvlText w:val="%3."/>
      <w:lvlJc w:val="right"/>
      <w:pPr>
        <w:ind w:left="2520" w:hanging="180"/>
      </w:pPr>
      <w:rPr>
        <w:rFonts w:cs="Times New Roman"/>
      </w:rPr>
    </w:lvl>
    <w:lvl w:ilvl="3" w:tplc="3760EDCC" w:tentative="1">
      <w:start w:val="1"/>
      <w:numFmt w:val="decimal"/>
      <w:lvlText w:val="%4."/>
      <w:lvlJc w:val="left"/>
      <w:pPr>
        <w:ind w:left="3240" w:hanging="360"/>
      </w:pPr>
      <w:rPr>
        <w:rFonts w:cs="Times New Roman"/>
      </w:rPr>
    </w:lvl>
    <w:lvl w:ilvl="4" w:tplc="54384EF8" w:tentative="1">
      <w:start w:val="1"/>
      <w:numFmt w:val="lowerLetter"/>
      <w:lvlText w:val="%5."/>
      <w:lvlJc w:val="left"/>
      <w:pPr>
        <w:ind w:left="3960" w:hanging="360"/>
      </w:pPr>
      <w:rPr>
        <w:rFonts w:cs="Times New Roman"/>
      </w:rPr>
    </w:lvl>
    <w:lvl w:ilvl="5" w:tplc="E7A2CF0A" w:tentative="1">
      <w:start w:val="1"/>
      <w:numFmt w:val="lowerRoman"/>
      <w:lvlText w:val="%6."/>
      <w:lvlJc w:val="right"/>
      <w:pPr>
        <w:ind w:left="4680" w:hanging="180"/>
      </w:pPr>
      <w:rPr>
        <w:rFonts w:cs="Times New Roman"/>
      </w:rPr>
    </w:lvl>
    <w:lvl w:ilvl="6" w:tplc="27AE95FC" w:tentative="1">
      <w:start w:val="1"/>
      <w:numFmt w:val="decimal"/>
      <w:lvlText w:val="%7."/>
      <w:lvlJc w:val="left"/>
      <w:pPr>
        <w:ind w:left="5400" w:hanging="360"/>
      </w:pPr>
      <w:rPr>
        <w:rFonts w:cs="Times New Roman"/>
      </w:rPr>
    </w:lvl>
    <w:lvl w:ilvl="7" w:tplc="5508A10C" w:tentative="1">
      <w:start w:val="1"/>
      <w:numFmt w:val="lowerLetter"/>
      <w:lvlText w:val="%8."/>
      <w:lvlJc w:val="left"/>
      <w:pPr>
        <w:ind w:left="6120" w:hanging="360"/>
      </w:pPr>
      <w:rPr>
        <w:rFonts w:cs="Times New Roman"/>
      </w:rPr>
    </w:lvl>
    <w:lvl w:ilvl="8" w:tplc="E28E19B4" w:tentative="1">
      <w:start w:val="1"/>
      <w:numFmt w:val="lowerRoman"/>
      <w:lvlText w:val="%9."/>
      <w:lvlJc w:val="right"/>
      <w:pPr>
        <w:ind w:left="6840" w:hanging="180"/>
      </w:pPr>
      <w:rPr>
        <w:rFonts w:cs="Times New Roman"/>
      </w:rPr>
    </w:lvl>
  </w:abstractNum>
  <w:abstractNum w:abstractNumId="53" w15:restartNumberingAfterBreak="0">
    <w:nsid w:val="52C4767C"/>
    <w:multiLevelType w:val="hybridMultilevel"/>
    <w:tmpl w:val="A5EA6D1E"/>
    <w:lvl w:ilvl="0" w:tplc="F468CE6A">
      <w:start w:val="1"/>
      <w:numFmt w:val="bullet"/>
      <w:lvlText w:val="-"/>
      <w:lvlJc w:val="left"/>
      <w:pPr>
        <w:ind w:left="1713" w:hanging="360"/>
      </w:pPr>
      <w:rPr>
        <w:rFonts w:ascii="Arial" w:eastAsia="Times New Roman" w:hAnsi="Arial" w:hint="default"/>
      </w:rPr>
    </w:lvl>
    <w:lvl w:ilvl="1" w:tplc="EA28A9EA" w:tentative="1">
      <w:start w:val="1"/>
      <w:numFmt w:val="bullet"/>
      <w:lvlText w:val="o"/>
      <w:lvlJc w:val="left"/>
      <w:pPr>
        <w:ind w:left="2433" w:hanging="360"/>
      </w:pPr>
      <w:rPr>
        <w:rFonts w:ascii="Courier New" w:hAnsi="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54" w15:restartNumberingAfterBreak="0">
    <w:nsid w:val="53B50865"/>
    <w:multiLevelType w:val="hybridMultilevel"/>
    <w:tmpl w:val="7D660F1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5" w15:restartNumberingAfterBreak="0">
    <w:nsid w:val="59FB3044"/>
    <w:multiLevelType w:val="hybridMultilevel"/>
    <w:tmpl w:val="99F4BFC0"/>
    <w:name w:val="AGSCorp"/>
    <w:lvl w:ilvl="0" w:tplc="DA6C1664">
      <w:start w:val="1"/>
      <w:numFmt w:val="bullet"/>
      <w:lvlText w:val="-"/>
      <w:lvlJc w:val="left"/>
      <w:pPr>
        <w:ind w:left="1800" w:hanging="360"/>
      </w:pPr>
      <w:rPr>
        <w:rFonts w:ascii="Arial" w:eastAsia="Times New Roman" w:hAnsi="Arial" w:hint="default"/>
      </w:rPr>
    </w:lvl>
    <w:lvl w:ilvl="1" w:tplc="720CB18A" w:tentative="1">
      <w:start w:val="1"/>
      <w:numFmt w:val="bullet"/>
      <w:lvlText w:val="o"/>
      <w:lvlJc w:val="left"/>
      <w:pPr>
        <w:ind w:left="2520" w:hanging="360"/>
      </w:pPr>
      <w:rPr>
        <w:rFonts w:ascii="Courier New" w:hAnsi="Courier New" w:hint="default"/>
      </w:rPr>
    </w:lvl>
    <w:lvl w:ilvl="2" w:tplc="78222AE8" w:tentative="1">
      <w:start w:val="1"/>
      <w:numFmt w:val="bullet"/>
      <w:lvlText w:val=""/>
      <w:lvlJc w:val="left"/>
      <w:pPr>
        <w:ind w:left="3240" w:hanging="360"/>
      </w:pPr>
      <w:rPr>
        <w:rFonts w:ascii="Wingdings" w:hAnsi="Wingdings" w:hint="default"/>
      </w:rPr>
    </w:lvl>
    <w:lvl w:ilvl="3" w:tplc="829C0952" w:tentative="1">
      <w:start w:val="1"/>
      <w:numFmt w:val="bullet"/>
      <w:lvlText w:val=""/>
      <w:lvlJc w:val="left"/>
      <w:pPr>
        <w:ind w:left="3960" w:hanging="360"/>
      </w:pPr>
      <w:rPr>
        <w:rFonts w:ascii="Symbol" w:hAnsi="Symbol" w:hint="default"/>
      </w:rPr>
    </w:lvl>
    <w:lvl w:ilvl="4" w:tplc="E12E6586" w:tentative="1">
      <w:start w:val="1"/>
      <w:numFmt w:val="bullet"/>
      <w:lvlText w:val="o"/>
      <w:lvlJc w:val="left"/>
      <w:pPr>
        <w:ind w:left="4680" w:hanging="360"/>
      </w:pPr>
      <w:rPr>
        <w:rFonts w:ascii="Courier New" w:hAnsi="Courier New" w:hint="default"/>
      </w:rPr>
    </w:lvl>
    <w:lvl w:ilvl="5" w:tplc="6308A026" w:tentative="1">
      <w:start w:val="1"/>
      <w:numFmt w:val="bullet"/>
      <w:lvlText w:val=""/>
      <w:lvlJc w:val="left"/>
      <w:pPr>
        <w:ind w:left="5400" w:hanging="360"/>
      </w:pPr>
      <w:rPr>
        <w:rFonts w:ascii="Wingdings" w:hAnsi="Wingdings" w:hint="default"/>
      </w:rPr>
    </w:lvl>
    <w:lvl w:ilvl="6" w:tplc="4E2A0FCE" w:tentative="1">
      <w:start w:val="1"/>
      <w:numFmt w:val="bullet"/>
      <w:lvlText w:val=""/>
      <w:lvlJc w:val="left"/>
      <w:pPr>
        <w:ind w:left="6120" w:hanging="360"/>
      </w:pPr>
      <w:rPr>
        <w:rFonts w:ascii="Symbol" w:hAnsi="Symbol" w:hint="default"/>
      </w:rPr>
    </w:lvl>
    <w:lvl w:ilvl="7" w:tplc="BEF41466" w:tentative="1">
      <w:start w:val="1"/>
      <w:numFmt w:val="bullet"/>
      <w:lvlText w:val="o"/>
      <w:lvlJc w:val="left"/>
      <w:pPr>
        <w:ind w:left="6840" w:hanging="360"/>
      </w:pPr>
      <w:rPr>
        <w:rFonts w:ascii="Courier New" w:hAnsi="Courier New" w:hint="default"/>
      </w:rPr>
    </w:lvl>
    <w:lvl w:ilvl="8" w:tplc="ECB8F600" w:tentative="1">
      <w:start w:val="1"/>
      <w:numFmt w:val="bullet"/>
      <w:lvlText w:val=""/>
      <w:lvlJc w:val="left"/>
      <w:pPr>
        <w:ind w:left="7560" w:hanging="360"/>
      </w:pPr>
      <w:rPr>
        <w:rFonts w:ascii="Wingdings" w:hAnsi="Wingdings" w:hint="default"/>
      </w:rPr>
    </w:lvl>
  </w:abstractNum>
  <w:abstractNum w:abstractNumId="56" w15:restartNumberingAfterBreak="0">
    <w:nsid w:val="5A1A557B"/>
    <w:multiLevelType w:val="hybridMultilevel"/>
    <w:tmpl w:val="B3400A7C"/>
    <w:lvl w:ilvl="0" w:tplc="DB04AE1A">
      <w:start w:val="1"/>
      <w:numFmt w:val="lowerLetter"/>
      <w:lvlText w:val="(%1)"/>
      <w:lvlJc w:val="left"/>
      <w:pPr>
        <w:ind w:left="786" w:hanging="360"/>
      </w:pPr>
      <w:rPr>
        <w:rFonts w:cs="Times New Roman" w:hint="default"/>
      </w:rPr>
    </w:lvl>
    <w:lvl w:ilvl="1" w:tplc="0C090019" w:tentative="1">
      <w:start w:val="1"/>
      <w:numFmt w:val="lowerLetter"/>
      <w:lvlText w:val="%2."/>
      <w:lvlJc w:val="left"/>
      <w:pPr>
        <w:ind w:left="1506" w:hanging="360"/>
      </w:pPr>
      <w:rPr>
        <w:rFonts w:cs="Times New Roman"/>
      </w:rPr>
    </w:lvl>
    <w:lvl w:ilvl="2" w:tplc="0C09001B" w:tentative="1">
      <w:start w:val="1"/>
      <w:numFmt w:val="lowerRoman"/>
      <w:lvlText w:val="%3."/>
      <w:lvlJc w:val="right"/>
      <w:pPr>
        <w:ind w:left="2226" w:hanging="180"/>
      </w:pPr>
      <w:rPr>
        <w:rFonts w:cs="Times New Roman"/>
      </w:rPr>
    </w:lvl>
    <w:lvl w:ilvl="3" w:tplc="0C09000F" w:tentative="1">
      <w:start w:val="1"/>
      <w:numFmt w:val="decimal"/>
      <w:lvlText w:val="%4."/>
      <w:lvlJc w:val="left"/>
      <w:pPr>
        <w:ind w:left="2946" w:hanging="360"/>
      </w:pPr>
      <w:rPr>
        <w:rFonts w:cs="Times New Roman"/>
      </w:rPr>
    </w:lvl>
    <w:lvl w:ilvl="4" w:tplc="0C090019" w:tentative="1">
      <w:start w:val="1"/>
      <w:numFmt w:val="lowerLetter"/>
      <w:lvlText w:val="%5."/>
      <w:lvlJc w:val="left"/>
      <w:pPr>
        <w:ind w:left="3666" w:hanging="360"/>
      </w:pPr>
      <w:rPr>
        <w:rFonts w:cs="Times New Roman"/>
      </w:rPr>
    </w:lvl>
    <w:lvl w:ilvl="5" w:tplc="0C09001B" w:tentative="1">
      <w:start w:val="1"/>
      <w:numFmt w:val="lowerRoman"/>
      <w:lvlText w:val="%6."/>
      <w:lvlJc w:val="right"/>
      <w:pPr>
        <w:ind w:left="4386" w:hanging="180"/>
      </w:pPr>
      <w:rPr>
        <w:rFonts w:cs="Times New Roman"/>
      </w:rPr>
    </w:lvl>
    <w:lvl w:ilvl="6" w:tplc="0C09000F" w:tentative="1">
      <w:start w:val="1"/>
      <w:numFmt w:val="decimal"/>
      <w:lvlText w:val="%7."/>
      <w:lvlJc w:val="left"/>
      <w:pPr>
        <w:ind w:left="5106" w:hanging="360"/>
      </w:pPr>
      <w:rPr>
        <w:rFonts w:cs="Times New Roman"/>
      </w:rPr>
    </w:lvl>
    <w:lvl w:ilvl="7" w:tplc="0C090019" w:tentative="1">
      <w:start w:val="1"/>
      <w:numFmt w:val="lowerLetter"/>
      <w:lvlText w:val="%8."/>
      <w:lvlJc w:val="left"/>
      <w:pPr>
        <w:ind w:left="5826" w:hanging="360"/>
      </w:pPr>
      <w:rPr>
        <w:rFonts w:cs="Times New Roman"/>
      </w:rPr>
    </w:lvl>
    <w:lvl w:ilvl="8" w:tplc="0C09001B" w:tentative="1">
      <w:start w:val="1"/>
      <w:numFmt w:val="lowerRoman"/>
      <w:lvlText w:val="%9."/>
      <w:lvlJc w:val="right"/>
      <w:pPr>
        <w:ind w:left="6546" w:hanging="180"/>
      </w:pPr>
      <w:rPr>
        <w:rFonts w:cs="Times New Roman"/>
      </w:rPr>
    </w:lvl>
  </w:abstractNum>
  <w:abstractNum w:abstractNumId="57" w15:restartNumberingAfterBreak="0">
    <w:nsid w:val="5AE43510"/>
    <w:multiLevelType w:val="hybridMultilevel"/>
    <w:tmpl w:val="64D47F88"/>
    <w:lvl w:ilvl="0" w:tplc="31E47A04">
      <w:start w:val="1"/>
      <w:numFmt w:val="lowerLetter"/>
      <w:lvlText w:val="(%1)"/>
      <w:lvlJc w:val="left"/>
      <w:pPr>
        <w:ind w:left="1324" w:hanging="360"/>
      </w:pPr>
      <w:rPr>
        <w:rFonts w:hint="default"/>
      </w:r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58" w15:restartNumberingAfterBreak="0">
    <w:nsid w:val="619269A5"/>
    <w:multiLevelType w:val="multilevel"/>
    <w:tmpl w:val="7500010A"/>
    <w:lvl w:ilvl="0">
      <w:start w:val="4"/>
      <w:numFmt w:val="decimal"/>
      <w:lvlText w:val="%1"/>
      <w:lvlJc w:val="left"/>
      <w:pPr>
        <w:tabs>
          <w:tab w:val="num" w:pos="960"/>
        </w:tabs>
        <w:ind w:left="960" w:hanging="960"/>
      </w:pPr>
      <w:rPr>
        <w:rFonts w:cs="Times New Roman" w:hint="default"/>
      </w:rPr>
    </w:lvl>
    <w:lvl w:ilvl="1">
      <w:start w:val="86"/>
      <w:numFmt w:val="decimal"/>
      <w:lvlText w:val="%1.%2"/>
      <w:lvlJc w:val="left"/>
      <w:pPr>
        <w:tabs>
          <w:tab w:val="num" w:pos="960"/>
        </w:tabs>
        <w:ind w:left="960" w:hanging="960"/>
      </w:pPr>
      <w:rPr>
        <w:rFonts w:cs="Times New Roman" w:hint="default"/>
      </w:rPr>
    </w:lvl>
    <w:lvl w:ilvl="2">
      <w:start w:val="1"/>
      <w:numFmt w:val="decimal"/>
      <w:lvlText w:val="%1.%2.%3"/>
      <w:lvlJc w:val="left"/>
      <w:pPr>
        <w:tabs>
          <w:tab w:val="num" w:pos="960"/>
        </w:tabs>
        <w:ind w:left="960" w:hanging="960"/>
      </w:pPr>
      <w:rPr>
        <w:rFonts w:cs="Times New Roman" w:hint="default"/>
      </w:rPr>
    </w:lvl>
    <w:lvl w:ilvl="3">
      <w:start w:val="1"/>
      <w:numFmt w:val="decimal"/>
      <w:lvlText w:val="%1.%2.%3.%4"/>
      <w:lvlJc w:val="left"/>
      <w:pPr>
        <w:tabs>
          <w:tab w:val="num" w:pos="960"/>
        </w:tabs>
        <w:ind w:left="960" w:hanging="96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9" w15:restartNumberingAfterBreak="0">
    <w:nsid w:val="62620BFC"/>
    <w:multiLevelType w:val="hybridMultilevel"/>
    <w:tmpl w:val="0CE2A81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0" w15:restartNumberingAfterBreak="0">
    <w:nsid w:val="66686490"/>
    <w:multiLevelType w:val="hybridMultilevel"/>
    <w:tmpl w:val="7494AD2A"/>
    <w:lvl w:ilvl="0" w:tplc="2638A35C">
      <w:start w:val="1"/>
      <w:numFmt w:val="lowerLetter"/>
      <w:lvlText w:val="%1."/>
      <w:lvlJc w:val="left"/>
      <w:pPr>
        <w:ind w:left="72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1" w15:restartNumberingAfterBreak="0">
    <w:nsid w:val="69F416B8"/>
    <w:multiLevelType w:val="hybridMultilevel"/>
    <w:tmpl w:val="81DA2010"/>
    <w:lvl w:ilvl="0" w:tplc="3122495A">
      <w:start w:val="2"/>
      <w:numFmt w:val="decimal"/>
      <w:lvlText w:val="(%1)"/>
      <w:lvlJc w:val="left"/>
      <w:pPr>
        <w:tabs>
          <w:tab w:val="num" w:pos="876"/>
        </w:tabs>
        <w:ind w:left="876" w:hanging="360"/>
      </w:pPr>
      <w:rPr>
        <w:rFonts w:cs="Times New Roman" w:hint="default"/>
      </w:rPr>
    </w:lvl>
    <w:lvl w:ilvl="1" w:tplc="04090019" w:tentative="1">
      <w:start w:val="1"/>
      <w:numFmt w:val="lowerLetter"/>
      <w:lvlText w:val="%2."/>
      <w:lvlJc w:val="left"/>
      <w:pPr>
        <w:tabs>
          <w:tab w:val="num" w:pos="1596"/>
        </w:tabs>
        <w:ind w:left="1596" w:hanging="360"/>
      </w:pPr>
      <w:rPr>
        <w:rFonts w:cs="Times New Roman"/>
      </w:rPr>
    </w:lvl>
    <w:lvl w:ilvl="2" w:tplc="0409001B" w:tentative="1">
      <w:start w:val="1"/>
      <w:numFmt w:val="lowerRoman"/>
      <w:lvlText w:val="%3."/>
      <w:lvlJc w:val="right"/>
      <w:pPr>
        <w:tabs>
          <w:tab w:val="num" w:pos="2316"/>
        </w:tabs>
        <w:ind w:left="2316" w:hanging="180"/>
      </w:pPr>
      <w:rPr>
        <w:rFonts w:cs="Times New Roman"/>
      </w:rPr>
    </w:lvl>
    <w:lvl w:ilvl="3" w:tplc="0409000F" w:tentative="1">
      <w:start w:val="1"/>
      <w:numFmt w:val="decimal"/>
      <w:lvlText w:val="%4."/>
      <w:lvlJc w:val="left"/>
      <w:pPr>
        <w:tabs>
          <w:tab w:val="num" w:pos="3036"/>
        </w:tabs>
        <w:ind w:left="3036" w:hanging="360"/>
      </w:pPr>
      <w:rPr>
        <w:rFonts w:cs="Times New Roman"/>
      </w:rPr>
    </w:lvl>
    <w:lvl w:ilvl="4" w:tplc="04090019" w:tentative="1">
      <w:start w:val="1"/>
      <w:numFmt w:val="lowerLetter"/>
      <w:lvlText w:val="%5."/>
      <w:lvlJc w:val="left"/>
      <w:pPr>
        <w:tabs>
          <w:tab w:val="num" w:pos="3756"/>
        </w:tabs>
        <w:ind w:left="3756" w:hanging="360"/>
      </w:pPr>
      <w:rPr>
        <w:rFonts w:cs="Times New Roman"/>
      </w:rPr>
    </w:lvl>
    <w:lvl w:ilvl="5" w:tplc="0409001B" w:tentative="1">
      <w:start w:val="1"/>
      <w:numFmt w:val="lowerRoman"/>
      <w:lvlText w:val="%6."/>
      <w:lvlJc w:val="right"/>
      <w:pPr>
        <w:tabs>
          <w:tab w:val="num" w:pos="4476"/>
        </w:tabs>
        <w:ind w:left="4476" w:hanging="180"/>
      </w:pPr>
      <w:rPr>
        <w:rFonts w:cs="Times New Roman"/>
      </w:rPr>
    </w:lvl>
    <w:lvl w:ilvl="6" w:tplc="0409000F" w:tentative="1">
      <w:start w:val="1"/>
      <w:numFmt w:val="decimal"/>
      <w:lvlText w:val="%7."/>
      <w:lvlJc w:val="left"/>
      <w:pPr>
        <w:tabs>
          <w:tab w:val="num" w:pos="5196"/>
        </w:tabs>
        <w:ind w:left="5196" w:hanging="360"/>
      </w:pPr>
      <w:rPr>
        <w:rFonts w:cs="Times New Roman"/>
      </w:rPr>
    </w:lvl>
    <w:lvl w:ilvl="7" w:tplc="04090019" w:tentative="1">
      <w:start w:val="1"/>
      <w:numFmt w:val="lowerLetter"/>
      <w:lvlText w:val="%8."/>
      <w:lvlJc w:val="left"/>
      <w:pPr>
        <w:tabs>
          <w:tab w:val="num" w:pos="5916"/>
        </w:tabs>
        <w:ind w:left="5916" w:hanging="360"/>
      </w:pPr>
      <w:rPr>
        <w:rFonts w:cs="Times New Roman"/>
      </w:rPr>
    </w:lvl>
    <w:lvl w:ilvl="8" w:tplc="0409001B" w:tentative="1">
      <w:start w:val="1"/>
      <w:numFmt w:val="lowerRoman"/>
      <w:lvlText w:val="%9."/>
      <w:lvlJc w:val="right"/>
      <w:pPr>
        <w:tabs>
          <w:tab w:val="num" w:pos="6636"/>
        </w:tabs>
        <w:ind w:left="6636" w:hanging="180"/>
      </w:pPr>
      <w:rPr>
        <w:rFonts w:cs="Times New Roman"/>
      </w:rPr>
    </w:lvl>
  </w:abstractNum>
  <w:abstractNum w:abstractNumId="62" w15:restartNumberingAfterBreak="0">
    <w:nsid w:val="6A685BFE"/>
    <w:multiLevelType w:val="hybridMultilevel"/>
    <w:tmpl w:val="F5BCF4DE"/>
    <w:lvl w:ilvl="0" w:tplc="68A86F92">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3" w15:restartNumberingAfterBreak="0">
    <w:nsid w:val="6AF50DD1"/>
    <w:multiLevelType w:val="hybridMultilevel"/>
    <w:tmpl w:val="5BDA43C4"/>
    <w:lvl w:ilvl="0" w:tplc="9AE4C408">
      <w:start w:val="1"/>
      <w:numFmt w:val="bullet"/>
      <w:lvlText w:val=""/>
      <w:lvlJc w:val="left"/>
      <w:pPr>
        <w:tabs>
          <w:tab w:val="num" w:pos="1324"/>
        </w:tabs>
        <w:ind w:left="1324" w:hanging="360"/>
      </w:pPr>
      <w:rPr>
        <w:rFonts w:ascii="Symbol" w:hAnsi="Symbol" w:hint="default"/>
      </w:rPr>
    </w:lvl>
    <w:lvl w:ilvl="1" w:tplc="0C090019" w:tentative="1">
      <w:start w:val="1"/>
      <w:numFmt w:val="bullet"/>
      <w:lvlText w:val="o"/>
      <w:lvlJc w:val="left"/>
      <w:pPr>
        <w:tabs>
          <w:tab w:val="num" w:pos="2044"/>
        </w:tabs>
        <w:ind w:left="2044" w:hanging="360"/>
      </w:pPr>
      <w:rPr>
        <w:rFonts w:ascii="Courier New" w:hAnsi="Courier New" w:hint="default"/>
      </w:rPr>
    </w:lvl>
    <w:lvl w:ilvl="2" w:tplc="0C09001B" w:tentative="1">
      <w:start w:val="1"/>
      <w:numFmt w:val="bullet"/>
      <w:lvlText w:val=""/>
      <w:lvlJc w:val="left"/>
      <w:pPr>
        <w:tabs>
          <w:tab w:val="num" w:pos="2764"/>
        </w:tabs>
        <w:ind w:left="2764" w:hanging="360"/>
      </w:pPr>
      <w:rPr>
        <w:rFonts w:ascii="Wingdings" w:hAnsi="Wingdings" w:hint="default"/>
      </w:rPr>
    </w:lvl>
    <w:lvl w:ilvl="3" w:tplc="0C09000F" w:tentative="1">
      <w:start w:val="1"/>
      <w:numFmt w:val="bullet"/>
      <w:lvlText w:val=""/>
      <w:lvlJc w:val="left"/>
      <w:pPr>
        <w:tabs>
          <w:tab w:val="num" w:pos="3484"/>
        </w:tabs>
        <w:ind w:left="3484" w:hanging="360"/>
      </w:pPr>
      <w:rPr>
        <w:rFonts w:ascii="Symbol" w:hAnsi="Symbol" w:hint="default"/>
      </w:rPr>
    </w:lvl>
    <w:lvl w:ilvl="4" w:tplc="0C090019" w:tentative="1">
      <w:start w:val="1"/>
      <w:numFmt w:val="bullet"/>
      <w:lvlText w:val="o"/>
      <w:lvlJc w:val="left"/>
      <w:pPr>
        <w:tabs>
          <w:tab w:val="num" w:pos="4204"/>
        </w:tabs>
        <w:ind w:left="4204" w:hanging="360"/>
      </w:pPr>
      <w:rPr>
        <w:rFonts w:ascii="Courier New" w:hAnsi="Courier New" w:hint="default"/>
      </w:rPr>
    </w:lvl>
    <w:lvl w:ilvl="5" w:tplc="0C09001B" w:tentative="1">
      <w:start w:val="1"/>
      <w:numFmt w:val="bullet"/>
      <w:lvlText w:val=""/>
      <w:lvlJc w:val="left"/>
      <w:pPr>
        <w:tabs>
          <w:tab w:val="num" w:pos="4924"/>
        </w:tabs>
        <w:ind w:left="4924" w:hanging="360"/>
      </w:pPr>
      <w:rPr>
        <w:rFonts w:ascii="Wingdings" w:hAnsi="Wingdings" w:hint="default"/>
      </w:rPr>
    </w:lvl>
    <w:lvl w:ilvl="6" w:tplc="0C09000F" w:tentative="1">
      <w:start w:val="1"/>
      <w:numFmt w:val="bullet"/>
      <w:lvlText w:val=""/>
      <w:lvlJc w:val="left"/>
      <w:pPr>
        <w:tabs>
          <w:tab w:val="num" w:pos="5644"/>
        </w:tabs>
        <w:ind w:left="5644" w:hanging="360"/>
      </w:pPr>
      <w:rPr>
        <w:rFonts w:ascii="Symbol" w:hAnsi="Symbol" w:hint="default"/>
      </w:rPr>
    </w:lvl>
    <w:lvl w:ilvl="7" w:tplc="0C090019" w:tentative="1">
      <w:start w:val="1"/>
      <w:numFmt w:val="bullet"/>
      <w:lvlText w:val="o"/>
      <w:lvlJc w:val="left"/>
      <w:pPr>
        <w:tabs>
          <w:tab w:val="num" w:pos="6364"/>
        </w:tabs>
        <w:ind w:left="6364" w:hanging="360"/>
      </w:pPr>
      <w:rPr>
        <w:rFonts w:ascii="Courier New" w:hAnsi="Courier New" w:hint="default"/>
      </w:rPr>
    </w:lvl>
    <w:lvl w:ilvl="8" w:tplc="0C09001B" w:tentative="1">
      <w:start w:val="1"/>
      <w:numFmt w:val="bullet"/>
      <w:lvlText w:val=""/>
      <w:lvlJc w:val="left"/>
      <w:pPr>
        <w:tabs>
          <w:tab w:val="num" w:pos="7084"/>
        </w:tabs>
        <w:ind w:left="7084" w:hanging="360"/>
      </w:pPr>
      <w:rPr>
        <w:rFonts w:ascii="Wingdings" w:hAnsi="Wingdings" w:hint="default"/>
      </w:rPr>
    </w:lvl>
  </w:abstractNum>
  <w:abstractNum w:abstractNumId="64" w15:restartNumberingAfterBreak="0">
    <w:nsid w:val="6BF72C50"/>
    <w:multiLevelType w:val="hybridMultilevel"/>
    <w:tmpl w:val="85768EDA"/>
    <w:lvl w:ilvl="0" w:tplc="08BA067E">
      <w:start w:val="1"/>
      <w:numFmt w:val="decimal"/>
      <w:lvlText w:val="(%1)"/>
      <w:lvlJc w:val="left"/>
      <w:pPr>
        <w:ind w:left="885" w:hanging="360"/>
      </w:pPr>
      <w:rPr>
        <w:rFonts w:hint="default"/>
      </w:rPr>
    </w:lvl>
    <w:lvl w:ilvl="1" w:tplc="0C090019" w:tentative="1">
      <w:start w:val="1"/>
      <w:numFmt w:val="lowerLetter"/>
      <w:lvlText w:val="%2."/>
      <w:lvlJc w:val="left"/>
      <w:pPr>
        <w:ind w:left="1605" w:hanging="360"/>
      </w:pPr>
    </w:lvl>
    <w:lvl w:ilvl="2" w:tplc="0C09001B" w:tentative="1">
      <w:start w:val="1"/>
      <w:numFmt w:val="lowerRoman"/>
      <w:lvlText w:val="%3."/>
      <w:lvlJc w:val="right"/>
      <w:pPr>
        <w:ind w:left="2325" w:hanging="180"/>
      </w:pPr>
    </w:lvl>
    <w:lvl w:ilvl="3" w:tplc="0C09000F" w:tentative="1">
      <w:start w:val="1"/>
      <w:numFmt w:val="decimal"/>
      <w:lvlText w:val="%4."/>
      <w:lvlJc w:val="left"/>
      <w:pPr>
        <w:ind w:left="3045" w:hanging="360"/>
      </w:pPr>
    </w:lvl>
    <w:lvl w:ilvl="4" w:tplc="0C090019" w:tentative="1">
      <w:start w:val="1"/>
      <w:numFmt w:val="lowerLetter"/>
      <w:lvlText w:val="%5."/>
      <w:lvlJc w:val="left"/>
      <w:pPr>
        <w:ind w:left="3765" w:hanging="360"/>
      </w:pPr>
    </w:lvl>
    <w:lvl w:ilvl="5" w:tplc="0C09001B" w:tentative="1">
      <w:start w:val="1"/>
      <w:numFmt w:val="lowerRoman"/>
      <w:lvlText w:val="%6."/>
      <w:lvlJc w:val="right"/>
      <w:pPr>
        <w:ind w:left="4485" w:hanging="180"/>
      </w:pPr>
    </w:lvl>
    <w:lvl w:ilvl="6" w:tplc="0C09000F" w:tentative="1">
      <w:start w:val="1"/>
      <w:numFmt w:val="decimal"/>
      <w:lvlText w:val="%7."/>
      <w:lvlJc w:val="left"/>
      <w:pPr>
        <w:ind w:left="5205" w:hanging="360"/>
      </w:pPr>
    </w:lvl>
    <w:lvl w:ilvl="7" w:tplc="0C090019" w:tentative="1">
      <w:start w:val="1"/>
      <w:numFmt w:val="lowerLetter"/>
      <w:lvlText w:val="%8."/>
      <w:lvlJc w:val="left"/>
      <w:pPr>
        <w:ind w:left="5925" w:hanging="360"/>
      </w:pPr>
    </w:lvl>
    <w:lvl w:ilvl="8" w:tplc="0C09001B" w:tentative="1">
      <w:start w:val="1"/>
      <w:numFmt w:val="lowerRoman"/>
      <w:lvlText w:val="%9."/>
      <w:lvlJc w:val="right"/>
      <w:pPr>
        <w:ind w:left="6645" w:hanging="180"/>
      </w:pPr>
    </w:lvl>
  </w:abstractNum>
  <w:abstractNum w:abstractNumId="65" w15:restartNumberingAfterBreak="0">
    <w:nsid w:val="6CDB54B0"/>
    <w:multiLevelType w:val="hybridMultilevel"/>
    <w:tmpl w:val="7346C0B2"/>
    <w:lvl w:ilvl="0" w:tplc="C6589206">
      <w:start w:val="1"/>
      <w:numFmt w:val="bullet"/>
      <w:lvlText w:val=""/>
      <w:lvlJc w:val="left"/>
      <w:pPr>
        <w:tabs>
          <w:tab w:val="num" w:pos="1500"/>
        </w:tabs>
        <w:ind w:left="1500" w:hanging="360"/>
      </w:pPr>
      <w:rPr>
        <w:rFonts w:ascii="Symbol" w:hAnsi="Symbol" w:hint="default"/>
      </w:rPr>
    </w:lvl>
    <w:lvl w:ilvl="1" w:tplc="0C090019" w:tentative="1">
      <w:start w:val="1"/>
      <w:numFmt w:val="bullet"/>
      <w:lvlText w:val="o"/>
      <w:lvlJc w:val="left"/>
      <w:pPr>
        <w:tabs>
          <w:tab w:val="num" w:pos="2160"/>
        </w:tabs>
        <w:ind w:left="2160" w:hanging="360"/>
      </w:pPr>
      <w:rPr>
        <w:rFonts w:ascii="Courier New" w:hAnsi="Courier New" w:hint="default"/>
      </w:rPr>
    </w:lvl>
    <w:lvl w:ilvl="2" w:tplc="0C09001B" w:tentative="1">
      <w:start w:val="1"/>
      <w:numFmt w:val="bullet"/>
      <w:lvlText w:val=""/>
      <w:lvlJc w:val="left"/>
      <w:pPr>
        <w:tabs>
          <w:tab w:val="num" w:pos="2880"/>
        </w:tabs>
        <w:ind w:left="2880" w:hanging="360"/>
      </w:pPr>
      <w:rPr>
        <w:rFonts w:ascii="Wingdings" w:hAnsi="Wingdings" w:hint="default"/>
      </w:rPr>
    </w:lvl>
    <w:lvl w:ilvl="3" w:tplc="0C09000F" w:tentative="1">
      <w:start w:val="1"/>
      <w:numFmt w:val="bullet"/>
      <w:lvlText w:val=""/>
      <w:lvlJc w:val="left"/>
      <w:pPr>
        <w:tabs>
          <w:tab w:val="num" w:pos="3600"/>
        </w:tabs>
        <w:ind w:left="3600" w:hanging="360"/>
      </w:pPr>
      <w:rPr>
        <w:rFonts w:ascii="Symbol" w:hAnsi="Symbol" w:hint="default"/>
      </w:rPr>
    </w:lvl>
    <w:lvl w:ilvl="4" w:tplc="0C090019" w:tentative="1">
      <w:start w:val="1"/>
      <w:numFmt w:val="bullet"/>
      <w:lvlText w:val="o"/>
      <w:lvlJc w:val="left"/>
      <w:pPr>
        <w:tabs>
          <w:tab w:val="num" w:pos="4320"/>
        </w:tabs>
        <w:ind w:left="4320" w:hanging="360"/>
      </w:pPr>
      <w:rPr>
        <w:rFonts w:ascii="Courier New" w:hAnsi="Courier New" w:hint="default"/>
      </w:rPr>
    </w:lvl>
    <w:lvl w:ilvl="5" w:tplc="0C09001B" w:tentative="1">
      <w:start w:val="1"/>
      <w:numFmt w:val="bullet"/>
      <w:lvlText w:val=""/>
      <w:lvlJc w:val="left"/>
      <w:pPr>
        <w:tabs>
          <w:tab w:val="num" w:pos="5040"/>
        </w:tabs>
        <w:ind w:left="5040" w:hanging="360"/>
      </w:pPr>
      <w:rPr>
        <w:rFonts w:ascii="Wingdings" w:hAnsi="Wingdings" w:hint="default"/>
      </w:rPr>
    </w:lvl>
    <w:lvl w:ilvl="6" w:tplc="0C09000F" w:tentative="1">
      <w:start w:val="1"/>
      <w:numFmt w:val="bullet"/>
      <w:lvlText w:val=""/>
      <w:lvlJc w:val="left"/>
      <w:pPr>
        <w:tabs>
          <w:tab w:val="num" w:pos="5760"/>
        </w:tabs>
        <w:ind w:left="5760" w:hanging="360"/>
      </w:pPr>
      <w:rPr>
        <w:rFonts w:ascii="Symbol" w:hAnsi="Symbol" w:hint="default"/>
      </w:rPr>
    </w:lvl>
    <w:lvl w:ilvl="7" w:tplc="0C090019" w:tentative="1">
      <w:start w:val="1"/>
      <w:numFmt w:val="bullet"/>
      <w:lvlText w:val="o"/>
      <w:lvlJc w:val="left"/>
      <w:pPr>
        <w:tabs>
          <w:tab w:val="num" w:pos="6480"/>
        </w:tabs>
        <w:ind w:left="6480" w:hanging="360"/>
      </w:pPr>
      <w:rPr>
        <w:rFonts w:ascii="Courier New" w:hAnsi="Courier New" w:hint="default"/>
      </w:rPr>
    </w:lvl>
    <w:lvl w:ilvl="8" w:tplc="0C09001B" w:tentative="1">
      <w:start w:val="1"/>
      <w:numFmt w:val="bullet"/>
      <w:lvlText w:val=""/>
      <w:lvlJc w:val="left"/>
      <w:pPr>
        <w:tabs>
          <w:tab w:val="num" w:pos="7200"/>
        </w:tabs>
        <w:ind w:left="7200" w:hanging="360"/>
      </w:pPr>
      <w:rPr>
        <w:rFonts w:ascii="Wingdings" w:hAnsi="Wingdings" w:hint="default"/>
      </w:rPr>
    </w:lvl>
  </w:abstractNum>
  <w:abstractNum w:abstractNumId="66" w15:restartNumberingAfterBreak="0">
    <w:nsid w:val="6CDB593F"/>
    <w:multiLevelType w:val="hybridMultilevel"/>
    <w:tmpl w:val="0B74E14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7" w15:restartNumberingAfterBreak="0">
    <w:nsid w:val="6EA62EEC"/>
    <w:multiLevelType w:val="hybridMultilevel"/>
    <w:tmpl w:val="0C9ADA64"/>
    <w:lvl w:ilvl="0" w:tplc="2AE2A102">
      <w:start w:val="1"/>
      <w:numFmt w:val="bullet"/>
      <w:lvlText w:val=""/>
      <w:lvlJc w:val="left"/>
      <w:pPr>
        <w:tabs>
          <w:tab w:val="num" w:pos="780"/>
        </w:tabs>
        <w:ind w:left="780" w:hanging="360"/>
      </w:pPr>
      <w:rPr>
        <w:rFonts w:ascii="Symbol" w:hAnsi="Symbol" w:hint="default"/>
      </w:rPr>
    </w:lvl>
    <w:lvl w:ilvl="1" w:tplc="64E2C30E" w:tentative="1">
      <w:start w:val="1"/>
      <w:numFmt w:val="bullet"/>
      <w:lvlText w:val="o"/>
      <w:lvlJc w:val="left"/>
      <w:pPr>
        <w:tabs>
          <w:tab w:val="num" w:pos="2160"/>
        </w:tabs>
        <w:ind w:left="2160" w:hanging="360"/>
      </w:pPr>
      <w:rPr>
        <w:rFonts w:ascii="Courier New" w:hAnsi="Courier New" w:hint="default"/>
      </w:rPr>
    </w:lvl>
    <w:lvl w:ilvl="2" w:tplc="A830C312" w:tentative="1">
      <w:start w:val="1"/>
      <w:numFmt w:val="bullet"/>
      <w:lvlText w:val=""/>
      <w:lvlJc w:val="left"/>
      <w:pPr>
        <w:tabs>
          <w:tab w:val="num" w:pos="2880"/>
        </w:tabs>
        <w:ind w:left="2880" w:hanging="360"/>
      </w:pPr>
      <w:rPr>
        <w:rFonts w:ascii="Wingdings" w:hAnsi="Wingdings" w:hint="default"/>
      </w:rPr>
    </w:lvl>
    <w:lvl w:ilvl="3" w:tplc="FCC00624" w:tentative="1">
      <w:start w:val="1"/>
      <w:numFmt w:val="bullet"/>
      <w:lvlText w:val=""/>
      <w:lvlJc w:val="left"/>
      <w:pPr>
        <w:tabs>
          <w:tab w:val="num" w:pos="3600"/>
        </w:tabs>
        <w:ind w:left="3600" w:hanging="360"/>
      </w:pPr>
      <w:rPr>
        <w:rFonts w:ascii="Symbol" w:hAnsi="Symbol" w:hint="default"/>
      </w:rPr>
    </w:lvl>
    <w:lvl w:ilvl="4" w:tplc="E8BE78AE" w:tentative="1">
      <w:start w:val="1"/>
      <w:numFmt w:val="bullet"/>
      <w:lvlText w:val="o"/>
      <w:lvlJc w:val="left"/>
      <w:pPr>
        <w:tabs>
          <w:tab w:val="num" w:pos="4320"/>
        </w:tabs>
        <w:ind w:left="4320" w:hanging="360"/>
      </w:pPr>
      <w:rPr>
        <w:rFonts w:ascii="Courier New" w:hAnsi="Courier New" w:hint="default"/>
      </w:rPr>
    </w:lvl>
    <w:lvl w:ilvl="5" w:tplc="15469F9C" w:tentative="1">
      <w:start w:val="1"/>
      <w:numFmt w:val="bullet"/>
      <w:lvlText w:val=""/>
      <w:lvlJc w:val="left"/>
      <w:pPr>
        <w:tabs>
          <w:tab w:val="num" w:pos="5040"/>
        </w:tabs>
        <w:ind w:left="5040" w:hanging="360"/>
      </w:pPr>
      <w:rPr>
        <w:rFonts w:ascii="Wingdings" w:hAnsi="Wingdings" w:hint="default"/>
      </w:rPr>
    </w:lvl>
    <w:lvl w:ilvl="6" w:tplc="D2E88D18" w:tentative="1">
      <w:start w:val="1"/>
      <w:numFmt w:val="bullet"/>
      <w:lvlText w:val=""/>
      <w:lvlJc w:val="left"/>
      <w:pPr>
        <w:tabs>
          <w:tab w:val="num" w:pos="5760"/>
        </w:tabs>
        <w:ind w:left="5760" w:hanging="360"/>
      </w:pPr>
      <w:rPr>
        <w:rFonts w:ascii="Symbol" w:hAnsi="Symbol" w:hint="default"/>
      </w:rPr>
    </w:lvl>
    <w:lvl w:ilvl="7" w:tplc="74BCCF38" w:tentative="1">
      <w:start w:val="1"/>
      <w:numFmt w:val="bullet"/>
      <w:lvlText w:val="o"/>
      <w:lvlJc w:val="left"/>
      <w:pPr>
        <w:tabs>
          <w:tab w:val="num" w:pos="6480"/>
        </w:tabs>
        <w:ind w:left="6480" w:hanging="360"/>
      </w:pPr>
      <w:rPr>
        <w:rFonts w:ascii="Courier New" w:hAnsi="Courier New" w:hint="default"/>
      </w:rPr>
    </w:lvl>
    <w:lvl w:ilvl="8" w:tplc="4A06590A"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6EFB5A45"/>
    <w:multiLevelType w:val="hybridMultilevel"/>
    <w:tmpl w:val="C73E264E"/>
    <w:lvl w:ilvl="0" w:tplc="42589AA8">
      <w:start w:val="2"/>
      <w:numFmt w:val="lowerRoman"/>
      <w:lvlText w:val="(%1)"/>
      <w:lvlJc w:val="left"/>
      <w:pPr>
        <w:ind w:left="2400" w:hanging="720"/>
      </w:pPr>
      <w:rPr>
        <w:rFonts w:hint="default"/>
      </w:rPr>
    </w:lvl>
    <w:lvl w:ilvl="1" w:tplc="0C090019" w:tentative="1">
      <w:start w:val="1"/>
      <w:numFmt w:val="lowerLetter"/>
      <w:lvlText w:val="%2."/>
      <w:lvlJc w:val="left"/>
      <w:pPr>
        <w:ind w:left="2760" w:hanging="360"/>
      </w:pPr>
    </w:lvl>
    <w:lvl w:ilvl="2" w:tplc="0C09001B" w:tentative="1">
      <w:start w:val="1"/>
      <w:numFmt w:val="lowerRoman"/>
      <w:lvlText w:val="%3."/>
      <w:lvlJc w:val="right"/>
      <w:pPr>
        <w:ind w:left="3480" w:hanging="180"/>
      </w:pPr>
    </w:lvl>
    <w:lvl w:ilvl="3" w:tplc="0C09000F" w:tentative="1">
      <w:start w:val="1"/>
      <w:numFmt w:val="decimal"/>
      <w:lvlText w:val="%4."/>
      <w:lvlJc w:val="left"/>
      <w:pPr>
        <w:ind w:left="4200" w:hanging="360"/>
      </w:pPr>
    </w:lvl>
    <w:lvl w:ilvl="4" w:tplc="0C090019" w:tentative="1">
      <w:start w:val="1"/>
      <w:numFmt w:val="lowerLetter"/>
      <w:lvlText w:val="%5."/>
      <w:lvlJc w:val="left"/>
      <w:pPr>
        <w:ind w:left="4920" w:hanging="360"/>
      </w:pPr>
    </w:lvl>
    <w:lvl w:ilvl="5" w:tplc="0C09001B" w:tentative="1">
      <w:start w:val="1"/>
      <w:numFmt w:val="lowerRoman"/>
      <w:lvlText w:val="%6."/>
      <w:lvlJc w:val="right"/>
      <w:pPr>
        <w:ind w:left="5640" w:hanging="180"/>
      </w:pPr>
    </w:lvl>
    <w:lvl w:ilvl="6" w:tplc="0C09000F" w:tentative="1">
      <w:start w:val="1"/>
      <w:numFmt w:val="decimal"/>
      <w:lvlText w:val="%7."/>
      <w:lvlJc w:val="left"/>
      <w:pPr>
        <w:ind w:left="6360" w:hanging="360"/>
      </w:pPr>
    </w:lvl>
    <w:lvl w:ilvl="7" w:tplc="0C090019" w:tentative="1">
      <w:start w:val="1"/>
      <w:numFmt w:val="lowerLetter"/>
      <w:lvlText w:val="%8."/>
      <w:lvlJc w:val="left"/>
      <w:pPr>
        <w:ind w:left="7080" w:hanging="360"/>
      </w:pPr>
    </w:lvl>
    <w:lvl w:ilvl="8" w:tplc="0C09001B" w:tentative="1">
      <w:start w:val="1"/>
      <w:numFmt w:val="lowerRoman"/>
      <w:lvlText w:val="%9."/>
      <w:lvlJc w:val="right"/>
      <w:pPr>
        <w:ind w:left="7800" w:hanging="180"/>
      </w:pPr>
    </w:lvl>
  </w:abstractNum>
  <w:abstractNum w:abstractNumId="69" w15:restartNumberingAfterBreak="0">
    <w:nsid w:val="722B3516"/>
    <w:multiLevelType w:val="hybridMultilevel"/>
    <w:tmpl w:val="3A10CFC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5115923"/>
    <w:multiLevelType w:val="hybridMultilevel"/>
    <w:tmpl w:val="BEAA150A"/>
    <w:lvl w:ilvl="0" w:tplc="BEECFE90">
      <w:start w:val="1"/>
      <w:numFmt w:val="bullet"/>
      <w:lvlText w:val=""/>
      <w:lvlJc w:val="left"/>
      <w:pPr>
        <w:tabs>
          <w:tab w:val="num" w:pos="780"/>
        </w:tabs>
        <w:ind w:left="780" w:hanging="360"/>
      </w:pPr>
      <w:rPr>
        <w:rFonts w:ascii="Symbol" w:hAnsi="Symbol" w:hint="default"/>
      </w:rPr>
    </w:lvl>
    <w:lvl w:ilvl="1" w:tplc="0C090019">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90F16CF"/>
    <w:multiLevelType w:val="hybridMultilevel"/>
    <w:tmpl w:val="46405A2C"/>
    <w:lvl w:ilvl="0" w:tplc="0C090003">
      <w:start w:val="1"/>
      <w:numFmt w:val="lowerLetter"/>
      <w:lvlText w:val="(%1)"/>
      <w:lvlJc w:val="left"/>
      <w:pPr>
        <w:tabs>
          <w:tab w:val="num" w:pos="720"/>
        </w:tabs>
        <w:ind w:left="720" w:hanging="360"/>
      </w:pPr>
      <w:rPr>
        <w:rFonts w:cs="Times New Roman" w:hint="default"/>
      </w:rPr>
    </w:lvl>
    <w:lvl w:ilvl="1" w:tplc="0C090003">
      <w:start w:val="1"/>
      <w:numFmt w:val="decimal"/>
      <w:lvlText w:val="%2"/>
      <w:lvlJc w:val="left"/>
      <w:pPr>
        <w:tabs>
          <w:tab w:val="num" w:pos="1440"/>
        </w:tabs>
        <w:ind w:left="1440" w:hanging="360"/>
      </w:pPr>
      <w:rPr>
        <w:rFonts w:cs="Times New Roman" w:hint="default"/>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72" w15:restartNumberingAfterBreak="0">
    <w:nsid w:val="79B7299F"/>
    <w:multiLevelType w:val="hybridMultilevel"/>
    <w:tmpl w:val="D74ABE6E"/>
    <w:lvl w:ilvl="0" w:tplc="53FEB7E0">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A734E9D"/>
    <w:multiLevelType w:val="hybridMultilevel"/>
    <w:tmpl w:val="974008AA"/>
    <w:lvl w:ilvl="0" w:tplc="04090001">
      <w:start w:val="1"/>
      <w:numFmt w:val="lowerLetter"/>
      <w:lvlText w:val="(%1)"/>
      <w:lvlJc w:val="left"/>
      <w:pPr>
        <w:tabs>
          <w:tab w:val="num" w:pos="525"/>
        </w:tabs>
        <w:ind w:left="525" w:hanging="360"/>
      </w:pPr>
      <w:rPr>
        <w:rFonts w:cs="Times New Roman" w:hint="default"/>
      </w:rPr>
    </w:lvl>
    <w:lvl w:ilvl="1" w:tplc="04090003" w:tentative="1">
      <w:start w:val="1"/>
      <w:numFmt w:val="lowerLetter"/>
      <w:lvlText w:val="%2."/>
      <w:lvlJc w:val="left"/>
      <w:pPr>
        <w:tabs>
          <w:tab w:val="num" w:pos="1245"/>
        </w:tabs>
        <w:ind w:left="1245" w:hanging="360"/>
      </w:pPr>
      <w:rPr>
        <w:rFonts w:cs="Times New Roman"/>
      </w:rPr>
    </w:lvl>
    <w:lvl w:ilvl="2" w:tplc="04090005" w:tentative="1">
      <w:start w:val="1"/>
      <w:numFmt w:val="lowerRoman"/>
      <w:lvlText w:val="%3."/>
      <w:lvlJc w:val="right"/>
      <w:pPr>
        <w:tabs>
          <w:tab w:val="num" w:pos="1965"/>
        </w:tabs>
        <w:ind w:left="1965" w:hanging="180"/>
      </w:pPr>
      <w:rPr>
        <w:rFonts w:cs="Times New Roman"/>
      </w:rPr>
    </w:lvl>
    <w:lvl w:ilvl="3" w:tplc="04090001" w:tentative="1">
      <w:start w:val="1"/>
      <w:numFmt w:val="decimal"/>
      <w:lvlText w:val="%4."/>
      <w:lvlJc w:val="left"/>
      <w:pPr>
        <w:tabs>
          <w:tab w:val="num" w:pos="2685"/>
        </w:tabs>
        <w:ind w:left="2685" w:hanging="360"/>
      </w:pPr>
      <w:rPr>
        <w:rFonts w:cs="Times New Roman"/>
      </w:rPr>
    </w:lvl>
    <w:lvl w:ilvl="4" w:tplc="04090003" w:tentative="1">
      <w:start w:val="1"/>
      <w:numFmt w:val="lowerLetter"/>
      <w:lvlText w:val="%5."/>
      <w:lvlJc w:val="left"/>
      <w:pPr>
        <w:tabs>
          <w:tab w:val="num" w:pos="3405"/>
        </w:tabs>
        <w:ind w:left="3405" w:hanging="360"/>
      </w:pPr>
      <w:rPr>
        <w:rFonts w:cs="Times New Roman"/>
      </w:rPr>
    </w:lvl>
    <w:lvl w:ilvl="5" w:tplc="04090005" w:tentative="1">
      <w:start w:val="1"/>
      <w:numFmt w:val="lowerRoman"/>
      <w:lvlText w:val="%6."/>
      <w:lvlJc w:val="right"/>
      <w:pPr>
        <w:tabs>
          <w:tab w:val="num" w:pos="4125"/>
        </w:tabs>
        <w:ind w:left="4125" w:hanging="180"/>
      </w:pPr>
      <w:rPr>
        <w:rFonts w:cs="Times New Roman"/>
      </w:rPr>
    </w:lvl>
    <w:lvl w:ilvl="6" w:tplc="04090001" w:tentative="1">
      <w:start w:val="1"/>
      <w:numFmt w:val="decimal"/>
      <w:lvlText w:val="%7."/>
      <w:lvlJc w:val="left"/>
      <w:pPr>
        <w:tabs>
          <w:tab w:val="num" w:pos="4845"/>
        </w:tabs>
        <w:ind w:left="4845" w:hanging="360"/>
      </w:pPr>
      <w:rPr>
        <w:rFonts w:cs="Times New Roman"/>
      </w:rPr>
    </w:lvl>
    <w:lvl w:ilvl="7" w:tplc="04090003" w:tentative="1">
      <w:start w:val="1"/>
      <w:numFmt w:val="lowerLetter"/>
      <w:lvlText w:val="%8."/>
      <w:lvlJc w:val="left"/>
      <w:pPr>
        <w:tabs>
          <w:tab w:val="num" w:pos="5565"/>
        </w:tabs>
        <w:ind w:left="5565" w:hanging="360"/>
      </w:pPr>
      <w:rPr>
        <w:rFonts w:cs="Times New Roman"/>
      </w:rPr>
    </w:lvl>
    <w:lvl w:ilvl="8" w:tplc="04090005" w:tentative="1">
      <w:start w:val="1"/>
      <w:numFmt w:val="lowerRoman"/>
      <w:lvlText w:val="%9."/>
      <w:lvlJc w:val="right"/>
      <w:pPr>
        <w:tabs>
          <w:tab w:val="num" w:pos="6285"/>
        </w:tabs>
        <w:ind w:left="6285" w:hanging="180"/>
      </w:pPr>
      <w:rPr>
        <w:rFonts w:cs="Times New Roman"/>
      </w:rPr>
    </w:lvl>
  </w:abstractNum>
  <w:abstractNum w:abstractNumId="74" w15:restartNumberingAfterBreak="0">
    <w:nsid w:val="7A9A39DA"/>
    <w:multiLevelType w:val="hybridMultilevel"/>
    <w:tmpl w:val="DF8A7134"/>
    <w:lvl w:ilvl="0" w:tplc="0C090001">
      <w:start w:val="1"/>
      <w:numFmt w:val="lowerRoman"/>
      <w:lvlText w:val="(%1)"/>
      <w:lvlJc w:val="left"/>
      <w:pPr>
        <w:tabs>
          <w:tab w:val="num" w:pos="1080"/>
        </w:tabs>
        <w:ind w:left="1080" w:hanging="720"/>
      </w:pPr>
      <w:rPr>
        <w:rFonts w:cs="Times New Roman" w:hint="default"/>
      </w:rPr>
    </w:lvl>
    <w:lvl w:ilvl="1" w:tplc="0C090003" w:tentative="1">
      <w:start w:val="1"/>
      <w:numFmt w:val="lowerLetter"/>
      <w:lvlText w:val="%2."/>
      <w:lvlJc w:val="left"/>
      <w:pPr>
        <w:tabs>
          <w:tab w:val="num" w:pos="1440"/>
        </w:tabs>
        <w:ind w:left="1440" w:hanging="360"/>
      </w:pPr>
      <w:rPr>
        <w:rFonts w:cs="Times New Roman"/>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num w:numId="1">
    <w:abstractNumId w:val="5"/>
  </w:num>
  <w:num w:numId="2">
    <w:abstractNumId w:val="15"/>
  </w:num>
  <w:num w:numId="3">
    <w:abstractNumId w:val="39"/>
  </w:num>
  <w:num w:numId="4">
    <w:abstractNumId w:val="63"/>
  </w:num>
  <w:num w:numId="5">
    <w:abstractNumId w:val="12"/>
  </w:num>
  <w:num w:numId="6">
    <w:abstractNumId w:val="20"/>
  </w:num>
  <w:num w:numId="7">
    <w:abstractNumId w:val="73"/>
  </w:num>
  <w:num w:numId="8">
    <w:abstractNumId w:val="3"/>
  </w:num>
  <w:num w:numId="9">
    <w:abstractNumId w:val="71"/>
  </w:num>
  <w:num w:numId="10">
    <w:abstractNumId w:val="27"/>
  </w:num>
  <w:num w:numId="11">
    <w:abstractNumId w:val="43"/>
  </w:num>
  <w:num w:numId="12">
    <w:abstractNumId w:val="34"/>
  </w:num>
  <w:num w:numId="13">
    <w:abstractNumId w:val="65"/>
  </w:num>
  <w:num w:numId="14">
    <w:abstractNumId w:val="47"/>
  </w:num>
  <w:num w:numId="15">
    <w:abstractNumId w:val="74"/>
  </w:num>
  <w:num w:numId="16">
    <w:abstractNumId w:val="1"/>
  </w:num>
  <w:num w:numId="17">
    <w:abstractNumId w:val="28"/>
  </w:num>
  <w:num w:numId="18">
    <w:abstractNumId w:val="58"/>
  </w:num>
  <w:num w:numId="19">
    <w:abstractNumId w:val="61"/>
  </w:num>
  <w:num w:numId="20">
    <w:abstractNumId w:val="50"/>
  </w:num>
  <w:num w:numId="21">
    <w:abstractNumId w:val="8"/>
  </w:num>
  <w:num w:numId="22">
    <w:abstractNumId w:val="17"/>
  </w:num>
  <w:num w:numId="23">
    <w:abstractNumId w:val="23"/>
  </w:num>
  <w:num w:numId="24">
    <w:abstractNumId w:val="16"/>
  </w:num>
  <w:num w:numId="25">
    <w:abstractNumId w:val="38"/>
  </w:num>
  <w:num w:numId="26">
    <w:abstractNumId w:val="18"/>
  </w:num>
  <w:num w:numId="27">
    <w:abstractNumId w:val="30"/>
  </w:num>
  <w:num w:numId="28">
    <w:abstractNumId w:val="72"/>
  </w:num>
  <w:num w:numId="29">
    <w:abstractNumId w:val="70"/>
  </w:num>
  <w:num w:numId="30">
    <w:abstractNumId w:val="67"/>
  </w:num>
  <w:num w:numId="31">
    <w:abstractNumId w:val="24"/>
  </w:num>
  <w:num w:numId="32">
    <w:abstractNumId w:val="29"/>
  </w:num>
  <w:num w:numId="33">
    <w:abstractNumId w:val="60"/>
  </w:num>
  <w:num w:numId="34">
    <w:abstractNumId w:val="55"/>
  </w:num>
  <w:num w:numId="35">
    <w:abstractNumId w:val="13"/>
  </w:num>
  <w:num w:numId="36">
    <w:abstractNumId w:val="31"/>
  </w:num>
  <w:num w:numId="37">
    <w:abstractNumId w:val="53"/>
  </w:num>
  <w:num w:numId="38">
    <w:abstractNumId w:val="33"/>
  </w:num>
  <w:num w:numId="39">
    <w:abstractNumId w:val="56"/>
  </w:num>
  <w:num w:numId="40">
    <w:abstractNumId w:val="35"/>
  </w:num>
  <w:num w:numId="41">
    <w:abstractNumId w:val="6"/>
  </w:num>
  <w:num w:numId="42">
    <w:abstractNumId w:val="45"/>
  </w:num>
  <w:num w:numId="43">
    <w:abstractNumId w:val="44"/>
  </w:num>
  <w:num w:numId="44">
    <w:abstractNumId w:val="0"/>
  </w:num>
  <w:num w:numId="45">
    <w:abstractNumId w:val="62"/>
  </w:num>
  <w:num w:numId="46">
    <w:abstractNumId w:val="64"/>
  </w:num>
  <w:num w:numId="47">
    <w:abstractNumId w:val="25"/>
  </w:num>
  <w:num w:numId="48">
    <w:abstractNumId w:val="49"/>
  </w:num>
  <w:num w:numId="49">
    <w:abstractNumId w:val="48"/>
  </w:num>
  <w:num w:numId="50">
    <w:abstractNumId w:val="68"/>
  </w:num>
  <w:num w:numId="51">
    <w:abstractNumId w:val="57"/>
  </w:num>
  <w:num w:numId="52">
    <w:abstractNumId w:val="2"/>
  </w:num>
  <w:num w:numId="53">
    <w:abstractNumId w:val="32"/>
  </w:num>
  <w:num w:numId="54">
    <w:abstractNumId w:val="4"/>
  </w:num>
  <w:num w:numId="55">
    <w:abstractNumId w:val="40"/>
  </w:num>
  <w:num w:numId="56">
    <w:abstractNumId w:val="7"/>
  </w:num>
  <w:num w:numId="57">
    <w:abstractNumId w:val="46"/>
  </w:num>
  <w:num w:numId="58">
    <w:abstractNumId w:val="41"/>
  </w:num>
  <w:num w:numId="59">
    <w:abstractNumId w:val="9"/>
  </w:num>
  <w:num w:numId="60">
    <w:abstractNumId w:val="22"/>
  </w:num>
  <w:num w:numId="61">
    <w:abstractNumId w:val="42"/>
  </w:num>
  <w:num w:numId="62">
    <w:abstractNumId w:val="36"/>
  </w:num>
  <w:num w:numId="63">
    <w:abstractNumId w:val="51"/>
  </w:num>
  <w:num w:numId="64">
    <w:abstractNumId w:val="19"/>
  </w:num>
  <w:num w:numId="65">
    <w:abstractNumId w:val="21"/>
  </w:num>
  <w:num w:numId="66">
    <w:abstractNumId w:val="69"/>
  </w:num>
  <w:num w:numId="67">
    <w:abstractNumId w:val="37"/>
  </w:num>
  <w:num w:numId="68">
    <w:abstractNumId w:val="54"/>
  </w:num>
  <w:num w:numId="69">
    <w:abstractNumId w:val="26"/>
  </w:num>
  <w:num w:numId="70">
    <w:abstractNumId w:val="66"/>
  </w:num>
  <w:num w:numId="71">
    <w:abstractNumId w:val="10"/>
  </w:num>
  <w:num w:numId="72">
    <w:abstractNumId w:val="59"/>
  </w:num>
  <w:num w:numId="73">
    <w:abstractNumId w:val="11"/>
  </w:num>
  <w:num w:numId="74">
    <w:abstractNumId w:val="1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stylePaneFormatFilter w:val="0808" w:allStyles="0" w:customStyles="0" w:latentStyles="0" w:stylesInUse="1" w:headingStyles="0" w:numberingStyles="0" w:tableStyles="0" w:directFormattingOnRuns="0" w:directFormattingOnParagraphs="0" w:directFormattingOnNumbering="0" w:directFormattingOnTables="1" w:clearFormatting="0" w:top3HeadingStyles="0" w:visibleStyles="0" w:alternateStyleNames="0"/>
  <w:doNotTrackFormatting/>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1F7"/>
    <w:rsid w:val="000008CB"/>
    <w:rsid w:val="00000AEA"/>
    <w:rsid w:val="00001CE0"/>
    <w:rsid w:val="0000292E"/>
    <w:rsid w:val="00002D0E"/>
    <w:rsid w:val="0000465B"/>
    <w:rsid w:val="00004840"/>
    <w:rsid w:val="00005415"/>
    <w:rsid w:val="000054E6"/>
    <w:rsid w:val="0000688B"/>
    <w:rsid w:val="00007473"/>
    <w:rsid w:val="00012B06"/>
    <w:rsid w:val="00012C51"/>
    <w:rsid w:val="00013A74"/>
    <w:rsid w:val="00013D26"/>
    <w:rsid w:val="000150ED"/>
    <w:rsid w:val="000200FB"/>
    <w:rsid w:val="00021739"/>
    <w:rsid w:val="000217EF"/>
    <w:rsid w:val="00022562"/>
    <w:rsid w:val="0002452E"/>
    <w:rsid w:val="00024AFF"/>
    <w:rsid w:val="000266D9"/>
    <w:rsid w:val="000269EA"/>
    <w:rsid w:val="00027A85"/>
    <w:rsid w:val="00031DF0"/>
    <w:rsid w:val="00032455"/>
    <w:rsid w:val="00032AA4"/>
    <w:rsid w:val="000339FF"/>
    <w:rsid w:val="000341ED"/>
    <w:rsid w:val="00035590"/>
    <w:rsid w:val="000365F8"/>
    <w:rsid w:val="00037B6C"/>
    <w:rsid w:val="00040595"/>
    <w:rsid w:val="00040609"/>
    <w:rsid w:val="000407B7"/>
    <w:rsid w:val="0004082B"/>
    <w:rsid w:val="00041A2C"/>
    <w:rsid w:val="000432B9"/>
    <w:rsid w:val="00043628"/>
    <w:rsid w:val="000444D7"/>
    <w:rsid w:val="00045D2C"/>
    <w:rsid w:val="00047406"/>
    <w:rsid w:val="00050755"/>
    <w:rsid w:val="000523DA"/>
    <w:rsid w:val="000527C8"/>
    <w:rsid w:val="00052998"/>
    <w:rsid w:val="00055C29"/>
    <w:rsid w:val="00055D18"/>
    <w:rsid w:val="00055FD7"/>
    <w:rsid w:val="000574E0"/>
    <w:rsid w:val="000579A3"/>
    <w:rsid w:val="00057E2F"/>
    <w:rsid w:val="00057FC9"/>
    <w:rsid w:val="00060D78"/>
    <w:rsid w:val="00061BE2"/>
    <w:rsid w:val="0006585A"/>
    <w:rsid w:val="000662F7"/>
    <w:rsid w:val="000678ED"/>
    <w:rsid w:val="00067CC3"/>
    <w:rsid w:val="0007143A"/>
    <w:rsid w:val="0007263C"/>
    <w:rsid w:val="00072B00"/>
    <w:rsid w:val="00072B05"/>
    <w:rsid w:val="00073845"/>
    <w:rsid w:val="00074588"/>
    <w:rsid w:val="00074C6B"/>
    <w:rsid w:val="000760E0"/>
    <w:rsid w:val="00076E99"/>
    <w:rsid w:val="000779BE"/>
    <w:rsid w:val="000817AA"/>
    <w:rsid w:val="00081BEE"/>
    <w:rsid w:val="000853A5"/>
    <w:rsid w:val="000867D1"/>
    <w:rsid w:val="00091FE7"/>
    <w:rsid w:val="00092EFA"/>
    <w:rsid w:val="00095153"/>
    <w:rsid w:val="00096B0C"/>
    <w:rsid w:val="00097AD0"/>
    <w:rsid w:val="000A009A"/>
    <w:rsid w:val="000A1673"/>
    <w:rsid w:val="000A1CE4"/>
    <w:rsid w:val="000A25F4"/>
    <w:rsid w:val="000A2823"/>
    <w:rsid w:val="000A4763"/>
    <w:rsid w:val="000A4B95"/>
    <w:rsid w:val="000A5E52"/>
    <w:rsid w:val="000A79FA"/>
    <w:rsid w:val="000B1315"/>
    <w:rsid w:val="000B216A"/>
    <w:rsid w:val="000B4AB2"/>
    <w:rsid w:val="000B4CA0"/>
    <w:rsid w:val="000B760D"/>
    <w:rsid w:val="000B76FC"/>
    <w:rsid w:val="000B7A9F"/>
    <w:rsid w:val="000C03FF"/>
    <w:rsid w:val="000C21FC"/>
    <w:rsid w:val="000C2588"/>
    <w:rsid w:val="000C46E1"/>
    <w:rsid w:val="000C49C5"/>
    <w:rsid w:val="000C4E61"/>
    <w:rsid w:val="000C592A"/>
    <w:rsid w:val="000C7647"/>
    <w:rsid w:val="000D1182"/>
    <w:rsid w:val="000D23DC"/>
    <w:rsid w:val="000D580A"/>
    <w:rsid w:val="000D6261"/>
    <w:rsid w:val="000D64BA"/>
    <w:rsid w:val="000E0890"/>
    <w:rsid w:val="000E29C6"/>
    <w:rsid w:val="000E2B3F"/>
    <w:rsid w:val="000E41A4"/>
    <w:rsid w:val="000E41D8"/>
    <w:rsid w:val="000E4E97"/>
    <w:rsid w:val="000E5B38"/>
    <w:rsid w:val="000E6F6D"/>
    <w:rsid w:val="000E7ED9"/>
    <w:rsid w:val="000F2056"/>
    <w:rsid w:val="000F2829"/>
    <w:rsid w:val="0010133B"/>
    <w:rsid w:val="001013FD"/>
    <w:rsid w:val="001026CC"/>
    <w:rsid w:val="001056EB"/>
    <w:rsid w:val="00105B49"/>
    <w:rsid w:val="00105B8D"/>
    <w:rsid w:val="001066B9"/>
    <w:rsid w:val="00110590"/>
    <w:rsid w:val="00110AAE"/>
    <w:rsid w:val="001117BF"/>
    <w:rsid w:val="001132AC"/>
    <w:rsid w:val="00114B40"/>
    <w:rsid w:val="00114D4E"/>
    <w:rsid w:val="00114F58"/>
    <w:rsid w:val="0011609E"/>
    <w:rsid w:val="0011662B"/>
    <w:rsid w:val="001235E5"/>
    <w:rsid w:val="00123AAF"/>
    <w:rsid w:val="00123F3D"/>
    <w:rsid w:val="00125EA9"/>
    <w:rsid w:val="00126CFF"/>
    <w:rsid w:val="001311D6"/>
    <w:rsid w:val="00132145"/>
    <w:rsid w:val="00134A98"/>
    <w:rsid w:val="001352F1"/>
    <w:rsid w:val="0013797D"/>
    <w:rsid w:val="00137E70"/>
    <w:rsid w:val="00142163"/>
    <w:rsid w:val="001426FA"/>
    <w:rsid w:val="00142972"/>
    <w:rsid w:val="001430C2"/>
    <w:rsid w:val="00143692"/>
    <w:rsid w:val="001436C5"/>
    <w:rsid w:val="00143B03"/>
    <w:rsid w:val="00144BC6"/>
    <w:rsid w:val="001451CE"/>
    <w:rsid w:val="001460B9"/>
    <w:rsid w:val="001464B5"/>
    <w:rsid w:val="001532C9"/>
    <w:rsid w:val="001542BF"/>
    <w:rsid w:val="001556C7"/>
    <w:rsid w:val="0015574B"/>
    <w:rsid w:val="00156205"/>
    <w:rsid w:val="001569AD"/>
    <w:rsid w:val="001625AF"/>
    <w:rsid w:val="001637F2"/>
    <w:rsid w:val="00164C02"/>
    <w:rsid w:val="001662B6"/>
    <w:rsid w:val="001670F5"/>
    <w:rsid w:val="00167487"/>
    <w:rsid w:val="00167BB8"/>
    <w:rsid w:val="00167D76"/>
    <w:rsid w:val="00170A97"/>
    <w:rsid w:val="00170ED2"/>
    <w:rsid w:val="00172026"/>
    <w:rsid w:val="00173D6F"/>
    <w:rsid w:val="001745EA"/>
    <w:rsid w:val="00174A5A"/>
    <w:rsid w:val="00174BEC"/>
    <w:rsid w:val="00177276"/>
    <w:rsid w:val="00177E48"/>
    <w:rsid w:val="001809E7"/>
    <w:rsid w:val="00181810"/>
    <w:rsid w:val="0018248E"/>
    <w:rsid w:val="001832DB"/>
    <w:rsid w:val="00183EA0"/>
    <w:rsid w:val="001843EB"/>
    <w:rsid w:val="00187BC1"/>
    <w:rsid w:val="001918F5"/>
    <w:rsid w:val="001932AE"/>
    <w:rsid w:val="00193E8B"/>
    <w:rsid w:val="00196E6F"/>
    <w:rsid w:val="00197A8C"/>
    <w:rsid w:val="00197C86"/>
    <w:rsid w:val="001A1DF3"/>
    <w:rsid w:val="001A302D"/>
    <w:rsid w:val="001A3D79"/>
    <w:rsid w:val="001A4FB8"/>
    <w:rsid w:val="001A5385"/>
    <w:rsid w:val="001B0A30"/>
    <w:rsid w:val="001B20BB"/>
    <w:rsid w:val="001B2F81"/>
    <w:rsid w:val="001B3C46"/>
    <w:rsid w:val="001B6160"/>
    <w:rsid w:val="001B68D9"/>
    <w:rsid w:val="001B695F"/>
    <w:rsid w:val="001C341F"/>
    <w:rsid w:val="001C448A"/>
    <w:rsid w:val="001C4887"/>
    <w:rsid w:val="001C4E2B"/>
    <w:rsid w:val="001C5B40"/>
    <w:rsid w:val="001C5D5F"/>
    <w:rsid w:val="001C6751"/>
    <w:rsid w:val="001C7E00"/>
    <w:rsid w:val="001D0719"/>
    <w:rsid w:val="001D0C4B"/>
    <w:rsid w:val="001D2557"/>
    <w:rsid w:val="001D4C35"/>
    <w:rsid w:val="001D541F"/>
    <w:rsid w:val="001D6085"/>
    <w:rsid w:val="001E0EE3"/>
    <w:rsid w:val="001E174F"/>
    <w:rsid w:val="001E176A"/>
    <w:rsid w:val="001E24D7"/>
    <w:rsid w:val="001E36F1"/>
    <w:rsid w:val="001E3817"/>
    <w:rsid w:val="001E3E95"/>
    <w:rsid w:val="001E5608"/>
    <w:rsid w:val="001E56DF"/>
    <w:rsid w:val="001E6634"/>
    <w:rsid w:val="001E6E6E"/>
    <w:rsid w:val="001E7063"/>
    <w:rsid w:val="001E7DA0"/>
    <w:rsid w:val="001F0307"/>
    <w:rsid w:val="001F1675"/>
    <w:rsid w:val="001F1948"/>
    <w:rsid w:val="001F20B6"/>
    <w:rsid w:val="001F4B80"/>
    <w:rsid w:val="001F510D"/>
    <w:rsid w:val="001F54EB"/>
    <w:rsid w:val="001F564E"/>
    <w:rsid w:val="001F5E7A"/>
    <w:rsid w:val="001F792A"/>
    <w:rsid w:val="00200224"/>
    <w:rsid w:val="0020028B"/>
    <w:rsid w:val="002004F5"/>
    <w:rsid w:val="00202387"/>
    <w:rsid w:val="002031C0"/>
    <w:rsid w:val="002034A9"/>
    <w:rsid w:val="00206AE0"/>
    <w:rsid w:val="00210F02"/>
    <w:rsid w:val="002119F7"/>
    <w:rsid w:val="00211A52"/>
    <w:rsid w:val="00211DCE"/>
    <w:rsid w:val="002121E7"/>
    <w:rsid w:val="00212702"/>
    <w:rsid w:val="002139DA"/>
    <w:rsid w:val="00217918"/>
    <w:rsid w:val="00217E66"/>
    <w:rsid w:val="002204F0"/>
    <w:rsid w:val="00220683"/>
    <w:rsid w:val="00220F4F"/>
    <w:rsid w:val="002218DC"/>
    <w:rsid w:val="00221EFD"/>
    <w:rsid w:val="002232F6"/>
    <w:rsid w:val="00223FFB"/>
    <w:rsid w:val="002243B6"/>
    <w:rsid w:val="0022455C"/>
    <w:rsid w:val="0022730E"/>
    <w:rsid w:val="00230B00"/>
    <w:rsid w:val="00230F88"/>
    <w:rsid w:val="00231BC1"/>
    <w:rsid w:val="00232858"/>
    <w:rsid w:val="00237FD3"/>
    <w:rsid w:val="00240841"/>
    <w:rsid w:val="002420E3"/>
    <w:rsid w:val="00242B79"/>
    <w:rsid w:val="00245F41"/>
    <w:rsid w:val="0024675B"/>
    <w:rsid w:val="002526B8"/>
    <w:rsid w:val="00253691"/>
    <w:rsid w:val="002537D7"/>
    <w:rsid w:val="00253AE6"/>
    <w:rsid w:val="00253D03"/>
    <w:rsid w:val="00253D73"/>
    <w:rsid w:val="00253E0F"/>
    <w:rsid w:val="0025405B"/>
    <w:rsid w:val="0025466B"/>
    <w:rsid w:val="00254CC5"/>
    <w:rsid w:val="002554A1"/>
    <w:rsid w:val="00255A3B"/>
    <w:rsid w:val="0025674A"/>
    <w:rsid w:val="00256E8C"/>
    <w:rsid w:val="00257CE2"/>
    <w:rsid w:val="00262EA0"/>
    <w:rsid w:val="00262F35"/>
    <w:rsid w:val="002636C2"/>
    <w:rsid w:val="00263903"/>
    <w:rsid w:val="00265745"/>
    <w:rsid w:val="00265C83"/>
    <w:rsid w:val="002663A5"/>
    <w:rsid w:val="00267610"/>
    <w:rsid w:val="00267793"/>
    <w:rsid w:val="00267942"/>
    <w:rsid w:val="002708E3"/>
    <w:rsid w:val="00270939"/>
    <w:rsid w:val="00271C04"/>
    <w:rsid w:val="0027217D"/>
    <w:rsid w:val="00273F86"/>
    <w:rsid w:val="00274BDB"/>
    <w:rsid w:val="00276093"/>
    <w:rsid w:val="00282A53"/>
    <w:rsid w:val="00282BE1"/>
    <w:rsid w:val="00284DE9"/>
    <w:rsid w:val="00284E65"/>
    <w:rsid w:val="00284FFF"/>
    <w:rsid w:val="00286A9F"/>
    <w:rsid w:val="00286FA0"/>
    <w:rsid w:val="0028716A"/>
    <w:rsid w:val="0029142A"/>
    <w:rsid w:val="0029401D"/>
    <w:rsid w:val="0029615F"/>
    <w:rsid w:val="002A0C61"/>
    <w:rsid w:val="002A10D1"/>
    <w:rsid w:val="002A115E"/>
    <w:rsid w:val="002A3053"/>
    <w:rsid w:val="002A5120"/>
    <w:rsid w:val="002A518B"/>
    <w:rsid w:val="002A5232"/>
    <w:rsid w:val="002B1AAE"/>
    <w:rsid w:val="002B2AB9"/>
    <w:rsid w:val="002B4213"/>
    <w:rsid w:val="002B42AA"/>
    <w:rsid w:val="002B5797"/>
    <w:rsid w:val="002B5A3C"/>
    <w:rsid w:val="002B73C3"/>
    <w:rsid w:val="002C2CDB"/>
    <w:rsid w:val="002C33DF"/>
    <w:rsid w:val="002C4B36"/>
    <w:rsid w:val="002C770B"/>
    <w:rsid w:val="002C7F4F"/>
    <w:rsid w:val="002D01C7"/>
    <w:rsid w:val="002D2057"/>
    <w:rsid w:val="002D28C5"/>
    <w:rsid w:val="002D361F"/>
    <w:rsid w:val="002D4BF1"/>
    <w:rsid w:val="002D5C9A"/>
    <w:rsid w:val="002E15AE"/>
    <w:rsid w:val="002E6FFB"/>
    <w:rsid w:val="002E7DF3"/>
    <w:rsid w:val="002F0255"/>
    <w:rsid w:val="002F080F"/>
    <w:rsid w:val="002F273A"/>
    <w:rsid w:val="002F2C86"/>
    <w:rsid w:val="002F33BF"/>
    <w:rsid w:val="002F3BDD"/>
    <w:rsid w:val="002F417E"/>
    <w:rsid w:val="002F5EC1"/>
    <w:rsid w:val="002F61B9"/>
    <w:rsid w:val="0030137A"/>
    <w:rsid w:val="00304168"/>
    <w:rsid w:val="00305EC7"/>
    <w:rsid w:val="003063C9"/>
    <w:rsid w:val="00306EA1"/>
    <w:rsid w:val="00307532"/>
    <w:rsid w:val="00307622"/>
    <w:rsid w:val="0031057E"/>
    <w:rsid w:val="00311A3A"/>
    <w:rsid w:val="0031354D"/>
    <w:rsid w:val="00314D52"/>
    <w:rsid w:val="00315C40"/>
    <w:rsid w:val="0031609A"/>
    <w:rsid w:val="003168B8"/>
    <w:rsid w:val="00317550"/>
    <w:rsid w:val="00320882"/>
    <w:rsid w:val="00320E4E"/>
    <w:rsid w:val="003213E5"/>
    <w:rsid w:val="003220BB"/>
    <w:rsid w:val="0032415E"/>
    <w:rsid w:val="00325057"/>
    <w:rsid w:val="003252A2"/>
    <w:rsid w:val="0032563A"/>
    <w:rsid w:val="003272E7"/>
    <w:rsid w:val="00327612"/>
    <w:rsid w:val="0033155E"/>
    <w:rsid w:val="0033165E"/>
    <w:rsid w:val="00332B28"/>
    <w:rsid w:val="003331C5"/>
    <w:rsid w:val="00333838"/>
    <w:rsid w:val="00334B68"/>
    <w:rsid w:val="00336034"/>
    <w:rsid w:val="003368AD"/>
    <w:rsid w:val="00337737"/>
    <w:rsid w:val="0034071A"/>
    <w:rsid w:val="0034079C"/>
    <w:rsid w:val="00341175"/>
    <w:rsid w:val="003421E9"/>
    <w:rsid w:val="00343197"/>
    <w:rsid w:val="00344064"/>
    <w:rsid w:val="003445E7"/>
    <w:rsid w:val="00346336"/>
    <w:rsid w:val="00346BD2"/>
    <w:rsid w:val="00346C73"/>
    <w:rsid w:val="00352424"/>
    <w:rsid w:val="003524E4"/>
    <w:rsid w:val="003545E3"/>
    <w:rsid w:val="00356BA0"/>
    <w:rsid w:val="003604CB"/>
    <w:rsid w:val="00360BEF"/>
    <w:rsid w:val="00361640"/>
    <w:rsid w:val="00362E62"/>
    <w:rsid w:val="00364646"/>
    <w:rsid w:val="003647DE"/>
    <w:rsid w:val="0036509D"/>
    <w:rsid w:val="003678CB"/>
    <w:rsid w:val="0037070D"/>
    <w:rsid w:val="00371C95"/>
    <w:rsid w:val="003724E3"/>
    <w:rsid w:val="00373CD4"/>
    <w:rsid w:val="003761C7"/>
    <w:rsid w:val="0037635D"/>
    <w:rsid w:val="00376B8B"/>
    <w:rsid w:val="00376FE8"/>
    <w:rsid w:val="003772B6"/>
    <w:rsid w:val="00377F2F"/>
    <w:rsid w:val="00380991"/>
    <w:rsid w:val="003815F5"/>
    <w:rsid w:val="00381A2A"/>
    <w:rsid w:val="003821BB"/>
    <w:rsid w:val="00383393"/>
    <w:rsid w:val="003837B9"/>
    <w:rsid w:val="0038397C"/>
    <w:rsid w:val="00383C92"/>
    <w:rsid w:val="00384E5C"/>
    <w:rsid w:val="00385733"/>
    <w:rsid w:val="00385E10"/>
    <w:rsid w:val="00385E1B"/>
    <w:rsid w:val="003874F4"/>
    <w:rsid w:val="00387D4B"/>
    <w:rsid w:val="00387E42"/>
    <w:rsid w:val="00390024"/>
    <w:rsid w:val="003901D3"/>
    <w:rsid w:val="003902EA"/>
    <w:rsid w:val="00390C5C"/>
    <w:rsid w:val="00391D1C"/>
    <w:rsid w:val="003921EE"/>
    <w:rsid w:val="00392832"/>
    <w:rsid w:val="00393089"/>
    <w:rsid w:val="00393654"/>
    <w:rsid w:val="00395408"/>
    <w:rsid w:val="003956B6"/>
    <w:rsid w:val="00395B3F"/>
    <w:rsid w:val="003A2FEC"/>
    <w:rsid w:val="003A3233"/>
    <w:rsid w:val="003A3FEF"/>
    <w:rsid w:val="003A45EA"/>
    <w:rsid w:val="003B10CD"/>
    <w:rsid w:val="003B1650"/>
    <w:rsid w:val="003B17D7"/>
    <w:rsid w:val="003B20F4"/>
    <w:rsid w:val="003B36BF"/>
    <w:rsid w:val="003B3779"/>
    <w:rsid w:val="003B3C25"/>
    <w:rsid w:val="003B487B"/>
    <w:rsid w:val="003C0939"/>
    <w:rsid w:val="003C0F74"/>
    <w:rsid w:val="003C28C3"/>
    <w:rsid w:val="003C2B2E"/>
    <w:rsid w:val="003C346D"/>
    <w:rsid w:val="003C4176"/>
    <w:rsid w:val="003C6BEE"/>
    <w:rsid w:val="003C7865"/>
    <w:rsid w:val="003D1684"/>
    <w:rsid w:val="003D38B6"/>
    <w:rsid w:val="003D3CE7"/>
    <w:rsid w:val="003D4791"/>
    <w:rsid w:val="003D6D3D"/>
    <w:rsid w:val="003D784C"/>
    <w:rsid w:val="003D7A36"/>
    <w:rsid w:val="003E0114"/>
    <w:rsid w:val="003E0310"/>
    <w:rsid w:val="003E0526"/>
    <w:rsid w:val="003E1CDE"/>
    <w:rsid w:val="003E4BA7"/>
    <w:rsid w:val="003E541D"/>
    <w:rsid w:val="003E74E4"/>
    <w:rsid w:val="003F0B3A"/>
    <w:rsid w:val="003F1944"/>
    <w:rsid w:val="003F56C3"/>
    <w:rsid w:val="003F5AD2"/>
    <w:rsid w:val="003F5C8D"/>
    <w:rsid w:val="004008B9"/>
    <w:rsid w:val="00400BAD"/>
    <w:rsid w:val="00403589"/>
    <w:rsid w:val="00403757"/>
    <w:rsid w:val="00403BC8"/>
    <w:rsid w:val="00404904"/>
    <w:rsid w:val="00404B56"/>
    <w:rsid w:val="00404C30"/>
    <w:rsid w:val="00405B85"/>
    <w:rsid w:val="00410D15"/>
    <w:rsid w:val="00410FB7"/>
    <w:rsid w:val="00413D3D"/>
    <w:rsid w:val="00414D08"/>
    <w:rsid w:val="004162AC"/>
    <w:rsid w:val="00416FA2"/>
    <w:rsid w:val="00420018"/>
    <w:rsid w:val="00421154"/>
    <w:rsid w:val="00422209"/>
    <w:rsid w:val="0042284E"/>
    <w:rsid w:val="00422E52"/>
    <w:rsid w:val="00424028"/>
    <w:rsid w:val="004255F3"/>
    <w:rsid w:val="0042752F"/>
    <w:rsid w:val="0043049F"/>
    <w:rsid w:val="0043133D"/>
    <w:rsid w:val="00431B5A"/>
    <w:rsid w:val="00432FA0"/>
    <w:rsid w:val="00433820"/>
    <w:rsid w:val="004363BB"/>
    <w:rsid w:val="004379E1"/>
    <w:rsid w:val="00441858"/>
    <w:rsid w:val="00442C16"/>
    <w:rsid w:val="004431F8"/>
    <w:rsid w:val="004434B1"/>
    <w:rsid w:val="00443C2E"/>
    <w:rsid w:val="00444B7A"/>
    <w:rsid w:val="00445672"/>
    <w:rsid w:val="004457D4"/>
    <w:rsid w:val="00446CC6"/>
    <w:rsid w:val="004503A9"/>
    <w:rsid w:val="004515E4"/>
    <w:rsid w:val="0045172C"/>
    <w:rsid w:val="00451982"/>
    <w:rsid w:val="0045398C"/>
    <w:rsid w:val="00453E04"/>
    <w:rsid w:val="00454B2E"/>
    <w:rsid w:val="00454DE8"/>
    <w:rsid w:val="00457195"/>
    <w:rsid w:val="004578DF"/>
    <w:rsid w:val="004615F0"/>
    <w:rsid w:val="00462312"/>
    <w:rsid w:val="00465CE7"/>
    <w:rsid w:val="00466A53"/>
    <w:rsid w:val="00466AB8"/>
    <w:rsid w:val="00467E28"/>
    <w:rsid w:val="00471003"/>
    <w:rsid w:val="004724BB"/>
    <w:rsid w:val="004744FA"/>
    <w:rsid w:val="00474FC3"/>
    <w:rsid w:val="00480915"/>
    <w:rsid w:val="00482ADB"/>
    <w:rsid w:val="00482C5B"/>
    <w:rsid w:val="00484019"/>
    <w:rsid w:val="004857F7"/>
    <w:rsid w:val="00485A4F"/>
    <w:rsid w:val="0049378D"/>
    <w:rsid w:val="004939A7"/>
    <w:rsid w:val="00494E18"/>
    <w:rsid w:val="00495366"/>
    <w:rsid w:val="0049597A"/>
    <w:rsid w:val="00496CBC"/>
    <w:rsid w:val="004976DE"/>
    <w:rsid w:val="004977F1"/>
    <w:rsid w:val="004A0F82"/>
    <w:rsid w:val="004A1202"/>
    <w:rsid w:val="004A5089"/>
    <w:rsid w:val="004A59EB"/>
    <w:rsid w:val="004A64D0"/>
    <w:rsid w:val="004A6DDA"/>
    <w:rsid w:val="004A7E29"/>
    <w:rsid w:val="004B06D8"/>
    <w:rsid w:val="004B1115"/>
    <w:rsid w:val="004B3C03"/>
    <w:rsid w:val="004B465F"/>
    <w:rsid w:val="004B6A92"/>
    <w:rsid w:val="004B75CD"/>
    <w:rsid w:val="004B7C87"/>
    <w:rsid w:val="004B7EF5"/>
    <w:rsid w:val="004C139B"/>
    <w:rsid w:val="004C13D6"/>
    <w:rsid w:val="004C221E"/>
    <w:rsid w:val="004C295F"/>
    <w:rsid w:val="004C2AB6"/>
    <w:rsid w:val="004C2DEB"/>
    <w:rsid w:val="004C35C9"/>
    <w:rsid w:val="004D0833"/>
    <w:rsid w:val="004D1096"/>
    <w:rsid w:val="004D309F"/>
    <w:rsid w:val="004D57E0"/>
    <w:rsid w:val="004D62D4"/>
    <w:rsid w:val="004D6406"/>
    <w:rsid w:val="004D7A89"/>
    <w:rsid w:val="004E0F73"/>
    <w:rsid w:val="004E1B16"/>
    <w:rsid w:val="004E294B"/>
    <w:rsid w:val="004E4B0E"/>
    <w:rsid w:val="004E588C"/>
    <w:rsid w:val="004E5E52"/>
    <w:rsid w:val="004F1ABA"/>
    <w:rsid w:val="004F4CD1"/>
    <w:rsid w:val="004F66E4"/>
    <w:rsid w:val="00501266"/>
    <w:rsid w:val="00502828"/>
    <w:rsid w:val="00502BF0"/>
    <w:rsid w:val="0050336A"/>
    <w:rsid w:val="005033AE"/>
    <w:rsid w:val="00503CEC"/>
    <w:rsid w:val="00506445"/>
    <w:rsid w:val="00507DE3"/>
    <w:rsid w:val="00511437"/>
    <w:rsid w:val="005118E1"/>
    <w:rsid w:val="00513AA0"/>
    <w:rsid w:val="0051474D"/>
    <w:rsid w:val="005147B9"/>
    <w:rsid w:val="00514DBC"/>
    <w:rsid w:val="00515772"/>
    <w:rsid w:val="00515972"/>
    <w:rsid w:val="005172A9"/>
    <w:rsid w:val="00517871"/>
    <w:rsid w:val="0052080D"/>
    <w:rsid w:val="00520DB2"/>
    <w:rsid w:val="00521068"/>
    <w:rsid w:val="0052106B"/>
    <w:rsid w:val="00522543"/>
    <w:rsid w:val="00522757"/>
    <w:rsid w:val="00523489"/>
    <w:rsid w:val="00523B7A"/>
    <w:rsid w:val="00523EBB"/>
    <w:rsid w:val="00523EE4"/>
    <w:rsid w:val="00524E38"/>
    <w:rsid w:val="00525BB3"/>
    <w:rsid w:val="00531671"/>
    <w:rsid w:val="00533469"/>
    <w:rsid w:val="005336A6"/>
    <w:rsid w:val="005340F7"/>
    <w:rsid w:val="0053516D"/>
    <w:rsid w:val="0053646B"/>
    <w:rsid w:val="005367A7"/>
    <w:rsid w:val="00540ADB"/>
    <w:rsid w:val="00540CE2"/>
    <w:rsid w:val="00540E75"/>
    <w:rsid w:val="005412E0"/>
    <w:rsid w:val="00541C04"/>
    <w:rsid w:val="0054210A"/>
    <w:rsid w:val="00543576"/>
    <w:rsid w:val="00544249"/>
    <w:rsid w:val="0054480D"/>
    <w:rsid w:val="00545B62"/>
    <w:rsid w:val="00546004"/>
    <w:rsid w:val="00546AD3"/>
    <w:rsid w:val="00547344"/>
    <w:rsid w:val="00552118"/>
    <w:rsid w:val="00552D2E"/>
    <w:rsid w:val="00552E7A"/>
    <w:rsid w:val="005530F4"/>
    <w:rsid w:val="00553467"/>
    <w:rsid w:val="00554848"/>
    <w:rsid w:val="00555911"/>
    <w:rsid w:val="00555E83"/>
    <w:rsid w:val="00556A79"/>
    <w:rsid w:val="00556E78"/>
    <w:rsid w:val="005614EF"/>
    <w:rsid w:val="005620F7"/>
    <w:rsid w:val="0056289C"/>
    <w:rsid w:val="0056720B"/>
    <w:rsid w:val="00572575"/>
    <w:rsid w:val="005733C9"/>
    <w:rsid w:val="00574407"/>
    <w:rsid w:val="0057480C"/>
    <w:rsid w:val="0057666D"/>
    <w:rsid w:val="0058152A"/>
    <w:rsid w:val="00583B9E"/>
    <w:rsid w:val="00585084"/>
    <w:rsid w:val="005866CF"/>
    <w:rsid w:val="005875B3"/>
    <w:rsid w:val="00592C7F"/>
    <w:rsid w:val="00593D0E"/>
    <w:rsid w:val="00595FD8"/>
    <w:rsid w:val="00597520"/>
    <w:rsid w:val="005A02C1"/>
    <w:rsid w:val="005A139F"/>
    <w:rsid w:val="005A5AD8"/>
    <w:rsid w:val="005A5DFC"/>
    <w:rsid w:val="005A6300"/>
    <w:rsid w:val="005B0BC1"/>
    <w:rsid w:val="005B0FD5"/>
    <w:rsid w:val="005B244A"/>
    <w:rsid w:val="005B2F5F"/>
    <w:rsid w:val="005B3B64"/>
    <w:rsid w:val="005B702D"/>
    <w:rsid w:val="005B7058"/>
    <w:rsid w:val="005B70D9"/>
    <w:rsid w:val="005B7497"/>
    <w:rsid w:val="005B7C77"/>
    <w:rsid w:val="005C07FC"/>
    <w:rsid w:val="005C13DF"/>
    <w:rsid w:val="005C13FC"/>
    <w:rsid w:val="005C15E9"/>
    <w:rsid w:val="005C2773"/>
    <w:rsid w:val="005C285C"/>
    <w:rsid w:val="005C6E46"/>
    <w:rsid w:val="005C7787"/>
    <w:rsid w:val="005C7B88"/>
    <w:rsid w:val="005C7DBC"/>
    <w:rsid w:val="005D0285"/>
    <w:rsid w:val="005D12B9"/>
    <w:rsid w:val="005D53F3"/>
    <w:rsid w:val="005D5431"/>
    <w:rsid w:val="005D73F2"/>
    <w:rsid w:val="005E0628"/>
    <w:rsid w:val="005E083F"/>
    <w:rsid w:val="005E08FA"/>
    <w:rsid w:val="005E099C"/>
    <w:rsid w:val="005E200A"/>
    <w:rsid w:val="005E2108"/>
    <w:rsid w:val="005E26EB"/>
    <w:rsid w:val="005E2872"/>
    <w:rsid w:val="005E316C"/>
    <w:rsid w:val="005E3915"/>
    <w:rsid w:val="005E3B91"/>
    <w:rsid w:val="005E5044"/>
    <w:rsid w:val="005E67B0"/>
    <w:rsid w:val="005E69E1"/>
    <w:rsid w:val="005F0C2F"/>
    <w:rsid w:val="005F2EAE"/>
    <w:rsid w:val="005F4CEE"/>
    <w:rsid w:val="005F619B"/>
    <w:rsid w:val="005F7711"/>
    <w:rsid w:val="005F7F08"/>
    <w:rsid w:val="00602A0C"/>
    <w:rsid w:val="00603D2D"/>
    <w:rsid w:val="00604589"/>
    <w:rsid w:val="006100D8"/>
    <w:rsid w:val="00610AC9"/>
    <w:rsid w:val="00610ED3"/>
    <w:rsid w:val="00611742"/>
    <w:rsid w:val="0061182F"/>
    <w:rsid w:val="00614335"/>
    <w:rsid w:val="00616C81"/>
    <w:rsid w:val="006175F5"/>
    <w:rsid w:val="00617C97"/>
    <w:rsid w:val="0062185E"/>
    <w:rsid w:val="0062566C"/>
    <w:rsid w:val="00625BB1"/>
    <w:rsid w:val="00627B59"/>
    <w:rsid w:val="00627C28"/>
    <w:rsid w:val="00627C84"/>
    <w:rsid w:val="00627F20"/>
    <w:rsid w:val="0063015E"/>
    <w:rsid w:val="00634CEF"/>
    <w:rsid w:val="0063799C"/>
    <w:rsid w:val="0064177B"/>
    <w:rsid w:val="00642BA1"/>
    <w:rsid w:val="006430AF"/>
    <w:rsid w:val="0064590D"/>
    <w:rsid w:val="00646381"/>
    <w:rsid w:val="00646738"/>
    <w:rsid w:val="00647300"/>
    <w:rsid w:val="006515C8"/>
    <w:rsid w:val="00651773"/>
    <w:rsid w:val="00652013"/>
    <w:rsid w:val="006527D4"/>
    <w:rsid w:val="0065397A"/>
    <w:rsid w:val="006547D4"/>
    <w:rsid w:val="00656971"/>
    <w:rsid w:val="00656D73"/>
    <w:rsid w:val="00657610"/>
    <w:rsid w:val="006611F5"/>
    <w:rsid w:val="00661AEF"/>
    <w:rsid w:val="00662F64"/>
    <w:rsid w:val="006630C7"/>
    <w:rsid w:val="00663D7A"/>
    <w:rsid w:val="0066411C"/>
    <w:rsid w:val="00664D73"/>
    <w:rsid w:val="00664DC4"/>
    <w:rsid w:val="00664F77"/>
    <w:rsid w:val="0066514D"/>
    <w:rsid w:val="0066746B"/>
    <w:rsid w:val="00667671"/>
    <w:rsid w:val="00671ABD"/>
    <w:rsid w:val="0067219B"/>
    <w:rsid w:val="00672885"/>
    <w:rsid w:val="00672A5A"/>
    <w:rsid w:val="00672C1A"/>
    <w:rsid w:val="0067312D"/>
    <w:rsid w:val="006744A9"/>
    <w:rsid w:val="00677563"/>
    <w:rsid w:val="00677970"/>
    <w:rsid w:val="00680847"/>
    <w:rsid w:val="00681295"/>
    <w:rsid w:val="00681470"/>
    <w:rsid w:val="00682A5B"/>
    <w:rsid w:val="00683BBA"/>
    <w:rsid w:val="00686376"/>
    <w:rsid w:val="006872BE"/>
    <w:rsid w:val="0068782E"/>
    <w:rsid w:val="00687F10"/>
    <w:rsid w:val="00687F9D"/>
    <w:rsid w:val="0069073B"/>
    <w:rsid w:val="00692576"/>
    <w:rsid w:val="00692A50"/>
    <w:rsid w:val="00694A36"/>
    <w:rsid w:val="00694BF7"/>
    <w:rsid w:val="0069519E"/>
    <w:rsid w:val="006964EF"/>
    <w:rsid w:val="006A05F6"/>
    <w:rsid w:val="006A28BA"/>
    <w:rsid w:val="006A2C36"/>
    <w:rsid w:val="006A4CEB"/>
    <w:rsid w:val="006A55D8"/>
    <w:rsid w:val="006A5EA8"/>
    <w:rsid w:val="006A6CE0"/>
    <w:rsid w:val="006A6F66"/>
    <w:rsid w:val="006B0C24"/>
    <w:rsid w:val="006B0E0E"/>
    <w:rsid w:val="006B3053"/>
    <w:rsid w:val="006B5A74"/>
    <w:rsid w:val="006B61BF"/>
    <w:rsid w:val="006B6ABD"/>
    <w:rsid w:val="006B6CFF"/>
    <w:rsid w:val="006C1CB7"/>
    <w:rsid w:val="006C26E0"/>
    <w:rsid w:val="006C40F1"/>
    <w:rsid w:val="006C7995"/>
    <w:rsid w:val="006D120E"/>
    <w:rsid w:val="006D2AA4"/>
    <w:rsid w:val="006D3301"/>
    <w:rsid w:val="006D5FE7"/>
    <w:rsid w:val="006D6536"/>
    <w:rsid w:val="006D661E"/>
    <w:rsid w:val="006D6CAA"/>
    <w:rsid w:val="006D6D97"/>
    <w:rsid w:val="006E08CF"/>
    <w:rsid w:val="006E0F8E"/>
    <w:rsid w:val="006E1310"/>
    <w:rsid w:val="006E193E"/>
    <w:rsid w:val="006E2956"/>
    <w:rsid w:val="006E343D"/>
    <w:rsid w:val="006E493F"/>
    <w:rsid w:val="006E6008"/>
    <w:rsid w:val="006E6933"/>
    <w:rsid w:val="006E6A96"/>
    <w:rsid w:val="006F04EC"/>
    <w:rsid w:val="006F0823"/>
    <w:rsid w:val="006F183B"/>
    <w:rsid w:val="006F4313"/>
    <w:rsid w:val="006F4489"/>
    <w:rsid w:val="006F49AC"/>
    <w:rsid w:val="006F4A92"/>
    <w:rsid w:val="006F5C1B"/>
    <w:rsid w:val="006F67CD"/>
    <w:rsid w:val="00700015"/>
    <w:rsid w:val="007001BD"/>
    <w:rsid w:val="00700821"/>
    <w:rsid w:val="007013DD"/>
    <w:rsid w:val="00706FE7"/>
    <w:rsid w:val="00707769"/>
    <w:rsid w:val="00711F2C"/>
    <w:rsid w:val="0071482B"/>
    <w:rsid w:val="00714993"/>
    <w:rsid w:val="00720E4B"/>
    <w:rsid w:val="00725C8C"/>
    <w:rsid w:val="00725F4B"/>
    <w:rsid w:val="007261F7"/>
    <w:rsid w:val="0072704E"/>
    <w:rsid w:val="00730086"/>
    <w:rsid w:val="007300E6"/>
    <w:rsid w:val="00730136"/>
    <w:rsid w:val="00730F76"/>
    <w:rsid w:val="00732AA5"/>
    <w:rsid w:val="007339EC"/>
    <w:rsid w:val="00733F1B"/>
    <w:rsid w:val="00736B23"/>
    <w:rsid w:val="00737028"/>
    <w:rsid w:val="00737065"/>
    <w:rsid w:val="00737169"/>
    <w:rsid w:val="0073786B"/>
    <w:rsid w:val="00737E83"/>
    <w:rsid w:val="0074103E"/>
    <w:rsid w:val="007415C7"/>
    <w:rsid w:val="007418EE"/>
    <w:rsid w:val="00741A70"/>
    <w:rsid w:val="00741D0D"/>
    <w:rsid w:val="007421AC"/>
    <w:rsid w:val="00743E5E"/>
    <w:rsid w:val="00746415"/>
    <w:rsid w:val="00746672"/>
    <w:rsid w:val="00750AA5"/>
    <w:rsid w:val="00750D88"/>
    <w:rsid w:val="00755241"/>
    <w:rsid w:val="00757627"/>
    <w:rsid w:val="00763F49"/>
    <w:rsid w:val="00765E98"/>
    <w:rsid w:val="00766237"/>
    <w:rsid w:val="00766C0B"/>
    <w:rsid w:val="00766C12"/>
    <w:rsid w:val="00766D30"/>
    <w:rsid w:val="00771CB6"/>
    <w:rsid w:val="00774C7F"/>
    <w:rsid w:val="007765DF"/>
    <w:rsid w:val="007801CF"/>
    <w:rsid w:val="00782D7F"/>
    <w:rsid w:val="0078351F"/>
    <w:rsid w:val="0078402D"/>
    <w:rsid w:val="00785391"/>
    <w:rsid w:val="00785910"/>
    <w:rsid w:val="007874F2"/>
    <w:rsid w:val="007900B4"/>
    <w:rsid w:val="0079015D"/>
    <w:rsid w:val="0079093A"/>
    <w:rsid w:val="0079201F"/>
    <w:rsid w:val="0079311D"/>
    <w:rsid w:val="00793703"/>
    <w:rsid w:val="00793E07"/>
    <w:rsid w:val="00795110"/>
    <w:rsid w:val="00795330"/>
    <w:rsid w:val="00795AE8"/>
    <w:rsid w:val="007978B7"/>
    <w:rsid w:val="00797E5A"/>
    <w:rsid w:val="007A0BF6"/>
    <w:rsid w:val="007A2426"/>
    <w:rsid w:val="007A2529"/>
    <w:rsid w:val="007A28F9"/>
    <w:rsid w:val="007A2F4A"/>
    <w:rsid w:val="007A3961"/>
    <w:rsid w:val="007A5941"/>
    <w:rsid w:val="007A62C4"/>
    <w:rsid w:val="007A6F8E"/>
    <w:rsid w:val="007B1583"/>
    <w:rsid w:val="007B2802"/>
    <w:rsid w:val="007B34B5"/>
    <w:rsid w:val="007B4397"/>
    <w:rsid w:val="007B4935"/>
    <w:rsid w:val="007B5B61"/>
    <w:rsid w:val="007B6B1A"/>
    <w:rsid w:val="007B71BF"/>
    <w:rsid w:val="007B770B"/>
    <w:rsid w:val="007B7A3D"/>
    <w:rsid w:val="007B7E71"/>
    <w:rsid w:val="007C1377"/>
    <w:rsid w:val="007C15EA"/>
    <w:rsid w:val="007C214B"/>
    <w:rsid w:val="007C4996"/>
    <w:rsid w:val="007C61C5"/>
    <w:rsid w:val="007C7461"/>
    <w:rsid w:val="007D15C1"/>
    <w:rsid w:val="007D252E"/>
    <w:rsid w:val="007D325D"/>
    <w:rsid w:val="007D3915"/>
    <w:rsid w:val="007D4019"/>
    <w:rsid w:val="007D59BE"/>
    <w:rsid w:val="007D6D15"/>
    <w:rsid w:val="007E3118"/>
    <w:rsid w:val="007E3AC3"/>
    <w:rsid w:val="007E41BD"/>
    <w:rsid w:val="007E4E97"/>
    <w:rsid w:val="007E5E2D"/>
    <w:rsid w:val="007E60C5"/>
    <w:rsid w:val="007E74FA"/>
    <w:rsid w:val="007F03D5"/>
    <w:rsid w:val="007F2381"/>
    <w:rsid w:val="007F356B"/>
    <w:rsid w:val="007F54D3"/>
    <w:rsid w:val="007F5F91"/>
    <w:rsid w:val="007F6288"/>
    <w:rsid w:val="007F79E1"/>
    <w:rsid w:val="008024F0"/>
    <w:rsid w:val="00802B29"/>
    <w:rsid w:val="0080325F"/>
    <w:rsid w:val="00803768"/>
    <w:rsid w:val="0080499E"/>
    <w:rsid w:val="00804B19"/>
    <w:rsid w:val="008055EF"/>
    <w:rsid w:val="00807235"/>
    <w:rsid w:val="00807F78"/>
    <w:rsid w:val="00813B65"/>
    <w:rsid w:val="00814EE1"/>
    <w:rsid w:val="008155FA"/>
    <w:rsid w:val="00816652"/>
    <w:rsid w:val="00820E0B"/>
    <w:rsid w:val="00821C50"/>
    <w:rsid w:val="008225B5"/>
    <w:rsid w:val="008246B6"/>
    <w:rsid w:val="0082677E"/>
    <w:rsid w:val="00827F99"/>
    <w:rsid w:val="00830604"/>
    <w:rsid w:val="00832C05"/>
    <w:rsid w:val="008336EE"/>
    <w:rsid w:val="00835030"/>
    <w:rsid w:val="00835260"/>
    <w:rsid w:val="00835EAE"/>
    <w:rsid w:val="0083736E"/>
    <w:rsid w:val="00841242"/>
    <w:rsid w:val="00841B1E"/>
    <w:rsid w:val="008428D2"/>
    <w:rsid w:val="00842DC5"/>
    <w:rsid w:val="0084491A"/>
    <w:rsid w:val="00845263"/>
    <w:rsid w:val="0084627D"/>
    <w:rsid w:val="00852A82"/>
    <w:rsid w:val="00854872"/>
    <w:rsid w:val="00855237"/>
    <w:rsid w:val="00856125"/>
    <w:rsid w:val="00856172"/>
    <w:rsid w:val="00862103"/>
    <w:rsid w:val="008631A3"/>
    <w:rsid w:val="00863C57"/>
    <w:rsid w:val="008654BA"/>
    <w:rsid w:val="00865E48"/>
    <w:rsid w:val="00866940"/>
    <w:rsid w:val="00867B5C"/>
    <w:rsid w:val="008708D9"/>
    <w:rsid w:val="008729B9"/>
    <w:rsid w:val="00872C03"/>
    <w:rsid w:val="00873B1A"/>
    <w:rsid w:val="008767D0"/>
    <w:rsid w:val="00876B19"/>
    <w:rsid w:val="00877B96"/>
    <w:rsid w:val="008800A6"/>
    <w:rsid w:val="0088033C"/>
    <w:rsid w:val="00883399"/>
    <w:rsid w:val="00884A15"/>
    <w:rsid w:val="00884CCE"/>
    <w:rsid w:val="00884DBC"/>
    <w:rsid w:val="00885687"/>
    <w:rsid w:val="0088742D"/>
    <w:rsid w:val="00887B2F"/>
    <w:rsid w:val="00887E96"/>
    <w:rsid w:val="0089020D"/>
    <w:rsid w:val="00890DB5"/>
    <w:rsid w:val="00894DE7"/>
    <w:rsid w:val="008A098E"/>
    <w:rsid w:val="008A0A8F"/>
    <w:rsid w:val="008A2373"/>
    <w:rsid w:val="008A31D6"/>
    <w:rsid w:val="008A324A"/>
    <w:rsid w:val="008A3FA1"/>
    <w:rsid w:val="008A42E9"/>
    <w:rsid w:val="008A5694"/>
    <w:rsid w:val="008B36FF"/>
    <w:rsid w:val="008B3C73"/>
    <w:rsid w:val="008B5A6D"/>
    <w:rsid w:val="008B5B6F"/>
    <w:rsid w:val="008B6D16"/>
    <w:rsid w:val="008B714F"/>
    <w:rsid w:val="008B71C9"/>
    <w:rsid w:val="008C3077"/>
    <w:rsid w:val="008C45D2"/>
    <w:rsid w:val="008C47A7"/>
    <w:rsid w:val="008C5CAC"/>
    <w:rsid w:val="008C6ACD"/>
    <w:rsid w:val="008D067E"/>
    <w:rsid w:val="008D1103"/>
    <w:rsid w:val="008D17FA"/>
    <w:rsid w:val="008D2B2B"/>
    <w:rsid w:val="008D4073"/>
    <w:rsid w:val="008D66FB"/>
    <w:rsid w:val="008D77FB"/>
    <w:rsid w:val="008D7ECB"/>
    <w:rsid w:val="008E0B50"/>
    <w:rsid w:val="008E1458"/>
    <w:rsid w:val="008E5A09"/>
    <w:rsid w:val="008E7F6E"/>
    <w:rsid w:val="008F0306"/>
    <w:rsid w:val="008F26AD"/>
    <w:rsid w:val="008F3FFF"/>
    <w:rsid w:val="008F5108"/>
    <w:rsid w:val="008F5830"/>
    <w:rsid w:val="008F61BE"/>
    <w:rsid w:val="008F6B1C"/>
    <w:rsid w:val="00900144"/>
    <w:rsid w:val="00901F9C"/>
    <w:rsid w:val="00902A41"/>
    <w:rsid w:val="00902A5B"/>
    <w:rsid w:val="0090308B"/>
    <w:rsid w:val="0090354F"/>
    <w:rsid w:val="00904FE5"/>
    <w:rsid w:val="00905A17"/>
    <w:rsid w:val="009064CF"/>
    <w:rsid w:val="00906EEC"/>
    <w:rsid w:val="009070E8"/>
    <w:rsid w:val="00910530"/>
    <w:rsid w:val="009120F8"/>
    <w:rsid w:val="0091248D"/>
    <w:rsid w:val="009154E3"/>
    <w:rsid w:val="00916BB9"/>
    <w:rsid w:val="00916EAC"/>
    <w:rsid w:val="0092141E"/>
    <w:rsid w:val="0092280E"/>
    <w:rsid w:val="00927375"/>
    <w:rsid w:val="0092742F"/>
    <w:rsid w:val="00933191"/>
    <w:rsid w:val="00934BA0"/>
    <w:rsid w:val="0094054C"/>
    <w:rsid w:val="00943FCA"/>
    <w:rsid w:val="009515C9"/>
    <w:rsid w:val="0095309F"/>
    <w:rsid w:val="0095321F"/>
    <w:rsid w:val="00954512"/>
    <w:rsid w:val="009560F0"/>
    <w:rsid w:val="00956903"/>
    <w:rsid w:val="00956F22"/>
    <w:rsid w:val="00957379"/>
    <w:rsid w:val="009579B9"/>
    <w:rsid w:val="0096020C"/>
    <w:rsid w:val="0096073C"/>
    <w:rsid w:val="00962770"/>
    <w:rsid w:val="00962C9E"/>
    <w:rsid w:val="0096314A"/>
    <w:rsid w:val="0096557C"/>
    <w:rsid w:val="009670E8"/>
    <w:rsid w:val="00967380"/>
    <w:rsid w:val="00970D21"/>
    <w:rsid w:val="009714C2"/>
    <w:rsid w:val="00971597"/>
    <w:rsid w:val="0097165E"/>
    <w:rsid w:val="00972151"/>
    <w:rsid w:val="0097250D"/>
    <w:rsid w:val="00972DD2"/>
    <w:rsid w:val="00975D5A"/>
    <w:rsid w:val="009807AD"/>
    <w:rsid w:val="00980990"/>
    <w:rsid w:val="009819EE"/>
    <w:rsid w:val="00982137"/>
    <w:rsid w:val="009823F5"/>
    <w:rsid w:val="009835A2"/>
    <w:rsid w:val="009864D0"/>
    <w:rsid w:val="0098670D"/>
    <w:rsid w:val="00986C41"/>
    <w:rsid w:val="00987C55"/>
    <w:rsid w:val="00992B88"/>
    <w:rsid w:val="00992BB3"/>
    <w:rsid w:val="00996182"/>
    <w:rsid w:val="00997B42"/>
    <w:rsid w:val="00997E86"/>
    <w:rsid w:val="009A01CA"/>
    <w:rsid w:val="009A1449"/>
    <w:rsid w:val="009A1D64"/>
    <w:rsid w:val="009A1E98"/>
    <w:rsid w:val="009A2525"/>
    <w:rsid w:val="009A5250"/>
    <w:rsid w:val="009A7433"/>
    <w:rsid w:val="009A7E21"/>
    <w:rsid w:val="009B2760"/>
    <w:rsid w:val="009B338A"/>
    <w:rsid w:val="009B4C5B"/>
    <w:rsid w:val="009B624D"/>
    <w:rsid w:val="009B6B73"/>
    <w:rsid w:val="009B6DC6"/>
    <w:rsid w:val="009C53DF"/>
    <w:rsid w:val="009C541C"/>
    <w:rsid w:val="009C5F74"/>
    <w:rsid w:val="009C63CC"/>
    <w:rsid w:val="009C71D3"/>
    <w:rsid w:val="009C745E"/>
    <w:rsid w:val="009C7668"/>
    <w:rsid w:val="009D0AA9"/>
    <w:rsid w:val="009D2363"/>
    <w:rsid w:val="009D2EE0"/>
    <w:rsid w:val="009D32FA"/>
    <w:rsid w:val="009D3717"/>
    <w:rsid w:val="009D4CF1"/>
    <w:rsid w:val="009D4D38"/>
    <w:rsid w:val="009D62EF"/>
    <w:rsid w:val="009D6965"/>
    <w:rsid w:val="009D6AD7"/>
    <w:rsid w:val="009D6D7B"/>
    <w:rsid w:val="009D7092"/>
    <w:rsid w:val="009D76AC"/>
    <w:rsid w:val="009E1817"/>
    <w:rsid w:val="009E2CA1"/>
    <w:rsid w:val="009E367A"/>
    <w:rsid w:val="009E3B2F"/>
    <w:rsid w:val="009E4E06"/>
    <w:rsid w:val="009E6BC0"/>
    <w:rsid w:val="009F11F0"/>
    <w:rsid w:val="009F1A88"/>
    <w:rsid w:val="009F319E"/>
    <w:rsid w:val="009F3DD2"/>
    <w:rsid w:val="009F42D2"/>
    <w:rsid w:val="009F4E88"/>
    <w:rsid w:val="009F630E"/>
    <w:rsid w:val="009F6B2F"/>
    <w:rsid w:val="009F6E4E"/>
    <w:rsid w:val="009F7EAA"/>
    <w:rsid w:val="00A008FE"/>
    <w:rsid w:val="00A045E4"/>
    <w:rsid w:val="00A04F2A"/>
    <w:rsid w:val="00A04FBE"/>
    <w:rsid w:val="00A0509C"/>
    <w:rsid w:val="00A0598D"/>
    <w:rsid w:val="00A0703B"/>
    <w:rsid w:val="00A0720D"/>
    <w:rsid w:val="00A079C6"/>
    <w:rsid w:val="00A10995"/>
    <w:rsid w:val="00A11884"/>
    <w:rsid w:val="00A1191C"/>
    <w:rsid w:val="00A121C9"/>
    <w:rsid w:val="00A12B31"/>
    <w:rsid w:val="00A12EE6"/>
    <w:rsid w:val="00A13F05"/>
    <w:rsid w:val="00A168D2"/>
    <w:rsid w:val="00A17E4B"/>
    <w:rsid w:val="00A20D18"/>
    <w:rsid w:val="00A2111F"/>
    <w:rsid w:val="00A228E6"/>
    <w:rsid w:val="00A23B55"/>
    <w:rsid w:val="00A23F9E"/>
    <w:rsid w:val="00A24A4C"/>
    <w:rsid w:val="00A264D0"/>
    <w:rsid w:val="00A306B8"/>
    <w:rsid w:val="00A31D33"/>
    <w:rsid w:val="00A325D9"/>
    <w:rsid w:val="00A3294C"/>
    <w:rsid w:val="00A32D52"/>
    <w:rsid w:val="00A3415B"/>
    <w:rsid w:val="00A34A34"/>
    <w:rsid w:val="00A34A43"/>
    <w:rsid w:val="00A35888"/>
    <w:rsid w:val="00A35B45"/>
    <w:rsid w:val="00A35BF0"/>
    <w:rsid w:val="00A40477"/>
    <w:rsid w:val="00A4111F"/>
    <w:rsid w:val="00A41975"/>
    <w:rsid w:val="00A42147"/>
    <w:rsid w:val="00A42675"/>
    <w:rsid w:val="00A437A4"/>
    <w:rsid w:val="00A44FAA"/>
    <w:rsid w:val="00A46BCF"/>
    <w:rsid w:val="00A46C44"/>
    <w:rsid w:val="00A47A43"/>
    <w:rsid w:val="00A50352"/>
    <w:rsid w:val="00A508EC"/>
    <w:rsid w:val="00A50D9E"/>
    <w:rsid w:val="00A51910"/>
    <w:rsid w:val="00A52091"/>
    <w:rsid w:val="00A527B9"/>
    <w:rsid w:val="00A5581A"/>
    <w:rsid w:val="00A56323"/>
    <w:rsid w:val="00A60118"/>
    <w:rsid w:val="00A60CB1"/>
    <w:rsid w:val="00A60FAB"/>
    <w:rsid w:val="00A612D8"/>
    <w:rsid w:val="00A62989"/>
    <w:rsid w:val="00A62B0D"/>
    <w:rsid w:val="00A63A31"/>
    <w:rsid w:val="00A65266"/>
    <w:rsid w:val="00A658D4"/>
    <w:rsid w:val="00A65DDA"/>
    <w:rsid w:val="00A665F5"/>
    <w:rsid w:val="00A67B7C"/>
    <w:rsid w:val="00A71F54"/>
    <w:rsid w:val="00A7239F"/>
    <w:rsid w:val="00A72462"/>
    <w:rsid w:val="00A728C1"/>
    <w:rsid w:val="00A74347"/>
    <w:rsid w:val="00A743CA"/>
    <w:rsid w:val="00A75BDF"/>
    <w:rsid w:val="00A7703E"/>
    <w:rsid w:val="00A80E2D"/>
    <w:rsid w:val="00A810B6"/>
    <w:rsid w:val="00A8234A"/>
    <w:rsid w:val="00A823E9"/>
    <w:rsid w:val="00A83D4F"/>
    <w:rsid w:val="00A858BC"/>
    <w:rsid w:val="00A8721A"/>
    <w:rsid w:val="00A91019"/>
    <w:rsid w:val="00A94BED"/>
    <w:rsid w:val="00A9506B"/>
    <w:rsid w:val="00A95889"/>
    <w:rsid w:val="00A96BC3"/>
    <w:rsid w:val="00A97404"/>
    <w:rsid w:val="00A97A29"/>
    <w:rsid w:val="00AA5270"/>
    <w:rsid w:val="00AA5520"/>
    <w:rsid w:val="00AA6AE9"/>
    <w:rsid w:val="00AA7532"/>
    <w:rsid w:val="00AB1027"/>
    <w:rsid w:val="00AB319C"/>
    <w:rsid w:val="00AB6CC1"/>
    <w:rsid w:val="00AB7A2B"/>
    <w:rsid w:val="00AC2082"/>
    <w:rsid w:val="00AC2FE4"/>
    <w:rsid w:val="00AC34A8"/>
    <w:rsid w:val="00AC7435"/>
    <w:rsid w:val="00AC7A9A"/>
    <w:rsid w:val="00AD2E52"/>
    <w:rsid w:val="00AD36EF"/>
    <w:rsid w:val="00AD40E1"/>
    <w:rsid w:val="00AD6770"/>
    <w:rsid w:val="00AD7A53"/>
    <w:rsid w:val="00AE0FC7"/>
    <w:rsid w:val="00AE4D7D"/>
    <w:rsid w:val="00AE556D"/>
    <w:rsid w:val="00AE78E3"/>
    <w:rsid w:val="00AF0C33"/>
    <w:rsid w:val="00AF2958"/>
    <w:rsid w:val="00AF300D"/>
    <w:rsid w:val="00AF38C8"/>
    <w:rsid w:val="00AF4537"/>
    <w:rsid w:val="00AF52A2"/>
    <w:rsid w:val="00AF5E0A"/>
    <w:rsid w:val="00AF7516"/>
    <w:rsid w:val="00B00371"/>
    <w:rsid w:val="00B01165"/>
    <w:rsid w:val="00B01B7C"/>
    <w:rsid w:val="00B0459A"/>
    <w:rsid w:val="00B109F4"/>
    <w:rsid w:val="00B1128E"/>
    <w:rsid w:val="00B12095"/>
    <w:rsid w:val="00B127E0"/>
    <w:rsid w:val="00B14652"/>
    <w:rsid w:val="00B167EF"/>
    <w:rsid w:val="00B173F0"/>
    <w:rsid w:val="00B20463"/>
    <w:rsid w:val="00B205E0"/>
    <w:rsid w:val="00B21891"/>
    <w:rsid w:val="00B220AE"/>
    <w:rsid w:val="00B225AB"/>
    <w:rsid w:val="00B23F24"/>
    <w:rsid w:val="00B2431E"/>
    <w:rsid w:val="00B2467F"/>
    <w:rsid w:val="00B24C0C"/>
    <w:rsid w:val="00B30AF4"/>
    <w:rsid w:val="00B3187E"/>
    <w:rsid w:val="00B31E80"/>
    <w:rsid w:val="00B331ED"/>
    <w:rsid w:val="00B33CD3"/>
    <w:rsid w:val="00B34F7D"/>
    <w:rsid w:val="00B358C5"/>
    <w:rsid w:val="00B361A4"/>
    <w:rsid w:val="00B36AC0"/>
    <w:rsid w:val="00B40440"/>
    <w:rsid w:val="00B405A1"/>
    <w:rsid w:val="00B417F6"/>
    <w:rsid w:val="00B42C17"/>
    <w:rsid w:val="00B42DB6"/>
    <w:rsid w:val="00B438A1"/>
    <w:rsid w:val="00B4421F"/>
    <w:rsid w:val="00B442C7"/>
    <w:rsid w:val="00B459B5"/>
    <w:rsid w:val="00B45BEB"/>
    <w:rsid w:val="00B46A03"/>
    <w:rsid w:val="00B50DBA"/>
    <w:rsid w:val="00B51CC1"/>
    <w:rsid w:val="00B522F5"/>
    <w:rsid w:val="00B53C7B"/>
    <w:rsid w:val="00B53F05"/>
    <w:rsid w:val="00B54EDE"/>
    <w:rsid w:val="00B61928"/>
    <w:rsid w:val="00B63EBA"/>
    <w:rsid w:val="00B65374"/>
    <w:rsid w:val="00B66E4D"/>
    <w:rsid w:val="00B72DE0"/>
    <w:rsid w:val="00B733AB"/>
    <w:rsid w:val="00B73670"/>
    <w:rsid w:val="00B746D7"/>
    <w:rsid w:val="00B75F85"/>
    <w:rsid w:val="00B771BC"/>
    <w:rsid w:val="00B80547"/>
    <w:rsid w:val="00B81831"/>
    <w:rsid w:val="00B81CA9"/>
    <w:rsid w:val="00B837E4"/>
    <w:rsid w:val="00B83E3C"/>
    <w:rsid w:val="00B84262"/>
    <w:rsid w:val="00B85875"/>
    <w:rsid w:val="00B85CCB"/>
    <w:rsid w:val="00B876DD"/>
    <w:rsid w:val="00B91B6B"/>
    <w:rsid w:val="00B92C0A"/>
    <w:rsid w:val="00B93963"/>
    <w:rsid w:val="00B9440E"/>
    <w:rsid w:val="00B94CB7"/>
    <w:rsid w:val="00B95826"/>
    <w:rsid w:val="00B95B32"/>
    <w:rsid w:val="00B97294"/>
    <w:rsid w:val="00BA0858"/>
    <w:rsid w:val="00BA273A"/>
    <w:rsid w:val="00BA2FC4"/>
    <w:rsid w:val="00BA39D2"/>
    <w:rsid w:val="00BA3A8B"/>
    <w:rsid w:val="00BA7376"/>
    <w:rsid w:val="00BA758E"/>
    <w:rsid w:val="00BB0C35"/>
    <w:rsid w:val="00BB1E24"/>
    <w:rsid w:val="00BB3260"/>
    <w:rsid w:val="00BB3F1A"/>
    <w:rsid w:val="00BB4332"/>
    <w:rsid w:val="00BB60A9"/>
    <w:rsid w:val="00BB7547"/>
    <w:rsid w:val="00BC0507"/>
    <w:rsid w:val="00BC1A5B"/>
    <w:rsid w:val="00BC2BB0"/>
    <w:rsid w:val="00BC2E76"/>
    <w:rsid w:val="00BC38FE"/>
    <w:rsid w:val="00BC6B26"/>
    <w:rsid w:val="00BC6F60"/>
    <w:rsid w:val="00BD181A"/>
    <w:rsid w:val="00BD1CE6"/>
    <w:rsid w:val="00BD214D"/>
    <w:rsid w:val="00BD2546"/>
    <w:rsid w:val="00BD51C1"/>
    <w:rsid w:val="00BE08EC"/>
    <w:rsid w:val="00BE1BC8"/>
    <w:rsid w:val="00BE1EB4"/>
    <w:rsid w:val="00BE2423"/>
    <w:rsid w:val="00BE3608"/>
    <w:rsid w:val="00BE3A60"/>
    <w:rsid w:val="00BE50B6"/>
    <w:rsid w:val="00BE5252"/>
    <w:rsid w:val="00BE676F"/>
    <w:rsid w:val="00BE6784"/>
    <w:rsid w:val="00BE75A9"/>
    <w:rsid w:val="00BF0806"/>
    <w:rsid w:val="00BF0E3B"/>
    <w:rsid w:val="00BF1891"/>
    <w:rsid w:val="00BF2E6D"/>
    <w:rsid w:val="00BF337A"/>
    <w:rsid w:val="00BF5C58"/>
    <w:rsid w:val="00BF641C"/>
    <w:rsid w:val="00BF64FB"/>
    <w:rsid w:val="00C00F14"/>
    <w:rsid w:val="00C01EFB"/>
    <w:rsid w:val="00C04423"/>
    <w:rsid w:val="00C0476E"/>
    <w:rsid w:val="00C04A5C"/>
    <w:rsid w:val="00C059A7"/>
    <w:rsid w:val="00C05ACD"/>
    <w:rsid w:val="00C0733A"/>
    <w:rsid w:val="00C1128E"/>
    <w:rsid w:val="00C130E0"/>
    <w:rsid w:val="00C13776"/>
    <w:rsid w:val="00C14276"/>
    <w:rsid w:val="00C143C8"/>
    <w:rsid w:val="00C165BE"/>
    <w:rsid w:val="00C16A67"/>
    <w:rsid w:val="00C214F3"/>
    <w:rsid w:val="00C22FC2"/>
    <w:rsid w:val="00C230E1"/>
    <w:rsid w:val="00C2330D"/>
    <w:rsid w:val="00C23611"/>
    <w:rsid w:val="00C243A4"/>
    <w:rsid w:val="00C25181"/>
    <w:rsid w:val="00C25735"/>
    <w:rsid w:val="00C26A2B"/>
    <w:rsid w:val="00C27344"/>
    <w:rsid w:val="00C2741C"/>
    <w:rsid w:val="00C277C6"/>
    <w:rsid w:val="00C27C4F"/>
    <w:rsid w:val="00C335B2"/>
    <w:rsid w:val="00C36AC2"/>
    <w:rsid w:val="00C36CDF"/>
    <w:rsid w:val="00C41E40"/>
    <w:rsid w:val="00C430E8"/>
    <w:rsid w:val="00C434E6"/>
    <w:rsid w:val="00C43A8D"/>
    <w:rsid w:val="00C440F1"/>
    <w:rsid w:val="00C443B6"/>
    <w:rsid w:val="00C45987"/>
    <w:rsid w:val="00C462D7"/>
    <w:rsid w:val="00C475B6"/>
    <w:rsid w:val="00C503B8"/>
    <w:rsid w:val="00C50A01"/>
    <w:rsid w:val="00C55681"/>
    <w:rsid w:val="00C5655A"/>
    <w:rsid w:val="00C5656C"/>
    <w:rsid w:val="00C61295"/>
    <w:rsid w:val="00C627CE"/>
    <w:rsid w:val="00C62996"/>
    <w:rsid w:val="00C64E6B"/>
    <w:rsid w:val="00C656DB"/>
    <w:rsid w:val="00C65A10"/>
    <w:rsid w:val="00C66011"/>
    <w:rsid w:val="00C66508"/>
    <w:rsid w:val="00C665D7"/>
    <w:rsid w:val="00C6737F"/>
    <w:rsid w:val="00C67CE9"/>
    <w:rsid w:val="00C7001E"/>
    <w:rsid w:val="00C70238"/>
    <w:rsid w:val="00C71507"/>
    <w:rsid w:val="00C720B6"/>
    <w:rsid w:val="00C724AB"/>
    <w:rsid w:val="00C72628"/>
    <w:rsid w:val="00C73A60"/>
    <w:rsid w:val="00C74A5B"/>
    <w:rsid w:val="00C74F8B"/>
    <w:rsid w:val="00C771F3"/>
    <w:rsid w:val="00C775B5"/>
    <w:rsid w:val="00C77FA9"/>
    <w:rsid w:val="00C80FFF"/>
    <w:rsid w:val="00C8192A"/>
    <w:rsid w:val="00C83AA1"/>
    <w:rsid w:val="00C842E0"/>
    <w:rsid w:val="00C85126"/>
    <w:rsid w:val="00C86251"/>
    <w:rsid w:val="00C876B9"/>
    <w:rsid w:val="00C9095F"/>
    <w:rsid w:val="00C91E15"/>
    <w:rsid w:val="00C921E1"/>
    <w:rsid w:val="00C933FA"/>
    <w:rsid w:val="00C94E20"/>
    <w:rsid w:val="00C968EC"/>
    <w:rsid w:val="00CA008E"/>
    <w:rsid w:val="00CA1C60"/>
    <w:rsid w:val="00CA2811"/>
    <w:rsid w:val="00CA2E4D"/>
    <w:rsid w:val="00CA3E5A"/>
    <w:rsid w:val="00CA4188"/>
    <w:rsid w:val="00CA4832"/>
    <w:rsid w:val="00CA69A5"/>
    <w:rsid w:val="00CA749A"/>
    <w:rsid w:val="00CA7BE4"/>
    <w:rsid w:val="00CB5F88"/>
    <w:rsid w:val="00CB69AA"/>
    <w:rsid w:val="00CB722E"/>
    <w:rsid w:val="00CB7808"/>
    <w:rsid w:val="00CB79F4"/>
    <w:rsid w:val="00CC06D6"/>
    <w:rsid w:val="00CC100E"/>
    <w:rsid w:val="00CC2B5B"/>
    <w:rsid w:val="00CC432F"/>
    <w:rsid w:val="00CC766C"/>
    <w:rsid w:val="00CC794D"/>
    <w:rsid w:val="00CD2CF9"/>
    <w:rsid w:val="00CD3656"/>
    <w:rsid w:val="00CD4652"/>
    <w:rsid w:val="00CD4AB4"/>
    <w:rsid w:val="00CD5350"/>
    <w:rsid w:val="00CD575B"/>
    <w:rsid w:val="00CD7121"/>
    <w:rsid w:val="00CE046E"/>
    <w:rsid w:val="00CE359A"/>
    <w:rsid w:val="00CE3750"/>
    <w:rsid w:val="00CE4F8C"/>
    <w:rsid w:val="00CE5672"/>
    <w:rsid w:val="00CE596B"/>
    <w:rsid w:val="00CE787D"/>
    <w:rsid w:val="00CF0010"/>
    <w:rsid w:val="00CF0298"/>
    <w:rsid w:val="00CF12A0"/>
    <w:rsid w:val="00CF2098"/>
    <w:rsid w:val="00CF321F"/>
    <w:rsid w:val="00CF33B7"/>
    <w:rsid w:val="00CF3F5C"/>
    <w:rsid w:val="00CF4A52"/>
    <w:rsid w:val="00CF6263"/>
    <w:rsid w:val="00CF63C6"/>
    <w:rsid w:val="00CF6A4F"/>
    <w:rsid w:val="00CF721B"/>
    <w:rsid w:val="00D0013A"/>
    <w:rsid w:val="00D002B2"/>
    <w:rsid w:val="00D014EE"/>
    <w:rsid w:val="00D01990"/>
    <w:rsid w:val="00D02587"/>
    <w:rsid w:val="00D03004"/>
    <w:rsid w:val="00D04B30"/>
    <w:rsid w:val="00D055E2"/>
    <w:rsid w:val="00D1048F"/>
    <w:rsid w:val="00D126C9"/>
    <w:rsid w:val="00D16B46"/>
    <w:rsid w:val="00D20628"/>
    <w:rsid w:val="00D222C8"/>
    <w:rsid w:val="00D254E6"/>
    <w:rsid w:val="00D269E4"/>
    <w:rsid w:val="00D26E08"/>
    <w:rsid w:val="00D26EB5"/>
    <w:rsid w:val="00D30D7D"/>
    <w:rsid w:val="00D30F91"/>
    <w:rsid w:val="00D31050"/>
    <w:rsid w:val="00D3316D"/>
    <w:rsid w:val="00D339E3"/>
    <w:rsid w:val="00D37AD3"/>
    <w:rsid w:val="00D407F9"/>
    <w:rsid w:val="00D43133"/>
    <w:rsid w:val="00D43F44"/>
    <w:rsid w:val="00D448DE"/>
    <w:rsid w:val="00D44D29"/>
    <w:rsid w:val="00D457A8"/>
    <w:rsid w:val="00D463E0"/>
    <w:rsid w:val="00D46BA0"/>
    <w:rsid w:val="00D55AFB"/>
    <w:rsid w:val="00D55F84"/>
    <w:rsid w:val="00D57014"/>
    <w:rsid w:val="00D57AA8"/>
    <w:rsid w:val="00D57F7C"/>
    <w:rsid w:val="00D60256"/>
    <w:rsid w:val="00D61771"/>
    <w:rsid w:val="00D6272A"/>
    <w:rsid w:val="00D666D1"/>
    <w:rsid w:val="00D67206"/>
    <w:rsid w:val="00D674A1"/>
    <w:rsid w:val="00D67C24"/>
    <w:rsid w:val="00D708C5"/>
    <w:rsid w:val="00D70CE4"/>
    <w:rsid w:val="00D739AE"/>
    <w:rsid w:val="00D743AA"/>
    <w:rsid w:val="00D74B6F"/>
    <w:rsid w:val="00D74D29"/>
    <w:rsid w:val="00D76C94"/>
    <w:rsid w:val="00D77BA1"/>
    <w:rsid w:val="00D82580"/>
    <w:rsid w:val="00D8269F"/>
    <w:rsid w:val="00D84572"/>
    <w:rsid w:val="00D8637B"/>
    <w:rsid w:val="00D90546"/>
    <w:rsid w:val="00D906F1"/>
    <w:rsid w:val="00D9268B"/>
    <w:rsid w:val="00D92CF3"/>
    <w:rsid w:val="00D93726"/>
    <w:rsid w:val="00D94B27"/>
    <w:rsid w:val="00D94C95"/>
    <w:rsid w:val="00DA01C4"/>
    <w:rsid w:val="00DA1216"/>
    <w:rsid w:val="00DA170C"/>
    <w:rsid w:val="00DA22CD"/>
    <w:rsid w:val="00DA27C9"/>
    <w:rsid w:val="00DA2A26"/>
    <w:rsid w:val="00DA2AA4"/>
    <w:rsid w:val="00DA3072"/>
    <w:rsid w:val="00DA33EA"/>
    <w:rsid w:val="00DA420A"/>
    <w:rsid w:val="00DB1BEF"/>
    <w:rsid w:val="00DB4595"/>
    <w:rsid w:val="00DB4917"/>
    <w:rsid w:val="00DB60C1"/>
    <w:rsid w:val="00DB7611"/>
    <w:rsid w:val="00DC0147"/>
    <w:rsid w:val="00DC1EF2"/>
    <w:rsid w:val="00DC24DD"/>
    <w:rsid w:val="00DC2B39"/>
    <w:rsid w:val="00DC3112"/>
    <w:rsid w:val="00DC4202"/>
    <w:rsid w:val="00DC54D8"/>
    <w:rsid w:val="00DC70F1"/>
    <w:rsid w:val="00DD0E00"/>
    <w:rsid w:val="00DD1EF0"/>
    <w:rsid w:val="00DD26FE"/>
    <w:rsid w:val="00DD3169"/>
    <w:rsid w:val="00DD32AC"/>
    <w:rsid w:val="00DD6442"/>
    <w:rsid w:val="00DE02EF"/>
    <w:rsid w:val="00DE0C3D"/>
    <w:rsid w:val="00DE3BCA"/>
    <w:rsid w:val="00DE42C1"/>
    <w:rsid w:val="00DE4DC6"/>
    <w:rsid w:val="00DE643D"/>
    <w:rsid w:val="00DF00CD"/>
    <w:rsid w:val="00DF030E"/>
    <w:rsid w:val="00DF38D9"/>
    <w:rsid w:val="00DF418C"/>
    <w:rsid w:val="00DF5399"/>
    <w:rsid w:val="00DF76F6"/>
    <w:rsid w:val="00DF7DC8"/>
    <w:rsid w:val="00E03258"/>
    <w:rsid w:val="00E038F0"/>
    <w:rsid w:val="00E03EF8"/>
    <w:rsid w:val="00E05FA6"/>
    <w:rsid w:val="00E0788D"/>
    <w:rsid w:val="00E079B3"/>
    <w:rsid w:val="00E11EA4"/>
    <w:rsid w:val="00E12AFE"/>
    <w:rsid w:val="00E14B51"/>
    <w:rsid w:val="00E14F5F"/>
    <w:rsid w:val="00E15DD5"/>
    <w:rsid w:val="00E16F5A"/>
    <w:rsid w:val="00E20271"/>
    <w:rsid w:val="00E22150"/>
    <w:rsid w:val="00E22BB8"/>
    <w:rsid w:val="00E22F58"/>
    <w:rsid w:val="00E23AEE"/>
    <w:rsid w:val="00E23EBA"/>
    <w:rsid w:val="00E251F9"/>
    <w:rsid w:val="00E25764"/>
    <w:rsid w:val="00E25ABD"/>
    <w:rsid w:val="00E32656"/>
    <w:rsid w:val="00E32D29"/>
    <w:rsid w:val="00E33EF3"/>
    <w:rsid w:val="00E373CE"/>
    <w:rsid w:val="00E37EC5"/>
    <w:rsid w:val="00E40E6C"/>
    <w:rsid w:val="00E430B3"/>
    <w:rsid w:val="00E43DAE"/>
    <w:rsid w:val="00E51288"/>
    <w:rsid w:val="00E52663"/>
    <w:rsid w:val="00E53261"/>
    <w:rsid w:val="00E53A15"/>
    <w:rsid w:val="00E54602"/>
    <w:rsid w:val="00E5610F"/>
    <w:rsid w:val="00E563BC"/>
    <w:rsid w:val="00E56438"/>
    <w:rsid w:val="00E56D2D"/>
    <w:rsid w:val="00E60189"/>
    <w:rsid w:val="00E60703"/>
    <w:rsid w:val="00E61A64"/>
    <w:rsid w:val="00E622E4"/>
    <w:rsid w:val="00E62866"/>
    <w:rsid w:val="00E66703"/>
    <w:rsid w:val="00E71070"/>
    <w:rsid w:val="00E74F60"/>
    <w:rsid w:val="00E76916"/>
    <w:rsid w:val="00E807EC"/>
    <w:rsid w:val="00E81922"/>
    <w:rsid w:val="00E8192D"/>
    <w:rsid w:val="00E86526"/>
    <w:rsid w:val="00E868FD"/>
    <w:rsid w:val="00E86D7E"/>
    <w:rsid w:val="00E87088"/>
    <w:rsid w:val="00E87B3A"/>
    <w:rsid w:val="00E907BA"/>
    <w:rsid w:val="00E91FBC"/>
    <w:rsid w:val="00E92BFD"/>
    <w:rsid w:val="00E93467"/>
    <w:rsid w:val="00E94B98"/>
    <w:rsid w:val="00E96EB2"/>
    <w:rsid w:val="00E9771D"/>
    <w:rsid w:val="00E978DC"/>
    <w:rsid w:val="00EA02B1"/>
    <w:rsid w:val="00EA0C39"/>
    <w:rsid w:val="00EA247A"/>
    <w:rsid w:val="00EA2DAD"/>
    <w:rsid w:val="00EA31EF"/>
    <w:rsid w:val="00EA426A"/>
    <w:rsid w:val="00EA44C9"/>
    <w:rsid w:val="00EA57B1"/>
    <w:rsid w:val="00EA5E37"/>
    <w:rsid w:val="00EA6088"/>
    <w:rsid w:val="00EA6685"/>
    <w:rsid w:val="00EA728A"/>
    <w:rsid w:val="00EA7C22"/>
    <w:rsid w:val="00EB046D"/>
    <w:rsid w:val="00EB289D"/>
    <w:rsid w:val="00EB327E"/>
    <w:rsid w:val="00EB4563"/>
    <w:rsid w:val="00EB4B93"/>
    <w:rsid w:val="00EB5059"/>
    <w:rsid w:val="00EB57D5"/>
    <w:rsid w:val="00EC0DB0"/>
    <w:rsid w:val="00EC287C"/>
    <w:rsid w:val="00EC3293"/>
    <w:rsid w:val="00EC40C0"/>
    <w:rsid w:val="00EC416A"/>
    <w:rsid w:val="00EC5A4B"/>
    <w:rsid w:val="00EC7C45"/>
    <w:rsid w:val="00ED09B5"/>
    <w:rsid w:val="00ED100F"/>
    <w:rsid w:val="00ED258E"/>
    <w:rsid w:val="00ED353E"/>
    <w:rsid w:val="00ED3B9A"/>
    <w:rsid w:val="00ED4CA4"/>
    <w:rsid w:val="00ED5982"/>
    <w:rsid w:val="00ED64CC"/>
    <w:rsid w:val="00ED76FA"/>
    <w:rsid w:val="00EE118E"/>
    <w:rsid w:val="00EE1484"/>
    <w:rsid w:val="00EE1765"/>
    <w:rsid w:val="00EE4940"/>
    <w:rsid w:val="00EE51C0"/>
    <w:rsid w:val="00EE53B7"/>
    <w:rsid w:val="00EE61DB"/>
    <w:rsid w:val="00EE6F06"/>
    <w:rsid w:val="00EE78E9"/>
    <w:rsid w:val="00EE7D6C"/>
    <w:rsid w:val="00EF23BE"/>
    <w:rsid w:val="00EF2AB9"/>
    <w:rsid w:val="00EF4439"/>
    <w:rsid w:val="00EF4B22"/>
    <w:rsid w:val="00EF5455"/>
    <w:rsid w:val="00EF6894"/>
    <w:rsid w:val="00EF6E60"/>
    <w:rsid w:val="00EF7CAD"/>
    <w:rsid w:val="00F00BED"/>
    <w:rsid w:val="00F0128C"/>
    <w:rsid w:val="00F038CA"/>
    <w:rsid w:val="00F05CA4"/>
    <w:rsid w:val="00F06E62"/>
    <w:rsid w:val="00F107F3"/>
    <w:rsid w:val="00F10D7A"/>
    <w:rsid w:val="00F13947"/>
    <w:rsid w:val="00F1577C"/>
    <w:rsid w:val="00F15A3E"/>
    <w:rsid w:val="00F15ADC"/>
    <w:rsid w:val="00F169CD"/>
    <w:rsid w:val="00F170B0"/>
    <w:rsid w:val="00F17E3C"/>
    <w:rsid w:val="00F203B7"/>
    <w:rsid w:val="00F20C6E"/>
    <w:rsid w:val="00F2257D"/>
    <w:rsid w:val="00F22A70"/>
    <w:rsid w:val="00F23435"/>
    <w:rsid w:val="00F24BE8"/>
    <w:rsid w:val="00F265F0"/>
    <w:rsid w:val="00F31D75"/>
    <w:rsid w:val="00F31EB8"/>
    <w:rsid w:val="00F340F8"/>
    <w:rsid w:val="00F3554E"/>
    <w:rsid w:val="00F35A90"/>
    <w:rsid w:val="00F37FA0"/>
    <w:rsid w:val="00F40E40"/>
    <w:rsid w:val="00F40E70"/>
    <w:rsid w:val="00F41366"/>
    <w:rsid w:val="00F421BE"/>
    <w:rsid w:val="00F42780"/>
    <w:rsid w:val="00F43CC8"/>
    <w:rsid w:val="00F44C66"/>
    <w:rsid w:val="00F459D3"/>
    <w:rsid w:val="00F45C48"/>
    <w:rsid w:val="00F521B2"/>
    <w:rsid w:val="00F527E6"/>
    <w:rsid w:val="00F53099"/>
    <w:rsid w:val="00F54AFA"/>
    <w:rsid w:val="00F54C0E"/>
    <w:rsid w:val="00F57656"/>
    <w:rsid w:val="00F57D41"/>
    <w:rsid w:val="00F63E63"/>
    <w:rsid w:val="00F64C7F"/>
    <w:rsid w:val="00F64DFF"/>
    <w:rsid w:val="00F656F7"/>
    <w:rsid w:val="00F65F2D"/>
    <w:rsid w:val="00F66CA7"/>
    <w:rsid w:val="00F66D36"/>
    <w:rsid w:val="00F67B17"/>
    <w:rsid w:val="00F73B2B"/>
    <w:rsid w:val="00F77E69"/>
    <w:rsid w:val="00F82E33"/>
    <w:rsid w:val="00F8313C"/>
    <w:rsid w:val="00F845BF"/>
    <w:rsid w:val="00F84D84"/>
    <w:rsid w:val="00F85420"/>
    <w:rsid w:val="00F87B74"/>
    <w:rsid w:val="00F900CA"/>
    <w:rsid w:val="00F90118"/>
    <w:rsid w:val="00F9030D"/>
    <w:rsid w:val="00F90C08"/>
    <w:rsid w:val="00F90F6B"/>
    <w:rsid w:val="00F91B05"/>
    <w:rsid w:val="00F92A79"/>
    <w:rsid w:val="00F92EED"/>
    <w:rsid w:val="00F93568"/>
    <w:rsid w:val="00F9534A"/>
    <w:rsid w:val="00F975BB"/>
    <w:rsid w:val="00FA1AD7"/>
    <w:rsid w:val="00FA2E7F"/>
    <w:rsid w:val="00FA2EDF"/>
    <w:rsid w:val="00FA3369"/>
    <w:rsid w:val="00FA56B9"/>
    <w:rsid w:val="00FA585F"/>
    <w:rsid w:val="00FA68E5"/>
    <w:rsid w:val="00FA6E57"/>
    <w:rsid w:val="00FB049E"/>
    <w:rsid w:val="00FB28F9"/>
    <w:rsid w:val="00FB2D8C"/>
    <w:rsid w:val="00FB3AC8"/>
    <w:rsid w:val="00FB3AFB"/>
    <w:rsid w:val="00FB3B64"/>
    <w:rsid w:val="00FB3D0E"/>
    <w:rsid w:val="00FB5BD1"/>
    <w:rsid w:val="00FB5C7E"/>
    <w:rsid w:val="00FB6943"/>
    <w:rsid w:val="00FB7047"/>
    <w:rsid w:val="00FB777A"/>
    <w:rsid w:val="00FB790B"/>
    <w:rsid w:val="00FB7A1A"/>
    <w:rsid w:val="00FC0E4C"/>
    <w:rsid w:val="00FC1D6D"/>
    <w:rsid w:val="00FC27E3"/>
    <w:rsid w:val="00FC296E"/>
    <w:rsid w:val="00FC2D74"/>
    <w:rsid w:val="00FC386F"/>
    <w:rsid w:val="00FC3CA5"/>
    <w:rsid w:val="00FC3CFD"/>
    <w:rsid w:val="00FC41C0"/>
    <w:rsid w:val="00FC4C3A"/>
    <w:rsid w:val="00FC5680"/>
    <w:rsid w:val="00FC56A8"/>
    <w:rsid w:val="00FC70C6"/>
    <w:rsid w:val="00FC7EB6"/>
    <w:rsid w:val="00FD0031"/>
    <w:rsid w:val="00FD0FD4"/>
    <w:rsid w:val="00FD140B"/>
    <w:rsid w:val="00FD1B76"/>
    <w:rsid w:val="00FD3A37"/>
    <w:rsid w:val="00FD3EB3"/>
    <w:rsid w:val="00FD424C"/>
    <w:rsid w:val="00FD5C48"/>
    <w:rsid w:val="00FD5E11"/>
    <w:rsid w:val="00FD685C"/>
    <w:rsid w:val="00FD6B32"/>
    <w:rsid w:val="00FD6DA0"/>
    <w:rsid w:val="00FD7B69"/>
    <w:rsid w:val="00FE03D4"/>
    <w:rsid w:val="00FE0F42"/>
    <w:rsid w:val="00FE1560"/>
    <w:rsid w:val="00FE2615"/>
    <w:rsid w:val="00FE343B"/>
    <w:rsid w:val="00FE4204"/>
    <w:rsid w:val="00FE5707"/>
    <w:rsid w:val="00FE64EC"/>
    <w:rsid w:val="00FE6E86"/>
    <w:rsid w:val="00FE6F60"/>
    <w:rsid w:val="00FE7890"/>
    <w:rsid w:val="00FF18BC"/>
    <w:rsid w:val="00FF281B"/>
    <w:rsid w:val="00FF38BA"/>
    <w:rsid w:val="00FF437B"/>
    <w:rsid w:val="00FF57BD"/>
    <w:rsid w:val="00FF6124"/>
    <w:rsid w:val="00FF74BA"/>
    <w:rsid w:val="00FF76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BC5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pPr>
        <w:spacing w:after="120" w:line="360"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779BE"/>
    <w:rPr>
      <w:sz w:val="24"/>
      <w:szCs w:val="24"/>
    </w:rPr>
  </w:style>
  <w:style w:type="paragraph" w:styleId="Heading1">
    <w:name w:val="heading 1"/>
    <w:basedOn w:val="HC"/>
    <w:next w:val="Normal"/>
    <w:link w:val="Heading1Char"/>
    <w:uiPriority w:val="9"/>
    <w:qFormat/>
    <w:rsid w:val="00AC7A9A"/>
    <w:pPr>
      <w:outlineLvl w:val="0"/>
    </w:pPr>
  </w:style>
  <w:style w:type="paragraph" w:styleId="Heading2">
    <w:name w:val="heading 2"/>
    <w:basedOn w:val="HP"/>
    <w:next w:val="Normal"/>
    <w:link w:val="Heading2Char"/>
    <w:uiPriority w:val="9"/>
    <w:qFormat/>
    <w:rsid w:val="00AC7A9A"/>
    <w:pPr>
      <w:pageBreakBefore/>
      <w:outlineLvl w:val="1"/>
    </w:pPr>
  </w:style>
  <w:style w:type="paragraph" w:styleId="Heading3">
    <w:name w:val="heading 3"/>
    <w:basedOn w:val="HD"/>
    <w:next w:val="Normal"/>
    <w:link w:val="Heading3Char"/>
    <w:uiPriority w:val="9"/>
    <w:qFormat/>
    <w:rsid w:val="00AC7A9A"/>
    <w:pPr>
      <w:outlineLvl w:val="2"/>
    </w:pPr>
  </w:style>
  <w:style w:type="paragraph" w:styleId="Heading4">
    <w:name w:val="heading 4"/>
    <w:basedOn w:val="Normal"/>
    <w:next w:val="Normal"/>
    <w:link w:val="Heading4Char"/>
    <w:uiPriority w:val="9"/>
    <w:qFormat/>
    <w:rsid w:val="00EF6894"/>
    <w:pPr>
      <w:keepNext/>
      <w:spacing w:before="240" w:after="60"/>
      <w:outlineLvl w:val="3"/>
    </w:pPr>
    <w:rPr>
      <w:b/>
      <w:bCs/>
      <w:sz w:val="28"/>
      <w:szCs w:val="28"/>
    </w:rPr>
  </w:style>
  <w:style w:type="paragraph" w:styleId="Heading5">
    <w:name w:val="heading 5"/>
    <w:basedOn w:val="Normal"/>
    <w:next w:val="Normal"/>
    <w:link w:val="Heading5Char"/>
    <w:uiPriority w:val="9"/>
    <w:qFormat/>
    <w:rsid w:val="00EF6894"/>
    <w:pPr>
      <w:spacing w:before="240" w:after="60"/>
      <w:outlineLvl w:val="4"/>
    </w:pPr>
    <w:rPr>
      <w:b/>
      <w:bCs/>
      <w:i/>
      <w:iCs/>
      <w:sz w:val="26"/>
      <w:szCs w:val="26"/>
    </w:rPr>
  </w:style>
  <w:style w:type="paragraph" w:styleId="Heading6">
    <w:name w:val="heading 6"/>
    <w:basedOn w:val="Normal"/>
    <w:next w:val="Normal"/>
    <w:link w:val="Heading6Char"/>
    <w:qFormat/>
    <w:rsid w:val="00EF6894"/>
    <w:pPr>
      <w:spacing w:before="240" w:after="60"/>
      <w:outlineLvl w:val="5"/>
    </w:pPr>
    <w:rPr>
      <w:b/>
      <w:bCs/>
      <w:sz w:val="22"/>
      <w:szCs w:val="22"/>
    </w:rPr>
  </w:style>
  <w:style w:type="paragraph" w:styleId="Heading7">
    <w:name w:val="heading 7"/>
    <w:basedOn w:val="Normal"/>
    <w:next w:val="Normal"/>
    <w:link w:val="Heading7Char"/>
    <w:uiPriority w:val="9"/>
    <w:qFormat/>
    <w:rsid w:val="00EF6894"/>
    <w:pPr>
      <w:spacing w:before="240" w:after="60"/>
      <w:outlineLvl w:val="6"/>
    </w:pPr>
  </w:style>
  <w:style w:type="paragraph" w:styleId="Heading8">
    <w:name w:val="heading 8"/>
    <w:basedOn w:val="Normal"/>
    <w:next w:val="Normal"/>
    <w:link w:val="Heading8Char"/>
    <w:uiPriority w:val="9"/>
    <w:qFormat/>
    <w:rsid w:val="00EF6894"/>
    <w:pPr>
      <w:spacing w:before="240" w:after="60"/>
      <w:outlineLvl w:val="7"/>
    </w:pPr>
    <w:rPr>
      <w:i/>
      <w:iCs/>
    </w:rPr>
  </w:style>
  <w:style w:type="paragraph" w:styleId="Heading9">
    <w:name w:val="heading 9"/>
    <w:basedOn w:val="Normal"/>
    <w:next w:val="Normal"/>
    <w:link w:val="Heading9Char"/>
    <w:uiPriority w:val="9"/>
    <w:qFormat/>
    <w:rsid w:val="00EF689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5830"/>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locked/>
    <w:rsid w:val="00AC7A9A"/>
    <w:rPr>
      <w:rFonts w:ascii="Arial" w:hAnsi="Arial" w:cs="Times New Roman"/>
      <w:b/>
      <w:sz w:val="24"/>
      <w:szCs w:val="24"/>
    </w:rPr>
  </w:style>
  <w:style w:type="character" w:customStyle="1" w:styleId="Heading3Char">
    <w:name w:val="Heading 3 Char"/>
    <w:basedOn w:val="DefaultParagraphFont"/>
    <w:link w:val="Heading3"/>
    <w:uiPriority w:val="9"/>
    <w:rsid w:val="008F5830"/>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8F583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8F5830"/>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8F5830"/>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rsid w:val="008F5830"/>
    <w:rPr>
      <w:rFonts w:ascii="Calibri" w:eastAsia="Times New Roman" w:hAnsi="Calibri" w:cs="Times New Roman"/>
      <w:sz w:val="24"/>
      <w:szCs w:val="24"/>
    </w:rPr>
  </w:style>
  <w:style w:type="character" w:customStyle="1" w:styleId="Heading8Char">
    <w:name w:val="Heading 8 Char"/>
    <w:basedOn w:val="DefaultParagraphFont"/>
    <w:link w:val="Heading8"/>
    <w:uiPriority w:val="9"/>
    <w:rsid w:val="008F583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8F5830"/>
    <w:rPr>
      <w:rFonts w:ascii="Cambria" w:eastAsia="Times New Roman" w:hAnsi="Cambria" w:cs="Times New Roman"/>
      <w:sz w:val="22"/>
      <w:szCs w:val="22"/>
    </w:rPr>
  </w:style>
  <w:style w:type="paragraph" w:customStyle="1" w:styleId="HeaderBoldEven">
    <w:name w:val="HeaderBoldEven"/>
    <w:basedOn w:val="Normal"/>
    <w:rsid w:val="00EF6894"/>
    <w:pPr>
      <w:spacing w:before="120" w:after="60"/>
    </w:pPr>
    <w:rPr>
      <w:rFonts w:ascii="Arial" w:hAnsi="Arial"/>
      <w:b/>
      <w:sz w:val="20"/>
    </w:rPr>
  </w:style>
  <w:style w:type="paragraph" w:customStyle="1" w:styleId="HeaderBoldOdd">
    <w:name w:val="HeaderBoldOdd"/>
    <w:basedOn w:val="Normal"/>
    <w:rsid w:val="00EF6894"/>
    <w:pPr>
      <w:spacing w:before="120" w:after="60"/>
      <w:jc w:val="right"/>
    </w:pPr>
    <w:rPr>
      <w:rFonts w:ascii="Arial" w:hAnsi="Arial"/>
      <w:b/>
      <w:sz w:val="20"/>
    </w:rPr>
  </w:style>
  <w:style w:type="paragraph" w:customStyle="1" w:styleId="HeaderLiteEven">
    <w:name w:val="HeaderLiteEven"/>
    <w:basedOn w:val="Normal"/>
    <w:rsid w:val="00EF6894"/>
    <w:pPr>
      <w:tabs>
        <w:tab w:val="center" w:pos="3969"/>
        <w:tab w:val="right" w:pos="8505"/>
      </w:tabs>
      <w:spacing w:before="60"/>
    </w:pPr>
    <w:rPr>
      <w:rFonts w:ascii="Arial" w:hAnsi="Arial"/>
      <w:sz w:val="18"/>
    </w:rPr>
  </w:style>
  <w:style w:type="paragraph" w:customStyle="1" w:styleId="HeaderContentsPage">
    <w:name w:val="HeaderContents&quot;Page&quot;"/>
    <w:basedOn w:val="Normal"/>
    <w:rsid w:val="00EF6894"/>
    <w:pPr>
      <w:spacing w:before="120"/>
      <w:jc w:val="right"/>
    </w:pPr>
    <w:rPr>
      <w:rFonts w:ascii="Arial" w:hAnsi="Arial"/>
      <w:sz w:val="20"/>
    </w:rPr>
  </w:style>
  <w:style w:type="paragraph" w:customStyle="1" w:styleId="HeaderLiteOdd">
    <w:name w:val="HeaderLiteOdd"/>
    <w:basedOn w:val="Normal"/>
    <w:rsid w:val="00EF6894"/>
    <w:pPr>
      <w:tabs>
        <w:tab w:val="center" w:pos="3969"/>
        <w:tab w:val="right" w:pos="8505"/>
      </w:tabs>
      <w:spacing w:before="60"/>
      <w:jc w:val="right"/>
    </w:pPr>
    <w:rPr>
      <w:rFonts w:ascii="Arial" w:hAnsi="Arial"/>
      <w:sz w:val="18"/>
    </w:rPr>
  </w:style>
  <w:style w:type="paragraph" w:styleId="Footer">
    <w:name w:val="footer"/>
    <w:basedOn w:val="Normal"/>
    <w:link w:val="FooterChar"/>
    <w:uiPriority w:val="99"/>
    <w:rsid w:val="00EF6894"/>
    <w:pPr>
      <w:tabs>
        <w:tab w:val="center" w:pos="3600"/>
        <w:tab w:val="right" w:pos="7201"/>
      </w:tabs>
      <w:jc w:val="center"/>
    </w:pPr>
    <w:rPr>
      <w:rFonts w:ascii="Arial" w:hAnsi="Arial"/>
      <w:i/>
      <w:sz w:val="18"/>
      <w:szCs w:val="18"/>
    </w:rPr>
  </w:style>
  <w:style w:type="character" w:customStyle="1" w:styleId="FooterChar">
    <w:name w:val="Footer Char"/>
    <w:basedOn w:val="DefaultParagraphFont"/>
    <w:link w:val="Footer"/>
    <w:uiPriority w:val="99"/>
    <w:rsid w:val="008F5830"/>
    <w:rPr>
      <w:sz w:val="24"/>
      <w:szCs w:val="24"/>
    </w:rPr>
  </w:style>
  <w:style w:type="paragraph" w:customStyle="1" w:styleId="FooterDraft">
    <w:name w:val="FooterDraft"/>
    <w:basedOn w:val="Normal"/>
    <w:rsid w:val="00EF6894"/>
    <w:pPr>
      <w:jc w:val="center"/>
    </w:pPr>
    <w:rPr>
      <w:rFonts w:ascii="Arial" w:hAnsi="Arial"/>
      <w:b/>
      <w:sz w:val="40"/>
    </w:rPr>
  </w:style>
  <w:style w:type="paragraph" w:customStyle="1" w:styleId="FooterInfo">
    <w:name w:val="FooterInfo"/>
    <w:basedOn w:val="Normal"/>
    <w:rsid w:val="00EF6894"/>
    <w:rPr>
      <w:rFonts w:ascii="Arial" w:hAnsi="Arial"/>
      <w:sz w:val="12"/>
    </w:rPr>
  </w:style>
  <w:style w:type="paragraph" w:styleId="BlockText">
    <w:name w:val="Block Text"/>
    <w:basedOn w:val="Normal"/>
    <w:rsid w:val="00EF6894"/>
    <w:pPr>
      <w:ind w:left="1440" w:right="1440"/>
    </w:pPr>
  </w:style>
  <w:style w:type="paragraph" w:styleId="BodyText">
    <w:name w:val="Body Text"/>
    <w:basedOn w:val="Normal"/>
    <w:link w:val="BodyTextChar"/>
    <w:rsid w:val="00EF6894"/>
  </w:style>
  <w:style w:type="character" w:customStyle="1" w:styleId="BodyTextChar">
    <w:name w:val="Body Text Char"/>
    <w:basedOn w:val="DefaultParagraphFont"/>
    <w:link w:val="BodyText"/>
    <w:uiPriority w:val="99"/>
    <w:semiHidden/>
    <w:rsid w:val="008F5830"/>
    <w:rPr>
      <w:sz w:val="24"/>
      <w:szCs w:val="24"/>
    </w:rPr>
  </w:style>
  <w:style w:type="paragraph" w:styleId="BodyText2">
    <w:name w:val="Body Text 2"/>
    <w:basedOn w:val="Normal"/>
    <w:link w:val="BodyText2Char"/>
    <w:rsid w:val="00EF6894"/>
    <w:pPr>
      <w:spacing w:line="480" w:lineRule="auto"/>
    </w:pPr>
  </w:style>
  <w:style w:type="character" w:customStyle="1" w:styleId="BodyText2Char">
    <w:name w:val="Body Text 2 Char"/>
    <w:basedOn w:val="DefaultParagraphFont"/>
    <w:link w:val="BodyText2"/>
    <w:uiPriority w:val="99"/>
    <w:semiHidden/>
    <w:rsid w:val="008F5830"/>
    <w:rPr>
      <w:sz w:val="24"/>
      <w:szCs w:val="24"/>
    </w:rPr>
  </w:style>
  <w:style w:type="paragraph" w:styleId="BodyText3">
    <w:name w:val="Body Text 3"/>
    <w:basedOn w:val="Normal"/>
    <w:link w:val="BodyText3Char"/>
    <w:rsid w:val="00EF6894"/>
    <w:rPr>
      <w:sz w:val="16"/>
      <w:szCs w:val="16"/>
    </w:rPr>
  </w:style>
  <w:style w:type="character" w:customStyle="1" w:styleId="BodyText3Char">
    <w:name w:val="Body Text 3 Char"/>
    <w:basedOn w:val="DefaultParagraphFont"/>
    <w:link w:val="BodyText3"/>
    <w:uiPriority w:val="99"/>
    <w:semiHidden/>
    <w:rsid w:val="008F5830"/>
    <w:rPr>
      <w:sz w:val="16"/>
      <w:szCs w:val="16"/>
    </w:rPr>
  </w:style>
  <w:style w:type="paragraph" w:styleId="BodyTextFirstIndent">
    <w:name w:val="Body Text First Indent"/>
    <w:basedOn w:val="BodyText"/>
    <w:link w:val="BodyTextFirstIndentChar"/>
    <w:rsid w:val="00EF6894"/>
    <w:pPr>
      <w:ind w:firstLine="210"/>
    </w:pPr>
  </w:style>
  <w:style w:type="character" w:customStyle="1" w:styleId="BodyTextFirstIndentChar">
    <w:name w:val="Body Text First Indent Char"/>
    <w:basedOn w:val="BodyTextChar"/>
    <w:link w:val="BodyTextFirstIndent"/>
    <w:rsid w:val="008F5830"/>
    <w:rPr>
      <w:sz w:val="24"/>
      <w:szCs w:val="24"/>
    </w:rPr>
  </w:style>
  <w:style w:type="paragraph" w:styleId="BodyTextIndent">
    <w:name w:val="Body Text Indent"/>
    <w:basedOn w:val="Normal"/>
    <w:link w:val="BodyTextIndentChar"/>
    <w:rsid w:val="00EF6894"/>
    <w:pPr>
      <w:ind w:left="283"/>
    </w:pPr>
  </w:style>
  <w:style w:type="character" w:customStyle="1" w:styleId="BodyTextIndentChar">
    <w:name w:val="Body Text Indent Char"/>
    <w:basedOn w:val="DefaultParagraphFont"/>
    <w:link w:val="BodyTextIndent"/>
    <w:uiPriority w:val="99"/>
    <w:semiHidden/>
    <w:rsid w:val="008F5830"/>
    <w:rPr>
      <w:sz w:val="24"/>
      <w:szCs w:val="24"/>
    </w:rPr>
  </w:style>
  <w:style w:type="paragraph" w:styleId="BodyTextFirstIndent2">
    <w:name w:val="Body Text First Indent 2"/>
    <w:basedOn w:val="BodyTextIndent"/>
    <w:link w:val="BodyTextFirstIndent2Char"/>
    <w:rsid w:val="00EF6894"/>
    <w:pPr>
      <w:ind w:firstLine="210"/>
    </w:pPr>
  </w:style>
  <w:style w:type="character" w:customStyle="1" w:styleId="BodyTextFirstIndent2Char">
    <w:name w:val="Body Text First Indent 2 Char"/>
    <w:basedOn w:val="BodyTextIndentChar"/>
    <w:link w:val="BodyTextFirstIndent2"/>
    <w:uiPriority w:val="99"/>
    <w:semiHidden/>
    <w:rsid w:val="008F5830"/>
    <w:rPr>
      <w:sz w:val="24"/>
      <w:szCs w:val="24"/>
    </w:rPr>
  </w:style>
  <w:style w:type="paragraph" w:styleId="BodyTextIndent2">
    <w:name w:val="Body Text Indent 2"/>
    <w:basedOn w:val="Normal"/>
    <w:link w:val="BodyTextIndent2Char"/>
    <w:rsid w:val="00EF6894"/>
    <w:pPr>
      <w:spacing w:line="480" w:lineRule="auto"/>
      <w:ind w:left="283"/>
    </w:pPr>
  </w:style>
  <w:style w:type="character" w:customStyle="1" w:styleId="BodyTextIndent2Char">
    <w:name w:val="Body Text Indent 2 Char"/>
    <w:basedOn w:val="DefaultParagraphFont"/>
    <w:link w:val="BodyTextIndent2"/>
    <w:uiPriority w:val="99"/>
    <w:semiHidden/>
    <w:rsid w:val="008F5830"/>
    <w:rPr>
      <w:sz w:val="24"/>
      <w:szCs w:val="24"/>
    </w:rPr>
  </w:style>
  <w:style w:type="paragraph" w:styleId="BodyTextIndent3">
    <w:name w:val="Body Text Indent 3"/>
    <w:basedOn w:val="Normal"/>
    <w:link w:val="BodyTextIndent3Char"/>
    <w:rsid w:val="00EF6894"/>
    <w:pPr>
      <w:ind w:left="283"/>
    </w:pPr>
    <w:rPr>
      <w:sz w:val="16"/>
      <w:szCs w:val="16"/>
    </w:rPr>
  </w:style>
  <w:style w:type="character" w:customStyle="1" w:styleId="BodyTextIndent3Char">
    <w:name w:val="Body Text Indent 3 Char"/>
    <w:basedOn w:val="DefaultParagraphFont"/>
    <w:link w:val="BodyTextIndent3"/>
    <w:uiPriority w:val="99"/>
    <w:semiHidden/>
    <w:rsid w:val="008F5830"/>
    <w:rPr>
      <w:sz w:val="16"/>
      <w:szCs w:val="16"/>
    </w:rPr>
  </w:style>
  <w:style w:type="paragraph" w:styleId="Closing">
    <w:name w:val="Closing"/>
    <w:basedOn w:val="Normal"/>
    <w:link w:val="ClosingChar"/>
    <w:rsid w:val="00EF6894"/>
    <w:pPr>
      <w:ind w:left="4252"/>
    </w:pPr>
  </w:style>
  <w:style w:type="character" w:customStyle="1" w:styleId="ClosingChar">
    <w:name w:val="Closing Char"/>
    <w:basedOn w:val="DefaultParagraphFont"/>
    <w:link w:val="Closing"/>
    <w:uiPriority w:val="99"/>
    <w:semiHidden/>
    <w:rsid w:val="008F5830"/>
    <w:rPr>
      <w:sz w:val="24"/>
      <w:szCs w:val="24"/>
    </w:rPr>
  </w:style>
  <w:style w:type="paragraph" w:styleId="Date">
    <w:name w:val="Date"/>
    <w:basedOn w:val="Normal"/>
    <w:next w:val="Normal"/>
    <w:link w:val="DateChar"/>
    <w:rsid w:val="00EF6894"/>
  </w:style>
  <w:style w:type="character" w:customStyle="1" w:styleId="DateChar">
    <w:name w:val="Date Char"/>
    <w:basedOn w:val="DefaultParagraphFont"/>
    <w:link w:val="Date"/>
    <w:uiPriority w:val="99"/>
    <w:semiHidden/>
    <w:rsid w:val="008F5830"/>
    <w:rPr>
      <w:sz w:val="24"/>
      <w:szCs w:val="24"/>
    </w:rPr>
  </w:style>
  <w:style w:type="paragraph" w:styleId="E-mailSignature">
    <w:name w:val="E-mail Signature"/>
    <w:basedOn w:val="Normal"/>
    <w:link w:val="E-mailSignatureChar"/>
    <w:rsid w:val="00EF6894"/>
  </w:style>
  <w:style w:type="character" w:customStyle="1" w:styleId="E-mailSignatureChar">
    <w:name w:val="E-mail Signature Char"/>
    <w:basedOn w:val="DefaultParagraphFont"/>
    <w:link w:val="E-mailSignature"/>
    <w:uiPriority w:val="99"/>
    <w:semiHidden/>
    <w:rsid w:val="008F5830"/>
    <w:rPr>
      <w:sz w:val="24"/>
      <w:szCs w:val="24"/>
    </w:rPr>
  </w:style>
  <w:style w:type="character" w:styleId="Emphasis">
    <w:name w:val="Emphasis"/>
    <w:basedOn w:val="DefaultParagraphFont"/>
    <w:qFormat/>
    <w:rsid w:val="00EF6894"/>
    <w:rPr>
      <w:rFonts w:cs="Times New Roman"/>
      <w:i/>
      <w:iCs/>
    </w:rPr>
  </w:style>
  <w:style w:type="paragraph" w:styleId="EnvelopeAddress">
    <w:name w:val="envelope address"/>
    <w:basedOn w:val="Normal"/>
    <w:rsid w:val="00EF6894"/>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EF6894"/>
    <w:rPr>
      <w:rFonts w:ascii="Arial" w:hAnsi="Arial" w:cs="Arial"/>
      <w:sz w:val="20"/>
      <w:szCs w:val="20"/>
    </w:rPr>
  </w:style>
  <w:style w:type="character" w:styleId="FollowedHyperlink">
    <w:name w:val="FollowedHyperlink"/>
    <w:basedOn w:val="DefaultParagraphFont"/>
    <w:rsid w:val="00EF6894"/>
    <w:rPr>
      <w:rFonts w:cs="Times New Roman"/>
      <w:color w:val="800080"/>
      <w:u w:val="single"/>
    </w:rPr>
  </w:style>
  <w:style w:type="paragraph" w:styleId="Header">
    <w:name w:val="header"/>
    <w:basedOn w:val="Normal"/>
    <w:link w:val="HeaderChar"/>
    <w:uiPriority w:val="99"/>
    <w:rsid w:val="00EF6894"/>
    <w:pPr>
      <w:tabs>
        <w:tab w:val="center" w:pos="3969"/>
        <w:tab w:val="right" w:pos="8505"/>
      </w:tabs>
      <w:jc w:val="both"/>
    </w:pPr>
    <w:rPr>
      <w:rFonts w:ascii="Arial" w:hAnsi="Arial"/>
      <w:sz w:val="16"/>
    </w:rPr>
  </w:style>
  <w:style w:type="character" w:customStyle="1" w:styleId="HeaderChar">
    <w:name w:val="Header Char"/>
    <w:basedOn w:val="DefaultParagraphFont"/>
    <w:link w:val="Header"/>
    <w:uiPriority w:val="99"/>
    <w:rsid w:val="008F5830"/>
    <w:rPr>
      <w:sz w:val="24"/>
      <w:szCs w:val="24"/>
    </w:rPr>
  </w:style>
  <w:style w:type="character" w:styleId="HTMLAcronym">
    <w:name w:val="HTML Acronym"/>
    <w:basedOn w:val="DefaultParagraphFont"/>
    <w:rsid w:val="00EF6894"/>
    <w:rPr>
      <w:rFonts w:cs="Times New Roman"/>
    </w:rPr>
  </w:style>
  <w:style w:type="paragraph" w:styleId="HTMLAddress">
    <w:name w:val="HTML Address"/>
    <w:basedOn w:val="Normal"/>
    <w:link w:val="HTMLAddressChar"/>
    <w:rsid w:val="00EF6894"/>
    <w:rPr>
      <w:i/>
      <w:iCs/>
    </w:rPr>
  </w:style>
  <w:style w:type="character" w:customStyle="1" w:styleId="HTMLAddressChar">
    <w:name w:val="HTML Address Char"/>
    <w:basedOn w:val="DefaultParagraphFont"/>
    <w:link w:val="HTMLAddress"/>
    <w:uiPriority w:val="99"/>
    <w:semiHidden/>
    <w:rsid w:val="008F5830"/>
    <w:rPr>
      <w:i/>
      <w:iCs/>
      <w:sz w:val="24"/>
      <w:szCs w:val="24"/>
    </w:rPr>
  </w:style>
  <w:style w:type="character" w:styleId="HTMLCite">
    <w:name w:val="HTML Cite"/>
    <w:basedOn w:val="DefaultParagraphFont"/>
    <w:rsid w:val="00EF6894"/>
    <w:rPr>
      <w:rFonts w:cs="Times New Roman"/>
      <w:i/>
      <w:iCs/>
    </w:rPr>
  </w:style>
  <w:style w:type="character" w:styleId="HTMLCode">
    <w:name w:val="HTML Code"/>
    <w:basedOn w:val="DefaultParagraphFont"/>
    <w:rsid w:val="00EF6894"/>
    <w:rPr>
      <w:rFonts w:ascii="Courier New" w:hAnsi="Courier New" w:cs="Courier New"/>
      <w:sz w:val="20"/>
      <w:szCs w:val="20"/>
    </w:rPr>
  </w:style>
  <w:style w:type="character" w:styleId="HTMLDefinition">
    <w:name w:val="HTML Definition"/>
    <w:basedOn w:val="DefaultParagraphFont"/>
    <w:rsid w:val="00EF6894"/>
    <w:rPr>
      <w:rFonts w:cs="Times New Roman"/>
      <w:i/>
      <w:iCs/>
    </w:rPr>
  </w:style>
  <w:style w:type="character" w:styleId="HTMLKeyboard">
    <w:name w:val="HTML Keyboard"/>
    <w:basedOn w:val="DefaultParagraphFont"/>
    <w:rsid w:val="00EF6894"/>
    <w:rPr>
      <w:rFonts w:ascii="Courier New" w:hAnsi="Courier New" w:cs="Courier New"/>
      <w:sz w:val="20"/>
      <w:szCs w:val="20"/>
    </w:rPr>
  </w:style>
  <w:style w:type="paragraph" w:styleId="HTMLPreformatted">
    <w:name w:val="HTML Preformatted"/>
    <w:basedOn w:val="Normal"/>
    <w:link w:val="HTMLPreformattedChar"/>
    <w:uiPriority w:val="99"/>
    <w:rsid w:val="00EF6894"/>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F5830"/>
    <w:rPr>
      <w:rFonts w:ascii="Courier New" w:hAnsi="Courier New" w:cs="Courier New"/>
    </w:rPr>
  </w:style>
  <w:style w:type="character" w:styleId="HTMLSample">
    <w:name w:val="HTML Sample"/>
    <w:basedOn w:val="DefaultParagraphFont"/>
    <w:rsid w:val="00EF6894"/>
    <w:rPr>
      <w:rFonts w:ascii="Courier New" w:hAnsi="Courier New" w:cs="Courier New"/>
    </w:rPr>
  </w:style>
  <w:style w:type="character" w:styleId="HTMLTypewriter">
    <w:name w:val="HTML Typewriter"/>
    <w:basedOn w:val="DefaultParagraphFont"/>
    <w:rsid w:val="00EF6894"/>
    <w:rPr>
      <w:rFonts w:ascii="Courier New" w:hAnsi="Courier New" w:cs="Courier New"/>
      <w:sz w:val="20"/>
      <w:szCs w:val="20"/>
    </w:rPr>
  </w:style>
  <w:style w:type="character" w:styleId="HTMLVariable">
    <w:name w:val="HTML Variable"/>
    <w:basedOn w:val="DefaultParagraphFont"/>
    <w:rsid w:val="00EF6894"/>
    <w:rPr>
      <w:rFonts w:cs="Times New Roman"/>
      <w:i/>
      <w:iCs/>
    </w:rPr>
  </w:style>
  <w:style w:type="character" w:styleId="Hyperlink">
    <w:name w:val="Hyperlink"/>
    <w:basedOn w:val="DefaultParagraphFont"/>
    <w:uiPriority w:val="99"/>
    <w:rsid w:val="00EF6894"/>
    <w:rPr>
      <w:rFonts w:cs="Times New Roman"/>
      <w:color w:val="0000FF"/>
      <w:u w:val="single"/>
    </w:rPr>
  </w:style>
  <w:style w:type="character" w:styleId="LineNumber">
    <w:name w:val="line number"/>
    <w:basedOn w:val="DefaultParagraphFont"/>
    <w:uiPriority w:val="99"/>
    <w:rsid w:val="00EF6894"/>
    <w:rPr>
      <w:rFonts w:cs="Times New Roman"/>
    </w:rPr>
  </w:style>
  <w:style w:type="paragraph" w:styleId="List">
    <w:name w:val="List"/>
    <w:basedOn w:val="Normal"/>
    <w:rsid w:val="00EF6894"/>
    <w:pPr>
      <w:ind w:left="283" w:hanging="283"/>
    </w:pPr>
  </w:style>
  <w:style w:type="paragraph" w:styleId="List2">
    <w:name w:val="List 2"/>
    <w:basedOn w:val="Normal"/>
    <w:rsid w:val="00EF6894"/>
    <w:pPr>
      <w:ind w:left="566" w:hanging="283"/>
    </w:pPr>
  </w:style>
  <w:style w:type="paragraph" w:styleId="List3">
    <w:name w:val="List 3"/>
    <w:basedOn w:val="Normal"/>
    <w:rsid w:val="00EF6894"/>
    <w:pPr>
      <w:ind w:left="849" w:hanging="283"/>
    </w:pPr>
  </w:style>
  <w:style w:type="paragraph" w:styleId="List4">
    <w:name w:val="List 4"/>
    <w:basedOn w:val="Normal"/>
    <w:rsid w:val="00EF6894"/>
    <w:pPr>
      <w:ind w:left="1132" w:hanging="283"/>
    </w:pPr>
  </w:style>
  <w:style w:type="paragraph" w:styleId="List5">
    <w:name w:val="List 5"/>
    <w:basedOn w:val="Normal"/>
    <w:rsid w:val="00EF6894"/>
    <w:pPr>
      <w:ind w:left="1415" w:hanging="283"/>
    </w:pPr>
  </w:style>
  <w:style w:type="paragraph" w:styleId="ListBullet">
    <w:name w:val="List Bullet"/>
    <w:basedOn w:val="Normal"/>
    <w:autoRedefine/>
    <w:uiPriority w:val="99"/>
    <w:rsid w:val="00EF6894"/>
    <w:pPr>
      <w:tabs>
        <w:tab w:val="num" w:pos="360"/>
      </w:tabs>
      <w:ind w:left="360" w:hanging="360"/>
    </w:pPr>
  </w:style>
  <w:style w:type="paragraph" w:styleId="ListBullet2">
    <w:name w:val="List Bullet 2"/>
    <w:basedOn w:val="Normal"/>
    <w:autoRedefine/>
    <w:rsid w:val="00EF6894"/>
    <w:pPr>
      <w:tabs>
        <w:tab w:val="num" w:pos="643"/>
      </w:tabs>
      <w:ind w:left="643" w:hanging="360"/>
    </w:pPr>
  </w:style>
  <w:style w:type="paragraph" w:styleId="ListBullet3">
    <w:name w:val="List Bullet 3"/>
    <w:basedOn w:val="Normal"/>
    <w:autoRedefine/>
    <w:rsid w:val="00EF6894"/>
    <w:pPr>
      <w:tabs>
        <w:tab w:val="num" w:pos="926"/>
      </w:tabs>
      <w:ind w:left="926" w:hanging="360"/>
    </w:pPr>
  </w:style>
  <w:style w:type="paragraph" w:styleId="ListBullet4">
    <w:name w:val="List Bullet 4"/>
    <w:basedOn w:val="Normal"/>
    <w:autoRedefine/>
    <w:rsid w:val="00EF6894"/>
    <w:pPr>
      <w:tabs>
        <w:tab w:val="num" w:pos="1209"/>
      </w:tabs>
      <w:ind w:left="15"/>
    </w:pPr>
    <w:rPr>
      <w:sz w:val="18"/>
      <w:szCs w:val="18"/>
      <w:lang w:eastAsia="en-US"/>
    </w:rPr>
  </w:style>
  <w:style w:type="paragraph" w:styleId="ListBullet5">
    <w:name w:val="List Bullet 5"/>
    <w:basedOn w:val="Normal"/>
    <w:autoRedefine/>
    <w:rsid w:val="00EF6894"/>
    <w:pPr>
      <w:tabs>
        <w:tab w:val="num" w:pos="1492"/>
      </w:tabs>
      <w:ind w:left="1492" w:hanging="360"/>
    </w:pPr>
  </w:style>
  <w:style w:type="paragraph" w:styleId="ListContinue">
    <w:name w:val="List Continue"/>
    <w:basedOn w:val="Normal"/>
    <w:rsid w:val="00EF6894"/>
    <w:pPr>
      <w:ind w:left="283"/>
    </w:pPr>
  </w:style>
  <w:style w:type="paragraph" w:styleId="ListContinue2">
    <w:name w:val="List Continue 2"/>
    <w:basedOn w:val="Normal"/>
    <w:rsid w:val="00EF6894"/>
    <w:pPr>
      <w:ind w:left="566"/>
    </w:pPr>
  </w:style>
  <w:style w:type="paragraph" w:styleId="ListContinue3">
    <w:name w:val="List Continue 3"/>
    <w:basedOn w:val="Normal"/>
    <w:rsid w:val="00EF6894"/>
    <w:pPr>
      <w:ind w:left="849"/>
    </w:pPr>
  </w:style>
  <w:style w:type="paragraph" w:styleId="ListContinue4">
    <w:name w:val="List Continue 4"/>
    <w:basedOn w:val="Normal"/>
    <w:rsid w:val="00EF6894"/>
    <w:pPr>
      <w:ind w:left="1132"/>
    </w:pPr>
  </w:style>
  <w:style w:type="paragraph" w:styleId="ListContinue5">
    <w:name w:val="List Continue 5"/>
    <w:basedOn w:val="Normal"/>
    <w:rsid w:val="00EF6894"/>
    <w:pPr>
      <w:ind w:left="1415"/>
    </w:pPr>
  </w:style>
  <w:style w:type="paragraph" w:styleId="ListNumber">
    <w:name w:val="List Number"/>
    <w:basedOn w:val="Normal"/>
    <w:rsid w:val="00EF6894"/>
    <w:pPr>
      <w:tabs>
        <w:tab w:val="num" w:pos="360"/>
      </w:tabs>
      <w:ind w:left="360" w:hanging="360"/>
    </w:pPr>
  </w:style>
  <w:style w:type="paragraph" w:styleId="ListNumber2">
    <w:name w:val="List Number 2"/>
    <w:basedOn w:val="Normal"/>
    <w:rsid w:val="00EF6894"/>
    <w:pPr>
      <w:tabs>
        <w:tab w:val="num" w:pos="643"/>
      </w:tabs>
      <w:ind w:left="643" w:hanging="360"/>
    </w:pPr>
  </w:style>
  <w:style w:type="paragraph" w:styleId="ListNumber3">
    <w:name w:val="List Number 3"/>
    <w:basedOn w:val="Normal"/>
    <w:rsid w:val="00EF6894"/>
    <w:pPr>
      <w:tabs>
        <w:tab w:val="num" w:pos="926"/>
      </w:tabs>
      <w:ind w:left="926" w:hanging="360"/>
    </w:pPr>
  </w:style>
  <w:style w:type="paragraph" w:styleId="ListNumber4">
    <w:name w:val="List Number 4"/>
    <w:basedOn w:val="Normal"/>
    <w:rsid w:val="00EF6894"/>
    <w:pPr>
      <w:tabs>
        <w:tab w:val="num" w:pos="1209"/>
      </w:tabs>
      <w:ind w:left="1209" w:hanging="360"/>
    </w:pPr>
  </w:style>
  <w:style w:type="paragraph" w:styleId="ListNumber5">
    <w:name w:val="List Number 5"/>
    <w:basedOn w:val="Normal"/>
    <w:rsid w:val="00EF6894"/>
    <w:pPr>
      <w:tabs>
        <w:tab w:val="num" w:pos="1492"/>
      </w:tabs>
      <w:ind w:left="1492" w:hanging="360"/>
    </w:pPr>
  </w:style>
  <w:style w:type="paragraph" w:styleId="MessageHeader">
    <w:name w:val="Message Header"/>
    <w:basedOn w:val="Normal"/>
    <w:link w:val="MessageHeaderChar"/>
    <w:rsid w:val="00EF689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uiPriority w:val="99"/>
    <w:semiHidden/>
    <w:rsid w:val="008F5830"/>
    <w:rPr>
      <w:rFonts w:ascii="Cambria" w:eastAsia="Times New Roman" w:hAnsi="Cambria" w:cs="Times New Roman"/>
      <w:sz w:val="24"/>
      <w:szCs w:val="24"/>
      <w:shd w:val="pct20" w:color="auto" w:fill="auto"/>
    </w:rPr>
  </w:style>
  <w:style w:type="paragraph" w:styleId="NormalWeb">
    <w:name w:val="Normal (Web)"/>
    <w:basedOn w:val="Normal"/>
    <w:uiPriority w:val="99"/>
    <w:rsid w:val="00EF6894"/>
  </w:style>
  <w:style w:type="paragraph" w:styleId="NormalIndent">
    <w:name w:val="Normal Indent"/>
    <w:basedOn w:val="Normal"/>
    <w:rsid w:val="00EF6894"/>
    <w:pPr>
      <w:ind w:left="720"/>
    </w:pPr>
  </w:style>
  <w:style w:type="paragraph" w:styleId="NoteHeading">
    <w:name w:val="Note Heading"/>
    <w:aliases w:val="HN"/>
    <w:basedOn w:val="Normal"/>
    <w:next w:val="Normal"/>
    <w:link w:val="NoteHeadingChar"/>
    <w:uiPriority w:val="99"/>
    <w:rsid w:val="00EF6894"/>
    <w:pPr>
      <w:keepNext/>
      <w:keepLines/>
      <w:pageBreakBefore/>
      <w:tabs>
        <w:tab w:val="left" w:pos="1559"/>
      </w:tabs>
      <w:spacing w:before="120" w:line="240" w:lineRule="atLeast"/>
    </w:pPr>
    <w:rPr>
      <w:rFonts w:ascii="Arial" w:hAnsi="Arial"/>
      <w:b/>
      <w:sz w:val="32"/>
    </w:rPr>
  </w:style>
  <w:style w:type="character" w:customStyle="1" w:styleId="NoteHeadingChar">
    <w:name w:val="Note Heading Char"/>
    <w:aliases w:val="HN Char"/>
    <w:basedOn w:val="DefaultParagraphFont"/>
    <w:link w:val="NoteHeading"/>
    <w:uiPriority w:val="99"/>
    <w:semiHidden/>
    <w:rsid w:val="008F5830"/>
    <w:rPr>
      <w:sz w:val="24"/>
      <w:szCs w:val="24"/>
    </w:rPr>
  </w:style>
  <w:style w:type="character" w:styleId="PageNumber">
    <w:name w:val="page number"/>
    <w:basedOn w:val="DefaultParagraphFont"/>
    <w:uiPriority w:val="99"/>
    <w:rsid w:val="00EF6894"/>
    <w:rPr>
      <w:rFonts w:ascii="Arial" w:hAnsi="Arial" w:cs="Times New Roman"/>
      <w:sz w:val="22"/>
    </w:rPr>
  </w:style>
  <w:style w:type="paragraph" w:styleId="PlainText">
    <w:name w:val="Plain Text"/>
    <w:basedOn w:val="Normal"/>
    <w:link w:val="PlainTextChar"/>
    <w:uiPriority w:val="99"/>
    <w:rsid w:val="00EF6894"/>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8F5830"/>
    <w:rPr>
      <w:rFonts w:ascii="Courier New" w:hAnsi="Courier New" w:cs="Courier New"/>
    </w:rPr>
  </w:style>
  <w:style w:type="paragraph" w:styleId="Salutation">
    <w:name w:val="Salutation"/>
    <w:basedOn w:val="Normal"/>
    <w:next w:val="Normal"/>
    <w:link w:val="SalutationChar"/>
    <w:rsid w:val="00EF6894"/>
  </w:style>
  <w:style w:type="character" w:customStyle="1" w:styleId="SalutationChar">
    <w:name w:val="Salutation Char"/>
    <w:basedOn w:val="DefaultParagraphFont"/>
    <w:link w:val="Salutation"/>
    <w:uiPriority w:val="99"/>
    <w:semiHidden/>
    <w:rsid w:val="008F5830"/>
    <w:rPr>
      <w:sz w:val="24"/>
      <w:szCs w:val="24"/>
    </w:rPr>
  </w:style>
  <w:style w:type="paragraph" w:styleId="Signature">
    <w:name w:val="Signature"/>
    <w:basedOn w:val="Normal"/>
    <w:link w:val="SignatureChar"/>
    <w:rsid w:val="00EF6894"/>
    <w:pPr>
      <w:ind w:left="4252"/>
    </w:pPr>
  </w:style>
  <w:style w:type="character" w:customStyle="1" w:styleId="SignatureChar">
    <w:name w:val="Signature Char"/>
    <w:basedOn w:val="DefaultParagraphFont"/>
    <w:link w:val="Signature"/>
    <w:uiPriority w:val="99"/>
    <w:semiHidden/>
    <w:rsid w:val="008F5830"/>
    <w:rPr>
      <w:sz w:val="24"/>
      <w:szCs w:val="24"/>
    </w:rPr>
  </w:style>
  <w:style w:type="character" w:styleId="Strong">
    <w:name w:val="Strong"/>
    <w:basedOn w:val="DefaultParagraphFont"/>
    <w:uiPriority w:val="22"/>
    <w:qFormat/>
    <w:rsid w:val="00EF6894"/>
    <w:rPr>
      <w:rFonts w:cs="Times New Roman"/>
      <w:b/>
      <w:bCs/>
    </w:rPr>
  </w:style>
  <w:style w:type="paragraph" w:styleId="Subtitle">
    <w:name w:val="Subtitle"/>
    <w:basedOn w:val="Normal"/>
    <w:link w:val="SubtitleChar"/>
    <w:uiPriority w:val="11"/>
    <w:qFormat/>
    <w:rsid w:val="00EF6894"/>
    <w:pPr>
      <w:spacing w:after="60"/>
      <w:jc w:val="center"/>
      <w:outlineLvl w:val="1"/>
    </w:pPr>
    <w:rPr>
      <w:rFonts w:ascii="Arial" w:hAnsi="Arial" w:cs="Arial"/>
    </w:rPr>
  </w:style>
  <w:style w:type="character" w:customStyle="1" w:styleId="SubtitleChar">
    <w:name w:val="Subtitle Char"/>
    <w:basedOn w:val="DefaultParagraphFont"/>
    <w:link w:val="Subtitle"/>
    <w:uiPriority w:val="11"/>
    <w:rsid w:val="008F5830"/>
    <w:rPr>
      <w:rFonts w:ascii="Cambria" w:eastAsia="Times New Roman" w:hAnsi="Cambria" w:cs="Times New Roman"/>
      <w:sz w:val="24"/>
      <w:szCs w:val="24"/>
    </w:rPr>
  </w:style>
  <w:style w:type="table" w:styleId="Table3Deffects1">
    <w:name w:val="Table 3D effects 1"/>
    <w:basedOn w:val="TableNormal"/>
    <w:rsid w:val="00EF689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F689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rsid w:val="00EF689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rsid w:val="00EF689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rsid w:val="00EF689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rsid w:val="00EF689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rsid w:val="00EF689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rsid w:val="00EF689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F689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F689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F689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rsid w:val="00EF689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rsid w:val="00EF689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rsid w:val="00EF689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rsid w:val="00EF689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rsid w:val="00EF689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F689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EF6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EF689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rsid w:val="00EF689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rsid w:val="00EF689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rsid w:val="00EF689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rsid w:val="00EF689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rsid w:val="00EF689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rsid w:val="00EF689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rsid w:val="00EF689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rsid w:val="00EF689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rsid w:val="00EF689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rsid w:val="00EF689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rsid w:val="00EF689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F689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rsid w:val="00EF689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rsid w:val="00EF689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rsid w:val="00EF689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F689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F689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F689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F689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F689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rsid w:val="00EF689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rsid w:val="00EF6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F689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rsid w:val="00EF689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rsid w:val="00EF689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rsid w:val="00EF6894"/>
    <w:pPr>
      <w:spacing w:before="480"/>
    </w:pPr>
    <w:rPr>
      <w:rFonts w:ascii="Arial" w:hAnsi="Arial" w:cs="Arial"/>
      <w:b/>
      <w:bCs/>
      <w:sz w:val="40"/>
      <w:szCs w:val="40"/>
    </w:rPr>
  </w:style>
  <w:style w:type="character" w:customStyle="1" w:styleId="TitleChar">
    <w:name w:val="Title Char"/>
    <w:basedOn w:val="DefaultParagraphFont"/>
    <w:link w:val="Title"/>
    <w:uiPriority w:val="10"/>
    <w:rsid w:val="008F5830"/>
    <w:rPr>
      <w:rFonts w:ascii="Cambria" w:eastAsia="Times New Roman" w:hAnsi="Cambria" w:cs="Times New Roman"/>
      <w:b/>
      <w:bCs/>
      <w:kern w:val="28"/>
      <w:sz w:val="32"/>
      <w:szCs w:val="32"/>
    </w:rPr>
  </w:style>
  <w:style w:type="paragraph" w:customStyle="1" w:styleId="A1">
    <w:name w:val="A1"/>
    <w:aliases w:val="Heading Amendment,1. Amendment"/>
    <w:basedOn w:val="Normal"/>
    <w:next w:val="Normal"/>
    <w:rsid w:val="00EF6894"/>
    <w:pPr>
      <w:keepNext/>
      <w:keepLines/>
      <w:spacing w:before="480" w:line="260" w:lineRule="exact"/>
      <w:ind w:left="964" w:hanging="964"/>
    </w:pPr>
    <w:rPr>
      <w:rFonts w:ascii="Arial" w:hAnsi="Arial"/>
      <w:b/>
    </w:rPr>
  </w:style>
  <w:style w:type="paragraph" w:customStyle="1" w:styleId="A1S">
    <w:name w:val="A1S"/>
    <w:aliases w:val="1.Schedule Amendment"/>
    <w:basedOn w:val="Normal"/>
    <w:next w:val="A2S"/>
    <w:rsid w:val="00EF6894"/>
    <w:pPr>
      <w:keepNext/>
      <w:keepLines/>
      <w:spacing w:before="480" w:line="260" w:lineRule="exact"/>
      <w:ind w:left="964" w:hanging="964"/>
    </w:pPr>
    <w:rPr>
      <w:rFonts w:ascii="Arial" w:hAnsi="Arial"/>
      <w:b/>
    </w:rPr>
  </w:style>
  <w:style w:type="paragraph" w:customStyle="1" w:styleId="A2">
    <w:name w:val="A2"/>
    <w:aliases w:val="1.1 amendment,Instruction amendment"/>
    <w:basedOn w:val="Normal"/>
    <w:next w:val="Normal"/>
    <w:rsid w:val="00EF6894"/>
    <w:pPr>
      <w:tabs>
        <w:tab w:val="right" w:pos="794"/>
      </w:tabs>
      <w:spacing w:before="120" w:line="260" w:lineRule="exact"/>
      <w:ind w:left="964" w:hanging="964"/>
      <w:jc w:val="both"/>
    </w:pPr>
  </w:style>
  <w:style w:type="paragraph" w:customStyle="1" w:styleId="A2S">
    <w:name w:val="A2S"/>
    <w:aliases w:val="Schedule Inst Amendment"/>
    <w:basedOn w:val="Normal"/>
    <w:next w:val="A3S"/>
    <w:rsid w:val="00EF6894"/>
    <w:pPr>
      <w:keepNext/>
      <w:spacing w:before="120" w:line="260" w:lineRule="exact"/>
      <w:ind w:left="964"/>
    </w:pPr>
    <w:rPr>
      <w:i/>
    </w:rPr>
  </w:style>
  <w:style w:type="paragraph" w:customStyle="1" w:styleId="A3">
    <w:name w:val="A3"/>
    <w:aliases w:val="1.2 amendment"/>
    <w:basedOn w:val="Normal"/>
    <w:rsid w:val="00EF6894"/>
    <w:pPr>
      <w:tabs>
        <w:tab w:val="right" w:pos="794"/>
      </w:tabs>
      <w:spacing w:before="180" w:line="260" w:lineRule="exact"/>
      <w:ind w:left="964" w:hanging="964"/>
      <w:jc w:val="both"/>
    </w:pPr>
  </w:style>
  <w:style w:type="paragraph" w:customStyle="1" w:styleId="A3S">
    <w:name w:val="A3S"/>
    <w:aliases w:val="Schedule Amendment"/>
    <w:basedOn w:val="Normal"/>
    <w:next w:val="A1S"/>
    <w:rsid w:val="00EF6894"/>
    <w:pPr>
      <w:spacing w:before="60" w:line="260" w:lineRule="exact"/>
      <w:ind w:left="1247"/>
      <w:jc w:val="both"/>
    </w:pPr>
  </w:style>
  <w:style w:type="paragraph" w:customStyle="1" w:styleId="A4">
    <w:name w:val="A4"/>
    <w:aliases w:val="(a) Amendment"/>
    <w:basedOn w:val="Normal"/>
    <w:rsid w:val="00EF6894"/>
    <w:pPr>
      <w:tabs>
        <w:tab w:val="right" w:pos="1247"/>
      </w:tabs>
      <w:spacing w:before="60" w:line="260" w:lineRule="exact"/>
      <w:ind w:left="1531" w:hanging="1531"/>
      <w:jc w:val="both"/>
    </w:pPr>
  </w:style>
  <w:style w:type="paragraph" w:customStyle="1" w:styleId="A5">
    <w:name w:val="A5"/>
    <w:aliases w:val="(i) Amendment"/>
    <w:basedOn w:val="Normal"/>
    <w:rsid w:val="00EF6894"/>
    <w:pPr>
      <w:tabs>
        <w:tab w:val="right" w:pos="1758"/>
      </w:tabs>
      <w:spacing w:before="60" w:line="260" w:lineRule="exact"/>
      <w:ind w:left="2041" w:hanging="2041"/>
      <w:jc w:val="both"/>
    </w:pPr>
  </w:style>
  <w:style w:type="paragraph" w:customStyle="1" w:styleId="AN">
    <w:name w:val="AN"/>
    <w:aliases w:val="Note Amendment"/>
    <w:basedOn w:val="Normal"/>
    <w:next w:val="A1"/>
    <w:rsid w:val="00EF6894"/>
    <w:pPr>
      <w:spacing w:before="120" w:line="220" w:lineRule="exact"/>
      <w:ind w:left="964"/>
      <w:jc w:val="both"/>
    </w:pPr>
    <w:rPr>
      <w:sz w:val="20"/>
    </w:rPr>
  </w:style>
  <w:style w:type="paragraph" w:customStyle="1" w:styleId="ASref">
    <w:name w:val="AS ref"/>
    <w:basedOn w:val="Normal"/>
    <w:next w:val="A1S"/>
    <w:rsid w:val="00EF6894"/>
    <w:pPr>
      <w:keepNext/>
      <w:spacing w:before="60" w:line="200" w:lineRule="exact"/>
      <w:ind w:left="2410"/>
    </w:pPr>
    <w:rPr>
      <w:rFonts w:ascii="Arial" w:hAnsi="Arial"/>
      <w:sz w:val="18"/>
      <w:szCs w:val="18"/>
    </w:rPr>
  </w:style>
  <w:style w:type="paragraph" w:customStyle="1" w:styleId="AS">
    <w:name w:val="AS"/>
    <w:aliases w:val="Schedule title Amendment"/>
    <w:basedOn w:val="Normal"/>
    <w:next w:val="ASref"/>
    <w:rsid w:val="00EF6894"/>
    <w:pPr>
      <w:keepNext/>
      <w:keepLines/>
      <w:spacing w:before="480"/>
      <w:ind w:left="2410" w:hanging="2410"/>
    </w:pPr>
    <w:rPr>
      <w:rFonts w:ascii="Arial" w:hAnsi="Arial"/>
      <w:b/>
      <w:sz w:val="32"/>
    </w:rPr>
  </w:style>
  <w:style w:type="paragraph" w:customStyle="1" w:styleId="ASP">
    <w:name w:val="ASP"/>
    <w:aliases w:val="Schedule Part Amendment"/>
    <w:basedOn w:val="Normal"/>
    <w:next w:val="A1S"/>
    <w:rsid w:val="00EF6894"/>
    <w:pPr>
      <w:keepNext/>
      <w:keepLines/>
      <w:spacing w:before="360"/>
      <w:ind w:left="2410" w:hanging="2410"/>
    </w:pPr>
    <w:rPr>
      <w:rFonts w:ascii="Arial" w:hAnsi="Arial"/>
      <w:b/>
      <w:sz w:val="28"/>
    </w:rPr>
  </w:style>
  <w:style w:type="paragraph" w:styleId="BalloonText">
    <w:name w:val="Balloon Text"/>
    <w:basedOn w:val="Normal"/>
    <w:link w:val="BalloonTextChar"/>
    <w:uiPriority w:val="99"/>
    <w:rsid w:val="00EF6894"/>
    <w:rPr>
      <w:rFonts w:ascii="Tahoma" w:hAnsi="Tahoma" w:cs="Tahoma"/>
      <w:sz w:val="16"/>
      <w:szCs w:val="16"/>
    </w:rPr>
  </w:style>
  <w:style w:type="character" w:customStyle="1" w:styleId="BalloonTextChar">
    <w:name w:val="Balloon Text Char"/>
    <w:basedOn w:val="DefaultParagraphFont"/>
    <w:link w:val="BalloonText"/>
    <w:uiPriority w:val="99"/>
    <w:locked/>
    <w:rsid w:val="00803768"/>
    <w:rPr>
      <w:rFonts w:ascii="Tahoma" w:hAnsi="Tahoma" w:cs="Tahoma"/>
      <w:sz w:val="16"/>
      <w:szCs w:val="16"/>
    </w:rPr>
  </w:style>
  <w:style w:type="paragraph" w:styleId="Caption">
    <w:name w:val="caption"/>
    <w:basedOn w:val="Normal"/>
    <w:next w:val="Normal"/>
    <w:uiPriority w:val="35"/>
    <w:qFormat/>
    <w:rsid w:val="00EF6894"/>
    <w:pPr>
      <w:spacing w:before="120"/>
    </w:pPr>
    <w:rPr>
      <w:b/>
      <w:bCs/>
      <w:sz w:val="20"/>
      <w:szCs w:val="20"/>
    </w:rPr>
  </w:style>
  <w:style w:type="character" w:customStyle="1" w:styleId="CharAmSchNo">
    <w:name w:val="CharAmSchNo"/>
    <w:basedOn w:val="DefaultParagraphFont"/>
    <w:uiPriority w:val="1"/>
    <w:qFormat/>
    <w:rsid w:val="00EF6894"/>
    <w:rPr>
      <w:rFonts w:cs="Times New Roman"/>
    </w:rPr>
  </w:style>
  <w:style w:type="character" w:customStyle="1" w:styleId="CharAmSchText">
    <w:name w:val="CharAmSchText"/>
    <w:basedOn w:val="DefaultParagraphFont"/>
    <w:uiPriority w:val="1"/>
    <w:qFormat/>
    <w:rsid w:val="00EF6894"/>
    <w:rPr>
      <w:rFonts w:cs="Times New Roman"/>
    </w:rPr>
  </w:style>
  <w:style w:type="character" w:customStyle="1" w:styleId="CharChapNo">
    <w:name w:val="CharChapNo"/>
    <w:basedOn w:val="DefaultParagraphFont"/>
    <w:qFormat/>
    <w:rsid w:val="00EF6894"/>
    <w:rPr>
      <w:rFonts w:cs="Times New Roman"/>
    </w:rPr>
  </w:style>
  <w:style w:type="character" w:customStyle="1" w:styleId="CharChapText">
    <w:name w:val="CharChapText"/>
    <w:basedOn w:val="DefaultParagraphFont"/>
    <w:qFormat/>
    <w:rsid w:val="00EF6894"/>
    <w:rPr>
      <w:rFonts w:cs="Times New Roman"/>
    </w:rPr>
  </w:style>
  <w:style w:type="character" w:customStyle="1" w:styleId="CharDivNo">
    <w:name w:val="CharDivNo"/>
    <w:basedOn w:val="DefaultParagraphFont"/>
    <w:qFormat/>
    <w:rsid w:val="00EF6894"/>
    <w:rPr>
      <w:rFonts w:cs="Times New Roman"/>
    </w:rPr>
  </w:style>
  <w:style w:type="character" w:customStyle="1" w:styleId="CharDivText">
    <w:name w:val="CharDivText"/>
    <w:basedOn w:val="DefaultParagraphFont"/>
    <w:qFormat/>
    <w:rsid w:val="00EF6894"/>
    <w:rPr>
      <w:rFonts w:cs="Times New Roman"/>
    </w:rPr>
  </w:style>
  <w:style w:type="character" w:customStyle="1" w:styleId="CharPartNo">
    <w:name w:val="CharPartNo"/>
    <w:basedOn w:val="DefaultParagraphFont"/>
    <w:qFormat/>
    <w:rsid w:val="00EF6894"/>
    <w:rPr>
      <w:rFonts w:cs="Times New Roman"/>
    </w:rPr>
  </w:style>
  <w:style w:type="character" w:customStyle="1" w:styleId="CharPartText">
    <w:name w:val="CharPartText"/>
    <w:basedOn w:val="DefaultParagraphFont"/>
    <w:qFormat/>
    <w:rsid w:val="00EF6894"/>
    <w:rPr>
      <w:rFonts w:cs="Times New Roman"/>
    </w:rPr>
  </w:style>
  <w:style w:type="character" w:customStyle="1" w:styleId="CharSchPTNo">
    <w:name w:val="CharSchPTNo"/>
    <w:basedOn w:val="DefaultParagraphFont"/>
    <w:rsid w:val="00EF6894"/>
    <w:rPr>
      <w:rFonts w:cs="Times New Roman"/>
    </w:rPr>
  </w:style>
  <w:style w:type="character" w:customStyle="1" w:styleId="CharSchPTText">
    <w:name w:val="CharSchPTText"/>
    <w:basedOn w:val="DefaultParagraphFont"/>
    <w:rsid w:val="00EF6894"/>
    <w:rPr>
      <w:rFonts w:cs="Times New Roman"/>
    </w:rPr>
  </w:style>
  <w:style w:type="character" w:customStyle="1" w:styleId="CharSectno">
    <w:name w:val="CharSectno"/>
    <w:basedOn w:val="DefaultParagraphFont"/>
    <w:qFormat/>
    <w:rsid w:val="00EF6894"/>
    <w:rPr>
      <w:rFonts w:cs="Times New Roman"/>
    </w:rPr>
  </w:style>
  <w:style w:type="character" w:styleId="CommentReference">
    <w:name w:val="annotation reference"/>
    <w:basedOn w:val="DefaultParagraphFont"/>
    <w:rsid w:val="00EF6894"/>
    <w:rPr>
      <w:rFonts w:cs="Times New Roman"/>
      <w:sz w:val="16"/>
      <w:szCs w:val="16"/>
    </w:rPr>
  </w:style>
  <w:style w:type="paragraph" w:styleId="CommentText">
    <w:name w:val="annotation text"/>
    <w:basedOn w:val="Normal"/>
    <w:link w:val="CommentTextChar"/>
    <w:rsid w:val="00EF6894"/>
    <w:rPr>
      <w:sz w:val="20"/>
      <w:szCs w:val="20"/>
    </w:rPr>
  </w:style>
  <w:style w:type="character" w:customStyle="1" w:styleId="CommentTextChar">
    <w:name w:val="Comment Text Char"/>
    <w:basedOn w:val="DefaultParagraphFont"/>
    <w:link w:val="CommentText"/>
    <w:uiPriority w:val="99"/>
    <w:semiHidden/>
    <w:rsid w:val="008F5830"/>
  </w:style>
  <w:style w:type="paragraph" w:styleId="CommentSubject">
    <w:name w:val="annotation subject"/>
    <w:basedOn w:val="CommentText"/>
    <w:next w:val="CommentText"/>
    <w:link w:val="CommentSubjectChar"/>
    <w:uiPriority w:val="99"/>
    <w:rsid w:val="00EF6894"/>
    <w:rPr>
      <w:b/>
      <w:bCs/>
    </w:rPr>
  </w:style>
  <w:style w:type="character" w:customStyle="1" w:styleId="CommentSubjectChar">
    <w:name w:val="Comment Subject Char"/>
    <w:basedOn w:val="CommentTextChar"/>
    <w:link w:val="CommentSubject"/>
    <w:uiPriority w:val="99"/>
    <w:rsid w:val="008F5830"/>
    <w:rPr>
      <w:b/>
      <w:bCs/>
    </w:rPr>
  </w:style>
  <w:style w:type="paragraph" w:customStyle="1" w:styleId="ContentsHead">
    <w:name w:val="ContentsHead"/>
    <w:basedOn w:val="Normal"/>
    <w:next w:val="Normal"/>
    <w:rsid w:val="00EF6894"/>
    <w:pPr>
      <w:keepNext/>
      <w:keepLines/>
      <w:spacing w:before="240" w:after="240"/>
    </w:pPr>
    <w:rPr>
      <w:rFonts w:ascii="Arial" w:hAnsi="Arial"/>
      <w:b/>
      <w:sz w:val="28"/>
    </w:rPr>
  </w:style>
  <w:style w:type="paragraph" w:customStyle="1" w:styleId="ContentsSectionBreak">
    <w:name w:val="ContentsSectionBreak"/>
    <w:basedOn w:val="Normal"/>
    <w:next w:val="Normal"/>
    <w:rsid w:val="00EF6894"/>
  </w:style>
  <w:style w:type="paragraph" w:customStyle="1" w:styleId="DD">
    <w:name w:val="DD"/>
    <w:aliases w:val="Dictionary Definition"/>
    <w:basedOn w:val="Normal"/>
    <w:rsid w:val="00EF6894"/>
    <w:pPr>
      <w:spacing w:before="80" w:line="260" w:lineRule="exact"/>
      <w:jc w:val="both"/>
    </w:pPr>
  </w:style>
  <w:style w:type="paragraph" w:customStyle="1" w:styleId="definition">
    <w:name w:val="definition"/>
    <w:basedOn w:val="Normal"/>
    <w:rsid w:val="00EF6894"/>
    <w:pPr>
      <w:spacing w:before="80" w:line="260" w:lineRule="exact"/>
      <w:ind w:left="964"/>
      <w:jc w:val="both"/>
    </w:pPr>
  </w:style>
  <w:style w:type="paragraph" w:customStyle="1" w:styleId="DictionaryHeading">
    <w:name w:val="Dictionary Heading"/>
    <w:basedOn w:val="Normal"/>
    <w:next w:val="DD"/>
    <w:rsid w:val="00EF6894"/>
    <w:pPr>
      <w:keepNext/>
      <w:keepLines/>
      <w:spacing w:before="480"/>
      <w:ind w:left="2552" w:hanging="2552"/>
    </w:pPr>
    <w:rPr>
      <w:rFonts w:ascii="Arial" w:hAnsi="Arial"/>
      <w:b/>
      <w:sz w:val="32"/>
    </w:rPr>
  </w:style>
  <w:style w:type="paragraph" w:customStyle="1" w:styleId="DictionarySectionBreak">
    <w:name w:val="DictionarySectionBreak"/>
    <w:basedOn w:val="Normal"/>
    <w:next w:val="Normal"/>
    <w:rsid w:val="00EF6894"/>
  </w:style>
  <w:style w:type="paragraph" w:customStyle="1" w:styleId="DNote">
    <w:name w:val="DNote"/>
    <w:aliases w:val="DictionaryNote"/>
    <w:basedOn w:val="Normal"/>
    <w:rsid w:val="00EF6894"/>
    <w:pPr>
      <w:spacing w:before="120" w:line="220" w:lineRule="exact"/>
      <w:ind w:left="425"/>
      <w:jc w:val="both"/>
    </w:pPr>
    <w:rPr>
      <w:sz w:val="20"/>
    </w:rPr>
  </w:style>
  <w:style w:type="paragraph" w:styleId="DocumentMap">
    <w:name w:val="Document Map"/>
    <w:basedOn w:val="Normal"/>
    <w:link w:val="DocumentMapChar"/>
    <w:rsid w:val="00EF6894"/>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8F5830"/>
    <w:rPr>
      <w:rFonts w:ascii="Tahoma" w:hAnsi="Tahoma" w:cs="Tahoma"/>
      <w:sz w:val="16"/>
      <w:szCs w:val="16"/>
    </w:rPr>
  </w:style>
  <w:style w:type="paragraph" w:customStyle="1" w:styleId="DP1a">
    <w:name w:val="DP1(a)"/>
    <w:aliases w:val="Dictionary (a)"/>
    <w:basedOn w:val="Normal"/>
    <w:rsid w:val="00EF6894"/>
    <w:pPr>
      <w:tabs>
        <w:tab w:val="right" w:pos="709"/>
      </w:tabs>
      <w:spacing w:before="60" w:line="260" w:lineRule="exact"/>
      <w:ind w:left="936" w:hanging="936"/>
      <w:jc w:val="both"/>
    </w:pPr>
  </w:style>
  <w:style w:type="paragraph" w:customStyle="1" w:styleId="DP2i">
    <w:name w:val="DP2(i)"/>
    <w:aliases w:val="Dictionary(i)"/>
    <w:basedOn w:val="Normal"/>
    <w:rsid w:val="00EF6894"/>
    <w:pPr>
      <w:tabs>
        <w:tab w:val="right" w:pos="1276"/>
      </w:tabs>
      <w:spacing w:before="60" w:line="260" w:lineRule="exact"/>
      <w:ind w:left="1503" w:hanging="1503"/>
      <w:jc w:val="both"/>
    </w:pPr>
  </w:style>
  <w:style w:type="character" w:styleId="EndnoteReference">
    <w:name w:val="endnote reference"/>
    <w:basedOn w:val="DefaultParagraphFont"/>
    <w:rsid w:val="00EF6894"/>
    <w:rPr>
      <w:rFonts w:cs="Times New Roman"/>
      <w:vertAlign w:val="superscript"/>
    </w:rPr>
  </w:style>
  <w:style w:type="paragraph" w:styleId="EndnoteText">
    <w:name w:val="endnote text"/>
    <w:basedOn w:val="Normal"/>
    <w:link w:val="EndnoteTextChar"/>
    <w:rsid w:val="00EF6894"/>
    <w:rPr>
      <w:sz w:val="20"/>
      <w:szCs w:val="20"/>
    </w:rPr>
  </w:style>
  <w:style w:type="character" w:customStyle="1" w:styleId="EndnoteTextChar">
    <w:name w:val="Endnote Text Char"/>
    <w:basedOn w:val="DefaultParagraphFont"/>
    <w:link w:val="EndnoteText"/>
    <w:uiPriority w:val="99"/>
    <w:semiHidden/>
    <w:rsid w:val="008F5830"/>
  </w:style>
  <w:style w:type="paragraph" w:customStyle="1" w:styleId="ExampleBody">
    <w:name w:val="Example Body"/>
    <w:basedOn w:val="Normal"/>
    <w:rsid w:val="00EF6894"/>
    <w:pPr>
      <w:keepLines/>
      <w:spacing w:before="60" w:line="220" w:lineRule="exact"/>
      <w:ind w:left="964"/>
      <w:jc w:val="both"/>
    </w:pPr>
    <w:rPr>
      <w:sz w:val="20"/>
    </w:rPr>
  </w:style>
  <w:style w:type="paragraph" w:customStyle="1" w:styleId="ExampleList">
    <w:name w:val="Example List"/>
    <w:basedOn w:val="Normal"/>
    <w:rsid w:val="00EF6894"/>
    <w:pPr>
      <w:keepLines/>
      <w:tabs>
        <w:tab w:val="left" w:pos="1247"/>
        <w:tab w:val="left" w:pos="1349"/>
      </w:tabs>
      <w:spacing w:before="60" w:line="220" w:lineRule="exact"/>
      <w:ind w:left="340" w:firstLine="652"/>
      <w:jc w:val="both"/>
    </w:pPr>
    <w:rPr>
      <w:sz w:val="20"/>
    </w:rPr>
  </w:style>
  <w:style w:type="character" w:styleId="FootnoteReference">
    <w:name w:val="footnote reference"/>
    <w:basedOn w:val="DefaultParagraphFont"/>
    <w:rsid w:val="00EF6894"/>
    <w:rPr>
      <w:rFonts w:ascii="Times New Roman" w:hAnsi="Times New Roman" w:cs="Times New Roman"/>
      <w:sz w:val="20"/>
      <w:vertAlign w:val="superscript"/>
    </w:rPr>
  </w:style>
  <w:style w:type="paragraph" w:styleId="FootnoteText">
    <w:name w:val="footnote text"/>
    <w:basedOn w:val="Normal"/>
    <w:link w:val="FootnoteTextChar"/>
    <w:rsid w:val="00EF6894"/>
    <w:rPr>
      <w:sz w:val="20"/>
      <w:szCs w:val="20"/>
    </w:rPr>
  </w:style>
  <w:style w:type="character" w:customStyle="1" w:styleId="FootnoteTextChar">
    <w:name w:val="Footnote Text Char"/>
    <w:basedOn w:val="DefaultParagraphFont"/>
    <w:link w:val="FootnoteText"/>
    <w:uiPriority w:val="99"/>
    <w:semiHidden/>
    <w:rsid w:val="008F5830"/>
  </w:style>
  <w:style w:type="paragraph" w:customStyle="1" w:styleId="Formula">
    <w:name w:val="Formula"/>
    <w:basedOn w:val="Normal"/>
    <w:next w:val="Normal"/>
    <w:rsid w:val="00EF6894"/>
    <w:pPr>
      <w:spacing w:before="180" w:after="180"/>
      <w:jc w:val="center"/>
    </w:pPr>
  </w:style>
  <w:style w:type="paragraph" w:customStyle="1" w:styleId="HC">
    <w:name w:val="HC"/>
    <w:aliases w:val="Chapter Heading"/>
    <w:basedOn w:val="Normal"/>
    <w:next w:val="Normal"/>
    <w:rsid w:val="00EF6894"/>
    <w:pPr>
      <w:keepNext/>
      <w:keepLines/>
      <w:pageBreakBefore/>
      <w:spacing w:before="480"/>
      <w:ind w:left="2410" w:hanging="2410"/>
    </w:pPr>
    <w:rPr>
      <w:rFonts w:ascii="Arial" w:hAnsi="Arial"/>
      <w:b/>
      <w:sz w:val="40"/>
    </w:rPr>
  </w:style>
  <w:style w:type="paragraph" w:customStyle="1" w:styleId="HD">
    <w:name w:val="HD"/>
    <w:aliases w:val="Division Heading"/>
    <w:basedOn w:val="Normal"/>
    <w:next w:val="HR"/>
    <w:rsid w:val="00EF6894"/>
    <w:pPr>
      <w:keepNext/>
      <w:keepLines/>
      <w:spacing w:before="360"/>
      <w:ind w:left="2410" w:hanging="2410"/>
    </w:pPr>
    <w:rPr>
      <w:rFonts w:ascii="Arial" w:hAnsi="Arial"/>
      <w:b/>
      <w:sz w:val="28"/>
    </w:rPr>
  </w:style>
  <w:style w:type="paragraph" w:customStyle="1" w:styleId="HE">
    <w:name w:val="HE"/>
    <w:aliases w:val="Example heading"/>
    <w:basedOn w:val="Normal"/>
    <w:next w:val="ExampleBody"/>
    <w:rsid w:val="00EF6894"/>
    <w:pPr>
      <w:keepNext/>
      <w:spacing w:before="120" w:line="220" w:lineRule="exact"/>
      <w:ind w:left="964"/>
    </w:pPr>
    <w:rPr>
      <w:i/>
      <w:sz w:val="20"/>
    </w:rPr>
  </w:style>
  <w:style w:type="paragraph" w:customStyle="1" w:styleId="HP">
    <w:name w:val="HP"/>
    <w:aliases w:val="Part Heading"/>
    <w:basedOn w:val="Normal"/>
    <w:next w:val="HD"/>
    <w:rsid w:val="00EF6894"/>
    <w:pPr>
      <w:keepNext/>
      <w:keepLines/>
      <w:spacing w:before="360"/>
      <w:ind w:left="2410" w:hanging="2410"/>
    </w:pPr>
    <w:rPr>
      <w:rFonts w:ascii="Arial" w:hAnsi="Arial"/>
      <w:b/>
      <w:sz w:val="32"/>
    </w:rPr>
  </w:style>
  <w:style w:type="paragraph" w:customStyle="1" w:styleId="HR">
    <w:name w:val="HR"/>
    <w:aliases w:val="Regulation Heading"/>
    <w:basedOn w:val="Normal"/>
    <w:next w:val="R1"/>
    <w:rsid w:val="00EF6894"/>
    <w:pPr>
      <w:keepNext/>
      <w:keepLines/>
      <w:spacing w:before="360"/>
      <w:ind w:left="964" w:hanging="964"/>
    </w:pPr>
    <w:rPr>
      <w:rFonts w:ascii="Arial" w:hAnsi="Arial"/>
      <w:b/>
    </w:rPr>
  </w:style>
  <w:style w:type="paragraph" w:customStyle="1" w:styleId="HS">
    <w:name w:val="HS"/>
    <w:aliases w:val="Subdiv Heading"/>
    <w:basedOn w:val="Normal"/>
    <w:next w:val="HR"/>
    <w:rsid w:val="00EF6894"/>
    <w:pPr>
      <w:keepNext/>
      <w:keepLines/>
      <w:spacing w:before="360"/>
      <w:ind w:left="2410" w:hanging="2410"/>
    </w:pPr>
    <w:rPr>
      <w:rFonts w:ascii="Arial" w:hAnsi="Arial"/>
      <w:b/>
    </w:rPr>
  </w:style>
  <w:style w:type="paragraph" w:customStyle="1" w:styleId="HSR">
    <w:name w:val="HSR"/>
    <w:aliases w:val="Subregulation Heading"/>
    <w:basedOn w:val="Normal"/>
    <w:next w:val="Normal"/>
    <w:rsid w:val="00EF6894"/>
    <w:pPr>
      <w:keepNext/>
      <w:spacing w:before="300"/>
      <w:ind w:left="964"/>
    </w:pPr>
    <w:rPr>
      <w:rFonts w:ascii="Arial" w:hAnsi="Arial"/>
      <w:i/>
    </w:rPr>
  </w:style>
  <w:style w:type="paragraph" w:styleId="Index1">
    <w:name w:val="index 1"/>
    <w:basedOn w:val="Normal"/>
    <w:next w:val="Normal"/>
    <w:autoRedefine/>
    <w:rsid w:val="00EF6894"/>
    <w:pPr>
      <w:ind w:left="240" w:hanging="240"/>
    </w:pPr>
  </w:style>
  <w:style w:type="paragraph" w:styleId="Index2">
    <w:name w:val="index 2"/>
    <w:basedOn w:val="Normal"/>
    <w:next w:val="Normal"/>
    <w:autoRedefine/>
    <w:rsid w:val="00EF6894"/>
    <w:pPr>
      <w:ind w:left="480" w:hanging="240"/>
    </w:pPr>
  </w:style>
  <w:style w:type="paragraph" w:styleId="Index3">
    <w:name w:val="index 3"/>
    <w:basedOn w:val="Normal"/>
    <w:next w:val="Normal"/>
    <w:autoRedefine/>
    <w:rsid w:val="00EF6894"/>
    <w:pPr>
      <w:ind w:left="720" w:hanging="240"/>
    </w:pPr>
  </w:style>
  <w:style w:type="paragraph" w:styleId="Index4">
    <w:name w:val="index 4"/>
    <w:basedOn w:val="Normal"/>
    <w:next w:val="Normal"/>
    <w:autoRedefine/>
    <w:rsid w:val="00EF6894"/>
    <w:pPr>
      <w:ind w:left="960" w:hanging="240"/>
    </w:pPr>
  </w:style>
  <w:style w:type="paragraph" w:styleId="Index5">
    <w:name w:val="index 5"/>
    <w:basedOn w:val="Normal"/>
    <w:next w:val="Normal"/>
    <w:autoRedefine/>
    <w:rsid w:val="00EF6894"/>
    <w:pPr>
      <w:ind w:left="1200" w:hanging="240"/>
    </w:pPr>
  </w:style>
  <w:style w:type="paragraph" w:styleId="Index6">
    <w:name w:val="index 6"/>
    <w:basedOn w:val="Normal"/>
    <w:next w:val="Normal"/>
    <w:autoRedefine/>
    <w:rsid w:val="00EF6894"/>
    <w:pPr>
      <w:ind w:left="1440" w:hanging="240"/>
    </w:pPr>
  </w:style>
  <w:style w:type="paragraph" w:styleId="Index7">
    <w:name w:val="index 7"/>
    <w:basedOn w:val="Normal"/>
    <w:next w:val="Normal"/>
    <w:autoRedefine/>
    <w:rsid w:val="00EF6894"/>
    <w:pPr>
      <w:ind w:left="1680" w:hanging="240"/>
    </w:pPr>
  </w:style>
  <w:style w:type="paragraph" w:styleId="Index8">
    <w:name w:val="index 8"/>
    <w:basedOn w:val="Normal"/>
    <w:next w:val="Normal"/>
    <w:autoRedefine/>
    <w:rsid w:val="00EF6894"/>
    <w:pPr>
      <w:ind w:left="1920" w:hanging="240"/>
    </w:pPr>
  </w:style>
  <w:style w:type="paragraph" w:styleId="Index9">
    <w:name w:val="index 9"/>
    <w:basedOn w:val="Normal"/>
    <w:next w:val="Normal"/>
    <w:autoRedefine/>
    <w:rsid w:val="00EF6894"/>
    <w:pPr>
      <w:ind w:left="2160" w:hanging="240"/>
    </w:pPr>
  </w:style>
  <w:style w:type="paragraph" w:styleId="IndexHeading">
    <w:name w:val="index heading"/>
    <w:basedOn w:val="Normal"/>
    <w:next w:val="Index1"/>
    <w:rsid w:val="00EF6894"/>
    <w:rPr>
      <w:rFonts w:ascii="Arial" w:hAnsi="Arial" w:cs="Arial"/>
      <w:b/>
      <w:bCs/>
    </w:rPr>
  </w:style>
  <w:style w:type="paragraph" w:customStyle="1" w:styleId="Lt">
    <w:name w:val="Lt"/>
    <w:aliases w:val="Long title"/>
    <w:basedOn w:val="Normal"/>
    <w:rsid w:val="00EF6894"/>
    <w:pPr>
      <w:spacing w:before="260"/>
    </w:pPr>
    <w:rPr>
      <w:rFonts w:ascii="Arial" w:hAnsi="Arial"/>
      <w:b/>
      <w:sz w:val="28"/>
    </w:rPr>
  </w:style>
  <w:style w:type="paragraph" w:customStyle="1" w:styleId="M1">
    <w:name w:val="M1"/>
    <w:aliases w:val="Modification Heading"/>
    <w:basedOn w:val="Normal"/>
    <w:next w:val="Normal"/>
    <w:rsid w:val="00EF6894"/>
    <w:pPr>
      <w:keepNext/>
      <w:spacing w:before="480" w:line="260" w:lineRule="exact"/>
      <w:ind w:left="964" w:hanging="964"/>
    </w:pPr>
    <w:rPr>
      <w:rFonts w:ascii="Arial" w:hAnsi="Arial"/>
      <w:b/>
    </w:rPr>
  </w:style>
  <w:style w:type="paragraph" w:customStyle="1" w:styleId="M2">
    <w:name w:val="M2"/>
    <w:aliases w:val="Modification Instruction"/>
    <w:basedOn w:val="Normal"/>
    <w:next w:val="Normal"/>
    <w:rsid w:val="00EF6894"/>
    <w:pPr>
      <w:keepNext/>
      <w:spacing w:before="120" w:line="260" w:lineRule="exact"/>
      <w:ind w:left="964"/>
    </w:pPr>
    <w:rPr>
      <w:i/>
    </w:rPr>
  </w:style>
  <w:style w:type="paragraph" w:customStyle="1" w:styleId="M3">
    <w:name w:val="M3"/>
    <w:aliases w:val="Modification Text"/>
    <w:basedOn w:val="Normal"/>
    <w:next w:val="M1"/>
    <w:rsid w:val="00EF6894"/>
    <w:pPr>
      <w:spacing w:before="60" w:line="260" w:lineRule="exact"/>
      <w:ind w:left="1247"/>
      <w:jc w:val="both"/>
    </w:pPr>
  </w:style>
  <w:style w:type="paragraph" w:styleId="MacroText">
    <w:name w:val="macro"/>
    <w:link w:val="MacroTextChar"/>
    <w:rsid w:val="00EF689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uiPriority w:val="99"/>
    <w:rsid w:val="008F5830"/>
    <w:rPr>
      <w:rFonts w:ascii="Courier New" w:hAnsi="Courier New" w:cs="Courier New"/>
      <w:lang w:val="en-AU" w:eastAsia="en-US" w:bidi="ar-SA"/>
    </w:rPr>
  </w:style>
  <w:style w:type="paragraph" w:customStyle="1" w:styleId="MainBodySectionBreak">
    <w:name w:val="MainBody Section Break"/>
    <w:basedOn w:val="Normal"/>
    <w:next w:val="Normal"/>
    <w:rsid w:val="00EF6894"/>
  </w:style>
  <w:style w:type="paragraph" w:customStyle="1" w:styleId="Maker">
    <w:name w:val="Maker"/>
    <w:basedOn w:val="Normal"/>
    <w:rsid w:val="00EF6894"/>
    <w:pPr>
      <w:tabs>
        <w:tab w:val="left" w:pos="3119"/>
      </w:tabs>
      <w:spacing w:line="300" w:lineRule="atLeast"/>
    </w:pPr>
  </w:style>
  <w:style w:type="paragraph" w:customStyle="1" w:styleId="MHD">
    <w:name w:val="MHD"/>
    <w:aliases w:val="Mod Division Heading"/>
    <w:basedOn w:val="Normal"/>
    <w:next w:val="Normal"/>
    <w:rsid w:val="00EF6894"/>
    <w:pPr>
      <w:keepNext/>
      <w:spacing w:before="360"/>
      <w:ind w:left="2410" w:hanging="2410"/>
    </w:pPr>
    <w:rPr>
      <w:b/>
      <w:sz w:val="28"/>
    </w:rPr>
  </w:style>
  <w:style w:type="paragraph" w:customStyle="1" w:styleId="MHP">
    <w:name w:val="MHP"/>
    <w:aliases w:val="Mod Part Heading"/>
    <w:basedOn w:val="Normal"/>
    <w:next w:val="Normal"/>
    <w:rsid w:val="00EF6894"/>
    <w:pPr>
      <w:keepNext/>
      <w:spacing w:before="360"/>
      <w:ind w:left="2410" w:hanging="2410"/>
    </w:pPr>
    <w:rPr>
      <w:b/>
      <w:sz w:val="32"/>
    </w:rPr>
  </w:style>
  <w:style w:type="paragraph" w:customStyle="1" w:styleId="MHR">
    <w:name w:val="MHR"/>
    <w:aliases w:val="Mod Regulation Heading"/>
    <w:basedOn w:val="Normal"/>
    <w:next w:val="Normal"/>
    <w:rsid w:val="00EF6894"/>
    <w:pPr>
      <w:keepNext/>
      <w:spacing w:before="360"/>
      <w:ind w:left="964" w:hanging="964"/>
    </w:pPr>
    <w:rPr>
      <w:b/>
    </w:rPr>
  </w:style>
  <w:style w:type="paragraph" w:customStyle="1" w:styleId="MHS">
    <w:name w:val="MHS"/>
    <w:aliases w:val="Mod Subdivision Heading"/>
    <w:basedOn w:val="Normal"/>
    <w:next w:val="MHR"/>
    <w:rsid w:val="00EF6894"/>
    <w:pPr>
      <w:keepNext/>
      <w:spacing w:before="360"/>
      <w:ind w:left="2410" w:hanging="2410"/>
    </w:pPr>
    <w:rPr>
      <w:b/>
    </w:rPr>
  </w:style>
  <w:style w:type="paragraph" w:customStyle="1" w:styleId="MHSR">
    <w:name w:val="MHSR"/>
    <w:aliases w:val="Mod Subregulation Heading"/>
    <w:basedOn w:val="Normal"/>
    <w:next w:val="Normal"/>
    <w:rsid w:val="00EF6894"/>
    <w:pPr>
      <w:keepNext/>
      <w:spacing w:before="300"/>
      <w:ind w:left="964" w:hanging="964"/>
    </w:pPr>
    <w:rPr>
      <w:i/>
    </w:rPr>
  </w:style>
  <w:style w:type="paragraph" w:customStyle="1" w:styleId="Note">
    <w:name w:val="Note"/>
    <w:basedOn w:val="Normal"/>
    <w:uiPriority w:val="99"/>
    <w:rsid w:val="00EF6894"/>
    <w:pPr>
      <w:keepLines/>
      <w:spacing w:before="120" w:line="220" w:lineRule="exact"/>
      <w:ind w:left="964"/>
      <w:jc w:val="both"/>
    </w:pPr>
    <w:rPr>
      <w:sz w:val="20"/>
    </w:rPr>
  </w:style>
  <w:style w:type="paragraph" w:customStyle="1" w:styleId="NoteEnd">
    <w:name w:val="Note End"/>
    <w:basedOn w:val="Normal"/>
    <w:rsid w:val="00EF6894"/>
    <w:pPr>
      <w:keepLines/>
      <w:spacing w:before="120" w:line="240" w:lineRule="exact"/>
      <w:ind w:left="567" w:hanging="567"/>
      <w:jc w:val="both"/>
    </w:pPr>
    <w:rPr>
      <w:sz w:val="22"/>
    </w:rPr>
  </w:style>
  <w:style w:type="paragraph" w:customStyle="1" w:styleId="Notepara">
    <w:name w:val="Note para"/>
    <w:basedOn w:val="Normal"/>
    <w:rsid w:val="00EF6894"/>
    <w:pPr>
      <w:keepLines/>
      <w:spacing w:before="60" w:line="220" w:lineRule="exact"/>
      <w:ind w:left="1304" w:hanging="340"/>
      <w:jc w:val="both"/>
    </w:pPr>
    <w:rPr>
      <w:sz w:val="20"/>
    </w:rPr>
  </w:style>
  <w:style w:type="paragraph" w:customStyle="1" w:styleId="NotesSectionBreak">
    <w:name w:val="NotesSectionBreak"/>
    <w:basedOn w:val="Normal"/>
    <w:next w:val="Normal"/>
    <w:rsid w:val="00EF6894"/>
  </w:style>
  <w:style w:type="paragraph" w:customStyle="1" w:styleId="P1">
    <w:name w:val="P1"/>
    <w:aliases w:val="(a)"/>
    <w:basedOn w:val="Normal"/>
    <w:link w:val="P1Char"/>
    <w:rsid w:val="00EF6894"/>
    <w:pPr>
      <w:keepLines/>
      <w:tabs>
        <w:tab w:val="right" w:pos="1191"/>
      </w:tabs>
      <w:spacing w:before="60" w:line="260" w:lineRule="exact"/>
      <w:ind w:left="1418" w:hanging="1418"/>
      <w:jc w:val="both"/>
    </w:pPr>
  </w:style>
  <w:style w:type="paragraph" w:customStyle="1" w:styleId="P2">
    <w:name w:val="P2"/>
    <w:aliases w:val="(i)"/>
    <w:basedOn w:val="Normal"/>
    <w:rsid w:val="00EF6894"/>
    <w:pPr>
      <w:keepLines/>
      <w:tabs>
        <w:tab w:val="right" w:pos="1758"/>
        <w:tab w:val="left" w:pos="2155"/>
      </w:tabs>
      <w:spacing w:before="60" w:line="260" w:lineRule="exact"/>
      <w:ind w:left="1985" w:hanging="1985"/>
      <w:jc w:val="both"/>
    </w:pPr>
  </w:style>
  <w:style w:type="paragraph" w:customStyle="1" w:styleId="P3">
    <w:name w:val="P3"/>
    <w:aliases w:val="(A)"/>
    <w:basedOn w:val="Normal"/>
    <w:rsid w:val="00EF6894"/>
    <w:pPr>
      <w:tabs>
        <w:tab w:val="right" w:pos="2410"/>
      </w:tabs>
      <w:spacing w:before="60" w:line="260" w:lineRule="exact"/>
      <w:ind w:left="2693" w:hanging="2693"/>
      <w:jc w:val="both"/>
    </w:pPr>
  </w:style>
  <w:style w:type="paragraph" w:customStyle="1" w:styleId="P4">
    <w:name w:val="P4"/>
    <w:aliases w:val="(I)"/>
    <w:basedOn w:val="Normal"/>
    <w:rsid w:val="00EF6894"/>
    <w:pPr>
      <w:tabs>
        <w:tab w:val="right" w:pos="3119"/>
      </w:tabs>
      <w:spacing w:before="60" w:line="260" w:lineRule="exact"/>
      <w:ind w:left="3419" w:hanging="3419"/>
      <w:jc w:val="both"/>
    </w:pPr>
  </w:style>
  <w:style w:type="paragraph" w:customStyle="1" w:styleId="PageBreak">
    <w:name w:val="PageBreak"/>
    <w:aliases w:val="pb"/>
    <w:basedOn w:val="Normal"/>
    <w:next w:val="Normal"/>
    <w:rsid w:val="00EF6894"/>
    <w:rPr>
      <w:sz w:val="4"/>
      <w:szCs w:val="2"/>
    </w:rPr>
  </w:style>
  <w:style w:type="paragraph" w:customStyle="1" w:styleId="Penalty">
    <w:name w:val="Penalty"/>
    <w:basedOn w:val="Normal"/>
    <w:next w:val="Normal"/>
    <w:rsid w:val="00EF6894"/>
    <w:pPr>
      <w:spacing w:before="180" w:line="260" w:lineRule="exact"/>
      <w:ind w:left="964"/>
      <w:jc w:val="both"/>
    </w:pPr>
  </w:style>
  <w:style w:type="paragraph" w:customStyle="1" w:styleId="Query">
    <w:name w:val="Query"/>
    <w:aliases w:val="QY"/>
    <w:basedOn w:val="Normal"/>
    <w:rsid w:val="00EF6894"/>
    <w:pPr>
      <w:spacing w:before="180" w:line="260" w:lineRule="exact"/>
      <w:ind w:left="964" w:hanging="964"/>
      <w:jc w:val="both"/>
    </w:pPr>
    <w:rPr>
      <w:b/>
      <w:i/>
    </w:rPr>
  </w:style>
  <w:style w:type="paragraph" w:customStyle="1" w:styleId="R1">
    <w:name w:val="R1"/>
    <w:aliases w:val="1. or 1.(1)"/>
    <w:basedOn w:val="Normal"/>
    <w:next w:val="R2"/>
    <w:rsid w:val="00EF6894"/>
    <w:pPr>
      <w:keepLines/>
      <w:tabs>
        <w:tab w:val="right" w:pos="794"/>
      </w:tabs>
      <w:spacing w:before="120" w:line="260" w:lineRule="exact"/>
      <w:ind w:left="964" w:hanging="964"/>
      <w:jc w:val="both"/>
    </w:pPr>
  </w:style>
  <w:style w:type="paragraph" w:customStyle="1" w:styleId="R2">
    <w:name w:val="R2"/>
    <w:aliases w:val="(2)"/>
    <w:basedOn w:val="Normal"/>
    <w:uiPriority w:val="99"/>
    <w:rsid w:val="00EF6894"/>
    <w:pPr>
      <w:keepLines/>
      <w:tabs>
        <w:tab w:val="right" w:pos="794"/>
      </w:tabs>
      <w:spacing w:before="180" w:line="260" w:lineRule="exact"/>
      <w:ind w:left="964" w:hanging="964"/>
      <w:jc w:val="both"/>
    </w:pPr>
  </w:style>
  <w:style w:type="paragraph" w:customStyle="1" w:styleId="Rc">
    <w:name w:val="Rc"/>
    <w:aliases w:val="Rn continued"/>
    <w:basedOn w:val="Normal"/>
    <w:next w:val="R2"/>
    <w:rsid w:val="00EF6894"/>
    <w:pPr>
      <w:spacing w:before="60" w:line="260" w:lineRule="exact"/>
      <w:ind w:left="964"/>
      <w:jc w:val="both"/>
    </w:pPr>
  </w:style>
  <w:style w:type="paragraph" w:customStyle="1" w:styleId="ReadersGuideSectionBreak">
    <w:name w:val="ReadersGuideSectionBreak"/>
    <w:basedOn w:val="Normal"/>
    <w:next w:val="Normal"/>
    <w:rsid w:val="00EF6894"/>
  </w:style>
  <w:style w:type="paragraph" w:customStyle="1" w:styleId="RGHead">
    <w:name w:val="RGHead"/>
    <w:basedOn w:val="Normal"/>
    <w:next w:val="Normal"/>
    <w:rsid w:val="00EF6894"/>
    <w:pPr>
      <w:keepNext/>
      <w:spacing w:before="360"/>
    </w:pPr>
    <w:rPr>
      <w:rFonts w:ascii="Arial" w:hAnsi="Arial"/>
      <w:b/>
      <w:sz w:val="32"/>
    </w:rPr>
  </w:style>
  <w:style w:type="paragraph" w:customStyle="1" w:styleId="RGPara">
    <w:name w:val="RGPara"/>
    <w:aliases w:val="Readers Guide Para"/>
    <w:basedOn w:val="Normal"/>
    <w:rsid w:val="00EF6894"/>
    <w:pPr>
      <w:spacing w:before="120" w:line="260" w:lineRule="exact"/>
      <w:jc w:val="both"/>
    </w:pPr>
  </w:style>
  <w:style w:type="paragraph" w:customStyle="1" w:styleId="RGPtHd">
    <w:name w:val="RGPtHd"/>
    <w:aliases w:val="Readers Guide PT Heading"/>
    <w:basedOn w:val="Normal"/>
    <w:next w:val="Normal"/>
    <w:rsid w:val="00EF6894"/>
    <w:pPr>
      <w:keepNext/>
      <w:spacing w:before="360"/>
    </w:pPr>
    <w:rPr>
      <w:rFonts w:ascii="Arial" w:hAnsi="Arial"/>
      <w:b/>
      <w:sz w:val="28"/>
    </w:rPr>
  </w:style>
  <w:style w:type="paragraph" w:customStyle="1" w:styleId="RGSecHdg">
    <w:name w:val="RGSecHdg"/>
    <w:aliases w:val="Readers Guide Sec Heading"/>
    <w:basedOn w:val="Normal"/>
    <w:next w:val="RGPara"/>
    <w:rsid w:val="00EF6894"/>
    <w:pPr>
      <w:keepNext/>
      <w:spacing w:before="360"/>
      <w:ind w:left="964" w:hanging="964"/>
    </w:pPr>
    <w:rPr>
      <w:rFonts w:ascii="Arial" w:hAnsi="Arial"/>
      <w:b/>
    </w:rPr>
  </w:style>
  <w:style w:type="paragraph" w:customStyle="1" w:styleId="LandscapeSectionBreak">
    <w:name w:val="LandscapeSectionBreak"/>
    <w:basedOn w:val="Normal"/>
    <w:next w:val="Normal"/>
    <w:rsid w:val="00EF6894"/>
  </w:style>
  <w:style w:type="paragraph" w:customStyle="1" w:styleId="ScheduleDivision">
    <w:name w:val="Schedule Division"/>
    <w:basedOn w:val="Normal"/>
    <w:next w:val="ScheduleHeading"/>
    <w:rsid w:val="00EF6894"/>
    <w:pPr>
      <w:keepNext/>
      <w:keepLines/>
      <w:spacing w:before="360"/>
      <w:ind w:left="1559" w:hanging="1559"/>
    </w:pPr>
    <w:rPr>
      <w:rFonts w:ascii="Arial" w:hAnsi="Arial"/>
      <w:b/>
    </w:rPr>
  </w:style>
  <w:style w:type="character" w:customStyle="1" w:styleId="CharSchNo">
    <w:name w:val="CharSchNo"/>
    <w:basedOn w:val="DefaultParagraphFont"/>
    <w:rsid w:val="00EF6894"/>
    <w:rPr>
      <w:rFonts w:cs="Times New Roman"/>
    </w:rPr>
  </w:style>
  <w:style w:type="character" w:customStyle="1" w:styleId="CharSchText">
    <w:name w:val="CharSchText"/>
    <w:basedOn w:val="DefaultParagraphFont"/>
    <w:rsid w:val="00EF6894"/>
    <w:rPr>
      <w:rFonts w:cs="Times New Roman"/>
    </w:rPr>
  </w:style>
  <w:style w:type="paragraph" w:customStyle="1" w:styleId="IntroP1a">
    <w:name w:val="IntroP1(a)"/>
    <w:basedOn w:val="Normal"/>
    <w:rsid w:val="00EF6894"/>
    <w:pPr>
      <w:spacing w:before="60" w:line="260" w:lineRule="exact"/>
      <w:ind w:left="454" w:hanging="454"/>
      <w:jc w:val="both"/>
    </w:pPr>
  </w:style>
  <w:style w:type="character" w:customStyle="1" w:styleId="CharAmSchPTNo">
    <w:name w:val="CharAmSchPTNo"/>
    <w:basedOn w:val="DefaultParagraphFont"/>
    <w:rsid w:val="00EF6894"/>
    <w:rPr>
      <w:rFonts w:cs="Times New Roman"/>
    </w:rPr>
  </w:style>
  <w:style w:type="character" w:customStyle="1" w:styleId="CharAmSchPTText">
    <w:name w:val="CharAmSchPTText"/>
    <w:basedOn w:val="DefaultParagraphFont"/>
    <w:rsid w:val="00EF6894"/>
    <w:rPr>
      <w:rFonts w:cs="Times New Roman"/>
    </w:rPr>
  </w:style>
  <w:style w:type="paragraph" w:customStyle="1" w:styleId="Footerinfo0">
    <w:name w:val="Footerinfo"/>
    <w:basedOn w:val="Footer"/>
    <w:rsid w:val="00EF6894"/>
    <w:pPr>
      <w:spacing w:before="20"/>
    </w:pPr>
    <w:rPr>
      <w:sz w:val="12"/>
    </w:rPr>
  </w:style>
  <w:style w:type="paragraph" w:customStyle="1" w:styleId="FooterPageEven">
    <w:name w:val="FooterPageEven"/>
    <w:basedOn w:val="FooterPageOdd"/>
    <w:rsid w:val="00EF6894"/>
    <w:pPr>
      <w:jc w:val="left"/>
    </w:pPr>
  </w:style>
  <w:style w:type="paragraph" w:customStyle="1" w:styleId="FooterPageOdd">
    <w:name w:val="FooterPageOdd"/>
    <w:basedOn w:val="Footer"/>
    <w:rsid w:val="00EF6894"/>
    <w:pPr>
      <w:spacing w:before="20"/>
      <w:jc w:val="right"/>
    </w:pPr>
    <w:rPr>
      <w:i w:val="0"/>
      <w:sz w:val="22"/>
    </w:rPr>
  </w:style>
  <w:style w:type="paragraph" w:customStyle="1" w:styleId="FooterCitation">
    <w:name w:val="FooterCitation"/>
    <w:basedOn w:val="Footer"/>
    <w:rsid w:val="00EF6894"/>
    <w:pPr>
      <w:tabs>
        <w:tab w:val="clear" w:pos="3600"/>
        <w:tab w:val="clear" w:pos="7201"/>
        <w:tab w:val="center" w:pos="4153"/>
        <w:tab w:val="right" w:pos="8306"/>
      </w:tabs>
      <w:spacing w:before="20" w:line="240" w:lineRule="exact"/>
    </w:pPr>
    <w:rPr>
      <w:szCs w:val="24"/>
    </w:rPr>
  </w:style>
  <w:style w:type="paragraph" w:customStyle="1" w:styleId="SchedSectionBreak">
    <w:name w:val="SchedSectionBreak"/>
    <w:basedOn w:val="Normal"/>
    <w:next w:val="Normal"/>
    <w:rsid w:val="00EF6894"/>
  </w:style>
  <w:style w:type="paragraph" w:customStyle="1" w:styleId="ScheduleHeading">
    <w:name w:val="Schedule Heading"/>
    <w:basedOn w:val="Normal"/>
    <w:next w:val="Normal"/>
    <w:rsid w:val="00EF6894"/>
    <w:pPr>
      <w:keepNext/>
      <w:keepLines/>
      <w:spacing w:before="360"/>
      <w:ind w:left="964" w:hanging="964"/>
    </w:pPr>
    <w:rPr>
      <w:rFonts w:ascii="Arial" w:hAnsi="Arial"/>
      <w:b/>
    </w:rPr>
  </w:style>
  <w:style w:type="paragraph" w:customStyle="1" w:styleId="Schedulelist">
    <w:name w:val="Schedule list"/>
    <w:basedOn w:val="Normal"/>
    <w:rsid w:val="00EF6894"/>
    <w:pPr>
      <w:tabs>
        <w:tab w:val="right" w:pos="1985"/>
      </w:tabs>
      <w:spacing w:before="60" w:line="260" w:lineRule="exact"/>
      <w:ind w:left="454"/>
    </w:pPr>
  </w:style>
  <w:style w:type="paragraph" w:customStyle="1" w:styleId="Schedulepara">
    <w:name w:val="Schedule para"/>
    <w:basedOn w:val="Normal"/>
    <w:rsid w:val="00EF6894"/>
    <w:pPr>
      <w:tabs>
        <w:tab w:val="right" w:pos="567"/>
      </w:tabs>
      <w:spacing w:before="180" w:line="260" w:lineRule="exact"/>
      <w:ind w:left="964" w:hanging="964"/>
      <w:jc w:val="both"/>
    </w:pPr>
  </w:style>
  <w:style w:type="paragraph" w:customStyle="1" w:styleId="Schedulepart">
    <w:name w:val="Schedule part"/>
    <w:basedOn w:val="Normal"/>
    <w:rsid w:val="00EF6894"/>
    <w:pPr>
      <w:keepNext/>
      <w:keepLines/>
      <w:spacing w:before="360"/>
      <w:ind w:left="1559" w:hanging="1559"/>
    </w:pPr>
    <w:rPr>
      <w:rFonts w:ascii="Arial" w:hAnsi="Arial"/>
      <w:b/>
      <w:sz w:val="28"/>
    </w:rPr>
  </w:style>
  <w:style w:type="paragraph" w:customStyle="1" w:styleId="Schedulereference">
    <w:name w:val="Schedule reference"/>
    <w:basedOn w:val="Normal"/>
    <w:next w:val="Schedulepart"/>
    <w:rsid w:val="00EF6894"/>
    <w:pPr>
      <w:keepNext/>
      <w:keepLines/>
      <w:spacing w:before="60" w:line="200" w:lineRule="exact"/>
      <w:ind w:left="2410"/>
    </w:pPr>
    <w:rPr>
      <w:rFonts w:ascii="Arial" w:hAnsi="Arial"/>
      <w:sz w:val="18"/>
    </w:rPr>
  </w:style>
  <w:style w:type="paragraph" w:customStyle="1" w:styleId="Scheduletitle">
    <w:name w:val="Schedule title"/>
    <w:basedOn w:val="Normal"/>
    <w:next w:val="Schedulereference"/>
    <w:rsid w:val="00EF6894"/>
    <w:pPr>
      <w:keepNext/>
      <w:keepLines/>
      <w:spacing w:before="480"/>
      <w:ind w:left="2410" w:hanging="2410"/>
    </w:pPr>
    <w:rPr>
      <w:rFonts w:ascii="Arial" w:hAnsi="Arial"/>
      <w:b/>
      <w:sz w:val="32"/>
    </w:rPr>
  </w:style>
  <w:style w:type="paragraph" w:customStyle="1" w:styleId="SigningPageBreak">
    <w:name w:val="SigningPageBreak"/>
    <w:basedOn w:val="Normal"/>
    <w:next w:val="Normal"/>
    <w:rsid w:val="00EF6894"/>
  </w:style>
  <w:style w:type="paragraph" w:customStyle="1" w:styleId="SRNo">
    <w:name w:val="SRNo"/>
    <w:basedOn w:val="Normal"/>
    <w:next w:val="Normal"/>
    <w:rsid w:val="00EF6894"/>
    <w:pPr>
      <w:pBdr>
        <w:bottom w:val="single" w:sz="4" w:space="3" w:color="auto"/>
      </w:pBdr>
      <w:spacing w:before="480"/>
    </w:pPr>
    <w:rPr>
      <w:rFonts w:ascii="Arial" w:hAnsi="Arial"/>
      <w:b/>
    </w:rPr>
  </w:style>
  <w:style w:type="paragraph" w:styleId="TableofAuthorities">
    <w:name w:val="table of authorities"/>
    <w:basedOn w:val="Normal"/>
    <w:next w:val="Normal"/>
    <w:rsid w:val="00EF6894"/>
    <w:pPr>
      <w:ind w:left="240" w:hanging="240"/>
    </w:pPr>
  </w:style>
  <w:style w:type="paragraph" w:styleId="TableofFigures">
    <w:name w:val="table of figures"/>
    <w:basedOn w:val="Normal"/>
    <w:next w:val="Normal"/>
    <w:rsid w:val="00EF6894"/>
    <w:pPr>
      <w:ind w:left="480" w:hanging="480"/>
    </w:pPr>
  </w:style>
  <w:style w:type="paragraph" w:customStyle="1" w:styleId="TableColHead">
    <w:name w:val="TableColHead"/>
    <w:basedOn w:val="Normal"/>
    <w:rsid w:val="00EF6894"/>
    <w:pPr>
      <w:keepNext/>
      <w:spacing w:before="120" w:after="60" w:line="200" w:lineRule="exact"/>
    </w:pPr>
    <w:rPr>
      <w:rFonts w:ascii="Arial" w:hAnsi="Arial"/>
      <w:b/>
      <w:sz w:val="18"/>
    </w:rPr>
  </w:style>
  <w:style w:type="table" w:customStyle="1" w:styleId="TableGeneral">
    <w:name w:val="TableGeneral"/>
    <w:basedOn w:val="TableNormal"/>
    <w:rsid w:val="00EF6894"/>
    <w:pPr>
      <w:spacing w:before="60" w:after="60" w:line="240" w:lineRule="exact"/>
    </w:pPr>
    <w:rPr>
      <w:sz w:val="22"/>
    </w:rPr>
    <w:tblPr>
      <w:tblCellSpacing w:w="11" w:type="dxa"/>
    </w:tblPr>
    <w:trPr>
      <w:tblCellSpacing w:w="11" w:type="dxa"/>
    </w:trPr>
    <w:tblStylePr w:type="firstRow">
      <w:pPr>
        <w:spacing w:beforeLines="0" w:beforeAutospacing="0" w:afterLines="0" w:afterAutospacing="0" w:line="200" w:lineRule="exact"/>
      </w:pPr>
      <w:rPr>
        <w:rFonts w:ascii="Arial" w:hAnsi="Arial" w:cs="Times New Roman"/>
        <w:b/>
        <w:sz w:val="18"/>
      </w:rPr>
      <w:tblPr/>
      <w:tcPr>
        <w:tcBorders>
          <w:top w:val="nil"/>
          <w:left w:val="nil"/>
          <w:bottom w:val="single" w:sz="4" w:space="0" w:color="auto"/>
          <w:right w:val="nil"/>
          <w:insideH w:val="nil"/>
          <w:insideV w:val="nil"/>
          <w:tl2br w:val="nil"/>
          <w:tr2bl w:val="nil"/>
        </w:tcBorders>
      </w:tcPr>
    </w:tblStylePr>
    <w:tblStylePr w:type="lastRow">
      <w:rPr>
        <w:rFonts w:cs="Times New Roman"/>
      </w:rPr>
      <w:tblPr/>
      <w:tcPr>
        <w:tcBorders>
          <w:top w:val="nil"/>
          <w:left w:val="nil"/>
          <w:bottom w:val="single" w:sz="4" w:space="0" w:color="auto"/>
          <w:right w:val="nil"/>
          <w:insideH w:val="nil"/>
          <w:insideV w:val="nil"/>
          <w:tl2br w:val="nil"/>
          <w:tr2bl w:val="nil"/>
        </w:tcBorders>
      </w:tcPr>
    </w:tblStylePr>
  </w:style>
  <w:style w:type="paragraph" w:customStyle="1" w:styleId="TableP1a">
    <w:name w:val="TableP1(a)"/>
    <w:basedOn w:val="Normal"/>
    <w:rsid w:val="00EF6894"/>
    <w:pPr>
      <w:tabs>
        <w:tab w:val="right" w:pos="408"/>
      </w:tabs>
      <w:spacing w:after="60" w:line="240" w:lineRule="exact"/>
      <w:ind w:left="533" w:hanging="533"/>
    </w:pPr>
    <w:rPr>
      <w:sz w:val="22"/>
    </w:rPr>
  </w:style>
  <w:style w:type="paragraph" w:customStyle="1" w:styleId="TableP2i">
    <w:name w:val="TableP2(i)"/>
    <w:basedOn w:val="Normal"/>
    <w:rsid w:val="00EF6894"/>
    <w:pPr>
      <w:tabs>
        <w:tab w:val="right" w:pos="726"/>
      </w:tabs>
      <w:spacing w:after="60" w:line="240" w:lineRule="exact"/>
      <w:ind w:left="868" w:hanging="868"/>
    </w:pPr>
    <w:rPr>
      <w:sz w:val="22"/>
    </w:rPr>
  </w:style>
  <w:style w:type="paragraph" w:customStyle="1" w:styleId="TableText">
    <w:name w:val="TableText"/>
    <w:basedOn w:val="Normal"/>
    <w:rsid w:val="00EF6894"/>
    <w:pPr>
      <w:spacing w:before="60" w:after="60" w:line="240" w:lineRule="exact"/>
    </w:pPr>
    <w:rPr>
      <w:sz w:val="22"/>
    </w:rPr>
  </w:style>
  <w:style w:type="paragraph" w:styleId="TOAHeading">
    <w:name w:val="toa heading"/>
    <w:basedOn w:val="Normal"/>
    <w:next w:val="Normal"/>
    <w:rsid w:val="00EF6894"/>
    <w:pPr>
      <w:spacing w:before="120"/>
    </w:pPr>
    <w:rPr>
      <w:rFonts w:ascii="Arial" w:hAnsi="Arial" w:cs="Arial"/>
      <w:b/>
      <w:bCs/>
    </w:rPr>
  </w:style>
  <w:style w:type="paragraph" w:customStyle="1" w:styleId="TOC">
    <w:name w:val="TOC"/>
    <w:basedOn w:val="Normal"/>
    <w:next w:val="Normal"/>
    <w:rsid w:val="00EF6894"/>
    <w:pPr>
      <w:tabs>
        <w:tab w:val="right" w:pos="7088"/>
      </w:tabs>
    </w:pPr>
    <w:rPr>
      <w:rFonts w:ascii="Arial" w:hAnsi="Arial"/>
      <w:sz w:val="20"/>
      <w:lang w:eastAsia="en-US"/>
    </w:rPr>
  </w:style>
  <w:style w:type="paragraph" w:styleId="TOC1">
    <w:name w:val="toc 1"/>
    <w:basedOn w:val="Normal"/>
    <w:next w:val="Normal"/>
    <w:autoRedefine/>
    <w:uiPriority w:val="39"/>
    <w:rsid w:val="00EF6894"/>
    <w:pPr>
      <w:keepNext/>
      <w:tabs>
        <w:tab w:val="right" w:pos="8278"/>
      </w:tabs>
      <w:spacing w:before="120"/>
      <w:ind w:left="1843" w:hanging="1843"/>
    </w:pPr>
    <w:rPr>
      <w:rFonts w:ascii="Arial" w:hAnsi="Arial"/>
      <w:b/>
      <w:lang w:eastAsia="en-US"/>
    </w:rPr>
  </w:style>
  <w:style w:type="paragraph" w:styleId="TOC2">
    <w:name w:val="toc 2"/>
    <w:basedOn w:val="Normal"/>
    <w:next w:val="Normal"/>
    <w:autoRedefine/>
    <w:uiPriority w:val="39"/>
    <w:rsid w:val="00F54AFA"/>
    <w:pPr>
      <w:keepNext/>
      <w:tabs>
        <w:tab w:val="right" w:pos="8278"/>
      </w:tabs>
      <w:spacing w:before="240"/>
      <w:ind w:left="1843" w:right="714" w:hanging="1843"/>
    </w:pPr>
    <w:rPr>
      <w:rFonts w:ascii="Arial" w:hAnsi="Arial"/>
      <w:b/>
      <w:noProof/>
      <w:lang w:eastAsia="en-US"/>
    </w:rPr>
  </w:style>
  <w:style w:type="paragraph" w:styleId="TOC3">
    <w:name w:val="toc 3"/>
    <w:basedOn w:val="Normal"/>
    <w:next w:val="Normal"/>
    <w:autoRedefine/>
    <w:uiPriority w:val="39"/>
    <w:rsid w:val="00EF6894"/>
    <w:pPr>
      <w:keepNext/>
      <w:tabs>
        <w:tab w:val="right" w:pos="8278"/>
      </w:tabs>
      <w:spacing w:before="180" w:after="60"/>
      <w:ind w:left="1843" w:right="714" w:hanging="1843"/>
    </w:pPr>
    <w:rPr>
      <w:rFonts w:ascii="Arial" w:hAnsi="Arial"/>
      <w:b/>
      <w:sz w:val="20"/>
      <w:lang w:eastAsia="en-US"/>
    </w:rPr>
  </w:style>
  <w:style w:type="paragraph" w:styleId="TOC4">
    <w:name w:val="toc 4"/>
    <w:basedOn w:val="Normal"/>
    <w:next w:val="Normal"/>
    <w:autoRedefine/>
    <w:uiPriority w:val="39"/>
    <w:rsid w:val="00EF6894"/>
    <w:pPr>
      <w:keepNext/>
      <w:tabs>
        <w:tab w:val="right" w:pos="8278"/>
      </w:tabs>
      <w:spacing w:before="80"/>
      <w:ind w:left="1843" w:hanging="1843"/>
    </w:pPr>
    <w:rPr>
      <w:rFonts w:ascii="Arial" w:hAnsi="Arial"/>
      <w:b/>
      <w:sz w:val="18"/>
      <w:lang w:eastAsia="en-US"/>
    </w:rPr>
  </w:style>
  <w:style w:type="paragraph" w:styleId="TOC5">
    <w:name w:val="toc 5"/>
    <w:basedOn w:val="Normal"/>
    <w:next w:val="Normal"/>
    <w:autoRedefine/>
    <w:uiPriority w:val="39"/>
    <w:rsid w:val="00EF6894"/>
    <w:pPr>
      <w:tabs>
        <w:tab w:val="right" w:pos="8278"/>
      </w:tabs>
      <w:spacing w:before="40"/>
      <w:ind w:left="1843" w:right="714" w:hanging="1843"/>
    </w:pPr>
    <w:rPr>
      <w:rFonts w:ascii="Arial" w:hAnsi="Arial"/>
      <w:sz w:val="20"/>
      <w:lang w:eastAsia="en-US"/>
    </w:rPr>
  </w:style>
  <w:style w:type="paragraph" w:styleId="TOC6">
    <w:name w:val="toc 6"/>
    <w:basedOn w:val="Normal"/>
    <w:next w:val="Normal"/>
    <w:autoRedefine/>
    <w:uiPriority w:val="39"/>
    <w:rsid w:val="004C2AB6"/>
    <w:pPr>
      <w:keepNext/>
      <w:tabs>
        <w:tab w:val="right" w:pos="8278"/>
      </w:tabs>
      <w:spacing w:before="120"/>
      <w:ind w:left="1843" w:right="561" w:hanging="1843"/>
    </w:pPr>
    <w:rPr>
      <w:rFonts w:ascii="Arial" w:hAnsi="Arial"/>
      <w:noProof/>
      <w:sz w:val="20"/>
      <w:lang w:eastAsia="en-US"/>
    </w:rPr>
  </w:style>
  <w:style w:type="paragraph" w:styleId="TOC7">
    <w:name w:val="toc 7"/>
    <w:basedOn w:val="Normal"/>
    <w:next w:val="Normal"/>
    <w:autoRedefine/>
    <w:uiPriority w:val="39"/>
    <w:rsid w:val="00EF6894"/>
    <w:pPr>
      <w:tabs>
        <w:tab w:val="right" w:pos="8278"/>
      </w:tabs>
      <w:spacing w:before="240"/>
      <w:ind w:left="1134" w:right="714" w:hanging="1134"/>
    </w:pPr>
    <w:rPr>
      <w:rFonts w:ascii="Arial" w:hAnsi="Arial"/>
      <w:b/>
      <w:sz w:val="20"/>
      <w:lang w:eastAsia="en-US"/>
    </w:rPr>
  </w:style>
  <w:style w:type="paragraph" w:styleId="TOC8">
    <w:name w:val="toc 8"/>
    <w:basedOn w:val="Normal"/>
    <w:next w:val="Normal"/>
    <w:autoRedefine/>
    <w:uiPriority w:val="39"/>
    <w:rsid w:val="004C2AB6"/>
    <w:pPr>
      <w:tabs>
        <w:tab w:val="right" w:pos="8278"/>
      </w:tabs>
      <w:spacing w:before="60"/>
      <w:ind w:left="1843" w:right="714" w:hanging="1843"/>
    </w:pPr>
    <w:rPr>
      <w:rFonts w:ascii="Arial" w:hAnsi="Arial"/>
      <w:noProof/>
      <w:sz w:val="20"/>
      <w:lang w:eastAsia="en-US"/>
    </w:rPr>
  </w:style>
  <w:style w:type="paragraph" w:styleId="TOC9">
    <w:name w:val="toc 9"/>
    <w:basedOn w:val="Normal"/>
    <w:next w:val="Normal"/>
    <w:autoRedefine/>
    <w:uiPriority w:val="39"/>
    <w:rsid w:val="00EF6894"/>
    <w:pPr>
      <w:tabs>
        <w:tab w:val="right" w:pos="8278"/>
      </w:tabs>
      <w:spacing w:before="240"/>
    </w:pPr>
    <w:rPr>
      <w:rFonts w:ascii="Arial" w:hAnsi="Arial"/>
      <w:b/>
      <w:sz w:val="20"/>
      <w:lang w:eastAsia="en-US"/>
    </w:rPr>
  </w:style>
  <w:style w:type="paragraph" w:customStyle="1" w:styleId="IntroP2i">
    <w:name w:val="IntroP2(i)"/>
    <w:basedOn w:val="Normal"/>
    <w:rsid w:val="00EF6894"/>
    <w:pPr>
      <w:tabs>
        <w:tab w:val="right" w:pos="709"/>
      </w:tabs>
      <w:spacing w:before="60" w:line="260" w:lineRule="exact"/>
      <w:ind w:left="907" w:hanging="907"/>
      <w:jc w:val="both"/>
    </w:pPr>
  </w:style>
  <w:style w:type="paragraph" w:customStyle="1" w:styleId="IntroP3A">
    <w:name w:val="IntroP3(A)"/>
    <w:basedOn w:val="Normal"/>
    <w:rsid w:val="00EF6894"/>
    <w:pPr>
      <w:tabs>
        <w:tab w:val="right" w:pos="1276"/>
      </w:tabs>
      <w:spacing w:before="60" w:line="260" w:lineRule="exact"/>
      <w:ind w:left="1503" w:hanging="1503"/>
      <w:jc w:val="both"/>
    </w:pPr>
  </w:style>
  <w:style w:type="paragraph" w:customStyle="1" w:styleId="InstructorsNote">
    <w:name w:val="InstructorsNote"/>
    <w:basedOn w:val="Normal"/>
    <w:next w:val="Normal"/>
    <w:rsid w:val="00EF6894"/>
    <w:pPr>
      <w:spacing w:before="120"/>
      <w:ind w:left="958" w:hanging="958"/>
    </w:pPr>
    <w:rPr>
      <w:rFonts w:ascii="Arial" w:hAnsi="Arial" w:cs="Arial"/>
      <w:b/>
      <w:sz w:val="16"/>
      <w:szCs w:val="18"/>
      <w:lang w:eastAsia="en-US"/>
    </w:rPr>
  </w:style>
  <w:style w:type="paragraph" w:customStyle="1" w:styleId="ZA2">
    <w:name w:val="ZA2"/>
    <w:basedOn w:val="A2"/>
    <w:rsid w:val="00EF6894"/>
    <w:pPr>
      <w:keepNext/>
    </w:pPr>
  </w:style>
  <w:style w:type="paragraph" w:customStyle="1" w:styleId="ZA3">
    <w:name w:val="ZA3"/>
    <w:basedOn w:val="A3"/>
    <w:rsid w:val="00EF6894"/>
    <w:pPr>
      <w:keepNext/>
    </w:pPr>
  </w:style>
  <w:style w:type="paragraph" w:customStyle="1" w:styleId="ZA4">
    <w:name w:val="ZA4"/>
    <w:basedOn w:val="Normal"/>
    <w:next w:val="A4"/>
    <w:rsid w:val="00EF6894"/>
    <w:pPr>
      <w:keepNext/>
      <w:tabs>
        <w:tab w:val="right" w:pos="1247"/>
      </w:tabs>
      <w:spacing w:before="60" w:line="260" w:lineRule="exact"/>
      <w:ind w:left="1531" w:hanging="1531"/>
      <w:jc w:val="both"/>
    </w:pPr>
  </w:style>
  <w:style w:type="paragraph" w:customStyle="1" w:styleId="ZDD">
    <w:name w:val="ZDD"/>
    <w:aliases w:val="Dict Def"/>
    <w:basedOn w:val="DD"/>
    <w:rsid w:val="00EF6894"/>
    <w:pPr>
      <w:keepNext/>
    </w:pPr>
  </w:style>
  <w:style w:type="paragraph" w:customStyle="1" w:styleId="Zdefinition">
    <w:name w:val="Zdefinition"/>
    <w:basedOn w:val="definition"/>
    <w:rsid w:val="00EF6894"/>
    <w:pPr>
      <w:keepNext/>
    </w:pPr>
  </w:style>
  <w:style w:type="paragraph" w:customStyle="1" w:styleId="ZDP1">
    <w:name w:val="ZDP1"/>
    <w:basedOn w:val="DP1a"/>
    <w:rsid w:val="00EF6894"/>
    <w:pPr>
      <w:keepNext/>
    </w:pPr>
  </w:style>
  <w:style w:type="paragraph" w:customStyle="1" w:styleId="ZExampleBody">
    <w:name w:val="ZExample Body"/>
    <w:basedOn w:val="ExampleBody"/>
    <w:rsid w:val="00EF6894"/>
    <w:pPr>
      <w:keepNext/>
    </w:pPr>
  </w:style>
  <w:style w:type="paragraph" w:customStyle="1" w:styleId="ZNote">
    <w:name w:val="ZNote"/>
    <w:basedOn w:val="Note"/>
    <w:rsid w:val="00EF6894"/>
    <w:pPr>
      <w:keepNext/>
    </w:pPr>
  </w:style>
  <w:style w:type="paragraph" w:customStyle="1" w:styleId="ZP1">
    <w:name w:val="ZP1"/>
    <w:basedOn w:val="P1"/>
    <w:rsid w:val="00EF6894"/>
    <w:pPr>
      <w:keepNext/>
    </w:pPr>
  </w:style>
  <w:style w:type="paragraph" w:customStyle="1" w:styleId="ZP2">
    <w:name w:val="ZP2"/>
    <w:basedOn w:val="P2"/>
    <w:rsid w:val="00EF6894"/>
    <w:pPr>
      <w:keepNext/>
    </w:pPr>
  </w:style>
  <w:style w:type="paragraph" w:customStyle="1" w:styleId="ZP3">
    <w:name w:val="ZP3"/>
    <w:basedOn w:val="P3"/>
    <w:rsid w:val="00EF6894"/>
    <w:pPr>
      <w:keepNext/>
    </w:pPr>
  </w:style>
  <w:style w:type="paragraph" w:customStyle="1" w:styleId="ZR1">
    <w:name w:val="ZR1"/>
    <w:basedOn w:val="R1"/>
    <w:rsid w:val="00EF6894"/>
    <w:pPr>
      <w:keepNext/>
    </w:pPr>
  </w:style>
  <w:style w:type="paragraph" w:customStyle="1" w:styleId="ZR2">
    <w:name w:val="ZR2"/>
    <w:basedOn w:val="R2"/>
    <w:rsid w:val="00EF6894"/>
    <w:pPr>
      <w:keepNext/>
    </w:pPr>
  </w:style>
  <w:style w:type="paragraph" w:customStyle="1" w:styleId="ZRcN">
    <w:name w:val="ZRcN"/>
    <w:basedOn w:val="Rc"/>
    <w:rsid w:val="00EF6894"/>
    <w:pPr>
      <w:keepNext/>
    </w:pPr>
  </w:style>
  <w:style w:type="character" w:customStyle="1" w:styleId="TitleSuperscript">
    <w:name w:val="TitleSuperscript"/>
    <w:basedOn w:val="DefaultParagraphFont"/>
    <w:rsid w:val="00EF6894"/>
    <w:rPr>
      <w:rFonts w:ascii="Arial" w:hAnsi="Arial" w:cs="Times New Roman"/>
      <w:position w:val="6"/>
      <w:sz w:val="24"/>
      <w:szCs w:val="24"/>
      <w:vertAlign w:val="superscript"/>
    </w:rPr>
  </w:style>
  <w:style w:type="character" w:customStyle="1" w:styleId="Subscript">
    <w:name w:val="Subscript"/>
    <w:rsid w:val="00EF6894"/>
    <w:rPr>
      <w:color w:val="auto"/>
      <w:sz w:val="20"/>
      <w:vertAlign w:val="subscript"/>
    </w:rPr>
  </w:style>
  <w:style w:type="paragraph" w:customStyle="1" w:styleId="NumberLevel1">
    <w:name w:val="Number Level 1"/>
    <w:basedOn w:val="Normal"/>
    <w:rsid w:val="00EF6894"/>
    <w:pPr>
      <w:numPr>
        <w:numId w:val="5"/>
      </w:numPr>
      <w:spacing w:before="140" w:after="140" w:line="280" w:lineRule="atLeast"/>
    </w:pPr>
    <w:rPr>
      <w:rFonts w:ascii="Arial" w:hAnsi="Arial" w:cs="Arial"/>
      <w:sz w:val="22"/>
      <w:szCs w:val="22"/>
    </w:rPr>
  </w:style>
  <w:style w:type="paragraph" w:customStyle="1" w:styleId="NumberLevel2">
    <w:name w:val="Number Level 2"/>
    <w:basedOn w:val="Normal"/>
    <w:rsid w:val="00EF6894"/>
    <w:pPr>
      <w:numPr>
        <w:ilvl w:val="1"/>
        <w:numId w:val="5"/>
      </w:numPr>
      <w:spacing w:before="140" w:after="140" w:line="280" w:lineRule="atLeast"/>
    </w:pPr>
    <w:rPr>
      <w:rFonts w:ascii="Arial" w:hAnsi="Arial" w:cs="Arial"/>
      <w:sz w:val="22"/>
      <w:szCs w:val="22"/>
    </w:rPr>
  </w:style>
  <w:style w:type="paragraph" w:customStyle="1" w:styleId="NumberLevel3">
    <w:name w:val="Number Level 3"/>
    <w:basedOn w:val="Normal"/>
    <w:rsid w:val="00EF6894"/>
    <w:pPr>
      <w:numPr>
        <w:ilvl w:val="2"/>
        <w:numId w:val="5"/>
      </w:numPr>
      <w:spacing w:before="140" w:after="140" w:line="280" w:lineRule="atLeast"/>
    </w:pPr>
    <w:rPr>
      <w:rFonts w:ascii="Arial" w:hAnsi="Arial" w:cs="Arial"/>
      <w:sz w:val="22"/>
      <w:szCs w:val="22"/>
    </w:rPr>
  </w:style>
  <w:style w:type="paragraph" w:customStyle="1" w:styleId="NumberLevel4">
    <w:name w:val="Number Level 4"/>
    <w:basedOn w:val="Normal"/>
    <w:rsid w:val="00EF6894"/>
    <w:pPr>
      <w:numPr>
        <w:ilvl w:val="3"/>
        <w:numId w:val="5"/>
      </w:numPr>
      <w:spacing w:after="140" w:line="280" w:lineRule="atLeast"/>
    </w:pPr>
    <w:rPr>
      <w:rFonts w:ascii="Arial" w:hAnsi="Arial" w:cs="Arial"/>
      <w:sz w:val="22"/>
      <w:szCs w:val="22"/>
    </w:rPr>
  </w:style>
  <w:style w:type="paragraph" w:customStyle="1" w:styleId="NumberLevel5">
    <w:name w:val="Number Level 5"/>
    <w:basedOn w:val="Normal"/>
    <w:semiHidden/>
    <w:rsid w:val="00EF6894"/>
    <w:pPr>
      <w:numPr>
        <w:ilvl w:val="4"/>
        <w:numId w:val="5"/>
      </w:numPr>
      <w:tabs>
        <w:tab w:val="clear" w:pos="850"/>
        <w:tab w:val="num" w:pos="1492"/>
      </w:tabs>
      <w:spacing w:after="140" w:line="280" w:lineRule="atLeast"/>
      <w:ind w:left="1492" w:hanging="360"/>
    </w:pPr>
    <w:rPr>
      <w:rFonts w:ascii="Arial" w:hAnsi="Arial" w:cs="Arial"/>
      <w:sz w:val="22"/>
      <w:szCs w:val="22"/>
    </w:rPr>
  </w:style>
  <w:style w:type="paragraph" w:customStyle="1" w:styleId="NumberLevel6">
    <w:name w:val="Number Level 6"/>
    <w:basedOn w:val="NumberLevel5"/>
    <w:semiHidden/>
    <w:rsid w:val="00EF6894"/>
    <w:pPr>
      <w:numPr>
        <w:ilvl w:val="5"/>
      </w:numPr>
      <w:tabs>
        <w:tab w:val="clear" w:pos="1276"/>
        <w:tab w:val="num" w:pos="1492"/>
      </w:tabs>
      <w:ind w:left="1492" w:hanging="360"/>
    </w:pPr>
  </w:style>
  <w:style w:type="paragraph" w:customStyle="1" w:styleId="NumberLevel9">
    <w:name w:val="Number Level 9"/>
    <w:basedOn w:val="Normal"/>
    <w:semiHidden/>
    <w:rsid w:val="00EF6894"/>
    <w:pPr>
      <w:numPr>
        <w:ilvl w:val="8"/>
        <w:numId w:val="5"/>
      </w:numPr>
      <w:tabs>
        <w:tab w:val="clear" w:pos="2551"/>
        <w:tab w:val="num" w:pos="643"/>
      </w:tabs>
      <w:spacing w:after="140" w:line="280" w:lineRule="atLeast"/>
      <w:ind w:left="643" w:hanging="360"/>
    </w:pPr>
    <w:rPr>
      <w:rFonts w:ascii="Arial" w:hAnsi="Arial" w:cs="Arial"/>
      <w:sz w:val="22"/>
      <w:szCs w:val="22"/>
    </w:rPr>
  </w:style>
  <w:style w:type="paragraph" w:customStyle="1" w:styleId="EquationNote">
    <w:name w:val="EquationNote"/>
    <w:basedOn w:val="Normal"/>
    <w:rsid w:val="00EF6894"/>
    <w:pPr>
      <w:tabs>
        <w:tab w:val="right" w:pos="9000"/>
      </w:tabs>
      <w:spacing w:before="60"/>
      <w:ind w:left="360" w:hanging="360"/>
    </w:pPr>
    <w:rPr>
      <w:rFonts w:ascii="Arial" w:hAnsi="Arial" w:cs="Arial"/>
      <w:iCs/>
      <w:sz w:val="18"/>
      <w:szCs w:val="20"/>
      <w:lang w:eastAsia="en-US"/>
    </w:rPr>
  </w:style>
  <w:style w:type="paragraph" w:customStyle="1" w:styleId="Equation">
    <w:name w:val="Equation"/>
    <w:basedOn w:val="Normal"/>
    <w:rsid w:val="00EF6894"/>
    <w:pPr>
      <w:tabs>
        <w:tab w:val="right" w:leader="dot" w:pos="9000"/>
      </w:tabs>
      <w:spacing w:before="240" w:line="312" w:lineRule="auto"/>
    </w:pPr>
    <w:rPr>
      <w:rFonts w:ascii="Arial" w:hAnsi="Arial" w:cs="Arial"/>
      <w:sz w:val="20"/>
      <w:szCs w:val="20"/>
      <w:lang w:eastAsia="en-US"/>
    </w:rPr>
  </w:style>
  <w:style w:type="paragraph" w:customStyle="1" w:styleId="Table">
    <w:name w:val="Table"/>
    <w:basedOn w:val="Normal"/>
    <w:rsid w:val="00EF6894"/>
    <w:pPr>
      <w:tabs>
        <w:tab w:val="left" w:pos="180"/>
      </w:tabs>
      <w:spacing w:before="60" w:line="312" w:lineRule="auto"/>
    </w:pPr>
    <w:rPr>
      <w:rFonts w:ascii="Arial" w:hAnsi="Arial" w:cs="Arial"/>
      <w:sz w:val="16"/>
      <w:szCs w:val="20"/>
      <w:lang w:eastAsia="en-US"/>
    </w:rPr>
  </w:style>
  <w:style w:type="paragraph" w:customStyle="1" w:styleId="Text">
    <w:name w:val="Text"/>
    <w:link w:val="TextChar"/>
    <w:rsid w:val="00EF6894"/>
    <w:pPr>
      <w:spacing w:before="240" w:line="312" w:lineRule="auto"/>
    </w:pPr>
    <w:rPr>
      <w:lang w:eastAsia="en-US"/>
    </w:rPr>
  </w:style>
  <w:style w:type="paragraph" w:customStyle="1" w:styleId="TableCentre">
    <w:name w:val="TableCentre"/>
    <w:basedOn w:val="Table"/>
    <w:rsid w:val="00EF6894"/>
    <w:pPr>
      <w:jc w:val="center"/>
    </w:pPr>
  </w:style>
  <w:style w:type="paragraph" w:customStyle="1" w:styleId="boxdot2">
    <w:name w:val="box dot2"/>
    <w:basedOn w:val="Normal"/>
    <w:rsid w:val="00EF6894"/>
    <w:pPr>
      <w:tabs>
        <w:tab w:val="right" w:pos="1309"/>
        <w:tab w:val="right" w:pos="1701"/>
      </w:tabs>
      <w:spacing w:before="60" w:line="260" w:lineRule="atLeast"/>
      <w:ind w:left="742" w:right="318" w:hanging="425"/>
      <w:jc w:val="both"/>
    </w:pPr>
    <w:rPr>
      <w:rFonts w:ascii="Helvetica" w:hAnsi="Helvetica"/>
      <w:sz w:val="22"/>
    </w:rPr>
  </w:style>
  <w:style w:type="paragraph" w:customStyle="1" w:styleId="Notebox">
    <w:name w:val="Note box"/>
    <w:basedOn w:val="Normal"/>
    <w:rsid w:val="00EF6894"/>
    <w:pPr>
      <w:spacing w:before="240" w:line="260" w:lineRule="atLeast"/>
      <w:ind w:left="317" w:right="318"/>
      <w:jc w:val="both"/>
    </w:pPr>
    <w:rPr>
      <w:rFonts w:ascii="Helvetica" w:hAnsi="Helvetica"/>
      <w:sz w:val="22"/>
    </w:rPr>
  </w:style>
  <w:style w:type="paragraph" w:customStyle="1" w:styleId="Quotation">
    <w:name w:val="Quotation"/>
    <w:basedOn w:val="Normal"/>
    <w:semiHidden/>
    <w:rsid w:val="00EF6894"/>
    <w:pPr>
      <w:numPr>
        <w:numId w:val="6"/>
      </w:numPr>
      <w:spacing w:after="140" w:line="260" w:lineRule="atLeast"/>
    </w:pPr>
    <w:rPr>
      <w:rFonts w:ascii="Arial" w:hAnsi="Arial" w:cs="Arial"/>
      <w:sz w:val="20"/>
      <w:szCs w:val="22"/>
    </w:rPr>
  </w:style>
  <w:style w:type="paragraph" w:customStyle="1" w:styleId="Quotation1">
    <w:name w:val="Quotation 1"/>
    <w:basedOn w:val="Normal"/>
    <w:rsid w:val="00EF6894"/>
    <w:pPr>
      <w:numPr>
        <w:ilvl w:val="1"/>
        <w:numId w:val="6"/>
      </w:numPr>
      <w:spacing w:after="140" w:line="260" w:lineRule="atLeast"/>
    </w:pPr>
    <w:rPr>
      <w:rFonts w:ascii="Arial" w:hAnsi="Arial" w:cs="Arial"/>
      <w:sz w:val="20"/>
      <w:szCs w:val="22"/>
    </w:rPr>
  </w:style>
  <w:style w:type="paragraph" w:customStyle="1" w:styleId="Quotation2">
    <w:name w:val="Quotation 2"/>
    <w:basedOn w:val="Normal"/>
    <w:semiHidden/>
    <w:rsid w:val="00EF6894"/>
    <w:pPr>
      <w:numPr>
        <w:ilvl w:val="2"/>
        <w:numId w:val="6"/>
      </w:numPr>
      <w:spacing w:after="140" w:line="260" w:lineRule="atLeast"/>
    </w:pPr>
    <w:rPr>
      <w:rFonts w:ascii="Arial" w:hAnsi="Arial" w:cs="Arial"/>
      <w:sz w:val="20"/>
      <w:szCs w:val="22"/>
    </w:rPr>
  </w:style>
  <w:style w:type="paragraph" w:customStyle="1" w:styleId="Quotation3">
    <w:name w:val="Quotation 3"/>
    <w:basedOn w:val="Normal"/>
    <w:semiHidden/>
    <w:rsid w:val="00EF6894"/>
    <w:pPr>
      <w:numPr>
        <w:ilvl w:val="3"/>
        <w:numId w:val="6"/>
      </w:numPr>
      <w:spacing w:after="140" w:line="260" w:lineRule="atLeast"/>
    </w:pPr>
    <w:rPr>
      <w:rFonts w:ascii="Arial" w:hAnsi="Arial" w:cs="Arial"/>
      <w:sz w:val="20"/>
      <w:szCs w:val="22"/>
    </w:rPr>
  </w:style>
  <w:style w:type="paragraph" w:customStyle="1" w:styleId="Quotation4">
    <w:name w:val="Quotation 4"/>
    <w:basedOn w:val="Normal"/>
    <w:semiHidden/>
    <w:rsid w:val="00EF6894"/>
    <w:pPr>
      <w:numPr>
        <w:ilvl w:val="4"/>
        <w:numId w:val="6"/>
      </w:numPr>
      <w:spacing w:after="140" w:line="260" w:lineRule="atLeast"/>
    </w:pPr>
    <w:rPr>
      <w:rFonts w:ascii="Arial" w:hAnsi="Arial" w:cs="Arial"/>
      <w:sz w:val="20"/>
      <w:szCs w:val="22"/>
    </w:rPr>
  </w:style>
  <w:style w:type="paragraph" w:customStyle="1" w:styleId="Quotation5">
    <w:name w:val="Quotation 5"/>
    <w:basedOn w:val="Normal"/>
    <w:semiHidden/>
    <w:rsid w:val="00EF6894"/>
    <w:pPr>
      <w:numPr>
        <w:ilvl w:val="5"/>
        <w:numId w:val="6"/>
      </w:numPr>
      <w:spacing w:after="140" w:line="260" w:lineRule="atLeast"/>
    </w:pPr>
    <w:rPr>
      <w:rFonts w:ascii="Arial" w:hAnsi="Arial" w:cs="Arial"/>
      <w:sz w:val="20"/>
      <w:szCs w:val="22"/>
    </w:rPr>
  </w:style>
  <w:style w:type="paragraph" w:customStyle="1" w:styleId="Quotation6">
    <w:name w:val="Quotation 6"/>
    <w:basedOn w:val="Normal"/>
    <w:semiHidden/>
    <w:rsid w:val="00EF6894"/>
    <w:pPr>
      <w:numPr>
        <w:ilvl w:val="6"/>
        <w:numId w:val="6"/>
      </w:numPr>
      <w:spacing w:after="140" w:line="260" w:lineRule="atLeast"/>
    </w:pPr>
    <w:rPr>
      <w:rFonts w:ascii="Arial" w:hAnsi="Arial" w:cs="Arial"/>
      <w:sz w:val="20"/>
      <w:szCs w:val="22"/>
    </w:rPr>
  </w:style>
  <w:style w:type="paragraph" w:customStyle="1" w:styleId="Quotation7">
    <w:name w:val="Quotation 7"/>
    <w:basedOn w:val="Normal"/>
    <w:semiHidden/>
    <w:rsid w:val="00EF6894"/>
    <w:pPr>
      <w:numPr>
        <w:ilvl w:val="7"/>
        <w:numId w:val="6"/>
      </w:numPr>
      <w:spacing w:after="140" w:line="260" w:lineRule="atLeast"/>
    </w:pPr>
    <w:rPr>
      <w:rFonts w:ascii="Arial" w:hAnsi="Arial" w:cs="Arial"/>
      <w:sz w:val="20"/>
      <w:szCs w:val="22"/>
    </w:rPr>
  </w:style>
  <w:style w:type="paragraph" w:customStyle="1" w:styleId="Quotation8">
    <w:name w:val="Quotation 8"/>
    <w:basedOn w:val="Normal"/>
    <w:semiHidden/>
    <w:rsid w:val="00EF6894"/>
    <w:pPr>
      <w:numPr>
        <w:ilvl w:val="8"/>
        <w:numId w:val="6"/>
      </w:numPr>
      <w:spacing w:after="140" w:line="260" w:lineRule="atLeast"/>
    </w:pPr>
    <w:rPr>
      <w:rFonts w:ascii="Arial" w:hAnsi="Arial" w:cs="Arial"/>
      <w:sz w:val="20"/>
      <w:szCs w:val="22"/>
    </w:rPr>
  </w:style>
  <w:style w:type="character" w:customStyle="1" w:styleId="Superscript">
    <w:name w:val="Superscript"/>
    <w:basedOn w:val="DefaultParagraphFont"/>
    <w:rsid w:val="00EF6894"/>
    <w:rPr>
      <w:rFonts w:cs="Times New Roman"/>
      <w:vertAlign w:val="superscript"/>
    </w:rPr>
  </w:style>
  <w:style w:type="paragraph" w:customStyle="1" w:styleId="TableNote">
    <w:name w:val="TableNote"/>
    <w:basedOn w:val="Table"/>
    <w:rsid w:val="00EF6894"/>
    <w:pPr>
      <w:spacing w:before="0"/>
    </w:pPr>
  </w:style>
  <w:style w:type="paragraph" w:customStyle="1" w:styleId="Heading1Like">
    <w:name w:val="Heading1Like"/>
    <w:basedOn w:val="Heading1"/>
    <w:rsid w:val="00EF6894"/>
    <w:pPr>
      <w:spacing w:before="0" w:after="480"/>
      <w:outlineLvl w:val="9"/>
    </w:pPr>
    <w:rPr>
      <w:rFonts w:ascii="Arial Bold" w:hAnsi="Arial Bold"/>
      <w:caps/>
      <w:lang w:val="en-GB" w:eastAsia="en-US"/>
    </w:rPr>
  </w:style>
  <w:style w:type="paragraph" w:customStyle="1" w:styleId="TablePlainParagraph">
    <w:name w:val="Table: Plain Paragraph"/>
    <w:basedOn w:val="Normal"/>
    <w:rsid w:val="00EF6894"/>
    <w:pPr>
      <w:spacing w:before="60" w:after="60" w:line="240" w:lineRule="atLeast"/>
    </w:pPr>
    <w:rPr>
      <w:rFonts w:ascii="Arial" w:hAnsi="Arial" w:cs="Arial"/>
      <w:sz w:val="20"/>
      <w:szCs w:val="20"/>
    </w:rPr>
  </w:style>
  <w:style w:type="paragraph" w:customStyle="1" w:styleId="TableHeading3">
    <w:name w:val="Table: Heading 3"/>
    <w:basedOn w:val="Normal"/>
    <w:next w:val="TablePlainParagraph"/>
    <w:rsid w:val="00EF6894"/>
    <w:pPr>
      <w:keepNext/>
      <w:keepLines/>
      <w:spacing w:before="60" w:line="240" w:lineRule="atLeast"/>
    </w:pPr>
    <w:rPr>
      <w:rFonts w:ascii="Arial" w:hAnsi="Arial" w:cs="Arial"/>
      <w:b/>
      <w:i/>
      <w:sz w:val="20"/>
    </w:rPr>
  </w:style>
  <w:style w:type="character" w:customStyle="1" w:styleId="apple-style-span">
    <w:name w:val="apple-style-span"/>
    <w:basedOn w:val="DefaultParagraphFont"/>
    <w:rsid w:val="00EF6894"/>
    <w:rPr>
      <w:rFonts w:cs="Times New Roman"/>
    </w:rPr>
  </w:style>
  <w:style w:type="paragraph" w:customStyle="1" w:styleId="TableRight">
    <w:name w:val="TableRight"/>
    <w:basedOn w:val="Table"/>
    <w:rsid w:val="00EF6894"/>
    <w:pPr>
      <w:jc w:val="right"/>
    </w:pPr>
  </w:style>
  <w:style w:type="character" w:customStyle="1" w:styleId="TextChar">
    <w:name w:val="Text Char"/>
    <w:basedOn w:val="DefaultParagraphFont"/>
    <w:link w:val="Text"/>
    <w:locked/>
    <w:rsid w:val="00EF6894"/>
    <w:rPr>
      <w:lang w:val="en-AU" w:eastAsia="en-US" w:bidi="ar-SA"/>
    </w:rPr>
  </w:style>
  <w:style w:type="paragraph" w:customStyle="1" w:styleId="text0">
    <w:name w:val="text"/>
    <w:basedOn w:val="Text"/>
    <w:rsid w:val="00EF6894"/>
    <w:rPr>
      <w:rFonts w:ascii="Arial" w:hAnsi="Arial"/>
      <w:sz w:val="22"/>
    </w:rPr>
  </w:style>
  <w:style w:type="paragraph" w:customStyle="1" w:styleId="note0">
    <w:name w:val="note"/>
    <w:basedOn w:val="Normal"/>
    <w:rsid w:val="00FA2E7F"/>
    <w:pPr>
      <w:spacing w:before="120" w:line="220" w:lineRule="atLeast"/>
      <w:ind w:left="964"/>
      <w:jc w:val="both"/>
    </w:pPr>
    <w:rPr>
      <w:sz w:val="20"/>
      <w:szCs w:val="20"/>
    </w:rPr>
  </w:style>
  <w:style w:type="paragraph" w:customStyle="1" w:styleId="notepara0">
    <w:name w:val="notepara"/>
    <w:basedOn w:val="Normal"/>
    <w:rsid w:val="00FA2E7F"/>
    <w:pPr>
      <w:spacing w:before="60" w:line="220" w:lineRule="atLeast"/>
      <w:ind w:left="1304" w:hanging="340"/>
      <w:jc w:val="both"/>
    </w:pPr>
    <w:rPr>
      <w:sz w:val="20"/>
      <w:szCs w:val="20"/>
    </w:rPr>
  </w:style>
  <w:style w:type="paragraph" w:customStyle="1" w:styleId="CharChar">
    <w:name w:val="Char Char"/>
    <w:basedOn w:val="Normal"/>
    <w:rsid w:val="00681295"/>
    <w:pPr>
      <w:spacing w:before="120"/>
    </w:pPr>
    <w:rPr>
      <w:rFonts w:ascii="Arial" w:hAnsi="Arial"/>
      <w:sz w:val="22"/>
      <w:szCs w:val="20"/>
      <w:lang w:eastAsia="en-US"/>
    </w:rPr>
  </w:style>
  <w:style w:type="character" w:customStyle="1" w:styleId="subscript0">
    <w:name w:val="subscript"/>
    <w:basedOn w:val="DefaultParagraphFont"/>
    <w:rsid w:val="00774C7F"/>
    <w:rPr>
      <w:rFonts w:cs="Times New Roman"/>
      <w:color w:val="auto"/>
      <w:vertAlign w:val="subscript"/>
    </w:rPr>
  </w:style>
  <w:style w:type="character" w:customStyle="1" w:styleId="chardivtext0">
    <w:name w:val="chardivtext"/>
    <w:basedOn w:val="DefaultParagraphFont"/>
    <w:rsid w:val="00257CE2"/>
    <w:rPr>
      <w:rFonts w:cs="Times New Roman"/>
    </w:rPr>
  </w:style>
  <w:style w:type="paragraph" w:customStyle="1" w:styleId="Bullet">
    <w:name w:val="Bullet"/>
    <w:basedOn w:val="Normal"/>
    <w:link w:val="BulletChar"/>
    <w:rsid w:val="00C933FA"/>
    <w:pPr>
      <w:numPr>
        <w:numId w:val="31"/>
      </w:numPr>
      <w:tabs>
        <w:tab w:val="left" w:pos="8400"/>
      </w:tabs>
    </w:pPr>
    <w:rPr>
      <w:rFonts w:ascii="Arial" w:hAnsi="Arial" w:cs="Arial"/>
      <w:sz w:val="22"/>
      <w:szCs w:val="22"/>
    </w:rPr>
  </w:style>
  <w:style w:type="character" w:customStyle="1" w:styleId="BulletChar">
    <w:name w:val="Bullet Char"/>
    <w:basedOn w:val="TextChar"/>
    <w:link w:val="Bullet"/>
    <w:locked/>
    <w:rsid w:val="00C933FA"/>
    <w:rPr>
      <w:rFonts w:ascii="Arial" w:hAnsi="Arial" w:cs="Arial"/>
      <w:sz w:val="22"/>
      <w:szCs w:val="22"/>
      <w:lang w:val="en-AU" w:eastAsia="en-US" w:bidi="ar-SA"/>
    </w:rPr>
  </w:style>
  <w:style w:type="paragraph" w:customStyle="1" w:styleId="Dash">
    <w:name w:val="Dash"/>
    <w:basedOn w:val="Normal"/>
    <w:link w:val="DashChar"/>
    <w:rsid w:val="00C933FA"/>
    <w:pPr>
      <w:numPr>
        <w:ilvl w:val="1"/>
        <w:numId w:val="31"/>
      </w:numPr>
      <w:tabs>
        <w:tab w:val="left" w:pos="8400"/>
      </w:tabs>
    </w:pPr>
    <w:rPr>
      <w:rFonts w:ascii="Arial" w:hAnsi="Arial" w:cs="Arial"/>
      <w:sz w:val="22"/>
      <w:szCs w:val="22"/>
    </w:rPr>
  </w:style>
  <w:style w:type="character" w:customStyle="1" w:styleId="DashChar">
    <w:name w:val="Dash Char"/>
    <w:basedOn w:val="TextChar"/>
    <w:link w:val="Dash"/>
    <w:locked/>
    <w:rsid w:val="00C933FA"/>
    <w:rPr>
      <w:rFonts w:ascii="Arial" w:hAnsi="Arial" w:cs="Arial"/>
      <w:sz w:val="22"/>
      <w:szCs w:val="22"/>
      <w:lang w:val="en-AU" w:eastAsia="en-US" w:bidi="ar-SA"/>
    </w:rPr>
  </w:style>
  <w:style w:type="paragraph" w:customStyle="1" w:styleId="DoubleDot">
    <w:name w:val="Double Dot"/>
    <w:basedOn w:val="Normal"/>
    <w:link w:val="DoubleDotChar"/>
    <w:rsid w:val="00C933FA"/>
    <w:pPr>
      <w:numPr>
        <w:ilvl w:val="2"/>
        <w:numId w:val="31"/>
      </w:numPr>
      <w:tabs>
        <w:tab w:val="left" w:pos="8400"/>
      </w:tabs>
    </w:pPr>
    <w:rPr>
      <w:rFonts w:ascii="Arial" w:hAnsi="Arial" w:cs="Arial"/>
      <w:sz w:val="22"/>
      <w:szCs w:val="22"/>
    </w:rPr>
  </w:style>
  <w:style w:type="character" w:customStyle="1" w:styleId="DoubleDotChar">
    <w:name w:val="Double Dot Char"/>
    <w:basedOn w:val="TextChar"/>
    <w:link w:val="DoubleDot"/>
    <w:locked/>
    <w:rsid w:val="00C933FA"/>
    <w:rPr>
      <w:rFonts w:ascii="Arial" w:hAnsi="Arial" w:cs="Arial"/>
      <w:sz w:val="22"/>
      <w:szCs w:val="22"/>
      <w:lang w:val="en-AU" w:eastAsia="en-US" w:bidi="ar-SA"/>
    </w:rPr>
  </w:style>
  <w:style w:type="paragraph" w:customStyle="1" w:styleId="SinglePara">
    <w:name w:val="Single Para"/>
    <w:basedOn w:val="Normal"/>
    <w:next w:val="Normal"/>
    <w:rsid w:val="00803768"/>
  </w:style>
  <w:style w:type="paragraph" w:customStyle="1" w:styleId="BoxHeading">
    <w:name w:val="Box Heading"/>
    <w:basedOn w:val="Normal"/>
    <w:next w:val="BoxText"/>
    <w:rsid w:val="00803768"/>
    <w:pPr>
      <w:keepNext/>
      <w:tabs>
        <w:tab w:val="left" w:pos="851"/>
      </w:tabs>
      <w:spacing w:before="240"/>
      <w:ind w:left="851" w:hanging="851"/>
    </w:pPr>
    <w:rPr>
      <w:b/>
      <w:color w:val="000000"/>
      <w:szCs w:val="20"/>
    </w:rPr>
  </w:style>
  <w:style w:type="paragraph" w:customStyle="1" w:styleId="BoxText">
    <w:name w:val="Box Text"/>
    <w:basedOn w:val="Normal"/>
    <w:rsid w:val="00803768"/>
    <w:pPr>
      <w:spacing w:line="260" w:lineRule="exact"/>
    </w:pPr>
    <w:rPr>
      <w:color w:val="000000"/>
      <w:szCs w:val="20"/>
    </w:rPr>
  </w:style>
  <w:style w:type="paragraph" w:customStyle="1" w:styleId="TableTextLeft">
    <w:name w:val="Table Text Left"/>
    <w:basedOn w:val="TableTextBase"/>
    <w:rsid w:val="00803768"/>
  </w:style>
  <w:style w:type="paragraph" w:customStyle="1" w:styleId="TableTextBase">
    <w:name w:val="Table Text Base"/>
    <w:rsid w:val="00803768"/>
    <w:pPr>
      <w:spacing w:before="40" w:after="40"/>
    </w:pPr>
    <w:rPr>
      <w:rFonts w:ascii="Arial" w:hAnsi="Arial"/>
      <w:color w:val="000000"/>
      <w:sz w:val="18"/>
    </w:rPr>
  </w:style>
  <w:style w:type="paragraph" w:customStyle="1" w:styleId="TableTextIndented">
    <w:name w:val="Table Text Indented"/>
    <w:basedOn w:val="TableTextBase"/>
    <w:rsid w:val="00803768"/>
    <w:pPr>
      <w:ind w:left="284"/>
    </w:pPr>
  </w:style>
  <w:style w:type="paragraph" w:customStyle="1" w:styleId="TableTextCentered">
    <w:name w:val="Table Text Centered"/>
    <w:basedOn w:val="TableTextBase"/>
    <w:rsid w:val="00803768"/>
    <w:pPr>
      <w:jc w:val="center"/>
    </w:pPr>
  </w:style>
  <w:style w:type="paragraph" w:customStyle="1" w:styleId="TableTextRight">
    <w:name w:val="Table Text Right"/>
    <w:basedOn w:val="TableTextBase"/>
    <w:rsid w:val="00803768"/>
    <w:pPr>
      <w:jc w:val="right"/>
    </w:pPr>
  </w:style>
  <w:style w:type="paragraph" w:customStyle="1" w:styleId="TableSecondHeading">
    <w:name w:val="Table Second Heading"/>
    <w:basedOn w:val="TableTextBase"/>
    <w:next w:val="Normal"/>
    <w:rsid w:val="00803768"/>
    <w:pPr>
      <w:keepNext/>
      <w:spacing w:after="20"/>
    </w:pPr>
    <w:rPr>
      <w:b/>
    </w:rPr>
  </w:style>
  <w:style w:type="paragraph" w:customStyle="1" w:styleId="TableMainHeading">
    <w:name w:val="Table Main Heading"/>
    <w:basedOn w:val="TableTextBase"/>
    <w:rsid w:val="00803768"/>
    <w:rPr>
      <w:b/>
      <w:sz w:val="20"/>
    </w:rPr>
  </w:style>
  <w:style w:type="paragraph" w:customStyle="1" w:styleId="ChartFigureHeading">
    <w:name w:val="Chart Figure Heading"/>
    <w:basedOn w:val="TableTextBase"/>
    <w:next w:val="Normal"/>
    <w:rsid w:val="00803768"/>
    <w:pPr>
      <w:jc w:val="center"/>
    </w:pPr>
    <w:rPr>
      <w:b/>
      <w:sz w:val="20"/>
    </w:rPr>
  </w:style>
  <w:style w:type="paragraph" w:customStyle="1" w:styleId="NumberedParagraph">
    <w:name w:val="Numbered Paragraph"/>
    <w:basedOn w:val="Normal"/>
    <w:rsid w:val="00803768"/>
    <w:pPr>
      <w:numPr>
        <w:numId w:val="35"/>
      </w:numPr>
    </w:pPr>
  </w:style>
  <w:style w:type="paragraph" w:customStyle="1" w:styleId="SecurityClassificationHeader">
    <w:name w:val="Security Classification Header"/>
    <w:rsid w:val="00803768"/>
    <w:pPr>
      <w:jc w:val="center"/>
    </w:pPr>
    <w:rPr>
      <w:b/>
      <w:caps/>
      <w:sz w:val="24"/>
      <w:szCs w:val="24"/>
      <w:lang w:eastAsia="en-US"/>
    </w:rPr>
  </w:style>
  <w:style w:type="paragraph" w:customStyle="1" w:styleId="SecurityClassificationFooter">
    <w:name w:val="Security Classification Footer"/>
    <w:rsid w:val="00803768"/>
    <w:pPr>
      <w:jc w:val="center"/>
    </w:pPr>
    <w:rPr>
      <w:b/>
      <w:caps/>
      <w:sz w:val="24"/>
      <w:szCs w:val="24"/>
      <w:lang w:eastAsia="en-US"/>
    </w:rPr>
  </w:style>
  <w:style w:type="character" w:styleId="PlaceholderText">
    <w:name w:val="Placeholder Text"/>
    <w:basedOn w:val="DefaultParagraphFont"/>
    <w:uiPriority w:val="99"/>
    <w:semiHidden/>
    <w:rsid w:val="00803768"/>
    <w:rPr>
      <w:rFonts w:cs="Times New Roman"/>
      <w:color w:val="808080"/>
    </w:rPr>
  </w:style>
  <w:style w:type="paragraph" w:customStyle="1" w:styleId="OutlineNumbered1">
    <w:name w:val="Outline Numbered 1"/>
    <w:basedOn w:val="Normal"/>
    <w:link w:val="OutlineNumbered1Char"/>
    <w:rsid w:val="00803768"/>
    <w:pPr>
      <w:numPr>
        <w:numId w:val="36"/>
      </w:numPr>
    </w:pPr>
    <w:rPr>
      <w:color w:val="FF0000"/>
    </w:rPr>
  </w:style>
  <w:style w:type="character" w:customStyle="1" w:styleId="P1Char">
    <w:name w:val="P1 Char"/>
    <w:aliases w:val="(a) Char"/>
    <w:basedOn w:val="DefaultParagraphFont"/>
    <w:link w:val="P1"/>
    <w:locked/>
    <w:rsid w:val="00803768"/>
    <w:rPr>
      <w:rFonts w:cs="Times New Roman"/>
      <w:sz w:val="24"/>
      <w:szCs w:val="24"/>
    </w:rPr>
  </w:style>
  <w:style w:type="character" w:customStyle="1" w:styleId="OutlineNumbered1Char">
    <w:name w:val="Outline Numbered 1 Char"/>
    <w:basedOn w:val="P1Char"/>
    <w:link w:val="OutlineNumbered1"/>
    <w:locked/>
    <w:rsid w:val="00803768"/>
    <w:rPr>
      <w:rFonts w:cs="Times New Roman"/>
      <w:color w:val="FF0000"/>
      <w:sz w:val="24"/>
      <w:szCs w:val="24"/>
    </w:rPr>
  </w:style>
  <w:style w:type="paragraph" w:customStyle="1" w:styleId="OutlineNumbered2">
    <w:name w:val="Outline Numbered 2"/>
    <w:basedOn w:val="Normal"/>
    <w:link w:val="OutlineNumbered2Char"/>
    <w:rsid w:val="00803768"/>
    <w:pPr>
      <w:numPr>
        <w:ilvl w:val="1"/>
        <w:numId w:val="36"/>
      </w:numPr>
    </w:pPr>
    <w:rPr>
      <w:color w:val="FF0000"/>
    </w:rPr>
  </w:style>
  <w:style w:type="character" w:customStyle="1" w:styleId="OutlineNumbered2Char">
    <w:name w:val="Outline Numbered 2 Char"/>
    <w:basedOn w:val="P1Char"/>
    <w:link w:val="OutlineNumbered2"/>
    <w:locked/>
    <w:rsid w:val="00803768"/>
    <w:rPr>
      <w:rFonts w:cs="Times New Roman"/>
      <w:color w:val="FF0000"/>
      <w:sz w:val="24"/>
      <w:szCs w:val="24"/>
    </w:rPr>
  </w:style>
  <w:style w:type="paragraph" w:customStyle="1" w:styleId="OutlineNumbered3">
    <w:name w:val="Outline Numbered 3"/>
    <w:basedOn w:val="Normal"/>
    <w:link w:val="OutlineNumbered3Char"/>
    <w:rsid w:val="00803768"/>
    <w:pPr>
      <w:numPr>
        <w:ilvl w:val="2"/>
        <w:numId w:val="36"/>
      </w:numPr>
    </w:pPr>
    <w:rPr>
      <w:color w:val="FF0000"/>
    </w:rPr>
  </w:style>
  <w:style w:type="character" w:customStyle="1" w:styleId="OutlineNumbered3Char">
    <w:name w:val="Outline Numbered 3 Char"/>
    <w:basedOn w:val="P1Char"/>
    <w:link w:val="OutlineNumbered3"/>
    <w:locked/>
    <w:rsid w:val="00803768"/>
    <w:rPr>
      <w:rFonts w:cs="Times New Roman"/>
      <w:color w:val="FF0000"/>
      <w:sz w:val="24"/>
      <w:szCs w:val="24"/>
    </w:rPr>
  </w:style>
  <w:style w:type="character" w:customStyle="1" w:styleId="subtitle1">
    <w:name w:val="subtitle1"/>
    <w:basedOn w:val="DefaultParagraphFont"/>
    <w:rsid w:val="00265C83"/>
    <w:rPr>
      <w:rFonts w:cs="Times New Roman"/>
      <w:b/>
      <w:bCs/>
      <w:color w:val="D12B2C"/>
      <w:sz w:val="18"/>
      <w:szCs w:val="18"/>
    </w:rPr>
  </w:style>
  <w:style w:type="paragraph" w:customStyle="1" w:styleId="Default">
    <w:name w:val="Default"/>
    <w:rsid w:val="00F22A70"/>
    <w:pPr>
      <w:widowControl w:val="0"/>
      <w:autoSpaceDE w:val="0"/>
      <w:autoSpaceDN w:val="0"/>
      <w:adjustRightInd w:val="0"/>
    </w:pPr>
    <w:rPr>
      <w:rFonts w:ascii="TimesNewRomanPS" w:hAnsi="TimesNewRomanPS" w:cs="TimesNewRomanPS"/>
      <w:color w:val="000000"/>
      <w:sz w:val="24"/>
      <w:szCs w:val="24"/>
    </w:rPr>
  </w:style>
  <w:style w:type="paragraph" w:styleId="ListParagraph">
    <w:name w:val="List Paragraph"/>
    <w:basedOn w:val="Normal"/>
    <w:uiPriority w:val="34"/>
    <w:qFormat/>
    <w:rsid w:val="00672A5A"/>
    <w:pPr>
      <w:ind w:left="720"/>
      <w:contextualSpacing/>
    </w:pPr>
  </w:style>
  <w:style w:type="paragraph" w:styleId="Revision">
    <w:name w:val="Revision"/>
    <w:hidden/>
    <w:uiPriority w:val="99"/>
    <w:semiHidden/>
    <w:rsid w:val="00E37EC5"/>
    <w:rPr>
      <w:sz w:val="24"/>
      <w:szCs w:val="24"/>
    </w:rPr>
  </w:style>
  <w:style w:type="paragraph" w:customStyle="1" w:styleId="BODY">
    <w:name w:val="BODY"/>
    <w:basedOn w:val="Normal"/>
    <w:uiPriority w:val="99"/>
    <w:rsid w:val="005F4CEE"/>
    <w:pPr>
      <w:widowControl w:val="0"/>
      <w:suppressAutoHyphens/>
      <w:autoSpaceDE w:val="0"/>
      <w:autoSpaceDN w:val="0"/>
      <w:adjustRightInd w:val="0"/>
      <w:spacing w:after="170" w:line="260" w:lineRule="atLeast"/>
      <w:textAlignment w:val="center"/>
    </w:pPr>
    <w:rPr>
      <w:rFonts w:ascii="TimesNewRomanPSMT" w:hAnsi="TimesNewRomanPSMT" w:cs="TimesNewRomanPSMT"/>
      <w:color w:val="000000"/>
      <w:sz w:val="22"/>
      <w:szCs w:val="22"/>
      <w:lang w:val="en-US" w:eastAsia="en-US"/>
    </w:rPr>
  </w:style>
  <w:style w:type="paragraph" w:customStyle="1" w:styleId="BULLET1">
    <w:name w:val="BULLET 1"/>
    <w:basedOn w:val="Normal"/>
    <w:uiPriority w:val="99"/>
    <w:rsid w:val="005F4CEE"/>
    <w:pPr>
      <w:widowControl w:val="0"/>
      <w:suppressAutoHyphens/>
      <w:autoSpaceDE w:val="0"/>
      <w:autoSpaceDN w:val="0"/>
      <w:adjustRightInd w:val="0"/>
      <w:spacing w:after="113" w:line="260" w:lineRule="atLeast"/>
      <w:ind w:left="227" w:hanging="227"/>
      <w:textAlignment w:val="center"/>
    </w:pPr>
    <w:rPr>
      <w:rFonts w:ascii="TimesNewRomanPSMT" w:hAnsi="TimesNewRomanPSMT" w:cs="TimesNewRomanPSMT"/>
      <w:color w:val="000000"/>
      <w:sz w:val="22"/>
      <w:szCs w:val="22"/>
      <w:lang w:val="en-US" w:eastAsia="en-US"/>
    </w:rPr>
  </w:style>
  <w:style w:type="paragraph" w:customStyle="1" w:styleId="TABLEFIGUREHEAD">
    <w:name w:val="TABLE/FIGURE HEAD"/>
    <w:basedOn w:val="Normal"/>
    <w:uiPriority w:val="99"/>
    <w:rsid w:val="00E15DD5"/>
    <w:pPr>
      <w:widowControl w:val="0"/>
      <w:suppressAutoHyphens/>
      <w:autoSpaceDE w:val="0"/>
      <w:autoSpaceDN w:val="0"/>
      <w:adjustRightInd w:val="0"/>
      <w:spacing w:before="170" w:after="170" w:line="240" w:lineRule="atLeast"/>
      <w:textAlignment w:val="center"/>
    </w:pPr>
    <w:rPr>
      <w:rFonts w:ascii="TimesNewRomanPS-BoldMT" w:hAnsi="TimesNewRomanPS-BoldMT" w:cs="TimesNewRomanPS-BoldMT"/>
      <w:b/>
      <w:bCs/>
      <w:color w:val="98594C"/>
      <w:sz w:val="22"/>
      <w:szCs w:val="22"/>
      <w:lang w:val="en-US" w:eastAsia="en-US"/>
    </w:rPr>
  </w:style>
  <w:style w:type="paragraph" w:customStyle="1" w:styleId="Bulleted">
    <w:name w:val="Bulleted"/>
    <w:basedOn w:val="Normal"/>
    <w:rsid w:val="00692576"/>
    <w:pPr>
      <w:numPr>
        <w:ilvl w:val="1"/>
        <w:numId w:val="42"/>
      </w:numPr>
      <w:spacing w:line="280" w:lineRule="atLeast"/>
    </w:pPr>
    <w:rPr>
      <w:rFonts w:ascii="Arial" w:hAnsi="Arial"/>
      <w:sz w:val="20"/>
      <w:lang w:val="en-US" w:eastAsia="en-US"/>
    </w:rPr>
  </w:style>
  <w:style w:type="numbering" w:styleId="ArticleSection">
    <w:name w:val="Outline List 3"/>
    <w:basedOn w:val="NoList"/>
    <w:unhideWhenUsed/>
    <w:rsid w:val="008F5830"/>
    <w:pPr>
      <w:numPr>
        <w:numId w:val="1"/>
      </w:numPr>
    </w:pPr>
  </w:style>
  <w:style w:type="numbering" w:styleId="111111">
    <w:name w:val="Outline List 2"/>
    <w:basedOn w:val="NoList"/>
    <w:unhideWhenUsed/>
    <w:rsid w:val="008F5830"/>
    <w:pPr>
      <w:numPr>
        <w:numId w:val="2"/>
      </w:numPr>
    </w:pPr>
  </w:style>
  <w:style w:type="numbering" w:styleId="1ai">
    <w:name w:val="Outline List 1"/>
    <w:basedOn w:val="NoList"/>
    <w:unhideWhenUsed/>
    <w:rsid w:val="008F5830"/>
    <w:pPr>
      <w:numPr>
        <w:numId w:val="3"/>
      </w:numPr>
    </w:pPr>
  </w:style>
  <w:style w:type="paragraph" w:customStyle="1" w:styleId="ReportTitle">
    <w:name w:val="Report Title"/>
    <w:basedOn w:val="Normal"/>
    <w:uiPriority w:val="11"/>
    <w:qFormat/>
    <w:rsid w:val="00763F49"/>
    <w:pPr>
      <w:spacing w:after="200" w:line="276" w:lineRule="auto"/>
    </w:pPr>
    <w:rPr>
      <w:rFonts w:ascii="Arial" w:eastAsia="Calibri" w:hAnsi="Arial"/>
      <w:b/>
      <w:color w:val="17365D" w:themeColor="text2" w:themeShade="BF"/>
      <w:sz w:val="52"/>
      <w:szCs w:val="22"/>
      <w:lang w:eastAsia="en-US"/>
    </w:rPr>
  </w:style>
  <w:style w:type="paragraph" w:customStyle="1" w:styleId="Reportsubtitle">
    <w:name w:val="Report sub title"/>
    <w:basedOn w:val="ReportTitle"/>
    <w:uiPriority w:val="11"/>
    <w:qFormat/>
    <w:rsid w:val="00763F49"/>
    <w:rPr>
      <w:b w:val="0"/>
      <w:color w:val="auto"/>
      <w:sz w:val="32"/>
    </w:rPr>
  </w:style>
  <w:style w:type="paragraph" w:customStyle="1" w:styleId="ActHead4">
    <w:name w:val="ActHead 4"/>
    <w:aliases w:val="sd"/>
    <w:basedOn w:val="Normal"/>
    <w:next w:val="ActHead5"/>
    <w:qFormat/>
    <w:rsid w:val="00DE42C1"/>
    <w:pPr>
      <w:keepNext/>
      <w:keepLines/>
      <w:spacing w:before="220" w:after="0" w:line="240" w:lineRule="auto"/>
      <w:ind w:left="1134" w:hanging="1134"/>
      <w:outlineLvl w:val="3"/>
    </w:pPr>
    <w:rPr>
      <w:b/>
      <w:kern w:val="28"/>
      <w:sz w:val="26"/>
      <w:szCs w:val="20"/>
    </w:rPr>
  </w:style>
  <w:style w:type="paragraph" w:customStyle="1" w:styleId="ActHead5">
    <w:name w:val="ActHead 5"/>
    <w:aliases w:val="s"/>
    <w:basedOn w:val="Normal"/>
    <w:next w:val="subsection"/>
    <w:qFormat/>
    <w:rsid w:val="00DE42C1"/>
    <w:pPr>
      <w:keepNext/>
      <w:keepLines/>
      <w:spacing w:before="280" w:after="0" w:line="240" w:lineRule="auto"/>
      <w:ind w:left="1134" w:hanging="1134"/>
      <w:outlineLvl w:val="4"/>
    </w:pPr>
    <w:rPr>
      <w:b/>
      <w:kern w:val="28"/>
      <w:szCs w:val="20"/>
    </w:rPr>
  </w:style>
  <w:style w:type="character" w:customStyle="1" w:styleId="CharSubdNo">
    <w:name w:val="CharSubdNo"/>
    <w:basedOn w:val="DefaultParagraphFont"/>
    <w:uiPriority w:val="1"/>
    <w:qFormat/>
    <w:rsid w:val="00DE42C1"/>
  </w:style>
  <w:style w:type="character" w:customStyle="1" w:styleId="CharSubdText">
    <w:name w:val="CharSubdText"/>
    <w:basedOn w:val="DefaultParagraphFont"/>
    <w:uiPriority w:val="1"/>
    <w:qFormat/>
    <w:rsid w:val="00DE42C1"/>
  </w:style>
  <w:style w:type="paragraph" w:customStyle="1" w:styleId="subsection">
    <w:name w:val="subsection"/>
    <w:aliases w:val="ss"/>
    <w:basedOn w:val="Normal"/>
    <w:link w:val="subsectionChar"/>
    <w:rsid w:val="00DE42C1"/>
    <w:pPr>
      <w:tabs>
        <w:tab w:val="right" w:pos="1021"/>
      </w:tabs>
      <w:spacing w:before="180" w:after="0" w:line="240" w:lineRule="auto"/>
      <w:ind w:left="1134" w:hanging="1134"/>
    </w:pPr>
    <w:rPr>
      <w:sz w:val="22"/>
      <w:szCs w:val="20"/>
    </w:rPr>
  </w:style>
  <w:style w:type="paragraph" w:customStyle="1" w:styleId="Definition0">
    <w:name w:val="Definition"/>
    <w:aliases w:val="dd"/>
    <w:basedOn w:val="Normal"/>
    <w:rsid w:val="00DE42C1"/>
    <w:pPr>
      <w:spacing w:before="180" w:after="0" w:line="240" w:lineRule="auto"/>
      <w:ind w:left="1134"/>
    </w:pPr>
    <w:rPr>
      <w:sz w:val="22"/>
      <w:szCs w:val="20"/>
    </w:rPr>
  </w:style>
  <w:style w:type="paragraph" w:customStyle="1" w:styleId="paragraph">
    <w:name w:val="paragraph"/>
    <w:aliases w:val="a"/>
    <w:basedOn w:val="Normal"/>
    <w:link w:val="paragraphChar"/>
    <w:rsid w:val="00DE42C1"/>
    <w:pPr>
      <w:tabs>
        <w:tab w:val="right" w:pos="1531"/>
      </w:tabs>
      <w:spacing w:before="40" w:after="0" w:line="240" w:lineRule="auto"/>
      <w:ind w:left="1644" w:hanging="1644"/>
    </w:pPr>
    <w:rPr>
      <w:sz w:val="22"/>
      <w:szCs w:val="20"/>
    </w:rPr>
  </w:style>
  <w:style w:type="paragraph" w:customStyle="1" w:styleId="subsection2">
    <w:name w:val="subsection2"/>
    <w:aliases w:val="ss2"/>
    <w:basedOn w:val="Normal"/>
    <w:next w:val="subsection"/>
    <w:rsid w:val="00DE42C1"/>
    <w:pPr>
      <w:spacing w:before="40" w:after="0" w:line="240" w:lineRule="auto"/>
      <w:ind w:left="1134"/>
    </w:pPr>
    <w:rPr>
      <w:sz w:val="22"/>
      <w:szCs w:val="20"/>
    </w:rPr>
  </w:style>
  <w:style w:type="paragraph" w:customStyle="1" w:styleId="notetext">
    <w:name w:val="note(text)"/>
    <w:aliases w:val="n"/>
    <w:basedOn w:val="Normal"/>
    <w:link w:val="notetextChar"/>
    <w:rsid w:val="00DE42C1"/>
    <w:pPr>
      <w:spacing w:before="122" w:after="0" w:line="240" w:lineRule="auto"/>
      <w:ind w:left="1985" w:hanging="851"/>
    </w:pPr>
    <w:rPr>
      <w:sz w:val="18"/>
      <w:szCs w:val="20"/>
    </w:rPr>
  </w:style>
  <w:style w:type="character" w:customStyle="1" w:styleId="subsectionChar">
    <w:name w:val="subsection Char"/>
    <w:aliases w:val="ss Char"/>
    <w:link w:val="subsection"/>
    <w:locked/>
    <w:rsid w:val="00DE42C1"/>
    <w:rPr>
      <w:sz w:val="22"/>
    </w:rPr>
  </w:style>
  <w:style w:type="character" w:customStyle="1" w:styleId="notetextChar">
    <w:name w:val="note(text) Char"/>
    <w:aliases w:val="n Char"/>
    <w:link w:val="notetext"/>
    <w:rsid w:val="00DE42C1"/>
    <w:rPr>
      <w:sz w:val="18"/>
    </w:rPr>
  </w:style>
  <w:style w:type="paragraph" w:customStyle="1" w:styleId="Tabletext0">
    <w:name w:val="Tabletext"/>
    <w:aliases w:val="tt"/>
    <w:basedOn w:val="Normal"/>
    <w:rsid w:val="00EA6088"/>
    <w:pPr>
      <w:spacing w:before="60" w:after="0" w:line="240" w:lineRule="atLeast"/>
    </w:pPr>
    <w:rPr>
      <w:sz w:val="20"/>
      <w:szCs w:val="20"/>
    </w:rPr>
  </w:style>
  <w:style w:type="paragraph" w:customStyle="1" w:styleId="paragraphsub">
    <w:name w:val="paragraph(sub)"/>
    <w:aliases w:val="aa"/>
    <w:basedOn w:val="Normal"/>
    <w:rsid w:val="00523EBB"/>
    <w:pPr>
      <w:tabs>
        <w:tab w:val="right" w:pos="1985"/>
      </w:tabs>
      <w:spacing w:before="40" w:after="0" w:line="240" w:lineRule="auto"/>
      <w:ind w:left="2098" w:hanging="2098"/>
    </w:pPr>
    <w:rPr>
      <w:sz w:val="22"/>
      <w:szCs w:val="20"/>
    </w:rPr>
  </w:style>
  <w:style w:type="character" w:customStyle="1" w:styleId="paragraphChar">
    <w:name w:val="paragraph Char"/>
    <w:aliases w:val="a Char"/>
    <w:basedOn w:val="DefaultParagraphFont"/>
    <w:link w:val="paragraph"/>
    <w:locked/>
    <w:rsid w:val="00523EBB"/>
    <w:rPr>
      <w:sz w:val="22"/>
    </w:rPr>
  </w:style>
  <w:style w:type="character" w:customStyle="1" w:styleId="charSubscript">
    <w:name w:val="charSubscript"/>
    <w:rsid w:val="00E12AFE"/>
    <w:rPr>
      <w:color w:val="auto"/>
      <w:sz w:val="20"/>
      <w:vertAlign w:val="subscript"/>
    </w:rPr>
  </w:style>
  <w:style w:type="paragraph" w:customStyle="1" w:styleId="notepara1">
    <w:name w:val="note(para)"/>
    <w:aliases w:val="na"/>
    <w:basedOn w:val="Normal"/>
    <w:rsid w:val="005118E1"/>
    <w:pPr>
      <w:spacing w:before="40" w:after="0" w:line="198" w:lineRule="exact"/>
      <w:ind w:left="2354" w:hanging="369"/>
    </w:pPr>
    <w:rPr>
      <w:sz w:val="18"/>
      <w:szCs w:val="20"/>
    </w:rPr>
  </w:style>
  <w:style w:type="character" w:customStyle="1" w:styleId="CharSubPartTextCASA">
    <w:name w:val="CharSubPartText(CASA)"/>
    <w:basedOn w:val="OPCCharBase"/>
    <w:uiPriority w:val="1"/>
    <w:rsid w:val="00872C03"/>
  </w:style>
  <w:style w:type="character" w:customStyle="1" w:styleId="CharSubPartNoCASA">
    <w:name w:val="CharSubPartNo(CASA)"/>
    <w:basedOn w:val="OPCCharBase"/>
    <w:uiPriority w:val="1"/>
    <w:rsid w:val="00872C03"/>
  </w:style>
  <w:style w:type="paragraph" w:customStyle="1" w:styleId="ENoteTTIndentHeadingSub">
    <w:name w:val="ENoteTTIndentHeadingSub"/>
    <w:aliases w:val="enTTHis"/>
    <w:basedOn w:val="OPCParaBase"/>
    <w:rsid w:val="00872C03"/>
    <w:pPr>
      <w:keepNext/>
      <w:spacing w:before="60" w:line="240" w:lineRule="atLeast"/>
      <w:ind w:left="340"/>
    </w:pPr>
    <w:rPr>
      <w:b/>
      <w:sz w:val="16"/>
    </w:rPr>
  </w:style>
  <w:style w:type="paragraph" w:customStyle="1" w:styleId="ENoteTTiSub">
    <w:name w:val="ENoteTTiSub"/>
    <w:aliases w:val="enttis"/>
    <w:basedOn w:val="OPCParaBase"/>
    <w:rsid w:val="00872C03"/>
    <w:pPr>
      <w:keepNext/>
      <w:spacing w:before="60" w:line="240" w:lineRule="atLeast"/>
      <w:ind w:left="340"/>
    </w:pPr>
    <w:rPr>
      <w:sz w:val="16"/>
    </w:rPr>
  </w:style>
  <w:style w:type="paragraph" w:customStyle="1" w:styleId="SubDivisionMigration">
    <w:name w:val="SubDivisionMigration"/>
    <w:aliases w:val="sdm"/>
    <w:basedOn w:val="OPCParaBase"/>
    <w:rsid w:val="00872C03"/>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872C03"/>
    <w:pPr>
      <w:keepNext/>
      <w:keepLines/>
      <w:spacing w:before="240" w:line="240" w:lineRule="auto"/>
      <w:ind w:left="1134" w:hanging="1134"/>
    </w:pPr>
    <w:rPr>
      <w:b/>
      <w:sz w:val="28"/>
    </w:rPr>
  </w:style>
  <w:style w:type="table" w:customStyle="1" w:styleId="TableGrid20">
    <w:name w:val="Table Grid2"/>
    <w:basedOn w:val="TableNormal"/>
    <w:next w:val="TableGrid"/>
    <w:uiPriority w:val="59"/>
    <w:rsid w:val="00872C03"/>
    <w:pPr>
      <w:spacing w:after="0" w:line="240" w:lineRule="auto"/>
    </w:pPr>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872C03"/>
    <w:pPr>
      <w:spacing w:after="0" w:line="240" w:lineRule="auto"/>
    </w:pPr>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CCharBase">
    <w:name w:val="OPCCharBase"/>
    <w:uiPriority w:val="1"/>
    <w:qFormat/>
    <w:rsid w:val="00872C03"/>
  </w:style>
  <w:style w:type="paragraph" w:customStyle="1" w:styleId="OPCParaBase">
    <w:name w:val="OPCParaBase"/>
    <w:qFormat/>
    <w:rsid w:val="00872C03"/>
    <w:pPr>
      <w:spacing w:after="0" w:line="260" w:lineRule="atLeast"/>
    </w:pPr>
    <w:rPr>
      <w:sz w:val="22"/>
    </w:rPr>
  </w:style>
  <w:style w:type="paragraph" w:customStyle="1" w:styleId="ShortT">
    <w:name w:val="ShortT"/>
    <w:basedOn w:val="OPCParaBase"/>
    <w:next w:val="Normal"/>
    <w:qFormat/>
    <w:rsid w:val="00872C03"/>
    <w:pPr>
      <w:spacing w:line="240" w:lineRule="auto"/>
    </w:pPr>
    <w:rPr>
      <w:b/>
      <w:sz w:val="40"/>
    </w:rPr>
  </w:style>
  <w:style w:type="paragraph" w:customStyle="1" w:styleId="ActHead1">
    <w:name w:val="ActHead 1"/>
    <w:aliases w:val="c"/>
    <w:basedOn w:val="OPCParaBase"/>
    <w:next w:val="Normal"/>
    <w:qFormat/>
    <w:rsid w:val="00872C03"/>
    <w:pPr>
      <w:keepNext/>
      <w:keepLines/>
      <w:spacing w:line="240" w:lineRule="auto"/>
      <w:ind w:left="1134" w:hanging="1134"/>
      <w:outlineLvl w:val="0"/>
    </w:pPr>
    <w:rPr>
      <w:b/>
      <w:kern w:val="28"/>
      <w:sz w:val="36"/>
    </w:rPr>
  </w:style>
  <w:style w:type="character" w:customStyle="1" w:styleId="charSuperscript">
    <w:name w:val="charSuperscript"/>
    <w:basedOn w:val="DefaultParagraphFont"/>
    <w:rsid w:val="00872C03"/>
    <w:rPr>
      <w:vertAlign w:val="superscript"/>
    </w:rPr>
  </w:style>
  <w:style w:type="character" w:customStyle="1" w:styleId="charsubscript0">
    <w:name w:val="charsubscript"/>
    <w:basedOn w:val="DefaultParagraphFont"/>
    <w:rsid w:val="00872C03"/>
    <w:rPr>
      <w:color w:val="auto"/>
      <w:vertAlign w:val="subscript"/>
    </w:rPr>
  </w:style>
  <w:style w:type="paragraph" w:customStyle="1" w:styleId="ActHead2">
    <w:name w:val="ActHead 2"/>
    <w:aliases w:val="p"/>
    <w:basedOn w:val="OPCParaBase"/>
    <w:next w:val="ActHead3"/>
    <w:qFormat/>
    <w:rsid w:val="00872C03"/>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872C03"/>
    <w:pPr>
      <w:keepNext/>
      <w:keepLines/>
      <w:spacing w:before="240" w:line="240" w:lineRule="auto"/>
      <w:ind w:left="1134" w:hanging="1134"/>
      <w:outlineLvl w:val="2"/>
    </w:pPr>
    <w:rPr>
      <w:b/>
      <w:kern w:val="28"/>
      <w:sz w:val="28"/>
    </w:rPr>
  </w:style>
  <w:style w:type="paragraph" w:customStyle="1" w:styleId="ActHead6">
    <w:name w:val="ActHead 6"/>
    <w:aliases w:val="as"/>
    <w:basedOn w:val="OPCParaBase"/>
    <w:next w:val="ActHead7"/>
    <w:qFormat/>
    <w:rsid w:val="00872C03"/>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872C03"/>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872C03"/>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872C03"/>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872C03"/>
  </w:style>
  <w:style w:type="paragraph" w:customStyle="1" w:styleId="Blocks">
    <w:name w:val="Blocks"/>
    <w:aliases w:val="bb"/>
    <w:basedOn w:val="OPCParaBase"/>
    <w:qFormat/>
    <w:rsid w:val="00872C03"/>
    <w:pPr>
      <w:spacing w:line="240" w:lineRule="auto"/>
    </w:pPr>
    <w:rPr>
      <w:sz w:val="24"/>
    </w:rPr>
  </w:style>
  <w:style w:type="paragraph" w:customStyle="1" w:styleId="BoxText0">
    <w:name w:val="BoxText"/>
    <w:aliases w:val="bt"/>
    <w:basedOn w:val="OPCParaBase"/>
    <w:qFormat/>
    <w:rsid w:val="00872C03"/>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0"/>
    <w:next w:val="BoxText0"/>
    <w:qFormat/>
    <w:rsid w:val="00872C03"/>
    <w:rPr>
      <w:b/>
    </w:rPr>
  </w:style>
  <w:style w:type="paragraph" w:customStyle="1" w:styleId="BoxHeadItalic">
    <w:name w:val="BoxHeadItalic"/>
    <w:aliases w:val="bhi"/>
    <w:basedOn w:val="BoxText0"/>
    <w:next w:val="BoxStep"/>
    <w:qFormat/>
    <w:rsid w:val="00872C03"/>
    <w:rPr>
      <w:i/>
    </w:rPr>
  </w:style>
  <w:style w:type="paragraph" w:customStyle="1" w:styleId="BoxList">
    <w:name w:val="BoxList"/>
    <w:aliases w:val="bl"/>
    <w:basedOn w:val="BoxText0"/>
    <w:qFormat/>
    <w:rsid w:val="00872C03"/>
    <w:pPr>
      <w:ind w:left="1559" w:hanging="425"/>
    </w:pPr>
  </w:style>
  <w:style w:type="paragraph" w:customStyle="1" w:styleId="BoxNote">
    <w:name w:val="BoxNote"/>
    <w:aliases w:val="bn"/>
    <w:basedOn w:val="BoxText0"/>
    <w:qFormat/>
    <w:rsid w:val="00872C03"/>
    <w:pPr>
      <w:tabs>
        <w:tab w:val="left" w:pos="1985"/>
      </w:tabs>
      <w:spacing w:before="122" w:line="198" w:lineRule="exact"/>
      <w:ind w:left="2948" w:hanging="1814"/>
    </w:pPr>
    <w:rPr>
      <w:sz w:val="18"/>
    </w:rPr>
  </w:style>
  <w:style w:type="paragraph" w:customStyle="1" w:styleId="BoxPara">
    <w:name w:val="BoxPara"/>
    <w:aliases w:val="bp"/>
    <w:basedOn w:val="BoxText0"/>
    <w:qFormat/>
    <w:rsid w:val="00872C03"/>
    <w:pPr>
      <w:tabs>
        <w:tab w:val="right" w:pos="2268"/>
      </w:tabs>
      <w:ind w:left="2552" w:hanging="1418"/>
    </w:pPr>
  </w:style>
  <w:style w:type="paragraph" w:customStyle="1" w:styleId="BoxStep">
    <w:name w:val="BoxStep"/>
    <w:aliases w:val="bs"/>
    <w:basedOn w:val="BoxText0"/>
    <w:qFormat/>
    <w:rsid w:val="00872C03"/>
    <w:pPr>
      <w:ind w:left="1985" w:hanging="851"/>
    </w:pPr>
  </w:style>
  <w:style w:type="character" w:customStyle="1" w:styleId="CharAmPartNo">
    <w:name w:val="CharAmPartNo"/>
    <w:basedOn w:val="OPCCharBase"/>
    <w:uiPriority w:val="1"/>
    <w:qFormat/>
    <w:rsid w:val="00872C03"/>
  </w:style>
  <w:style w:type="character" w:customStyle="1" w:styleId="CharAmPartText">
    <w:name w:val="CharAmPartText"/>
    <w:basedOn w:val="OPCCharBase"/>
    <w:uiPriority w:val="1"/>
    <w:qFormat/>
    <w:rsid w:val="00872C03"/>
  </w:style>
  <w:style w:type="character" w:customStyle="1" w:styleId="CharBoldItalic">
    <w:name w:val="CharBoldItalic"/>
    <w:basedOn w:val="OPCCharBase"/>
    <w:uiPriority w:val="1"/>
    <w:qFormat/>
    <w:rsid w:val="00872C03"/>
    <w:rPr>
      <w:b/>
      <w:i/>
    </w:rPr>
  </w:style>
  <w:style w:type="character" w:customStyle="1" w:styleId="CharItalic">
    <w:name w:val="CharItalic"/>
    <w:basedOn w:val="OPCCharBase"/>
    <w:uiPriority w:val="1"/>
    <w:qFormat/>
    <w:rsid w:val="00872C03"/>
    <w:rPr>
      <w:i/>
    </w:rPr>
  </w:style>
  <w:style w:type="paragraph" w:customStyle="1" w:styleId="CTA--">
    <w:name w:val="CTA --"/>
    <w:basedOn w:val="OPCParaBase"/>
    <w:next w:val="Normal"/>
    <w:rsid w:val="00872C03"/>
    <w:pPr>
      <w:spacing w:before="60" w:line="240" w:lineRule="atLeast"/>
      <w:ind w:left="142" w:hanging="142"/>
    </w:pPr>
    <w:rPr>
      <w:sz w:val="20"/>
    </w:rPr>
  </w:style>
  <w:style w:type="paragraph" w:customStyle="1" w:styleId="CTA-">
    <w:name w:val="CTA -"/>
    <w:basedOn w:val="OPCParaBase"/>
    <w:rsid w:val="00872C03"/>
    <w:pPr>
      <w:spacing w:before="60" w:line="240" w:lineRule="atLeast"/>
      <w:ind w:left="85" w:hanging="85"/>
    </w:pPr>
    <w:rPr>
      <w:sz w:val="20"/>
    </w:rPr>
  </w:style>
  <w:style w:type="paragraph" w:customStyle="1" w:styleId="CTA---">
    <w:name w:val="CTA ---"/>
    <w:basedOn w:val="OPCParaBase"/>
    <w:next w:val="Normal"/>
    <w:rsid w:val="00872C03"/>
    <w:pPr>
      <w:spacing w:before="60" w:line="240" w:lineRule="atLeast"/>
      <w:ind w:left="198" w:hanging="198"/>
    </w:pPr>
    <w:rPr>
      <w:sz w:val="20"/>
    </w:rPr>
  </w:style>
  <w:style w:type="paragraph" w:customStyle="1" w:styleId="CTA----">
    <w:name w:val="CTA ----"/>
    <w:basedOn w:val="OPCParaBase"/>
    <w:next w:val="Normal"/>
    <w:rsid w:val="00872C03"/>
    <w:pPr>
      <w:spacing w:before="60" w:line="240" w:lineRule="atLeast"/>
      <w:ind w:left="255" w:hanging="255"/>
    </w:pPr>
    <w:rPr>
      <w:sz w:val="20"/>
    </w:rPr>
  </w:style>
  <w:style w:type="paragraph" w:customStyle="1" w:styleId="CTA1a">
    <w:name w:val="CTA 1(a)"/>
    <w:basedOn w:val="OPCParaBase"/>
    <w:rsid w:val="00872C03"/>
    <w:pPr>
      <w:tabs>
        <w:tab w:val="right" w:pos="414"/>
      </w:tabs>
      <w:spacing w:before="40" w:line="240" w:lineRule="atLeast"/>
      <w:ind w:left="675" w:hanging="675"/>
    </w:pPr>
    <w:rPr>
      <w:sz w:val="20"/>
    </w:rPr>
  </w:style>
  <w:style w:type="paragraph" w:customStyle="1" w:styleId="CTA1ai">
    <w:name w:val="CTA 1(a)(i)"/>
    <w:basedOn w:val="OPCParaBase"/>
    <w:rsid w:val="00872C03"/>
    <w:pPr>
      <w:tabs>
        <w:tab w:val="right" w:pos="1004"/>
      </w:tabs>
      <w:spacing w:before="40" w:line="240" w:lineRule="atLeast"/>
      <w:ind w:left="1253" w:hanging="1253"/>
    </w:pPr>
    <w:rPr>
      <w:sz w:val="20"/>
    </w:rPr>
  </w:style>
  <w:style w:type="paragraph" w:customStyle="1" w:styleId="CTA2a">
    <w:name w:val="CTA 2(a)"/>
    <w:basedOn w:val="OPCParaBase"/>
    <w:rsid w:val="00872C03"/>
    <w:pPr>
      <w:tabs>
        <w:tab w:val="right" w:pos="482"/>
      </w:tabs>
      <w:spacing w:before="40" w:line="240" w:lineRule="atLeast"/>
      <w:ind w:left="748" w:hanging="748"/>
    </w:pPr>
    <w:rPr>
      <w:sz w:val="20"/>
    </w:rPr>
  </w:style>
  <w:style w:type="paragraph" w:customStyle="1" w:styleId="CTA2ai">
    <w:name w:val="CTA 2(a)(i)"/>
    <w:basedOn w:val="OPCParaBase"/>
    <w:rsid w:val="00872C03"/>
    <w:pPr>
      <w:tabs>
        <w:tab w:val="right" w:pos="1089"/>
      </w:tabs>
      <w:spacing w:before="40" w:line="240" w:lineRule="atLeast"/>
      <w:ind w:left="1327" w:hanging="1327"/>
    </w:pPr>
    <w:rPr>
      <w:sz w:val="20"/>
    </w:rPr>
  </w:style>
  <w:style w:type="paragraph" w:customStyle="1" w:styleId="CTA3a">
    <w:name w:val="CTA 3(a)"/>
    <w:basedOn w:val="OPCParaBase"/>
    <w:rsid w:val="00872C03"/>
    <w:pPr>
      <w:tabs>
        <w:tab w:val="right" w:pos="556"/>
      </w:tabs>
      <w:spacing w:before="40" w:line="240" w:lineRule="atLeast"/>
      <w:ind w:left="805" w:hanging="805"/>
    </w:pPr>
    <w:rPr>
      <w:sz w:val="20"/>
    </w:rPr>
  </w:style>
  <w:style w:type="paragraph" w:customStyle="1" w:styleId="CTA3ai">
    <w:name w:val="CTA 3(a)(i)"/>
    <w:basedOn w:val="OPCParaBase"/>
    <w:rsid w:val="00872C03"/>
    <w:pPr>
      <w:tabs>
        <w:tab w:val="right" w:pos="1140"/>
      </w:tabs>
      <w:spacing w:before="40" w:line="240" w:lineRule="atLeast"/>
      <w:ind w:left="1361" w:hanging="1361"/>
    </w:pPr>
    <w:rPr>
      <w:sz w:val="20"/>
    </w:rPr>
  </w:style>
  <w:style w:type="paragraph" w:customStyle="1" w:styleId="CTA4a">
    <w:name w:val="CTA 4(a)"/>
    <w:basedOn w:val="OPCParaBase"/>
    <w:rsid w:val="00872C03"/>
    <w:pPr>
      <w:tabs>
        <w:tab w:val="right" w:pos="624"/>
      </w:tabs>
      <w:spacing w:before="40" w:line="240" w:lineRule="atLeast"/>
      <w:ind w:left="873" w:hanging="873"/>
    </w:pPr>
    <w:rPr>
      <w:sz w:val="20"/>
    </w:rPr>
  </w:style>
  <w:style w:type="paragraph" w:customStyle="1" w:styleId="CTA4ai">
    <w:name w:val="CTA 4(a)(i)"/>
    <w:basedOn w:val="OPCParaBase"/>
    <w:rsid w:val="00872C03"/>
    <w:pPr>
      <w:tabs>
        <w:tab w:val="right" w:pos="1213"/>
      </w:tabs>
      <w:spacing w:before="40" w:line="240" w:lineRule="atLeast"/>
      <w:ind w:left="1452" w:hanging="1452"/>
    </w:pPr>
    <w:rPr>
      <w:sz w:val="20"/>
    </w:rPr>
  </w:style>
  <w:style w:type="paragraph" w:customStyle="1" w:styleId="CTACAPS">
    <w:name w:val="CTA CAPS"/>
    <w:basedOn w:val="OPCParaBase"/>
    <w:rsid w:val="00872C03"/>
    <w:pPr>
      <w:spacing w:before="60" w:line="240" w:lineRule="atLeast"/>
    </w:pPr>
    <w:rPr>
      <w:sz w:val="20"/>
    </w:rPr>
  </w:style>
  <w:style w:type="paragraph" w:customStyle="1" w:styleId="CTAright">
    <w:name w:val="CTA right"/>
    <w:basedOn w:val="OPCParaBase"/>
    <w:rsid w:val="00872C03"/>
    <w:pPr>
      <w:spacing w:before="60" w:line="240" w:lineRule="auto"/>
      <w:jc w:val="right"/>
    </w:pPr>
    <w:rPr>
      <w:sz w:val="20"/>
    </w:rPr>
  </w:style>
  <w:style w:type="paragraph" w:customStyle="1" w:styleId="EndNotespara">
    <w:name w:val="EndNotes(para)"/>
    <w:aliases w:val="eta"/>
    <w:basedOn w:val="OPCParaBase"/>
    <w:next w:val="EndNotessubpara"/>
    <w:rsid w:val="00872C0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872C0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872C0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872C03"/>
    <w:pPr>
      <w:tabs>
        <w:tab w:val="right" w:pos="1412"/>
      </w:tabs>
      <w:spacing w:before="60" w:line="240" w:lineRule="auto"/>
      <w:ind w:left="1525" w:hanging="1525"/>
    </w:pPr>
    <w:rPr>
      <w:sz w:val="20"/>
    </w:rPr>
  </w:style>
  <w:style w:type="paragraph" w:customStyle="1" w:styleId="House">
    <w:name w:val="House"/>
    <w:basedOn w:val="OPCParaBase"/>
    <w:rsid w:val="00872C03"/>
    <w:pPr>
      <w:spacing w:line="240" w:lineRule="auto"/>
    </w:pPr>
    <w:rPr>
      <w:sz w:val="28"/>
    </w:rPr>
  </w:style>
  <w:style w:type="paragraph" w:customStyle="1" w:styleId="Item">
    <w:name w:val="Item"/>
    <w:aliases w:val="i"/>
    <w:basedOn w:val="OPCParaBase"/>
    <w:next w:val="ItemHead"/>
    <w:rsid w:val="00872C03"/>
    <w:pPr>
      <w:keepLines/>
      <w:spacing w:before="80" w:line="240" w:lineRule="auto"/>
      <w:ind w:left="709"/>
    </w:pPr>
  </w:style>
  <w:style w:type="paragraph" w:customStyle="1" w:styleId="ItemHead">
    <w:name w:val="ItemHead"/>
    <w:aliases w:val="ih"/>
    <w:basedOn w:val="OPCParaBase"/>
    <w:next w:val="Item"/>
    <w:rsid w:val="00872C03"/>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872C03"/>
    <w:pPr>
      <w:spacing w:line="240" w:lineRule="auto"/>
    </w:pPr>
    <w:rPr>
      <w:b/>
      <w:sz w:val="32"/>
    </w:rPr>
  </w:style>
  <w:style w:type="paragraph" w:customStyle="1" w:styleId="notedraft">
    <w:name w:val="note(draft)"/>
    <w:aliases w:val="nd"/>
    <w:basedOn w:val="OPCParaBase"/>
    <w:rsid w:val="00872C03"/>
    <w:pPr>
      <w:spacing w:before="240" w:line="240" w:lineRule="auto"/>
      <w:ind w:left="284" w:hanging="284"/>
    </w:pPr>
    <w:rPr>
      <w:i/>
      <w:sz w:val="24"/>
    </w:rPr>
  </w:style>
  <w:style w:type="paragraph" w:customStyle="1" w:styleId="notemargin">
    <w:name w:val="note(margin)"/>
    <w:aliases w:val="nm"/>
    <w:basedOn w:val="OPCParaBase"/>
    <w:rsid w:val="00872C03"/>
    <w:pPr>
      <w:tabs>
        <w:tab w:val="left" w:pos="709"/>
      </w:tabs>
      <w:spacing w:before="122" w:line="198" w:lineRule="exact"/>
      <w:ind w:left="709" w:hanging="709"/>
    </w:pPr>
    <w:rPr>
      <w:sz w:val="18"/>
    </w:rPr>
  </w:style>
  <w:style w:type="paragraph" w:customStyle="1" w:styleId="noteToPara">
    <w:name w:val="noteToPara"/>
    <w:aliases w:val="ntp"/>
    <w:basedOn w:val="OPCParaBase"/>
    <w:rsid w:val="00872C03"/>
    <w:pPr>
      <w:spacing w:before="122" w:line="198" w:lineRule="exact"/>
      <w:ind w:left="2353" w:hanging="709"/>
    </w:pPr>
    <w:rPr>
      <w:sz w:val="18"/>
    </w:rPr>
  </w:style>
  <w:style w:type="paragraph" w:customStyle="1" w:styleId="noteParlAmend">
    <w:name w:val="note(ParlAmend)"/>
    <w:aliases w:val="npp"/>
    <w:basedOn w:val="OPCParaBase"/>
    <w:next w:val="ParlAmend"/>
    <w:rsid w:val="00872C03"/>
    <w:pPr>
      <w:spacing w:line="240" w:lineRule="auto"/>
      <w:jc w:val="right"/>
    </w:pPr>
    <w:rPr>
      <w:rFonts w:ascii="Arial" w:hAnsi="Arial"/>
      <w:b/>
      <w:i/>
    </w:rPr>
  </w:style>
  <w:style w:type="paragraph" w:customStyle="1" w:styleId="Page1">
    <w:name w:val="Page1"/>
    <w:basedOn w:val="OPCParaBase"/>
    <w:rsid w:val="00872C03"/>
    <w:pPr>
      <w:spacing w:before="5600" w:line="240" w:lineRule="auto"/>
    </w:pPr>
    <w:rPr>
      <w:b/>
      <w:sz w:val="32"/>
    </w:rPr>
  </w:style>
  <w:style w:type="paragraph" w:customStyle="1" w:styleId="paragraphsub-sub">
    <w:name w:val="paragraph(sub-sub)"/>
    <w:aliases w:val="aaa"/>
    <w:basedOn w:val="OPCParaBase"/>
    <w:rsid w:val="00872C03"/>
    <w:pPr>
      <w:tabs>
        <w:tab w:val="right" w:pos="2722"/>
      </w:tabs>
      <w:spacing w:before="40" w:line="240" w:lineRule="auto"/>
      <w:ind w:left="2835" w:hanging="2835"/>
    </w:pPr>
  </w:style>
  <w:style w:type="paragraph" w:customStyle="1" w:styleId="ParlAmend">
    <w:name w:val="ParlAmend"/>
    <w:aliases w:val="pp"/>
    <w:basedOn w:val="OPCParaBase"/>
    <w:rsid w:val="00872C03"/>
    <w:pPr>
      <w:spacing w:before="240" w:line="240" w:lineRule="atLeast"/>
      <w:ind w:hanging="567"/>
    </w:pPr>
    <w:rPr>
      <w:sz w:val="24"/>
    </w:rPr>
  </w:style>
  <w:style w:type="paragraph" w:customStyle="1" w:styleId="Portfolio">
    <w:name w:val="Portfolio"/>
    <w:basedOn w:val="OPCParaBase"/>
    <w:rsid w:val="00872C03"/>
    <w:pPr>
      <w:spacing w:line="240" w:lineRule="auto"/>
    </w:pPr>
    <w:rPr>
      <w:i/>
      <w:sz w:val="20"/>
    </w:rPr>
  </w:style>
  <w:style w:type="paragraph" w:customStyle="1" w:styleId="Preamble">
    <w:name w:val="Preamble"/>
    <w:basedOn w:val="OPCParaBase"/>
    <w:next w:val="Normal"/>
    <w:rsid w:val="00872C03"/>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872C03"/>
    <w:pPr>
      <w:spacing w:line="240" w:lineRule="auto"/>
    </w:pPr>
    <w:rPr>
      <w:i/>
      <w:sz w:val="20"/>
    </w:rPr>
  </w:style>
  <w:style w:type="paragraph" w:customStyle="1" w:styleId="Session">
    <w:name w:val="Session"/>
    <w:basedOn w:val="OPCParaBase"/>
    <w:rsid w:val="00872C03"/>
    <w:pPr>
      <w:spacing w:line="240" w:lineRule="auto"/>
    </w:pPr>
    <w:rPr>
      <w:sz w:val="28"/>
    </w:rPr>
  </w:style>
  <w:style w:type="paragraph" w:customStyle="1" w:styleId="Sponsor">
    <w:name w:val="Sponsor"/>
    <w:basedOn w:val="OPCParaBase"/>
    <w:rsid w:val="00872C03"/>
    <w:pPr>
      <w:spacing w:line="240" w:lineRule="auto"/>
    </w:pPr>
    <w:rPr>
      <w:i/>
    </w:rPr>
  </w:style>
  <w:style w:type="paragraph" w:customStyle="1" w:styleId="Subitem">
    <w:name w:val="Subitem"/>
    <w:aliases w:val="iss"/>
    <w:basedOn w:val="OPCParaBase"/>
    <w:rsid w:val="00872C03"/>
    <w:pPr>
      <w:spacing w:before="180" w:line="240" w:lineRule="auto"/>
      <w:ind w:left="709" w:hanging="709"/>
    </w:pPr>
  </w:style>
  <w:style w:type="paragraph" w:customStyle="1" w:styleId="SubitemHead">
    <w:name w:val="SubitemHead"/>
    <w:aliases w:val="issh"/>
    <w:basedOn w:val="OPCParaBase"/>
    <w:rsid w:val="00872C03"/>
    <w:pPr>
      <w:keepNext/>
      <w:keepLines/>
      <w:spacing w:before="220" w:line="240" w:lineRule="auto"/>
      <w:ind w:left="709"/>
    </w:pPr>
    <w:rPr>
      <w:rFonts w:ascii="Arial" w:hAnsi="Arial"/>
      <w:i/>
      <w:kern w:val="28"/>
    </w:rPr>
  </w:style>
  <w:style w:type="paragraph" w:customStyle="1" w:styleId="SubsectionHead">
    <w:name w:val="SubsectionHead"/>
    <w:aliases w:val="ssh"/>
    <w:basedOn w:val="OPCParaBase"/>
    <w:next w:val="subsection"/>
    <w:rsid w:val="00872C03"/>
    <w:pPr>
      <w:keepNext/>
      <w:keepLines/>
      <w:spacing w:before="240" w:line="240" w:lineRule="auto"/>
      <w:ind w:left="1134"/>
    </w:pPr>
    <w:rPr>
      <w:i/>
    </w:rPr>
  </w:style>
  <w:style w:type="paragraph" w:customStyle="1" w:styleId="Tablea">
    <w:name w:val="Table(a)"/>
    <w:aliases w:val="ta"/>
    <w:basedOn w:val="OPCParaBase"/>
    <w:rsid w:val="00872C03"/>
    <w:pPr>
      <w:spacing w:before="60" w:line="240" w:lineRule="auto"/>
      <w:ind w:left="284" w:hanging="284"/>
    </w:pPr>
    <w:rPr>
      <w:sz w:val="20"/>
    </w:rPr>
  </w:style>
  <w:style w:type="paragraph" w:customStyle="1" w:styleId="TableAA">
    <w:name w:val="Table(AA)"/>
    <w:aliases w:val="taaa"/>
    <w:basedOn w:val="OPCParaBase"/>
    <w:rsid w:val="00872C03"/>
    <w:pPr>
      <w:tabs>
        <w:tab w:val="left" w:pos="-6543"/>
        <w:tab w:val="left" w:pos="-6260"/>
      </w:tabs>
      <w:spacing w:line="240" w:lineRule="exact"/>
      <w:ind w:left="1055" w:hanging="284"/>
    </w:pPr>
    <w:rPr>
      <w:sz w:val="20"/>
    </w:rPr>
  </w:style>
  <w:style w:type="paragraph" w:customStyle="1" w:styleId="Tablei">
    <w:name w:val="Table(i)"/>
    <w:aliases w:val="taa"/>
    <w:basedOn w:val="OPCParaBase"/>
    <w:rsid w:val="00872C03"/>
    <w:pPr>
      <w:tabs>
        <w:tab w:val="left" w:pos="-6543"/>
        <w:tab w:val="left" w:pos="-6260"/>
        <w:tab w:val="right" w:pos="970"/>
      </w:tabs>
      <w:spacing w:line="240" w:lineRule="exact"/>
      <w:ind w:left="828" w:hanging="284"/>
    </w:pPr>
    <w:rPr>
      <w:sz w:val="20"/>
    </w:rPr>
  </w:style>
  <w:style w:type="paragraph" w:customStyle="1" w:styleId="TLPBoxTextnote">
    <w:name w:val="TLPBoxText(note"/>
    <w:aliases w:val="right)"/>
    <w:basedOn w:val="OPCParaBase"/>
    <w:rsid w:val="00872C03"/>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72C03"/>
    <w:pPr>
      <w:numPr>
        <w:numId w:val="67"/>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872C03"/>
    <w:pPr>
      <w:spacing w:before="122" w:line="198" w:lineRule="exact"/>
      <w:ind w:left="1985" w:hanging="851"/>
      <w:jc w:val="right"/>
    </w:pPr>
    <w:rPr>
      <w:sz w:val="18"/>
    </w:rPr>
  </w:style>
  <w:style w:type="paragraph" w:customStyle="1" w:styleId="TLPTableBullet">
    <w:name w:val="TLPTableBullet"/>
    <w:aliases w:val="ttb"/>
    <w:basedOn w:val="OPCParaBase"/>
    <w:rsid w:val="00872C03"/>
    <w:pPr>
      <w:spacing w:line="240" w:lineRule="exact"/>
      <w:ind w:left="284" w:hanging="284"/>
    </w:pPr>
    <w:rPr>
      <w:sz w:val="20"/>
    </w:rPr>
  </w:style>
  <w:style w:type="paragraph" w:customStyle="1" w:styleId="TofSectsGroupHeading">
    <w:name w:val="TofSects(GroupHeading)"/>
    <w:basedOn w:val="OPCParaBase"/>
    <w:next w:val="TofSectsSection"/>
    <w:rsid w:val="00872C03"/>
    <w:pPr>
      <w:keepLines/>
      <w:spacing w:before="240" w:after="120" w:line="240" w:lineRule="auto"/>
      <w:ind w:left="794"/>
    </w:pPr>
    <w:rPr>
      <w:b/>
      <w:kern w:val="28"/>
      <w:sz w:val="20"/>
    </w:rPr>
  </w:style>
  <w:style w:type="paragraph" w:customStyle="1" w:styleId="TofSectsHeading">
    <w:name w:val="TofSects(Heading)"/>
    <w:basedOn w:val="OPCParaBase"/>
    <w:rsid w:val="00872C03"/>
    <w:pPr>
      <w:spacing w:before="240" w:after="120" w:line="240" w:lineRule="auto"/>
    </w:pPr>
    <w:rPr>
      <w:b/>
      <w:sz w:val="24"/>
    </w:rPr>
  </w:style>
  <w:style w:type="paragraph" w:customStyle="1" w:styleId="TofSectsSection">
    <w:name w:val="TofSects(Section)"/>
    <w:basedOn w:val="OPCParaBase"/>
    <w:rsid w:val="00872C03"/>
    <w:pPr>
      <w:keepLines/>
      <w:spacing w:before="40" w:line="240" w:lineRule="auto"/>
      <w:ind w:left="1588" w:hanging="794"/>
    </w:pPr>
    <w:rPr>
      <w:kern w:val="28"/>
      <w:sz w:val="18"/>
    </w:rPr>
  </w:style>
  <w:style w:type="paragraph" w:customStyle="1" w:styleId="TofSectsSubdiv">
    <w:name w:val="TofSects(Subdiv)"/>
    <w:basedOn w:val="OPCParaBase"/>
    <w:rsid w:val="00872C03"/>
    <w:pPr>
      <w:keepLines/>
      <w:spacing w:before="80" w:line="240" w:lineRule="auto"/>
      <w:ind w:left="1588" w:hanging="794"/>
    </w:pPr>
    <w:rPr>
      <w:kern w:val="28"/>
    </w:rPr>
  </w:style>
  <w:style w:type="paragraph" w:customStyle="1" w:styleId="WRStyle">
    <w:name w:val="WR Style"/>
    <w:aliases w:val="WR"/>
    <w:basedOn w:val="OPCParaBase"/>
    <w:rsid w:val="00872C03"/>
    <w:pPr>
      <w:spacing w:before="240" w:line="240" w:lineRule="auto"/>
      <w:ind w:left="284" w:hanging="284"/>
    </w:pPr>
    <w:rPr>
      <w:b/>
      <w:i/>
      <w:kern w:val="28"/>
      <w:sz w:val="24"/>
    </w:rPr>
  </w:style>
  <w:style w:type="table" w:customStyle="1" w:styleId="CFlag">
    <w:name w:val="CFlag"/>
    <w:basedOn w:val="TableNormal"/>
    <w:uiPriority w:val="99"/>
    <w:rsid w:val="00872C03"/>
    <w:pPr>
      <w:spacing w:after="0" w:line="240" w:lineRule="auto"/>
    </w:pPr>
    <w:tblPr/>
  </w:style>
  <w:style w:type="paragraph" w:customStyle="1" w:styleId="InstNo">
    <w:name w:val="InstNo"/>
    <w:basedOn w:val="OPCParaBase"/>
    <w:next w:val="Normal"/>
    <w:rsid w:val="00872C03"/>
    <w:rPr>
      <w:b/>
      <w:sz w:val="28"/>
      <w:szCs w:val="32"/>
    </w:rPr>
  </w:style>
  <w:style w:type="paragraph" w:customStyle="1" w:styleId="LegislationMadeUnder">
    <w:name w:val="LegislationMadeUnder"/>
    <w:basedOn w:val="OPCParaBase"/>
    <w:next w:val="Normal"/>
    <w:rsid w:val="00872C03"/>
    <w:rPr>
      <w:i/>
      <w:sz w:val="32"/>
      <w:szCs w:val="32"/>
    </w:rPr>
  </w:style>
  <w:style w:type="paragraph" w:customStyle="1" w:styleId="ActHead10">
    <w:name w:val="ActHead 10"/>
    <w:aliases w:val="sp"/>
    <w:basedOn w:val="OPCParaBase"/>
    <w:next w:val="ActHead3"/>
    <w:rsid w:val="00872C03"/>
    <w:pPr>
      <w:keepNext/>
      <w:spacing w:before="280" w:line="240" w:lineRule="auto"/>
      <w:outlineLvl w:val="1"/>
    </w:pPr>
    <w:rPr>
      <w:b/>
      <w:sz w:val="32"/>
      <w:szCs w:val="30"/>
    </w:rPr>
  </w:style>
  <w:style w:type="paragraph" w:customStyle="1" w:styleId="SignCoverPageEnd">
    <w:name w:val="SignCoverPageEnd"/>
    <w:basedOn w:val="OPCParaBase"/>
    <w:next w:val="Normal"/>
    <w:rsid w:val="00872C03"/>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872C03"/>
    <w:pPr>
      <w:pBdr>
        <w:top w:val="single" w:sz="4" w:space="1" w:color="auto"/>
      </w:pBdr>
      <w:spacing w:before="360"/>
      <w:ind w:right="397"/>
      <w:jc w:val="both"/>
    </w:pPr>
  </w:style>
  <w:style w:type="paragraph" w:customStyle="1" w:styleId="NotesHeading1">
    <w:name w:val="NotesHeading 1"/>
    <w:basedOn w:val="OPCParaBase"/>
    <w:next w:val="Normal"/>
    <w:rsid w:val="00872C03"/>
    <w:pPr>
      <w:outlineLvl w:val="0"/>
    </w:pPr>
    <w:rPr>
      <w:b/>
      <w:sz w:val="28"/>
      <w:szCs w:val="28"/>
    </w:rPr>
  </w:style>
  <w:style w:type="paragraph" w:customStyle="1" w:styleId="NotesHeading2">
    <w:name w:val="NotesHeading 2"/>
    <w:basedOn w:val="OPCParaBase"/>
    <w:next w:val="Normal"/>
    <w:rsid w:val="00872C03"/>
    <w:rPr>
      <w:b/>
      <w:sz w:val="28"/>
      <w:szCs w:val="28"/>
    </w:rPr>
  </w:style>
  <w:style w:type="paragraph" w:customStyle="1" w:styleId="CompiledActNo">
    <w:name w:val="CompiledActNo"/>
    <w:basedOn w:val="OPCParaBase"/>
    <w:next w:val="Normal"/>
    <w:rsid w:val="00872C03"/>
    <w:rPr>
      <w:b/>
      <w:sz w:val="24"/>
      <w:szCs w:val="24"/>
    </w:rPr>
  </w:style>
  <w:style w:type="paragraph" w:customStyle="1" w:styleId="ENotesText">
    <w:name w:val="ENotesText"/>
    <w:aliases w:val="Ent"/>
    <w:basedOn w:val="OPCParaBase"/>
    <w:next w:val="Normal"/>
    <w:rsid w:val="00872C03"/>
    <w:pPr>
      <w:spacing w:before="120"/>
    </w:pPr>
  </w:style>
  <w:style w:type="paragraph" w:customStyle="1" w:styleId="CompiledMadeUnder">
    <w:name w:val="CompiledMadeUnder"/>
    <w:basedOn w:val="OPCParaBase"/>
    <w:next w:val="Normal"/>
    <w:rsid w:val="00872C03"/>
    <w:rPr>
      <w:i/>
      <w:sz w:val="24"/>
      <w:szCs w:val="24"/>
    </w:rPr>
  </w:style>
  <w:style w:type="paragraph" w:customStyle="1" w:styleId="Paragraphsub-sub-sub">
    <w:name w:val="Paragraph(sub-sub-sub)"/>
    <w:aliases w:val="aaaa"/>
    <w:basedOn w:val="OPCParaBase"/>
    <w:rsid w:val="00872C03"/>
    <w:pPr>
      <w:tabs>
        <w:tab w:val="right" w:pos="3402"/>
      </w:tabs>
      <w:spacing w:before="40" w:line="240" w:lineRule="auto"/>
      <w:ind w:left="3402" w:hanging="3402"/>
    </w:pPr>
  </w:style>
  <w:style w:type="paragraph" w:customStyle="1" w:styleId="TableTextEndNotes">
    <w:name w:val="TableTextEndNotes"/>
    <w:aliases w:val="Tten"/>
    <w:basedOn w:val="Normal"/>
    <w:rsid w:val="00872C03"/>
    <w:pPr>
      <w:spacing w:before="60" w:after="0" w:line="240" w:lineRule="auto"/>
    </w:pPr>
    <w:rPr>
      <w:rFonts w:eastAsiaTheme="minorHAnsi" w:cs="Arial"/>
      <w:sz w:val="20"/>
      <w:szCs w:val="22"/>
      <w:lang w:eastAsia="en-US"/>
    </w:rPr>
  </w:style>
  <w:style w:type="paragraph" w:customStyle="1" w:styleId="TableHeading">
    <w:name w:val="TableHeading"/>
    <w:aliases w:val="th"/>
    <w:basedOn w:val="OPCParaBase"/>
    <w:next w:val="Tabletext0"/>
    <w:rsid w:val="00872C03"/>
    <w:pPr>
      <w:keepNext/>
      <w:spacing w:before="60" w:line="240" w:lineRule="atLeast"/>
    </w:pPr>
    <w:rPr>
      <w:b/>
      <w:sz w:val="20"/>
    </w:rPr>
  </w:style>
  <w:style w:type="paragraph" w:customStyle="1" w:styleId="NoteToSubpara">
    <w:name w:val="NoteToSubpara"/>
    <w:aliases w:val="nts"/>
    <w:basedOn w:val="OPCParaBase"/>
    <w:rsid w:val="00872C03"/>
    <w:pPr>
      <w:spacing w:before="40" w:line="198" w:lineRule="exact"/>
      <w:ind w:left="2835" w:hanging="709"/>
    </w:pPr>
    <w:rPr>
      <w:sz w:val="18"/>
    </w:rPr>
  </w:style>
  <w:style w:type="paragraph" w:customStyle="1" w:styleId="ENoteTableHeading">
    <w:name w:val="ENoteTableHeading"/>
    <w:aliases w:val="enth"/>
    <w:basedOn w:val="OPCParaBase"/>
    <w:rsid w:val="00872C03"/>
    <w:pPr>
      <w:keepNext/>
      <w:spacing w:before="60" w:line="240" w:lineRule="atLeast"/>
    </w:pPr>
    <w:rPr>
      <w:rFonts w:ascii="Arial" w:hAnsi="Arial"/>
      <w:b/>
      <w:sz w:val="16"/>
    </w:rPr>
  </w:style>
  <w:style w:type="paragraph" w:customStyle="1" w:styleId="ENoteTableText">
    <w:name w:val="ENoteTableText"/>
    <w:aliases w:val="entt"/>
    <w:basedOn w:val="OPCParaBase"/>
    <w:rsid w:val="00872C03"/>
    <w:pPr>
      <w:spacing w:before="60" w:line="240" w:lineRule="atLeast"/>
    </w:pPr>
    <w:rPr>
      <w:sz w:val="16"/>
    </w:rPr>
  </w:style>
  <w:style w:type="paragraph" w:customStyle="1" w:styleId="ENoteTTi">
    <w:name w:val="ENoteTTi"/>
    <w:aliases w:val="entti"/>
    <w:basedOn w:val="OPCParaBase"/>
    <w:rsid w:val="00872C03"/>
    <w:pPr>
      <w:keepNext/>
      <w:spacing w:before="60" w:line="240" w:lineRule="atLeast"/>
      <w:ind w:left="170"/>
    </w:pPr>
    <w:rPr>
      <w:sz w:val="16"/>
    </w:rPr>
  </w:style>
  <w:style w:type="paragraph" w:customStyle="1" w:styleId="ENoteTTIndentHeading">
    <w:name w:val="ENoteTTIndentHeading"/>
    <w:aliases w:val="enTTHi"/>
    <w:basedOn w:val="OPCParaBase"/>
    <w:rsid w:val="00872C03"/>
    <w:pPr>
      <w:keepNext/>
      <w:spacing w:before="60" w:line="240" w:lineRule="atLeast"/>
      <w:ind w:left="170"/>
    </w:pPr>
    <w:rPr>
      <w:rFonts w:cs="Arial"/>
      <w:b/>
      <w:sz w:val="16"/>
      <w:szCs w:val="16"/>
    </w:rPr>
  </w:style>
  <w:style w:type="paragraph" w:customStyle="1" w:styleId="ENotesHeading1">
    <w:name w:val="ENotesHeading 1"/>
    <w:aliases w:val="Enh1"/>
    <w:basedOn w:val="OPCParaBase"/>
    <w:next w:val="Normal"/>
    <w:rsid w:val="00872C03"/>
    <w:pPr>
      <w:spacing w:before="120"/>
      <w:outlineLvl w:val="1"/>
    </w:pPr>
    <w:rPr>
      <w:b/>
      <w:sz w:val="28"/>
      <w:szCs w:val="28"/>
    </w:rPr>
  </w:style>
  <w:style w:type="paragraph" w:customStyle="1" w:styleId="ENotesHeading2">
    <w:name w:val="ENotesHeading 2"/>
    <w:aliases w:val="Enh2"/>
    <w:basedOn w:val="OPCParaBase"/>
    <w:next w:val="Normal"/>
    <w:rsid w:val="00872C03"/>
    <w:pPr>
      <w:spacing w:before="120" w:after="120"/>
      <w:outlineLvl w:val="2"/>
    </w:pPr>
    <w:rPr>
      <w:b/>
      <w:sz w:val="24"/>
      <w:szCs w:val="28"/>
    </w:rPr>
  </w:style>
  <w:style w:type="paragraph" w:customStyle="1" w:styleId="MadeunderText">
    <w:name w:val="MadeunderText"/>
    <w:basedOn w:val="OPCParaBase"/>
    <w:next w:val="CompiledMadeUnder"/>
    <w:rsid w:val="00872C03"/>
    <w:pPr>
      <w:spacing w:before="240"/>
    </w:pPr>
    <w:rPr>
      <w:sz w:val="24"/>
      <w:szCs w:val="24"/>
    </w:rPr>
  </w:style>
  <w:style w:type="paragraph" w:customStyle="1" w:styleId="ENotesHeading3">
    <w:name w:val="ENotesHeading 3"/>
    <w:aliases w:val="Enh3"/>
    <w:basedOn w:val="OPCParaBase"/>
    <w:next w:val="Normal"/>
    <w:rsid w:val="00872C03"/>
    <w:pPr>
      <w:keepNext/>
      <w:spacing w:before="120" w:line="240" w:lineRule="auto"/>
      <w:outlineLvl w:val="4"/>
    </w:pPr>
    <w:rPr>
      <w:b/>
      <w:szCs w:val="24"/>
    </w:rPr>
  </w:style>
  <w:style w:type="paragraph" w:customStyle="1" w:styleId="SubPartCASA">
    <w:name w:val="SubPart(CASA)"/>
    <w:aliases w:val="csp"/>
    <w:basedOn w:val="OPCParaBase"/>
    <w:next w:val="ActHead3"/>
    <w:rsid w:val="00872C03"/>
    <w:pPr>
      <w:keepNext/>
      <w:keepLines/>
      <w:spacing w:before="280"/>
      <w:outlineLvl w:val="1"/>
    </w:pPr>
    <w:rPr>
      <w:b/>
      <w:kern w:val="28"/>
      <w:sz w:val="32"/>
    </w:rPr>
  </w:style>
  <w:style w:type="paragraph" w:customStyle="1" w:styleId="FreeForm">
    <w:name w:val="FreeForm"/>
    <w:rsid w:val="00872C03"/>
    <w:pPr>
      <w:spacing w:after="0" w:line="240" w:lineRule="auto"/>
    </w:pPr>
    <w:rPr>
      <w:rFonts w:ascii="Arial" w:eastAsiaTheme="minorHAnsi" w:hAnsi="Arial" w:cstheme="minorBidi"/>
      <w:sz w:val="22"/>
      <w:lang w:eastAsia="en-US"/>
    </w:rPr>
  </w:style>
  <w:style w:type="paragraph" w:customStyle="1" w:styleId="SOText">
    <w:name w:val="SO Text"/>
    <w:aliases w:val="sot"/>
    <w:link w:val="SOTextChar"/>
    <w:rsid w:val="00872C03"/>
    <w:pPr>
      <w:pBdr>
        <w:top w:val="single" w:sz="6" w:space="5" w:color="auto"/>
        <w:left w:val="single" w:sz="6" w:space="5" w:color="auto"/>
        <w:bottom w:val="single" w:sz="6" w:space="5" w:color="auto"/>
        <w:right w:val="single" w:sz="6" w:space="5" w:color="auto"/>
      </w:pBdr>
      <w:spacing w:before="240" w:after="0" w:line="240" w:lineRule="auto"/>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872C03"/>
    <w:rPr>
      <w:rFonts w:eastAsiaTheme="minorHAnsi" w:cstheme="minorBidi"/>
      <w:sz w:val="22"/>
      <w:lang w:eastAsia="en-US"/>
    </w:rPr>
  </w:style>
  <w:style w:type="paragraph" w:customStyle="1" w:styleId="SOTextNote">
    <w:name w:val="SO TextNote"/>
    <w:aliases w:val="sont"/>
    <w:basedOn w:val="SOText"/>
    <w:qFormat/>
    <w:rsid w:val="00872C03"/>
    <w:pPr>
      <w:spacing w:before="122" w:line="198" w:lineRule="exact"/>
      <w:ind w:left="1843" w:hanging="709"/>
    </w:pPr>
    <w:rPr>
      <w:sz w:val="18"/>
    </w:rPr>
  </w:style>
  <w:style w:type="paragraph" w:customStyle="1" w:styleId="SOPara">
    <w:name w:val="SO Para"/>
    <w:aliases w:val="soa"/>
    <w:basedOn w:val="SOText"/>
    <w:link w:val="SOParaChar"/>
    <w:qFormat/>
    <w:rsid w:val="00872C03"/>
    <w:pPr>
      <w:tabs>
        <w:tab w:val="right" w:pos="1786"/>
      </w:tabs>
      <w:spacing w:before="40"/>
      <w:ind w:left="2070" w:hanging="936"/>
    </w:pPr>
  </w:style>
  <w:style w:type="character" w:customStyle="1" w:styleId="SOParaChar">
    <w:name w:val="SO Para Char"/>
    <w:aliases w:val="soa Char"/>
    <w:basedOn w:val="DefaultParagraphFont"/>
    <w:link w:val="SOPara"/>
    <w:rsid w:val="00872C03"/>
    <w:rPr>
      <w:rFonts w:eastAsiaTheme="minorHAnsi" w:cstheme="minorBidi"/>
      <w:sz w:val="22"/>
      <w:lang w:eastAsia="en-US"/>
    </w:rPr>
  </w:style>
  <w:style w:type="paragraph" w:customStyle="1" w:styleId="FileName">
    <w:name w:val="FileName"/>
    <w:basedOn w:val="Normal"/>
    <w:rsid w:val="00872C03"/>
    <w:pPr>
      <w:spacing w:after="0" w:line="260" w:lineRule="atLeast"/>
    </w:pPr>
    <w:rPr>
      <w:rFonts w:eastAsiaTheme="minorHAnsi" w:cstheme="minorBidi"/>
      <w:sz w:val="22"/>
      <w:szCs w:val="20"/>
      <w:lang w:eastAsia="en-US"/>
    </w:rPr>
  </w:style>
  <w:style w:type="paragraph" w:customStyle="1" w:styleId="SOHeadBold">
    <w:name w:val="SO HeadBold"/>
    <w:aliases w:val="sohb"/>
    <w:basedOn w:val="SOText"/>
    <w:next w:val="SOText"/>
    <w:link w:val="SOHeadBoldChar"/>
    <w:qFormat/>
    <w:rsid w:val="00872C03"/>
    <w:rPr>
      <w:b/>
    </w:rPr>
  </w:style>
  <w:style w:type="character" w:customStyle="1" w:styleId="SOHeadBoldChar">
    <w:name w:val="SO HeadBold Char"/>
    <w:aliases w:val="sohb Char"/>
    <w:basedOn w:val="DefaultParagraphFont"/>
    <w:link w:val="SOHeadBold"/>
    <w:rsid w:val="00872C03"/>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872C03"/>
    <w:rPr>
      <w:i/>
    </w:rPr>
  </w:style>
  <w:style w:type="character" w:customStyle="1" w:styleId="SOHeadItalicChar">
    <w:name w:val="SO HeadItalic Char"/>
    <w:aliases w:val="sohi Char"/>
    <w:basedOn w:val="DefaultParagraphFont"/>
    <w:link w:val="SOHeadItalic"/>
    <w:rsid w:val="00872C03"/>
    <w:rPr>
      <w:rFonts w:eastAsiaTheme="minorHAnsi" w:cstheme="minorBidi"/>
      <w:i/>
      <w:sz w:val="22"/>
      <w:lang w:eastAsia="en-US"/>
    </w:rPr>
  </w:style>
  <w:style w:type="paragraph" w:customStyle="1" w:styleId="SOBullet">
    <w:name w:val="SO Bullet"/>
    <w:aliases w:val="sotb"/>
    <w:basedOn w:val="SOText"/>
    <w:link w:val="SOBulletChar"/>
    <w:qFormat/>
    <w:rsid w:val="00872C03"/>
    <w:pPr>
      <w:ind w:left="1559" w:hanging="425"/>
    </w:pPr>
  </w:style>
  <w:style w:type="character" w:customStyle="1" w:styleId="SOBulletChar">
    <w:name w:val="SO Bullet Char"/>
    <w:aliases w:val="sotb Char"/>
    <w:basedOn w:val="DefaultParagraphFont"/>
    <w:link w:val="SOBullet"/>
    <w:rsid w:val="00872C03"/>
    <w:rPr>
      <w:rFonts w:eastAsiaTheme="minorHAnsi" w:cstheme="minorBidi"/>
      <w:sz w:val="22"/>
      <w:lang w:eastAsia="en-US"/>
    </w:rPr>
  </w:style>
  <w:style w:type="paragraph" w:customStyle="1" w:styleId="SOBulletNote">
    <w:name w:val="SO BulletNote"/>
    <w:aliases w:val="sonb"/>
    <w:basedOn w:val="SOTextNote"/>
    <w:link w:val="SOBulletNoteChar"/>
    <w:qFormat/>
    <w:rsid w:val="00872C03"/>
    <w:pPr>
      <w:tabs>
        <w:tab w:val="left" w:pos="1560"/>
      </w:tabs>
      <w:ind w:left="2268" w:hanging="1134"/>
    </w:pPr>
  </w:style>
  <w:style w:type="character" w:customStyle="1" w:styleId="SOBulletNoteChar">
    <w:name w:val="SO BulletNote Char"/>
    <w:aliases w:val="sonb Char"/>
    <w:basedOn w:val="DefaultParagraphFont"/>
    <w:link w:val="SOBulletNote"/>
    <w:rsid w:val="00872C03"/>
    <w:rPr>
      <w:rFonts w:eastAsiaTheme="minorHAnsi" w:cstheme="minorBidi"/>
      <w:sz w:val="18"/>
      <w:lang w:eastAsia="en-US"/>
    </w:rPr>
  </w:style>
  <w:style w:type="paragraph" w:customStyle="1" w:styleId="tabletext1">
    <w:name w:val="tabletext"/>
    <w:basedOn w:val="Normal"/>
    <w:rsid w:val="00543576"/>
    <w:pPr>
      <w:spacing w:before="100" w:beforeAutospacing="1" w:after="100" w:afterAutospacing="1"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470547">
      <w:bodyDiv w:val="1"/>
      <w:marLeft w:val="0"/>
      <w:marRight w:val="0"/>
      <w:marTop w:val="0"/>
      <w:marBottom w:val="0"/>
      <w:divBdr>
        <w:top w:val="none" w:sz="0" w:space="0" w:color="auto"/>
        <w:left w:val="none" w:sz="0" w:space="0" w:color="auto"/>
        <w:bottom w:val="none" w:sz="0" w:space="0" w:color="auto"/>
        <w:right w:val="none" w:sz="0" w:space="0" w:color="auto"/>
      </w:divBdr>
    </w:div>
    <w:div w:id="276564357">
      <w:bodyDiv w:val="1"/>
      <w:marLeft w:val="0"/>
      <w:marRight w:val="0"/>
      <w:marTop w:val="0"/>
      <w:marBottom w:val="0"/>
      <w:divBdr>
        <w:top w:val="none" w:sz="0" w:space="0" w:color="auto"/>
        <w:left w:val="none" w:sz="0" w:space="0" w:color="auto"/>
        <w:bottom w:val="none" w:sz="0" w:space="0" w:color="auto"/>
        <w:right w:val="none" w:sz="0" w:space="0" w:color="auto"/>
      </w:divBdr>
    </w:div>
    <w:div w:id="303392620">
      <w:bodyDiv w:val="1"/>
      <w:marLeft w:val="0"/>
      <w:marRight w:val="0"/>
      <w:marTop w:val="0"/>
      <w:marBottom w:val="0"/>
      <w:divBdr>
        <w:top w:val="none" w:sz="0" w:space="0" w:color="auto"/>
        <w:left w:val="none" w:sz="0" w:space="0" w:color="auto"/>
        <w:bottom w:val="none" w:sz="0" w:space="0" w:color="auto"/>
        <w:right w:val="none" w:sz="0" w:space="0" w:color="auto"/>
      </w:divBdr>
    </w:div>
    <w:div w:id="317609968">
      <w:bodyDiv w:val="1"/>
      <w:marLeft w:val="0"/>
      <w:marRight w:val="0"/>
      <w:marTop w:val="0"/>
      <w:marBottom w:val="0"/>
      <w:divBdr>
        <w:top w:val="none" w:sz="0" w:space="0" w:color="auto"/>
        <w:left w:val="none" w:sz="0" w:space="0" w:color="auto"/>
        <w:bottom w:val="none" w:sz="0" w:space="0" w:color="auto"/>
        <w:right w:val="none" w:sz="0" w:space="0" w:color="auto"/>
      </w:divBdr>
    </w:div>
    <w:div w:id="779032911">
      <w:bodyDiv w:val="1"/>
      <w:marLeft w:val="0"/>
      <w:marRight w:val="0"/>
      <w:marTop w:val="0"/>
      <w:marBottom w:val="0"/>
      <w:divBdr>
        <w:top w:val="none" w:sz="0" w:space="0" w:color="auto"/>
        <w:left w:val="none" w:sz="0" w:space="0" w:color="auto"/>
        <w:bottom w:val="none" w:sz="0" w:space="0" w:color="auto"/>
        <w:right w:val="none" w:sz="0" w:space="0" w:color="auto"/>
      </w:divBdr>
    </w:div>
    <w:div w:id="1056322936">
      <w:bodyDiv w:val="1"/>
      <w:marLeft w:val="0"/>
      <w:marRight w:val="0"/>
      <w:marTop w:val="0"/>
      <w:marBottom w:val="0"/>
      <w:divBdr>
        <w:top w:val="none" w:sz="0" w:space="0" w:color="auto"/>
        <w:left w:val="none" w:sz="0" w:space="0" w:color="auto"/>
        <w:bottom w:val="none" w:sz="0" w:space="0" w:color="auto"/>
        <w:right w:val="none" w:sz="0" w:space="0" w:color="auto"/>
      </w:divBdr>
    </w:div>
    <w:div w:id="1204900969">
      <w:bodyDiv w:val="1"/>
      <w:marLeft w:val="0"/>
      <w:marRight w:val="0"/>
      <w:marTop w:val="0"/>
      <w:marBottom w:val="0"/>
      <w:divBdr>
        <w:top w:val="none" w:sz="0" w:space="0" w:color="auto"/>
        <w:left w:val="none" w:sz="0" w:space="0" w:color="auto"/>
        <w:bottom w:val="none" w:sz="0" w:space="0" w:color="auto"/>
        <w:right w:val="none" w:sz="0" w:space="0" w:color="auto"/>
      </w:divBdr>
    </w:div>
    <w:div w:id="1272937447">
      <w:bodyDiv w:val="1"/>
      <w:marLeft w:val="0"/>
      <w:marRight w:val="0"/>
      <w:marTop w:val="0"/>
      <w:marBottom w:val="0"/>
      <w:divBdr>
        <w:top w:val="none" w:sz="0" w:space="0" w:color="auto"/>
        <w:left w:val="none" w:sz="0" w:space="0" w:color="auto"/>
        <w:bottom w:val="none" w:sz="0" w:space="0" w:color="auto"/>
        <w:right w:val="none" w:sz="0" w:space="0" w:color="auto"/>
      </w:divBdr>
    </w:div>
    <w:div w:id="1579249709">
      <w:bodyDiv w:val="1"/>
      <w:marLeft w:val="0"/>
      <w:marRight w:val="0"/>
      <w:marTop w:val="0"/>
      <w:marBottom w:val="0"/>
      <w:divBdr>
        <w:top w:val="none" w:sz="0" w:space="0" w:color="auto"/>
        <w:left w:val="none" w:sz="0" w:space="0" w:color="auto"/>
        <w:bottom w:val="none" w:sz="0" w:space="0" w:color="auto"/>
        <w:right w:val="none" w:sz="0" w:space="0" w:color="auto"/>
      </w:divBdr>
    </w:div>
    <w:div w:id="1621493731">
      <w:bodyDiv w:val="1"/>
      <w:marLeft w:val="0"/>
      <w:marRight w:val="0"/>
      <w:marTop w:val="0"/>
      <w:marBottom w:val="0"/>
      <w:divBdr>
        <w:top w:val="none" w:sz="0" w:space="0" w:color="auto"/>
        <w:left w:val="none" w:sz="0" w:space="0" w:color="auto"/>
        <w:bottom w:val="none" w:sz="0" w:space="0" w:color="auto"/>
        <w:right w:val="none" w:sz="0" w:space="0" w:color="auto"/>
      </w:divBdr>
    </w:div>
    <w:div w:id="1635787784">
      <w:bodyDiv w:val="1"/>
      <w:marLeft w:val="0"/>
      <w:marRight w:val="0"/>
      <w:marTop w:val="0"/>
      <w:marBottom w:val="0"/>
      <w:divBdr>
        <w:top w:val="none" w:sz="0" w:space="0" w:color="auto"/>
        <w:left w:val="none" w:sz="0" w:space="0" w:color="auto"/>
        <w:bottom w:val="none" w:sz="0" w:space="0" w:color="auto"/>
        <w:right w:val="none" w:sz="0" w:space="0" w:color="auto"/>
      </w:divBdr>
    </w:div>
    <w:div w:id="1980066922">
      <w:marLeft w:val="0"/>
      <w:marRight w:val="0"/>
      <w:marTop w:val="0"/>
      <w:marBottom w:val="0"/>
      <w:divBdr>
        <w:top w:val="none" w:sz="0" w:space="0" w:color="auto"/>
        <w:left w:val="none" w:sz="0" w:space="0" w:color="auto"/>
        <w:bottom w:val="none" w:sz="0" w:space="0" w:color="auto"/>
        <w:right w:val="none" w:sz="0" w:space="0" w:color="auto"/>
      </w:divBdr>
      <w:divsChild>
        <w:div w:id="1980066935">
          <w:marLeft w:val="0"/>
          <w:marRight w:val="0"/>
          <w:marTop w:val="0"/>
          <w:marBottom w:val="0"/>
          <w:divBdr>
            <w:top w:val="none" w:sz="0" w:space="0" w:color="auto"/>
            <w:left w:val="none" w:sz="0" w:space="0" w:color="auto"/>
            <w:bottom w:val="none" w:sz="0" w:space="0" w:color="auto"/>
            <w:right w:val="none" w:sz="0" w:space="0" w:color="auto"/>
          </w:divBdr>
        </w:div>
      </w:divsChild>
    </w:div>
    <w:div w:id="1980066923">
      <w:marLeft w:val="0"/>
      <w:marRight w:val="0"/>
      <w:marTop w:val="0"/>
      <w:marBottom w:val="0"/>
      <w:divBdr>
        <w:top w:val="none" w:sz="0" w:space="0" w:color="auto"/>
        <w:left w:val="none" w:sz="0" w:space="0" w:color="auto"/>
        <w:bottom w:val="none" w:sz="0" w:space="0" w:color="auto"/>
        <w:right w:val="none" w:sz="0" w:space="0" w:color="auto"/>
      </w:divBdr>
    </w:div>
    <w:div w:id="1980066924">
      <w:marLeft w:val="0"/>
      <w:marRight w:val="0"/>
      <w:marTop w:val="0"/>
      <w:marBottom w:val="0"/>
      <w:divBdr>
        <w:top w:val="none" w:sz="0" w:space="0" w:color="auto"/>
        <w:left w:val="none" w:sz="0" w:space="0" w:color="auto"/>
        <w:bottom w:val="none" w:sz="0" w:space="0" w:color="auto"/>
        <w:right w:val="none" w:sz="0" w:space="0" w:color="auto"/>
      </w:divBdr>
    </w:div>
    <w:div w:id="1980066926">
      <w:marLeft w:val="0"/>
      <w:marRight w:val="0"/>
      <w:marTop w:val="0"/>
      <w:marBottom w:val="0"/>
      <w:divBdr>
        <w:top w:val="none" w:sz="0" w:space="0" w:color="auto"/>
        <w:left w:val="none" w:sz="0" w:space="0" w:color="auto"/>
        <w:bottom w:val="none" w:sz="0" w:space="0" w:color="auto"/>
        <w:right w:val="none" w:sz="0" w:space="0" w:color="auto"/>
      </w:divBdr>
      <w:divsChild>
        <w:div w:id="1980066931">
          <w:marLeft w:val="0"/>
          <w:marRight w:val="0"/>
          <w:marTop w:val="0"/>
          <w:marBottom w:val="0"/>
          <w:divBdr>
            <w:top w:val="none" w:sz="0" w:space="0" w:color="auto"/>
            <w:left w:val="none" w:sz="0" w:space="0" w:color="auto"/>
            <w:bottom w:val="none" w:sz="0" w:space="0" w:color="auto"/>
            <w:right w:val="none" w:sz="0" w:space="0" w:color="auto"/>
          </w:divBdr>
        </w:div>
      </w:divsChild>
    </w:div>
    <w:div w:id="1980066927">
      <w:marLeft w:val="0"/>
      <w:marRight w:val="0"/>
      <w:marTop w:val="0"/>
      <w:marBottom w:val="0"/>
      <w:divBdr>
        <w:top w:val="none" w:sz="0" w:space="0" w:color="auto"/>
        <w:left w:val="none" w:sz="0" w:space="0" w:color="auto"/>
        <w:bottom w:val="none" w:sz="0" w:space="0" w:color="auto"/>
        <w:right w:val="none" w:sz="0" w:space="0" w:color="auto"/>
      </w:divBdr>
      <w:divsChild>
        <w:div w:id="1980066933">
          <w:marLeft w:val="0"/>
          <w:marRight w:val="0"/>
          <w:marTop w:val="0"/>
          <w:marBottom w:val="0"/>
          <w:divBdr>
            <w:top w:val="none" w:sz="0" w:space="0" w:color="auto"/>
            <w:left w:val="none" w:sz="0" w:space="0" w:color="auto"/>
            <w:bottom w:val="none" w:sz="0" w:space="0" w:color="auto"/>
            <w:right w:val="none" w:sz="0" w:space="0" w:color="auto"/>
          </w:divBdr>
        </w:div>
      </w:divsChild>
    </w:div>
    <w:div w:id="1980066928">
      <w:marLeft w:val="0"/>
      <w:marRight w:val="0"/>
      <w:marTop w:val="0"/>
      <w:marBottom w:val="0"/>
      <w:divBdr>
        <w:top w:val="none" w:sz="0" w:space="0" w:color="auto"/>
        <w:left w:val="none" w:sz="0" w:space="0" w:color="auto"/>
        <w:bottom w:val="none" w:sz="0" w:space="0" w:color="auto"/>
        <w:right w:val="none" w:sz="0" w:space="0" w:color="auto"/>
      </w:divBdr>
      <w:divsChild>
        <w:div w:id="1980066921">
          <w:marLeft w:val="0"/>
          <w:marRight w:val="0"/>
          <w:marTop w:val="0"/>
          <w:marBottom w:val="0"/>
          <w:divBdr>
            <w:top w:val="none" w:sz="0" w:space="0" w:color="auto"/>
            <w:left w:val="none" w:sz="0" w:space="0" w:color="auto"/>
            <w:bottom w:val="none" w:sz="0" w:space="0" w:color="auto"/>
            <w:right w:val="none" w:sz="0" w:space="0" w:color="auto"/>
          </w:divBdr>
        </w:div>
      </w:divsChild>
    </w:div>
    <w:div w:id="1980066929">
      <w:marLeft w:val="0"/>
      <w:marRight w:val="0"/>
      <w:marTop w:val="0"/>
      <w:marBottom w:val="0"/>
      <w:divBdr>
        <w:top w:val="none" w:sz="0" w:space="0" w:color="auto"/>
        <w:left w:val="none" w:sz="0" w:space="0" w:color="auto"/>
        <w:bottom w:val="none" w:sz="0" w:space="0" w:color="auto"/>
        <w:right w:val="none" w:sz="0" w:space="0" w:color="auto"/>
      </w:divBdr>
    </w:div>
    <w:div w:id="1980066930">
      <w:marLeft w:val="0"/>
      <w:marRight w:val="0"/>
      <w:marTop w:val="0"/>
      <w:marBottom w:val="0"/>
      <w:divBdr>
        <w:top w:val="none" w:sz="0" w:space="0" w:color="auto"/>
        <w:left w:val="none" w:sz="0" w:space="0" w:color="auto"/>
        <w:bottom w:val="none" w:sz="0" w:space="0" w:color="auto"/>
        <w:right w:val="none" w:sz="0" w:space="0" w:color="auto"/>
      </w:divBdr>
    </w:div>
    <w:div w:id="1980066932">
      <w:marLeft w:val="0"/>
      <w:marRight w:val="0"/>
      <w:marTop w:val="0"/>
      <w:marBottom w:val="0"/>
      <w:divBdr>
        <w:top w:val="none" w:sz="0" w:space="0" w:color="auto"/>
        <w:left w:val="none" w:sz="0" w:space="0" w:color="auto"/>
        <w:bottom w:val="none" w:sz="0" w:space="0" w:color="auto"/>
        <w:right w:val="none" w:sz="0" w:space="0" w:color="auto"/>
      </w:divBdr>
    </w:div>
    <w:div w:id="1980066934">
      <w:marLeft w:val="0"/>
      <w:marRight w:val="0"/>
      <w:marTop w:val="0"/>
      <w:marBottom w:val="0"/>
      <w:divBdr>
        <w:top w:val="none" w:sz="0" w:space="0" w:color="auto"/>
        <w:left w:val="none" w:sz="0" w:space="0" w:color="auto"/>
        <w:bottom w:val="none" w:sz="0" w:space="0" w:color="auto"/>
        <w:right w:val="none" w:sz="0" w:space="0" w:color="auto"/>
      </w:divBdr>
      <w:divsChild>
        <w:div w:id="1980066925">
          <w:marLeft w:val="0"/>
          <w:marRight w:val="0"/>
          <w:marTop w:val="0"/>
          <w:marBottom w:val="0"/>
          <w:divBdr>
            <w:top w:val="none" w:sz="0" w:space="0" w:color="auto"/>
            <w:left w:val="none" w:sz="0" w:space="0" w:color="auto"/>
            <w:bottom w:val="none" w:sz="0" w:space="0" w:color="auto"/>
            <w:right w:val="none" w:sz="0" w:space="0" w:color="auto"/>
          </w:divBdr>
        </w:div>
      </w:divsChild>
    </w:div>
    <w:div w:id="205345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1.wmf"/><Relationship Id="rId299" Type="http://schemas.openxmlformats.org/officeDocument/2006/relationships/oleObject" Target="embeddings/oleObject64.bin"/><Relationship Id="rId21" Type="http://schemas.openxmlformats.org/officeDocument/2006/relationships/footer" Target="footer2.xml"/><Relationship Id="rId42" Type="http://schemas.openxmlformats.org/officeDocument/2006/relationships/image" Target="media/image15.wmf"/><Relationship Id="rId63" Type="http://schemas.openxmlformats.org/officeDocument/2006/relationships/image" Target="media/image33.wmf"/><Relationship Id="rId84" Type="http://schemas.openxmlformats.org/officeDocument/2006/relationships/image" Target="media/image49.wmf"/><Relationship Id="rId138" Type="http://schemas.openxmlformats.org/officeDocument/2006/relationships/image" Target="media/image81.wmf"/><Relationship Id="rId159" Type="http://schemas.openxmlformats.org/officeDocument/2006/relationships/image" Target="media/image97.wmf"/><Relationship Id="rId324" Type="http://schemas.openxmlformats.org/officeDocument/2006/relationships/oleObject" Target="embeddings/oleObject72.bin"/><Relationship Id="rId345" Type="http://schemas.openxmlformats.org/officeDocument/2006/relationships/image" Target="media/image230.wmf"/><Relationship Id="rId366" Type="http://schemas.openxmlformats.org/officeDocument/2006/relationships/header" Target="header8.xml"/><Relationship Id="rId387" Type="http://schemas.openxmlformats.org/officeDocument/2006/relationships/fontTable" Target="fontTable.xml"/><Relationship Id="rId170" Type="http://schemas.openxmlformats.org/officeDocument/2006/relationships/image" Target="media/image104.wmf"/><Relationship Id="rId191" Type="http://schemas.openxmlformats.org/officeDocument/2006/relationships/image" Target="media/image119.wmf"/><Relationship Id="rId205" Type="http://schemas.openxmlformats.org/officeDocument/2006/relationships/image" Target="media/image131.wmf"/><Relationship Id="rId226" Type="http://schemas.openxmlformats.org/officeDocument/2006/relationships/oleObject" Target="embeddings/oleObject46.bin"/><Relationship Id="rId247" Type="http://schemas.openxmlformats.org/officeDocument/2006/relationships/image" Target="media/image165.wmf"/><Relationship Id="rId107" Type="http://schemas.openxmlformats.org/officeDocument/2006/relationships/oleObject" Target="embeddings/oleObject15.bin"/><Relationship Id="rId268" Type="http://schemas.openxmlformats.org/officeDocument/2006/relationships/image" Target="media/image179.wmf"/><Relationship Id="rId289" Type="http://schemas.openxmlformats.org/officeDocument/2006/relationships/oleObject" Target="embeddings/oleObject59.bin"/><Relationship Id="rId11" Type="http://schemas.openxmlformats.org/officeDocument/2006/relationships/image" Target="media/image1.jpeg"/><Relationship Id="rId32" Type="http://schemas.openxmlformats.org/officeDocument/2006/relationships/image" Target="media/image8.wmf"/><Relationship Id="rId53" Type="http://schemas.openxmlformats.org/officeDocument/2006/relationships/image" Target="media/image24.wmf"/><Relationship Id="rId74" Type="http://schemas.openxmlformats.org/officeDocument/2006/relationships/image" Target="media/image40.wmf"/><Relationship Id="rId128" Type="http://schemas.openxmlformats.org/officeDocument/2006/relationships/image" Target="media/image76.emf"/><Relationship Id="rId149" Type="http://schemas.openxmlformats.org/officeDocument/2006/relationships/image" Target="media/image88.wmf"/><Relationship Id="rId314" Type="http://schemas.openxmlformats.org/officeDocument/2006/relationships/image" Target="media/image210.emf"/><Relationship Id="rId335" Type="http://schemas.openxmlformats.org/officeDocument/2006/relationships/image" Target="media/image222.wmf"/><Relationship Id="rId356" Type="http://schemas.openxmlformats.org/officeDocument/2006/relationships/image" Target="media/image238.wmf"/><Relationship Id="rId377" Type="http://schemas.openxmlformats.org/officeDocument/2006/relationships/header" Target="header13.xml"/><Relationship Id="rId5" Type="http://schemas.openxmlformats.org/officeDocument/2006/relationships/numbering" Target="numbering.xml"/><Relationship Id="rId95" Type="http://schemas.openxmlformats.org/officeDocument/2006/relationships/image" Target="media/image56.wmf"/><Relationship Id="rId160" Type="http://schemas.openxmlformats.org/officeDocument/2006/relationships/oleObject" Target="embeddings/oleObject30.bin"/><Relationship Id="rId181" Type="http://schemas.openxmlformats.org/officeDocument/2006/relationships/oleObject" Target="embeddings/oleObject38.bin"/><Relationship Id="rId216" Type="http://schemas.openxmlformats.org/officeDocument/2006/relationships/image" Target="media/image141.wmf"/><Relationship Id="rId237" Type="http://schemas.openxmlformats.org/officeDocument/2006/relationships/image" Target="media/image156.wmf"/><Relationship Id="rId258" Type="http://schemas.openxmlformats.org/officeDocument/2006/relationships/image" Target="media/image173.wmf"/><Relationship Id="rId279" Type="http://schemas.openxmlformats.org/officeDocument/2006/relationships/image" Target="media/image188.wmf"/><Relationship Id="rId22" Type="http://schemas.openxmlformats.org/officeDocument/2006/relationships/header" Target="header3.xml"/><Relationship Id="rId43" Type="http://schemas.openxmlformats.org/officeDocument/2006/relationships/oleObject" Target="embeddings/oleObject4.bin"/><Relationship Id="rId64" Type="http://schemas.openxmlformats.org/officeDocument/2006/relationships/image" Target="media/image34.wmf"/><Relationship Id="rId118" Type="http://schemas.openxmlformats.org/officeDocument/2006/relationships/oleObject" Target="embeddings/oleObject21.bin"/><Relationship Id="rId139" Type="http://schemas.openxmlformats.org/officeDocument/2006/relationships/oleObject" Target="embeddings/oleObject25.bin"/><Relationship Id="rId290" Type="http://schemas.openxmlformats.org/officeDocument/2006/relationships/image" Target="media/image194.wmf"/><Relationship Id="rId304" Type="http://schemas.openxmlformats.org/officeDocument/2006/relationships/image" Target="media/image201.wmf"/><Relationship Id="rId325" Type="http://schemas.openxmlformats.org/officeDocument/2006/relationships/image" Target="media/image216.wmf"/><Relationship Id="rId346" Type="http://schemas.openxmlformats.org/officeDocument/2006/relationships/image" Target="media/image231.wmf"/><Relationship Id="rId367" Type="http://schemas.openxmlformats.org/officeDocument/2006/relationships/footer" Target="footer8.xml"/><Relationship Id="rId388" Type="http://schemas.openxmlformats.org/officeDocument/2006/relationships/theme" Target="theme/theme1.xml"/><Relationship Id="rId85" Type="http://schemas.openxmlformats.org/officeDocument/2006/relationships/image" Target="media/image50.wmf"/><Relationship Id="rId150" Type="http://schemas.openxmlformats.org/officeDocument/2006/relationships/image" Target="media/image89.wmf"/><Relationship Id="rId171" Type="http://schemas.openxmlformats.org/officeDocument/2006/relationships/image" Target="media/image105.wmf"/><Relationship Id="rId192" Type="http://schemas.openxmlformats.org/officeDocument/2006/relationships/image" Target="media/image120.wmf"/><Relationship Id="rId206" Type="http://schemas.openxmlformats.org/officeDocument/2006/relationships/image" Target="media/image132.wmf"/><Relationship Id="rId227" Type="http://schemas.openxmlformats.org/officeDocument/2006/relationships/image" Target="media/image146.wmf"/><Relationship Id="rId248" Type="http://schemas.openxmlformats.org/officeDocument/2006/relationships/image" Target="media/image166.wmf"/><Relationship Id="rId269" Type="http://schemas.openxmlformats.org/officeDocument/2006/relationships/oleObject" Target="embeddings/oleObject54.bin"/><Relationship Id="rId12" Type="http://schemas.openxmlformats.org/officeDocument/2006/relationships/image" Target="media/image2.png"/><Relationship Id="rId33" Type="http://schemas.openxmlformats.org/officeDocument/2006/relationships/oleObject" Target="embeddings/oleObject1.bin"/><Relationship Id="rId108" Type="http://schemas.openxmlformats.org/officeDocument/2006/relationships/image" Target="media/image67.wmf"/><Relationship Id="rId129" Type="http://schemas.openxmlformats.org/officeDocument/2006/relationships/package" Target="embeddings/Microsoft_Word_Document5.docx"/><Relationship Id="rId280" Type="http://schemas.openxmlformats.org/officeDocument/2006/relationships/image" Target="media/image189.wmf"/><Relationship Id="rId315" Type="http://schemas.openxmlformats.org/officeDocument/2006/relationships/image" Target="media/image211.wmf"/><Relationship Id="rId336" Type="http://schemas.openxmlformats.org/officeDocument/2006/relationships/image" Target="media/image223.wmf"/><Relationship Id="rId357" Type="http://schemas.openxmlformats.org/officeDocument/2006/relationships/oleObject" Target="embeddings/oleObject80.bin"/><Relationship Id="rId54" Type="http://schemas.openxmlformats.org/officeDocument/2006/relationships/image" Target="media/image25.wmf"/><Relationship Id="rId75" Type="http://schemas.openxmlformats.org/officeDocument/2006/relationships/oleObject" Target="embeddings/oleObject10.bin"/><Relationship Id="rId96" Type="http://schemas.openxmlformats.org/officeDocument/2006/relationships/image" Target="media/image57.wmf"/><Relationship Id="rId140" Type="http://schemas.openxmlformats.org/officeDocument/2006/relationships/image" Target="media/image82.wmf"/><Relationship Id="rId161" Type="http://schemas.openxmlformats.org/officeDocument/2006/relationships/oleObject" Target="embeddings/oleObject31.bin"/><Relationship Id="rId182" Type="http://schemas.openxmlformats.org/officeDocument/2006/relationships/image" Target="media/image110.wmf"/><Relationship Id="rId217" Type="http://schemas.openxmlformats.org/officeDocument/2006/relationships/oleObject" Target="embeddings/oleObject42.bin"/><Relationship Id="rId378" Type="http://schemas.openxmlformats.org/officeDocument/2006/relationships/footer" Target="footer11.xml"/><Relationship Id="rId6" Type="http://schemas.openxmlformats.org/officeDocument/2006/relationships/styles" Target="styles.xml"/><Relationship Id="rId238" Type="http://schemas.openxmlformats.org/officeDocument/2006/relationships/image" Target="media/image157.wmf"/><Relationship Id="rId259" Type="http://schemas.openxmlformats.org/officeDocument/2006/relationships/image" Target="media/image174.wmf"/><Relationship Id="rId23" Type="http://schemas.openxmlformats.org/officeDocument/2006/relationships/footer" Target="footer3.xml"/><Relationship Id="rId119" Type="http://schemas.openxmlformats.org/officeDocument/2006/relationships/image" Target="media/image72.png"/><Relationship Id="rId270" Type="http://schemas.openxmlformats.org/officeDocument/2006/relationships/hyperlink" Target="http://www.environment.gov.au" TargetMode="External"/><Relationship Id="rId291" Type="http://schemas.openxmlformats.org/officeDocument/2006/relationships/oleObject" Target="embeddings/oleObject60.bin"/><Relationship Id="rId305" Type="http://schemas.openxmlformats.org/officeDocument/2006/relationships/oleObject" Target="embeddings/oleObject67.bin"/><Relationship Id="rId326" Type="http://schemas.openxmlformats.org/officeDocument/2006/relationships/oleObject" Target="embeddings/oleObject73.bin"/><Relationship Id="rId347" Type="http://schemas.openxmlformats.org/officeDocument/2006/relationships/image" Target="media/image232.wmf"/><Relationship Id="rId44" Type="http://schemas.openxmlformats.org/officeDocument/2006/relationships/oleObject" Target="embeddings/oleObject5.bin"/><Relationship Id="rId65" Type="http://schemas.openxmlformats.org/officeDocument/2006/relationships/image" Target="media/image35.wmf"/><Relationship Id="rId86" Type="http://schemas.openxmlformats.org/officeDocument/2006/relationships/oleObject" Target="embeddings/oleObject11.bin"/><Relationship Id="rId130" Type="http://schemas.openxmlformats.org/officeDocument/2006/relationships/oleObject" Target="embeddings/oleObject24.bin"/><Relationship Id="rId151" Type="http://schemas.openxmlformats.org/officeDocument/2006/relationships/image" Target="media/image90.wmf"/><Relationship Id="rId368" Type="http://schemas.openxmlformats.org/officeDocument/2006/relationships/hyperlink" Target="http://www.ghgprotocol.org/calculation-tools/all-tools" TargetMode="External"/><Relationship Id="rId172" Type="http://schemas.openxmlformats.org/officeDocument/2006/relationships/oleObject" Target="embeddings/oleObject33.bin"/><Relationship Id="rId193" Type="http://schemas.openxmlformats.org/officeDocument/2006/relationships/image" Target="media/image121.wmf"/><Relationship Id="rId207" Type="http://schemas.openxmlformats.org/officeDocument/2006/relationships/image" Target="media/image133.wmf"/><Relationship Id="rId228" Type="http://schemas.openxmlformats.org/officeDocument/2006/relationships/image" Target="media/image147.wmf"/><Relationship Id="rId249" Type="http://schemas.openxmlformats.org/officeDocument/2006/relationships/image" Target="media/image167.wmf"/><Relationship Id="rId13" Type="http://schemas.openxmlformats.org/officeDocument/2006/relationships/hyperlink" Target="http://www.environment.gov.au" TargetMode="External"/><Relationship Id="rId109" Type="http://schemas.openxmlformats.org/officeDocument/2006/relationships/oleObject" Target="embeddings/oleObject16.bin"/><Relationship Id="rId260" Type="http://schemas.openxmlformats.org/officeDocument/2006/relationships/image" Target="media/image175.wmf"/><Relationship Id="rId281" Type="http://schemas.openxmlformats.org/officeDocument/2006/relationships/oleObject" Target="embeddings/oleObject55.bin"/><Relationship Id="rId316" Type="http://schemas.openxmlformats.org/officeDocument/2006/relationships/oleObject" Target="embeddings/oleObject68.bin"/><Relationship Id="rId337" Type="http://schemas.openxmlformats.org/officeDocument/2006/relationships/image" Target="media/image224.wmf"/><Relationship Id="rId34" Type="http://schemas.openxmlformats.org/officeDocument/2006/relationships/image" Target="media/image9.wmf"/><Relationship Id="rId55" Type="http://schemas.openxmlformats.org/officeDocument/2006/relationships/image" Target="media/image26.wmf"/><Relationship Id="rId76" Type="http://schemas.openxmlformats.org/officeDocument/2006/relationships/image" Target="media/image41.wmf"/><Relationship Id="rId97" Type="http://schemas.openxmlformats.org/officeDocument/2006/relationships/image" Target="media/image58.wmf"/><Relationship Id="rId120" Type="http://schemas.openxmlformats.org/officeDocument/2006/relationships/image" Target="media/image73.emf"/><Relationship Id="rId141" Type="http://schemas.openxmlformats.org/officeDocument/2006/relationships/oleObject" Target="embeddings/oleObject26.bin"/><Relationship Id="rId358" Type="http://schemas.openxmlformats.org/officeDocument/2006/relationships/image" Target="media/image239.wmf"/><Relationship Id="rId379" Type="http://schemas.openxmlformats.org/officeDocument/2006/relationships/hyperlink" Target="http://www.bom.gov.au/climate/cdo/about/about-stats.shtml" TargetMode="External"/><Relationship Id="rId7" Type="http://schemas.openxmlformats.org/officeDocument/2006/relationships/settings" Target="settings.xml"/><Relationship Id="rId162" Type="http://schemas.openxmlformats.org/officeDocument/2006/relationships/image" Target="media/image98.wmf"/><Relationship Id="rId183" Type="http://schemas.openxmlformats.org/officeDocument/2006/relationships/image" Target="media/image111.wmf"/><Relationship Id="rId218" Type="http://schemas.openxmlformats.org/officeDocument/2006/relationships/image" Target="media/image142.wmf"/><Relationship Id="rId239" Type="http://schemas.openxmlformats.org/officeDocument/2006/relationships/image" Target="media/image158.wmf"/><Relationship Id="rId250" Type="http://schemas.openxmlformats.org/officeDocument/2006/relationships/image" Target="media/image168.wmf"/><Relationship Id="rId271" Type="http://schemas.openxmlformats.org/officeDocument/2006/relationships/image" Target="media/image180.png"/><Relationship Id="rId292" Type="http://schemas.openxmlformats.org/officeDocument/2006/relationships/image" Target="media/image195.wmf"/><Relationship Id="rId306" Type="http://schemas.openxmlformats.org/officeDocument/2006/relationships/image" Target="media/image202.wmf"/><Relationship Id="rId24" Type="http://schemas.openxmlformats.org/officeDocument/2006/relationships/header" Target="header4.xml"/><Relationship Id="rId45" Type="http://schemas.openxmlformats.org/officeDocument/2006/relationships/image" Target="media/image16.wmf"/><Relationship Id="rId66" Type="http://schemas.openxmlformats.org/officeDocument/2006/relationships/image" Target="media/image36.emf"/><Relationship Id="rId87" Type="http://schemas.openxmlformats.org/officeDocument/2006/relationships/image" Target="media/image51.wmf"/><Relationship Id="rId110" Type="http://schemas.openxmlformats.org/officeDocument/2006/relationships/image" Target="media/image68.wmf"/><Relationship Id="rId131" Type="http://schemas.openxmlformats.org/officeDocument/2006/relationships/image" Target="media/image77.emf"/><Relationship Id="rId327" Type="http://schemas.openxmlformats.org/officeDocument/2006/relationships/image" Target="media/image217.wmf"/><Relationship Id="rId348" Type="http://schemas.openxmlformats.org/officeDocument/2006/relationships/hyperlink" Target="http://www.imowa.com.au/market_rules.htm" TargetMode="External"/><Relationship Id="rId369" Type="http://schemas.openxmlformats.org/officeDocument/2006/relationships/image" Target="media/image241.wmf"/><Relationship Id="rId152" Type="http://schemas.openxmlformats.org/officeDocument/2006/relationships/image" Target="media/image91.wmf"/><Relationship Id="rId173" Type="http://schemas.openxmlformats.org/officeDocument/2006/relationships/oleObject" Target="embeddings/oleObject34.bin"/><Relationship Id="rId194" Type="http://schemas.openxmlformats.org/officeDocument/2006/relationships/oleObject" Target="embeddings/oleObject39.bin"/><Relationship Id="rId208" Type="http://schemas.openxmlformats.org/officeDocument/2006/relationships/image" Target="media/image134.wmf"/><Relationship Id="rId229" Type="http://schemas.openxmlformats.org/officeDocument/2006/relationships/image" Target="media/image148.wmf"/><Relationship Id="rId380" Type="http://schemas.openxmlformats.org/officeDocument/2006/relationships/hyperlink" Target="http://www.bom.gov.au/climate/cdo/about/about-stats.shtml" TargetMode="External"/><Relationship Id="rId240" Type="http://schemas.openxmlformats.org/officeDocument/2006/relationships/image" Target="media/image159.wmf"/><Relationship Id="rId261" Type="http://schemas.openxmlformats.org/officeDocument/2006/relationships/oleObject" Target="embeddings/oleObject50.bin"/><Relationship Id="rId14" Type="http://schemas.openxmlformats.org/officeDocument/2006/relationships/hyperlink" Target="http://creativecommons.org/licenses/by/3.0/au" TargetMode="External"/><Relationship Id="rId35" Type="http://schemas.openxmlformats.org/officeDocument/2006/relationships/image" Target="media/image10.wmf"/><Relationship Id="rId56" Type="http://schemas.openxmlformats.org/officeDocument/2006/relationships/image" Target="media/image27.wmf"/><Relationship Id="rId77" Type="http://schemas.openxmlformats.org/officeDocument/2006/relationships/image" Target="media/image42.wmf"/><Relationship Id="rId100" Type="http://schemas.openxmlformats.org/officeDocument/2006/relationships/image" Target="media/image61.wmf"/><Relationship Id="rId282" Type="http://schemas.openxmlformats.org/officeDocument/2006/relationships/image" Target="media/image190.wmf"/><Relationship Id="rId317" Type="http://schemas.openxmlformats.org/officeDocument/2006/relationships/image" Target="media/image212.wmf"/><Relationship Id="rId338" Type="http://schemas.openxmlformats.org/officeDocument/2006/relationships/hyperlink" Target="http://www.abs.gov.au" TargetMode="External"/><Relationship Id="rId359" Type="http://schemas.openxmlformats.org/officeDocument/2006/relationships/oleObject" Target="embeddings/oleObject81.bin"/><Relationship Id="rId8" Type="http://schemas.openxmlformats.org/officeDocument/2006/relationships/webSettings" Target="webSettings.xml"/><Relationship Id="rId98" Type="http://schemas.openxmlformats.org/officeDocument/2006/relationships/image" Target="media/image59.wmf"/><Relationship Id="rId121" Type="http://schemas.openxmlformats.org/officeDocument/2006/relationships/package" Target="embeddings/Microsoft_Word_Document2.docx"/><Relationship Id="rId142" Type="http://schemas.openxmlformats.org/officeDocument/2006/relationships/image" Target="media/image83.wmf"/><Relationship Id="rId163" Type="http://schemas.openxmlformats.org/officeDocument/2006/relationships/oleObject" Target="embeddings/oleObject32.bin"/><Relationship Id="rId184" Type="http://schemas.openxmlformats.org/officeDocument/2006/relationships/image" Target="media/image112.wmf"/><Relationship Id="rId219" Type="http://schemas.openxmlformats.org/officeDocument/2006/relationships/image" Target="media/image143.wmf"/><Relationship Id="rId370" Type="http://schemas.openxmlformats.org/officeDocument/2006/relationships/header" Target="header9.xml"/><Relationship Id="rId230" Type="http://schemas.openxmlformats.org/officeDocument/2006/relationships/image" Target="media/image149.wmf"/><Relationship Id="rId251" Type="http://schemas.openxmlformats.org/officeDocument/2006/relationships/oleObject" Target="embeddings/oleObject48.bin"/><Relationship Id="rId25" Type="http://schemas.openxmlformats.org/officeDocument/2006/relationships/header" Target="header5.xml"/><Relationship Id="rId46" Type="http://schemas.openxmlformats.org/officeDocument/2006/relationships/image" Target="media/image17.wmf"/><Relationship Id="rId67" Type="http://schemas.openxmlformats.org/officeDocument/2006/relationships/package" Target="embeddings/Microsoft_Word_Document.docx"/><Relationship Id="rId272" Type="http://schemas.openxmlformats.org/officeDocument/2006/relationships/image" Target="media/image181.wmf"/><Relationship Id="rId293" Type="http://schemas.openxmlformats.org/officeDocument/2006/relationships/oleObject" Target="embeddings/oleObject61.bin"/><Relationship Id="rId307" Type="http://schemas.openxmlformats.org/officeDocument/2006/relationships/image" Target="media/image203.wmf"/><Relationship Id="rId328" Type="http://schemas.openxmlformats.org/officeDocument/2006/relationships/oleObject" Target="embeddings/oleObject74.bin"/><Relationship Id="rId349" Type="http://schemas.openxmlformats.org/officeDocument/2006/relationships/image" Target="media/image233.wmf"/><Relationship Id="rId88" Type="http://schemas.openxmlformats.org/officeDocument/2006/relationships/oleObject" Target="embeddings/oleObject12.bin"/><Relationship Id="rId111" Type="http://schemas.openxmlformats.org/officeDocument/2006/relationships/oleObject" Target="embeddings/oleObject17.bin"/><Relationship Id="rId132" Type="http://schemas.openxmlformats.org/officeDocument/2006/relationships/package" Target="embeddings/Microsoft_Word_Document6.docx"/><Relationship Id="rId153" Type="http://schemas.openxmlformats.org/officeDocument/2006/relationships/image" Target="media/image92.wmf"/><Relationship Id="rId174" Type="http://schemas.openxmlformats.org/officeDocument/2006/relationships/image" Target="media/image106.wmf"/><Relationship Id="rId195" Type="http://schemas.openxmlformats.org/officeDocument/2006/relationships/image" Target="media/image122.wmf"/><Relationship Id="rId209" Type="http://schemas.openxmlformats.org/officeDocument/2006/relationships/image" Target="media/image135.wmf"/><Relationship Id="rId360" Type="http://schemas.openxmlformats.org/officeDocument/2006/relationships/image" Target="media/image240.wmf"/><Relationship Id="rId381" Type="http://schemas.openxmlformats.org/officeDocument/2006/relationships/header" Target="header14.xml"/><Relationship Id="rId220" Type="http://schemas.openxmlformats.org/officeDocument/2006/relationships/image" Target="media/image144.wmf"/><Relationship Id="rId241" Type="http://schemas.openxmlformats.org/officeDocument/2006/relationships/image" Target="media/image160.wmf"/><Relationship Id="rId15" Type="http://schemas.openxmlformats.org/officeDocument/2006/relationships/hyperlink" Target="http://creativecommons.org/licenses/by/3.0/au/" TargetMode="External"/><Relationship Id="rId36" Type="http://schemas.openxmlformats.org/officeDocument/2006/relationships/image" Target="media/image11.wmf"/><Relationship Id="rId57" Type="http://schemas.openxmlformats.org/officeDocument/2006/relationships/oleObject" Target="embeddings/oleObject6.bin"/><Relationship Id="rId262" Type="http://schemas.openxmlformats.org/officeDocument/2006/relationships/image" Target="media/image176.wmf"/><Relationship Id="rId283" Type="http://schemas.openxmlformats.org/officeDocument/2006/relationships/oleObject" Target="embeddings/oleObject56.bin"/><Relationship Id="rId318" Type="http://schemas.openxmlformats.org/officeDocument/2006/relationships/oleObject" Target="embeddings/oleObject69.bin"/><Relationship Id="rId339" Type="http://schemas.openxmlformats.org/officeDocument/2006/relationships/image" Target="media/image225.wmf"/><Relationship Id="rId78" Type="http://schemas.openxmlformats.org/officeDocument/2006/relationships/image" Target="media/image43.wmf"/><Relationship Id="rId99" Type="http://schemas.openxmlformats.org/officeDocument/2006/relationships/image" Target="media/image60.wmf"/><Relationship Id="rId101" Type="http://schemas.openxmlformats.org/officeDocument/2006/relationships/image" Target="media/image62.wmf"/><Relationship Id="rId122" Type="http://schemas.openxmlformats.org/officeDocument/2006/relationships/image" Target="media/image74.emf"/><Relationship Id="rId143" Type="http://schemas.openxmlformats.org/officeDocument/2006/relationships/oleObject" Target="embeddings/oleObject27.bin"/><Relationship Id="rId164" Type="http://schemas.openxmlformats.org/officeDocument/2006/relationships/image" Target="media/image99.wmf"/><Relationship Id="rId185" Type="http://schemas.openxmlformats.org/officeDocument/2006/relationships/image" Target="media/image113.wmf"/><Relationship Id="rId350" Type="http://schemas.openxmlformats.org/officeDocument/2006/relationships/image" Target="media/image234.wmf"/><Relationship Id="rId371" Type="http://schemas.openxmlformats.org/officeDocument/2006/relationships/header" Target="header10.xml"/><Relationship Id="rId9" Type="http://schemas.openxmlformats.org/officeDocument/2006/relationships/footnotes" Target="footnotes.xml"/><Relationship Id="rId210" Type="http://schemas.openxmlformats.org/officeDocument/2006/relationships/oleObject" Target="embeddings/oleObject41.bin"/><Relationship Id="rId26" Type="http://schemas.openxmlformats.org/officeDocument/2006/relationships/footer" Target="footer4.xml"/><Relationship Id="rId231" Type="http://schemas.openxmlformats.org/officeDocument/2006/relationships/image" Target="media/image150.wmf"/><Relationship Id="rId252" Type="http://schemas.openxmlformats.org/officeDocument/2006/relationships/image" Target="media/image169.wmf"/><Relationship Id="rId273" Type="http://schemas.openxmlformats.org/officeDocument/2006/relationships/image" Target="media/image182.wmf"/><Relationship Id="rId294" Type="http://schemas.openxmlformats.org/officeDocument/2006/relationships/image" Target="media/image196.wmf"/><Relationship Id="rId308" Type="http://schemas.openxmlformats.org/officeDocument/2006/relationships/image" Target="media/image204.wmf"/><Relationship Id="rId329" Type="http://schemas.openxmlformats.org/officeDocument/2006/relationships/image" Target="media/image218.wmf"/><Relationship Id="rId47" Type="http://schemas.openxmlformats.org/officeDocument/2006/relationships/image" Target="media/image18.wmf"/><Relationship Id="rId68" Type="http://schemas.openxmlformats.org/officeDocument/2006/relationships/image" Target="media/image37.wmf"/><Relationship Id="rId89" Type="http://schemas.openxmlformats.org/officeDocument/2006/relationships/image" Target="media/image52.png"/><Relationship Id="rId112" Type="http://schemas.openxmlformats.org/officeDocument/2006/relationships/image" Target="media/image69.wmf"/><Relationship Id="rId133" Type="http://schemas.openxmlformats.org/officeDocument/2006/relationships/image" Target="media/image78.emf"/><Relationship Id="rId154" Type="http://schemas.openxmlformats.org/officeDocument/2006/relationships/image" Target="media/image93.wmf"/><Relationship Id="rId175" Type="http://schemas.openxmlformats.org/officeDocument/2006/relationships/oleObject" Target="embeddings/oleObject35.bin"/><Relationship Id="rId340" Type="http://schemas.openxmlformats.org/officeDocument/2006/relationships/image" Target="media/image226.wmf"/><Relationship Id="rId361" Type="http://schemas.openxmlformats.org/officeDocument/2006/relationships/oleObject" Target="embeddings/oleObject82.bin"/><Relationship Id="rId196" Type="http://schemas.openxmlformats.org/officeDocument/2006/relationships/oleObject" Target="embeddings/oleObject40.bin"/><Relationship Id="rId200" Type="http://schemas.openxmlformats.org/officeDocument/2006/relationships/image" Target="media/image126.wmf"/><Relationship Id="rId382" Type="http://schemas.openxmlformats.org/officeDocument/2006/relationships/header" Target="header15.xml"/><Relationship Id="rId16" Type="http://schemas.openxmlformats.org/officeDocument/2006/relationships/image" Target="media/image3.jpeg"/><Relationship Id="rId221" Type="http://schemas.openxmlformats.org/officeDocument/2006/relationships/image" Target="media/image145.emf"/><Relationship Id="rId242" Type="http://schemas.openxmlformats.org/officeDocument/2006/relationships/image" Target="media/image161.wmf"/><Relationship Id="rId263" Type="http://schemas.openxmlformats.org/officeDocument/2006/relationships/oleObject" Target="embeddings/oleObject51.bin"/><Relationship Id="rId284" Type="http://schemas.openxmlformats.org/officeDocument/2006/relationships/image" Target="media/image191.wmf"/><Relationship Id="rId319" Type="http://schemas.openxmlformats.org/officeDocument/2006/relationships/image" Target="media/image213.wmf"/><Relationship Id="rId37" Type="http://schemas.openxmlformats.org/officeDocument/2006/relationships/image" Target="media/image12.wmf"/><Relationship Id="rId58" Type="http://schemas.openxmlformats.org/officeDocument/2006/relationships/image" Target="media/image28.wmf"/><Relationship Id="rId79" Type="http://schemas.openxmlformats.org/officeDocument/2006/relationships/image" Target="media/image44.wmf"/><Relationship Id="rId102" Type="http://schemas.openxmlformats.org/officeDocument/2006/relationships/image" Target="media/image63.wmf"/><Relationship Id="rId123" Type="http://schemas.openxmlformats.org/officeDocument/2006/relationships/package" Target="embeddings/Microsoft_Word_Document3.docx"/><Relationship Id="rId144" Type="http://schemas.openxmlformats.org/officeDocument/2006/relationships/image" Target="media/image84.wmf"/><Relationship Id="rId330" Type="http://schemas.openxmlformats.org/officeDocument/2006/relationships/oleObject" Target="embeddings/oleObject75.bin"/><Relationship Id="rId90" Type="http://schemas.openxmlformats.org/officeDocument/2006/relationships/image" Target="media/image53.emf"/><Relationship Id="rId165" Type="http://schemas.openxmlformats.org/officeDocument/2006/relationships/image" Target="media/image100.wmf"/><Relationship Id="rId186" Type="http://schemas.openxmlformats.org/officeDocument/2006/relationships/image" Target="media/image114.wmf"/><Relationship Id="rId351" Type="http://schemas.openxmlformats.org/officeDocument/2006/relationships/oleObject" Target="embeddings/oleObject78.bin"/><Relationship Id="rId372" Type="http://schemas.openxmlformats.org/officeDocument/2006/relationships/hyperlink" Target="http://www.abareconomics.com/publications_html/surveys/surveys/surveys.html" TargetMode="External"/><Relationship Id="rId211" Type="http://schemas.openxmlformats.org/officeDocument/2006/relationships/image" Target="media/image136.wmf"/><Relationship Id="rId232" Type="http://schemas.openxmlformats.org/officeDocument/2006/relationships/image" Target="media/image151.wmf"/><Relationship Id="rId253" Type="http://schemas.openxmlformats.org/officeDocument/2006/relationships/image" Target="media/image170.wmf"/><Relationship Id="rId274" Type="http://schemas.openxmlformats.org/officeDocument/2006/relationships/image" Target="media/image183.wmf"/><Relationship Id="rId295" Type="http://schemas.openxmlformats.org/officeDocument/2006/relationships/oleObject" Target="embeddings/oleObject62.bin"/><Relationship Id="rId309" Type="http://schemas.openxmlformats.org/officeDocument/2006/relationships/image" Target="media/image205.wmf"/><Relationship Id="rId27" Type="http://schemas.openxmlformats.org/officeDocument/2006/relationships/footer" Target="footer5.xml"/><Relationship Id="rId48" Type="http://schemas.openxmlformats.org/officeDocument/2006/relationships/image" Target="media/image19.wmf"/><Relationship Id="rId69" Type="http://schemas.openxmlformats.org/officeDocument/2006/relationships/oleObject" Target="embeddings/oleObject7.bin"/><Relationship Id="rId113" Type="http://schemas.openxmlformats.org/officeDocument/2006/relationships/oleObject" Target="embeddings/oleObject18.bin"/><Relationship Id="rId134" Type="http://schemas.openxmlformats.org/officeDocument/2006/relationships/package" Target="embeddings/Microsoft_Word_Document7.docx"/><Relationship Id="rId320" Type="http://schemas.openxmlformats.org/officeDocument/2006/relationships/oleObject" Target="embeddings/oleObject70.bin"/><Relationship Id="rId80" Type="http://schemas.openxmlformats.org/officeDocument/2006/relationships/image" Target="media/image45.wmf"/><Relationship Id="rId155" Type="http://schemas.openxmlformats.org/officeDocument/2006/relationships/image" Target="media/image94.wmf"/><Relationship Id="rId176" Type="http://schemas.openxmlformats.org/officeDocument/2006/relationships/image" Target="media/image107.wmf"/><Relationship Id="rId197" Type="http://schemas.openxmlformats.org/officeDocument/2006/relationships/image" Target="media/image123.wmf"/><Relationship Id="rId341" Type="http://schemas.openxmlformats.org/officeDocument/2006/relationships/image" Target="media/image227.wmf"/><Relationship Id="rId362" Type="http://schemas.openxmlformats.org/officeDocument/2006/relationships/header" Target="header6.xml"/><Relationship Id="rId383" Type="http://schemas.openxmlformats.org/officeDocument/2006/relationships/footer" Target="footer12.xml"/><Relationship Id="rId201" Type="http://schemas.openxmlformats.org/officeDocument/2006/relationships/image" Target="media/image127.wmf"/><Relationship Id="rId222" Type="http://schemas.openxmlformats.org/officeDocument/2006/relationships/package" Target="embeddings/Microsoft_Word_Document9.docx"/><Relationship Id="rId243" Type="http://schemas.openxmlformats.org/officeDocument/2006/relationships/image" Target="media/image162.wmf"/><Relationship Id="rId264" Type="http://schemas.openxmlformats.org/officeDocument/2006/relationships/image" Target="media/image177.wmf"/><Relationship Id="rId285" Type="http://schemas.openxmlformats.org/officeDocument/2006/relationships/oleObject" Target="embeddings/oleObject57.bin"/><Relationship Id="rId17" Type="http://schemas.openxmlformats.org/officeDocument/2006/relationships/image" Target="media/image4.jpeg"/><Relationship Id="rId38" Type="http://schemas.openxmlformats.org/officeDocument/2006/relationships/image" Target="media/image13.wmf"/><Relationship Id="rId59" Type="http://schemas.openxmlformats.org/officeDocument/2006/relationships/image" Target="media/image29.wmf"/><Relationship Id="rId103" Type="http://schemas.openxmlformats.org/officeDocument/2006/relationships/image" Target="media/image64.wmf"/><Relationship Id="rId124" Type="http://schemas.openxmlformats.org/officeDocument/2006/relationships/oleObject" Target="embeddings/oleObject22.bin"/><Relationship Id="rId310" Type="http://schemas.openxmlformats.org/officeDocument/2006/relationships/image" Target="media/image206.wmf"/><Relationship Id="rId70" Type="http://schemas.openxmlformats.org/officeDocument/2006/relationships/image" Target="media/image38.wmf"/><Relationship Id="rId91" Type="http://schemas.openxmlformats.org/officeDocument/2006/relationships/package" Target="embeddings/Microsoft_Word_Document1.docx"/><Relationship Id="rId145" Type="http://schemas.openxmlformats.org/officeDocument/2006/relationships/image" Target="media/image85.wmf"/><Relationship Id="rId166" Type="http://schemas.openxmlformats.org/officeDocument/2006/relationships/image" Target="media/image101.wmf"/><Relationship Id="rId187" Type="http://schemas.openxmlformats.org/officeDocument/2006/relationships/image" Target="media/image115.wmf"/><Relationship Id="rId331" Type="http://schemas.openxmlformats.org/officeDocument/2006/relationships/image" Target="media/image219.wmf"/><Relationship Id="rId352" Type="http://schemas.openxmlformats.org/officeDocument/2006/relationships/image" Target="media/image235.wmf"/><Relationship Id="rId373" Type="http://schemas.openxmlformats.org/officeDocument/2006/relationships/header" Target="header11.xml"/><Relationship Id="rId1" Type="http://schemas.openxmlformats.org/officeDocument/2006/relationships/customXml" Target="../customXml/item1.xml"/><Relationship Id="rId212" Type="http://schemas.openxmlformats.org/officeDocument/2006/relationships/image" Target="media/image137.wmf"/><Relationship Id="rId233" Type="http://schemas.openxmlformats.org/officeDocument/2006/relationships/image" Target="media/image152.wmf"/><Relationship Id="rId254" Type="http://schemas.openxmlformats.org/officeDocument/2006/relationships/oleObject" Target="embeddings/oleObject49.bin"/><Relationship Id="rId28" Type="http://schemas.openxmlformats.org/officeDocument/2006/relationships/hyperlink" Target="http://www.acarp.com.au/reports.aspx" TargetMode="External"/><Relationship Id="rId49" Type="http://schemas.openxmlformats.org/officeDocument/2006/relationships/image" Target="media/image20.wmf"/><Relationship Id="rId114" Type="http://schemas.openxmlformats.org/officeDocument/2006/relationships/image" Target="media/image70.wmf"/><Relationship Id="rId275" Type="http://schemas.openxmlformats.org/officeDocument/2006/relationships/image" Target="media/image184.wmf"/><Relationship Id="rId296" Type="http://schemas.openxmlformats.org/officeDocument/2006/relationships/image" Target="media/image197.wmf"/><Relationship Id="rId300" Type="http://schemas.openxmlformats.org/officeDocument/2006/relationships/image" Target="media/image199.wmf"/><Relationship Id="rId60" Type="http://schemas.openxmlformats.org/officeDocument/2006/relationships/image" Target="media/image30.wmf"/><Relationship Id="rId81" Type="http://schemas.openxmlformats.org/officeDocument/2006/relationships/image" Target="media/image46.wmf"/><Relationship Id="rId135" Type="http://schemas.openxmlformats.org/officeDocument/2006/relationships/image" Target="media/image79.emf"/><Relationship Id="rId156" Type="http://schemas.openxmlformats.org/officeDocument/2006/relationships/image" Target="media/image95.wmf"/><Relationship Id="rId177" Type="http://schemas.openxmlformats.org/officeDocument/2006/relationships/oleObject" Target="embeddings/oleObject36.bin"/><Relationship Id="rId198" Type="http://schemas.openxmlformats.org/officeDocument/2006/relationships/image" Target="media/image124.wmf"/><Relationship Id="rId321" Type="http://schemas.openxmlformats.org/officeDocument/2006/relationships/image" Target="media/image214.wmf"/><Relationship Id="rId342" Type="http://schemas.openxmlformats.org/officeDocument/2006/relationships/oleObject" Target="embeddings/oleObject77.bin"/><Relationship Id="rId363" Type="http://schemas.openxmlformats.org/officeDocument/2006/relationships/header" Target="header7.xml"/><Relationship Id="rId384" Type="http://schemas.openxmlformats.org/officeDocument/2006/relationships/footer" Target="footer13.xml"/><Relationship Id="rId202" Type="http://schemas.openxmlformats.org/officeDocument/2006/relationships/image" Target="media/image128.wmf"/><Relationship Id="rId223" Type="http://schemas.openxmlformats.org/officeDocument/2006/relationships/oleObject" Target="embeddings/oleObject43.bin"/><Relationship Id="rId244" Type="http://schemas.openxmlformats.org/officeDocument/2006/relationships/oleObject" Target="embeddings/oleObject47.bin"/><Relationship Id="rId18" Type="http://schemas.openxmlformats.org/officeDocument/2006/relationships/header" Target="header1.xml"/><Relationship Id="rId39" Type="http://schemas.openxmlformats.org/officeDocument/2006/relationships/oleObject" Target="embeddings/oleObject2.bin"/><Relationship Id="rId265" Type="http://schemas.openxmlformats.org/officeDocument/2006/relationships/oleObject" Target="embeddings/oleObject52.bin"/><Relationship Id="rId286" Type="http://schemas.openxmlformats.org/officeDocument/2006/relationships/image" Target="media/image192.wmf"/><Relationship Id="rId50" Type="http://schemas.openxmlformats.org/officeDocument/2006/relationships/image" Target="media/image21.wmf"/><Relationship Id="rId104" Type="http://schemas.openxmlformats.org/officeDocument/2006/relationships/image" Target="media/image65.wmf"/><Relationship Id="rId125" Type="http://schemas.openxmlformats.org/officeDocument/2006/relationships/image" Target="media/image75.emf"/><Relationship Id="rId146" Type="http://schemas.openxmlformats.org/officeDocument/2006/relationships/image" Target="media/image86.wmf"/><Relationship Id="rId167" Type="http://schemas.openxmlformats.org/officeDocument/2006/relationships/image" Target="media/image102.wmf"/><Relationship Id="rId188" Type="http://schemas.openxmlformats.org/officeDocument/2006/relationships/image" Target="media/image116.wmf"/><Relationship Id="rId311" Type="http://schemas.openxmlformats.org/officeDocument/2006/relationships/image" Target="media/image207.wmf"/><Relationship Id="rId332" Type="http://schemas.openxmlformats.org/officeDocument/2006/relationships/oleObject" Target="embeddings/oleObject76.bin"/><Relationship Id="rId353" Type="http://schemas.openxmlformats.org/officeDocument/2006/relationships/oleObject" Target="embeddings/oleObject79.bin"/><Relationship Id="rId374" Type="http://schemas.openxmlformats.org/officeDocument/2006/relationships/header" Target="header12.xml"/><Relationship Id="rId71" Type="http://schemas.openxmlformats.org/officeDocument/2006/relationships/oleObject" Target="embeddings/oleObject8.bin"/><Relationship Id="rId92" Type="http://schemas.openxmlformats.org/officeDocument/2006/relationships/image" Target="media/image54.wmf"/><Relationship Id="rId213" Type="http://schemas.openxmlformats.org/officeDocument/2006/relationships/image" Target="media/image138.wmf"/><Relationship Id="rId234" Type="http://schemas.openxmlformats.org/officeDocument/2006/relationships/image" Target="media/image153.wmf"/><Relationship Id="rId2" Type="http://schemas.openxmlformats.org/officeDocument/2006/relationships/customXml" Target="../customXml/item2.xml"/><Relationship Id="rId29" Type="http://schemas.openxmlformats.org/officeDocument/2006/relationships/image" Target="media/image5.wmf"/><Relationship Id="rId255" Type="http://schemas.openxmlformats.org/officeDocument/2006/relationships/image" Target="media/image171.wmf"/><Relationship Id="rId276" Type="http://schemas.openxmlformats.org/officeDocument/2006/relationships/image" Target="media/image185.wmf"/><Relationship Id="rId297" Type="http://schemas.openxmlformats.org/officeDocument/2006/relationships/oleObject" Target="embeddings/oleObject63.bin"/><Relationship Id="rId40" Type="http://schemas.openxmlformats.org/officeDocument/2006/relationships/image" Target="media/image14.wmf"/><Relationship Id="rId115" Type="http://schemas.openxmlformats.org/officeDocument/2006/relationships/oleObject" Target="embeddings/oleObject19.bin"/><Relationship Id="rId136" Type="http://schemas.openxmlformats.org/officeDocument/2006/relationships/package" Target="embeddings/Microsoft_Word_Document8.docx"/><Relationship Id="rId157" Type="http://schemas.openxmlformats.org/officeDocument/2006/relationships/oleObject" Target="embeddings/oleObject29.bin"/><Relationship Id="rId178" Type="http://schemas.openxmlformats.org/officeDocument/2006/relationships/image" Target="media/image108.wmf"/><Relationship Id="rId301" Type="http://schemas.openxmlformats.org/officeDocument/2006/relationships/oleObject" Target="embeddings/oleObject65.bin"/><Relationship Id="rId322" Type="http://schemas.openxmlformats.org/officeDocument/2006/relationships/oleObject" Target="embeddings/oleObject71.bin"/><Relationship Id="rId343" Type="http://schemas.openxmlformats.org/officeDocument/2006/relationships/image" Target="media/image228.wmf"/><Relationship Id="rId364" Type="http://schemas.openxmlformats.org/officeDocument/2006/relationships/footer" Target="footer6.xml"/><Relationship Id="rId61" Type="http://schemas.openxmlformats.org/officeDocument/2006/relationships/image" Target="media/image31.wmf"/><Relationship Id="rId82" Type="http://schemas.openxmlformats.org/officeDocument/2006/relationships/image" Target="media/image47.wmf"/><Relationship Id="rId199" Type="http://schemas.openxmlformats.org/officeDocument/2006/relationships/image" Target="media/image125.wmf"/><Relationship Id="rId203" Type="http://schemas.openxmlformats.org/officeDocument/2006/relationships/image" Target="media/image129.wmf"/><Relationship Id="rId385" Type="http://schemas.openxmlformats.org/officeDocument/2006/relationships/footer" Target="footer14.xml"/><Relationship Id="rId19" Type="http://schemas.openxmlformats.org/officeDocument/2006/relationships/header" Target="header2.xml"/><Relationship Id="rId224" Type="http://schemas.openxmlformats.org/officeDocument/2006/relationships/oleObject" Target="embeddings/oleObject44.bin"/><Relationship Id="rId245" Type="http://schemas.openxmlformats.org/officeDocument/2006/relationships/image" Target="media/image163.wmf"/><Relationship Id="rId266" Type="http://schemas.openxmlformats.org/officeDocument/2006/relationships/image" Target="media/image178.wmf"/><Relationship Id="rId287" Type="http://schemas.openxmlformats.org/officeDocument/2006/relationships/oleObject" Target="embeddings/oleObject58.bin"/><Relationship Id="rId30" Type="http://schemas.openxmlformats.org/officeDocument/2006/relationships/image" Target="media/image6.wmf"/><Relationship Id="rId105" Type="http://schemas.openxmlformats.org/officeDocument/2006/relationships/oleObject" Target="embeddings/oleObject14.bin"/><Relationship Id="rId126" Type="http://schemas.openxmlformats.org/officeDocument/2006/relationships/package" Target="embeddings/Microsoft_Word_Document4.docx"/><Relationship Id="rId147" Type="http://schemas.openxmlformats.org/officeDocument/2006/relationships/image" Target="media/image87.wmf"/><Relationship Id="rId168" Type="http://schemas.openxmlformats.org/officeDocument/2006/relationships/image" Target="media/image103.wmf"/><Relationship Id="rId312" Type="http://schemas.openxmlformats.org/officeDocument/2006/relationships/image" Target="media/image208.wmf"/><Relationship Id="rId333" Type="http://schemas.openxmlformats.org/officeDocument/2006/relationships/image" Target="media/image220.wmf"/><Relationship Id="rId354" Type="http://schemas.openxmlformats.org/officeDocument/2006/relationships/image" Target="media/image236.wmf"/><Relationship Id="rId51" Type="http://schemas.openxmlformats.org/officeDocument/2006/relationships/image" Target="media/image22.wmf"/><Relationship Id="rId72" Type="http://schemas.openxmlformats.org/officeDocument/2006/relationships/image" Target="media/image39.wmf"/><Relationship Id="rId93" Type="http://schemas.openxmlformats.org/officeDocument/2006/relationships/image" Target="media/image55.wmf"/><Relationship Id="rId189" Type="http://schemas.openxmlformats.org/officeDocument/2006/relationships/image" Target="media/image117.wmf"/><Relationship Id="rId375" Type="http://schemas.openxmlformats.org/officeDocument/2006/relationships/footer" Target="footer9.xml"/><Relationship Id="rId3" Type="http://schemas.openxmlformats.org/officeDocument/2006/relationships/customXml" Target="../customXml/item3.xml"/><Relationship Id="rId214" Type="http://schemas.openxmlformats.org/officeDocument/2006/relationships/image" Target="media/image139.wmf"/><Relationship Id="rId235" Type="http://schemas.openxmlformats.org/officeDocument/2006/relationships/image" Target="media/image154.wmf"/><Relationship Id="rId256" Type="http://schemas.openxmlformats.org/officeDocument/2006/relationships/image" Target="media/image172.wmf"/><Relationship Id="rId277" Type="http://schemas.openxmlformats.org/officeDocument/2006/relationships/image" Target="media/image186.wmf"/><Relationship Id="rId298" Type="http://schemas.openxmlformats.org/officeDocument/2006/relationships/image" Target="media/image198.wmf"/><Relationship Id="rId116" Type="http://schemas.openxmlformats.org/officeDocument/2006/relationships/oleObject" Target="embeddings/oleObject20.bin"/><Relationship Id="rId137" Type="http://schemas.openxmlformats.org/officeDocument/2006/relationships/image" Target="media/image80.wmf"/><Relationship Id="rId158" Type="http://schemas.openxmlformats.org/officeDocument/2006/relationships/image" Target="media/image96.wmf"/><Relationship Id="rId302" Type="http://schemas.openxmlformats.org/officeDocument/2006/relationships/image" Target="media/image200.wmf"/><Relationship Id="rId323" Type="http://schemas.openxmlformats.org/officeDocument/2006/relationships/image" Target="media/image215.wmf"/><Relationship Id="rId344" Type="http://schemas.openxmlformats.org/officeDocument/2006/relationships/image" Target="media/image229.wmf"/><Relationship Id="rId20" Type="http://schemas.openxmlformats.org/officeDocument/2006/relationships/footer" Target="footer1.xml"/><Relationship Id="rId41" Type="http://schemas.openxmlformats.org/officeDocument/2006/relationships/oleObject" Target="embeddings/oleObject3.bin"/><Relationship Id="rId62" Type="http://schemas.openxmlformats.org/officeDocument/2006/relationships/image" Target="media/image32.wmf"/><Relationship Id="rId83" Type="http://schemas.openxmlformats.org/officeDocument/2006/relationships/image" Target="media/image48.wmf"/><Relationship Id="rId179" Type="http://schemas.openxmlformats.org/officeDocument/2006/relationships/oleObject" Target="embeddings/oleObject37.bin"/><Relationship Id="rId365" Type="http://schemas.openxmlformats.org/officeDocument/2006/relationships/footer" Target="footer7.xml"/><Relationship Id="rId386" Type="http://schemas.openxmlformats.org/officeDocument/2006/relationships/image" Target="media/image242.jpeg"/><Relationship Id="rId190" Type="http://schemas.openxmlformats.org/officeDocument/2006/relationships/image" Target="media/image118.wmf"/><Relationship Id="rId204" Type="http://schemas.openxmlformats.org/officeDocument/2006/relationships/image" Target="media/image130.wmf"/><Relationship Id="rId225" Type="http://schemas.openxmlformats.org/officeDocument/2006/relationships/oleObject" Target="embeddings/oleObject45.bin"/><Relationship Id="rId246" Type="http://schemas.openxmlformats.org/officeDocument/2006/relationships/image" Target="media/image164.wmf"/><Relationship Id="rId267" Type="http://schemas.openxmlformats.org/officeDocument/2006/relationships/oleObject" Target="embeddings/oleObject53.bin"/><Relationship Id="rId288" Type="http://schemas.openxmlformats.org/officeDocument/2006/relationships/image" Target="media/image193.wmf"/><Relationship Id="rId106" Type="http://schemas.openxmlformats.org/officeDocument/2006/relationships/image" Target="media/image66.wmf"/><Relationship Id="rId127" Type="http://schemas.openxmlformats.org/officeDocument/2006/relationships/oleObject" Target="embeddings/oleObject23.bin"/><Relationship Id="rId313" Type="http://schemas.openxmlformats.org/officeDocument/2006/relationships/image" Target="media/image209.wmf"/><Relationship Id="rId10" Type="http://schemas.openxmlformats.org/officeDocument/2006/relationships/endnotes" Target="endnotes.xml"/><Relationship Id="rId31" Type="http://schemas.openxmlformats.org/officeDocument/2006/relationships/image" Target="media/image7.wmf"/><Relationship Id="rId52" Type="http://schemas.openxmlformats.org/officeDocument/2006/relationships/image" Target="media/image23.wmf"/><Relationship Id="rId73" Type="http://schemas.openxmlformats.org/officeDocument/2006/relationships/oleObject" Target="embeddings/oleObject9.bin"/><Relationship Id="rId94" Type="http://schemas.openxmlformats.org/officeDocument/2006/relationships/oleObject" Target="embeddings/oleObject13.bin"/><Relationship Id="rId148" Type="http://schemas.openxmlformats.org/officeDocument/2006/relationships/oleObject" Target="embeddings/oleObject28.bin"/><Relationship Id="rId169" Type="http://schemas.openxmlformats.org/officeDocument/2006/relationships/hyperlink" Target="http://www.aga.org/legislative/legislative+advocacy/environmentalinformation/publicenviro/2008/aga+greenhouse+gas+emission+estimation+guidelines+for+the+natural+gas+distribution+sector.htm" TargetMode="External"/><Relationship Id="rId334" Type="http://schemas.openxmlformats.org/officeDocument/2006/relationships/image" Target="media/image221.wmf"/><Relationship Id="rId355" Type="http://schemas.openxmlformats.org/officeDocument/2006/relationships/image" Target="media/image237.wmf"/><Relationship Id="rId376" Type="http://schemas.openxmlformats.org/officeDocument/2006/relationships/footer" Target="footer10.xml"/><Relationship Id="rId4" Type="http://schemas.openxmlformats.org/officeDocument/2006/relationships/customXml" Target="../customXml/item4.xml"/><Relationship Id="rId180" Type="http://schemas.openxmlformats.org/officeDocument/2006/relationships/image" Target="media/image109.wmf"/><Relationship Id="rId215" Type="http://schemas.openxmlformats.org/officeDocument/2006/relationships/image" Target="media/image140.wmf"/><Relationship Id="rId236" Type="http://schemas.openxmlformats.org/officeDocument/2006/relationships/image" Target="media/image155.wmf"/><Relationship Id="rId257" Type="http://schemas.openxmlformats.org/officeDocument/2006/relationships/hyperlink" Target="http://www.bom.gov.au/climate/data/" TargetMode="External"/><Relationship Id="rId278" Type="http://schemas.openxmlformats.org/officeDocument/2006/relationships/image" Target="media/image187.png"/><Relationship Id="rId303" Type="http://schemas.openxmlformats.org/officeDocument/2006/relationships/oleObject" Target="embeddings/oleObject6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AE638-EEB9-4855-AD03-9134DA69563B}">
  <ds:schemaRefs>
    <ds:schemaRef ds:uri="http://schemas.openxmlformats.org/officeDocument/2006/bibliography"/>
  </ds:schemaRefs>
</ds:datastoreItem>
</file>

<file path=customXml/itemProps2.xml><?xml version="1.0" encoding="utf-8"?>
<ds:datastoreItem xmlns:ds="http://schemas.openxmlformats.org/officeDocument/2006/customXml" ds:itemID="{A3F05CA1-7B7B-47B4-8B07-28502C63BA01}">
  <ds:schemaRefs>
    <ds:schemaRef ds:uri="http://schemas.openxmlformats.org/officeDocument/2006/bibliography"/>
  </ds:schemaRefs>
</ds:datastoreItem>
</file>

<file path=customXml/itemProps3.xml><?xml version="1.0" encoding="utf-8"?>
<ds:datastoreItem xmlns:ds="http://schemas.openxmlformats.org/officeDocument/2006/customXml" ds:itemID="{0181BC28-E6FA-4113-8140-7AB5771D70DC}">
  <ds:schemaRefs>
    <ds:schemaRef ds:uri="http://schemas.openxmlformats.org/officeDocument/2006/bibliography"/>
  </ds:schemaRefs>
</ds:datastoreItem>
</file>

<file path=customXml/itemProps4.xml><?xml version="1.0" encoding="utf-8"?>
<ds:datastoreItem xmlns:ds="http://schemas.openxmlformats.org/officeDocument/2006/customXml" ds:itemID="{90BA4591-9006-4D03-B0DF-58B0CA6DD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522</Pages>
  <Words>133231</Words>
  <Characters>759422</Characters>
  <Application>Microsoft Office Word</Application>
  <DocSecurity>0</DocSecurity>
  <Lines>6328</Lines>
  <Paragraphs>1781</Paragraphs>
  <ScaleCrop>false</ScaleCrop>
  <HeadingPairs>
    <vt:vector size="2" baseType="variant">
      <vt:variant>
        <vt:lpstr>Title</vt:lpstr>
      </vt:variant>
      <vt:variant>
        <vt:i4>1</vt:i4>
      </vt:variant>
    </vt:vector>
  </HeadingPairs>
  <TitlesOfParts>
    <vt:vector size="1" baseType="lpstr">
      <vt:lpstr>Technical guidelines for the estimation of greenhouse gas emissions by facilities in Australia – 2017-18 reporting year (October 2017)</vt:lpstr>
    </vt:vector>
  </TitlesOfParts>
  <Company/>
  <LinksUpToDate>false</LinksUpToDate>
  <CharactersWithSpaces>890872</CharactersWithSpaces>
  <SharedDoc>false</SharedDoc>
  <HLinks>
    <vt:vector size="102" baseType="variant">
      <vt:variant>
        <vt:i4>2818172</vt:i4>
      </vt:variant>
      <vt:variant>
        <vt:i4>2379</vt:i4>
      </vt:variant>
      <vt:variant>
        <vt:i4>0</vt:i4>
      </vt:variant>
      <vt:variant>
        <vt:i4>5</vt:i4>
      </vt:variant>
      <vt:variant>
        <vt:lpwstr>http://www.api.org/</vt:lpwstr>
      </vt:variant>
      <vt:variant>
        <vt:lpwstr/>
      </vt:variant>
      <vt:variant>
        <vt:i4>1179701</vt:i4>
      </vt:variant>
      <vt:variant>
        <vt:i4>2376</vt:i4>
      </vt:variant>
      <vt:variant>
        <vt:i4>0</vt:i4>
      </vt:variant>
      <vt:variant>
        <vt:i4>5</vt:i4>
      </vt:variant>
      <vt:variant>
        <vt:lpwstr>http://www.abareconomics.com/publications_html/surveys/surveys/surveys.html</vt:lpwstr>
      </vt:variant>
      <vt:variant>
        <vt:lpwstr/>
      </vt:variant>
      <vt:variant>
        <vt:i4>3866722</vt:i4>
      </vt:variant>
      <vt:variant>
        <vt:i4>2364</vt:i4>
      </vt:variant>
      <vt:variant>
        <vt:i4>0</vt:i4>
      </vt:variant>
      <vt:variant>
        <vt:i4>5</vt:i4>
      </vt:variant>
      <vt:variant>
        <vt:lpwstr>http://www.ghgprotocol.org/calculation-tools/all-tools</vt:lpwstr>
      </vt:variant>
      <vt:variant>
        <vt:lpwstr/>
      </vt:variant>
      <vt:variant>
        <vt:i4>1703999</vt:i4>
      </vt:variant>
      <vt:variant>
        <vt:i4>2340</vt:i4>
      </vt:variant>
      <vt:variant>
        <vt:i4>0</vt:i4>
      </vt:variant>
      <vt:variant>
        <vt:i4>5</vt:i4>
      </vt:variant>
      <vt:variant>
        <vt:lpwstr>http://www.imowa.com.au/market_rules.htm</vt:lpwstr>
      </vt:variant>
      <vt:variant>
        <vt:lpwstr/>
      </vt:variant>
      <vt:variant>
        <vt:i4>6684712</vt:i4>
      </vt:variant>
      <vt:variant>
        <vt:i4>2307</vt:i4>
      </vt:variant>
      <vt:variant>
        <vt:i4>0</vt:i4>
      </vt:variant>
      <vt:variant>
        <vt:i4>5</vt:i4>
      </vt:variant>
      <vt:variant>
        <vt:lpwstr>http://www.abs.gov.au/</vt:lpwstr>
      </vt:variant>
      <vt:variant>
        <vt:lpwstr/>
      </vt:variant>
      <vt:variant>
        <vt:i4>4390977</vt:i4>
      </vt:variant>
      <vt:variant>
        <vt:i4>2259</vt:i4>
      </vt:variant>
      <vt:variant>
        <vt:i4>0</vt:i4>
      </vt:variant>
      <vt:variant>
        <vt:i4>5</vt:i4>
      </vt:variant>
      <vt:variant>
        <vt:lpwstr>http://www.bom.gov.au/climate/cdo/about/about-stats.shtml</vt:lpwstr>
      </vt:variant>
      <vt:variant>
        <vt:lpwstr/>
      </vt:variant>
      <vt:variant>
        <vt:i4>8061030</vt:i4>
      </vt:variant>
      <vt:variant>
        <vt:i4>2250</vt:i4>
      </vt:variant>
      <vt:variant>
        <vt:i4>0</vt:i4>
      </vt:variant>
      <vt:variant>
        <vt:i4>5</vt:i4>
      </vt:variant>
      <vt:variant>
        <vt:lpwstr>http://www.bom.gov.au/watl/evaporation/</vt:lpwstr>
      </vt:variant>
      <vt:variant>
        <vt:lpwstr/>
      </vt:variant>
      <vt:variant>
        <vt:i4>2162747</vt:i4>
      </vt:variant>
      <vt:variant>
        <vt:i4>2247</vt:i4>
      </vt:variant>
      <vt:variant>
        <vt:i4>0</vt:i4>
      </vt:variant>
      <vt:variant>
        <vt:i4>5</vt:i4>
      </vt:variant>
      <vt:variant>
        <vt:lpwstr>http://www.bom.gov.au/climate/data/</vt:lpwstr>
      </vt:variant>
      <vt:variant>
        <vt:lpwstr/>
      </vt:variant>
      <vt:variant>
        <vt:i4>5701706</vt:i4>
      </vt:variant>
      <vt:variant>
        <vt:i4>2076</vt:i4>
      </vt:variant>
      <vt:variant>
        <vt:i4>0</vt:i4>
      </vt:variant>
      <vt:variant>
        <vt:i4>5</vt:i4>
      </vt:variant>
      <vt:variant>
        <vt:lpwstr>http://www.aga.org/legislative/legislative+advocacy/environmentalinformation/publicenviro/2008/aga+greenhouse+gas+emission+estimation+guidelines+for+the+natural+gas+distribution+sector.htm</vt:lpwstr>
      </vt:variant>
      <vt:variant>
        <vt:lpwstr/>
      </vt:variant>
      <vt:variant>
        <vt:i4>4259929</vt:i4>
      </vt:variant>
      <vt:variant>
        <vt:i4>1809</vt:i4>
      </vt:variant>
      <vt:variant>
        <vt:i4>0</vt:i4>
      </vt:variant>
      <vt:variant>
        <vt:i4>5</vt:i4>
      </vt:variant>
      <vt:variant>
        <vt:lpwstr>supporting material available</vt:lpwstr>
      </vt:variant>
      <vt:variant>
        <vt:lpwstr/>
      </vt:variant>
      <vt:variant>
        <vt:i4>5373960</vt:i4>
      </vt:variant>
      <vt:variant>
        <vt:i4>1806</vt:i4>
      </vt:variant>
      <vt:variant>
        <vt:i4>0</vt:i4>
      </vt:variant>
      <vt:variant>
        <vt:i4>5</vt:i4>
      </vt:variant>
      <vt:variant>
        <vt:lpwstr>in supporting material available</vt:lpwstr>
      </vt:variant>
      <vt:variant>
        <vt:lpwstr/>
      </vt:variant>
      <vt:variant>
        <vt:i4>2752572</vt:i4>
      </vt:variant>
      <vt:variant>
        <vt:i4>9</vt:i4>
      </vt:variant>
      <vt:variant>
        <vt:i4>0</vt:i4>
      </vt:variant>
      <vt:variant>
        <vt:i4>5</vt:i4>
      </vt:variant>
      <vt:variant>
        <vt:lpwstr>http://creativecommons.org/licenses/by/3.0/au/</vt:lpwstr>
      </vt:variant>
      <vt:variant>
        <vt:lpwstr/>
      </vt:variant>
      <vt:variant>
        <vt:i4>2752572</vt:i4>
      </vt:variant>
      <vt:variant>
        <vt:i4>6</vt:i4>
      </vt:variant>
      <vt:variant>
        <vt:i4>0</vt:i4>
      </vt:variant>
      <vt:variant>
        <vt:i4>5</vt:i4>
      </vt:variant>
      <vt:variant>
        <vt:lpwstr>http://creativecommons.org/licenses/by/3.0/au/</vt:lpwstr>
      </vt:variant>
      <vt:variant>
        <vt:lpwstr/>
      </vt:variant>
      <vt:variant>
        <vt:i4>327753</vt:i4>
      </vt:variant>
      <vt:variant>
        <vt:i4>3</vt:i4>
      </vt:variant>
      <vt:variant>
        <vt:i4>0</vt:i4>
      </vt:variant>
      <vt:variant>
        <vt:i4>5</vt:i4>
      </vt:variant>
      <vt:variant>
        <vt:lpwstr>http://creativecommons.org/licenses/by/3.0/au</vt:lpwstr>
      </vt:variant>
      <vt:variant>
        <vt:lpwstr/>
      </vt:variant>
      <vt:variant>
        <vt:i4>1638490</vt:i4>
      </vt:variant>
      <vt:variant>
        <vt:i4>0</vt:i4>
      </vt:variant>
      <vt:variant>
        <vt:i4>0</vt:i4>
      </vt:variant>
      <vt:variant>
        <vt:i4>5</vt:i4>
      </vt:variant>
      <vt:variant>
        <vt:lpwstr>http://www.climatechange.gov.au/</vt:lpwstr>
      </vt:variant>
      <vt:variant>
        <vt:lpwstr/>
      </vt:variant>
      <vt:variant>
        <vt:i4>2752572</vt:i4>
      </vt:variant>
      <vt:variant>
        <vt:i4>3013</vt:i4>
      </vt:variant>
      <vt:variant>
        <vt:i4>1028</vt:i4>
      </vt:variant>
      <vt:variant>
        <vt:i4>4</vt:i4>
      </vt:variant>
      <vt:variant>
        <vt:lpwstr>http://creativecommons.org/licenses/by/3.0/au/</vt:lpwstr>
      </vt:variant>
      <vt:variant>
        <vt:lpwstr/>
      </vt:variant>
      <vt:variant>
        <vt:i4>2752572</vt:i4>
      </vt:variant>
      <vt:variant>
        <vt:i4>3081</vt:i4>
      </vt:variant>
      <vt:variant>
        <vt:i4>1029</vt:i4>
      </vt:variant>
      <vt:variant>
        <vt:i4>4</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guidelines for the estimation of greenhouse gas emissions by facilities in Australia – 2017-18 reporting year (October 2017)</dc:title>
  <dc:subject/>
  <dc:creator/>
  <cp:keywords/>
  <cp:lastModifiedBy/>
  <cp:revision>1</cp:revision>
  <dcterms:created xsi:type="dcterms:W3CDTF">2018-07-26T00:24:00Z</dcterms:created>
  <dcterms:modified xsi:type="dcterms:W3CDTF">2018-07-26T00:24:00Z</dcterms:modified>
</cp:coreProperties>
</file>